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8.xml" ContentType="application/vnd.openxmlformats-officedocument.wordprocessingml.footer+xml"/>
  <Override PartName="/word/header22.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3.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6.xml" ContentType="application/vnd.openxmlformats-officedocument.wordprocessingml.header+xml"/>
  <Override PartName="/word/footer38.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43.xml" ContentType="application/vnd.openxmlformats-officedocument.wordprocessingml.footer+xml"/>
  <Override PartName="/word/header62.xml" ContentType="application/vnd.openxmlformats-officedocument.wordprocessingml.header+xml"/>
  <Override PartName="/word/footer44.xml" ContentType="application/vnd.openxmlformats-officedocument.wordprocessingml.footer+xml"/>
  <Override PartName="/word/header63.xml" ContentType="application/vnd.openxmlformats-officedocument.wordprocessingml.header+xml"/>
  <Override PartName="/word/footer45.xml" ContentType="application/vnd.openxmlformats-officedocument.wordprocessingml.footer+xml"/>
  <Override PartName="/word/header64.xml" ContentType="application/vnd.openxmlformats-officedocument.wordprocessingml.header+xml"/>
  <Override PartName="/word/footer46.xml" ContentType="application/vnd.openxmlformats-officedocument.wordprocessingml.footer+xml"/>
  <Override PartName="/word/header65.xml" ContentType="application/vnd.openxmlformats-officedocument.wordprocessingml.header+xml"/>
  <Override PartName="/word/footer47.xml" ContentType="application/vnd.openxmlformats-officedocument.wordprocessingml.footer+xml"/>
  <Override PartName="/word/header66.xml" ContentType="application/vnd.openxmlformats-officedocument.wordprocessingml.header+xml"/>
  <Override PartName="/word/footer48.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footer49.xml" ContentType="application/vnd.openxmlformats-officedocument.wordprocessingml.footer+xml"/>
  <Override PartName="/word/header70.xml" ContentType="application/vnd.openxmlformats-officedocument.wordprocessingml.header+xml"/>
  <Override PartName="/word/footer50.xml" ContentType="application/vnd.openxmlformats-officedocument.wordprocessingml.footer+xml"/>
  <Override PartName="/word/header71.xml" ContentType="application/vnd.openxmlformats-officedocument.wordprocessingml.header+xml"/>
  <Override PartName="/word/footer51.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footer52.xml" ContentType="application/vnd.openxmlformats-officedocument.wordprocessingml.footer+xml"/>
  <Override PartName="/word/header75.xml" ContentType="application/vnd.openxmlformats-officedocument.wordprocessingml.header+xml"/>
  <Override PartName="/word/footer53.xml" ContentType="application/vnd.openxmlformats-officedocument.wordprocessingml.footer+xml"/>
  <Override PartName="/word/header76.xml" ContentType="application/vnd.openxmlformats-officedocument.wordprocessingml.header+xml"/>
  <Override PartName="/word/footer54.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55.xml" ContentType="application/vnd.openxmlformats-officedocument.wordprocessingml.footer+xml"/>
  <Override PartName="/word/header82.xml" ContentType="application/vnd.openxmlformats-officedocument.wordprocessingml.header+xml"/>
  <Override PartName="/word/footer56.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footer57.xml" ContentType="application/vnd.openxmlformats-officedocument.wordprocessingml.footer+xml"/>
  <Override PartName="/word/header85.xml" ContentType="application/vnd.openxmlformats-officedocument.wordprocessingml.header+xml"/>
  <Override PartName="/word/footer58.xml" ContentType="application/vnd.openxmlformats-officedocument.wordprocessingml.footer+xml"/>
  <Override PartName="/word/header86.xml" ContentType="application/vnd.openxmlformats-officedocument.wordprocessingml.header+xml"/>
  <Override PartName="/word/footer59.xml" ContentType="application/vnd.openxmlformats-officedocument.wordprocessingml.footer+xml"/>
  <Override PartName="/word/header87.xml" ContentType="application/vnd.openxmlformats-officedocument.wordprocessingml.header+xml"/>
  <Override PartName="/word/footer60.xml" ContentType="application/vnd.openxmlformats-officedocument.wordprocessingml.footer+xml"/>
  <Override PartName="/word/header88.xml" ContentType="application/vnd.openxmlformats-officedocument.wordprocessingml.header+xml"/>
  <Override PartName="/word/footer61.xml" ContentType="application/vnd.openxmlformats-officedocument.wordprocessingml.footer+xml"/>
  <Override PartName="/word/header89.xml" ContentType="application/vnd.openxmlformats-officedocument.wordprocessingml.header+xml"/>
  <Override PartName="/word/footer62.xml" ContentType="application/vnd.openxmlformats-officedocument.wordprocessingml.footer+xml"/>
  <Override PartName="/word/header90.xml" ContentType="application/vnd.openxmlformats-officedocument.wordprocessingml.header+xml"/>
  <Override PartName="/word/footer63.xml" ContentType="application/vnd.openxmlformats-officedocument.wordprocessingml.footer+xml"/>
  <Override PartName="/word/header91.xml" ContentType="application/vnd.openxmlformats-officedocument.wordprocessingml.header+xml"/>
  <Override PartName="/word/footer64.xml" ContentType="application/vnd.openxmlformats-officedocument.wordprocessingml.footer+xml"/>
  <Override PartName="/word/header92.xml" ContentType="application/vnd.openxmlformats-officedocument.wordprocessingml.header+xml"/>
  <Override PartName="/word/footer65.xml" ContentType="application/vnd.openxmlformats-officedocument.wordprocessingml.footer+xml"/>
  <Override PartName="/word/header93.xml" ContentType="application/vnd.openxmlformats-officedocument.wordprocessingml.header+xml"/>
  <Override PartName="/word/footer66.xml" ContentType="application/vnd.openxmlformats-officedocument.wordprocessingml.footer+xml"/>
  <Override PartName="/word/header94.xml" ContentType="application/vnd.openxmlformats-officedocument.wordprocessingml.header+xml"/>
  <Override PartName="/word/footer67.xml" ContentType="application/vnd.openxmlformats-officedocument.wordprocessingml.footer+xml"/>
  <Override PartName="/word/header95.xml" ContentType="application/vnd.openxmlformats-officedocument.wordprocessingml.header+xml"/>
  <Override PartName="/word/footer68.xml" ContentType="application/vnd.openxmlformats-officedocument.wordprocessingml.footer+xml"/>
  <Override PartName="/word/header96.xml" ContentType="application/vnd.openxmlformats-officedocument.wordprocessingml.header+xml"/>
  <Override PartName="/word/footer69.xml" ContentType="application/vnd.openxmlformats-officedocument.wordprocessingml.footer+xml"/>
  <Override PartName="/word/header97.xml" ContentType="application/vnd.openxmlformats-officedocument.wordprocessingml.header+xml"/>
  <Override PartName="/word/footer70.xml" ContentType="application/vnd.openxmlformats-officedocument.wordprocessingml.footer+xml"/>
  <Override PartName="/word/header98.xml" ContentType="application/vnd.openxmlformats-officedocument.wordprocessingml.header+xml"/>
  <Override PartName="/word/footer71.xml" ContentType="application/vnd.openxmlformats-officedocument.wordprocessingml.footer+xml"/>
  <Override PartName="/word/header99.xml" ContentType="application/vnd.openxmlformats-officedocument.wordprocessingml.header+xml"/>
  <Override PartName="/word/footer72.xml" ContentType="application/vnd.openxmlformats-officedocument.wordprocessingml.footer+xml"/>
  <Override PartName="/word/header100.xml" ContentType="application/vnd.openxmlformats-officedocument.wordprocessingml.header+xml"/>
  <Override PartName="/word/footer7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5"/>
        <w:rPr>
          <w:rFonts w:ascii="Times New Roman" w:hAnsi="Times New Roman" w:cs="Times New Roman" w:eastAsia="Times New Roman" w:hint="default"/>
          <w:sz w:val="6"/>
          <w:szCs w:val="6"/>
        </w:rPr>
      </w:pPr>
    </w:p>
    <w:p>
      <w:pPr>
        <w:spacing w:line="20" w:lineRule="exact"/>
        <w:ind w:left="103"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65.85pt;height:.75pt;mso-position-horizontal-relative:char;mso-position-vertical-relative:line" coordorigin="0,0" coordsize="9317,15">
            <v:group style="position:absolute;left:7;top:7;width:9303;height:2" coordorigin="7,7" coordsize="9303,2">
              <v:shape style="position:absolute;left:7;top:7;width:9303;height:2" coordorigin="7,7" coordsize="9303,0" path="m7,7l9310,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96"/>
        <w:ind w:left="1" w:right="1" w:firstLine="0"/>
        <w:jc w:val="center"/>
        <w:rPr>
          <w:rFonts w:ascii="黑体" w:hAnsi="黑体" w:cs="黑体" w:eastAsia="黑体" w:hint="default"/>
          <w:sz w:val="44"/>
          <w:szCs w:val="44"/>
        </w:rPr>
      </w:pPr>
      <w:bookmarkStart w:name="600588_2009_n.pdf" w:id="1"/>
      <w:bookmarkEnd w:id="1"/>
      <w:r>
        <w:rPr/>
      </w:r>
      <w:r>
        <w:rPr>
          <w:rFonts w:ascii="黑体" w:hAnsi="黑体" w:cs="黑体" w:eastAsia="黑体" w:hint="default"/>
          <w:b/>
          <w:bCs/>
          <w:color w:val="FF0000"/>
          <w:sz w:val="44"/>
          <w:szCs w:val="44"/>
        </w:rPr>
        <w:t>用友软件股份有限公司</w:t>
      </w:r>
      <w:r>
        <w:rPr>
          <w:rFonts w:ascii="黑体" w:hAnsi="黑体" w:cs="黑体" w:eastAsia="黑体" w:hint="default"/>
          <w:sz w:val="44"/>
          <w:szCs w:val="44"/>
        </w:rPr>
      </w:r>
    </w:p>
    <w:p>
      <w:pPr>
        <w:pStyle w:val="Heading2"/>
        <w:spacing w:line="240" w:lineRule="auto" w:before="133"/>
        <w:ind w:left="1" w:right="1"/>
        <w:jc w:val="center"/>
        <w:rPr>
          <w:b w:val="0"/>
          <w:bCs w:val="0"/>
        </w:rPr>
      </w:pPr>
      <w:r>
        <w:rPr>
          <w:color w:val="FF0000"/>
        </w:rPr>
        <w:t>600588</w:t>
      </w:r>
      <w:r>
        <w:rPr>
          <w:b w:val="0"/>
        </w:rPr>
      </w:r>
    </w:p>
    <w:p>
      <w:pPr>
        <w:spacing w:line="240" w:lineRule="auto" w:before="12"/>
        <w:rPr>
          <w:rFonts w:ascii="黑体" w:hAnsi="黑体" w:cs="黑体" w:eastAsia="黑体" w:hint="default"/>
          <w:b/>
          <w:bCs/>
          <w:sz w:val="41"/>
          <w:szCs w:val="41"/>
        </w:rPr>
      </w:pPr>
    </w:p>
    <w:p>
      <w:pPr>
        <w:spacing w:before="0"/>
        <w:ind w:left="1" w:right="1" w:firstLine="0"/>
        <w:jc w:val="center"/>
        <w:rPr>
          <w:rFonts w:ascii="黑体" w:hAnsi="黑体" w:cs="黑体" w:eastAsia="黑体" w:hint="default"/>
          <w:sz w:val="44"/>
          <w:szCs w:val="44"/>
        </w:rPr>
      </w:pPr>
      <w:r>
        <w:rPr>
          <w:rFonts w:ascii="黑体" w:hAnsi="黑体" w:cs="黑体" w:eastAsia="黑体" w:hint="default"/>
          <w:b/>
          <w:bCs/>
          <w:color w:val="FF0000"/>
          <w:sz w:val="44"/>
          <w:szCs w:val="44"/>
        </w:rPr>
        <w:t>2009</w:t>
      </w:r>
      <w:r>
        <w:rPr>
          <w:rFonts w:ascii="黑体" w:hAnsi="黑体" w:cs="黑体" w:eastAsia="黑体" w:hint="default"/>
          <w:b/>
          <w:bCs/>
          <w:color w:val="FF0000"/>
          <w:spacing w:val="-116"/>
          <w:sz w:val="44"/>
          <w:szCs w:val="44"/>
        </w:rPr>
        <w:t> </w:t>
      </w:r>
      <w:r>
        <w:rPr>
          <w:rFonts w:ascii="黑体" w:hAnsi="黑体" w:cs="黑体" w:eastAsia="黑体" w:hint="default"/>
          <w:b/>
          <w:bCs/>
          <w:color w:val="FF0000"/>
          <w:sz w:val="44"/>
          <w:szCs w:val="44"/>
        </w:rPr>
        <w:t>年年度报告</w:t>
      </w:r>
      <w:r>
        <w:rPr>
          <w:rFonts w:ascii="黑体" w:hAnsi="黑体" w:cs="黑体" w:eastAsia="黑体" w:hint="default"/>
          <w:sz w:val="44"/>
          <w:szCs w:val="44"/>
        </w:rPr>
      </w:r>
    </w:p>
    <w:p>
      <w:pPr>
        <w:spacing w:after="0"/>
        <w:jc w:val="center"/>
        <w:rPr>
          <w:rFonts w:ascii="黑体" w:hAnsi="黑体" w:cs="黑体" w:eastAsia="黑体" w:hint="default"/>
          <w:sz w:val="44"/>
          <w:szCs w:val="44"/>
        </w:rPr>
        <w:sectPr>
          <w:type w:val="continuous"/>
          <w:pgSz w:w="11910" w:h="16840"/>
          <w:pgMar w:top="900" w:bottom="280" w:left="1220" w:right="1160"/>
        </w:sectPr>
      </w:pPr>
    </w:p>
    <w:p>
      <w:pPr>
        <w:spacing w:line="240" w:lineRule="auto" w:before="0"/>
        <w:rPr>
          <w:rFonts w:ascii="黑体" w:hAnsi="黑体" w:cs="黑体" w:eastAsia="黑体" w:hint="default"/>
          <w:b/>
          <w:bCs/>
          <w:sz w:val="20"/>
          <w:szCs w:val="20"/>
        </w:rPr>
      </w:pPr>
    </w:p>
    <w:p>
      <w:pPr>
        <w:spacing w:line="240" w:lineRule="auto" w:before="10"/>
        <w:rPr>
          <w:rFonts w:ascii="黑体" w:hAnsi="黑体" w:cs="黑体" w:eastAsia="黑体" w:hint="default"/>
          <w:b/>
          <w:bCs/>
          <w:sz w:val="23"/>
          <w:szCs w:val="23"/>
        </w:rPr>
      </w:pPr>
    </w:p>
    <w:p>
      <w:pPr>
        <w:spacing w:before="13"/>
        <w:ind w:left="4199" w:right="140" w:firstLine="0"/>
        <w:jc w:val="left"/>
        <w:rPr>
          <w:rFonts w:ascii="宋体" w:hAnsi="宋体" w:cs="宋体" w:eastAsia="宋体" w:hint="default"/>
          <w:sz w:val="28"/>
          <w:szCs w:val="28"/>
        </w:rPr>
      </w:pPr>
      <w:r>
        <w:rPr>
          <w:rFonts w:ascii="宋体" w:hAnsi="宋体" w:cs="宋体" w:eastAsia="宋体" w:hint="default"/>
          <w:b/>
          <w:bCs/>
          <w:sz w:val="28"/>
          <w:szCs w:val="28"/>
        </w:rPr>
        <w:t>重要提示</w:t>
      </w:r>
      <w:r>
        <w:rPr>
          <w:rFonts w:ascii="宋体" w:hAnsi="宋体" w:cs="宋体" w:eastAsia="宋体" w:hint="default"/>
          <w:sz w:val="28"/>
          <w:szCs w:val="28"/>
        </w:rPr>
      </w:r>
    </w:p>
    <w:p>
      <w:pPr>
        <w:spacing w:line="240" w:lineRule="auto" w:before="11"/>
        <w:rPr>
          <w:rFonts w:ascii="宋体" w:hAnsi="宋体" w:cs="宋体" w:eastAsia="宋体" w:hint="default"/>
          <w:b/>
          <w:bCs/>
          <w:sz w:val="21"/>
          <w:szCs w:val="21"/>
        </w:rPr>
      </w:pPr>
    </w:p>
    <w:p>
      <w:pPr>
        <w:pStyle w:val="Heading6"/>
        <w:spacing w:line="237" w:lineRule="auto"/>
        <w:ind w:left="140" w:right="134" w:firstLine="480"/>
        <w:jc w:val="both"/>
        <w:rPr>
          <w:b w:val="0"/>
          <w:bCs w:val="0"/>
        </w:rPr>
      </w:pPr>
      <w:r>
        <w:rPr>
          <w:spacing w:val="2"/>
        </w:rPr>
        <w:t>本公司董事会、监事会及其董事、监事、高级管理人员保证本报告所载资料不存在</w:t>
      </w:r>
      <w:r>
        <w:rPr>
          <w:spacing w:val="3"/>
          <w:w w:val="99"/>
        </w:rPr>
        <w:t> </w:t>
      </w:r>
      <w:r>
        <w:rPr>
          <w:spacing w:val="2"/>
        </w:rPr>
        <w:t>任何虚假记载、误导性陈述或者重大遗漏，并对其内容的真实性、准确性和完整性承担</w:t>
      </w:r>
      <w:r>
        <w:rPr>
          <w:spacing w:val="3"/>
          <w:w w:val="99"/>
        </w:rPr>
        <w:t> </w:t>
      </w:r>
      <w:r>
        <w:rPr/>
        <w:t>个别及连带责任。</w:t>
      </w:r>
      <w:r>
        <w:rPr>
          <w:b w:val="0"/>
          <w:bCs w:val="0"/>
        </w:rPr>
      </w:r>
    </w:p>
    <w:p>
      <w:pPr>
        <w:spacing w:line="240" w:lineRule="auto" w:before="3"/>
        <w:rPr>
          <w:rFonts w:ascii="宋体" w:hAnsi="宋体" w:cs="宋体" w:eastAsia="宋体" w:hint="default"/>
          <w:b/>
          <w:bCs/>
          <w:sz w:val="21"/>
          <w:szCs w:val="21"/>
        </w:rPr>
      </w:pPr>
    </w:p>
    <w:p>
      <w:pPr>
        <w:spacing w:line="451" w:lineRule="auto" w:before="0"/>
        <w:ind w:left="620" w:right="140" w:firstLine="0"/>
        <w:jc w:val="left"/>
        <w:rPr>
          <w:rFonts w:ascii="宋体" w:hAnsi="宋体" w:cs="宋体" w:eastAsia="宋体" w:hint="default"/>
          <w:sz w:val="24"/>
          <w:szCs w:val="24"/>
        </w:rPr>
      </w:pPr>
      <w:r>
        <w:rPr>
          <w:rFonts w:ascii="宋体" w:hAnsi="宋体" w:cs="宋体" w:eastAsia="宋体" w:hint="default"/>
          <w:b/>
          <w:bCs/>
          <w:sz w:val="24"/>
          <w:szCs w:val="24"/>
        </w:rPr>
        <w:t>公司全体董事出席董事会会议。</w:t>
      </w:r>
      <w:r>
        <w:rPr>
          <w:rFonts w:ascii="宋体" w:hAnsi="宋体" w:cs="宋体" w:eastAsia="宋体" w:hint="default"/>
          <w:b/>
          <w:bCs/>
          <w:spacing w:val="1"/>
          <w:w w:val="99"/>
          <w:sz w:val="24"/>
          <w:szCs w:val="24"/>
        </w:rPr>
        <w:t> </w:t>
      </w:r>
      <w:r>
        <w:rPr>
          <w:rFonts w:ascii="宋体" w:hAnsi="宋体" w:cs="宋体" w:eastAsia="宋体" w:hint="default"/>
          <w:b/>
          <w:bCs/>
          <w:sz w:val="24"/>
          <w:szCs w:val="24"/>
        </w:rPr>
        <w:t>安永华明会计师事务所为本公司出具了标准无保留意见的审计报告。</w:t>
      </w:r>
      <w:r>
        <w:rPr>
          <w:rFonts w:ascii="宋体" w:hAnsi="宋体" w:cs="宋体" w:eastAsia="宋体" w:hint="default"/>
          <w:sz w:val="24"/>
          <w:szCs w:val="24"/>
        </w:rPr>
      </w:r>
    </w:p>
    <w:p>
      <w:pPr>
        <w:spacing w:line="312" w:lineRule="exact" w:before="97"/>
        <w:ind w:left="140" w:right="137" w:firstLine="480"/>
        <w:jc w:val="both"/>
        <w:rPr>
          <w:rFonts w:ascii="宋体" w:hAnsi="宋体" w:cs="宋体" w:eastAsia="宋体" w:hint="default"/>
          <w:sz w:val="24"/>
          <w:szCs w:val="24"/>
        </w:rPr>
      </w:pPr>
      <w:r>
        <w:rPr>
          <w:rFonts w:ascii="宋体" w:hAnsi="宋体" w:cs="宋体" w:eastAsia="宋体" w:hint="default"/>
          <w:b/>
          <w:bCs/>
          <w:spacing w:val="2"/>
          <w:sz w:val="24"/>
          <w:szCs w:val="24"/>
        </w:rPr>
        <w:t>公司董事长兼总裁王文京先生、副董事长兼财务总监郭新平先生及总会计师王仕平</w:t>
      </w:r>
      <w:r>
        <w:rPr>
          <w:rFonts w:ascii="宋体" w:hAnsi="宋体" w:cs="宋体" w:eastAsia="宋体" w:hint="default"/>
          <w:b/>
          <w:bCs/>
          <w:spacing w:val="3"/>
          <w:w w:val="99"/>
          <w:sz w:val="24"/>
          <w:szCs w:val="24"/>
        </w:rPr>
        <w:t> </w:t>
      </w:r>
      <w:r>
        <w:rPr>
          <w:rFonts w:ascii="宋体" w:hAnsi="宋体" w:cs="宋体" w:eastAsia="宋体" w:hint="default"/>
          <w:b/>
          <w:bCs/>
          <w:sz w:val="24"/>
          <w:szCs w:val="24"/>
        </w:rPr>
        <w:t>先生声明：保证年度报告中财务报告的真实、完整。</w:t>
      </w:r>
      <w:r>
        <w:rPr>
          <w:rFonts w:ascii="宋体" w:hAnsi="宋体" w:cs="宋体" w:eastAsia="宋体" w:hint="default"/>
          <w:sz w:val="24"/>
          <w:szCs w:val="24"/>
        </w:rPr>
      </w:r>
    </w:p>
    <w:p>
      <w:pPr>
        <w:spacing w:line="240" w:lineRule="auto" w:before="12"/>
        <w:rPr>
          <w:rFonts w:ascii="宋体" w:hAnsi="宋体" w:cs="宋体" w:eastAsia="宋体" w:hint="default"/>
          <w:b/>
          <w:bCs/>
          <w:sz w:val="18"/>
          <w:szCs w:val="18"/>
        </w:rPr>
      </w:pPr>
    </w:p>
    <w:p>
      <w:pPr>
        <w:spacing w:line="451" w:lineRule="auto" w:before="0"/>
        <w:ind w:left="620" w:right="2620" w:firstLine="0"/>
        <w:jc w:val="left"/>
        <w:rPr>
          <w:rFonts w:ascii="宋体" w:hAnsi="宋体" w:cs="宋体" w:eastAsia="宋体" w:hint="default"/>
          <w:sz w:val="24"/>
          <w:szCs w:val="24"/>
        </w:rPr>
      </w:pPr>
      <w:r>
        <w:rPr>
          <w:rFonts w:ascii="宋体" w:hAnsi="宋体" w:cs="宋体" w:eastAsia="宋体" w:hint="default"/>
          <w:b/>
          <w:bCs/>
          <w:sz w:val="24"/>
          <w:szCs w:val="24"/>
        </w:rPr>
        <w:t>公司不存在被控股股东及其关联方非经营性占用资金情况。</w:t>
      </w:r>
      <w:r>
        <w:rPr>
          <w:rFonts w:ascii="宋体" w:hAnsi="宋体" w:cs="宋体" w:eastAsia="宋体" w:hint="default"/>
          <w:b/>
          <w:bCs/>
          <w:spacing w:val="1"/>
          <w:w w:val="99"/>
          <w:sz w:val="24"/>
          <w:szCs w:val="24"/>
        </w:rPr>
        <w:t> </w:t>
      </w:r>
      <w:r>
        <w:rPr>
          <w:rFonts w:ascii="宋体" w:hAnsi="宋体" w:cs="宋体" w:eastAsia="宋体" w:hint="default"/>
          <w:b/>
          <w:bCs/>
          <w:sz w:val="24"/>
          <w:szCs w:val="24"/>
        </w:rPr>
        <w:t>公司不存在违反规定决策程序对外提供担保的情况。</w:t>
      </w:r>
      <w:r>
        <w:rPr>
          <w:rFonts w:ascii="宋体" w:hAnsi="宋体" w:cs="宋体" w:eastAsia="宋体" w:hint="default"/>
          <w:sz w:val="24"/>
          <w:szCs w:val="24"/>
        </w:rPr>
      </w:r>
    </w:p>
    <w:p>
      <w:pPr>
        <w:spacing w:after="0" w:line="451" w:lineRule="auto"/>
        <w:jc w:val="left"/>
        <w:rPr>
          <w:rFonts w:ascii="宋体" w:hAnsi="宋体" w:cs="宋体" w:eastAsia="宋体" w:hint="default"/>
          <w:sz w:val="24"/>
          <w:szCs w:val="24"/>
        </w:rPr>
        <w:sectPr>
          <w:headerReference w:type="default" r:id="rId5"/>
          <w:footerReference w:type="default" r:id="rId6"/>
          <w:pgSz w:w="11910" w:h="16840"/>
          <w:pgMar w:header="720" w:footer="727" w:top="1080" w:bottom="920" w:left="1220" w:right="1160"/>
          <w:pgNumType w:start="1"/>
        </w:sect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3"/>
          <w:szCs w:val="23"/>
        </w:rPr>
      </w:pPr>
    </w:p>
    <w:p>
      <w:pPr>
        <w:tabs>
          <w:tab w:pos="986" w:val="left" w:leader="none"/>
        </w:tabs>
        <w:spacing w:before="13"/>
        <w:ind w:left="0" w:right="79" w:firstLine="0"/>
        <w:jc w:val="center"/>
        <w:rPr>
          <w:rFonts w:ascii="宋体" w:hAnsi="宋体" w:cs="宋体" w:eastAsia="宋体" w:hint="default"/>
          <w:sz w:val="28"/>
          <w:szCs w:val="28"/>
        </w:rPr>
      </w:pPr>
      <w:r>
        <w:rPr>
          <w:rFonts w:ascii="宋体" w:hAnsi="宋体" w:cs="宋体" w:eastAsia="宋体" w:hint="default"/>
          <w:b/>
          <w:bCs/>
          <w:w w:val="95"/>
          <w:sz w:val="28"/>
          <w:szCs w:val="28"/>
        </w:rPr>
        <w:t>释</w:t>
        <w:tab/>
      </w:r>
      <w:r>
        <w:rPr>
          <w:rFonts w:ascii="宋体" w:hAnsi="宋体" w:cs="宋体" w:eastAsia="宋体" w:hint="default"/>
          <w:b/>
          <w:bCs/>
          <w:sz w:val="28"/>
          <w:szCs w:val="28"/>
        </w:rPr>
        <w:t>义</w:t>
      </w:r>
      <w:r>
        <w:rPr>
          <w:rFonts w:ascii="宋体" w:hAnsi="宋体" w:cs="宋体" w:eastAsia="宋体" w:hint="default"/>
          <w:sz w:val="28"/>
          <w:szCs w:val="28"/>
        </w:rPr>
      </w:r>
    </w:p>
    <w:p>
      <w:pPr>
        <w:spacing w:line="240" w:lineRule="auto" w:before="8"/>
        <w:rPr>
          <w:rFonts w:ascii="宋体" w:hAnsi="宋体" w:cs="宋体" w:eastAsia="宋体" w:hint="default"/>
          <w:b/>
          <w:bCs/>
          <w:sz w:val="21"/>
          <w:szCs w:val="21"/>
        </w:rPr>
      </w:pPr>
    </w:p>
    <w:p>
      <w:pPr>
        <w:pStyle w:val="Heading7"/>
        <w:tabs>
          <w:tab w:pos="1220" w:val="left" w:leader="none"/>
        </w:tabs>
        <w:spacing w:line="297" w:lineRule="auto"/>
        <w:ind w:right="220" w:firstLine="482"/>
        <w:jc w:val="left"/>
      </w:pPr>
      <w:r>
        <w:rPr/>
        <w:t>1、</w:t>
        <w:tab/>
        <w:t>ERP：“企业资源计划”（Enterprise Resources Planning）的英文缩写，是 一种企业应用软件系统。</w:t>
      </w:r>
    </w:p>
    <w:p>
      <w:pPr>
        <w:tabs>
          <w:tab w:pos="1220" w:val="left" w:leader="none"/>
        </w:tabs>
        <w:spacing w:line="297" w:lineRule="auto" w:before="138"/>
        <w:ind w:left="140" w:right="219" w:firstLine="482"/>
        <w:jc w:val="left"/>
        <w:rPr>
          <w:rFonts w:ascii="宋体" w:hAnsi="宋体" w:cs="宋体" w:eastAsia="宋体" w:hint="default"/>
          <w:sz w:val="24"/>
          <w:szCs w:val="24"/>
        </w:rPr>
      </w:pPr>
      <w:r>
        <w:rPr>
          <w:rFonts w:ascii="宋体" w:hAnsi="宋体" w:cs="宋体" w:eastAsia="宋体" w:hint="default"/>
          <w:sz w:val="24"/>
          <w:szCs w:val="24"/>
        </w:rPr>
        <w:t>2、</w:t>
        <w:tab/>
        <w:t>HRM：“人力资源管理”（Human</w:t>
      </w:r>
      <w:r>
        <w:rPr>
          <w:rFonts w:ascii="宋体" w:hAnsi="宋体" w:cs="宋体" w:eastAsia="宋体" w:hint="default"/>
          <w:spacing w:val="-59"/>
          <w:sz w:val="24"/>
          <w:szCs w:val="24"/>
        </w:rPr>
        <w:t> </w:t>
      </w:r>
      <w:r>
        <w:rPr>
          <w:rFonts w:ascii="宋体" w:hAnsi="宋体" w:cs="宋体" w:eastAsia="宋体" w:hint="default"/>
          <w:sz w:val="24"/>
          <w:szCs w:val="24"/>
        </w:rPr>
        <w:t>Resources</w:t>
      </w:r>
      <w:r>
        <w:rPr>
          <w:rFonts w:ascii="宋体" w:hAnsi="宋体" w:cs="宋体" w:eastAsia="宋体" w:hint="default"/>
          <w:spacing w:val="-59"/>
          <w:sz w:val="24"/>
          <w:szCs w:val="24"/>
        </w:rPr>
        <w:t> </w:t>
      </w:r>
      <w:r>
        <w:rPr>
          <w:rFonts w:ascii="宋体" w:hAnsi="宋体" w:cs="宋体" w:eastAsia="宋体" w:hint="default"/>
          <w:sz w:val="24"/>
          <w:szCs w:val="24"/>
        </w:rPr>
        <w:t>Management）的英文缩写，是一种</w:t>
      </w:r>
      <w:r>
        <w:rPr>
          <w:rFonts w:ascii="宋体" w:hAnsi="宋体" w:cs="宋体" w:eastAsia="宋体" w:hint="default"/>
          <w:sz w:val="24"/>
          <w:szCs w:val="24"/>
        </w:rPr>
        <w:t> 企业应用软件系统。</w:t>
      </w:r>
    </w:p>
    <w:p>
      <w:pPr>
        <w:tabs>
          <w:tab w:pos="1220" w:val="left" w:leader="none"/>
        </w:tabs>
        <w:spacing w:line="297" w:lineRule="auto" w:before="137"/>
        <w:ind w:left="140" w:right="219" w:firstLine="482"/>
        <w:jc w:val="left"/>
        <w:rPr>
          <w:rFonts w:ascii="宋体" w:hAnsi="宋体" w:cs="宋体" w:eastAsia="宋体" w:hint="default"/>
          <w:sz w:val="24"/>
          <w:szCs w:val="24"/>
        </w:rPr>
      </w:pPr>
      <w:r>
        <w:rPr>
          <w:rFonts w:ascii="宋体" w:hAnsi="宋体" w:cs="宋体" w:eastAsia="宋体" w:hint="default"/>
          <w:sz w:val="24"/>
          <w:szCs w:val="24"/>
        </w:rPr>
        <w:t>3、</w:t>
        <w:tab/>
      </w:r>
      <w:r>
        <w:rPr>
          <w:rFonts w:ascii="宋体" w:hAnsi="宋体" w:cs="宋体" w:eastAsia="宋体" w:hint="default"/>
          <w:spacing w:val="-3"/>
          <w:sz w:val="24"/>
          <w:szCs w:val="24"/>
        </w:rPr>
        <w:t>OA：“办公自动化”（Office</w:t>
      </w:r>
      <w:r>
        <w:rPr>
          <w:rFonts w:ascii="宋体" w:hAnsi="宋体" w:cs="宋体" w:eastAsia="宋体" w:hint="default"/>
          <w:spacing w:val="-69"/>
          <w:sz w:val="24"/>
          <w:szCs w:val="24"/>
        </w:rPr>
        <w:t> </w:t>
      </w:r>
      <w:r>
        <w:rPr>
          <w:rFonts w:ascii="宋体" w:hAnsi="宋体" w:cs="宋体" w:eastAsia="宋体" w:hint="default"/>
          <w:sz w:val="24"/>
          <w:szCs w:val="24"/>
        </w:rPr>
        <w:t>Automation）的英文缩写，是一种企业应用软件</w:t>
      </w:r>
      <w:r>
        <w:rPr>
          <w:rFonts w:ascii="宋体" w:hAnsi="宋体" w:cs="宋体" w:eastAsia="宋体" w:hint="default"/>
          <w:sz w:val="24"/>
          <w:szCs w:val="24"/>
        </w:rPr>
        <w:t> 系统。</w:t>
      </w:r>
    </w:p>
    <w:p>
      <w:pPr>
        <w:tabs>
          <w:tab w:pos="1220" w:val="left" w:leader="none"/>
        </w:tabs>
        <w:spacing w:line="297" w:lineRule="auto" w:before="138"/>
        <w:ind w:left="140" w:right="219" w:firstLine="482"/>
        <w:jc w:val="left"/>
        <w:rPr>
          <w:rFonts w:ascii="宋体" w:hAnsi="宋体" w:cs="宋体" w:eastAsia="宋体" w:hint="default"/>
          <w:sz w:val="24"/>
          <w:szCs w:val="24"/>
        </w:rPr>
      </w:pPr>
      <w:r>
        <w:rPr>
          <w:rFonts w:ascii="宋体" w:hAnsi="宋体" w:cs="宋体" w:eastAsia="宋体" w:hint="default"/>
          <w:sz w:val="24"/>
          <w:szCs w:val="24"/>
        </w:rPr>
        <w:t>4、</w:t>
        <w:tab/>
        <w:t>用友</w:t>
      </w:r>
      <w:r>
        <w:rPr>
          <w:rFonts w:ascii="宋体" w:hAnsi="宋体" w:cs="宋体" w:eastAsia="宋体" w:hint="default"/>
          <w:spacing w:val="-59"/>
          <w:sz w:val="24"/>
          <w:szCs w:val="24"/>
        </w:rPr>
        <w:t> </w:t>
      </w:r>
      <w:r>
        <w:rPr>
          <w:rFonts w:ascii="宋体" w:hAnsi="宋体" w:cs="宋体" w:eastAsia="宋体" w:hint="default"/>
          <w:sz w:val="24"/>
          <w:szCs w:val="24"/>
        </w:rPr>
        <w:t>ERP-NC：NC</w:t>
      </w:r>
      <w:r>
        <w:rPr>
          <w:rFonts w:ascii="宋体" w:hAnsi="宋体" w:cs="宋体" w:eastAsia="宋体" w:hint="default"/>
          <w:spacing w:val="-59"/>
          <w:sz w:val="24"/>
          <w:szCs w:val="24"/>
        </w:rPr>
        <w:t> </w:t>
      </w:r>
      <w:r>
        <w:rPr>
          <w:rFonts w:ascii="宋体" w:hAnsi="宋体" w:cs="宋体" w:eastAsia="宋体" w:hint="default"/>
          <w:sz w:val="24"/>
          <w:szCs w:val="24"/>
        </w:rPr>
        <w:t>是“新世纪”（New Century）的英文缩写，公司推出的面向</w:t>
      </w:r>
      <w:r>
        <w:rPr>
          <w:rFonts w:ascii="宋体" w:hAnsi="宋体" w:cs="宋体" w:eastAsia="宋体" w:hint="default"/>
          <w:sz w:val="24"/>
          <w:szCs w:val="24"/>
        </w:rPr>
        <w:t> 大型用户的企业应用软件系列产品名称。</w:t>
      </w:r>
    </w:p>
    <w:p>
      <w:pPr>
        <w:spacing w:line="240" w:lineRule="auto" w:before="7"/>
        <w:rPr>
          <w:rFonts w:ascii="宋体" w:hAnsi="宋体" w:cs="宋体" w:eastAsia="宋体" w:hint="default"/>
          <w:sz w:val="8"/>
          <w:szCs w:val="8"/>
        </w:rPr>
      </w:pPr>
    </w:p>
    <w:p>
      <w:pPr>
        <w:tabs>
          <w:tab w:pos="1220" w:val="left" w:leader="none"/>
        </w:tabs>
        <w:spacing w:before="26"/>
        <w:ind w:left="623" w:right="83" w:firstLine="0"/>
        <w:jc w:val="left"/>
        <w:rPr>
          <w:rFonts w:ascii="宋体" w:hAnsi="宋体" w:cs="宋体" w:eastAsia="宋体" w:hint="default"/>
          <w:sz w:val="24"/>
          <w:szCs w:val="24"/>
        </w:rPr>
      </w:pPr>
      <w:r>
        <w:rPr>
          <w:rFonts w:ascii="宋体" w:hAnsi="宋体" w:cs="宋体" w:eastAsia="宋体" w:hint="default"/>
          <w:sz w:val="24"/>
          <w:szCs w:val="24"/>
        </w:rPr>
        <w:t>5、</w:t>
        <w:tab/>
        <w:t>用友</w:t>
      </w:r>
      <w:r>
        <w:rPr>
          <w:rFonts w:ascii="宋体" w:hAnsi="宋体" w:cs="宋体" w:eastAsia="宋体" w:hint="default"/>
          <w:spacing w:val="34"/>
          <w:sz w:val="24"/>
          <w:szCs w:val="24"/>
        </w:rPr>
        <w:t> </w:t>
      </w:r>
      <w:r>
        <w:rPr>
          <w:rFonts w:ascii="宋体" w:hAnsi="宋体" w:cs="宋体" w:eastAsia="宋体" w:hint="default"/>
          <w:spacing w:val="2"/>
          <w:sz w:val="24"/>
          <w:szCs w:val="24"/>
        </w:rPr>
        <w:t>ERP-U8：公司推出的面向中型及中小型用户的企业应用软件系列产品名</w:t>
      </w:r>
      <w:r>
        <w:rPr>
          <w:rFonts w:ascii="宋体" w:hAnsi="宋体" w:cs="宋体" w:eastAsia="宋体" w:hint="default"/>
          <w:sz w:val="24"/>
          <w:szCs w:val="24"/>
        </w:rPr>
      </w:r>
    </w:p>
    <w:p>
      <w:pPr>
        <w:spacing w:before="74"/>
        <w:ind w:left="140" w:right="220" w:firstLine="0"/>
        <w:jc w:val="left"/>
        <w:rPr>
          <w:rFonts w:ascii="宋体" w:hAnsi="宋体" w:cs="宋体" w:eastAsia="宋体" w:hint="default"/>
          <w:sz w:val="24"/>
          <w:szCs w:val="24"/>
        </w:rPr>
      </w:pPr>
      <w:r>
        <w:rPr>
          <w:rFonts w:ascii="宋体" w:hAnsi="宋体" w:cs="宋体" w:eastAsia="宋体" w:hint="default"/>
          <w:sz w:val="24"/>
          <w:szCs w:val="24"/>
        </w:rPr>
        <w:t>称。</w:t>
      </w:r>
    </w:p>
    <w:p>
      <w:pPr>
        <w:spacing w:line="240" w:lineRule="auto" w:before="12"/>
        <w:rPr>
          <w:rFonts w:ascii="宋体" w:hAnsi="宋体" w:cs="宋体" w:eastAsia="宋体" w:hint="default"/>
          <w:sz w:val="12"/>
          <w:szCs w:val="12"/>
        </w:rPr>
      </w:pPr>
    </w:p>
    <w:p>
      <w:pPr>
        <w:tabs>
          <w:tab w:pos="1220" w:val="left" w:leader="none"/>
        </w:tabs>
        <w:spacing w:before="26"/>
        <w:ind w:left="623" w:right="220" w:firstLine="0"/>
        <w:jc w:val="left"/>
        <w:rPr>
          <w:rFonts w:ascii="宋体" w:hAnsi="宋体" w:cs="宋体" w:eastAsia="宋体" w:hint="default"/>
          <w:sz w:val="24"/>
          <w:szCs w:val="24"/>
        </w:rPr>
      </w:pPr>
      <w:r>
        <w:rPr>
          <w:rFonts w:ascii="宋体" w:hAnsi="宋体" w:cs="宋体" w:eastAsia="宋体" w:hint="default"/>
          <w:sz w:val="24"/>
          <w:szCs w:val="24"/>
        </w:rPr>
        <w:t>6、</w:t>
        <w:tab/>
        <w:t>UFIDA U9：公司推出的面向中高端</w:t>
      </w:r>
      <w:r>
        <w:rPr>
          <w:rFonts w:ascii="宋体" w:hAnsi="宋体" w:cs="宋体" w:eastAsia="宋体" w:hint="default"/>
          <w:spacing w:val="-60"/>
          <w:sz w:val="24"/>
          <w:szCs w:val="24"/>
        </w:rPr>
        <w:t> </w:t>
      </w:r>
      <w:r>
        <w:rPr>
          <w:rFonts w:ascii="宋体" w:hAnsi="宋体" w:cs="宋体" w:eastAsia="宋体" w:hint="default"/>
          <w:sz w:val="24"/>
          <w:szCs w:val="24"/>
        </w:rPr>
        <w:t>ERP</w:t>
      </w:r>
      <w:r>
        <w:rPr>
          <w:rFonts w:ascii="宋体" w:hAnsi="宋体" w:cs="宋体" w:eastAsia="宋体" w:hint="default"/>
          <w:spacing w:val="-60"/>
          <w:sz w:val="24"/>
          <w:szCs w:val="24"/>
        </w:rPr>
        <w:t> </w:t>
      </w:r>
      <w:r>
        <w:rPr>
          <w:rFonts w:ascii="宋体" w:hAnsi="宋体" w:cs="宋体" w:eastAsia="宋体" w:hint="default"/>
          <w:sz w:val="24"/>
          <w:szCs w:val="24"/>
        </w:rPr>
        <w:t>用户的企业应用软件系列产品名称。</w:t>
      </w:r>
    </w:p>
    <w:p>
      <w:pPr>
        <w:tabs>
          <w:tab w:pos="1220" w:val="left" w:leader="none"/>
        </w:tabs>
        <w:spacing w:line="388" w:lineRule="auto" w:before="196"/>
        <w:ind w:left="623" w:right="219" w:firstLine="0"/>
        <w:jc w:val="left"/>
        <w:rPr>
          <w:rFonts w:ascii="宋体" w:hAnsi="宋体" w:cs="宋体" w:eastAsia="宋体" w:hint="default"/>
          <w:sz w:val="24"/>
          <w:szCs w:val="24"/>
        </w:rPr>
      </w:pPr>
      <w:r>
        <w:rPr>
          <w:rFonts w:ascii="宋体" w:hAnsi="宋体" w:cs="宋体" w:eastAsia="宋体" w:hint="default"/>
          <w:sz w:val="24"/>
          <w:szCs w:val="24"/>
        </w:rPr>
        <w:t>7、</w:t>
        <w:tab/>
        <w:t>用友</w:t>
      </w:r>
      <w:r>
        <w:rPr>
          <w:rFonts w:ascii="宋体" w:hAnsi="宋体" w:cs="宋体" w:eastAsia="宋体" w:hint="default"/>
          <w:spacing w:val="-60"/>
          <w:sz w:val="24"/>
          <w:szCs w:val="24"/>
        </w:rPr>
        <w:t> </w:t>
      </w:r>
      <w:r>
        <w:rPr>
          <w:rFonts w:ascii="宋体" w:hAnsi="宋体" w:cs="宋体" w:eastAsia="宋体" w:hint="default"/>
          <w:sz w:val="24"/>
          <w:szCs w:val="24"/>
        </w:rPr>
        <w:t>T</w:t>
      </w:r>
      <w:r>
        <w:rPr>
          <w:rFonts w:ascii="宋体" w:hAnsi="宋体" w:cs="宋体" w:eastAsia="宋体" w:hint="default"/>
          <w:spacing w:val="-60"/>
          <w:sz w:val="24"/>
          <w:szCs w:val="24"/>
        </w:rPr>
        <w:t> </w:t>
      </w:r>
      <w:r>
        <w:rPr>
          <w:rFonts w:ascii="宋体" w:hAnsi="宋体" w:cs="宋体" w:eastAsia="宋体" w:hint="default"/>
          <w:sz w:val="24"/>
          <w:szCs w:val="24"/>
        </w:rPr>
        <w:t>系列产品：公司推出的面向中小型用户的企业应用软件系列产品名称。</w:t>
      </w:r>
      <w:r>
        <w:rPr>
          <w:rFonts w:ascii="宋体" w:hAnsi="宋体" w:cs="宋体" w:eastAsia="宋体" w:hint="default"/>
          <w:sz w:val="24"/>
          <w:szCs w:val="24"/>
        </w:rPr>
        <w:t> 8、</w:t>
        <w:tab/>
        <w:t>CRM：“客户关系管理软件”（Customer</w:t>
      </w:r>
      <w:r>
        <w:rPr>
          <w:rFonts w:ascii="宋体" w:hAnsi="宋体" w:cs="宋体" w:eastAsia="宋体" w:hint="default"/>
          <w:spacing w:val="-59"/>
          <w:sz w:val="24"/>
          <w:szCs w:val="24"/>
        </w:rPr>
        <w:t> </w:t>
      </w:r>
      <w:r>
        <w:rPr>
          <w:rFonts w:ascii="宋体" w:hAnsi="宋体" w:cs="宋体" w:eastAsia="宋体" w:hint="default"/>
          <w:sz w:val="24"/>
          <w:szCs w:val="24"/>
        </w:rPr>
        <w:t>Relationship</w:t>
      </w:r>
      <w:r>
        <w:rPr>
          <w:rFonts w:ascii="宋体" w:hAnsi="宋体" w:cs="宋体" w:eastAsia="宋体" w:hint="default"/>
          <w:spacing w:val="-59"/>
          <w:sz w:val="24"/>
          <w:szCs w:val="24"/>
        </w:rPr>
        <w:t> </w:t>
      </w:r>
      <w:r>
        <w:rPr>
          <w:rFonts w:ascii="宋体" w:hAnsi="宋体" w:cs="宋体" w:eastAsia="宋体" w:hint="default"/>
          <w:sz w:val="24"/>
          <w:szCs w:val="24"/>
        </w:rPr>
        <w:t>Management）的英文缩</w:t>
      </w:r>
    </w:p>
    <w:p>
      <w:pPr>
        <w:spacing w:line="240" w:lineRule="exact" w:before="0"/>
        <w:ind w:left="140" w:right="220" w:firstLine="0"/>
        <w:jc w:val="left"/>
        <w:rPr>
          <w:rFonts w:ascii="宋体" w:hAnsi="宋体" w:cs="宋体" w:eastAsia="宋体" w:hint="default"/>
          <w:sz w:val="24"/>
          <w:szCs w:val="24"/>
        </w:rPr>
      </w:pPr>
      <w:r>
        <w:rPr>
          <w:rFonts w:ascii="宋体" w:hAnsi="宋体" w:cs="宋体" w:eastAsia="宋体" w:hint="default"/>
          <w:sz w:val="24"/>
          <w:szCs w:val="24"/>
        </w:rPr>
        <w:t>写，是一种企业应用软件系统。</w:t>
      </w:r>
    </w:p>
    <w:p>
      <w:pPr>
        <w:tabs>
          <w:tab w:pos="1220" w:val="left" w:leader="none"/>
        </w:tabs>
        <w:spacing w:line="297" w:lineRule="auto" w:before="194"/>
        <w:ind w:left="140" w:right="219" w:firstLine="482"/>
        <w:jc w:val="left"/>
        <w:rPr>
          <w:rFonts w:ascii="宋体" w:hAnsi="宋体" w:cs="宋体" w:eastAsia="宋体" w:hint="default"/>
          <w:sz w:val="24"/>
          <w:szCs w:val="24"/>
        </w:rPr>
      </w:pPr>
      <w:r>
        <w:rPr>
          <w:rFonts w:ascii="宋体" w:hAnsi="宋体" w:cs="宋体" w:eastAsia="宋体" w:hint="default"/>
          <w:sz w:val="24"/>
          <w:szCs w:val="24"/>
        </w:rPr>
        <w:t>9、</w:t>
        <w:tab/>
        <w:t>PLM：“产品生命周期管理软件”（Product</w:t>
      </w:r>
      <w:r>
        <w:rPr>
          <w:rFonts w:ascii="宋体" w:hAnsi="宋体" w:cs="宋体" w:eastAsia="宋体" w:hint="default"/>
          <w:spacing w:val="-59"/>
          <w:sz w:val="24"/>
          <w:szCs w:val="24"/>
        </w:rPr>
        <w:t> </w:t>
      </w:r>
      <w:r>
        <w:rPr>
          <w:rFonts w:ascii="宋体" w:hAnsi="宋体" w:cs="宋体" w:eastAsia="宋体" w:hint="default"/>
          <w:sz w:val="24"/>
          <w:szCs w:val="24"/>
        </w:rPr>
        <w:t>Lifecycle</w:t>
      </w:r>
      <w:r>
        <w:rPr>
          <w:rFonts w:ascii="宋体" w:hAnsi="宋体" w:cs="宋体" w:eastAsia="宋体" w:hint="default"/>
          <w:spacing w:val="-59"/>
          <w:sz w:val="24"/>
          <w:szCs w:val="24"/>
        </w:rPr>
        <w:t> </w:t>
      </w:r>
      <w:r>
        <w:rPr>
          <w:rFonts w:ascii="宋体" w:hAnsi="宋体" w:cs="宋体" w:eastAsia="宋体" w:hint="default"/>
          <w:sz w:val="24"/>
          <w:szCs w:val="24"/>
        </w:rPr>
        <w:t>Management）的英文缩</w:t>
      </w:r>
      <w:r>
        <w:rPr>
          <w:rFonts w:ascii="宋体" w:hAnsi="宋体" w:cs="宋体" w:eastAsia="宋体" w:hint="default"/>
          <w:sz w:val="24"/>
          <w:szCs w:val="24"/>
        </w:rPr>
        <w:t> 写，是一种支持产品全生命周期信息创建、管理、分发和应用的解决方案。</w:t>
      </w:r>
    </w:p>
    <w:p>
      <w:pPr>
        <w:spacing w:line="297" w:lineRule="auto" w:before="137"/>
        <w:ind w:left="140" w:right="205" w:firstLine="482"/>
        <w:jc w:val="left"/>
        <w:rPr>
          <w:rFonts w:ascii="宋体" w:hAnsi="宋体" w:cs="宋体" w:eastAsia="宋体" w:hint="default"/>
          <w:sz w:val="24"/>
          <w:szCs w:val="24"/>
        </w:rPr>
      </w:pPr>
      <w:r>
        <w:rPr>
          <w:rFonts w:ascii="宋体" w:hAnsi="宋体" w:cs="宋体" w:eastAsia="宋体" w:hint="default"/>
          <w:sz w:val="24"/>
          <w:szCs w:val="24"/>
        </w:rPr>
        <w:t>10、 PDM：“产品数据管理”（Product Data</w:t>
      </w:r>
      <w:r>
        <w:rPr>
          <w:rFonts w:ascii="宋体" w:hAnsi="宋体" w:cs="宋体" w:eastAsia="宋体" w:hint="default"/>
          <w:spacing w:val="-3"/>
          <w:sz w:val="24"/>
          <w:szCs w:val="24"/>
        </w:rPr>
        <w:t> </w:t>
      </w:r>
      <w:r>
        <w:rPr>
          <w:rFonts w:ascii="宋体" w:hAnsi="宋体" w:cs="宋体" w:eastAsia="宋体" w:hint="default"/>
          <w:sz w:val="24"/>
          <w:szCs w:val="24"/>
        </w:rPr>
        <w:t>Management）的英文缩写，是一种以</w:t>
      </w:r>
      <w:r>
        <w:rPr>
          <w:rFonts w:ascii="宋体" w:hAnsi="宋体" w:cs="宋体" w:eastAsia="宋体" w:hint="default"/>
          <w:sz w:val="24"/>
          <w:szCs w:val="24"/>
        </w:rPr>
        <w:t> 产品为核心，对产品相关的数据、过程、资源一体化集成管理的系统。</w:t>
      </w:r>
    </w:p>
    <w:p>
      <w:pPr>
        <w:spacing w:line="297" w:lineRule="auto" w:before="137"/>
        <w:ind w:left="140" w:right="203" w:firstLine="482"/>
        <w:jc w:val="left"/>
        <w:rPr>
          <w:rFonts w:ascii="宋体" w:hAnsi="宋体" w:cs="宋体" w:eastAsia="宋体" w:hint="default"/>
          <w:sz w:val="24"/>
          <w:szCs w:val="24"/>
        </w:rPr>
      </w:pPr>
      <w:r>
        <w:rPr>
          <w:rFonts w:ascii="宋体" w:hAnsi="宋体" w:cs="宋体" w:eastAsia="宋体" w:hint="default"/>
          <w:sz w:val="24"/>
          <w:szCs w:val="24"/>
        </w:rPr>
        <w:t>11、</w:t>
      </w:r>
      <w:r>
        <w:rPr>
          <w:rFonts w:ascii="宋体" w:hAnsi="宋体" w:cs="宋体" w:eastAsia="宋体" w:hint="default"/>
          <w:spacing w:val="-3"/>
          <w:sz w:val="24"/>
          <w:szCs w:val="24"/>
        </w:rPr>
        <w:t> </w:t>
      </w:r>
      <w:r>
        <w:rPr>
          <w:rFonts w:ascii="宋体" w:hAnsi="宋体" w:cs="宋体" w:eastAsia="宋体" w:hint="default"/>
          <w:sz w:val="24"/>
          <w:szCs w:val="24"/>
        </w:rPr>
        <w:t>CPD：“集成产品开发”（Collaborative</w:t>
      </w:r>
      <w:r>
        <w:rPr>
          <w:rFonts w:ascii="宋体" w:hAnsi="宋体" w:cs="宋体" w:eastAsia="宋体" w:hint="default"/>
          <w:spacing w:val="-59"/>
          <w:sz w:val="24"/>
          <w:szCs w:val="24"/>
        </w:rPr>
        <w:t> </w:t>
      </w:r>
      <w:r>
        <w:rPr>
          <w:rFonts w:ascii="宋体" w:hAnsi="宋体" w:cs="宋体" w:eastAsia="宋体" w:hint="default"/>
          <w:sz w:val="24"/>
          <w:szCs w:val="24"/>
        </w:rPr>
        <w:t>Product</w:t>
      </w:r>
      <w:r>
        <w:rPr>
          <w:rFonts w:ascii="宋体" w:hAnsi="宋体" w:cs="宋体" w:eastAsia="宋体" w:hint="default"/>
          <w:spacing w:val="-59"/>
          <w:sz w:val="24"/>
          <w:szCs w:val="24"/>
        </w:rPr>
        <w:t> </w:t>
      </w:r>
      <w:r>
        <w:rPr>
          <w:rFonts w:ascii="宋体" w:hAnsi="宋体" w:cs="宋体" w:eastAsia="宋体" w:hint="default"/>
          <w:sz w:val="24"/>
          <w:szCs w:val="24"/>
        </w:rPr>
        <w:t>Development）的英文缩写,</w:t>
      </w:r>
      <w:r>
        <w:rPr>
          <w:rFonts w:ascii="宋体" w:hAnsi="宋体" w:cs="宋体" w:eastAsia="宋体" w:hint="default"/>
          <w:sz w:val="24"/>
          <w:szCs w:val="24"/>
        </w:rPr>
        <w:t> 是一种产品开发管理的应用系统。</w:t>
      </w:r>
    </w:p>
    <w:p>
      <w:pPr>
        <w:spacing w:line="297" w:lineRule="auto" w:before="138"/>
        <w:ind w:left="140" w:right="83" w:firstLine="482"/>
        <w:jc w:val="left"/>
        <w:rPr>
          <w:rFonts w:ascii="宋体" w:hAnsi="宋体" w:cs="宋体" w:eastAsia="宋体" w:hint="default"/>
          <w:sz w:val="24"/>
          <w:szCs w:val="24"/>
        </w:rPr>
      </w:pPr>
      <w:r>
        <w:rPr>
          <w:rFonts w:ascii="宋体" w:hAnsi="宋体" w:cs="宋体" w:eastAsia="宋体" w:hint="default"/>
          <w:sz w:val="24"/>
          <w:szCs w:val="24"/>
        </w:rPr>
        <w:t>12、</w:t>
      </w:r>
      <w:r>
        <w:rPr>
          <w:rFonts w:ascii="宋体" w:hAnsi="宋体" w:cs="宋体" w:eastAsia="宋体" w:hint="default"/>
          <w:spacing w:val="-3"/>
          <w:sz w:val="24"/>
          <w:szCs w:val="24"/>
        </w:rPr>
        <w:t> </w:t>
      </w:r>
      <w:r>
        <w:rPr>
          <w:rFonts w:ascii="宋体" w:hAnsi="宋体" w:cs="宋体" w:eastAsia="宋体" w:hint="default"/>
          <w:sz w:val="24"/>
          <w:szCs w:val="24"/>
        </w:rPr>
        <w:t>用友</w:t>
      </w:r>
      <w:r>
        <w:rPr>
          <w:rFonts w:ascii="宋体" w:hAnsi="宋体" w:cs="宋体" w:eastAsia="宋体" w:hint="default"/>
          <w:spacing w:val="-60"/>
          <w:sz w:val="24"/>
          <w:szCs w:val="24"/>
        </w:rPr>
        <w:t> </w:t>
      </w:r>
      <w:r>
        <w:rPr>
          <w:rFonts w:ascii="宋体" w:hAnsi="宋体" w:cs="宋体" w:eastAsia="宋体" w:hint="default"/>
          <w:sz w:val="24"/>
          <w:szCs w:val="24"/>
        </w:rPr>
        <w:t>UAP：“统一应用平台”（Unified</w:t>
      </w:r>
      <w:r>
        <w:rPr>
          <w:rFonts w:ascii="宋体" w:hAnsi="宋体" w:cs="宋体" w:eastAsia="宋体" w:hint="default"/>
          <w:spacing w:val="-29"/>
          <w:sz w:val="24"/>
          <w:szCs w:val="24"/>
        </w:rPr>
        <w:t> </w:t>
      </w:r>
      <w:r>
        <w:rPr>
          <w:rFonts w:ascii="宋体" w:hAnsi="宋体" w:cs="宋体" w:eastAsia="宋体" w:hint="default"/>
          <w:sz w:val="24"/>
          <w:szCs w:val="24"/>
        </w:rPr>
        <w:t>Application</w:t>
      </w:r>
      <w:r>
        <w:rPr>
          <w:rFonts w:ascii="宋体" w:hAnsi="宋体" w:cs="宋体" w:eastAsia="宋体" w:hint="default"/>
          <w:spacing w:val="-29"/>
          <w:sz w:val="24"/>
          <w:szCs w:val="24"/>
        </w:rPr>
        <w:t> </w:t>
      </w:r>
      <w:r>
        <w:rPr>
          <w:rFonts w:ascii="宋体" w:hAnsi="宋体" w:cs="宋体" w:eastAsia="宋体" w:hint="default"/>
          <w:sz w:val="24"/>
          <w:szCs w:val="24"/>
        </w:rPr>
        <w:t>Platform）的英文缩写，</w:t>
      </w:r>
      <w:r>
        <w:rPr>
          <w:rFonts w:ascii="宋体" w:hAnsi="宋体" w:cs="宋体" w:eastAsia="宋体" w:hint="default"/>
          <w:sz w:val="24"/>
          <w:szCs w:val="24"/>
        </w:rPr>
        <w:t> 是公司开发的下一代企业管理软件产品的统一应用平台。</w:t>
      </w:r>
    </w:p>
    <w:p>
      <w:pPr>
        <w:spacing w:line="297" w:lineRule="auto" w:before="137"/>
        <w:ind w:left="140" w:right="205" w:firstLine="482"/>
        <w:jc w:val="left"/>
        <w:rPr>
          <w:rFonts w:ascii="宋体" w:hAnsi="宋体" w:cs="宋体" w:eastAsia="宋体" w:hint="default"/>
          <w:sz w:val="24"/>
          <w:szCs w:val="24"/>
        </w:rPr>
      </w:pPr>
      <w:r>
        <w:rPr>
          <w:rFonts w:ascii="宋体" w:hAnsi="宋体" w:cs="宋体" w:eastAsia="宋体" w:hint="default"/>
          <w:sz w:val="24"/>
          <w:szCs w:val="24"/>
        </w:rPr>
        <w:t>13、 EAM：“企业资产管理”（Enterprise Asset</w:t>
      </w:r>
      <w:r>
        <w:rPr>
          <w:rFonts w:ascii="宋体" w:hAnsi="宋体" w:cs="宋体" w:eastAsia="宋体" w:hint="default"/>
          <w:spacing w:val="-3"/>
          <w:sz w:val="24"/>
          <w:szCs w:val="24"/>
        </w:rPr>
        <w:t> </w:t>
      </w:r>
      <w:r>
        <w:rPr>
          <w:rFonts w:ascii="宋体" w:hAnsi="宋体" w:cs="宋体" w:eastAsia="宋体" w:hint="default"/>
          <w:sz w:val="24"/>
          <w:szCs w:val="24"/>
        </w:rPr>
        <w:t>Management）的英文缩写，是一</w:t>
      </w:r>
      <w:r>
        <w:rPr>
          <w:rFonts w:ascii="宋体" w:hAnsi="宋体" w:cs="宋体" w:eastAsia="宋体" w:hint="default"/>
          <w:sz w:val="24"/>
          <w:szCs w:val="24"/>
        </w:rPr>
        <w:t> 种企业应用软件系统。</w:t>
      </w:r>
    </w:p>
    <w:p>
      <w:pPr>
        <w:spacing w:before="138"/>
        <w:ind w:left="623" w:right="220" w:firstLine="0"/>
        <w:jc w:val="left"/>
        <w:rPr>
          <w:rFonts w:ascii="宋体" w:hAnsi="宋体" w:cs="宋体" w:eastAsia="宋体" w:hint="default"/>
          <w:sz w:val="24"/>
          <w:szCs w:val="24"/>
        </w:rPr>
      </w:pPr>
      <w:r>
        <w:rPr>
          <w:rFonts w:ascii="宋体" w:hAnsi="宋体" w:cs="宋体" w:eastAsia="宋体" w:hint="default"/>
          <w:sz w:val="24"/>
          <w:szCs w:val="24"/>
        </w:rPr>
        <w:t>14、 SAAS：“软件作为服务”（Software as a</w:t>
      </w:r>
      <w:r>
        <w:rPr>
          <w:rFonts w:ascii="宋体" w:hAnsi="宋体" w:cs="宋体" w:eastAsia="宋体" w:hint="default"/>
          <w:spacing w:val="-3"/>
          <w:sz w:val="24"/>
          <w:szCs w:val="24"/>
        </w:rPr>
        <w:t> </w:t>
      </w:r>
      <w:r>
        <w:rPr>
          <w:rFonts w:ascii="宋体" w:hAnsi="宋体" w:cs="宋体" w:eastAsia="宋体" w:hint="default"/>
          <w:sz w:val="24"/>
          <w:szCs w:val="24"/>
        </w:rPr>
        <w:t>Service）的英文缩写。</w:t>
      </w:r>
    </w:p>
    <w:p>
      <w:pPr>
        <w:spacing w:line="297" w:lineRule="auto" w:before="194"/>
        <w:ind w:left="140" w:right="205" w:firstLine="482"/>
        <w:jc w:val="left"/>
        <w:rPr>
          <w:rFonts w:ascii="宋体" w:hAnsi="宋体" w:cs="宋体" w:eastAsia="宋体" w:hint="default"/>
          <w:sz w:val="24"/>
          <w:szCs w:val="24"/>
        </w:rPr>
      </w:pPr>
      <w:r>
        <w:rPr>
          <w:rFonts w:ascii="宋体" w:hAnsi="宋体" w:cs="宋体" w:eastAsia="宋体" w:hint="default"/>
          <w:sz w:val="24"/>
          <w:szCs w:val="24"/>
        </w:rPr>
        <w:t>15、 SOA：“服务导向架构”（Service-Oriented</w:t>
      </w:r>
      <w:r>
        <w:rPr>
          <w:rFonts w:ascii="宋体" w:hAnsi="宋体" w:cs="宋体" w:eastAsia="宋体" w:hint="default"/>
          <w:spacing w:val="-3"/>
          <w:sz w:val="24"/>
          <w:szCs w:val="24"/>
        </w:rPr>
        <w:t> </w:t>
      </w:r>
      <w:r>
        <w:rPr>
          <w:rFonts w:ascii="宋体" w:hAnsi="宋体" w:cs="宋体" w:eastAsia="宋体" w:hint="default"/>
          <w:sz w:val="24"/>
          <w:szCs w:val="24"/>
        </w:rPr>
        <w:t>Architecture）的英文缩写，是</w:t>
      </w:r>
      <w:r>
        <w:rPr>
          <w:rFonts w:ascii="宋体" w:hAnsi="宋体" w:cs="宋体" w:eastAsia="宋体" w:hint="default"/>
          <w:sz w:val="24"/>
          <w:szCs w:val="24"/>
        </w:rPr>
        <w:t> 世界领先的面向服务的</w:t>
      </w:r>
      <w:r>
        <w:rPr>
          <w:rFonts w:ascii="宋体" w:hAnsi="宋体" w:cs="宋体" w:eastAsia="宋体" w:hint="default"/>
          <w:spacing w:val="-60"/>
          <w:sz w:val="24"/>
          <w:szCs w:val="24"/>
        </w:rPr>
        <w:t> </w:t>
      </w:r>
      <w:r>
        <w:rPr>
          <w:rFonts w:ascii="宋体" w:hAnsi="宋体" w:cs="宋体" w:eastAsia="宋体" w:hint="default"/>
          <w:sz w:val="24"/>
          <w:szCs w:val="24"/>
        </w:rPr>
        <w:t>IT</w:t>
      </w:r>
      <w:r>
        <w:rPr>
          <w:rFonts w:ascii="宋体" w:hAnsi="宋体" w:cs="宋体" w:eastAsia="宋体" w:hint="default"/>
          <w:spacing w:val="-60"/>
          <w:sz w:val="24"/>
          <w:szCs w:val="24"/>
        </w:rPr>
        <w:t> </w:t>
      </w:r>
      <w:r>
        <w:rPr>
          <w:rFonts w:ascii="宋体" w:hAnsi="宋体" w:cs="宋体" w:eastAsia="宋体" w:hint="default"/>
          <w:sz w:val="24"/>
          <w:szCs w:val="24"/>
        </w:rPr>
        <w:t>应用架构。</w:t>
      </w:r>
    </w:p>
    <w:p>
      <w:pPr>
        <w:spacing w:after="0" w:line="297" w:lineRule="auto"/>
        <w:jc w:val="left"/>
        <w:rPr>
          <w:rFonts w:ascii="宋体" w:hAnsi="宋体" w:cs="宋体" w:eastAsia="宋体" w:hint="default"/>
          <w:sz w:val="24"/>
          <w:szCs w:val="24"/>
        </w:rPr>
        <w:sectPr>
          <w:pgSz w:w="11910" w:h="16840"/>
          <w:pgMar w:header="720" w:footer="727" w:top="1080" w:bottom="920" w:left="1220" w:right="10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tabs>
          <w:tab w:pos="885" w:val="left" w:leader="none"/>
        </w:tabs>
        <w:spacing w:line="540" w:lineRule="exact" w:before="0"/>
        <w:ind w:left="0" w:right="1" w:firstLine="0"/>
        <w:jc w:val="center"/>
        <w:rPr>
          <w:rFonts w:ascii="宋体" w:hAnsi="宋体" w:cs="宋体" w:eastAsia="宋体" w:hint="default"/>
          <w:sz w:val="44"/>
          <w:szCs w:val="44"/>
        </w:rPr>
      </w:pPr>
      <w:r>
        <w:rPr>
          <w:rFonts w:ascii="宋体" w:hAnsi="宋体" w:cs="宋体" w:eastAsia="宋体" w:hint="default"/>
          <w:b/>
          <w:bCs/>
          <w:w w:val="95"/>
          <w:sz w:val="44"/>
          <w:szCs w:val="44"/>
        </w:rPr>
        <w:t>目</w:t>
        <w:tab/>
      </w:r>
      <w:r>
        <w:rPr>
          <w:rFonts w:ascii="宋体" w:hAnsi="宋体" w:cs="宋体" w:eastAsia="宋体" w:hint="default"/>
          <w:b/>
          <w:bCs/>
          <w:sz w:val="44"/>
          <w:szCs w:val="44"/>
        </w:rPr>
        <w:t>录</w:t>
      </w:r>
      <w:r>
        <w:rPr>
          <w:rFonts w:ascii="宋体" w:hAnsi="宋体" w:cs="宋体" w:eastAsia="宋体" w:hint="default"/>
          <w:sz w:val="44"/>
          <w:szCs w:val="44"/>
        </w:rPr>
      </w:r>
    </w:p>
    <w:p>
      <w:pPr>
        <w:spacing w:after="0" w:line="540" w:lineRule="exact"/>
        <w:jc w:val="center"/>
        <w:rPr>
          <w:rFonts w:ascii="宋体" w:hAnsi="宋体" w:cs="宋体" w:eastAsia="宋体" w:hint="default"/>
          <w:sz w:val="44"/>
          <w:szCs w:val="44"/>
        </w:rPr>
        <w:sectPr>
          <w:pgSz w:w="11910" w:h="16840"/>
          <w:pgMar w:header="720" w:footer="727" w:top="1080" w:bottom="1216" w:left="1220" w:right="1160"/>
        </w:sectPr>
      </w:pPr>
    </w:p>
    <w:sdt>
      <w:sdtPr>
        <w:docPartObj>
          <w:docPartGallery w:val="Table of Contents"/>
          <w:docPartUnique/>
        </w:docPartObj>
      </w:sdtPr>
      <w:sdtEndPr/>
      <w:sdtContent>
        <w:p>
          <w:pPr>
            <w:pStyle w:val="TOC1"/>
            <w:tabs>
              <w:tab w:pos="9195" w:val="left" w:leader="dot"/>
            </w:tabs>
            <w:spacing w:line="240" w:lineRule="auto" w:before="598"/>
            <w:ind w:left="140" w:right="140"/>
            <w:jc w:val="left"/>
          </w:pPr>
          <w:hyperlink w:history="true" w:anchor="_bookmark0">
            <w:r>
              <w:rPr/>
              <w:t>一、公司基本情况简介</w:t>
            </w:r>
          </w:hyperlink>
          <w:r>
            <w:rPr>
              <w:rFonts w:ascii="Times New Roman" w:hAnsi="Times New Roman" w:cs="Times New Roman" w:eastAsia="Times New Roman" w:hint="default"/>
            </w:rPr>
            <w:tab/>
          </w:r>
          <w:hyperlink w:history="true" w:anchor="_bookmark0">
            <w:r>
              <w:rPr/>
              <w:t>5</w:t>
            </w:r>
          </w:hyperlink>
        </w:p>
        <w:p>
          <w:pPr>
            <w:pStyle w:val="TOC1"/>
            <w:tabs>
              <w:tab w:pos="9195" w:val="left" w:leader="dot"/>
            </w:tabs>
            <w:spacing w:line="240" w:lineRule="auto"/>
            <w:ind w:left="140" w:right="140"/>
            <w:jc w:val="left"/>
          </w:pPr>
          <w:hyperlink w:history="true" w:anchor="_bookmark1">
            <w:r>
              <w:rPr/>
              <w:t>二、主要会计数据和指标</w:t>
            </w:r>
          </w:hyperlink>
          <w:r>
            <w:rPr>
              <w:rFonts w:ascii="Times New Roman" w:hAnsi="Times New Roman" w:cs="Times New Roman" w:eastAsia="Times New Roman" w:hint="default"/>
            </w:rPr>
            <w:tab/>
          </w:r>
          <w:hyperlink w:history="true" w:anchor="_bookmark1">
            <w:r>
              <w:rPr/>
              <w:t>7</w:t>
            </w:r>
          </w:hyperlink>
        </w:p>
        <w:p>
          <w:pPr>
            <w:pStyle w:val="TOC1"/>
            <w:tabs>
              <w:tab w:pos="9195" w:val="left" w:leader="dot"/>
            </w:tabs>
            <w:spacing w:line="240" w:lineRule="auto"/>
            <w:ind w:right="140"/>
            <w:jc w:val="left"/>
          </w:pPr>
          <w:hyperlink w:history="true" w:anchor="_bookmark1">
            <w:r>
              <w:rPr/>
              <w:t>(一) 主要会计数据</w:t>
            </w:r>
          </w:hyperlink>
          <w:r>
            <w:rPr>
              <w:rFonts w:ascii="Times New Roman" w:hAnsi="Times New Roman" w:cs="Times New Roman" w:eastAsia="Times New Roman" w:hint="default"/>
            </w:rPr>
            <w:tab/>
          </w:r>
          <w:hyperlink w:history="true" w:anchor="_bookmark1">
            <w:r>
              <w:rPr/>
              <w:t>7</w:t>
            </w:r>
          </w:hyperlink>
        </w:p>
        <w:p>
          <w:pPr>
            <w:pStyle w:val="TOC1"/>
            <w:tabs>
              <w:tab w:pos="9195" w:val="left" w:leader="dot"/>
            </w:tabs>
            <w:spacing w:line="240" w:lineRule="auto" w:before="76"/>
            <w:ind w:right="140"/>
            <w:jc w:val="left"/>
          </w:pPr>
          <w:hyperlink w:history="true" w:anchor="_bookmark1">
            <w:r>
              <w:rPr/>
              <w:t>(二) 非经常性损益项目和金额</w:t>
            </w:r>
          </w:hyperlink>
          <w:r>
            <w:rPr>
              <w:rFonts w:ascii="Times New Roman" w:hAnsi="Times New Roman" w:cs="Times New Roman" w:eastAsia="Times New Roman" w:hint="default"/>
            </w:rPr>
            <w:tab/>
          </w:r>
          <w:hyperlink w:history="true" w:anchor="_bookmark1">
            <w:r>
              <w:rPr/>
              <w:t>7</w:t>
            </w:r>
          </w:hyperlink>
        </w:p>
        <w:p>
          <w:pPr>
            <w:pStyle w:val="TOC1"/>
            <w:tabs>
              <w:tab w:pos="9195" w:val="left" w:leader="dot"/>
            </w:tabs>
            <w:spacing w:line="240" w:lineRule="auto"/>
            <w:ind w:right="140"/>
            <w:jc w:val="left"/>
          </w:pPr>
          <w:hyperlink w:history="true" w:anchor="_bookmark1">
            <w:r>
              <w:rPr/>
              <w:t>(三) 报告期末公司前三年主要会计数据和财务指标</w:t>
            </w:r>
          </w:hyperlink>
          <w:r>
            <w:rPr>
              <w:rFonts w:ascii="Times New Roman" w:hAnsi="Times New Roman" w:cs="Times New Roman" w:eastAsia="Times New Roman" w:hint="default"/>
            </w:rPr>
            <w:tab/>
          </w:r>
          <w:hyperlink w:history="true" w:anchor="_bookmark1">
            <w:r>
              <w:rPr/>
              <w:t>7</w:t>
            </w:r>
          </w:hyperlink>
        </w:p>
        <w:p>
          <w:pPr>
            <w:pStyle w:val="TOC1"/>
            <w:tabs>
              <w:tab w:pos="9195" w:val="left" w:leader="dot"/>
            </w:tabs>
            <w:spacing w:line="240" w:lineRule="auto"/>
            <w:ind w:right="140"/>
            <w:jc w:val="left"/>
          </w:pPr>
          <w:hyperlink w:history="true" w:anchor="_bookmark2">
            <w:r>
              <w:rPr/>
              <w:t>(四) 采用公允价值计量的项目</w:t>
            </w:r>
          </w:hyperlink>
          <w:r>
            <w:rPr>
              <w:rFonts w:ascii="Times New Roman" w:hAnsi="Times New Roman" w:cs="Times New Roman" w:eastAsia="Times New Roman" w:hint="default"/>
            </w:rPr>
            <w:tab/>
          </w:r>
          <w:hyperlink w:history="true" w:anchor="_bookmark2">
            <w:r>
              <w:rPr/>
              <w:t>8</w:t>
            </w:r>
          </w:hyperlink>
        </w:p>
        <w:p>
          <w:pPr>
            <w:pStyle w:val="TOC1"/>
            <w:tabs>
              <w:tab w:pos="9195" w:val="left" w:leader="dot"/>
            </w:tabs>
            <w:spacing w:line="240" w:lineRule="auto"/>
            <w:ind w:left="140" w:right="140"/>
            <w:jc w:val="left"/>
          </w:pPr>
          <w:hyperlink w:history="true" w:anchor="_bookmark3">
            <w:r>
              <w:rPr/>
              <w:t>三、股本变动及股东情况</w:t>
            </w:r>
          </w:hyperlink>
          <w:r>
            <w:rPr>
              <w:rFonts w:ascii="Times New Roman" w:hAnsi="Times New Roman" w:cs="Times New Roman" w:eastAsia="Times New Roman" w:hint="default"/>
            </w:rPr>
            <w:tab/>
          </w:r>
          <w:hyperlink w:history="true" w:anchor="_bookmark3">
            <w:r>
              <w:rPr/>
              <w:t>9</w:t>
            </w:r>
          </w:hyperlink>
        </w:p>
        <w:p>
          <w:pPr>
            <w:pStyle w:val="TOC1"/>
            <w:tabs>
              <w:tab w:pos="9195" w:val="left" w:leader="dot"/>
            </w:tabs>
            <w:spacing w:line="240" w:lineRule="auto" w:before="76"/>
            <w:ind w:right="140"/>
            <w:jc w:val="left"/>
          </w:pPr>
          <w:hyperlink w:history="true" w:anchor="_bookmark3">
            <w:r>
              <w:rPr/>
              <w:t>(一) 股本变动情况</w:t>
            </w:r>
          </w:hyperlink>
          <w:r>
            <w:rPr>
              <w:rFonts w:ascii="Times New Roman" w:hAnsi="Times New Roman" w:cs="Times New Roman" w:eastAsia="Times New Roman" w:hint="default"/>
            </w:rPr>
            <w:tab/>
          </w:r>
          <w:hyperlink w:history="true" w:anchor="_bookmark3">
            <w:r>
              <w:rPr/>
              <w:t>9</w:t>
            </w:r>
          </w:hyperlink>
        </w:p>
        <w:p>
          <w:pPr>
            <w:pStyle w:val="TOC1"/>
            <w:tabs>
              <w:tab w:pos="9075" w:val="left" w:leader="dot"/>
            </w:tabs>
            <w:spacing w:line="240" w:lineRule="auto"/>
            <w:ind w:right="140"/>
            <w:jc w:val="left"/>
          </w:pPr>
          <w:hyperlink w:history="true" w:anchor="_bookmark4">
            <w:r>
              <w:rPr/>
              <w:t>(二) 证券发行与上市情况</w:t>
            </w:r>
          </w:hyperlink>
          <w:r>
            <w:rPr>
              <w:rFonts w:ascii="Times New Roman" w:hAnsi="Times New Roman" w:cs="Times New Roman" w:eastAsia="Times New Roman" w:hint="default"/>
            </w:rPr>
            <w:tab/>
          </w:r>
          <w:hyperlink w:history="true" w:anchor="_bookmark4">
            <w:r>
              <w:rPr/>
              <w:t>11</w:t>
            </w:r>
          </w:hyperlink>
        </w:p>
        <w:p>
          <w:pPr>
            <w:pStyle w:val="TOC1"/>
            <w:tabs>
              <w:tab w:pos="9075" w:val="left" w:leader="dot"/>
            </w:tabs>
            <w:spacing w:line="240" w:lineRule="auto"/>
            <w:ind w:right="140"/>
            <w:jc w:val="left"/>
          </w:pPr>
          <w:hyperlink w:history="true" w:anchor="_bookmark4">
            <w:r>
              <w:rPr/>
              <w:t>(三) 股东和实际控制人情况</w:t>
            </w:r>
          </w:hyperlink>
          <w:r>
            <w:rPr>
              <w:rFonts w:ascii="Times New Roman" w:hAnsi="Times New Roman" w:cs="Times New Roman" w:eastAsia="Times New Roman" w:hint="default"/>
            </w:rPr>
            <w:tab/>
          </w:r>
          <w:hyperlink w:history="true" w:anchor="_bookmark4">
            <w:r>
              <w:rPr/>
              <w:t>11</w:t>
            </w:r>
          </w:hyperlink>
        </w:p>
        <w:p>
          <w:pPr>
            <w:pStyle w:val="TOC1"/>
            <w:tabs>
              <w:tab w:pos="9075" w:val="left" w:leader="dot"/>
            </w:tabs>
            <w:spacing w:line="240" w:lineRule="auto"/>
            <w:ind w:left="140" w:right="140"/>
            <w:jc w:val="left"/>
          </w:pPr>
          <w:hyperlink w:history="true" w:anchor="_bookmark5">
            <w:r>
              <w:rPr/>
              <w:t>四、董事、监事和高级管理人员</w:t>
            </w:r>
          </w:hyperlink>
          <w:r>
            <w:rPr>
              <w:rFonts w:ascii="Times New Roman" w:hAnsi="Times New Roman" w:cs="Times New Roman" w:eastAsia="Times New Roman" w:hint="default"/>
            </w:rPr>
            <w:tab/>
          </w:r>
          <w:hyperlink w:history="true" w:anchor="_bookmark5">
            <w:r>
              <w:rPr/>
              <w:t>14</w:t>
            </w:r>
          </w:hyperlink>
        </w:p>
        <w:p>
          <w:pPr>
            <w:pStyle w:val="TOC1"/>
            <w:tabs>
              <w:tab w:pos="9075" w:val="left" w:leader="dot"/>
            </w:tabs>
            <w:spacing w:line="240" w:lineRule="auto"/>
            <w:ind w:right="140"/>
            <w:jc w:val="left"/>
          </w:pPr>
          <w:hyperlink w:history="true" w:anchor="_bookmark5">
            <w:r>
              <w:rPr/>
              <w:t>(一) 董事、监事和高级管理人员持股变动及报酬情况</w:t>
            </w:r>
          </w:hyperlink>
          <w:r>
            <w:rPr>
              <w:rFonts w:ascii="Times New Roman" w:hAnsi="Times New Roman" w:cs="Times New Roman" w:eastAsia="Times New Roman" w:hint="default"/>
            </w:rPr>
            <w:tab/>
          </w:r>
          <w:hyperlink w:history="true" w:anchor="_bookmark5">
            <w:r>
              <w:rPr/>
              <w:t>14</w:t>
            </w:r>
          </w:hyperlink>
        </w:p>
        <w:p>
          <w:pPr>
            <w:pStyle w:val="TOC1"/>
            <w:tabs>
              <w:tab w:pos="9075" w:val="left" w:leader="dot"/>
            </w:tabs>
            <w:spacing w:line="240" w:lineRule="auto" w:before="76"/>
            <w:ind w:right="140"/>
            <w:jc w:val="left"/>
          </w:pPr>
          <w:hyperlink w:history="true" w:anchor="_bookmark6">
            <w:r>
              <w:rPr/>
              <w:t>(二) 在股东单位及其他单位任职情况</w:t>
            </w:r>
          </w:hyperlink>
          <w:r>
            <w:rPr>
              <w:rFonts w:ascii="Times New Roman" w:hAnsi="Times New Roman" w:cs="Times New Roman" w:eastAsia="Times New Roman" w:hint="default"/>
            </w:rPr>
            <w:tab/>
          </w:r>
          <w:hyperlink w:history="true" w:anchor="_bookmark6">
            <w:r>
              <w:rPr/>
              <w:t>19</w:t>
            </w:r>
          </w:hyperlink>
        </w:p>
        <w:p>
          <w:pPr>
            <w:pStyle w:val="TOC1"/>
            <w:tabs>
              <w:tab w:pos="9075" w:val="left" w:leader="dot"/>
            </w:tabs>
            <w:spacing w:line="240" w:lineRule="auto"/>
            <w:ind w:right="140"/>
            <w:jc w:val="left"/>
          </w:pPr>
          <w:hyperlink w:history="true" w:anchor="_bookmark7">
            <w:r>
              <w:rPr/>
              <w:t>(三) 董事、监事、高级管理人员报酬情况</w:t>
            </w:r>
          </w:hyperlink>
          <w:r>
            <w:rPr>
              <w:rFonts w:ascii="Times New Roman" w:hAnsi="Times New Roman" w:cs="Times New Roman" w:eastAsia="Times New Roman" w:hint="default"/>
            </w:rPr>
            <w:tab/>
          </w:r>
          <w:hyperlink w:history="true" w:anchor="_bookmark7">
            <w:r>
              <w:rPr/>
              <w:t>21</w:t>
            </w:r>
          </w:hyperlink>
        </w:p>
        <w:p>
          <w:pPr>
            <w:pStyle w:val="TOC1"/>
            <w:tabs>
              <w:tab w:pos="9075" w:val="left" w:leader="dot"/>
            </w:tabs>
            <w:spacing w:line="240" w:lineRule="auto"/>
            <w:ind w:right="140"/>
            <w:jc w:val="left"/>
          </w:pPr>
          <w:hyperlink w:history="true" w:anchor="_bookmark8">
            <w:r>
              <w:rPr/>
              <w:t>(四) 公司董事、监事、高级管理人员变动情况</w:t>
            </w:r>
          </w:hyperlink>
          <w:r>
            <w:rPr>
              <w:rFonts w:ascii="Times New Roman" w:hAnsi="Times New Roman" w:cs="Times New Roman" w:eastAsia="Times New Roman" w:hint="default"/>
            </w:rPr>
            <w:tab/>
          </w:r>
          <w:hyperlink w:history="true" w:anchor="_bookmark8">
            <w:r>
              <w:rPr/>
              <w:t>22</w:t>
            </w:r>
          </w:hyperlink>
        </w:p>
        <w:p>
          <w:pPr>
            <w:pStyle w:val="TOC1"/>
            <w:tabs>
              <w:tab w:pos="9075" w:val="left" w:leader="dot"/>
            </w:tabs>
            <w:spacing w:line="240" w:lineRule="auto"/>
            <w:ind w:right="140"/>
            <w:jc w:val="left"/>
          </w:pPr>
          <w:hyperlink w:history="true" w:anchor="_bookmark8">
            <w:r>
              <w:rPr/>
              <w:t>(五) 公司员工情况</w:t>
            </w:r>
          </w:hyperlink>
          <w:r>
            <w:rPr>
              <w:rFonts w:ascii="Times New Roman" w:hAnsi="Times New Roman" w:cs="Times New Roman" w:eastAsia="Times New Roman" w:hint="default"/>
            </w:rPr>
            <w:tab/>
          </w:r>
          <w:hyperlink w:history="true" w:anchor="_bookmark8">
            <w:r>
              <w:rPr/>
              <w:t>22</w:t>
            </w:r>
          </w:hyperlink>
        </w:p>
        <w:p>
          <w:pPr>
            <w:pStyle w:val="TOC1"/>
            <w:tabs>
              <w:tab w:pos="9075" w:val="left" w:leader="dot"/>
            </w:tabs>
            <w:spacing w:line="240" w:lineRule="auto" w:before="76"/>
            <w:ind w:left="140" w:right="140"/>
            <w:jc w:val="left"/>
          </w:pPr>
          <w:hyperlink w:history="true" w:anchor="_bookmark9">
            <w:r>
              <w:rPr/>
              <w:t>五、公司治理结构</w:t>
            </w:r>
          </w:hyperlink>
          <w:r>
            <w:rPr>
              <w:rFonts w:ascii="Times New Roman" w:hAnsi="Times New Roman" w:cs="Times New Roman" w:eastAsia="Times New Roman" w:hint="default"/>
            </w:rPr>
            <w:tab/>
          </w:r>
          <w:hyperlink w:history="true" w:anchor="_bookmark9">
            <w:r>
              <w:rPr/>
              <w:t>23</w:t>
            </w:r>
          </w:hyperlink>
        </w:p>
        <w:p>
          <w:pPr>
            <w:pStyle w:val="TOC1"/>
            <w:tabs>
              <w:tab w:pos="9075" w:val="left" w:leader="dot"/>
            </w:tabs>
            <w:spacing w:line="240" w:lineRule="auto"/>
            <w:ind w:right="140"/>
            <w:jc w:val="left"/>
          </w:pPr>
          <w:hyperlink w:history="true" w:anchor="_bookmark9">
            <w:r>
              <w:rPr/>
              <w:t>(一) 公司治理的情况</w:t>
            </w:r>
          </w:hyperlink>
          <w:r>
            <w:rPr>
              <w:rFonts w:ascii="Times New Roman" w:hAnsi="Times New Roman" w:cs="Times New Roman" w:eastAsia="Times New Roman" w:hint="default"/>
            </w:rPr>
            <w:tab/>
          </w:r>
          <w:hyperlink w:history="true" w:anchor="_bookmark9">
            <w:r>
              <w:rPr/>
              <w:t>23</w:t>
            </w:r>
          </w:hyperlink>
        </w:p>
        <w:p>
          <w:pPr>
            <w:pStyle w:val="TOC1"/>
            <w:tabs>
              <w:tab w:pos="9075" w:val="left" w:leader="dot"/>
            </w:tabs>
            <w:spacing w:line="240" w:lineRule="auto"/>
            <w:ind w:right="140"/>
            <w:jc w:val="left"/>
          </w:pPr>
          <w:hyperlink w:history="true" w:anchor="_bookmark10">
            <w:r>
              <w:rPr/>
              <w:t>(二) 董事履行职责情况</w:t>
            </w:r>
          </w:hyperlink>
          <w:r>
            <w:rPr>
              <w:rFonts w:ascii="Times New Roman" w:hAnsi="Times New Roman" w:cs="Times New Roman" w:eastAsia="Times New Roman" w:hint="default"/>
            </w:rPr>
            <w:tab/>
          </w:r>
          <w:hyperlink w:history="true" w:anchor="_bookmark10">
            <w:r>
              <w:rPr/>
              <w:t>24</w:t>
            </w:r>
          </w:hyperlink>
        </w:p>
        <w:p>
          <w:pPr>
            <w:pStyle w:val="TOC1"/>
            <w:tabs>
              <w:tab w:pos="9075" w:val="left" w:leader="dot"/>
            </w:tabs>
            <w:spacing w:line="297" w:lineRule="auto"/>
            <w:ind w:right="206"/>
            <w:jc w:val="left"/>
          </w:pPr>
          <w:r>
            <w:rPr/>
            <w:t>(三) 公司相对于控股股东在业务、人员、资产、机构、财务等方面的独立完整情况</w:t>
          </w:r>
          <w:r>
            <w:rPr>
              <w:spacing w:val="15"/>
            </w:rPr>
            <w:t> </w:t>
          </w:r>
          <w:r>
            <w:rPr/>
            <w:t>24</w:t>
          </w:r>
          <w:r>
            <w:rPr/>
            <w:t> (四) 公司内部控制制度的建立健全情况</w:t>
          </w:r>
          <w:r>
            <w:rPr>
              <w:rFonts w:ascii="Times New Roman" w:hAnsi="Times New Roman" w:cs="Times New Roman" w:eastAsia="Times New Roman" w:hint="default"/>
            </w:rPr>
            <w:tab/>
          </w:r>
          <w:r>
            <w:rPr/>
            <w:t>25</w:t>
          </w:r>
        </w:p>
        <w:p>
          <w:pPr>
            <w:pStyle w:val="TOC1"/>
            <w:tabs>
              <w:tab w:pos="9075" w:val="left" w:leader="dot"/>
            </w:tabs>
            <w:spacing w:line="240" w:lineRule="auto" w:before="18"/>
            <w:ind w:right="140"/>
            <w:jc w:val="left"/>
          </w:pPr>
          <w:r>
            <w:rPr/>
            <w:t>(五) 高级管理人员的考评及激励情况</w:t>
          </w:r>
          <w:r>
            <w:rPr>
              <w:rFonts w:ascii="Times New Roman" w:hAnsi="Times New Roman" w:cs="Times New Roman" w:eastAsia="Times New Roman" w:hint="default"/>
            </w:rPr>
            <w:tab/>
          </w:r>
          <w:r>
            <w:rPr/>
            <w:t>27</w:t>
          </w:r>
        </w:p>
        <w:p>
          <w:pPr>
            <w:pStyle w:val="TOC1"/>
            <w:tabs>
              <w:tab w:pos="9075" w:val="left" w:leader="dot"/>
            </w:tabs>
            <w:spacing w:line="240" w:lineRule="auto"/>
            <w:ind w:right="140"/>
            <w:jc w:val="left"/>
          </w:pPr>
          <w:r>
            <w:rPr/>
            <w:t>(六) 内部控制的自我评价报告和履行社会责任报告情况</w:t>
          </w:r>
          <w:r>
            <w:rPr>
              <w:rFonts w:ascii="Times New Roman" w:hAnsi="Times New Roman" w:cs="Times New Roman" w:eastAsia="Times New Roman" w:hint="default"/>
            </w:rPr>
            <w:tab/>
          </w:r>
          <w:r>
            <w:rPr/>
            <w:t>28</w:t>
          </w:r>
        </w:p>
        <w:p>
          <w:pPr>
            <w:pStyle w:val="TOC1"/>
            <w:tabs>
              <w:tab w:pos="9075" w:val="left" w:leader="dot"/>
            </w:tabs>
            <w:spacing w:line="240" w:lineRule="auto"/>
            <w:ind w:right="140"/>
            <w:jc w:val="left"/>
          </w:pPr>
          <w:hyperlink w:history="true" w:anchor="_TOC_250017">
            <w:r>
              <w:rPr/>
              <w:t>(七) 公司建立年报信息披露重大差错责任追究制度的情况</w:t>
            </w:r>
            <w:r>
              <w:rPr>
                <w:rFonts w:ascii="Times New Roman" w:hAnsi="Times New Roman" w:cs="Times New Roman" w:eastAsia="Times New Roman" w:hint="default"/>
              </w:rPr>
              <w:tab/>
            </w:r>
            <w:r>
              <w:rPr/>
              <w:t>28</w:t>
            </w:r>
          </w:hyperlink>
        </w:p>
        <w:p>
          <w:pPr>
            <w:pStyle w:val="TOC1"/>
            <w:tabs>
              <w:tab w:pos="9075" w:val="left" w:leader="dot"/>
            </w:tabs>
            <w:spacing w:line="240" w:lineRule="auto"/>
            <w:ind w:left="140" w:right="140"/>
            <w:jc w:val="left"/>
          </w:pPr>
          <w:hyperlink w:history="true" w:anchor="_TOC_250016">
            <w:r>
              <w:rPr/>
              <w:t>六、股东大会情况简介</w:t>
            </w:r>
            <w:r>
              <w:rPr>
                <w:rFonts w:ascii="Times New Roman" w:hAnsi="Times New Roman" w:cs="Times New Roman" w:eastAsia="Times New Roman" w:hint="default"/>
              </w:rPr>
              <w:tab/>
            </w:r>
            <w:r>
              <w:rPr/>
              <w:t>29</w:t>
            </w:r>
          </w:hyperlink>
        </w:p>
        <w:p>
          <w:pPr>
            <w:pStyle w:val="TOC1"/>
            <w:tabs>
              <w:tab w:pos="9075" w:val="left" w:leader="dot"/>
            </w:tabs>
            <w:spacing w:line="240" w:lineRule="auto" w:before="76"/>
            <w:ind w:right="140"/>
            <w:jc w:val="left"/>
          </w:pPr>
          <w:hyperlink w:history="true" w:anchor="_TOC_250015">
            <w:r>
              <w:rPr/>
              <w:t>(一) 年度股东大会情况</w:t>
            </w:r>
            <w:r>
              <w:rPr>
                <w:rFonts w:ascii="Times New Roman" w:hAnsi="Times New Roman" w:cs="Times New Roman" w:eastAsia="Times New Roman" w:hint="default"/>
              </w:rPr>
              <w:tab/>
            </w:r>
            <w:r>
              <w:rPr/>
              <w:t>29</w:t>
            </w:r>
          </w:hyperlink>
        </w:p>
        <w:p>
          <w:pPr>
            <w:pStyle w:val="TOC1"/>
            <w:tabs>
              <w:tab w:pos="9075" w:val="left" w:leader="dot"/>
            </w:tabs>
            <w:spacing w:line="240" w:lineRule="auto"/>
            <w:ind w:right="140"/>
            <w:jc w:val="left"/>
          </w:pPr>
          <w:hyperlink w:history="true" w:anchor="_TOC_250014">
            <w:r>
              <w:rPr/>
              <w:t>(二) 临时股东大会情况</w:t>
            </w:r>
            <w:r>
              <w:rPr>
                <w:rFonts w:ascii="Times New Roman" w:hAnsi="Times New Roman" w:cs="Times New Roman" w:eastAsia="Times New Roman" w:hint="default"/>
              </w:rPr>
              <w:tab/>
            </w:r>
            <w:r>
              <w:rPr/>
              <w:t>29</w:t>
            </w:r>
          </w:hyperlink>
        </w:p>
        <w:p>
          <w:pPr>
            <w:pStyle w:val="TOC1"/>
            <w:tabs>
              <w:tab w:pos="9075" w:val="left" w:leader="dot"/>
            </w:tabs>
            <w:spacing w:line="240" w:lineRule="auto"/>
            <w:ind w:left="140" w:right="140"/>
            <w:jc w:val="left"/>
          </w:pPr>
          <w:hyperlink w:history="true" w:anchor="_TOC_250013">
            <w:r>
              <w:rPr/>
              <w:t>七、董事会报告</w:t>
            </w:r>
            <w:r>
              <w:rPr>
                <w:rFonts w:ascii="Times New Roman" w:hAnsi="Times New Roman" w:cs="Times New Roman" w:eastAsia="Times New Roman" w:hint="default"/>
              </w:rPr>
              <w:tab/>
            </w:r>
            <w:r>
              <w:rPr/>
              <w:t>30</w:t>
            </w:r>
          </w:hyperlink>
        </w:p>
        <w:p>
          <w:pPr>
            <w:pStyle w:val="TOC1"/>
            <w:tabs>
              <w:tab w:pos="9075" w:val="left" w:leader="dot"/>
            </w:tabs>
            <w:spacing w:line="240" w:lineRule="auto"/>
            <w:ind w:right="140"/>
            <w:jc w:val="left"/>
          </w:pPr>
          <w:r>
            <w:rPr/>
            <w:t>(一) 报告期内公司经营情况的回顾</w:t>
          </w:r>
          <w:r>
            <w:rPr>
              <w:rFonts w:ascii="Times New Roman" w:hAnsi="Times New Roman" w:cs="Times New Roman" w:eastAsia="Times New Roman" w:hint="default"/>
            </w:rPr>
            <w:tab/>
          </w:r>
          <w:r>
            <w:rPr/>
            <w:t>30</w:t>
          </w:r>
        </w:p>
        <w:p>
          <w:pPr>
            <w:pStyle w:val="TOC1"/>
            <w:tabs>
              <w:tab w:pos="9075" w:val="left" w:leader="dot"/>
            </w:tabs>
            <w:spacing w:line="240" w:lineRule="auto"/>
            <w:ind w:right="140"/>
            <w:jc w:val="left"/>
          </w:pPr>
          <w:r>
            <w:rPr/>
            <w:t>(二) 公司新年度工作计划及对未来的展望</w:t>
          </w:r>
          <w:r>
            <w:rPr>
              <w:rFonts w:ascii="Times New Roman" w:hAnsi="Times New Roman" w:cs="Times New Roman" w:eastAsia="Times New Roman" w:hint="default"/>
            </w:rPr>
            <w:tab/>
          </w:r>
          <w:r>
            <w:rPr/>
            <w:t>42</w:t>
          </w:r>
        </w:p>
        <w:p>
          <w:pPr>
            <w:pStyle w:val="TOC1"/>
            <w:tabs>
              <w:tab w:pos="9075" w:val="left" w:leader="dot"/>
            </w:tabs>
            <w:spacing w:line="240" w:lineRule="auto" w:before="76"/>
            <w:ind w:right="140"/>
            <w:jc w:val="left"/>
          </w:pPr>
          <w:r>
            <w:rPr/>
            <w:t>(三) 公司投资情况</w:t>
          </w:r>
          <w:r>
            <w:rPr>
              <w:rFonts w:ascii="Times New Roman" w:hAnsi="Times New Roman" w:cs="Times New Roman" w:eastAsia="Times New Roman" w:hint="default"/>
            </w:rPr>
            <w:tab/>
          </w:r>
          <w:r>
            <w:rPr/>
            <w:t>42</w:t>
          </w:r>
        </w:p>
        <w:p>
          <w:pPr>
            <w:pStyle w:val="TOC1"/>
            <w:tabs>
              <w:tab w:pos="9075" w:val="left" w:leader="dot"/>
            </w:tabs>
            <w:spacing w:line="297" w:lineRule="auto"/>
            <w:ind w:left="140" w:right="140" w:firstLine="39"/>
            <w:jc w:val="left"/>
          </w:pPr>
          <w:hyperlink w:history="true" w:anchor="_TOC_250012">
            <w:r>
              <w:rPr/>
              <w:t>(四)</w:t>
            </w:r>
            <w:r>
              <w:rPr>
                <w:spacing w:val="-39"/>
              </w:rPr>
              <w:t> </w:t>
            </w:r>
            <w:r>
              <w:rPr/>
              <w:t>会计政策、会计估计变更、重大会计差错更正、重大遗漏信息补充以及业绩预告修</w:t>
            </w:r>
            <w:r>
              <w:rPr/>
              <w:t> 正</w:t>
            </w:r>
            <w:r>
              <w:rPr>
                <w:rFonts w:ascii="Times New Roman" w:hAnsi="Times New Roman" w:cs="Times New Roman" w:eastAsia="Times New Roman" w:hint="default"/>
              </w:rPr>
              <w:tab/>
            </w:r>
            <w:r>
              <w:rPr/>
              <w:t>43</w:t>
            </w:r>
          </w:hyperlink>
        </w:p>
        <w:p>
          <w:pPr>
            <w:pStyle w:val="TOC1"/>
            <w:tabs>
              <w:tab w:pos="9315" w:val="right" w:leader="dot"/>
            </w:tabs>
            <w:spacing w:line="240" w:lineRule="auto" w:before="312"/>
            <w:ind w:right="0"/>
            <w:jc w:val="left"/>
          </w:pPr>
          <w:r>
            <w:rPr/>
            <w:t>(五) 董事会日常工作情况</w:t>
          </w:r>
          <w:r>
            <w:rPr>
              <w:rFonts w:ascii="Times New Roman" w:hAnsi="Times New Roman" w:cs="Times New Roman" w:eastAsia="Times New Roman" w:hint="default"/>
            </w:rPr>
            <w:tab/>
          </w:r>
          <w:r>
            <w:rPr/>
            <w:t>43</w:t>
          </w:r>
        </w:p>
        <w:p>
          <w:pPr>
            <w:pStyle w:val="TOC1"/>
            <w:tabs>
              <w:tab w:pos="9315" w:val="right" w:leader="dot"/>
            </w:tabs>
            <w:spacing w:line="240" w:lineRule="auto"/>
            <w:ind w:right="0"/>
            <w:jc w:val="left"/>
          </w:pPr>
          <w:hyperlink w:history="true" w:anchor="_TOC_250011">
            <w:r>
              <w:rPr/>
              <w:t>(六) 本次利润分配议案及资本公积转增股本议案</w:t>
            </w:r>
            <w:r>
              <w:rPr>
                <w:rFonts w:ascii="Times New Roman" w:hAnsi="Times New Roman" w:cs="Times New Roman" w:eastAsia="Times New Roman" w:hint="default"/>
              </w:rPr>
              <w:tab/>
            </w:r>
            <w:r>
              <w:rPr/>
              <w:t>45</w:t>
            </w:r>
          </w:hyperlink>
        </w:p>
        <w:p>
          <w:pPr>
            <w:pStyle w:val="TOC1"/>
            <w:tabs>
              <w:tab w:pos="9315" w:val="right" w:leader="dot"/>
            </w:tabs>
            <w:spacing w:line="240" w:lineRule="auto"/>
            <w:ind w:right="0"/>
            <w:jc w:val="left"/>
          </w:pPr>
          <w:hyperlink w:history="true" w:anchor="_TOC_250010">
            <w:r>
              <w:rPr/>
              <w:t>(七) 公司前三年分红情况</w:t>
            </w:r>
            <w:r>
              <w:rPr>
                <w:rFonts w:ascii="Times New Roman" w:hAnsi="Times New Roman" w:cs="Times New Roman" w:eastAsia="Times New Roman" w:hint="default"/>
              </w:rPr>
              <w:tab/>
            </w:r>
            <w:r>
              <w:rPr/>
              <w:t>46</w:t>
            </w:r>
          </w:hyperlink>
        </w:p>
        <w:p>
          <w:pPr>
            <w:pStyle w:val="TOC1"/>
            <w:tabs>
              <w:tab w:pos="9315" w:val="right" w:leader="dot"/>
            </w:tabs>
            <w:spacing w:line="240" w:lineRule="auto" w:before="76"/>
            <w:ind w:right="0"/>
            <w:jc w:val="left"/>
          </w:pPr>
          <w:r>
            <w:rPr/>
            <w:t>(八) 公司外部信息使用人管理制度建立健全情况</w:t>
          </w:r>
          <w:r>
            <w:rPr>
              <w:rFonts w:ascii="Times New Roman" w:hAnsi="Times New Roman" w:cs="Times New Roman" w:eastAsia="Times New Roman" w:hint="default"/>
            </w:rPr>
            <w:tab/>
          </w:r>
          <w:r>
            <w:rPr/>
            <w:t>46</w:t>
          </w:r>
        </w:p>
        <w:p>
          <w:pPr>
            <w:pStyle w:val="TOC1"/>
            <w:tabs>
              <w:tab w:pos="9315" w:val="right" w:leader="dot"/>
            </w:tabs>
            <w:spacing w:line="240" w:lineRule="auto"/>
            <w:ind w:right="0"/>
            <w:jc w:val="left"/>
          </w:pPr>
          <w:r>
            <w:rPr/>
            <w:t>(九) 其他披露事项</w:t>
          </w:r>
          <w:r>
            <w:rPr>
              <w:rFonts w:ascii="Times New Roman" w:hAnsi="Times New Roman" w:cs="Times New Roman" w:eastAsia="Times New Roman" w:hint="default"/>
            </w:rPr>
            <w:tab/>
          </w:r>
          <w:r>
            <w:rPr/>
            <w:t>46</w:t>
          </w:r>
        </w:p>
        <w:p>
          <w:pPr>
            <w:pStyle w:val="TOC1"/>
            <w:tabs>
              <w:tab w:pos="9315" w:val="right" w:leader="dot"/>
            </w:tabs>
            <w:spacing w:line="240" w:lineRule="auto"/>
            <w:ind w:left="140" w:right="0"/>
            <w:jc w:val="left"/>
          </w:pPr>
          <w:hyperlink w:history="true" w:anchor="_TOC_250009">
            <w:r>
              <w:rPr/>
              <w:t>八、监事会报告</w:t>
            </w:r>
            <w:r>
              <w:rPr>
                <w:rFonts w:ascii="Times New Roman" w:hAnsi="Times New Roman" w:cs="Times New Roman" w:eastAsia="Times New Roman" w:hint="default"/>
              </w:rPr>
              <w:tab/>
            </w:r>
            <w:r>
              <w:rPr/>
              <w:t>47</w:t>
            </w:r>
          </w:hyperlink>
        </w:p>
        <w:p>
          <w:pPr>
            <w:pStyle w:val="TOC1"/>
            <w:tabs>
              <w:tab w:pos="9315" w:val="right" w:leader="dot"/>
            </w:tabs>
            <w:spacing w:line="240" w:lineRule="auto"/>
            <w:ind w:right="0"/>
            <w:jc w:val="left"/>
          </w:pPr>
          <w:hyperlink w:history="true" w:anchor="_TOC_250008">
            <w:r>
              <w:rPr/>
              <w:t>(一) 监事会会议情况和决议内容</w:t>
            </w:r>
            <w:r>
              <w:rPr>
                <w:rFonts w:ascii="Times New Roman" w:hAnsi="Times New Roman" w:cs="Times New Roman" w:eastAsia="Times New Roman" w:hint="default"/>
              </w:rPr>
              <w:tab/>
            </w:r>
            <w:r>
              <w:rPr/>
              <w:t>47</w:t>
            </w:r>
          </w:hyperlink>
        </w:p>
        <w:p>
          <w:pPr>
            <w:pStyle w:val="TOC1"/>
            <w:tabs>
              <w:tab w:pos="9315" w:val="right" w:leader="dot"/>
            </w:tabs>
            <w:spacing w:line="240" w:lineRule="auto" w:before="76"/>
            <w:ind w:left="170" w:right="0"/>
            <w:jc w:val="left"/>
          </w:pPr>
          <w:r>
            <w:rPr/>
            <w:t>（二）公司监事会对以下事项发表独立意见</w:t>
          </w:r>
          <w:r>
            <w:rPr>
              <w:rFonts w:ascii="Times New Roman" w:hAnsi="Times New Roman" w:cs="Times New Roman" w:eastAsia="Times New Roman" w:hint="default"/>
            </w:rPr>
            <w:tab/>
          </w:r>
          <w:r>
            <w:rPr/>
            <w:t>47</w:t>
          </w:r>
        </w:p>
        <w:p>
          <w:pPr>
            <w:pStyle w:val="TOC1"/>
            <w:tabs>
              <w:tab w:pos="9315" w:val="right" w:leader="dot"/>
            </w:tabs>
            <w:spacing w:line="240" w:lineRule="auto"/>
            <w:ind w:left="140" w:right="0"/>
            <w:jc w:val="left"/>
          </w:pPr>
          <w:hyperlink w:history="true" w:anchor="_TOC_250007">
            <w:r>
              <w:rPr/>
              <w:t>九、重要事项</w:t>
            </w:r>
            <w:r>
              <w:rPr>
                <w:rFonts w:ascii="Times New Roman" w:hAnsi="Times New Roman" w:cs="Times New Roman" w:eastAsia="Times New Roman" w:hint="default"/>
              </w:rPr>
              <w:tab/>
            </w:r>
            <w:r>
              <w:rPr/>
              <w:t>49</w:t>
            </w:r>
          </w:hyperlink>
        </w:p>
        <w:p>
          <w:pPr>
            <w:pStyle w:val="TOC1"/>
            <w:tabs>
              <w:tab w:pos="9315" w:val="right" w:leader="dot"/>
            </w:tabs>
            <w:spacing w:line="240" w:lineRule="auto"/>
            <w:ind w:right="0"/>
            <w:jc w:val="left"/>
          </w:pPr>
          <w:r>
            <w:rPr/>
            <w:t>(一) 重大诉讼仲裁事项</w:t>
          </w:r>
          <w:r>
            <w:rPr>
              <w:rFonts w:ascii="Times New Roman" w:hAnsi="Times New Roman" w:cs="Times New Roman" w:eastAsia="Times New Roman" w:hint="default"/>
            </w:rPr>
            <w:tab/>
          </w:r>
          <w:r>
            <w:rPr/>
            <w:t>49</w:t>
          </w:r>
        </w:p>
        <w:p>
          <w:pPr>
            <w:pStyle w:val="TOC1"/>
            <w:tabs>
              <w:tab w:pos="9315" w:val="right" w:leader="dot"/>
            </w:tabs>
            <w:spacing w:line="240" w:lineRule="auto"/>
            <w:ind w:right="0"/>
            <w:jc w:val="left"/>
          </w:pPr>
          <w:r>
            <w:rPr/>
            <w:t>(二) 破产重整相关事项</w:t>
          </w:r>
          <w:r>
            <w:rPr>
              <w:rFonts w:ascii="Times New Roman" w:hAnsi="Times New Roman" w:cs="Times New Roman" w:eastAsia="Times New Roman" w:hint="default"/>
            </w:rPr>
            <w:tab/>
          </w:r>
          <w:r>
            <w:rPr/>
            <w:t>49</w:t>
          </w:r>
        </w:p>
        <w:p>
          <w:pPr>
            <w:pStyle w:val="TOC1"/>
            <w:tabs>
              <w:tab w:pos="9315" w:val="right" w:leader="dot"/>
            </w:tabs>
            <w:spacing w:line="240" w:lineRule="auto"/>
            <w:ind w:right="0"/>
            <w:jc w:val="left"/>
          </w:pPr>
          <w:r>
            <w:rPr/>
            <w:t>(三) 公司持有其他上市公司股权、参股金融企业股权情况</w:t>
          </w:r>
          <w:r>
            <w:rPr>
              <w:rFonts w:ascii="Times New Roman" w:hAnsi="Times New Roman" w:cs="Times New Roman" w:eastAsia="Times New Roman" w:hint="default"/>
            </w:rPr>
            <w:tab/>
          </w:r>
          <w:r>
            <w:rPr/>
            <w:t>49</w:t>
          </w:r>
        </w:p>
        <w:p>
          <w:pPr>
            <w:pStyle w:val="TOC1"/>
            <w:tabs>
              <w:tab w:pos="9315" w:val="right" w:leader="dot"/>
            </w:tabs>
            <w:spacing w:line="240" w:lineRule="auto" w:before="76"/>
            <w:ind w:right="0"/>
            <w:jc w:val="left"/>
          </w:pPr>
          <w:r>
            <w:rPr/>
            <w:t>(四) 报告期内公司收购及出售资产、吸收合并事项</w:t>
          </w:r>
          <w:r>
            <w:rPr>
              <w:rFonts w:ascii="Times New Roman" w:hAnsi="Times New Roman" w:cs="Times New Roman" w:eastAsia="Times New Roman" w:hint="default"/>
            </w:rPr>
            <w:tab/>
          </w:r>
          <w:r>
            <w:rPr/>
            <w:t>50</w:t>
          </w:r>
        </w:p>
        <w:p>
          <w:pPr>
            <w:pStyle w:val="TOC1"/>
            <w:tabs>
              <w:tab w:pos="9315" w:val="right" w:leader="dot"/>
            </w:tabs>
            <w:spacing w:line="240" w:lineRule="auto"/>
            <w:ind w:right="0"/>
            <w:jc w:val="left"/>
          </w:pPr>
          <w:hyperlink w:history="true" w:anchor="_TOC_250006">
            <w:r>
              <w:rPr/>
              <w:t>(五) 公司股权激励的实施情况及其影响</w:t>
            </w:r>
            <w:r>
              <w:rPr>
                <w:rFonts w:ascii="Times New Roman" w:hAnsi="Times New Roman" w:cs="Times New Roman" w:eastAsia="Times New Roman" w:hint="default"/>
              </w:rPr>
              <w:tab/>
            </w:r>
            <w:r>
              <w:rPr/>
              <w:t>53</w:t>
            </w:r>
          </w:hyperlink>
        </w:p>
        <w:p>
          <w:pPr>
            <w:pStyle w:val="TOC1"/>
            <w:tabs>
              <w:tab w:pos="9315" w:val="right" w:leader="dot"/>
            </w:tabs>
            <w:spacing w:line="240" w:lineRule="auto"/>
            <w:ind w:right="0"/>
            <w:jc w:val="left"/>
          </w:pPr>
          <w:hyperlink w:history="true" w:anchor="_TOC_250005">
            <w:r>
              <w:rPr/>
              <w:t>(六) 报告期内公司重大关联交易事项</w:t>
            </w:r>
            <w:r>
              <w:rPr>
                <w:rFonts w:ascii="Times New Roman" w:hAnsi="Times New Roman" w:cs="Times New Roman" w:eastAsia="Times New Roman" w:hint="default"/>
              </w:rPr>
              <w:tab/>
            </w:r>
            <w:r>
              <w:rPr/>
              <w:t>54</w:t>
            </w:r>
          </w:hyperlink>
        </w:p>
        <w:p>
          <w:pPr>
            <w:pStyle w:val="TOC1"/>
            <w:tabs>
              <w:tab w:pos="9315" w:val="right" w:leader="dot"/>
            </w:tabs>
            <w:spacing w:line="240" w:lineRule="auto"/>
            <w:ind w:right="0"/>
            <w:jc w:val="left"/>
          </w:pPr>
          <w:hyperlink w:history="true" w:anchor="_TOC_250004">
            <w:r>
              <w:rPr/>
              <w:t>(七) 重大合同及其履行情况</w:t>
            </w:r>
            <w:r>
              <w:rPr>
                <w:rFonts w:ascii="Times New Roman" w:hAnsi="Times New Roman" w:cs="Times New Roman" w:eastAsia="Times New Roman" w:hint="default"/>
              </w:rPr>
              <w:tab/>
            </w:r>
            <w:r>
              <w:rPr/>
              <w:t>54</w:t>
            </w:r>
          </w:hyperlink>
        </w:p>
        <w:p>
          <w:pPr>
            <w:pStyle w:val="TOC1"/>
            <w:tabs>
              <w:tab w:pos="9315" w:val="right" w:leader="dot"/>
            </w:tabs>
            <w:spacing w:line="240" w:lineRule="auto" w:before="76"/>
            <w:ind w:right="0"/>
            <w:jc w:val="left"/>
          </w:pPr>
          <w:hyperlink w:history="true" w:anchor="_TOC_250003">
            <w:r>
              <w:rPr/>
              <w:t>(八) 承诺事项履行情况</w:t>
            </w:r>
            <w:r>
              <w:rPr>
                <w:rFonts w:ascii="Times New Roman" w:hAnsi="Times New Roman" w:cs="Times New Roman" w:eastAsia="Times New Roman" w:hint="default"/>
              </w:rPr>
              <w:tab/>
            </w:r>
            <w:r>
              <w:rPr/>
              <w:t>55</w:t>
            </w:r>
          </w:hyperlink>
        </w:p>
        <w:p>
          <w:pPr>
            <w:pStyle w:val="TOC1"/>
            <w:tabs>
              <w:tab w:pos="9315" w:val="right" w:leader="dot"/>
            </w:tabs>
            <w:spacing w:line="240" w:lineRule="auto"/>
            <w:ind w:right="0"/>
            <w:jc w:val="left"/>
          </w:pPr>
          <w:r>
            <w:rPr/>
            <w:t>(九) 聘任、解聘会计师事务所情况</w:t>
          </w:r>
          <w:r>
            <w:rPr>
              <w:rFonts w:ascii="Times New Roman" w:hAnsi="Times New Roman" w:cs="Times New Roman" w:eastAsia="Times New Roman" w:hint="default"/>
            </w:rPr>
            <w:tab/>
          </w:r>
          <w:r>
            <w:rPr/>
            <w:t>56</w:t>
          </w:r>
        </w:p>
        <w:p>
          <w:pPr>
            <w:pStyle w:val="TOC1"/>
            <w:spacing w:line="240" w:lineRule="auto"/>
            <w:ind w:right="0"/>
            <w:jc w:val="left"/>
          </w:pPr>
          <w:hyperlink w:history="true" w:anchor="_TOC_250002">
            <w:r>
              <w:rPr/>
              <w:t>(十)</w:t>
            </w:r>
            <w:r>
              <w:rPr>
                <w:spacing w:val="-39"/>
              </w:rPr>
              <w:t> </w:t>
            </w:r>
            <w:r>
              <w:rPr/>
              <w:t>上市公司及其董事、监事、高级管理人员、公司股东、实际控制人处罚及整改情况</w:t>
            </w:r>
          </w:hyperlink>
        </w:p>
        <w:p>
          <w:pPr>
            <w:pStyle w:val="TOC1"/>
            <w:spacing w:line="297" w:lineRule="auto"/>
            <w:ind w:right="189" w:firstLine="39"/>
            <w:jc w:val="left"/>
          </w:pPr>
          <w:r>
            <w:rPr/>
            <w:t>.........................................................................</w:t>
          </w:r>
          <w:r>
            <w:rPr>
              <w:spacing w:val="-24"/>
            </w:rPr>
            <w:t> </w:t>
          </w:r>
          <w:r>
            <w:rPr/>
            <w:t>56</w:t>
          </w:r>
          <w:r>
            <w:rPr/>
            <w:t> (十一) 其他重大事项的说明</w:t>
          </w:r>
          <w:r>
            <w:rPr>
              <w:spacing w:val="-81"/>
            </w:rPr>
            <w:t> </w:t>
          </w:r>
          <w:r>
            <w:rPr/>
            <w:t>................................................</w:t>
          </w:r>
          <w:r>
            <w:rPr>
              <w:spacing w:val="-24"/>
            </w:rPr>
            <w:t> </w:t>
          </w:r>
          <w:r>
            <w:rPr/>
            <w:t>56</w:t>
          </w:r>
        </w:p>
        <w:p>
          <w:pPr>
            <w:pStyle w:val="TOC1"/>
            <w:tabs>
              <w:tab w:pos="9315" w:val="right" w:leader="dot"/>
            </w:tabs>
            <w:spacing w:line="240" w:lineRule="auto" w:before="18"/>
            <w:ind w:right="0"/>
            <w:jc w:val="left"/>
          </w:pPr>
          <w:hyperlink w:history="true" w:anchor="_TOC_250001">
            <w:r>
              <w:rPr/>
              <w:t>(十二) 信息披露索引</w:t>
            </w:r>
            <w:r>
              <w:rPr>
                <w:rFonts w:ascii="Times New Roman" w:hAnsi="Times New Roman" w:cs="Times New Roman" w:eastAsia="Times New Roman" w:hint="default"/>
              </w:rPr>
              <w:tab/>
            </w:r>
            <w:r>
              <w:rPr/>
              <w:t>59</w:t>
            </w:r>
          </w:hyperlink>
        </w:p>
        <w:p>
          <w:pPr>
            <w:pStyle w:val="TOC1"/>
            <w:tabs>
              <w:tab w:pos="9315" w:val="right" w:leader="dot"/>
            </w:tabs>
            <w:spacing w:line="240" w:lineRule="auto"/>
            <w:ind w:left="140" w:right="0"/>
            <w:jc w:val="left"/>
          </w:pPr>
          <w:r>
            <w:rPr/>
            <w:t>十、财务报告</w:t>
          </w:r>
          <w:r>
            <w:rPr>
              <w:rFonts w:ascii="Times New Roman" w:hAnsi="Times New Roman" w:cs="Times New Roman" w:eastAsia="Times New Roman" w:hint="default"/>
            </w:rPr>
            <w:tab/>
          </w:r>
          <w:r>
            <w:rPr/>
            <w:t>62</w:t>
          </w:r>
        </w:p>
        <w:p>
          <w:pPr>
            <w:pStyle w:val="TOC1"/>
            <w:tabs>
              <w:tab w:pos="9315" w:val="right" w:leader="dot"/>
            </w:tabs>
            <w:spacing w:line="240" w:lineRule="auto"/>
            <w:ind w:left="140" w:right="0"/>
            <w:jc w:val="left"/>
          </w:pPr>
          <w:hyperlink w:history="true" w:anchor="_TOC_250000">
            <w:r>
              <w:rPr/>
              <w:t>十一、备查文件目录</w:t>
            </w:r>
            <w:r>
              <w:rPr>
                <w:rFonts w:ascii="Times New Roman" w:hAnsi="Times New Roman" w:cs="Times New Roman" w:eastAsia="Times New Roman" w:hint="default"/>
              </w:rPr>
              <w:tab/>
            </w:r>
            <w:r>
              <w:rPr/>
              <w:t>62</w:t>
            </w:r>
          </w:hyperlink>
        </w:p>
      </w:sdtContent>
    </w:sdt>
    <w:p>
      <w:pPr>
        <w:spacing w:after="0" w:line="240" w:lineRule="auto"/>
        <w:jc w:val="left"/>
        <w:sectPr>
          <w:type w:val="continuous"/>
          <w:pgSz w:w="11910" w:h="16840"/>
          <w:pgMar w:top="1380" w:bottom="1216" w:left="1220" w:right="1160"/>
        </w:sectPr>
      </w:pPr>
    </w:p>
    <w:p>
      <w:pPr>
        <w:spacing w:after="0" w:line="240" w:lineRule="auto"/>
        <w:jc w:val="left"/>
        <w:sectPr>
          <w:type w:val="continuous"/>
          <w:pgSz w:w="11910" w:h="16840"/>
          <w:pgMar w:top="1080" w:bottom="920" w:left="1220" w:right="1160"/>
        </w:sectPr>
      </w:pPr>
    </w:p>
    <w:p>
      <w:pPr>
        <w:spacing w:line="240" w:lineRule="auto" w:before="0"/>
        <w:rPr>
          <w:rFonts w:ascii="宋体" w:hAnsi="宋体" w:cs="宋体" w:eastAsia="宋体" w:hint="default"/>
          <w:sz w:val="30"/>
          <w:szCs w:val="30"/>
        </w:rPr>
      </w:pPr>
    </w:p>
    <w:p>
      <w:pPr>
        <w:spacing w:line="240" w:lineRule="auto" w:before="3"/>
        <w:rPr>
          <w:rFonts w:ascii="宋体" w:hAnsi="宋体" w:cs="宋体" w:eastAsia="宋体" w:hint="default"/>
          <w:sz w:val="32"/>
          <w:szCs w:val="32"/>
        </w:rPr>
      </w:pPr>
    </w:p>
    <w:p>
      <w:pPr>
        <w:pStyle w:val="Heading3"/>
        <w:spacing w:line="240" w:lineRule="auto" w:before="0"/>
        <w:ind w:left="1" w:right="1"/>
        <w:jc w:val="center"/>
        <w:rPr>
          <w:b w:val="0"/>
          <w:bCs w:val="0"/>
        </w:rPr>
      </w:pPr>
      <w:bookmarkStart w:name="_bookmark0" w:id="2"/>
      <w:bookmarkEnd w:id="2"/>
      <w:r>
        <w:rPr>
          <w:b w:val="0"/>
          <w:bCs w:val="0"/>
        </w:rPr>
      </w:r>
      <w:r>
        <w:rPr/>
        <w:t>一、公司基本情况简介</w:t>
      </w:r>
      <w:r>
        <w:rPr>
          <w:b w:val="0"/>
          <w:bCs w:val="0"/>
        </w:rPr>
      </w:r>
    </w:p>
    <w:p>
      <w:pPr>
        <w:spacing w:line="240" w:lineRule="auto" w:before="13"/>
        <w:rPr>
          <w:rFonts w:ascii="黑体" w:hAnsi="黑体" w:cs="黑体" w:eastAsia="黑体" w:hint="default"/>
          <w:b/>
          <w:bCs/>
          <w:sz w:val="27"/>
          <w:szCs w:val="27"/>
        </w:rPr>
      </w:pPr>
    </w:p>
    <w:p>
      <w:pPr>
        <w:pStyle w:val="Heading7"/>
        <w:spacing w:line="451" w:lineRule="auto"/>
        <w:ind w:left="860" w:right="4084" w:hanging="720"/>
        <w:jc w:val="left"/>
      </w:pPr>
      <w:r>
        <w:rPr/>
        <w:t>（一）公司法定中文名称：用友软件股份有限公司 公司中文名称缩写：用友软件 公司英文名称：UFIDA SOFTWARE CO.,LTD.</w:t>
      </w:r>
    </w:p>
    <w:p>
      <w:pPr>
        <w:spacing w:before="65"/>
        <w:ind w:left="860" w:right="140" w:firstLine="0"/>
        <w:jc w:val="left"/>
        <w:rPr>
          <w:rFonts w:ascii="宋体" w:hAnsi="宋体" w:cs="宋体" w:eastAsia="宋体" w:hint="default"/>
          <w:sz w:val="24"/>
          <w:szCs w:val="24"/>
        </w:rPr>
      </w:pPr>
      <w:r>
        <w:rPr>
          <w:rFonts w:ascii="宋体" w:hAnsi="宋体" w:cs="宋体" w:eastAsia="宋体" w:hint="default"/>
          <w:sz w:val="24"/>
          <w:szCs w:val="24"/>
        </w:rPr>
        <w:t>公司英文名称缩写：UFIDA</w:t>
      </w:r>
    </w:p>
    <w:p>
      <w:pPr>
        <w:spacing w:line="240" w:lineRule="auto" w:before="3"/>
        <w:rPr>
          <w:rFonts w:ascii="宋体" w:hAnsi="宋体" w:cs="宋体" w:eastAsia="宋体" w:hint="default"/>
          <w:sz w:val="21"/>
          <w:szCs w:val="21"/>
        </w:rPr>
      </w:pPr>
    </w:p>
    <w:p>
      <w:pPr>
        <w:spacing w:before="0"/>
        <w:ind w:left="140" w:right="140" w:firstLine="0"/>
        <w:jc w:val="left"/>
        <w:rPr>
          <w:rFonts w:ascii="宋体" w:hAnsi="宋体" w:cs="宋体" w:eastAsia="宋体" w:hint="default"/>
          <w:sz w:val="24"/>
          <w:szCs w:val="24"/>
        </w:rPr>
      </w:pPr>
      <w:r>
        <w:rPr>
          <w:rFonts w:ascii="宋体" w:hAnsi="宋体" w:cs="宋体" w:eastAsia="宋体" w:hint="default"/>
          <w:sz w:val="24"/>
          <w:szCs w:val="24"/>
        </w:rPr>
        <w:t>（二）公司法定代表人：王文京</w:t>
      </w:r>
    </w:p>
    <w:p>
      <w:pPr>
        <w:spacing w:line="240" w:lineRule="auto" w:before="3"/>
        <w:rPr>
          <w:rFonts w:ascii="宋体" w:hAnsi="宋体" w:cs="宋体" w:eastAsia="宋体" w:hint="default"/>
          <w:sz w:val="21"/>
          <w:szCs w:val="21"/>
        </w:rPr>
      </w:pPr>
    </w:p>
    <w:p>
      <w:pPr>
        <w:spacing w:line="451" w:lineRule="auto" w:before="0"/>
        <w:ind w:left="860" w:right="6021" w:hanging="720"/>
        <w:jc w:val="left"/>
        <w:rPr>
          <w:rFonts w:ascii="宋体" w:hAnsi="宋体" w:cs="宋体" w:eastAsia="宋体" w:hint="default"/>
          <w:sz w:val="24"/>
          <w:szCs w:val="24"/>
        </w:rPr>
      </w:pPr>
      <w:r>
        <w:rPr>
          <w:rFonts w:ascii="宋体" w:hAnsi="宋体" w:cs="宋体" w:eastAsia="宋体" w:hint="default"/>
          <w:sz w:val="24"/>
          <w:szCs w:val="24"/>
        </w:rPr>
        <w:t>（三）公司董事会秘书：欧阳青 电话：010-62436838 传真：010-62436639</w:t>
      </w:r>
    </w:p>
    <w:p>
      <w:pPr>
        <w:spacing w:line="451" w:lineRule="auto" w:before="66"/>
        <w:ind w:left="860" w:right="4684" w:firstLine="0"/>
        <w:jc w:val="left"/>
        <w:rPr>
          <w:rFonts w:ascii="宋体" w:hAnsi="宋体" w:cs="宋体" w:eastAsia="宋体" w:hint="default"/>
          <w:sz w:val="24"/>
          <w:szCs w:val="24"/>
        </w:rPr>
      </w:pPr>
      <w:hyperlink r:id="rId7">
        <w:r>
          <w:rPr>
            <w:rFonts w:ascii="宋体" w:hAnsi="宋体" w:cs="宋体" w:eastAsia="宋体" w:hint="default"/>
            <w:sz w:val="24"/>
            <w:szCs w:val="24"/>
          </w:rPr>
          <w:t>E-mail：ir@ufida.com.cn</w:t>
        </w:r>
      </w:hyperlink>
      <w:r>
        <w:rPr>
          <w:rFonts w:ascii="宋体" w:hAnsi="宋体" w:cs="宋体" w:eastAsia="宋体" w:hint="default"/>
          <w:sz w:val="24"/>
          <w:szCs w:val="24"/>
        </w:rPr>
        <w:t> 联系地址：北京市海淀区北清路</w:t>
      </w:r>
      <w:r>
        <w:rPr>
          <w:rFonts w:ascii="宋体" w:hAnsi="宋体" w:cs="宋体" w:eastAsia="宋体" w:hint="default"/>
          <w:spacing w:val="-60"/>
          <w:sz w:val="24"/>
          <w:szCs w:val="24"/>
        </w:rPr>
        <w:t> </w:t>
      </w:r>
      <w:r>
        <w:rPr>
          <w:rFonts w:ascii="宋体" w:hAnsi="宋体" w:cs="宋体" w:eastAsia="宋体" w:hint="default"/>
          <w:sz w:val="24"/>
          <w:szCs w:val="24"/>
        </w:rPr>
        <w:t>68</w:t>
      </w:r>
      <w:r>
        <w:rPr>
          <w:rFonts w:ascii="宋体" w:hAnsi="宋体" w:cs="宋体" w:eastAsia="宋体" w:hint="default"/>
          <w:spacing w:val="-60"/>
          <w:sz w:val="24"/>
          <w:szCs w:val="24"/>
        </w:rPr>
        <w:t> </w:t>
      </w:r>
      <w:r>
        <w:rPr>
          <w:rFonts w:ascii="宋体" w:hAnsi="宋体" w:cs="宋体" w:eastAsia="宋体" w:hint="default"/>
          <w:sz w:val="24"/>
          <w:szCs w:val="24"/>
        </w:rPr>
        <w:t>号</w:t>
      </w:r>
      <w:r>
        <w:rPr>
          <w:rFonts w:ascii="宋体" w:hAnsi="宋体" w:cs="宋体" w:eastAsia="宋体" w:hint="default"/>
          <w:sz w:val="24"/>
          <w:szCs w:val="24"/>
        </w:rPr>
        <w:t> 公司证券事务代表：蔡益华</w:t>
      </w:r>
    </w:p>
    <w:p>
      <w:pPr>
        <w:spacing w:line="451" w:lineRule="auto" w:before="66"/>
        <w:ind w:left="860" w:right="6501" w:firstLine="0"/>
        <w:jc w:val="left"/>
        <w:rPr>
          <w:rFonts w:ascii="宋体" w:hAnsi="宋体" w:cs="宋体" w:eastAsia="宋体" w:hint="default"/>
          <w:sz w:val="24"/>
          <w:szCs w:val="24"/>
        </w:rPr>
      </w:pPr>
      <w:r>
        <w:rPr>
          <w:rFonts w:ascii="宋体" w:hAnsi="宋体" w:cs="宋体" w:eastAsia="宋体" w:hint="default"/>
          <w:sz w:val="24"/>
          <w:szCs w:val="24"/>
        </w:rPr>
        <w:t>电话：010-62436637 传真：010-62436639</w:t>
      </w:r>
    </w:p>
    <w:p>
      <w:pPr>
        <w:spacing w:line="451" w:lineRule="auto" w:before="65"/>
        <w:ind w:left="860" w:right="4684" w:firstLine="0"/>
        <w:jc w:val="left"/>
        <w:rPr>
          <w:rFonts w:ascii="宋体" w:hAnsi="宋体" w:cs="宋体" w:eastAsia="宋体" w:hint="default"/>
          <w:sz w:val="24"/>
          <w:szCs w:val="24"/>
        </w:rPr>
      </w:pPr>
      <w:hyperlink r:id="rId7">
        <w:r>
          <w:rPr>
            <w:rFonts w:ascii="宋体" w:hAnsi="宋体" w:cs="宋体" w:eastAsia="宋体" w:hint="default"/>
            <w:sz w:val="24"/>
            <w:szCs w:val="24"/>
          </w:rPr>
          <w:t>E-mail：ir@ufida.com.cn</w:t>
        </w:r>
      </w:hyperlink>
      <w:r>
        <w:rPr>
          <w:rFonts w:ascii="宋体" w:hAnsi="宋体" w:cs="宋体" w:eastAsia="宋体" w:hint="default"/>
          <w:sz w:val="24"/>
          <w:szCs w:val="24"/>
        </w:rPr>
        <w:t> 联系地址：北京市海淀区北清路</w:t>
      </w:r>
      <w:r>
        <w:rPr>
          <w:rFonts w:ascii="宋体" w:hAnsi="宋体" w:cs="宋体" w:eastAsia="宋体" w:hint="default"/>
          <w:spacing w:val="-60"/>
          <w:sz w:val="24"/>
          <w:szCs w:val="24"/>
        </w:rPr>
        <w:t> </w:t>
      </w:r>
      <w:r>
        <w:rPr>
          <w:rFonts w:ascii="宋体" w:hAnsi="宋体" w:cs="宋体" w:eastAsia="宋体" w:hint="default"/>
          <w:sz w:val="24"/>
          <w:szCs w:val="24"/>
        </w:rPr>
        <w:t>68</w:t>
      </w:r>
      <w:r>
        <w:rPr>
          <w:rFonts w:ascii="宋体" w:hAnsi="宋体" w:cs="宋体" w:eastAsia="宋体" w:hint="default"/>
          <w:spacing w:val="-60"/>
          <w:sz w:val="24"/>
          <w:szCs w:val="24"/>
        </w:rPr>
        <w:t> </w:t>
      </w:r>
      <w:r>
        <w:rPr>
          <w:rFonts w:ascii="宋体" w:hAnsi="宋体" w:cs="宋体" w:eastAsia="宋体" w:hint="default"/>
          <w:sz w:val="24"/>
          <w:szCs w:val="24"/>
        </w:rPr>
        <w:t>号</w:t>
      </w:r>
    </w:p>
    <w:p>
      <w:pPr>
        <w:spacing w:before="66"/>
        <w:ind w:left="140" w:right="140" w:firstLine="0"/>
        <w:jc w:val="left"/>
        <w:rPr>
          <w:rFonts w:ascii="宋体" w:hAnsi="宋体" w:cs="宋体" w:eastAsia="宋体" w:hint="default"/>
          <w:sz w:val="24"/>
          <w:szCs w:val="24"/>
        </w:rPr>
      </w:pPr>
      <w:r>
        <w:rPr>
          <w:rFonts w:ascii="宋体" w:hAnsi="宋体" w:cs="宋体" w:eastAsia="宋体" w:hint="default"/>
          <w:sz w:val="24"/>
          <w:szCs w:val="24"/>
        </w:rPr>
        <w:t>（四）公司注册地址：北京市海淀区北清路</w:t>
      </w:r>
      <w:r>
        <w:rPr>
          <w:rFonts w:ascii="宋体" w:hAnsi="宋体" w:cs="宋体" w:eastAsia="宋体" w:hint="default"/>
          <w:spacing w:val="-60"/>
          <w:sz w:val="24"/>
          <w:szCs w:val="24"/>
        </w:rPr>
        <w:t> </w:t>
      </w:r>
      <w:r>
        <w:rPr>
          <w:rFonts w:ascii="宋体" w:hAnsi="宋体" w:cs="宋体" w:eastAsia="宋体" w:hint="default"/>
          <w:sz w:val="24"/>
          <w:szCs w:val="24"/>
        </w:rPr>
        <w:t>68</w:t>
      </w:r>
      <w:r>
        <w:rPr>
          <w:rFonts w:ascii="宋体" w:hAnsi="宋体" w:cs="宋体" w:eastAsia="宋体" w:hint="default"/>
          <w:spacing w:val="-60"/>
          <w:sz w:val="24"/>
          <w:szCs w:val="24"/>
        </w:rPr>
        <w:t> </w:t>
      </w:r>
      <w:r>
        <w:rPr>
          <w:rFonts w:ascii="宋体" w:hAnsi="宋体" w:cs="宋体" w:eastAsia="宋体" w:hint="default"/>
          <w:sz w:val="24"/>
          <w:szCs w:val="24"/>
        </w:rPr>
        <w:t>号</w:t>
      </w:r>
    </w:p>
    <w:p>
      <w:pPr>
        <w:spacing w:line="240" w:lineRule="auto" w:before="3"/>
        <w:rPr>
          <w:rFonts w:ascii="宋体" w:hAnsi="宋体" w:cs="宋体" w:eastAsia="宋体" w:hint="default"/>
          <w:sz w:val="21"/>
          <w:szCs w:val="21"/>
        </w:rPr>
      </w:pPr>
    </w:p>
    <w:p>
      <w:pPr>
        <w:spacing w:line="451" w:lineRule="auto" w:before="0"/>
        <w:ind w:left="860" w:right="3844" w:firstLine="0"/>
        <w:jc w:val="left"/>
        <w:rPr>
          <w:rFonts w:ascii="宋体" w:hAnsi="宋体" w:cs="宋体" w:eastAsia="宋体" w:hint="default"/>
          <w:sz w:val="24"/>
          <w:szCs w:val="24"/>
        </w:rPr>
      </w:pPr>
      <w:r>
        <w:rPr>
          <w:rFonts w:ascii="宋体" w:hAnsi="宋体" w:cs="宋体" w:eastAsia="宋体" w:hint="default"/>
          <w:sz w:val="24"/>
          <w:szCs w:val="24"/>
        </w:rPr>
        <w:t>公司办公地址：北京市海淀区北清路</w:t>
      </w:r>
      <w:r>
        <w:rPr>
          <w:rFonts w:ascii="宋体" w:hAnsi="宋体" w:cs="宋体" w:eastAsia="宋体" w:hint="default"/>
          <w:spacing w:val="-60"/>
          <w:sz w:val="24"/>
          <w:szCs w:val="24"/>
        </w:rPr>
        <w:t> </w:t>
      </w:r>
      <w:r>
        <w:rPr>
          <w:rFonts w:ascii="宋体" w:hAnsi="宋体" w:cs="宋体" w:eastAsia="宋体" w:hint="default"/>
          <w:sz w:val="24"/>
          <w:szCs w:val="24"/>
        </w:rPr>
        <w:t>68</w:t>
      </w:r>
      <w:r>
        <w:rPr>
          <w:rFonts w:ascii="宋体" w:hAnsi="宋体" w:cs="宋体" w:eastAsia="宋体" w:hint="default"/>
          <w:spacing w:val="-60"/>
          <w:sz w:val="24"/>
          <w:szCs w:val="24"/>
        </w:rPr>
        <w:t> </w:t>
      </w:r>
      <w:r>
        <w:rPr>
          <w:rFonts w:ascii="宋体" w:hAnsi="宋体" w:cs="宋体" w:eastAsia="宋体" w:hint="default"/>
          <w:sz w:val="24"/>
          <w:szCs w:val="24"/>
        </w:rPr>
        <w:t>号</w:t>
      </w:r>
      <w:r>
        <w:rPr>
          <w:rFonts w:ascii="宋体" w:hAnsi="宋体" w:cs="宋体" w:eastAsia="宋体" w:hint="default"/>
          <w:sz w:val="24"/>
          <w:szCs w:val="24"/>
        </w:rPr>
        <w:t> 邮政编码：100094</w:t>
      </w:r>
      <w:hyperlink r:id="rId8">
        <w:r>
          <w:rPr>
            <w:rFonts w:ascii="宋体" w:hAnsi="宋体" w:cs="宋体" w:eastAsia="宋体" w:hint="default"/>
            <w:sz w:val="24"/>
            <w:szCs w:val="24"/>
          </w:rPr>
          <w:t> 公司国际互联网网址：http://www.ufida.com</w:t>
        </w:r>
      </w:hyperlink>
      <w:r>
        <w:rPr>
          <w:rFonts w:ascii="宋体" w:hAnsi="宋体" w:cs="宋体" w:eastAsia="宋体" w:hint="default"/>
          <w:sz w:val="24"/>
          <w:szCs w:val="24"/>
        </w:rPr>
        <w:t> 电子信箱：</w:t>
      </w:r>
      <w:hyperlink r:id="rId7">
        <w:r>
          <w:rPr>
            <w:rFonts w:ascii="宋体" w:hAnsi="宋体" w:cs="宋体" w:eastAsia="宋体" w:hint="default"/>
            <w:sz w:val="24"/>
            <w:szCs w:val="24"/>
          </w:rPr>
        </w:r>
        <w:r>
          <w:rPr>
            <w:rFonts w:ascii="宋体" w:hAnsi="宋体" w:cs="宋体" w:eastAsia="宋体" w:hint="default"/>
            <w:sz w:val="24"/>
            <w:szCs w:val="24"/>
            <w:u w:val="single" w:color="000000"/>
          </w:rPr>
          <w:t>ir@ufida.com.cn</w:t>
        </w:r>
        <w:r>
          <w:rPr>
            <w:rFonts w:ascii="宋体" w:hAnsi="宋体" w:cs="宋体" w:eastAsia="宋体" w:hint="default"/>
            <w:sz w:val="24"/>
            <w:szCs w:val="24"/>
          </w:rPr>
        </w:r>
      </w:hyperlink>
    </w:p>
    <w:p>
      <w:pPr>
        <w:spacing w:line="451" w:lineRule="auto" w:before="65"/>
        <w:ind w:left="860" w:right="1324" w:hanging="720"/>
        <w:jc w:val="left"/>
        <w:rPr>
          <w:rFonts w:ascii="宋体" w:hAnsi="宋体" w:cs="宋体" w:eastAsia="宋体" w:hint="default"/>
          <w:sz w:val="24"/>
          <w:szCs w:val="24"/>
        </w:rPr>
      </w:pPr>
      <w:r>
        <w:rPr>
          <w:rFonts w:ascii="宋体" w:hAnsi="宋体" w:cs="宋体" w:eastAsia="宋体" w:hint="default"/>
          <w:sz w:val="24"/>
          <w:szCs w:val="24"/>
        </w:rPr>
        <w:t>（五）公司选定的信息披露报纸名称：《上海证券报》</w:t>
      </w:r>
      <w:hyperlink r:id="rId9">
        <w:r>
          <w:rPr>
            <w:rFonts w:ascii="宋体" w:hAnsi="宋体" w:cs="宋体" w:eastAsia="宋体" w:hint="default"/>
            <w:sz w:val="24"/>
            <w:szCs w:val="24"/>
          </w:rPr>
          <w:t> 登载年度报告的中国证监会指定网站的网址：http://www.sse.com.cn</w:t>
        </w:r>
      </w:hyperlink>
    </w:p>
    <w:p>
      <w:pPr>
        <w:spacing w:after="0" w:line="451" w:lineRule="auto"/>
        <w:jc w:val="left"/>
        <w:rPr>
          <w:rFonts w:ascii="宋体" w:hAnsi="宋体" w:cs="宋体" w:eastAsia="宋体" w:hint="default"/>
          <w:sz w:val="24"/>
          <w:szCs w:val="24"/>
        </w:rPr>
        <w:sectPr>
          <w:pgSz w:w="11910" w:h="16840"/>
          <w:pgMar w:header="720" w:footer="727" w:top="1080" w:bottom="920" w:left="1220" w:right="1160"/>
        </w:sectPr>
      </w:pPr>
    </w:p>
    <w:p>
      <w:pPr>
        <w:spacing w:line="240" w:lineRule="auto" w:before="12"/>
        <w:rPr>
          <w:rFonts w:ascii="宋体" w:hAnsi="宋体" w:cs="宋体" w:eastAsia="宋体" w:hint="default"/>
          <w:sz w:val="21"/>
          <w:szCs w:val="21"/>
        </w:rPr>
      </w:pPr>
    </w:p>
    <w:p>
      <w:pPr>
        <w:spacing w:before="26"/>
        <w:ind w:left="860" w:right="140" w:firstLine="0"/>
        <w:jc w:val="left"/>
        <w:rPr>
          <w:rFonts w:ascii="宋体" w:hAnsi="宋体" w:cs="宋体" w:eastAsia="宋体" w:hint="default"/>
          <w:sz w:val="24"/>
          <w:szCs w:val="24"/>
        </w:rPr>
      </w:pPr>
      <w:r>
        <w:rPr>
          <w:rFonts w:ascii="宋体" w:hAnsi="宋体" w:cs="宋体" w:eastAsia="宋体" w:hint="default"/>
          <w:sz w:val="24"/>
          <w:szCs w:val="24"/>
        </w:rPr>
        <w:t>公司年度报告备置地点：公司证券与投资者关系部</w:t>
      </w:r>
    </w:p>
    <w:p>
      <w:pPr>
        <w:spacing w:line="240" w:lineRule="auto" w:before="3"/>
        <w:rPr>
          <w:rFonts w:ascii="宋体" w:hAnsi="宋体" w:cs="宋体" w:eastAsia="宋体" w:hint="default"/>
          <w:sz w:val="21"/>
          <w:szCs w:val="21"/>
        </w:rPr>
      </w:pPr>
    </w:p>
    <w:p>
      <w:pPr>
        <w:spacing w:line="451" w:lineRule="auto" w:before="0"/>
        <w:ind w:left="860" w:right="4564" w:hanging="720"/>
        <w:jc w:val="left"/>
        <w:rPr>
          <w:rFonts w:ascii="宋体" w:hAnsi="宋体" w:cs="宋体" w:eastAsia="宋体" w:hint="default"/>
          <w:sz w:val="24"/>
          <w:szCs w:val="24"/>
        </w:rPr>
      </w:pPr>
      <w:r>
        <w:rPr>
          <w:rFonts w:ascii="宋体" w:hAnsi="宋体" w:cs="宋体" w:eastAsia="宋体" w:hint="default"/>
          <w:sz w:val="24"/>
          <w:szCs w:val="24"/>
        </w:rPr>
        <w:t>（六）公司股票上市交易所：上海证券交易所 股票简称 ：用友软件</w:t>
      </w:r>
    </w:p>
    <w:p>
      <w:pPr>
        <w:spacing w:before="66"/>
        <w:ind w:left="860" w:right="140" w:firstLine="0"/>
        <w:jc w:val="left"/>
        <w:rPr>
          <w:rFonts w:ascii="宋体" w:hAnsi="宋体" w:cs="宋体" w:eastAsia="宋体" w:hint="default"/>
          <w:sz w:val="24"/>
          <w:szCs w:val="24"/>
        </w:rPr>
      </w:pPr>
      <w:r>
        <w:rPr>
          <w:rFonts w:ascii="宋体" w:hAnsi="宋体" w:cs="宋体" w:eastAsia="宋体" w:hint="default"/>
          <w:sz w:val="24"/>
          <w:szCs w:val="24"/>
        </w:rPr>
        <w:t>股票代码 ：600588</w:t>
      </w:r>
    </w:p>
    <w:p>
      <w:pPr>
        <w:spacing w:line="240" w:lineRule="auto" w:before="3"/>
        <w:rPr>
          <w:rFonts w:ascii="宋体" w:hAnsi="宋体" w:cs="宋体" w:eastAsia="宋体" w:hint="default"/>
          <w:sz w:val="21"/>
          <w:szCs w:val="21"/>
        </w:rPr>
      </w:pPr>
    </w:p>
    <w:p>
      <w:pPr>
        <w:spacing w:line="451" w:lineRule="auto" w:before="0"/>
        <w:ind w:left="620" w:right="2224" w:hanging="480"/>
        <w:jc w:val="left"/>
        <w:rPr>
          <w:rFonts w:ascii="宋体" w:hAnsi="宋体" w:cs="宋体" w:eastAsia="宋体" w:hint="default"/>
          <w:sz w:val="24"/>
          <w:szCs w:val="24"/>
        </w:rPr>
      </w:pPr>
      <w:r>
        <w:rPr>
          <w:rFonts w:ascii="宋体" w:hAnsi="宋体" w:cs="宋体" w:eastAsia="宋体" w:hint="default"/>
          <w:sz w:val="24"/>
          <w:szCs w:val="24"/>
        </w:rPr>
        <w:t>（七）其他有关资料 1、公司变更股份有限公司的注册登记日期：1999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06</w:t>
      </w:r>
      <w:r>
        <w:rPr>
          <w:rFonts w:ascii="宋体" w:hAnsi="宋体" w:cs="宋体" w:eastAsia="宋体" w:hint="default"/>
          <w:spacing w:val="-60"/>
          <w:sz w:val="24"/>
          <w:szCs w:val="24"/>
        </w:rPr>
        <w:t> </w:t>
      </w:r>
      <w:r>
        <w:rPr>
          <w:rFonts w:ascii="宋体" w:hAnsi="宋体" w:cs="宋体" w:eastAsia="宋体" w:hint="default"/>
          <w:sz w:val="24"/>
          <w:szCs w:val="24"/>
        </w:rPr>
        <w:t>日</w:t>
      </w:r>
    </w:p>
    <w:p>
      <w:pPr>
        <w:spacing w:before="65"/>
        <w:ind w:left="620" w:right="140" w:firstLine="0"/>
        <w:jc w:val="left"/>
        <w:rPr>
          <w:rFonts w:ascii="宋体" w:hAnsi="宋体" w:cs="宋体" w:eastAsia="宋体" w:hint="default"/>
          <w:sz w:val="24"/>
          <w:szCs w:val="24"/>
        </w:rPr>
      </w:pPr>
      <w:r>
        <w:rPr>
          <w:rFonts w:ascii="宋体" w:hAnsi="宋体" w:cs="宋体" w:eastAsia="宋体" w:hint="default"/>
          <w:sz w:val="24"/>
          <w:szCs w:val="24"/>
        </w:rPr>
        <w:t>2、注册登记地点：北京市工商行政管理局</w:t>
      </w:r>
    </w:p>
    <w:p>
      <w:pPr>
        <w:spacing w:line="240" w:lineRule="auto" w:before="3"/>
        <w:rPr>
          <w:rFonts w:ascii="宋体" w:hAnsi="宋体" w:cs="宋体" w:eastAsia="宋体" w:hint="default"/>
          <w:sz w:val="21"/>
          <w:szCs w:val="21"/>
        </w:rPr>
      </w:pPr>
    </w:p>
    <w:p>
      <w:pPr>
        <w:spacing w:before="0"/>
        <w:ind w:left="620" w:right="140" w:firstLine="0"/>
        <w:jc w:val="left"/>
        <w:rPr>
          <w:rFonts w:ascii="宋体" w:hAnsi="宋体" w:cs="宋体" w:eastAsia="宋体" w:hint="default"/>
          <w:sz w:val="24"/>
          <w:szCs w:val="24"/>
        </w:rPr>
      </w:pPr>
      <w:r>
        <w:rPr>
          <w:rFonts w:ascii="宋体" w:hAnsi="宋体" w:cs="宋体" w:eastAsia="宋体" w:hint="default"/>
          <w:sz w:val="24"/>
          <w:szCs w:val="24"/>
        </w:rPr>
        <w:t>3、企业法人营业执照注册号：110000005119254</w:t>
      </w:r>
    </w:p>
    <w:p>
      <w:pPr>
        <w:spacing w:line="240" w:lineRule="auto" w:before="3"/>
        <w:rPr>
          <w:rFonts w:ascii="宋体" w:hAnsi="宋体" w:cs="宋体" w:eastAsia="宋体" w:hint="default"/>
          <w:sz w:val="21"/>
          <w:szCs w:val="21"/>
        </w:rPr>
      </w:pPr>
    </w:p>
    <w:p>
      <w:pPr>
        <w:spacing w:before="0"/>
        <w:ind w:left="620" w:right="140" w:firstLine="0"/>
        <w:jc w:val="left"/>
        <w:rPr>
          <w:rFonts w:ascii="宋体" w:hAnsi="宋体" w:cs="宋体" w:eastAsia="宋体" w:hint="default"/>
          <w:sz w:val="24"/>
          <w:szCs w:val="24"/>
        </w:rPr>
      </w:pPr>
      <w:r>
        <w:rPr>
          <w:rFonts w:ascii="宋体" w:hAnsi="宋体" w:cs="宋体" w:eastAsia="宋体" w:hint="default"/>
          <w:sz w:val="24"/>
          <w:szCs w:val="24"/>
        </w:rPr>
        <w:t>4、税务登记号码：110108600001760</w:t>
      </w:r>
    </w:p>
    <w:p>
      <w:pPr>
        <w:spacing w:line="240" w:lineRule="auto" w:before="2"/>
        <w:rPr>
          <w:rFonts w:ascii="宋体" w:hAnsi="宋体" w:cs="宋体" w:eastAsia="宋体" w:hint="default"/>
          <w:sz w:val="21"/>
          <w:szCs w:val="21"/>
        </w:rPr>
      </w:pPr>
    </w:p>
    <w:p>
      <w:pPr>
        <w:spacing w:before="0"/>
        <w:ind w:left="620" w:right="140" w:firstLine="0"/>
        <w:jc w:val="left"/>
        <w:rPr>
          <w:rFonts w:ascii="宋体" w:hAnsi="宋体" w:cs="宋体" w:eastAsia="宋体" w:hint="default"/>
          <w:sz w:val="24"/>
          <w:szCs w:val="24"/>
        </w:rPr>
      </w:pPr>
      <w:r>
        <w:rPr>
          <w:rFonts w:ascii="宋体" w:hAnsi="宋体" w:cs="宋体" w:eastAsia="宋体" w:hint="default"/>
          <w:sz w:val="24"/>
          <w:szCs w:val="24"/>
        </w:rPr>
        <w:t>5、组织机构代码：60000176-0</w:t>
      </w:r>
    </w:p>
    <w:p>
      <w:pPr>
        <w:spacing w:line="240" w:lineRule="auto" w:before="3"/>
        <w:rPr>
          <w:rFonts w:ascii="宋体" w:hAnsi="宋体" w:cs="宋体" w:eastAsia="宋体" w:hint="default"/>
          <w:sz w:val="21"/>
          <w:szCs w:val="21"/>
        </w:rPr>
      </w:pPr>
    </w:p>
    <w:p>
      <w:pPr>
        <w:spacing w:before="0"/>
        <w:ind w:left="620" w:right="140" w:firstLine="0"/>
        <w:jc w:val="left"/>
        <w:rPr>
          <w:rFonts w:ascii="宋体" w:hAnsi="宋体" w:cs="宋体" w:eastAsia="宋体" w:hint="default"/>
          <w:sz w:val="24"/>
          <w:szCs w:val="24"/>
        </w:rPr>
      </w:pPr>
      <w:r>
        <w:rPr>
          <w:rFonts w:ascii="宋体" w:hAnsi="宋体" w:cs="宋体" w:eastAsia="宋体" w:hint="default"/>
          <w:sz w:val="24"/>
          <w:szCs w:val="24"/>
        </w:rPr>
        <w:t>6、公司聘请的会计师事务所名称：安永华明会计师事务所</w:t>
      </w:r>
    </w:p>
    <w:p>
      <w:pPr>
        <w:spacing w:line="240" w:lineRule="auto" w:before="3"/>
        <w:rPr>
          <w:rFonts w:ascii="宋体" w:hAnsi="宋体" w:cs="宋体" w:eastAsia="宋体" w:hint="default"/>
          <w:sz w:val="21"/>
          <w:szCs w:val="21"/>
        </w:rPr>
      </w:pPr>
    </w:p>
    <w:p>
      <w:pPr>
        <w:spacing w:line="312" w:lineRule="exact" w:before="0"/>
        <w:ind w:left="619" w:right="0" w:firstLine="0"/>
        <w:jc w:val="left"/>
        <w:rPr>
          <w:rFonts w:ascii="宋体" w:hAnsi="宋体" w:cs="宋体" w:eastAsia="宋体" w:hint="default"/>
          <w:sz w:val="24"/>
          <w:szCs w:val="24"/>
        </w:rPr>
      </w:pPr>
      <w:r>
        <w:rPr>
          <w:rFonts w:ascii="宋体" w:hAnsi="宋体" w:cs="宋体" w:eastAsia="宋体" w:hint="default"/>
          <w:sz w:val="24"/>
          <w:szCs w:val="24"/>
        </w:rPr>
        <w:t>7、会计师事务所办公地址：北京市东城区东长安街</w:t>
      </w:r>
      <w:r>
        <w:rPr>
          <w:rFonts w:ascii="宋体" w:hAnsi="宋体" w:cs="宋体" w:eastAsia="宋体" w:hint="default"/>
          <w:spacing w:val="-59"/>
          <w:sz w:val="24"/>
          <w:szCs w:val="24"/>
        </w:rPr>
        <w:t> </w:t>
      </w:r>
      <w:r>
        <w:rPr>
          <w:rFonts w:ascii="宋体" w:hAnsi="宋体" w:cs="宋体" w:eastAsia="宋体" w:hint="default"/>
          <w:sz w:val="24"/>
          <w:szCs w:val="24"/>
        </w:rPr>
        <w:t>1</w:t>
      </w:r>
      <w:r>
        <w:rPr>
          <w:rFonts w:ascii="宋体" w:hAnsi="宋体" w:cs="宋体" w:eastAsia="宋体" w:hint="default"/>
          <w:spacing w:val="-59"/>
          <w:sz w:val="24"/>
          <w:szCs w:val="24"/>
        </w:rPr>
        <w:t> </w:t>
      </w:r>
      <w:r>
        <w:rPr>
          <w:rFonts w:ascii="宋体" w:hAnsi="宋体" w:cs="宋体" w:eastAsia="宋体" w:hint="default"/>
          <w:sz w:val="24"/>
          <w:szCs w:val="24"/>
        </w:rPr>
        <w:t>号东方广场东方经贸城东三办</w:t>
      </w:r>
    </w:p>
    <w:p>
      <w:pPr>
        <w:spacing w:line="312" w:lineRule="exact" w:before="0"/>
        <w:ind w:left="2533" w:right="3769" w:firstLine="0"/>
        <w:jc w:val="center"/>
        <w:rPr>
          <w:rFonts w:ascii="宋体" w:hAnsi="宋体" w:cs="宋体" w:eastAsia="宋体" w:hint="default"/>
          <w:sz w:val="24"/>
          <w:szCs w:val="24"/>
        </w:rPr>
      </w:pPr>
      <w:r>
        <w:rPr>
          <w:rFonts w:ascii="宋体" w:hAnsi="宋体" w:cs="宋体" w:eastAsia="宋体" w:hint="default"/>
          <w:sz w:val="24"/>
          <w:szCs w:val="24"/>
        </w:rPr>
        <w:t>公楼</w:t>
      </w:r>
      <w:r>
        <w:rPr>
          <w:rFonts w:ascii="宋体" w:hAnsi="宋体" w:cs="宋体" w:eastAsia="宋体" w:hint="default"/>
          <w:spacing w:val="-60"/>
          <w:sz w:val="24"/>
          <w:szCs w:val="24"/>
        </w:rPr>
        <w:t> </w:t>
      </w:r>
      <w:r>
        <w:rPr>
          <w:rFonts w:ascii="宋体" w:hAnsi="宋体" w:cs="宋体" w:eastAsia="宋体" w:hint="default"/>
          <w:sz w:val="24"/>
          <w:szCs w:val="24"/>
        </w:rPr>
        <w:t>16</w:t>
      </w:r>
      <w:r>
        <w:rPr>
          <w:rFonts w:ascii="宋体" w:hAnsi="宋体" w:cs="宋体" w:eastAsia="宋体" w:hint="default"/>
          <w:spacing w:val="-60"/>
          <w:sz w:val="24"/>
          <w:szCs w:val="24"/>
        </w:rPr>
        <w:t> </w:t>
      </w:r>
      <w:r>
        <w:rPr>
          <w:rFonts w:ascii="宋体" w:hAnsi="宋体" w:cs="宋体" w:eastAsia="宋体" w:hint="default"/>
          <w:sz w:val="24"/>
          <w:szCs w:val="24"/>
        </w:rPr>
        <w:t>层</w:t>
      </w:r>
    </w:p>
    <w:p>
      <w:pPr>
        <w:spacing w:after="0" w:line="312" w:lineRule="exact"/>
        <w:jc w:val="center"/>
        <w:rPr>
          <w:rFonts w:ascii="宋体" w:hAnsi="宋体" w:cs="宋体" w:eastAsia="宋体" w:hint="default"/>
          <w:sz w:val="24"/>
          <w:szCs w:val="24"/>
        </w:rPr>
        <w:sectPr>
          <w:pgSz w:w="11910" w:h="16840"/>
          <w:pgMar w:header="720" w:footer="727" w:top="1080" w:bottom="920" w:left="122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pStyle w:val="Heading3"/>
        <w:spacing w:line="240" w:lineRule="auto"/>
        <w:ind w:left="3104" w:right="2433"/>
        <w:jc w:val="left"/>
        <w:rPr>
          <w:b w:val="0"/>
          <w:bCs w:val="0"/>
        </w:rPr>
      </w:pPr>
      <w:bookmarkStart w:name="_bookmark1" w:id="3"/>
      <w:bookmarkEnd w:id="3"/>
      <w:r>
        <w:rPr>
          <w:b w:val="0"/>
          <w:bCs w:val="0"/>
        </w:rPr>
      </w:r>
      <w:r>
        <w:rPr/>
        <w:t>二、主要会计数据和指标</w:t>
      </w:r>
      <w:r>
        <w:rPr>
          <w:b w:val="0"/>
          <w:bCs w:val="0"/>
        </w:rPr>
      </w:r>
    </w:p>
    <w:p>
      <w:pPr>
        <w:spacing w:line="240" w:lineRule="auto" w:before="0"/>
        <w:rPr>
          <w:rFonts w:ascii="黑体" w:hAnsi="黑体" w:cs="黑体" w:eastAsia="黑体" w:hint="default"/>
          <w:b/>
          <w:bCs/>
          <w:sz w:val="26"/>
          <w:szCs w:val="26"/>
        </w:rPr>
      </w:pPr>
    </w:p>
    <w:p>
      <w:pPr>
        <w:spacing w:after="0" w:line="240" w:lineRule="auto"/>
        <w:rPr>
          <w:rFonts w:ascii="黑体" w:hAnsi="黑体" w:cs="黑体" w:eastAsia="黑体" w:hint="default"/>
          <w:sz w:val="26"/>
          <w:szCs w:val="26"/>
        </w:rPr>
        <w:sectPr>
          <w:pgSz w:w="11910" w:h="16840"/>
          <w:pgMar w:header="720" w:footer="727" w:top="1080" w:bottom="920" w:left="1220" w:right="1120"/>
        </w:sectPr>
      </w:pPr>
    </w:p>
    <w:p>
      <w:pPr>
        <w:spacing w:before="26"/>
        <w:ind w:left="540" w:right="-19" w:firstLine="0"/>
        <w:jc w:val="left"/>
        <w:rPr>
          <w:rFonts w:ascii="宋体" w:hAnsi="宋体" w:cs="宋体" w:eastAsia="宋体" w:hint="default"/>
          <w:sz w:val="24"/>
          <w:szCs w:val="24"/>
        </w:rPr>
      </w:pPr>
      <w:r>
        <w:rPr>
          <w:rFonts w:ascii="宋体" w:hAnsi="宋体" w:cs="宋体" w:eastAsia="宋体" w:hint="default"/>
          <w:b/>
          <w:bCs/>
          <w:sz w:val="24"/>
          <w:szCs w:val="24"/>
        </w:rPr>
        <w:t>(一) 主要会计数据</w:t>
      </w:r>
      <w:r>
        <w:rPr>
          <w:rFonts w:ascii="宋体" w:hAnsi="宋体" w:cs="宋体" w:eastAsia="宋体" w:hint="default"/>
          <w:sz w:val="24"/>
          <w:szCs w:val="24"/>
        </w:rPr>
      </w:r>
    </w:p>
    <w:p>
      <w:pPr>
        <w:spacing w:line="240" w:lineRule="auto" w:before="2"/>
        <w:rPr>
          <w:rFonts w:ascii="宋体" w:hAnsi="宋体" w:cs="宋体" w:eastAsia="宋体" w:hint="default"/>
          <w:b/>
          <w:bCs/>
          <w:sz w:val="26"/>
          <w:szCs w:val="26"/>
        </w:rPr>
      </w:pPr>
      <w:r>
        <w:rPr/>
        <w:br w:type="column"/>
      </w:r>
      <w:r>
        <w:rPr>
          <w:rFonts w:ascii="宋体"/>
          <w:b/>
          <w:sz w:val="26"/>
        </w:rPr>
      </w:r>
    </w:p>
    <w:p>
      <w:pPr>
        <w:spacing w:before="0"/>
        <w:ind w:left="540"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900" w:bottom="280" w:left="1220" w:right="1120"/>
          <w:cols w:num="2" w:equalWidth="0">
            <w:col w:w="2592" w:space="5411"/>
            <w:col w:w="1567"/>
          </w:cols>
        </w:sectPr>
      </w:pPr>
    </w:p>
    <w:p>
      <w:pPr>
        <w:spacing w:line="240" w:lineRule="auto" w:before="7"/>
        <w:rPr>
          <w:rFonts w:ascii="宋体" w:hAnsi="宋体" w:cs="宋体" w:eastAsia="宋体"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5509"/>
        <w:gridCol w:w="3701"/>
      </w:tblGrid>
      <w:tr>
        <w:trPr>
          <w:trHeight w:val="340" w:hRule="exact"/>
        </w:trPr>
        <w:tc>
          <w:tcPr>
            <w:tcW w:w="5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40" w:hRule="exact"/>
        </w:trPr>
        <w:tc>
          <w:tcPr>
            <w:tcW w:w="5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98"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3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97"/>
              <w:jc w:val="right"/>
              <w:rPr>
                <w:rFonts w:ascii="宋体" w:hAnsi="宋体" w:cs="宋体" w:eastAsia="宋体" w:hint="default"/>
                <w:sz w:val="21"/>
                <w:szCs w:val="21"/>
              </w:rPr>
            </w:pPr>
            <w:r>
              <w:rPr>
                <w:rFonts w:ascii="宋体"/>
                <w:spacing w:val="-1"/>
                <w:sz w:val="21"/>
              </w:rPr>
              <w:t>479,228,124</w:t>
            </w:r>
            <w:r>
              <w:rPr>
                <w:rFonts w:ascii="宋体"/>
                <w:sz w:val="21"/>
              </w:rPr>
            </w:r>
          </w:p>
        </w:tc>
      </w:tr>
      <w:tr>
        <w:trPr>
          <w:trHeight w:val="341" w:hRule="exact"/>
        </w:trPr>
        <w:tc>
          <w:tcPr>
            <w:tcW w:w="5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98"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3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97"/>
              <w:jc w:val="right"/>
              <w:rPr>
                <w:rFonts w:ascii="宋体" w:hAnsi="宋体" w:cs="宋体" w:eastAsia="宋体" w:hint="default"/>
                <w:sz w:val="21"/>
                <w:szCs w:val="21"/>
              </w:rPr>
            </w:pPr>
            <w:r>
              <w:rPr>
                <w:rFonts w:ascii="宋体"/>
                <w:spacing w:val="-1"/>
                <w:sz w:val="21"/>
              </w:rPr>
              <w:t>674,244,442</w:t>
            </w:r>
            <w:r>
              <w:rPr>
                <w:rFonts w:ascii="宋体"/>
                <w:sz w:val="21"/>
              </w:rPr>
            </w:r>
          </w:p>
        </w:tc>
      </w:tr>
      <w:tr>
        <w:trPr>
          <w:trHeight w:val="340" w:hRule="exact"/>
        </w:trPr>
        <w:tc>
          <w:tcPr>
            <w:tcW w:w="5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98"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3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97"/>
              <w:jc w:val="right"/>
              <w:rPr>
                <w:rFonts w:ascii="宋体" w:hAnsi="宋体" w:cs="宋体" w:eastAsia="宋体" w:hint="default"/>
                <w:sz w:val="21"/>
                <w:szCs w:val="21"/>
              </w:rPr>
            </w:pPr>
            <w:r>
              <w:rPr>
                <w:rFonts w:ascii="宋体"/>
                <w:spacing w:val="-1"/>
                <w:sz w:val="21"/>
              </w:rPr>
              <w:t>593,699,966</w:t>
            </w:r>
            <w:r>
              <w:rPr>
                <w:rFonts w:ascii="宋体"/>
                <w:sz w:val="21"/>
              </w:rPr>
            </w:r>
          </w:p>
        </w:tc>
      </w:tr>
      <w:tr>
        <w:trPr>
          <w:trHeight w:val="340" w:hRule="exact"/>
        </w:trPr>
        <w:tc>
          <w:tcPr>
            <w:tcW w:w="5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98"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3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97"/>
              <w:jc w:val="right"/>
              <w:rPr>
                <w:rFonts w:ascii="宋体" w:hAnsi="宋体" w:cs="宋体" w:eastAsia="宋体" w:hint="default"/>
                <w:sz w:val="21"/>
                <w:szCs w:val="21"/>
              </w:rPr>
            </w:pPr>
            <w:r>
              <w:rPr>
                <w:rFonts w:ascii="宋体"/>
                <w:spacing w:val="-1"/>
                <w:sz w:val="21"/>
              </w:rPr>
              <w:t>285,619,684</w:t>
            </w:r>
            <w:r>
              <w:rPr>
                <w:rFonts w:ascii="宋体"/>
                <w:sz w:val="21"/>
              </w:rPr>
            </w:r>
          </w:p>
        </w:tc>
      </w:tr>
      <w:tr>
        <w:trPr>
          <w:trHeight w:val="341" w:hRule="exact"/>
        </w:trPr>
        <w:tc>
          <w:tcPr>
            <w:tcW w:w="5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98"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3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96"/>
              <w:jc w:val="right"/>
              <w:rPr>
                <w:rFonts w:ascii="宋体" w:hAnsi="宋体" w:cs="宋体" w:eastAsia="宋体" w:hint="default"/>
                <w:sz w:val="21"/>
                <w:szCs w:val="21"/>
              </w:rPr>
            </w:pPr>
            <w:r>
              <w:rPr>
                <w:rFonts w:ascii="宋体"/>
                <w:spacing w:val="-1"/>
                <w:sz w:val="21"/>
              </w:rPr>
              <w:t>399,957,719</w:t>
            </w:r>
            <w:r>
              <w:rPr>
                <w:rFonts w:ascii="宋体"/>
                <w:sz w:val="21"/>
              </w:rPr>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type w:val="continuous"/>
          <w:pgSz w:w="11910" w:h="16840"/>
          <w:pgMar w:top="900" w:bottom="280" w:left="1220" w:right="1120"/>
        </w:sectPr>
      </w:pPr>
    </w:p>
    <w:p>
      <w:pPr>
        <w:spacing w:before="26"/>
        <w:ind w:left="540" w:right="-18" w:firstLine="0"/>
        <w:jc w:val="left"/>
        <w:rPr>
          <w:rFonts w:ascii="宋体" w:hAnsi="宋体" w:cs="宋体" w:eastAsia="宋体" w:hint="default"/>
          <w:sz w:val="24"/>
          <w:szCs w:val="24"/>
        </w:rPr>
      </w:pPr>
      <w:r>
        <w:rPr>
          <w:rFonts w:ascii="宋体" w:hAnsi="宋体" w:cs="宋体" w:eastAsia="宋体" w:hint="default"/>
          <w:b/>
          <w:bCs/>
          <w:sz w:val="24"/>
          <w:szCs w:val="24"/>
        </w:rPr>
        <w:t>(二) 非经常性损益项目和金额</w:t>
      </w:r>
      <w:r>
        <w:rPr>
          <w:rFonts w:ascii="宋体" w:hAnsi="宋体" w:cs="宋体" w:eastAsia="宋体" w:hint="default"/>
          <w:sz w:val="24"/>
          <w:szCs w:val="24"/>
        </w:rPr>
      </w:r>
    </w:p>
    <w:p>
      <w:pPr>
        <w:spacing w:line="240" w:lineRule="auto" w:before="0"/>
        <w:rPr>
          <w:rFonts w:ascii="宋体" w:hAnsi="宋体" w:cs="宋体" w:eastAsia="宋体" w:hint="default"/>
          <w:b/>
          <w:bCs/>
          <w:sz w:val="26"/>
          <w:szCs w:val="26"/>
        </w:rPr>
      </w:pPr>
      <w:r>
        <w:rPr/>
        <w:br w:type="column"/>
      </w:r>
      <w:r>
        <w:rPr>
          <w:rFonts w:ascii="宋体"/>
          <w:b/>
          <w:sz w:val="26"/>
        </w:rPr>
      </w:r>
    </w:p>
    <w:p>
      <w:pPr>
        <w:spacing w:before="0"/>
        <w:ind w:left="540"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900" w:bottom="280" w:left="1220" w:right="1120"/>
          <w:cols w:num="2" w:equalWidth="0">
            <w:col w:w="3797" w:space="4206"/>
            <w:col w:w="1567"/>
          </w:cols>
        </w:sectPr>
      </w:pPr>
    </w:p>
    <w:p>
      <w:pPr>
        <w:spacing w:line="240" w:lineRule="auto" w:before="7"/>
        <w:rPr>
          <w:rFonts w:ascii="宋体" w:hAnsi="宋体" w:cs="宋体" w:eastAsia="宋体" w:hint="default"/>
          <w:sz w:val="2"/>
          <w:szCs w:val="2"/>
        </w:rPr>
      </w:pPr>
    </w:p>
    <w:tbl>
      <w:tblPr>
        <w:tblW w:w="0" w:type="auto"/>
        <w:jc w:val="left"/>
        <w:tblInd w:w="131" w:type="dxa"/>
        <w:tblLayout w:type="fixed"/>
        <w:tblCellMar>
          <w:top w:w="0" w:type="dxa"/>
          <w:left w:w="0" w:type="dxa"/>
          <w:bottom w:w="0" w:type="dxa"/>
          <w:right w:w="0" w:type="dxa"/>
        </w:tblCellMar>
        <w:tblLook w:val="01E0"/>
      </w:tblPr>
      <w:tblGrid>
        <w:gridCol w:w="7489"/>
        <w:gridCol w:w="1816"/>
      </w:tblGrid>
      <w:tr>
        <w:trPr>
          <w:trHeight w:val="408" w:hRule="exact"/>
        </w:trPr>
        <w:tc>
          <w:tcPr>
            <w:tcW w:w="7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
              <w:jc w:val="center"/>
              <w:rPr>
                <w:rFonts w:ascii="宋体" w:hAnsi="宋体" w:cs="宋体" w:eastAsia="宋体" w:hint="default"/>
                <w:sz w:val="21"/>
                <w:szCs w:val="21"/>
              </w:rPr>
            </w:pPr>
            <w:r>
              <w:rPr>
                <w:rFonts w:ascii="宋体" w:hAnsi="宋体" w:cs="宋体" w:eastAsia="宋体" w:hint="default"/>
                <w:sz w:val="21"/>
                <w:szCs w:val="21"/>
              </w:rPr>
              <w:t>非经常性损益项目</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407" w:hRule="exact"/>
        </w:trPr>
        <w:tc>
          <w:tcPr>
            <w:tcW w:w="7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21"/>
                <w:szCs w:val="21"/>
              </w:rPr>
            </w:pPr>
            <w:r>
              <w:rPr>
                <w:rFonts w:ascii="宋体" w:hAnsi="宋体" w:cs="宋体" w:eastAsia="宋体" w:hint="default"/>
                <w:sz w:val="21"/>
                <w:szCs w:val="21"/>
              </w:rPr>
              <w:t>交易性金融资产、交易性金融负债产生的公允价值变动收益/(损失)</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0"/>
              <w:jc w:val="right"/>
              <w:rPr>
                <w:rFonts w:ascii="宋体" w:hAnsi="宋体" w:cs="宋体" w:eastAsia="宋体" w:hint="default"/>
                <w:sz w:val="21"/>
                <w:szCs w:val="21"/>
              </w:rPr>
            </w:pPr>
            <w:r>
              <w:rPr>
                <w:rFonts w:ascii="宋体"/>
                <w:sz w:val="21"/>
              </w:rPr>
              <w:t>49,129,953</w:t>
            </w:r>
          </w:p>
        </w:tc>
      </w:tr>
      <w:tr>
        <w:trPr>
          <w:trHeight w:val="407" w:hRule="exact"/>
        </w:trPr>
        <w:tc>
          <w:tcPr>
            <w:tcW w:w="7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21"/>
                <w:szCs w:val="21"/>
              </w:rPr>
            </w:pPr>
            <w:r>
              <w:rPr>
                <w:rFonts w:ascii="宋体" w:hAnsi="宋体" w:cs="宋体" w:eastAsia="宋体" w:hint="default"/>
                <w:sz w:val="21"/>
                <w:szCs w:val="21"/>
              </w:rPr>
              <w:t>处置交易性金融资产、交易性金融负债和可供出售金融资产取得的投资收益</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0"/>
              <w:jc w:val="right"/>
              <w:rPr>
                <w:rFonts w:ascii="宋体" w:hAnsi="宋体" w:cs="宋体" w:eastAsia="宋体" w:hint="default"/>
                <w:sz w:val="21"/>
                <w:szCs w:val="21"/>
              </w:rPr>
            </w:pPr>
            <w:r>
              <w:rPr>
                <w:rFonts w:ascii="宋体"/>
                <w:sz w:val="21"/>
              </w:rPr>
              <w:t>230,593,283</w:t>
            </w:r>
          </w:p>
        </w:tc>
      </w:tr>
      <w:tr>
        <w:trPr>
          <w:trHeight w:val="407" w:hRule="exact"/>
        </w:trPr>
        <w:tc>
          <w:tcPr>
            <w:tcW w:w="7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21"/>
                <w:szCs w:val="21"/>
              </w:rPr>
            </w:pPr>
            <w:r>
              <w:rPr>
                <w:rFonts w:ascii="宋体" w:hAnsi="宋体" w:cs="宋体" w:eastAsia="宋体" w:hint="default"/>
                <w:sz w:val="21"/>
                <w:szCs w:val="21"/>
              </w:rPr>
              <w:t>处置固定资产、无形资产损失/(收益)</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0"/>
              <w:jc w:val="right"/>
              <w:rPr>
                <w:rFonts w:ascii="宋体" w:hAnsi="宋体" w:cs="宋体" w:eastAsia="宋体" w:hint="default"/>
                <w:sz w:val="21"/>
                <w:szCs w:val="21"/>
              </w:rPr>
            </w:pPr>
            <w:r>
              <w:rPr>
                <w:rFonts w:ascii="宋体"/>
                <w:sz w:val="21"/>
              </w:rPr>
              <w:t>-1,021,204</w:t>
            </w:r>
          </w:p>
        </w:tc>
      </w:tr>
      <w:tr>
        <w:trPr>
          <w:trHeight w:val="407" w:hRule="exact"/>
        </w:trPr>
        <w:tc>
          <w:tcPr>
            <w:tcW w:w="7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21"/>
                <w:szCs w:val="21"/>
              </w:rPr>
            </w:pPr>
            <w:r>
              <w:rPr>
                <w:rFonts w:ascii="宋体" w:hAnsi="宋体" w:cs="宋体" w:eastAsia="宋体" w:hint="default"/>
                <w:sz w:val="21"/>
                <w:szCs w:val="21"/>
              </w:rPr>
              <w:t>处置长期股权投资收益</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21"/>
                <w:szCs w:val="21"/>
              </w:rPr>
            </w:pPr>
            <w:r>
              <w:rPr>
                <w:rFonts w:ascii="宋体"/>
                <w:sz w:val="21"/>
              </w:rPr>
              <w:t>6,234,809</w:t>
            </w:r>
          </w:p>
        </w:tc>
      </w:tr>
      <w:tr>
        <w:trPr>
          <w:trHeight w:val="407" w:hRule="exact"/>
        </w:trPr>
        <w:tc>
          <w:tcPr>
            <w:tcW w:w="7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21"/>
                <w:szCs w:val="21"/>
              </w:rPr>
            </w:pPr>
            <w:r>
              <w:rPr>
                <w:rFonts w:ascii="宋体" w:hAnsi="宋体" w:cs="宋体" w:eastAsia="宋体" w:hint="default"/>
                <w:sz w:val="21"/>
                <w:szCs w:val="21"/>
              </w:rPr>
              <w:t>计入当期损益的政府补助</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99"/>
              <w:jc w:val="right"/>
              <w:rPr>
                <w:rFonts w:ascii="宋体" w:hAnsi="宋体" w:cs="宋体" w:eastAsia="宋体" w:hint="default"/>
                <w:sz w:val="21"/>
                <w:szCs w:val="21"/>
              </w:rPr>
            </w:pPr>
            <w:r>
              <w:rPr>
                <w:rFonts w:ascii="宋体"/>
                <w:sz w:val="21"/>
              </w:rPr>
              <w:t>50,075,797</w:t>
            </w:r>
          </w:p>
        </w:tc>
      </w:tr>
      <w:tr>
        <w:trPr>
          <w:trHeight w:val="408" w:hRule="exact"/>
        </w:trPr>
        <w:tc>
          <w:tcPr>
            <w:tcW w:w="7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21"/>
                <w:szCs w:val="21"/>
              </w:rPr>
            </w:pPr>
            <w:r>
              <w:rPr>
                <w:rFonts w:ascii="宋体" w:hAnsi="宋体" w:cs="宋体" w:eastAsia="宋体" w:hint="default"/>
                <w:sz w:val="21"/>
                <w:szCs w:val="21"/>
              </w:rPr>
              <w:t>注销分公司的净损失</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99"/>
              <w:jc w:val="right"/>
              <w:rPr>
                <w:rFonts w:ascii="宋体" w:hAnsi="宋体" w:cs="宋体" w:eastAsia="宋体" w:hint="default"/>
                <w:sz w:val="21"/>
                <w:szCs w:val="21"/>
              </w:rPr>
            </w:pPr>
            <w:r>
              <w:rPr>
                <w:rFonts w:ascii="宋体"/>
                <w:sz w:val="21"/>
              </w:rPr>
              <w:t>-3,321,974</w:t>
            </w:r>
          </w:p>
        </w:tc>
      </w:tr>
      <w:tr>
        <w:trPr>
          <w:trHeight w:val="407" w:hRule="exact"/>
        </w:trPr>
        <w:tc>
          <w:tcPr>
            <w:tcW w:w="7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除上述各项之外的其他营业外收支净额</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21"/>
                <w:szCs w:val="21"/>
              </w:rPr>
            </w:pPr>
            <w:r>
              <w:rPr>
                <w:rFonts w:ascii="宋体"/>
                <w:sz w:val="21"/>
              </w:rPr>
              <w:t>2,131,783</w:t>
            </w:r>
          </w:p>
        </w:tc>
      </w:tr>
      <w:tr>
        <w:trPr>
          <w:trHeight w:val="407" w:hRule="exact"/>
        </w:trPr>
        <w:tc>
          <w:tcPr>
            <w:tcW w:w="7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21"/>
                <w:szCs w:val="21"/>
              </w:rPr>
            </w:pPr>
            <w:r>
              <w:rPr>
                <w:rFonts w:ascii="宋体" w:hAnsi="宋体" w:cs="宋体" w:eastAsia="宋体" w:hint="default"/>
                <w:sz w:val="21"/>
                <w:szCs w:val="21"/>
              </w:rPr>
              <w:t>所得税影响数</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0"/>
              <w:jc w:val="right"/>
              <w:rPr>
                <w:rFonts w:ascii="宋体" w:hAnsi="宋体" w:cs="宋体" w:eastAsia="宋体" w:hint="default"/>
                <w:sz w:val="21"/>
                <w:szCs w:val="21"/>
              </w:rPr>
            </w:pPr>
            <w:r>
              <w:rPr>
                <w:rFonts w:ascii="宋体"/>
                <w:sz w:val="21"/>
              </w:rPr>
              <w:t>-25,742,165</w:t>
            </w:r>
          </w:p>
        </w:tc>
      </w:tr>
      <w:tr>
        <w:trPr>
          <w:trHeight w:val="407" w:hRule="exact"/>
        </w:trPr>
        <w:tc>
          <w:tcPr>
            <w:tcW w:w="7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0"/>
              <w:jc w:val="right"/>
              <w:rPr>
                <w:rFonts w:ascii="宋体" w:hAnsi="宋体" w:cs="宋体" w:eastAsia="宋体" w:hint="default"/>
                <w:sz w:val="21"/>
                <w:szCs w:val="21"/>
              </w:rPr>
            </w:pPr>
            <w:r>
              <w:rPr>
                <w:rFonts w:ascii="宋体"/>
                <w:spacing w:val="-1"/>
                <w:sz w:val="21"/>
              </w:rPr>
              <w:t>308,080,282</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type w:val="continuous"/>
          <w:pgSz w:w="11910" w:h="16840"/>
          <w:pgMar w:top="900" w:bottom="280" w:left="1220" w:right="1120"/>
        </w:sectPr>
      </w:pPr>
    </w:p>
    <w:p>
      <w:pPr>
        <w:spacing w:before="26"/>
        <w:ind w:left="540" w:right="-19" w:firstLine="0"/>
        <w:jc w:val="left"/>
        <w:rPr>
          <w:rFonts w:ascii="宋体" w:hAnsi="宋体" w:cs="宋体" w:eastAsia="宋体" w:hint="default"/>
          <w:sz w:val="24"/>
          <w:szCs w:val="24"/>
        </w:rPr>
      </w:pPr>
      <w:r>
        <w:rPr>
          <w:rFonts w:ascii="宋体" w:hAnsi="宋体" w:cs="宋体" w:eastAsia="宋体" w:hint="default"/>
          <w:b/>
          <w:bCs/>
          <w:sz w:val="24"/>
          <w:szCs w:val="24"/>
        </w:rPr>
        <w:t>(三)</w:t>
      </w:r>
      <w:r>
        <w:rPr>
          <w:rFonts w:ascii="宋体" w:hAnsi="宋体" w:cs="宋体" w:eastAsia="宋体" w:hint="default"/>
          <w:b/>
          <w:bCs/>
          <w:spacing w:val="1"/>
          <w:sz w:val="24"/>
          <w:szCs w:val="24"/>
        </w:rPr>
        <w:t> </w:t>
      </w:r>
      <w:r>
        <w:rPr>
          <w:rFonts w:ascii="宋体" w:hAnsi="宋体" w:cs="宋体" w:eastAsia="宋体" w:hint="default"/>
          <w:b/>
          <w:bCs/>
          <w:sz w:val="24"/>
          <w:szCs w:val="24"/>
        </w:rPr>
        <w:t>报告期末公司前三年主要会计数据和财务指标</w:t>
      </w:r>
      <w:r>
        <w:rPr>
          <w:rFonts w:ascii="宋体" w:hAnsi="宋体" w:cs="宋体" w:eastAsia="宋体" w:hint="default"/>
          <w:sz w:val="24"/>
          <w:szCs w:val="24"/>
        </w:rPr>
      </w:r>
    </w:p>
    <w:p>
      <w:pPr>
        <w:spacing w:line="240" w:lineRule="auto" w:before="2"/>
        <w:rPr>
          <w:rFonts w:ascii="宋体" w:hAnsi="宋体" w:cs="宋体" w:eastAsia="宋体" w:hint="default"/>
          <w:b/>
          <w:bCs/>
          <w:sz w:val="26"/>
          <w:szCs w:val="26"/>
        </w:rPr>
      </w:pPr>
      <w:r>
        <w:rPr/>
        <w:br w:type="column"/>
      </w:r>
      <w:r>
        <w:rPr>
          <w:rFonts w:ascii="宋体"/>
          <w:b/>
          <w:sz w:val="26"/>
        </w:rPr>
      </w:r>
    </w:p>
    <w:p>
      <w:pPr>
        <w:spacing w:before="0"/>
        <w:ind w:left="540"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900" w:bottom="280" w:left="1220" w:right="1120"/>
          <w:cols w:num="2" w:equalWidth="0">
            <w:col w:w="5965" w:space="2038"/>
            <w:col w:w="1567"/>
          </w:cols>
        </w:sectPr>
      </w:pPr>
    </w:p>
    <w:p>
      <w:pPr>
        <w:spacing w:line="240" w:lineRule="auto" w:before="7"/>
        <w:rPr>
          <w:rFonts w:ascii="宋体" w:hAnsi="宋体" w:cs="宋体" w:eastAsia="宋体" w:hint="default"/>
          <w:sz w:val="2"/>
          <w:szCs w:val="2"/>
        </w:rPr>
      </w:pPr>
    </w:p>
    <w:tbl>
      <w:tblPr>
        <w:tblW w:w="0" w:type="auto"/>
        <w:jc w:val="left"/>
        <w:tblInd w:w="131" w:type="dxa"/>
        <w:tblLayout w:type="fixed"/>
        <w:tblCellMar>
          <w:top w:w="0" w:type="dxa"/>
          <w:left w:w="0" w:type="dxa"/>
          <w:bottom w:w="0" w:type="dxa"/>
          <w:right w:w="0" w:type="dxa"/>
        </w:tblCellMar>
        <w:tblLook w:val="01E0"/>
      </w:tblPr>
      <w:tblGrid>
        <w:gridCol w:w="2305"/>
        <w:gridCol w:w="1399"/>
        <w:gridCol w:w="1554"/>
        <w:gridCol w:w="1446"/>
        <w:gridCol w:w="1100"/>
        <w:gridCol w:w="1400"/>
      </w:tblGrid>
      <w:tr>
        <w:trPr>
          <w:trHeight w:val="244" w:hRule="exact"/>
        </w:trPr>
        <w:tc>
          <w:tcPr>
            <w:tcW w:w="230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607" w:right="0"/>
              <w:jc w:val="left"/>
              <w:rPr>
                <w:rFonts w:ascii="宋体" w:hAnsi="宋体" w:cs="宋体" w:eastAsia="宋体" w:hint="default"/>
                <w:sz w:val="18"/>
                <w:szCs w:val="18"/>
              </w:rPr>
            </w:pPr>
            <w:r>
              <w:rPr>
                <w:rFonts w:ascii="宋体" w:hAnsi="宋体" w:cs="宋体" w:eastAsia="宋体" w:hint="default"/>
                <w:sz w:val="18"/>
                <w:szCs w:val="18"/>
              </w:rPr>
              <w:t>主要财务指标</w:t>
            </w:r>
          </w:p>
        </w:tc>
        <w:tc>
          <w:tcPr>
            <w:tcW w:w="1399"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40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30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100" w:type="dxa"/>
            <w:vMerge w:val="restart"/>
            <w:tcBorders>
              <w:top w:val="single" w:sz="4" w:space="0" w:color="000000"/>
              <w:left w:val="single" w:sz="4" w:space="0" w:color="000000"/>
              <w:right w:val="single" w:sz="4" w:space="0" w:color="000000"/>
            </w:tcBorders>
          </w:tcPr>
          <w:p>
            <w:pPr>
              <w:pStyle w:val="TableParagraph"/>
              <w:spacing w:line="204" w:lineRule="exact"/>
              <w:ind w:left="184" w:right="0"/>
              <w:jc w:val="left"/>
              <w:rPr>
                <w:rFonts w:ascii="宋体" w:hAnsi="宋体" w:cs="宋体" w:eastAsia="宋体" w:hint="default"/>
                <w:sz w:val="18"/>
                <w:szCs w:val="18"/>
              </w:rPr>
            </w:pPr>
            <w:r>
              <w:rPr>
                <w:rFonts w:ascii="宋体" w:hAnsi="宋体" w:cs="宋体" w:eastAsia="宋体" w:hint="default"/>
                <w:sz w:val="18"/>
                <w:szCs w:val="18"/>
              </w:rPr>
              <w:t>本期比上</w:t>
            </w:r>
          </w:p>
          <w:p>
            <w:pPr>
              <w:pStyle w:val="TableParagraph"/>
              <w:spacing w:line="240" w:lineRule="auto"/>
              <w:ind w:left="320" w:right="185" w:hanging="136"/>
              <w:jc w:val="left"/>
              <w:rPr>
                <w:rFonts w:ascii="宋体" w:hAnsi="宋体" w:cs="宋体" w:eastAsia="宋体" w:hint="default"/>
                <w:sz w:val="18"/>
                <w:szCs w:val="18"/>
              </w:rPr>
            </w:pPr>
            <w:r>
              <w:rPr>
                <w:rFonts w:ascii="宋体" w:hAnsi="宋体" w:cs="宋体" w:eastAsia="宋体" w:hint="default"/>
                <w:sz w:val="18"/>
                <w:szCs w:val="18"/>
              </w:rPr>
              <w:t>年同期增 减(%)</w:t>
            </w:r>
          </w:p>
        </w:tc>
        <w:tc>
          <w:tcPr>
            <w:tcW w:w="140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403"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p>
        </w:tc>
      </w:tr>
      <w:tr>
        <w:trPr>
          <w:trHeight w:val="467" w:hRule="exact"/>
        </w:trPr>
        <w:tc>
          <w:tcPr>
            <w:tcW w:w="2305" w:type="dxa"/>
            <w:vMerge/>
            <w:tcBorders>
              <w:left w:val="single" w:sz="4" w:space="0" w:color="000000"/>
              <w:bottom w:val="single" w:sz="4" w:space="0" w:color="000000"/>
              <w:right w:val="single" w:sz="4" w:space="0" w:color="000000"/>
            </w:tcBorders>
          </w:tcPr>
          <w:p>
            <w:pPr/>
          </w:p>
        </w:tc>
        <w:tc>
          <w:tcPr>
            <w:tcW w:w="1399" w:type="dxa"/>
            <w:vMerge/>
            <w:tcBorders>
              <w:left w:val="single" w:sz="4" w:space="0" w:color="000000"/>
              <w:bottom w:val="single" w:sz="4" w:space="0" w:color="000000"/>
              <w:right w:val="single" w:sz="4" w:space="0" w:color="000000"/>
            </w:tcBorders>
          </w:tcPr>
          <w:p>
            <w:pP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501"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447"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100" w:type="dxa"/>
            <w:vMerge/>
            <w:tcBorders>
              <w:left w:val="single" w:sz="4" w:space="0" w:color="000000"/>
              <w:bottom w:val="single" w:sz="4" w:space="0" w:color="000000"/>
              <w:right w:val="single" w:sz="4" w:space="0" w:color="000000"/>
            </w:tcBorders>
          </w:tcPr>
          <w:p>
            <w:pPr/>
          </w:p>
        </w:tc>
        <w:tc>
          <w:tcPr>
            <w:tcW w:w="1400" w:type="dxa"/>
            <w:vMerge/>
            <w:tcBorders>
              <w:left w:val="single" w:sz="4" w:space="0" w:color="000000"/>
              <w:bottom w:val="single" w:sz="4" w:space="0" w:color="000000"/>
              <w:right w:val="single" w:sz="4" w:space="0" w:color="000000"/>
            </w:tcBorders>
          </w:tcPr>
          <w:p>
            <w:pPr/>
          </w:p>
        </w:tc>
      </w:tr>
      <w:tr>
        <w:trPr>
          <w:trHeight w:val="294" w:hRule="exact"/>
        </w:trPr>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99"/>
              <w:jc w:val="right"/>
              <w:rPr>
                <w:rFonts w:ascii="宋体" w:hAnsi="宋体" w:cs="宋体" w:eastAsia="宋体" w:hint="default"/>
                <w:sz w:val="18"/>
                <w:szCs w:val="18"/>
              </w:rPr>
            </w:pPr>
            <w:r>
              <w:rPr>
                <w:rFonts w:ascii="宋体"/>
                <w:sz w:val="18"/>
              </w:rPr>
              <w:t>2,347,005,714</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1,725,632,957</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1,725,632,957</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36.01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1,356,849,693</w:t>
            </w:r>
          </w:p>
        </w:tc>
      </w:tr>
      <w:tr>
        <w:trPr>
          <w:trHeight w:val="294" w:hRule="exact"/>
        </w:trPr>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99"/>
              <w:jc w:val="right"/>
              <w:rPr>
                <w:rFonts w:ascii="宋体" w:hAnsi="宋体" w:cs="宋体" w:eastAsia="宋体" w:hint="default"/>
                <w:sz w:val="18"/>
                <w:szCs w:val="18"/>
              </w:rPr>
            </w:pPr>
            <w:r>
              <w:rPr>
                <w:rFonts w:ascii="宋体"/>
                <w:sz w:val="18"/>
              </w:rPr>
              <w:t>674,244,442</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464,068,830</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468,062,101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45.29</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387,796,587</w:t>
            </w:r>
          </w:p>
        </w:tc>
      </w:tr>
      <w:tr>
        <w:trPr>
          <w:trHeight w:val="476" w:hRule="exact"/>
        </w:trPr>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0"/>
                <w:sz w:val="18"/>
                <w:szCs w:val="18"/>
              </w:rPr>
              <w:t>归属于上市公司股东的净</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利润</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99"/>
              <w:jc w:val="right"/>
              <w:rPr>
                <w:rFonts w:ascii="宋体" w:hAnsi="宋体" w:cs="宋体" w:eastAsia="宋体" w:hint="default"/>
                <w:sz w:val="18"/>
                <w:szCs w:val="18"/>
              </w:rPr>
            </w:pPr>
            <w:r>
              <w:rPr>
                <w:rFonts w:ascii="宋体"/>
                <w:sz w:val="18"/>
              </w:rPr>
              <w:t>593,699,966</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391,432,157</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395,425,428</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51.67</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360,451,392</w:t>
            </w:r>
          </w:p>
        </w:tc>
      </w:tr>
      <w:tr>
        <w:trPr>
          <w:trHeight w:val="476" w:hRule="exact"/>
        </w:trPr>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0"/>
                <w:sz w:val="18"/>
                <w:szCs w:val="18"/>
              </w:rPr>
              <w:t>归属于上市公司股东的扣</w:t>
            </w:r>
            <w:r>
              <w:rPr>
                <w:rFonts w:ascii="宋体" w:hAnsi="宋体" w:cs="宋体" w:eastAsia="宋体" w:hint="default"/>
                <w:sz w:val="18"/>
                <w:szCs w:val="18"/>
              </w:rPr>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除非经常性损益的净利润</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99"/>
              <w:jc w:val="right"/>
              <w:rPr>
                <w:rFonts w:ascii="宋体" w:hAnsi="宋体" w:cs="宋体" w:eastAsia="宋体" w:hint="default"/>
                <w:sz w:val="18"/>
                <w:szCs w:val="18"/>
              </w:rPr>
            </w:pPr>
            <w:r>
              <w:rPr>
                <w:rFonts w:ascii="宋体"/>
                <w:sz w:val="18"/>
              </w:rPr>
              <w:t>285,619,684</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222,861,626</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222,861,626</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28.16</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214,893,636</w:t>
            </w:r>
          </w:p>
        </w:tc>
      </w:tr>
      <w:tr>
        <w:trPr>
          <w:trHeight w:val="710" w:hRule="exact"/>
        </w:trPr>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0"/>
                <w:sz w:val="18"/>
                <w:szCs w:val="18"/>
              </w:rPr>
              <w:t>归属于上市公司股东的扣</w:t>
            </w:r>
            <w:r>
              <w:rPr>
                <w:rFonts w:ascii="宋体" w:hAnsi="宋体" w:cs="宋体" w:eastAsia="宋体" w:hint="default"/>
                <w:sz w:val="18"/>
                <w:szCs w:val="18"/>
              </w:rPr>
            </w:r>
          </w:p>
          <w:p>
            <w:pPr>
              <w:pStyle w:val="TableParagraph"/>
              <w:spacing w:line="240" w:lineRule="auto"/>
              <w:ind w:left="103" w:right="91"/>
              <w:jc w:val="left"/>
              <w:rPr>
                <w:rFonts w:ascii="宋体" w:hAnsi="宋体" w:cs="宋体" w:eastAsia="宋体" w:hint="default"/>
                <w:sz w:val="18"/>
                <w:szCs w:val="18"/>
              </w:rPr>
            </w:pPr>
            <w:r>
              <w:rPr>
                <w:rFonts w:ascii="宋体" w:hAnsi="宋体" w:cs="宋体" w:eastAsia="宋体" w:hint="default"/>
                <w:spacing w:val="10"/>
                <w:sz w:val="18"/>
                <w:szCs w:val="18"/>
              </w:rPr>
              <w:t>除非经常性损益和股权激 </w:t>
            </w:r>
            <w:r>
              <w:rPr>
                <w:rFonts w:ascii="宋体" w:hAnsi="宋体" w:cs="宋体" w:eastAsia="宋体" w:hint="default"/>
                <w:sz w:val="18"/>
                <w:szCs w:val="18"/>
              </w:rPr>
              <w:t>励成本的净利润</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8"/>
                <w:szCs w:val="18"/>
              </w:rPr>
            </w:pPr>
            <w:r>
              <w:rPr>
                <w:rFonts w:ascii="宋体"/>
                <w:sz w:val="18"/>
              </w:rPr>
              <w:t>293,869,291</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261,105,426</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261,105,426</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12.55</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221,381,927</w:t>
            </w:r>
          </w:p>
        </w:tc>
      </w:tr>
      <w:tr>
        <w:trPr>
          <w:trHeight w:val="478" w:hRule="exact"/>
        </w:trPr>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0"/>
                <w:sz w:val="18"/>
                <w:szCs w:val="18"/>
              </w:rPr>
              <w:t>经营活动产生的现金流量</w:t>
            </w:r>
            <w:r>
              <w:rPr>
                <w:rFonts w:ascii="宋体" w:hAnsi="宋体" w:cs="宋体" w:eastAsia="宋体" w:hint="default"/>
                <w:sz w:val="18"/>
                <w:szCs w:val="18"/>
              </w:rPr>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净额</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99"/>
              <w:jc w:val="right"/>
              <w:rPr>
                <w:rFonts w:ascii="宋体" w:hAnsi="宋体" w:cs="宋体" w:eastAsia="宋体" w:hint="default"/>
                <w:sz w:val="18"/>
                <w:szCs w:val="18"/>
              </w:rPr>
            </w:pPr>
            <w:r>
              <w:rPr>
                <w:rFonts w:ascii="宋体"/>
                <w:sz w:val="18"/>
              </w:rPr>
              <w:t>399,957,719</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362,208,139</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362,208,139</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10.42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343,115,812</w:t>
            </w:r>
          </w:p>
        </w:tc>
      </w:tr>
      <w:tr>
        <w:trPr>
          <w:trHeight w:val="244" w:hRule="exact"/>
        </w:trPr>
        <w:tc>
          <w:tcPr>
            <w:tcW w:w="2305" w:type="dxa"/>
            <w:vMerge w:val="restart"/>
            <w:tcBorders>
              <w:top w:val="single" w:sz="4" w:space="0" w:color="000000"/>
              <w:left w:val="single" w:sz="4" w:space="0" w:color="000000"/>
              <w:right w:val="single" w:sz="4" w:space="0" w:color="000000"/>
            </w:tcBorders>
          </w:tcPr>
          <w:p>
            <w:pPr/>
          </w:p>
        </w:tc>
        <w:tc>
          <w:tcPr>
            <w:tcW w:w="1399" w:type="dxa"/>
            <w:vMerge w:val="restart"/>
            <w:tcBorders>
              <w:top w:val="single" w:sz="4" w:space="0" w:color="000000"/>
              <w:left w:val="single" w:sz="4" w:space="0" w:color="000000"/>
              <w:right w:val="single" w:sz="4" w:space="0" w:color="000000"/>
            </w:tcBorders>
          </w:tcPr>
          <w:p>
            <w:pPr>
              <w:pStyle w:val="TableParagraph"/>
              <w:spacing w:line="240" w:lineRule="auto" w:before="86"/>
              <w:ind w:left="40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30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100" w:type="dxa"/>
            <w:vMerge w:val="restart"/>
            <w:tcBorders>
              <w:top w:val="single" w:sz="4" w:space="0" w:color="000000"/>
              <w:left w:val="single" w:sz="4" w:space="0" w:color="000000"/>
              <w:right w:val="single" w:sz="4" w:space="0" w:color="000000"/>
            </w:tcBorders>
          </w:tcPr>
          <w:p>
            <w:pPr>
              <w:pStyle w:val="TableParagraph"/>
              <w:spacing w:line="204" w:lineRule="exact"/>
              <w:ind w:left="184" w:right="0"/>
              <w:jc w:val="left"/>
              <w:rPr>
                <w:rFonts w:ascii="宋体" w:hAnsi="宋体" w:cs="宋体" w:eastAsia="宋体" w:hint="default"/>
                <w:sz w:val="18"/>
                <w:szCs w:val="18"/>
              </w:rPr>
            </w:pPr>
            <w:r>
              <w:rPr>
                <w:rFonts w:ascii="宋体" w:hAnsi="宋体" w:cs="宋体" w:eastAsia="宋体" w:hint="default"/>
                <w:sz w:val="18"/>
                <w:szCs w:val="18"/>
              </w:rPr>
              <w:t>本期比上</w:t>
            </w:r>
          </w:p>
          <w:p>
            <w:pPr>
              <w:pStyle w:val="TableParagraph"/>
              <w:spacing w:line="234" w:lineRule="exact"/>
              <w:ind w:left="184" w:right="0"/>
              <w:jc w:val="left"/>
              <w:rPr>
                <w:rFonts w:ascii="宋体" w:hAnsi="宋体" w:cs="宋体" w:eastAsia="宋体" w:hint="default"/>
                <w:sz w:val="18"/>
                <w:szCs w:val="18"/>
              </w:rPr>
            </w:pPr>
            <w:r>
              <w:rPr>
                <w:rFonts w:ascii="宋体" w:hAnsi="宋体" w:cs="宋体" w:eastAsia="宋体" w:hint="default"/>
                <w:sz w:val="18"/>
                <w:szCs w:val="18"/>
              </w:rPr>
              <w:t>年同期增</w:t>
            </w:r>
          </w:p>
        </w:tc>
        <w:tc>
          <w:tcPr>
            <w:tcW w:w="1400" w:type="dxa"/>
            <w:vMerge w:val="restart"/>
            <w:tcBorders>
              <w:top w:val="single" w:sz="4" w:space="0" w:color="000000"/>
              <w:left w:val="single" w:sz="4" w:space="0" w:color="000000"/>
              <w:right w:val="single" w:sz="4" w:space="0" w:color="000000"/>
            </w:tcBorders>
          </w:tcPr>
          <w:p>
            <w:pPr>
              <w:pStyle w:val="TableParagraph"/>
              <w:spacing w:line="240" w:lineRule="auto" w:before="86"/>
              <w:ind w:left="403"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p>
        </w:tc>
      </w:tr>
      <w:tr>
        <w:trPr>
          <w:trHeight w:val="244" w:hRule="exact"/>
        </w:trPr>
        <w:tc>
          <w:tcPr>
            <w:tcW w:w="2305" w:type="dxa"/>
            <w:vMerge/>
            <w:tcBorders>
              <w:left w:val="single" w:sz="4" w:space="0" w:color="000000"/>
              <w:bottom w:val="single" w:sz="4" w:space="0" w:color="000000"/>
              <w:right w:val="single" w:sz="4" w:space="0" w:color="000000"/>
            </w:tcBorders>
          </w:tcPr>
          <w:p>
            <w:pPr/>
          </w:p>
        </w:tc>
        <w:tc>
          <w:tcPr>
            <w:tcW w:w="1399" w:type="dxa"/>
            <w:vMerge/>
            <w:tcBorders>
              <w:left w:val="single" w:sz="4" w:space="0" w:color="000000"/>
              <w:bottom w:val="single" w:sz="4" w:space="0" w:color="000000"/>
              <w:right w:val="single" w:sz="4" w:space="0" w:color="000000"/>
            </w:tcBorders>
          </w:tcPr>
          <w:p>
            <w:pP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01"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47"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100" w:type="dxa"/>
            <w:vMerge/>
            <w:tcBorders>
              <w:left w:val="single" w:sz="4" w:space="0" w:color="000000"/>
              <w:bottom w:val="single" w:sz="4" w:space="0" w:color="000000"/>
              <w:right w:val="single" w:sz="4" w:space="0" w:color="000000"/>
            </w:tcBorders>
          </w:tcPr>
          <w:p>
            <w:pPr/>
          </w:p>
        </w:tc>
        <w:tc>
          <w:tcPr>
            <w:tcW w:w="1400" w:type="dxa"/>
            <w:vMerge/>
            <w:tcBorders>
              <w:left w:val="single" w:sz="4" w:space="0" w:color="000000"/>
              <w:bottom w:val="single" w:sz="4" w:space="0" w:color="000000"/>
              <w:right w:val="single" w:sz="4" w:space="0" w:color="000000"/>
            </w:tcBorders>
          </w:tcPr>
          <w:p>
            <w:pPr/>
          </w:p>
        </w:tc>
      </w:tr>
    </w:tbl>
    <w:p>
      <w:pPr>
        <w:spacing w:after="0"/>
        <w:sectPr>
          <w:type w:val="continuous"/>
          <w:pgSz w:w="11910" w:h="16840"/>
          <w:pgMar w:top="900" w:bottom="280" w:left="1220" w:right="1120"/>
        </w:sectPr>
      </w:pPr>
    </w:p>
    <w:p>
      <w:pPr>
        <w:spacing w:line="240" w:lineRule="auto" w:before="11"/>
        <w:rPr>
          <w:rFonts w:ascii="宋体" w:hAnsi="宋体" w:cs="宋体" w:eastAsia="宋体" w:hint="default"/>
          <w:sz w:val="26"/>
          <w:szCs w:val="26"/>
        </w:rPr>
      </w:pPr>
    </w:p>
    <w:tbl>
      <w:tblPr>
        <w:tblW w:w="0" w:type="auto"/>
        <w:jc w:val="left"/>
        <w:tblInd w:w="131" w:type="dxa"/>
        <w:tblLayout w:type="fixed"/>
        <w:tblCellMar>
          <w:top w:w="0" w:type="dxa"/>
          <w:left w:w="0" w:type="dxa"/>
          <w:bottom w:w="0" w:type="dxa"/>
          <w:right w:w="0" w:type="dxa"/>
        </w:tblCellMar>
        <w:tblLook w:val="01E0"/>
      </w:tblPr>
      <w:tblGrid>
        <w:gridCol w:w="2305"/>
        <w:gridCol w:w="1399"/>
        <w:gridCol w:w="1554"/>
        <w:gridCol w:w="1446"/>
        <w:gridCol w:w="1100"/>
        <w:gridCol w:w="1400"/>
      </w:tblGrid>
      <w:tr>
        <w:trPr>
          <w:trHeight w:val="244" w:hRule="exact"/>
        </w:trPr>
        <w:tc>
          <w:tcPr>
            <w:tcW w:w="230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554" w:type="dxa"/>
            <w:tcBorders>
              <w:top w:val="single" w:sz="4" w:space="0" w:color="000000"/>
              <w:left w:val="single" w:sz="4" w:space="0" w:color="000000"/>
              <w:bottom w:val="single" w:sz="4" w:space="0" w:color="000000"/>
              <w:right w:val="single" w:sz="4" w:space="0" w:color="000000"/>
            </w:tcBorders>
          </w:tcPr>
          <w:p>
            <w:pPr/>
          </w:p>
        </w:tc>
        <w:tc>
          <w:tcPr>
            <w:tcW w:w="1446"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20" w:right="0"/>
              <w:jc w:val="left"/>
              <w:rPr>
                <w:rFonts w:ascii="宋体" w:hAnsi="宋体" w:cs="宋体" w:eastAsia="宋体" w:hint="default"/>
                <w:sz w:val="18"/>
                <w:szCs w:val="18"/>
              </w:rPr>
            </w:pPr>
            <w:bookmarkStart w:name="_bookmark2" w:id="4"/>
            <w:bookmarkEnd w:id="4"/>
            <w:r>
              <w:rPr/>
            </w:r>
            <w:r>
              <w:rPr>
                <w:rFonts w:ascii="宋体" w:hAnsi="宋体" w:cs="宋体" w:eastAsia="宋体" w:hint="default"/>
                <w:sz w:val="18"/>
                <w:szCs w:val="18"/>
              </w:rPr>
              <w:t>减(%)</w:t>
            </w:r>
          </w:p>
        </w:tc>
        <w:tc>
          <w:tcPr>
            <w:tcW w:w="14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5" w:right="0"/>
              <w:jc w:val="center"/>
              <w:rPr>
                <w:rFonts w:ascii="宋体" w:hAnsi="宋体" w:cs="宋体" w:eastAsia="宋体" w:hint="default"/>
                <w:sz w:val="18"/>
                <w:szCs w:val="18"/>
              </w:rPr>
            </w:pPr>
            <w:r>
              <w:rPr>
                <w:rFonts w:ascii="宋体"/>
                <w:sz w:val="18"/>
              </w:rPr>
              <w:t>3,819,512,188</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3,109,971,860</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60" w:right="0"/>
              <w:jc w:val="center"/>
              <w:rPr>
                <w:rFonts w:ascii="宋体" w:hAnsi="宋体" w:cs="宋体" w:eastAsia="宋体" w:hint="default"/>
                <w:sz w:val="18"/>
                <w:szCs w:val="18"/>
              </w:rPr>
            </w:pPr>
            <w:r>
              <w:rPr>
                <w:rFonts w:ascii="宋体"/>
                <w:sz w:val="18"/>
              </w:rPr>
              <w:t>3,109,971,860</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22.82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4" w:right="0"/>
              <w:jc w:val="center"/>
              <w:rPr>
                <w:rFonts w:ascii="宋体" w:hAnsi="宋体" w:cs="宋体" w:eastAsia="宋体" w:hint="default"/>
                <w:sz w:val="18"/>
                <w:szCs w:val="18"/>
              </w:rPr>
            </w:pPr>
            <w:r>
              <w:rPr>
                <w:rFonts w:ascii="宋体"/>
                <w:sz w:val="18"/>
              </w:rPr>
              <w:t>3,030,494,422</w:t>
            </w:r>
          </w:p>
        </w:tc>
      </w:tr>
      <w:tr>
        <w:trPr>
          <w:trHeight w:val="294" w:hRule="exact"/>
        </w:trPr>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5" w:right="0"/>
              <w:jc w:val="center"/>
              <w:rPr>
                <w:rFonts w:ascii="宋体" w:hAnsi="宋体" w:cs="宋体" w:eastAsia="宋体" w:hint="default"/>
                <w:sz w:val="18"/>
                <w:szCs w:val="18"/>
              </w:rPr>
            </w:pPr>
            <w:r>
              <w:rPr>
                <w:rFonts w:ascii="宋体"/>
                <w:sz w:val="18"/>
              </w:rPr>
              <w:t>2,580,577,832</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2,087,661,414</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60" w:right="0"/>
              <w:jc w:val="center"/>
              <w:rPr>
                <w:rFonts w:ascii="宋体" w:hAnsi="宋体" w:cs="宋体" w:eastAsia="宋体" w:hint="default"/>
                <w:sz w:val="18"/>
                <w:szCs w:val="18"/>
              </w:rPr>
            </w:pPr>
            <w:r>
              <w:rPr>
                <w:rFonts w:ascii="宋体"/>
                <w:sz w:val="18"/>
              </w:rPr>
              <w:t>2,087,661,414</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23.61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4" w:right="0"/>
              <w:jc w:val="center"/>
              <w:rPr>
                <w:rFonts w:ascii="宋体" w:hAnsi="宋体" w:cs="宋体" w:eastAsia="宋体" w:hint="default"/>
                <w:sz w:val="18"/>
                <w:szCs w:val="18"/>
              </w:rPr>
            </w:pPr>
            <w:r>
              <w:rPr>
                <w:rFonts w:ascii="宋体"/>
                <w:sz w:val="18"/>
              </w:rPr>
              <w:t>2,408,501,866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9"/>
          <w:szCs w:val="19"/>
        </w:rPr>
      </w:pPr>
    </w:p>
    <w:tbl>
      <w:tblPr>
        <w:tblW w:w="0" w:type="auto"/>
        <w:jc w:val="left"/>
        <w:tblInd w:w="131" w:type="dxa"/>
        <w:tblLayout w:type="fixed"/>
        <w:tblCellMar>
          <w:top w:w="0" w:type="dxa"/>
          <w:left w:w="0" w:type="dxa"/>
          <w:bottom w:w="0" w:type="dxa"/>
          <w:right w:w="0" w:type="dxa"/>
        </w:tblCellMar>
        <w:tblLook w:val="01E0"/>
      </w:tblPr>
      <w:tblGrid>
        <w:gridCol w:w="2804"/>
        <w:gridCol w:w="1400"/>
        <w:gridCol w:w="1200"/>
        <w:gridCol w:w="1100"/>
        <w:gridCol w:w="1500"/>
        <w:gridCol w:w="1099"/>
      </w:tblGrid>
      <w:tr>
        <w:trPr>
          <w:trHeight w:val="244" w:hRule="exact"/>
        </w:trPr>
        <w:tc>
          <w:tcPr>
            <w:tcW w:w="2804" w:type="dxa"/>
            <w:vMerge w:val="restart"/>
            <w:tcBorders>
              <w:top w:val="single" w:sz="4" w:space="0" w:color="000000"/>
              <w:left w:val="single" w:sz="4" w:space="0" w:color="000000"/>
              <w:right w:val="single" w:sz="4" w:space="0" w:color="000000"/>
            </w:tcBorders>
          </w:tcPr>
          <w:p>
            <w:pPr>
              <w:pStyle w:val="TableParagraph"/>
              <w:spacing w:line="240" w:lineRule="auto" w:before="86"/>
              <w:ind w:left="856" w:right="0"/>
              <w:jc w:val="left"/>
              <w:rPr>
                <w:rFonts w:ascii="宋体" w:hAnsi="宋体" w:cs="宋体" w:eastAsia="宋体" w:hint="default"/>
                <w:sz w:val="18"/>
                <w:szCs w:val="18"/>
              </w:rPr>
            </w:pPr>
            <w:r>
              <w:rPr>
                <w:rFonts w:ascii="宋体" w:hAnsi="宋体" w:cs="宋体" w:eastAsia="宋体" w:hint="default"/>
                <w:sz w:val="18"/>
                <w:szCs w:val="18"/>
              </w:rPr>
              <w:t>主要财务指标</w:t>
            </w:r>
          </w:p>
        </w:tc>
        <w:tc>
          <w:tcPr>
            <w:tcW w:w="1400" w:type="dxa"/>
            <w:vMerge w:val="restart"/>
            <w:tcBorders>
              <w:top w:val="single" w:sz="4" w:space="0" w:color="000000"/>
              <w:left w:val="single" w:sz="4" w:space="0" w:color="000000"/>
              <w:right w:val="single" w:sz="4" w:space="0" w:color="000000"/>
            </w:tcBorders>
          </w:tcPr>
          <w:p>
            <w:pPr>
              <w:pStyle w:val="TableParagraph"/>
              <w:spacing w:line="240" w:lineRule="auto" w:before="86"/>
              <w:ind w:left="40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00" w:type="dxa"/>
            <w:vMerge w:val="restart"/>
            <w:tcBorders>
              <w:top w:val="single" w:sz="4" w:space="0" w:color="000000"/>
              <w:left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本期比上年同期</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增减(%)</w:t>
            </w:r>
          </w:p>
        </w:tc>
        <w:tc>
          <w:tcPr>
            <w:tcW w:w="1099" w:type="dxa"/>
            <w:vMerge w:val="restart"/>
            <w:tcBorders>
              <w:top w:val="single" w:sz="4" w:space="0" w:color="000000"/>
              <w:left w:val="single" w:sz="4" w:space="0" w:color="000000"/>
              <w:right w:val="single" w:sz="4" w:space="0" w:color="000000"/>
            </w:tcBorders>
          </w:tcPr>
          <w:p>
            <w:pPr>
              <w:pStyle w:val="TableParagraph"/>
              <w:spacing w:line="240" w:lineRule="auto" w:before="86"/>
              <w:ind w:left="253"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p>
        </w:tc>
      </w:tr>
      <w:tr>
        <w:trPr>
          <w:trHeight w:val="244" w:hRule="exact"/>
        </w:trPr>
        <w:tc>
          <w:tcPr>
            <w:tcW w:w="2804" w:type="dxa"/>
            <w:vMerge/>
            <w:tcBorders>
              <w:left w:val="single" w:sz="4" w:space="0" w:color="000000"/>
              <w:bottom w:val="single" w:sz="4" w:space="0" w:color="000000"/>
              <w:right w:val="single" w:sz="4" w:space="0" w:color="000000"/>
            </w:tcBorders>
          </w:tcPr>
          <w:p>
            <w:pPr/>
          </w:p>
        </w:tc>
        <w:tc>
          <w:tcPr>
            <w:tcW w:w="1400" w:type="dxa"/>
            <w:vMerge/>
            <w:tcBorders>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25"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74"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500" w:type="dxa"/>
            <w:vMerge/>
            <w:tcBorders>
              <w:left w:val="single" w:sz="4" w:space="0" w:color="000000"/>
              <w:bottom w:val="single" w:sz="4" w:space="0" w:color="000000"/>
              <w:right w:val="single" w:sz="4" w:space="0" w:color="000000"/>
            </w:tcBorders>
          </w:tcPr>
          <w:p>
            <w:pPr/>
          </w:p>
        </w:tc>
        <w:tc>
          <w:tcPr>
            <w:tcW w:w="1099" w:type="dxa"/>
            <w:vMerge/>
            <w:tcBorders>
              <w:left w:val="single" w:sz="4" w:space="0" w:color="000000"/>
              <w:bottom w:val="single" w:sz="4" w:space="0" w:color="000000"/>
              <w:right w:val="single" w:sz="4" w:space="0" w:color="000000"/>
            </w:tcBorders>
          </w:tcPr>
          <w:p>
            <w:pPr/>
          </w:p>
        </w:tc>
      </w:tr>
      <w:tr>
        <w:trPr>
          <w:trHeight w:val="283"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基本每股收益（元／股）</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right="101"/>
              <w:jc w:val="right"/>
              <w:rPr>
                <w:rFonts w:ascii="宋体" w:hAnsi="宋体" w:cs="宋体" w:eastAsia="宋体" w:hint="default"/>
                <w:sz w:val="18"/>
                <w:szCs w:val="18"/>
              </w:rPr>
            </w:pPr>
            <w:r>
              <w:rPr>
                <w:rFonts w:ascii="宋体"/>
                <w:sz w:val="18"/>
              </w:rPr>
              <w:t>0.97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right="101"/>
              <w:jc w:val="right"/>
              <w:rPr>
                <w:rFonts w:ascii="宋体" w:hAnsi="宋体" w:cs="宋体" w:eastAsia="宋体" w:hint="default"/>
                <w:sz w:val="18"/>
                <w:szCs w:val="18"/>
              </w:rPr>
            </w:pPr>
            <w:r>
              <w:rPr>
                <w:rFonts w:ascii="宋体"/>
                <w:sz w:val="18"/>
              </w:rPr>
              <w:t>0.65</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right="101"/>
              <w:jc w:val="right"/>
              <w:rPr>
                <w:rFonts w:ascii="宋体" w:hAnsi="宋体" w:cs="宋体" w:eastAsia="宋体" w:hint="default"/>
                <w:sz w:val="18"/>
                <w:szCs w:val="18"/>
              </w:rPr>
            </w:pPr>
            <w:r>
              <w:rPr>
                <w:rFonts w:ascii="宋体"/>
                <w:sz w:val="18"/>
              </w:rPr>
              <w:t>0.66</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right="101"/>
              <w:jc w:val="right"/>
              <w:rPr>
                <w:rFonts w:ascii="宋体" w:hAnsi="宋体" w:cs="宋体" w:eastAsia="宋体" w:hint="default"/>
                <w:sz w:val="18"/>
                <w:szCs w:val="18"/>
              </w:rPr>
            </w:pPr>
            <w:r>
              <w:rPr>
                <w:rFonts w:ascii="宋体"/>
                <w:sz w:val="18"/>
              </w:rPr>
              <w:t>49.29</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right="100"/>
              <w:jc w:val="right"/>
              <w:rPr>
                <w:rFonts w:ascii="宋体" w:hAnsi="宋体" w:cs="宋体" w:eastAsia="宋体" w:hint="default"/>
                <w:sz w:val="18"/>
                <w:szCs w:val="18"/>
              </w:rPr>
            </w:pPr>
            <w:r>
              <w:rPr>
                <w:rFonts w:ascii="宋体"/>
                <w:sz w:val="18"/>
              </w:rPr>
              <w:t>0.61</w:t>
            </w:r>
          </w:p>
        </w:tc>
      </w:tr>
      <w:tr>
        <w:trPr>
          <w:trHeight w:val="284"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稀释每股收益（元／股）</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right="101"/>
              <w:jc w:val="right"/>
              <w:rPr>
                <w:rFonts w:ascii="宋体" w:hAnsi="宋体" w:cs="宋体" w:eastAsia="宋体" w:hint="default"/>
                <w:sz w:val="18"/>
                <w:szCs w:val="18"/>
              </w:rPr>
            </w:pPr>
            <w:r>
              <w:rPr>
                <w:rFonts w:ascii="宋体"/>
                <w:sz w:val="18"/>
              </w:rPr>
              <w:t>0.97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right="101"/>
              <w:jc w:val="right"/>
              <w:rPr>
                <w:rFonts w:ascii="宋体" w:hAnsi="宋体" w:cs="宋体" w:eastAsia="宋体" w:hint="default"/>
                <w:sz w:val="18"/>
                <w:szCs w:val="18"/>
              </w:rPr>
            </w:pPr>
            <w:r>
              <w:rPr>
                <w:rFonts w:ascii="宋体"/>
                <w:sz w:val="18"/>
              </w:rPr>
              <w:t>0.65</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right="101"/>
              <w:jc w:val="right"/>
              <w:rPr>
                <w:rFonts w:ascii="宋体" w:hAnsi="宋体" w:cs="宋体" w:eastAsia="宋体" w:hint="default"/>
                <w:sz w:val="18"/>
                <w:szCs w:val="18"/>
              </w:rPr>
            </w:pPr>
            <w:r>
              <w:rPr>
                <w:rFonts w:ascii="宋体"/>
                <w:sz w:val="18"/>
              </w:rPr>
              <w:t>0.66</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right="101"/>
              <w:jc w:val="right"/>
              <w:rPr>
                <w:rFonts w:ascii="宋体" w:hAnsi="宋体" w:cs="宋体" w:eastAsia="宋体" w:hint="default"/>
                <w:sz w:val="18"/>
                <w:szCs w:val="18"/>
              </w:rPr>
            </w:pPr>
            <w:r>
              <w:rPr>
                <w:rFonts w:ascii="宋体"/>
                <w:sz w:val="18"/>
              </w:rPr>
              <w:t>49.29</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right="100"/>
              <w:jc w:val="right"/>
              <w:rPr>
                <w:rFonts w:ascii="宋体" w:hAnsi="宋体" w:cs="宋体" w:eastAsia="宋体" w:hint="default"/>
                <w:sz w:val="18"/>
                <w:szCs w:val="18"/>
              </w:rPr>
            </w:pPr>
            <w:r>
              <w:rPr>
                <w:rFonts w:ascii="宋体"/>
                <w:sz w:val="18"/>
              </w:rPr>
              <w:t>0.61</w:t>
            </w:r>
          </w:p>
        </w:tc>
      </w:tr>
      <w:tr>
        <w:trPr>
          <w:trHeight w:val="478"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扣除非经常性损益后的基本每股</w:t>
            </w:r>
            <w:r>
              <w:rPr>
                <w:rFonts w:ascii="宋体" w:hAnsi="宋体" w:cs="宋体" w:eastAsia="宋体" w:hint="default"/>
                <w:sz w:val="18"/>
                <w:szCs w:val="18"/>
              </w:rPr>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收益（元／股）</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0.47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0.37</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0.37</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26.14</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18"/>
                <w:szCs w:val="18"/>
              </w:rPr>
            </w:pPr>
            <w:r>
              <w:rPr>
                <w:rFonts w:ascii="宋体"/>
                <w:sz w:val="18"/>
              </w:rPr>
              <w:t>0.37</w:t>
            </w:r>
          </w:p>
        </w:tc>
      </w:tr>
      <w:tr>
        <w:trPr>
          <w:trHeight w:val="476"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除非经常性损益和股权激励成本</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后的基本每股收益（元／股）</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0.48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0.43</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0.43</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10.78</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18"/>
                <w:szCs w:val="18"/>
              </w:rPr>
            </w:pPr>
            <w:r>
              <w:rPr>
                <w:rFonts w:ascii="宋体"/>
                <w:sz w:val="18"/>
              </w:rPr>
              <w:t>0.38</w:t>
            </w:r>
          </w:p>
        </w:tc>
      </w:tr>
      <w:tr>
        <w:trPr>
          <w:trHeight w:val="476"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全面摊薄净资产收益率（%）</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23.01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18.75</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18.94</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2"/>
              <w:jc w:val="right"/>
              <w:rPr>
                <w:rFonts w:ascii="宋体" w:hAnsi="宋体" w:cs="宋体" w:eastAsia="宋体" w:hint="default"/>
                <w:sz w:val="18"/>
                <w:szCs w:val="18"/>
              </w:rPr>
            </w:pPr>
            <w:r>
              <w:rPr>
                <w:rFonts w:ascii="宋体" w:hAnsi="宋体" w:cs="宋体" w:eastAsia="宋体" w:hint="default"/>
                <w:sz w:val="18"/>
                <w:szCs w:val="18"/>
              </w:rPr>
              <w:t>增长</w:t>
            </w:r>
            <w:r>
              <w:rPr>
                <w:rFonts w:ascii="宋体" w:hAnsi="宋体" w:cs="宋体" w:eastAsia="宋体" w:hint="default"/>
                <w:spacing w:val="-46"/>
                <w:sz w:val="18"/>
                <w:szCs w:val="18"/>
              </w:rPr>
              <w:t> </w:t>
            </w:r>
            <w:r>
              <w:rPr>
                <w:rFonts w:ascii="宋体" w:hAnsi="宋体" w:cs="宋体" w:eastAsia="宋体" w:hint="default"/>
                <w:sz w:val="18"/>
                <w:szCs w:val="18"/>
              </w:rPr>
              <w:t>4.26</w:t>
            </w:r>
            <w:r>
              <w:rPr>
                <w:rFonts w:ascii="宋体" w:hAnsi="宋体" w:cs="宋体" w:eastAsia="宋体" w:hint="default"/>
                <w:spacing w:val="-46"/>
                <w:sz w:val="18"/>
                <w:szCs w:val="18"/>
              </w:rPr>
              <w:t> </w:t>
            </w:r>
            <w:r>
              <w:rPr>
                <w:rFonts w:ascii="宋体" w:hAnsi="宋体" w:cs="宋体" w:eastAsia="宋体" w:hint="default"/>
                <w:sz w:val="18"/>
                <w:szCs w:val="18"/>
              </w:rPr>
              <w:t>个百</w:t>
            </w:r>
          </w:p>
          <w:p>
            <w:pPr>
              <w:pStyle w:val="TableParagraph"/>
              <w:spacing w:line="234" w:lineRule="exact"/>
              <w:ind w:right="101"/>
              <w:jc w:val="right"/>
              <w:rPr>
                <w:rFonts w:ascii="宋体" w:hAnsi="宋体" w:cs="宋体" w:eastAsia="宋体" w:hint="default"/>
                <w:sz w:val="18"/>
                <w:szCs w:val="18"/>
              </w:rPr>
            </w:pPr>
            <w:r>
              <w:rPr>
                <w:rFonts w:ascii="宋体" w:hAnsi="宋体" w:cs="宋体" w:eastAsia="宋体" w:hint="default"/>
                <w:sz w:val="18"/>
                <w:szCs w:val="18"/>
              </w:rPr>
              <w:t>分点</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18"/>
                <w:szCs w:val="18"/>
              </w:rPr>
            </w:pPr>
            <w:r>
              <w:rPr>
                <w:rFonts w:ascii="宋体"/>
                <w:sz w:val="18"/>
              </w:rPr>
              <w:t>14.97</w:t>
            </w:r>
          </w:p>
        </w:tc>
      </w:tr>
      <w:tr>
        <w:trPr>
          <w:trHeight w:val="478"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27.29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17.55</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17.56</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2"/>
              <w:jc w:val="right"/>
              <w:rPr>
                <w:rFonts w:ascii="宋体" w:hAnsi="宋体" w:cs="宋体" w:eastAsia="宋体" w:hint="default"/>
                <w:sz w:val="18"/>
                <w:szCs w:val="18"/>
              </w:rPr>
            </w:pPr>
            <w:r>
              <w:rPr>
                <w:rFonts w:ascii="宋体" w:hAnsi="宋体" w:cs="宋体" w:eastAsia="宋体" w:hint="default"/>
                <w:sz w:val="18"/>
                <w:szCs w:val="18"/>
              </w:rPr>
              <w:t>增长</w:t>
            </w:r>
            <w:r>
              <w:rPr>
                <w:rFonts w:ascii="宋体" w:hAnsi="宋体" w:cs="宋体" w:eastAsia="宋体" w:hint="default"/>
                <w:spacing w:val="-46"/>
                <w:sz w:val="18"/>
                <w:szCs w:val="18"/>
              </w:rPr>
              <w:t> </w:t>
            </w:r>
            <w:r>
              <w:rPr>
                <w:rFonts w:ascii="宋体" w:hAnsi="宋体" w:cs="宋体" w:eastAsia="宋体" w:hint="default"/>
                <w:sz w:val="18"/>
                <w:szCs w:val="18"/>
              </w:rPr>
              <w:t>9.74</w:t>
            </w:r>
            <w:r>
              <w:rPr>
                <w:rFonts w:ascii="宋体" w:hAnsi="宋体" w:cs="宋体" w:eastAsia="宋体" w:hint="default"/>
                <w:spacing w:val="-46"/>
                <w:sz w:val="18"/>
                <w:szCs w:val="18"/>
              </w:rPr>
              <w:t> </w:t>
            </w:r>
            <w:r>
              <w:rPr>
                <w:rFonts w:ascii="宋体" w:hAnsi="宋体" w:cs="宋体" w:eastAsia="宋体" w:hint="default"/>
                <w:sz w:val="18"/>
                <w:szCs w:val="18"/>
              </w:rPr>
              <w:t>个百</w:t>
            </w:r>
          </w:p>
          <w:p>
            <w:pPr>
              <w:pStyle w:val="TableParagraph"/>
              <w:spacing w:line="235" w:lineRule="exact"/>
              <w:ind w:right="101"/>
              <w:jc w:val="right"/>
              <w:rPr>
                <w:rFonts w:ascii="宋体" w:hAnsi="宋体" w:cs="宋体" w:eastAsia="宋体" w:hint="default"/>
                <w:sz w:val="18"/>
                <w:szCs w:val="18"/>
              </w:rPr>
            </w:pPr>
            <w:r>
              <w:rPr>
                <w:rFonts w:ascii="宋体" w:hAnsi="宋体" w:cs="宋体" w:eastAsia="宋体" w:hint="default"/>
                <w:sz w:val="18"/>
                <w:szCs w:val="18"/>
              </w:rPr>
              <w:t>分点</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18"/>
                <w:szCs w:val="18"/>
              </w:rPr>
            </w:pPr>
            <w:r>
              <w:rPr>
                <w:rFonts w:ascii="宋体"/>
                <w:sz w:val="18"/>
              </w:rPr>
              <w:t>22.32</w:t>
            </w:r>
          </w:p>
        </w:tc>
      </w:tr>
      <w:tr>
        <w:trPr>
          <w:trHeight w:val="476"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扣除非经常性损益后全面摊薄净</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资产收益率（%）</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11.07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10.68</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10.68</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2"/>
              <w:jc w:val="right"/>
              <w:rPr>
                <w:rFonts w:ascii="宋体" w:hAnsi="宋体" w:cs="宋体" w:eastAsia="宋体" w:hint="default"/>
                <w:sz w:val="18"/>
                <w:szCs w:val="18"/>
              </w:rPr>
            </w:pPr>
            <w:r>
              <w:rPr>
                <w:rFonts w:ascii="宋体" w:hAnsi="宋体" w:cs="宋体" w:eastAsia="宋体" w:hint="default"/>
                <w:sz w:val="18"/>
                <w:szCs w:val="18"/>
              </w:rPr>
              <w:t>增长</w:t>
            </w:r>
            <w:r>
              <w:rPr>
                <w:rFonts w:ascii="宋体" w:hAnsi="宋体" w:cs="宋体" w:eastAsia="宋体" w:hint="default"/>
                <w:spacing w:val="-46"/>
                <w:sz w:val="18"/>
                <w:szCs w:val="18"/>
              </w:rPr>
              <w:t> </w:t>
            </w:r>
            <w:r>
              <w:rPr>
                <w:rFonts w:ascii="宋体" w:hAnsi="宋体" w:cs="宋体" w:eastAsia="宋体" w:hint="default"/>
                <w:sz w:val="18"/>
                <w:szCs w:val="18"/>
              </w:rPr>
              <w:t>0.39</w:t>
            </w:r>
            <w:r>
              <w:rPr>
                <w:rFonts w:ascii="宋体" w:hAnsi="宋体" w:cs="宋体" w:eastAsia="宋体" w:hint="default"/>
                <w:spacing w:val="-46"/>
                <w:sz w:val="18"/>
                <w:szCs w:val="18"/>
              </w:rPr>
              <w:t> </w:t>
            </w:r>
            <w:r>
              <w:rPr>
                <w:rFonts w:ascii="宋体" w:hAnsi="宋体" w:cs="宋体" w:eastAsia="宋体" w:hint="default"/>
                <w:sz w:val="18"/>
                <w:szCs w:val="18"/>
              </w:rPr>
              <w:t>个百</w:t>
            </w:r>
          </w:p>
          <w:p>
            <w:pPr>
              <w:pStyle w:val="TableParagraph"/>
              <w:spacing w:line="234" w:lineRule="exact"/>
              <w:ind w:right="101"/>
              <w:jc w:val="right"/>
              <w:rPr>
                <w:rFonts w:ascii="宋体" w:hAnsi="宋体" w:cs="宋体" w:eastAsia="宋体" w:hint="default"/>
                <w:sz w:val="18"/>
                <w:szCs w:val="18"/>
              </w:rPr>
            </w:pPr>
            <w:r>
              <w:rPr>
                <w:rFonts w:ascii="宋体" w:hAnsi="宋体" w:cs="宋体" w:eastAsia="宋体" w:hint="default"/>
                <w:sz w:val="18"/>
                <w:szCs w:val="18"/>
              </w:rPr>
              <w:t>分点</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18"/>
                <w:szCs w:val="18"/>
              </w:rPr>
            </w:pPr>
            <w:r>
              <w:rPr>
                <w:rFonts w:ascii="宋体"/>
                <w:sz w:val="18"/>
              </w:rPr>
              <w:t>8.92</w:t>
            </w:r>
          </w:p>
        </w:tc>
      </w:tr>
      <w:tr>
        <w:trPr>
          <w:trHeight w:val="478"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扣除非经常性损益后的加权平均</w:t>
            </w:r>
            <w:r>
              <w:rPr>
                <w:rFonts w:ascii="宋体" w:hAnsi="宋体" w:cs="宋体" w:eastAsia="宋体" w:hint="default"/>
                <w:sz w:val="18"/>
                <w:szCs w:val="18"/>
              </w:rPr>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净资产收益率（%）</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13.13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9.99</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9.99</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hAnsi="宋体" w:cs="宋体" w:eastAsia="宋体" w:hint="default"/>
                <w:sz w:val="18"/>
                <w:szCs w:val="18"/>
              </w:rPr>
              <w:t>增长</w:t>
            </w:r>
            <w:r>
              <w:rPr>
                <w:rFonts w:ascii="宋体" w:hAnsi="宋体" w:cs="宋体" w:eastAsia="宋体" w:hint="default"/>
                <w:spacing w:val="-46"/>
                <w:sz w:val="18"/>
                <w:szCs w:val="18"/>
              </w:rPr>
              <w:t> </w:t>
            </w:r>
            <w:r>
              <w:rPr>
                <w:rFonts w:ascii="宋体" w:hAnsi="宋体" w:cs="宋体" w:eastAsia="宋体" w:hint="default"/>
                <w:sz w:val="18"/>
                <w:szCs w:val="18"/>
              </w:rPr>
              <w:t>3.14</w:t>
            </w:r>
            <w:r>
              <w:rPr>
                <w:rFonts w:ascii="宋体" w:hAnsi="宋体" w:cs="宋体" w:eastAsia="宋体" w:hint="default"/>
                <w:spacing w:val="-46"/>
                <w:sz w:val="18"/>
                <w:szCs w:val="18"/>
              </w:rPr>
              <w:t> </w:t>
            </w:r>
            <w:r>
              <w:rPr>
                <w:rFonts w:ascii="宋体" w:hAnsi="宋体" w:cs="宋体" w:eastAsia="宋体" w:hint="default"/>
                <w:sz w:val="18"/>
                <w:szCs w:val="18"/>
              </w:rPr>
              <w:t>个百</w:t>
            </w:r>
          </w:p>
          <w:p>
            <w:pPr>
              <w:pStyle w:val="TableParagraph"/>
              <w:spacing w:line="235" w:lineRule="exact"/>
              <w:ind w:right="101"/>
              <w:jc w:val="right"/>
              <w:rPr>
                <w:rFonts w:ascii="宋体" w:hAnsi="宋体" w:cs="宋体" w:eastAsia="宋体" w:hint="default"/>
                <w:sz w:val="18"/>
                <w:szCs w:val="18"/>
              </w:rPr>
            </w:pPr>
            <w:r>
              <w:rPr>
                <w:rFonts w:ascii="宋体" w:hAnsi="宋体" w:cs="宋体" w:eastAsia="宋体" w:hint="default"/>
                <w:sz w:val="18"/>
                <w:szCs w:val="18"/>
              </w:rPr>
              <w:t>分点</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18"/>
                <w:szCs w:val="18"/>
              </w:rPr>
            </w:pPr>
            <w:r>
              <w:rPr>
                <w:rFonts w:ascii="宋体"/>
                <w:sz w:val="18"/>
              </w:rPr>
              <w:t>13.31</w:t>
            </w:r>
          </w:p>
        </w:tc>
      </w:tr>
      <w:tr>
        <w:trPr>
          <w:trHeight w:val="476"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每股经营活动产生的现金流量净</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额（元／股）</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0.65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0.60</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0.60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8.69</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18"/>
                <w:szCs w:val="18"/>
              </w:rPr>
            </w:pPr>
            <w:r>
              <w:rPr>
                <w:rFonts w:ascii="宋体"/>
                <w:sz w:val="18"/>
              </w:rPr>
              <w:t>0.58</w:t>
            </w:r>
          </w:p>
        </w:tc>
      </w:tr>
      <w:tr>
        <w:trPr>
          <w:trHeight w:val="244" w:hRule="exact"/>
        </w:trPr>
        <w:tc>
          <w:tcPr>
            <w:tcW w:w="2804" w:type="dxa"/>
            <w:vMerge w:val="restart"/>
            <w:tcBorders>
              <w:top w:val="single" w:sz="4" w:space="0" w:color="000000"/>
              <w:left w:val="single" w:sz="4" w:space="0" w:color="000000"/>
              <w:right w:val="single" w:sz="4" w:space="0" w:color="000000"/>
            </w:tcBorders>
          </w:tcPr>
          <w:p>
            <w:pPr/>
          </w:p>
        </w:tc>
        <w:tc>
          <w:tcPr>
            <w:tcW w:w="1400" w:type="dxa"/>
            <w:vMerge w:val="restart"/>
            <w:tcBorders>
              <w:top w:val="single" w:sz="4" w:space="0" w:color="000000"/>
              <w:left w:val="single" w:sz="4" w:space="0" w:color="000000"/>
              <w:right w:val="single" w:sz="4" w:space="0" w:color="000000"/>
            </w:tcBorders>
          </w:tcPr>
          <w:p>
            <w:pPr>
              <w:pStyle w:val="TableParagraph"/>
              <w:spacing w:line="240" w:lineRule="auto" w:before="86"/>
              <w:ind w:left="40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00" w:type="dxa"/>
            <w:vMerge w:val="restart"/>
            <w:tcBorders>
              <w:top w:val="single" w:sz="4" w:space="0" w:color="000000"/>
              <w:left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本期比上年同期</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增减(%)</w:t>
            </w:r>
          </w:p>
        </w:tc>
        <w:tc>
          <w:tcPr>
            <w:tcW w:w="1099" w:type="dxa"/>
            <w:vMerge w:val="restart"/>
            <w:tcBorders>
              <w:top w:val="single" w:sz="4" w:space="0" w:color="000000"/>
              <w:left w:val="single" w:sz="4" w:space="0" w:color="000000"/>
              <w:right w:val="single" w:sz="4" w:space="0" w:color="000000"/>
            </w:tcBorders>
          </w:tcPr>
          <w:p>
            <w:pPr>
              <w:pStyle w:val="TableParagraph"/>
              <w:spacing w:line="240" w:lineRule="auto" w:before="86"/>
              <w:ind w:left="253"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p>
        </w:tc>
      </w:tr>
      <w:tr>
        <w:trPr>
          <w:trHeight w:val="244" w:hRule="exact"/>
        </w:trPr>
        <w:tc>
          <w:tcPr>
            <w:tcW w:w="2804" w:type="dxa"/>
            <w:vMerge/>
            <w:tcBorders>
              <w:left w:val="single" w:sz="4" w:space="0" w:color="000000"/>
              <w:bottom w:val="single" w:sz="4" w:space="0" w:color="000000"/>
              <w:right w:val="single" w:sz="4" w:space="0" w:color="000000"/>
            </w:tcBorders>
          </w:tcPr>
          <w:p>
            <w:pPr/>
          </w:p>
        </w:tc>
        <w:tc>
          <w:tcPr>
            <w:tcW w:w="1400" w:type="dxa"/>
            <w:vMerge/>
            <w:tcBorders>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25"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74"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500" w:type="dxa"/>
            <w:vMerge/>
            <w:tcBorders>
              <w:left w:val="single" w:sz="4" w:space="0" w:color="000000"/>
              <w:bottom w:val="single" w:sz="4" w:space="0" w:color="000000"/>
              <w:right w:val="single" w:sz="4" w:space="0" w:color="000000"/>
            </w:tcBorders>
          </w:tcPr>
          <w:p>
            <w:pPr/>
          </w:p>
        </w:tc>
        <w:tc>
          <w:tcPr>
            <w:tcW w:w="1099" w:type="dxa"/>
            <w:vMerge/>
            <w:tcBorders>
              <w:left w:val="single" w:sz="4" w:space="0" w:color="000000"/>
              <w:bottom w:val="single" w:sz="4" w:space="0" w:color="000000"/>
              <w:right w:val="single" w:sz="4" w:space="0" w:color="000000"/>
            </w:tcBorders>
          </w:tcPr>
          <w:p>
            <w:pPr/>
          </w:p>
        </w:tc>
      </w:tr>
      <w:tr>
        <w:trPr>
          <w:trHeight w:val="476"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归属于上市公司股东的每股净资</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产（元／股）</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4.22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3.47</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3.47</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21.67</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18"/>
                <w:szCs w:val="18"/>
              </w:rPr>
            </w:pPr>
            <w:r>
              <w:rPr>
                <w:rFonts w:ascii="宋体"/>
                <w:sz w:val="18"/>
              </w:rPr>
              <w:t>4.10</w:t>
            </w:r>
          </w:p>
        </w:tc>
      </w:tr>
    </w:tbl>
    <w:p>
      <w:pPr>
        <w:spacing w:line="297" w:lineRule="auto" w:before="81"/>
        <w:ind w:left="140" w:right="206" w:firstLine="48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50"/>
          <w:sz w:val="24"/>
          <w:szCs w:val="24"/>
        </w:rPr>
        <w:t> </w:t>
      </w:r>
      <w:r>
        <w:rPr>
          <w:rFonts w:ascii="宋体" w:hAnsi="宋体" w:cs="宋体" w:eastAsia="宋体" w:hint="default"/>
          <w:spacing w:val="-2"/>
          <w:sz w:val="24"/>
          <w:szCs w:val="24"/>
        </w:rPr>
        <w:t>1：基本每股收益、稀释每股收益、每股经营活动产生的现金流量净额和归属于上</w:t>
      </w:r>
      <w:r>
        <w:rPr>
          <w:rFonts w:ascii="宋体" w:hAnsi="宋体" w:cs="宋体" w:eastAsia="宋体" w:hint="default"/>
          <w:sz w:val="24"/>
          <w:szCs w:val="24"/>
        </w:rPr>
        <w:t> 市公司股东的每股净资产以报告期加权平均股本为基数计算，本报告期加权平均股数为 611,974,847</w:t>
      </w:r>
      <w:r>
        <w:rPr>
          <w:rFonts w:ascii="宋体" w:hAnsi="宋体" w:cs="宋体" w:eastAsia="宋体" w:hint="default"/>
          <w:spacing w:val="-60"/>
          <w:sz w:val="24"/>
          <w:szCs w:val="24"/>
        </w:rPr>
        <w:t> </w:t>
      </w:r>
      <w:r>
        <w:rPr>
          <w:rFonts w:ascii="宋体" w:hAnsi="宋体" w:cs="宋体" w:eastAsia="宋体" w:hint="default"/>
          <w:sz w:val="24"/>
          <w:szCs w:val="24"/>
        </w:rPr>
        <w:t>股，2008</w:t>
      </w:r>
      <w:r>
        <w:rPr>
          <w:rFonts w:ascii="宋体" w:hAnsi="宋体" w:cs="宋体" w:eastAsia="宋体" w:hint="default"/>
          <w:spacing w:val="-60"/>
          <w:sz w:val="24"/>
          <w:szCs w:val="24"/>
        </w:rPr>
        <w:t> </w:t>
      </w:r>
      <w:r>
        <w:rPr>
          <w:rFonts w:ascii="宋体" w:hAnsi="宋体" w:cs="宋体" w:eastAsia="宋体" w:hint="default"/>
          <w:sz w:val="24"/>
          <w:szCs w:val="24"/>
        </w:rPr>
        <w:t>年调整后的加权平均股数为</w:t>
      </w:r>
      <w:r>
        <w:rPr>
          <w:rFonts w:ascii="宋体" w:hAnsi="宋体" w:cs="宋体" w:eastAsia="宋体" w:hint="default"/>
          <w:spacing w:val="-60"/>
          <w:sz w:val="24"/>
          <w:szCs w:val="24"/>
        </w:rPr>
        <w:t> </w:t>
      </w:r>
      <w:r>
        <w:rPr>
          <w:rFonts w:ascii="宋体" w:hAnsi="宋体" w:cs="宋体" w:eastAsia="宋体" w:hint="default"/>
          <w:sz w:val="24"/>
          <w:szCs w:val="24"/>
        </w:rPr>
        <w:t>602,348,408</w:t>
      </w:r>
      <w:r>
        <w:rPr>
          <w:rFonts w:ascii="宋体" w:hAnsi="宋体" w:cs="宋体" w:eastAsia="宋体" w:hint="default"/>
          <w:spacing w:val="-60"/>
          <w:sz w:val="24"/>
          <w:szCs w:val="24"/>
        </w:rPr>
        <w:t> </w:t>
      </w:r>
      <w:r>
        <w:rPr>
          <w:rFonts w:ascii="宋体" w:hAnsi="宋体" w:cs="宋体" w:eastAsia="宋体" w:hint="default"/>
          <w:sz w:val="24"/>
          <w:szCs w:val="24"/>
        </w:rPr>
        <w:t>股，2007</w:t>
      </w:r>
      <w:r>
        <w:rPr>
          <w:rFonts w:ascii="宋体" w:hAnsi="宋体" w:cs="宋体" w:eastAsia="宋体" w:hint="default"/>
          <w:spacing w:val="-60"/>
          <w:sz w:val="24"/>
          <w:szCs w:val="24"/>
        </w:rPr>
        <w:t> </w:t>
      </w:r>
      <w:r>
        <w:rPr>
          <w:rFonts w:ascii="宋体" w:hAnsi="宋体" w:cs="宋体" w:eastAsia="宋体" w:hint="default"/>
          <w:sz w:val="24"/>
          <w:szCs w:val="24"/>
        </w:rPr>
        <w:t>年调整后的加</w:t>
      </w:r>
    </w:p>
    <w:p>
      <w:pPr>
        <w:spacing w:before="17"/>
        <w:ind w:left="140" w:right="220" w:firstLine="0"/>
        <w:jc w:val="left"/>
        <w:rPr>
          <w:rFonts w:ascii="宋体" w:hAnsi="宋体" w:cs="宋体" w:eastAsia="宋体" w:hint="default"/>
          <w:sz w:val="24"/>
          <w:szCs w:val="24"/>
        </w:rPr>
      </w:pPr>
      <w:r>
        <w:rPr>
          <w:rFonts w:ascii="宋体" w:hAnsi="宋体" w:cs="宋体" w:eastAsia="宋体" w:hint="default"/>
          <w:sz w:val="24"/>
          <w:szCs w:val="24"/>
        </w:rPr>
        <w:t>权平均股数为</w:t>
      </w:r>
      <w:r>
        <w:rPr>
          <w:rFonts w:ascii="宋体" w:hAnsi="宋体" w:cs="宋体" w:eastAsia="宋体" w:hint="default"/>
          <w:spacing w:val="-60"/>
          <w:sz w:val="24"/>
          <w:szCs w:val="24"/>
        </w:rPr>
        <w:t> </w:t>
      </w:r>
      <w:r>
        <w:rPr>
          <w:rFonts w:ascii="宋体" w:hAnsi="宋体" w:cs="宋体" w:eastAsia="宋体" w:hint="default"/>
          <w:sz w:val="24"/>
          <w:szCs w:val="24"/>
        </w:rPr>
        <w:t>586,984,320</w:t>
      </w:r>
      <w:r>
        <w:rPr>
          <w:rFonts w:ascii="宋体" w:hAnsi="宋体" w:cs="宋体" w:eastAsia="宋体" w:hint="default"/>
          <w:spacing w:val="-60"/>
          <w:sz w:val="24"/>
          <w:szCs w:val="24"/>
        </w:rPr>
        <w:t> </w:t>
      </w:r>
      <w:r>
        <w:rPr>
          <w:rFonts w:ascii="宋体" w:hAnsi="宋体" w:cs="宋体" w:eastAsia="宋体" w:hint="default"/>
          <w:sz w:val="24"/>
          <w:szCs w:val="24"/>
        </w:rPr>
        <w:t>股。</w:t>
      </w:r>
    </w:p>
    <w:p>
      <w:pPr>
        <w:spacing w:line="297" w:lineRule="auto" w:before="194"/>
        <w:ind w:left="140" w:right="84" w:firstLine="48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2：公司对非经常性损益项目的确认依照中国证券监督管理委员会公告[2008]43</w:t>
      </w:r>
      <w:r>
        <w:rPr>
          <w:rFonts w:ascii="宋体" w:hAnsi="宋体" w:cs="宋体" w:eastAsia="宋体" w:hint="default"/>
          <w:sz w:val="24"/>
          <w:szCs w:val="24"/>
        </w:rPr>
        <w:t> </w:t>
      </w:r>
      <w:r>
        <w:rPr>
          <w:rFonts w:ascii="宋体" w:hAnsi="宋体" w:cs="宋体" w:eastAsia="宋体" w:hint="default"/>
          <w:spacing w:val="-3"/>
          <w:sz w:val="24"/>
          <w:szCs w:val="24"/>
        </w:rPr>
        <w:t>号《公开发行证券的公司信息披露解释性公告第</w:t>
      </w:r>
      <w:r>
        <w:rPr>
          <w:rFonts w:ascii="宋体" w:hAnsi="宋体" w:cs="宋体" w:eastAsia="宋体" w:hint="default"/>
          <w:spacing w:val="-57"/>
          <w:sz w:val="24"/>
          <w:szCs w:val="24"/>
        </w:rPr>
        <w:t> </w:t>
      </w:r>
      <w:r>
        <w:rPr>
          <w:rFonts w:ascii="宋体" w:hAnsi="宋体" w:cs="宋体" w:eastAsia="宋体" w:hint="default"/>
          <w:sz w:val="24"/>
          <w:szCs w:val="24"/>
        </w:rPr>
        <w:t>1</w:t>
      </w:r>
      <w:r>
        <w:rPr>
          <w:rFonts w:ascii="宋体" w:hAnsi="宋体" w:cs="宋体" w:eastAsia="宋体" w:hint="default"/>
          <w:spacing w:val="-57"/>
          <w:sz w:val="24"/>
          <w:szCs w:val="24"/>
        </w:rPr>
        <w:t> </w:t>
      </w:r>
      <w:r>
        <w:rPr>
          <w:rFonts w:ascii="宋体" w:hAnsi="宋体" w:cs="宋体" w:eastAsia="宋体" w:hint="default"/>
          <w:spacing w:val="-3"/>
          <w:sz w:val="24"/>
          <w:szCs w:val="24"/>
        </w:rPr>
        <w:t>号-非经常性损益(2008)》的规定执行。</w:t>
      </w:r>
      <w:r>
        <w:rPr>
          <w:rFonts w:ascii="宋体" w:hAnsi="宋体" w:cs="宋体" w:eastAsia="宋体" w:hint="default"/>
          <w:sz w:val="24"/>
          <w:szCs w:val="24"/>
        </w:rPr>
        <w:t> 以前年度比较数据已按该公告调整。</w:t>
      </w:r>
    </w:p>
    <w:p>
      <w:pPr>
        <w:spacing w:line="297" w:lineRule="auto" w:before="138"/>
        <w:ind w:left="140" w:right="281" w:firstLine="480"/>
        <w:jc w:val="both"/>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3：上述</w:t>
      </w:r>
      <w:r>
        <w:rPr>
          <w:rFonts w:ascii="宋体" w:hAnsi="宋体" w:cs="宋体" w:eastAsia="宋体" w:hint="default"/>
          <w:spacing w:val="-60"/>
          <w:sz w:val="24"/>
          <w:szCs w:val="24"/>
        </w:rPr>
        <w:t> </w:t>
      </w:r>
      <w:r>
        <w:rPr>
          <w:rFonts w:ascii="宋体" w:hAnsi="宋体" w:cs="宋体" w:eastAsia="宋体" w:hint="default"/>
          <w:sz w:val="24"/>
          <w:szCs w:val="24"/>
        </w:rPr>
        <w:t>2008</w:t>
      </w:r>
      <w:r>
        <w:rPr>
          <w:rFonts w:ascii="宋体" w:hAnsi="宋体" w:cs="宋体" w:eastAsia="宋体" w:hint="default"/>
          <w:spacing w:val="-60"/>
          <w:sz w:val="24"/>
          <w:szCs w:val="24"/>
        </w:rPr>
        <w:t> </w:t>
      </w:r>
      <w:r>
        <w:rPr>
          <w:rFonts w:ascii="宋体" w:hAnsi="宋体" w:cs="宋体" w:eastAsia="宋体" w:hint="default"/>
          <w:sz w:val="24"/>
          <w:szCs w:val="24"/>
        </w:rPr>
        <w:t>年调整后数据是以按《关于不丧失控制权情况下处置部分对子公司</w:t>
      </w:r>
      <w:r>
        <w:rPr>
          <w:rFonts w:ascii="宋体" w:hAnsi="宋体" w:cs="宋体" w:eastAsia="宋体" w:hint="default"/>
          <w:sz w:val="24"/>
          <w:szCs w:val="24"/>
        </w:rPr>
        <w:t> 投资会计处理的复函》（财会便[2009]14</w:t>
      </w:r>
      <w:r>
        <w:rPr>
          <w:rFonts w:ascii="宋体" w:hAnsi="宋体" w:cs="宋体" w:eastAsia="宋体" w:hint="default"/>
          <w:spacing w:val="-60"/>
          <w:sz w:val="24"/>
          <w:szCs w:val="24"/>
        </w:rPr>
        <w:t> </w:t>
      </w:r>
      <w:r>
        <w:rPr>
          <w:rFonts w:ascii="宋体" w:hAnsi="宋体" w:cs="宋体" w:eastAsia="宋体" w:hint="default"/>
          <w:sz w:val="24"/>
          <w:szCs w:val="24"/>
        </w:rPr>
        <w:t>号）要求编制的调整后财务报表相关数据；本</w:t>
      </w:r>
      <w:r>
        <w:rPr>
          <w:rFonts w:ascii="宋体" w:hAnsi="宋体" w:cs="宋体" w:eastAsia="宋体" w:hint="default"/>
          <w:sz w:val="24"/>
          <w:szCs w:val="24"/>
        </w:rPr>
        <w:t> 年比上年增减幅度是以</w:t>
      </w:r>
      <w:r>
        <w:rPr>
          <w:rFonts w:ascii="宋体" w:hAnsi="宋体" w:cs="宋体" w:eastAsia="宋体" w:hint="default"/>
          <w:spacing w:val="-60"/>
          <w:sz w:val="24"/>
          <w:szCs w:val="24"/>
        </w:rPr>
        <w:t> </w:t>
      </w:r>
      <w:r>
        <w:rPr>
          <w:rFonts w:ascii="宋体" w:hAnsi="宋体" w:cs="宋体" w:eastAsia="宋体" w:hint="default"/>
          <w:sz w:val="24"/>
          <w:szCs w:val="24"/>
        </w:rPr>
        <w:t>2008</w:t>
      </w:r>
      <w:r>
        <w:rPr>
          <w:rFonts w:ascii="宋体" w:hAnsi="宋体" w:cs="宋体" w:eastAsia="宋体" w:hint="default"/>
          <w:spacing w:val="-60"/>
          <w:sz w:val="24"/>
          <w:szCs w:val="24"/>
        </w:rPr>
        <w:t> </w:t>
      </w:r>
      <w:r>
        <w:rPr>
          <w:rFonts w:ascii="宋体" w:hAnsi="宋体" w:cs="宋体" w:eastAsia="宋体" w:hint="default"/>
          <w:sz w:val="24"/>
          <w:szCs w:val="24"/>
        </w:rPr>
        <w:t>年调整后数据为基础计算的。</w:t>
      </w:r>
    </w:p>
    <w:p>
      <w:pPr>
        <w:spacing w:line="240" w:lineRule="auto" w:before="10"/>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1910" w:h="16840"/>
          <w:pgMar w:header="720" w:footer="727" w:top="1080" w:bottom="920" w:left="1220" w:right="1080"/>
        </w:sectPr>
      </w:pPr>
    </w:p>
    <w:p>
      <w:pPr>
        <w:spacing w:before="26"/>
        <w:ind w:left="540" w:right="-18" w:firstLine="0"/>
        <w:jc w:val="left"/>
        <w:rPr>
          <w:rFonts w:ascii="宋体" w:hAnsi="宋体" w:cs="宋体" w:eastAsia="宋体" w:hint="default"/>
          <w:sz w:val="24"/>
          <w:szCs w:val="24"/>
        </w:rPr>
      </w:pPr>
      <w:r>
        <w:rPr>
          <w:rFonts w:ascii="宋体" w:hAnsi="宋体" w:cs="宋体" w:eastAsia="宋体" w:hint="default"/>
          <w:b/>
          <w:bCs/>
          <w:sz w:val="24"/>
          <w:szCs w:val="24"/>
        </w:rPr>
        <w:t>(四) 采用公允价值计量的项目</w:t>
      </w:r>
      <w:r>
        <w:rPr>
          <w:rFonts w:ascii="宋体" w:hAnsi="宋体" w:cs="宋体" w:eastAsia="宋体" w:hint="default"/>
          <w:sz w:val="24"/>
          <w:szCs w:val="24"/>
        </w:rPr>
      </w:r>
    </w:p>
    <w:p>
      <w:pPr>
        <w:spacing w:line="240" w:lineRule="auto" w:before="2"/>
        <w:rPr>
          <w:rFonts w:ascii="宋体" w:hAnsi="宋体" w:cs="宋体" w:eastAsia="宋体" w:hint="default"/>
          <w:b/>
          <w:bCs/>
          <w:sz w:val="26"/>
          <w:szCs w:val="26"/>
        </w:rPr>
      </w:pPr>
      <w:r>
        <w:rPr/>
        <w:br w:type="column"/>
      </w:r>
      <w:r>
        <w:rPr>
          <w:rFonts w:ascii="宋体"/>
          <w:b/>
          <w:sz w:val="26"/>
        </w:rPr>
      </w:r>
    </w:p>
    <w:p>
      <w:pPr>
        <w:spacing w:before="0"/>
        <w:ind w:left="540"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900" w:bottom="280" w:left="1220" w:right="1080"/>
          <w:cols w:num="2" w:equalWidth="0">
            <w:col w:w="3797" w:space="4310"/>
            <w:col w:w="1503"/>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106"/>
        <w:gridCol w:w="1800"/>
        <w:gridCol w:w="1799"/>
        <w:gridCol w:w="1799"/>
        <w:gridCol w:w="1796"/>
      </w:tblGrid>
      <w:tr>
        <w:trPr>
          <w:trHeight w:val="559" w:hRule="exact"/>
        </w:trPr>
        <w:tc>
          <w:tcPr>
            <w:tcW w:w="2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625"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71"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71"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7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71" w:right="0"/>
              <w:jc w:val="left"/>
              <w:rPr>
                <w:rFonts w:ascii="宋体" w:hAnsi="宋体" w:cs="宋体" w:eastAsia="宋体" w:hint="default"/>
                <w:sz w:val="21"/>
                <w:szCs w:val="21"/>
              </w:rPr>
            </w:pPr>
            <w:r>
              <w:rPr>
                <w:rFonts w:ascii="宋体" w:hAnsi="宋体" w:cs="宋体" w:eastAsia="宋体" w:hint="default"/>
                <w:sz w:val="21"/>
                <w:szCs w:val="21"/>
              </w:rPr>
              <w:t>当期变动</w:t>
            </w:r>
          </w:p>
        </w:tc>
        <w:tc>
          <w:tcPr>
            <w:tcW w:w="179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对当期利润的影</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响金额</w:t>
            </w:r>
          </w:p>
        </w:tc>
      </w:tr>
      <w:tr>
        <w:trPr>
          <w:trHeight w:val="341" w:hRule="exact"/>
        </w:trPr>
        <w:tc>
          <w:tcPr>
            <w:tcW w:w="2106"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9"/>
              <w:jc w:val="right"/>
              <w:rPr>
                <w:rFonts w:ascii="宋体" w:hAnsi="宋体" w:cs="宋体" w:eastAsia="宋体" w:hint="default"/>
                <w:sz w:val="21"/>
                <w:szCs w:val="21"/>
              </w:rPr>
            </w:pPr>
            <w:r>
              <w:rPr>
                <w:rFonts w:ascii="宋体"/>
                <w:sz w:val="21"/>
              </w:rPr>
              <w:t>60,503,942</w:t>
            </w:r>
          </w:p>
        </w:tc>
        <w:tc>
          <w:tcPr>
            <w:tcW w:w="1799"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9"/>
              <w:jc w:val="right"/>
              <w:rPr>
                <w:rFonts w:ascii="宋体" w:hAnsi="宋体" w:cs="宋体" w:eastAsia="宋体" w:hint="default"/>
                <w:sz w:val="21"/>
                <w:szCs w:val="21"/>
              </w:rPr>
            </w:pPr>
            <w:r>
              <w:rPr>
                <w:rFonts w:ascii="宋体"/>
                <w:sz w:val="21"/>
              </w:rPr>
              <w:t>0</w:t>
            </w:r>
          </w:p>
        </w:tc>
        <w:tc>
          <w:tcPr>
            <w:tcW w:w="1799"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528" w:right="0"/>
              <w:jc w:val="left"/>
              <w:rPr>
                <w:rFonts w:ascii="宋体" w:hAnsi="宋体" w:cs="宋体" w:eastAsia="宋体" w:hint="default"/>
                <w:sz w:val="21"/>
                <w:szCs w:val="21"/>
              </w:rPr>
            </w:pPr>
            <w:r>
              <w:rPr>
                <w:rFonts w:ascii="宋体"/>
                <w:sz w:val="21"/>
              </w:rPr>
              <w:t>-60,503,942</w:t>
            </w:r>
          </w:p>
        </w:tc>
        <w:tc>
          <w:tcPr>
            <w:tcW w:w="1796"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7"/>
              <w:jc w:val="right"/>
              <w:rPr>
                <w:rFonts w:ascii="宋体" w:hAnsi="宋体" w:cs="宋体" w:eastAsia="宋体" w:hint="default"/>
                <w:sz w:val="21"/>
                <w:szCs w:val="21"/>
              </w:rPr>
            </w:pPr>
            <w:r>
              <w:rPr>
                <w:rFonts w:ascii="宋体"/>
                <w:spacing w:val="-1"/>
                <w:sz w:val="21"/>
              </w:rPr>
              <w:t>11,208,190</w:t>
            </w:r>
            <w:r>
              <w:rPr>
                <w:rFonts w:ascii="宋体"/>
                <w:sz w:val="21"/>
              </w:rPr>
            </w:r>
          </w:p>
        </w:tc>
      </w:tr>
      <w:tr>
        <w:trPr>
          <w:trHeight w:val="340" w:hRule="exact"/>
        </w:trPr>
        <w:tc>
          <w:tcPr>
            <w:tcW w:w="2106"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9"/>
              <w:jc w:val="right"/>
              <w:rPr>
                <w:rFonts w:ascii="宋体" w:hAnsi="宋体" w:cs="宋体" w:eastAsia="宋体" w:hint="default"/>
                <w:sz w:val="21"/>
                <w:szCs w:val="21"/>
              </w:rPr>
            </w:pPr>
            <w:r>
              <w:rPr>
                <w:rFonts w:ascii="宋体"/>
                <w:sz w:val="21"/>
              </w:rPr>
              <w:t>276,210,000</w:t>
            </w:r>
          </w:p>
        </w:tc>
        <w:tc>
          <w:tcPr>
            <w:tcW w:w="1799"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9"/>
              <w:jc w:val="right"/>
              <w:rPr>
                <w:rFonts w:ascii="宋体" w:hAnsi="宋体" w:cs="宋体" w:eastAsia="宋体" w:hint="default"/>
                <w:sz w:val="21"/>
                <w:szCs w:val="21"/>
              </w:rPr>
            </w:pPr>
            <w:r>
              <w:rPr>
                <w:rFonts w:ascii="宋体"/>
                <w:sz w:val="21"/>
              </w:rPr>
              <w:t>0</w:t>
            </w:r>
          </w:p>
        </w:tc>
        <w:tc>
          <w:tcPr>
            <w:tcW w:w="1799"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423" w:right="0"/>
              <w:jc w:val="left"/>
              <w:rPr>
                <w:rFonts w:ascii="宋体" w:hAnsi="宋体" w:cs="宋体" w:eastAsia="宋体" w:hint="default"/>
                <w:sz w:val="21"/>
                <w:szCs w:val="21"/>
              </w:rPr>
            </w:pPr>
            <w:r>
              <w:rPr>
                <w:rFonts w:ascii="宋体"/>
                <w:sz w:val="21"/>
              </w:rPr>
              <w:t>-276,210,000</w:t>
            </w:r>
          </w:p>
        </w:tc>
        <w:tc>
          <w:tcPr>
            <w:tcW w:w="1796"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7"/>
              <w:jc w:val="right"/>
              <w:rPr>
                <w:rFonts w:ascii="宋体" w:hAnsi="宋体" w:cs="宋体" w:eastAsia="宋体" w:hint="default"/>
                <w:sz w:val="21"/>
                <w:szCs w:val="21"/>
              </w:rPr>
            </w:pPr>
            <w:r>
              <w:rPr>
                <w:rFonts w:ascii="宋体"/>
                <w:spacing w:val="-1"/>
                <w:sz w:val="21"/>
              </w:rPr>
              <w:t>240,542,723</w:t>
            </w:r>
            <w:r>
              <w:rPr>
                <w:rFonts w:ascii="宋体"/>
                <w:sz w:val="21"/>
              </w:rPr>
            </w:r>
          </w:p>
        </w:tc>
      </w:tr>
      <w:tr>
        <w:trPr>
          <w:trHeight w:val="341" w:hRule="exact"/>
        </w:trPr>
        <w:tc>
          <w:tcPr>
            <w:tcW w:w="2106"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336,713,942</w:t>
            </w:r>
          </w:p>
        </w:tc>
        <w:tc>
          <w:tcPr>
            <w:tcW w:w="1799"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8"/>
              <w:jc w:val="right"/>
              <w:rPr>
                <w:rFonts w:ascii="宋体" w:hAnsi="宋体" w:cs="宋体" w:eastAsia="宋体" w:hint="default"/>
                <w:sz w:val="21"/>
                <w:szCs w:val="21"/>
              </w:rPr>
            </w:pPr>
            <w:r>
              <w:rPr>
                <w:rFonts w:ascii="宋体"/>
                <w:sz w:val="21"/>
              </w:rPr>
              <w:t>0</w:t>
            </w:r>
          </w:p>
        </w:tc>
        <w:tc>
          <w:tcPr>
            <w:tcW w:w="1799"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424" w:right="0"/>
              <w:jc w:val="left"/>
              <w:rPr>
                <w:rFonts w:ascii="宋体" w:hAnsi="宋体" w:cs="宋体" w:eastAsia="宋体" w:hint="default"/>
                <w:sz w:val="21"/>
                <w:szCs w:val="21"/>
              </w:rPr>
            </w:pPr>
            <w:r>
              <w:rPr>
                <w:rFonts w:ascii="宋体"/>
                <w:sz w:val="21"/>
              </w:rPr>
              <w:t>-336,713,942</w:t>
            </w:r>
          </w:p>
        </w:tc>
        <w:tc>
          <w:tcPr>
            <w:tcW w:w="1796"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6"/>
              <w:jc w:val="right"/>
              <w:rPr>
                <w:rFonts w:ascii="宋体" w:hAnsi="宋体" w:cs="宋体" w:eastAsia="宋体" w:hint="default"/>
                <w:sz w:val="21"/>
                <w:szCs w:val="21"/>
              </w:rPr>
            </w:pPr>
            <w:r>
              <w:rPr>
                <w:rFonts w:ascii="宋体"/>
                <w:spacing w:val="-1"/>
                <w:sz w:val="21"/>
              </w:rPr>
              <w:t>251,750,913</w:t>
            </w:r>
          </w:p>
        </w:tc>
      </w:tr>
    </w:tbl>
    <w:p>
      <w:pPr>
        <w:spacing w:after="0" w:line="266" w:lineRule="exact"/>
        <w:jc w:val="right"/>
        <w:rPr>
          <w:rFonts w:ascii="宋体" w:hAnsi="宋体" w:cs="宋体" w:eastAsia="宋体" w:hint="default"/>
          <w:sz w:val="21"/>
          <w:szCs w:val="21"/>
        </w:rPr>
        <w:sectPr>
          <w:type w:val="continuous"/>
          <w:pgSz w:w="11910" w:h="16840"/>
          <w:pgMar w:top="900" w:bottom="280" w:left="1220" w:right="10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pStyle w:val="Heading3"/>
        <w:spacing w:line="240" w:lineRule="auto"/>
        <w:ind w:left="3184" w:right="304"/>
        <w:jc w:val="left"/>
        <w:rPr>
          <w:b w:val="0"/>
          <w:bCs w:val="0"/>
        </w:rPr>
      </w:pPr>
      <w:bookmarkStart w:name="_bookmark3" w:id="5"/>
      <w:bookmarkEnd w:id="5"/>
      <w:r>
        <w:rPr>
          <w:b w:val="0"/>
          <w:bCs w:val="0"/>
        </w:rPr>
      </w:r>
      <w:r>
        <w:rPr/>
        <w:t>三、股本变动及股东情况</w:t>
      </w:r>
      <w:r>
        <w:rPr>
          <w:b w:val="0"/>
          <w:bCs w:val="0"/>
        </w:rPr>
      </w:r>
    </w:p>
    <w:p>
      <w:pPr>
        <w:spacing w:line="240" w:lineRule="auto" w:before="0"/>
        <w:rPr>
          <w:rFonts w:ascii="黑体" w:hAnsi="黑体" w:cs="黑体" w:eastAsia="黑体" w:hint="default"/>
          <w:b/>
          <w:bCs/>
          <w:sz w:val="26"/>
          <w:szCs w:val="26"/>
        </w:rPr>
      </w:pPr>
    </w:p>
    <w:p>
      <w:pPr>
        <w:spacing w:after="0" w:line="240" w:lineRule="auto"/>
        <w:rPr>
          <w:rFonts w:ascii="黑体" w:hAnsi="黑体" w:cs="黑体" w:eastAsia="黑体" w:hint="default"/>
          <w:sz w:val="26"/>
          <w:szCs w:val="26"/>
        </w:rPr>
        <w:sectPr>
          <w:pgSz w:w="11910" w:h="16840"/>
          <w:pgMar w:header="720" w:footer="727" w:top="1080" w:bottom="920" w:left="1140" w:right="940"/>
        </w:sectPr>
      </w:pPr>
    </w:p>
    <w:p>
      <w:pPr>
        <w:spacing w:line="331" w:lineRule="auto" w:before="26"/>
        <w:ind w:left="700" w:right="-20" w:hanging="81"/>
        <w:jc w:val="left"/>
        <w:rPr>
          <w:rFonts w:ascii="宋体" w:hAnsi="宋体" w:cs="宋体" w:eastAsia="宋体" w:hint="default"/>
          <w:sz w:val="24"/>
          <w:szCs w:val="24"/>
        </w:rPr>
      </w:pPr>
      <w:r>
        <w:rPr>
          <w:rFonts w:ascii="宋体" w:hAnsi="宋体" w:cs="宋体" w:eastAsia="宋体" w:hint="default"/>
          <w:b/>
          <w:bCs/>
          <w:sz w:val="24"/>
          <w:szCs w:val="24"/>
        </w:rPr>
        <w:t>(一) 股本变动情况</w:t>
      </w:r>
      <w:r>
        <w:rPr>
          <w:rFonts w:ascii="宋体" w:hAnsi="宋体" w:cs="宋体" w:eastAsia="宋体" w:hint="default"/>
          <w:b/>
          <w:bCs/>
          <w:spacing w:val="1"/>
          <w:w w:val="99"/>
          <w:sz w:val="24"/>
          <w:szCs w:val="24"/>
        </w:rPr>
        <w:t> </w:t>
      </w:r>
      <w:r>
        <w:rPr>
          <w:rFonts w:ascii="宋体" w:hAnsi="宋体" w:cs="宋体" w:eastAsia="宋体" w:hint="default"/>
          <w:sz w:val="24"/>
          <w:szCs w:val="24"/>
        </w:rPr>
        <w:t>1、股份变动情况表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spacing w:before="0"/>
        <w:ind w:left="620"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900" w:bottom="280" w:left="1140" w:right="940"/>
          <w:cols w:num="2" w:equalWidth="0">
            <w:col w:w="2741" w:space="5266"/>
            <w:col w:w="1823"/>
          </w:cols>
        </w:sectPr>
      </w:pPr>
    </w:p>
    <w:p>
      <w:pPr>
        <w:spacing w:line="240" w:lineRule="auto" w:before="2"/>
        <w:rPr>
          <w:rFonts w:ascii="宋体" w:hAnsi="宋体" w:cs="宋体" w:eastAsia="宋体" w:hint="default"/>
          <w:sz w:val="15"/>
          <w:szCs w:val="15"/>
        </w:rPr>
      </w:pPr>
    </w:p>
    <w:tbl>
      <w:tblPr>
        <w:tblW w:w="0" w:type="auto"/>
        <w:jc w:val="left"/>
        <w:tblInd w:w="105" w:type="dxa"/>
        <w:tblLayout w:type="fixed"/>
        <w:tblCellMar>
          <w:top w:w="0" w:type="dxa"/>
          <w:left w:w="0" w:type="dxa"/>
          <w:bottom w:w="0" w:type="dxa"/>
          <w:right w:w="0" w:type="dxa"/>
        </w:tblCellMar>
        <w:tblLook w:val="01E0"/>
      </w:tblPr>
      <w:tblGrid>
        <w:gridCol w:w="1354"/>
        <w:gridCol w:w="1206"/>
        <w:gridCol w:w="680"/>
        <w:gridCol w:w="438"/>
        <w:gridCol w:w="410"/>
        <w:gridCol w:w="1206"/>
        <w:gridCol w:w="1206"/>
        <w:gridCol w:w="1206"/>
        <w:gridCol w:w="1206"/>
        <w:gridCol w:w="679"/>
      </w:tblGrid>
      <w:tr>
        <w:trPr>
          <w:trHeight w:val="284" w:hRule="exact"/>
        </w:trPr>
        <w:tc>
          <w:tcPr>
            <w:tcW w:w="1354" w:type="dxa"/>
            <w:vMerge w:val="restart"/>
            <w:tcBorders>
              <w:top w:val="single" w:sz="6" w:space="0" w:color="000000"/>
              <w:left w:val="single" w:sz="6" w:space="0" w:color="000000"/>
              <w:right w:val="single" w:sz="6" w:space="0" w:color="000000"/>
            </w:tcBorders>
          </w:tcPr>
          <w:p>
            <w:pPr/>
          </w:p>
        </w:tc>
        <w:tc>
          <w:tcPr>
            <w:tcW w:w="1886" w:type="dxa"/>
            <w:gridSpan w:val="2"/>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485"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466" w:type="dxa"/>
            <w:gridSpan w:val="5"/>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1236"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885" w:type="dxa"/>
            <w:gridSpan w:val="2"/>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486"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949" w:hRule="exact"/>
        </w:trPr>
        <w:tc>
          <w:tcPr>
            <w:tcW w:w="1354" w:type="dxa"/>
            <w:vMerge/>
            <w:tcBorders>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6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197" w:right="151" w:hanging="46"/>
              <w:jc w:val="left"/>
              <w:rPr>
                <w:rFonts w:ascii="宋体" w:hAnsi="宋体" w:cs="宋体" w:eastAsia="宋体" w:hint="default"/>
                <w:sz w:val="18"/>
                <w:szCs w:val="18"/>
              </w:rPr>
            </w:pPr>
            <w:r>
              <w:rPr>
                <w:rFonts w:ascii="宋体" w:hAnsi="宋体" w:cs="宋体" w:eastAsia="宋体" w:hint="default"/>
                <w:sz w:val="18"/>
                <w:szCs w:val="18"/>
              </w:rPr>
              <w:t>比例 (%)</w:t>
            </w:r>
          </w:p>
        </w:tc>
        <w:tc>
          <w:tcPr>
            <w:tcW w:w="43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21" w:right="0"/>
              <w:jc w:val="both"/>
              <w:rPr>
                <w:rFonts w:ascii="宋体" w:hAnsi="宋体" w:cs="宋体" w:eastAsia="宋体" w:hint="default"/>
                <w:sz w:val="18"/>
                <w:szCs w:val="18"/>
              </w:rPr>
            </w:pPr>
            <w:r>
              <w:rPr>
                <w:rFonts w:ascii="宋体" w:hAnsi="宋体" w:cs="宋体" w:eastAsia="宋体" w:hint="default"/>
                <w:sz w:val="18"/>
                <w:szCs w:val="18"/>
              </w:rPr>
              <w:t>发</w:t>
            </w:r>
          </w:p>
          <w:p>
            <w:pPr>
              <w:pStyle w:val="TableParagraph"/>
              <w:spacing w:line="237" w:lineRule="auto"/>
              <w:ind w:left="121" w:right="120"/>
              <w:jc w:val="both"/>
              <w:rPr>
                <w:rFonts w:ascii="宋体" w:hAnsi="宋体" w:cs="宋体" w:eastAsia="宋体" w:hint="default"/>
                <w:sz w:val="18"/>
                <w:szCs w:val="18"/>
              </w:rPr>
            </w:pPr>
            <w:r>
              <w:rPr>
                <w:rFonts w:ascii="宋体" w:hAnsi="宋体" w:cs="宋体" w:eastAsia="宋体" w:hint="default"/>
                <w:sz w:val="18"/>
                <w:szCs w:val="18"/>
              </w:rPr>
              <w:t>行 新 股</w:t>
            </w:r>
          </w:p>
        </w:tc>
        <w:tc>
          <w:tcPr>
            <w:tcW w:w="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107" w:right="106"/>
              <w:jc w:val="left"/>
              <w:rPr>
                <w:rFonts w:ascii="宋体" w:hAnsi="宋体" w:cs="宋体" w:eastAsia="宋体" w:hint="default"/>
                <w:sz w:val="18"/>
                <w:szCs w:val="18"/>
              </w:rPr>
            </w:pPr>
            <w:r>
              <w:rPr>
                <w:rFonts w:ascii="宋体" w:hAnsi="宋体" w:cs="宋体" w:eastAsia="宋体" w:hint="default"/>
                <w:sz w:val="18"/>
                <w:szCs w:val="18"/>
              </w:rPr>
              <w:t>送 股</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44"/>
              <w:jc w:val="right"/>
              <w:rPr>
                <w:rFonts w:ascii="宋体" w:hAnsi="宋体" w:cs="宋体" w:eastAsia="宋体" w:hint="default"/>
                <w:sz w:val="18"/>
                <w:szCs w:val="18"/>
              </w:rPr>
            </w:pPr>
            <w:r>
              <w:rPr>
                <w:rFonts w:ascii="宋体" w:hAnsi="宋体" w:cs="宋体" w:eastAsia="宋体" w:hint="default"/>
                <w:sz w:val="18"/>
                <w:szCs w:val="18"/>
              </w:rPr>
              <w:t>公积金转股</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6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32" w:lineRule="exact"/>
              <w:ind w:left="197" w:right="150" w:hanging="46"/>
              <w:jc w:val="left"/>
              <w:rPr>
                <w:rFonts w:ascii="宋体" w:hAnsi="宋体" w:cs="宋体" w:eastAsia="宋体" w:hint="default"/>
                <w:sz w:val="18"/>
                <w:szCs w:val="18"/>
              </w:rPr>
            </w:pPr>
            <w:r>
              <w:rPr>
                <w:rFonts w:ascii="宋体" w:hAnsi="宋体" w:cs="宋体" w:eastAsia="宋体" w:hint="default"/>
                <w:sz w:val="18"/>
                <w:szCs w:val="18"/>
              </w:rPr>
              <w:t>比例 (%)</w:t>
            </w:r>
          </w:p>
        </w:tc>
      </w:tr>
      <w:tr>
        <w:trPr>
          <w:trHeight w:val="481" w:hRule="exact"/>
        </w:trPr>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一、有限售条</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件股份</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130,109,255</w:t>
            </w:r>
          </w:p>
        </w:tc>
        <w:tc>
          <w:tcPr>
            <w:tcW w:w="6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27.88</w:t>
            </w:r>
          </w:p>
        </w:tc>
        <w:tc>
          <w:tcPr>
            <w:tcW w:w="438" w:type="dxa"/>
            <w:tcBorders>
              <w:top w:val="single" w:sz="6" w:space="0" w:color="000000"/>
              <w:left w:val="single" w:sz="6" w:space="0" w:color="000000"/>
              <w:bottom w:val="single" w:sz="6" w:space="0" w:color="000000"/>
              <w:right w:val="single" w:sz="6" w:space="0" w:color="000000"/>
            </w:tcBorders>
          </w:tcPr>
          <w:p>
            <w:pPr/>
          </w:p>
        </w:tc>
        <w:tc>
          <w:tcPr>
            <w:tcW w:w="410"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31,444,997</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-14,164,411</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17,280,586</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147,389,841</w:t>
            </w:r>
          </w:p>
        </w:tc>
        <w:tc>
          <w:tcPr>
            <w:tcW w:w="6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23.47</w:t>
            </w:r>
          </w:p>
        </w:tc>
      </w:tr>
      <w:tr>
        <w:trPr>
          <w:trHeight w:val="248" w:hRule="exact"/>
        </w:trPr>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1、国家持股</w:t>
            </w:r>
          </w:p>
        </w:tc>
        <w:tc>
          <w:tcPr>
            <w:tcW w:w="1206" w:type="dxa"/>
            <w:tcBorders>
              <w:top w:val="single" w:sz="6" w:space="0" w:color="000000"/>
              <w:left w:val="single" w:sz="6" w:space="0" w:color="000000"/>
              <w:bottom w:val="single" w:sz="6" w:space="0" w:color="000000"/>
              <w:right w:val="single" w:sz="6" w:space="0" w:color="000000"/>
            </w:tcBorders>
          </w:tcPr>
          <w:p>
            <w:pPr/>
          </w:p>
        </w:tc>
        <w:tc>
          <w:tcPr>
            <w:tcW w:w="680" w:type="dxa"/>
            <w:tcBorders>
              <w:top w:val="single" w:sz="6" w:space="0" w:color="000000"/>
              <w:left w:val="single" w:sz="6" w:space="0" w:color="000000"/>
              <w:bottom w:val="single" w:sz="6" w:space="0" w:color="000000"/>
              <w:right w:val="single" w:sz="6" w:space="0" w:color="000000"/>
            </w:tcBorders>
          </w:tcPr>
          <w:p>
            <w:pPr/>
          </w:p>
        </w:tc>
        <w:tc>
          <w:tcPr>
            <w:tcW w:w="438" w:type="dxa"/>
            <w:tcBorders>
              <w:top w:val="single" w:sz="6" w:space="0" w:color="000000"/>
              <w:left w:val="single" w:sz="6" w:space="0" w:color="000000"/>
              <w:bottom w:val="single" w:sz="6" w:space="0" w:color="000000"/>
              <w:right w:val="single" w:sz="6" w:space="0" w:color="000000"/>
            </w:tcBorders>
          </w:tcPr>
          <w:p>
            <w:pPr/>
          </w:p>
        </w:tc>
        <w:tc>
          <w:tcPr>
            <w:tcW w:w="410"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5"/>
                <w:sz w:val="18"/>
                <w:szCs w:val="18"/>
              </w:rPr>
              <w:t>2、国有法人持</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206" w:type="dxa"/>
            <w:tcBorders>
              <w:top w:val="single" w:sz="6" w:space="0" w:color="000000"/>
              <w:left w:val="single" w:sz="6" w:space="0" w:color="000000"/>
              <w:bottom w:val="single" w:sz="6" w:space="0" w:color="000000"/>
              <w:right w:val="single" w:sz="6" w:space="0" w:color="000000"/>
            </w:tcBorders>
          </w:tcPr>
          <w:p>
            <w:pPr/>
          </w:p>
        </w:tc>
        <w:tc>
          <w:tcPr>
            <w:tcW w:w="680" w:type="dxa"/>
            <w:tcBorders>
              <w:top w:val="single" w:sz="6" w:space="0" w:color="000000"/>
              <w:left w:val="single" w:sz="6" w:space="0" w:color="000000"/>
              <w:bottom w:val="single" w:sz="6" w:space="0" w:color="000000"/>
              <w:right w:val="single" w:sz="6" w:space="0" w:color="000000"/>
            </w:tcBorders>
          </w:tcPr>
          <w:p>
            <w:pPr/>
          </w:p>
        </w:tc>
        <w:tc>
          <w:tcPr>
            <w:tcW w:w="438" w:type="dxa"/>
            <w:tcBorders>
              <w:top w:val="single" w:sz="6" w:space="0" w:color="000000"/>
              <w:left w:val="single" w:sz="6" w:space="0" w:color="000000"/>
              <w:bottom w:val="single" w:sz="6" w:space="0" w:color="000000"/>
              <w:right w:val="single" w:sz="6" w:space="0" w:color="000000"/>
            </w:tcBorders>
          </w:tcPr>
          <w:p>
            <w:pPr/>
          </w:p>
        </w:tc>
        <w:tc>
          <w:tcPr>
            <w:tcW w:w="410"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r>
      <w:tr>
        <w:trPr>
          <w:trHeight w:val="481" w:hRule="exact"/>
        </w:trPr>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5"/>
                <w:sz w:val="18"/>
                <w:szCs w:val="18"/>
              </w:rPr>
              <w:t>3、其他内资持</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130,109,255</w:t>
            </w:r>
          </w:p>
        </w:tc>
        <w:tc>
          <w:tcPr>
            <w:tcW w:w="6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27.88</w:t>
            </w:r>
          </w:p>
        </w:tc>
        <w:tc>
          <w:tcPr>
            <w:tcW w:w="438" w:type="dxa"/>
            <w:tcBorders>
              <w:top w:val="single" w:sz="6" w:space="0" w:color="000000"/>
              <w:left w:val="single" w:sz="6" w:space="0" w:color="000000"/>
              <w:bottom w:val="single" w:sz="6" w:space="0" w:color="000000"/>
              <w:right w:val="single" w:sz="6" w:space="0" w:color="000000"/>
            </w:tcBorders>
          </w:tcPr>
          <w:p>
            <w:pPr/>
          </w:p>
        </w:tc>
        <w:tc>
          <w:tcPr>
            <w:tcW w:w="410"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31,444,997</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-14,164,411</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17,280,586</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147,389,841</w:t>
            </w:r>
          </w:p>
        </w:tc>
        <w:tc>
          <w:tcPr>
            <w:tcW w:w="6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23.47</w:t>
            </w:r>
          </w:p>
        </w:tc>
      </w:tr>
      <w:tr>
        <w:trPr>
          <w:trHeight w:val="482" w:hRule="exact"/>
        </w:trPr>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其中: 境内非</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国有法人持股</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120,744,000</w:t>
            </w:r>
          </w:p>
        </w:tc>
        <w:tc>
          <w:tcPr>
            <w:tcW w:w="6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25.87</w:t>
            </w:r>
          </w:p>
        </w:tc>
        <w:tc>
          <w:tcPr>
            <w:tcW w:w="438" w:type="dxa"/>
            <w:tcBorders>
              <w:top w:val="single" w:sz="6" w:space="0" w:color="000000"/>
              <w:left w:val="single" w:sz="6" w:space="0" w:color="000000"/>
              <w:bottom w:val="single" w:sz="6" w:space="0" w:color="000000"/>
              <w:right w:val="single" w:sz="6" w:space="0" w:color="000000"/>
            </w:tcBorders>
          </w:tcPr>
          <w:p>
            <w:pPr/>
          </w:p>
        </w:tc>
        <w:tc>
          <w:tcPr>
            <w:tcW w:w="410"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28,641,600</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-25,272,000</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3,369,600</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124,113,600</w:t>
            </w:r>
          </w:p>
        </w:tc>
        <w:tc>
          <w:tcPr>
            <w:tcW w:w="6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19.76</w:t>
            </w:r>
          </w:p>
        </w:tc>
      </w:tr>
      <w:tr>
        <w:trPr>
          <w:trHeight w:val="482" w:hRule="exact"/>
        </w:trPr>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460" w:right="0"/>
              <w:jc w:val="left"/>
              <w:rPr>
                <w:rFonts w:ascii="宋体" w:hAnsi="宋体" w:cs="宋体" w:eastAsia="宋体" w:hint="default"/>
                <w:sz w:val="18"/>
                <w:szCs w:val="18"/>
              </w:rPr>
            </w:pPr>
            <w:r>
              <w:rPr>
                <w:rFonts w:ascii="宋体" w:hAnsi="宋体" w:cs="宋体" w:eastAsia="宋体" w:hint="default"/>
                <w:sz w:val="18"/>
                <w:szCs w:val="18"/>
              </w:rPr>
              <w:t>境内自然</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人持股</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9,365,255</w:t>
            </w:r>
          </w:p>
        </w:tc>
        <w:tc>
          <w:tcPr>
            <w:tcW w:w="6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2.01</w:t>
            </w:r>
          </w:p>
        </w:tc>
        <w:tc>
          <w:tcPr>
            <w:tcW w:w="438" w:type="dxa"/>
            <w:tcBorders>
              <w:top w:val="single" w:sz="6" w:space="0" w:color="000000"/>
              <w:left w:val="single" w:sz="6" w:space="0" w:color="000000"/>
              <w:bottom w:val="single" w:sz="6" w:space="0" w:color="000000"/>
              <w:right w:val="single" w:sz="6" w:space="0" w:color="000000"/>
            </w:tcBorders>
          </w:tcPr>
          <w:p>
            <w:pPr/>
          </w:p>
        </w:tc>
        <w:tc>
          <w:tcPr>
            <w:tcW w:w="410"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2,803,397</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89" w:right="0"/>
              <w:jc w:val="center"/>
              <w:rPr>
                <w:rFonts w:ascii="宋体" w:hAnsi="宋体" w:cs="宋体" w:eastAsia="宋体" w:hint="default"/>
                <w:sz w:val="18"/>
                <w:szCs w:val="18"/>
              </w:rPr>
            </w:pPr>
            <w:r>
              <w:rPr>
                <w:rFonts w:ascii="宋体"/>
                <w:sz w:val="18"/>
              </w:rPr>
              <w:t>11,107,589</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13,910,986</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89" w:right="0"/>
              <w:jc w:val="center"/>
              <w:rPr>
                <w:rFonts w:ascii="宋体" w:hAnsi="宋体" w:cs="宋体" w:eastAsia="宋体" w:hint="default"/>
                <w:sz w:val="18"/>
                <w:szCs w:val="18"/>
              </w:rPr>
            </w:pPr>
            <w:r>
              <w:rPr>
                <w:rFonts w:ascii="宋体"/>
                <w:sz w:val="18"/>
              </w:rPr>
              <w:t>23,276,241</w:t>
            </w:r>
          </w:p>
        </w:tc>
        <w:tc>
          <w:tcPr>
            <w:tcW w:w="6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3.71</w:t>
            </w:r>
          </w:p>
        </w:tc>
      </w:tr>
      <w:tr>
        <w:trPr>
          <w:trHeight w:val="248" w:hRule="exact"/>
        </w:trPr>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4、外资持股</w:t>
            </w:r>
          </w:p>
        </w:tc>
        <w:tc>
          <w:tcPr>
            <w:tcW w:w="1206" w:type="dxa"/>
            <w:tcBorders>
              <w:top w:val="single" w:sz="6" w:space="0" w:color="000000"/>
              <w:left w:val="single" w:sz="6" w:space="0" w:color="000000"/>
              <w:bottom w:val="single" w:sz="6" w:space="0" w:color="000000"/>
              <w:right w:val="single" w:sz="6" w:space="0" w:color="000000"/>
            </w:tcBorders>
          </w:tcPr>
          <w:p>
            <w:pPr/>
          </w:p>
        </w:tc>
        <w:tc>
          <w:tcPr>
            <w:tcW w:w="680" w:type="dxa"/>
            <w:tcBorders>
              <w:top w:val="single" w:sz="6" w:space="0" w:color="000000"/>
              <w:left w:val="single" w:sz="6" w:space="0" w:color="000000"/>
              <w:bottom w:val="single" w:sz="6" w:space="0" w:color="000000"/>
              <w:right w:val="single" w:sz="6" w:space="0" w:color="000000"/>
            </w:tcBorders>
          </w:tcPr>
          <w:p>
            <w:pPr/>
          </w:p>
        </w:tc>
        <w:tc>
          <w:tcPr>
            <w:tcW w:w="438" w:type="dxa"/>
            <w:tcBorders>
              <w:top w:val="single" w:sz="6" w:space="0" w:color="000000"/>
              <w:left w:val="single" w:sz="6" w:space="0" w:color="000000"/>
              <w:bottom w:val="single" w:sz="6" w:space="0" w:color="000000"/>
              <w:right w:val="single" w:sz="6" w:space="0" w:color="000000"/>
            </w:tcBorders>
          </w:tcPr>
          <w:p>
            <w:pPr/>
          </w:p>
        </w:tc>
        <w:tc>
          <w:tcPr>
            <w:tcW w:w="410"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r>
      <w:tr>
        <w:trPr>
          <w:trHeight w:val="481" w:hRule="exact"/>
        </w:trPr>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其中:境外法</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人持股</w:t>
            </w:r>
          </w:p>
        </w:tc>
        <w:tc>
          <w:tcPr>
            <w:tcW w:w="1206" w:type="dxa"/>
            <w:tcBorders>
              <w:top w:val="single" w:sz="6" w:space="0" w:color="000000"/>
              <w:left w:val="single" w:sz="6" w:space="0" w:color="000000"/>
              <w:bottom w:val="single" w:sz="6" w:space="0" w:color="000000"/>
              <w:right w:val="single" w:sz="6" w:space="0" w:color="000000"/>
            </w:tcBorders>
          </w:tcPr>
          <w:p>
            <w:pPr/>
          </w:p>
        </w:tc>
        <w:tc>
          <w:tcPr>
            <w:tcW w:w="680" w:type="dxa"/>
            <w:tcBorders>
              <w:top w:val="single" w:sz="6" w:space="0" w:color="000000"/>
              <w:left w:val="single" w:sz="6" w:space="0" w:color="000000"/>
              <w:bottom w:val="single" w:sz="6" w:space="0" w:color="000000"/>
              <w:right w:val="single" w:sz="6" w:space="0" w:color="000000"/>
            </w:tcBorders>
          </w:tcPr>
          <w:p>
            <w:pPr/>
          </w:p>
        </w:tc>
        <w:tc>
          <w:tcPr>
            <w:tcW w:w="438" w:type="dxa"/>
            <w:tcBorders>
              <w:top w:val="single" w:sz="6" w:space="0" w:color="000000"/>
              <w:left w:val="single" w:sz="6" w:space="0" w:color="000000"/>
              <w:bottom w:val="single" w:sz="6" w:space="0" w:color="000000"/>
              <w:right w:val="single" w:sz="6" w:space="0" w:color="000000"/>
            </w:tcBorders>
          </w:tcPr>
          <w:p>
            <w:pPr/>
          </w:p>
        </w:tc>
        <w:tc>
          <w:tcPr>
            <w:tcW w:w="410"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640" w:right="0"/>
              <w:jc w:val="left"/>
              <w:rPr>
                <w:rFonts w:ascii="宋体" w:hAnsi="宋体" w:cs="宋体" w:eastAsia="宋体" w:hint="default"/>
                <w:sz w:val="18"/>
                <w:szCs w:val="18"/>
              </w:rPr>
            </w:pPr>
            <w:r>
              <w:rPr>
                <w:rFonts w:ascii="宋体" w:hAnsi="宋体" w:cs="宋体" w:eastAsia="宋体" w:hint="default"/>
                <w:sz w:val="18"/>
                <w:szCs w:val="18"/>
              </w:rPr>
              <w:t>境外自</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然人持股</w:t>
            </w:r>
          </w:p>
        </w:tc>
        <w:tc>
          <w:tcPr>
            <w:tcW w:w="1206" w:type="dxa"/>
            <w:tcBorders>
              <w:top w:val="single" w:sz="6" w:space="0" w:color="000000"/>
              <w:left w:val="single" w:sz="6" w:space="0" w:color="000000"/>
              <w:bottom w:val="single" w:sz="6" w:space="0" w:color="000000"/>
              <w:right w:val="single" w:sz="6" w:space="0" w:color="000000"/>
            </w:tcBorders>
          </w:tcPr>
          <w:p>
            <w:pPr/>
          </w:p>
        </w:tc>
        <w:tc>
          <w:tcPr>
            <w:tcW w:w="680" w:type="dxa"/>
            <w:tcBorders>
              <w:top w:val="single" w:sz="6" w:space="0" w:color="000000"/>
              <w:left w:val="single" w:sz="6" w:space="0" w:color="000000"/>
              <w:bottom w:val="single" w:sz="6" w:space="0" w:color="000000"/>
              <w:right w:val="single" w:sz="6" w:space="0" w:color="000000"/>
            </w:tcBorders>
          </w:tcPr>
          <w:p>
            <w:pPr/>
          </w:p>
        </w:tc>
        <w:tc>
          <w:tcPr>
            <w:tcW w:w="438" w:type="dxa"/>
            <w:tcBorders>
              <w:top w:val="single" w:sz="6" w:space="0" w:color="000000"/>
              <w:left w:val="single" w:sz="6" w:space="0" w:color="000000"/>
              <w:bottom w:val="single" w:sz="6" w:space="0" w:color="000000"/>
              <w:right w:val="single" w:sz="6" w:space="0" w:color="000000"/>
            </w:tcBorders>
          </w:tcPr>
          <w:p>
            <w:pPr/>
          </w:p>
        </w:tc>
        <w:tc>
          <w:tcPr>
            <w:tcW w:w="410"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r>
      <w:tr>
        <w:trPr>
          <w:trHeight w:val="481" w:hRule="exact"/>
        </w:trPr>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二、无限售条</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件流通股份</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336,574,320</w:t>
            </w:r>
          </w:p>
        </w:tc>
        <w:tc>
          <w:tcPr>
            <w:tcW w:w="6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72.12</w:t>
            </w:r>
          </w:p>
        </w:tc>
        <w:tc>
          <w:tcPr>
            <w:tcW w:w="438" w:type="dxa"/>
            <w:tcBorders>
              <w:top w:val="single" w:sz="6" w:space="0" w:color="000000"/>
              <w:left w:val="single" w:sz="6" w:space="0" w:color="000000"/>
              <w:bottom w:val="single" w:sz="6" w:space="0" w:color="000000"/>
              <w:right w:val="single" w:sz="6" w:space="0" w:color="000000"/>
            </w:tcBorders>
          </w:tcPr>
          <w:p>
            <w:pPr/>
          </w:p>
        </w:tc>
        <w:tc>
          <w:tcPr>
            <w:tcW w:w="410"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108,553,896</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89" w:right="0"/>
              <w:jc w:val="center"/>
              <w:rPr>
                <w:rFonts w:ascii="宋体" w:hAnsi="宋体" w:cs="宋体" w:eastAsia="宋体" w:hint="default"/>
                <w:sz w:val="18"/>
                <w:szCs w:val="18"/>
              </w:rPr>
            </w:pPr>
            <w:r>
              <w:rPr>
                <w:rFonts w:ascii="宋体"/>
                <w:sz w:val="18"/>
              </w:rPr>
              <w:t>35,340,793</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143,894,689</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480,469,009</w:t>
            </w:r>
          </w:p>
        </w:tc>
        <w:tc>
          <w:tcPr>
            <w:tcW w:w="6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76.53</w:t>
            </w:r>
          </w:p>
        </w:tc>
      </w:tr>
      <w:tr>
        <w:trPr>
          <w:trHeight w:val="482" w:hRule="exact"/>
        </w:trPr>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5"/>
                <w:sz w:val="18"/>
                <w:szCs w:val="18"/>
              </w:rPr>
              <w:t>1、人民币普通</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336,574,320</w:t>
            </w:r>
          </w:p>
        </w:tc>
        <w:tc>
          <w:tcPr>
            <w:tcW w:w="6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72.12</w:t>
            </w:r>
          </w:p>
        </w:tc>
        <w:tc>
          <w:tcPr>
            <w:tcW w:w="438" w:type="dxa"/>
            <w:tcBorders>
              <w:top w:val="single" w:sz="6" w:space="0" w:color="000000"/>
              <w:left w:val="single" w:sz="6" w:space="0" w:color="000000"/>
              <w:bottom w:val="single" w:sz="6" w:space="0" w:color="000000"/>
              <w:right w:val="single" w:sz="6" w:space="0" w:color="000000"/>
            </w:tcBorders>
          </w:tcPr>
          <w:p>
            <w:pPr/>
          </w:p>
        </w:tc>
        <w:tc>
          <w:tcPr>
            <w:tcW w:w="410"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108,553,896</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89" w:right="0"/>
              <w:jc w:val="center"/>
              <w:rPr>
                <w:rFonts w:ascii="宋体" w:hAnsi="宋体" w:cs="宋体" w:eastAsia="宋体" w:hint="default"/>
                <w:sz w:val="18"/>
                <w:szCs w:val="18"/>
              </w:rPr>
            </w:pPr>
            <w:r>
              <w:rPr>
                <w:rFonts w:ascii="宋体"/>
                <w:sz w:val="18"/>
              </w:rPr>
              <w:t>35,340,793</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143,894,689</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480,469,009</w:t>
            </w:r>
          </w:p>
        </w:tc>
        <w:tc>
          <w:tcPr>
            <w:tcW w:w="6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76.53</w:t>
            </w:r>
          </w:p>
        </w:tc>
      </w:tr>
      <w:tr>
        <w:trPr>
          <w:trHeight w:val="481" w:hRule="exact"/>
        </w:trPr>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5"/>
                <w:sz w:val="18"/>
                <w:szCs w:val="18"/>
              </w:rPr>
              <w:t>2、境内上市的</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外资股</w:t>
            </w:r>
          </w:p>
        </w:tc>
        <w:tc>
          <w:tcPr>
            <w:tcW w:w="1206" w:type="dxa"/>
            <w:tcBorders>
              <w:top w:val="single" w:sz="6" w:space="0" w:color="000000"/>
              <w:left w:val="single" w:sz="6" w:space="0" w:color="000000"/>
              <w:bottom w:val="single" w:sz="6" w:space="0" w:color="000000"/>
              <w:right w:val="single" w:sz="6" w:space="0" w:color="000000"/>
            </w:tcBorders>
          </w:tcPr>
          <w:p>
            <w:pPr/>
          </w:p>
        </w:tc>
        <w:tc>
          <w:tcPr>
            <w:tcW w:w="680" w:type="dxa"/>
            <w:tcBorders>
              <w:top w:val="single" w:sz="6" w:space="0" w:color="000000"/>
              <w:left w:val="single" w:sz="6" w:space="0" w:color="000000"/>
              <w:bottom w:val="single" w:sz="6" w:space="0" w:color="000000"/>
              <w:right w:val="single" w:sz="6" w:space="0" w:color="000000"/>
            </w:tcBorders>
          </w:tcPr>
          <w:p>
            <w:pPr/>
          </w:p>
        </w:tc>
        <w:tc>
          <w:tcPr>
            <w:tcW w:w="438" w:type="dxa"/>
            <w:tcBorders>
              <w:top w:val="single" w:sz="6" w:space="0" w:color="000000"/>
              <w:left w:val="single" w:sz="6" w:space="0" w:color="000000"/>
              <w:bottom w:val="single" w:sz="6" w:space="0" w:color="000000"/>
              <w:right w:val="single" w:sz="6" w:space="0" w:color="000000"/>
            </w:tcBorders>
          </w:tcPr>
          <w:p>
            <w:pPr/>
          </w:p>
        </w:tc>
        <w:tc>
          <w:tcPr>
            <w:tcW w:w="410"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5"/>
                <w:sz w:val="18"/>
                <w:szCs w:val="18"/>
              </w:rPr>
              <w:t>3、境外上市的</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外资股</w:t>
            </w:r>
          </w:p>
        </w:tc>
        <w:tc>
          <w:tcPr>
            <w:tcW w:w="1206" w:type="dxa"/>
            <w:tcBorders>
              <w:top w:val="single" w:sz="6" w:space="0" w:color="000000"/>
              <w:left w:val="single" w:sz="6" w:space="0" w:color="000000"/>
              <w:bottom w:val="single" w:sz="6" w:space="0" w:color="000000"/>
              <w:right w:val="single" w:sz="6" w:space="0" w:color="000000"/>
            </w:tcBorders>
          </w:tcPr>
          <w:p>
            <w:pPr/>
          </w:p>
        </w:tc>
        <w:tc>
          <w:tcPr>
            <w:tcW w:w="680" w:type="dxa"/>
            <w:tcBorders>
              <w:top w:val="single" w:sz="6" w:space="0" w:color="000000"/>
              <w:left w:val="single" w:sz="6" w:space="0" w:color="000000"/>
              <w:bottom w:val="single" w:sz="6" w:space="0" w:color="000000"/>
              <w:right w:val="single" w:sz="6" w:space="0" w:color="000000"/>
            </w:tcBorders>
          </w:tcPr>
          <w:p>
            <w:pPr/>
          </w:p>
        </w:tc>
        <w:tc>
          <w:tcPr>
            <w:tcW w:w="438" w:type="dxa"/>
            <w:tcBorders>
              <w:top w:val="single" w:sz="6" w:space="0" w:color="000000"/>
              <w:left w:val="single" w:sz="6" w:space="0" w:color="000000"/>
              <w:bottom w:val="single" w:sz="6" w:space="0" w:color="000000"/>
              <w:right w:val="single" w:sz="6" w:space="0" w:color="000000"/>
            </w:tcBorders>
          </w:tcPr>
          <w:p>
            <w:pPr/>
          </w:p>
        </w:tc>
        <w:tc>
          <w:tcPr>
            <w:tcW w:w="410"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206" w:type="dxa"/>
            <w:tcBorders>
              <w:top w:val="single" w:sz="6" w:space="0" w:color="000000"/>
              <w:left w:val="single" w:sz="6" w:space="0" w:color="000000"/>
              <w:bottom w:val="single" w:sz="6" w:space="0" w:color="000000"/>
              <w:right w:val="single" w:sz="6" w:space="0" w:color="000000"/>
            </w:tcBorders>
          </w:tcPr>
          <w:p>
            <w:pPr/>
          </w:p>
        </w:tc>
        <w:tc>
          <w:tcPr>
            <w:tcW w:w="680" w:type="dxa"/>
            <w:tcBorders>
              <w:top w:val="single" w:sz="6" w:space="0" w:color="000000"/>
              <w:left w:val="single" w:sz="6" w:space="0" w:color="000000"/>
              <w:bottom w:val="single" w:sz="6" w:space="0" w:color="000000"/>
              <w:right w:val="single" w:sz="6" w:space="0" w:color="000000"/>
            </w:tcBorders>
          </w:tcPr>
          <w:p>
            <w:pPr/>
          </w:p>
        </w:tc>
        <w:tc>
          <w:tcPr>
            <w:tcW w:w="438" w:type="dxa"/>
            <w:tcBorders>
              <w:top w:val="single" w:sz="6" w:space="0" w:color="000000"/>
              <w:left w:val="single" w:sz="6" w:space="0" w:color="000000"/>
              <w:bottom w:val="single" w:sz="6" w:space="0" w:color="000000"/>
              <w:right w:val="single" w:sz="6" w:space="0" w:color="000000"/>
            </w:tcBorders>
          </w:tcPr>
          <w:p>
            <w:pPr/>
          </w:p>
        </w:tc>
        <w:tc>
          <w:tcPr>
            <w:tcW w:w="410"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r>
      <w:tr>
        <w:trPr>
          <w:trHeight w:val="250" w:hRule="exact"/>
        </w:trPr>
        <w:tc>
          <w:tcPr>
            <w:tcW w:w="1354" w:type="dxa"/>
            <w:tcBorders>
              <w:top w:val="single" w:sz="6" w:space="0" w:color="000000"/>
              <w:left w:val="single" w:sz="6" w:space="0" w:color="000000"/>
              <w:bottom w:val="single" w:sz="5"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206" w:type="dxa"/>
            <w:tcBorders>
              <w:top w:val="single" w:sz="6" w:space="0" w:color="000000"/>
              <w:left w:val="single" w:sz="6" w:space="0" w:color="000000"/>
              <w:bottom w:val="single" w:sz="5"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466,683,575</w:t>
            </w:r>
          </w:p>
        </w:tc>
        <w:tc>
          <w:tcPr>
            <w:tcW w:w="680" w:type="dxa"/>
            <w:tcBorders>
              <w:top w:val="single" w:sz="6" w:space="0" w:color="000000"/>
              <w:left w:val="single" w:sz="6" w:space="0" w:color="000000"/>
              <w:bottom w:val="single" w:sz="5"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100</w:t>
            </w:r>
          </w:p>
        </w:tc>
        <w:tc>
          <w:tcPr>
            <w:tcW w:w="438" w:type="dxa"/>
            <w:tcBorders>
              <w:top w:val="single" w:sz="6" w:space="0" w:color="000000"/>
              <w:left w:val="single" w:sz="6" w:space="0" w:color="000000"/>
              <w:bottom w:val="single" w:sz="5" w:space="0" w:color="000000"/>
              <w:right w:val="single" w:sz="6" w:space="0" w:color="000000"/>
            </w:tcBorders>
          </w:tcPr>
          <w:p>
            <w:pPr/>
          </w:p>
        </w:tc>
        <w:tc>
          <w:tcPr>
            <w:tcW w:w="410" w:type="dxa"/>
            <w:tcBorders>
              <w:top w:val="single" w:sz="6" w:space="0" w:color="000000"/>
              <w:left w:val="single" w:sz="6" w:space="0" w:color="000000"/>
              <w:bottom w:val="single" w:sz="5" w:space="0" w:color="000000"/>
              <w:right w:val="single" w:sz="6" w:space="0" w:color="000000"/>
            </w:tcBorders>
          </w:tcPr>
          <w:p>
            <w:pPr/>
          </w:p>
        </w:tc>
        <w:tc>
          <w:tcPr>
            <w:tcW w:w="1206" w:type="dxa"/>
            <w:tcBorders>
              <w:top w:val="single" w:sz="6" w:space="0" w:color="000000"/>
              <w:left w:val="single" w:sz="6" w:space="0" w:color="000000"/>
              <w:bottom w:val="single" w:sz="5"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139,998,893</w:t>
            </w:r>
          </w:p>
        </w:tc>
        <w:tc>
          <w:tcPr>
            <w:tcW w:w="1206" w:type="dxa"/>
            <w:tcBorders>
              <w:top w:val="single" w:sz="6" w:space="0" w:color="000000"/>
              <w:left w:val="single" w:sz="6" w:space="0" w:color="000000"/>
              <w:bottom w:val="single" w:sz="5" w:space="0" w:color="000000"/>
              <w:right w:val="single" w:sz="6" w:space="0" w:color="000000"/>
            </w:tcBorders>
          </w:tcPr>
          <w:p>
            <w:pPr>
              <w:pStyle w:val="TableParagraph"/>
              <w:spacing w:line="207" w:lineRule="exact"/>
              <w:ind w:left="89" w:right="0"/>
              <w:jc w:val="center"/>
              <w:rPr>
                <w:rFonts w:ascii="宋体" w:hAnsi="宋体" w:cs="宋体" w:eastAsia="宋体" w:hint="default"/>
                <w:sz w:val="18"/>
                <w:szCs w:val="18"/>
              </w:rPr>
            </w:pPr>
            <w:r>
              <w:rPr>
                <w:rFonts w:ascii="宋体"/>
                <w:sz w:val="18"/>
              </w:rPr>
              <w:t>21,176,382</w:t>
            </w:r>
          </w:p>
        </w:tc>
        <w:tc>
          <w:tcPr>
            <w:tcW w:w="1206" w:type="dxa"/>
            <w:tcBorders>
              <w:top w:val="single" w:sz="6" w:space="0" w:color="000000"/>
              <w:left w:val="single" w:sz="6" w:space="0" w:color="000000"/>
              <w:bottom w:val="single" w:sz="5"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161,175,275</w:t>
            </w:r>
          </w:p>
        </w:tc>
        <w:tc>
          <w:tcPr>
            <w:tcW w:w="1206" w:type="dxa"/>
            <w:tcBorders>
              <w:top w:val="single" w:sz="6" w:space="0" w:color="000000"/>
              <w:left w:val="single" w:sz="6" w:space="0" w:color="000000"/>
              <w:bottom w:val="single" w:sz="5"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627,858,850</w:t>
            </w:r>
          </w:p>
        </w:tc>
        <w:tc>
          <w:tcPr>
            <w:tcW w:w="679" w:type="dxa"/>
            <w:tcBorders>
              <w:top w:val="single" w:sz="6" w:space="0" w:color="000000"/>
              <w:left w:val="single" w:sz="6" w:space="0" w:color="000000"/>
              <w:bottom w:val="single" w:sz="5"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100</w:t>
            </w:r>
          </w:p>
        </w:tc>
      </w:tr>
    </w:tbl>
    <w:p>
      <w:pPr>
        <w:spacing w:before="81"/>
        <w:ind w:left="700" w:right="304" w:firstLine="0"/>
        <w:jc w:val="left"/>
        <w:rPr>
          <w:rFonts w:ascii="宋体" w:hAnsi="宋体" w:cs="宋体" w:eastAsia="宋体" w:hint="default"/>
          <w:sz w:val="24"/>
          <w:szCs w:val="24"/>
        </w:rPr>
      </w:pPr>
      <w:r>
        <w:rPr>
          <w:rFonts w:ascii="宋体" w:hAnsi="宋体" w:cs="宋体" w:eastAsia="宋体" w:hint="default"/>
          <w:sz w:val="24"/>
          <w:szCs w:val="24"/>
        </w:rPr>
        <w:t>（1）股份变动的批准情况</w:t>
      </w:r>
    </w:p>
    <w:p>
      <w:pPr>
        <w:spacing w:line="297" w:lineRule="auto" w:before="196"/>
        <w:ind w:left="220" w:right="356" w:firstLine="482"/>
        <w:jc w:val="both"/>
        <w:rPr>
          <w:rFonts w:ascii="宋体" w:hAnsi="宋体" w:cs="宋体" w:eastAsia="宋体" w:hint="default"/>
          <w:sz w:val="24"/>
          <w:szCs w:val="24"/>
        </w:rPr>
      </w:pPr>
      <w:r>
        <w:rPr>
          <w:rFonts w:ascii="宋体" w:hAnsi="宋体" w:cs="宋体" w:eastAsia="宋体" w:hint="default"/>
          <w:sz w:val="24"/>
          <w:szCs w:val="24"/>
        </w:rPr>
        <w:t>①</w:t>
      </w:r>
      <w:r>
        <w:rPr>
          <w:rFonts w:ascii="宋体" w:hAnsi="宋体" w:cs="宋体" w:eastAsia="宋体" w:hint="default"/>
          <w:spacing w:val="-1"/>
          <w:sz w:val="24"/>
          <w:szCs w:val="24"/>
        </w:rPr>
        <w:t> </w:t>
      </w:r>
      <w:r>
        <w:rPr>
          <w:rFonts w:ascii="宋体" w:hAnsi="宋体" w:cs="宋体" w:eastAsia="宋体" w:hint="default"/>
          <w:sz w:val="24"/>
          <w:szCs w:val="24"/>
        </w:rPr>
        <w:t>公司股权分置改革于</w:t>
      </w:r>
      <w:r>
        <w:rPr>
          <w:rFonts w:ascii="宋体" w:hAnsi="宋体" w:cs="宋体" w:eastAsia="宋体" w:hint="default"/>
          <w:spacing w:val="-55"/>
          <w:sz w:val="24"/>
          <w:szCs w:val="24"/>
        </w:rPr>
        <w:t> </w:t>
      </w:r>
      <w:r>
        <w:rPr>
          <w:rFonts w:ascii="宋体" w:hAnsi="宋体" w:cs="宋体" w:eastAsia="宋体" w:hint="default"/>
          <w:sz w:val="24"/>
          <w:szCs w:val="24"/>
        </w:rPr>
        <w:t>2006</w:t>
      </w:r>
      <w:r>
        <w:rPr>
          <w:rFonts w:ascii="宋体" w:hAnsi="宋体" w:cs="宋体" w:eastAsia="宋体" w:hint="default"/>
          <w:spacing w:val="-55"/>
          <w:sz w:val="24"/>
          <w:szCs w:val="24"/>
        </w:rPr>
        <w:t> </w:t>
      </w:r>
      <w:r>
        <w:rPr>
          <w:rFonts w:ascii="宋体" w:hAnsi="宋体" w:cs="宋体" w:eastAsia="宋体" w:hint="default"/>
          <w:sz w:val="24"/>
          <w:szCs w:val="24"/>
        </w:rPr>
        <w:t>年</w:t>
      </w:r>
      <w:r>
        <w:rPr>
          <w:rFonts w:ascii="宋体" w:hAnsi="宋体" w:cs="宋体" w:eastAsia="宋体" w:hint="default"/>
          <w:spacing w:val="-57"/>
          <w:sz w:val="24"/>
          <w:szCs w:val="24"/>
        </w:rPr>
        <w:t> </w:t>
      </w:r>
      <w:r>
        <w:rPr>
          <w:rFonts w:ascii="宋体" w:hAnsi="宋体" w:cs="宋体" w:eastAsia="宋体" w:hint="default"/>
          <w:sz w:val="24"/>
          <w:szCs w:val="24"/>
        </w:rPr>
        <w:t>2</w:t>
      </w:r>
      <w:r>
        <w:rPr>
          <w:rFonts w:ascii="宋体" w:hAnsi="宋体" w:cs="宋体" w:eastAsia="宋体" w:hint="default"/>
          <w:spacing w:val="-55"/>
          <w:sz w:val="24"/>
          <w:szCs w:val="24"/>
        </w:rPr>
        <w:t> </w:t>
      </w:r>
      <w:r>
        <w:rPr>
          <w:rFonts w:ascii="宋体" w:hAnsi="宋体" w:cs="宋体" w:eastAsia="宋体" w:hint="default"/>
          <w:sz w:val="24"/>
          <w:szCs w:val="24"/>
        </w:rPr>
        <w:t>月</w:t>
      </w:r>
      <w:r>
        <w:rPr>
          <w:rFonts w:ascii="宋体" w:hAnsi="宋体" w:cs="宋体" w:eastAsia="宋体" w:hint="default"/>
          <w:spacing w:val="-55"/>
          <w:sz w:val="24"/>
          <w:szCs w:val="24"/>
        </w:rPr>
        <w:t> </w:t>
      </w:r>
      <w:r>
        <w:rPr>
          <w:rFonts w:ascii="宋体" w:hAnsi="宋体" w:cs="宋体" w:eastAsia="宋体" w:hint="default"/>
          <w:sz w:val="24"/>
          <w:szCs w:val="24"/>
        </w:rPr>
        <w:t>20</w:t>
      </w:r>
      <w:r>
        <w:rPr>
          <w:rFonts w:ascii="宋体" w:hAnsi="宋体" w:cs="宋体" w:eastAsia="宋体" w:hint="default"/>
          <w:spacing w:val="-55"/>
          <w:sz w:val="24"/>
          <w:szCs w:val="24"/>
        </w:rPr>
        <w:t> </w:t>
      </w:r>
      <w:r>
        <w:rPr>
          <w:rFonts w:ascii="宋体" w:hAnsi="宋体" w:cs="宋体" w:eastAsia="宋体" w:hint="default"/>
          <w:sz w:val="24"/>
          <w:szCs w:val="24"/>
        </w:rPr>
        <w:t>日经相关股东会议通过，以</w:t>
      </w:r>
      <w:r>
        <w:rPr>
          <w:rFonts w:ascii="宋体" w:hAnsi="宋体" w:cs="宋体" w:eastAsia="宋体" w:hint="default"/>
          <w:spacing w:val="-55"/>
          <w:sz w:val="24"/>
          <w:szCs w:val="24"/>
        </w:rPr>
        <w:t> </w:t>
      </w:r>
      <w:r>
        <w:rPr>
          <w:rFonts w:ascii="宋体" w:hAnsi="宋体" w:cs="宋体" w:eastAsia="宋体" w:hint="default"/>
          <w:sz w:val="24"/>
          <w:szCs w:val="24"/>
        </w:rPr>
        <w:t>2006</w:t>
      </w:r>
      <w:r>
        <w:rPr>
          <w:rFonts w:ascii="宋体" w:hAnsi="宋体" w:cs="宋体" w:eastAsia="宋体" w:hint="default"/>
          <w:spacing w:val="-55"/>
          <w:sz w:val="24"/>
          <w:szCs w:val="24"/>
        </w:rPr>
        <w:t> </w:t>
      </w:r>
      <w:r>
        <w:rPr>
          <w:rFonts w:ascii="宋体" w:hAnsi="宋体" w:cs="宋体" w:eastAsia="宋体" w:hint="default"/>
          <w:sz w:val="24"/>
          <w:szCs w:val="24"/>
        </w:rPr>
        <w:t>年</w:t>
      </w:r>
      <w:r>
        <w:rPr>
          <w:rFonts w:ascii="宋体" w:hAnsi="宋体" w:cs="宋体" w:eastAsia="宋体" w:hint="default"/>
          <w:spacing w:val="-57"/>
          <w:sz w:val="24"/>
          <w:szCs w:val="24"/>
        </w:rPr>
        <w:t> </w:t>
      </w:r>
      <w:r>
        <w:rPr>
          <w:rFonts w:ascii="宋体" w:hAnsi="宋体" w:cs="宋体" w:eastAsia="宋体" w:hint="default"/>
          <w:sz w:val="24"/>
          <w:szCs w:val="24"/>
        </w:rPr>
        <w:t>2</w:t>
      </w:r>
      <w:r>
        <w:rPr>
          <w:rFonts w:ascii="宋体" w:hAnsi="宋体" w:cs="宋体" w:eastAsia="宋体" w:hint="default"/>
          <w:spacing w:val="-55"/>
          <w:sz w:val="24"/>
          <w:szCs w:val="24"/>
        </w:rPr>
        <w:t> </w:t>
      </w:r>
      <w:r>
        <w:rPr>
          <w:rFonts w:ascii="宋体" w:hAnsi="宋体" w:cs="宋体" w:eastAsia="宋体" w:hint="default"/>
          <w:sz w:val="24"/>
          <w:szCs w:val="24"/>
        </w:rPr>
        <w:t>月</w:t>
      </w:r>
      <w:r>
        <w:rPr>
          <w:rFonts w:ascii="宋体" w:hAnsi="宋体" w:cs="宋体" w:eastAsia="宋体" w:hint="default"/>
          <w:spacing w:val="-55"/>
          <w:sz w:val="24"/>
          <w:szCs w:val="24"/>
        </w:rPr>
        <w:t> </w:t>
      </w:r>
      <w:r>
        <w:rPr>
          <w:rFonts w:ascii="宋体" w:hAnsi="宋体" w:cs="宋体" w:eastAsia="宋体" w:hint="default"/>
          <w:sz w:val="24"/>
          <w:szCs w:val="24"/>
        </w:rPr>
        <w:t>24</w:t>
      </w:r>
      <w:r>
        <w:rPr>
          <w:rFonts w:ascii="宋体" w:hAnsi="宋体" w:cs="宋体" w:eastAsia="宋体" w:hint="default"/>
          <w:sz w:val="24"/>
          <w:szCs w:val="24"/>
        </w:rPr>
        <w:t> </w:t>
      </w:r>
      <w:r>
        <w:rPr>
          <w:rFonts w:ascii="宋体" w:hAnsi="宋体" w:cs="宋体" w:eastAsia="宋体" w:hint="default"/>
          <w:spacing w:val="-4"/>
          <w:sz w:val="24"/>
          <w:szCs w:val="24"/>
        </w:rPr>
        <w:t>日作为股权登记日实施，于</w:t>
      </w:r>
      <w:r>
        <w:rPr>
          <w:rFonts w:ascii="宋体" w:hAnsi="宋体" w:cs="宋体" w:eastAsia="宋体" w:hint="default"/>
          <w:spacing w:val="-56"/>
          <w:sz w:val="24"/>
          <w:szCs w:val="24"/>
        </w:rPr>
        <w:t> </w:t>
      </w:r>
      <w:r>
        <w:rPr>
          <w:rFonts w:ascii="宋体" w:hAnsi="宋体" w:cs="宋体" w:eastAsia="宋体" w:hint="default"/>
          <w:spacing w:val="25"/>
          <w:sz w:val="24"/>
          <w:szCs w:val="24"/>
        </w:rPr>
        <w:t>2006年2月</w:t>
      </w:r>
      <w:r>
        <w:rPr>
          <w:rFonts w:ascii="宋体" w:hAnsi="宋体" w:cs="宋体" w:eastAsia="宋体" w:hint="default"/>
          <w:spacing w:val="-56"/>
          <w:sz w:val="24"/>
          <w:szCs w:val="24"/>
        </w:rPr>
        <w:t> </w:t>
      </w:r>
      <w:r>
        <w:rPr>
          <w:rFonts w:ascii="宋体" w:hAnsi="宋体" w:cs="宋体" w:eastAsia="宋体" w:hint="default"/>
          <w:sz w:val="24"/>
          <w:szCs w:val="24"/>
        </w:rPr>
        <w:t>28</w:t>
      </w:r>
      <w:r>
        <w:rPr>
          <w:rFonts w:ascii="宋体" w:hAnsi="宋体" w:cs="宋体" w:eastAsia="宋体" w:hint="default"/>
          <w:spacing w:val="-56"/>
          <w:sz w:val="24"/>
          <w:szCs w:val="24"/>
        </w:rPr>
        <w:t> </w:t>
      </w:r>
      <w:r>
        <w:rPr>
          <w:rFonts w:ascii="宋体" w:hAnsi="宋体" w:cs="宋体" w:eastAsia="宋体" w:hint="default"/>
          <w:spacing w:val="-4"/>
          <w:sz w:val="24"/>
          <w:szCs w:val="24"/>
        </w:rPr>
        <w:t>日实施后首次复牌。根据中国证监会《上市公</w:t>
      </w:r>
      <w:r>
        <w:rPr>
          <w:rFonts w:ascii="宋体" w:hAnsi="宋体" w:cs="宋体" w:eastAsia="宋体" w:hint="default"/>
          <w:sz w:val="24"/>
          <w:szCs w:val="24"/>
        </w:rPr>
        <w:t> </w:t>
      </w:r>
      <w:r>
        <w:rPr>
          <w:rFonts w:ascii="宋体" w:hAnsi="宋体" w:cs="宋体" w:eastAsia="宋体" w:hint="default"/>
          <w:spacing w:val="-4"/>
          <w:sz w:val="24"/>
          <w:szCs w:val="24"/>
        </w:rPr>
        <w:t>司股权分置改革管理办法》的规定以及用友软件的限售股份持有人在《用友软件股份有限</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4"/>
          <w:sz w:val="24"/>
          <w:szCs w:val="24"/>
        </w:rPr>
        <w:t>公司股权分置改革说明书》中作出的承诺，公司限售股份持有人北京用友科技有限公司和</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上海用友科技咨询有限公司持有的</w:t>
      </w:r>
      <w:r>
        <w:rPr>
          <w:rFonts w:ascii="宋体" w:hAnsi="宋体" w:cs="宋体" w:eastAsia="宋体" w:hint="default"/>
          <w:spacing w:val="-80"/>
          <w:sz w:val="24"/>
          <w:szCs w:val="24"/>
        </w:rPr>
        <w:t> </w:t>
      </w:r>
      <w:r>
        <w:rPr>
          <w:rFonts w:ascii="宋体" w:hAnsi="宋体" w:cs="宋体" w:eastAsia="宋体" w:hint="default"/>
          <w:sz w:val="24"/>
          <w:szCs w:val="24"/>
        </w:rPr>
        <w:t>120,744,000</w:t>
      </w:r>
      <w:r>
        <w:rPr>
          <w:rFonts w:ascii="宋体" w:hAnsi="宋体" w:cs="宋体" w:eastAsia="宋体" w:hint="default"/>
          <w:spacing w:val="-80"/>
          <w:sz w:val="24"/>
          <w:szCs w:val="24"/>
        </w:rPr>
        <w:t> </w:t>
      </w:r>
      <w:r>
        <w:rPr>
          <w:rFonts w:ascii="宋体" w:hAnsi="宋体" w:cs="宋体" w:eastAsia="宋体" w:hint="default"/>
          <w:sz w:val="24"/>
          <w:szCs w:val="24"/>
        </w:rPr>
        <w:t>股限售股份应于</w:t>
      </w:r>
      <w:r>
        <w:rPr>
          <w:rFonts w:ascii="宋体" w:hAnsi="宋体" w:cs="宋体" w:eastAsia="宋体" w:hint="default"/>
          <w:spacing w:val="-80"/>
          <w:sz w:val="24"/>
          <w:szCs w:val="24"/>
        </w:rPr>
        <w:t> </w:t>
      </w:r>
      <w:r>
        <w:rPr>
          <w:rFonts w:ascii="宋体" w:hAnsi="宋体" w:cs="宋体" w:eastAsia="宋体" w:hint="default"/>
          <w:sz w:val="24"/>
          <w:szCs w:val="24"/>
        </w:rPr>
        <w:t>2009</w:t>
      </w:r>
      <w:r>
        <w:rPr>
          <w:rFonts w:ascii="宋体" w:hAnsi="宋体" w:cs="宋体" w:eastAsia="宋体" w:hint="default"/>
          <w:spacing w:val="-80"/>
          <w:sz w:val="24"/>
          <w:szCs w:val="24"/>
        </w:rPr>
        <w:t> </w:t>
      </w:r>
      <w:r>
        <w:rPr>
          <w:rFonts w:ascii="宋体" w:hAnsi="宋体" w:cs="宋体" w:eastAsia="宋体" w:hint="default"/>
          <w:sz w:val="24"/>
          <w:szCs w:val="24"/>
        </w:rPr>
        <w:t>年</w:t>
      </w:r>
      <w:r>
        <w:rPr>
          <w:rFonts w:ascii="宋体" w:hAnsi="宋体" w:cs="宋体" w:eastAsia="宋体" w:hint="default"/>
          <w:spacing w:val="-81"/>
          <w:sz w:val="24"/>
          <w:szCs w:val="24"/>
        </w:rPr>
        <w:t> </w:t>
      </w:r>
      <w:r>
        <w:rPr>
          <w:rFonts w:ascii="宋体" w:hAnsi="宋体" w:cs="宋体" w:eastAsia="宋体" w:hint="default"/>
          <w:sz w:val="24"/>
          <w:szCs w:val="24"/>
        </w:rPr>
        <w:t>2</w:t>
      </w:r>
      <w:r>
        <w:rPr>
          <w:rFonts w:ascii="宋体" w:hAnsi="宋体" w:cs="宋体" w:eastAsia="宋体" w:hint="default"/>
          <w:spacing w:val="-80"/>
          <w:sz w:val="24"/>
          <w:szCs w:val="24"/>
        </w:rPr>
        <w:t> </w:t>
      </w:r>
      <w:r>
        <w:rPr>
          <w:rFonts w:ascii="宋体" w:hAnsi="宋体" w:cs="宋体" w:eastAsia="宋体" w:hint="default"/>
          <w:sz w:val="24"/>
          <w:szCs w:val="24"/>
        </w:rPr>
        <w:t>月</w:t>
      </w:r>
      <w:r>
        <w:rPr>
          <w:rFonts w:ascii="宋体" w:hAnsi="宋体" w:cs="宋体" w:eastAsia="宋体" w:hint="default"/>
          <w:spacing w:val="-80"/>
          <w:sz w:val="24"/>
          <w:szCs w:val="24"/>
        </w:rPr>
        <w:t> </w:t>
      </w:r>
      <w:r>
        <w:rPr>
          <w:rFonts w:ascii="宋体" w:hAnsi="宋体" w:cs="宋体" w:eastAsia="宋体" w:hint="default"/>
          <w:sz w:val="24"/>
          <w:szCs w:val="24"/>
        </w:rPr>
        <w:t>28</w:t>
      </w:r>
      <w:r>
        <w:rPr>
          <w:rFonts w:ascii="宋体" w:hAnsi="宋体" w:cs="宋体" w:eastAsia="宋体" w:hint="default"/>
          <w:spacing w:val="-80"/>
          <w:sz w:val="24"/>
          <w:szCs w:val="24"/>
        </w:rPr>
        <w:t> </w:t>
      </w:r>
      <w:r>
        <w:rPr>
          <w:rFonts w:ascii="宋体" w:hAnsi="宋体" w:cs="宋体" w:eastAsia="宋体" w:hint="default"/>
          <w:sz w:val="24"/>
          <w:szCs w:val="24"/>
        </w:rPr>
        <w:t>日全部上</w:t>
      </w:r>
      <w:r>
        <w:rPr>
          <w:rFonts w:ascii="宋体" w:hAnsi="宋体" w:cs="宋体" w:eastAsia="宋体" w:hint="default"/>
          <w:spacing w:val="-1"/>
          <w:sz w:val="24"/>
          <w:szCs w:val="24"/>
        </w:rPr>
        <w:t> </w:t>
      </w:r>
      <w:r>
        <w:rPr>
          <w:rFonts w:ascii="宋体" w:hAnsi="宋体" w:cs="宋体" w:eastAsia="宋体" w:hint="default"/>
          <w:sz w:val="24"/>
          <w:szCs w:val="24"/>
        </w:rPr>
        <w:t>市流通。</w:t>
      </w:r>
    </w:p>
    <w:p>
      <w:pPr>
        <w:spacing w:before="137"/>
        <w:ind w:left="700" w:right="304" w:firstLine="0"/>
        <w:jc w:val="left"/>
        <w:rPr>
          <w:rFonts w:ascii="宋体" w:hAnsi="宋体" w:cs="宋体" w:eastAsia="宋体" w:hint="default"/>
          <w:sz w:val="24"/>
          <w:szCs w:val="24"/>
        </w:rPr>
      </w:pPr>
      <w:r>
        <w:rPr>
          <w:rFonts w:ascii="宋体" w:hAnsi="宋体" w:cs="宋体" w:eastAsia="宋体" w:hint="default"/>
          <w:spacing w:val="25"/>
          <w:sz w:val="24"/>
          <w:szCs w:val="24"/>
        </w:rPr>
        <w:t>2009年3月2</w:t>
      </w:r>
      <w:r>
        <w:rPr>
          <w:rFonts w:ascii="宋体" w:hAnsi="宋体" w:cs="宋体" w:eastAsia="宋体" w:hint="default"/>
          <w:spacing w:val="-68"/>
          <w:sz w:val="24"/>
          <w:szCs w:val="24"/>
        </w:rPr>
        <w:t> </w:t>
      </w:r>
      <w:r>
        <w:rPr>
          <w:rFonts w:ascii="宋体" w:hAnsi="宋体" w:cs="宋体" w:eastAsia="宋体" w:hint="default"/>
          <w:sz w:val="24"/>
          <w:szCs w:val="24"/>
        </w:rPr>
        <w:t>日上海用友科技咨询有限公司申请其持有的</w:t>
      </w:r>
      <w:r>
        <w:rPr>
          <w:rFonts w:ascii="宋体" w:hAnsi="宋体" w:cs="宋体" w:eastAsia="宋体" w:hint="default"/>
          <w:spacing w:val="-68"/>
          <w:sz w:val="24"/>
          <w:szCs w:val="24"/>
        </w:rPr>
        <w:t> </w:t>
      </w:r>
      <w:r>
        <w:rPr>
          <w:rFonts w:ascii="宋体" w:hAnsi="宋体" w:cs="宋体" w:eastAsia="宋体" w:hint="default"/>
          <w:sz w:val="24"/>
          <w:szCs w:val="24"/>
        </w:rPr>
        <w:t>25,272,000</w:t>
      </w:r>
      <w:r>
        <w:rPr>
          <w:rFonts w:ascii="宋体" w:hAnsi="宋体" w:cs="宋体" w:eastAsia="宋体" w:hint="default"/>
          <w:spacing w:val="-68"/>
          <w:sz w:val="24"/>
          <w:szCs w:val="24"/>
        </w:rPr>
        <w:t> </w:t>
      </w:r>
      <w:r>
        <w:rPr>
          <w:rFonts w:ascii="宋体" w:hAnsi="宋体" w:cs="宋体" w:eastAsia="宋体" w:hint="default"/>
          <w:sz w:val="24"/>
          <w:szCs w:val="24"/>
        </w:rPr>
        <w:t>股限售股份上</w:t>
      </w:r>
    </w:p>
    <w:p>
      <w:pPr>
        <w:spacing w:line="297" w:lineRule="auto" w:before="74"/>
        <w:ind w:left="220" w:right="343" w:firstLine="0"/>
        <w:jc w:val="left"/>
        <w:rPr>
          <w:rFonts w:ascii="宋体" w:hAnsi="宋体" w:cs="宋体" w:eastAsia="宋体" w:hint="default"/>
          <w:sz w:val="24"/>
          <w:szCs w:val="24"/>
        </w:rPr>
      </w:pPr>
      <w:r>
        <w:rPr>
          <w:rFonts w:ascii="宋体" w:hAnsi="宋体" w:cs="宋体" w:eastAsia="宋体" w:hint="default"/>
          <w:sz w:val="24"/>
          <w:szCs w:val="24"/>
        </w:rPr>
        <w:t>市流通。因公司控股股东北京用友科技有限公司于</w:t>
      </w:r>
      <w:r>
        <w:rPr>
          <w:rFonts w:ascii="宋体" w:hAnsi="宋体" w:cs="宋体" w:eastAsia="宋体" w:hint="default"/>
          <w:spacing w:val="-60"/>
          <w:sz w:val="24"/>
          <w:szCs w:val="24"/>
        </w:rPr>
        <w:t> </w:t>
      </w:r>
      <w:r>
        <w:rPr>
          <w:rFonts w:ascii="宋体" w:hAnsi="宋体" w:cs="宋体" w:eastAsia="宋体" w:hint="default"/>
          <w:sz w:val="24"/>
          <w:szCs w:val="24"/>
        </w:rPr>
        <w:t>2008</w:t>
      </w:r>
      <w:r>
        <w:rPr>
          <w:rFonts w:ascii="宋体" w:hAnsi="宋体" w:cs="宋体" w:eastAsia="宋体" w:hint="default"/>
          <w:spacing w:val="-59"/>
          <w:sz w:val="24"/>
          <w:szCs w:val="24"/>
        </w:rPr>
        <w:t> </w:t>
      </w:r>
      <w:r>
        <w:rPr>
          <w:rFonts w:ascii="宋体" w:hAnsi="宋体" w:cs="宋体" w:eastAsia="宋体" w:hint="default"/>
          <w:spacing w:val="45"/>
          <w:sz w:val="24"/>
          <w:szCs w:val="24"/>
        </w:rPr>
        <w:t>年8月1</w:t>
      </w:r>
      <w:r>
        <w:rPr>
          <w:rFonts w:ascii="宋体" w:hAnsi="宋体" w:cs="宋体" w:eastAsia="宋体" w:hint="default"/>
          <w:spacing w:val="-60"/>
          <w:sz w:val="24"/>
          <w:szCs w:val="24"/>
        </w:rPr>
        <w:t> </w:t>
      </w:r>
      <w:r>
        <w:rPr>
          <w:rFonts w:ascii="宋体" w:hAnsi="宋体" w:cs="宋体" w:eastAsia="宋体" w:hint="default"/>
          <w:sz w:val="24"/>
          <w:szCs w:val="24"/>
        </w:rPr>
        <w:t>日作出如下承诺：北京</w:t>
      </w:r>
      <w:r>
        <w:rPr>
          <w:rFonts w:ascii="宋体" w:hAnsi="宋体" w:cs="宋体" w:eastAsia="宋体" w:hint="default"/>
          <w:sz w:val="24"/>
          <w:szCs w:val="24"/>
        </w:rPr>
        <w:t> </w:t>
      </w:r>
      <w:r>
        <w:rPr>
          <w:rFonts w:ascii="宋体" w:hAnsi="宋体" w:cs="宋体" w:eastAsia="宋体" w:hint="default"/>
          <w:spacing w:val="-4"/>
          <w:sz w:val="24"/>
          <w:szCs w:val="24"/>
        </w:rPr>
        <w:t>用友科技有限公司长期看好用友软件股份有限公司股份的投资价值，为此承诺公司持有的</w:t>
      </w:r>
    </w:p>
    <w:p>
      <w:pPr>
        <w:spacing w:after="0" w:line="297" w:lineRule="auto"/>
        <w:jc w:val="left"/>
        <w:rPr>
          <w:rFonts w:ascii="宋体" w:hAnsi="宋体" w:cs="宋体" w:eastAsia="宋体" w:hint="default"/>
          <w:sz w:val="24"/>
          <w:szCs w:val="24"/>
        </w:rPr>
        <w:sectPr>
          <w:type w:val="continuous"/>
          <w:pgSz w:w="11910" w:h="16840"/>
          <w:pgMar w:top="900" w:bottom="280" w:left="1140" w:right="940"/>
        </w:sectPr>
      </w:pPr>
    </w:p>
    <w:p>
      <w:pPr>
        <w:spacing w:line="240" w:lineRule="auto" w:before="12"/>
        <w:rPr>
          <w:rFonts w:ascii="宋体" w:hAnsi="宋体" w:cs="宋体" w:eastAsia="宋体" w:hint="default"/>
          <w:sz w:val="21"/>
          <w:szCs w:val="21"/>
        </w:rPr>
      </w:pPr>
    </w:p>
    <w:p>
      <w:pPr>
        <w:spacing w:line="297" w:lineRule="auto" w:before="26"/>
        <w:ind w:left="140" w:right="399" w:firstLine="0"/>
        <w:jc w:val="both"/>
        <w:rPr>
          <w:rFonts w:ascii="宋体" w:hAnsi="宋体" w:cs="宋体" w:eastAsia="宋体" w:hint="default"/>
          <w:sz w:val="24"/>
          <w:szCs w:val="24"/>
        </w:rPr>
      </w:pPr>
      <w:r>
        <w:rPr>
          <w:rFonts w:ascii="宋体" w:hAnsi="宋体" w:cs="宋体" w:eastAsia="宋体" w:hint="default"/>
          <w:sz w:val="24"/>
          <w:szCs w:val="24"/>
        </w:rPr>
        <w:t>将于</w:t>
      </w:r>
      <w:r>
        <w:rPr>
          <w:rFonts w:ascii="宋体" w:hAnsi="宋体" w:cs="宋体" w:eastAsia="宋体" w:hint="default"/>
          <w:spacing w:val="-86"/>
          <w:sz w:val="24"/>
          <w:szCs w:val="24"/>
        </w:rPr>
        <w:t> </w:t>
      </w:r>
      <w:r>
        <w:rPr>
          <w:rFonts w:ascii="宋体" w:hAnsi="宋体" w:cs="宋体" w:eastAsia="宋体" w:hint="default"/>
          <w:spacing w:val="14"/>
          <w:sz w:val="24"/>
          <w:szCs w:val="24"/>
        </w:rPr>
        <w:t>2009年2月</w:t>
      </w:r>
      <w:r>
        <w:rPr>
          <w:rFonts w:ascii="宋体" w:hAnsi="宋体" w:cs="宋体" w:eastAsia="宋体" w:hint="default"/>
          <w:spacing w:val="-86"/>
          <w:sz w:val="24"/>
          <w:szCs w:val="24"/>
        </w:rPr>
        <w:t> </w:t>
      </w:r>
      <w:r>
        <w:rPr>
          <w:rFonts w:ascii="宋体" w:hAnsi="宋体" w:cs="宋体" w:eastAsia="宋体" w:hint="default"/>
          <w:sz w:val="24"/>
          <w:szCs w:val="24"/>
        </w:rPr>
        <w:t>28</w:t>
      </w:r>
      <w:r>
        <w:rPr>
          <w:rFonts w:ascii="宋体" w:hAnsi="宋体" w:cs="宋体" w:eastAsia="宋体" w:hint="default"/>
          <w:spacing w:val="-86"/>
          <w:sz w:val="24"/>
          <w:szCs w:val="24"/>
        </w:rPr>
        <w:t> </w:t>
      </w:r>
      <w:r>
        <w:rPr>
          <w:rFonts w:ascii="宋体" w:hAnsi="宋体" w:cs="宋体" w:eastAsia="宋体" w:hint="default"/>
          <w:sz w:val="24"/>
          <w:szCs w:val="24"/>
        </w:rPr>
        <w:t>日解除限售条件的用友软件股份有限公司股份延长禁售期一年至</w:t>
      </w:r>
      <w:r>
        <w:rPr>
          <w:rFonts w:ascii="宋体" w:hAnsi="宋体" w:cs="宋体" w:eastAsia="宋体" w:hint="default"/>
          <w:spacing w:val="-86"/>
          <w:sz w:val="24"/>
          <w:szCs w:val="24"/>
        </w:rPr>
        <w:t> </w:t>
      </w:r>
      <w:r>
        <w:rPr>
          <w:rFonts w:ascii="宋体" w:hAnsi="宋体" w:cs="宋体" w:eastAsia="宋体" w:hint="default"/>
          <w:sz w:val="24"/>
          <w:szCs w:val="24"/>
        </w:rPr>
        <w:t>2010</w:t>
      </w:r>
      <w:r>
        <w:rPr>
          <w:rFonts w:ascii="宋体" w:hAnsi="宋体" w:cs="宋体" w:eastAsia="宋体" w:hint="default"/>
          <w:sz w:val="24"/>
          <w:szCs w:val="24"/>
        </w:rPr>
        <w:t> </w:t>
      </w:r>
      <w:r>
        <w:rPr>
          <w:rFonts w:ascii="宋体" w:hAnsi="宋体" w:cs="宋体" w:eastAsia="宋体" w:hint="default"/>
          <w:spacing w:val="40"/>
          <w:sz w:val="24"/>
          <w:szCs w:val="24"/>
        </w:rPr>
        <w:t>年2月</w:t>
      </w:r>
      <w:r>
        <w:rPr>
          <w:rFonts w:ascii="宋体" w:hAnsi="宋体" w:cs="宋体" w:eastAsia="宋体" w:hint="default"/>
          <w:spacing w:val="-60"/>
          <w:sz w:val="24"/>
          <w:szCs w:val="24"/>
        </w:rPr>
        <w:t> </w:t>
      </w:r>
      <w:r>
        <w:rPr>
          <w:rFonts w:ascii="宋体" w:hAnsi="宋体" w:cs="宋体" w:eastAsia="宋体" w:hint="default"/>
          <w:sz w:val="24"/>
          <w:szCs w:val="24"/>
        </w:rPr>
        <w:t>28</w:t>
      </w:r>
      <w:r>
        <w:rPr>
          <w:rFonts w:ascii="宋体" w:hAnsi="宋体" w:cs="宋体" w:eastAsia="宋体" w:hint="default"/>
          <w:spacing w:val="-60"/>
          <w:sz w:val="24"/>
          <w:szCs w:val="24"/>
        </w:rPr>
        <w:t> </w:t>
      </w:r>
      <w:r>
        <w:rPr>
          <w:rFonts w:ascii="宋体" w:hAnsi="宋体" w:cs="宋体" w:eastAsia="宋体" w:hint="default"/>
          <w:sz w:val="24"/>
          <w:szCs w:val="24"/>
        </w:rPr>
        <w:t>日；公司持有的已经解除限售条件的股份在</w:t>
      </w:r>
      <w:r>
        <w:rPr>
          <w:rFonts w:ascii="宋体" w:hAnsi="宋体" w:cs="宋体" w:eastAsia="宋体" w:hint="default"/>
          <w:spacing w:val="-60"/>
          <w:sz w:val="24"/>
          <w:szCs w:val="24"/>
        </w:rPr>
        <w:t> </w:t>
      </w:r>
      <w:r>
        <w:rPr>
          <w:rFonts w:ascii="宋体" w:hAnsi="宋体" w:cs="宋体" w:eastAsia="宋体" w:hint="default"/>
          <w:spacing w:val="25"/>
          <w:sz w:val="24"/>
          <w:szCs w:val="24"/>
        </w:rPr>
        <w:t>2010年2月</w:t>
      </w:r>
      <w:r>
        <w:rPr>
          <w:rFonts w:ascii="宋体" w:hAnsi="宋体" w:cs="宋体" w:eastAsia="宋体" w:hint="default"/>
          <w:spacing w:val="-60"/>
          <w:sz w:val="24"/>
          <w:szCs w:val="24"/>
        </w:rPr>
        <w:t> </w:t>
      </w:r>
      <w:r>
        <w:rPr>
          <w:rFonts w:ascii="宋体" w:hAnsi="宋体" w:cs="宋体" w:eastAsia="宋体" w:hint="default"/>
          <w:sz w:val="24"/>
          <w:szCs w:val="24"/>
        </w:rPr>
        <w:t>28</w:t>
      </w:r>
      <w:r>
        <w:rPr>
          <w:rFonts w:ascii="宋体" w:hAnsi="宋体" w:cs="宋体" w:eastAsia="宋体" w:hint="default"/>
          <w:spacing w:val="-61"/>
          <w:sz w:val="24"/>
          <w:szCs w:val="24"/>
        </w:rPr>
        <w:t> </w:t>
      </w:r>
      <w:r>
        <w:rPr>
          <w:rFonts w:ascii="宋体" w:hAnsi="宋体" w:cs="宋体" w:eastAsia="宋体" w:hint="default"/>
          <w:sz w:val="24"/>
          <w:szCs w:val="24"/>
        </w:rPr>
        <w:t>日前不减持。因此</w:t>
      </w:r>
      <w:r>
        <w:rPr>
          <w:rFonts w:ascii="宋体" w:hAnsi="宋体" w:cs="宋体" w:eastAsia="宋体" w:hint="default"/>
          <w:sz w:val="24"/>
          <w:szCs w:val="24"/>
        </w:rPr>
        <w:t> 北京用友科技有限公司可上市的</w:t>
      </w:r>
      <w:r>
        <w:rPr>
          <w:rFonts w:ascii="宋体" w:hAnsi="宋体" w:cs="宋体" w:eastAsia="宋体" w:hint="default"/>
          <w:spacing w:val="-60"/>
          <w:sz w:val="24"/>
          <w:szCs w:val="24"/>
        </w:rPr>
        <w:t> </w:t>
      </w:r>
      <w:r>
        <w:rPr>
          <w:rFonts w:ascii="宋体" w:hAnsi="宋体" w:cs="宋体" w:eastAsia="宋体" w:hint="default"/>
          <w:sz w:val="24"/>
          <w:szCs w:val="24"/>
        </w:rPr>
        <w:t>95,472,000</w:t>
      </w:r>
      <w:r>
        <w:rPr>
          <w:rFonts w:ascii="宋体" w:hAnsi="宋体" w:cs="宋体" w:eastAsia="宋体" w:hint="default"/>
          <w:spacing w:val="-60"/>
          <w:sz w:val="24"/>
          <w:szCs w:val="24"/>
        </w:rPr>
        <w:t> </w:t>
      </w:r>
      <w:r>
        <w:rPr>
          <w:rFonts w:ascii="宋体" w:hAnsi="宋体" w:cs="宋体" w:eastAsia="宋体" w:hint="default"/>
          <w:sz w:val="24"/>
          <w:szCs w:val="24"/>
        </w:rPr>
        <w:t>股用友软件股份本次未申请上市。</w:t>
      </w:r>
    </w:p>
    <w:p>
      <w:pPr>
        <w:spacing w:before="138"/>
        <w:ind w:left="620" w:right="324" w:firstLine="0"/>
        <w:jc w:val="left"/>
        <w:rPr>
          <w:rFonts w:ascii="宋体" w:hAnsi="宋体" w:cs="宋体" w:eastAsia="宋体" w:hint="default"/>
          <w:sz w:val="24"/>
          <w:szCs w:val="24"/>
        </w:rPr>
      </w:pPr>
      <w:r>
        <w:rPr>
          <w:rFonts w:ascii="宋体" w:hAnsi="宋体" w:cs="宋体" w:eastAsia="宋体" w:hint="default"/>
          <w:sz w:val="24"/>
          <w:szCs w:val="24"/>
        </w:rPr>
        <w:t>②</w:t>
      </w:r>
      <w:r>
        <w:rPr>
          <w:rFonts w:ascii="宋体" w:hAnsi="宋体" w:cs="宋体" w:eastAsia="宋体" w:hint="default"/>
          <w:spacing w:val="-7"/>
          <w:sz w:val="24"/>
          <w:szCs w:val="24"/>
        </w:rPr>
        <w:t> </w:t>
      </w:r>
      <w:r>
        <w:rPr>
          <w:rFonts w:ascii="宋体" w:hAnsi="宋体" w:cs="宋体" w:eastAsia="宋体" w:hint="default"/>
          <w:sz w:val="24"/>
          <w:szCs w:val="24"/>
        </w:rPr>
        <w:t>公司于</w:t>
      </w:r>
      <w:r>
        <w:rPr>
          <w:rFonts w:ascii="宋体" w:hAnsi="宋体" w:cs="宋体" w:eastAsia="宋体" w:hint="default"/>
          <w:spacing w:val="-56"/>
          <w:sz w:val="24"/>
          <w:szCs w:val="24"/>
        </w:rPr>
        <w:t> </w:t>
      </w:r>
      <w:r>
        <w:rPr>
          <w:rFonts w:ascii="宋体" w:hAnsi="宋体" w:cs="宋体" w:eastAsia="宋体" w:hint="default"/>
          <w:sz w:val="24"/>
          <w:szCs w:val="24"/>
        </w:rPr>
        <w:t>2009</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4</w:t>
      </w:r>
      <w:r>
        <w:rPr>
          <w:rFonts w:ascii="宋体" w:hAnsi="宋体" w:cs="宋体" w:eastAsia="宋体" w:hint="default"/>
          <w:spacing w:val="-58"/>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15</w:t>
      </w:r>
      <w:r>
        <w:rPr>
          <w:rFonts w:ascii="宋体" w:hAnsi="宋体" w:cs="宋体" w:eastAsia="宋体" w:hint="default"/>
          <w:spacing w:val="-56"/>
          <w:sz w:val="24"/>
          <w:szCs w:val="24"/>
        </w:rPr>
        <w:t> </w:t>
      </w:r>
      <w:r>
        <w:rPr>
          <w:rFonts w:ascii="宋体" w:hAnsi="宋体" w:cs="宋体" w:eastAsia="宋体" w:hint="default"/>
          <w:sz w:val="24"/>
          <w:szCs w:val="24"/>
        </w:rPr>
        <w:t>日召开</w:t>
      </w:r>
      <w:r>
        <w:rPr>
          <w:rFonts w:ascii="宋体" w:hAnsi="宋体" w:cs="宋体" w:eastAsia="宋体" w:hint="default"/>
          <w:spacing w:val="-56"/>
          <w:sz w:val="24"/>
          <w:szCs w:val="24"/>
        </w:rPr>
        <w:t> </w:t>
      </w:r>
      <w:r>
        <w:rPr>
          <w:rFonts w:ascii="宋体" w:hAnsi="宋体" w:cs="宋体" w:eastAsia="宋体" w:hint="default"/>
          <w:sz w:val="24"/>
          <w:szCs w:val="24"/>
        </w:rPr>
        <w:t>2008</w:t>
      </w:r>
      <w:r>
        <w:rPr>
          <w:rFonts w:ascii="宋体" w:hAnsi="宋体" w:cs="宋体" w:eastAsia="宋体" w:hint="default"/>
          <w:spacing w:val="-56"/>
          <w:sz w:val="24"/>
          <w:szCs w:val="24"/>
        </w:rPr>
        <w:t> </w:t>
      </w:r>
      <w:r>
        <w:rPr>
          <w:rFonts w:ascii="宋体" w:hAnsi="宋体" w:cs="宋体" w:eastAsia="宋体" w:hint="default"/>
          <w:sz w:val="24"/>
          <w:szCs w:val="24"/>
        </w:rPr>
        <w:t>年年度股东大会，会议审议通过了公司</w:t>
      </w:r>
      <w:r>
        <w:rPr>
          <w:rFonts w:ascii="宋体" w:hAnsi="宋体" w:cs="宋体" w:eastAsia="宋体" w:hint="default"/>
          <w:spacing w:val="-56"/>
          <w:sz w:val="24"/>
          <w:szCs w:val="24"/>
        </w:rPr>
        <w:t> </w:t>
      </w:r>
      <w:r>
        <w:rPr>
          <w:rFonts w:ascii="宋体" w:hAnsi="宋体" w:cs="宋体" w:eastAsia="宋体" w:hint="default"/>
          <w:sz w:val="24"/>
          <w:szCs w:val="24"/>
        </w:rPr>
        <w:t>2008</w:t>
      </w:r>
    </w:p>
    <w:p>
      <w:pPr>
        <w:spacing w:before="74"/>
        <w:ind w:left="140" w:right="0" w:firstLine="0"/>
        <w:jc w:val="both"/>
        <w:rPr>
          <w:rFonts w:ascii="宋体" w:hAnsi="宋体" w:cs="宋体" w:eastAsia="宋体" w:hint="default"/>
          <w:sz w:val="24"/>
          <w:szCs w:val="24"/>
        </w:rPr>
      </w:pPr>
      <w:r>
        <w:rPr>
          <w:rFonts w:ascii="宋体" w:hAnsi="宋体" w:cs="宋体" w:eastAsia="宋体" w:hint="default"/>
          <w:sz w:val="24"/>
          <w:szCs w:val="24"/>
        </w:rPr>
        <w:t>年度资本公积转增股本议案。公司以</w:t>
      </w:r>
      <w:r>
        <w:rPr>
          <w:rFonts w:ascii="宋体" w:hAnsi="宋体" w:cs="宋体" w:eastAsia="宋体" w:hint="default"/>
          <w:spacing w:val="-59"/>
          <w:sz w:val="24"/>
          <w:szCs w:val="24"/>
        </w:rPr>
        <w:t> </w:t>
      </w:r>
      <w:r>
        <w:rPr>
          <w:rFonts w:ascii="宋体" w:hAnsi="宋体" w:cs="宋体" w:eastAsia="宋体" w:hint="default"/>
          <w:sz w:val="24"/>
          <w:szCs w:val="24"/>
        </w:rPr>
        <w:t>2008</w:t>
      </w:r>
      <w:r>
        <w:rPr>
          <w:rFonts w:ascii="宋体" w:hAnsi="宋体" w:cs="宋体" w:eastAsia="宋体" w:hint="default"/>
          <w:spacing w:val="-59"/>
          <w:sz w:val="24"/>
          <w:szCs w:val="24"/>
        </w:rPr>
        <w:t> </w:t>
      </w:r>
      <w:r>
        <w:rPr>
          <w:rFonts w:ascii="宋体" w:hAnsi="宋体" w:cs="宋体" w:eastAsia="宋体" w:hint="default"/>
          <w:sz w:val="24"/>
          <w:szCs w:val="24"/>
        </w:rPr>
        <w:t>年末总股本扣除截止到</w:t>
      </w:r>
      <w:r>
        <w:rPr>
          <w:rFonts w:ascii="宋体" w:hAnsi="宋体" w:cs="宋体" w:eastAsia="宋体" w:hint="default"/>
          <w:spacing w:val="-59"/>
          <w:sz w:val="24"/>
          <w:szCs w:val="24"/>
        </w:rPr>
        <w:t> </w:t>
      </w:r>
      <w:r>
        <w:rPr>
          <w:rFonts w:ascii="宋体" w:hAnsi="宋体" w:cs="宋体" w:eastAsia="宋体" w:hint="default"/>
          <w:spacing w:val="25"/>
          <w:sz w:val="24"/>
          <w:szCs w:val="24"/>
        </w:rPr>
        <w:t>2009年3月</w:t>
      </w:r>
      <w:r>
        <w:rPr>
          <w:rFonts w:ascii="宋体" w:hAnsi="宋体" w:cs="宋体" w:eastAsia="宋体" w:hint="default"/>
          <w:spacing w:val="-59"/>
          <w:sz w:val="24"/>
          <w:szCs w:val="24"/>
        </w:rPr>
        <w:t> </w:t>
      </w:r>
      <w:r>
        <w:rPr>
          <w:rFonts w:ascii="宋体" w:hAnsi="宋体" w:cs="宋体" w:eastAsia="宋体" w:hint="default"/>
          <w:sz w:val="24"/>
          <w:szCs w:val="24"/>
        </w:rPr>
        <w:t>19</w:t>
      </w:r>
      <w:r>
        <w:rPr>
          <w:rFonts w:ascii="宋体" w:hAnsi="宋体" w:cs="宋体" w:eastAsia="宋体" w:hint="default"/>
          <w:spacing w:val="-59"/>
          <w:sz w:val="24"/>
          <w:szCs w:val="24"/>
        </w:rPr>
        <w:t> </w:t>
      </w:r>
      <w:r>
        <w:rPr>
          <w:rFonts w:ascii="宋体" w:hAnsi="宋体" w:cs="宋体" w:eastAsia="宋体" w:hint="default"/>
          <w:sz w:val="24"/>
          <w:szCs w:val="24"/>
        </w:rPr>
        <w:t>日回购</w:t>
      </w:r>
    </w:p>
    <w:p>
      <w:pPr>
        <w:spacing w:before="74"/>
        <w:ind w:left="140" w:right="0" w:firstLine="0"/>
        <w:jc w:val="both"/>
        <w:rPr>
          <w:rFonts w:ascii="宋体" w:hAnsi="宋体" w:cs="宋体" w:eastAsia="宋体" w:hint="default"/>
          <w:sz w:val="24"/>
          <w:szCs w:val="24"/>
        </w:rPr>
      </w:pPr>
      <w:r>
        <w:rPr>
          <w:rFonts w:ascii="宋体" w:hAnsi="宋体" w:cs="宋体" w:eastAsia="宋体" w:hint="default"/>
          <w:sz w:val="24"/>
          <w:szCs w:val="24"/>
        </w:rPr>
        <w:t>的股权激励股份后的</w:t>
      </w:r>
      <w:r>
        <w:rPr>
          <w:rFonts w:ascii="宋体" w:hAnsi="宋体" w:cs="宋体" w:eastAsia="宋体" w:hint="default"/>
          <w:spacing w:val="-27"/>
          <w:sz w:val="24"/>
          <w:szCs w:val="24"/>
        </w:rPr>
        <w:t> </w:t>
      </w:r>
      <w:r>
        <w:rPr>
          <w:rFonts w:ascii="宋体" w:hAnsi="宋体" w:cs="宋体" w:eastAsia="宋体" w:hint="default"/>
          <w:sz w:val="24"/>
          <w:szCs w:val="24"/>
        </w:rPr>
        <w:t>466,662,975</w:t>
      </w:r>
      <w:r>
        <w:rPr>
          <w:rFonts w:ascii="宋体" w:hAnsi="宋体" w:cs="宋体" w:eastAsia="宋体" w:hint="default"/>
          <w:spacing w:val="-27"/>
          <w:sz w:val="24"/>
          <w:szCs w:val="24"/>
        </w:rPr>
        <w:t> </w:t>
      </w:r>
      <w:r>
        <w:rPr>
          <w:rFonts w:ascii="宋体" w:hAnsi="宋体" w:cs="宋体" w:eastAsia="宋体" w:hint="default"/>
          <w:sz w:val="24"/>
          <w:szCs w:val="24"/>
        </w:rPr>
        <w:t>股为基数，向全体股东每</w:t>
      </w:r>
      <w:r>
        <w:rPr>
          <w:rFonts w:ascii="宋体" w:hAnsi="宋体" w:cs="宋体" w:eastAsia="宋体" w:hint="default"/>
          <w:spacing w:val="-27"/>
          <w:sz w:val="24"/>
          <w:szCs w:val="24"/>
        </w:rPr>
        <w:t> </w:t>
      </w:r>
      <w:r>
        <w:rPr>
          <w:rFonts w:ascii="宋体" w:hAnsi="宋体" w:cs="宋体" w:eastAsia="宋体" w:hint="default"/>
          <w:sz w:val="24"/>
          <w:szCs w:val="24"/>
        </w:rPr>
        <w:t>10</w:t>
      </w:r>
      <w:r>
        <w:rPr>
          <w:rFonts w:ascii="宋体" w:hAnsi="宋体" w:cs="宋体" w:eastAsia="宋体" w:hint="default"/>
          <w:spacing w:val="-27"/>
          <w:sz w:val="24"/>
          <w:szCs w:val="24"/>
        </w:rPr>
        <w:t> </w:t>
      </w:r>
      <w:r>
        <w:rPr>
          <w:rFonts w:ascii="宋体" w:hAnsi="宋体" w:cs="宋体" w:eastAsia="宋体" w:hint="default"/>
          <w:sz w:val="24"/>
          <w:szCs w:val="24"/>
        </w:rPr>
        <w:t>股转增</w:t>
      </w:r>
      <w:r>
        <w:rPr>
          <w:rFonts w:ascii="宋体" w:hAnsi="宋体" w:cs="宋体" w:eastAsia="宋体" w:hint="default"/>
          <w:spacing w:val="-27"/>
          <w:sz w:val="24"/>
          <w:szCs w:val="24"/>
        </w:rPr>
        <w:t> </w:t>
      </w:r>
      <w:r>
        <w:rPr>
          <w:rFonts w:ascii="宋体" w:hAnsi="宋体" w:cs="宋体" w:eastAsia="宋体" w:hint="default"/>
          <w:sz w:val="24"/>
          <w:szCs w:val="24"/>
        </w:rPr>
        <w:t>3</w:t>
      </w:r>
      <w:r>
        <w:rPr>
          <w:rFonts w:ascii="宋体" w:hAnsi="宋体" w:cs="宋体" w:eastAsia="宋体" w:hint="default"/>
          <w:spacing w:val="-27"/>
          <w:sz w:val="24"/>
          <w:szCs w:val="24"/>
        </w:rPr>
        <w:t> </w:t>
      </w:r>
      <w:r>
        <w:rPr>
          <w:rFonts w:ascii="宋体" w:hAnsi="宋体" w:cs="宋体" w:eastAsia="宋体" w:hint="default"/>
          <w:sz w:val="24"/>
          <w:szCs w:val="24"/>
        </w:rPr>
        <w:t>股，共计转增</w:t>
      </w:r>
    </w:p>
    <w:p>
      <w:pPr>
        <w:spacing w:line="297" w:lineRule="auto" w:before="74"/>
        <w:ind w:left="140" w:right="400" w:firstLine="0"/>
        <w:jc w:val="both"/>
        <w:rPr>
          <w:rFonts w:ascii="宋体" w:hAnsi="宋体" w:cs="宋体" w:eastAsia="宋体" w:hint="default"/>
          <w:sz w:val="24"/>
          <w:szCs w:val="24"/>
        </w:rPr>
      </w:pPr>
      <w:r>
        <w:rPr>
          <w:rFonts w:ascii="宋体" w:hAnsi="宋体" w:cs="宋体" w:eastAsia="宋体" w:hint="default"/>
          <w:sz w:val="24"/>
          <w:szCs w:val="24"/>
        </w:rPr>
        <w:t>139,998,893</w:t>
      </w:r>
      <w:r>
        <w:rPr>
          <w:rFonts w:ascii="宋体" w:hAnsi="宋体" w:cs="宋体" w:eastAsia="宋体" w:hint="default"/>
          <w:spacing w:val="-60"/>
          <w:sz w:val="24"/>
          <w:szCs w:val="24"/>
        </w:rPr>
        <w:t> </w:t>
      </w:r>
      <w:r>
        <w:rPr>
          <w:rFonts w:ascii="宋体" w:hAnsi="宋体" w:cs="宋体" w:eastAsia="宋体" w:hint="default"/>
          <w:sz w:val="24"/>
          <w:szCs w:val="24"/>
        </w:rPr>
        <w:t>股，转增股本后，公司资本公积余额</w:t>
      </w:r>
      <w:r>
        <w:rPr>
          <w:rFonts w:ascii="宋体" w:hAnsi="宋体" w:cs="宋体" w:eastAsia="宋体" w:hint="default"/>
          <w:spacing w:val="-60"/>
          <w:sz w:val="24"/>
          <w:szCs w:val="24"/>
        </w:rPr>
        <w:t> </w:t>
      </w:r>
      <w:r>
        <w:rPr>
          <w:rFonts w:ascii="宋体" w:hAnsi="宋体" w:cs="宋体" w:eastAsia="宋体" w:hint="default"/>
          <w:sz w:val="24"/>
          <w:szCs w:val="24"/>
        </w:rPr>
        <w:t>848,623,411</w:t>
      </w:r>
      <w:r>
        <w:rPr>
          <w:rFonts w:ascii="宋体" w:hAnsi="宋体" w:cs="宋体" w:eastAsia="宋体" w:hint="default"/>
          <w:spacing w:val="-60"/>
          <w:sz w:val="24"/>
          <w:szCs w:val="24"/>
        </w:rPr>
        <w:t> </w:t>
      </w:r>
      <w:r>
        <w:rPr>
          <w:rFonts w:ascii="宋体" w:hAnsi="宋体" w:cs="宋体" w:eastAsia="宋体" w:hint="default"/>
          <w:spacing w:val="20"/>
          <w:sz w:val="24"/>
          <w:szCs w:val="24"/>
        </w:rPr>
        <w:t>元。2009年4月</w:t>
      </w:r>
      <w:r>
        <w:rPr>
          <w:rFonts w:ascii="宋体" w:hAnsi="宋体" w:cs="宋体" w:eastAsia="宋体" w:hint="default"/>
          <w:spacing w:val="-60"/>
          <w:sz w:val="24"/>
          <w:szCs w:val="24"/>
        </w:rPr>
        <w:t> </w:t>
      </w:r>
      <w:r>
        <w:rPr>
          <w:rFonts w:ascii="宋体" w:hAnsi="宋体" w:cs="宋体" w:eastAsia="宋体" w:hint="default"/>
          <w:sz w:val="24"/>
          <w:szCs w:val="24"/>
        </w:rPr>
        <w:t>28</w:t>
      </w:r>
      <w:r>
        <w:rPr>
          <w:rFonts w:ascii="宋体" w:hAnsi="宋体" w:cs="宋体" w:eastAsia="宋体" w:hint="default"/>
          <w:spacing w:val="-60"/>
          <w:sz w:val="24"/>
          <w:szCs w:val="24"/>
        </w:rPr>
        <w:t> </w:t>
      </w:r>
      <w:r>
        <w:rPr>
          <w:rFonts w:ascii="宋体" w:hAnsi="宋体" w:cs="宋体" w:eastAsia="宋体" w:hint="default"/>
          <w:sz w:val="24"/>
          <w:szCs w:val="24"/>
        </w:rPr>
        <w:t>日已</w:t>
      </w:r>
      <w:r>
        <w:rPr>
          <w:rFonts w:ascii="宋体" w:hAnsi="宋体" w:cs="宋体" w:eastAsia="宋体" w:hint="default"/>
          <w:sz w:val="24"/>
          <w:szCs w:val="24"/>
        </w:rPr>
        <w:t> 实施完毕。</w:t>
      </w:r>
    </w:p>
    <w:p>
      <w:pPr>
        <w:spacing w:before="137"/>
        <w:ind w:left="620" w:right="324" w:firstLine="0"/>
        <w:jc w:val="left"/>
        <w:rPr>
          <w:rFonts w:ascii="宋体" w:hAnsi="宋体" w:cs="宋体" w:eastAsia="宋体" w:hint="default"/>
          <w:sz w:val="24"/>
          <w:szCs w:val="24"/>
        </w:rPr>
      </w:pPr>
      <w:r>
        <w:rPr>
          <w:rFonts w:ascii="宋体" w:hAnsi="宋体" w:cs="宋体" w:eastAsia="宋体" w:hint="default"/>
          <w:sz w:val="24"/>
          <w:szCs w:val="24"/>
        </w:rPr>
        <w:t>③ 2009</w:t>
      </w:r>
      <w:r>
        <w:rPr>
          <w:rFonts w:ascii="宋体" w:hAnsi="宋体" w:cs="宋体" w:eastAsia="宋体" w:hint="default"/>
          <w:spacing w:val="-48"/>
          <w:sz w:val="24"/>
          <w:szCs w:val="24"/>
        </w:rPr>
        <w:t> </w:t>
      </w:r>
      <w:r>
        <w:rPr>
          <w:rFonts w:ascii="宋体" w:hAnsi="宋体" w:cs="宋体" w:eastAsia="宋体" w:hint="default"/>
          <w:sz w:val="24"/>
          <w:szCs w:val="24"/>
        </w:rPr>
        <w:t>年</w:t>
      </w:r>
      <w:r>
        <w:rPr>
          <w:rFonts w:ascii="宋体" w:hAnsi="宋体" w:cs="宋体" w:eastAsia="宋体" w:hint="default"/>
          <w:spacing w:val="-47"/>
          <w:sz w:val="24"/>
          <w:szCs w:val="24"/>
        </w:rPr>
        <w:t> </w:t>
      </w:r>
      <w:r>
        <w:rPr>
          <w:rFonts w:ascii="宋体" w:hAnsi="宋体" w:cs="宋体" w:eastAsia="宋体" w:hint="default"/>
          <w:sz w:val="24"/>
          <w:szCs w:val="24"/>
        </w:rPr>
        <w:t>8</w:t>
      </w:r>
      <w:r>
        <w:rPr>
          <w:rFonts w:ascii="宋体" w:hAnsi="宋体" w:cs="宋体" w:eastAsia="宋体" w:hint="default"/>
          <w:spacing w:val="-48"/>
          <w:sz w:val="24"/>
          <w:szCs w:val="24"/>
        </w:rPr>
        <w:t> </w:t>
      </w:r>
      <w:r>
        <w:rPr>
          <w:rFonts w:ascii="宋体" w:hAnsi="宋体" w:cs="宋体" w:eastAsia="宋体" w:hint="default"/>
          <w:sz w:val="24"/>
          <w:szCs w:val="24"/>
        </w:rPr>
        <w:t>月</w:t>
      </w:r>
      <w:r>
        <w:rPr>
          <w:rFonts w:ascii="宋体" w:hAnsi="宋体" w:cs="宋体" w:eastAsia="宋体" w:hint="default"/>
          <w:spacing w:val="-48"/>
          <w:sz w:val="24"/>
          <w:szCs w:val="24"/>
        </w:rPr>
        <w:t> </w:t>
      </w:r>
      <w:r>
        <w:rPr>
          <w:rFonts w:ascii="宋体" w:hAnsi="宋体" w:cs="宋体" w:eastAsia="宋体" w:hint="default"/>
          <w:sz w:val="24"/>
          <w:szCs w:val="24"/>
        </w:rPr>
        <w:t>10</w:t>
      </w:r>
      <w:r>
        <w:rPr>
          <w:rFonts w:ascii="宋体" w:hAnsi="宋体" w:cs="宋体" w:eastAsia="宋体" w:hint="default"/>
          <w:spacing w:val="-48"/>
          <w:sz w:val="24"/>
          <w:szCs w:val="24"/>
        </w:rPr>
        <w:t> </w:t>
      </w:r>
      <w:r>
        <w:rPr>
          <w:rFonts w:ascii="宋体" w:hAnsi="宋体" w:cs="宋体" w:eastAsia="宋体" w:hint="default"/>
          <w:sz w:val="24"/>
          <w:szCs w:val="24"/>
        </w:rPr>
        <w:t>日，根据《用友软件股份有限公司股权激励计划（修订稿）》有</w:t>
      </w:r>
    </w:p>
    <w:p>
      <w:pPr>
        <w:spacing w:before="74"/>
        <w:ind w:left="140" w:right="0" w:firstLine="0"/>
        <w:jc w:val="both"/>
        <w:rPr>
          <w:rFonts w:ascii="宋体" w:hAnsi="宋体" w:cs="宋体" w:eastAsia="宋体" w:hint="default"/>
          <w:sz w:val="24"/>
          <w:szCs w:val="24"/>
        </w:rPr>
      </w:pPr>
      <w:r>
        <w:rPr>
          <w:rFonts w:ascii="宋体" w:hAnsi="宋体" w:cs="宋体" w:eastAsia="宋体" w:hint="default"/>
          <w:sz w:val="24"/>
          <w:szCs w:val="24"/>
        </w:rPr>
        <w:t>关规定，公司解锁了部分已授出股权激励股份，数量为</w:t>
      </w:r>
      <w:r>
        <w:rPr>
          <w:rFonts w:ascii="宋体" w:hAnsi="宋体" w:cs="宋体" w:eastAsia="宋体" w:hint="default"/>
          <w:spacing w:val="-60"/>
          <w:sz w:val="24"/>
          <w:szCs w:val="24"/>
        </w:rPr>
        <w:t> </w:t>
      </w:r>
      <w:r>
        <w:rPr>
          <w:rFonts w:ascii="宋体" w:hAnsi="宋体" w:cs="宋体" w:eastAsia="宋体" w:hint="default"/>
          <w:sz w:val="24"/>
          <w:szCs w:val="24"/>
        </w:rPr>
        <w:t>6,949,904</w:t>
      </w:r>
      <w:r>
        <w:rPr>
          <w:rFonts w:ascii="宋体" w:hAnsi="宋体" w:cs="宋体" w:eastAsia="宋体" w:hint="default"/>
          <w:spacing w:val="-60"/>
          <w:sz w:val="24"/>
          <w:szCs w:val="24"/>
        </w:rPr>
        <w:t> </w:t>
      </w:r>
      <w:r>
        <w:rPr>
          <w:rFonts w:ascii="宋体" w:hAnsi="宋体" w:cs="宋体" w:eastAsia="宋体" w:hint="default"/>
          <w:sz w:val="24"/>
          <w:szCs w:val="24"/>
        </w:rPr>
        <w:t>股。</w:t>
      </w:r>
    </w:p>
    <w:p>
      <w:pPr>
        <w:spacing w:before="194"/>
        <w:ind w:left="620" w:right="324" w:firstLine="0"/>
        <w:jc w:val="left"/>
        <w:rPr>
          <w:rFonts w:ascii="宋体" w:hAnsi="宋体" w:cs="宋体" w:eastAsia="宋体" w:hint="default"/>
          <w:sz w:val="24"/>
          <w:szCs w:val="24"/>
        </w:rPr>
      </w:pPr>
      <w:r>
        <w:rPr>
          <w:rFonts w:ascii="宋体" w:hAnsi="宋体" w:cs="宋体" w:eastAsia="宋体" w:hint="default"/>
          <w:sz w:val="24"/>
          <w:szCs w:val="24"/>
        </w:rPr>
        <w:t>④ 2009</w:t>
      </w:r>
      <w:r>
        <w:rPr>
          <w:rFonts w:ascii="宋体" w:hAnsi="宋体" w:cs="宋体" w:eastAsia="宋体" w:hint="default"/>
          <w:spacing w:val="-48"/>
          <w:sz w:val="24"/>
          <w:szCs w:val="24"/>
        </w:rPr>
        <w:t> </w:t>
      </w:r>
      <w:r>
        <w:rPr>
          <w:rFonts w:ascii="宋体" w:hAnsi="宋体" w:cs="宋体" w:eastAsia="宋体" w:hint="default"/>
          <w:sz w:val="24"/>
          <w:szCs w:val="24"/>
        </w:rPr>
        <w:t>年</w:t>
      </w:r>
      <w:r>
        <w:rPr>
          <w:rFonts w:ascii="宋体" w:hAnsi="宋体" w:cs="宋体" w:eastAsia="宋体" w:hint="default"/>
          <w:spacing w:val="-47"/>
          <w:sz w:val="24"/>
          <w:szCs w:val="24"/>
        </w:rPr>
        <w:t> </w:t>
      </w:r>
      <w:r>
        <w:rPr>
          <w:rFonts w:ascii="宋体" w:hAnsi="宋体" w:cs="宋体" w:eastAsia="宋体" w:hint="default"/>
          <w:sz w:val="24"/>
          <w:szCs w:val="24"/>
        </w:rPr>
        <w:t>9</w:t>
      </w:r>
      <w:r>
        <w:rPr>
          <w:rFonts w:ascii="宋体" w:hAnsi="宋体" w:cs="宋体" w:eastAsia="宋体" w:hint="default"/>
          <w:spacing w:val="-48"/>
          <w:sz w:val="24"/>
          <w:szCs w:val="24"/>
        </w:rPr>
        <w:t> </w:t>
      </w:r>
      <w:r>
        <w:rPr>
          <w:rFonts w:ascii="宋体" w:hAnsi="宋体" w:cs="宋体" w:eastAsia="宋体" w:hint="default"/>
          <w:sz w:val="24"/>
          <w:szCs w:val="24"/>
        </w:rPr>
        <w:t>月</w:t>
      </w:r>
      <w:r>
        <w:rPr>
          <w:rFonts w:ascii="宋体" w:hAnsi="宋体" w:cs="宋体" w:eastAsia="宋体" w:hint="default"/>
          <w:spacing w:val="-48"/>
          <w:sz w:val="24"/>
          <w:szCs w:val="24"/>
        </w:rPr>
        <w:t> </w:t>
      </w:r>
      <w:r>
        <w:rPr>
          <w:rFonts w:ascii="宋体" w:hAnsi="宋体" w:cs="宋体" w:eastAsia="宋体" w:hint="default"/>
          <w:sz w:val="24"/>
          <w:szCs w:val="24"/>
        </w:rPr>
        <w:t>28</w:t>
      </w:r>
      <w:r>
        <w:rPr>
          <w:rFonts w:ascii="宋体" w:hAnsi="宋体" w:cs="宋体" w:eastAsia="宋体" w:hint="default"/>
          <w:spacing w:val="-48"/>
          <w:sz w:val="24"/>
          <w:szCs w:val="24"/>
        </w:rPr>
        <w:t> </w:t>
      </w:r>
      <w:r>
        <w:rPr>
          <w:rFonts w:ascii="宋体" w:hAnsi="宋体" w:cs="宋体" w:eastAsia="宋体" w:hint="default"/>
          <w:sz w:val="24"/>
          <w:szCs w:val="24"/>
        </w:rPr>
        <w:t>日，根据《用友软件股份有限公司股权激励计划（修订稿）》有</w:t>
      </w:r>
    </w:p>
    <w:p>
      <w:pPr>
        <w:spacing w:before="74"/>
        <w:ind w:left="140" w:right="0" w:firstLine="0"/>
        <w:jc w:val="both"/>
        <w:rPr>
          <w:rFonts w:ascii="宋体" w:hAnsi="宋体" w:cs="宋体" w:eastAsia="宋体" w:hint="default"/>
          <w:sz w:val="24"/>
          <w:szCs w:val="24"/>
        </w:rPr>
      </w:pPr>
      <w:r>
        <w:rPr>
          <w:rFonts w:ascii="宋体" w:hAnsi="宋体" w:cs="宋体" w:eastAsia="宋体" w:hint="default"/>
          <w:sz w:val="24"/>
          <w:szCs w:val="24"/>
        </w:rPr>
        <w:t>关规定，公司解锁了部分已授出股权激励股份，数量为</w:t>
      </w:r>
      <w:r>
        <w:rPr>
          <w:rFonts w:ascii="宋体" w:hAnsi="宋体" w:cs="宋体" w:eastAsia="宋体" w:hint="default"/>
          <w:spacing w:val="-60"/>
          <w:sz w:val="24"/>
          <w:szCs w:val="24"/>
        </w:rPr>
        <w:t> </w:t>
      </w:r>
      <w:r>
        <w:rPr>
          <w:rFonts w:ascii="宋体" w:hAnsi="宋体" w:cs="宋体" w:eastAsia="宋体" w:hint="default"/>
          <w:sz w:val="24"/>
          <w:szCs w:val="24"/>
        </w:rPr>
        <w:t>3,118,889</w:t>
      </w:r>
      <w:r>
        <w:rPr>
          <w:rFonts w:ascii="宋体" w:hAnsi="宋体" w:cs="宋体" w:eastAsia="宋体" w:hint="default"/>
          <w:spacing w:val="-60"/>
          <w:sz w:val="24"/>
          <w:szCs w:val="24"/>
        </w:rPr>
        <w:t> </w:t>
      </w:r>
      <w:r>
        <w:rPr>
          <w:rFonts w:ascii="宋体" w:hAnsi="宋体" w:cs="宋体" w:eastAsia="宋体" w:hint="default"/>
          <w:sz w:val="24"/>
          <w:szCs w:val="24"/>
        </w:rPr>
        <w:t>股。</w:t>
      </w:r>
    </w:p>
    <w:p>
      <w:pPr>
        <w:spacing w:line="297" w:lineRule="auto" w:before="196"/>
        <w:ind w:left="140" w:right="393" w:firstLine="480"/>
        <w:jc w:val="both"/>
        <w:rPr>
          <w:rFonts w:ascii="宋体" w:hAnsi="宋体" w:cs="宋体" w:eastAsia="宋体" w:hint="default"/>
          <w:sz w:val="24"/>
          <w:szCs w:val="24"/>
        </w:rPr>
      </w:pPr>
      <w:r>
        <w:rPr>
          <w:rFonts w:ascii="宋体" w:hAnsi="宋体" w:cs="宋体" w:eastAsia="宋体" w:hint="default"/>
          <w:sz w:val="24"/>
          <w:szCs w:val="24"/>
        </w:rPr>
        <w:t>⑤ 根据公司股东大会的授权，公司董事会于</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9</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29</w:t>
      </w:r>
      <w:r>
        <w:rPr>
          <w:rFonts w:ascii="宋体" w:hAnsi="宋体" w:cs="宋体" w:eastAsia="宋体" w:hint="default"/>
          <w:spacing w:val="-60"/>
          <w:sz w:val="24"/>
          <w:szCs w:val="24"/>
        </w:rPr>
        <w:t> </w:t>
      </w:r>
      <w:r>
        <w:rPr>
          <w:rFonts w:ascii="宋体" w:hAnsi="宋体" w:cs="宋体" w:eastAsia="宋体" w:hint="default"/>
          <w:sz w:val="24"/>
          <w:szCs w:val="24"/>
        </w:rPr>
        <w:t>日向符合授予条件的股</w:t>
      </w:r>
      <w:r>
        <w:rPr>
          <w:rFonts w:ascii="宋体" w:hAnsi="宋体" w:cs="宋体" w:eastAsia="宋体" w:hint="default"/>
          <w:sz w:val="24"/>
          <w:szCs w:val="24"/>
        </w:rPr>
        <w:t> </w:t>
      </w:r>
      <w:r>
        <w:rPr>
          <w:rFonts w:ascii="宋体" w:hAnsi="宋体" w:cs="宋体" w:eastAsia="宋体" w:hint="default"/>
          <w:spacing w:val="-4"/>
          <w:sz w:val="24"/>
          <w:szCs w:val="24"/>
        </w:rPr>
        <w:t>权激励对象授予《用友软件股份有限公司股权激励计划（修订稿）》中标的股票，本次股</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pacing w:val="3"/>
          <w:sz w:val="24"/>
          <w:szCs w:val="24"/>
        </w:rPr>
        <w:t>权激励计划共计 </w:t>
      </w:r>
      <w:r>
        <w:rPr>
          <w:rFonts w:ascii="宋体" w:hAnsi="宋体" w:cs="宋体" w:eastAsia="宋体" w:hint="default"/>
          <w:sz w:val="24"/>
          <w:szCs w:val="24"/>
        </w:rPr>
        <w:t>22,322,560 </w:t>
      </w:r>
      <w:r>
        <w:rPr>
          <w:rFonts w:ascii="宋体" w:hAnsi="宋体" w:cs="宋体" w:eastAsia="宋体" w:hint="default"/>
          <w:spacing w:val="2"/>
          <w:sz w:val="24"/>
          <w:szCs w:val="24"/>
        </w:rPr>
        <w:t>股股票，其中，2009 </w:t>
      </w:r>
      <w:r>
        <w:rPr>
          <w:rFonts w:ascii="宋体" w:hAnsi="宋体" w:cs="宋体" w:eastAsia="宋体" w:hint="default"/>
          <w:spacing w:val="3"/>
          <w:sz w:val="24"/>
          <w:szCs w:val="24"/>
        </w:rPr>
        <w:t>年度股票 </w:t>
      </w:r>
      <w:r>
        <w:rPr>
          <w:rFonts w:ascii="宋体" w:hAnsi="宋体" w:cs="宋体" w:eastAsia="宋体" w:hint="default"/>
          <w:sz w:val="24"/>
          <w:szCs w:val="24"/>
        </w:rPr>
        <w:t>5,840,640</w:t>
      </w:r>
      <w:r>
        <w:rPr>
          <w:rFonts w:ascii="宋体" w:hAnsi="宋体" w:cs="宋体" w:eastAsia="宋体" w:hint="default"/>
          <w:spacing w:val="20"/>
          <w:sz w:val="24"/>
          <w:szCs w:val="24"/>
        </w:rPr>
        <w:t> </w:t>
      </w:r>
      <w:r>
        <w:rPr>
          <w:rFonts w:ascii="宋体" w:hAnsi="宋体" w:cs="宋体" w:eastAsia="宋体" w:hint="default"/>
          <w:spacing w:val="4"/>
          <w:sz w:val="24"/>
          <w:szCs w:val="24"/>
        </w:rPr>
        <w:t>股，预留股份</w:t>
      </w:r>
      <w:r>
        <w:rPr>
          <w:rFonts w:ascii="宋体" w:hAnsi="宋体" w:cs="宋体" w:eastAsia="宋体" w:hint="default"/>
          <w:sz w:val="24"/>
          <w:szCs w:val="24"/>
        </w:rPr>
      </w:r>
    </w:p>
    <w:p>
      <w:pPr>
        <w:spacing w:before="17"/>
        <w:ind w:left="140" w:right="0" w:firstLine="0"/>
        <w:jc w:val="both"/>
        <w:rPr>
          <w:rFonts w:ascii="宋体" w:hAnsi="宋体" w:cs="宋体" w:eastAsia="宋体" w:hint="default"/>
          <w:sz w:val="24"/>
          <w:szCs w:val="24"/>
        </w:rPr>
      </w:pPr>
      <w:r>
        <w:rPr>
          <w:rFonts w:ascii="宋体" w:hAnsi="宋体" w:cs="宋体" w:eastAsia="宋体" w:hint="default"/>
          <w:sz w:val="24"/>
          <w:szCs w:val="24"/>
        </w:rPr>
        <w:t>16,481,920</w:t>
      </w:r>
      <w:r>
        <w:rPr>
          <w:rFonts w:ascii="宋体" w:hAnsi="宋体" w:cs="宋体" w:eastAsia="宋体" w:hint="default"/>
          <w:spacing w:val="-58"/>
          <w:sz w:val="24"/>
          <w:szCs w:val="24"/>
        </w:rPr>
        <w:t> </w:t>
      </w:r>
      <w:r>
        <w:rPr>
          <w:rFonts w:ascii="宋体" w:hAnsi="宋体" w:cs="宋体" w:eastAsia="宋体" w:hint="default"/>
          <w:sz w:val="24"/>
          <w:szCs w:val="24"/>
        </w:rPr>
        <w:t>股。截至</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58"/>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z w:val="24"/>
          <w:szCs w:val="24"/>
        </w:rPr>
        <w:t>11</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58"/>
          <w:sz w:val="24"/>
          <w:szCs w:val="24"/>
        </w:rPr>
        <w:t> </w:t>
      </w:r>
      <w:r>
        <w:rPr>
          <w:rFonts w:ascii="宋体" w:hAnsi="宋体" w:cs="宋体" w:eastAsia="宋体" w:hint="default"/>
          <w:sz w:val="24"/>
          <w:szCs w:val="24"/>
        </w:rPr>
        <w:t>24</w:t>
      </w:r>
      <w:r>
        <w:rPr>
          <w:rFonts w:ascii="宋体" w:hAnsi="宋体" w:cs="宋体" w:eastAsia="宋体" w:hint="default"/>
          <w:spacing w:val="-58"/>
          <w:sz w:val="24"/>
          <w:szCs w:val="24"/>
        </w:rPr>
        <w:t> </w:t>
      </w:r>
      <w:r>
        <w:rPr>
          <w:rFonts w:ascii="宋体" w:hAnsi="宋体" w:cs="宋体" w:eastAsia="宋体" w:hint="default"/>
          <w:sz w:val="24"/>
          <w:szCs w:val="24"/>
        </w:rPr>
        <w:t>日，实际缴款激励对象</w:t>
      </w:r>
      <w:r>
        <w:rPr>
          <w:rFonts w:ascii="宋体" w:hAnsi="宋体" w:cs="宋体" w:eastAsia="宋体" w:hint="default"/>
          <w:spacing w:val="-58"/>
          <w:sz w:val="24"/>
          <w:szCs w:val="24"/>
        </w:rPr>
        <w:t> </w:t>
      </w:r>
      <w:r>
        <w:rPr>
          <w:rFonts w:ascii="宋体" w:hAnsi="宋体" w:cs="宋体" w:eastAsia="宋体" w:hint="default"/>
          <w:sz w:val="24"/>
          <w:szCs w:val="24"/>
        </w:rPr>
        <w:t>1524</w:t>
      </w:r>
      <w:r>
        <w:rPr>
          <w:rFonts w:ascii="宋体" w:hAnsi="宋体" w:cs="宋体" w:eastAsia="宋体" w:hint="default"/>
          <w:spacing w:val="-58"/>
          <w:sz w:val="24"/>
          <w:szCs w:val="24"/>
        </w:rPr>
        <w:t> </w:t>
      </w:r>
      <w:r>
        <w:rPr>
          <w:rFonts w:ascii="宋体" w:hAnsi="宋体" w:cs="宋体" w:eastAsia="宋体" w:hint="default"/>
          <w:sz w:val="24"/>
          <w:szCs w:val="24"/>
        </w:rPr>
        <w:t>人，实际授出股权激</w:t>
      </w:r>
    </w:p>
    <w:p>
      <w:pPr>
        <w:spacing w:line="297" w:lineRule="auto" w:before="76"/>
        <w:ind w:left="140" w:right="400" w:firstLine="0"/>
        <w:jc w:val="both"/>
        <w:rPr>
          <w:rFonts w:ascii="宋体" w:hAnsi="宋体" w:cs="宋体" w:eastAsia="宋体" w:hint="default"/>
          <w:sz w:val="24"/>
          <w:szCs w:val="24"/>
        </w:rPr>
      </w:pPr>
      <w:r>
        <w:rPr>
          <w:rFonts w:ascii="宋体" w:hAnsi="宋体" w:cs="宋体" w:eastAsia="宋体" w:hint="default"/>
          <w:sz w:val="24"/>
          <w:szCs w:val="24"/>
        </w:rPr>
        <w:t>励股份</w:t>
      </w:r>
      <w:r>
        <w:rPr>
          <w:rFonts w:ascii="宋体" w:hAnsi="宋体" w:cs="宋体" w:eastAsia="宋体" w:hint="default"/>
          <w:spacing w:val="-69"/>
          <w:sz w:val="24"/>
          <w:szCs w:val="24"/>
        </w:rPr>
        <w:t> </w:t>
      </w:r>
      <w:r>
        <w:rPr>
          <w:rFonts w:ascii="宋体" w:hAnsi="宋体" w:cs="宋体" w:eastAsia="宋体" w:hint="default"/>
          <w:sz w:val="24"/>
          <w:szCs w:val="24"/>
        </w:rPr>
        <w:t>21,196,982</w:t>
      </w:r>
      <w:r>
        <w:rPr>
          <w:rFonts w:ascii="宋体" w:hAnsi="宋体" w:cs="宋体" w:eastAsia="宋体" w:hint="default"/>
          <w:spacing w:val="-69"/>
          <w:sz w:val="24"/>
          <w:szCs w:val="24"/>
        </w:rPr>
        <w:t> </w:t>
      </w:r>
      <w:r>
        <w:rPr>
          <w:rFonts w:ascii="宋体" w:hAnsi="宋体" w:cs="宋体" w:eastAsia="宋体" w:hint="default"/>
          <w:spacing w:val="-35"/>
          <w:sz w:val="24"/>
          <w:szCs w:val="24"/>
        </w:rPr>
        <w:t>股，其中，授出</w:t>
      </w:r>
      <w:r>
        <w:rPr>
          <w:rFonts w:ascii="宋体" w:hAnsi="宋体" w:cs="宋体" w:eastAsia="宋体" w:hint="default"/>
          <w:spacing w:val="-69"/>
          <w:sz w:val="24"/>
          <w:szCs w:val="24"/>
        </w:rPr>
        <w:t> </w:t>
      </w:r>
      <w:r>
        <w:rPr>
          <w:rFonts w:ascii="宋体" w:hAnsi="宋体" w:cs="宋体" w:eastAsia="宋体" w:hint="default"/>
          <w:sz w:val="24"/>
          <w:szCs w:val="24"/>
        </w:rPr>
        <w:t>2009</w:t>
      </w:r>
      <w:r>
        <w:rPr>
          <w:rFonts w:ascii="宋体" w:hAnsi="宋体" w:cs="宋体" w:eastAsia="宋体" w:hint="default"/>
          <w:spacing w:val="-69"/>
          <w:sz w:val="24"/>
          <w:szCs w:val="24"/>
        </w:rPr>
        <w:t> </w:t>
      </w:r>
      <w:r>
        <w:rPr>
          <w:rFonts w:ascii="宋体" w:hAnsi="宋体" w:cs="宋体" w:eastAsia="宋体" w:hint="default"/>
          <w:sz w:val="24"/>
          <w:szCs w:val="24"/>
        </w:rPr>
        <w:t>年度股票</w:t>
      </w:r>
      <w:r>
        <w:rPr>
          <w:rFonts w:ascii="宋体" w:hAnsi="宋体" w:cs="宋体" w:eastAsia="宋体" w:hint="default"/>
          <w:spacing w:val="-69"/>
          <w:sz w:val="24"/>
          <w:szCs w:val="24"/>
        </w:rPr>
        <w:t> </w:t>
      </w:r>
      <w:r>
        <w:rPr>
          <w:rFonts w:ascii="宋体" w:hAnsi="宋体" w:cs="宋体" w:eastAsia="宋体" w:hint="default"/>
          <w:sz w:val="24"/>
          <w:szCs w:val="24"/>
        </w:rPr>
        <w:t>5,840,640</w:t>
      </w:r>
      <w:r>
        <w:rPr>
          <w:rFonts w:ascii="宋体" w:hAnsi="宋体" w:cs="宋体" w:eastAsia="宋体" w:hint="default"/>
          <w:spacing w:val="-69"/>
          <w:sz w:val="24"/>
          <w:szCs w:val="24"/>
        </w:rPr>
        <w:t> </w:t>
      </w:r>
      <w:r>
        <w:rPr>
          <w:rFonts w:ascii="宋体" w:hAnsi="宋体" w:cs="宋体" w:eastAsia="宋体" w:hint="default"/>
          <w:spacing w:val="-15"/>
          <w:sz w:val="24"/>
          <w:szCs w:val="24"/>
        </w:rPr>
        <w:t>股，授出预留股份</w:t>
      </w:r>
      <w:r>
        <w:rPr>
          <w:rFonts w:ascii="宋体" w:hAnsi="宋体" w:cs="宋体" w:eastAsia="宋体" w:hint="default"/>
          <w:spacing w:val="-69"/>
          <w:sz w:val="24"/>
          <w:szCs w:val="24"/>
        </w:rPr>
        <w:t> </w:t>
      </w:r>
      <w:r>
        <w:rPr>
          <w:rFonts w:ascii="宋体" w:hAnsi="宋体" w:cs="宋体" w:eastAsia="宋体" w:hint="default"/>
          <w:sz w:val="24"/>
          <w:szCs w:val="24"/>
        </w:rPr>
        <w:t>15,356,342</w:t>
      </w:r>
      <w:r>
        <w:rPr>
          <w:rFonts w:ascii="宋体" w:hAnsi="宋体" w:cs="宋体" w:eastAsia="宋体" w:hint="default"/>
          <w:sz w:val="24"/>
          <w:szCs w:val="24"/>
        </w:rPr>
        <w:t> 股。</w:t>
      </w:r>
    </w:p>
    <w:p>
      <w:pPr>
        <w:spacing w:line="297" w:lineRule="auto" w:before="137"/>
        <w:ind w:left="140" w:right="324" w:firstLine="480"/>
        <w:jc w:val="left"/>
        <w:rPr>
          <w:rFonts w:ascii="宋体" w:hAnsi="宋体" w:cs="宋体" w:eastAsia="宋体" w:hint="default"/>
          <w:sz w:val="24"/>
          <w:szCs w:val="24"/>
        </w:rPr>
      </w:pPr>
      <w:r>
        <w:rPr>
          <w:rFonts w:ascii="宋体" w:hAnsi="宋体" w:cs="宋体" w:eastAsia="宋体" w:hint="default"/>
          <w:sz w:val="24"/>
          <w:szCs w:val="24"/>
        </w:rPr>
        <w:t>⑥ </w:t>
      </w:r>
      <w:r>
        <w:rPr>
          <w:rFonts w:ascii="宋体" w:hAnsi="宋体" w:cs="宋体" w:eastAsia="宋体" w:hint="default"/>
          <w:spacing w:val="30"/>
          <w:sz w:val="24"/>
          <w:szCs w:val="24"/>
        </w:rPr>
        <w:t>2009年8月3</w:t>
      </w:r>
      <w:r>
        <w:rPr>
          <w:rFonts w:ascii="宋体" w:hAnsi="宋体" w:cs="宋体" w:eastAsia="宋体" w:hint="default"/>
          <w:spacing w:val="-60"/>
          <w:sz w:val="24"/>
          <w:szCs w:val="24"/>
        </w:rPr>
        <w:t> </w:t>
      </w:r>
      <w:r>
        <w:rPr>
          <w:rFonts w:ascii="宋体" w:hAnsi="宋体" w:cs="宋体" w:eastAsia="宋体" w:hint="default"/>
          <w:spacing w:val="30"/>
          <w:sz w:val="24"/>
          <w:szCs w:val="24"/>
        </w:rPr>
        <w:t>日和9月</w:t>
      </w:r>
      <w:r>
        <w:rPr>
          <w:rFonts w:ascii="宋体" w:hAnsi="宋体" w:cs="宋体" w:eastAsia="宋体" w:hint="default"/>
          <w:spacing w:val="-60"/>
          <w:sz w:val="24"/>
          <w:szCs w:val="24"/>
        </w:rPr>
        <w:t> </w:t>
      </w:r>
      <w:r>
        <w:rPr>
          <w:rFonts w:ascii="宋体" w:hAnsi="宋体" w:cs="宋体" w:eastAsia="宋体" w:hint="default"/>
          <w:sz w:val="24"/>
          <w:szCs w:val="24"/>
        </w:rPr>
        <w:t>15</w:t>
      </w:r>
      <w:r>
        <w:rPr>
          <w:rFonts w:ascii="宋体" w:hAnsi="宋体" w:cs="宋体" w:eastAsia="宋体" w:hint="default"/>
          <w:spacing w:val="-60"/>
          <w:sz w:val="24"/>
          <w:szCs w:val="24"/>
        </w:rPr>
        <w:t> </w:t>
      </w:r>
      <w:r>
        <w:rPr>
          <w:rFonts w:ascii="宋体" w:hAnsi="宋体" w:cs="宋体" w:eastAsia="宋体" w:hint="default"/>
          <w:sz w:val="24"/>
          <w:szCs w:val="24"/>
        </w:rPr>
        <w:t>日，公司根据第四届董事会</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年第二次会议决议，</w:t>
      </w:r>
      <w:r>
        <w:rPr>
          <w:rFonts w:ascii="宋体" w:hAnsi="宋体" w:cs="宋体" w:eastAsia="宋体" w:hint="default"/>
          <w:sz w:val="24"/>
          <w:szCs w:val="24"/>
        </w:rPr>
        <w:t> 分别将已回购的</w:t>
      </w:r>
      <w:r>
        <w:rPr>
          <w:rFonts w:ascii="宋体" w:hAnsi="宋体" w:cs="宋体" w:eastAsia="宋体" w:hint="default"/>
          <w:spacing w:val="-60"/>
          <w:sz w:val="24"/>
          <w:szCs w:val="24"/>
        </w:rPr>
        <w:t> </w:t>
      </w:r>
      <w:r>
        <w:rPr>
          <w:rFonts w:ascii="宋体" w:hAnsi="宋体" w:cs="宋体" w:eastAsia="宋体" w:hint="default"/>
          <w:sz w:val="24"/>
          <w:szCs w:val="24"/>
        </w:rPr>
        <w:t>14,400</w:t>
      </w:r>
      <w:r>
        <w:rPr>
          <w:rFonts w:ascii="宋体" w:hAnsi="宋体" w:cs="宋体" w:eastAsia="宋体" w:hint="default"/>
          <w:spacing w:val="-60"/>
          <w:sz w:val="24"/>
          <w:szCs w:val="24"/>
        </w:rPr>
        <w:t> </w:t>
      </w:r>
      <w:r>
        <w:rPr>
          <w:rFonts w:ascii="宋体" w:hAnsi="宋体" w:cs="宋体" w:eastAsia="宋体" w:hint="default"/>
          <w:sz w:val="24"/>
          <w:szCs w:val="24"/>
        </w:rPr>
        <w:t>股和</w:t>
      </w:r>
      <w:r>
        <w:rPr>
          <w:rFonts w:ascii="宋体" w:hAnsi="宋体" w:cs="宋体" w:eastAsia="宋体" w:hint="default"/>
          <w:spacing w:val="-60"/>
          <w:sz w:val="24"/>
          <w:szCs w:val="24"/>
        </w:rPr>
        <w:t> </w:t>
      </w:r>
      <w:r>
        <w:rPr>
          <w:rFonts w:ascii="宋体" w:hAnsi="宋体" w:cs="宋体" w:eastAsia="宋体" w:hint="default"/>
          <w:sz w:val="24"/>
          <w:szCs w:val="24"/>
        </w:rPr>
        <w:t>6,200</w:t>
      </w:r>
      <w:r>
        <w:rPr>
          <w:rFonts w:ascii="宋体" w:hAnsi="宋体" w:cs="宋体" w:eastAsia="宋体" w:hint="default"/>
          <w:spacing w:val="-60"/>
          <w:sz w:val="24"/>
          <w:szCs w:val="24"/>
        </w:rPr>
        <w:t> </w:t>
      </w:r>
      <w:r>
        <w:rPr>
          <w:rFonts w:ascii="宋体" w:hAnsi="宋体" w:cs="宋体" w:eastAsia="宋体" w:hint="default"/>
          <w:sz w:val="24"/>
          <w:szCs w:val="24"/>
        </w:rPr>
        <w:t>股股权激励股票予以注销。</w:t>
      </w:r>
    </w:p>
    <w:p>
      <w:pPr>
        <w:spacing w:before="137"/>
        <w:ind w:left="620" w:right="324" w:firstLine="0"/>
        <w:jc w:val="left"/>
        <w:rPr>
          <w:rFonts w:ascii="宋体" w:hAnsi="宋体" w:cs="宋体" w:eastAsia="宋体" w:hint="default"/>
          <w:sz w:val="24"/>
          <w:szCs w:val="24"/>
        </w:rPr>
      </w:pPr>
      <w:r>
        <w:rPr>
          <w:rFonts w:ascii="宋体" w:hAnsi="宋体" w:cs="宋体" w:eastAsia="宋体" w:hint="default"/>
          <w:sz w:val="24"/>
          <w:szCs w:val="24"/>
        </w:rPr>
        <w:t>（2）股份变动的过户情况</w:t>
      </w:r>
    </w:p>
    <w:p>
      <w:pPr>
        <w:spacing w:line="297" w:lineRule="auto" w:before="196"/>
        <w:ind w:left="140" w:right="384" w:firstLine="480"/>
        <w:jc w:val="left"/>
        <w:rPr>
          <w:rFonts w:ascii="宋体" w:hAnsi="宋体" w:cs="宋体" w:eastAsia="宋体" w:hint="default"/>
          <w:sz w:val="24"/>
          <w:szCs w:val="24"/>
        </w:rPr>
      </w:pPr>
      <w:r>
        <w:rPr>
          <w:rFonts w:ascii="宋体" w:hAnsi="宋体" w:cs="宋体" w:eastAsia="宋体" w:hint="default"/>
          <w:sz w:val="24"/>
          <w:szCs w:val="24"/>
        </w:rPr>
        <w:t>截至</w:t>
      </w:r>
      <w:r>
        <w:rPr>
          <w:rFonts w:ascii="宋体" w:hAnsi="宋体" w:cs="宋体" w:eastAsia="宋体" w:hint="default"/>
          <w:spacing w:val="-59"/>
          <w:sz w:val="24"/>
          <w:szCs w:val="24"/>
        </w:rPr>
        <w:t> </w:t>
      </w:r>
      <w:r>
        <w:rPr>
          <w:rFonts w:ascii="宋体" w:hAnsi="宋体" w:cs="宋体" w:eastAsia="宋体" w:hint="default"/>
          <w:spacing w:val="12"/>
          <w:sz w:val="24"/>
          <w:szCs w:val="24"/>
        </w:rPr>
        <w:t>2009年</w:t>
      </w:r>
      <w:r>
        <w:rPr>
          <w:rFonts w:ascii="宋体" w:hAnsi="宋体" w:cs="宋体" w:eastAsia="宋体" w:hint="default"/>
          <w:spacing w:val="-59"/>
          <w:sz w:val="24"/>
          <w:szCs w:val="24"/>
        </w:rPr>
        <w:t> </w:t>
      </w:r>
      <w:r>
        <w:rPr>
          <w:rFonts w:ascii="宋体" w:hAnsi="宋体" w:cs="宋体" w:eastAsia="宋体" w:hint="default"/>
          <w:spacing w:val="20"/>
          <w:sz w:val="24"/>
          <w:szCs w:val="24"/>
        </w:rPr>
        <w:t>12月</w:t>
      </w:r>
      <w:r>
        <w:rPr>
          <w:rFonts w:ascii="宋体" w:hAnsi="宋体" w:cs="宋体" w:eastAsia="宋体" w:hint="default"/>
          <w:spacing w:val="-59"/>
          <w:sz w:val="24"/>
          <w:szCs w:val="24"/>
        </w:rPr>
        <w:t> </w:t>
      </w:r>
      <w:r>
        <w:rPr>
          <w:rFonts w:ascii="宋体" w:hAnsi="宋体" w:cs="宋体" w:eastAsia="宋体" w:hint="default"/>
          <w:sz w:val="24"/>
          <w:szCs w:val="24"/>
        </w:rPr>
        <w:t>17</w:t>
      </w:r>
      <w:r>
        <w:rPr>
          <w:rFonts w:ascii="宋体" w:hAnsi="宋体" w:cs="宋体" w:eastAsia="宋体" w:hint="default"/>
          <w:spacing w:val="-59"/>
          <w:sz w:val="24"/>
          <w:szCs w:val="24"/>
        </w:rPr>
        <w:t> </w:t>
      </w:r>
      <w:r>
        <w:rPr>
          <w:rFonts w:ascii="宋体" w:hAnsi="宋体" w:cs="宋体" w:eastAsia="宋体" w:hint="default"/>
          <w:spacing w:val="-9"/>
          <w:sz w:val="24"/>
          <w:szCs w:val="24"/>
        </w:rPr>
        <w:t>日，公司已完成股权激励计划中</w:t>
      </w:r>
      <w:r>
        <w:rPr>
          <w:rFonts w:ascii="宋体" w:hAnsi="宋体" w:cs="宋体" w:eastAsia="宋体" w:hint="default"/>
          <w:spacing w:val="-59"/>
          <w:sz w:val="24"/>
          <w:szCs w:val="24"/>
        </w:rPr>
        <w:t> </w:t>
      </w:r>
      <w:r>
        <w:rPr>
          <w:rFonts w:ascii="宋体" w:hAnsi="宋体" w:cs="宋体" w:eastAsia="宋体" w:hint="default"/>
          <w:sz w:val="24"/>
          <w:szCs w:val="24"/>
        </w:rPr>
        <w:t>2009</w:t>
      </w:r>
      <w:r>
        <w:rPr>
          <w:rFonts w:ascii="宋体" w:hAnsi="宋体" w:cs="宋体" w:eastAsia="宋体" w:hint="default"/>
          <w:spacing w:val="-59"/>
          <w:sz w:val="24"/>
          <w:szCs w:val="24"/>
        </w:rPr>
        <w:t> </w:t>
      </w:r>
      <w:r>
        <w:rPr>
          <w:rFonts w:ascii="宋体" w:hAnsi="宋体" w:cs="宋体" w:eastAsia="宋体" w:hint="default"/>
          <w:sz w:val="24"/>
          <w:szCs w:val="24"/>
        </w:rPr>
        <w:t>年度已授出相关股份的登</w:t>
      </w:r>
      <w:r>
        <w:rPr>
          <w:rFonts w:ascii="宋体" w:hAnsi="宋体" w:cs="宋体" w:eastAsia="宋体" w:hint="default"/>
          <w:sz w:val="24"/>
          <w:szCs w:val="24"/>
        </w:rPr>
        <w:t> 记事宜。</w:t>
      </w:r>
    </w:p>
    <w:p>
      <w:pPr>
        <w:spacing w:before="137"/>
        <w:ind w:left="620" w:right="324" w:firstLine="0"/>
        <w:jc w:val="left"/>
        <w:rPr>
          <w:rFonts w:ascii="宋体" w:hAnsi="宋体" w:cs="宋体" w:eastAsia="宋体" w:hint="default"/>
          <w:sz w:val="24"/>
          <w:szCs w:val="24"/>
        </w:rPr>
      </w:pPr>
      <w:r>
        <w:rPr>
          <w:rFonts w:ascii="宋体" w:hAnsi="宋体" w:cs="宋体" w:eastAsia="宋体" w:hint="default"/>
          <w:sz w:val="24"/>
          <w:szCs w:val="24"/>
        </w:rPr>
        <w:t>2、限售股份变动情况</w:t>
      </w:r>
    </w:p>
    <w:p>
      <w:pPr>
        <w:spacing w:before="198"/>
        <w:ind w:left="0" w:right="399" w:firstLine="0"/>
        <w:jc w:val="right"/>
        <w:rPr>
          <w:rFonts w:ascii="宋体" w:hAnsi="宋体" w:cs="宋体" w:eastAsia="宋体" w:hint="default"/>
          <w:sz w:val="21"/>
          <w:szCs w:val="21"/>
        </w:rPr>
      </w:pPr>
      <w:r>
        <w:rPr>
          <w:rFonts w:ascii="宋体" w:hAnsi="宋体" w:cs="宋体" w:eastAsia="宋体" w:hint="default"/>
          <w:sz w:val="21"/>
          <w:szCs w:val="21"/>
        </w:rPr>
        <w:t>单位：股</w:t>
      </w: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452"/>
        <w:gridCol w:w="1439"/>
        <w:gridCol w:w="1440"/>
        <w:gridCol w:w="1438"/>
        <w:gridCol w:w="1440"/>
        <w:gridCol w:w="1168"/>
        <w:gridCol w:w="1160"/>
      </w:tblGrid>
      <w:tr>
        <w:trPr>
          <w:trHeight w:val="560" w:hRule="exact"/>
        </w:trPr>
        <w:tc>
          <w:tcPr>
            <w:tcW w:w="14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98"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43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年初限售股</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数</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本年解除限</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售股数</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本年增加限</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售股数</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年末限售股</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数</w:t>
            </w:r>
          </w:p>
        </w:tc>
        <w:tc>
          <w:tcPr>
            <w:tcW w:w="11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限售原因</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257" w:right="0"/>
              <w:jc w:val="left"/>
              <w:rPr>
                <w:rFonts w:ascii="宋体" w:hAnsi="宋体" w:cs="宋体" w:eastAsia="宋体" w:hint="default"/>
                <w:sz w:val="21"/>
                <w:szCs w:val="21"/>
              </w:rPr>
            </w:pPr>
            <w:r>
              <w:rPr>
                <w:rFonts w:ascii="宋体" w:hAnsi="宋体" w:cs="宋体" w:eastAsia="宋体" w:hint="default"/>
                <w:sz w:val="21"/>
                <w:szCs w:val="21"/>
              </w:rPr>
              <w:t>解除限</w:t>
            </w:r>
          </w:p>
          <w:p>
            <w:pPr>
              <w:pStyle w:val="TableParagraph"/>
              <w:spacing w:line="274" w:lineRule="exact"/>
              <w:ind w:left="257" w:right="0"/>
              <w:jc w:val="left"/>
              <w:rPr>
                <w:rFonts w:ascii="宋体" w:hAnsi="宋体" w:cs="宋体" w:eastAsia="宋体" w:hint="default"/>
                <w:sz w:val="21"/>
                <w:szCs w:val="21"/>
              </w:rPr>
            </w:pPr>
            <w:r>
              <w:rPr>
                <w:rFonts w:ascii="宋体" w:hAnsi="宋体" w:cs="宋体" w:eastAsia="宋体" w:hint="default"/>
                <w:sz w:val="21"/>
                <w:szCs w:val="21"/>
              </w:rPr>
              <w:t>售日期</w:t>
            </w:r>
          </w:p>
        </w:tc>
      </w:tr>
      <w:tr>
        <w:trPr>
          <w:trHeight w:val="559" w:hRule="exact"/>
        </w:trPr>
        <w:tc>
          <w:tcPr>
            <w:tcW w:w="145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北京用友科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技有限公司</w:t>
            </w:r>
          </w:p>
        </w:tc>
        <w:tc>
          <w:tcPr>
            <w:tcW w:w="14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95,472,000</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28,641,600</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124,113,600</w:t>
            </w:r>
          </w:p>
        </w:tc>
        <w:tc>
          <w:tcPr>
            <w:tcW w:w="116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股权分置</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改革承诺</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sz w:val="21"/>
              </w:rPr>
              <w:t>2010.2.28</w:t>
            </w:r>
          </w:p>
        </w:tc>
      </w:tr>
      <w:tr>
        <w:trPr>
          <w:trHeight w:val="278" w:hRule="exact"/>
        </w:trPr>
        <w:tc>
          <w:tcPr>
            <w:tcW w:w="145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上海用友科</w:t>
            </w:r>
          </w:p>
        </w:tc>
        <w:tc>
          <w:tcPr>
            <w:tcW w:w="1439" w:type="dxa"/>
            <w:tcBorders>
              <w:top w:val="single" w:sz="6" w:space="0" w:color="000000"/>
              <w:left w:val="single" w:sz="6" w:space="0" w:color="000000"/>
              <w:bottom w:val="nil" w:sz="6" w:space="0" w:color="auto"/>
              <w:right w:val="single" w:sz="6" w:space="0" w:color="000000"/>
            </w:tcBorders>
          </w:tcPr>
          <w:p>
            <w:pPr/>
          </w:p>
        </w:tc>
        <w:tc>
          <w:tcPr>
            <w:tcW w:w="1440" w:type="dxa"/>
            <w:tcBorders>
              <w:top w:val="single" w:sz="6" w:space="0" w:color="000000"/>
              <w:left w:val="single" w:sz="6" w:space="0" w:color="000000"/>
              <w:bottom w:val="nil" w:sz="6" w:space="0" w:color="auto"/>
              <w:right w:val="single" w:sz="6" w:space="0" w:color="000000"/>
            </w:tcBorders>
          </w:tcPr>
          <w:p>
            <w:pPr/>
          </w:p>
        </w:tc>
        <w:tc>
          <w:tcPr>
            <w:tcW w:w="1438" w:type="dxa"/>
            <w:tcBorders>
              <w:top w:val="single" w:sz="6" w:space="0" w:color="000000"/>
              <w:left w:val="single" w:sz="6" w:space="0" w:color="000000"/>
              <w:bottom w:val="nil" w:sz="6" w:space="0" w:color="auto"/>
              <w:right w:val="single" w:sz="6" w:space="0" w:color="000000"/>
            </w:tcBorders>
          </w:tcPr>
          <w:p>
            <w:pPr/>
          </w:p>
        </w:tc>
        <w:tc>
          <w:tcPr>
            <w:tcW w:w="1440" w:type="dxa"/>
            <w:tcBorders>
              <w:top w:val="single" w:sz="6" w:space="0" w:color="000000"/>
              <w:left w:val="single" w:sz="6" w:space="0" w:color="000000"/>
              <w:bottom w:val="nil" w:sz="6" w:space="0" w:color="auto"/>
              <w:right w:val="single" w:sz="6" w:space="0" w:color="000000"/>
            </w:tcBorders>
          </w:tcPr>
          <w:p>
            <w:pPr/>
          </w:p>
        </w:tc>
        <w:tc>
          <w:tcPr>
            <w:tcW w:w="1168" w:type="dxa"/>
            <w:vMerge w:val="restart"/>
            <w:tcBorders>
              <w:top w:val="single" w:sz="6" w:space="0" w:color="000000"/>
              <w:left w:val="single" w:sz="6" w:space="0" w:color="000000"/>
              <w:right w:val="single" w:sz="6" w:space="0" w:color="000000"/>
            </w:tcBorders>
          </w:tcPr>
          <w:p>
            <w:pPr/>
          </w:p>
        </w:tc>
        <w:tc>
          <w:tcPr>
            <w:tcW w:w="1160" w:type="dxa"/>
            <w:tcBorders>
              <w:top w:val="single" w:sz="6" w:space="0" w:color="000000"/>
              <w:left w:val="single" w:sz="6" w:space="0" w:color="000000"/>
              <w:bottom w:val="nil" w:sz="6" w:space="0" w:color="auto"/>
              <w:right w:val="single" w:sz="6" w:space="0" w:color="000000"/>
            </w:tcBorders>
          </w:tcPr>
          <w:p>
            <w:pPr/>
          </w:p>
        </w:tc>
      </w:tr>
      <w:tr>
        <w:trPr>
          <w:trHeight w:val="273" w:hRule="exact"/>
        </w:trPr>
        <w:tc>
          <w:tcPr>
            <w:tcW w:w="1452"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技咨询有限</w:t>
            </w:r>
          </w:p>
        </w:tc>
        <w:tc>
          <w:tcPr>
            <w:tcW w:w="1439"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25,272,000</w:t>
            </w:r>
          </w:p>
        </w:tc>
        <w:tc>
          <w:tcPr>
            <w:tcW w:w="144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25,272,000</w:t>
            </w:r>
          </w:p>
        </w:tc>
        <w:tc>
          <w:tcPr>
            <w:tcW w:w="1438"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44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168" w:type="dxa"/>
            <w:vMerge/>
            <w:tcBorders>
              <w:left w:val="single" w:sz="6" w:space="0" w:color="000000"/>
              <w:right w:val="single" w:sz="6" w:space="0" w:color="000000"/>
            </w:tcBorders>
          </w:tcPr>
          <w:p>
            <w:pPr/>
          </w:p>
        </w:tc>
        <w:tc>
          <w:tcPr>
            <w:tcW w:w="116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102"/>
              <w:jc w:val="center"/>
              <w:rPr>
                <w:rFonts w:ascii="宋体" w:hAnsi="宋体" w:cs="宋体" w:eastAsia="宋体" w:hint="default"/>
                <w:sz w:val="21"/>
                <w:szCs w:val="21"/>
              </w:rPr>
            </w:pPr>
            <w:r>
              <w:rPr>
                <w:rFonts w:ascii="宋体"/>
                <w:sz w:val="21"/>
              </w:rPr>
              <w:t>2009.3.2</w:t>
            </w:r>
          </w:p>
        </w:tc>
      </w:tr>
      <w:tr>
        <w:trPr>
          <w:trHeight w:val="280" w:hRule="exact"/>
        </w:trPr>
        <w:tc>
          <w:tcPr>
            <w:tcW w:w="145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439" w:type="dxa"/>
            <w:tcBorders>
              <w:top w:val="nil" w:sz="6" w:space="0" w:color="auto"/>
              <w:left w:val="single" w:sz="6" w:space="0" w:color="000000"/>
              <w:bottom w:val="single" w:sz="6" w:space="0" w:color="000000"/>
              <w:right w:val="single" w:sz="6" w:space="0" w:color="000000"/>
            </w:tcBorders>
          </w:tcPr>
          <w:p>
            <w:pPr/>
          </w:p>
        </w:tc>
        <w:tc>
          <w:tcPr>
            <w:tcW w:w="1440" w:type="dxa"/>
            <w:tcBorders>
              <w:top w:val="nil" w:sz="6" w:space="0" w:color="auto"/>
              <w:left w:val="single" w:sz="6" w:space="0" w:color="000000"/>
              <w:bottom w:val="single" w:sz="6" w:space="0" w:color="000000"/>
              <w:right w:val="single" w:sz="6" w:space="0" w:color="000000"/>
            </w:tcBorders>
          </w:tcPr>
          <w:p>
            <w:pPr/>
          </w:p>
        </w:tc>
        <w:tc>
          <w:tcPr>
            <w:tcW w:w="1438" w:type="dxa"/>
            <w:tcBorders>
              <w:top w:val="nil" w:sz="6" w:space="0" w:color="auto"/>
              <w:left w:val="single" w:sz="6" w:space="0" w:color="000000"/>
              <w:bottom w:val="single" w:sz="6" w:space="0" w:color="000000"/>
              <w:right w:val="single" w:sz="6" w:space="0" w:color="000000"/>
            </w:tcBorders>
          </w:tcPr>
          <w:p>
            <w:pPr/>
          </w:p>
        </w:tc>
        <w:tc>
          <w:tcPr>
            <w:tcW w:w="1440" w:type="dxa"/>
            <w:tcBorders>
              <w:top w:val="nil" w:sz="6" w:space="0" w:color="auto"/>
              <w:left w:val="single" w:sz="6" w:space="0" w:color="000000"/>
              <w:bottom w:val="single" w:sz="6" w:space="0" w:color="000000"/>
              <w:right w:val="single" w:sz="6" w:space="0" w:color="000000"/>
            </w:tcBorders>
          </w:tcPr>
          <w:p>
            <w:pPr/>
          </w:p>
        </w:tc>
        <w:tc>
          <w:tcPr>
            <w:tcW w:w="1168" w:type="dxa"/>
            <w:vMerge/>
            <w:tcBorders>
              <w:left w:val="single" w:sz="6" w:space="0" w:color="000000"/>
              <w:bottom w:val="single" w:sz="6" w:space="0" w:color="000000"/>
              <w:right w:val="single" w:sz="6" w:space="0" w:color="000000"/>
            </w:tcBorders>
          </w:tcPr>
          <w:p>
            <w:pPr/>
          </w:p>
        </w:tc>
        <w:tc>
          <w:tcPr>
            <w:tcW w:w="1160" w:type="dxa"/>
            <w:tcBorders>
              <w:top w:val="nil" w:sz="6" w:space="0" w:color="auto"/>
              <w:left w:val="single" w:sz="6" w:space="0" w:color="000000"/>
              <w:bottom w:val="single" w:sz="6" w:space="0" w:color="000000"/>
              <w:right w:val="single" w:sz="6" w:space="0" w:color="000000"/>
            </w:tcBorders>
          </w:tcPr>
          <w:p>
            <w:pPr/>
          </w:p>
        </w:tc>
      </w:tr>
      <w:tr>
        <w:trPr>
          <w:trHeight w:val="288" w:hRule="exact"/>
        </w:trPr>
        <w:tc>
          <w:tcPr>
            <w:tcW w:w="14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3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120,744,000</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25,272,000</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28,641,600</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124,113,600</w:t>
            </w:r>
          </w:p>
        </w:tc>
        <w:tc>
          <w:tcPr>
            <w:tcW w:w="116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r>
    </w:tbl>
    <w:p>
      <w:pPr>
        <w:spacing w:before="81"/>
        <w:ind w:left="620" w:right="324" w:firstLine="0"/>
        <w:jc w:val="left"/>
        <w:rPr>
          <w:rFonts w:ascii="宋体" w:hAnsi="宋体" w:cs="宋体" w:eastAsia="宋体" w:hint="default"/>
          <w:sz w:val="24"/>
          <w:szCs w:val="24"/>
        </w:rPr>
      </w:pPr>
      <w:r>
        <w:rPr>
          <w:rFonts w:ascii="宋体" w:hAnsi="宋体" w:cs="宋体" w:eastAsia="宋体" w:hint="default"/>
          <w:sz w:val="24"/>
          <w:szCs w:val="24"/>
        </w:rPr>
        <w:t>注：本年增加限售股数是因资本公积转增股本而增加的股份数。</w:t>
      </w:r>
    </w:p>
    <w:p>
      <w:pPr>
        <w:spacing w:after="0"/>
        <w:jc w:val="left"/>
        <w:rPr>
          <w:rFonts w:ascii="宋体" w:hAnsi="宋体" w:cs="宋体" w:eastAsia="宋体" w:hint="default"/>
          <w:sz w:val="24"/>
          <w:szCs w:val="24"/>
        </w:rPr>
        <w:sectPr>
          <w:pgSz w:w="11910" w:h="16840"/>
          <w:pgMar w:header="720" w:footer="727" w:top="1080" w:bottom="920" w:left="1220" w:right="900"/>
        </w:sectPr>
      </w:pPr>
    </w:p>
    <w:p>
      <w:pPr>
        <w:spacing w:line="240" w:lineRule="auto" w:before="12"/>
        <w:rPr>
          <w:rFonts w:ascii="宋体" w:hAnsi="宋体" w:cs="宋体" w:eastAsia="宋体" w:hint="default"/>
          <w:sz w:val="21"/>
          <w:szCs w:val="21"/>
        </w:rPr>
      </w:pPr>
    </w:p>
    <w:p>
      <w:pPr>
        <w:spacing w:before="26"/>
        <w:ind w:left="540" w:right="2984" w:firstLine="0"/>
        <w:jc w:val="left"/>
        <w:rPr>
          <w:rFonts w:ascii="宋体" w:hAnsi="宋体" w:cs="宋体" w:eastAsia="宋体" w:hint="default"/>
          <w:sz w:val="24"/>
          <w:szCs w:val="24"/>
        </w:rPr>
      </w:pPr>
      <w:bookmarkStart w:name="_bookmark4" w:id="6"/>
      <w:bookmarkEnd w:id="6"/>
      <w:r>
        <w:rPr/>
      </w:r>
      <w:r>
        <w:rPr>
          <w:rFonts w:ascii="宋体" w:hAnsi="宋体" w:cs="宋体" w:eastAsia="宋体" w:hint="default"/>
          <w:b/>
          <w:bCs/>
          <w:sz w:val="24"/>
          <w:szCs w:val="24"/>
        </w:rPr>
        <w:t>(二) 证券发行与上市情况</w:t>
      </w:r>
      <w:r>
        <w:rPr>
          <w:rFonts w:ascii="宋体" w:hAnsi="宋体" w:cs="宋体" w:eastAsia="宋体" w:hint="default"/>
          <w:sz w:val="24"/>
          <w:szCs w:val="24"/>
        </w:rPr>
      </w:r>
    </w:p>
    <w:p>
      <w:pPr>
        <w:spacing w:line="388" w:lineRule="auto" w:before="116"/>
        <w:ind w:left="620" w:right="2984" w:firstLine="0"/>
        <w:jc w:val="left"/>
        <w:rPr>
          <w:rFonts w:ascii="宋体" w:hAnsi="宋体" w:cs="宋体" w:eastAsia="宋体" w:hint="default"/>
          <w:sz w:val="24"/>
          <w:szCs w:val="24"/>
        </w:rPr>
      </w:pPr>
      <w:r>
        <w:rPr>
          <w:rFonts w:ascii="宋体" w:hAnsi="宋体" w:cs="宋体" w:eastAsia="宋体" w:hint="default"/>
          <w:sz w:val="24"/>
          <w:szCs w:val="24"/>
        </w:rPr>
        <w:t>（1） 前三年历次证券发行情况 截止本报告期末至前三年，公司未有证券发行与上市情况。</w:t>
      </w:r>
    </w:p>
    <w:p>
      <w:pPr>
        <w:spacing w:line="388" w:lineRule="auto" w:before="46"/>
        <w:ind w:left="620" w:right="464" w:firstLine="0"/>
        <w:jc w:val="left"/>
        <w:rPr>
          <w:rFonts w:ascii="宋体" w:hAnsi="宋体" w:cs="宋体" w:eastAsia="宋体" w:hint="default"/>
          <w:sz w:val="24"/>
          <w:szCs w:val="24"/>
        </w:rPr>
      </w:pPr>
      <w:r>
        <w:rPr>
          <w:rFonts w:ascii="宋体" w:hAnsi="宋体" w:cs="宋体" w:eastAsia="宋体" w:hint="default"/>
          <w:sz w:val="24"/>
          <w:szCs w:val="24"/>
        </w:rPr>
        <w:t>（2） 公司股份总数及结构的变动情况 </w:t>
      </w:r>
      <w:r>
        <w:rPr>
          <w:rFonts w:ascii="宋体" w:hAnsi="宋体" w:cs="宋体" w:eastAsia="宋体" w:hint="default"/>
          <w:spacing w:val="-4"/>
          <w:sz w:val="24"/>
          <w:szCs w:val="24"/>
        </w:rPr>
        <w:t>除上述“股份变动的批准情况”所述情况外，公司无因送股、配股、增发新股、吸收</w:t>
      </w:r>
    </w:p>
    <w:p>
      <w:pPr>
        <w:spacing w:line="240" w:lineRule="exact" w:before="0"/>
        <w:ind w:left="140" w:right="464" w:firstLine="0"/>
        <w:jc w:val="left"/>
        <w:rPr>
          <w:rFonts w:ascii="宋体" w:hAnsi="宋体" w:cs="宋体" w:eastAsia="宋体" w:hint="default"/>
          <w:sz w:val="24"/>
          <w:szCs w:val="24"/>
        </w:rPr>
      </w:pPr>
      <w:r>
        <w:rPr>
          <w:rFonts w:ascii="宋体" w:hAnsi="宋体" w:cs="宋体" w:eastAsia="宋体" w:hint="default"/>
          <w:spacing w:val="-4"/>
          <w:sz w:val="24"/>
          <w:szCs w:val="24"/>
        </w:rPr>
        <w:t>合并、可转换公司债券转股、减资、内部职工股或公司职工股上市或其他原因引起公司股</w:t>
      </w:r>
    </w:p>
    <w:p>
      <w:pPr>
        <w:spacing w:before="74"/>
        <w:ind w:left="140" w:right="2984" w:firstLine="0"/>
        <w:jc w:val="left"/>
        <w:rPr>
          <w:rFonts w:ascii="宋体" w:hAnsi="宋体" w:cs="宋体" w:eastAsia="宋体" w:hint="default"/>
          <w:sz w:val="24"/>
          <w:szCs w:val="24"/>
        </w:rPr>
      </w:pPr>
      <w:r>
        <w:rPr>
          <w:rFonts w:ascii="宋体" w:hAnsi="宋体" w:cs="宋体" w:eastAsia="宋体" w:hint="default"/>
          <w:sz w:val="24"/>
          <w:szCs w:val="24"/>
        </w:rPr>
        <w:t>份总数及结构变动的情况。</w:t>
      </w:r>
    </w:p>
    <w:p>
      <w:pPr>
        <w:spacing w:line="388" w:lineRule="auto" w:before="196"/>
        <w:ind w:left="620" w:right="5864" w:firstLine="0"/>
        <w:jc w:val="left"/>
        <w:rPr>
          <w:rFonts w:ascii="宋体" w:hAnsi="宋体" w:cs="宋体" w:eastAsia="宋体" w:hint="default"/>
          <w:sz w:val="24"/>
          <w:szCs w:val="24"/>
        </w:rPr>
      </w:pPr>
      <w:r>
        <w:rPr>
          <w:rFonts w:ascii="宋体" w:hAnsi="宋体" w:cs="宋体" w:eastAsia="宋体" w:hint="default"/>
          <w:sz w:val="24"/>
          <w:szCs w:val="24"/>
        </w:rPr>
        <w:t>（3） 现存的内部职工股情况 本报告期末公司无内部职工股。</w:t>
      </w:r>
    </w:p>
    <w:p>
      <w:pPr>
        <w:spacing w:line="240" w:lineRule="auto" w:before="9"/>
        <w:rPr>
          <w:rFonts w:ascii="宋体" w:hAnsi="宋体" w:cs="宋体" w:eastAsia="宋体" w:hint="default"/>
          <w:sz w:val="10"/>
          <w:szCs w:val="10"/>
        </w:rPr>
      </w:pPr>
    </w:p>
    <w:p>
      <w:pPr>
        <w:spacing w:after="0" w:line="240" w:lineRule="auto"/>
        <w:rPr>
          <w:rFonts w:ascii="宋体" w:hAnsi="宋体" w:cs="宋体" w:eastAsia="宋体" w:hint="default"/>
          <w:sz w:val="10"/>
          <w:szCs w:val="10"/>
        </w:rPr>
        <w:sectPr>
          <w:pgSz w:w="11910" w:h="16840"/>
          <w:pgMar w:header="720" w:footer="727" w:top="1080" w:bottom="920" w:left="1220" w:right="820"/>
        </w:sectPr>
      </w:pPr>
    </w:p>
    <w:p>
      <w:pPr>
        <w:spacing w:line="331" w:lineRule="auto" w:before="26"/>
        <w:ind w:left="620" w:right="-18" w:hanging="81"/>
        <w:jc w:val="left"/>
        <w:rPr>
          <w:rFonts w:ascii="宋体" w:hAnsi="宋体" w:cs="宋体" w:eastAsia="宋体" w:hint="default"/>
          <w:sz w:val="24"/>
          <w:szCs w:val="24"/>
        </w:rPr>
      </w:pPr>
      <w:r>
        <w:rPr>
          <w:rFonts w:ascii="宋体" w:hAnsi="宋体" w:cs="宋体" w:eastAsia="宋体" w:hint="default"/>
          <w:b/>
          <w:bCs/>
          <w:sz w:val="24"/>
          <w:szCs w:val="24"/>
        </w:rPr>
        <w:t>(三) 股东和实际控制人情况</w:t>
      </w:r>
      <w:r>
        <w:rPr>
          <w:rFonts w:ascii="宋体" w:hAnsi="宋体" w:cs="宋体" w:eastAsia="宋体" w:hint="default"/>
          <w:b/>
          <w:bCs/>
          <w:spacing w:val="1"/>
          <w:w w:val="99"/>
          <w:sz w:val="24"/>
          <w:szCs w:val="24"/>
        </w:rPr>
        <w:t> </w:t>
      </w:r>
      <w:r>
        <w:rPr>
          <w:rFonts w:ascii="宋体" w:hAnsi="宋体" w:cs="宋体" w:eastAsia="宋体" w:hint="default"/>
          <w:sz w:val="24"/>
          <w:szCs w:val="24"/>
        </w:rPr>
        <w:t>1、股东数量和持股情况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spacing w:before="0"/>
        <w:ind w:left="540"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900" w:bottom="280" w:left="1220" w:right="820"/>
          <w:cols w:num="2" w:equalWidth="0">
            <w:col w:w="3555" w:space="4447"/>
            <w:col w:w="1868"/>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623"/>
        <w:gridCol w:w="425"/>
        <w:gridCol w:w="613"/>
        <w:gridCol w:w="821"/>
        <w:gridCol w:w="1316"/>
        <w:gridCol w:w="155"/>
        <w:gridCol w:w="1061"/>
        <w:gridCol w:w="1296"/>
        <w:gridCol w:w="1298"/>
      </w:tblGrid>
      <w:tr>
        <w:trPr>
          <w:trHeight w:val="244" w:hRule="exact"/>
        </w:trPr>
        <w:tc>
          <w:tcPr>
            <w:tcW w:w="30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报告期末股东总数</w:t>
            </w:r>
          </w:p>
        </w:tc>
        <w:tc>
          <w:tcPr>
            <w:tcW w:w="6560" w:type="dxa"/>
            <w:gridSpan w:val="7"/>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25,490</w:t>
            </w:r>
          </w:p>
        </w:tc>
      </w:tr>
      <w:tr>
        <w:trPr>
          <w:trHeight w:val="244" w:hRule="exact"/>
        </w:trPr>
        <w:tc>
          <w:tcPr>
            <w:tcW w:w="9608" w:type="dxa"/>
            <w:gridSpan w:val="9"/>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前十五名股东持股情况</w:t>
            </w:r>
          </w:p>
        </w:tc>
      </w:tr>
      <w:tr>
        <w:trPr>
          <w:trHeight w:val="476"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0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333" w:right="0"/>
              <w:jc w:val="left"/>
              <w:rPr>
                <w:rFonts w:ascii="宋体" w:hAnsi="宋体" w:cs="宋体" w:eastAsia="宋体" w:hint="default"/>
                <w:sz w:val="18"/>
                <w:szCs w:val="18"/>
              </w:rPr>
            </w:pPr>
            <w:r>
              <w:rPr>
                <w:rFonts w:ascii="宋体" w:hAnsi="宋体" w:cs="宋体" w:eastAsia="宋体" w:hint="default"/>
                <w:sz w:val="18"/>
                <w:szCs w:val="18"/>
              </w:rPr>
              <w:t>股东</w:t>
            </w:r>
          </w:p>
          <w:p>
            <w:pPr>
              <w:pStyle w:val="TableParagraph"/>
              <w:spacing w:line="234" w:lineRule="exact"/>
              <w:ind w:left="333" w:right="0"/>
              <w:jc w:val="left"/>
              <w:rPr>
                <w:rFonts w:ascii="宋体" w:hAnsi="宋体" w:cs="宋体" w:eastAsia="宋体" w:hint="default"/>
                <w:sz w:val="18"/>
                <w:szCs w:val="18"/>
              </w:rPr>
            </w:pPr>
            <w:r>
              <w:rPr>
                <w:rFonts w:ascii="宋体" w:hAnsi="宋体" w:cs="宋体" w:eastAsia="宋体" w:hint="default"/>
                <w:sz w:val="18"/>
                <w:szCs w:val="18"/>
              </w:rPr>
              <w:t>性质</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57" w:right="0" w:hanging="90"/>
              <w:jc w:val="left"/>
              <w:rPr>
                <w:rFonts w:ascii="宋体" w:hAnsi="宋体" w:cs="宋体" w:eastAsia="宋体" w:hint="default"/>
                <w:sz w:val="18"/>
                <w:szCs w:val="18"/>
              </w:rPr>
            </w:pPr>
            <w:r>
              <w:rPr>
                <w:rFonts w:ascii="宋体" w:hAnsi="宋体" w:cs="宋体" w:eastAsia="宋体" w:hint="default"/>
                <w:sz w:val="18"/>
                <w:szCs w:val="18"/>
              </w:rPr>
              <w:t>持股比</w:t>
            </w:r>
          </w:p>
          <w:p>
            <w:pPr>
              <w:pStyle w:val="TableParagraph"/>
              <w:spacing w:line="234" w:lineRule="exact"/>
              <w:ind w:left="257" w:right="0"/>
              <w:jc w:val="left"/>
              <w:rPr>
                <w:rFonts w:ascii="宋体" w:hAnsi="宋体" w:cs="宋体" w:eastAsia="宋体" w:hint="default"/>
                <w:sz w:val="18"/>
                <w:szCs w:val="18"/>
              </w:rPr>
            </w:pPr>
            <w:r>
              <w:rPr>
                <w:rFonts w:ascii="宋体" w:hAnsi="宋体" w:cs="宋体" w:eastAsia="宋体" w:hint="default"/>
                <w:sz w:val="18"/>
                <w:szCs w:val="18"/>
              </w:rPr>
              <w:t>例(%)</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hAnsi="宋体" w:cs="宋体" w:eastAsia="宋体" w:hint="default"/>
                <w:sz w:val="18"/>
                <w:szCs w:val="18"/>
              </w:rPr>
              <w:t>持股总数</w:t>
            </w:r>
          </w:p>
        </w:tc>
        <w:tc>
          <w:tcPr>
            <w:tcW w:w="12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02" w:right="0"/>
              <w:jc w:val="left"/>
              <w:rPr>
                <w:rFonts w:ascii="宋体" w:hAnsi="宋体" w:cs="宋体" w:eastAsia="宋体" w:hint="default"/>
                <w:sz w:val="18"/>
                <w:szCs w:val="18"/>
              </w:rPr>
            </w:pPr>
            <w:r>
              <w:rPr>
                <w:rFonts w:ascii="宋体" w:hAnsi="宋体" w:cs="宋体" w:eastAsia="宋体" w:hint="default"/>
                <w:sz w:val="18"/>
                <w:szCs w:val="18"/>
              </w:rPr>
              <w:t>年度内增减</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1" w:right="0" w:hanging="1"/>
              <w:jc w:val="left"/>
              <w:rPr>
                <w:rFonts w:ascii="宋体" w:hAnsi="宋体" w:cs="宋体" w:eastAsia="宋体" w:hint="default"/>
                <w:sz w:val="18"/>
                <w:szCs w:val="18"/>
              </w:rPr>
            </w:pPr>
            <w:r>
              <w:rPr>
                <w:rFonts w:ascii="宋体" w:hAnsi="宋体" w:cs="宋体" w:eastAsia="宋体" w:hint="default"/>
                <w:sz w:val="18"/>
                <w:szCs w:val="18"/>
              </w:rPr>
              <w:t>持有有限售条</w:t>
            </w:r>
          </w:p>
          <w:p>
            <w:pPr>
              <w:pStyle w:val="TableParagraph"/>
              <w:spacing w:line="234" w:lineRule="exact"/>
              <w:ind w:left="101" w:right="0"/>
              <w:jc w:val="left"/>
              <w:rPr>
                <w:rFonts w:ascii="宋体" w:hAnsi="宋体" w:cs="宋体" w:eastAsia="宋体" w:hint="default"/>
                <w:sz w:val="18"/>
                <w:szCs w:val="18"/>
              </w:rPr>
            </w:pPr>
            <w:r>
              <w:rPr>
                <w:rFonts w:ascii="宋体" w:hAnsi="宋体" w:cs="宋体" w:eastAsia="宋体" w:hint="default"/>
                <w:sz w:val="18"/>
                <w:szCs w:val="18"/>
              </w:rPr>
              <w:t>件的股份数量</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85" w:right="0"/>
              <w:jc w:val="left"/>
              <w:rPr>
                <w:rFonts w:ascii="宋体" w:hAnsi="宋体" w:cs="宋体" w:eastAsia="宋体" w:hint="default"/>
                <w:sz w:val="18"/>
                <w:szCs w:val="18"/>
              </w:rPr>
            </w:pPr>
            <w:r>
              <w:rPr>
                <w:rFonts w:ascii="宋体" w:hAnsi="宋体" w:cs="宋体" w:eastAsia="宋体" w:hint="default"/>
                <w:sz w:val="18"/>
                <w:szCs w:val="18"/>
              </w:rPr>
              <w:t>质押或冻结</w:t>
            </w:r>
          </w:p>
          <w:p>
            <w:pPr>
              <w:pStyle w:val="TableParagraph"/>
              <w:spacing w:line="234" w:lineRule="exact"/>
              <w:ind w:left="285" w:right="0"/>
              <w:jc w:val="left"/>
              <w:rPr>
                <w:rFonts w:ascii="宋体" w:hAnsi="宋体" w:cs="宋体" w:eastAsia="宋体" w:hint="default"/>
                <w:sz w:val="18"/>
                <w:szCs w:val="18"/>
              </w:rPr>
            </w:pPr>
            <w:r>
              <w:rPr>
                <w:rFonts w:ascii="宋体" w:hAnsi="宋体" w:cs="宋体" w:eastAsia="宋体" w:hint="default"/>
                <w:sz w:val="18"/>
                <w:szCs w:val="18"/>
              </w:rPr>
              <w:t>的股份数量</w:t>
            </w:r>
          </w:p>
        </w:tc>
      </w:tr>
      <w:tr>
        <w:trPr>
          <w:trHeight w:val="476"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北京用友科技有限公司</w:t>
            </w:r>
          </w:p>
        </w:tc>
        <w:tc>
          <w:tcPr>
            <w:tcW w:w="10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43" w:right="0" w:hanging="90"/>
              <w:jc w:val="left"/>
              <w:rPr>
                <w:rFonts w:ascii="宋体" w:hAnsi="宋体" w:cs="宋体" w:eastAsia="宋体" w:hint="default"/>
                <w:sz w:val="18"/>
                <w:szCs w:val="18"/>
              </w:rPr>
            </w:pPr>
            <w:r>
              <w:rPr>
                <w:rFonts w:ascii="宋体" w:hAnsi="宋体" w:cs="宋体" w:eastAsia="宋体" w:hint="default"/>
                <w:sz w:val="18"/>
                <w:szCs w:val="18"/>
              </w:rPr>
              <w:t>境内非国</w:t>
            </w:r>
          </w:p>
          <w:p>
            <w:pPr>
              <w:pStyle w:val="TableParagraph"/>
              <w:spacing w:line="234" w:lineRule="exact"/>
              <w:ind w:left="243" w:right="0"/>
              <w:jc w:val="left"/>
              <w:rPr>
                <w:rFonts w:ascii="宋体" w:hAnsi="宋体" w:cs="宋体" w:eastAsia="宋体" w:hint="default"/>
                <w:sz w:val="18"/>
                <w:szCs w:val="18"/>
              </w:rPr>
            </w:pPr>
            <w:r>
              <w:rPr>
                <w:rFonts w:ascii="宋体" w:hAnsi="宋体" w:cs="宋体" w:eastAsia="宋体" w:hint="default"/>
                <w:sz w:val="18"/>
                <w:szCs w:val="18"/>
              </w:rPr>
              <w:t>有法人</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29.07</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182,520,000</w:t>
            </w:r>
          </w:p>
        </w:tc>
        <w:tc>
          <w:tcPr>
            <w:tcW w:w="12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02" w:right="0"/>
              <w:jc w:val="left"/>
              <w:rPr>
                <w:rFonts w:ascii="宋体" w:hAnsi="宋体" w:cs="宋体" w:eastAsia="宋体" w:hint="default"/>
                <w:sz w:val="18"/>
                <w:szCs w:val="18"/>
              </w:rPr>
            </w:pPr>
            <w:r>
              <w:rPr>
                <w:rFonts w:ascii="宋体"/>
                <w:sz w:val="18"/>
              </w:rPr>
              <w:t>42,120,000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91" w:right="0"/>
              <w:jc w:val="left"/>
              <w:rPr>
                <w:rFonts w:ascii="宋体" w:hAnsi="宋体" w:cs="宋体" w:eastAsia="宋体" w:hint="default"/>
                <w:sz w:val="18"/>
                <w:szCs w:val="18"/>
              </w:rPr>
            </w:pPr>
            <w:r>
              <w:rPr>
                <w:rFonts w:ascii="宋体"/>
                <w:sz w:val="18"/>
              </w:rPr>
              <w:t>124,113,600</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质押</w:t>
            </w:r>
          </w:p>
          <w:p>
            <w:pPr>
              <w:pStyle w:val="TableParagraph"/>
              <w:spacing w:line="234" w:lineRule="exact"/>
              <w:ind w:right="0"/>
              <w:jc w:val="center"/>
              <w:rPr>
                <w:rFonts w:ascii="宋体" w:hAnsi="宋体" w:cs="宋体" w:eastAsia="宋体" w:hint="default"/>
                <w:sz w:val="18"/>
                <w:szCs w:val="18"/>
              </w:rPr>
            </w:pPr>
            <w:r>
              <w:rPr>
                <w:rFonts w:ascii="宋体"/>
                <w:sz w:val="18"/>
              </w:rPr>
              <w:t>60,000,000</w:t>
            </w:r>
          </w:p>
        </w:tc>
      </w:tr>
      <w:tr>
        <w:trPr>
          <w:trHeight w:val="478"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上海用友科技咨询有限公司</w:t>
            </w:r>
          </w:p>
        </w:tc>
        <w:tc>
          <w:tcPr>
            <w:tcW w:w="10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43" w:right="0" w:hanging="90"/>
              <w:jc w:val="left"/>
              <w:rPr>
                <w:rFonts w:ascii="宋体" w:hAnsi="宋体" w:cs="宋体" w:eastAsia="宋体" w:hint="default"/>
                <w:sz w:val="18"/>
                <w:szCs w:val="18"/>
              </w:rPr>
            </w:pPr>
            <w:r>
              <w:rPr>
                <w:rFonts w:ascii="宋体" w:hAnsi="宋体" w:cs="宋体" w:eastAsia="宋体" w:hint="default"/>
                <w:sz w:val="18"/>
                <w:szCs w:val="18"/>
              </w:rPr>
              <w:t>境内非国</w:t>
            </w:r>
          </w:p>
          <w:p>
            <w:pPr>
              <w:pStyle w:val="TableParagraph"/>
              <w:spacing w:line="235" w:lineRule="exact"/>
              <w:ind w:left="243" w:right="0"/>
              <w:jc w:val="left"/>
              <w:rPr>
                <w:rFonts w:ascii="宋体" w:hAnsi="宋体" w:cs="宋体" w:eastAsia="宋体" w:hint="default"/>
                <w:sz w:val="18"/>
                <w:szCs w:val="18"/>
              </w:rPr>
            </w:pPr>
            <w:r>
              <w:rPr>
                <w:rFonts w:ascii="宋体" w:hAnsi="宋体" w:cs="宋体" w:eastAsia="宋体" w:hint="default"/>
                <w:sz w:val="18"/>
                <w:szCs w:val="18"/>
              </w:rPr>
              <w:t>有法人</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13.45%</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84,419,721</w:t>
            </w:r>
          </w:p>
        </w:tc>
        <w:tc>
          <w:tcPr>
            <w:tcW w:w="12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02" w:right="0"/>
              <w:jc w:val="left"/>
              <w:rPr>
                <w:rFonts w:ascii="宋体" w:hAnsi="宋体" w:cs="宋体" w:eastAsia="宋体" w:hint="default"/>
                <w:sz w:val="18"/>
                <w:szCs w:val="18"/>
              </w:rPr>
            </w:pPr>
            <w:r>
              <w:rPr>
                <w:rFonts w:ascii="宋体"/>
                <w:sz w:val="18"/>
              </w:rPr>
              <w:t>16,889,849</w:t>
            </w:r>
          </w:p>
        </w:tc>
        <w:tc>
          <w:tcPr>
            <w:tcW w:w="1296"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76"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北京用友企业管理研究所有限</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0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43" w:right="0" w:hanging="90"/>
              <w:jc w:val="left"/>
              <w:rPr>
                <w:rFonts w:ascii="宋体" w:hAnsi="宋体" w:cs="宋体" w:eastAsia="宋体" w:hint="default"/>
                <w:sz w:val="18"/>
                <w:szCs w:val="18"/>
              </w:rPr>
            </w:pPr>
            <w:r>
              <w:rPr>
                <w:rFonts w:ascii="宋体" w:hAnsi="宋体" w:cs="宋体" w:eastAsia="宋体" w:hint="default"/>
                <w:sz w:val="18"/>
                <w:szCs w:val="18"/>
              </w:rPr>
              <w:t>境内非国</w:t>
            </w:r>
          </w:p>
          <w:p>
            <w:pPr>
              <w:pStyle w:val="TableParagraph"/>
              <w:spacing w:line="234" w:lineRule="exact"/>
              <w:ind w:left="243" w:right="0"/>
              <w:jc w:val="left"/>
              <w:rPr>
                <w:rFonts w:ascii="宋体" w:hAnsi="宋体" w:cs="宋体" w:eastAsia="宋体" w:hint="default"/>
                <w:sz w:val="18"/>
                <w:szCs w:val="18"/>
              </w:rPr>
            </w:pPr>
            <w:r>
              <w:rPr>
                <w:rFonts w:ascii="宋体" w:hAnsi="宋体" w:cs="宋体" w:eastAsia="宋体" w:hint="default"/>
                <w:sz w:val="18"/>
                <w:szCs w:val="18"/>
              </w:rPr>
              <w:t>有法人</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5.09</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31,941,341</w:t>
            </w:r>
          </w:p>
        </w:tc>
        <w:tc>
          <w:tcPr>
            <w:tcW w:w="12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92" w:right="0"/>
              <w:jc w:val="left"/>
              <w:rPr>
                <w:rFonts w:ascii="宋体" w:hAnsi="宋体" w:cs="宋体" w:eastAsia="宋体" w:hint="default"/>
                <w:sz w:val="18"/>
                <w:szCs w:val="18"/>
              </w:rPr>
            </w:pPr>
            <w:r>
              <w:rPr>
                <w:rFonts w:ascii="宋体"/>
                <w:sz w:val="18"/>
              </w:rPr>
              <w:t>7,371,079</w:t>
            </w:r>
          </w:p>
        </w:tc>
        <w:tc>
          <w:tcPr>
            <w:tcW w:w="1296"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78"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上海益倍管理咨询有限公司</w:t>
            </w:r>
          </w:p>
        </w:tc>
        <w:tc>
          <w:tcPr>
            <w:tcW w:w="10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43" w:right="0" w:hanging="90"/>
              <w:jc w:val="left"/>
              <w:rPr>
                <w:rFonts w:ascii="宋体" w:hAnsi="宋体" w:cs="宋体" w:eastAsia="宋体" w:hint="default"/>
                <w:sz w:val="18"/>
                <w:szCs w:val="18"/>
              </w:rPr>
            </w:pPr>
            <w:r>
              <w:rPr>
                <w:rFonts w:ascii="宋体" w:hAnsi="宋体" w:cs="宋体" w:eastAsia="宋体" w:hint="default"/>
                <w:sz w:val="18"/>
                <w:szCs w:val="18"/>
              </w:rPr>
              <w:t>境内非国</w:t>
            </w:r>
          </w:p>
          <w:p>
            <w:pPr>
              <w:pStyle w:val="TableParagraph"/>
              <w:spacing w:line="235" w:lineRule="exact"/>
              <w:ind w:left="243" w:right="0"/>
              <w:jc w:val="left"/>
              <w:rPr>
                <w:rFonts w:ascii="宋体" w:hAnsi="宋体" w:cs="宋体" w:eastAsia="宋体" w:hint="default"/>
                <w:sz w:val="18"/>
                <w:szCs w:val="18"/>
              </w:rPr>
            </w:pPr>
            <w:r>
              <w:rPr>
                <w:rFonts w:ascii="宋体" w:hAnsi="宋体" w:cs="宋体" w:eastAsia="宋体" w:hint="default"/>
                <w:sz w:val="18"/>
                <w:szCs w:val="18"/>
              </w:rPr>
              <w:t>有法人</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5.81</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36,504,000</w:t>
            </w:r>
          </w:p>
        </w:tc>
        <w:tc>
          <w:tcPr>
            <w:tcW w:w="12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92" w:right="0"/>
              <w:jc w:val="left"/>
              <w:rPr>
                <w:rFonts w:ascii="宋体" w:hAnsi="宋体" w:cs="宋体" w:eastAsia="宋体" w:hint="default"/>
                <w:sz w:val="18"/>
                <w:szCs w:val="18"/>
              </w:rPr>
            </w:pPr>
            <w:r>
              <w:rPr>
                <w:rFonts w:ascii="宋体"/>
                <w:sz w:val="18"/>
              </w:rPr>
              <w:t>8,424,000</w:t>
            </w:r>
          </w:p>
        </w:tc>
        <w:tc>
          <w:tcPr>
            <w:tcW w:w="1296"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76"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中国工商银行－博时第三产业</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成长股票证券投资基金</w:t>
            </w:r>
          </w:p>
        </w:tc>
        <w:tc>
          <w:tcPr>
            <w:tcW w:w="10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3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3.98</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24,999,927</w:t>
            </w:r>
          </w:p>
        </w:tc>
        <w:tc>
          <w:tcPr>
            <w:tcW w:w="12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92" w:right="0"/>
              <w:jc w:val="left"/>
              <w:rPr>
                <w:rFonts w:ascii="宋体" w:hAnsi="宋体" w:cs="宋体" w:eastAsia="宋体" w:hint="default"/>
                <w:sz w:val="18"/>
                <w:szCs w:val="18"/>
              </w:rPr>
            </w:pPr>
            <w:r>
              <w:rPr>
                <w:rFonts w:ascii="宋体"/>
                <w:sz w:val="18"/>
              </w:rPr>
              <w:t>4,556,790</w:t>
            </w:r>
          </w:p>
        </w:tc>
        <w:tc>
          <w:tcPr>
            <w:tcW w:w="1296"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76"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中国建设银行－华安宏利股票</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型证券投资基金</w:t>
            </w:r>
          </w:p>
        </w:tc>
        <w:tc>
          <w:tcPr>
            <w:tcW w:w="10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3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3.26</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20,475,321</w:t>
            </w:r>
          </w:p>
        </w:tc>
        <w:tc>
          <w:tcPr>
            <w:tcW w:w="12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02" w:right="0"/>
              <w:jc w:val="left"/>
              <w:rPr>
                <w:rFonts w:ascii="宋体" w:hAnsi="宋体" w:cs="宋体" w:eastAsia="宋体" w:hint="default"/>
                <w:sz w:val="18"/>
                <w:szCs w:val="18"/>
              </w:rPr>
            </w:pPr>
            <w:r>
              <w:rPr>
                <w:rFonts w:ascii="宋体"/>
                <w:sz w:val="18"/>
              </w:rPr>
              <w:t>13,945,321</w:t>
            </w:r>
          </w:p>
        </w:tc>
        <w:tc>
          <w:tcPr>
            <w:tcW w:w="1296"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44"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上海优富信息咨询有限公司</w:t>
            </w:r>
          </w:p>
        </w:tc>
        <w:tc>
          <w:tcPr>
            <w:tcW w:w="10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3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2.91</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18,252,000</w:t>
            </w:r>
          </w:p>
        </w:tc>
        <w:tc>
          <w:tcPr>
            <w:tcW w:w="12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92" w:right="0"/>
              <w:jc w:val="left"/>
              <w:rPr>
                <w:rFonts w:ascii="宋体" w:hAnsi="宋体" w:cs="宋体" w:eastAsia="宋体" w:hint="default"/>
                <w:sz w:val="18"/>
                <w:szCs w:val="18"/>
              </w:rPr>
            </w:pPr>
            <w:r>
              <w:rPr>
                <w:rFonts w:ascii="宋体"/>
                <w:sz w:val="18"/>
              </w:rPr>
              <w:t>4,212,000</w:t>
            </w:r>
          </w:p>
        </w:tc>
        <w:tc>
          <w:tcPr>
            <w:tcW w:w="1296"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78"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中</w:t>
            </w:r>
            <w:r>
              <w:rPr>
                <w:rFonts w:ascii="宋体" w:hAnsi="宋体" w:cs="宋体" w:eastAsia="宋体" w:hint="default"/>
                <w:spacing w:val="-38"/>
                <w:sz w:val="18"/>
                <w:szCs w:val="18"/>
              </w:rPr>
              <w:t> </w:t>
            </w:r>
            <w:r>
              <w:rPr>
                <w:rFonts w:ascii="宋体" w:hAnsi="宋体" w:cs="宋体" w:eastAsia="宋体" w:hint="default"/>
                <w:sz w:val="18"/>
                <w:szCs w:val="18"/>
              </w:rPr>
              <w:t>信</w:t>
            </w:r>
            <w:r>
              <w:rPr>
                <w:rFonts w:ascii="宋体" w:hAnsi="宋体" w:cs="宋体" w:eastAsia="宋体" w:hint="default"/>
                <w:spacing w:val="-38"/>
                <w:sz w:val="18"/>
                <w:szCs w:val="18"/>
              </w:rPr>
              <w:t> </w:t>
            </w:r>
            <w:r>
              <w:rPr>
                <w:rFonts w:ascii="宋体" w:hAnsi="宋体" w:cs="宋体" w:eastAsia="宋体" w:hint="default"/>
                <w:sz w:val="18"/>
                <w:szCs w:val="18"/>
              </w:rPr>
              <w:t>证</w:t>
            </w:r>
            <w:r>
              <w:rPr>
                <w:rFonts w:ascii="宋体" w:hAnsi="宋体" w:cs="宋体" w:eastAsia="宋体" w:hint="default"/>
                <w:spacing w:val="-36"/>
                <w:sz w:val="18"/>
                <w:szCs w:val="18"/>
              </w:rPr>
              <w:t> </w:t>
            </w:r>
            <w:r>
              <w:rPr>
                <w:rFonts w:ascii="宋体" w:hAnsi="宋体" w:cs="宋体" w:eastAsia="宋体" w:hint="default"/>
                <w:sz w:val="18"/>
                <w:szCs w:val="18"/>
              </w:rPr>
              <w:t>券</w:t>
            </w:r>
            <w:r>
              <w:rPr>
                <w:rFonts w:ascii="宋体" w:hAnsi="宋体" w:cs="宋体" w:eastAsia="宋体" w:hint="default"/>
                <w:spacing w:val="-38"/>
                <w:sz w:val="18"/>
                <w:szCs w:val="18"/>
              </w:rPr>
              <w:t> </w:t>
            </w:r>
            <w:r>
              <w:rPr>
                <w:rFonts w:ascii="宋体" w:hAnsi="宋体" w:cs="宋体" w:eastAsia="宋体" w:hint="default"/>
                <w:sz w:val="18"/>
                <w:szCs w:val="18"/>
              </w:rPr>
              <w:t>－</w:t>
            </w:r>
            <w:r>
              <w:rPr>
                <w:rFonts w:ascii="宋体" w:hAnsi="宋体" w:cs="宋体" w:eastAsia="宋体" w:hint="default"/>
                <w:spacing w:val="-36"/>
                <w:sz w:val="18"/>
                <w:szCs w:val="18"/>
              </w:rPr>
              <w:t> </w:t>
            </w:r>
            <w:r>
              <w:rPr>
                <w:rFonts w:ascii="宋体" w:hAnsi="宋体" w:cs="宋体" w:eastAsia="宋体" w:hint="default"/>
                <w:sz w:val="18"/>
                <w:szCs w:val="18"/>
              </w:rPr>
              <w:t>工</w:t>
            </w:r>
            <w:r>
              <w:rPr>
                <w:rFonts w:ascii="宋体" w:hAnsi="宋体" w:cs="宋体" w:eastAsia="宋体" w:hint="default"/>
                <w:spacing w:val="-38"/>
                <w:sz w:val="18"/>
                <w:szCs w:val="18"/>
              </w:rPr>
              <w:t> </w:t>
            </w:r>
            <w:r>
              <w:rPr>
                <w:rFonts w:ascii="宋体" w:hAnsi="宋体" w:cs="宋体" w:eastAsia="宋体" w:hint="default"/>
                <w:sz w:val="18"/>
                <w:szCs w:val="18"/>
              </w:rPr>
              <w:t>行</w:t>
            </w:r>
            <w:r>
              <w:rPr>
                <w:rFonts w:ascii="宋体" w:hAnsi="宋体" w:cs="宋体" w:eastAsia="宋体" w:hint="default"/>
                <w:spacing w:val="-38"/>
                <w:sz w:val="18"/>
                <w:szCs w:val="18"/>
              </w:rPr>
              <w:t> </w:t>
            </w:r>
            <w:r>
              <w:rPr>
                <w:rFonts w:ascii="宋体" w:hAnsi="宋体" w:cs="宋体" w:eastAsia="宋体" w:hint="default"/>
                <w:sz w:val="18"/>
                <w:szCs w:val="18"/>
              </w:rPr>
              <w:t>－</w:t>
            </w:r>
            <w:r>
              <w:rPr>
                <w:rFonts w:ascii="宋体" w:hAnsi="宋体" w:cs="宋体" w:eastAsia="宋体" w:hint="default"/>
                <w:spacing w:val="-38"/>
                <w:sz w:val="18"/>
                <w:szCs w:val="18"/>
              </w:rPr>
              <w:t> </w:t>
            </w:r>
            <w:r>
              <w:rPr>
                <w:rFonts w:ascii="宋体" w:hAnsi="宋体" w:cs="宋体" w:eastAsia="宋体" w:hint="default"/>
                <w:sz w:val="18"/>
                <w:szCs w:val="18"/>
              </w:rPr>
              <w:t>CREDIT</w:t>
            </w:r>
          </w:p>
          <w:p>
            <w:pPr>
              <w:pStyle w:val="TableParagraph"/>
              <w:spacing w:line="235" w:lineRule="exact"/>
              <w:ind w:left="103" w:right="0"/>
              <w:jc w:val="left"/>
              <w:rPr>
                <w:rFonts w:ascii="宋体" w:hAnsi="宋体" w:cs="宋体" w:eastAsia="宋体" w:hint="default"/>
                <w:sz w:val="18"/>
                <w:szCs w:val="18"/>
              </w:rPr>
            </w:pPr>
            <w:r>
              <w:rPr>
                <w:rFonts w:ascii="宋体"/>
                <w:sz w:val="18"/>
              </w:rPr>
              <w:t>SUISSE (HONG KONG) LIMITED</w:t>
            </w:r>
          </w:p>
        </w:tc>
        <w:tc>
          <w:tcPr>
            <w:tcW w:w="10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3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2.70</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16,921,566</w:t>
            </w:r>
          </w:p>
        </w:tc>
        <w:tc>
          <w:tcPr>
            <w:tcW w:w="12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02" w:right="0"/>
              <w:jc w:val="left"/>
              <w:rPr>
                <w:rFonts w:ascii="宋体" w:hAnsi="宋体" w:cs="宋体" w:eastAsia="宋体" w:hint="default"/>
                <w:sz w:val="18"/>
                <w:szCs w:val="18"/>
              </w:rPr>
            </w:pPr>
            <w:r>
              <w:rPr>
                <w:rFonts w:ascii="宋体"/>
                <w:sz w:val="18"/>
              </w:rPr>
              <w:t>16,921,566</w:t>
            </w:r>
          </w:p>
        </w:tc>
        <w:tc>
          <w:tcPr>
            <w:tcW w:w="1296"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76"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交通银行－博时新兴成长股票</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型证券投资基金</w:t>
            </w:r>
          </w:p>
        </w:tc>
        <w:tc>
          <w:tcPr>
            <w:tcW w:w="10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3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1.28</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8,057,459</w:t>
            </w:r>
          </w:p>
        </w:tc>
        <w:tc>
          <w:tcPr>
            <w:tcW w:w="12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92" w:right="0"/>
              <w:jc w:val="left"/>
              <w:rPr>
                <w:rFonts w:ascii="宋体" w:hAnsi="宋体" w:cs="宋体" w:eastAsia="宋体" w:hint="default"/>
                <w:sz w:val="18"/>
                <w:szCs w:val="18"/>
              </w:rPr>
            </w:pPr>
            <w:r>
              <w:rPr>
                <w:rFonts w:ascii="宋体"/>
                <w:sz w:val="18"/>
              </w:rPr>
              <w:t>4,888,607</w:t>
            </w:r>
          </w:p>
        </w:tc>
        <w:tc>
          <w:tcPr>
            <w:tcW w:w="1296"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76"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tabs>
                <w:tab w:pos="935" w:val="left" w:leader="none"/>
                <w:tab w:pos="1858" w:val="left" w:leader="none"/>
                <w:tab w:pos="2241" w:val="left" w:leader="none"/>
              </w:tabs>
              <w:spacing w:line="205" w:lineRule="exact"/>
              <w:ind w:left="103" w:right="0"/>
              <w:jc w:val="left"/>
              <w:rPr>
                <w:rFonts w:ascii="宋体" w:hAnsi="宋体" w:cs="宋体" w:eastAsia="宋体" w:hint="default"/>
                <w:sz w:val="18"/>
                <w:szCs w:val="18"/>
              </w:rPr>
            </w:pPr>
            <w:r>
              <w:rPr>
                <w:rFonts w:ascii="宋体"/>
                <w:sz w:val="18"/>
              </w:rPr>
              <w:t>MORGAN</w:t>
              <w:tab/>
              <w:t>STANLEY</w:t>
              <w:tab/>
              <w:t>&amp;</w:t>
              <w:tab/>
              <w:t>CO.</w:t>
            </w:r>
          </w:p>
          <w:p>
            <w:pPr>
              <w:pStyle w:val="TableParagraph"/>
              <w:spacing w:line="235" w:lineRule="exact"/>
              <w:ind w:left="103" w:right="0"/>
              <w:jc w:val="left"/>
              <w:rPr>
                <w:rFonts w:ascii="宋体" w:hAnsi="宋体" w:cs="宋体" w:eastAsia="宋体" w:hint="default"/>
                <w:sz w:val="18"/>
                <w:szCs w:val="18"/>
              </w:rPr>
            </w:pPr>
            <w:r>
              <w:rPr>
                <w:rFonts w:ascii="宋体"/>
                <w:sz w:val="18"/>
              </w:rPr>
              <w:t>INTERNATIONAL PLC.</w:t>
            </w:r>
          </w:p>
        </w:tc>
        <w:tc>
          <w:tcPr>
            <w:tcW w:w="10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3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1.09</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6,838,983</w:t>
            </w:r>
          </w:p>
        </w:tc>
        <w:tc>
          <w:tcPr>
            <w:tcW w:w="12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92" w:right="0"/>
              <w:jc w:val="left"/>
              <w:rPr>
                <w:rFonts w:ascii="宋体" w:hAnsi="宋体" w:cs="宋体" w:eastAsia="宋体" w:hint="default"/>
                <w:sz w:val="18"/>
                <w:szCs w:val="18"/>
              </w:rPr>
            </w:pPr>
            <w:r>
              <w:rPr>
                <w:rFonts w:ascii="宋体"/>
                <w:sz w:val="18"/>
              </w:rPr>
              <w:t>6,838,983</w:t>
            </w:r>
          </w:p>
        </w:tc>
        <w:tc>
          <w:tcPr>
            <w:tcW w:w="1296"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44"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交通银行－安顺证券投资基金</w:t>
            </w:r>
          </w:p>
        </w:tc>
        <w:tc>
          <w:tcPr>
            <w:tcW w:w="10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3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1.02</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6,399,900</w:t>
            </w:r>
          </w:p>
        </w:tc>
        <w:tc>
          <w:tcPr>
            <w:tcW w:w="12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92" w:right="0"/>
              <w:jc w:val="left"/>
              <w:rPr>
                <w:rFonts w:ascii="宋体" w:hAnsi="宋体" w:cs="宋体" w:eastAsia="宋体" w:hint="default"/>
                <w:sz w:val="18"/>
                <w:szCs w:val="18"/>
              </w:rPr>
            </w:pPr>
            <w:r>
              <w:rPr>
                <w:rFonts w:ascii="宋体"/>
                <w:sz w:val="18"/>
              </w:rPr>
              <w:t>4,399,900</w:t>
            </w:r>
          </w:p>
        </w:tc>
        <w:tc>
          <w:tcPr>
            <w:tcW w:w="1296"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44"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tabs>
                <w:tab w:pos="643" w:val="left" w:leader="none"/>
              </w:tabs>
              <w:spacing w:line="205" w:lineRule="exact"/>
              <w:ind w:left="103" w:right="0"/>
              <w:jc w:val="left"/>
              <w:rPr>
                <w:rFonts w:ascii="宋体" w:hAnsi="宋体" w:cs="宋体" w:eastAsia="宋体" w:hint="default"/>
                <w:sz w:val="18"/>
                <w:szCs w:val="18"/>
              </w:rPr>
            </w:pPr>
            <w:r>
              <w:rPr>
                <w:rFonts w:ascii="宋体"/>
                <w:sz w:val="18"/>
              </w:rPr>
              <w:t>UBS</w:t>
              <w:tab/>
              <w:t>AG</w:t>
            </w:r>
          </w:p>
        </w:tc>
        <w:tc>
          <w:tcPr>
            <w:tcW w:w="10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3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0.97</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6,111,035</w:t>
            </w:r>
          </w:p>
        </w:tc>
        <w:tc>
          <w:tcPr>
            <w:tcW w:w="12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92" w:right="0"/>
              <w:jc w:val="left"/>
              <w:rPr>
                <w:rFonts w:ascii="宋体" w:hAnsi="宋体" w:cs="宋体" w:eastAsia="宋体" w:hint="default"/>
                <w:sz w:val="18"/>
                <w:szCs w:val="18"/>
              </w:rPr>
            </w:pPr>
            <w:r>
              <w:rPr>
                <w:rFonts w:ascii="宋体"/>
                <w:sz w:val="18"/>
              </w:rPr>
              <w:t>6,111,035</w:t>
            </w:r>
          </w:p>
        </w:tc>
        <w:tc>
          <w:tcPr>
            <w:tcW w:w="1296"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44"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铂金投资管理有限公司</w:t>
            </w:r>
          </w:p>
        </w:tc>
        <w:tc>
          <w:tcPr>
            <w:tcW w:w="10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3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0.86</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5,399,636</w:t>
            </w:r>
          </w:p>
        </w:tc>
        <w:tc>
          <w:tcPr>
            <w:tcW w:w="12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92" w:right="0"/>
              <w:jc w:val="left"/>
              <w:rPr>
                <w:rFonts w:ascii="宋体" w:hAnsi="宋体" w:cs="宋体" w:eastAsia="宋体" w:hint="default"/>
                <w:sz w:val="18"/>
                <w:szCs w:val="18"/>
              </w:rPr>
            </w:pPr>
            <w:r>
              <w:rPr>
                <w:rFonts w:ascii="宋体"/>
                <w:sz w:val="18"/>
              </w:rPr>
              <w:t>2,730,032</w:t>
            </w:r>
          </w:p>
        </w:tc>
        <w:tc>
          <w:tcPr>
            <w:tcW w:w="1296"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710" w:hRule="exact"/>
        </w:trPr>
        <w:tc>
          <w:tcPr>
            <w:tcW w:w="26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中国民生银行股份有限公司－</w:t>
            </w:r>
          </w:p>
          <w:p>
            <w:pPr>
              <w:pStyle w:val="TableParagraph"/>
              <w:spacing w:line="232" w:lineRule="exact" w:before="24"/>
              <w:ind w:left="103" w:right="101"/>
              <w:jc w:val="left"/>
              <w:rPr>
                <w:rFonts w:ascii="宋体" w:hAnsi="宋体" w:cs="宋体" w:eastAsia="宋体" w:hint="default"/>
                <w:sz w:val="18"/>
                <w:szCs w:val="18"/>
              </w:rPr>
            </w:pPr>
            <w:r>
              <w:rPr>
                <w:rFonts w:ascii="宋体" w:hAnsi="宋体" w:cs="宋体" w:eastAsia="宋体" w:hint="default"/>
                <w:spacing w:val="4"/>
                <w:sz w:val="18"/>
                <w:szCs w:val="18"/>
              </w:rPr>
              <w:t>东方精选混合型开放式证券投</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资基金</w:t>
            </w:r>
          </w:p>
        </w:tc>
        <w:tc>
          <w:tcPr>
            <w:tcW w:w="10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33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0.64</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4,039,445</w:t>
            </w:r>
          </w:p>
        </w:tc>
        <w:tc>
          <w:tcPr>
            <w:tcW w:w="12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92" w:right="0"/>
              <w:jc w:val="left"/>
              <w:rPr>
                <w:rFonts w:ascii="宋体" w:hAnsi="宋体" w:cs="宋体" w:eastAsia="宋体" w:hint="default"/>
                <w:sz w:val="18"/>
                <w:szCs w:val="18"/>
              </w:rPr>
            </w:pPr>
            <w:r>
              <w:rPr>
                <w:rFonts w:ascii="宋体"/>
                <w:sz w:val="18"/>
              </w:rPr>
              <w:t>3,839,478</w:t>
            </w:r>
          </w:p>
        </w:tc>
        <w:tc>
          <w:tcPr>
            <w:tcW w:w="1296"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85" w:hRule="exact"/>
        </w:trPr>
        <w:tc>
          <w:tcPr>
            <w:tcW w:w="2623" w:type="dxa"/>
            <w:tcBorders>
              <w:top w:val="single" w:sz="4" w:space="0" w:color="000000"/>
              <w:left w:val="single" w:sz="4" w:space="0" w:color="000000"/>
              <w:bottom w:val="single" w:sz="6" w:space="0" w:color="10101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高华－汇丰－GOLDMAN,</w:t>
            </w:r>
            <w:r>
              <w:rPr>
                <w:rFonts w:ascii="宋体" w:hAnsi="宋体" w:cs="宋体" w:eastAsia="宋体" w:hint="default"/>
                <w:spacing w:val="20"/>
                <w:sz w:val="18"/>
                <w:szCs w:val="18"/>
              </w:rPr>
              <w:t> </w:t>
            </w:r>
            <w:r>
              <w:rPr>
                <w:rFonts w:ascii="宋体" w:hAnsi="宋体" w:cs="宋体" w:eastAsia="宋体" w:hint="default"/>
                <w:sz w:val="18"/>
                <w:szCs w:val="18"/>
              </w:rPr>
              <w:t>SACHS</w:t>
            </w:r>
          </w:p>
          <w:p>
            <w:pPr>
              <w:pStyle w:val="TableParagraph"/>
              <w:spacing w:line="234" w:lineRule="exact"/>
              <w:ind w:left="103" w:right="0"/>
              <w:jc w:val="left"/>
              <w:rPr>
                <w:rFonts w:ascii="宋体" w:hAnsi="宋体" w:cs="宋体" w:eastAsia="宋体" w:hint="default"/>
                <w:sz w:val="18"/>
                <w:szCs w:val="18"/>
              </w:rPr>
            </w:pPr>
            <w:r>
              <w:rPr>
                <w:rFonts w:ascii="宋体"/>
                <w:sz w:val="18"/>
              </w:rPr>
              <w:t>&amp; CO.</w:t>
            </w:r>
          </w:p>
        </w:tc>
        <w:tc>
          <w:tcPr>
            <w:tcW w:w="1038" w:type="dxa"/>
            <w:gridSpan w:val="2"/>
            <w:tcBorders>
              <w:top w:val="single" w:sz="4" w:space="0" w:color="000000"/>
              <w:left w:val="single" w:sz="4" w:space="0" w:color="000000"/>
              <w:bottom w:val="single" w:sz="6" w:space="0" w:color="101010"/>
              <w:right w:val="single" w:sz="4" w:space="0" w:color="000000"/>
            </w:tcBorders>
          </w:tcPr>
          <w:p>
            <w:pPr>
              <w:pStyle w:val="TableParagraph"/>
              <w:spacing w:line="240" w:lineRule="auto" w:before="86"/>
              <w:ind w:left="33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1" w:type="dxa"/>
            <w:tcBorders>
              <w:top w:val="single" w:sz="4" w:space="0" w:color="000000"/>
              <w:left w:val="single" w:sz="4" w:space="0" w:color="000000"/>
              <w:bottom w:val="single" w:sz="6" w:space="0" w:color="10101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0.63</w:t>
            </w:r>
          </w:p>
        </w:tc>
        <w:tc>
          <w:tcPr>
            <w:tcW w:w="1316" w:type="dxa"/>
            <w:tcBorders>
              <w:top w:val="single" w:sz="4" w:space="0" w:color="000000"/>
              <w:left w:val="single" w:sz="4" w:space="0" w:color="000000"/>
              <w:bottom w:val="single" w:sz="6" w:space="0" w:color="10101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3,944,796</w:t>
            </w:r>
          </w:p>
        </w:tc>
        <w:tc>
          <w:tcPr>
            <w:tcW w:w="1216" w:type="dxa"/>
            <w:gridSpan w:val="2"/>
            <w:tcBorders>
              <w:top w:val="single" w:sz="4" w:space="0" w:color="000000"/>
              <w:left w:val="single" w:sz="4" w:space="0" w:color="000000"/>
              <w:bottom w:val="single" w:sz="6" w:space="0" w:color="101010"/>
              <w:right w:val="single" w:sz="4" w:space="0" w:color="000000"/>
            </w:tcBorders>
          </w:tcPr>
          <w:p>
            <w:pPr>
              <w:pStyle w:val="TableParagraph"/>
              <w:spacing w:line="240" w:lineRule="auto" w:before="86"/>
              <w:ind w:left="292" w:right="0"/>
              <w:jc w:val="left"/>
              <w:rPr>
                <w:rFonts w:ascii="宋体" w:hAnsi="宋体" w:cs="宋体" w:eastAsia="宋体" w:hint="default"/>
                <w:sz w:val="18"/>
                <w:szCs w:val="18"/>
              </w:rPr>
            </w:pPr>
            <w:r>
              <w:rPr>
                <w:rFonts w:ascii="宋体"/>
                <w:sz w:val="18"/>
              </w:rPr>
              <w:t>3,944,796</w:t>
            </w:r>
          </w:p>
        </w:tc>
        <w:tc>
          <w:tcPr>
            <w:tcW w:w="1296" w:type="dxa"/>
            <w:tcBorders>
              <w:top w:val="single" w:sz="4" w:space="0" w:color="000000"/>
              <w:left w:val="single" w:sz="4" w:space="0" w:color="000000"/>
              <w:bottom w:val="single" w:sz="6" w:space="0" w:color="101010"/>
              <w:right w:val="single" w:sz="4" w:space="0" w:color="000000"/>
            </w:tcBorders>
          </w:tcPr>
          <w:p>
            <w:pPr/>
          </w:p>
        </w:tc>
        <w:tc>
          <w:tcPr>
            <w:tcW w:w="1298" w:type="dxa"/>
            <w:tcBorders>
              <w:top w:val="single" w:sz="4" w:space="0" w:color="000000"/>
              <w:left w:val="single" w:sz="4" w:space="0" w:color="000000"/>
              <w:bottom w:val="single" w:sz="6" w:space="0" w:color="10101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53" w:hRule="exact"/>
        </w:trPr>
        <w:tc>
          <w:tcPr>
            <w:tcW w:w="9608" w:type="dxa"/>
            <w:gridSpan w:val="9"/>
            <w:tcBorders>
              <w:top w:val="single" w:sz="6" w:space="0" w:color="101010"/>
              <w:left w:val="single" w:sz="6" w:space="0" w:color="101010"/>
              <w:bottom w:val="single" w:sz="6" w:space="0" w:color="101010"/>
              <w:right w:val="single" w:sz="6" w:space="0" w:color="101010"/>
            </w:tcBorders>
          </w:tcPr>
          <w:p>
            <w:pPr>
              <w:pStyle w:val="TableParagraph"/>
              <w:spacing w:line="211" w:lineRule="exact"/>
              <w:ind w:left="100" w:right="0"/>
              <w:jc w:val="left"/>
              <w:rPr>
                <w:rFonts w:ascii="宋体" w:hAnsi="宋体" w:cs="宋体" w:eastAsia="宋体" w:hint="default"/>
                <w:sz w:val="18"/>
                <w:szCs w:val="18"/>
              </w:rPr>
            </w:pPr>
            <w:r>
              <w:rPr>
                <w:rFonts w:ascii="宋体" w:hAnsi="宋体" w:cs="宋体" w:eastAsia="宋体" w:hint="default"/>
                <w:sz w:val="18"/>
                <w:szCs w:val="18"/>
              </w:rPr>
              <w:t>前十五名无限售条件股东持股情况</w:t>
            </w:r>
          </w:p>
        </w:tc>
      </w:tr>
      <w:tr>
        <w:trPr>
          <w:trHeight w:val="248" w:hRule="exact"/>
        </w:trPr>
        <w:tc>
          <w:tcPr>
            <w:tcW w:w="3049"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2905" w:type="dxa"/>
            <w:gridSpan w:val="4"/>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742" w:right="0"/>
              <w:jc w:val="left"/>
              <w:rPr>
                <w:rFonts w:ascii="宋体" w:hAnsi="宋体" w:cs="宋体" w:eastAsia="宋体" w:hint="default"/>
                <w:sz w:val="18"/>
                <w:szCs w:val="18"/>
              </w:rPr>
            </w:pPr>
            <w:r>
              <w:rPr>
                <w:rFonts w:ascii="宋体" w:hAnsi="宋体" w:cs="宋体" w:eastAsia="宋体" w:hint="default"/>
                <w:sz w:val="18"/>
                <w:szCs w:val="18"/>
              </w:rPr>
              <w:t>持有无限售条件股份数量</w:t>
            </w:r>
          </w:p>
        </w:tc>
        <w:tc>
          <w:tcPr>
            <w:tcW w:w="3655"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43"/>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248" w:hRule="exact"/>
        </w:trPr>
        <w:tc>
          <w:tcPr>
            <w:tcW w:w="3049"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上海用友科技咨询有限公司</w:t>
            </w:r>
          </w:p>
        </w:tc>
        <w:tc>
          <w:tcPr>
            <w:tcW w:w="2905" w:type="dxa"/>
            <w:gridSpan w:val="4"/>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889" w:right="0"/>
              <w:jc w:val="left"/>
              <w:rPr>
                <w:rFonts w:ascii="宋体" w:hAnsi="宋体" w:cs="宋体" w:eastAsia="宋体" w:hint="default"/>
                <w:sz w:val="18"/>
                <w:szCs w:val="18"/>
              </w:rPr>
            </w:pPr>
            <w:r>
              <w:rPr>
                <w:rFonts w:ascii="宋体"/>
                <w:sz w:val="18"/>
              </w:rPr>
              <w:t>84,419,721</w:t>
            </w:r>
          </w:p>
        </w:tc>
        <w:tc>
          <w:tcPr>
            <w:tcW w:w="3655"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3049"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北京用友科技有限公司</w:t>
            </w:r>
          </w:p>
        </w:tc>
        <w:tc>
          <w:tcPr>
            <w:tcW w:w="2905" w:type="dxa"/>
            <w:gridSpan w:val="4"/>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889" w:right="0"/>
              <w:jc w:val="left"/>
              <w:rPr>
                <w:rFonts w:ascii="宋体" w:hAnsi="宋体" w:cs="宋体" w:eastAsia="宋体" w:hint="default"/>
                <w:sz w:val="18"/>
                <w:szCs w:val="18"/>
              </w:rPr>
            </w:pPr>
            <w:r>
              <w:rPr>
                <w:rFonts w:ascii="宋体"/>
                <w:sz w:val="18"/>
              </w:rPr>
              <w:t>58,406,400</w:t>
            </w:r>
          </w:p>
        </w:tc>
        <w:tc>
          <w:tcPr>
            <w:tcW w:w="3655"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3049"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北京用友企业管理研究所有限公司</w:t>
            </w:r>
          </w:p>
        </w:tc>
        <w:tc>
          <w:tcPr>
            <w:tcW w:w="2905" w:type="dxa"/>
            <w:gridSpan w:val="4"/>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889" w:right="0"/>
              <w:jc w:val="left"/>
              <w:rPr>
                <w:rFonts w:ascii="宋体" w:hAnsi="宋体" w:cs="宋体" w:eastAsia="宋体" w:hint="default"/>
                <w:sz w:val="18"/>
                <w:szCs w:val="18"/>
              </w:rPr>
            </w:pPr>
            <w:r>
              <w:rPr>
                <w:rFonts w:ascii="宋体"/>
                <w:sz w:val="18"/>
              </w:rPr>
              <w:t>31,941,341</w:t>
            </w:r>
          </w:p>
        </w:tc>
        <w:tc>
          <w:tcPr>
            <w:tcW w:w="3655"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bl>
    <w:p>
      <w:pPr>
        <w:spacing w:after="0" w:line="207" w:lineRule="exact"/>
        <w:jc w:val="center"/>
        <w:rPr>
          <w:rFonts w:ascii="宋体" w:hAnsi="宋体" w:cs="宋体" w:eastAsia="宋体" w:hint="default"/>
          <w:sz w:val="18"/>
          <w:szCs w:val="18"/>
        </w:rPr>
        <w:sectPr>
          <w:type w:val="continuous"/>
          <w:pgSz w:w="11910" w:h="16840"/>
          <w:pgMar w:top="900" w:bottom="280" w:left="1220" w:right="820"/>
        </w:sectPr>
      </w:pPr>
    </w:p>
    <w:p>
      <w:pPr>
        <w:spacing w:line="240" w:lineRule="auto" w:before="11"/>
        <w:rPr>
          <w:rFonts w:ascii="宋体" w:hAnsi="宋体" w:cs="宋体" w:eastAsia="宋体" w:hint="default"/>
          <w:sz w:val="26"/>
          <w:szCs w:val="26"/>
        </w:rPr>
      </w:pPr>
    </w:p>
    <w:tbl>
      <w:tblPr>
        <w:tblW w:w="0" w:type="auto"/>
        <w:jc w:val="left"/>
        <w:tblInd w:w="125" w:type="dxa"/>
        <w:tblLayout w:type="fixed"/>
        <w:tblCellMar>
          <w:top w:w="0" w:type="dxa"/>
          <w:left w:w="0" w:type="dxa"/>
          <w:bottom w:w="0" w:type="dxa"/>
          <w:right w:w="0" w:type="dxa"/>
        </w:tblCellMar>
        <w:tblLook w:val="01E0"/>
      </w:tblPr>
      <w:tblGrid>
        <w:gridCol w:w="3007"/>
        <w:gridCol w:w="2946"/>
        <w:gridCol w:w="3655"/>
      </w:tblGrid>
      <w:tr>
        <w:trPr>
          <w:trHeight w:val="248" w:hRule="exact"/>
        </w:trPr>
        <w:tc>
          <w:tcPr>
            <w:tcW w:w="300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上海益倍管理咨询有限公司</w:t>
            </w:r>
          </w:p>
        </w:tc>
        <w:tc>
          <w:tcPr>
            <w:tcW w:w="294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36,504,000</w:t>
            </w:r>
          </w:p>
        </w:tc>
        <w:tc>
          <w:tcPr>
            <w:tcW w:w="3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82" w:hRule="exact"/>
        </w:trPr>
        <w:tc>
          <w:tcPr>
            <w:tcW w:w="3007"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6"/>
                <w:sz w:val="18"/>
                <w:szCs w:val="18"/>
              </w:rPr>
              <w:t>中国工商银行－博时第三产业成长</w:t>
            </w:r>
            <w:r>
              <w:rPr>
                <w:rFonts w:ascii="宋体" w:hAnsi="宋体" w:cs="宋体" w:eastAsia="宋体" w:hint="default"/>
                <w:sz w:val="18"/>
                <w:szCs w:val="18"/>
              </w:rPr>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股票证券投资基金</w:t>
            </w:r>
          </w:p>
        </w:tc>
        <w:tc>
          <w:tcPr>
            <w:tcW w:w="294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24,999,927</w:t>
            </w:r>
          </w:p>
        </w:tc>
        <w:tc>
          <w:tcPr>
            <w:tcW w:w="365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81" w:hRule="exact"/>
        </w:trPr>
        <w:tc>
          <w:tcPr>
            <w:tcW w:w="3007"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6"/>
                <w:sz w:val="18"/>
                <w:szCs w:val="18"/>
              </w:rPr>
              <w:t>中国建设银行－华安宏利股票型证</w:t>
            </w:r>
            <w:r>
              <w:rPr>
                <w:rFonts w:ascii="宋体" w:hAnsi="宋体" w:cs="宋体" w:eastAsia="宋体" w:hint="default"/>
                <w:sz w:val="18"/>
                <w:szCs w:val="18"/>
              </w:rPr>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券投资基金</w:t>
            </w:r>
          </w:p>
        </w:tc>
        <w:tc>
          <w:tcPr>
            <w:tcW w:w="294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20,475,321</w:t>
            </w:r>
          </w:p>
        </w:tc>
        <w:tc>
          <w:tcPr>
            <w:tcW w:w="365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300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上海优富信息咨询有限公司</w:t>
            </w:r>
          </w:p>
        </w:tc>
        <w:tc>
          <w:tcPr>
            <w:tcW w:w="294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18,252,000</w:t>
            </w:r>
          </w:p>
        </w:tc>
        <w:tc>
          <w:tcPr>
            <w:tcW w:w="3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82" w:hRule="exact"/>
        </w:trPr>
        <w:tc>
          <w:tcPr>
            <w:tcW w:w="3007"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7"/>
                <w:sz w:val="18"/>
                <w:szCs w:val="18"/>
              </w:rPr>
              <w:t>中信证券－工行－</w:t>
            </w:r>
            <w:r>
              <w:rPr>
                <w:rFonts w:ascii="宋体" w:hAnsi="宋体" w:cs="宋体" w:eastAsia="宋体" w:hint="default"/>
                <w:spacing w:val="-70"/>
                <w:sz w:val="18"/>
                <w:szCs w:val="18"/>
              </w:rPr>
              <w:t> </w:t>
            </w:r>
            <w:r>
              <w:rPr>
                <w:rFonts w:ascii="宋体" w:hAnsi="宋体" w:cs="宋体" w:eastAsia="宋体" w:hint="default"/>
                <w:sz w:val="18"/>
                <w:szCs w:val="18"/>
              </w:rPr>
              <w:t>CREDIT</w:t>
            </w:r>
            <w:r>
              <w:rPr>
                <w:rFonts w:ascii="宋体" w:hAnsi="宋体" w:cs="宋体" w:eastAsia="宋体" w:hint="default"/>
                <w:spacing w:val="20"/>
                <w:sz w:val="18"/>
                <w:szCs w:val="18"/>
              </w:rPr>
              <w:t> </w:t>
            </w:r>
            <w:r>
              <w:rPr>
                <w:rFonts w:ascii="宋体" w:hAnsi="宋体" w:cs="宋体" w:eastAsia="宋体" w:hint="default"/>
                <w:sz w:val="18"/>
                <w:szCs w:val="18"/>
              </w:rPr>
              <w:t>SUISSE</w:t>
            </w:r>
          </w:p>
          <w:p>
            <w:pPr>
              <w:pStyle w:val="TableParagraph"/>
              <w:spacing w:line="235" w:lineRule="exact"/>
              <w:ind w:left="100" w:right="0"/>
              <w:jc w:val="left"/>
              <w:rPr>
                <w:rFonts w:ascii="宋体" w:hAnsi="宋体" w:cs="宋体" w:eastAsia="宋体" w:hint="default"/>
                <w:sz w:val="18"/>
                <w:szCs w:val="18"/>
              </w:rPr>
            </w:pPr>
            <w:r>
              <w:rPr>
                <w:rFonts w:ascii="宋体"/>
                <w:sz w:val="18"/>
              </w:rPr>
              <w:t>(HONG KONG) LIMITED</w:t>
            </w:r>
          </w:p>
        </w:tc>
        <w:tc>
          <w:tcPr>
            <w:tcW w:w="294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16,921,566</w:t>
            </w:r>
          </w:p>
        </w:tc>
        <w:tc>
          <w:tcPr>
            <w:tcW w:w="365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81" w:hRule="exact"/>
        </w:trPr>
        <w:tc>
          <w:tcPr>
            <w:tcW w:w="3007"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6"/>
                <w:sz w:val="18"/>
                <w:szCs w:val="18"/>
              </w:rPr>
              <w:t>交通银行－博时新兴成长股票型证</w:t>
            </w:r>
            <w:r>
              <w:rPr>
                <w:rFonts w:ascii="宋体" w:hAnsi="宋体" w:cs="宋体" w:eastAsia="宋体" w:hint="default"/>
                <w:sz w:val="18"/>
                <w:szCs w:val="18"/>
              </w:rPr>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券投资基金</w:t>
            </w:r>
          </w:p>
        </w:tc>
        <w:tc>
          <w:tcPr>
            <w:tcW w:w="294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8,057,459</w:t>
            </w:r>
          </w:p>
        </w:tc>
        <w:tc>
          <w:tcPr>
            <w:tcW w:w="365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82" w:hRule="exact"/>
        </w:trPr>
        <w:tc>
          <w:tcPr>
            <w:tcW w:w="3007" w:type="dxa"/>
            <w:tcBorders>
              <w:top w:val="single" w:sz="6" w:space="0" w:color="101010"/>
              <w:left w:val="single" w:sz="6" w:space="0" w:color="101010"/>
              <w:bottom w:val="single" w:sz="6" w:space="0" w:color="101010"/>
              <w:right w:val="single" w:sz="6" w:space="0" w:color="101010"/>
            </w:tcBorders>
          </w:tcPr>
          <w:p>
            <w:pPr>
              <w:pStyle w:val="TableParagraph"/>
              <w:tabs>
                <w:tab w:pos="1060" w:val="left" w:leader="none"/>
                <w:tab w:pos="2110" w:val="left" w:leader="none"/>
                <w:tab w:pos="2620" w:val="left" w:leader="none"/>
              </w:tabs>
              <w:spacing w:line="206" w:lineRule="exact"/>
              <w:ind w:left="100" w:right="0"/>
              <w:jc w:val="left"/>
              <w:rPr>
                <w:rFonts w:ascii="宋体" w:hAnsi="宋体" w:cs="宋体" w:eastAsia="宋体" w:hint="default"/>
                <w:sz w:val="18"/>
                <w:szCs w:val="18"/>
              </w:rPr>
            </w:pPr>
            <w:r>
              <w:rPr>
                <w:rFonts w:ascii="宋体"/>
                <w:sz w:val="18"/>
              </w:rPr>
              <w:t>MORGAN</w:t>
              <w:tab/>
              <w:t>STANLEY</w:t>
              <w:tab/>
              <w:t>&amp;</w:t>
              <w:tab/>
              <w:t>CO.</w:t>
            </w:r>
          </w:p>
          <w:p>
            <w:pPr>
              <w:pStyle w:val="TableParagraph"/>
              <w:spacing w:line="235" w:lineRule="exact"/>
              <w:ind w:left="100" w:right="0"/>
              <w:jc w:val="left"/>
              <w:rPr>
                <w:rFonts w:ascii="宋体" w:hAnsi="宋体" w:cs="宋体" w:eastAsia="宋体" w:hint="default"/>
                <w:sz w:val="18"/>
                <w:szCs w:val="18"/>
              </w:rPr>
            </w:pPr>
            <w:r>
              <w:rPr>
                <w:rFonts w:ascii="宋体"/>
                <w:sz w:val="18"/>
              </w:rPr>
              <w:t>INTERNATIONAL PLC.</w:t>
            </w:r>
          </w:p>
        </w:tc>
        <w:tc>
          <w:tcPr>
            <w:tcW w:w="294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6,838,983</w:t>
            </w:r>
          </w:p>
        </w:tc>
        <w:tc>
          <w:tcPr>
            <w:tcW w:w="365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300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交通银行－安顺证券投资基金</w:t>
            </w:r>
          </w:p>
        </w:tc>
        <w:tc>
          <w:tcPr>
            <w:tcW w:w="294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6,399,900</w:t>
            </w:r>
          </w:p>
        </w:tc>
        <w:tc>
          <w:tcPr>
            <w:tcW w:w="3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3007" w:type="dxa"/>
            <w:tcBorders>
              <w:top w:val="single" w:sz="6" w:space="0" w:color="101010"/>
              <w:left w:val="single" w:sz="6" w:space="0" w:color="101010"/>
              <w:bottom w:val="single" w:sz="6" w:space="0" w:color="101010"/>
              <w:right w:val="single" w:sz="6" w:space="0" w:color="101010"/>
            </w:tcBorders>
          </w:tcPr>
          <w:p>
            <w:pPr>
              <w:pStyle w:val="TableParagraph"/>
              <w:tabs>
                <w:tab w:pos="640" w:val="left" w:leader="none"/>
              </w:tabs>
              <w:spacing w:line="207" w:lineRule="exact"/>
              <w:ind w:left="100" w:right="0"/>
              <w:jc w:val="left"/>
              <w:rPr>
                <w:rFonts w:ascii="宋体" w:hAnsi="宋体" w:cs="宋体" w:eastAsia="宋体" w:hint="default"/>
                <w:sz w:val="18"/>
                <w:szCs w:val="18"/>
              </w:rPr>
            </w:pPr>
            <w:r>
              <w:rPr>
                <w:rFonts w:ascii="宋体"/>
                <w:sz w:val="18"/>
              </w:rPr>
              <w:t>UBS</w:t>
              <w:tab/>
              <w:t>AG</w:t>
            </w:r>
          </w:p>
        </w:tc>
        <w:tc>
          <w:tcPr>
            <w:tcW w:w="294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6,111,035</w:t>
            </w:r>
          </w:p>
        </w:tc>
        <w:tc>
          <w:tcPr>
            <w:tcW w:w="3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300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铂金投资管理有限公司</w:t>
            </w:r>
          </w:p>
        </w:tc>
        <w:tc>
          <w:tcPr>
            <w:tcW w:w="294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5,399,636</w:t>
            </w:r>
          </w:p>
        </w:tc>
        <w:tc>
          <w:tcPr>
            <w:tcW w:w="3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82" w:hRule="exact"/>
        </w:trPr>
        <w:tc>
          <w:tcPr>
            <w:tcW w:w="3007"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6"/>
                <w:sz w:val="18"/>
                <w:szCs w:val="18"/>
              </w:rPr>
              <w:t>中国民生银行股份有限公司－东方</w:t>
            </w:r>
            <w:r>
              <w:rPr>
                <w:rFonts w:ascii="宋体" w:hAnsi="宋体" w:cs="宋体" w:eastAsia="宋体" w:hint="default"/>
                <w:sz w:val="18"/>
                <w:szCs w:val="18"/>
              </w:rPr>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精选混合型开放式证券投资基金</w:t>
            </w:r>
          </w:p>
        </w:tc>
        <w:tc>
          <w:tcPr>
            <w:tcW w:w="294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4,039,445</w:t>
            </w:r>
          </w:p>
        </w:tc>
        <w:tc>
          <w:tcPr>
            <w:tcW w:w="365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300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高华－汇丰－GOLDMAN,</w:t>
            </w:r>
            <w:r>
              <w:rPr>
                <w:rFonts w:ascii="宋体" w:hAnsi="宋体" w:cs="宋体" w:eastAsia="宋体" w:hint="default"/>
                <w:spacing w:val="-31"/>
                <w:sz w:val="18"/>
                <w:szCs w:val="18"/>
              </w:rPr>
              <w:t> </w:t>
            </w:r>
            <w:r>
              <w:rPr>
                <w:rFonts w:ascii="宋体" w:hAnsi="宋体" w:cs="宋体" w:eastAsia="宋体" w:hint="default"/>
                <w:sz w:val="18"/>
                <w:szCs w:val="18"/>
              </w:rPr>
              <w:t>SACHS</w:t>
            </w:r>
            <w:r>
              <w:rPr>
                <w:rFonts w:ascii="宋体" w:hAnsi="宋体" w:cs="宋体" w:eastAsia="宋体" w:hint="default"/>
                <w:spacing w:val="-29"/>
                <w:sz w:val="18"/>
                <w:szCs w:val="18"/>
              </w:rPr>
              <w:t> </w:t>
            </w:r>
            <w:r>
              <w:rPr>
                <w:rFonts w:ascii="宋体" w:hAnsi="宋体" w:cs="宋体" w:eastAsia="宋体" w:hint="default"/>
                <w:sz w:val="18"/>
                <w:szCs w:val="18"/>
              </w:rPr>
              <w:t>&amp;</w:t>
            </w:r>
            <w:r>
              <w:rPr>
                <w:rFonts w:ascii="宋体" w:hAnsi="宋体" w:cs="宋体" w:eastAsia="宋体" w:hint="default"/>
                <w:spacing w:val="-31"/>
                <w:sz w:val="18"/>
                <w:szCs w:val="18"/>
              </w:rPr>
              <w:t> </w:t>
            </w:r>
            <w:r>
              <w:rPr>
                <w:rFonts w:ascii="宋体" w:hAnsi="宋体" w:cs="宋体" w:eastAsia="宋体" w:hint="default"/>
                <w:sz w:val="18"/>
                <w:szCs w:val="18"/>
              </w:rPr>
              <w:t>CO.</w:t>
            </w:r>
          </w:p>
        </w:tc>
        <w:tc>
          <w:tcPr>
            <w:tcW w:w="294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3,944,796</w:t>
            </w:r>
          </w:p>
        </w:tc>
        <w:tc>
          <w:tcPr>
            <w:tcW w:w="3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1883" w:hRule="exact"/>
        </w:trPr>
        <w:tc>
          <w:tcPr>
            <w:tcW w:w="3007"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6"/>
                <w:sz w:val="18"/>
                <w:szCs w:val="18"/>
              </w:rPr>
              <w:t>上述股东关联关系或一致行动关系</w:t>
            </w:r>
            <w:r>
              <w:rPr>
                <w:rFonts w:ascii="宋体" w:hAnsi="宋体" w:cs="宋体" w:eastAsia="宋体" w:hint="default"/>
                <w:sz w:val="18"/>
                <w:szCs w:val="18"/>
              </w:rPr>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的说明</w:t>
            </w:r>
          </w:p>
        </w:tc>
        <w:tc>
          <w:tcPr>
            <w:tcW w:w="6601" w:type="dxa"/>
            <w:gridSpan w:val="2"/>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pacing w:val="-5"/>
                <w:sz w:val="18"/>
                <w:szCs w:val="18"/>
              </w:rPr>
              <w:t>北京用友科技有限公司(简称“用友科技”)、上海用友科技咨询有限公司(简称“用</w:t>
            </w:r>
          </w:p>
          <w:p>
            <w:pPr>
              <w:pStyle w:val="TableParagraph"/>
              <w:spacing w:line="237" w:lineRule="auto"/>
              <w:ind w:left="100" w:right="97"/>
              <w:jc w:val="both"/>
              <w:rPr>
                <w:rFonts w:ascii="宋体" w:hAnsi="宋体" w:cs="宋体" w:eastAsia="宋体" w:hint="default"/>
                <w:sz w:val="18"/>
                <w:szCs w:val="18"/>
              </w:rPr>
            </w:pPr>
            <w:r>
              <w:rPr>
                <w:rFonts w:ascii="宋体" w:hAnsi="宋体" w:cs="宋体" w:eastAsia="宋体" w:hint="default"/>
                <w:sz w:val="18"/>
                <w:szCs w:val="18"/>
              </w:rPr>
              <w:t>友咨询”)和北京用友企业管理研究所有限公司(简称“用友研究所”)因受相同控 股股东控制而存在关联关系，上海益倍管理咨询有限公司(简称“上海益倍”)与</w:t>
            </w:r>
            <w:r>
              <w:rPr>
                <w:rFonts w:ascii="宋体" w:hAnsi="宋体" w:cs="宋体" w:eastAsia="宋体" w:hint="default"/>
                <w:spacing w:val="-19"/>
                <w:sz w:val="18"/>
                <w:szCs w:val="18"/>
              </w:rPr>
              <w:t> </w:t>
            </w:r>
            <w:r>
              <w:rPr>
                <w:rFonts w:ascii="宋体" w:hAnsi="宋体" w:cs="宋体" w:eastAsia="宋体" w:hint="default"/>
                <w:spacing w:val="-19"/>
                <w:sz w:val="18"/>
                <w:szCs w:val="18"/>
              </w:rPr>
            </w:r>
            <w:r>
              <w:rPr>
                <w:rFonts w:ascii="宋体" w:hAnsi="宋体" w:cs="宋体" w:eastAsia="宋体" w:hint="default"/>
                <w:sz w:val="18"/>
                <w:szCs w:val="18"/>
              </w:rPr>
              <w:t>上海优富信息咨询有限公司(简称“上海优富”)因其执行董事同时担任用友咨询</w:t>
            </w:r>
            <w:r>
              <w:rPr>
                <w:rFonts w:ascii="宋体" w:hAnsi="宋体" w:cs="宋体" w:eastAsia="宋体" w:hint="default"/>
                <w:spacing w:val="-19"/>
                <w:sz w:val="18"/>
                <w:szCs w:val="18"/>
              </w:rPr>
              <w:t> </w:t>
            </w:r>
            <w:r>
              <w:rPr>
                <w:rFonts w:ascii="宋体" w:hAnsi="宋体" w:cs="宋体" w:eastAsia="宋体" w:hint="default"/>
                <w:sz w:val="18"/>
                <w:szCs w:val="18"/>
              </w:rPr>
              <w:t>与用友研究所的董事而分别与用友咨询和用友研究所形成关联关系。上海益倍与</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上海优富因受不同控股股东控制而不存在关联关系，与用友科技因受不同控股股</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东控制也不存在关联关系。上述五家股东与其他股东之间不存在关联关系。本公</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司不了解其他股东之间是否存在关联关系或是否是一致行动人。</w:t>
            </w:r>
          </w:p>
        </w:tc>
      </w:tr>
    </w:tbl>
    <w:p>
      <w:pPr>
        <w:spacing w:line="240" w:lineRule="auto" w:before="11"/>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pgSz w:w="11910" w:h="16840"/>
          <w:pgMar w:header="720" w:footer="727" w:top="1080" w:bottom="920" w:left="1220" w:right="820"/>
        </w:sectPr>
      </w:pPr>
    </w:p>
    <w:p>
      <w:pPr>
        <w:spacing w:before="26"/>
        <w:ind w:left="140" w:right="-20" w:firstLine="0"/>
        <w:jc w:val="left"/>
        <w:rPr>
          <w:rFonts w:ascii="宋体" w:hAnsi="宋体" w:cs="宋体" w:eastAsia="宋体" w:hint="default"/>
          <w:sz w:val="24"/>
          <w:szCs w:val="24"/>
        </w:rPr>
      </w:pPr>
      <w:r>
        <w:rPr>
          <w:rFonts w:ascii="宋体" w:hAnsi="宋体" w:cs="宋体" w:eastAsia="宋体" w:hint="default"/>
          <w:sz w:val="24"/>
          <w:szCs w:val="24"/>
        </w:rPr>
        <w:t>前十名有限售条件股东持股数量及限售条件</w:t>
      </w:r>
    </w:p>
    <w:p>
      <w:pPr>
        <w:spacing w:line="240" w:lineRule="auto" w:before="0"/>
        <w:rPr>
          <w:rFonts w:ascii="宋体" w:hAnsi="宋体" w:cs="宋体" w:eastAsia="宋体" w:hint="default"/>
          <w:sz w:val="26"/>
          <w:szCs w:val="26"/>
        </w:rPr>
      </w:pPr>
      <w:r>
        <w:rPr/>
        <w:br w:type="column"/>
      </w:r>
      <w:r>
        <w:rPr>
          <w:rFonts w:ascii="宋体"/>
          <w:sz w:val="26"/>
        </w:rPr>
      </w: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900" w:bottom="280" w:left="1220" w:right="820"/>
          <w:cols w:num="2" w:equalWidth="0">
            <w:col w:w="4701" w:space="3805"/>
            <w:col w:w="1364"/>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3"/>
          <w:szCs w:val="13"/>
        </w:rPr>
      </w:pPr>
    </w:p>
    <w:p>
      <w:pPr>
        <w:spacing w:before="0"/>
        <w:ind w:left="0" w:right="132" w:firstLine="0"/>
        <w:jc w:val="right"/>
        <w:rPr>
          <w:rFonts w:ascii="宋体" w:hAnsi="宋体" w:cs="宋体" w:eastAsia="宋体" w:hint="default"/>
          <w:sz w:val="18"/>
          <w:szCs w:val="18"/>
        </w:rPr>
      </w:pPr>
      <w:r>
        <w:rPr/>
        <w:pict>
          <v:shape style="position:absolute;margin-left:67.019997pt;margin-top:-98.924873pt;width:478.5pt;height:159.3pt;mso-position-horizontal-relative:page;mso-position-vertical-relative:paragraph;z-index:1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7"/>
                    <w:gridCol w:w="1418"/>
                    <w:gridCol w:w="1260"/>
                    <w:gridCol w:w="1584"/>
                    <w:gridCol w:w="1296"/>
                    <w:gridCol w:w="3600"/>
                  </w:tblGrid>
                  <w:tr>
                    <w:trPr>
                      <w:trHeight w:val="355" w:hRule="exact"/>
                    </w:trPr>
                    <w:tc>
                      <w:tcPr>
                        <w:tcW w:w="397" w:type="dxa"/>
                        <w:vMerge w:val="restart"/>
                        <w:tcBorders>
                          <w:top w:val="single" w:sz="4" w:space="0" w:color="000000"/>
                          <w:left w:val="single" w:sz="4" w:space="0" w:color="000000"/>
                          <w:right w:val="single" w:sz="4" w:space="0" w:color="000000"/>
                        </w:tcBorders>
                      </w:tcPr>
                      <w:p>
                        <w:pPr>
                          <w:pStyle w:val="TableParagraph"/>
                          <w:spacing w:line="240" w:lineRule="auto" w:before="142"/>
                          <w:ind w:left="104" w:right="101"/>
                          <w:jc w:val="left"/>
                          <w:rPr>
                            <w:rFonts w:ascii="宋体" w:hAnsi="宋体" w:cs="宋体" w:eastAsia="宋体" w:hint="default"/>
                            <w:sz w:val="18"/>
                            <w:szCs w:val="18"/>
                          </w:rPr>
                        </w:pPr>
                        <w:r>
                          <w:rPr>
                            <w:rFonts w:ascii="宋体" w:hAnsi="宋体" w:cs="宋体" w:eastAsia="宋体" w:hint="default"/>
                            <w:sz w:val="18"/>
                            <w:szCs w:val="18"/>
                          </w:rPr>
                          <w:t>序 号</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142"/>
                          <w:ind w:left="434" w:right="162" w:hanging="270"/>
                          <w:jc w:val="left"/>
                          <w:rPr>
                            <w:rFonts w:ascii="宋体" w:hAnsi="宋体" w:cs="宋体" w:eastAsia="宋体" w:hint="default"/>
                            <w:sz w:val="18"/>
                            <w:szCs w:val="18"/>
                          </w:rPr>
                        </w:pPr>
                        <w:r>
                          <w:rPr>
                            <w:rFonts w:ascii="宋体" w:hAnsi="宋体" w:cs="宋体" w:eastAsia="宋体" w:hint="default"/>
                            <w:sz w:val="18"/>
                            <w:szCs w:val="18"/>
                          </w:rPr>
                          <w:t>有限售条件股 东名称</w:t>
                        </w:r>
                      </w:p>
                    </w:tc>
                    <w:tc>
                      <w:tcPr>
                        <w:tcW w:w="1260" w:type="dxa"/>
                        <w:vMerge w:val="restart"/>
                        <w:tcBorders>
                          <w:top w:val="single" w:sz="4" w:space="0" w:color="000000"/>
                          <w:left w:val="single" w:sz="4" w:space="0" w:color="000000"/>
                          <w:right w:val="single" w:sz="4" w:space="0" w:color="000000"/>
                        </w:tcBorders>
                      </w:tcPr>
                      <w:p>
                        <w:pPr>
                          <w:pStyle w:val="TableParagraph"/>
                          <w:spacing w:line="240" w:lineRule="auto" w:before="142"/>
                          <w:ind w:left="85" w:right="83"/>
                          <w:jc w:val="left"/>
                          <w:rPr>
                            <w:rFonts w:ascii="宋体" w:hAnsi="宋体" w:cs="宋体" w:eastAsia="宋体" w:hint="default"/>
                            <w:sz w:val="18"/>
                            <w:szCs w:val="18"/>
                          </w:rPr>
                        </w:pPr>
                        <w:r>
                          <w:rPr>
                            <w:rFonts w:ascii="宋体" w:hAnsi="宋体" w:cs="宋体" w:eastAsia="宋体" w:hint="default"/>
                            <w:sz w:val="18"/>
                            <w:szCs w:val="18"/>
                          </w:rPr>
                          <w:t>持有的有限售 条件股份数量</w:t>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75" w:right="0"/>
                          <w:jc w:val="left"/>
                          <w:rPr>
                            <w:rFonts w:ascii="宋体" w:hAnsi="宋体" w:cs="宋体" w:eastAsia="宋体" w:hint="default"/>
                            <w:sz w:val="18"/>
                            <w:szCs w:val="18"/>
                          </w:rPr>
                        </w:pPr>
                        <w:r>
                          <w:rPr>
                            <w:rFonts w:ascii="宋体" w:hAnsi="宋体" w:cs="宋体" w:eastAsia="宋体" w:hint="default"/>
                            <w:sz w:val="18"/>
                            <w:szCs w:val="18"/>
                          </w:rPr>
                          <w:t>有限售条件股份可上市交易情况</w:t>
                        </w:r>
                      </w:p>
                    </w:tc>
                    <w:tc>
                      <w:tcPr>
                        <w:tcW w:w="360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限售条件</w:t>
                        </w:r>
                      </w:p>
                    </w:tc>
                  </w:tr>
                  <w:tr>
                    <w:trPr>
                      <w:trHeight w:val="476" w:hRule="exact"/>
                    </w:trPr>
                    <w:tc>
                      <w:tcPr>
                        <w:tcW w:w="397"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c>
                      <w:tcPr>
                        <w:tcW w:w="1260" w:type="dxa"/>
                        <w:vMerge/>
                        <w:tcBorders>
                          <w:left w:val="single" w:sz="4" w:space="0" w:color="000000"/>
                          <w:bottom w:val="single" w:sz="4" w:space="0" w:color="000000"/>
                          <w:right w:val="single" w:sz="4" w:space="0" w:color="000000"/>
                        </w:tcBorders>
                      </w:tcPr>
                      <w:p>
                        <w:pP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30"/>
                          <w:jc w:val="right"/>
                          <w:rPr>
                            <w:rFonts w:ascii="宋体" w:hAnsi="宋体" w:cs="宋体" w:eastAsia="宋体" w:hint="default"/>
                            <w:sz w:val="18"/>
                            <w:szCs w:val="18"/>
                          </w:rPr>
                        </w:pPr>
                        <w:r>
                          <w:rPr>
                            <w:rFonts w:ascii="宋体" w:hAnsi="宋体" w:cs="宋体" w:eastAsia="宋体" w:hint="default"/>
                            <w:sz w:val="18"/>
                            <w:szCs w:val="18"/>
                          </w:rPr>
                          <w:t>可上市交易时间</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40" w:right="0" w:hanging="90"/>
                          <w:jc w:val="left"/>
                          <w:rPr>
                            <w:rFonts w:ascii="宋体" w:hAnsi="宋体" w:cs="宋体" w:eastAsia="宋体" w:hint="default"/>
                            <w:sz w:val="18"/>
                            <w:szCs w:val="18"/>
                          </w:rPr>
                        </w:pPr>
                        <w:r>
                          <w:rPr>
                            <w:rFonts w:ascii="宋体" w:hAnsi="宋体" w:cs="宋体" w:eastAsia="宋体" w:hint="default"/>
                            <w:sz w:val="18"/>
                            <w:szCs w:val="18"/>
                          </w:rPr>
                          <w:t>新增可上市交</w:t>
                        </w:r>
                      </w:p>
                      <w:p>
                        <w:pPr>
                          <w:pStyle w:val="TableParagraph"/>
                          <w:spacing w:line="234" w:lineRule="exact"/>
                          <w:ind w:left="240" w:right="0"/>
                          <w:jc w:val="left"/>
                          <w:rPr>
                            <w:rFonts w:ascii="宋体" w:hAnsi="宋体" w:cs="宋体" w:eastAsia="宋体" w:hint="default"/>
                            <w:sz w:val="18"/>
                            <w:szCs w:val="18"/>
                          </w:rPr>
                        </w:pPr>
                        <w:r>
                          <w:rPr>
                            <w:rFonts w:ascii="宋体" w:hAnsi="宋体" w:cs="宋体" w:eastAsia="宋体" w:hint="default"/>
                            <w:sz w:val="18"/>
                            <w:szCs w:val="18"/>
                          </w:rPr>
                          <w:t>易股份数量</w:t>
                        </w:r>
                      </w:p>
                    </w:tc>
                    <w:tc>
                      <w:tcPr>
                        <w:tcW w:w="3600" w:type="dxa"/>
                        <w:vMerge/>
                        <w:tcBorders>
                          <w:left w:val="single" w:sz="4" w:space="0" w:color="000000"/>
                          <w:bottom w:val="single" w:sz="4" w:space="0" w:color="000000"/>
                          <w:right w:val="single" w:sz="4" w:space="0" w:color="000000"/>
                        </w:tcBorders>
                      </w:tcPr>
                      <w:p>
                        <w:pPr/>
                      </w:p>
                    </w:tc>
                  </w:tr>
                  <w:tr>
                    <w:trPr>
                      <w:trHeight w:val="237" w:hRule="exact"/>
                    </w:trPr>
                    <w:tc>
                      <w:tcPr>
                        <w:tcW w:w="397" w:type="dxa"/>
                        <w:tcBorders>
                          <w:top w:val="single" w:sz="4" w:space="0" w:color="000000"/>
                          <w:left w:val="single" w:sz="4" w:space="0" w:color="000000"/>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584" w:type="dxa"/>
                        <w:tcBorders>
                          <w:top w:val="single" w:sz="4" w:space="0" w:color="000000"/>
                          <w:left w:val="single" w:sz="4" w:space="0" w:color="000000"/>
                          <w:bottom w:val="nil" w:sz="6" w:space="0" w:color="auto"/>
                          <w:right w:val="single" w:sz="4" w:space="0" w:color="000000"/>
                        </w:tcBorders>
                      </w:tcPr>
                      <w:p>
                        <w:pPr/>
                      </w:p>
                    </w:tc>
                    <w:tc>
                      <w:tcPr>
                        <w:tcW w:w="1296" w:type="dxa"/>
                        <w:tcBorders>
                          <w:top w:val="single" w:sz="4" w:space="0" w:color="000000"/>
                          <w:left w:val="single" w:sz="4" w:space="0" w:color="000000"/>
                          <w:bottom w:val="nil" w:sz="6" w:space="0" w:color="auto"/>
                          <w:right w:val="single" w:sz="4" w:space="0" w:color="000000"/>
                        </w:tcBorders>
                      </w:tcPr>
                      <w:p>
                        <w:pPr/>
                      </w:p>
                    </w:tc>
                    <w:tc>
                      <w:tcPr>
                        <w:tcW w:w="360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56"/>
                          <w:jc w:val="right"/>
                          <w:rPr>
                            <w:rFonts w:ascii="宋体" w:hAnsi="宋体" w:cs="宋体" w:eastAsia="宋体" w:hint="default"/>
                            <w:sz w:val="18"/>
                            <w:szCs w:val="18"/>
                          </w:rPr>
                        </w:pPr>
                        <w:r>
                          <w:rPr>
                            <w:rFonts w:ascii="宋体" w:hAnsi="宋体" w:cs="宋体" w:eastAsia="宋体" w:hint="default"/>
                            <w:sz w:val="18"/>
                            <w:szCs w:val="18"/>
                          </w:rPr>
                          <w:t>①其持有的用友软件非流通股股份自改革方</w:t>
                        </w:r>
                      </w:p>
                    </w:tc>
                  </w:tr>
                  <w:tr>
                    <w:trPr>
                      <w:trHeight w:val="233" w:hRule="exact"/>
                    </w:trPr>
                    <w:tc>
                      <w:tcPr>
                        <w:tcW w:w="397"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58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49"/>
                          <w:jc w:val="right"/>
                          <w:rPr>
                            <w:rFonts w:ascii="宋体" w:hAnsi="宋体" w:cs="宋体" w:eastAsia="宋体" w:hint="default"/>
                            <w:sz w:val="18"/>
                            <w:szCs w:val="18"/>
                          </w:rPr>
                        </w:pPr>
                        <w:r>
                          <w:rPr>
                            <w:rFonts w:ascii="宋体" w:hAnsi="宋体" w:cs="宋体" w:eastAsia="宋体" w:hint="default"/>
                            <w:sz w:val="18"/>
                            <w:szCs w:val="18"/>
                          </w:rPr>
                          <w:t>案实施之日起，在十二个月内不上市交易或</w:t>
                        </w:r>
                      </w:p>
                    </w:tc>
                  </w:tr>
                  <w:tr>
                    <w:trPr>
                      <w:trHeight w:val="233" w:hRule="exact"/>
                    </w:trPr>
                    <w:tc>
                      <w:tcPr>
                        <w:tcW w:w="397"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58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49"/>
                          <w:jc w:val="right"/>
                          <w:rPr>
                            <w:rFonts w:ascii="宋体" w:hAnsi="宋体" w:cs="宋体" w:eastAsia="宋体" w:hint="default"/>
                            <w:sz w:val="18"/>
                            <w:szCs w:val="18"/>
                          </w:rPr>
                        </w:pPr>
                        <w:r>
                          <w:rPr>
                            <w:rFonts w:ascii="宋体" w:hAnsi="宋体" w:cs="宋体" w:eastAsia="宋体" w:hint="default"/>
                            <w:sz w:val="18"/>
                            <w:szCs w:val="18"/>
                          </w:rPr>
                          <w:t>者转让；②在上述承诺期满后，通过上海证</w:t>
                        </w:r>
                      </w:p>
                    </w:tc>
                  </w:tr>
                  <w:tr>
                    <w:trPr>
                      <w:trHeight w:val="233" w:hRule="exact"/>
                    </w:trPr>
                    <w:tc>
                      <w:tcPr>
                        <w:tcW w:w="397"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58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49"/>
                          <w:jc w:val="right"/>
                          <w:rPr>
                            <w:rFonts w:ascii="宋体" w:hAnsi="宋体" w:cs="宋体" w:eastAsia="宋体" w:hint="default"/>
                            <w:sz w:val="18"/>
                            <w:szCs w:val="18"/>
                          </w:rPr>
                        </w:pPr>
                        <w:r>
                          <w:rPr>
                            <w:rFonts w:ascii="宋体" w:hAnsi="宋体" w:cs="宋体" w:eastAsia="宋体" w:hint="default"/>
                            <w:sz w:val="18"/>
                            <w:szCs w:val="18"/>
                          </w:rPr>
                          <w:t>券交易所挂牌交易出售原非流通股股份数量</w:t>
                        </w:r>
                      </w:p>
                    </w:tc>
                  </w:tr>
                  <w:tr>
                    <w:trPr>
                      <w:trHeight w:val="467" w:hRule="exact"/>
                    </w:trPr>
                    <w:tc>
                      <w:tcPr>
                        <w:tcW w:w="397"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1</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北京用友科技有</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157" w:right="0"/>
                          <w:jc w:val="left"/>
                          <w:rPr>
                            <w:rFonts w:ascii="宋体" w:hAnsi="宋体" w:cs="宋体" w:eastAsia="宋体" w:hint="default"/>
                            <w:sz w:val="18"/>
                            <w:szCs w:val="18"/>
                          </w:rPr>
                        </w:pPr>
                        <w:r>
                          <w:rPr>
                            <w:rFonts w:ascii="宋体"/>
                            <w:sz w:val="18"/>
                          </w:rPr>
                          <w:t>124,113,600</w:t>
                        </w:r>
                      </w:p>
                    </w:tc>
                    <w:tc>
                      <w:tcPr>
                        <w:tcW w:w="1584"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30"/>
                          <w:jc w:val="righ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193" w:right="0"/>
                          <w:jc w:val="left"/>
                          <w:rPr>
                            <w:rFonts w:ascii="宋体" w:hAnsi="宋体" w:cs="宋体" w:eastAsia="宋体" w:hint="default"/>
                            <w:sz w:val="18"/>
                            <w:szCs w:val="18"/>
                          </w:rPr>
                        </w:pPr>
                        <w:r>
                          <w:rPr>
                            <w:rFonts w:ascii="宋体"/>
                            <w:sz w:val="18"/>
                          </w:rPr>
                          <w:t>124,113,600</w:t>
                        </w: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firstLine="15"/>
                          <w:jc w:val="left"/>
                          <w:rPr>
                            <w:rFonts w:ascii="宋体" w:hAnsi="宋体" w:cs="宋体" w:eastAsia="宋体" w:hint="default"/>
                            <w:sz w:val="18"/>
                            <w:szCs w:val="18"/>
                          </w:rPr>
                        </w:pPr>
                        <w:r>
                          <w:rPr>
                            <w:rFonts w:ascii="宋体" w:hAnsi="宋体" w:cs="宋体" w:eastAsia="宋体" w:hint="default"/>
                            <w:sz w:val="18"/>
                            <w:szCs w:val="18"/>
                          </w:rPr>
                          <w:t>占公司股份总数的比例在十二个月内不超过</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百分之五，在二十四个月内不超过百分之十</w:t>
                        </w:r>
                      </w:p>
                    </w:tc>
                  </w:tr>
                  <w:tr>
                    <w:trPr>
                      <w:trHeight w:val="233" w:hRule="exact"/>
                    </w:trPr>
                    <w:tc>
                      <w:tcPr>
                        <w:tcW w:w="397"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58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49"/>
                          <w:jc w:val="right"/>
                          <w:rPr>
                            <w:rFonts w:ascii="宋体" w:hAnsi="宋体" w:cs="宋体" w:eastAsia="宋体" w:hint="default"/>
                            <w:sz w:val="18"/>
                            <w:szCs w:val="18"/>
                          </w:rPr>
                        </w:pPr>
                        <w:r>
                          <w:rPr>
                            <w:rFonts w:ascii="宋体" w:hAnsi="宋体" w:cs="宋体" w:eastAsia="宋体" w:hint="default"/>
                            <w:sz w:val="18"/>
                            <w:szCs w:val="18"/>
                          </w:rPr>
                          <w:t>③通过上海证券交易所挂牌交易出售的用友</w:t>
                        </w:r>
                      </w:p>
                    </w:tc>
                  </w:tr>
                  <w:tr>
                    <w:trPr>
                      <w:trHeight w:val="233" w:hRule="exact"/>
                    </w:trPr>
                    <w:tc>
                      <w:tcPr>
                        <w:tcW w:w="397"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58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49"/>
                          <w:jc w:val="right"/>
                          <w:rPr>
                            <w:rFonts w:ascii="宋体" w:hAnsi="宋体" w:cs="宋体" w:eastAsia="宋体" w:hint="default"/>
                            <w:sz w:val="18"/>
                            <w:szCs w:val="18"/>
                          </w:rPr>
                        </w:pPr>
                        <w:r>
                          <w:rPr>
                            <w:rFonts w:ascii="宋体" w:hAnsi="宋体" w:cs="宋体" w:eastAsia="宋体" w:hint="default"/>
                            <w:sz w:val="18"/>
                            <w:szCs w:val="18"/>
                          </w:rPr>
                          <w:t>软件股份数量，每达到用友软件股份总数百</w:t>
                        </w:r>
                      </w:p>
                    </w:tc>
                  </w:tr>
                  <w:tr>
                    <w:trPr>
                      <w:trHeight w:val="233" w:hRule="exact"/>
                    </w:trPr>
                    <w:tc>
                      <w:tcPr>
                        <w:tcW w:w="397"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584"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49"/>
                          <w:jc w:val="right"/>
                          <w:rPr>
                            <w:rFonts w:ascii="宋体" w:hAnsi="宋体" w:cs="宋体" w:eastAsia="宋体" w:hint="default"/>
                            <w:sz w:val="18"/>
                            <w:szCs w:val="18"/>
                          </w:rPr>
                        </w:pPr>
                        <w:r>
                          <w:rPr>
                            <w:rFonts w:ascii="宋体" w:hAnsi="宋体" w:cs="宋体" w:eastAsia="宋体" w:hint="default"/>
                            <w:sz w:val="18"/>
                            <w:szCs w:val="18"/>
                          </w:rPr>
                          <w:t>分之一时，自该事实发生之日起两个工作日</w:t>
                        </w:r>
                      </w:p>
                    </w:tc>
                  </w:tr>
                  <w:tr>
                    <w:trPr>
                      <w:trHeight w:val="240" w:hRule="exact"/>
                    </w:trPr>
                    <w:tc>
                      <w:tcPr>
                        <w:tcW w:w="397" w:type="dxa"/>
                        <w:tcBorders>
                          <w:top w:val="nil" w:sz="6" w:space="0" w:color="auto"/>
                          <w:left w:val="single" w:sz="4" w:space="0" w:color="000000"/>
                          <w:bottom w:val="single" w:sz="4" w:space="0" w:color="000000"/>
                          <w:right w:val="single" w:sz="4" w:space="0" w:color="000000"/>
                        </w:tcBorders>
                      </w:tcPr>
                      <w:p>
                        <w:pPr/>
                      </w:p>
                    </w:tc>
                    <w:tc>
                      <w:tcPr>
                        <w:tcW w:w="1418"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584" w:type="dxa"/>
                        <w:tcBorders>
                          <w:top w:val="nil" w:sz="6" w:space="0" w:color="auto"/>
                          <w:left w:val="single" w:sz="4" w:space="0" w:color="000000"/>
                          <w:bottom w:val="single" w:sz="4" w:space="0" w:color="000000"/>
                          <w:right w:val="single" w:sz="4" w:space="0" w:color="000000"/>
                        </w:tcBorders>
                      </w:tcPr>
                      <w:p>
                        <w:pPr/>
                      </w:p>
                    </w:tc>
                    <w:tc>
                      <w:tcPr>
                        <w:tcW w:w="1296" w:type="dxa"/>
                        <w:tcBorders>
                          <w:top w:val="nil" w:sz="6" w:space="0" w:color="auto"/>
                          <w:left w:val="single" w:sz="4" w:space="0" w:color="000000"/>
                          <w:bottom w:val="single" w:sz="4" w:space="0" w:color="000000"/>
                          <w:right w:val="single" w:sz="4" w:space="0" w:color="000000"/>
                        </w:tcBorders>
                      </w:tcPr>
                      <w:p>
                        <w:pPr/>
                      </w:p>
                    </w:tc>
                    <w:tc>
                      <w:tcPr>
                        <w:tcW w:w="3600"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right="124"/>
                          <w:jc w:val="right"/>
                          <w:rPr>
                            <w:rFonts w:ascii="宋体" w:hAnsi="宋体" w:cs="宋体" w:eastAsia="宋体" w:hint="default"/>
                            <w:sz w:val="18"/>
                            <w:szCs w:val="18"/>
                          </w:rPr>
                        </w:pPr>
                        <w:r>
                          <w:rPr>
                            <w:rFonts w:ascii="宋体" w:hAnsi="宋体" w:cs="宋体" w:eastAsia="宋体" w:hint="default"/>
                            <w:spacing w:val="-4"/>
                            <w:sz w:val="18"/>
                            <w:szCs w:val="18"/>
                          </w:rPr>
                          <w:t>内做出公告，但公告期间无需停止出售股份</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spacing w:before="44"/>
        <w:ind w:left="0" w:right="132"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4"/>
        <w:rPr>
          <w:rFonts w:ascii="宋体" w:hAnsi="宋体" w:cs="宋体" w:eastAsia="宋体" w:hint="default"/>
          <w:sz w:val="19"/>
          <w:szCs w:val="19"/>
        </w:rPr>
      </w:pPr>
    </w:p>
    <w:p>
      <w:pPr>
        <w:pStyle w:val="Heading7"/>
        <w:spacing w:line="297" w:lineRule="auto" w:before="26"/>
        <w:ind w:right="469" w:firstLine="482"/>
        <w:jc w:val="both"/>
      </w:pPr>
      <w:r>
        <w:rPr>
          <w:spacing w:val="9"/>
        </w:rPr>
        <w:t>注：根据公司股权分置改革方案北京用友科技有限公司所持有限售条件股份应于</w:t>
      </w:r>
      <w:r>
        <w:rPr>
          <w:spacing w:val="10"/>
        </w:rPr>
        <w:t> </w:t>
      </w:r>
      <w:r>
        <w:rPr>
          <w:spacing w:val="25"/>
        </w:rPr>
        <w:t>2009年2月</w:t>
      </w:r>
      <w:r>
        <w:rPr>
          <w:spacing w:val="-57"/>
        </w:rPr>
        <w:t> </w:t>
      </w:r>
      <w:r>
        <w:rPr/>
        <w:t>28</w:t>
      </w:r>
      <w:r>
        <w:rPr>
          <w:spacing w:val="-57"/>
        </w:rPr>
        <w:t> </w:t>
      </w:r>
      <w:r>
        <w:rPr>
          <w:spacing w:val="10"/>
        </w:rPr>
        <w:t>日全部解除限售条件。2008年8月1</w:t>
      </w:r>
      <w:r>
        <w:rPr>
          <w:spacing w:val="-57"/>
        </w:rPr>
        <w:t> </w:t>
      </w:r>
      <w:r>
        <w:rPr>
          <w:spacing w:val="-4"/>
        </w:rPr>
        <w:t>日，公司接到控股股东北京用友科技</w:t>
      </w:r>
      <w:r>
        <w:rPr/>
        <w:t> </w:t>
      </w:r>
      <w:r>
        <w:rPr>
          <w:spacing w:val="-4"/>
        </w:rPr>
        <w:t>有限公司就其持有的公司股份的流通及减持事宜承诺函，北京用友科技有限公司作出如下</w:t>
      </w:r>
      <w:r>
        <w:rPr>
          <w:spacing w:val="-82"/>
        </w:rPr>
        <w:t> </w:t>
      </w:r>
      <w:r>
        <w:rPr>
          <w:spacing w:val="-82"/>
        </w:rPr>
      </w:r>
      <w:r>
        <w:rPr>
          <w:spacing w:val="-4"/>
        </w:rPr>
        <w:t>承诺：北京用友科技有限公司长期看好用友软件股份有限公司股份的投资价值，为此承诺</w:t>
      </w:r>
      <w:r>
        <w:rPr>
          <w:spacing w:val="-82"/>
        </w:rPr>
        <w:t> </w:t>
      </w:r>
      <w:r>
        <w:rPr>
          <w:spacing w:val="-82"/>
        </w:rPr>
      </w:r>
      <w:r>
        <w:rPr/>
        <w:t>公司持有的将于</w:t>
      </w:r>
      <w:r>
        <w:rPr>
          <w:spacing w:val="-80"/>
        </w:rPr>
        <w:t> </w:t>
      </w:r>
      <w:r>
        <w:rPr/>
        <w:t>2009</w:t>
      </w:r>
      <w:r>
        <w:rPr>
          <w:spacing w:val="-81"/>
        </w:rPr>
        <w:t> </w:t>
      </w:r>
      <w:r>
        <w:rPr>
          <w:spacing w:val="26"/>
        </w:rPr>
        <w:t>年2月</w:t>
      </w:r>
      <w:r>
        <w:rPr>
          <w:spacing w:val="-80"/>
        </w:rPr>
        <w:t> </w:t>
      </w:r>
      <w:r>
        <w:rPr/>
        <w:t>28</w:t>
      </w:r>
      <w:r>
        <w:rPr>
          <w:spacing w:val="-80"/>
        </w:rPr>
        <w:t> </w:t>
      </w:r>
      <w:r>
        <w:rPr/>
        <w:t>日解除限售条件的用友软件股份有限公司股份延长禁售期</w:t>
      </w:r>
      <w:r>
        <w:rPr/>
        <w:t> 一年至</w:t>
      </w:r>
      <w:r>
        <w:rPr>
          <w:spacing w:val="-57"/>
        </w:rPr>
        <w:t> </w:t>
      </w:r>
      <w:r>
        <w:rPr>
          <w:spacing w:val="25"/>
        </w:rPr>
        <w:t>2010年2月</w:t>
      </w:r>
      <w:r>
        <w:rPr>
          <w:spacing w:val="-57"/>
        </w:rPr>
        <w:t> </w:t>
      </w:r>
      <w:r>
        <w:rPr/>
        <w:t>28</w:t>
      </w:r>
      <w:r>
        <w:rPr>
          <w:spacing w:val="-57"/>
        </w:rPr>
        <w:t> </w:t>
      </w:r>
      <w:r>
        <w:rPr>
          <w:spacing w:val="-7"/>
        </w:rPr>
        <w:t>日；公司持有的已经解除限售条件的股份在</w:t>
      </w:r>
      <w:r>
        <w:rPr>
          <w:spacing w:val="-57"/>
        </w:rPr>
        <w:t> </w:t>
      </w:r>
      <w:r>
        <w:rPr>
          <w:spacing w:val="25"/>
        </w:rPr>
        <w:t>2010年2月</w:t>
      </w:r>
      <w:r>
        <w:rPr>
          <w:spacing w:val="-57"/>
        </w:rPr>
        <w:t> </w:t>
      </w:r>
      <w:r>
        <w:rPr/>
        <w:t>28</w:t>
      </w:r>
      <w:r>
        <w:rPr>
          <w:spacing w:val="-57"/>
        </w:rPr>
        <w:t> </w:t>
      </w:r>
      <w:r>
        <w:rPr/>
        <w:t>日前不</w:t>
      </w:r>
      <w:r>
        <w:rPr/>
        <w:t> 减持。</w:t>
      </w:r>
    </w:p>
    <w:p>
      <w:pPr>
        <w:spacing w:line="240" w:lineRule="auto" w:before="10"/>
        <w:rPr>
          <w:rFonts w:ascii="宋体" w:hAnsi="宋体" w:cs="宋体" w:eastAsia="宋体" w:hint="default"/>
          <w:sz w:val="22"/>
          <w:szCs w:val="22"/>
        </w:rPr>
      </w:pPr>
    </w:p>
    <w:p>
      <w:pPr>
        <w:spacing w:before="0"/>
        <w:ind w:left="620" w:right="2984" w:firstLine="0"/>
        <w:jc w:val="left"/>
        <w:rPr>
          <w:rFonts w:ascii="宋体" w:hAnsi="宋体" w:cs="宋体" w:eastAsia="宋体" w:hint="default"/>
          <w:sz w:val="24"/>
          <w:szCs w:val="24"/>
        </w:rPr>
      </w:pPr>
      <w:r>
        <w:rPr>
          <w:rFonts w:ascii="宋体" w:hAnsi="宋体" w:cs="宋体" w:eastAsia="宋体" w:hint="default"/>
          <w:sz w:val="24"/>
          <w:szCs w:val="24"/>
        </w:rPr>
        <w:t>2、控股股东及实际控制人情况</w:t>
      </w:r>
    </w:p>
    <w:p>
      <w:pPr>
        <w:spacing w:after="0"/>
        <w:jc w:val="left"/>
        <w:rPr>
          <w:rFonts w:ascii="宋体" w:hAnsi="宋体" w:cs="宋体" w:eastAsia="宋体" w:hint="default"/>
          <w:sz w:val="24"/>
          <w:szCs w:val="24"/>
        </w:rPr>
        <w:sectPr>
          <w:type w:val="continuous"/>
          <w:pgSz w:w="11910" w:h="16840"/>
          <w:pgMar w:top="900" w:bottom="280" w:left="1220" w:right="820"/>
        </w:sectPr>
      </w:pPr>
    </w:p>
    <w:p>
      <w:pPr>
        <w:spacing w:line="240" w:lineRule="auto" w:before="12"/>
        <w:rPr>
          <w:rFonts w:ascii="宋体" w:hAnsi="宋体" w:cs="宋体" w:eastAsia="宋体" w:hint="default"/>
          <w:sz w:val="21"/>
          <w:szCs w:val="21"/>
        </w:rPr>
      </w:pPr>
    </w:p>
    <w:p>
      <w:pPr>
        <w:spacing w:before="26"/>
        <w:ind w:left="623" w:right="220" w:firstLine="0"/>
        <w:jc w:val="left"/>
        <w:rPr>
          <w:rFonts w:ascii="宋体" w:hAnsi="宋体" w:cs="宋体" w:eastAsia="宋体" w:hint="default"/>
          <w:sz w:val="24"/>
          <w:szCs w:val="24"/>
        </w:rPr>
      </w:pPr>
      <w:r>
        <w:rPr>
          <w:rFonts w:ascii="宋体" w:hAnsi="宋体" w:cs="宋体" w:eastAsia="宋体" w:hint="default"/>
          <w:sz w:val="24"/>
          <w:szCs w:val="24"/>
        </w:rPr>
        <w:t>公司第一大股东为北京用友科技有限公司。</w:t>
      </w:r>
    </w:p>
    <w:p>
      <w:pPr>
        <w:spacing w:before="194"/>
        <w:ind w:left="623" w:right="83" w:firstLine="0"/>
        <w:jc w:val="left"/>
        <w:rPr>
          <w:rFonts w:ascii="宋体" w:hAnsi="宋体" w:cs="宋体" w:eastAsia="宋体" w:hint="default"/>
          <w:sz w:val="24"/>
          <w:szCs w:val="24"/>
        </w:rPr>
      </w:pPr>
      <w:r>
        <w:rPr>
          <w:rFonts w:ascii="宋体" w:hAnsi="宋体" w:cs="宋体" w:eastAsia="宋体" w:hint="default"/>
          <w:sz w:val="24"/>
          <w:szCs w:val="24"/>
        </w:rPr>
        <w:t>（1）北京用友科技有限公司法定代表人为王文京先生。该公司成立于</w:t>
      </w:r>
      <w:r>
        <w:rPr>
          <w:rFonts w:ascii="宋体" w:hAnsi="宋体" w:cs="宋体" w:eastAsia="宋体" w:hint="default"/>
          <w:spacing w:val="-26"/>
          <w:sz w:val="24"/>
          <w:szCs w:val="24"/>
        </w:rPr>
        <w:t> </w:t>
      </w:r>
      <w:r>
        <w:rPr>
          <w:rFonts w:ascii="宋体" w:hAnsi="宋体" w:cs="宋体" w:eastAsia="宋体" w:hint="default"/>
          <w:spacing w:val="38"/>
          <w:sz w:val="24"/>
          <w:szCs w:val="24"/>
        </w:rPr>
        <w:t>1999年4月</w:t>
      </w:r>
      <w:r>
        <w:rPr>
          <w:rFonts w:ascii="宋体" w:hAnsi="宋体" w:cs="宋体" w:eastAsia="宋体" w:hint="default"/>
          <w:spacing w:val="-30"/>
          <w:sz w:val="24"/>
          <w:szCs w:val="24"/>
        </w:rPr>
        <w:t> </w:t>
      </w:r>
      <w:r>
        <w:rPr>
          <w:rFonts w:ascii="宋体" w:hAnsi="宋体" w:cs="宋体" w:eastAsia="宋体" w:hint="default"/>
          <w:sz w:val="24"/>
          <w:szCs w:val="24"/>
        </w:rPr>
      </w:r>
    </w:p>
    <w:p>
      <w:pPr>
        <w:spacing w:line="297" w:lineRule="auto" w:before="74"/>
        <w:ind w:left="140" w:right="100" w:firstLine="0"/>
        <w:jc w:val="both"/>
        <w:rPr>
          <w:rFonts w:ascii="宋体" w:hAnsi="宋体" w:cs="宋体" w:eastAsia="宋体" w:hint="default"/>
          <w:sz w:val="24"/>
          <w:szCs w:val="24"/>
        </w:rPr>
      </w:pPr>
      <w:r>
        <w:rPr>
          <w:rFonts w:ascii="宋体" w:hAnsi="宋体" w:cs="宋体" w:eastAsia="宋体" w:hint="default"/>
          <w:sz w:val="24"/>
          <w:szCs w:val="24"/>
        </w:rPr>
        <w:t>15</w:t>
      </w:r>
      <w:r>
        <w:rPr>
          <w:rFonts w:ascii="宋体" w:hAnsi="宋体" w:cs="宋体" w:eastAsia="宋体" w:hint="default"/>
          <w:spacing w:val="-54"/>
          <w:sz w:val="24"/>
          <w:szCs w:val="24"/>
        </w:rPr>
        <w:t> </w:t>
      </w:r>
      <w:r>
        <w:rPr>
          <w:rFonts w:ascii="宋体" w:hAnsi="宋体" w:cs="宋体" w:eastAsia="宋体" w:hint="default"/>
          <w:spacing w:val="-4"/>
          <w:sz w:val="24"/>
          <w:szCs w:val="24"/>
        </w:rPr>
        <w:t>日，注册资本为人民币</w:t>
      </w:r>
      <w:r>
        <w:rPr>
          <w:rFonts w:ascii="宋体" w:hAnsi="宋体" w:cs="宋体" w:eastAsia="宋体" w:hint="default"/>
          <w:spacing w:val="-54"/>
          <w:sz w:val="24"/>
          <w:szCs w:val="24"/>
        </w:rPr>
        <w:t> </w:t>
      </w:r>
      <w:r>
        <w:rPr>
          <w:rFonts w:ascii="宋体" w:hAnsi="宋体" w:cs="宋体" w:eastAsia="宋体" w:hint="default"/>
          <w:sz w:val="24"/>
          <w:szCs w:val="24"/>
        </w:rPr>
        <w:t>85,000,000</w:t>
      </w:r>
      <w:r>
        <w:rPr>
          <w:rFonts w:ascii="宋体" w:hAnsi="宋体" w:cs="宋体" w:eastAsia="宋体" w:hint="default"/>
          <w:spacing w:val="-54"/>
          <w:sz w:val="24"/>
          <w:szCs w:val="24"/>
        </w:rPr>
        <w:t> </w:t>
      </w:r>
      <w:r>
        <w:rPr>
          <w:rFonts w:ascii="宋体" w:hAnsi="宋体" w:cs="宋体" w:eastAsia="宋体" w:hint="default"/>
          <w:spacing w:val="-7"/>
          <w:sz w:val="24"/>
          <w:szCs w:val="24"/>
        </w:rPr>
        <w:t>元，经营范围包括：法律、法规禁止的，不得经营；</w:t>
      </w:r>
      <w:r>
        <w:rPr>
          <w:rFonts w:ascii="宋体" w:hAnsi="宋体" w:cs="宋体" w:eastAsia="宋体" w:hint="default"/>
          <w:sz w:val="24"/>
          <w:szCs w:val="24"/>
        </w:rPr>
        <w:t> 应经审批的，未获审批前不得经营；法律、法规未规定审批的，企业自主选择经营项目， 开展经营活动。</w:t>
      </w:r>
    </w:p>
    <w:p>
      <w:pPr>
        <w:spacing w:before="137"/>
        <w:ind w:left="623" w:right="220" w:firstLine="0"/>
        <w:jc w:val="left"/>
        <w:rPr>
          <w:rFonts w:ascii="宋体" w:hAnsi="宋体" w:cs="宋体" w:eastAsia="宋体" w:hint="default"/>
          <w:sz w:val="24"/>
          <w:szCs w:val="24"/>
        </w:rPr>
      </w:pPr>
      <w:r>
        <w:rPr>
          <w:rFonts w:ascii="宋体" w:hAnsi="宋体" w:cs="宋体" w:eastAsia="宋体" w:hint="default"/>
          <w:sz w:val="24"/>
          <w:szCs w:val="24"/>
        </w:rPr>
        <w:t>（2）该公司的实际控制人为王文京先生，其具体情况如下：</w:t>
      </w:r>
    </w:p>
    <w:p>
      <w:pPr>
        <w:spacing w:line="297" w:lineRule="auto" w:before="194"/>
        <w:ind w:left="140" w:right="219" w:firstLine="482"/>
        <w:jc w:val="both"/>
        <w:rPr>
          <w:rFonts w:ascii="宋体" w:hAnsi="宋体" w:cs="宋体" w:eastAsia="宋体" w:hint="default"/>
          <w:sz w:val="24"/>
          <w:szCs w:val="24"/>
        </w:rPr>
      </w:pPr>
      <w:r>
        <w:rPr>
          <w:rFonts w:ascii="宋体" w:hAnsi="宋体" w:cs="宋体" w:eastAsia="宋体" w:hint="default"/>
          <w:spacing w:val="-4"/>
          <w:sz w:val="24"/>
          <w:szCs w:val="24"/>
        </w:rPr>
        <w:t>王文京先生，1964</w:t>
      </w:r>
      <w:r>
        <w:rPr>
          <w:rFonts w:ascii="宋体" w:hAnsi="宋体" w:cs="宋体" w:eastAsia="宋体" w:hint="default"/>
          <w:spacing w:val="-57"/>
          <w:sz w:val="24"/>
          <w:szCs w:val="24"/>
        </w:rPr>
        <w:t> </w:t>
      </w:r>
      <w:r>
        <w:rPr>
          <w:rFonts w:ascii="宋体" w:hAnsi="宋体" w:cs="宋体" w:eastAsia="宋体" w:hint="default"/>
          <w:sz w:val="24"/>
          <w:szCs w:val="24"/>
        </w:rPr>
        <w:t>年</w:t>
      </w:r>
      <w:r>
        <w:rPr>
          <w:rFonts w:ascii="宋体" w:hAnsi="宋体" w:cs="宋体" w:eastAsia="宋体" w:hint="default"/>
          <w:spacing w:val="-57"/>
          <w:sz w:val="24"/>
          <w:szCs w:val="24"/>
        </w:rPr>
        <w:t> </w:t>
      </w:r>
      <w:r>
        <w:rPr>
          <w:rFonts w:ascii="宋体" w:hAnsi="宋体" w:cs="宋体" w:eastAsia="宋体" w:hint="default"/>
          <w:sz w:val="24"/>
          <w:szCs w:val="24"/>
        </w:rPr>
        <w:t>12</w:t>
      </w:r>
      <w:r>
        <w:rPr>
          <w:rFonts w:ascii="宋体" w:hAnsi="宋体" w:cs="宋体" w:eastAsia="宋体" w:hint="default"/>
          <w:spacing w:val="-57"/>
          <w:sz w:val="24"/>
          <w:szCs w:val="24"/>
        </w:rPr>
        <w:t> </w:t>
      </w:r>
      <w:r>
        <w:rPr>
          <w:rFonts w:ascii="宋体" w:hAnsi="宋体" w:cs="宋体" w:eastAsia="宋体" w:hint="default"/>
          <w:spacing w:val="-5"/>
          <w:sz w:val="24"/>
          <w:szCs w:val="24"/>
        </w:rPr>
        <w:t>月出生，经济学学士，1983～1988</w:t>
      </w:r>
      <w:r>
        <w:rPr>
          <w:rFonts w:ascii="宋体" w:hAnsi="宋体" w:cs="宋体" w:eastAsia="宋体" w:hint="default"/>
          <w:spacing w:val="-57"/>
          <w:sz w:val="24"/>
          <w:szCs w:val="24"/>
        </w:rPr>
        <w:t> </w:t>
      </w:r>
      <w:r>
        <w:rPr>
          <w:rFonts w:ascii="宋体" w:hAnsi="宋体" w:cs="宋体" w:eastAsia="宋体" w:hint="default"/>
          <w:sz w:val="24"/>
          <w:szCs w:val="24"/>
        </w:rPr>
        <w:t>年在国务院某直属机关工</w:t>
      </w:r>
      <w:r>
        <w:rPr>
          <w:rFonts w:ascii="宋体" w:hAnsi="宋体" w:cs="宋体" w:eastAsia="宋体" w:hint="default"/>
          <w:sz w:val="24"/>
          <w:szCs w:val="24"/>
        </w:rPr>
        <w:t> 作。1988 年与苏启强先生共同出资创建用友软件服务社，曾任用友软件股份有限公司董 </w:t>
      </w:r>
      <w:r>
        <w:rPr>
          <w:rFonts w:ascii="宋体" w:hAnsi="宋体" w:cs="宋体" w:eastAsia="宋体" w:hint="default"/>
          <w:spacing w:val="-4"/>
          <w:sz w:val="24"/>
          <w:szCs w:val="24"/>
        </w:rPr>
        <w:t>事长、总裁等职务，现任公司董事长兼总裁。王文京先生是全国工商联副主席、中国软件</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行业协会副理事长、第九届、第十届和第十一届全国人大代表。</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王文京先生曾荣获“中国优秀民营企业家”、“中国优秀民办科技实业家”、 “全 国劳动模范”、“优秀中国特色社会主义事业建设者”、“求是杰出青年”、 “中国软 件企业十大领军人物”、“中国年度经济人物”（CCTV 2001’）、美国《商业周刊》评 选的“亚洲之星”、“爱心捐助奖”等称号及荣誉。</w:t>
      </w:r>
    </w:p>
    <w:p>
      <w:pPr>
        <w:spacing w:before="137"/>
        <w:ind w:left="623" w:right="220" w:firstLine="0"/>
        <w:jc w:val="left"/>
        <w:rPr>
          <w:rFonts w:ascii="宋体" w:hAnsi="宋体" w:cs="宋体" w:eastAsia="宋体" w:hint="default"/>
          <w:sz w:val="24"/>
          <w:szCs w:val="24"/>
        </w:rPr>
      </w:pPr>
      <w:r>
        <w:rPr>
          <w:rFonts w:ascii="宋体" w:hAnsi="宋体" w:cs="宋体" w:eastAsia="宋体" w:hint="default"/>
          <w:sz w:val="24"/>
          <w:szCs w:val="24"/>
        </w:rPr>
        <w:t>（3）公司与实际控制人的产权控制关系如下：</w:t>
      </w:r>
    </w:p>
    <w:p>
      <w:pPr>
        <w:spacing w:line="240" w:lineRule="auto" w:before="0"/>
        <w:rPr>
          <w:rFonts w:ascii="宋体" w:hAnsi="宋体" w:cs="宋体" w:eastAsia="宋体" w:hint="default"/>
          <w:sz w:val="26"/>
          <w:szCs w:val="26"/>
        </w:rPr>
      </w:pPr>
    </w:p>
    <w:p>
      <w:pPr>
        <w:spacing w:line="480" w:lineRule="exact"/>
        <w:ind w:left="3980" w:right="0" w:firstLine="0"/>
        <w:rPr>
          <w:rFonts w:ascii="宋体" w:hAnsi="宋体" w:cs="宋体" w:eastAsia="宋体" w:hint="default"/>
          <w:sz w:val="20"/>
          <w:szCs w:val="20"/>
        </w:rPr>
      </w:pPr>
      <w:r>
        <w:rPr>
          <w:rFonts w:ascii="宋体" w:hAnsi="宋体" w:cs="宋体" w:eastAsia="宋体" w:hint="default"/>
          <w:position w:val="-9"/>
          <w:sz w:val="20"/>
          <w:szCs w:val="20"/>
        </w:rPr>
        <w:pict>
          <v:shape style="width:72pt;height:24pt;mso-position-horizontal-relative:char;mso-position-vertical-relative:line" type="#_x0000_t202" filled="false" stroked="true" strokeweight=".75pt" strokecolor="#000000">
            <w10:anchorlock/>
            <v:textbox inset="0,0,0,0">
              <w:txbxContent>
                <w:p>
                  <w:pPr>
                    <w:spacing w:before="36"/>
                    <w:ind w:left="188" w:right="0" w:firstLine="0"/>
                    <w:jc w:val="left"/>
                    <w:rPr>
                      <w:rFonts w:ascii="宋体" w:hAnsi="宋体" w:cs="宋体" w:eastAsia="宋体" w:hint="default"/>
                      <w:sz w:val="21"/>
                      <w:szCs w:val="21"/>
                    </w:rPr>
                  </w:pPr>
                  <w:r>
                    <w:rPr>
                      <w:rFonts w:ascii="宋体" w:hAnsi="宋体" w:cs="宋体" w:eastAsia="宋体" w:hint="default"/>
                      <w:sz w:val="21"/>
                      <w:szCs w:val="21"/>
                    </w:rPr>
                    <w:t>王文京先生</w:t>
                  </w:r>
                </w:p>
              </w:txbxContent>
            </v:textbox>
          </v:shape>
        </w:pict>
      </w:r>
      <w:r>
        <w:rPr>
          <w:rFonts w:ascii="宋体" w:hAnsi="宋体" w:cs="宋体" w:eastAsia="宋体" w:hint="default"/>
          <w:position w:val="-9"/>
          <w:sz w:val="20"/>
          <w:szCs w:val="20"/>
        </w:rPr>
      </w:r>
    </w:p>
    <w:p>
      <w:pPr>
        <w:spacing w:line="240" w:lineRule="auto" w:before="10"/>
        <w:rPr>
          <w:rFonts w:ascii="宋体" w:hAnsi="宋体" w:cs="宋体" w:eastAsia="宋体" w:hint="default"/>
          <w:sz w:val="16"/>
          <w:szCs w:val="16"/>
        </w:rPr>
      </w:pPr>
    </w:p>
    <w:p>
      <w:pPr>
        <w:spacing w:line="962" w:lineRule="exact"/>
        <w:ind w:left="1160"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354pt;height:48.15pt;mso-position-horizontal-relative:char;mso-position-vertical-relative:line" coordorigin="0,0" coordsize="7080,963">
            <v:group style="position:absolute;left:3420;top:0;width:120;height:924" coordorigin="3420,0" coordsize="120,924">
              <v:shape style="position:absolute;left:3420;top:0;width:120;height:924" coordorigin="3420,0" coordsize="120,924" path="m3473,804l3420,804,3480,924,3526,832,3480,832,3475,829,3473,824,3473,804xe" filled="true" fillcolor="#000000" stroked="false">
                <v:path arrowok="t"/>
                <v:fill type="solid"/>
              </v:shape>
              <v:shape style="position:absolute;left:3420;top:0;width:120;height:924" coordorigin="3420,0" coordsize="120,924" path="m3480,0l3475,1,3473,7,3473,824,3475,829,3480,832,3486,829,3487,824,3487,7,3486,1,3480,0xe" filled="true" fillcolor="#000000" stroked="false">
                <v:path arrowok="t"/>
                <v:fill type="solid"/>
              </v:shape>
              <v:shape style="position:absolute;left:3420;top:0;width:120;height:924" coordorigin="3420,0" coordsize="120,924" path="m3540,804l3487,804,3487,824,3486,829,3480,832,3526,832,3540,804xe" filled="true" fillcolor="#000000" stroked="false">
                <v:path arrowok="t"/>
                <v:fill type="solid"/>
              </v:shape>
            </v:group>
            <v:group style="position:absolute;left:0;top:355;width:120;height:608" coordorigin="0,355" coordsize="120,608">
              <v:shape style="position:absolute;left:0;top:355;width:120;height:608" coordorigin="0,355" coordsize="120,608" path="m53,842l0,842,60,962,106,870,60,870,55,869,53,863,53,842xe" filled="true" fillcolor="#000000" stroked="false">
                <v:path arrowok="t"/>
                <v:fill type="solid"/>
              </v:shape>
              <v:shape style="position:absolute;left:0;top:355;width:120;height:608" coordorigin="0,355" coordsize="120,608" path="m60,355l55,358,53,362,53,863,55,869,60,870,66,869,67,863,67,362,66,358,60,355xe" filled="true" fillcolor="#000000" stroked="false">
                <v:path arrowok="t"/>
                <v:fill type="solid"/>
              </v:shape>
              <v:shape style="position:absolute;left:0;top:355;width:120;height:608" coordorigin="0,355" coordsize="120,608" path="m120,842l67,842,67,863,66,869,60,870,106,870,120,842xe" filled="true" fillcolor="#000000" stroked="false">
                <v:path arrowok="t"/>
                <v:fill type="solid"/>
              </v:shape>
            </v:group>
            <v:group style="position:absolute;left:60;top:362;width:6960;height:2" coordorigin="60,362" coordsize="6960,2">
              <v:shape style="position:absolute;left:60;top:362;width:6960;height:2" coordorigin="60,362" coordsize="6960,0" path="m60,362l7020,362e" filled="false" stroked="true" strokeweight=".75pt" strokecolor="#000000">
                <v:path arrowok="t"/>
              </v:shape>
            </v:group>
            <v:group style="position:absolute;left:6960;top:355;width:120;height:608" coordorigin="6960,355" coordsize="120,608">
              <v:shape style="position:absolute;left:6960;top:355;width:120;height:608" coordorigin="6960,355" coordsize="120,608" path="m7013,842l6960,842,7020,962,7066,870,7020,870,7015,869,7013,863,7013,842xe" filled="true" fillcolor="#000000" stroked="false">
                <v:path arrowok="t"/>
                <v:fill type="solid"/>
              </v:shape>
              <v:shape style="position:absolute;left:6960;top:355;width:120;height:608" coordorigin="6960,355" coordsize="120,608" path="m7020,355l7015,358,7013,362,7013,863,7015,869,7020,870,7026,869,7027,863,7027,362,7026,358,7020,355xe" filled="true" fillcolor="#000000" stroked="false">
                <v:path arrowok="t"/>
                <v:fill type="solid"/>
              </v:shape>
              <v:shape style="position:absolute;left:6960;top:355;width:120;height:608" coordorigin="6960,355" coordsize="120,608" path="m7080,842l7027,842,7027,863,7026,869,7020,870,7066,870,7080,842xe" filled="true" fillcolor="#000000" stroked="false">
                <v:path arrowok="t"/>
                <v:fill type="solid"/>
              </v:shape>
              <v:shape style="position:absolute;left:179;top:562;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99%</w:t>
                      </w:r>
                    </w:p>
                  </w:txbxContent>
                </v:textbox>
                <w10:wrap type="none"/>
              </v:shape>
              <v:shape style="position:absolute;left:3689;top:562;width:63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66.536%</w:t>
                      </w:r>
                    </w:p>
                  </w:txbxContent>
                </v:textbox>
                <w10:wrap type="none"/>
              </v:shape>
              <v:shape style="position:absolute;left:6419;top:56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76.26%</w:t>
                      </w:r>
                    </w:p>
                  </w:txbxContent>
                </v:textbox>
                <w10:wrap type="none"/>
              </v:shape>
            </v:group>
          </v:group>
        </w:pict>
      </w:r>
      <w:r>
        <w:rPr>
          <w:rFonts w:ascii="宋体" w:hAnsi="宋体" w:cs="宋体" w:eastAsia="宋体" w:hint="default"/>
          <w:position w:val="-18"/>
          <w:sz w:val="20"/>
          <w:szCs w:val="20"/>
        </w:rPr>
      </w:r>
    </w:p>
    <w:p>
      <w:pPr>
        <w:spacing w:line="240" w:lineRule="auto" w:before="2"/>
        <w:rPr>
          <w:rFonts w:ascii="宋体" w:hAnsi="宋体" w:cs="宋体" w:eastAsia="宋体" w:hint="default"/>
          <w:sz w:val="13"/>
          <w:szCs w:val="13"/>
        </w:rPr>
      </w:pPr>
    </w:p>
    <w:p>
      <w:pPr>
        <w:pStyle w:val="BodyText"/>
        <w:tabs>
          <w:tab w:pos="3742" w:val="left" w:leader="none"/>
          <w:tab w:pos="7220" w:val="left" w:leader="none"/>
        </w:tabs>
        <w:spacing w:line="876" w:lineRule="exact"/>
        <w:ind w:left="140" w:right="0"/>
        <w:jc w:val="left"/>
        <w:rPr>
          <w:rFonts w:ascii="宋体" w:hAnsi="宋体" w:cs="宋体" w:eastAsia="宋体" w:hint="default"/>
        </w:rPr>
      </w:pPr>
      <w:r>
        <w:rPr>
          <w:rFonts w:ascii="宋体"/>
          <w:position w:val="-17"/>
        </w:rPr>
        <w:pict>
          <v:shape style="width:126pt;height:42pt;mso-position-horizontal-relative:char;mso-position-vertical-relative:line" type="#_x0000_t202" filled="false" stroked="true" strokeweight=".75pt" strokecolor="#000000">
            <w10:anchorlock/>
            <v:textbox inset="0,0,0,0">
              <w:txbxContent>
                <w:p>
                  <w:pPr>
                    <w:spacing w:before="37"/>
                    <w:ind w:left="144" w:right="0" w:firstLine="0"/>
                    <w:jc w:val="left"/>
                    <w:rPr>
                      <w:rFonts w:ascii="宋体" w:hAnsi="宋体" w:cs="宋体" w:eastAsia="宋体" w:hint="default"/>
                      <w:sz w:val="21"/>
                      <w:szCs w:val="21"/>
                    </w:rPr>
                  </w:pPr>
                  <w:r>
                    <w:rPr>
                      <w:rFonts w:ascii="宋体" w:hAnsi="宋体" w:cs="宋体" w:eastAsia="宋体" w:hint="default"/>
                      <w:sz w:val="21"/>
                      <w:szCs w:val="21"/>
                    </w:rPr>
                    <w:t>北京用友科技有限公司</w:t>
                  </w:r>
                </w:p>
              </w:txbxContent>
            </v:textbox>
          </v:shape>
        </w:pict>
      </w:r>
      <w:r>
        <w:rPr>
          <w:rFonts w:ascii="宋体"/>
          <w:position w:val="-17"/>
        </w:rPr>
      </w:r>
      <w:r>
        <w:rPr>
          <w:rFonts w:ascii="宋体"/>
          <w:position w:val="-17"/>
        </w:rPr>
        <w:tab/>
      </w:r>
      <w:r>
        <w:rPr>
          <w:rFonts w:ascii="宋体"/>
          <w:position w:val="-13"/>
        </w:rPr>
        <w:pict>
          <v:shape style="width:96pt;height:42pt;mso-position-horizontal-relative:char;mso-position-vertical-relative:line" type="#_x0000_t202" filled="false" stroked="true" strokeweight=".75pt" strokecolor="#000000">
            <w10:anchorlock/>
            <v:textbox inset="0,0,0,0">
              <w:txbxContent>
                <w:p>
                  <w:pPr>
                    <w:spacing w:line="272" w:lineRule="exact" w:before="65"/>
                    <w:ind w:left="323" w:right="319" w:firstLine="0"/>
                    <w:jc w:val="left"/>
                    <w:rPr>
                      <w:rFonts w:ascii="宋体" w:hAnsi="宋体" w:cs="宋体" w:eastAsia="宋体" w:hint="default"/>
                      <w:sz w:val="21"/>
                      <w:szCs w:val="21"/>
                    </w:rPr>
                  </w:pPr>
                  <w:r>
                    <w:rPr>
                      <w:rFonts w:ascii="宋体" w:hAnsi="宋体" w:cs="宋体" w:eastAsia="宋体" w:hint="default"/>
                      <w:sz w:val="21"/>
                      <w:szCs w:val="21"/>
                    </w:rPr>
                    <w:t>上海用友科技 咨询有限公司</w:t>
                  </w:r>
                </w:p>
              </w:txbxContent>
            </v:textbox>
          </v:shape>
        </w:pict>
      </w:r>
      <w:r>
        <w:rPr>
          <w:rFonts w:ascii="宋体"/>
          <w:position w:val="-13"/>
        </w:rPr>
      </w:r>
      <w:r>
        <w:rPr>
          <w:rFonts w:ascii="宋体"/>
          <w:position w:val="-13"/>
        </w:rPr>
        <w:tab/>
      </w:r>
      <w:r>
        <w:rPr>
          <w:rFonts w:ascii="宋体"/>
          <w:position w:val="-17"/>
        </w:rPr>
        <w:pict>
          <v:shape style="width:102pt;height:42pt;mso-position-horizontal-relative:char;mso-position-vertical-relative:line" type="#_x0000_t202" filled="false" stroked="true" strokeweight=".75pt" strokecolor="#000000">
            <w10:anchorlock/>
            <v:textbox inset="0,0,0,0">
              <w:txbxContent>
                <w:p>
                  <w:pPr>
                    <w:spacing w:line="272" w:lineRule="exact" w:before="65"/>
                    <w:ind w:left="144" w:right="198" w:firstLine="0"/>
                    <w:jc w:val="left"/>
                    <w:rPr>
                      <w:rFonts w:ascii="宋体" w:hAnsi="宋体" w:cs="宋体" w:eastAsia="宋体" w:hint="default"/>
                      <w:sz w:val="21"/>
                      <w:szCs w:val="21"/>
                    </w:rPr>
                  </w:pPr>
                  <w:r>
                    <w:rPr>
                      <w:rFonts w:ascii="宋体" w:hAnsi="宋体" w:cs="宋体" w:eastAsia="宋体" w:hint="default"/>
                      <w:sz w:val="21"/>
                      <w:szCs w:val="21"/>
                    </w:rPr>
                    <w:t>北京用友企业管理 研究所有限公司</w:t>
                  </w:r>
                </w:p>
              </w:txbxContent>
            </v:textbox>
          </v:shape>
        </w:pict>
      </w:r>
      <w:r>
        <w:rPr>
          <w:rFonts w:ascii="宋体"/>
          <w:position w:val="-17"/>
        </w:rPr>
      </w:r>
    </w:p>
    <w:p>
      <w:pPr>
        <w:spacing w:line="240" w:lineRule="auto" w:before="0"/>
        <w:rPr>
          <w:rFonts w:ascii="宋体" w:hAnsi="宋体" w:cs="宋体" w:eastAsia="宋体" w:hint="default"/>
          <w:sz w:val="3"/>
          <w:szCs w:val="3"/>
        </w:rPr>
      </w:pPr>
    </w:p>
    <w:p>
      <w:pPr>
        <w:spacing w:line="727" w:lineRule="exact"/>
        <w:ind w:left="1213"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357.4pt;height:36.4pt;mso-position-horizontal-relative:char;mso-position-vertical-relative:line" coordorigin="0,0" coordsize="7148,728">
            <v:group style="position:absolute;left:8;top:173;width:2;height:360" coordorigin="8,173" coordsize="2,360">
              <v:shape style="position:absolute;left:8;top:173;width:2;height:360" coordorigin="8,173" coordsize="0,360" path="m8,173l8,533e" filled="false" stroked="true" strokeweight=".75pt" strokecolor="#000000">
                <v:path arrowok="t"/>
              </v:shape>
            </v:group>
            <v:group style="position:absolute;left:6968;top:173;width:2;height:360" coordorigin="6968,173" coordsize="2,360">
              <v:shape style="position:absolute;left:6968;top:173;width:2;height:360" coordorigin="6968,173" coordsize="0,360" path="m6968,173l6968,533e" filled="false" stroked="true" strokeweight=".75pt" strokecolor="#000000">
                <v:path arrowok="t"/>
              </v:shape>
            </v:group>
            <v:group style="position:absolute;left:8;top:533;width:6960;height:2" coordorigin="8,533" coordsize="6960,2">
              <v:shape style="position:absolute;left:8;top:533;width:6960;height:2" coordorigin="8,533" coordsize="6960,0" path="m8,533l6968,533e" filled="false" stroked="true" strokeweight=".75pt" strokecolor="#000000">
                <v:path arrowok="t"/>
              </v:shape>
            </v:group>
            <v:group style="position:absolute;left:3429;top:0;width:120;height:728" coordorigin="3429,0" coordsize="120,728">
              <v:shape style="position:absolute;left:3429;top:0;width:120;height:728" coordorigin="3429,0" coordsize="120,728" path="m3481,607l3429,607,3489,727,3535,635,3489,635,3484,632,3481,628,3481,607xe" filled="true" fillcolor="#000000" stroked="false">
                <v:path arrowok="t"/>
                <v:fill type="solid"/>
              </v:shape>
              <v:shape style="position:absolute;left:3429;top:0;width:120;height:728" coordorigin="3429,0" coordsize="120,728" path="m3489,0l3484,2,3481,7,3481,628,3484,632,3489,635,3493,632,3496,628,3496,7,3493,2,3489,0xe" filled="true" fillcolor="#000000" stroked="false">
                <v:path arrowok="t"/>
                <v:fill type="solid"/>
              </v:shape>
              <v:shape style="position:absolute;left:3429;top:0;width:120;height:728" coordorigin="3429,0" coordsize="120,728" path="m3549,607l3496,607,3496,628,3493,632,3489,635,3535,635,3549,607xe" filled="true" fillcolor="#000000" stroked="false">
                <v:path arrowok="t"/>
                <v:fill type="solid"/>
              </v:shape>
              <v:shape style="position:absolute;left:128;top:208;width:63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29.070%</w:t>
                      </w:r>
                    </w:p>
                  </w:txbxContent>
                </v:textbox>
                <w10:wrap type="none"/>
              </v:shape>
              <v:shape style="position:absolute;left:3758;top:208;width:63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13.446%</w:t>
                      </w:r>
                    </w:p>
                  </w:txbxContent>
                </v:textbox>
                <w10:wrap type="none"/>
              </v:shape>
              <v:shape style="position:absolute;left:6608;top:20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5.087%</w:t>
                      </w:r>
                    </w:p>
                  </w:txbxContent>
                </v:textbox>
                <w10:wrap type="none"/>
              </v:shape>
            </v:group>
          </v:group>
        </w:pict>
      </w:r>
      <w:r>
        <w:rPr>
          <w:rFonts w:ascii="宋体" w:hAnsi="宋体" w:cs="宋体" w:eastAsia="宋体" w:hint="default"/>
          <w:position w:val="-14"/>
          <w:sz w:val="20"/>
          <w:szCs w:val="20"/>
        </w:rPr>
      </w:r>
    </w:p>
    <w:p>
      <w:pPr>
        <w:spacing w:line="240" w:lineRule="auto" w:before="6"/>
        <w:rPr>
          <w:rFonts w:ascii="宋体" w:hAnsi="宋体" w:cs="宋体" w:eastAsia="宋体" w:hint="default"/>
          <w:sz w:val="20"/>
          <w:szCs w:val="20"/>
        </w:rPr>
      </w:pPr>
    </w:p>
    <w:p>
      <w:pPr>
        <w:spacing w:line="530" w:lineRule="exact"/>
        <w:ind w:left="3260" w:right="0" w:firstLine="0"/>
        <w:rPr>
          <w:rFonts w:ascii="宋体" w:hAnsi="宋体" w:cs="宋体" w:eastAsia="宋体" w:hint="default"/>
          <w:sz w:val="20"/>
          <w:szCs w:val="20"/>
        </w:rPr>
      </w:pPr>
      <w:r>
        <w:rPr>
          <w:rFonts w:ascii="宋体" w:hAnsi="宋体" w:cs="宋体" w:eastAsia="宋体" w:hint="default"/>
          <w:position w:val="-10"/>
          <w:sz w:val="20"/>
          <w:szCs w:val="20"/>
        </w:rPr>
        <w:pict>
          <v:shape style="width:150pt;height:26.55pt;mso-position-horizontal-relative:char;mso-position-vertical-relative:line" type="#_x0000_t202" filled="false" stroked="true" strokeweight=".75pt" strokecolor="#000000">
            <w10:anchorlock/>
            <v:textbox inset="0,0,0,0">
              <w:txbxContent>
                <w:p>
                  <w:pPr>
                    <w:spacing w:before="36"/>
                    <w:ind w:left="443" w:right="0" w:firstLine="0"/>
                    <w:jc w:val="left"/>
                    <w:rPr>
                      <w:rFonts w:ascii="宋体" w:hAnsi="宋体" w:cs="宋体" w:eastAsia="宋体" w:hint="default"/>
                      <w:sz w:val="21"/>
                      <w:szCs w:val="21"/>
                    </w:rPr>
                  </w:pPr>
                  <w:r>
                    <w:rPr>
                      <w:rFonts w:ascii="宋体" w:hAnsi="宋体" w:cs="宋体" w:eastAsia="宋体" w:hint="default"/>
                      <w:sz w:val="21"/>
                      <w:szCs w:val="21"/>
                    </w:rPr>
                    <w:t>用友软件股份有限公司</w:t>
                  </w:r>
                </w:p>
              </w:txbxContent>
            </v:textbox>
          </v:shape>
        </w:pict>
      </w:r>
      <w:r>
        <w:rPr>
          <w:rFonts w:ascii="宋体" w:hAnsi="宋体" w:cs="宋体" w:eastAsia="宋体" w:hint="default"/>
          <w:position w:val="-10"/>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388" w:lineRule="auto" w:before="184"/>
        <w:ind w:left="620" w:right="3204" w:firstLine="2"/>
        <w:jc w:val="left"/>
        <w:rPr>
          <w:rFonts w:ascii="宋体" w:hAnsi="宋体" w:cs="宋体" w:eastAsia="宋体" w:hint="default"/>
          <w:sz w:val="24"/>
          <w:szCs w:val="24"/>
        </w:rPr>
      </w:pPr>
      <w:r>
        <w:rPr>
          <w:rFonts w:ascii="宋体" w:hAnsi="宋体" w:cs="宋体" w:eastAsia="宋体" w:hint="default"/>
          <w:sz w:val="24"/>
          <w:szCs w:val="24"/>
        </w:rPr>
        <w:t>(4) 控股股东及实际控制人变更情况 本报告期内公司控股股东及实际控制人没有发生变更。</w:t>
      </w:r>
    </w:p>
    <w:p>
      <w:pPr>
        <w:spacing w:line="451" w:lineRule="auto" w:before="166"/>
        <w:ind w:left="620" w:right="203" w:firstLine="0"/>
        <w:jc w:val="left"/>
        <w:rPr>
          <w:rFonts w:ascii="宋体" w:hAnsi="宋体" w:cs="宋体" w:eastAsia="宋体" w:hint="default"/>
          <w:sz w:val="24"/>
          <w:szCs w:val="24"/>
        </w:rPr>
      </w:pPr>
      <w:r>
        <w:rPr>
          <w:rFonts w:ascii="宋体" w:hAnsi="宋体" w:cs="宋体" w:eastAsia="宋体" w:hint="default"/>
          <w:sz w:val="24"/>
          <w:szCs w:val="24"/>
        </w:rPr>
        <w:t>3、其他持股在百分之十以上的法人股东 上海用友科技咨询有限公司法定代表人为王文京先生。该公司成立于</w:t>
      </w:r>
      <w:r>
        <w:rPr>
          <w:rFonts w:ascii="宋体" w:hAnsi="宋体" w:cs="宋体" w:eastAsia="宋体" w:hint="default"/>
          <w:spacing w:val="-87"/>
          <w:sz w:val="24"/>
          <w:szCs w:val="24"/>
        </w:rPr>
        <w:t> </w:t>
      </w:r>
      <w:r>
        <w:rPr>
          <w:rFonts w:ascii="宋体" w:hAnsi="宋体" w:cs="宋体" w:eastAsia="宋体" w:hint="default"/>
          <w:spacing w:val="25"/>
          <w:sz w:val="24"/>
          <w:szCs w:val="24"/>
        </w:rPr>
        <w:t>1994年5月</w:t>
      </w:r>
      <w:r>
        <w:rPr>
          <w:rFonts w:ascii="宋体" w:hAnsi="宋体" w:cs="宋体" w:eastAsia="宋体" w:hint="default"/>
          <w:spacing w:val="-87"/>
          <w:sz w:val="24"/>
          <w:szCs w:val="24"/>
        </w:rPr>
        <w:t> </w:t>
      </w:r>
      <w:r>
        <w:rPr>
          <w:rFonts w:ascii="宋体" w:hAnsi="宋体" w:cs="宋体" w:eastAsia="宋体" w:hint="default"/>
          <w:sz w:val="24"/>
          <w:szCs w:val="24"/>
        </w:rPr>
        <w:t>30</w:t>
      </w:r>
    </w:p>
    <w:p>
      <w:pPr>
        <w:spacing w:line="257" w:lineRule="exact" w:before="0"/>
        <w:ind w:left="140" w:right="0" w:firstLine="0"/>
        <w:jc w:val="left"/>
        <w:rPr>
          <w:rFonts w:ascii="宋体" w:hAnsi="宋体" w:cs="宋体" w:eastAsia="宋体" w:hint="default"/>
          <w:sz w:val="24"/>
          <w:szCs w:val="24"/>
        </w:rPr>
      </w:pPr>
      <w:r>
        <w:rPr>
          <w:rFonts w:ascii="宋体" w:hAnsi="宋体" w:cs="宋体" w:eastAsia="宋体" w:hint="default"/>
          <w:spacing w:val="-3"/>
          <w:sz w:val="24"/>
          <w:szCs w:val="24"/>
        </w:rPr>
        <w:t>日，注册资本为人民币</w:t>
      </w:r>
      <w:r>
        <w:rPr>
          <w:rFonts w:ascii="宋体" w:hAnsi="宋体" w:cs="宋体" w:eastAsia="宋体" w:hint="default"/>
          <w:spacing w:val="-57"/>
          <w:sz w:val="24"/>
          <w:szCs w:val="24"/>
        </w:rPr>
        <w:t> </w:t>
      </w:r>
      <w:r>
        <w:rPr>
          <w:rFonts w:ascii="宋体" w:hAnsi="宋体" w:cs="宋体" w:eastAsia="宋体" w:hint="default"/>
          <w:sz w:val="24"/>
          <w:szCs w:val="24"/>
        </w:rPr>
        <w:t>25,000,000</w:t>
      </w:r>
      <w:r>
        <w:rPr>
          <w:rFonts w:ascii="宋体" w:hAnsi="宋体" w:cs="宋体" w:eastAsia="宋体" w:hint="default"/>
          <w:spacing w:val="-57"/>
          <w:sz w:val="24"/>
          <w:szCs w:val="24"/>
        </w:rPr>
        <w:t> </w:t>
      </w:r>
      <w:r>
        <w:rPr>
          <w:rFonts w:ascii="宋体" w:hAnsi="宋体" w:cs="宋体" w:eastAsia="宋体" w:hint="default"/>
          <w:spacing w:val="-4"/>
          <w:sz w:val="24"/>
          <w:szCs w:val="24"/>
        </w:rPr>
        <w:t>元，经营范围包括：信息技术、企业管理的四技服务。</w:t>
      </w:r>
    </w:p>
    <w:p>
      <w:pPr>
        <w:spacing w:after="0" w:line="257" w:lineRule="exact"/>
        <w:jc w:val="left"/>
        <w:rPr>
          <w:rFonts w:ascii="宋体" w:hAnsi="宋体" w:cs="宋体" w:eastAsia="宋体" w:hint="default"/>
          <w:sz w:val="24"/>
          <w:szCs w:val="24"/>
        </w:rPr>
        <w:sectPr>
          <w:pgSz w:w="11910" w:h="16840"/>
          <w:pgMar w:header="720" w:footer="727" w:top="1080" w:bottom="920" w:left="1220" w:right="1080"/>
        </w:sectPr>
      </w:pPr>
    </w:p>
    <w:p>
      <w:pPr>
        <w:spacing w:line="240" w:lineRule="auto" w:before="7"/>
        <w:rPr>
          <w:rFonts w:ascii="宋体" w:hAnsi="宋体" w:cs="宋体" w:eastAsia="宋体" w:hint="default"/>
          <w:sz w:val="22"/>
          <w:szCs w:val="22"/>
        </w:rPr>
      </w:pPr>
    </w:p>
    <w:p>
      <w:pPr>
        <w:pStyle w:val="Heading3"/>
        <w:spacing w:line="240" w:lineRule="auto"/>
        <w:ind w:left="2653" w:right="304"/>
        <w:jc w:val="left"/>
        <w:rPr>
          <w:b w:val="0"/>
          <w:bCs w:val="0"/>
        </w:rPr>
      </w:pPr>
      <w:bookmarkStart w:name="_bookmark5" w:id="7"/>
      <w:bookmarkEnd w:id="7"/>
      <w:r>
        <w:rPr>
          <w:b w:val="0"/>
          <w:bCs w:val="0"/>
        </w:rPr>
      </w:r>
      <w:r>
        <w:rPr/>
        <w:t>四、董事、监事和高级管理人员</w:t>
      </w:r>
      <w:r>
        <w:rPr>
          <w:b w:val="0"/>
          <w:bCs w:val="0"/>
        </w:rPr>
      </w:r>
    </w:p>
    <w:p>
      <w:pPr>
        <w:spacing w:line="240" w:lineRule="auto" w:before="13"/>
        <w:rPr>
          <w:rFonts w:ascii="黑体" w:hAnsi="黑体" w:cs="黑体" w:eastAsia="黑体" w:hint="default"/>
          <w:b/>
          <w:bCs/>
          <w:sz w:val="27"/>
          <w:szCs w:val="27"/>
        </w:rPr>
      </w:pPr>
    </w:p>
    <w:p>
      <w:pPr>
        <w:spacing w:before="0"/>
        <w:ind w:left="540" w:right="304"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1"/>
          <w:sz w:val="24"/>
          <w:szCs w:val="24"/>
        </w:rPr>
        <w:t> </w:t>
      </w:r>
      <w:r>
        <w:rPr>
          <w:rFonts w:ascii="宋体" w:hAnsi="宋体" w:cs="宋体" w:eastAsia="宋体" w:hint="default"/>
          <w:b/>
          <w:bCs/>
          <w:sz w:val="24"/>
          <w:szCs w:val="24"/>
        </w:rPr>
        <w:t>董事、监事和高级管理人员持股变动及报酬情况</w:t>
      </w:r>
      <w:r>
        <w:rPr>
          <w:rFonts w:ascii="宋体" w:hAnsi="宋体" w:cs="宋体" w:eastAsia="宋体" w:hint="default"/>
          <w:sz w:val="24"/>
          <w:szCs w:val="24"/>
        </w:rPr>
      </w:r>
    </w:p>
    <w:p>
      <w:pPr>
        <w:spacing w:line="240" w:lineRule="auto" w:before="3"/>
        <w:rPr>
          <w:rFonts w:ascii="宋体" w:hAnsi="宋体" w:cs="宋体" w:eastAsia="宋体" w:hint="default"/>
          <w:b/>
          <w:bCs/>
          <w:sz w:val="16"/>
          <w:szCs w:val="16"/>
        </w:rPr>
      </w:pPr>
    </w:p>
    <w:p>
      <w:pPr>
        <w:spacing w:after="0" w:line="240" w:lineRule="auto"/>
        <w:rPr>
          <w:rFonts w:ascii="宋体" w:hAnsi="宋体" w:cs="宋体" w:eastAsia="宋体" w:hint="default"/>
          <w:sz w:val="16"/>
          <w:szCs w:val="16"/>
        </w:rPr>
        <w:sectPr>
          <w:pgSz w:w="11910" w:h="16840"/>
          <w:pgMar w:header="720" w:footer="727" w:top="1080" w:bottom="920" w:left="1220" w:right="860"/>
        </w:sectPr>
      </w:pPr>
    </w:p>
    <w:p>
      <w:pPr>
        <w:spacing w:before="26"/>
        <w:ind w:left="623" w:right="-20" w:firstLine="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、董事、监事和高级管理人员持股变动及报酬情况</w:t>
      </w:r>
    </w:p>
    <w:p>
      <w:pPr>
        <w:spacing w:line="240" w:lineRule="auto" w:before="0"/>
        <w:rPr>
          <w:rFonts w:ascii="宋体" w:hAnsi="宋体" w:cs="宋体" w:eastAsia="宋体" w:hint="default"/>
          <w:sz w:val="20"/>
          <w:szCs w:val="20"/>
        </w:rPr>
      </w:pPr>
      <w:r>
        <w:rPr/>
        <w:br w:type="column"/>
      </w:r>
      <w:r>
        <w:rPr>
          <w:rFonts w:ascii="宋体"/>
          <w:sz w:val="20"/>
        </w:rPr>
      </w:r>
    </w:p>
    <w:p>
      <w:pPr>
        <w:spacing w:before="157"/>
        <w:ind w:left="623"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900" w:bottom="280" w:left="1220" w:right="860"/>
          <w:cols w:num="2" w:equalWidth="0">
            <w:col w:w="6024" w:space="1896"/>
            <w:col w:w="1910"/>
          </w:cols>
        </w:sectPr>
      </w:pPr>
    </w:p>
    <w:p>
      <w:pPr>
        <w:spacing w:line="240" w:lineRule="auto" w:before="7"/>
        <w:rPr>
          <w:rFonts w:ascii="宋体" w:hAnsi="宋体" w:cs="宋体" w:eastAsia="宋体" w:hint="default"/>
          <w:sz w:val="2"/>
          <w:szCs w:val="2"/>
        </w:rPr>
      </w:pPr>
    </w:p>
    <w:tbl>
      <w:tblPr>
        <w:tblW w:w="0" w:type="auto"/>
        <w:jc w:val="left"/>
        <w:tblInd w:w="131" w:type="dxa"/>
        <w:tblLayout w:type="fixed"/>
        <w:tblCellMar>
          <w:top w:w="0" w:type="dxa"/>
          <w:left w:w="0" w:type="dxa"/>
          <w:bottom w:w="0" w:type="dxa"/>
          <w:right w:w="0" w:type="dxa"/>
        </w:tblCellMar>
        <w:tblLook w:val="01E0"/>
      </w:tblPr>
      <w:tblGrid>
        <w:gridCol w:w="848"/>
        <w:gridCol w:w="1457"/>
        <w:gridCol w:w="415"/>
        <w:gridCol w:w="416"/>
        <w:gridCol w:w="1068"/>
        <w:gridCol w:w="600"/>
        <w:gridCol w:w="1100"/>
        <w:gridCol w:w="1200"/>
        <w:gridCol w:w="1493"/>
        <w:gridCol w:w="962"/>
      </w:tblGrid>
      <w:tr>
        <w:trPr>
          <w:trHeight w:val="141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32" w:lineRule="exact"/>
              <w:ind w:left="103" w:right="120"/>
              <w:jc w:val="left"/>
              <w:rPr>
                <w:rFonts w:ascii="宋体" w:hAnsi="宋体" w:cs="宋体" w:eastAsia="宋体" w:hint="default"/>
                <w:sz w:val="18"/>
                <w:szCs w:val="18"/>
              </w:rPr>
            </w:pPr>
            <w:r>
              <w:rPr>
                <w:rFonts w:ascii="宋体" w:hAnsi="宋体" w:cs="宋体" w:eastAsia="宋体" w:hint="default"/>
                <w:sz w:val="18"/>
                <w:szCs w:val="18"/>
              </w:rPr>
              <w:t>性 别</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32" w:lineRule="exact"/>
              <w:ind w:left="103" w:right="121"/>
              <w:jc w:val="left"/>
              <w:rPr>
                <w:rFonts w:ascii="宋体" w:hAnsi="宋体" w:cs="宋体" w:eastAsia="宋体" w:hint="default"/>
                <w:sz w:val="18"/>
                <w:szCs w:val="18"/>
              </w:rPr>
            </w:pPr>
            <w:r>
              <w:rPr>
                <w:rFonts w:ascii="宋体" w:hAnsi="宋体" w:cs="宋体" w:eastAsia="宋体" w:hint="default"/>
                <w:sz w:val="18"/>
                <w:szCs w:val="18"/>
              </w:rPr>
              <w:t>年 龄</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32" w:lineRule="exact"/>
              <w:ind w:left="259" w:right="257"/>
              <w:jc w:val="left"/>
              <w:rPr>
                <w:rFonts w:ascii="宋体" w:hAnsi="宋体" w:cs="宋体" w:eastAsia="宋体" w:hint="default"/>
                <w:sz w:val="18"/>
                <w:szCs w:val="18"/>
              </w:rPr>
            </w:pPr>
            <w:r>
              <w:rPr>
                <w:rFonts w:ascii="宋体" w:hAnsi="宋体" w:cs="宋体" w:eastAsia="宋体" w:hint="default"/>
                <w:sz w:val="18"/>
                <w:szCs w:val="18"/>
              </w:rPr>
              <w:t>任期起 始日期</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32" w:lineRule="exact"/>
              <w:ind w:left="22" w:right="25" w:hanging="8"/>
              <w:jc w:val="left"/>
              <w:rPr>
                <w:rFonts w:ascii="宋体" w:hAnsi="宋体" w:cs="宋体" w:eastAsia="宋体" w:hint="default"/>
                <w:sz w:val="18"/>
                <w:szCs w:val="18"/>
              </w:rPr>
            </w:pPr>
            <w:r>
              <w:rPr>
                <w:rFonts w:ascii="宋体" w:hAnsi="宋体" w:cs="宋体" w:eastAsia="宋体" w:hint="default"/>
                <w:sz w:val="18"/>
                <w:szCs w:val="18"/>
              </w:rPr>
              <w:t>任期终 止日期</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85"/>
              <w:jc w:val="right"/>
              <w:rPr>
                <w:rFonts w:ascii="宋体" w:hAnsi="宋体" w:cs="宋体" w:eastAsia="宋体" w:hint="default"/>
                <w:sz w:val="18"/>
                <w:szCs w:val="18"/>
              </w:rPr>
            </w:pPr>
            <w:r>
              <w:rPr>
                <w:rFonts w:ascii="宋体" w:hAnsi="宋体" w:cs="宋体" w:eastAsia="宋体" w:hint="default"/>
                <w:sz w:val="18"/>
                <w:szCs w:val="18"/>
              </w:rPr>
              <w:t>年初持股数</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年末持股数</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变动原因</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报告期内</w:t>
            </w:r>
          </w:p>
          <w:p>
            <w:pPr>
              <w:pStyle w:val="TableParagraph"/>
              <w:spacing w:line="237" w:lineRule="auto"/>
              <w:ind w:left="103" w:right="127"/>
              <w:jc w:val="both"/>
              <w:rPr>
                <w:rFonts w:ascii="宋体" w:hAnsi="宋体" w:cs="宋体" w:eastAsia="宋体" w:hint="default"/>
                <w:sz w:val="18"/>
                <w:szCs w:val="18"/>
              </w:rPr>
            </w:pPr>
            <w:r>
              <w:rPr>
                <w:rFonts w:ascii="宋体" w:hAnsi="宋体" w:cs="宋体" w:eastAsia="宋体" w:hint="default"/>
                <w:sz w:val="18"/>
                <w:szCs w:val="18"/>
              </w:rPr>
              <w:t>从公司领 取的报酬 总额</w:t>
            </w:r>
          </w:p>
          <w:p>
            <w:pPr>
              <w:pStyle w:val="TableParagraph"/>
              <w:spacing w:line="233" w:lineRule="exact"/>
              <w:ind w:left="103" w:right="0"/>
              <w:jc w:val="both"/>
              <w:rPr>
                <w:rFonts w:ascii="宋体" w:hAnsi="宋体" w:cs="宋体" w:eastAsia="宋体" w:hint="default"/>
                <w:sz w:val="18"/>
                <w:szCs w:val="18"/>
              </w:rPr>
            </w:pPr>
            <w:r>
              <w:rPr>
                <w:rFonts w:ascii="宋体" w:hAnsi="宋体" w:cs="宋体" w:eastAsia="宋体" w:hint="default"/>
                <w:sz w:val="18"/>
                <w:szCs w:val="18"/>
              </w:rPr>
              <w:t>（万元）</w:t>
            </w:r>
          </w:p>
          <w:p>
            <w:pPr>
              <w:pStyle w:val="TableParagraph"/>
              <w:spacing w:line="234" w:lineRule="exact"/>
              <w:ind w:left="103" w:right="0"/>
              <w:jc w:val="both"/>
              <w:rPr>
                <w:rFonts w:ascii="宋体" w:hAnsi="宋体" w:cs="宋体" w:eastAsia="宋体" w:hint="default"/>
                <w:sz w:val="18"/>
                <w:szCs w:val="18"/>
              </w:rPr>
            </w:pPr>
            <w:r>
              <w:rPr>
                <w:rFonts w:ascii="宋体" w:hAnsi="宋体" w:cs="宋体" w:eastAsia="宋体" w:hint="default"/>
                <w:sz w:val="18"/>
                <w:szCs w:val="18"/>
              </w:rPr>
              <w:t>（税前）</w:t>
            </w:r>
          </w:p>
        </w:tc>
      </w:tr>
      <w:tr>
        <w:trPr>
          <w:trHeight w:val="251"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王文京</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董事长兼总裁</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45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108.23</w:t>
            </w:r>
          </w:p>
        </w:tc>
      </w:tr>
      <w:tr>
        <w:trPr>
          <w:trHeight w:val="476"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郭新平</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副董事长兼财</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务总监</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宋体" w:hAnsi="宋体" w:cs="宋体" w:eastAsia="宋体" w:hint="default"/>
                <w:sz w:val="18"/>
                <w:szCs w:val="18"/>
              </w:rPr>
            </w:pPr>
            <w:r>
              <w:rPr>
                <w:rFonts w:ascii="宋体"/>
                <w:sz w:val="18"/>
              </w:rPr>
              <w:t>46</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100.25</w:t>
            </w:r>
          </w:p>
        </w:tc>
      </w:tr>
      <w:tr>
        <w:trPr>
          <w:trHeight w:val="25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吴政平</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45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93.52</w:t>
            </w:r>
          </w:p>
        </w:tc>
      </w:tr>
      <w:tr>
        <w:trPr>
          <w:trHeight w:val="251"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秦荣生</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47</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6.00</w:t>
            </w:r>
          </w:p>
        </w:tc>
      </w:tr>
      <w:tr>
        <w:trPr>
          <w:trHeight w:val="25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王明富</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43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6.00</w:t>
            </w:r>
          </w:p>
        </w:tc>
      </w:tr>
      <w:tr>
        <w:trPr>
          <w:trHeight w:val="25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陈丕宏</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52</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6.00</w:t>
            </w:r>
          </w:p>
        </w:tc>
      </w:tr>
      <w:tr>
        <w:trPr>
          <w:trHeight w:val="251"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许建钢</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49</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79,000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102,700</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53.92</w:t>
            </w:r>
          </w:p>
        </w:tc>
      </w:tr>
      <w:tr>
        <w:trPr>
          <w:trHeight w:val="25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邵凯</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45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0.00</w:t>
            </w:r>
          </w:p>
        </w:tc>
      </w:tr>
      <w:tr>
        <w:trPr>
          <w:trHeight w:val="25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严绍业</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46</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22,400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29,120</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37.92</w:t>
            </w:r>
          </w:p>
        </w:tc>
      </w:tr>
      <w:tr>
        <w:trPr>
          <w:trHeight w:val="491"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贾文新</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sz w:val="18"/>
              </w:rPr>
              <w:t>43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53,300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49,000</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转增股本、二级</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市场买卖</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48.46</w:t>
            </w:r>
          </w:p>
        </w:tc>
      </w:tr>
      <w:tr>
        <w:trPr>
          <w:trHeight w:val="25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乔海</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39</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21,800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28,340</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30.74</w:t>
            </w:r>
          </w:p>
        </w:tc>
      </w:tr>
      <w:tr>
        <w:trPr>
          <w:trHeight w:val="25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杨祉雄</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44</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2,020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2,626</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126.65</w:t>
            </w:r>
          </w:p>
        </w:tc>
      </w:tr>
      <w:tr>
        <w:trPr>
          <w:trHeight w:val="731"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章培林</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45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181,380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260,328</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转增股本、二级</w:t>
            </w:r>
          </w:p>
          <w:p>
            <w:pPr>
              <w:pStyle w:val="TableParagraph"/>
              <w:spacing w:line="232" w:lineRule="exact" w:before="24"/>
              <w:ind w:left="103" w:right="118"/>
              <w:jc w:val="left"/>
              <w:rPr>
                <w:rFonts w:ascii="宋体" w:hAnsi="宋体" w:cs="宋体" w:eastAsia="宋体" w:hint="default"/>
                <w:sz w:val="18"/>
                <w:szCs w:val="18"/>
              </w:rPr>
            </w:pPr>
            <w:r>
              <w:rPr>
                <w:rFonts w:ascii="宋体" w:hAnsi="宋体" w:cs="宋体" w:eastAsia="宋体" w:hint="default"/>
                <w:sz w:val="18"/>
                <w:szCs w:val="18"/>
              </w:rPr>
              <w:t>市场买卖、获授 股权激励</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134.82</w:t>
            </w:r>
          </w:p>
        </w:tc>
      </w:tr>
      <w:tr>
        <w:trPr>
          <w:trHeight w:val="73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郭延生</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43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285,500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376,771</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
              <w:ind w:left="103" w:right="118"/>
              <w:jc w:val="left"/>
              <w:rPr>
                <w:rFonts w:ascii="宋体" w:hAnsi="宋体" w:cs="宋体" w:eastAsia="宋体" w:hint="default"/>
                <w:sz w:val="18"/>
                <w:szCs w:val="18"/>
              </w:rPr>
            </w:pPr>
            <w:r>
              <w:rPr>
                <w:rFonts w:ascii="宋体" w:hAnsi="宋体" w:cs="宋体" w:eastAsia="宋体" w:hint="default"/>
                <w:sz w:val="18"/>
                <w:szCs w:val="18"/>
              </w:rPr>
              <w:t>转增股本、二级 市场买卖、获授</w:t>
            </w:r>
          </w:p>
          <w:p>
            <w:pPr>
              <w:pStyle w:val="TableParagraph"/>
              <w:spacing w:line="213" w:lineRule="exact"/>
              <w:ind w:left="103" w:right="0"/>
              <w:jc w:val="left"/>
              <w:rPr>
                <w:rFonts w:ascii="宋体" w:hAnsi="宋体" w:cs="宋体" w:eastAsia="宋体" w:hint="default"/>
                <w:sz w:val="18"/>
                <w:szCs w:val="18"/>
              </w:rPr>
            </w:pPr>
            <w:r>
              <w:rPr>
                <w:rFonts w:ascii="宋体" w:hAnsi="宋体" w:cs="宋体" w:eastAsia="宋体" w:hint="default"/>
                <w:sz w:val="18"/>
                <w:szCs w:val="18"/>
              </w:rPr>
              <w:t>股权激励</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118.35</w:t>
            </w:r>
          </w:p>
        </w:tc>
      </w:tr>
      <w:tr>
        <w:trPr>
          <w:trHeight w:val="73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李友</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45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255,800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414,140</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转增股本、二级</w:t>
            </w:r>
          </w:p>
          <w:p>
            <w:pPr>
              <w:pStyle w:val="TableParagraph"/>
              <w:spacing w:line="232" w:lineRule="exact" w:before="24"/>
              <w:ind w:left="103" w:right="118"/>
              <w:jc w:val="left"/>
              <w:rPr>
                <w:rFonts w:ascii="宋体" w:hAnsi="宋体" w:cs="宋体" w:eastAsia="宋体" w:hint="default"/>
                <w:sz w:val="18"/>
                <w:szCs w:val="18"/>
              </w:rPr>
            </w:pPr>
            <w:r>
              <w:rPr>
                <w:rFonts w:ascii="宋体" w:hAnsi="宋体" w:cs="宋体" w:eastAsia="宋体" w:hint="default"/>
                <w:sz w:val="18"/>
                <w:szCs w:val="18"/>
              </w:rPr>
              <w:t>市场买卖、获授 股权激励</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103.88</w:t>
            </w:r>
          </w:p>
        </w:tc>
      </w:tr>
      <w:tr>
        <w:trPr>
          <w:trHeight w:val="731"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曾志勇</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41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189,360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261,526</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转增股本、二级</w:t>
            </w:r>
          </w:p>
          <w:p>
            <w:pPr>
              <w:pStyle w:val="TableParagraph"/>
              <w:spacing w:line="232" w:lineRule="exact" w:before="24"/>
              <w:ind w:left="103" w:right="118"/>
              <w:jc w:val="left"/>
              <w:rPr>
                <w:rFonts w:ascii="宋体" w:hAnsi="宋体" w:cs="宋体" w:eastAsia="宋体" w:hint="default"/>
                <w:sz w:val="18"/>
                <w:szCs w:val="18"/>
              </w:rPr>
            </w:pPr>
            <w:r>
              <w:rPr>
                <w:rFonts w:ascii="宋体" w:hAnsi="宋体" w:cs="宋体" w:eastAsia="宋体" w:hint="default"/>
                <w:sz w:val="18"/>
                <w:szCs w:val="18"/>
              </w:rPr>
              <w:t>市场买卖、获授 股权激励</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80.90</w:t>
            </w:r>
          </w:p>
        </w:tc>
      </w:tr>
      <w:tr>
        <w:trPr>
          <w:trHeight w:val="73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吴健</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44</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250,800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332,330</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
              <w:ind w:left="103" w:right="118"/>
              <w:jc w:val="left"/>
              <w:rPr>
                <w:rFonts w:ascii="宋体" w:hAnsi="宋体" w:cs="宋体" w:eastAsia="宋体" w:hint="default"/>
                <w:sz w:val="18"/>
                <w:szCs w:val="18"/>
              </w:rPr>
            </w:pPr>
            <w:r>
              <w:rPr>
                <w:rFonts w:ascii="宋体" w:hAnsi="宋体" w:cs="宋体" w:eastAsia="宋体" w:hint="default"/>
                <w:sz w:val="18"/>
                <w:szCs w:val="18"/>
              </w:rPr>
              <w:t>转增股本、二级 市场买卖、获授</w:t>
            </w:r>
          </w:p>
          <w:p>
            <w:pPr>
              <w:pStyle w:val="TableParagraph"/>
              <w:spacing w:line="213" w:lineRule="exact"/>
              <w:ind w:left="103" w:right="0"/>
              <w:jc w:val="left"/>
              <w:rPr>
                <w:rFonts w:ascii="宋体" w:hAnsi="宋体" w:cs="宋体" w:eastAsia="宋体" w:hint="default"/>
                <w:sz w:val="18"/>
                <w:szCs w:val="18"/>
              </w:rPr>
            </w:pPr>
            <w:r>
              <w:rPr>
                <w:rFonts w:ascii="宋体" w:hAnsi="宋体" w:cs="宋体" w:eastAsia="宋体" w:hint="default"/>
                <w:sz w:val="18"/>
                <w:szCs w:val="18"/>
              </w:rPr>
              <w:t>股权激励</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110.57</w:t>
            </w:r>
          </w:p>
        </w:tc>
      </w:tr>
      <w:tr>
        <w:trPr>
          <w:trHeight w:val="73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吴晓冬</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41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193,540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261,622</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转增股本、二级</w:t>
            </w:r>
          </w:p>
          <w:p>
            <w:pPr>
              <w:pStyle w:val="TableParagraph"/>
              <w:spacing w:line="232" w:lineRule="exact" w:before="24"/>
              <w:ind w:left="103" w:right="118"/>
              <w:jc w:val="left"/>
              <w:rPr>
                <w:rFonts w:ascii="宋体" w:hAnsi="宋体" w:cs="宋体" w:eastAsia="宋体" w:hint="default"/>
                <w:sz w:val="18"/>
                <w:szCs w:val="18"/>
              </w:rPr>
            </w:pPr>
            <w:r>
              <w:rPr>
                <w:rFonts w:ascii="宋体" w:hAnsi="宋体" w:cs="宋体" w:eastAsia="宋体" w:hint="default"/>
                <w:sz w:val="18"/>
                <w:szCs w:val="18"/>
              </w:rPr>
              <w:t>市场买卖、获授 股权激励</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116.44</w:t>
            </w:r>
          </w:p>
        </w:tc>
      </w:tr>
      <w:tr>
        <w:trPr>
          <w:trHeight w:val="491"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卢刚</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sz w:val="18"/>
              </w:rPr>
              <w:t>47</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92,700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165,110</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转增股本、获授</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股权激励</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97.14</w:t>
            </w:r>
          </w:p>
        </w:tc>
      </w:tr>
      <w:tr>
        <w:trPr>
          <w:trHeight w:val="49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陈巧红</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sz w:val="18"/>
              </w:rPr>
              <w:t>45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241,338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400,740</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转增股本、获授</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股权激励</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88.11</w:t>
            </w:r>
          </w:p>
        </w:tc>
      </w:tr>
      <w:tr>
        <w:trPr>
          <w:trHeight w:val="73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蒋蜀革</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41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142,470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243,711</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转增股本、二级</w:t>
            </w:r>
          </w:p>
          <w:p>
            <w:pPr>
              <w:pStyle w:val="TableParagraph"/>
              <w:spacing w:line="232" w:lineRule="exact" w:before="24"/>
              <w:ind w:left="103" w:right="118"/>
              <w:jc w:val="left"/>
              <w:rPr>
                <w:rFonts w:ascii="宋体" w:hAnsi="宋体" w:cs="宋体" w:eastAsia="宋体" w:hint="default"/>
                <w:sz w:val="18"/>
                <w:szCs w:val="18"/>
              </w:rPr>
            </w:pPr>
            <w:r>
              <w:rPr>
                <w:rFonts w:ascii="宋体" w:hAnsi="宋体" w:cs="宋体" w:eastAsia="宋体" w:hint="default"/>
                <w:sz w:val="18"/>
                <w:szCs w:val="18"/>
              </w:rPr>
              <w:t>市场买卖、获授 股权激励</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85.86</w:t>
            </w:r>
          </w:p>
        </w:tc>
      </w:tr>
      <w:tr>
        <w:trPr>
          <w:trHeight w:val="731"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郑雨林</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44</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157,600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221,580</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转增股本、二级</w:t>
            </w:r>
          </w:p>
          <w:p>
            <w:pPr>
              <w:pStyle w:val="TableParagraph"/>
              <w:spacing w:line="232" w:lineRule="exact" w:before="24"/>
              <w:ind w:left="103" w:right="118"/>
              <w:jc w:val="left"/>
              <w:rPr>
                <w:rFonts w:ascii="宋体" w:hAnsi="宋体" w:cs="宋体" w:eastAsia="宋体" w:hint="default"/>
                <w:sz w:val="18"/>
                <w:szCs w:val="18"/>
              </w:rPr>
            </w:pPr>
            <w:r>
              <w:rPr>
                <w:rFonts w:ascii="宋体" w:hAnsi="宋体" w:cs="宋体" w:eastAsia="宋体" w:hint="default"/>
                <w:sz w:val="18"/>
                <w:szCs w:val="18"/>
              </w:rPr>
              <w:t>市场买卖、获授 股权激励</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76.04</w:t>
            </w:r>
          </w:p>
        </w:tc>
      </w:tr>
    </w:tbl>
    <w:p>
      <w:pPr>
        <w:spacing w:after="0" w:line="240" w:lineRule="auto"/>
        <w:jc w:val="right"/>
        <w:rPr>
          <w:rFonts w:ascii="宋体" w:hAnsi="宋体" w:cs="宋体" w:eastAsia="宋体" w:hint="default"/>
          <w:sz w:val="18"/>
          <w:szCs w:val="18"/>
        </w:rPr>
        <w:sectPr>
          <w:type w:val="continuous"/>
          <w:pgSz w:w="11910" w:h="16840"/>
          <w:pgMar w:top="900" w:bottom="280" w:left="1220" w:right="860"/>
        </w:sectPr>
      </w:pPr>
    </w:p>
    <w:p>
      <w:pPr>
        <w:spacing w:line="240" w:lineRule="auto" w:before="7"/>
        <w:rPr>
          <w:rFonts w:ascii="宋体" w:hAnsi="宋体" w:cs="宋体" w:eastAsia="宋体" w:hint="default"/>
          <w:sz w:val="26"/>
          <w:szCs w:val="26"/>
        </w:rPr>
      </w:pPr>
    </w:p>
    <w:tbl>
      <w:tblPr>
        <w:tblW w:w="0" w:type="auto"/>
        <w:jc w:val="left"/>
        <w:tblInd w:w="131" w:type="dxa"/>
        <w:tblLayout w:type="fixed"/>
        <w:tblCellMar>
          <w:top w:w="0" w:type="dxa"/>
          <w:left w:w="0" w:type="dxa"/>
          <w:bottom w:w="0" w:type="dxa"/>
          <w:right w:w="0" w:type="dxa"/>
        </w:tblCellMar>
        <w:tblLook w:val="01E0"/>
      </w:tblPr>
      <w:tblGrid>
        <w:gridCol w:w="848"/>
        <w:gridCol w:w="1457"/>
        <w:gridCol w:w="415"/>
        <w:gridCol w:w="416"/>
        <w:gridCol w:w="1068"/>
        <w:gridCol w:w="600"/>
        <w:gridCol w:w="1100"/>
        <w:gridCol w:w="1200"/>
        <w:gridCol w:w="1493"/>
        <w:gridCol w:w="962"/>
      </w:tblGrid>
      <w:tr>
        <w:trPr>
          <w:trHeight w:val="241" w:hRule="exact"/>
        </w:trPr>
        <w:tc>
          <w:tcPr>
            <w:tcW w:w="848" w:type="dxa"/>
            <w:tcBorders>
              <w:top w:val="nil" w:sz="6" w:space="0" w:color="auto"/>
              <w:left w:val="single" w:sz="4" w:space="0" w:color="000000"/>
              <w:bottom w:val="nil" w:sz="6" w:space="0" w:color="auto"/>
              <w:right w:val="single" w:sz="4" w:space="0" w:color="000000"/>
            </w:tcBorders>
          </w:tcPr>
          <w:p>
            <w:pPr/>
          </w:p>
        </w:tc>
        <w:tc>
          <w:tcPr>
            <w:tcW w:w="1457" w:type="dxa"/>
            <w:tcBorders>
              <w:top w:val="nil" w:sz="6" w:space="0" w:color="auto"/>
              <w:left w:val="single" w:sz="4" w:space="0" w:color="000000"/>
              <w:bottom w:val="nil" w:sz="6" w:space="0" w:color="auto"/>
              <w:right w:val="single" w:sz="4" w:space="0" w:color="000000"/>
            </w:tcBorders>
          </w:tcPr>
          <w:p>
            <w:pPr/>
          </w:p>
        </w:tc>
        <w:tc>
          <w:tcPr>
            <w:tcW w:w="415" w:type="dxa"/>
            <w:tcBorders>
              <w:top w:val="nil" w:sz="6" w:space="0" w:color="auto"/>
              <w:left w:val="single" w:sz="4" w:space="0" w:color="000000"/>
              <w:bottom w:val="nil" w:sz="6" w:space="0" w:color="auto"/>
              <w:right w:val="single" w:sz="4" w:space="0" w:color="000000"/>
            </w:tcBorders>
          </w:tcPr>
          <w:p>
            <w:pPr/>
          </w:p>
        </w:tc>
        <w:tc>
          <w:tcPr>
            <w:tcW w:w="416" w:type="dxa"/>
            <w:tcBorders>
              <w:top w:val="nil" w:sz="6" w:space="0" w:color="auto"/>
              <w:left w:val="single" w:sz="4" w:space="0" w:color="000000"/>
              <w:bottom w:val="nil" w:sz="6" w:space="0" w:color="auto"/>
              <w:right w:val="single" w:sz="4" w:space="0" w:color="000000"/>
            </w:tcBorders>
          </w:tcPr>
          <w:p>
            <w:pPr/>
          </w:p>
        </w:tc>
        <w:tc>
          <w:tcPr>
            <w:tcW w:w="1068" w:type="dxa"/>
            <w:tcBorders>
              <w:top w:val="nil" w:sz="6" w:space="0" w:color="auto"/>
              <w:left w:val="single" w:sz="4" w:space="0" w:color="000000"/>
              <w:bottom w:val="nil" w:sz="6" w:space="0" w:color="auto"/>
              <w:right w:val="single" w:sz="4" w:space="0" w:color="000000"/>
            </w:tcBorders>
          </w:tcPr>
          <w:p>
            <w:pPr/>
          </w:p>
        </w:tc>
        <w:tc>
          <w:tcPr>
            <w:tcW w:w="600"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转增股本、二级</w:t>
            </w:r>
          </w:p>
        </w:tc>
        <w:tc>
          <w:tcPr>
            <w:tcW w:w="962" w:type="dxa"/>
            <w:tcBorders>
              <w:top w:val="nil" w:sz="6" w:space="0" w:color="auto"/>
              <w:left w:val="single" w:sz="4" w:space="0" w:color="000000"/>
              <w:bottom w:val="nil" w:sz="6" w:space="0" w:color="auto"/>
              <w:right w:val="single" w:sz="4" w:space="0" w:color="000000"/>
            </w:tcBorders>
          </w:tcPr>
          <w:p>
            <w:pPr/>
          </w:p>
        </w:tc>
      </w:tr>
      <w:tr>
        <w:trPr>
          <w:trHeight w:val="234" w:hRule="exact"/>
        </w:trPr>
        <w:tc>
          <w:tcPr>
            <w:tcW w:w="84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何景霄</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41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12" w:right="0"/>
              <w:jc w:val="left"/>
              <w:rPr>
                <w:rFonts w:ascii="宋体" w:hAnsi="宋体" w:cs="宋体" w:eastAsia="宋体" w:hint="default"/>
                <w:sz w:val="18"/>
                <w:szCs w:val="18"/>
              </w:rPr>
            </w:pPr>
            <w:r>
              <w:rPr>
                <w:rFonts w:ascii="宋体"/>
                <w:sz w:val="18"/>
              </w:rPr>
              <w:t>48</w:t>
            </w:r>
          </w:p>
        </w:tc>
        <w:tc>
          <w:tcPr>
            <w:tcW w:w="1068"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
              <w:jc w:val="center"/>
              <w:rPr>
                <w:rFonts w:ascii="宋体" w:hAnsi="宋体" w:cs="宋体" w:eastAsia="宋体" w:hint="default"/>
                <w:sz w:val="18"/>
                <w:szCs w:val="18"/>
              </w:rPr>
            </w:pPr>
            <w:r>
              <w:rPr>
                <w:rFonts w:ascii="宋体"/>
                <w:sz w:val="18"/>
              </w:rPr>
              <w:t>2008-3-25</w:t>
            </w:r>
          </w:p>
        </w:tc>
        <w:tc>
          <w:tcPr>
            <w:tcW w:w="6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160,440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227,172</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市场买卖、获授</w:t>
            </w:r>
          </w:p>
        </w:tc>
        <w:tc>
          <w:tcPr>
            <w:tcW w:w="962"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85.34</w:t>
            </w:r>
          </w:p>
        </w:tc>
      </w:tr>
      <w:tr>
        <w:trPr>
          <w:trHeight w:val="249" w:hRule="exact"/>
        </w:trPr>
        <w:tc>
          <w:tcPr>
            <w:tcW w:w="848" w:type="dxa"/>
            <w:tcBorders>
              <w:top w:val="nil" w:sz="6" w:space="0" w:color="auto"/>
              <w:left w:val="single" w:sz="4" w:space="0" w:color="000000"/>
              <w:bottom w:val="single" w:sz="4" w:space="0" w:color="000000"/>
              <w:right w:val="single" w:sz="4" w:space="0" w:color="000000"/>
            </w:tcBorders>
          </w:tcPr>
          <w:p>
            <w:pPr/>
          </w:p>
        </w:tc>
        <w:tc>
          <w:tcPr>
            <w:tcW w:w="1457" w:type="dxa"/>
            <w:tcBorders>
              <w:top w:val="nil" w:sz="6" w:space="0" w:color="auto"/>
              <w:left w:val="single" w:sz="4" w:space="0" w:color="000000"/>
              <w:bottom w:val="single" w:sz="4" w:space="0" w:color="000000"/>
              <w:right w:val="single" w:sz="4" w:space="0" w:color="000000"/>
            </w:tcBorders>
          </w:tcPr>
          <w:p>
            <w:pPr/>
          </w:p>
        </w:tc>
        <w:tc>
          <w:tcPr>
            <w:tcW w:w="415" w:type="dxa"/>
            <w:tcBorders>
              <w:top w:val="nil" w:sz="6" w:space="0" w:color="auto"/>
              <w:left w:val="single" w:sz="4" w:space="0" w:color="000000"/>
              <w:bottom w:val="single" w:sz="4" w:space="0" w:color="000000"/>
              <w:right w:val="single" w:sz="4" w:space="0" w:color="000000"/>
            </w:tcBorders>
          </w:tcPr>
          <w:p>
            <w:pPr/>
          </w:p>
        </w:tc>
        <w:tc>
          <w:tcPr>
            <w:tcW w:w="416" w:type="dxa"/>
            <w:tcBorders>
              <w:top w:val="nil" w:sz="6" w:space="0" w:color="auto"/>
              <w:left w:val="single" w:sz="4" w:space="0" w:color="000000"/>
              <w:bottom w:val="single" w:sz="4" w:space="0" w:color="000000"/>
              <w:right w:val="single" w:sz="4" w:space="0" w:color="000000"/>
            </w:tcBorders>
          </w:tcPr>
          <w:p>
            <w:pPr/>
          </w:p>
        </w:tc>
        <w:tc>
          <w:tcPr>
            <w:tcW w:w="1068" w:type="dxa"/>
            <w:tcBorders>
              <w:top w:val="nil" w:sz="6" w:space="0" w:color="auto"/>
              <w:left w:val="single" w:sz="4" w:space="0" w:color="000000"/>
              <w:bottom w:val="single" w:sz="4" w:space="0" w:color="000000"/>
              <w:right w:val="single" w:sz="4" w:space="0" w:color="000000"/>
            </w:tcBorders>
          </w:tcPr>
          <w:p>
            <w:pPr/>
          </w:p>
        </w:tc>
        <w:tc>
          <w:tcPr>
            <w:tcW w:w="6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493"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股权激励</w:t>
            </w:r>
          </w:p>
        </w:tc>
        <w:tc>
          <w:tcPr>
            <w:tcW w:w="962" w:type="dxa"/>
            <w:tcBorders>
              <w:top w:val="nil" w:sz="6" w:space="0" w:color="auto"/>
              <w:left w:val="single" w:sz="4" w:space="0" w:color="000000"/>
              <w:bottom w:val="single" w:sz="4" w:space="0" w:color="000000"/>
              <w:right w:val="single" w:sz="4" w:space="0" w:color="000000"/>
            </w:tcBorders>
          </w:tcPr>
          <w:p>
            <w:pPr/>
          </w:p>
        </w:tc>
      </w:tr>
      <w:tr>
        <w:trPr>
          <w:trHeight w:val="246" w:hRule="exact"/>
        </w:trPr>
        <w:tc>
          <w:tcPr>
            <w:tcW w:w="848" w:type="dxa"/>
            <w:tcBorders>
              <w:top w:val="single" w:sz="4" w:space="0" w:color="000000"/>
              <w:left w:val="single" w:sz="4" w:space="0" w:color="000000"/>
              <w:bottom w:val="nil" w:sz="6" w:space="0" w:color="auto"/>
              <w:right w:val="single" w:sz="4" w:space="0" w:color="000000"/>
            </w:tcBorders>
          </w:tcPr>
          <w:p>
            <w:pPr/>
          </w:p>
        </w:tc>
        <w:tc>
          <w:tcPr>
            <w:tcW w:w="1457" w:type="dxa"/>
            <w:tcBorders>
              <w:top w:val="single" w:sz="4" w:space="0" w:color="000000"/>
              <w:left w:val="single" w:sz="4" w:space="0" w:color="000000"/>
              <w:bottom w:val="nil" w:sz="6" w:space="0" w:color="auto"/>
              <w:right w:val="single" w:sz="4" w:space="0" w:color="000000"/>
            </w:tcBorders>
          </w:tcPr>
          <w:p>
            <w:pPr/>
          </w:p>
        </w:tc>
        <w:tc>
          <w:tcPr>
            <w:tcW w:w="415" w:type="dxa"/>
            <w:tcBorders>
              <w:top w:val="single" w:sz="4" w:space="0" w:color="000000"/>
              <w:left w:val="single" w:sz="4" w:space="0" w:color="000000"/>
              <w:bottom w:val="nil" w:sz="6" w:space="0" w:color="auto"/>
              <w:right w:val="single" w:sz="4" w:space="0" w:color="000000"/>
            </w:tcBorders>
          </w:tcPr>
          <w:p>
            <w:pPr/>
          </w:p>
        </w:tc>
        <w:tc>
          <w:tcPr>
            <w:tcW w:w="416" w:type="dxa"/>
            <w:tcBorders>
              <w:top w:val="single" w:sz="4" w:space="0" w:color="000000"/>
              <w:left w:val="single" w:sz="4" w:space="0" w:color="000000"/>
              <w:bottom w:val="nil" w:sz="6" w:space="0" w:color="auto"/>
              <w:right w:val="single" w:sz="4" w:space="0" w:color="000000"/>
            </w:tcBorders>
          </w:tcPr>
          <w:p>
            <w:pPr/>
          </w:p>
        </w:tc>
        <w:tc>
          <w:tcPr>
            <w:tcW w:w="1068" w:type="dxa"/>
            <w:tcBorders>
              <w:top w:val="single" w:sz="4" w:space="0" w:color="000000"/>
              <w:left w:val="single" w:sz="4" w:space="0" w:color="000000"/>
              <w:bottom w:val="nil" w:sz="6" w:space="0" w:color="auto"/>
              <w:right w:val="single" w:sz="4" w:space="0" w:color="000000"/>
            </w:tcBorders>
          </w:tcPr>
          <w:p>
            <w:pPr/>
          </w:p>
        </w:tc>
        <w:tc>
          <w:tcPr>
            <w:tcW w:w="6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493" w:type="dxa"/>
            <w:tcBorders>
              <w:top w:val="single" w:sz="4" w:space="0" w:color="000000"/>
              <w:left w:val="single" w:sz="4" w:space="0" w:color="000000"/>
              <w:bottom w:val="nil" w:sz="6" w:space="0" w:color="auto"/>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转增股本、二级</w:t>
            </w:r>
          </w:p>
        </w:tc>
        <w:tc>
          <w:tcPr>
            <w:tcW w:w="962" w:type="dxa"/>
            <w:tcBorders>
              <w:top w:val="single" w:sz="4" w:space="0" w:color="000000"/>
              <w:left w:val="single" w:sz="4" w:space="0" w:color="000000"/>
              <w:bottom w:val="nil" w:sz="6" w:space="0" w:color="auto"/>
              <w:right w:val="single" w:sz="4" w:space="0" w:color="000000"/>
            </w:tcBorders>
          </w:tcPr>
          <w:p>
            <w:pPr/>
          </w:p>
        </w:tc>
      </w:tr>
      <w:tr>
        <w:trPr>
          <w:trHeight w:val="234" w:hRule="exact"/>
        </w:trPr>
        <w:tc>
          <w:tcPr>
            <w:tcW w:w="84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向奇汉</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41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12" w:right="0"/>
              <w:jc w:val="left"/>
              <w:rPr>
                <w:rFonts w:ascii="宋体" w:hAnsi="宋体" w:cs="宋体" w:eastAsia="宋体" w:hint="default"/>
                <w:sz w:val="18"/>
                <w:szCs w:val="18"/>
              </w:rPr>
            </w:pPr>
            <w:r>
              <w:rPr>
                <w:rFonts w:ascii="宋体"/>
                <w:sz w:val="18"/>
              </w:rPr>
              <w:t>44</w:t>
            </w:r>
          </w:p>
        </w:tc>
        <w:tc>
          <w:tcPr>
            <w:tcW w:w="1068"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
              <w:jc w:val="center"/>
              <w:rPr>
                <w:rFonts w:ascii="宋体" w:hAnsi="宋体" w:cs="宋体" w:eastAsia="宋体" w:hint="default"/>
                <w:sz w:val="18"/>
                <w:szCs w:val="18"/>
              </w:rPr>
            </w:pPr>
            <w:r>
              <w:rPr>
                <w:rFonts w:ascii="宋体"/>
                <w:sz w:val="18"/>
              </w:rPr>
              <w:t>2008-3-25</w:t>
            </w:r>
          </w:p>
        </w:tc>
        <w:tc>
          <w:tcPr>
            <w:tcW w:w="6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161,400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223,561</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市场买卖、获授</w:t>
            </w:r>
          </w:p>
        </w:tc>
        <w:tc>
          <w:tcPr>
            <w:tcW w:w="962"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88.29</w:t>
            </w:r>
          </w:p>
        </w:tc>
      </w:tr>
      <w:tr>
        <w:trPr>
          <w:trHeight w:val="249" w:hRule="exact"/>
        </w:trPr>
        <w:tc>
          <w:tcPr>
            <w:tcW w:w="848" w:type="dxa"/>
            <w:tcBorders>
              <w:top w:val="nil" w:sz="6" w:space="0" w:color="auto"/>
              <w:left w:val="single" w:sz="4" w:space="0" w:color="000000"/>
              <w:bottom w:val="single" w:sz="4" w:space="0" w:color="000000"/>
              <w:right w:val="single" w:sz="4" w:space="0" w:color="000000"/>
            </w:tcBorders>
          </w:tcPr>
          <w:p>
            <w:pPr/>
          </w:p>
        </w:tc>
        <w:tc>
          <w:tcPr>
            <w:tcW w:w="1457" w:type="dxa"/>
            <w:tcBorders>
              <w:top w:val="nil" w:sz="6" w:space="0" w:color="auto"/>
              <w:left w:val="single" w:sz="4" w:space="0" w:color="000000"/>
              <w:bottom w:val="single" w:sz="4" w:space="0" w:color="000000"/>
              <w:right w:val="single" w:sz="4" w:space="0" w:color="000000"/>
            </w:tcBorders>
          </w:tcPr>
          <w:p>
            <w:pPr/>
          </w:p>
        </w:tc>
        <w:tc>
          <w:tcPr>
            <w:tcW w:w="415" w:type="dxa"/>
            <w:tcBorders>
              <w:top w:val="nil" w:sz="6" w:space="0" w:color="auto"/>
              <w:left w:val="single" w:sz="4" w:space="0" w:color="000000"/>
              <w:bottom w:val="single" w:sz="4" w:space="0" w:color="000000"/>
              <w:right w:val="single" w:sz="4" w:space="0" w:color="000000"/>
            </w:tcBorders>
          </w:tcPr>
          <w:p>
            <w:pPr/>
          </w:p>
        </w:tc>
        <w:tc>
          <w:tcPr>
            <w:tcW w:w="416" w:type="dxa"/>
            <w:tcBorders>
              <w:top w:val="nil" w:sz="6" w:space="0" w:color="auto"/>
              <w:left w:val="single" w:sz="4" w:space="0" w:color="000000"/>
              <w:bottom w:val="single" w:sz="4" w:space="0" w:color="000000"/>
              <w:right w:val="single" w:sz="4" w:space="0" w:color="000000"/>
            </w:tcBorders>
          </w:tcPr>
          <w:p>
            <w:pPr/>
          </w:p>
        </w:tc>
        <w:tc>
          <w:tcPr>
            <w:tcW w:w="1068" w:type="dxa"/>
            <w:tcBorders>
              <w:top w:val="nil" w:sz="6" w:space="0" w:color="auto"/>
              <w:left w:val="single" w:sz="4" w:space="0" w:color="000000"/>
              <w:bottom w:val="single" w:sz="4" w:space="0" w:color="000000"/>
              <w:right w:val="single" w:sz="4" w:space="0" w:color="000000"/>
            </w:tcBorders>
          </w:tcPr>
          <w:p>
            <w:pPr/>
          </w:p>
        </w:tc>
        <w:tc>
          <w:tcPr>
            <w:tcW w:w="6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493"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股权激励</w:t>
            </w:r>
          </w:p>
        </w:tc>
        <w:tc>
          <w:tcPr>
            <w:tcW w:w="962" w:type="dxa"/>
            <w:tcBorders>
              <w:top w:val="nil" w:sz="6" w:space="0" w:color="auto"/>
              <w:left w:val="single" w:sz="4" w:space="0" w:color="000000"/>
              <w:bottom w:val="single" w:sz="4" w:space="0" w:color="000000"/>
              <w:right w:val="single" w:sz="4" w:space="0" w:color="000000"/>
            </w:tcBorders>
          </w:tcPr>
          <w:p>
            <w:pPr/>
          </w:p>
        </w:tc>
      </w:tr>
      <w:tr>
        <w:trPr>
          <w:trHeight w:val="731"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欧阳青</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102"/>
              <w:jc w:val="left"/>
              <w:rPr>
                <w:rFonts w:ascii="宋体" w:hAnsi="宋体" w:cs="宋体" w:eastAsia="宋体" w:hint="default"/>
                <w:sz w:val="18"/>
                <w:szCs w:val="18"/>
              </w:rPr>
            </w:pPr>
            <w:r>
              <w:rPr>
                <w:rFonts w:ascii="宋体" w:hAnsi="宋体" w:cs="宋体" w:eastAsia="宋体" w:hint="default"/>
                <w:spacing w:val="-3"/>
                <w:sz w:val="18"/>
                <w:szCs w:val="18"/>
              </w:rPr>
              <w:t>副总裁、董事会</w:t>
            </w:r>
            <w:r>
              <w:rPr>
                <w:rFonts w:ascii="宋体" w:hAnsi="宋体" w:cs="宋体" w:eastAsia="宋体" w:hint="default"/>
                <w:sz w:val="18"/>
                <w:szCs w:val="18"/>
              </w:rPr>
              <w:t> 秘书</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12" w:right="0"/>
              <w:jc w:val="left"/>
              <w:rPr>
                <w:rFonts w:ascii="宋体" w:hAnsi="宋体" w:cs="宋体" w:eastAsia="宋体" w:hint="default"/>
                <w:sz w:val="18"/>
                <w:szCs w:val="18"/>
              </w:rPr>
            </w:pPr>
            <w:r>
              <w:rPr>
                <w:rFonts w:ascii="宋体"/>
                <w:sz w:val="18"/>
              </w:rPr>
              <w:t>44</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167,600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225,630</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转增股本、二级</w:t>
            </w:r>
          </w:p>
          <w:p>
            <w:pPr>
              <w:pStyle w:val="TableParagraph"/>
              <w:spacing w:line="232" w:lineRule="exact" w:before="24"/>
              <w:ind w:left="103" w:right="118"/>
              <w:jc w:val="left"/>
              <w:rPr>
                <w:rFonts w:ascii="宋体" w:hAnsi="宋体" w:cs="宋体" w:eastAsia="宋体" w:hint="default"/>
                <w:sz w:val="18"/>
                <w:szCs w:val="18"/>
              </w:rPr>
            </w:pPr>
            <w:r>
              <w:rPr>
                <w:rFonts w:ascii="宋体" w:hAnsi="宋体" w:cs="宋体" w:eastAsia="宋体" w:hint="default"/>
                <w:sz w:val="18"/>
                <w:szCs w:val="18"/>
              </w:rPr>
              <w:t>市场买卖、获授 股权激励</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73.51</w:t>
            </w:r>
          </w:p>
        </w:tc>
      </w:tr>
      <w:tr>
        <w:trPr>
          <w:trHeight w:val="73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黄义璋</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20"/>
              <w:ind w:left="103" w:right="262"/>
              <w:jc w:val="left"/>
              <w:rPr>
                <w:rFonts w:ascii="宋体" w:hAnsi="宋体" w:cs="宋体" w:eastAsia="宋体" w:hint="default"/>
                <w:sz w:val="18"/>
                <w:szCs w:val="18"/>
              </w:rPr>
            </w:pPr>
            <w:r>
              <w:rPr>
                <w:rFonts w:ascii="宋体" w:hAnsi="宋体" w:cs="宋体" w:eastAsia="宋体" w:hint="default"/>
                <w:sz w:val="18"/>
                <w:szCs w:val="18"/>
              </w:rPr>
              <w:t>首席应用架构 师</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12" w:right="0"/>
              <w:jc w:val="left"/>
              <w:rPr>
                <w:rFonts w:ascii="宋体" w:hAnsi="宋体" w:cs="宋体" w:eastAsia="宋体" w:hint="default"/>
                <w:sz w:val="18"/>
                <w:szCs w:val="18"/>
              </w:rPr>
            </w:pPr>
            <w:r>
              <w:rPr>
                <w:rFonts w:ascii="宋体"/>
                <w:sz w:val="18"/>
              </w:rPr>
              <w:t>56</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2008-3-25</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225,600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336,580</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
              <w:ind w:left="103" w:right="118"/>
              <w:jc w:val="left"/>
              <w:rPr>
                <w:rFonts w:ascii="宋体" w:hAnsi="宋体" w:cs="宋体" w:eastAsia="宋体" w:hint="default"/>
                <w:sz w:val="18"/>
                <w:szCs w:val="18"/>
              </w:rPr>
            </w:pPr>
            <w:r>
              <w:rPr>
                <w:rFonts w:ascii="宋体" w:hAnsi="宋体" w:cs="宋体" w:eastAsia="宋体" w:hint="default"/>
                <w:sz w:val="18"/>
                <w:szCs w:val="18"/>
              </w:rPr>
              <w:t>转增股本、二级 市场买卖、获授</w:t>
            </w:r>
          </w:p>
          <w:p>
            <w:pPr>
              <w:pStyle w:val="TableParagraph"/>
              <w:spacing w:line="213" w:lineRule="exact"/>
              <w:ind w:left="103" w:right="0"/>
              <w:jc w:val="left"/>
              <w:rPr>
                <w:rFonts w:ascii="宋体" w:hAnsi="宋体" w:cs="宋体" w:eastAsia="宋体" w:hint="default"/>
                <w:sz w:val="18"/>
                <w:szCs w:val="18"/>
              </w:rPr>
            </w:pPr>
            <w:r>
              <w:rPr>
                <w:rFonts w:ascii="宋体" w:hAnsi="宋体" w:cs="宋体" w:eastAsia="宋体" w:hint="default"/>
                <w:sz w:val="18"/>
                <w:szCs w:val="18"/>
              </w:rPr>
              <w:t>股权激励</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50.00</w:t>
            </w:r>
          </w:p>
        </w:tc>
      </w:tr>
      <w:tr>
        <w:trPr>
          <w:trHeight w:val="246" w:hRule="exact"/>
        </w:trPr>
        <w:tc>
          <w:tcPr>
            <w:tcW w:w="848" w:type="dxa"/>
            <w:tcBorders>
              <w:top w:val="single" w:sz="4" w:space="0" w:color="000000"/>
              <w:left w:val="single" w:sz="4" w:space="0" w:color="000000"/>
              <w:bottom w:val="nil" w:sz="6" w:space="0" w:color="auto"/>
              <w:right w:val="single" w:sz="4" w:space="0" w:color="000000"/>
            </w:tcBorders>
          </w:tcPr>
          <w:p>
            <w:pPr/>
          </w:p>
        </w:tc>
        <w:tc>
          <w:tcPr>
            <w:tcW w:w="1457" w:type="dxa"/>
            <w:tcBorders>
              <w:top w:val="single" w:sz="4" w:space="0" w:color="000000"/>
              <w:left w:val="single" w:sz="4" w:space="0" w:color="000000"/>
              <w:bottom w:val="nil" w:sz="6" w:space="0" w:color="auto"/>
              <w:right w:val="single" w:sz="4" w:space="0" w:color="000000"/>
            </w:tcBorders>
          </w:tcPr>
          <w:p>
            <w:pPr/>
          </w:p>
        </w:tc>
        <w:tc>
          <w:tcPr>
            <w:tcW w:w="415" w:type="dxa"/>
            <w:tcBorders>
              <w:top w:val="single" w:sz="4" w:space="0" w:color="000000"/>
              <w:left w:val="single" w:sz="4" w:space="0" w:color="000000"/>
              <w:bottom w:val="nil" w:sz="6" w:space="0" w:color="auto"/>
              <w:right w:val="single" w:sz="4" w:space="0" w:color="000000"/>
            </w:tcBorders>
          </w:tcPr>
          <w:p>
            <w:pPr/>
          </w:p>
        </w:tc>
        <w:tc>
          <w:tcPr>
            <w:tcW w:w="416" w:type="dxa"/>
            <w:tcBorders>
              <w:top w:val="single" w:sz="4" w:space="0" w:color="000000"/>
              <w:left w:val="single" w:sz="4" w:space="0" w:color="000000"/>
              <w:bottom w:val="nil" w:sz="6" w:space="0" w:color="auto"/>
              <w:right w:val="single" w:sz="4" w:space="0" w:color="000000"/>
            </w:tcBorders>
          </w:tcPr>
          <w:p>
            <w:pPr/>
          </w:p>
        </w:tc>
        <w:tc>
          <w:tcPr>
            <w:tcW w:w="1068" w:type="dxa"/>
            <w:tcBorders>
              <w:top w:val="single" w:sz="4" w:space="0" w:color="000000"/>
              <w:left w:val="single" w:sz="4" w:space="0" w:color="000000"/>
              <w:bottom w:val="nil" w:sz="6" w:space="0" w:color="auto"/>
              <w:right w:val="single" w:sz="4" w:space="0" w:color="000000"/>
            </w:tcBorders>
          </w:tcPr>
          <w:p>
            <w:pPr/>
          </w:p>
        </w:tc>
        <w:tc>
          <w:tcPr>
            <w:tcW w:w="6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493" w:type="dxa"/>
            <w:tcBorders>
              <w:top w:val="single" w:sz="4" w:space="0" w:color="000000"/>
              <w:left w:val="single" w:sz="4" w:space="0" w:color="000000"/>
              <w:bottom w:val="nil" w:sz="6" w:space="0" w:color="auto"/>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转增股本、二级</w:t>
            </w:r>
          </w:p>
        </w:tc>
        <w:tc>
          <w:tcPr>
            <w:tcW w:w="962" w:type="dxa"/>
            <w:tcBorders>
              <w:top w:val="single" w:sz="4" w:space="0" w:color="000000"/>
              <w:left w:val="single" w:sz="4" w:space="0" w:color="000000"/>
              <w:bottom w:val="nil" w:sz="6" w:space="0" w:color="auto"/>
              <w:right w:val="single" w:sz="4" w:space="0" w:color="000000"/>
            </w:tcBorders>
          </w:tcPr>
          <w:p>
            <w:pPr/>
          </w:p>
        </w:tc>
      </w:tr>
      <w:tr>
        <w:trPr>
          <w:trHeight w:val="234" w:hRule="exact"/>
        </w:trPr>
        <w:tc>
          <w:tcPr>
            <w:tcW w:w="84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朱铁生</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41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12" w:right="0"/>
              <w:jc w:val="left"/>
              <w:rPr>
                <w:rFonts w:ascii="宋体" w:hAnsi="宋体" w:cs="宋体" w:eastAsia="宋体" w:hint="default"/>
                <w:sz w:val="18"/>
                <w:szCs w:val="18"/>
              </w:rPr>
            </w:pPr>
            <w:r>
              <w:rPr>
                <w:rFonts w:ascii="宋体"/>
                <w:sz w:val="18"/>
              </w:rPr>
              <w:t>35</w:t>
            </w:r>
          </w:p>
        </w:tc>
        <w:tc>
          <w:tcPr>
            <w:tcW w:w="1068"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
              <w:jc w:val="center"/>
              <w:rPr>
                <w:rFonts w:ascii="宋体" w:hAnsi="宋体" w:cs="宋体" w:eastAsia="宋体" w:hint="default"/>
                <w:sz w:val="18"/>
                <w:szCs w:val="18"/>
              </w:rPr>
            </w:pPr>
            <w:r>
              <w:rPr>
                <w:rFonts w:ascii="宋体"/>
                <w:sz w:val="18"/>
              </w:rPr>
              <w:t>2008-3-25</w:t>
            </w:r>
          </w:p>
        </w:tc>
        <w:tc>
          <w:tcPr>
            <w:tcW w:w="6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127,315</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183,514</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市场买卖、获授</w:t>
            </w:r>
          </w:p>
        </w:tc>
        <w:tc>
          <w:tcPr>
            <w:tcW w:w="962"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64.66</w:t>
            </w:r>
          </w:p>
        </w:tc>
      </w:tr>
      <w:tr>
        <w:trPr>
          <w:trHeight w:val="249" w:hRule="exact"/>
        </w:trPr>
        <w:tc>
          <w:tcPr>
            <w:tcW w:w="848" w:type="dxa"/>
            <w:tcBorders>
              <w:top w:val="nil" w:sz="6" w:space="0" w:color="auto"/>
              <w:left w:val="single" w:sz="4" w:space="0" w:color="000000"/>
              <w:bottom w:val="single" w:sz="4" w:space="0" w:color="000000"/>
              <w:right w:val="single" w:sz="4" w:space="0" w:color="000000"/>
            </w:tcBorders>
          </w:tcPr>
          <w:p>
            <w:pPr/>
          </w:p>
        </w:tc>
        <w:tc>
          <w:tcPr>
            <w:tcW w:w="1457" w:type="dxa"/>
            <w:tcBorders>
              <w:top w:val="nil" w:sz="6" w:space="0" w:color="auto"/>
              <w:left w:val="single" w:sz="4" w:space="0" w:color="000000"/>
              <w:bottom w:val="single" w:sz="4" w:space="0" w:color="000000"/>
              <w:right w:val="single" w:sz="4" w:space="0" w:color="000000"/>
            </w:tcBorders>
          </w:tcPr>
          <w:p>
            <w:pPr/>
          </w:p>
        </w:tc>
        <w:tc>
          <w:tcPr>
            <w:tcW w:w="415" w:type="dxa"/>
            <w:tcBorders>
              <w:top w:val="nil" w:sz="6" w:space="0" w:color="auto"/>
              <w:left w:val="single" w:sz="4" w:space="0" w:color="000000"/>
              <w:bottom w:val="single" w:sz="4" w:space="0" w:color="000000"/>
              <w:right w:val="single" w:sz="4" w:space="0" w:color="000000"/>
            </w:tcBorders>
          </w:tcPr>
          <w:p>
            <w:pPr/>
          </w:p>
        </w:tc>
        <w:tc>
          <w:tcPr>
            <w:tcW w:w="416" w:type="dxa"/>
            <w:tcBorders>
              <w:top w:val="nil" w:sz="6" w:space="0" w:color="auto"/>
              <w:left w:val="single" w:sz="4" w:space="0" w:color="000000"/>
              <w:bottom w:val="single" w:sz="4" w:space="0" w:color="000000"/>
              <w:right w:val="single" w:sz="4" w:space="0" w:color="000000"/>
            </w:tcBorders>
          </w:tcPr>
          <w:p>
            <w:pPr/>
          </w:p>
        </w:tc>
        <w:tc>
          <w:tcPr>
            <w:tcW w:w="1068" w:type="dxa"/>
            <w:tcBorders>
              <w:top w:val="nil" w:sz="6" w:space="0" w:color="auto"/>
              <w:left w:val="single" w:sz="4" w:space="0" w:color="000000"/>
              <w:bottom w:val="single" w:sz="4" w:space="0" w:color="000000"/>
              <w:right w:val="single" w:sz="4" w:space="0" w:color="000000"/>
            </w:tcBorders>
          </w:tcPr>
          <w:p>
            <w:pPr/>
          </w:p>
        </w:tc>
        <w:tc>
          <w:tcPr>
            <w:tcW w:w="6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493"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股权激励</w:t>
            </w:r>
          </w:p>
        </w:tc>
        <w:tc>
          <w:tcPr>
            <w:tcW w:w="962" w:type="dxa"/>
            <w:tcBorders>
              <w:top w:val="nil" w:sz="6" w:space="0" w:color="auto"/>
              <w:left w:val="single" w:sz="4" w:space="0" w:color="000000"/>
              <w:bottom w:val="single" w:sz="4" w:space="0" w:color="000000"/>
              <w:right w:val="single" w:sz="4" w:space="0" w:color="000000"/>
            </w:tcBorders>
          </w:tcPr>
          <w:p>
            <w:pPr/>
          </w:p>
        </w:tc>
      </w:tr>
      <w:tr>
        <w:trPr>
          <w:trHeight w:val="246" w:hRule="exact"/>
        </w:trPr>
        <w:tc>
          <w:tcPr>
            <w:tcW w:w="848" w:type="dxa"/>
            <w:tcBorders>
              <w:top w:val="single" w:sz="4" w:space="0" w:color="000000"/>
              <w:left w:val="single" w:sz="4" w:space="0" w:color="000000"/>
              <w:bottom w:val="nil" w:sz="6" w:space="0" w:color="auto"/>
              <w:right w:val="single" w:sz="4" w:space="0" w:color="000000"/>
            </w:tcBorders>
          </w:tcPr>
          <w:p>
            <w:pPr/>
          </w:p>
        </w:tc>
        <w:tc>
          <w:tcPr>
            <w:tcW w:w="1457" w:type="dxa"/>
            <w:tcBorders>
              <w:top w:val="single" w:sz="4" w:space="0" w:color="000000"/>
              <w:left w:val="single" w:sz="4" w:space="0" w:color="000000"/>
              <w:bottom w:val="nil" w:sz="6" w:space="0" w:color="auto"/>
              <w:right w:val="single" w:sz="4" w:space="0" w:color="000000"/>
            </w:tcBorders>
          </w:tcPr>
          <w:p>
            <w:pPr/>
          </w:p>
        </w:tc>
        <w:tc>
          <w:tcPr>
            <w:tcW w:w="415" w:type="dxa"/>
            <w:tcBorders>
              <w:top w:val="single" w:sz="4" w:space="0" w:color="000000"/>
              <w:left w:val="single" w:sz="4" w:space="0" w:color="000000"/>
              <w:bottom w:val="nil" w:sz="6" w:space="0" w:color="auto"/>
              <w:right w:val="single" w:sz="4" w:space="0" w:color="000000"/>
            </w:tcBorders>
          </w:tcPr>
          <w:p>
            <w:pPr/>
          </w:p>
        </w:tc>
        <w:tc>
          <w:tcPr>
            <w:tcW w:w="416" w:type="dxa"/>
            <w:tcBorders>
              <w:top w:val="single" w:sz="4" w:space="0" w:color="000000"/>
              <w:left w:val="single" w:sz="4" w:space="0" w:color="000000"/>
              <w:bottom w:val="nil" w:sz="6" w:space="0" w:color="auto"/>
              <w:right w:val="single" w:sz="4" w:space="0" w:color="000000"/>
            </w:tcBorders>
          </w:tcPr>
          <w:p>
            <w:pPr/>
          </w:p>
        </w:tc>
        <w:tc>
          <w:tcPr>
            <w:tcW w:w="1068" w:type="dxa"/>
            <w:tcBorders>
              <w:top w:val="single" w:sz="4" w:space="0" w:color="000000"/>
              <w:left w:val="single" w:sz="4" w:space="0" w:color="000000"/>
              <w:bottom w:val="nil" w:sz="6" w:space="0" w:color="auto"/>
              <w:right w:val="single" w:sz="4" w:space="0" w:color="000000"/>
            </w:tcBorders>
          </w:tcPr>
          <w:p>
            <w:pPr/>
          </w:p>
        </w:tc>
        <w:tc>
          <w:tcPr>
            <w:tcW w:w="6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493" w:type="dxa"/>
            <w:tcBorders>
              <w:top w:val="single" w:sz="4" w:space="0" w:color="000000"/>
              <w:left w:val="single" w:sz="4" w:space="0" w:color="000000"/>
              <w:bottom w:val="nil" w:sz="6" w:space="0" w:color="auto"/>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z w:val="18"/>
                <w:szCs w:val="18"/>
              </w:rPr>
              <w:t>转增股本、二级</w:t>
            </w:r>
          </w:p>
        </w:tc>
        <w:tc>
          <w:tcPr>
            <w:tcW w:w="962" w:type="dxa"/>
            <w:tcBorders>
              <w:top w:val="single" w:sz="4" w:space="0" w:color="000000"/>
              <w:left w:val="single" w:sz="4" w:space="0" w:color="000000"/>
              <w:bottom w:val="nil" w:sz="6" w:space="0" w:color="auto"/>
              <w:right w:val="single" w:sz="4" w:space="0" w:color="000000"/>
            </w:tcBorders>
          </w:tcPr>
          <w:p>
            <w:pPr/>
          </w:p>
        </w:tc>
      </w:tr>
      <w:tr>
        <w:trPr>
          <w:trHeight w:val="234" w:hRule="exact"/>
        </w:trPr>
        <w:tc>
          <w:tcPr>
            <w:tcW w:w="84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季学庆</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41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1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12" w:right="0"/>
              <w:jc w:val="left"/>
              <w:rPr>
                <w:rFonts w:ascii="宋体" w:hAnsi="宋体" w:cs="宋体" w:eastAsia="宋体" w:hint="default"/>
                <w:sz w:val="18"/>
                <w:szCs w:val="18"/>
              </w:rPr>
            </w:pPr>
            <w:r>
              <w:rPr>
                <w:rFonts w:ascii="宋体"/>
                <w:sz w:val="18"/>
              </w:rPr>
              <w:t>38</w:t>
            </w:r>
          </w:p>
        </w:tc>
        <w:tc>
          <w:tcPr>
            <w:tcW w:w="1068"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
              <w:jc w:val="center"/>
              <w:rPr>
                <w:rFonts w:ascii="宋体" w:hAnsi="宋体" w:cs="宋体" w:eastAsia="宋体" w:hint="default"/>
                <w:sz w:val="18"/>
                <w:szCs w:val="18"/>
              </w:rPr>
            </w:pPr>
            <w:r>
              <w:rPr>
                <w:rFonts w:ascii="宋体"/>
                <w:sz w:val="18"/>
              </w:rPr>
              <w:t>2008-3-25</w:t>
            </w:r>
          </w:p>
        </w:tc>
        <w:tc>
          <w:tcPr>
            <w:tcW w:w="6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166,500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224,600</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市场买卖、获授</w:t>
            </w:r>
          </w:p>
        </w:tc>
        <w:tc>
          <w:tcPr>
            <w:tcW w:w="962"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94.02</w:t>
            </w:r>
          </w:p>
        </w:tc>
      </w:tr>
      <w:tr>
        <w:trPr>
          <w:trHeight w:val="251" w:hRule="exact"/>
        </w:trPr>
        <w:tc>
          <w:tcPr>
            <w:tcW w:w="848" w:type="dxa"/>
            <w:tcBorders>
              <w:top w:val="nil" w:sz="6" w:space="0" w:color="auto"/>
              <w:left w:val="single" w:sz="4" w:space="0" w:color="000000"/>
              <w:bottom w:val="single" w:sz="4" w:space="0" w:color="000000"/>
              <w:right w:val="single" w:sz="4" w:space="0" w:color="000000"/>
            </w:tcBorders>
          </w:tcPr>
          <w:p>
            <w:pPr/>
          </w:p>
        </w:tc>
        <w:tc>
          <w:tcPr>
            <w:tcW w:w="1457" w:type="dxa"/>
            <w:tcBorders>
              <w:top w:val="nil" w:sz="6" w:space="0" w:color="auto"/>
              <w:left w:val="single" w:sz="4" w:space="0" w:color="000000"/>
              <w:bottom w:val="single" w:sz="4" w:space="0" w:color="000000"/>
              <w:right w:val="single" w:sz="4" w:space="0" w:color="000000"/>
            </w:tcBorders>
          </w:tcPr>
          <w:p>
            <w:pPr/>
          </w:p>
        </w:tc>
        <w:tc>
          <w:tcPr>
            <w:tcW w:w="415" w:type="dxa"/>
            <w:tcBorders>
              <w:top w:val="nil" w:sz="6" w:space="0" w:color="auto"/>
              <w:left w:val="single" w:sz="4" w:space="0" w:color="000000"/>
              <w:bottom w:val="single" w:sz="4" w:space="0" w:color="000000"/>
              <w:right w:val="single" w:sz="4" w:space="0" w:color="000000"/>
            </w:tcBorders>
          </w:tcPr>
          <w:p>
            <w:pPr/>
          </w:p>
        </w:tc>
        <w:tc>
          <w:tcPr>
            <w:tcW w:w="416" w:type="dxa"/>
            <w:tcBorders>
              <w:top w:val="nil" w:sz="6" w:space="0" w:color="auto"/>
              <w:left w:val="single" w:sz="4" w:space="0" w:color="000000"/>
              <w:bottom w:val="single" w:sz="4" w:space="0" w:color="000000"/>
              <w:right w:val="single" w:sz="4" w:space="0" w:color="000000"/>
            </w:tcBorders>
          </w:tcPr>
          <w:p>
            <w:pPr/>
          </w:p>
        </w:tc>
        <w:tc>
          <w:tcPr>
            <w:tcW w:w="1068" w:type="dxa"/>
            <w:tcBorders>
              <w:top w:val="nil" w:sz="6" w:space="0" w:color="auto"/>
              <w:left w:val="single" w:sz="4" w:space="0" w:color="000000"/>
              <w:bottom w:val="single" w:sz="4" w:space="0" w:color="000000"/>
              <w:right w:val="single" w:sz="4" w:space="0" w:color="000000"/>
            </w:tcBorders>
          </w:tcPr>
          <w:p>
            <w:pPr/>
          </w:p>
        </w:tc>
        <w:tc>
          <w:tcPr>
            <w:tcW w:w="6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493"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股权激励</w:t>
            </w:r>
          </w:p>
        </w:tc>
        <w:tc>
          <w:tcPr>
            <w:tcW w:w="962" w:type="dxa"/>
            <w:tcBorders>
              <w:top w:val="nil" w:sz="6" w:space="0" w:color="auto"/>
              <w:left w:val="single" w:sz="4" w:space="0" w:color="000000"/>
              <w:bottom w:val="single" w:sz="4" w:space="0" w:color="000000"/>
              <w:right w:val="single" w:sz="4" w:space="0" w:color="000000"/>
            </w:tcBorders>
          </w:tcPr>
          <w:p>
            <w:pPr/>
          </w:p>
        </w:tc>
      </w:tr>
      <w:tr>
        <w:trPr>
          <w:trHeight w:val="25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薛峰</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12" w:right="0"/>
              <w:jc w:val="left"/>
              <w:rPr>
                <w:rFonts w:ascii="宋体" w:hAnsi="宋体" w:cs="宋体" w:eastAsia="宋体" w:hint="default"/>
                <w:sz w:val="18"/>
                <w:szCs w:val="18"/>
              </w:rPr>
            </w:pPr>
            <w:r>
              <w:rPr>
                <w:rFonts w:ascii="宋体"/>
                <w:sz w:val="18"/>
              </w:rPr>
              <w:t>40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2009-2-19</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0"/>
              <w:jc w:val="center"/>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2</w:t>
            </w:r>
          </w:p>
        </w:tc>
        <w:tc>
          <w:tcPr>
            <w:tcW w:w="1100"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49.04</w:t>
            </w:r>
          </w:p>
        </w:tc>
      </w:tr>
      <w:tr>
        <w:trPr>
          <w:trHeight w:val="250"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胡彬</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12" w:right="0"/>
              <w:jc w:val="left"/>
              <w:rPr>
                <w:rFonts w:ascii="宋体" w:hAnsi="宋体" w:cs="宋体" w:eastAsia="宋体" w:hint="default"/>
                <w:sz w:val="18"/>
                <w:szCs w:val="18"/>
              </w:rPr>
            </w:pPr>
            <w:r>
              <w:rPr>
                <w:rFonts w:ascii="宋体"/>
                <w:sz w:val="18"/>
              </w:rPr>
              <w:t>46</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sz w:val="18"/>
              </w:rPr>
              <w:t>2009-3-19</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0"/>
              <w:jc w:val="center"/>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3</w:t>
            </w:r>
          </w:p>
        </w:tc>
        <w:tc>
          <w:tcPr>
            <w:tcW w:w="1100"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100,000</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2" w:right="0"/>
              <w:jc w:val="left"/>
              <w:rPr>
                <w:rFonts w:ascii="宋体" w:hAnsi="宋体" w:cs="宋体" w:eastAsia="宋体" w:hint="default"/>
                <w:sz w:val="18"/>
                <w:szCs w:val="18"/>
              </w:rPr>
            </w:pPr>
            <w:r>
              <w:rPr>
                <w:rFonts w:ascii="宋体" w:hAnsi="宋体" w:cs="宋体" w:eastAsia="宋体" w:hint="default"/>
                <w:sz w:val="18"/>
                <w:szCs w:val="18"/>
              </w:rPr>
              <w:t>获授股权激励</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sz w:val="18"/>
              </w:rPr>
              <w:t>34.62</w:t>
            </w:r>
          </w:p>
        </w:tc>
      </w:tr>
      <w:tr>
        <w:trPr>
          <w:trHeight w:val="296"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sz w:val="18"/>
              </w:rPr>
              <w:t>/</w:t>
            </w:r>
          </w:p>
        </w:tc>
        <w:tc>
          <w:tcPr>
            <w:tcW w:w="41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58" w:right="0"/>
              <w:jc w:val="left"/>
              <w:rPr>
                <w:rFonts w:ascii="宋体" w:hAnsi="宋体" w:cs="宋体" w:eastAsia="宋体" w:hint="default"/>
                <w:sz w:val="18"/>
                <w:szCs w:val="18"/>
              </w:rPr>
            </w:pPr>
            <w:r>
              <w:rPr>
                <w:rFonts w:ascii="宋体"/>
                <w:sz w:val="18"/>
              </w:rPr>
              <w:t>/</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58" w:right="0"/>
              <w:jc w:val="left"/>
              <w:rPr>
                <w:rFonts w:ascii="宋体" w:hAnsi="宋体" w:cs="宋体" w:eastAsia="宋体" w:hint="default"/>
                <w:sz w:val="18"/>
                <w:szCs w:val="18"/>
              </w:rPr>
            </w:pPr>
            <w:r>
              <w:rPr>
                <w:rFonts w:ascii="宋体"/>
                <w:sz w:val="18"/>
              </w:rPr>
              <w:t>/</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sz w:val="18"/>
              </w:rPr>
              <w:t>/</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sz w:val="18"/>
              </w:rPr>
              <w:t>/</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3,177,863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4,670,701</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sz w:val="18"/>
              </w:rPr>
              <w:t>/</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2,169.26</w:t>
            </w:r>
          </w:p>
        </w:tc>
      </w:tr>
    </w:tbl>
    <w:p>
      <w:pPr>
        <w:spacing w:line="297" w:lineRule="auto" w:before="81"/>
        <w:ind w:left="140" w:right="304" w:firstLine="482"/>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56"/>
          <w:sz w:val="24"/>
          <w:szCs w:val="24"/>
        </w:rPr>
        <w:t> </w:t>
      </w:r>
      <w:r>
        <w:rPr>
          <w:rFonts w:ascii="宋体" w:hAnsi="宋体" w:cs="宋体" w:eastAsia="宋体" w:hint="default"/>
          <w:sz w:val="24"/>
          <w:szCs w:val="24"/>
        </w:rPr>
        <w:t>1：公司于</w:t>
      </w:r>
      <w:r>
        <w:rPr>
          <w:rFonts w:ascii="宋体" w:hAnsi="宋体" w:cs="宋体" w:eastAsia="宋体" w:hint="default"/>
          <w:spacing w:val="-56"/>
          <w:sz w:val="24"/>
          <w:szCs w:val="24"/>
        </w:rPr>
        <w:t> </w:t>
      </w:r>
      <w:r>
        <w:rPr>
          <w:rFonts w:ascii="宋体" w:hAnsi="宋体" w:cs="宋体" w:eastAsia="宋体" w:hint="default"/>
          <w:sz w:val="24"/>
          <w:szCs w:val="24"/>
        </w:rPr>
        <w:t>2008</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z w:val="24"/>
          <w:szCs w:val="24"/>
        </w:rPr>
        <w:t>3</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25</w:t>
      </w:r>
      <w:r>
        <w:rPr>
          <w:rFonts w:ascii="宋体" w:hAnsi="宋体" w:cs="宋体" w:eastAsia="宋体" w:hint="default"/>
          <w:spacing w:val="-56"/>
          <w:sz w:val="24"/>
          <w:szCs w:val="24"/>
        </w:rPr>
        <w:t> </w:t>
      </w:r>
      <w:r>
        <w:rPr>
          <w:rFonts w:ascii="宋体" w:hAnsi="宋体" w:cs="宋体" w:eastAsia="宋体" w:hint="default"/>
          <w:sz w:val="24"/>
          <w:szCs w:val="24"/>
        </w:rPr>
        <w:t>日召开公司第四届董事会</w:t>
      </w:r>
      <w:r>
        <w:rPr>
          <w:rFonts w:ascii="宋体" w:hAnsi="宋体" w:cs="宋体" w:eastAsia="宋体" w:hint="default"/>
          <w:spacing w:val="-56"/>
          <w:sz w:val="24"/>
          <w:szCs w:val="24"/>
        </w:rPr>
        <w:t> </w:t>
      </w:r>
      <w:r>
        <w:rPr>
          <w:rFonts w:ascii="宋体" w:hAnsi="宋体" w:cs="宋体" w:eastAsia="宋体" w:hint="default"/>
          <w:sz w:val="24"/>
          <w:szCs w:val="24"/>
        </w:rPr>
        <w:t>2008</w:t>
      </w:r>
      <w:r>
        <w:rPr>
          <w:rFonts w:ascii="宋体" w:hAnsi="宋体" w:cs="宋体" w:eastAsia="宋体" w:hint="default"/>
          <w:spacing w:val="-56"/>
          <w:sz w:val="24"/>
          <w:szCs w:val="24"/>
        </w:rPr>
        <w:t> </w:t>
      </w:r>
      <w:r>
        <w:rPr>
          <w:rFonts w:ascii="宋体" w:hAnsi="宋体" w:cs="宋体" w:eastAsia="宋体" w:hint="default"/>
          <w:sz w:val="24"/>
          <w:szCs w:val="24"/>
        </w:rPr>
        <w:t>年第一次会议，选举王</w:t>
      </w:r>
      <w:r>
        <w:rPr>
          <w:rFonts w:ascii="宋体" w:hAnsi="宋体" w:cs="宋体" w:eastAsia="宋体" w:hint="default"/>
          <w:spacing w:val="-1"/>
          <w:sz w:val="24"/>
          <w:szCs w:val="24"/>
        </w:rPr>
        <w:t> </w:t>
      </w:r>
      <w:r>
        <w:rPr>
          <w:rFonts w:ascii="宋体" w:hAnsi="宋体" w:cs="宋体" w:eastAsia="宋体" w:hint="default"/>
          <w:spacing w:val="-4"/>
          <w:sz w:val="24"/>
          <w:szCs w:val="24"/>
        </w:rPr>
        <w:t>文京为公司董事长，选举郭新平为公司副董事长，聘任王文京为公司总裁，聘任郭新平为</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公司财务总监，聘任杨祉雄、章培林、郭延生、李友、曾志勇、吴健为公司高级副总裁， </w:t>
      </w:r>
      <w:r>
        <w:rPr>
          <w:rFonts w:ascii="宋体" w:hAnsi="宋体" w:cs="宋体" w:eastAsia="宋体" w:hint="default"/>
          <w:spacing w:val="-4"/>
          <w:sz w:val="24"/>
          <w:szCs w:val="24"/>
        </w:rPr>
        <w:t>聘任吴晓冬、卢刚、陈巧红、蒋蜀革、郑雨林、何景霄、向奇汉、欧阳青、朱铁生、季学</w:t>
      </w:r>
      <w:r>
        <w:rPr>
          <w:rFonts w:ascii="宋体" w:hAnsi="宋体" w:cs="宋体" w:eastAsia="宋体" w:hint="default"/>
          <w:spacing w:val="-90"/>
          <w:sz w:val="24"/>
          <w:szCs w:val="24"/>
        </w:rPr>
        <w:t> </w:t>
      </w:r>
      <w:r>
        <w:rPr>
          <w:rFonts w:ascii="宋体" w:hAnsi="宋体" w:cs="宋体" w:eastAsia="宋体" w:hint="default"/>
          <w:spacing w:val="-90"/>
          <w:sz w:val="24"/>
          <w:szCs w:val="24"/>
        </w:rPr>
      </w:r>
      <w:r>
        <w:rPr>
          <w:rFonts w:ascii="宋体" w:hAnsi="宋体" w:cs="宋体" w:eastAsia="宋体" w:hint="default"/>
          <w:spacing w:val="-4"/>
          <w:sz w:val="24"/>
          <w:szCs w:val="24"/>
        </w:rPr>
        <w:t>庆为公司副总裁，聘任黄义璋为公司首席应用架构师（副总裁级），聘任欧阳青为公司董</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z w:val="24"/>
          <w:szCs w:val="24"/>
        </w:rPr>
        <w:t>事会秘书，上述人员任期自</w:t>
      </w:r>
      <w:r>
        <w:rPr>
          <w:rFonts w:ascii="宋体" w:hAnsi="宋体" w:cs="宋体" w:eastAsia="宋体" w:hint="default"/>
          <w:spacing w:val="-60"/>
          <w:sz w:val="24"/>
          <w:szCs w:val="24"/>
        </w:rPr>
        <w:t> </w:t>
      </w:r>
      <w:r>
        <w:rPr>
          <w:rFonts w:ascii="宋体" w:hAnsi="宋体" w:cs="宋体" w:eastAsia="宋体" w:hint="default"/>
          <w:spacing w:val="25"/>
          <w:sz w:val="24"/>
          <w:szCs w:val="24"/>
        </w:rPr>
        <w:t>2008年3月</w:t>
      </w:r>
      <w:r>
        <w:rPr>
          <w:rFonts w:ascii="宋体" w:hAnsi="宋体" w:cs="宋体" w:eastAsia="宋体" w:hint="default"/>
          <w:spacing w:val="-60"/>
          <w:sz w:val="24"/>
          <w:szCs w:val="24"/>
        </w:rPr>
        <w:t> </w:t>
      </w:r>
      <w:r>
        <w:rPr>
          <w:rFonts w:ascii="宋体" w:hAnsi="宋体" w:cs="宋体" w:eastAsia="宋体" w:hint="default"/>
          <w:sz w:val="24"/>
          <w:szCs w:val="24"/>
        </w:rPr>
        <w:t>25</w:t>
      </w:r>
      <w:r>
        <w:rPr>
          <w:rFonts w:ascii="宋体" w:hAnsi="宋体" w:cs="宋体" w:eastAsia="宋体" w:hint="default"/>
          <w:spacing w:val="-60"/>
          <w:sz w:val="24"/>
          <w:szCs w:val="24"/>
        </w:rPr>
        <w:t> </w:t>
      </w:r>
      <w:r>
        <w:rPr>
          <w:rFonts w:ascii="宋体" w:hAnsi="宋体" w:cs="宋体" w:eastAsia="宋体" w:hint="default"/>
          <w:sz w:val="24"/>
          <w:szCs w:val="24"/>
        </w:rPr>
        <w:t>日起至公司</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年年度股东大会选举出新一</w:t>
      </w:r>
      <w:r>
        <w:rPr>
          <w:rFonts w:ascii="宋体" w:hAnsi="宋体" w:cs="宋体" w:eastAsia="宋体" w:hint="default"/>
          <w:sz w:val="24"/>
          <w:szCs w:val="24"/>
        </w:rPr>
        <w:t> 届董事会之日止。</w:t>
      </w:r>
    </w:p>
    <w:p>
      <w:pPr>
        <w:spacing w:before="137"/>
        <w:ind w:left="623" w:right="304" w:firstLine="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57"/>
          <w:sz w:val="24"/>
          <w:szCs w:val="24"/>
        </w:rPr>
        <w:t> </w:t>
      </w:r>
      <w:r>
        <w:rPr>
          <w:rFonts w:ascii="宋体" w:hAnsi="宋体" w:cs="宋体" w:eastAsia="宋体" w:hint="default"/>
          <w:sz w:val="24"/>
          <w:szCs w:val="24"/>
        </w:rPr>
        <w:t>2：公司于</w:t>
      </w:r>
      <w:r>
        <w:rPr>
          <w:rFonts w:ascii="宋体" w:hAnsi="宋体" w:cs="宋体" w:eastAsia="宋体" w:hint="default"/>
          <w:spacing w:val="-57"/>
          <w:sz w:val="24"/>
          <w:szCs w:val="24"/>
        </w:rPr>
        <w:t> </w:t>
      </w:r>
      <w:r>
        <w:rPr>
          <w:rFonts w:ascii="宋体" w:hAnsi="宋体" w:cs="宋体" w:eastAsia="宋体" w:hint="default"/>
          <w:sz w:val="24"/>
          <w:szCs w:val="24"/>
        </w:rPr>
        <w:t>2009</w:t>
      </w:r>
      <w:r>
        <w:rPr>
          <w:rFonts w:ascii="宋体" w:hAnsi="宋体" w:cs="宋体" w:eastAsia="宋体" w:hint="default"/>
          <w:spacing w:val="-57"/>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2</w:t>
      </w:r>
      <w:r>
        <w:rPr>
          <w:rFonts w:ascii="宋体" w:hAnsi="宋体" w:cs="宋体" w:eastAsia="宋体" w:hint="default"/>
          <w:spacing w:val="-57"/>
          <w:sz w:val="24"/>
          <w:szCs w:val="24"/>
        </w:rPr>
        <w:t> </w:t>
      </w:r>
      <w:r>
        <w:rPr>
          <w:rFonts w:ascii="宋体" w:hAnsi="宋体" w:cs="宋体" w:eastAsia="宋体" w:hint="default"/>
          <w:sz w:val="24"/>
          <w:szCs w:val="24"/>
        </w:rPr>
        <w:t>月</w:t>
      </w:r>
      <w:r>
        <w:rPr>
          <w:rFonts w:ascii="宋体" w:hAnsi="宋体" w:cs="宋体" w:eastAsia="宋体" w:hint="default"/>
          <w:spacing w:val="-57"/>
          <w:sz w:val="24"/>
          <w:szCs w:val="24"/>
        </w:rPr>
        <w:t> </w:t>
      </w:r>
      <w:r>
        <w:rPr>
          <w:rFonts w:ascii="宋体" w:hAnsi="宋体" w:cs="宋体" w:eastAsia="宋体" w:hint="default"/>
          <w:sz w:val="24"/>
          <w:szCs w:val="24"/>
        </w:rPr>
        <w:t>19</w:t>
      </w:r>
      <w:r>
        <w:rPr>
          <w:rFonts w:ascii="宋体" w:hAnsi="宋体" w:cs="宋体" w:eastAsia="宋体" w:hint="default"/>
          <w:spacing w:val="-57"/>
          <w:sz w:val="24"/>
          <w:szCs w:val="24"/>
        </w:rPr>
        <w:t> </w:t>
      </w:r>
      <w:r>
        <w:rPr>
          <w:rFonts w:ascii="宋体" w:hAnsi="宋体" w:cs="宋体" w:eastAsia="宋体" w:hint="default"/>
          <w:sz w:val="24"/>
          <w:szCs w:val="24"/>
        </w:rPr>
        <w:t>日召开公司第四届董事会</w:t>
      </w:r>
      <w:r>
        <w:rPr>
          <w:rFonts w:ascii="宋体" w:hAnsi="宋体" w:cs="宋体" w:eastAsia="宋体" w:hint="default"/>
          <w:spacing w:val="-57"/>
          <w:sz w:val="24"/>
          <w:szCs w:val="24"/>
        </w:rPr>
        <w:t> </w:t>
      </w:r>
      <w:r>
        <w:rPr>
          <w:rFonts w:ascii="宋体" w:hAnsi="宋体" w:cs="宋体" w:eastAsia="宋体" w:hint="default"/>
          <w:sz w:val="24"/>
          <w:szCs w:val="24"/>
        </w:rPr>
        <w:t>2009</w:t>
      </w:r>
      <w:r>
        <w:rPr>
          <w:rFonts w:ascii="宋体" w:hAnsi="宋体" w:cs="宋体" w:eastAsia="宋体" w:hint="default"/>
          <w:spacing w:val="-57"/>
          <w:sz w:val="24"/>
          <w:szCs w:val="24"/>
        </w:rPr>
        <w:t> </w:t>
      </w:r>
      <w:r>
        <w:rPr>
          <w:rFonts w:ascii="宋体" w:hAnsi="宋体" w:cs="宋体" w:eastAsia="宋体" w:hint="default"/>
          <w:sz w:val="24"/>
          <w:szCs w:val="24"/>
        </w:rPr>
        <w:t>年第一次会议，聘任薛</w:t>
      </w:r>
    </w:p>
    <w:p>
      <w:pPr>
        <w:spacing w:line="297" w:lineRule="auto" w:before="74"/>
        <w:ind w:left="140" w:right="423" w:firstLine="0"/>
        <w:jc w:val="left"/>
        <w:rPr>
          <w:rFonts w:ascii="宋体" w:hAnsi="宋体" w:cs="宋体" w:eastAsia="宋体" w:hint="default"/>
          <w:sz w:val="24"/>
          <w:szCs w:val="24"/>
        </w:rPr>
      </w:pPr>
      <w:r>
        <w:rPr>
          <w:rFonts w:ascii="宋体" w:hAnsi="宋体" w:cs="宋体" w:eastAsia="宋体" w:hint="default"/>
          <w:sz w:val="24"/>
          <w:szCs w:val="24"/>
        </w:rPr>
        <w:t>峰为公司副总裁，任期自</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19</w:t>
      </w:r>
      <w:r>
        <w:rPr>
          <w:rFonts w:ascii="宋体" w:hAnsi="宋体" w:cs="宋体" w:eastAsia="宋体" w:hint="default"/>
          <w:spacing w:val="-60"/>
          <w:sz w:val="24"/>
          <w:szCs w:val="24"/>
        </w:rPr>
        <w:t> </w:t>
      </w:r>
      <w:r>
        <w:rPr>
          <w:rFonts w:ascii="宋体" w:hAnsi="宋体" w:cs="宋体" w:eastAsia="宋体" w:hint="default"/>
          <w:sz w:val="24"/>
          <w:szCs w:val="24"/>
        </w:rPr>
        <w:t>日起至公司</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年年度股东大会选举出新一届</w:t>
      </w:r>
      <w:r>
        <w:rPr>
          <w:rFonts w:ascii="宋体" w:hAnsi="宋体" w:cs="宋体" w:eastAsia="宋体" w:hint="default"/>
          <w:sz w:val="24"/>
          <w:szCs w:val="24"/>
        </w:rPr>
        <w:t> 董事会之日止。</w:t>
      </w:r>
    </w:p>
    <w:p>
      <w:pPr>
        <w:spacing w:before="138"/>
        <w:ind w:left="623" w:right="304" w:firstLine="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57"/>
          <w:sz w:val="24"/>
          <w:szCs w:val="24"/>
        </w:rPr>
        <w:t> </w:t>
      </w:r>
      <w:r>
        <w:rPr>
          <w:rFonts w:ascii="宋体" w:hAnsi="宋体" w:cs="宋体" w:eastAsia="宋体" w:hint="default"/>
          <w:sz w:val="24"/>
          <w:szCs w:val="24"/>
        </w:rPr>
        <w:t>3：公司于</w:t>
      </w:r>
      <w:r>
        <w:rPr>
          <w:rFonts w:ascii="宋体" w:hAnsi="宋体" w:cs="宋体" w:eastAsia="宋体" w:hint="default"/>
          <w:spacing w:val="-57"/>
          <w:sz w:val="24"/>
          <w:szCs w:val="24"/>
        </w:rPr>
        <w:t> </w:t>
      </w:r>
      <w:r>
        <w:rPr>
          <w:rFonts w:ascii="宋体" w:hAnsi="宋体" w:cs="宋体" w:eastAsia="宋体" w:hint="default"/>
          <w:sz w:val="24"/>
          <w:szCs w:val="24"/>
        </w:rPr>
        <w:t>2009</w:t>
      </w:r>
      <w:r>
        <w:rPr>
          <w:rFonts w:ascii="宋体" w:hAnsi="宋体" w:cs="宋体" w:eastAsia="宋体" w:hint="default"/>
          <w:spacing w:val="-57"/>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3</w:t>
      </w:r>
      <w:r>
        <w:rPr>
          <w:rFonts w:ascii="宋体" w:hAnsi="宋体" w:cs="宋体" w:eastAsia="宋体" w:hint="default"/>
          <w:spacing w:val="-57"/>
          <w:sz w:val="24"/>
          <w:szCs w:val="24"/>
        </w:rPr>
        <w:t> </w:t>
      </w:r>
      <w:r>
        <w:rPr>
          <w:rFonts w:ascii="宋体" w:hAnsi="宋体" w:cs="宋体" w:eastAsia="宋体" w:hint="default"/>
          <w:sz w:val="24"/>
          <w:szCs w:val="24"/>
        </w:rPr>
        <w:t>月</w:t>
      </w:r>
      <w:r>
        <w:rPr>
          <w:rFonts w:ascii="宋体" w:hAnsi="宋体" w:cs="宋体" w:eastAsia="宋体" w:hint="default"/>
          <w:spacing w:val="-57"/>
          <w:sz w:val="24"/>
          <w:szCs w:val="24"/>
        </w:rPr>
        <w:t> </w:t>
      </w:r>
      <w:r>
        <w:rPr>
          <w:rFonts w:ascii="宋体" w:hAnsi="宋体" w:cs="宋体" w:eastAsia="宋体" w:hint="default"/>
          <w:sz w:val="24"/>
          <w:szCs w:val="24"/>
        </w:rPr>
        <w:t>19</w:t>
      </w:r>
      <w:r>
        <w:rPr>
          <w:rFonts w:ascii="宋体" w:hAnsi="宋体" w:cs="宋体" w:eastAsia="宋体" w:hint="default"/>
          <w:spacing w:val="-57"/>
          <w:sz w:val="24"/>
          <w:szCs w:val="24"/>
        </w:rPr>
        <w:t> </w:t>
      </w:r>
      <w:r>
        <w:rPr>
          <w:rFonts w:ascii="宋体" w:hAnsi="宋体" w:cs="宋体" w:eastAsia="宋体" w:hint="default"/>
          <w:sz w:val="24"/>
          <w:szCs w:val="24"/>
        </w:rPr>
        <w:t>日召开公司第四届董事会</w:t>
      </w:r>
      <w:r>
        <w:rPr>
          <w:rFonts w:ascii="宋体" w:hAnsi="宋体" w:cs="宋体" w:eastAsia="宋体" w:hint="default"/>
          <w:spacing w:val="-57"/>
          <w:sz w:val="24"/>
          <w:szCs w:val="24"/>
        </w:rPr>
        <w:t> </w:t>
      </w:r>
      <w:r>
        <w:rPr>
          <w:rFonts w:ascii="宋体" w:hAnsi="宋体" w:cs="宋体" w:eastAsia="宋体" w:hint="default"/>
          <w:sz w:val="24"/>
          <w:szCs w:val="24"/>
        </w:rPr>
        <w:t>2009</w:t>
      </w:r>
      <w:r>
        <w:rPr>
          <w:rFonts w:ascii="宋体" w:hAnsi="宋体" w:cs="宋体" w:eastAsia="宋体" w:hint="default"/>
          <w:spacing w:val="-57"/>
          <w:sz w:val="24"/>
          <w:szCs w:val="24"/>
        </w:rPr>
        <w:t> </w:t>
      </w:r>
      <w:r>
        <w:rPr>
          <w:rFonts w:ascii="宋体" w:hAnsi="宋体" w:cs="宋体" w:eastAsia="宋体" w:hint="default"/>
          <w:sz w:val="24"/>
          <w:szCs w:val="24"/>
        </w:rPr>
        <w:t>年第二次会议，聘任胡</w:t>
      </w:r>
    </w:p>
    <w:p>
      <w:pPr>
        <w:spacing w:line="297" w:lineRule="auto" w:before="74"/>
        <w:ind w:left="140" w:right="423" w:firstLine="0"/>
        <w:jc w:val="left"/>
        <w:rPr>
          <w:rFonts w:ascii="宋体" w:hAnsi="宋体" w:cs="宋体" w:eastAsia="宋体" w:hint="default"/>
          <w:sz w:val="24"/>
          <w:szCs w:val="24"/>
        </w:rPr>
      </w:pPr>
      <w:r>
        <w:rPr>
          <w:rFonts w:ascii="宋体" w:hAnsi="宋体" w:cs="宋体" w:eastAsia="宋体" w:hint="default"/>
          <w:sz w:val="24"/>
          <w:szCs w:val="24"/>
        </w:rPr>
        <w:t>彬为公司副总裁，任期自</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19</w:t>
      </w:r>
      <w:r>
        <w:rPr>
          <w:rFonts w:ascii="宋体" w:hAnsi="宋体" w:cs="宋体" w:eastAsia="宋体" w:hint="default"/>
          <w:spacing w:val="-60"/>
          <w:sz w:val="24"/>
          <w:szCs w:val="24"/>
        </w:rPr>
        <w:t> </w:t>
      </w:r>
      <w:r>
        <w:rPr>
          <w:rFonts w:ascii="宋体" w:hAnsi="宋体" w:cs="宋体" w:eastAsia="宋体" w:hint="default"/>
          <w:sz w:val="24"/>
          <w:szCs w:val="24"/>
        </w:rPr>
        <w:t>日起至公司</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年年度股东大会选举出新一届</w:t>
      </w:r>
      <w:r>
        <w:rPr>
          <w:rFonts w:ascii="宋体" w:hAnsi="宋体" w:cs="宋体" w:eastAsia="宋体" w:hint="default"/>
          <w:sz w:val="24"/>
          <w:szCs w:val="24"/>
        </w:rPr>
        <w:t> 董事会之日止。</w:t>
      </w:r>
    </w:p>
    <w:p>
      <w:pPr>
        <w:spacing w:before="137"/>
        <w:ind w:left="623" w:right="304" w:firstLine="0"/>
        <w:jc w:val="left"/>
        <w:rPr>
          <w:rFonts w:ascii="宋体" w:hAnsi="宋体" w:cs="宋体" w:eastAsia="宋体" w:hint="default"/>
          <w:sz w:val="24"/>
          <w:szCs w:val="24"/>
        </w:rPr>
      </w:pPr>
      <w:r>
        <w:rPr>
          <w:rFonts w:ascii="宋体" w:hAnsi="宋体" w:cs="宋体" w:eastAsia="宋体" w:hint="default"/>
          <w:sz w:val="24"/>
          <w:szCs w:val="24"/>
        </w:rPr>
        <w:t>上述人员均未在股东单位或其他关联单位领取报酬。</w:t>
      </w:r>
    </w:p>
    <w:p>
      <w:pPr>
        <w:spacing w:line="240" w:lineRule="auto" w:before="2"/>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720" w:footer="727" w:top="1080" w:bottom="920" w:left="1220" w:right="860"/>
        </w:sectPr>
      </w:pPr>
    </w:p>
    <w:p>
      <w:pPr>
        <w:spacing w:before="26"/>
        <w:ind w:left="623" w:right="-20" w:firstLine="0"/>
        <w:jc w:val="left"/>
        <w:rPr>
          <w:rFonts w:ascii="宋体" w:hAnsi="宋体" w:cs="宋体" w:eastAsia="宋体" w:hint="default"/>
          <w:sz w:val="24"/>
          <w:szCs w:val="24"/>
        </w:rPr>
      </w:pPr>
      <w:r>
        <w:rPr>
          <w:rFonts w:ascii="宋体" w:hAnsi="宋体" w:cs="宋体" w:eastAsia="宋体" w:hint="default"/>
          <w:sz w:val="24"/>
          <w:szCs w:val="24"/>
        </w:rPr>
        <w:t>2、董事、监事、高级管理人员报告期内被授予的股权激励情况</w:t>
      </w:r>
    </w:p>
    <w:p>
      <w:pPr>
        <w:spacing w:line="240" w:lineRule="auto" w:before="0"/>
        <w:rPr>
          <w:rFonts w:ascii="宋体" w:hAnsi="宋体" w:cs="宋体" w:eastAsia="宋体" w:hint="default"/>
          <w:sz w:val="20"/>
          <w:szCs w:val="20"/>
        </w:rPr>
      </w:pPr>
      <w:r>
        <w:rPr/>
        <w:br w:type="column"/>
      </w:r>
      <w:r>
        <w:rPr>
          <w:rFonts w:ascii="宋体"/>
          <w:sz w:val="20"/>
        </w:rPr>
      </w:r>
    </w:p>
    <w:p>
      <w:pPr>
        <w:spacing w:before="157"/>
        <w:ind w:left="623"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900" w:bottom="280" w:left="1220" w:right="860"/>
          <w:cols w:num="2" w:equalWidth="0">
            <w:col w:w="7224" w:space="696"/>
            <w:col w:w="1910"/>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550"/>
        <w:gridCol w:w="1550"/>
        <w:gridCol w:w="1553"/>
        <w:gridCol w:w="1550"/>
        <w:gridCol w:w="1552"/>
        <w:gridCol w:w="1553"/>
      </w:tblGrid>
      <w:tr>
        <w:trPr>
          <w:trHeight w:val="481"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年初持有限制性</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股票数量</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227" w:right="0" w:hanging="90"/>
              <w:jc w:val="left"/>
              <w:rPr>
                <w:rFonts w:ascii="宋体" w:hAnsi="宋体" w:cs="宋体" w:eastAsia="宋体" w:hint="default"/>
                <w:sz w:val="18"/>
                <w:szCs w:val="18"/>
              </w:rPr>
            </w:pPr>
            <w:r>
              <w:rPr>
                <w:rFonts w:ascii="宋体" w:hAnsi="宋体" w:cs="宋体" w:eastAsia="宋体" w:hint="default"/>
                <w:sz w:val="18"/>
                <w:szCs w:val="18"/>
              </w:rPr>
              <w:t>报告期新授予限</w:t>
            </w:r>
          </w:p>
          <w:p>
            <w:pPr>
              <w:pStyle w:val="TableParagraph"/>
              <w:spacing w:line="234" w:lineRule="exact"/>
              <w:ind w:left="227" w:right="0"/>
              <w:jc w:val="left"/>
              <w:rPr>
                <w:rFonts w:ascii="宋体" w:hAnsi="宋体" w:cs="宋体" w:eastAsia="宋体" w:hint="default"/>
                <w:sz w:val="18"/>
                <w:szCs w:val="18"/>
              </w:rPr>
            </w:pPr>
            <w:r>
              <w:rPr>
                <w:rFonts w:ascii="宋体" w:hAnsi="宋体" w:cs="宋体" w:eastAsia="宋体" w:hint="default"/>
                <w:sz w:val="18"/>
                <w:szCs w:val="18"/>
              </w:rPr>
              <w:t>制性股票数量</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限制性股票的授</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予价格(元)</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期末持有限制性</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股票数量</w:t>
            </w:r>
          </w:p>
        </w:tc>
      </w:tr>
      <w:tr>
        <w:trPr>
          <w:trHeight w:val="28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王文京</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董事长兼总裁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c>
          <w:tcPr>
            <w:tcW w:w="1550"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single" w:sz="6" w:space="0" w:color="000000"/>
            </w:tcBorders>
          </w:tcPr>
          <w:p>
            <w:pP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r>
      <w:tr>
        <w:trPr>
          <w:trHeight w:val="481"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郭新平</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副董事长兼财务</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总监</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w:t>
            </w:r>
          </w:p>
        </w:tc>
        <w:tc>
          <w:tcPr>
            <w:tcW w:w="1550"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single" w:sz="6" w:space="0" w:color="000000"/>
            </w:tcBorders>
          </w:tcPr>
          <w:p>
            <w:pP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w:t>
            </w:r>
          </w:p>
        </w:tc>
      </w:tr>
      <w:tr>
        <w:trPr>
          <w:trHeight w:val="28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吴政平</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c>
          <w:tcPr>
            <w:tcW w:w="1550"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single" w:sz="6" w:space="0" w:color="000000"/>
            </w:tcBorders>
          </w:tcPr>
          <w:p>
            <w:pP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r>
      <w:tr>
        <w:trPr>
          <w:trHeight w:val="287"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秦荣生</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c>
          <w:tcPr>
            <w:tcW w:w="1550"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single" w:sz="6" w:space="0" w:color="000000"/>
            </w:tcBorders>
          </w:tcPr>
          <w:p>
            <w:pP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r>
      <w:tr>
        <w:trPr>
          <w:trHeight w:val="28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王明富</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c>
          <w:tcPr>
            <w:tcW w:w="1550"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single" w:sz="6" w:space="0" w:color="000000"/>
            </w:tcBorders>
          </w:tcPr>
          <w:p>
            <w:pP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r>
    </w:tbl>
    <w:p>
      <w:pPr>
        <w:spacing w:after="0" w:line="225" w:lineRule="exact"/>
        <w:jc w:val="right"/>
        <w:rPr>
          <w:rFonts w:ascii="宋体" w:hAnsi="宋体" w:cs="宋体" w:eastAsia="宋体" w:hint="default"/>
          <w:sz w:val="18"/>
          <w:szCs w:val="18"/>
        </w:rPr>
        <w:sectPr>
          <w:type w:val="continuous"/>
          <w:pgSz w:w="11910" w:h="16840"/>
          <w:pgMar w:top="900" w:bottom="280" w:left="1220" w:right="860"/>
        </w:sectPr>
      </w:pPr>
    </w:p>
    <w:p>
      <w:pPr>
        <w:spacing w:line="240" w:lineRule="auto" w:before="11"/>
        <w:rPr>
          <w:rFonts w:ascii="宋体" w:hAnsi="宋体" w:cs="宋体" w:eastAsia="宋体" w:hint="default"/>
          <w:sz w:val="26"/>
          <w:szCs w:val="26"/>
        </w:rPr>
      </w:pPr>
    </w:p>
    <w:tbl>
      <w:tblPr>
        <w:tblW w:w="0" w:type="auto"/>
        <w:jc w:val="left"/>
        <w:tblInd w:w="125" w:type="dxa"/>
        <w:tblLayout w:type="fixed"/>
        <w:tblCellMar>
          <w:top w:w="0" w:type="dxa"/>
          <w:left w:w="0" w:type="dxa"/>
          <w:bottom w:w="0" w:type="dxa"/>
          <w:right w:w="0" w:type="dxa"/>
        </w:tblCellMar>
        <w:tblLook w:val="01E0"/>
      </w:tblPr>
      <w:tblGrid>
        <w:gridCol w:w="1550"/>
        <w:gridCol w:w="1550"/>
        <w:gridCol w:w="1553"/>
        <w:gridCol w:w="1550"/>
        <w:gridCol w:w="1552"/>
        <w:gridCol w:w="1553"/>
      </w:tblGrid>
      <w:tr>
        <w:trPr>
          <w:trHeight w:val="287"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陈丕宏</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c>
          <w:tcPr>
            <w:tcW w:w="1550"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single" w:sz="6" w:space="0" w:color="000000"/>
            </w:tcBorders>
          </w:tcPr>
          <w:p>
            <w:pP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r>
      <w:tr>
        <w:trPr>
          <w:trHeight w:val="28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许建钢</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79,000</w:t>
            </w:r>
          </w:p>
        </w:tc>
        <w:tc>
          <w:tcPr>
            <w:tcW w:w="1550"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single" w:sz="6" w:space="0" w:color="000000"/>
            </w:tcBorders>
          </w:tcPr>
          <w:p>
            <w:pP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102,700</w:t>
            </w:r>
          </w:p>
        </w:tc>
      </w:tr>
      <w:tr>
        <w:trPr>
          <w:trHeight w:val="287"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邵凯</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c>
          <w:tcPr>
            <w:tcW w:w="1550"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single" w:sz="6" w:space="0" w:color="000000"/>
            </w:tcBorders>
          </w:tcPr>
          <w:p>
            <w:pP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r>
      <w:tr>
        <w:trPr>
          <w:trHeight w:val="28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严绍业</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22,400</w:t>
            </w:r>
          </w:p>
        </w:tc>
        <w:tc>
          <w:tcPr>
            <w:tcW w:w="1550"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single" w:sz="6" w:space="0" w:color="000000"/>
            </w:tcBorders>
          </w:tcPr>
          <w:p>
            <w:pP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29,120</w:t>
            </w:r>
          </w:p>
        </w:tc>
      </w:tr>
      <w:tr>
        <w:trPr>
          <w:trHeight w:val="287"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贾文新</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53,300</w:t>
            </w:r>
          </w:p>
        </w:tc>
        <w:tc>
          <w:tcPr>
            <w:tcW w:w="1550"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single" w:sz="6" w:space="0" w:color="000000"/>
            </w:tcBorders>
          </w:tcPr>
          <w:p>
            <w:pP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49,000</w:t>
            </w:r>
          </w:p>
        </w:tc>
      </w:tr>
      <w:tr>
        <w:trPr>
          <w:trHeight w:val="28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乔海</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21,800</w:t>
            </w:r>
          </w:p>
        </w:tc>
        <w:tc>
          <w:tcPr>
            <w:tcW w:w="1550"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single" w:sz="6" w:space="0" w:color="000000"/>
            </w:tcBorders>
          </w:tcPr>
          <w:p>
            <w:pP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28,340</w:t>
            </w:r>
          </w:p>
        </w:tc>
      </w:tr>
      <w:tr>
        <w:trPr>
          <w:trHeight w:val="287"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杨祉雄</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c>
          <w:tcPr>
            <w:tcW w:w="1550"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single" w:sz="6" w:space="0" w:color="000000"/>
            </w:tcBorders>
          </w:tcPr>
          <w:p>
            <w:pP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r>
      <w:tr>
        <w:trPr>
          <w:trHeight w:val="24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章培林</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181,380</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84,400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9.6</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260,328</w:t>
            </w:r>
          </w:p>
        </w:tc>
      </w:tr>
      <w:tr>
        <w:trPr>
          <w:trHeight w:val="24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郭延生</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285,500</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102,600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9.6</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376,771</w:t>
            </w:r>
          </w:p>
        </w:tc>
      </w:tr>
      <w:tr>
        <w:trPr>
          <w:trHeight w:val="24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李友</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255,800</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93,600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9.6</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414,140</w:t>
            </w:r>
          </w:p>
        </w:tc>
      </w:tr>
      <w:tr>
        <w:trPr>
          <w:trHeight w:val="24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曾志勇</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189,360</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85,900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9.6</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261,526</w:t>
            </w:r>
          </w:p>
        </w:tc>
      </w:tr>
      <w:tr>
        <w:trPr>
          <w:trHeight w:val="24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吴健</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250,800</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87,600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9.6</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332,330</w:t>
            </w:r>
          </w:p>
        </w:tc>
      </w:tr>
      <w:tr>
        <w:trPr>
          <w:trHeight w:val="24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吴晓冬</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193,540</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82,900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9.6</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261,622</w:t>
            </w:r>
          </w:p>
        </w:tc>
      </w:tr>
      <w:tr>
        <w:trPr>
          <w:trHeight w:val="24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卢刚</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92,700</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44,600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9.6</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165,110</w:t>
            </w:r>
          </w:p>
        </w:tc>
      </w:tr>
      <w:tr>
        <w:trPr>
          <w:trHeight w:val="24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陈巧红</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241,338</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87,000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9.6</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400,740</w:t>
            </w:r>
          </w:p>
        </w:tc>
      </w:tr>
      <w:tr>
        <w:trPr>
          <w:trHeight w:val="24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蒋蜀革</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142,470</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68,500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9.6</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243,711</w:t>
            </w:r>
          </w:p>
        </w:tc>
      </w:tr>
      <w:tr>
        <w:trPr>
          <w:trHeight w:val="24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郑雨林</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157,600</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68,800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9.6</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221,580</w:t>
            </w:r>
          </w:p>
        </w:tc>
      </w:tr>
      <w:tr>
        <w:trPr>
          <w:trHeight w:val="250"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何景霄</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160,440</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68,800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9.6</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227,172</w:t>
            </w:r>
          </w:p>
        </w:tc>
      </w:tr>
      <w:tr>
        <w:trPr>
          <w:trHeight w:val="24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向奇汉</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161,400</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64,400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9.6</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223,561</w:t>
            </w:r>
          </w:p>
        </w:tc>
      </w:tr>
      <w:tr>
        <w:trPr>
          <w:trHeight w:val="481"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欧阳青</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副总裁、董事会</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秘书</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167,600</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56,700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9.6</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225,630</w:t>
            </w:r>
          </w:p>
        </w:tc>
      </w:tr>
      <w:tr>
        <w:trPr>
          <w:trHeight w:val="24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黄义璋</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首席应用架构师</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225,600</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73,300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9.6</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336,580</w:t>
            </w:r>
          </w:p>
        </w:tc>
      </w:tr>
      <w:tr>
        <w:trPr>
          <w:trHeight w:val="24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朱铁生</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127,315</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61,000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9.6</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183,514</w:t>
            </w:r>
          </w:p>
        </w:tc>
      </w:tr>
      <w:tr>
        <w:trPr>
          <w:trHeight w:val="24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季学庆</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166,500</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71,600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9.6</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224,600</w:t>
            </w:r>
          </w:p>
        </w:tc>
      </w:tr>
      <w:tr>
        <w:trPr>
          <w:trHeight w:val="28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薛峰</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c>
          <w:tcPr>
            <w:tcW w:w="1550" w:type="dxa"/>
            <w:tcBorders>
              <w:top w:val="single" w:sz="6" w:space="0" w:color="000000"/>
              <w:left w:val="single" w:sz="6" w:space="0" w:color="000000"/>
              <w:bottom w:val="single" w:sz="6" w:space="0" w:color="000000"/>
              <w:right w:val="single" w:sz="6" w:space="0" w:color="000000"/>
            </w:tcBorders>
          </w:tcPr>
          <w:p>
            <w:pPr/>
          </w:p>
        </w:tc>
        <w:tc>
          <w:tcPr>
            <w:tcW w:w="1552" w:type="dxa"/>
            <w:tcBorders>
              <w:top w:val="single" w:sz="6" w:space="0" w:color="000000"/>
              <w:left w:val="single" w:sz="6" w:space="0" w:color="000000"/>
              <w:bottom w:val="single" w:sz="6" w:space="0" w:color="000000"/>
              <w:right w:val="single" w:sz="6" w:space="0" w:color="000000"/>
            </w:tcBorders>
          </w:tcPr>
          <w:p>
            <w:pP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0</w:t>
            </w:r>
          </w:p>
        </w:tc>
      </w:tr>
      <w:tr>
        <w:trPr>
          <w:trHeight w:val="24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胡彬</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100,000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14.63</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100,000</w:t>
            </w:r>
          </w:p>
        </w:tc>
      </w:tr>
      <w:tr>
        <w:trPr>
          <w:trHeight w:val="248" w:hRule="exact"/>
        </w:trPr>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sz w:val="18"/>
              </w:rPr>
              <w:t>/</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3,175,843</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1,301,700</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w:t>
            </w:r>
          </w:p>
        </w:tc>
        <w:tc>
          <w:tcPr>
            <w:tcW w:w="155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4,668,075</w:t>
            </w:r>
          </w:p>
        </w:tc>
      </w:tr>
    </w:tbl>
    <w:p>
      <w:pPr>
        <w:spacing w:line="297" w:lineRule="auto" w:before="81"/>
        <w:ind w:left="140" w:right="96" w:firstLine="482"/>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56"/>
          <w:sz w:val="24"/>
          <w:szCs w:val="24"/>
        </w:rPr>
        <w:t> </w:t>
      </w:r>
      <w:r>
        <w:rPr>
          <w:rFonts w:ascii="宋体" w:hAnsi="宋体" w:cs="宋体" w:eastAsia="宋体" w:hint="default"/>
          <w:sz w:val="24"/>
          <w:szCs w:val="24"/>
        </w:rPr>
        <w:t>1：公司于</w:t>
      </w:r>
      <w:r>
        <w:rPr>
          <w:rFonts w:ascii="宋体" w:hAnsi="宋体" w:cs="宋体" w:eastAsia="宋体" w:hint="default"/>
          <w:spacing w:val="-56"/>
          <w:sz w:val="24"/>
          <w:szCs w:val="24"/>
        </w:rPr>
        <w:t> </w:t>
      </w:r>
      <w:r>
        <w:rPr>
          <w:rFonts w:ascii="宋体" w:hAnsi="宋体" w:cs="宋体" w:eastAsia="宋体" w:hint="default"/>
          <w:sz w:val="24"/>
          <w:szCs w:val="24"/>
        </w:rPr>
        <w:t>2009</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z w:val="24"/>
          <w:szCs w:val="24"/>
        </w:rPr>
        <w:t>9</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29</w:t>
      </w:r>
      <w:r>
        <w:rPr>
          <w:rFonts w:ascii="宋体" w:hAnsi="宋体" w:cs="宋体" w:eastAsia="宋体" w:hint="default"/>
          <w:spacing w:val="-56"/>
          <w:sz w:val="24"/>
          <w:szCs w:val="24"/>
        </w:rPr>
        <w:t> </w:t>
      </w:r>
      <w:r>
        <w:rPr>
          <w:rFonts w:ascii="宋体" w:hAnsi="宋体" w:cs="宋体" w:eastAsia="宋体" w:hint="default"/>
          <w:sz w:val="24"/>
          <w:szCs w:val="24"/>
        </w:rPr>
        <w:t>日召开第四届董事会</w:t>
      </w:r>
      <w:r>
        <w:rPr>
          <w:rFonts w:ascii="宋体" w:hAnsi="宋体" w:cs="宋体" w:eastAsia="宋体" w:hint="default"/>
          <w:spacing w:val="-56"/>
          <w:sz w:val="24"/>
          <w:szCs w:val="24"/>
        </w:rPr>
        <w:t> </w:t>
      </w:r>
      <w:r>
        <w:rPr>
          <w:rFonts w:ascii="宋体" w:hAnsi="宋体" w:cs="宋体" w:eastAsia="宋体" w:hint="default"/>
          <w:sz w:val="24"/>
          <w:szCs w:val="24"/>
        </w:rPr>
        <w:t>2009</w:t>
      </w:r>
      <w:r>
        <w:rPr>
          <w:rFonts w:ascii="宋体" w:hAnsi="宋体" w:cs="宋体" w:eastAsia="宋体" w:hint="default"/>
          <w:spacing w:val="-56"/>
          <w:sz w:val="24"/>
          <w:szCs w:val="24"/>
        </w:rPr>
        <w:t> </w:t>
      </w:r>
      <w:r>
        <w:rPr>
          <w:rFonts w:ascii="宋体" w:hAnsi="宋体" w:cs="宋体" w:eastAsia="宋体" w:hint="default"/>
          <w:sz w:val="24"/>
          <w:szCs w:val="24"/>
        </w:rPr>
        <w:t>年第九次会议，决定向符合</w:t>
      </w:r>
      <w:r>
        <w:rPr>
          <w:rFonts w:ascii="宋体" w:hAnsi="宋体" w:cs="宋体" w:eastAsia="宋体" w:hint="default"/>
          <w:spacing w:val="-1"/>
          <w:sz w:val="24"/>
          <w:szCs w:val="24"/>
        </w:rPr>
        <w:t> </w:t>
      </w:r>
      <w:r>
        <w:rPr>
          <w:rFonts w:ascii="宋体" w:hAnsi="宋体" w:cs="宋体" w:eastAsia="宋体" w:hint="default"/>
          <w:spacing w:val="2"/>
          <w:sz w:val="24"/>
          <w:szCs w:val="24"/>
        </w:rPr>
        <w:t>授予条件的股权激励对象授予《用友软件股份有限公司股权激励计划（修订稿）》中的</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年度股票，授予价格为本决议公布前三十个交易日公司股票均价的</w:t>
      </w:r>
      <w:r>
        <w:rPr>
          <w:rFonts w:ascii="宋体" w:hAnsi="宋体" w:cs="宋体" w:eastAsia="宋体" w:hint="default"/>
          <w:spacing w:val="-60"/>
          <w:sz w:val="24"/>
          <w:szCs w:val="24"/>
        </w:rPr>
        <w:t> </w:t>
      </w:r>
      <w:r>
        <w:rPr>
          <w:rFonts w:ascii="宋体" w:hAnsi="宋体" w:cs="宋体" w:eastAsia="宋体" w:hint="default"/>
          <w:sz w:val="24"/>
          <w:szCs w:val="24"/>
        </w:rPr>
        <w:t>50%，即</w:t>
      </w:r>
      <w:r>
        <w:rPr>
          <w:rFonts w:ascii="宋体" w:hAnsi="宋体" w:cs="宋体" w:eastAsia="宋体" w:hint="default"/>
          <w:spacing w:val="-60"/>
          <w:sz w:val="24"/>
          <w:szCs w:val="24"/>
        </w:rPr>
        <w:t> </w:t>
      </w:r>
      <w:r>
        <w:rPr>
          <w:rFonts w:ascii="宋体" w:hAnsi="宋体" w:cs="宋体" w:eastAsia="宋体" w:hint="default"/>
          <w:sz w:val="24"/>
          <w:szCs w:val="24"/>
        </w:rPr>
        <w:t>9.6</w:t>
      </w:r>
      <w:r>
        <w:rPr>
          <w:rFonts w:ascii="宋体" w:hAnsi="宋体" w:cs="宋体" w:eastAsia="宋体" w:hint="default"/>
          <w:spacing w:val="-60"/>
          <w:sz w:val="24"/>
          <w:szCs w:val="24"/>
        </w:rPr>
        <w:t> </w:t>
      </w:r>
      <w:r>
        <w:rPr>
          <w:rFonts w:ascii="宋体" w:hAnsi="宋体" w:cs="宋体" w:eastAsia="宋体" w:hint="default"/>
          <w:sz w:val="24"/>
          <w:szCs w:val="24"/>
        </w:rPr>
        <w:t>元/</w:t>
      </w:r>
      <w:r>
        <w:rPr>
          <w:rFonts w:ascii="宋体" w:hAnsi="宋体" w:cs="宋体" w:eastAsia="宋体" w:hint="default"/>
          <w:sz w:val="24"/>
          <w:szCs w:val="24"/>
        </w:rPr>
        <w:t> </w:t>
      </w:r>
      <w:r>
        <w:rPr>
          <w:rFonts w:ascii="宋体" w:hAnsi="宋体" w:cs="宋体" w:eastAsia="宋体" w:hint="default"/>
          <w:spacing w:val="-12"/>
          <w:sz w:val="24"/>
          <w:szCs w:val="24"/>
        </w:rPr>
        <w:t>股。向符合授予条件的股权激励对象授予《用友软件股份有限公司股权激励计划（修订稿）》</w:t>
      </w:r>
      <w:r>
        <w:rPr>
          <w:rFonts w:ascii="宋体" w:hAnsi="宋体" w:cs="宋体" w:eastAsia="宋体" w:hint="default"/>
          <w:spacing w:val="-108"/>
          <w:sz w:val="24"/>
          <w:szCs w:val="24"/>
        </w:rPr>
        <w:t> </w:t>
      </w:r>
      <w:r>
        <w:rPr>
          <w:rFonts w:ascii="宋体" w:hAnsi="宋体" w:cs="宋体" w:eastAsia="宋体" w:hint="default"/>
          <w:spacing w:val="-108"/>
          <w:sz w:val="24"/>
          <w:szCs w:val="24"/>
        </w:rPr>
      </w:r>
      <w:r>
        <w:rPr>
          <w:rFonts w:ascii="宋体" w:hAnsi="宋体" w:cs="宋体" w:eastAsia="宋体" w:hint="default"/>
          <w:spacing w:val="-4"/>
          <w:sz w:val="24"/>
          <w:szCs w:val="24"/>
        </w:rPr>
        <w:t>中尚未授出的全部预留股份，根据国家相关规定，本次预留股份授予价格为本决议公布前</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二十个交易日公司股票均价的</w:t>
      </w:r>
      <w:r>
        <w:rPr>
          <w:rFonts w:ascii="宋体" w:hAnsi="宋体" w:cs="宋体" w:eastAsia="宋体" w:hint="default"/>
          <w:spacing w:val="-60"/>
          <w:sz w:val="24"/>
          <w:szCs w:val="24"/>
        </w:rPr>
        <w:t> </w:t>
      </w:r>
      <w:r>
        <w:rPr>
          <w:rFonts w:ascii="宋体" w:hAnsi="宋体" w:cs="宋体" w:eastAsia="宋体" w:hint="default"/>
          <w:sz w:val="24"/>
          <w:szCs w:val="24"/>
        </w:rPr>
        <w:t>75%，即</w:t>
      </w:r>
      <w:r>
        <w:rPr>
          <w:rFonts w:ascii="宋体" w:hAnsi="宋体" w:cs="宋体" w:eastAsia="宋体" w:hint="default"/>
          <w:spacing w:val="-60"/>
          <w:sz w:val="24"/>
          <w:szCs w:val="24"/>
        </w:rPr>
        <w:t> </w:t>
      </w:r>
      <w:r>
        <w:rPr>
          <w:rFonts w:ascii="宋体" w:hAnsi="宋体" w:cs="宋体" w:eastAsia="宋体" w:hint="default"/>
          <w:sz w:val="24"/>
          <w:szCs w:val="24"/>
        </w:rPr>
        <w:t>14.63</w:t>
      </w:r>
      <w:r>
        <w:rPr>
          <w:rFonts w:ascii="宋体" w:hAnsi="宋体" w:cs="宋体" w:eastAsia="宋体" w:hint="default"/>
          <w:spacing w:val="-60"/>
          <w:sz w:val="24"/>
          <w:szCs w:val="24"/>
        </w:rPr>
        <w:t> </w:t>
      </w:r>
      <w:r>
        <w:rPr>
          <w:rFonts w:ascii="宋体" w:hAnsi="宋体" w:cs="宋体" w:eastAsia="宋体" w:hint="default"/>
          <w:sz w:val="24"/>
          <w:szCs w:val="24"/>
        </w:rPr>
        <w:t>元/股。</w:t>
      </w:r>
    </w:p>
    <w:p>
      <w:pPr>
        <w:spacing w:before="138"/>
        <w:ind w:left="623" w:right="83" w:firstLine="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48"/>
          <w:sz w:val="24"/>
          <w:szCs w:val="24"/>
        </w:rPr>
        <w:t> </w:t>
      </w:r>
      <w:r>
        <w:rPr>
          <w:rFonts w:ascii="宋体" w:hAnsi="宋体" w:cs="宋体" w:eastAsia="宋体" w:hint="default"/>
          <w:spacing w:val="-2"/>
          <w:sz w:val="24"/>
          <w:szCs w:val="24"/>
        </w:rPr>
        <w:t>2：公司副总裁胡彬获授的股权激励股票为《用友软件股份有限公司股权激励计划</w:t>
      </w:r>
    </w:p>
    <w:p>
      <w:pPr>
        <w:spacing w:before="74"/>
        <w:ind w:left="140" w:right="220" w:firstLine="0"/>
        <w:jc w:val="left"/>
        <w:rPr>
          <w:rFonts w:ascii="宋体" w:hAnsi="宋体" w:cs="宋体" w:eastAsia="宋体" w:hint="default"/>
          <w:sz w:val="24"/>
          <w:szCs w:val="24"/>
        </w:rPr>
      </w:pPr>
      <w:r>
        <w:rPr>
          <w:rFonts w:ascii="宋体" w:hAnsi="宋体" w:cs="宋体" w:eastAsia="宋体" w:hint="default"/>
          <w:sz w:val="24"/>
          <w:szCs w:val="24"/>
        </w:rPr>
        <w:t>（修订稿）》中预留股份。</w:t>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29"/>
          <w:szCs w:val="29"/>
        </w:rPr>
      </w:pPr>
    </w:p>
    <w:p>
      <w:pPr>
        <w:spacing w:before="0"/>
        <w:ind w:left="623" w:right="220" w:firstLine="0"/>
        <w:jc w:val="left"/>
        <w:rPr>
          <w:rFonts w:ascii="宋体" w:hAnsi="宋体" w:cs="宋体" w:eastAsia="宋体" w:hint="default"/>
          <w:sz w:val="24"/>
          <w:szCs w:val="24"/>
        </w:rPr>
      </w:pPr>
      <w:r>
        <w:rPr>
          <w:rFonts w:ascii="宋体" w:hAnsi="宋体" w:cs="宋体" w:eastAsia="宋体" w:hint="default"/>
          <w:sz w:val="24"/>
          <w:szCs w:val="24"/>
        </w:rPr>
        <w:t>董事、监事、高级管理人员最近</w:t>
      </w:r>
      <w:r>
        <w:rPr>
          <w:rFonts w:ascii="宋体" w:hAnsi="宋体" w:cs="宋体" w:eastAsia="宋体" w:hint="default"/>
          <w:spacing w:val="-60"/>
          <w:sz w:val="24"/>
          <w:szCs w:val="24"/>
        </w:rPr>
        <w:t> </w:t>
      </w:r>
      <w:r>
        <w:rPr>
          <w:rFonts w:ascii="宋体" w:hAnsi="宋体" w:cs="宋体" w:eastAsia="宋体" w:hint="default"/>
          <w:sz w:val="24"/>
          <w:szCs w:val="24"/>
        </w:rPr>
        <w:t>5</w:t>
      </w:r>
      <w:r>
        <w:rPr>
          <w:rFonts w:ascii="宋体" w:hAnsi="宋体" w:cs="宋体" w:eastAsia="宋体" w:hint="default"/>
          <w:spacing w:val="-60"/>
          <w:sz w:val="24"/>
          <w:szCs w:val="24"/>
        </w:rPr>
        <w:t> </w:t>
      </w:r>
      <w:r>
        <w:rPr>
          <w:rFonts w:ascii="宋体" w:hAnsi="宋体" w:cs="宋体" w:eastAsia="宋体" w:hint="default"/>
          <w:sz w:val="24"/>
          <w:szCs w:val="24"/>
        </w:rPr>
        <w:t>年的主要工作经历：</w:t>
      </w:r>
    </w:p>
    <w:p>
      <w:pPr>
        <w:tabs>
          <w:tab w:pos="1220" w:val="left" w:leader="none"/>
        </w:tabs>
        <w:spacing w:line="297" w:lineRule="auto" w:before="194"/>
        <w:ind w:left="140" w:right="99" w:firstLine="482"/>
        <w:jc w:val="left"/>
        <w:rPr>
          <w:rFonts w:ascii="宋体" w:hAnsi="宋体" w:cs="宋体" w:eastAsia="宋体" w:hint="default"/>
          <w:sz w:val="24"/>
          <w:szCs w:val="24"/>
        </w:rPr>
      </w:pPr>
      <w:r>
        <w:rPr>
          <w:rFonts w:ascii="宋体" w:hAnsi="宋体" w:cs="宋体" w:eastAsia="宋体" w:hint="default"/>
          <w:spacing w:val="-3"/>
          <w:sz w:val="24"/>
          <w:szCs w:val="24"/>
        </w:rPr>
        <w:t>（1）董事长兼总裁王文京先生，1988</w:t>
      </w:r>
      <w:r>
        <w:rPr>
          <w:rFonts w:ascii="宋体" w:hAnsi="宋体" w:cs="宋体" w:eastAsia="宋体" w:hint="default"/>
          <w:spacing w:val="-56"/>
          <w:sz w:val="24"/>
          <w:szCs w:val="24"/>
        </w:rPr>
        <w:t> </w:t>
      </w:r>
      <w:r>
        <w:rPr>
          <w:rFonts w:ascii="宋体" w:hAnsi="宋体" w:cs="宋体" w:eastAsia="宋体" w:hint="default"/>
          <w:spacing w:val="-3"/>
          <w:sz w:val="24"/>
          <w:szCs w:val="24"/>
        </w:rPr>
        <w:t>年创建用友公司，曾任公司董事长、总裁等职</w:t>
      </w:r>
      <w:r>
        <w:rPr>
          <w:rFonts w:ascii="宋体" w:hAnsi="宋体" w:cs="宋体" w:eastAsia="宋体" w:hint="default"/>
          <w:spacing w:val="-1"/>
          <w:sz w:val="24"/>
          <w:szCs w:val="24"/>
        </w:rPr>
        <w:t> </w:t>
      </w:r>
      <w:r>
        <w:rPr>
          <w:rFonts w:ascii="宋体" w:hAnsi="宋体" w:cs="宋体" w:eastAsia="宋体" w:hint="default"/>
          <w:sz w:val="24"/>
          <w:szCs w:val="24"/>
        </w:rPr>
        <w:t>务，目前还担任北京用友政务软件有限公司董事、北京方正春元科技发展有限公司董事、</w:t>
      </w:r>
      <w:r>
        <w:rPr>
          <w:rFonts w:ascii="宋体" w:hAnsi="宋体" w:cs="宋体" w:eastAsia="宋体" w:hint="default"/>
          <w:sz w:val="24"/>
          <w:szCs w:val="24"/>
        </w:rPr>
        <w:t> </w:t>
      </w:r>
      <w:r>
        <w:rPr>
          <w:rFonts w:ascii="宋体" w:hAnsi="宋体" w:cs="宋体" w:eastAsia="宋体" w:hint="default"/>
          <w:spacing w:val="-4"/>
          <w:sz w:val="24"/>
          <w:szCs w:val="24"/>
        </w:rPr>
        <w:t>厦门用友烟草软件有限责任公司董事长、重庆用友软件有限公司执行董事、武汉用友软件</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6"/>
          <w:sz w:val="24"/>
          <w:szCs w:val="24"/>
        </w:rPr>
        <w:t>有限责任公司董事长、广东用友软件有限公司执行董事、深圳用友软件有限公司执行董事、</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pacing w:val="12"/>
          <w:sz w:val="24"/>
          <w:szCs w:val="24"/>
        </w:rPr>
        <w:t>江西用友软件有限公司执行董事、北京用友移动商务科技有限公司执行董事、WECOO</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z w:val="24"/>
          <w:szCs w:val="24"/>
        </w:rPr>
        <w:t>NETWORK</w:t>
        <w:tab/>
        <w:t>TECHNOLOGES CO.,LTD.执行董事、伟库（上海）网络技术有限公司执行董事兼 总经理、UF INTERNATIONAL HOLDINGS.,LTD.执行董事、UF GLOBAL RESOURCES LTD.执行</w:t>
      </w:r>
    </w:p>
    <w:p>
      <w:pPr>
        <w:spacing w:after="0" w:line="297" w:lineRule="auto"/>
        <w:jc w:val="left"/>
        <w:rPr>
          <w:rFonts w:ascii="宋体" w:hAnsi="宋体" w:cs="宋体" w:eastAsia="宋体" w:hint="default"/>
          <w:sz w:val="24"/>
          <w:szCs w:val="24"/>
        </w:rPr>
        <w:sectPr>
          <w:pgSz w:w="11910" w:h="16840"/>
          <w:pgMar w:header="720" w:footer="727" w:top="1080" w:bottom="920" w:left="1220" w:right="1080"/>
        </w:sectPr>
      </w:pPr>
    </w:p>
    <w:p>
      <w:pPr>
        <w:spacing w:line="240" w:lineRule="auto" w:before="12"/>
        <w:rPr>
          <w:rFonts w:ascii="宋体" w:hAnsi="宋体" w:cs="宋体" w:eastAsia="宋体" w:hint="default"/>
          <w:sz w:val="21"/>
          <w:szCs w:val="21"/>
        </w:rPr>
      </w:pPr>
    </w:p>
    <w:p>
      <w:pPr>
        <w:pStyle w:val="Heading7"/>
        <w:spacing w:line="297" w:lineRule="auto" w:before="26"/>
        <w:ind w:right="220"/>
        <w:jc w:val="left"/>
      </w:pPr>
      <w:r>
        <w:rPr>
          <w:spacing w:val="-4"/>
        </w:rPr>
        <w:t>董事、用友软件香港有限公司董事、中科方德软件有限公司董事、北京用友商用表单技术</w:t>
      </w:r>
      <w:r>
        <w:rPr>
          <w:spacing w:val="-84"/>
        </w:rPr>
        <w:t> </w:t>
      </w:r>
      <w:r>
        <w:rPr>
          <w:spacing w:val="-84"/>
        </w:rPr>
      </w:r>
      <w:r>
        <w:rPr/>
        <w:t>有限公司监事等职务。</w:t>
      </w:r>
    </w:p>
    <w:p>
      <w:pPr>
        <w:spacing w:line="297" w:lineRule="auto" w:before="137"/>
        <w:ind w:left="140" w:right="84" w:firstLine="482"/>
        <w:jc w:val="left"/>
        <w:rPr>
          <w:rFonts w:ascii="宋体" w:hAnsi="宋体" w:cs="宋体" w:eastAsia="宋体" w:hint="default"/>
          <w:sz w:val="24"/>
          <w:szCs w:val="24"/>
        </w:rPr>
      </w:pPr>
      <w:r>
        <w:rPr>
          <w:rFonts w:ascii="宋体" w:hAnsi="宋体" w:cs="宋体" w:eastAsia="宋体" w:hint="default"/>
          <w:spacing w:val="-3"/>
          <w:sz w:val="24"/>
          <w:szCs w:val="24"/>
        </w:rPr>
        <w:t>（2）副董事长兼财务总监郭新平先生，1989</w:t>
      </w:r>
      <w:r>
        <w:rPr>
          <w:rFonts w:ascii="宋体" w:hAnsi="宋体" w:cs="宋体" w:eastAsia="宋体" w:hint="default"/>
          <w:spacing w:val="-55"/>
          <w:sz w:val="24"/>
          <w:szCs w:val="24"/>
        </w:rPr>
        <w:t> </w:t>
      </w:r>
      <w:r>
        <w:rPr>
          <w:rFonts w:ascii="宋体" w:hAnsi="宋体" w:cs="宋体" w:eastAsia="宋体" w:hint="default"/>
          <w:spacing w:val="-3"/>
          <w:sz w:val="24"/>
          <w:szCs w:val="24"/>
        </w:rPr>
        <w:t>年加入用友，曾任公司副董事长、总裁</w:t>
      </w:r>
      <w:r>
        <w:rPr>
          <w:rFonts w:ascii="宋体" w:hAnsi="宋体" w:cs="宋体" w:eastAsia="宋体" w:hint="default"/>
          <w:spacing w:val="-1"/>
          <w:sz w:val="24"/>
          <w:szCs w:val="24"/>
        </w:rPr>
        <w:t> </w:t>
      </w:r>
      <w:r>
        <w:rPr>
          <w:rFonts w:ascii="宋体" w:hAnsi="宋体" w:cs="宋体" w:eastAsia="宋体" w:hint="default"/>
          <w:spacing w:val="-4"/>
          <w:sz w:val="24"/>
          <w:szCs w:val="24"/>
        </w:rPr>
        <w:t>等职务，目前还担任北京用友政务软件有限公司董事长、北京方正春元科技发展有限公司</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4"/>
          <w:sz w:val="24"/>
          <w:szCs w:val="24"/>
        </w:rPr>
        <w:t>董事、北京用友艾福斯软件系统有限公司董事、厦门用友烟草软件有限责任公司董事、北</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京用友华表软件技术有限公司执行董事、用友（南昌）产业基地发展有限公司执行董事、 </w:t>
      </w:r>
      <w:r>
        <w:rPr>
          <w:rFonts w:ascii="宋体" w:hAnsi="宋体" w:cs="宋体" w:eastAsia="宋体" w:hint="default"/>
          <w:spacing w:val="-4"/>
          <w:sz w:val="24"/>
          <w:szCs w:val="24"/>
        </w:rPr>
        <w:t>北京用友审计软件有限公司执行董事、北京用友致远软件技术有限公司董事、北京瑞友科</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6"/>
          <w:sz w:val="24"/>
          <w:szCs w:val="24"/>
        </w:rPr>
        <w:t>技股份有限公司董事、北京用友医院管理软件有限公司董事、成都财智软件有限公司董事、</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pacing w:val="-4"/>
          <w:sz w:val="24"/>
          <w:szCs w:val="24"/>
        </w:rPr>
        <w:t>北京精友时代信息技术发展有限公司董事、北京西玛永泰商用表单技术有限公司董事、杭</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4"/>
          <w:sz w:val="24"/>
          <w:szCs w:val="24"/>
        </w:rPr>
        <w:t>州优智软件公司董事、北京贯能管理技术服务有限公司董事、北京用友天创咨询有限责任</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公司董事等职务。</w:t>
      </w:r>
    </w:p>
    <w:p>
      <w:pPr>
        <w:spacing w:line="297" w:lineRule="auto" w:before="137"/>
        <w:ind w:left="140" w:right="85" w:firstLine="482"/>
        <w:jc w:val="left"/>
        <w:rPr>
          <w:rFonts w:ascii="宋体" w:hAnsi="宋体" w:cs="宋体" w:eastAsia="宋体" w:hint="default"/>
          <w:sz w:val="24"/>
          <w:szCs w:val="24"/>
        </w:rPr>
      </w:pPr>
      <w:r>
        <w:rPr>
          <w:rFonts w:ascii="宋体" w:hAnsi="宋体" w:cs="宋体" w:eastAsia="宋体" w:hint="default"/>
          <w:spacing w:val="-5"/>
          <w:sz w:val="24"/>
          <w:szCs w:val="24"/>
        </w:rPr>
        <w:t>（3）董事吴政平先生，1992</w:t>
      </w:r>
      <w:r>
        <w:rPr>
          <w:rFonts w:ascii="宋体" w:hAnsi="宋体" w:cs="宋体" w:eastAsia="宋体" w:hint="default"/>
          <w:spacing w:val="-43"/>
          <w:sz w:val="24"/>
          <w:szCs w:val="24"/>
        </w:rPr>
        <w:t> </w:t>
      </w:r>
      <w:r>
        <w:rPr>
          <w:rFonts w:ascii="宋体" w:hAnsi="宋体" w:cs="宋体" w:eastAsia="宋体" w:hint="default"/>
          <w:spacing w:val="-5"/>
          <w:sz w:val="24"/>
          <w:szCs w:val="24"/>
        </w:rPr>
        <w:t>年加入用友，曾任公司董事、执行副总裁、高级副总裁、</w:t>
      </w:r>
      <w:r>
        <w:rPr>
          <w:rFonts w:ascii="宋体" w:hAnsi="宋体" w:cs="宋体" w:eastAsia="宋体" w:hint="default"/>
          <w:sz w:val="24"/>
          <w:szCs w:val="24"/>
        </w:rPr>
        <w:t> </w:t>
      </w:r>
      <w:r>
        <w:rPr>
          <w:rFonts w:ascii="宋体" w:hAnsi="宋体" w:cs="宋体" w:eastAsia="宋体" w:hint="default"/>
          <w:spacing w:val="-4"/>
          <w:sz w:val="24"/>
          <w:szCs w:val="24"/>
        </w:rPr>
        <w:t>财务总监和行政总监等职务，目前还担任北京用友政务软件有限公司董事、北京方正春元</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4"/>
          <w:sz w:val="24"/>
          <w:szCs w:val="24"/>
        </w:rPr>
        <w:t>科技发展有限公司董事长、北京用友艾福斯软件系统有限公司董事、厦门用友烟草软件有</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4"/>
          <w:sz w:val="24"/>
          <w:szCs w:val="24"/>
        </w:rPr>
        <w:t>限责任公司董事、北京用友致远软件技术有限公司董事、成都财智软件有限公司董事、北</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京用友移动商务科技有限公司监事、北京西玛永泰商用表单技术有限公司监事、北京用友</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审计软件有限公司监事等职务。</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（4）独立董事秦荣生先生，北京国家会计学院党委书记、教授，中国审计学会副会 </w:t>
      </w:r>
      <w:r>
        <w:rPr>
          <w:rFonts w:ascii="宋体" w:hAnsi="宋体" w:cs="宋体" w:eastAsia="宋体" w:hint="default"/>
          <w:spacing w:val="-4"/>
          <w:sz w:val="24"/>
          <w:szCs w:val="24"/>
        </w:rPr>
        <w:t>长，中国总会计师协会副会长，财政部中国注册会计师考试委员会委员，中国审计准则委</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员会委员。目前还担任保利房地产股份有限公司独立董事、长江证券股份有限公司独立董</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事及中国民生银行股份有限公司独立董事职务。</w:t>
      </w:r>
    </w:p>
    <w:p>
      <w:pPr>
        <w:spacing w:line="297" w:lineRule="auto" w:before="138"/>
        <w:ind w:left="140" w:right="202" w:firstLine="482"/>
        <w:jc w:val="left"/>
        <w:rPr>
          <w:rFonts w:ascii="宋体" w:hAnsi="宋体" w:cs="宋体" w:eastAsia="宋体" w:hint="default"/>
          <w:sz w:val="24"/>
          <w:szCs w:val="24"/>
        </w:rPr>
      </w:pPr>
      <w:r>
        <w:rPr>
          <w:rFonts w:ascii="宋体" w:hAnsi="宋体" w:cs="宋体" w:eastAsia="宋体" w:hint="default"/>
          <w:sz w:val="24"/>
          <w:szCs w:val="24"/>
        </w:rPr>
        <w:t>（5）独立董事王明富先生，北京和君咨询有限公司董事长，历任君安证券研究所所 长、君安证券收购兼并部总经理、中国人民大学金融与证券研究所执行所长等职务。</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pacing w:val="-2"/>
          <w:sz w:val="24"/>
          <w:szCs w:val="24"/>
        </w:rPr>
        <w:t>（6）独立董事陈丕宏先生，美国宏道公司（BroadVision,</w:t>
      </w:r>
      <w:r>
        <w:rPr>
          <w:rFonts w:ascii="宋体" w:hAnsi="宋体" w:cs="宋体" w:eastAsia="宋体" w:hint="default"/>
          <w:spacing w:val="-34"/>
          <w:sz w:val="24"/>
          <w:szCs w:val="24"/>
        </w:rPr>
        <w:t> </w:t>
      </w:r>
      <w:r>
        <w:rPr>
          <w:rFonts w:ascii="宋体" w:hAnsi="宋体" w:cs="宋体" w:eastAsia="宋体" w:hint="default"/>
          <w:spacing w:val="-2"/>
          <w:sz w:val="24"/>
          <w:szCs w:val="24"/>
        </w:rPr>
        <w:t>Inc.）董事会主席、总裁</w:t>
      </w:r>
      <w:r>
        <w:rPr>
          <w:rFonts w:ascii="宋体" w:hAnsi="宋体" w:cs="宋体" w:eastAsia="宋体" w:hint="default"/>
          <w:sz w:val="24"/>
          <w:szCs w:val="24"/>
        </w:rPr>
        <w:t> </w:t>
      </w:r>
      <w:r>
        <w:rPr>
          <w:rFonts w:ascii="宋体" w:hAnsi="宋体" w:cs="宋体" w:eastAsia="宋体" w:hint="default"/>
          <w:spacing w:val="-4"/>
          <w:sz w:val="24"/>
          <w:szCs w:val="24"/>
        </w:rPr>
        <w:t>兼首席执行官，华美宏大公司董事会主席、总裁兼首席执行官，目前还担任新浪网独立董</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事。</w:t>
      </w:r>
    </w:p>
    <w:p>
      <w:pPr>
        <w:spacing w:line="297" w:lineRule="auto" w:before="138"/>
        <w:ind w:left="140" w:right="142" w:firstLine="482"/>
        <w:jc w:val="left"/>
        <w:rPr>
          <w:rFonts w:ascii="宋体" w:hAnsi="宋体" w:cs="宋体" w:eastAsia="宋体" w:hint="default"/>
          <w:sz w:val="24"/>
          <w:szCs w:val="24"/>
        </w:rPr>
      </w:pPr>
      <w:r>
        <w:rPr>
          <w:rFonts w:ascii="宋体" w:hAnsi="宋体" w:cs="宋体" w:eastAsia="宋体" w:hint="default"/>
          <w:sz w:val="24"/>
          <w:szCs w:val="24"/>
        </w:rPr>
        <w:t>（7）监事会主席许建钢先生，2001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5</w:t>
      </w:r>
      <w:r>
        <w:rPr>
          <w:rFonts w:ascii="宋体" w:hAnsi="宋体" w:cs="宋体" w:eastAsia="宋体" w:hint="default"/>
          <w:spacing w:val="-60"/>
          <w:sz w:val="24"/>
          <w:szCs w:val="24"/>
        </w:rPr>
        <w:t> </w:t>
      </w:r>
      <w:r>
        <w:rPr>
          <w:rFonts w:ascii="宋体" w:hAnsi="宋体" w:cs="宋体" w:eastAsia="宋体" w:hint="default"/>
          <w:sz w:val="24"/>
          <w:szCs w:val="24"/>
        </w:rPr>
        <w:t>月加入用友，曾任用友公司业务发展总监、</w:t>
      </w:r>
      <w:r>
        <w:rPr>
          <w:rFonts w:ascii="宋体" w:hAnsi="宋体" w:cs="宋体" w:eastAsia="宋体" w:hint="default"/>
          <w:sz w:val="24"/>
          <w:szCs w:val="24"/>
        </w:rPr>
        <w:t> 产业发展总监、副总裁等职务。</w:t>
      </w:r>
    </w:p>
    <w:p>
      <w:pPr>
        <w:spacing w:line="297" w:lineRule="auto" w:before="137"/>
        <w:ind w:left="140" w:right="204" w:firstLine="482"/>
        <w:jc w:val="left"/>
        <w:rPr>
          <w:rFonts w:ascii="宋体" w:hAnsi="宋体" w:cs="宋体" w:eastAsia="宋体" w:hint="default"/>
          <w:sz w:val="24"/>
          <w:szCs w:val="24"/>
        </w:rPr>
      </w:pPr>
      <w:r>
        <w:rPr>
          <w:rFonts w:ascii="宋体" w:hAnsi="宋体" w:cs="宋体" w:eastAsia="宋体" w:hint="default"/>
          <w:spacing w:val="-4"/>
          <w:sz w:val="24"/>
          <w:szCs w:val="24"/>
        </w:rPr>
        <w:t>（8）监事邵凯先生，1991</w:t>
      </w:r>
      <w:r>
        <w:rPr>
          <w:rFonts w:ascii="宋体" w:hAnsi="宋体" w:cs="宋体" w:eastAsia="宋体" w:hint="default"/>
          <w:spacing w:val="-51"/>
          <w:sz w:val="24"/>
          <w:szCs w:val="24"/>
        </w:rPr>
        <w:t> </w:t>
      </w:r>
      <w:r>
        <w:rPr>
          <w:rFonts w:ascii="宋体" w:hAnsi="宋体" w:cs="宋体" w:eastAsia="宋体" w:hint="default"/>
          <w:spacing w:val="-4"/>
          <w:sz w:val="24"/>
          <w:szCs w:val="24"/>
        </w:rPr>
        <w:t>年加入用友，曾任公司董事、高级副总裁、NC</w:t>
      </w:r>
      <w:r>
        <w:rPr>
          <w:rFonts w:ascii="宋体" w:hAnsi="宋体" w:cs="宋体" w:eastAsia="宋体" w:hint="default"/>
          <w:spacing w:val="-51"/>
          <w:sz w:val="24"/>
          <w:szCs w:val="24"/>
        </w:rPr>
        <w:t> </w:t>
      </w:r>
      <w:r>
        <w:rPr>
          <w:rFonts w:ascii="宋体" w:hAnsi="宋体" w:cs="宋体" w:eastAsia="宋体" w:hint="default"/>
          <w:sz w:val="24"/>
          <w:szCs w:val="24"/>
        </w:rPr>
        <w:t>事业部总经</w:t>
      </w:r>
      <w:r>
        <w:rPr>
          <w:rFonts w:ascii="宋体" w:hAnsi="宋体" w:cs="宋体" w:eastAsia="宋体" w:hint="default"/>
          <w:sz w:val="24"/>
          <w:szCs w:val="24"/>
        </w:rPr>
        <w:t> 理等职务。</w:t>
      </w:r>
    </w:p>
    <w:p>
      <w:pPr>
        <w:spacing w:line="297" w:lineRule="auto" w:before="138"/>
        <w:ind w:left="140" w:right="205" w:firstLine="482"/>
        <w:jc w:val="left"/>
        <w:rPr>
          <w:rFonts w:ascii="宋体" w:hAnsi="宋体" w:cs="宋体" w:eastAsia="宋体" w:hint="default"/>
          <w:sz w:val="24"/>
          <w:szCs w:val="24"/>
        </w:rPr>
      </w:pPr>
      <w:r>
        <w:rPr>
          <w:rFonts w:ascii="宋体" w:hAnsi="宋体" w:cs="宋体" w:eastAsia="宋体" w:hint="default"/>
          <w:spacing w:val="-3"/>
          <w:sz w:val="24"/>
          <w:szCs w:val="24"/>
        </w:rPr>
        <w:t>（9）监事严绍业先生，2003</w:t>
      </w:r>
      <w:r>
        <w:rPr>
          <w:rFonts w:ascii="宋体" w:hAnsi="宋体" w:cs="宋体" w:eastAsia="宋体" w:hint="default"/>
          <w:spacing w:val="-66"/>
          <w:sz w:val="24"/>
          <w:szCs w:val="24"/>
        </w:rPr>
        <w:t> </w:t>
      </w:r>
      <w:r>
        <w:rPr>
          <w:rFonts w:ascii="宋体" w:hAnsi="宋体" w:cs="宋体" w:eastAsia="宋体" w:hint="default"/>
          <w:sz w:val="24"/>
          <w:szCs w:val="24"/>
        </w:rPr>
        <w:t>年</w:t>
      </w:r>
      <w:r>
        <w:rPr>
          <w:rFonts w:ascii="宋体" w:hAnsi="宋体" w:cs="宋体" w:eastAsia="宋体" w:hint="default"/>
          <w:spacing w:val="-66"/>
          <w:sz w:val="24"/>
          <w:szCs w:val="24"/>
        </w:rPr>
        <w:t> </w:t>
      </w:r>
      <w:r>
        <w:rPr>
          <w:rFonts w:ascii="宋体" w:hAnsi="宋体" w:cs="宋体" w:eastAsia="宋体" w:hint="default"/>
          <w:sz w:val="24"/>
          <w:szCs w:val="24"/>
        </w:rPr>
        <w:t>1</w:t>
      </w:r>
      <w:r>
        <w:rPr>
          <w:rFonts w:ascii="宋体" w:hAnsi="宋体" w:cs="宋体" w:eastAsia="宋体" w:hint="default"/>
          <w:spacing w:val="-66"/>
          <w:sz w:val="24"/>
          <w:szCs w:val="24"/>
        </w:rPr>
        <w:t> </w:t>
      </w:r>
      <w:r>
        <w:rPr>
          <w:rFonts w:ascii="宋体" w:hAnsi="宋体" w:cs="宋体" w:eastAsia="宋体" w:hint="default"/>
          <w:sz w:val="24"/>
          <w:szCs w:val="24"/>
        </w:rPr>
        <w:t>月加入用友，曾任公司集团市场与业务发展部副总</w:t>
      </w:r>
      <w:r>
        <w:rPr>
          <w:rFonts w:ascii="宋体" w:hAnsi="宋体" w:cs="宋体" w:eastAsia="宋体" w:hint="default"/>
          <w:sz w:val="24"/>
          <w:szCs w:val="24"/>
        </w:rPr>
        <w:t> 经理兼集团市场与业务发展部集团品牌总监等职务。</w:t>
      </w:r>
    </w:p>
    <w:p>
      <w:pPr>
        <w:spacing w:line="297" w:lineRule="auto" w:before="137"/>
        <w:ind w:left="140" w:right="202" w:firstLine="482"/>
        <w:jc w:val="left"/>
        <w:rPr>
          <w:rFonts w:ascii="宋体" w:hAnsi="宋体" w:cs="宋体" w:eastAsia="宋体" w:hint="default"/>
          <w:sz w:val="24"/>
          <w:szCs w:val="24"/>
        </w:rPr>
      </w:pPr>
      <w:r>
        <w:rPr>
          <w:rFonts w:ascii="宋体" w:hAnsi="宋体" w:cs="宋体" w:eastAsia="宋体" w:hint="default"/>
          <w:sz w:val="24"/>
          <w:szCs w:val="24"/>
        </w:rPr>
        <w:t>（10）监事贾文新先生，1991 年加入用友，曾任杭州用友公司总经理、分子公司管 理部经理、企业管理部总经理、投资经营管理部总经理、助理总裁等职务。</w:t>
      </w:r>
    </w:p>
    <w:p>
      <w:pPr>
        <w:spacing w:after="0" w:line="297" w:lineRule="auto"/>
        <w:jc w:val="left"/>
        <w:rPr>
          <w:rFonts w:ascii="宋体" w:hAnsi="宋体" w:cs="宋体" w:eastAsia="宋体" w:hint="default"/>
          <w:sz w:val="24"/>
          <w:szCs w:val="24"/>
        </w:rPr>
        <w:sectPr>
          <w:footerReference w:type="default" r:id="rId10"/>
          <w:pgSz w:w="11910" w:h="16840"/>
          <w:pgMar w:footer="727" w:header="720" w:top="1080" w:bottom="920" w:left="1220" w:right="1080"/>
          <w:pgNumType w:start="17"/>
        </w:sectPr>
      </w:pPr>
    </w:p>
    <w:p>
      <w:pPr>
        <w:spacing w:line="240" w:lineRule="auto" w:before="12"/>
        <w:rPr>
          <w:rFonts w:ascii="宋体" w:hAnsi="宋体" w:cs="宋体" w:eastAsia="宋体" w:hint="default"/>
          <w:sz w:val="21"/>
          <w:szCs w:val="21"/>
        </w:rPr>
      </w:pPr>
    </w:p>
    <w:p>
      <w:pPr>
        <w:spacing w:line="297" w:lineRule="auto" w:before="26"/>
        <w:ind w:left="140" w:right="219" w:firstLine="482"/>
        <w:jc w:val="both"/>
        <w:rPr>
          <w:rFonts w:ascii="宋体" w:hAnsi="宋体" w:cs="宋体" w:eastAsia="宋体" w:hint="default"/>
          <w:sz w:val="24"/>
          <w:szCs w:val="24"/>
        </w:rPr>
      </w:pPr>
      <w:r>
        <w:rPr>
          <w:rFonts w:ascii="宋体" w:hAnsi="宋体" w:cs="宋体" w:eastAsia="宋体" w:hint="default"/>
          <w:sz w:val="24"/>
          <w:szCs w:val="24"/>
        </w:rPr>
        <w:t>（11）监事乔海先生，1995 年加入用友，曾任公司法律主管，现任公司法务部高级 业务经理。</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（12）高级副总裁杨祉雄先生，1992 年加入用友，曾任公司财务软件开发部经理、 财务软件事业部副总经理、产品研发中心副总经理、U8 事业部副总经理、公司监事会召 集人等职务。</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（13）高级副总裁章培林先生，</w:t>
      </w:r>
      <w:r>
        <w:rPr>
          <w:rFonts w:ascii="宋体" w:hAnsi="宋体" w:cs="宋体" w:eastAsia="宋体" w:hint="default"/>
          <w:spacing w:val="-60"/>
          <w:sz w:val="24"/>
          <w:szCs w:val="24"/>
        </w:rPr>
        <w:t> </w:t>
      </w:r>
      <w:r>
        <w:rPr>
          <w:rFonts w:ascii="宋体" w:hAnsi="宋体" w:cs="宋体" w:eastAsia="宋体" w:hint="default"/>
          <w:sz w:val="24"/>
          <w:szCs w:val="24"/>
        </w:rPr>
        <w:t>2001</w:t>
      </w:r>
      <w:r>
        <w:rPr>
          <w:rFonts w:ascii="宋体" w:hAnsi="宋体" w:cs="宋体" w:eastAsia="宋体" w:hint="default"/>
          <w:spacing w:val="-60"/>
          <w:sz w:val="24"/>
          <w:szCs w:val="24"/>
        </w:rPr>
        <w:t> </w:t>
      </w:r>
      <w:r>
        <w:rPr>
          <w:rFonts w:ascii="宋体" w:hAnsi="宋体" w:cs="宋体" w:eastAsia="宋体" w:hint="default"/>
          <w:sz w:val="24"/>
          <w:szCs w:val="24"/>
        </w:rPr>
        <w:t>年加入用友，曾任用友公司副总经理、副总裁</w:t>
      </w:r>
      <w:r>
        <w:rPr>
          <w:rFonts w:ascii="宋体" w:hAnsi="宋体" w:cs="宋体" w:eastAsia="宋体" w:hint="default"/>
          <w:sz w:val="24"/>
          <w:szCs w:val="24"/>
        </w:rPr>
        <w:t> 职务。</w:t>
      </w:r>
    </w:p>
    <w:p>
      <w:pPr>
        <w:spacing w:line="297" w:lineRule="auto" w:before="138"/>
        <w:ind w:left="140" w:right="219" w:firstLine="482"/>
        <w:jc w:val="both"/>
        <w:rPr>
          <w:rFonts w:ascii="宋体" w:hAnsi="宋体" w:cs="宋体" w:eastAsia="宋体" w:hint="default"/>
          <w:sz w:val="24"/>
          <w:szCs w:val="24"/>
        </w:rPr>
      </w:pPr>
      <w:r>
        <w:rPr>
          <w:rFonts w:ascii="宋体" w:hAnsi="宋体" w:cs="宋体" w:eastAsia="宋体" w:hint="default"/>
          <w:sz w:val="24"/>
          <w:szCs w:val="24"/>
        </w:rPr>
        <w:t>（14）高级副总裁郭延生先生，</w:t>
      </w:r>
      <w:r>
        <w:rPr>
          <w:rFonts w:ascii="宋体" w:hAnsi="宋体" w:cs="宋体" w:eastAsia="宋体" w:hint="default"/>
          <w:spacing w:val="-60"/>
          <w:sz w:val="24"/>
          <w:szCs w:val="24"/>
        </w:rPr>
        <w:t> </w:t>
      </w:r>
      <w:r>
        <w:rPr>
          <w:rFonts w:ascii="宋体" w:hAnsi="宋体" w:cs="宋体" w:eastAsia="宋体" w:hint="default"/>
          <w:sz w:val="24"/>
          <w:szCs w:val="24"/>
        </w:rPr>
        <w:t>1992</w:t>
      </w:r>
      <w:r>
        <w:rPr>
          <w:rFonts w:ascii="宋体" w:hAnsi="宋体" w:cs="宋体" w:eastAsia="宋体" w:hint="default"/>
          <w:spacing w:val="-60"/>
          <w:sz w:val="24"/>
          <w:szCs w:val="24"/>
        </w:rPr>
        <w:t> </w:t>
      </w:r>
      <w:r>
        <w:rPr>
          <w:rFonts w:ascii="宋体" w:hAnsi="宋体" w:cs="宋体" w:eastAsia="宋体" w:hint="default"/>
          <w:sz w:val="24"/>
          <w:szCs w:val="24"/>
        </w:rPr>
        <w:t>年加入用友，曾任公司培训中心总经理、服务</w:t>
      </w:r>
      <w:r>
        <w:rPr>
          <w:rFonts w:ascii="宋体" w:hAnsi="宋体" w:cs="宋体" w:eastAsia="宋体" w:hint="default"/>
          <w:sz w:val="24"/>
          <w:szCs w:val="24"/>
        </w:rPr>
        <w:t> 总监、总经理助理、副总经理、副总裁等职务。</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（15）高级副总裁李友先生，1996 年加入用友，曾任公司总裁助理、总裁办公室主 </w:t>
      </w:r>
      <w:r>
        <w:rPr>
          <w:rFonts w:ascii="宋体" w:hAnsi="宋体" w:cs="宋体" w:eastAsia="宋体" w:hint="default"/>
          <w:spacing w:val="-5"/>
          <w:sz w:val="24"/>
          <w:szCs w:val="24"/>
        </w:rPr>
        <w:t>任、人力资源总监、副总裁、伟库网络公司总经理、分销与</w:t>
      </w:r>
      <w:r>
        <w:rPr>
          <w:rFonts w:ascii="宋体" w:hAnsi="宋体" w:cs="宋体" w:eastAsia="宋体" w:hint="default"/>
          <w:spacing w:val="-56"/>
          <w:sz w:val="24"/>
          <w:szCs w:val="24"/>
        </w:rPr>
        <w:t> </w:t>
      </w:r>
      <w:r>
        <w:rPr>
          <w:rFonts w:ascii="宋体" w:hAnsi="宋体" w:cs="宋体" w:eastAsia="宋体" w:hint="default"/>
          <w:sz w:val="24"/>
          <w:szCs w:val="24"/>
        </w:rPr>
        <w:t>CRM</w:t>
      </w:r>
      <w:r>
        <w:rPr>
          <w:rFonts w:ascii="宋体" w:hAnsi="宋体" w:cs="宋体" w:eastAsia="宋体" w:hint="default"/>
          <w:spacing w:val="-56"/>
          <w:sz w:val="24"/>
          <w:szCs w:val="24"/>
        </w:rPr>
        <w:t> </w:t>
      </w:r>
      <w:r>
        <w:rPr>
          <w:rFonts w:ascii="宋体" w:hAnsi="宋体" w:cs="宋体" w:eastAsia="宋体" w:hint="default"/>
          <w:sz w:val="24"/>
          <w:szCs w:val="24"/>
        </w:rPr>
        <w:t>事业部总经理及北京用友</w:t>
      </w:r>
      <w:r>
        <w:rPr>
          <w:rFonts w:ascii="宋体" w:hAnsi="宋体" w:cs="宋体" w:eastAsia="宋体" w:hint="default"/>
          <w:sz w:val="24"/>
          <w:szCs w:val="24"/>
        </w:rPr>
        <w:t> 金融软件系统有限公司总经理、集团与行业解决方案事业本部总经理、副总裁等职务。</w:t>
      </w:r>
    </w:p>
    <w:p>
      <w:pPr>
        <w:spacing w:line="297" w:lineRule="auto" w:before="138"/>
        <w:ind w:left="140" w:right="85" w:firstLine="482"/>
        <w:jc w:val="left"/>
        <w:rPr>
          <w:rFonts w:ascii="宋体" w:hAnsi="宋体" w:cs="宋体" w:eastAsia="宋体" w:hint="default"/>
          <w:sz w:val="24"/>
          <w:szCs w:val="24"/>
        </w:rPr>
      </w:pPr>
      <w:r>
        <w:rPr>
          <w:rFonts w:ascii="宋体" w:hAnsi="宋体" w:cs="宋体" w:eastAsia="宋体" w:hint="default"/>
          <w:spacing w:val="-3"/>
          <w:sz w:val="24"/>
          <w:szCs w:val="24"/>
        </w:rPr>
        <w:t>（16）高级副总裁曾志勇先生，1993</w:t>
      </w:r>
      <w:r>
        <w:rPr>
          <w:rFonts w:ascii="宋体" w:hAnsi="宋体" w:cs="宋体" w:eastAsia="宋体" w:hint="default"/>
          <w:spacing w:val="-66"/>
          <w:sz w:val="24"/>
          <w:szCs w:val="24"/>
        </w:rPr>
        <w:t> </w:t>
      </w:r>
      <w:r>
        <w:rPr>
          <w:rFonts w:ascii="宋体" w:hAnsi="宋体" w:cs="宋体" w:eastAsia="宋体" w:hint="default"/>
          <w:sz w:val="24"/>
          <w:szCs w:val="24"/>
        </w:rPr>
        <w:t>年加入用友，曾任用友公司南京分公司总经理、</w:t>
      </w:r>
      <w:r>
        <w:rPr>
          <w:rFonts w:ascii="宋体" w:hAnsi="宋体" w:cs="宋体" w:eastAsia="宋体" w:hint="default"/>
          <w:sz w:val="24"/>
          <w:szCs w:val="24"/>
        </w:rPr>
        <w:t> 北方大区总经理、公司副总裁等职务。</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（17）高级副总裁吴健先生，</w:t>
      </w:r>
      <w:r>
        <w:rPr>
          <w:rFonts w:ascii="宋体" w:hAnsi="宋体" w:cs="宋体" w:eastAsia="宋体" w:hint="default"/>
          <w:spacing w:val="-60"/>
          <w:sz w:val="24"/>
          <w:szCs w:val="24"/>
        </w:rPr>
        <w:t> </w:t>
      </w:r>
      <w:r>
        <w:rPr>
          <w:rFonts w:ascii="宋体" w:hAnsi="宋体" w:cs="宋体" w:eastAsia="宋体" w:hint="default"/>
          <w:sz w:val="24"/>
          <w:szCs w:val="24"/>
        </w:rPr>
        <w:t>1992</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5</w:t>
      </w:r>
      <w:r>
        <w:rPr>
          <w:rFonts w:ascii="宋体" w:hAnsi="宋体" w:cs="宋体" w:eastAsia="宋体" w:hint="default"/>
          <w:spacing w:val="-60"/>
          <w:sz w:val="24"/>
          <w:szCs w:val="24"/>
        </w:rPr>
        <w:t> </w:t>
      </w:r>
      <w:r>
        <w:rPr>
          <w:rFonts w:ascii="宋体" w:hAnsi="宋体" w:cs="宋体" w:eastAsia="宋体" w:hint="default"/>
          <w:sz w:val="24"/>
          <w:szCs w:val="24"/>
        </w:rPr>
        <w:t>月加入用友，曾任用友销售部经理、用友公</w:t>
      </w:r>
      <w:r>
        <w:rPr>
          <w:rFonts w:ascii="宋体" w:hAnsi="宋体" w:cs="宋体" w:eastAsia="宋体" w:hint="default"/>
          <w:sz w:val="24"/>
          <w:szCs w:val="24"/>
        </w:rPr>
        <w:t> 司中南大区总经理及广州分公司总经理、北方大区总经理、公司副总裁等职务。</w:t>
      </w:r>
    </w:p>
    <w:p>
      <w:pPr>
        <w:spacing w:line="297" w:lineRule="auto" w:before="138"/>
        <w:ind w:left="140" w:right="219" w:firstLine="482"/>
        <w:jc w:val="both"/>
        <w:rPr>
          <w:rFonts w:ascii="宋体" w:hAnsi="宋体" w:cs="宋体" w:eastAsia="宋体" w:hint="default"/>
          <w:sz w:val="24"/>
          <w:szCs w:val="24"/>
        </w:rPr>
      </w:pPr>
      <w:r>
        <w:rPr>
          <w:rFonts w:ascii="宋体" w:hAnsi="宋体" w:cs="宋体" w:eastAsia="宋体" w:hint="default"/>
          <w:sz w:val="24"/>
          <w:szCs w:val="24"/>
        </w:rPr>
        <w:t>（18）副总裁吴晓冬先生，1994 年加入用友，曾任用友深圳分公司总经理，副总裁 等职务。</w:t>
      </w:r>
    </w:p>
    <w:p>
      <w:pPr>
        <w:spacing w:before="137"/>
        <w:ind w:left="623" w:right="220" w:firstLine="0"/>
        <w:jc w:val="left"/>
        <w:rPr>
          <w:rFonts w:ascii="宋体" w:hAnsi="宋体" w:cs="宋体" w:eastAsia="宋体" w:hint="default"/>
          <w:sz w:val="24"/>
          <w:szCs w:val="24"/>
        </w:rPr>
      </w:pPr>
      <w:r>
        <w:rPr>
          <w:rFonts w:ascii="宋体" w:hAnsi="宋体" w:cs="宋体" w:eastAsia="宋体" w:hint="default"/>
          <w:sz w:val="24"/>
          <w:szCs w:val="24"/>
        </w:rPr>
        <w:t>（19）副总裁卢刚先生，2002</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6</w:t>
      </w:r>
      <w:r>
        <w:rPr>
          <w:rFonts w:ascii="宋体" w:hAnsi="宋体" w:cs="宋体" w:eastAsia="宋体" w:hint="default"/>
          <w:spacing w:val="-60"/>
          <w:sz w:val="24"/>
          <w:szCs w:val="24"/>
        </w:rPr>
        <w:t> </w:t>
      </w:r>
      <w:r>
        <w:rPr>
          <w:rFonts w:ascii="宋体" w:hAnsi="宋体" w:cs="宋体" w:eastAsia="宋体" w:hint="default"/>
          <w:sz w:val="24"/>
          <w:szCs w:val="24"/>
        </w:rPr>
        <w:t>月加入用友，曾任公司副总裁等职务。</w:t>
      </w:r>
    </w:p>
    <w:p>
      <w:pPr>
        <w:spacing w:line="297" w:lineRule="auto" w:before="194"/>
        <w:ind w:left="140" w:right="219" w:firstLine="482"/>
        <w:jc w:val="both"/>
        <w:rPr>
          <w:rFonts w:ascii="宋体" w:hAnsi="宋体" w:cs="宋体" w:eastAsia="宋体" w:hint="default"/>
          <w:sz w:val="24"/>
          <w:szCs w:val="24"/>
        </w:rPr>
      </w:pPr>
      <w:r>
        <w:rPr>
          <w:rFonts w:ascii="宋体" w:hAnsi="宋体" w:cs="宋体" w:eastAsia="宋体" w:hint="default"/>
          <w:sz w:val="24"/>
          <w:szCs w:val="24"/>
        </w:rPr>
        <w:t>（20）副总裁陈巧红女士，</w:t>
      </w:r>
      <w:r>
        <w:rPr>
          <w:rFonts w:ascii="宋体" w:hAnsi="宋体" w:cs="宋体" w:eastAsia="宋体" w:hint="default"/>
          <w:spacing w:val="-60"/>
          <w:sz w:val="24"/>
          <w:szCs w:val="24"/>
        </w:rPr>
        <w:t> </w:t>
      </w:r>
      <w:r>
        <w:rPr>
          <w:rFonts w:ascii="宋体" w:hAnsi="宋体" w:cs="宋体" w:eastAsia="宋体" w:hint="default"/>
          <w:sz w:val="24"/>
          <w:szCs w:val="24"/>
        </w:rPr>
        <w:t>1992</w:t>
      </w:r>
      <w:r>
        <w:rPr>
          <w:rFonts w:ascii="宋体" w:hAnsi="宋体" w:cs="宋体" w:eastAsia="宋体" w:hint="default"/>
          <w:spacing w:val="-60"/>
          <w:sz w:val="24"/>
          <w:szCs w:val="24"/>
        </w:rPr>
        <w:t> </w:t>
      </w:r>
      <w:r>
        <w:rPr>
          <w:rFonts w:ascii="宋体" w:hAnsi="宋体" w:cs="宋体" w:eastAsia="宋体" w:hint="default"/>
          <w:sz w:val="24"/>
          <w:szCs w:val="24"/>
        </w:rPr>
        <w:t>年加入用友，曾任公司总裁助理兼政府及行业大客</w:t>
      </w:r>
      <w:r>
        <w:rPr>
          <w:rFonts w:ascii="宋体" w:hAnsi="宋体" w:cs="宋体" w:eastAsia="宋体" w:hint="default"/>
          <w:sz w:val="24"/>
          <w:szCs w:val="24"/>
        </w:rPr>
        <w:t> 户总部总经理、副总裁等职务。</w:t>
      </w:r>
    </w:p>
    <w:p>
      <w:pPr>
        <w:spacing w:line="297" w:lineRule="auto" w:before="138"/>
        <w:ind w:left="140" w:right="219" w:firstLine="482"/>
        <w:jc w:val="both"/>
        <w:rPr>
          <w:rFonts w:ascii="宋体" w:hAnsi="宋体" w:cs="宋体" w:eastAsia="宋体" w:hint="default"/>
          <w:sz w:val="24"/>
          <w:szCs w:val="24"/>
        </w:rPr>
      </w:pPr>
      <w:r>
        <w:rPr>
          <w:rFonts w:ascii="宋体" w:hAnsi="宋体" w:cs="宋体" w:eastAsia="宋体" w:hint="default"/>
          <w:sz w:val="24"/>
          <w:szCs w:val="24"/>
        </w:rPr>
        <w:t>（21）副总裁蒋蜀革先生，</w:t>
      </w:r>
      <w:r>
        <w:rPr>
          <w:rFonts w:ascii="宋体" w:hAnsi="宋体" w:cs="宋体" w:eastAsia="宋体" w:hint="default"/>
          <w:spacing w:val="-60"/>
          <w:sz w:val="24"/>
          <w:szCs w:val="24"/>
        </w:rPr>
        <w:t> </w:t>
      </w:r>
      <w:r>
        <w:rPr>
          <w:rFonts w:ascii="宋体" w:hAnsi="宋体" w:cs="宋体" w:eastAsia="宋体" w:hint="default"/>
          <w:sz w:val="24"/>
          <w:szCs w:val="24"/>
        </w:rPr>
        <w:t>2001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9</w:t>
      </w:r>
      <w:r>
        <w:rPr>
          <w:rFonts w:ascii="宋体" w:hAnsi="宋体" w:cs="宋体" w:eastAsia="宋体" w:hint="default"/>
          <w:spacing w:val="-60"/>
          <w:sz w:val="24"/>
          <w:szCs w:val="24"/>
        </w:rPr>
        <w:t> </w:t>
      </w:r>
      <w:r>
        <w:rPr>
          <w:rFonts w:ascii="宋体" w:hAnsi="宋体" w:cs="宋体" w:eastAsia="宋体" w:hint="default"/>
          <w:sz w:val="24"/>
          <w:szCs w:val="24"/>
        </w:rPr>
        <w:t>月加入用友，曾任公司助理总裁兼渠道伙伴部</w:t>
      </w:r>
      <w:r>
        <w:rPr>
          <w:rFonts w:ascii="宋体" w:hAnsi="宋体" w:cs="宋体" w:eastAsia="宋体" w:hint="default"/>
          <w:sz w:val="24"/>
          <w:szCs w:val="24"/>
        </w:rPr>
        <w:t> 总经理等职务。</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（22）副总裁郑雨林先生，</w:t>
      </w:r>
      <w:r>
        <w:rPr>
          <w:rFonts w:ascii="宋体" w:hAnsi="宋体" w:cs="宋体" w:eastAsia="宋体" w:hint="default"/>
          <w:spacing w:val="-60"/>
          <w:sz w:val="24"/>
          <w:szCs w:val="24"/>
        </w:rPr>
        <w:t> </w:t>
      </w:r>
      <w:r>
        <w:rPr>
          <w:rFonts w:ascii="宋体" w:hAnsi="宋体" w:cs="宋体" w:eastAsia="宋体" w:hint="default"/>
          <w:sz w:val="24"/>
          <w:szCs w:val="24"/>
        </w:rPr>
        <w:t>2001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月加入用友，曾任公司产品管理总部总经理等</w:t>
      </w:r>
      <w:r>
        <w:rPr>
          <w:rFonts w:ascii="宋体" w:hAnsi="宋体" w:cs="宋体" w:eastAsia="宋体" w:hint="default"/>
          <w:sz w:val="24"/>
          <w:szCs w:val="24"/>
        </w:rPr>
        <w:t> 职务。</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pacing w:val="8"/>
          <w:sz w:val="24"/>
          <w:szCs w:val="24"/>
        </w:rPr>
        <w:t>（23）副总裁何景霄先生，2001年7</w:t>
      </w:r>
      <w:r>
        <w:rPr>
          <w:rFonts w:ascii="宋体" w:hAnsi="宋体" w:cs="宋体" w:eastAsia="宋体" w:hint="default"/>
          <w:spacing w:val="-35"/>
          <w:sz w:val="24"/>
          <w:szCs w:val="24"/>
        </w:rPr>
        <w:t> </w:t>
      </w:r>
      <w:r>
        <w:rPr>
          <w:rFonts w:ascii="宋体" w:hAnsi="宋体" w:cs="宋体" w:eastAsia="宋体" w:hint="default"/>
          <w:sz w:val="24"/>
          <w:szCs w:val="24"/>
        </w:rPr>
        <w:t>月加入用友，曾任公司浙江分公司总经理、华</w:t>
      </w:r>
      <w:r>
        <w:rPr>
          <w:rFonts w:ascii="宋体" w:hAnsi="宋体" w:cs="宋体" w:eastAsia="宋体" w:hint="default"/>
          <w:sz w:val="24"/>
          <w:szCs w:val="24"/>
        </w:rPr>
        <w:t> 东大区总经理、助理总裁兼销售管理总部总经理、营销服务机构管理部总经理等职务。</w:t>
      </w:r>
    </w:p>
    <w:p>
      <w:pPr>
        <w:spacing w:line="297" w:lineRule="auto" w:before="137"/>
        <w:ind w:left="140" w:right="220" w:firstLine="482"/>
        <w:jc w:val="both"/>
        <w:rPr>
          <w:rFonts w:ascii="宋体" w:hAnsi="宋体" w:cs="宋体" w:eastAsia="宋体" w:hint="default"/>
          <w:sz w:val="24"/>
          <w:szCs w:val="24"/>
        </w:rPr>
      </w:pPr>
      <w:r>
        <w:rPr>
          <w:rFonts w:ascii="宋体" w:hAnsi="宋体" w:cs="宋体" w:eastAsia="宋体" w:hint="default"/>
          <w:spacing w:val="-3"/>
          <w:sz w:val="24"/>
          <w:szCs w:val="24"/>
        </w:rPr>
        <w:t>（24）副总裁向奇汉先生，2003</w:t>
      </w:r>
      <w:r>
        <w:rPr>
          <w:rFonts w:ascii="宋体" w:hAnsi="宋体" w:cs="宋体" w:eastAsia="宋体" w:hint="default"/>
          <w:spacing w:val="-58"/>
          <w:sz w:val="24"/>
          <w:szCs w:val="24"/>
        </w:rPr>
        <w:t> </w:t>
      </w:r>
      <w:r>
        <w:rPr>
          <w:rFonts w:ascii="宋体" w:hAnsi="宋体" w:cs="宋体" w:eastAsia="宋体" w:hint="default"/>
          <w:sz w:val="24"/>
          <w:szCs w:val="24"/>
        </w:rPr>
        <w:t>年</w:t>
      </w:r>
      <w:r>
        <w:rPr>
          <w:rFonts w:ascii="宋体" w:hAnsi="宋体" w:cs="宋体" w:eastAsia="宋体" w:hint="default"/>
          <w:spacing w:val="-57"/>
          <w:sz w:val="24"/>
          <w:szCs w:val="24"/>
        </w:rPr>
        <w:t> </w:t>
      </w:r>
      <w:r>
        <w:rPr>
          <w:rFonts w:ascii="宋体" w:hAnsi="宋体" w:cs="宋体" w:eastAsia="宋体" w:hint="default"/>
          <w:sz w:val="24"/>
          <w:szCs w:val="24"/>
        </w:rPr>
        <w:t>10</w:t>
      </w:r>
      <w:r>
        <w:rPr>
          <w:rFonts w:ascii="宋体" w:hAnsi="宋体" w:cs="宋体" w:eastAsia="宋体" w:hint="default"/>
          <w:spacing w:val="-57"/>
          <w:sz w:val="24"/>
          <w:szCs w:val="24"/>
        </w:rPr>
        <w:t> </w:t>
      </w:r>
      <w:r>
        <w:rPr>
          <w:rFonts w:ascii="宋体" w:hAnsi="宋体" w:cs="宋体" w:eastAsia="宋体" w:hint="default"/>
          <w:spacing w:val="-3"/>
          <w:sz w:val="24"/>
          <w:szCs w:val="24"/>
        </w:rPr>
        <w:t>月加入用友，曾任产品市场部总经理、产品市</w:t>
      </w:r>
      <w:r>
        <w:rPr>
          <w:rFonts w:ascii="宋体" w:hAnsi="宋体" w:cs="宋体" w:eastAsia="宋体" w:hint="default"/>
          <w:spacing w:val="-1"/>
          <w:sz w:val="24"/>
          <w:szCs w:val="24"/>
        </w:rPr>
        <w:t> </w:t>
      </w:r>
      <w:r>
        <w:rPr>
          <w:rFonts w:ascii="宋体" w:hAnsi="宋体" w:cs="宋体" w:eastAsia="宋体" w:hint="default"/>
          <w:sz w:val="24"/>
          <w:szCs w:val="24"/>
        </w:rPr>
        <w:t>场总监、产品总监等职务。</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pacing w:val="6"/>
          <w:sz w:val="24"/>
          <w:szCs w:val="24"/>
        </w:rPr>
        <w:t>（25）副总裁、董事会秘书欧阳青先生，2003年2</w:t>
      </w:r>
      <w:r>
        <w:rPr>
          <w:rFonts w:ascii="宋体" w:hAnsi="宋体" w:cs="宋体" w:eastAsia="宋体" w:hint="default"/>
          <w:spacing w:val="-33"/>
          <w:sz w:val="24"/>
          <w:szCs w:val="24"/>
        </w:rPr>
        <w:t> </w:t>
      </w:r>
      <w:r>
        <w:rPr>
          <w:rFonts w:ascii="宋体" w:hAnsi="宋体" w:cs="宋体" w:eastAsia="宋体" w:hint="default"/>
          <w:sz w:val="24"/>
          <w:szCs w:val="24"/>
        </w:rPr>
        <w:t>月加入用友，现任公司副总裁、</w:t>
      </w:r>
      <w:r>
        <w:rPr>
          <w:rFonts w:ascii="宋体" w:hAnsi="宋体" w:cs="宋体" w:eastAsia="宋体" w:hint="default"/>
          <w:sz w:val="24"/>
          <w:szCs w:val="24"/>
        </w:rPr>
        <w:t> 董事会秘书。</w:t>
      </w:r>
    </w:p>
    <w:p>
      <w:pPr>
        <w:spacing w:before="137"/>
        <w:ind w:left="623" w:right="83" w:firstLine="0"/>
        <w:jc w:val="left"/>
        <w:rPr>
          <w:rFonts w:ascii="宋体" w:hAnsi="宋体" w:cs="宋体" w:eastAsia="宋体" w:hint="default"/>
          <w:sz w:val="24"/>
          <w:szCs w:val="24"/>
        </w:rPr>
      </w:pPr>
      <w:r>
        <w:rPr>
          <w:rFonts w:ascii="宋体" w:hAnsi="宋体" w:cs="宋体" w:eastAsia="宋体" w:hint="default"/>
          <w:sz w:val="24"/>
          <w:szCs w:val="24"/>
        </w:rPr>
        <w:t>（26）首席应用架构师黄义璋先生，</w:t>
      </w:r>
      <w:r>
        <w:rPr>
          <w:rFonts w:ascii="宋体" w:hAnsi="宋体" w:cs="宋体" w:eastAsia="宋体" w:hint="default"/>
          <w:spacing w:val="-60"/>
          <w:sz w:val="24"/>
          <w:szCs w:val="24"/>
        </w:rPr>
        <w:t> </w:t>
      </w:r>
      <w:r>
        <w:rPr>
          <w:rFonts w:ascii="宋体" w:hAnsi="宋体" w:cs="宋体" w:eastAsia="宋体" w:hint="default"/>
          <w:sz w:val="24"/>
          <w:szCs w:val="24"/>
        </w:rPr>
        <w:t>2002</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月加入用友，现任公司首席应用架构</w:t>
      </w:r>
    </w:p>
    <w:p>
      <w:pPr>
        <w:spacing w:after="0"/>
        <w:jc w:val="left"/>
        <w:rPr>
          <w:rFonts w:ascii="宋体" w:hAnsi="宋体" w:cs="宋体" w:eastAsia="宋体" w:hint="default"/>
          <w:sz w:val="24"/>
          <w:szCs w:val="24"/>
        </w:rPr>
        <w:sectPr>
          <w:pgSz w:w="11910" w:h="16840"/>
          <w:pgMar w:header="720" w:footer="727" w:top="1080" w:bottom="920" w:left="1220" w:right="1080"/>
        </w:sectPr>
      </w:pPr>
    </w:p>
    <w:p>
      <w:pPr>
        <w:spacing w:line="240" w:lineRule="auto" w:before="12"/>
        <w:rPr>
          <w:rFonts w:ascii="宋体" w:hAnsi="宋体" w:cs="宋体" w:eastAsia="宋体" w:hint="default"/>
          <w:sz w:val="21"/>
          <w:szCs w:val="21"/>
        </w:rPr>
      </w:pPr>
    </w:p>
    <w:p>
      <w:pPr>
        <w:spacing w:before="26"/>
        <w:ind w:left="140" w:right="140" w:firstLine="0"/>
        <w:jc w:val="left"/>
        <w:rPr>
          <w:rFonts w:ascii="宋体" w:hAnsi="宋体" w:cs="宋体" w:eastAsia="宋体" w:hint="default"/>
          <w:sz w:val="24"/>
          <w:szCs w:val="24"/>
        </w:rPr>
      </w:pPr>
      <w:bookmarkStart w:name="_bookmark6" w:id="8"/>
      <w:bookmarkEnd w:id="8"/>
      <w:r>
        <w:rPr/>
      </w:r>
      <w:r>
        <w:rPr>
          <w:rFonts w:ascii="宋体" w:hAnsi="宋体" w:cs="宋体" w:eastAsia="宋体" w:hint="default"/>
          <w:sz w:val="24"/>
          <w:szCs w:val="24"/>
        </w:rPr>
        <w:t>师（副总裁级）。</w:t>
      </w:r>
    </w:p>
    <w:p>
      <w:pPr>
        <w:spacing w:line="297" w:lineRule="auto" w:before="194"/>
        <w:ind w:left="140" w:right="139" w:firstLine="482"/>
        <w:jc w:val="both"/>
        <w:rPr>
          <w:rFonts w:ascii="宋体" w:hAnsi="宋体" w:cs="宋体" w:eastAsia="宋体" w:hint="default"/>
          <w:sz w:val="24"/>
          <w:szCs w:val="24"/>
        </w:rPr>
      </w:pPr>
      <w:r>
        <w:rPr>
          <w:rFonts w:ascii="宋体" w:hAnsi="宋体" w:cs="宋体" w:eastAsia="宋体" w:hint="default"/>
          <w:sz w:val="24"/>
          <w:szCs w:val="24"/>
        </w:rPr>
        <w:t>（27）副总裁朱铁生先生，1997 年加入用友，曾任深圳用友公司销售经理、客户总 </w:t>
      </w:r>
      <w:r>
        <w:rPr>
          <w:rFonts w:ascii="宋体" w:hAnsi="宋体" w:cs="宋体" w:eastAsia="宋体" w:hint="default"/>
          <w:spacing w:val="-4"/>
          <w:sz w:val="24"/>
          <w:szCs w:val="24"/>
        </w:rPr>
        <w:t>监、副总经理、用友中南大区销售总监、深圳用友公司总经理、用友中南大区总经理、助</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z w:val="24"/>
          <w:szCs w:val="24"/>
        </w:rPr>
        <w:t>理总裁兼广东区总经理等职务。</w:t>
      </w:r>
    </w:p>
    <w:p>
      <w:pPr>
        <w:spacing w:line="297" w:lineRule="auto" w:before="137"/>
        <w:ind w:left="140" w:right="139" w:firstLine="482"/>
        <w:jc w:val="both"/>
        <w:rPr>
          <w:rFonts w:ascii="宋体" w:hAnsi="宋体" w:cs="宋体" w:eastAsia="宋体" w:hint="default"/>
          <w:sz w:val="24"/>
          <w:szCs w:val="24"/>
        </w:rPr>
      </w:pPr>
      <w:r>
        <w:rPr>
          <w:rFonts w:ascii="宋体" w:hAnsi="宋体" w:cs="宋体" w:eastAsia="宋体" w:hint="default"/>
          <w:sz w:val="24"/>
          <w:szCs w:val="24"/>
        </w:rPr>
        <w:t>（28）副总裁季学庆先生，</w:t>
      </w:r>
      <w:r>
        <w:rPr>
          <w:rFonts w:ascii="宋体" w:hAnsi="宋体" w:cs="宋体" w:eastAsia="宋体" w:hint="default"/>
          <w:spacing w:val="-60"/>
          <w:sz w:val="24"/>
          <w:szCs w:val="24"/>
        </w:rPr>
        <w:t> </w:t>
      </w:r>
      <w:r>
        <w:rPr>
          <w:rFonts w:ascii="宋体" w:hAnsi="宋体" w:cs="宋体" w:eastAsia="宋体" w:hint="default"/>
          <w:sz w:val="24"/>
          <w:szCs w:val="24"/>
        </w:rPr>
        <w:t>1996</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4</w:t>
      </w:r>
      <w:r>
        <w:rPr>
          <w:rFonts w:ascii="宋体" w:hAnsi="宋体" w:cs="宋体" w:eastAsia="宋体" w:hint="default"/>
          <w:spacing w:val="-60"/>
          <w:sz w:val="24"/>
          <w:szCs w:val="24"/>
        </w:rPr>
        <w:t> </w:t>
      </w:r>
      <w:r>
        <w:rPr>
          <w:rFonts w:ascii="宋体" w:hAnsi="宋体" w:cs="宋体" w:eastAsia="宋体" w:hint="default"/>
          <w:sz w:val="24"/>
          <w:szCs w:val="24"/>
        </w:rPr>
        <w:t>月加入用友，曾任用友南京分公司总经理、华</w:t>
      </w:r>
      <w:r>
        <w:rPr>
          <w:rFonts w:ascii="宋体" w:hAnsi="宋体" w:cs="宋体" w:eastAsia="宋体" w:hint="default"/>
          <w:sz w:val="24"/>
          <w:szCs w:val="24"/>
        </w:rPr>
        <w:t> 东大区总经理、上海分公司总经理、助理总裁等职务。</w:t>
      </w:r>
    </w:p>
    <w:p>
      <w:pPr>
        <w:spacing w:line="297" w:lineRule="auto" w:before="137"/>
        <w:ind w:left="140" w:right="139" w:firstLine="482"/>
        <w:jc w:val="both"/>
        <w:rPr>
          <w:rFonts w:ascii="宋体" w:hAnsi="宋体" w:cs="宋体" w:eastAsia="宋体" w:hint="default"/>
          <w:sz w:val="24"/>
          <w:szCs w:val="24"/>
        </w:rPr>
      </w:pPr>
      <w:r>
        <w:rPr>
          <w:rFonts w:ascii="宋体" w:hAnsi="宋体" w:cs="宋体" w:eastAsia="宋体" w:hint="default"/>
          <w:sz w:val="24"/>
          <w:szCs w:val="24"/>
        </w:rPr>
        <w:t>（29）副总裁薛峰先生，曾任特博深信息科技（北京）有限公司总经理。2008 年加 入用友，担任公司副总裁职务。</w:t>
      </w:r>
    </w:p>
    <w:p>
      <w:pPr>
        <w:spacing w:line="297" w:lineRule="auto" w:before="137"/>
        <w:ind w:left="140" w:right="139" w:firstLine="482"/>
        <w:jc w:val="both"/>
        <w:rPr>
          <w:rFonts w:ascii="宋体" w:hAnsi="宋体" w:cs="宋体" w:eastAsia="宋体" w:hint="default"/>
          <w:sz w:val="24"/>
          <w:szCs w:val="24"/>
        </w:rPr>
      </w:pPr>
      <w:r>
        <w:rPr>
          <w:rFonts w:ascii="宋体" w:hAnsi="宋体" w:cs="宋体" w:eastAsia="宋体" w:hint="default"/>
          <w:sz w:val="24"/>
          <w:szCs w:val="24"/>
        </w:rPr>
        <w:t>（30）副总裁胡彬先生，曾任</w:t>
      </w:r>
      <w:r>
        <w:rPr>
          <w:rFonts w:ascii="宋体" w:hAnsi="宋体" w:cs="宋体" w:eastAsia="宋体" w:hint="default"/>
          <w:spacing w:val="-48"/>
          <w:sz w:val="24"/>
          <w:szCs w:val="24"/>
        </w:rPr>
        <w:t> </w:t>
      </w:r>
      <w:r>
        <w:rPr>
          <w:rFonts w:ascii="宋体" w:hAnsi="宋体" w:cs="宋体" w:eastAsia="宋体" w:hint="default"/>
          <w:sz w:val="24"/>
          <w:szCs w:val="24"/>
        </w:rPr>
        <w:t>IFS</w:t>
      </w:r>
      <w:r>
        <w:rPr>
          <w:rFonts w:ascii="宋体" w:hAnsi="宋体" w:cs="宋体" w:eastAsia="宋体" w:hint="default"/>
          <w:spacing w:val="-48"/>
          <w:sz w:val="24"/>
          <w:szCs w:val="24"/>
        </w:rPr>
        <w:t> </w:t>
      </w:r>
      <w:r>
        <w:rPr>
          <w:rFonts w:ascii="宋体" w:hAnsi="宋体" w:cs="宋体" w:eastAsia="宋体" w:hint="default"/>
          <w:sz w:val="24"/>
          <w:szCs w:val="24"/>
        </w:rPr>
        <w:t>中国公司总经理。2009</w:t>
      </w:r>
      <w:r>
        <w:rPr>
          <w:rFonts w:ascii="宋体" w:hAnsi="宋体" w:cs="宋体" w:eastAsia="宋体" w:hint="default"/>
          <w:spacing w:val="-48"/>
          <w:sz w:val="24"/>
          <w:szCs w:val="24"/>
        </w:rPr>
        <w:t> </w:t>
      </w:r>
      <w:r>
        <w:rPr>
          <w:rFonts w:ascii="宋体" w:hAnsi="宋体" w:cs="宋体" w:eastAsia="宋体" w:hint="default"/>
          <w:sz w:val="24"/>
          <w:szCs w:val="24"/>
        </w:rPr>
        <w:t>年</w:t>
      </w:r>
      <w:r>
        <w:rPr>
          <w:rFonts w:ascii="宋体" w:hAnsi="宋体" w:cs="宋体" w:eastAsia="宋体" w:hint="default"/>
          <w:spacing w:val="-48"/>
          <w:sz w:val="24"/>
          <w:szCs w:val="24"/>
        </w:rPr>
        <w:t> </w:t>
      </w:r>
      <w:r>
        <w:rPr>
          <w:rFonts w:ascii="宋体" w:hAnsi="宋体" w:cs="宋体" w:eastAsia="宋体" w:hint="default"/>
          <w:sz w:val="24"/>
          <w:szCs w:val="24"/>
        </w:rPr>
        <w:t>2</w:t>
      </w:r>
      <w:r>
        <w:rPr>
          <w:rFonts w:ascii="宋体" w:hAnsi="宋体" w:cs="宋体" w:eastAsia="宋体" w:hint="default"/>
          <w:spacing w:val="-48"/>
          <w:sz w:val="24"/>
          <w:szCs w:val="24"/>
        </w:rPr>
        <w:t> </w:t>
      </w:r>
      <w:r>
        <w:rPr>
          <w:rFonts w:ascii="宋体" w:hAnsi="宋体" w:cs="宋体" w:eastAsia="宋体" w:hint="default"/>
          <w:sz w:val="24"/>
          <w:szCs w:val="24"/>
        </w:rPr>
        <w:t>月加入用友，担任公</w:t>
      </w:r>
      <w:r>
        <w:rPr>
          <w:rFonts w:ascii="宋体" w:hAnsi="宋体" w:cs="宋体" w:eastAsia="宋体" w:hint="default"/>
          <w:sz w:val="24"/>
          <w:szCs w:val="24"/>
        </w:rPr>
        <w:t> 司副总裁职务。</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4"/>
          <w:szCs w:val="34"/>
        </w:rPr>
      </w:pPr>
    </w:p>
    <w:p>
      <w:pPr>
        <w:spacing w:line="331" w:lineRule="auto" w:before="0"/>
        <w:ind w:left="623" w:right="4879" w:firstLine="38"/>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13"/>
          <w:sz w:val="24"/>
          <w:szCs w:val="24"/>
        </w:rPr>
        <w:t> </w:t>
      </w:r>
      <w:r>
        <w:rPr>
          <w:rFonts w:ascii="宋体" w:hAnsi="宋体" w:cs="宋体" w:eastAsia="宋体" w:hint="default"/>
          <w:b/>
          <w:bCs/>
          <w:sz w:val="24"/>
          <w:szCs w:val="24"/>
        </w:rPr>
        <w:t>在股东单位及其他单位任职情况</w:t>
      </w:r>
      <w:r>
        <w:rPr>
          <w:rFonts w:ascii="宋体" w:hAnsi="宋体" w:cs="宋体" w:eastAsia="宋体" w:hint="default"/>
          <w:b/>
          <w:bCs/>
          <w:w w:val="99"/>
          <w:sz w:val="24"/>
          <w:szCs w:val="24"/>
        </w:rPr>
        <w:t> </w:t>
      </w:r>
      <w:r>
        <w:rPr>
          <w:rFonts w:ascii="宋体" w:hAnsi="宋体" w:cs="宋体" w:eastAsia="宋体" w:hint="default"/>
          <w:sz w:val="24"/>
          <w:szCs w:val="24"/>
        </w:rPr>
        <w:t>1、在股东单位任职情况</w:t>
      </w:r>
    </w:p>
    <w:p>
      <w:pPr>
        <w:spacing w:line="240" w:lineRule="auto" w:before="12"/>
        <w:rPr>
          <w:rFonts w:ascii="宋体" w:hAnsi="宋体" w:cs="宋体" w:eastAsia="宋体" w:hint="default"/>
          <w:sz w:val="10"/>
          <w:szCs w:val="10"/>
        </w:rPr>
      </w:pPr>
    </w:p>
    <w:tbl>
      <w:tblPr>
        <w:tblW w:w="0" w:type="auto"/>
        <w:jc w:val="left"/>
        <w:tblInd w:w="125" w:type="dxa"/>
        <w:tblLayout w:type="fixed"/>
        <w:tblCellMar>
          <w:top w:w="0" w:type="dxa"/>
          <w:left w:w="0" w:type="dxa"/>
          <w:bottom w:w="0" w:type="dxa"/>
          <w:right w:w="0" w:type="dxa"/>
        </w:tblCellMar>
        <w:tblLook w:val="01E0"/>
      </w:tblPr>
      <w:tblGrid>
        <w:gridCol w:w="966"/>
        <w:gridCol w:w="3472"/>
        <w:gridCol w:w="1457"/>
        <w:gridCol w:w="1300"/>
        <w:gridCol w:w="1140"/>
        <w:gridCol w:w="875"/>
      </w:tblGrid>
      <w:tr>
        <w:trPr>
          <w:trHeight w:val="832" w:hRule="exact"/>
        </w:trPr>
        <w:tc>
          <w:tcPr>
            <w:tcW w:w="96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65"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347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098" w:right="0"/>
              <w:jc w:val="left"/>
              <w:rPr>
                <w:rFonts w:ascii="宋体" w:hAnsi="宋体" w:cs="宋体" w:eastAsia="宋体" w:hint="default"/>
                <w:sz w:val="21"/>
                <w:szCs w:val="21"/>
              </w:rPr>
            </w:pPr>
            <w:r>
              <w:rPr>
                <w:rFonts w:ascii="宋体" w:hAnsi="宋体" w:cs="宋体" w:eastAsia="宋体" w:hint="default"/>
                <w:sz w:val="21"/>
                <w:szCs w:val="21"/>
              </w:rPr>
              <w:t>股东单位名称</w:t>
            </w:r>
          </w:p>
        </w:tc>
        <w:tc>
          <w:tcPr>
            <w:tcW w:w="145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95"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300"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327" w:right="325"/>
              <w:jc w:val="left"/>
              <w:rPr>
                <w:rFonts w:ascii="宋体" w:hAnsi="宋体" w:cs="宋体" w:eastAsia="宋体" w:hint="default"/>
                <w:sz w:val="21"/>
                <w:szCs w:val="21"/>
              </w:rPr>
            </w:pPr>
            <w:r>
              <w:rPr>
                <w:rFonts w:ascii="宋体" w:hAnsi="宋体" w:cs="宋体" w:eastAsia="宋体" w:hint="default"/>
                <w:sz w:val="21"/>
                <w:szCs w:val="21"/>
              </w:rPr>
              <w:t>任期起 始日期</w:t>
            </w:r>
          </w:p>
        </w:tc>
        <w:tc>
          <w:tcPr>
            <w:tcW w:w="1140"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247" w:right="246"/>
              <w:jc w:val="left"/>
              <w:rPr>
                <w:rFonts w:ascii="宋体" w:hAnsi="宋体" w:cs="宋体" w:eastAsia="宋体" w:hint="default"/>
                <w:sz w:val="21"/>
                <w:szCs w:val="21"/>
              </w:rPr>
            </w:pPr>
            <w:r>
              <w:rPr>
                <w:rFonts w:ascii="宋体" w:hAnsi="宋体" w:cs="宋体" w:eastAsia="宋体" w:hint="default"/>
                <w:sz w:val="21"/>
                <w:szCs w:val="21"/>
              </w:rPr>
              <w:t>任期终 止日期</w:t>
            </w:r>
          </w:p>
        </w:tc>
        <w:tc>
          <w:tcPr>
            <w:tcW w:w="875"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68" w:right="0"/>
              <w:jc w:val="left"/>
              <w:rPr>
                <w:rFonts w:ascii="宋体" w:hAnsi="宋体" w:cs="宋体" w:eastAsia="宋体" w:hint="default"/>
                <w:sz w:val="21"/>
                <w:szCs w:val="21"/>
              </w:rPr>
            </w:pPr>
            <w:r>
              <w:rPr>
                <w:rFonts w:ascii="宋体" w:hAnsi="宋体" w:cs="宋体" w:eastAsia="宋体" w:hint="default"/>
                <w:sz w:val="21"/>
                <w:szCs w:val="21"/>
              </w:rPr>
              <w:t>是否领</w:t>
            </w:r>
          </w:p>
          <w:p>
            <w:pPr>
              <w:pStyle w:val="TableParagraph"/>
              <w:spacing w:line="272" w:lineRule="exact" w:before="26"/>
              <w:ind w:left="172" w:right="159" w:hanging="105"/>
              <w:jc w:val="left"/>
              <w:rPr>
                <w:rFonts w:ascii="宋体" w:hAnsi="宋体" w:cs="宋体" w:eastAsia="宋体" w:hint="default"/>
                <w:sz w:val="21"/>
                <w:szCs w:val="21"/>
              </w:rPr>
            </w:pPr>
            <w:r>
              <w:rPr>
                <w:rFonts w:ascii="宋体" w:hAnsi="宋体" w:cs="宋体" w:eastAsia="宋体" w:hint="default"/>
                <w:sz w:val="21"/>
                <w:szCs w:val="21"/>
              </w:rPr>
              <w:t>取报酬 津贴</w:t>
            </w:r>
          </w:p>
        </w:tc>
      </w:tr>
      <w:tr>
        <w:trPr>
          <w:trHeight w:val="376" w:hRule="exact"/>
        </w:trPr>
        <w:tc>
          <w:tcPr>
            <w:tcW w:w="966"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left="160"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347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北京用友科技有限公司</w:t>
            </w:r>
          </w:p>
        </w:tc>
        <w:tc>
          <w:tcPr>
            <w:tcW w:w="145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1"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3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78" w:right="0"/>
              <w:jc w:val="left"/>
              <w:rPr>
                <w:rFonts w:ascii="宋体" w:hAnsi="宋体" w:cs="宋体" w:eastAsia="宋体" w:hint="default"/>
                <w:sz w:val="21"/>
                <w:szCs w:val="21"/>
              </w:rPr>
            </w:pPr>
            <w:r>
              <w:rPr>
                <w:rFonts w:ascii="宋体"/>
                <w:sz w:val="21"/>
              </w:rPr>
              <w:t>2009-6-15</w:t>
            </w:r>
          </w:p>
        </w:tc>
        <w:tc>
          <w:tcPr>
            <w:tcW w:w="114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21"/>
              <w:jc w:val="center"/>
              <w:rPr>
                <w:rFonts w:ascii="宋体" w:hAnsi="宋体" w:cs="宋体" w:eastAsia="宋体" w:hint="default"/>
                <w:sz w:val="21"/>
                <w:szCs w:val="21"/>
              </w:rPr>
            </w:pPr>
            <w:r>
              <w:rPr>
                <w:rFonts w:ascii="宋体"/>
                <w:sz w:val="21"/>
              </w:rPr>
              <w:t>2011-6-15</w:t>
            </w:r>
          </w:p>
        </w:tc>
        <w:tc>
          <w:tcPr>
            <w:tcW w:w="8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74" w:hRule="exact"/>
        </w:trPr>
        <w:tc>
          <w:tcPr>
            <w:tcW w:w="966" w:type="dxa"/>
            <w:vMerge/>
            <w:tcBorders>
              <w:left w:val="single" w:sz="6" w:space="0" w:color="101010"/>
              <w:right w:val="single" w:sz="6" w:space="0" w:color="101010"/>
            </w:tcBorders>
          </w:tcPr>
          <w:p>
            <w:pPr/>
          </w:p>
        </w:tc>
        <w:tc>
          <w:tcPr>
            <w:tcW w:w="347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北京用友企业管理研究所有限公司</w:t>
            </w:r>
          </w:p>
        </w:tc>
        <w:tc>
          <w:tcPr>
            <w:tcW w:w="145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1"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3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78" w:right="0"/>
              <w:jc w:val="left"/>
              <w:rPr>
                <w:rFonts w:ascii="宋体" w:hAnsi="宋体" w:cs="宋体" w:eastAsia="宋体" w:hint="default"/>
                <w:sz w:val="21"/>
                <w:szCs w:val="21"/>
              </w:rPr>
            </w:pPr>
            <w:r>
              <w:rPr>
                <w:rFonts w:ascii="宋体"/>
                <w:sz w:val="21"/>
              </w:rPr>
              <w:t>2009-6-15</w:t>
            </w:r>
          </w:p>
        </w:tc>
        <w:tc>
          <w:tcPr>
            <w:tcW w:w="114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21"/>
              <w:jc w:val="center"/>
              <w:rPr>
                <w:rFonts w:ascii="宋体" w:hAnsi="宋体" w:cs="宋体" w:eastAsia="宋体" w:hint="default"/>
                <w:sz w:val="21"/>
                <w:szCs w:val="21"/>
              </w:rPr>
            </w:pPr>
            <w:r>
              <w:rPr>
                <w:rFonts w:ascii="宋体"/>
                <w:sz w:val="21"/>
              </w:rPr>
              <w:t>2011-6-15</w:t>
            </w:r>
          </w:p>
        </w:tc>
        <w:tc>
          <w:tcPr>
            <w:tcW w:w="8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76" w:hRule="exact"/>
        </w:trPr>
        <w:tc>
          <w:tcPr>
            <w:tcW w:w="966" w:type="dxa"/>
            <w:vMerge/>
            <w:tcBorders>
              <w:left w:val="single" w:sz="6" w:space="0" w:color="101010"/>
              <w:bottom w:val="single" w:sz="6" w:space="0" w:color="101010"/>
              <w:right w:val="single" w:sz="6" w:space="0" w:color="101010"/>
            </w:tcBorders>
          </w:tcPr>
          <w:p>
            <w:pPr/>
          </w:p>
        </w:tc>
        <w:tc>
          <w:tcPr>
            <w:tcW w:w="347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上海用友科技咨询有限公司</w:t>
            </w:r>
          </w:p>
        </w:tc>
        <w:tc>
          <w:tcPr>
            <w:tcW w:w="145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1"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3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78" w:right="0"/>
              <w:jc w:val="left"/>
              <w:rPr>
                <w:rFonts w:ascii="宋体" w:hAnsi="宋体" w:cs="宋体" w:eastAsia="宋体" w:hint="default"/>
                <w:sz w:val="21"/>
                <w:szCs w:val="21"/>
              </w:rPr>
            </w:pPr>
            <w:r>
              <w:rPr>
                <w:rFonts w:ascii="宋体"/>
                <w:sz w:val="21"/>
              </w:rPr>
              <w:t>2009-6-15</w:t>
            </w:r>
          </w:p>
        </w:tc>
        <w:tc>
          <w:tcPr>
            <w:tcW w:w="114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21"/>
              <w:jc w:val="center"/>
              <w:rPr>
                <w:rFonts w:ascii="宋体" w:hAnsi="宋体" w:cs="宋体" w:eastAsia="宋体" w:hint="default"/>
                <w:sz w:val="21"/>
                <w:szCs w:val="21"/>
              </w:rPr>
            </w:pPr>
            <w:r>
              <w:rPr>
                <w:rFonts w:ascii="宋体"/>
                <w:sz w:val="21"/>
              </w:rPr>
              <w:t>2011-6-15</w:t>
            </w:r>
          </w:p>
        </w:tc>
        <w:tc>
          <w:tcPr>
            <w:tcW w:w="8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74" w:hRule="exact"/>
        </w:trPr>
        <w:tc>
          <w:tcPr>
            <w:tcW w:w="966"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left="160"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347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上海益倍管理咨询有限公司</w:t>
            </w:r>
          </w:p>
        </w:tc>
        <w:tc>
          <w:tcPr>
            <w:tcW w:w="145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9"/>
              <w:ind w:left="100"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3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77" w:right="0"/>
              <w:jc w:val="left"/>
              <w:rPr>
                <w:rFonts w:ascii="宋体" w:hAnsi="宋体" w:cs="宋体" w:eastAsia="宋体" w:hint="default"/>
                <w:sz w:val="21"/>
                <w:szCs w:val="21"/>
              </w:rPr>
            </w:pPr>
            <w:r>
              <w:rPr>
                <w:rFonts w:ascii="宋体"/>
                <w:sz w:val="21"/>
              </w:rPr>
              <w:t>2009-6-15</w:t>
            </w:r>
          </w:p>
        </w:tc>
        <w:tc>
          <w:tcPr>
            <w:tcW w:w="114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24"/>
              <w:jc w:val="center"/>
              <w:rPr>
                <w:rFonts w:ascii="宋体" w:hAnsi="宋体" w:cs="宋体" w:eastAsia="宋体" w:hint="default"/>
                <w:sz w:val="21"/>
                <w:szCs w:val="21"/>
              </w:rPr>
            </w:pPr>
            <w:r>
              <w:rPr>
                <w:rFonts w:ascii="宋体"/>
                <w:sz w:val="21"/>
              </w:rPr>
              <w:t>2011-6-15</w:t>
            </w:r>
          </w:p>
        </w:tc>
        <w:tc>
          <w:tcPr>
            <w:tcW w:w="8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76" w:hRule="exact"/>
        </w:trPr>
        <w:tc>
          <w:tcPr>
            <w:tcW w:w="966" w:type="dxa"/>
            <w:vMerge/>
            <w:tcBorders>
              <w:left w:val="single" w:sz="6" w:space="0" w:color="101010"/>
              <w:right w:val="single" w:sz="6" w:space="0" w:color="101010"/>
            </w:tcBorders>
          </w:tcPr>
          <w:p>
            <w:pPr/>
          </w:p>
        </w:tc>
        <w:tc>
          <w:tcPr>
            <w:tcW w:w="347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北京用友企业管理研究所有限公司</w:t>
            </w:r>
          </w:p>
        </w:tc>
        <w:tc>
          <w:tcPr>
            <w:tcW w:w="145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1"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3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78" w:right="0"/>
              <w:jc w:val="left"/>
              <w:rPr>
                <w:rFonts w:ascii="宋体" w:hAnsi="宋体" w:cs="宋体" w:eastAsia="宋体" w:hint="default"/>
                <w:sz w:val="21"/>
                <w:szCs w:val="21"/>
              </w:rPr>
            </w:pPr>
            <w:r>
              <w:rPr>
                <w:rFonts w:ascii="宋体"/>
                <w:sz w:val="21"/>
              </w:rPr>
              <w:t>2009-6-15</w:t>
            </w:r>
          </w:p>
        </w:tc>
        <w:tc>
          <w:tcPr>
            <w:tcW w:w="114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21"/>
              <w:jc w:val="center"/>
              <w:rPr>
                <w:rFonts w:ascii="宋体" w:hAnsi="宋体" w:cs="宋体" w:eastAsia="宋体" w:hint="default"/>
                <w:sz w:val="21"/>
                <w:szCs w:val="21"/>
              </w:rPr>
            </w:pPr>
            <w:r>
              <w:rPr>
                <w:rFonts w:ascii="宋体"/>
                <w:sz w:val="21"/>
              </w:rPr>
              <w:t>2011-6-15</w:t>
            </w:r>
          </w:p>
        </w:tc>
        <w:tc>
          <w:tcPr>
            <w:tcW w:w="8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74" w:hRule="exact"/>
        </w:trPr>
        <w:tc>
          <w:tcPr>
            <w:tcW w:w="966" w:type="dxa"/>
            <w:vMerge/>
            <w:tcBorders>
              <w:left w:val="single" w:sz="6" w:space="0" w:color="101010"/>
              <w:bottom w:val="single" w:sz="6" w:space="0" w:color="101010"/>
              <w:right w:val="single" w:sz="6" w:space="0" w:color="101010"/>
            </w:tcBorders>
          </w:tcPr>
          <w:p>
            <w:pPr/>
          </w:p>
        </w:tc>
        <w:tc>
          <w:tcPr>
            <w:tcW w:w="347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上海用友科技咨询有限公司</w:t>
            </w:r>
          </w:p>
        </w:tc>
        <w:tc>
          <w:tcPr>
            <w:tcW w:w="145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1"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3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78" w:right="0"/>
              <w:jc w:val="left"/>
              <w:rPr>
                <w:rFonts w:ascii="宋体" w:hAnsi="宋体" w:cs="宋体" w:eastAsia="宋体" w:hint="default"/>
                <w:sz w:val="21"/>
                <w:szCs w:val="21"/>
              </w:rPr>
            </w:pPr>
            <w:r>
              <w:rPr>
                <w:rFonts w:ascii="宋体"/>
                <w:sz w:val="21"/>
              </w:rPr>
              <w:t>2009-6-15</w:t>
            </w:r>
          </w:p>
        </w:tc>
        <w:tc>
          <w:tcPr>
            <w:tcW w:w="114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21"/>
              <w:jc w:val="center"/>
              <w:rPr>
                <w:rFonts w:ascii="宋体" w:hAnsi="宋体" w:cs="宋体" w:eastAsia="宋体" w:hint="default"/>
                <w:sz w:val="21"/>
                <w:szCs w:val="21"/>
              </w:rPr>
            </w:pPr>
            <w:r>
              <w:rPr>
                <w:rFonts w:ascii="宋体"/>
                <w:sz w:val="21"/>
              </w:rPr>
              <w:t>2011-6-15</w:t>
            </w:r>
          </w:p>
        </w:tc>
        <w:tc>
          <w:tcPr>
            <w:tcW w:w="8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76" w:hRule="exact"/>
        </w:trPr>
        <w:tc>
          <w:tcPr>
            <w:tcW w:w="966"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left="160"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347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上海优富信息咨询有限公司</w:t>
            </w:r>
          </w:p>
        </w:tc>
        <w:tc>
          <w:tcPr>
            <w:tcW w:w="145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1" w:right="0"/>
              <w:jc w:val="left"/>
              <w:rPr>
                <w:rFonts w:ascii="宋体" w:hAnsi="宋体" w:cs="宋体" w:eastAsia="宋体" w:hint="default"/>
                <w:sz w:val="21"/>
                <w:szCs w:val="21"/>
              </w:rPr>
            </w:pPr>
            <w:r>
              <w:rPr>
                <w:rFonts w:ascii="宋体" w:hAnsi="宋体" w:cs="宋体" w:eastAsia="宋体" w:hint="default"/>
                <w:sz w:val="21"/>
                <w:szCs w:val="21"/>
              </w:rPr>
              <w:t>执行董事</w:t>
            </w:r>
          </w:p>
        </w:tc>
        <w:tc>
          <w:tcPr>
            <w:tcW w:w="13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78" w:right="0"/>
              <w:jc w:val="left"/>
              <w:rPr>
                <w:rFonts w:ascii="宋体" w:hAnsi="宋体" w:cs="宋体" w:eastAsia="宋体" w:hint="default"/>
                <w:sz w:val="21"/>
                <w:szCs w:val="21"/>
              </w:rPr>
            </w:pPr>
            <w:r>
              <w:rPr>
                <w:rFonts w:ascii="宋体"/>
                <w:sz w:val="21"/>
              </w:rPr>
              <w:t>2009-6-15</w:t>
            </w:r>
          </w:p>
        </w:tc>
        <w:tc>
          <w:tcPr>
            <w:tcW w:w="114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21"/>
              <w:jc w:val="center"/>
              <w:rPr>
                <w:rFonts w:ascii="宋体" w:hAnsi="宋体" w:cs="宋体" w:eastAsia="宋体" w:hint="default"/>
                <w:sz w:val="21"/>
                <w:szCs w:val="21"/>
              </w:rPr>
            </w:pPr>
            <w:r>
              <w:rPr>
                <w:rFonts w:ascii="宋体"/>
                <w:sz w:val="21"/>
              </w:rPr>
              <w:t>2011-6-15</w:t>
            </w:r>
          </w:p>
        </w:tc>
        <w:tc>
          <w:tcPr>
            <w:tcW w:w="8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74" w:hRule="exact"/>
        </w:trPr>
        <w:tc>
          <w:tcPr>
            <w:tcW w:w="966" w:type="dxa"/>
            <w:vMerge/>
            <w:tcBorders>
              <w:left w:val="single" w:sz="6" w:space="0" w:color="101010"/>
              <w:right w:val="single" w:sz="6" w:space="0" w:color="101010"/>
            </w:tcBorders>
          </w:tcPr>
          <w:p>
            <w:pPr/>
          </w:p>
        </w:tc>
        <w:tc>
          <w:tcPr>
            <w:tcW w:w="347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北京用友企业管理研究所有限公司</w:t>
            </w:r>
          </w:p>
        </w:tc>
        <w:tc>
          <w:tcPr>
            <w:tcW w:w="145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1"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3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78" w:right="0"/>
              <w:jc w:val="left"/>
              <w:rPr>
                <w:rFonts w:ascii="宋体" w:hAnsi="宋体" w:cs="宋体" w:eastAsia="宋体" w:hint="default"/>
                <w:sz w:val="21"/>
                <w:szCs w:val="21"/>
              </w:rPr>
            </w:pPr>
            <w:r>
              <w:rPr>
                <w:rFonts w:ascii="宋体"/>
                <w:sz w:val="21"/>
              </w:rPr>
              <w:t>2009-6-15</w:t>
            </w:r>
          </w:p>
        </w:tc>
        <w:tc>
          <w:tcPr>
            <w:tcW w:w="114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21"/>
              <w:jc w:val="center"/>
              <w:rPr>
                <w:rFonts w:ascii="宋体" w:hAnsi="宋体" w:cs="宋体" w:eastAsia="宋体" w:hint="default"/>
                <w:sz w:val="21"/>
                <w:szCs w:val="21"/>
              </w:rPr>
            </w:pPr>
            <w:r>
              <w:rPr>
                <w:rFonts w:ascii="宋体"/>
                <w:sz w:val="21"/>
              </w:rPr>
              <w:t>2011-6-15</w:t>
            </w:r>
          </w:p>
        </w:tc>
        <w:tc>
          <w:tcPr>
            <w:tcW w:w="8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76" w:hRule="exact"/>
        </w:trPr>
        <w:tc>
          <w:tcPr>
            <w:tcW w:w="966" w:type="dxa"/>
            <w:vMerge/>
            <w:tcBorders>
              <w:left w:val="single" w:sz="6" w:space="0" w:color="101010"/>
              <w:bottom w:val="single" w:sz="6" w:space="0" w:color="101010"/>
              <w:right w:val="single" w:sz="6" w:space="0" w:color="101010"/>
            </w:tcBorders>
          </w:tcPr>
          <w:p>
            <w:pPr/>
          </w:p>
        </w:tc>
        <w:tc>
          <w:tcPr>
            <w:tcW w:w="347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上海用友科技咨询有限公司</w:t>
            </w:r>
          </w:p>
        </w:tc>
        <w:tc>
          <w:tcPr>
            <w:tcW w:w="145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1"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3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78" w:right="0"/>
              <w:jc w:val="left"/>
              <w:rPr>
                <w:rFonts w:ascii="宋体" w:hAnsi="宋体" w:cs="宋体" w:eastAsia="宋体" w:hint="default"/>
                <w:sz w:val="21"/>
                <w:szCs w:val="21"/>
              </w:rPr>
            </w:pPr>
            <w:r>
              <w:rPr>
                <w:rFonts w:ascii="宋体"/>
                <w:sz w:val="21"/>
              </w:rPr>
              <w:t>2009-6-15</w:t>
            </w:r>
          </w:p>
        </w:tc>
        <w:tc>
          <w:tcPr>
            <w:tcW w:w="114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21"/>
              <w:jc w:val="center"/>
              <w:rPr>
                <w:rFonts w:ascii="宋体" w:hAnsi="宋体" w:cs="宋体" w:eastAsia="宋体" w:hint="default"/>
                <w:sz w:val="21"/>
                <w:szCs w:val="21"/>
              </w:rPr>
            </w:pPr>
            <w:r>
              <w:rPr>
                <w:rFonts w:ascii="宋体"/>
                <w:sz w:val="21"/>
              </w:rPr>
              <w:t>2011-6-15</w:t>
            </w:r>
          </w:p>
        </w:tc>
        <w:tc>
          <w:tcPr>
            <w:tcW w:w="8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74" w:hRule="exact"/>
        </w:trPr>
        <w:tc>
          <w:tcPr>
            <w:tcW w:w="966" w:type="dxa"/>
            <w:vMerge w:val="restart"/>
            <w:tcBorders>
              <w:top w:val="single" w:sz="6" w:space="0" w:color="101010"/>
              <w:left w:val="single" w:sz="6" w:space="0" w:color="101010"/>
              <w:right w:val="single" w:sz="6" w:space="0" w:color="10101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65" w:right="0"/>
              <w:jc w:val="left"/>
              <w:rPr>
                <w:rFonts w:ascii="宋体" w:hAnsi="宋体" w:cs="宋体" w:eastAsia="宋体" w:hint="default"/>
                <w:sz w:val="21"/>
                <w:szCs w:val="21"/>
              </w:rPr>
            </w:pPr>
            <w:r>
              <w:rPr>
                <w:rFonts w:ascii="宋体" w:hAnsi="宋体" w:cs="宋体" w:eastAsia="宋体" w:hint="default"/>
                <w:sz w:val="21"/>
                <w:szCs w:val="21"/>
              </w:rPr>
              <w:t>邵凯</w:t>
            </w:r>
          </w:p>
        </w:tc>
        <w:tc>
          <w:tcPr>
            <w:tcW w:w="347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北京用友企业管理研究所有限公司</w:t>
            </w:r>
          </w:p>
        </w:tc>
        <w:tc>
          <w:tcPr>
            <w:tcW w:w="145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1"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3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78" w:right="0"/>
              <w:jc w:val="left"/>
              <w:rPr>
                <w:rFonts w:ascii="宋体" w:hAnsi="宋体" w:cs="宋体" w:eastAsia="宋体" w:hint="default"/>
                <w:sz w:val="21"/>
                <w:szCs w:val="21"/>
              </w:rPr>
            </w:pPr>
            <w:r>
              <w:rPr>
                <w:rFonts w:ascii="宋体"/>
                <w:sz w:val="21"/>
              </w:rPr>
              <w:t>2009-6-15</w:t>
            </w:r>
          </w:p>
        </w:tc>
        <w:tc>
          <w:tcPr>
            <w:tcW w:w="114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21"/>
              <w:jc w:val="center"/>
              <w:rPr>
                <w:rFonts w:ascii="宋体" w:hAnsi="宋体" w:cs="宋体" w:eastAsia="宋体" w:hint="default"/>
                <w:sz w:val="21"/>
                <w:szCs w:val="21"/>
              </w:rPr>
            </w:pPr>
            <w:r>
              <w:rPr>
                <w:rFonts w:ascii="宋体"/>
                <w:sz w:val="21"/>
              </w:rPr>
              <w:t>2011-6-15</w:t>
            </w:r>
          </w:p>
        </w:tc>
        <w:tc>
          <w:tcPr>
            <w:tcW w:w="8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76" w:hRule="exact"/>
        </w:trPr>
        <w:tc>
          <w:tcPr>
            <w:tcW w:w="966" w:type="dxa"/>
            <w:vMerge/>
            <w:tcBorders>
              <w:left w:val="single" w:sz="6" w:space="0" w:color="101010"/>
              <w:bottom w:val="single" w:sz="6" w:space="0" w:color="101010"/>
              <w:right w:val="single" w:sz="6" w:space="0" w:color="101010"/>
            </w:tcBorders>
          </w:tcPr>
          <w:p>
            <w:pPr/>
          </w:p>
        </w:tc>
        <w:tc>
          <w:tcPr>
            <w:tcW w:w="347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上海用友科技咨询有限公司</w:t>
            </w:r>
          </w:p>
        </w:tc>
        <w:tc>
          <w:tcPr>
            <w:tcW w:w="145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1"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3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78" w:right="0"/>
              <w:jc w:val="left"/>
              <w:rPr>
                <w:rFonts w:ascii="宋体" w:hAnsi="宋体" w:cs="宋体" w:eastAsia="宋体" w:hint="default"/>
                <w:sz w:val="21"/>
                <w:szCs w:val="21"/>
              </w:rPr>
            </w:pPr>
            <w:r>
              <w:rPr>
                <w:rFonts w:ascii="宋体"/>
                <w:sz w:val="21"/>
              </w:rPr>
              <w:t>2009-6-15</w:t>
            </w:r>
          </w:p>
        </w:tc>
        <w:tc>
          <w:tcPr>
            <w:tcW w:w="114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21"/>
              <w:jc w:val="center"/>
              <w:rPr>
                <w:rFonts w:ascii="宋体" w:hAnsi="宋体" w:cs="宋体" w:eastAsia="宋体" w:hint="default"/>
                <w:sz w:val="21"/>
                <w:szCs w:val="21"/>
              </w:rPr>
            </w:pPr>
            <w:r>
              <w:rPr>
                <w:rFonts w:ascii="宋体"/>
                <w:sz w:val="21"/>
              </w:rPr>
              <w:t>2011-6-15</w:t>
            </w:r>
          </w:p>
        </w:tc>
        <w:tc>
          <w:tcPr>
            <w:tcW w:w="8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sz w:val="21"/>
                <w:szCs w:val="21"/>
              </w:rPr>
              <w:t>否</w:t>
            </w:r>
          </w:p>
        </w:tc>
      </w:tr>
    </w:tbl>
    <w:p>
      <w:pPr>
        <w:spacing w:after="0" w:line="240" w:lineRule="auto"/>
        <w:jc w:val="center"/>
        <w:rPr>
          <w:rFonts w:ascii="宋体" w:hAnsi="宋体" w:cs="宋体" w:eastAsia="宋体" w:hint="default"/>
          <w:sz w:val="21"/>
          <w:szCs w:val="21"/>
        </w:rPr>
        <w:sectPr>
          <w:pgSz w:w="11910" w:h="16840"/>
          <w:pgMar w:header="720" w:footer="727" w:top="1080" w:bottom="920" w:left="1220" w:right="1160"/>
        </w:sectPr>
      </w:pPr>
    </w:p>
    <w:p>
      <w:pPr>
        <w:spacing w:line="240" w:lineRule="auto" w:before="0"/>
        <w:rPr>
          <w:rFonts w:ascii="宋体" w:hAnsi="宋体" w:cs="宋体" w:eastAsia="宋体" w:hint="default"/>
          <w:sz w:val="20"/>
          <w:szCs w:val="20"/>
        </w:rPr>
      </w:pPr>
    </w:p>
    <w:p>
      <w:pPr>
        <w:pStyle w:val="Heading7"/>
        <w:spacing w:line="240" w:lineRule="auto" w:before="170"/>
        <w:ind w:left="623" w:right="140"/>
        <w:jc w:val="left"/>
      </w:pPr>
      <w:r>
        <w:rPr/>
        <w:t>2、在其他单位任职情况</w:t>
      </w:r>
    </w:p>
    <w:p>
      <w:pPr>
        <w:spacing w:line="240" w:lineRule="auto" w:before="11"/>
        <w:rPr>
          <w:rFonts w:ascii="宋体" w:hAnsi="宋体" w:cs="宋体" w:eastAsia="宋体" w:hint="default"/>
          <w:sz w:val="17"/>
          <w:szCs w:val="17"/>
        </w:rPr>
      </w:pPr>
    </w:p>
    <w:tbl>
      <w:tblPr>
        <w:tblW w:w="0" w:type="auto"/>
        <w:jc w:val="left"/>
        <w:tblInd w:w="127" w:type="dxa"/>
        <w:tblLayout w:type="fixed"/>
        <w:tblCellMar>
          <w:top w:w="0" w:type="dxa"/>
          <w:left w:w="0" w:type="dxa"/>
          <w:bottom w:w="0" w:type="dxa"/>
          <w:right w:w="0" w:type="dxa"/>
        </w:tblCellMar>
        <w:tblLook w:val="01E0"/>
      </w:tblPr>
      <w:tblGrid>
        <w:gridCol w:w="508"/>
        <w:gridCol w:w="3204"/>
        <w:gridCol w:w="1897"/>
        <w:gridCol w:w="1501"/>
        <w:gridCol w:w="1400"/>
        <w:gridCol w:w="698"/>
      </w:tblGrid>
      <w:tr>
        <w:trPr>
          <w:trHeight w:val="944" w:hRule="exact"/>
        </w:trPr>
        <w:tc>
          <w:tcPr>
            <w:tcW w:w="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58" w:right="157"/>
              <w:jc w:val="left"/>
              <w:rPr>
                <w:rFonts w:ascii="宋体" w:hAnsi="宋体" w:cs="宋体" w:eastAsia="宋体" w:hint="default"/>
                <w:sz w:val="18"/>
                <w:szCs w:val="18"/>
              </w:rPr>
            </w:pPr>
            <w:r>
              <w:rPr>
                <w:rFonts w:ascii="宋体" w:hAnsi="宋体" w:cs="宋体" w:eastAsia="宋体" w:hint="default"/>
                <w:sz w:val="18"/>
                <w:szCs w:val="18"/>
              </w:rPr>
              <w:t>姓 名</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1057" w:right="0"/>
              <w:jc w:val="left"/>
              <w:rPr>
                <w:rFonts w:ascii="宋体" w:hAnsi="宋体" w:cs="宋体" w:eastAsia="宋体" w:hint="default"/>
                <w:sz w:val="18"/>
                <w:szCs w:val="18"/>
              </w:rPr>
            </w:pPr>
            <w:r>
              <w:rPr>
                <w:rFonts w:ascii="宋体" w:hAnsi="宋体" w:cs="宋体" w:eastAsia="宋体" w:hint="default"/>
                <w:sz w:val="18"/>
                <w:szCs w:val="18"/>
              </w:rPr>
              <w:t>股东单位名称</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846"/>
              <w:jc w:val="left"/>
              <w:rPr>
                <w:rFonts w:ascii="宋体" w:hAnsi="宋体" w:cs="宋体" w:eastAsia="宋体" w:hint="default"/>
                <w:sz w:val="18"/>
                <w:szCs w:val="18"/>
              </w:rPr>
            </w:pPr>
            <w:r>
              <w:rPr>
                <w:rFonts w:ascii="宋体" w:hAnsi="宋体" w:cs="宋体" w:eastAsia="宋体" w:hint="default"/>
                <w:sz w:val="18"/>
                <w:szCs w:val="18"/>
              </w:rPr>
              <w:t>任期起 始日期</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745"/>
              <w:jc w:val="left"/>
              <w:rPr>
                <w:rFonts w:ascii="宋体" w:hAnsi="宋体" w:cs="宋体" w:eastAsia="宋体" w:hint="default"/>
                <w:sz w:val="18"/>
                <w:szCs w:val="18"/>
              </w:rPr>
            </w:pPr>
            <w:r>
              <w:rPr>
                <w:rFonts w:ascii="宋体" w:hAnsi="宋体" w:cs="宋体" w:eastAsia="宋体" w:hint="default"/>
                <w:sz w:val="18"/>
                <w:szCs w:val="18"/>
              </w:rPr>
              <w:t>任期终 止日期</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64" w:right="0"/>
              <w:jc w:val="both"/>
              <w:rPr>
                <w:rFonts w:ascii="宋体" w:hAnsi="宋体" w:cs="宋体" w:eastAsia="宋体" w:hint="default"/>
                <w:sz w:val="18"/>
                <w:szCs w:val="18"/>
              </w:rPr>
            </w:pPr>
            <w:r>
              <w:rPr>
                <w:rFonts w:ascii="宋体" w:hAnsi="宋体" w:cs="宋体" w:eastAsia="宋体" w:hint="default"/>
                <w:sz w:val="18"/>
                <w:szCs w:val="18"/>
              </w:rPr>
              <w:t>是否</w:t>
            </w:r>
          </w:p>
          <w:p>
            <w:pPr>
              <w:pStyle w:val="TableParagraph"/>
              <w:spacing w:line="237" w:lineRule="auto" w:before="1"/>
              <w:ind w:left="164" w:right="162"/>
              <w:jc w:val="both"/>
              <w:rPr>
                <w:rFonts w:ascii="宋体" w:hAnsi="宋体" w:cs="宋体" w:eastAsia="宋体" w:hint="default"/>
                <w:sz w:val="18"/>
                <w:szCs w:val="18"/>
              </w:rPr>
            </w:pPr>
            <w:r>
              <w:rPr>
                <w:rFonts w:ascii="宋体" w:hAnsi="宋体" w:cs="宋体" w:eastAsia="宋体" w:hint="default"/>
                <w:sz w:val="18"/>
                <w:szCs w:val="18"/>
              </w:rPr>
              <w:t>领取 报酬 津贴</w:t>
            </w:r>
          </w:p>
        </w:tc>
      </w:tr>
      <w:tr>
        <w:trPr>
          <w:trHeight w:val="312" w:hRule="exact"/>
        </w:trPr>
        <w:tc>
          <w:tcPr>
            <w:tcW w:w="50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37" w:lineRule="auto"/>
              <w:ind w:left="158" w:right="157"/>
              <w:jc w:val="both"/>
              <w:rPr>
                <w:rFonts w:ascii="宋体" w:hAnsi="宋体" w:cs="宋体" w:eastAsia="宋体" w:hint="default"/>
                <w:sz w:val="18"/>
                <w:szCs w:val="18"/>
              </w:rPr>
            </w:pPr>
            <w:r>
              <w:rPr>
                <w:rFonts w:ascii="宋体" w:hAnsi="宋体" w:cs="宋体" w:eastAsia="宋体" w:hint="default"/>
                <w:sz w:val="18"/>
                <w:szCs w:val="18"/>
              </w:rPr>
              <w:t>王 文 京</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北京用友政务软件有限公司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2008-12-24</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2011-12-23</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北京方正春元科技发展有限公司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2008-10-27</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2011-10-26</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厦门用友烟草软件有限责任公司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2008-08-22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2011-08-21</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重庆用友软件有限公司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2008-02-08</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2011-02-07</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武汉用友软件有限责任公司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2007-05-30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2010-05-29</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广东用友软件有限公司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2009-12-06</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2012-12-05</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深圳用友软件有限公司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2009-10-16</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2012-10-15</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江西用友软件有限公司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2008-05-28</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2011-05-27</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北京用友移动商务科技有限公司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2007-04-03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2010-04-02</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WECOO</w:t>
            </w:r>
            <w:r>
              <w:rPr>
                <w:rFonts w:ascii="宋体"/>
                <w:spacing w:val="-41"/>
                <w:sz w:val="18"/>
              </w:rPr>
              <w:t> </w:t>
            </w:r>
            <w:r>
              <w:rPr>
                <w:rFonts w:ascii="宋体"/>
                <w:sz w:val="18"/>
              </w:rPr>
              <w:t>NETWORK</w:t>
            </w:r>
            <w:r>
              <w:rPr>
                <w:rFonts w:ascii="宋体"/>
                <w:spacing w:val="8"/>
                <w:sz w:val="18"/>
              </w:rPr>
              <w:t> </w:t>
            </w:r>
            <w:r>
              <w:rPr>
                <w:rFonts w:ascii="宋体"/>
                <w:sz w:val="18"/>
              </w:rPr>
              <w:t>TECHNOLOGES</w:t>
            </w:r>
            <w:r>
              <w:rPr>
                <w:rFonts w:ascii="宋体"/>
                <w:spacing w:val="-41"/>
                <w:sz w:val="18"/>
              </w:rPr>
              <w:t> </w:t>
            </w:r>
            <w:r>
              <w:rPr>
                <w:rFonts w:ascii="宋体"/>
                <w:sz w:val="18"/>
              </w:rPr>
              <w:t>CO.,LTD.</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2009-06-29</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2012-06-28</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伟库（上海）网络技术有限公司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执行董事兼总经理</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2009-11-28</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2012-11-27</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UF INTERNATIONAL HOLDINGS.,LTD.</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2007-04-03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2010-04-02</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UF GLOBAL RESOURCES LTD.</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2008-01-17</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2011-01-16</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用友软件香港有限公司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2009-06-27</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2012-06-26</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中科方德软件有限公司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2009-12-25</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2012-12-25</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bottom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北京用友商用表单技术有限公司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2009-06-20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2012-06-20</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val="restart"/>
            <w:tcBorders>
              <w:top w:val="single" w:sz="4" w:space="0" w:color="000000"/>
              <w:left w:val="single" w:sz="4" w:space="0" w:color="000000"/>
              <w:right w:val="single" w:sz="4" w:space="0" w:color="000000"/>
            </w:tcBorders>
          </w:tcPr>
          <w:p>
            <w:pPr>
              <w:pStyle w:val="TableParagraph"/>
              <w:spacing w:line="204" w:lineRule="exact"/>
              <w:ind w:left="158" w:right="0"/>
              <w:jc w:val="left"/>
              <w:rPr>
                <w:rFonts w:ascii="宋体" w:hAnsi="宋体" w:cs="宋体" w:eastAsia="宋体" w:hint="default"/>
                <w:sz w:val="18"/>
                <w:szCs w:val="18"/>
              </w:rPr>
            </w:pPr>
            <w:r>
              <w:rPr>
                <w:rFonts w:ascii="宋体" w:hAnsi="宋体" w:cs="宋体" w:eastAsia="宋体" w:hint="default"/>
                <w:sz w:val="18"/>
                <w:szCs w:val="18"/>
              </w:rPr>
              <w:t>郭</w:t>
            </w:r>
          </w:p>
          <w:p>
            <w:pPr>
              <w:pStyle w:val="TableParagraph"/>
              <w:spacing w:line="240" w:lineRule="auto"/>
              <w:ind w:left="158" w:right="157"/>
              <w:jc w:val="left"/>
              <w:rPr>
                <w:rFonts w:ascii="宋体" w:hAnsi="宋体" w:cs="宋体" w:eastAsia="宋体" w:hint="default"/>
                <w:sz w:val="18"/>
                <w:szCs w:val="18"/>
              </w:rPr>
            </w:pPr>
            <w:r>
              <w:rPr>
                <w:rFonts w:ascii="宋体" w:hAnsi="宋体" w:cs="宋体" w:eastAsia="宋体" w:hint="default"/>
                <w:sz w:val="18"/>
                <w:szCs w:val="18"/>
              </w:rPr>
              <w:t>新 平</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北京用友政务软件有限公司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2007-09-21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2010-09-20</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北京方正春元科技发展有限公司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2008-10-27</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2011-10-26</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北京用友艾福斯软件系统有限公司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2007-12-25</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2010-12-24</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厦门用友烟草软件有限责任公司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2008-08-22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2011-08-21</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北京用友华表软件技术有限公司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2007-12-30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2010-12-29</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浙江用友软件有限公司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2008-05-23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2011-05-22</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广西用友软件有限公司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2008-09-07</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2011-09-06</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大连用友软件有限公司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2008-10-12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2011-10-11</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天津用友软件技术有限公司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2008-03-14</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2011-03-13</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安徽用友软件有限公司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2007-01-01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2009-12-31</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苏州用友软件有限公司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2009-05-08</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2012-05-07</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山东用友软件有限公司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2009-06-20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2012-06-19</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用友（南昌）产业基地发展有限公司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2009-09-08</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2012-09-07</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北京用友审计软件有限公司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2009-03-09</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2012-03-08</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北京用友致远软件技术有限公司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2008-04-02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2011-04-01</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北京瑞友科技股份有限公司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2009-08-01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2012-07-31</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北京用友医院管理软件有限公司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2009-04-13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2012-04-13</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成都财智软件有限公司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2008-03-26</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2011-03-25</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北京精友时代信息技术发展有限公司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2001-11-02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2007-11-01</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北京西玛永泰商用表单技术有限公司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2009-09-04</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2012-09-03</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杭州优智软件公司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2007-03-30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2010-03-29</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北京贯能管理技术服务有限公司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2007-07-20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2010-07-19</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北京用友天创咨询有限责任公司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2007-04-02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2007-04-01</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bottom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武汉用友软件有限责任公司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2007-07-03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2010-07-02</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right"/>
        <w:rPr>
          <w:rFonts w:ascii="宋体" w:hAnsi="宋体" w:cs="宋体" w:eastAsia="宋体" w:hint="default"/>
          <w:sz w:val="18"/>
          <w:szCs w:val="18"/>
        </w:rPr>
        <w:sectPr>
          <w:pgSz w:w="11910" w:h="16840"/>
          <w:pgMar w:header="720" w:footer="727" w:top="1080" w:bottom="920" w:left="1220" w:right="1160"/>
        </w:sectPr>
      </w:pPr>
    </w:p>
    <w:p>
      <w:pPr>
        <w:spacing w:line="240" w:lineRule="auto" w:before="11"/>
        <w:rPr>
          <w:rFonts w:ascii="宋体" w:hAnsi="宋体" w:cs="宋体" w:eastAsia="宋体" w:hint="default"/>
          <w:sz w:val="26"/>
          <w:szCs w:val="26"/>
        </w:rPr>
      </w:pPr>
    </w:p>
    <w:tbl>
      <w:tblPr>
        <w:tblW w:w="0" w:type="auto"/>
        <w:jc w:val="left"/>
        <w:tblInd w:w="127" w:type="dxa"/>
        <w:tblLayout w:type="fixed"/>
        <w:tblCellMar>
          <w:top w:w="0" w:type="dxa"/>
          <w:left w:w="0" w:type="dxa"/>
          <w:bottom w:w="0" w:type="dxa"/>
          <w:right w:w="0" w:type="dxa"/>
        </w:tblCellMar>
        <w:tblLook w:val="01E0"/>
      </w:tblPr>
      <w:tblGrid>
        <w:gridCol w:w="508"/>
        <w:gridCol w:w="3204"/>
        <w:gridCol w:w="1897"/>
        <w:gridCol w:w="1501"/>
        <w:gridCol w:w="1400"/>
        <w:gridCol w:w="698"/>
      </w:tblGrid>
      <w:tr>
        <w:trPr>
          <w:trHeight w:val="312" w:hRule="exact"/>
        </w:trPr>
        <w:tc>
          <w:tcPr>
            <w:tcW w:w="508" w:type="dxa"/>
            <w:vMerge w:val="restart"/>
            <w:tcBorders>
              <w:top w:val="single" w:sz="4" w:space="0" w:color="000000"/>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bookmarkStart w:name="_bookmark7" w:id="9"/>
            <w:bookmarkEnd w:id="9"/>
            <w:r>
              <w:rPr/>
            </w:r>
            <w:r>
              <w:rPr>
                <w:rFonts w:ascii="宋体" w:hAnsi="宋体" w:cs="宋体" w:eastAsia="宋体" w:hint="default"/>
                <w:sz w:val="18"/>
                <w:szCs w:val="18"/>
              </w:rPr>
              <w:t>用友教育投资有限公司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2008-09-16</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2011-09-15</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广东用友软件有限公司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2009-05-06</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2012-05-06</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深圳用友软件有限公司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2009-10-16</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2012-10-15</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bottom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用友医疗卫生信息系统有限公司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2009-09-17</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2012-09-16</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37" w:lineRule="auto" w:before="137"/>
              <w:ind w:left="158" w:right="157"/>
              <w:jc w:val="both"/>
              <w:rPr>
                <w:rFonts w:ascii="宋体" w:hAnsi="宋体" w:cs="宋体" w:eastAsia="宋体" w:hint="default"/>
                <w:sz w:val="18"/>
                <w:szCs w:val="18"/>
              </w:rPr>
            </w:pPr>
            <w:r>
              <w:rPr>
                <w:rFonts w:ascii="宋体" w:hAnsi="宋体" w:cs="宋体" w:eastAsia="宋体" w:hint="default"/>
                <w:sz w:val="18"/>
                <w:szCs w:val="18"/>
              </w:rPr>
              <w:t>吴 政 平</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北京用友政务软件有限公司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2007-09-21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2010-09-20</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北京方正春元科技发展有限公司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2008-10-27</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2011-10-26</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北京用友艾福斯软件系统有限公司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2007-12-15</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2010-12-14</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厦门用友烟草软件有限责任公司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2008-08-22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2011-08-21</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北京用友致远软件技术有限公司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2008-04-02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2011-04-01</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成都财智软件有限公司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2008-03-26</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2011-03-25</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北京用友移动商务科技有限公司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2007-04-03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2010-04-02</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北京西玛永泰商用表单技术有限公司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2009-09-04</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2012-09-03</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北京用友审计软件有限公司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2009-03-09</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2012-03-08</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用友（南昌）产业基地发展有限公司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2009-09-08</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2012-09-07</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重庆用友软件有限公司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2008-02-08</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2011-02-07</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武汉用友软件有限责任公司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2007-05-30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2010-05-29</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天津用友软件技术有限公司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2008-03-14</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2011-03-13</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安徽用友软件有限公司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2007-01-01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2009-12-31</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浙江用友软件有限公司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2008-05-23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2011-05-22</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沈阳用友软件有限公司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2009-08-05</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2012-08-04</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广西用友软件有限公司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2008-09-07</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2011-09-06</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大连用友软件有限公司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2008-10-12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2011-10-11</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苏州用友软件有限公司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2009-05-08</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2012-05-07</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山东用友软件有限公司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2009-06-20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2012-06-19</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江西用友软件有限公司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2008-05-28</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2011-05-27</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湖南用友软件有限公司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2009-09-16</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2012-09-15</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bottom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内蒙古用友软件有限公司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2009-01-23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2012-01-22</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58" w:right="157"/>
              <w:jc w:val="left"/>
              <w:rPr>
                <w:rFonts w:ascii="宋体" w:hAnsi="宋体" w:cs="宋体" w:eastAsia="宋体" w:hint="default"/>
                <w:sz w:val="18"/>
                <w:szCs w:val="18"/>
              </w:rPr>
            </w:pPr>
            <w:r>
              <w:rPr>
                <w:rFonts w:ascii="宋体" w:hAnsi="宋体" w:cs="宋体" w:eastAsia="宋体" w:hint="default"/>
                <w:sz w:val="18"/>
                <w:szCs w:val="18"/>
              </w:rPr>
              <w:t>邵 凯</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北京瑞友科技股份有限公司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董事长兼总经理</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2009-08-01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2012-07-31</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日本用友软件工程公司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取缔役会长</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2007-01-01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2009-12-31</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上海用友幅驰信息咨询有限公司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2008-09-01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2011-08-31</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508" w:type="dxa"/>
            <w:vMerge/>
            <w:tcBorders>
              <w:left w:val="single" w:sz="4" w:space="0" w:color="000000"/>
              <w:bottom w:val="single" w:sz="4" w:space="0" w:color="000000"/>
              <w:right w:val="single" w:sz="4" w:space="0" w:color="000000"/>
            </w:tcBorders>
          </w:tcPr>
          <w:p>
            <w:pP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西安用友软件工程有限公司</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2008-09-02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sz w:val="18"/>
              </w:rPr>
              <w:t>2011-09-01</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252"/>
              <w:jc w:val="righ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5"/>
        <w:rPr>
          <w:rFonts w:ascii="宋体" w:hAnsi="宋体" w:cs="宋体" w:eastAsia="宋体" w:hint="default"/>
          <w:sz w:val="13"/>
          <w:szCs w:val="13"/>
        </w:rPr>
      </w:pPr>
    </w:p>
    <w:p>
      <w:pPr>
        <w:spacing w:line="331" w:lineRule="auto" w:before="26"/>
        <w:ind w:left="623" w:right="3961" w:hanging="83"/>
        <w:jc w:val="left"/>
        <w:rPr>
          <w:rFonts w:ascii="宋体" w:hAnsi="宋体" w:cs="宋体" w:eastAsia="宋体" w:hint="default"/>
          <w:sz w:val="24"/>
          <w:szCs w:val="24"/>
        </w:rPr>
      </w:pPr>
      <w:r>
        <w:rPr>
          <w:rFonts w:ascii="宋体" w:hAnsi="宋体" w:cs="宋体" w:eastAsia="宋体" w:hint="default"/>
          <w:b/>
          <w:bCs/>
          <w:sz w:val="24"/>
          <w:szCs w:val="24"/>
        </w:rPr>
        <w:t>(三)</w:t>
      </w:r>
      <w:r>
        <w:rPr>
          <w:rFonts w:ascii="宋体" w:hAnsi="宋体" w:cs="宋体" w:eastAsia="宋体" w:hint="default"/>
          <w:b/>
          <w:bCs/>
          <w:spacing w:val="1"/>
          <w:sz w:val="24"/>
          <w:szCs w:val="24"/>
        </w:rPr>
        <w:t> </w:t>
      </w:r>
      <w:r>
        <w:rPr>
          <w:rFonts w:ascii="宋体" w:hAnsi="宋体" w:cs="宋体" w:eastAsia="宋体" w:hint="default"/>
          <w:b/>
          <w:bCs/>
          <w:sz w:val="24"/>
          <w:szCs w:val="24"/>
        </w:rPr>
        <w:t>董事、监事、高级管理人员报酬情况</w:t>
      </w:r>
      <w:r>
        <w:rPr>
          <w:rFonts w:ascii="宋体" w:hAnsi="宋体" w:cs="宋体" w:eastAsia="宋体" w:hint="default"/>
          <w:b/>
          <w:bCs/>
          <w:spacing w:val="1"/>
          <w:w w:val="99"/>
          <w:sz w:val="24"/>
          <w:szCs w:val="24"/>
        </w:rPr>
        <w:t> </w:t>
      </w:r>
      <w:r>
        <w:rPr>
          <w:rFonts w:ascii="宋体" w:hAnsi="宋体" w:cs="宋体" w:eastAsia="宋体" w:hint="default"/>
          <w:sz w:val="24"/>
          <w:szCs w:val="24"/>
        </w:rPr>
        <w:t>1、董事、监事、高级管理人员报酬的决策程序</w:t>
      </w:r>
    </w:p>
    <w:p>
      <w:pPr>
        <w:pStyle w:val="Heading7"/>
        <w:spacing w:line="297" w:lineRule="auto" w:before="103"/>
        <w:ind w:right="139" w:firstLine="482"/>
        <w:jc w:val="both"/>
      </w:pPr>
      <w:r>
        <w:rPr>
          <w:spacing w:val="-4"/>
        </w:rPr>
        <w:t>①公司按年度对公司董事、监事和高级管理人员的业绩和履行职责情况进行考评并进</w:t>
      </w:r>
      <w:r>
        <w:rPr/>
        <w:t> 行可比企业董事、监事和高级管理人员报酬调查。</w:t>
      </w:r>
    </w:p>
    <w:p>
      <w:pPr>
        <w:spacing w:before="137"/>
        <w:ind w:left="623" w:right="140" w:firstLine="0"/>
        <w:jc w:val="left"/>
        <w:rPr>
          <w:rFonts w:ascii="宋体" w:hAnsi="宋体" w:cs="宋体" w:eastAsia="宋体" w:hint="default"/>
          <w:sz w:val="24"/>
          <w:szCs w:val="24"/>
        </w:rPr>
      </w:pPr>
      <w:r>
        <w:rPr>
          <w:rFonts w:ascii="宋体" w:hAnsi="宋体" w:cs="宋体" w:eastAsia="宋体" w:hint="default"/>
          <w:sz w:val="24"/>
          <w:szCs w:val="24"/>
        </w:rPr>
        <w:t>②公司根据绩效考评结果和报酬调查结果，确定有竞争力的年薪报酬。</w:t>
      </w:r>
    </w:p>
    <w:p>
      <w:pPr>
        <w:spacing w:line="297" w:lineRule="auto" w:before="196"/>
        <w:ind w:left="140" w:right="139" w:firstLine="482"/>
        <w:jc w:val="both"/>
        <w:rPr>
          <w:rFonts w:ascii="宋体" w:hAnsi="宋体" w:cs="宋体" w:eastAsia="宋体" w:hint="default"/>
          <w:sz w:val="24"/>
          <w:szCs w:val="24"/>
        </w:rPr>
      </w:pPr>
      <w:r>
        <w:rPr>
          <w:rFonts w:ascii="宋体" w:hAnsi="宋体" w:cs="宋体" w:eastAsia="宋体" w:hint="default"/>
          <w:spacing w:val="-4"/>
          <w:sz w:val="24"/>
          <w:szCs w:val="24"/>
        </w:rPr>
        <w:t>③公司董事、监事和高级管理人员奖金报酬与公司经营业绩结果直接挂钩。公司每年</w:t>
      </w:r>
      <w:r>
        <w:rPr>
          <w:rFonts w:ascii="宋体" w:hAnsi="宋体" w:cs="宋体" w:eastAsia="宋体" w:hint="default"/>
          <w:sz w:val="24"/>
          <w:szCs w:val="24"/>
        </w:rPr>
        <w:t> </w:t>
      </w:r>
      <w:r>
        <w:rPr>
          <w:rFonts w:ascii="宋体" w:hAnsi="宋体" w:cs="宋体" w:eastAsia="宋体" w:hint="default"/>
          <w:spacing w:val="-4"/>
          <w:sz w:val="24"/>
          <w:szCs w:val="24"/>
        </w:rPr>
        <w:t>年初审定批准公司年度经营计划和业绩目标，并根据年度业绩目标的一定比例确定公司董</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4"/>
          <w:sz w:val="24"/>
          <w:szCs w:val="24"/>
        </w:rPr>
        <w:t>事、监事和高级管理人员的年度奖金报酬。年度结束后根据实际业绩结果，核定批准公司</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董事、监事和高级管理人员的奖金数。</w:t>
      </w:r>
    </w:p>
    <w:p>
      <w:pPr>
        <w:spacing w:before="138"/>
        <w:ind w:left="623" w:right="0" w:firstLine="0"/>
        <w:jc w:val="left"/>
        <w:rPr>
          <w:rFonts w:ascii="宋体" w:hAnsi="宋体" w:cs="宋体" w:eastAsia="宋体" w:hint="default"/>
          <w:sz w:val="24"/>
          <w:szCs w:val="24"/>
        </w:rPr>
      </w:pPr>
      <w:r>
        <w:rPr>
          <w:rFonts w:ascii="宋体" w:hAnsi="宋体" w:cs="宋体" w:eastAsia="宋体" w:hint="default"/>
          <w:spacing w:val="-4"/>
          <w:sz w:val="24"/>
          <w:szCs w:val="24"/>
        </w:rPr>
        <w:t>④独立董事实行年度津贴制，由公司董事会确定年度津贴标准议案，报经股东大会批</w:t>
      </w:r>
    </w:p>
    <w:p>
      <w:pPr>
        <w:spacing w:after="0"/>
        <w:jc w:val="left"/>
        <w:rPr>
          <w:rFonts w:ascii="宋体" w:hAnsi="宋体" w:cs="宋体" w:eastAsia="宋体" w:hint="default"/>
          <w:sz w:val="24"/>
          <w:szCs w:val="24"/>
        </w:rPr>
        <w:sectPr>
          <w:pgSz w:w="11910" w:h="16840"/>
          <w:pgMar w:header="720" w:footer="727" w:top="1080" w:bottom="920" w:left="1220" w:right="1160"/>
        </w:sectPr>
      </w:pPr>
    </w:p>
    <w:p>
      <w:pPr>
        <w:spacing w:line="240" w:lineRule="auto" w:before="12"/>
        <w:rPr>
          <w:rFonts w:ascii="宋体" w:hAnsi="宋体" w:cs="宋体" w:eastAsia="宋体" w:hint="default"/>
          <w:sz w:val="21"/>
          <w:szCs w:val="21"/>
        </w:rPr>
      </w:pPr>
    </w:p>
    <w:p>
      <w:pPr>
        <w:spacing w:before="26"/>
        <w:ind w:left="140" w:right="220" w:firstLine="0"/>
        <w:jc w:val="left"/>
        <w:rPr>
          <w:rFonts w:ascii="宋体" w:hAnsi="宋体" w:cs="宋体" w:eastAsia="宋体" w:hint="default"/>
          <w:sz w:val="24"/>
          <w:szCs w:val="24"/>
        </w:rPr>
      </w:pPr>
      <w:bookmarkStart w:name="_bookmark8" w:id="10"/>
      <w:bookmarkEnd w:id="10"/>
      <w:r>
        <w:rPr/>
      </w:r>
      <w:r>
        <w:rPr>
          <w:rFonts w:ascii="宋体" w:hAnsi="宋体" w:cs="宋体" w:eastAsia="宋体" w:hint="default"/>
          <w:sz w:val="24"/>
          <w:szCs w:val="24"/>
        </w:rPr>
        <w:t>准执行。</w:t>
      </w:r>
    </w:p>
    <w:p>
      <w:pPr>
        <w:spacing w:line="388" w:lineRule="auto" w:before="194"/>
        <w:ind w:left="623" w:right="219" w:firstLine="0"/>
        <w:jc w:val="left"/>
        <w:rPr>
          <w:rFonts w:ascii="宋体" w:hAnsi="宋体" w:cs="宋体" w:eastAsia="宋体" w:hint="default"/>
          <w:sz w:val="24"/>
          <w:szCs w:val="24"/>
        </w:rPr>
      </w:pPr>
      <w:r>
        <w:rPr>
          <w:rFonts w:ascii="宋体" w:hAnsi="宋体" w:cs="宋体" w:eastAsia="宋体" w:hint="default"/>
          <w:sz w:val="24"/>
          <w:szCs w:val="24"/>
        </w:rPr>
        <w:t>2、董事、监事、高级管理人员报酬确定依据 </w:t>
      </w:r>
      <w:r>
        <w:rPr>
          <w:rFonts w:ascii="宋体" w:hAnsi="宋体" w:cs="宋体" w:eastAsia="宋体" w:hint="default"/>
          <w:spacing w:val="-4"/>
          <w:sz w:val="24"/>
          <w:szCs w:val="24"/>
        </w:rPr>
        <w:t>公司董事、监事、高级管理人员报酬确定依据主要是年度绩效考评结果、公司年度业</w:t>
      </w:r>
    </w:p>
    <w:p>
      <w:pPr>
        <w:spacing w:line="241" w:lineRule="exact" w:before="0"/>
        <w:ind w:left="140" w:right="220" w:firstLine="0"/>
        <w:jc w:val="left"/>
        <w:rPr>
          <w:rFonts w:ascii="宋体" w:hAnsi="宋体" w:cs="宋体" w:eastAsia="宋体" w:hint="default"/>
          <w:sz w:val="24"/>
          <w:szCs w:val="24"/>
        </w:rPr>
      </w:pPr>
      <w:r>
        <w:rPr>
          <w:rFonts w:ascii="宋体" w:hAnsi="宋体" w:cs="宋体" w:eastAsia="宋体" w:hint="default"/>
          <w:sz w:val="24"/>
          <w:szCs w:val="24"/>
        </w:rPr>
        <w:t>绩和可比企业董事、监事、高级管理人员报酬行情。</w:t>
      </w:r>
    </w:p>
    <w:p>
      <w:pPr>
        <w:spacing w:line="388" w:lineRule="auto" w:before="194"/>
        <w:ind w:left="623" w:right="83" w:firstLine="0"/>
        <w:jc w:val="left"/>
        <w:rPr>
          <w:rFonts w:ascii="宋体" w:hAnsi="宋体" w:cs="宋体" w:eastAsia="宋体" w:hint="default"/>
          <w:sz w:val="24"/>
          <w:szCs w:val="24"/>
        </w:rPr>
      </w:pPr>
      <w:r>
        <w:rPr>
          <w:rFonts w:ascii="宋体" w:hAnsi="宋体" w:cs="宋体" w:eastAsia="宋体" w:hint="default"/>
          <w:sz w:val="24"/>
          <w:szCs w:val="24"/>
        </w:rPr>
        <w:t>3、其他情况 </w:t>
      </w:r>
      <w:r>
        <w:rPr>
          <w:rFonts w:ascii="宋体" w:hAnsi="宋体" w:cs="宋体" w:eastAsia="宋体" w:hint="default"/>
          <w:spacing w:val="-7"/>
          <w:sz w:val="24"/>
          <w:szCs w:val="24"/>
        </w:rPr>
        <w:t>除监事邵凯先生外，公司没有不在公司领取报酬、津贴的董事、监事和高级管理人员，</w:t>
      </w:r>
    </w:p>
    <w:p>
      <w:pPr>
        <w:spacing w:line="240" w:lineRule="exact" w:before="0"/>
        <w:ind w:left="140" w:right="220" w:firstLine="0"/>
        <w:jc w:val="left"/>
        <w:rPr>
          <w:rFonts w:ascii="宋体" w:hAnsi="宋体" w:cs="宋体" w:eastAsia="宋体" w:hint="default"/>
          <w:sz w:val="24"/>
          <w:szCs w:val="24"/>
        </w:rPr>
      </w:pPr>
      <w:r>
        <w:rPr>
          <w:rFonts w:ascii="宋体" w:hAnsi="宋体" w:cs="宋体" w:eastAsia="宋体" w:hint="default"/>
          <w:sz w:val="24"/>
          <w:szCs w:val="24"/>
        </w:rPr>
        <w:t>公司董事、监事和高级管理人员不在股东单位或其他关联单位领取报酬、津贴。</w:t>
      </w:r>
    </w:p>
    <w:p>
      <w:pPr>
        <w:spacing w:line="240" w:lineRule="auto" w:before="2"/>
        <w:rPr>
          <w:rFonts w:ascii="宋体" w:hAnsi="宋体" w:cs="宋体" w:eastAsia="宋体" w:hint="default"/>
          <w:sz w:val="24"/>
          <w:szCs w:val="24"/>
        </w:rPr>
      </w:pPr>
    </w:p>
    <w:p>
      <w:pPr>
        <w:spacing w:before="0"/>
        <w:ind w:left="540" w:right="220" w:firstLine="0"/>
        <w:jc w:val="left"/>
        <w:rPr>
          <w:rFonts w:ascii="宋体" w:hAnsi="宋体" w:cs="宋体" w:eastAsia="宋体" w:hint="default"/>
          <w:sz w:val="24"/>
          <w:szCs w:val="24"/>
        </w:rPr>
      </w:pPr>
      <w:r>
        <w:rPr>
          <w:rFonts w:ascii="宋体" w:hAnsi="宋体" w:cs="宋体" w:eastAsia="宋体" w:hint="default"/>
          <w:b/>
          <w:bCs/>
          <w:sz w:val="24"/>
          <w:szCs w:val="24"/>
        </w:rPr>
        <w:t>(四)</w:t>
      </w:r>
      <w:r>
        <w:rPr>
          <w:rFonts w:ascii="宋体" w:hAnsi="宋体" w:cs="宋体" w:eastAsia="宋体" w:hint="default"/>
          <w:b/>
          <w:bCs/>
          <w:spacing w:val="1"/>
          <w:sz w:val="24"/>
          <w:szCs w:val="24"/>
        </w:rPr>
        <w:t> </w:t>
      </w:r>
      <w:r>
        <w:rPr>
          <w:rFonts w:ascii="宋体" w:hAnsi="宋体" w:cs="宋体" w:eastAsia="宋体" w:hint="default"/>
          <w:b/>
          <w:bCs/>
          <w:sz w:val="24"/>
          <w:szCs w:val="24"/>
        </w:rPr>
        <w:t>公司董事、监事、高级管理人员变动情况</w:t>
      </w:r>
      <w:r>
        <w:rPr>
          <w:rFonts w:ascii="宋体" w:hAnsi="宋体" w:cs="宋体" w:eastAsia="宋体" w:hint="default"/>
          <w:sz w:val="24"/>
          <w:szCs w:val="24"/>
        </w:rPr>
      </w:r>
    </w:p>
    <w:p>
      <w:pPr>
        <w:spacing w:line="240" w:lineRule="auto" w:before="10"/>
        <w:rPr>
          <w:rFonts w:ascii="宋体" w:hAnsi="宋体" w:cs="宋体" w:eastAsia="宋体" w:hint="default"/>
          <w:b/>
          <w:bCs/>
          <w:sz w:val="2"/>
          <w:szCs w:val="2"/>
        </w:rPr>
      </w:pPr>
    </w:p>
    <w:tbl>
      <w:tblPr>
        <w:tblW w:w="0" w:type="auto"/>
        <w:jc w:val="left"/>
        <w:tblInd w:w="125" w:type="dxa"/>
        <w:tblLayout w:type="fixed"/>
        <w:tblCellMar>
          <w:top w:w="0" w:type="dxa"/>
          <w:left w:w="0" w:type="dxa"/>
          <w:bottom w:w="0" w:type="dxa"/>
          <w:right w:w="0" w:type="dxa"/>
        </w:tblCellMar>
        <w:tblLook w:val="01E0"/>
      </w:tblPr>
      <w:tblGrid>
        <w:gridCol w:w="3102"/>
        <w:gridCol w:w="3103"/>
        <w:gridCol w:w="3103"/>
      </w:tblGrid>
      <w:tr>
        <w:trPr>
          <w:trHeight w:val="340" w:hRule="exact"/>
        </w:trPr>
        <w:tc>
          <w:tcPr>
            <w:tcW w:w="310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1"/>
              <w:jc w:val="center"/>
              <w:rPr>
                <w:rFonts w:ascii="宋体" w:hAnsi="宋体" w:cs="宋体" w:eastAsia="宋体" w:hint="default"/>
                <w:sz w:val="21"/>
                <w:szCs w:val="21"/>
              </w:rPr>
            </w:pPr>
            <w:r>
              <w:rPr>
                <w:rFonts w:ascii="宋体" w:hAnsi="宋体" w:cs="宋体" w:eastAsia="宋体" w:hint="default"/>
                <w:sz w:val="21"/>
                <w:szCs w:val="21"/>
              </w:rPr>
              <w:t>姓名</w:t>
            </w:r>
          </w:p>
        </w:tc>
        <w:tc>
          <w:tcPr>
            <w:tcW w:w="3103"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1"/>
              <w:jc w:val="center"/>
              <w:rPr>
                <w:rFonts w:ascii="宋体" w:hAnsi="宋体" w:cs="宋体" w:eastAsia="宋体" w:hint="default"/>
                <w:sz w:val="21"/>
                <w:szCs w:val="21"/>
              </w:rPr>
            </w:pPr>
            <w:r>
              <w:rPr>
                <w:rFonts w:ascii="宋体" w:hAnsi="宋体" w:cs="宋体" w:eastAsia="宋体" w:hint="default"/>
                <w:sz w:val="21"/>
                <w:szCs w:val="21"/>
              </w:rPr>
              <w:t>担任的职务</w:t>
            </w:r>
          </w:p>
        </w:tc>
        <w:tc>
          <w:tcPr>
            <w:tcW w:w="3103"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0"/>
              <w:jc w:val="center"/>
              <w:rPr>
                <w:rFonts w:ascii="宋体" w:hAnsi="宋体" w:cs="宋体" w:eastAsia="宋体" w:hint="default"/>
                <w:sz w:val="21"/>
                <w:szCs w:val="21"/>
              </w:rPr>
            </w:pPr>
            <w:r>
              <w:rPr>
                <w:rFonts w:ascii="宋体" w:hAnsi="宋体" w:cs="宋体" w:eastAsia="宋体" w:hint="default"/>
                <w:sz w:val="21"/>
                <w:szCs w:val="21"/>
              </w:rPr>
              <w:t>变动原因</w:t>
            </w:r>
          </w:p>
        </w:tc>
      </w:tr>
      <w:tr>
        <w:trPr>
          <w:trHeight w:val="341" w:hRule="exact"/>
        </w:trPr>
        <w:tc>
          <w:tcPr>
            <w:tcW w:w="310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1"/>
              <w:jc w:val="center"/>
              <w:rPr>
                <w:rFonts w:ascii="宋体" w:hAnsi="宋体" w:cs="宋体" w:eastAsia="宋体" w:hint="default"/>
                <w:sz w:val="21"/>
                <w:szCs w:val="21"/>
              </w:rPr>
            </w:pPr>
            <w:r>
              <w:rPr>
                <w:rFonts w:ascii="宋体" w:hAnsi="宋体" w:cs="宋体" w:eastAsia="宋体" w:hint="default"/>
                <w:sz w:val="21"/>
                <w:szCs w:val="21"/>
              </w:rPr>
              <w:t>薛峰</w:t>
            </w:r>
          </w:p>
        </w:tc>
        <w:tc>
          <w:tcPr>
            <w:tcW w:w="3103"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1"/>
              <w:jc w:val="center"/>
              <w:rPr>
                <w:rFonts w:ascii="宋体" w:hAnsi="宋体" w:cs="宋体" w:eastAsia="宋体" w:hint="default"/>
                <w:sz w:val="21"/>
                <w:szCs w:val="21"/>
              </w:rPr>
            </w:pPr>
            <w:r>
              <w:rPr>
                <w:rFonts w:ascii="宋体" w:hAnsi="宋体" w:cs="宋体" w:eastAsia="宋体" w:hint="default"/>
                <w:sz w:val="21"/>
                <w:szCs w:val="21"/>
              </w:rPr>
              <w:t>副总裁</w:t>
            </w:r>
          </w:p>
        </w:tc>
        <w:tc>
          <w:tcPr>
            <w:tcW w:w="3103"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1"/>
              <w:jc w:val="center"/>
              <w:rPr>
                <w:rFonts w:ascii="宋体" w:hAnsi="宋体" w:cs="宋体" w:eastAsia="宋体" w:hint="default"/>
                <w:sz w:val="21"/>
                <w:szCs w:val="21"/>
              </w:rPr>
            </w:pPr>
            <w:r>
              <w:rPr>
                <w:rFonts w:ascii="宋体" w:hAnsi="宋体" w:cs="宋体" w:eastAsia="宋体" w:hint="default"/>
                <w:sz w:val="21"/>
                <w:szCs w:val="21"/>
              </w:rPr>
              <w:t>新聘任</w:t>
            </w:r>
          </w:p>
        </w:tc>
      </w:tr>
      <w:tr>
        <w:trPr>
          <w:trHeight w:val="340" w:hRule="exact"/>
        </w:trPr>
        <w:tc>
          <w:tcPr>
            <w:tcW w:w="310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1"/>
              <w:jc w:val="center"/>
              <w:rPr>
                <w:rFonts w:ascii="宋体" w:hAnsi="宋体" w:cs="宋体" w:eastAsia="宋体" w:hint="default"/>
                <w:sz w:val="21"/>
                <w:szCs w:val="21"/>
              </w:rPr>
            </w:pPr>
            <w:r>
              <w:rPr>
                <w:rFonts w:ascii="宋体" w:hAnsi="宋体" w:cs="宋体" w:eastAsia="宋体" w:hint="default"/>
                <w:sz w:val="21"/>
                <w:szCs w:val="21"/>
              </w:rPr>
              <w:t>胡彬</w:t>
            </w:r>
          </w:p>
        </w:tc>
        <w:tc>
          <w:tcPr>
            <w:tcW w:w="3103"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1"/>
              <w:jc w:val="center"/>
              <w:rPr>
                <w:rFonts w:ascii="宋体" w:hAnsi="宋体" w:cs="宋体" w:eastAsia="宋体" w:hint="default"/>
                <w:sz w:val="21"/>
                <w:szCs w:val="21"/>
              </w:rPr>
            </w:pPr>
            <w:r>
              <w:rPr>
                <w:rFonts w:ascii="宋体" w:hAnsi="宋体" w:cs="宋体" w:eastAsia="宋体" w:hint="default"/>
                <w:sz w:val="21"/>
                <w:szCs w:val="21"/>
              </w:rPr>
              <w:t>副总裁</w:t>
            </w:r>
          </w:p>
        </w:tc>
        <w:tc>
          <w:tcPr>
            <w:tcW w:w="3103"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1"/>
              <w:jc w:val="center"/>
              <w:rPr>
                <w:rFonts w:ascii="宋体" w:hAnsi="宋体" w:cs="宋体" w:eastAsia="宋体" w:hint="default"/>
                <w:sz w:val="21"/>
                <w:szCs w:val="21"/>
              </w:rPr>
            </w:pPr>
            <w:r>
              <w:rPr>
                <w:rFonts w:ascii="宋体" w:hAnsi="宋体" w:cs="宋体" w:eastAsia="宋体" w:hint="default"/>
                <w:sz w:val="21"/>
                <w:szCs w:val="21"/>
              </w:rPr>
              <w:t>新聘任</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4"/>
          <w:szCs w:val="14"/>
        </w:rPr>
      </w:pPr>
    </w:p>
    <w:p>
      <w:pPr>
        <w:spacing w:before="26"/>
        <w:ind w:left="540" w:right="220" w:firstLine="0"/>
        <w:jc w:val="left"/>
        <w:rPr>
          <w:rFonts w:ascii="宋体" w:hAnsi="宋体" w:cs="宋体" w:eastAsia="宋体" w:hint="default"/>
          <w:sz w:val="24"/>
          <w:szCs w:val="24"/>
        </w:rPr>
      </w:pPr>
      <w:r>
        <w:rPr>
          <w:rFonts w:ascii="宋体" w:hAnsi="宋体" w:cs="宋体" w:eastAsia="宋体" w:hint="default"/>
          <w:b/>
          <w:bCs/>
          <w:sz w:val="24"/>
          <w:szCs w:val="24"/>
        </w:rPr>
        <w:t>(五) 公司员工情况</w:t>
      </w:r>
      <w:r>
        <w:rPr>
          <w:rFonts w:ascii="宋体" w:hAnsi="宋体" w:cs="宋体" w:eastAsia="宋体" w:hint="default"/>
          <w:sz w:val="24"/>
          <w:szCs w:val="24"/>
        </w:rPr>
      </w:r>
    </w:p>
    <w:p>
      <w:pPr>
        <w:spacing w:line="240" w:lineRule="auto" w:before="11"/>
        <w:rPr>
          <w:rFonts w:ascii="宋体" w:hAnsi="宋体" w:cs="宋体" w:eastAsia="宋体" w:hint="default"/>
          <w:b/>
          <w:bCs/>
          <w:sz w:val="2"/>
          <w:szCs w:val="2"/>
        </w:rPr>
      </w:pPr>
    </w:p>
    <w:tbl>
      <w:tblPr>
        <w:tblW w:w="0" w:type="auto"/>
        <w:jc w:val="left"/>
        <w:tblInd w:w="125" w:type="dxa"/>
        <w:tblLayout w:type="fixed"/>
        <w:tblCellMar>
          <w:top w:w="0" w:type="dxa"/>
          <w:left w:w="0" w:type="dxa"/>
          <w:bottom w:w="0" w:type="dxa"/>
          <w:right w:w="0" w:type="dxa"/>
        </w:tblCellMar>
        <w:tblLook w:val="01E0"/>
      </w:tblPr>
      <w:tblGrid>
        <w:gridCol w:w="4558"/>
        <w:gridCol w:w="4742"/>
      </w:tblGrid>
      <w:tr>
        <w:trPr>
          <w:trHeight w:val="340"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在职员工总数</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8,395</w:t>
            </w:r>
          </w:p>
        </w:tc>
      </w:tr>
      <w:tr>
        <w:trPr>
          <w:trHeight w:val="340"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公司需承担费用的离退休职工人数</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8"/>
              <w:jc w:val="right"/>
              <w:rPr>
                <w:rFonts w:ascii="宋体" w:hAnsi="宋体" w:cs="宋体" w:eastAsia="宋体" w:hint="default"/>
                <w:sz w:val="21"/>
                <w:szCs w:val="21"/>
              </w:rPr>
            </w:pPr>
            <w:r>
              <w:rPr>
                <w:rFonts w:ascii="宋体"/>
                <w:sz w:val="21"/>
              </w:rPr>
              <w:t>0</w:t>
            </w:r>
          </w:p>
        </w:tc>
      </w:tr>
      <w:tr>
        <w:trPr>
          <w:trHeight w:val="341"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w:t>
            </w:r>
          </w:p>
        </w:tc>
      </w:tr>
      <w:tr>
        <w:trPr>
          <w:trHeight w:val="340"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专业构成类别</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2154" w:right="0"/>
              <w:jc w:val="left"/>
              <w:rPr>
                <w:rFonts w:ascii="宋体" w:hAnsi="宋体" w:cs="宋体" w:eastAsia="宋体" w:hint="default"/>
                <w:sz w:val="21"/>
                <w:szCs w:val="21"/>
              </w:rPr>
            </w:pPr>
            <w:r>
              <w:rPr>
                <w:rFonts w:ascii="宋体" w:hAnsi="宋体" w:cs="宋体" w:eastAsia="宋体" w:hint="default"/>
                <w:sz w:val="21"/>
                <w:szCs w:val="21"/>
              </w:rPr>
              <w:t>人数</w:t>
            </w:r>
          </w:p>
        </w:tc>
      </w:tr>
      <w:tr>
        <w:trPr>
          <w:trHeight w:val="340"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生产人员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7"/>
              <w:jc w:val="right"/>
              <w:rPr>
                <w:rFonts w:ascii="宋体" w:hAnsi="宋体" w:cs="宋体" w:eastAsia="宋体" w:hint="default"/>
                <w:sz w:val="21"/>
                <w:szCs w:val="21"/>
              </w:rPr>
            </w:pPr>
            <w:r>
              <w:rPr>
                <w:rFonts w:ascii="宋体"/>
                <w:sz w:val="21"/>
              </w:rPr>
              <w:t>19</w:t>
            </w:r>
          </w:p>
        </w:tc>
      </w:tr>
      <w:tr>
        <w:trPr>
          <w:trHeight w:val="341"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销售人员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2,438</w:t>
            </w:r>
          </w:p>
        </w:tc>
      </w:tr>
      <w:tr>
        <w:trPr>
          <w:trHeight w:val="340"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开发人员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1,896</w:t>
            </w:r>
          </w:p>
        </w:tc>
      </w:tr>
      <w:tr>
        <w:trPr>
          <w:trHeight w:val="340"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支持服务人员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3,226</w:t>
            </w:r>
          </w:p>
        </w:tc>
      </w:tr>
      <w:tr>
        <w:trPr>
          <w:trHeight w:val="341"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223</w:t>
            </w:r>
          </w:p>
        </w:tc>
      </w:tr>
      <w:tr>
        <w:trPr>
          <w:trHeight w:val="340"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行政人员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593</w:t>
            </w:r>
          </w:p>
        </w:tc>
      </w:tr>
      <w:tr>
        <w:trPr>
          <w:trHeight w:val="340"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总人数</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8,395</w:t>
            </w:r>
          </w:p>
        </w:tc>
      </w:tr>
      <w:tr>
        <w:trPr>
          <w:trHeight w:val="341"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0"/>
              <w:jc w:val="center"/>
              <w:rPr>
                <w:rFonts w:ascii="宋体" w:hAnsi="宋体" w:cs="宋体" w:eastAsia="宋体" w:hint="default"/>
                <w:sz w:val="21"/>
                <w:szCs w:val="21"/>
              </w:rPr>
            </w:pPr>
            <w:r>
              <w:rPr>
                <w:rFonts w:ascii="宋体" w:hAnsi="宋体" w:cs="宋体" w:eastAsia="宋体" w:hint="default"/>
                <w:sz w:val="21"/>
                <w:szCs w:val="21"/>
              </w:rPr>
              <w:t>教育程度</w:t>
            </w:r>
          </w:p>
        </w:tc>
      </w:tr>
      <w:tr>
        <w:trPr>
          <w:trHeight w:val="340"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0"/>
              <w:jc w:val="center"/>
              <w:rPr>
                <w:rFonts w:ascii="宋体" w:hAnsi="宋体" w:cs="宋体" w:eastAsia="宋体" w:hint="default"/>
                <w:sz w:val="21"/>
                <w:szCs w:val="21"/>
              </w:rPr>
            </w:pPr>
            <w:r>
              <w:rPr>
                <w:rFonts w:ascii="宋体" w:hAnsi="宋体" w:cs="宋体" w:eastAsia="宋体" w:hint="default"/>
                <w:sz w:val="21"/>
                <w:szCs w:val="21"/>
              </w:rPr>
              <w:t>教育程度类别</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2154" w:right="0"/>
              <w:jc w:val="left"/>
              <w:rPr>
                <w:rFonts w:ascii="宋体" w:hAnsi="宋体" w:cs="宋体" w:eastAsia="宋体" w:hint="default"/>
                <w:sz w:val="21"/>
                <w:szCs w:val="21"/>
              </w:rPr>
            </w:pPr>
            <w:r>
              <w:rPr>
                <w:rFonts w:ascii="宋体" w:hAnsi="宋体" w:cs="宋体" w:eastAsia="宋体" w:hint="default"/>
                <w:sz w:val="21"/>
                <w:szCs w:val="21"/>
              </w:rPr>
              <w:t>人数</w:t>
            </w:r>
          </w:p>
        </w:tc>
      </w:tr>
      <w:tr>
        <w:trPr>
          <w:trHeight w:val="340"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博士</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7"/>
              <w:jc w:val="right"/>
              <w:rPr>
                <w:rFonts w:ascii="宋体" w:hAnsi="宋体" w:cs="宋体" w:eastAsia="宋体" w:hint="default"/>
                <w:sz w:val="21"/>
                <w:szCs w:val="21"/>
              </w:rPr>
            </w:pPr>
            <w:r>
              <w:rPr>
                <w:rFonts w:ascii="宋体"/>
                <w:sz w:val="21"/>
              </w:rPr>
              <w:t>23</w:t>
            </w:r>
          </w:p>
        </w:tc>
      </w:tr>
      <w:tr>
        <w:trPr>
          <w:trHeight w:val="341"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硕士</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788</w:t>
            </w:r>
          </w:p>
        </w:tc>
      </w:tr>
      <w:tr>
        <w:trPr>
          <w:trHeight w:val="340"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本科</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5,134</w:t>
            </w:r>
          </w:p>
        </w:tc>
      </w:tr>
      <w:tr>
        <w:trPr>
          <w:trHeight w:val="340"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大专</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2,260</w:t>
            </w:r>
          </w:p>
        </w:tc>
      </w:tr>
      <w:tr>
        <w:trPr>
          <w:trHeight w:val="341"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大专以下</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190</w:t>
            </w:r>
          </w:p>
        </w:tc>
      </w:tr>
      <w:tr>
        <w:trPr>
          <w:trHeight w:val="341"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总人数</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8,395</w:t>
            </w:r>
          </w:p>
        </w:tc>
      </w:tr>
    </w:tbl>
    <w:p>
      <w:pPr>
        <w:spacing w:after="0" w:line="266" w:lineRule="exact"/>
        <w:jc w:val="right"/>
        <w:rPr>
          <w:rFonts w:ascii="宋体" w:hAnsi="宋体" w:cs="宋体" w:eastAsia="宋体" w:hint="default"/>
          <w:sz w:val="21"/>
          <w:szCs w:val="21"/>
        </w:rPr>
        <w:sectPr>
          <w:pgSz w:w="11910" w:h="16840"/>
          <w:pgMar w:header="720" w:footer="727" w:top="1080" w:bottom="920" w:left="1220" w:right="108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1"/>
          <w:szCs w:val="21"/>
        </w:rPr>
      </w:pPr>
    </w:p>
    <w:p>
      <w:pPr>
        <w:pStyle w:val="Heading3"/>
        <w:spacing w:line="240" w:lineRule="auto"/>
        <w:ind w:right="78"/>
        <w:jc w:val="center"/>
        <w:rPr>
          <w:b w:val="0"/>
          <w:bCs w:val="0"/>
        </w:rPr>
      </w:pPr>
      <w:bookmarkStart w:name="_bookmark9" w:id="11"/>
      <w:bookmarkEnd w:id="11"/>
      <w:r>
        <w:rPr>
          <w:b w:val="0"/>
          <w:bCs w:val="0"/>
        </w:rPr>
      </w:r>
      <w:r>
        <w:rPr/>
        <w:t>五、公司治理结构</w:t>
      </w:r>
      <w:r>
        <w:rPr>
          <w:b w:val="0"/>
          <w:bCs w:val="0"/>
        </w:rPr>
      </w:r>
    </w:p>
    <w:p>
      <w:pPr>
        <w:spacing w:line="240" w:lineRule="auto" w:before="13"/>
        <w:rPr>
          <w:rFonts w:ascii="黑体" w:hAnsi="黑体" w:cs="黑体" w:eastAsia="黑体" w:hint="default"/>
          <w:b/>
          <w:bCs/>
          <w:sz w:val="27"/>
          <w:szCs w:val="27"/>
        </w:rPr>
      </w:pPr>
    </w:p>
    <w:p>
      <w:pPr>
        <w:spacing w:line="331" w:lineRule="auto" w:before="0"/>
        <w:ind w:left="623" w:right="220" w:hanging="83"/>
        <w:jc w:val="left"/>
        <w:rPr>
          <w:rFonts w:ascii="宋体" w:hAnsi="宋体" w:cs="宋体" w:eastAsia="宋体" w:hint="default"/>
          <w:sz w:val="24"/>
          <w:szCs w:val="24"/>
        </w:rPr>
      </w:pPr>
      <w:r>
        <w:rPr>
          <w:rFonts w:ascii="宋体" w:hAnsi="宋体" w:cs="宋体" w:eastAsia="宋体" w:hint="default"/>
          <w:b/>
          <w:bCs/>
          <w:sz w:val="24"/>
          <w:szCs w:val="24"/>
        </w:rPr>
        <w:t>(一) 公司治理的情况</w:t>
      </w:r>
      <w:r>
        <w:rPr>
          <w:rFonts w:ascii="宋体" w:hAnsi="宋体" w:cs="宋体" w:eastAsia="宋体" w:hint="default"/>
          <w:b/>
          <w:bCs/>
          <w:w w:val="99"/>
          <w:sz w:val="24"/>
          <w:szCs w:val="24"/>
        </w:rPr>
        <w:t> </w:t>
      </w:r>
      <w:r>
        <w:rPr>
          <w:rFonts w:ascii="宋体" w:hAnsi="宋体" w:cs="宋体" w:eastAsia="宋体" w:hint="default"/>
          <w:spacing w:val="-5"/>
          <w:sz w:val="24"/>
          <w:szCs w:val="24"/>
        </w:rPr>
        <w:t>报告期内，公司严格按照《公司法》、《证券法》和中国证监会、上海证券交易所有</w:t>
      </w:r>
      <w:r>
        <w:rPr>
          <w:rFonts w:ascii="宋体" w:hAnsi="宋体" w:cs="宋体" w:eastAsia="宋体" w:hint="default"/>
          <w:sz w:val="24"/>
          <w:szCs w:val="24"/>
        </w:rPr>
      </w:r>
    </w:p>
    <w:p>
      <w:pPr>
        <w:pStyle w:val="Heading7"/>
        <w:spacing w:line="298" w:lineRule="exact"/>
        <w:ind w:right="0"/>
        <w:jc w:val="left"/>
      </w:pPr>
      <w:r>
        <w:rPr>
          <w:spacing w:val="-6"/>
        </w:rPr>
        <w:t>关规定和要求，修订了《公司章程》，制定了《董事、监事和高级管理人员薪酬管理制度》</w:t>
      </w:r>
    </w:p>
    <w:p>
      <w:pPr>
        <w:spacing w:line="297" w:lineRule="auto" w:before="74"/>
        <w:ind w:left="140" w:right="204" w:firstLine="0"/>
        <w:jc w:val="left"/>
        <w:rPr>
          <w:rFonts w:ascii="宋体" w:hAnsi="宋体" w:cs="宋体" w:eastAsia="宋体" w:hint="default"/>
          <w:sz w:val="24"/>
          <w:szCs w:val="24"/>
        </w:rPr>
      </w:pPr>
      <w:r>
        <w:rPr>
          <w:rFonts w:ascii="宋体" w:hAnsi="宋体" w:cs="宋体" w:eastAsia="宋体" w:hint="default"/>
          <w:sz w:val="24"/>
          <w:szCs w:val="24"/>
        </w:rPr>
        <w:t>和《2009 年度薪资福利制度》。公司法人治理结构的实际情况与中国证监会发布的有关 上市公司治理的规范性文件要求不存在差异。公司治理活动开展情况如下：</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1、报告期内，公司召开了</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次年度股东大会和</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次临时股东大会。公司股东大会的</w:t>
      </w:r>
      <w:r>
        <w:rPr>
          <w:rFonts w:ascii="宋体" w:hAnsi="宋体" w:cs="宋体" w:eastAsia="宋体" w:hint="default"/>
          <w:sz w:val="24"/>
          <w:szCs w:val="24"/>
        </w:rPr>
        <w:t> </w:t>
      </w:r>
      <w:r>
        <w:rPr>
          <w:rFonts w:ascii="宋体" w:hAnsi="宋体" w:cs="宋体" w:eastAsia="宋体" w:hint="default"/>
          <w:spacing w:val="-4"/>
          <w:sz w:val="24"/>
          <w:szCs w:val="24"/>
        </w:rPr>
        <w:t>召集、召开等相关程序完全符合《公司章程》及《股东大会议事规则》的相关规定，公司</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z w:val="24"/>
          <w:szCs w:val="24"/>
        </w:rPr>
        <w:t>能够确保所有股东尤其是中小股东的合法权益。</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2、报告期内，公司共召开了 11 次董事会。公司董事会专门委员会对公司的发展规 </w:t>
      </w:r>
      <w:r>
        <w:rPr>
          <w:rFonts w:ascii="宋体" w:hAnsi="宋体" w:cs="宋体" w:eastAsia="宋体" w:hint="default"/>
          <w:spacing w:val="-4"/>
          <w:sz w:val="24"/>
          <w:szCs w:val="24"/>
        </w:rPr>
        <w:t>划、财务审计、聘任高管和薪酬制度等进行研究并召开相关会议，充分发挥专业作用，加</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z w:val="24"/>
          <w:szCs w:val="24"/>
        </w:rPr>
        <w:t>强了公司决策的科学性，提高了重大事项决策的效益和质量。</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3、报告期内，公司共召开了</w:t>
      </w:r>
      <w:r>
        <w:rPr>
          <w:rFonts w:ascii="宋体" w:hAnsi="宋体" w:cs="宋体" w:eastAsia="宋体" w:hint="default"/>
          <w:spacing w:val="-60"/>
          <w:sz w:val="24"/>
          <w:szCs w:val="24"/>
        </w:rPr>
        <w:t> </w:t>
      </w:r>
      <w:r>
        <w:rPr>
          <w:rFonts w:ascii="宋体" w:hAnsi="宋体" w:cs="宋体" w:eastAsia="宋体" w:hint="default"/>
          <w:sz w:val="24"/>
          <w:szCs w:val="24"/>
        </w:rPr>
        <w:t>5</w:t>
      </w:r>
      <w:r>
        <w:rPr>
          <w:rFonts w:ascii="宋体" w:hAnsi="宋体" w:cs="宋体" w:eastAsia="宋体" w:hint="default"/>
          <w:spacing w:val="-60"/>
          <w:sz w:val="24"/>
          <w:szCs w:val="24"/>
        </w:rPr>
        <w:t> </w:t>
      </w:r>
      <w:r>
        <w:rPr>
          <w:rFonts w:ascii="宋体" w:hAnsi="宋体" w:cs="宋体" w:eastAsia="宋体" w:hint="default"/>
          <w:sz w:val="24"/>
          <w:szCs w:val="24"/>
        </w:rPr>
        <w:t>次监事会。除监事会日常工作外，监事会主席全程列</w:t>
      </w:r>
      <w:r>
        <w:rPr>
          <w:rFonts w:ascii="宋体" w:hAnsi="宋体" w:cs="宋体" w:eastAsia="宋体" w:hint="default"/>
          <w:sz w:val="24"/>
          <w:szCs w:val="24"/>
        </w:rPr>
        <w:t> </w:t>
      </w:r>
      <w:r>
        <w:rPr>
          <w:rFonts w:ascii="宋体" w:hAnsi="宋体" w:cs="宋体" w:eastAsia="宋体" w:hint="default"/>
          <w:spacing w:val="-4"/>
          <w:sz w:val="24"/>
          <w:szCs w:val="24"/>
        </w:rPr>
        <w:t>席公司的董事会，及时全面掌握公司的经营情况，履行对董事会和管理层的监督职责。公</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司监事会的人数和人员构成符合相关法律、法规和《公司章程》的要求，公司监事能够认</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真履行自己的职责，能够本着为股东负责的态度，对公司董事及高级管理人员履行职责的</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合法合规性进行监督。</w:t>
      </w:r>
    </w:p>
    <w:p>
      <w:pPr>
        <w:spacing w:line="297" w:lineRule="auto" w:before="137"/>
        <w:ind w:left="140" w:right="84" w:firstLine="482"/>
        <w:jc w:val="left"/>
        <w:rPr>
          <w:rFonts w:ascii="宋体" w:hAnsi="宋体" w:cs="宋体" w:eastAsia="宋体" w:hint="default"/>
          <w:sz w:val="24"/>
          <w:szCs w:val="24"/>
        </w:rPr>
      </w:pPr>
      <w:r>
        <w:rPr>
          <w:rFonts w:ascii="宋体" w:hAnsi="宋体" w:cs="宋体" w:eastAsia="宋体" w:hint="default"/>
          <w:sz w:val="24"/>
          <w:szCs w:val="24"/>
        </w:rPr>
        <w:t>4、公司按照《公司法》、《上海证券交易所股票上市规则》及《公司章程》等相关 规定，真实、准确、完整、及时、公平地披露信息。公司不断完善投资者关系管理工作， </w:t>
      </w:r>
      <w:r>
        <w:rPr>
          <w:rFonts w:ascii="宋体" w:hAnsi="宋体" w:cs="宋体" w:eastAsia="宋体" w:hint="default"/>
          <w:spacing w:val="-4"/>
          <w:sz w:val="24"/>
          <w:szCs w:val="24"/>
        </w:rPr>
        <w:t>严格信息披露，确保信息披露真实、准确、完整、及时、公平。公司通过组织投资者交流</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pacing w:val="-6"/>
          <w:sz w:val="24"/>
          <w:szCs w:val="24"/>
        </w:rPr>
        <w:t>会、接待股东来访、回答咨询等多种方式增强信息披露的透明度，并指定《上海证券报》、</w:t>
      </w:r>
    </w:p>
    <w:p>
      <w:pPr>
        <w:spacing w:line="297" w:lineRule="auto" w:before="18"/>
        <w:ind w:left="140" w:right="220" w:firstLine="0"/>
        <w:jc w:val="left"/>
        <w:rPr>
          <w:rFonts w:ascii="宋体" w:hAnsi="宋体" w:cs="宋体" w:eastAsia="宋体" w:hint="default"/>
          <w:sz w:val="24"/>
          <w:szCs w:val="24"/>
        </w:rPr>
      </w:pPr>
      <w:r>
        <w:rPr>
          <w:rFonts w:ascii="宋体" w:hAnsi="宋体" w:cs="宋体" w:eastAsia="宋体" w:hint="default"/>
          <w:spacing w:val="-4"/>
          <w:sz w:val="24"/>
          <w:szCs w:val="24"/>
        </w:rPr>
        <w:t>《中国证券报》、《证券时报》为公司信息披露的报纸，使所有股东都有平等的机会获得</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信息。</w:t>
      </w:r>
    </w:p>
    <w:p>
      <w:pPr>
        <w:spacing w:line="297" w:lineRule="auto" w:before="137"/>
        <w:ind w:left="140" w:right="100" w:firstLine="482"/>
        <w:jc w:val="both"/>
        <w:rPr>
          <w:rFonts w:ascii="宋体" w:hAnsi="宋体" w:cs="宋体" w:eastAsia="宋体" w:hint="default"/>
          <w:sz w:val="24"/>
          <w:szCs w:val="24"/>
        </w:rPr>
      </w:pPr>
      <w:r>
        <w:rPr>
          <w:rFonts w:ascii="宋体" w:hAnsi="宋体" w:cs="宋体" w:eastAsia="宋体" w:hint="default"/>
          <w:sz w:val="24"/>
          <w:szCs w:val="24"/>
        </w:rPr>
        <w:t>5、公司通过安排董事、监事、高管积极参加证券监管部门组织的专项培训活动，使 </w:t>
      </w:r>
      <w:r>
        <w:rPr>
          <w:rFonts w:ascii="宋体" w:hAnsi="宋体" w:cs="宋体" w:eastAsia="宋体" w:hint="default"/>
          <w:spacing w:val="-4"/>
          <w:sz w:val="24"/>
          <w:szCs w:val="24"/>
        </w:rPr>
        <w:t>公司董事、监事、高管进一步增强了法制意识、责任意识，公司治理知识结构得到更新和</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6"/>
          <w:sz w:val="24"/>
          <w:szCs w:val="24"/>
        </w:rPr>
        <w:t>加强。促使董事、监事、高管更加忠实、勤勉地履行义务，提高公司决策和管理的规范性。</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6、为了加强和规范公司内部控制，提高经营管理水平和风险防范能力，促进公司可 </w:t>
      </w:r>
      <w:r>
        <w:rPr>
          <w:rFonts w:ascii="宋体" w:hAnsi="宋体" w:cs="宋体" w:eastAsia="宋体" w:hint="default"/>
          <w:spacing w:val="-4"/>
          <w:sz w:val="24"/>
          <w:szCs w:val="24"/>
        </w:rPr>
        <w:t>持续发展，公司成立了内部控制制度建设领导小组，作为公司内部控制制度建设的组织与</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决策机构。报告期内，公司内部控制制度梳理与优化工作已全面展开。</w:t>
      </w:r>
    </w:p>
    <w:p>
      <w:pPr>
        <w:spacing w:line="297" w:lineRule="auto" w:before="137"/>
        <w:ind w:left="140" w:right="84" w:firstLine="482"/>
        <w:jc w:val="left"/>
        <w:rPr>
          <w:rFonts w:ascii="宋体" w:hAnsi="宋体" w:cs="宋体" w:eastAsia="宋体" w:hint="default"/>
          <w:sz w:val="24"/>
          <w:szCs w:val="24"/>
        </w:rPr>
      </w:pPr>
      <w:r>
        <w:rPr>
          <w:rFonts w:ascii="宋体" w:hAnsi="宋体" w:cs="宋体" w:eastAsia="宋体" w:hint="default"/>
          <w:spacing w:val="-4"/>
          <w:sz w:val="24"/>
          <w:szCs w:val="24"/>
        </w:rPr>
        <w:t>公司治理的完善是一项长期的系统工程，需要持续地改进和提高。公司将继续根据有</w:t>
      </w:r>
      <w:r>
        <w:rPr>
          <w:rFonts w:ascii="宋体" w:hAnsi="宋体" w:cs="宋体" w:eastAsia="宋体" w:hint="default"/>
          <w:sz w:val="24"/>
          <w:szCs w:val="24"/>
        </w:rPr>
        <w:t> 关规定及时完善公司内部制度，不断强化企业管理，夯实管理基础，通过完善法人治理、 </w:t>
      </w:r>
      <w:r>
        <w:rPr>
          <w:rFonts w:ascii="宋体" w:hAnsi="宋体" w:cs="宋体" w:eastAsia="宋体" w:hint="default"/>
          <w:spacing w:val="-4"/>
          <w:sz w:val="24"/>
          <w:szCs w:val="24"/>
        </w:rPr>
        <w:t>强化内部管理，加强科学决策与内部控制，不断提高公司规范运作和法人治理水平，促进</w:t>
      </w:r>
    </w:p>
    <w:p>
      <w:pPr>
        <w:spacing w:after="0" w:line="297" w:lineRule="auto"/>
        <w:jc w:val="left"/>
        <w:rPr>
          <w:rFonts w:ascii="宋体" w:hAnsi="宋体" w:cs="宋体" w:eastAsia="宋体" w:hint="default"/>
          <w:sz w:val="24"/>
          <w:szCs w:val="24"/>
        </w:rPr>
        <w:sectPr>
          <w:pgSz w:w="11910" w:h="16840"/>
          <w:pgMar w:header="720" w:footer="727" w:top="1080" w:bottom="920" w:left="1220" w:right="1080"/>
        </w:sectPr>
      </w:pPr>
    </w:p>
    <w:p>
      <w:pPr>
        <w:spacing w:line="240" w:lineRule="auto" w:before="12"/>
        <w:rPr>
          <w:rFonts w:ascii="宋体" w:hAnsi="宋体" w:cs="宋体" w:eastAsia="宋体" w:hint="default"/>
          <w:sz w:val="21"/>
          <w:szCs w:val="21"/>
        </w:rPr>
      </w:pPr>
    </w:p>
    <w:p>
      <w:pPr>
        <w:spacing w:before="26"/>
        <w:ind w:left="140" w:right="220" w:firstLine="0"/>
        <w:jc w:val="left"/>
        <w:rPr>
          <w:rFonts w:ascii="宋体" w:hAnsi="宋体" w:cs="宋体" w:eastAsia="宋体" w:hint="default"/>
          <w:sz w:val="24"/>
          <w:szCs w:val="24"/>
        </w:rPr>
      </w:pPr>
      <w:bookmarkStart w:name="_bookmark10" w:id="12"/>
      <w:bookmarkEnd w:id="12"/>
      <w:r>
        <w:rPr/>
      </w:r>
      <w:r>
        <w:rPr>
          <w:rFonts w:ascii="宋体" w:hAnsi="宋体" w:cs="宋体" w:eastAsia="宋体" w:hint="default"/>
          <w:sz w:val="24"/>
          <w:szCs w:val="24"/>
        </w:rPr>
        <w:t>公司平稳健康发展。</w:t>
      </w:r>
    </w:p>
    <w:p>
      <w:pPr>
        <w:spacing w:line="240" w:lineRule="auto" w:before="1"/>
        <w:rPr>
          <w:rFonts w:ascii="宋体" w:hAnsi="宋体" w:cs="宋体" w:eastAsia="宋体" w:hint="default"/>
          <w:sz w:val="24"/>
          <w:szCs w:val="24"/>
        </w:rPr>
      </w:pPr>
    </w:p>
    <w:p>
      <w:pPr>
        <w:spacing w:line="331" w:lineRule="auto" w:before="0"/>
        <w:ind w:left="620" w:right="5724" w:hanging="81"/>
        <w:jc w:val="left"/>
        <w:rPr>
          <w:rFonts w:ascii="宋体" w:hAnsi="宋体" w:cs="宋体" w:eastAsia="宋体" w:hint="default"/>
          <w:sz w:val="24"/>
          <w:szCs w:val="24"/>
        </w:rPr>
      </w:pPr>
      <w:r>
        <w:rPr>
          <w:rFonts w:ascii="宋体" w:hAnsi="宋体" w:cs="宋体" w:eastAsia="宋体" w:hint="default"/>
          <w:b/>
          <w:bCs/>
          <w:sz w:val="24"/>
          <w:szCs w:val="24"/>
        </w:rPr>
        <w:t>(二) 董事履行职责情况</w:t>
      </w:r>
      <w:r>
        <w:rPr>
          <w:rFonts w:ascii="宋体" w:hAnsi="宋体" w:cs="宋体" w:eastAsia="宋体" w:hint="default"/>
          <w:b/>
          <w:bCs/>
          <w:spacing w:val="1"/>
          <w:w w:val="99"/>
          <w:sz w:val="24"/>
          <w:szCs w:val="24"/>
        </w:rPr>
        <w:t> </w:t>
      </w:r>
      <w:r>
        <w:rPr>
          <w:rFonts w:ascii="宋体" w:hAnsi="宋体" w:cs="宋体" w:eastAsia="宋体" w:hint="default"/>
          <w:sz w:val="24"/>
          <w:szCs w:val="24"/>
        </w:rPr>
        <w:t>1、董事参加董事会的出席情况</w:t>
      </w:r>
    </w:p>
    <w:p>
      <w:pPr>
        <w:spacing w:line="240" w:lineRule="auto" w:before="12"/>
        <w:rPr>
          <w:rFonts w:ascii="宋体" w:hAnsi="宋体" w:cs="宋体" w:eastAsia="宋体" w:hint="default"/>
          <w:sz w:val="10"/>
          <w:szCs w:val="10"/>
        </w:rPr>
      </w:pPr>
    </w:p>
    <w:tbl>
      <w:tblPr>
        <w:tblW w:w="0" w:type="auto"/>
        <w:jc w:val="left"/>
        <w:tblInd w:w="125" w:type="dxa"/>
        <w:tblLayout w:type="fixed"/>
        <w:tblCellMar>
          <w:top w:w="0" w:type="dxa"/>
          <w:left w:w="0" w:type="dxa"/>
          <w:bottom w:w="0" w:type="dxa"/>
          <w:right w:w="0" w:type="dxa"/>
        </w:tblCellMar>
        <w:tblLook w:val="01E0"/>
      </w:tblPr>
      <w:tblGrid>
        <w:gridCol w:w="1163"/>
        <w:gridCol w:w="1162"/>
        <w:gridCol w:w="1162"/>
        <w:gridCol w:w="1163"/>
        <w:gridCol w:w="1163"/>
        <w:gridCol w:w="1163"/>
        <w:gridCol w:w="1163"/>
        <w:gridCol w:w="1163"/>
      </w:tblGrid>
      <w:tr>
        <w:trPr>
          <w:trHeight w:val="1104"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53" w:right="0"/>
              <w:jc w:val="left"/>
              <w:rPr>
                <w:rFonts w:ascii="宋体" w:hAnsi="宋体" w:cs="宋体" w:eastAsia="宋体" w:hint="default"/>
                <w:sz w:val="21"/>
                <w:szCs w:val="21"/>
              </w:rPr>
            </w:pPr>
            <w:r>
              <w:rPr>
                <w:rFonts w:ascii="宋体" w:hAnsi="宋体" w:cs="宋体" w:eastAsia="宋体" w:hint="default"/>
                <w:sz w:val="21"/>
                <w:szCs w:val="21"/>
              </w:rPr>
              <w:t>董事姓名</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63" w:right="151" w:hanging="210"/>
              <w:jc w:val="left"/>
              <w:rPr>
                <w:rFonts w:ascii="宋体" w:hAnsi="宋体" w:cs="宋体" w:eastAsia="宋体" w:hint="default"/>
                <w:sz w:val="21"/>
                <w:szCs w:val="21"/>
              </w:rPr>
            </w:pPr>
            <w:r>
              <w:rPr>
                <w:rFonts w:ascii="宋体" w:hAnsi="宋体" w:cs="宋体" w:eastAsia="宋体" w:hint="default"/>
                <w:sz w:val="21"/>
                <w:szCs w:val="21"/>
              </w:rPr>
              <w:t>是否独立 董事</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53" w:right="151"/>
              <w:jc w:val="center"/>
              <w:rPr>
                <w:rFonts w:ascii="宋体" w:hAnsi="宋体" w:cs="宋体" w:eastAsia="宋体" w:hint="default"/>
                <w:sz w:val="21"/>
                <w:szCs w:val="21"/>
              </w:rPr>
            </w:pPr>
            <w:r>
              <w:rPr>
                <w:rFonts w:ascii="宋体" w:hAnsi="宋体" w:cs="宋体" w:eastAsia="宋体" w:hint="default"/>
                <w:sz w:val="21"/>
                <w:szCs w:val="21"/>
              </w:rPr>
              <w:t>本年应参 加董事会 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63" w:right="153" w:hanging="210"/>
              <w:jc w:val="left"/>
              <w:rPr>
                <w:rFonts w:ascii="宋体" w:hAnsi="宋体" w:cs="宋体" w:eastAsia="宋体" w:hint="default"/>
                <w:sz w:val="21"/>
                <w:szCs w:val="21"/>
              </w:rPr>
            </w:pPr>
            <w:r>
              <w:rPr>
                <w:rFonts w:ascii="宋体" w:hAnsi="宋体" w:cs="宋体" w:eastAsia="宋体" w:hint="default"/>
                <w:sz w:val="21"/>
                <w:szCs w:val="21"/>
              </w:rPr>
              <w:t>亲自出席 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53" w:right="153"/>
              <w:jc w:val="center"/>
              <w:rPr>
                <w:rFonts w:ascii="宋体" w:hAnsi="宋体" w:cs="宋体" w:eastAsia="宋体" w:hint="default"/>
                <w:sz w:val="21"/>
                <w:szCs w:val="21"/>
              </w:rPr>
            </w:pPr>
            <w:r>
              <w:rPr>
                <w:rFonts w:ascii="宋体" w:hAnsi="宋体" w:cs="宋体" w:eastAsia="宋体" w:hint="default"/>
                <w:sz w:val="21"/>
                <w:szCs w:val="21"/>
              </w:rPr>
              <w:t>以通讯方 式参加次 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63" w:right="153" w:hanging="210"/>
              <w:jc w:val="left"/>
              <w:rPr>
                <w:rFonts w:ascii="宋体" w:hAnsi="宋体" w:cs="宋体" w:eastAsia="宋体" w:hint="default"/>
                <w:sz w:val="21"/>
                <w:szCs w:val="21"/>
              </w:rPr>
            </w:pPr>
            <w:r>
              <w:rPr>
                <w:rFonts w:ascii="宋体" w:hAnsi="宋体" w:cs="宋体" w:eastAsia="宋体" w:hint="default"/>
                <w:sz w:val="21"/>
                <w:szCs w:val="21"/>
              </w:rPr>
              <w:t>委托出席 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53" w:right="0"/>
              <w:jc w:val="left"/>
              <w:rPr>
                <w:rFonts w:ascii="宋体" w:hAnsi="宋体" w:cs="宋体" w:eastAsia="宋体" w:hint="default"/>
                <w:sz w:val="21"/>
                <w:szCs w:val="21"/>
              </w:rPr>
            </w:pPr>
            <w:r>
              <w:rPr>
                <w:rFonts w:ascii="宋体" w:hAnsi="宋体" w:cs="宋体" w:eastAsia="宋体" w:hint="default"/>
                <w:sz w:val="21"/>
                <w:szCs w:val="21"/>
              </w:rPr>
              <w:t>缺席次数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是否连续</w:t>
            </w:r>
          </w:p>
          <w:p>
            <w:pPr>
              <w:pStyle w:val="TableParagraph"/>
              <w:spacing w:line="272" w:lineRule="exact" w:before="26"/>
              <w:ind w:left="153" w:right="153"/>
              <w:jc w:val="center"/>
              <w:rPr>
                <w:rFonts w:ascii="宋体" w:hAnsi="宋体" w:cs="宋体" w:eastAsia="宋体" w:hint="default"/>
                <w:sz w:val="21"/>
                <w:szCs w:val="21"/>
              </w:rPr>
            </w:pPr>
            <w:r>
              <w:rPr>
                <w:rFonts w:ascii="宋体" w:hAnsi="宋体" w:cs="宋体" w:eastAsia="宋体" w:hint="default"/>
                <w:sz w:val="21"/>
                <w:szCs w:val="21"/>
              </w:rPr>
              <w:t>两次未亲 自参加会 议</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王文京</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11</w:t>
            </w: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郭新平</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11</w:t>
            </w: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吴政平</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11</w:t>
            </w: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秦荣生</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11</w:t>
            </w: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王明富</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11</w:t>
            </w: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陈丕宏</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11</w:t>
            </w: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11"/>
        <w:rPr>
          <w:rFonts w:ascii="宋体" w:hAnsi="宋体" w:cs="宋体" w:eastAsia="宋体" w:hint="default"/>
          <w:sz w:val="20"/>
          <w:szCs w:val="20"/>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年内召开董事会会议次数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11</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其中：现场会议次数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通讯方式召开会议次数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9</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现场结合通讯方式召开会议次数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r>
    </w:tbl>
    <w:p>
      <w:pPr>
        <w:spacing w:line="240" w:lineRule="auto" w:before="0"/>
        <w:rPr>
          <w:rFonts w:ascii="宋体" w:hAnsi="宋体" w:cs="宋体" w:eastAsia="宋体" w:hint="default"/>
          <w:sz w:val="25"/>
          <w:szCs w:val="25"/>
        </w:rPr>
      </w:pPr>
    </w:p>
    <w:p>
      <w:pPr>
        <w:pStyle w:val="Heading7"/>
        <w:spacing w:line="388" w:lineRule="auto" w:before="26"/>
        <w:ind w:left="623" w:right="219" w:hanging="3"/>
        <w:jc w:val="left"/>
      </w:pPr>
      <w:r>
        <w:rPr/>
        <w:t>2、独立董事对公司有关事项提出异议的情况 </w:t>
      </w:r>
      <w:r>
        <w:rPr>
          <w:spacing w:val="-4"/>
        </w:rPr>
        <w:t>报告期内，公司独立董事未对公司本年度的董事会议案及其他非董事会议案事项提出</w:t>
      </w:r>
    </w:p>
    <w:p>
      <w:pPr>
        <w:spacing w:line="240" w:lineRule="exact" w:before="0"/>
        <w:ind w:left="140" w:right="0" w:firstLine="0"/>
        <w:jc w:val="both"/>
        <w:rPr>
          <w:rFonts w:ascii="宋体" w:hAnsi="宋体" w:cs="宋体" w:eastAsia="宋体" w:hint="default"/>
          <w:sz w:val="24"/>
          <w:szCs w:val="24"/>
        </w:rPr>
      </w:pPr>
      <w:r>
        <w:rPr>
          <w:rFonts w:ascii="宋体" w:hAnsi="宋体" w:cs="宋体" w:eastAsia="宋体" w:hint="default"/>
          <w:sz w:val="24"/>
          <w:szCs w:val="24"/>
        </w:rPr>
        <w:t>异议。</w:t>
      </w:r>
    </w:p>
    <w:p>
      <w:pPr>
        <w:spacing w:line="388" w:lineRule="auto" w:before="194"/>
        <w:ind w:left="623" w:right="219" w:hanging="3"/>
        <w:jc w:val="left"/>
        <w:rPr>
          <w:rFonts w:ascii="宋体" w:hAnsi="宋体" w:cs="宋体" w:eastAsia="宋体" w:hint="default"/>
          <w:sz w:val="24"/>
          <w:szCs w:val="24"/>
        </w:rPr>
      </w:pPr>
      <w:r>
        <w:rPr>
          <w:rFonts w:ascii="宋体" w:hAnsi="宋体" w:cs="宋体" w:eastAsia="宋体" w:hint="default"/>
          <w:sz w:val="24"/>
          <w:szCs w:val="24"/>
        </w:rPr>
        <w:t>3、独立董事相关工作制度的建立健全情况、主要内容及独立董事履职情况 </w:t>
      </w:r>
      <w:r>
        <w:rPr>
          <w:rFonts w:ascii="宋体" w:hAnsi="宋体" w:cs="宋体" w:eastAsia="宋体" w:hint="default"/>
          <w:spacing w:val="-4"/>
          <w:sz w:val="24"/>
          <w:szCs w:val="24"/>
        </w:rPr>
        <w:t>公司制定了《用友软件独立董事工作细则》、《用友软件关于独立董事及董事会审计</w:t>
      </w:r>
    </w:p>
    <w:p>
      <w:pPr>
        <w:spacing w:line="241" w:lineRule="exact" w:before="0"/>
        <w:ind w:left="140" w:right="0" w:firstLine="0"/>
        <w:jc w:val="both"/>
        <w:rPr>
          <w:rFonts w:ascii="宋体" w:hAnsi="宋体" w:cs="宋体" w:eastAsia="宋体" w:hint="default"/>
          <w:sz w:val="24"/>
          <w:szCs w:val="24"/>
        </w:rPr>
      </w:pPr>
      <w:r>
        <w:rPr>
          <w:rFonts w:ascii="宋体" w:hAnsi="宋体" w:cs="宋体" w:eastAsia="宋体" w:hint="default"/>
          <w:spacing w:val="-6"/>
          <w:sz w:val="24"/>
          <w:szCs w:val="24"/>
        </w:rPr>
        <w:t>委员会在年度报告编制工作中的有关制度（试行）》，对独立董事的任职条件、任职程序、</w:t>
      </w:r>
    </w:p>
    <w:p>
      <w:pPr>
        <w:spacing w:line="297" w:lineRule="auto" w:before="74"/>
        <w:ind w:left="140" w:right="96" w:firstLine="0"/>
        <w:jc w:val="left"/>
        <w:rPr>
          <w:rFonts w:ascii="宋体" w:hAnsi="宋体" w:cs="宋体" w:eastAsia="宋体" w:hint="default"/>
          <w:sz w:val="24"/>
          <w:szCs w:val="24"/>
        </w:rPr>
      </w:pPr>
      <w:r>
        <w:rPr>
          <w:rFonts w:ascii="宋体" w:hAnsi="宋体" w:cs="宋体" w:eastAsia="宋体" w:hint="default"/>
          <w:spacing w:val="-4"/>
          <w:sz w:val="24"/>
          <w:szCs w:val="24"/>
        </w:rPr>
        <w:t>行使职权原则、享有的权利、在审查关联交易中的义务、年报编制和披露过程中的责任和</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12"/>
          <w:sz w:val="24"/>
          <w:szCs w:val="24"/>
        </w:rPr>
        <w:t>义务等作出了规定。报告期内，公司独立董事本着为全体股东负责的态度，按照《公司法》、</w:t>
      </w:r>
    </w:p>
    <w:p>
      <w:pPr>
        <w:spacing w:line="297" w:lineRule="auto" w:before="17"/>
        <w:ind w:left="140" w:right="219" w:firstLine="0"/>
        <w:jc w:val="both"/>
        <w:rPr>
          <w:rFonts w:ascii="宋体" w:hAnsi="宋体" w:cs="宋体" w:eastAsia="宋体" w:hint="default"/>
          <w:sz w:val="24"/>
          <w:szCs w:val="24"/>
        </w:rPr>
      </w:pPr>
      <w:r>
        <w:rPr>
          <w:rFonts w:ascii="宋体" w:hAnsi="宋体" w:cs="宋体" w:eastAsia="宋体" w:hint="default"/>
          <w:spacing w:val="-4"/>
          <w:sz w:val="24"/>
          <w:szCs w:val="24"/>
        </w:rPr>
        <w:t>《证券法》和《上市公司治理准则》等法律法规和公司相关制度的要求，履行诚信和勤勉</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义务，维护公司整体利益和全体股东，尤其是中小股东的合法利益不受侵犯。独立董事通</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过参加董事会会议及作为董事会各专门委员会的成员，参与公司的决策议案审议，并对关</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联交易事项发表独立意见，为董事会科学决策提供建设性意见。</w:t>
      </w:r>
    </w:p>
    <w:p>
      <w:pPr>
        <w:spacing w:line="240" w:lineRule="auto" w:before="9"/>
        <w:rPr>
          <w:rFonts w:ascii="宋体" w:hAnsi="宋体" w:cs="宋体" w:eastAsia="宋体" w:hint="default"/>
          <w:sz w:val="19"/>
          <w:szCs w:val="19"/>
        </w:rPr>
      </w:pPr>
    </w:p>
    <w:p>
      <w:pPr>
        <w:spacing w:line="314" w:lineRule="auto" w:before="0"/>
        <w:ind w:left="140" w:right="219" w:firstLine="399"/>
        <w:jc w:val="right"/>
        <w:rPr>
          <w:rFonts w:ascii="宋体" w:hAnsi="宋体" w:cs="宋体" w:eastAsia="宋体" w:hint="default"/>
          <w:sz w:val="24"/>
          <w:szCs w:val="24"/>
        </w:rPr>
      </w:pPr>
      <w:r>
        <w:rPr>
          <w:rFonts w:ascii="宋体" w:hAnsi="宋体" w:cs="宋体" w:eastAsia="宋体" w:hint="default"/>
          <w:b/>
          <w:bCs/>
          <w:sz w:val="24"/>
          <w:szCs w:val="24"/>
        </w:rPr>
        <w:t>(三) 公司相对于控股股东在业务、人员、资产、机构、财务等方面的独立完整情况</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公司的控股股东是北京用友科技有限公司。该控股股东行为规范，没有超越股东大会</w:t>
      </w:r>
      <w:r>
        <w:rPr>
          <w:rFonts w:ascii="宋体" w:hAnsi="宋体" w:cs="宋体" w:eastAsia="宋体" w:hint="default"/>
          <w:sz w:val="24"/>
          <w:szCs w:val="24"/>
        </w:rPr>
        <w:t> </w:t>
      </w:r>
      <w:r>
        <w:rPr>
          <w:rFonts w:ascii="宋体" w:hAnsi="宋体" w:cs="宋体" w:eastAsia="宋体" w:hint="default"/>
          <w:spacing w:val="-4"/>
          <w:sz w:val="24"/>
          <w:szCs w:val="24"/>
        </w:rPr>
        <w:t>直接或通过其他途径间接干预公司的决策和经营活动。公司与控股股东在人员、资产、财</w:t>
      </w:r>
    </w:p>
    <w:p>
      <w:pPr>
        <w:pStyle w:val="Heading7"/>
        <w:spacing w:line="388" w:lineRule="auto"/>
        <w:ind w:left="623" w:right="84" w:hanging="483"/>
        <w:jc w:val="left"/>
      </w:pPr>
      <w:r>
        <w:rPr>
          <w:spacing w:val="-6"/>
        </w:rPr>
        <w:t>务、机构和业务方面做到了“五分开”，公司董事会、监事会和经营管理层能够独立运作。</w:t>
      </w:r>
      <w:r>
        <w:rPr/>
        <w:t> 1、业务方面：公司独立从事业务经营，对控股股东及其关联企业不存在依赖关系。</w:t>
      </w:r>
    </w:p>
    <w:p>
      <w:pPr>
        <w:spacing w:line="240" w:lineRule="exact" w:before="0"/>
        <w:ind w:left="140" w:right="0" w:firstLine="0"/>
        <w:jc w:val="both"/>
        <w:rPr>
          <w:rFonts w:ascii="宋体" w:hAnsi="宋体" w:cs="宋体" w:eastAsia="宋体" w:hint="default"/>
          <w:sz w:val="24"/>
          <w:szCs w:val="24"/>
        </w:rPr>
      </w:pPr>
      <w:r>
        <w:rPr>
          <w:rFonts w:ascii="宋体" w:hAnsi="宋体" w:cs="宋体" w:eastAsia="宋体" w:hint="default"/>
          <w:spacing w:val="-4"/>
          <w:sz w:val="24"/>
          <w:szCs w:val="24"/>
        </w:rPr>
        <w:t>公司拥有独立的采购、研发、销售和服务系统，产品的生产、销售和服务不依赖于控股股</w:t>
      </w:r>
    </w:p>
    <w:p>
      <w:pPr>
        <w:spacing w:after="0" w:line="240" w:lineRule="exact"/>
        <w:jc w:val="both"/>
        <w:rPr>
          <w:rFonts w:ascii="宋体" w:hAnsi="宋体" w:cs="宋体" w:eastAsia="宋体" w:hint="default"/>
          <w:sz w:val="24"/>
          <w:szCs w:val="24"/>
        </w:rPr>
        <w:sectPr>
          <w:pgSz w:w="11910" w:h="16840"/>
          <w:pgMar w:header="720" w:footer="727" w:top="1080" w:bottom="920" w:left="1220" w:right="1080"/>
        </w:sectPr>
      </w:pPr>
    </w:p>
    <w:p>
      <w:pPr>
        <w:spacing w:line="240" w:lineRule="auto" w:before="12"/>
        <w:rPr>
          <w:rFonts w:ascii="宋体" w:hAnsi="宋体" w:cs="宋体" w:eastAsia="宋体" w:hint="default"/>
          <w:sz w:val="21"/>
          <w:szCs w:val="21"/>
        </w:rPr>
      </w:pPr>
    </w:p>
    <w:p>
      <w:pPr>
        <w:spacing w:line="297" w:lineRule="auto" w:before="26"/>
        <w:ind w:left="140" w:right="140" w:firstLine="0"/>
        <w:jc w:val="both"/>
        <w:rPr>
          <w:rFonts w:ascii="宋体" w:hAnsi="宋体" w:cs="宋体" w:eastAsia="宋体" w:hint="default"/>
          <w:sz w:val="24"/>
          <w:szCs w:val="24"/>
        </w:rPr>
      </w:pPr>
      <w:r>
        <w:rPr>
          <w:rFonts w:ascii="宋体" w:hAnsi="宋体" w:cs="宋体" w:eastAsia="宋体" w:hint="default"/>
          <w:spacing w:val="-4"/>
          <w:sz w:val="24"/>
          <w:szCs w:val="24"/>
        </w:rPr>
        <w:t>东及其关联企业。公司拥有独立的商标权、专利权、著作权等知识产权和独立的技术开发</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队伍，业务发展不依赖或受制于控股股东和任何其他关联企业。</w:t>
      </w:r>
    </w:p>
    <w:p>
      <w:pPr>
        <w:spacing w:line="297" w:lineRule="auto" w:before="137"/>
        <w:ind w:left="140" w:right="139" w:firstLine="482"/>
        <w:jc w:val="both"/>
        <w:rPr>
          <w:rFonts w:ascii="宋体" w:hAnsi="宋体" w:cs="宋体" w:eastAsia="宋体" w:hint="default"/>
          <w:sz w:val="24"/>
          <w:szCs w:val="24"/>
        </w:rPr>
      </w:pPr>
      <w:r>
        <w:rPr>
          <w:rFonts w:ascii="宋体" w:hAnsi="宋体" w:cs="宋体" w:eastAsia="宋体" w:hint="default"/>
          <w:sz w:val="24"/>
          <w:szCs w:val="24"/>
        </w:rPr>
        <w:t>2、人员方面：公司的高级管理人员均专职在本公司工作并领薪，不在控股股东及其 </w:t>
      </w:r>
      <w:r>
        <w:rPr>
          <w:rFonts w:ascii="宋体" w:hAnsi="宋体" w:cs="宋体" w:eastAsia="宋体" w:hint="default"/>
          <w:spacing w:val="-4"/>
          <w:sz w:val="24"/>
          <w:szCs w:val="24"/>
        </w:rPr>
        <w:t>关联企业兼任除董事之外的其他职务。公司的劳动、人事及工资管理完全独立。控股股东</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推荐董事和经理人员均通过法定程序进行。</w:t>
      </w:r>
    </w:p>
    <w:p>
      <w:pPr>
        <w:spacing w:line="297" w:lineRule="auto" w:before="137"/>
        <w:ind w:left="140" w:right="139" w:firstLine="482"/>
        <w:jc w:val="both"/>
        <w:rPr>
          <w:rFonts w:ascii="宋体" w:hAnsi="宋体" w:cs="宋体" w:eastAsia="宋体" w:hint="default"/>
          <w:sz w:val="24"/>
          <w:szCs w:val="24"/>
        </w:rPr>
      </w:pPr>
      <w:r>
        <w:rPr>
          <w:rFonts w:ascii="宋体" w:hAnsi="宋体" w:cs="宋体" w:eastAsia="宋体" w:hint="default"/>
          <w:sz w:val="24"/>
          <w:szCs w:val="24"/>
        </w:rPr>
        <w:t>3、资产方面：公司拥有独立于控股股东的生产经营场所及相关配套设施，拥有独立 于他人的房屋所有权、土地使用权、工业产权和非专利技术等有形和无形资产。</w:t>
      </w:r>
    </w:p>
    <w:p>
      <w:pPr>
        <w:spacing w:line="297" w:lineRule="auto" w:before="138"/>
        <w:ind w:left="140" w:right="139" w:firstLine="482"/>
        <w:jc w:val="both"/>
        <w:rPr>
          <w:rFonts w:ascii="宋体" w:hAnsi="宋体" w:cs="宋体" w:eastAsia="宋体" w:hint="default"/>
          <w:sz w:val="24"/>
          <w:szCs w:val="24"/>
        </w:rPr>
      </w:pPr>
      <w:r>
        <w:rPr>
          <w:rFonts w:ascii="宋体" w:hAnsi="宋体" w:cs="宋体" w:eastAsia="宋体" w:hint="default"/>
          <w:sz w:val="24"/>
          <w:szCs w:val="24"/>
        </w:rPr>
        <w:t>4、机构方面：公司与控股股东及其关联企业的办公机构和生产经营场所分开，不存 </w:t>
      </w:r>
      <w:r>
        <w:rPr>
          <w:rFonts w:ascii="宋体" w:hAnsi="宋体" w:cs="宋体" w:eastAsia="宋体" w:hint="default"/>
          <w:spacing w:val="-4"/>
          <w:sz w:val="24"/>
          <w:szCs w:val="24"/>
        </w:rPr>
        <w:t>在混合经营、合署办公的情况。公司的相应部门与控股股东及其关联企业的内设机构之间</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没有上下级关系。</w:t>
      </w:r>
    </w:p>
    <w:p>
      <w:pPr>
        <w:spacing w:line="297" w:lineRule="auto" w:before="137"/>
        <w:ind w:left="140" w:right="139" w:firstLine="482"/>
        <w:jc w:val="both"/>
        <w:rPr>
          <w:rFonts w:ascii="宋体" w:hAnsi="宋体" w:cs="宋体" w:eastAsia="宋体" w:hint="default"/>
          <w:sz w:val="24"/>
          <w:szCs w:val="24"/>
        </w:rPr>
      </w:pPr>
      <w:r>
        <w:rPr>
          <w:rFonts w:ascii="宋体" w:hAnsi="宋体" w:cs="宋体" w:eastAsia="宋体" w:hint="default"/>
          <w:sz w:val="24"/>
          <w:szCs w:val="24"/>
        </w:rPr>
        <w:t>5、财务方面：公司设置了独立的财务会计部门，并建立了独立的会计核算体系和财 </w:t>
      </w:r>
      <w:r>
        <w:rPr>
          <w:rFonts w:ascii="宋体" w:hAnsi="宋体" w:cs="宋体" w:eastAsia="宋体" w:hint="default"/>
          <w:spacing w:val="-4"/>
          <w:sz w:val="24"/>
          <w:szCs w:val="24"/>
        </w:rPr>
        <w:t>务管理制度。公司独立作出财务决策，不存在控股股东干预公司资金使用的情况。公司在</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银行独立开户，依法独立纳税。</w:t>
      </w:r>
    </w:p>
    <w:p>
      <w:pPr>
        <w:spacing w:line="240" w:lineRule="auto" w:before="9"/>
        <w:rPr>
          <w:rFonts w:ascii="宋体" w:hAnsi="宋体" w:cs="宋体" w:eastAsia="宋体" w:hint="default"/>
          <w:sz w:val="19"/>
          <w:szCs w:val="19"/>
        </w:rPr>
      </w:pPr>
    </w:p>
    <w:p>
      <w:pPr>
        <w:spacing w:line="328" w:lineRule="auto" w:before="0"/>
        <w:ind w:left="623" w:right="4745" w:hanging="83"/>
        <w:jc w:val="left"/>
        <w:rPr>
          <w:rFonts w:ascii="宋体" w:hAnsi="宋体" w:cs="宋体" w:eastAsia="宋体" w:hint="default"/>
          <w:sz w:val="24"/>
          <w:szCs w:val="24"/>
        </w:rPr>
      </w:pPr>
      <w:r>
        <w:rPr>
          <w:rFonts w:ascii="宋体" w:hAnsi="宋体" w:cs="宋体" w:eastAsia="宋体" w:hint="default"/>
          <w:b/>
          <w:bCs/>
          <w:sz w:val="24"/>
          <w:szCs w:val="24"/>
        </w:rPr>
        <w:t>(四)</w:t>
      </w:r>
      <w:r>
        <w:rPr>
          <w:rFonts w:ascii="宋体" w:hAnsi="宋体" w:cs="宋体" w:eastAsia="宋体" w:hint="default"/>
          <w:b/>
          <w:bCs/>
          <w:spacing w:val="1"/>
          <w:sz w:val="24"/>
          <w:szCs w:val="24"/>
        </w:rPr>
        <w:t> </w:t>
      </w:r>
      <w:r>
        <w:rPr>
          <w:rFonts w:ascii="宋体" w:hAnsi="宋体" w:cs="宋体" w:eastAsia="宋体" w:hint="default"/>
          <w:b/>
          <w:bCs/>
          <w:sz w:val="24"/>
          <w:szCs w:val="24"/>
        </w:rPr>
        <w:t>公司内部控制制度的建立健全情况</w:t>
      </w:r>
      <w:r>
        <w:rPr>
          <w:rFonts w:ascii="宋体" w:hAnsi="宋体" w:cs="宋体" w:eastAsia="宋体" w:hint="default"/>
          <w:b/>
          <w:bCs/>
          <w:spacing w:val="1"/>
          <w:w w:val="99"/>
          <w:sz w:val="24"/>
          <w:szCs w:val="24"/>
        </w:rPr>
        <w:t> </w:t>
      </w:r>
      <w:r>
        <w:rPr>
          <w:rFonts w:ascii="宋体" w:hAnsi="宋体" w:cs="宋体" w:eastAsia="宋体" w:hint="default"/>
          <w:sz w:val="24"/>
          <w:szCs w:val="24"/>
        </w:rPr>
        <w:t>1、内部控制建设的总体方案</w:t>
      </w:r>
    </w:p>
    <w:p>
      <w:pPr>
        <w:pStyle w:val="Heading7"/>
        <w:spacing w:line="297" w:lineRule="auto" w:before="106"/>
        <w:ind w:right="139" w:firstLine="482"/>
        <w:jc w:val="both"/>
      </w:pPr>
      <w:r>
        <w:rPr>
          <w:spacing w:val="-4"/>
        </w:rPr>
        <w:t>公司在建立健全内部控制制度，实施内部控制管理过程中，充分考虑到内部环境、风</w:t>
      </w:r>
      <w:r>
        <w:rPr/>
        <w:t> </w:t>
      </w:r>
      <w:r>
        <w:rPr>
          <w:spacing w:val="-4"/>
        </w:rPr>
        <w:t>险评估、控制活动、信息与沟通、内部监督等五项基本要素，从基本要素入手，逐渐形成</w:t>
      </w:r>
      <w:r>
        <w:rPr>
          <w:spacing w:val="-84"/>
        </w:rPr>
        <w:t> </w:t>
      </w:r>
      <w:r>
        <w:rPr>
          <w:spacing w:val="-84"/>
        </w:rPr>
      </w:r>
      <w:r>
        <w:rPr>
          <w:spacing w:val="-4"/>
        </w:rPr>
        <w:t>了目前公司较为完善的内控体系。公司的内控体系，涵盖了财务会计、销售组织、服务机</w:t>
      </w:r>
      <w:r>
        <w:rPr>
          <w:spacing w:val="-84"/>
        </w:rPr>
        <w:t> </w:t>
      </w:r>
      <w:r>
        <w:rPr>
          <w:spacing w:val="-84"/>
        </w:rPr>
      </w:r>
      <w:r>
        <w:rPr/>
        <w:t>构、IT</w:t>
      </w:r>
      <w:r>
        <w:rPr>
          <w:spacing w:val="-60"/>
        </w:rPr>
        <w:t> </w:t>
      </w:r>
      <w:r>
        <w:rPr/>
        <w:t>环境、产品研发、人力行政、企业规划等诸多方面的运营管理组织的管理内容。</w:t>
      </w:r>
    </w:p>
    <w:p>
      <w:pPr>
        <w:spacing w:line="388" w:lineRule="auto" w:before="137"/>
        <w:ind w:left="623" w:right="0" w:firstLine="0"/>
        <w:jc w:val="left"/>
        <w:rPr>
          <w:rFonts w:ascii="宋体" w:hAnsi="宋体" w:cs="宋体" w:eastAsia="宋体" w:hint="default"/>
          <w:sz w:val="24"/>
          <w:szCs w:val="24"/>
        </w:rPr>
      </w:pPr>
      <w:r>
        <w:rPr>
          <w:rFonts w:ascii="宋体" w:hAnsi="宋体" w:cs="宋体" w:eastAsia="宋体" w:hint="default"/>
          <w:sz w:val="24"/>
          <w:szCs w:val="24"/>
        </w:rPr>
        <w:t>2、内部控制制度建立健全的工作计划及其实施情况 </w:t>
      </w:r>
      <w:r>
        <w:rPr>
          <w:rFonts w:ascii="宋体" w:hAnsi="宋体" w:cs="宋体" w:eastAsia="宋体" w:hint="default"/>
          <w:spacing w:val="-4"/>
          <w:sz w:val="24"/>
          <w:szCs w:val="24"/>
        </w:rPr>
        <w:t>公司已建立较为健全的内控制度体系，为了加强和规范公司内部控制，提高经营管理</w:t>
      </w:r>
    </w:p>
    <w:p>
      <w:pPr>
        <w:spacing w:line="240" w:lineRule="exact" w:before="0"/>
        <w:ind w:left="140" w:right="0" w:firstLine="0"/>
        <w:jc w:val="both"/>
        <w:rPr>
          <w:rFonts w:ascii="宋体" w:hAnsi="宋体" w:cs="宋体" w:eastAsia="宋体" w:hint="default"/>
          <w:sz w:val="24"/>
          <w:szCs w:val="24"/>
        </w:rPr>
      </w:pPr>
      <w:r>
        <w:rPr>
          <w:rFonts w:ascii="宋体" w:hAnsi="宋体" w:cs="宋体" w:eastAsia="宋体" w:hint="default"/>
          <w:spacing w:val="-4"/>
          <w:sz w:val="24"/>
          <w:szCs w:val="24"/>
        </w:rPr>
        <w:t>水平和风险防范能力，促进公司可持续发展，报告期内公司成立了内部控制制度建设领导</w:t>
      </w:r>
    </w:p>
    <w:p>
      <w:pPr>
        <w:spacing w:line="297" w:lineRule="auto" w:before="74"/>
        <w:ind w:left="140" w:right="139" w:firstLine="0"/>
        <w:jc w:val="both"/>
        <w:rPr>
          <w:rFonts w:ascii="宋体" w:hAnsi="宋体" w:cs="宋体" w:eastAsia="宋体" w:hint="default"/>
          <w:sz w:val="24"/>
          <w:szCs w:val="24"/>
        </w:rPr>
      </w:pPr>
      <w:r>
        <w:rPr>
          <w:rFonts w:ascii="宋体" w:hAnsi="宋体" w:cs="宋体" w:eastAsia="宋体" w:hint="default"/>
          <w:spacing w:val="-4"/>
          <w:sz w:val="24"/>
          <w:szCs w:val="24"/>
        </w:rPr>
        <w:t>小组，作为公司内部控制制度建设的组织与决策机构，全面展开公司内部控制制度梳理与</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优化工作。</w:t>
      </w:r>
    </w:p>
    <w:p>
      <w:pPr>
        <w:spacing w:line="388" w:lineRule="auto" w:before="137"/>
        <w:ind w:left="620" w:right="140" w:firstLine="2"/>
        <w:jc w:val="left"/>
        <w:rPr>
          <w:rFonts w:ascii="宋体" w:hAnsi="宋体" w:cs="宋体" w:eastAsia="宋体" w:hint="default"/>
          <w:sz w:val="24"/>
          <w:szCs w:val="24"/>
        </w:rPr>
      </w:pPr>
      <w:r>
        <w:rPr>
          <w:rFonts w:ascii="宋体" w:hAnsi="宋体" w:cs="宋体" w:eastAsia="宋体" w:hint="default"/>
          <w:sz w:val="24"/>
          <w:szCs w:val="24"/>
        </w:rPr>
        <w:t>3、内部控制检查监督部门的设置情况 </w:t>
      </w:r>
      <w:r>
        <w:rPr>
          <w:rFonts w:ascii="宋体" w:hAnsi="宋体" w:cs="宋体" w:eastAsia="宋体" w:hint="default"/>
          <w:spacing w:val="-4"/>
          <w:sz w:val="24"/>
          <w:szCs w:val="24"/>
        </w:rPr>
        <w:t>为强化董事会决策功能，确保董事会对经理层的有效监督，完善公司治理结构，公司</w:t>
      </w:r>
    </w:p>
    <w:p>
      <w:pPr>
        <w:spacing w:line="240" w:lineRule="exact" w:before="0"/>
        <w:ind w:left="140" w:right="0" w:firstLine="0"/>
        <w:jc w:val="both"/>
        <w:rPr>
          <w:rFonts w:ascii="宋体" w:hAnsi="宋体" w:cs="宋体" w:eastAsia="宋体" w:hint="default"/>
          <w:sz w:val="24"/>
          <w:szCs w:val="24"/>
        </w:rPr>
      </w:pPr>
      <w:r>
        <w:rPr>
          <w:rFonts w:ascii="宋体" w:hAnsi="宋体" w:cs="宋体" w:eastAsia="宋体" w:hint="default"/>
          <w:sz w:val="24"/>
          <w:szCs w:val="24"/>
        </w:rPr>
        <w:t>董事会设立审计委员会负责监督公司的内部审计制度及其实施</w:t>
      </w:r>
      <w:r>
        <w:rPr>
          <w:rFonts w:ascii="宋体" w:hAnsi="宋体" w:cs="宋体" w:eastAsia="宋体" w:hint="default"/>
          <w:spacing w:val="-118"/>
          <w:sz w:val="24"/>
          <w:szCs w:val="24"/>
        </w:rPr>
        <w:t>，</w:t>
      </w:r>
      <w:r>
        <w:rPr>
          <w:rFonts w:ascii="宋体" w:hAnsi="宋体" w:cs="宋体" w:eastAsia="宋体" w:hint="default"/>
          <w:sz w:val="24"/>
          <w:szCs w:val="24"/>
        </w:rPr>
        <w:t>指导审查公司内部控制工</w:t>
      </w:r>
    </w:p>
    <w:p>
      <w:pPr>
        <w:spacing w:line="297" w:lineRule="auto" w:before="74"/>
        <w:ind w:left="140" w:right="139" w:firstLine="0"/>
        <w:jc w:val="both"/>
        <w:rPr>
          <w:rFonts w:ascii="宋体" w:hAnsi="宋体" w:cs="宋体" w:eastAsia="宋体" w:hint="default"/>
          <w:sz w:val="24"/>
          <w:szCs w:val="24"/>
        </w:rPr>
      </w:pPr>
      <w:r>
        <w:rPr>
          <w:rFonts w:ascii="宋体" w:hAnsi="宋体" w:cs="宋体" w:eastAsia="宋体" w:hint="default"/>
          <w:spacing w:val="-5"/>
          <w:sz w:val="24"/>
          <w:szCs w:val="24"/>
        </w:rPr>
        <w:t>作。审计委员会由</w:t>
      </w:r>
      <w:r>
        <w:rPr>
          <w:rFonts w:ascii="宋体" w:hAnsi="宋体" w:cs="宋体" w:eastAsia="宋体" w:hint="default"/>
          <w:spacing w:val="-70"/>
          <w:sz w:val="24"/>
          <w:szCs w:val="24"/>
        </w:rPr>
        <w:t> </w:t>
      </w:r>
      <w:r>
        <w:rPr>
          <w:rFonts w:ascii="宋体" w:hAnsi="宋体" w:cs="宋体" w:eastAsia="宋体" w:hint="default"/>
          <w:sz w:val="24"/>
          <w:szCs w:val="24"/>
        </w:rPr>
        <w:t>3</w:t>
      </w:r>
      <w:r>
        <w:rPr>
          <w:rFonts w:ascii="宋体" w:hAnsi="宋体" w:cs="宋体" w:eastAsia="宋体" w:hint="default"/>
          <w:spacing w:val="-70"/>
          <w:sz w:val="24"/>
          <w:szCs w:val="24"/>
        </w:rPr>
        <w:t> </w:t>
      </w:r>
      <w:r>
        <w:rPr>
          <w:rFonts w:ascii="宋体" w:hAnsi="宋体" w:cs="宋体" w:eastAsia="宋体" w:hint="default"/>
          <w:spacing w:val="-5"/>
          <w:sz w:val="24"/>
          <w:szCs w:val="24"/>
        </w:rPr>
        <w:t>名董事组成，其中</w:t>
      </w:r>
      <w:r>
        <w:rPr>
          <w:rFonts w:ascii="宋体" w:hAnsi="宋体" w:cs="宋体" w:eastAsia="宋体" w:hint="default"/>
          <w:spacing w:val="-70"/>
          <w:sz w:val="24"/>
          <w:szCs w:val="24"/>
        </w:rPr>
        <w:t> </w:t>
      </w:r>
      <w:r>
        <w:rPr>
          <w:rFonts w:ascii="宋体" w:hAnsi="宋体" w:cs="宋体" w:eastAsia="宋体" w:hint="default"/>
          <w:sz w:val="24"/>
          <w:szCs w:val="24"/>
        </w:rPr>
        <w:t>2</w:t>
      </w:r>
      <w:r>
        <w:rPr>
          <w:rFonts w:ascii="宋体" w:hAnsi="宋体" w:cs="宋体" w:eastAsia="宋体" w:hint="default"/>
          <w:spacing w:val="-70"/>
          <w:sz w:val="24"/>
          <w:szCs w:val="24"/>
        </w:rPr>
        <w:t> </w:t>
      </w:r>
      <w:r>
        <w:rPr>
          <w:rFonts w:ascii="宋体" w:hAnsi="宋体" w:cs="宋体" w:eastAsia="宋体" w:hint="default"/>
          <w:sz w:val="24"/>
          <w:szCs w:val="24"/>
        </w:rPr>
        <w:t>名为公司独立董事。审计委员会下设审计监察部</w:t>
      </w:r>
      <w:r>
        <w:rPr>
          <w:rFonts w:ascii="宋体" w:hAnsi="宋体" w:cs="宋体" w:eastAsia="宋体" w:hint="default"/>
          <w:sz w:val="24"/>
          <w:szCs w:val="24"/>
        </w:rPr>
        <w:t> </w:t>
      </w:r>
      <w:r>
        <w:rPr>
          <w:rFonts w:ascii="宋体" w:hAnsi="宋体" w:cs="宋体" w:eastAsia="宋体" w:hint="default"/>
          <w:spacing w:val="-4"/>
          <w:sz w:val="24"/>
          <w:szCs w:val="24"/>
        </w:rPr>
        <w:t>作为公司内部审计机构和审计委员会的日常办事机构，负责公司内部审计工作和审计委员</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3"/>
          <w:sz w:val="24"/>
          <w:szCs w:val="24"/>
        </w:rPr>
        <w:t>会的日常工作联络和会议组织等工作，审计监察部配备 </w:t>
      </w:r>
      <w:r>
        <w:rPr>
          <w:rFonts w:ascii="宋体" w:hAnsi="宋体" w:cs="宋体" w:eastAsia="宋体" w:hint="default"/>
          <w:sz w:val="24"/>
          <w:szCs w:val="24"/>
        </w:rPr>
        <w:t>6</w:t>
      </w:r>
      <w:r>
        <w:rPr>
          <w:rFonts w:ascii="宋体" w:hAnsi="宋体" w:cs="宋体" w:eastAsia="宋体" w:hint="default"/>
          <w:spacing w:val="-95"/>
          <w:sz w:val="24"/>
          <w:szCs w:val="24"/>
        </w:rPr>
        <w:t> </w:t>
      </w:r>
      <w:r>
        <w:rPr>
          <w:rFonts w:ascii="宋体" w:hAnsi="宋体" w:cs="宋体" w:eastAsia="宋体" w:hint="default"/>
          <w:spacing w:val="-5"/>
          <w:sz w:val="24"/>
          <w:szCs w:val="24"/>
        </w:rPr>
        <w:t>名专职审计人员，对公司财务收</w:t>
      </w:r>
      <w:r>
        <w:rPr>
          <w:rFonts w:ascii="宋体" w:hAnsi="宋体" w:cs="宋体" w:eastAsia="宋体" w:hint="default"/>
          <w:sz w:val="24"/>
          <w:szCs w:val="24"/>
        </w:rPr>
        <w:t> 支和经营活动通过例行审计、离任审计等形式，实施审计监督，规范管理行为。</w:t>
      </w:r>
    </w:p>
    <w:p>
      <w:pPr>
        <w:spacing w:before="137"/>
        <w:ind w:left="623" w:right="140" w:firstLine="0"/>
        <w:jc w:val="left"/>
        <w:rPr>
          <w:rFonts w:ascii="宋体" w:hAnsi="宋体" w:cs="宋体" w:eastAsia="宋体" w:hint="default"/>
          <w:sz w:val="24"/>
          <w:szCs w:val="24"/>
        </w:rPr>
      </w:pPr>
      <w:r>
        <w:rPr>
          <w:rFonts w:ascii="宋体" w:hAnsi="宋体" w:cs="宋体" w:eastAsia="宋体" w:hint="default"/>
          <w:sz w:val="24"/>
          <w:szCs w:val="24"/>
        </w:rPr>
        <w:t>4、内部监督和内部控制自我评价工作开展情况</w:t>
      </w:r>
    </w:p>
    <w:p>
      <w:pPr>
        <w:spacing w:after="0"/>
        <w:jc w:val="left"/>
        <w:rPr>
          <w:rFonts w:ascii="宋体" w:hAnsi="宋体" w:cs="宋体" w:eastAsia="宋体" w:hint="default"/>
          <w:sz w:val="24"/>
          <w:szCs w:val="24"/>
        </w:rPr>
        <w:sectPr>
          <w:pgSz w:w="11910" w:h="16840"/>
          <w:pgMar w:header="720" w:footer="727" w:top="1080" w:bottom="920" w:left="1220" w:right="1160"/>
        </w:sectPr>
      </w:pPr>
    </w:p>
    <w:p>
      <w:pPr>
        <w:spacing w:line="240" w:lineRule="auto" w:before="12"/>
        <w:rPr>
          <w:rFonts w:ascii="宋体" w:hAnsi="宋体" w:cs="宋体" w:eastAsia="宋体" w:hint="default"/>
          <w:sz w:val="21"/>
          <w:szCs w:val="21"/>
        </w:rPr>
      </w:pPr>
    </w:p>
    <w:p>
      <w:pPr>
        <w:spacing w:line="297" w:lineRule="auto" w:before="26"/>
        <w:ind w:left="140" w:right="219" w:firstLine="480"/>
        <w:jc w:val="both"/>
        <w:rPr>
          <w:rFonts w:ascii="宋体" w:hAnsi="宋体" w:cs="宋体" w:eastAsia="宋体" w:hint="default"/>
          <w:sz w:val="24"/>
          <w:szCs w:val="24"/>
        </w:rPr>
      </w:pPr>
      <w:r>
        <w:rPr>
          <w:rFonts w:ascii="宋体" w:hAnsi="宋体" w:cs="宋体" w:eastAsia="宋体" w:hint="default"/>
          <w:sz w:val="24"/>
          <w:szCs w:val="24"/>
        </w:rPr>
        <w:t>公司董事会对</w:t>
      </w:r>
      <w:r>
        <w:rPr>
          <w:rFonts w:ascii="宋体" w:hAnsi="宋体" w:cs="宋体" w:eastAsia="宋体" w:hint="default"/>
          <w:spacing w:val="-59"/>
          <w:sz w:val="24"/>
          <w:szCs w:val="24"/>
        </w:rPr>
        <w:t> </w:t>
      </w:r>
      <w:r>
        <w:rPr>
          <w:rFonts w:ascii="宋体" w:hAnsi="宋体" w:cs="宋体" w:eastAsia="宋体" w:hint="default"/>
          <w:sz w:val="24"/>
          <w:szCs w:val="24"/>
        </w:rPr>
        <w:t>2009</w:t>
      </w:r>
      <w:r>
        <w:rPr>
          <w:rFonts w:ascii="宋体" w:hAnsi="宋体" w:cs="宋体" w:eastAsia="宋体" w:hint="default"/>
          <w:spacing w:val="-59"/>
          <w:sz w:val="24"/>
          <w:szCs w:val="24"/>
        </w:rPr>
        <w:t> </w:t>
      </w:r>
      <w:r>
        <w:rPr>
          <w:rFonts w:ascii="宋体" w:hAnsi="宋体" w:cs="宋体" w:eastAsia="宋体" w:hint="default"/>
          <w:sz w:val="24"/>
          <w:szCs w:val="24"/>
        </w:rPr>
        <w:t>年度上述所有方面的内部控制进行了自我评估，未发现本公司存</w:t>
      </w:r>
      <w:r>
        <w:rPr>
          <w:rFonts w:ascii="宋体" w:hAnsi="宋体" w:cs="宋体" w:eastAsia="宋体" w:hint="default"/>
          <w:sz w:val="24"/>
          <w:szCs w:val="24"/>
        </w:rPr>
        <w:t> </w:t>
      </w:r>
      <w:r>
        <w:rPr>
          <w:rFonts w:ascii="宋体" w:hAnsi="宋体" w:cs="宋体" w:eastAsia="宋体" w:hint="default"/>
          <w:spacing w:val="-4"/>
          <w:sz w:val="24"/>
          <w:szCs w:val="24"/>
        </w:rPr>
        <w:t>在内部控制设计或执行方面的重大缺陷。公司聘请了安永华明会计师事务所为本公司内部</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控制进行核实评价。</w:t>
      </w:r>
    </w:p>
    <w:p>
      <w:pPr>
        <w:spacing w:line="388" w:lineRule="auto" w:before="138"/>
        <w:ind w:left="623" w:right="219" w:firstLine="0"/>
        <w:jc w:val="left"/>
        <w:rPr>
          <w:rFonts w:ascii="宋体" w:hAnsi="宋体" w:cs="宋体" w:eastAsia="宋体" w:hint="default"/>
          <w:sz w:val="24"/>
          <w:szCs w:val="24"/>
        </w:rPr>
      </w:pPr>
      <w:r>
        <w:rPr>
          <w:rFonts w:ascii="宋体" w:hAnsi="宋体" w:cs="宋体" w:eastAsia="宋体" w:hint="default"/>
          <w:sz w:val="24"/>
          <w:szCs w:val="24"/>
        </w:rPr>
        <w:t>5、董事会对内部控制有关工作的安排 </w:t>
      </w:r>
      <w:r>
        <w:rPr>
          <w:rFonts w:ascii="宋体" w:hAnsi="宋体" w:cs="宋体" w:eastAsia="宋体" w:hint="default"/>
          <w:spacing w:val="-4"/>
          <w:sz w:val="24"/>
          <w:szCs w:val="24"/>
        </w:rPr>
        <w:t>公司董事会对内控评估报告进行审核，并提出改进意见，公司还聘请了审计机构对本</w:t>
      </w:r>
    </w:p>
    <w:p>
      <w:pPr>
        <w:spacing w:line="240" w:lineRule="exact" w:before="0"/>
        <w:ind w:left="140" w:right="220" w:firstLine="0"/>
        <w:jc w:val="left"/>
        <w:rPr>
          <w:rFonts w:ascii="宋体" w:hAnsi="宋体" w:cs="宋体" w:eastAsia="宋体" w:hint="default"/>
          <w:sz w:val="24"/>
          <w:szCs w:val="24"/>
        </w:rPr>
      </w:pPr>
      <w:r>
        <w:rPr>
          <w:rFonts w:ascii="宋体" w:hAnsi="宋体" w:cs="宋体" w:eastAsia="宋体" w:hint="default"/>
          <w:spacing w:val="-4"/>
          <w:sz w:val="24"/>
          <w:szCs w:val="24"/>
        </w:rPr>
        <w:t>公司内部控制进行核实评价。为了加强和规范公司内部控制，提高经营管理水平和风险防</w:t>
      </w:r>
    </w:p>
    <w:p>
      <w:pPr>
        <w:spacing w:line="297" w:lineRule="auto" w:before="74"/>
        <w:ind w:left="140" w:right="220" w:firstLine="0"/>
        <w:jc w:val="left"/>
        <w:rPr>
          <w:rFonts w:ascii="宋体" w:hAnsi="宋体" w:cs="宋体" w:eastAsia="宋体" w:hint="default"/>
          <w:sz w:val="24"/>
          <w:szCs w:val="24"/>
        </w:rPr>
      </w:pPr>
      <w:r>
        <w:rPr>
          <w:rFonts w:ascii="宋体" w:hAnsi="宋体" w:cs="宋体" w:eastAsia="宋体" w:hint="default"/>
          <w:spacing w:val="-4"/>
          <w:sz w:val="24"/>
          <w:szCs w:val="24"/>
        </w:rPr>
        <w:t>范能力，促进公司可持续发展，报告期内公司成立了内部控制制度建设领导小组，作为公</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司内部控制制度建设的组织与决策机构，全面展开公司内部控制制度梳理与优化工作。</w:t>
      </w:r>
    </w:p>
    <w:p>
      <w:pPr>
        <w:spacing w:before="137"/>
        <w:ind w:left="623" w:right="220" w:firstLine="0"/>
        <w:jc w:val="left"/>
        <w:rPr>
          <w:rFonts w:ascii="宋体" w:hAnsi="宋体" w:cs="宋体" w:eastAsia="宋体" w:hint="default"/>
          <w:sz w:val="24"/>
          <w:szCs w:val="24"/>
        </w:rPr>
      </w:pPr>
      <w:r>
        <w:rPr>
          <w:rFonts w:ascii="宋体" w:hAnsi="宋体" w:cs="宋体" w:eastAsia="宋体" w:hint="default"/>
          <w:sz w:val="24"/>
          <w:szCs w:val="24"/>
        </w:rPr>
        <w:t>6、与财务核算相关的内部控制制度的完善情况</w:t>
      </w:r>
    </w:p>
    <w:p>
      <w:pPr>
        <w:spacing w:line="297" w:lineRule="auto" w:before="194"/>
        <w:ind w:left="140" w:right="84" w:firstLine="482"/>
        <w:jc w:val="left"/>
        <w:rPr>
          <w:rFonts w:ascii="宋体" w:hAnsi="宋体" w:cs="宋体" w:eastAsia="宋体" w:hint="default"/>
          <w:sz w:val="24"/>
          <w:szCs w:val="24"/>
        </w:rPr>
      </w:pPr>
      <w:r>
        <w:rPr>
          <w:rFonts w:ascii="宋体" w:hAnsi="宋体" w:cs="宋体" w:eastAsia="宋体" w:hint="default"/>
          <w:sz w:val="24"/>
          <w:szCs w:val="24"/>
        </w:rPr>
        <w:t>（1）资产与资金管理制度。公司建立了一系列资产管理制度，对财产的记录、定期 </w:t>
      </w:r>
      <w:r>
        <w:rPr>
          <w:rFonts w:ascii="宋体" w:hAnsi="宋体" w:cs="宋体" w:eastAsia="宋体" w:hint="default"/>
          <w:spacing w:val="-4"/>
          <w:sz w:val="24"/>
          <w:szCs w:val="24"/>
        </w:rPr>
        <w:t>盘点、账实核对、财产保险等进行了明确规定，以确保各种财产的完整。此外，公司还对</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pacing w:val="-6"/>
          <w:sz w:val="24"/>
          <w:szCs w:val="24"/>
        </w:rPr>
        <w:t>定期核对应收账款、存货、对外投资、固定资产、在建工程、无形资产等项目进行了规定，</w:t>
      </w:r>
      <w:r>
        <w:rPr>
          <w:rFonts w:ascii="宋体" w:hAnsi="宋体" w:cs="宋体" w:eastAsia="宋体" w:hint="default"/>
          <w:sz w:val="24"/>
          <w:szCs w:val="24"/>
        </w:rPr>
        <w:t> 并根据谨慎性原则的要求合理地计提资产减值准备。</w:t>
      </w:r>
    </w:p>
    <w:p>
      <w:pPr>
        <w:spacing w:line="297" w:lineRule="auto" w:before="137"/>
        <w:ind w:left="140" w:right="84" w:firstLine="482"/>
        <w:jc w:val="left"/>
        <w:rPr>
          <w:rFonts w:ascii="宋体" w:hAnsi="宋体" w:cs="宋体" w:eastAsia="宋体" w:hint="default"/>
          <w:sz w:val="24"/>
          <w:szCs w:val="24"/>
        </w:rPr>
      </w:pPr>
      <w:r>
        <w:rPr>
          <w:rFonts w:ascii="宋体" w:hAnsi="宋体" w:cs="宋体" w:eastAsia="宋体" w:hint="default"/>
          <w:spacing w:val="-4"/>
          <w:sz w:val="24"/>
          <w:szCs w:val="24"/>
        </w:rPr>
        <w:t>公司将投资、筹资权限集中在公司总部，通过网上银行系统实现公司所有独立核算单</w:t>
      </w:r>
      <w:r>
        <w:rPr>
          <w:rFonts w:ascii="宋体" w:hAnsi="宋体" w:cs="宋体" w:eastAsia="宋体" w:hint="default"/>
          <w:sz w:val="24"/>
          <w:szCs w:val="24"/>
        </w:rPr>
        <w:t> 位、所有资金账号的统一管理和对主要账号的实时监控。这样，既加快了资金结算速度， 提高了资金使用效益，又确保了资金的安全性。</w:t>
      </w:r>
    </w:p>
    <w:p>
      <w:pPr>
        <w:spacing w:line="297" w:lineRule="auto" w:before="138"/>
        <w:ind w:left="140" w:right="219" w:firstLine="482"/>
        <w:jc w:val="both"/>
        <w:rPr>
          <w:rFonts w:ascii="宋体" w:hAnsi="宋体" w:cs="宋体" w:eastAsia="宋体" w:hint="default"/>
          <w:sz w:val="24"/>
          <w:szCs w:val="24"/>
        </w:rPr>
      </w:pPr>
      <w:r>
        <w:rPr>
          <w:rFonts w:ascii="宋体" w:hAnsi="宋体" w:cs="宋体" w:eastAsia="宋体" w:hint="default"/>
          <w:spacing w:val="-4"/>
          <w:sz w:val="24"/>
          <w:szCs w:val="24"/>
        </w:rPr>
        <w:t>公司通过《用友集团财务管理办法》、《资金管理及财务审批办法》等制度，明确了</w:t>
      </w:r>
      <w:r>
        <w:rPr>
          <w:rFonts w:ascii="宋体" w:hAnsi="宋体" w:cs="宋体" w:eastAsia="宋体" w:hint="default"/>
          <w:sz w:val="24"/>
          <w:szCs w:val="24"/>
        </w:rPr>
        <w:t> </w:t>
      </w:r>
      <w:r>
        <w:rPr>
          <w:rFonts w:ascii="宋体" w:hAnsi="宋体" w:cs="宋体" w:eastAsia="宋体" w:hint="default"/>
          <w:spacing w:val="-4"/>
          <w:sz w:val="24"/>
          <w:szCs w:val="24"/>
        </w:rPr>
        <w:t>资金使用的授权范围、权限、程序、责任等相关内容。公司各级管理层均在授权范围内行</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使相应职权，所有经办人员在授权范围内办理经济业务。对于审批人超越授权范围审批的</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货币资金业务，财务经办人员有权拒绝办理，并及时向审批人的上级授权部门报告。</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（2）全面预算管理制度。公司建立了包含预算编制、预算执行、预算分析和预算考 </w:t>
      </w:r>
      <w:r>
        <w:rPr>
          <w:rFonts w:ascii="宋体" w:hAnsi="宋体" w:cs="宋体" w:eastAsia="宋体" w:hint="default"/>
          <w:spacing w:val="-4"/>
          <w:sz w:val="24"/>
          <w:szCs w:val="24"/>
        </w:rPr>
        <w:t>核各环节、涵盖所有成员企业的全面预算管理制度。公司将经营成果、固定资产及其他长</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期资产投入、现金流量、对外投资等主要经营目标或事项均纳入预算管理的范围。公司注</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重预算的事中、事后控制，对单项大额支出实行单项预算审批，定期将实际业绩与预算进</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行对比分析，寻找差异与原因，并据此进行预算考核。</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pacing w:val="-4"/>
          <w:sz w:val="24"/>
          <w:szCs w:val="24"/>
        </w:rPr>
        <w:t>预算管理在促进公司内部资源的合理分配，加强成本费用控制，全面提高公司经营效</w:t>
      </w:r>
      <w:r>
        <w:rPr>
          <w:rFonts w:ascii="宋体" w:hAnsi="宋体" w:cs="宋体" w:eastAsia="宋体" w:hint="default"/>
          <w:sz w:val="24"/>
          <w:szCs w:val="24"/>
        </w:rPr>
        <w:t> 益方面发挥了重要的作用。</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（3）集中财务管理信息系统。公司建立了以自有产品为基础，包含会计核算、财务 </w:t>
      </w:r>
      <w:r>
        <w:rPr>
          <w:rFonts w:ascii="宋体" w:hAnsi="宋体" w:cs="宋体" w:eastAsia="宋体" w:hint="default"/>
          <w:spacing w:val="-4"/>
          <w:sz w:val="24"/>
          <w:szCs w:val="24"/>
        </w:rPr>
        <w:t>报表、资金管理、成本管理、全面预算管理在内的公司财务信息管理平台，将公司合并报</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表范围内所有的独立核算单位纳入这个平台，将多项管理制度中的关键控制点设置在信息</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系统中，有效保障了财务制度的执行和财务信息的准确性。</w:t>
      </w:r>
    </w:p>
    <w:p>
      <w:pPr>
        <w:spacing w:line="297" w:lineRule="auto" w:before="137"/>
        <w:ind w:left="140" w:right="84" w:firstLine="482"/>
        <w:jc w:val="left"/>
        <w:rPr>
          <w:rFonts w:ascii="宋体" w:hAnsi="宋体" w:cs="宋体" w:eastAsia="宋体" w:hint="default"/>
          <w:sz w:val="24"/>
          <w:szCs w:val="24"/>
        </w:rPr>
      </w:pPr>
      <w:r>
        <w:rPr>
          <w:rFonts w:ascii="宋体" w:hAnsi="宋体" w:cs="宋体" w:eastAsia="宋体" w:hint="default"/>
          <w:sz w:val="24"/>
          <w:szCs w:val="24"/>
        </w:rPr>
        <w:t>（4）财务报告制度。公司制定了适合本单位的会计制度和核算流程，并且建立了相 </w:t>
      </w:r>
      <w:r>
        <w:rPr>
          <w:rFonts w:ascii="宋体" w:hAnsi="宋体" w:cs="宋体" w:eastAsia="宋体" w:hint="default"/>
          <w:spacing w:val="-6"/>
          <w:sz w:val="24"/>
          <w:szCs w:val="24"/>
        </w:rPr>
        <w:t>应的内部基础管理制度，包括会计人员岗位责任制度，账务处理程序制度，内部牵制制度、</w:t>
      </w:r>
    </w:p>
    <w:p>
      <w:pPr>
        <w:spacing w:after="0" w:line="297" w:lineRule="auto"/>
        <w:jc w:val="left"/>
        <w:rPr>
          <w:rFonts w:ascii="宋体" w:hAnsi="宋体" w:cs="宋体" w:eastAsia="宋体" w:hint="default"/>
          <w:sz w:val="24"/>
          <w:szCs w:val="24"/>
        </w:rPr>
        <w:sectPr>
          <w:pgSz w:w="11910" w:h="16840"/>
          <w:pgMar w:header="720" w:footer="727" w:top="1080" w:bottom="920" w:left="1220" w:right="1080"/>
        </w:sectPr>
      </w:pPr>
    </w:p>
    <w:p>
      <w:pPr>
        <w:spacing w:line="240" w:lineRule="auto" w:before="12"/>
        <w:rPr>
          <w:rFonts w:ascii="宋体" w:hAnsi="宋体" w:cs="宋体" w:eastAsia="宋体" w:hint="default"/>
          <w:sz w:val="21"/>
          <w:szCs w:val="21"/>
        </w:rPr>
      </w:pPr>
    </w:p>
    <w:p>
      <w:pPr>
        <w:spacing w:line="388" w:lineRule="auto" w:before="26"/>
        <w:ind w:left="623" w:right="219" w:hanging="483"/>
        <w:jc w:val="left"/>
        <w:rPr>
          <w:rFonts w:ascii="宋体" w:hAnsi="宋体" w:cs="宋体" w:eastAsia="宋体" w:hint="default"/>
          <w:sz w:val="24"/>
          <w:szCs w:val="24"/>
        </w:rPr>
      </w:pPr>
      <w:r>
        <w:rPr>
          <w:rFonts w:ascii="宋体" w:hAnsi="宋体" w:cs="宋体" w:eastAsia="宋体" w:hint="default"/>
          <w:sz w:val="24"/>
          <w:szCs w:val="24"/>
        </w:rPr>
        <w:t>内部会计稽查制度、原始凭证管理制度、财产清查制度、财务收支审批制度等。 </w:t>
      </w:r>
      <w:r>
        <w:rPr>
          <w:rFonts w:ascii="宋体" w:hAnsi="宋体" w:cs="宋体" w:eastAsia="宋体" w:hint="default"/>
          <w:spacing w:val="-4"/>
          <w:sz w:val="24"/>
          <w:szCs w:val="24"/>
        </w:rPr>
        <w:t>公司建立了适应上市公司集团化管理的集团财务报表体系和制度，明确了财务报告的</w:t>
      </w:r>
    </w:p>
    <w:p>
      <w:pPr>
        <w:spacing w:line="240" w:lineRule="exact" w:before="0"/>
        <w:ind w:left="140" w:right="0" w:firstLine="0"/>
        <w:jc w:val="both"/>
        <w:rPr>
          <w:rFonts w:ascii="宋体" w:hAnsi="宋体" w:cs="宋体" w:eastAsia="宋体" w:hint="default"/>
          <w:sz w:val="24"/>
          <w:szCs w:val="24"/>
        </w:rPr>
      </w:pPr>
      <w:r>
        <w:rPr>
          <w:rFonts w:ascii="宋体" w:hAnsi="宋体" w:cs="宋体" w:eastAsia="宋体" w:hint="default"/>
          <w:spacing w:val="-4"/>
          <w:sz w:val="24"/>
          <w:szCs w:val="24"/>
        </w:rPr>
        <w:t>内容、范围、编制流程和责任人，实现了财务报表的统一规划、分别编制、统一复核与分</w:t>
      </w:r>
    </w:p>
    <w:p>
      <w:pPr>
        <w:spacing w:before="76"/>
        <w:ind w:left="140" w:right="0" w:firstLine="0"/>
        <w:jc w:val="both"/>
        <w:rPr>
          <w:rFonts w:ascii="宋体" w:hAnsi="宋体" w:cs="宋体" w:eastAsia="宋体" w:hint="default"/>
          <w:sz w:val="24"/>
          <w:szCs w:val="24"/>
        </w:rPr>
      </w:pPr>
      <w:r>
        <w:rPr>
          <w:rFonts w:ascii="宋体" w:hAnsi="宋体" w:cs="宋体" w:eastAsia="宋体" w:hint="default"/>
          <w:sz w:val="24"/>
          <w:szCs w:val="24"/>
        </w:rPr>
        <w:t>级审核，并建立了财务报告附注多方汇审制度，确保财务信息及时、准确、合规。</w:t>
      </w:r>
    </w:p>
    <w:p>
      <w:pPr>
        <w:spacing w:line="297" w:lineRule="auto" w:before="194"/>
        <w:ind w:left="140" w:right="218" w:firstLine="482"/>
        <w:jc w:val="both"/>
        <w:rPr>
          <w:rFonts w:ascii="宋体" w:hAnsi="宋体" w:cs="宋体" w:eastAsia="宋体" w:hint="default"/>
          <w:sz w:val="24"/>
          <w:szCs w:val="24"/>
        </w:rPr>
      </w:pPr>
      <w:r>
        <w:rPr>
          <w:rFonts w:ascii="宋体" w:hAnsi="宋体" w:cs="宋体" w:eastAsia="宋体" w:hint="default"/>
          <w:spacing w:val="-4"/>
          <w:sz w:val="24"/>
          <w:szCs w:val="24"/>
        </w:rPr>
        <w:t>（5）财务机构与人员管理制度。公司总部设立专门的会计机构-财务部、预算部、采</w:t>
      </w:r>
      <w:r>
        <w:rPr>
          <w:rFonts w:ascii="宋体" w:hAnsi="宋体" w:cs="宋体" w:eastAsia="宋体" w:hint="default"/>
          <w:sz w:val="24"/>
          <w:szCs w:val="24"/>
        </w:rPr>
        <w:t> </w:t>
      </w:r>
      <w:r>
        <w:rPr>
          <w:rFonts w:ascii="宋体" w:hAnsi="宋体" w:cs="宋体" w:eastAsia="宋体" w:hint="default"/>
          <w:spacing w:val="-4"/>
          <w:sz w:val="24"/>
          <w:szCs w:val="24"/>
        </w:rPr>
        <w:t>购管理部等，并在其他各级独立核算单位设立财务部，按《财务干部聘用管理办法》配备</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各级财务人员。</w:t>
      </w:r>
    </w:p>
    <w:p>
      <w:pPr>
        <w:spacing w:line="297" w:lineRule="auto" w:before="138"/>
        <w:ind w:left="140" w:right="82" w:firstLine="482"/>
        <w:jc w:val="left"/>
        <w:rPr>
          <w:rFonts w:ascii="宋体" w:hAnsi="宋体" w:cs="宋体" w:eastAsia="宋体" w:hint="default"/>
          <w:sz w:val="24"/>
          <w:szCs w:val="24"/>
        </w:rPr>
      </w:pPr>
      <w:r>
        <w:rPr>
          <w:rFonts w:ascii="宋体" w:hAnsi="宋体" w:cs="宋体" w:eastAsia="宋体" w:hint="default"/>
          <w:sz w:val="24"/>
          <w:szCs w:val="24"/>
        </w:rPr>
        <w:t>公司财务人员实行逐级垂直管理。垂直管理包括财务人员的聘任、培训与业务指导、 </w:t>
      </w:r>
      <w:r>
        <w:rPr>
          <w:rFonts w:ascii="宋体" w:hAnsi="宋体" w:cs="宋体" w:eastAsia="宋体" w:hint="default"/>
          <w:spacing w:val="-4"/>
          <w:sz w:val="24"/>
          <w:szCs w:val="24"/>
        </w:rPr>
        <w:t>考核、调动与辞退。公司所有财务人员均具备相关职业资格或专业技术职称，有较丰富的</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专业知识与专业技能，熟悉国家和地区的财务、会计、税收制度，遵守职业道德。公司对</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财务人员进行相关业务培训，包括上岗培训、定期培训与日常培训。公司颁布了《财务干</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部考核办法》，并据此定期对财务干部进行考核。</w:t>
      </w:r>
    </w:p>
    <w:p>
      <w:pPr>
        <w:spacing w:line="297" w:lineRule="auto" w:before="138"/>
        <w:ind w:left="140" w:right="219" w:firstLine="482"/>
        <w:jc w:val="both"/>
        <w:rPr>
          <w:rFonts w:ascii="宋体" w:hAnsi="宋体" w:cs="宋体" w:eastAsia="宋体" w:hint="default"/>
          <w:sz w:val="24"/>
          <w:szCs w:val="24"/>
        </w:rPr>
      </w:pPr>
      <w:r>
        <w:rPr>
          <w:rFonts w:ascii="宋体" w:hAnsi="宋体" w:cs="宋体" w:eastAsia="宋体" w:hint="default"/>
          <w:sz w:val="24"/>
          <w:szCs w:val="24"/>
        </w:rPr>
        <w:t>（6）对外投资管理制度。公司设立了投资管理部，建立对外投资授权制度和审核批 </w:t>
      </w:r>
      <w:r>
        <w:rPr>
          <w:rFonts w:ascii="宋体" w:hAnsi="宋体" w:cs="宋体" w:eastAsia="宋体" w:hint="default"/>
          <w:spacing w:val="-4"/>
          <w:sz w:val="24"/>
          <w:szCs w:val="24"/>
        </w:rPr>
        <w:t>准制度，并按照规定的权限和程序办理对外投资业务。加强对外投资可行性研究、评价与</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决策环节的控制，加强内部审计，确保对外投资全过程得到有效控制。</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（7）存货管理制度。公司建立存货管理制度，明确相关控制措施，规定审批人的权 </w:t>
      </w:r>
      <w:r>
        <w:rPr>
          <w:rFonts w:ascii="宋体" w:hAnsi="宋体" w:cs="宋体" w:eastAsia="宋体" w:hint="default"/>
          <w:spacing w:val="-4"/>
          <w:sz w:val="24"/>
          <w:szCs w:val="24"/>
        </w:rPr>
        <w:t>限、责任以及经办人的职责范围和工作要求。生产管理过程导入自行研发的软件产品生产</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4"/>
          <w:sz w:val="24"/>
          <w:szCs w:val="24"/>
        </w:rPr>
        <w:t>信息管理系统，对原材料的采购、产品的生产制造、成品的保管和存货发出等，设计了严</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格的控制程序，以保证资产的安全和计价的准确。</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（8）固定资产管理制度。公司采用自行研发的固定做资产管理系统，资产管理流程 </w:t>
      </w:r>
      <w:r>
        <w:rPr>
          <w:rFonts w:ascii="宋体" w:hAnsi="宋体" w:cs="宋体" w:eastAsia="宋体" w:hint="default"/>
          <w:spacing w:val="-4"/>
          <w:sz w:val="24"/>
          <w:szCs w:val="24"/>
        </w:rPr>
        <w:t>清晰。明确了授权批准的方式、程序和相关控制措施，规定审批人的权限、责任以及经办</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人的职责范围和工作要求。对固定资产的采购、保管和累计折旧的计提设计了严格的控制</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程序，以保证资产的安全和计价的准确。</w:t>
      </w:r>
    </w:p>
    <w:p>
      <w:pPr>
        <w:spacing w:before="137"/>
        <w:ind w:left="623" w:right="220" w:firstLine="0"/>
        <w:jc w:val="left"/>
        <w:rPr>
          <w:rFonts w:ascii="宋体" w:hAnsi="宋体" w:cs="宋体" w:eastAsia="宋体" w:hint="default"/>
          <w:sz w:val="24"/>
          <w:szCs w:val="24"/>
        </w:rPr>
      </w:pPr>
      <w:r>
        <w:rPr>
          <w:rFonts w:ascii="宋体" w:hAnsi="宋体" w:cs="宋体" w:eastAsia="宋体" w:hint="default"/>
          <w:sz w:val="24"/>
          <w:szCs w:val="24"/>
        </w:rPr>
        <w:t>7、内部控制存在的缺陷及整改情况</w:t>
      </w:r>
    </w:p>
    <w:p>
      <w:pPr>
        <w:spacing w:line="240" w:lineRule="auto" w:before="1"/>
        <w:rPr>
          <w:rFonts w:ascii="宋体" w:hAnsi="宋体" w:cs="宋体" w:eastAsia="宋体" w:hint="default"/>
          <w:sz w:val="27"/>
          <w:szCs w:val="27"/>
        </w:rPr>
      </w:pPr>
    </w:p>
    <w:p>
      <w:pPr>
        <w:spacing w:line="297" w:lineRule="auto" w:before="0"/>
        <w:ind w:left="140" w:right="219" w:firstLine="482"/>
        <w:jc w:val="both"/>
        <w:rPr>
          <w:rFonts w:ascii="宋体" w:hAnsi="宋体" w:cs="宋体" w:eastAsia="宋体" w:hint="default"/>
          <w:sz w:val="24"/>
          <w:szCs w:val="24"/>
        </w:rPr>
      </w:pPr>
      <w:r>
        <w:rPr>
          <w:rFonts w:ascii="宋体" w:hAnsi="宋体" w:cs="宋体" w:eastAsia="宋体" w:hint="default"/>
          <w:spacing w:val="-4"/>
          <w:sz w:val="24"/>
          <w:szCs w:val="24"/>
        </w:rPr>
        <w:t>报告期内，公司发现相关内部控制制度应持续优化、不断完善，公司需要改进和加强</w:t>
      </w:r>
      <w:r>
        <w:rPr>
          <w:rFonts w:ascii="宋体" w:hAnsi="宋体" w:cs="宋体" w:eastAsia="宋体" w:hint="default"/>
          <w:sz w:val="24"/>
          <w:szCs w:val="24"/>
        </w:rPr>
        <w:t> </w:t>
      </w:r>
      <w:r>
        <w:rPr>
          <w:rFonts w:ascii="宋体" w:hAnsi="宋体" w:cs="宋体" w:eastAsia="宋体" w:hint="default"/>
          <w:spacing w:val="-4"/>
          <w:sz w:val="24"/>
          <w:szCs w:val="24"/>
        </w:rPr>
        <w:t>对参股投资企业的商誉使用授权及其风险控制的管理。为此，公司成立了内部控制制度建</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设领导小组，组织公司相关部门全面推进公司内部控制制度梳理与优化工作。</w:t>
      </w:r>
    </w:p>
    <w:p>
      <w:pPr>
        <w:spacing w:line="240" w:lineRule="auto" w:before="10"/>
        <w:rPr>
          <w:rFonts w:ascii="宋体" w:hAnsi="宋体" w:cs="宋体" w:eastAsia="宋体" w:hint="default"/>
          <w:sz w:val="22"/>
          <w:szCs w:val="22"/>
        </w:rPr>
      </w:pPr>
    </w:p>
    <w:p>
      <w:pPr>
        <w:spacing w:line="328" w:lineRule="auto" w:before="0"/>
        <w:ind w:left="623" w:right="219" w:hanging="83"/>
        <w:jc w:val="left"/>
        <w:rPr>
          <w:rFonts w:ascii="宋体" w:hAnsi="宋体" w:cs="宋体" w:eastAsia="宋体" w:hint="default"/>
          <w:sz w:val="24"/>
          <w:szCs w:val="24"/>
        </w:rPr>
      </w:pPr>
      <w:r>
        <w:rPr>
          <w:rFonts w:ascii="宋体" w:hAnsi="宋体" w:cs="宋体" w:eastAsia="宋体" w:hint="default"/>
          <w:b/>
          <w:bCs/>
          <w:sz w:val="24"/>
          <w:szCs w:val="24"/>
        </w:rPr>
        <w:t>(五)</w:t>
      </w:r>
      <w:r>
        <w:rPr>
          <w:rFonts w:ascii="宋体" w:hAnsi="宋体" w:cs="宋体" w:eastAsia="宋体" w:hint="default"/>
          <w:b/>
          <w:bCs/>
          <w:spacing w:val="1"/>
          <w:sz w:val="24"/>
          <w:szCs w:val="24"/>
        </w:rPr>
        <w:t> </w:t>
      </w:r>
      <w:r>
        <w:rPr>
          <w:rFonts w:ascii="宋体" w:hAnsi="宋体" w:cs="宋体" w:eastAsia="宋体" w:hint="default"/>
          <w:b/>
          <w:bCs/>
          <w:sz w:val="24"/>
          <w:szCs w:val="24"/>
        </w:rPr>
        <w:t>高级管理人员的考评及激励情况</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公司目前对高级管理人员的聘任公开、透明，符合法律法规的规定；公司目前实施的</w:t>
      </w:r>
    </w:p>
    <w:p>
      <w:pPr>
        <w:pStyle w:val="Heading7"/>
        <w:spacing w:line="297" w:lineRule="auto"/>
        <w:ind w:right="219"/>
        <w:jc w:val="both"/>
      </w:pPr>
      <w:r>
        <w:rPr>
          <w:spacing w:val="-4"/>
        </w:rPr>
        <w:t>高级管理人员的绩效评价制度是，公司董事会按年度对公司高级管理人员的业绩和履行职</w:t>
      </w:r>
      <w:r>
        <w:rPr>
          <w:spacing w:val="-82"/>
        </w:rPr>
        <w:t> </w:t>
      </w:r>
      <w:r>
        <w:rPr>
          <w:spacing w:val="-82"/>
        </w:rPr>
      </w:r>
      <w:r>
        <w:rPr>
          <w:spacing w:val="-4"/>
        </w:rPr>
        <w:t>责情况进行考评，并根据考评结果决定下一年度的年薪定级、岗位安排直至聘用与否。公</w:t>
      </w:r>
      <w:r>
        <w:rPr>
          <w:spacing w:val="-84"/>
        </w:rPr>
        <w:t> </w:t>
      </w:r>
      <w:r>
        <w:rPr>
          <w:spacing w:val="-84"/>
        </w:rPr>
      </w:r>
      <w:r>
        <w:rPr>
          <w:spacing w:val="-4"/>
        </w:rPr>
        <w:t>司对高级管理人员实行与公司年度经营业绩挂钩的绩效奖金制。部分高级管理人员已通过</w:t>
      </w:r>
      <w:r>
        <w:rPr>
          <w:spacing w:val="-82"/>
        </w:rPr>
        <w:t> </w:t>
      </w:r>
      <w:r>
        <w:rPr>
          <w:spacing w:val="-82"/>
        </w:rPr>
      </w:r>
      <w:r>
        <w:rPr/>
        <w:t>在公司的股东单位持股间接拥有公司部分股权。</w:t>
      </w:r>
    </w:p>
    <w:p>
      <w:pPr>
        <w:spacing w:after="0" w:line="297" w:lineRule="auto"/>
        <w:jc w:val="both"/>
        <w:sectPr>
          <w:pgSz w:w="11910" w:h="16840"/>
          <w:pgMar w:header="720" w:footer="727" w:top="1080" w:bottom="920" w:left="1220" w:right="1080"/>
        </w:sectPr>
      </w:pPr>
    </w:p>
    <w:p>
      <w:pPr>
        <w:spacing w:line="240" w:lineRule="auto" w:before="12"/>
        <w:rPr>
          <w:rFonts w:ascii="宋体" w:hAnsi="宋体" w:cs="宋体" w:eastAsia="宋体" w:hint="default"/>
          <w:sz w:val="21"/>
          <w:szCs w:val="21"/>
        </w:rPr>
      </w:pPr>
    </w:p>
    <w:p>
      <w:pPr>
        <w:spacing w:line="297" w:lineRule="auto" w:before="26"/>
        <w:ind w:left="140" w:right="139" w:firstLine="482"/>
        <w:jc w:val="both"/>
        <w:rPr>
          <w:rFonts w:ascii="宋体" w:hAnsi="宋体" w:cs="宋体" w:eastAsia="宋体" w:hint="default"/>
          <w:sz w:val="24"/>
          <w:szCs w:val="24"/>
        </w:rPr>
      </w:pPr>
      <w:r>
        <w:rPr>
          <w:rFonts w:ascii="宋体" w:hAnsi="宋体" w:cs="宋体" w:eastAsia="宋体" w:hint="default"/>
          <w:spacing w:val="34"/>
          <w:sz w:val="24"/>
          <w:szCs w:val="24"/>
        </w:rPr>
        <w:t>2007年8月3</w:t>
      </w:r>
      <w:r>
        <w:rPr>
          <w:rFonts w:ascii="宋体" w:hAnsi="宋体" w:cs="宋体" w:eastAsia="宋体" w:hint="default"/>
          <w:spacing w:val="-52"/>
          <w:sz w:val="24"/>
          <w:szCs w:val="24"/>
        </w:rPr>
        <w:t> </w:t>
      </w:r>
      <w:r>
        <w:rPr>
          <w:rFonts w:ascii="宋体" w:hAnsi="宋体" w:cs="宋体" w:eastAsia="宋体" w:hint="default"/>
          <w:sz w:val="24"/>
          <w:szCs w:val="24"/>
        </w:rPr>
        <w:t>日，公司</w:t>
      </w:r>
      <w:r>
        <w:rPr>
          <w:rFonts w:ascii="宋体" w:hAnsi="宋体" w:cs="宋体" w:eastAsia="宋体" w:hint="default"/>
          <w:spacing w:val="-52"/>
          <w:sz w:val="24"/>
          <w:szCs w:val="24"/>
        </w:rPr>
        <w:t> </w:t>
      </w:r>
      <w:r>
        <w:rPr>
          <w:rFonts w:ascii="宋体" w:hAnsi="宋体" w:cs="宋体" w:eastAsia="宋体" w:hint="default"/>
          <w:sz w:val="24"/>
          <w:szCs w:val="24"/>
        </w:rPr>
        <w:t>2007</w:t>
      </w:r>
      <w:r>
        <w:rPr>
          <w:rFonts w:ascii="宋体" w:hAnsi="宋体" w:cs="宋体" w:eastAsia="宋体" w:hint="default"/>
          <w:spacing w:val="-52"/>
          <w:sz w:val="24"/>
          <w:szCs w:val="24"/>
        </w:rPr>
        <w:t> </w:t>
      </w:r>
      <w:r>
        <w:rPr>
          <w:rFonts w:ascii="宋体" w:hAnsi="宋体" w:cs="宋体" w:eastAsia="宋体" w:hint="default"/>
          <w:sz w:val="24"/>
          <w:szCs w:val="24"/>
        </w:rPr>
        <w:t>年第一次临时股东大会审议通过了《关于&lt;用友软件股</w:t>
      </w:r>
      <w:r>
        <w:rPr>
          <w:rFonts w:ascii="宋体" w:hAnsi="宋体" w:cs="宋体" w:eastAsia="宋体" w:hint="default"/>
          <w:sz w:val="24"/>
          <w:szCs w:val="24"/>
        </w:rPr>
        <w:t> 份有限公司股权激励计划（修订稿）&gt;的议案》、《用友软件股份有限公司股权激励计划 </w:t>
      </w:r>
      <w:r>
        <w:rPr>
          <w:rFonts w:ascii="宋体" w:hAnsi="宋体" w:cs="宋体" w:eastAsia="宋体" w:hint="default"/>
          <w:spacing w:val="-4"/>
          <w:sz w:val="24"/>
          <w:szCs w:val="24"/>
        </w:rPr>
        <w:t>实施考核办法》和《股东大会授权公司董事会办理股权激励相关事宜议案》等议案。根据</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8"/>
          <w:sz w:val="24"/>
          <w:szCs w:val="24"/>
        </w:rPr>
        <w:t>公司股东大会的授权，公司董事会于</w:t>
      </w:r>
      <w:r>
        <w:rPr>
          <w:rFonts w:ascii="宋体" w:hAnsi="宋体" w:cs="宋体" w:eastAsia="宋体" w:hint="default"/>
          <w:spacing w:val="-56"/>
          <w:sz w:val="24"/>
          <w:szCs w:val="24"/>
        </w:rPr>
        <w:t> </w:t>
      </w:r>
      <w:r>
        <w:rPr>
          <w:rFonts w:ascii="宋体" w:hAnsi="宋体" w:cs="宋体" w:eastAsia="宋体" w:hint="default"/>
          <w:spacing w:val="25"/>
          <w:sz w:val="24"/>
          <w:szCs w:val="24"/>
        </w:rPr>
        <w:t>2009年9月</w:t>
      </w:r>
      <w:r>
        <w:rPr>
          <w:rFonts w:ascii="宋体" w:hAnsi="宋体" w:cs="宋体" w:eastAsia="宋体" w:hint="default"/>
          <w:spacing w:val="-56"/>
          <w:sz w:val="24"/>
          <w:szCs w:val="24"/>
        </w:rPr>
        <w:t> </w:t>
      </w:r>
      <w:r>
        <w:rPr>
          <w:rFonts w:ascii="宋体" w:hAnsi="宋体" w:cs="宋体" w:eastAsia="宋体" w:hint="default"/>
          <w:sz w:val="24"/>
          <w:szCs w:val="24"/>
        </w:rPr>
        <w:t>29</w:t>
      </w:r>
      <w:r>
        <w:rPr>
          <w:rFonts w:ascii="宋体" w:hAnsi="宋体" w:cs="宋体" w:eastAsia="宋体" w:hint="default"/>
          <w:spacing w:val="-56"/>
          <w:sz w:val="24"/>
          <w:szCs w:val="24"/>
        </w:rPr>
        <w:t> </w:t>
      </w:r>
      <w:r>
        <w:rPr>
          <w:rFonts w:ascii="宋体" w:hAnsi="宋体" w:cs="宋体" w:eastAsia="宋体" w:hint="default"/>
          <w:sz w:val="24"/>
          <w:szCs w:val="24"/>
        </w:rPr>
        <w:t>日向符合授予条件的股权激励对象授</w:t>
      </w:r>
      <w:r>
        <w:rPr>
          <w:rFonts w:ascii="宋体" w:hAnsi="宋体" w:cs="宋体" w:eastAsia="宋体" w:hint="default"/>
          <w:sz w:val="24"/>
          <w:szCs w:val="24"/>
        </w:rPr>
        <w:t> </w:t>
      </w:r>
      <w:r>
        <w:rPr>
          <w:rFonts w:ascii="宋体" w:hAnsi="宋体" w:cs="宋体" w:eastAsia="宋体" w:hint="default"/>
          <w:spacing w:val="-4"/>
          <w:sz w:val="24"/>
          <w:szCs w:val="24"/>
        </w:rPr>
        <w:t>予《用友软件股份有限公司股权激励计划（修订稿）》中标的股票，本次股权激励计划共</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z w:val="24"/>
          <w:szCs w:val="24"/>
        </w:rPr>
        <w:t>计</w:t>
      </w:r>
      <w:r>
        <w:rPr>
          <w:rFonts w:ascii="宋体" w:hAnsi="宋体" w:cs="宋体" w:eastAsia="宋体" w:hint="default"/>
          <w:spacing w:val="-52"/>
          <w:sz w:val="24"/>
          <w:szCs w:val="24"/>
        </w:rPr>
        <w:t> </w:t>
      </w:r>
      <w:r>
        <w:rPr>
          <w:rFonts w:ascii="宋体" w:hAnsi="宋体" w:cs="宋体" w:eastAsia="宋体" w:hint="default"/>
          <w:sz w:val="24"/>
          <w:szCs w:val="24"/>
        </w:rPr>
        <w:t>22,322,560</w:t>
      </w:r>
      <w:r>
        <w:rPr>
          <w:rFonts w:ascii="宋体" w:hAnsi="宋体" w:cs="宋体" w:eastAsia="宋体" w:hint="default"/>
          <w:spacing w:val="-52"/>
          <w:sz w:val="24"/>
          <w:szCs w:val="24"/>
        </w:rPr>
        <w:t> </w:t>
      </w:r>
      <w:r>
        <w:rPr>
          <w:rFonts w:ascii="宋体" w:hAnsi="宋体" w:cs="宋体" w:eastAsia="宋体" w:hint="default"/>
          <w:sz w:val="24"/>
          <w:szCs w:val="24"/>
        </w:rPr>
        <w:t>股股票，其中，2009</w:t>
      </w:r>
      <w:r>
        <w:rPr>
          <w:rFonts w:ascii="宋体" w:hAnsi="宋体" w:cs="宋体" w:eastAsia="宋体" w:hint="default"/>
          <w:spacing w:val="-52"/>
          <w:sz w:val="24"/>
          <w:szCs w:val="24"/>
        </w:rPr>
        <w:t> </w:t>
      </w:r>
      <w:r>
        <w:rPr>
          <w:rFonts w:ascii="宋体" w:hAnsi="宋体" w:cs="宋体" w:eastAsia="宋体" w:hint="default"/>
          <w:sz w:val="24"/>
          <w:szCs w:val="24"/>
        </w:rPr>
        <w:t>年度股票</w:t>
      </w:r>
      <w:r>
        <w:rPr>
          <w:rFonts w:ascii="宋体" w:hAnsi="宋体" w:cs="宋体" w:eastAsia="宋体" w:hint="default"/>
          <w:spacing w:val="-52"/>
          <w:sz w:val="24"/>
          <w:szCs w:val="24"/>
        </w:rPr>
        <w:t> </w:t>
      </w:r>
      <w:r>
        <w:rPr>
          <w:rFonts w:ascii="宋体" w:hAnsi="宋体" w:cs="宋体" w:eastAsia="宋体" w:hint="default"/>
          <w:sz w:val="24"/>
          <w:szCs w:val="24"/>
        </w:rPr>
        <w:t>5,840,640</w:t>
      </w:r>
      <w:r>
        <w:rPr>
          <w:rFonts w:ascii="宋体" w:hAnsi="宋体" w:cs="宋体" w:eastAsia="宋体" w:hint="default"/>
          <w:spacing w:val="-52"/>
          <w:sz w:val="24"/>
          <w:szCs w:val="24"/>
        </w:rPr>
        <w:t> </w:t>
      </w:r>
      <w:r>
        <w:rPr>
          <w:rFonts w:ascii="宋体" w:hAnsi="宋体" w:cs="宋体" w:eastAsia="宋体" w:hint="default"/>
          <w:sz w:val="24"/>
          <w:szCs w:val="24"/>
        </w:rPr>
        <w:t>股，预留股份</w:t>
      </w:r>
      <w:r>
        <w:rPr>
          <w:rFonts w:ascii="宋体" w:hAnsi="宋体" w:cs="宋体" w:eastAsia="宋体" w:hint="default"/>
          <w:spacing w:val="-52"/>
          <w:sz w:val="24"/>
          <w:szCs w:val="24"/>
        </w:rPr>
        <w:t> </w:t>
      </w:r>
      <w:r>
        <w:rPr>
          <w:rFonts w:ascii="宋体" w:hAnsi="宋体" w:cs="宋体" w:eastAsia="宋体" w:hint="default"/>
          <w:sz w:val="24"/>
          <w:szCs w:val="24"/>
        </w:rPr>
        <w:t>16,481,920</w:t>
      </w:r>
      <w:r>
        <w:rPr>
          <w:rFonts w:ascii="宋体" w:hAnsi="宋体" w:cs="宋体" w:eastAsia="宋体" w:hint="default"/>
          <w:spacing w:val="-51"/>
          <w:sz w:val="24"/>
          <w:szCs w:val="24"/>
        </w:rPr>
        <w:t> </w:t>
      </w:r>
      <w:r>
        <w:rPr>
          <w:rFonts w:ascii="宋体" w:hAnsi="宋体" w:cs="宋体" w:eastAsia="宋体" w:hint="default"/>
          <w:sz w:val="24"/>
          <w:szCs w:val="24"/>
        </w:rPr>
        <w:t>股。</w:t>
      </w:r>
      <w:r>
        <w:rPr>
          <w:rFonts w:ascii="宋体" w:hAnsi="宋体" w:cs="宋体" w:eastAsia="宋体" w:hint="default"/>
          <w:sz w:val="24"/>
          <w:szCs w:val="24"/>
        </w:rPr>
        <w:t> 截至</w:t>
      </w:r>
      <w:r>
        <w:rPr>
          <w:rFonts w:ascii="宋体" w:hAnsi="宋体" w:cs="宋体" w:eastAsia="宋体" w:hint="default"/>
          <w:spacing w:val="-59"/>
          <w:sz w:val="24"/>
          <w:szCs w:val="24"/>
        </w:rPr>
        <w:t> </w:t>
      </w:r>
      <w:r>
        <w:rPr>
          <w:rFonts w:ascii="宋体" w:hAnsi="宋体" w:cs="宋体" w:eastAsia="宋体" w:hint="default"/>
          <w:spacing w:val="12"/>
          <w:sz w:val="24"/>
          <w:szCs w:val="24"/>
        </w:rPr>
        <w:t>2009年</w:t>
      </w:r>
      <w:r>
        <w:rPr>
          <w:rFonts w:ascii="宋体" w:hAnsi="宋体" w:cs="宋体" w:eastAsia="宋体" w:hint="default"/>
          <w:spacing w:val="-59"/>
          <w:sz w:val="24"/>
          <w:szCs w:val="24"/>
        </w:rPr>
        <w:t> </w:t>
      </w:r>
      <w:r>
        <w:rPr>
          <w:rFonts w:ascii="宋体" w:hAnsi="宋体" w:cs="宋体" w:eastAsia="宋体" w:hint="default"/>
          <w:spacing w:val="20"/>
          <w:sz w:val="24"/>
          <w:szCs w:val="24"/>
        </w:rPr>
        <w:t>11月</w:t>
      </w:r>
      <w:r>
        <w:rPr>
          <w:rFonts w:ascii="宋体" w:hAnsi="宋体" w:cs="宋体" w:eastAsia="宋体" w:hint="default"/>
          <w:spacing w:val="-59"/>
          <w:sz w:val="24"/>
          <w:szCs w:val="24"/>
        </w:rPr>
        <w:t> </w:t>
      </w:r>
      <w:r>
        <w:rPr>
          <w:rFonts w:ascii="宋体" w:hAnsi="宋体" w:cs="宋体" w:eastAsia="宋体" w:hint="default"/>
          <w:sz w:val="24"/>
          <w:szCs w:val="24"/>
        </w:rPr>
        <w:t>24</w:t>
      </w:r>
      <w:r>
        <w:rPr>
          <w:rFonts w:ascii="宋体" w:hAnsi="宋体" w:cs="宋体" w:eastAsia="宋体" w:hint="default"/>
          <w:spacing w:val="-59"/>
          <w:sz w:val="24"/>
          <w:szCs w:val="24"/>
        </w:rPr>
        <w:t> </w:t>
      </w:r>
      <w:r>
        <w:rPr>
          <w:rFonts w:ascii="宋体" w:hAnsi="宋体" w:cs="宋体" w:eastAsia="宋体" w:hint="default"/>
          <w:spacing w:val="-9"/>
          <w:sz w:val="24"/>
          <w:szCs w:val="24"/>
        </w:rPr>
        <w:t>日，实际缴款激励对象</w:t>
      </w:r>
      <w:r>
        <w:rPr>
          <w:rFonts w:ascii="宋体" w:hAnsi="宋体" w:cs="宋体" w:eastAsia="宋体" w:hint="default"/>
          <w:spacing w:val="-59"/>
          <w:sz w:val="24"/>
          <w:szCs w:val="24"/>
        </w:rPr>
        <w:t> </w:t>
      </w:r>
      <w:r>
        <w:rPr>
          <w:rFonts w:ascii="宋体" w:hAnsi="宋体" w:cs="宋体" w:eastAsia="宋体" w:hint="default"/>
          <w:sz w:val="24"/>
          <w:szCs w:val="24"/>
        </w:rPr>
        <w:t>1524</w:t>
      </w:r>
      <w:r>
        <w:rPr>
          <w:rFonts w:ascii="宋体" w:hAnsi="宋体" w:cs="宋体" w:eastAsia="宋体" w:hint="default"/>
          <w:spacing w:val="-59"/>
          <w:sz w:val="24"/>
          <w:szCs w:val="24"/>
        </w:rPr>
        <w:t> </w:t>
      </w:r>
      <w:r>
        <w:rPr>
          <w:rFonts w:ascii="宋体" w:hAnsi="宋体" w:cs="宋体" w:eastAsia="宋体" w:hint="default"/>
          <w:spacing w:val="-8"/>
          <w:sz w:val="24"/>
          <w:szCs w:val="24"/>
        </w:rPr>
        <w:t>人，实际授出股权激励股份</w:t>
      </w:r>
      <w:r>
        <w:rPr>
          <w:rFonts w:ascii="宋体" w:hAnsi="宋体" w:cs="宋体" w:eastAsia="宋体" w:hint="default"/>
          <w:spacing w:val="-59"/>
          <w:sz w:val="24"/>
          <w:szCs w:val="24"/>
        </w:rPr>
        <w:t> </w:t>
      </w:r>
      <w:r>
        <w:rPr>
          <w:rFonts w:ascii="宋体" w:hAnsi="宋体" w:cs="宋体" w:eastAsia="宋体" w:hint="default"/>
          <w:sz w:val="24"/>
          <w:szCs w:val="24"/>
        </w:rPr>
        <w:t>21,196,982</w:t>
      </w:r>
      <w:r>
        <w:rPr>
          <w:rFonts w:ascii="宋体" w:hAnsi="宋体" w:cs="宋体" w:eastAsia="宋体" w:hint="default"/>
          <w:sz w:val="24"/>
          <w:szCs w:val="24"/>
        </w:rPr>
        <w:t> 股，其中，授出</w:t>
      </w:r>
      <w:r>
        <w:rPr>
          <w:rFonts w:ascii="宋体" w:hAnsi="宋体" w:cs="宋体" w:eastAsia="宋体" w:hint="default"/>
          <w:spacing w:val="-52"/>
          <w:sz w:val="24"/>
          <w:szCs w:val="24"/>
        </w:rPr>
        <w:t> </w:t>
      </w:r>
      <w:r>
        <w:rPr>
          <w:rFonts w:ascii="宋体" w:hAnsi="宋体" w:cs="宋体" w:eastAsia="宋体" w:hint="default"/>
          <w:sz w:val="24"/>
          <w:szCs w:val="24"/>
        </w:rPr>
        <w:t>2009</w:t>
      </w:r>
      <w:r>
        <w:rPr>
          <w:rFonts w:ascii="宋体" w:hAnsi="宋体" w:cs="宋体" w:eastAsia="宋体" w:hint="default"/>
          <w:spacing w:val="-51"/>
          <w:sz w:val="24"/>
          <w:szCs w:val="24"/>
        </w:rPr>
        <w:t> </w:t>
      </w:r>
      <w:r>
        <w:rPr>
          <w:rFonts w:ascii="宋体" w:hAnsi="宋体" w:cs="宋体" w:eastAsia="宋体" w:hint="default"/>
          <w:sz w:val="24"/>
          <w:szCs w:val="24"/>
        </w:rPr>
        <w:t>年度股票</w:t>
      </w:r>
      <w:r>
        <w:rPr>
          <w:rFonts w:ascii="宋体" w:hAnsi="宋体" w:cs="宋体" w:eastAsia="宋体" w:hint="default"/>
          <w:spacing w:val="-52"/>
          <w:sz w:val="24"/>
          <w:szCs w:val="24"/>
        </w:rPr>
        <w:t> </w:t>
      </w:r>
      <w:r>
        <w:rPr>
          <w:rFonts w:ascii="宋体" w:hAnsi="宋体" w:cs="宋体" w:eastAsia="宋体" w:hint="default"/>
          <w:sz w:val="24"/>
          <w:szCs w:val="24"/>
        </w:rPr>
        <w:t>5,840,640</w:t>
      </w:r>
      <w:r>
        <w:rPr>
          <w:rFonts w:ascii="宋体" w:hAnsi="宋体" w:cs="宋体" w:eastAsia="宋体" w:hint="default"/>
          <w:spacing w:val="-52"/>
          <w:sz w:val="24"/>
          <w:szCs w:val="24"/>
        </w:rPr>
        <w:t> </w:t>
      </w:r>
      <w:r>
        <w:rPr>
          <w:rFonts w:ascii="宋体" w:hAnsi="宋体" w:cs="宋体" w:eastAsia="宋体" w:hint="default"/>
          <w:sz w:val="24"/>
          <w:szCs w:val="24"/>
        </w:rPr>
        <w:t>股，授出预留股份</w:t>
      </w:r>
      <w:r>
        <w:rPr>
          <w:rFonts w:ascii="宋体" w:hAnsi="宋体" w:cs="宋体" w:eastAsia="宋体" w:hint="default"/>
          <w:spacing w:val="-52"/>
          <w:sz w:val="24"/>
          <w:szCs w:val="24"/>
        </w:rPr>
        <w:t> </w:t>
      </w:r>
      <w:r>
        <w:rPr>
          <w:rFonts w:ascii="宋体" w:hAnsi="宋体" w:cs="宋体" w:eastAsia="宋体" w:hint="default"/>
          <w:sz w:val="24"/>
          <w:szCs w:val="24"/>
        </w:rPr>
        <w:t>15,356,342</w:t>
      </w:r>
      <w:r>
        <w:rPr>
          <w:rFonts w:ascii="宋体" w:hAnsi="宋体" w:cs="宋体" w:eastAsia="宋体" w:hint="default"/>
          <w:spacing w:val="-52"/>
          <w:sz w:val="24"/>
          <w:szCs w:val="24"/>
        </w:rPr>
        <w:t> </w:t>
      </w:r>
      <w:r>
        <w:rPr>
          <w:rFonts w:ascii="宋体" w:hAnsi="宋体" w:cs="宋体" w:eastAsia="宋体" w:hint="default"/>
          <w:sz w:val="24"/>
          <w:szCs w:val="24"/>
        </w:rPr>
        <w:t>股。截至</w:t>
      </w:r>
      <w:r>
        <w:rPr>
          <w:rFonts w:ascii="宋体" w:hAnsi="宋体" w:cs="宋体" w:eastAsia="宋体" w:hint="default"/>
          <w:spacing w:val="-52"/>
          <w:sz w:val="24"/>
          <w:szCs w:val="24"/>
        </w:rPr>
        <w:t> </w:t>
      </w:r>
      <w:r>
        <w:rPr>
          <w:rFonts w:ascii="宋体" w:hAnsi="宋体" w:cs="宋体" w:eastAsia="宋体" w:hint="default"/>
          <w:sz w:val="24"/>
          <w:szCs w:val="24"/>
        </w:rPr>
        <w:t>2009</w:t>
      </w:r>
    </w:p>
    <w:p>
      <w:pPr>
        <w:spacing w:before="17"/>
        <w:ind w:left="140" w:right="140" w:firstLine="0"/>
        <w:jc w:val="left"/>
        <w:rPr>
          <w:rFonts w:ascii="宋体" w:hAnsi="宋体" w:cs="宋体" w:eastAsia="宋体" w:hint="default"/>
          <w:sz w:val="24"/>
          <w:szCs w:val="24"/>
        </w:rPr>
      </w:pP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17</w:t>
      </w:r>
      <w:r>
        <w:rPr>
          <w:rFonts w:ascii="宋体" w:hAnsi="宋体" w:cs="宋体" w:eastAsia="宋体" w:hint="default"/>
          <w:spacing w:val="-60"/>
          <w:sz w:val="24"/>
          <w:szCs w:val="24"/>
        </w:rPr>
        <w:t> </w:t>
      </w:r>
      <w:r>
        <w:rPr>
          <w:rFonts w:ascii="宋体" w:hAnsi="宋体" w:cs="宋体" w:eastAsia="宋体" w:hint="default"/>
          <w:sz w:val="24"/>
          <w:szCs w:val="24"/>
        </w:rPr>
        <w:t>日，公司已完成相关股份的登记事宜。</w:t>
      </w:r>
    </w:p>
    <w:p>
      <w:pPr>
        <w:spacing w:line="590" w:lineRule="atLeast" w:before="39"/>
        <w:ind w:left="623" w:right="0" w:hanging="83"/>
        <w:jc w:val="left"/>
        <w:rPr>
          <w:rFonts w:ascii="宋体" w:hAnsi="宋体" w:cs="宋体" w:eastAsia="宋体" w:hint="default"/>
          <w:sz w:val="24"/>
          <w:szCs w:val="24"/>
        </w:rPr>
      </w:pPr>
      <w:r>
        <w:rPr>
          <w:rFonts w:ascii="宋体" w:hAnsi="宋体" w:cs="宋体" w:eastAsia="宋体" w:hint="default"/>
          <w:b/>
          <w:bCs/>
          <w:sz w:val="24"/>
          <w:szCs w:val="24"/>
        </w:rPr>
        <w:t>(六) 内部控制的自我评价报告和履行社会责任报告情况</w:t>
      </w:r>
      <w:r>
        <w:rPr>
          <w:rFonts w:ascii="宋体" w:hAnsi="宋体" w:cs="宋体" w:eastAsia="宋体" w:hint="default"/>
          <w:b/>
          <w:bCs/>
          <w:w w:val="99"/>
          <w:sz w:val="24"/>
          <w:szCs w:val="24"/>
        </w:rPr>
        <w:t> </w:t>
      </w:r>
      <w:r>
        <w:rPr>
          <w:rFonts w:ascii="宋体" w:hAnsi="宋体" w:cs="宋体" w:eastAsia="宋体" w:hint="default"/>
          <w:spacing w:val="-10"/>
          <w:sz w:val="24"/>
          <w:szCs w:val="24"/>
        </w:rPr>
        <w:t>公司披露了《用友软件股份有限公司董事会关于公司内部控制的自我评估报告》和《用</w:t>
      </w:r>
    </w:p>
    <w:p>
      <w:pPr>
        <w:pStyle w:val="Heading7"/>
        <w:spacing w:line="240" w:lineRule="auto" w:before="76"/>
        <w:ind w:right="140"/>
        <w:jc w:val="left"/>
      </w:pPr>
      <w:r>
        <w:rPr/>
        <w:t>友软件股份有限公司</w:t>
      </w:r>
      <w:r>
        <w:rPr>
          <w:spacing w:val="-60"/>
        </w:rPr>
        <w:t> </w:t>
      </w:r>
      <w:r>
        <w:rPr/>
        <w:t>2009</w:t>
      </w:r>
      <w:r>
        <w:rPr>
          <w:spacing w:val="-60"/>
        </w:rPr>
        <w:t> </w:t>
      </w:r>
      <w:r>
        <w:rPr/>
        <w:t>年度社会责任报告》，报告全文详见年报附件。</w:t>
      </w:r>
    </w:p>
    <w:p>
      <w:pPr>
        <w:spacing w:line="240" w:lineRule="auto" w:before="1"/>
        <w:rPr>
          <w:rFonts w:ascii="宋体" w:hAnsi="宋体" w:cs="宋体" w:eastAsia="宋体" w:hint="default"/>
          <w:sz w:val="27"/>
          <w:szCs w:val="27"/>
        </w:rPr>
      </w:pPr>
    </w:p>
    <w:p>
      <w:pPr>
        <w:spacing w:before="0"/>
        <w:ind w:left="540" w:right="140" w:firstLine="0"/>
        <w:jc w:val="left"/>
        <w:rPr>
          <w:rFonts w:ascii="宋体" w:hAnsi="宋体" w:cs="宋体" w:eastAsia="宋体" w:hint="default"/>
          <w:sz w:val="24"/>
          <w:szCs w:val="24"/>
        </w:rPr>
      </w:pPr>
      <w:bookmarkStart w:name="_TOC_250017" w:id="13"/>
      <w:r>
        <w:rPr>
          <w:rFonts w:ascii="宋体" w:hAnsi="宋体" w:cs="宋体" w:eastAsia="宋体" w:hint="default"/>
          <w:b/>
          <w:bCs/>
          <w:sz w:val="24"/>
          <w:szCs w:val="24"/>
        </w:rPr>
        <w:t>(七)</w:t>
      </w:r>
      <w:r>
        <w:rPr>
          <w:rFonts w:ascii="宋体" w:hAnsi="宋体" w:cs="宋体" w:eastAsia="宋体" w:hint="default"/>
          <w:b/>
          <w:bCs/>
          <w:spacing w:val="-1"/>
          <w:sz w:val="24"/>
          <w:szCs w:val="24"/>
        </w:rPr>
        <w:t> </w:t>
      </w:r>
      <w:r>
        <w:rPr>
          <w:rFonts w:ascii="宋体" w:hAnsi="宋体" w:cs="宋体" w:eastAsia="宋体" w:hint="default"/>
          <w:b/>
          <w:bCs/>
          <w:sz w:val="24"/>
          <w:szCs w:val="24"/>
        </w:rPr>
        <w:t>公司建立年报信息披露重大差错责任追究制度的情况</w:t>
      </w:r>
      <w:bookmarkEnd w:id="13"/>
      <w:r>
        <w:rPr>
          <w:rFonts w:ascii="宋体" w:hAnsi="宋体" w:cs="宋体" w:eastAsia="宋体" w:hint="default"/>
          <w:sz w:val="24"/>
          <w:szCs w:val="24"/>
        </w:rPr>
      </w:r>
    </w:p>
    <w:p>
      <w:pPr>
        <w:spacing w:line="297" w:lineRule="auto" w:before="118"/>
        <w:ind w:left="140" w:right="139" w:firstLine="482"/>
        <w:jc w:val="both"/>
        <w:rPr>
          <w:rFonts w:ascii="宋体" w:hAnsi="宋体" w:cs="宋体" w:eastAsia="宋体" w:hint="default"/>
          <w:sz w:val="24"/>
          <w:szCs w:val="24"/>
        </w:rPr>
      </w:pPr>
      <w:r>
        <w:rPr>
          <w:rFonts w:ascii="宋体" w:hAnsi="宋体" w:cs="宋体" w:eastAsia="宋体" w:hint="default"/>
          <w:spacing w:val="30"/>
          <w:sz w:val="24"/>
          <w:szCs w:val="24"/>
        </w:rPr>
        <w:t>2010年2月9</w:t>
      </w:r>
      <w:r>
        <w:rPr>
          <w:rFonts w:ascii="宋体" w:hAnsi="宋体" w:cs="宋体" w:eastAsia="宋体" w:hint="default"/>
          <w:spacing w:val="-70"/>
          <w:sz w:val="24"/>
          <w:szCs w:val="24"/>
        </w:rPr>
        <w:t> </w:t>
      </w:r>
      <w:r>
        <w:rPr>
          <w:rFonts w:ascii="宋体" w:hAnsi="宋体" w:cs="宋体" w:eastAsia="宋体" w:hint="default"/>
          <w:spacing w:val="-3"/>
          <w:sz w:val="24"/>
          <w:szCs w:val="24"/>
        </w:rPr>
        <w:t>日，公司第四届董事会</w:t>
      </w:r>
      <w:r>
        <w:rPr>
          <w:rFonts w:ascii="宋体" w:hAnsi="宋体" w:cs="宋体" w:eastAsia="宋体" w:hint="default"/>
          <w:spacing w:val="-70"/>
          <w:sz w:val="24"/>
          <w:szCs w:val="24"/>
        </w:rPr>
        <w:t> </w:t>
      </w:r>
      <w:r>
        <w:rPr>
          <w:rFonts w:ascii="宋体" w:hAnsi="宋体" w:cs="宋体" w:eastAsia="宋体" w:hint="default"/>
          <w:sz w:val="24"/>
          <w:szCs w:val="24"/>
        </w:rPr>
        <w:t>2010</w:t>
      </w:r>
      <w:r>
        <w:rPr>
          <w:rFonts w:ascii="宋体" w:hAnsi="宋体" w:cs="宋体" w:eastAsia="宋体" w:hint="default"/>
          <w:spacing w:val="-70"/>
          <w:sz w:val="24"/>
          <w:szCs w:val="24"/>
        </w:rPr>
        <w:t> </w:t>
      </w:r>
      <w:r>
        <w:rPr>
          <w:rFonts w:ascii="宋体" w:hAnsi="宋体" w:cs="宋体" w:eastAsia="宋体" w:hint="default"/>
          <w:sz w:val="24"/>
          <w:szCs w:val="24"/>
        </w:rPr>
        <w:t>年第二次会议审议通过了《用友软件股份</w:t>
      </w:r>
      <w:r>
        <w:rPr>
          <w:rFonts w:ascii="宋体" w:hAnsi="宋体" w:cs="宋体" w:eastAsia="宋体" w:hint="default"/>
          <w:sz w:val="24"/>
          <w:szCs w:val="24"/>
        </w:rPr>
        <w:t> 有限公司年报信息披露重大差错责任追究制度》。</w:t>
      </w:r>
    </w:p>
    <w:p>
      <w:pPr>
        <w:spacing w:after="0" w:line="297" w:lineRule="auto"/>
        <w:jc w:val="both"/>
        <w:rPr>
          <w:rFonts w:ascii="宋体" w:hAnsi="宋体" w:cs="宋体" w:eastAsia="宋体" w:hint="default"/>
          <w:sz w:val="24"/>
          <w:szCs w:val="24"/>
        </w:rPr>
        <w:sectPr>
          <w:pgSz w:w="11910" w:h="16840"/>
          <w:pgMar w:header="720" w:footer="727" w:top="1080" w:bottom="920" w:left="122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pStyle w:val="Heading3"/>
        <w:spacing w:line="240" w:lineRule="auto"/>
        <w:ind w:left="1" w:right="1"/>
        <w:jc w:val="center"/>
        <w:rPr>
          <w:b w:val="0"/>
          <w:bCs w:val="0"/>
        </w:rPr>
      </w:pPr>
      <w:bookmarkStart w:name="_TOC_250016" w:id="14"/>
      <w:r>
        <w:rPr/>
        <w:t>六、股东大会情况简介</w:t>
      </w:r>
      <w:bookmarkEnd w:id="14"/>
      <w:r>
        <w:rPr>
          <w:b w:val="0"/>
          <w:bCs w:val="0"/>
        </w:rPr>
      </w:r>
    </w:p>
    <w:p>
      <w:pPr>
        <w:spacing w:line="240" w:lineRule="auto" w:before="13"/>
        <w:rPr>
          <w:rFonts w:ascii="黑体" w:hAnsi="黑体" w:cs="黑体" w:eastAsia="黑体" w:hint="default"/>
          <w:b/>
          <w:bCs/>
          <w:sz w:val="27"/>
          <w:szCs w:val="27"/>
        </w:rPr>
      </w:pPr>
    </w:p>
    <w:p>
      <w:pPr>
        <w:spacing w:before="0"/>
        <w:ind w:left="540" w:right="140" w:firstLine="0"/>
        <w:jc w:val="left"/>
        <w:rPr>
          <w:rFonts w:ascii="宋体" w:hAnsi="宋体" w:cs="宋体" w:eastAsia="宋体" w:hint="default"/>
          <w:sz w:val="24"/>
          <w:szCs w:val="24"/>
        </w:rPr>
      </w:pPr>
      <w:bookmarkStart w:name="_TOC_250015" w:id="15"/>
      <w:r>
        <w:rPr>
          <w:rFonts w:ascii="宋体" w:hAnsi="宋体" w:cs="宋体" w:eastAsia="宋体" w:hint="default"/>
          <w:b/>
          <w:bCs/>
          <w:sz w:val="24"/>
          <w:szCs w:val="24"/>
        </w:rPr>
        <w:t>(一) 年度股东大会情况</w:t>
      </w:r>
      <w:bookmarkEnd w:id="15"/>
      <w:r>
        <w:rPr>
          <w:rFonts w:ascii="宋体" w:hAnsi="宋体" w:cs="宋体" w:eastAsia="宋体" w:hint="default"/>
          <w:sz w:val="24"/>
          <w:szCs w:val="24"/>
        </w:rPr>
      </w:r>
    </w:p>
    <w:p>
      <w:pPr>
        <w:spacing w:line="297" w:lineRule="auto" w:before="118"/>
        <w:ind w:left="140" w:right="136" w:firstLine="482"/>
        <w:jc w:val="left"/>
        <w:rPr>
          <w:rFonts w:ascii="宋体" w:hAnsi="宋体" w:cs="宋体" w:eastAsia="宋体" w:hint="default"/>
          <w:sz w:val="24"/>
          <w:szCs w:val="24"/>
        </w:rPr>
      </w:pPr>
      <w:r>
        <w:rPr>
          <w:rFonts w:ascii="宋体" w:hAnsi="宋体" w:cs="宋体" w:eastAsia="宋体" w:hint="default"/>
          <w:sz w:val="24"/>
          <w:szCs w:val="24"/>
        </w:rPr>
        <w:t>公司于</w:t>
      </w:r>
      <w:r>
        <w:rPr>
          <w:rFonts w:ascii="宋体" w:hAnsi="宋体" w:cs="宋体" w:eastAsia="宋体" w:hint="default"/>
          <w:spacing w:val="-56"/>
          <w:sz w:val="24"/>
          <w:szCs w:val="24"/>
        </w:rPr>
        <w:t> </w:t>
      </w:r>
      <w:r>
        <w:rPr>
          <w:rFonts w:ascii="宋体" w:hAnsi="宋体" w:cs="宋体" w:eastAsia="宋体" w:hint="default"/>
          <w:spacing w:val="27"/>
          <w:sz w:val="24"/>
          <w:szCs w:val="24"/>
        </w:rPr>
        <w:t>2009年4月</w:t>
      </w:r>
      <w:r>
        <w:rPr>
          <w:rFonts w:ascii="宋体" w:hAnsi="宋体" w:cs="宋体" w:eastAsia="宋体" w:hint="default"/>
          <w:spacing w:val="-56"/>
          <w:sz w:val="24"/>
          <w:szCs w:val="24"/>
        </w:rPr>
        <w:t> </w:t>
      </w:r>
      <w:r>
        <w:rPr>
          <w:rFonts w:ascii="宋体" w:hAnsi="宋体" w:cs="宋体" w:eastAsia="宋体" w:hint="default"/>
          <w:sz w:val="24"/>
          <w:szCs w:val="24"/>
        </w:rPr>
        <w:t>15</w:t>
      </w:r>
      <w:r>
        <w:rPr>
          <w:rFonts w:ascii="宋体" w:hAnsi="宋体" w:cs="宋体" w:eastAsia="宋体" w:hint="default"/>
          <w:spacing w:val="-56"/>
          <w:sz w:val="24"/>
          <w:szCs w:val="24"/>
        </w:rPr>
        <w:t> </w:t>
      </w:r>
      <w:r>
        <w:rPr>
          <w:rFonts w:ascii="宋体" w:hAnsi="宋体" w:cs="宋体" w:eastAsia="宋体" w:hint="default"/>
          <w:sz w:val="24"/>
          <w:szCs w:val="24"/>
        </w:rPr>
        <w:t>日召开</w:t>
      </w:r>
      <w:r>
        <w:rPr>
          <w:rFonts w:ascii="宋体" w:hAnsi="宋体" w:cs="宋体" w:eastAsia="宋体" w:hint="default"/>
          <w:spacing w:val="-56"/>
          <w:sz w:val="24"/>
          <w:szCs w:val="24"/>
        </w:rPr>
        <w:t> </w:t>
      </w:r>
      <w:r>
        <w:rPr>
          <w:rFonts w:ascii="宋体" w:hAnsi="宋体" w:cs="宋体" w:eastAsia="宋体" w:hint="default"/>
          <w:sz w:val="24"/>
          <w:szCs w:val="24"/>
        </w:rPr>
        <w:t>2008</w:t>
      </w:r>
      <w:r>
        <w:rPr>
          <w:rFonts w:ascii="宋体" w:hAnsi="宋体" w:cs="宋体" w:eastAsia="宋体" w:hint="default"/>
          <w:spacing w:val="-56"/>
          <w:sz w:val="24"/>
          <w:szCs w:val="24"/>
        </w:rPr>
        <w:t> </w:t>
      </w:r>
      <w:r>
        <w:rPr>
          <w:rFonts w:ascii="宋体" w:hAnsi="宋体" w:cs="宋体" w:eastAsia="宋体" w:hint="default"/>
          <w:sz w:val="24"/>
          <w:szCs w:val="24"/>
        </w:rPr>
        <w:t>年度股东大会，决议公告刊登在</w:t>
      </w:r>
      <w:r>
        <w:rPr>
          <w:rFonts w:ascii="宋体" w:hAnsi="宋体" w:cs="宋体" w:eastAsia="宋体" w:hint="default"/>
          <w:spacing w:val="-56"/>
          <w:sz w:val="24"/>
          <w:szCs w:val="24"/>
        </w:rPr>
        <w:t> </w:t>
      </w:r>
      <w:r>
        <w:rPr>
          <w:rFonts w:ascii="宋体" w:hAnsi="宋体" w:cs="宋体" w:eastAsia="宋体" w:hint="default"/>
          <w:spacing w:val="27"/>
          <w:sz w:val="24"/>
          <w:szCs w:val="24"/>
        </w:rPr>
        <w:t>2009年4月</w:t>
      </w:r>
      <w:r>
        <w:rPr>
          <w:rFonts w:ascii="宋体" w:hAnsi="宋体" w:cs="宋体" w:eastAsia="宋体" w:hint="default"/>
          <w:spacing w:val="-56"/>
          <w:sz w:val="24"/>
          <w:szCs w:val="24"/>
        </w:rPr>
        <w:t> </w:t>
      </w:r>
      <w:r>
        <w:rPr>
          <w:rFonts w:ascii="宋体" w:hAnsi="宋体" w:cs="宋体" w:eastAsia="宋体" w:hint="default"/>
          <w:sz w:val="24"/>
          <w:szCs w:val="24"/>
        </w:rPr>
        <w:t>16</w:t>
      </w:r>
      <w:r>
        <w:rPr>
          <w:rFonts w:ascii="宋体" w:hAnsi="宋体" w:cs="宋体" w:eastAsia="宋体" w:hint="default"/>
          <w:sz w:val="24"/>
          <w:szCs w:val="24"/>
        </w:rPr>
        <w:t> 日《上海证券报》、《中国证券报》和《证券时报》上。</w:t>
      </w:r>
    </w:p>
    <w:p>
      <w:pPr>
        <w:spacing w:line="240" w:lineRule="auto" w:before="9"/>
        <w:rPr>
          <w:rFonts w:ascii="宋体" w:hAnsi="宋体" w:cs="宋体" w:eastAsia="宋体" w:hint="default"/>
          <w:sz w:val="19"/>
          <w:szCs w:val="19"/>
        </w:rPr>
      </w:pPr>
    </w:p>
    <w:p>
      <w:pPr>
        <w:spacing w:before="0"/>
        <w:ind w:left="540" w:right="140" w:firstLine="0"/>
        <w:jc w:val="left"/>
        <w:rPr>
          <w:rFonts w:ascii="宋体" w:hAnsi="宋体" w:cs="宋体" w:eastAsia="宋体" w:hint="default"/>
          <w:sz w:val="24"/>
          <w:szCs w:val="24"/>
        </w:rPr>
      </w:pPr>
      <w:bookmarkStart w:name="_TOC_250014" w:id="16"/>
      <w:r>
        <w:rPr>
          <w:rFonts w:ascii="宋体" w:hAnsi="宋体" w:cs="宋体" w:eastAsia="宋体" w:hint="default"/>
          <w:b/>
          <w:bCs/>
          <w:sz w:val="24"/>
          <w:szCs w:val="24"/>
        </w:rPr>
        <w:t>(二) 临时股东大会情况</w:t>
      </w:r>
      <w:bookmarkEnd w:id="16"/>
      <w:r>
        <w:rPr>
          <w:rFonts w:ascii="宋体" w:hAnsi="宋体" w:cs="宋体" w:eastAsia="宋体" w:hint="default"/>
          <w:sz w:val="24"/>
          <w:szCs w:val="24"/>
        </w:rPr>
      </w:r>
    </w:p>
    <w:p>
      <w:pPr>
        <w:spacing w:before="116"/>
        <w:ind w:left="623" w:right="0" w:firstLine="0"/>
        <w:jc w:val="left"/>
        <w:rPr>
          <w:rFonts w:ascii="宋体" w:hAnsi="宋体" w:cs="宋体" w:eastAsia="宋体" w:hint="default"/>
          <w:sz w:val="24"/>
          <w:szCs w:val="24"/>
        </w:rPr>
      </w:pPr>
      <w:r>
        <w:rPr>
          <w:rFonts w:ascii="宋体" w:hAnsi="宋体" w:cs="宋体" w:eastAsia="宋体" w:hint="default"/>
          <w:sz w:val="24"/>
          <w:szCs w:val="24"/>
        </w:rPr>
        <w:t>公司于</w:t>
      </w:r>
      <w:r>
        <w:rPr>
          <w:rFonts w:ascii="宋体" w:hAnsi="宋体" w:cs="宋体" w:eastAsia="宋体" w:hint="default"/>
          <w:spacing w:val="-57"/>
          <w:sz w:val="24"/>
          <w:szCs w:val="24"/>
        </w:rPr>
        <w:t> </w:t>
      </w:r>
      <w:r>
        <w:rPr>
          <w:rFonts w:ascii="宋体" w:hAnsi="宋体" w:cs="宋体" w:eastAsia="宋体" w:hint="default"/>
          <w:sz w:val="24"/>
          <w:szCs w:val="24"/>
        </w:rPr>
        <w:t>2009</w:t>
      </w:r>
      <w:r>
        <w:rPr>
          <w:rFonts w:ascii="宋体" w:hAnsi="宋体" w:cs="宋体" w:eastAsia="宋体" w:hint="default"/>
          <w:spacing w:val="-57"/>
          <w:sz w:val="24"/>
          <w:szCs w:val="24"/>
        </w:rPr>
        <w:t> </w:t>
      </w:r>
      <w:r>
        <w:rPr>
          <w:rFonts w:ascii="宋体" w:hAnsi="宋体" w:cs="宋体" w:eastAsia="宋体" w:hint="default"/>
          <w:sz w:val="24"/>
          <w:szCs w:val="24"/>
        </w:rPr>
        <w:t>年</w:t>
      </w:r>
      <w:r>
        <w:rPr>
          <w:rFonts w:ascii="宋体" w:hAnsi="宋体" w:cs="宋体" w:eastAsia="宋体" w:hint="default"/>
          <w:spacing w:val="-57"/>
          <w:sz w:val="24"/>
          <w:szCs w:val="24"/>
        </w:rPr>
        <w:t> </w:t>
      </w:r>
      <w:r>
        <w:rPr>
          <w:rFonts w:ascii="宋体" w:hAnsi="宋体" w:cs="宋体" w:eastAsia="宋体" w:hint="default"/>
          <w:sz w:val="24"/>
          <w:szCs w:val="24"/>
        </w:rPr>
        <w:t>10</w:t>
      </w:r>
      <w:r>
        <w:rPr>
          <w:rFonts w:ascii="宋体" w:hAnsi="宋体" w:cs="宋体" w:eastAsia="宋体" w:hint="default"/>
          <w:spacing w:val="-59"/>
          <w:sz w:val="24"/>
          <w:szCs w:val="24"/>
        </w:rPr>
        <w:t> </w:t>
      </w:r>
      <w:r>
        <w:rPr>
          <w:rFonts w:ascii="宋体" w:hAnsi="宋体" w:cs="宋体" w:eastAsia="宋体" w:hint="default"/>
          <w:sz w:val="24"/>
          <w:szCs w:val="24"/>
        </w:rPr>
        <w:t>月</w:t>
      </w:r>
      <w:r>
        <w:rPr>
          <w:rFonts w:ascii="宋体" w:hAnsi="宋体" w:cs="宋体" w:eastAsia="宋体" w:hint="default"/>
          <w:spacing w:val="-57"/>
          <w:sz w:val="24"/>
          <w:szCs w:val="24"/>
        </w:rPr>
        <w:t> </w:t>
      </w:r>
      <w:r>
        <w:rPr>
          <w:rFonts w:ascii="宋体" w:hAnsi="宋体" w:cs="宋体" w:eastAsia="宋体" w:hint="default"/>
          <w:sz w:val="24"/>
          <w:szCs w:val="24"/>
        </w:rPr>
        <w:t>20</w:t>
      </w:r>
      <w:r>
        <w:rPr>
          <w:rFonts w:ascii="宋体" w:hAnsi="宋体" w:cs="宋体" w:eastAsia="宋体" w:hint="default"/>
          <w:spacing w:val="-57"/>
          <w:sz w:val="24"/>
          <w:szCs w:val="24"/>
        </w:rPr>
        <w:t> </w:t>
      </w:r>
      <w:r>
        <w:rPr>
          <w:rFonts w:ascii="宋体" w:hAnsi="宋体" w:cs="宋体" w:eastAsia="宋体" w:hint="default"/>
          <w:sz w:val="24"/>
          <w:szCs w:val="24"/>
        </w:rPr>
        <w:t>日召开</w:t>
      </w:r>
      <w:r>
        <w:rPr>
          <w:rFonts w:ascii="宋体" w:hAnsi="宋体" w:cs="宋体" w:eastAsia="宋体" w:hint="default"/>
          <w:spacing w:val="-57"/>
          <w:sz w:val="24"/>
          <w:szCs w:val="24"/>
        </w:rPr>
        <w:t> </w:t>
      </w:r>
      <w:r>
        <w:rPr>
          <w:rFonts w:ascii="宋体" w:hAnsi="宋体" w:cs="宋体" w:eastAsia="宋体" w:hint="default"/>
          <w:sz w:val="24"/>
          <w:szCs w:val="24"/>
        </w:rPr>
        <w:t>2009</w:t>
      </w:r>
      <w:r>
        <w:rPr>
          <w:rFonts w:ascii="宋体" w:hAnsi="宋体" w:cs="宋体" w:eastAsia="宋体" w:hint="default"/>
          <w:spacing w:val="-57"/>
          <w:sz w:val="24"/>
          <w:szCs w:val="24"/>
        </w:rPr>
        <w:t> </w:t>
      </w:r>
      <w:r>
        <w:rPr>
          <w:rFonts w:ascii="宋体" w:hAnsi="宋体" w:cs="宋体" w:eastAsia="宋体" w:hint="default"/>
          <w:sz w:val="24"/>
          <w:szCs w:val="24"/>
        </w:rPr>
        <w:t>年第一次临时股东大会，决议公告刊登在</w:t>
      </w:r>
      <w:r>
        <w:rPr>
          <w:rFonts w:ascii="宋体" w:hAnsi="宋体" w:cs="宋体" w:eastAsia="宋体" w:hint="default"/>
          <w:spacing w:val="-57"/>
          <w:sz w:val="24"/>
          <w:szCs w:val="24"/>
        </w:rPr>
        <w:t> </w:t>
      </w:r>
      <w:r>
        <w:rPr>
          <w:rFonts w:ascii="宋体" w:hAnsi="宋体" w:cs="宋体" w:eastAsia="宋体" w:hint="default"/>
          <w:sz w:val="24"/>
          <w:szCs w:val="24"/>
        </w:rPr>
        <w:t>2009</w:t>
      </w:r>
    </w:p>
    <w:p>
      <w:pPr>
        <w:spacing w:before="76"/>
        <w:ind w:left="140" w:right="140" w:firstLine="0"/>
        <w:jc w:val="left"/>
        <w:rPr>
          <w:rFonts w:ascii="宋体" w:hAnsi="宋体" w:cs="宋体" w:eastAsia="宋体" w:hint="default"/>
          <w:sz w:val="24"/>
          <w:szCs w:val="24"/>
        </w:rPr>
      </w:pP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21</w:t>
      </w:r>
      <w:r>
        <w:rPr>
          <w:rFonts w:ascii="宋体" w:hAnsi="宋体" w:cs="宋体" w:eastAsia="宋体" w:hint="default"/>
          <w:spacing w:val="-60"/>
          <w:sz w:val="24"/>
          <w:szCs w:val="24"/>
        </w:rPr>
        <w:t> </w:t>
      </w:r>
      <w:r>
        <w:rPr>
          <w:rFonts w:ascii="宋体" w:hAnsi="宋体" w:cs="宋体" w:eastAsia="宋体" w:hint="default"/>
          <w:sz w:val="24"/>
          <w:szCs w:val="24"/>
        </w:rPr>
        <w:t>日《上海证券报》、《中国证券报》和《证券时报》上。</w:t>
      </w:r>
    </w:p>
    <w:p>
      <w:pPr>
        <w:spacing w:after="0"/>
        <w:jc w:val="left"/>
        <w:rPr>
          <w:rFonts w:ascii="宋体" w:hAnsi="宋体" w:cs="宋体" w:eastAsia="宋体" w:hint="default"/>
          <w:sz w:val="24"/>
          <w:szCs w:val="24"/>
        </w:rPr>
        <w:sectPr>
          <w:pgSz w:w="11910" w:h="16840"/>
          <w:pgMar w:header="720" w:footer="727" w:top="1080" w:bottom="920" w:left="122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pStyle w:val="Heading3"/>
        <w:spacing w:line="240" w:lineRule="auto"/>
        <w:ind w:right="79"/>
        <w:jc w:val="center"/>
        <w:rPr>
          <w:b w:val="0"/>
          <w:bCs w:val="0"/>
        </w:rPr>
      </w:pPr>
      <w:bookmarkStart w:name="_TOC_250013" w:id="17"/>
      <w:r>
        <w:rPr/>
        <w:t>七、董事会报告</w:t>
      </w:r>
      <w:bookmarkEnd w:id="17"/>
      <w:r>
        <w:rPr>
          <w:b w:val="0"/>
          <w:bCs w:val="0"/>
        </w:rPr>
      </w:r>
    </w:p>
    <w:p>
      <w:pPr>
        <w:spacing w:line="240" w:lineRule="auto" w:before="13"/>
        <w:rPr>
          <w:rFonts w:ascii="黑体" w:hAnsi="黑体" w:cs="黑体" w:eastAsia="黑体" w:hint="default"/>
          <w:b/>
          <w:bCs/>
          <w:sz w:val="27"/>
          <w:szCs w:val="27"/>
        </w:rPr>
      </w:pPr>
    </w:p>
    <w:p>
      <w:pPr>
        <w:spacing w:line="331" w:lineRule="auto" w:before="0"/>
        <w:ind w:left="623" w:right="5308" w:hanging="83"/>
        <w:jc w:val="left"/>
        <w:rPr>
          <w:rFonts w:ascii="宋体" w:hAnsi="宋体" w:cs="宋体" w:eastAsia="宋体" w:hint="default"/>
          <w:sz w:val="24"/>
          <w:szCs w:val="24"/>
        </w:rPr>
      </w:pPr>
      <w:r>
        <w:rPr>
          <w:rFonts w:ascii="宋体" w:hAnsi="宋体" w:cs="宋体" w:eastAsia="宋体" w:hint="default"/>
          <w:b/>
          <w:bCs/>
          <w:sz w:val="24"/>
          <w:szCs w:val="24"/>
        </w:rPr>
        <w:t>(一) 报告期内公司经营情况的回顾</w:t>
      </w:r>
      <w:r>
        <w:rPr>
          <w:rFonts w:ascii="宋体" w:hAnsi="宋体" w:cs="宋体" w:eastAsia="宋体" w:hint="default"/>
          <w:b/>
          <w:bCs/>
          <w:spacing w:val="1"/>
          <w:w w:val="99"/>
          <w:sz w:val="24"/>
          <w:szCs w:val="24"/>
        </w:rPr>
        <w:t> </w:t>
      </w:r>
      <w:r>
        <w:rPr>
          <w:rFonts w:ascii="宋体" w:hAnsi="宋体" w:cs="宋体" w:eastAsia="宋体" w:hint="default"/>
          <w:sz w:val="24"/>
          <w:szCs w:val="24"/>
        </w:rPr>
        <w:t>1、报告期内公司总体经营情况</w:t>
      </w:r>
    </w:p>
    <w:p>
      <w:pPr>
        <w:pStyle w:val="Heading7"/>
        <w:spacing w:line="297" w:lineRule="auto" w:before="103"/>
        <w:ind w:right="217" w:firstLine="482"/>
        <w:jc w:val="both"/>
      </w:pPr>
      <w:r>
        <w:rPr>
          <w:spacing w:val="-4"/>
        </w:rPr>
        <w:t>报告期内，公司上半年按照年初制定的年度经营计划，实施“稳健积极增长、提高效</w:t>
      </w:r>
      <w:r>
        <w:rPr/>
        <w:t> </w:t>
      </w:r>
      <w:r>
        <w:rPr>
          <w:spacing w:val="-4"/>
        </w:rPr>
        <w:t>率效益”的经营策略，快速部署和推进了各项工作。公司下半年确定了“趁势而上，加大</w:t>
      </w:r>
      <w:r>
        <w:rPr>
          <w:spacing w:val="-84"/>
        </w:rPr>
        <w:t> </w:t>
      </w:r>
      <w:r>
        <w:rPr>
          <w:spacing w:val="-84"/>
        </w:rPr>
      </w:r>
      <w:r>
        <w:rPr>
          <w:spacing w:val="-4"/>
        </w:rPr>
        <w:t>投入”的经营策略，积极行动，把握机会，趁势而上，加速发展，出色地完成了年度经营</w:t>
      </w:r>
      <w:r>
        <w:rPr>
          <w:spacing w:val="-117"/>
        </w:rPr>
        <w:t> </w:t>
      </w:r>
      <w:r>
        <w:rPr>
          <w:spacing w:val="-117"/>
        </w:rPr>
      </w:r>
      <w:r>
        <w:rPr/>
        <w:t>目标。同时，公司的市场竞争优势进一步增强，拉大了与主要竞争对手的差距。</w:t>
      </w:r>
    </w:p>
    <w:p>
      <w:pPr>
        <w:spacing w:before="138"/>
        <w:ind w:left="623" w:right="83" w:firstLine="0"/>
        <w:jc w:val="left"/>
        <w:rPr>
          <w:rFonts w:ascii="宋体" w:hAnsi="宋体" w:cs="宋体" w:eastAsia="宋体" w:hint="default"/>
          <w:sz w:val="24"/>
          <w:szCs w:val="24"/>
        </w:rPr>
      </w:pPr>
      <w:r>
        <w:rPr>
          <w:rFonts w:ascii="宋体" w:hAnsi="宋体" w:cs="宋体" w:eastAsia="宋体" w:hint="default"/>
          <w:spacing w:val="7"/>
          <w:sz w:val="24"/>
          <w:szCs w:val="24"/>
        </w:rPr>
        <w:t>报告期内，公司实现营业收入 </w:t>
      </w:r>
      <w:r>
        <w:rPr>
          <w:rFonts w:ascii="宋体" w:hAnsi="宋体" w:cs="宋体" w:eastAsia="宋体" w:hint="default"/>
          <w:sz w:val="24"/>
          <w:szCs w:val="24"/>
        </w:rPr>
        <w:t>2,347,005,714</w:t>
      </w:r>
      <w:r>
        <w:rPr>
          <w:rFonts w:ascii="宋体" w:hAnsi="宋体" w:cs="宋体" w:eastAsia="宋体" w:hint="default"/>
          <w:spacing w:val="13"/>
          <w:sz w:val="24"/>
          <w:szCs w:val="24"/>
        </w:rPr>
        <w:t> </w:t>
      </w:r>
      <w:r>
        <w:rPr>
          <w:rFonts w:ascii="宋体" w:hAnsi="宋体" w:cs="宋体" w:eastAsia="宋体" w:hint="default"/>
          <w:spacing w:val="8"/>
          <w:sz w:val="24"/>
          <w:szCs w:val="24"/>
        </w:rPr>
        <w:t>元、归属于上市公司股东的净利润</w:t>
      </w:r>
      <w:r>
        <w:rPr>
          <w:rFonts w:ascii="宋体" w:hAnsi="宋体" w:cs="宋体" w:eastAsia="宋体" w:hint="default"/>
          <w:sz w:val="24"/>
          <w:szCs w:val="24"/>
        </w:rPr>
      </w:r>
    </w:p>
    <w:p>
      <w:pPr>
        <w:spacing w:line="297" w:lineRule="auto" w:before="74"/>
        <w:ind w:left="140" w:right="99" w:hanging="120"/>
        <w:jc w:val="center"/>
        <w:rPr>
          <w:rFonts w:ascii="宋体" w:hAnsi="宋体" w:cs="宋体" w:eastAsia="宋体" w:hint="default"/>
          <w:sz w:val="24"/>
          <w:szCs w:val="24"/>
        </w:rPr>
      </w:pPr>
      <w:r>
        <w:rPr>
          <w:rFonts w:ascii="宋体" w:hAnsi="宋体" w:cs="宋体" w:eastAsia="宋体" w:hint="default"/>
          <w:sz w:val="24"/>
          <w:szCs w:val="24"/>
        </w:rPr>
        <w:t>593,699,966</w:t>
      </w:r>
      <w:r>
        <w:rPr>
          <w:rFonts w:ascii="宋体" w:hAnsi="宋体" w:cs="宋体" w:eastAsia="宋体" w:hint="default"/>
          <w:spacing w:val="-65"/>
          <w:sz w:val="24"/>
          <w:szCs w:val="24"/>
        </w:rPr>
        <w:t> </w:t>
      </w:r>
      <w:r>
        <w:rPr>
          <w:rFonts w:ascii="宋体" w:hAnsi="宋体" w:cs="宋体" w:eastAsia="宋体" w:hint="default"/>
          <w:sz w:val="24"/>
          <w:szCs w:val="24"/>
        </w:rPr>
        <w:t>元人民币、扣除非经常性损益后的净利润</w:t>
      </w:r>
      <w:r>
        <w:rPr>
          <w:rFonts w:ascii="宋体" w:hAnsi="宋体" w:cs="宋体" w:eastAsia="宋体" w:hint="default"/>
          <w:spacing w:val="-65"/>
          <w:sz w:val="24"/>
          <w:szCs w:val="24"/>
        </w:rPr>
        <w:t> </w:t>
      </w:r>
      <w:r>
        <w:rPr>
          <w:rFonts w:ascii="宋体" w:hAnsi="宋体" w:cs="宋体" w:eastAsia="宋体" w:hint="default"/>
          <w:sz w:val="24"/>
          <w:szCs w:val="24"/>
        </w:rPr>
        <w:t>285,619,684</w:t>
      </w:r>
      <w:r>
        <w:rPr>
          <w:rFonts w:ascii="宋体" w:hAnsi="宋体" w:cs="宋体" w:eastAsia="宋体" w:hint="default"/>
          <w:spacing w:val="-65"/>
          <w:sz w:val="24"/>
          <w:szCs w:val="24"/>
        </w:rPr>
        <w:t> </w:t>
      </w:r>
      <w:r>
        <w:rPr>
          <w:rFonts w:ascii="宋体" w:hAnsi="宋体" w:cs="宋体" w:eastAsia="宋体" w:hint="default"/>
          <w:spacing w:val="-4"/>
          <w:sz w:val="24"/>
          <w:szCs w:val="24"/>
        </w:rPr>
        <w:t>元、扣除非经常性损</w:t>
      </w:r>
      <w:r>
        <w:rPr>
          <w:rFonts w:ascii="宋体" w:hAnsi="宋体" w:cs="宋体" w:eastAsia="宋体" w:hint="default"/>
          <w:sz w:val="24"/>
          <w:szCs w:val="24"/>
        </w:rPr>
        <w:t> 益和股权激励成本后的净利润</w:t>
      </w:r>
      <w:r>
        <w:rPr>
          <w:rFonts w:ascii="宋体" w:hAnsi="宋体" w:cs="宋体" w:eastAsia="宋体" w:hint="default"/>
          <w:spacing w:val="-80"/>
          <w:sz w:val="24"/>
          <w:szCs w:val="24"/>
        </w:rPr>
        <w:t> </w:t>
      </w:r>
      <w:r>
        <w:rPr>
          <w:rFonts w:ascii="宋体" w:hAnsi="宋体" w:cs="宋体" w:eastAsia="宋体" w:hint="default"/>
          <w:sz w:val="24"/>
          <w:szCs w:val="24"/>
        </w:rPr>
        <w:t>293,869,291</w:t>
      </w:r>
      <w:r>
        <w:rPr>
          <w:rFonts w:ascii="宋体" w:hAnsi="宋体" w:cs="宋体" w:eastAsia="宋体" w:hint="default"/>
          <w:spacing w:val="-80"/>
          <w:sz w:val="24"/>
          <w:szCs w:val="24"/>
        </w:rPr>
        <w:t> </w:t>
      </w:r>
      <w:r>
        <w:rPr>
          <w:rFonts w:ascii="宋体" w:hAnsi="宋体" w:cs="宋体" w:eastAsia="宋体" w:hint="default"/>
          <w:spacing w:val="-15"/>
          <w:sz w:val="24"/>
          <w:szCs w:val="24"/>
        </w:rPr>
        <w:t>元，同比分别增长</w:t>
      </w:r>
      <w:r>
        <w:rPr>
          <w:rFonts w:ascii="宋体" w:hAnsi="宋体" w:cs="宋体" w:eastAsia="宋体" w:hint="default"/>
          <w:spacing w:val="-80"/>
          <w:sz w:val="24"/>
          <w:szCs w:val="24"/>
        </w:rPr>
        <w:t> </w:t>
      </w:r>
      <w:r>
        <w:rPr>
          <w:rFonts w:ascii="宋体" w:hAnsi="宋体" w:cs="宋体" w:eastAsia="宋体" w:hint="default"/>
          <w:spacing w:val="-15"/>
          <w:sz w:val="24"/>
          <w:szCs w:val="24"/>
        </w:rPr>
        <w:t>36.0%、51.7%、28.2%、12.5%。</w:t>
      </w:r>
    </w:p>
    <w:p>
      <w:pPr>
        <w:spacing w:line="388" w:lineRule="auto" w:before="137"/>
        <w:ind w:left="623" w:right="5961" w:firstLine="0"/>
        <w:jc w:val="left"/>
        <w:rPr>
          <w:rFonts w:ascii="宋体" w:hAnsi="宋体" w:cs="宋体" w:eastAsia="宋体" w:hint="default"/>
          <w:sz w:val="24"/>
          <w:szCs w:val="24"/>
        </w:rPr>
      </w:pPr>
      <w:r>
        <w:rPr>
          <w:rFonts w:ascii="宋体" w:hAnsi="宋体" w:cs="宋体" w:eastAsia="宋体" w:hint="default"/>
          <w:sz w:val="24"/>
          <w:szCs w:val="24"/>
        </w:rPr>
        <w:t>（1）公司各项业务发展情况 1） 各产品业务线发展情况</w:t>
      </w:r>
    </w:p>
    <w:p>
      <w:pPr>
        <w:spacing w:line="388" w:lineRule="auto" w:before="46"/>
        <w:ind w:left="623" w:right="7161" w:firstLine="0"/>
        <w:jc w:val="left"/>
        <w:rPr>
          <w:rFonts w:ascii="宋体" w:hAnsi="宋体" w:cs="宋体" w:eastAsia="宋体" w:hint="default"/>
          <w:sz w:val="24"/>
          <w:szCs w:val="24"/>
        </w:rPr>
      </w:pPr>
      <w:r>
        <w:rPr>
          <w:rFonts w:ascii="宋体" w:hAnsi="宋体" w:cs="宋体" w:eastAsia="宋体" w:hint="default"/>
          <w:sz w:val="24"/>
          <w:szCs w:val="24"/>
        </w:rPr>
        <w:t>① 中端</w:t>
      </w:r>
      <w:r>
        <w:rPr>
          <w:rFonts w:ascii="宋体" w:hAnsi="宋体" w:cs="宋体" w:eastAsia="宋体" w:hint="default"/>
          <w:spacing w:val="-60"/>
          <w:sz w:val="24"/>
          <w:szCs w:val="24"/>
        </w:rPr>
        <w:t> </w:t>
      </w:r>
      <w:r>
        <w:rPr>
          <w:rFonts w:ascii="宋体" w:hAnsi="宋体" w:cs="宋体" w:eastAsia="宋体" w:hint="default"/>
          <w:sz w:val="24"/>
          <w:szCs w:val="24"/>
        </w:rPr>
        <w:t>ERP</w:t>
      </w:r>
      <w:r>
        <w:rPr>
          <w:rFonts w:ascii="宋体" w:hAnsi="宋体" w:cs="宋体" w:eastAsia="宋体" w:hint="default"/>
          <w:spacing w:val="-60"/>
          <w:sz w:val="24"/>
          <w:szCs w:val="24"/>
        </w:rPr>
        <w:t> </w:t>
      </w:r>
      <w:r>
        <w:rPr>
          <w:rFonts w:ascii="宋体" w:hAnsi="宋体" w:cs="宋体" w:eastAsia="宋体" w:hint="default"/>
          <w:sz w:val="24"/>
          <w:szCs w:val="24"/>
        </w:rPr>
        <w:t>业务</w:t>
      </w:r>
      <w:r>
        <w:rPr>
          <w:rFonts w:ascii="宋体" w:hAnsi="宋体" w:cs="宋体" w:eastAsia="宋体" w:hint="default"/>
          <w:sz w:val="24"/>
          <w:szCs w:val="24"/>
        </w:rPr>
        <w:t> 用友</w:t>
      </w:r>
      <w:r>
        <w:rPr>
          <w:rFonts w:ascii="宋体" w:hAnsi="宋体" w:cs="宋体" w:eastAsia="宋体" w:hint="default"/>
          <w:spacing w:val="-60"/>
          <w:sz w:val="24"/>
          <w:szCs w:val="24"/>
        </w:rPr>
        <w:t> </w:t>
      </w:r>
      <w:r>
        <w:rPr>
          <w:rFonts w:ascii="宋体" w:hAnsi="宋体" w:cs="宋体" w:eastAsia="宋体" w:hint="default"/>
          <w:sz w:val="24"/>
          <w:szCs w:val="24"/>
        </w:rPr>
        <w:t>ERP-U8</w:t>
      </w:r>
      <w:r>
        <w:rPr>
          <w:rFonts w:ascii="宋体" w:hAnsi="宋体" w:cs="宋体" w:eastAsia="宋体" w:hint="default"/>
          <w:spacing w:val="-60"/>
          <w:sz w:val="24"/>
          <w:szCs w:val="24"/>
        </w:rPr>
        <w:t> </w:t>
      </w:r>
      <w:r>
        <w:rPr>
          <w:rFonts w:ascii="宋体" w:hAnsi="宋体" w:cs="宋体" w:eastAsia="宋体" w:hint="default"/>
          <w:sz w:val="24"/>
          <w:szCs w:val="24"/>
        </w:rPr>
        <w:t>业务</w:t>
      </w:r>
    </w:p>
    <w:p>
      <w:pPr>
        <w:spacing w:line="297" w:lineRule="auto" w:before="46"/>
        <w:ind w:left="140" w:right="219" w:firstLine="482"/>
        <w:jc w:val="both"/>
        <w:rPr>
          <w:rFonts w:ascii="宋体" w:hAnsi="宋体" w:cs="宋体" w:eastAsia="宋体" w:hint="default"/>
          <w:sz w:val="24"/>
          <w:szCs w:val="24"/>
        </w:rPr>
      </w:pPr>
      <w:r>
        <w:rPr>
          <w:rFonts w:ascii="宋体" w:hAnsi="宋体" w:cs="宋体" w:eastAsia="宋体" w:hint="default"/>
          <w:sz w:val="24"/>
          <w:szCs w:val="24"/>
        </w:rPr>
        <w:t>报告期内，用友</w:t>
      </w:r>
      <w:r>
        <w:rPr>
          <w:rFonts w:ascii="宋体" w:hAnsi="宋体" w:cs="宋体" w:eastAsia="宋体" w:hint="default"/>
          <w:spacing w:val="-60"/>
          <w:sz w:val="24"/>
          <w:szCs w:val="24"/>
        </w:rPr>
        <w:t> </w:t>
      </w:r>
      <w:r>
        <w:rPr>
          <w:rFonts w:ascii="宋体" w:hAnsi="宋体" w:cs="宋体" w:eastAsia="宋体" w:hint="default"/>
          <w:sz w:val="24"/>
          <w:szCs w:val="24"/>
        </w:rPr>
        <w:t>ERP-U8</w:t>
      </w:r>
      <w:r>
        <w:rPr>
          <w:rFonts w:ascii="宋体" w:hAnsi="宋体" w:cs="宋体" w:eastAsia="宋体" w:hint="default"/>
          <w:spacing w:val="-60"/>
          <w:sz w:val="24"/>
          <w:szCs w:val="24"/>
        </w:rPr>
        <w:t> </w:t>
      </w:r>
      <w:r>
        <w:rPr>
          <w:rFonts w:ascii="宋体" w:hAnsi="宋体" w:cs="宋体" w:eastAsia="宋体" w:hint="default"/>
          <w:sz w:val="24"/>
          <w:szCs w:val="24"/>
        </w:rPr>
        <w:t>业务围绕既定的业务策略，加强市场推广和商机挖掘，进一</w:t>
      </w:r>
      <w:r>
        <w:rPr>
          <w:rFonts w:ascii="宋体" w:hAnsi="宋体" w:cs="宋体" w:eastAsia="宋体" w:hint="default"/>
          <w:sz w:val="24"/>
          <w:szCs w:val="24"/>
        </w:rPr>
        <w:t> </w:t>
      </w:r>
      <w:r>
        <w:rPr>
          <w:rFonts w:ascii="宋体" w:hAnsi="宋体" w:cs="宋体" w:eastAsia="宋体" w:hint="default"/>
          <w:spacing w:val="-4"/>
          <w:sz w:val="24"/>
          <w:szCs w:val="24"/>
        </w:rPr>
        <w:t>步提升产品规模化和行业化水平，实现重点行业突破，加强老客户深度经营，加快推进专</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业能力建设，持续升级服务产品体系，强化服务品牌，提高支持服务响应速度，提升客户</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满意度。</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报告期内，公司发版了用友</w:t>
      </w:r>
      <w:r>
        <w:rPr>
          <w:rFonts w:ascii="宋体" w:hAnsi="宋体" w:cs="宋体" w:eastAsia="宋体" w:hint="default"/>
          <w:spacing w:val="-60"/>
          <w:sz w:val="24"/>
          <w:szCs w:val="24"/>
        </w:rPr>
        <w:t> </w:t>
      </w:r>
      <w:r>
        <w:rPr>
          <w:rFonts w:ascii="宋体" w:hAnsi="宋体" w:cs="宋体" w:eastAsia="宋体" w:hint="default"/>
          <w:sz w:val="24"/>
          <w:szCs w:val="24"/>
        </w:rPr>
        <w:t>ERP-U8</w:t>
      </w:r>
      <w:r>
        <w:rPr>
          <w:rFonts w:ascii="宋体" w:hAnsi="宋体" w:cs="宋体" w:eastAsia="宋体" w:hint="default"/>
          <w:spacing w:val="-60"/>
          <w:sz w:val="24"/>
          <w:szCs w:val="24"/>
        </w:rPr>
        <w:t> </w:t>
      </w:r>
      <w:r>
        <w:rPr>
          <w:rFonts w:ascii="宋体" w:hAnsi="宋体" w:cs="宋体" w:eastAsia="宋体" w:hint="default"/>
          <w:sz w:val="24"/>
          <w:szCs w:val="24"/>
        </w:rPr>
        <w:t>V8.90、用友</w:t>
      </w:r>
      <w:r>
        <w:rPr>
          <w:rFonts w:ascii="宋体" w:hAnsi="宋体" w:cs="宋体" w:eastAsia="宋体" w:hint="default"/>
          <w:spacing w:val="-60"/>
          <w:sz w:val="24"/>
          <w:szCs w:val="24"/>
        </w:rPr>
        <w:t> </w:t>
      </w:r>
      <w:r>
        <w:rPr>
          <w:rFonts w:ascii="宋体" w:hAnsi="宋体" w:cs="宋体" w:eastAsia="宋体" w:hint="default"/>
          <w:sz w:val="24"/>
          <w:szCs w:val="24"/>
        </w:rPr>
        <w:t>ERP-U8</w:t>
      </w:r>
      <w:r>
        <w:rPr>
          <w:rFonts w:ascii="宋体" w:hAnsi="宋体" w:cs="宋体" w:eastAsia="宋体" w:hint="default"/>
          <w:spacing w:val="-60"/>
          <w:sz w:val="24"/>
          <w:szCs w:val="24"/>
        </w:rPr>
        <w:t> </w:t>
      </w:r>
      <w:r>
        <w:rPr>
          <w:rFonts w:ascii="宋体" w:hAnsi="宋体" w:cs="宋体" w:eastAsia="宋体" w:hint="default"/>
          <w:sz w:val="24"/>
          <w:szCs w:val="24"/>
        </w:rPr>
        <w:t>V8.90</w:t>
      </w:r>
      <w:r>
        <w:rPr>
          <w:rFonts w:ascii="宋体" w:hAnsi="宋体" w:cs="宋体" w:eastAsia="宋体" w:hint="default"/>
          <w:spacing w:val="-60"/>
          <w:sz w:val="24"/>
          <w:szCs w:val="24"/>
        </w:rPr>
        <w:t> </w:t>
      </w:r>
      <w:r>
        <w:rPr>
          <w:rFonts w:ascii="宋体" w:hAnsi="宋体" w:cs="宋体" w:eastAsia="宋体" w:hint="default"/>
          <w:sz w:val="24"/>
          <w:szCs w:val="24"/>
        </w:rPr>
        <w:t>化工行业版</w:t>
      </w:r>
      <w:r>
        <w:rPr>
          <w:rFonts w:ascii="宋体" w:hAnsi="宋体" w:cs="宋体" w:eastAsia="宋体" w:hint="default"/>
          <w:spacing w:val="-60"/>
          <w:sz w:val="24"/>
          <w:szCs w:val="24"/>
        </w:rPr>
        <w:t> </w:t>
      </w:r>
      <w:r>
        <w:rPr>
          <w:rFonts w:ascii="宋体" w:hAnsi="宋体" w:cs="宋体" w:eastAsia="宋体" w:hint="default"/>
          <w:sz w:val="24"/>
          <w:szCs w:val="24"/>
        </w:rPr>
        <w:t>V2.2、服</w:t>
      </w:r>
      <w:r>
        <w:rPr>
          <w:rFonts w:ascii="宋体" w:hAnsi="宋体" w:cs="宋体" w:eastAsia="宋体" w:hint="default"/>
          <w:sz w:val="24"/>
          <w:szCs w:val="24"/>
        </w:rPr>
        <w:t> 装鞋帽版</w:t>
      </w:r>
      <w:r>
        <w:rPr>
          <w:rFonts w:ascii="宋体" w:hAnsi="宋体" w:cs="宋体" w:eastAsia="宋体" w:hint="default"/>
          <w:spacing w:val="-48"/>
          <w:sz w:val="24"/>
          <w:szCs w:val="24"/>
        </w:rPr>
        <w:t> </w:t>
      </w:r>
      <w:r>
        <w:rPr>
          <w:rFonts w:ascii="宋体" w:hAnsi="宋体" w:cs="宋体" w:eastAsia="宋体" w:hint="default"/>
          <w:sz w:val="24"/>
          <w:szCs w:val="24"/>
        </w:rPr>
        <w:t>V7.0、医药行业版</w:t>
      </w:r>
      <w:r>
        <w:rPr>
          <w:rFonts w:ascii="宋体" w:hAnsi="宋体" w:cs="宋体" w:eastAsia="宋体" w:hint="default"/>
          <w:spacing w:val="-48"/>
          <w:sz w:val="24"/>
          <w:szCs w:val="24"/>
        </w:rPr>
        <w:t> </w:t>
      </w:r>
      <w:r>
        <w:rPr>
          <w:rFonts w:ascii="宋体" w:hAnsi="宋体" w:cs="宋体" w:eastAsia="宋体" w:hint="default"/>
          <w:sz w:val="24"/>
          <w:szCs w:val="24"/>
        </w:rPr>
        <w:t>V5.1</w:t>
      </w:r>
      <w:r>
        <w:rPr>
          <w:rFonts w:ascii="宋体" w:hAnsi="宋体" w:cs="宋体" w:eastAsia="宋体" w:hint="default"/>
          <w:spacing w:val="-48"/>
          <w:sz w:val="24"/>
          <w:szCs w:val="24"/>
        </w:rPr>
        <w:t> </w:t>
      </w:r>
      <w:r>
        <w:rPr>
          <w:rFonts w:ascii="宋体" w:hAnsi="宋体" w:cs="宋体" w:eastAsia="宋体" w:hint="default"/>
          <w:sz w:val="24"/>
          <w:szCs w:val="24"/>
        </w:rPr>
        <w:t>等多个行业版本、用友</w:t>
      </w:r>
      <w:r>
        <w:rPr>
          <w:rFonts w:ascii="宋体" w:hAnsi="宋体" w:cs="宋体" w:eastAsia="宋体" w:hint="default"/>
          <w:spacing w:val="-48"/>
          <w:sz w:val="24"/>
          <w:szCs w:val="24"/>
        </w:rPr>
        <w:t> </w:t>
      </w:r>
      <w:r>
        <w:rPr>
          <w:rFonts w:ascii="宋体" w:hAnsi="宋体" w:cs="宋体" w:eastAsia="宋体" w:hint="default"/>
          <w:sz w:val="24"/>
          <w:szCs w:val="24"/>
        </w:rPr>
        <w:t>ERP-U8 V8.90</w:t>
      </w:r>
      <w:r>
        <w:rPr>
          <w:rFonts w:ascii="宋体" w:hAnsi="宋体" w:cs="宋体" w:eastAsia="宋体" w:hint="default"/>
          <w:spacing w:val="-48"/>
          <w:sz w:val="24"/>
          <w:szCs w:val="24"/>
        </w:rPr>
        <w:t> </w:t>
      </w:r>
      <w:r>
        <w:rPr>
          <w:rFonts w:ascii="宋体" w:hAnsi="宋体" w:cs="宋体" w:eastAsia="宋体" w:hint="default"/>
          <w:sz w:val="24"/>
          <w:szCs w:val="24"/>
        </w:rPr>
        <w:t>网络分销管理系</w:t>
      </w:r>
      <w:r>
        <w:rPr>
          <w:rFonts w:ascii="宋体" w:hAnsi="宋体" w:cs="宋体" w:eastAsia="宋体" w:hint="default"/>
          <w:sz w:val="24"/>
          <w:szCs w:val="24"/>
        </w:rPr>
        <w:t> 统、用友</w:t>
      </w:r>
      <w:r>
        <w:rPr>
          <w:rFonts w:ascii="宋体" w:hAnsi="宋体" w:cs="宋体" w:eastAsia="宋体" w:hint="default"/>
          <w:spacing w:val="-61"/>
          <w:sz w:val="24"/>
          <w:szCs w:val="24"/>
        </w:rPr>
        <w:t> </w:t>
      </w:r>
      <w:r>
        <w:rPr>
          <w:rFonts w:ascii="宋体" w:hAnsi="宋体" w:cs="宋体" w:eastAsia="宋体" w:hint="default"/>
          <w:sz w:val="24"/>
          <w:szCs w:val="24"/>
        </w:rPr>
        <w:t>ERP-U8</w:t>
      </w:r>
      <w:r>
        <w:rPr>
          <w:rFonts w:ascii="宋体" w:hAnsi="宋体" w:cs="宋体" w:eastAsia="宋体" w:hint="default"/>
          <w:spacing w:val="-1"/>
          <w:sz w:val="24"/>
          <w:szCs w:val="24"/>
        </w:rPr>
        <w:t> </w:t>
      </w:r>
      <w:r>
        <w:rPr>
          <w:rFonts w:ascii="宋体" w:hAnsi="宋体" w:cs="宋体" w:eastAsia="宋体" w:hint="default"/>
          <w:sz w:val="24"/>
          <w:szCs w:val="24"/>
        </w:rPr>
        <w:t>V8.90</w:t>
      </w:r>
      <w:r>
        <w:rPr>
          <w:rFonts w:ascii="宋体" w:hAnsi="宋体" w:cs="宋体" w:eastAsia="宋体" w:hint="default"/>
          <w:spacing w:val="-61"/>
          <w:sz w:val="24"/>
          <w:szCs w:val="24"/>
        </w:rPr>
        <w:t> </w:t>
      </w:r>
      <w:r>
        <w:rPr>
          <w:rFonts w:ascii="宋体" w:hAnsi="宋体" w:cs="宋体" w:eastAsia="宋体" w:hint="default"/>
          <w:sz w:val="24"/>
          <w:szCs w:val="24"/>
        </w:rPr>
        <w:t>绩效管理以及用友</w:t>
      </w:r>
      <w:r>
        <w:rPr>
          <w:rFonts w:ascii="宋体" w:hAnsi="宋体" w:cs="宋体" w:eastAsia="宋体" w:hint="default"/>
          <w:spacing w:val="-61"/>
          <w:sz w:val="24"/>
          <w:szCs w:val="24"/>
        </w:rPr>
        <w:t> </w:t>
      </w:r>
      <w:r>
        <w:rPr>
          <w:rFonts w:ascii="宋体" w:hAnsi="宋体" w:cs="宋体" w:eastAsia="宋体" w:hint="default"/>
          <w:sz w:val="24"/>
          <w:szCs w:val="24"/>
        </w:rPr>
        <w:t>ERP-U8</w:t>
      </w:r>
      <w:r>
        <w:rPr>
          <w:rFonts w:ascii="宋体" w:hAnsi="宋体" w:cs="宋体" w:eastAsia="宋体" w:hint="default"/>
          <w:spacing w:val="-61"/>
          <w:sz w:val="24"/>
          <w:szCs w:val="24"/>
        </w:rPr>
        <w:t> </w:t>
      </w:r>
      <w:r>
        <w:rPr>
          <w:rFonts w:ascii="宋体" w:hAnsi="宋体" w:cs="宋体" w:eastAsia="宋体" w:hint="default"/>
          <w:sz w:val="24"/>
          <w:szCs w:val="24"/>
        </w:rPr>
        <w:t>标准支持服务产品</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V1</w:t>
      </w:r>
      <w:r>
        <w:rPr>
          <w:rFonts w:ascii="宋体" w:hAnsi="宋体" w:cs="宋体" w:eastAsia="宋体" w:hint="default"/>
          <w:sz w:val="24"/>
          <w:szCs w:val="24"/>
        </w:rPr>
        <w:t>.</w:t>
      </w:r>
      <w:r>
        <w:rPr>
          <w:rFonts w:ascii="Times New Roman" w:hAnsi="Times New Roman" w:cs="Times New Roman" w:eastAsia="Times New Roman" w:hint="default"/>
          <w:sz w:val="24"/>
          <w:szCs w:val="24"/>
        </w:rPr>
        <w:t>0</w:t>
      </w:r>
      <w:r>
        <w:rPr>
          <w:rFonts w:ascii="Times New Roman" w:hAnsi="Times New Roman" w:cs="Times New Roman" w:eastAsia="Times New Roman" w:hint="default"/>
          <w:spacing w:val="-13"/>
          <w:sz w:val="24"/>
          <w:szCs w:val="24"/>
        </w:rPr>
        <w:t> </w:t>
      </w:r>
      <w:r>
        <w:rPr>
          <w:rFonts w:ascii="宋体" w:hAnsi="宋体" w:cs="宋体" w:eastAsia="宋体" w:hint="default"/>
          <w:sz w:val="24"/>
          <w:szCs w:val="24"/>
        </w:rPr>
        <w:t>等产品。</w:t>
      </w:r>
    </w:p>
    <w:p>
      <w:pPr>
        <w:spacing w:line="297" w:lineRule="auto" w:before="114"/>
        <w:ind w:left="140" w:right="208" w:firstLine="482"/>
        <w:jc w:val="both"/>
        <w:rPr>
          <w:rFonts w:ascii="宋体" w:hAnsi="宋体" w:cs="宋体" w:eastAsia="宋体" w:hint="default"/>
          <w:sz w:val="24"/>
          <w:szCs w:val="24"/>
        </w:rPr>
      </w:pPr>
      <w:r>
        <w:rPr>
          <w:rFonts w:ascii="宋体" w:hAnsi="宋体" w:cs="宋体" w:eastAsia="宋体" w:hint="default"/>
          <w:sz w:val="24"/>
          <w:szCs w:val="24"/>
        </w:rPr>
        <w:t>报告期内，用友 ERP-U8 企业应用套件获国家首批自主创新产品认定，用友 ERP-U8 企业管理软件荣获</w:t>
      </w:r>
      <w:r>
        <w:rPr>
          <w:rFonts w:ascii="宋体" w:hAnsi="宋体" w:cs="宋体" w:eastAsia="宋体" w:hint="default"/>
          <w:spacing w:val="-24"/>
          <w:sz w:val="24"/>
          <w:szCs w:val="24"/>
        </w:rPr>
        <w:t> </w:t>
      </w:r>
      <w:r>
        <w:rPr>
          <w:rFonts w:ascii="宋体" w:hAnsi="宋体" w:cs="宋体" w:eastAsia="宋体" w:hint="default"/>
          <w:sz w:val="24"/>
          <w:szCs w:val="24"/>
        </w:rPr>
        <w:t>2009</w:t>
      </w:r>
      <w:r>
        <w:rPr>
          <w:rFonts w:ascii="宋体" w:hAnsi="宋体" w:cs="宋体" w:eastAsia="宋体" w:hint="default"/>
          <w:spacing w:val="-24"/>
          <w:sz w:val="24"/>
          <w:szCs w:val="24"/>
        </w:rPr>
        <w:t> </w:t>
      </w:r>
      <w:r>
        <w:rPr>
          <w:rFonts w:ascii="宋体" w:hAnsi="宋体" w:cs="宋体" w:eastAsia="宋体" w:hint="default"/>
          <w:sz w:val="24"/>
          <w:szCs w:val="24"/>
        </w:rPr>
        <w:t>年度中国商用软件评选</w:t>
      </w:r>
      <w:r>
        <w:rPr>
          <w:rFonts w:ascii="宋体" w:hAnsi="宋体" w:cs="宋体" w:eastAsia="宋体" w:hint="default"/>
          <w:spacing w:val="-24"/>
          <w:sz w:val="24"/>
          <w:szCs w:val="24"/>
        </w:rPr>
        <w:t> </w:t>
      </w:r>
      <w:r>
        <w:rPr>
          <w:rFonts w:ascii="宋体" w:hAnsi="宋体" w:cs="宋体" w:eastAsia="宋体" w:hint="default"/>
          <w:sz w:val="24"/>
          <w:szCs w:val="24"/>
        </w:rPr>
        <w:t>ERP</w:t>
      </w:r>
      <w:r>
        <w:rPr>
          <w:rFonts w:ascii="宋体" w:hAnsi="宋体" w:cs="宋体" w:eastAsia="宋体" w:hint="default"/>
          <w:spacing w:val="-24"/>
          <w:sz w:val="24"/>
          <w:szCs w:val="24"/>
        </w:rPr>
        <w:t> </w:t>
      </w:r>
      <w:r>
        <w:rPr>
          <w:rFonts w:ascii="宋体" w:hAnsi="宋体" w:cs="宋体" w:eastAsia="宋体" w:hint="default"/>
          <w:sz w:val="24"/>
          <w:szCs w:val="24"/>
        </w:rPr>
        <w:t>优秀解决方案，用友</w:t>
      </w:r>
      <w:r>
        <w:rPr>
          <w:rFonts w:ascii="宋体" w:hAnsi="宋体" w:cs="宋体" w:eastAsia="宋体" w:hint="default"/>
          <w:spacing w:val="-24"/>
          <w:sz w:val="24"/>
          <w:szCs w:val="24"/>
        </w:rPr>
        <w:t> </w:t>
      </w:r>
      <w:r>
        <w:rPr>
          <w:rFonts w:ascii="宋体" w:hAnsi="宋体" w:cs="宋体" w:eastAsia="宋体" w:hint="default"/>
          <w:sz w:val="24"/>
          <w:szCs w:val="24"/>
        </w:rPr>
        <w:t>ERP-U8 V8.90</w:t>
      </w:r>
      <w:r>
        <w:rPr>
          <w:rFonts w:ascii="宋体" w:hAnsi="宋体" w:cs="宋体" w:eastAsia="宋体" w:hint="default"/>
          <w:sz w:val="24"/>
          <w:szCs w:val="24"/>
        </w:rPr>
        <w:t> </w:t>
      </w:r>
      <w:r>
        <w:rPr>
          <w:rFonts w:ascii="宋体" w:hAnsi="宋体" w:cs="宋体" w:eastAsia="宋体" w:hint="default"/>
          <w:spacing w:val="8"/>
          <w:sz w:val="24"/>
          <w:szCs w:val="24"/>
        </w:rPr>
        <w:t>电子行业套件荣获 </w:t>
      </w:r>
      <w:r>
        <w:rPr>
          <w:rFonts w:ascii="宋体" w:hAnsi="宋体" w:cs="宋体" w:eastAsia="宋体" w:hint="default"/>
          <w:sz w:val="24"/>
          <w:szCs w:val="24"/>
        </w:rPr>
        <w:t>2009</w:t>
      </w:r>
      <w:r>
        <w:rPr>
          <w:rFonts w:ascii="宋体" w:hAnsi="宋体" w:cs="宋体" w:eastAsia="宋体" w:hint="default"/>
          <w:spacing w:val="22"/>
          <w:sz w:val="24"/>
          <w:szCs w:val="24"/>
        </w:rPr>
        <w:t> </w:t>
      </w:r>
      <w:r>
        <w:rPr>
          <w:rFonts w:ascii="宋体" w:hAnsi="宋体" w:cs="宋体" w:eastAsia="宋体" w:hint="default"/>
          <w:spacing w:val="10"/>
          <w:sz w:val="24"/>
          <w:szCs w:val="24"/>
        </w:rPr>
        <w:t>年度中国商用软件评选高科技电子行业优秀解决方案，用友</w:t>
      </w:r>
      <w:r>
        <w:rPr>
          <w:rFonts w:ascii="宋体" w:hAnsi="宋体" w:cs="宋体" w:eastAsia="宋体" w:hint="default"/>
          <w:spacing w:val="11"/>
          <w:sz w:val="24"/>
          <w:szCs w:val="24"/>
        </w:rPr>
        <w:t> </w:t>
      </w:r>
      <w:r>
        <w:rPr>
          <w:rFonts w:ascii="宋体" w:hAnsi="宋体" w:cs="宋体" w:eastAsia="宋体" w:hint="default"/>
          <w:sz w:val="24"/>
          <w:szCs w:val="24"/>
        </w:rPr>
        <w:t>ERP-U8</w:t>
      </w:r>
      <w:r>
        <w:rPr>
          <w:rFonts w:ascii="宋体" w:hAnsi="宋体" w:cs="宋体" w:eastAsia="宋体" w:hint="default"/>
          <w:spacing w:val="-80"/>
          <w:sz w:val="24"/>
          <w:szCs w:val="24"/>
        </w:rPr>
        <w:t> </w:t>
      </w:r>
      <w:r>
        <w:rPr>
          <w:rFonts w:ascii="宋体" w:hAnsi="宋体" w:cs="宋体" w:eastAsia="宋体" w:hint="default"/>
          <w:sz w:val="24"/>
          <w:szCs w:val="24"/>
        </w:rPr>
        <w:t>物流服务行业产品及解决方案荣获</w:t>
      </w:r>
      <w:r>
        <w:rPr>
          <w:rFonts w:ascii="宋体" w:hAnsi="宋体" w:cs="宋体" w:eastAsia="宋体" w:hint="default"/>
          <w:spacing w:val="-80"/>
          <w:sz w:val="24"/>
          <w:szCs w:val="24"/>
        </w:rPr>
        <w:t> </w:t>
      </w:r>
      <w:r>
        <w:rPr>
          <w:rFonts w:ascii="宋体" w:hAnsi="宋体" w:cs="宋体" w:eastAsia="宋体" w:hint="default"/>
          <w:sz w:val="24"/>
          <w:szCs w:val="24"/>
        </w:rPr>
        <w:t>2009</w:t>
      </w:r>
      <w:r>
        <w:rPr>
          <w:rFonts w:ascii="宋体" w:hAnsi="宋体" w:cs="宋体" w:eastAsia="宋体" w:hint="default"/>
          <w:spacing w:val="-80"/>
          <w:sz w:val="24"/>
          <w:szCs w:val="24"/>
        </w:rPr>
        <w:t> </w:t>
      </w:r>
      <w:r>
        <w:rPr>
          <w:rFonts w:ascii="宋体" w:hAnsi="宋体" w:cs="宋体" w:eastAsia="宋体" w:hint="default"/>
          <w:sz w:val="24"/>
          <w:szCs w:val="24"/>
        </w:rPr>
        <w:t>最受中国物流百强企业欢迎的物流技术装</w:t>
      </w:r>
      <w:r>
        <w:rPr>
          <w:rFonts w:ascii="宋体" w:hAnsi="宋体" w:cs="宋体" w:eastAsia="宋体" w:hint="default"/>
          <w:sz w:val="24"/>
          <w:szCs w:val="24"/>
        </w:rPr>
        <w:t> 备产品。</w:t>
      </w:r>
    </w:p>
    <w:p>
      <w:pPr>
        <w:spacing w:before="137"/>
        <w:ind w:left="623" w:right="220" w:firstLine="0"/>
        <w:jc w:val="left"/>
        <w:rPr>
          <w:rFonts w:ascii="宋体" w:hAnsi="宋体" w:cs="宋体" w:eastAsia="宋体" w:hint="default"/>
          <w:sz w:val="24"/>
          <w:szCs w:val="24"/>
        </w:rPr>
      </w:pPr>
      <w:r>
        <w:rPr>
          <w:rFonts w:ascii="宋体" w:hAnsi="宋体" w:cs="宋体" w:eastAsia="宋体" w:hint="default"/>
          <w:sz w:val="24"/>
          <w:szCs w:val="24"/>
        </w:rPr>
        <w:t>UFIDA U9</w:t>
      </w:r>
      <w:r>
        <w:rPr>
          <w:rFonts w:ascii="宋体" w:hAnsi="宋体" w:cs="宋体" w:eastAsia="宋体" w:hint="default"/>
          <w:spacing w:val="-60"/>
          <w:sz w:val="24"/>
          <w:szCs w:val="24"/>
        </w:rPr>
        <w:t> </w:t>
      </w:r>
      <w:r>
        <w:rPr>
          <w:rFonts w:ascii="宋体" w:hAnsi="宋体" w:cs="宋体" w:eastAsia="宋体" w:hint="default"/>
          <w:sz w:val="24"/>
          <w:szCs w:val="24"/>
        </w:rPr>
        <w:t>业务</w:t>
      </w:r>
    </w:p>
    <w:p>
      <w:pPr>
        <w:spacing w:line="297" w:lineRule="auto" w:before="194"/>
        <w:ind w:left="140" w:right="219" w:firstLine="482"/>
        <w:jc w:val="both"/>
        <w:rPr>
          <w:rFonts w:ascii="宋体" w:hAnsi="宋体" w:cs="宋体" w:eastAsia="宋体" w:hint="default"/>
          <w:sz w:val="24"/>
          <w:szCs w:val="24"/>
        </w:rPr>
      </w:pPr>
      <w:r>
        <w:rPr>
          <w:rFonts w:ascii="宋体" w:hAnsi="宋体" w:cs="宋体" w:eastAsia="宋体" w:hint="default"/>
          <w:sz w:val="24"/>
          <w:szCs w:val="24"/>
        </w:rPr>
        <w:t>报告期内，UFIDA</w:t>
      </w:r>
      <w:r>
        <w:rPr>
          <w:rFonts w:ascii="宋体" w:hAnsi="宋体" w:cs="宋体" w:eastAsia="宋体" w:hint="default"/>
          <w:spacing w:val="-30"/>
          <w:sz w:val="24"/>
          <w:szCs w:val="24"/>
        </w:rPr>
        <w:t> </w:t>
      </w:r>
      <w:r>
        <w:rPr>
          <w:rFonts w:ascii="宋体" w:hAnsi="宋体" w:cs="宋体" w:eastAsia="宋体" w:hint="default"/>
          <w:sz w:val="24"/>
          <w:szCs w:val="24"/>
        </w:rPr>
        <w:t>U9</w:t>
      </w:r>
      <w:r>
        <w:rPr>
          <w:rFonts w:ascii="宋体" w:hAnsi="宋体" w:cs="宋体" w:eastAsia="宋体" w:hint="default"/>
          <w:spacing w:val="-60"/>
          <w:sz w:val="24"/>
          <w:szCs w:val="24"/>
        </w:rPr>
        <w:t> </w:t>
      </w:r>
      <w:r>
        <w:rPr>
          <w:rFonts w:ascii="宋体" w:hAnsi="宋体" w:cs="宋体" w:eastAsia="宋体" w:hint="default"/>
          <w:sz w:val="24"/>
          <w:szCs w:val="24"/>
        </w:rPr>
        <w:t>在产品领先的基础上，推进业务规模化，建立了</w:t>
      </w:r>
      <w:r>
        <w:rPr>
          <w:rFonts w:ascii="宋体" w:hAnsi="宋体" w:cs="宋体" w:eastAsia="宋体" w:hint="default"/>
          <w:spacing w:val="-60"/>
          <w:sz w:val="24"/>
          <w:szCs w:val="24"/>
        </w:rPr>
        <w:t> </w:t>
      </w:r>
      <w:r>
        <w:rPr>
          <w:rFonts w:ascii="宋体" w:hAnsi="宋体" w:cs="宋体" w:eastAsia="宋体" w:hint="default"/>
          <w:sz w:val="24"/>
          <w:szCs w:val="24"/>
        </w:rPr>
        <w:t>UFIDA</w:t>
      </w:r>
      <w:r>
        <w:rPr>
          <w:rFonts w:ascii="宋体" w:hAnsi="宋体" w:cs="宋体" w:eastAsia="宋体" w:hint="default"/>
          <w:spacing w:val="-30"/>
          <w:sz w:val="24"/>
          <w:szCs w:val="24"/>
        </w:rPr>
        <w:t> </w:t>
      </w:r>
      <w:r>
        <w:rPr>
          <w:rFonts w:ascii="宋体" w:hAnsi="宋体" w:cs="宋体" w:eastAsia="宋体" w:hint="default"/>
          <w:sz w:val="24"/>
          <w:szCs w:val="24"/>
        </w:rPr>
        <w:t>U9</w:t>
      </w:r>
      <w:r>
        <w:rPr>
          <w:rFonts w:ascii="宋体" w:hAnsi="宋体" w:cs="宋体" w:eastAsia="宋体" w:hint="default"/>
          <w:spacing w:val="-60"/>
          <w:sz w:val="24"/>
          <w:szCs w:val="24"/>
        </w:rPr>
        <w:t> </w:t>
      </w:r>
      <w:r>
        <w:rPr>
          <w:rFonts w:ascii="宋体" w:hAnsi="宋体" w:cs="宋体" w:eastAsia="宋体" w:hint="default"/>
          <w:sz w:val="24"/>
          <w:szCs w:val="24"/>
        </w:rPr>
        <w:t>品牌</w:t>
      </w:r>
      <w:r>
        <w:rPr>
          <w:rFonts w:ascii="宋体" w:hAnsi="宋体" w:cs="宋体" w:eastAsia="宋体" w:hint="default"/>
          <w:sz w:val="24"/>
          <w:szCs w:val="24"/>
        </w:rPr>
        <w:t> </w:t>
      </w:r>
      <w:r>
        <w:rPr>
          <w:rFonts w:ascii="宋体" w:hAnsi="宋体" w:cs="宋体" w:eastAsia="宋体" w:hint="default"/>
          <w:spacing w:val="-4"/>
          <w:sz w:val="24"/>
          <w:szCs w:val="24"/>
        </w:rPr>
        <w:t>与价值定位标准，产品的竞争力得到市场认可，公司加强重点区域资源配备，大力推进客</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户经营平台能力建设，实施交付能力进一步提升。</w:t>
      </w:r>
    </w:p>
    <w:p>
      <w:pPr>
        <w:spacing w:after="0" w:line="297" w:lineRule="auto"/>
        <w:jc w:val="both"/>
        <w:rPr>
          <w:rFonts w:ascii="宋体" w:hAnsi="宋体" w:cs="宋体" w:eastAsia="宋体" w:hint="default"/>
          <w:sz w:val="24"/>
          <w:szCs w:val="24"/>
        </w:rPr>
        <w:sectPr>
          <w:pgSz w:w="11910" w:h="16840"/>
          <w:pgMar w:header="720" w:footer="727" w:top="1080" w:bottom="920" w:left="1220" w:right="1080"/>
        </w:sectPr>
      </w:pPr>
    </w:p>
    <w:p>
      <w:pPr>
        <w:spacing w:line="240" w:lineRule="auto" w:before="12"/>
        <w:rPr>
          <w:rFonts w:ascii="宋体" w:hAnsi="宋体" w:cs="宋体" w:eastAsia="宋体" w:hint="default"/>
          <w:sz w:val="21"/>
          <w:szCs w:val="21"/>
        </w:rPr>
      </w:pPr>
    </w:p>
    <w:p>
      <w:pPr>
        <w:spacing w:line="297" w:lineRule="auto" w:before="26"/>
        <w:ind w:left="140" w:right="84" w:firstLine="482"/>
        <w:jc w:val="left"/>
        <w:rPr>
          <w:rFonts w:ascii="宋体" w:hAnsi="宋体" w:cs="宋体" w:eastAsia="宋体" w:hint="default"/>
          <w:sz w:val="24"/>
          <w:szCs w:val="24"/>
        </w:rPr>
      </w:pPr>
      <w:r>
        <w:rPr>
          <w:rFonts w:ascii="宋体" w:hAnsi="宋体" w:cs="宋体" w:eastAsia="宋体" w:hint="default"/>
          <w:spacing w:val="-6"/>
          <w:sz w:val="24"/>
          <w:szCs w:val="24"/>
        </w:rPr>
        <w:t>报告期内，公司发版了</w:t>
      </w:r>
      <w:r>
        <w:rPr>
          <w:rFonts w:ascii="宋体" w:hAnsi="宋体" w:cs="宋体" w:eastAsia="宋体" w:hint="default"/>
          <w:spacing w:val="-60"/>
          <w:sz w:val="24"/>
          <w:szCs w:val="24"/>
        </w:rPr>
        <w:t> </w:t>
      </w:r>
      <w:r>
        <w:rPr>
          <w:rFonts w:ascii="宋体" w:hAnsi="宋体" w:cs="宋体" w:eastAsia="宋体" w:hint="default"/>
          <w:sz w:val="24"/>
          <w:szCs w:val="24"/>
        </w:rPr>
        <w:t>UFIDA</w:t>
      </w:r>
      <w:r>
        <w:rPr>
          <w:rFonts w:ascii="宋体" w:hAnsi="宋体" w:cs="宋体" w:eastAsia="宋体" w:hint="default"/>
          <w:spacing w:val="-60"/>
          <w:sz w:val="24"/>
          <w:szCs w:val="24"/>
        </w:rPr>
        <w:t> </w:t>
      </w:r>
      <w:r>
        <w:rPr>
          <w:rFonts w:ascii="宋体" w:hAnsi="宋体" w:cs="宋体" w:eastAsia="宋体" w:hint="default"/>
          <w:sz w:val="24"/>
          <w:szCs w:val="24"/>
        </w:rPr>
        <w:t>U9</w:t>
      </w:r>
      <w:r>
        <w:rPr>
          <w:rFonts w:ascii="宋体" w:hAnsi="宋体" w:cs="宋体" w:eastAsia="宋体" w:hint="default"/>
          <w:spacing w:val="-60"/>
          <w:sz w:val="24"/>
          <w:szCs w:val="24"/>
        </w:rPr>
        <w:t> </w:t>
      </w:r>
      <w:r>
        <w:rPr>
          <w:rFonts w:ascii="宋体" w:hAnsi="宋体" w:cs="宋体" w:eastAsia="宋体" w:hint="default"/>
          <w:spacing w:val="-6"/>
          <w:sz w:val="24"/>
          <w:szCs w:val="24"/>
        </w:rPr>
        <w:t>V2.0、UFIDA</w:t>
      </w:r>
      <w:r>
        <w:rPr>
          <w:rFonts w:ascii="宋体" w:hAnsi="宋体" w:cs="宋体" w:eastAsia="宋体" w:hint="default"/>
          <w:spacing w:val="-60"/>
          <w:sz w:val="24"/>
          <w:szCs w:val="24"/>
        </w:rPr>
        <w:t> </w:t>
      </w:r>
      <w:r>
        <w:rPr>
          <w:rFonts w:ascii="宋体" w:hAnsi="宋体" w:cs="宋体" w:eastAsia="宋体" w:hint="default"/>
          <w:sz w:val="24"/>
          <w:szCs w:val="24"/>
        </w:rPr>
        <w:t>U9</w:t>
      </w:r>
      <w:r>
        <w:rPr>
          <w:rFonts w:ascii="宋体" w:hAnsi="宋体" w:cs="宋体" w:eastAsia="宋体" w:hint="default"/>
          <w:spacing w:val="-60"/>
          <w:sz w:val="24"/>
          <w:szCs w:val="24"/>
        </w:rPr>
        <w:t> </w:t>
      </w:r>
      <w:r>
        <w:rPr>
          <w:rFonts w:ascii="宋体" w:hAnsi="宋体" w:cs="宋体" w:eastAsia="宋体" w:hint="default"/>
          <w:spacing w:val="-4"/>
          <w:sz w:val="24"/>
          <w:szCs w:val="24"/>
        </w:rPr>
        <w:t>水平解决方案等产品，UFIDA</w:t>
      </w:r>
      <w:r>
        <w:rPr>
          <w:rFonts w:ascii="宋体" w:hAnsi="宋体" w:cs="宋体" w:eastAsia="宋体" w:hint="default"/>
          <w:spacing w:val="-60"/>
          <w:sz w:val="24"/>
          <w:szCs w:val="24"/>
        </w:rPr>
        <w:t> </w:t>
      </w:r>
      <w:r>
        <w:rPr>
          <w:rFonts w:ascii="宋体" w:hAnsi="宋体" w:cs="宋体" w:eastAsia="宋体" w:hint="default"/>
          <w:sz w:val="24"/>
          <w:szCs w:val="24"/>
        </w:rPr>
        <w:t>U9</w:t>
      </w:r>
      <w:r>
        <w:rPr>
          <w:rFonts w:ascii="宋体" w:hAnsi="宋体" w:cs="宋体" w:eastAsia="宋体" w:hint="default"/>
          <w:spacing w:val="-60"/>
          <w:sz w:val="24"/>
          <w:szCs w:val="24"/>
        </w:rPr>
        <w:t> </w:t>
      </w:r>
      <w:r>
        <w:rPr>
          <w:rFonts w:ascii="宋体" w:hAnsi="宋体" w:cs="宋体" w:eastAsia="宋体" w:hint="default"/>
          <w:sz w:val="24"/>
          <w:szCs w:val="24"/>
        </w:rPr>
        <w:t>V2.0</w:t>
      </w:r>
      <w:r>
        <w:rPr>
          <w:rFonts w:ascii="宋体" w:hAnsi="宋体" w:cs="宋体" w:eastAsia="宋体" w:hint="default"/>
          <w:sz w:val="24"/>
          <w:szCs w:val="24"/>
        </w:rPr>
        <w:t> 在</w:t>
      </w:r>
      <w:r>
        <w:rPr>
          <w:rFonts w:ascii="宋体" w:hAnsi="宋体" w:cs="宋体" w:eastAsia="宋体" w:hint="default"/>
          <w:spacing w:val="-60"/>
          <w:sz w:val="24"/>
          <w:szCs w:val="24"/>
        </w:rPr>
        <w:t> </w:t>
      </w:r>
      <w:r>
        <w:rPr>
          <w:rFonts w:ascii="宋体" w:hAnsi="宋体" w:cs="宋体" w:eastAsia="宋体" w:hint="default"/>
          <w:sz w:val="24"/>
          <w:szCs w:val="24"/>
        </w:rPr>
        <w:t>UFIDA U9 V1.5</w:t>
      </w:r>
      <w:r>
        <w:rPr>
          <w:rFonts w:ascii="宋体" w:hAnsi="宋体" w:cs="宋体" w:eastAsia="宋体" w:hint="default"/>
          <w:spacing w:val="-60"/>
          <w:sz w:val="24"/>
          <w:szCs w:val="24"/>
        </w:rPr>
        <w:t> </w:t>
      </w:r>
      <w:r>
        <w:rPr>
          <w:rFonts w:ascii="宋体" w:hAnsi="宋体" w:cs="宋体" w:eastAsia="宋体" w:hint="default"/>
          <w:sz w:val="24"/>
          <w:szCs w:val="24"/>
        </w:rPr>
        <w:t>版本的基础上，产品体系进一步完善；此外，在继续深化机械、电子、</w:t>
      </w:r>
      <w:r>
        <w:rPr>
          <w:rFonts w:ascii="宋体" w:hAnsi="宋体" w:cs="宋体" w:eastAsia="宋体" w:hint="default"/>
          <w:sz w:val="24"/>
          <w:szCs w:val="24"/>
        </w:rPr>
        <w:t> </w:t>
      </w:r>
      <w:r>
        <w:rPr>
          <w:rFonts w:ascii="宋体" w:hAnsi="宋体" w:cs="宋体" w:eastAsia="宋体" w:hint="default"/>
          <w:spacing w:val="-4"/>
          <w:sz w:val="24"/>
          <w:szCs w:val="24"/>
        </w:rPr>
        <w:t>通信、汽配等行业应用的基础上，新增项目制造、支持装备制造业，进一步完善了产品易</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用性和可交付性。“用友</w:t>
      </w:r>
      <w:r>
        <w:rPr>
          <w:rFonts w:ascii="宋体" w:hAnsi="宋体" w:cs="宋体" w:eastAsia="宋体" w:hint="default"/>
          <w:spacing w:val="-60"/>
          <w:sz w:val="24"/>
          <w:szCs w:val="24"/>
        </w:rPr>
        <w:t> </w:t>
      </w:r>
      <w:r>
        <w:rPr>
          <w:rFonts w:ascii="宋体" w:hAnsi="宋体" w:cs="宋体" w:eastAsia="宋体" w:hint="default"/>
          <w:sz w:val="24"/>
          <w:szCs w:val="24"/>
        </w:rPr>
        <w:t>ERP-U9</w:t>
      </w:r>
      <w:r>
        <w:rPr>
          <w:rFonts w:ascii="宋体" w:hAnsi="宋体" w:cs="宋体" w:eastAsia="宋体" w:hint="default"/>
          <w:spacing w:val="-60"/>
          <w:sz w:val="24"/>
          <w:szCs w:val="24"/>
        </w:rPr>
        <w:t> </w:t>
      </w:r>
      <w:r>
        <w:rPr>
          <w:rFonts w:ascii="宋体" w:hAnsi="宋体" w:cs="宋体" w:eastAsia="宋体" w:hint="default"/>
          <w:sz w:val="24"/>
          <w:szCs w:val="24"/>
        </w:rPr>
        <w:t>企业管理系统”被认定为北京市第二批自主创新产品。</w:t>
      </w:r>
    </w:p>
    <w:p>
      <w:pPr>
        <w:spacing w:before="137"/>
        <w:ind w:left="623" w:right="220" w:firstLine="0"/>
        <w:jc w:val="left"/>
        <w:rPr>
          <w:rFonts w:ascii="宋体" w:hAnsi="宋体" w:cs="宋体" w:eastAsia="宋体" w:hint="default"/>
          <w:sz w:val="24"/>
          <w:szCs w:val="24"/>
        </w:rPr>
      </w:pPr>
      <w:r>
        <w:rPr>
          <w:rFonts w:ascii="宋体" w:hAnsi="宋体" w:cs="宋体" w:eastAsia="宋体" w:hint="default"/>
          <w:sz w:val="24"/>
          <w:szCs w:val="24"/>
        </w:rPr>
        <w:t>② 高端集团与行业解决方案</w:t>
      </w:r>
      <w:r>
        <w:rPr>
          <w:rFonts w:ascii="宋体" w:hAnsi="宋体" w:cs="宋体" w:eastAsia="宋体" w:hint="default"/>
          <w:spacing w:val="-60"/>
          <w:sz w:val="24"/>
          <w:szCs w:val="24"/>
        </w:rPr>
        <w:t> </w:t>
      </w:r>
      <w:r>
        <w:rPr>
          <w:rFonts w:ascii="宋体" w:hAnsi="宋体" w:cs="宋体" w:eastAsia="宋体" w:hint="default"/>
          <w:sz w:val="24"/>
          <w:szCs w:val="24"/>
        </w:rPr>
        <w:t>ERP-NC</w:t>
      </w:r>
      <w:r>
        <w:rPr>
          <w:rFonts w:ascii="宋体" w:hAnsi="宋体" w:cs="宋体" w:eastAsia="宋体" w:hint="default"/>
          <w:spacing w:val="-60"/>
          <w:sz w:val="24"/>
          <w:szCs w:val="24"/>
        </w:rPr>
        <w:t> </w:t>
      </w:r>
      <w:r>
        <w:rPr>
          <w:rFonts w:ascii="宋体" w:hAnsi="宋体" w:cs="宋体" w:eastAsia="宋体" w:hint="default"/>
          <w:sz w:val="24"/>
          <w:szCs w:val="24"/>
        </w:rPr>
        <w:t>业务</w:t>
      </w:r>
    </w:p>
    <w:p>
      <w:pPr>
        <w:spacing w:line="297" w:lineRule="auto" w:before="194"/>
        <w:ind w:left="140" w:right="219" w:firstLine="480"/>
        <w:jc w:val="both"/>
        <w:rPr>
          <w:rFonts w:ascii="宋体" w:hAnsi="宋体" w:cs="宋体" w:eastAsia="宋体" w:hint="default"/>
          <w:sz w:val="24"/>
          <w:szCs w:val="24"/>
        </w:rPr>
      </w:pPr>
      <w:r>
        <w:rPr>
          <w:rFonts w:ascii="宋体" w:hAnsi="宋体" w:cs="宋体" w:eastAsia="宋体" w:hint="default"/>
          <w:sz w:val="24"/>
          <w:szCs w:val="24"/>
        </w:rPr>
        <w:t>报告期内，用友</w:t>
      </w:r>
      <w:r>
        <w:rPr>
          <w:rFonts w:ascii="宋体" w:hAnsi="宋体" w:cs="宋体" w:eastAsia="宋体" w:hint="default"/>
          <w:spacing w:val="-59"/>
          <w:sz w:val="24"/>
          <w:szCs w:val="24"/>
        </w:rPr>
        <w:t> </w:t>
      </w:r>
      <w:r>
        <w:rPr>
          <w:rFonts w:ascii="宋体" w:hAnsi="宋体" w:cs="宋体" w:eastAsia="宋体" w:hint="default"/>
          <w:sz w:val="24"/>
          <w:szCs w:val="24"/>
        </w:rPr>
        <w:t>ERP-NC</w:t>
      </w:r>
      <w:r>
        <w:rPr>
          <w:rFonts w:ascii="宋体" w:hAnsi="宋体" w:cs="宋体" w:eastAsia="宋体" w:hint="default"/>
          <w:spacing w:val="-59"/>
          <w:sz w:val="24"/>
          <w:szCs w:val="24"/>
        </w:rPr>
        <w:t> </w:t>
      </w:r>
      <w:r>
        <w:rPr>
          <w:rFonts w:ascii="宋体" w:hAnsi="宋体" w:cs="宋体" w:eastAsia="宋体" w:hint="default"/>
          <w:sz w:val="24"/>
          <w:szCs w:val="24"/>
        </w:rPr>
        <w:t>业务围绕全产品服务营销和客户价值经营，进一步发展行业</w:t>
      </w:r>
      <w:r>
        <w:rPr>
          <w:rFonts w:ascii="宋体" w:hAnsi="宋体" w:cs="宋体" w:eastAsia="宋体" w:hint="default"/>
          <w:sz w:val="24"/>
          <w:szCs w:val="24"/>
        </w:rPr>
        <w:t> 产品,深化行业解决方案，加强实施体系建设，项目交付能力持续提升，行业客户持续经 营取得显著进展。公司举办的“管理谋动 2009—中国企业集团转型升级高峰论坛”全国 巡展活动掀起了企业集团转型升级热潮。</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z w:val="24"/>
          <w:szCs w:val="24"/>
        </w:rPr>
        <w:t>报告期内，公司发版了用友</w:t>
      </w:r>
      <w:r>
        <w:rPr>
          <w:rFonts w:ascii="宋体" w:hAnsi="宋体" w:cs="宋体" w:eastAsia="宋体" w:hint="default"/>
          <w:spacing w:val="-65"/>
          <w:sz w:val="24"/>
          <w:szCs w:val="24"/>
        </w:rPr>
        <w:t> </w:t>
      </w:r>
      <w:r>
        <w:rPr>
          <w:rFonts w:ascii="宋体" w:hAnsi="宋体" w:cs="宋体" w:eastAsia="宋体" w:hint="default"/>
          <w:sz w:val="24"/>
          <w:szCs w:val="24"/>
        </w:rPr>
        <w:t>ERP-NC</w:t>
      </w:r>
      <w:r>
        <w:rPr>
          <w:rFonts w:ascii="宋体" w:hAnsi="宋体" w:cs="宋体" w:eastAsia="宋体" w:hint="default"/>
          <w:spacing w:val="-22"/>
          <w:sz w:val="24"/>
          <w:szCs w:val="24"/>
        </w:rPr>
        <w:t> </w:t>
      </w:r>
      <w:r>
        <w:rPr>
          <w:rFonts w:ascii="宋体" w:hAnsi="宋体" w:cs="宋体" w:eastAsia="宋体" w:hint="default"/>
          <w:sz w:val="24"/>
          <w:szCs w:val="24"/>
        </w:rPr>
        <w:t>V5.5、用友</w:t>
      </w:r>
      <w:r>
        <w:rPr>
          <w:rFonts w:ascii="宋体" w:hAnsi="宋体" w:cs="宋体" w:eastAsia="宋体" w:hint="default"/>
          <w:spacing w:val="-65"/>
          <w:sz w:val="24"/>
          <w:szCs w:val="24"/>
        </w:rPr>
        <w:t> </w:t>
      </w:r>
      <w:r>
        <w:rPr>
          <w:rFonts w:ascii="宋体" w:hAnsi="宋体" w:cs="宋体" w:eastAsia="宋体" w:hint="default"/>
          <w:sz w:val="24"/>
          <w:szCs w:val="24"/>
        </w:rPr>
        <w:t>ERP-NC</w:t>
      </w:r>
      <w:r>
        <w:rPr>
          <w:rFonts w:ascii="宋体" w:hAnsi="宋体" w:cs="宋体" w:eastAsia="宋体" w:hint="default"/>
          <w:spacing w:val="-23"/>
          <w:sz w:val="24"/>
          <w:szCs w:val="24"/>
        </w:rPr>
        <w:t> </w:t>
      </w:r>
      <w:r>
        <w:rPr>
          <w:rFonts w:ascii="宋体" w:hAnsi="宋体" w:cs="宋体" w:eastAsia="宋体" w:hint="default"/>
          <w:sz w:val="24"/>
          <w:szCs w:val="24"/>
        </w:rPr>
        <w:t>V5.6、用友</w:t>
      </w:r>
      <w:r>
        <w:rPr>
          <w:rFonts w:ascii="宋体" w:hAnsi="宋体" w:cs="宋体" w:eastAsia="宋体" w:hint="default"/>
          <w:spacing w:val="-65"/>
          <w:sz w:val="24"/>
          <w:szCs w:val="24"/>
        </w:rPr>
        <w:t> </w:t>
      </w:r>
      <w:r>
        <w:rPr>
          <w:rFonts w:ascii="宋体" w:hAnsi="宋体" w:cs="宋体" w:eastAsia="宋体" w:hint="default"/>
          <w:sz w:val="24"/>
          <w:szCs w:val="24"/>
        </w:rPr>
        <w:t>ERP-NC</w:t>
      </w:r>
      <w:r>
        <w:rPr>
          <w:rFonts w:ascii="宋体" w:hAnsi="宋体" w:cs="宋体" w:eastAsia="宋体" w:hint="default"/>
          <w:spacing w:val="-23"/>
          <w:sz w:val="24"/>
          <w:szCs w:val="24"/>
        </w:rPr>
        <w:t> </w:t>
      </w:r>
      <w:r>
        <w:rPr>
          <w:rFonts w:ascii="宋体" w:hAnsi="宋体" w:cs="宋体" w:eastAsia="宋体" w:hint="default"/>
          <w:sz w:val="24"/>
          <w:szCs w:val="24"/>
        </w:rPr>
        <w:t>V5.5</w:t>
      </w:r>
      <w:r>
        <w:rPr>
          <w:rFonts w:ascii="宋体" w:hAnsi="宋体" w:cs="宋体" w:eastAsia="宋体" w:hint="default"/>
          <w:spacing w:val="-21"/>
          <w:sz w:val="24"/>
          <w:szCs w:val="24"/>
        </w:rPr>
        <w:t> </w:t>
      </w:r>
      <w:r>
        <w:rPr>
          <w:rFonts w:ascii="宋体" w:hAnsi="宋体" w:cs="宋体" w:eastAsia="宋体" w:hint="default"/>
          <w:sz w:val="24"/>
          <w:szCs w:val="24"/>
        </w:rPr>
        <w:t>建</w:t>
      </w:r>
      <w:r>
        <w:rPr>
          <w:rFonts w:ascii="宋体" w:hAnsi="宋体" w:cs="宋体" w:eastAsia="宋体" w:hint="default"/>
          <w:sz w:val="24"/>
          <w:szCs w:val="24"/>
        </w:rPr>
        <w:t> </w:t>
      </w:r>
      <w:r>
        <w:rPr>
          <w:rFonts w:ascii="宋体" w:hAnsi="宋体" w:cs="宋体" w:eastAsia="宋体" w:hint="default"/>
          <w:spacing w:val="-4"/>
          <w:sz w:val="24"/>
          <w:szCs w:val="24"/>
        </w:rPr>
        <w:t>筑项目综合管理、保险行业管理、证券行业管理、矿级物资消耗管理等多个行业版本以及</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用友</w:t>
      </w:r>
      <w:r>
        <w:rPr>
          <w:rFonts w:ascii="宋体" w:hAnsi="宋体" w:cs="宋体" w:eastAsia="宋体" w:hint="default"/>
          <w:spacing w:val="-60"/>
          <w:sz w:val="24"/>
          <w:szCs w:val="24"/>
        </w:rPr>
        <w:t> </w:t>
      </w:r>
      <w:r>
        <w:rPr>
          <w:rFonts w:ascii="宋体" w:hAnsi="宋体" w:cs="宋体" w:eastAsia="宋体" w:hint="default"/>
          <w:sz w:val="24"/>
          <w:szCs w:val="24"/>
        </w:rPr>
        <w:t>ERP-NC</w:t>
      </w:r>
      <w:r>
        <w:rPr>
          <w:rFonts w:ascii="宋体" w:hAnsi="宋体" w:cs="宋体" w:eastAsia="宋体" w:hint="default"/>
          <w:spacing w:val="-60"/>
          <w:sz w:val="24"/>
          <w:szCs w:val="24"/>
        </w:rPr>
        <w:t> </w:t>
      </w:r>
      <w:r>
        <w:rPr>
          <w:rFonts w:ascii="宋体" w:hAnsi="宋体" w:cs="宋体" w:eastAsia="宋体" w:hint="default"/>
          <w:sz w:val="24"/>
          <w:szCs w:val="24"/>
        </w:rPr>
        <w:t>服务产品</w:t>
      </w:r>
      <w:r>
        <w:rPr>
          <w:rFonts w:ascii="宋体" w:hAnsi="宋体" w:cs="宋体" w:eastAsia="宋体" w:hint="default"/>
          <w:spacing w:val="-58"/>
          <w:sz w:val="24"/>
          <w:szCs w:val="24"/>
        </w:rPr>
        <w:t> </w:t>
      </w:r>
      <w:r>
        <w:rPr>
          <w:rFonts w:ascii="宋体" w:hAnsi="宋体" w:cs="宋体" w:eastAsia="宋体" w:hint="default"/>
          <w:sz w:val="24"/>
          <w:szCs w:val="24"/>
        </w:rPr>
        <w:t>V1.0</w:t>
      </w:r>
      <w:r>
        <w:rPr>
          <w:rFonts w:ascii="宋体" w:hAnsi="宋体" w:cs="宋体" w:eastAsia="宋体" w:hint="default"/>
          <w:spacing w:val="-60"/>
          <w:sz w:val="24"/>
          <w:szCs w:val="24"/>
        </w:rPr>
        <w:t> </w:t>
      </w:r>
      <w:r>
        <w:rPr>
          <w:rFonts w:ascii="宋体" w:hAnsi="宋体" w:cs="宋体" w:eastAsia="宋体" w:hint="default"/>
          <w:sz w:val="24"/>
          <w:szCs w:val="24"/>
        </w:rPr>
        <w:t>等产品；用友</w:t>
      </w:r>
      <w:r>
        <w:rPr>
          <w:rFonts w:ascii="宋体" w:hAnsi="宋体" w:cs="宋体" w:eastAsia="宋体" w:hint="default"/>
          <w:spacing w:val="-60"/>
          <w:sz w:val="24"/>
          <w:szCs w:val="24"/>
        </w:rPr>
        <w:t> </w:t>
      </w:r>
      <w:r>
        <w:rPr>
          <w:rFonts w:ascii="宋体" w:hAnsi="宋体" w:cs="宋体" w:eastAsia="宋体" w:hint="default"/>
          <w:sz w:val="24"/>
          <w:szCs w:val="24"/>
        </w:rPr>
        <w:t>ERP-NC</w:t>
      </w:r>
      <w:r>
        <w:rPr>
          <w:rFonts w:ascii="宋体" w:hAnsi="宋体" w:cs="宋体" w:eastAsia="宋体" w:hint="default"/>
          <w:spacing w:val="-60"/>
          <w:sz w:val="24"/>
          <w:szCs w:val="24"/>
        </w:rPr>
        <w:t> </w:t>
      </w:r>
      <w:r>
        <w:rPr>
          <w:rFonts w:ascii="宋体" w:hAnsi="宋体" w:cs="宋体" w:eastAsia="宋体" w:hint="default"/>
          <w:sz w:val="24"/>
          <w:szCs w:val="24"/>
        </w:rPr>
        <w:t>顺利通过</w:t>
      </w:r>
      <w:r>
        <w:rPr>
          <w:rFonts w:ascii="宋体" w:hAnsi="宋体" w:cs="宋体" w:eastAsia="宋体" w:hint="default"/>
          <w:spacing w:val="-60"/>
          <w:sz w:val="24"/>
          <w:szCs w:val="24"/>
        </w:rPr>
        <w:t> </w:t>
      </w:r>
      <w:r>
        <w:rPr>
          <w:rFonts w:ascii="宋体" w:hAnsi="宋体" w:cs="宋体" w:eastAsia="宋体" w:hint="default"/>
          <w:sz w:val="24"/>
          <w:szCs w:val="24"/>
        </w:rPr>
        <w:t>IBM</w:t>
      </w:r>
      <w:r>
        <w:rPr>
          <w:rFonts w:ascii="宋体" w:hAnsi="宋体" w:cs="宋体" w:eastAsia="宋体" w:hint="default"/>
          <w:spacing w:val="-60"/>
          <w:sz w:val="24"/>
          <w:szCs w:val="24"/>
        </w:rPr>
        <w:t> </w:t>
      </w:r>
      <w:r>
        <w:rPr>
          <w:rFonts w:ascii="宋体" w:hAnsi="宋体" w:cs="宋体" w:eastAsia="宋体" w:hint="default"/>
          <w:sz w:val="24"/>
          <w:szCs w:val="24"/>
        </w:rPr>
        <w:t>全球</w:t>
      </w:r>
      <w:r>
        <w:rPr>
          <w:rFonts w:ascii="宋体" w:hAnsi="宋体" w:cs="宋体" w:eastAsia="宋体" w:hint="default"/>
          <w:spacing w:val="-60"/>
          <w:sz w:val="24"/>
          <w:szCs w:val="24"/>
        </w:rPr>
        <w:t> </w:t>
      </w:r>
      <w:r>
        <w:rPr>
          <w:rFonts w:ascii="宋体" w:hAnsi="宋体" w:cs="宋体" w:eastAsia="宋体" w:hint="default"/>
          <w:sz w:val="24"/>
          <w:szCs w:val="24"/>
        </w:rPr>
        <w:t>SOA</w:t>
      </w:r>
      <w:r>
        <w:rPr>
          <w:rFonts w:ascii="宋体" w:hAnsi="宋体" w:cs="宋体" w:eastAsia="宋体" w:hint="default"/>
          <w:spacing w:val="-60"/>
          <w:sz w:val="24"/>
          <w:szCs w:val="24"/>
        </w:rPr>
        <w:t> </w:t>
      </w:r>
      <w:r>
        <w:rPr>
          <w:rFonts w:ascii="宋体" w:hAnsi="宋体" w:cs="宋体" w:eastAsia="宋体" w:hint="default"/>
          <w:sz w:val="24"/>
          <w:szCs w:val="24"/>
        </w:rPr>
        <w:t>解决方案顶级认</w:t>
      </w:r>
      <w:r>
        <w:rPr>
          <w:rFonts w:ascii="宋体" w:hAnsi="宋体" w:cs="宋体" w:eastAsia="宋体" w:hint="default"/>
          <w:sz w:val="24"/>
          <w:szCs w:val="24"/>
        </w:rPr>
        <w:t> 证。</w:t>
      </w:r>
    </w:p>
    <w:p>
      <w:pPr>
        <w:spacing w:before="137"/>
        <w:ind w:left="623" w:right="220" w:firstLine="0"/>
        <w:jc w:val="left"/>
        <w:rPr>
          <w:rFonts w:ascii="宋体" w:hAnsi="宋体" w:cs="宋体" w:eastAsia="宋体" w:hint="default"/>
          <w:sz w:val="24"/>
          <w:szCs w:val="24"/>
        </w:rPr>
      </w:pPr>
      <w:r>
        <w:rPr>
          <w:rFonts w:ascii="宋体" w:hAnsi="宋体" w:cs="宋体" w:eastAsia="宋体" w:hint="default"/>
          <w:sz w:val="24"/>
          <w:szCs w:val="24"/>
        </w:rPr>
        <w:t>③ 高端集团</w:t>
      </w:r>
      <w:r>
        <w:rPr>
          <w:rFonts w:ascii="宋体" w:hAnsi="宋体" w:cs="宋体" w:eastAsia="宋体" w:hint="default"/>
          <w:spacing w:val="-60"/>
          <w:sz w:val="24"/>
          <w:szCs w:val="24"/>
        </w:rPr>
        <w:t> </w:t>
      </w:r>
      <w:r>
        <w:rPr>
          <w:rFonts w:ascii="宋体" w:hAnsi="宋体" w:cs="宋体" w:eastAsia="宋体" w:hint="default"/>
          <w:sz w:val="24"/>
          <w:szCs w:val="24"/>
        </w:rPr>
        <w:t>e-HR</w:t>
      </w:r>
      <w:r>
        <w:rPr>
          <w:rFonts w:ascii="宋体" w:hAnsi="宋体" w:cs="宋体" w:eastAsia="宋体" w:hint="default"/>
          <w:spacing w:val="-60"/>
          <w:sz w:val="24"/>
          <w:szCs w:val="24"/>
        </w:rPr>
        <w:t> </w:t>
      </w:r>
      <w:r>
        <w:rPr>
          <w:rFonts w:ascii="宋体" w:hAnsi="宋体" w:cs="宋体" w:eastAsia="宋体" w:hint="default"/>
          <w:sz w:val="24"/>
          <w:szCs w:val="24"/>
        </w:rPr>
        <w:t>业务</w:t>
      </w:r>
    </w:p>
    <w:p>
      <w:pPr>
        <w:spacing w:line="297" w:lineRule="auto" w:before="194"/>
        <w:ind w:left="140" w:right="84" w:firstLine="420"/>
        <w:jc w:val="left"/>
        <w:rPr>
          <w:rFonts w:ascii="宋体" w:hAnsi="宋体" w:cs="宋体" w:eastAsia="宋体" w:hint="default"/>
          <w:sz w:val="24"/>
          <w:szCs w:val="24"/>
        </w:rPr>
      </w:pPr>
      <w:r>
        <w:rPr>
          <w:rFonts w:ascii="宋体" w:hAnsi="宋体" w:cs="宋体" w:eastAsia="宋体" w:hint="default"/>
          <w:sz w:val="24"/>
          <w:szCs w:val="24"/>
        </w:rPr>
        <w:t>报告期内，公司发版了</w:t>
      </w:r>
      <w:r>
        <w:rPr>
          <w:rFonts w:ascii="宋体" w:hAnsi="宋体" w:cs="宋体" w:eastAsia="宋体" w:hint="default"/>
          <w:spacing w:val="-66"/>
          <w:sz w:val="24"/>
          <w:szCs w:val="24"/>
        </w:rPr>
        <w:t> </w:t>
      </w:r>
      <w:r>
        <w:rPr>
          <w:rFonts w:ascii="宋体" w:hAnsi="宋体" w:cs="宋体" w:eastAsia="宋体" w:hint="default"/>
          <w:sz w:val="24"/>
          <w:szCs w:val="24"/>
        </w:rPr>
        <w:t>e-HR</w:t>
      </w:r>
      <w:r>
        <w:rPr>
          <w:rFonts w:ascii="宋体" w:hAnsi="宋体" w:cs="宋体" w:eastAsia="宋体" w:hint="default"/>
          <w:spacing w:val="-66"/>
          <w:sz w:val="24"/>
          <w:szCs w:val="24"/>
        </w:rPr>
        <w:t> </w:t>
      </w:r>
      <w:r>
        <w:rPr>
          <w:rFonts w:ascii="宋体" w:hAnsi="宋体" w:cs="宋体" w:eastAsia="宋体" w:hint="default"/>
          <w:sz w:val="24"/>
          <w:szCs w:val="24"/>
        </w:rPr>
        <w:t>V5.6</w:t>
      </w:r>
      <w:r>
        <w:rPr>
          <w:rFonts w:ascii="宋体" w:hAnsi="宋体" w:cs="宋体" w:eastAsia="宋体" w:hint="default"/>
          <w:spacing w:val="-66"/>
          <w:sz w:val="24"/>
          <w:szCs w:val="24"/>
        </w:rPr>
        <w:t> </w:t>
      </w:r>
      <w:r>
        <w:rPr>
          <w:rFonts w:ascii="宋体" w:hAnsi="宋体" w:cs="宋体" w:eastAsia="宋体" w:hint="default"/>
          <w:spacing w:val="-3"/>
          <w:sz w:val="24"/>
          <w:szCs w:val="24"/>
        </w:rPr>
        <w:t>等产品，e-HR</w:t>
      </w:r>
      <w:r>
        <w:rPr>
          <w:rFonts w:ascii="宋体" w:hAnsi="宋体" w:cs="宋体" w:eastAsia="宋体" w:hint="default"/>
          <w:spacing w:val="-66"/>
          <w:sz w:val="24"/>
          <w:szCs w:val="24"/>
        </w:rPr>
        <w:t> </w:t>
      </w:r>
      <w:r>
        <w:rPr>
          <w:rFonts w:ascii="宋体" w:hAnsi="宋体" w:cs="宋体" w:eastAsia="宋体" w:hint="default"/>
          <w:sz w:val="24"/>
          <w:szCs w:val="24"/>
        </w:rPr>
        <w:t>业务持续深入开展客户经营，深化组</w:t>
      </w:r>
      <w:r>
        <w:rPr>
          <w:rFonts w:ascii="宋体" w:hAnsi="宋体" w:cs="宋体" w:eastAsia="宋体" w:hint="default"/>
          <w:sz w:val="24"/>
          <w:szCs w:val="24"/>
        </w:rPr>
        <w:t> </w:t>
      </w:r>
      <w:r>
        <w:rPr>
          <w:rFonts w:ascii="宋体" w:hAnsi="宋体" w:cs="宋体" w:eastAsia="宋体" w:hint="default"/>
          <w:spacing w:val="-6"/>
          <w:sz w:val="24"/>
          <w:szCs w:val="24"/>
        </w:rPr>
        <w:t>织部署和加强能力提升，促进与客户的长期合作，提升产品和服务再销售与持续经营能力，</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成功举办了“2009</w:t>
      </w:r>
      <w:r>
        <w:rPr>
          <w:rFonts w:ascii="宋体" w:hAnsi="宋体" w:cs="宋体" w:eastAsia="宋体" w:hint="default"/>
          <w:spacing w:val="-58"/>
          <w:sz w:val="24"/>
          <w:szCs w:val="24"/>
        </w:rPr>
        <w:t> </w:t>
      </w:r>
      <w:r>
        <w:rPr>
          <w:rFonts w:ascii="宋体" w:hAnsi="宋体" w:cs="宋体" w:eastAsia="宋体" w:hint="default"/>
          <w:spacing w:val="-3"/>
          <w:sz w:val="24"/>
          <w:szCs w:val="24"/>
        </w:rPr>
        <w:t>人力资源管理高峰论坛”，进一步确立了公司在国内</w:t>
      </w:r>
      <w:r>
        <w:rPr>
          <w:rFonts w:ascii="宋体" w:hAnsi="宋体" w:cs="宋体" w:eastAsia="宋体" w:hint="default"/>
          <w:spacing w:val="-58"/>
          <w:sz w:val="24"/>
          <w:szCs w:val="24"/>
        </w:rPr>
        <w:t> </w:t>
      </w:r>
      <w:r>
        <w:rPr>
          <w:rFonts w:ascii="宋体" w:hAnsi="宋体" w:cs="宋体" w:eastAsia="宋体" w:hint="default"/>
          <w:sz w:val="24"/>
          <w:szCs w:val="24"/>
        </w:rPr>
        <w:t>e-HR</w:t>
      </w:r>
      <w:r>
        <w:rPr>
          <w:rFonts w:ascii="宋体" w:hAnsi="宋体" w:cs="宋体" w:eastAsia="宋体" w:hint="default"/>
          <w:spacing w:val="-58"/>
          <w:sz w:val="24"/>
          <w:szCs w:val="24"/>
        </w:rPr>
        <w:t> </w:t>
      </w:r>
      <w:r>
        <w:rPr>
          <w:rFonts w:ascii="宋体" w:hAnsi="宋体" w:cs="宋体" w:eastAsia="宋体" w:hint="default"/>
          <w:sz w:val="24"/>
          <w:szCs w:val="24"/>
        </w:rPr>
        <w:t>领域的领先</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z w:val="24"/>
          <w:szCs w:val="24"/>
        </w:rPr>
        <w:t>地位，客户继续增多。</w:t>
      </w:r>
    </w:p>
    <w:p>
      <w:pPr>
        <w:spacing w:before="137"/>
        <w:ind w:left="623" w:right="220" w:firstLine="0"/>
        <w:jc w:val="left"/>
        <w:rPr>
          <w:rFonts w:ascii="宋体" w:hAnsi="宋体" w:cs="宋体" w:eastAsia="宋体" w:hint="default"/>
          <w:sz w:val="24"/>
          <w:szCs w:val="24"/>
        </w:rPr>
      </w:pPr>
      <w:r>
        <w:rPr>
          <w:rFonts w:ascii="宋体" w:hAnsi="宋体" w:cs="宋体" w:eastAsia="宋体" w:hint="default"/>
          <w:sz w:val="24"/>
          <w:szCs w:val="24"/>
        </w:rPr>
        <w:t>④ CRM</w:t>
      </w:r>
      <w:r>
        <w:rPr>
          <w:rFonts w:ascii="宋体" w:hAnsi="宋体" w:cs="宋体" w:eastAsia="宋体" w:hint="default"/>
          <w:spacing w:val="-60"/>
          <w:sz w:val="24"/>
          <w:szCs w:val="24"/>
        </w:rPr>
        <w:t> </w:t>
      </w:r>
      <w:r>
        <w:rPr>
          <w:rFonts w:ascii="宋体" w:hAnsi="宋体" w:cs="宋体" w:eastAsia="宋体" w:hint="default"/>
          <w:sz w:val="24"/>
          <w:szCs w:val="24"/>
        </w:rPr>
        <w:t>业务</w:t>
      </w:r>
    </w:p>
    <w:p>
      <w:pPr>
        <w:spacing w:line="297" w:lineRule="auto" w:before="194"/>
        <w:ind w:left="140" w:right="219" w:firstLine="480"/>
        <w:jc w:val="both"/>
        <w:rPr>
          <w:rFonts w:ascii="宋体" w:hAnsi="宋体" w:cs="宋体" w:eastAsia="宋体" w:hint="default"/>
          <w:sz w:val="24"/>
          <w:szCs w:val="24"/>
        </w:rPr>
      </w:pPr>
      <w:r>
        <w:rPr>
          <w:rFonts w:ascii="宋体" w:hAnsi="宋体" w:cs="宋体" w:eastAsia="宋体" w:hint="default"/>
          <w:sz w:val="24"/>
          <w:szCs w:val="24"/>
        </w:rPr>
        <w:t>报告期内，公司发版了用友</w:t>
      </w:r>
      <w:r>
        <w:rPr>
          <w:rFonts w:ascii="宋体" w:hAnsi="宋体" w:cs="宋体" w:eastAsia="宋体" w:hint="default"/>
          <w:spacing w:val="-60"/>
          <w:sz w:val="24"/>
          <w:szCs w:val="24"/>
        </w:rPr>
        <w:t> </w:t>
      </w:r>
      <w:r>
        <w:rPr>
          <w:rFonts w:ascii="宋体" w:hAnsi="宋体" w:cs="宋体" w:eastAsia="宋体" w:hint="default"/>
          <w:sz w:val="24"/>
          <w:szCs w:val="24"/>
        </w:rPr>
        <w:t>TurboCRM</w:t>
      </w:r>
      <w:r>
        <w:rPr>
          <w:rFonts w:ascii="宋体" w:hAnsi="宋体" w:cs="宋体" w:eastAsia="宋体" w:hint="default"/>
          <w:spacing w:val="-59"/>
          <w:sz w:val="24"/>
          <w:szCs w:val="24"/>
        </w:rPr>
        <w:t> </w:t>
      </w:r>
      <w:r>
        <w:rPr>
          <w:rFonts w:ascii="宋体" w:hAnsi="宋体" w:cs="宋体" w:eastAsia="宋体" w:hint="default"/>
          <w:sz w:val="24"/>
          <w:szCs w:val="24"/>
        </w:rPr>
        <w:t>V6.0、用友</w:t>
      </w:r>
      <w:r>
        <w:rPr>
          <w:rFonts w:ascii="宋体" w:hAnsi="宋体" w:cs="宋体" w:eastAsia="宋体" w:hint="default"/>
          <w:spacing w:val="-60"/>
          <w:sz w:val="24"/>
          <w:szCs w:val="24"/>
        </w:rPr>
        <w:t> </w:t>
      </w:r>
      <w:r>
        <w:rPr>
          <w:rFonts w:ascii="宋体" w:hAnsi="宋体" w:cs="宋体" w:eastAsia="宋体" w:hint="default"/>
          <w:sz w:val="24"/>
          <w:szCs w:val="24"/>
        </w:rPr>
        <w:t>TurboCRM</w:t>
      </w:r>
      <w:r>
        <w:rPr>
          <w:rFonts w:ascii="宋体" w:hAnsi="宋体" w:cs="宋体" w:eastAsia="宋体" w:hint="default"/>
          <w:spacing w:val="-59"/>
          <w:sz w:val="24"/>
          <w:szCs w:val="24"/>
        </w:rPr>
        <w:t> </w:t>
      </w:r>
      <w:r>
        <w:rPr>
          <w:rFonts w:ascii="宋体" w:hAnsi="宋体" w:cs="宋体" w:eastAsia="宋体" w:hint="default"/>
          <w:sz w:val="24"/>
          <w:szCs w:val="24"/>
        </w:rPr>
        <w:t>V6.1</w:t>
      </w:r>
      <w:r>
        <w:rPr>
          <w:rFonts w:ascii="宋体" w:hAnsi="宋体" w:cs="宋体" w:eastAsia="宋体" w:hint="default"/>
          <w:spacing w:val="-60"/>
          <w:sz w:val="24"/>
          <w:szCs w:val="24"/>
        </w:rPr>
        <w:t> </w:t>
      </w:r>
      <w:r>
        <w:rPr>
          <w:rFonts w:ascii="宋体" w:hAnsi="宋体" w:cs="宋体" w:eastAsia="宋体" w:hint="default"/>
          <w:sz w:val="24"/>
          <w:szCs w:val="24"/>
        </w:rPr>
        <w:t>以及用友</w:t>
      </w:r>
      <w:r>
        <w:rPr>
          <w:rFonts w:ascii="宋体" w:hAnsi="宋体" w:cs="宋体" w:eastAsia="宋体" w:hint="default"/>
          <w:spacing w:val="-60"/>
          <w:sz w:val="24"/>
          <w:szCs w:val="24"/>
        </w:rPr>
        <w:t> </w:t>
      </w:r>
      <w:r>
        <w:rPr>
          <w:rFonts w:ascii="宋体" w:hAnsi="宋体" w:cs="宋体" w:eastAsia="宋体" w:hint="default"/>
          <w:sz w:val="24"/>
          <w:szCs w:val="24"/>
        </w:rPr>
        <w:t>TurboCRM</w:t>
      </w:r>
      <w:r>
        <w:rPr>
          <w:rFonts w:ascii="宋体" w:hAnsi="宋体" w:cs="宋体" w:eastAsia="宋体" w:hint="default"/>
          <w:sz w:val="24"/>
          <w:szCs w:val="24"/>
        </w:rPr>
        <w:t> 标准支持服务产品 V1.0</w:t>
      </w:r>
      <w:r>
        <w:rPr>
          <w:rFonts w:ascii="宋体" w:hAnsi="宋体" w:cs="宋体" w:eastAsia="宋体" w:hint="default"/>
          <w:spacing w:val="-59"/>
          <w:sz w:val="24"/>
          <w:szCs w:val="24"/>
        </w:rPr>
        <w:t> </w:t>
      </w:r>
      <w:r>
        <w:rPr>
          <w:rFonts w:ascii="宋体" w:hAnsi="宋体" w:cs="宋体" w:eastAsia="宋体" w:hint="default"/>
          <w:sz w:val="24"/>
          <w:szCs w:val="24"/>
        </w:rPr>
        <w:t>等产品，CRM</w:t>
      </w:r>
      <w:r>
        <w:rPr>
          <w:rFonts w:ascii="宋体" w:hAnsi="宋体" w:cs="宋体" w:eastAsia="宋体" w:hint="default"/>
          <w:spacing w:val="-59"/>
          <w:sz w:val="24"/>
          <w:szCs w:val="24"/>
        </w:rPr>
        <w:t> </w:t>
      </w:r>
      <w:r>
        <w:rPr>
          <w:rFonts w:ascii="宋体" w:hAnsi="宋体" w:cs="宋体" w:eastAsia="宋体" w:hint="default"/>
          <w:sz w:val="24"/>
          <w:szCs w:val="24"/>
        </w:rPr>
        <w:t>业务通过完善行业模型，加强区域典型客户建立，</w:t>
      </w:r>
      <w:r>
        <w:rPr>
          <w:rFonts w:ascii="宋体" w:hAnsi="宋体" w:cs="宋体" w:eastAsia="宋体" w:hint="default"/>
          <w:sz w:val="24"/>
          <w:szCs w:val="24"/>
        </w:rPr>
        <w:t> 快速推进区域行业化销售，成功举办了“2009</w:t>
      </w:r>
      <w:r>
        <w:rPr>
          <w:rFonts w:ascii="宋体" w:hAnsi="宋体" w:cs="宋体" w:eastAsia="宋体" w:hint="default"/>
          <w:spacing w:val="-67"/>
          <w:sz w:val="24"/>
          <w:szCs w:val="24"/>
        </w:rPr>
        <w:t> </w:t>
      </w:r>
      <w:r>
        <w:rPr>
          <w:rFonts w:ascii="宋体" w:hAnsi="宋体" w:cs="宋体" w:eastAsia="宋体" w:hint="default"/>
          <w:sz w:val="24"/>
          <w:szCs w:val="24"/>
        </w:rPr>
        <w:t>年用友</w:t>
      </w:r>
      <w:r>
        <w:rPr>
          <w:rFonts w:ascii="宋体" w:hAnsi="宋体" w:cs="宋体" w:eastAsia="宋体" w:hint="default"/>
          <w:spacing w:val="-67"/>
          <w:sz w:val="24"/>
          <w:szCs w:val="24"/>
        </w:rPr>
        <w:t> </w:t>
      </w:r>
      <w:r>
        <w:rPr>
          <w:rFonts w:ascii="宋体" w:hAnsi="宋体" w:cs="宋体" w:eastAsia="宋体" w:hint="default"/>
          <w:sz w:val="24"/>
          <w:szCs w:val="24"/>
        </w:rPr>
        <w:t>TurboCRM</w:t>
      </w:r>
      <w:r>
        <w:rPr>
          <w:rFonts w:ascii="宋体" w:hAnsi="宋体" w:cs="宋体" w:eastAsia="宋体" w:hint="default"/>
          <w:spacing w:val="-67"/>
          <w:sz w:val="24"/>
          <w:szCs w:val="24"/>
        </w:rPr>
        <w:t> </w:t>
      </w:r>
      <w:r>
        <w:rPr>
          <w:rFonts w:ascii="宋体" w:hAnsi="宋体" w:cs="宋体" w:eastAsia="宋体" w:hint="default"/>
          <w:spacing w:val="-3"/>
          <w:sz w:val="24"/>
          <w:szCs w:val="24"/>
        </w:rPr>
        <w:t>管理高峰论坛”、“2009</w:t>
      </w:r>
      <w:r>
        <w:rPr>
          <w:rFonts w:ascii="宋体" w:hAnsi="宋体" w:cs="宋体" w:eastAsia="宋体" w:hint="default"/>
          <w:sz w:val="24"/>
          <w:szCs w:val="24"/>
        </w:rPr>
        <w:t> 用友</w:t>
      </w:r>
      <w:r>
        <w:rPr>
          <w:rFonts w:ascii="宋体" w:hAnsi="宋体" w:cs="宋体" w:eastAsia="宋体" w:hint="default"/>
          <w:spacing w:val="-60"/>
          <w:sz w:val="24"/>
          <w:szCs w:val="24"/>
        </w:rPr>
        <w:t> </w:t>
      </w:r>
      <w:r>
        <w:rPr>
          <w:rFonts w:ascii="宋体" w:hAnsi="宋体" w:cs="宋体" w:eastAsia="宋体" w:hint="default"/>
          <w:sz w:val="24"/>
          <w:szCs w:val="24"/>
        </w:rPr>
        <w:t>TurboCRM</w:t>
      </w:r>
      <w:r>
        <w:rPr>
          <w:rFonts w:ascii="宋体" w:hAnsi="宋体" w:cs="宋体" w:eastAsia="宋体" w:hint="default"/>
          <w:spacing w:val="-60"/>
          <w:sz w:val="24"/>
          <w:szCs w:val="24"/>
        </w:rPr>
        <w:t> </w:t>
      </w:r>
      <w:r>
        <w:rPr>
          <w:rFonts w:ascii="宋体" w:hAnsi="宋体" w:cs="宋体" w:eastAsia="宋体" w:hint="default"/>
          <w:sz w:val="24"/>
          <w:szCs w:val="24"/>
        </w:rPr>
        <w:t>管理创新沙龙”等活动。</w:t>
      </w:r>
    </w:p>
    <w:p>
      <w:pPr>
        <w:spacing w:before="137"/>
        <w:ind w:left="623" w:right="220" w:firstLine="0"/>
        <w:jc w:val="left"/>
        <w:rPr>
          <w:rFonts w:ascii="宋体" w:hAnsi="宋体" w:cs="宋体" w:eastAsia="宋体" w:hint="default"/>
          <w:sz w:val="24"/>
          <w:szCs w:val="24"/>
        </w:rPr>
      </w:pPr>
      <w:r>
        <w:rPr>
          <w:rFonts w:ascii="宋体" w:hAnsi="宋体" w:cs="宋体" w:eastAsia="宋体" w:hint="default"/>
          <w:sz w:val="24"/>
          <w:szCs w:val="24"/>
        </w:rPr>
        <w:t>⑤ PLM</w:t>
      </w:r>
      <w:r>
        <w:rPr>
          <w:rFonts w:ascii="宋体" w:hAnsi="宋体" w:cs="宋体" w:eastAsia="宋体" w:hint="default"/>
          <w:spacing w:val="-60"/>
          <w:sz w:val="24"/>
          <w:szCs w:val="24"/>
        </w:rPr>
        <w:t> </w:t>
      </w:r>
      <w:r>
        <w:rPr>
          <w:rFonts w:ascii="宋体" w:hAnsi="宋体" w:cs="宋体" w:eastAsia="宋体" w:hint="default"/>
          <w:sz w:val="24"/>
          <w:szCs w:val="24"/>
        </w:rPr>
        <w:t>业务</w:t>
      </w:r>
    </w:p>
    <w:p>
      <w:pPr>
        <w:spacing w:line="297" w:lineRule="auto" w:before="194"/>
        <w:ind w:left="140" w:right="84" w:firstLine="482"/>
        <w:jc w:val="left"/>
        <w:rPr>
          <w:rFonts w:ascii="宋体" w:hAnsi="宋体" w:cs="宋体" w:eastAsia="宋体" w:hint="default"/>
          <w:sz w:val="24"/>
          <w:szCs w:val="24"/>
        </w:rPr>
      </w:pPr>
      <w:r>
        <w:rPr>
          <w:rFonts w:ascii="宋体" w:hAnsi="宋体" w:cs="宋体" w:eastAsia="宋体" w:hint="default"/>
          <w:sz w:val="24"/>
          <w:szCs w:val="24"/>
        </w:rPr>
        <w:t>报告期内，公司在并购基础上开始发展</w:t>
      </w:r>
      <w:r>
        <w:rPr>
          <w:rFonts w:ascii="宋体" w:hAnsi="宋体" w:cs="宋体" w:eastAsia="宋体" w:hint="default"/>
          <w:spacing w:val="-60"/>
          <w:sz w:val="24"/>
          <w:szCs w:val="24"/>
        </w:rPr>
        <w:t> </w:t>
      </w:r>
      <w:r>
        <w:rPr>
          <w:rFonts w:ascii="宋体" w:hAnsi="宋体" w:cs="宋体" w:eastAsia="宋体" w:hint="default"/>
          <w:sz w:val="24"/>
          <w:szCs w:val="24"/>
        </w:rPr>
        <w:t>PLM</w:t>
      </w:r>
      <w:r>
        <w:rPr>
          <w:rFonts w:ascii="宋体" w:hAnsi="宋体" w:cs="宋体" w:eastAsia="宋体" w:hint="default"/>
          <w:spacing w:val="-60"/>
          <w:sz w:val="24"/>
          <w:szCs w:val="24"/>
        </w:rPr>
        <w:t> </w:t>
      </w:r>
      <w:r>
        <w:rPr>
          <w:rFonts w:ascii="宋体" w:hAnsi="宋体" w:cs="宋体" w:eastAsia="宋体" w:hint="default"/>
          <w:sz w:val="24"/>
          <w:szCs w:val="24"/>
        </w:rPr>
        <w:t>业务，发版了用友</w:t>
      </w:r>
      <w:r>
        <w:rPr>
          <w:rFonts w:ascii="宋体" w:hAnsi="宋体" w:cs="宋体" w:eastAsia="宋体" w:hint="default"/>
          <w:spacing w:val="-60"/>
          <w:sz w:val="24"/>
          <w:szCs w:val="24"/>
        </w:rPr>
        <w:t> </w:t>
      </w:r>
      <w:r>
        <w:rPr>
          <w:rFonts w:ascii="宋体" w:hAnsi="宋体" w:cs="宋体" w:eastAsia="宋体" w:hint="default"/>
          <w:sz w:val="24"/>
          <w:szCs w:val="24"/>
        </w:rPr>
        <w:t>PDM V3.8</w:t>
      </w:r>
      <w:r>
        <w:rPr>
          <w:rFonts w:ascii="宋体" w:hAnsi="宋体" w:cs="宋体" w:eastAsia="宋体" w:hint="default"/>
          <w:spacing w:val="-60"/>
          <w:sz w:val="24"/>
          <w:szCs w:val="24"/>
        </w:rPr>
        <w:t> </w:t>
      </w:r>
      <w:r>
        <w:rPr>
          <w:rFonts w:ascii="宋体" w:hAnsi="宋体" w:cs="宋体" w:eastAsia="宋体" w:hint="default"/>
          <w:sz w:val="24"/>
          <w:szCs w:val="24"/>
        </w:rPr>
        <w:t>产品数据管</w:t>
      </w:r>
      <w:r>
        <w:rPr>
          <w:rFonts w:ascii="宋体" w:hAnsi="宋体" w:cs="宋体" w:eastAsia="宋体" w:hint="default"/>
          <w:sz w:val="24"/>
          <w:szCs w:val="24"/>
        </w:rPr>
        <w:t> 理、用友</w:t>
      </w:r>
      <w:r>
        <w:rPr>
          <w:rFonts w:ascii="宋体" w:hAnsi="宋体" w:cs="宋体" w:eastAsia="宋体" w:hint="default"/>
          <w:spacing w:val="-48"/>
          <w:sz w:val="24"/>
          <w:szCs w:val="24"/>
        </w:rPr>
        <w:t> </w:t>
      </w:r>
      <w:r>
        <w:rPr>
          <w:rFonts w:ascii="宋体" w:hAnsi="宋体" w:cs="宋体" w:eastAsia="宋体" w:hint="default"/>
          <w:sz w:val="24"/>
          <w:szCs w:val="24"/>
        </w:rPr>
        <w:t>CPD V2.5</w:t>
      </w:r>
      <w:r>
        <w:rPr>
          <w:rFonts w:ascii="宋体" w:hAnsi="宋体" w:cs="宋体" w:eastAsia="宋体" w:hint="default"/>
          <w:spacing w:val="-48"/>
          <w:sz w:val="24"/>
          <w:szCs w:val="24"/>
        </w:rPr>
        <w:t> </w:t>
      </w:r>
      <w:r>
        <w:rPr>
          <w:rFonts w:ascii="宋体" w:hAnsi="宋体" w:cs="宋体" w:eastAsia="宋体" w:hint="default"/>
          <w:sz w:val="24"/>
          <w:szCs w:val="24"/>
        </w:rPr>
        <w:t>协同产品开发平台、用友</w:t>
      </w:r>
      <w:r>
        <w:rPr>
          <w:rFonts w:ascii="宋体" w:hAnsi="宋体" w:cs="宋体" w:eastAsia="宋体" w:hint="default"/>
          <w:spacing w:val="-48"/>
          <w:sz w:val="24"/>
          <w:szCs w:val="24"/>
        </w:rPr>
        <w:t> </w:t>
      </w:r>
      <w:r>
        <w:rPr>
          <w:rFonts w:ascii="宋体" w:hAnsi="宋体" w:cs="宋体" w:eastAsia="宋体" w:hint="default"/>
          <w:sz w:val="24"/>
          <w:szCs w:val="24"/>
        </w:rPr>
        <w:t>PDM V5.0</w:t>
      </w:r>
      <w:r>
        <w:rPr>
          <w:rFonts w:ascii="宋体" w:hAnsi="宋体" w:cs="宋体" w:eastAsia="宋体" w:hint="default"/>
          <w:spacing w:val="-48"/>
          <w:sz w:val="24"/>
          <w:szCs w:val="24"/>
        </w:rPr>
        <w:t> </w:t>
      </w:r>
      <w:r>
        <w:rPr>
          <w:rFonts w:ascii="宋体" w:hAnsi="宋体" w:cs="宋体" w:eastAsia="宋体" w:hint="default"/>
          <w:sz w:val="24"/>
          <w:szCs w:val="24"/>
        </w:rPr>
        <w:t>产品数据管理、CPD V3.0</w:t>
      </w:r>
      <w:r>
        <w:rPr>
          <w:rFonts w:ascii="宋体" w:hAnsi="宋体" w:cs="宋体" w:eastAsia="宋体" w:hint="default"/>
          <w:spacing w:val="-48"/>
          <w:sz w:val="24"/>
          <w:szCs w:val="24"/>
        </w:rPr>
        <w:t> </w:t>
      </w:r>
      <w:r>
        <w:rPr>
          <w:rFonts w:ascii="宋体" w:hAnsi="宋体" w:cs="宋体" w:eastAsia="宋体" w:hint="default"/>
          <w:sz w:val="24"/>
          <w:szCs w:val="24"/>
        </w:rPr>
        <w:t>协同产</w:t>
      </w:r>
      <w:r>
        <w:rPr>
          <w:rFonts w:ascii="宋体" w:hAnsi="宋体" w:cs="宋体" w:eastAsia="宋体" w:hint="default"/>
          <w:sz w:val="24"/>
          <w:szCs w:val="24"/>
        </w:rPr>
        <w:t> 品开发平台等产品, 加强市场推广和商机挖掘，建立行业样本客户，完善实施服务体系， 成功举办了“重塑产品创新管理能力”全国巡展等市场活动，通过整合</w:t>
      </w:r>
      <w:r>
        <w:rPr>
          <w:rFonts w:ascii="宋体" w:hAnsi="宋体" w:cs="宋体" w:eastAsia="宋体" w:hint="default"/>
          <w:spacing w:val="-66"/>
          <w:sz w:val="24"/>
          <w:szCs w:val="24"/>
        </w:rPr>
        <w:t> </w:t>
      </w:r>
      <w:r>
        <w:rPr>
          <w:rFonts w:ascii="宋体" w:hAnsi="宋体" w:cs="宋体" w:eastAsia="宋体" w:hint="default"/>
          <w:sz w:val="24"/>
          <w:szCs w:val="24"/>
        </w:rPr>
        <w:t>PLM</w:t>
      </w:r>
      <w:r>
        <w:rPr>
          <w:rFonts w:ascii="宋体" w:hAnsi="宋体" w:cs="宋体" w:eastAsia="宋体" w:hint="default"/>
          <w:spacing w:val="-66"/>
          <w:sz w:val="24"/>
          <w:szCs w:val="24"/>
        </w:rPr>
        <w:t> </w:t>
      </w:r>
      <w:r>
        <w:rPr>
          <w:rFonts w:ascii="宋体" w:hAnsi="宋体" w:cs="宋体" w:eastAsia="宋体" w:hint="default"/>
          <w:sz w:val="24"/>
          <w:szCs w:val="24"/>
        </w:rPr>
        <w:t>与</w:t>
      </w:r>
      <w:r>
        <w:rPr>
          <w:rFonts w:ascii="宋体" w:hAnsi="宋体" w:cs="宋体" w:eastAsia="宋体" w:hint="default"/>
          <w:spacing w:val="-66"/>
          <w:sz w:val="24"/>
          <w:szCs w:val="24"/>
        </w:rPr>
        <w:t> </w:t>
      </w:r>
      <w:r>
        <w:rPr>
          <w:rFonts w:ascii="宋体" w:hAnsi="宋体" w:cs="宋体" w:eastAsia="宋体" w:hint="default"/>
          <w:spacing w:val="-5"/>
          <w:sz w:val="24"/>
          <w:szCs w:val="24"/>
        </w:rPr>
        <w:t>ERP，公司</w:t>
      </w:r>
      <w:r>
        <w:rPr>
          <w:rFonts w:ascii="宋体" w:hAnsi="宋体" w:cs="宋体" w:eastAsia="宋体" w:hint="default"/>
          <w:sz w:val="24"/>
          <w:szCs w:val="24"/>
        </w:rPr>
        <w:t> </w:t>
      </w:r>
      <w:r>
        <w:rPr>
          <w:rFonts w:ascii="宋体" w:hAnsi="宋体" w:cs="宋体" w:eastAsia="宋体" w:hint="default"/>
          <w:spacing w:val="-4"/>
          <w:sz w:val="24"/>
          <w:szCs w:val="24"/>
        </w:rPr>
        <w:t>向制造业客户提供了更加完整的企业信息化全面解决方案，帮助中国制造企业实现转型升</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级，服务中国企业的产品创新。</w:t>
      </w:r>
    </w:p>
    <w:p>
      <w:pPr>
        <w:spacing w:line="388" w:lineRule="auto" w:before="138"/>
        <w:ind w:left="620" w:right="220" w:firstLine="2"/>
        <w:jc w:val="left"/>
        <w:rPr>
          <w:rFonts w:ascii="宋体" w:hAnsi="宋体" w:cs="宋体" w:eastAsia="宋体" w:hint="default"/>
          <w:sz w:val="24"/>
          <w:szCs w:val="24"/>
        </w:rPr>
      </w:pPr>
      <w:r>
        <w:rPr>
          <w:rFonts w:ascii="宋体" w:hAnsi="宋体" w:cs="宋体" w:eastAsia="宋体" w:hint="default"/>
          <w:sz w:val="24"/>
          <w:szCs w:val="24"/>
        </w:rPr>
        <w:t>⑥ 小型管理软件业务 </w:t>
      </w:r>
      <w:r>
        <w:rPr>
          <w:rFonts w:ascii="宋体" w:hAnsi="宋体" w:cs="宋体" w:eastAsia="宋体" w:hint="default"/>
          <w:spacing w:val="-4"/>
          <w:sz w:val="24"/>
          <w:szCs w:val="24"/>
        </w:rPr>
        <w:t>报告期内，公司为满足小型企业信息化的发展需求，整合了原用友通、商贸通、普及</w:t>
      </w:r>
    </w:p>
    <w:p>
      <w:pPr>
        <w:spacing w:line="240" w:lineRule="exact" w:before="0"/>
        <w:ind w:left="140" w:right="83" w:firstLine="0"/>
        <w:jc w:val="left"/>
        <w:rPr>
          <w:rFonts w:ascii="宋体" w:hAnsi="宋体" w:cs="宋体" w:eastAsia="宋体" w:hint="default"/>
          <w:sz w:val="24"/>
          <w:szCs w:val="24"/>
        </w:rPr>
      </w:pPr>
      <w:r>
        <w:rPr>
          <w:rFonts w:ascii="宋体" w:hAnsi="宋体" w:cs="宋体" w:eastAsia="宋体" w:hint="default"/>
          <w:sz w:val="24"/>
          <w:szCs w:val="24"/>
        </w:rPr>
        <w:t>型</w:t>
      </w:r>
      <w:r>
        <w:rPr>
          <w:rFonts w:ascii="宋体" w:hAnsi="宋体" w:cs="宋体" w:eastAsia="宋体" w:hint="default"/>
          <w:spacing w:val="-60"/>
          <w:sz w:val="24"/>
          <w:szCs w:val="24"/>
        </w:rPr>
        <w:t> </w:t>
      </w:r>
      <w:r>
        <w:rPr>
          <w:rFonts w:ascii="宋体" w:hAnsi="宋体" w:cs="宋体" w:eastAsia="宋体" w:hint="default"/>
          <w:sz w:val="24"/>
          <w:szCs w:val="24"/>
        </w:rPr>
        <w:t>ERP-U6</w:t>
      </w:r>
      <w:r>
        <w:rPr>
          <w:rFonts w:ascii="宋体" w:hAnsi="宋体" w:cs="宋体" w:eastAsia="宋体" w:hint="default"/>
          <w:spacing w:val="-59"/>
          <w:sz w:val="24"/>
          <w:szCs w:val="24"/>
        </w:rPr>
        <w:t> </w:t>
      </w:r>
      <w:r>
        <w:rPr>
          <w:rFonts w:ascii="宋体" w:hAnsi="宋体" w:cs="宋体" w:eastAsia="宋体" w:hint="default"/>
          <w:sz w:val="24"/>
          <w:szCs w:val="24"/>
        </w:rPr>
        <w:t>管理软件等产品，按照小型企业不同的应用阶段，推出了全新的</w:t>
      </w:r>
      <w:r>
        <w:rPr>
          <w:rFonts w:ascii="宋体" w:hAnsi="宋体" w:cs="宋体" w:eastAsia="宋体" w:hint="default"/>
          <w:spacing w:val="-60"/>
          <w:sz w:val="24"/>
          <w:szCs w:val="24"/>
        </w:rPr>
        <w:t> </w:t>
      </w:r>
      <w:r>
        <w:rPr>
          <w:rFonts w:ascii="宋体" w:hAnsi="宋体" w:cs="宋体" w:eastAsia="宋体" w:hint="default"/>
          <w:sz w:val="24"/>
          <w:szCs w:val="24"/>
        </w:rPr>
        <w:t>T</w:t>
      </w:r>
      <w:r>
        <w:rPr>
          <w:rFonts w:ascii="宋体" w:hAnsi="宋体" w:cs="宋体" w:eastAsia="宋体" w:hint="default"/>
          <w:spacing w:val="-60"/>
          <w:sz w:val="24"/>
          <w:szCs w:val="24"/>
        </w:rPr>
        <w:t> </w:t>
      </w:r>
      <w:r>
        <w:rPr>
          <w:rFonts w:ascii="宋体" w:hAnsi="宋体" w:cs="宋体" w:eastAsia="宋体" w:hint="default"/>
          <w:sz w:val="24"/>
          <w:szCs w:val="24"/>
        </w:rPr>
        <w:t>系列产品，</w:t>
      </w:r>
    </w:p>
    <w:p>
      <w:pPr>
        <w:spacing w:after="0" w:line="240" w:lineRule="exact"/>
        <w:jc w:val="left"/>
        <w:rPr>
          <w:rFonts w:ascii="宋体" w:hAnsi="宋体" w:cs="宋体" w:eastAsia="宋体" w:hint="default"/>
          <w:sz w:val="24"/>
          <w:szCs w:val="24"/>
        </w:rPr>
        <w:sectPr>
          <w:pgSz w:w="11910" w:h="16840"/>
          <w:pgMar w:header="720" w:footer="727" w:top="1080" w:bottom="920" w:left="1220" w:right="1080"/>
        </w:sectPr>
      </w:pPr>
    </w:p>
    <w:p>
      <w:pPr>
        <w:spacing w:line="240" w:lineRule="auto" w:before="12"/>
        <w:rPr>
          <w:rFonts w:ascii="宋体" w:hAnsi="宋体" w:cs="宋体" w:eastAsia="宋体" w:hint="default"/>
          <w:sz w:val="21"/>
          <w:szCs w:val="21"/>
        </w:rPr>
      </w:pPr>
    </w:p>
    <w:p>
      <w:pPr>
        <w:spacing w:line="297" w:lineRule="auto" w:before="26"/>
        <w:ind w:left="140" w:right="219" w:firstLine="0"/>
        <w:jc w:val="both"/>
        <w:rPr>
          <w:rFonts w:ascii="宋体" w:hAnsi="宋体" w:cs="宋体" w:eastAsia="宋体" w:hint="default"/>
          <w:sz w:val="24"/>
          <w:szCs w:val="24"/>
        </w:rPr>
      </w:pPr>
      <w:r>
        <w:rPr>
          <w:rFonts w:ascii="宋体" w:hAnsi="宋体" w:cs="宋体" w:eastAsia="宋体" w:hint="default"/>
          <w:sz w:val="24"/>
          <w:szCs w:val="24"/>
        </w:rPr>
        <w:t>包括单项级应用产品</w:t>
      </w:r>
      <w:r>
        <w:rPr>
          <w:rFonts w:ascii="宋体" w:hAnsi="宋体" w:cs="宋体" w:eastAsia="宋体" w:hint="default"/>
          <w:spacing w:val="-59"/>
          <w:sz w:val="24"/>
          <w:szCs w:val="24"/>
        </w:rPr>
        <w:t> </w:t>
      </w:r>
      <w:r>
        <w:rPr>
          <w:rFonts w:ascii="宋体" w:hAnsi="宋体" w:cs="宋体" w:eastAsia="宋体" w:hint="default"/>
          <w:spacing w:val="-6"/>
          <w:sz w:val="24"/>
          <w:szCs w:val="24"/>
        </w:rPr>
        <w:t>T1、部门级应用产品</w:t>
      </w:r>
      <w:r>
        <w:rPr>
          <w:rFonts w:ascii="宋体" w:hAnsi="宋体" w:cs="宋体" w:eastAsia="宋体" w:hint="default"/>
          <w:spacing w:val="-59"/>
          <w:sz w:val="24"/>
          <w:szCs w:val="24"/>
        </w:rPr>
        <w:t> </w:t>
      </w:r>
      <w:r>
        <w:rPr>
          <w:rFonts w:ascii="宋体" w:hAnsi="宋体" w:cs="宋体" w:eastAsia="宋体" w:hint="default"/>
          <w:sz w:val="24"/>
          <w:szCs w:val="24"/>
        </w:rPr>
        <w:t>T3</w:t>
      </w:r>
      <w:r>
        <w:rPr>
          <w:rFonts w:ascii="宋体" w:hAnsi="宋体" w:cs="宋体" w:eastAsia="宋体" w:hint="default"/>
          <w:spacing w:val="-59"/>
          <w:sz w:val="24"/>
          <w:szCs w:val="24"/>
        </w:rPr>
        <w:t> </w:t>
      </w:r>
      <w:r>
        <w:rPr>
          <w:rFonts w:ascii="宋体" w:hAnsi="宋体" w:cs="宋体" w:eastAsia="宋体" w:hint="default"/>
          <w:sz w:val="24"/>
          <w:szCs w:val="24"/>
        </w:rPr>
        <w:t>以及企业级应用产品</w:t>
      </w:r>
      <w:r>
        <w:rPr>
          <w:rFonts w:ascii="宋体" w:hAnsi="宋体" w:cs="宋体" w:eastAsia="宋体" w:hint="default"/>
          <w:spacing w:val="-59"/>
          <w:sz w:val="24"/>
          <w:szCs w:val="24"/>
        </w:rPr>
        <w:t> </w:t>
      </w:r>
      <w:r>
        <w:rPr>
          <w:rFonts w:ascii="宋体" w:hAnsi="宋体" w:cs="宋体" w:eastAsia="宋体" w:hint="default"/>
          <w:spacing w:val="-6"/>
          <w:sz w:val="24"/>
          <w:szCs w:val="24"/>
        </w:rPr>
        <w:t>T6，并加快税务业务发</w:t>
      </w:r>
      <w:r>
        <w:rPr>
          <w:rFonts w:ascii="宋体" w:hAnsi="宋体" w:cs="宋体" w:eastAsia="宋体" w:hint="default"/>
          <w:sz w:val="24"/>
          <w:szCs w:val="24"/>
        </w:rPr>
        <w:t> </w:t>
      </w:r>
      <w:r>
        <w:rPr>
          <w:rFonts w:ascii="宋体" w:hAnsi="宋体" w:cs="宋体" w:eastAsia="宋体" w:hint="default"/>
          <w:spacing w:val="-4"/>
          <w:sz w:val="24"/>
          <w:szCs w:val="24"/>
        </w:rPr>
        <w:t>展；公司大力扶持合作伙伴，制定服务标准，协助伙伴深入开展老客户经营，开展服务产</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品推广，优化服务体系，通过“中小企业健康成长计划”和“会计信息化大讲堂”全国巡</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讲活动，树立了低端管理软件品牌形象。</w:t>
      </w:r>
    </w:p>
    <w:p>
      <w:pPr>
        <w:spacing w:line="297" w:lineRule="auto" w:before="137"/>
        <w:ind w:left="140" w:right="219" w:firstLine="420"/>
        <w:jc w:val="both"/>
        <w:rPr>
          <w:rFonts w:ascii="宋体" w:hAnsi="宋体" w:cs="宋体" w:eastAsia="宋体" w:hint="default"/>
          <w:sz w:val="24"/>
          <w:szCs w:val="24"/>
        </w:rPr>
      </w:pPr>
      <w:r>
        <w:rPr>
          <w:rFonts w:ascii="宋体" w:hAnsi="宋体" w:cs="宋体" w:eastAsia="宋体" w:hint="default"/>
          <w:sz w:val="24"/>
          <w:szCs w:val="24"/>
        </w:rPr>
        <w:t>报告期内，公司发版了用友</w:t>
      </w:r>
      <w:r>
        <w:rPr>
          <w:rFonts w:ascii="宋体" w:hAnsi="宋体" w:cs="宋体" w:eastAsia="宋体" w:hint="default"/>
          <w:spacing w:val="-45"/>
          <w:sz w:val="24"/>
          <w:szCs w:val="24"/>
        </w:rPr>
        <w:t> </w:t>
      </w:r>
      <w:r>
        <w:rPr>
          <w:rFonts w:ascii="宋体" w:hAnsi="宋体" w:cs="宋体" w:eastAsia="宋体" w:hint="default"/>
          <w:sz w:val="24"/>
          <w:szCs w:val="24"/>
        </w:rPr>
        <w:t>T6-小企业管理软件</w:t>
      </w:r>
      <w:r>
        <w:rPr>
          <w:rFonts w:ascii="宋体" w:hAnsi="宋体" w:cs="宋体" w:eastAsia="宋体" w:hint="default"/>
          <w:spacing w:val="-45"/>
          <w:sz w:val="24"/>
          <w:szCs w:val="24"/>
        </w:rPr>
        <w:t> </w:t>
      </w:r>
      <w:r>
        <w:rPr>
          <w:rFonts w:ascii="宋体" w:hAnsi="宋体" w:cs="宋体" w:eastAsia="宋体" w:hint="default"/>
          <w:sz w:val="24"/>
          <w:szCs w:val="24"/>
        </w:rPr>
        <w:t>5.0、用友</w:t>
      </w:r>
      <w:r>
        <w:rPr>
          <w:rFonts w:ascii="宋体" w:hAnsi="宋体" w:cs="宋体" w:eastAsia="宋体" w:hint="default"/>
          <w:spacing w:val="-45"/>
          <w:sz w:val="24"/>
          <w:szCs w:val="24"/>
        </w:rPr>
        <w:t> </w:t>
      </w:r>
      <w:r>
        <w:rPr>
          <w:rFonts w:ascii="宋体" w:hAnsi="宋体" w:cs="宋体" w:eastAsia="宋体" w:hint="default"/>
          <w:sz w:val="24"/>
          <w:szCs w:val="24"/>
        </w:rPr>
        <w:t>T6-BI</w:t>
      </w:r>
      <w:r>
        <w:rPr>
          <w:rFonts w:ascii="宋体" w:hAnsi="宋体" w:cs="宋体" w:eastAsia="宋体" w:hint="default"/>
          <w:spacing w:val="-45"/>
          <w:sz w:val="24"/>
          <w:szCs w:val="24"/>
        </w:rPr>
        <w:t> </w:t>
      </w:r>
      <w:r>
        <w:rPr>
          <w:rFonts w:ascii="宋体" w:hAnsi="宋体" w:cs="宋体" w:eastAsia="宋体" w:hint="default"/>
          <w:sz w:val="24"/>
          <w:szCs w:val="24"/>
        </w:rPr>
        <w:t>决策系统 1.0、用</w:t>
      </w:r>
      <w:r>
        <w:rPr>
          <w:rFonts w:ascii="宋体" w:hAnsi="宋体" w:cs="宋体" w:eastAsia="宋体" w:hint="default"/>
          <w:sz w:val="24"/>
          <w:szCs w:val="24"/>
        </w:rPr>
        <w:t> 友</w:t>
      </w:r>
      <w:r>
        <w:rPr>
          <w:rFonts w:ascii="宋体" w:hAnsi="宋体" w:cs="宋体" w:eastAsia="宋体" w:hint="default"/>
          <w:spacing w:val="-60"/>
          <w:sz w:val="24"/>
          <w:szCs w:val="24"/>
        </w:rPr>
        <w:t> </w:t>
      </w:r>
      <w:r>
        <w:rPr>
          <w:rFonts w:ascii="宋体" w:hAnsi="宋体" w:cs="宋体" w:eastAsia="宋体" w:hint="default"/>
          <w:sz w:val="24"/>
          <w:szCs w:val="24"/>
        </w:rPr>
        <w:t>T6-人力资源管理软件</w:t>
      </w:r>
      <w:r>
        <w:rPr>
          <w:rFonts w:ascii="宋体" w:hAnsi="宋体" w:cs="宋体" w:eastAsia="宋体" w:hint="default"/>
          <w:spacing w:val="-20"/>
          <w:sz w:val="24"/>
          <w:szCs w:val="24"/>
        </w:rPr>
        <w:t> </w:t>
      </w:r>
      <w:r>
        <w:rPr>
          <w:rFonts w:ascii="宋体" w:hAnsi="宋体" w:cs="宋体" w:eastAsia="宋体" w:hint="default"/>
          <w:sz w:val="24"/>
          <w:szCs w:val="24"/>
        </w:rPr>
        <w:t>10.3、用友</w:t>
      </w:r>
      <w:r>
        <w:rPr>
          <w:rFonts w:ascii="宋体" w:hAnsi="宋体" w:cs="宋体" w:eastAsia="宋体" w:hint="default"/>
          <w:spacing w:val="-60"/>
          <w:sz w:val="24"/>
          <w:szCs w:val="24"/>
        </w:rPr>
        <w:t> </w:t>
      </w:r>
      <w:r>
        <w:rPr>
          <w:rFonts w:ascii="宋体" w:hAnsi="宋体" w:cs="宋体" w:eastAsia="宋体" w:hint="default"/>
          <w:sz w:val="24"/>
          <w:szCs w:val="24"/>
        </w:rPr>
        <w:t>T6-渠道配货管理</w:t>
      </w:r>
      <w:r>
        <w:rPr>
          <w:rFonts w:ascii="宋体" w:hAnsi="宋体" w:cs="宋体" w:eastAsia="宋体" w:hint="default"/>
          <w:spacing w:val="-20"/>
          <w:sz w:val="24"/>
          <w:szCs w:val="24"/>
        </w:rPr>
        <w:t> </w:t>
      </w:r>
      <w:r>
        <w:rPr>
          <w:rFonts w:ascii="宋体" w:hAnsi="宋体" w:cs="宋体" w:eastAsia="宋体" w:hint="default"/>
          <w:sz w:val="24"/>
          <w:szCs w:val="24"/>
        </w:rPr>
        <w:t>11.0、用友</w:t>
      </w:r>
      <w:r>
        <w:rPr>
          <w:rFonts w:ascii="宋体" w:hAnsi="宋体" w:cs="宋体" w:eastAsia="宋体" w:hint="default"/>
          <w:spacing w:val="-60"/>
          <w:sz w:val="24"/>
          <w:szCs w:val="24"/>
        </w:rPr>
        <w:t> </w:t>
      </w:r>
      <w:r>
        <w:rPr>
          <w:rFonts w:ascii="宋体" w:hAnsi="宋体" w:cs="宋体" w:eastAsia="宋体" w:hint="default"/>
          <w:sz w:val="24"/>
          <w:szCs w:val="24"/>
        </w:rPr>
        <w:t>T3-财税通</w:t>
      </w:r>
      <w:r>
        <w:rPr>
          <w:rFonts w:ascii="宋体" w:hAnsi="宋体" w:cs="宋体" w:eastAsia="宋体" w:hint="default"/>
          <w:spacing w:val="-20"/>
          <w:sz w:val="24"/>
          <w:szCs w:val="24"/>
        </w:rPr>
        <w:t> </w:t>
      </w:r>
      <w:r>
        <w:rPr>
          <w:rFonts w:ascii="宋体" w:hAnsi="宋体" w:cs="宋体" w:eastAsia="宋体" w:hint="default"/>
          <w:sz w:val="24"/>
          <w:szCs w:val="24"/>
        </w:rPr>
        <w:t>10.6、用</w:t>
      </w:r>
      <w:r>
        <w:rPr>
          <w:rFonts w:ascii="宋体" w:hAnsi="宋体" w:cs="宋体" w:eastAsia="宋体" w:hint="default"/>
          <w:sz w:val="24"/>
          <w:szCs w:val="24"/>
        </w:rPr>
        <w:t> 友</w:t>
      </w:r>
      <w:r>
        <w:rPr>
          <w:rFonts w:ascii="宋体" w:hAnsi="宋体" w:cs="宋体" w:eastAsia="宋体" w:hint="default"/>
          <w:spacing w:val="-40"/>
          <w:sz w:val="24"/>
          <w:szCs w:val="24"/>
        </w:rPr>
        <w:t> </w:t>
      </w:r>
      <w:r>
        <w:rPr>
          <w:rFonts w:ascii="宋体" w:hAnsi="宋体" w:cs="宋体" w:eastAsia="宋体" w:hint="default"/>
          <w:sz w:val="24"/>
          <w:szCs w:val="24"/>
        </w:rPr>
        <w:t>T3-业务通专业版 11.0、用友</w:t>
      </w:r>
      <w:r>
        <w:rPr>
          <w:rFonts w:ascii="宋体" w:hAnsi="宋体" w:cs="宋体" w:eastAsia="宋体" w:hint="default"/>
          <w:spacing w:val="-40"/>
          <w:sz w:val="24"/>
          <w:szCs w:val="24"/>
        </w:rPr>
        <w:t> </w:t>
      </w:r>
      <w:r>
        <w:rPr>
          <w:rFonts w:ascii="宋体" w:hAnsi="宋体" w:cs="宋体" w:eastAsia="宋体" w:hint="default"/>
          <w:sz w:val="24"/>
          <w:szCs w:val="24"/>
        </w:rPr>
        <w:t>T1-加盟商管理 11.0、用友</w:t>
      </w:r>
      <w:r>
        <w:rPr>
          <w:rFonts w:ascii="宋体" w:hAnsi="宋体" w:cs="宋体" w:eastAsia="宋体" w:hint="default"/>
          <w:spacing w:val="-40"/>
          <w:sz w:val="24"/>
          <w:szCs w:val="24"/>
        </w:rPr>
        <w:t> </w:t>
      </w:r>
      <w:r>
        <w:rPr>
          <w:rFonts w:ascii="宋体" w:hAnsi="宋体" w:cs="宋体" w:eastAsia="宋体" w:hint="default"/>
          <w:sz w:val="24"/>
          <w:szCs w:val="24"/>
        </w:rPr>
        <w:t>T1-商贸宝服装鞋帽普及版</w:t>
      </w:r>
      <w:r>
        <w:rPr>
          <w:rFonts w:ascii="宋体" w:hAnsi="宋体" w:cs="宋体" w:eastAsia="宋体" w:hint="default"/>
          <w:sz w:val="24"/>
          <w:szCs w:val="24"/>
        </w:rPr>
        <w:t> 11.0</w:t>
      </w:r>
      <w:r>
        <w:rPr>
          <w:rFonts w:ascii="宋体" w:hAnsi="宋体" w:cs="宋体" w:eastAsia="宋体" w:hint="default"/>
          <w:spacing w:val="-60"/>
          <w:sz w:val="24"/>
          <w:szCs w:val="24"/>
        </w:rPr>
        <w:t> </w:t>
      </w:r>
      <w:r>
        <w:rPr>
          <w:rFonts w:ascii="宋体" w:hAnsi="宋体" w:cs="宋体" w:eastAsia="宋体" w:hint="default"/>
          <w:sz w:val="24"/>
          <w:szCs w:val="24"/>
        </w:rPr>
        <w:t>等产品，进一步丰富了公司面向小型企业市场的产品线。</w:t>
      </w:r>
    </w:p>
    <w:p>
      <w:pPr>
        <w:spacing w:line="388" w:lineRule="auto" w:before="137"/>
        <w:ind w:left="560" w:right="144" w:firstLine="62"/>
        <w:jc w:val="left"/>
        <w:rPr>
          <w:rFonts w:ascii="宋体" w:hAnsi="宋体" w:cs="宋体" w:eastAsia="宋体" w:hint="default"/>
          <w:sz w:val="24"/>
          <w:szCs w:val="24"/>
        </w:rPr>
      </w:pPr>
      <w:r>
        <w:rPr>
          <w:rFonts w:ascii="宋体" w:hAnsi="宋体" w:cs="宋体" w:eastAsia="宋体" w:hint="default"/>
          <w:sz w:val="24"/>
          <w:szCs w:val="24"/>
        </w:rPr>
        <w:t>⑦ 在线服务业务 报告期内，在线服务业务完成营销类服务发布，实现服务转向，加强探索销售模式，</w:t>
      </w:r>
    </w:p>
    <w:p>
      <w:pPr>
        <w:spacing w:line="240" w:lineRule="exact" w:before="0"/>
        <w:ind w:left="140" w:right="0" w:firstLine="0"/>
        <w:jc w:val="both"/>
        <w:rPr>
          <w:rFonts w:ascii="宋体" w:hAnsi="宋体" w:cs="宋体" w:eastAsia="宋体" w:hint="default"/>
          <w:sz w:val="24"/>
          <w:szCs w:val="24"/>
        </w:rPr>
      </w:pPr>
      <w:r>
        <w:rPr>
          <w:rFonts w:ascii="宋体" w:hAnsi="宋体" w:cs="宋体" w:eastAsia="宋体" w:hint="default"/>
          <w:sz w:val="24"/>
          <w:szCs w:val="24"/>
        </w:rPr>
        <w:t>完善伙伴业务模型, 完成重点伙伴服务工程师考核认证，伙伴力量进一步加强。</w:t>
      </w:r>
    </w:p>
    <w:p>
      <w:pPr>
        <w:spacing w:line="297" w:lineRule="auto" w:before="194"/>
        <w:ind w:left="140" w:right="219" w:firstLine="482"/>
        <w:jc w:val="both"/>
        <w:rPr>
          <w:rFonts w:ascii="宋体" w:hAnsi="宋体" w:cs="宋体" w:eastAsia="宋体" w:hint="default"/>
          <w:sz w:val="24"/>
          <w:szCs w:val="24"/>
        </w:rPr>
      </w:pPr>
      <w:r>
        <w:rPr>
          <w:rFonts w:ascii="宋体" w:hAnsi="宋体" w:cs="宋体" w:eastAsia="宋体" w:hint="default"/>
          <w:sz w:val="24"/>
          <w:szCs w:val="24"/>
        </w:rPr>
        <w:t>报告期内，公司发版了用友移动快讯</w:t>
      </w:r>
      <w:r>
        <w:rPr>
          <w:rFonts w:ascii="宋体" w:hAnsi="宋体" w:cs="宋体" w:eastAsia="宋体" w:hint="default"/>
          <w:spacing w:val="-60"/>
          <w:sz w:val="24"/>
          <w:szCs w:val="24"/>
        </w:rPr>
        <w:t> </w:t>
      </w:r>
      <w:r>
        <w:rPr>
          <w:rFonts w:ascii="宋体" w:hAnsi="宋体" w:cs="宋体" w:eastAsia="宋体" w:hint="default"/>
          <w:sz w:val="24"/>
          <w:szCs w:val="24"/>
        </w:rPr>
        <w:t>V1.5、用友</w:t>
      </w:r>
      <w:r>
        <w:rPr>
          <w:rFonts w:ascii="宋体" w:hAnsi="宋体" w:cs="宋体" w:eastAsia="宋体" w:hint="default"/>
          <w:spacing w:val="-60"/>
          <w:sz w:val="24"/>
          <w:szCs w:val="24"/>
        </w:rPr>
        <w:t> </w:t>
      </w:r>
      <w:r>
        <w:rPr>
          <w:rFonts w:ascii="宋体" w:hAnsi="宋体" w:cs="宋体" w:eastAsia="宋体" w:hint="default"/>
          <w:sz w:val="24"/>
          <w:szCs w:val="24"/>
        </w:rPr>
        <w:t>MERP V2.5、用友网客宝 V2.0、用</w:t>
      </w:r>
      <w:r>
        <w:rPr>
          <w:rFonts w:ascii="宋体" w:hAnsi="宋体" w:cs="宋体" w:eastAsia="宋体" w:hint="default"/>
          <w:sz w:val="24"/>
          <w:szCs w:val="24"/>
        </w:rPr>
        <w:t> 友互联网呼叫中心</w:t>
      </w:r>
      <w:r>
        <w:rPr>
          <w:rFonts w:ascii="宋体" w:hAnsi="宋体" w:cs="宋体" w:eastAsia="宋体" w:hint="default"/>
          <w:spacing w:val="-40"/>
          <w:sz w:val="24"/>
          <w:szCs w:val="24"/>
        </w:rPr>
        <w:t> </w:t>
      </w:r>
      <w:r>
        <w:rPr>
          <w:rFonts w:ascii="宋体" w:hAnsi="宋体" w:cs="宋体" w:eastAsia="宋体" w:hint="default"/>
          <w:sz w:val="24"/>
          <w:szCs w:val="24"/>
        </w:rPr>
        <w:t>V3.1</w:t>
      </w:r>
      <w:r>
        <w:rPr>
          <w:rFonts w:ascii="宋体" w:hAnsi="宋体" w:cs="宋体" w:eastAsia="宋体" w:hint="default"/>
          <w:spacing w:val="-40"/>
          <w:sz w:val="24"/>
          <w:szCs w:val="24"/>
        </w:rPr>
        <w:t> </w:t>
      </w:r>
      <w:r>
        <w:rPr>
          <w:rFonts w:ascii="宋体" w:hAnsi="宋体" w:cs="宋体" w:eastAsia="宋体" w:hint="default"/>
          <w:sz w:val="24"/>
          <w:szCs w:val="24"/>
        </w:rPr>
        <w:t>等产品，完成了财源滚滚 V2.8</w:t>
      </w:r>
      <w:r>
        <w:rPr>
          <w:rFonts w:ascii="宋体" w:hAnsi="宋体" w:cs="宋体" w:eastAsia="宋体" w:hint="default"/>
          <w:spacing w:val="-40"/>
          <w:sz w:val="24"/>
          <w:szCs w:val="24"/>
        </w:rPr>
        <w:t> </w:t>
      </w:r>
      <w:r>
        <w:rPr>
          <w:rFonts w:ascii="宋体" w:hAnsi="宋体" w:cs="宋体" w:eastAsia="宋体" w:hint="default"/>
          <w:sz w:val="24"/>
          <w:szCs w:val="24"/>
        </w:rPr>
        <w:t>上线，基于客户反馈持续改进用</w:t>
      </w:r>
      <w:r>
        <w:rPr>
          <w:rFonts w:ascii="宋体" w:hAnsi="宋体" w:cs="宋体" w:eastAsia="宋体" w:hint="default"/>
          <w:sz w:val="24"/>
          <w:szCs w:val="24"/>
        </w:rPr>
        <w:t> 户体验与关键功能，公司对客源滚滚进行了产品稳定性完善；在“2009</w:t>
      </w:r>
      <w:r>
        <w:rPr>
          <w:rFonts w:ascii="宋体" w:hAnsi="宋体" w:cs="宋体" w:eastAsia="宋体" w:hint="default"/>
          <w:spacing w:val="-58"/>
          <w:sz w:val="24"/>
          <w:szCs w:val="24"/>
        </w:rPr>
        <w:t> </w:t>
      </w:r>
      <w:r>
        <w:rPr>
          <w:rFonts w:ascii="宋体" w:hAnsi="宋体" w:cs="宋体" w:eastAsia="宋体" w:hint="default"/>
          <w:sz w:val="24"/>
          <w:szCs w:val="24"/>
        </w:rPr>
        <w:t>SaaS</w:t>
      </w:r>
      <w:r>
        <w:rPr>
          <w:rFonts w:ascii="宋体" w:hAnsi="宋体" w:cs="宋体" w:eastAsia="宋体" w:hint="default"/>
          <w:spacing w:val="-60"/>
          <w:sz w:val="24"/>
          <w:szCs w:val="24"/>
        </w:rPr>
        <w:t> </w:t>
      </w:r>
      <w:r>
        <w:rPr>
          <w:rFonts w:ascii="宋体" w:hAnsi="宋体" w:cs="宋体" w:eastAsia="宋体" w:hint="default"/>
          <w:sz w:val="24"/>
          <w:szCs w:val="24"/>
        </w:rPr>
        <w:t>在中国—第</w:t>
      </w:r>
      <w:r>
        <w:rPr>
          <w:rFonts w:ascii="宋体" w:hAnsi="宋体" w:cs="宋体" w:eastAsia="宋体" w:hint="default"/>
          <w:sz w:val="24"/>
          <w:szCs w:val="24"/>
        </w:rPr>
        <w:t> 三届中国软件运营服务大会”上，用友伟库网荣获大会最权威大奖—“年度贡献奖”。</w:t>
      </w:r>
    </w:p>
    <w:p>
      <w:pPr>
        <w:spacing w:line="388" w:lineRule="auto" w:before="137"/>
        <w:ind w:left="623" w:right="81" w:firstLine="0"/>
        <w:jc w:val="left"/>
        <w:rPr>
          <w:rFonts w:ascii="宋体" w:hAnsi="宋体" w:cs="宋体" w:eastAsia="宋体" w:hint="default"/>
          <w:sz w:val="24"/>
          <w:szCs w:val="24"/>
        </w:rPr>
      </w:pPr>
      <w:r>
        <w:rPr>
          <w:rFonts w:ascii="宋体" w:hAnsi="宋体" w:cs="宋体" w:eastAsia="宋体" w:hint="default"/>
          <w:sz w:val="24"/>
          <w:szCs w:val="24"/>
        </w:rPr>
        <w:t>⑧ 培训教育业务 报告期内，公司持续围绕企业培训、院校教育与人才服务等方面开展培训教育业务，</w:t>
      </w:r>
    </w:p>
    <w:p>
      <w:pPr>
        <w:spacing w:line="240" w:lineRule="exact" w:before="0"/>
        <w:ind w:left="140" w:right="0" w:firstLine="0"/>
        <w:jc w:val="both"/>
        <w:rPr>
          <w:rFonts w:ascii="宋体" w:hAnsi="宋体" w:cs="宋体" w:eastAsia="宋体" w:hint="default"/>
          <w:sz w:val="24"/>
          <w:szCs w:val="24"/>
        </w:rPr>
      </w:pPr>
      <w:r>
        <w:rPr>
          <w:rFonts w:ascii="宋体" w:hAnsi="宋体" w:cs="宋体" w:eastAsia="宋体" w:hint="default"/>
          <w:sz w:val="24"/>
          <w:szCs w:val="24"/>
        </w:rPr>
        <w:t>持续深化客户分类经营</w:t>
      </w:r>
      <w:r>
        <w:rPr>
          <w:rFonts w:ascii="宋体" w:hAnsi="宋体" w:cs="宋体" w:eastAsia="宋体" w:hint="default"/>
          <w:spacing w:val="-119"/>
          <w:sz w:val="24"/>
          <w:szCs w:val="24"/>
        </w:rPr>
        <w:t>，</w:t>
      </w:r>
      <w:r>
        <w:rPr>
          <w:rFonts w:ascii="宋体" w:hAnsi="宋体" w:cs="宋体" w:eastAsia="宋体" w:hint="default"/>
          <w:sz w:val="24"/>
          <w:szCs w:val="24"/>
        </w:rPr>
        <w:t>产品与服务实现高速增长</w:t>
      </w:r>
      <w:r>
        <w:rPr>
          <w:rFonts w:ascii="宋体" w:hAnsi="宋体" w:cs="宋体" w:eastAsia="宋体" w:hint="default"/>
          <w:spacing w:val="-119"/>
          <w:sz w:val="24"/>
          <w:szCs w:val="24"/>
        </w:rPr>
        <w:t>，</w:t>
      </w:r>
      <w:r>
        <w:rPr>
          <w:rFonts w:ascii="宋体" w:hAnsi="宋体" w:cs="宋体" w:eastAsia="宋体" w:hint="default"/>
          <w:sz w:val="24"/>
          <w:szCs w:val="24"/>
        </w:rPr>
        <w:t>企业培训新的业务模式开始展现效果，</w:t>
      </w:r>
    </w:p>
    <w:p>
      <w:pPr>
        <w:spacing w:line="297" w:lineRule="auto" w:before="74"/>
        <w:ind w:left="140" w:right="220" w:firstLine="0"/>
        <w:jc w:val="both"/>
        <w:rPr>
          <w:rFonts w:ascii="宋体" w:hAnsi="宋体" w:cs="宋体" w:eastAsia="宋体" w:hint="default"/>
          <w:sz w:val="24"/>
          <w:szCs w:val="24"/>
        </w:rPr>
      </w:pPr>
      <w:r>
        <w:rPr>
          <w:rFonts w:ascii="宋体" w:hAnsi="宋体" w:cs="宋体" w:eastAsia="宋体" w:hint="default"/>
          <w:spacing w:val="-4"/>
          <w:sz w:val="24"/>
          <w:szCs w:val="24"/>
        </w:rPr>
        <w:t>院校业务开展良好，合作院校增多，公司与教育主管机构合作，成功举办了第五届“全国</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大学生沙盘创业与经营大赛”；公司推出面向院校市场营销专业、信息专业实验室产品与</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课程，成功举办了“用友杯第三届软件应用技能大赛”。</w:t>
      </w:r>
    </w:p>
    <w:p>
      <w:pPr>
        <w:spacing w:line="297" w:lineRule="auto" w:before="138"/>
        <w:ind w:left="140" w:right="219" w:firstLine="482"/>
        <w:jc w:val="both"/>
        <w:rPr>
          <w:rFonts w:ascii="宋体" w:hAnsi="宋体" w:cs="宋体" w:eastAsia="宋体" w:hint="default"/>
          <w:sz w:val="24"/>
          <w:szCs w:val="24"/>
        </w:rPr>
      </w:pPr>
      <w:r>
        <w:rPr>
          <w:rFonts w:ascii="宋体" w:hAnsi="宋体" w:cs="宋体" w:eastAsia="宋体" w:hint="default"/>
          <w:sz w:val="24"/>
          <w:szCs w:val="24"/>
        </w:rPr>
        <w:t>报告期内，公司发版了用友项目管理沙盘实战训练课程 V2.0、用友房地产沙盘实训 课程 V1.0、用友分销与零售沙盘实训课程 V1.0、用友</w:t>
      </w:r>
      <w:r>
        <w:rPr>
          <w:rFonts w:ascii="宋体" w:hAnsi="宋体" w:cs="宋体" w:eastAsia="宋体" w:hint="default"/>
          <w:spacing w:val="-59"/>
          <w:sz w:val="24"/>
          <w:szCs w:val="24"/>
        </w:rPr>
        <w:t> </w:t>
      </w:r>
      <w:r>
        <w:rPr>
          <w:rFonts w:ascii="宋体" w:hAnsi="宋体" w:cs="宋体" w:eastAsia="宋体" w:hint="default"/>
          <w:sz w:val="24"/>
          <w:szCs w:val="24"/>
        </w:rPr>
        <w:t>ERP-U8.72</w:t>
      </w:r>
      <w:r>
        <w:rPr>
          <w:rFonts w:ascii="宋体" w:hAnsi="宋体" w:cs="宋体" w:eastAsia="宋体" w:hint="default"/>
          <w:spacing w:val="-59"/>
          <w:sz w:val="24"/>
          <w:szCs w:val="24"/>
        </w:rPr>
        <w:t> </w:t>
      </w:r>
      <w:r>
        <w:rPr>
          <w:rFonts w:ascii="宋体" w:hAnsi="宋体" w:cs="宋体" w:eastAsia="宋体" w:hint="default"/>
          <w:sz w:val="24"/>
          <w:szCs w:val="24"/>
        </w:rPr>
        <w:t>学习中心 V1.2、用友</w:t>
      </w:r>
      <w:r>
        <w:rPr>
          <w:rFonts w:ascii="宋体" w:hAnsi="宋体" w:cs="宋体" w:eastAsia="宋体" w:hint="default"/>
          <w:sz w:val="24"/>
          <w:szCs w:val="24"/>
        </w:rPr>
        <w:t> ERP-NC5.5</w:t>
      </w:r>
      <w:r>
        <w:rPr>
          <w:rFonts w:ascii="宋体" w:hAnsi="宋体" w:cs="宋体" w:eastAsia="宋体" w:hint="default"/>
          <w:spacing w:val="-60"/>
          <w:sz w:val="24"/>
          <w:szCs w:val="24"/>
        </w:rPr>
        <w:t> </w:t>
      </w:r>
      <w:r>
        <w:rPr>
          <w:rFonts w:ascii="宋体" w:hAnsi="宋体" w:cs="宋体" w:eastAsia="宋体" w:hint="default"/>
          <w:sz w:val="24"/>
          <w:szCs w:val="24"/>
        </w:rPr>
        <w:t>学习中心 V1.3、用友</w:t>
      </w:r>
      <w:r>
        <w:rPr>
          <w:rFonts w:ascii="宋体" w:hAnsi="宋体" w:cs="宋体" w:eastAsia="宋体" w:hint="default"/>
          <w:spacing w:val="-60"/>
          <w:sz w:val="24"/>
          <w:szCs w:val="24"/>
        </w:rPr>
        <w:t> </w:t>
      </w:r>
      <w:r>
        <w:rPr>
          <w:rFonts w:ascii="宋体" w:hAnsi="宋体" w:cs="宋体" w:eastAsia="宋体" w:hint="default"/>
          <w:sz w:val="24"/>
          <w:szCs w:val="24"/>
        </w:rPr>
        <w:t>ERP-U8.90</w:t>
      </w:r>
      <w:r>
        <w:rPr>
          <w:rFonts w:ascii="宋体" w:hAnsi="宋体" w:cs="宋体" w:eastAsia="宋体" w:hint="default"/>
          <w:spacing w:val="-60"/>
          <w:sz w:val="24"/>
          <w:szCs w:val="24"/>
        </w:rPr>
        <w:t> </w:t>
      </w:r>
      <w:r>
        <w:rPr>
          <w:rFonts w:ascii="宋体" w:hAnsi="宋体" w:cs="宋体" w:eastAsia="宋体" w:hint="default"/>
          <w:sz w:val="24"/>
          <w:szCs w:val="24"/>
        </w:rPr>
        <w:t>学习中心等产品。</w:t>
      </w:r>
    </w:p>
    <w:p>
      <w:pPr>
        <w:spacing w:line="388" w:lineRule="auto" w:before="137"/>
        <w:ind w:left="560" w:right="202" w:firstLine="62"/>
        <w:jc w:val="left"/>
        <w:rPr>
          <w:rFonts w:ascii="宋体" w:hAnsi="宋体" w:cs="宋体" w:eastAsia="宋体" w:hint="default"/>
          <w:sz w:val="24"/>
          <w:szCs w:val="24"/>
        </w:rPr>
      </w:pPr>
      <w:r>
        <w:rPr>
          <w:rFonts w:ascii="宋体" w:hAnsi="宋体" w:cs="宋体" w:eastAsia="宋体" w:hint="default"/>
          <w:sz w:val="24"/>
          <w:szCs w:val="24"/>
        </w:rPr>
        <w:t>2） 销售管理与客户经营机构管理情况 报告期内，公司进一步推进地区布局工作，新成立 16</w:t>
      </w:r>
      <w:r>
        <w:rPr>
          <w:rFonts w:ascii="宋体" w:hAnsi="宋体" w:cs="宋体" w:eastAsia="宋体" w:hint="default"/>
          <w:spacing w:val="-58"/>
          <w:sz w:val="24"/>
          <w:szCs w:val="24"/>
        </w:rPr>
        <w:t> </w:t>
      </w:r>
      <w:r>
        <w:rPr>
          <w:rFonts w:ascii="宋体" w:hAnsi="宋体" w:cs="宋体" w:eastAsia="宋体" w:hint="default"/>
          <w:sz w:val="24"/>
          <w:szCs w:val="24"/>
        </w:rPr>
        <w:t>家地市级分公司，优化地区业</w:t>
      </w:r>
    </w:p>
    <w:p>
      <w:pPr>
        <w:spacing w:line="241" w:lineRule="exact" w:before="0"/>
        <w:ind w:left="140" w:right="0" w:firstLine="0"/>
        <w:jc w:val="both"/>
        <w:rPr>
          <w:rFonts w:ascii="宋体" w:hAnsi="宋体" w:cs="宋体" w:eastAsia="宋体" w:hint="default"/>
          <w:sz w:val="24"/>
          <w:szCs w:val="24"/>
        </w:rPr>
      </w:pPr>
      <w:r>
        <w:rPr>
          <w:rFonts w:ascii="宋体" w:hAnsi="宋体" w:cs="宋体" w:eastAsia="宋体" w:hint="default"/>
          <w:spacing w:val="-4"/>
          <w:sz w:val="24"/>
          <w:szCs w:val="24"/>
        </w:rPr>
        <w:t>务资源布局，提升地区业务机构的经营能力，深化客户经营，加强专业化能力建设；进一</w:t>
      </w:r>
    </w:p>
    <w:p>
      <w:pPr>
        <w:spacing w:line="297" w:lineRule="auto" w:before="74"/>
        <w:ind w:left="140" w:right="220" w:firstLine="0"/>
        <w:jc w:val="both"/>
        <w:rPr>
          <w:rFonts w:ascii="宋体" w:hAnsi="宋体" w:cs="宋体" w:eastAsia="宋体" w:hint="default"/>
          <w:sz w:val="24"/>
          <w:szCs w:val="24"/>
        </w:rPr>
      </w:pPr>
      <w:r>
        <w:rPr>
          <w:rFonts w:ascii="宋体" w:hAnsi="宋体" w:cs="宋体" w:eastAsia="宋体" w:hint="default"/>
          <w:spacing w:val="-4"/>
          <w:sz w:val="24"/>
          <w:szCs w:val="24"/>
        </w:rPr>
        <w:t>步优化标准合同，加强了合同审查工作，合同签约质量得到提升，开展了打击盗版专项工</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作，整顿了市场秩序；公司全面深化客户经营战略，推广服务产品营销新模式，落实标准</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服务产品发布推广，发版了客户经营手册 V2.0，深入开展客户经营工作，设计并推广了 老客户经营计划与工具模板。</w:t>
      </w:r>
    </w:p>
    <w:p>
      <w:pPr>
        <w:spacing w:before="137"/>
        <w:ind w:left="623" w:right="220" w:firstLine="0"/>
        <w:jc w:val="left"/>
        <w:rPr>
          <w:rFonts w:ascii="宋体" w:hAnsi="宋体" w:cs="宋体" w:eastAsia="宋体" w:hint="default"/>
          <w:sz w:val="24"/>
          <w:szCs w:val="24"/>
        </w:rPr>
      </w:pPr>
      <w:r>
        <w:rPr>
          <w:rFonts w:ascii="宋体" w:hAnsi="宋体" w:cs="宋体" w:eastAsia="宋体" w:hint="default"/>
          <w:sz w:val="24"/>
          <w:szCs w:val="24"/>
        </w:rPr>
        <w:t>3） 集团市场和业务发展情况</w:t>
      </w:r>
    </w:p>
    <w:p>
      <w:pPr>
        <w:spacing w:after="0"/>
        <w:jc w:val="left"/>
        <w:rPr>
          <w:rFonts w:ascii="宋体" w:hAnsi="宋体" w:cs="宋体" w:eastAsia="宋体" w:hint="default"/>
          <w:sz w:val="24"/>
          <w:szCs w:val="24"/>
        </w:rPr>
        <w:sectPr>
          <w:pgSz w:w="11910" w:h="16840"/>
          <w:pgMar w:header="720" w:footer="727" w:top="1080" w:bottom="920" w:left="1220" w:right="1080"/>
        </w:sectPr>
      </w:pPr>
    </w:p>
    <w:p>
      <w:pPr>
        <w:spacing w:line="240" w:lineRule="auto" w:before="12"/>
        <w:rPr>
          <w:rFonts w:ascii="宋体" w:hAnsi="宋体" w:cs="宋体" w:eastAsia="宋体" w:hint="default"/>
          <w:sz w:val="21"/>
          <w:szCs w:val="21"/>
        </w:rPr>
      </w:pPr>
    </w:p>
    <w:p>
      <w:pPr>
        <w:spacing w:line="297" w:lineRule="auto" w:before="26"/>
        <w:ind w:left="140" w:right="84" w:firstLine="480"/>
        <w:jc w:val="left"/>
        <w:rPr>
          <w:rFonts w:ascii="宋体" w:hAnsi="宋体" w:cs="宋体" w:eastAsia="宋体" w:hint="default"/>
          <w:sz w:val="24"/>
          <w:szCs w:val="24"/>
        </w:rPr>
      </w:pPr>
      <w:r>
        <w:rPr>
          <w:rFonts w:ascii="宋体" w:hAnsi="宋体" w:cs="宋体" w:eastAsia="宋体" w:hint="default"/>
          <w:spacing w:val="-2"/>
          <w:sz w:val="24"/>
          <w:szCs w:val="24"/>
        </w:rPr>
        <w:t>报告期内，公司实施了品牌提升专项工程，在</w:t>
      </w:r>
      <w:r>
        <w:rPr>
          <w:rFonts w:ascii="宋体" w:hAnsi="宋体" w:cs="宋体" w:eastAsia="宋体" w:hint="default"/>
          <w:spacing w:val="-45"/>
          <w:sz w:val="24"/>
          <w:szCs w:val="24"/>
        </w:rPr>
        <w:t> </w:t>
      </w:r>
      <w:r>
        <w:rPr>
          <w:rFonts w:ascii="宋体" w:hAnsi="宋体" w:cs="宋体" w:eastAsia="宋体" w:hint="default"/>
          <w:spacing w:val="-2"/>
          <w:sz w:val="24"/>
          <w:szCs w:val="24"/>
        </w:rPr>
        <w:t>CCTV、新浪和中国企业家杂志等电视、</w:t>
      </w:r>
      <w:r>
        <w:rPr>
          <w:rFonts w:ascii="宋体" w:hAnsi="宋体" w:cs="宋体" w:eastAsia="宋体" w:hint="default"/>
          <w:sz w:val="24"/>
          <w:szCs w:val="24"/>
        </w:rPr>
        <w:t> 网络和平面媒体上加大投放，加强品牌宣传，持续提升“用友企业管理软件”品牌形象。</w:t>
      </w:r>
    </w:p>
    <w:p>
      <w:pPr>
        <w:spacing w:line="357" w:lineRule="auto" w:before="137"/>
        <w:ind w:left="140" w:right="219" w:firstLine="480"/>
        <w:jc w:val="both"/>
        <w:rPr>
          <w:rFonts w:ascii="宋体" w:hAnsi="宋体" w:cs="宋体" w:eastAsia="宋体" w:hint="default"/>
          <w:sz w:val="24"/>
          <w:szCs w:val="24"/>
        </w:rPr>
      </w:pPr>
      <w:r>
        <w:rPr>
          <w:rFonts w:ascii="宋体" w:hAnsi="宋体" w:cs="宋体" w:eastAsia="宋体" w:hint="default"/>
          <w:spacing w:val="-4"/>
          <w:sz w:val="24"/>
          <w:szCs w:val="24"/>
        </w:rPr>
        <w:t>报告期内，公司配合工信部，实施中小企业“健康成长计划”，推进我国中小企业信</w:t>
      </w:r>
      <w:r>
        <w:rPr>
          <w:rFonts w:ascii="宋体" w:hAnsi="宋体" w:cs="宋体" w:eastAsia="宋体" w:hint="default"/>
          <w:sz w:val="24"/>
          <w:szCs w:val="24"/>
        </w:rPr>
        <w:t> </w:t>
      </w:r>
      <w:r>
        <w:rPr>
          <w:rFonts w:ascii="宋体" w:hAnsi="宋体" w:cs="宋体" w:eastAsia="宋体" w:hint="default"/>
          <w:spacing w:val="-3"/>
          <w:sz w:val="24"/>
          <w:szCs w:val="24"/>
        </w:rPr>
        <w:t>息化建设；成功举办了</w:t>
      </w:r>
      <w:r>
        <w:rPr>
          <w:rFonts w:ascii="宋体" w:hAnsi="宋体" w:cs="宋体" w:eastAsia="宋体" w:hint="default"/>
          <w:spacing w:val="-69"/>
          <w:sz w:val="24"/>
          <w:szCs w:val="24"/>
        </w:rPr>
        <w:t> </w:t>
      </w:r>
      <w:r>
        <w:rPr>
          <w:rFonts w:ascii="宋体" w:hAnsi="宋体" w:cs="宋体" w:eastAsia="宋体" w:hint="default"/>
          <w:sz w:val="24"/>
          <w:szCs w:val="24"/>
        </w:rPr>
        <w:t>2009</w:t>
      </w:r>
      <w:r>
        <w:rPr>
          <w:rFonts w:ascii="宋体" w:hAnsi="宋体" w:cs="宋体" w:eastAsia="宋体" w:hint="default"/>
          <w:spacing w:val="-69"/>
          <w:sz w:val="24"/>
          <w:szCs w:val="24"/>
        </w:rPr>
        <w:t> </w:t>
      </w:r>
      <w:r>
        <w:rPr>
          <w:rFonts w:ascii="宋体" w:hAnsi="宋体" w:cs="宋体" w:eastAsia="宋体" w:hint="default"/>
          <w:sz w:val="24"/>
          <w:szCs w:val="24"/>
        </w:rPr>
        <w:t>年度技术大会，与会专家及企业代表围绕“IT</w:t>
      </w:r>
      <w:r>
        <w:rPr>
          <w:rFonts w:ascii="宋体" w:hAnsi="宋体" w:cs="宋体" w:eastAsia="宋体" w:hint="default"/>
          <w:spacing w:val="-69"/>
          <w:sz w:val="24"/>
          <w:szCs w:val="24"/>
        </w:rPr>
        <w:t> </w:t>
      </w:r>
      <w:r>
        <w:rPr>
          <w:rFonts w:ascii="宋体" w:hAnsi="宋体" w:cs="宋体" w:eastAsia="宋体" w:hint="default"/>
          <w:sz w:val="24"/>
          <w:szCs w:val="24"/>
        </w:rPr>
        <w:t>真功夫—企业</w:t>
      </w:r>
      <w:r>
        <w:rPr>
          <w:rFonts w:ascii="宋体" w:hAnsi="宋体" w:cs="宋体" w:eastAsia="宋体" w:hint="default"/>
          <w:sz w:val="24"/>
          <w:szCs w:val="24"/>
        </w:rPr>
        <w:t> </w:t>
      </w:r>
      <w:r>
        <w:rPr>
          <w:rFonts w:ascii="宋体" w:hAnsi="宋体" w:cs="宋体" w:eastAsia="宋体" w:hint="default"/>
          <w:spacing w:val="-4"/>
          <w:sz w:val="24"/>
          <w:szCs w:val="24"/>
        </w:rPr>
        <w:t>升级加速器”等主题，深入探讨在国际金融危机、中国经济结构调整等因素影响下，利用</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IT</w:t>
      </w:r>
      <w:r>
        <w:rPr>
          <w:rFonts w:ascii="宋体" w:hAnsi="宋体" w:cs="宋体" w:eastAsia="宋体" w:hint="default"/>
          <w:spacing w:val="-59"/>
          <w:sz w:val="24"/>
          <w:szCs w:val="24"/>
        </w:rPr>
        <w:t> </w:t>
      </w:r>
      <w:r>
        <w:rPr>
          <w:rFonts w:ascii="宋体" w:hAnsi="宋体" w:cs="宋体" w:eastAsia="宋体" w:hint="default"/>
          <w:sz w:val="24"/>
          <w:szCs w:val="24"/>
        </w:rPr>
        <w:t>技术加速中国企业的转型升级；成功举办了“2009</w:t>
      </w:r>
      <w:r>
        <w:rPr>
          <w:rFonts w:ascii="宋体" w:hAnsi="宋体" w:cs="宋体" w:eastAsia="宋体" w:hint="default"/>
          <w:spacing w:val="-59"/>
          <w:sz w:val="24"/>
          <w:szCs w:val="24"/>
        </w:rPr>
        <w:t> </w:t>
      </w:r>
      <w:r>
        <w:rPr>
          <w:rFonts w:ascii="宋体" w:hAnsi="宋体" w:cs="宋体" w:eastAsia="宋体" w:hint="default"/>
          <w:sz w:val="24"/>
          <w:szCs w:val="24"/>
        </w:rPr>
        <w:t>经营与管理创新年度峰会”，来自</w:t>
      </w:r>
      <w:r>
        <w:rPr>
          <w:rFonts w:ascii="宋体" w:hAnsi="宋体" w:cs="宋体" w:eastAsia="宋体" w:hint="default"/>
          <w:sz w:val="24"/>
          <w:szCs w:val="24"/>
        </w:rPr>
        <w:t> 全国</w:t>
      </w:r>
      <w:r>
        <w:rPr>
          <w:rFonts w:ascii="宋体" w:hAnsi="宋体" w:cs="宋体" w:eastAsia="宋体" w:hint="default"/>
          <w:spacing w:val="-60"/>
          <w:sz w:val="24"/>
          <w:szCs w:val="24"/>
        </w:rPr>
        <w:t> </w:t>
      </w:r>
      <w:r>
        <w:rPr>
          <w:rFonts w:ascii="宋体" w:hAnsi="宋体" w:cs="宋体" w:eastAsia="宋体" w:hint="default"/>
          <w:sz w:val="24"/>
          <w:szCs w:val="24"/>
        </w:rPr>
        <w:t>2000</w:t>
      </w:r>
      <w:r>
        <w:rPr>
          <w:rFonts w:ascii="宋体" w:hAnsi="宋体" w:cs="宋体" w:eastAsia="宋体" w:hint="default"/>
          <w:spacing w:val="-59"/>
          <w:sz w:val="24"/>
          <w:szCs w:val="24"/>
        </w:rPr>
        <w:t> </w:t>
      </w:r>
      <w:r>
        <w:rPr>
          <w:rFonts w:ascii="宋体" w:hAnsi="宋体" w:cs="宋体" w:eastAsia="宋体" w:hint="default"/>
          <w:sz w:val="24"/>
          <w:szCs w:val="24"/>
        </w:rPr>
        <w:t>多位企业家和</w:t>
      </w:r>
      <w:r>
        <w:rPr>
          <w:rFonts w:ascii="宋体" w:hAnsi="宋体" w:cs="宋体" w:eastAsia="宋体" w:hint="default"/>
          <w:spacing w:val="-60"/>
          <w:sz w:val="24"/>
          <w:szCs w:val="24"/>
        </w:rPr>
        <w:t> </w:t>
      </w:r>
      <w:r>
        <w:rPr>
          <w:rFonts w:ascii="宋体" w:hAnsi="宋体" w:cs="宋体" w:eastAsia="宋体" w:hint="default"/>
          <w:sz w:val="24"/>
          <w:szCs w:val="24"/>
        </w:rPr>
        <w:t>CEO、CIO、CFO</w:t>
      </w:r>
      <w:r>
        <w:rPr>
          <w:rFonts w:ascii="宋体" w:hAnsi="宋体" w:cs="宋体" w:eastAsia="宋体" w:hint="default"/>
          <w:spacing w:val="-60"/>
          <w:sz w:val="24"/>
          <w:szCs w:val="24"/>
        </w:rPr>
        <w:t> </w:t>
      </w:r>
      <w:r>
        <w:rPr>
          <w:rFonts w:ascii="宋体" w:hAnsi="宋体" w:cs="宋体" w:eastAsia="宋体" w:hint="default"/>
          <w:sz w:val="24"/>
          <w:szCs w:val="24"/>
        </w:rPr>
        <w:t>以及政府领导、专家学者深入探讨重塑企业核心</w:t>
      </w:r>
      <w:r>
        <w:rPr>
          <w:rFonts w:ascii="宋体" w:hAnsi="宋体" w:cs="宋体" w:eastAsia="宋体" w:hint="default"/>
          <w:sz w:val="24"/>
          <w:szCs w:val="24"/>
        </w:rPr>
        <w:t> 能力，分享企业信息化成功经验。</w:t>
      </w:r>
    </w:p>
    <w:p>
      <w:pPr>
        <w:spacing w:line="357" w:lineRule="auto" w:before="155"/>
        <w:ind w:left="140" w:right="220" w:firstLine="480"/>
        <w:jc w:val="both"/>
        <w:rPr>
          <w:rFonts w:ascii="宋体" w:hAnsi="宋体" w:cs="宋体" w:eastAsia="宋体" w:hint="default"/>
          <w:sz w:val="24"/>
          <w:szCs w:val="24"/>
        </w:rPr>
      </w:pPr>
      <w:r>
        <w:rPr>
          <w:rFonts w:ascii="宋体" w:hAnsi="宋体" w:cs="宋体" w:eastAsia="宋体" w:hint="default"/>
          <w:spacing w:val="-4"/>
          <w:sz w:val="24"/>
          <w:szCs w:val="24"/>
        </w:rPr>
        <w:t>报告期内，公司与联想集团等公司建立战略合作伙伴关系，整合双方优势，为客户提</w:t>
      </w:r>
      <w:r>
        <w:rPr>
          <w:rFonts w:ascii="宋体" w:hAnsi="宋体" w:cs="宋体" w:eastAsia="宋体" w:hint="default"/>
          <w:sz w:val="24"/>
          <w:szCs w:val="24"/>
        </w:rPr>
        <w:t> 供全面的服务，推动企业转型升级。</w:t>
      </w:r>
    </w:p>
    <w:p>
      <w:pPr>
        <w:spacing w:line="357" w:lineRule="auto" w:before="155"/>
        <w:ind w:left="140" w:right="100" w:firstLine="480"/>
        <w:jc w:val="left"/>
        <w:rPr>
          <w:rFonts w:ascii="宋体" w:hAnsi="宋体" w:cs="宋体" w:eastAsia="宋体" w:hint="default"/>
          <w:sz w:val="24"/>
          <w:szCs w:val="24"/>
        </w:rPr>
      </w:pPr>
      <w:r>
        <w:rPr>
          <w:rFonts w:ascii="宋体" w:hAnsi="宋体" w:cs="宋体" w:eastAsia="宋体" w:hint="default"/>
          <w:sz w:val="24"/>
          <w:szCs w:val="24"/>
        </w:rPr>
        <w:t>报告期内，公司被认定为国家级创新型企业，荣获“首届中国产学研合作创新奖”、 “2009</w:t>
      </w:r>
      <w:r>
        <w:rPr>
          <w:rFonts w:ascii="宋体" w:hAnsi="宋体" w:cs="宋体" w:eastAsia="宋体" w:hint="default"/>
          <w:spacing w:val="-56"/>
          <w:sz w:val="24"/>
          <w:szCs w:val="24"/>
        </w:rPr>
        <w:t> </w:t>
      </w:r>
      <w:r>
        <w:rPr>
          <w:rFonts w:ascii="宋体" w:hAnsi="宋体" w:cs="宋体" w:eastAsia="宋体" w:hint="default"/>
          <w:spacing w:val="-3"/>
          <w:sz w:val="24"/>
          <w:szCs w:val="24"/>
        </w:rPr>
        <w:t>年度中华全国工商业联合会科学技术进步奖一等奖”、“中关村</w:t>
      </w:r>
      <w:r>
        <w:rPr>
          <w:rFonts w:ascii="宋体" w:hAnsi="宋体" w:cs="宋体" w:eastAsia="宋体" w:hint="default"/>
          <w:spacing w:val="-56"/>
          <w:sz w:val="24"/>
          <w:szCs w:val="24"/>
        </w:rPr>
        <w:t> </w:t>
      </w:r>
      <w:r>
        <w:rPr>
          <w:rFonts w:ascii="宋体" w:hAnsi="宋体" w:cs="宋体" w:eastAsia="宋体" w:hint="default"/>
          <w:sz w:val="24"/>
          <w:szCs w:val="24"/>
        </w:rPr>
        <w:t>20</w:t>
      </w:r>
      <w:r>
        <w:rPr>
          <w:rFonts w:ascii="宋体" w:hAnsi="宋体" w:cs="宋体" w:eastAsia="宋体" w:hint="default"/>
          <w:spacing w:val="-56"/>
          <w:sz w:val="24"/>
          <w:szCs w:val="24"/>
        </w:rPr>
        <w:t> </w:t>
      </w:r>
      <w:r>
        <w:rPr>
          <w:rFonts w:ascii="宋体" w:hAnsi="宋体" w:cs="宋体" w:eastAsia="宋体" w:hint="default"/>
          <w:sz w:val="24"/>
          <w:szCs w:val="24"/>
        </w:rPr>
        <w:t>周年突出贡献</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pacing w:val="-4"/>
          <w:sz w:val="24"/>
          <w:szCs w:val="24"/>
        </w:rPr>
        <w:t>企业”、“企业信用评价</w:t>
      </w:r>
      <w:r>
        <w:rPr>
          <w:rFonts w:ascii="宋体" w:hAnsi="宋体" w:cs="宋体" w:eastAsia="宋体" w:hint="default"/>
          <w:spacing w:val="-54"/>
          <w:sz w:val="24"/>
          <w:szCs w:val="24"/>
        </w:rPr>
        <w:t> </w:t>
      </w:r>
      <w:r>
        <w:rPr>
          <w:rFonts w:ascii="宋体" w:hAnsi="宋体" w:cs="宋体" w:eastAsia="宋体" w:hint="default"/>
          <w:sz w:val="24"/>
          <w:szCs w:val="24"/>
        </w:rPr>
        <w:t>AAA</w:t>
      </w:r>
      <w:r>
        <w:rPr>
          <w:rFonts w:ascii="宋体" w:hAnsi="宋体" w:cs="宋体" w:eastAsia="宋体" w:hint="default"/>
          <w:spacing w:val="-54"/>
          <w:sz w:val="24"/>
          <w:szCs w:val="24"/>
        </w:rPr>
        <w:t> </w:t>
      </w:r>
      <w:r>
        <w:rPr>
          <w:rFonts w:ascii="宋体" w:hAnsi="宋体" w:cs="宋体" w:eastAsia="宋体" w:hint="default"/>
          <w:spacing w:val="-4"/>
          <w:sz w:val="24"/>
          <w:szCs w:val="24"/>
        </w:rPr>
        <w:t>级信用企业”、“中国软件业务收入百家企业”、“中国软</w:t>
      </w:r>
      <w:r>
        <w:rPr>
          <w:rFonts w:ascii="宋体" w:hAnsi="宋体" w:cs="宋体" w:eastAsia="宋体" w:hint="default"/>
          <w:spacing w:val="-106"/>
          <w:sz w:val="24"/>
          <w:szCs w:val="24"/>
        </w:rPr>
        <w:t> </w:t>
      </w:r>
      <w:r>
        <w:rPr>
          <w:rFonts w:ascii="宋体" w:hAnsi="宋体" w:cs="宋体" w:eastAsia="宋体" w:hint="default"/>
          <w:spacing w:val="-106"/>
          <w:sz w:val="24"/>
          <w:szCs w:val="24"/>
        </w:rPr>
      </w:r>
      <w:r>
        <w:rPr>
          <w:rFonts w:ascii="宋体" w:hAnsi="宋体" w:cs="宋体" w:eastAsia="宋体" w:hint="default"/>
          <w:sz w:val="24"/>
          <w:szCs w:val="24"/>
        </w:rPr>
        <w:t>件产业脊梁企业”、“2008-2009</w:t>
      </w:r>
      <w:r>
        <w:rPr>
          <w:rFonts w:ascii="宋体" w:hAnsi="宋体" w:cs="宋体" w:eastAsia="宋体" w:hint="default"/>
          <w:spacing w:val="-60"/>
          <w:sz w:val="24"/>
          <w:szCs w:val="24"/>
        </w:rPr>
        <w:t> </w:t>
      </w:r>
      <w:r>
        <w:rPr>
          <w:rFonts w:ascii="宋体" w:hAnsi="宋体" w:cs="宋体" w:eastAsia="宋体" w:hint="default"/>
          <w:sz w:val="24"/>
          <w:szCs w:val="24"/>
        </w:rPr>
        <w:t>中国管理软件市场年度成功企业”、“2008-2009</w:t>
      </w:r>
      <w:r>
        <w:rPr>
          <w:rFonts w:ascii="宋体" w:hAnsi="宋体" w:cs="宋体" w:eastAsia="宋体" w:hint="default"/>
          <w:spacing w:val="-60"/>
          <w:sz w:val="24"/>
          <w:szCs w:val="24"/>
        </w:rPr>
        <w:t> </w:t>
      </w:r>
      <w:r>
        <w:rPr>
          <w:rFonts w:ascii="宋体" w:hAnsi="宋体" w:cs="宋体" w:eastAsia="宋体" w:hint="default"/>
          <w:sz w:val="24"/>
          <w:szCs w:val="24"/>
        </w:rPr>
        <w:t>中国</w:t>
      </w:r>
      <w:r>
        <w:rPr>
          <w:rFonts w:ascii="宋体" w:hAnsi="宋体" w:cs="宋体" w:eastAsia="宋体" w:hint="default"/>
          <w:sz w:val="24"/>
          <w:szCs w:val="24"/>
        </w:rPr>
        <w:t> ERP</w:t>
      </w:r>
      <w:r>
        <w:rPr>
          <w:rFonts w:ascii="宋体" w:hAnsi="宋体" w:cs="宋体" w:eastAsia="宋体" w:hint="default"/>
          <w:spacing w:val="-60"/>
          <w:sz w:val="24"/>
          <w:szCs w:val="24"/>
        </w:rPr>
        <w:t> </w:t>
      </w:r>
      <w:r>
        <w:rPr>
          <w:rFonts w:ascii="宋体" w:hAnsi="宋体" w:cs="宋体" w:eastAsia="宋体" w:hint="default"/>
          <w:sz w:val="24"/>
          <w:szCs w:val="24"/>
        </w:rPr>
        <w:t>软件市场年度成功企业”、“中国</w:t>
      </w:r>
      <w:r>
        <w:rPr>
          <w:rFonts w:ascii="宋体" w:hAnsi="宋体" w:cs="宋体" w:eastAsia="宋体" w:hint="default"/>
          <w:spacing w:val="-60"/>
          <w:sz w:val="24"/>
          <w:szCs w:val="24"/>
        </w:rPr>
        <w:t> </w:t>
      </w:r>
      <w:r>
        <w:rPr>
          <w:rFonts w:ascii="宋体" w:hAnsi="宋体" w:cs="宋体" w:eastAsia="宋体" w:hint="default"/>
          <w:sz w:val="24"/>
          <w:szCs w:val="24"/>
        </w:rPr>
        <w:t>IT</w:t>
      </w:r>
      <w:r>
        <w:rPr>
          <w:rFonts w:ascii="宋体" w:hAnsi="宋体" w:cs="宋体" w:eastAsia="宋体" w:hint="default"/>
          <w:spacing w:val="-60"/>
          <w:sz w:val="24"/>
          <w:szCs w:val="24"/>
        </w:rPr>
        <w:t> </w:t>
      </w:r>
      <w:r>
        <w:rPr>
          <w:rFonts w:ascii="宋体" w:hAnsi="宋体" w:cs="宋体" w:eastAsia="宋体" w:hint="default"/>
          <w:sz w:val="24"/>
          <w:szCs w:val="24"/>
        </w:rPr>
        <w:t>服务绩效典范奖—支持管理业务应用”、“产</w:t>
      </w:r>
      <w:r>
        <w:rPr>
          <w:rFonts w:ascii="宋体" w:hAnsi="宋体" w:cs="宋体" w:eastAsia="宋体" w:hint="default"/>
          <w:sz w:val="24"/>
          <w:szCs w:val="24"/>
        </w:rPr>
        <w:t> 品类服务满意金奖—管理软件”、“最佳企业信息化整体解决方案提供商”、“最佳</w:t>
      </w:r>
      <w:r>
        <w:rPr>
          <w:rFonts w:ascii="宋体" w:hAnsi="宋体" w:cs="宋体" w:eastAsia="宋体" w:hint="default"/>
          <w:spacing w:val="-79"/>
          <w:sz w:val="24"/>
          <w:szCs w:val="24"/>
        </w:rPr>
        <w:t> </w:t>
      </w:r>
      <w:r>
        <w:rPr>
          <w:rFonts w:ascii="宋体" w:hAnsi="宋体" w:cs="宋体" w:eastAsia="宋体" w:hint="default"/>
          <w:sz w:val="24"/>
          <w:szCs w:val="24"/>
        </w:rPr>
        <w:t>ERP</w:t>
      </w:r>
      <w:r>
        <w:rPr>
          <w:rFonts w:ascii="宋体" w:hAnsi="宋体" w:cs="宋体" w:eastAsia="宋体" w:hint="default"/>
          <w:sz w:val="24"/>
          <w:szCs w:val="24"/>
        </w:rPr>
        <w:t> 软件满意度奖”、“2009</w:t>
      </w:r>
      <w:r>
        <w:rPr>
          <w:rFonts w:ascii="宋体" w:hAnsi="宋体" w:cs="宋体" w:eastAsia="宋体" w:hint="default"/>
          <w:spacing w:val="-60"/>
          <w:sz w:val="24"/>
          <w:szCs w:val="24"/>
        </w:rPr>
        <w:t> </w:t>
      </w:r>
      <w:r>
        <w:rPr>
          <w:rFonts w:ascii="宋体" w:hAnsi="宋体" w:cs="宋体" w:eastAsia="宋体" w:hint="default"/>
          <w:sz w:val="24"/>
          <w:szCs w:val="24"/>
        </w:rPr>
        <w:t>中国人力资源年度最佳管理软件机构”、“中国绿色公司标杆</w:t>
      </w:r>
      <w:r>
        <w:rPr>
          <w:rFonts w:ascii="宋体" w:hAnsi="宋体" w:cs="宋体" w:eastAsia="宋体" w:hint="default"/>
          <w:sz w:val="24"/>
          <w:szCs w:val="24"/>
        </w:rPr>
        <w:t> </w:t>
      </w:r>
      <w:r>
        <w:rPr>
          <w:rFonts w:ascii="宋体" w:hAnsi="宋体" w:cs="宋体" w:eastAsia="宋体" w:hint="default"/>
          <w:spacing w:val="-6"/>
          <w:sz w:val="24"/>
          <w:szCs w:val="24"/>
        </w:rPr>
        <w:t>企业”等奖项，并获得“2009</w:t>
      </w:r>
      <w:r>
        <w:rPr>
          <w:rFonts w:ascii="宋体" w:hAnsi="宋体" w:cs="宋体" w:eastAsia="宋体" w:hint="default"/>
          <w:spacing w:val="-60"/>
          <w:sz w:val="24"/>
          <w:szCs w:val="24"/>
        </w:rPr>
        <w:t> </w:t>
      </w:r>
      <w:r>
        <w:rPr>
          <w:rFonts w:ascii="宋体" w:hAnsi="宋体" w:cs="宋体" w:eastAsia="宋体" w:hint="default"/>
          <w:sz w:val="24"/>
          <w:szCs w:val="24"/>
        </w:rPr>
        <w:t>中国</w:t>
      </w:r>
      <w:r>
        <w:rPr>
          <w:rFonts w:ascii="宋体" w:hAnsi="宋体" w:cs="宋体" w:eastAsia="宋体" w:hint="default"/>
          <w:spacing w:val="-60"/>
          <w:sz w:val="24"/>
          <w:szCs w:val="24"/>
        </w:rPr>
        <w:t> </w:t>
      </w:r>
      <w:r>
        <w:rPr>
          <w:rFonts w:ascii="宋体" w:hAnsi="宋体" w:cs="宋体" w:eastAsia="宋体" w:hint="default"/>
          <w:sz w:val="24"/>
          <w:szCs w:val="24"/>
        </w:rPr>
        <w:t>IT</w:t>
      </w:r>
      <w:r>
        <w:rPr>
          <w:rFonts w:ascii="宋体" w:hAnsi="宋体" w:cs="宋体" w:eastAsia="宋体" w:hint="default"/>
          <w:spacing w:val="-60"/>
          <w:sz w:val="24"/>
          <w:szCs w:val="24"/>
        </w:rPr>
        <w:t> </w:t>
      </w:r>
      <w:r>
        <w:rPr>
          <w:rFonts w:ascii="宋体" w:hAnsi="宋体" w:cs="宋体" w:eastAsia="宋体" w:hint="default"/>
          <w:spacing w:val="-4"/>
          <w:sz w:val="24"/>
          <w:szCs w:val="24"/>
        </w:rPr>
        <w:t>用户满意度年会”颁发的“用户满意度综合第一”、</w:t>
      </w:r>
      <w:r>
        <w:rPr>
          <w:rFonts w:ascii="宋体" w:hAnsi="宋体" w:cs="宋体" w:eastAsia="宋体" w:hint="default"/>
          <w:sz w:val="24"/>
          <w:szCs w:val="24"/>
        </w:rPr>
        <w:t> “服务满意度第一”等</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项满意度大奖。</w:t>
      </w:r>
    </w:p>
    <w:p>
      <w:pPr>
        <w:spacing w:line="388" w:lineRule="auto" w:before="156"/>
        <w:ind w:left="623" w:right="219" w:firstLine="0"/>
        <w:jc w:val="left"/>
        <w:rPr>
          <w:rFonts w:ascii="宋体" w:hAnsi="宋体" w:cs="宋体" w:eastAsia="宋体" w:hint="default"/>
          <w:sz w:val="24"/>
          <w:szCs w:val="24"/>
        </w:rPr>
      </w:pPr>
      <w:r>
        <w:rPr>
          <w:rFonts w:ascii="宋体" w:hAnsi="宋体" w:cs="宋体" w:eastAsia="宋体" w:hint="default"/>
          <w:sz w:val="24"/>
          <w:szCs w:val="24"/>
        </w:rPr>
        <w:t>4） 产品子公司发展情况 </w:t>
      </w:r>
      <w:r>
        <w:rPr>
          <w:rFonts w:ascii="宋体" w:hAnsi="宋体" w:cs="宋体" w:eastAsia="宋体" w:hint="default"/>
          <w:spacing w:val="-4"/>
          <w:sz w:val="24"/>
          <w:szCs w:val="24"/>
        </w:rPr>
        <w:t>报告期内，用友政务软件有限公司大力开拓关键业务与战略客户，在完善稳定现有产</w:t>
      </w:r>
    </w:p>
    <w:p>
      <w:pPr>
        <w:spacing w:line="240" w:lineRule="exact" w:before="0"/>
        <w:ind w:left="140" w:right="0" w:firstLine="0"/>
        <w:jc w:val="both"/>
        <w:rPr>
          <w:rFonts w:ascii="宋体" w:hAnsi="宋体" w:cs="宋体" w:eastAsia="宋体" w:hint="default"/>
          <w:sz w:val="24"/>
          <w:szCs w:val="24"/>
        </w:rPr>
      </w:pPr>
      <w:r>
        <w:rPr>
          <w:rFonts w:ascii="宋体" w:hAnsi="宋体" w:cs="宋体" w:eastAsia="宋体" w:hint="default"/>
          <w:sz w:val="24"/>
          <w:szCs w:val="24"/>
        </w:rPr>
        <w:t>品的同时，加快新产品的发展，发版了面向中低端客户市场的用友 GRP-R9 V9.72、面向</w:t>
      </w:r>
    </w:p>
    <w:p>
      <w:pPr>
        <w:spacing w:line="297" w:lineRule="auto" w:before="74"/>
        <w:ind w:left="140" w:right="219" w:firstLine="0"/>
        <w:jc w:val="both"/>
        <w:rPr>
          <w:rFonts w:ascii="宋体" w:hAnsi="宋体" w:cs="宋体" w:eastAsia="宋体" w:hint="default"/>
          <w:sz w:val="24"/>
          <w:szCs w:val="24"/>
        </w:rPr>
      </w:pPr>
      <w:r>
        <w:rPr>
          <w:rFonts w:ascii="宋体" w:hAnsi="宋体" w:cs="宋体" w:eastAsia="宋体" w:hint="default"/>
          <w:sz w:val="24"/>
          <w:szCs w:val="24"/>
        </w:rPr>
        <w:t>中高端客户市场的用友 GRP-A++ V5.3，以及面向政务部门报表信息统计、管理等需求的 用友</w:t>
      </w:r>
      <w:r>
        <w:rPr>
          <w:rFonts w:ascii="宋体" w:hAnsi="宋体" w:cs="宋体" w:eastAsia="宋体" w:hint="default"/>
          <w:spacing w:val="-58"/>
          <w:sz w:val="24"/>
          <w:szCs w:val="24"/>
        </w:rPr>
        <w:t> </w:t>
      </w:r>
      <w:r>
        <w:rPr>
          <w:rFonts w:ascii="宋体" w:hAnsi="宋体" w:cs="宋体" w:eastAsia="宋体" w:hint="default"/>
          <w:sz w:val="24"/>
          <w:szCs w:val="24"/>
        </w:rPr>
        <w:t>GRP-R_MIS</w:t>
      </w:r>
      <w:r>
        <w:rPr>
          <w:rFonts w:ascii="宋体" w:hAnsi="宋体" w:cs="宋体" w:eastAsia="宋体" w:hint="default"/>
          <w:spacing w:val="-58"/>
          <w:sz w:val="24"/>
          <w:szCs w:val="24"/>
        </w:rPr>
        <w:t> </w:t>
      </w:r>
      <w:r>
        <w:rPr>
          <w:rFonts w:ascii="宋体" w:hAnsi="宋体" w:cs="宋体" w:eastAsia="宋体" w:hint="default"/>
          <w:spacing w:val="-11"/>
          <w:sz w:val="24"/>
          <w:szCs w:val="24"/>
        </w:rPr>
        <w:t>报表信息管理系统，巩固了公司在财政信息化领域优势地位，被认定为“国</w:t>
      </w:r>
      <w:r>
        <w:rPr>
          <w:rFonts w:ascii="宋体" w:hAnsi="宋体" w:cs="宋体" w:eastAsia="宋体" w:hint="default"/>
          <w:sz w:val="24"/>
          <w:szCs w:val="24"/>
        </w:rPr>
        <w:t> 家规划布局内重点软件企业”，“用友</w:t>
      </w:r>
      <w:r>
        <w:rPr>
          <w:rFonts w:ascii="宋体" w:hAnsi="宋体" w:cs="宋体" w:eastAsia="宋体" w:hint="default"/>
          <w:spacing w:val="-60"/>
          <w:sz w:val="24"/>
          <w:szCs w:val="24"/>
        </w:rPr>
        <w:t> </w:t>
      </w:r>
      <w:r>
        <w:rPr>
          <w:rFonts w:ascii="宋体" w:hAnsi="宋体" w:cs="宋体" w:eastAsia="宋体" w:hint="default"/>
          <w:sz w:val="24"/>
          <w:szCs w:val="24"/>
        </w:rPr>
        <w:t>GRP-R9</w:t>
      </w:r>
      <w:r>
        <w:rPr>
          <w:rFonts w:ascii="宋体" w:hAnsi="宋体" w:cs="宋体" w:eastAsia="宋体" w:hint="default"/>
          <w:spacing w:val="-60"/>
          <w:sz w:val="24"/>
          <w:szCs w:val="24"/>
        </w:rPr>
        <w:t> </w:t>
      </w:r>
      <w:r>
        <w:rPr>
          <w:rFonts w:ascii="宋体" w:hAnsi="宋体" w:cs="宋体" w:eastAsia="宋体" w:hint="default"/>
          <w:sz w:val="24"/>
          <w:szCs w:val="24"/>
        </w:rPr>
        <w:t>财政管理软件”</w:t>
      </w:r>
      <w:r>
        <w:rPr>
          <w:rFonts w:ascii="宋体" w:hAnsi="宋体" w:cs="宋体" w:eastAsia="宋体" w:hint="default"/>
          <w:spacing w:val="-58"/>
          <w:sz w:val="24"/>
          <w:szCs w:val="24"/>
        </w:rPr>
        <w:t> </w:t>
      </w:r>
      <w:r>
        <w:rPr>
          <w:rFonts w:ascii="宋体" w:hAnsi="宋体" w:cs="宋体" w:eastAsia="宋体" w:hint="default"/>
          <w:sz w:val="24"/>
          <w:szCs w:val="24"/>
        </w:rPr>
        <w:t>、“用友</w:t>
      </w:r>
      <w:r>
        <w:rPr>
          <w:rFonts w:ascii="宋体" w:hAnsi="宋体" w:cs="宋体" w:eastAsia="宋体" w:hint="default"/>
          <w:spacing w:val="-60"/>
          <w:sz w:val="24"/>
          <w:szCs w:val="24"/>
        </w:rPr>
        <w:t> </w:t>
      </w:r>
      <w:r>
        <w:rPr>
          <w:rFonts w:ascii="宋体" w:hAnsi="宋体" w:cs="宋体" w:eastAsia="宋体" w:hint="default"/>
          <w:sz w:val="24"/>
          <w:szCs w:val="24"/>
        </w:rPr>
        <w:t>GRP-A++财政管</w:t>
      </w:r>
      <w:r>
        <w:rPr>
          <w:rFonts w:ascii="宋体" w:hAnsi="宋体" w:cs="宋体" w:eastAsia="宋体" w:hint="default"/>
          <w:sz w:val="24"/>
          <w:szCs w:val="24"/>
        </w:rPr>
        <w:t> 理软件”等</w:t>
      </w:r>
      <w:r>
        <w:rPr>
          <w:rFonts w:ascii="宋体" w:hAnsi="宋体" w:cs="宋体" w:eastAsia="宋体" w:hint="default"/>
          <w:spacing w:val="-54"/>
          <w:sz w:val="24"/>
          <w:szCs w:val="24"/>
        </w:rPr>
        <w:t> </w:t>
      </w:r>
      <w:r>
        <w:rPr>
          <w:rFonts w:ascii="宋体" w:hAnsi="宋体" w:cs="宋体" w:eastAsia="宋体" w:hint="default"/>
          <w:sz w:val="24"/>
          <w:szCs w:val="24"/>
        </w:rPr>
        <w:t>5</w:t>
      </w:r>
      <w:r>
        <w:rPr>
          <w:rFonts w:ascii="宋体" w:hAnsi="宋体" w:cs="宋体" w:eastAsia="宋体" w:hint="default"/>
          <w:spacing w:val="-54"/>
          <w:sz w:val="24"/>
          <w:szCs w:val="24"/>
        </w:rPr>
        <w:t> </w:t>
      </w:r>
      <w:r>
        <w:rPr>
          <w:rFonts w:ascii="宋体" w:hAnsi="宋体" w:cs="宋体" w:eastAsia="宋体" w:hint="default"/>
          <w:spacing w:val="-4"/>
          <w:sz w:val="24"/>
          <w:szCs w:val="24"/>
        </w:rPr>
        <w:t>项产品被纳入北京市自主创新产品目录，成功通过了涉及国家秘密的计算机</w:t>
      </w:r>
      <w:r>
        <w:rPr>
          <w:rFonts w:ascii="宋体" w:hAnsi="宋体" w:cs="宋体" w:eastAsia="宋体" w:hint="default"/>
          <w:sz w:val="24"/>
          <w:szCs w:val="24"/>
        </w:rPr>
        <w:t> 信息系统集成资质复评工作，为公司继续开拓政务软件市场提供了有力保障。</w:t>
      </w:r>
    </w:p>
    <w:p>
      <w:pPr>
        <w:spacing w:line="297" w:lineRule="auto" w:before="137"/>
        <w:ind w:left="140" w:right="219" w:firstLine="482"/>
        <w:jc w:val="both"/>
        <w:rPr>
          <w:rFonts w:ascii="宋体" w:hAnsi="宋体" w:cs="宋体" w:eastAsia="宋体" w:hint="default"/>
          <w:sz w:val="24"/>
          <w:szCs w:val="24"/>
        </w:rPr>
      </w:pPr>
      <w:r>
        <w:rPr>
          <w:rFonts w:ascii="宋体" w:hAnsi="宋体" w:cs="宋体" w:eastAsia="宋体" w:hint="default"/>
          <w:spacing w:val="-4"/>
          <w:sz w:val="24"/>
          <w:szCs w:val="24"/>
        </w:rPr>
        <w:t>报告期内，北京方正春元科技发展有限公司继续专注于财政部门及行政事业单位公共</w:t>
      </w:r>
      <w:r>
        <w:rPr>
          <w:rFonts w:ascii="宋体" w:hAnsi="宋体" w:cs="宋体" w:eastAsia="宋体" w:hint="default"/>
          <w:sz w:val="24"/>
          <w:szCs w:val="24"/>
        </w:rPr>
        <w:t> </w:t>
      </w:r>
      <w:r>
        <w:rPr>
          <w:rFonts w:ascii="宋体" w:hAnsi="宋体" w:cs="宋体" w:eastAsia="宋体" w:hint="default"/>
          <w:spacing w:val="-4"/>
          <w:sz w:val="24"/>
          <w:szCs w:val="24"/>
        </w:rPr>
        <w:t>财政市场领域，完善并大力拓展综合业务系统，抢占横联系统及公务卡市场先机，被认定</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为“国家规划布局内重点软件企业”，通过中国信息安全认证中心</w:t>
      </w:r>
      <w:r>
        <w:rPr>
          <w:rFonts w:ascii="宋体" w:hAnsi="宋体" w:cs="宋体" w:eastAsia="宋体" w:hint="default"/>
          <w:spacing w:val="-59"/>
          <w:sz w:val="24"/>
          <w:szCs w:val="24"/>
        </w:rPr>
        <w:t> </w:t>
      </w:r>
      <w:r>
        <w:rPr>
          <w:rFonts w:ascii="宋体" w:hAnsi="宋体" w:cs="宋体" w:eastAsia="宋体" w:hint="default"/>
          <w:sz w:val="24"/>
          <w:szCs w:val="24"/>
        </w:rPr>
        <w:t>ISO27001</w:t>
      </w:r>
      <w:r>
        <w:rPr>
          <w:rFonts w:ascii="宋体" w:hAnsi="宋体" w:cs="宋体" w:eastAsia="宋体" w:hint="default"/>
          <w:spacing w:val="-59"/>
          <w:sz w:val="24"/>
          <w:szCs w:val="24"/>
        </w:rPr>
        <w:t> </w:t>
      </w:r>
      <w:r>
        <w:rPr>
          <w:rFonts w:ascii="宋体" w:hAnsi="宋体" w:cs="宋体" w:eastAsia="宋体" w:hint="default"/>
          <w:sz w:val="24"/>
          <w:szCs w:val="24"/>
        </w:rPr>
        <w:t>信息安全管</w:t>
      </w:r>
      <w:r>
        <w:rPr>
          <w:rFonts w:ascii="宋体" w:hAnsi="宋体" w:cs="宋体" w:eastAsia="宋体" w:hint="default"/>
          <w:sz w:val="24"/>
          <w:szCs w:val="24"/>
        </w:rPr>
        <w:t> </w:t>
      </w:r>
      <w:r>
        <w:rPr>
          <w:rFonts w:ascii="宋体" w:hAnsi="宋体" w:cs="宋体" w:eastAsia="宋体" w:hint="default"/>
          <w:spacing w:val="9"/>
          <w:sz w:val="24"/>
          <w:szCs w:val="24"/>
        </w:rPr>
        <w:t>理体系认证，“方正春元财政管理信息系统”被认定为“北京市高新技术成果转化项</w:t>
      </w:r>
    </w:p>
    <w:p>
      <w:pPr>
        <w:spacing w:after="0" w:line="297" w:lineRule="auto"/>
        <w:jc w:val="both"/>
        <w:rPr>
          <w:rFonts w:ascii="宋体" w:hAnsi="宋体" w:cs="宋体" w:eastAsia="宋体" w:hint="default"/>
          <w:sz w:val="24"/>
          <w:szCs w:val="24"/>
        </w:rPr>
        <w:sectPr>
          <w:pgSz w:w="11910" w:h="16840"/>
          <w:pgMar w:header="720" w:footer="727" w:top="1080" w:bottom="920" w:left="1220" w:right="1080"/>
        </w:sectPr>
      </w:pPr>
    </w:p>
    <w:p>
      <w:pPr>
        <w:spacing w:line="240" w:lineRule="auto" w:before="12"/>
        <w:rPr>
          <w:rFonts w:ascii="宋体" w:hAnsi="宋体" w:cs="宋体" w:eastAsia="宋体" w:hint="default"/>
          <w:sz w:val="21"/>
          <w:szCs w:val="21"/>
        </w:rPr>
      </w:pPr>
    </w:p>
    <w:p>
      <w:pPr>
        <w:pStyle w:val="Heading7"/>
        <w:spacing w:line="240" w:lineRule="auto" w:before="26"/>
        <w:ind w:right="220"/>
        <w:jc w:val="left"/>
      </w:pPr>
      <w:r>
        <w:rPr/>
        <w:t>目”。</w:t>
      </w:r>
    </w:p>
    <w:p>
      <w:pPr>
        <w:spacing w:line="297" w:lineRule="auto" w:before="194"/>
        <w:ind w:left="140" w:right="219" w:firstLine="482"/>
        <w:jc w:val="both"/>
        <w:rPr>
          <w:rFonts w:ascii="宋体" w:hAnsi="宋体" w:cs="宋体" w:eastAsia="宋体" w:hint="default"/>
          <w:sz w:val="24"/>
          <w:szCs w:val="24"/>
        </w:rPr>
      </w:pPr>
      <w:r>
        <w:rPr>
          <w:rFonts w:ascii="宋体" w:hAnsi="宋体" w:cs="宋体" w:eastAsia="宋体" w:hint="default"/>
          <w:spacing w:val="-4"/>
          <w:sz w:val="24"/>
          <w:szCs w:val="24"/>
        </w:rPr>
        <w:t>报告期内，厦门用友烟草软件有限责任公司工业一体化项目推进取得突破，烟草行业</w:t>
      </w:r>
      <w:r>
        <w:rPr>
          <w:rFonts w:ascii="宋体" w:hAnsi="宋体" w:cs="宋体" w:eastAsia="宋体" w:hint="default"/>
          <w:sz w:val="24"/>
          <w:szCs w:val="24"/>
        </w:rPr>
        <w:t> </w:t>
      </w:r>
      <w:r>
        <w:rPr>
          <w:rFonts w:ascii="宋体" w:hAnsi="宋体" w:cs="宋体" w:eastAsia="宋体" w:hint="default"/>
          <w:spacing w:val="-4"/>
          <w:sz w:val="24"/>
          <w:szCs w:val="24"/>
        </w:rPr>
        <w:t>会计核算软件项目顺利推进，发版了烟草行业多项行业化应用产品，持续做好相关行业产</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品的完善和项目支持工作。</w:t>
      </w:r>
    </w:p>
    <w:p>
      <w:pPr>
        <w:spacing w:line="297" w:lineRule="auto" w:before="137"/>
        <w:ind w:left="140" w:right="101" w:firstLine="482"/>
        <w:jc w:val="both"/>
        <w:rPr>
          <w:rFonts w:ascii="宋体" w:hAnsi="宋体" w:cs="宋体" w:eastAsia="宋体" w:hint="default"/>
          <w:sz w:val="24"/>
          <w:szCs w:val="24"/>
        </w:rPr>
      </w:pPr>
      <w:r>
        <w:rPr>
          <w:rFonts w:ascii="宋体" w:hAnsi="宋体" w:cs="宋体" w:eastAsia="宋体" w:hint="default"/>
          <w:spacing w:val="-4"/>
          <w:sz w:val="24"/>
          <w:szCs w:val="24"/>
        </w:rPr>
        <w:t>报告期内，北京用友艾福斯软件系统有限公司继续专注于电力行业，在核电领域继续</w:t>
      </w:r>
      <w:r>
        <w:rPr>
          <w:rFonts w:ascii="宋体" w:hAnsi="宋体" w:cs="宋体" w:eastAsia="宋体" w:hint="default"/>
          <w:sz w:val="24"/>
          <w:szCs w:val="24"/>
        </w:rPr>
        <w:t> 扩大优势并取得良好的进展，继续保持公司在</w:t>
      </w:r>
      <w:r>
        <w:rPr>
          <w:rFonts w:ascii="宋体" w:hAnsi="宋体" w:cs="宋体" w:eastAsia="宋体" w:hint="default"/>
          <w:spacing w:val="-59"/>
          <w:sz w:val="24"/>
          <w:szCs w:val="24"/>
        </w:rPr>
        <w:t> </w:t>
      </w:r>
      <w:r>
        <w:rPr>
          <w:rFonts w:ascii="宋体" w:hAnsi="宋体" w:cs="宋体" w:eastAsia="宋体" w:hint="default"/>
          <w:sz w:val="24"/>
          <w:szCs w:val="24"/>
        </w:rPr>
        <w:t>EAM/PM</w:t>
      </w:r>
      <w:r>
        <w:rPr>
          <w:rFonts w:ascii="宋体" w:hAnsi="宋体" w:cs="宋体" w:eastAsia="宋体" w:hint="default"/>
          <w:spacing w:val="-59"/>
          <w:sz w:val="24"/>
          <w:szCs w:val="24"/>
        </w:rPr>
        <w:t> </w:t>
      </w:r>
      <w:r>
        <w:rPr>
          <w:rFonts w:ascii="宋体" w:hAnsi="宋体" w:cs="宋体" w:eastAsia="宋体" w:hint="default"/>
          <w:sz w:val="24"/>
          <w:szCs w:val="24"/>
        </w:rPr>
        <w:t>方面的领先地位。公司积极进行市</w:t>
      </w:r>
      <w:r>
        <w:rPr>
          <w:rFonts w:ascii="宋体" w:hAnsi="宋体" w:cs="宋体" w:eastAsia="宋体" w:hint="default"/>
          <w:sz w:val="24"/>
          <w:szCs w:val="24"/>
        </w:rPr>
        <w:t> 场推广活动，加强客户经营管理，继续推进大项目的实施工作，并在多个项目成功实施。</w:t>
      </w:r>
    </w:p>
    <w:p>
      <w:pPr>
        <w:spacing w:line="297" w:lineRule="auto" w:before="138"/>
        <w:ind w:left="140" w:right="161" w:firstLine="415"/>
        <w:jc w:val="both"/>
        <w:rPr>
          <w:rFonts w:ascii="宋体" w:hAnsi="宋体" w:cs="宋体" w:eastAsia="宋体" w:hint="default"/>
          <w:sz w:val="24"/>
          <w:szCs w:val="24"/>
        </w:rPr>
      </w:pPr>
      <w:r>
        <w:rPr>
          <w:rFonts w:ascii="宋体" w:hAnsi="宋体" w:cs="宋体" w:eastAsia="宋体" w:hint="default"/>
          <w:spacing w:val="-4"/>
          <w:sz w:val="24"/>
          <w:szCs w:val="24"/>
        </w:rPr>
        <w:t>报告期内，北京用友华表软件技术有限公司在建筑、金融、制造等多个行业内树立</w:t>
      </w:r>
      <w:r>
        <w:rPr>
          <w:rFonts w:ascii="宋体" w:hAnsi="宋体" w:cs="宋体" w:eastAsia="宋体" w:hint="default"/>
          <w:spacing w:val="-46"/>
          <w:sz w:val="24"/>
          <w:szCs w:val="24"/>
        </w:rPr>
        <w:t> </w:t>
      </w:r>
      <w:r>
        <w:rPr>
          <w:rFonts w:ascii="宋体" w:hAnsi="宋体" w:cs="宋体" w:eastAsia="宋体" w:hint="default"/>
          <w:sz w:val="24"/>
          <w:szCs w:val="24"/>
        </w:rPr>
        <w:t>BI</w:t>
      </w:r>
      <w:r>
        <w:rPr>
          <w:rFonts w:ascii="宋体" w:hAnsi="宋体" w:cs="宋体" w:eastAsia="宋体" w:hint="default"/>
          <w:sz w:val="24"/>
          <w:szCs w:val="24"/>
        </w:rPr>
        <w:t> 应用标杆，发版了 E-CELL</w:t>
      </w:r>
      <w:r>
        <w:rPr>
          <w:rFonts w:ascii="宋体" w:hAnsi="宋体" w:cs="宋体" w:eastAsia="宋体" w:hint="default"/>
          <w:spacing w:val="-60"/>
          <w:sz w:val="24"/>
          <w:szCs w:val="24"/>
        </w:rPr>
        <w:t> </w:t>
      </w:r>
      <w:r>
        <w:rPr>
          <w:rFonts w:ascii="宋体" w:hAnsi="宋体" w:cs="宋体" w:eastAsia="宋体" w:hint="default"/>
          <w:sz w:val="24"/>
          <w:szCs w:val="24"/>
        </w:rPr>
        <w:t>V1.2，继续保持行业内技术领先，并深入研究商业智能产品，</w:t>
      </w:r>
      <w:r>
        <w:rPr>
          <w:rFonts w:ascii="宋体" w:hAnsi="宋体" w:cs="宋体" w:eastAsia="宋体" w:hint="default"/>
          <w:sz w:val="24"/>
          <w:szCs w:val="24"/>
        </w:rPr>
        <w:t> 发版了票据通 V6.2，进一步完善产品功能并提高票据打印性能，优化了业务设计与运行 系统，加强了各项业务推进。</w:t>
      </w:r>
    </w:p>
    <w:p>
      <w:pPr>
        <w:spacing w:line="297" w:lineRule="auto" w:before="137"/>
        <w:ind w:left="140" w:right="83" w:firstLine="482"/>
        <w:jc w:val="left"/>
        <w:rPr>
          <w:rFonts w:ascii="宋体" w:hAnsi="宋体" w:cs="宋体" w:eastAsia="宋体" w:hint="default"/>
          <w:sz w:val="24"/>
          <w:szCs w:val="24"/>
        </w:rPr>
      </w:pPr>
      <w:r>
        <w:rPr>
          <w:rFonts w:ascii="宋体" w:hAnsi="宋体" w:cs="宋体" w:eastAsia="宋体" w:hint="default"/>
          <w:spacing w:val="-7"/>
          <w:sz w:val="24"/>
          <w:szCs w:val="24"/>
        </w:rPr>
        <w:t>报告期内，用友审计软件有限公司快速推进项目研发和产品发版，用友审计作业系统、</w:t>
      </w:r>
      <w:r>
        <w:rPr>
          <w:rFonts w:ascii="宋体" w:hAnsi="宋体" w:cs="宋体" w:eastAsia="宋体" w:hint="default"/>
          <w:sz w:val="24"/>
          <w:szCs w:val="24"/>
        </w:rPr>
        <w:t> </w:t>
      </w:r>
      <w:r>
        <w:rPr>
          <w:rFonts w:ascii="宋体" w:hAnsi="宋体" w:cs="宋体" w:eastAsia="宋体" w:hint="default"/>
          <w:spacing w:val="-4"/>
          <w:sz w:val="24"/>
          <w:szCs w:val="24"/>
        </w:rPr>
        <w:t>用友审计管理系统软件、用友联网审计系统、用友数字化税务查账系统</w:t>
      </w:r>
      <w:r>
        <w:rPr>
          <w:rFonts w:ascii="宋体" w:hAnsi="宋体" w:cs="宋体" w:eastAsia="宋体" w:hint="default"/>
          <w:spacing w:val="-59"/>
          <w:sz w:val="24"/>
          <w:szCs w:val="24"/>
        </w:rPr>
        <w:t> </w:t>
      </w:r>
      <w:r>
        <w:rPr>
          <w:rFonts w:ascii="宋体" w:hAnsi="宋体" w:cs="宋体" w:eastAsia="宋体" w:hint="default"/>
          <w:sz w:val="24"/>
          <w:szCs w:val="24"/>
        </w:rPr>
        <w:t>4</w:t>
      </w:r>
      <w:r>
        <w:rPr>
          <w:rFonts w:ascii="宋体" w:hAnsi="宋体" w:cs="宋体" w:eastAsia="宋体" w:hint="default"/>
          <w:spacing w:val="-59"/>
          <w:sz w:val="24"/>
          <w:szCs w:val="24"/>
        </w:rPr>
        <w:t> </w:t>
      </w:r>
      <w:r>
        <w:rPr>
          <w:rFonts w:ascii="宋体" w:hAnsi="宋体" w:cs="宋体" w:eastAsia="宋体" w:hint="default"/>
          <w:sz w:val="24"/>
          <w:szCs w:val="24"/>
        </w:rPr>
        <w:t>项产品荣获北京</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4"/>
          <w:sz w:val="24"/>
          <w:szCs w:val="24"/>
        </w:rPr>
        <w:t>市自主创新产品称号，用友审计软件有限公司被认定为“中关村高新技术企业”、“海淀</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区创新企业”，并通过了</w:t>
      </w:r>
      <w:r>
        <w:rPr>
          <w:rFonts w:ascii="宋体" w:hAnsi="宋体" w:cs="宋体" w:eastAsia="宋体" w:hint="default"/>
          <w:spacing w:val="-60"/>
          <w:sz w:val="24"/>
          <w:szCs w:val="24"/>
        </w:rPr>
        <w:t> </w:t>
      </w:r>
      <w:r>
        <w:rPr>
          <w:rFonts w:ascii="宋体" w:hAnsi="宋体" w:cs="宋体" w:eastAsia="宋体" w:hint="default"/>
          <w:sz w:val="24"/>
          <w:szCs w:val="24"/>
        </w:rPr>
        <w:t>ISO9001</w:t>
      </w:r>
      <w:r>
        <w:rPr>
          <w:rFonts w:ascii="宋体" w:hAnsi="宋体" w:cs="宋体" w:eastAsia="宋体" w:hint="default"/>
          <w:spacing w:val="-60"/>
          <w:sz w:val="24"/>
          <w:szCs w:val="24"/>
        </w:rPr>
        <w:t> </w:t>
      </w:r>
      <w:r>
        <w:rPr>
          <w:rFonts w:ascii="宋体" w:hAnsi="宋体" w:cs="宋体" w:eastAsia="宋体" w:hint="default"/>
          <w:sz w:val="24"/>
          <w:szCs w:val="24"/>
        </w:rPr>
        <w:t>质量管理体系认证。</w:t>
      </w:r>
    </w:p>
    <w:p>
      <w:pPr>
        <w:spacing w:line="388" w:lineRule="auto" w:before="137"/>
        <w:ind w:left="623" w:right="219" w:firstLine="0"/>
        <w:jc w:val="left"/>
        <w:rPr>
          <w:rFonts w:ascii="宋体" w:hAnsi="宋体" w:cs="宋体" w:eastAsia="宋体" w:hint="default"/>
          <w:sz w:val="24"/>
          <w:szCs w:val="24"/>
        </w:rPr>
      </w:pPr>
      <w:r>
        <w:rPr>
          <w:rFonts w:ascii="宋体" w:hAnsi="宋体" w:cs="宋体" w:eastAsia="宋体" w:hint="default"/>
          <w:sz w:val="24"/>
          <w:szCs w:val="24"/>
        </w:rPr>
        <w:t>5） 投资情况 </w:t>
      </w:r>
      <w:r>
        <w:rPr>
          <w:rFonts w:ascii="宋体" w:hAnsi="宋体" w:cs="宋体" w:eastAsia="宋体" w:hint="default"/>
          <w:spacing w:val="-4"/>
          <w:sz w:val="24"/>
          <w:szCs w:val="24"/>
        </w:rPr>
        <w:t>报告期内，公司采取稳健的投资策略，将持有的交易性金融资产和可供出售金融资产</w:t>
      </w:r>
    </w:p>
    <w:p>
      <w:pPr>
        <w:spacing w:line="240" w:lineRule="exact" w:before="0"/>
        <w:ind w:left="140" w:right="220" w:firstLine="0"/>
        <w:jc w:val="left"/>
        <w:rPr>
          <w:rFonts w:ascii="宋体" w:hAnsi="宋体" w:cs="宋体" w:eastAsia="宋体" w:hint="default"/>
          <w:sz w:val="24"/>
          <w:szCs w:val="24"/>
        </w:rPr>
      </w:pPr>
      <w:r>
        <w:rPr>
          <w:rFonts w:ascii="宋体" w:hAnsi="宋体" w:cs="宋体" w:eastAsia="宋体" w:hint="default"/>
          <w:sz w:val="24"/>
          <w:szCs w:val="24"/>
        </w:rPr>
        <w:t>全部卖出，取得收益</w:t>
      </w:r>
      <w:r>
        <w:rPr>
          <w:rFonts w:ascii="宋体" w:hAnsi="宋体" w:cs="宋体" w:eastAsia="宋体" w:hint="default"/>
          <w:spacing w:val="-60"/>
          <w:sz w:val="24"/>
          <w:szCs w:val="24"/>
        </w:rPr>
        <w:t> </w:t>
      </w:r>
      <w:r>
        <w:rPr>
          <w:rFonts w:ascii="宋体" w:hAnsi="宋体" w:cs="宋体" w:eastAsia="宋体" w:hint="default"/>
          <w:sz w:val="24"/>
          <w:szCs w:val="24"/>
        </w:rPr>
        <w:t>279,723,236</w:t>
      </w:r>
      <w:r>
        <w:rPr>
          <w:rFonts w:ascii="宋体" w:hAnsi="宋体" w:cs="宋体" w:eastAsia="宋体" w:hint="default"/>
          <w:spacing w:val="-60"/>
          <w:sz w:val="24"/>
          <w:szCs w:val="24"/>
        </w:rPr>
        <w:t> </w:t>
      </w:r>
      <w:r>
        <w:rPr>
          <w:rFonts w:ascii="宋体" w:hAnsi="宋体" w:cs="宋体" w:eastAsia="宋体" w:hint="default"/>
          <w:sz w:val="24"/>
          <w:szCs w:val="24"/>
        </w:rPr>
        <w:t>元。</w:t>
      </w:r>
    </w:p>
    <w:p>
      <w:pPr>
        <w:spacing w:line="388" w:lineRule="auto" w:before="194"/>
        <w:ind w:left="620" w:right="220" w:firstLine="2"/>
        <w:jc w:val="left"/>
        <w:rPr>
          <w:rFonts w:ascii="宋体" w:hAnsi="宋体" w:cs="宋体" w:eastAsia="宋体" w:hint="default"/>
          <w:sz w:val="24"/>
          <w:szCs w:val="24"/>
        </w:rPr>
      </w:pPr>
      <w:r>
        <w:rPr>
          <w:rFonts w:ascii="宋体" w:hAnsi="宋体" w:cs="宋体" w:eastAsia="宋体" w:hint="default"/>
          <w:sz w:val="24"/>
          <w:szCs w:val="24"/>
        </w:rPr>
        <w:t>6） 员工发展情况 </w:t>
      </w:r>
      <w:r>
        <w:rPr>
          <w:rFonts w:ascii="宋体" w:hAnsi="宋体" w:cs="宋体" w:eastAsia="宋体" w:hint="default"/>
          <w:spacing w:val="-4"/>
          <w:sz w:val="24"/>
          <w:szCs w:val="24"/>
        </w:rPr>
        <w:t>报告期内，公司结合人员结构优化，加大了对人力资源的投入，实施了“千人招聘计</w:t>
      </w:r>
    </w:p>
    <w:p>
      <w:pPr>
        <w:spacing w:line="240" w:lineRule="exact" w:before="0"/>
        <w:ind w:left="140" w:right="220" w:firstLine="0"/>
        <w:jc w:val="left"/>
        <w:rPr>
          <w:rFonts w:ascii="宋体" w:hAnsi="宋体" w:cs="宋体" w:eastAsia="宋体" w:hint="default"/>
          <w:sz w:val="24"/>
          <w:szCs w:val="24"/>
        </w:rPr>
      </w:pPr>
      <w:r>
        <w:rPr>
          <w:rFonts w:ascii="宋体" w:hAnsi="宋体" w:cs="宋体" w:eastAsia="宋体" w:hint="default"/>
          <w:spacing w:val="-4"/>
          <w:sz w:val="24"/>
          <w:szCs w:val="24"/>
        </w:rPr>
        <w:t>划”，在全国范围内，展开软件行业精英人才的大规模招聘，引进了大批优秀人才，为公</w:t>
      </w:r>
    </w:p>
    <w:p>
      <w:pPr>
        <w:spacing w:line="388" w:lineRule="auto" w:before="76"/>
        <w:ind w:left="623" w:right="219" w:hanging="483"/>
        <w:jc w:val="left"/>
        <w:rPr>
          <w:rFonts w:ascii="宋体" w:hAnsi="宋体" w:cs="宋体" w:eastAsia="宋体" w:hint="default"/>
          <w:sz w:val="24"/>
          <w:szCs w:val="24"/>
        </w:rPr>
      </w:pPr>
      <w:r>
        <w:rPr>
          <w:rFonts w:ascii="宋体" w:hAnsi="宋体" w:cs="宋体" w:eastAsia="宋体" w:hint="default"/>
          <w:sz w:val="24"/>
          <w:szCs w:val="24"/>
        </w:rPr>
        <w:t>司未来几年的发展储备了专业人才。 </w:t>
      </w:r>
      <w:r>
        <w:rPr>
          <w:rFonts w:ascii="宋体" w:hAnsi="宋体" w:cs="宋体" w:eastAsia="宋体" w:hint="default"/>
          <w:spacing w:val="-4"/>
          <w:sz w:val="24"/>
          <w:szCs w:val="24"/>
        </w:rPr>
        <w:t>报告期内，公司为进一步完善公司激励机制与体系，增强公司的人才竞争力，根据公</w:t>
      </w:r>
    </w:p>
    <w:p>
      <w:pPr>
        <w:spacing w:line="240" w:lineRule="exact" w:before="0"/>
        <w:ind w:left="140" w:right="83" w:firstLine="0"/>
        <w:jc w:val="left"/>
        <w:rPr>
          <w:rFonts w:ascii="宋体" w:hAnsi="宋体" w:cs="宋体" w:eastAsia="宋体" w:hint="default"/>
          <w:sz w:val="24"/>
          <w:szCs w:val="24"/>
        </w:rPr>
      </w:pPr>
      <w:r>
        <w:rPr>
          <w:rFonts w:ascii="宋体" w:hAnsi="宋体" w:cs="宋体" w:eastAsia="宋体" w:hint="default"/>
          <w:sz w:val="24"/>
          <w:szCs w:val="24"/>
        </w:rPr>
        <w:t>司股东大会的授权</w:t>
      </w:r>
      <w:r>
        <w:rPr>
          <w:rFonts w:ascii="宋体" w:hAnsi="宋体" w:cs="宋体" w:eastAsia="宋体" w:hint="default"/>
          <w:spacing w:val="-118"/>
          <w:sz w:val="24"/>
          <w:szCs w:val="24"/>
        </w:rPr>
        <w:t>，</w:t>
      </w:r>
      <w:r>
        <w:rPr>
          <w:rFonts w:ascii="宋体" w:hAnsi="宋体" w:cs="宋体" w:eastAsia="宋体" w:hint="default"/>
          <w:sz w:val="24"/>
          <w:szCs w:val="24"/>
        </w:rPr>
        <w:t>公司董事会于</w:t>
      </w:r>
      <w:r>
        <w:rPr>
          <w:rFonts w:ascii="宋体" w:hAnsi="宋体" w:cs="宋体" w:eastAsia="宋体" w:hint="default"/>
          <w:spacing w:val="-60"/>
          <w:sz w:val="24"/>
          <w:szCs w:val="24"/>
        </w:rPr>
        <w:t> </w:t>
      </w:r>
      <w:r>
        <w:rPr>
          <w:rFonts w:ascii="宋体" w:hAnsi="宋体" w:cs="宋体" w:eastAsia="宋体" w:hint="default"/>
          <w:sz w:val="24"/>
          <w:szCs w:val="24"/>
        </w:rPr>
        <w:t>200</w:t>
      </w:r>
      <w:r>
        <w:rPr>
          <w:rFonts w:ascii="宋体" w:hAnsi="宋体" w:cs="宋体" w:eastAsia="宋体" w:hint="default"/>
          <w:spacing w:val="60"/>
          <w:sz w:val="24"/>
          <w:szCs w:val="24"/>
        </w:rPr>
        <w:t>9年9</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29</w:t>
      </w:r>
      <w:r>
        <w:rPr>
          <w:rFonts w:ascii="宋体" w:hAnsi="宋体" w:cs="宋体" w:eastAsia="宋体" w:hint="default"/>
          <w:spacing w:val="-60"/>
          <w:sz w:val="24"/>
          <w:szCs w:val="24"/>
        </w:rPr>
        <w:t> </w:t>
      </w:r>
      <w:r>
        <w:rPr>
          <w:rFonts w:ascii="宋体" w:hAnsi="宋体" w:cs="宋体" w:eastAsia="宋体" w:hint="default"/>
          <w:sz w:val="24"/>
          <w:szCs w:val="24"/>
        </w:rPr>
        <w:t>日向符合授予条件的股权激励对象授予</w:t>
      </w:r>
    </w:p>
    <w:p>
      <w:pPr>
        <w:spacing w:line="297" w:lineRule="auto" w:before="74"/>
        <w:ind w:left="140" w:right="161" w:firstLine="0"/>
        <w:jc w:val="both"/>
        <w:rPr>
          <w:rFonts w:ascii="宋体" w:hAnsi="宋体" w:cs="宋体" w:eastAsia="宋体" w:hint="default"/>
          <w:sz w:val="24"/>
          <w:szCs w:val="24"/>
        </w:rPr>
      </w:pPr>
      <w:r>
        <w:rPr>
          <w:rFonts w:ascii="宋体" w:hAnsi="宋体" w:cs="宋体" w:eastAsia="宋体" w:hint="default"/>
          <w:sz w:val="24"/>
          <w:szCs w:val="24"/>
        </w:rPr>
        <w:t>《用友软件股份有限公司股权激励计划（修订稿）》中标的股票，截至</w:t>
      </w:r>
      <w:r>
        <w:rPr>
          <w:rFonts w:ascii="宋体" w:hAnsi="宋体" w:cs="宋体" w:eastAsia="宋体" w:hint="default"/>
          <w:spacing w:val="-48"/>
          <w:sz w:val="24"/>
          <w:szCs w:val="24"/>
        </w:rPr>
        <w:t> </w:t>
      </w:r>
      <w:r>
        <w:rPr>
          <w:rFonts w:ascii="宋体" w:hAnsi="宋体" w:cs="宋体" w:eastAsia="宋体" w:hint="default"/>
          <w:sz w:val="24"/>
          <w:szCs w:val="24"/>
        </w:rPr>
        <w:t>2009</w:t>
      </w:r>
      <w:r>
        <w:rPr>
          <w:rFonts w:ascii="宋体" w:hAnsi="宋体" w:cs="宋体" w:eastAsia="宋体" w:hint="default"/>
          <w:spacing w:val="-48"/>
          <w:sz w:val="24"/>
          <w:szCs w:val="24"/>
        </w:rPr>
        <w:t> </w:t>
      </w:r>
      <w:r>
        <w:rPr>
          <w:rFonts w:ascii="宋体" w:hAnsi="宋体" w:cs="宋体" w:eastAsia="宋体" w:hint="default"/>
          <w:sz w:val="24"/>
          <w:szCs w:val="24"/>
        </w:rPr>
        <w:t>年</w:t>
      </w:r>
      <w:r>
        <w:rPr>
          <w:rFonts w:ascii="宋体" w:hAnsi="宋体" w:cs="宋体" w:eastAsia="宋体" w:hint="default"/>
          <w:spacing w:val="-47"/>
          <w:sz w:val="24"/>
          <w:szCs w:val="24"/>
        </w:rPr>
        <w:t> </w:t>
      </w:r>
      <w:r>
        <w:rPr>
          <w:rFonts w:ascii="宋体" w:hAnsi="宋体" w:cs="宋体" w:eastAsia="宋体" w:hint="default"/>
          <w:sz w:val="24"/>
          <w:szCs w:val="24"/>
        </w:rPr>
        <w:t>11</w:t>
      </w:r>
      <w:r>
        <w:rPr>
          <w:rFonts w:ascii="宋体" w:hAnsi="宋体" w:cs="宋体" w:eastAsia="宋体" w:hint="default"/>
          <w:spacing w:val="-48"/>
          <w:sz w:val="24"/>
          <w:szCs w:val="24"/>
        </w:rPr>
        <w:t> </w:t>
      </w:r>
      <w:r>
        <w:rPr>
          <w:rFonts w:ascii="宋体" w:hAnsi="宋体" w:cs="宋体" w:eastAsia="宋体" w:hint="default"/>
          <w:sz w:val="24"/>
          <w:szCs w:val="24"/>
        </w:rPr>
        <w:t>月</w:t>
      </w:r>
      <w:r>
        <w:rPr>
          <w:rFonts w:ascii="宋体" w:hAnsi="宋体" w:cs="宋体" w:eastAsia="宋体" w:hint="default"/>
          <w:spacing w:val="-48"/>
          <w:sz w:val="24"/>
          <w:szCs w:val="24"/>
        </w:rPr>
        <w:t> </w:t>
      </w:r>
      <w:r>
        <w:rPr>
          <w:rFonts w:ascii="宋体" w:hAnsi="宋体" w:cs="宋体" w:eastAsia="宋体" w:hint="default"/>
          <w:sz w:val="24"/>
          <w:szCs w:val="24"/>
        </w:rPr>
        <w:t>24</w:t>
      </w:r>
      <w:r>
        <w:rPr>
          <w:rFonts w:ascii="宋体" w:hAnsi="宋体" w:cs="宋体" w:eastAsia="宋体" w:hint="default"/>
          <w:sz w:val="24"/>
          <w:szCs w:val="24"/>
        </w:rPr>
        <w:t> 日，实际授出股权激励股份</w:t>
      </w:r>
      <w:r>
        <w:rPr>
          <w:rFonts w:ascii="宋体" w:hAnsi="宋体" w:cs="宋体" w:eastAsia="宋体" w:hint="default"/>
          <w:spacing w:val="-60"/>
          <w:sz w:val="24"/>
          <w:szCs w:val="24"/>
        </w:rPr>
        <w:t> </w:t>
      </w:r>
      <w:r>
        <w:rPr>
          <w:rFonts w:ascii="宋体" w:hAnsi="宋体" w:cs="宋体" w:eastAsia="宋体" w:hint="default"/>
          <w:sz w:val="24"/>
          <w:szCs w:val="24"/>
        </w:rPr>
        <w:t>21,196,982</w:t>
      </w:r>
      <w:r>
        <w:rPr>
          <w:rFonts w:ascii="宋体" w:hAnsi="宋体" w:cs="宋体" w:eastAsia="宋体" w:hint="default"/>
          <w:spacing w:val="-60"/>
          <w:sz w:val="24"/>
          <w:szCs w:val="24"/>
        </w:rPr>
        <w:t> </w:t>
      </w:r>
      <w:r>
        <w:rPr>
          <w:rFonts w:ascii="宋体" w:hAnsi="宋体" w:cs="宋体" w:eastAsia="宋体" w:hint="default"/>
          <w:sz w:val="24"/>
          <w:szCs w:val="24"/>
        </w:rPr>
        <w:t>股，1524</w:t>
      </w:r>
      <w:r>
        <w:rPr>
          <w:rFonts w:ascii="宋体" w:hAnsi="宋体" w:cs="宋体" w:eastAsia="宋体" w:hint="default"/>
          <w:spacing w:val="-60"/>
          <w:sz w:val="24"/>
          <w:szCs w:val="24"/>
        </w:rPr>
        <w:t> </w:t>
      </w:r>
      <w:r>
        <w:rPr>
          <w:rFonts w:ascii="宋体" w:hAnsi="宋体" w:cs="宋体" w:eastAsia="宋体" w:hint="default"/>
          <w:sz w:val="24"/>
          <w:szCs w:val="24"/>
        </w:rPr>
        <w:t>名公司骨干员工获授股权激励，其中，</w:t>
      </w:r>
      <w:r>
        <w:rPr>
          <w:rFonts w:ascii="宋体" w:hAnsi="宋体" w:cs="宋体" w:eastAsia="宋体" w:hint="default"/>
          <w:sz w:val="24"/>
          <w:szCs w:val="24"/>
        </w:rPr>
        <w:t> 授出</w:t>
      </w:r>
      <w:r>
        <w:rPr>
          <w:rFonts w:ascii="宋体" w:hAnsi="宋体" w:cs="宋体" w:eastAsia="宋体" w:hint="default"/>
          <w:spacing w:val="-55"/>
          <w:sz w:val="24"/>
          <w:szCs w:val="24"/>
        </w:rPr>
        <w:t> </w:t>
      </w:r>
      <w:r>
        <w:rPr>
          <w:rFonts w:ascii="宋体" w:hAnsi="宋体" w:cs="宋体" w:eastAsia="宋体" w:hint="default"/>
          <w:sz w:val="24"/>
          <w:szCs w:val="24"/>
        </w:rPr>
        <w:t>2009</w:t>
      </w:r>
      <w:r>
        <w:rPr>
          <w:rFonts w:ascii="宋体" w:hAnsi="宋体" w:cs="宋体" w:eastAsia="宋体" w:hint="default"/>
          <w:spacing w:val="-57"/>
          <w:sz w:val="24"/>
          <w:szCs w:val="24"/>
        </w:rPr>
        <w:t> </w:t>
      </w:r>
      <w:r>
        <w:rPr>
          <w:rFonts w:ascii="宋体" w:hAnsi="宋体" w:cs="宋体" w:eastAsia="宋体" w:hint="default"/>
          <w:sz w:val="24"/>
          <w:szCs w:val="24"/>
        </w:rPr>
        <w:t>年度股票</w:t>
      </w:r>
      <w:r>
        <w:rPr>
          <w:rFonts w:ascii="宋体" w:hAnsi="宋体" w:cs="宋体" w:eastAsia="宋体" w:hint="default"/>
          <w:spacing w:val="-55"/>
          <w:sz w:val="24"/>
          <w:szCs w:val="24"/>
        </w:rPr>
        <w:t> </w:t>
      </w:r>
      <w:r>
        <w:rPr>
          <w:rFonts w:ascii="宋体" w:hAnsi="宋体" w:cs="宋体" w:eastAsia="宋体" w:hint="default"/>
          <w:sz w:val="24"/>
          <w:szCs w:val="24"/>
        </w:rPr>
        <w:t>5,840,640</w:t>
      </w:r>
      <w:r>
        <w:rPr>
          <w:rFonts w:ascii="宋体" w:hAnsi="宋体" w:cs="宋体" w:eastAsia="宋体" w:hint="default"/>
          <w:spacing w:val="-55"/>
          <w:sz w:val="24"/>
          <w:szCs w:val="24"/>
        </w:rPr>
        <w:t> </w:t>
      </w:r>
      <w:r>
        <w:rPr>
          <w:rFonts w:ascii="宋体" w:hAnsi="宋体" w:cs="宋体" w:eastAsia="宋体" w:hint="default"/>
          <w:sz w:val="24"/>
          <w:szCs w:val="24"/>
        </w:rPr>
        <w:t>股，授出预留股份</w:t>
      </w:r>
      <w:r>
        <w:rPr>
          <w:rFonts w:ascii="宋体" w:hAnsi="宋体" w:cs="宋体" w:eastAsia="宋体" w:hint="default"/>
          <w:spacing w:val="-55"/>
          <w:sz w:val="24"/>
          <w:szCs w:val="24"/>
        </w:rPr>
        <w:t> </w:t>
      </w:r>
      <w:r>
        <w:rPr>
          <w:rFonts w:ascii="宋体" w:hAnsi="宋体" w:cs="宋体" w:eastAsia="宋体" w:hint="default"/>
          <w:sz w:val="24"/>
          <w:szCs w:val="24"/>
        </w:rPr>
        <w:t>15,356,342</w:t>
      </w:r>
      <w:r>
        <w:rPr>
          <w:rFonts w:ascii="宋体" w:hAnsi="宋体" w:cs="宋体" w:eastAsia="宋体" w:hint="default"/>
          <w:spacing w:val="-55"/>
          <w:sz w:val="24"/>
          <w:szCs w:val="24"/>
        </w:rPr>
        <w:t> </w:t>
      </w:r>
      <w:r>
        <w:rPr>
          <w:rFonts w:ascii="宋体" w:hAnsi="宋体" w:cs="宋体" w:eastAsia="宋体" w:hint="default"/>
          <w:sz w:val="24"/>
          <w:szCs w:val="24"/>
        </w:rPr>
        <w:t>股。截至</w:t>
      </w:r>
      <w:r>
        <w:rPr>
          <w:rFonts w:ascii="宋体" w:hAnsi="宋体" w:cs="宋体" w:eastAsia="宋体" w:hint="default"/>
          <w:spacing w:val="-55"/>
          <w:sz w:val="24"/>
          <w:szCs w:val="24"/>
        </w:rPr>
        <w:t> </w:t>
      </w:r>
      <w:r>
        <w:rPr>
          <w:rFonts w:ascii="宋体" w:hAnsi="宋体" w:cs="宋体" w:eastAsia="宋体" w:hint="default"/>
          <w:sz w:val="24"/>
          <w:szCs w:val="24"/>
        </w:rPr>
        <w:t>2009</w:t>
      </w:r>
      <w:r>
        <w:rPr>
          <w:rFonts w:ascii="宋体" w:hAnsi="宋体" w:cs="宋体" w:eastAsia="宋体" w:hint="default"/>
          <w:spacing w:val="-55"/>
          <w:sz w:val="24"/>
          <w:szCs w:val="24"/>
        </w:rPr>
        <w:t> </w:t>
      </w:r>
      <w:r>
        <w:rPr>
          <w:rFonts w:ascii="宋体" w:hAnsi="宋体" w:cs="宋体" w:eastAsia="宋体" w:hint="default"/>
          <w:sz w:val="24"/>
          <w:szCs w:val="24"/>
        </w:rPr>
        <w:t>年</w:t>
      </w:r>
      <w:r>
        <w:rPr>
          <w:rFonts w:ascii="宋体" w:hAnsi="宋体" w:cs="宋体" w:eastAsia="宋体" w:hint="default"/>
          <w:spacing w:val="-55"/>
          <w:sz w:val="24"/>
          <w:szCs w:val="24"/>
        </w:rPr>
        <w:t> </w:t>
      </w:r>
      <w:r>
        <w:rPr>
          <w:rFonts w:ascii="宋体" w:hAnsi="宋体" w:cs="宋体" w:eastAsia="宋体" w:hint="default"/>
          <w:sz w:val="24"/>
          <w:szCs w:val="24"/>
        </w:rPr>
        <w:t>12</w:t>
      </w:r>
      <w:r>
        <w:rPr>
          <w:rFonts w:ascii="宋体" w:hAnsi="宋体" w:cs="宋体" w:eastAsia="宋体" w:hint="default"/>
          <w:spacing w:val="-55"/>
          <w:sz w:val="24"/>
          <w:szCs w:val="24"/>
        </w:rPr>
        <w:t> </w:t>
      </w:r>
      <w:r>
        <w:rPr>
          <w:rFonts w:ascii="宋体" w:hAnsi="宋体" w:cs="宋体" w:eastAsia="宋体" w:hint="default"/>
          <w:sz w:val="24"/>
          <w:szCs w:val="24"/>
        </w:rPr>
        <w:t>月</w:t>
      </w:r>
      <w:r>
        <w:rPr>
          <w:rFonts w:ascii="宋体" w:hAnsi="宋体" w:cs="宋体" w:eastAsia="宋体" w:hint="default"/>
          <w:spacing w:val="-55"/>
          <w:sz w:val="24"/>
          <w:szCs w:val="24"/>
        </w:rPr>
        <w:t> </w:t>
      </w:r>
      <w:r>
        <w:rPr>
          <w:rFonts w:ascii="宋体" w:hAnsi="宋体" w:cs="宋体" w:eastAsia="宋体" w:hint="default"/>
          <w:sz w:val="24"/>
          <w:szCs w:val="24"/>
        </w:rPr>
        <w:t>17</w:t>
      </w:r>
      <w:r>
        <w:rPr>
          <w:rFonts w:ascii="宋体" w:hAnsi="宋体" w:cs="宋体" w:eastAsia="宋体" w:hint="default"/>
          <w:sz w:val="24"/>
          <w:szCs w:val="24"/>
        </w:rPr>
        <w:t> 日，公司已完成相关股份的登记事宜。</w:t>
      </w:r>
    </w:p>
    <w:p>
      <w:pPr>
        <w:spacing w:line="388" w:lineRule="auto" w:before="137"/>
        <w:ind w:left="623" w:right="204" w:firstLine="0"/>
        <w:jc w:val="left"/>
        <w:rPr>
          <w:rFonts w:ascii="宋体" w:hAnsi="宋体" w:cs="宋体" w:eastAsia="宋体" w:hint="default"/>
          <w:sz w:val="24"/>
          <w:szCs w:val="24"/>
        </w:rPr>
      </w:pPr>
      <w:r>
        <w:rPr>
          <w:rFonts w:ascii="宋体" w:hAnsi="宋体" w:cs="宋体" w:eastAsia="宋体" w:hint="default"/>
          <w:sz w:val="24"/>
          <w:szCs w:val="24"/>
        </w:rPr>
        <w:t>（2）公司的行业地位及区域市场地位 公司是亚太地区第一大企业管理软件供应商，中国最大的管理软件、ERP</w:t>
      </w:r>
      <w:r>
        <w:rPr>
          <w:rFonts w:ascii="宋体" w:hAnsi="宋体" w:cs="宋体" w:eastAsia="宋体" w:hint="default"/>
          <w:spacing w:val="-98"/>
          <w:sz w:val="24"/>
          <w:szCs w:val="24"/>
        </w:rPr>
        <w:t> </w:t>
      </w:r>
      <w:r>
        <w:rPr>
          <w:rFonts w:ascii="宋体" w:hAnsi="宋体" w:cs="宋体" w:eastAsia="宋体" w:hint="default"/>
          <w:spacing w:val="-5"/>
          <w:sz w:val="24"/>
          <w:szCs w:val="24"/>
        </w:rPr>
        <w:t>软件、财务</w:t>
      </w:r>
    </w:p>
    <w:p>
      <w:pPr>
        <w:spacing w:line="241" w:lineRule="exact" w:before="0"/>
        <w:ind w:left="140" w:right="0" w:firstLine="0"/>
        <w:jc w:val="left"/>
        <w:rPr>
          <w:rFonts w:ascii="宋体" w:hAnsi="宋体" w:cs="宋体" w:eastAsia="宋体" w:hint="default"/>
          <w:sz w:val="24"/>
          <w:szCs w:val="24"/>
        </w:rPr>
      </w:pPr>
      <w:r>
        <w:rPr>
          <w:rFonts w:ascii="宋体" w:hAnsi="宋体" w:cs="宋体" w:eastAsia="宋体" w:hint="default"/>
          <w:sz w:val="24"/>
          <w:szCs w:val="24"/>
        </w:rPr>
        <w:t>软件、集团企业人力资源管理软件、客户关系管理软件、财政软件、金融企业管理软件、</w:t>
      </w:r>
    </w:p>
    <w:p>
      <w:pPr>
        <w:spacing w:line="388" w:lineRule="auto" w:before="74"/>
        <w:ind w:left="623" w:right="201" w:hanging="483"/>
        <w:jc w:val="left"/>
        <w:rPr>
          <w:rFonts w:ascii="宋体" w:hAnsi="宋体" w:cs="宋体" w:eastAsia="宋体" w:hint="default"/>
          <w:sz w:val="24"/>
          <w:szCs w:val="24"/>
        </w:rPr>
      </w:pPr>
      <w:r>
        <w:rPr>
          <w:rFonts w:ascii="宋体" w:hAnsi="宋体" w:cs="宋体" w:eastAsia="宋体" w:hint="default"/>
          <w:sz w:val="24"/>
          <w:szCs w:val="24"/>
        </w:rPr>
        <w:t>资产管理软件和小型企业管理软件供应商，也是中国最大的独立软件供应商。 报告期内，公司荣获了赛迪顾问股份有限公司（CCID）评选的“2009 年度中国管理</w:t>
      </w:r>
    </w:p>
    <w:p>
      <w:pPr>
        <w:spacing w:after="0" w:line="388" w:lineRule="auto"/>
        <w:jc w:val="left"/>
        <w:rPr>
          <w:rFonts w:ascii="宋体" w:hAnsi="宋体" w:cs="宋体" w:eastAsia="宋体" w:hint="default"/>
          <w:sz w:val="24"/>
          <w:szCs w:val="24"/>
        </w:rPr>
        <w:sectPr>
          <w:footerReference w:type="default" r:id="rId11"/>
          <w:pgSz w:w="11910" w:h="16840"/>
          <w:pgMar w:footer="727" w:header="720" w:top="1080" w:bottom="920" w:left="1220" w:right="1080"/>
          <w:pgNumType w:start="34"/>
        </w:sectPr>
      </w:pPr>
    </w:p>
    <w:p>
      <w:pPr>
        <w:spacing w:line="240" w:lineRule="auto" w:before="12"/>
        <w:rPr>
          <w:rFonts w:ascii="宋体" w:hAnsi="宋体" w:cs="宋体" w:eastAsia="宋体" w:hint="default"/>
          <w:sz w:val="21"/>
          <w:szCs w:val="21"/>
        </w:rPr>
      </w:pPr>
    </w:p>
    <w:p>
      <w:pPr>
        <w:pStyle w:val="Heading7"/>
        <w:spacing w:line="297" w:lineRule="auto" w:before="26"/>
        <w:ind w:right="84"/>
        <w:jc w:val="left"/>
      </w:pPr>
      <w:r>
        <w:rPr/>
        <w:t>软件市场年度成功企业”、“2009</w:t>
      </w:r>
      <w:r>
        <w:rPr>
          <w:spacing w:val="-60"/>
        </w:rPr>
        <w:t> </w:t>
      </w:r>
      <w:r>
        <w:rPr/>
        <w:t>年度中国</w:t>
      </w:r>
      <w:r>
        <w:rPr>
          <w:spacing w:val="-59"/>
        </w:rPr>
        <w:t> </w:t>
      </w:r>
      <w:r>
        <w:rPr/>
        <w:t>ERP</w:t>
      </w:r>
      <w:r>
        <w:rPr>
          <w:spacing w:val="-60"/>
        </w:rPr>
        <w:t> </w:t>
      </w:r>
      <w:r>
        <w:rPr/>
        <w:t>软件市场年度成功企业”、“2009</w:t>
      </w:r>
      <w:r>
        <w:rPr>
          <w:spacing w:val="-60"/>
        </w:rPr>
        <w:t> </w:t>
      </w:r>
      <w:r>
        <w:rPr/>
        <w:t>年度</w:t>
      </w:r>
      <w:r>
        <w:rPr/>
        <w:t> </w:t>
      </w:r>
      <w:r>
        <w:rPr>
          <w:spacing w:val="-2"/>
        </w:rPr>
        <w:t>中国集团管理软件市场年度成功企业”、“2009</w:t>
      </w:r>
      <w:r>
        <w:rPr>
          <w:spacing w:val="-56"/>
        </w:rPr>
        <w:t> </w:t>
      </w:r>
      <w:r>
        <w:rPr>
          <w:spacing w:val="-1"/>
        </w:rPr>
        <w:t>年度中国财务软件市场年度成功企业”、</w:t>
      </w:r>
      <w:r>
        <w:rPr/>
        <w:t> “2009</w:t>
      </w:r>
      <w:r>
        <w:rPr>
          <w:spacing w:val="-60"/>
        </w:rPr>
        <w:t> </w:t>
      </w:r>
      <w:r>
        <w:rPr/>
        <w:t>年度中国</w:t>
      </w:r>
      <w:r>
        <w:rPr>
          <w:spacing w:val="-60"/>
        </w:rPr>
        <w:t> </w:t>
      </w:r>
      <w:r>
        <w:rPr/>
        <w:t>HRM</w:t>
      </w:r>
      <w:r>
        <w:rPr>
          <w:spacing w:val="-59"/>
        </w:rPr>
        <w:t> </w:t>
      </w:r>
      <w:r>
        <w:rPr/>
        <w:t>软件市场年度成功企业”、“2009</w:t>
      </w:r>
      <w:r>
        <w:rPr>
          <w:spacing w:val="-60"/>
        </w:rPr>
        <w:t> </w:t>
      </w:r>
      <w:r>
        <w:rPr/>
        <w:t>年度中国</w:t>
      </w:r>
      <w:r>
        <w:rPr>
          <w:spacing w:val="-59"/>
        </w:rPr>
        <w:t> </w:t>
      </w:r>
      <w:r>
        <w:rPr/>
        <w:t>CRM</w:t>
      </w:r>
      <w:r>
        <w:rPr>
          <w:spacing w:val="-60"/>
        </w:rPr>
        <w:t> </w:t>
      </w:r>
      <w:r>
        <w:rPr/>
        <w:t>软件市场年度成功</w:t>
      </w:r>
      <w:r>
        <w:rPr/>
        <w:t> 企业”、“2009</w:t>
      </w:r>
      <w:r>
        <w:rPr>
          <w:spacing w:val="-60"/>
        </w:rPr>
        <w:t> </w:t>
      </w:r>
      <w:r>
        <w:rPr/>
        <w:t>年度中国小型管理软件市场年度成功企业”、“2009</w:t>
      </w:r>
      <w:r>
        <w:rPr>
          <w:spacing w:val="-60"/>
        </w:rPr>
        <w:t> </w:t>
      </w:r>
      <w:r>
        <w:rPr/>
        <w:t>年度中国</w:t>
      </w:r>
      <w:r>
        <w:rPr>
          <w:spacing w:val="-60"/>
        </w:rPr>
        <w:t> </w:t>
      </w:r>
      <w:r>
        <w:rPr/>
        <w:t>EAM</w:t>
      </w:r>
      <w:r>
        <w:rPr>
          <w:spacing w:val="-60"/>
        </w:rPr>
        <w:t> </w:t>
      </w:r>
      <w:r>
        <w:rPr/>
        <w:t>软件</w:t>
      </w:r>
      <w:r>
        <w:rPr/>
        <w:t> 市场年度成功企业”、“2009</w:t>
      </w:r>
      <w:r>
        <w:rPr>
          <w:spacing w:val="-59"/>
        </w:rPr>
        <w:t> </w:t>
      </w:r>
      <w:r>
        <w:rPr/>
        <w:t>年度中国财政管理软件市场年度成功企业”、“2009</w:t>
      </w:r>
      <w:r>
        <w:rPr>
          <w:spacing w:val="-59"/>
        </w:rPr>
        <w:t> </w:t>
      </w:r>
      <w:r>
        <w:rPr/>
        <w:t>年度</w:t>
      </w:r>
      <w:r>
        <w:rPr/>
        <w:t> </w:t>
      </w:r>
      <w:r>
        <w:rPr>
          <w:spacing w:val="-4"/>
        </w:rPr>
        <w:t>中国协同应用软件市场年度成功企业”等大奖。公司依靠优异的市场表现和持续不断的产</w:t>
      </w:r>
      <w:r>
        <w:rPr>
          <w:spacing w:val="-82"/>
        </w:rPr>
        <w:t> </w:t>
      </w:r>
      <w:r>
        <w:rPr>
          <w:spacing w:val="-82"/>
        </w:rPr>
      </w:r>
      <w:r>
        <w:rPr/>
        <w:t>品创新持续领先本土管理软件企业。</w:t>
      </w:r>
    </w:p>
    <w:p>
      <w:pPr>
        <w:spacing w:before="138"/>
        <w:ind w:left="623" w:right="220" w:firstLine="0"/>
        <w:jc w:val="left"/>
        <w:rPr>
          <w:rFonts w:ascii="宋体" w:hAnsi="宋体" w:cs="宋体" w:eastAsia="宋体" w:hint="default"/>
          <w:sz w:val="24"/>
          <w:szCs w:val="24"/>
        </w:rPr>
      </w:pPr>
      <w:r>
        <w:rPr>
          <w:rFonts w:ascii="宋体" w:hAnsi="宋体" w:cs="宋体" w:eastAsia="宋体" w:hint="default"/>
          <w:sz w:val="24"/>
          <w:szCs w:val="24"/>
        </w:rPr>
        <w:t>1）公司存在的主要优势</w:t>
      </w:r>
    </w:p>
    <w:p>
      <w:pPr>
        <w:spacing w:line="297" w:lineRule="auto" w:before="194"/>
        <w:ind w:left="140" w:right="84" w:firstLine="482"/>
        <w:jc w:val="left"/>
        <w:rPr>
          <w:rFonts w:ascii="宋体" w:hAnsi="宋体" w:cs="宋体" w:eastAsia="宋体" w:hint="default"/>
          <w:sz w:val="24"/>
          <w:szCs w:val="24"/>
        </w:rPr>
      </w:pPr>
      <w:r>
        <w:rPr>
          <w:rFonts w:ascii="宋体" w:hAnsi="宋体" w:cs="宋体" w:eastAsia="宋体" w:hint="default"/>
          <w:sz w:val="24"/>
          <w:szCs w:val="24"/>
        </w:rPr>
        <w:t>公司经过</w:t>
      </w:r>
      <w:r>
        <w:rPr>
          <w:rFonts w:ascii="宋体" w:hAnsi="宋体" w:cs="宋体" w:eastAsia="宋体" w:hint="default"/>
          <w:spacing w:val="-40"/>
          <w:sz w:val="24"/>
          <w:szCs w:val="24"/>
        </w:rPr>
        <w:t> </w:t>
      </w:r>
      <w:r>
        <w:rPr>
          <w:rFonts w:ascii="宋体" w:hAnsi="宋体" w:cs="宋体" w:eastAsia="宋体" w:hint="default"/>
          <w:sz w:val="24"/>
          <w:szCs w:val="24"/>
        </w:rPr>
        <w:t>21</w:t>
      </w:r>
      <w:r>
        <w:rPr>
          <w:rFonts w:ascii="宋体" w:hAnsi="宋体" w:cs="宋体" w:eastAsia="宋体" w:hint="default"/>
          <w:spacing w:val="-40"/>
          <w:sz w:val="24"/>
          <w:szCs w:val="24"/>
        </w:rPr>
        <w:t> </w:t>
      </w:r>
      <w:r>
        <w:rPr>
          <w:rFonts w:ascii="宋体" w:hAnsi="宋体" w:cs="宋体" w:eastAsia="宋体" w:hint="default"/>
          <w:sz w:val="24"/>
          <w:szCs w:val="24"/>
        </w:rPr>
        <w:t>年的发展，形成了包括</w:t>
      </w:r>
      <w:r>
        <w:rPr>
          <w:rFonts w:ascii="宋体" w:hAnsi="宋体" w:cs="宋体" w:eastAsia="宋体" w:hint="default"/>
          <w:spacing w:val="-40"/>
          <w:sz w:val="24"/>
          <w:szCs w:val="24"/>
        </w:rPr>
        <w:t> </w:t>
      </w:r>
      <w:r>
        <w:rPr>
          <w:rFonts w:ascii="宋体" w:hAnsi="宋体" w:cs="宋体" w:eastAsia="宋体" w:hint="default"/>
          <w:sz w:val="24"/>
          <w:szCs w:val="24"/>
        </w:rPr>
        <w:t>ERP、集团与行业解决方案和小型企业管理软件</w:t>
      </w:r>
      <w:r>
        <w:rPr>
          <w:rFonts w:ascii="宋体" w:hAnsi="宋体" w:cs="宋体" w:eastAsia="宋体" w:hint="default"/>
          <w:sz w:val="24"/>
          <w:szCs w:val="24"/>
        </w:rPr>
        <w:t> </w:t>
      </w:r>
      <w:r>
        <w:rPr>
          <w:rFonts w:ascii="宋体" w:hAnsi="宋体" w:cs="宋体" w:eastAsia="宋体" w:hint="default"/>
          <w:spacing w:val="-4"/>
          <w:sz w:val="24"/>
          <w:szCs w:val="24"/>
        </w:rPr>
        <w:t>包的企业管理软件，财政、金融、烟草和医疗卫生等行业应用软件，在线应用和培训教育</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pacing w:val="-4"/>
          <w:sz w:val="24"/>
          <w:szCs w:val="24"/>
        </w:rPr>
        <w:t>服务业务板块，已成为中国管理软件市场份额最大、产品线最丰富、成功应用最多、行业</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覆盖最广、服务网络最大、交付能力最强的亚太地区第一大企业管理软件供应商，中国最</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3"/>
          <w:sz w:val="24"/>
          <w:szCs w:val="24"/>
        </w:rPr>
        <w:t>大的管理软件、ERP（企业资源规划）软件、客户关系管理(CRM)软件、集团人力资源管理</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pacing w:val="-4"/>
          <w:sz w:val="24"/>
          <w:szCs w:val="24"/>
        </w:rPr>
        <w:t>软件、财务软件、财政软件、金融企业管理软件和小型企业管理软件供应商，也是中国最</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大的独立软件供应商，公司在中国以及亚洲的企业管理软件市场具有明显优势。公司积累</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了</w:t>
      </w:r>
      <w:r>
        <w:rPr>
          <w:rFonts w:ascii="宋体" w:hAnsi="宋体" w:cs="宋体" w:eastAsia="宋体" w:hint="default"/>
          <w:spacing w:val="-59"/>
          <w:sz w:val="24"/>
          <w:szCs w:val="24"/>
        </w:rPr>
        <w:t> </w:t>
      </w:r>
      <w:r>
        <w:rPr>
          <w:rFonts w:ascii="宋体" w:hAnsi="宋体" w:cs="宋体" w:eastAsia="宋体" w:hint="default"/>
          <w:sz w:val="24"/>
          <w:szCs w:val="24"/>
        </w:rPr>
        <w:t>21</w:t>
      </w:r>
      <w:r>
        <w:rPr>
          <w:rFonts w:ascii="宋体" w:hAnsi="宋体" w:cs="宋体" w:eastAsia="宋体" w:hint="default"/>
          <w:spacing w:val="-59"/>
          <w:sz w:val="24"/>
          <w:szCs w:val="24"/>
        </w:rPr>
        <w:t> </w:t>
      </w:r>
      <w:r>
        <w:rPr>
          <w:rFonts w:ascii="宋体" w:hAnsi="宋体" w:cs="宋体" w:eastAsia="宋体" w:hint="default"/>
          <w:sz w:val="24"/>
          <w:szCs w:val="24"/>
        </w:rPr>
        <w:t>年的软件企业管理经验，秉承立足长远、持续创新、均衡发展的经营理念，在产品</w:t>
      </w:r>
      <w:r>
        <w:rPr>
          <w:rFonts w:ascii="宋体" w:hAnsi="宋体" w:cs="宋体" w:eastAsia="宋体" w:hint="default"/>
          <w:sz w:val="24"/>
          <w:szCs w:val="24"/>
        </w:rPr>
        <w:t> </w:t>
      </w:r>
      <w:r>
        <w:rPr>
          <w:rFonts w:ascii="宋体" w:hAnsi="宋体" w:cs="宋体" w:eastAsia="宋体" w:hint="default"/>
          <w:spacing w:val="-4"/>
          <w:sz w:val="24"/>
          <w:szCs w:val="24"/>
        </w:rPr>
        <w:t>技术、售前、销售、实施、支持服务、市场推广等各条业务线上保持良好、均衡发展。另</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pacing w:val="-6"/>
          <w:sz w:val="24"/>
          <w:szCs w:val="24"/>
        </w:rPr>
        <w:t>外，公司重视员工发展，逐渐建立并完善了激励与约束机制，拥有管理软件行业亚洲一流、</w:t>
      </w:r>
      <w:r>
        <w:rPr>
          <w:rFonts w:ascii="宋体" w:hAnsi="宋体" w:cs="宋体" w:eastAsia="宋体" w:hint="default"/>
          <w:sz w:val="24"/>
          <w:szCs w:val="24"/>
        </w:rPr>
        <w:t> 中国领先的应用、技术、服务、营销和管理人才。2009 年下半年，公司趁势而上，加大 </w:t>
      </w:r>
      <w:r>
        <w:rPr>
          <w:rFonts w:ascii="宋体" w:hAnsi="宋体" w:cs="宋体" w:eastAsia="宋体" w:hint="default"/>
          <w:spacing w:val="-4"/>
          <w:sz w:val="24"/>
          <w:szCs w:val="24"/>
        </w:rPr>
        <w:t>投入，加速发展，公司的市场竞争优势进一步增强，并拉大了与主要竞争对手的差距。公</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z w:val="24"/>
          <w:szCs w:val="24"/>
        </w:rPr>
        <w:t>司财务稳健，资产优良，现金流充足，为主营业务发展提供坚实保证。</w:t>
      </w:r>
    </w:p>
    <w:p>
      <w:pPr>
        <w:spacing w:line="388" w:lineRule="auto" w:before="138"/>
        <w:ind w:left="623" w:right="220" w:firstLine="0"/>
        <w:jc w:val="left"/>
        <w:rPr>
          <w:rFonts w:ascii="宋体" w:hAnsi="宋体" w:cs="宋体" w:eastAsia="宋体" w:hint="default"/>
          <w:sz w:val="24"/>
          <w:szCs w:val="24"/>
        </w:rPr>
      </w:pPr>
      <w:r>
        <w:rPr>
          <w:rFonts w:ascii="宋体" w:hAnsi="宋体" w:cs="宋体" w:eastAsia="宋体" w:hint="default"/>
          <w:sz w:val="24"/>
          <w:szCs w:val="24"/>
        </w:rPr>
        <w:t>2）公司面临的主要困难 </w:t>
      </w:r>
      <w:r>
        <w:rPr>
          <w:rFonts w:ascii="宋体" w:hAnsi="宋体" w:cs="宋体" w:eastAsia="宋体" w:hint="default"/>
          <w:spacing w:val="2"/>
          <w:sz w:val="24"/>
          <w:szCs w:val="24"/>
        </w:rPr>
        <w:t>报告期内的第一季度，受金融危机影响，公司中低端客户需求下降，中高端客户的</w:t>
      </w:r>
      <w:r>
        <w:rPr>
          <w:rFonts w:ascii="宋体" w:hAnsi="宋体" w:cs="宋体" w:eastAsia="宋体" w:hint="default"/>
          <w:sz w:val="24"/>
          <w:szCs w:val="24"/>
        </w:rPr>
      </w:r>
    </w:p>
    <w:p>
      <w:pPr>
        <w:spacing w:line="240" w:lineRule="exact" w:before="0"/>
        <w:ind w:left="140" w:right="83" w:firstLine="0"/>
        <w:jc w:val="left"/>
        <w:rPr>
          <w:rFonts w:ascii="宋体" w:hAnsi="宋体" w:cs="宋体" w:eastAsia="宋体" w:hint="default"/>
          <w:sz w:val="24"/>
          <w:szCs w:val="24"/>
        </w:rPr>
      </w:pPr>
      <w:r>
        <w:rPr>
          <w:rFonts w:ascii="宋体" w:hAnsi="宋体" w:cs="宋体" w:eastAsia="宋体" w:hint="default"/>
          <w:sz w:val="24"/>
          <w:szCs w:val="24"/>
        </w:rPr>
        <w:t>IT 投资更加谨慎，对公司业绩造成一定影响。报告期内，公司在不同程度上存在客户经</w:t>
      </w:r>
    </w:p>
    <w:p>
      <w:pPr>
        <w:spacing w:line="297" w:lineRule="auto" w:before="74"/>
        <w:ind w:left="140" w:right="220" w:firstLine="0"/>
        <w:jc w:val="left"/>
        <w:rPr>
          <w:rFonts w:ascii="宋体" w:hAnsi="宋体" w:cs="宋体" w:eastAsia="宋体" w:hint="default"/>
          <w:sz w:val="24"/>
          <w:szCs w:val="24"/>
        </w:rPr>
      </w:pPr>
      <w:r>
        <w:rPr>
          <w:rFonts w:ascii="宋体" w:hAnsi="宋体" w:cs="宋体" w:eastAsia="宋体" w:hint="default"/>
          <w:spacing w:val="-4"/>
          <w:sz w:val="24"/>
          <w:szCs w:val="24"/>
        </w:rPr>
        <w:t>营不够深、市场覆盖不够广、经营结构和人员结构需要进一步优化等问题，公司将在新年</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度计划中通过相关策略加以改进。公司还面对人才成本持续增长和人才竞争的压力。</w:t>
      </w:r>
    </w:p>
    <w:p>
      <w:pPr>
        <w:spacing w:line="388" w:lineRule="auto" w:before="138"/>
        <w:ind w:left="623" w:right="219" w:firstLine="0"/>
        <w:jc w:val="left"/>
        <w:rPr>
          <w:rFonts w:ascii="宋体" w:hAnsi="宋体" w:cs="宋体" w:eastAsia="宋体" w:hint="default"/>
          <w:sz w:val="24"/>
          <w:szCs w:val="24"/>
        </w:rPr>
      </w:pPr>
      <w:r>
        <w:rPr>
          <w:rFonts w:ascii="宋体" w:hAnsi="宋体" w:cs="宋体" w:eastAsia="宋体" w:hint="default"/>
          <w:sz w:val="24"/>
          <w:szCs w:val="24"/>
        </w:rPr>
        <w:t>（3）公司经营和盈利能力的连续性和稳定性分析 </w:t>
      </w:r>
      <w:r>
        <w:rPr>
          <w:rFonts w:ascii="宋体" w:hAnsi="宋体" w:cs="宋体" w:eastAsia="宋体" w:hint="default"/>
          <w:spacing w:val="-4"/>
          <w:sz w:val="24"/>
          <w:szCs w:val="24"/>
        </w:rPr>
        <w:t>报告期内，公司克服经济环境不利影响，在全体员工共同努力下，出色完成了年度经</w:t>
      </w:r>
    </w:p>
    <w:p>
      <w:pPr>
        <w:spacing w:line="240" w:lineRule="exact" w:before="0"/>
        <w:ind w:left="140" w:right="220" w:firstLine="0"/>
        <w:jc w:val="left"/>
        <w:rPr>
          <w:rFonts w:ascii="宋体" w:hAnsi="宋体" w:cs="宋体" w:eastAsia="宋体" w:hint="default"/>
          <w:sz w:val="24"/>
          <w:szCs w:val="24"/>
        </w:rPr>
      </w:pPr>
      <w:r>
        <w:rPr>
          <w:rFonts w:ascii="宋体" w:hAnsi="宋体" w:cs="宋体" w:eastAsia="宋体" w:hint="default"/>
          <w:spacing w:val="-4"/>
          <w:sz w:val="24"/>
          <w:szCs w:val="24"/>
        </w:rPr>
        <w:t>营目标，主营业务持续健康发展。未来公司将抓住有利的市场和产业发展机遇，发挥既有</w:t>
      </w:r>
    </w:p>
    <w:p>
      <w:pPr>
        <w:spacing w:line="297" w:lineRule="auto" w:before="74"/>
        <w:ind w:left="140" w:right="220" w:firstLine="0"/>
        <w:jc w:val="both"/>
        <w:rPr>
          <w:rFonts w:ascii="宋体" w:hAnsi="宋体" w:cs="宋体" w:eastAsia="宋体" w:hint="default"/>
          <w:sz w:val="24"/>
          <w:szCs w:val="24"/>
        </w:rPr>
      </w:pPr>
      <w:r>
        <w:rPr>
          <w:rFonts w:ascii="宋体" w:hAnsi="宋体" w:cs="宋体" w:eastAsia="宋体" w:hint="default"/>
          <w:spacing w:val="-4"/>
          <w:sz w:val="24"/>
          <w:szCs w:val="24"/>
        </w:rPr>
        <w:t>业务基础和优势，通过优化经营结构，改进企业管理，提高效率和效益，继续深化客户经</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营，提高客户满意度，进一步提升差异化竞争优势，促进业绩增长。公司未来几年将具有</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连续及相对稳定的主营业务经营和盈利能力。</w:t>
      </w:r>
    </w:p>
    <w:p>
      <w:pPr>
        <w:spacing w:before="137"/>
        <w:ind w:left="623" w:right="220" w:firstLine="0"/>
        <w:jc w:val="left"/>
        <w:rPr>
          <w:rFonts w:ascii="宋体" w:hAnsi="宋体" w:cs="宋体" w:eastAsia="宋体" w:hint="default"/>
          <w:sz w:val="24"/>
          <w:szCs w:val="24"/>
        </w:rPr>
      </w:pPr>
      <w:r>
        <w:rPr>
          <w:rFonts w:ascii="宋体" w:hAnsi="宋体" w:cs="宋体" w:eastAsia="宋体" w:hint="default"/>
          <w:sz w:val="24"/>
          <w:szCs w:val="24"/>
        </w:rPr>
        <w:t>（4）公司承担社会责任情况</w:t>
      </w:r>
    </w:p>
    <w:p>
      <w:pPr>
        <w:spacing w:before="194"/>
        <w:ind w:left="623" w:right="83" w:firstLine="0"/>
        <w:jc w:val="left"/>
        <w:rPr>
          <w:rFonts w:ascii="宋体" w:hAnsi="宋体" w:cs="宋体" w:eastAsia="宋体" w:hint="default"/>
          <w:sz w:val="24"/>
          <w:szCs w:val="24"/>
        </w:rPr>
      </w:pPr>
      <w:r>
        <w:rPr>
          <w:rFonts w:ascii="宋体" w:hAnsi="宋体" w:cs="宋体" w:eastAsia="宋体" w:hint="default"/>
          <w:sz w:val="24"/>
          <w:szCs w:val="24"/>
        </w:rPr>
        <w:t>报告期内，公司披露了《用友软件股份有限公司</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年度社会责任报告》，报告了</w:t>
      </w:r>
    </w:p>
    <w:p>
      <w:pPr>
        <w:spacing w:after="0"/>
        <w:jc w:val="left"/>
        <w:rPr>
          <w:rFonts w:ascii="宋体" w:hAnsi="宋体" w:cs="宋体" w:eastAsia="宋体" w:hint="default"/>
          <w:sz w:val="24"/>
          <w:szCs w:val="24"/>
        </w:rPr>
        <w:sectPr>
          <w:footerReference w:type="default" r:id="rId12"/>
          <w:pgSz w:w="11910" w:h="16840"/>
          <w:pgMar w:footer="727" w:header="720" w:top="1080" w:bottom="920" w:left="1220" w:right="1080"/>
          <w:pgNumType w:start="35"/>
        </w:sectPr>
      </w:pPr>
    </w:p>
    <w:p>
      <w:pPr>
        <w:spacing w:line="240" w:lineRule="auto" w:before="12"/>
        <w:rPr>
          <w:rFonts w:ascii="宋体" w:hAnsi="宋体" w:cs="宋体" w:eastAsia="宋体" w:hint="default"/>
          <w:sz w:val="21"/>
          <w:szCs w:val="21"/>
        </w:rPr>
      </w:pPr>
    </w:p>
    <w:p>
      <w:pPr>
        <w:spacing w:line="297" w:lineRule="auto" w:before="26"/>
        <w:ind w:left="140" w:right="244" w:firstLine="0"/>
        <w:jc w:val="left"/>
        <w:rPr>
          <w:rFonts w:ascii="宋体" w:hAnsi="宋体" w:cs="宋体" w:eastAsia="宋体" w:hint="default"/>
          <w:sz w:val="24"/>
          <w:szCs w:val="24"/>
        </w:rPr>
      </w:pPr>
      <w:r>
        <w:rPr>
          <w:rFonts w:ascii="宋体" w:hAnsi="宋体" w:cs="宋体" w:eastAsia="宋体" w:hint="default"/>
          <w:sz w:val="24"/>
          <w:szCs w:val="24"/>
        </w:rPr>
        <w:t>公司</w:t>
      </w:r>
      <w:r>
        <w:rPr>
          <w:rFonts w:ascii="宋体" w:hAnsi="宋体" w:cs="宋体" w:eastAsia="宋体" w:hint="default"/>
          <w:spacing w:val="-59"/>
          <w:sz w:val="24"/>
          <w:szCs w:val="24"/>
        </w:rPr>
        <w:t> </w:t>
      </w:r>
      <w:r>
        <w:rPr>
          <w:rFonts w:ascii="宋体" w:hAnsi="宋体" w:cs="宋体" w:eastAsia="宋体" w:hint="default"/>
          <w:sz w:val="24"/>
          <w:szCs w:val="24"/>
        </w:rPr>
        <w:t>2009</w:t>
      </w:r>
      <w:r>
        <w:rPr>
          <w:rFonts w:ascii="宋体" w:hAnsi="宋体" w:cs="宋体" w:eastAsia="宋体" w:hint="default"/>
          <w:spacing w:val="-59"/>
          <w:sz w:val="24"/>
          <w:szCs w:val="24"/>
        </w:rPr>
        <w:t> </w:t>
      </w:r>
      <w:r>
        <w:rPr>
          <w:rFonts w:ascii="宋体" w:hAnsi="宋体" w:cs="宋体" w:eastAsia="宋体" w:hint="default"/>
          <w:sz w:val="24"/>
          <w:szCs w:val="24"/>
        </w:rPr>
        <w:t>年度在落实科学发展观，构建和谐社会，推进经济社会可持续发展等方面，对</w:t>
      </w:r>
      <w:r>
        <w:rPr>
          <w:rFonts w:ascii="宋体" w:hAnsi="宋体" w:cs="宋体" w:eastAsia="宋体" w:hint="default"/>
          <w:sz w:val="24"/>
          <w:szCs w:val="24"/>
        </w:rPr>
        <w:t> </w:t>
      </w:r>
      <w:r>
        <w:rPr>
          <w:rFonts w:ascii="宋体" w:hAnsi="宋体" w:cs="宋体" w:eastAsia="宋体" w:hint="default"/>
          <w:spacing w:val="-4"/>
          <w:sz w:val="24"/>
          <w:szCs w:val="24"/>
        </w:rPr>
        <w:t>公司股东、员工、客户、消费者、供应商、债权人、社区等利益相关者积极承担相应社会</w:t>
      </w:r>
      <w:r>
        <w:rPr>
          <w:rFonts w:ascii="宋体" w:hAnsi="宋体" w:cs="宋体" w:eastAsia="宋体" w:hint="default"/>
          <w:spacing w:val="-85"/>
          <w:sz w:val="24"/>
          <w:szCs w:val="24"/>
        </w:rPr>
        <w:t> </w:t>
      </w:r>
      <w:r>
        <w:rPr>
          <w:rFonts w:ascii="宋体" w:hAnsi="宋体" w:cs="宋体" w:eastAsia="宋体" w:hint="default"/>
          <w:spacing w:val="-85"/>
          <w:sz w:val="24"/>
          <w:szCs w:val="24"/>
        </w:rPr>
      </w:r>
      <w:r>
        <w:rPr>
          <w:rFonts w:ascii="宋体" w:hAnsi="宋体" w:cs="宋体" w:eastAsia="宋体" w:hint="default"/>
          <w:spacing w:val="-6"/>
          <w:sz w:val="24"/>
          <w:szCs w:val="24"/>
        </w:rPr>
        <w:t>责任的总体情况。公司坚持自主创新、依法经营的发展道路，遵循“立足长远，持续创新，</w:t>
      </w:r>
      <w:r>
        <w:rPr>
          <w:rFonts w:ascii="宋体" w:hAnsi="宋体" w:cs="宋体" w:eastAsia="宋体" w:hint="default"/>
          <w:sz w:val="24"/>
          <w:szCs w:val="24"/>
        </w:rPr>
        <w:t> </w:t>
      </w:r>
      <w:r>
        <w:rPr>
          <w:rFonts w:ascii="宋体" w:hAnsi="宋体" w:cs="宋体" w:eastAsia="宋体" w:hint="default"/>
          <w:spacing w:val="-4"/>
          <w:sz w:val="24"/>
          <w:szCs w:val="24"/>
        </w:rPr>
        <w:t>均衡发展，高绩效，阳光经营，履行社会责任”的发展方针，自成立伊始，便关注企业的</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4"/>
          <w:sz w:val="24"/>
          <w:szCs w:val="24"/>
        </w:rPr>
        <w:t>社会责任，关注企业的社会价值，关注人本主义、人文精神，逐步落实并切实承担公司应</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尽的社会责任，公司以提升企业价值，与利益相关者共赢为己任，以弘扬人文关怀，无私</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奉献社会为使命，以倡议环保行动，筑造绿色企业为目标。对于经济责任，公司致力于为</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国民经济发展创造效益，通过企业发展提升投资规模和投资效益，依法缴纳国家财税。对</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于利益相关者，公司坚持“客户信赖、伙伴共赢、员工发展、股东增值”的经营方针，致</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pacing w:val="-4"/>
          <w:sz w:val="24"/>
          <w:szCs w:val="24"/>
        </w:rPr>
        <w:t>力于为客户、伙伴、员工和投资者创造价值，实现共同成长。对于社会公益，公司以人文</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6"/>
          <w:sz w:val="24"/>
          <w:szCs w:val="24"/>
        </w:rPr>
        <w:t>关怀精神，义不容辞地投身社会公益事业，关爱弱势群体，热心公益募捐，弘扬华夏文明，</w:t>
      </w:r>
      <w:r>
        <w:rPr>
          <w:rFonts w:ascii="宋体" w:hAnsi="宋体" w:cs="宋体" w:eastAsia="宋体" w:hint="default"/>
          <w:sz w:val="24"/>
          <w:szCs w:val="24"/>
        </w:rPr>
        <w:t> </w:t>
      </w:r>
      <w:r>
        <w:rPr>
          <w:rFonts w:ascii="宋体" w:hAnsi="宋体" w:cs="宋体" w:eastAsia="宋体" w:hint="default"/>
          <w:spacing w:val="-4"/>
          <w:sz w:val="24"/>
          <w:szCs w:val="24"/>
        </w:rPr>
        <w:t>传承中华文化。在推动信息化建设的过程中，公司也一直以高效、创新、绿色为标准，打</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z w:val="24"/>
          <w:szCs w:val="24"/>
        </w:rPr>
        <w:t>造、创建幸福企业。2009 年公司被中国绿色公司项目国际评审委员会评定为“中国绿色 公司标杆企业”。</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5"/>
          <w:szCs w:val="25"/>
        </w:rPr>
      </w:pPr>
    </w:p>
    <w:p>
      <w:pPr>
        <w:spacing w:before="0"/>
        <w:ind w:left="623" w:right="244" w:firstLine="0"/>
        <w:jc w:val="left"/>
        <w:rPr>
          <w:rFonts w:ascii="宋体" w:hAnsi="宋体" w:cs="宋体" w:eastAsia="宋体" w:hint="default"/>
          <w:sz w:val="24"/>
          <w:szCs w:val="24"/>
        </w:rPr>
      </w:pPr>
      <w:r>
        <w:rPr>
          <w:rFonts w:ascii="宋体" w:hAnsi="宋体" w:cs="宋体" w:eastAsia="宋体" w:hint="default"/>
          <w:sz w:val="24"/>
          <w:szCs w:val="24"/>
        </w:rPr>
        <w:t>2、主营业务分行业、产品情况表</w:t>
      </w:r>
    </w:p>
    <w:p>
      <w:pPr>
        <w:spacing w:before="199"/>
        <w:ind w:left="0" w:right="379" w:firstLine="0"/>
        <w:jc w:val="right"/>
        <w:rPr>
          <w:rFonts w:ascii="宋体" w:hAnsi="宋体" w:cs="宋体" w:eastAsia="宋体" w:hint="default"/>
          <w:sz w:val="21"/>
          <w:szCs w:val="21"/>
        </w:rPr>
      </w:pPr>
      <w:r>
        <w:rPr>
          <w:rFonts w:ascii="宋体" w:hAnsi="宋体" w:cs="宋体" w:eastAsia="宋体" w:hint="default"/>
          <w:sz w:val="21"/>
          <w:szCs w:val="21"/>
        </w:rPr>
        <w:t>单位:元</w:t>
      </w:r>
    </w:p>
    <w:p>
      <w:pPr>
        <w:spacing w:line="240" w:lineRule="auto" w:before="6"/>
        <w:rPr>
          <w:rFonts w:ascii="宋体" w:hAnsi="宋体" w:cs="宋体" w:eastAsia="宋体"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2046"/>
        <w:gridCol w:w="1699"/>
        <w:gridCol w:w="1500"/>
        <w:gridCol w:w="1001"/>
        <w:gridCol w:w="1000"/>
        <w:gridCol w:w="1100"/>
        <w:gridCol w:w="1099"/>
      </w:tblGrid>
      <w:tr>
        <w:trPr>
          <w:trHeight w:val="1110" w:hRule="exact"/>
        </w:trPr>
        <w:tc>
          <w:tcPr>
            <w:tcW w:w="20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278" w:right="0"/>
              <w:jc w:val="left"/>
              <w:rPr>
                <w:rFonts w:ascii="宋体" w:hAnsi="宋体" w:cs="宋体" w:eastAsia="宋体" w:hint="default"/>
                <w:sz w:val="21"/>
                <w:szCs w:val="21"/>
              </w:rPr>
            </w:pPr>
            <w:r>
              <w:rPr>
                <w:rFonts w:ascii="宋体" w:hAnsi="宋体" w:cs="宋体" w:eastAsia="宋体" w:hint="default"/>
                <w:sz w:val="21"/>
                <w:szCs w:val="21"/>
              </w:rPr>
              <w:t>分行业或分产品</w:t>
            </w:r>
          </w:p>
        </w:tc>
        <w:tc>
          <w:tcPr>
            <w:tcW w:w="169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209"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5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08"/>
              <w:jc w:val="right"/>
              <w:rPr>
                <w:rFonts w:ascii="宋体" w:hAnsi="宋体" w:cs="宋体" w:eastAsia="宋体" w:hint="default"/>
                <w:sz w:val="21"/>
                <w:szCs w:val="21"/>
              </w:rPr>
            </w:pPr>
            <w:r>
              <w:rPr>
                <w:rFonts w:ascii="宋体" w:hAnsi="宋体" w:cs="宋体" w:eastAsia="宋体" w:hint="default"/>
                <w:sz w:val="21"/>
                <w:szCs w:val="21"/>
              </w:rPr>
              <w:t>主营业务成本</w:t>
            </w:r>
          </w:p>
        </w:tc>
        <w:tc>
          <w:tcPr>
            <w:tcW w:w="1001" w:type="dxa"/>
            <w:tcBorders>
              <w:top w:val="single" w:sz="8" w:space="0" w:color="000000"/>
              <w:left w:val="single" w:sz="8" w:space="0" w:color="000000"/>
              <w:bottom w:val="single" w:sz="8" w:space="0" w:color="000000"/>
              <w:right w:val="single" w:sz="8" w:space="0" w:color="000000"/>
            </w:tcBorders>
          </w:tcPr>
          <w:p>
            <w:pPr>
              <w:pStyle w:val="TableParagraph"/>
              <w:spacing w:line="272" w:lineRule="exact" w:before="129"/>
              <w:ind w:left="175" w:right="174"/>
              <w:jc w:val="both"/>
              <w:rPr>
                <w:rFonts w:ascii="宋体" w:hAnsi="宋体" w:cs="宋体" w:eastAsia="宋体" w:hint="default"/>
                <w:sz w:val="21"/>
                <w:szCs w:val="21"/>
              </w:rPr>
            </w:pPr>
            <w:r>
              <w:rPr>
                <w:rFonts w:ascii="宋体" w:hAnsi="宋体" w:cs="宋体" w:eastAsia="宋体" w:hint="default"/>
                <w:sz w:val="21"/>
                <w:szCs w:val="21"/>
              </w:rPr>
              <w:t>主营业 务利润 率(%)</w:t>
            </w:r>
          </w:p>
        </w:tc>
        <w:tc>
          <w:tcPr>
            <w:tcW w:w="1000" w:type="dxa"/>
            <w:tcBorders>
              <w:top w:val="single" w:sz="8" w:space="0" w:color="000000"/>
              <w:left w:val="single" w:sz="8" w:space="0" w:color="000000"/>
              <w:bottom w:val="single" w:sz="8" w:space="0" w:color="000000"/>
              <w:right w:val="single" w:sz="8" w:space="0" w:color="000000"/>
            </w:tcBorders>
          </w:tcPr>
          <w:p>
            <w:pPr>
              <w:pStyle w:val="TableParagraph"/>
              <w:spacing w:line="239" w:lineRule="exact"/>
              <w:ind w:left="175" w:right="0"/>
              <w:jc w:val="both"/>
              <w:rPr>
                <w:rFonts w:ascii="宋体" w:hAnsi="宋体" w:cs="宋体" w:eastAsia="宋体" w:hint="default"/>
                <w:sz w:val="21"/>
                <w:szCs w:val="21"/>
              </w:rPr>
            </w:pPr>
            <w:r>
              <w:rPr>
                <w:rFonts w:ascii="宋体" w:hAnsi="宋体" w:cs="宋体" w:eastAsia="宋体" w:hint="default"/>
                <w:sz w:val="21"/>
                <w:szCs w:val="21"/>
              </w:rPr>
              <w:t>主营业</w:t>
            </w:r>
          </w:p>
          <w:p>
            <w:pPr>
              <w:pStyle w:val="TableParagraph"/>
              <w:spacing w:line="272" w:lineRule="exact" w:before="26"/>
              <w:ind w:left="122" w:right="120" w:firstLine="52"/>
              <w:jc w:val="both"/>
              <w:rPr>
                <w:rFonts w:ascii="宋体" w:hAnsi="宋体" w:cs="宋体" w:eastAsia="宋体" w:hint="default"/>
                <w:sz w:val="21"/>
                <w:szCs w:val="21"/>
              </w:rPr>
            </w:pPr>
            <w:r>
              <w:rPr>
                <w:rFonts w:ascii="宋体" w:hAnsi="宋体" w:cs="宋体" w:eastAsia="宋体" w:hint="default"/>
                <w:sz w:val="21"/>
                <w:szCs w:val="21"/>
              </w:rPr>
              <w:t>务收入 比上年 增减(%)</w:t>
            </w:r>
          </w:p>
        </w:tc>
        <w:tc>
          <w:tcPr>
            <w:tcW w:w="1100" w:type="dxa"/>
            <w:tcBorders>
              <w:top w:val="single" w:sz="8" w:space="0" w:color="000000"/>
              <w:left w:val="single" w:sz="8" w:space="0" w:color="000000"/>
              <w:bottom w:val="single" w:sz="8" w:space="0" w:color="000000"/>
              <w:right w:val="single" w:sz="8"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主营业务</w:t>
            </w:r>
          </w:p>
          <w:p>
            <w:pPr>
              <w:pStyle w:val="TableParagraph"/>
              <w:spacing w:line="272" w:lineRule="exact" w:before="26"/>
              <w:ind w:left="120" w:right="118"/>
              <w:jc w:val="center"/>
              <w:rPr>
                <w:rFonts w:ascii="宋体" w:hAnsi="宋体" w:cs="宋体" w:eastAsia="宋体" w:hint="default"/>
                <w:sz w:val="21"/>
                <w:szCs w:val="21"/>
              </w:rPr>
            </w:pPr>
            <w:r>
              <w:rPr>
                <w:rFonts w:ascii="宋体" w:hAnsi="宋体" w:cs="宋体" w:eastAsia="宋体" w:hint="default"/>
                <w:sz w:val="21"/>
                <w:szCs w:val="21"/>
              </w:rPr>
              <w:t>成本比上 年增减 (%)</w:t>
            </w:r>
          </w:p>
        </w:tc>
        <w:tc>
          <w:tcPr>
            <w:tcW w:w="1099" w:type="dxa"/>
            <w:tcBorders>
              <w:top w:val="single" w:sz="8" w:space="0" w:color="000000"/>
              <w:left w:val="single" w:sz="8" w:space="0" w:color="000000"/>
              <w:bottom w:val="single" w:sz="8" w:space="0" w:color="000000"/>
              <w:right w:val="single" w:sz="8"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主营业务</w:t>
            </w:r>
          </w:p>
          <w:p>
            <w:pPr>
              <w:pStyle w:val="TableParagraph"/>
              <w:spacing w:line="272" w:lineRule="exact" w:before="26"/>
              <w:ind w:left="120" w:right="117"/>
              <w:jc w:val="center"/>
              <w:rPr>
                <w:rFonts w:ascii="宋体" w:hAnsi="宋体" w:cs="宋体" w:eastAsia="宋体" w:hint="default"/>
                <w:sz w:val="21"/>
                <w:szCs w:val="21"/>
              </w:rPr>
            </w:pPr>
            <w:r>
              <w:rPr>
                <w:rFonts w:ascii="宋体" w:hAnsi="宋体" w:cs="宋体" w:eastAsia="宋体" w:hint="default"/>
                <w:sz w:val="21"/>
                <w:szCs w:val="21"/>
              </w:rPr>
              <w:t>利润率比 上年增减 (%)</w:t>
            </w:r>
          </w:p>
        </w:tc>
      </w:tr>
      <w:tr>
        <w:trPr>
          <w:trHeight w:val="320" w:hRule="exact"/>
        </w:trPr>
        <w:tc>
          <w:tcPr>
            <w:tcW w:w="2046"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0"/>
              <w:jc w:val="center"/>
              <w:rPr>
                <w:rFonts w:ascii="宋体" w:hAnsi="宋体" w:cs="宋体" w:eastAsia="宋体" w:hint="default"/>
                <w:sz w:val="21"/>
                <w:szCs w:val="21"/>
              </w:rPr>
            </w:pPr>
            <w:r>
              <w:rPr>
                <w:rFonts w:ascii="宋体" w:hAnsi="宋体" w:cs="宋体" w:eastAsia="宋体" w:hint="default"/>
                <w:sz w:val="21"/>
                <w:szCs w:val="21"/>
              </w:rPr>
              <w:t>分行业</w:t>
            </w:r>
          </w:p>
        </w:tc>
        <w:tc>
          <w:tcPr>
            <w:tcW w:w="7399" w:type="dxa"/>
            <w:gridSpan w:val="6"/>
            <w:tcBorders>
              <w:top w:val="single" w:sz="8" w:space="0" w:color="000000"/>
              <w:left w:val="single" w:sz="8" w:space="0" w:color="000000"/>
              <w:bottom w:val="single" w:sz="8" w:space="0" w:color="000000"/>
              <w:right w:val="single" w:sz="8" w:space="0" w:color="000000"/>
            </w:tcBorders>
          </w:tcPr>
          <w:p>
            <w:pPr/>
          </w:p>
        </w:tc>
      </w:tr>
      <w:tr>
        <w:trPr>
          <w:trHeight w:val="319" w:hRule="exact"/>
        </w:trPr>
        <w:tc>
          <w:tcPr>
            <w:tcW w:w="2046"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left="98" w:right="0"/>
              <w:jc w:val="left"/>
              <w:rPr>
                <w:rFonts w:ascii="宋体" w:hAnsi="宋体" w:cs="宋体" w:eastAsia="宋体" w:hint="default"/>
                <w:sz w:val="21"/>
                <w:szCs w:val="21"/>
              </w:rPr>
            </w:pPr>
            <w:r>
              <w:rPr>
                <w:rFonts w:ascii="宋体" w:hAnsi="宋体" w:cs="宋体" w:eastAsia="宋体" w:hint="default"/>
                <w:sz w:val="21"/>
                <w:szCs w:val="21"/>
              </w:rPr>
              <w:t>软件行业</w:t>
            </w:r>
          </w:p>
        </w:tc>
        <w:tc>
          <w:tcPr>
            <w:tcW w:w="1699"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6"/>
              <w:jc w:val="right"/>
              <w:rPr>
                <w:rFonts w:ascii="宋体" w:hAnsi="宋体" w:cs="宋体" w:eastAsia="宋体" w:hint="default"/>
                <w:sz w:val="21"/>
                <w:szCs w:val="21"/>
              </w:rPr>
            </w:pPr>
            <w:r>
              <w:rPr>
                <w:rFonts w:ascii="宋体"/>
                <w:spacing w:val="-1"/>
                <w:sz w:val="21"/>
              </w:rPr>
              <w:t>2,275,861,415</w:t>
            </w:r>
            <w:r>
              <w:rPr>
                <w:rFonts w:ascii="宋体"/>
                <w:sz w:val="21"/>
              </w:rPr>
            </w:r>
          </w:p>
        </w:tc>
        <w:tc>
          <w:tcPr>
            <w:tcW w:w="150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5"/>
              <w:jc w:val="right"/>
              <w:rPr>
                <w:rFonts w:ascii="宋体" w:hAnsi="宋体" w:cs="宋体" w:eastAsia="宋体" w:hint="default"/>
                <w:sz w:val="21"/>
                <w:szCs w:val="21"/>
              </w:rPr>
            </w:pPr>
            <w:r>
              <w:rPr>
                <w:rFonts w:ascii="宋体"/>
                <w:spacing w:val="-1"/>
                <w:sz w:val="21"/>
              </w:rPr>
              <w:t>387,128,624</w:t>
            </w:r>
            <w:r>
              <w:rPr>
                <w:rFonts w:ascii="宋体"/>
                <w:sz w:val="21"/>
              </w:rPr>
            </w:r>
          </w:p>
        </w:tc>
        <w:tc>
          <w:tcPr>
            <w:tcW w:w="1001"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8"/>
              <w:jc w:val="right"/>
              <w:rPr>
                <w:rFonts w:ascii="宋体" w:hAnsi="宋体" w:cs="宋体" w:eastAsia="宋体" w:hint="default"/>
                <w:sz w:val="21"/>
                <w:szCs w:val="21"/>
              </w:rPr>
            </w:pPr>
            <w:r>
              <w:rPr>
                <w:rFonts w:ascii="宋体"/>
                <w:spacing w:val="-1"/>
                <w:w w:val="95"/>
                <w:sz w:val="21"/>
              </w:rPr>
              <w:t>82.99</w:t>
            </w:r>
            <w:r>
              <w:rPr>
                <w:rFonts w:ascii="宋体"/>
                <w:w w:val="95"/>
                <w:sz w:val="21"/>
              </w:rPr>
            </w:r>
          </w:p>
        </w:tc>
        <w:tc>
          <w:tcPr>
            <w:tcW w:w="100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7"/>
              <w:jc w:val="right"/>
              <w:rPr>
                <w:rFonts w:ascii="宋体" w:hAnsi="宋体" w:cs="宋体" w:eastAsia="宋体" w:hint="default"/>
                <w:sz w:val="21"/>
                <w:szCs w:val="21"/>
              </w:rPr>
            </w:pPr>
            <w:r>
              <w:rPr>
                <w:rFonts w:ascii="宋体"/>
                <w:spacing w:val="-1"/>
                <w:sz w:val="21"/>
              </w:rPr>
              <w:t>36.36</w:t>
            </w:r>
            <w:r>
              <w:rPr>
                <w:rFonts w:ascii="宋体"/>
                <w:sz w:val="21"/>
              </w:rPr>
            </w:r>
          </w:p>
        </w:tc>
        <w:tc>
          <w:tcPr>
            <w:tcW w:w="110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7"/>
              <w:jc w:val="right"/>
              <w:rPr>
                <w:rFonts w:ascii="宋体" w:hAnsi="宋体" w:cs="宋体" w:eastAsia="宋体" w:hint="default"/>
                <w:sz w:val="21"/>
                <w:szCs w:val="21"/>
              </w:rPr>
            </w:pPr>
            <w:r>
              <w:rPr>
                <w:rFonts w:ascii="宋体"/>
                <w:spacing w:val="-1"/>
                <w:sz w:val="21"/>
              </w:rPr>
              <w:t>84.95</w:t>
            </w:r>
            <w:r>
              <w:rPr>
                <w:rFonts w:ascii="宋体"/>
                <w:sz w:val="21"/>
              </w:rPr>
            </w:r>
          </w:p>
        </w:tc>
        <w:tc>
          <w:tcPr>
            <w:tcW w:w="1099"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7"/>
              <w:jc w:val="right"/>
              <w:rPr>
                <w:rFonts w:ascii="宋体" w:hAnsi="宋体" w:cs="宋体" w:eastAsia="宋体" w:hint="default"/>
                <w:sz w:val="21"/>
                <w:szCs w:val="21"/>
              </w:rPr>
            </w:pPr>
            <w:r>
              <w:rPr>
                <w:rFonts w:ascii="宋体"/>
                <w:spacing w:val="-1"/>
                <w:sz w:val="21"/>
              </w:rPr>
              <w:t>-4.47</w:t>
            </w:r>
            <w:r>
              <w:rPr>
                <w:rFonts w:ascii="宋体"/>
                <w:sz w:val="21"/>
              </w:rPr>
            </w:r>
          </w:p>
        </w:tc>
      </w:tr>
      <w:tr>
        <w:trPr>
          <w:trHeight w:val="320" w:hRule="exact"/>
        </w:trPr>
        <w:tc>
          <w:tcPr>
            <w:tcW w:w="2046"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0"/>
              <w:jc w:val="center"/>
              <w:rPr>
                <w:rFonts w:ascii="宋体" w:hAnsi="宋体" w:cs="宋体" w:eastAsia="宋体" w:hint="default"/>
                <w:sz w:val="21"/>
                <w:szCs w:val="21"/>
              </w:rPr>
            </w:pPr>
            <w:r>
              <w:rPr>
                <w:rFonts w:ascii="宋体" w:hAnsi="宋体" w:cs="宋体" w:eastAsia="宋体" w:hint="default"/>
                <w:sz w:val="21"/>
                <w:szCs w:val="21"/>
              </w:rPr>
              <w:t>分产品</w:t>
            </w:r>
          </w:p>
        </w:tc>
        <w:tc>
          <w:tcPr>
            <w:tcW w:w="7399" w:type="dxa"/>
            <w:gridSpan w:val="6"/>
            <w:tcBorders>
              <w:top w:val="single" w:sz="8" w:space="0" w:color="000000"/>
              <w:left w:val="single" w:sz="8" w:space="0" w:color="000000"/>
              <w:bottom w:val="single" w:sz="8" w:space="0" w:color="000000"/>
              <w:right w:val="single" w:sz="8" w:space="0" w:color="000000"/>
            </w:tcBorders>
          </w:tcPr>
          <w:p>
            <w:pPr/>
          </w:p>
        </w:tc>
      </w:tr>
      <w:tr>
        <w:trPr>
          <w:trHeight w:val="320" w:hRule="exact"/>
        </w:trPr>
        <w:tc>
          <w:tcPr>
            <w:tcW w:w="2046"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left="98" w:right="0"/>
              <w:jc w:val="left"/>
              <w:rPr>
                <w:rFonts w:ascii="宋体" w:hAnsi="宋体" w:cs="宋体" w:eastAsia="宋体" w:hint="default"/>
                <w:sz w:val="21"/>
                <w:szCs w:val="21"/>
              </w:rPr>
            </w:pPr>
            <w:r>
              <w:rPr>
                <w:rFonts w:ascii="宋体" w:hAnsi="宋体" w:cs="宋体" w:eastAsia="宋体" w:hint="default"/>
                <w:sz w:val="21"/>
                <w:szCs w:val="21"/>
              </w:rPr>
              <w:t>软件销售</w:t>
            </w:r>
          </w:p>
        </w:tc>
        <w:tc>
          <w:tcPr>
            <w:tcW w:w="1699"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6"/>
              <w:jc w:val="right"/>
              <w:rPr>
                <w:rFonts w:ascii="宋体" w:hAnsi="宋体" w:cs="宋体" w:eastAsia="宋体" w:hint="default"/>
                <w:sz w:val="21"/>
                <w:szCs w:val="21"/>
              </w:rPr>
            </w:pPr>
            <w:r>
              <w:rPr>
                <w:rFonts w:ascii="宋体"/>
                <w:spacing w:val="-1"/>
                <w:sz w:val="21"/>
              </w:rPr>
              <w:t>1,328,839,495</w:t>
            </w:r>
            <w:r>
              <w:rPr>
                <w:rFonts w:ascii="宋体"/>
                <w:sz w:val="21"/>
              </w:rPr>
            </w:r>
          </w:p>
        </w:tc>
        <w:tc>
          <w:tcPr>
            <w:tcW w:w="150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5"/>
              <w:jc w:val="right"/>
              <w:rPr>
                <w:rFonts w:ascii="宋体" w:hAnsi="宋体" w:cs="宋体" w:eastAsia="宋体" w:hint="default"/>
                <w:sz w:val="21"/>
                <w:szCs w:val="21"/>
              </w:rPr>
            </w:pPr>
            <w:r>
              <w:rPr>
                <w:rFonts w:ascii="宋体"/>
                <w:spacing w:val="-1"/>
                <w:sz w:val="21"/>
              </w:rPr>
              <w:t>67,068,698</w:t>
            </w:r>
          </w:p>
        </w:tc>
        <w:tc>
          <w:tcPr>
            <w:tcW w:w="1001"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7"/>
              <w:jc w:val="right"/>
              <w:rPr>
                <w:rFonts w:ascii="宋体" w:hAnsi="宋体" w:cs="宋体" w:eastAsia="宋体" w:hint="default"/>
                <w:sz w:val="21"/>
                <w:szCs w:val="21"/>
              </w:rPr>
            </w:pPr>
            <w:r>
              <w:rPr>
                <w:rFonts w:ascii="宋体"/>
                <w:sz w:val="21"/>
              </w:rPr>
              <w:t>94.95</w:t>
            </w:r>
          </w:p>
        </w:tc>
        <w:tc>
          <w:tcPr>
            <w:tcW w:w="100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5"/>
              <w:jc w:val="right"/>
              <w:rPr>
                <w:rFonts w:ascii="宋体" w:hAnsi="宋体" w:cs="宋体" w:eastAsia="宋体" w:hint="default"/>
                <w:sz w:val="21"/>
                <w:szCs w:val="21"/>
              </w:rPr>
            </w:pPr>
            <w:r>
              <w:rPr>
                <w:rFonts w:ascii="宋体"/>
                <w:sz w:val="21"/>
              </w:rPr>
              <w:t>18.26</w:t>
            </w:r>
          </w:p>
        </w:tc>
        <w:tc>
          <w:tcPr>
            <w:tcW w:w="110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6"/>
              <w:jc w:val="right"/>
              <w:rPr>
                <w:rFonts w:ascii="宋体" w:hAnsi="宋体" w:cs="宋体" w:eastAsia="宋体" w:hint="default"/>
                <w:sz w:val="21"/>
                <w:szCs w:val="21"/>
              </w:rPr>
            </w:pPr>
            <w:r>
              <w:rPr>
                <w:rFonts w:ascii="宋体"/>
                <w:sz w:val="21"/>
              </w:rPr>
              <w:t>134.49</w:t>
            </w:r>
          </w:p>
        </w:tc>
        <w:tc>
          <w:tcPr>
            <w:tcW w:w="1099"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5"/>
              <w:jc w:val="right"/>
              <w:rPr>
                <w:rFonts w:ascii="宋体" w:hAnsi="宋体" w:cs="宋体" w:eastAsia="宋体" w:hint="default"/>
                <w:sz w:val="21"/>
                <w:szCs w:val="21"/>
              </w:rPr>
            </w:pPr>
            <w:r>
              <w:rPr>
                <w:rFonts w:ascii="宋体"/>
                <w:sz w:val="21"/>
              </w:rPr>
              <w:t>-2.50</w:t>
            </w:r>
          </w:p>
        </w:tc>
      </w:tr>
      <w:tr>
        <w:trPr>
          <w:trHeight w:val="319" w:hRule="exact"/>
        </w:trPr>
        <w:tc>
          <w:tcPr>
            <w:tcW w:w="2046"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left="98" w:right="0"/>
              <w:jc w:val="left"/>
              <w:rPr>
                <w:rFonts w:ascii="宋体" w:hAnsi="宋体" w:cs="宋体" w:eastAsia="宋体" w:hint="default"/>
                <w:sz w:val="21"/>
                <w:szCs w:val="21"/>
              </w:rPr>
            </w:pPr>
            <w:r>
              <w:rPr>
                <w:rFonts w:ascii="宋体" w:hAnsi="宋体" w:cs="宋体" w:eastAsia="宋体" w:hint="default"/>
                <w:sz w:val="21"/>
                <w:szCs w:val="21"/>
              </w:rPr>
              <w:t>技术服务及培训</w:t>
            </w:r>
          </w:p>
        </w:tc>
        <w:tc>
          <w:tcPr>
            <w:tcW w:w="1699"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5"/>
              <w:jc w:val="right"/>
              <w:rPr>
                <w:rFonts w:ascii="宋体" w:hAnsi="宋体" w:cs="宋体" w:eastAsia="宋体" w:hint="default"/>
                <w:sz w:val="21"/>
                <w:szCs w:val="21"/>
              </w:rPr>
            </w:pPr>
            <w:r>
              <w:rPr>
                <w:rFonts w:ascii="宋体"/>
                <w:spacing w:val="-1"/>
                <w:sz w:val="21"/>
              </w:rPr>
              <w:t>763,902,812</w:t>
            </w:r>
            <w:r>
              <w:rPr>
                <w:rFonts w:ascii="宋体"/>
                <w:sz w:val="21"/>
              </w:rPr>
            </w:r>
          </w:p>
        </w:tc>
        <w:tc>
          <w:tcPr>
            <w:tcW w:w="150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6"/>
              <w:jc w:val="right"/>
              <w:rPr>
                <w:rFonts w:ascii="宋体" w:hAnsi="宋体" w:cs="宋体" w:eastAsia="宋体" w:hint="default"/>
                <w:sz w:val="21"/>
                <w:szCs w:val="21"/>
              </w:rPr>
            </w:pPr>
            <w:r>
              <w:rPr>
                <w:rFonts w:ascii="宋体"/>
                <w:spacing w:val="-1"/>
                <w:sz w:val="21"/>
              </w:rPr>
              <w:t>172,218,889</w:t>
            </w:r>
            <w:r>
              <w:rPr>
                <w:rFonts w:ascii="宋体"/>
                <w:sz w:val="21"/>
              </w:rPr>
            </w:r>
          </w:p>
        </w:tc>
        <w:tc>
          <w:tcPr>
            <w:tcW w:w="1001"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8"/>
              <w:jc w:val="right"/>
              <w:rPr>
                <w:rFonts w:ascii="宋体" w:hAnsi="宋体" w:cs="宋体" w:eastAsia="宋体" w:hint="default"/>
                <w:sz w:val="21"/>
                <w:szCs w:val="21"/>
              </w:rPr>
            </w:pPr>
            <w:r>
              <w:rPr>
                <w:rFonts w:ascii="宋体"/>
                <w:sz w:val="21"/>
              </w:rPr>
              <w:t>77.46</w:t>
            </w:r>
          </w:p>
        </w:tc>
        <w:tc>
          <w:tcPr>
            <w:tcW w:w="100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6"/>
              <w:jc w:val="right"/>
              <w:rPr>
                <w:rFonts w:ascii="宋体" w:hAnsi="宋体" w:cs="宋体" w:eastAsia="宋体" w:hint="default"/>
                <w:sz w:val="21"/>
                <w:szCs w:val="21"/>
              </w:rPr>
            </w:pPr>
            <w:r>
              <w:rPr>
                <w:rFonts w:ascii="宋体"/>
                <w:sz w:val="21"/>
              </w:rPr>
              <w:t>64.96</w:t>
            </w:r>
          </w:p>
        </w:tc>
        <w:tc>
          <w:tcPr>
            <w:tcW w:w="110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6"/>
              <w:jc w:val="right"/>
              <w:rPr>
                <w:rFonts w:ascii="宋体" w:hAnsi="宋体" w:cs="宋体" w:eastAsia="宋体" w:hint="default"/>
                <w:sz w:val="21"/>
                <w:szCs w:val="21"/>
              </w:rPr>
            </w:pPr>
            <w:r>
              <w:rPr>
                <w:rFonts w:ascii="宋体"/>
                <w:sz w:val="21"/>
              </w:rPr>
              <w:t>48.78</w:t>
            </w:r>
          </w:p>
        </w:tc>
        <w:tc>
          <w:tcPr>
            <w:tcW w:w="1099"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5"/>
              <w:jc w:val="right"/>
              <w:rPr>
                <w:rFonts w:ascii="宋体" w:hAnsi="宋体" w:cs="宋体" w:eastAsia="宋体" w:hint="default"/>
                <w:sz w:val="21"/>
                <w:szCs w:val="21"/>
              </w:rPr>
            </w:pPr>
            <w:r>
              <w:rPr>
                <w:rFonts w:ascii="宋体"/>
                <w:sz w:val="21"/>
              </w:rPr>
              <w:t>2.45</w:t>
            </w:r>
          </w:p>
        </w:tc>
      </w:tr>
      <w:tr>
        <w:trPr>
          <w:trHeight w:val="322" w:hRule="exact"/>
        </w:trPr>
        <w:tc>
          <w:tcPr>
            <w:tcW w:w="2046"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left="98" w:right="0"/>
              <w:jc w:val="left"/>
              <w:rPr>
                <w:rFonts w:ascii="宋体" w:hAnsi="宋体" w:cs="宋体" w:eastAsia="宋体" w:hint="default"/>
                <w:sz w:val="21"/>
                <w:szCs w:val="21"/>
              </w:rPr>
            </w:pPr>
            <w:r>
              <w:rPr>
                <w:rFonts w:ascii="宋体" w:hAnsi="宋体" w:cs="宋体" w:eastAsia="宋体" w:hint="default"/>
                <w:sz w:val="21"/>
                <w:szCs w:val="21"/>
              </w:rPr>
              <w:t>软件配套用品销售</w:t>
            </w:r>
          </w:p>
        </w:tc>
        <w:tc>
          <w:tcPr>
            <w:tcW w:w="1699"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5"/>
              <w:jc w:val="right"/>
              <w:rPr>
                <w:rFonts w:ascii="宋体" w:hAnsi="宋体" w:cs="宋体" w:eastAsia="宋体" w:hint="default"/>
                <w:sz w:val="21"/>
                <w:szCs w:val="21"/>
              </w:rPr>
            </w:pPr>
            <w:r>
              <w:rPr>
                <w:rFonts w:ascii="宋体"/>
                <w:spacing w:val="-1"/>
                <w:sz w:val="21"/>
              </w:rPr>
              <w:t>183,119,108</w:t>
            </w:r>
            <w:r>
              <w:rPr>
                <w:rFonts w:ascii="宋体"/>
                <w:sz w:val="21"/>
              </w:rPr>
            </w:r>
          </w:p>
        </w:tc>
        <w:tc>
          <w:tcPr>
            <w:tcW w:w="150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6"/>
              <w:jc w:val="right"/>
              <w:rPr>
                <w:rFonts w:ascii="宋体" w:hAnsi="宋体" w:cs="宋体" w:eastAsia="宋体" w:hint="default"/>
                <w:sz w:val="21"/>
                <w:szCs w:val="21"/>
              </w:rPr>
            </w:pPr>
            <w:r>
              <w:rPr>
                <w:rFonts w:ascii="宋体"/>
                <w:spacing w:val="-1"/>
                <w:sz w:val="21"/>
              </w:rPr>
              <w:t>147,841,037</w:t>
            </w:r>
            <w:r>
              <w:rPr>
                <w:rFonts w:ascii="宋体"/>
                <w:sz w:val="21"/>
              </w:rPr>
            </w:r>
          </w:p>
        </w:tc>
        <w:tc>
          <w:tcPr>
            <w:tcW w:w="1001"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7"/>
              <w:jc w:val="right"/>
              <w:rPr>
                <w:rFonts w:ascii="宋体" w:hAnsi="宋体" w:cs="宋体" w:eastAsia="宋体" w:hint="default"/>
                <w:sz w:val="21"/>
                <w:szCs w:val="21"/>
              </w:rPr>
            </w:pPr>
            <w:r>
              <w:rPr>
                <w:rFonts w:ascii="宋体"/>
                <w:sz w:val="21"/>
              </w:rPr>
              <w:t>19.27</w:t>
            </w:r>
          </w:p>
        </w:tc>
        <w:tc>
          <w:tcPr>
            <w:tcW w:w="100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5"/>
              <w:jc w:val="right"/>
              <w:rPr>
                <w:rFonts w:ascii="宋体" w:hAnsi="宋体" w:cs="宋体" w:eastAsia="宋体" w:hint="default"/>
                <w:sz w:val="21"/>
                <w:szCs w:val="21"/>
              </w:rPr>
            </w:pPr>
            <w:r>
              <w:rPr>
                <w:rFonts w:ascii="宋体"/>
                <w:sz w:val="21"/>
              </w:rPr>
              <w:t>122.59</w:t>
            </w:r>
          </w:p>
        </w:tc>
        <w:tc>
          <w:tcPr>
            <w:tcW w:w="110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6"/>
              <w:jc w:val="right"/>
              <w:rPr>
                <w:rFonts w:ascii="宋体" w:hAnsi="宋体" w:cs="宋体" w:eastAsia="宋体" w:hint="default"/>
                <w:sz w:val="21"/>
                <w:szCs w:val="21"/>
              </w:rPr>
            </w:pPr>
            <w:r>
              <w:rPr>
                <w:rFonts w:ascii="宋体"/>
                <w:sz w:val="21"/>
              </w:rPr>
              <w:t>127.59</w:t>
            </w:r>
          </w:p>
        </w:tc>
        <w:tc>
          <w:tcPr>
            <w:tcW w:w="1099"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5"/>
              <w:jc w:val="right"/>
              <w:rPr>
                <w:rFonts w:ascii="宋体" w:hAnsi="宋体" w:cs="宋体" w:eastAsia="宋体" w:hint="default"/>
                <w:sz w:val="21"/>
                <w:szCs w:val="21"/>
              </w:rPr>
            </w:pPr>
            <w:r>
              <w:rPr>
                <w:rFonts w:ascii="宋体"/>
                <w:sz w:val="21"/>
              </w:rPr>
              <w:t>-1.77</w:t>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spacing w:before="26"/>
        <w:ind w:left="619" w:right="244" w:firstLine="0"/>
        <w:jc w:val="left"/>
        <w:rPr>
          <w:rFonts w:ascii="宋体" w:hAnsi="宋体" w:cs="宋体" w:eastAsia="宋体" w:hint="default"/>
          <w:sz w:val="24"/>
          <w:szCs w:val="24"/>
        </w:rPr>
      </w:pPr>
      <w:r>
        <w:rPr>
          <w:rFonts w:ascii="宋体" w:hAnsi="宋体" w:cs="宋体" w:eastAsia="宋体" w:hint="default"/>
          <w:sz w:val="24"/>
          <w:szCs w:val="24"/>
        </w:rPr>
        <w:t>软件销售收入具体如下：</w:t>
      </w:r>
    </w:p>
    <w:p>
      <w:pPr>
        <w:spacing w:line="240" w:lineRule="auto" w:before="9"/>
        <w:rPr>
          <w:rFonts w:ascii="宋体" w:hAnsi="宋体" w:cs="宋体" w:eastAsia="宋体" w:hint="default"/>
          <w:sz w:val="18"/>
          <w:szCs w:val="18"/>
        </w:rPr>
      </w:pPr>
    </w:p>
    <w:p>
      <w:pPr>
        <w:spacing w:before="35"/>
        <w:ind w:left="0" w:right="379"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7"/>
        <w:rPr>
          <w:rFonts w:ascii="宋体" w:hAnsi="宋体" w:cs="宋体" w:eastAsia="宋体" w:hint="default"/>
          <w:sz w:val="2"/>
          <w:szCs w:val="2"/>
        </w:rPr>
      </w:pPr>
    </w:p>
    <w:tbl>
      <w:tblPr>
        <w:tblW w:w="0" w:type="auto"/>
        <w:jc w:val="left"/>
        <w:tblInd w:w="131" w:type="dxa"/>
        <w:tblLayout w:type="fixed"/>
        <w:tblCellMar>
          <w:top w:w="0" w:type="dxa"/>
          <w:left w:w="0" w:type="dxa"/>
          <w:bottom w:w="0" w:type="dxa"/>
          <w:right w:w="0" w:type="dxa"/>
        </w:tblCellMar>
        <w:tblLook w:val="01E0"/>
      </w:tblPr>
      <w:tblGrid>
        <w:gridCol w:w="4505"/>
        <w:gridCol w:w="5000"/>
      </w:tblGrid>
      <w:tr>
        <w:trPr>
          <w:trHeight w:val="520" w:hRule="exact"/>
        </w:trPr>
        <w:tc>
          <w:tcPr>
            <w:tcW w:w="4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2035"/>
              <w:jc w:val="right"/>
              <w:rPr>
                <w:rFonts w:ascii="宋体" w:hAnsi="宋体" w:cs="宋体" w:eastAsia="宋体" w:hint="default"/>
                <w:sz w:val="21"/>
                <w:szCs w:val="21"/>
              </w:rPr>
            </w:pPr>
            <w:r>
              <w:rPr>
                <w:rFonts w:ascii="宋体" w:hAnsi="宋体" w:cs="宋体" w:eastAsia="宋体" w:hint="default"/>
                <w:sz w:val="21"/>
                <w:szCs w:val="21"/>
              </w:rPr>
              <w:t>产品</w:t>
            </w:r>
          </w:p>
        </w:tc>
        <w:tc>
          <w:tcPr>
            <w:tcW w:w="5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年度</w:t>
            </w:r>
          </w:p>
        </w:tc>
      </w:tr>
      <w:tr>
        <w:trPr>
          <w:trHeight w:val="310" w:hRule="exact"/>
        </w:trPr>
        <w:tc>
          <w:tcPr>
            <w:tcW w:w="4505"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w:t>
            </w:r>
            <w:r>
              <w:rPr>
                <w:rFonts w:ascii="宋体" w:hAnsi="宋体" w:cs="宋体" w:eastAsia="宋体" w:hint="default"/>
                <w:spacing w:val="-56"/>
                <w:sz w:val="21"/>
                <w:szCs w:val="21"/>
              </w:rPr>
              <w:t> </w:t>
            </w:r>
            <w:r>
              <w:rPr>
                <w:rFonts w:ascii="宋体" w:hAnsi="宋体" w:cs="宋体" w:eastAsia="宋体" w:hint="default"/>
                <w:sz w:val="21"/>
                <w:szCs w:val="21"/>
              </w:rPr>
              <w:t>ERP-NC</w:t>
            </w:r>
          </w:p>
        </w:tc>
        <w:tc>
          <w:tcPr>
            <w:tcW w:w="5000"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right="693"/>
              <w:jc w:val="right"/>
              <w:rPr>
                <w:rFonts w:ascii="宋体" w:hAnsi="宋体" w:cs="宋体" w:eastAsia="宋体" w:hint="default"/>
                <w:sz w:val="21"/>
                <w:szCs w:val="21"/>
              </w:rPr>
            </w:pPr>
            <w:r>
              <w:rPr>
                <w:rFonts w:ascii="宋体"/>
                <w:spacing w:val="-1"/>
                <w:sz w:val="21"/>
              </w:rPr>
              <w:t>487,292,822</w:t>
            </w:r>
            <w:r>
              <w:rPr>
                <w:rFonts w:ascii="宋体"/>
                <w:sz w:val="21"/>
              </w:rPr>
            </w:r>
          </w:p>
        </w:tc>
      </w:tr>
      <w:tr>
        <w:trPr>
          <w:trHeight w:val="311" w:hRule="exact"/>
        </w:trPr>
        <w:tc>
          <w:tcPr>
            <w:tcW w:w="4505"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w:t>
            </w:r>
            <w:r>
              <w:rPr>
                <w:rFonts w:ascii="宋体" w:hAnsi="宋体" w:cs="宋体" w:eastAsia="宋体" w:hint="default"/>
                <w:spacing w:val="-57"/>
                <w:sz w:val="21"/>
                <w:szCs w:val="21"/>
              </w:rPr>
              <w:t> </w:t>
            </w:r>
            <w:r>
              <w:rPr>
                <w:rFonts w:ascii="宋体" w:hAnsi="宋体" w:cs="宋体" w:eastAsia="宋体" w:hint="default"/>
                <w:sz w:val="21"/>
                <w:szCs w:val="21"/>
              </w:rPr>
              <w:t>ERP-U8/U9</w:t>
            </w:r>
          </w:p>
        </w:tc>
        <w:tc>
          <w:tcPr>
            <w:tcW w:w="5000"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right="691"/>
              <w:jc w:val="right"/>
              <w:rPr>
                <w:rFonts w:ascii="宋体" w:hAnsi="宋体" w:cs="宋体" w:eastAsia="宋体" w:hint="default"/>
                <w:sz w:val="21"/>
                <w:szCs w:val="21"/>
              </w:rPr>
            </w:pPr>
            <w:r>
              <w:rPr>
                <w:rFonts w:ascii="宋体"/>
                <w:spacing w:val="-1"/>
                <w:sz w:val="21"/>
              </w:rPr>
              <w:t>429,796,971</w:t>
            </w:r>
          </w:p>
        </w:tc>
      </w:tr>
      <w:tr>
        <w:trPr>
          <w:trHeight w:val="294" w:hRule="exact"/>
        </w:trPr>
        <w:tc>
          <w:tcPr>
            <w:tcW w:w="4505"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用友</w:t>
            </w:r>
            <w:r>
              <w:rPr>
                <w:rFonts w:ascii="宋体" w:hAnsi="宋体" w:cs="宋体" w:eastAsia="宋体" w:hint="default"/>
                <w:spacing w:val="-55"/>
                <w:sz w:val="21"/>
                <w:szCs w:val="21"/>
              </w:rPr>
              <w:t> </w:t>
            </w:r>
            <w:r>
              <w:rPr>
                <w:rFonts w:ascii="宋体" w:hAnsi="宋体" w:cs="宋体" w:eastAsia="宋体" w:hint="default"/>
                <w:sz w:val="21"/>
                <w:szCs w:val="21"/>
              </w:rPr>
              <w:t>T</w:t>
            </w:r>
            <w:r>
              <w:rPr>
                <w:rFonts w:ascii="宋体" w:hAnsi="宋体" w:cs="宋体" w:eastAsia="宋体" w:hint="default"/>
                <w:spacing w:val="-54"/>
                <w:sz w:val="21"/>
                <w:szCs w:val="21"/>
              </w:rPr>
              <w:t> </w:t>
            </w:r>
            <w:r>
              <w:rPr>
                <w:rFonts w:ascii="宋体" w:hAnsi="宋体" w:cs="宋体" w:eastAsia="宋体" w:hint="default"/>
                <w:sz w:val="21"/>
                <w:szCs w:val="21"/>
              </w:rPr>
              <w:t>系列产品</w:t>
            </w:r>
          </w:p>
        </w:tc>
        <w:tc>
          <w:tcPr>
            <w:tcW w:w="500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691"/>
              <w:jc w:val="right"/>
              <w:rPr>
                <w:rFonts w:ascii="宋体" w:hAnsi="宋体" w:cs="宋体" w:eastAsia="宋体" w:hint="default"/>
                <w:sz w:val="21"/>
                <w:szCs w:val="21"/>
              </w:rPr>
            </w:pPr>
            <w:r>
              <w:rPr>
                <w:rFonts w:ascii="宋体"/>
                <w:spacing w:val="-1"/>
                <w:sz w:val="21"/>
              </w:rPr>
              <w:t>225,654,638</w:t>
            </w:r>
          </w:p>
        </w:tc>
      </w:tr>
      <w:tr>
        <w:trPr>
          <w:trHeight w:val="311" w:hRule="exact"/>
        </w:trPr>
        <w:tc>
          <w:tcPr>
            <w:tcW w:w="4505"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其他产品</w:t>
            </w:r>
          </w:p>
        </w:tc>
        <w:tc>
          <w:tcPr>
            <w:tcW w:w="5000"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right="691"/>
              <w:jc w:val="right"/>
              <w:rPr>
                <w:rFonts w:ascii="宋体" w:hAnsi="宋体" w:cs="宋体" w:eastAsia="宋体" w:hint="default"/>
                <w:sz w:val="21"/>
                <w:szCs w:val="21"/>
              </w:rPr>
            </w:pPr>
            <w:r>
              <w:rPr>
                <w:rFonts w:ascii="宋体"/>
                <w:spacing w:val="-1"/>
                <w:sz w:val="21"/>
              </w:rPr>
              <w:t>186,095,064</w:t>
            </w:r>
            <w:r>
              <w:rPr>
                <w:rFonts w:ascii="宋体"/>
                <w:sz w:val="21"/>
              </w:rPr>
            </w:r>
          </w:p>
        </w:tc>
      </w:tr>
      <w:tr>
        <w:trPr>
          <w:trHeight w:val="295" w:hRule="exact"/>
        </w:trPr>
        <w:tc>
          <w:tcPr>
            <w:tcW w:w="4505"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2034"/>
              <w:jc w:val="right"/>
              <w:rPr>
                <w:rFonts w:ascii="宋体" w:hAnsi="宋体" w:cs="宋体" w:eastAsia="宋体" w:hint="default"/>
                <w:sz w:val="21"/>
                <w:szCs w:val="21"/>
              </w:rPr>
            </w:pPr>
            <w:r>
              <w:rPr>
                <w:rFonts w:ascii="宋体" w:hAnsi="宋体" w:cs="宋体" w:eastAsia="宋体" w:hint="default"/>
                <w:sz w:val="21"/>
                <w:szCs w:val="21"/>
              </w:rPr>
              <w:t>合计</w:t>
            </w:r>
          </w:p>
        </w:tc>
        <w:tc>
          <w:tcPr>
            <w:tcW w:w="500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691"/>
              <w:jc w:val="right"/>
              <w:rPr>
                <w:rFonts w:ascii="宋体" w:hAnsi="宋体" w:cs="宋体" w:eastAsia="宋体" w:hint="default"/>
                <w:sz w:val="21"/>
                <w:szCs w:val="21"/>
              </w:rPr>
            </w:pPr>
            <w:r>
              <w:rPr>
                <w:rFonts w:ascii="宋体"/>
                <w:spacing w:val="-1"/>
                <w:sz w:val="21"/>
              </w:rPr>
              <w:t>1,328,839,495</w:t>
            </w:r>
          </w:p>
        </w:tc>
      </w:tr>
    </w:tbl>
    <w:p>
      <w:pPr>
        <w:spacing w:before="81"/>
        <w:ind w:left="620" w:right="244" w:firstLine="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1：主营业务收入已扣减主营业务税金及附加。</w:t>
      </w:r>
    </w:p>
    <w:p>
      <w:pPr>
        <w:spacing w:after="0"/>
        <w:jc w:val="left"/>
        <w:rPr>
          <w:rFonts w:ascii="宋体" w:hAnsi="宋体" w:cs="宋体" w:eastAsia="宋体" w:hint="default"/>
          <w:sz w:val="24"/>
          <w:szCs w:val="24"/>
        </w:rPr>
        <w:sectPr>
          <w:pgSz w:w="11910" w:h="16840"/>
          <w:pgMar w:header="720" w:footer="727" w:top="1080" w:bottom="920" w:left="1220" w:right="920"/>
        </w:sectPr>
      </w:pPr>
    </w:p>
    <w:p>
      <w:pPr>
        <w:spacing w:line="240" w:lineRule="auto" w:before="12"/>
        <w:rPr>
          <w:rFonts w:ascii="宋体" w:hAnsi="宋体" w:cs="宋体" w:eastAsia="宋体" w:hint="default"/>
          <w:sz w:val="21"/>
          <w:szCs w:val="21"/>
        </w:rPr>
      </w:pPr>
    </w:p>
    <w:p>
      <w:pPr>
        <w:spacing w:before="26"/>
        <w:ind w:left="620" w:right="0" w:firstLine="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2：用友</w:t>
      </w:r>
      <w:r>
        <w:rPr>
          <w:rFonts w:ascii="宋体" w:hAnsi="宋体" w:cs="宋体" w:eastAsia="宋体" w:hint="default"/>
          <w:spacing w:val="-60"/>
          <w:sz w:val="24"/>
          <w:szCs w:val="24"/>
        </w:rPr>
        <w:t> </w:t>
      </w:r>
      <w:r>
        <w:rPr>
          <w:rFonts w:ascii="宋体" w:hAnsi="宋体" w:cs="宋体" w:eastAsia="宋体" w:hint="default"/>
          <w:sz w:val="24"/>
          <w:szCs w:val="24"/>
        </w:rPr>
        <w:t>T</w:t>
      </w:r>
      <w:r>
        <w:rPr>
          <w:rFonts w:ascii="宋体" w:hAnsi="宋体" w:cs="宋体" w:eastAsia="宋体" w:hint="default"/>
          <w:spacing w:val="-60"/>
          <w:sz w:val="24"/>
          <w:szCs w:val="24"/>
        </w:rPr>
        <w:t> </w:t>
      </w:r>
      <w:r>
        <w:rPr>
          <w:rFonts w:ascii="宋体" w:hAnsi="宋体" w:cs="宋体" w:eastAsia="宋体" w:hint="default"/>
          <w:sz w:val="24"/>
          <w:szCs w:val="24"/>
        </w:rPr>
        <w:t>系列产品整合了原用友</w:t>
      </w:r>
      <w:r>
        <w:rPr>
          <w:rFonts w:ascii="宋体" w:hAnsi="宋体" w:cs="宋体" w:eastAsia="宋体" w:hint="default"/>
          <w:spacing w:val="-60"/>
          <w:sz w:val="24"/>
          <w:szCs w:val="24"/>
        </w:rPr>
        <w:t> </w:t>
      </w:r>
      <w:r>
        <w:rPr>
          <w:rFonts w:ascii="宋体" w:hAnsi="宋体" w:cs="宋体" w:eastAsia="宋体" w:hint="default"/>
          <w:sz w:val="24"/>
          <w:szCs w:val="24"/>
        </w:rPr>
        <w:t>ERP-U6</w:t>
      </w:r>
      <w:r>
        <w:rPr>
          <w:rFonts w:ascii="宋体" w:hAnsi="宋体" w:cs="宋体" w:eastAsia="宋体" w:hint="default"/>
          <w:spacing w:val="-60"/>
          <w:sz w:val="24"/>
          <w:szCs w:val="24"/>
        </w:rPr>
        <w:t> </w:t>
      </w:r>
      <w:r>
        <w:rPr>
          <w:rFonts w:ascii="宋体" w:hAnsi="宋体" w:cs="宋体" w:eastAsia="宋体" w:hint="default"/>
          <w:sz w:val="24"/>
          <w:szCs w:val="24"/>
        </w:rPr>
        <w:t>和用友</w:t>
      </w:r>
      <w:r>
        <w:rPr>
          <w:rFonts w:ascii="宋体" w:hAnsi="宋体" w:cs="宋体" w:eastAsia="宋体" w:hint="default"/>
          <w:spacing w:val="-60"/>
          <w:sz w:val="24"/>
          <w:szCs w:val="24"/>
        </w:rPr>
        <w:t> </w:t>
      </w:r>
      <w:r>
        <w:rPr>
          <w:rFonts w:ascii="宋体" w:hAnsi="宋体" w:cs="宋体" w:eastAsia="宋体" w:hint="default"/>
          <w:sz w:val="24"/>
          <w:szCs w:val="24"/>
        </w:rPr>
        <w:t>Tong</w:t>
      </w:r>
      <w:r>
        <w:rPr>
          <w:rFonts w:ascii="宋体" w:hAnsi="宋体" w:cs="宋体" w:eastAsia="宋体" w:hint="default"/>
          <w:spacing w:val="-60"/>
          <w:sz w:val="24"/>
          <w:szCs w:val="24"/>
        </w:rPr>
        <w:t> </w:t>
      </w:r>
      <w:r>
        <w:rPr>
          <w:rFonts w:ascii="宋体" w:hAnsi="宋体" w:cs="宋体" w:eastAsia="宋体" w:hint="default"/>
          <w:sz w:val="24"/>
          <w:szCs w:val="24"/>
        </w:rPr>
        <w:t>产品。</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6"/>
          <w:szCs w:val="26"/>
        </w:rPr>
      </w:pPr>
    </w:p>
    <w:p>
      <w:pPr>
        <w:spacing w:line="310" w:lineRule="exact" w:before="0"/>
        <w:ind w:left="193" w:right="0" w:firstLine="480"/>
        <w:jc w:val="left"/>
        <w:rPr>
          <w:rFonts w:ascii="宋体" w:hAnsi="宋体" w:cs="宋体" w:eastAsia="宋体" w:hint="default"/>
          <w:sz w:val="24"/>
          <w:szCs w:val="24"/>
        </w:rPr>
      </w:pPr>
      <w:r>
        <w:rPr>
          <w:rFonts w:ascii="宋体" w:hAnsi="宋体" w:cs="宋体" w:eastAsia="宋体" w:hint="default"/>
          <w:sz w:val="24"/>
          <w:szCs w:val="24"/>
        </w:rPr>
        <w:t>3、占主营业务收入（已扣除主营业务税金及附加）或主营业务利润总额</w:t>
      </w:r>
      <w:r>
        <w:rPr>
          <w:rFonts w:ascii="宋体" w:hAnsi="宋体" w:cs="宋体" w:eastAsia="宋体" w:hint="default"/>
          <w:spacing w:val="-74"/>
          <w:sz w:val="24"/>
          <w:szCs w:val="24"/>
        </w:rPr>
        <w:t> </w:t>
      </w:r>
      <w:r>
        <w:rPr>
          <w:rFonts w:ascii="宋体" w:hAnsi="宋体" w:cs="宋体" w:eastAsia="宋体" w:hint="default"/>
          <w:sz w:val="24"/>
          <w:szCs w:val="24"/>
        </w:rPr>
        <w:t>10%以上的</w:t>
      </w:r>
      <w:r>
        <w:rPr>
          <w:rFonts w:ascii="宋体" w:hAnsi="宋体" w:cs="宋体" w:eastAsia="宋体" w:hint="default"/>
          <w:spacing w:val="-1"/>
          <w:sz w:val="24"/>
          <w:szCs w:val="24"/>
        </w:rPr>
        <w:t> </w:t>
      </w:r>
      <w:r>
        <w:rPr>
          <w:rFonts w:ascii="宋体" w:hAnsi="宋体" w:cs="宋体" w:eastAsia="宋体" w:hint="default"/>
          <w:sz w:val="24"/>
          <w:szCs w:val="24"/>
        </w:rPr>
        <w:t>主要产品及服务销售情况</w:t>
      </w:r>
    </w:p>
    <w:p>
      <w:pPr>
        <w:spacing w:before="92"/>
        <w:ind w:left="0" w:right="27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7"/>
        <w:rPr>
          <w:rFonts w:ascii="宋体" w:hAnsi="宋体" w:cs="宋体" w:eastAsia="宋体"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2110"/>
        <w:gridCol w:w="1800"/>
        <w:gridCol w:w="1800"/>
        <w:gridCol w:w="1800"/>
        <w:gridCol w:w="1800"/>
      </w:tblGrid>
      <w:tr>
        <w:trPr>
          <w:trHeight w:val="625" w:hRule="exact"/>
        </w:trPr>
        <w:tc>
          <w:tcPr>
            <w:tcW w:w="2110" w:type="dxa"/>
            <w:tcBorders>
              <w:top w:val="single" w:sz="8" w:space="0" w:color="000000"/>
              <w:left w:val="single" w:sz="8" w:space="0" w:color="000000"/>
              <w:bottom w:val="single" w:sz="8" w:space="0" w:color="000000"/>
              <w:right w:val="single" w:sz="4" w:space="0" w:color="000000"/>
            </w:tcBorders>
          </w:tcPr>
          <w:p>
            <w:pPr>
              <w:pStyle w:val="TableParagraph"/>
              <w:spacing w:line="240" w:lineRule="auto" w:before="122"/>
              <w:ind w:left="309" w:right="0"/>
              <w:jc w:val="left"/>
              <w:rPr>
                <w:rFonts w:ascii="宋体" w:hAnsi="宋体" w:cs="宋体" w:eastAsia="宋体" w:hint="default"/>
                <w:sz w:val="21"/>
                <w:szCs w:val="21"/>
              </w:rPr>
            </w:pPr>
            <w:r>
              <w:rPr>
                <w:rFonts w:ascii="宋体" w:hAnsi="宋体" w:cs="宋体" w:eastAsia="宋体" w:hint="default"/>
                <w:sz w:val="21"/>
                <w:szCs w:val="21"/>
              </w:rPr>
              <w:t>产品及服务名称</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32"/>
              <w:jc w:val="righ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年销售收入</w:t>
            </w:r>
          </w:p>
        </w:tc>
        <w:tc>
          <w:tcPr>
            <w:tcW w:w="1800" w:type="dxa"/>
            <w:tcBorders>
              <w:top w:val="single" w:sz="4" w:space="0" w:color="000000"/>
              <w:left w:val="single" w:sz="4" w:space="0" w:color="000000"/>
              <w:bottom w:val="single" w:sz="8" w:space="0" w:color="000000"/>
              <w:right w:val="single" w:sz="8" w:space="0" w:color="000000"/>
            </w:tcBorders>
          </w:tcPr>
          <w:p>
            <w:pPr>
              <w:pStyle w:val="TableParagraph"/>
              <w:spacing w:line="272" w:lineRule="exact" w:before="17"/>
              <w:ind w:left="685" w:right="155" w:hanging="526"/>
              <w:jc w:val="left"/>
              <w:rPr>
                <w:rFonts w:ascii="宋体" w:hAnsi="宋体" w:cs="宋体" w:eastAsia="宋体" w:hint="default"/>
                <w:sz w:val="21"/>
                <w:szCs w:val="21"/>
              </w:rPr>
            </w:pPr>
            <w:r>
              <w:rPr>
                <w:rFonts w:ascii="宋体" w:hAnsi="宋体" w:cs="宋体" w:eastAsia="宋体" w:hint="default"/>
                <w:sz w:val="21"/>
                <w:szCs w:val="21"/>
              </w:rPr>
              <w:t>占主营业务收入 比例</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260" w:right="0"/>
              <w:jc w:val="left"/>
              <w:rPr>
                <w:rFonts w:ascii="宋体" w:hAnsi="宋体" w:cs="宋体" w:eastAsia="宋体" w:hint="default"/>
                <w:sz w:val="21"/>
                <w:szCs w:val="21"/>
              </w:rPr>
            </w:pPr>
            <w:r>
              <w:rPr>
                <w:rFonts w:ascii="宋体" w:hAnsi="宋体" w:cs="宋体" w:eastAsia="宋体" w:hint="default"/>
                <w:sz w:val="21"/>
                <w:szCs w:val="21"/>
              </w:rPr>
              <w:t>产品销售成本</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574" w:right="0"/>
              <w:jc w:val="left"/>
              <w:rPr>
                <w:rFonts w:ascii="宋体" w:hAnsi="宋体" w:cs="宋体" w:eastAsia="宋体" w:hint="default"/>
                <w:sz w:val="21"/>
                <w:szCs w:val="21"/>
              </w:rPr>
            </w:pPr>
            <w:r>
              <w:rPr>
                <w:rFonts w:ascii="宋体" w:hAnsi="宋体" w:cs="宋体" w:eastAsia="宋体" w:hint="default"/>
                <w:sz w:val="21"/>
                <w:szCs w:val="21"/>
              </w:rPr>
              <w:t>毛利率</w:t>
            </w:r>
          </w:p>
        </w:tc>
      </w:tr>
      <w:tr>
        <w:trPr>
          <w:trHeight w:val="320" w:hRule="exact"/>
        </w:trPr>
        <w:tc>
          <w:tcPr>
            <w:tcW w:w="2110" w:type="dxa"/>
            <w:tcBorders>
              <w:top w:val="single" w:sz="8" w:space="0" w:color="000000"/>
              <w:left w:val="single" w:sz="8" w:space="0" w:color="000000"/>
              <w:bottom w:val="single" w:sz="8" w:space="0" w:color="000000"/>
              <w:right w:val="single" w:sz="4" w:space="0" w:color="000000"/>
            </w:tcBorders>
          </w:tcPr>
          <w:p>
            <w:pPr>
              <w:pStyle w:val="TableParagraph"/>
              <w:spacing w:line="254" w:lineRule="exact"/>
              <w:ind w:left="98" w:right="0"/>
              <w:jc w:val="left"/>
              <w:rPr>
                <w:rFonts w:ascii="宋体" w:hAnsi="宋体" w:cs="宋体" w:eastAsia="宋体" w:hint="default"/>
                <w:sz w:val="21"/>
                <w:szCs w:val="21"/>
              </w:rPr>
            </w:pPr>
            <w:r>
              <w:rPr>
                <w:rFonts w:ascii="宋体" w:hAnsi="宋体" w:cs="宋体" w:eastAsia="宋体" w:hint="default"/>
                <w:sz w:val="21"/>
                <w:szCs w:val="21"/>
              </w:rPr>
              <w:t>ERP</w:t>
            </w:r>
            <w:r>
              <w:rPr>
                <w:rFonts w:ascii="宋体" w:hAnsi="宋体" w:cs="宋体" w:eastAsia="宋体" w:hint="default"/>
                <w:spacing w:val="-53"/>
                <w:sz w:val="21"/>
                <w:szCs w:val="21"/>
              </w:rPr>
              <w:t> </w:t>
            </w:r>
            <w:r>
              <w:rPr>
                <w:rFonts w:ascii="宋体" w:hAnsi="宋体" w:cs="宋体" w:eastAsia="宋体" w:hint="default"/>
                <w:sz w:val="21"/>
                <w:szCs w:val="21"/>
              </w:rPr>
              <w:t>软件</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100"/>
              <w:jc w:val="right"/>
              <w:rPr>
                <w:rFonts w:ascii="宋体" w:hAnsi="宋体" w:cs="宋体" w:eastAsia="宋体" w:hint="default"/>
                <w:sz w:val="21"/>
                <w:szCs w:val="21"/>
              </w:rPr>
            </w:pPr>
            <w:r>
              <w:rPr>
                <w:rFonts w:ascii="宋体"/>
                <w:spacing w:val="-1"/>
                <w:sz w:val="21"/>
              </w:rPr>
              <w:t>1,000,838,447</w:t>
            </w:r>
          </w:p>
        </w:tc>
        <w:tc>
          <w:tcPr>
            <w:tcW w:w="1800" w:type="dxa"/>
            <w:tcBorders>
              <w:top w:val="single" w:sz="8" w:space="0" w:color="000000"/>
              <w:left w:val="single" w:sz="4" w:space="0" w:color="000000"/>
              <w:bottom w:val="single" w:sz="8" w:space="0" w:color="000000"/>
              <w:right w:val="single" w:sz="8" w:space="0" w:color="000000"/>
            </w:tcBorders>
          </w:tcPr>
          <w:p>
            <w:pPr>
              <w:pStyle w:val="TableParagraph"/>
              <w:spacing w:line="254" w:lineRule="exact"/>
              <w:ind w:right="95"/>
              <w:jc w:val="right"/>
              <w:rPr>
                <w:rFonts w:ascii="宋体" w:hAnsi="宋体" w:cs="宋体" w:eastAsia="宋体" w:hint="default"/>
                <w:sz w:val="21"/>
                <w:szCs w:val="21"/>
              </w:rPr>
            </w:pPr>
            <w:r>
              <w:rPr>
                <w:rFonts w:ascii="宋体"/>
                <w:spacing w:val="-1"/>
                <w:sz w:val="21"/>
              </w:rPr>
              <w:t>43.98</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4"/>
              <w:jc w:val="right"/>
              <w:rPr>
                <w:rFonts w:ascii="宋体" w:hAnsi="宋体" w:cs="宋体" w:eastAsia="宋体" w:hint="default"/>
                <w:sz w:val="21"/>
                <w:szCs w:val="21"/>
              </w:rPr>
            </w:pPr>
            <w:r>
              <w:rPr>
                <w:rFonts w:ascii="宋体"/>
                <w:spacing w:val="-1"/>
                <w:sz w:val="21"/>
              </w:rPr>
              <w:t>25,197,557</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5"/>
              <w:jc w:val="right"/>
              <w:rPr>
                <w:rFonts w:ascii="宋体" w:hAnsi="宋体" w:cs="宋体" w:eastAsia="宋体" w:hint="default"/>
                <w:sz w:val="21"/>
                <w:szCs w:val="21"/>
              </w:rPr>
            </w:pPr>
            <w:r>
              <w:rPr>
                <w:rFonts w:ascii="宋体"/>
                <w:spacing w:val="-1"/>
                <w:sz w:val="21"/>
              </w:rPr>
              <w:t>97.48</w:t>
            </w:r>
          </w:p>
        </w:tc>
      </w:tr>
      <w:tr>
        <w:trPr>
          <w:trHeight w:val="320" w:hRule="exact"/>
        </w:trPr>
        <w:tc>
          <w:tcPr>
            <w:tcW w:w="2110" w:type="dxa"/>
            <w:tcBorders>
              <w:top w:val="single" w:sz="8" w:space="0" w:color="000000"/>
              <w:left w:val="single" w:sz="8" w:space="0" w:color="000000"/>
              <w:bottom w:val="single" w:sz="8" w:space="0" w:color="000000"/>
              <w:right w:val="single" w:sz="4" w:space="0" w:color="000000"/>
            </w:tcBorders>
          </w:tcPr>
          <w:p>
            <w:pPr>
              <w:pStyle w:val="TableParagraph"/>
              <w:spacing w:line="254" w:lineRule="exact"/>
              <w:ind w:left="98" w:right="0"/>
              <w:jc w:val="left"/>
              <w:rPr>
                <w:rFonts w:ascii="宋体" w:hAnsi="宋体" w:cs="宋体" w:eastAsia="宋体" w:hint="default"/>
                <w:sz w:val="21"/>
                <w:szCs w:val="21"/>
              </w:rPr>
            </w:pPr>
            <w:r>
              <w:rPr>
                <w:rFonts w:ascii="宋体" w:hAnsi="宋体" w:cs="宋体" w:eastAsia="宋体" w:hint="default"/>
                <w:sz w:val="21"/>
                <w:szCs w:val="21"/>
              </w:rPr>
              <w:t>技术服务及培训</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101"/>
              <w:jc w:val="right"/>
              <w:rPr>
                <w:rFonts w:ascii="宋体" w:hAnsi="宋体" w:cs="宋体" w:eastAsia="宋体" w:hint="default"/>
                <w:sz w:val="21"/>
                <w:szCs w:val="21"/>
              </w:rPr>
            </w:pPr>
            <w:r>
              <w:rPr>
                <w:rFonts w:ascii="宋体"/>
                <w:spacing w:val="-1"/>
                <w:sz w:val="21"/>
              </w:rPr>
              <w:t>763,902,812</w:t>
            </w:r>
            <w:r>
              <w:rPr>
                <w:rFonts w:ascii="宋体"/>
                <w:sz w:val="21"/>
              </w:rPr>
            </w:r>
          </w:p>
        </w:tc>
        <w:tc>
          <w:tcPr>
            <w:tcW w:w="1800" w:type="dxa"/>
            <w:tcBorders>
              <w:top w:val="single" w:sz="8" w:space="0" w:color="000000"/>
              <w:left w:val="single" w:sz="4" w:space="0" w:color="000000"/>
              <w:bottom w:val="single" w:sz="8" w:space="0" w:color="000000"/>
              <w:right w:val="single" w:sz="8" w:space="0" w:color="000000"/>
            </w:tcBorders>
          </w:tcPr>
          <w:p>
            <w:pPr>
              <w:pStyle w:val="TableParagraph"/>
              <w:spacing w:line="254" w:lineRule="exact"/>
              <w:ind w:right="97"/>
              <w:jc w:val="right"/>
              <w:rPr>
                <w:rFonts w:ascii="宋体" w:hAnsi="宋体" w:cs="宋体" w:eastAsia="宋体" w:hint="default"/>
                <w:sz w:val="21"/>
                <w:szCs w:val="21"/>
              </w:rPr>
            </w:pPr>
            <w:r>
              <w:rPr>
                <w:rFonts w:ascii="宋体"/>
                <w:spacing w:val="-1"/>
                <w:sz w:val="21"/>
              </w:rPr>
              <w:t>33.57</w:t>
            </w:r>
            <w:r>
              <w:rPr>
                <w:rFonts w:ascii="宋体"/>
                <w:sz w:val="21"/>
              </w:rPr>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6"/>
              <w:jc w:val="right"/>
              <w:rPr>
                <w:rFonts w:ascii="宋体" w:hAnsi="宋体" w:cs="宋体" w:eastAsia="宋体" w:hint="default"/>
                <w:sz w:val="21"/>
                <w:szCs w:val="21"/>
              </w:rPr>
            </w:pPr>
            <w:r>
              <w:rPr>
                <w:rFonts w:ascii="宋体"/>
                <w:spacing w:val="-1"/>
                <w:sz w:val="21"/>
              </w:rPr>
              <w:t>172,218,889</w:t>
            </w:r>
            <w:r>
              <w:rPr>
                <w:rFonts w:ascii="宋体"/>
                <w:sz w:val="21"/>
              </w:rPr>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7"/>
              <w:jc w:val="right"/>
              <w:rPr>
                <w:rFonts w:ascii="宋体" w:hAnsi="宋体" w:cs="宋体" w:eastAsia="宋体" w:hint="default"/>
                <w:sz w:val="21"/>
                <w:szCs w:val="21"/>
              </w:rPr>
            </w:pPr>
            <w:r>
              <w:rPr>
                <w:rFonts w:ascii="宋体"/>
                <w:spacing w:val="-1"/>
                <w:w w:val="95"/>
                <w:sz w:val="21"/>
              </w:rPr>
              <w:t>77.46</w:t>
            </w:r>
            <w:r>
              <w:rPr>
                <w:rFonts w:ascii="宋体"/>
                <w:w w:val="95"/>
                <w:sz w:val="21"/>
              </w:rPr>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spacing w:before="26"/>
        <w:ind w:left="620" w:right="0" w:firstLine="0"/>
        <w:jc w:val="left"/>
        <w:rPr>
          <w:rFonts w:ascii="宋体" w:hAnsi="宋体" w:cs="宋体" w:eastAsia="宋体" w:hint="default"/>
          <w:sz w:val="24"/>
          <w:szCs w:val="24"/>
        </w:rPr>
      </w:pPr>
      <w:r>
        <w:rPr>
          <w:rFonts w:ascii="宋体" w:hAnsi="宋体" w:cs="宋体" w:eastAsia="宋体" w:hint="default"/>
          <w:sz w:val="24"/>
          <w:szCs w:val="24"/>
        </w:rPr>
        <w:t>4、主要产品的市场占有率情况</w:t>
      </w:r>
    </w:p>
    <w:p>
      <w:pPr>
        <w:spacing w:line="240" w:lineRule="auto" w:before="2"/>
        <w:rPr>
          <w:rFonts w:ascii="宋体" w:hAnsi="宋体" w:cs="宋体" w:eastAsia="宋体" w:hint="default"/>
          <w:sz w:val="21"/>
          <w:szCs w:val="21"/>
        </w:rPr>
      </w:pPr>
    </w:p>
    <w:p>
      <w:pPr>
        <w:spacing w:line="297" w:lineRule="auto" w:before="0"/>
        <w:ind w:left="140" w:right="279" w:firstLine="480"/>
        <w:jc w:val="both"/>
        <w:rPr>
          <w:rFonts w:ascii="宋体" w:hAnsi="宋体" w:cs="宋体" w:eastAsia="宋体" w:hint="default"/>
          <w:sz w:val="24"/>
          <w:szCs w:val="24"/>
        </w:rPr>
      </w:pPr>
      <w:r>
        <w:rPr>
          <w:rFonts w:ascii="宋体" w:hAnsi="宋体" w:cs="宋体" w:eastAsia="宋体" w:hint="default"/>
          <w:spacing w:val="-4"/>
          <w:sz w:val="24"/>
          <w:szCs w:val="24"/>
        </w:rPr>
        <w:t>报告期内，公司主营业务不断增长，产品市场份额继续扩大，巩固了公司作为中国企</w:t>
      </w:r>
      <w:r>
        <w:rPr>
          <w:rFonts w:ascii="宋体" w:hAnsi="宋体" w:cs="宋体" w:eastAsia="宋体" w:hint="default"/>
          <w:sz w:val="24"/>
          <w:szCs w:val="24"/>
        </w:rPr>
        <w:t> </w:t>
      </w:r>
      <w:r>
        <w:rPr>
          <w:rFonts w:ascii="宋体" w:hAnsi="宋体" w:cs="宋体" w:eastAsia="宋体" w:hint="default"/>
          <w:spacing w:val="-3"/>
          <w:sz w:val="24"/>
          <w:szCs w:val="24"/>
        </w:rPr>
        <w:t>业管理软件产业链中核心企业的领导厂商地位。根据赛迪顾问股份有限公司（CCID）发布</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z w:val="24"/>
          <w:szCs w:val="24"/>
        </w:rPr>
        <w:t>的“2009-2010</w:t>
      </w:r>
      <w:r>
        <w:rPr>
          <w:rFonts w:ascii="宋体" w:hAnsi="宋体" w:cs="宋体" w:eastAsia="宋体" w:hint="default"/>
          <w:spacing w:val="-57"/>
          <w:sz w:val="24"/>
          <w:szCs w:val="24"/>
        </w:rPr>
        <w:t> </w:t>
      </w:r>
      <w:r>
        <w:rPr>
          <w:rFonts w:ascii="宋体" w:hAnsi="宋体" w:cs="宋体" w:eastAsia="宋体" w:hint="default"/>
          <w:spacing w:val="-3"/>
          <w:sz w:val="24"/>
          <w:szCs w:val="24"/>
        </w:rPr>
        <w:t>年中国管理软件市场研究年度总报告”，公司在中国</w:t>
      </w:r>
      <w:r>
        <w:rPr>
          <w:rFonts w:ascii="宋体" w:hAnsi="宋体" w:cs="宋体" w:eastAsia="宋体" w:hint="default"/>
          <w:spacing w:val="-57"/>
          <w:sz w:val="24"/>
          <w:szCs w:val="24"/>
        </w:rPr>
        <w:t> </w:t>
      </w:r>
      <w:r>
        <w:rPr>
          <w:rFonts w:ascii="宋体" w:hAnsi="宋体" w:cs="宋体" w:eastAsia="宋体" w:hint="default"/>
          <w:sz w:val="24"/>
          <w:szCs w:val="24"/>
        </w:rPr>
        <w:t>ERP</w:t>
      </w:r>
      <w:r>
        <w:rPr>
          <w:rFonts w:ascii="宋体" w:hAnsi="宋体" w:cs="宋体" w:eastAsia="宋体" w:hint="default"/>
          <w:spacing w:val="-57"/>
          <w:sz w:val="24"/>
          <w:szCs w:val="24"/>
        </w:rPr>
        <w:t> </w:t>
      </w:r>
      <w:r>
        <w:rPr>
          <w:rFonts w:ascii="宋体" w:hAnsi="宋体" w:cs="宋体" w:eastAsia="宋体" w:hint="default"/>
          <w:sz w:val="24"/>
          <w:szCs w:val="24"/>
        </w:rPr>
        <w:t>软件领域的市场</w:t>
      </w:r>
      <w:r>
        <w:rPr>
          <w:rFonts w:ascii="宋体" w:hAnsi="宋体" w:cs="宋体" w:eastAsia="宋体" w:hint="default"/>
          <w:sz w:val="24"/>
          <w:szCs w:val="24"/>
        </w:rPr>
        <w:t> 占有率为</w:t>
      </w:r>
      <w:r>
        <w:rPr>
          <w:rFonts w:ascii="宋体" w:hAnsi="宋体" w:cs="宋体" w:eastAsia="宋体" w:hint="default"/>
          <w:spacing w:val="-67"/>
          <w:sz w:val="24"/>
          <w:szCs w:val="24"/>
        </w:rPr>
        <w:t> </w:t>
      </w:r>
      <w:r>
        <w:rPr>
          <w:rFonts w:ascii="宋体" w:hAnsi="宋体" w:cs="宋体" w:eastAsia="宋体" w:hint="default"/>
          <w:spacing w:val="-3"/>
          <w:sz w:val="24"/>
          <w:szCs w:val="24"/>
        </w:rPr>
        <w:t>27.0%，连续八年摘得</w:t>
      </w:r>
      <w:r>
        <w:rPr>
          <w:rFonts w:ascii="宋体" w:hAnsi="宋体" w:cs="宋体" w:eastAsia="宋体" w:hint="default"/>
          <w:spacing w:val="-67"/>
          <w:sz w:val="24"/>
          <w:szCs w:val="24"/>
        </w:rPr>
        <w:t> </w:t>
      </w:r>
      <w:r>
        <w:rPr>
          <w:rFonts w:ascii="宋体" w:hAnsi="宋体" w:cs="宋体" w:eastAsia="宋体" w:hint="default"/>
          <w:sz w:val="24"/>
          <w:szCs w:val="24"/>
        </w:rPr>
        <w:t>ERP</w:t>
      </w:r>
      <w:r>
        <w:rPr>
          <w:rFonts w:ascii="宋体" w:hAnsi="宋体" w:cs="宋体" w:eastAsia="宋体" w:hint="default"/>
          <w:spacing w:val="-67"/>
          <w:sz w:val="24"/>
          <w:szCs w:val="24"/>
        </w:rPr>
        <w:t> </w:t>
      </w:r>
      <w:r>
        <w:rPr>
          <w:rFonts w:ascii="宋体" w:hAnsi="宋体" w:cs="宋体" w:eastAsia="宋体" w:hint="default"/>
          <w:sz w:val="24"/>
          <w:szCs w:val="24"/>
        </w:rPr>
        <w:t>市场第一桂冠；公司在中国财务管理软件市场的市场</w:t>
      </w:r>
      <w:r>
        <w:rPr>
          <w:rFonts w:ascii="宋体" w:hAnsi="宋体" w:cs="宋体" w:eastAsia="宋体" w:hint="default"/>
          <w:sz w:val="24"/>
          <w:szCs w:val="24"/>
        </w:rPr>
        <w:t> 占有率为</w:t>
      </w:r>
      <w:r>
        <w:rPr>
          <w:rFonts w:ascii="宋体" w:hAnsi="宋体" w:cs="宋体" w:eastAsia="宋体" w:hint="default"/>
          <w:spacing w:val="-47"/>
          <w:sz w:val="24"/>
          <w:szCs w:val="24"/>
        </w:rPr>
        <w:t> </w:t>
      </w:r>
      <w:r>
        <w:rPr>
          <w:rFonts w:ascii="宋体" w:hAnsi="宋体" w:cs="宋体" w:eastAsia="宋体" w:hint="default"/>
          <w:spacing w:val="-2"/>
          <w:sz w:val="24"/>
          <w:szCs w:val="24"/>
        </w:rPr>
        <w:t>27.5%，连续十九年保持中国市场占有率最高；公司在中国管理软件市场的市场</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占有率为</w:t>
      </w:r>
      <w:r>
        <w:rPr>
          <w:rFonts w:ascii="宋体" w:hAnsi="宋体" w:cs="宋体" w:eastAsia="宋体" w:hint="default"/>
          <w:spacing w:val="-47"/>
          <w:sz w:val="24"/>
          <w:szCs w:val="24"/>
        </w:rPr>
        <w:t> </w:t>
      </w:r>
      <w:r>
        <w:rPr>
          <w:rFonts w:ascii="宋体" w:hAnsi="宋体" w:cs="宋体" w:eastAsia="宋体" w:hint="default"/>
          <w:spacing w:val="-2"/>
          <w:sz w:val="24"/>
          <w:szCs w:val="24"/>
        </w:rPr>
        <w:t>22.2%，连续八年成为中国市场占有率最高的管理软件厂商。在中国管理软件和</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ERP 软件领域，2009 年用友软件市场份额均超过市场第二、第三位的总和。公司在中国 </w:t>
      </w:r>
      <w:r>
        <w:rPr>
          <w:rFonts w:ascii="宋体" w:hAnsi="宋体" w:cs="宋体" w:eastAsia="宋体" w:hint="default"/>
          <w:spacing w:val="-3"/>
          <w:sz w:val="24"/>
          <w:szCs w:val="24"/>
        </w:rPr>
        <w:t>CRM（客户关系管理）软件领域的市场占有率为</w:t>
      </w:r>
      <w:r>
        <w:rPr>
          <w:rFonts w:ascii="宋体" w:hAnsi="宋体" w:cs="宋体" w:eastAsia="宋体" w:hint="default"/>
          <w:spacing w:val="-52"/>
          <w:sz w:val="24"/>
          <w:szCs w:val="24"/>
        </w:rPr>
        <w:t> </w:t>
      </w:r>
      <w:r>
        <w:rPr>
          <w:rFonts w:ascii="宋体" w:hAnsi="宋体" w:cs="宋体" w:eastAsia="宋体" w:hint="default"/>
          <w:spacing w:val="-3"/>
          <w:sz w:val="24"/>
          <w:szCs w:val="24"/>
        </w:rPr>
        <w:t>17.7%，排名第一；公司在中国</w:t>
      </w:r>
      <w:r>
        <w:rPr>
          <w:rFonts w:ascii="宋体" w:hAnsi="宋体" w:cs="宋体" w:eastAsia="宋体" w:hint="default"/>
          <w:spacing w:val="-52"/>
          <w:sz w:val="24"/>
          <w:szCs w:val="24"/>
        </w:rPr>
        <w:t> </w:t>
      </w:r>
      <w:r>
        <w:rPr>
          <w:rFonts w:ascii="宋体" w:hAnsi="宋体" w:cs="宋体" w:eastAsia="宋体" w:hint="default"/>
          <w:spacing w:val="-4"/>
          <w:sz w:val="24"/>
          <w:szCs w:val="24"/>
        </w:rPr>
        <w:t>HRM（人力</w:t>
      </w:r>
      <w:r>
        <w:rPr>
          <w:rFonts w:ascii="宋体" w:hAnsi="宋体" w:cs="宋体" w:eastAsia="宋体" w:hint="default"/>
          <w:sz w:val="24"/>
          <w:szCs w:val="24"/>
        </w:rPr>
        <w:t> </w:t>
      </w:r>
      <w:r>
        <w:rPr>
          <w:rFonts w:ascii="宋体" w:hAnsi="宋体" w:cs="宋体" w:eastAsia="宋体" w:hint="default"/>
          <w:spacing w:val="-2"/>
          <w:sz w:val="24"/>
          <w:szCs w:val="24"/>
        </w:rPr>
        <w:t>资源管理）软件领域的市场占有率为</w:t>
      </w:r>
      <w:r>
        <w:rPr>
          <w:rFonts w:ascii="宋体" w:hAnsi="宋体" w:cs="宋体" w:eastAsia="宋体" w:hint="default"/>
          <w:spacing w:val="-42"/>
          <w:sz w:val="24"/>
          <w:szCs w:val="24"/>
        </w:rPr>
        <w:t> </w:t>
      </w:r>
      <w:r>
        <w:rPr>
          <w:rFonts w:ascii="宋体" w:hAnsi="宋体" w:cs="宋体" w:eastAsia="宋体" w:hint="default"/>
          <w:spacing w:val="-2"/>
          <w:sz w:val="24"/>
          <w:szCs w:val="24"/>
        </w:rPr>
        <w:t>19.1%，排名第一。公司控股子公司北京用友艾福斯</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z w:val="24"/>
          <w:szCs w:val="24"/>
        </w:rPr>
        <w:t>软件系统有限公司在</w:t>
      </w:r>
      <w:r>
        <w:rPr>
          <w:rFonts w:ascii="宋体" w:hAnsi="宋体" w:cs="宋体" w:eastAsia="宋体" w:hint="default"/>
          <w:spacing w:val="-60"/>
          <w:sz w:val="24"/>
          <w:szCs w:val="24"/>
        </w:rPr>
        <w:t> </w:t>
      </w:r>
      <w:r>
        <w:rPr>
          <w:rFonts w:ascii="宋体" w:hAnsi="宋体" w:cs="宋体" w:eastAsia="宋体" w:hint="default"/>
          <w:sz w:val="24"/>
          <w:szCs w:val="24"/>
        </w:rPr>
        <w:t>EAM（资产管理）软件市场占有率为</w:t>
      </w:r>
      <w:r>
        <w:rPr>
          <w:rFonts w:ascii="宋体" w:hAnsi="宋体" w:cs="宋体" w:eastAsia="宋体" w:hint="default"/>
          <w:spacing w:val="-60"/>
          <w:sz w:val="24"/>
          <w:szCs w:val="24"/>
        </w:rPr>
        <w:t> </w:t>
      </w:r>
      <w:r>
        <w:rPr>
          <w:rFonts w:ascii="宋体" w:hAnsi="宋体" w:cs="宋体" w:eastAsia="宋体" w:hint="default"/>
          <w:sz w:val="24"/>
          <w:szCs w:val="24"/>
        </w:rPr>
        <w:t>17.4%，连续五年保持</w:t>
      </w:r>
      <w:r>
        <w:rPr>
          <w:rFonts w:ascii="宋体" w:hAnsi="宋体" w:cs="宋体" w:eastAsia="宋体" w:hint="default"/>
          <w:spacing w:val="-60"/>
          <w:sz w:val="24"/>
          <w:szCs w:val="24"/>
        </w:rPr>
        <w:t> </w:t>
      </w:r>
      <w:r>
        <w:rPr>
          <w:rFonts w:ascii="宋体" w:hAnsi="宋体" w:cs="宋体" w:eastAsia="宋体" w:hint="default"/>
          <w:sz w:val="24"/>
          <w:szCs w:val="24"/>
        </w:rPr>
        <w:t>EAM</w:t>
      </w:r>
      <w:r>
        <w:rPr>
          <w:rFonts w:ascii="宋体" w:hAnsi="宋体" w:cs="宋体" w:eastAsia="宋体" w:hint="default"/>
          <w:spacing w:val="-60"/>
          <w:sz w:val="24"/>
          <w:szCs w:val="24"/>
        </w:rPr>
        <w:t> </w:t>
      </w:r>
      <w:r>
        <w:rPr>
          <w:rFonts w:ascii="宋体" w:hAnsi="宋体" w:cs="宋体" w:eastAsia="宋体" w:hint="default"/>
          <w:sz w:val="24"/>
          <w:szCs w:val="24"/>
        </w:rPr>
        <w:t>软件</w:t>
      </w:r>
      <w:r>
        <w:rPr>
          <w:rFonts w:ascii="宋体" w:hAnsi="宋体" w:cs="宋体" w:eastAsia="宋体" w:hint="default"/>
          <w:sz w:val="24"/>
          <w:szCs w:val="24"/>
        </w:rPr>
        <w:t> 市场占有率第一。</w:t>
      </w:r>
    </w:p>
    <w:p>
      <w:pPr>
        <w:spacing w:line="240" w:lineRule="auto" w:before="8"/>
        <w:rPr>
          <w:rFonts w:ascii="宋体" w:hAnsi="宋体" w:cs="宋体" w:eastAsia="宋体" w:hint="default"/>
          <w:sz w:val="8"/>
          <w:szCs w:val="8"/>
        </w:rPr>
      </w:pPr>
    </w:p>
    <w:p>
      <w:pPr>
        <w:spacing w:after="0" w:line="240" w:lineRule="auto"/>
        <w:rPr>
          <w:rFonts w:ascii="宋体" w:hAnsi="宋体" w:cs="宋体" w:eastAsia="宋体" w:hint="default"/>
          <w:sz w:val="8"/>
          <w:szCs w:val="8"/>
        </w:rPr>
        <w:sectPr>
          <w:pgSz w:w="11910" w:h="16840"/>
          <w:pgMar w:header="720" w:footer="727" w:top="1080" w:bottom="920" w:left="1220" w:right="1020"/>
        </w:sectPr>
      </w:pPr>
    </w:p>
    <w:p>
      <w:pPr>
        <w:spacing w:before="26"/>
        <w:ind w:left="611" w:right="-20" w:firstLine="0"/>
        <w:jc w:val="left"/>
        <w:rPr>
          <w:rFonts w:ascii="宋体" w:hAnsi="宋体" w:cs="宋体" w:eastAsia="宋体" w:hint="default"/>
          <w:sz w:val="24"/>
          <w:szCs w:val="24"/>
        </w:rPr>
      </w:pPr>
      <w:r>
        <w:rPr>
          <w:rFonts w:ascii="宋体" w:hAnsi="宋体" w:cs="宋体" w:eastAsia="宋体" w:hint="default"/>
          <w:sz w:val="24"/>
          <w:szCs w:val="24"/>
        </w:rPr>
        <w:t>5、主要供应商、客户情况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3"/>
        <w:rPr>
          <w:rFonts w:ascii="宋体" w:hAnsi="宋体" w:cs="宋体" w:eastAsia="宋体" w:hint="default"/>
          <w:sz w:val="15"/>
          <w:szCs w:val="15"/>
        </w:rPr>
      </w:pPr>
    </w:p>
    <w:p>
      <w:pPr>
        <w:spacing w:before="0"/>
        <w:ind w:left="611"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900" w:bottom="280" w:left="1220" w:right="1020"/>
          <w:cols w:num="2" w:equalWidth="0">
            <w:col w:w="3372" w:space="4561"/>
            <w:col w:w="1737"/>
          </w:cols>
        </w:sectPr>
      </w:pPr>
    </w:p>
    <w:p>
      <w:pPr>
        <w:spacing w:line="240" w:lineRule="auto" w:before="7"/>
        <w:rPr>
          <w:rFonts w:ascii="宋体" w:hAnsi="宋体" w:cs="宋体" w:eastAsia="宋体"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3040"/>
        <w:gridCol w:w="1770"/>
        <w:gridCol w:w="2200"/>
        <w:gridCol w:w="2321"/>
      </w:tblGrid>
      <w:tr>
        <w:trPr>
          <w:trHeight w:val="320" w:hRule="exact"/>
        </w:trPr>
        <w:tc>
          <w:tcPr>
            <w:tcW w:w="304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left="98" w:right="0"/>
              <w:jc w:val="left"/>
              <w:rPr>
                <w:rFonts w:ascii="宋体" w:hAnsi="宋体" w:cs="宋体" w:eastAsia="宋体" w:hint="default"/>
                <w:sz w:val="21"/>
                <w:szCs w:val="21"/>
              </w:rPr>
            </w:pPr>
            <w:r>
              <w:rPr>
                <w:rFonts w:ascii="宋体" w:hAnsi="宋体" w:cs="宋体" w:eastAsia="宋体" w:hint="default"/>
                <w:sz w:val="21"/>
                <w:szCs w:val="21"/>
              </w:rPr>
              <w:t>前五名供应商采购金额合计</w:t>
            </w:r>
          </w:p>
        </w:tc>
        <w:tc>
          <w:tcPr>
            <w:tcW w:w="177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5"/>
              <w:jc w:val="right"/>
              <w:rPr>
                <w:rFonts w:ascii="宋体" w:hAnsi="宋体" w:cs="宋体" w:eastAsia="宋体" w:hint="default"/>
                <w:sz w:val="21"/>
                <w:szCs w:val="21"/>
              </w:rPr>
            </w:pPr>
            <w:r>
              <w:rPr>
                <w:rFonts w:ascii="宋体"/>
                <w:sz w:val="21"/>
              </w:rPr>
              <w:t>26,175,988</w:t>
            </w:r>
          </w:p>
        </w:tc>
        <w:tc>
          <w:tcPr>
            <w:tcW w:w="2200" w:type="dxa"/>
            <w:tcBorders>
              <w:top w:val="single" w:sz="8" w:space="0" w:color="000000"/>
              <w:left w:val="single" w:sz="8" w:space="0" w:color="000000"/>
              <w:bottom w:val="single" w:sz="8" w:space="0" w:color="000000"/>
              <w:right w:val="single" w:sz="4" w:space="0" w:color="000000"/>
            </w:tcBorders>
          </w:tcPr>
          <w:p>
            <w:pPr>
              <w:pStyle w:val="TableParagraph"/>
              <w:spacing w:line="254" w:lineRule="exact"/>
              <w:ind w:left="99" w:right="0"/>
              <w:jc w:val="left"/>
              <w:rPr>
                <w:rFonts w:ascii="宋体" w:hAnsi="宋体" w:cs="宋体" w:eastAsia="宋体" w:hint="default"/>
                <w:sz w:val="21"/>
                <w:szCs w:val="21"/>
              </w:rPr>
            </w:pPr>
            <w:r>
              <w:rPr>
                <w:rFonts w:ascii="宋体" w:hAnsi="宋体" w:cs="宋体" w:eastAsia="宋体" w:hint="default"/>
                <w:sz w:val="21"/>
                <w:szCs w:val="21"/>
              </w:rPr>
              <w:t>占年度采购总额比重</w:t>
            </w:r>
          </w:p>
        </w:tc>
        <w:tc>
          <w:tcPr>
            <w:tcW w:w="2321" w:type="dxa"/>
            <w:tcBorders>
              <w:top w:val="single" w:sz="8" w:space="0" w:color="000000"/>
              <w:left w:val="single" w:sz="4" w:space="0" w:color="000000"/>
              <w:bottom w:val="single" w:sz="8" w:space="0" w:color="000000"/>
              <w:right w:val="single" w:sz="8" w:space="0" w:color="000000"/>
            </w:tcBorders>
          </w:tcPr>
          <w:p>
            <w:pPr>
              <w:pStyle w:val="TableParagraph"/>
              <w:spacing w:line="254" w:lineRule="exact"/>
              <w:ind w:right="97"/>
              <w:jc w:val="right"/>
              <w:rPr>
                <w:rFonts w:ascii="宋体" w:hAnsi="宋体" w:cs="宋体" w:eastAsia="宋体" w:hint="default"/>
                <w:sz w:val="21"/>
                <w:szCs w:val="21"/>
              </w:rPr>
            </w:pPr>
            <w:r>
              <w:rPr>
                <w:rFonts w:ascii="宋体"/>
                <w:sz w:val="21"/>
              </w:rPr>
              <w:t>12.18%</w:t>
            </w:r>
          </w:p>
        </w:tc>
      </w:tr>
      <w:tr>
        <w:trPr>
          <w:trHeight w:val="320" w:hRule="exact"/>
        </w:trPr>
        <w:tc>
          <w:tcPr>
            <w:tcW w:w="304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left="98" w:right="0"/>
              <w:jc w:val="left"/>
              <w:rPr>
                <w:rFonts w:ascii="宋体" w:hAnsi="宋体" w:cs="宋体" w:eastAsia="宋体" w:hint="default"/>
                <w:sz w:val="21"/>
                <w:szCs w:val="21"/>
              </w:rPr>
            </w:pPr>
            <w:r>
              <w:rPr>
                <w:rFonts w:ascii="宋体" w:hAnsi="宋体" w:cs="宋体" w:eastAsia="宋体" w:hint="default"/>
                <w:sz w:val="21"/>
                <w:szCs w:val="21"/>
              </w:rPr>
              <w:t>前五名销售客户销售金额合计</w:t>
            </w:r>
          </w:p>
        </w:tc>
        <w:tc>
          <w:tcPr>
            <w:tcW w:w="1770"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right="95"/>
              <w:jc w:val="right"/>
              <w:rPr>
                <w:rFonts w:ascii="宋体" w:hAnsi="宋体" w:cs="宋体" w:eastAsia="宋体" w:hint="default"/>
                <w:sz w:val="21"/>
                <w:szCs w:val="21"/>
              </w:rPr>
            </w:pPr>
            <w:r>
              <w:rPr>
                <w:rFonts w:ascii="宋体"/>
                <w:sz w:val="21"/>
              </w:rPr>
              <w:t>73,984,567</w:t>
            </w:r>
          </w:p>
        </w:tc>
        <w:tc>
          <w:tcPr>
            <w:tcW w:w="2200" w:type="dxa"/>
            <w:tcBorders>
              <w:top w:val="single" w:sz="8" w:space="0" w:color="000000"/>
              <w:left w:val="single" w:sz="8" w:space="0" w:color="000000"/>
              <w:bottom w:val="single" w:sz="8" w:space="0" w:color="000000"/>
              <w:right w:val="single" w:sz="4" w:space="0" w:color="000000"/>
            </w:tcBorders>
          </w:tcPr>
          <w:p>
            <w:pPr>
              <w:pStyle w:val="TableParagraph"/>
              <w:spacing w:line="254" w:lineRule="exact"/>
              <w:ind w:left="98" w:right="0"/>
              <w:jc w:val="left"/>
              <w:rPr>
                <w:rFonts w:ascii="宋体" w:hAnsi="宋体" w:cs="宋体" w:eastAsia="宋体" w:hint="default"/>
                <w:sz w:val="21"/>
                <w:szCs w:val="21"/>
              </w:rPr>
            </w:pPr>
            <w:r>
              <w:rPr>
                <w:rFonts w:ascii="宋体" w:hAnsi="宋体" w:cs="宋体" w:eastAsia="宋体" w:hint="default"/>
                <w:sz w:val="21"/>
                <w:szCs w:val="21"/>
              </w:rPr>
              <w:t>占年度销售总额比重</w:t>
            </w:r>
          </w:p>
        </w:tc>
        <w:tc>
          <w:tcPr>
            <w:tcW w:w="2321" w:type="dxa"/>
            <w:tcBorders>
              <w:top w:val="single" w:sz="8" w:space="0" w:color="000000"/>
              <w:left w:val="single" w:sz="4" w:space="0" w:color="000000"/>
              <w:bottom w:val="single" w:sz="4" w:space="0" w:color="000000"/>
              <w:right w:val="single" w:sz="8" w:space="0" w:color="000000"/>
            </w:tcBorders>
          </w:tcPr>
          <w:p>
            <w:pPr>
              <w:pStyle w:val="TableParagraph"/>
              <w:spacing w:line="254" w:lineRule="exact"/>
              <w:ind w:right="97"/>
              <w:jc w:val="right"/>
              <w:rPr>
                <w:rFonts w:ascii="宋体" w:hAnsi="宋体" w:cs="宋体" w:eastAsia="宋体" w:hint="default"/>
                <w:sz w:val="21"/>
                <w:szCs w:val="21"/>
              </w:rPr>
            </w:pPr>
            <w:r>
              <w:rPr>
                <w:rFonts w:ascii="宋体"/>
                <w:sz w:val="21"/>
              </w:rPr>
              <w:t>3.16%</w:t>
            </w:r>
          </w:p>
        </w:tc>
      </w:tr>
    </w:tbl>
    <w:p>
      <w:pPr>
        <w:spacing w:line="240" w:lineRule="auto" w:before="0"/>
        <w:rPr>
          <w:rFonts w:ascii="宋体" w:hAnsi="宋体" w:cs="宋体" w:eastAsia="宋体" w:hint="default"/>
          <w:sz w:val="25"/>
          <w:szCs w:val="25"/>
        </w:rPr>
      </w:pPr>
    </w:p>
    <w:p>
      <w:pPr>
        <w:spacing w:line="388" w:lineRule="auto" w:before="26"/>
        <w:ind w:left="620" w:right="1704" w:firstLine="0"/>
        <w:jc w:val="left"/>
        <w:rPr>
          <w:rFonts w:ascii="宋体" w:hAnsi="宋体" w:cs="宋体" w:eastAsia="宋体" w:hint="default"/>
          <w:sz w:val="24"/>
          <w:szCs w:val="24"/>
        </w:rPr>
      </w:pPr>
      <w:r>
        <w:rPr>
          <w:rFonts w:ascii="宋体" w:hAnsi="宋体" w:cs="宋体" w:eastAsia="宋体" w:hint="default"/>
          <w:sz w:val="24"/>
          <w:szCs w:val="24"/>
        </w:rPr>
        <w:t>6、报告期内，公司资产构成及主要会计数据同比发生重大变动的说明 报告期内资产构成的重大变动项目及原因如下：</w:t>
      </w:r>
    </w:p>
    <w:p>
      <w:pPr>
        <w:spacing w:before="49"/>
        <w:ind w:left="0" w:right="279" w:firstLine="0"/>
        <w:jc w:val="right"/>
        <w:rPr>
          <w:rFonts w:ascii="宋体" w:hAnsi="宋体" w:cs="宋体" w:eastAsia="宋体" w:hint="default"/>
          <w:sz w:val="21"/>
          <w:szCs w:val="21"/>
        </w:rPr>
      </w:pPr>
      <w:r>
        <w:rPr>
          <w:rFonts w:ascii="宋体" w:hAnsi="宋体" w:cs="宋体" w:eastAsia="宋体" w:hint="default"/>
          <w:sz w:val="21"/>
          <w:szCs w:val="21"/>
        </w:rPr>
        <w:t>单位：元</w:t>
      </w:r>
    </w:p>
    <w:p>
      <w:pPr>
        <w:spacing w:line="240" w:lineRule="auto" w:before="7"/>
        <w:rPr>
          <w:rFonts w:ascii="宋体" w:hAnsi="宋体" w:cs="宋体" w:eastAsia="宋体" w:hint="default"/>
          <w:sz w:val="2"/>
          <w:szCs w:val="2"/>
        </w:rPr>
      </w:pPr>
    </w:p>
    <w:tbl>
      <w:tblPr>
        <w:tblW w:w="0" w:type="auto"/>
        <w:jc w:val="left"/>
        <w:tblInd w:w="121" w:type="dxa"/>
        <w:tblLayout w:type="fixed"/>
        <w:tblCellMar>
          <w:top w:w="0" w:type="dxa"/>
          <w:left w:w="0" w:type="dxa"/>
          <w:bottom w:w="0" w:type="dxa"/>
          <w:right w:w="0" w:type="dxa"/>
        </w:tblCellMar>
        <w:tblLook w:val="01E0"/>
      </w:tblPr>
      <w:tblGrid>
        <w:gridCol w:w="1609"/>
        <w:gridCol w:w="1400"/>
        <w:gridCol w:w="1400"/>
        <w:gridCol w:w="1000"/>
        <w:gridCol w:w="4000"/>
      </w:tblGrid>
      <w:tr>
        <w:trPr>
          <w:trHeight w:val="248" w:hRule="exact"/>
        </w:trPr>
        <w:tc>
          <w:tcPr>
            <w:tcW w:w="1609" w:type="dxa"/>
            <w:tcBorders>
              <w:top w:val="single" w:sz="8" w:space="0" w:color="000000"/>
              <w:left w:val="single" w:sz="8" w:space="0" w:color="000000"/>
              <w:bottom w:val="single" w:sz="4" w:space="0" w:color="000000"/>
              <w:right w:val="single" w:sz="4" w:space="0" w:color="000000"/>
            </w:tcBorders>
          </w:tcPr>
          <w:p>
            <w:pPr>
              <w:pStyle w:val="TableParagraph"/>
              <w:spacing w:line="207" w:lineRule="exact"/>
              <w:ind w:left="165" w:right="0"/>
              <w:jc w:val="left"/>
              <w:rPr>
                <w:rFonts w:ascii="宋体" w:hAnsi="宋体" w:cs="宋体" w:eastAsia="宋体" w:hint="default"/>
                <w:sz w:val="18"/>
                <w:szCs w:val="18"/>
              </w:rPr>
            </w:pPr>
            <w:r>
              <w:rPr>
                <w:rFonts w:ascii="宋体" w:hAnsi="宋体" w:cs="宋体" w:eastAsia="宋体" w:hint="default"/>
                <w:sz w:val="18"/>
                <w:szCs w:val="18"/>
              </w:rPr>
              <w:t>资产负债表项目</w:t>
            </w:r>
          </w:p>
        </w:tc>
        <w:tc>
          <w:tcPr>
            <w:tcW w:w="1400" w:type="dxa"/>
            <w:tcBorders>
              <w:top w:val="single" w:sz="8" w:space="0" w:color="000000"/>
              <w:left w:val="single" w:sz="4" w:space="0" w:color="000000"/>
              <w:bottom w:val="single" w:sz="4" w:space="0" w:color="000000"/>
              <w:right w:val="single" w:sz="4" w:space="0" w:color="000000"/>
            </w:tcBorders>
          </w:tcPr>
          <w:p>
            <w:pPr>
              <w:pStyle w:val="TableParagraph"/>
              <w:spacing w:line="207" w:lineRule="exact"/>
              <w:ind w:left="33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400" w:type="dxa"/>
            <w:tcBorders>
              <w:top w:val="single" w:sz="8" w:space="0" w:color="000000"/>
              <w:left w:val="single" w:sz="4" w:space="0" w:color="000000"/>
              <w:bottom w:val="single" w:sz="4" w:space="0" w:color="000000"/>
              <w:right w:val="single" w:sz="4" w:space="0" w:color="000000"/>
            </w:tcBorders>
          </w:tcPr>
          <w:p>
            <w:pPr>
              <w:pStyle w:val="TableParagraph"/>
              <w:spacing w:line="207" w:lineRule="exact"/>
              <w:ind w:left="3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000" w:type="dxa"/>
            <w:tcBorders>
              <w:top w:val="single" w:sz="8" w:space="0" w:color="000000"/>
              <w:left w:val="single" w:sz="4" w:space="0" w:color="000000"/>
              <w:bottom w:val="single" w:sz="4" w:space="0" w:color="000000"/>
              <w:right w:val="single" w:sz="4" w:space="0" w:color="000000"/>
            </w:tcBorders>
          </w:tcPr>
          <w:p>
            <w:pPr>
              <w:pStyle w:val="TableParagraph"/>
              <w:spacing w:line="207" w:lineRule="exact"/>
              <w:ind w:right="133"/>
              <w:jc w:val="right"/>
              <w:rPr>
                <w:rFonts w:ascii="宋体" w:hAnsi="宋体" w:cs="宋体" w:eastAsia="宋体" w:hint="default"/>
                <w:sz w:val="18"/>
                <w:szCs w:val="18"/>
              </w:rPr>
            </w:pPr>
            <w:r>
              <w:rPr>
                <w:rFonts w:ascii="宋体" w:hAnsi="宋体" w:cs="宋体" w:eastAsia="宋体" w:hint="default"/>
                <w:sz w:val="18"/>
                <w:szCs w:val="18"/>
              </w:rPr>
              <w:t>增减幅度</w:t>
            </w:r>
          </w:p>
        </w:tc>
        <w:tc>
          <w:tcPr>
            <w:tcW w:w="4000" w:type="dxa"/>
            <w:tcBorders>
              <w:top w:val="single" w:sz="8" w:space="0" w:color="000000"/>
              <w:left w:val="single" w:sz="4" w:space="0" w:color="000000"/>
              <w:bottom w:val="single" w:sz="4" w:space="0" w:color="000000"/>
              <w:right w:val="single" w:sz="8" w:space="0" w:color="000000"/>
            </w:tcBorders>
          </w:tcPr>
          <w:p>
            <w:pPr>
              <w:pStyle w:val="TableParagraph"/>
              <w:spacing w:line="207" w:lineRule="exact"/>
              <w:ind w:left="3" w:right="0"/>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1177" w:hRule="exact"/>
        </w:trPr>
        <w:tc>
          <w:tcPr>
            <w:tcW w:w="160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1,625,137,464</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1,085,138,211</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50%</w:t>
            </w:r>
          </w:p>
        </w:tc>
        <w:tc>
          <w:tcPr>
            <w:tcW w:w="4000"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主要是公司本年度经营活动产生的现金流量净额</w:t>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共计人民币</w:t>
            </w:r>
            <w:r>
              <w:rPr>
                <w:rFonts w:ascii="宋体" w:hAnsi="宋体" w:cs="宋体" w:eastAsia="宋体" w:hint="default"/>
                <w:spacing w:val="-44"/>
                <w:sz w:val="18"/>
                <w:szCs w:val="18"/>
              </w:rPr>
              <w:t> </w:t>
            </w:r>
            <w:r>
              <w:rPr>
                <w:rFonts w:ascii="宋体" w:hAnsi="宋体" w:cs="宋体" w:eastAsia="宋体" w:hint="default"/>
                <w:sz w:val="18"/>
                <w:szCs w:val="18"/>
              </w:rPr>
              <w:t>399,957,719</w:t>
            </w:r>
            <w:r>
              <w:rPr>
                <w:rFonts w:ascii="宋体" w:hAnsi="宋体" w:cs="宋体" w:eastAsia="宋体" w:hint="default"/>
                <w:spacing w:val="-44"/>
                <w:sz w:val="18"/>
                <w:szCs w:val="18"/>
              </w:rPr>
              <w:t> </w:t>
            </w:r>
            <w:r>
              <w:rPr>
                <w:rFonts w:ascii="宋体" w:hAnsi="宋体" w:cs="宋体" w:eastAsia="宋体" w:hint="default"/>
                <w:sz w:val="18"/>
                <w:szCs w:val="18"/>
              </w:rPr>
              <w:t>元，投资活动产生的现</w:t>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金流量净额共计人民币</w:t>
            </w:r>
            <w:r>
              <w:rPr>
                <w:rFonts w:ascii="宋体" w:hAnsi="宋体" w:cs="宋体" w:eastAsia="宋体" w:hint="default"/>
                <w:spacing w:val="-44"/>
                <w:sz w:val="18"/>
                <w:szCs w:val="18"/>
              </w:rPr>
              <w:t> </w:t>
            </w:r>
            <w:r>
              <w:rPr>
                <w:rFonts w:ascii="宋体" w:hAnsi="宋体" w:cs="宋体" w:eastAsia="宋体" w:hint="default"/>
                <w:sz w:val="18"/>
                <w:szCs w:val="18"/>
              </w:rPr>
              <w:t>8,344,495</w:t>
            </w:r>
            <w:r>
              <w:rPr>
                <w:rFonts w:ascii="宋体" w:hAnsi="宋体" w:cs="宋体" w:eastAsia="宋体" w:hint="default"/>
                <w:spacing w:val="-44"/>
                <w:sz w:val="18"/>
                <w:szCs w:val="18"/>
              </w:rPr>
              <w:t> </w:t>
            </w:r>
            <w:r>
              <w:rPr>
                <w:rFonts w:ascii="宋体" w:hAnsi="宋体" w:cs="宋体" w:eastAsia="宋体" w:hint="default"/>
                <w:sz w:val="18"/>
                <w:szCs w:val="18"/>
              </w:rPr>
              <w:t>元以及筹资活</w:t>
            </w:r>
          </w:p>
          <w:p>
            <w:pPr>
              <w:pStyle w:val="TableParagraph"/>
              <w:spacing w:line="240" w:lineRule="auto"/>
              <w:ind w:left="103" w:right="96"/>
              <w:jc w:val="left"/>
              <w:rPr>
                <w:rFonts w:ascii="宋体" w:hAnsi="宋体" w:cs="宋体" w:eastAsia="宋体" w:hint="default"/>
                <w:sz w:val="18"/>
                <w:szCs w:val="18"/>
              </w:rPr>
            </w:pPr>
            <w:r>
              <w:rPr>
                <w:rFonts w:ascii="宋体" w:hAnsi="宋体" w:cs="宋体" w:eastAsia="宋体" w:hint="default"/>
                <w:sz w:val="18"/>
                <w:szCs w:val="18"/>
              </w:rPr>
              <w:t>动产生的现金流量净额共计人民币</w:t>
            </w:r>
            <w:r>
              <w:rPr>
                <w:rFonts w:ascii="宋体" w:hAnsi="宋体" w:cs="宋体" w:eastAsia="宋体" w:hint="default"/>
                <w:spacing w:val="2"/>
                <w:sz w:val="18"/>
                <w:szCs w:val="18"/>
              </w:rPr>
              <w:t> </w:t>
            </w:r>
            <w:r>
              <w:rPr>
                <w:rFonts w:ascii="宋体" w:hAnsi="宋体" w:cs="宋体" w:eastAsia="宋体" w:hint="default"/>
                <w:sz w:val="18"/>
                <w:szCs w:val="18"/>
              </w:rPr>
              <w:t>130,341,092</w:t>
            </w:r>
            <w:r>
              <w:rPr>
                <w:rFonts w:ascii="宋体" w:hAnsi="宋体" w:cs="宋体" w:eastAsia="宋体" w:hint="default"/>
                <w:sz w:val="18"/>
                <w:szCs w:val="18"/>
              </w:rPr>
              <w:t> 元的净影响所致。</w:t>
            </w:r>
          </w:p>
        </w:tc>
      </w:tr>
      <w:tr>
        <w:trPr>
          <w:trHeight w:val="478" w:hRule="exact"/>
        </w:trPr>
        <w:tc>
          <w:tcPr>
            <w:tcW w:w="160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6"/>
              <w:ind w:left="98"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60,503,942</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-100%</w:t>
            </w:r>
          </w:p>
        </w:tc>
        <w:tc>
          <w:tcPr>
            <w:tcW w:w="4000" w:type="dxa"/>
            <w:tcBorders>
              <w:top w:val="single" w:sz="4" w:space="0" w:color="000000"/>
              <w:left w:val="single" w:sz="4" w:space="0" w:color="000000"/>
              <w:bottom w:val="single" w:sz="4" w:space="0" w:color="000000"/>
              <w:right w:val="single" w:sz="8"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主要是由于报告期内将持有的交易性金融资产全</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部卖出所致。</w:t>
            </w:r>
          </w:p>
        </w:tc>
      </w:tr>
      <w:tr>
        <w:trPr>
          <w:trHeight w:val="478" w:hRule="exact"/>
        </w:trPr>
        <w:tc>
          <w:tcPr>
            <w:tcW w:w="160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6"/>
              <w:ind w:left="98"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22,756,000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2,353,314</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867%</w:t>
            </w:r>
          </w:p>
        </w:tc>
        <w:tc>
          <w:tcPr>
            <w:tcW w:w="4000" w:type="dxa"/>
            <w:tcBorders>
              <w:top w:val="single" w:sz="4" w:space="0" w:color="000000"/>
              <w:left w:val="single" w:sz="4" w:space="0" w:color="000000"/>
              <w:bottom w:val="single" w:sz="4" w:space="0" w:color="000000"/>
              <w:right w:val="single" w:sz="8"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主要是由于应收票据</w:t>
            </w:r>
            <w:r>
              <w:rPr>
                <w:rFonts w:ascii="宋体" w:hAnsi="宋体" w:cs="宋体" w:eastAsia="宋体" w:hint="default"/>
                <w:spacing w:val="-60"/>
                <w:sz w:val="18"/>
                <w:szCs w:val="18"/>
              </w:rPr>
              <w:t> </w:t>
            </w:r>
            <w:r>
              <w:rPr>
                <w:rFonts w:ascii="宋体" w:hAnsi="宋体" w:cs="宋体" w:eastAsia="宋体" w:hint="default"/>
                <w:sz w:val="18"/>
                <w:szCs w:val="18"/>
              </w:rPr>
              <w:t>2009</w:t>
            </w:r>
            <w:r>
              <w:rPr>
                <w:rFonts w:ascii="宋体" w:hAnsi="宋体" w:cs="宋体" w:eastAsia="宋体" w:hint="default"/>
                <w:spacing w:val="-60"/>
                <w:sz w:val="18"/>
                <w:szCs w:val="18"/>
              </w:rPr>
              <w:t> </w:t>
            </w:r>
            <w:r>
              <w:rPr>
                <w:rFonts w:ascii="宋体" w:hAnsi="宋体" w:cs="宋体" w:eastAsia="宋体" w:hint="default"/>
                <w:sz w:val="18"/>
                <w:szCs w:val="18"/>
              </w:rPr>
              <w:t>年</w:t>
            </w:r>
            <w:r>
              <w:rPr>
                <w:rFonts w:ascii="宋体" w:hAnsi="宋体" w:cs="宋体" w:eastAsia="宋体" w:hint="default"/>
                <w:spacing w:val="-61"/>
                <w:sz w:val="18"/>
                <w:szCs w:val="18"/>
              </w:rPr>
              <w:t> </w:t>
            </w:r>
            <w:r>
              <w:rPr>
                <w:rFonts w:ascii="宋体" w:hAnsi="宋体" w:cs="宋体" w:eastAsia="宋体" w:hint="default"/>
                <w:sz w:val="18"/>
                <w:szCs w:val="18"/>
              </w:rPr>
              <w:t>12</w:t>
            </w:r>
            <w:r>
              <w:rPr>
                <w:rFonts w:ascii="宋体" w:hAnsi="宋体" w:cs="宋体" w:eastAsia="宋体" w:hint="default"/>
                <w:spacing w:val="-60"/>
                <w:sz w:val="18"/>
                <w:szCs w:val="18"/>
              </w:rPr>
              <w:t>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宋体" w:hAnsi="宋体" w:cs="宋体" w:eastAsia="宋体" w:hint="default"/>
                <w:sz w:val="18"/>
                <w:szCs w:val="18"/>
              </w:rPr>
              <w:t>31</w:t>
            </w:r>
            <w:r>
              <w:rPr>
                <w:rFonts w:ascii="宋体" w:hAnsi="宋体" w:cs="宋体" w:eastAsia="宋体" w:hint="default"/>
                <w:spacing w:val="-60"/>
                <w:sz w:val="18"/>
                <w:szCs w:val="18"/>
              </w:rPr>
              <w:t> </w:t>
            </w:r>
            <w:r>
              <w:rPr>
                <w:rFonts w:ascii="宋体" w:hAnsi="宋体" w:cs="宋体" w:eastAsia="宋体" w:hint="default"/>
                <w:sz w:val="18"/>
                <w:szCs w:val="18"/>
              </w:rPr>
              <w:t>日余额于本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年底尚未到期所致。</w:t>
            </w:r>
          </w:p>
        </w:tc>
      </w:tr>
    </w:tbl>
    <w:p>
      <w:pPr>
        <w:spacing w:after="0" w:line="234" w:lineRule="exact"/>
        <w:jc w:val="left"/>
        <w:rPr>
          <w:rFonts w:ascii="宋体" w:hAnsi="宋体" w:cs="宋体" w:eastAsia="宋体" w:hint="default"/>
          <w:sz w:val="18"/>
          <w:szCs w:val="18"/>
        </w:rPr>
        <w:sectPr>
          <w:type w:val="continuous"/>
          <w:pgSz w:w="11910" w:h="16840"/>
          <w:pgMar w:top="900" w:bottom="280" w:left="1220" w:right="1020"/>
        </w:sectPr>
      </w:pPr>
    </w:p>
    <w:p>
      <w:pPr>
        <w:spacing w:line="240" w:lineRule="auto" w:before="2"/>
        <w:rPr>
          <w:rFonts w:ascii="宋体" w:hAnsi="宋体" w:cs="宋体" w:eastAsia="宋体" w:hint="default"/>
          <w:sz w:val="26"/>
          <w:szCs w:val="26"/>
        </w:rPr>
      </w:pPr>
    </w:p>
    <w:tbl>
      <w:tblPr>
        <w:tblW w:w="0" w:type="auto"/>
        <w:jc w:val="left"/>
        <w:tblInd w:w="121" w:type="dxa"/>
        <w:tblLayout w:type="fixed"/>
        <w:tblCellMar>
          <w:top w:w="0" w:type="dxa"/>
          <w:left w:w="0" w:type="dxa"/>
          <w:bottom w:w="0" w:type="dxa"/>
          <w:right w:w="0" w:type="dxa"/>
        </w:tblCellMar>
        <w:tblLook w:val="01E0"/>
      </w:tblPr>
      <w:tblGrid>
        <w:gridCol w:w="1609"/>
        <w:gridCol w:w="1400"/>
        <w:gridCol w:w="1400"/>
        <w:gridCol w:w="1000"/>
        <w:gridCol w:w="4000"/>
      </w:tblGrid>
      <w:tr>
        <w:trPr>
          <w:trHeight w:val="472" w:hRule="exact"/>
        </w:trPr>
        <w:tc>
          <w:tcPr>
            <w:tcW w:w="1609" w:type="dxa"/>
            <w:tcBorders>
              <w:top w:val="nil" w:sz="6" w:space="0" w:color="auto"/>
              <w:left w:val="single" w:sz="8" w:space="0" w:color="000000"/>
              <w:bottom w:val="single" w:sz="4" w:space="0" w:color="000000"/>
              <w:right w:val="single" w:sz="4" w:space="0" w:color="000000"/>
            </w:tcBorders>
          </w:tcPr>
          <w:p>
            <w:pPr>
              <w:pStyle w:val="TableParagraph"/>
              <w:spacing w:line="240" w:lineRule="auto" w:before="86"/>
              <w:ind w:left="98"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4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510,883,978</w:t>
            </w:r>
          </w:p>
        </w:tc>
        <w:tc>
          <w:tcPr>
            <w:tcW w:w="14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278,343,391</w:t>
            </w:r>
          </w:p>
        </w:tc>
        <w:tc>
          <w:tcPr>
            <w:tcW w:w="10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84%</w:t>
            </w:r>
          </w:p>
        </w:tc>
        <w:tc>
          <w:tcPr>
            <w:tcW w:w="4000" w:type="dxa"/>
            <w:tcBorders>
              <w:top w:val="nil" w:sz="6" w:space="0" w:color="auto"/>
              <w:left w:val="single" w:sz="4" w:space="0" w:color="000000"/>
              <w:bottom w:val="single" w:sz="4" w:space="0" w:color="000000"/>
              <w:right w:val="single" w:sz="8"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9"/>
                <w:sz w:val="18"/>
                <w:szCs w:val="18"/>
              </w:rPr>
              <w:t>主要是由于本年收入增加及大项目日益增多所</w:t>
            </w:r>
            <w:r>
              <w:rPr>
                <w:rFonts w:ascii="宋体" w:hAnsi="宋体" w:cs="宋体" w:eastAsia="宋体" w:hint="default"/>
                <w:sz w:val="18"/>
                <w:szCs w:val="18"/>
              </w:rPr>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致。</w:t>
            </w:r>
          </w:p>
        </w:tc>
      </w:tr>
      <w:tr>
        <w:trPr>
          <w:trHeight w:val="1644" w:hRule="exact"/>
        </w:trPr>
        <w:tc>
          <w:tcPr>
            <w:tcW w:w="160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39,071,261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83,874,210</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-53%</w:t>
            </w:r>
          </w:p>
        </w:tc>
        <w:tc>
          <w:tcPr>
            <w:tcW w:w="4000" w:type="dxa"/>
            <w:tcBorders>
              <w:top w:val="single" w:sz="4" w:space="0" w:color="000000"/>
              <w:left w:val="single" w:sz="4" w:space="0" w:color="000000"/>
              <w:bottom w:val="single" w:sz="4" w:space="0" w:color="000000"/>
              <w:right w:val="single" w:sz="8"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主要由于公司出售用友大厦于 2008</w:t>
            </w:r>
            <w:r>
              <w:rPr>
                <w:rFonts w:ascii="宋体" w:hAnsi="宋体" w:cs="宋体" w:eastAsia="宋体" w:hint="default"/>
                <w:spacing w:val="3"/>
                <w:sz w:val="18"/>
                <w:szCs w:val="18"/>
              </w:rPr>
              <w:t> </w:t>
            </w:r>
            <w:r>
              <w:rPr>
                <w:rFonts w:ascii="宋体" w:hAnsi="宋体" w:cs="宋体" w:eastAsia="宋体" w:hint="default"/>
                <w:sz w:val="18"/>
                <w:szCs w:val="18"/>
              </w:rPr>
              <w:t>年末尚未收</w:t>
            </w:r>
          </w:p>
          <w:p>
            <w:pPr>
              <w:pStyle w:val="TableParagraph"/>
              <w:spacing w:line="237" w:lineRule="auto" w:before="1"/>
              <w:ind w:left="103" w:right="95"/>
              <w:jc w:val="both"/>
              <w:rPr>
                <w:rFonts w:ascii="宋体" w:hAnsi="宋体" w:cs="宋体" w:eastAsia="宋体" w:hint="default"/>
                <w:sz w:val="18"/>
                <w:szCs w:val="18"/>
              </w:rPr>
            </w:pPr>
            <w:r>
              <w:rPr>
                <w:rFonts w:ascii="宋体" w:hAnsi="宋体" w:cs="宋体" w:eastAsia="宋体" w:hint="default"/>
                <w:sz w:val="18"/>
                <w:szCs w:val="18"/>
              </w:rPr>
              <w:t>到的款项人民币</w:t>
            </w:r>
            <w:r>
              <w:rPr>
                <w:rFonts w:ascii="宋体" w:hAnsi="宋体" w:cs="宋体" w:eastAsia="宋体" w:hint="default"/>
                <w:spacing w:val="-45"/>
                <w:sz w:val="18"/>
                <w:szCs w:val="18"/>
              </w:rPr>
              <w:t> </w:t>
            </w:r>
            <w:r>
              <w:rPr>
                <w:rFonts w:ascii="宋体" w:hAnsi="宋体" w:cs="宋体" w:eastAsia="宋体" w:hint="default"/>
                <w:sz w:val="18"/>
                <w:szCs w:val="18"/>
              </w:rPr>
              <w:t>22,560,000</w:t>
            </w:r>
            <w:r>
              <w:rPr>
                <w:rFonts w:ascii="宋体" w:hAnsi="宋体" w:cs="宋体" w:eastAsia="宋体" w:hint="default"/>
                <w:spacing w:val="-44"/>
                <w:sz w:val="18"/>
                <w:szCs w:val="18"/>
              </w:rPr>
              <w:t> </w:t>
            </w:r>
            <w:r>
              <w:rPr>
                <w:rFonts w:ascii="宋体" w:hAnsi="宋体" w:cs="宋体" w:eastAsia="宋体" w:hint="default"/>
                <w:sz w:val="18"/>
                <w:szCs w:val="18"/>
              </w:rPr>
              <w:t>元已于</w:t>
            </w:r>
            <w:r>
              <w:rPr>
                <w:rFonts w:ascii="宋体" w:hAnsi="宋体" w:cs="宋体" w:eastAsia="宋体" w:hint="default"/>
                <w:spacing w:val="-45"/>
                <w:sz w:val="18"/>
                <w:szCs w:val="18"/>
              </w:rPr>
              <w:t> </w:t>
            </w:r>
            <w:r>
              <w:rPr>
                <w:rFonts w:ascii="宋体" w:hAnsi="宋体" w:cs="宋体" w:eastAsia="宋体" w:hint="default"/>
                <w:sz w:val="18"/>
                <w:szCs w:val="18"/>
              </w:rPr>
              <w:t>2009</w:t>
            </w:r>
            <w:r>
              <w:rPr>
                <w:rFonts w:ascii="宋体" w:hAnsi="宋体" w:cs="宋体" w:eastAsia="宋体" w:hint="default"/>
                <w:spacing w:val="-45"/>
                <w:sz w:val="18"/>
                <w:szCs w:val="18"/>
              </w:rPr>
              <w:t> </w:t>
            </w:r>
            <w:r>
              <w:rPr>
                <w:rFonts w:ascii="宋体" w:hAnsi="宋体" w:cs="宋体" w:eastAsia="宋体" w:hint="default"/>
                <w:sz w:val="18"/>
                <w:szCs w:val="18"/>
              </w:rPr>
              <w:t>年在所</w:t>
            </w:r>
            <w:r>
              <w:rPr>
                <w:rFonts w:ascii="宋体" w:hAnsi="宋体" w:cs="宋体" w:eastAsia="宋体" w:hint="default"/>
                <w:sz w:val="18"/>
                <w:szCs w:val="18"/>
              </w:rPr>
              <w:t> 有权转移手续完成后收回；应收邵凯股权转让款</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人民币</w:t>
            </w:r>
            <w:r>
              <w:rPr>
                <w:rFonts w:ascii="宋体" w:hAnsi="宋体" w:cs="宋体" w:eastAsia="宋体" w:hint="default"/>
                <w:spacing w:val="-45"/>
                <w:sz w:val="18"/>
                <w:szCs w:val="18"/>
              </w:rPr>
              <w:t> </w:t>
            </w:r>
            <w:r>
              <w:rPr>
                <w:rFonts w:ascii="宋体" w:hAnsi="宋体" w:cs="宋体" w:eastAsia="宋体" w:hint="default"/>
                <w:sz w:val="18"/>
                <w:szCs w:val="18"/>
              </w:rPr>
              <w:t>10,000,000</w:t>
            </w:r>
            <w:r>
              <w:rPr>
                <w:rFonts w:ascii="宋体" w:hAnsi="宋体" w:cs="宋体" w:eastAsia="宋体" w:hint="default"/>
                <w:spacing w:val="-45"/>
                <w:sz w:val="18"/>
                <w:szCs w:val="18"/>
              </w:rPr>
              <w:t> </w:t>
            </w:r>
            <w:r>
              <w:rPr>
                <w:rFonts w:ascii="宋体" w:hAnsi="宋体" w:cs="宋体" w:eastAsia="宋体" w:hint="default"/>
                <w:sz w:val="18"/>
                <w:szCs w:val="18"/>
              </w:rPr>
              <w:t>元已于</w:t>
            </w:r>
            <w:r>
              <w:rPr>
                <w:rFonts w:ascii="宋体" w:hAnsi="宋体" w:cs="宋体" w:eastAsia="宋体" w:hint="default"/>
                <w:spacing w:val="-45"/>
                <w:sz w:val="18"/>
                <w:szCs w:val="18"/>
              </w:rPr>
              <w:t> </w:t>
            </w:r>
            <w:r>
              <w:rPr>
                <w:rFonts w:ascii="宋体" w:hAnsi="宋体" w:cs="宋体" w:eastAsia="宋体" w:hint="default"/>
                <w:sz w:val="18"/>
                <w:szCs w:val="18"/>
              </w:rPr>
              <w:t>2009</w:t>
            </w:r>
            <w:r>
              <w:rPr>
                <w:rFonts w:ascii="宋体" w:hAnsi="宋体" w:cs="宋体" w:eastAsia="宋体" w:hint="default"/>
                <w:spacing w:val="-45"/>
                <w:sz w:val="18"/>
                <w:szCs w:val="18"/>
              </w:rPr>
              <w:t> </w:t>
            </w:r>
            <w:r>
              <w:rPr>
                <w:rFonts w:ascii="宋体" w:hAnsi="宋体" w:cs="宋体" w:eastAsia="宋体" w:hint="default"/>
                <w:sz w:val="18"/>
                <w:szCs w:val="18"/>
              </w:rPr>
              <w:t>年收回。同时来</w:t>
            </w:r>
          </w:p>
          <w:p>
            <w:pPr>
              <w:pStyle w:val="TableParagraph"/>
              <w:spacing w:line="232" w:lineRule="exact"/>
              <w:ind w:left="103" w:right="0"/>
              <w:jc w:val="both"/>
              <w:rPr>
                <w:rFonts w:ascii="宋体" w:hAnsi="宋体" w:cs="宋体" w:eastAsia="宋体" w:hint="default"/>
                <w:sz w:val="18"/>
                <w:szCs w:val="18"/>
              </w:rPr>
            </w:pPr>
            <w:r>
              <w:rPr>
                <w:rFonts w:ascii="宋体" w:hAnsi="宋体" w:cs="宋体" w:eastAsia="宋体" w:hint="default"/>
                <w:sz w:val="18"/>
                <w:szCs w:val="18"/>
              </w:rPr>
              <w:t>源于</w:t>
            </w:r>
            <w:r>
              <w:rPr>
                <w:rFonts w:ascii="宋体" w:hAnsi="宋体" w:cs="宋体" w:eastAsia="宋体" w:hint="default"/>
                <w:spacing w:val="-45"/>
                <w:sz w:val="18"/>
                <w:szCs w:val="18"/>
              </w:rPr>
              <w:t> </w:t>
            </w:r>
            <w:r>
              <w:rPr>
                <w:rFonts w:ascii="宋体" w:hAnsi="宋体" w:cs="宋体" w:eastAsia="宋体" w:hint="default"/>
                <w:sz w:val="18"/>
                <w:szCs w:val="18"/>
              </w:rPr>
              <w:t>2007</w:t>
            </w:r>
            <w:r>
              <w:rPr>
                <w:rFonts w:ascii="宋体" w:hAnsi="宋体" w:cs="宋体" w:eastAsia="宋体" w:hint="default"/>
                <w:spacing w:val="-45"/>
                <w:sz w:val="18"/>
                <w:szCs w:val="18"/>
              </w:rPr>
              <w:t> </w:t>
            </w:r>
            <w:r>
              <w:rPr>
                <w:rFonts w:ascii="宋体" w:hAnsi="宋体" w:cs="宋体" w:eastAsia="宋体" w:hint="default"/>
                <w:sz w:val="18"/>
                <w:szCs w:val="18"/>
              </w:rPr>
              <w:t>年和</w:t>
            </w:r>
            <w:r>
              <w:rPr>
                <w:rFonts w:ascii="宋体" w:hAnsi="宋体" w:cs="宋体" w:eastAsia="宋体" w:hint="default"/>
                <w:spacing w:val="-44"/>
                <w:sz w:val="18"/>
                <w:szCs w:val="18"/>
              </w:rPr>
              <w:t> </w:t>
            </w:r>
            <w:r>
              <w:rPr>
                <w:rFonts w:ascii="宋体" w:hAnsi="宋体" w:cs="宋体" w:eastAsia="宋体" w:hint="default"/>
                <w:sz w:val="18"/>
                <w:szCs w:val="18"/>
              </w:rPr>
              <w:t>2008</w:t>
            </w:r>
            <w:r>
              <w:rPr>
                <w:rFonts w:ascii="宋体" w:hAnsi="宋体" w:cs="宋体" w:eastAsia="宋体" w:hint="default"/>
                <w:spacing w:val="-45"/>
                <w:sz w:val="18"/>
                <w:szCs w:val="18"/>
              </w:rPr>
              <w:t> </w:t>
            </w:r>
            <w:r>
              <w:rPr>
                <w:rFonts w:ascii="宋体" w:hAnsi="宋体" w:cs="宋体" w:eastAsia="宋体" w:hint="default"/>
                <w:sz w:val="18"/>
                <w:szCs w:val="18"/>
              </w:rPr>
              <w:t>年实施股权激励计划应收员</w:t>
            </w:r>
          </w:p>
          <w:p>
            <w:pPr>
              <w:pStyle w:val="TableParagraph"/>
              <w:spacing w:line="233" w:lineRule="exact"/>
              <w:ind w:left="103" w:right="0"/>
              <w:jc w:val="both"/>
              <w:rPr>
                <w:rFonts w:ascii="宋体" w:hAnsi="宋体" w:cs="宋体" w:eastAsia="宋体" w:hint="default"/>
                <w:sz w:val="18"/>
                <w:szCs w:val="18"/>
              </w:rPr>
            </w:pPr>
            <w:r>
              <w:rPr>
                <w:rFonts w:ascii="宋体" w:hAnsi="宋体" w:cs="宋体" w:eastAsia="宋体" w:hint="default"/>
                <w:spacing w:val="5"/>
                <w:sz w:val="18"/>
                <w:szCs w:val="18"/>
              </w:rPr>
              <w:t>工的代扣代缴个人所得税计人民币</w:t>
            </w:r>
            <w:r>
              <w:rPr>
                <w:rFonts w:ascii="宋体" w:hAnsi="宋体" w:cs="宋体" w:eastAsia="宋体" w:hint="default"/>
                <w:spacing w:val="16"/>
                <w:sz w:val="18"/>
                <w:szCs w:val="18"/>
              </w:rPr>
              <w:t> </w:t>
            </w:r>
            <w:r>
              <w:rPr>
                <w:rFonts w:ascii="宋体" w:hAnsi="宋体" w:cs="宋体" w:eastAsia="宋体" w:hint="default"/>
                <w:sz w:val="18"/>
                <w:szCs w:val="18"/>
              </w:rPr>
              <w:t>15,566,000</w:t>
            </w:r>
          </w:p>
          <w:p>
            <w:pPr>
              <w:pStyle w:val="TableParagraph"/>
              <w:spacing w:line="234" w:lineRule="exact"/>
              <w:ind w:left="103" w:right="0"/>
              <w:jc w:val="both"/>
              <w:rPr>
                <w:rFonts w:ascii="宋体" w:hAnsi="宋体" w:cs="宋体" w:eastAsia="宋体" w:hint="default"/>
                <w:sz w:val="18"/>
                <w:szCs w:val="18"/>
              </w:rPr>
            </w:pPr>
            <w:r>
              <w:rPr>
                <w:rFonts w:ascii="宋体" w:hAnsi="宋体" w:cs="宋体" w:eastAsia="宋体" w:hint="default"/>
                <w:sz w:val="18"/>
                <w:szCs w:val="18"/>
              </w:rPr>
              <w:t>元已于</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年缴纳结清所致。</w:t>
            </w:r>
          </w:p>
        </w:tc>
      </w:tr>
      <w:tr>
        <w:trPr>
          <w:trHeight w:val="478" w:hRule="exact"/>
        </w:trPr>
        <w:tc>
          <w:tcPr>
            <w:tcW w:w="1609"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pacing w:val="18"/>
                <w:sz w:val="18"/>
                <w:szCs w:val="18"/>
              </w:rPr>
              <w:t>可供出售金融资</w:t>
            </w:r>
          </w:p>
          <w:p>
            <w:pPr>
              <w:pStyle w:val="TableParagraph"/>
              <w:spacing w:line="235" w:lineRule="exact"/>
              <w:ind w:left="98" w:right="0"/>
              <w:jc w:val="left"/>
              <w:rPr>
                <w:rFonts w:ascii="宋体" w:hAnsi="宋体" w:cs="宋体" w:eastAsia="宋体" w:hint="default"/>
                <w:sz w:val="18"/>
                <w:szCs w:val="18"/>
              </w:rPr>
            </w:pPr>
            <w:r>
              <w:rPr>
                <w:rFonts w:ascii="宋体" w:hAnsi="宋体" w:cs="宋体" w:eastAsia="宋体" w:hint="default"/>
                <w:sz w:val="18"/>
                <w:szCs w:val="18"/>
              </w:rPr>
              <w:t>产</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276,210,000</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-100%</w:t>
            </w:r>
          </w:p>
        </w:tc>
        <w:tc>
          <w:tcPr>
            <w:tcW w:w="4000"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9"/>
                <w:sz w:val="18"/>
                <w:szCs w:val="18"/>
              </w:rPr>
              <w:t>由于报告期将持有的北京银行股票全部卖出所</w:t>
            </w:r>
            <w:r>
              <w:rPr>
                <w:rFonts w:ascii="宋体" w:hAnsi="宋体" w:cs="宋体" w:eastAsia="宋体" w:hint="default"/>
                <w:sz w:val="18"/>
                <w:szCs w:val="18"/>
              </w:rPr>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致。</w:t>
            </w:r>
          </w:p>
        </w:tc>
      </w:tr>
      <w:tr>
        <w:trPr>
          <w:trHeight w:val="1177" w:hRule="exact"/>
        </w:trPr>
        <w:tc>
          <w:tcPr>
            <w:tcW w:w="160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56,611,563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34,647,825</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63%</w:t>
            </w:r>
          </w:p>
        </w:tc>
        <w:tc>
          <w:tcPr>
            <w:tcW w:w="4000" w:type="dxa"/>
            <w:tcBorders>
              <w:top w:val="single" w:sz="4" w:space="0" w:color="000000"/>
              <w:left w:val="single" w:sz="4" w:space="0" w:color="000000"/>
              <w:bottom w:val="single" w:sz="4" w:space="0" w:color="000000"/>
              <w:right w:val="single" w:sz="8"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主要是由于公司本年度对用友致远的股权投资增</w:t>
            </w:r>
          </w:p>
          <w:p>
            <w:pPr>
              <w:pStyle w:val="TableParagraph"/>
              <w:spacing w:line="233" w:lineRule="exact"/>
              <w:ind w:left="103" w:right="0"/>
              <w:jc w:val="both"/>
              <w:rPr>
                <w:rFonts w:ascii="宋体" w:hAnsi="宋体" w:cs="宋体" w:eastAsia="宋体" w:hint="default"/>
                <w:sz w:val="18"/>
                <w:szCs w:val="18"/>
              </w:rPr>
            </w:pPr>
            <w:r>
              <w:rPr>
                <w:rFonts w:ascii="宋体" w:hAnsi="宋体" w:cs="宋体" w:eastAsia="宋体" w:hint="default"/>
                <w:sz w:val="18"/>
                <w:szCs w:val="18"/>
              </w:rPr>
              <w:t>加人民币 12,425,126</w:t>
            </w:r>
            <w:r>
              <w:rPr>
                <w:rFonts w:ascii="宋体" w:hAnsi="宋体" w:cs="宋体" w:eastAsia="宋体" w:hint="default"/>
                <w:spacing w:val="3"/>
                <w:sz w:val="18"/>
                <w:szCs w:val="18"/>
              </w:rPr>
              <w:t> </w:t>
            </w:r>
            <w:r>
              <w:rPr>
                <w:rFonts w:ascii="宋体" w:hAnsi="宋体" w:cs="宋体" w:eastAsia="宋体" w:hint="default"/>
                <w:sz w:val="18"/>
                <w:szCs w:val="18"/>
              </w:rPr>
              <w:t>元及对深圳市新希元软件</w:t>
            </w:r>
          </w:p>
          <w:p>
            <w:pPr>
              <w:pStyle w:val="TableParagraph"/>
              <w:spacing w:line="237" w:lineRule="auto" w:before="1"/>
              <w:ind w:left="103" w:right="96"/>
              <w:jc w:val="both"/>
              <w:rPr>
                <w:rFonts w:ascii="宋体" w:hAnsi="宋体" w:cs="宋体" w:eastAsia="宋体" w:hint="default"/>
                <w:sz w:val="18"/>
                <w:szCs w:val="18"/>
              </w:rPr>
            </w:pPr>
            <w:r>
              <w:rPr>
                <w:rFonts w:ascii="宋体" w:hAnsi="宋体" w:cs="宋体" w:eastAsia="宋体" w:hint="default"/>
                <w:sz w:val="18"/>
                <w:szCs w:val="18"/>
              </w:rPr>
              <w:t>技术有限公司的股权投资增加人民币</w:t>
            </w:r>
            <w:r>
              <w:rPr>
                <w:rFonts w:ascii="宋体" w:hAnsi="宋体" w:cs="宋体" w:eastAsia="宋体" w:hint="default"/>
                <w:spacing w:val="2"/>
                <w:sz w:val="18"/>
                <w:szCs w:val="18"/>
              </w:rPr>
              <w:t> </w:t>
            </w:r>
            <w:r>
              <w:rPr>
                <w:rFonts w:ascii="宋体" w:hAnsi="宋体" w:cs="宋体" w:eastAsia="宋体" w:hint="default"/>
                <w:sz w:val="18"/>
                <w:szCs w:val="18"/>
              </w:rPr>
              <w:t>5,000,000</w:t>
            </w:r>
            <w:r>
              <w:rPr>
                <w:rFonts w:ascii="宋体" w:hAnsi="宋体" w:cs="宋体" w:eastAsia="宋体" w:hint="default"/>
                <w:sz w:val="18"/>
                <w:szCs w:val="18"/>
              </w:rPr>
              <w:t> 元以及本公司本年度分占联营企业的损益增加人</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民币</w:t>
            </w:r>
            <w:r>
              <w:rPr>
                <w:rFonts w:ascii="宋体" w:hAnsi="宋体" w:cs="宋体" w:eastAsia="宋体" w:hint="default"/>
                <w:spacing w:val="-46"/>
                <w:sz w:val="18"/>
                <w:szCs w:val="18"/>
              </w:rPr>
              <w:t> </w:t>
            </w:r>
            <w:r>
              <w:rPr>
                <w:rFonts w:ascii="宋体" w:hAnsi="宋体" w:cs="宋体" w:eastAsia="宋体" w:hint="default"/>
                <w:sz w:val="18"/>
                <w:szCs w:val="18"/>
              </w:rPr>
              <w:t>6,950,830</w:t>
            </w:r>
            <w:r>
              <w:rPr>
                <w:rFonts w:ascii="宋体" w:hAnsi="宋体" w:cs="宋体" w:eastAsia="宋体" w:hint="default"/>
                <w:spacing w:val="-46"/>
                <w:sz w:val="18"/>
                <w:szCs w:val="18"/>
              </w:rPr>
              <w:t> </w:t>
            </w:r>
            <w:r>
              <w:rPr>
                <w:rFonts w:ascii="宋体" w:hAnsi="宋体" w:cs="宋体" w:eastAsia="宋体" w:hint="default"/>
                <w:sz w:val="18"/>
                <w:szCs w:val="18"/>
              </w:rPr>
              <w:t>元所致。</w:t>
            </w:r>
          </w:p>
        </w:tc>
      </w:tr>
      <w:tr>
        <w:trPr>
          <w:trHeight w:val="709" w:hRule="exact"/>
        </w:trPr>
        <w:tc>
          <w:tcPr>
            <w:tcW w:w="160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472,868,579</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361,458,036</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31%</w:t>
            </w:r>
          </w:p>
        </w:tc>
        <w:tc>
          <w:tcPr>
            <w:tcW w:w="4000" w:type="dxa"/>
            <w:tcBorders>
              <w:top w:val="single" w:sz="4" w:space="0" w:color="000000"/>
              <w:left w:val="single" w:sz="4" w:space="0" w:color="000000"/>
              <w:bottom w:val="single" w:sz="4" w:space="0" w:color="000000"/>
              <w:right w:val="single" w:sz="8"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主要是由于报告期内公司进行了一系列的股权收</w:t>
            </w:r>
          </w:p>
          <w:p>
            <w:pPr>
              <w:pStyle w:val="TableParagraph"/>
              <w:spacing w:line="240" w:lineRule="auto"/>
              <w:ind w:left="103" w:right="96"/>
              <w:jc w:val="left"/>
              <w:rPr>
                <w:rFonts w:ascii="宋体" w:hAnsi="宋体" w:cs="宋体" w:eastAsia="宋体" w:hint="default"/>
                <w:sz w:val="18"/>
                <w:szCs w:val="18"/>
              </w:rPr>
            </w:pPr>
            <w:r>
              <w:rPr>
                <w:rFonts w:ascii="宋体" w:hAnsi="宋体" w:cs="宋体" w:eastAsia="宋体" w:hint="default"/>
                <w:sz w:val="18"/>
                <w:szCs w:val="18"/>
              </w:rPr>
              <w:t>购活动和业务收购活动，合并成本大于取得被购</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买方可辨认净资产公允价值份额的差额所致。</w:t>
            </w:r>
          </w:p>
        </w:tc>
      </w:tr>
      <w:tr>
        <w:trPr>
          <w:trHeight w:val="478" w:hRule="exact"/>
        </w:trPr>
        <w:tc>
          <w:tcPr>
            <w:tcW w:w="160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6"/>
              <w:ind w:left="98"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39,130,782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10,658,589</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267%</w:t>
            </w:r>
          </w:p>
        </w:tc>
        <w:tc>
          <w:tcPr>
            <w:tcW w:w="4000" w:type="dxa"/>
            <w:tcBorders>
              <w:top w:val="single" w:sz="4" w:space="0" w:color="000000"/>
              <w:left w:val="single" w:sz="4" w:space="0" w:color="000000"/>
              <w:bottom w:val="single" w:sz="4" w:space="0" w:color="000000"/>
              <w:right w:val="single" w:sz="8"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主要是由于未支付的应付职工薪酬及其它可抵减</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暂时性差异所致。</w:t>
            </w:r>
          </w:p>
        </w:tc>
      </w:tr>
      <w:tr>
        <w:trPr>
          <w:trHeight w:val="476" w:hRule="exact"/>
        </w:trPr>
        <w:tc>
          <w:tcPr>
            <w:tcW w:w="160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6"/>
              <w:ind w:left="98"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78,754,049</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41,045,621</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92%</w:t>
            </w:r>
          </w:p>
        </w:tc>
        <w:tc>
          <w:tcPr>
            <w:tcW w:w="4000" w:type="dxa"/>
            <w:tcBorders>
              <w:top w:val="single" w:sz="4" w:space="0" w:color="000000"/>
              <w:left w:val="single" w:sz="4" w:space="0" w:color="000000"/>
              <w:bottom w:val="single" w:sz="4" w:space="0" w:color="000000"/>
              <w:right w:val="single" w:sz="8"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主要是由于随着本年业务规模的增加，应付采购</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款也相应增加。</w:t>
            </w:r>
          </w:p>
        </w:tc>
      </w:tr>
      <w:tr>
        <w:trPr>
          <w:trHeight w:val="478" w:hRule="exact"/>
        </w:trPr>
        <w:tc>
          <w:tcPr>
            <w:tcW w:w="160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6"/>
              <w:ind w:left="98"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288,685,902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240,405,608</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20%</w:t>
            </w:r>
          </w:p>
        </w:tc>
        <w:tc>
          <w:tcPr>
            <w:tcW w:w="4000" w:type="dxa"/>
            <w:tcBorders>
              <w:top w:val="single" w:sz="4" w:space="0" w:color="000000"/>
              <w:left w:val="single" w:sz="4" w:space="0" w:color="000000"/>
              <w:bottom w:val="single" w:sz="4" w:space="0" w:color="000000"/>
              <w:right w:val="single" w:sz="8"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主要是由于随着本年收入增加，预收客户款也相</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应增加。</w:t>
            </w:r>
          </w:p>
        </w:tc>
      </w:tr>
      <w:tr>
        <w:trPr>
          <w:trHeight w:val="476" w:hRule="exact"/>
        </w:trPr>
        <w:tc>
          <w:tcPr>
            <w:tcW w:w="160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6"/>
              <w:ind w:left="98"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306,360,821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193,851,923</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58%</w:t>
            </w:r>
          </w:p>
        </w:tc>
        <w:tc>
          <w:tcPr>
            <w:tcW w:w="4000" w:type="dxa"/>
            <w:tcBorders>
              <w:top w:val="single" w:sz="4" w:space="0" w:color="000000"/>
              <w:left w:val="single" w:sz="4" w:space="0" w:color="000000"/>
              <w:bottom w:val="single" w:sz="4" w:space="0" w:color="000000"/>
              <w:right w:val="single" w:sz="8"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主要是由于公司规模扩大、人员增长、以及应付</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未付工资奖金、社保和住房公积金的增长所致。</w:t>
            </w:r>
          </w:p>
        </w:tc>
      </w:tr>
      <w:tr>
        <w:trPr>
          <w:trHeight w:val="476" w:hRule="exact"/>
        </w:trPr>
        <w:tc>
          <w:tcPr>
            <w:tcW w:w="160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6"/>
              <w:ind w:left="98"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184,856,541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110,690,706</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67%</w:t>
            </w:r>
          </w:p>
        </w:tc>
        <w:tc>
          <w:tcPr>
            <w:tcW w:w="4000" w:type="dxa"/>
            <w:tcBorders>
              <w:top w:val="single" w:sz="4" w:space="0" w:color="000000"/>
              <w:left w:val="single" w:sz="4" w:space="0" w:color="000000"/>
              <w:bottom w:val="single" w:sz="4" w:space="0" w:color="000000"/>
              <w:right w:val="single" w:sz="8"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主要是由于随着本年收入及员工薪酬的增加，各</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项应付税金也相应增加所致。</w:t>
            </w:r>
          </w:p>
        </w:tc>
      </w:tr>
      <w:tr>
        <w:trPr>
          <w:trHeight w:val="478" w:hRule="exact"/>
        </w:trPr>
        <w:tc>
          <w:tcPr>
            <w:tcW w:w="160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6"/>
              <w:ind w:left="98"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4,107,458</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9,846,406.00</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-58%</w:t>
            </w:r>
          </w:p>
        </w:tc>
        <w:tc>
          <w:tcPr>
            <w:tcW w:w="4000" w:type="dxa"/>
            <w:tcBorders>
              <w:top w:val="single" w:sz="4" w:space="0" w:color="000000"/>
              <w:left w:val="single" w:sz="4" w:space="0" w:color="000000"/>
              <w:bottom w:val="single" w:sz="4" w:space="0" w:color="000000"/>
              <w:right w:val="single" w:sz="8"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主要是由于本公司之子公司方正春元支付现金股</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利</w:t>
            </w:r>
            <w:r>
              <w:rPr>
                <w:rFonts w:ascii="宋体" w:hAnsi="宋体" w:cs="宋体" w:eastAsia="宋体" w:hint="default"/>
                <w:spacing w:val="-46"/>
                <w:sz w:val="18"/>
                <w:szCs w:val="18"/>
              </w:rPr>
              <w:t> </w:t>
            </w:r>
            <w:r>
              <w:rPr>
                <w:rFonts w:ascii="宋体" w:hAnsi="宋体" w:cs="宋体" w:eastAsia="宋体" w:hint="default"/>
                <w:sz w:val="18"/>
                <w:szCs w:val="18"/>
              </w:rPr>
              <w:t>8,300,000</w:t>
            </w:r>
            <w:r>
              <w:rPr>
                <w:rFonts w:ascii="宋体" w:hAnsi="宋体" w:cs="宋体" w:eastAsia="宋体" w:hint="default"/>
                <w:spacing w:val="-45"/>
                <w:sz w:val="18"/>
                <w:szCs w:val="18"/>
              </w:rPr>
              <w:t> </w:t>
            </w:r>
            <w:r>
              <w:rPr>
                <w:rFonts w:ascii="宋体" w:hAnsi="宋体" w:cs="宋体" w:eastAsia="宋体" w:hint="default"/>
                <w:sz w:val="18"/>
                <w:szCs w:val="18"/>
              </w:rPr>
              <w:t>元所致。</w:t>
            </w:r>
          </w:p>
        </w:tc>
      </w:tr>
      <w:tr>
        <w:trPr>
          <w:trHeight w:val="476" w:hRule="exact"/>
        </w:trPr>
        <w:tc>
          <w:tcPr>
            <w:tcW w:w="160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6"/>
              <w:ind w:left="98"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22,840,955</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-100%</w:t>
            </w:r>
          </w:p>
        </w:tc>
        <w:tc>
          <w:tcPr>
            <w:tcW w:w="4000" w:type="dxa"/>
            <w:tcBorders>
              <w:top w:val="single" w:sz="4" w:space="0" w:color="000000"/>
              <w:left w:val="single" w:sz="4" w:space="0" w:color="000000"/>
              <w:bottom w:val="single" w:sz="4" w:space="0" w:color="000000"/>
              <w:right w:val="single" w:sz="8"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主要是由于转回 2008</w:t>
            </w:r>
            <w:r>
              <w:rPr>
                <w:rFonts w:ascii="宋体" w:hAnsi="宋体" w:cs="宋体" w:eastAsia="宋体" w:hint="default"/>
                <w:spacing w:val="3"/>
                <w:sz w:val="18"/>
                <w:szCs w:val="18"/>
              </w:rPr>
              <w:t> </w:t>
            </w:r>
            <w:r>
              <w:rPr>
                <w:rFonts w:ascii="宋体" w:hAnsi="宋体" w:cs="宋体" w:eastAsia="宋体" w:hint="default"/>
                <w:sz w:val="18"/>
                <w:szCs w:val="18"/>
              </w:rPr>
              <w:t>年可供出售金融资产公允</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价值变动收益产生的应纳税暂时性差异所致。</w:t>
            </w:r>
          </w:p>
        </w:tc>
      </w:tr>
      <w:tr>
        <w:trPr>
          <w:trHeight w:val="710" w:hRule="exact"/>
        </w:trPr>
        <w:tc>
          <w:tcPr>
            <w:tcW w:w="160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627,858,850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466,683,575</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35%</w:t>
            </w:r>
          </w:p>
        </w:tc>
        <w:tc>
          <w:tcPr>
            <w:tcW w:w="4000"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主要是由于公司将资本公积转增股本，共计转增</w:t>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139,998,893</w:t>
            </w:r>
            <w:r>
              <w:rPr>
                <w:rFonts w:ascii="宋体" w:hAnsi="宋体" w:cs="宋体" w:eastAsia="宋体" w:hint="default"/>
                <w:spacing w:val="2"/>
                <w:sz w:val="18"/>
                <w:szCs w:val="18"/>
              </w:rPr>
              <w:t> </w:t>
            </w:r>
            <w:r>
              <w:rPr>
                <w:rFonts w:ascii="宋体" w:hAnsi="宋体" w:cs="宋体" w:eastAsia="宋体" w:hint="default"/>
                <w:sz w:val="18"/>
                <w:szCs w:val="18"/>
              </w:rPr>
              <w:t>股以及授予激励对象股权激励计划</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股份</w:t>
            </w:r>
            <w:r>
              <w:rPr>
                <w:rFonts w:ascii="宋体" w:hAnsi="宋体" w:cs="宋体" w:eastAsia="宋体" w:hint="default"/>
                <w:spacing w:val="-46"/>
                <w:sz w:val="18"/>
                <w:szCs w:val="18"/>
              </w:rPr>
              <w:t> </w:t>
            </w:r>
            <w:r>
              <w:rPr>
                <w:rFonts w:ascii="宋体" w:hAnsi="宋体" w:cs="宋体" w:eastAsia="宋体" w:hint="default"/>
                <w:sz w:val="18"/>
                <w:szCs w:val="18"/>
              </w:rPr>
              <w:t>21,196,982</w:t>
            </w:r>
            <w:r>
              <w:rPr>
                <w:rFonts w:ascii="宋体" w:hAnsi="宋体" w:cs="宋体" w:eastAsia="宋体" w:hint="default"/>
                <w:spacing w:val="-46"/>
                <w:sz w:val="18"/>
                <w:szCs w:val="18"/>
              </w:rPr>
              <w:t> </w:t>
            </w:r>
            <w:r>
              <w:rPr>
                <w:rFonts w:ascii="宋体" w:hAnsi="宋体" w:cs="宋体" w:eastAsia="宋体" w:hint="default"/>
                <w:sz w:val="18"/>
                <w:szCs w:val="18"/>
              </w:rPr>
              <w:t>股所致。</w:t>
            </w:r>
          </w:p>
        </w:tc>
      </w:tr>
      <w:tr>
        <w:trPr>
          <w:trHeight w:val="2345" w:hRule="exact"/>
        </w:trPr>
        <w:tc>
          <w:tcPr>
            <w:tcW w:w="160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101"/>
              <w:jc w:val="right"/>
              <w:rPr>
                <w:rFonts w:ascii="宋体" w:hAnsi="宋体" w:cs="宋体" w:eastAsia="宋体" w:hint="default"/>
                <w:sz w:val="18"/>
                <w:szCs w:val="18"/>
              </w:rPr>
            </w:pPr>
            <w:r>
              <w:rPr>
                <w:rFonts w:ascii="宋体"/>
                <w:sz w:val="18"/>
              </w:rPr>
              <w:t>862,842,262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101"/>
              <w:jc w:val="right"/>
              <w:rPr>
                <w:rFonts w:ascii="宋体" w:hAnsi="宋体" w:cs="宋体" w:eastAsia="宋体" w:hint="default"/>
                <w:sz w:val="18"/>
                <w:szCs w:val="18"/>
              </w:rPr>
            </w:pPr>
            <w:r>
              <w:rPr>
                <w:rFonts w:ascii="宋体"/>
                <w:sz w:val="18"/>
              </w:rPr>
              <w:t>985,636,668</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101"/>
              <w:jc w:val="right"/>
              <w:rPr>
                <w:rFonts w:ascii="宋体" w:hAnsi="宋体" w:cs="宋体" w:eastAsia="宋体" w:hint="default"/>
                <w:sz w:val="18"/>
                <w:szCs w:val="18"/>
              </w:rPr>
            </w:pPr>
            <w:r>
              <w:rPr>
                <w:rFonts w:ascii="宋体"/>
                <w:sz w:val="18"/>
              </w:rPr>
              <w:t>-12%</w:t>
            </w:r>
          </w:p>
        </w:tc>
        <w:tc>
          <w:tcPr>
            <w:tcW w:w="4000"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z w:val="18"/>
                <w:szCs w:val="18"/>
              </w:rPr>
              <w:t>主要是由于本年公司将资本公积转增股本所减少</w:t>
            </w:r>
          </w:p>
          <w:p>
            <w:pPr>
              <w:pStyle w:val="TableParagraph"/>
              <w:spacing w:line="237" w:lineRule="auto" w:before="1"/>
              <w:ind w:left="103" w:right="86"/>
              <w:jc w:val="both"/>
              <w:rPr>
                <w:rFonts w:ascii="宋体" w:hAnsi="宋体" w:cs="宋体" w:eastAsia="宋体" w:hint="default"/>
                <w:sz w:val="18"/>
                <w:szCs w:val="18"/>
              </w:rPr>
            </w:pPr>
            <w:r>
              <w:rPr>
                <w:rFonts w:ascii="宋体" w:hAnsi="宋体" w:cs="宋体" w:eastAsia="宋体" w:hint="default"/>
                <w:sz w:val="18"/>
                <w:szCs w:val="18"/>
              </w:rPr>
              <w:t>的资本公积</w:t>
            </w:r>
            <w:r>
              <w:rPr>
                <w:rFonts w:ascii="宋体" w:hAnsi="宋体" w:cs="宋体" w:eastAsia="宋体" w:hint="default"/>
                <w:spacing w:val="-44"/>
                <w:sz w:val="18"/>
                <w:szCs w:val="18"/>
              </w:rPr>
              <w:t> </w:t>
            </w:r>
            <w:r>
              <w:rPr>
                <w:rFonts w:ascii="宋体" w:hAnsi="宋体" w:cs="宋体" w:eastAsia="宋体" w:hint="default"/>
                <w:sz w:val="18"/>
                <w:szCs w:val="18"/>
              </w:rPr>
              <w:t>139,998,893</w:t>
            </w:r>
            <w:r>
              <w:rPr>
                <w:rFonts w:ascii="宋体" w:hAnsi="宋体" w:cs="宋体" w:eastAsia="宋体" w:hint="default"/>
                <w:spacing w:val="-44"/>
                <w:sz w:val="18"/>
                <w:szCs w:val="18"/>
              </w:rPr>
              <w:t> </w:t>
            </w:r>
            <w:r>
              <w:rPr>
                <w:rFonts w:ascii="宋体" w:hAnsi="宋体" w:cs="宋体" w:eastAsia="宋体" w:hint="default"/>
                <w:sz w:val="18"/>
                <w:szCs w:val="18"/>
              </w:rPr>
              <w:t>元；本公司实施股权激</w:t>
            </w:r>
            <w:r>
              <w:rPr>
                <w:rFonts w:ascii="宋体" w:hAnsi="宋体" w:cs="宋体" w:eastAsia="宋体" w:hint="default"/>
                <w:sz w:val="18"/>
                <w:szCs w:val="18"/>
              </w:rPr>
              <w:t> 励计划员工认购价格与股本账面价值之差额共计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259,536,445</w:t>
            </w:r>
            <w:r>
              <w:rPr>
                <w:rFonts w:ascii="宋体" w:hAnsi="宋体" w:cs="宋体" w:eastAsia="宋体" w:hint="default"/>
                <w:spacing w:val="1"/>
                <w:sz w:val="18"/>
                <w:szCs w:val="18"/>
              </w:rPr>
              <w:t> </w:t>
            </w:r>
            <w:r>
              <w:rPr>
                <w:rFonts w:ascii="宋体" w:hAnsi="宋体" w:cs="宋体" w:eastAsia="宋体" w:hint="default"/>
                <w:sz w:val="18"/>
                <w:szCs w:val="18"/>
              </w:rPr>
              <w:t>元记入资本公积；公司将持有的可</w:t>
            </w:r>
            <w:r>
              <w:rPr>
                <w:rFonts w:ascii="宋体" w:hAnsi="宋体" w:cs="宋体" w:eastAsia="宋体" w:hint="default"/>
                <w:sz w:val="18"/>
                <w:szCs w:val="18"/>
              </w:rPr>
              <w:t> </w:t>
            </w:r>
            <w:r>
              <w:rPr>
                <w:rFonts w:ascii="宋体" w:hAnsi="宋体" w:cs="宋体" w:eastAsia="宋体" w:hint="default"/>
                <w:spacing w:val="8"/>
                <w:sz w:val="18"/>
                <w:szCs w:val="18"/>
              </w:rPr>
              <w:t>供出售金融资产-北京银行股票全部出售,其在</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2008</w:t>
            </w:r>
            <w:r>
              <w:rPr>
                <w:rFonts w:ascii="宋体" w:hAnsi="宋体" w:cs="宋体" w:eastAsia="宋体" w:hint="default"/>
                <w:spacing w:val="2"/>
                <w:sz w:val="18"/>
                <w:szCs w:val="18"/>
              </w:rPr>
              <w:t> </w:t>
            </w:r>
            <w:r>
              <w:rPr>
                <w:rFonts w:ascii="宋体" w:hAnsi="宋体" w:cs="宋体" w:eastAsia="宋体" w:hint="default"/>
                <w:sz w:val="18"/>
                <w:szCs w:val="18"/>
              </w:rPr>
              <w:t>年末公允价值与初始投资成本之差,并考虑</w:t>
            </w:r>
            <w:r>
              <w:rPr>
                <w:rFonts w:ascii="宋体" w:hAnsi="宋体" w:cs="宋体" w:eastAsia="宋体" w:hint="default"/>
                <w:sz w:val="18"/>
                <w:szCs w:val="18"/>
              </w:rPr>
              <w:t> 其于未来期间出售形成的投资收益所带来的应纳</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税暂时性差异,按</w:t>
            </w:r>
            <w:r>
              <w:rPr>
                <w:rFonts w:ascii="宋体" w:hAnsi="宋体" w:cs="宋体" w:eastAsia="宋体" w:hint="default"/>
                <w:spacing w:val="13"/>
                <w:sz w:val="18"/>
                <w:szCs w:val="18"/>
              </w:rPr>
              <w:t> </w:t>
            </w:r>
            <w:r>
              <w:rPr>
                <w:rFonts w:ascii="宋体" w:hAnsi="宋体" w:cs="宋体" w:eastAsia="宋体" w:hint="default"/>
                <w:spacing w:val="3"/>
                <w:sz w:val="18"/>
                <w:szCs w:val="18"/>
              </w:rPr>
              <w:t>10%的税率计算递延所得税负</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债后计入资本公积的净影响人民币</w:t>
            </w:r>
            <w:r>
              <w:rPr>
                <w:rFonts w:ascii="宋体" w:hAnsi="宋体" w:cs="宋体" w:eastAsia="宋体" w:hint="default"/>
                <w:spacing w:val="3"/>
                <w:sz w:val="18"/>
                <w:szCs w:val="18"/>
              </w:rPr>
              <w:t> </w:t>
            </w:r>
            <w:r>
              <w:rPr>
                <w:rFonts w:ascii="宋体" w:hAnsi="宋体" w:cs="宋体" w:eastAsia="宋体" w:hint="default"/>
                <w:sz w:val="18"/>
                <w:szCs w:val="18"/>
              </w:rPr>
              <w:t>205,568,592</w:t>
            </w:r>
          </w:p>
          <w:p>
            <w:pPr>
              <w:pStyle w:val="TableParagraph"/>
              <w:spacing w:line="234" w:lineRule="exact"/>
              <w:ind w:left="103" w:right="0"/>
              <w:jc w:val="both"/>
              <w:rPr>
                <w:rFonts w:ascii="宋体" w:hAnsi="宋体" w:cs="宋体" w:eastAsia="宋体" w:hint="default"/>
                <w:sz w:val="18"/>
                <w:szCs w:val="18"/>
              </w:rPr>
            </w:pPr>
            <w:r>
              <w:rPr>
                <w:rFonts w:ascii="宋体" w:hAnsi="宋体" w:cs="宋体" w:eastAsia="宋体" w:hint="default"/>
                <w:sz w:val="18"/>
                <w:szCs w:val="18"/>
              </w:rPr>
              <w:t>元于</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年全部冲回所致。</w:t>
            </w:r>
          </w:p>
        </w:tc>
      </w:tr>
      <w:tr>
        <w:trPr>
          <w:trHeight w:val="482" w:hRule="exact"/>
        </w:trPr>
        <w:tc>
          <w:tcPr>
            <w:tcW w:w="1609" w:type="dxa"/>
            <w:tcBorders>
              <w:top w:val="single" w:sz="4" w:space="0" w:color="000000"/>
              <w:left w:val="single" w:sz="8" w:space="0" w:color="000000"/>
              <w:bottom w:val="single" w:sz="8" w:space="0" w:color="000000"/>
              <w:right w:val="single" w:sz="4" w:space="0" w:color="000000"/>
            </w:tcBorders>
          </w:tcPr>
          <w:p>
            <w:pPr>
              <w:pStyle w:val="TableParagraph"/>
              <w:spacing w:line="204" w:lineRule="exact"/>
              <w:ind w:left="98" w:right="0"/>
              <w:jc w:val="left"/>
              <w:rPr>
                <w:rFonts w:ascii="宋体" w:hAnsi="宋体" w:cs="宋体" w:eastAsia="宋体" w:hint="default"/>
                <w:sz w:val="18"/>
                <w:szCs w:val="18"/>
              </w:rPr>
            </w:pPr>
            <w:r>
              <w:rPr>
                <w:rFonts w:ascii="宋体" w:hAnsi="宋体" w:cs="宋体" w:eastAsia="宋体" w:hint="default"/>
                <w:spacing w:val="18"/>
                <w:sz w:val="18"/>
                <w:szCs w:val="18"/>
              </w:rPr>
              <w:t>外币报表折算差</w:t>
            </w:r>
          </w:p>
          <w:p>
            <w:pPr>
              <w:pStyle w:val="TableParagraph"/>
              <w:spacing w:line="234" w:lineRule="exact"/>
              <w:ind w:left="98"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-63,786</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-778,356</w:t>
            </w:r>
          </w:p>
        </w:tc>
        <w:tc>
          <w:tcPr>
            <w:tcW w:w="100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-92%</w:t>
            </w:r>
          </w:p>
        </w:tc>
        <w:tc>
          <w:tcPr>
            <w:tcW w:w="4000"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主要是由于外币汇率波动所致。</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spacing w:before="26"/>
        <w:ind w:left="620" w:right="0" w:firstLine="0"/>
        <w:jc w:val="left"/>
        <w:rPr>
          <w:rFonts w:ascii="宋体" w:hAnsi="宋体" w:cs="宋体" w:eastAsia="宋体" w:hint="default"/>
          <w:sz w:val="24"/>
          <w:szCs w:val="24"/>
        </w:rPr>
      </w:pPr>
      <w:r>
        <w:rPr>
          <w:rFonts w:ascii="宋体" w:hAnsi="宋体" w:cs="宋体" w:eastAsia="宋体" w:hint="default"/>
          <w:sz w:val="24"/>
          <w:szCs w:val="24"/>
        </w:rPr>
        <w:t>报告期利润表项目重大变化及原因如下：</w:t>
      </w:r>
    </w:p>
    <w:p>
      <w:pPr>
        <w:spacing w:line="240" w:lineRule="auto" w:before="6"/>
        <w:rPr>
          <w:rFonts w:ascii="宋体" w:hAnsi="宋体" w:cs="宋体" w:eastAsia="宋体" w:hint="default"/>
          <w:sz w:val="12"/>
          <w:szCs w:val="12"/>
        </w:rPr>
      </w:pPr>
    </w:p>
    <w:p>
      <w:pPr>
        <w:spacing w:before="35"/>
        <w:ind w:left="0" w:right="279" w:firstLine="0"/>
        <w:jc w:val="right"/>
        <w:rPr>
          <w:rFonts w:ascii="宋体" w:hAnsi="宋体" w:cs="宋体" w:eastAsia="宋体" w:hint="default"/>
          <w:sz w:val="21"/>
          <w:szCs w:val="21"/>
        </w:rPr>
      </w:pPr>
      <w:r>
        <w:rPr>
          <w:rFonts w:ascii="宋体" w:hAnsi="宋体" w:cs="宋体" w:eastAsia="宋体" w:hint="default"/>
          <w:sz w:val="21"/>
          <w:szCs w:val="21"/>
        </w:rPr>
        <w:t>单位：元</w:t>
      </w:r>
    </w:p>
    <w:p>
      <w:pPr>
        <w:spacing w:line="240" w:lineRule="auto" w:before="7"/>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1710"/>
        <w:gridCol w:w="1399"/>
        <w:gridCol w:w="1400"/>
        <w:gridCol w:w="936"/>
        <w:gridCol w:w="3964"/>
      </w:tblGrid>
      <w:tr>
        <w:trPr>
          <w:trHeight w:val="244" w:hRule="exact"/>
        </w:trPr>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1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年度</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13"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hAnsi="宋体" w:cs="宋体" w:eastAsia="宋体" w:hint="default"/>
                <w:sz w:val="18"/>
                <w:szCs w:val="18"/>
              </w:rPr>
              <w:t>增减幅度</w:t>
            </w:r>
          </w:p>
        </w:tc>
        <w:tc>
          <w:tcPr>
            <w:tcW w:w="39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476" w:hRule="exact"/>
        </w:trPr>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2,347,005,714</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1,725,632,957</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36.0%</w:t>
            </w:r>
          </w:p>
        </w:tc>
        <w:tc>
          <w:tcPr>
            <w:tcW w:w="39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主要是由于报告期内软件产品销售收入、实施、</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维护和培训收入继续取得稳定增长所致。</w:t>
            </w:r>
          </w:p>
        </w:tc>
      </w:tr>
      <w:tr>
        <w:trPr>
          <w:trHeight w:val="712" w:hRule="exact"/>
        </w:trPr>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391,167,536</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212,324,120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84.2%</w:t>
            </w:r>
          </w:p>
        </w:tc>
        <w:tc>
          <w:tcPr>
            <w:tcW w:w="39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7"/>
                <w:sz w:val="18"/>
                <w:szCs w:val="18"/>
              </w:rPr>
              <w:t>主要是由于报告期内销售收入的稳定增长所对</w:t>
            </w:r>
            <w:r>
              <w:rPr>
                <w:rFonts w:ascii="宋体" w:hAnsi="宋体" w:cs="宋体" w:eastAsia="宋体" w:hint="default"/>
                <w:sz w:val="18"/>
                <w:szCs w:val="18"/>
              </w:rPr>
            </w:r>
          </w:p>
          <w:p>
            <w:pPr>
              <w:pStyle w:val="TableParagraph"/>
              <w:spacing w:line="240" w:lineRule="auto"/>
              <w:ind w:left="103" w:right="93"/>
              <w:jc w:val="left"/>
              <w:rPr>
                <w:rFonts w:ascii="宋体" w:hAnsi="宋体" w:cs="宋体" w:eastAsia="宋体" w:hint="default"/>
                <w:sz w:val="18"/>
                <w:szCs w:val="18"/>
              </w:rPr>
            </w:pPr>
            <w:r>
              <w:rPr>
                <w:rFonts w:ascii="宋体" w:hAnsi="宋体" w:cs="宋体" w:eastAsia="宋体" w:hint="default"/>
                <w:spacing w:val="-2"/>
                <w:sz w:val="18"/>
                <w:szCs w:val="18"/>
              </w:rPr>
              <w:t>应的成本增长以及为扩大市场份额，本公司鼓励</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实施技术咨询和项目外包导致支付给咨询单位</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10" w:h="16840"/>
          <w:pgMar w:header="720" w:footer="727" w:top="1080" w:bottom="920" w:left="1220" w:right="1020"/>
        </w:sectPr>
      </w:pPr>
    </w:p>
    <w:p>
      <w:pPr>
        <w:spacing w:line="240" w:lineRule="auto" w:before="11"/>
        <w:rPr>
          <w:rFonts w:ascii="宋体" w:hAnsi="宋体" w:cs="宋体" w:eastAsia="宋体" w:hint="default"/>
          <w:sz w:val="26"/>
          <w:szCs w:val="26"/>
        </w:rPr>
      </w:pPr>
    </w:p>
    <w:tbl>
      <w:tblPr>
        <w:tblW w:w="0" w:type="auto"/>
        <w:jc w:val="left"/>
        <w:tblInd w:w="126" w:type="dxa"/>
        <w:tblLayout w:type="fixed"/>
        <w:tblCellMar>
          <w:top w:w="0" w:type="dxa"/>
          <w:left w:w="0" w:type="dxa"/>
          <w:bottom w:w="0" w:type="dxa"/>
          <w:right w:w="0" w:type="dxa"/>
        </w:tblCellMar>
        <w:tblLook w:val="01E0"/>
      </w:tblPr>
      <w:tblGrid>
        <w:gridCol w:w="1710"/>
        <w:gridCol w:w="1399"/>
        <w:gridCol w:w="1400"/>
        <w:gridCol w:w="936"/>
        <w:gridCol w:w="3964"/>
      </w:tblGrid>
      <w:tr>
        <w:trPr>
          <w:trHeight w:val="244" w:hRule="exact"/>
        </w:trPr>
        <w:tc>
          <w:tcPr>
            <w:tcW w:w="1710"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及外包单位的成本费用增长所致。</w:t>
            </w:r>
          </w:p>
        </w:tc>
      </w:tr>
      <w:tr>
        <w:trPr>
          <w:trHeight w:val="476" w:hRule="exact"/>
        </w:trPr>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63,249,718</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48,024,159</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31.7%</w:t>
            </w:r>
          </w:p>
        </w:tc>
        <w:tc>
          <w:tcPr>
            <w:tcW w:w="39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7"/>
                <w:sz w:val="18"/>
                <w:szCs w:val="18"/>
              </w:rPr>
              <w:t>主要是由于报告期内公司服务及培训收入增长</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较大，导致相应税金增长所致。</w:t>
            </w:r>
          </w:p>
        </w:tc>
      </w:tr>
      <w:tr>
        <w:trPr>
          <w:trHeight w:val="478" w:hRule="exact"/>
        </w:trPr>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1,049,722,269</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778,892,912</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34.8%</w:t>
            </w:r>
          </w:p>
        </w:tc>
        <w:tc>
          <w:tcPr>
            <w:tcW w:w="39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7"/>
                <w:sz w:val="18"/>
                <w:szCs w:val="18"/>
              </w:rPr>
              <w:t>主要是由于经营规模的扩大和人员增加以及销</w:t>
            </w:r>
            <w:r>
              <w:rPr>
                <w:rFonts w:ascii="宋体" w:hAnsi="宋体" w:cs="宋体" w:eastAsia="宋体" w:hint="default"/>
                <w:sz w:val="18"/>
                <w:szCs w:val="18"/>
              </w:rPr>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售人员工资奖金总额的增长所致。</w:t>
            </w:r>
          </w:p>
        </w:tc>
      </w:tr>
      <w:tr>
        <w:trPr>
          <w:trHeight w:val="476" w:hRule="exact"/>
        </w:trPr>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658,377,849</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565,651,056</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16.4%</w:t>
            </w:r>
          </w:p>
        </w:tc>
        <w:tc>
          <w:tcPr>
            <w:tcW w:w="39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7"/>
                <w:sz w:val="18"/>
                <w:szCs w:val="18"/>
              </w:rPr>
              <w:t>主要是由于经营规模的扩大和人员增加以及管</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理人员工资奖金总额的增长所致。</w:t>
            </w:r>
          </w:p>
        </w:tc>
      </w:tr>
      <w:tr>
        <w:trPr>
          <w:trHeight w:val="710" w:hRule="exact"/>
        </w:trPr>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9,234,694</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7,003,092</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31.9%</w:t>
            </w:r>
          </w:p>
        </w:tc>
        <w:tc>
          <w:tcPr>
            <w:tcW w:w="39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7"/>
                <w:sz w:val="18"/>
                <w:szCs w:val="18"/>
              </w:rPr>
              <w:t>主要是由于报告期内公司对长期股权投资和无</w:t>
            </w:r>
            <w:r>
              <w:rPr>
                <w:rFonts w:ascii="宋体" w:hAnsi="宋体" w:cs="宋体" w:eastAsia="宋体" w:hint="default"/>
                <w:sz w:val="18"/>
                <w:szCs w:val="18"/>
              </w:rPr>
            </w:r>
          </w:p>
          <w:p>
            <w:pPr>
              <w:pStyle w:val="TableParagraph"/>
              <w:spacing w:line="232" w:lineRule="exact" w:before="24"/>
              <w:ind w:left="103" w:right="101"/>
              <w:jc w:val="left"/>
              <w:rPr>
                <w:rFonts w:ascii="宋体" w:hAnsi="宋体" w:cs="宋体" w:eastAsia="宋体" w:hint="default"/>
                <w:sz w:val="18"/>
                <w:szCs w:val="18"/>
              </w:rPr>
            </w:pPr>
            <w:r>
              <w:rPr>
                <w:rFonts w:ascii="宋体" w:hAnsi="宋体" w:cs="宋体" w:eastAsia="宋体" w:hint="default"/>
                <w:sz w:val="18"/>
                <w:szCs w:val="18"/>
              </w:rPr>
              <w:t>形资产计提减值准备增加共计</w:t>
            </w:r>
            <w:r>
              <w:rPr>
                <w:rFonts w:ascii="宋体" w:hAnsi="宋体" w:cs="宋体" w:eastAsia="宋体" w:hint="default"/>
                <w:spacing w:val="-62"/>
                <w:sz w:val="18"/>
                <w:szCs w:val="18"/>
              </w:rPr>
              <w:t> </w:t>
            </w:r>
            <w:r>
              <w:rPr>
                <w:rFonts w:ascii="宋体" w:hAnsi="宋体" w:cs="宋体" w:eastAsia="宋体" w:hint="default"/>
                <w:sz w:val="18"/>
                <w:szCs w:val="18"/>
              </w:rPr>
              <w:t>4,418,586</w:t>
            </w:r>
            <w:r>
              <w:rPr>
                <w:rFonts w:ascii="宋体" w:hAnsi="宋体" w:cs="宋体" w:eastAsia="宋体" w:hint="default"/>
                <w:spacing w:val="-62"/>
                <w:sz w:val="18"/>
                <w:szCs w:val="18"/>
              </w:rPr>
              <w:t> </w:t>
            </w:r>
            <w:r>
              <w:rPr>
                <w:rFonts w:ascii="宋体" w:hAnsi="宋体" w:cs="宋体" w:eastAsia="宋体" w:hint="default"/>
                <w:sz w:val="18"/>
                <w:szCs w:val="18"/>
              </w:rPr>
              <w:t>元及坏</w:t>
            </w:r>
            <w:r>
              <w:rPr>
                <w:rFonts w:ascii="宋体" w:hAnsi="宋体" w:cs="宋体" w:eastAsia="宋体" w:hint="default"/>
                <w:sz w:val="18"/>
                <w:szCs w:val="18"/>
              </w:rPr>
              <w:t> 账损失准备减少的净影响所致。</w:t>
            </w:r>
          </w:p>
        </w:tc>
      </w:tr>
      <w:tr>
        <w:trPr>
          <w:trHeight w:val="476" w:hRule="exact"/>
        </w:trPr>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公允价值变动损益</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49,129,953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-76,497,547</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164.2%</w:t>
            </w:r>
          </w:p>
        </w:tc>
        <w:tc>
          <w:tcPr>
            <w:tcW w:w="39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7"/>
                <w:sz w:val="18"/>
                <w:szCs w:val="18"/>
              </w:rPr>
              <w:t>主要是由于报告期内公司将持有的交易性金融</w:t>
            </w:r>
            <w:r>
              <w:rPr>
                <w:rFonts w:ascii="宋体" w:hAnsi="宋体" w:cs="宋体" w:eastAsia="宋体" w:hint="default"/>
                <w:sz w:val="18"/>
                <w:szCs w:val="18"/>
              </w:rPr>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资产全部卖出带来的公允价值变动收益所致。</w:t>
            </w:r>
          </w:p>
        </w:tc>
      </w:tr>
      <w:tr>
        <w:trPr>
          <w:trHeight w:val="944" w:hRule="exact"/>
        </w:trPr>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z w:val="18"/>
              </w:rPr>
              <w:t>243,978,920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z w:val="18"/>
              </w:rPr>
              <w:t>200,353,687</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z w:val="18"/>
              </w:rPr>
              <w:t>21.8%</w:t>
            </w:r>
          </w:p>
        </w:tc>
        <w:tc>
          <w:tcPr>
            <w:tcW w:w="39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7"/>
                <w:sz w:val="18"/>
                <w:szCs w:val="18"/>
              </w:rPr>
              <w:t>主要是由于报告期内处置可供出售金融资产产</w:t>
            </w:r>
            <w:r>
              <w:rPr>
                <w:rFonts w:ascii="宋体" w:hAnsi="宋体" w:cs="宋体" w:eastAsia="宋体" w:hint="default"/>
                <w:sz w:val="18"/>
                <w:szCs w:val="18"/>
              </w:rPr>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生的收益增加人民币 77,750,155</w:t>
            </w:r>
            <w:r>
              <w:rPr>
                <w:rFonts w:ascii="宋体" w:hAnsi="宋体" w:cs="宋体" w:eastAsia="宋体" w:hint="default"/>
                <w:spacing w:val="-32"/>
                <w:sz w:val="18"/>
                <w:szCs w:val="18"/>
              </w:rPr>
              <w:t> </w:t>
            </w:r>
            <w:r>
              <w:rPr>
                <w:rFonts w:ascii="宋体" w:hAnsi="宋体" w:cs="宋体" w:eastAsia="宋体" w:hint="default"/>
                <w:sz w:val="18"/>
                <w:szCs w:val="18"/>
              </w:rPr>
              <w:t>元及处置交易</w:t>
            </w:r>
          </w:p>
          <w:p>
            <w:pPr>
              <w:pStyle w:val="TableParagraph"/>
              <w:spacing w:line="240" w:lineRule="auto"/>
              <w:ind w:left="103" w:right="101"/>
              <w:jc w:val="left"/>
              <w:rPr>
                <w:rFonts w:ascii="宋体" w:hAnsi="宋体" w:cs="宋体" w:eastAsia="宋体" w:hint="default"/>
                <w:sz w:val="18"/>
                <w:szCs w:val="18"/>
              </w:rPr>
            </w:pPr>
            <w:r>
              <w:rPr>
                <w:rFonts w:ascii="宋体" w:hAnsi="宋体" w:cs="宋体" w:eastAsia="宋体" w:hint="default"/>
                <w:spacing w:val="2"/>
                <w:sz w:val="18"/>
                <w:szCs w:val="18"/>
              </w:rPr>
              <w:t>性金融资产产生的损失增加人民币</w:t>
            </w:r>
            <w:r>
              <w:rPr>
                <w:rFonts w:ascii="宋体" w:hAnsi="宋体" w:cs="宋体" w:eastAsia="宋体" w:hint="default"/>
                <w:spacing w:val="15"/>
                <w:sz w:val="18"/>
                <w:szCs w:val="18"/>
              </w:rPr>
              <w:t> </w:t>
            </w:r>
            <w:r>
              <w:rPr>
                <w:rFonts w:ascii="宋体" w:hAnsi="宋体" w:cs="宋体" w:eastAsia="宋体" w:hint="default"/>
                <w:sz w:val="18"/>
                <w:szCs w:val="18"/>
              </w:rPr>
              <w:t>40,330,724</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元的净影响所致。</w:t>
            </w:r>
          </w:p>
        </w:tc>
      </w:tr>
      <w:tr>
        <w:trPr>
          <w:trHeight w:val="476" w:hRule="exact"/>
        </w:trPr>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201,792,598</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224,380,308</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-10.1%</w:t>
            </w:r>
          </w:p>
        </w:tc>
        <w:tc>
          <w:tcPr>
            <w:tcW w:w="39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主要是由于 2008</w:t>
            </w:r>
            <w:r>
              <w:rPr>
                <w:rFonts w:ascii="宋体" w:hAnsi="宋体" w:cs="宋体" w:eastAsia="宋体" w:hint="default"/>
                <w:spacing w:val="-32"/>
                <w:sz w:val="18"/>
                <w:szCs w:val="18"/>
              </w:rPr>
              <w:t> </w:t>
            </w:r>
            <w:r>
              <w:rPr>
                <w:rFonts w:ascii="宋体" w:hAnsi="宋体" w:cs="宋体" w:eastAsia="宋体" w:hint="default"/>
                <w:sz w:val="18"/>
                <w:szCs w:val="18"/>
              </w:rPr>
              <w:t>年度公司总部的用友大厦和大</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型</w:t>
            </w:r>
            <w:r>
              <w:rPr>
                <w:rFonts w:ascii="宋体" w:hAnsi="宋体" w:cs="宋体" w:eastAsia="宋体" w:hint="default"/>
                <w:spacing w:val="-46"/>
                <w:sz w:val="18"/>
                <w:szCs w:val="18"/>
              </w:rPr>
              <w:t> </w:t>
            </w:r>
            <w:r>
              <w:rPr>
                <w:rFonts w:ascii="宋体" w:hAnsi="宋体" w:cs="宋体" w:eastAsia="宋体" w:hint="default"/>
                <w:sz w:val="18"/>
                <w:szCs w:val="18"/>
              </w:rPr>
              <w:t>IT</w:t>
            </w:r>
            <w:r>
              <w:rPr>
                <w:rFonts w:ascii="宋体" w:hAnsi="宋体" w:cs="宋体" w:eastAsia="宋体" w:hint="default"/>
                <w:spacing w:val="-46"/>
                <w:sz w:val="18"/>
                <w:szCs w:val="18"/>
              </w:rPr>
              <w:t> </w:t>
            </w:r>
            <w:r>
              <w:rPr>
                <w:rFonts w:ascii="宋体" w:hAnsi="宋体" w:cs="宋体" w:eastAsia="宋体" w:hint="default"/>
                <w:sz w:val="18"/>
                <w:szCs w:val="18"/>
              </w:rPr>
              <w:t>设备处置净收益导致。</w:t>
            </w:r>
          </w:p>
        </w:tc>
      </w:tr>
      <w:tr>
        <w:trPr>
          <w:trHeight w:val="710" w:hRule="exact"/>
        </w:trPr>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20,281,837</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12,334,430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64.4%</w:t>
            </w:r>
          </w:p>
        </w:tc>
        <w:tc>
          <w:tcPr>
            <w:tcW w:w="39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主要是由于方正春元、用友政务和厦门烟草及用</w:t>
            </w:r>
          </w:p>
          <w:p>
            <w:pPr>
              <w:pStyle w:val="TableParagraph"/>
              <w:spacing w:line="232" w:lineRule="exact" w:before="24"/>
              <w:ind w:left="103" w:right="93"/>
              <w:jc w:val="left"/>
              <w:rPr>
                <w:rFonts w:ascii="宋体" w:hAnsi="宋体" w:cs="宋体" w:eastAsia="宋体" w:hint="default"/>
                <w:sz w:val="18"/>
                <w:szCs w:val="18"/>
              </w:rPr>
            </w:pPr>
            <w:r>
              <w:rPr>
                <w:rFonts w:ascii="宋体" w:hAnsi="宋体" w:cs="宋体" w:eastAsia="宋体" w:hint="default"/>
                <w:spacing w:val="7"/>
                <w:sz w:val="18"/>
                <w:szCs w:val="18"/>
              </w:rPr>
              <w:t>友审计少数股东所分享的子公司本年盈利增加</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所致。</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p>
      <w:pPr>
        <w:spacing w:before="26"/>
        <w:ind w:left="620" w:right="2984" w:firstLine="0"/>
        <w:jc w:val="left"/>
        <w:rPr>
          <w:rFonts w:ascii="宋体" w:hAnsi="宋体" w:cs="宋体" w:eastAsia="宋体" w:hint="default"/>
          <w:sz w:val="24"/>
          <w:szCs w:val="24"/>
        </w:rPr>
      </w:pPr>
      <w:r>
        <w:rPr>
          <w:rFonts w:ascii="宋体" w:hAnsi="宋体" w:cs="宋体" w:eastAsia="宋体" w:hint="default"/>
          <w:sz w:val="24"/>
          <w:szCs w:val="24"/>
        </w:rPr>
        <w:t>7、报告期内，公司现金流量构成情况及分析</w:t>
      </w:r>
    </w:p>
    <w:p>
      <w:pPr>
        <w:spacing w:line="240" w:lineRule="auto" w:before="6"/>
        <w:rPr>
          <w:rFonts w:ascii="宋体" w:hAnsi="宋体" w:cs="宋体" w:eastAsia="宋体" w:hint="default"/>
          <w:sz w:val="12"/>
          <w:szCs w:val="12"/>
        </w:rPr>
      </w:pPr>
    </w:p>
    <w:p>
      <w:pPr>
        <w:spacing w:before="35"/>
        <w:ind w:left="0" w:right="479" w:firstLine="0"/>
        <w:jc w:val="right"/>
        <w:rPr>
          <w:rFonts w:ascii="宋体" w:hAnsi="宋体" w:cs="宋体" w:eastAsia="宋体" w:hint="default"/>
          <w:sz w:val="21"/>
          <w:szCs w:val="21"/>
        </w:rPr>
      </w:pPr>
      <w:r>
        <w:rPr>
          <w:rFonts w:ascii="宋体" w:hAnsi="宋体" w:cs="宋体" w:eastAsia="宋体" w:hint="default"/>
          <w:sz w:val="21"/>
          <w:szCs w:val="21"/>
        </w:rPr>
        <w:t>单位：元</w:t>
      </w:r>
    </w:p>
    <w:p>
      <w:pPr>
        <w:spacing w:line="240" w:lineRule="auto" w:before="7"/>
        <w:rPr>
          <w:rFonts w:ascii="宋体" w:hAnsi="宋体" w:cs="宋体" w:eastAsia="宋体" w:hint="default"/>
          <w:sz w:val="2"/>
          <w:szCs w:val="2"/>
        </w:rPr>
      </w:pPr>
    </w:p>
    <w:tbl>
      <w:tblPr>
        <w:tblW w:w="0" w:type="auto"/>
        <w:jc w:val="left"/>
        <w:tblInd w:w="131" w:type="dxa"/>
        <w:tblLayout w:type="fixed"/>
        <w:tblCellMar>
          <w:top w:w="0" w:type="dxa"/>
          <w:left w:w="0" w:type="dxa"/>
          <w:bottom w:w="0" w:type="dxa"/>
          <w:right w:w="0" w:type="dxa"/>
        </w:tblCellMar>
        <w:tblLook w:val="01E0"/>
      </w:tblPr>
      <w:tblGrid>
        <w:gridCol w:w="1604"/>
        <w:gridCol w:w="1500"/>
        <w:gridCol w:w="1400"/>
        <w:gridCol w:w="1000"/>
        <w:gridCol w:w="3900"/>
      </w:tblGrid>
      <w:tr>
        <w:trPr>
          <w:trHeight w:val="350" w:hRule="exact"/>
        </w:trPr>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45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403"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33"/>
              <w:jc w:val="right"/>
              <w:rPr>
                <w:rFonts w:ascii="宋体" w:hAnsi="宋体" w:cs="宋体" w:eastAsia="宋体" w:hint="default"/>
                <w:sz w:val="18"/>
                <w:szCs w:val="18"/>
              </w:rPr>
            </w:pPr>
            <w:r>
              <w:rPr>
                <w:rFonts w:ascii="宋体" w:hAnsi="宋体" w:cs="宋体" w:eastAsia="宋体" w:hint="default"/>
                <w:sz w:val="18"/>
                <w:szCs w:val="18"/>
              </w:rPr>
              <w:t>增减幅度</w:t>
            </w:r>
          </w:p>
        </w:tc>
        <w:tc>
          <w:tcPr>
            <w:tcW w:w="3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476" w:hRule="exact"/>
        </w:trPr>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7"/>
                <w:sz w:val="18"/>
                <w:szCs w:val="18"/>
              </w:rPr>
              <w:t>投资活动产生的</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现金流量净额</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8,344,495</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-5,002,662</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267%</w:t>
            </w:r>
          </w:p>
        </w:tc>
        <w:tc>
          <w:tcPr>
            <w:tcW w:w="3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主要是本期处置交易性金融资产、可供出售金</w:t>
            </w:r>
            <w:r>
              <w:rPr>
                <w:rFonts w:ascii="宋体" w:hAnsi="宋体" w:cs="宋体" w:eastAsia="宋体" w:hint="default"/>
                <w:sz w:val="18"/>
                <w:szCs w:val="18"/>
              </w:rPr>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融资产带来的现金流入量同比大幅增长所致。</w:t>
            </w:r>
          </w:p>
        </w:tc>
      </w:tr>
      <w:tr>
        <w:trPr>
          <w:trHeight w:val="478" w:hRule="exact"/>
        </w:trPr>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7"/>
                <w:sz w:val="18"/>
                <w:szCs w:val="18"/>
              </w:rPr>
              <w:t>筹资活动产生的</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现金流量净额</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130,341,092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-181,555,354</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172%</w:t>
            </w:r>
          </w:p>
        </w:tc>
        <w:tc>
          <w:tcPr>
            <w:tcW w:w="3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主要由于</w:t>
            </w:r>
            <w:r>
              <w:rPr>
                <w:rFonts w:ascii="宋体" w:hAnsi="宋体" w:cs="宋体" w:eastAsia="宋体" w:hint="default"/>
                <w:spacing w:val="-24"/>
                <w:sz w:val="18"/>
                <w:szCs w:val="18"/>
              </w:rPr>
              <w:t> </w:t>
            </w:r>
            <w:r>
              <w:rPr>
                <w:rFonts w:ascii="宋体" w:hAnsi="宋体" w:cs="宋体" w:eastAsia="宋体" w:hint="default"/>
                <w:sz w:val="18"/>
                <w:szCs w:val="18"/>
              </w:rPr>
              <w:t>2009</w:t>
            </w:r>
            <w:r>
              <w:rPr>
                <w:rFonts w:ascii="宋体" w:hAnsi="宋体" w:cs="宋体" w:eastAsia="宋体" w:hint="default"/>
                <w:spacing w:val="-24"/>
                <w:sz w:val="18"/>
                <w:szCs w:val="18"/>
              </w:rPr>
              <w:t> </w:t>
            </w:r>
            <w:r>
              <w:rPr>
                <w:rFonts w:ascii="宋体" w:hAnsi="宋体" w:cs="宋体" w:eastAsia="宋体" w:hint="default"/>
                <w:sz w:val="18"/>
                <w:szCs w:val="18"/>
              </w:rPr>
              <w:t>年与</w:t>
            </w:r>
            <w:r>
              <w:rPr>
                <w:rFonts w:ascii="宋体" w:hAnsi="宋体" w:cs="宋体" w:eastAsia="宋体" w:hint="default"/>
                <w:spacing w:val="-24"/>
                <w:sz w:val="18"/>
                <w:szCs w:val="18"/>
              </w:rPr>
              <w:t> </w:t>
            </w:r>
            <w:r>
              <w:rPr>
                <w:rFonts w:ascii="宋体" w:hAnsi="宋体" w:cs="宋体" w:eastAsia="宋体" w:hint="default"/>
                <w:sz w:val="18"/>
                <w:szCs w:val="18"/>
              </w:rPr>
              <w:t>2008</w:t>
            </w:r>
            <w:r>
              <w:rPr>
                <w:rFonts w:ascii="宋体" w:hAnsi="宋体" w:cs="宋体" w:eastAsia="宋体" w:hint="default"/>
                <w:spacing w:val="-24"/>
                <w:sz w:val="18"/>
                <w:szCs w:val="18"/>
              </w:rPr>
              <w:t> </w:t>
            </w:r>
            <w:r>
              <w:rPr>
                <w:rFonts w:ascii="宋体" w:hAnsi="宋体" w:cs="宋体" w:eastAsia="宋体" w:hint="default"/>
                <w:sz w:val="18"/>
                <w:szCs w:val="18"/>
              </w:rPr>
              <w:t>年授出股权激励股票</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收到的现金差异所致。</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720" w:footer="727" w:top="1080" w:bottom="920" w:left="1220" w:right="820"/>
        </w:sectPr>
      </w:pPr>
    </w:p>
    <w:p>
      <w:pPr>
        <w:spacing w:before="26"/>
        <w:ind w:left="620" w:right="-20" w:firstLine="0"/>
        <w:jc w:val="left"/>
        <w:rPr>
          <w:rFonts w:ascii="宋体" w:hAnsi="宋体" w:cs="宋体" w:eastAsia="宋体" w:hint="default"/>
          <w:sz w:val="24"/>
          <w:szCs w:val="24"/>
        </w:rPr>
      </w:pPr>
      <w:r>
        <w:rPr>
          <w:rFonts w:ascii="宋体" w:hAnsi="宋体" w:cs="宋体" w:eastAsia="宋体" w:hint="default"/>
          <w:sz w:val="24"/>
          <w:szCs w:val="24"/>
        </w:rPr>
        <w:t>8、主要控股子公司和参股公司的经营情况及业绩</w:t>
      </w:r>
    </w:p>
    <w:p>
      <w:pPr>
        <w:spacing w:line="240" w:lineRule="auto" w:before="0"/>
        <w:rPr>
          <w:rFonts w:ascii="宋体" w:hAnsi="宋体" w:cs="宋体" w:eastAsia="宋体" w:hint="default"/>
          <w:sz w:val="20"/>
          <w:szCs w:val="20"/>
        </w:rPr>
      </w:pPr>
      <w:r>
        <w:rPr/>
        <w:br w:type="column"/>
      </w:r>
      <w:r>
        <w:rPr>
          <w:rFonts w:ascii="宋体"/>
          <w:sz w:val="20"/>
        </w:rPr>
      </w:r>
    </w:p>
    <w:p>
      <w:pPr>
        <w:spacing w:before="158"/>
        <w:ind w:left="620"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900" w:bottom="280" w:left="1220" w:right="820"/>
          <w:cols w:num="2" w:equalWidth="0">
            <w:col w:w="5781" w:space="2141"/>
            <w:col w:w="1948"/>
          </w:cols>
        </w:sectPr>
      </w:pPr>
    </w:p>
    <w:p>
      <w:pPr>
        <w:spacing w:line="240" w:lineRule="auto" w:before="7"/>
        <w:rPr>
          <w:rFonts w:ascii="宋体" w:hAnsi="宋体" w:cs="宋体" w:eastAsia="宋体" w:hint="default"/>
          <w:sz w:val="2"/>
          <w:szCs w:val="2"/>
        </w:rPr>
      </w:pPr>
    </w:p>
    <w:tbl>
      <w:tblPr>
        <w:tblW w:w="0" w:type="auto"/>
        <w:jc w:val="left"/>
        <w:tblInd w:w="120" w:type="dxa"/>
        <w:tblLayout w:type="fixed"/>
        <w:tblCellMar>
          <w:top w:w="0" w:type="dxa"/>
          <w:left w:w="0" w:type="dxa"/>
          <w:bottom w:w="0" w:type="dxa"/>
          <w:right w:w="0" w:type="dxa"/>
        </w:tblCellMar>
        <w:tblLook w:val="01E0"/>
      </w:tblPr>
      <w:tblGrid>
        <w:gridCol w:w="616"/>
        <w:gridCol w:w="1100"/>
        <w:gridCol w:w="900"/>
        <w:gridCol w:w="2800"/>
        <w:gridCol w:w="700"/>
        <w:gridCol w:w="1200"/>
        <w:gridCol w:w="1100"/>
        <w:gridCol w:w="1200"/>
      </w:tblGrid>
      <w:tr>
        <w:trPr>
          <w:trHeight w:val="943" w:hRule="exact"/>
        </w:trPr>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32" w:lineRule="exact"/>
              <w:ind w:left="123" w:right="120"/>
              <w:jc w:val="left"/>
              <w:rPr>
                <w:rFonts w:ascii="宋体" w:hAnsi="宋体" w:cs="宋体" w:eastAsia="宋体" w:hint="default"/>
                <w:sz w:val="18"/>
                <w:szCs w:val="18"/>
              </w:rPr>
            </w:pPr>
            <w:r>
              <w:rPr>
                <w:rFonts w:ascii="宋体" w:hAnsi="宋体" w:cs="宋体" w:eastAsia="宋体" w:hint="default"/>
                <w:sz w:val="18"/>
                <w:szCs w:val="18"/>
              </w:rPr>
              <w:t>公司 名称</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8"/>
              <w:ind w:left="175" w:right="173"/>
              <w:jc w:val="center"/>
              <w:rPr>
                <w:rFonts w:ascii="宋体" w:hAnsi="宋体" w:cs="宋体" w:eastAsia="宋体" w:hint="default"/>
                <w:sz w:val="18"/>
                <w:szCs w:val="18"/>
              </w:rPr>
            </w:pPr>
            <w:r>
              <w:rPr>
                <w:rFonts w:ascii="宋体" w:hAnsi="宋体" w:cs="宋体" w:eastAsia="宋体" w:hint="default"/>
                <w:sz w:val="18"/>
                <w:szCs w:val="18"/>
              </w:rPr>
              <w:t>主要产 品或服 务</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经营范围</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64" w:right="0"/>
              <w:jc w:val="both"/>
              <w:rPr>
                <w:rFonts w:ascii="宋体" w:hAnsi="宋体" w:cs="宋体" w:eastAsia="宋体" w:hint="default"/>
                <w:sz w:val="18"/>
                <w:szCs w:val="18"/>
              </w:rPr>
            </w:pPr>
            <w:r>
              <w:rPr>
                <w:rFonts w:ascii="宋体" w:hAnsi="宋体" w:cs="宋体" w:eastAsia="宋体" w:hint="default"/>
                <w:sz w:val="18"/>
                <w:szCs w:val="18"/>
              </w:rPr>
              <w:t>公司</w:t>
            </w:r>
          </w:p>
          <w:p>
            <w:pPr>
              <w:pStyle w:val="TableParagraph"/>
              <w:spacing w:line="237" w:lineRule="auto"/>
              <w:ind w:left="164" w:right="163"/>
              <w:jc w:val="both"/>
              <w:rPr>
                <w:rFonts w:ascii="宋体" w:hAnsi="宋体" w:cs="宋体" w:eastAsia="宋体" w:hint="default"/>
                <w:sz w:val="18"/>
                <w:szCs w:val="18"/>
              </w:rPr>
            </w:pPr>
            <w:r>
              <w:rPr>
                <w:rFonts w:ascii="宋体" w:hAnsi="宋体" w:cs="宋体" w:eastAsia="宋体" w:hint="default"/>
                <w:sz w:val="18"/>
                <w:szCs w:val="18"/>
              </w:rPr>
              <w:t>直接 持股 比例</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55"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261"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净利润</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（净损失）</w:t>
            </w:r>
          </w:p>
        </w:tc>
      </w:tr>
      <w:tr>
        <w:trPr>
          <w:trHeight w:val="730" w:hRule="exact"/>
        </w:trPr>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4" w:right="139"/>
              <w:jc w:val="left"/>
              <w:rPr>
                <w:rFonts w:ascii="宋体" w:hAnsi="宋体" w:cs="宋体" w:eastAsia="宋体" w:hint="default"/>
                <w:sz w:val="18"/>
                <w:szCs w:val="18"/>
              </w:rPr>
            </w:pPr>
            <w:r>
              <w:rPr>
                <w:rFonts w:ascii="宋体" w:hAnsi="宋体" w:cs="宋体" w:eastAsia="宋体" w:hint="default"/>
                <w:sz w:val="18"/>
                <w:szCs w:val="18"/>
              </w:rPr>
              <w:t>用友 政务</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3"/>
              <w:jc w:val="center"/>
              <w:rPr>
                <w:rFonts w:ascii="宋体" w:hAnsi="宋体" w:cs="宋体" w:eastAsia="宋体" w:hint="default"/>
                <w:sz w:val="18"/>
                <w:szCs w:val="18"/>
              </w:rPr>
            </w:pPr>
            <w:r>
              <w:rPr>
                <w:rFonts w:ascii="宋体"/>
                <w:sz w:val="18"/>
              </w:rPr>
              <w:t>26,700,000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软件产</w:t>
            </w:r>
          </w:p>
          <w:p>
            <w:pPr>
              <w:pStyle w:val="TableParagraph"/>
              <w:spacing w:line="232" w:lineRule="exact" w:before="24"/>
              <w:ind w:left="103" w:right="65"/>
              <w:jc w:val="left"/>
              <w:rPr>
                <w:rFonts w:ascii="宋体" w:hAnsi="宋体" w:cs="宋体" w:eastAsia="宋体" w:hint="default"/>
                <w:sz w:val="18"/>
                <w:szCs w:val="18"/>
              </w:rPr>
            </w:pPr>
            <w:r>
              <w:rPr>
                <w:rFonts w:ascii="宋体" w:hAnsi="宋体" w:cs="宋体" w:eastAsia="宋体" w:hint="default"/>
                <w:sz w:val="18"/>
                <w:szCs w:val="18"/>
              </w:rPr>
              <w:t>品销售、 服务</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财务管理软件开发、设计、销售、</w:t>
            </w:r>
          </w:p>
          <w:p>
            <w:pPr>
              <w:pStyle w:val="TableParagraph"/>
              <w:spacing w:line="232" w:lineRule="exact" w:before="24"/>
              <w:ind w:left="103" w:right="164"/>
              <w:jc w:val="left"/>
              <w:rPr>
                <w:rFonts w:ascii="宋体" w:hAnsi="宋体" w:cs="宋体" w:eastAsia="宋体" w:hint="default"/>
                <w:sz w:val="18"/>
                <w:szCs w:val="18"/>
              </w:rPr>
            </w:pPr>
            <w:r>
              <w:rPr>
                <w:rFonts w:ascii="宋体" w:hAnsi="宋体" w:cs="宋体" w:eastAsia="宋体" w:hint="default"/>
                <w:sz w:val="18"/>
                <w:szCs w:val="18"/>
              </w:rPr>
              <w:t>计算机软件、硬件及外部设备销 售，财务管理咨询。</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68%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sz w:val="18"/>
              </w:rPr>
              <w:t>145,491,596</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7"/>
              <w:jc w:val="right"/>
              <w:rPr>
                <w:rFonts w:ascii="宋体" w:hAnsi="宋体" w:cs="宋体" w:eastAsia="宋体" w:hint="default"/>
                <w:sz w:val="18"/>
                <w:szCs w:val="18"/>
              </w:rPr>
            </w:pPr>
            <w:r>
              <w:rPr>
                <w:rFonts w:ascii="宋体"/>
                <w:sz w:val="18"/>
              </w:rPr>
              <w:t>112,648,324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22,949,294</w:t>
            </w:r>
          </w:p>
        </w:tc>
      </w:tr>
      <w:tr>
        <w:trPr>
          <w:trHeight w:val="237" w:hRule="exact"/>
        </w:trPr>
        <w:tc>
          <w:tcPr>
            <w:tcW w:w="616"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90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软件产</w:t>
            </w:r>
          </w:p>
        </w:tc>
        <w:tc>
          <w:tcPr>
            <w:tcW w:w="2800" w:type="dxa"/>
            <w:tcBorders>
              <w:top w:val="single" w:sz="4" w:space="0" w:color="000000"/>
              <w:left w:val="single" w:sz="4" w:space="0" w:color="000000"/>
              <w:bottom w:val="nil" w:sz="6" w:space="0" w:color="auto"/>
              <w:right w:val="single" w:sz="4" w:space="0" w:color="000000"/>
            </w:tcBorders>
          </w:tcPr>
          <w:p>
            <w:pPr/>
          </w:p>
        </w:tc>
        <w:tc>
          <w:tcPr>
            <w:tcW w:w="7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r>
      <w:tr>
        <w:trPr>
          <w:trHeight w:val="701" w:hRule="exact"/>
        </w:trPr>
        <w:tc>
          <w:tcPr>
            <w:tcW w:w="616"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104" w:right="139"/>
              <w:jc w:val="left"/>
              <w:rPr>
                <w:rFonts w:ascii="宋体" w:hAnsi="宋体" w:cs="宋体" w:eastAsia="宋体" w:hint="default"/>
                <w:sz w:val="18"/>
                <w:szCs w:val="18"/>
              </w:rPr>
            </w:pPr>
            <w:r>
              <w:rPr>
                <w:rFonts w:ascii="宋体" w:hAnsi="宋体" w:cs="宋体" w:eastAsia="宋体" w:hint="default"/>
                <w:sz w:val="18"/>
                <w:szCs w:val="18"/>
              </w:rPr>
              <w:t>方正 春元</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3"/>
              <w:jc w:val="center"/>
              <w:rPr>
                <w:rFonts w:ascii="宋体" w:hAnsi="宋体" w:cs="宋体" w:eastAsia="宋体" w:hint="default"/>
                <w:sz w:val="18"/>
                <w:szCs w:val="18"/>
              </w:rPr>
            </w:pPr>
            <w:r>
              <w:rPr>
                <w:rFonts w:ascii="宋体"/>
                <w:sz w:val="18"/>
              </w:rPr>
              <w:t>11,078,600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品定制</w:t>
            </w:r>
          </w:p>
          <w:p>
            <w:pPr>
              <w:pStyle w:val="TableParagraph"/>
              <w:spacing w:line="232" w:lineRule="exact" w:before="24"/>
              <w:ind w:left="103" w:right="101"/>
              <w:jc w:val="left"/>
              <w:rPr>
                <w:rFonts w:ascii="宋体" w:hAnsi="宋体" w:cs="宋体" w:eastAsia="宋体" w:hint="default"/>
                <w:sz w:val="18"/>
                <w:szCs w:val="18"/>
              </w:rPr>
            </w:pPr>
            <w:r>
              <w:rPr>
                <w:rFonts w:ascii="宋体" w:hAnsi="宋体" w:cs="宋体" w:eastAsia="宋体" w:hint="default"/>
                <w:spacing w:val="-9"/>
                <w:sz w:val="18"/>
                <w:szCs w:val="18"/>
              </w:rPr>
              <w:t>开发、销</w:t>
            </w:r>
            <w:r>
              <w:rPr>
                <w:rFonts w:ascii="宋体" w:hAnsi="宋体" w:cs="宋体" w:eastAsia="宋体" w:hint="default"/>
                <w:sz w:val="18"/>
                <w:szCs w:val="18"/>
              </w:rPr>
              <w:t> 售及相</w:t>
            </w: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计算机软件技术开发及销售，网</w:t>
            </w:r>
          </w:p>
          <w:p>
            <w:pPr>
              <w:pStyle w:val="TableParagraph"/>
              <w:spacing w:line="240" w:lineRule="auto"/>
              <w:ind w:left="103" w:right="11"/>
              <w:jc w:val="left"/>
              <w:rPr>
                <w:rFonts w:ascii="宋体" w:hAnsi="宋体" w:cs="宋体" w:eastAsia="宋体" w:hint="default"/>
                <w:sz w:val="18"/>
                <w:szCs w:val="18"/>
              </w:rPr>
            </w:pPr>
            <w:r>
              <w:rPr>
                <w:rFonts w:ascii="宋体" w:hAnsi="宋体" w:cs="宋体" w:eastAsia="宋体" w:hint="default"/>
                <w:spacing w:val="-2"/>
                <w:sz w:val="18"/>
                <w:szCs w:val="18"/>
              </w:rPr>
              <w:t>络系统工程设计，技术安装服务，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技术咨询和技术转让等。</w:t>
            </w:r>
          </w:p>
        </w:tc>
        <w:tc>
          <w:tcPr>
            <w:tcW w:w="7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100%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sz w:val="18"/>
              </w:rPr>
              <w:t>196,800,450</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7"/>
              <w:jc w:val="right"/>
              <w:rPr>
                <w:rFonts w:ascii="宋体" w:hAnsi="宋体" w:cs="宋体" w:eastAsia="宋体" w:hint="default"/>
                <w:sz w:val="18"/>
                <w:szCs w:val="18"/>
              </w:rPr>
            </w:pPr>
            <w:r>
              <w:rPr>
                <w:rFonts w:ascii="宋体"/>
                <w:sz w:val="18"/>
              </w:rPr>
              <w:t>193,641,722</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35,112,237</w:t>
            </w:r>
          </w:p>
        </w:tc>
      </w:tr>
      <w:tr>
        <w:trPr>
          <w:trHeight w:val="239" w:hRule="exact"/>
        </w:trPr>
        <w:tc>
          <w:tcPr>
            <w:tcW w:w="616"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900"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关服务</w:t>
            </w:r>
          </w:p>
        </w:tc>
        <w:tc>
          <w:tcPr>
            <w:tcW w:w="2800" w:type="dxa"/>
            <w:tcBorders>
              <w:top w:val="nil" w:sz="6" w:space="0" w:color="auto"/>
              <w:left w:val="single" w:sz="4" w:space="0" w:color="000000"/>
              <w:bottom w:val="single" w:sz="4" w:space="0" w:color="000000"/>
              <w:right w:val="single" w:sz="4" w:space="0" w:color="000000"/>
            </w:tcBorders>
          </w:tcPr>
          <w:p>
            <w:pPr/>
          </w:p>
        </w:tc>
        <w:tc>
          <w:tcPr>
            <w:tcW w:w="7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r>
      <w:tr>
        <w:trPr>
          <w:trHeight w:val="237" w:hRule="exact"/>
        </w:trPr>
        <w:tc>
          <w:tcPr>
            <w:tcW w:w="616"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90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软件产</w:t>
            </w:r>
          </w:p>
        </w:tc>
        <w:tc>
          <w:tcPr>
            <w:tcW w:w="2800" w:type="dxa"/>
            <w:tcBorders>
              <w:top w:val="single" w:sz="4" w:space="0" w:color="000000"/>
              <w:left w:val="single" w:sz="4" w:space="0" w:color="000000"/>
              <w:bottom w:val="nil" w:sz="6" w:space="0" w:color="auto"/>
              <w:right w:val="single" w:sz="4" w:space="0" w:color="000000"/>
            </w:tcBorders>
          </w:tcPr>
          <w:p>
            <w:pPr/>
          </w:p>
        </w:tc>
        <w:tc>
          <w:tcPr>
            <w:tcW w:w="7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r>
      <w:tr>
        <w:trPr>
          <w:trHeight w:val="701" w:hRule="exact"/>
        </w:trPr>
        <w:tc>
          <w:tcPr>
            <w:tcW w:w="616"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104" w:right="139"/>
              <w:jc w:val="left"/>
              <w:rPr>
                <w:rFonts w:ascii="宋体" w:hAnsi="宋体" w:cs="宋体" w:eastAsia="宋体" w:hint="default"/>
                <w:sz w:val="18"/>
                <w:szCs w:val="18"/>
              </w:rPr>
            </w:pPr>
            <w:r>
              <w:rPr>
                <w:rFonts w:ascii="宋体" w:hAnsi="宋体" w:cs="宋体" w:eastAsia="宋体" w:hint="default"/>
                <w:sz w:val="18"/>
                <w:szCs w:val="18"/>
              </w:rPr>
              <w:t>用友 烟草</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3"/>
              <w:jc w:val="center"/>
              <w:rPr>
                <w:rFonts w:ascii="宋体" w:hAnsi="宋体" w:cs="宋体" w:eastAsia="宋体" w:hint="default"/>
                <w:sz w:val="18"/>
                <w:szCs w:val="18"/>
              </w:rPr>
            </w:pPr>
            <w:r>
              <w:rPr>
                <w:rFonts w:ascii="宋体"/>
                <w:sz w:val="18"/>
              </w:rPr>
              <w:t>20,000,000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品定制</w:t>
            </w:r>
          </w:p>
          <w:p>
            <w:pPr>
              <w:pStyle w:val="TableParagraph"/>
              <w:spacing w:line="240" w:lineRule="auto"/>
              <w:ind w:left="103" w:right="101"/>
              <w:jc w:val="left"/>
              <w:rPr>
                <w:rFonts w:ascii="宋体" w:hAnsi="宋体" w:cs="宋体" w:eastAsia="宋体" w:hint="default"/>
                <w:sz w:val="18"/>
                <w:szCs w:val="18"/>
              </w:rPr>
            </w:pPr>
            <w:r>
              <w:rPr>
                <w:rFonts w:ascii="宋体" w:hAnsi="宋体" w:cs="宋体" w:eastAsia="宋体" w:hint="default"/>
                <w:spacing w:val="-9"/>
                <w:sz w:val="18"/>
                <w:szCs w:val="18"/>
              </w:rPr>
              <w:t>开发、销</w:t>
            </w:r>
            <w:r>
              <w:rPr>
                <w:rFonts w:ascii="宋体" w:hAnsi="宋体" w:cs="宋体" w:eastAsia="宋体" w:hint="default"/>
                <w:sz w:val="18"/>
                <w:szCs w:val="18"/>
              </w:rPr>
              <w:t> 售及相</w:t>
            </w: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烟草软件及其它相关软件开发设</w:t>
            </w:r>
          </w:p>
          <w:p>
            <w:pPr>
              <w:pStyle w:val="TableParagraph"/>
              <w:spacing w:line="232" w:lineRule="exact" w:before="24"/>
              <w:ind w:left="103" w:right="254"/>
              <w:jc w:val="left"/>
              <w:rPr>
                <w:rFonts w:ascii="宋体" w:hAnsi="宋体" w:cs="宋体" w:eastAsia="宋体" w:hint="default"/>
                <w:sz w:val="18"/>
                <w:szCs w:val="18"/>
              </w:rPr>
            </w:pPr>
            <w:r>
              <w:rPr>
                <w:rFonts w:ascii="宋体" w:hAnsi="宋体" w:cs="宋体" w:eastAsia="宋体" w:hint="default"/>
                <w:sz w:val="18"/>
                <w:szCs w:val="18"/>
              </w:rPr>
              <w:t>计,硬件制造,销售,并提供烟草 行业信息化咨询服务</w:t>
            </w:r>
          </w:p>
        </w:tc>
        <w:tc>
          <w:tcPr>
            <w:tcW w:w="7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76%</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sz w:val="18"/>
              </w:rPr>
              <w:t>124,979,850</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7"/>
              <w:jc w:val="right"/>
              <w:rPr>
                <w:rFonts w:ascii="宋体" w:hAnsi="宋体" w:cs="宋体" w:eastAsia="宋体" w:hint="default"/>
                <w:sz w:val="18"/>
                <w:szCs w:val="18"/>
              </w:rPr>
            </w:pPr>
            <w:r>
              <w:rPr>
                <w:rFonts w:ascii="宋体"/>
                <w:sz w:val="18"/>
              </w:rPr>
              <w:t>72,442,057</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29,169,545</w:t>
            </w:r>
          </w:p>
        </w:tc>
      </w:tr>
      <w:tr>
        <w:trPr>
          <w:trHeight w:val="239" w:hRule="exact"/>
        </w:trPr>
        <w:tc>
          <w:tcPr>
            <w:tcW w:w="616"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900"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关服务</w:t>
            </w:r>
          </w:p>
        </w:tc>
        <w:tc>
          <w:tcPr>
            <w:tcW w:w="2800" w:type="dxa"/>
            <w:tcBorders>
              <w:top w:val="nil" w:sz="6" w:space="0" w:color="auto"/>
              <w:left w:val="single" w:sz="4" w:space="0" w:color="000000"/>
              <w:bottom w:val="single" w:sz="4" w:space="0" w:color="000000"/>
              <w:right w:val="single" w:sz="4" w:space="0" w:color="000000"/>
            </w:tcBorders>
          </w:tcPr>
          <w:p>
            <w:pPr/>
          </w:p>
        </w:tc>
        <w:tc>
          <w:tcPr>
            <w:tcW w:w="7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r>
      <w:tr>
        <w:trPr>
          <w:trHeight w:val="944" w:hRule="exact"/>
        </w:trPr>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4" w:right="139"/>
              <w:jc w:val="left"/>
              <w:rPr>
                <w:rFonts w:ascii="宋体" w:hAnsi="宋体" w:cs="宋体" w:eastAsia="宋体" w:hint="default"/>
                <w:sz w:val="18"/>
                <w:szCs w:val="18"/>
              </w:rPr>
            </w:pPr>
            <w:r>
              <w:rPr>
                <w:rFonts w:ascii="宋体" w:hAnsi="宋体" w:cs="宋体" w:eastAsia="宋体" w:hint="default"/>
                <w:sz w:val="18"/>
                <w:szCs w:val="18"/>
              </w:rPr>
              <w:t>安徽 用友</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74" w:right="0"/>
              <w:jc w:val="center"/>
              <w:rPr>
                <w:rFonts w:ascii="宋体" w:hAnsi="宋体" w:cs="宋体" w:eastAsia="宋体" w:hint="default"/>
                <w:sz w:val="18"/>
                <w:szCs w:val="18"/>
              </w:rPr>
            </w:pPr>
            <w:r>
              <w:rPr>
                <w:rFonts w:ascii="宋体"/>
                <w:sz w:val="18"/>
              </w:rPr>
              <w:t>1,200,000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8"/>
              <w:ind w:left="103" w:right="65"/>
              <w:jc w:val="left"/>
              <w:rPr>
                <w:rFonts w:ascii="宋体" w:hAnsi="宋体" w:cs="宋体" w:eastAsia="宋体" w:hint="default"/>
                <w:sz w:val="18"/>
                <w:szCs w:val="18"/>
              </w:rPr>
            </w:pPr>
            <w:r>
              <w:rPr>
                <w:rFonts w:ascii="宋体" w:hAnsi="宋体" w:cs="宋体" w:eastAsia="宋体" w:hint="default"/>
                <w:sz w:val="18"/>
                <w:szCs w:val="18"/>
              </w:rPr>
              <w:t>软件产 品销售、 服务</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会计电算化、电子化推广与技术</w:t>
            </w:r>
          </w:p>
          <w:p>
            <w:pPr>
              <w:pStyle w:val="TableParagraph"/>
              <w:spacing w:line="237" w:lineRule="auto" w:before="1"/>
              <w:ind w:left="103" w:right="11"/>
              <w:jc w:val="left"/>
              <w:rPr>
                <w:rFonts w:ascii="宋体" w:hAnsi="宋体" w:cs="宋体" w:eastAsia="宋体" w:hint="default"/>
                <w:sz w:val="18"/>
                <w:szCs w:val="18"/>
              </w:rPr>
            </w:pPr>
            <w:r>
              <w:rPr>
                <w:rFonts w:ascii="宋体" w:hAnsi="宋体" w:cs="宋体" w:eastAsia="宋体" w:hint="default"/>
                <w:sz w:val="18"/>
                <w:szCs w:val="18"/>
              </w:rPr>
              <w:t>服务、计算机软件开发及网络工 </w:t>
            </w:r>
            <w:r>
              <w:rPr>
                <w:rFonts w:ascii="宋体" w:hAnsi="宋体" w:cs="宋体" w:eastAsia="宋体" w:hint="default"/>
                <w:spacing w:val="-2"/>
                <w:sz w:val="18"/>
                <w:szCs w:val="18"/>
              </w:rPr>
              <w:t>程施工、电子计算机及软件销售、</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培训</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z w:val="18"/>
              </w:rPr>
              <w:t>82%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193" w:right="0"/>
              <w:jc w:val="left"/>
              <w:rPr>
                <w:rFonts w:ascii="宋体" w:hAnsi="宋体" w:cs="宋体" w:eastAsia="宋体" w:hint="default"/>
                <w:sz w:val="18"/>
                <w:szCs w:val="18"/>
              </w:rPr>
            </w:pPr>
            <w:r>
              <w:rPr>
                <w:rFonts w:ascii="宋体"/>
                <w:sz w:val="18"/>
              </w:rPr>
              <w:t>13,390,210</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7"/>
              <w:jc w:val="right"/>
              <w:rPr>
                <w:rFonts w:ascii="宋体" w:hAnsi="宋体" w:cs="宋体" w:eastAsia="宋体" w:hint="default"/>
                <w:sz w:val="18"/>
                <w:szCs w:val="18"/>
              </w:rPr>
            </w:pPr>
            <w:r>
              <w:rPr>
                <w:rFonts w:ascii="宋体"/>
                <w:sz w:val="18"/>
              </w:rPr>
              <w:t>9,422,461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z w:val="18"/>
              </w:rPr>
              <w:t>196,459</w:t>
            </w:r>
          </w:p>
        </w:tc>
      </w:tr>
    </w:tbl>
    <w:p>
      <w:pPr>
        <w:spacing w:after="0" w:line="240" w:lineRule="auto"/>
        <w:jc w:val="right"/>
        <w:rPr>
          <w:rFonts w:ascii="宋体" w:hAnsi="宋体" w:cs="宋体" w:eastAsia="宋体" w:hint="default"/>
          <w:sz w:val="18"/>
          <w:szCs w:val="18"/>
        </w:rPr>
        <w:sectPr>
          <w:type w:val="continuous"/>
          <w:pgSz w:w="11910" w:h="16840"/>
          <w:pgMar w:top="900" w:bottom="280" w:left="1220" w:right="82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0"/>
          <w:szCs w:val="10"/>
        </w:rPr>
      </w:pPr>
    </w:p>
    <w:tbl>
      <w:tblPr>
        <w:tblW w:w="0" w:type="auto"/>
        <w:jc w:val="left"/>
        <w:tblInd w:w="120" w:type="dxa"/>
        <w:tblLayout w:type="fixed"/>
        <w:tblCellMar>
          <w:top w:w="0" w:type="dxa"/>
          <w:left w:w="0" w:type="dxa"/>
          <w:bottom w:w="0" w:type="dxa"/>
          <w:right w:w="0" w:type="dxa"/>
        </w:tblCellMar>
        <w:tblLook w:val="01E0"/>
      </w:tblPr>
      <w:tblGrid>
        <w:gridCol w:w="616"/>
        <w:gridCol w:w="1100"/>
        <w:gridCol w:w="900"/>
        <w:gridCol w:w="2800"/>
        <w:gridCol w:w="700"/>
        <w:gridCol w:w="1200"/>
        <w:gridCol w:w="1100"/>
        <w:gridCol w:w="1200"/>
      </w:tblGrid>
      <w:tr>
        <w:trPr>
          <w:trHeight w:val="943" w:hRule="exact"/>
        </w:trPr>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4" w:right="139"/>
              <w:jc w:val="left"/>
              <w:rPr>
                <w:rFonts w:ascii="宋体" w:hAnsi="宋体" w:cs="宋体" w:eastAsia="宋体" w:hint="default"/>
                <w:sz w:val="18"/>
                <w:szCs w:val="18"/>
              </w:rPr>
            </w:pPr>
            <w:r>
              <w:rPr>
                <w:rFonts w:ascii="宋体" w:hAnsi="宋体" w:cs="宋体" w:eastAsia="宋体" w:hint="default"/>
                <w:sz w:val="18"/>
                <w:szCs w:val="18"/>
              </w:rPr>
              <w:t>天津 用友</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01"/>
              <w:jc w:val="right"/>
              <w:rPr>
                <w:rFonts w:ascii="宋体" w:hAnsi="宋体" w:cs="宋体" w:eastAsia="宋体" w:hint="default"/>
                <w:sz w:val="18"/>
                <w:szCs w:val="18"/>
              </w:rPr>
            </w:pPr>
            <w:r>
              <w:rPr>
                <w:rFonts w:ascii="宋体"/>
                <w:sz w:val="18"/>
              </w:rPr>
              <w:t>500,001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8"/>
              <w:ind w:left="103" w:right="65"/>
              <w:jc w:val="left"/>
              <w:rPr>
                <w:rFonts w:ascii="宋体" w:hAnsi="宋体" w:cs="宋体" w:eastAsia="宋体" w:hint="default"/>
                <w:sz w:val="18"/>
                <w:szCs w:val="18"/>
              </w:rPr>
            </w:pPr>
            <w:r>
              <w:rPr>
                <w:rFonts w:ascii="宋体" w:hAnsi="宋体" w:cs="宋体" w:eastAsia="宋体" w:hint="default"/>
                <w:sz w:val="18"/>
                <w:szCs w:val="18"/>
              </w:rPr>
              <w:t>软件产 品销售、 服务</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z w:val="18"/>
                <w:szCs w:val="18"/>
              </w:rPr>
              <w:t>技术开发、咨询、服务、转让、</w:t>
            </w:r>
          </w:p>
          <w:p>
            <w:pPr>
              <w:pStyle w:val="TableParagraph"/>
              <w:spacing w:line="237" w:lineRule="auto" w:before="1"/>
              <w:ind w:left="103" w:right="101"/>
              <w:jc w:val="both"/>
              <w:rPr>
                <w:rFonts w:ascii="宋体" w:hAnsi="宋体" w:cs="宋体" w:eastAsia="宋体" w:hint="default"/>
                <w:sz w:val="18"/>
                <w:szCs w:val="18"/>
              </w:rPr>
            </w:pPr>
            <w:r>
              <w:rPr>
                <w:rFonts w:ascii="宋体" w:hAnsi="宋体" w:cs="宋体" w:eastAsia="宋体" w:hint="default"/>
                <w:spacing w:val="-2"/>
                <w:sz w:val="18"/>
                <w:szCs w:val="18"/>
              </w:rPr>
              <w:t>培训(电子与信息、机电一体化的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
                <w:sz w:val="18"/>
                <w:szCs w:val="18"/>
              </w:rPr>
              <w:t>技术及产品)；计算机软件、文化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办公用机械批发兼零售</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01"/>
              <w:jc w:val="right"/>
              <w:rPr>
                <w:rFonts w:ascii="宋体" w:hAnsi="宋体" w:cs="宋体" w:eastAsia="宋体" w:hint="default"/>
                <w:sz w:val="18"/>
                <w:szCs w:val="18"/>
              </w:rPr>
            </w:pPr>
            <w:r>
              <w:rPr>
                <w:rFonts w:ascii="宋体"/>
                <w:sz w:val="18"/>
              </w:rPr>
              <w:t>90%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95"/>
              <w:jc w:val="right"/>
              <w:rPr>
                <w:rFonts w:ascii="宋体" w:hAnsi="宋体" w:cs="宋体" w:eastAsia="宋体" w:hint="default"/>
                <w:sz w:val="18"/>
                <w:szCs w:val="18"/>
              </w:rPr>
            </w:pPr>
            <w:r>
              <w:rPr>
                <w:rFonts w:ascii="宋体"/>
                <w:sz w:val="18"/>
              </w:rPr>
              <w:t>40,716,536</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7"/>
              <w:jc w:val="right"/>
              <w:rPr>
                <w:rFonts w:ascii="宋体" w:hAnsi="宋体" w:cs="宋体" w:eastAsia="宋体" w:hint="default"/>
                <w:sz w:val="18"/>
                <w:szCs w:val="18"/>
              </w:rPr>
            </w:pPr>
            <w:r>
              <w:rPr>
                <w:rFonts w:ascii="宋体"/>
                <w:sz w:val="18"/>
              </w:rPr>
              <w:t>24,300,713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01"/>
              <w:jc w:val="right"/>
              <w:rPr>
                <w:rFonts w:ascii="宋体" w:hAnsi="宋体" w:cs="宋体" w:eastAsia="宋体" w:hint="default"/>
                <w:sz w:val="18"/>
                <w:szCs w:val="18"/>
              </w:rPr>
            </w:pPr>
            <w:r>
              <w:rPr>
                <w:rFonts w:ascii="宋体"/>
                <w:sz w:val="18"/>
              </w:rPr>
              <w:t>3,854,612</w:t>
            </w:r>
          </w:p>
        </w:tc>
      </w:tr>
      <w:tr>
        <w:trPr>
          <w:trHeight w:val="237" w:hRule="exact"/>
        </w:trPr>
        <w:tc>
          <w:tcPr>
            <w:tcW w:w="616"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900" w:type="dxa"/>
            <w:tcBorders>
              <w:top w:val="single" w:sz="4" w:space="0" w:color="000000"/>
              <w:left w:val="single" w:sz="4" w:space="0" w:color="000000"/>
              <w:bottom w:val="nil" w:sz="6" w:space="0" w:color="auto"/>
              <w:right w:val="single" w:sz="4" w:space="0" w:color="000000"/>
            </w:tcBorders>
          </w:tcPr>
          <w:p>
            <w:pPr/>
          </w:p>
        </w:tc>
        <w:tc>
          <w:tcPr>
            <w:tcW w:w="280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电子计算机软硬件、网络工程的</w:t>
            </w:r>
          </w:p>
        </w:tc>
        <w:tc>
          <w:tcPr>
            <w:tcW w:w="7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616"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技术服务、技术转让、信息咨询、</w:t>
            </w:r>
          </w:p>
        </w:tc>
        <w:tc>
          <w:tcPr>
            <w:tcW w:w="7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r>
      <w:tr>
        <w:trPr>
          <w:trHeight w:val="701" w:hRule="exact"/>
        </w:trPr>
        <w:tc>
          <w:tcPr>
            <w:tcW w:w="616"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104" w:right="139"/>
              <w:jc w:val="left"/>
              <w:rPr>
                <w:rFonts w:ascii="宋体" w:hAnsi="宋体" w:cs="宋体" w:eastAsia="宋体" w:hint="default"/>
                <w:sz w:val="18"/>
                <w:szCs w:val="18"/>
              </w:rPr>
            </w:pPr>
            <w:r>
              <w:rPr>
                <w:rFonts w:ascii="宋体" w:hAnsi="宋体" w:cs="宋体" w:eastAsia="宋体" w:hint="default"/>
                <w:sz w:val="18"/>
                <w:szCs w:val="18"/>
              </w:rPr>
              <w:t>广东 用友</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5,000,000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软件产</w:t>
            </w:r>
          </w:p>
          <w:p>
            <w:pPr>
              <w:pStyle w:val="TableParagraph"/>
              <w:spacing w:line="240" w:lineRule="auto"/>
              <w:ind w:left="103" w:right="65"/>
              <w:jc w:val="left"/>
              <w:rPr>
                <w:rFonts w:ascii="宋体" w:hAnsi="宋体" w:cs="宋体" w:eastAsia="宋体" w:hint="default"/>
                <w:sz w:val="18"/>
                <w:szCs w:val="18"/>
              </w:rPr>
            </w:pPr>
            <w:r>
              <w:rPr>
                <w:rFonts w:ascii="宋体" w:hAnsi="宋体" w:cs="宋体" w:eastAsia="宋体" w:hint="default"/>
                <w:sz w:val="18"/>
                <w:szCs w:val="18"/>
              </w:rPr>
              <w:t>品销售、 服务</w:t>
            </w: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技术培训、数据库服务；销售电</w:t>
            </w:r>
          </w:p>
          <w:p>
            <w:pPr>
              <w:pStyle w:val="TableParagraph"/>
              <w:spacing w:line="240" w:lineRule="auto"/>
              <w:ind w:left="103" w:right="164"/>
              <w:jc w:val="left"/>
              <w:rPr>
                <w:rFonts w:ascii="宋体" w:hAnsi="宋体" w:cs="宋体" w:eastAsia="宋体" w:hint="default"/>
                <w:sz w:val="18"/>
                <w:szCs w:val="18"/>
              </w:rPr>
            </w:pPr>
            <w:r>
              <w:rPr>
                <w:rFonts w:ascii="宋体" w:hAnsi="宋体" w:cs="宋体" w:eastAsia="宋体" w:hint="default"/>
                <w:sz w:val="18"/>
                <w:szCs w:val="18"/>
              </w:rPr>
              <w:t>子计算机及配件、办公设备、电 子产品及通信设备（不含广播、</w:t>
            </w:r>
          </w:p>
        </w:tc>
        <w:tc>
          <w:tcPr>
            <w:tcW w:w="70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90%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5"/>
              <w:jc w:val="right"/>
              <w:rPr>
                <w:rFonts w:ascii="宋体" w:hAnsi="宋体" w:cs="宋体" w:eastAsia="宋体" w:hint="default"/>
                <w:sz w:val="18"/>
                <w:szCs w:val="18"/>
              </w:rPr>
            </w:pPr>
            <w:r>
              <w:rPr>
                <w:rFonts w:ascii="宋体"/>
                <w:sz w:val="18"/>
              </w:rPr>
              <w:t>89,025,175</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宋体" w:hAnsi="宋体" w:cs="宋体" w:eastAsia="宋体" w:hint="default"/>
                <w:sz w:val="18"/>
                <w:szCs w:val="18"/>
              </w:rPr>
            </w:pPr>
            <w:r>
              <w:rPr>
                <w:rFonts w:ascii="宋体"/>
                <w:sz w:val="18"/>
              </w:rPr>
              <w:t>31,706,043</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-606,660</w:t>
            </w:r>
          </w:p>
        </w:tc>
      </w:tr>
      <w:tr>
        <w:trPr>
          <w:trHeight w:val="233" w:hRule="exact"/>
        </w:trPr>
        <w:tc>
          <w:tcPr>
            <w:tcW w:w="616"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电视接收、发射设备）；企业管</w:t>
            </w:r>
          </w:p>
        </w:tc>
        <w:tc>
          <w:tcPr>
            <w:tcW w:w="7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616"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900" w:type="dxa"/>
            <w:tcBorders>
              <w:top w:val="nil" w:sz="6" w:space="0" w:color="auto"/>
              <w:left w:val="single" w:sz="4" w:space="0" w:color="000000"/>
              <w:bottom w:val="single" w:sz="4" w:space="0" w:color="000000"/>
              <w:right w:val="single" w:sz="4" w:space="0" w:color="000000"/>
            </w:tcBorders>
          </w:tcPr>
          <w:p>
            <w:pPr/>
          </w:p>
        </w:tc>
        <w:tc>
          <w:tcPr>
            <w:tcW w:w="2800"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理咨询</w:t>
            </w:r>
          </w:p>
        </w:tc>
        <w:tc>
          <w:tcPr>
            <w:tcW w:w="7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r>
      <w:tr>
        <w:trPr>
          <w:trHeight w:val="943" w:hRule="exact"/>
        </w:trPr>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32" w:lineRule="exact"/>
              <w:ind w:left="104" w:right="139"/>
              <w:jc w:val="left"/>
              <w:rPr>
                <w:rFonts w:ascii="宋体" w:hAnsi="宋体" w:cs="宋体" w:eastAsia="宋体" w:hint="default"/>
                <w:sz w:val="18"/>
                <w:szCs w:val="18"/>
              </w:rPr>
            </w:pPr>
            <w:r>
              <w:rPr>
                <w:rFonts w:ascii="宋体" w:hAnsi="宋体" w:cs="宋体" w:eastAsia="宋体" w:hint="default"/>
                <w:sz w:val="18"/>
                <w:szCs w:val="18"/>
              </w:rPr>
              <w:t>武汉 用友</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01"/>
              <w:jc w:val="right"/>
              <w:rPr>
                <w:rFonts w:ascii="宋体" w:hAnsi="宋体" w:cs="宋体" w:eastAsia="宋体" w:hint="default"/>
                <w:sz w:val="18"/>
                <w:szCs w:val="18"/>
              </w:rPr>
            </w:pPr>
            <w:r>
              <w:rPr>
                <w:rFonts w:ascii="宋体"/>
                <w:sz w:val="18"/>
              </w:rPr>
              <w:t>500,000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8"/>
              <w:ind w:left="103" w:right="65"/>
              <w:jc w:val="left"/>
              <w:rPr>
                <w:rFonts w:ascii="宋体" w:hAnsi="宋体" w:cs="宋体" w:eastAsia="宋体" w:hint="default"/>
                <w:sz w:val="18"/>
                <w:szCs w:val="18"/>
              </w:rPr>
            </w:pPr>
            <w:r>
              <w:rPr>
                <w:rFonts w:ascii="宋体" w:hAnsi="宋体" w:cs="宋体" w:eastAsia="宋体" w:hint="default"/>
                <w:sz w:val="18"/>
                <w:szCs w:val="18"/>
              </w:rPr>
              <w:t>软件产 品销售、 服务</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计算机软件、电子技术的开发、</w:t>
            </w:r>
          </w:p>
          <w:p>
            <w:pPr>
              <w:pStyle w:val="TableParagraph"/>
              <w:spacing w:line="237" w:lineRule="auto"/>
              <w:ind w:left="103" w:right="11"/>
              <w:jc w:val="left"/>
              <w:rPr>
                <w:rFonts w:ascii="宋体" w:hAnsi="宋体" w:cs="宋体" w:eastAsia="宋体" w:hint="default"/>
                <w:sz w:val="18"/>
                <w:szCs w:val="18"/>
              </w:rPr>
            </w:pPr>
            <w:r>
              <w:rPr>
                <w:rFonts w:ascii="宋体" w:hAnsi="宋体" w:cs="宋体" w:eastAsia="宋体" w:hint="default"/>
                <w:sz w:val="18"/>
                <w:szCs w:val="18"/>
              </w:rPr>
              <w:t>研制、技术服务及咨询；计算机 </w:t>
            </w:r>
            <w:r>
              <w:rPr>
                <w:rFonts w:ascii="宋体" w:hAnsi="宋体" w:cs="宋体" w:eastAsia="宋体" w:hint="default"/>
                <w:spacing w:val="-2"/>
                <w:sz w:val="18"/>
                <w:szCs w:val="18"/>
              </w:rPr>
              <w:t>及配件、电子元器件批发兼零售、</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信息服务</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right="101"/>
              <w:jc w:val="right"/>
              <w:rPr>
                <w:rFonts w:ascii="宋体" w:hAnsi="宋体" w:cs="宋体" w:eastAsia="宋体" w:hint="default"/>
                <w:sz w:val="18"/>
                <w:szCs w:val="18"/>
              </w:rPr>
            </w:pPr>
            <w:r>
              <w:rPr>
                <w:rFonts w:ascii="宋体"/>
                <w:sz w:val="18"/>
              </w:rPr>
              <w:t>95%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right="95"/>
              <w:jc w:val="right"/>
              <w:rPr>
                <w:rFonts w:ascii="宋体" w:hAnsi="宋体" w:cs="宋体" w:eastAsia="宋体" w:hint="default"/>
                <w:sz w:val="18"/>
                <w:szCs w:val="18"/>
              </w:rPr>
            </w:pPr>
            <w:r>
              <w:rPr>
                <w:rFonts w:ascii="宋体"/>
                <w:sz w:val="18"/>
              </w:rPr>
              <w:t>21,430,638</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right="17"/>
              <w:jc w:val="right"/>
              <w:rPr>
                <w:rFonts w:ascii="宋体" w:hAnsi="宋体" w:cs="宋体" w:eastAsia="宋体" w:hint="default"/>
                <w:sz w:val="18"/>
                <w:szCs w:val="18"/>
              </w:rPr>
            </w:pPr>
            <w:r>
              <w:rPr>
                <w:rFonts w:ascii="宋体"/>
                <w:sz w:val="18"/>
              </w:rPr>
              <w:t>9,422,658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right="101"/>
              <w:jc w:val="right"/>
              <w:rPr>
                <w:rFonts w:ascii="宋体" w:hAnsi="宋体" w:cs="宋体" w:eastAsia="宋体" w:hint="default"/>
                <w:sz w:val="18"/>
                <w:szCs w:val="18"/>
              </w:rPr>
            </w:pPr>
            <w:r>
              <w:rPr>
                <w:rFonts w:ascii="宋体"/>
                <w:sz w:val="18"/>
              </w:rPr>
              <w:t>-2,144,826</w:t>
            </w:r>
          </w:p>
        </w:tc>
      </w:tr>
      <w:tr>
        <w:trPr>
          <w:trHeight w:val="237" w:hRule="exact"/>
        </w:trPr>
        <w:tc>
          <w:tcPr>
            <w:tcW w:w="616"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900" w:type="dxa"/>
            <w:tcBorders>
              <w:top w:val="single" w:sz="4" w:space="0" w:color="000000"/>
              <w:left w:val="single" w:sz="4" w:space="0" w:color="000000"/>
              <w:bottom w:val="nil" w:sz="6" w:space="0" w:color="auto"/>
              <w:right w:val="single" w:sz="4" w:space="0" w:color="000000"/>
            </w:tcBorders>
          </w:tcPr>
          <w:p>
            <w:pPr/>
          </w:p>
        </w:tc>
        <w:tc>
          <w:tcPr>
            <w:tcW w:w="280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计算机软、硬件及外围设备的开</w:t>
            </w:r>
          </w:p>
        </w:tc>
        <w:tc>
          <w:tcPr>
            <w:tcW w:w="7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r>
      <w:tr>
        <w:trPr>
          <w:trHeight w:val="934" w:hRule="exact"/>
        </w:trPr>
        <w:tc>
          <w:tcPr>
            <w:tcW w:w="61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104" w:right="139"/>
              <w:jc w:val="left"/>
              <w:rPr>
                <w:rFonts w:ascii="宋体" w:hAnsi="宋体" w:cs="宋体" w:eastAsia="宋体" w:hint="default"/>
                <w:sz w:val="18"/>
                <w:szCs w:val="18"/>
              </w:rPr>
            </w:pPr>
            <w:r>
              <w:rPr>
                <w:rFonts w:ascii="宋体" w:hAnsi="宋体" w:cs="宋体" w:eastAsia="宋体" w:hint="default"/>
                <w:sz w:val="18"/>
                <w:szCs w:val="18"/>
              </w:rPr>
              <w:t>重庆 用友</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101"/>
              <w:jc w:val="right"/>
              <w:rPr>
                <w:rFonts w:ascii="宋体" w:hAnsi="宋体" w:cs="宋体" w:eastAsia="宋体" w:hint="default"/>
                <w:sz w:val="18"/>
                <w:szCs w:val="18"/>
              </w:rPr>
            </w:pPr>
            <w:r>
              <w:rPr>
                <w:rFonts w:ascii="宋体"/>
                <w:sz w:val="18"/>
              </w:rPr>
              <w:t>800,000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37" w:lineRule="auto" w:before="90"/>
              <w:ind w:left="103" w:right="65"/>
              <w:jc w:val="left"/>
              <w:rPr>
                <w:rFonts w:ascii="宋体" w:hAnsi="宋体" w:cs="宋体" w:eastAsia="宋体" w:hint="default"/>
                <w:sz w:val="18"/>
                <w:szCs w:val="18"/>
              </w:rPr>
            </w:pPr>
            <w:r>
              <w:rPr>
                <w:rFonts w:ascii="宋体" w:hAnsi="宋体" w:cs="宋体" w:eastAsia="宋体" w:hint="default"/>
                <w:sz w:val="18"/>
                <w:szCs w:val="18"/>
              </w:rPr>
              <w:t>软件产 品销售、 服务</w:t>
            </w: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both"/>
              <w:rPr>
                <w:rFonts w:ascii="宋体" w:hAnsi="宋体" w:cs="宋体" w:eastAsia="宋体" w:hint="default"/>
                <w:sz w:val="18"/>
                <w:szCs w:val="18"/>
              </w:rPr>
            </w:pPr>
            <w:r>
              <w:rPr>
                <w:rFonts w:ascii="宋体" w:hAnsi="宋体" w:cs="宋体" w:eastAsia="宋体" w:hint="default"/>
                <w:sz w:val="18"/>
                <w:szCs w:val="18"/>
              </w:rPr>
              <w:t>发、销售和技术服务；财会电算</w:t>
            </w:r>
          </w:p>
          <w:p>
            <w:pPr>
              <w:pStyle w:val="TableParagraph"/>
              <w:spacing w:line="237" w:lineRule="auto" w:before="1"/>
              <w:ind w:left="103" w:right="164"/>
              <w:jc w:val="both"/>
              <w:rPr>
                <w:rFonts w:ascii="宋体" w:hAnsi="宋体" w:cs="宋体" w:eastAsia="宋体" w:hint="default"/>
                <w:sz w:val="18"/>
                <w:szCs w:val="18"/>
              </w:rPr>
            </w:pPr>
            <w:r>
              <w:rPr>
                <w:rFonts w:ascii="宋体" w:hAnsi="宋体" w:cs="宋体" w:eastAsia="宋体" w:hint="default"/>
                <w:sz w:val="18"/>
                <w:szCs w:val="18"/>
              </w:rPr>
              <w:t>化管理服务。（法律、法规禁止 经营的不得经营，法律法规规定 需审批或许可的，取得审批或许</w:t>
            </w:r>
          </w:p>
        </w:tc>
        <w:tc>
          <w:tcPr>
            <w:tcW w:w="7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35" w:lineRule="exact"/>
              <w:ind w:right="101"/>
              <w:jc w:val="right"/>
              <w:rPr>
                <w:rFonts w:ascii="宋体" w:hAnsi="宋体" w:cs="宋体" w:eastAsia="宋体" w:hint="default"/>
                <w:sz w:val="18"/>
                <w:szCs w:val="18"/>
              </w:rPr>
            </w:pPr>
            <w:r>
              <w:rPr>
                <w:rFonts w:ascii="宋体"/>
                <w:sz w:val="18"/>
              </w:rPr>
              <w:t>81.88</w:t>
            </w:r>
          </w:p>
          <w:p>
            <w:pPr>
              <w:pStyle w:val="TableParagraph"/>
              <w:spacing w:line="235" w:lineRule="exact"/>
              <w:ind w:right="101"/>
              <w:jc w:val="right"/>
              <w:rPr>
                <w:rFonts w:ascii="宋体" w:hAnsi="宋体" w:cs="宋体" w:eastAsia="宋体" w:hint="default"/>
                <w:sz w:val="18"/>
                <w:szCs w:val="18"/>
              </w:rPr>
            </w:pPr>
            <w:r>
              <w:rPr>
                <w:rFonts w:ascii="宋体"/>
                <w:sz w:val="18"/>
              </w:rPr>
              <w:t>%</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95"/>
              <w:jc w:val="right"/>
              <w:rPr>
                <w:rFonts w:ascii="宋体" w:hAnsi="宋体" w:cs="宋体" w:eastAsia="宋体" w:hint="default"/>
                <w:sz w:val="18"/>
                <w:szCs w:val="18"/>
              </w:rPr>
            </w:pPr>
            <w:r>
              <w:rPr>
                <w:rFonts w:ascii="宋体"/>
                <w:sz w:val="18"/>
              </w:rPr>
              <w:t>27,443,516</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17"/>
              <w:jc w:val="right"/>
              <w:rPr>
                <w:rFonts w:ascii="宋体" w:hAnsi="宋体" w:cs="宋体" w:eastAsia="宋体" w:hint="default"/>
                <w:sz w:val="18"/>
                <w:szCs w:val="18"/>
              </w:rPr>
            </w:pPr>
            <w:r>
              <w:rPr>
                <w:rFonts w:ascii="宋体"/>
                <w:sz w:val="18"/>
              </w:rPr>
              <w:t>12,672,791</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101"/>
              <w:jc w:val="right"/>
              <w:rPr>
                <w:rFonts w:ascii="宋体" w:hAnsi="宋体" w:cs="宋体" w:eastAsia="宋体" w:hint="default"/>
                <w:sz w:val="18"/>
                <w:szCs w:val="18"/>
              </w:rPr>
            </w:pPr>
            <w:r>
              <w:rPr>
                <w:rFonts w:ascii="宋体"/>
                <w:sz w:val="18"/>
              </w:rPr>
              <w:t>-1,320,318</w:t>
            </w:r>
          </w:p>
        </w:tc>
      </w:tr>
      <w:tr>
        <w:trPr>
          <w:trHeight w:val="239" w:hRule="exact"/>
        </w:trPr>
        <w:tc>
          <w:tcPr>
            <w:tcW w:w="616"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900" w:type="dxa"/>
            <w:tcBorders>
              <w:top w:val="nil" w:sz="6" w:space="0" w:color="auto"/>
              <w:left w:val="single" w:sz="4" w:space="0" w:color="000000"/>
              <w:bottom w:val="single" w:sz="4" w:space="0" w:color="000000"/>
              <w:right w:val="single" w:sz="4" w:space="0" w:color="000000"/>
            </w:tcBorders>
          </w:tcPr>
          <w:p>
            <w:pPr/>
          </w:p>
        </w:tc>
        <w:tc>
          <w:tcPr>
            <w:tcW w:w="2800"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可后，方可经营）</w:t>
            </w:r>
          </w:p>
        </w:tc>
        <w:tc>
          <w:tcPr>
            <w:tcW w:w="7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r>
      <w:tr>
        <w:trPr>
          <w:trHeight w:val="944" w:hRule="exact"/>
        </w:trPr>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4" w:right="139"/>
              <w:jc w:val="left"/>
              <w:rPr>
                <w:rFonts w:ascii="宋体" w:hAnsi="宋体" w:cs="宋体" w:eastAsia="宋体" w:hint="default"/>
                <w:sz w:val="18"/>
                <w:szCs w:val="18"/>
              </w:rPr>
            </w:pPr>
            <w:r>
              <w:rPr>
                <w:rFonts w:ascii="宋体" w:hAnsi="宋体" w:cs="宋体" w:eastAsia="宋体" w:hint="default"/>
                <w:sz w:val="18"/>
                <w:szCs w:val="18"/>
              </w:rPr>
              <w:t>用友 华表</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01"/>
              <w:jc w:val="right"/>
              <w:rPr>
                <w:rFonts w:ascii="宋体" w:hAnsi="宋体" w:cs="宋体" w:eastAsia="宋体" w:hint="default"/>
                <w:sz w:val="18"/>
                <w:szCs w:val="18"/>
              </w:rPr>
            </w:pPr>
            <w:r>
              <w:rPr>
                <w:rFonts w:ascii="宋体"/>
                <w:sz w:val="18"/>
              </w:rPr>
              <w:t>3,000,000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65"/>
              <w:jc w:val="left"/>
              <w:rPr>
                <w:rFonts w:ascii="宋体" w:hAnsi="宋体" w:cs="宋体" w:eastAsia="宋体" w:hint="default"/>
                <w:sz w:val="18"/>
                <w:szCs w:val="18"/>
              </w:rPr>
            </w:pPr>
            <w:r>
              <w:rPr>
                <w:rFonts w:ascii="宋体" w:hAnsi="宋体" w:cs="宋体" w:eastAsia="宋体" w:hint="default"/>
                <w:sz w:val="18"/>
                <w:szCs w:val="18"/>
              </w:rPr>
              <w:t>软件产 品销售、 服务</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z w:val="18"/>
                <w:szCs w:val="18"/>
              </w:rPr>
              <w:t>自产产品及技术出口业务及原辅</w:t>
            </w:r>
          </w:p>
          <w:p>
            <w:pPr>
              <w:pStyle w:val="TableParagraph"/>
              <w:spacing w:line="237" w:lineRule="auto" w:before="1"/>
              <w:ind w:left="103" w:right="164"/>
              <w:jc w:val="both"/>
              <w:rPr>
                <w:rFonts w:ascii="宋体" w:hAnsi="宋体" w:cs="宋体" w:eastAsia="宋体" w:hint="default"/>
                <w:sz w:val="18"/>
                <w:szCs w:val="18"/>
              </w:rPr>
            </w:pPr>
            <w:r>
              <w:rPr>
                <w:rFonts w:ascii="宋体" w:hAnsi="宋体" w:cs="宋体" w:eastAsia="宋体" w:hint="default"/>
                <w:sz w:val="18"/>
                <w:szCs w:val="18"/>
              </w:rPr>
              <w:t>材料、仪器仪表、机械设备、零 配件及技术的进口业务；经营进 料加工和“三来一补”的业务。</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01"/>
              <w:jc w:val="right"/>
              <w:rPr>
                <w:rFonts w:ascii="宋体" w:hAnsi="宋体" w:cs="宋体" w:eastAsia="宋体" w:hint="default"/>
                <w:sz w:val="18"/>
                <w:szCs w:val="18"/>
              </w:rPr>
            </w:pPr>
            <w:r>
              <w:rPr>
                <w:rFonts w:ascii="宋体"/>
                <w:sz w:val="18"/>
              </w:rPr>
              <w:t>98%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95"/>
              <w:jc w:val="right"/>
              <w:rPr>
                <w:rFonts w:ascii="宋体" w:hAnsi="宋体" w:cs="宋体" w:eastAsia="宋体" w:hint="default"/>
                <w:sz w:val="18"/>
                <w:szCs w:val="18"/>
              </w:rPr>
            </w:pPr>
            <w:r>
              <w:rPr>
                <w:rFonts w:ascii="宋体"/>
                <w:sz w:val="18"/>
              </w:rPr>
              <w:t>13,632,117</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7"/>
              <w:jc w:val="right"/>
              <w:rPr>
                <w:rFonts w:ascii="宋体" w:hAnsi="宋体" w:cs="宋体" w:eastAsia="宋体" w:hint="default"/>
                <w:sz w:val="18"/>
                <w:szCs w:val="18"/>
              </w:rPr>
            </w:pPr>
            <w:r>
              <w:rPr>
                <w:rFonts w:ascii="宋体"/>
                <w:sz w:val="18"/>
              </w:rPr>
              <w:t>17,963,546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01"/>
              <w:jc w:val="right"/>
              <w:rPr>
                <w:rFonts w:ascii="宋体" w:hAnsi="宋体" w:cs="宋体" w:eastAsia="宋体" w:hint="default"/>
                <w:sz w:val="18"/>
                <w:szCs w:val="18"/>
              </w:rPr>
            </w:pPr>
            <w:r>
              <w:rPr>
                <w:rFonts w:ascii="宋体"/>
                <w:sz w:val="18"/>
              </w:rPr>
              <w:t>890,469</w:t>
            </w:r>
          </w:p>
        </w:tc>
      </w:tr>
      <w:tr>
        <w:trPr>
          <w:trHeight w:val="246" w:hRule="exact"/>
        </w:trPr>
        <w:tc>
          <w:tcPr>
            <w:tcW w:w="616" w:type="dxa"/>
            <w:tcBorders>
              <w:top w:val="single" w:sz="4" w:space="0" w:color="000000"/>
              <w:left w:val="single" w:sz="4" w:space="0" w:color="000000"/>
              <w:bottom w:val="nil" w:sz="6" w:space="0" w:color="auto"/>
              <w:right w:val="single" w:sz="4" w:space="0" w:color="000000"/>
            </w:tcBorders>
          </w:tcPr>
          <w:p>
            <w:pPr>
              <w:pStyle w:val="TableParagraph"/>
              <w:spacing w:line="215" w:lineRule="exact"/>
              <w:ind w:left="104" w:right="0"/>
              <w:jc w:val="left"/>
              <w:rPr>
                <w:rFonts w:ascii="宋体" w:hAnsi="宋体" w:cs="宋体" w:eastAsia="宋体" w:hint="default"/>
                <w:sz w:val="18"/>
                <w:szCs w:val="18"/>
              </w:rPr>
            </w:pPr>
            <w:r>
              <w:rPr>
                <w:rFonts w:ascii="宋体" w:hAnsi="宋体" w:cs="宋体" w:eastAsia="宋体" w:hint="default"/>
                <w:sz w:val="18"/>
                <w:szCs w:val="18"/>
              </w:rPr>
              <w:t>用友</w:t>
            </w:r>
          </w:p>
        </w:tc>
        <w:tc>
          <w:tcPr>
            <w:tcW w:w="1100" w:type="dxa"/>
            <w:tcBorders>
              <w:top w:val="single" w:sz="4" w:space="0" w:color="000000"/>
              <w:left w:val="single" w:sz="4" w:space="0" w:color="000000"/>
              <w:bottom w:val="nil" w:sz="6" w:space="0" w:color="auto"/>
              <w:right w:val="single" w:sz="4" w:space="0" w:color="000000"/>
            </w:tcBorders>
          </w:tcPr>
          <w:p>
            <w:pPr/>
          </w:p>
        </w:tc>
        <w:tc>
          <w:tcPr>
            <w:tcW w:w="900" w:type="dxa"/>
            <w:tcBorders>
              <w:top w:val="single" w:sz="4" w:space="0" w:color="000000"/>
              <w:left w:val="single" w:sz="4" w:space="0" w:color="000000"/>
              <w:bottom w:val="nil" w:sz="6" w:space="0" w:color="auto"/>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z w:val="18"/>
                <w:szCs w:val="18"/>
              </w:rPr>
              <w:t>软件产</w:t>
            </w:r>
          </w:p>
        </w:tc>
        <w:tc>
          <w:tcPr>
            <w:tcW w:w="2800" w:type="dxa"/>
            <w:tcBorders>
              <w:top w:val="single" w:sz="4" w:space="0" w:color="000000"/>
              <w:left w:val="single" w:sz="4" w:space="0" w:color="000000"/>
              <w:bottom w:val="nil" w:sz="6" w:space="0" w:color="auto"/>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z w:val="18"/>
                <w:szCs w:val="18"/>
              </w:rPr>
              <w:t>研制、开发、生产计算机硬件；</w:t>
            </w:r>
          </w:p>
        </w:tc>
        <w:tc>
          <w:tcPr>
            <w:tcW w:w="7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616"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4" w:right="0"/>
              <w:jc w:val="left"/>
              <w:rPr>
                <w:rFonts w:ascii="宋体" w:hAnsi="宋体" w:cs="宋体" w:eastAsia="宋体" w:hint="default"/>
                <w:sz w:val="18"/>
                <w:szCs w:val="18"/>
              </w:rPr>
            </w:pPr>
            <w:r>
              <w:rPr>
                <w:rFonts w:ascii="宋体" w:hAnsi="宋体" w:cs="宋体" w:eastAsia="宋体" w:hint="default"/>
                <w:sz w:val="18"/>
                <w:szCs w:val="18"/>
              </w:rPr>
              <w:t>艾福</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$1,333,334</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品销售、</w:t>
            </w: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提供自产产品的技术咨询、技术</w:t>
            </w:r>
          </w:p>
        </w:tc>
        <w:tc>
          <w:tcPr>
            <w:tcW w:w="7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75%</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95"/>
              <w:jc w:val="right"/>
              <w:rPr>
                <w:rFonts w:ascii="宋体" w:hAnsi="宋体" w:cs="宋体" w:eastAsia="宋体" w:hint="default"/>
                <w:sz w:val="18"/>
                <w:szCs w:val="18"/>
              </w:rPr>
            </w:pPr>
            <w:r>
              <w:rPr>
                <w:rFonts w:ascii="宋体"/>
                <w:sz w:val="18"/>
              </w:rPr>
              <w:t>12,235,668</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7"/>
              <w:jc w:val="right"/>
              <w:rPr>
                <w:rFonts w:ascii="宋体" w:hAnsi="宋体" w:cs="宋体" w:eastAsia="宋体" w:hint="default"/>
                <w:sz w:val="18"/>
                <w:szCs w:val="18"/>
              </w:rPr>
            </w:pPr>
            <w:r>
              <w:rPr>
                <w:rFonts w:ascii="宋体"/>
                <w:sz w:val="18"/>
              </w:rPr>
              <w:t>11,880,796</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-3,263,638</w:t>
            </w:r>
          </w:p>
        </w:tc>
      </w:tr>
      <w:tr>
        <w:trPr>
          <w:trHeight w:val="250" w:hRule="exact"/>
        </w:trPr>
        <w:tc>
          <w:tcPr>
            <w:tcW w:w="616"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4" w:right="0"/>
              <w:jc w:val="left"/>
              <w:rPr>
                <w:rFonts w:ascii="宋体" w:hAnsi="宋体" w:cs="宋体" w:eastAsia="宋体" w:hint="default"/>
                <w:sz w:val="18"/>
                <w:szCs w:val="18"/>
              </w:rPr>
            </w:pPr>
            <w:r>
              <w:rPr>
                <w:rFonts w:ascii="宋体" w:hAnsi="宋体" w:cs="宋体" w:eastAsia="宋体" w:hint="default"/>
                <w:sz w:val="18"/>
                <w:szCs w:val="18"/>
              </w:rPr>
              <w:t>斯</w:t>
            </w:r>
          </w:p>
        </w:tc>
        <w:tc>
          <w:tcPr>
            <w:tcW w:w="1100" w:type="dxa"/>
            <w:tcBorders>
              <w:top w:val="nil" w:sz="6" w:space="0" w:color="auto"/>
              <w:left w:val="single" w:sz="4" w:space="0" w:color="000000"/>
              <w:bottom w:val="single" w:sz="4" w:space="0" w:color="000000"/>
              <w:right w:val="single" w:sz="4" w:space="0" w:color="000000"/>
            </w:tcBorders>
          </w:tcPr>
          <w:p>
            <w:pPr/>
          </w:p>
        </w:tc>
        <w:tc>
          <w:tcPr>
            <w:tcW w:w="900"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服务</w:t>
            </w:r>
          </w:p>
        </w:tc>
        <w:tc>
          <w:tcPr>
            <w:tcW w:w="2800"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服务；销售自产产品。</w:t>
            </w:r>
          </w:p>
        </w:tc>
        <w:tc>
          <w:tcPr>
            <w:tcW w:w="7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r>
      <w:tr>
        <w:trPr>
          <w:trHeight w:val="237" w:hRule="exact"/>
        </w:trPr>
        <w:tc>
          <w:tcPr>
            <w:tcW w:w="616"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900" w:type="dxa"/>
            <w:tcBorders>
              <w:top w:val="single" w:sz="4" w:space="0" w:color="000000"/>
              <w:left w:val="single" w:sz="4" w:space="0" w:color="000000"/>
              <w:bottom w:val="nil" w:sz="6" w:space="0" w:color="auto"/>
              <w:right w:val="single" w:sz="4" w:space="0" w:color="000000"/>
            </w:tcBorders>
          </w:tcPr>
          <w:p>
            <w:pPr/>
          </w:p>
        </w:tc>
        <w:tc>
          <w:tcPr>
            <w:tcW w:w="280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计算机软、硬件及外部设备的技</w:t>
            </w:r>
          </w:p>
        </w:tc>
        <w:tc>
          <w:tcPr>
            <w:tcW w:w="7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r>
      <w:tr>
        <w:trPr>
          <w:trHeight w:val="933" w:hRule="exact"/>
        </w:trPr>
        <w:tc>
          <w:tcPr>
            <w:tcW w:w="61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104" w:right="139"/>
              <w:jc w:val="left"/>
              <w:rPr>
                <w:rFonts w:ascii="宋体" w:hAnsi="宋体" w:cs="宋体" w:eastAsia="宋体" w:hint="default"/>
                <w:sz w:val="18"/>
                <w:szCs w:val="18"/>
              </w:rPr>
            </w:pPr>
            <w:r>
              <w:rPr>
                <w:rFonts w:ascii="宋体" w:hAnsi="宋体" w:cs="宋体" w:eastAsia="宋体" w:hint="default"/>
                <w:sz w:val="18"/>
                <w:szCs w:val="18"/>
              </w:rPr>
              <w:t>山东 用友</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01"/>
              <w:jc w:val="right"/>
              <w:rPr>
                <w:rFonts w:ascii="宋体" w:hAnsi="宋体" w:cs="宋体" w:eastAsia="宋体" w:hint="default"/>
                <w:sz w:val="18"/>
                <w:szCs w:val="18"/>
              </w:rPr>
            </w:pPr>
            <w:r>
              <w:rPr>
                <w:rFonts w:ascii="宋体"/>
                <w:sz w:val="18"/>
              </w:rPr>
              <w:t>5,000,000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37" w:lineRule="auto" w:before="90"/>
              <w:ind w:left="103" w:right="65"/>
              <w:jc w:val="left"/>
              <w:rPr>
                <w:rFonts w:ascii="宋体" w:hAnsi="宋体" w:cs="宋体" w:eastAsia="宋体" w:hint="default"/>
                <w:sz w:val="18"/>
                <w:szCs w:val="18"/>
              </w:rPr>
            </w:pPr>
            <w:r>
              <w:rPr>
                <w:rFonts w:ascii="宋体" w:hAnsi="宋体" w:cs="宋体" w:eastAsia="宋体" w:hint="default"/>
                <w:sz w:val="18"/>
                <w:szCs w:val="18"/>
              </w:rPr>
              <w:t>软件产 品销售、 服务</w:t>
            </w: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术开发、咨询服务；技术转让，</w:t>
            </w:r>
          </w:p>
          <w:p>
            <w:pPr>
              <w:pStyle w:val="TableParagraph"/>
              <w:spacing w:line="237" w:lineRule="auto"/>
              <w:ind w:left="103" w:right="11"/>
              <w:jc w:val="left"/>
              <w:rPr>
                <w:rFonts w:ascii="宋体" w:hAnsi="宋体" w:cs="宋体" w:eastAsia="宋体" w:hint="default"/>
                <w:sz w:val="18"/>
                <w:szCs w:val="18"/>
              </w:rPr>
            </w:pPr>
            <w:r>
              <w:rPr>
                <w:rFonts w:ascii="宋体" w:hAnsi="宋体" w:cs="宋体" w:eastAsia="宋体" w:hint="default"/>
                <w:sz w:val="18"/>
                <w:szCs w:val="18"/>
              </w:rPr>
              <w:t>技术培训及数据库服务；企业管 </w:t>
            </w:r>
            <w:r>
              <w:rPr>
                <w:rFonts w:ascii="宋体" w:hAnsi="宋体" w:cs="宋体" w:eastAsia="宋体" w:hint="default"/>
                <w:spacing w:val="-2"/>
                <w:sz w:val="18"/>
                <w:szCs w:val="18"/>
              </w:rPr>
              <w:t>理咨询；进出口业务；计算机软、</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硬件及外部设备、耗材、打印纸</w:t>
            </w:r>
          </w:p>
        </w:tc>
        <w:tc>
          <w:tcPr>
            <w:tcW w:w="7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01"/>
              <w:jc w:val="right"/>
              <w:rPr>
                <w:rFonts w:ascii="宋体" w:hAnsi="宋体" w:cs="宋体" w:eastAsia="宋体" w:hint="default"/>
                <w:sz w:val="18"/>
                <w:szCs w:val="18"/>
              </w:rPr>
            </w:pPr>
            <w:r>
              <w:rPr>
                <w:rFonts w:ascii="宋体"/>
                <w:sz w:val="18"/>
              </w:rPr>
              <w:t>90%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95"/>
              <w:jc w:val="right"/>
              <w:rPr>
                <w:rFonts w:ascii="宋体" w:hAnsi="宋体" w:cs="宋体" w:eastAsia="宋体" w:hint="default"/>
                <w:sz w:val="18"/>
                <w:szCs w:val="18"/>
              </w:rPr>
            </w:pPr>
            <w:r>
              <w:rPr>
                <w:rFonts w:ascii="宋体"/>
                <w:sz w:val="18"/>
              </w:rPr>
              <w:t>19,376,226</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7"/>
              <w:jc w:val="right"/>
              <w:rPr>
                <w:rFonts w:ascii="宋体" w:hAnsi="宋体" w:cs="宋体" w:eastAsia="宋体" w:hint="default"/>
                <w:sz w:val="18"/>
                <w:szCs w:val="18"/>
              </w:rPr>
            </w:pPr>
            <w:r>
              <w:rPr>
                <w:rFonts w:ascii="宋体"/>
                <w:sz w:val="18"/>
              </w:rPr>
              <w:t>8,960,459</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01"/>
              <w:jc w:val="right"/>
              <w:rPr>
                <w:rFonts w:ascii="宋体" w:hAnsi="宋体" w:cs="宋体" w:eastAsia="宋体" w:hint="default"/>
                <w:sz w:val="18"/>
                <w:szCs w:val="18"/>
              </w:rPr>
            </w:pPr>
            <w:r>
              <w:rPr>
                <w:rFonts w:ascii="宋体"/>
                <w:sz w:val="18"/>
              </w:rPr>
              <w:t>-3,569,581</w:t>
            </w:r>
          </w:p>
        </w:tc>
      </w:tr>
      <w:tr>
        <w:trPr>
          <w:trHeight w:val="241" w:hRule="exact"/>
        </w:trPr>
        <w:tc>
          <w:tcPr>
            <w:tcW w:w="616"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900" w:type="dxa"/>
            <w:tcBorders>
              <w:top w:val="nil" w:sz="6" w:space="0" w:color="auto"/>
              <w:left w:val="single" w:sz="4" w:space="0" w:color="000000"/>
              <w:bottom w:val="single" w:sz="4" w:space="0" w:color="000000"/>
              <w:right w:val="single" w:sz="4" w:space="0" w:color="000000"/>
            </w:tcBorders>
          </w:tcPr>
          <w:p>
            <w:pPr/>
          </w:p>
        </w:tc>
        <w:tc>
          <w:tcPr>
            <w:tcW w:w="2800"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销售</w:t>
            </w:r>
          </w:p>
        </w:tc>
        <w:tc>
          <w:tcPr>
            <w:tcW w:w="7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r>
      <w:tr>
        <w:trPr>
          <w:trHeight w:val="1177" w:hRule="exact"/>
        </w:trPr>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32" w:lineRule="exact" w:before="138"/>
              <w:ind w:left="104" w:right="139"/>
              <w:jc w:val="left"/>
              <w:rPr>
                <w:rFonts w:ascii="宋体" w:hAnsi="宋体" w:cs="宋体" w:eastAsia="宋体" w:hint="default"/>
                <w:sz w:val="18"/>
                <w:szCs w:val="18"/>
              </w:rPr>
            </w:pPr>
            <w:r>
              <w:rPr>
                <w:rFonts w:ascii="宋体" w:hAnsi="宋体" w:cs="宋体" w:eastAsia="宋体" w:hint="default"/>
                <w:sz w:val="18"/>
                <w:szCs w:val="18"/>
              </w:rPr>
              <w:t>用友 金融</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101"/>
              <w:jc w:val="right"/>
              <w:rPr>
                <w:rFonts w:ascii="宋体" w:hAnsi="宋体" w:cs="宋体" w:eastAsia="宋体" w:hint="default"/>
                <w:sz w:val="18"/>
                <w:szCs w:val="18"/>
              </w:rPr>
            </w:pPr>
            <w:r>
              <w:rPr>
                <w:rFonts w:ascii="宋体"/>
                <w:sz w:val="18"/>
              </w:rPr>
              <w:t>30,000,000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软件产</w:t>
            </w:r>
          </w:p>
          <w:p>
            <w:pPr>
              <w:pStyle w:val="TableParagraph"/>
              <w:spacing w:line="237" w:lineRule="auto"/>
              <w:ind w:left="103" w:right="101"/>
              <w:jc w:val="left"/>
              <w:rPr>
                <w:rFonts w:ascii="宋体" w:hAnsi="宋体" w:cs="宋体" w:eastAsia="宋体" w:hint="default"/>
                <w:sz w:val="18"/>
                <w:szCs w:val="18"/>
              </w:rPr>
            </w:pPr>
            <w:r>
              <w:rPr>
                <w:rFonts w:ascii="宋体" w:hAnsi="宋体" w:cs="宋体" w:eastAsia="宋体" w:hint="default"/>
                <w:sz w:val="18"/>
                <w:szCs w:val="18"/>
              </w:rPr>
              <w:t>品定制 </w:t>
            </w:r>
            <w:r>
              <w:rPr>
                <w:rFonts w:ascii="宋体" w:hAnsi="宋体" w:cs="宋体" w:eastAsia="宋体" w:hint="default"/>
                <w:spacing w:val="-9"/>
                <w:sz w:val="18"/>
                <w:szCs w:val="18"/>
              </w:rPr>
              <w:t>开发、销</w:t>
            </w:r>
            <w:r>
              <w:rPr>
                <w:rFonts w:ascii="宋体" w:hAnsi="宋体" w:cs="宋体" w:eastAsia="宋体" w:hint="default"/>
                <w:sz w:val="18"/>
                <w:szCs w:val="18"/>
              </w:rPr>
              <w:t> 售及相 关服务</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8"/>
              <w:ind w:left="103" w:right="164"/>
              <w:jc w:val="left"/>
              <w:rPr>
                <w:rFonts w:ascii="宋体" w:hAnsi="宋体" w:cs="宋体" w:eastAsia="宋体" w:hint="default"/>
                <w:sz w:val="18"/>
                <w:szCs w:val="18"/>
              </w:rPr>
            </w:pPr>
            <w:r>
              <w:rPr>
                <w:rFonts w:ascii="宋体" w:hAnsi="宋体" w:cs="宋体" w:eastAsia="宋体" w:hint="default"/>
                <w:sz w:val="18"/>
                <w:szCs w:val="18"/>
              </w:rPr>
              <w:t>金融软件及计算机网络技术开 发；销售计算机软、硬件；计算 机系统集成；技术咨询、技术服 务、技术培训</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101"/>
              <w:jc w:val="right"/>
              <w:rPr>
                <w:rFonts w:ascii="宋体" w:hAnsi="宋体" w:cs="宋体" w:eastAsia="宋体" w:hint="default"/>
                <w:sz w:val="18"/>
                <w:szCs w:val="18"/>
              </w:rPr>
            </w:pPr>
            <w:r>
              <w:rPr>
                <w:rFonts w:ascii="宋体"/>
                <w:sz w:val="18"/>
              </w:rPr>
              <w:t>100%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5"/>
              <w:jc w:val="right"/>
              <w:rPr>
                <w:rFonts w:ascii="宋体" w:hAnsi="宋体" w:cs="宋体" w:eastAsia="宋体" w:hint="default"/>
                <w:sz w:val="18"/>
                <w:szCs w:val="18"/>
              </w:rPr>
            </w:pPr>
            <w:r>
              <w:rPr>
                <w:rFonts w:ascii="宋体"/>
                <w:sz w:val="18"/>
              </w:rPr>
              <w:t>52,829</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17"/>
              <w:jc w:val="right"/>
              <w:rPr>
                <w:rFonts w:ascii="宋体" w:hAnsi="宋体" w:cs="宋体" w:eastAsia="宋体" w:hint="default"/>
                <w:sz w:val="18"/>
                <w:szCs w:val="18"/>
              </w:rPr>
            </w:pPr>
            <w:r>
              <w:rPr>
                <w:rFonts w:ascii="宋体"/>
                <w:sz w:val="18"/>
              </w:rPr>
              <w:t>45,969,030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101"/>
              <w:jc w:val="right"/>
              <w:rPr>
                <w:rFonts w:ascii="宋体" w:hAnsi="宋体" w:cs="宋体" w:eastAsia="宋体" w:hint="default"/>
                <w:sz w:val="18"/>
                <w:szCs w:val="18"/>
              </w:rPr>
            </w:pPr>
            <w:r>
              <w:rPr>
                <w:rFonts w:ascii="宋体"/>
                <w:sz w:val="18"/>
              </w:rPr>
              <w:t>640,393</w:t>
            </w:r>
          </w:p>
        </w:tc>
      </w:tr>
      <w:tr>
        <w:trPr>
          <w:trHeight w:val="236" w:hRule="exact"/>
        </w:trPr>
        <w:tc>
          <w:tcPr>
            <w:tcW w:w="616"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900" w:type="dxa"/>
            <w:tcBorders>
              <w:top w:val="single" w:sz="4" w:space="0" w:color="000000"/>
              <w:left w:val="single" w:sz="4" w:space="0" w:color="000000"/>
              <w:bottom w:val="nil" w:sz="6" w:space="0" w:color="auto"/>
              <w:right w:val="single" w:sz="4" w:space="0" w:color="000000"/>
            </w:tcBorders>
          </w:tcPr>
          <w:p>
            <w:pPr/>
          </w:p>
        </w:tc>
        <w:tc>
          <w:tcPr>
            <w:tcW w:w="280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技术开发、技术咨询、技术服务、</w:t>
            </w:r>
          </w:p>
        </w:tc>
        <w:tc>
          <w:tcPr>
            <w:tcW w:w="7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616"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技术培训、成果转让；计算机软</w:t>
            </w:r>
          </w:p>
        </w:tc>
        <w:tc>
          <w:tcPr>
            <w:tcW w:w="7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r>
      <w:tr>
        <w:trPr>
          <w:trHeight w:val="700" w:hRule="exact"/>
        </w:trPr>
        <w:tc>
          <w:tcPr>
            <w:tcW w:w="616" w:type="dxa"/>
            <w:tcBorders>
              <w:top w:val="nil" w:sz="6" w:space="0" w:color="auto"/>
              <w:left w:val="single" w:sz="4" w:space="0" w:color="000000"/>
              <w:bottom w:val="nil" w:sz="6" w:space="0" w:color="auto"/>
              <w:right w:val="single" w:sz="4" w:space="0" w:color="000000"/>
            </w:tcBorders>
          </w:tcPr>
          <w:p>
            <w:pPr>
              <w:pStyle w:val="TableParagraph"/>
              <w:spacing w:line="232" w:lineRule="exact" w:before="112"/>
              <w:ind w:left="104" w:right="139"/>
              <w:jc w:val="left"/>
              <w:rPr>
                <w:rFonts w:ascii="宋体" w:hAnsi="宋体" w:cs="宋体" w:eastAsia="宋体" w:hint="default"/>
                <w:sz w:val="18"/>
                <w:szCs w:val="18"/>
              </w:rPr>
            </w:pPr>
            <w:r>
              <w:rPr>
                <w:rFonts w:ascii="宋体" w:hAnsi="宋体" w:cs="宋体" w:eastAsia="宋体" w:hint="default"/>
                <w:sz w:val="18"/>
                <w:szCs w:val="18"/>
              </w:rPr>
              <w:t>浙江 用友</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5,000,000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软件产</w:t>
            </w:r>
          </w:p>
          <w:p>
            <w:pPr>
              <w:pStyle w:val="TableParagraph"/>
              <w:spacing w:line="240" w:lineRule="auto"/>
              <w:ind w:left="103" w:right="65"/>
              <w:jc w:val="left"/>
              <w:rPr>
                <w:rFonts w:ascii="宋体" w:hAnsi="宋体" w:cs="宋体" w:eastAsia="宋体" w:hint="default"/>
                <w:sz w:val="18"/>
                <w:szCs w:val="18"/>
              </w:rPr>
            </w:pPr>
            <w:r>
              <w:rPr>
                <w:rFonts w:ascii="宋体" w:hAnsi="宋体" w:cs="宋体" w:eastAsia="宋体" w:hint="default"/>
                <w:sz w:val="18"/>
                <w:szCs w:val="18"/>
              </w:rPr>
              <w:t>品销售、 服务</w:t>
            </w: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件、硬件及外部设备批发、零售；</w:t>
            </w:r>
          </w:p>
          <w:p>
            <w:pPr>
              <w:pStyle w:val="TableParagraph"/>
              <w:spacing w:line="240" w:lineRule="auto"/>
              <w:ind w:left="103" w:right="164"/>
              <w:jc w:val="left"/>
              <w:rPr>
                <w:rFonts w:ascii="宋体" w:hAnsi="宋体" w:cs="宋体" w:eastAsia="宋体" w:hint="default"/>
                <w:sz w:val="18"/>
                <w:szCs w:val="18"/>
              </w:rPr>
            </w:pPr>
            <w:r>
              <w:rPr>
                <w:rFonts w:ascii="宋体" w:hAnsi="宋体" w:cs="宋体" w:eastAsia="宋体" w:hint="default"/>
                <w:sz w:val="18"/>
                <w:szCs w:val="18"/>
              </w:rPr>
              <w:t>计算机软、硬件及外部设备、打 印纸、计算机耗材；企业管理咨</w:t>
            </w:r>
          </w:p>
        </w:tc>
        <w:tc>
          <w:tcPr>
            <w:tcW w:w="7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90%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95"/>
              <w:jc w:val="right"/>
              <w:rPr>
                <w:rFonts w:ascii="宋体" w:hAnsi="宋体" w:cs="宋体" w:eastAsia="宋体" w:hint="default"/>
                <w:sz w:val="18"/>
                <w:szCs w:val="18"/>
              </w:rPr>
            </w:pPr>
            <w:r>
              <w:rPr>
                <w:rFonts w:ascii="宋体"/>
                <w:sz w:val="18"/>
              </w:rPr>
              <w:t>45,644,505</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宋体" w:hAnsi="宋体" w:cs="宋体" w:eastAsia="宋体" w:hint="default"/>
                <w:sz w:val="18"/>
                <w:szCs w:val="18"/>
              </w:rPr>
            </w:pPr>
            <w:r>
              <w:rPr>
                <w:rFonts w:ascii="宋体"/>
                <w:sz w:val="18"/>
              </w:rPr>
              <w:t>14,586,046</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-2,450,663</w:t>
            </w:r>
          </w:p>
        </w:tc>
      </w:tr>
      <w:tr>
        <w:trPr>
          <w:trHeight w:val="233" w:hRule="exact"/>
        </w:trPr>
        <w:tc>
          <w:tcPr>
            <w:tcW w:w="616"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询；其他无需报经审批的一切合</w:t>
            </w:r>
          </w:p>
        </w:tc>
        <w:tc>
          <w:tcPr>
            <w:tcW w:w="7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r>
      <w:tr>
        <w:trPr>
          <w:trHeight w:val="241" w:hRule="exact"/>
        </w:trPr>
        <w:tc>
          <w:tcPr>
            <w:tcW w:w="616"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900" w:type="dxa"/>
            <w:tcBorders>
              <w:top w:val="nil" w:sz="6" w:space="0" w:color="auto"/>
              <w:left w:val="single" w:sz="4" w:space="0" w:color="000000"/>
              <w:bottom w:val="single" w:sz="4" w:space="0" w:color="000000"/>
              <w:right w:val="single" w:sz="4" w:space="0" w:color="000000"/>
            </w:tcBorders>
          </w:tcPr>
          <w:p>
            <w:pPr/>
          </w:p>
        </w:tc>
        <w:tc>
          <w:tcPr>
            <w:tcW w:w="2800"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法项目。</w:t>
            </w:r>
          </w:p>
        </w:tc>
        <w:tc>
          <w:tcPr>
            <w:tcW w:w="7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r>
      <w:tr>
        <w:trPr>
          <w:trHeight w:val="236" w:hRule="exact"/>
        </w:trPr>
        <w:tc>
          <w:tcPr>
            <w:tcW w:w="616"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900" w:type="dxa"/>
            <w:tcBorders>
              <w:top w:val="single" w:sz="4" w:space="0" w:color="000000"/>
              <w:left w:val="single" w:sz="4" w:space="0" w:color="000000"/>
              <w:bottom w:val="nil" w:sz="6" w:space="0" w:color="auto"/>
              <w:right w:val="single" w:sz="4" w:space="0" w:color="000000"/>
            </w:tcBorders>
          </w:tcPr>
          <w:p>
            <w:pPr/>
          </w:p>
        </w:tc>
        <w:tc>
          <w:tcPr>
            <w:tcW w:w="280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电子计算机软件、硬件及外部设</w:t>
            </w:r>
          </w:p>
        </w:tc>
        <w:tc>
          <w:tcPr>
            <w:tcW w:w="7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r>
      <w:tr>
        <w:trPr>
          <w:trHeight w:val="933" w:hRule="exact"/>
        </w:trPr>
        <w:tc>
          <w:tcPr>
            <w:tcW w:w="61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32" w:lineRule="exact"/>
              <w:ind w:left="104" w:right="139"/>
              <w:jc w:val="left"/>
              <w:rPr>
                <w:rFonts w:ascii="宋体" w:hAnsi="宋体" w:cs="宋体" w:eastAsia="宋体" w:hint="default"/>
                <w:sz w:val="18"/>
                <w:szCs w:val="18"/>
              </w:rPr>
            </w:pPr>
            <w:r>
              <w:rPr>
                <w:rFonts w:ascii="宋体" w:hAnsi="宋体" w:cs="宋体" w:eastAsia="宋体" w:hint="default"/>
                <w:sz w:val="18"/>
                <w:szCs w:val="18"/>
              </w:rPr>
              <w:t>沈阳 用友</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101"/>
              <w:jc w:val="right"/>
              <w:rPr>
                <w:rFonts w:ascii="宋体" w:hAnsi="宋体" w:cs="宋体" w:eastAsia="宋体" w:hint="default"/>
                <w:sz w:val="18"/>
                <w:szCs w:val="18"/>
              </w:rPr>
            </w:pPr>
            <w:r>
              <w:rPr>
                <w:rFonts w:ascii="宋体"/>
                <w:sz w:val="18"/>
              </w:rPr>
              <w:t>3,000,000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37" w:lineRule="auto" w:before="90"/>
              <w:ind w:left="103" w:right="65"/>
              <w:jc w:val="left"/>
              <w:rPr>
                <w:rFonts w:ascii="宋体" w:hAnsi="宋体" w:cs="宋体" w:eastAsia="宋体" w:hint="default"/>
                <w:sz w:val="18"/>
                <w:szCs w:val="18"/>
              </w:rPr>
            </w:pPr>
            <w:r>
              <w:rPr>
                <w:rFonts w:ascii="宋体" w:hAnsi="宋体" w:cs="宋体" w:eastAsia="宋体" w:hint="default"/>
                <w:sz w:val="18"/>
                <w:szCs w:val="18"/>
              </w:rPr>
              <w:t>软件产 品销售、 服务</w:t>
            </w: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both"/>
              <w:rPr>
                <w:rFonts w:ascii="宋体" w:hAnsi="宋体" w:cs="宋体" w:eastAsia="宋体" w:hint="default"/>
                <w:sz w:val="18"/>
                <w:szCs w:val="18"/>
              </w:rPr>
            </w:pPr>
            <w:r>
              <w:rPr>
                <w:rFonts w:ascii="宋体" w:hAnsi="宋体" w:cs="宋体" w:eastAsia="宋体" w:hint="default"/>
                <w:sz w:val="18"/>
                <w:szCs w:val="18"/>
              </w:rPr>
              <w:t>备的技术开发、技术咨询、技术</w:t>
            </w:r>
          </w:p>
          <w:p>
            <w:pPr>
              <w:pStyle w:val="TableParagraph"/>
              <w:spacing w:line="237" w:lineRule="auto" w:before="1"/>
              <w:ind w:left="103" w:right="164"/>
              <w:jc w:val="both"/>
              <w:rPr>
                <w:rFonts w:ascii="宋体" w:hAnsi="宋体" w:cs="宋体" w:eastAsia="宋体" w:hint="default"/>
                <w:sz w:val="18"/>
                <w:szCs w:val="18"/>
              </w:rPr>
            </w:pPr>
            <w:r>
              <w:rPr>
                <w:rFonts w:ascii="宋体" w:hAnsi="宋体" w:cs="宋体" w:eastAsia="宋体" w:hint="default"/>
                <w:sz w:val="18"/>
                <w:szCs w:val="18"/>
              </w:rPr>
              <w:t>转让、技术服务、技术培训；电 子计算机软硬件及外部设备、计 算机耗材、打印纸销售；企业管</w:t>
            </w:r>
          </w:p>
        </w:tc>
        <w:tc>
          <w:tcPr>
            <w:tcW w:w="7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101"/>
              <w:jc w:val="right"/>
              <w:rPr>
                <w:rFonts w:ascii="宋体" w:hAnsi="宋体" w:cs="宋体" w:eastAsia="宋体" w:hint="default"/>
                <w:sz w:val="18"/>
                <w:szCs w:val="18"/>
              </w:rPr>
            </w:pPr>
            <w:r>
              <w:rPr>
                <w:rFonts w:ascii="宋体"/>
                <w:sz w:val="18"/>
              </w:rPr>
              <w:t>90%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95"/>
              <w:jc w:val="right"/>
              <w:rPr>
                <w:rFonts w:ascii="宋体" w:hAnsi="宋体" w:cs="宋体" w:eastAsia="宋体" w:hint="default"/>
                <w:sz w:val="18"/>
                <w:szCs w:val="18"/>
              </w:rPr>
            </w:pPr>
            <w:r>
              <w:rPr>
                <w:rFonts w:ascii="宋体"/>
                <w:sz w:val="18"/>
              </w:rPr>
              <w:t>17,055,375</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17"/>
              <w:jc w:val="right"/>
              <w:rPr>
                <w:rFonts w:ascii="宋体" w:hAnsi="宋体" w:cs="宋体" w:eastAsia="宋体" w:hint="default"/>
                <w:sz w:val="18"/>
                <w:szCs w:val="18"/>
              </w:rPr>
            </w:pPr>
            <w:r>
              <w:rPr>
                <w:rFonts w:ascii="宋体"/>
                <w:sz w:val="18"/>
              </w:rPr>
              <w:t>7,669,417</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101"/>
              <w:jc w:val="right"/>
              <w:rPr>
                <w:rFonts w:ascii="宋体" w:hAnsi="宋体" w:cs="宋体" w:eastAsia="宋体" w:hint="default"/>
                <w:sz w:val="18"/>
                <w:szCs w:val="18"/>
              </w:rPr>
            </w:pPr>
            <w:r>
              <w:rPr>
                <w:rFonts w:ascii="宋体"/>
                <w:sz w:val="18"/>
              </w:rPr>
              <w:t>1,750,836</w:t>
            </w:r>
          </w:p>
        </w:tc>
      </w:tr>
      <w:tr>
        <w:trPr>
          <w:trHeight w:val="240" w:hRule="exact"/>
        </w:trPr>
        <w:tc>
          <w:tcPr>
            <w:tcW w:w="616"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900" w:type="dxa"/>
            <w:tcBorders>
              <w:top w:val="nil" w:sz="6" w:space="0" w:color="auto"/>
              <w:left w:val="single" w:sz="4" w:space="0" w:color="000000"/>
              <w:bottom w:val="single" w:sz="4" w:space="0" w:color="000000"/>
              <w:right w:val="single" w:sz="4" w:space="0" w:color="000000"/>
            </w:tcBorders>
          </w:tcPr>
          <w:p>
            <w:pPr/>
          </w:p>
        </w:tc>
        <w:tc>
          <w:tcPr>
            <w:tcW w:w="2800"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理咨询；数据库服务</w:t>
            </w:r>
          </w:p>
        </w:tc>
        <w:tc>
          <w:tcPr>
            <w:tcW w:w="7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r>
      <w:tr>
        <w:trPr>
          <w:trHeight w:val="237" w:hRule="exact"/>
        </w:trPr>
        <w:tc>
          <w:tcPr>
            <w:tcW w:w="616"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900" w:type="dxa"/>
            <w:tcBorders>
              <w:top w:val="single" w:sz="4" w:space="0" w:color="000000"/>
              <w:left w:val="single" w:sz="4" w:space="0" w:color="000000"/>
              <w:bottom w:val="nil" w:sz="6" w:space="0" w:color="auto"/>
              <w:right w:val="single" w:sz="4" w:space="0" w:color="000000"/>
            </w:tcBorders>
          </w:tcPr>
          <w:p>
            <w:pPr/>
          </w:p>
        </w:tc>
        <w:tc>
          <w:tcPr>
            <w:tcW w:w="280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电子计算机软件、硬件的技术开</w:t>
            </w:r>
          </w:p>
        </w:tc>
        <w:tc>
          <w:tcPr>
            <w:tcW w:w="7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r>
      <w:tr>
        <w:trPr>
          <w:trHeight w:val="701" w:hRule="exact"/>
        </w:trPr>
        <w:tc>
          <w:tcPr>
            <w:tcW w:w="616"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104" w:right="139"/>
              <w:jc w:val="left"/>
              <w:rPr>
                <w:rFonts w:ascii="宋体" w:hAnsi="宋体" w:cs="宋体" w:eastAsia="宋体" w:hint="default"/>
                <w:sz w:val="18"/>
                <w:szCs w:val="18"/>
              </w:rPr>
            </w:pPr>
            <w:r>
              <w:rPr>
                <w:rFonts w:ascii="宋体" w:hAnsi="宋体" w:cs="宋体" w:eastAsia="宋体" w:hint="default"/>
                <w:sz w:val="18"/>
                <w:szCs w:val="18"/>
              </w:rPr>
              <w:t>大连 用友</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3,000,000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软件产</w:t>
            </w:r>
          </w:p>
          <w:p>
            <w:pPr>
              <w:pStyle w:val="TableParagraph"/>
              <w:spacing w:line="232" w:lineRule="exact" w:before="24"/>
              <w:ind w:left="103" w:right="65"/>
              <w:jc w:val="left"/>
              <w:rPr>
                <w:rFonts w:ascii="宋体" w:hAnsi="宋体" w:cs="宋体" w:eastAsia="宋体" w:hint="default"/>
                <w:sz w:val="18"/>
                <w:szCs w:val="18"/>
              </w:rPr>
            </w:pPr>
            <w:r>
              <w:rPr>
                <w:rFonts w:ascii="宋体" w:hAnsi="宋体" w:cs="宋体" w:eastAsia="宋体" w:hint="default"/>
                <w:sz w:val="18"/>
                <w:szCs w:val="18"/>
              </w:rPr>
              <w:t>品销售、 服务</w:t>
            </w: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发、技术咨询、技术转让、技术</w:t>
            </w:r>
          </w:p>
          <w:p>
            <w:pPr>
              <w:pStyle w:val="TableParagraph"/>
              <w:spacing w:line="240" w:lineRule="auto"/>
              <w:ind w:left="103" w:right="164"/>
              <w:jc w:val="left"/>
              <w:rPr>
                <w:rFonts w:ascii="宋体" w:hAnsi="宋体" w:cs="宋体" w:eastAsia="宋体" w:hint="default"/>
                <w:sz w:val="18"/>
                <w:szCs w:val="18"/>
              </w:rPr>
            </w:pPr>
            <w:r>
              <w:rPr>
                <w:rFonts w:ascii="宋体" w:hAnsi="宋体" w:cs="宋体" w:eastAsia="宋体" w:hint="default"/>
                <w:sz w:val="18"/>
                <w:szCs w:val="18"/>
              </w:rPr>
              <w:t>服务；企业管理咨询；电子计算 机软硬件及外围设备、打印纸的</w:t>
            </w:r>
          </w:p>
        </w:tc>
        <w:tc>
          <w:tcPr>
            <w:tcW w:w="7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90%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95"/>
              <w:jc w:val="right"/>
              <w:rPr>
                <w:rFonts w:ascii="宋体" w:hAnsi="宋体" w:cs="宋体" w:eastAsia="宋体" w:hint="default"/>
                <w:sz w:val="18"/>
                <w:szCs w:val="18"/>
              </w:rPr>
            </w:pPr>
            <w:r>
              <w:rPr>
                <w:rFonts w:ascii="宋体"/>
                <w:sz w:val="18"/>
              </w:rPr>
              <w:t>22,520,566</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宋体" w:hAnsi="宋体" w:cs="宋体" w:eastAsia="宋体" w:hint="default"/>
                <w:sz w:val="18"/>
                <w:szCs w:val="18"/>
              </w:rPr>
            </w:pPr>
            <w:r>
              <w:rPr>
                <w:rFonts w:ascii="宋体"/>
                <w:sz w:val="18"/>
              </w:rPr>
              <w:t>7,990,539</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2,333,471</w:t>
            </w:r>
          </w:p>
        </w:tc>
      </w:tr>
      <w:tr>
        <w:trPr>
          <w:trHeight w:val="240" w:hRule="exact"/>
        </w:trPr>
        <w:tc>
          <w:tcPr>
            <w:tcW w:w="616"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900" w:type="dxa"/>
            <w:tcBorders>
              <w:top w:val="nil" w:sz="6" w:space="0" w:color="auto"/>
              <w:left w:val="single" w:sz="4" w:space="0" w:color="000000"/>
              <w:bottom w:val="single" w:sz="4" w:space="0" w:color="000000"/>
              <w:right w:val="single" w:sz="4" w:space="0" w:color="000000"/>
            </w:tcBorders>
          </w:tcPr>
          <w:p>
            <w:pPr/>
          </w:p>
        </w:tc>
        <w:tc>
          <w:tcPr>
            <w:tcW w:w="2800"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销售</w:t>
            </w:r>
          </w:p>
        </w:tc>
        <w:tc>
          <w:tcPr>
            <w:tcW w:w="7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r>
      <w:tr>
        <w:trPr>
          <w:trHeight w:val="731" w:hRule="exact"/>
        </w:trPr>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4" w:right="139"/>
              <w:jc w:val="left"/>
              <w:rPr>
                <w:rFonts w:ascii="宋体" w:hAnsi="宋体" w:cs="宋体" w:eastAsia="宋体" w:hint="default"/>
                <w:sz w:val="18"/>
                <w:szCs w:val="18"/>
              </w:rPr>
            </w:pPr>
            <w:r>
              <w:rPr>
                <w:rFonts w:ascii="宋体" w:hAnsi="宋体" w:cs="宋体" w:eastAsia="宋体" w:hint="default"/>
                <w:sz w:val="18"/>
                <w:szCs w:val="18"/>
              </w:rPr>
              <w:t>广西 用友</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3,000,000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软件产</w:t>
            </w:r>
          </w:p>
          <w:p>
            <w:pPr>
              <w:pStyle w:val="TableParagraph"/>
              <w:spacing w:line="232" w:lineRule="exact" w:before="24"/>
              <w:ind w:left="103" w:right="65"/>
              <w:jc w:val="left"/>
              <w:rPr>
                <w:rFonts w:ascii="宋体" w:hAnsi="宋体" w:cs="宋体" w:eastAsia="宋体" w:hint="default"/>
                <w:sz w:val="18"/>
                <w:szCs w:val="18"/>
              </w:rPr>
            </w:pPr>
            <w:r>
              <w:rPr>
                <w:rFonts w:ascii="宋体" w:hAnsi="宋体" w:cs="宋体" w:eastAsia="宋体" w:hint="default"/>
                <w:sz w:val="18"/>
                <w:szCs w:val="18"/>
              </w:rPr>
              <w:t>品销售、 服务</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计算机软件、硬件及外部设备的</w:t>
            </w:r>
          </w:p>
          <w:p>
            <w:pPr>
              <w:pStyle w:val="TableParagraph"/>
              <w:spacing w:line="232" w:lineRule="exact" w:before="24"/>
              <w:ind w:left="103" w:right="11"/>
              <w:jc w:val="left"/>
              <w:rPr>
                <w:rFonts w:ascii="宋体" w:hAnsi="宋体" w:cs="宋体" w:eastAsia="宋体" w:hint="default"/>
                <w:sz w:val="18"/>
                <w:szCs w:val="18"/>
              </w:rPr>
            </w:pPr>
            <w:r>
              <w:rPr>
                <w:rFonts w:ascii="宋体" w:hAnsi="宋体" w:cs="宋体" w:eastAsia="宋体" w:hint="default"/>
                <w:spacing w:val="-2"/>
                <w:sz w:val="18"/>
                <w:szCs w:val="18"/>
              </w:rPr>
              <w:t>技术开发、技术咨询、技术转让、</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技术服务；数据库服务；企业管</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90%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95"/>
              <w:jc w:val="right"/>
              <w:rPr>
                <w:rFonts w:ascii="宋体" w:hAnsi="宋体" w:cs="宋体" w:eastAsia="宋体" w:hint="default"/>
                <w:sz w:val="18"/>
                <w:szCs w:val="18"/>
              </w:rPr>
            </w:pPr>
            <w:r>
              <w:rPr>
                <w:rFonts w:ascii="宋体"/>
                <w:sz w:val="18"/>
              </w:rPr>
              <w:t>14,941,839</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7"/>
              <w:jc w:val="right"/>
              <w:rPr>
                <w:rFonts w:ascii="宋体" w:hAnsi="宋体" w:cs="宋体" w:eastAsia="宋体" w:hint="default"/>
                <w:sz w:val="18"/>
                <w:szCs w:val="18"/>
              </w:rPr>
            </w:pPr>
            <w:r>
              <w:rPr>
                <w:rFonts w:ascii="宋体"/>
                <w:sz w:val="18"/>
              </w:rPr>
              <w:t>7,282,984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-1,422,623</w:t>
            </w:r>
          </w:p>
        </w:tc>
      </w:tr>
    </w:tbl>
    <w:p>
      <w:pPr>
        <w:spacing w:after="0" w:line="240" w:lineRule="auto"/>
        <w:jc w:val="right"/>
        <w:rPr>
          <w:rFonts w:ascii="宋体" w:hAnsi="宋体" w:cs="宋体" w:eastAsia="宋体" w:hint="default"/>
          <w:sz w:val="18"/>
          <w:szCs w:val="18"/>
        </w:rPr>
        <w:sectPr>
          <w:pgSz w:w="11910" w:h="16840"/>
          <w:pgMar w:header="720" w:footer="727" w:top="1080" w:bottom="920" w:left="1220" w:right="82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0"/>
          <w:szCs w:val="10"/>
        </w:rPr>
      </w:pPr>
    </w:p>
    <w:tbl>
      <w:tblPr>
        <w:tblW w:w="0" w:type="auto"/>
        <w:jc w:val="left"/>
        <w:tblInd w:w="120" w:type="dxa"/>
        <w:tblLayout w:type="fixed"/>
        <w:tblCellMar>
          <w:top w:w="0" w:type="dxa"/>
          <w:left w:w="0" w:type="dxa"/>
          <w:bottom w:w="0" w:type="dxa"/>
          <w:right w:w="0" w:type="dxa"/>
        </w:tblCellMar>
        <w:tblLook w:val="01E0"/>
      </w:tblPr>
      <w:tblGrid>
        <w:gridCol w:w="616"/>
        <w:gridCol w:w="1100"/>
        <w:gridCol w:w="900"/>
        <w:gridCol w:w="2800"/>
        <w:gridCol w:w="700"/>
        <w:gridCol w:w="1200"/>
        <w:gridCol w:w="1100"/>
        <w:gridCol w:w="1200"/>
      </w:tblGrid>
      <w:tr>
        <w:trPr>
          <w:trHeight w:val="730" w:hRule="exact"/>
        </w:trPr>
        <w:tc>
          <w:tcPr>
            <w:tcW w:w="616"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理咨询；计算机硬件及外部设备、</w:t>
            </w:r>
          </w:p>
          <w:p>
            <w:pPr>
              <w:pStyle w:val="TableParagraph"/>
              <w:spacing w:line="232" w:lineRule="exact" w:before="24"/>
              <w:ind w:left="103" w:right="164"/>
              <w:jc w:val="left"/>
              <w:rPr>
                <w:rFonts w:ascii="宋体" w:hAnsi="宋体" w:cs="宋体" w:eastAsia="宋体" w:hint="default"/>
                <w:sz w:val="18"/>
                <w:szCs w:val="18"/>
              </w:rPr>
            </w:pPr>
            <w:r>
              <w:rPr>
                <w:rFonts w:ascii="宋体" w:hAnsi="宋体" w:cs="宋体" w:eastAsia="宋体" w:hint="default"/>
                <w:sz w:val="18"/>
                <w:szCs w:val="18"/>
              </w:rPr>
              <w:t>打印纸及耗材的销售；企业管理 培训（除职业技能培训）。</w:t>
            </w:r>
          </w:p>
        </w:tc>
        <w:tc>
          <w:tcPr>
            <w:tcW w:w="700"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
        </w:tc>
      </w:tr>
      <w:tr>
        <w:trPr>
          <w:trHeight w:val="731" w:hRule="exact"/>
        </w:trPr>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4" w:right="0"/>
              <w:jc w:val="left"/>
              <w:rPr>
                <w:rFonts w:ascii="宋体" w:hAnsi="宋体" w:cs="宋体" w:eastAsia="宋体" w:hint="default"/>
                <w:sz w:val="18"/>
                <w:szCs w:val="18"/>
              </w:rPr>
            </w:pPr>
            <w:r>
              <w:rPr>
                <w:rFonts w:ascii="宋体" w:hAnsi="宋体" w:cs="宋体" w:eastAsia="宋体" w:hint="default"/>
                <w:sz w:val="18"/>
                <w:szCs w:val="18"/>
              </w:rPr>
              <w:t>内蒙</w:t>
            </w:r>
          </w:p>
          <w:p>
            <w:pPr>
              <w:pStyle w:val="TableParagraph"/>
              <w:spacing w:line="232" w:lineRule="exact" w:before="24"/>
              <w:ind w:left="104" w:right="139"/>
              <w:jc w:val="left"/>
              <w:rPr>
                <w:rFonts w:ascii="宋体" w:hAnsi="宋体" w:cs="宋体" w:eastAsia="宋体" w:hint="default"/>
                <w:sz w:val="18"/>
                <w:szCs w:val="18"/>
              </w:rPr>
            </w:pPr>
            <w:r>
              <w:rPr>
                <w:rFonts w:ascii="宋体" w:hAnsi="宋体" w:cs="宋体" w:eastAsia="宋体" w:hint="default"/>
                <w:sz w:val="18"/>
                <w:szCs w:val="18"/>
              </w:rPr>
              <w:t>古用 友</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3,000,000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软件产</w:t>
            </w:r>
          </w:p>
          <w:p>
            <w:pPr>
              <w:pStyle w:val="TableParagraph"/>
              <w:spacing w:line="232" w:lineRule="exact" w:before="24"/>
              <w:ind w:left="103" w:right="65"/>
              <w:jc w:val="left"/>
              <w:rPr>
                <w:rFonts w:ascii="宋体" w:hAnsi="宋体" w:cs="宋体" w:eastAsia="宋体" w:hint="default"/>
                <w:sz w:val="18"/>
                <w:szCs w:val="18"/>
              </w:rPr>
            </w:pPr>
            <w:r>
              <w:rPr>
                <w:rFonts w:ascii="宋体" w:hAnsi="宋体" w:cs="宋体" w:eastAsia="宋体" w:hint="default"/>
                <w:sz w:val="18"/>
                <w:szCs w:val="18"/>
              </w:rPr>
              <w:t>品销售、 服务</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软件业；计算机服务业；计算机、</w:t>
            </w:r>
          </w:p>
          <w:p>
            <w:pPr>
              <w:pStyle w:val="TableParagraph"/>
              <w:spacing w:line="232" w:lineRule="exact" w:before="24"/>
              <w:ind w:left="103" w:right="164"/>
              <w:jc w:val="left"/>
              <w:rPr>
                <w:rFonts w:ascii="宋体" w:hAnsi="宋体" w:cs="宋体" w:eastAsia="宋体" w:hint="default"/>
                <w:sz w:val="18"/>
                <w:szCs w:val="18"/>
              </w:rPr>
            </w:pPr>
            <w:r>
              <w:rPr>
                <w:rFonts w:ascii="宋体" w:hAnsi="宋体" w:cs="宋体" w:eastAsia="宋体" w:hint="default"/>
                <w:sz w:val="18"/>
                <w:szCs w:val="18"/>
              </w:rPr>
              <w:t>软件及辅助设备销售；企业管理 咨询。</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90%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95"/>
              <w:jc w:val="right"/>
              <w:rPr>
                <w:rFonts w:ascii="宋体" w:hAnsi="宋体" w:cs="宋体" w:eastAsia="宋体" w:hint="default"/>
                <w:sz w:val="18"/>
                <w:szCs w:val="18"/>
              </w:rPr>
            </w:pPr>
            <w:r>
              <w:rPr>
                <w:rFonts w:ascii="宋体"/>
                <w:sz w:val="18"/>
              </w:rPr>
              <w:t>1,427,367</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7"/>
              <w:jc w:val="right"/>
              <w:rPr>
                <w:rFonts w:ascii="宋体" w:hAnsi="宋体" w:cs="宋体" w:eastAsia="宋体" w:hint="default"/>
                <w:sz w:val="18"/>
                <w:szCs w:val="18"/>
              </w:rPr>
            </w:pPr>
            <w:r>
              <w:rPr>
                <w:rFonts w:ascii="宋体"/>
                <w:sz w:val="18"/>
              </w:rPr>
              <w:t>4,087,246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-160,029</w:t>
            </w:r>
          </w:p>
        </w:tc>
      </w:tr>
      <w:tr>
        <w:trPr>
          <w:trHeight w:val="236" w:hRule="exact"/>
        </w:trPr>
        <w:tc>
          <w:tcPr>
            <w:tcW w:w="616"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900" w:type="dxa"/>
            <w:tcBorders>
              <w:top w:val="single" w:sz="4" w:space="0" w:color="000000"/>
              <w:left w:val="single" w:sz="4" w:space="0" w:color="000000"/>
              <w:bottom w:val="nil" w:sz="6" w:space="0" w:color="auto"/>
              <w:right w:val="single" w:sz="4" w:space="0" w:color="000000"/>
            </w:tcBorders>
          </w:tcPr>
          <w:p>
            <w:pPr/>
          </w:p>
        </w:tc>
        <w:tc>
          <w:tcPr>
            <w:tcW w:w="280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计算机软、硬件及外部设备的技</w:t>
            </w:r>
          </w:p>
        </w:tc>
        <w:tc>
          <w:tcPr>
            <w:tcW w:w="7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r>
      <w:tr>
        <w:trPr>
          <w:trHeight w:val="933" w:hRule="exact"/>
        </w:trPr>
        <w:tc>
          <w:tcPr>
            <w:tcW w:w="61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32" w:lineRule="exact"/>
              <w:ind w:left="104" w:right="139"/>
              <w:jc w:val="left"/>
              <w:rPr>
                <w:rFonts w:ascii="宋体" w:hAnsi="宋体" w:cs="宋体" w:eastAsia="宋体" w:hint="default"/>
                <w:sz w:val="18"/>
                <w:szCs w:val="18"/>
              </w:rPr>
            </w:pPr>
            <w:r>
              <w:rPr>
                <w:rFonts w:ascii="宋体" w:hAnsi="宋体" w:cs="宋体" w:eastAsia="宋体" w:hint="default"/>
                <w:sz w:val="18"/>
                <w:szCs w:val="18"/>
              </w:rPr>
              <w:t>江西 用友</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101"/>
              <w:jc w:val="right"/>
              <w:rPr>
                <w:rFonts w:ascii="宋体" w:hAnsi="宋体" w:cs="宋体" w:eastAsia="宋体" w:hint="default"/>
                <w:sz w:val="18"/>
                <w:szCs w:val="18"/>
              </w:rPr>
            </w:pPr>
            <w:r>
              <w:rPr>
                <w:rFonts w:ascii="宋体"/>
                <w:sz w:val="18"/>
              </w:rPr>
              <w:t>20,000,000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37" w:lineRule="auto" w:before="90"/>
              <w:ind w:left="103" w:right="65"/>
              <w:jc w:val="left"/>
              <w:rPr>
                <w:rFonts w:ascii="宋体" w:hAnsi="宋体" w:cs="宋体" w:eastAsia="宋体" w:hint="default"/>
                <w:sz w:val="18"/>
                <w:szCs w:val="18"/>
              </w:rPr>
            </w:pPr>
            <w:r>
              <w:rPr>
                <w:rFonts w:ascii="宋体" w:hAnsi="宋体" w:cs="宋体" w:eastAsia="宋体" w:hint="default"/>
                <w:sz w:val="18"/>
                <w:szCs w:val="18"/>
              </w:rPr>
              <w:t>软件产 品销售、 服务</w:t>
            </w: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both"/>
              <w:rPr>
                <w:rFonts w:ascii="宋体" w:hAnsi="宋体" w:cs="宋体" w:eastAsia="宋体" w:hint="default"/>
                <w:sz w:val="18"/>
                <w:szCs w:val="18"/>
              </w:rPr>
            </w:pPr>
            <w:r>
              <w:rPr>
                <w:rFonts w:ascii="宋体" w:hAnsi="宋体" w:cs="宋体" w:eastAsia="宋体" w:hint="default"/>
                <w:sz w:val="18"/>
                <w:szCs w:val="18"/>
              </w:rPr>
              <w:t>术开发、技术咨询、技术转让、</w:t>
            </w:r>
          </w:p>
          <w:p>
            <w:pPr>
              <w:pStyle w:val="TableParagraph"/>
              <w:spacing w:line="237" w:lineRule="auto" w:before="1"/>
              <w:ind w:left="103" w:right="164"/>
              <w:jc w:val="both"/>
              <w:rPr>
                <w:rFonts w:ascii="宋体" w:hAnsi="宋体" w:cs="宋体" w:eastAsia="宋体" w:hint="default"/>
                <w:sz w:val="18"/>
                <w:szCs w:val="18"/>
              </w:rPr>
            </w:pPr>
            <w:r>
              <w:rPr>
                <w:rFonts w:ascii="宋体" w:hAnsi="宋体" w:cs="宋体" w:eastAsia="宋体" w:hint="default"/>
                <w:sz w:val="18"/>
                <w:szCs w:val="18"/>
              </w:rPr>
              <w:t>技术服务；企业管理咨询；数据 库服务；系统集成；计算机软硬 件及外部设备、打印纸、计算机</w:t>
            </w:r>
          </w:p>
        </w:tc>
        <w:tc>
          <w:tcPr>
            <w:tcW w:w="7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101"/>
              <w:jc w:val="right"/>
              <w:rPr>
                <w:rFonts w:ascii="宋体" w:hAnsi="宋体" w:cs="宋体" w:eastAsia="宋体" w:hint="default"/>
                <w:sz w:val="18"/>
                <w:szCs w:val="18"/>
              </w:rPr>
            </w:pPr>
            <w:r>
              <w:rPr>
                <w:rFonts w:ascii="宋体"/>
                <w:sz w:val="18"/>
              </w:rPr>
              <w:t>100%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95"/>
              <w:jc w:val="right"/>
              <w:rPr>
                <w:rFonts w:ascii="宋体" w:hAnsi="宋体" w:cs="宋体" w:eastAsia="宋体" w:hint="default"/>
                <w:sz w:val="18"/>
                <w:szCs w:val="18"/>
              </w:rPr>
            </w:pPr>
            <w:r>
              <w:rPr>
                <w:rFonts w:ascii="宋体"/>
                <w:sz w:val="18"/>
              </w:rPr>
              <w:t>18,810,690</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17"/>
              <w:jc w:val="right"/>
              <w:rPr>
                <w:rFonts w:ascii="宋体" w:hAnsi="宋体" w:cs="宋体" w:eastAsia="宋体" w:hint="default"/>
                <w:sz w:val="18"/>
                <w:szCs w:val="18"/>
              </w:rPr>
            </w:pPr>
            <w:r>
              <w:rPr>
                <w:rFonts w:ascii="宋体"/>
                <w:sz w:val="18"/>
              </w:rPr>
              <w:t>13,483,436</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left="187" w:right="0"/>
              <w:jc w:val="left"/>
              <w:rPr>
                <w:rFonts w:ascii="宋体" w:hAnsi="宋体" w:cs="宋体" w:eastAsia="宋体" w:hint="default"/>
                <w:sz w:val="18"/>
                <w:szCs w:val="18"/>
              </w:rPr>
            </w:pPr>
            <w:r>
              <w:rPr>
                <w:rFonts w:ascii="宋体"/>
                <w:sz w:val="18"/>
              </w:rPr>
              <w:t>-4,772,615</w:t>
            </w:r>
          </w:p>
        </w:tc>
      </w:tr>
      <w:tr>
        <w:trPr>
          <w:trHeight w:val="240" w:hRule="exact"/>
        </w:trPr>
        <w:tc>
          <w:tcPr>
            <w:tcW w:w="616"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900" w:type="dxa"/>
            <w:tcBorders>
              <w:top w:val="nil" w:sz="6" w:space="0" w:color="auto"/>
              <w:left w:val="single" w:sz="4" w:space="0" w:color="000000"/>
              <w:bottom w:val="single" w:sz="4" w:space="0" w:color="000000"/>
              <w:right w:val="single" w:sz="4" w:space="0" w:color="000000"/>
            </w:tcBorders>
          </w:tcPr>
          <w:p>
            <w:pPr/>
          </w:p>
        </w:tc>
        <w:tc>
          <w:tcPr>
            <w:tcW w:w="2800"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耗材销售</w:t>
            </w:r>
          </w:p>
        </w:tc>
        <w:tc>
          <w:tcPr>
            <w:tcW w:w="7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r>
      <w:tr>
        <w:trPr>
          <w:trHeight w:val="731" w:hRule="exact"/>
        </w:trPr>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4" w:right="139"/>
              <w:jc w:val="left"/>
              <w:rPr>
                <w:rFonts w:ascii="宋体" w:hAnsi="宋体" w:cs="宋体" w:eastAsia="宋体" w:hint="default"/>
                <w:sz w:val="18"/>
                <w:szCs w:val="18"/>
              </w:rPr>
            </w:pPr>
            <w:r>
              <w:rPr>
                <w:rFonts w:ascii="宋体" w:hAnsi="宋体" w:cs="宋体" w:eastAsia="宋体" w:hint="default"/>
                <w:sz w:val="18"/>
                <w:szCs w:val="18"/>
              </w:rPr>
              <w:t>湖南 用友</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3,000,000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软件产</w:t>
            </w:r>
          </w:p>
          <w:p>
            <w:pPr>
              <w:pStyle w:val="TableParagraph"/>
              <w:spacing w:line="232" w:lineRule="exact" w:before="24"/>
              <w:ind w:left="103" w:right="65"/>
              <w:jc w:val="left"/>
              <w:rPr>
                <w:rFonts w:ascii="宋体" w:hAnsi="宋体" w:cs="宋体" w:eastAsia="宋体" w:hint="default"/>
                <w:sz w:val="18"/>
                <w:szCs w:val="18"/>
              </w:rPr>
            </w:pPr>
            <w:r>
              <w:rPr>
                <w:rFonts w:ascii="宋体" w:hAnsi="宋体" w:cs="宋体" w:eastAsia="宋体" w:hint="default"/>
                <w:sz w:val="18"/>
                <w:szCs w:val="18"/>
              </w:rPr>
              <w:t>品销售、 服务</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计算机软、硬件及配件的开发,技</w:t>
            </w:r>
          </w:p>
          <w:p>
            <w:pPr>
              <w:pStyle w:val="TableParagraph"/>
              <w:spacing w:line="232" w:lineRule="exact" w:before="24"/>
              <w:ind w:left="103" w:right="254"/>
              <w:jc w:val="left"/>
              <w:rPr>
                <w:rFonts w:ascii="宋体" w:hAnsi="宋体" w:cs="宋体" w:eastAsia="宋体" w:hint="default"/>
                <w:sz w:val="18"/>
                <w:szCs w:val="18"/>
              </w:rPr>
            </w:pPr>
            <w:r>
              <w:rPr>
                <w:rFonts w:ascii="宋体" w:hAnsi="宋体" w:cs="宋体" w:eastAsia="宋体" w:hint="default"/>
                <w:sz w:val="18"/>
                <w:szCs w:val="18"/>
              </w:rPr>
              <w:t>术咨询,技术转让及销售数据库 服务,企业管理咨询。</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90%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95"/>
              <w:jc w:val="right"/>
              <w:rPr>
                <w:rFonts w:ascii="宋体" w:hAnsi="宋体" w:cs="宋体" w:eastAsia="宋体" w:hint="default"/>
                <w:sz w:val="18"/>
                <w:szCs w:val="18"/>
              </w:rPr>
            </w:pPr>
            <w:r>
              <w:rPr>
                <w:rFonts w:ascii="宋体"/>
                <w:sz w:val="18"/>
              </w:rPr>
              <w:t>9,840,672</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7"/>
              <w:jc w:val="right"/>
              <w:rPr>
                <w:rFonts w:ascii="宋体" w:hAnsi="宋体" w:cs="宋体" w:eastAsia="宋体" w:hint="default"/>
                <w:sz w:val="18"/>
                <w:szCs w:val="18"/>
              </w:rPr>
            </w:pPr>
            <w:r>
              <w:rPr>
                <w:rFonts w:ascii="宋体"/>
                <w:sz w:val="18"/>
              </w:rPr>
              <w:t>11,999,283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87" w:right="0"/>
              <w:jc w:val="left"/>
              <w:rPr>
                <w:rFonts w:ascii="宋体" w:hAnsi="宋体" w:cs="宋体" w:eastAsia="宋体" w:hint="default"/>
                <w:sz w:val="18"/>
                <w:szCs w:val="18"/>
              </w:rPr>
            </w:pPr>
            <w:r>
              <w:rPr>
                <w:rFonts w:ascii="宋体"/>
                <w:sz w:val="18"/>
              </w:rPr>
              <w:t>-3,347,904</w:t>
            </w:r>
          </w:p>
        </w:tc>
      </w:tr>
      <w:tr>
        <w:trPr>
          <w:trHeight w:val="236" w:hRule="exact"/>
        </w:trPr>
        <w:tc>
          <w:tcPr>
            <w:tcW w:w="616"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4"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100" w:type="dxa"/>
            <w:tcBorders>
              <w:top w:val="single" w:sz="4" w:space="0" w:color="000000"/>
              <w:left w:val="single" w:sz="4" w:space="0" w:color="000000"/>
              <w:bottom w:val="nil" w:sz="6" w:space="0" w:color="auto"/>
              <w:right w:val="single" w:sz="4" w:space="0" w:color="000000"/>
            </w:tcBorders>
          </w:tcPr>
          <w:p>
            <w:pPr/>
          </w:p>
        </w:tc>
        <w:tc>
          <w:tcPr>
            <w:tcW w:w="900" w:type="dxa"/>
            <w:tcBorders>
              <w:top w:val="single" w:sz="4" w:space="0" w:color="000000"/>
              <w:left w:val="single" w:sz="4" w:space="0" w:color="000000"/>
              <w:bottom w:val="nil" w:sz="6" w:space="0" w:color="auto"/>
              <w:right w:val="single" w:sz="4" w:space="0" w:color="000000"/>
            </w:tcBorders>
          </w:tcPr>
          <w:p>
            <w:pPr/>
          </w:p>
        </w:tc>
        <w:tc>
          <w:tcPr>
            <w:tcW w:w="2800" w:type="dxa"/>
            <w:tcBorders>
              <w:top w:val="single" w:sz="4" w:space="0" w:color="000000"/>
              <w:left w:val="single" w:sz="4" w:space="0" w:color="000000"/>
              <w:bottom w:val="nil" w:sz="6" w:space="0" w:color="auto"/>
              <w:right w:val="single" w:sz="4" w:space="0" w:color="000000"/>
            </w:tcBorders>
          </w:tcPr>
          <w:p>
            <w:pPr/>
          </w:p>
        </w:tc>
        <w:tc>
          <w:tcPr>
            <w:tcW w:w="7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r>
      <w:tr>
        <w:trPr>
          <w:trHeight w:val="933" w:hRule="exact"/>
        </w:trPr>
        <w:tc>
          <w:tcPr>
            <w:tcW w:w="616"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4" w:right="0"/>
              <w:jc w:val="both"/>
              <w:rPr>
                <w:rFonts w:ascii="宋体" w:hAnsi="宋体" w:cs="宋体" w:eastAsia="宋体" w:hint="default"/>
                <w:sz w:val="18"/>
                <w:szCs w:val="18"/>
              </w:rPr>
            </w:pPr>
            <w:r>
              <w:rPr>
                <w:rFonts w:ascii="宋体" w:hAnsi="宋体" w:cs="宋体" w:eastAsia="宋体" w:hint="default"/>
                <w:sz w:val="18"/>
                <w:szCs w:val="18"/>
              </w:rPr>
              <w:t>市灏</w:t>
            </w:r>
          </w:p>
          <w:p>
            <w:pPr>
              <w:pStyle w:val="TableParagraph"/>
              <w:spacing w:line="237" w:lineRule="auto" w:before="1"/>
              <w:ind w:left="104" w:right="139"/>
              <w:jc w:val="both"/>
              <w:rPr>
                <w:rFonts w:ascii="宋体" w:hAnsi="宋体" w:cs="宋体" w:eastAsia="宋体" w:hint="default"/>
                <w:sz w:val="18"/>
                <w:szCs w:val="18"/>
              </w:rPr>
            </w:pPr>
            <w:r>
              <w:rPr>
                <w:rFonts w:ascii="宋体" w:hAnsi="宋体" w:cs="宋体" w:eastAsia="宋体" w:hint="default"/>
                <w:sz w:val="18"/>
                <w:szCs w:val="18"/>
              </w:rPr>
              <w:t>麓梵 科技 有限</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101"/>
              <w:jc w:val="right"/>
              <w:rPr>
                <w:rFonts w:ascii="宋体" w:hAnsi="宋体" w:cs="宋体" w:eastAsia="宋体" w:hint="default"/>
                <w:sz w:val="18"/>
                <w:szCs w:val="18"/>
              </w:rPr>
            </w:pPr>
            <w:r>
              <w:rPr>
                <w:rFonts w:ascii="宋体"/>
                <w:sz w:val="18"/>
              </w:rPr>
              <w:t>1,000,000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37" w:lineRule="auto" w:before="90"/>
              <w:ind w:left="103" w:right="65"/>
              <w:jc w:val="left"/>
              <w:rPr>
                <w:rFonts w:ascii="宋体" w:hAnsi="宋体" w:cs="宋体" w:eastAsia="宋体" w:hint="default"/>
                <w:sz w:val="18"/>
                <w:szCs w:val="18"/>
              </w:rPr>
            </w:pPr>
            <w:r>
              <w:rPr>
                <w:rFonts w:ascii="宋体" w:hAnsi="宋体" w:cs="宋体" w:eastAsia="宋体" w:hint="default"/>
                <w:sz w:val="18"/>
                <w:szCs w:val="18"/>
              </w:rPr>
              <w:t>软件产 品销售、 服务</w:t>
            </w: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left="103" w:right="0"/>
              <w:jc w:val="left"/>
              <w:rPr>
                <w:rFonts w:ascii="宋体" w:hAnsi="宋体" w:cs="宋体" w:eastAsia="宋体" w:hint="default"/>
                <w:sz w:val="18"/>
                <w:szCs w:val="18"/>
              </w:rPr>
            </w:pPr>
            <w:r>
              <w:rPr>
                <w:rFonts w:ascii="宋体" w:hAnsi="宋体" w:cs="宋体" w:eastAsia="宋体" w:hint="default"/>
                <w:sz w:val="18"/>
                <w:szCs w:val="18"/>
              </w:rPr>
              <w:t>电脑软件的技术开发及销售</w:t>
            </w:r>
          </w:p>
        </w:tc>
        <w:tc>
          <w:tcPr>
            <w:tcW w:w="7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101"/>
              <w:jc w:val="right"/>
              <w:rPr>
                <w:rFonts w:ascii="宋体" w:hAnsi="宋体" w:cs="宋体" w:eastAsia="宋体" w:hint="default"/>
                <w:sz w:val="18"/>
                <w:szCs w:val="18"/>
              </w:rPr>
            </w:pPr>
            <w:r>
              <w:rPr>
                <w:rFonts w:ascii="宋体"/>
                <w:sz w:val="18"/>
              </w:rPr>
              <w:t>100%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95"/>
              <w:jc w:val="right"/>
              <w:rPr>
                <w:rFonts w:ascii="宋体" w:hAnsi="宋体" w:cs="宋体" w:eastAsia="宋体" w:hint="default"/>
                <w:sz w:val="18"/>
                <w:szCs w:val="18"/>
              </w:rPr>
            </w:pPr>
            <w:r>
              <w:rPr>
                <w:rFonts w:ascii="宋体"/>
                <w:sz w:val="18"/>
              </w:rPr>
              <w:t>0</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17"/>
              <w:jc w:val="right"/>
              <w:rPr>
                <w:rFonts w:ascii="宋体" w:hAnsi="宋体" w:cs="宋体" w:eastAsia="宋体" w:hint="default"/>
                <w:sz w:val="18"/>
                <w:szCs w:val="18"/>
              </w:rPr>
            </w:pPr>
            <w:r>
              <w:rPr>
                <w:rFonts w:ascii="宋体"/>
                <w:sz w:val="18"/>
              </w:rPr>
              <w:t>2,163</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101"/>
              <w:jc w:val="right"/>
              <w:rPr>
                <w:rFonts w:ascii="宋体" w:hAnsi="宋体" w:cs="宋体" w:eastAsia="宋体" w:hint="default"/>
                <w:sz w:val="18"/>
                <w:szCs w:val="18"/>
              </w:rPr>
            </w:pPr>
            <w:r>
              <w:rPr>
                <w:rFonts w:ascii="宋体"/>
                <w:sz w:val="18"/>
              </w:rPr>
              <w:t>-457</w:t>
            </w:r>
          </w:p>
        </w:tc>
      </w:tr>
      <w:tr>
        <w:trPr>
          <w:trHeight w:val="240" w:hRule="exact"/>
        </w:trPr>
        <w:tc>
          <w:tcPr>
            <w:tcW w:w="616"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4"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00" w:type="dxa"/>
            <w:tcBorders>
              <w:top w:val="nil" w:sz="6" w:space="0" w:color="auto"/>
              <w:left w:val="single" w:sz="4" w:space="0" w:color="000000"/>
              <w:bottom w:val="single" w:sz="4" w:space="0" w:color="000000"/>
              <w:right w:val="single" w:sz="4" w:space="0" w:color="000000"/>
            </w:tcBorders>
          </w:tcPr>
          <w:p>
            <w:pPr/>
          </w:p>
        </w:tc>
        <w:tc>
          <w:tcPr>
            <w:tcW w:w="900" w:type="dxa"/>
            <w:tcBorders>
              <w:top w:val="nil" w:sz="6" w:space="0" w:color="auto"/>
              <w:left w:val="single" w:sz="4" w:space="0" w:color="000000"/>
              <w:bottom w:val="single" w:sz="4" w:space="0" w:color="000000"/>
              <w:right w:val="single" w:sz="4" w:space="0" w:color="000000"/>
            </w:tcBorders>
          </w:tcPr>
          <w:p>
            <w:pPr/>
          </w:p>
        </w:tc>
        <w:tc>
          <w:tcPr>
            <w:tcW w:w="2800" w:type="dxa"/>
            <w:tcBorders>
              <w:top w:val="nil" w:sz="6" w:space="0" w:color="auto"/>
              <w:left w:val="single" w:sz="4" w:space="0" w:color="000000"/>
              <w:bottom w:val="single" w:sz="4" w:space="0" w:color="000000"/>
              <w:right w:val="single" w:sz="4" w:space="0" w:color="000000"/>
            </w:tcBorders>
          </w:tcPr>
          <w:p>
            <w:pPr/>
          </w:p>
        </w:tc>
        <w:tc>
          <w:tcPr>
            <w:tcW w:w="7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r>
      <w:tr>
        <w:trPr>
          <w:trHeight w:val="944" w:hRule="exact"/>
        </w:trPr>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4" w:right="139"/>
              <w:jc w:val="left"/>
              <w:rPr>
                <w:rFonts w:ascii="宋体" w:hAnsi="宋体" w:cs="宋体" w:eastAsia="宋体" w:hint="default"/>
                <w:sz w:val="18"/>
                <w:szCs w:val="18"/>
              </w:rPr>
            </w:pPr>
            <w:r>
              <w:rPr>
                <w:rFonts w:ascii="宋体" w:hAnsi="宋体" w:cs="宋体" w:eastAsia="宋体" w:hint="default"/>
                <w:sz w:val="18"/>
                <w:szCs w:val="18"/>
              </w:rPr>
              <w:t>深圳 用友</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01"/>
              <w:jc w:val="right"/>
              <w:rPr>
                <w:rFonts w:ascii="宋体" w:hAnsi="宋体" w:cs="宋体" w:eastAsia="宋体" w:hint="default"/>
                <w:sz w:val="18"/>
                <w:szCs w:val="18"/>
              </w:rPr>
            </w:pPr>
            <w:r>
              <w:rPr>
                <w:rFonts w:ascii="宋体"/>
                <w:sz w:val="18"/>
              </w:rPr>
              <w:t>5,000,000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8"/>
              <w:ind w:left="103" w:right="65"/>
              <w:jc w:val="left"/>
              <w:rPr>
                <w:rFonts w:ascii="宋体" w:hAnsi="宋体" w:cs="宋体" w:eastAsia="宋体" w:hint="default"/>
                <w:sz w:val="18"/>
                <w:szCs w:val="18"/>
              </w:rPr>
            </w:pPr>
            <w:r>
              <w:rPr>
                <w:rFonts w:ascii="宋体" w:hAnsi="宋体" w:cs="宋体" w:eastAsia="宋体" w:hint="default"/>
                <w:sz w:val="18"/>
                <w:szCs w:val="18"/>
              </w:rPr>
              <w:t>软件产 品销售、 服务</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z w:val="18"/>
                <w:szCs w:val="18"/>
              </w:rPr>
              <w:t>计算机软件硬件及外部设备的技</w:t>
            </w:r>
          </w:p>
          <w:p>
            <w:pPr>
              <w:pStyle w:val="TableParagraph"/>
              <w:spacing w:line="237" w:lineRule="auto" w:before="1"/>
              <w:ind w:left="103" w:right="164"/>
              <w:jc w:val="both"/>
              <w:rPr>
                <w:rFonts w:ascii="宋体" w:hAnsi="宋体" w:cs="宋体" w:eastAsia="宋体" w:hint="default"/>
                <w:sz w:val="18"/>
                <w:szCs w:val="18"/>
              </w:rPr>
            </w:pPr>
            <w:r>
              <w:rPr>
                <w:rFonts w:ascii="宋体" w:hAnsi="宋体" w:cs="宋体" w:eastAsia="宋体" w:hint="default"/>
                <w:sz w:val="18"/>
                <w:szCs w:val="18"/>
              </w:rPr>
              <w:t>术开发、技术咨询及购销；打印 纸、计算机耗材的购销；企业管 理咨询</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01"/>
              <w:jc w:val="right"/>
              <w:rPr>
                <w:rFonts w:ascii="宋体" w:hAnsi="宋体" w:cs="宋体" w:eastAsia="宋体" w:hint="default"/>
                <w:sz w:val="18"/>
                <w:szCs w:val="18"/>
              </w:rPr>
            </w:pPr>
            <w:r>
              <w:rPr>
                <w:rFonts w:ascii="宋体"/>
                <w:sz w:val="18"/>
              </w:rPr>
              <w:t>90%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95"/>
              <w:jc w:val="right"/>
              <w:rPr>
                <w:rFonts w:ascii="宋体" w:hAnsi="宋体" w:cs="宋体" w:eastAsia="宋体" w:hint="default"/>
                <w:sz w:val="18"/>
                <w:szCs w:val="18"/>
              </w:rPr>
            </w:pPr>
            <w:r>
              <w:rPr>
                <w:rFonts w:ascii="宋体"/>
                <w:sz w:val="18"/>
              </w:rPr>
              <w:t>58,584,377</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7"/>
              <w:jc w:val="right"/>
              <w:rPr>
                <w:rFonts w:ascii="宋体" w:hAnsi="宋体" w:cs="宋体" w:eastAsia="宋体" w:hint="default"/>
                <w:sz w:val="18"/>
                <w:szCs w:val="18"/>
              </w:rPr>
            </w:pPr>
            <w:r>
              <w:rPr>
                <w:rFonts w:ascii="宋体"/>
                <w:sz w:val="18"/>
              </w:rPr>
              <w:t>16,780,044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left="97" w:right="0"/>
              <w:jc w:val="left"/>
              <w:rPr>
                <w:rFonts w:ascii="宋体" w:hAnsi="宋体" w:cs="宋体" w:eastAsia="宋体" w:hint="default"/>
                <w:sz w:val="18"/>
                <w:szCs w:val="18"/>
              </w:rPr>
            </w:pPr>
            <w:r>
              <w:rPr>
                <w:rFonts w:ascii="宋体"/>
                <w:sz w:val="18"/>
              </w:rPr>
              <w:t>-13,820,211</w:t>
            </w:r>
          </w:p>
        </w:tc>
      </w:tr>
      <w:tr>
        <w:trPr>
          <w:trHeight w:val="730" w:hRule="exact"/>
        </w:trPr>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20"/>
              <w:ind w:left="104" w:right="139"/>
              <w:jc w:val="left"/>
              <w:rPr>
                <w:rFonts w:ascii="宋体" w:hAnsi="宋体" w:cs="宋体" w:eastAsia="宋体" w:hint="default"/>
                <w:sz w:val="18"/>
                <w:szCs w:val="18"/>
              </w:rPr>
            </w:pPr>
            <w:r>
              <w:rPr>
                <w:rFonts w:ascii="宋体" w:hAnsi="宋体" w:cs="宋体" w:eastAsia="宋体" w:hint="default"/>
                <w:sz w:val="18"/>
                <w:szCs w:val="18"/>
              </w:rPr>
              <w:t>用友 医疗</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3" w:right="101"/>
              <w:jc w:val="right"/>
              <w:rPr>
                <w:rFonts w:ascii="宋体" w:hAnsi="宋体" w:cs="宋体" w:eastAsia="宋体" w:hint="default"/>
                <w:sz w:val="18"/>
                <w:szCs w:val="18"/>
              </w:rPr>
            </w:pPr>
            <w:r>
              <w:rPr>
                <w:rFonts w:ascii="宋体"/>
                <w:sz w:val="18"/>
              </w:rPr>
              <w:t>100,000,000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1"/>
              <w:ind w:left="103" w:right="65"/>
              <w:jc w:val="left"/>
              <w:rPr>
                <w:rFonts w:ascii="宋体" w:hAnsi="宋体" w:cs="宋体" w:eastAsia="宋体" w:hint="default"/>
                <w:sz w:val="18"/>
                <w:szCs w:val="18"/>
              </w:rPr>
            </w:pPr>
            <w:r>
              <w:rPr>
                <w:rFonts w:ascii="宋体" w:hAnsi="宋体" w:cs="宋体" w:eastAsia="宋体" w:hint="default"/>
                <w:sz w:val="18"/>
                <w:szCs w:val="18"/>
              </w:rPr>
              <w:t>软件产 品销售、 服务</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20"/>
              <w:ind w:left="103" w:right="164"/>
              <w:jc w:val="left"/>
              <w:rPr>
                <w:rFonts w:ascii="宋体" w:hAnsi="宋体" w:cs="宋体" w:eastAsia="宋体" w:hint="default"/>
                <w:sz w:val="18"/>
                <w:szCs w:val="18"/>
              </w:rPr>
            </w:pPr>
            <w:r>
              <w:rPr>
                <w:rFonts w:ascii="宋体" w:hAnsi="宋体" w:cs="宋体" w:eastAsia="宋体" w:hint="default"/>
                <w:sz w:val="18"/>
                <w:szCs w:val="18"/>
              </w:rPr>
              <w:t>销售医疗软件；医疗软件的技术 培训、系统集成。</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100%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95"/>
              <w:jc w:val="right"/>
              <w:rPr>
                <w:rFonts w:ascii="宋体" w:hAnsi="宋体" w:cs="宋体" w:eastAsia="宋体" w:hint="default"/>
                <w:sz w:val="18"/>
                <w:szCs w:val="18"/>
              </w:rPr>
            </w:pPr>
            <w:r>
              <w:rPr>
                <w:rFonts w:ascii="宋体"/>
                <w:sz w:val="18"/>
              </w:rPr>
              <w:t>0</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7"/>
              <w:jc w:val="right"/>
              <w:rPr>
                <w:rFonts w:ascii="宋体" w:hAnsi="宋体" w:cs="宋体" w:eastAsia="宋体" w:hint="default"/>
                <w:sz w:val="18"/>
                <w:szCs w:val="18"/>
              </w:rPr>
            </w:pPr>
            <w:r>
              <w:rPr>
                <w:rFonts w:ascii="宋体"/>
                <w:sz w:val="18"/>
              </w:rPr>
              <w:t>99,548,080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87" w:right="0"/>
              <w:jc w:val="left"/>
              <w:rPr>
                <w:rFonts w:ascii="宋体" w:hAnsi="宋体" w:cs="宋体" w:eastAsia="宋体" w:hint="default"/>
                <w:sz w:val="18"/>
                <w:szCs w:val="18"/>
              </w:rPr>
            </w:pPr>
            <w:r>
              <w:rPr>
                <w:rFonts w:ascii="宋体"/>
                <w:sz w:val="18"/>
              </w:rPr>
              <w:t>-1,498,106</w:t>
            </w:r>
          </w:p>
        </w:tc>
      </w:tr>
      <w:tr>
        <w:trPr>
          <w:trHeight w:val="236" w:hRule="exact"/>
        </w:trPr>
        <w:tc>
          <w:tcPr>
            <w:tcW w:w="616"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900" w:type="dxa"/>
            <w:tcBorders>
              <w:top w:val="single" w:sz="4" w:space="0" w:color="000000"/>
              <w:left w:val="single" w:sz="4" w:space="0" w:color="000000"/>
              <w:bottom w:val="nil" w:sz="6" w:space="0" w:color="auto"/>
              <w:right w:val="single" w:sz="4" w:space="0" w:color="000000"/>
            </w:tcBorders>
          </w:tcPr>
          <w:p>
            <w:pPr/>
          </w:p>
        </w:tc>
        <w:tc>
          <w:tcPr>
            <w:tcW w:w="280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8"/>
                <w:sz w:val="18"/>
                <w:szCs w:val="18"/>
              </w:rPr>
              <w:t>房地产开发、经营；实业投资（金</w:t>
            </w:r>
          </w:p>
        </w:tc>
        <w:tc>
          <w:tcPr>
            <w:tcW w:w="7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616"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融、期货、保险证券除外）；自</w:t>
            </w:r>
          </w:p>
        </w:tc>
        <w:tc>
          <w:tcPr>
            <w:tcW w:w="7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r>
      <w:tr>
        <w:trPr>
          <w:trHeight w:val="233" w:hRule="exact"/>
        </w:trPr>
        <w:tc>
          <w:tcPr>
            <w:tcW w:w="616"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有房租赁；物业管理；电子计算</w:t>
            </w:r>
          </w:p>
        </w:tc>
        <w:tc>
          <w:tcPr>
            <w:tcW w:w="7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r>
      <w:tr>
        <w:trPr>
          <w:trHeight w:val="233" w:hRule="exact"/>
        </w:trPr>
        <w:tc>
          <w:tcPr>
            <w:tcW w:w="616"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机软件、硬件及外部设备的技术</w:t>
            </w:r>
          </w:p>
        </w:tc>
        <w:tc>
          <w:tcPr>
            <w:tcW w:w="7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r>
      <w:tr>
        <w:trPr>
          <w:trHeight w:val="701" w:hRule="exact"/>
        </w:trPr>
        <w:tc>
          <w:tcPr>
            <w:tcW w:w="616" w:type="dxa"/>
            <w:tcBorders>
              <w:top w:val="nil" w:sz="6" w:space="0" w:color="auto"/>
              <w:left w:val="single" w:sz="4" w:space="0" w:color="000000"/>
              <w:bottom w:val="nil" w:sz="6" w:space="0" w:color="auto"/>
              <w:right w:val="single" w:sz="4" w:space="0" w:color="000000"/>
            </w:tcBorders>
          </w:tcPr>
          <w:p>
            <w:pPr>
              <w:pStyle w:val="TableParagraph"/>
              <w:spacing w:line="232" w:lineRule="exact" w:before="112"/>
              <w:ind w:left="104" w:right="139"/>
              <w:jc w:val="left"/>
              <w:rPr>
                <w:rFonts w:ascii="宋体" w:hAnsi="宋体" w:cs="宋体" w:eastAsia="宋体" w:hint="default"/>
                <w:sz w:val="18"/>
                <w:szCs w:val="18"/>
              </w:rPr>
            </w:pPr>
            <w:r>
              <w:rPr>
                <w:rFonts w:ascii="宋体" w:hAnsi="宋体" w:cs="宋体" w:eastAsia="宋体" w:hint="default"/>
                <w:sz w:val="18"/>
                <w:szCs w:val="18"/>
              </w:rPr>
              <w:t>用友 南昌</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80,000,000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软件产</w:t>
            </w:r>
          </w:p>
          <w:p>
            <w:pPr>
              <w:pStyle w:val="TableParagraph"/>
              <w:spacing w:line="240" w:lineRule="auto"/>
              <w:ind w:left="103" w:right="65"/>
              <w:jc w:val="left"/>
              <w:rPr>
                <w:rFonts w:ascii="宋体" w:hAnsi="宋体" w:cs="宋体" w:eastAsia="宋体" w:hint="default"/>
                <w:sz w:val="18"/>
                <w:szCs w:val="18"/>
              </w:rPr>
            </w:pPr>
            <w:r>
              <w:rPr>
                <w:rFonts w:ascii="宋体" w:hAnsi="宋体" w:cs="宋体" w:eastAsia="宋体" w:hint="default"/>
                <w:sz w:val="18"/>
                <w:szCs w:val="18"/>
              </w:rPr>
              <w:t>品销售、 服务</w:t>
            </w: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开发、技术咨询、技术转让、技</w:t>
            </w:r>
          </w:p>
          <w:p>
            <w:pPr>
              <w:pStyle w:val="TableParagraph"/>
              <w:spacing w:line="240" w:lineRule="auto"/>
              <w:ind w:left="103" w:right="164"/>
              <w:jc w:val="left"/>
              <w:rPr>
                <w:rFonts w:ascii="宋体" w:hAnsi="宋体" w:cs="宋体" w:eastAsia="宋体" w:hint="default"/>
                <w:sz w:val="18"/>
                <w:szCs w:val="18"/>
              </w:rPr>
            </w:pPr>
            <w:r>
              <w:rPr>
                <w:rFonts w:ascii="宋体" w:hAnsi="宋体" w:cs="宋体" w:eastAsia="宋体" w:hint="default"/>
                <w:sz w:val="18"/>
                <w:szCs w:val="18"/>
              </w:rPr>
              <w:t>术服务、技术培训；企业管理咨 询；数据库服务；打印纸、计算</w:t>
            </w:r>
          </w:p>
        </w:tc>
        <w:tc>
          <w:tcPr>
            <w:tcW w:w="7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100%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95"/>
              <w:jc w:val="right"/>
              <w:rPr>
                <w:rFonts w:ascii="宋体" w:hAnsi="宋体" w:cs="宋体" w:eastAsia="宋体" w:hint="default"/>
                <w:sz w:val="18"/>
                <w:szCs w:val="18"/>
              </w:rPr>
            </w:pPr>
            <w:r>
              <w:rPr>
                <w:rFonts w:ascii="宋体"/>
                <w:sz w:val="18"/>
              </w:rPr>
              <w:t>0</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宋体" w:hAnsi="宋体" w:cs="宋体" w:eastAsia="宋体" w:hint="default"/>
                <w:sz w:val="18"/>
                <w:szCs w:val="18"/>
              </w:rPr>
            </w:pPr>
            <w:r>
              <w:rPr>
                <w:rFonts w:ascii="宋体"/>
                <w:sz w:val="18"/>
              </w:rPr>
              <w:t>80,048,341</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38,673</w:t>
            </w:r>
          </w:p>
        </w:tc>
      </w:tr>
      <w:tr>
        <w:trPr>
          <w:trHeight w:val="233" w:hRule="exact"/>
        </w:trPr>
        <w:tc>
          <w:tcPr>
            <w:tcW w:w="616"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机耗材、电子计算机软硬件及外</w:t>
            </w:r>
          </w:p>
        </w:tc>
        <w:tc>
          <w:tcPr>
            <w:tcW w:w="7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r>
      <w:tr>
        <w:trPr>
          <w:trHeight w:val="233" w:hRule="exact"/>
        </w:trPr>
        <w:tc>
          <w:tcPr>
            <w:tcW w:w="616"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部设备销售；系统集成（以上项</w:t>
            </w:r>
          </w:p>
        </w:tc>
        <w:tc>
          <w:tcPr>
            <w:tcW w:w="7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r>
      <w:tr>
        <w:trPr>
          <w:trHeight w:val="233" w:hRule="exact"/>
        </w:trPr>
        <w:tc>
          <w:tcPr>
            <w:tcW w:w="616"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目国家有专项规定的凭许可证、</w:t>
            </w:r>
          </w:p>
        </w:tc>
        <w:tc>
          <w:tcPr>
            <w:tcW w:w="7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616"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900" w:type="dxa"/>
            <w:tcBorders>
              <w:top w:val="nil" w:sz="6" w:space="0" w:color="auto"/>
              <w:left w:val="single" w:sz="4" w:space="0" w:color="000000"/>
              <w:bottom w:val="single" w:sz="4" w:space="0" w:color="000000"/>
              <w:right w:val="single" w:sz="4" w:space="0" w:color="000000"/>
            </w:tcBorders>
          </w:tcPr>
          <w:p>
            <w:pPr/>
          </w:p>
        </w:tc>
        <w:tc>
          <w:tcPr>
            <w:tcW w:w="2800"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资质证或其他批准文件经营）</w:t>
            </w:r>
          </w:p>
        </w:tc>
        <w:tc>
          <w:tcPr>
            <w:tcW w:w="7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r>
      <w:tr>
        <w:trPr>
          <w:trHeight w:val="730" w:hRule="exact"/>
        </w:trPr>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4" w:right="139"/>
              <w:jc w:val="left"/>
              <w:rPr>
                <w:rFonts w:ascii="宋体" w:hAnsi="宋体" w:cs="宋体" w:eastAsia="宋体" w:hint="default"/>
                <w:sz w:val="18"/>
                <w:szCs w:val="18"/>
              </w:rPr>
            </w:pPr>
            <w:r>
              <w:rPr>
                <w:rFonts w:ascii="宋体" w:hAnsi="宋体" w:cs="宋体" w:eastAsia="宋体" w:hint="default"/>
                <w:sz w:val="18"/>
                <w:szCs w:val="18"/>
              </w:rPr>
              <w:t>用友 审计</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10,000,000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软件产</w:t>
            </w:r>
          </w:p>
          <w:p>
            <w:pPr>
              <w:pStyle w:val="TableParagraph"/>
              <w:spacing w:line="232" w:lineRule="exact" w:before="24"/>
              <w:ind w:left="103" w:right="65"/>
              <w:jc w:val="left"/>
              <w:rPr>
                <w:rFonts w:ascii="宋体" w:hAnsi="宋体" w:cs="宋体" w:eastAsia="宋体" w:hint="default"/>
                <w:sz w:val="18"/>
                <w:szCs w:val="18"/>
              </w:rPr>
            </w:pPr>
            <w:r>
              <w:rPr>
                <w:rFonts w:ascii="宋体" w:hAnsi="宋体" w:cs="宋体" w:eastAsia="宋体" w:hint="default"/>
                <w:sz w:val="18"/>
                <w:szCs w:val="18"/>
              </w:rPr>
              <w:t>品销售、 服务</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计算机软件技术开发及销售，网</w:t>
            </w:r>
          </w:p>
          <w:p>
            <w:pPr>
              <w:pStyle w:val="TableParagraph"/>
              <w:spacing w:line="232" w:lineRule="exact" w:before="24"/>
              <w:ind w:left="103" w:right="11"/>
              <w:jc w:val="left"/>
              <w:rPr>
                <w:rFonts w:ascii="宋体" w:hAnsi="宋体" w:cs="宋体" w:eastAsia="宋体" w:hint="default"/>
                <w:sz w:val="18"/>
                <w:szCs w:val="18"/>
              </w:rPr>
            </w:pPr>
            <w:r>
              <w:rPr>
                <w:rFonts w:ascii="宋体" w:hAnsi="宋体" w:cs="宋体" w:eastAsia="宋体" w:hint="default"/>
                <w:spacing w:val="-2"/>
                <w:sz w:val="18"/>
                <w:szCs w:val="18"/>
              </w:rPr>
              <w:t>络系统工程设计，技术安装服务，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技术咨询和技术转让等。</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82%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95"/>
              <w:jc w:val="right"/>
              <w:rPr>
                <w:rFonts w:ascii="宋体" w:hAnsi="宋体" w:cs="宋体" w:eastAsia="宋体" w:hint="default"/>
                <w:sz w:val="18"/>
                <w:szCs w:val="18"/>
              </w:rPr>
            </w:pPr>
            <w:r>
              <w:rPr>
                <w:rFonts w:ascii="宋体"/>
                <w:sz w:val="18"/>
              </w:rPr>
              <w:t>9,314,750</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7"/>
              <w:jc w:val="right"/>
              <w:rPr>
                <w:rFonts w:ascii="宋体" w:hAnsi="宋体" w:cs="宋体" w:eastAsia="宋体" w:hint="default"/>
                <w:sz w:val="18"/>
                <w:szCs w:val="18"/>
              </w:rPr>
            </w:pPr>
            <w:r>
              <w:rPr>
                <w:rFonts w:ascii="宋体"/>
                <w:sz w:val="18"/>
              </w:rPr>
              <w:t>21,268,237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4"/>
              <w:jc w:val="right"/>
              <w:rPr>
                <w:rFonts w:ascii="宋体" w:hAnsi="宋体" w:cs="宋体" w:eastAsia="宋体" w:hint="default"/>
                <w:sz w:val="18"/>
                <w:szCs w:val="18"/>
              </w:rPr>
            </w:pPr>
            <w:r>
              <w:rPr>
                <w:rFonts w:ascii="宋体"/>
                <w:sz w:val="18"/>
              </w:rPr>
              <w:t>3,170,753</w:t>
            </w:r>
          </w:p>
        </w:tc>
      </w:tr>
      <w:tr>
        <w:trPr>
          <w:trHeight w:val="237" w:hRule="exact"/>
        </w:trPr>
        <w:tc>
          <w:tcPr>
            <w:tcW w:w="616"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900" w:type="dxa"/>
            <w:tcBorders>
              <w:top w:val="single" w:sz="4" w:space="0" w:color="000000"/>
              <w:left w:val="single" w:sz="4" w:space="0" w:color="000000"/>
              <w:bottom w:val="nil" w:sz="6" w:space="0" w:color="auto"/>
              <w:right w:val="single" w:sz="4" w:space="0" w:color="000000"/>
            </w:tcBorders>
          </w:tcPr>
          <w:p>
            <w:pPr/>
          </w:p>
        </w:tc>
        <w:tc>
          <w:tcPr>
            <w:tcW w:w="280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电子计算机软件、硬件及外部设</w:t>
            </w:r>
          </w:p>
        </w:tc>
        <w:tc>
          <w:tcPr>
            <w:tcW w:w="7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r>
      <w:tr>
        <w:trPr>
          <w:trHeight w:val="701" w:hRule="exact"/>
        </w:trPr>
        <w:tc>
          <w:tcPr>
            <w:tcW w:w="616"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104" w:right="139"/>
              <w:jc w:val="left"/>
              <w:rPr>
                <w:rFonts w:ascii="宋体" w:hAnsi="宋体" w:cs="宋体" w:eastAsia="宋体" w:hint="default"/>
                <w:sz w:val="18"/>
                <w:szCs w:val="18"/>
              </w:rPr>
            </w:pPr>
            <w:r>
              <w:rPr>
                <w:rFonts w:ascii="宋体" w:hAnsi="宋体" w:cs="宋体" w:eastAsia="宋体" w:hint="default"/>
                <w:sz w:val="18"/>
                <w:szCs w:val="18"/>
              </w:rPr>
              <w:t>苏州 用友</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3,000,000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软件产</w:t>
            </w:r>
          </w:p>
          <w:p>
            <w:pPr>
              <w:pStyle w:val="TableParagraph"/>
              <w:spacing w:line="232" w:lineRule="exact" w:before="24"/>
              <w:ind w:left="103" w:right="65"/>
              <w:jc w:val="left"/>
              <w:rPr>
                <w:rFonts w:ascii="宋体" w:hAnsi="宋体" w:cs="宋体" w:eastAsia="宋体" w:hint="default"/>
                <w:sz w:val="18"/>
                <w:szCs w:val="18"/>
              </w:rPr>
            </w:pPr>
            <w:r>
              <w:rPr>
                <w:rFonts w:ascii="宋体" w:hAnsi="宋体" w:cs="宋体" w:eastAsia="宋体" w:hint="default"/>
                <w:sz w:val="18"/>
                <w:szCs w:val="18"/>
              </w:rPr>
              <w:t>品销售、 服务</w:t>
            </w: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备的技术开发、咨询、转让、服</w:t>
            </w:r>
          </w:p>
          <w:p>
            <w:pPr>
              <w:pStyle w:val="TableParagraph"/>
              <w:spacing w:line="240" w:lineRule="auto"/>
              <w:ind w:left="103" w:right="164"/>
              <w:jc w:val="left"/>
              <w:rPr>
                <w:rFonts w:ascii="宋体" w:hAnsi="宋体" w:cs="宋体" w:eastAsia="宋体" w:hint="default"/>
                <w:sz w:val="18"/>
                <w:szCs w:val="18"/>
              </w:rPr>
            </w:pPr>
            <w:r>
              <w:rPr>
                <w:rFonts w:ascii="宋体" w:hAnsi="宋体" w:cs="宋体" w:eastAsia="宋体" w:hint="default"/>
                <w:sz w:val="18"/>
                <w:szCs w:val="18"/>
              </w:rPr>
              <w:t>务；企业管理咨询，计算机数据 库服务；销售；打印纸、计算机</w:t>
            </w:r>
          </w:p>
        </w:tc>
        <w:tc>
          <w:tcPr>
            <w:tcW w:w="7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90%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95"/>
              <w:jc w:val="right"/>
              <w:rPr>
                <w:rFonts w:ascii="宋体" w:hAnsi="宋体" w:cs="宋体" w:eastAsia="宋体" w:hint="default"/>
                <w:sz w:val="18"/>
                <w:szCs w:val="18"/>
              </w:rPr>
            </w:pPr>
            <w:r>
              <w:rPr>
                <w:rFonts w:ascii="宋体"/>
                <w:sz w:val="18"/>
              </w:rPr>
              <w:t>0</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宋体" w:hAnsi="宋体" w:cs="宋体" w:eastAsia="宋体" w:hint="default"/>
                <w:sz w:val="18"/>
                <w:szCs w:val="18"/>
              </w:rPr>
            </w:pPr>
            <w:r>
              <w:rPr>
                <w:rFonts w:ascii="宋体"/>
                <w:sz w:val="18"/>
              </w:rPr>
              <w:t>3,000,000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0</w:t>
            </w:r>
          </w:p>
        </w:tc>
      </w:tr>
      <w:tr>
        <w:trPr>
          <w:trHeight w:val="240" w:hRule="exact"/>
        </w:trPr>
        <w:tc>
          <w:tcPr>
            <w:tcW w:w="616"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900" w:type="dxa"/>
            <w:tcBorders>
              <w:top w:val="nil" w:sz="6" w:space="0" w:color="auto"/>
              <w:left w:val="single" w:sz="4" w:space="0" w:color="000000"/>
              <w:bottom w:val="single" w:sz="4" w:space="0" w:color="000000"/>
              <w:right w:val="single" w:sz="4" w:space="0" w:color="000000"/>
            </w:tcBorders>
          </w:tcPr>
          <w:p>
            <w:pPr/>
          </w:p>
        </w:tc>
        <w:tc>
          <w:tcPr>
            <w:tcW w:w="2800"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软硬件及外部设备及其耗材</w:t>
            </w:r>
          </w:p>
        </w:tc>
        <w:tc>
          <w:tcPr>
            <w:tcW w:w="7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r>
      <w:tr>
        <w:trPr>
          <w:trHeight w:val="236" w:hRule="exact"/>
        </w:trPr>
        <w:tc>
          <w:tcPr>
            <w:tcW w:w="616"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4" w:right="0"/>
              <w:jc w:val="left"/>
              <w:rPr>
                <w:rFonts w:ascii="宋体" w:hAnsi="宋体" w:cs="宋体" w:eastAsia="宋体" w:hint="default"/>
                <w:sz w:val="18"/>
                <w:szCs w:val="18"/>
              </w:rPr>
            </w:pPr>
            <w:r>
              <w:rPr>
                <w:rFonts w:ascii="宋体"/>
                <w:sz w:val="18"/>
              </w:rPr>
              <w:t>Inte</w:t>
            </w:r>
          </w:p>
        </w:tc>
        <w:tc>
          <w:tcPr>
            <w:tcW w:w="1100" w:type="dxa"/>
            <w:tcBorders>
              <w:top w:val="single" w:sz="4" w:space="0" w:color="000000"/>
              <w:left w:val="single" w:sz="4" w:space="0" w:color="000000"/>
              <w:bottom w:val="nil" w:sz="6" w:space="0" w:color="auto"/>
              <w:right w:val="single" w:sz="4" w:space="0" w:color="000000"/>
            </w:tcBorders>
          </w:tcPr>
          <w:p>
            <w:pPr/>
          </w:p>
        </w:tc>
        <w:tc>
          <w:tcPr>
            <w:tcW w:w="90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计算机</w:t>
            </w:r>
          </w:p>
        </w:tc>
        <w:tc>
          <w:tcPr>
            <w:tcW w:w="2800" w:type="dxa"/>
            <w:tcBorders>
              <w:top w:val="single" w:sz="4" w:space="0" w:color="000000"/>
              <w:left w:val="single" w:sz="4" w:space="0" w:color="000000"/>
              <w:bottom w:val="nil" w:sz="6" w:space="0" w:color="auto"/>
              <w:right w:val="single" w:sz="4" w:space="0" w:color="000000"/>
            </w:tcBorders>
          </w:tcPr>
          <w:p>
            <w:pPr/>
          </w:p>
        </w:tc>
        <w:tc>
          <w:tcPr>
            <w:tcW w:w="7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11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r>
      <w:tr>
        <w:trPr>
          <w:trHeight w:val="467" w:hRule="exact"/>
        </w:trPr>
        <w:tc>
          <w:tcPr>
            <w:tcW w:w="616"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4" w:right="0"/>
              <w:jc w:val="left"/>
              <w:rPr>
                <w:rFonts w:ascii="宋体" w:hAnsi="宋体" w:cs="宋体" w:eastAsia="宋体" w:hint="default"/>
                <w:sz w:val="18"/>
                <w:szCs w:val="18"/>
              </w:rPr>
            </w:pPr>
            <w:r>
              <w:rPr>
                <w:rFonts w:ascii="宋体"/>
                <w:sz w:val="18"/>
              </w:rPr>
              <w:t>rnat</w:t>
            </w:r>
          </w:p>
          <w:p>
            <w:pPr>
              <w:pStyle w:val="TableParagraph"/>
              <w:spacing w:line="234" w:lineRule="exact"/>
              <w:ind w:left="104" w:right="0"/>
              <w:jc w:val="left"/>
              <w:rPr>
                <w:rFonts w:ascii="宋体" w:hAnsi="宋体" w:cs="宋体" w:eastAsia="宋体" w:hint="default"/>
                <w:sz w:val="18"/>
                <w:szCs w:val="18"/>
              </w:rPr>
            </w:pPr>
            <w:r>
              <w:rPr>
                <w:rFonts w:ascii="宋体"/>
                <w:sz w:val="18"/>
              </w:rPr>
              <w:t>iona</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1"/>
              <w:jc w:val="right"/>
              <w:rPr>
                <w:rFonts w:ascii="宋体" w:hAnsi="宋体" w:cs="宋体" w:eastAsia="宋体" w:hint="default"/>
                <w:sz w:val="18"/>
                <w:szCs w:val="18"/>
              </w:rPr>
            </w:pPr>
            <w:r>
              <w:rPr>
                <w:rFonts w:ascii="宋体"/>
                <w:sz w:val="18"/>
              </w:rPr>
              <w:t>$20,000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软件开</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发和技</w:t>
            </w:r>
          </w:p>
        </w:tc>
        <w:tc>
          <w:tcPr>
            <w:tcW w:w="28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投资控股、计算机软件开发及技</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术咨询</w:t>
            </w:r>
          </w:p>
        </w:tc>
        <w:tc>
          <w:tcPr>
            <w:tcW w:w="700"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1"/>
              <w:jc w:val="right"/>
              <w:rPr>
                <w:rFonts w:ascii="宋体" w:hAnsi="宋体" w:cs="宋体" w:eastAsia="宋体" w:hint="default"/>
                <w:sz w:val="18"/>
                <w:szCs w:val="18"/>
              </w:rPr>
            </w:pPr>
            <w:r>
              <w:rPr>
                <w:rFonts w:ascii="宋体"/>
                <w:sz w:val="18"/>
              </w:rPr>
              <w:t>100%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95"/>
              <w:jc w:val="right"/>
              <w:rPr>
                <w:rFonts w:ascii="宋体" w:hAnsi="宋体" w:cs="宋体" w:eastAsia="宋体" w:hint="default"/>
                <w:sz w:val="18"/>
                <w:szCs w:val="18"/>
              </w:rPr>
            </w:pPr>
            <w:r>
              <w:rPr>
                <w:rFonts w:ascii="宋体"/>
                <w:sz w:val="18"/>
              </w:rPr>
              <w:t>10,089,357</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7"/>
              <w:jc w:val="right"/>
              <w:rPr>
                <w:rFonts w:ascii="宋体" w:hAnsi="宋体" w:cs="宋体" w:eastAsia="宋体" w:hint="default"/>
                <w:sz w:val="18"/>
                <w:szCs w:val="18"/>
              </w:rPr>
            </w:pPr>
            <w:r>
              <w:rPr>
                <w:rFonts w:ascii="宋体"/>
                <w:sz w:val="18"/>
              </w:rPr>
              <w:t>25,101,322</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277" w:right="0"/>
              <w:jc w:val="left"/>
              <w:rPr>
                <w:rFonts w:ascii="宋体" w:hAnsi="宋体" w:cs="宋体" w:eastAsia="宋体" w:hint="default"/>
                <w:sz w:val="18"/>
                <w:szCs w:val="18"/>
              </w:rPr>
            </w:pPr>
            <w:r>
              <w:rPr>
                <w:rFonts w:ascii="宋体"/>
                <w:sz w:val="18"/>
              </w:rPr>
              <w:t>6,362,600</w:t>
            </w:r>
          </w:p>
        </w:tc>
      </w:tr>
      <w:tr>
        <w:trPr>
          <w:trHeight w:val="241" w:hRule="exact"/>
        </w:trPr>
        <w:tc>
          <w:tcPr>
            <w:tcW w:w="616"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4" w:right="0"/>
              <w:jc w:val="left"/>
              <w:rPr>
                <w:rFonts w:ascii="宋体" w:hAnsi="宋体" w:cs="宋体" w:eastAsia="宋体" w:hint="default"/>
                <w:sz w:val="18"/>
                <w:szCs w:val="18"/>
              </w:rPr>
            </w:pPr>
            <w:r>
              <w:rPr>
                <w:rFonts w:ascii="宋体"/>
                <w:sz w:val="18"/>
              </w:rPr>
              <w:t>l</w:t>
            </w:r>
          </w:p>
        </w:tc>
        <w:tc>
          <w:tcPr>
            <w:tcW w:w="1100" w:type="dxa"/>
            <w:tcBorders>
              <w:top w:val="nil" w:sz="6" w:space="0" w:color="auto"/>
              <w:left w:val="single" w:sz="4" w:space="0" w:color="000000"/>
              <w:bottom w:val="single" w:sz="4" w:space="0" w:color="000000"/>
              <w:right w:val="single" w:sz="4" w:space="0" w:color="000000"/>
            </w:tcBorders>
          </w:tcPr>
          <w:p>
            <w:pPr/>
          </w:p>
        </w:tc>
        <w:tc>
          <w:tcPr>
            <w:tcW w:w="900"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术转让</w:t>
            </w:r>
          </w:p>
        </w:tc>
        <w:tc>
          <w:tcPr>
            <w:tcW w:w="2800" w:type="dxa"/>
            <w:tcBorders>
              <w:top w:val="nil" w:sz="6" w:space="0" w:color="auto"/>
              <w:left w:val="single" w:sz="4" w:space="0" w:color="000000"/>
              <w:bottom w:val="single" w:sz="4" w:space="0" w:color="000000"/>
              <w:right w:val="single" w:sz="4" w:space="0" w:color="000000"/>
            </w:tcBorders>
          </w:tcPr>
          <w:p>
            <w:pPr/>
          </w:p>
        </w:tc>
        <w:tc>
          <w:tcPr>
            <w:tcW w:w="7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11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r>
    </w:tbl>
    <w:p>
      <w:pPr>
        <w:spacing w:line="312" w:lineRule="exact" w:before="111"/>
        <w:ind w:left="140" w:right="464" w:firstLine="480"/>
        <w:jc w:val="left"/>
        <w:rPr>
          <w:rFonts w:ascii="宋体" w:hAnsi="宋体" w:cs="宋体" w:eastAsia="宋体" w:hint="default"/>
          <w:sz w:val="24"/>
          <w:szCs w:val="24"/>
        </w:rPr>
      </w:pPr>
      <w:r>
        <w:rPr>
          <w:rFonts w:ascii="宋体" w:hAnsi="宋体" w:cs="宋体" w:eastAsia="宋体" w:hint="default"/>
          <w:spacing w:val="-2"/>
          <w:sz w:val="24"/>
          <w:szCs w:val="24"/>
        </w:rPr>
        <w:t>注：报告期内，公司未有来源于单个参股公司的投资收益对公司净利润影响达到</w:t>
      </w:r>
      <w:r>
        <w:rPr>
          <w:rFonts w:ascii="宋体" w:hAnsi="宋体" w:cs="宋体" w:eastAsia="宋体" w:hint="default"/>
          <w:spacing w:val="-50"/>
          <w:sz w:val="24"/>
          <w:szCs w:val="24"/>
        </w:rPr>
        <w:t> </w:t>
      </w:r>
      <w:r>
        <w:rPr>
          <w:rFonts w:ascii="宋体" w:hAnsi="宋体" w:cs="宋体" w:eastAsia="宋体" w:hint="default"/>
          <w:sz w:val="24"/>
          <w:szCs w:val="24"/>
        </w:rPr>
        <w:t>10%</w:t>
      </w:r>
      <w:r>
        <w:rPr>
          <w:rFonts w:ascii="宋体" w:hAnsi="宋体" w:cs="宋体" w:eastAsia="宋体" w:hint="default"/>
          <w:sz w:val="24"/>
          <w:szCs w:val="24"/>
        </w:rPr>
        <w:t> 以上的情况。</w:t>
      </w:r>
    </w:p>
    <w:p>
      <w:pPr>
        <w:spacing w:after="0" w:line="312" w:lineRule="exact"/>
        <w:jc w:val="left"/>
        <w:rPr>
          <w:rFonts w:ascii="宋体" w:hAnsi="宋体" w:cs="宋体" w:eastAsia="宋体" w:hint="default"/>
          <w:sz w:val="24"/>
          <w:szCs w:val="24"/>
        </w:rPr>
        <w:sectPr>
          <w:pgSz w:w="11910" w:h="16840"/>
          <w:pgMar w:header="720" w:footer="727" w:top="1080" w:bottom="920" w:left="1220" w:right="8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3"/>
          <w:szCs w:val="23"/>
        </w:rPr>
      </w:pPr>
    </w:p>
    <w:p>
      <w:pPr>
        <w:spacing w:before="26"/>
        <w:ind w:left="540" w:right="220" w:firstLine="0"/>
        <w:jc w:val="left"/>
        <w:rPr>
          <w:rFonts w:ascii="宋体" w:hAnsi="宋体" w:cs="宋体" w:eastAsia="宋体" w:hint="default"/>
          <w:sz w:val="24"/>
          <w:szCs w:val="24"/>
        </w:rPr>
      </w:pPr>
      <w:r>
        <w:rPr>
          <w:rFonts w:ascii="宋体" w:hAnsi="宋体" w:cs="宋体" w:eastAsia="宋体" w:hint="default"/>
          <w:b/>
          <w:bCs/>
          <w:sz w:val="24"/>
          <w:szCs w:val="24"/>
        </w:rPr>
        <w:t>(二)公司新三年规划及新年度工作计划</w:t>
      </w:r>
      <w:r>
        <w:rPr>
          <w:rFonts w:ascii="宋体" w:hAnsi="宋体" w:cs="宋体" w:eastAsia="宋体" w:hint="default"/>
          <w:sz w:val="24"/>
          <w:szCs w:val="24"/>
        </w:rPr>
      </w:r>
    </w:p>
    <w:p>
      <w:pPr>
        <w:spacing w:line="297" w:lineRule="auto" w:before="118"/>
        <w:ind w:left="140" w:right="84" w:firstLine="480"/>
        <w:jc w:val="left"/>
        <w:rPr>
          <w:rFonts w:ascii="宋体" w:hAnsi="宋体" w:cs="宋体" w:eastAsia="宋体" w:hint="default"/>
          <w:sz w:val="24"/>
          <w:szCs w:val="24"/>
        </w:rPr>
      </w:pPr>
      <w:r>
        <w:rPr>
          <w:rFonts w:ascii="宋体" w:hAnsi="宋体" w:cs="宋体" w:eastAsia="宋体" w:hint="default"/>
          <w:sz w:val="24"/>
          <w:szCs w:val="24"/>
        </w:rPr>
        <w:t>为做好公司</w:t>
      </w:r>
      <w:r>
        <w:rPr>
          <w:rFonts w:ascii="宋体" w:hAnsi="宋体" w:cs="宋体" w:eastAsia="宋体" w:hint="default"/>
          <w:spacing w:val="-56"/>
          <w:sz w:val="24"/>
          <w:szCs w:val="24"/>
        </w:rPr>
        <w:t> </w:t>
      </w:r>
      <w:r>
        <w:rPr>
          <w:rFonts w:ascii="宋体" w:hAnsi="宋体" w:cs="宋体" w:eastAsia="宋体" w:hint="default"/>
          <w:sz w:val="24"/>
          <w:szCs w:val="24"/>
        </w:rPr>
        <w:t>2010-2012</w:t>
      </w:r>
      <w:r>
        <w:rPr>
          <w:rFonts w:ascii="宋体" w:hAnsi="宋体" w:cs="宋体" w:eastAsia="宋体" w:hint="default"/>
          <w:spacing w:val="-56"/>
          <w:sz w:val="24"/>
          <w:szCs w:val="24"/>
        </w:rPr>
        <w:t> </w:t>
      </w:r>
      <w:r>
        <w:rPr>
          <w:rFonts w:ascii="宋体" w:hAnsi="宋体" w:cs="宋体" w:eastAsia="宋体" w:hint="default"/>
          <w:spacing w:val="-5"/>
          <w:sz w:val="24"/>
          <w:szCs w:val="24"/>
        </w:rPr>
        <w:t>新三年规划，公司通过认真分析与总结，找出了业绩差距与机</w:t>
      </w:r>
      <w:r>
        <w:rPr>
          <w:rFonts w:ascii="宋体" w:hAnsi="宋体" w:cs="宋体" w:eastAsia="宋体" w:hint="default"/>
          <w:sz w:val="24"/>
          <w:szCs w:val="24"/>
        </w:rPr>
        <w:t> </w:t>
      </w:r>
      <w:r>
        <w:rPr>
          <w:rFonts w:ascii="宋体" w:hAnsi="宋体" w:cs="宋体" w:eastAsia="宋体" w:hint="default"/>
          <w:spacing w:val="-4"/>
          <w:sz w:val="24"/>
          <w:szCs w:val="24"/>
        </w:rPr>
        <w:t>会差距，并对管理软件市场发展趋势进行洞察与展望，公司洞察到金融危机后中国、亚洲</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5"/>
          <w:sz w:val="24"/>
          <w:szCs w:val="24"/>
        </w:rPr>
        <w:t>企业及政府信息化进入新时期，软件及服务市场将快速增长，未来</w:t>
      </w:r>
      <w:r>
        <w:rPr>
          <w:rFonts w:ascii="宋体" w:hAnsi="宋体" w:cs="宋体" w:eastAsia="宋体" w:hint="default"/>
          <w:spacing w:val="-54"/>
          <w:sz w:val="24"/>
          <w:szCs w:val="24"/>
        </w:rPr>
        <w:t> </w:t>
      </w:r>
      <w:r>
        <w:rPr>
          <w:rFonts w:ascii="宋体" w:hAnsi="宋体" w:cs="宋体" w:eastAsia="宋体" w:hint="default"/>
          <w:sz w:val="24"/>
          <w:szCs w:val="24"/>
        </w:rPr>
        <w:t>3</w:t>
      </w:r>
      <w:r>
        <w:rPr>
          <w:rFonts w:ascii="宋体" w:hAnsi="宋体" w:cs="宋体" w:eastAsia="宋体" w:hint="default"/>
          <w:spacing w:val="-54"/>
          <w:sz w:val="24"/>
          <w:szCs w:val="24"/>
        </w:rPr>
        <w:t> </w:t>
      </w:r>
      <w:r>
        <w:rPr>
          <w:rFonts w:ascii="宋体" w:hAnsi="宋体" w:cs="宋体" w:eastAsia="宋体" w:hint="default"/>
          <w:sz w:val="24"/>
          <w:szCs w:val="24"/>
        </w:rPr>
        <w:t>年是公司发展的关键</w:t>
      </w:r>
      <w:r>
        <w:rPr>
          <w:rFonts w:ascii="宋体" w:hAnsi="宋体" w:cs="宋体" w:eastAsia="宋体" w:hint="default"/>
          <w:spacing w:val="-106"/>
          <w:sz w:val="24"/>
          <w:szCs w:val="24"/>
        </w:rPr>
        <w:t> </w:t>
      </w:r>
      <w:r>
        <w:rPr>
          <w:rFonts w:ascii="宋体" w:hAnsi="宋体" w:cs="宋体" w:eastAsia="宋体" w:hint="default"/>
          <w:spacing w:val="-106"/>
          <w:sz w:val="24"/>
          <w:szCs w:val="24"/>
        </w:rPr>
      </w:r>
      <w:r>
        <w:rPr>
          <w:rFonts w:ascii="宋体" w:hAnsi="宋体" w:cs="宋体" w:eastAsia="宋体" w:hint="default"/>
          <w:spacing w:val="-6"/>
          <w:sz w:val="24"/>
          <w:szCs w:val="24"/>
        </w:rPr>
        <w:t>时期，也是公司向世界级企业发展的突破期。为此，在新三年中，公司在既定的公司使命、</w:t>
      </w:r>
      <w:r>
        <w:rPr>
          <w:rFonts w:ascii="宋体" w:hAnsi="宋体" w:cs="宋体" w:eastAsia="宋体" w:hint="default"/>
          <w:sz w:val="24"/>
          <w:szCs w:val="24"/>
        </w:rPr>
        <w:t> </w:t>
      </w:r>
      <w:r>
        <w:rPr>
          <w:rFonts w:ascii="宋体" w:hAnsi="宋体" w:cs="宋体" w:eastAsia="宋体" w:hint="default"/>
          <w:spacing w:val="-6"/>
          <w:sz w:val="24"/>
          <w:szCs w:val="24"/>
        </w:rPr>
        <w:t>定位和远景目标下，确定了企业和政府的管理软件与服务、产业基地、投资三大业务板块。</w:t>
      </w:r>
      <w:r>
        <w:rPr>
          <w:rFonts w:ascii="宋体" w:hAnsi="宋体" w:cs="宋体" w:eastAsia="宋体" w:hint="default"/>
          <w:sz w:val="24"/>
          <w:szCs w:val="24"/>
        </w:rPr>
        <w:t> </w:t>
      </w:r>
      <w:r>
        <w:rPr>
          <w:rFonts w:ascii="宋体" w:hAnsi="宋体" w:cs="宋体" w:eastAsia="宋体" w:hint="default"/>
          <w:spacing w:val="-4"/>
          <w:sz w:val="24"/>
          <w:szCs w:val="24"/>
        </w:rPr>
        <w:t>公司将继续围绕管理软件与服务主业，加大投入，跨越式发展，成为中国管理软件市场的</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战略控局者；公司将把握产业整合机遇，继续把收购兼并作为关键业务和重要增长途径积</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4"/>
          <w:sz w:val="24"/>
          <w:szCs w:val="24"/>
        </w:rPr>
        <w:t>极开展，并提高并购效益；公司将做好产业基地的建设与经营，保障主业发展，降低运营</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成本；公司将加强投资业务，并做好投资资产的经营和管理，形成公司重要利润来源和可</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变现资产。在新三年中，公司还将优化完善子公司发展机制；继续完善长期激励机制，在</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z w:val="24"/>
          <w:szCs w:val="24"/>
        </w:rPr>
        <w:t>优化人员结构的同时，保留并吸引业内优秀人才；建立适合的融资渠道和方式。</w:t>
      </w:r>
    </w:p>
    <w:p>
      <w:pPr>
        <w:spacing w:line="297" w:lineRule="auto" w:before="137"/>
        <w:ind w:left="140" w:right="84" w:firstLine="480"/>
        <w:jc w:val="left"/>
        <w:rPr>
          <w:rFonts w:ascii="宋体" w:hAnsi="宋体" w:cs="宋体" w:eastAsia="宋体" w:hint="default"/>
          <w:sz w:val="24"/>
          <w:szCs w:val="24"/>
        </w:rPr>
      </w:pPr>
      <w:r>
        <w:rPr>
          <w:rFonts w:ascii="宋体" w:hAnsi="宋体" w:cs="宋体" w:eastAsia="宋体" w:hint="default"/>
          <w:sz w:val="24"/>
          <w:szCs w:val="24"/>
        </w:rPr>
        <w:t>在</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年，公司工作总方针是：策略准、行动快、高增长。公司业务策略是：深化</w:t>
      </w:r>
      <w:r>
        <w:rPr>
          <w:rFonts w:ascii="宋体" w:hAnsi="宋体" w:cs="宋体" w:eastAsia="宋体" w:hint="default"/>
          <w:sz w:val="24"/>
          <w:szCs w:val="24"/>
        </w:rPr>
        <w:t> 客户经营，继续加强产品与技术创新，推进区域市场覆盖和国际化</w:t>
      </w:r>
      <w:r>
        <w:rPr>
          <w:rFonts w:ascii="宋体" w:hAnsi="宋体" w:cs="宋体" w:eastAsia="宋体" w:hint="default"/>
          <w:spacing w:val="-79"/>
          <w:sz w:val="24"/>
          <w:szCs w:val="24"/>
        </w:rPr>
        <w:t> </w:t>
      </w:r>
      <w:r>
        <w:rPr>
          <w:rFonts w:ascii="宋体" w:hAnsi="宋体" w:cs="宋体" w:eastAsia="宋体" w:hint="default"/>
          <w:sz w:val="24"/>
          <w:szCs w:val="24"/>
        </w:rPr>
        <w:t>2.0，积极开展收购兼</w:t>
      </w:r>
      <w:r>
        <w:rPr>
          <w:rFonts w:ascii="宋体" w:hAnsi="宋体" w:cs="宋体" w:eastAsia="宋体" w:hint="default"/>
          <w:sz w:val="24"/>
          <w:szCs w:val="24"/>
        </w:rPr>
        <w:t> </w:t>
      </w:r>
      <w:r>
        <w:rPr>
          <w:rFonts w:ascii="宋体" w:hAnsi="宋体" w:cs="宋体" w:eastAsia="宋体" w:hint="default"/>
          <w:spacing w:val="-4"/>
          <w:sz w:val="24"/>
          <w:szCs w:val="24"/>
        </w:rPr>
        <w:t>并。公司将继续深化客户经营，提高客户满意度，拓展市场空间，促进公司业务成长；继</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pacing w:val="-6"/>
          <w:sz w:val="24"/>
          <w:szCs w:val="24"/>
        </w:rPr>
        <w:t>续加强产品与技术创新，加强产品与技术的规划管理，加大对重点产品和方案研发的投入，</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pacing w:val="-4"/>
          <w:sz w:val="24"/>
          <w:szCs w:val="24"/>
        </w:rPr>
        <w:t>大力加强行业解决方案研发与推广；继续通过设立地区客户经营机构和加强与当地商业伙</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4"/>
          <w:sz w:val="24"/>
          <w:szCs w:val="24"/>
        </w:rPr>
        <w:t>伴合作加强对区域市场覆盖，继续加大港澳台、东南亚地区市场业务发展，并与中国企业</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客户全球化发展同行，走向全球市场；继续积极开展收购兼并，把握机遇，积极实施产业</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整合，购并战略互补型和业绩增加型且已经证明经营成功的企业。公司还将在已有基础上</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4"/>
          <w:sz w:val="24"/>
          <w:szCs w:val="24"/>
        </w:rPr>
        <w:t>加速发展各控股子公司业务，包括整合用友政务软件公司和北京方正春园科技发展有限公</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4"/>
          <w:sz w:val="24"/>
          <w:szCs w:val="24"/>
        </w:rPr>
        <w:t>司，巩固和加强财政软件及服务业务；以独立子公司方式加快发展小型企业管理软件；在</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并购基础上进军医疗卫生行业软件及服务业务等。</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328" w:lineRule="auto" w:before="181"/>
        <w:ind w:left="620" w:right="6684" w:hanging="81"/>
        <w:jc w:val="left"/>
        <w:rPr>
          <w:rFonts w:ascii="宋体" w:hAnsi="宋体" w:cs="宋体" w:eastAsia="宋体" w:hint="default"/>
          <w:sz w:val="24"/>
          <w:szCs w:val="24"/>
        </w:rPr>
      </w:pPr>
      <w:r>
        <w:rPr>
          <w:rFonts w:ascii="宋体" w:hAnsi="宋体" w:cs="宋体" w:eastAsia="宋体" w:hint="default"/>
          <w:b/>
          <w:bCs/>
          <w:sz w:val="24"/>
          <w:szCs w:val="24"/>
        </w:rPr>
        <w:t>(三) 公司投资情况</w:t>
      </w:r>
      <w:r>
        <w:rPr>
          <w:rFonts w:ascii="宋体" w:hAnsi="宋体" w:cs="宋体" w:eastAsia="宋体" w:hint="default"/>
          <w:b/>
          <w:bCs/>
          <w:spacing w:val="1"/>
          <w:w w:val="99"/>
          <w:sz w:val="24"/>
          <w:szCs w:val="24"/>
        </w:rPr>
        <w:t> </w:t>
      </w:r>
      <w:r>
        <w:rPr>
          <w:rFonts w:ascii="宋体" w:hAnsi="宋体" w:cs="宋体" w:eastAsia="宋体" w:hint="default"/>
          <w:sz w:val="24"/>
          <w:szCs w:val="24"/>
        </w:rPr>
        <w:t>1、募集资金使用情况</w:t>
      </w:r>
    </w:p>
    <w:p>
      <w:pPr>
        <w:pStyle w:val="Heading7"/>
        <w:spacing w:line="297" w:lineRule="auto" w:before="107"/>
        <w:ind w:right="204" w:firstLine="480"/>
        <w:jc w:val="left"/>
      </w:pPr>
      <w:r>
        <w:rPr/>
        <w:t>公司于</w:t>
      </w:r>
      <w:r>
        <w:rPr>
          <w:spacing w:val="-60"/>
        </w:rPr>
        <w:t> </w:t>
      </w:r>
      <w:r>
        <w:rPr/>
        <w:t>2001</w:t>
      </w:r>
      <w:r>
        <w:rPr>
          <w:spacing w:val="-60"/>
        </w:rPr>
        <w:t> </w:t>
      </w:r>
      <w:r>
        <w:rPr/>
        <w:t>年通过首次发行募集资金</w:t>
      </w:r>
      <w:r>
        <w:rPr>
          <w:spacing w:val="-60"/>
        </w:rPr>
        <w:t> </w:t>
      </w:r>
      <w:r>
        <w:rPr/>
        <w:t>88,750</w:t>
      </w:r>
      <w:r>
        <w:rPr>
          <w:spacing w:val="-60"/>
        </w:rPr>
        <w:t> </w:t>
      </w:r>
      <w:r>
        <w:rPr/>
        <w:t>万元人民币，截止</w:t>
      </w:r>
      <w:r>
        <w:rPr>
          <w:spacing w:val="-60"/>
        </w:rPr>
        <w:t> </w:t>
      </w:r>
      <w:r>
        <w:rPr/>
        <w:t>2006</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w:t>
      </w:r>
      <w:r>
        <w:rPr/>
        <w:t> 公司募集资金已全部使用完毕。</w:t>
      </w:r>
    </w:p>
    <w:p>
      <w:pPr>
        <w:spacing w:line="388" w:lineRule="auto" w:before="137"/>
        <w:ind w:left="620" w:right="324" w:firstLine="0"/>
        <w:jc w:val="left"/>
        <w:rPr>
          <w:rFonts w:ascii="宋体" w:hAnsi="宋体" w:cs="宋体" w:eastAsia="宋体" w:hint="default"/>
          <w:sz w:val="24"/>
          <w:szCs w:val="24"/>
        </w:rPr>
      </w:pPr>
      <w:r>
        <w:rPr>
          <w:rFonts w:ascii="宋体" w:hAnsi="宋体" w:cs="宋体" w:eastAsia="宋体" w:hint="default"/>
          <w:sz w:val="24"/>
          <w:szCs w:val="24"/>
        </w:rPr>
        <w:t>2、非募集资金项目情况 公司继续推进用友软件园项目建设，截至报告期末，已累计投资人民币</w:t>
      </w:r>
      <w:r>
        <w:rPr>
          <w:rFonts w:ascii="宋体" w:hAnsi="宋体" w:cs="宋体" w:eastAsia="宋体" w:hint="default"/>
          <w:spacing w:val="-60"/>
          <w:sz w:val="24"/>
          <w:szCs w:val="24"/>
        </w:rPr>
        <w:t> </w:t>
      </w:r>
      <w:r>
        <w:rPr>
          <w:rFonts w:ascii="宋体" w:hAnsi="宋体" w:cs="宋体" w:eastAsia="宋体" w:hint="default"/>
          <w:sz w:val="24"/>
          <w:szCs w:val="24"/>
        </w:rPr>
        <w:t>8.3</w:t>
      </w:r>
      <w:r>
        <w:rPr>
          <w:rFonts w:ascii="宋体" w:hAnsi="宋体" w:cs="宋体" w:eastAsia="宋体" w:hint="default"/>
          <w:spacing w:val="-60"/>
          <w:sz w:val="24"/>
          <w:szCs w:val="24"/>
        </w:rPr>
        <w:t> </w:t>
      </w:r>
      <w:r>
        <w:rPr>
          <w:rFonts w:ascii="宋体" w:hAnsi="宋体" w:cs="宋体" w:eastAsia="宋体" w:hint="default"/>
          <w:sz w:val="24"/>
          <w:szCs w:val="24"/>
        </w:rPr>
        <w:t>亿元。</w:t>
      </w:r>
    </w:p>
    <w:p>
      <w:pPr>
        <w:spacing w:after="0" w:line="388" w:lineRule="auto"/>
        <w:jc w:val="left"/>
        <w:rPr>
          <w:rFonts w:ascii="宋体" w:hAnsi="宋体" w:cs="宋体" w:eastAsia="宋体" w:hint="default"/>
          <w:sz w:val="24"/>
          <w:szCs w:val="24"/>
        </w:rPr>
        <w:sectPr>
          <w:pgSz w:w="11910" w:h="16840"/>
          <w:pgMar w:header="720" w:footer="727" w:top="1080" w:bottom="920" w:left="1220" w:right="1080"/>
        </w:sectPr>
      </w:pPr>
    </w:p>
    <w:p>
      <w:pPr>
        <w:spacing w:line="240" w:lineRule="auto" w:before="12"/>
        <w:rPr>
          <w:rFonts w:ascii="宋体" w:hAnsi="宋体" w:cs="宋体" w:eastAsia="宋体" w:hint="default"/>
          <w:sz w:val="21"/>
          <w:szCs w:val="21"/>
        </w:rPr>
      </w:pPr>
    </w:p>
    <w:p>
      <w:pPr>
        <w:spacing w:line="310" w:lineRule="exact" w:before="58"/>
        <w:ind w:left="140" w:right="219" w:firstLine="399"/>
        <w:jc w:val="both"/>
        <w:rPr>
          <w:rFonts w:ascii="宋体" w:hAnsi="宋体" w:cs="宋体" w:eastAsia="宋体" w:hint="default"/>
          <w:sz w:val="24"/>
          <w:szCs w:val="24"/>
        </w:rPr>
      </w:pPr>
      <w:bookmarkStart w:name="_TOC_250012" w:id="18"/>
      <w:r>
        <w:rPr>
          <w:rFonts w:ascii="宋体" w:hAnsi="宋体" w:cs="宋体" w:eastAsia="宋体" w:hint="default"/>
          <w:b/>
          <w:bCs/>
          <w:sz w:val="24"/>
          <w:szCs w:val="24"/>
        </w:rPr>
        <w:t>(四)</w:t>
      </w:r>
      <w:r>
        <w:rPr>
          <w:rFonts w:ascii="宋体" w:hAnsi="宋体" w:cs="宋体" w:eastAsia="宋体" w:hint="default"/>
          <w:b/>
          <w:bCs/>
          <w:spacing w:val="-36"/>
          <w:sz w:val="24"/>
          <w:szCs w:val="24"/>
        </w:rPr>
        <w:t> </w:t>
      </w:r>
      <w:r>
        <w:rPr>
          <w:rFonts w:ascii="宋体" w:hAnsi="宋体" w:cs="宋体" w:eastAsia="宋体" w:hint="default"/>
          <w:b/>
          <w:bCs/>
          <w:spacing w:val="2"/>
          <w:sz w:val="24"/>
          <w:szCs w:val="24"/>
        </w:rPr>
        <w:t>会计政策、会计估计变更、重大会计差错更正、重大遗漏信息补充以及业绩预</w:t>
      </w:r>
      <w:r>
        <w:rPr>
          <w:rFonts w:ascii="宋体" w:hAnsi="宋体" w:cs="宋体" w:eastAsia="宋体" w:hint="default"/>
          <w:b/>
          <w:bCs/>
          <w:spacing w:val="2"/>
          <w:w w:val="99"/>
          <w:sz w:val="24"/>
          <w:szCs w:val="24"/>
        </w:rPr>
        <w:t> </w:t>
      </w:r>
      <w:r>
        <w:rPr>
          <w:rFonts w:ascii="宋体" w:hAnsi="宋体" w:cs="宋体" w:eastAsia="宋体" w:hint="default"/>
          <w:b/>
          <w:bCs/>
          <w:sz w:val="24"/>
          <w:szCs w:val="24"/>
        </w:rPr>
        <w:t>告修正</w:t>
      </w:r>
      <w:bookmarkEnd w:id="18"/>
      <w:r>
        <w:rPr>
          <w:rFonts w:ascii="宋体" w:hAnsi="宋体" w:cs="宋体" w:eastAsia="宋体" w:hint="default"/>
          <w:sz w:val="24"/>
          <w:szCs w:val="24"/>
        </w:rPr>
      </w:r>
    </w:p>
    <w:p>
      <w:pPr>
        <w:spacing w:line="297" w:lineRule="auto" w:before="89"/>
        <w:ind w:left="140" w:right="220" w:firstLine="480"/>
        <w:jc w:val="both"/>
        <w:rPr>
          <w:rFonts w:ascii="宋体" w:hAnsi="宋体" w:cs="宋体" w:eastAsia="宋体" w:hint="default"/>
          <w:sz w:val="24"/>
          <w:szCs w:val="24"/>
        </w:rPr>
      </w:pPr>
      <w:r>
        <w:rPr>
          <w:rFonts w:ascii="宋体" w:hAnsi="宋体" w:cs="宋体" w:eastAsia="宋体" w:hint="default"/>
          <w:spacing w:val="-6"/>
          <w:sz w:val="24"/>
          <w:szCs w:val="24"/>
        </w:rPr>
        <w:t>1、报告期内，公司第四届董事会</w:t>
      </w:r>
      <w:r>
        <w:rPr>
          <w:rFonts w:ascii="宋体" w:hAnsi="宋体" w:cs="宋体" w:eastAsia="宋体" w:hint="default"/>
          <w:spacing w:val="-74"/>
          <w:sz w:val="24"/>
          <w:szCs w:val="24"/>
        </w:rPr>
        <w:t> </w:t>
      </w:r>
      <w:r>
        <w:rPr>
          <w:rFonts w:ascii="宋体" w:hAnsi="宋体" w:cs="宋体" w:eastAsia="宋体" w:hint="default"/>
          <w:sz w:val="24"/>
          <w:szCs w:val="24"/>
        </w:rPr>
        <w:t>2009</w:t>
      </w:r>
      <w:r>
        <w:rPr>
          <w:rFonts w:ascii="宋体" w:hAnsi="宋体" w:cs="宋体" w:eastAsia="宋体" w:hint="default"/>
          <w:spacing w:val="-74"/>
          <w:sz w:val="24"/>
          <w:szCs w:val="24"/>
        </w:rPr>
        <w:t> </w:t>
      </w:r>
      <w:r>
        <w:rPr>
          <w:rFonts w:ascii="宋体" w:hAnsi="宋体" w:cs="宋体" w:eastAsia="宋体" w:hint="default"/>
          <w:sz w:val="24"/>
          <w:szCs w:val="24"/>
        </w:rPr>
        <w:t>年第三次会议审议通过《关于会计估计变更的</w:t>
      </w:r>
      <w:r>
        <w:rPr>
          <w:rFonts w:ascii="宋体" w:hAnsi="宋体" w:cs="宋体" w:eastAsia="宋体" w:hint="default"/>
          <w:sz w:val="24"/>
          <w:szCs w:val="24"/>
        </w:rPr>
        <w:t> </w:t>
      </w:r>
      <w:r>
        <w:rPr>
          <w:rFonts w:ascii="宋体" w:hAnsi="宋体" w:cs="宋体" w:eastAsia="宋体" w:hint="default"/>
          <w:spacing w:val="-4"/>
          <w:sz w:val="24"/>
          <w:szCs w:val="24"/>
        </w:rPr>
        <w:t>议案》，根据《中华人民共和国企业所得税实施条例》并结合公司现有固定资产的性质和</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z w:val="24"/>
          <w:szCs w:val="24"/>
        </w:rPr>
        <w:t>实际使用情况，公司决定从</w:t>
      </w:r>
      <w:r>
        <w:rPr>
          <w:rFonts w:ascii="宋体" w:hAnsi="宋体" w:cs="宋体" w:eastAsia="宋体" w:hint="default"/>
          <w:spacing w:val="-60"/>
          <w:sz w:val="24"/>
          <w:szCs w:val="24"/>
        </w:rPr>
        <w:t> </w:t>
      </w:r>
      <w:r>
        <w:rPr>
          <w:rFonts w:ascii="宋体" w:hAnsi="宋体" w:cs="宋体" w:eastAsia="宋体" w:hint="default"/>
          <w:spacing w:val="30"/>
          <w:sz w:val="24"/>
          <w:szCs w:val="24"/>
        </w:rPr>
        <w:t>2009年4月1</w:t>
      </w:r>
      <w:r>
        <w:rPr>
          <w:rFonts w:ascii="宋体" w:hAnsi="宋体" w:cs="宋体" w:eastAsia="宋体" w:hint="default"/>
          <w:spacing w:val="-60"/>
          <w:sz w:val="24"/>
          <w:szCs w:val="24"/>
        </w:rPr>
        <w:t> </w:t>
      </w:r>
      <w:r>
        <w:rPr>
          <w:rFonts w:ascii="宋体" w:hAnsi="宋体" w:cs="宋体" w:eastAsia="宋体" w:hint="default"/>
          <w:sz w:val="24"/>
          <w:szCs w:val="24"/>
        </w:rPr>
        <w:t>日起将固定资产的估计使用年限与预计残值率</w:t>
      </w:r>
    </w:p>
    <w:p>
      <w:pPr>
        <w:spacing w:line="297" w:lineRule="auto" w:before="17"/>
        <w:ind w:left="140" w:right="281" w:firstLine="0"/>
        <w:jc w:val="both"/>
        <w:rPr>
          <w:rFonts w:ascii="宋体" w:hAnsi="宋体" w:cs="宋体" w:eastAsia="宋体" w:hint="default"/>
          <w:sz w:val="24"/>
          <w:szCs w:val="24"/>
        </w:rPr>
      </w:pPr>
      <w:r>
        <w:rPr>
          <w:rFonts w:ascii="宋体" w:hAnsi="宋体" w:cs="宋体" w:eastAsia="宋体" w:hint="default"/>
          <w:sz w:val="24"/>
          <w:szCs w:val="24"/>
        </w:rPr>
        <w:t>变更如下：电子设备估计使用年限由</w:t>
      </w:r>
      <w:r>
        <w:rPr>
          <w:rFonts w:ascii="宋体" w:hAnsi="宋体" w:cs="宋体" w:eastAsia="宋体" w:hint="default"/>
          <w:spacing w:val="-60"/>
          <w:sz w:val="24"/>
          <w:szCs w:val="24"/>
        </w:rPr>
        <w:t> </w:t>
      </w:r>
      <w:r>
        <w:rPr>
          <w:rFonts w:ascii="宋体" w:hAnsi="宋体" w:cs="宋体" w:eastAsia="宋体" w:hint="default"/>
          <w:sz w:val="24"/>
          <w:szCs w:val="24"/>
        </w:rPr>
        <w:t>4</w:t>
      </w:r>
      <w:r>
        <w:rPr>
          <w:rFonts w:ascii="宋体" w:hAnsi="宋体" w:cs="宋体" w:eastAsia="宋体" w:hint="default"/>
          <w:spacing w:val="-60"/>
          <w:sz w:val="24"/>
          <w:szCs w:val="24"/>
        </w:rPr>
        <w:t> </w:t>
      </w:r>
      <w:r>
        <w:rPr>
          <w:rFonts w:ascii="宋体" w:hAnsi="宋体" w:cs="宋体" w:eastAsia="宋体" w:hint="default"/>
          <w:sz w:val="24"/>
          <w:szCs w:val="24"/>
        </w:rPr>
        <w:t>年变更为</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年；电子设备预计残值率由</w:t>
      </w:r>
      <w:r>
        <w:rPr>
          <w:rFonts w:ascii="宋体" w:hAnsi="宋体" w:cs="宋体" w:eastAsia="宋体" w:hint="default"/>
          <w:spacing w:val="-60"/>
          <w:sz w:val="24"/>
          <w:szCs w:val="24"/>
        </w:rPr>
        <w:t> </w:t>
      </w:r>
      <w:r>
        <w:rPr>
          <w:rFonts w:ascii="宋体" w:hAnsi="宋体" w:cs="宋体" w:eastAsia="宋体" w:hint="default"/>
          <w:sz w:val="24"/>
          <w:szCs w:val="24"/>
        </w:rPr>
        <w:t>5%变更为</w:t>
      </w:r>
      <w:r>
        <w:rPr>
          <w:rFonts w:ascii="宋体" w:hAnsi="宋体" w:cs="宋体" w:eastAsia="宋体" w:hint="default"/>
          <w:sz w:val="24"/>
          <w:szCs w:val="24"/>
        </w:rPr>
        <w:t> 0%，其他固定资产预计残值率由</w:t>
      </w:r>
      <w:r>
        <w:rPr>
          <w:rFonts w:ascii="宋体" w:hAnsi="宋体" w:cs="宋体" w:eastAsia="宋体" w:hint="default"/>
          <w:spacing w:val="-60"/>
          <w:sz w:val="24"/>
          <w:szCs w:val="24"/>
        </w:rPr>
        <w:t> </w:t>
      </w:r>
      <w:r>
        <w:rPr>
          <w:rFonts w:ascii="宋体" w:hAnsi="宋体" w:cs="宋体" w:eastAsia="宋体" w:hint="default"/>
          <w:sz w:val="24"/>
          <w:szCs w:val="24"/>
        </w:rPr>
        <w:t>5%变更为</w:t>
      </w:r>
      <w:r>
        <w:rPr>
          <w:rFonts w:ascii="宋体" w:hAnsi="宋体" w:cs="宋体" w:eastAsia="宋体" w:hint="default"/>
          <w:spacing w:val="-60"/>
          <w:sz w:val="24"/>
          <w:szCs w:val="24"/>
        </w:rPr>
        <w:t> </w:t>
      </w:r>
      <w:r>
        <w:rPr>
          <w:rFonts w:ascii="宋体" w:hAnsi="宋体" w:cs="宋体" w:eastAsia="宋体" w:hint="default"/>
          <w:sz w:val="24"/>
          <w:szCs w:val="24"/>
        </w:rPr>
        <w:t>3%。</w:t>
      </w:r>
    </w:p>
    <w:p>
      <w:pPr>
        <w:spacing w:line="297" w:lineRule="auto" w:before="137"/>
        <w:ind w:left="140" w:right="82" w:firstLine="480"/>
        <w:jc w:val="left"/>
        <w:rPr>
          <w:rFonts w:ascii="宋体" w:hAnsi="宋体" w:cs="宋体" w:eastAsia="宋体" w:hint="default"/>
          <w:sz w:val="24"/>
          <w:szCs w:val="24"/>
        </w:rPr>
      </w:pPr>
      <w:r>
        <w:rPr>
          <w:rFonts w:ascii="宋体" w:hAnsi="宋体" w:cs="宋体" w:eastAsia="宋体" w:hint="default"/>
          <w:sz w:val="24"/>
          <w:szCs w:val="24"/>
        </w:rPr>
        <w:t>2、根据《关于执行会计准则的上市公司和非上市企业做好</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年年报工作的通知》</w:t>
      </w:r>
      <w:r>
        <w:rPr>
          <w:rFonts w:ascii="宋体" w:hAnsi="宋体" w:cs="宋体" w:eastAsia="宋体" w:hint="default"/>
          <w:sz w:val="24"/>
          <w:szCs w:val="24"/>
        </w:rPr>
        <w:t> (财会[2009]16</w:t>
      </w:r>
      <w:r>
        <w:rPr>
          <w:rFonts w:ascii="宋体" w:hAnsi="宋体" w:cs="宋体" w:eastAsia="宋体" w:hint="default"/>
          <w:spacing w:val="-52"/>
          <w:sz w:val="24"/>
          <w:szCs w:val="24"/>
        </w:rPr>
        <w:t> </w:t>
      </w:r>
      <w:r>
        <w:rPr>
          <w:rFonts w:ascii="宋体" w:hAnsi="宋体" w:cs="宋体" w:eastAsia="宋体" w:hint="default"/>
          <w:spacing w:val="-2"/>
          <w:sz w:val="24"/>
          <w:szCs w:val="24"/>
        </w:rPr>
        <w:t>号)和《关于不丧失控制权情况下处置部分对子公司投资会计处理的复函》</w:t>
      </w:r>
    </w:p>
    <w:p>
      <w:pPr>
        <w:spacing w:line="297" w:lineRule="auto" w:before="17"/>
        <w:ind w:left="140" w:right="219" w:firstLine="0"/>
        <w:jc w:val="both"/>
        <w:rPr>
          <w:rFonts w:ascii="宋体" w:hAnsi="宋体" w:cs="宋体" w:eastAsia="宋体" w:hint="default"/>
          <w:sz w:val="24"/>
          <w:szCs w:val="24"/>
        </w:rPr>
      </w:pPr>
      <w:r>
        <w:rPr>
          <w:rFonts w:ascii="宋体" w:hAnsi="宋体" w:cs="宋体" w:eastAsia="宋体" w:hint="default"/>
          <w:sz w:val="24"/>
          <w:szCs w:val="24"/>
        </w:rPr>
        <w:t>（财会便[2009]14</w:t>
      </w:r>
      <w:r>
        <w:rPr>
          <w:rFonts w:ascii="宋体" w:hAnsi="宋体" w:cs="宋体" w:eastAsia="宋体" w:hint="default"/>
          <w:spacing w:val="-60"/>
          <w:sz w:val="24"/>
          <w:szCs w:val="24"/>
        </w:rPr>
        <w:t> </w:t>
      </w:r>
      <w:r>
        <w:rPr>
          <w:rFonts w:ascii="宋体" w:hAnsi="宋体" w:cs="宋体" w:eastAsia="宋体" w:hint="default"/>
          <w:sz w:val="24"/>
          <w:szCs w:val="24"/>
        </w:rPr>
        <w:t>号）的要求，公司因执行新会计准则作出会计政策变更如下：在处置</w:t>
      </w:r>
      <w:r>
        <w:rPr>
          <w:rFonts w:ascii="宋体" w:hAnsi="宋体" w:cs="宋体" w:eastAsia="宋体" w:hint="default"/>
          <w:sz w:val="24"/>
          <w:szCs w:val="24"/>
        </w:rPr>
        <w:t> </w:t>
      </w:r>
      <w:r>
        <w:rPr>
          <w:rFonts w:ascii="宋体" w:hAnsi="宋体" w:cs="宋体" w:eastAsia="宋体" w:hint="default"/>
          <w:spacing w:val="-4"/>
          <w:sz w:val="24"/>
          <w:szCs w:val="24"/>
        </w:rPr>
        <w:t>对子公司的投资未丧失控制权的，将此项差额计入资本公积（资本溢价），资本溢价不足</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冲减的，应当调整留存收益。2008</w:t>
      </w:r>
      <w:r>
        <w:rPr>
          <w:rFonts w:ascii="宋体" w:hAnsi="宋体" w:cs="宋体" w:eastAsia="宋体" w:hint="default"/>
          <w:spacing w:val="-60"/>
          <w:sz w:val="24"/>
          <w:szCs w:val="24"/>
        </w:rPr>
        <w:t> </w:t>
      </w:r>
      <w:r>
        <w:rPr>
          <w:rFonts w:ascii="宋体" w:hAnsi="宋体" w:cs="宋体" w:eastAsia="宋体" w:hint="default"/>
          <w:sz w:val="24"/>
          <w:szCs w:val="24"/>
        </w:rPr>
        <w:t>年度，公司转让控股子公司厦门用友烟草软件有限责</w:t>
      </w:r>
      <w:r>
        <w:rPr>
          <w:rFonts w:ascii="宋体" w:hAnsi="宋体" w:cs="宋体" w:eastAsia="宋体" w:hint="default"/>
          <w:sz w:val="24"/>
          <w:szCs w:val="24"/>
        </w:rPr>
        <w:t> 任公司</w:t>
      </w:r>
      <w:r>
        <w:rPr>
          <w:rFonts w:ascii="宋体" w:hAnsi="宋体" w:cs="宋体" w:eastAsia="宋体" w:hint="default"/>
          <w:spacing w:val="-79"/>
          <w:sz w:val="24"/>
          <w:szCs w:val="24"/>
        </w:rPr>
        <w:t> </w:t>
      </w:r>
      <w:r>
        <w:rPr>
          <w:rFonts w:ascii="宋体" w:hAnsi="宋体" w:cs="宋体" w:eastAsia="宋体" w:hint="default"/>
          <w:sz w:val="24"/>
          <w:szCs w:val="24"/>
        </w:rPr>
        <w:t>21%股权时，将股权转让款与对应的应享有该公司净资产份额的差额</w:t>
      </w:r>
      <w:r>
        <w:rPr>
          <w:rFonts w:ascii="宋体" w:hAnsi="宋体" w:cs="宋体" w:eastAsia="宋体" w:hint="default"/>
          <w:spacing w:val="-79"/>
          <w:sz w:val="24"/>
          <w:szCs w:val="24"/>
        </w:rPr>
        <w:t> </w:t>
      </w:r>
      <w:r>
        <w:rPr>
          <w:rFonts w:ascii="宋体" w:hAnsi="宋体" w:cs="宋体" w:eastAsia="宋体" w:hint="default"/>
          <w:sz w:val="24"/>
          <w:szCs w:val="24"/>
        </w:rPr>
        <w:t>3,993,271</w:t>
      </w:r>
      <w:r>
        <w:rPr>
          <w:rFonts w:ascii="宋体" w:hAnsi="宋体" w:cs="宋体" w:eastAsia="宋体" w:hint="default"/>
          <w:spacing w:val="-79"/>
          <w:sz w:val="24"/>
          <w:szCs w:val="24"/>
        </w:rPr>
        <w:t> </w:t>
      </w:r>
      <w:r>
        <w:rPr>
          <w:rFonts w:ascii="宋体" w:hAnsi="宋体" w:cs="宋体" w:eastAsia="宋体" w:hint="default"/>
          <w:sz w:val="24"/>
          <w:szCs w:val="24"/>
        </w:rPr>
        <w:t>元</w:t>
      </w:r>
      <w:r>
        <w:rPr>
          <w:rFonts w:ascii="宋体" w:hAnsi="宋体" w:cs="宋体" w:eastAsia="宋体" w:hint="default"/>
          <w:sz w:val="24"/>
          <w:szCs w:val="24"/>
        </w:rPr>
        <w:t> 确认为投资收益，根据上述规定，在编制比较会计报表时将该项差额计入资本公积。</w:t>
      </w:r>
    </w:p>
    <w:p>
      <w:pPr>
        <w:spacing w:line="297" w:lineRule="auto" w:before="137"/>
        <w:ind w:left="140" w:right="221" w:firstLine="480"/>
        <w:jc w:val="both"/>
        <w:rPr>
          <w:rFonts w:ascii="宋体" w:hAnsi="宋体" w:cs="宋体" w:eastAsia="宋体" w:hint="default"/>
          <w:sz w:val="24"/>
          <w:szCs w:val="24"/>
        </w:rPr>
      </w:pPr>
      <w:r>
        <w:rPr>
          <w:rFonts w:ascii="宋体" w:hAnsi="宋体" w:cs="宋体" w:eastAsia="宋体" w:hint="default"/>
          <w:sz w:val="24"/>
          <w:szCs w:val="24"/>
        </w:rPr>
        <w:t>3、报告期内，公司无其他会计政策、会计估计变更、重大会计差错更正、重大遗漏 信息补充以及业绩预告修正情况。</w:t>
      </w: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30"/>
          <w:szCs w:val="30"/>
        </w:rPr>
      </w:pPr>
    </w:p>
    <w:p>
      <w:pPr>
        <w:spacing w:line="328" w:lineRule="auto" w:before="0"/>
        <w:ind w:left="620" w:right="5724" w:hanging="81"/>
        <w:jc w:val="left"/>
        <w:rPr>
          <w:rFonts w:ascii="宋体" w:hAnsi="宋体" w:cs="宋体" w:eastAsia="宋体" w:hint="default"/>
          <w:sz w:val="24"/>
          <w:szCs w:val="24"/>
        </w:rPr>
      </w:pPr>
      <w:r>
        <w:rPr>
          <w:rFonts w:ascii="宋体" w:hAnsi="宋体" w:cs="宋体" w:eastAsia="宋体" w:hint="default"/>
          <w:b/>
          <w:bCs/>
          <w:sz w:val="24"/>
          <w:szCs w:val="24"/>
        </w:rPr>
        <w:t>(五) 董事会日常工作情况</w:t>
      </w:r>
      <w:r>
        <w:rPr>
          <w:rFonts w:ascii="宋体" w:hAnsi="宋体" w:cs="宋体" w:eastAsia="宋体" w:hint="default"/>
          <w:b/>
          <w:bCs/>
          <w:spacing w:val="1"/>
          <w:w w:val="99"/>
          <w:sz w:val="24"/>
          <w:szCs w:val="24"/>
        </w:rPr>
        <w:t> </w:t>
      </w:r>
      <w:r>
        <w:rPr>
          <w:rFonts w:ascii="宋体" w:hAnsi="宋体" w:cs="宋体" w:eastAsia="宋体" w:hint="default"/>
          <w:sz w:val="24"/>
          <w:szCs w:val="24"/>
        </w:rPr>
        <w:t>1、董事会会议情况及决议内容</w:t>
      </w:r>
    </w:p>
    <w:p>
      <w:pPr>
        <w:spacing w:line="240" w:lineRule="auto" w:before="1"/>
        <w:rPr>
          <w:rFonts w:ascii="宋体" w:hAnsi="宋体" w:cs="宋体" w:eastAsia="宋体" w:hint="default"/>
          <w:sz w:val="11"/>
          <w:szCs w:val="11"/>
        </w:rPr>
      </w:pPr>
    </w:p>
    <w:tbl>
      <w:tblPr>
        <w:tblW w:w="0" w:type="auto"/>
        <w:jc w:val="left"/>
        <w:tblInd w:w="125" w:type="dxa"/>
        <w:tblLayout w:type="fixed"/>
        <w:tblCellMar>
          <w:top w:w="0" w:type="dxa"/>
          <w:left w:w="0" w:type="dxa"/>
          <w:bottom w:w="0" w:type="dxa"/>
          <w:right w:w="0" w:type="dxa"/>
        </w:tblCellMar>
        <w:tblLook w:val="01E0"/>
      </w:tblPr>
      <w:tblGrid>
        <w:gridCol w:w="2303"/>
        <w:gridCol w:w="2302"/>
        <w:gridCol w:w="2302"/>
        <w:gridCol w:w="2303"/>
      </w:tblGrid>
      <w:tr>
        <w:trPr>
          <w:trHeight w:val="560" w:hRule="exact"/>
        </w:trPr>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723"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723"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决议刊登的信息披露</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报纸</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决议刊登的信息披露</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日期</w:t>
            </w:r>
          </w:p>
        </w:tc>
      </w:tr>
      <w:tr>
        <w:trPr>
          <w:trHeight w:val="559" w:hRule="exact"/>
        </w:trPr>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57"/>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第一次</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证券报》《证券时报》</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20</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559" w:hRule="exact"/>
        </w:trPr>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57"/>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第二次</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证券报》《证券时报》</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560" w:hRule="exact"/>
        </w:trPr>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57"/>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第三次</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27</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证券报》《证券时报》</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559" w:hRule="exact"/>
        </w:trPr>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57"/>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第四次</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证券报》《证券时报》</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560" w:hRule="exact"/>
        </w:trPr>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57"/>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第五次</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15</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证券报》《证券时报》</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16</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559" w:hRule="exact"/>
        </w:trPr>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57"/>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第六次</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证券报》《证券时报》</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559" w:hRule="exact"/>
        </w:trPr>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57"/>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第七次</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证券报》《证券时报》</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560" w:hRule="exact"/>
        </w:trPr>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57"/>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第八次</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证券报》《证券时报》</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24</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559" w:hRule="exact"/>
        </w:trPr>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57"/>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第九次</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29</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证券报》《证券时报》</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30</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560" w:hRule="exact"/>
        </w:trPr>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57"/>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第十次</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30</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证券报》《证券时报》</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r>
    </w:tbl>
    <w:p>
      <w:pPr>
        <w:spacing w:after="0" w:line="240" w:lineRule="auto"/>
        <w:jc w:val="left"/>
        <w:rPr>
          <w:rFonts w:ascii="宋体" w:hAnsi="宋体" w:cs="宋体" w:eastAsia="宋体" w:hint="default"/>
          <w:sz w:val="21"/>
          <w:szCs w:val="21"/>
        </w:rPr>
        <w:sectPr>
          <w:pgSz w:w="11910" w:h="16840"/>
          <w:pgMar w:header="720" w:footer="727" w:top="1080" w:bottom="920" w:left="1220" w:right="1080"/>
        </w:sectPr>
      </w:pPr>
    </w:p>
    <w:p>
      <w:pPr>
        <w:spacing w:line="240" w:lineRule="auto" w:before="11"/>
        <w:rPr>
          <w:rFonts w:ascii="宋体" w:hAnsi="宋体" w:cs="宋体" w:eastAsia="宋体" w:hint="default"/>
          <w:sz w:val="26"/>
          <w:szCs w:val="26"/>
        </w:rPr>
      </w:pPr>
    </w:p>
    <w:tbl>
      <w:tblPr>
        <w:tblW w:w="0" w:type="auto"/>
        <w:jc w:val="left"/>
        <w:tblInd w:w="125" w:type="dxa"/>
        <w:tblLayout w:type="fixed"/>
        <w:tblCellMar>
          <w:top w:w="0" w:type="dxa"/>
          <w:left w:w="0" w:type="dxa"/>
          <w:bottom w:w="0" w:type="dxa"/>
          <w:right w:w="0" w:type="dxa"/>
        </w:tblCellMar>
        <w:tblLook w:val="01E0"/>
      </w:tblPr>
      <w:tblGrid>
        <w:gridCol w:w="2303"/>
        <w:gridCol w:w="2302"/>
        <w:gridCol w:w="2302"/>
        <w:gridCol w:w="2303"/>
      </w:tblGrid>
      <w:tr>
        <w:trPr>
          <w:trHeight w:val="560" w:hRule="exact"/>
        </w:trPr>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57"/>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第十一次</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22</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30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《上海证券报》《中国</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证券报》《证券时报》</w:t>
            </w:r>
          </w:p>
        </w:tc>
        <w:tc>
          <w:tcPr>
            <w:tcW w:w="23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日</w:t>
            </w:r>
          </w:p>
        </w:tc>
      </w:tr>
    </w:tbl>
    <w:p>
      <w:pPr>
        <w:spacing w:line="240" w:lineRule="auto" w:before="5"/>
        <w:rPr>
          <w:rFonts w:ascii="宋体" w:hAnsi="宋体" w:cs="宋体" w:eastAsia="宋体" w:hint="default"/>
          <w:sz w:val="13"/>
          <w:szCs w:val="13"/>
        </w:rPr>
      </w:pPr>
    </w:p>
    <w:p>
      <w:pPr>
        <w:pStyle w:val="Heading7"/>
        <w:spacing w:line="240" w:lineRule="auto" w:before="26"/>
        <w:ind w:left="620" w:right="140"/>
        <w:jc w:val="left"/>
      </w:pPr>
      <w:r>
        <w:rPr/>
        <w:t>2、董事会对股东大会决议的执行情况</w:t>
      </w:r>
    </w:p>
    <w:p>
      <w:pPr>
        <w:spacing w:line="297" w:lineRule="auto" w:before="194"/>
        <w:ind w:left="140" w:right="141" w:firstLine="480"/>
        <w:jc w:val="both"/>
        <w:rPr>
          <w:rFonts w:ascii="宋体" w:hAnsi="宋体" w:cs="宋体" w:eastAsia="宋体" w:hint="default"/>
          <w:sz w:val="24"/>
          <w:szCs w:val="24"/>
        </w:rPr>
      </w:pPr>
      <w:r>
        <w:rPr>
          <w:rFonts w:ascii="宋体" w:hAnsi="宋体" w:cs="宋体" w:eastAsia="宋体" w:hint="default"/>
          <w:sz w:val="24"/>
          <w:szCs w:val="24"/>
        </w:rPr>
        <w:t>（1）报告期内，公司董事会严格按照股东大会的决议和授权，认真执行了股东大会 通过的各项决议内容。</w:t>
      </w:r>
    </w:p>
    <w:p>
      <w:pPr>
        <w:spacing w:line="297" w:lineRule="auto" w:before="138"/>
        <w:ind w:left="140" w:right="141" w:firstLine="480"/>
        <w:jc w:val="both"/>
        <w:rPr>
          <w:rFonts w:ascii="宋体" w:hAnsi="宋体" w:cs="宋体" w:eastAsia="宋体" w:hint="default"/>
          <w:sz w:val="24"/>
          <w:szCs w:val="24"/>
        </w:rPr>
      </w:pPr>
      <w:r>
        <w:rPr>
          <w:rFonts w:ascii="宋体" w:hAnsi="宋体" w:cs="宋体" w:eastAsia="宋体" w:hint="default"/>
          <w:sz w:val="24"/>
          <w:szCs w:val="24"/>
        </w:rPr>
        <w:t>（2）报告期内，公司股权分置改革方案执行情况：根据公司股权分置改革方案及公 司控股股东承诺，25,272,000</w:t>
      </w:r>
      <w:r>
        <w:rPr>
          <w:rFonts w:ascii="宋体" w:hAnsi="宋体" w:cs="宋体" w:eastAsia="宋体" w:hint="default"/>
          <w:spacing w:val="-60"/>
          <w:sz w:val="24"/>
          <w:szCs w:val="24"/>
        </w:rPr>
        <w:t> </w:t>
      </w:r>
      <w:r>
        <w:rPr>
          <w:rFonts w:ascii="宋体" w:hAnsi="宋体" w:cs="宋体" w:eastAsia="宋体" w:hint="default"/>
          <w:sz w:val="24"/>
          <w:szCs w:val="24"/>
        </w:rPr>
        <w:t>股有限售条件流通股于</w:t>
      </w:r>
      <w:r>
        <w:rPr>
          <w:rFonts w:ascii="宋体" w:hAnsi="宋体" w:cs="宋体" w:eastAsia="宋体" w:hint="default"/>
          <w:spacing w:val="-60"/>
          <w:sz w:val="24"/>
          <w:szCs w:val="24"/>
        </w:rPr>
        <w:t> </w:t>
      </w:r>
      <w:r>
        <w:rPr>
          <w:rFonts w:ascii="宋体" w:hAnsi="宋体" w:cs="宋体" w:eastAsia="宋体" w:hint="default"/>
          <w:spacing w:val="30"/>
          <w:sz w:val="24"/>
          <w:szCs w:val="24"/>
        </w:rPr>
        <w:t>2009年3月2</w:t>
      </w:r>
      <w:r>
        <w:rPr>
          <w:rFonts w:ascii="宋体" w:hAnsi="宋体" w:cs="宋体" w:eastAsia="宋体" w:hint="default"/>
          <w:spacing w:val="-60"/>
          <w:sz w:val="24"/>
          <w:szCs w:val="24"/>
        </w:rPr>
        <w:t> </w:t>
      </w:r>
      <w:r>
        <w:rPr>
          <w:rFonts w:ascii="宋体" w:hAnsi="宋体" w:cs="宋体" w:eastAsia="宋体" w:hint="default"/>
          <w:sz w:val="24"/>
          <w:szCs w:val="24"/>
        </w:rPr>
        <w:t>日上市流通。</w:t>
      </w:r>
    </w:p>
    <w:p>
      <w:pPr>
        <w:spacing w:line="297" w:lineRule="auto" w:before="137"/>
        <w:ind w:left="140" w:right="141" w:firstLine="480"/>
        <w:jc w:val="both"/>
        <w:rPr>
          <w:rFonts w:ascii="宋体" w:hAnsi="宋体" w:cs="宋体" w:eastAsia="宋体" w:hint="default"/>
          <w:sz w:val="24"/>
          <w:szCs w:val="24"/>
        </w:rPr>
      </w:pPr>
      <w:r>
        <w:rPr>
          <w:rFonts w:ascii="宋体" w:hAnsi="宋体" w:cs="宋体" w:eastAsia="宋体" w:hint="default"/>
          <w:spacing w:val="18"/>
          <w:sz w:val="24"/>
          <w:szCs w:val="24"/>
        </w:rPr>
        <w:t>（3）2009年4月</w:t>
      </w:r>
      <w:r>
        <w:rPr>
          <w:rFonts w:ascii="宋体" w:hAnsi="宋体" w:cs="宋体" w:eastAsia="宋体" w:hint="default"/>
          <w:spacing w:val="-60"/>
          <w:sz w:val="24"/>
          <w:szCs w:val="24"/>
        </w:rPr>
        <w:t> </w:t>
      </w:r>
      <w:r>
        <w:rPr>
          <w:rFonts w:ascii="宋体" w:hAnsi="宋体" w:cs="宋体" w:eastAsia="宋体" w:hint="default"/>
          <w:sz w:val="24"/>
          <w:szCs w:val="24"/>
        </w:rPr>
        <w:t>15</w:t>
      </w:r>
      <w:r>
        <w:rPr>
          <w:rFonts w:ascii="宋体" w:hAnsi="宋体" w:cs="宋体" w:eastAsia="宋体" w:hint="default"/>
          <w:spacing w:val="-60"/>
          <w:sz w:val="24"/>
          <w:szCs w:val="24"/>
        </w:rPr>
        <w:t> </w:t>
      </w:r>
      <w:r>
        <w:rPr>
          <w:rFonts w:ascii="宋体" w:hAnsi="宋体" w:cs="宋体" w:eastAsia="宋体" w:hint="default"/>
          <w:sz w:val="24"/>
          <w:szCs w:val="24"/>
        </w:rPr>
        <w:t>日，公司召开的</w:t>
      </w:r>
      <w:r>
        <w:rPr>
          <w:rFonts w:ascii="宋体" w:hAnsi="宋体" w:cs="宋体" w:eastAsia="宋体" w:hint="default"/>
          <w:spacing w:val="-60"/>
          <w:sz w:val="24"/>
          <w:szCs w:val="24"/>
        </w:rPr>
        <w:t> </w:t>
      </w:r>
      <w:r>
        <w:rPr>
          <w:rFonts w:ascii="宋体" w:hAnsi="宋体" w:cs="宋体" w:eastAsia="宋体" w:hint="default"/>
          <w:sz w:val="24"/>
          <w:szCs w:val="24"/>
        </w:rPr>
        <w:t>2008</w:t>
      </w:r>
      <w:r>
        <w:rPr>
          <w:rFonts w:ascii="宋体" w:hAnsi="宋体" w:cs="宋体" w:eastAsia="宋体" w:hint="default"/>
          <w:spacing w:val="-60"/>
          <w:sz w:val="24"/>
          <w:szCs w:val="24"/>
        </w:rPr>
        <w:t> </w:t>
      </w:r>
      <w:r>
        <w:rPr>
          <w:rFonts w:ascii="宋体" w:hAnsi="宋体" w:cs="宋体" w:eastAsia="宋体" w:hint="default"/>
          <w:sz w:val="24"/>
          <w:szCs w:val="24"/>
        </w:rPr>
        <w:t>年年度股东大会审议通过了公司</w:t>
      </w:r>
      <w:r>
        <w:rPr>
          <w:rFonts w:ascii="宋体" w:hAnsi="宋体" w:cs="宋体" w:eastAsia="宋体" w:hint="default"/>
          <w:spacing w:val="-60"/>
          <w:sz w:val="24"/>
          <w:szCs w:val="24"/>
        </w:rPr>
        <w:t> </w:t>
      </w:r>
      <w:r>
        <w:rPr>
          <w:rFonts w:ascii="宋体" w:hAnsi="宋体" w:cs="宋体" w:eastAsia="宋体" w:hint="default"/>
          <w:sz w:val="24"/>
          <w:szCs w:val="24"/>
        </w:rPr>
        <w:t>2008</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z w:val="24"/>
          <w:szCs w:val="24"/>
        </w:rPr>
        <w:t> 度利润分配及资本公积转增股本方案：经安永华明会计师事务所审计确认，截至</w:t>
      </w:r>
      <w:r>
        <w:rPr>
          <w:rFonts w:ascii="宋体" w:hAnsi="宋体" w:cs="宋体" w:eastAsia="宋体" w:hint="default"/>
          <w:spacing w:val="-60"/>
          <w:sz w:val="24"/>
          <w:szCs w:val="24"/>
        </w:rPr>
        <w:t> </w:t>
      </w:r>
      <w:r>
        <w:rPr>
          <w:rFonts w:ascii="宋体" w:hAnsi="宋体" w:cs="宋体" w:eastAsia="宋体" w:hint="default"/>
          <w:sz w:val="24"/>
          <w:szCs w:val="24"/>
        </w:rPr>
        <w:t>2008</w:t>
      </w:r>
      <w:r>
        <w:rPr>
          <w:rFonts w:ascii="宋体" w:hAnsi="宋体" w:cs="宋体" w:eastAsia="宋体" w:hint="default"/>
          <w:spacing w:val="-60"/>
          <w:sz w:val="24"/>
          <w:szCs w:val="24"/>
        </w:rPr>
        <w:t> </w:t>
      </w:r>
      <w:r>
        <w:rPr>
          <w:rFonts w:ascii="宋体" w:hAnsi="宋体" w:cs="宋体" w:eastAsia="宋体" w:hint="default"/>
          <w:sz w:val="24"/>
          <w:szCs w:val="24"/>
        </w:rPr>
        <w:t>年</w:t>
      </w:r>
    </w:p>
    <w:p>
      <w:pPr>
        <w:spacing w:before="17"/>
        <w:ind w:left="140" w:right="140" w:firstLine="0"/>
        <w:jc w:val="left"/>
        <w:rPr>
          <w:rFonts w:ascii="宋体" w:hAnsi="宋体" w:cs="宋体" w:eastAsia="宋体" w:hint="default"/>
          <w:sz w:val="24"/>
          <w:szCs w:val="24"/>
        </w:rPr>
      </w:pP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z w:val="24"/>
          <w:szCs w:val="24"/>
        </w:rPr>
        <w:t>日，公司实现净利润</w:t>
      </w:r>
      <w:r>
        <w:rPr>
          <w:rFonts w:ascii="宋体" w:hAnsi="宋体" w:cs="宋体" w:eastAsia="宋体" w:hint="default"/>
          <w:spacing w:val="-60"/>
          <w:sz w:val="24"/>
          <w:szCs w:val="24"/>
        </w:rPr>
        <w:t> </w:t>
      </w:r>
      <w:r>
        <w:rPr>
          <w:rFonts w:ascii="宋体" w:hAnsi="宋体" w:cs="宋体" w:eastAsia="宋体" w:hint="default"/>
          <w:sz w:val="24"/>
          <w:szCs w:val="24"/>
        </w:rPr>
        <w:t>399,548,568</w:t>
      </w:r>
      <w:r>
        <w:rPr>
          <w:rFonts w:ascii="宋体" w:hAnsi="宋体" w:cs="宋体" w:eastAsia="宋体" w:hint="default"/>
          <w:spacing w:val="-60"/>
          <w:sz w:val="24"/>
          <w:szCs w:val="24"/>
        </w:rPr>
        <w:t> </w:t>
      </w:r>
      <w:r>
        <w:rPr>
          <w:rFonts w:ascii="宋体" w:hAnsi="宋体" w:cs="宋体" w:eastAsia="宋体" w:hint="default"/>
          <w:sz w:val="24"/>
          <w:szCs w:val="24"/>
        </w:rPr>
        <w:t>元。公司以</w:t>
      </w:r>
      <w:r>
        <w:rPr>
          <w:rFonts w:ascii="宋体" w:hAnsi="宋体" w:cs="宋体" w:eastAsia="宋体" w:hint="default"/>
          <w:spacing w:val="-60"/>
          <w:sz w:val="24"/>
          <w:szCs w:val="24"/>
        </w:rPr>
        <w:t> </w:t>
      </w:r>
      <w:r>
        <w:rPr>
          <w:rFonts w:ascii="宋体" w:hAnsi="宋体" w:cs="宋体" w:eastAsia="宋体" w:hint="default"/>
          <w:sz w:val="24"/>
          <w:szCs w:val="24"/>
        </w:rPr>
        <w:t>2008</w:t>
      </w:r>
      <w:r>
        <w:rPr>
          <w:rFonts w:ascii="宋体" w:hAnsi="宋体" w:cs="宋体" w:eastAsia="宋体" w:hint="default"/>
          <w:spacing w:val="-60"/>
          <w:sz w:val="24"/>
          <w:szCs w:val="24"/>
        </w:rPr>
        <w:t> </w:t>
      </w:r>
      <w:r>
        <w:rPr>
          <w:rFonts w:ascii="宋体" w:hAnsi="宋体" w:cs="宋体" w:eastAsia="宋体" w:hint="default"/>
          <w:sz w:val="24"/>
          <w:szCs w:val="24"/>
        </w:rPr>
        <w:t>年度净利润</w:t>
      </w:r>
      <w:r>
        <w:rPr>
          <w:rFonts w:ascii="宋体" w:hAnsi="宋体" w:cs="宋体" w:eastAsia="宋体" w:hint="default"/>
          <w:spacing w:val="-60"/>
          <w:sz w:val="24"/>
          <w:szCs w:val="24"/>
        </w:rPr>
        <w:t> </w:t>
      </w:r>
      <w:r>
        <w:rPr>
          <w:rFonts w:ascii="宋体" w:hAnsi="宋体" w:cs="宋体" w:eastAsia="宋体" w:hint="default"/>
          <w:sz w:val="24"/>
          <w:szCs w:val="24"/>
        </w:rPr>
        <w:t>399,548,568</w:t>
      </w:r>
      <w:r>
        <w:rPr>
          <w:rFonts w:ascii="宋体" w:hAnsi="宋体" w:cs="宋体" w:eastAsia="宋体" w:hint="default"/>
          <w:spacing w:val="-60"/>
          <w:sz w:val="24"/>
          <w:szCs w:val="24"/>
        </w:rPr>
        <w:t> </w:t>
      </w:r>
      <w:r>
        <w:rPr>
          <w:rFonts w:ascii="宋体" w:hAnsi="宋体" w:cs="宋体" w:eastAsia="宋体" w:hint="default"/>
          <w:sz w:val="24"/>
          <w:szCs w:val="24"/>
        </w:rPr>
        <w:t>元</w:t>
      </w:r>
    </w:p>
    <w:p>
      <w:pPr>
        <w:spacing w:before="76"/>
        <w:ind w:left="140" w:right="0" w:firstLine="0"/>
        <w:jc w:val="left"/>
        <w:rPr>
          <w:rFonts w:ascii="宋体" w:hAnsi="宋体" w:cs="宋体" w:eastAsia="宋体" w:hint="default"/>
          <w:sz w:val="24"/>
          <w:szCs w:val="24"/>
        </w:rPr>
      </w:pPr>
      <w:r>
        <w:rPr>
          <w:rFonts w:ascii="宋体" w:hAnsi="宋体" w:cs="宋体" w:eastAsia="宋体" w:hint="default"/>
          <w:spacing w:val="-5"/>
          <w:sz w:val="24"/>
          <w:szCs w:val="24"/>
        </w:rPr>
        <w:t>为基数，提取</w:t>
      </w:r>
      <w:r>
        <w:rPr>
          <w:rFonts w:ascii="宋体" w:hAnsi="宋体" w:cs="宋体" w:eastAsia="宋体" w:hint="default"/>
          <w:spacing w:val="-60"/>
          <w:sz w:val="24"/>
          <w:szCs w:val="24"/>
        </w:rPr>
        <w:t> </w:t>
      </w:r>
      <w:r>
        <w:rPr>
          <w:rFonts w:ascii="宋体" w:hAnsi="宋体" w:cs="宋体" w:eastAsia="宋体" w:hint="default"/>
          <w:sz w:val="24"/>
          <w:szCs w:val="24"/>
        </w:rPr>
        <w:t>10%的法定盈余公积金</w:t>
      </w:r>
      <w:r>
        <w:rPr>
          <w:rFonts w:ascii="宋体" w:hAnsi="宋体" w:cs="宋体" w:eastAsia="宋体" w:hint="default"/>
          <w:spacing w:val="-60"/>
          <w:sz w:val="24"/>
          <w:szCs w:val="24"/>
        </w:rPr>
        <w:t> </w:t>
      </w:r>
      <w:r>
        <w:rPr>
          <w:rFonts w:ascii="宋体" w:hAnsi="宋体" w:cs="宋体" w:eastAsia="宋体" w:hint="default"/>
          <w:sz w:val="24"/>
          <w:szCs w:val="24"/>
        </w:rPr>
        <w:t>39,954,857</w:t>
      </w:r>
      <w:r>
        <w:rPr>
          <w:rFonts w:ascii="宋体" w:hAnsi="宋体" w:cs="宋体" w:eastAsia="宋体" w:hint="default"/>
          <w:spacing w:val="-60"/>
          <w:sz w:val="24"/>
          <w:szCs w:val="24"/>
        </w:rPr>
        <w:t> </w:t>
      </w:r>
      <w:r>
        <w:rPr>
          <w:rFonts w:ascii="宋体" w:hAnsi="宋体" w:cs="宋体" w:eastAsia="宋体" w:hint="default"/>
          <w:spacing w:val="-8"/>
          <w:sz w:val="24"/>
          <w:szCs w:val="24"/>
        </w:rPr>
        <w:t>元，提取</w:t>
      </w:r>
      <w:r>
        <w:rPr>
          <w:rFonts w:ascii="宋体" w:hAnsi="宋体" w:cs="宋体" w:eastAsia="宋体" w:hint="default"/>
          <w:spacing w:val="-60"/>
          <w:sz w:val="24"/>
          <w:szCs w:val="24"/>
        </w:rPr>
        <w:t> </w:t>
      </w:r>
      <w:r>
        <w:rPr>
          <w:rFonts w:ascii="宋体" w:hAnsi="宋体" w:cs="宋体" w:eastAsia="宋体" w:hint="default"/>
          <w:sz w:val="24"/>
          <w:szCs w:val="24"/>
        </w:rPr>
        <w:t>5%任意盈余公积金</w:t>
      </w:r>
      <w:r>
        <w:rPr>
          <w:rFonts w:ascii="宋体" w:hAnsi="宋体" w:cs="宋体" w:eastAsia="宋体" w:hint="default"/>
          <w:spacing w:val="-60"/>
          <w:sz w:val="24"/>
          <w:szCs w:val="24"/>
        </w:rPr>
        <w:t> </w:t>
      </w:r>
      <w:r>
        <w:rPr>
          <w:rFonts w:ascii="宋体" w:hAnsi="宋体" w:cs="宋体" w:eastAsia="宋体" w:hint="default"/>
          <w:sz w:val="24"/>
          <w:szCs w:val="24"/>
        </w:rPr>
        <w:t>19,977,428</w:t>
      </w:r>
    </w:p>
    <w:p>
      <w:pPr>
        <w:spacing w:before="74"/>
        <w:ind w:left="140" w:right="0" w:firstLine="0"/>
        <w:jc w:val="left"/>
        <w:rPr>
          <w:rFonts w:ascii="宋体" w:hAnsi="宋体" w:cs="宋体" w:eastAsia="宋体" w:hint="default"/>
          <w:sz w:val="24"/>
          <w:szCs w:val="24"/>
        </w:rPr>
      </w:pPr>
      <w:r>
        <w:rPr>
          <w:rFonts w:ascii="宋体" w:hAnsi="宋体" w:cs="宋体" w:eastAsia="宋体" w:hint="default"/>
          <w:sz w:val="24"/>
          <w:szCs w:val="24"/>
        </w:rPr>
        <w:t>元，加扣除</w:t>
      </w:r>
      <w:r>
        <w:rPr>
          <w:rFonts w:ascii="宋体" w:hAnsi="宋体" w:cs="宋体" w:eastAsia="宋体" w:hint="default"/>
          <w:spacing w:val="-60"/>
          <w:sz w:val="24"/>
          <w:szCs w:val="24"/>
        </w:rPr>
        <w:t> </w:t>
      </w:r>
      <w:r>
        <w:rPr>
          <w:rFonts w:ascii="宋体" w:hAnsi="宋体" w:cs="宋体" w:eastAsia="宋体" w:hint="default"/>
          <w:sz w:val="24"/>
          <w:szCs w:val="24"/>
        </w:rPr>
        <w:t>2007</w:t>
      </w:r>
      <w:r>
        <w:rPr>
          <w:rFonts w:ascii="宋体" w:hAnsi="宋体" w:cs="宋体" w:eastAsia="宋体" w:hint="default"/>
          <w:spacing w:val="-60"/>
          <w:sz w:val="24"/>
          <w:szCs w:val="24"/>
        </w:rPr>
        <w:t> </w:t>
      </w:r>
      <w:r>
        <w:rPr>
          <w:rFonts w:ascii="宋体" w:hAnsi="宋体" w:cs="宋体" w:eastAsia="宋体" w:hint="default"/>
          <w:sz w:val="24"/>
          <w:szCs w:val="24"/>
        </w:rPr>
        <w:t>年度分配之现金股利的年初未分配利润</w:t>
      </w:r>
      <w:r>
        <w:rPr>
          <w:rFonts w:ascii="宋体" w:hAnsi="宋体" w:cs="宋体" w:eastAsia="宋体" w:hint="default"/>
          <w:spacing w:val="-60"/>
          <w:sz w:val="24"/>
          <w:szCs w:val="24"/>
        </w:rPr>
        <w:t> </w:t>
      </w:r>
      <w:r>
        <w:rPr>
          <w:rFonts w:ascii="宋体" w:hAnsi="宋体" w:cs="宋体" w:eastAsia="宋体" w:hint="default"/>
          <w:sz w:val="24"/>
          <w:szCs w:val="24"/>
        </w:rPr>
        <w:t>147,201,499</w:t>
      </w:r>
      <w:r>
        <w:rPr>
          <w:rFonts w:ascii="宋体" w:hAnsi="宋体" w:cs="宋体" w:eastAsia="宋体" w:hint="default"/>
          <w:spacing w:val="-60"/>
          <w:sz w:val="24"/>
          <w:szCs w:val="24"/>
        </w:rPr>
        <w:t> </w:t>
      </w:r>
      <w:r>
        <w:rPr>
          <w:rFonts w:ascii="宋体" w:hAnsi="宋体" w:cs="宋体" w:eastAsia="宋体" w:hint="default"/>
          <w:sz w:val="24"/>
          <w:szCs w:val="24"/>
        </w:rPr>
        <w:t>元，本次实际可供</w:t>
      </w:r>
    </w:p>
    <w:p>
      <w:pPr>
        <w:spacing w:before="74"/>
        <w:ind w:left="140" w:right="0" w:firstLine="0"/>
        <w:jc w:val="left"/>
        <w:rPr>
          <w:rFonts w:ascii="宋体" w:hAnsi="宋体" w:cs="宋体" w:eastAsia="宋体" w:hint="default"/>
          <w:sz w:val="24"/>
          <w:szCs w:val="24"/>
        </w:rPr>
      </w:pPr>
      <w:r>
        <w:rPr>
          <w:rFonts w:ascii="宋体" w:hAnsi="宋体" w:cs="宋体" w:eastAsia="宋体" w:hint="default"/>
          <w:sz w:val="24"/>
          <w:szCs w:val="24"/>
        </w:rPr>
        <w:t>分配的利润为</w:t>
      </w:r>
      <w:r>
        <w:rPr>
          <w:rFonts w:ascii="宋体" w:hAnsi="宋体" w:cs="宋体" w:eastAsia="宋体" w:hint="default"/>
          <w:spacing w:val="-60"/>
          <w:sz w:val="24"/>
          <w:szCs w:val="24"/>
        </w:rPr>
        <w:t> </w:t>
      </w:r>
      <w:r>
        <w:rPr>
          <w:rFonts w:ascii="宋体" w:hAnsi="宋体" w:cs="宋体" w:eastAsia="宋体" w:hint="default"/>
          <w:sz w:val="24"/>
          <w:szCs w:val="24"/>
        </w:rPr>
        <w:t>486,817,782</w:t>
      </w:r>
      <w:r>
        <w:rPr>
          <w:rFonts w:ascii="宋体" w:hAnsi="宋体" w:cs="宋体" w:eastAsia="宋体" w:hint="default"/>
          <w:spacing w:val="-60"/>
          <w:sz w:val="24"/>
          <w:szCs w:val="24"/>
        </w:rPr>
        <w:t> </w:t>
      </w:r>
      <w:r>
        <w:rPr>
          <w:rFonts w:ascii="宋体" w:hAnsi="宋体" w:cs="宋体" w:eastAsia="宋体" w:hint="default"/>
          <w:sz w:val="24"/>
          <w:szCs w:val="24"/>
        </w:rPr>
        <w:t>元。公司以</w:t>
      </w:r>
      <w:r>
        <w:rPr>
          <w:rFonts w:ascii="宋体" w:hAnsi="宋体" w:cs="宋体" w:eastAsia="宋体" w:hint="default"/>
          <w:spacing w:val="-60"/>
          <w:sz w:val="24"/>
          <w:szCs w:val="24"/>
        </w:rPr>
        <w:t> </w:t>
      </w:r>
      <w:r>
        <w:rPr>
          <w:rFonts w:ascii="宋体" w:hAnsi="宋体" w:cs="宋体" w:eastAsia="宋体" w:hint="default"/>
          <w:sz w:val="24"/>
          <w:szCs w:val="24"/>
        </w:rPr>
        <w:t>2008</w:t>
      </w:r>
      <w:r>
        <w:rPr>
          <w:rFonts w:ascii="宋体" w:hAnsi="宋体" w:cs="宋体" w:eastAsia="宋体" w:hint="default"/>
          <w:spacing w:val="-60"/>
          <w:sz w:val="24"/>
          <w:szCs w:val="24"/>
        </w:rPr>
        <w:t> </w:t>
      </w:r>
      <w:r>
        <w:rPr>
          <w:rFonts w:ascii="宋体" w:hAnsi="宋体" w:cs="宋体" w:eastAsia="宋体" w:hint="default"/>
          <w:sz w:val="24"/>
          <w:szCs w:val="24"/>
        </w:rPr>
        <w:t>年末总股本扣除截止到</w:t>
      </w:r>
      <w:r>
        <w:rPr>
          <w:rFonts w:ascii="宋体" w:hAnsi="宋体" w:cs="宋体" w:eastAsia="宋体" w:hint="default"/>
          <w:spacing w:val="-60"/>
          <w:sz w:val="24"/>
          <w:szCs w:val="24"/>
        </w:rPr>
        <w:t> </w:t>
      </w:r>
      <w:r>
        <w:rPr>
          <w:rFonts w:ascii="宋体" w:hAnsi="宋体" w:cs="宋体" w:eastAsia="宋体" w:hint="default"/>
          <w:spacing w:val="25"/>
          <w:sz w:val="24"/>
          <w:szCs w:val="24"/>
        </w:rPr>
        <w:t>2009年3月</w:t>
      </w:r>
      <w:r>
        <w:rPr>
          <w:rFonts w:ascii="宋体" w:hAnsi="宋体" w:cs="宋体" w:eastAsia="宋体" w:hint="default"/>
          <w:spacing w:val="-60"/>
          <w:sz w:val="24"/>
          <w:szCs w:val="24"/>
        </w:rPr>
        <w:t> </w:t>
      </w:r>
      <w:r>
        <w:rPr>
          <w:rFonts w:ascii="宋体" w:hAnsi="宋体" w:cs="宋体" w:eastAsia="宋体" w:hint="default"/>
          <w:sz w:val="24"/>
          <w:szCs w:val="24"/>
        </w:rPr>
        <w:t>19</w:t>
      </w:r>
      <w:r>
        <w:rPr>
          <w:rFonts w:ascii="宋体" w:hAnsi="宋体" w:cs="宋体" w:eastAsia="宋体" w:hint="default"/>
          <w:spacing w:val="-60"/>
          <w:sz w:val="24"/>
          <w:szCs w:val="24"/>
        </w:rPr>
        <w:t> </w:t>
      </w:r>
      <w:r>
        <w:rPr>
          <w:rFonts w:ascii="宋体" w:hAnsi="宋体" w:cs="宋体" w:eastAsia="宋体" w:hint="default"/>
          <w:sz w:val="24"/>
          <w:szCs w:val="24"/>
        </w:rPr>
        <w:t>日回</w:t>
      </w:r>
    </w:p>
    <w:p>
      <w:pPr>
        <w:spacing w:before="74"/>
        <w:ind w:left="140" w:right="140" w:firstLine="0"/>
        <w:jc w:val="left"/>
        <w:rPr>
          <w:rFonts w:ascii="宋体" w:hAnsi="宋体" w:cs="宋体" w:eastAsia="宋体" w:hint="default"/>
          <w:sz w:val="24"/>
          <w:szCs w:val="24"/>
        </w:rPr>
      </w:pPr>
      <w:r>
        <w:rPr>
          <w:rFonts w:ascii="宋体" w:hAnsi="宋体" w:cs="宋体" w:eastAsia="宋体" w:hint="default"/>
          <w:sz w:val="24"/>
          <w:szCs w:val="24"/>
        </w:rPr>
        <w:t>购的股权激励股份后的</w:t>
      </w:r>
      <w:r>
        <w:rPr>
          <w:rFonts w:ascii="宋体" w:hAnsi="宋体" w:cs="宋体" w:eastAsia="宋体" w:hint="default"/>
          <w:spacing w:val="-60"/>
          <w:sz w:val="24"/>
          <w:szCs w:val="24"/>
        </w:rPr>
        <w:t> </w:t>
      </w:r>
      <w:r>
        <w:rPr>
          <w:rFonts w:ascii="宋体" w:hAnsi="宋体" w:cs="宋体" w:eastAsia="宋体" w:hint="default"/>
          <w:sz w:val="24"/>
          <w:szCs w:val="24"/>
        </w:rPr>
        <w:t>466,662,975</w:t>
      </w:r>
      <w:r>
        <w:rPr>
          <w:rFonts w:ascii="宋体" w:hAnsi="宋体" w:cs="宋体" w:eastAsia="宋体" w:hint="default"/>
          <w:spacing w:val="-60"/>
          <w:sz w:val="24"/>
          <w:szCs w:val="24"/>
        </w:rPr>
        <w:t> </w:t>
      </w:r>
      <w:r>
        <w:rPr>
          <w:rFonts w:ascii="宋体" w:hAnsi="宋体" w:cs="宋体" w:eastAsia="宋体" w:hint="default"/>
          <w:sz w:val="24"/>
          <w:szCs w:val="24"/>
        </w:rPr>
        <w:t>股为基数,拟向全体股东每</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股派发现金股利</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元</w:t>
      </w:r>
    </w:p>
    <w:p>
      <w:pPr>
        <w:spacing w:before="76"/>
        <w:ind w:left="140" w:right="140" w:firstLine="0"/>
        <w:jc w:val="left"/>
        <w:rPr>
          <w:rFonts w:ascii="宋体" w:hAnsi="宋体" w:cs="宋体" w:eastAsia="宋体" w:hint="default"/>
          <w:sz w:val="24"/>
          <w:szCs w:val="24"/>
        </w:rPr>
      </w:pPr>
      <w:r>
        <w:rPr>
          <w:rFonts w:ascii="宋体" w:hAnsi="宋体" w:cs="宋体" w:eastAsia="宋体" w:hint="default"/>
          <w:sz w:val="24"/>
          <w:szCs w:val="24"/>
        </w:rPr>
        <w:t>(含税),共计派发现金股利</w:t>
      </w:r>
      <w:r>
        <w:rPr>
          <w:rFonts w:ascii="宋体" w:hAnsi="宋体" w:cs="宋体" w:eastAsia="宋体" w:hint="default"/>
          <w:spacing w:val="-60"/>
          <w:sz w:val="24"/>
          <w:szCs w:val="24"/>
        </w:rPr>
        <w:t> </w:t>
      </w:r>
      <w:r>
        <w:rPr>
          <w:rFonts w:ascii="宋体" w:hAnsi="宋体" w:cs="宋体" w:eastAsia="宋体" w:hint="default"/>
          <w:sz w:val="24"/>
          <w:szCs w:val="24"/>
        </w:rPr>
        <w:t>139,998,893</w:t>
      </w:r>
      <w:r>
        <w:rPr>
          <w:rFonts w:ascii="宋体" w:hAnsi="宋体" w:cs="宋体" w:eastAsia="宋体" w:hint="default"/>
          <w:spacing w:val="-60"/>
          <w:sz w:val="24"/>
          <w:szCs w:val="24"/>
        </w:rPr>
        <w:t> </w:t>
      </w:r>
      <w:r>
        <w:rPr>
          <w:rFonts w:ascii="宋体" w:hAnsi="宋体" w:cs="宋体" w:eastAsia="宋体" w:hint="default"/>
          <w:sz w:val="24"/>
          <w:szCs w:val="24"/>
        </w:rPr>
        <w:t>元。</w:t>
      </w:r>
    </w:p>
    <w:p>
      <w:pPr>
        <w:spacing w:before="194"/>
        <w:ind w:left="620" w:right="140" w:firstLine="0"/>
        <w:jc w:val="left"/>
        <w:rPr>
          <w:rFonts w:ascii="宋体" w:hAnsi="宋体" w:cs="宋体" w:eastAsia="宋体" w:hint="default"/>
          <w:sz w:val="24"/>
          <w:szCs w:val="24"/>
        </w:rPr>
      </w:pPr>
      <w:r>
        <w:rPr>
          <w:rFonts w:ascii="宋体" w:hAnsi="宋体" w:cs="宋体" w:eastAsia="宋体" w:hint="default"/>
          <w:sz w:val="24"/>
          <w:szCs w:val="24"/>
        </w:rPr>
        <w:t>公司以</w:t>
      </w:r>
      <w:r>
        <w:rPr>
          <w:rFonts w:ascii="宋体" w:hAnsi="宋体" w:cs="宋体" w:eastAsia="宋体" w:hint="default"/>
          <w:spacing w:val="-59"/>
          <w:sz w:val="24"/>
          <w:szCs w:val="24"/>
        </w:rPr>
        <w:t> </w:t>
      </w:r>
      <w:r>
        <w:rPr>
          <w:rFonts w:ascii="宋体" w:hAnsi="宋体" w:cs="宋体" w:eastAsia="宋体" w:hint="default"/>
          <w:sz w:val="24"/>
          <w:szCs w:val="24"/>
        </w:rPr>
        <w:t>2008</w:t>
      </w:r>
      <w:r>
        <w:rPr>
          <w:rFonts w:ascii="宋体" w:hAnsi="宋体" w:cs="宋体" w:eastAsia="宋体" w:hint="default"/>
          <w:spacing w:val="-59"/>
          <w:sz w:val="24"/>
          <w:szCs w:val="24"/>
        </w:rPr>
        <w:t> </w:t>
      </w:r>
      <w:r>
        <w:rPr>
          <w:rFonts w:ascii="宋体" w:hAnsi="宋体" w:cs="宋体" w:eastAsia="宋体" w:hint="default"/>
          <w:sz w:val="24"/>
          <w:szCs w:val="24"/>
        </w:rPr>
        <w:t>年末总股本扣除截止到</w:t>
      </w:r>
      <w:r>
        <w:rPr>
          <w:rFonts w:ascii="宋体" w:hAnsi="宋体" w:cs="宋体" w:eastAsia="宋体" w:hint="default"/>
          <w:spacing w:val="-59"/>
          <w:sz w:val="24"/>
          <w:szCs w:val="24"/>
        </w:rPr>
        <w:t> </w:t>
      </w:r>
      <w:r>
        <w:rPr>
          <w:rFonts w:ascii="宋体" w:hAnsi="宋体" w:cs="宋体" w:eastAsia="宋体" w:hint="default"/>
          <w:spacing w:val="25"/>
          <w:sz w:val="24"/>
          <w:szCs w:val="24"/>
        </w:rPr>
        <w:t>2009年3月</w:t>
      </w:r>
      <w:r>
        <w:rPr>
          <w:rFonts w:ascii="宋体" w:hAnsi="宋体" w:cs="宋体" w:eastAsia="宋体" w:hint="default"/>
          <w:spacing w:val="-59"/>
          <w:sz w:val="24"/>
          <w:szCs w:val="24"/>
        </w:rPr>
        <w:t> </w:t>
      </w:r>
      <w:r>
        <w:rPr>
          <w:rFonts w:ascii="宋体" w:hAnsi="宋体" w:cs="宋体" w:eastAsia="宋体" w:hint="default"/>
          <w:sz w:val="24"/>
          <w:szCs w:val="24"/>
        </w:rPr>
        <w:t>19</w:t>
      </w:r>
      <w:r>
        <w:rPr>
          <w:rFonts w:ascii="宋体" w:hAnsi="宋体" w:cs="宋体" w:eastAsia="宋体" w:hint="default"/>
          <w:spacing w:val="-59"/>
          <w:sz w:val="24"/>
          <w:szCs w:val="24"/>
        </w:rPr>
        <w:t> </w:t>
      </w:r>
      <w:r>
        <w:rPr>
          <w:rFonts w:ascii="宋体" w:hAnsi="宋体" w:cs="宋体" w:eastAsia="宋体" w:hint="default"/>
          <w:sz w:val="24"/>
          <w:szCs w:val="24"/>
        </w:rPr>
        <w:t>日回购的股权激励股份后的</w:t>
      </w:r>
    </w:p>
    <w:p>
      <w:pPr>
        <w:spacing w:before="74"/>
        <w:ind w:left="140" w:right="140" w:firstLine="0"/>
        <w:jc w:val="left"/>
        <w:rPr>
          <w:rFonts w:ascii="宋体" w:hAnsi="宋体" w:cs="宋体" w:eastAsia="宋体" w:hint="default"/>
          <w:sz w:val="24"/>
          <w:szCs w:val="24"/>
        </w:rPr>
      </w:pPr>
      <w:r>
        <w:rPr>
          <w:rFonts w:ascii="宋体" w:hAnsi="宋体" w:cs="宋体" w:eastAsia="宋体" w:hint="default"/>
          <w:sz w:val="24"/>
          <w:szCs w:val="24"/>
        </w:rPr>
        <w:t>466,662,975</w:t>
      </w:r>
      <w:r>
        <w:rPr>
          <w:rFonts w:ascii="宋体" w:hAnsi="宋体" w:cs="宋体" w:eastAsia="宋体" w:hint="default"/>
          <w:spacing w:val="-60"/>
          <w:sz w:val="24"/>
          <w:szCs w:val="24"/>
        </w:rPr>
        <w:t> </w:t>
      </w:r>
      <w:r>
        <w:rPr>
          <w:rFonts w:ascii="宋体" w:hAnsi="宋体" w:cs="宋体" w:eastAsia="宋体" w:hint="default"/>
          <w:sz w:val="24"/>
          <w:szCs w:val="24"/>
        </w:rPr>
        <w:t>股为基数，拟向全体股东每</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股转增</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股，共计转增</w:t>
      </w:r>
      <w:r>
        <w:rPr>
          <w:rFonts w:ascii="宋体" w:hAnsi="宋体" w:cs="宋体" w:eastAsia="宋体" w:hint="default"/>
          <w:spacing w:val="-60"/>
          <w:sz w:val="24"/>
          <w:szCs w:val="24"/>
        </w:rPr>
        <w:t> </w:t>
      </w:r>
      <w:r>
        <w:rPr>
          <w:rFonts w:ascii="宋体" w:hAnsi="宋体" w:cs="宋体" w:eastAsia="宋体" w:hint="default"/>
          <w:sz w:val="24"/>
          <w:szCs w:val="24"/>
        </w:rPr>
        <w:t>139,998,893</w:t>
      </w:r>
      <w:r>
        <w:rPr>
          <w:rFonts w:ascii="宋体" w:hAnsi="宋体" w:cs="宋体" w:eastAsia="宋体" w:hint="default"/>
          <w:spacing w:val="-60"/>
          <w:sz w:val="24"/>
          <w:szCs w:val="24"/>
        </w:rPr>
        <w:t> </w:t>
      </w:r>
      <w:r>
        <w:rPr>
          <w:rFonts w:ascii="宋体" w:hAnsi="宋体" w:cs="宋体" w:eastAsia="宋体" w:hint="default"/>
          <w:sz w:val="24"/>
          <w:szCs w:val="24"/>
        </w:rPr>
        <w:t>股，转</w:t>
      </w:r>
    </w:p>
    <w:p>
      <w:pPr>
        <w:spacing w:before="74"/>
        <w:ind w:left="140" w:right="140" w:firstLine="0"/>
        <w:jc w:val="left"/>
        <w:rPr>
          <w:rFonts w:ascii="宋体" w:hAnsi="宋体" w:cs="宋体" w:eastAsia="宋体" w:hint="default"/>
          <w:sz w:val="24"/>
          <w:szCs w:val="24"/>
        </w:rPr>
      </w:pPr>
      <w:r>
        <w:rPr>
          <w:rFonts w:ascii="宋体" w:hAnsi="宋体" w:cs="宋体" w:eastAsia="宋体" w:hint="default"/>
          <w:sz w:val="24"/>
          <w:szCs w:val="24"/>
        </w:rPr>
        <w:t>增股本后，公司资本公积余额</w:t>
      </w:r>
      <w:r>
        <w:rPr>
          <w:rFonts w:ascii="宋体" w:hAnsi="宋体" w:cs="宋体" w:eastAsia="宋体" w:hint="default"/>
          <w:spacing w:val="-60"/>
          <w:sz w:val="24"/>
          <w:szCs w:val="24"/>
        </w:rPr>
        <w:t> </w:t>
      </w:r>
      <w:r>
        <w:rPr>
          <w:rFonts w:ascii="宋体" w:hAnsi="宋体" w:cs="宋体" w:eastAsia="宋体" w:hint="default"/>
          <w:sz w:val="24"/>
          <w:szCs w:val="24"/>
        </w:rPr>
        <w:t>848,623,411</w:t>
      </w:r>
      <w:r>
        <w:rPr>
          <w:rFonts w:ascii="宋体" w:hAnsi="宋体" w:cs="宋体" w:eastAsia="宋体" w:hint="default"/>
          <w:spacing w:val="-60"/>
          <w:sz w:val="24"/>
          <w:szCs w:val="24"/>
        </w:rPr>
        <w:t> </w:t>
      </w:r>
      <w:r>
        <w:rPr>
          <w:rFonts w:ascii="宋体" w:hAnsi="宋体" w:cs="宋体" w:eastAsia="宋体" w:hint="default"/>
          <w:sz w:val="24"/>
          <w:szCs w:val="24"/>
        </w:rPr>
        <w:t>元。</w:t>
      </w:r>
    </w:p>
    <w:p>
      <w:pPr>
        <w:spacing w:line="297" w:lineRule="auto" w:before="194"/>
        <w:ind w:left="140" w:right="139" w:firstLine="480"/>
        <w:jc w:val="both"/>
        <w:rPr>
          <w:rFonts w:ascii="宋体" w:hAnsi="宋体" w:cs="宋体" w:eastAsia="宋体" w:hint="default"/>
          <w:sz w:val="24"/>
          <w:szCs w:val="24"/>
        </w:rPr>
      </w:pPr>
      <w:r>
        <w:rPr>
          <w:rFonts w:ascii="宋体" w:hAnsi="宋体" w:cs="宋体" w:eastAsia="宋体" w:hint="default"/>
          <w:sz w:val="24"/>
          <w:szCs w:val="24"/>
        </w:rPr>
        <w:t>截至</w:t>
      </w:r>
      <w:r>
        <w:rPr>
          <w:rFonts w:ascii="宋体" w:hAnsi="宋体" w:cs="宋体" w:eastAsia="宋体" w:hint="default"/>
          <w:spacing w:val="-60"/>
          <w:sz w:val="24"/>
          <w:szCs w:val="24"/>
        </w:rPr>
        <w:t> </w:t>
      </w:r>
      <w:r>
        <w:rPr>
          <w:rFonts w:ascii="宋体" w:hAnsi="宋体" w:cs="宋体" w:eastAsia="宋体" w:hint="default"/>
          <w:spacing w:val="30"/>
          <w:sz w:val="24"/>
          <w:szCs w:val="24"/>
        </w:rPr>
        <w:t>2009年5月6</w:t>
      </w:r>
      <w:r>
        <w:rPr>
          <w:rFonts w:ascii="宋体" w:hAnsi="宋体" w:cs="宋体" w:eastAsia="宋体" w:hint="default"/>
          <w:spacing w:val="-60"/>
          <w:sz w:val="24"/>
          <w:szCs w:val="24"/>
        </w:rPr>
        <w:t> </w:t>
      </w:r>
      <w:r>
        <w:rPr>
          <w:rFonts w:ascii="宋体" w:hAnsi="宋体" w:cs="宋体" w:eastAsia="宋体" w:hint="default"/>
          <w:spacing w:val="-30"/>
          <w:sz w:val="24"/>
          <w:szCs w:val="24"/>
        </w:rPr>
        <w:t>日，公司</w:t>
      </w:r>
      <w:r>
        <w:rPr>
          <w:rFonts w:ascii="宋体" w:hAnsi="宋体" w:cs="宋体" w:eastAsia="宋体" w:hint="default"/>
          <w:spacing w:val="-60"/>
          <w:sz w:val="24"/>
          <w:szCs w:val="24"/>
        </w:rPr>
        <w:t> </w:t>
      </w:r>
      <w:r>
        <w:rPr>
          <w:rFonts w:ascii="宋体" w:hAnsi="宋体" w:cs="宋体" w:eastAsia="宋体" w:hint="default"/>
          <w:sz w:val="24"/>
          <w:szCs w:val="24"/>
        </w:rPr>
        <w:t>2008</w:t>
      </w:r>
      <w:r>
        <w:rPr>
          <w:rFonts w:ascii="宋体" w:hAnsi="宋体" w:cs="宋体" w:eastAsia="宋体" w:hint="default"/>
          <w:spacing w:val="-60"/>
          <w:sz w:val="24"/>
          <w:szCs w:val="24"/>
        </w:rPr>
        <w:t> </w:t>
      </w:r>
      <w:r>
        <w:rPr>
          <w:rFonts w:ascii="宋体" w:hAnsi="宋体" w:cs="宋体" w:eastAsia="宋体" w:hint="default"/>
          <w:sz w:val="24"/>
          <w:szCs w:val="24"/>
        </w:rPr>
        <w:t>年度利润分配及资本公积转增股本方案已全部实施</w:t>
      </w:r>
      <w:r>
        <w:rPr>
          <w:rFonts w:ascii="宋体" w:hAnsi="宋体" w:cs="宋体" w:eastAsia="宋体" w:hint="default"/>
          <w:sz w:val="24"/>
          <w:szCs w:val="24"/>
        </w:rPr>
        <w:t> 完毕。</w:t>
      </w:r>
    </w:p>
    <w:p>
      <w:pPr>
        <w:spacing w:line="297" w:lineRule="auto" w:before="137"/>
        <w:ind w:left="140" w:right="140" w:firstLine="480"/>
        <w:jc w:val="both"/>
        <w:rPr>
          <w:rFonts w:ascii="宋体" w:hAnsi="宋体" w:cs="宋体" w:eastAsia="宋体" w:hint="default"/>
          <w:sz w:val="24"/>
          <w:szCs w:val="24"/>
        </w:rPr>
      </w:pPr>
      <w:r>
        <w:rPr>
          <w:rFonts w:ascii="宋体" w:hAnsi="宋体" w:cs="宋体" w:eastAsia="宋体" w:hint="default"/>
          <w:sz w:val="24"/>
          <w:szCs w:val="24"/>
        </w:rPr>
        <w:t>（4）根据公司股东大会的授权，公司董事会于</w:t>
      </w:r>
      <w:r>
        <w:rPr>
          <w:rFonts w:ascii="宋体" w:hAnsi="宋体" w:cs="宋体" w:eastAsia="宋体" w:hint="default"/>
          <w:spacing w:val="-59"/>
          <w:sz w:val="24"/>
          <w:szCs w:val="24"/>
        </w:rPr>
        <w:t> </w:t>
      </w:r>
      <w:r>
        <w:rPr>
          <w:rFonts w:ascii="宋体" w:hAnsi="宋体" w:cs="宋体" w:eastAsia="宋体" w:hint="default"/>
          <w:spacing w:val="25"/>
          <w:sz w:val="24"/>
          <w:szCs w:val="24"/>
        </w:rPr>
        <w:t>2009年9月</w:t>
      </w:r>
      <w:r>
        <w:rPr>
          <w:rFonts w:ascii="宋体" w:hAnsi="宋体" w:cs="宋体" w:eastAsia="宋体" w:hint="default"/>
          <w:spacing w:val="-59"/>
          <w:sz w:val="24"/>
          <w:szCs w:val="24"/>
        </w:rPr>
        <w:t> </w:t>
      </w:r>
      <w:r>
        <w:rPr>
          <w:rFonts w:ascii="宋体" w:hAnsi="宋体" w:cs="宋体" w:eastAsia="宋体" w:hint="default"/>
          <w:sz w:val="24"/>
          <w:szCs w:val="24"/>
        </w:rPr>
        <w:t>29</w:t>
      </w:r>
      <w:r>
        <w:rPr>
          <w:rFonts w:ascii="宋体" w:hAnsi="宋体" w:cs="宋体" w:eastAsia="宋体" w:hint="default"/>
          <w:spacing w:val="-59"/>
          <w:sz w:val="24"/>
          <w:szCs w:val="24"/>
        </w:rPr>
        <w:t> </w:t>
      </w:r>
      <w:r>
        <w:rPr>
          <w:rFonts w:ascii="宋体" w:hAnsi="宋体" w:cs="宋体" w:eastAsia="宋体" w:hint="default"/>
          <w:sz w:val="24"/>
          <w:szCs w:val="24"/>
        </w:rPr>
        <w:t>日向符合授予条件的</w:t>
      </w:r>
      <w:r>
        <w:rPr>
          <w:rFonts w:ascii="宋体" w:hAnsi="宋体" w:cs="宋体" w:eastAsia="宋体" w:hint="default"/>
          <w:sz w:val="24"/>
          <w:szCs w:val="24"/>
        </w:rPr>
        <w:t> </w:t>
      </w:r>
      <w:r>
        <w:rPr>
          <w:rFonts w:ascii="宋体" w:hAnsi="宋体" w:cs="宋体" w:eastAsia="宋体" w:hint="default"/>
          <w:spacing w:val="-4"/>
          <w:sz w:val="24"/>
          <w:szCs w:val="24"/>
        </w:rPr>
        <w:t>股权激励对象授予《用友软件股份有限公司股权激励计划（修订稿）》中标的股票，本次</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z w:val="24"/>
          <w:szCs w:val="24"/>
        </w:rPr>
        <w:t>股权激励计划共计</w:t>
      </w:r>
      <w:r>
        <w:rPr>
          <w:rFonts w:ascii="宋体" w:hAnsi="宋体" w:cs="宋体" w:eastAsia="宋体" w:hint="default"/>
          <w:spacing w:val="-60"/>
          <w:sz w:val="24"/>
          <w:szCs w:val="24"/>
        </w:rPr>
        <w:t> </w:t>
      </w:r>
      <w:r>
        <w:rPr>
          <w:rFonts w:ascii="宋体" w:hAnsi="宋体" w:cs="宋体" w:eastAsia="宋体" w:hint="default"/>
          <w:sz w:val="24"/>
          <w:szCs w:val="24"/>
        </w:rPr>
        <w:t>22,322,560</w:t>
      </w:r>
      <w:r>
        <w:rPr>
          <w:rFonts w:ascii="宋体" w:hAnsi="宋体" w:cs="宋体" w:eastAsia="宋体" w:hint="default"/>
          <w:spacing w:val="-60"/>
          <w:sz w:val="24"/>
          <w:szCs w:val="24"/>
        </w:rPr>
        <w:t> </w:t>
      </w:r>
      <w:r>
        <w:rPr>
          <w:rFonts w:ascii="宋体" w:hAnsi="宋体" w:cs="宋体" w:eastAsia="宋体" w:hint="default"/>
          <w:sz w:val="24"/>
          <w:szCs w:val="24"/>
        </w:rPr>
        <w:t>股股票，其中，2009</w:t>
      </w:r>
      <w:r>
        <w:rPr>
          <w:rFonts w:ascii="宋体" w:hAnsi="宋体" w:cs="宋体" w:eastAsia="宋体" w:hint="default"/>
          <w:spacing w:val="-60"/>
          <w:sz w:val="24"/>
          <w:szCs w:val="24"/>
        </w:rPr>
        <w:t> </w:t>
      </w:r>
      <w:r>
        <w:rPr>
          <w:rFonts w:ascii="宋体" w:hAnsi="宋体" w:cs="宋体" w:eastAsia="宋体" w:hint="default"/>
          <w:sz w:val="24"/>
          <w:szCs w:val="24"/>
        </w:rPr>
        <w:t>年度股票</w:t>
      </w:r>
      <w:r>
        <w:rPr>
          <w:rFonts w:ascii="宋体" w:hAnsi="宋体" w:cs="宋体" w:eastAsia="宋体" w:hint="default"/>
          <w:spacing w:val="-60"/>
          <w:sz w:val="24"/>
          <w:szCs w:val="24"/>
        </w:rPr>
        <w:t> </w:t>
      </w:r>
      <w:r>
        <w:rPr>
          <w:rFonts w:ascii="宋体" w:hAnsi="宋体" w:cs="宋体" w:eastAsia="宋体" w:hint="default"/>
          <w:sz w:val="24"/>
          <w:szCs w:val="24"/>
        </w:rPr>
        <w:t>5,840,640</w:t>
      </w:r>
      <w:r>
        <w:rPr>
          <w:rFonts w:ascii="宋体" w:hAnsi="宋体" w:cs="宋体" w:eastAsia="宋体" w:hint="default"/>
          <w:spacing w:val="-60"/>
          <w:sz w:val="24"/>
          <w:szCs w:val="24"/>
        </w:rPr>
        <w:t> </w:t>
      </w:r>
      <w:r>
        <w:rPr>
          <w:rFonts w:ascii="宋体" w:hAnsi="宋体" w:cs="宋体" w:eastAsia="宋体" w:hint="default"/>
          <w:sz w:val="24"/>
          <w:szCs w:val="24"/>
        </w:rPr>
        <w:t>股，预留股份</w:t>
      </w:r>
    </w:p>
    <w:p>
      <w:pPr>
        <w:spacing w:before="18"/>
        <w:ind w:left="140" w:right="140" w:firstLine="0"/>
        <w:jc w:val="left"/>
        <w:rPr>
          <w:rFonts w:ascii="宋体" w:hAnsi="宋体" w:cs="宋体" w:eastAsia="宋体" w:hint="default"/>
          <w:sz w:val="24"/>
          <w:szCs w:val="24"/>
        </w:rPr>
      </w:pPr>
      <w:r>
        <w:rPr>
          <w:rFonts w:ascii="宋体" w:hAnsi="宋体" w:cs="宋体" w:eastAsia="宋体" w:hint="default"/>
          <w:sz w:val="24"/>
          <w:szCs w:val="24"/>
        </w:rPr>
        <w:t>16,481,920</w:t>
      </w:r>
      <w:r>
        <w:rPr>
          <w:rFonts w:ascii="宋体" w:hAnsi="宋体" w:cs="宋体" w:eastAsia="宋体" w:hint="default"/>
          <w:spacing w:val="-60"/>
          <w:sz w:val="24"/>
          <w:szCs w:val="24"/>
        </w:rPr>
        <w:t> </w:t>
      </w:r>
      <w:r>
        <w:rPr>
          <w:rFonts w:ascii="宋体" w:hAnsi="宋体" w:cs="宋体" w:eastAsia="宋体" w:hint="default"/>
          <w:sz w:val="24"/>
          <w:szCs w:val="24"/>
        </w:rPr>
        <w:t>股。截至</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11</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24</w:t>
      </w:r>
      <w:r>
        <w:rPr>
          <w:rFonts w:ascii="宋体" w:hAnsi="宋体" w:cs="宋体" w:eastAsia="宋体" w:hint="default"/>
          <w:spacing w:val="-60"/>
          <w:sz w:val="24"/>
          <w:szCs w:val="24"/>
        </w:rPr>
        <w:t> </w:t>
      </w:r>
      <w:r>
        <w:rPr>
          <w:rFonts w:ascii="宋体" w:hAnsi="宋体" w:cs="宋体" w:eastAsia="宋体" w:hint="default"/>
          <w:sz w:val="24"/>
          <w:szCs w:val="24"/>
        </w:rPr>
        <w:t>日，实际缴款激励对象</w:t>
      </w:r>
      <w:r>
        <w:rPr>
          <w:rFonts w:ascii="宋体" w:hAnsi="宋体" w:cs="宋体" w:eastAsia="宋体" w:hint="default"/>
          <w:spacing w:val="-60"/>
          <w:sz w:val="24"/>
          <w:szCs w:val="24"/>
        </w:rPr>
        <w:t> </w:t>
      </w:r>
      <w:r>
        <w:rPr>
          <w:rFonts w:ascii="宋体" w:hAnsi="宋体" w:cs="宋体" w:eastAsia="宋体" w:hint="default"/>
          <w:sz w:val="24"/>
          <w:szCs w:val="24"/>
        </w:rPr>
        <w:t>1524</w:t>
      </w:r>
      <w:r>
        <w:rPr>
          <w:rFonts w:ascii="宋体" w:hAnsi="宋体" w:cs="宋体" w:eastAsia="宋体" w:hint="default"/>
          <w:spacing w:val="-60"/>
          <w:sz w:val="24"/>
          <w:szCs w:val="24"/>
        </w:rPr>
        <w:t> </w:t>
      </w:r>
      <w:r>
        <w:rPr>
          <w:rFonts w:ascii="宋体" w:hAnsi="宋体" w:cs="宋体" w:eastAsia="宋体" w:hint="default"/>
          <w:sz w:val="24"/>
          <w:szCs w:val="24"/>
        </w:rPr>
        <w:t>人，实际授出股权激</w:t>
      </w:r>
    </w:p>
    <w:p>
      <w:pPr>
        <w:spacing w:before="74"/>
        <w:ind w:left="140" w:right="0" w:firstLine="0"/>
        <w:jc w:val="left"/>
        <w:rPr>
          <w:rFonts w:ascii="宋体" w:hAnsi="宋体" w:cs="宋体" w:eastAsia="宋体" w:hint="default"/>
          <w:sz w:val="24"/>
          <w:szCs w:val="24"/>
        </w:rPr>
      </w:pPr>
      <w:r>
        <w:rPr>
          <w:rFonts w:ascii="宋体" w:hAnsi="宋体" w:cs="宋体" w:eastAsia="宋体" w:hint="default"/>
          <w:sz w:val="24"/>
          <w:szCs w:val="24"/>
        </w:rPr>
        <w:t>励股份</w:t>
      </w:r>
      <w:r>
        <w:rPr>
          <w:rFonts w:ascii="宋体" w:hAnsi="宋体" w:cs="宋体" w:eastAsia="宋体" w:hint="default"/>
          <w:spacing w:val="-69"/>
          <w:sz w:val="24"/>
          <w:szCs w:val="24"/>
        </w:rPr>
        <w:t> </w:t>
      </w:r>
      <w:r>
        <w:rPr>
          <w:rFonts w:ascii="宋体" w:hAnsi="宋体" w:cs="宋体" w:eastAsia="宋体" w:hint="default"/>
          <w:sz w:val="24"/>
          <w:szCs w:val="24"/>
        </w:rPr>
        <w:t>21,196,982</w:t>
      </w:r>
      <w:r>
        <w:rPr>
          <w:rFonts w:ascii="宋体" w:hAnsi="宋体" w:cs="宋体" w:eastAsia="宋体" w:hint="default"/>
          <w:spacing w:val="-69"/>
          <w:sz w:val="24"/>
          <w:szCs w:val="24"/>
        </w:rPr>
        <w:t> </w:t>
      </w:r>
      <w:r>
        <w:rPr>
          <w:rFonts w:ascii="宋体" w:hAnsi="宋体" w:cs="宋体" w:eastAsia="宋体" w:hint="default"/>
          <w:sz w:val="24"/>
          <w:szCs w:val="24"/>
        </w:rPr>
        <w:t>股</w:t>
      </w:r>
      <w:r>
        <w:rPr>
          <w:rFonts w:ascii="宋体" w:hAnsi="宋体" w:cs="宋体" w:eastAsia="宋体" w:hint="default"/>
          <w:spacing w:val="-120"/>
          <w:sz w:val="24"/>
          <w:szCs w:val="24"/>
        </w:rPr>
        <w:t>，</w:t>
      </w:r>
      <w:r>
        <w:rPr>
          <w:rFonts w:ascii="宋体" w:hAnsi="宋体" w:cs="宋体" w:eastAsia="宋体" w:hint="default"/>
          <w:sz w:val="24"/>
          <w:szCs w:val="24"/>
        </w:rPr>
        <w:t>其中</w:t>
      </w:r>
      <w:r>
        <w:rPr>
          <w:rFonts w:ascii="宋体" w:hAnsi="宋体" w:cs="宋体" w:eastAsia="宋体" w:hint="default"/>
          <w:spacing w:val="-120"/>
          <w:sz w:val="24"/>
          <w:szCs w:val="24"/>
        </w:rPr>
        <w:t>，</w:t>
      </w:r>
      <w:r>
        <w:rPr>
          <w:rFonts w:ascii="宋体" w:hAnsi="宋体" w:cs="宋体" w:eastAsia="宋体" w:hint="default"/>
          <w:sz w:val="24"/>
          <w:szCs w:val="24"/>
        </w:rPr>
        <w:t>授出</w:t>
      </w:r>
      <w:r>
        <w:rPr>
          <w:rFonts w:ascii="宋体" w:hAnsi="宋体" w:cs="宋体" w:eastAsia="宋体" w:hint="default"/>
          <w:spacing w:val="-69"/>
          <w:sz w:val="24"/>
          <w:szCs w:val="24"/>
        </w:rPr>
        <w:t> </w:t>
      </w:r>
      <w:r>
        <w:rPr>
          <w:rFonts w:ascii="宋体" w:hAnsi="宋体" w:cs="宋体" w:eastAsia="宋体" w:hint="default"/>
          <w:sz w:val="24"/>
          <w:szCs w:val="24"/>
        </w:rPr>
        <w:t>2009</w:t>
      </w:r>
      <w:r>
        <w:rPr>
          <w:rFonts w:ascii="宋体" w:hAnsi="宋体" w:cs="宋体" w:eastAsia="宋体" w:hint="default"/>
          <w:spacing w:val="-69"/>
          <w:sz w:val="24"/>
          <w:szCs w:val="24"/>
        </w:rPr>
        <w:t> </w:t>
      </w:r>
      <w:r>
        <w:rPr>
          <w:rFonts w:ascii="宋体" w:hAnsi="宋体" w:cs="宋体" w:eastAsia="宋体" w:hint="default"/>
          <w:sz w:val="24"/>
          <w:szCs w:val="24"/>
        </w:rPr>
        <w:t>年度股票</w:t>
      </w:r>
      <w:r>
        <w:rPr>
          <w:rFonts w:ascii="宋体" w:hAnsi="宋体" w:cs="宋体" w:eastAsia="宋体" w:hint="default"/>
          <w:spacing w:val="-69"/>
          <w:sz w:val="24"/>
          <w:szCs w:val="24"/>
        </w:rPr>
        <w:t> </w:t>
      </w:r>
      <w:r>
        <w:rPr>
          <w:rFonts w:ascii="宋体" w:hAnsi="宋体" w:cs="宋体" w:eastAsia="宋体" w:hint="default"/>
          <w:sz w:val="24"/>
          <w:szCs w:val="24"/>
        </w:rPr>
        <w:t>5,840,640</w:t>
      </w:r>
      <w:r>
        <w:rPr>
          <w:rFonts w:ascii="宋体" w:hAnsi="宋体" w:cs="宋体" w:eastAsia="宋体" w:hint="default"/>
          <w:spacing w:val="-69"/>
          <w:sz w:val="24"/>
          <w:szCs w:val="24"/>
        </w:rPr>
        <w:t> </w:t>
      </w:r>
      <w:r>
        <w:rPr>
          <w:rFonts w:ascii="宋体" w:hAnsi="宋体" w:cs="宋体" w:eastAsia="宋体" w:hint="default"/>
          <w:sz w:val="24"/>
          <w:szCs w:val="24"/>
        </w:rPr>
        <w:t>股</w:t>
      </w:r>
      <w:r>
        <w:rPr>
          <w:rFonts w:ascii="宋体" w:hAnsi="宋体" w:cs="宋体" w:eastAsia="宋体" w:hint="default"/>
          <w:spacing w:val="-120"/>
          <w:sz w:val="24"/>
          <w:szCs w:val="24"/>
        </w:rPr>
        <w:t>，</w:t>
      </w:r>
      <w:r>
        <w:rPr>
          <w:rFonts w:ascii="宋体" w:hAnsi="宋体" w:cs="宋体" w:eastAsia="宋体" w:hint="default"/>
          <w:sz w:val="24"/>
          <w:szCs w:val="24"/>
        </w:rPr>
        <w:t>授出预留股份</w:t>
      </w:r>
      <w:r>
        <w:rPr>
          <w:rFonts w:ascii="宋体" w:hAnsi="宋体" w:cs="宋体" w:eastAsia="宋体" w:hint="default"/>
          <w:spacing w:val="-69"/>
          <w:sz w:val="24"/>
          <w:szCs w:val="24"/>
        </w:rPr>
        <w:t> </w:t>
      </w:r>
      <w:r>
        <w:rPr>
          <w:rFonts w:ascii="宋体" w:hAnsi="宋体" w:cs="宋体" w:eastAsia="宋体" w:hint="default"/>
          <w:sz w:val="24"/>
          <w:szCs w:val="24"/>
        </w:rPr>
        <w:t>15,356,342</w:t>
      </w:r>
    </w:p>
    <w:p>
      <w:pPr>
        <w:spacing w:line="388" w:lineRule="auto" w:before="74"/>
        <w:ind w:left="620" w:right="124" w:hanging="480"/>
        <w:jc w:val="left"/>
        <w:rPr>
          <w:rFonts w:ascii="宋体" w:hAnsi="宋体" w:cs="宋体" w:eastAsia="宋体" w:hint="default"/>
          <w:sz w:val="24"/>
          <w:szCs w:val="24"/>
        </w:rPr>
      </w:pPr>
      <w:r>
        <w:rPr>
          <w:rFonts w:ascii="宋体" w:hAnsi="宋体" w:cs="宋体" w:eastAsia="宋体" w:hint="default"/>
          <w:sz w:val="24"/>
          <w:szCs w:val="24"/>
        </w:rPr>
        <w:t>股。截至</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17</w:t>
      </w:r>
      <w:r>
        <w:rPr>
          <w:rFonts w:ascii="宋体" w:hAnsi="宋体" w:cs="宋体" w:eastAsia="宋体" w:hint="default"/>
          <w:spacing w:val="-60"/>
          <w:sz w:val="24"/>
          <w:szCs w:val="24"/>
        </w:rPr>
        <w:t> </w:t>
      </w:r>
      <w:r>
        <w:rPr>
          <w:rFonts w:ascii="宋体" w:hAnsi="宋体" w:cs="宋体" w:eastAsia="宋体" w:hint="default"/>
          <w:sz w:val="24"/>
          <w:szCs w:val="24"/>
        </w:rPr>
        <w:t>日，公司已完成相关股份的登记事宜。</w:t>
      </w:r>
      <w:r>
        <w:rPr>
          <w:rFonts w:ascii="宋体" w:hAnsi="宋体" w:cs="宋体" w:eastAsia="宋体" w:hint="default"/>
          <w:sz w:val="24"/>
          <w:szCs w:val="24"/>
        </w:rPr>
        <w:t> 3、董事会下设的审计委员会相关工作制度的建立健全情况、主要内容以及履职情况</w:t>
      </w:r>
    </w:p>
    <w:p>
      <w:pPr>
        <w:spacing w:line="240" w:lineRule="exact" w:before="0"/>
        <w:ind w:left="140" w:right="140" w:firstLine="0"/>
        <w:jc w:val="left"/>
        <w:rPr>
          <w:rFonts w:ascii="宋体" w:hAnsi="宋体" w:cs="宋体" w:eastAsia="宋体" w:hint="default"/>
          <w:sz w:val="24"/>
          <w:szCs w:val="24"/>
        </w:rPr>
      </w:pPr>
      <w:r>
        <w:rPr>
          <w:rFonts w:ascii="宋体" w:hAnsi="宋体" w:cs="宋体" w:eastAsia="宋体" w:hint="default"/>
          <w:sz w:val="24"/>
          <w:szCs w:val="24"/>
        </w:rPr>
        <w:t>汇总报告</w:t>
      </w:r>
    </w:p>
    <w:p>
      <w:pPr>
        <w:spacing w:line="297" w:lineRule="auto" w:before="196"/>
        <w:ind w:left="140" w:right="139" w:firstLine="480"/>
        <w:jc w:val="both"/>
        <w:rPr>
          <w:rFonts w:ascii="宋体" w:hAnsi="宋体" w:cs="宋体" w:eastAsia="宋体" w:hint="default"/>
          <w:sz w:val="24"/>
          <w:szCs w:val="24"/>
        </w:rPr>
      </w:pPr>
      <w:r>
        <w:rPr>
          <w:rFonts w:ascii="宋体" w:hAnsi="宋体" w:cs="宋体" w:eastAsia="宋体" w:hint="default"/>
          <w:sz w:val="24"/>
          <w:szCs w:val="24"/>
        </w:rPr>
        <w:t>报告期内，公司董事会审计委员会审核了公司</w:t>
      </w:r>
      <w:r>
        <w:rPr>
          <w:rFonts w:ascii="宋体" w:hAnsi="宋体" w:cs="宋体" w:eastAsia="宋体" w:hint="default"/>
          <w:spacing w:val="-72"/>
          <w:sz w:val="24"/>
          <w:szCs w:val="24"/>
        </w:rPr>
        <w:t> </w:t>
      </w:r>
      <w:r>
        <w:rPr>
          <w:rFonts w:ascii="宋体" w:hAnsi="宋体" w:cs="宋体" w:eastAsia="宋体" w:hint="default"/>
          <w:sz w:val="24"/>
          <w:szCs w:val="24"/>
        </w:rPr>
        <w:t>2008</w:t>
      </w:r>
      <w:r>
        <w:rPr>
          <w:rFonts w:ascii="宋体" w:hAnsi="宋体" w:cs="宋体" w:eastAsia="宋体" w:hint="default"/>
          <w:spacing w:val="-72"/>
          <w:sz w:val="24"/>
          <w:szCs w:val="24"/>
        </w:rPr>
        <w:t> </w:t>
      </w:r>
      <w:r>
        <w:rPr>
          <w:rFonts w:ascii="宋体" w:hAnsi="宋体" w:cs="宋体" w:eastAsia="宋体" w:hint="default"/>
          <w:spacing w:val="-3"/>
          <w:sz w:val="24"/>
          <w:szCs w:val="24"/>
        </w:rPr>
        <w:t>年年度、2009</w:t>
      </w:r>
      <w:r>
        <w:rPr>
          <w:rFonts w:ascii="宋体" w:hAnsi="宋体" w:cs="宋体" w:eastAsia="宋体" w:hint="default"/>
          <w:spacing w:val="-72"/>
          <w:sz w:val="24"/>
          <w:szCs w:val="24"/>
        </w:rPr>
        <w:t> </w:t>
      </w:r>
      <w:r>
        <w:rPr>
          <w:rFonts w:ascii="宋体" w:hAnsi="宋体" w:cs="宋体" w:eastAsia="宋体" w:hint="default"/>
          <w:sz w:val="24"/>
          <w:szCs w:val="24"/>
        </w:rPr>
        <w:t>年第一季度、2009</w:t>
      </w:r>
      <w:r>
        <w:rPr>
          <w:rFonts w:ascii="宋体" w:hAnsi="宋体" w:cs="宋体" w:eastAsia="宋体" w:hint="default"/>
          <w:sz w:val="24"/>
          <w:szCs w:val="24"/>
        </w:rPr>
        <w:t> 年半年度和</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年第三季度报告，认为上述报告内容和格式符合中国证监会和上海证券</w:t>
      </w:r>
      <w:r>
        <w:rPr>
          <w:rFonts w:ascii="宋体" w:hAnsi="宋体" w:cs="宋体" w:eastAsia="宋体" w:hint="default"/>
          <w:sz w:val="24"/>
          <w:szCs w:val="24"/>
        </w:rPr>
        <w:t> </w:t>
      </w:r>
      <w:r>
        <w:rPr>
          <w:rFonts w:ascii="宋体" w:hAnsi="宋体" w:cs="宋体" w:eastAsia="宋体" w:hint="default"/>
          <w:spacing w:val="-4"/>
          <w:sz w:val="24"/>
          <w:szCs w:val="24"/>
        </w:rPr>
        <w:t>交易所的各项规定，所包含的信息从各个方面真实地反映出公司的财务状况及经营成果和</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现金流量，并提请董事会对相关报告进行审议。</w:t>
      </w:r>
    </w:p>
    <w:p>
      <w:pPr>
        <w:spacing w:after="0" w:line="297" w:lineRule="auto"/>
        <w:jc w:val="both"/>
        <w:rPr>
          <w:rFonts w:ascii="宋体" w:hAnsi="宋体" w:cs="宋体" w:eastAsia="宋体" w:hint="default"/>
          <w:sz w:val="24"/>
          <w:szCs w:val="24"/>
        </w:rPr>
        <w:sectPr>
          <w:pgSz w:w="11910" w:h="16840"/>
          <w:pgMar w:header="720" w:footer="727" w:top="1080" w:bottom="920" w:left="1220" w:right="1160"/>
        </w:sectPr>
      </w:pPr>
    </w:p>
    <w:p>
      <w:pPr>
        <w:spacing w:line="240" w:lineRule="auto" w:before="12"/>
        <w:rPr>
          <w:rFonts w:ascii="宋体" w:hAnsi="宋体" w:cs="宋体" w:eastAsia="宋体" w:hint="default"/>
          <w:sz w:val="21"/>
          <w:szCs w:val="21"/>
        </w:rPr>
      </w:pPr>
    </w:p>
    <w:p>
      <w:pPr>
        <w:spacing w:line="297" w:lineRule="auto" w:before="26"/>
        <w:ind w:left="140" w:right="84" w:firstLine="480"/>
        <w:jc w:val="left"/>
        <w:rPr>
          <w:rFonts w:ascii="宋体" w:hAnsi="宋体" w:cs="宋体" w:eastAsia="宋体" w:hint="default"/>
          <w:sz w:val="24"/>
          <w:szCs w:val="24"/>
        </w:rPr>
      </w:pPr>
      <w:r>
        <w:rPr>
          <w:rFonts w:ascii="宋体" w:hAnsi="宋体" w:cs="宋体" w:eastAsia="宋体" w:hint="default"/>
          <w:spacing w:val="-4"/>
          <w:sz w:val="24"/>
          <w:szCs w:val="24"/>
        </w:rPr>
        <w:t>根据《用友软件股份有限公司关于独立董事及董事会审计委员会在年度报告编制工作</w:t>
      </w:r>
      <w:r>
        <w:rPr>
          <w:rFonts w:ascii="宋体" w:hAnsi="宋体" w:cs="宋体" w:eastAsia="宋体" w:hint="default"/>
          <w:sz w:val="24"/>
          <w:szCs w:val="24"/>
        </w:rPr>
        <w:t> </w:t>
      </w:r>
      <w:r>
        <w:rPr>
          <w:rFonts w:ascii="宋体" w:hAnsi="宋体" w:cs="宋体" w:eastAsia="宋体" w:hint="default"/>
          <w:spacing w:val="-4"/>
          <w:sz w:val="24"/>
          <w:szCs w:val="24"/>
        </w:rPr>
        <w:t>中的有关制度（试行）》有关规定，公司审计委员会与会计师事务所协商确定了本年度财</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z w:val="24"/>
          <w:szCs w:val="24"/>
        </w:rPr>
        <w:t>务报告审计工作的时间安排；在年审注册会计师进场前审阅了公司编制的财务会计报表， </w:t>
      </w:r>
      <w:r>
        <w:rPr>
          <w:rFonts w:ascii="宋体" w:hAnsi="宋体" w:cs="宋体" w:eastAsia="宋体" w:hint="default"/>
          <w:spacing w:val="-4"/>
          <w:sz w:val="24"/>
          <w:szCs w:val="24"/>
        </w:rPr>
        <w:t>认为该报表内容和格式符合中国证监会和上海证券交易所的各项规定；在审计过程中，审</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4"/>
          <w:sz w:val="24"/>
          <w:szCs w:val="24"/>
        </w:rPr>
        <w:t>计委员会在年报审计工作期间两次督促会计师事务所在约定时限内提交审计报告；年审注</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4"/>
          <w:sz w:val="24"/>
          <w:szCs w:val="24"/>
        </w:rPr>
        <w:t>册会计师出具初步审计意见后，审计委员会再一次审阅了公司财务会计报表，认为该报表</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4"/>
          <w:sz w:val="24"/>
          <w:szCs w:val="24"/>
        </w:rPr>
        <w:t>内容和格式符合中国证监会和上海证券交易所的各项规定。年审注册会计师出具最终审计</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5"/>
          <w:sz w:val="24"/>
          <w:szCs w:val="24"/>
        </w:rPr>
        <w:t>意见后，审计委员会对年度财务会计报表进行了表决，审计委员会全体成员保证公司</w:t>
      </w:r>
      <w:r>
        <w:rPr>
          <w:rFonts w:ascii="宋体" w:hAnsi="宋体" w:cs="宋体" w:eastAsia="宋体" w:hint="default"/>
          <w:spacing w:val="-58"/>
          <w:sz w:val="24"/>
          <w:szCs w:val="24"/>
        </w:rPr>
        <w:t> </w:t>
      </w:r>
      <w:r>
        <w:rPr>
          <w:rFonts w:ascii="宋体" w:hAnsi="宋体" w:cs="宋体" w:eastAsia="宋体" w:hint="default"/>
          <w:sz w:val="24"/>
          <w:szCs w:val="24"/>
        </w:rPr>
        <w:t>2009</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pacing w:val="-4"/>
          <w:sz w:val="24"/>
          <w:szCs w:val="24"/>
        </w:rPr>
        <w:t>年财务报告所载资料不存在任何虚假记载、误导性陈述或者重大遗漏，并对其内容的真实</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pacing w:val="-4"/>
          <w:sz w:val="24"/>
          <w:szCs w:val="24"/>
        </w:rPr>
        <w:t>性、准确性和完整性承担个别及连带责任；形成决议后提交公司董事会审核；同时，公司</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董事会审计委员会认为安永华明会计师事务所已按有关规定完成了公司</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年度的审计</w:t>
      </w:r>
    </w:p>
    <w:p>
      <w:pPr>
        <w:spacing w:line="388" w:lineRule="auto" w:before="17"/>
        <w:ind w:left="620" w:right="220" w:hanging="480"/>
        <w:jc w:val="left"/>
        <w:rPr>
          <w:rFonts w:ascii="宋体" w:hAnsi="宋体" w:cs="宋体" w:eastAsia="宋体" w:hint="default"/>
          <w:sz w:val="24"/>
          <w:szCs w:val="24"/>
        </w:rPr>
      </w:pPr>
      <w:r>
        <w:rPr>
          <w:rFonts w:ascii="宋体" w:hAnsi="宋体" w:cs="宋体" w:eastAsia="宋体" w:hint="default"/>
          <w:sz w:val="24"/>
          <w:szCs w:val="24"/>
        </w:rPr>
        <w:t>工作，提议继续聘任安永华明会计师事务所为公司</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年度财务报告审计机构。</w:t>
      </w:r>
      <w:r>
        <w:rPr>
          <w:rFonts w:ascii="宋体" w:hAnsi="宋体" w:cs="宋体" w:eastAsia="宋体" w:hint="default"/>
          <w:sz w:val="24"/>
          <w:szCs w:val="24"/>
        </w:rPr>
        <w:t> 4、董事会下设的薪酬委员会的履职情况汇总报告 </w:t>
      </w:r>
      <w:r>
        <w:rPr>
          <w:rFonts w:ascii="宋体" w:hAnsi="宋体" w:cs="宋体" w:eastAsia="宋体" w:hint="default"/>
          <w:spacing w:val="-4"/>
          <w:sz w:val="24"/>
          <w:szCs w:val="24"/>
        </w:rPr>
        <w:t>报告期内，公司董事会薪酬与考核委员会审核了公司《董事、监事和高级管理人员薪</w:t>
      </w:r>
    </w:p>
    <w:p>
      <w:pPr>
        <w:spacing w:line="240" w:lineRule="exact" w:before="0"/>
        <w:ind w:left="140" w:right="220" w:firstLine="0"/>
        <w:jc w:val="left"/>
        <w:rPr>
          <w:rFonts w:ascii="宋体" w:hAnsi="宋体" w:cs="宋体" w:eastAsia="宋体" w:hint="default"/>
          <w:sz w:val="24"/>
          <w:szCs w:val="24"/>
        </w:rPr>
      </w:pPr>
      <w:r>
        <w:rPr>
          <w:rFonts w:ascii="宋体" w:hAnsi="宋体" w:cs="宋体" w:eastAsia="宋体" w:hint="default"/>
          <w:sz w:val="24"/>
          <w:szCs w:val="24"/>
        </w:rPr>
        <w:t>酬制度》、公司《2009</w:t>
      </w:r>
      <w:r>
        <w:rPr>
          <w:rFonts w:ascii="宋体" w:hAnsi="宋体" w:cs="宋体" w:eastAsia="宋体" w:hint="default"/>
          <w:spacing w:val="-60"/>
          <w:sz w:val="24"/>
          <w:szCs w:val="24"/>
        </w:rPr>
        <w:t> </w:t>
      </w:r>
      <w:r>
        <w:rPr>
          <w:rFonts w:ascii="宋体" w:hAnsi="宋体" w:cs="宋体" w:eastAsia="宋体" w:hint="default"/>
          <w:sz w:val="24"/>
          <w:szCs w:val="24"/>
        </w:rPr>
        <w:t>年度薪资福利制度》。</w:t>
      </w:r>
    </w:p>
    <w:p>
      <w:pPr>
        <w:spacing w:line="297" w:lineRule="auto" w:before="194"/>
        <w:ind w:left="140" w:right="84" w:firstLine="480"/>
        <w:jc w:val="left"/>
        <w:rPr>
          <w:rFonts w:ascii="宋体" w:hAnsi="宋体" w:cs="宋体" w:eastAsia="宋体" w:hint="default"/>
          <w:sz w:val="24"/>
          <w:szCs w:val="24"/>
        </w:rPr>
      </w:pPr>
      <w:r>
        <w:rPr>
          <w:rFonts w:ascii="宋体" w:hAnsi="宋体" w:cs="宋体" w:eastAsia="宋体" w:hint="default"/>
          <w:sz w:val="24"/>
          <w:szCs w:val="24"/>
        </w:rPr>
        <w:t>报告期内，公司董事会薪酬与考核委员会根据《上市公司股权激励管理办法(试行)》 </w:t>
      </w:r>
      <w:r>
        <w:rPr>
          <w:rFonts w:ascii="宋体" w:hAnsi="宋体" w:cs="宋体" w:eastAsia="宋体" w:hint="default"/>
          <w:spacing w:val="-4"/>
          <w:sz w:val="24"/>
          <w:szCs w:val="24"/>
        </w:rPr>
        <w:t>(以下简称《管理办法》)、《用友软件股份有限公司股权激励计划（修订稿）》（以下简</w:t>
      </w:r>
      <w:r>
        <w:rPr>
          <w:rFonts w:ascii="宋体" w:hAnsi="宋体" w:cs="宋体" w:eastAsia="宋体" w:hint="default"/>
          <w:spacing w:val="-113"/>
          <w:sz w:val="24"/>
          <w:szCs w:val="24"/>
        </w:rPr>
        <w:t> </w:t>
      </w:r>
      <w:r>
        <w:rPr>
          <w:rFonts w:ascii="宋体" w:hAnsi="宋体" w:cs="宋体" w:eastAsia="宋体" w:hint="default"/>
          <w:spacing w:val="-113"/>
          <w:sz w:val="24"/>
          <w:szCs w:val="24"/>
        </w:rPr>
      </w:r>
      <w:r>
        <w:rPr>
          <w:rFonts w:ascii="宋体" w:hAnsi="宋体" w:cs="宋体" w:eastAsia="宋体" w:hint="default"/>
          <w:sz w:val="24"/>
          <w:szCs w:val="24"/>
        </w:rPr>
        <w:t>称《股权激励计划》）、《用友软件股份有限公司股权激励计划实施考核办法》等法律、</w:t>
      </w:r>
      <w:r>
        <w:rPr>
          <w:rFonts w:ascii="宋体" w:hAnsi="宋体" w:cs="宋体" w:eastAsia="宋体" w:hint="default"/>
          <w:sz w:val="24"/>
          <w:szCs w:val="24"/>
        </w:rPr>
        <w:t> 法规和规范性文件的有关规定，对公司股权激励计划授予对象实施了考核，认为：</w:t>
      </w:r>
    </w:p>
    <w:p>
      <w:pPr>
        <w:spacing w:line="297" w:lineRule="auto" w:before="137"/>
        <w:ind w:left="140" w:right="217" w:firstLine="480"/>
        <w:jc w:val="both"/>
        <w:rPr>
          <w:rFonts w:ascii="宋体" w:hAnsi="宋体" w:cs="宋体" w:eastAsia="宋体" w:hint="default"/>
          <w:sz w:val="24"/>
          <w:szCs w:val="24"/>
        </w:rPr>
      </w:pPr>
      <w:r>
        <w:rPr>
          <w:rFonts w:ascii="宋体" w:hAnsi="宋体" w:cs="宋体" w:eastAsia="宋体" w:hint="default"/>
          <w:sz w:val="24"/>
          <w:szCs w:val="24"/>
        </w:rPr>
        <w:t>公司股权激励计划</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年度授予对象符合《股权激励计划》有关资格的规定，主体</w:t>
      </w:r>
      <w:r>
        <w:rPr>
          <w:rFonts w:ascii="宋体" w:hAnsi="宋体" w:cs="宋体" w:eastAsia="宋体" w:hint="default"/>
          <w:sz w:val="24"/>
          <w:szCs w:val="24"/>
        </w:rPr>
        <w:t> </w:t>
      </w:r>
      <w:r>
        <w:rPr>
          <w:rFonts w:ascii="宋体" w:hAnsi="宋体" w:cs="宋体" w:eastAsia="宋体" w:hint="default"/>
          <w:spacing w:val="-4"/>
          <w:sz w:val="24"/>
          <w:szCs w:val="24"/>
        </w:rPr>
        <w:t>资格合法、有效，不存在《管理办法》和《股权激励计划》规定的禁止获授股权激励的情</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4"/>
          <w:sz w:val="24"/>
          <w:szCs w:val="24"/>
        </w:rPr>
        <w:t>形，且绩效考核合格；公司股权激励计划预留股份授予对象符合《股权激励计划》有关资</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pacing w:val="-4"/>
          <w:sz w:val="24"/>
          <w:szCs w:val="24"/>
        </w:rPr>
        <w:t>格的规定，主体资格合法、有效，不存在《管理办法》和《股权激励计划》规定的禁止获</w:t>
      </w:r>
      <w:r>
        <w:rPr>
          <w:rFonts w:ascii="宋体" w:hAnsi="宋体" w:cs="宋体" w:eastAsia="宋体" w:hint="default"/>
          <w:spacing w:val="-83"/>
          <w:sz w:val="24"/>
          <w:szCs w:val="24"/>
        </w:rPr>
        <w:t> </w:t>
      </w:r>
      <w:r>
        <w:rPr>
          <w:rFonts w:ascii="宋体" w:hAnsi="宋体" w:cs="宋体" w:eastAsia="宋体" w:hint="default"/>
          <w:spacing w:val="-83"/>
          <w:sz w:val="24"/>
          <w:szCs w:val="24"/>
        </w:rPr>
      </w:r>
      <w:r>
        <w:rPr>
          <w:rFonts w:ascii="宋体" w:hAnsi="宋体" w:cs="宋体" w:eastAsia="宋体" w:hint="default"/>
          <w:sz w:val="24"/>
          <w:szCs w:val="24"/>
        </w:rPr>
        <w:t>授股权激励的情形，且绩效考核合格。</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4"/>
          <w:szCs w:val="34"/>
        </w:rPr>
      </w:pPr>
    </w:p>
    <w:p>
      <w:pPr>
        <w:spacing w:before="0"/>
        <w:ind w:left="540" w:right="220" w:firstLine="0"/>
        <w:jc w:val="left"/>
        <w:rPr>
          <w:rFonts w:ascii="宋体" w:hAnsi="宋体" w:cs="宋体" w:eastAsia="宋体" w:hint="default"/>
          <w:sz w:val="24"/>
          <w:szCs w:val="24"/>
        </w:rPr>
      </w:pPr>
      <w:bookmarkStart w:name="_TOC_250011" w:id="19"/>
      <w:r>
        <w:rPr>
          <w:rFonts w:ascii="宋体" w:hAnsi="宋体" w:cs="宋体" w:eastAsia="宋体" w:hint="default"/>
          <w:b/>
          <w:bCs/>
          <w:sz w:val="24"/>
          <w:szCs w:val="24"/>
        </w:rPr>
        <w:t>(六)</w:t>
      </w:r>
      <w:r>
        <w:rPr>
          <w:rFonts w:ascii="宋体" w:hAnsi="宋体" w:cs="宋体" w:eastAsia="宋体" w:hint="default"/>
          <w:b/>
          <w:bCs/>
          <w:spacing w:val="1"/>
          <w:sz w:val="24"/>
          <w:szCs w:val="24"/>
        </w:rPr>
        <w:t> </w:t>
      </w:r>
      <w:r>
        <w:rPr>
          <w:rFonts w:ascii="宋体" w:hAnsi="宋体" w:cs="宋体" w:eastAsia="宋体" w:hint="default"/>
          <w:b/>
          <w:bCs/>
          <w:sz w:val="24"/>
          <w:szCs w:val="24"/>
        </w:rPr>
        <w:t>本次利润分配议案及资本公积转增股本议案</w:t>
      </w:r>
      <w:bookmarkEnd w:id="19"/>
      <w:r>
        <w:rPr>
          <w:rFonts w:ascii="宋体" w:hAnsi="宋体" w:cs="宋体" w:eastAsia="宋体" w:hint="default"/>
          <w:sz w:val="24"/>
          <w:szCs w:val="24"/>
        </w:rPr>
      </w:r>
    </w:p>
    <w:p>
      <w:pPr>
        <w:spacing w:before="118"/>
        <w:ind w:left="620" w:right="83" w:firstLine="0"/>
        <w:jc w:val="left"/>
        <w:rPr>
          <w:rFonts w:ascii="宋体" w:hAnsi="宋体" w:cs="宋体" w:eastAsia="宋体" w:hint="default"/>
          <w:sz w:val="24"/>
          <w:szCs w:val="24"/>
        </w:rPr>
      </w:pPr>
      <w:r>
        <w:rPr>
          <w:rFonts w:ascii="宋体" w:hAnsi="宋体" w:cs="宋体" w:eastAsia="宋体" w:hint="default"/>
          <w:spacing w:val="-1"/>
          <w:sz w:val="24"/>
          <w:szCs w:val="24"/>
        </w:rPr>
        <w:t>公司</w:t>
      </w:r>
      <w:r>
        <w:rPr>
          <w:rFonts w:ascii="宋体" w:hAnsi="宋体" w:cs="宋体" w:eastAsia="宋体" w:hint="default"/>
          <w:sz w:val="24"/>
          <w:szCs w:val="24"/>
        </w:rPr>
        <w:t>于</w:t>
      </w:r>
      <w:r>
        <w:rPr>
          <w:rFonts w:ascii="宋体" w:hAnsi="宋体" w:cs="宋体" w:eastAsia="宋体" w:hint="default"/>
          <w:spacing w:val="-80"/>
          <w:sz w:val="24"/>
          <w:szCs w:val="24"/>
        </w:rPr>
        <w:t> </w:t>
      </w:r>
      <w:r>
        <w:rPr>
          <w:rFonts w:ascii="宋体" w:hAnsi="宋体" w:cs="宋体" w:eastAsia="宋体" w:hint="default"/>
          <w:spacing w:val="-1"/>
          <w:sz w:val="24"/>
          <w:szCs w:val="24"/>
        </w:rPr>
        <w:t>201</w:t>
      </w:r>
      <w:r>
        <w:rPr>
          <w:rFonts w:ascii="宋体" w:hAnsi="宋体" w:cs="宋体" w:eastAsia="宋体" w:hint="default"/>
          <w:sz w:val="24"/>
          <w:szCs w:val="24"/>
        </w:rPr>
        <w:t>0</w:t>
      </w:r>
      <w:r>
        <w:rPr>
          <w:rFonts w:ascii="宋体" w:hAnsi="宋体" w:cs="宋体" w:eastAsia="宋体" w:hint="default"/>
          <w:spacing w:val="-80"/>
          <w:sz w:val="24"/>
          <w:szCs w:val="24"/>
        </w:rPr>
        <w:t> </w:t>
      </w:r>
      <w:r>
        <w:rPr>
          <w:rFonts w:ascii="宋体" w:hAnsi="宋体" w:cs="宋体" w:eastAsia="宋体" w:hint="default"/>
          <w:sz w:val="24"/>
          <w:szCs w:val="24"/>
        </w:rPr>
        <w:t>年</w:t>
      </w:r>
      <w:r>
        <w:rPr>
          <w:rFonts w:ascii="宋体" w:hAnsi="宋体" w:cs="宋体" w:eastAsia="宋体" w:hint="default"/>
          <w:spacing w:val="-80"/>
          <w:sz w:val="24"/>
          <w:szCs w:val="24"/>
        </w:rPr>
        <w:t> </w:t>
      </w:r>
      <w:r>
        <w:rPr>
          <w:rFonts w:ascii="宋体" w:hAnsi="宋体" w:cs="宋体" w:eastAsia="宋体" w:hint="default"/>
          <w:sz w:val="24"/>
          <w:szCs w:val="24"/>
        </w:rPr>
        <w:t>3</w:t>
      </w:r>
      <w:r>
        <w:rPr>
          <w:rFonts w:ascii="宋体" w:hAnsi="宋体" w:cs="宋体" w:eastAsia="宋体" w:hint="default"/>
          <w:spacing w:val="-81"/>
          <w:sz w:val="24"/>
          <w:szCs w:val="24"/>
        </w:rPr>
        <w:t> </w:t>
      </w:r>
      <w:r>
        <w:rPr>
          <w:rFonts w:ascii="宋体" w:hAnsi="宋体" w:cs="宋体" w:eastAsia="宋体" w:hint="default"/>
          <w:sz w:val="24"/>
          <w:szCs w:val="24"/>
        </w:rPr>
        <w:t>月</w:t>
      </w:r>
      <w:r>
        <w:rPr>
          <w:rFonts w:ascii="宋体" w:hAnsi="宋体" w:cs="宋体" w:eastAsia="宋体" w:hint="default"/>
          <w:spacing w:val="-80"/>
          <w:sz w:val="24"/>
          <w:szCs w:val="24"/>
        </w:rPr>
        <w:t> </w:t>
      </w:r>
      <w:r>
        <w:rPr>
          <w:rFonts w:ascii="宋体" w:hAnsi="宋体" w:cs="宋体" w:eastAsia="宋体" w:hint="default"/>
          <w:sz w:val="24"/>
          <w:szCs w:val="24"/>
        </w:rPr>
        <w:t>20</w:t>
      </w:r>
      <w:r>
        <w:rPr>
          <w:rFonts w:ascii="宋体" w:hAnsi="宋体" w:cs="宋体" w:eastAsia="宋体" w:hint="default"/>
          <w:spacing w:val="-81"/>
          <w:sz w:val="24"/>
          <w:szCs w:val="24"/>
        </w:rPr>
        <w:t> </w:t>
      </w:r>
      <w:r>
        <w:rPr>
          <w:rFonts w:ascii="宋体" w:hAnsi="宋体" w:cs="宋体" w:eastAsia="宋体" w:hint="default"/>
          <w:spacing w:val="-1"/>
          <w:sz w:val="24"/>
          <w:szCs w:val="24"/>
        </w:rPr>
        <w:t>日召开第四届董事</w:t>
      </w:r>
      <w:r>
        <w:rPr>
          <w:rFonts w:ascii="宋体" w:hAnsi="宋体" w:cs="宋体" w:eastAsia="宋体" w:hint="default"/>
          <w:sz w:val="24"/>
          <w:szCs w:val="24"/>
        </w:rPr>
        <w:t>会</w:t>
      </w:r>
      <w:r>
        <w:rPr>
          <w:rFonts w:ascii="宋体" w:hAnsi="宋体" w:cs="宋体" w:eastAsia="宋体" w:hint="default"/>
          <w:spacing w:val="-80"/>
          <w:sz w:val="24"/>
          <w:szCs w:val="24"/>
        </w:rPr>
        <w:t> </w:t>
      </w:r>
      <w:r>
        <w:rPr>
          <w:rFonts w:ascii="宋体" w:hAnsi="宋体" w:cs="宋体" w:eastAsia="宋体" w:hint="default"/>
          <w:spacing w:val="-1"/>
          <w:sz w:val="24"/>
          <w:szCs w:val="24"/>
        </w:rPr>
        <w:t>201</w:t>
      </w:r>
      <w:r>
        <w:rPr>
          <w:rFonts w:ascii="宋体" w:hAnsi="宋体" w:cs="宋体" w:eastAsia="宋体" w:hint="default"/>
          <w:sz w:val="24"/>
          <w:szCs w:val="24"/>
        </w:rPr>
        <w:t>0</w:t>
      </w:r>
      <w:r>
        <w:rPr>
          <w:rFonts w:ascii="宋体" w:hAnsi="宋体" w:cs="宋体" w:eastAsia="宋体" w:hint="default"/>
          <w:spacing w:val="-80"/>
          <w:sz w:val="24"/>
          <w:szCs w:val="24"/>
        </w:rPr>
        <w:t> </w:t>
      </w:r>
      <w:r>
        <w:rPr>
          <w:rFonts w:ascii="宋体" w:hAnsi="宋体" w:cs="宋体" w:eastAsia="宋体" w:hint="default"/>
          <w:spacing w:val="-1"/>
          <w:sz w:val="24"/>
          <w:szCs w:val="24"/>
        </w:rPr>
        <w:t>年第三次会议</w:t>
      </w:r>
      <w:r>
        <w:rPr>
          <w:rFonts w:ascii="宋体" w:hAnsi="宋体" w:cs="宋体" w:eastAsia="宋体" w:hint="default"/>
          <w:spacing w:val="-122"/>
          <w:sz w:val="24"/>
          <w:szCs w:val="24"/>
        </w:rPr>
        <w:t>，</w:t>
      </w:r>
      <w:r>
        <w:rPr>
          <w:rFonts w:ascii="宋体" w:hAnsi="宋体" w:cs="宋体" w:eastAsia="宋体" w:hint="default"/>
          <w:sz w:val="24"/>
          <w:szCs w:val="24"/>
        </w:rPr>
        <w:t>审议通过了公司</w:t>
      </w:r>
      <w:r>
        <w:rPr>
          <w:rFonts w:ascii="宋体" w:hAnsi="宋体" w:cs="宋体" w:eastAsia="宋体" w:hint="default"/>
          <w:spacing w:val="-80"/>
          <w:sz w:val="24"/>
          <w:szCs w:val="24"/>
        </w:rPr>
        <w:t> </w:t>
      </w:r>
      <w:r>
        <w:rPr>
          <w:rFonts w:ascii="宋体" w:hAnsi="宋体" w:cs="宋体" w:eastAsia="宋体" w:hint="default"/>
          <w:sz w:val="24"/>
          <w:szCs w:val="24"/>
        </w:rPr>
        <w:t>2009</w:t>
      </w:r>
    </w:p>
    <w:p>
      <w:pPr>
        <w:spacing w:before="74"/>
        <w:ind w:left="140" w:right="83" w:firstLine="0"/>
        <w:jc w:val="left"/>
        <w:rPr>
          <w:rFonts w:ascii="宋体" w:hAnsi="宋体" w:cs="宋体" w:eastAsia="宋体" w:hint="default"/>
          <w:sz w:val="24"/>
          <w:szCs w:val="24"/>
        </w:rPr>
      </w:pPr>
      <w:r>
        <w:rPr>
          <w:rFonts w:ascii="宋体" w:hAnsi="宋体" w:cs="宋体" w:eastAsia="宋体" w:hint="default"/>
          <w:sz w:val="24"/>
          <w:szCs w:val="24"/>
        </w:rPr>
        <w:t>年度利润分配方案：经安永华明会计师事务所审计确认，截至</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59"/>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59"/>
          <w:sz w:val="24"/>
          <w:szCs w:val="24"/>
        </w:rPr>
        <w:t> </w:t>
      </w:r>
      <w:r>
        <w:rPr>
          <w:rFonts w:ascii="宋体" w:hAnsi="宋体" w:cs="宋体" w:eastAsia="宋体" w:hint="default"/>
          <w:sz w:val="24"/>
          <w:szCs w:val="24"/>
        </w:rPr>
        <w:t>日，公司</w:t>
      </w:r>
    </w:p>
    <w:p>
      <w:pPr>
        <w:spacing w:before="74"/>
        <w:ind w:left="140" w:right="83" w:firstLine="0"/>
        <w:jc w:val="left"/>
        <w:rPr>
          <w:rFonts w:ascii="宋体" w:hAnsi="宋体" w:cs="宋体" w:eastAsia="宋体" w:hint="default"/>
          <w:sz w:val="24"/>
          <w:szCs w:val="24"/>
        </w:rPr>
      </w:pPr>
      <w:r>
        <w:rPr>
          <w:rFonts w:ascii="宋体" w:hAnsi="宋体" w:cs="宋体" w:eastAsia="宋体" w:hint="default"/>
          <w:sz w:val="24"/>
          <w:szCs w:val="24"/>
        </w:rPr>
        <w:t>实现净利润</w:t>
      </w:r>
      <w:r>
        <w:rPr>
          <w:rFonts w:ascii="宋体" w:hAnsi="宋体" w:cs="宋体" w:eastAsia="宋体" w:hint="default"/>
          <w:spacing w:val="-52"/>
          <w:sz w:val="24"/>
          <w:szCs w:val="24"/>
        </w:rPr>
        <w:t> </w:t>
      </w:r>
      <w:r>
        <w:rPr>
          <w:rFonts w:ascii="宋体" w:hAnsi="宋体" w:cs="宋体" w:eastAsia="宋体" w:hint="default"/>
          <w:sz w:val="24"/>
          <w:szCs w:val="24"/>
        </w:rPr>
        <w:t>544,023,762</w:t>
      </w:r>
      <w:r>
        <w:rPr>
          <w:rFonts w:ascii="宋体" w:hAnsi="宋体" w:cs="宋体" w:eastAsia="宋体" w:hint="default"/>
          <w:spacing w:val="-52"/>
          <w:sz w:val="24"/>
          <w:szCs w:val="24"/>
        </w:rPr>
        <w:t> </w:t>
      </w:r>
      <w:r>
        <w:rPr>
          <w:rFonts w:ascii="宋体" w:hAnsi="宋体" w:cs="宋体" w:eastAsia="宋体" w:hint="default"/>
          <w:sz w:val="24"/>
          <w:szCs w:val="24"/>
        </w:rPr>
        <w:t>元。公司以</w:t>
      </w:r>
      <w:r>
        <w:rPr>
          <w:rFonts w:ascii="宋体" w:hAnsi="宋体" w:cs="宋体" w:eastAsia="宋体" w:hint="default"/>
          <w:spacing w:val="-52"/>
          <w:sz w:val="24"/>
          <w:szCs w:val="24"/>
        </w:rPr>
        <w:t> </w:t>
      </w:r>
      <w:r>
        <w:rPr>
          <w:rFonts w:ascii="宋体" w:hAnsi="宋体" w:cs="宋体" w:eastAsia="宋体" w:hint="default"/>
          <w:sz w:val="24"/>
          <w:szCs w:val="24"/>
        </w:rPr>
        <w:t>2009</w:t>
      </w:r>
      <w:r>
        <w:rPr>
          <w:rFonts w:ascii="宋体" w:hAnsi="宋体" w:cs="宋体" w:eastAsia="宋体" w:hint="default"/>
          <w:spacing w:val="-52"/>
          <w:sz w:val="24"/>
          <w:szCs w:val="24"/>
        </w:rPr>
        <w:t> </w:t>
      </w:r>
      <w:r>
        <w:rPr>
          <w:rFonts w:ascii="宋体" w:hAnsi="宋体" w:cs="宋体" w:eastAsia="宋体" w:hint="default"/>
          <w:sz w:val="24"/>
          <w:szCs w:val="24"/>
        </w:rPr>
        <w:t>年度净利润</w:t>
      </w:r>
      <w:r>
        <w:rPr>
          <w:rFonts w:ascii="宋体" w:hAnsi="宋体" w:cs="宋体" w:eastAsia="宋体" w:hint="default"/>
          <w:spacing w:val="-52"/>
          <w:sz w:val="24"/>
          <w:szCs w:val="24"/>
        </w:rPr>
        <w:t> </w:t>
      </w:r>
      <w:r>
        <w:rPr>
          <w:rFonts w:ascii="宋体" w:hAnsi="宋体" w:cs="宋体" w:eastAsia="宋体" w:hint="default"/>
          <w:sz w:val="24"/>
          <w:szCs w:val="24"/>
        </w:rPr>
        <w:t>544,023,762</w:t>
      </w:r>
      <w:r>
        <w:rPr>
          <w:rFonts w:ascii="宋体" w:hAnsi="宋体" w:cs="宋体" w:eastAsia="宋体" w:hint="default"/>
          <w:spacing w:val="-52"/>
          <w:sz w:val="24"/>
          <w:szCs w:val="24"/>
        </w:rPr>
        <w:t> </w:t>
      </w:r>
      <w:r>
        <w:rPr>
          <w:rFonts w:ascii="宋体" w:hAnsi="宋体" w:cs="宋体" w:eastAsia="宋体" w:hint="default"/>
          <w:sz w:val="24"/>
          <w:szCs w:val="24"/>
        </w:rPr>
        <w:t>元为基数，提取</w:t>
      </w:r>
      <w:r>
        <w:rPr>
          <w:rFonts w:ascii="宋体" w:hAnsi="宋体" w:cs="宋体" w:eastAsia="宋体" w:hint="default"/>
          <w:spacing w:val="-52"/>
          <w:sz w:val="24"/>
          <w:szCs w:val="24"/>
        </w:rPr>
        <w:t> </w:t>
      </w:r>
      <w:r>
        <w:rPr>
          <w:rFonts w:ascii="宋体" w:hAnsi="宋体" w:cs="宋体" w:eastAsia="宋体" w:hint="default"/>
          <w:sz w:val="24"/>
          <w:szCs w:val="24"/>
        </w:rPr>
        <w:t>10%</w:t>
      </w:r>
    </w:p>
    <w:p>
      <w:pPr>
        <w:spacing w:before="76"/>
        <w:ind w:left="140" w:right="83" w:firstLine="0"/>
        <w:jc w:val="left"/>
        <w:rPr>
          <w:rFonts w:ascii="宋体" w:hAnsi="宋体" w:cs="宋体" w:eastAsia="宋体" w:hint="default"/>
          <w:sz w:val="24"/>
          <w:szCs w:val="24"/>
        </w:rPr>
      </w:pPr>
      <w:r>
        <w:rPr>
          <w:rFonts w:ascii="宋体" w:hAnsi="宋体" w:cs="宋体" w:eastAsia="宋体" w:hint="default"/>
          <w:sz w:val="24"/>
          <w:szCs w:val="24"/>
        </w:rPr>
        <w:t>的法定盈余公积金</w:t>
      </w:r>
      <w:r>
        <w:rPr>
          <w:rFonts w:ascii="宋体" w:hAnsi="宋体" w:cs="宋体" w:eastAsia="宋体" w:hint="default"/>
          <w:spacing w:val="-60"/>
          <w:sz w:val="24"/>
          <w:szCs w:val="24"/>
        </w:rPr>
        <w:t> </w:t>
      </w:r>
      <w:r>
        <w:rPr>
          <w:rFonts w:ascii="宋体" w:hAnsi="宋体" w:cs="宋体" w:eastAsia="宋体" w:hint="default"/>
          <w:sz w:val="24"/>
          <w:szCs w:val="24"/>
        </w:rPr>
        <w:t>54,402,376</w:t>
      </w:r>
      <w:r>
        <w:rPr>
          <w:rFonts w:ascii="宋体" w:hAnsi="宋体" w:cs="宋体" w:eastAsia="宋体" w:hint="default"/>
          <w:spacing w:val="-60"/>
          <w:sz w:val="24"/>
          <w:szCs w:val="24"/>
        </w:rPr>
        <w:t> </w:t>
      </w:r>
      <w:r>
        <w:rPr>
          <w:rFonts w:ascii="宋体" w:hAnsi="宋体" w:cs="宋体" w:eastAsia="宋体" w:hint="default"/>
          <w:sz w:val="24"/>
          <w:szCs w:val="24"/>
        </w:rPr>
        <w:t>元，提取</w:t>
      </w:r>
      <w:r>
        <w:rPr>
          <w:rFonts w:ascii="宋体" w:hAnsi="宋体" w:cs="宋体" w:eastAsia="宋体" w:hint="default"/>
          <w:spacing w:val="-60"/>
          <w:sz w:val="24"/>
          <w:szCs w:val="24"/>
        </w:rPr>
        <w:t> </w:t>
      </w:r>
      <w:r>
        <w:rPr>
          <w:rFonts w:ascii="宋体" w:hAnsi="宋体" w:cs="宋体" w:eastAsia="宋体" w:hint="default"/>
          <w:sz w:val="24"/>
          <w:szCs w:val="24"/>
        </w:rPr>
        <w:t>5%任意盈余公积金</w:t>
      </w:r>
      <w:r>
        <w:rPr>
          <w:rFonts w:ascii="宋体" w:hAnsi="宋体" w:cs="宋体" w:eastAsia="宋体" w:hint="default"/>
          <w:spacing w:val="-60"/>
          <w:sz w:val="24"/>
          <w:szCs w:val="24"/>
        </w:rPr>
        <w:t> </w:t>
      </w:r>
      <w:r>
        <w:rPr>
          <w:rFonts w:ascii="宋体" w:hAnsi="宋体" w:cs="宋体" w:eastAsia="宋体" w:hint="default"/>
          <w:sz w:val="24"/>
          <w:szCs w:val="24"/>
        </w:rPr>
        <w:t>27,201,188</w:t>
      </w:r>
      <w:r>
        <w:rPr>
          <w:rFonts w:ascii="宋体" w:hAnsi="宋体" w:cs="宋体" w:eastAsia="宋体" w:hint="default"/>
          <w:spacing w:val="-60"/>
          <w:sz w:val="24"/>
          <w:szCs w:val="24"/>
        </w:rPr>
        <w:t> </w:t>
      </w:r>
      <w:r>
        <w:rPr>
          <w:rFonts w:ascii="宋体" w:hAnsi="宋体" w:cs="宋体" w:eastAsia="宋体" w:hint="default"/>
          <w:sz w:val="24"/>
          <w:szCs w:val="24"/>
        </w:rPr>
        <w:t>元，加扣除</w:t>
      </w:r>
      <w:r>
        <w:rPr>
          <w:rFonts w:ascii="宋体" w:hAnsi="宋体" w:cs="宋体" w:eastAsia="宋体" w:hint="default"/>
          <w:spacing w:val="-60"/>
          <w:sz w:val="24"/>
          <w:szCs w:val="24"/>
        </w:rPr>
        <w:t> </w:t>
      </w:r>
      <w:r>
        <w:rPr>
          <w:rFonts w:ascii="宋体" w:hAnsi="宋体" w:cs="宋体" w:eastAsia="宋体" w:hint="default"/>
          <w:sz w:val="24"/>
          <w:szCs w:val="24"/>
        </w:rPr>
        <w:t>2008</w:t>
      </w:r>
    </w:p>
    <w:p>
      <w:pPr>
        <w:spacing w:before="74"/>
        <w:ind w:left="140" w:right="83" w:firstLine="0"/>
        <w:jc w:val="left"/>
        <w:rPr>
          <w:rFonts w:ascii="宋体" w:hAnsi="宋体" w:cs="宋体" w:eastAsia="宋体" w:hint="default"/>
          <w:sz w:val="24"/>
          <w:szCs w:val="24"/>
        </w:rPr>
      </w:pPr>
      <w:r>
        <w:rPr>
          <w:rFonts w:ascii="宋体" w:hAnsi="宋体" w:cs="宋体" w:eastAsia="宋体" w:hint="default"/>
          <w:sz w:val="24"/>
          <w:szCs w:val="24"/>
        </w:rPr>
        <w:t>年度分配之现金股利的未分配利润</w:t>
      </w:r>
      <w:r>
        <w:rPr>
          <w:rFonts w:ascii="宋体" w:hAnsi="宋体" w:cs="宋体" w:eastAsia="宋体" w:hint="default"/>
          <w:spacing w:val="-60"/>
          <w:sz w:val="24"/>
          <w:szCs w:val="24"/>
        </w:rPr>
        <w:t> </w:t>
      </w:r>
      <w:r>
        <w:rPr>
          <w:rFonts w:ascii="宋体" w:hAnsi="宋体" w:cs="宋体" w:eastAsia="宋体" w:hint="default"/>
          <w:sz w:val="24"/>
          <w:szCs w:val="24"/>
        </w:rPr>
        <w:t>346,818,889</w:t>
      </w:r>
      <w:r>
        <w:rPr>
          <w:rFonts w:ascii="宋体" w:hAnsi="宋体" w:cs="宋体" w:eastAsia="宋体" w:hint="default"/>
          <w:spacing w:val="-60"/>
          <w:sz w:val="24"/>
          <w:szCs w:val="24"/>
        </w:rPr>
        <w:t> </w:t>
      </w:r>
      <w:r>
        <w:rPr>
          <w:rFonts w:ascii="宋体" w:hAnsi="宋体" w:cs="宋体" w:eastAsia="宋体" w:hint="default"/>
          <w:sz w:val="24"/>
          <w:szCs w:val="24"/>
        </w:rPr>
        <w:t>元和其他转入</w:t>
      </w:r>
      <w:r>
        <w:rPr>
          <w:rFonts w:ascii="宋体" w:hAnsi="宋体" w:cs="宋体" w:eastAsia="宋体" w:hint="default"/>
          <w:spacing w:val="-60"/>
          <w:sz w:val="24"/>
          <w:szCs w:val="24"/>
        </w:rPr>
        <w:t> </w:t>
      </w:r>
      <w:r>
        <w:rPr>
          <w:rFonts w:ascii="宋体" w:hAnsi="宋体" w:cs="宋体" w:eastAsia="宋体" w:hint="default"/>
          <w:sz w:val="24"/>
          <w:szCs w:val="24"/>
        </w:rPr>
        <w:t>904,600</w:t>
      </w:r>
      <w:r>
        <w:rPr>
          <w:rFonts w:ascii="宋体" w:hAnsi="宋体" w:cs="宋体" w:eastAsia="宋体" w:hint="default"/>
          <w:spacing w:val="-60"/>
          <w:sz w:val="24"/>
          <w:szCs w:val="24"/>
        </w:rPr>
        <w:t> </w:t>
      </w:r>
      <w:r>
        <w:rPr>
          <w:rFonts w:ascii="宋体" w:hAnsi="宋体" w:cs="宋体" w:eastAsia="宋体" w:hint="default"/>
          <w:sz w:val="24"/>
          <w:szCs w:val="24"/>
        </w:rPr>
        <w:t>元</w:t>
      </w:r>
      <w:r>
        <w:rPr>
          <w:rFonts w:ascii="宋体" w:hAnsi="宋体" w:cs="宋体" w:eastAsia="宋体" w:hint="default"/>
          <w:spacing w:val="-118"/>
          <w:sz w:val="24"/>
          <w:szCs w:val="24"/>
        </w:rPr>
        <w:t>，</w:t>
      </w:r>
      <w:r>
        <w:rPr>
          <w:rFonts w:ascii="宋体" w:hAnsi="宋体" w:cs="宋体" w:eastAsia="宋体" w:hint="default"/>
          <w:sz w:val="24"/>
          <w:szCs w:val="24"/>
        </w:rPr>
        <w:t>本次实际可供</w:t>
      </w:r>
    </w:p>
    <w:p>
      <w:pPr>
        <w:spacing w:before="74"/>
        <w:ind w:left="140" w:right="83" w:firstLine="0"/>
        <w:jc w:val="left"/>
        <w:rPr>
          <w:rFonts w:ascii="宋体" w:hAnsi="宋体" w:cs="宋体" w:eastAsia="宋体" w:hint="default"/>
          <w:sz w:val="24"/>
          <w:szCs w:val="24"/>
        </w:rPr>
      </w:pPr>
      <w:r>
        <w:rPr>
          <w:rFonts w:ascii="宋体" w:hAnsi="宋体" w:cs="宋体" w:eastAsia="宋体" w:hint="default"/>
          <w:sz w:val="24"/>
          <w:szCs w:val="24"/>
        </w:rPr>
        <w:t>分配的利润为</w:t>
      </w:r>
      <w:r>
        <w:rPr>
          <w:rFonts w:ascii="宋体" w:hAnsi="宋体" w:cs="宋体" w:eastAsia="宋体" w:hint="default"/>
          <w:spacing w:val="-60"/>
          <w:sz w:val="24"/>
          <w:szCs w:val="24"/>
        </w:rPr>
        <w:t> </w:t>
      </w:r>
      <w:r>
        <w:rPr>
          <w:rFonts w:ascii="宋体" w:hAnsi="宋体" w:cs="宋体" w:eastAsia="宋体" w:hint="default"/>
          <w:sz w:val="24"/>
          <w:szCs w:val="24"/>
        </w:rPr>
        <w:t>810,143,687</w:t>
      </w:r>
      <w:r>
        <w:rPr>
          <w:rFonts w:ascii="宋体" w:hAnsi="宋体" w:cs="宋体" w:eastAsia="宋体" w:hint="default"/>
          <w:spacing w:val="-60"/>
          <w:sz w:val="24"/>
          <w:szCs w:val="24"/>
        </w:rPr>
        <w:t> </w:t>
      </w:r>
      <w:r>
        <w:rPr>
          <w:rFonts w:ascii="宋体" w:hAnsi="宋体" w:cs="宋体" w:eastAsia="宋体" w:hint="default"/>
          <w:sz w:val="24"/>
          <w:szCs w:val="24"/>
        </w:rPr>
        <w:t>元</w:t>
      </w:r>
      <w:r>
        <w:rPr>
          <w:rFonts w:ascii="宋体" w:hAnsi="宋体" w:cs="宋体" w:eastAsia="宋体" w:hint="default"/>
          <w:spacing w:val="-118"/>
          <w:sz w:val="24"/>
          <w:szCs w:val="24"/>
        </w:rPr>
        <w:t>；</w:t>
      </w:r>
      <w:r>
        <w:rPr>
          <w:rFonts w:ascii="宋体" w:hAnsi="宋体" w:cs="宋体" w:eastAsia="宋体" w:hint="default"/>
          <w:sz w:val="24"/>
          <w:szCs w:val="24"/>
        </w:rPr>
        <w:t>公司以</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年末总股本</w:t>
      </w:r>
      <w:r>
        <w:rPr>
          <w:rFonts w:ascii="宋体" w:hAnsi="宋体" w:cs="宋体" w:eastAsia="宋体" w:hint="default"/>
          <w:spacing w:val="-60"/>
          <w:sz w:val="24"/>
          <w:szCs w:val="24"/>
        </w:rPr>
        <w:t> </w:t>
      </w:r>
      <w:r>
        <w:rPr>
          <w:rFonts w:ascii="宋体" w:hAnsi="宋体" w:cs="宋体" w:eastAsia="宋体" w:hint="default"/>
          <w:sz w:val="24"/>
          <w:szCs w:val="24"/>
        </w:rPr>
        <w:t>627,858,850</w:t>
      </w:r>
      <w:r>
        <w:rPr>
          <w:rFonts w:ascii="宋体" w:hAnsi="宋体" w:cs="宋体" w:eastAsia="宋体" w:hint="default"/>
          <w:spacing w:val="-60"/>
          <w:sz w:val="24"/>
          <w:szCs w:val="24"/>
        </w:rPr>
        <w:t> </w:t>
      </w:r>
      <w:r>
        <w:rPr>
          <w:rFonts w:ascii="宋体" w:hAnsi="宋体" w:cs="宋体" w:eastAsia="宋体" w:hint="default"/>
          <w:sz w:val="24"/>
          <w:szCs w:val="24"/>
        </w:rPr>
        <w:t>股为基数,拟向全体</w:t>
      </w:r>
    </w:p>
    <w:p>
      <w:pPr>
        <w:spacing w:before="74"/>
        <w:ind w:left="140" w:right="83" w:firstLine="0"/>
        <w:jc w:val="left"/>
        <w:rPr>
          <w:rFonts w:ascii="宋体" w:hAnsi="宋体" w:cs="宋体" w:eastAsia="宋体" w:hint="default"/>
          <w:sz w:val="24"/>
          <w:szCs w:val="24"/>
        </w:rPr>
      </w:pPr>
      <w:r>
        <w:rPr>
          <w:rFonts w:ascii="宋体" w:hAnsi="宋体" w:cs="宋体" w:eastAsia="宋体" w:hint="default"/>
          <w:sz w:val="24"/>
          <w:szCs w:val="24"/>
        </w:rPr>
        <w:t>股东每</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股派发现金股利</w:t>
      </w:r>
      <w:r>
        <w:rPr>
          <w:rFonts w:ascii="宋体" w:hAnsi="宋体" w:cs="宋体" w:eastAsia="宋体" w:hint="default"/>
          <w:spacing w:val="-60"/>
          <w:sz w:val="24"/>
          <w:szCs w:val="24"/>
        </w:rPr>
        <w:t> </w:t>
      </w:r>
      <w:r>
        <w:rPr>
          <w:rFonts w:ascii="宋体" w:hAnsi="宋体" w:cs="宋体" w:eastAsia="宋体" w:hint="default"/>
          <w:sz w:val="24"/>
          <w:szCs w:val="24"/>
        </w:rPr>
        <w:t>6</w:t>
      </w:r>
      <w:r>
        <w:rPr>
          <w:rFonts w:ascii="宋体" w:hAnsi="宋体" w:cs="宋体" w:eastAsia="宋体" w:hint="default"/>
          <w:spacing w:val="-60"/>
          <w:sz w:val="24"/>
          <w:szCs w:val="24"/>
        </w:rPr>
        <w:t> </w:t>
      </w:r>
      <w:r>
        <w:rPr>
          <w:rFonts w:ascii="宋体" w:hAnsi="宋体" w:cs="宋体" w:eastAsia="宋体" w:hint="default"/>
          <w:sz w:val="24"/>
          <w:szCs w:val="24"/>
        </w:rPr>
        <w:t>元(含税),共计派发现金股利</w:t>
      </w:r>
      <w:r>
        <w:rPr>
          <w:rFonts w:ascii="宋体" w:hAnsi="宋体" w:cs="宋体" w:eastAsia="宋体" w:hint="default"/>
          <w:spacing w:val="-60"/>
          <w:sz w:val="24"/>
          <w:szCs w:val="24"/>
        </w:rPr>
        <w:t> </w:t>
      </w:r>
      <w:r>
        <w:rPr>
          <w:rFonts w:ascii="宋体" w:hAnsi="宋体" w:cs="宋体" w:eastAsia="宋体" w:hint="default"/>
          <w:sz w:val="24"/>
          <w:szCs w:val="24"/>
        </w:rPr>
        <w:t>376,715,310</w:t>
      </w:r>
      <w:r>
        <w:rPr>
          <w:rFonts w:ascii="宋体" w:hAnsi="宋体" w:cs="宋体" w:eastAsia="宋体" w:hint="default"/>
          <w:spacing w:val="-60"/>
          <w:sz w:val="24"/>
          <w:szCs w:val="24"/>
        </w:rPr>
        <w:t> </w:t>
      </w:r>
      <w:r>
        <w:rPr>
          <w:rFonts w:ascii="宋体" w:hAnsi="宋体" w:cs="宋体" w:eastAsia="宋体" w:hint="default"/>
          <w:sz w:val="24"/>
          <w:szCs w:val="24"/>
        </w:rPr>
        <w:t>元</w:t>
      </w:r>
      <w:r>
        <w:rPr>
          <w:rFonts w:ascii="宋体" w:hAnsi="宋体" w:cs="宋体" w:eastAsia="宋体" w:hint="default"/>
          <w:spacing w:val="-118"/>
          <w:sz w:val="24"/>
          <w:szCs w:val="24"/>
        </w:rPr>
        <w:t>，</w:t>
      </w:r>
      <w:r>
        <w:rPr>
          <w:rFonts w:ascii="宋体" w:hAnsi="宋体" w:cs="宋体" w:eastAsia="宋体" w:hint="default"/>
          <w:sz w:val="24"/>
          <w:szCs w:val="24"/>
        </w:rPr>
        <w:t>派发现金股利</w:t>
      </w:r>
    </w:p>
    <w:p>
      <w:pPr>
        <w:spacing w:before="74"/>
        <w:ind w:left="140" w:right="220" w:firstLine="0"/>
        <w:jc w:val="left"/>
        <w:rPr>
          <w:rFonts w:ascii="宋体" w:hAnsi="宋体" w:cs="宋体" w:eastAsia="宋体" w:hint="default"/>
          <w:sz w:val="24"/>
          <w:szCs w:val="24"/>
        </w:rPr>
      </w:pPr>
      <w:r>
        <w:rPr>
          <w:rFonts w:ascii="宋体" w:hAnsi="宋体" w:cs="宋体" w:eastAsia="宋体" w:hint="default"/>
          <w:sz w:val="24"/>
          <w:szCs w:val="24"/>
        </w:rPr>
        <w:t>后，公司未分配利润余额为</w:t>
      </w:r>
      <w:r>
        <w:rPr>
          <w:rFonts w:ascii="宋体" w:hAnsi="宋体" w:cs="宋体" w:eastAsia="宋体" w:hint="default"/>
          <w:spacing w:val="-60"/>
          <w:sz w:val="24"/>
          <w:szCs w:val="24"/>
        </w:rPr>
        <w:t> </w:t>
      </w:r>
      <w:r>
        <w:rPr>
          <w:rFonts w:ascii="宋体" w:hAnsi="宋体" w:cs="宋体" w:eastAsia="宋体" w:hint="default"/>
          <w:sz w:val="24"/>
          <w:szCs w:val="24"/>
        </w:rPr>
        <w:t>433,428,377</w:t>
      </w:r>
      <w:r>
        <w:rPr>
          <w:rFonts w:ascii="宋体" w:hAnsi="宋体" w:cs="宋体" w:eastAsia="宋体" w:hint="default"/>
          <w:spacing w:val="-60"/>
          <w:sz w:val="24"/>
          <w:szCs w:val="24"/>
        </w:rPr>
        <w:t> </w:t>
      </w:r>
      <w:r>
        <w:rPr>
          <w:rFonts w:ascii="宋体" w:hAnsi="宋体" w:cs="宋体" w:eastAsia="宋体" w:hint="default"/>
          <w:sz w:val="24"/>
          <w:szCs w:val="24"/>
        </w:rPr>
        <w:t>元。</w:t>
      </w:r>
    </w:p>
    <w:p>
      <w:pPr>
        <w:spacing w:after="0"/>
        <w:jc w:val="left"/>
        <w:rPr>
          <w:rFonts w:ascii="宋体" w:hAnsi="宋体" w:cs="宋体" w:eastAsia="宋体" w:hint="default"/>
          <w:sz w:val="24"/>
          <w:szCs w:val="24"/>
        </w:rPr>
        <w:sectPr>
          <w:pgSz w:w="11910" w:h="16840"/>
          <w:pgMar w:header="720" w:footer="727" w:top="1080" w:bottom="920" w:left="1220" w:right="1080"/>
        </w:sectPr>
      </w:pPr>
    </w:p>
    <w:p>
      <w:pPr>
        <w:spacing w:line="240" w:lineRule="auto" w:before="12"/>
        <w:rPr>
          <w:rFonts w:ascii="宋体" w:hAnsi="宋体" w:cs="宋体" w:eastAsia="宋体" w:hint="default"/>
          <w:sz w:val="21"/>
          <w:szCs w:val="21"/>
        </w:rPr>
      </w:pPr>
    </w:p>
    <w:p>
      <w:pPr>
        <w:spacing w:before="26"/>
        <w:ind w:left="620" w:right="0" w:firstLine="0"/>
        <w:jc w:val="left"/>
        <w:rPr>
          <w:rFonts w:ascii="宋体" w:hAnsi="宋体" w:cs="宋体" w:eastAsia="宋体" w:hint="default"/>
          <w:sz w:val="24"/>
          <w:szCs w:val="24"/>
        </w:rPr>
      </w:pPr>
      <w:r>
        <w:rPr>
          <w:rFonts w:ascii="宋体" w:hAnsi="宋体" w:cs="宋体" w:eastAsia="宋体" w:hint="default"/>
          <w:sz w:val="24"/>
          <w:szCs w:val="24"/>
        </w:rPr>
        <w:t>公司以</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年末总股本</w:t>
      </w:r>
      <w:r>
        <w:rPr>
          <w:rFonts w:ascii="宋体" w:hAnsi="宋体" w:cs="宋体" w:eastAsia="宋体" w:hint="default"/>
          <w:spacing w:val="-60"/>
          <w:sz w:val="24"/>
          <w:szCs w:val="24"/>
        </w:rPr>
        <w:t> </w:t>
      </w:r>
      <w:r>
        <w:rPr>
          <w:rFonts w:ascii="宋体" w:hAnsi="宋体" w:cs="宋体" w:eastAsia="宋体" w:hint="default"/>
          <w:sz w:val="24"/>
          <w:szCs w:val="24"/>
        </w:rPr>
        <w:t>627,858,850</w:t>
      </w:r>
      <w:r>
        <w:rPr>
          <w:rFonts w:ascii="宋体" w:hAnsi="宋体" w:cs="宋体" w:eastAsia="宋体" w:hint="default"/>
          <w:spacing w:val="-60"/>
          <w:sz w:val="24"/>
          <w:szCs w:val="24"/>
        </w:rPr>
        <w:t> </w:t>
      </w:r>
      <w:r>
        <w:rPr>
          <w:rFonts w:ascii="宋体" w:hAnsi="宋体" w:cs="宋体" w:eastAsia="宋体" w:hint="default"/>
          <w:spacing w:val="-5"/>
          <w:sz w:val="24"/>
          <w:szCs w:val="24"/>
        </w:rPr>
        <w:t>股为基数，拟向全体股东每</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股转增</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pacing w:val="-20"/>
          <w:sz w:val="24"/>
          <w:szCs w:val="24"/>
        </w:rPr>
        <w:t>股，共</w:t>
      </w:r>
    </w:p>
    <w:p>
      <w:pPr>
        <w:spacing w:before="74"/>
        <w:ind w:left="140" w:right="0" w:firstLine="0"/>
        <w:jc w:val="left"/>
        <w:rPr>
          <w:rFonts w:ascii="宋体" w:hAnsi="宋体" w:cs="宋体" w:eastAsia="宋体" w:hint="default"/>
          <w:sz w:val="24"/>
          <w:szCs w:val="24"/>
        </w:rPr>
      </w:pPr>
      <w:r>
        <w:rPr>
          <w:rFonts w:ascii="宋体" w:hAnsi="宋体" w:cs="宋体" w:eastAsia="宋体" w:hint="default"/>
          <w:spacing w:val="9"/>
          <w:sz w:val="24"/>
          <w:szCs w:val="24"/>
        </w:rPr>
        <w:t>计转增 </w:t>
      </w:r>
      <w:r>
        <w:rPr>
          <w:rFonts w:ascii="宋体" w:hAnsi="宋体" w:cs="宋体" w:eastAsia="宋体" w:hint="default"/>
          <w:sz w:val="24"/>
          <w:szCs w:val="24"/>
        </w:rPr>
        <w:t>188,357,655 </w:t>
      </w:r>
      <w:r>
        <w:rPr>
          <w:rFonts w:ascii="宋体" w:hAnsi="宋体" w:cs="宋体" w:eastAsia="宋体" w:hint="default"/>
          <w:spacing w:val="12"/>
          <w:sz w:val="24"/>
          <w:szCs w:val="24"/>
        </w:rPr>
        <w:t>股，转增股本后，公司总股本 </w:t>
      </w:r>
      <w:r>
        <w:rPr>
          <w:rFonts w:ascii="宋体" w:hAnsi="宋体" w:cs="宋体" w:eastAsia="宋体" w:hint="default"/>
          <w:sz w:val="24"/>
          <w:szCs w:val="24"/>
        </w:rPr>
        <w:t>816,216,505</w:t>
      </w:r>
      <w:r>
        <w:rPr>
          <w:rFonts w:ascii="宋体" w:hAnsi="宋体" w:cs="宋体" w:eastAsia="宋体" w:hint="default"/>
          <w:spacing w:val="47"/>
          <w:sz w:val="24"/>
          <w:szCs w:val="24"/>
        </w:rPr>
        <w:t> </w:t>
      </w:r>
      <w:r>
        <w:rPr>
          <w:rFonts w:ascii="宋体" w:hAnsi="宋体" w:cs="宋体" w:eastAsia="宋体" w:hint="default"/>
          <w:spacing w:val="14"/>
          <w:sz w:val="24"/>
          <w:szCs w:val="24"/>
        </w:rPr>
        <w:t>股，资本公积余额</w:t>
      </w:r>
      <w:r>
        <w:rPr>
          <w:rFonts w:ascii="宋体" w:hAnsi="宋体" w:cs="宋体" w:eastAsia="宋体" w:hint="default"/>
          <w:sz w:val="24"/>
          <w:szCs w:val="24"/>
        </w:rPr>
      </w:r>
    </w:p>
    <w:p>
      <w:pPr>
        <w:spacing w:before="74"/>
        <w:ind w:left="140" w:right="140" w:firstLine="0"/>
        <w:jc w:val="left"/>
        <w:rPr>
          <w:rFonts w:ascii="宋体" w:hAnsi="宋体" w:cs="宋体" w:eastAsia="宋体" w:hint="default"/>
          <w:sz w:val="24"/>
          <w:szCs w:val="24"/>
        </w:rPr>
      </w:pPr>
      <w:r>
        <w:rPr>
          <w:rFonts w:ascii="宋体" w:hAnsi="宋体" w:cs="宋体" w:eastAsia="宋体" w:hint="default"/>
          <w:sz w:val="24"/>
          <w:szCs w:val="24"/>
        </w:rPr>
        <w:t>722,263,726</w:t>
      </w:r>
      <w:r>
        <w:rPr>
          <w:rFonts w:ascii="宋体" w:hAnsi="宋体" w:cs="宋体" w:eastAsia="宋体" w:hint="default"/>
          <w:spacing w:val="-60"/>
          <w:sz w:val="24"/>
          <w:szCs w:val="24"/>
        </w:rPr>
        <w:t> </w:t>
      </w:r>
      <w:r>
        <w:rPr>
          <w:rFonts w:ascii="宋体" w:hAnsi="宋体" w:cs="宋体" w:eastAsia="宋体" w:hint="default"/>
          <w:sz w:val="24"/>
          <w:szCs w:val="24"/>
        </w:rPr>
        <w:t>元。</w:t>
      </w:r>
    </w:p>
    <w:p>
      <w:pPr>
        <w:spacing w:before="196"/>
        <w:ind w:left="620" w:right="140" w:firstLine="0"/>
        <w:jc w:val="left"/>
        <w:rPr>
          <w:rFonts w:ascii="宋体" w:hAnsi="宋体" w:cs="宋体" w:eastAsia="宋体" w:hint="default"/>
          <w:sz w:val="24"/>
          <w:szCs w:val="24"/>
        </w:rPr>
      </w:pPr>
      <w:r>
        <w:rPr>
          <w:rFonts w:ascii="宋体" w:hAnsi="宋体" w:cs="宋体" w:eastAsia="宋体" w:hint="default"/>
          <w:sz w:val="24"/>
          <w:szCs w:val="24"/>
        </w:rPr>
        <w:t>上述议案需经</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年度股东大会审议通过后实施。</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720" w:footer="727" w:top="1080" w:bottom="920" w:left="1220" w:right="1160"/>
        </w:sectPr>
      </w:pPr>
    </w:p>
    <w:p>
      <w:pPr>
        <w:spacing w:before="26"/>
        <w:ind w:left="540" w:right="-19" w:firstLine="0"/>
        <w:jc w:val="left"/>
        <w:rPr>
          <w:rFonts w:ascii="宋体" w:hAnsi="宋体" w:cs="宋体" w:eastAsia="宋体" w:hint="default"/>
          <w:sz w:val="24"/>
          <w:szCs w:val="24"/>
        </w:rPr>
      </w:pPr>
      <w:bookmarkStart w:name="_TOC_250010" w:id="20"/>
      <w:r>
        <w:rPr>
          <w:rFonts w:ascii="宋体" w:hAnsi="宋体" w:cs="宋体" w:eastAsia="宋体" w:hint="default"/>
          <w:b/>
          <w:bCs/>
          <w:sz w:val="24"/>
          <w:szCs w:val="24"/>
        </w:rPr>
        <w:t>(七) 公司前三年分红情况</w:t>
      </w:r>
      <w:bookmarkEnd w:id="20"/>
      <w:r>
        <w:rPr>
          <w:rFonts w:ascii="宋体" w:hAnsi="宋体" w:cs="宋体" w:eastAsia="宋体" w:hint="default"/>
          <w:sz w:val="24"/>
          <w:szCs w:val="24"/>
        </w:rPr>
      </w:r>
    </w:p>
    <w:p>
      <w:pPr>
        <w:spacing w:line="240" w:lineRule="auto" w:before="0"/>
        <w:rPr>
          <w:rFonts w:ascii="宋体" w:hAnsi="宋体" w:cs="宋体" w:eastAsia="宋体" w:hint="default"/>
          <w:b/>
          <w:bCs/>
          <w:sz w:val="26"/>
          <w:szCs w:val="26"/>
        </w:rPr>
      </w:pPr>
      <w:r>
        <w:rPr/>
        <w:br w:type="column"/>
      </w:r>
      <w:r>
        <w:rPr>
          <w:rFonts w:ascii="宋体"/>
          <w:b/>
          <w:sz w:val="26"/>
        </w:rPr>
      </w:r>
    </w:p>
    <w:p>
      <w:pPr>
        <w:spacing w:before="0"/>
        <w:ind w:left="540"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900" w:bottom="280" w:left="1220" w:right="1160"/>
          <w:cols w:num="2" w:equalWidth="0">
            <w:col w:w="3314" w:space="4688"/>
            <w:col w:w="1528"/>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860"/>
        <w:gridCol w:w="2790"/>
        <w:gridCol w:w="2324"/>
        <w:gridCol w:w="2234"/>
      </w:tblGrid>
      <w:tr>
        <w:trPr>
          <w:trHeight w:val="279" w:hRule="exact"/>
        </w:trPr>
        <w:tc>
          <w:tcPr>
            <w:tcW w:w="1860" w:type="dxa"/>
            <w:tcBorders>
              <w:top w:val="single" w:sz="6" w:space="0" w:color="000000"/>
              <w:left w:val="single" w:sz="6" w:space="0" w:color="000000"/>
              <w:bottom w:val="nil" w:sz="6" w:space="0" w:color="auto"/>
              <w:right w:val="single" w:sz="6" w:space="0" w:color="000000"/>
            </w:tcBorders>
          </w:tcPr>
          <w:p>
            <w:pPr/>
          </w:p>
        </w:tc>
        <w:tc>
          <w:tcPr>
            <w:tcW w:w="2790" w:type="dxa"/>
            <w:tcBorders>
              <w:top w:val="single" w:sz="6" w:space="0" w:color="000000"/>
              <w:left w:val="single" w:sz="6" w:space="0" w:color="000000"/>
              <w:bottom w:val="nil" w:sz="6" w:space="0" w:color="auto"/>
              <w:right w:val="single" w:sz="6" w:space="0" w:color="000000"/>
            </w:tcBorders>
          </w:tcPr>
          <w:p>
            <w:pPr/>
          </w:p>
        </w:tc>
        <w:tc>
          <w:tcPr>
            <w:tcW w:w="2324"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分红年度合并报表中归</w:t>
            </w:r>
          </w:p>
        </w:tc>
        <w:tc>
          <w:tcPr>
            <w:tcW w:w="2234"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占合并报表中归属于</w:t>
            </w:r>
          </w:p>
        </w:tc>
      </w:tr>
      <w:tr>
        <w:trPr>
          <w:trHeight w:val="273" w:hRule="exact"/>
        </w:trPr>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分红年度</w:t>
            </w:r>
          </w:p>
        </w:tc>
        <w:tc>
          <w:tcPr>
            <w:tcW w:w="279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现金分红的数额（含税）</w:t>
            </w:r>
          </w:p>
        </w:tc>
        <w:tc>
          <w:tcPr>
            <w:tcW w:w="2324" w:type="dxa"/>
            <w:tcBorders>
              <w:top w:val="nil" w:sz="6" w:space="0" w:color="auto"/>
              <w:left w:val="single" w:sz="6" w:space="0" w:color="000000"/>
              <w:bottom w:val="nil" w:sz="6" w:space="0" w:color="auto"/>
              <w:right w:val="single" w:sz="6" w:space="0" w:color="000000"/>
            </w:tcBorders>
          </w:tcPr>
          <w:p>
            <w:pPr>
              <w:pStyle w:val="TableParagraph"/>
              <w:spacing w:line="242" w:lineRule="exact"/>
              <w:ind w:right="1"/>
              <w:jc w:val="center"/>
              <w:rPr>
                <w:rFonts w:ascii="宋体" w:hAnsi="宋体" w:cs="宋体" w:eastAsia="宋体" w:hint="default"/>
                <w:sz w:val="21"/>
                <w:szCs w:val="21"/>
              </w:rPr>
            </w:pPr>
            <w:r>
              <w:rPr>
                <w:rFonts w:ascii="宋体" w:hAnsi="宋体" w:cs="宋体" w:eastAsia="宋体" w:hint="default"/>
                <w:sz w:val="21"/>
                <w:szCs w:val="21"/>
              </w:rPr>
              <w:t>属于母公司所有者的净</w:t>
            </w:r>
          </w:p>
        </w:tc>
        <w:tc>
          <w:tcPr>
            <w:tcW w:w="2234" w:type="dxa"/>
            <w:tcBorders>
              <w:top w:val="nil" w:sz="6" w:space="0" w:color="auto"/>
              <w:left w:val="single" w:sz="6" w:space="0" w:color="000000"/>
              <w:bottom w:val="nil" w:sz="6" w:space="0" w:color="auto"/>
              <w:right w:val="single" w:sz="6" w:space="0" w:color="000000"/>
            </w:tcBorders>
          </w:tcPr>
          <w:p>
            <w:pPr>
              <w:pStyle w:val="TableParagraph"/>
              <w:spacing w:line="242" w:lineRule="exact"/>
              <w:ind w:right="1"/>
              <w:jc w:val="center"/>
              <w:rPr>
                <w:rFonts w:ascii="宋体" w:hAnsi="宋体" w:cs="宋体" w:eastAsia="宋体" w:hint="default"/>
                <w:sz w:val="21"/>
                <w:szCs w:val="21"/>
              </w:rPr>
            </w:pPr>
            <w:r>
              <w:rPr>
                <w:rFonts w:ascii="宋体" w:hAnsi="宋体" w:cs="宋体" w:eastAsia="宋体" w:hint="default"/>
                <w:sz w:val="21"/>
                <w:szCs w:val="21"/>
              </w:rPr>
              <w:t>母公司所有者的净利</w:t>
            </w:r>
          </w:p>
        </w:tc>
      </w:tr>
      <w:tr>
        <w:trPr>
          <w:trHeight w:val="281" w:hRule="exact"/>
        </w:trPr>
        <w:tc>
          <w:tcPr>
            <w:tcW w:w="1860" w:type="dxa"/>
            <w:tcBorders>
              <w:top w:val="nil" w:sz="6" w:space="0" w:color="auto"/>
              <w:left w:val="single" w:sz="6" w:space="0" w:color="000000"/>
              <w:bottom w:val="single" w:sz="6" w:space="0" w:color="000000"/>
              <w:right w:val="single" w:sz="6" w:space="0" w:color="000000"/>
            </w:tcBorders>
          </w:tcPr>
          <w:p>
            <w:pPr/>
          </w:p>
        </w:tc>
        <w:tc>
          <w:tcPr>
            <w:tcW w:w="2790" w:type="dxa"/>
            <w:tcBorders>
              <w:top w:val="nil" w:sz="6" w:space="0" w:color="auto"/>
              <w:left w:val="single" w:sz="6" w:space="0" w:color="000000"/>
              <w:bottom w:val="single" w:sz="6" w:space="0" w:color="000000"/>
              <w:right w:val="single" w:sz="6" w:space="0" w:color="000000"/>
            </w:tcBorders>
          </w:tcPr>
          <w:p>
            <w:pPr/>
          </w:p>
        </w:tc>
        <w:tc>
          <w:tcPr>
            <w:tcW w:w="2324"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利润</w:t>
            </w:r>
          </w:p>
        </w:tc>
        <w:tc>
          <w:tcPr>
            <w:tcW w:w="2234"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润的比率(%)</w:t>
            </w:r>
          </w:p>
        </w:tc>
      </w:tr>
      <w:tr>
        <w:trPr>
          <w:trHeight w:val="34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1"/>
              <w:jc w:val="center"/>
              <w:rPr>
                <w:rFonts w:ascii="宋体" w:hAnsi="宋体" w:cs="宋体" w:eastAsia="宋体" w:hint="default"/>
                <w:sz w:val="21"/>
                <w:szCs w:val="21"/>
              </w:rPr>
            </w:pPr>
            <w:r>
              <w:rPr>
                <w:rFonts w:ascii="宋体"/>
                <w:sz w:val="21"/>
              </w:rPr>
              <w:t>2007</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0"/>
              <w:jc w:val="center"/>
              <w:rPr>
                <w:rFonts w:ascii="宋体" w:hAnsi="宋体" w:cs="宋体" w:eastAsia="宋体" w:hint="default"/>
                <w:sz w:val="21"/>
                <w:szCs w:val="21"/>
              </w:rPr>
            </w:pPr>
            <w:r>
              <w:rPr>
                <w:rFonts w:ascii="宋体"/>
                <w:sz w:val="21"/>
              </w:rPr>
              <w:t>231,361,200</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1"/>
              <w:jc w:val="center"/>
              <w:rPr>
                <w:rFonts w:ascii="宋体" w:hAnsi="宋体" w:cs="宋体" w:eastAsia="宋体" w:hint="default"/>
                <w:sz w:val="21"/>
                <w:szCs w:val="21"/>
              </w:rPr>
            </w:pPr>
            <w:r>
              <w:rPr>
                <w:rFonts w:ascii="宋体"/>
                <w:sz w:val="21"/>
              </w:rPr>
              <w:t>360,451,392</w:t>
            </w:r>
          </w:p>
        </w:tc>
        <w:tc>
          <w:tcPr>
            <w:tcW w:w="2234"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1"/>
              <w:jc w:val="center"/>
              <w:rPr>
                <w:rFonts w:ascii="宋体" w:hAnsi="宋体" w:cs="宋体" w:eastAsia="宋体" w:hint="default"/>
                <w:sz w:val="21"/>
                <w:szCs w:val="21"/>
              </w:rPr>
            </w:pPr>
            <w:r>
              <w:rPr>
                <w:rFonts w:ascii="宋体"/>
                <w:sz w:val="21"/>
              </w:rPr>
              <w:t>64</w:t>
            </w:r>
          </w:p>
        </w:tc>
      </w:tr>
      <w:tr>
        <w:trPr>
          <w:trHeight w:val="34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1"/>
              <w:jc w:val="center"/>
              <w:rPr>
                <w:rFonts w:ascii="宋体" w:hAnsi="宋体" w:cs="宋体" w:eastAsia="宋体" w:hint="default"/>
                <w:sz w:val="21"/>
                <w:szCs w:val="21"/>
              </w:rPr>
            </w:pPr>
            <w:r>
              <w:rPr>
                <w:rFonts w:ascii="宋体"/>
                <w:sz w:val="21"/>
              </w:rPr>
              <w:t>2008</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0"/>
              <w:jc w:val="center"/>
              <w:rPr>
                <w:rFonts w:ascii="宋体" w:hAnsi="宋体" w:cs="宋体" w:eastAsia="宋体" w:hint="default"/>
                <w:sz w:val="21"/>
                <w:szCs w:val="21"/>
              </w:rPr>
            </w:pPr>
            <w:r>
              <w:rPr>
                <w:rFonts w:ascii="宋体"/>
                <w:sz w:val="21"/>
              </w:rPr>
              <w:t>139,998,893</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1"/>
              <w:jc w:val="center"/>
              <w:rPr>
                <w:rFonts w:ascii="宋体" w:hAnsi="宋体" w:cs="宋体" w:eastAsia="宋体" w:hint="default"/>
                <w:sz w:val="21"/>
                <w:szCs w:val="21"/>
              </w:rPr>
            </w:pPr>
            <w:r>
              <w:rPr>
                <w:rFonts w:ascii="宋体"/>
                <w:sz w:val="21"/>
              </w:rPr>
              <w:t>391,432,157</w:t>
            </w:r>
          </w:p>
        </w:tc>
        <w:tc>
          <w:tcPr>
            <w:tcW w:w="2234" w:type="dxa"/>
            <w:tcBorders>
              <w:top w:val="single" w:sz="6" w:space="0" w:color="000000"/>
              <w:left w:val="single" w:sz="6" w:space="0" w:color="000000"/>
              <w:bottom w:val="single" w:sz="6" w:space="0" w:color="000000"/>
              <w:right w:val="single" w:sz="6" w:space="0" w:color="000000"/>
            </w:tcBorders>
          </w:tcPr>
          <w:p>
            <w:pPr>
              <w:pStyle w:val="TableParagraph"/>
              <w:spacing w:line="266" w:lineRule="exact"/>
              <w:ind w:right="1"/>
              <w:jc w:val="center"/>
              <w:rPr>
                <w:rFonts w:ascii="宋体" w:hAnsi="宋体" w:cs="宋体" w:eastAsia="宋体" w:hint="default"/>
                <w:sz w:val="21"/>
                <w:szCs w:val="21"/>
              </w:rPr>
            </w:pPr>
            <w:r>
              <w:rPr>
                <w:rFonts w:ascii="宋体"/>
                <w:sz w:val="21"/>
              </w:rPr>
              <w:t>36</w:t>
            </w:r>
          </w:p>
        </w:tc>
      </w:tr>
      <w:tr>
        <w:trPr>
          <w:trHeight w:val="356"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
              <w:jc w:val="center"/>
              <w:rPr>
                <w:rFonts w:ascii="宋体" w:hAnsi="宋体" w:cs="宋体" w:eastAsia="宋体" w:hint="default"/>
                <w:sz w:val="21"/>
                <w:szCs w:val="21"/>
              </w:rPr>
            </w:pPr>
            <w:r>
              <w:rPr>
                <w:rFonts w:ascii="宋体"/>
                <w:sz w:val="21"/>
              </w:rPr>
              <w:t>2009</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sz w:val="21"/>
              </w:rPr>
              <w:t>376,715,310</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
              <w:jc w:val="center"/>
              <w:rPr>
                <w:rFonts w:ascii="宋体" w:hAnsi="宋体" w:cs="宋体" w:eastAsia="宋体" w:hint="default"/>
                <w:sz w:val="21"/>
                <w:szCs w:val="21"/>
              </w:rPr>
            </w:pPr>
            <w:r>
              <w:rPr>
                <w:rFonts w:ascii="宋体"/>
                <w:sz w:val="21"/>
              </w:rPr>
              <w:t>593,699,966</w:t>
            </w:r>
          </w:p>
        </w:tc>
        <w:tc>
          <w:tcPr>
            <w:tcW w:w="223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
              <w:jc w:val="center"/>
              <w:rPr>
                <w:rFonts w:ascii="宋体" w:hAnsi="宋体" w:cs="宋体" w:eastAsia="宋体" w:hint="default"/>
                <w:sz w:val="21"/>
                <w:szCs w:val="21"/>
              </w:rPr>
            </w:pPr>
            <w:r>
              <w:rPr>
                <w:rFonts w:ascii="宋体"/>
                <w:sz w:val="21"/>
              </w:rPr>
              <w:t>63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328" w:lineRule="auto" w:before="186"/>
        <w:ind w:left="620" w:right="140" w:hanging="81"/>
        <w:jc w:val="left"/>
        <w:rPr>
          <w:rFonts w:ascii="宋体" w:hAnsi="宋体" w:cs="宋体" w:eastAsia="宋体" w:hint="default"/>
          <w:sz w:val="24"/>
          <w:szCs w:val="24"/>
        </w:rPr>
      </w:pPr>
      <w:r>
        <w:rPr>
          <w:rFonts w:ascii="宋体" w:hAnsi="宋体" w:cs="宋体" w:eastAsia="宋体" w:hint="default"/>
          <w:b/>
          <w:bCs/>
          <w:sz w:val="24"/>
          <w:szCs w:val="24"/>
        </w:rPr>
        <w:t>(八)</w:t>
      </w:r>
      <w:r>
        <w:rPr>
          <w:rFonts w:ascii="宋体" w:hAnsi="宋体" w:cs="宋体" w:eastAsia="宋体" w:hint="default"/>
          <w:b/>
          <w:bCs/>
          <w:spacing w:val="1"/>
          <w:sz w:val="24"/>
          <w:szCs w:val="24"/>
        </w:rPr>
        <w:t> </w:t>
      </w:r>
      <w:r>
        <w:rPr>
          <w:rFonts w:ascii="宋体" w:hAnsi="宋体" w:cs="宋体" w:eastAsia="宋体" w:hint="default"/>
          <w:b/>
          <w:bCs/>
          <w:sz w:val="24"/>
          <w:szCs w:val="24"/>
        </w:rPr>
        <w:t>公司外部信息使用人管理制度建立健全情况</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公司制定了《用友软件股份有限公司外部信息报送和使用管理规定》，公司按照上述</w:t>
      </w:r>
    </w:p>
    <w:p>
      <w:pPr>
        <w:pStyle w:val="Heading7"/>
        <w:spacing w:line="297" w:lineRule="auto"/>
        <w:ind w:right="140"/>
        <w:jc w:val="left"/>
      </w:pPr>
      <w:r>
        <w:rPr>
          <w:spacing w:val="-4"/>
        </w:rPr>
        <w:t>规定，严格执行外部信息使用人管理的相关规定，防止泄露内部信息，保证信息披露的公</w:t>
      </w:r>
      <w:r>
        <w:rPr>
          <w:spacing w:val="-84"/>
        </w:rPr>
        <w:t> </w:t>
      </w:r>
      <w:r>
        <w:rPr>
          <w:spacing w:val="-84"/>
        </w:rPr>
      </w:r>
      <w:r>
        <w:rPr/>
        <w:t>平。</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4"/>
          <w:szCs w:val="34"/>
        </w:rPr>
      </w:pPr>
    </w:p>
    <w:p>
      <w:pPr>
        <w:spacing w:line="331" w:lineRule="auto" w:before="0"/>
        <w:ind w:left="620" w:right="1684" w:hanging="81"/>
        <w:jc w:val="left"/>
        <w:rPr>
          <w:rFonts w:ascii="宋体" w:hAnsi="宋体" w:cs="宋体" w:eastAsia="宋体" w:hint="default"/>
          <w:sz w:val="24"/>
          <w:szCs w:val="24"/>
        </w:rPr>
      </w:pPr>
      <w:r>
        <w:rPr>
          <w:rFonts w:ascii="宋体" w:hAnsi="宋体" w:cs="宋体" w:eastAsia="宋体" w:hint="default"/>
          <w:b/>
          <w:bCs/>
          <w:sz w:val="24"/>
          <w:szCs w:val="24"/>
        </w:rPr>
        <w:t>(九)</w:t>
      </w:r>
      <w:r>
        <w:rPr>
          <w:rFonts w:ascii="宋体" w:hAnsi="宋体" w:cs="宋体" w:eastAsia="宋体" w:hint="default"/>
          <w:b/>
          <w:bCs/>
          <w:spacing w:val="1"/>
          <w:sz w:val="24"/>
          <w:szCs w:val="24"/>
        </w:rPr>
        <w:t> </w:t>
      </w:r>
      <w:r>
        <w:rPr>
          <w:rFonts w:ascii="宋体" w:hAnsi="宋体" w:cs="宋体" w:eastAsia="宋体" w:hint="default"/>
          <w:b/>
          <w:bCs/>
          <w:sz w:val="24"/>
          <w:szCs w:val="24"/>
        </w:rPr>
        <w:t>其他披露事项</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报告期内，公司继续选定《上海证券报》为公司指定信息披露报刊。</w:t>
      </w:r>
    </w:p>
    <w:p>
      <w:pPr>
        <w:spacing w:after="0" w:line="331" w:lineRule="auto"/>
        <w:jc w:val="left"/>
        <w:rPr>
          <w:rFonts w:ascii="宋体" w:hAnsi="宋体" w:cs="宋体" w:eastAsia="宋体" w:hint="default"/>
          <w:sz w:val="24"/>
          <w:szCs w:val="24"/>
        </w:rPr>
        <w:sectPr>
          <w:type w:val="continuous"/>
          <w:pgSz w:w="11910" w:h="16840"/>
          <w:pgMar w:top="900" w:bottom="280" w:left="122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pStyle w:val="Heading3"/>
        <w:spacing w:line="240" w:lineRule="auto"/>
        <w:ind w:right="79"/>
        <w:jc w:val="center"/>
        <w:rPr>
          <w:b w:val="0"/>
          <w:bCs w:val="0"/>
        </w:rPr>
      </w:pPr>
      <w:bookmarkStart w:name="_TOC_250009" w:id="21"/>
      <w:r>
        <w:rPr/>
        <w:t>八、监事会报告</w:t>
      </w:r>
      <w:bookmarkEnd w:id="21"/>
      <w:r>
        <w:rPr>
          <w:b w:val="0"/>
          <w:bCs w:val="0"/>
        </w:rPr>
      </w:r>
    </w:p>
    <w:p>
      <w:pPr>
        <w:spacing w:line="240" w:lineRule="auto" w:before="13"/>
        <w:rPr>
          <w:rFonts w:ascii="黑体" w:hAnsi="黑体" w:cs="黑体" w:eastAsia="黑体" w:hint="default"/>
          <w:b/>
          <w:bCs/>
          <w:sz w:val="27"/>
          <w:szCs w:val="27"/>
        </w:rPr>
      </w:pPr>
    </w:p>
    <w:p>
      <w:pPr>
        <w:pStyle w:val="Heading7"/>
        <w:spacing w:line="297" w:lineRule="auto"/>
        <w:ind w:right="84" w:firstLine="482"/>
        <w:jc w:val="left"/>
      </w:pPr>
      <w:r>
        <w:rPr>
          <w:spacing w:val="-4"/>
        </w:rPr>
        <w:t>报告期内公司监事会全体成员按照《中华人民共和国公司法》及有关法规和《公司章</w:t>
      </w:r>
      <w:r>
        <w:rPr/>
        <w:t> 程》要求，从切实维护公司利益和广大股东权益出发，谨慎、诚实地履行了自己的职责； </w:t>
      </w:r>
      <w:r>
        <w:rPr>
          <w:spacing w:val="-4"/>
        </w:rPr>
        <w:t>公司监事列席了年度内各次董事会会议和股东大会会议，对公司长期发展规划、重大发展</w:t>
      </w:r>
      <w:r>
        <w:rPr>
          <w:spacing w:val="-82"/>
        </w:rPr>
        <w:t> </w:t>
      </w:r>
      <w:r>
        <w:rPr>
          <w:spacing w:val="-82"/>
        </w:rPr>
      </w:r>
      <w:r>
        <w:rPr>
          <w:spacing w:val="-4"/>
        </w:rPr>
        <w:t>项目、公司的生产经营活动、财务状况和公司董事、高级管理人员的履行职责情况进行了</w:t>
      </w:r>
      <w:r>
        <w:rPr>
          <w:spacing w:val="-84"/>
        </w:rPr>
        <w:t> </w:t>
      </w:r>
      <w:r>
        <w:rPr>
          <w:spacing w:val="-84"/>
        </w:rPr>
      </w:r>
      <w:r>
        <w:rPr>
          <w:spacing w:val="-4"/>
        </w:rPr>
        <w:t>监督，促进了公司规范运作、健康发展。报告期内，公司召开了五次监事会会议现将监事</w:t>
      </w:r>
      <w:r>
        <w:rPr>
          <w:spacing w:val="-84"/>
        </w:rPr>
        <w:t> </w:t>
      </w:r>
      <w:r>
        <w:rPr>
          <w:spacing w:val="-84"/>
        </w:rPr>
      </w:r>
      <w:r>
        <w:rPr/>
        <w:t>会一年的主要工作内容报告如下。</w:t>
      </w:r>
    </w:p>
    <w:p>
      <w:pPr>
        <w:spacing w:line="240" w:lineRule="auto" w:before="9"/>
        <w:rPr>
          <w:rFonts w:ascii="宋体" w:hAnsi="宋体" w:cs="宋体" w:eastAsia="宋体" w:hint="default"/>
          <w:sz w:val="19"/>
          <w:szCs w:val="19"/>
        </w:rPr>
      </w:pPr>
    </w:p>
    <w:p>
      <w:pPr>
        <w:spacing w:before="0"/>
        <w:ind w:left="661" w:right="220" w:firstLine="0"/>
        <w:jc w:val="left"/>
        <w:rPr>
          <w:rFonts w:ascii="宋体" w:hAnsi="宋体" w:cs="宋体" w:eastAsia="宋体" w:hint="default"/>
          <w:sz w:val="24"/>
          <w:szCs w:val="24"/>
        </w:rPr>
      </w:pPr>
      <w:bookmarkStart w:name="_TOC_250008" w:id="22"/>
      <w:r>
        <w:rPr>
          <w:rFonts w:ascii="宋体" w:hAnsi="宋体" w:cs="宋体" w:eastAsia="宋体" w:hint="default"/>
          <w:b/>
          <w:bCs/>
          <w:sz w:val="24"/>
          <w:szCs w:val="24"/>
        </w:rPr>
        <w:t>(一)</w:t>
      </w:r>
      <w:r>
        <w:rPr>
          <w:rFonts w:ascii="宋体" w:hAnsi="宋体" w:cs="宋体" w:eastAsia="宋体" w:hint="default"/>
          <w:b/>
          <w:bCs/>
          <w:spacing w:val="-15"/>
          <w:sz w:val="24"/>
          <w:szCs w:val="24"/>
        </w:rPr>
        <w:t> </w:t>
      </w:r>
      <w:r>
        <w:rPr>
          <w:rFonts w:ascii="宋体" w:hAnsi="宋体" w:cs="宋体" w:eastAsia="宋体" w:hint="default"/>
          <w:b/>
          <w:bCs/>
          <w:sz w:val="24"/>
          <w:szCs w:val="24"/>
        </w:rPr>
        <w:t>监事会会议情况和决议内容</w:t>
      </w:r>
      <w:bookmarkEnd w:id="22"/>
      <w:r>
        <w:rPr>
          <w:rFonts w:ascii="宋体" w:hAnsi="宋体" w:cs="宋体" w:eastAsia="宋体" w:hint="default"/>
          <w:sz w:val="24"/>
          <w:szCs w:val="24"/>
        </w:rPr>
      </w:r>
    </w:p>
    <w:p>
      <w:pPr>
        <w:spacing w:line="240" w:lineRule="auto" w:before="11"/>
        <w:rPr>
          <w:rFonts w:ascii="宋体" w:hAnsi="宋体" w:cs="宋体" w:eastAsia="宋体" w:hint="default"/>
          <w:b/>
          <w:bCs/>
          <w:sz w:val="2"/>
          <w:szCs w:val="2"/>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监事会会议情况</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监事会会议议题</w:t>
            </w:r>
          </w:p>
        </w:tc>
      </w:tr>
      <w:tr>
        <w:trPr>
          <w:trHeight w:val="137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第四届监事会</w:t>
            </w:r>
            <w:r>
              <w:rPr>
                <w:rFonts w:ascii="宋体" w:hAnsi="宋体" w:cs="宋体" w:eastAsia="宋体" w:hint="default"/>
                <w:spacing w:val="-60"/>
                <w:sz w:val="21"/>
                <w:szCs w:val="21"/>
              </w:rPr>
              <w:t> </w:t>
            </w:r>
            <w:r>
              <w:rPr>
                <w:rFonts w:ascii="宋体" w:hAnsi="宋体" w:cs="宋体" w:eastAsia="宋体" w:hint="default"/>
                <w:sz w:val="21"/>
                <w:szCs w:val="21"/>
              </w:rPr>
              <w:t>2009</w:t>
            </w:r>
            <w:r>
              <w:rPr>
                <w:rFonts w:ascii="宋体" w:hAnsi="宋体" w:cs="宋体" w:eastAsia="宋体" w:hint="default"/>
                <w:spacing w:val="-59"/>
                <w:sz w:val="21"/>
                <w:szCs w:val="21"/>
              </w:rPr>
              <w:t> </w:t>
            </w:r>
            <w:r>
              <w:rPr>
                <w:rFonts w:ascii="宋体" w:hAnsi="宋体" w:cs="宋体" w:eastAsia="宋体" w:hint="default"/>
                <w:sz w:val="21"/>
                <w:szCs w:val="21"/>
              </w:rPr>
              <w:t>年第一次</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（1） 审议公司《2008</w:t>
            </w:r>
            <w:r>
              <w:rPr>
                <w:rFonts w:ascii="宋体" w:hAnsi="宋体" w:cs="宋体" w:eastAsia="宋体" w:hint="default"/>
                <w:spacing w:val="-84"/>
                <w:sz w:val="21"/>
                <w:szCs w:val="21"/>
              </w:rPr>
              <w:t> </w:t>
            </w:r>
            <w:r>
              <w:rPr>
                <w:rFonts w:ascii="宋体" w:hAnsi="宋体" w:cs="宋体" w:eastAsia="宋体" w:hint="default"/>
                <w:sz w:val="21"/>
                <w:szCs w:val="21"/>
              </w:rPr>
              <w:t>年年度报告及摘要》并发</w:t>
            </w:r>
          </w:p>
          <w:p>
            <w:pPr>
              <w:pStyle w:val="TableParagraph"/>
              <w:spacing w:line="272" w:lineRule="exact" w:before="26"/>
              <w:ind w:left="100" w:right="98"/>
              <w:jc w:val="both"/>
              <w:rPr>
                <w:rFonts w:ascii="宋体" w:hAnsi="宋体" w:cs="宋体" w:eastAsia="宋体" w:hint="default"/>
                <w:sz w:val="21"/>
                <w:szCs w:val="21"/>
              </w:rPr>
            </w:pPr>
            <w:r>
              <w:rPr>
                <w:rFonts w:ascii="宋体" w:hAnsi="宋体" w:cs="宋体" w:eastAsia="宋体" w:hint="default"/>
                <w:sz w:val="21"/>
                <w:szCs w:val="21"/>
              </w:rPr>
              <w:t>表审核意见（2） 审议公司《2008</w:t>
            </w:r>
            <w:r>
              <w:rPr>
                <w:rFonts w:ascii="宋体" w:hAnsi="宋体" w:cs="宋体" w:eastAsia="宋体" w:hint="default"/>
                <w:spacing w:val="-84"/>
                <w:sz w:val="21"/>
                <w:szCs w:val="21"/>
              </w:rPr>
              <w:t> </w:t>
            </w:r>
            <w:r>
              <w:rPr>
                <w:rFonts w:ascii="宋体" w:hAnsi="宋体" w:cs="宋体" w:eastAsia="宋体" w:hint="default"/>
                <w:sz w:val="21"/>
                <w:szCs w:val="21"/>
              </w:rPr>
              <w:t>年度董事会工</w:t>
            </w:r>
            <w:r>
              <w:rPr>
                <w:rFonts w:ascii="宋体" w:hAnsi="宋体" w:cs="宋体" w:eastAsia="宋体" w:hint="default"/>
                <w:sz w:val="21"/>
                <w:szCs w:val="21"/>
              </w:rPr>
              <w:t> 作报告》（3） 审议公司《2008</w:t>
            </w:r>
            <w:r>
              <w:rPr>
                <w:rFonts w:ascii="宋体" w:hAnsi="宋体" w:cs="宋体" w:eastAsia="宋体" w:hint="default"/>
                <w:spacing w:val="-83"/>
                <w:sz w:val="21"/>
                <w:szCs w:val="21"/>
              </w:rPr>
              <w:t> </w:t>
            </w:r>
            <w:r>
              <w:rPr>
                <w:rFonts w:ascii="宋体" w:hAnsi="宋体" w:cs="宋体" w:eastAsia="宋体" w:hint="default"/>
                <w:sz w:val="21"/>
                <w:szCs w:val="21"/>
              </w:rPr>
              <w:t>年度监事会工作</w:t>
            </w:r>
            <w:r>
              <w:rPr>
                <w:rFonts w:ascii="宋体" w:hAnsi="宋体" w:cs="宋体" w:eastAsia="宋体" w:hint="default"/>
                <w:sz w:val="21"/>
                <w:szCs w:val="21"/>
              </w:rPr>
              <w:t> 报告》（4）</w:t>
            </w:r>
            <w:r>
              <w:rPr>
                <w:rFonts w:ascii="宋体" w:hAnsi="宋体" w:cs="宋体" w:eastAsia="宋体" w:hint="default"/>
                <w:spacing w:val="-3"/>
                <w:sz w:val="21"/>
                <w:szCs w:val="21"/>
              </w:rPr>
              <w:t> </w:t>
            </w:r>
            <w:r>
              <w:rPr>
                <w:rFonts w:ascii="宋体" w:hAnsi="宋体" w:cs="宋体" w:eastAsia="宋体" w:hint="default"/>
                <w:sz w:val="21"/>
                <w:szCs w:val="21"/>
              </w:rPr>
              <w:t>审议《公司董事会关于公司内部控</w:t>
            </w:r>
            <w:r>
              <w:rPr>
                <w:rFonts w:ascii="宋体" w:hAnsi="宋体" w:cs="宋体" w:eastAsia="宋体" w:hint="default"/>
                <w:sz w:val="21"/>
                <w:szCs w:val="21"/>
              </w:rPr>
              <w:t> 制的自我评估报告》</w:t>
            </w:r>
          </w:p>
        </w:tc>
      </w:tr>
      <w:tr>
        <w:trPr>
          <w:trHeight w:val="559"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第四届监事会</w:t>
            </w:r>
            <w:r>
              <w:rPr>
                <w:rFonts w:ascii="宋体" w:hAnsi="宋体" w:cs="宋体" w:eastAsia="宋体" w:hint="default"/>
                <w:spacing w:val="-60"/>
                <w:sz w:val="21"/>
                <w:szCs w:val="21"/>
              </w:rPr>
              <w:t> </w:t>
            </w:r>
            <w:r>
              <w:rPr>
                <w:rFonts w:ascii="宋体" w:hAnsi="宋体" w:cs="宋体" w:eastAsia="宋体" w:hint="default"/>
                <w:sz w:val="21"/>
                <w:szCs w:val="21"/>
              </w:rPr>
              <w:t>2009</w:t>
            </w:r>
            <w:r>
              <w:rPr>
                <w:rFonts w:ascii="宋体" w:hAnsi="宋体" w:cs="宋体" w:eastAsia="宋体" w:hint="default"/>
                <w:spacing w:val="-59"/>
                <w:sz w:val="21"/>
                <w:szCs w:val="21"/>
              </w:rPr>
              <w:t> </w:t>
            </w:r>
            <w:r>
              <w:rPr>
                <w:rFonts w:ascii="宋体" w:hAnsi="宋体" w:cs="宋体" w:eastAsia="宋体" w:hint="default"/>
                <w:sz w:val="21"/>
                <w:szCs w:val="21"/>
              </w:rPr>
              <w:t>年第二次</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审议公司《2009</w:t>
            </w:r>
            <w:r>
              <w:rPr>
                <w:rFonts w:ascii="宋体" w:hAnsi="宋体" w:cs="宋体" w:eastAsia="宋体" w:hint="default"/>
                <w:spacing w:val="-84"/>
                <w:sz w:val="21"/>
                <w:szCs w:val="21"/>
              </w:rPr>
              <w:t> </w:t>
            </w:r>
            <w:r>
              <w:rPr>
                <w:rFonts w:ascii="宋体" w:hAnsi="宋体" w:cs="宋体" w:eastAsia="宋体" w:hint="default"/>
                <w:sz w:val="21"/>
                <w:szCs w:val="21"/>
              </w:rPr>
              <w:t>年第一季度报告》并发表审核意</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见</w:t>
            </w:r>
          </w:p>
        </w:tc>
      </w:tr>
      <w:tr>
        <w:trPr>
          <w:trHeight w:val="559"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第四届监事会</w:t>
            </w:r>
            <w:r>
              <w:rPr>
                <w:rFonts w:ascii="宋体" w:hAnsi="宋体" w:cs="宋体" w:eastAsia="宋体" w:hint="default"/>
                <w:spacing w:val="-60"/>
                <w:sz w:val="21"/>
                <w:szCs w:val="21"/>
              </w:rPr>
              <w:t> </w:t>
            </w:r>
            <w:r>
              <w:rPr>
                <w:rFonts w:ascii="宋体" w:hAnsi="宋体" w:cs="宋体" w:eastAsia="宋体" w:hint="default"/>
                <w:sz w:val="21"/>
                <w:szCs w:val="21"/>
              </w:rPr>
              <w:t>2009</w:t>
            </w:r>
            <w:r>
              <w:rPr>
                <w:rFonts w:ascii="宋体" w:hAnsi="宋体" w:cs="宋体" w:eastAsia="宋体" w:hint="default"/>
                <w:spacing w:val="-59"/>
                <w:sz w:val="21"/>
                <w:szCs w:val="21"/>
              </w:rPr>
              <w:t> </w:t>
            </w:r>
            <w:r>
              <w:rPr>
                <w:rFonts w:ascii="宋体" w:hAnsi="宋体" w:cs="宋体" w:eastAsia="宋体" w:hint="default"/>
                <w:sz w:val="21"/>
                <w:szCs w:val="21"/>
              </w:rPr>
              <w:t>年第三次</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审议公司《2009</w:t>
            </w:r>
            <w:r>
              <w:rPr>
                <w:rFonts w:ascii="宋体" w:hAnsi="宋体" w:cs="宋体" w:eastAsia="宋体" w:hint="default"/>
                <w:spacing w:val="-84"/>
                <w:sz w:val="21"/>
                <w:szCs w:val="21"/>
              </w:rPr>
              <w:t> </w:t>
            </w:r>
            <w:r>
              <w:rPr>
                <w:rFonts w:ascii="宋体" w:hAnsi="宋体" w:cs="宋体" w:eastAsia="宋体" w:hint="default"/>
                <w:sz w:val="21"/>
                <w:szCs w:val="21"/>
              </w:rPr>
              <w:t>年半年度报告及摘要》并发表审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核意见</w:t>
            </w:r>
          </w:p>
        </w:tc>
      </w:tr>
      <w:tr>
        <w:trPr>
          <w:trHeight w:val="1105"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第四届监事会</w:t>
            </w:r>
            <w:r>
              <w:rPr>
                <w:rFonts w:ascii="宋体" w:hAnsi="宋体" w:cs="宋体" w:eastAsia="宋体" w:hint="default"/>
                <w:spacing w:val="-60"/>
                <w:sz w:val="21"/>
                <w:szCs w:val="21"/>
              </w:rPr>
              <w:t> </w:t>
            </w:r>
            <w:r>
              <w:rPr>
                <w:rFonts w:ascii="宋体" w:hAnsi="宋体" w:cs="宋体" w:eastAsia="宋体" w:hint="default"/>
                <w:sz w:val="21"/>
                <w:szCs w:val="21"/>
              </w:rPr>
              <w:t>2009</w:t>
            </w:r>
            <w:r>
              <w:rPr>
                <w:rFonts w:ascii="宋体" w:hAnsi="宋体" w:cs="宋体" w:eastAsia="宋体" w:hint="default"/>
                <w:spacing w:val="-59"/>
                <w:sz w:val="21"/>
                <w:szCs w:val="21"/>
              </w:rPr>
              <w:t> </w:t>
            </w:r>
            <w:r>
              <w:rPr>
                <w:rFonts w:ascii="宋体" w:hAnsi="宋体" w:cs="宋体" w:eastAsia="宋体" w:hint="default"/>
                <w:sz w:val="21"/>
                <w:szCs w:val="21"/>
              </w:rPr>
              <w:t>年第四次</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77"/>
                <w:sz w:val="21"/>
                <w:szCs w:val="21"/>
              </w:rPr>
              <w:t> </w:t>
            </w:r>
            <w:r>
              <w:rPr>
                <w:rFonts w:ascii="宋体" w:hAnsi="宋体" w:cs="宋体" w:eastAsia="宋体" w:hint="default"/>
                <w:sz w:val="21"/>
                <w:szCs w:val="21"/>
              </w:rPr>
              <w:t>审议公司《关于对股权激励计划</w:t>
            </w:r>
            <w:r>
              <w:rPr>
                <w:rFonts w:ascii="宋体" w:hAnsi="宋体" w:cs="宋体" w:eastAsia="宋体" w:hint="default"/>
                <w:spacing w:val="-66"/>
                <w:sz w:val="21"/>
                <w:szCs w:val="21"/>
              </w:rPr>
              <w:t> </w:t>
            </w:r>
            <w:r>
              <w:rPr>
                <w:rFonts w:ascii="宋体" w:hAnsi="宋体" w:cs="宋体" w:eastAsia="宋体" w:hint="default"/>
                <w:sz w:val="21"/>
                <w:szCs w:val="21"/>
              </w:rPr>
              <w:t>2009</w:t>
            </w:r>
            <w:r>
              <w:rPr>
                <w:rFonts w:ascii="宋体" w:hAnsi="宋体" w:cs="宋体" w:eastAsia="宋体" w:hint="default"/>
                <w:spacing w:val="-65"/>
                <w:sz w:val="21"/>
                <w:szCs w:val="21"/>
              </w:rPr>
              <w:t> </w:t>
            </w:r>
            <w:r>
              <w:rPr>
                <w:rFonts w:ascii="宋体" w:hAnsi="宋体" w:cs="宋体" w:eastAsia="宋体" w:hint="default"/>
                <w:sz w:val="21"/>
                <w:szCs w:val="21"/>
              </w:rPr>
              <w:t>年度</w:t>
            </w:r>
          </w:p>
          <w:p>
            <w:pPr>
              <w:pStyle w:val="TableParagraph"/>
              <w:spacing w:line="272" w:lineRule="exact" w:before="26"/>
              <w:ind w:left="100" w:right="18"/>
              <w:jc w:val="left"/>
              <w:rPr>
                <w:rFonts w:ascii="宋体" w:hAnsi="宋体" w:cs="宋体" w:eastAsia="宋体" w:hint="default"/>
                <w:sz w:val="21"/>
                <w:szCs w:val="21"/>
              </w:rPr>
            </w:pPr>
            <w:r>
              <w:rPr>
                <w:rFonts w:ascii="宋体" w:hAnsi="宋体" w:cs="宋体" w:eastAsia="宋体" w:hint="default"/>
                <w:sz w:val="21"/>
                <w:szCs w:val="21"/>
              </w:rPr>
              <w:t>授予对象进行核查的议案》并发表核查意见（2）</w:t>
            </w:r>
            <w:r>
              <w:rPr>
                <w:rFonts w:ascii="宋体" w:hAnsi="宋体" w:cs="宋体" w:eastAsia="宋体" w:hint="default"/>
                <w:spacing w:val="-1"/>
                <w:sz w:val="21"/>
                <w:szCs w:val="21"/>
              </w:rPr>
              <w:t> </w:t>
            </w:r>
            <w:r>
              <w:rPr>
                <w:rFonts w:ascii="宋体" w:hAnsi="宋体" w:cs="宋体" w:eastAsia="宋体" w:hint="default"/>
                <w:sz w:val="21"/>
                <w:szCs w:val="21"/>
              </w:rPr>
              <w:t>审议公司《关于对股权激励计划预留股份授予对</w:t>
            </w:r>
            <w:r>
              <w:rPr>
                <w:rFonts w:ascii="宋体" w:hAnsi="宋体" w:cs="宋体" w:eastAsia="宋体" w:hint="default"/>
                <w:sz w:val="21"/>
                <w:szCs w:val="21"/>
              </w:rPr>
              <w:t> 象进行核查的议案》并发表核查意见</w:t>
            </w:r>
          </w:p>
        </w:tc>
      </w:tr>
      <w:tr>
        <w:trPr>
          <w:trHeight w:val="560"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第四届监事会</w:t>
            </w:r>
            <w:r>
              <w:rPr>
                <w:rFonts w:ascii="宋体" w:hAnsi="宋体" w:cs="宋体" w:eastAsia="宋体" w:hint="default"/>
                <w:spacing w:val="-60"/>
                <w:sz w:val="21"/>
                <w:szCs w:val="21"/>
              </w:rPr>
              <w:t> </w:t>
            </w:r>
            <w:r>
              <w:rPr>
                <w:rFonts w:ascii="宋体" w:hAnsi="宋体" w:cs="宋体" w:eastAsia="宋体" w:hint="default"/>
                <w:sz w:val="21"/>
                <w:szCs w:val="21"/>
              </w:rPr>
              <w:t>2009</w:t>
            </w:r>
            <w:r>
              <w:rPr>
                <w:rFonts w:ascii="宋体" w:hAnsi="宋体" w:cs="宋体" w:eastAsia="宋体" w:hint="default"/>
                <w:spacing w:val="-59"/>
                <w:sz w:val="21"/>
                <w:szCs w:val="21"/>
              </w:rPr>
              <w:t> </w:t>
            </w:r>
            <w:r>
              <w:rPr>
                <w:rFonts w:ascii="宋体" w:hAnsi="宋体" w:cs="宋体" w:eastAsia="宋体" w:hint="default"/>
                <w:sz w:val="21"/>
                <w:szCs w:val="21"/>
              </w:rPr>
              <w:t>年第五次</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审议公司《2009</w:t>
            </w:r>
            <w:r>
              <w:rPr>
                <w:rFonts w:ascii="宋体" w:hAnsi="宋体" w:cs="宋体" w:eastAsia="宋体" w:hint="default"/>
                <w:spacing w:val="-84"/>
                <w:sz w:val="21"/>
                <w:szCs w:val="21"/>
              </w:rPr>
              <w:t> </w:t>
            </w:r>
            <w:r>
              <w:rPr>
                <w:rFonts w:ascii="宋体" w:hAnsi="宋体" w:cs="宋体" w:eastAsia="宋体" w:hint="default"/>
                <w:sz w:val="21"/>
                <w:szCs w:val="21"/>
              </w:rPr>
              <w:t>年第三季度报告》并发表审核意</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见</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328" w:lineRule="auto" w:before="186"/>
        <w:ind w:left="623" w:right="4466" w:hanging="83"/>
        <w:jc w:val="left"/>
        <w:rPr>
          <w:rFonts w:ascii="宋体" w:hAnsi="宋体" w:cs="宋体" w:eastAsia="宋体" w:hint="default"/>
          <w:sz w:val="24"/>
          <w:szCs w:val="24"/>
        </w:rPr>
      </w:pPr>
      <w:r>
        <w:rPr>
          <w:rFonts w:ascii="宋体" w:hAnsi="宋体" w:cs="宋体" w:eastAsia="宋体" w:hint="default"/>
          <w:b/>
          <w:bCs/>
          <w:sz w:val="24"/>
          <w:szCs w:val="24"/>
        </w:rPr>
        <w:t>（二）公司监事会对以下事项发表独立意见</w:t>
      </w:r>
      <w:r>
        <w:rPr>
          <w:rFonts w:ascii="宋体" w:hAnsi="宋体" w:cs="宋体" w:eastAsia="宋体" w:hint="default"/>
          <w:b/>
          <w:bCs/>
          <w:spacing w:val="1"/>
          <w:w w:val="99"/>
          <w:sz w:val="24"/>
          <w:szCs w:val="24"/>
        </w:rPr>
        <w:t> </w:t>
      </w:r>
      <w:r>
        <w:rPr>
          <w:rFonts w:ascii="宋体" w:hAnsi="宋体" w:cs="宋体" w:eastAsia="宋体" w:hint="default"/>
          <w:sz w:val="24"/>
          <w:szCs w:val="24"/>
        </w:rPr>
        <w:t>1、公司依法运作情况</w:t>
      </w:r>
    </w:p>
    <w:p>
      <w:pPr>
        <w:pStyle w:val="Heading7"/>
        <w:spacing w:line="297" w:lineRule="auto" w:before="106"/>
        <w:ind w:right="84" w:firstLine="482"/>
        <w:jc w:val="left"/>
      </w:pPr>
      <w:r>
        <w:rPr>
          <w:spacing w:val="-4"/>
        </w:rPr>
        <w:t>报告期内，公司监事会根据国家有关法律法规的规定，对公司股东大会、董事会的召</w:t>
      </w:r>
      <w:r>
        <w:rPr/>
        <w:t> </w:t>
      </w:r>
      <w:r>
        <w:rPr>
          <w:spacing w:val="-4"/>
        </w:rPr>
        <w:t>开程序、决议事项、董事会对股东大会决议的执行情况、公司高级管理人员的履行职务情</w:t>
      </w:r>
      <w:r>
        <w:rPr>
          <w:spacing w:val="-84"/>
        </w:rPr>
        <w:t> </w:t>
      </w:r>
      <w:r>
        <w:rPr>
          <w:spacing w:val="-84"/>
        </w:rPr>
      </w:r>
      <w:r>
        <w:rPr>
          <w:spacing w:val="-4"/>
        </w:rPr>
        <w:t>况和公司管理制度执行情况等进行了监督。通过上述监督工作，公司监事会认为，公司依</w:t>
      </w:r>
      <w:r>
        <w:rPr>
          <w:spacing w:val="-84"/>
        </w:rPr>
        <w:t> </w:t>
      </w:r>
      <w:r>
        <w:rPr>
          <w:spacing w:val="-84"/>
        </w:rPr>
      </w:r>
      <w:r>
        <w:rPr>
          <w:spacing w:val="-6"/>
        </w:rPr>
        <w:t>照国家法律法规和公司《章程》的规定，建立了较为完善的公司治理结构和内部控制制度。</w:t>
      </w:r>
      <w:r>
        <w:rPr/>
        <w:t> </w:t>
      </w:r>
      <w:r>
        <w:rPr>
          <w:spacing w:val="-4"/>
        </w:rPr>
        <w:t>报告期内，公司严格按照国家有关法律法规和公司《章程》规范运作，股东大会和董事会</w:t>
      </w:r>
      <w:r>
        <w:rPr>
          <w:spacing w:val="-84"/>
        </w:rPr>
        <w:t> </w:t>
      </w:r>
      <w:r>
        <w:rPr>
          <w:spacing w:val="-84"/>
        </w:rPr>
      </w:r>
      <w:r>
        <w:rPr>
          <w:spacing w:val="-4"/>
        </w:rPr>
        <w:t>的召开程序、议事规则和决议程序合法有效，符合《中华人民共和国公司法》等法律法规</w:t>
      </w:r>
      <w:r>
        <w:rPr>
          <w:spacing w:val="-84"/>
        </w:rPr>
        <w:t> </w:t>
      </w:r>
      <w:r>
        <w:rPr>
          <w:spacing w:val="-84"/>
        </w:rPr>
      </w:r>
      <w:r>
        <w:rPr>
          <w:spacing w:val="-4"/>
        </w:rPr>
        <w:t>和公司《章程》的有关规定。未发现公司董事和高级管理人员执行公司职务时有违反法律</w:t>
      </w:r>
      <w:r>
        <w:rPr>
          <w:spacing w:val="-84"/>
        </w:rPr>
        <w:t> </w:t>
      </w:r>
      <w:r>
        <w:rPr>
          <w:spacing w:val="-84"/>
        </w:rPr>
      </w:r>
      <w:r>
        <w:rPr>
          <w:spacing w:val="-4"/>
        </w:rPr>
        <w:t>法规、公司《章程》或损害公司利益的行为；公司内部控制制度完善，促进了公司合法经</w:t>
      </w:r>
      <w:r>
        <w:rPr>
          <w:spacing w:val="-84"/>
        </w:rPr>
        <w:t> </w:t>
      </w:r>
      <w:r>
        <w:rPr>
          <w:spacing w:val="-84"/>
        </w:rPr>
      </w:r>
      <w:r>
        <w:rPr/>
        <w:t>营，保证了公司资产安全和高效。</w:t>
      </w:r>
    </w:p>
    <w:p>
      <w:pPr>
        <w:spacing w:before="137"/>
        <w:ind w:left="623" w:right="220" w:firstLine="0"/>
        <w:jc w:val="left"/>
        <w:rPr>
          <w:rFonts w:ascii="宋体" w:hAnsi="宋体" w:cs="宋体" w:eastAsia="宋体" w:hint="default"/>
          <w:sz w:val="24"/>
          <w:szCs w:val="24"/>
        </w:rPr>
      </w:pPr>
      <w:r>
        <w:rPr>
          <w:rFonts w:ascii="宋体" w:hAnsi="宋体" w:cs="宋体" w:eastAsia="宋体" w:hint="default"/>
          <w:sz w:val="24"/>
          <w:szCs w:val="24"/>
        </w:rPr>
        <w:t>2、检查公司财务情况</w:t>
      </w:r>
    </w:p>
    <w:p>
      <w:pPr>
        <w:spacing w:after="0"/>
        <w:jc w:val="left"/>
        <w:rPr>
          <w:rFonts w:ascii="宋体" w:hAnsi="宋体" w:cs="宋体" w:eastAsia="宋体" w:hint="default"/>
          <w:sz w:val="24"/>
          <w:szCs w:val="24"/>
        </w:rPr>
        <w:sectPr>
          <w:pgSz w:w="11910" w:h="16840"/>
          <w:pgMar w:header="720" w:footer="727" w:top="1080" w:bottom="920" w:left="1220" w:right="1080"/>
        </w:sectPr>
      </w:pPr>
    </w:p>
    <w:p>
      <w:pPr>
        <w:spacing w:line="240" w:lineRule="auto" w:before="12"/>
        <w:rPr>
          <w:rFonts w:ascii="宋体" w:hAnsi="宋体" w:cs="宋体" w:eastAsia="宋体" w:hint="default"/>
          <w:sz w:val="21"/>
          <w:szCs w:val="21"/>
        </w:rPr>
      </w:pPr>
    </w:p>
    <w:p>
      <w:pPr>
        <w:spacing w:line="297" w:lineRule="auto" w:before="26"/>
        <w:ind w:left="140" w:right="139" w:firstLine="482"/>
        <w:jc w:val="both"/>
        <w:rPr>
          <w:rFonts w:ascii="宋体" w:hAnsi="宋体" w:cs="宋体" w:eastAsia="宋体" w:hint="default"/>
          <w:sz w:val="24"/>
          <w:szCs w:val="24"/>
        </w:rPr>
      </w:pPr>
      <w:r>
        <w:rPr>
          <w:rFonts w:ascii="宋体" w:hAnsi="宋体" w:cs="宋体" w:eastAsia="宋体" w:hint="default"/>
          <w:sz w:val="24"/>
          <w:szCs w:val="24"/>
        </w:rPr>
        <w:t>公司监事会对公司财务结构和财务状况进行了认真、细致的检查，认为公司</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z w:val="24"/>
          <w:szCs w:val="24"/>
        </w:rPr>
        <w:t> </w:t>
      </w:r>
      <w:r>
        <w:rPr>
          <w:rFonts w:ascii="宋体" w:hAnsi="宋体" w:cs="宋体" w:eastAsia="宋体" w:hint="default"/>
          <w:spacing w:val="-4"/>
          <w:sz w:val="24"/>
          <w:szCs w:val="24"/>
        </w:rPr>
        <w:t>度财务结构合理，财务状况良好。安永华明会计师事务所出具的标准无保留意见审计报告</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宋体" w:hAnsi="宋体" w:cs="宋体" w:eastAsia="宋体" w:hint="default"/>
          <w:sz w:val="24"/>
          <w:szCs w:val="24"/>
        </w:rPr>
        <w:t>和对所涉及事项作出的评价是客观公正的，公司</w:t>
      </w:r>
      <w:r>
        <w:rPr>
          <w:rFonts w:ascii="宋体" w:hAnsi="宋体" w:cs="宋体" w:eastAsia="宋体" w:hint="default"/>
          <w:spacing w:val="-59"/>
          <w:sz w:val="24"/>
          <w:szCs w:val="24"/>
        </w:rPr>
        <w:t> </w:t>
      </w:r>
      <w:r>
        <w:rPr>
          <w:rFonts w:ascii="宋体" w:hAnsi="宋体" w:cs="宋体" w:eastAsia="宋体" w:hint="default"/>
          <w:sz w:val="24"/>
          <w:szCs w:val="24"/>
        </w:rPr>
        <w:t>2009</w:t>
      </w:r>
      <w:r>
        <w:rPr>
          <w:rFonts w:ascii="宋体" w:hAnsi="宋体" w:cs="宋体" w:eastAsia="宋体" w:hint="default"/>
          <w:spacing w:val="-59"/>
          <w:sz w:val="24"/>
          <w:szCs w:val="24"/>
        </w:rPr>
        <w:t> </w:t>
      </w:r>
      <w:r>
        <w:rPr>
          <w:rFonts w:ascii="宋体" w:hAnsi="宋体" w:cs="宋体" w:eastAsia="宋体" w:hint="default"/>
          <w:sz w:val="24"/>
          <w:szCs w:val="24"/>
        </w:rPr>
        <w:t>年度财务报告能够真实反映公司的</w:t>
      </w:r>
      <w:r>
        <w:rPr>
          <w:rFonts w:ascii="宋体" w:hAnsi="宋体" w:cs="宋体" w:eastAsia="宋体" w:hint="default"/>
          <w:sz w:val="24"/>
          <w:szCs w:val="24"/>
        </w:rPr>
        <w:t> 财务状况和经营成果。</w:t>
      </w:r>
    </w:p>
    <w:p>
      <w:pPr>
        <w:spacing w:before="137"/>
        <w:ind w:left="623" w:right="140" w:firstLine="0"/>
        <w:jc w:val="left"/>
        <w:rPr>
          <w:rFonts w:ascii="宋体" w:hAnsi="宋体" w:cs="宋体" w:eastAsia="宋体" w:hint="default"/>
          <w:sz w:val="24"/>
          <w:szCs w:val="24"/>
        </w:rPr>
      </w:pPr>
      <w:r>
        <w:rPr>
          <w:rFonts w:ascii="宋体" w:hAnsi="宋体" w:cs="宋体" w:eastAsia="宋体" w:hint="default"/>
          <w:sz w:val="24"/>
          <w:szCs w:val="24"/>
        </w:rPr>
        <w:t>3、募集资金使用情况</w:t>
      </w:r>
    </w:p>
    <w:p>
      <w:pPr>
        <w:spacing w:line="388" w:lineRule="auto" w:before="194"/>
        <w:ind w:left="623" w:right="136" w:firstLine="0"/>
        <w:jc w:val="left"/>
        <w:rPr>
          <w:rFonts w:ascii="宋体" w:hAnsi="宋体" w:cs="宋体" w:eastAsia="宋体" w:hint="default"/>
          <w:sz w:val="24"/>
          <w:szCs w:val="24"/>
        </w:rPr>
      </w:pPr>
      <w:r>
        <w:rPr>
          <w:rFonts w:ascii="宋体" w:hAnsi="宋体" w:cs="宋体" w:eastAsia="宋体" w:hint="default"/>
          <w:sz w:val="24"/>
          <w:szCs w:val="24"/>
        </w:rPr>
        <w:t>截止</w:t>
      </w:r>
      <w:r>
        <w:rPr>
          <w:rFonts w:ascii="宋体" w:hAnsi="宋体" w:cs="宋体" w:eastAsia="宋体" w:hint="default"/>
          <w:spacing w:val="-60"/>
          <w:sz w:val="24"/>
          <w:szCs w:val="24"/>
        </w:rPr>
        <w:t> </w:t>
      </w:r>
      <w:r>
        <w:rPr>
          <w:rFonts w:ascii="宋体" w:hAnsi="宋体" w:cs="宋体" w:eastAsia="宋体" w:hint="default"/>
          <w:sz w:val="24"/>
          <w:szCs w:val="24"/>
        </w:rPr>
        <w:t>2006</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z w:val="24"/>
          <w:szCs w:val="24"/>
        </w:rPr>
        <w:t>日公司募集资金已全部使用完毕。</w:t>
      </w:r>
      <w:r>
        <w:rPr>
          <w:rFonts w:ascii="宋体" w:hAnsi="宋体" w:cs="宋体" w:eastAsia="宋体" w:hint="default"/>
          <w:sz w:val="24"/>
          <w:szCs w:val="24"/>
        </w:rPr>
        <w:t> 4、公司收购、出售资产情况 </w:t>
      </w:r>
      <w:r>
        <w:rPr>
          <w:rFonts w:ascii="宋体" w:hAnsi="宋体" w:cs="宋体" w:eastAsia="宋体" w:hint="default"/>
          <w:spacing w:val="-4"/>
          <w:sz w:val="24"/>
          <w:szCs w:val="24"/>
        </w:rPr>
        <w:t>报告期内，公司收购、出售资产交易价格合理，无内幕交易及损害部分股东的权益或</w:t>
      </w:r>
    </w:p>
    <w:p>
      <w:pPr>
        <w:spacing w:line="240" w:lineRule="exact" w:before="0"/>
        <w:ind w:left="140" w:right="140" w:firstLine="0"/>
        <w:jc w:val="left"/>
        <w:rPr>
          <w:rFonts w:ascii="宋体" w:hAnsi="宋体" w:cs="宋体" w:eastAsia="宋体" w:hint="default"/>
          <w:sz w:val="24"/>
          <w:szCs w:val="24"/>
        </w:rPr>
      </w:pPr>
      <w:r>
        <w:rPr>
          <w:rFonts w:ascii="宋体" w:hAnsi="宋体" w:cs="宋体" w:eastAsia="宋体" w:hint="default"/>
          <w:sz w:val="24"/>
          <w:szCs w:val="24"/>
        </w:rPr>
        <w:t>造成公司资产流失的情况发生。</w:t>
      </w:r>
    </w:p>
    <w:p>
      <w:pPr>
        <w:spacing w:line="388" w:lineRule="auto" w:before="194"/>
        <w:ind w:left="623" w:right="140" w:firstLine="0"/>
        <w:jc w:val="left"/>
        <w:rPr>
          <w:rFonts w:ascii="宋体" w:hAnsi="宋体" w:cs="宋体" w:eastAsia="宋体" w:hint="default"/>
          <w:sz w:val="24"/>
          <w:szCs w:val="24"/>
        </w:rPr>
      </w:pPr>
      <w:r>
        <w:rPr>
          <w:rFonts w:ascii="宋体" w:hAnsi="宋体" w:cs="宋体" w:eastAsia="宋体" w:hint="default"/>
          <w:sz w:val="24"/>
          <w:szCs w:val="24"/>
        </w:rPr>
        <w:t>5、关联交易情况 </w:t>
      </w:r>
      <w:r>
        <w:rPr>
          <w:rFonts w:ascii="宋体" w:hAnsi="宋体" w:cs="宋体" w:eastAsia="宋体" w:hint="default"/>
          <w:spacing w:val="-5"/>
          <w:sz w:val="24"/>
          <w:szCs w:val="24"/>
        </w:rPr>
        <w:t>报告期内，公司关联交易事项符合《公司法》、《证券法》等有关法律、法规和公司</w:t>
      </w:r>
      <w:r>
        <w:rPr>
          <w:rFonts w:ascii="宋体" w:hAnsi="宋体" w:cs="宋体" w:eastAsia="宋体" w:hint="default"/>
          <w:sz w:val="24"/>
          <w:szCs w:val="24"/>
        </w:rPr>
      </w:r>
    </w:p>
    <w:p>
      <w:pPr>
        <w:spacing w:line="240" w:lineRule="exact" w:before="0"/>
        <w:ind w:left="140" w:right="140" w:firstLine="0"/>
        <w:jc w:val="left"/>
        <w:rPr>
          <w:rFonts w:ascii="宋体" w:hAnsi="宋体" w:cs="宋体" w:eastAsia="宋体" w:hint="default"/>
          <w:sz w:val="24"/>
          <w:szCs w:val="24"/>
        </w:rPr>
      </w:pPr>
      <w:r>
        <w:rPr>
          <w:rFonts w:ascii="宋体" w:hAnsi="宋体" w:cs="宋体" w:eastAsia="宋体" w:hint="default"/>
          <w:spacing w:val="-4"/>
          <w:sz w:val="24"/>
          <w:szCs w:val="24"/>
        </w:rPr>
        <w:t>《章程》的规定。关联交易的定价合理，不存在损害公司及其他股东特别是中小股东利益</w:t>
      </w:r>
    </w:p>
    <w:p>
      <w:pPr>
        <w:spacing w:before="76"/>
        <w:ind w:left="140" w:right="140" w:firstLine="0"/>
        <w:jc w:val="left"/>
        <w:rPr>
          <w:rFonts w:ascii="宋体" w:hAnsi="宋体" w:cs="宋体" w:eastAsia="宋体" w:hint="default"/>
          <w:sz w:val="24"/>
          <w:szCs w:val="24"/>
        </w:rPr>
      </w:pPr>
      <w:r>
        <w:rPr>
          <w:rFonts w:ascii="宋体" w:hAnsi="宋体" w:cs="宋体" w:eastAsia="宋体" w:hint="default"/>
          <w:sz w:val="24"/>
          <w:szCs w:val="24"/>
        </w:rPr>
        <w:t>的情况。</w:t>
      </w:r>
    </w:p>
    <w:p>
      <w:pPr>
        <w:spacing w:line="388" w:lineRule="auto" w:before="194"/>
        <w:ind w:left="623" w:right="0" w:firstLine="0"/>
        <w:jc w:val="left"/>
        <w:rPr>
          <w:rFonts w:ascii="宋体" w:hAnsi="宋体" w:cs="宋体" w:eastAsia="宋体" w:hint="default"/>
          <w:sz w:val="24"/>
          <w:szCs w:val="24"/>
        </w:rPr>
      </w:pPr>
      <w:r>
        <w:rPr>
          <w:rFonts w:ascii="宋体" w:hAnsi="宋体" w:cs="宋体" w:eastAsia="宋体" w:hint="default"/>
          <w:sz w:val="24"/>
          <w:szCs w:val="24"/>
        </w:rPr>
        <w:t>6、股东大会决议执行情况 </w:t>
      </w:r>
      <w:r>
        <w:rPr>
          <w:rFonts w:ascii="宋体" w:hAnsi="宋体" w:cs="宋体" w:eastAsia="宋体" w:hint="default"/>
          <w:spacing w:val="-4"/>
          <w:sz w:val="24"/>
          <w:szCs w:val="24"/>
        </w:rPr>
        <w:t>公司监事会成员列席了公司董事会和股东大会会议，对公司董事会提交股东大会审议</w:t>
      </w:r>
    </w:p>
    <w:p>
      <w:pPr>
        <w:spacing w:line="240" w:lineRule="exact" w:before="0"/>
        <w:ind w:left="140" w:right="140" w:firstLine="0"/>
        <w:jc w:val="left"/>
        <w:rPr>
          <w:rFonts w:ascii="宋体" w:hAnsi="宋体" w:cs="宋体" w:eastAsia="宋体" w:hint="default"/>
          <w:sz w:val="24"/>
          <w:szCs w:val="24"/>
        </w:rPr>
      </w:pPr>
      <w:r>
        <w:rPr>
          <w:rFonts w:ascii="宋体" w:hAnsi="宋体" w:cs="宋体" w:eastAsia="宋体" w:hint="default"/>
          <w:spacing w:val="-4"/>
          <w:sz w:val="24"/>
          <w:szCs w:val="24"/>
        </w:rPr>
        <w:t>的各项报告和议案内容，公司监事会没有异议。公司监事会对股东大会的决议执行情况进</w:t>
      </w:r>
    </w:p>
    <w:p>
      <w:pPr>
        <w:spacing w:before="76"/>
        <w:ind w:left="140" w:right="140" w:firstLine="0"/>
        <w:jc w:val="left"/>
        <w:rPr>
          <w:rFonts w:ascii="宋体" w:hAnsi="宋体" w:cs="宋体" w:eastAsia="宋体" w:hint="default"/>
          <w:sz w:val="24"/>
          <w:szCs w:val="24"/>
        </w:rPr>
      </w:pPr>
      <w:r>
        <w:rPr>
          <w:rFonts w:ascii="宋体" w:hAnsi="宋体" w:cs="宋体" w:eastAsia="宋体" w:hint="default"/>
          <w:sz w:val="24"/>
          <w:szCs w:val="24"/>
        </w:rPr>
        <w:t>行了监督，认为公司董事会能够认真履行股东大会的有关决议。</w:t>
      </w:r>
    </w:p>
    <w:p>
      <w:pPr>
        <w:spacing w:after="0"/>
        <w:jc w:val="left"/>
        <w:rPr>
          <w:rFonts w:ascii="宋体" w:hAnsi="宋体" w:cs="宋体" w:eastAsia="宋体" w:hint="default"/>
          <w:sz w:val="24"/>
          <w:szCs w:val="24"/>
        </w:rPr>
        <w:sectPr>
          <w:pgSz w:w="11910" w:h="16840"/>
          <w:pgMar w:header="720" w:footer="727" w:top="1080" w:bottom="920" w:left="122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pStyle w:val="Heading3"/>
        <w:spacing w:line="240" w:lineRule="auto"/>
        <w:ind w:left="3839" w:right="3877"/>
        <w:jc w:val="center"/>
        <w:rPr>
          <w:b w:val="0"/>
          <w:bCs w:val="0"/>
        </w:rPr>
      </w:pPr>
      <w:bookmarkStart w:name="_TOC_250007" w:id="23"/>
      <w:r>
        <w:rPr/>
        <w:t>九、重要事项</w:t>
      </w:r>
      <w:bookmarkEnd w:id="23"/>
      <w:r>
        <w:rPr>
          <w:b w:val="0"/>
          <w:bCs w:val="0"/>
        </w:rPr>
      </w:r>
    </w:p>
    <w:p>
      <w:pPr>
        <w:spacing w:line="240" w:lineRule="auto" w:before="13"/>
        <w:rPr>
          <w:rFonts w:ascii="黑体" w:hAnsi="黑体" w:cs="黑体" w:eastAsia="黑体" w:hint="default"/>
          <w:b/>
          <w:bCs/>
          <w:sz w:val="27"/>
          <w:szCs w:val="27"/>
        </w:rPr>
      </w:pPr>
    </w:p>
    <w:p>
      <w:pPr>
        <w:spacing w:line="331" w:lineRule="auto" w:before="0"/>
        <w:ind w:left="540" w:right="2433" w:firstLine="0"/>
        <w:jc w:val="left"/>
        <w:rPr>
          <w:rFonts w:ascii="宋体" w:hAnsi="宋体" w:cs="宋体" w:eastAsia="宋体" w:hint="default"/>
          <w:sz w:val="24"/>
          <w:szCs w:val="24"/>
        </w:rPr>
      </w:pPr>
      <w:r>
        <w:rPr>
          <w:rFonts w:ascii="宋体" w:hAnsi="宋体" w:cs="宋体" w:eastAsia="宋体" w:hint="default"/>
          <w:b/>
          <w:bCs/>
          <w:sz w:val="24"/>
          <w:szCs w:val="24"/>
        </w:rPr>
        <w:t>(一) 重大诉讼仲裁事项</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报告期内公司无重大诉讼、仲裁事项。</w:t>
      </w:r>
    </w:p>
    <w:p>
      <w:pPr>
        <w:spacing w:line="240" w:lineRule="auto" w:before="0"/>
        <w:rPr>
          <w:rFonts w:ascii="宋体" w:hAnsi="宋体" w:cs="宋体" w:eastAsia="宋体" w:hint="default"/>
          <w:sz w:val="24"/>
          <w:szCs w:val="24"/>
        </w:rPr>
      </w:pPr>
    </w:p>
    <w:p>
      <w:pPr>
        <w:spacing w:line="240" w:lineRule="auto" w:before="13"/>
        <w:rPr>
          <w:rFonts w:ascii="宋体" w:hAnsi="宋体" w:cs="宋体" w:eastAsia="宋体" w:hint="default"/>
          <w:sz w:val="31"/>
          <w:szCs w:val="31"/>
        </w:rPr>
      </w:pPr>
    </w:p>
    <w:p>
      <w:pPr>
        <w:spacing w:line="328" w:lineRule="auto" w:before="0"/>
        <w:ind w:left="620" w:right="5084" w:hanging="81"/>
        <w:jc w:val="left"/>
        <w:rPr>
          <w:rFonts w:ascii="宋体" w:hAnsi="宋体" w:cs="宋体" w:eastAsia="宋体" w:hint="default"/>
          <w:sz w:val="24"/>
          <w:szCs w:val="24"/>
        </w:rPr>
      </w:pPr>
      <w:r>
        <w:rPr>
          <w:rFonts w:ascii="宋体" w:hAnsi="宋体" w:cs="宋体" w:eastAsia="宋体" w:hint="default"/>
          <w:b/>
          <w:bCs/>
          <w:sz w:val="24"/>
          <w:szCs w:val="24"/>
        </w:rPr>
        <w:t>(二) 破产重整相关事项</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报告期内公司无破产重整相关事项。</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32"/>
          <w:szCs w:val="32"/>
        </w:rPr>
      </w:pPr>
    </w:p>
    <w:p>
      <w:pPr>
        <w:spacing w:line="328" w:lineRule="auto" w:before="0"/>
        <w:ind w:left="620" w:right="1364" w:hanging="81"/>
        <w:jc w:val="left"/>
        <w:rPr>
          <w:rFonts w:ascii="宋体" w:hAnsi="宋体" w:cs="宋体" w:eastAsia="宋体" w:hint="default"/>
          <w:sz w:val="24"/>
          <w:szCs w:val="24"/>
        </w:rPr>
      </w:pPr>
      <w:r>
        <w:rPr>
          <w:rFonts w:ascii="宋体" w:hAnsi="宋体" w:cs="宋体" w:eastAsia="宋体" w:hint="default"/>
          <w:b/>
          <w:bCs/>
          <w:sz w:val="24"/>
          <w:szCs w:val="24"/>
        </w:rPr>
        <w:t>(三) 公司持有其他上市公司股权、参股金融企业股权情况</w:t>
      </w:r>
      <w:r>
        <w:rPr>
          <w:rFonts w:ascii="宋体" w:hAnsi="宋体" w:cs="宋体" w:eastAsia="宋体" w:hint="default"/>
          <w:b/>
          <w:bCs/>
          <w:spacing w:val="1"/>
          <w:w w:val="99"/>
          <w:sz w:val="24"/>
          <w:szCs w:val="24"/>
        </w:rPr>
        <w:t> </w:t>
      </w:r>
      <w:r>
        <w:rPr>
          <w:rFonts w:ascii="宋体" w:hAnsi="宋体" w:cs="宋体" w:eastAsia="宋体" w:hint="default"/>
          <w:sz w:val="24"/>
          <w:szCs w:val="24"/>
        </w:rPr>
        <w:t>1、报告期末公司无持有其他上市公司股权、参股金融企业股权的情况。</w:t>
      </w:r>
    </w:p>
    <w:p>
      <w:pPr>
        <w:pStyle w:val="Heading7"/>
        <w:spacing w:line="240" w:lineRule="auto" w:before="106"/>
        <w:ind w:left="620" w:right="2433"/>
        <w:jc w:val="left"/>
      </w:pPr>
      <w:r>
        <w:rPr/>
        <w:t>2、报告期内公司买卖其他上市公司股份的情况</w:t>
      </w:r>
    </w:p>
    <w:p>
      <w:pPr>
        <w:spacing w:line="240" w:lineRule="auto" w:before="13"/>
        <w:rPr>
          <w:rFonts w:ascii="宋体" w:hAnsi="宋体" w:cs="宋体" w:eastAsia="宋体" w:hint="default"/>
          <w:sz w:val="17"/>
          <w:szCs w:val="17"/>
        </w:rPr>
      </w:pPr>
    </w:p>
    <w:tbl>
      <w:tblPr>
        <w:tblW w:w="0" w:type="auto"/>
        <w:jc w:val="left"/>
        <w:tblInd w:w="125" w:type="dxa"/>
        <w:tblLayout w:type="fixed"/>
        <w:tblCellMar>
          <w:top w:w="0" w:type="dxa"/>
          <w:left w:w="0" w:type="dxa"/>
          <w:bottom w:w="0" w:type="dxa"/>
          <w:right w:w="0" w:type="dxa"/>
        </w:tblCellMar>
        <w:tblLook w:val="01E0"/>
      </w:tblPr>
      <w:tblGrid>
        <w:gridCol w:w="1324"/>
        <w:gridCol w:w="1420"/>
        <w:gridCol w:w="1266"/>
        <w:gridCol w:w="1372"/>
        <w:gridCol w:w="1225"/>
        <w:gridCol w:w="1324"/>
        <w:gridCol w:w="1370"/>
      </w:tblGrid>
      <w:tr>
        <w:trPr>
          <w:trHeight w:val="832" w:hRule="exact"/>
        </w:trPr>
        <w:tc>
          <w:tcPr>
            <w:tcW w:w="1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34" w:right="0"/>
              <w:jc w:val="left"/>
              <w:rPr>
                <w:rFonts w:ascii="宋体" w:hAnsi="宋体" w:cs="宋体" w:eastAsia="宋体" w:hint="default"/>
                <w:sz w:val="21"/>
                <w:szCs w:val="21"/>
              </w:rPr>
            </w:pPr>
            <w:r>
              <w:rPr>
                <w:rFonts w:ascii="宋体" w:hAnsi="宋体" w:cs="宋体" w:eastAsia="宋体" w:hint="default"/>
                <w:sz w:val="21"/>
                <w:szCs w:val="21"/>
              </w:rPr>
              <w:t>买卖方向</w:t>
            </w:r>
          </w:p>
        </w:tc>
        <w:tc>
          <w:tcPr>
            <w:tcW w:w="14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81" w:right="0"/>
              <w:jc w:val="left"/>
              <w:rPr>
                <w:rFonts w:ascii="宋体" w:hAnsi="宋体" w:cs="宋体" w:eastAsia="宋体" w:hint="default"/>
                <w:sz w:val="21"/>
                <w:szCs w:val="21"/>
              </w:rPr>
            </w:pPr>
            <w:r>
              <w:rPr>
                <w:rFonts w:ascii="宋体" w:hAnsi="宋体" w:cs="宋体" w:eastAsia="宋体" w:hint="default"/>
                <w:sz w:val="21"/>
                <w:szCs w:val="21"/>
              </w:rPr>
              <w:t>股份名称</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205" w:right="98" w:hanging="105"/>
              <w:jc w:val="left"/>
              <w:rPr>
                <w:rFonts w:ascii="宋体" w:hAnsi="宋体" w:cs="宋体" w:eastAsia="宋体" w:hint="default"/>
                <w:sz w:val="21"/>
                <w:szCs w:val="21"/>
              </w:rPr>
            </w:pPr>
            <w:r>
              <w:rPr>
                <w:rFonts w:ascii="宋体" w:hAnsi="宋体" w:cs="宋体" w:eastAsia="宋体" w:hint="default"/>
                <w:sz w:val="21"/>
                <w:szCs w:val="21"/>
              </w:rPr>
              <w:t>期初股份数 量（股）</w:t>
            </w:r>
          </w:p>
        </w:tc>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53" w:right="0" w:hanging="53"/>
              <w:jc w:val="left"/>
              <w:rPr>
                <w:rFonts w:ascii="宋体" w:hAnsi="宋体" w:cs="宋体" w:eastAsia="宋体" w:hint="default"/>
                <w:sz w:val="21"/>
                <w:szCs w:val="21"/>
              </w:rPr>
            </w:pPr>
            <w:r>
              <w:rPr>
                <w:rFonts w:ascii="宋体" w:hAnsi="宋体" w:cs="宋体" w:eastAsia="宋体" w:hint="default"/>
                <w:sz w:val="21"/>
                <w:szCs w:val="21"/>
              </w:rPr>
              <w:t>报告期买入/</w:t>
            </w:r>
          </w:p>
          <w:p>
            <w:pPr>
              <w:pStyle w:val="TableParagraph"/>
              <w:spacing w:line="272" w:lineRule="exact" w:before="26"/>
              <w:ind w:left="257" w:right="151" w:hanging="105"/>
              <w:jc w:val="left"/>
              <w:rPr>
                <w:rFonts w:ascii="宋体" w:hAnsi="宋体" w:cs="宋体" w:eastAsia="宋体" w:hint="default"/>
                <w:sz w:val="21"/>
                <w:szCs w:val="21"/>
              </w:rPr>
            </w:pPr>
            <w:r>
              <w:rPr>
                <w:rFonts w:ascii="宋体" w:hAnsi="宋体" w:cs="宋体" w:eastAsia="宋体" w:hint="default"/>
                <w:sz w:val="21"/>
                <w:szCs w:val="21"/>
              </w:rPr>
              <w:t>卖出股份数 量（股）</w:t>
            </w:r>
          </w:p>
        </w:tc>
        <w:tc>
          <w:tcPr>
            <w:tcW w:w="1225"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58" w:firstLine="85"/>
              <w:jc w:val="left"/>
              <w:rPr>
                <w:rFonts w:ascii="宋体" w:hAnsi="宋体" w:cs="宋体" w:eastAsia="宋体" w:hint="default"/>
                <w:sz w:val="21"/>
                <w:szCs w:val="21"/>
              </w:rPr>
            </w:pPr>
            <w:r>
              <w:rPr>
                <w:rFonts w:ascii="宋体" w:hAnsi="宋体" w:cs="宋体" w:eastAsia="宋体" w:hint="default"/>
                <w:sz w:val="21"/>
                <w:szCs w:val="21"/>
              </w:rPr>
              <w:t>期末股份 数量（股）</w:t>
            </w:r>
          </w:p>
        </w:tc>
        <w:tc>
          <w:tcPr>
            <w:tcW w:w="132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29" w:right="127"/>
              <w:jc w:val="left"/>
              <w:rPr>
                <w:rFonts w:ascii="宋体" w:hAnsi="宋体" w:cs="宋体" w:eastAsia="宋体" w:hint="default"/>
                <w:sz w:val="21"/>
                <w:szCs w:val="21"/>
              </w:rPr>
            </w:pPr>
            <w:r>
              <w:rPr>
                <w:rFonts w:ascii="宋体" w:hAnsi="宋体" w:cs="宋体" w:eastAsia="宋体" w:hint="default"/>
                <w:sz w:val="21"/>
                <w:szCs w:val="21"/>
              </w:rPr>
              <w:t>使用的资金 数量（元）</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53" w:right="150"/>
              <w:jc w:val="left"/>
              <w:rPr>
                <w:rFonts w:ascii="宋体" w:hAnsi="宋体" w:cs="宋体" w:eastAsia="宋体" w:hint="default"/>
                <w:sz w:val="21"/>
                <w:szCs w:val="21"/>
              </w:rPr>
            </w:pPr>
            <w:r>
              <w:rPr>
                <w:rFonts w:ascii="宋体" w:hAnsi="宋体" w:cs="宋体" w:eastAsia="宋体" w:hint="default"/>
                <w:sz w:val="21"/>
                <w:szCs w:val="21"/>
              </w:rPr>
              <w:t>产生的投资 收益（元）</w:t>
            </w:r>
          </w:p>
        </w:tc>
      </w:tr>
      <w:tr>
        <w:trPr>
          <w:trHeight w:val="288" w:hRule="exact"/>
        </w:trPr>
        <w:tc>
          <w:tcPr>
            <w:tcW w:w="132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卖出</w:t>
            </w:r>
          </w:p>
        </w:tc>
        <w:tc>
          <w:tcPr>
            <w:tcW w:w="142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北京银行</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31,000,000</w:t>
            </w:r>
          </w:p>
        </w:tc>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-31,000,000</w:t>
            </w:r>
          </w:p>
        </w:tc>
        <w:tc>
          <w:tcPr>
            <w:tcW w:w="122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c>
          <w:tcPr>
            <w:tcW w:w="1324"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267,269,692</w:t>
            </w:r>
          </w:p>
        </w:tc>
      </w:tr>
    </w:tbl>
    <w:p>
      <w:pPr>
        <w:spacing w:after="0" w:line="241" w:lineRule="exact"/>
        <w:jc w:val="left"/>
        <w:rPr>
          <w:rFonts w:ascii="宋体" w:hAnsi="宋体" w:cs="宋体" w:eastAsia="宋体" w:hint="default"/>
          <w:sz w:val="21"/>
          <w:szCs w:val="21"/>
        </w:rPr>
        <w:sectPr>
          <w:pgSz w:w="11910" w:h="16840"/>
          <w:pgMar w:header="720" w:footer="727" w:top="1080" w:bottom="920" w:left="1220" w:right="1120"/>
        </w:sectPr>
      </w:pPr>
    </w:p>
    <w:p>
      <w:pPr>
        <w:pStyle w:val="BodyText"/>
        <w:spacing w:line="240" w:lineRule="auto" w:before="75"/>
        <w:ind w:left="153" w:right="0"/>
        <w:jc w:val="left"/>
        <w:rPr>
          <w:rFonts w:ascii="宋体" w:hAnsi="宋体" w:cs="宋体" w:eastAsia="宋体" w:hint="default"/>
          <w:sz w:val="21"/>
          <w:szCs w:val="21"/>
        </w:rPr>
      </w:pPr>
      <w:r>
        <w:rPr/>
        <w:drawing>
          <wp:inline distT="0" distB="0" distL="0" distR="0">
            <wp:extent cx="1409700" cy="172973"/>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15" cstate="print"/>
                    <a:stretch>
                      <a:fillRect/>
                    </a:stretch>
                  </pic:blipFill>
                  <pic:spPr>
                    <a:xfrm>
                      <a:off x="0" y="0"/>
                      <a:ext cx="1409700" cy="172973"/>
                    </a:xfrm>
                    <a:prstGeom prst="rect">
                      <a:avLst/>
                    </a:prstGeom>
                  </pic:spPr>
                </pic:pic>
              </a:graphicData>
            </a:graphic>
          </wp:inline>
        </w:drawing>
      </w:r>
      <w:r>
        <w:rPr/>
      </w:r>
      <w:r>
        <w:rPr>
          <w:rFonts w:ascii="Times New Roman" w:hAnsi="Times New Roman" w:cs="Times New Roman" w:eastAsia="Times New Roman" w:hint="default"/>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年年度报告</w:t>
      </w:r>
    </w:p>
    <w:p>
      <w:pPr>
        <w:spacing w:line="240" w:lineRule="auto" w:before="13"/>
        <w:rPr>
          <w:rFonts w:ascii="宋体" w:hAnsi="宋体" w:cs="宋体" w:eastAsia="宋体" w:hint="default"/>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717pt;height:.75pt;mso-position-horizontal-relative:char;mso-position-vertical-relative:line" coordorigin="0,0" coordsize="14340,15">
            <v:group style="position:absolute;left:7;top:7;width:14326;height:2" coordorigin="7,7" coordsize="14326,2">
              <v:shape style="position:absolute;left:7;top:7;width:14326;height:2" coordorigin="7,7" coordsize="14326,0" path="m7,7l1433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8"/>
          <w:szCs w:val="28"/>
        </w:rPr>
      </w:pPr>
    </w:p>
    <w:p>
      <w:pPr>
        <w:spacing w:line="328" w:lineRule="auto" w:before="26"/>
        <w:ind w:left="633" w:right="8584" w:hanging="81"/>
        <w:jc w:val="left"/>
        <w:rPr>
          <w:rFonts w:ascii="宋体" w:hAnsi="宋体" w:cs="宋体" w:eastAsia="宋体" w:hint="default"/>
          <w:sz w:val="24"/>
          <w:szCs w:val="24"/>
        </w:rPr>
      </w:pPr>
      <w:r>
        <w:rPr>
          <w:rFonts w:ascii="宋体" w:hAnsi="宋体" w:cs="宋体" w:eastAsia="宋体" w:hint="default"/>
          <w:b/>
          <w:bCs/>
          <w:sz w:val="24"/>
          <w:szCs w:val="24"/>
        </w:rPr>
        <w:t>(四)</w:t>
      </w:r>
      <w:r>
        <w:rPr>
          <w:rFonts w:ascii="宋体" w:hAnsi="宋体" w:cs="宋体" w:eastAsia="宋体" w:hint="default"/>
          <w:b/>
          <w:bCs/>
          <w:spacing w:val="1"/>
          <w:sz w:val="24"/>
          <w:szCs w:val="24"/>
        </w:rPr>
        <w:t> </w:t>
      </w:r>
      <w:r>
        <w:rPr>
          <w:rFonts w:ascii="宋体" w:hAnsi="宋体" w:cs="宋体" w:eastAsia="宋体" w:hint="default"/>
          <w:b/>
          <w:bCs/>
          <w:sz w:val="24"/>
          <w:szCs w:val="24"/>
        </w:rPr>
        <w:t>报告期内公司收购及出售资产、吸收合并事项</w:t>
      </w:r>
      <w:r>
        <w:rPr>
          <w:rFonts w:ascii="宋体" w:hAnsi="宋体" w:cs="宋体" w:eastAsia="宋体" w:hint="default"/>
          <w:b/>
          <w:bCs/>
          <w:spacing w:val="1"/>
          <w:w w:val="99"/>
          <w:sz w:val="24"/>
          <w:szCs w:val="24"/>
        </w:rPr>
        <w:t> </w:t>
      </w:r>
      <w:r>
        <w:rPr>
          <w:rFonts w:ascii="宋体" w:hAnsi="宋体" w:cs="宋体" w:eastAsia="宋体" w:hint="default"/>
          <w:sz w:val="24"/>
          <w:szCs w:val="24"/>
        </w:rPr>
        <w:t>1、收购股权情况</w:t>
      </w:r>
    </w:p>
    <w:p>
      <w:pPr>
        <w:spacing w:line="240" w:lineRule="auto" w:before="1"/>
        <w:rPr>
          <w:rFonts w:ascii="宋体" w:hAnsi="宋体" w:cs="宋体" w:eastAsia="宋体" w:hint="default"/>
          <w:sz w:val="11"/>
          <w:szCs w:val="11"/>
        </w:rPr>
      </w:pPr>
    </w:p>
    <w:tbl>
      <w:tblPr>
        <w:tblW w:w="0" w:type="auto"/>
        <w:jc w:val="left"/>
        <w:tblInd w:w="138" w:type="dxa"/>
        <w:tblLayout w:type="fixed"/>
        <w:tblCellMar>
          <w:top w:w="0" w:type="dxa"/>
          <w:left w:w="0" w:type="dxa"/>
          <w:bottom w:w="0" w:type="dxa"/>
          <w:right w:w="0" w:type="dxa"/>
        </w:tblCellMar>
        <w:tblLook w:val="01E0"/>
      </w:tblPr>
      <w:tblGrid>
        <w:gridCol w:w="1608"/>
        <w:gridCol w:w="1800"/>
        <w:gridCol w:w="1200"/>
        <w:gridCol w:w="1500"/>
        <w:gridCol w:w="1200"/>
        <w:gridCol w:w="1301"/>
        <w:gridCol w:w="1000"/>
        <w:gridCol w:w="1100"/>
        <w:gridCol w:w="1000"/>
        <w:gridCol w:w="900"/>
        <w:gridCol w:w="1000"/>
        <w:gridCol w:w="701"/>
      </w:tblGrid>
      <w:tr>
        <w:trPr>
          <w:trHeight w:val="2194" w:hRule="exact"/>
        </w:trPr>
        <w:tc>
          <w:tcPr>
            <w:tcW w:w="16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72" w:lineRule="exact"/>
              <w:ind w:left="376" w:right="164" w:hanging="210"/>
              <w:jc w:val="left"/>
              <w:rPr>
                <w:rFonts w:ascii="宋体" w:hAnsi="宋体" w:cs="宋体" w:eastAsia="宋体" w:hint="default"/>
                <w:sz w:val="21"/>
                <w:szCs w:val="21"/>
              </w:rPr>
            </w:pPr>
            <w:r>
              <w:rPr>
                <w:rFonts w:ascii="宋体" w:hAnsi="宋体" w:cs="宋体" w:eastAsia="宋体" w:hint="default"/>
                <w:sz w:val="21"/>
                <w:szCs w:val="21"/>
              </w:rPr>
              <w:t>交易对方或最 终控制方</w:t>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3"/>
              <w:ind w:left="367" w:right="0"/>
              <w:jc w:val="left"/>
              <w:rPr>
                <w:rFonts w:ascii="宋体" w:hAnsi="宋体" w:cs="宋体" w:eastAsia="宋体" w:hint="default"/>
                <w:sz w:val="21"/>
                <w:szCs w:val="21"/>
              </w:rPr>
            </w:pPr>
            <w:r>
              <w:rPr>
                <w:rFonts w:ascii="宋体" w:hAnsi="宋体" w:cs="宋体" w:eastAsia="宋体" w:hint="default"/>
                <w:sz w:val="21"/>
                <w:szCs w:val="21"/>
              </w:rPr>
              <w:t>被收购资产</w:t>
            </w:r>
          </w:p>
        </w:tc>
        <w:tc>
          <w:tcPr>
            <w:tcW w:w="12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3"/>
              <w:ind w:left="277" w:right="0"/>
              <w:jc w:val="left"/>
              <w:rPr>
                <w:rFonts w:ascii="宋体" w:hAnsi="宋体" w:cs="宋体" w:eastAsia="宋体" w:hint="default"/>
                <w:sz w:val="21"/>
                <w:szCs w:val="21"/>
              </w:rPr>
            </w:pPr>
            <w:r>
              <w:rPr>
                <w:rFonts w:ascii="宋体" w:hAnsi="宋体" w:cs="宋体" w:eastAsia="宋体" w:hint="default"/>
                <w:sz w:val="21"/>
                <w:szCs w:val="21"/>
              </w:rPr>
              <w:t>购买日</w:t>
            </w:r>
          </w:p>
        </w:tc>
        <w:tc>
          <w:tcPr>
            <w:tcW w:w="15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3"/>
              <w:ind w:right="110"/>
              <w:jc w:val="right"/>
              <w:rPr>
                <w:rFonts w:ascii="宋体" w:hAnsi="宋体" w:cs="宋体" w:eastAsia="宋体" w:hint="default"/>
                <w:sz w:val="21"/>
                <w:szCs w:val="21"/>
              </w:rPr>
            </w:pPr>
            <w:r>
              <w:rPr>
                <w:rFonts w:ascii="宋体" w:hAnsi="宋体" w:cs="宋体" w:eastAsia="宋体" w:hint="default"/>
                <w:sz w:val="21"/>
                <w:szCs w:val="21"/>
              </w:rPr>
              <w:t>资产收购价格</w:t>
            </w:r>
          </w:p>
        </w:tc>
        <w:tc>
          <w:tcPr>
            <w:tcW w:w="12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72" w:right="170"/>
              <w:jc w:val="center"/>
              <w:rPr>
                <w:rFonts w:ascii="宋体" w:hAnsi="宋体" w:cs="宋体" w:eastAsia="宋体" w:hint="default"/>
                <w:sz w:val="21"/>
                <w:szCs w:val="21"/>
              </w:rPr>
            </w:pPr>
            <w:r>
              <w:rPr>
                <w:rFonts w:ascii="宋体" w:hAnsi="宋体" w:cs="宋体" w:eastAsia="宋体" w:hint="default"/>
                <w:sz w:val="21"/>
                <w:szCs w:val="21"/>
              </w:rPr>
              <w:t>自收购日 起至报告 期末为上 市公司贡 献的净利 润</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17" w:right="116"/>
              <w:jc w:val="both"/>
              <w:rPr>
                <w:rFonts w:ascii="宋体" w:hAnsi="宋体" w:cs="宋体" w:eastAsia="宋体" w:hint="default"/>
                <w:sz w:val="21"/>
                <w:szCs w:val="21"/>
              </w:rPr>
            </w:pPr>
            <w:r>
              <w:rPr>
                <w:rFonts w:ascii="宋体" w:hAnsi="宋体" w:cs="宋体" w:eastAsia="宋体" w:hint="default"/>
                <w:sz w:val="21"/>
                <w:szCs w:val="21"/>
              </w:rPr>
              <w:t>自本年初至 本期末为上 市公司贡献 的净利润</w:t>
            </w:r>
          </w:p>
          <w:p>
            <w:pPr>
              <w:pStyle w:val="TableParagraph"/>
              <w:spacing w:line="272" w:lineRule="exact"/>
              <w:ind w:left="117" w:right="116"/>
              <w:jc w:val="both"/>
              <w:rPr>
                <w:rFonts w:ascii="宋体" w:hAnsi="宋体" w:cs="宋体" w:eastAsia="宋体" w:hint="default"/>
                <w:sz w:val="21"/>
                <w:szCs w:val="21"/>
              </w:rPr>
            </w:pPr>
            <w:r>
              <w:rPr>
                <w:rFonts w:ascii="宋体" w:hAnsi="宋体" w:cs="宋体" w:eastAsia="宋体" w:hint="default"/>
                <w:sz w:val="21"/>
                <w:szCs w:val="21"/>
              </w:rPr>
              <w:t>（适用于同 一控制下的 企业合并）</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00" w:right="99"/>
              <w:jc w:val="center"/>
              <w:rPr>
                <w:rFonts w:ascii="宋体" w:hAnsi="宋体" w:cs="宋体" w:eastAsia="宋体" w:hint="default"/>
                <w:sz w:val="21"/>
                <w:szCs w:val="21"/>
              </w:rPr>
            </w:pPr>
            <w:r>
              <w:rPr>
                <w:rFonts w:ascii="宋体" w:hAnsi="宋体" w:cs="宋体" w:eastAsia="宋体" w:hint="default"/>
                <w:sz w:val="21"/>
                <w:szCs w:val="21"/>
              </w:rPr>
              <w:t>是否为 关联交 易（如 </w:t>
            </w:r>
            <w:r>
              <w:rPr>
                <w:rFonts w:ascii="宋体" w:hAnsi="宋体" w:cs="宋体" w:eastAsia="宋体" w:hint="default"/>
                <w:spacing w:val="-15"/>
                <w:sz w:val="21"/>
                <w:szCs w:val="21"/>
              </w:rPr>
              <w:t>是，说明</w:t>
            </w:r>
            <w:r>
              <w:rPr>
                <w:rFonts w:ascii="宋体" w:hAnsi="宋体" w:cs="宋体" w:eastAsia="宋体" w:hint="default"/>
                <w:sz w:val="21"/>
                <w:szCs w:val="21"/>
              </w:rPr>
              <w:t> 定价原 则）</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72" w:lineRule="exact"/>
              <w:ind w:left="122" w:right="123"/>
              <w:jc w:val="left"/>
              <w:rPr>
                <w:rFonts w:ascii="宋体" w:hAnsi="宋体" w:cs="宋体" w:eastAsia="宋体" w:hint="default"/>
                <w:sz w:val="21"/>
                <w:szCs w:val="21"/>
              </w:rPr>
            </w:pPr>
            <w:r>
              <w:rPr>
                <w:rFonts w:ascii="宋体" w:hAnsi="宋体" w:cs="宋体" w:eastAsia="宋体" w:hint="default"/>
                <w:sz w:val="21"/>
                <w:szCs w:val="21"/>
              </w:rPr>
              <w:t>资产收购 定价原则</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39"/>
              <w:ind w:left="177" w:right="175"/>
              <w:jc w:val="both"/>
              <w:rPr>
                <w:rFonts w:ascii="宋体" w:hAnsi="宋体" w:cs="宋体" w:eastAsia="宋体" w:hint="default"/>
                <w:sz w:val="21"/>
                <w:szCs w:val="21"/>
              </w:rPr>
            </w:pPr>
            <w:r>
              <w:rPr>
                <w:rFonts w:ascii="宋体" w:hAnsi="宋体" w:cs="宋体" w:eastAsia="宋体" w:hint="default"/>
                <w:sz w:val="21"/>
                <w:szCs w:val="21"/>
              </w:rPr>
              <w:t>所涉及 的资产 产权是 否已全 部过户</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39"/>
              <w:ind w:left="126" w:right="126"/>
              <w:jc w:val="both"/>
              <w:rPr>
                <w:rFonts w:ascii="宋体" w:hAnsi="宋体" w:cs="宋体" w:eastAsia="宋体" w:hint="default"/>
                <w:sz w:val="21"/>
                <w:szCs w:val="21"/>
              </w:rPr>
            </w:pPr>
            <w:r>
              <w:rPr>
                <w:rFonts w:ascii="宋体" w:hAnsi="宋体" w:cs="宋体" w:eastAsia="宋体" w:hint="default"/>
                <w:sz w:val="21"/>
                <w:szCs w:val="21"/>
              </w:rPr>
              <w:t>所涉及 的债权 债务是 否已全 部转移</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77" w:right="0"/>
              <w:jc w:val="both"/>
              <w:rPr>
                <w:rFonts w:ascii="宋体" w:hAnsi="宋体" w:cs="宋体" w:eastAsia="宋体" w:hint="default"/>
                <w:sz w:val="21"/>
                <w:szCs w:val="21"/>
              </w:rPr>
            </w:pPr>
            <w:r>
              <w:rPr>
                <w:rFonts w:ascii="宋体" w:hAnsi="宋体" w:cs="宋体" w:eastAsia="宋体" w:hint="default"/>
                <w:sz w:val="21"/>
                <w:szCs w:val="21"/>
              </w:rPr>
              <w:t>该资产</w:t>
            </w:r>
          </w:p>
          <w:p>
            <w:pPr>
              <w:pStyle w:val="TableParagraph"/>
              <w:spacing w:line="272" w:lineRule="exact" w:before="26"/>
              <w:ind w:left="177" w:right="175"/>
              <w:jc w:val="both"/>
              <w:rPr>
                <w:rFonts w:ascii="宋体" w:hAnsi="宋体" w:cs="宋体" w:eastAsia="宋体" w:hint="default"/>
                <w:sz w:val="21"/>
                <w:szCs w:val="21"/>
              </w:rPr>
            </w:pPr>
            <w:r>
              <w:rPr>
                <w:rFonts w:ascii="宋体" w:hAnsi="宋体" w:cs="宋体" w:eastAsia="宋体" w:hint="default"/>
                <w:sz w:val="21"/>
                <w:szCs w:val="21"/>
              </w:rPr>
              <w:t>为上市 公司贡 献的净 利润占 利润总 额的比 例(%)</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72" w:lineRule="exact"/>
              <w:ind w:left="131" w:right="132"/>
              <w:jc w:val="left"/>
              <w:rPr>
                <w:rFonts w:ascii="宋体" w:hAnsi="宋体" w:cs="宋体" w:eastAsia="宋体" w:hint="default"/>
                <w:sz w:val="21"/>
                <w:szCs w:val="21"/>
              </w:rPr>
            </w:pPr>
            <w:r>
              <w:rPr>
                <w:rFonts w:ascii="宋体" w:hAnsi="宋体" w:cs="宋体" w:eastAsia="宋体" w:hint="default"/>
                <w:sz w:val="21"/>
                <w:szCs w:val="21"/>
              </w:rPr>
              <w:t>关联 关系</w:t>
            </w:r>
          </w:p>
        </w:tc>
      </w:tr>
      <w:tr>
        <w:trPr>
          <w:trHeight w:val="833" w:hRule="exact"/>
        </w:trPr>
        <w:tc>
          <w:tcPr>
            <w:tcW w:w="16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蒋芝蓉</w:t>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北京用友审计软</w:t>
            </w:r>
          </w:p>
          <w:p>
            <w:pPr>
              <w:pStyle w:val="TableParagraph"/>
              <w:spacing w:line="272" w:lineRule="exact" w:before="26"/>
              <w:ind w:left="100" w:right="265"/>
              <w:jc w:val="left"/>
              <w:rPr>
                <w:rFonts w:ascii="宋体" w:hAnsi="宋体" w:cs="宋体" w:eastAsia="宋体" w:hint="default"/>
                <w:sz w:val="21"/>
                <w:szCs w:val="21"/>
              </w:rPr>
            </w:pPr>
            <w:r>
              <w:rPr>
                <w:rFonts w:ascii="宋体" w:hAnsi="宋体" w:cs="宋体" w:eastAsia="宋体" w:hint="default"/>
                <w:sz w:val="21"/>
                <w:szCs w:val="21"/>
              </w:rPr>
              <w:t>件有限公司</w:t>
            </w:r>
            <w:r>
              <w:rPr>
                <w:rFonts w:ascii="宋体" w:hAnsi="宋体" w:cs="宋体" w:eastAsia="宋体" w:hint="default"/>
                <w:spacing w:val="-53"/>
                <w:sz w:val="21"/>
                <w:szCs w:val="21"/>
              </w:rPr>
              <w:t> </w:t>
            </w:r>
            <w:r>
              <w:rPr>
                <w:rFonts w:ascii="宋体" w:hAnsi="宋体" w:cs="宋体" w:eastAsia="宋体" w:hint="default"/>
                <w:sz w:val="21"/>
                <w:szCs w:val="21"/>
              </w:rPr>
              <w:t>12%</w:t>
            </w:r>
            <w:r>
              <w:rPr>
                <w:rFonts w:ascii="宋体" w:hAnsi="宋体" w:cs="宋体" w:eastAsia="宋体" w:hint="default"/>
                <w:sz w:val="21"/>
                <w:szCs w:val="21"/>
              </w:rPr>
              <w:t> 股权</w:t>
            </w:r>
          </w:p>
        </w:tc>
        <w:tc>
          <w:tcPr>
            <w:tcW w:w="120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17日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15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776,470</w:t>
            </w:r>
          </w:p>
        </w:tc>
        <w:tc>
          <w:tcPr>
            <w:tcW w:w="12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z w:val="21"/>
              </w:rPr>
              <w:t>380,491</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0.06</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832" w:hRule="exact"/>
        </w:trPr>
        <w:tc>
          <w:tcPr>
            <w:tcW w:w="16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马权</w:t>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北京用友审计软</w:t>
            </w:r>
          </w:p>
          <w:p>
            <w:pPr>
              <w:pStyle w:val="TableParagraph"/>
              <w:spacing w:line="272" w:lineRule="exact" w:before="26"/>
              <w:ind w:left="100" w:right="160"/>
              <w:jc w:val="left"/>
              <w:rPr>
                <w:rFonts w:ascii="宋体" w:hAnsi="宋体" w:cs="宋体" w:eastAsia="宋体" w:hint="default"/>
                <w:sz w:val="21"/>
                <w:szCs w:val="21"/>
              </w:rPr>
            </w:pPr>
            <w:r>
              <w:rPr>
                <w:rFonts w:ascii="宋体" w:hAnsi="宋体" w:cs="宋体" w:eastAsia="宋体" w:hint="default"/>
                <w:sz w:val="21"/>
                <w:szCs w:val="21"/>
              </w:rPr>
              <w:t>件有限公司</w:t>
            </w:r>
            <w:r>
              <w:rPr>
                <w:rFonts w:ascii="宋体" w:hAnsi="宋体" w:cs="宋体" w:eastAsia="宋体" w:hint="default"/>
                <w:spacing w:val="-53"/>
                <w:sz w:val="21"/>
                <w:szCs w:val="21"/>
              </w:rPr>
              <w:t> </w:t>
            </w:r>
            <w:r>
              <w:rPr>
                <w:rFonts w:ascii="宋体" w:hAnsi="宋体" w:cs="宋体" w:eastAsia="宋体" w:hint="default"/>
                <w:sz w:val="21"/>
                <w:szCs w:val="21"/>
              </w:rPr>
              <w:t>5%的</w:t>
            </w:r>
            <w:r>
              <w:rPr>
                <w:rFonts w:ascii="宋体" w:hAnsi="宋体" w:cs="宋体" w:eastAsia="宋体" w:hint="default"/>
                <w:sz w:val="21"/>
                <w:szCs w:val="21"/>
              </w:rPr>
              <w:t> 股权</w:t>
            </w:r>
          </w:p>
        </w:tc>
        <w:tc>
          <w:tcPr>
            <w:tcW w:w="120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17日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15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323,530</w:t>
            </w:r>
          </w:p>
        </w:tc>
        <w:tc>
          <w:tcPr>
            <w:tcW w:w="12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158,538</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z w:val="21"/>
              </w:rPr>
              <w:t>0.02</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833" w:hRule="exact"/>
        </w:trPr>
        <w:tc>
          <w:tcPr>
            <w:tcW w:w="16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唐爱平</w:t>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北京用友华表软</w:t>
            </w:r>
          </w:p>
          <w:p>
            <w:pPr>
              <w:pStyle w:val="TableParagraph"/>
              <w:spacing w:line="272" w:lineRule="exact" w:before="26"/>
              <w:ind w:left="100" w:right="212"/>
              <w:jc w:val="left"/>
              <w:rPr>
                <w:rFonts w:ascii="宋体" w:hAnsi="宋体" w:cs="宋体" w:eastAsia="宋体" w:hint="default"/>
                <w:sz w:val="21"/>
                <w:szCs w:val="21"/>
              </w:rPr>
            </w:pPr>
            <w:r>
              <w:rPr>
                <w:rFonts w:ascii="宋体" w:hAnsi="宋体" w:cs="宋体" w:eastAsia="宋体" w:hint="default"/>
                <w:sz w:val="21"/>
                <w:szCs w:val="21"/>
              </w:rPr>
              <w:t>件技术有限公司 28%股权</w:t>
            </w:r>
          </w:p>
        </w:tc>
        <w:tc>
          <w:tcPr>
            <w:tcW w:w="120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31日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15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z w:val="21"/>
              </w:rPr>
              <w:t>5,670,128.48</w:t>
            </w:r>
          </w:p>
        </w:tc>
        <w:tc>
          <w:tcPr>
            <w:tcW w:w="12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539,357</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不适用</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0.08</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1104" w:hRule="exact"/>
        </w:trPr>
        <w:tc>
          <w:tcPr>
            <w:tcW w:w="1608"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4"/>
              <w:ind w:left="100" w:right="230"/>
              <w:jc w:val="both"/>
              <w:rPr>
                <w:rFonts w:ascii="宋体" w:hAnsi="宋体" w:cs="宋体" w:eastAsia="宋体" w:hint="default"/>
                <w:sz w:val="21"/>
                <w:szCs w:val="21"/>
              </w:rPr>
            </w:pPr>
            <w:r>
              <w:rPr>
                <w:rFonts w:ascii="宋体" w:hAnsi="宋体" w:cs="宋体" w:eastAsia="宋体" w:hint="default"/>
                <w:sz w:val="21"/>
                <w:szCs w:val="21"/>
              </w:rPr>
              <w:t>通联支付网络 服务股份有限 公司</w:t>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通联支付网络服</w:t>
            </w:r>
          </w:p>
          <w:p>
            <w:pPr>
              <w:pStyle w:val="TableParagraph"/>
              <w:spacing w:line="272" w:lineRule="exact" w:before="26"/>
              <w:ind w:left="100" w:right="211"/>
              <w:jc w:val="both"/>
              <w:rPr>
                <w:rFonts w:ascii="宋体" w:hAnsi="宋体" w:cs="宋体" w:eastAsia="宋体" w:hint="default"/>
                <w:sz w:val="21"/>
                <w:szCs w:val="21"/>
              </w:rPr>
            </w:pPr>
            <w:r>
              <w:rPr>
                <w:rFonts w:ascii="宋体" w:hAnsi="宋体" w:cs="宋体" w:eastAsia="宋体" w:hint="default"/>
                <w:sz w:val="21"/>
                <w:szCs w:val="21"/>
              </w:rPr>
              <w:t>务股份有限公司 发行的</w:t>
            </w:r>
            <w:r>
              <w:rPr>
                <w:rFonts w:ascii="宋体" w:hAnsi="宋体" w:cs="宋体" w:eastAsia="宋体" w:hint="default"/>
                <w:spacing w:val="-54"/>
                <w:sz w:val="21"/>
                <w:szCs w:val="21"/>
              </w:rPr>
              <w:t> </w:t>
            </w:r>
            <w:r>
              <w:rPr>
                <w:rFonts w:ascii="宋体" w:hAnsi="宋体" w:cs="宋体" w:eastAsia="宋体" w:hint="default"/>
                <w:sz w:val="21"/>
                <w:szCs w:val="21"/>
              </w:rPr>
              <w:t>3,000</w:t>
            </w:r>
            <w:r>
              <w:rPr>
                <w:rFonts w:ascii="宋体" w:hAnsi="宋体" w:cs="宋体" w:eastAsia="宋体" w:hint="default"/>
                <w:spacing w:val="-53"/>
                <w:sz w:val="21"/>
                <w:szCs w:val="21"/>
              </w:rPr>
              <w:t> </w:t>
            </w:r>
            <w:r>
              <w:rPr>
                <w:rFonts w:ascii="宋体" w:hAnsi="宋体" w:cs="宋体" w:eastAsia="宋体" w:hint="default"/>
                <w:sz w:val="21"/>
                <w:szCs w:val="21"/>
              </w:rPr>
              <w:t>万</w:t>
            </w:r>
            <w:r>
              <w:rPr>
                <w:rFonts w:ascii="宋体" w:hAnsi="宋体" w:cs="宋体" w:eastAsia="宋体" w:hint="default"/>
                <w:sz w:val="21"/>
                <w:szCs w:val="21"/>
              </w:rPr>
              <w:t> 股普通股股份</w:t>
            </w:r>
          </w:p>
        </w:tc>
        <w:tc>
          <w:tcPr>
            <w:tcW w:w="1200"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8"/>
              <w:jc w:val="right"/>
              <w:rPr>
                <w:rFonts w:ascii="宋体" w:hAnsi="宋体" w:cs="宋体" w:eastAsia="宋体" w:hint="default"/>
                <w:sz w:val="21"/>
                <w:szCs w:val="21"/>
              </w:rPr>
            </w:pPr>
            <w:r>
              <w:rPr>
                <w:rFonts w:ascii="宋体"/>
                <w:sz w:val="21"/>
              </w:rPr>
              <w:t>45,000,000</w:t>
            </w:r>
          </w:p>
        </w:tc>
        <w:tc>
          <w:tcPr>
            <w:tcW w:w="1200" w:type="dxa"/>
            <w:tcBorders>
              <w:top w:val="single" w:sz="6" w:space="0" w:color="000000"/>
              <w:left w:val="single" w:sz="6" w:space="0" w:color="000000"/>
              <w:bottom w:val="single" w:sz="6" w:space="0" w:color="000000"/>
              <w:right w:val="single" w:sz="6" w:space="0" w:color="000000"/>
            </w:tcBorders>
          </w:tcPr>
          <w:p>
            <w:pP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不适用</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000" w:type="dxa"/>
            <w:tcBorders>
              <w:top w:val="single" w:sz="6" w:space="0" w:color="000000"/>
              <w:left w:val="single" w:sz="6" w:space="0" w:color="000000"/>
              <w:bottom w:val="single" w:sz="6" w:space="0" w:color="000000"/>
              <w:right w:val="single" w:sz="6" w:space="0" w:color="000000"/>
            </w:tcBorders>
          </w:tcPr>
          <w:p>
            <w:pP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279" w:hRule="exact"/>
        </w:trPr>
        <w:tc>
          <w:tcPr>
            <w:tcW w:w="1608" w:type="dxa"/>
            <w:tcBorders>
              <w:top w:val="single" w:sz="6" w:space="0" w:color="000000"/>
              <w:left w:val="single" w:sz="6" w:space="0" w:color="000000"/>
              <w:bottom w:val="nil" w:sz="6" w:space="0" w:color="auto"/>
              <w:right w:val="single" w:sz="6" w:space="0" w:color="000000"/>
            </w:tcBorders>
          </w:tcPr>
          <w:p>
            <w:pPr/>
          </w:p>
        </w:tc>
        <w:tc>
          <w:tcPr>
            <w:tcW w:w="180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北京用友政务软</w:t>
            </w:r>
          </w:p>
        </w:tc>
        <w:tc>
          <w:tcPr>
            <w:tcW w:w="1200" w:type="dxa"/>
            <w:vMerge w:val="restart"/>
            <w:tcBorders>
              <w:top w:val="single" w:sz="6" w:space="0" w:color="000000"/>
              <w:left w:val="single" w:sz="6" w:space="0" w:color="000000"/>
              <w:right w:val="single" w:sz="6" w:space="0" w:color="000000"/>
            </w:tcBorders>
          </w:tcPr>
          <w:p>
            <w:pPr/>
          </w:p>
        </w:tc>
        <w:tc>
          <w:tcPr>
            <w:tcW w:w="1500" w:type="dxa"/>
            <w:tcBorders>
              <w:top w:val="single" w:sz="6" w:space="0" w:color="000000"/>
              <w:left w:val="single" w:sz="6" w:space="0" w:color="000000"/>
              <w:bottom w:val="nil" w:sz="6" w:space="0" w:color="auto"/>
              <w:right w:val="single" w:sz="6" w:space="0" w:color="000000"/>
            </w:tcBorders>
          </w:tcPr>
          <w:p>
            <w:pPr/>
          </w:p>
        </w:tc>
        <w:tc>
          <w:tcPr>
            <w:tcW w:w="1200" w:type="dxa"/>
            <w:vMerge w:val="restart"/>
            <w:tcBorders>
              <w:top w:val="single" w:sz="6" w:space="0" w:color="000000"/>
              <w:left w:val="single" w:sz="6" w:space="0" w:color="000000"/>
              <w:right w:val="single" w:sz="6" w:space="0" w:color="000000"/>
            </w:tcBorders>
          </w:tcPr>
          <w:p>
            <w:pPr/>
          </w:p>
        </w:tc>
        <w:tc>
          <w:tcPr>
            <w:tcW w:w="1301"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100"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900" w:type="dxa"/>
            <w:tcBorders>
              <w:top w:val="single" w:sz="6" w:space="0" w:color="000000"/>
              <w:left w:val="single" w:sz="6" w:space="0" w:color="000000"/>
              <w:bottom w:val="nil" w:sz="6" w:space="0" w:color="auto"/>
              <w:right w:val="single" w:sz="6" w:space="0" w:color="000000"/>
            </w:tcBorders>
          </w:tcPr>
          <w:p>
            <w:pPr/>
          </w:p>
        </w:tc>
        <w:tc>
          <w:tcPr>
            <w:tcW w:w="1000" w:type="dxa"/>
            <w:vMerge w:val="restart"/>
            <w:tcBorders>
              <w:top w:val="single" w:sz="6" w:space="0" w:color="000000"/>
              <w:left w:val="single" w:sz="6" w:space="0" w:color="000000"/>
              <w:right w:val="single" w:sz="6" w:space="0" w:color="000000"/>
            </w:tcBorders>
          </w:tcPr>
          <w:p>
            <w:pPr/>
          </w:p>
        </w:tc>
        <w:tc>
          <w:tcPr>
            <w:tcW w:w="701" w:type="dxa"/>
            <w:tcBorders>
              <w:top w:val="single" w:sz="6" w:space="0" w:color="000000"/>
              <w:left w:val="single" w:sz="6" w:space="0" w:color="000000"/>
              <w:bottom w:val="nil" w:sz="6" w:space="0" w:color="auto"/>
              <w:right w:val="single" w:sz="6" w:space="0" w:color="000000"/>
            </w:tcBorders>
          </w:tcPr>
          <w:p>
            <w:pPr/>
          </w:p>
        </w:tc>
      </w:tr>
      <w:tr>
        <w:trPr>
          <w:trHeight w:val="273" w:hRule="exact"/>
        </w:trPr>
        <w:tc>
          <w:tcPr>
            <w:tcW w:w="1608"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王先臣</w:t>
            </w:r>
          </w:p>
        </w:tc>
        <w:tc>
          <w:tcPr>
            <w:tcW w:w="1800"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件有限公司</w:t>
            </w:r>
          </w:p>
        </w:tc>
        <w:tc>
          <w:tcPr>
            <w:tcW w:w="1200" w:type="dxa"/>
            <w:vMerge/>
            <w:tcBorders>
              <w:left w:val="single" w:sz="6" w:space="0" w:color="000000"/>
              <w:right w:val="single" w:sz="6" w:space="0" w:color="000000"/>
            </w:tcBorders>
          </w:tcPr>
          <w:p>
            <w:pPr/>
          </w:p>
        </w:tc>
        <w:tc>
          <w:tcPr>
            <w:tcW w:w="150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24,853,706.86</w:t>
            </w:r>
            <w:r>
              <w:rPr>
                <w:rFonts w:ascii="宋体"/>
                <w:sz w:val="21"/>
              </w:rPr>
            </w:r>
          </w:p>
        </w:tc>
        <w:tc>
          <w:tcPr>
            <w:tcW w:w="1200" w:type="dxa"/>
            <w:vMerge/>
            <w:tcBorders>
              <w:left w:val="single" w:sz="6" w:space="0" w:color="000000"/>
              <w:right w:val="single" w:sz="6" w:space="0" w:color="000000"/>
            </w:tcBorders>
          </w:tcPr>
          <w:p>
            <w:pPr/>
          </w:p>
        </w:tc>
        <w:tc>
          <w:tcPr>
            <w:tcW w:w="1301"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100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10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100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000" w:type="dxa"/>
            <w:vMerge/>
            <w:tcBorders>
              <w:left w:val="single" w:sz="6" w:space="0" w:color="000000"/>
              <w:right w:val="single" w:sz="6" w:space="0" w:color="000000"/>
            </w:tcBorders>
          </w:tcPr>
          <w:p>
            <w:pPr/>
          </w:p>
        </w:tc>
        <w:tc>
          <w:tcPr>
            <w:tcW w:w="701"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281" w:hRule="exact"/>
        </w:trPr>
        <w:tc>
          <w:tcPr>
            <w:tcW w:w="1608" w:type="dxa"/>
            <w:tcBorders>
              <w:top w:val="nil" w:sz="6" w:space="0" w:color="auto"/>
              <w:left w:val="single" w:sz="6" w:space="0" w:color="000000"/>
              <w:bottom w:val="single" w:sz="6" w:space="0" w:color="000000"/>
              <w:right w:val="single" w:sz="6" w:space="0" w:color="000000"/>
            </w:tcBorders>
          </w:tcPr>
          <w:p>
            <w:pPr/>
          </w:p>
        </w:tc>
        <w:tc>
          <w:tcPr>
            <w:tcW w:w="180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10.5%股权</w:t>
            </w:r>
          </w:p>
        </w:tc>
        <w:tc>
          <w:tcPr>
            <w:tcW w:w="1200" w:type="dxa"/>
            <w:vMerge/>
            <w:tcBorders>
              <w:left w:val="single" w:sz="6" w:space="0" w:color="000000"/>
              <w:bottom w:val="single" w:sz="6" w:space="0" w:color="000000"/>
              <w:right w:val="single" w:sz="6" w:space="0" w:color="000000"/>
            </w:tcBorders>
          </w:tcPr>
          <w:p>
            <w:pPr/>
          </w:p>
        </w:tc>
        <w:tc>
          <w:tcPr>
            <w:tcW w:w="1500" w:type="dxa"/>
            <w:tcBorders>
              <w:top w:val="nil" w:sz="6" w:space="0" w:color="auto"/>
              <w:left w:val="single" w:sz="6" w:space="0" w:color="000000"/>
              <w:bottom w:val="single" w:sz="6" w:space="0" w:color="000000"/>
              <w:right w:val="single" w:sz="6" w:space="0" w:color="000000"/>
            </w:tcBorders>
          </w:tcPr>
          <w:p>
            <w:pPr/>
          </w:p>
        </w:tc>
        <w:tc>
          <w:tcPr>
            <w:tcW w:w="1200" w:type="dxa"/>
            <w:vMerge/>
            <w:tcBorders>
              <w:left w:val="single" w:sz="6" w:space="0" w:color="000000"/>
              <w:bottom w:val="single" w:sz="6" w:space="0" w:color="000000"/>
              <w:right w:val="single" w:sz="6" w:space="0" w:color="000000"/>
            </w:tcBorders>
          </w:tcPr>
          <w:p>
            <w:pPr/>
          </w:p>
        </w:tc>
        <w:tc>
          <w:tcPr>
            <w:tcW w:w="1301" w:type="dxa"/>
            <w:tcBorders>
              <w:top w:val="nil" w:sz="6" w:space="0" w:color="auto"/>
              <w:left w:val="single" w:sz="6" w:space="0" w:color="000000"/>
              <w:bottom w:val="single" w:sz="6" w:space="0" w:color="000000"/>
              <w:right w:val="single" w:sz="6" w:space="0" w:color="000000"/>
            </w:tcBorders>
          </w:tcPr>
          <w:p>
            <w:pPr/>
          </w:p>
        </w:tc>
        <w:tc>
          <w:tcPr>
            <w:tcW w:w="1000" w:type="dxa"/>
            <w:tcBorders>
              <w:top w:val="nil" w:sz="6" w:space="0" w:color="auto"/>
              <w:left w:val="single" w:sz="6" w:space="0" w:color="000000"/>
              <w:bottom w:val="single" w:sz="6" w:space="0" w:color="000000"/>
              <w:right w:val="single" w:sz="6" w:space="0" w:color="000000"/>
            </w:tcBorders>
          </w:tcPr>
          <w:p>
            <w:pPr/>
          </w:p>
        </w:tc>
        <w:tc>
          <w:tcPr>
            <w:tcW w:w="1100" w:type="dxa"/>
            <w:tcBorders>
              <w:top w:val="nil" w:sz="6" w:space="0" w:color="auto"/>
              <w:left w:val="single" w:sz="6" w:space="0" w:color="000000"/>
              <w:bottom w:val="single" w:sz="6" w:space="0" w:color="000000"/>
              <w:right w:val="single" w:sz="6" w:space="0" w:color="000000"/>
            </w:tcBorders>
          </w:tcPr>
          <w:p>
            <w:pPr/>
          </w:p>
        </w:tc>
        <w:tc>
          <w:tcPr>
            <w:tcW w:w="1000" w:type="dxa"/>
            <w:tcBorders>
              <w:top w:val="nil" w:sz="6" w:space="0" w:color="auto"/>
              <w:left w:val="single" w:sz="6" w:space="0" w:color="000000"/>
              <w:bottom w:val="single" w:sz="6" w:space="0" w:color="000000"/>
              <w:right w:val="single" w:sz="6" w:space="0" w:color="000000"/>
            </w:tcBorders>
          </w:tcPr>
          <w:p>
            <w:pPr/>
          </w:p>
        </w:tc>
        <w:tc>
          <w:tcPr>
            <w:tcW w:w="900" w:type="dxa"/>
            <w:tcBorders>
              <w:top w:val="nil" w:sz="6" w:space="0" w:color="auto"/>
              <w:left w:val="single" w:sz="6" w:space="0" w:color="000000"/>
              <w:bottom w:val="single" w:sz="6" w:space="0" w:color="000000"/>
              <w:right w:val="single" w:sz="6" w:space="0" w:color="000000"/>
            </w:tcBorders>
          </w:tcPr>
          <w:p>
            <w:pPr/>
          </w:p>
        </w:tc>
        <w:tc>
          <w:tcPr>
            <w:tcW w:w="1000" w:type="dxa"/>
            <w:vMerge/>
            <w:tcBorders>
              <w:left w:val="single" w:sz="6" w:space="0" w:color="000000"/>
              <w:bottom w:val="single" w:sz="6" w:space="0" w:color="000000"/>
              <w:right w:val="single" w:sz="6" w:space="0" w:color="000000"/>
            </w:tcBorders>
          </w:tcPr>
          <w:p>
            <w:pPr/>
          </w:p>
        </w:tc>
        <w:tc>
          <w:tcPr>
            <w:tcW w:w="701" w:type="dxa"/>
            <w:tcBorders>
              <w:top w:val="nil" w:sz="6" w:space="0" w:color="auto"/>
              <w:left w:val="single" w:sz="6" w:space="0" w:color="000000"/>
              <w:bottom w:val="single" w:sz="6" w:space="0" w:color="000000"/>
              <w:right w:val="single" w:sz="6" w:space="0" w:color="000000"/>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spacing w:before="44"/>
        <w:ind w:left="7178" w:right="7182" w:firstLine="0"/>
        <w:jc w:val="center"/>
        <w:rPr>
          <w:rFonts w:ascii="宋体" w:hAnsi="宋体" w:cs="宋体" w:eastAsia="宋体" w:hint="default"/>
          <w:sz w:val="18"/>
          <w:szCs w:val="18"/>
        </w:rPr>
      </w:pPr>
      <w:r>
        <w:rPr>
          <w:rFonts w:ascii="宋体"/>
          <w:sz w:val="18"/>
        </w:rPr>
        <w:t>50</w:t>
      </w:r>
    </w:p>
    <w:p>
      <w:pPr>
        <w:spacing w:after="0"/>
        <w:jc w:val="center"/>
        <w:rPr>
          <w:rFonts w:ascii="宋体" w:hAnsi="宋体" w:cs="宋体" w:eastAsia="宋体" w:hint="default"/>
          <w:sz w:val="18"/>
          <w:szCs w:val="18"/>
        </w:rPr>
        <w:sectPr>
          <w:headerReference w:type="default" r:id="rId13"/>
          <w:footerReference w:type="default" r:id="rId14"/>
          <w:pgSz w:w="16840" w:h="11910" w:orient="landscape"/>
          <w:pgMar w:header="0" w:footer="0" w:top="640" w:bottom="280" w:left="980" w:right="128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spacing w:before="26"/>
        <w:ind w:left="678" w:right="220" w:firstLine="0"/>
        <w:jc w:val="left"/>
        <w:rPr>
          <w:rFonts w:ascii="宋体" w:hAnsi="宋体" w:cs="宋体" w:eastAsia="宋体" w:hint="default"/>
          <w:sz w:val="24"/>
          <w:szCs w:val="24"/>
        </w:rPr>
      </w:pPr>
      <w:r>
        <w:rPr>
          <w:rFonts w:ascii="宋体" w:hAnsi="宋体" w:cs="宋体" w:eastAsia="宋体" w:hint="default"/>
          <w:sz w:val="24"/>
          <w:szCs w:val="24"/>
        </w:rPr>
        <w:t>2、其他收购资产情况</w:t>
      </w:r>
    </w:p>
    <w:p>
      <w:pPr>
        <w:spacing w:before="194"/>
        <w:ind w:left="678" w:right="83" w:firstLine="0"/>
        <w:jc w:val="left"/>
        <w:rPr>
          <w:rFonts w:ascii="宋体" w:hAnsi="宋体" w:cs="宋体" w:eastAsia="宋体" w:hint="default"/>
          <w:sz w:val="24"/>
          <w:szCs w:val="24"/>
        </w:rPr>
      </w:pPr>
      <w:r>
        <w:rPr>
          <w:rFonts w:ascii="宋体" w:hAnsi="宋体" w:cs="宋体" w:eastAsia="宋体" w:hint="default"/>
          <w:sz w:val="24"/>
          <w:szCs w:val="24"/>
        </w:rPr>
        <w:t>（1）根据公司第四届董事会 2009</w:t>
      </w:r>
      <w:r>
        <w:rPr>
          <w:rFonts w:ascii="宋体" w:hAnsi="宋体" w:cs="宋体" w:eastAsia="宋体" w:hint="default"/>
          <w:spacing w:val="-56"/>
          <w:sz w:val="24"/>
          <w:szCs w:val="24"/>
        </w:rPr>
        <w:t> </w:t>
      </w:r>
      <w:r>
        <w:rPr>
          <w:rFonts w:ascii="宋体" w:hAnsi="宋体" w:cs="宋体" w:eastAsia="宋体" w:hint="default"/>
          <w:sz w:val="24"/>
          <w:szCs w:val="24"/>
        </w:rPr>
        <w:t>年第四次会议，为进一步拓展公司在产品生命周</w:t>
      </w:r>
    </w:p>
    <w:p>
      <w:pPr>
        <w:spacing w:line="297" w:lineRule="auto" w:before="74"/>
        <w:ind w:left="198" w:right="220" w:firstLine="0"/>
        <w:jc w:val="both"/>
        <w:rPr>
          <w:rFonts w:ascii="宋体" w:hAnsi="宋体" w:cs="宋体" w:eastAsia="宋体" w:hint="default"/>
          <w:sz w:val="24"/>
          <w:szCs w:val="24"/>
        </w:rPr>
      </w:pPr>
      <w:r>
        <w:rPr>
          <w:rFonts w:ascii="宋体" w:hAnsi="宋体" w:cs="宋体" w:eastAsia="宋体" w:hint="default"/>
          <w:spacing w:val="-4"/>
          <w:sz w:val="24"/>
          <w:szCs w:val="24"/>
        </w:rPr>
        <w:t>期管理软件（PLM）业务的发展，公司决定以人民币</w:t>
      </w:r>
      <w:r>
        <w:rPr>
          <w:rFonts w:ascii="宋体" w:hAnsi="宋体" w:cs="宋体" w:eastAsia="宋体" w:hint="default"/>
          <w:spacing w:val="-60"/>
          <w:sz w:val="24"/>
          <w:szCs w:val="24"/>
        </w:rPr>
        <w:t> </w:t>
      </w:r>
      <w:r>
        <w:rPr>
          <w:rFonts w:ascii="宋体" w:hAnsi="宋体" w:cs="宋体" w:eastAsia="宋体" w:hint="default"/>
          <w:sz w:val="24"/>
          <w:szCs w:val="24"/>
        </w:rPr>
        <w:t>698</w:t>
      </w:r>
      <w:r>
        <w:rPr>
          <w:rFonts w:ascii="宋体" w:hAnsi="宋体" w:cs="宋体" w:eastAsia="宋体" w:hint="default"/>
          <w:spacing w:val="-60"/>
          <w:sz w:val="24"/>
          <w:szCs w:val="24"/>
        </w:rPr>
        <w:t> </w:t>
      </w:r>
      <w:r>
        <w:rPr>
          <w:rFonts w:ascii="宋体" w:hAnsi="宋体" w:cs="宋体" w:eastAsia="宋体" w:hint="default"/>
          <w:sz w:val="24"/>
          <w:szCs w:val="24"/>
        </w:rPr>
        <w:t>万元的价格收购重庆迈特科技有</w:t>
      </w:r>
      <w:r>
        <w:rPr>
          <w:rFonts w:ascii="宋体" w:hAnsi="宋体" w:cs="宋体" w:eastAsia="宋体" w:hint="default"/>
          <w:spacing w:val="-1"/>
          <w:sz w:val="24"/>
          <w:szCs w:val="24"/>
        </w:rPr>
        <w:t> </w:t>
      </w:r>
      <w:r>
        <w:rPr>
          <w:rFonts w:ascii="宋体" w:hAnsi="宋体" w:cs="宋体" w:eastAsia="宋体" w:hint="default"/>
          <w:sz w:val="24"/>
          <w:szCs w:val="24"/>
        </w:rPr>
        <w:t>限责任公司（下称“重庆迈特”）部分资产，包括实物资产、无形资产、现有产品、在</w:t>
      </w:r>
      <w:r>
        <w:rPr>
          <w:rFonts w:ascii="宋体" w:hAnsi="宋体" w:cs="宋体" w:eastAsia="宋体" w:hint="default"/>
          <w:spacing w:val="-81"/>
          <w:sz w:val="24"/>
          <w:szCs w:val="24"/>
        </w:rPr>
        <w:t> </w:t>
      </w:r>
      <w:r>
        <w:rPr>
          <w:rFonts w:ascii="宋体" w:hAnsi="宋体" w:cs="宋体" w:eastAsia="宋体" w:hint="default"/>
          <w:spacing w:val="-81"/>
          <w:sz w:val="24"/>
          <w:szCs w:val="24"/>
        </w:rPr>
      </w:r>
      <w:r>
        <w:rPr>
          <w:rFonts w:ascii="宋体" w:hAnsi="宋体" w:cs="宋体" w:eastAsia="宋体" w:hint="default"/>
          <w:sz w:val="24"/>
          <w:szCs w:val="24"/>
        </w:rPr>
        <w:t>开发软件、应收账款、业务及相关资产和权益。</w:t>
      </w:r>
    </w:p>
    <w:p>
      <w:pPr>
        <w:spacing w:line="297" w:lineRule="auto" w:before="137"/>
        <w:ind w:left="198" w:right="201" w:firstLine="480"/>
        <w:jc w:val="left"/>
        <w:rPr>
          <w:rFonts w:ascii="宋体" w:hAnsi="宋体" w:cs="宋体" w:eastAsia="宋体" w:hint="default"/>
          <w:sz w:val="24"/>
          <w:szCs w:val="24"/>
        </w:rPr>
      </w:pPr>
      <w:r>
        <w:rPr>
          <w:rFonts w:ascii="宋体" w:hAnsi="宋体" w:cs="宋体" w:eastAsia="宋体" w:hint="default"/>
          <w:sz w:val="24"/>
          <w:szCs w:val="24"/>
        </w:rPr>
        <w:t>（2）根据公司第四届董事会 2009</w:t>
      </w:r>
      <w:r>
        <w:rPr>
          <w:rFonts w:ascii="宋体" w:hAnsi="宋体" w:cs="宋体" w:eastAsia="宋体" w:hint="default"/>
          <w:spacing w:val="-56"/>
          <w:sz w:val="24"/>
          <w:szCs w:val="24"/>
        </w:rPr>
        <w:t> </w:t>
      </w:r>
      <w:r>
        <w:rPr>
          <w:rFonts w:ascii="宋体" w:hAnsi="宋体" w:cs="宋体" w:eastAsia="宋体" w:hint="default"/>
          <w:sz w:val="24"/>
          <w:szCs w:val="24"/>
        </w:rPr>
        <w:t>年第七次会议，为加快地区业务发展，公司决定</w:t>
      </w:r>
      <w:r>
        <w:rPr>
          <w:rFonts w:ascii="宋体" w:hAnsi="宋体" w:cs="宋体" w:eastAsia="宋体" w:hint="default"/>
          <w:sz w:val="24"/>
          <w:szCs w:val="24"/>
        </w:rPr>
        <w:t> 分别以人民币 1,885,012.92 元、782,838.23 元、424,857.42 元、1,183,397.54</w:t>
      </w:r>
      <w:r>
        <w:rPr>
          <w:rFonts w:ascii="宋体" w:hAnsi="宋体" w:cs="宋体" w:eastAsia="宋体" w:hint="default"/>
          <w:spacing w:val="-55"/>
          <w:sz w:val="24"/>
          <w:szCs w:val="24"/>
        </w:rPr>
        <w:t> </w:t>
      </w:r>
      <w:r>
        <w:rPr>
          <w:rFonts w:ascii="宋体" w:hAnsi="宋体" w:cs="宋体" w:eastAsia="宋体" w:hint="default"/>
          <w:sz w:val="24"/>
          <w:szCs w:val="24"/>
        </w:rPr>
        <w:t>元、</w:t>
      </w:r>
    </w:p>
    <w:p>
      <w:pPr>
        <w:spacing w:line="297" w:lineRule="auto" w:before="18"/>
        <w:ind w:left="198" w:right="83" w:firstLine="0"/>
        <w:jc w:val="left"/>
        <w:rPr>
          <w:rFonts w:ascii="宋体" w:hAnsi="宋体" w:cs="宋体" w:eastAsia="宋体" w:hint="default"/>
          <w:sz w:val="24"/>
          <w:szCs w:val="24"/>
        </w:rPr>
      </w:pPr>
      <w:r>
        <w:rPr>
          <w:rFonts w:ascii="宋体" w:hAnsi="宋体" w:cs="宋体" w:eastAsia="宋体" w:hint="default"/>
          <w:sz w:val="24"/>
          <w:szCs w:val="24"/>
        </w:rPr>
        <w:t>422,245.92</w:t>
      </w:r>
      <w:r>
        <w:rPr>
          <w:rFonts w:ascii="宋体" w:hAnsi="宋体" w:cs="宋体" w:eastAsia="宋体" w:hint="default"/>
          <w:spacing w:val="-56"/>
          <w:sz w:val="24"/>
          <w:szCs w:val="24"/>
        </w:rPr>
        <w:t> </w:t>
      </w:r>
      <w:r>
        <w:rPr>
          <w:rFonts w:ascii="宋体" w:hAnsi="宋体" w:cs="宋体" w:eastAsia="宋体" w:hint="default"/>
          <w:sz w:val="24"/>
          <w:szCs w:val="24"/>
        </w:rPr>
        <w:t>元的价格收购泰州智源软件有限公司、洛阳同创信息工程有限公司、绵阳兴</w:t>
      </w:r>
      <w:r>
        <w:rPr>
          <w:rFonts w:ascii="宋体" w:hAnsi="宋体" w:cs="宋体" w:eastAsia="宋体" w:hint="default"/>
          <w:sz w:val="24"/>
          <w:szCs w:val="24"/>
        </w:rPr>
        <w:t> </w:t>
      </w:r>
      <w:r>
        <w:rPr>
          <w:rFonts w:ascii="宋体" w:hAnsi="宋体" w:cs="宋体" w:eastAsia="宋体" w:hint="default"/>
          <w:spacing w:val="-2"/>
          <w:sz w:val="24"/>
          <w:szCs w:val="24"/>
        </w:rPr>
        <w:t>宏佳科技有限公司、保定用友软件有限公司、台州汉易软件有限公司的业务及相关资产。</w:t>
      </w:r>
    </w:p>
    <w:p>
      <w:pPr>
        <w:spacing w:line="297" w:lineRule="auto" w:before="137"/>
        <w:ind w:left="198" w:right="83" w:firstLine="480"/>
        <w:jc w:val="left"/>
        <w:rPr>
          <w:rFonts w:ascii="宋体" w:hAnsi="宋体" w:cs="宋体" w:eastAsia="宋体" w:hint="default"/>
          <w:sz w:val="24"/>
          <w:szCs w:val="24"/>
        </w:rPr>
      </w:pPr>
      <w:r>
        <w:rPr>
          <w:rFonts w:ascii="宋体" w:hAnsi="宋体" w:cs="宋体" w:eastAsia="宋体" w:hint="default"/>
          <w:spacing w:val="-3"/>
          <w:sz w:val="24"/>
          <w:szCs w:val="24"/>
        </w:rPr>
        <w:t>（3）根据公司第四届董事会</w:t>
      </w:r>
      <w:r>
        <w:rPr>
          <w:rFonts w:ascii="宋体" w:hAnsi="宋体" w:cs="宋体" w:eastAsia="宋体" w:hint="default"/>
          <w:spacing w:val="-57"/>
          <w:sz w:val="24"/>
          <w:szCs w:val="24"/>
        </w:rPr>
        <w:t> </w:t>
      </w:r>
      <w:r>
        <w:rPr>
          <w:rFonts w:ascii="宋体" w:hAnsi="宋体" w:cs="宋体" w:eastAsia="宋体" w:hint="default"/>
          <w:sz w:val="24"/>
          <w:szCs w:val="24"/>
        </w:rPr>
        <w:t>2009</w:t>
      </w:r>
      <w:r>
        <w:rPr>
          <w:rFonts w:ascii="宋体" w:hAnsi="宋体" w:cs="宋体" w:eastAsia="宋体" w:hint="default"/>
          <w:spacing w:val="-57"/>
          <w:sz w:val="24"/>
          <w:szCs w:val="24"/>
        </w:rPr>
        <w:t> </w:t>
      </w:r>
      <w:r>
        <w:rPr>
          <w:rFonts w:ascii="宋体" w:hAnsi="宋体" w:cs="宋体" w:eastAsia="宋体" w:hint="default"/>
          <w:spacing w:val="-3"/>
          <w:sz w:val="24"/>
          <w:szCs w:val="24"/>
        </w:rPr>
        <w:t>年第八次会议，公司决定以</w:t>
      </w:r>
      <w:r>
        <w:rPr>
          <w:rFonts w:ascii="宋体" w:hAnsi="宋体" w:cs="宋体" w:eastAsia="宋体" w:hint="default"/>
          <w:spacing w:val="-57"/>
          <w:sz w:val="24"/>
          <w:szCs w:val="24"/>
        </w:rPr>
        <w:t> </w:t>
      </w:r>
      <w:r>
        <w:rPr>
          <w:rFonts w:ascii="宋体" w:hAnsi="宋体" w:cs="宋体" w:eastAsia="宋体" w:hint="default"/>
          <w:sz w:val="24"/>
          <w:szCs w:val="24"/>
        </w:rPr>
        <w:t>1320</w:t>
      </w:r>
      <w:r>
        <w:rPr>
          <w:rFonts w:ascii="宋体" w:hAnsi="宋体" w:cs="宋体" w:eastAsia="宋体" w:hint="default"/>
          <w:spacing w:val="-57"/>
          <w:sz w:val="24"/>
          <w:szCs w:val="24"/>
        </w:rPr>
        <w:t> </w:t>
      </w:r>
      <w:r>
        <w:rPr>
          <w:rFonts w:ascii="宋体" w:hAnsi="宋体" w:cs="宋体" w:eastAsia="宋体" w:hint="default"/>
          <w:sz w:val="24"/>
          <w:szCs w:val="24"/>
        </w:rPr>
        <w:t>万元的价格收购</w:t>
      </w:r>
      <w:r>
        <w:rPr>
          <w:rFonts w:ascii="宋体" w:hAnsi="宋体" w:cs="宋体" w:eastAsia="宋体" w:hint="default"/>
          <w:sz w:val="24"/>
          <w:szCs w:val="24"/>
        </w:rPr>
        <w:t> </w:t>
      </w:r>
      <w:r>
        <w:rPr>
          <w:rFonts w:ascii="宋体" w:hAnsi="宋体" w:cs="宋体" w:eastAsia="宋体" w:hint="default"/>
          <w:spacing w:val="-2"/>
          <w:sz w:val="24"/>
          <w:szCs w:val="24"/>
        </w:rPr>
        <w:t>上海恒聚网络科技有限公司的部分资产（包括业务及实物资产和软件著作权、软件技术、</w:t>
      </w:r>
      <w:r>
        <w:rPr>
          <w:rFonts w:ascii="宋体" w:hAnsi="宋体" w:cs="宋体" w:eastAsia="宋体" w:hint="default"/>
          <w:spacing w:val="-98"/>
          <w:sz w:val="24"/>
          <w:szCs w:val="24"/>
        </w:rPr>
        <w:t> </w:t>
      </w:r>
      <w:r>
        <w:rPr>
          <w:rFonts w:ascii="宋体" w:hAnsi="宋体" w:cs="宋体" w:eastAsia="宋体" w:hint="default"/>
          <w:spacing w:val="-98"/>
          <w:sz w:val="24"/>
          <w:szCs w:val="24"/>
        </w:rPr>
      </w:r>
      <w:r>
        <w:rPr>
          <w:rFonts w:ascii="宋体" w:hAnsi="宋体" w:cs="宋体" w:eastAsia="宋体" w:hint="default"/>
          <w:sz w:val="24"/>
          <w:szCs w:val="24"/>
        </w:rPr>
        <w:t>在开发项目、商标、域名等无形资产），以 660</w:t>
      </w:r>
      <w:r>
        <w:rPr>
          <w:rFonts w:ascii="宋体" w:hAnsi="宋体" w:cs="宋体" w:eastAsia="宋体" w:hint="default"/>
          <w:spacing w:val="-56"/>
          <w:sz w:val="24"/>
          <w:szCs w:val="24"/>
        </w:rPr>
        <w:t> </w:t>
      </w:r>
      <w:r>
        <w:rPr>
          <w:rFonts w:ascii="宋体" w:hAnsi="宋体" w:cs="宋体" w:eastAsia="宋体" w:hint="default"/>
          <w:sz w:val="24"/>
          <w:szCs w:val="24"/>
        </w:rPr>
        <w:t>万元的价格收购上海哈久网络科技有限</w:t>
      </w:r>
      <w:r>
        <w:rPr>
          <w:rFonts w:ascii="宋体" w:hAnsi="宋体" w:cs="宋体" w:eastAsia="宋体" w:hint="default"/>
          <w:sz w:val="24"/>
          <w:szCs w:val="24"/>
        </w:rPr>
        <w:t> 公司的部分资产（包括业务及软件著作权）。</w:t>
      </w:r>
    </w:p>
    <w:p>
      <w:pPr>
        <w:spacing w:before="137"/>
        <w:ind w:left="678" w:right="83" w:firstLine="0"/>
        <w:jc w:val="left"/>
        <w:rPr>
          <w:rFonts w:ascii="宋体" w:hAnsi="宋体" w:cs="宋体" w:eastAsia="宋体" w:hint="default"/>
          <w:sz w:val="24"/>
          <w:szCs w:val="24"/>
        </w:rPr>
      </w:pPr>
      <w:r>
        <w:rPr>
          <w:rFonts w:ascii="宋体" w:hAnsi="宋体" w:cs="宋体" w:eastAsia="宋体" w:hint="default"/>
          <w:sz w:val="24"/>
          <w:szCs w:val="24"/>
        </w:rPr>
        <w:t>（4）根据公司第四届董事会 2009</w:t>
      </w:r>
      <w:r>
        <w:rPr>
          <w:rFonts w:ascii="宋体" w:hAnsi="宋体" w:cs="宋体" w:eastAsia="宋体" w:hint="default"/>
          <w:spacing w:val="-56"/>
          <w:sz w:val="24"/>
          <w:szCs w:val="24"/>
        </w:rPr>
        <w:t> </w:t>
      </w:r>
      <w:r>
        <w:rPr>
          <w:rFonts w:ascii="宋体" w:hAnsi="宋体" w:cs="宋体" w:eastAsia="宋体" w:hint="default"/>
          <w:sz w:val="24"/>
          <w:szCs w:val="24"/>
        </w:rPr>
        <w:t>年第十一次会议，为加快公司医药流通、零售软</w:t>
      </w:r>
    </w:p>
    <w:p>
      <w:pPr>
        <w:spacing w:line="297" w:lineRule="auto" w:before="74"/>
        <w:ind w:left="198" w:right="219" w:firstLine="0"/>
        <w:jc w:val="both"/>
        <w:rPr>
          <w:rFonts w:ascii="宋体" w:hAnsi="宋体" w:cs="宋体" w:eastAsia="宋体" w:hint="default"/>
          <w:sz w:val="24"/>
          <w:szCs w:val="24"/>
        </w:rPr>
      </w:pPr>
      <w:r>
        <w:rPr>
          <w:rFonts w:ascii="宋体" w:hAnsi="宋体" w:cs="宋体" w:eastAsia="宋体" w:hint="default"/>
          <w:sz w:val="24"/>
          <w:szCs w:val="24"/>
        </w:rPr>
        <w:t>件业务发展，公司决定以人民币</w:t>
      </w:r>
      <w:r>
        <w:rPr>
          <w:rFonts w:ascii="宋体" w:hAnsi="宋体" w:cs="宋体" w:eastAsia="宋体" w:hint="default"/>
          <w:spacing w:val="-87"/>
          <w:sz w:val="24"/>
          <w:szCs w:val="24"/>
        </w:rPr>
        <w:t> </w:t>
      </w:r>
      <w:r>
        <w:rPr>
          <w:rFonts w:ascii="宋体" w:hAnsi="宋体" w:cs="宋体" w:eastAsia="宋体" w:hint="default"/>
          <w:sz w:val="24"/>
          <w:szCs w:val="24"/>
        </w:rPr>
        <w:t>4300</w:t>
      </w:r>
      <w:r>
        <w:rPr>
          <w:rFonts w:ascii="宋体" w:hAnsi="宋体" w:cs="宋体" w:eastAsia="宋体" w:hint="default"/>
          <w:spacing w:val="-87"/>
          <w:sz w:val="24"/>
          <w:szCs w:val="24"/>
        </w:rPr>
        <w:t> </w:t>
      </w:r>
      <w:r>
        <w:rPr>
          <w:rFonts w:ascii="宋体" w:hAnsi="宋体" w:cs="宋体" w:eastAsia="宋体" w:hint="default"/>
          <w:sz w:val="24"/>
          <w:szCs w:val="24"/>
        </w:rPr>
        <w:t>万元的价格收购北京时空超越科技有限公司（下称</w:t>
      </w:r>
      <w:r>
        <w:rPr>
          <w:rFonts w:ascii="宋体" w:hAnsi="宋体" w:cs="宋体" w:eastAsia="宋体" w:hint="default"/>
          <w:sz w:val="24"/>
          <w:szCs w:val="24"/>
        </w:rPr>
        <w:t> “时空超越公司”）的资产和业务，包括：实物资产、无形资产、合同应收账款、业务</w:t>
      </w:r>
      <w:r>
        <w:rPr>
          <w:rFonts w:ascii="宋体" w:hAnsi="宋体" w:cs="宋体" w:eastAsia="宋体" w:hint="default"/>
          <w:spacing w:val="-81"/>
          <w:sz w:val="24"/>
          <w:szCs w:val="24"/>
        </w:rPr>
        <w:t> </w:t>
      </w:r>
      <w:r>
        <w:rPr>
          <w:rFonts w:ascii="宋体" w:hAnsi="宋体" w:cs="宋体" w:eastAsia="宋体" w:hint="default"/>
          <w:spacing w:val="-81"/>
          <w:sz w:val="24"/>
          <w:szCs w:val="24"/>
        </w:rPr>
      </w:r>
      <w:r>
        <w:rPr>
          <w:rFonts w:ascii="宋体" w:hAnsi="宋体" w:cs="宋体" w:eastAsia="宋体" w:hint="default"/>
          <w:sz w:val="24"/>
          <w:szCs w:val="24"/>
        </w:rPr>
        <w:t>及其它相关资产和权益等。</w:t>
      </w:r>
    </w:p>
    <w:p>
      <w:pPr>
        <w:spacing w:before="137"/>
        <w:ind w:left="678" w:right="83" w:firstLine="0"/>
        <w:jc w:val="left"/>
        <w:rPr>
          <w:rFonts w:ascii="宋体" w:hAnsi="宋体" w:cs="宋体" w:eastAsia="宋体" w:hint="default"/>
          <w:sz w:val="24"/>
          <w:szCs w:val="24"/>
        </w:rPr>
      </w:pPr>
      <w:r>
        <w:rPr>
          <w:rFonts w:ascii="宋体" w:hAnsi="宋体" w:cs="宋体" w:eastAsia="宋体" w:hint="default"/>
          <w:sz w:val="24"/>
          <w:szCs w:val="24"/>
        </w:rPr>
        <w:t>（5）根据公司第四届董事会 2009</w:t>
      </w:r>
      <w:r>
        <w:rPr>
          <w:rFonts w:ascii="宋体" w:hAnsi="宋体" w:cs="宋体" w:eastAsia="宋体" w:hint="default"/>
          <w:spacing w:val="-56"/>
          <w:sz w:val="24"/>
          <w:szCs w:val="24"/>
        </w:rPr>
        <w:t> </w:t>
      </w:r>
      <w:r>
        <w:rPr>
          <w:rFonts w:ascii="宋体" w:hAnsi="宋体" w:cs="宋体" w:eastAsia="宋体" w:hint="default"/>
          <w:sz w:val="24"/>
          <w:szCs w:val="24"/>
        </w:rPr>
        <w:t>年第十一次会议，为加快地区业务发展，公司决</w:t>
      </w:r>
    </w:p>
    <w:p>
      <w:pPr>
        <w:spacing w:before="74"/>
        <w:ind w:left="198" w:right="0" w:firstLine="0"/>
        <w:jc w:val="both"/>
        <w:rPr>
          <w:rFonts w:ascii="宋体" w:hAnsi="宋体" w:cs="宋体" w:eastAsia="宋体" w:hint="default"/>
          <w:sz w:val="24"/>
          <w:szCs w:val="24"/>
        </w:rPr>
      </w:pPr>
      <w:r>
        <w:rPr>
          <w:rFonts w:ascii="宋体" w:hAnsi="宋体" w:cs="宋体" w:eastAsia="宋体" w:hint="default"/>
          <w:sz w:val="24"/>
          <w:szCs w:val="24"/>
        </w:rPr>
        <w:t>定收购济宁金网电子商务有限公司的业务及相关资产，收购价为人民币</w:t>
      </w:r>
      <w:r>
        <w:rPr>
          <w:rFonts w:ascii="宋体" w:hAnsi="宋体" w:cs="宋体" w:eastAsia="宋体" w:hint="default"/>
          <w:spacing w:val="-60"/>
          <w:sz w:val="24"/>
          <w:szCs w:val="24"/>
        </w:rPr>
        <w:t> </w:t>
      </w:r>
      <w:r>
        <w:rPr>
          <w:rFonts w:ascii="宋体" w:hAnsi="宋体" w:cs="宋体" w:eastAsia="宋体" w:hint="default"/>
          <w:sz w:val="24"/>
          <w:szCs w:val="24"/>
        </w:rPr>
        <w:t>364,870.26</w:t>
      </w:r>
      <w:r>
        <w:rPr>
          <w:rFonts w:ascii="宋体" w:hAnsi="宋体" w:cs="宋体" w:eastAsia="宋体" w:hint="default"/>
          <w:spacing w:val="-60"/>
          <w:sz w:val="24"/>
          <w:szCs w:val="24"/>
        </w:rPr>
        <w:t> </w:t>
      </w:r>
      <w:r>
        <w:rPr>
          <w:rFonts w:ascii="宋体" w:hAnsi="宋体" w:cs="宋体" w:eastAsia="宋体" w:hint="default"/>
          <w:sz w:val="24"/>
          <w:szCs w:val="24"/>
        </w:rPr>
        <w:t>元。</w:t>
      </w:r>
    </w:p>
    <w:p>
      <w:pPr>
        <w:spacing w:before="194"/>
        <w:ind w:left="678" w:right="83" w:firstLine="0"/>
        <w:jc w:val="left"/>
        <w:rPr>
          <w:rFonts w:ascii="宋体" w:hAnsi="宋体" w:cs="宋体" w:eastAsia="宋体" w:hint="default"/>
          <w:sz w:val="24"/>
          <w:szCs w:val="24"/>
        </w:rPr>
      </w:pPr>
      <w:r>
        <w:rPr>
          <w:rFonts w:ascii="宋体" w:hAnsi="宋体" w:cs="宋体" w:eastAsia="宋体" w:hint="default"/>
          <w:sz w:val="24"/>
          <w:szCs w:val="24"/>
        </w:rPr>
        <w:t>（6）公司全资子公司用友医疗卫生信息系统有限公司于</w:t>
      </w:r>
      <w:r>
        <w:rPr>
          <w:rFonts w:ascii="宋体" w:hAnsi="宋体" w:cs="宋体" w:eastAsia="宋体" w:hint="default"/>
          <w:spacing w:val="-50"/>
          <w:sz w:val="24"/>
          <w:szCs w:val="24"/>
        </w:rPr>
        <w:t> </w:t>
      </w:r>
      <w:r>
        <w:rPr>
          <w:rFonts w:ascii="宋体" w:hAnsi="宋体" w:cs="宋体" w:eastAsia="宋体" w:hint="default"/>
          <w:sz w:val="24"/>
          <w:szCs w:val="24"/>
        </w:rPr>
        <w:t>2009</w:t>
      </w:r>
      <w:r>
        <w:rPr>
          <w:rFonts w:ascii="宋体" w:hAnsi="宋体" w:cs="宋体" w:eastAsia="宋体" w:hint="default"/>
          <w:spacing w:val="-50"/>
          <w:sz w:val="24"/>
          <w:szCs w:val="24"/>
        </w:rPr>
        <w:t> </w:t>
      </w:r>
      <w:r>
        <w:rPr>
          <w:rFonts w:ascii="宋体" w:hAnsi="宋体" w:cs="宋体" w:eastAsia="宋体" w:hint="default"/>
          <w:sz w:val="24"/>
          <w:szCs w:val="24"/>
        </w:rPr>
        <w:t>年</w:t>
      </w:r>
      <w:r>
        <w:rPr>
          <w:rFonts w:ascii="宋体" w:hAnsi="宋体" w:cs="宋体" w:eastAsia="宋体" w:hint="default"/>
          <w:spacing w:val="-50"/>
          <w:sz w:val="24"/>
          <w:szCs w:val="24"/>
        </w:rPr>
        <w:t> </w:t>
      </w:r>
      <w:r>
        <w:rPr>
          <w:rFonts w:ascii="宋体" w:hAnsi="宋体" w:cs="宋体" w:eastAsia="宋体" w:hint="default"/>
          <w:sz w:val="24"/>
          <w:szCs w:val="24"/>
        </w:rPr>
        <w:t>10</w:t>
      </w:r>
      <w:r>
        <w:rPr>
          <w:rFonts w:ascii="宋体" w:hAnsi="宋体" w:cs="宋体" w:eastAsia="宋体" w:hint="default"/>
          <w:spacing w:val="-50"/>
          <w:sz w:val="24"/>
          <w:szCs w:val="24"/>
        </w:rPr>
        <w:t> </w:t>
      </w:r>
      <w:r>
        <w:rPr>
          <w:rFonts w:ascii="宋体" w:hAnsi="宋体" w:cs="宋体" w:eastAsia="宋体" w:hint="default"/>
          <w:sz w:val="24"/>
          <w:szCs w:val="24"/>
        </w:rPr>
        <w:t>月</w:t>
      </w:r>
      <w:r>
        <w:rPr>
          <w:rFonts w:ascii="宋体" w:hAnsi="宋体" w:cs="宋体" w:eastAsia="宋体" w:hint="default"/>
          <w:spacing w:val="-50"/>
          <w:sz w:val="24"/>
          <w:szCs w:val="24"/>
        </w:rPr>
        <w:t> </w:t>
      </w:r>
      <w:r>
        <w:rPr>
          <w:rFonts w:ascii="宋体" w:hAnsi="宋体" w:cs="宋体" w:eastAsia="宋体" w:hint="default"/>
          <w:sz w:val="24"/>
          <w:szCs w:val="24"/>
        </w:rPr>
        <w:t>28</w:t>
      </w:r>
      <w:r>
        <w:rPr>
          <w:rFonts w:ascii="宋体" w:hAnsi="宋体" w:cs="宋体" w:eastAsia="宋体" w:hint="default"/>
          <w:spacing w:val="-50"/>
          <w:sz w:val="24"/>
          <w:szCs w:val="24"/>
        </w:rPr>
        <w:t> </w:t>
      </w:r>
      <w:r>
        <w:rPr>
          <w:rFonts w:ascii="宋体" w:hAnsi="宋体" w:cs="宋体" w:eastAsia="宋体" w:hint="default"/>
          <w:sz w:val="24"/>
          <w:szCs w:val="24"/>
        </w:rPr>
        <w:t>日以人民</w:t>
      </w:r>
    </w:p>
    <w:p>
      <w:pPr>
        <w:spacing w:before="74"/>
        <w:ind w:left="198" w:right="0" w:firstLine="0"/>
        <w:jc w:val="both"/>
        <w:rPr>
          <w:rFonts w:ascii="宋体" w:hAnsi="宋体" w:cs="宋体" w:eastAsia="宋体" w:hint="default"/>
          <w:sz w:val="24"/>
          <w:szCs w:val="24"/>
        </w:rPr>
      </w:pPr>
      <w:r>
        <w:rPr>
          <w:rFonts w:ascii="宋体" w:hAnsi="宋体" w:cs="宋体" w:eastAsia="宋体" w:hint="default"/>
          <w:sz w:val="24"/>
          <w:szCs w:val="24"/>
        </w:rPr>
        <w:t>币</w:t>
      </w:r>
      <w:r>
        <w:rPr>
          <w:rFonts w:ascii="宋体" w:hAnsi="宋体" w:cs="宋体" w:eastAsia="宋体" w:hint="default"/>
          <w:spacing w:val="-60"/>
          <w:sz w:val="24"/>
          <w:szCs w:val="24"/>
        </w:rPr>
        <w:t> </w:t>
      </w:r>
      <w:r>
        <w:rPr>
          <w:rFonts w:ascii="宋体" w:hAnsi="宋体" w:cs="宋体" w:eastAsia="宋体" w:hint="default"/>
          <w:sz w:val="24"/>
          <w:szCs w:val="24"/>
        </w:rPr>
        <w:t>9,000,000</w:t>
      </w:r>
      <w:r>
        <w:rPr>
          <w:rFonts w:ascii="宋体" w:hAnsi="宋体" w:cs="宋体" w:eastAsia="宋体" w:hint="default"/>
          <w:spacing w:val="-60"/>
          <w:sz w:val="24"/>
          <w:szCs w:val="24"/>
        </w:rPr>
        <w:t> </w:t>
      </w:r>
      <w:r>
        <w:rPr>
          <w:rFonts w:ascii="宋体" w:hAnsi="宋体" w:cs="宋体" w:eastAsia="宋体" w:hint="default"/>
          <w:sz w:val="24"/>
          <w:szCs w:val="24"/>
        </w:rPr>
        <w:t>元的价格收购北京用友医院管理软件有限公司的资产和业务。</w:t>
      </w:r>
    </w:p>
    <w:p>
      <w:pPr>
        <w:spacing w:before="196"/>
        <w:ind w:left="678" w:right="83" w:firstLine="0"/>
        <w:jc w:val="left"/>
        <w:rPr>
          <w:rFonts w:ascii="宋体" w:hAnsi="宋体" w:cs="宋体" w:eastAsia="宋体" w:hint="default"/>
          <w:sz w:val="24"/>
          <w:szCs w:val="24"/>
        </w:rPr>
      </w:pPr>
      <w:r>
        <w:rPr>
          <w:rFonts w:ascii="宋体" w:hAnsi="宋体" w:cs="宋体" w:eastAsia="宋体" w:hint="default"/>
          <w:sz w:val="24"/>
          <w:szCs w:val="24"/>
        </w:rPr>
        <w:t>（7）公司全资子公司用友医疗卫生信息系统有限公司于</w:t>
      </w:r>
      <w:r>
        <w:rPr>
          <w:rFonts w:ascii="宋体" w:hAnsi="宋体" w:cs="宋体" w:eastAsia="宋体" w:hint="default"/>
          <w:spacing w:val="-50"/>
          <w:sz w:val="24"/>
          <w:szCs w:val="24"/>
        </w:rPr>
        <w:t> </w:t>
      </w:r>
      <w:r>
        <w:rPr>
          <w:rFonts w:ascii="宋体" w:hAnsi="宋体" w:cs="宋体" w:eastAsia="宋体" w:hint="default"/>
          <w:sz w:val="24"/>
          <w:szCs w:val="24"/>
        </w:rPr>
        <w:t>2009</w:t>
      </w:r>
      <w:r>
        <w:rPr>
          <w:rFonts w:ascii="宋体" w:hAnsi="宋体" w:cs="宋体" w:eastAsia="宋体" w:hint="default"/>
          <w:spacing w:val="-50"/>
          <w:sz w:val="24"/>
          <w:szCs w:val="24"/>
        </w:rPr>
        <w:t> </w:t>
      </w:r>
      <w:r>
        <w:rPr>
          <w:rFonts w:ascii="宋体" w:hAnsi="宋体" w:cs="宋体" w:eastAsia="宋体" w:hint="default"/>
          <w:sz w:val="24"/>
          <w:szCs w:val="24"/>
        </w:rPr>
        <w:t>年</w:t>
      </w:r>
      <w:r>
        <w:rPr>
          <w:rFonts w:ascii="宋体" w:hAnsi="宋体" w:cs="宋体" w:eastAsia="宋体" w:hint="default"/>
          <w:spacing w:val="-50"/>
          <w:sz w:val="24"/>
          <w:szCs w:val="24"/>
        </w:rPr>
        <w:t> </w:t>
      </w:r>
      <w:r>
        <w:rPr>
          <w:rFonts w:ascii="宋体" w:hAnsi="宋体" w:cs="宋体" w:eastAsia="宋体" w:hint="default"/>
          <w:sz w:val="24"/>
          <w:szCs w:val="24"/>
        </w:rPr>
        <w:t>11</w:t>
      </w:r>
      <w:r>
        <w:rPr>
          <w:rFonts w:ascii="宋体" w:hAnsi="宋体" w:cs="宋体" w:eastAsia="宋体" w:hint="default"/>
          <w:spacing w:val="-50"/>
          <w:sz w:val="24"/>
          <w:szCs w:val="24"/>
        </w:rPr>
        <w:t> </w:t>
      </w:r>
      <w:r>
        <w:rPr>
          <w:rFonts w:ascii="宋体" w:hAnsi="宋体" w:cs="宋体" w:eastAsia="宋体" w:hint="default"/>
          <w:sz w:val="24"/>
          <w:szCs w:val="24"/>
        </w:rPr>
        <w:t>月</w:t>
      </w:r>
      <w:r>
        <w:rPr>
          <w:rFonts w:ascii="宋体" w:hAnsi="宋体" w:cs="宋体" w:eastAsia="宋体" w:hint="default"/>
          <w:spacing w:val="-50"/>
          <w:sz w:val="24"/>
          <w:szCs w:val="24"/>
        </w:rPr>
        <w:t> </w:t>
      </w:r>
      <w:r>
        <w:rPr>
          <w:rFonts w:ascii="宋体" w:hAnsi="宋体" w:cs="宋体" w:eastAsia="宋体" w:hint="default"/>
          <w:sz w:val="24"/>
          <w:szCs w:val="24"/>
        </w:rPr>
        <w:t>26</w:t>
      </w:r>
      <w:r>
        <w:rPr>
          <w:rFonts w:ascii="宋体" w:hAnsi="宋体" w:cs="宋体" w:eastAsia="宋体" w:hint="default"/>
          <w:spacing w:val="-50"/>
          <w:sz w:val="24"/>
          <w:szCs w:val="24"/>
        </w:rPr>
        <w:t> </w:t>
      </w:r>
      <w:r>
        <w:rPr>
          <w:rFonts w:ascii="宋体" w:hAnsi="宋体" w:cs="宋体" w:eastAsia="宋体" w:hint="default"/>
          <w:sz w:val="24"/>
          <w:szCs w:val="24"/>
        </w:rPr>
        <w:t>日以人民</w:t>
      </w:r>
    </w:p>
    <w:p>
      <w:pPr>
        <w:spacing w:line="297" w:lineRule="auto" w:before="74"/>
        <w:ind w:left="198" w:right="219" w:firstLine="0"/>
        <w:jc w:val="both"/>
        <w:rPr>
          <w:rFonts w:ascii="宋体" w:hAnsi="宋体" w:cs="宋体" w:eastAsia="宋体" w:hint="default"/>
          <w:sz w:val="24"/>
          <w:szCs w:val="24"/>
        </w:rPr>
      </w:pPr>
      <w:r>
        <w:rPr>
          <w:rFonts w:ascii="宋体" w:hAnsi="宋体" w:cs="宋体" w:eastAsia="宋体" w:hint="default"/>
          <w:sz w:val="24"/>
          <w:szCs w:val="24"/>
        </w:rPr>
        <w:t>币</w:t>
      </w:r>
      <w:r>
        <w:rPr>
          <w:rFonts w:ascii="宋体" w:hAnsi="宋体" w:cs="宋体" w:eastAsia="宋体" w:hint="default"/>
          <w:spacing w:val="-88"/>
          <w:sz w:val="24"/>
          <w:szCs w:val="24"/>
        </w:rPr>
        <w:t> </w:t>
      </w:r>
      <w:r>
        <w:rPr>
          <w:rFonts w:ascii="宋体" w:hAnsi="宋体" w:cs="宋体" w:eastAsia="宋体" w:hint="default"/>
          <w:sz w:val="24"/>
          <w:szCs w:val="24"/>
        </w:rPr>
        <w:t>18,000,000</w:t>
      </w:r>
      <w:r>
        <w:rPr>
          <w:rFonts w:ascii="宋体" w:hAnsi="宋体" w:cs="宋体" w:eastAsia="宋体" w:hint="default"/>
          <w:spacing w:val="-88"/>
          <w:sz w:val="24"/>
          <w:szCs w:val="24"/>
        </w:rPr>
        <w:t> </w:t>
      </w:r>
      <w:r>
        <w:rPr>
          <w:rFonts w:ascii="宋体" w:hAnsi="宋体" w:cs="宋体" w:eastAsia="宋体" w:hint="default"/>
          <w:sz w:val="24"/>
          <w:szCs w:val="24"/>
        </w:rPr>
        <w:t>元的价格收购广州安易医疗软件有限公司与江门安易医疗软件有限公司的</w:t>
      </w:r>
      <w:r>
        <w:rPr>
          <w:rFonts w:ascii="宋体" w:hAnsi="宋体" w:cs="宋体" w:eastAsia="宋体" w:hint="default"/>
          <w:sz w:val="24"/>
          <w:szCs w:val="24"/>
        </w:rPr>
        <w:t> 资产和业务。</w:t>
      </w:r>
    </w:p>
    <w:p>
      <w:pPr>
        <w:spacing w:before="137"/>
        <w:ind w:left="678" w:right="83" w:firstLine="0"/>
        <w:jc w:val="left"/>
        <w:rPr>
          <w:rFonts w:ascii="宋体" w:hAnsi="宋体" w:cs="宋体" w:eastAsia="宋体" w:hint="default"/>
          <w:sz w:val="24"/>
          <w:szCs w:val="24"/>
        </w:rPr>
      </w:pPr>
      <w:r>
        <w:rPr>
          <w:rFonts w:ascii="宋体" w:hAnsi="宋体" w:cs="宋体" w:eastAsia="宋体" w:hint="default"/>
          <w:sz w:val="24"/>
          <w:szCs w:val="24"/>
        </w:rPr>
        <w:t>（8）公司控股子公司北京用友华表软件技术有限公司于</w:t>
      </w:r>
      <w:r>
        <w:rPr>
          <w:rFonts w:ascii="宋体" w:hAnsi="宋体" w:cs="宋体" w:eastAsia="宋体" w:hint="default"/>
          <w:spacing w:val="-50"/>
          <w:sz w:val="24"/>
          <w:szCs w:val="24"/>
        </w:rPr>
        <w:t> </w:t>
      </w:r>
      <w:r>
        <w:rPr>
          <w:rFonts w:ascii="宋体" w:hAnsi="宋体" w:cs="宋体" w:eastAsia="宋体" w:hint="default"/>
          <w:sz w:val="24"/>
          <w:szCs w:val="24"/>
        </w:rPr>
        <w:t>2009</w:t>
      </w:r>
      <w:r>
        <w:rPr>
          <w:rFonts w:ascii="宋体" w:hAnsi="宋体" w:cs="宋体" w:eastAsia="宋体" w:hint="default"/>
          <w:spacing w:val="-50"/>
          <w:sz w:val="24"/>
          <w:szCs w:val="24"/>
        </w:rPr>
        <w:t> </w:t>
      </w:r>
      <w:r>
        <w:rPr>
          <w:rFonts w:ascii="宋体" w:hAnsi="宋体" w:cs="宋体" w:eastAsia="宋体" w:hint="default"/>
          <w:sz w:val="24"/>
          <w:szCs w:val="24"/>
        </w:rPr>
        <w:t>年</w:t>
      </w:r>
      <w:r>
        <w:rPr>
          <w:rFonts w:ascii="宋体" w:hAnsi="宋体" w:cs="宋体" w:eastAsia="宋体" w:hint="default"/>
          <w:spacing w:val="-50"/>
          <w:sz w:val="24"/>
          <w:szCs w:val="24"/>
        </w:rPr>
        <w:t> </w:t>
      </w:r>
      <w:r>
        <w:rPr>
          <w:rFonts w:ascii="宋体" w:hAnsi="宋体" w:cs="宋体" w:eastAsia="宋体" w:hint="default"/>
          <w:sz w:val="24"/>
          <w:szCs w:val="24"/>
        </w:rPr>
        <w:t>12</w:t>
      </w:r>
      <w:r>
        <w:rPr>
          <w:rFonts w:ascii="宋体" w:hAnsi="宋体" w:cs="宋体" w:eastAsia="宋体" w:hint="default"/>
          <w:spacing w:val="-50"/>
          <w:sz w:val="24"/>
          <w:szCs w:val="24"/>
        </w:rPr>
        <w:t> </w:t>
      </w:r>
      <w:r>
        <w:rPr>
          <w:rFonts w:ascii="宋体" w:hAnsi="宋体" w:cs="宋体" w:eastAsia="宋体" w:hint="default"/>
          <w:sz w:val="24"/>
          <w:szCs w:val="24"/>
        </w:rPr>
        <w:t>月</w:t>
      </w:r>
      <w:r>
        <w:rPr>
          <w:rFonts w:ascii="宋体" w:hAnsi="宋体" w:cs="宋体" w:eastAsia="宋体" w:hint="default"/>
          <w:spacing w:val="-50"/>
          <w:sz w:val="24"/>
          <w:szCs w:val="24"/>
        </w:rPr>
        <w:t> </w:t>
      </w:r>
      <w:r>
        <w:rPr>
          <w:rFonts w:ascii="宋体" w:hAnsi="宋体" w:cs="宋体" w:eastAsia="宋体" w:hint="default"/>
          <w:sz w:val="24"/>
          <w:szCs w:val="24"/>
        </w:rPr>
        <w:t>16</w:t>
      </w:r>
      <w:r>
        <w:rPr>
          <w:rFonts w:ascii="宋体" w:hAnsi="宋体" w:cs="宋体" w:eastAsia="宋体" w:hint="default"/>
          <w:spacing w:val="-50"/>
          <w:sz w:val="24"/>
          <w:szCs w:val="24"/>
        </w:rPr>
        <w:t> </w:t>
      </w:r>
      <w:r>
        <w:rPr>
          <w:rFonts w:ascii="宋体" w:hAnsi="宋体" w:cs="宋体" w:eastAsia="宋体" w:hint="default"/>
          <w:sz w:val="24"/>
          <w:szCs w:val="24"/>
        </w:rPr>
        <w:t>日以人民</w:t>
      </w:r>
    </w:p>
    <w:p>
      <w:pPr>
        <w:spacing w:before="74"/>
        <w:ind w:left="198" w:right="0" w:firstLine="0"/>
        <w:jc w:val="both"/>
        <w:rPr>
          <w:rFonts w:ascii="宋体" w:hAnsi="宋体" w:cs="宋体" w:eastAsia="宋体" w:hint="default"/>
          <w:sz w:val="24"/>
          <w:szCs w:val="24"/>
        </w:rPr>
      </w:pPr>
      <w:r>
        <w:rPr>
          <w:rFonts w:ascii="宋体" w:hAnsi="宋体" w:cs="宋体" w:eastAsia="宋体" w:hint="default"/>
          <w:sz w:val="24"/>
          <w:szCs w:val="24"/>
        </w:rPr>
        <w:t>币</w:t>
      </w:r>
      <w:r>
        <w:rPr>
          <w:rFonts w:ascii="宋体" w:hAnsi="宋体" w:cs="宋体" w:eastAsia="宋体" w:hint="default"/>
          <w:spacing w:val="-60"/>
          <w:sz w:val="24"/>
          <w:szCs w:val="24"/>
        </w:rPr>
        <w:t> </w:t>
      </w:r>
      <w:r>
        <w:rPr>
          <w:rFonts w:ascii="宋体" w:hAnsi="宋体" w:cs="宋体" w:eastAsia="宋体" w:hint="default"/>
          <w:sz w:val="24"/>
          <w:szCs w:val="24"/>
        </w:rPr>
        <w:t>30,000,000</w:t>
      </w:r>
      <w:r>
        <w:rPr>
          <w:rFonts w:ascii="宋体" w:hAnsi="宋体" w:cs="宋体" w:eastAsia="宋体" w:hint="default"/>
          <w:spacing w:val="-60"/>
          <w:sz w:val="24"/>
          <w:szCs w:val="24"/>
        </w:rPr>
        <w:t> </w:t>
      </w:r>
      <w:r>
        <w:rPr>
          <w:rFonts w:ascii="宋体" w:hAnsi="宋体" w:cs="宋体" w:eastAsia="宋体" w:hint="default"/>
          <w:sz w:val="24"/>
          <w:szCs w:val="24"/>
        </w:rPr>
        <w:t>元的价格收购广州尚南科技有限公司的资产和业务。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2"/>
          <w:szCs w:val="22"/>
        </w:rPr>
      </w:pPr>
    </w:p>
    <w:p>
      <w:pPr>
        <w:spacing w:before="44"/>
        <w:ind w:left="0" w:right="20" w:firstLine="0"/>
        <w:jc w:val="center"/>
        <w:rPr>
          <w:rFonts w:ascii="宋体" w:hAnsi="宋体" w:cs="宋体" w:eastAsia="宋体" w:hint="default"/>
          <w:sz w:val="18"/>
          <w:szCs w:val="18"/>
        </w:rPr>
      </w:pPr>
      <w:r>
        <w:rPr>
          <w:rFonts w:ascii="宋体"/>
          <w:sz w:val="18"/>
        </w:rPr>
        <w:t>51</w:t>
      </w:r>
    </w:p>
    <w:p>
      <w:pPr>
        <w:spacing w:after="0"/>
        <w:jc w:val="center"/>
        <w:rPr>
          <w:rFonts w:ascii="宋体" w:hAnsi="宋体" w:cs="宋体" w:eastAsia="宋体" w:hint="default"/>
          <w:sz w:val="18"/>
          <w:szCs w:val="18"/>
        </w:rPr>
        <w:sectPr>
          <w:headerReference w:type="default" r:id="rId16"/>
          <w:footerReference w:type="default" r:id="rId17"/>
          <w:pgSz w:w="11910" w:h="16840"/>
          <w:pgMar w:header="720" w:footer="0" w:top="1080" w:bottom="280" w:left="1220" w:right="1080"/>
        </w:sectPr>
      </w:pPr>
    </w:p>
    <w:p>
      <w:pPr>
        <w:pStyle w:val="BodyText"/>
        <w:spacing w:line="240" w:lineRule="auto" w:before="75"/>
        <w:ind w:left="153" w:right="0"/>
        <w:jc w:val="left"/>
        <w:rPr>
          <w:rFonts w:ascii="宋体" w:hAnsi="宋体" w:cs="宋体" w:eastAsia="宋体" w:hint="default"/>
          <w:sz w:val="21"/>
          <w:szCs w:val="21"/>
        </w:rPr>
      </w:pPr>
      <w:r>
        <w:rPr/>
        <w:drawing>
          <wp:inline distT="0" distB="0" distL="0" distR="0">
            <wp:extent cx="1409700" cy="172973"/>
            <wp:effectExtent l="0" t="0" r="0" b="0"/>
            <wp:docPr id="3" name="image1.png" descr=""/>
            <wp:cNvGraphicFramePr>
              <a:graphicFrameLocks noChangeAspect="1"/>
            </wp:cNvGraphicFramePr>
            <a:graphic>
              <a:graphicData uri="http://schemas.openxmlformats.org/drawingml/2006/picture">
                <pic:pic>
                  <pic:nvPicPr>
                    <pic:cNvPr id="4" name="image1.png"/>
                    <pic:cNvPicPr/>
                  </pic:nvPicPr>
                  <pic:blipFill>
                    <a:blip r:embed="rId15" cstate="print"/>
                    <a:stretch>
                      <a:fillRect/>
                    </a:stretch>
                  </pic:blipFill>
                  <pic:spPr>
                    <a:xfrm>
                      <a:off x="0" y="0"/>
                      <a:ext cx="1409700" cy="172973"/>
                    </a:xfrm>
                    <a:prstGeom prst="rect">
                      <a:avLst/>
                    </a:prstGeom>
                  </pic:spPr>
                </pic:pic>
              </a:graphicData>
            </a:graphic>
          </wp:inline>
        </w:drawing>
      </w:r>
      <w:r>
        <w:rPr/>
      </w:r>
      <w:r>
        <w:rPr>
          <w:rFonts w:ascii="Times New Roman" w:hAnsi="Times New Roman" w:cs="Times New Roman" w:eastAsia="Times New Roman" w:hint="default"/>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年年度报告</w:t>
      </w:r>
    </w:p>
    <w:p>
      <w:pPr>
        <w:spacing w:line="240" w:lineRule="auto" w:before="13"/>
        <w:rPr>
          <w:rFonts w:ascii="宋体" w:hAnsi="宋体" w:cs="宋体" w:eastAsia="宋体" w:hint="default"/>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717pt;height:.75pt;mso-position-horizontal-relative:char;mso-position-vertical-relative:line" coordorigin="0,0" coordsize="14340,15">
            <v:group style="position:absolute;left:7;top:7;width:14326;height:2" coordorigin="7,7" coordsize="14326,2">
              <v:shape style="position:absolute;left:7;top:7;width:14326;height:2" coordorigin="7,7" coordsize="14326,0" path="m7,7l14333,7e" filled="false" stroked="true" strokeweight=".72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19"/>
          <w:szCs w:val="19"/>
        </w:rPr>
      </w:pPr>
    </w:p>
    <w:p>
      <w:pPr>
        <w:pStyle w:val="Heading7"/>
        <w:spacing w:line="240" w:lineRule="auto" w:before="26"/>
        <w:ind w:left="633" w:right="0"/>
        <w:jc w:val="left"/>
      </w:pPr>
      <w:r>
        <w:rPr/>
        <w:t>3、出售股权情况</w:t>
      </w:r>
    </w:p>
    <w:p>
      <w:pPr>
        <w:spacing w:line="240" w:lineRule="auto" w:before="11"/>
        <w:rPr>
          <w:rFonts w:ascii="宋体" w:hAnsi="宋体" w:cs="宋体" w:eastAsia="宋体" w:hint="default"/>
          <w:sz w:val="17"/>
          <w:szCs w:val="17"/>
        </w:rPr>
      </w:pPr>
    </w:p>
    <w:tbl>
      <w:tblPr>
        <w:tblW w:w="0" w:type="auto"/>
        <w:jc w:val="left"/>
        <w:tblInd w:w="138" w:type="dxa"/>
        <w:tblLayout w:type="fixed"/>
        <w:tblCellMar>
          <w:top w:w="0" w:type="dxa"/>
          <w:left w:w="0" w:type="dxa"/>
          <w:bottom w:w="0" w:type="dxa"/>
          <w:right w:w="0" w:type="dxa"/>
        </w:tblCellMar>
        <w:tblLook w:val="01E0"/>
      </w:tblPr>
      <w:tblGrid>
        <w:gridCol w:w="1608"/>
        <w:gridCol w:w="1800"/>
        <w:gridCol w:w="1301"/>
        <w:gridCol w:w="1399"/>
        <w:gridCol w:w="1200"/>
        <w:gridCol w:w="1301"/>
        <w:gridCol w:w="1000"/>
        <w:gridCol w:w="1100"/>
        <w:gridCol w:w="1000"/>
        <w:gridCol w:w="900"/>
        <w:gridCol w:w="1000"/>
        <w:gridCol w:w="701"/>
      </w:tblGrid>
      <w:tr>
        <w:trPr>
          <w:trHeight w:val="278" w:hRule="exact"/>
        </w:trPr>
        <w:tc>
          <w:tcPr>
            <w:tcW w:w="1608" w:type="dxa"/>
            <w:tcBorders>
              <w:top w:val="single" w:sz="6" w:space="0" w:color="000000"/>
              <w:left w:val="single" w:sz="6" w:space="0" w:color="000000"/>
              <w:bottom w:val="nil" w:sz="6" w:space="0" w:color="auto"/>
              <w:right w:val="single" w:sz="6" w:space="0" w:color="000000"/>
            </w:tcBorders>
          </w:tcPr>
          <w:p>
            <w:pPr/>
          </w:p>
        </w:tc>
        <w:tc>
          <w:tcPr>
            <w:tcW w:w="1800" w:type="dxa"/>
            <w:tcBorders>
              <w:top w:val="single" w:sz="6" w:space="0" w:color="000000"/>
              <w:left w:val="single" w:sz="6" w:space="0" w:color="000000"/>
              <w:bottom w:val="nil" w:sz="6" w:space="0" w:color="auto"/>
              <w:right w:val="single" w:sz="6" w:space="0" w:color="000000"/>
            </w:tcBorders>
          </w:tcPr>
          <w:p>
            <w:pPr/>
          </w:p>
        </w:tc>
        <w:tc>
          <w:tcPr>
            <w:tcW w:w="1301" w:type="dxa"/>
            <w:tcBorders>
              <w:top w:val="single" w:sz="6" w:space="0" w:color="000000"/>
              <w:left w:val="single" w:sz="6" w:space="0" w:color="000000"/>
              <w:bottom w:val="nil" w:sz="6" w:space="0" w:color="auto"/>
              <w:right w:val="single" w:sz="6" w:space="0" w:color="000000"/>
            </w:tcBorders>
          </w:tcPr>
          <w:p>
            <w:pPr/>
          </w:p>
        </w:tc>
        <w:tc>
          <w:tcPr>
            <w:tcW w:w="1399" w:type="dxa"/>
            <w:tcBorders>
              <w:top w:val="single" w:sz="6" w:space="0" w:color="000000"/>
              <w:left w:val="single" w:sz="6" w:space="0" w:color="000000"/>
              <w:bottom w:val="nil" w:sz="6" w:space="0" w:color="auto"/>
              <w:right w:val="single" w:sz="6" w:space="0" w:color="000000"/>
            </w:tcBorders>
          </w:tcPr>
          <w:p>
            <w:pPr/>
          </w:p>
        </w:tc>
        <w:tc>
          <w:tcPr>
            <w:tcW w:w="1200" w:type="dxa"/>
            <w:tcBorders>
              <w:top w:val="single" w:sz="6" w:space="0" w:color="000000"/>
              <w:left w:val="single" w:sz="6" w:space="0" w:color="000000"/>
              <w:bottom w:val="nil" w:sz="6" w:space="0" w:color="auto"/>
              <w:right w:val="single" w:sz="6" w:space="0" w:color="000000"/>
            </w:tcBorders>
          </w:tcPr>
          <w:p>
            <w:pPr/>
          </w:p>
        </w:tc>
        <w:tc>
          <w:tcPr>
            <w:tcW w:w="1301"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100"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900"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Style w:val="TableParagraph"/>
              <w:spacing w:line="240" w:lineRule="exact"/>
              <w:ind w:left="177" w:right="0"/>
              <w:jc w:val="left"/>
              <w:rPr>
                <w:rFonts w:ascii="宋体" w:hAnsi="宋体" w:cs="宋体" w:eastAsia="宋体" w:hint="default"/>
                <w:sz w:val="21"/>
                <w:szCs w:val="21"/>
              </w:rPr>
            </w:pPr>
            <w:r>
              <w:rPr>
                <w:rFonts w:ascii="宋体" w:hAnsi="宋体" w:cs="宋体" w:eastAsia="宋体" w:hint="default"/>
                <w:sz w:val="21"/>
                <w:szCs w:val="21"/>
              </w:rPr>
              <w:t>该资产</w:t>
            </w:r>
          </w:p>
        </w:tc>
        <w:tc>
          <w:tcPr>
            <w:tcW w:w="701" w:type="dxa"/>
            <w:tcBorders>
              <w:top w:val="single" w:sz="6" w:space="0" w:color="000000"/>
              <w:left w:val="single" w:sz="6" w:space="0" w:color="000000"/>
              <w:bottom w:val="nil" w:sz="6" w:space="0" w:color="auto"/>
              <w:right w:val="single" w:sz="6" w:space="0" w:color="000000"/>
            </w:tcBorders>
          </w:tcPr>
          <w:p>
            <w:pPr/>
          </w:p>
        </w:tc>
      </w:tr>
      <w:tr>
        <w:trPr>
          <w:trHeight w:val="1635" w:hRule="exact"/>
        </w:trPr>
        <w:tc>
          <w:tcPr>
            <w:tcW w:w="160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left="376" w:right="0"/>
              <w:jc w:val="left"/>
              <w:rPr>
                <w:rFonts w:ascii="宋体" w:hAnsi="宋体" w:cs="宋体" w:eastAsia="宋体" w:hint="default"/>
                <w:sz w:val="21"/>
                <w:szCs w:val="21"/>
              </w:rPr>
            </w:pPr>
            <w:r>
              <w:rPr>
                <w:rFonts w:ascii="宋体" w:hAnsi="宋体" w:cs="宋体" w:eastAsia="宋体" w:hint="default"/>
                <w:sz w:val="21"/>
                <w:szCs w:val="21"/>
              </w:rPr>
              <w:t>交易对方</w:t>
            </w:r>
          </w:p>
        </w:tc>
        <w:tc>
          <w:tcPr>
            <w:tcW w:w="180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left="367" w:right="0"/>
              <w:jc w:val="left"/>
              <w:rPr>
                <w:rFonts w:ascii="宋体" w:hAnsi="宋体" w:cs="宋体" w:eastAsia="宋体" w:hint="default"/>
                <w:sz w:val="21"/>
                <w:szCs w:val="21"/>
              </w:rPr>
            </w:pPr>
            <w:r>
              <w:rPr>
                <w:rFonts w:ascii="宋体" w:hAnsi="宋体" w:cs="宋体" w:eastAsia="宋体" w:hint="default"/>
                <w:sz w:val="21"/>
                <w:szCs w:val="21"/>
              </w:rPr>
              <w:t>被出售资产</w:t>
            </w:r>
          </w:p>
        </w:tc>
        <w:tc>
          <w:tcPr>
            <w:tcW w:w="130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left="327" w:right="0"/>
              <w:jc w:val="left"/>
              <w:rPr>
                <w:rFonts w:ascii="宋体" w:hAnsi="宋体" w:cs="宋体" w:eastAsia="宋体" w:hint="default"/>
                <w:sz w:val="21"/>
                <w:szCs w:val="21"/>
              </w:rPr>
            </w:pPr>
            <w:r>
              <w:rPr>
                <w:rFonts w:ascii="宋体" w:hAnsi="宋体" w:cs="宋体" w:eastAsia="宋体" w:hint="default"/>
                <w:sz w:val="21"/>
                <w:szCs w:val="21"/>
              </w:rPr>
              <w:t>出售日</w:t>
            </w:r>
          </w:p>
        </w:tc>
        <w:tc>
          <w:tcPr>
            <w:tcW w:w="1399"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9"/>
                <w:szCs w:val="29"/>
              </w:rPr>
            </w:pPr>
          </w:p>
          <w:p>
            <w:pPr>
              <w:pStyle w:val="TableParagraph"/>
              <w:spacing w:line="240" w:lineRule="auto"/>
              <w:ind w:left="272" w:right="0"/>
              <w:jc w:val="left"/>
              <w:rPr>
                <w:rFonts w:ascii="宋体" w:hAnsi="宋体" w:cs="宋体" w:eastAsia="宋体" w:hint="default"/>
                <w:sz w:val="21"/>
                <w:szCs w:val="21"/>
              </w:rPr>
            </w:pPr>
            <w:r>
              <w:rPr>
                <w:rFonts w:ascii="宋体" w:hAnsi="宋体" w:cs="宋体" w:eastAsia="宋体" w:hint="default"/>
                <w:sz w:val="21"/>
                <w:szCs w:val="21"/>
              </w:rPr>
              <w:t>出售价格</w:t>
            </w:r>
          </w:p>
        </w:tc>
        <w:tc>
          <w:tcPr>
            <w:tcW w:w="1200" w:type="dxa"/>
            <w:tcBorders>
              <w:top w:val="nil" w:sz="6" w:space="0" w:color="auto"/>
              <w:left w:val="single" w:sz="6" w:space="0" w:color="000000"/>
              <w:bottom w:val="nil" w:sz="6" w:space="0" w:color="auto"/>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本年初起</w:t>
            </w:r>
          </w:p>
          <w:p>
            <w:pPr>
              <w:pStyle w:val="TableParagraph"/>
              <w:spacing w:line="272" w:lineRule="exact" w:before="26"/>
              <w:ind w:left="172" w:right="170"/>
              <w:jc w:val="center"/>
              <w:rPr>
                <w:rFonts w:ascii="宋体" w:hAnsi="宋体" w:cs="宋体" w:eastAsia="宋体" w:hint="default"/>
                <w:sz w:val="21"/>
                <w:szCs w:val="21"/>
              </w:rPr>
            </w:pPr>
            <w:r>
              <w:rPr>
                <w:rFonts w:ascii="宋体" w:hAnsi="宋体" w:cs="宋体" w:eastAsia="宋体" w:hint="default"/>
                <w:sz w:val="21"/>
                <w:szCs w:val="21"/>
              </w:rPr>
              <w:t>至出售日 该资产为 上市公司 贡献的净 利润</w:t>
            </w:r>
          </w:p>
        </w:tc>
        <w:tc>
          <w:tcPr>
            <w:tcW w:w="130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72" w:lineRule="exact"/>
              <w:ind w:left="431" w:right="116" w:hanging="315"/>
              <w:jc w:val="left"/>
              <w:rPr>
                <w:rFonts w:ascii="宋体" w:hAnsi="宋体" w:cs="宋体" w:eastAsia="宋体" w:hint="default"/>
                <w:sz w:val="21"/>
                <w:szCs w:val="21"/>
              </w:rPr>
            </w:pPr>
            <w:r>
              <w:rPr>
                <w:rFonts w:ascii="宋体" w:hAnsi="宋体" w:cs="宋体" w:eastAsia="宋体" w:hint="default"/>
                <w:sz w:val="21"/>
                <w:szCs w:val="21"/>
              </w:rPr>
              <w:t>出售产生的 损益</w:t>
            </w:r>
          </w:p>
        </w:tc>
        <w:tc>
          <w:tcPr>
            <w:tcW w:w="1000" w:type="dxa"/>
            <w:tcBorders>
              <w:top w:val="nil" w:sz="6" w:space="0" w:color="auto"/>
              <w:left w:val="single" w:sz="6" w:space="0" w:color="000000"/>
              <w:bottom w:val="nil" w:sz="6" w:space="0" w:color="auto"/>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是否为</w:t>
            </w:r>
          </w:p>
          <w:p>
            <w:pPr>
              <w:pStyle w:val="TableParagraph"/>
              <w:spacing w:line="272" w:lineRule="exact" w:before="26"/>
              <w:ind w:left="100" w:right="99"/>
              <w:jc w:val="center"/>
              <w:rPr>
                <w:rFonts w:ascii="宋体" w:hAnsi="宋体" w:cs="宋体" w:eastAsia="宋体" w:hint="default"/>
                <w:sz w:val="21"/>
                <w:szCs w:val="21"/>
              </w:rPr>
            </w:pPr>
            <w:r>
              <w:rPr>
                <w:rFonts w:ascii="宋体" w:hAnsi="宋体" w:cs="宋体" w:eastAsia="宋体" w:hint="default"/>
                <w:sz w:val="21"/>
                <w:szCs w:val="21"/>
              </w:rPr>
              <w:t>关联交 易（如 </w:t>
            </w:r>
            <w:r>
              <w:rPr>
                <w:rFonts w:ascii="宋体" w:hAnsi="宋体" w:cs="宋体" w:eastAsia="宋体" w:hint="default"/>
                <w:spacing w:val="-15"/>
                <w:sz w:val="21"/>
                <w:szCs w:val="21"/>
              </w:rPr>
              <w:t>是，说明</w:t>
            </w:r>
            <w:r>
              <w:rPr>
                <w:rFonts w:ascii="宋体" w:hAnsi="宋体" w:cs="宋体" w:eastAsia="宋体" w:hint="default"/>
                <w:sz w:val="21"/>
                <w:szCs w:val="21"/>
              </w:rPr>
              <w:t> 定价原 则）</w:t>
            </w:r>
          </w:p>
        </w:tc>
        <w:tc>
          <w:tcPr>
            <w:tcW w:w="110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72" w:lineRule="exact"/>
              <w:ind w:left="122" w:right="123"/>
              <w:jc w:val="left"/>
              <w:rPr>
                <w:rFonts w:ascii="宋体" w:hAnsi="宋体" w:cs="宋体" w:eastAsia="宋体" w:hint="default"/>
                <w:sz w:val="21"/>
                <w:szCs w:val="21"/>
              </w:rPr>
            </w:pPr>
            <w:r>
              <w:rPr>
                <w:rFonts w:ascii="宋体" w:hAnsi="宋体" w:cs="宋体" w:eastAsia="宋体" w:hint="default"/>
                <w:sz w:val="21"/>
                <w:szCs w:val="21"/>
              </w:rPr>
              <w:t>资产出售 定价原则</w:t>
            </w:r>
          </w:p>
        </w:tc>
        <w:tc>
          <w:tcPr>
            <w:tcW w:w="1000"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77" w:right="175"/>
              <w:jc w:val="both"/>
              <w:rPr>
                <w:rFonts w:ascii="宋体" w:hAnsi="宋体" w:cs="宋体" w:eastAsia="宋体" w:hint="default"/>
                <w:sz w:val="21"/>
                <w:szCs w:val="21"/>
              </w:rPr>
            </w:pPr>
            <w:r>
              <w:rPr>
                <w:rFonts w:ascii="宋体" w:hAnsi="宋体" w:cs="宋体" w:eastAsia="宋体" w:hint="default"/>
                <w:sz w:val="21"/>
                <w:szCs w:val="21"/>
              </w:rPr>
              <w:t>所涉及 的资产 产权是 否已全 部过户</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26" w:right="126"/>
              <w:jc w:val="both"/>
              <w:rPr>
                <w:rFonts w:ascii="宋体" w:hAnsi="宋体" w:cs="宋体" w:eastAsia="宋体" w:hint="default"/>
                <w:sz w:val="21"/>
                <w:szCs w:val="21"/>
              </w:rPr>
            </w:pPr>
            <w:r>
              <w:rPr>
                <w:rFonts w:ascii="宋体" w:hAnsi="宋体" w:cs="宋体" w:eastAsia="宋体" w:hint="default"/>
                <w:sz w:val="21"/>
                <w:szCs w:val="21"/>
              </w:rPr>
              <w:t>所涉及 的债权 债务是 否已全 部转移</w:t>
            </w:r>
          </w:p>
        </w:tc>
        <w:tc>
          <w:tcPr>
            <w:tcW w:w="1000"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77" w:right="0"/>
              <w:jc w:val="both"/>
              <w:rPr>
                <w:rFonts w:ascii="宋体" w:hAnsi="宋体" w:cs="宋体" w:eastAsia="宋体" w:hint="default"/>
                <w:sz w:val="21"/>
                <w:szCs w:val="21"/>
              </w:rPr>
            </w:pPr>
            <w:r>
              <w:rPr>
                <w:rFonts w:ascii="宋体" w:hAnsi="宋体" w:cs="宋体" w:eastAsia="宋体" w:hint="default"/>
                <w:sz w:val="21"/>
                <w:szCs w:val="21"/>
              </w:rPr>
              <w:t>出售贡</w:t>
            </w:r>
          </w:p>
          <w:p>
            <w:pPr>
              <w:pStyle w:val="TableParagraph"/>
              <w:spacing w:line="272" w:lineRule="exact" w:before="26"/>
              <w:ind w:left="177" w:right="175"/>
              <w:jc w:val="both"/>
              <w:rPr>
                <w:rFonts w:ascii="宋体" w:hAnsi="宋体" w:cs="宋体" w:eastAsia="宋体" w:hint="default"/>
                <w:sz w:val="21"/>
                <w:szCs w:val="21"/>
              </w:rPr>
            </w:pPr>
            <w:r>
              <w:rPr>
                <w:rFonts w:ascii="宋体" w:hAnsi="宋体" w:cs="宋体" w:eastAsia="宋体" w:hint="default"/>
                <w:sz w:val="21"/>
                <w:szCs w:val="21"/>
              </w:rPr>
              <w:t>献的净 利润占 上市公 司净利 润的比</w:t>
            </w:r>
          </w:p>
        </w:tc>
        <w:tc>
          <w:tcPr>
            <w:tcW w:w="70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131" w:right="132"/>
              <w:jc w:val="left"/>
              <w:rPr>
                <w:rFonts w:ascii="宋体" w:hAnsi="宋体" w:cs="宋体" w:eastAsia="宋体" w:hint="default"/>
                <w:sz w:val="21"/>
                <w:szCs w:val="21"/>
              </w:rPr>
            </w:pPr>
            <w:r>
              <w:rPr>
                <w:rFonts w:ascii="宋体" w:hAnsi="宋体" w:cs="宋体" w:eastAsia="宋体" w:hint="default"/>
                <w:sz w:val="21"/>
                <w:szCs w:val="21"/>
              </w:rPr>
              <w:t>关联 关系</w:t>
            </w:r>
          </w:p>
        </w:tc>
      </w:tr>
      <w:tr>
        <w:trPr>
          <w:trHeight w:val="281" w:hRule="exact"/>
        </w:trPr>
        <w:tc>
          <w:tcPr>
            <w:tcW w:w="1608" w:type="dxa"/>
            <w:tcBorders>
              <w:top w:val="nil" w:sz="6" w:space="0" w:color="auto"/>
              <w:left w:val="single" w:sz="6" w:space="0" w:color="000000"/>
              <w:bottom w:val="single" w:sz="6" w:space="0" w:color="000000"/>
              <w:right w:val="single" w:sz="6" w:space="0" w:color="000000"/>
            </w:tcBorders>
          </w:tcPr>
          <w:p>
            <w:pPr/>
          </w:p>
        </w:tc>
        <w:tc>
          <w:tcPr>
            <w:tcW w:w="1800" w:type="dxa"/>
            <w:tcBorders>
              <w:top w:val="nil" w:sz="6" w:space="0" w:color="auto"/>
              <w:left w:val="single" w:sz="6" w:space="0" w:color="000000"/>
              <w:bottom w:val="single" w:sz="6" w:space="0" w:color="000000"/>
              <w:right w:val="single" w:sz="6" w:space="0" w:color="000000"/>
            </w:tcBorders>
          </w:tcPr>
          <w:p>
            <w:pPr/>
          </w:p>
        </w:tc>
        <w:tc>
          <w:tcPr>
            <w:tcW w:w="1301" w:type="dxa"/>
            <w:tcBorders>
              <w:top w:val="nil" w:sz="6" w:space="0" w:color="auto"/>
              <w:left w:val="single" w:sz="6" w:space="0" w:color="000000"/>
              <w:bottom w:val="single" w:sz="6" w:space="0" w:color="000000"/>
              <w:right w:val="single" w:sz="6" w:space="0" w:color="000000"/>
            </w:tcBorders>
          </w:tcPr>
          <w:p>
            <w:pPr/>
          </w:p>
        </w:tc>
        <w:tc>
          <w:tcPr>
            <w:tcW w:w="1399" w:type="dxa"/>
            <w:tcBorders>
              <w:top w:val="nil" w:sz="6" w:space="0" w:color="auto"/>
              <w:left w:val="single" w:sz="6" w:space="0" w:color="000000"/>
              <w:bottom w:val="single" w:sz="6" w:space="0" w:color="000000"/>
              <w:right w:val="single" w:sz="6" w:space="0" w:color="000000"/>
            </w:tcBorders>
          </w:tcPr>
          <w:p>
            <w:pPr/>
          </w:p>
        </w:tc>
        <w:tc>
          <w:tcPr>
            <w:tcW w:w="1200" w:type="dxa"/>
            <w:tcBorders>
              <w:top w:val="nil" w:sz="6" w:space="0" w:color="auto"/>
              <w:left w:val="single" w:sz="6" w:space="0" w:color="000000"/>
              <w:bottom w:val="single" w:sz="6" w:space="0" w:color="000000"/>
              <w:right w:val="single" w:sz="6" w:space="0" w:color="000000"/>
            </w:tcBorders>
          </w:tcPr>
          <w:p>
            <w:pPr/>
          </w:p>
        </w:tc>
        <w:tc>
          <w:tcPr>
            <w:tcW w:w="1301" w:type="dxa"/>
            <w:tcBorders>
              <w:top w:val="nil" w:sz="6" w:space="0" w:color="auto"/>
              <w:left w:val="single" w:sz="6" w:space="0" w:color="000000"/>
              <w:bottom w:val="single" w:sz="6" w:space="0" w:color="000000"/>
              <w:right w:val="single" w:sz="6" w:space="0" w:color="000000"/>
            </w:tcBorders>
          </w:tcPr>
          <w:p>
            <w:pPr/>
          </w:p>
        </w:tc>
        <w:tc>
          <w:tcPr>
            <w:tcW w:w="1000" w:type="dxa"/>
            <w:tcBorders>
              <w:top w:val="nil" w:sz="6" w:space="0" w:color="auto"/>
              <w:left w:val="single" w:sz="6" w:space="0" w:color="000000"/>
              <w:bottom w:val="single" w:sz="6" w:space="0" w:color="000000"/>
              <w:right w:val="single" w:sz="6" w:space="0" w:color="000000"/>
            </w:tcBorders>
          </w:tcPr>
          <w:p>
            <w:pPr/>
          </w:p>
        </w:tc>
        <w:tc>
          <w:tcPr>
            <w:tcW w:w="1100" w:type="dxa"/>
            <w:tcBorders>
              <w:top w:val="nil" w:sz="6" w:space="0" w:color="auto"/>
              <w:left w:val="single" w:sz="6" w:space="0" w:color="000000"/>
              <w:bottom w:val="single" w:sz="6" w:space="0" w:color="000000"/>
              <w:right w:val="single" w:sz="6" w:space="0" w:color="000000"/>
            </w:tcBorders>
          </w:tcPr>
          <w:p>
            <w:pPr/>
          </w:p>
        </w:tc>
        <w:tc>
          <w:tcPr>
            <w:tcW w:w="1000" w:type="dxa"/>
            <w:tcBorders>
              <w:top w:val="nil" w:sz="6" w:space="0" w:color="auto"/>
              <w:left w:val="single" w:sz="6" w:space="0" w:color="000000"/>
              <w:bottom w:val="single" w:sz="6" w:space="0" w:color="000000"/>
              <w:right w:val="single" w:sz="6" w:space="0" w:color="000000"/>
            </w:tcBorders>
          </w:tcPr>
          <w:p>
            <w:pPr/>
          </w:p>
        </w:tc>
        <w:tc>
          <w:tcPr>
            <w:tcW w:w="900" w:type="dxa"/>
            <w:tcBorders>
              <w:top w:val="nil" w:sz="6" w:space="0" w:color="auto"/>
              <w:left w:val="single" w:sz="6" w:space="0" w:color="000000"/>
              <w:bottom w:val="single" w:sz="6" w:space="0" w:color="000000"/>
              <w:right w:val="single" w:sz="6" w:space="0" w:color="000000"/>
            </w:tcBorders>
          </w:tcPr>
          <w:p>
            <w:pPr/>
          </w:p>
        </w:tc>
        <w:tc>
          <w:tcPr>
            <w:tcW w:w="100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228" w:right="0"/>
              <w:jc w:val="left"/>
              <w:rPr>
                <w:rFonts w:ascii="宋体" w:hAnsi="宋体" w:cs="宋体" w:eastAsia="宋体" w:hint="default"/>
                <w:sz w:val="21"/>
                <w:szCs w:val="21"/>
              </w:rPr>
            </w:pPr>
            <w:r>
              <w:rPr>
                <w:rFonts w:ascii="宋体" w:hAnsi="宋体" w:cs="宋体" w:eastAsia="宋体" w:hint="default"/>
                <w:sz w:val="21"/>
                <w:szCs w:val="21"/>
              </w:rPr>
              <w:t>例(%)</w:t>
            </w:r>
          </w:p>
        </w:tc>
        <w:tc>
          <w:tcPr>
            <w:tcW w:w="701" w:type="dxa"/>
            <w:tcBorders>
              <w:top w:val="nil" w:sz="6" w:space="0" w:color="auto"/>
              <w:left w:val="single" w:sz="6" w:space="0" w:color="000000"/>
              <w:bottom w:val="single" w:sz="6" w:space="0" w:color="000000"/>
              <w:right w:val="single" w:sz="6" w:space="0" w:color="000000"/>
            </w:tcBorders>
          </w:tcPr>
          <w:p>
            <w:pPr/>
          </w:p>
        </w:tc>
      </w:tr>
      <w:tr>
        <w:trPr>
          <w:trHeight w:val="832" w:hRule="exact"/>
        </w:trPr>
        <w:tc>
          <w:tcPr>
            <w:tcW w:w="16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黄定保</w:t>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北京用友天创咨</w:t>
            </w:r>
          </w:p>
          <w:p>
            <w:pPr>
              <w:pStyle w:val="TableParagraph"/>
              <w:spacing w:line="272" w:lineRule="exact" w:before="26"/>
              <w:ind w:left="100" w:right="212"/>
              <w:jc w:val="left"/>
              <w:rPr>
                <w:rFonts w:ascii="宋体" w:hAnsi="宋体" w:cs="宋体" w:eastAsia="宋体" w:hint="default"/>
                <w:sz w:val="21"/>
                <w:szCs w:val="21"/>
              </w:rPr>
            </w:pPr>
            <w:r>
              <w:rPr>
                <w:rFonts w:ascii="宋体" w:hAnsi="宋体" w:cs="宋体" w:eastAsia="宋体" w:hint="default"/>
                <w:sz w:val="21"/>
                <w:szCs w:val="21"/>
              </w:rPr>
              <w:t>询有限责任公司 19.8%股权</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13日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21"/>
                <w:szCs w:val="21"/>
              </w:rPr>
            </w:pPr>
            <w:r>
              <w:rPr>
                <w:rFonts w:ascii="宋体"/>
                <w:sz w:val="21"/>
              </w:rPr>
              <w:t>594,000</w:t>
            </w:r>
          </w:p>
        </w:tc>
        <w:tc>
          <w:tcPr>
            <w:tcW w:w="12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是</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833" w:hRule="exact"/>
        </w:trPr>
        <w:tc>
          <w:tcPr>
            <w:tcW w:w="16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樊冠军</w:t>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厦门用友烟草软</w:t>
            </w:r>
          </w:p>
          <w:p>
            <w:pPr>
              <w:pStyle w:val="TableParagraph"/>
              <w:spacing w:line="272" w:lineRule="exact" w:before="26"/>
              <w:ind w:left="100" w:right="212"/>
              <w:jc w:val="left"/>
              <w:rPr>
                <w:rFonts w:ascii="宋体" w:hAnsi="宋体" w:cs="宋体" w:eastAsia="宋体" w:hint="default"/>
                <w:sz w:val="21"/>
                <w:szCs w:val="21"/>
              </w:rPr>
            </w:pPr>
            <w:r>
              <w:rPr>
                <w:rFonts w:ascii="宋体" w:hAnsi="宋体" w:cs="宋体" w:eastAsia="宋体" w:hint="default"/>
                <w:sz w:val="21"/>
                <w:szCs w:val="21"/>
              </w:rPr>
              <w:t>件有限责任公司 3%股权</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30日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21"/>
                <w:szCs w:val="21"/>
              </w:rPr>
            </w:pPr>
            <w:r>
              <w:rPr>
                <w:rFonts w:ascii="宋体"/>
                <w:sz w:val="21"/>
              </w:rPr>
              <w:t>781,737</w:t>
            </w:r>
          </w:p>
        </w:tc>
        <w:tc>
          <w:tcPr>
            <w:tcW w:w="12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是</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无</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spacing w:before="44"/>
        <w:ind w:left="7178" w:right="7182" w:firstLine="0"/>
        <w:jc w:val="center"/>
        <w:rPr>
          <w:rFonts w:ascii="宋体" w:hAnsi="宋体" w:cs="宋体" w:eastAsia="宋体" w:hint="default"/>
          <w:sz w:val="18"/>
          <w:szCs w:val="18"/>
        </w:rPr>
      </w:pPr>
      <w:r>
        <w:rPr>
          <w:rFonts w:ascii="宋体"/>
          <w:sz w:val="18"/>
        </w:rPr>
        <w:t>52</w:t>
      </w:r>
    </w:p>
    <w:p>
      <w:pPr>
        <w:spacing w:after="0"/>
        <w:jc w:val="center"/>
        <w:rPr>
          <w:rFonts w:ascii="宋体" w:hAnsi="宋体" w:cs="宋体" w:eastAsia="宋体" w:hint="default"/>
          <w:sz w:val="18"/>
          <w:szCs w:val="18"/>
        </w:rPr>
        <w:sectPr>
          <w:headerReference w:type="default" r:id="rId18"/>
          <w:footerReference w:type="default" r:id="rId19"/>
          <w:pgSz w:w="16840" w:h="11910" w:orient="landscape"/>
          <w:pgMar w:header="0" w:footer="0" w:top="640" w:bottom="280" w:left="980" w:right="12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footerReference w:type="default" r:id="rId20"/>
          <w:pgSz w:w="11910" w:h="16840"/>
          <w:pgMar w:footer="727" w:header="0" w:top="1080" w:bottom="920" w:left="1280" w:right="1160"/>
          <w:pgNumType w:start="53"/>
        </w:sectPr>
      </w:pPr>
    </w:p>
    <w:p>
      <w:pPr>
        <w:spacing w:before="26"/>
        <w:ind w:left="538" w:right="-20" w:firstLine="0"/>
        <w:jc w:val="left"/>
        <w:rPr>
          <w:rFonts w:ascii="宋体" w:hAnsi="宋体" w:cs="宋体" w:eastAsia="宋体" w:hint="default"/>
          <w:sz w:val="24"/>
          <w:szCs w:val="24"/>
        </w:rPr>
      </w:pPr>
      <w:bookmarkStart w:name="_TOC_250006" w:id="24"/>
      <w:r>
        <w:rPr>
          <w:rFonts w:ascii="宋体" w:hAnsi="宋体" w:cs="宋体" w:eastAsia="宋体" w:hint="default"/>
          <w:b/>
          <w:bCs/>
          <w:sz w:val="24"/>
          <w:szCs w:val="24"/>
        </w:rPr>
        <w:t>(五)</w:t>
      </w:r>
      <w:r>
        <w:rPr>
          <w:rFonts w:ascii="宋体" w:hAnsi="宋体" w:cs="宋体" w:eastAsia="宋体" w:hint="default"/>
          <w:b/>
          <w:bCs/>
          <w:spacing w:val="1"/>
          <w:sz w:val="24"/>
          <w:szCs w:val="24"/>
        </w:rPr>
        <w:t> </w:t>
      </w:r>
      <w:r>
        <w:rPr>
          <w:rFonts w:ascii="宋体" w:hAnsi="宋体" w:cs="宋体" w:eastAsia="宋体" w:hint="default"/>
          <w:b/>
          <w:bCs/>
          <w:sz w:val="24"/>
          <w:szCs w:val="24"/>
        </w:rPr>
        <w:t>公司股权激励的实施情况及其影响</w:t>
      </w:r>
      <w:bookmarkEnd w:id="24"/>
      <w:r>
        <w:rPr>
          <w:rFonts w:ascii="宋体" w:hAnsi="宋体" w:cs="宋体" w:eastAsia="宋体" w:hint="default"/>
          <w:sz w:val="24"/>
          <w:szCs w:val="24"/>
        </w:rPr>
      </w:r>
    </w:p>
    <w:p>
      <w:pPr>
        <w:spacing w:line="240" w:lineRule="auto" w:before="2"/>
        <w:rPr>
          <w:rFonts w:ascii="宋体" w:hAnsi="宋体" w:cs="宋体" w:eastAsia="宋体" w:hint="default"/>
          <w:b/>
          <w:bCs/>
          <w:sz w:val="26"/>
          <w:szCs w:val="26"/>
        </w:rPr>
      </w:pPr>
      <w:r>
        <w:rPr/>
        <w:br w:type="column"/>
      </w:r>
      <w:r>
        <w:rPr>
          <w:rFonts w:ascii="宋体"/>
          <w:b/>
          <w:sz w:val="26"/>
        </w:rPr>
      </w:r>
    </w:p>
    <w:p>
      <w:pPr>
        <w:spacing w:before="0"/>
        <w:ind w:left="538"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900" w:bottom="280" w:left="1280" w:right="1160"/>
          <w:cols w:num="2" w:equalWidth="0">
            <w:col w:w="4758" w:space="3187"/>
            <w:col w:w="1525"/>
          </w:cols>
        </w:sectPr>
      </w:pPr>
    </w:p>
    <w:p>
      <w:pPr>
        <w:spacing w:line="240" w:lineRule="auto" w:before="7"/>
        <w:rPr>
          <w:rFonts w:ascii="宋体" w:hAnsi="宋体" w:cs="宋体" w:eastAsia="宋体" w:hint="default"/>
          <w:sz w:val="2"/>
          <w:szCs w:val="2"/>
        </w:rPr>
      </w:pPr>
    </w:p>
    <w:tbl>
      <w:tblPr>
        <w:tblW w:w="0" w:type="auto"/>
        <w:jc w:val="left"/>
        <w:tblInd w:w="128" w:type="dxa"/>
        <w:tblLayout w:type="fixed"/>
        <w:tblCellMar>
          <w:top w:w="0" w:type="dxa"/>
          <w:left w:w="0" w:type="dxa"/>
          <w:bottom w:w="0" w:type="dxa"/>
          <w:right w:w="0" w:type="dxa"/>
        </w:tblCellMar>
        <w:tblLook w:val="01E0"/>
      </w:tblPr>
      <w:tblGrid>
        <w:gridCol w:w="1080"/>
        <w:gridCol w:w="1600"/>
        <w:gridCol w:w="1825"/>
        <w:gridCol w:w="2500"/>
        <w:gridCol w:w="2201"/>
      </w:tblGrid>
      <w:tr>
        <w:trPr>
          <w:trHeight w:val="340" w:hRule="exact"/>
        </w:trPr>
        <w:tc>
          <w:tcPr>
            <w:tcW w:w="4505" w:type="dxa"/>
            <w:gridSpan w:val="3"/>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报告期内激励对象的范围</w:t>
            </w:r>
          </w:p>
        </w:tc>
        <w:tc>
          <w:tcPr>
            <w:tcW w:w="47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公司高级管理人员及部分核心员工</w:t>
            </w:r>
          </w:p>
        </w:tc>
      </w:tr>
      <w:tr>
        <w:trPr>
          <w:trHeight w:val="340" w:hRule="exact"/>
        </w:trPr>
        <w:tc>
          <w:tcPr>
            <w:tcW w:w="4505" w:type="dxa"/>
            <w:gridSpan w:val="3"/>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报告期内授出的限制性股票总额</w:t>
            </w:r>
          </w:p>
        </w:tc>
        <w:tc>
          <w:tcPr>
            <w:tcW w:w="47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宋体" w:hAnsi="宋体" w:cs="宋体" w:eastAsia="宋体" w:hint="default"/>
                <w:sz w:val="21"/>
                <w:szCs w:val="21"/>
              </w:rPr>
            </w:pPr>
            <w:r>
              <w:rPr>
                <w:rFonts w:ascii="宋体"/>
                <w:sz w:val="21"/>
              </w:rPr>
              <w:t>21,196,982</w:t>
            </w:r>
          </w:p>
        </w:tc>
      </w:tr>
      <w:tr>
        <w:trPr>
          <w:trHeight w:val="341" w:hRule="exact"/>
        </w:trPr>
        <w:tc>
          <w:tcPr>
            <w:tcW w:w="9205" w:type="dxa"/>
            <w:gridSpan w:val="5"/>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657" w:right="0"/>
              <w:jc w:val="left"/>
              <w:rPr>
                <w:rFonts w:ascii="宋体" w:hAnsi="宋体" w:cs="宋体" w:eastAsia="宋体" w:hint="default"/>
                <w:sz w:val="21"/>
                <w:szCs w:val="21"/>
              </w:rPr>
            </w:pPr>
            <w:r>
              <w:rPr>
                <w:rFonts w:ascii="宋体" w:hAnsi="宋体" w:cs="宋体" w:eastAsia="宋体" w:hint="default"/>
                <w:sz w:val="21"/>
                <w:szCs w:val="21"/>
              </w:rPr>
              <w:t>公司高级管理人员和其他核心员工报告期内获授限制性股票情况</w:t>
            </w:r>
          </w:p>
        </w:tc>
      </w:tr>
      <w:tr>
        <w:trPr>
          <w:trHeight w:val="340" w:hRule="exact"/>
        </w:trPr>
        <w:tc>
          <w:tcPr>
            <w:tcW w:w="1080" w:type="dxa"/>
            <w:vMerge w:val="restart"/>
            <w:tcBorders>
              <w:top w:val="single" w:sz="4" w:space="0" w:color="000000"/>
              <w:left w:val="single" w:sz="4" w:space="0" w:color="000000"/>
              <w:right w:val="single" w:sz="4" w:space="0" w:color="000000"/>
            </w:tcBorders>
          </w:tcPr>
          <w:p>
            <w:pPr>
              <w:pStyle w:val="TableParagraph"/>
              <w:spacing w:line="240" w:lineRule="auto" w:before="158"/>
              <w:ind w:left="325"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600" w:type="dxa"/>
            <w:vMerge w:val="restart"/>
            <w:tcBorders>
              <w:top w:val="single" w:sz="4" w:space="0" w:color="000000"/>
              <w:left w:val="single" w:sz="4" w:space="0" w:color="000000"/>
              <w:right w:val="single" w:sz="4" w:space="0" w:color="000000"/>
            </w:tcBorders>
          </w:tcPr>
          <w:p>
            <w:pPr>
              <w:pStyle w:val="TableParagraph"/>
              <w:spacing w:line="240" w:lineRule="auto" w:before="158"/>
              <w:ind w:right="1"/>
              <w:jc w:val="center"/>
              <w:rPr>
                <w:rFonts w:ascii="宋体" w:hAnsi="宋体" w:cs="宋体" w:eastAsia="宋体" w:hint="default"/>
                <w:sz w:val="21"/>
                <w:szCs w:val="21"/>
              </w:rPr>
            </w:pPr>
            <w:r>
              <w:rPr>
                <w:rFonts w:ascii="宋体" w:hAnsi="宋体" w:cs="宋体" w:eastAsia="宋体" w:hint="default"/>
                <w:sz w:val="21"/>
                <w:szCs w:val="21"/>
              </w:rPr>
              <w:t>职务</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277" w:right="0"/>
              <w:jc w:val="left"/>
              <w:rPr>
                <w:rFonts w:ascii="宋体" w:hAnsi="宋体" w:cs="宋体" w:eastAsia="宋体" w:hint="default"/>
                <w:sz w:val="21"/>
                <w:szCs w:val="21"/>
              </w:rPr>
            </w:pPr>
            <w:r>
              <w:rPr>
                <w:rFonts w:ascii="宋体" w:hAnsi="宋体" w:cs="宋体" w:eastAsia="宋体" w:hint="default"/>
                <w:sz w:val="21"/>
                <w:szCs w:val="21"/>
              </w:rPr>
              <w:t>报告期内获授</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614" w:right="0"/>
              <w:jc w:val="left"/>
              <w:rPr>
                <w:rFonts w:ascii="宋体" w:hAnsi="宋体" w:cs="宋体" w:eastAsia="宋体" w:hint="default"/>
                <w:sz w:val="21"/>
                <w:szCs w:val="21"/>
              </w:rPr>
            </w:pPr>
            <w:r>
              <w:rPr>
                <w:rFonts w:ascii="宋体" w:hAnsi="宋体" w:cs="宋体" w:eastAsia="宋体" w:hint="default"/>
                <w:sz w:val="21"/>
                <w:szCs w:val="21"/>
              </w:rPr>
              <w:t>报告期内解锁</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254" w:right="0"/>
              <w:jc w:val="left"/>
              <w:rPr>
                <w:rFonts w:ascii="宋体" w:hAnsi="宋体" w:cs="宋体" w:eastAsia="宋体" w:hint="default"/>
                <w:sz w:val="21"/>
                <w:szCs w:val="21"/>
              </w:rPr>
            </w:pPr>
            <w:r>
              <w:rPr>
                <w:rFonts w:ascii="宋体" w:hAnsi="宋体" w:cs="宋体" w:eastAsia="宋体" w:hint="default"/>
                <w:sz w:val="21"/>
                <w:szCs w:val="21"/>
              </w:rPr>
              <w:t>报告期末尚未解锁</w:t>
            </w:r>
          </w:p>
        </w:tc>
      </w:tr>
      <w:tr>
        <w:trPr>
          <w:trHeight w:val="340" w:hRule="exact"/>
        </w:trPr>
        <w:tc>
          <w:tcPr>
            <w:tcW w:w="1080" w:type="dxa"/>
            <w:vMerge/>
            <w:tcBorders>
              <w:left w:val="single" w:sz="4" w:space="0" w:color="000000"/>
              <w:bottom w:val="single" w:sz="4" w:space="0" w:color="000000"/>
              <w:right w:val="single" w:sz="4" w:space="0" w:color="000000"/>
            </w:tcBorders>
          </w:tcPr>
          <w:p>
            <w:pPr/>
          </w:p>
        </w:tc>
        <w:tc>
          <w:tcPr>
            <w:tcW w:w="1600" w:type="dxa"/>
            <w:vMerge/>
            <w:tcBorders>
              <w:left w:val="single" w:sz="4" w:space="0" w:color="000000"/>
              <w:bottom w:val="single" w:sz="4" w:space="0" w:color="000000"/>
              <w:right w:val="single" w:sz="4" w:space="0" w:color="000000"/>
            </w:tcBorders>
          </w:tcPr>
          <w:p>
            <w:pP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72" w:right="0"/>
              <w:jc w:val="left"/>
              <w:rPr>
                <w:rFonts w:ascii="宋体" w:hAnsi="宋体" w:cs="宋体" w:eastAsia="宋体" w:hint="default"/>
                <w:sz w:val="21"/>
                <w:szCs w:val="21"/>
              </w:rPr>
            </w:pPr>
            <w:r>
              <w:rPr>
                <w:rFonts w:ascii="宋体" w:hAnsi="宋体" w:cs="宋体" w:eastAsia="宋体" w:hint="default"/>
                <w:sz w:val="21"/>
                <w:szCs w:val="21"/>
              </w:rPr>
              <w:t>限制性股票数量</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509" w:right="0"/>
              <w:jc w:val="left"/>
              <w:rPr>
                <w:rFonts w:ascii="宋体" w:hAnsi="宋体" w:cs="宋体" w:eastAsia="宋体" w:hint="default"/>
                <w:sz w:val="21"/>
                <w:szCs w:val="21"/>
              </w:rPr>
            </w:pPr>
            <w:r>
              <w:rPr>
                <w:rFonts w:ascii="宋体" w:hAnsi="宋体" w:cs="宋体" w:eastAsia="宋体" w:hint="default"/>
                <w:sz w:val="21"/>
                <w:szCs w:val="21"/>
              </w:rPr>
              <w:t>限制性股票数量</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360" w:right="0"/>
              <w:jc w:val="left"/>
              <w:rPr>
                <w:rFonts w:ascii="宋体" w:hAnsi="宋体" w:cs="宋体" w:eastAsia="宋体" w:hint="default"/>
                <w:sz w:val="21"/>
                <w:szCs w:val="21"/>
              </w:rPr>
            </w:pPr>
            <w:r>
              <w:rPr>
                <w:rFonts w:ascii="宋体" w:hAnsi="宋体" w:cs="宋体" w:eastAsia="宋体" w:hint="default"/>
                <w:sz w:val="21"/>
                <w:szCs w:val="21"/>
              </w:rPr>
              <w:t>限制性股票数量</w:t>
            </w:r>
          </w:p>
        </w:tc>
      </w:tr>
      <w:tr>
        <w:trPr>
          <w:trHeight w:val="341"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许建钢</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1825" w:type="dxa"/>
            <w:tcBorders>
              <w:top w:val="single" w:sz="4" w:space="0" w:color="000000"/>
              <w:left w:val="single" w:sz="4" w:space="0" w:color="000000"/>
              <w:bottom w:val="single" w:sz="4" w:space="0" w:color="000000"/>
              <w:right w:val="single" w:sz="4" w:space="0" w:color="000000"/>
            </w:tcBorders>
          </w:tcPr>
          <w:p>
            <w:pP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41,080</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z w:val="21"/>
              </w:rPr>
              <w:t>0</w:t>
            </w:r>
          </w:p>
        </w:tc>
      </w:tr>
      <w:tr>
        <w:trPr>
          <w:trHeight w:val="34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严绍业</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825" w:type="dxa"/>
            <w:tcBorders>
              <w:top w:val="single" w:sz="4" w:space="0" w:color="000000"/>
              <w:left w:val="single" w:sz="4" w:space="0" w:color="000000"/>
              <w:bottom w:val="single" w:sz="4" w:space="0" w:color="000000"/>
              <w:right w:val="single" w:sz="4" w:space="0" w:color="000000"/>
            </w:tcBorders>
          </w:tcPr>
          <w:p>
            <w:pP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11,648</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z w:val="21"/>
              </w:rPr>
              <w:t>0</w:t>
            </w:r>
          </w:p>
        </w:tc>
      </w:tr>
      <w:tr>
        <w:trPr>
          <w:trHeight w:val="34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贾文新</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825" w:type="dxa"/>
            <w:tcBorders>
              <w:top w:val="single" w:sz="4" w:space="0" w:color="000000"/>
              <w:left w:val="single" w:sz="4" w:space="0" w:color="000000"/>
              <w:bottom w:val="single" w:sz="4" w:space="0" w:color="000000"/>
              <w:right w:val="single" w:sz="4" w:space="0" w:color="000000"/>
            </w:tcBorders>
          </w:tcPr>
          <w:p>
            <w:pP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32,552</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z w:val="21"/>
              </w:rPr>
              <w:t>0</w:t>
            </w:r>
          </w:p>
        </w:tc>
      </w:tr>
      <w:tr>
        <w:trPr>
          <w:trHeight w:val="341"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乔海</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825" w:type="dxa"/>
            <w:tcBorders>
              <w:top w:val="single" w:sz="4" w:space="0" w:color="000000"/>
              <w:left w:val="single" w:sz="4" w:space="0" w:color="000000"/>
              <w:bottom w:val="single" w:sz="4" w:space="0" w:color="000000"/>
              <w:right w:val="single" w:sz="4" w:space="0" w:color="000000"/>
            </w:tcBorders>
          </w:tcPr>
          <w:p>
            <w:pP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11,336</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z w:val="21"/>
              </w:rPr>
              <w:t>0</w:t>
            </w:r>
          </w:p>
        </w:tc>
      </w:tr>
      <w:tr>
        <w:trPr>
          <w:trHeight w:val="34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章培林</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84,400</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113,620</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z w:val="21"/>
              </w:rPr>
              <w:t>92,616</w:t>
            </w:r>
          </w:p>
        </w:tc>
      </w:tr>
      <w:tr>
        <w:trPr>
          <w:trHeight w:val="34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郭延生</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pacing w:val="-1"/>
                <w:sz w:val="21"/>
              </w:rPr>
              <w:t>102,600</w:t>
            </w:r>
            <w:r>
              <w:rPr>
                <w:rFonts w:ascii="宋体"/>
                <w:sz w:val="21"/>
              </w:rPr>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pacing w:val="-1"/>
                <w:sz w:val="21"/>
              </w:rPr>
              <w:t>184,574</w:t>
            </w:r>
            <w:r>
              <w:rPr>
                <w:rFonts w:ascii="宋体"/>
                <w:sz w:val="21"/>
              </w:rPr>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宋体" w:hAnsi="宋体" w:cs="宋体" w:eastAsia="宋体" w:hint="default"/>
                <w:sz w:val="21"/>
                <w:szCs w:val="21"/>
              </w:rPr>
            </w:pPr>
            <w:r>
              <w:rPr>
                <w:rFonts w:ascii="宋体"/>
                <w:spacing w:val="-1"/>
                <w:sz w:val="21"/>
              </w:rPr>
              <w:t>143,628</w:t>
            </w:r>
            <w:r>
              <w:rPr>
                <w:rFonts w:ascii="宋体"/>
                <w:sz w:val="21"/>
              </w:rPr>
            </w:r>
          </w:p>
        </w:tc>
      </w:tr>
      <w:tr>
        <w:trPr>
          <w:trHeight w:val="341"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李友</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z w:val="21"/>
              </w:rPr>
              <w:t>93,600</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z w:val="21"/>
              </w:rPr>
              <w:t>168,480</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宋体" w:hAnsi="宋体" w:cs="宋体" w:eastAsia="宋体" w:hint="default"/>
                <w:sz w:val="21"/>
                <w:szCs w:val="21"/>
              </w:rPr>
            </w:pPr>
            <w:r>
              <w:rPr>
                <w:rFonts w:ascii="宋体"/>
                <w:sz w:val="21"/>
              </w:rPr>
              <w:t>131,040</w:t>
            </w:r>
          </w:p>
        </w:tc>
      </w:tr>
      <w:tr>
        <w:trPr>
          <w:trHeight w:val="34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曾志勇</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85,900</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118,768</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z w:val="21"/>
              </w:rPr>
              <w:t>96,300</w:t>
            </w:r>
          </w:p>
        </w:tc>
      </w:tr>
      <w:tr>
        <w:trPr>
          <w:trHeight w:val="34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吴健</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高级副总裁</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z w:val="21"/>
              </w:rPr>
              <w:t>87,600</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z w:val="21"/>
              </w:rPr>
              <w:t>157,716</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宋体" w:hAnsi="宋体" w:cs="宋体" w:eastAsia="宋体" w:hint="default"/>
                <w:sz w:val="21"/>
                <w:szCs w:val="21"/>
              </w:rPr>
            </w:pPr>
            <w:r>
              <w:rPr>
                <w:rFonts w:ascii="宋体"/>
                <w:sz w:val="21"/>
              </w:rPr>
              <w:t>122,648</w:t>
            </w:r>
          </w:p>
        </w:tc>
      </w:tr>
      <w:tr>
        <w:trPr>
          <w:trHeight w:val="341"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吴晓冬</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82,900</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122,928</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z w:val="21"/>
              </w:rPr>
              <w:t>98,500</w:t>
            </w:r>
          </w:p>
        </w:tc>
      </w:tr>
      <w:tr>
        <w:trPr>
          <w:trHeight w:val="34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卢刚</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宋体" w:hAnsi="宋体" w:cs="宋体" w:eastAsia="宋体" w:hint="default"/>
                <w:sz w:val="21"/>
                <w:szCs w:val="21"/>
              </w:rPr>
            </w:pPr>
            <w:r>
              <w:rPr>
                <w:rFonts w:ascii="宋体"/>
                <w:sz w:val="21"/>
              </w:rPr>
              <w:t>44,600</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pacing w:val="-1"/>
                <w:sz w:val="21"/>
              </w:rPr>
              <w:t>53,456</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44,600</w:t>
            </w:r>
          </w:p>
        </w:tc>
      </w:tr>
      <w:tr>
        <w:trPr>
          <w:trHeight w:val="34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陈巧红</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z w:val="21"/>
              </w:rPr>
              <w:t>87,000</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z w:val="21"/>
              </w:rPr>
              <w:t>156,494</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宋体" w:hAnsi="宋体" w:cs="宋体" w:eastAsia="宋体" w:hint="default"/>
                <w:sz w:val="21"/>
                <w:szCs w:val="21"/>
              </w:rPr>
            </w:pPr>
            <w:r>
              <w:rPr>
                <w:rFonts w:ascii="宋体"/>
                <w:sz w:val="21"/>
              </w:rPr>
              <w:t>121,788</w:t>
            </w:r>
          </w:p>
        </w:tc>
      </w:tr>
      <w:tr>
        <w:trPr>
          <w:trHeight w:val="341"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蒋蜀革</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宋体" w:hAnsi="宋体" w:cs="宋体" w:eastAsia="宋体" w:hint="default"/>
                <w:sz w:val="21"/>
                <w:szCs w:val="21"/>
              </w:rPr>
            </w:pPr>
            <w:r>
              <w:rPr>
                <w:rFonts w:ascii="宋体"/>
                <w:sz w:val="21"/>
              </w:rPr>
              <w:t>68,500</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pacing w:val="-1"/>
                <w:sz w:val="21"/>
              </w:rPr>
              <w:t>88,504</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72,660</w:t>
            </w:r>
          </w:p>
        </w:tc>
      </w:tr>
      <w:tr>
        <w:trPr>
          <w:trHeight w:val="34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郑雨林</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宋体" w:hAnsi="宋体" w:cs="宋体" w:eastAsia="宋体" w:hint="default"/>
                <w:sz w:val="21"/>
                <w:szCs w:val="21"/>
              </w:rPr>
            </w:pPr>
            <w:r>
              <w:rPr>
                <w:rFonts w:ascii="宋体"/>
                <w:sz w:val="21"/>
              </w:rPr>
              <w:t>68,800</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pacing w:val="-1"/>
                <w:sz w:val="21"/>
              </w:rPr>
              <w:t>99,632</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80,240</w:t>
            </w:r>
          </w:p>
        </w:tc>
      </w:tr>
      <w:tr>
        <w:trPr>
          <w:trHeight w:val="34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何景霄</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宋体" w:hAnsi="宋体" w:cs="宋体" w:eastAsia="宋体" w:hint="default"/>
                <w:sz w:val="21"/>
                <w:szCs w:val="21"/>
              </w:rPr>
            </w:pPr>
            <w:r>
              <w:rPr>
                <w:rFonts w:ascii="宋体"/>
                <w:sz w:val="21"/>
              </w:rPr>
              <w:t>68,800</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pacing w:val="-1"/>
                <w:sz w:val="21"/>
              </w:rPr>
              <w:t>98,072</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79,200</w:t>
            </w:r>
          </w:p>
        </w:tc>
      </w:tr>
      <w:tr>
        <w:trPr>
          <w:trHeight w:val="341"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向奇汉</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64,400</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100,568</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z w:val="21"/>
              </w:rPr>
              <w:t>80,000</w:t>
            </w:r>
          </w:p>
        </w:tc>
      </w:tr>
      <w:tr>
        <w:trPr>
          <w:trHeight w:val="566"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21"/>
                <w:szCs w:val="21"/>
              </w:rPr>
            </w:pPr>
            <w:r>
              <w:rPr>
                <w:rFonts w:ascii="宋体" w:hAnsi="宋体" w:cs="宋体" w:eastAsia="宋体" w:hint="default"/>
                <w:sz w:val="21"/>
                <w:szCs w:val="21"/>
              </w:rPr>
              <w:t>欧阳青</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副总裁</w:t>
            </w:r>
            <w:r>
              <w:rPr>
                <w:rFonts w:ascii="宋体" w:hAnsi="宋体" w:cs="宋体" w:eastAsia="宋体" w:hint="default"/>
                <w:spacing w:val="-87"/>
                <w:sz w:val="21"/>
                <w:szCs w:val="21"/>
              </w:rPr>
              <w:t>、</w:t>
            </w:r>
            <w:r>
              <w:rPr>
                <w:rFonts w:ascii="宋体" w:hAnsi="宋体" w:cs="宋体" w:eastAsia="宋体" w:hint="default"/>
                <w:sz w:val="21"/>
                <w:szCs w:val="21"/>
              </w:rPr>
              <w:t>董事会</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秘书</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1"/>
              <w:jc w:val="right"/>
              <w:rPr>
                <w:rFonts w:ascii="宋体" w:hAnsi="宋体" w:cs="宋体" w:eastAsia="宋体" w:hint="default"/>
                <w:sz w:val="21"/>
                <w:szCs w:val="21"/>
              </w:rPr>
            </w:pPr>
            <w:r>
              <w:rPr>
                <w:rFonts w:ascii="宋体"/>
                <w:spacing w:val="-1"/>
                <w:sz w:val="21"/>
              </w:rPr>
              <w:t>56,700</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2"/>
              <w:jc w:val="right"/>
              <w:rPr>
                <w:rFonts w:ascii="宋体" w:hAnsi="宋体" w:cs="宋体" w:eastAsia="宋体" w:hint="default"/>
                <w:sz w:val="21"/>
                <w:szCs w:val="21"/>
              </w:rPr>
            </w:pPr>
            <w:r>
              <w:rPr>
                <w:rFonts w:ascii="宋体"/>
                <w:spacing w:val="-1"/>
                <w:sz w:val="21"/>
              </w:rPr>
              <w:t>102,024</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2"/>
              <w:jc w:val="right"/>
              <w:rPr>
                <w:rFonts w:ascii="宋体" w:hAnsi="宋体" w:cs="宋体" w:eastAsia="宋体" w:hint="default"/>
                <w:sz w:val="21"/>
                <w:szCs w:val="21"/>
              </w:rPr>
            </w:pPr>
            <w:r>
              <w:rPr>
                <w:rFonts w:ascii="宋体"/>
                <w:spacing w:val="-1"/>
                <w:sz w:val="21"/>
              </w:rPr>
              <w:t>79,372</w:t>
            </w:r>
          </w:p>
        </w:tc>
      </w:tr>
      <w:tr>
        <w:trPr>
          <w:trHeight w:val="568"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21"/>
                <w:szCs w:val="21"/>
              </w:rPr>
            </w:pPr>
            <w:r>
              <w:rPr>
                <w:rFonts w:ascii="宋体" w:hAnsi="宋体" w:cs="宋体" w:eastAsia="宋体" w:hint="default"/>
                <w:sz w:val="21"/>
                <w:szCs w:val="21"/>
              </w:rPr>
              <w:t>黄义璋</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首席应用架构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师</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1"/>
              <w:jc w:val="right"/>
              <w:rPr>
                <w:rFonts w:ascii="宋体" w:hAnsi="宋体" w:cs="宋体" w:eastAsia="宋体" w:hint="default"/>
                <w:sz w:val="21"/>
                <w:szCs w:val="21"/>
              </w:rPr>
            </w:pPr>
            <w:r>
              <w:rPr>
                <w:rFonts w:ascii="宋体"/>
                <w:spacing w:val="-1"/>
                <w:sz w:val="21"/>
              </w:rPr>
              <w:t>73,300</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2"/>
              <w:jc w:val="right"/>
              <w:rPr>
                <w:rFonts w:ascii="宋体" w:hAnsi="宋体" w:cs="宋体" w:eastAsia="宋体" w:hint="default"/>
                <w:sz w:val="21"/>
                <w:szCs w:val="21"/>
              </w:rPr>
            </w:pPr>
            <w:r>
              <w:rPr>
                <w:rFonts w:ascii="宋体"/>
                <w:spacing w:val="-1"/>
                <w:sz w:val="21"/>
              </w:rPr>
              <w:t>131,976</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03"/>
              <w:jc w:val="right"/>
              <w:rPr>
                <w:rFonts w:ascii="宋体" w:hAnsi="宋体" w:cs="宋体" w:eastAsia="宋体" w:hint="default"/>
                <w:sz w:val="21"/>
                <w:szCs w:val="21"/>
              </w:rPr>
            </w:pPr>
            <w:r>
              <w:rPr>
                <w:rFonts w:ascii="宋体"/>
                <w:spacing w:val="-1"/>
                <w:sz w:val="21"/>
              </w:rPr>
              <w:t>102,628</w:t>
            </w:r>
          </w:p>
        </w:tc>
      </w:tr>
      <w:tr>
        <w:trPr>
          <w:trHeight w:val="34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朱铁生</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宋体" w:hAnsi="宋体" w:cs="宋体" w:eastAsia="宋体" w:hint="default"/>
                <w:sz w:val="21"/>
                <w:szCs w:val="21"/>
              </w:rPr>
            </w:pPr>
            <w:r>
              <w:rPr>
                <w:rFonts w:ascii="宋体"/>
                <w:sz w:val="21"/>
              </w:rPr>
              <w:t>61,000</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pacing w:val="-1"/>
                <w:sz w:val="21"/>
              </w:rPr>
              <w:t>83,805</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79,291</w:t>
            </w:r>
          </w:p>
        </w:tc>
      </w:tr>
      <w:tr>
        <w:trPr>
          <w:trHeight w:val="34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季学庆</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z w:val="21"/>
              </w:rPr>
              <w:t>71,600</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2"/>
              <w:jc w:val="right"/>
              <w:rPr>
                <w:rFonts w:ascii="宋体" w:hAnsi="宋体" w:cs="宋体" w:eastAsia="宋体" w:hint="default"/>
                <w:sz w:val="21"/>
                <w:szCs w:val="21"/>
              </w:rPr>
            </w:pPr>
            <w:r>
              <w:rPr>
                <w:rFonts w:ascii="宋体"/>
                <w:sz w:val="21"/>
              </w:rPr>
              <w:t>112,138</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宋体" w:hAnsi="宋体" w:cs="宋体" w:eastAsia="宋体" w:hint="default"/>
                <w:sz w:val="21"/>
                <w:szCs w:val="21"/>
              </w:rPr>
            </w:pPr>
            <w:r>
              <w:rPr>
                <w:rFonts w:ascii="宋体"/>
                <w:sz w:val="21"/>
              </w:rPr>
              <w:t>100,252</w:t>
            </w:r>
          </w:p>
        </w:tc>
      </w:tr>
      <w:tr>
        <w:trPr>
          <w:trHeight w:val="341"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胡彬</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100,000</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0</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宋体" w:hAnsi="宋体" w:cs="宋体" w:eastAsia="宋体" w:hint="default"/>
                <w:sz w:val="21"/>
                <w:szCs w:val="21"/>
              </w:rPr>
            </w:pPr>
            <w:r>
              <w:rPr>
                <w:rFonts w:ascii="宋体"/>
                <w:sz w:val="21"/>
              </w:rPr>
              <w:t>100,000</w:t>
            </w:r>
          </w:p>
        </w:tc>
      </w:tr>
      <w:tr>
        <w:trPr>
          <w:trHeight w:val="340" w:hRule="exact"/>
        </w:trPr>
        <w:tc>
          <w:tcPr>
            <w:tcW w:w="2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其他核心员工</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9"/>
              <w:jc w:val="right"/>
              <w:rPr>
                <w:rFonts w:ascii="宋体" w:hAnsi="宋体" w:cs="宋体" w:eastAsia="宋体" w:hint="default"/>
                <w:sz w:val="21"/>
                <w:szCs w:val="21"/>
              </w:rPr>
            </w:pPr>
            <w:r>
              <w:rPr>
                <w:rFonts w:ascii="宋体"/>
                <w:sz w:val="21"/>
              </w:rPr>
              <w:t>19,995,282</w:t>
            </w:r>
          </w:p>
        </w:tc>
        <w:tc>
          <w:tcPr>
            <w:tcW w:w="25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pacing w:val="-1"/>
                <w:sz w:val="21"/>
              </w:rPr>
              <w:t>8,079,423</w:t>
            </w:r>
          </w:p>
        </w:tc>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宋体" w:hAnsi="宋体" w:cs="宋体" w:eastAsia="宋体" w:hint="default"/>
                <w:sz w:val="21"/>
                <w:szCs w:val="21"/>
              </w:rPr>
            </w:pPr>
            <w:r>
              <w:rPr>
                <w:rFonts w:ascii="宋体"/>
                <w:sz w:val="21"/>
              </w:rPr>
              <w:t>21,651,478</w:t>
            </w:r>
          </w:p>
        </w:tc>
      </w:tr>
      <w:tr>
        <w:trPr>
          <w:trHeight w:val="566" w:hRule="exact"/>
        </w:trPr>
        <w:tc>
          <w:tcPr>
            <w:tcW w:w="2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因授出股权激励股份所引</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起的股本变动情况</w:t>
            </w:r>
          </w:p>
        </w:tc>
        <w:tc>
          <w:tcPr>
            <w:tcW w:w="65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21"/>
                <w:szCs w:val="21"/>
              </w:rPr>
            </w:pPr>
            <w:r>
              <w:rPr>
                <w:rFonts w:ascii="宋体" w:hAnsi="宋体" w:cs="宋体" w:eastAsia="宋体" w:hint="default"/>
                <w:sz w:val="21"/>
                <w:szCs w:val="21"/>
              </w:rPr>
              <w:t>增加股本</w:t>
            </w:r>
            <w:r>
              <w:rPr>
                <w:rFonts w:ascii="宋体" w:hAnsi="宋体" w:cs="宋体" w:eastAsia="宋体" w:hint="default"/>
                <w:spacing w:val="-59"/>
                <w:sz w:val="21"/>
                <w:szCs w:val="21"/>
              </w:rPr>
              <w:t> </w:t>
            </w:r>
            <w:r>
              <w:rPr>
                <w:rFonts w:ascii="宋体" w:hAnsi="宋体" w:cs="宋体" w:eastAsia="宋体" w:hint="default"/>
                <w:sz w:val="21"/>
                <w:szCs w:val="21"/>
              </w:rPr>
              <w:t>21,196,982</w:t>
            </w:r>
            <w:r>
              <w:rPr>
                <w:rFonts w:ascii="宋体" w:hAnsi="宋体" w:cs="宋体" w:eastAsia="宋体" w:hint="default"/>
                <w:spacing w:val="-59"/>
                <w:sz w:val="21"/>
                <w:szCs w:val="21"/>
              </w:rPr>
              <w:t> </w:t>
            </w:r>
            <w:r>
              <w:rPr>
                <w:rFonts w:ascii="宋体" w:hAnsi="宋体" w:cs="宋体" w:eastAsia="宋体" w:hint="default"/>
                <w:sz w:val="21"/>
                <w:szCs w:val="21"/>
              </w:rPr>
              <w:t>元</w:t>
            </w:r>
          </w:p>
        </w:tc>
      </w:tr>
      <w:tr>
        <w:trPr>
          <w:trHeight w:val="1135" w:hRule="exact"/>
        </w:trPr>
        <w:tc>
          <w:tcPr>
            <w:tcW w:w="2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股权激励的会计处理方法</w:t>
            </w:r>
          </w:p>
        </w:tc>
        <w:tc>
          <w:tcPr>
            <w:tcW w:w="65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72" w:lineRule="exact" w:before="9"/>
              <w:ind w:left="103" w:right="101"/>
              <w:jc w:val="both"/>
              <w:rPr>
                <w:rFonts w:ascii="宋体" w:hAnsi="宋体" w:cs="宋体" w:eastAsia="宋体" w:hint="default"/>
                <w:sz w:val="21"/>
                <w:szCs w:val="21"/>
              </w:rPr>
            </w:pPr>
            <w:r>
              <w:rPr>
                <w:rFonts w:ascii="宋体" w:hAnsi="宋体" w:cs="宋体" w:eastAsia="宋体" w:hint="default"/>
                <w:sz w:val="21"/>
                <w:szCs w:val="21"/>
              </w:rPr>
              <w:t>该等标的股票的公允价值是基于授予日本公司股票的市场价格扣除根 </w:t>
            </w:r>
            <w:r>
              <w:rPr>
                <w:rFonts w:ascii="宋体" w:hAnsi="宋体" w:cs="宋体" w:eastAsia="宋体" w:hint="default"/>
                <w:spacing w:val="-3"/>
                <w:sz w:val="21"/>
                <w:szCs w:val="21"/>
              </w:rPr>
              <w:t>据布莱克-斯科尔斯模型所计算的禁售期限因素的公允价值所得，2007</w:t>
            </w:r>
            <w:r>
              <w:rPr>
                <w:rFonts w:ascii="宋体" w:hAnsi="宋体" w:cs="宋体" w:eastAsia="宋体" w:hint="default"/>
                <w:sz w:val="21"/>
                <w:szCs w:val="21"/>
              </w:rPr>
              <w:t> </w:t>
            </w:r>
            <w:r>
              <w:rPr>
                <w:rFonts w:ascii="宋体" w:hAnsi="宋体" w:cs="宋体" w:eastAsia="宋体" w:hint="default"/>
                <w:spacing w:val="-1"/>
                <w:sz w:val="21"/>
                <w:szCs w:val="21"/>
              </w:rPr>
              <w:t>年度授出的股权激励股票在本报告期的成本为</w:t>
            </w:r>
            <w:r>
              <w:rPr>
                <w:rFonts w:ascii="宋体" w:hAnsi="宋体" w:cs="宋体" w:eastAsia="宋体" w:hint="default"/>
                <w:spacing w:val="-49"/>
                <w:sz w:val="21"/>
                <w:szCs w:val="21"/>
              </w:rPr>
              <w:t> </w:t>
            </w:r>
            <w:r>
              <w:rPr>
                <w:rFonts w:ascii="宋体" w:hAnsi="宋体" w:cs="宋体" w:eastAsia="宋体" w:hint="default"/>
                <w:spacing w:val="-1"/>
                <w:sz w:val="21"/>
                <w:szCs w:val="21"/>
              </w:rPr>
              <w:t>544.13</w:t>
            </w:r>
            <w:r>
              <w:rPr>
                <w:rFonts w:ascii="宋体" w:hAnsi="宋体" w:cs="宋体" w:eastAsia="宋体" w:hint="default"/>
                <w:spacing w:val="-48"/>
                <w:sz w:val="21"/>
                <w:szCs w:val="21"/>
              </w:rPr>
              <w:t> </w:t>
            </w:r>
            <w:r>
              <w:rPr>
                <w:rFonts w:ascii="宋体" w:hAnsi="宋体" w:cs="宋体" w:eastAsia="宋体" w:hint="default"/>
                <w:spacing w:val="-15"/>
                <w:sz w:val="21"/>
                <w:szCs w:val="21"/>
              </w:rPr>
              <w:t>万元，本年度授</w:t>
            </w:r>
          </w:p>
          <w:p>
            <w:pPr>
              <w:pStyle w:val="TableParagraph"/>
              <w:spacing w:line="248" w:lineRule="exact"/>
              <w:ind w:left="103" w:right="0"/>
              <w:jc w:val="both"/>
              <w:rPr>
                <w:rFonts w:ascii="宋体" w:hAnsi="宋体" w:cs="宋体" w:eastAsia="宋体" w:hint="default"/>
                <w:sz w:val="21"/>
                <w:szCs w:val="21"/>
              </w:rPr>
            </w:pPr>
            <w:r>
              <w:rPr>
                <w:rFonts w:ascii="宋体" w:hAnsi="宋体" w:cs="宋体" w:eastAsia="宋体" w:hint="default"/>
                <w:sz w:val="21"/>
                <w:szCs w:val="21"/>
              </w:rPr>
              <w:t>出的股权激励股票成本为</w:t>
            </w:r>
            <w:r>
              <w:rPr>
                <w:rFonts w:ascii="宋体" w:hAnsi="宋体" w:cs="宋体" w:eastAsia="宋体" w:hint="default"/>
                <w:spacing w:val="-63"/>
                <w:sz w:val="21"/>
                <w:szCs w:val="21"/>
              </w:rPr>
              <w:t> </w:t>
            </w:r>
            <w:r>
              <w:rPr>
                <w:rFonts w:ascii="宋体" w:hAnsi="宋体" w:cs="宋体" w:eastAsia="宋体" w:hint="default"/>
                <w:sz w:val="21"/>
                <w:szCs w:val="21"/>
              </w:rPr>
              <w:t>280.83</w:t>
            </w:r>
            <w:r>
              <w:rPr>
                <w:rFonts w:ascii="宋体" w:hAnsi="宋体" w:cs="宋体" w:eastAsia="宋体" w:hint="default"/>
                <w:spacing w:val="-62"/>
                <w:sz w:val="21"/>
                <w:szCs w:val="21"/>
              </w:rPr>
              <w:t> </w:t>
            </w:r>
            <w:r>
              <w:rPr>
                <w:rFonts w:ascii="宋体" w:hAnsi="宋体" w:cs="宋体" w:eastAsia="宋体" w:hint="default"/>
                <w:sz w:val="21"/>
                <w:szCs w:val="21"/>
              </w:rPr>
              <w:t>万元。</w:t>
            </w:r>
          </w:p>
        </w:tc>
      </w:tr>
    </w:tbl>
    <w:p>
      <w:pPr>
        <w:spacing w:after="0" w:line="248" w:lineRule="exact"/>
        <w:jc w:val="both"/>
        <w:rPr>
          <w:rFonts w:ascii="宋体" w:hAnsi="宋体" w:cs="宋体" w:eastAsia="宋体" w:hint="default"/>
          <w:sz w:val="21"/>
          <w:szCs w:val="21"/>
        </w:rPr>
        <w:sectPr>
          <w:type w:val="continuous"/>
          <w:pgSz w:w="11910" w:h="16840"/>
          <w:pgMar w:top="900" w:bottom="280" w:left="128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3"/>
          <w:szCs w:val="23"/>
        </w:rPr>
      </w:pPr>
    </w:p>
    <w:p>
      <w:pPr>
        <w:spacing w:before="26"/>
        <w:ind w:left="538" w:right="2433" w:firstLine="0"/>
        <w:jc w:val="left"/>
        <w:rPr>
          <w:rFonts w:ascii="宋体" w:hAnsi="宋体" w:cs="宋体" w:eastAsia="宋体" w:hint="default"/>
          <w:sz w:val="24"/>
          <w:szCs w:val="24"/>
        </w:rPr>
      </w:pPr>
      <w:bookmarkStart w:name="_TOC_250005" w:id="25"/>
      <w:r>
        <w:rPr>
          <w:rFonts w:ascii="宋体" w:hAnsi="宋体" w:cs="宋体" w:eastAsia="宋体" w:hint="default"/>
          <w:b/>
          <w:bCs/>
          <w:sz w:val="24"/>
          <w:szCs w:val="24"/>
        </w:rPr>
        <w:t>(六) 报告期内公司重大关联交易事项</w:t>
      </w:r>
      <w:bookmarkEnd w:id="25"/>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9"/>
          <w:szCs w:val="19"/>
        </w:rPr>
      </w:pPr>
    </w:p>
    <w:p>
      <w:pPr>
        <w:spacing w:after="0" w:line="240" w:lineRule="auto"/>
        <w:rPr>
          <w:rFonts w:ascii="宋体" w:hAnsi="宋体" w:cs="宋体" w:eastAsia="宋体" w:hint="default"/>
          <w:sz w:val="19"/>
          <w:szCs w:val="19"/>
        </w:rPr>
        <w:sectPr>
          <w:pgSz w:w="11910" w:h="16840"/>
          <w:pgMar w:header="0" w:footer="727" w:top="1080" w:bottom="920" w:left="1280" w:right="1060"/>
        </w:sectPr>
      </w:pPr>
    </w:p>
    <w:p>
      <w:pPr>
        <w:spacing w:before="26"/>
        <w:ind w:left="258" w:right="-20" w:firstLine="0"/>
        <w:jc w:val="left"/>
        <w:rPr>
          <w:rFonts w:ascii="宋体" w:hAnsi="宋体" w:cs="宋体" w:eastAsia="宋体" w:hint="default"/>
          <w:sz w:val="24"/>
          <w:szCs w:val="24"/>
        </w:rPr>
      </w:pPr>
      <w:r>
        <w:rPr>
          <w:rFonts w:ascii="宋体" w:hAnsi="宋体" w:cs="宋体" w:eastAsia="宋体" w:hint="default"/>
          <w:sz w:val="24"/>
          <w:szCs w:val="24"/>
        </w:rPr>
        <w:t>1、与日常经营相关的关联交易</w:t>
      </w:r>
    </w:p>
    <w:p>
      <w:pPr>
        <w:spacing w:line="240" w:lineRule="auto" w:before="2"/>
        <w:rPr>
          <w:rFonts w:ascii="宋体" w:hAnsi="宋体" w:cs="宋体" w:eastAsia="宋体" w:hint="default"/>
          <w:sz w:val="26"/>
          <w:szCs w:val="26"/>
        </w:rPr>
      </w:pPr>
      <w:r>
        <w:rPr/>
        <w:br w:type="column"/>
      </w:r>
      <w:r>
        <w:rPr>
          <w:rFonts w:ascii="宋体"/>
          <w:sz w:val="26"/>
        </w:rPr>
      </w:r>
    </w:p>
    <w:p>
      <w:pPr>
        <w:spacing w:before="0"/>
        <w:ind w:left="258"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900" w:bottom="280" w:left="1280" w:right="1060"/>
          <w:cols w:num="2" w:equalWidth="0">
            <w:col w:w="3499" w:space="4830"/>
            <w:col w:w="1241"/>
          </w:cols>
        </w:sectPr>
      </w:pPr>
    </w:p>
    <w:p>
      <w:pPr>
        <w:spacing w:line="240" w:lineRule="auto" w:before="6"/>
        <w:rPr>
          <w:rFonts w:ascii="宋体" w:hAnsi="宋体" w:cs="宋体" w:eastAsia="宋体" w:hint="default"/>
          <w:sz w:val="2"/>
          <w:szCs w:val="2"/>
        </w:rPr>
      </w:pPr>
    </w:p>
    <w:tbl>
      <w:tblPr>
        <w:tblW w:w="0" w:type="auto"/>
        <w:jc w:val="left"/>
        <w:tblInd w:w="122" w:type="dxa"/>
        <w:tblLayout w:type="fixed"/>
        <w:tblCellMar>
          <w:top w:w="0" w:type="dxa"/>
          <w:left w:w="0" w:type="dxa"/>
          <w:bottom w:w="0" w:type="dxa"/>
          <w:right w:w="0" w:type="dxa"/>
        </w:tblCellMar>
        <w:tblLook w:val="01E0"/>
      </w:tblPr>
      <w:tblGrid>
        <w:gridCol w:w="751"/>
        <w:gridCol w:w="751"/>
        <w:gridCol w:w="751"/>
        <w:gridCol w:w="751"/>
        <w:gridCol w:w="751"/>
        <w:gridCol w:w="750"/>
        <w:gridCol w:w="1266"/>
        <w:gridCol w:w="755"/>
        <w:gridCol w:w="754"/>
        <w:gridCol w:w="1266"/>
        <w:gridCol w:w="754"/>
      </w:tblGrid>
      <w:tr>
        <w:trPr>
          <w:trHeight w:val="278" w:hRule="exact"/>
        </w:trPr>
        <w:tc>
          <w:tcPr>
            <w:tcW w:w="751" w:type="dxa"/>
            <w:tcBorders>
              <w:top w:val="single" w:sz="6" w:space="0" w:color="000000"/>
              <w:left w:val="single" w:sz="6" w:space="0" w:color="000000"/>
              <w:bottom w:val="nil" w:sz="6" w:space="0" w:color="auto"/>
              <w:right w:val="single" w:sz="6" w:space="0" w:color="000000"/>
            </w:tcBorders>
          </w:tcPr>
          <w:p>
            <w:pPr/>
          </w:p>
        </w:tc>
        <w:tc>
          <w:tcPr>
            <w:tcW w:w="751" w:type="dxa"/>
            <w:tcBorders>
              <w:top w:val="single" w:sz="6" w:space="0" w:color="000000"/>
              <w:left w:val="single" w:sz="6" w:space="0" w:color="000000"/>
              <w:bottom w:val="nil" w:sz="6" w:space="0" w:color="auto"/>
              <w:right w:val="single" w:sz="6" w:space="0" w:color="000000"/>
            </w:tcBorders>
          </w:tcPr>
          <w:p>
            <w:pPr/>
          </w:p>
        </w:tc>
        <w:tc>
          <w:tcPr>
            <w:tcW w:w="751" w:type="dxa"/>
            <w:tcBorders>
              <w:top w:val="single" w:sz="6" w:space="0" w:color="000000"/>
              <w:left w:val="single" w:sz="6" w:space="0" w:color="000000"/>
              <w:bottom w:val="nil" w:sz="6" w:space="0" w:color="auto"/>
              <w:right w:val="single" w:sz="6" w:space="0" w:color="000000"/>
            </w:tcBorders>
          </w:tcPr>
          <w:p>
            <w:pPr/>
          </w:p>
        </w:tc>
        <w:tc>
          <w:tcPr>
            <w:tcW w:w="751" w:type="dxa"/>
            <w:tcBorders>
              <w:top w:val="single" w:sz="6" w:space="0" w:color="000000"/>
              <w:left w:val="single" w:sz="6" w:space="0" w:color="000000"/>
              <w:bottom w:val="nil" w:sz="6" w:space="0" w:color="auto"/>
              <w:right w:val="single" w:sz="6" w:space="0" w:color="000000"/>
            </w:tcBorders>
          </w:tcPr>
          <w:p>
            <w:pPr/>
          </w:p>
        </w:tc>
        <w:tc>
          <w:tcPr>
            <w:tcW w:w="751" w:type="dxa"/>
            <w:tcBorders>
              <w:top w:val="single" w:sz="6" w:space="0" w:color="000000"/>
              <w:left w:val="single" w:sz="6" w:space="0" w:color="000000"/>
              <w:bottom w:val="nil" w:sz="6" w:space="0" w:color="auto"/>
              <w:right w:val="single" w:sz="6" w:space="0" w:color="000000"/>
            </w:tcBorders>
          </w:tcPr>
          <w:p>
            <w:pPr/>
          </w:p>
        </w:tc>
        <w:tc>
          <w:tcPr>
            <w:tcW w:w="750" w:type="dxa"/>
            <w:tcBorders>
              <w:top w:val="single" w:sz="6" w:space="0" w:color="000000"/>
              <w:left w:val="single" w:sz="6" w:space="0" w:color="000000"/>
              <w:bottom w:val="nil" w:sz="6" w:space="0" w:color="auto"/>
              <w:right w:val="single" w:sz="6" w:space="0" w:color="000000"/>
            </w:tcBorders>
          </w:tcPr>
          <w:p>
            <w:pPr/>
          </w:p>
        </w:tc>
        <w:tc>
          <w:tcPr>
            <w:tcW w:w="1266" w:type="dxa"/>
            <w:tcBorders>
              <w:top w:val="single" w:sz="6" w:space="0" w:color="000000"/>
              <w:left w:val="single" w:sz="6" w:space="0" w:color="000000"/>
              <w:bottom w:val="nil" w:sz="6" w:space="0" w:color="auto"/>
              <w:right w:val="single" w:sz="6" w:space="0" w:color="000000"/>
            </w:tcBorders>
          </w:tcPr>
          <w:p>
            <w:pPr/>
          </w:p>
        </w:tc>
        <w:tc>
          <w:tcPr>
            <w:tcW w:w="755" w:type="dxa"/>
            <w:tcBorders>
              <w:top w:val="single" w:sz="6" w:space="0" w:color="000000"/>
              <w:left w:val="single" w:sz="6" w:space="0" w:color="000000"/>
              <w:bottom w:val="nil" w:sz="6" w:space="0" w:color="auto"/>
              <w:right w:val="single" w:sz="6" w:space="0" w:color="000000"/>
            </w:tcBorders>
          </w:tcPr>
          <w:p>
            <w:pPr/>
          </w:p>
        </w:tc>
        <w:tc>
          <w:tcPr>
            <w:tcW w:w="754" w:type="dxa"/>
            <w:tcBorders>
              <w:top w:val="single" w:sz="6" w:space="0" w:color="000000"/>
              <w:left w:val="single" w:sz="6" w:space="0" w:color="000000"/>
              <w:bottom w:val="nil" w:sz="6" w:space="0" w:color="auto"/>
              <w:right w:val="single" w:sz="6" w:space="0" w:color="000000"/>
            </w:tcBorders>
          </w:tcPr>
          <w:p>
            <w:pPr/>
          </w:p>
        </w:tc>
        <w:tc>
          <w:tcPr>
            <w:tcW w:w="1266" w:type="dxa"/>
            <w:tcBorders>
              <w:top w:val="single" w:sz="6" w:space="0" w:color="000000"/>
              <w:left w:val="single" w:sz="6" w:space="0" w:color="000000"/>
              <w:bottom w:val="nil" w:sz="6" w:space="0" w:color="auto"/>
              <w:right w:val="single" w:sz="6" w:space="0" w:color="000000"/>
            </w:tcBorders>
          </w:tcPr>
          <w:p>
            <w:pPr/>
          </w:p>
        </w:tc>
        <w:tc>
          <w:tcPr>
            <w:tcW w:w="754" w:type="dxa"/>
            <w:tcBorders>
              <w:top w:val="single" w:sz="6" w:space="0" w:color="000000"/>
              <w:left w:val="single" w:sz="6" w:space="0" w:color="000000"/>
              <w:bottom w:val="nil" w:sz="6" w:space="0" w:color="auto"/>
              <w:right w:val="single" w:sz="6" w:space="0" w:color="000000"/>
            </w:tcBorders>
          </w:tcPr>
          <w:p>
            <w:pPr>
              <w:pStyle w:val="TableParagraph"/>
              <w:spacing w:line="240" w:lineRule="exact"/>
              <w:ind w:right="157"/>
              <w:jc w:val="right"/>
              <w:rPr>
                <w:rFonts w:ascii="宋体" w:hAnsi="宋体" w:cs="宋体" w:eastAsia="宋体" w:hint="default"/>
                <w:sz w:val="21"/>
                <w:szCs w:val="21"/>
              </w:rPr>
            </w:pPr>
            <w:r>
              <w:rPr>
                <w:rFonts w:ascii="宋体" w:hAnsi="宋体" w:cs="宋体" w:eastAsia="宋体" w:hint="default"/>
                <w:sz w:val="21"/>
                <w:szCs w:val="21"/>
              </w:rPr>
              <w:t>交易</w:t>
            </w:r>
          </w:p>
        </w:tc>
      </w:tr>
      <w:tr>
        <w:trPr>
          <w:trHeight w:val="1907" w:hRule="exact"/>
        </w:trPr>
        <w:tc>
          <w:tcPr>
            <w:tcW w:w="75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72" w:lineRule="exact"/>
              <w:ind w:left="158" w:right="156"/>
              <w:jc w:val="both"/>
              <w:rPr>
                <w:rFonts w:ascii="宋体" w:hAnsi="宋体" w:cs="宋体" w:eastAsia="宋体" w:hint="default"/>
                <w:sz w:val="21"/>
                <w:szCs w:val="21"/>
              </w:rPr>
            </w:pPr>
            <w:r>
              <w:rPr>
                <w:rFonts w:ascii="宋体" w:hAnsi="宋体" w:cs="宋体" w:eastAsia="宋体" w:hint="default"/>
                <w:sz w:val="21"/>
                <w:szCs w:val="21"/>
              </w:rPr>
              <w:t>关联 交易 方</w:t>
            </w:r>
          </w:p>
        </w:tc>
        <w:tc>
          <w:tcPr>
            <w:tcW w:w="75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51"/>
              <w:ind w:left="158" w:right="156"/>
              <w:jc w:val="left"/>
              <w:rPr>
                <w:rFonts w:ascii="宋体" w:hAnsi="宋体" w:cs="宋体" w:eastAsia="宋体" w:hint="default"/>
                <w:sz w:val="21"/>
                <w:szCs w:val="21"/>
              </w:rPr>
            </w:pPr>
            <w:r>
              <w:rPr>
                <w:rFonts w:ascii="宋体" w:hAnsi="宋体" w:cs="宋体" w:eastAsia="宋体" w:hint="default"/>
                <w:sz w:val="21"/>
                <w:szCs w:val="21"/>
              </w:rPr>
              <w:t>关联 关系</w:t>
            </w:r>
          </w:p>
        </w:tc>
        <w:tc>
          <w:tcPr>
            <w:tcW w:w="75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72" w:lineRule="exact"/>
              <w:ind w:left="158" w:right="156"/>
              <w:jc w:val="both"/>
              <w:rPr>
                <w:rFonts w:ascii="宋体" w:hAnsi="宋体" w:cs="宋体" w:eastAsia="宋体" w:hint="default"/>
                <w:sz w:val="21"/>
                <w:szCs w:val="21"/>
              </w:rPr>
            </w:pPr>
            <w:r>
              <w:rPr>
                <w:rFonts w:ascii="宋体" w:hAnsi="宋体" w:cs="宋体" w:eastAsia="宋体" w:hint="default"/>
                <w:sz w:val="21"/>
                <w:szCs w:val="21"/>
              </w:rPr>
              <w:t>关联 交易 类型</w:t>
            </w:r>
          </w:p>
        </w:tc>
        <w:tc>
          <w:tcPr>
            <w:tcW w:w="75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72" w:lineRule="exact"/>
              <w:ind w:left="158" w:right="156"/>
              <w:jc w:val="both"/>
              <w:rPr>
                <w:rFonts w:ascii="宋体" w:hAnsi="宋体" w:cs="宋体" w:eastAsia="宋体" w:hint="default"/>
                <w:sz w:val="21"/>
                <w:szCs w:val="21"/>
              </w:rPr>
            </w:pPr>
            <w:r>
              <w:rPr>
                <w:rFonts w:ascii="宋体" w:hAnsi="宋体" w:cs="宋体" w:eastAsia="宋体" w:hint="default"/>
                <w:sz w:val="21"/>
                <w:szCs w:val="21"/>
              </w:rPr>
              <w:t>关联 交易 内容</w:t>
            </w:r>
          </w:p>
        </w:tc>
        <w:tc>
          <w:tcPr>
            <w:tcW w:w="751"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58" w:right="156"/>
              <w:jc w:val="both"/>
              <w:rPr>
                <w:rFonts w:ascii="宋体" w:hAnsi="宋体" w:cs="宋体" w:eastAsia="宋体" w:hint="default"/>
                <w:sz w:val="21"/>
                <w:szCs w:val="21"/>
              </w:rPr>
            </w:pPr>
            <w:r>
              <w:rPr>
                <w:rFonts w:ascii="宋体" w:hAnsi="宋体" w:cs="宋体" w:eastAsia="宋体" w:hint="default"/>
                <w:sz w:val="21"/>
                <w:szCs w:val="21"/>
              </w:rPr>
              <w:t>关联 交易 定价 原则</w:t>
            </w:r>
          </w:p>
        </w:tc>
        <w:tc>
          <w:tcPr>
            <w:tcW w:w="75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158" w:right="155"/>
              <w:jc w:val="both"/>
              <w:rPr>
                <w:rFonts w:ascii="宋体" w:hAnsi="宋体" w:cs="宋体" w:eastAsia="宋体" w:hint="default"/>
                <w:sz w:val="21"/>
                <w:szCs w:val="21"/>
              </w:rPr>
            </w:pPr>
            <w:r>
              <w:rPr>
                <w:rFonts w:ascii="宋体" w:hAnsi="宋体" w:cs="宋体" w:eastAsia="宋体" w:hint="default"/>
                <w:sz w:val="21"/>
                <w:szCs w:val="21"/>
              </w:rPr>
              <w:t>关联 交易 价格</w:t>
            </w:r>
          </w:p>
        </w:tc>
        <w:tc>
          <w:tcPr>
            <w:tcW w:w="126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51"/>
              <w:ind w:left="520" w:right="98" w:hanging="420"/>
              <w:jc w:val="left"/>
              <w:rPr>
                <w:rFonts w:ascii="宋体" w:hAnsi="宋体" w:cs="宋体" w:eastAsia="宋体" w:hint="default"/>
                <w:sz w:val="21"/>
                <w:szCs w:val="21"/>
              </w:rPr>
            </w:pPr>
            <w:r>
              <w:rPr>
                <w:rFonts w:ascii="宋体" w:hAnsi="宋体" w:cs="宋体" w:eastAsia="宋体" w:hint="default"/>
                <w:sz w:val="21"/>
                <w:szCs w:val="21"/>
              </w:rPr>
              <w:t>关联交易金 额</w:t>
            </w:r>
          </w:p>
        </w:tc>
        <w:tc>
          <w:tcPr>
            <w:tcW w:w="755"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59" w:right="158"/>
              <w:jc w:val="both"/>
              <w:rPr>
                <w:rFonts w:ascii="宋体" w:hAnsi="宋体" w:cs="宋体" w:eastAsia="宋体" w:hint="default"/>
                <w:sz w:val="21"/>
                <w:szCs w:val="21"/>
              </w:rPr>
            </w:pPr>
            <w:r>
              <w:rPr>
                <w:rFonts w:ascii="宋体" w:hAnsi="宋体" w:cs="宋体" w:eastAsia="宋体" w:hint="default"/>
                <w:sz w:val="21"/>
                <w:szCs w:val="21"/>
              </w:rPr>
              <w:t>占同 类交 易金 额的 比例 (%)</w:t>
            </w:r>
          </w:p>
        </w:tc>
        <w:tc>
          <w:tcPr>
            <w:tcW w:w="754"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59" w:right="157"/>
              <w:jc w:val="both"/>
              <w:rPr>
                <w:rFonts w:ascii="宋体" w:hAnsi="宋体" w:cs="宋体" w:eastAsia="宋体" w:hint="default"/>
                <w:sz w:val="21"/>
                <w:szCs w:val="21"/>
              </w:rPr>
            </w:pPr>
            <w:r>
              <w:rPr>
                <w:rFonts w:ascii="宋体" w:hAnsi="宋体" w:cs="宋体" w:eastAsia="宋体" w:hint="default"/>
                <w:sz w:val="21"/>
                <w:szCs w:val="21"/>
              </w:rPr>
              <w:t>关联 交易 结算 方式</w:t>
            </w:r>
          </w:p>
        </w:tc>
        <w:tc>
          <w:tcPr>
            <w:tcW w:w="126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51"/>
              <w:ind w:left="415" w:right="414"/>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54"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59" w:right="0"/>
              <w:jc w:val="both"/>
              <w:rPr>
                <w:rFonts w:ascii="宋体" w:hAnsi="宋体" w:cs="宋体" w:eastAsia="宋体" w:hint="default"/>
                <w:sz w:val="21"/>
                <w:szCs w:val="21"/>
              </w:rPr>
            </w:pPr>
            <w:r>
              <w:rPr>
                <w:rFonts w:ascii="宋体" w:hAnsi="宋体" w:cs="宋体" w:eastAsia="宋体" w:hint="default"/>
                <w:sz w:val="21"/>
                <w:szCs w:val="21"/>
              </w:rPr>
              <w:t>价格</w:t>
            </w:r>
          </w:p>
          <w:p>
            <w:pPr>
              <w:pStyle w:val="TableParagraph"/>
              <w:spacing w:line="272" w:lineRule="exact" w:before="26"/>
              <w:ind w:left="159" w:right="157"/>
              <w:jc w:val="both"/>
              <w:rPr>
                <w:rFonts w:ascii="宋体" w:hAnsi="宋体" w:cs="宋体" w:eastAsia="宋体" w:hint="default"/>
                <w:sz w:val="21"/>
                <w:szCs w:val="21"/>
              </w:rPr>
            </w:pPr>
            <w:r>
              <w:rPr>
                <w:rFonts w:ascii="宋体" w:hAnsi="宋体" w:cs="宋体" w:eastAsia="宋体" w:hint="default"/>
                <w:sz w:val="21"/>
                <w:szCs w:val="21"/>
              </w:rPr>
              <w:t>与市 场参 考价 格差 异较 大的</w:t>
            </w:r>
          </w:p>
        </w:tc>
      </w:tr>
      <w:tr>
        <w:trPr>
          <w:trHeight w:val="282" w:hRule="exact"/>
        </w:trPr>
        <w:tc>
          <w:tcPr>
            <w:tcW w:w="751" w:type="dxa"/>
            <w:tcBorders>
              <w:top w:val="nil" w:sz="6" w:space="0" w:color="auto"/>
              <w:left w:val="single" w:sz="6" w:space="0" w:color="000000"/>
              <w:bottom w:val="single" w:sz="6" w:space="0" w:color="000000"/>
              <w:right w:val="single" w:sz="6" w:space="0" w:color="000000"/>
            </w:tcBorders>
          </w:tcPr>
          <w:p>
            <w:pPr/>
          </w:p>
        </w:tc>
        <w:tc>
          <w:tcPr>
            <w:tcW w:w="751" w:type="dxa"/>
            <w:tcBorders>
              <w:top w:val="nil" w:sz="6" w:space="0" w:color="auto"/>
              <w:left w:val="single" w:sz="6" w:space="0" w:color="000000"/>
              <w:bottom w:val="single" w:sz="6" w:space="0" w:color="000000"/>
              <w:right w:val="single" w:sz="6" w:space="0" w:color="000000"/>
            </w:tcBorders>
          </w:tcPr>
          <w:p>
            <w:pPr/>
          </w:p>
        </w:tc>
        <w:tc>
          <w:tcPr>
            <w:tcW w:w="751" w:type="dxa"/>
            <w:tcBorders>
              <w:top w:val="nil" w:sz="6" w:space="0" w:color="auto"/>
              <w:left w:val="single" w:sz="6" w:space="0" w:color="000000"/>
              <w:bottom w:val="single" w:sz="6" w:space="0" w:color="000000"/>
              <w:right w:val="single" w:sz="6" w:space="0" w:color="000000"/>
            </w:tcBorders>
          </w:tcPr>
          <w:p>
            <w:pPr/>
          </w:p>
        </w:tc>
        <w:tc>
          <w:tcPr>
            <w:tcW w:w="751" w:type="dxa"/>
            <w:tcBorders>
              <w:top w:val="nil" w:sz="6" w:space="0" w:color="auto"/>
              <w:left w:val="single" w:sz="6" w:space="0" w:color="000000"/>
              <w:bottom w:val="single" w:sz="6" w:space="0" w:color="000000"/>
              <w:right w:val="single" w:sz="6" w:space="0" w:color="000000"/>
            </w:tcBorders>
          </w:tcPr>
          <w:p>
            <w:pPr/>
          </w:p>
        </w:tc>
        <w:tc>
          <w:tcPr>
            <w:tcW w:w="751" w:type="dxa"/>
            <w:tcBorders>
              <w:top w:val="nil" w:sz="6" w:space="0" w:color="auto"/>
              <w:left w:val="single" w:sz="6" w:space="0" w:color="000000"/>
              <w:bottom w:val="single" w:sz="6" w:space="0" w:color="000000"/>
              <w:right w:val="single" w:sz="6" w:space="0" w:color="000000"/>
            </w:tcBorders>
          </w:tcPr>
          <w:p>
            <w:pPr/>
          </w:p>
        </w:tc>
        <w:tc>
          <w:tcPr>
            <w:tcW w:w="750" w:type="dxa"/>
            <w:tcBorders>
              <w:top w:val="nil" w:sz="6" w:space="0" w:color="auto"/>
              <w:left w:val="single" w:sz="6" w:space="0" w:color="000000"/>
              <w:bottom w:val="single" w:sz="6" w:space="0" w:color="000000"/>
              <w:right w:val="single" w:sz="6" w:space="0" w:color="000000"/>
            </w:tcBorders>
          </w:tcPr>
          <w:p>
            <w:pPr/>
          </w:p>
        </w:tc>
        <w:tc>
          <w:tcPr>
            <w:tcW w:w="1266" w:type="dxa"/>
            <w:tcBorders>
              <w:top w:val="nil" w:sz="6" w:space="0" w:color="auto"/>
              <w:left w:val="single" w:sz="6" w:space="0" w:color="000000"/>
              <w:bottom w:val="single" w:sz="6" w:space="0" w:color="000000"/>
              <w:right w:val="single" w:sz="6" w:space="0" w:color="000000"/>
            </w:tcBorders>
          </w:tcPr>
          <w:p>
            <w:pPr/>
          </w:p>
        </w:tc>
        <w:tc>
          <w:tcPr>
            <w:tcW w:w="755" w:type="dxa"/>
            <w:tcBorders>
              <w:top w:val="nil" w:sz="6" w:space="0" w:color="auto"/>
              <w:left w:val="single" w:sz="6" w:space="0" w:color="000000"/>
              <w:bottom w:val="single" w:sz="6" w:space="0" w:color="000000"/>
              <w:right w:val="single" w:sz="6" w:space="0" w:color="000000"/>
            </w:tcBorders>
          </w:tcPr>
          <w:p>
            <w:pPr/>
          </w:p>
        </w:tc>
        <w:tc>
          <w:tcPr>
            <w:tcW w:w="754" w:type="dxa"/>
            <w:tcBorders>
              <w:top w:val="nil" w:sz="6" w:space="0" w:color="auto"/>
              <w:left w:val="single" w:sz="6" w:space="0" w:color="000000"/>
              <w:bottom w:val="single" w:sz="6" w:space="0" w:color="000000"/>
              <w:right w:val="single" w:sz="6" w:space="0" w:color="000000"/>
            </w:tcBorders>
          </w:tcPr>
          <w:p>
            <w:pPr/>
          </w:p>
        </w:tc>
        <w:tc>
          <w:tcPr>
            <w:tcW w:w="1266" w:type="dxa"/>
            <w:tcBorders>
              <w:top w:val="nil" w:sz="6" w:space="0" w:color="auto"/>
              <w:left w:val="single" w:sz="6" w:space="0" w:color="000000"/>
              <w:bottom w:val="single" w:sz="6" w:space="0" w:color="000000"/>
              <w:right w:val="single" w:sz="6" w:space="0" w:color="000000"/>
            </w:tcBorders>
          </w:tcPr>
          <w:p>
            <w:pPr/>
          </w:p>
        </w:tc>
        <w:tc>
          <w:tcPr>
            <w:tcW w:w="754"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157"/>
              <w:jc w:val="right"/>
              <w:rPr>
                <w:rFonts w:ascii="宋体" w:hAnsi="宋体" w:cs="宋体" w:eastAsia="宋体" w:hint="default"/>
                <w:sz w:val="21"/>
                <w:szCs w:val="21"/>
              </w:rPr>
            </w:pPr>
            <w:r>
              <w:rPr>
                <w:rFonts w:ascii="宋体" w:hAnsi="宋体" w:cs="宋体" w:eastAsia="宋体" w:hint="default"/>
                <w:sz w:val="21"/>
                <w:szCs w:val="21"/>
              </w:rPr>
              <w:t>原因</w:t>
            </w:r>
          </w:p>
        </w:tc>
      </w:tr>
      <w:tr>
        <w:trPr>
          <w:trHeight w:val="278" w:hRule="exact"/>
        </w:trPr>
        <w:tc>
          <w:tcPr>
            <w:tcW w:w="751"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w:t>
            </w:r>
          </w:p>
        </w:tc>
        <w:tc>
          <w:tcPr>
            <w:tcW w:w="751" w:type="dxa"/>
            <w:tcBorders>
              <w:top w:val="single" w:sz="6" w:space="0" w:color="000000"/>
              <w:left w:val="single" w:sz="6" w:space="0" w:color="000000"/>
              <w:bottom w:val="nil" w:sz="6" w:space="0" w:color="auto"/>
              <w:right w:val="single" w:sz="6" w:space="0" w:color="000000"/>
            </w:tcBorders>
          </w:tcPr>
          <w:p>
            <w:pPr/>
          </w:p>
        </w:tc>
        <w:tc>
          <w:tcPr>
            <w:tcW w:w="751" w:type="dxa"/>
            <w:tcBorders>
              <w:top w:val="single" w:sz="6" w:space="0" w:color="000000"/>
              <w:left w:val="single" w:sz="6" w:space="0" w:color="000000"/>
              <w:bottom w:val="nil" w:sz="6" w:space="0" w:color="auto"/>
              <w:right w:val="single" w:sz="6" w:space="0" w:color="000000"/>
            </w:tcBorders>
          </w:tcPr>
          <w:p>
            <w:pPr/>
          </w:p>
        </w:tc>
        <w:tc>
          <w:tcPr>
            <w:tcW w:w="751" w:type="dxa"/>
            <w:tcBorders>
              <w:top w:val="single" w:sz="6" w:space="0" w:color="000000"/>
              <w:left w:val="single" w:sz="6" w:space="0" w:color="000000"/>
              <w:bottom w:val="nil" w:sz="6" w:space="0" w:color="auto"/>
              <w:right w:val="single" w:sz="6" w:space="0" w:color="000000"/>
            </w:tcBorders>
          </w:tcPr>
          <w:p>
            <w:pPr/>
          </w:p>
        </w:tc>
        <w:tc>
          <w:tcPr>
            <w:tcW w:w="751" w:type="dxa"/>
            <w:tcBorders>
              <w:top w:val="single" w:sz="6" w:space="0" w:color="000000"/>
              <w:left w:val="single" w:sz="6" w:space="0" w:color="000000"/>
              <w:bottom w:val="nil" w:sz="6" w:space="0" w:color="auto"/>
              <w:right w:val="single" w:sz="6" w:space="0" w:color="000000"/>
            </w:tcBorders>
          </w:tcPr>
          <w:p>
            <w:pPr/>
          </w:p>
        </w:tc>
        <w:tc>
          <w:tcPr>
            <w:tcW w:w="750" w:type="dxa"/>
            <w:tcBorders>
              <w:top w:val="single" w:sz="6" w:space="0" w:color="000000"/>
              <w:left w:val="single" w:sz="6" w:space="0" w:color="000000"/>
              <w:bottom w:val="nil" w:sz="6" w:space="0" w:color="auto"/>
              <w:right w:val="single" w:sz="6" w:space="0" w:color="000000"/>
            </w:tcBorders>
          </w:tcPr>
          <w:p>
            <w:pPr/>
          </w:p>
        </w:tc>
        <w:tc>
          <w:tcPr>
            <w:tcW w:w="1266" w:type="dxa"/>
            <w:tcBorders>
              <w:top w:val="single" w:sz="6" w:space="0" w:color="000000"/>
              <w:left w:val="single" w:sz="6" w:space="0" w:color="000000"/>
              <w:bottom w:val="nil" w:sz="6" w:space="0" w:color="auto"/>
              <w:right w:val="single" w:sz="6" w:space="0" w:color="000000"/>
            </w:tcBorders>
          </w:tcPr>
          <w:p>
            <w:pPr/>
          </w:p>
        </w:tc>
        <w:tc>
          <w:tcPr>
            <w:tcW w:w="755" w:type="dxa"/>
            <w:tcBorders>
              <w:top w:val="single" w:sz="6" w:space="0" w:color="000000"/>
              <w:left w:val="single" w:sz="6" w:space="0" w:color="000000"/>
              <w:bottom w:val="nil" w:sz="6" w:space="0" w:color="auto"/>
              <w:right w:val="single" w:sz="6" w:space="0" w:color="000000"/>
            </w:tcBorders>
          </w:tcPr>
          <w:p>
            <w:pPr/>
          </w:p>
        </w:tc>
        <w:tc>
          <w:tcPr>
            <w:tcW w:w="754" w:type="dxa"/>
            <w:tcBorders>
              <w:top w:val="single" w:sz="6" w:space="0" w:color="000000"/>
              <w:left w:val="single" w:sz="6" w:space="0" w:color="000000"/>
              <w:bottom w:val="nil" w:sz="6" w:space="0" w:color="auto"/>
              <w:right w:val="single" w:sz="6" w:space="0" w:color="000000"/>
            </w:tcBorders>
          </w:tcPr>
          <w:p>
            <w:pPr/>
          </w:p>
        </w:tc>
        <w:tc>
          <w:tcPr>
            <w:tcW w:w="1266" w:type="dxa"/>
            <w:tcBorders>
              <w:top w:val="single" w:sz="6" w:space="0" w:color="000000"/>
              <w:left w:val="single" w:sz="6" w:space="0" w:color="000000"/>
              <w:bottom w:val="nil" w:sz="6" w:space="0" w:color="auto"/>
              <w:right w:val="single" w:sz="6" w:space="0" w:color="000000"/>
            </w:tcBorders>
          </w:tcPr>
          <w:p>
            <w:pPr/>
          </w:p>
        </w:tc>
        <w:tc>
          <w:tcPr>
            <w:tcW w:w="754" w:type="dxa"/>
            <w:vMerge w:val="restart"/>
            <w:tcBorders>
              <w:top w:val="single" w:sz="6" w:space="0" w:color="000000"/>
              <w:left w:val="single" w:sz="6" w:space="0" w:color="000000"/>
              <w:right w:val="single" w:sz="6" w:space="0" w:color="000000"/>
            </w:tcBorders>
          </w:tcPr>
          <w:p>
            <w:pPr/>
          </w:p>
        </w:tc>
      </w:tr>
      <w:tr>
        <w:trPr>
          <w:trHeight w:val="272" w:hRule="exact"/>
        </w:trPr>
        <w:tc>
          <w:tcPr>
            <w:tcW w:w="75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用友</w:t>
            </w:r>
          </w:p>
        </w:tc>
        <w:tc>
          <w:tcPr>
            <w:tcW w:w="751" w:type="dxa"/>
            <w:tcBorders>
              <w:top w:val="nil" w:sz="6" w:space="0" w:color="auto"/>
              <w:left w:val="single" w:sz="6" w:space="0" w:color="000000"/>
              <w:bottom w:val="nil" w:sz="6" w:space="0" w:color="auto"/>
              <w:right w:val="single" w:sz="6" w:space="0" w:color="000000"/>
            </w:tcBorders>
          </w:tcPr>
          <w:p>
            <w:pPr/>
          </w:p>
        </w:tc>
        <w:tc>
          <w:tcPr>
            <w:tcW w:w="751" w:type="dxa"/>
            <w:tcBorders>
              <w:top w:val="nil" w:sz="6" w:space="0" w:color="auto"/>
              <w:left w:val="single" w:sz="6" w:space="0" w:color="000000"/>
              <w:bottom w:val="nil" w:sz="6" w:space="0" w:color="auto"/>
              <w:right w:val="single" w:sz="6" w:space="0" w:color="000000"/>
            </w:tcBorders>
          </w:tcPr>
          <w:p>
            <w:pPr/>
          </w:p>
        </w:tc>
        <w:tc>
          <w:tcPr>
            <w:tcW w:w="751" w:type="dxa"/>
            <w:tcBorders>
              <w:top w:val="nil" w:sz="6" w:space="0" w:color="auto"/>
              <w:left w:val="single" w:sz="6" w:space="0" w:color="000000"/>
              <w:bottom w:val="nil" w:sz="6" w:space="0" w:color="auto"/>
              <w:right w:val="single" w:sz="6" w:space="0" w:color="000000"/>
            </w:tcBorders>
          </w:tcPr>
          <w:p>
            <w:pPr/>
          </w:p>
        </w:tc>
        <w:tc>
          <w:tcPr>
            <w:tcW w:w="751" w:type="dxa"/>
            <w:tcBorders>
              <w:top w:val="nil" w:sz="6" w:space="0" w:color="auto"/>
              <w:left w:val="single" w:sz="6" w:space="0" w:color="000000"/>
              <w:bottom w:val="nil" w:sz="6" w:space="0" w:color="auto"/>
              <w:right w:val="single" w:sz="6" w:space="0" w:color="000000"/>
            </w:tcBorders>
          </w:tcPr>
          <w:p>
            <w:pPr/>
          </w:p>
        </w:tc>
        <w:tc>
          <w:tcPr>
            <w:tcW w:w="750" w:type="dxa"/>
            <w:tcBorders>
              <w:top w:val="nil" w:sz="6" w:space="0" w:color="auto"/>
              <w:left w:val="single" w:sz="6" w:space="0" w:color="000000"/>
              <w:bottom w:val="nil" w:sz="6" w:space="0" w:color="auto"/>
              <w:right w:val="single" w:sz="6" w:space="0" w:color="000000"/>
            </w:tcBorders>
          </w:tcPr>
          <w:p>
            <w:pPr/>
          </w:p>
        </w:tc>
        <w:tc>
          <w:tcPr>
            <w:tcW w:w="1266" w:type="dxa"/>
            <w:tcBorders>
              <w:top w:val="nil" w:sz="6" w:space="0" w:color="auto"/>
              <w:left w:val="single" w:sz="6" w:space="0" w:color="000000"/>
              <w:bottom w:val="nil" w:sz="6" w:space="0" w:color="auto"/>
              <w:right w:val="single" w:sz="6" w:space="0" w:color="000000"/>
            </w:tcBorders>
          </w:tcPr>
          <w:p>
            <w:pPr/>
          </w:p>
        </w:tc>
        <w:tc>
          <w:tcPr>
            <w:tcW w:w="755" w:type="dxa"/>
            <w:tcBorders>
              <w:top w:val="nil" w:sz="6" w:space="0" w:color="auto"/>
              <w:left w:val="single" w:sz="6" w:space="0" w:color="000000"/>
              <w:bottom w:val="nil" w:sz="6" w:space="0" w:color="auto"/>
              <w:right w:val="single" w:sz="6" w:space="0" w:color="000000"/>
            </w:tcBorders>
          </w:tcPr>
          <w:p>
            <w:pPr/>
          </w:p>
        </w:tc>
        <w:tc>
          <w:tcPr>
            <w:tcW w:w="754" w:type="dxa"/>
            <w:tcBorders>
              <w:top w:val="nil" w:sz="6" w:space="0" w:color="auto"/>
              <w:left w:val="single" w:sz="6" w:space="0" w:color="000000"/>
              <w:bottom w:val="nil" w:sz="6" w:space="0" w:color="auto"/>
              <w:right w:val="single" w:sz="6" w:space="0" w:color="000000"/>
            </w:tcBorders>
          </w:tcPr>
          <w:p>
            <w:pPr/>
          </w:p>
        </w:tc>
        <w:tc>
          <w:tcPr>
            <w:tcW w:w="1266" w:type="dxa"/>
            <w:tcBorders>
              <w:top w:val="nil" w:sz="6" w:space="0" w:color="auto"/>
              <w:left w:val="single" w:sz="6" w:space="0" w:color="000000"/>
              <w:bottom w:val="nil" w:sz="6" w:space="0" w:color="auto"/>
              <w:right w:val="single" w:sz="6" w:space="0" w:color="000000"/>
            </w:tcBorders>
          </w:tcPr>
          <w:p>
            <w:pPr/>
          </w:p>
        </w:tc>
        <w:tc>
          <w:tcPr>
            <w:tcW w:w="754" w:type="dxa"/>
            <w:vMerge/>
            <w:tcBorders>
              <w:left w:val="single" w:sz="6" w:space="0" w:color="000000"/>
              <w:right w:val="single" w:sz="6" w:space="0" w:color="000000"/>
            </w:tcBorders>
          </w:tcPr>
          <w:p>
            <w:pPr/>
          </w:p>
        </w:tc>
      </w:tr>
      <w:tr>
        <w:trPr>
          <w:trHeight w:val="817" w:hRule="exact"/>
        </w:trPr>
        <w:tc>
          <w:tcPr>
            <w:tcW w:w="751"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致远</w:t>
            </w:r>
          </w:p>
          <w:p>
            <w:pPr>
              <w:pStyle w:val="TableParagraph"/>
              <w:spacing w:line="272" w:lineRule="exact" w:before="26"/>
              <w:ind w:left="100" w:right="215"/>
              <w:jc w:val="left"/>
              <w:rPr>
                <w:rFonts w:ascii="宋体" w:hAnsi="宋体" w:cs="宋体" w:eastAsia="宋体" w:hint="default"/>
                <w:sz w:val="21"/>
                <w:szCs w:val="21"/>
              </w:rPr>
            </w:pPr>
            <w:r>
              <w:rPr>
                <w:rFonts w:ascii="宋体" w:hAnsi="宋体" w:cs="宋体" w:eastAsia="宋体" w:hint="default"/>
                <w:sz w:val="21"/>
                <w:szCs w:val="21"/>
              </w:rPr>
              <w:t>软件 技术</w:t>
            </w:r>
          </w:p>
        </w:tc>
        <w:tc>
          <w:tcPr>
            <w:tcW w:w="75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14"/>
              <w:jc w:val="left"/>
              <w:rPr>
                <w:rFonts w:ascii="宋体" w:hAnsi="宋体" w:cs="宋体" w:eastAsia="宋体" w:hint="default"/>
                <w:sz w:val="21"/>
                <w:szCs w:val="21"/>
              </w:rPr>
            </w:pPr>
            <w:r>
              <w:rPr>
                <w:rFonts w:ascii="宋体" w:hAnsi="宋体" w:cs="宋体" w:eastAsia="宋体" w:hint="default"/>
                <w:sz w:val="21"/>
                <w:szCs w:val="21"/>
              </w:rPr>
              <w:t>参股 公司</w:t>
            </w:r>
          </w:p>
        </w:tc>
        <w:tc>
          <w:tcPr>
            <w:tcW w:w="75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14"/>
              <w:jc w:val="left"/>
              <w:rPr>
                <w:rFonts w:ascii="宋体" w:hAnsi="宋体" w:cs="宋体" w:eastAsia="宋体" w:hint="default"/>
                <w:sz w:val="21"/>
                <w:szCs w:val="21"/>
              </w:rPr>
            </w:pPr>
            <w:r>
              <w:rPr>
                <w:rFonts w:ascii="宋体" w:hAnsi="宋体" w:cs="宋体" w:eastAsia="宋体" w:hint="default"/>
                <w:sz w:val="21"/>
                <w:szCs w:val="21"/>
              </w:rPr>
              <w:t>购买 商品</w:t>
            </w:r>
          </w:p>
        </w:tc>
        <w:tc>
          <w:tcPr>
            <w:tcW w:w="75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14"/>
              <w:jc w:val="left"/>
              <w:rPr>
                <w:rFonts w:ascii="宋体" w:hAnsi="宋体" w:cs="宋体" w:eastAsia="宋体" w:hint="default"/>
                <w:sz w:val="21"/>
                <w:szCs w:val="21"/>
              </w:rPr>
            </w:pPr>
            <w:r>
              <w:rPr>
                <w:rFonts w:ascii="宋体" w:hAnsi="宋体" w:cs="宋体" w:eastAsia="宋体" w:hint="default"/>
                <w:sz w:val="21"/>
                <w:szCs w:val="21"/>
              </w:rPr>
              <w:t>购买 商品</w:t>
            </w:r>
          </w:p>
        </w:tc>
        <w:tc>
          <w:tcPr>
            <w:tcW w:w="751"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14"/>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50"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215" w:right="97"/>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1266" w:type="dxa"/>
            <w:tcBorders>
              <w:top w:val="nil" w:sz="6" w:space="0" w:color="auto"/>
              <w:left w:val="single" w:sz="6" w:space="0" w:color="000000"/>
              <w:bottom w:val="nil" w:sz="6" w:space="0" w:color="auto"/>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sz w:val="21"/>
              </w:rPr>
              <w:t>12,517,805</w:t>
            </w:r>
          </w:p>
        </w:tc>
        <w:tc>
          <w:tcPr>
            <w:tcW w:w="755" w:type="dxa"/>
            <w:tcBorders>
              <w:top w:val="nil" w:sz="6" w:space="0" w:color="auto"/>
              <w:left w:val="single" w:sz="6" w:space="0" w:color="000000"/>
              <w:bottom w:val="nil" w:sz="6" w:space="0" w:color="auto"/>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322" w:right="0"/>
              <w:jc w:val="left"/>
              <w:rPr>
                <w:rFonts w:ascii="宋体" w:hAnsi="宋体" w:cs="宋体" w:eastAsia="宋体" w:hint="default"/>
                <w:sz w:val="21"/>
                <w:szCs w:val="21"/>
              </w:rPr>
            </w:pPr>
            <w:r>
              <w:rPr>
                <w:rFonts w:ascii="宋体"/>
                <w:sz w:val="21"/>
              </w:rPr>
              <w:t>8.5</w:t>
            </w:r>
          </w:p>
        </w:tc>
        <w:tc>
          <w:tcPr>
            <w:tcW w:w="754"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216"/>
              <w:jc w:val="left"/>
              <w:rPr>
                <w:rFonts w:ascii="宋体" w:hAnsi="宋体" w:cs="宋体" w:eastAsia="宋体" w:hint="default"/>
                <w:sz w:val="21"/>
                <w:szCs w:val="21"/>
              </w:rPr>
            </w:pPr>
            <w:r>
              <w:rPr>
                <w:rFonts w:ascii="宋体" w:hAnsi="宋体" w:cs="宋体" w:eastAsia="宋体" w:hint="default"/>
                <w:sz w:val="21"/>
                <w:szCs w:val="21"/>
              </w:rPr>
              <w:t>银行 支付</w:t>
            </w:r>
          </w:p>
        </w:tc>
        <w:tc>
          <w:tcPr>
            <w:tcW w:w="1266" w:type="dxa"/>
            <w:tcBorders>
              <w:top w:val="nil" w:sz="6" w:space="0" w:color="auto"/>
              <w:left w:val="single" w:sz="6" w:space="0" w:color="000000"/>
              <w:bottom w:val="nil" w:sz="6" w:space="0" w:color="auto"/>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sz w:val="21"/>
              </w:rPr>
              <w:t>12,517,805</w:t>
            </w:r>
          </w:p>
        </w:tc>
        <w:tc>
          <w:tcPr>
            <w:tcW w:w="754" w:type="dxa"/>
            <w:vMerge/>
            <w:tcBorders>
              <w:left w:val="single" w:sz="6" w:space="0" w:color="000000"/>
              <w:right w:val="single" w:sz="6" w:space="0" w:color="000000"/>
            </w:tcBorders>
          </w:tcPr>
          <w:p>
            <w:pPr/>
          </w:p>
        </w:tc>
      </w:tr>
      <w:tr>
        <w:trPr>
          <w:trHeight w:val="272" w:hRule="exact"/>
        </w:trPr>
        <w:tc>
          <w:tcPr>
            <w:tcW w:w="75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有限</w:t>
            </w:r>
          </w:p>
        </w:tc>
        <w:tc>
          <w:tcPr>
            <w:tcW w:w="751" w:type="dxa"/>
            <w:tcBorders>
              <w:top w:val="nil" w:sz="6" w:space="0" w:color="auto"/>
              <w:left w:val="single" w:sz="6" w:space="0" w:color="000000"/>
              <w:bottom w:val="nil" w:sz="6" w:space="0" w:color="auto"/>
              <w:right w:val="single" w:sz="6" w:space="0" w:color="000000"/>
            </w:tcBorders>
          </w:tcPr>
          <w:p>
            <w:pPr/>
          </w:p>
        </w:tc>
        <w:tc>
          <w:tcPr>
            <w:tcW w:w="751" w:type="dxa"/>
            <w:tcBorders>
              <w:top w:val="nil" w:sz="6" w:space="0" w:color="auto"/>
              <w:left w:val="single" w:sz="6" w:space="0" w:color="000000"/>
              <w:bottom w:val="nil" w:sz="6" w:space="0" w:color="auto"/>
              <w:right w:val="single" w:sz="6" w:space="0" w:color="000000"/>
            </w:tcBorders>
          </w:tcPr>
          <w:p>
            <w:pPr/>
          </w:p>
        </w:tc>
        <w:tc>
          <w:tcPr>
            <w:tcW w:w="751" w:type="dxa"/>
            <w:tcBorders>
              <w:top w:val="nil" w:sz="6" w:space="0" w:color="auto"/>
              <w:left w:val="single" w:sz="6" w:space="0" w:color="000000"/>
              <w:bottom w:val="nil" w:sz="6" w:space="0" w:color="auto"/>
              <w:right w:val="single" w:sz="6" w:space="0" w:color="000000"/>
            </w:tcBorders>
          </w:tcPr>
          <w:p>
            <w:pPr/>
          </w:p>
        </w:tc>
        <w:tc>
          <w:tcPr>
            <w:tcW w:w="751" w:type="dxa"/>
            <w:tcBorders>
              <w:top w:val="nil" w:sz="6" w:space="0" w:color="auto"/>
              <w:left w:val="single" w:sz="6" w:space="0" w:color="000000"/>
              <w:bottom w:val="nil" w:sz="6" w:space="0" w:color="auto"/>
              <w:right w:val="single" w:sz="6" w:space="0" w:color="000000"/>
            </w:tcBorders>
          </w:tcPr>
          <w:p>
            <w:pPr/>
          </w:p>
        </w:tc>
        <w:tc>
          <w:tcPr>
            <w:tcW w:w="750" w:type="dxa"/>
            <w:tcBorders>
              <w:top w:val="nil" w:sz="6" w:space="0" w:color="auto"/>
              <w:left w:val="single" w:sz="6" w:space="0" w:color="000000"/>
              <w:bottom w:val="nil" w:sz="6" w:space="0" w:color="auto"/>
              <w:right w:val="single" w:sz="6" w:space="0" w:color="000000"/>
            </w:tcBorders>
          </w:tcPr>
          <w:p>
            <w:pPr/>
          </w:p>
        </w:tc>
        <w:tc>
          <w:tcPr>
            <w:tcW w:w="1266" w:type="dxa"/>
            <w:tcBorders>
              <w:top w:val="nil" w:sz="6" w:space="0" w:color="auto"/>
              <w:left w:val="single" w:sz="6" w:space="0" w:color="000000"/>
              <w:bottom w:val="nil" w:sz="6" w:space="0" w:color="auto"/>
              <w:right w:val="single" w:sz="6" w:space="0" w:color="000000"/>
            </w:tcBorders>
          </w:tcPr>
          <w:p>
            <w:pPr/>
          </w:p>
        </w:tc>
        <w:tc>
          <w:tcPr>
            <w:tcW w:w="755" w:type="dxa"/>
            <w:tcBorders>
              <w:top w:val="nil" w:sz="6" w:space="0" w:color="auto"/>
              <w:left w:val="single" w:sz="6" w:space="0" w:color="000000"/>
              <w:bottom w:val="nil" w:sz="6" w:space="0" w:color="auto"/>
              <w:right w:val="single" w:sz="6" w:space="0" w:color="000000"/>
            </w:tcBorders>
          </w:tcPr>
          <w:p>
            <w:pPr/>
          </w:p>
        </w:tc>
        <w:tc>
          <w:tcPr>
            <w:tcW w:w="754" w:type="dxa"/>
            <w:tcBorders>
              <w:top w:val="nil" w:sz="6" w:space="0" w:color="auto"/>
              <w:left w:val="single" w:sz="6" w:space="0" w:color="000000"/>
              <w:bottom w:val="nil" w:sz="6" w:space="0" w:color="auto"/>
              <w:right w:val="single" w:sz="6" w:space="0" w:color="000000"/>
            </w:tcBorders>
          </w:tcPr>
          <w:p>
            <w:pPr/>
          </w:p>
        </w:tc>
        <w:tc>
          <w:tcPr>
            <w:tcW w:w="1266" w:type="dxa"/>
            <w:tcBorders>
              <w:top w:val="nil" w:sz="6" w:space="0" w:color="auto"/>
              <w:left w:val="single" w:sz="6" w:space="0" w:color="000000"/>
              <w:bottom w:val="nil" w:sz="6" w:space="0" w:color="auto"/>
              <w:right w:val="single" w:sz="6" w:space="0" w:color="000000"/>
            </w:tcBorders>
          </w:tcPr>
          <w:p>
            <w:pPr/>
          </w:p>
        </w:tc>
        <w:tc>
          <w:tcPr>
            <w:tcW w:w="754" w:type="dxa"/>
            <w:vMerge/>
            <w:tcBorders>
              <w:left w:val="single" w:sz="6" w:space="0" w:color="000000"/>
              <w:right w:val="single" w:sz="6" w:space="0" w:color="000000"/>
            </w:tcBorders>
          </w:tcPr>
          <w:p>
            <w:pPr/>
          </w:p>
        </w:tc>
      </w:tr>
      <w:tr>
        <w:trPr>
          <w:trHeight w:val="281" w:hRule="exact"/>
        </w:trPr>
        <w:tc>
          <w:tcPr>
            <w:tcW w:w="751"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51" w:type="dxa"/>
            <w:tcBorders>
              <w:top w:val="nil" w:sz="6" w:space="0" w:color="auto"/>
              <w:left w:val="single" w:sz="6" w:space="0" w:color="000000"/>
              <w:bottom w:val="single" w:sz="6" w:space="0" w:color="000000"/>
              <w:right w:val="single" w:sz="6" w:space="0" w:color="000000"/>
            </w:tcBorders>
          </w:tcPr>
          <w:p>
            <w:pPr/>
          </w:p>
        </w:tc>
        <w:tc>
          <w:tcPr>
            <w:tcW w:w="751" w:type="dxa"/>
            <w:tcBorders>
              <w:top w:val="nil" w:sz="6" w:space="0" w:color="auto"/>
              <w:left w:val="single" w:sz="6" w:space="0" w:color="000000"/>
              <w:bottom w:val="single" w:sz="6" w:space="0" w:color="000000"/>
              <w:right w:val="single" w:sz="6" w:space="0" w:color="000000"/>
            </w:tcBorders>
          </w:tcPr>
          <w:p>
            <w:pPr/>
          </w:p>
        </w:tc>
        <w:tc>
          <w:tcPr>
            <w:tcW w:w="751" w:type="dxa"/>
            <w:tcBorders>
              <w:top w:val="nil" w:sz="6" w:space="0" w:color="auto"/>
              <w:left w:val="single" w:sz="6" w:space="0" w:color="000000"/>
              <w:bottom w:val="single" w:sz="6" w:space="0" w:color="000000"/>
              <w:right w:val="single" w:sz="6" w:space="0" w:color="000000"/>
            </w:tcBorders>
          </w:tcPr>
          <w:p>
            <w:pPr/>
          </w:p>
        </w:tc>
        <w:tc>
          <w:tcPr>
            <w:tcW w:w="751" w:type="dxa"/>
            <w:tcBorders>
              <w:top w:val="nil" w:sz="6" w:space="0" w:color="auto"/>
              <w:left w:val="single" w:sz="6" w:space="0" w:color="000000"/>
              <w:bottom w:val="single" w:sz="6" w:space="0" w:color="000000"/>
              <w:right w:val="single" w:sz="6" w:space="0" w:color="000000"/>
            </w:tcBorders>
          </w:tcPr>
          <w:p>
            <w:pPr/>
          </w:p>
        </w:tc>
        <w:tc>
          <w:tcPr>
            <w:tcW w:w="750" w:type="dxa"/>
            <w:tcBorders>
              <w:top w:val="nil" w:sz="6" w:space="0" w:color="auto"/>
              <w:left w:val="single" w:sz="6" w:space="0" w:color="000000"/>
              <w:bottom w:val="single" w:sz="6" w:space="0" w:color="000000"/>
              <w:right w:val="single" w:sz="6" w:space="0" w:color="000000"/>
            </w:tcBorders>
          </w:tcPr>
          <w:p>
            <w:pPr/>
          </w:p>
        </w:tc>
        <w:tc>
          <w:tcPr>
            <w:tcW w:w="1266" w:type="dxa"/>
            <w:tcBorders>
              <w:top w:val="nil" w:sz="6" w:space="0" w:color="auto"/>
              <w:left w:val="single" w:sz="6" w:space="0" w:color="000000"/>
              <w:bottom w:val="single" w:sz="6" w:space="0" w:color="000000"/>
              <w:right w:val="single" w:sz="6" w:space="0" w:color="000000"/>
            </w:tcBorders>
          </w:tcPr>
          <w:p>
            <w:pPr/>
          </w:p>
        </w:tc>
        <w:tc>
          <w:tcPr>
            <w:tcW w:w="755" w:type="dxa"/>
            <w:tcBorders>
              <w:top w:val="nil" w:sz="6" w:space="0" w:color="auto"/>
              <w:left w:val="single" w:sz="6" w:space="0" w:color="000000"/>
              <w:bottom w:val="single" w:sz="6" w:space="0" w:color="000000"/>
              <w:right w:val="single" w:sz="6" w:space="0" w:color="000000"/>
            </w:tcBorders>
          </w:tcPr>
          <w:p>
            <w:pPr/>
          </w:p>
        </w:tc>
        <w:tc>
          <w:tcPr>
            <w:tcW w:w="754" w:type="dxa"/>
            <w:tcBorders>
              <w:top w:val="nil" w:sz="6" w:space="0" w:color="auto"/>
              <w:left w:val="single" w:sz="6" w:space="0" w:color="000000"/>
              <w:bottom w:val="single" w:sz="6" w:space="0" w:color="000000"/>
              <w:right w:val="single" w:sz="6" w:space="0" w:color="000000"/>
            </w:tcBorders>
          </w:tcPr>
          <w:p>
            <w:pPr/>
          </w:p>
        </w:tc>
        <w:tc>
          <w:tcPr>
            <w:tcW w:w="1266" w:type="dxa"/>
            <w:tcBorders>
              <w:top w:val="nil" w:sz="6" w:space="0" w:color="auto"/>
              <w:left w:val="single" w:sz="6" w:space="0" w:color="000000"/>
              <w:bottom w:val="single" w:sz="6" w:space="0" w:color="000000"/>
              <w:right w:val="single" w:sz="6" w:space="0" w:color="000000"/>
            </w:tcBorders>
          </w:tcPr>
          <w:p>
            <w:pPr/>
          </w:p>
        </w:tc>
        <w:tc>
          <w:tcPr>
            <w:tcW w:w="754" w:type="dxa"/>
            <w:vMerge/>
            <w:tcBorders>
              <w:left w:val="single" w:sz="6" w:space="0" w:color="000000"/>
              <w:bottom w:val="single" w:sz="6" w:space="0" w:color="000000"/>
              <w:right w:val="single" w:sz="6" w:space="0" w:color="000000"/>
            </w:tcBorders>
          </w:tcPr>
          <w:p>
            <w:pPr/>
          </w:p>
        </w:tc>
      </w:tr>
    </w:tbl>
    <w:p>
      <w:pPr>
        <w:spacing w:line="240" w:lineRule="auto" w:before="5"/>
        <w:rPr>
          <w:rFonts w:ascii="宋体" w:hAnsi="宋体" w:cs="宋体" w:eastAsia="宋体" w:hint="default"/>
          <w:sz w:val="13"/>
          <w:szCs w:val="13"/>
        </w:rPr>
      </w:pPr>
    </w:p>
    <w:p>
      <w:pPr>
        <w:spacing w:before="26"/>
        <w:ind w:left="618" w:right="2433" w:firstLine="0"/>
        <w:jc w:val="left"/>
        <w:rPr>
          <w:rFonts w:ascii="宋体" w:hAnsi="宋体" w:cs="宋体" w:eastAsia="宋体" w:hint="default"/>
          <w:sz w:val="24"/>
          <w:szCs w:val="24"/>
        </w:rPr>
      </w:pPr>
      <w:r>
        <w:rPr>
          <w:rFonts w:ascii="宋体" w:hAnsi="宋体" w:cs="宋体" w:eastAsia="宋体" w:hint="default"/>
          <w:sz w:val="24"/>
          <w:szCs w:val="24"/>
        </w:rPr>
        <w:t>2、其他重大关联交易</w:t>
      </w:r>
    </w:p>
    <w:p>
      <w:pPr>
        <w:spacing w:line="297" w:lineRule="auto" w:before="194"/>
        <w:ind w:left="138" w:right="288" w:firstLine="480"/>
        <w:jc w:val="left"/>
        <w:rPr>
          <w:rFonts w:ascii="宋体" w:hAnsi="宋体" w:cs="宋体" w:eastAsia="宋体" w:hint="default"/>
          <w:sz w:val="24"/>
          <w:szCs w:val="24"/>
        </w:rPr>
      </w:pPr>
      <w:r>
        <w:rPr>
          <w:rFonts w:ascii="宋体" w:hAnsi="宋体" w:cs="宋体" w:eastAsia="宋体" w:hint="default"/>
          <w:sz w:val="24"/>
          <w:szCs w:val="24"/>
        </w:rPr>
        <w:t>公司与本公司原董事现监事邵凯先生于</w:t>
      </w:r>
      <w:r>
        <w:rPr>
          <w:rFonts w:ascii="宋体" w:hAnsi="宋体" w:cs="宋体" w:eastAsia="宋体" w:hint="default"/>
          <w:spacing w:val="-59"/>
          <w:sz w:val="24"/>
          <w:szCs w:val="24"/>
        </w:rPr>
        <w:t> </w:t>
      </w:r>
      <w:r>
        <w:rPr>
          <w:rFonts w:ascii="宋体" w:hAnsi="宋体" w:cs="宋体" w:eastAsia="宋体" w:hint="default"/>
          <w:spacing w:val="25"/>
          <w:sz w:val="24"/>
          <w:szCs w:val="24"/>
        </w:rPr>
        <w:t>2006年8月</w:t>
      </w:r>
      <w:r>
        <w:rPr>
          <w:rFonts w:ascii="宋体" w:hAnsi="宋体" w:cs="宋体" w:eastAsia="宋体" w:hint="default"/>
          <w:spacing w:val="-59"/>
          <w:sz w:val="24"/>
          <w:szCs w:val="24"/>
        </w:rPr>
        <w:t> </w:t>
      </w:r>
      <w:r>
        <w:rPr>
          <w:rFonts w:ascii="宋体" w:hAnsi="宋体" w:cs="宋体" w:eastAsia="宋体" w:hint="default"/>
          <w:sz w:val="24"/>
          <w:szCs w:val="24"/>
        </w:rPr>
        <w:t>24</w:t>
      </w:r>
      <w:r>
        <w:rPr>
          <w:rFonts w:ascii="宋体" w:hAnsi="宋体" w:cs="宋体" w:eastAsia="宋体" w:hint="default"/>
          <w:spacing w:val="-59"/>
          <w:sz w:val="24"/>
          <w:szCs w:val="24"/>
        </w:rPr>
        <w:t> </w:t>
      </w:r>
      <w:r>
        <w:rPr>
          <w:rFonts w:ascii="宋体" w:hAnsi="宋体" w:cs="宋体" w:eastAsia="宋体" w:hint="default"/>
          <w:sz w:val="24"/>
          <w:szCs w:val="24"/>
        </w:rPr>
        <w:t>日在北京签署了《股权转让</w:t>
      </w:r>
      <w:r>
        <w:rPr>
          <w:rFonts w:ascii="宋体" w:hAnsi="宋体" w:cs="宋体" w:eastAsia="宋体" w:hint="default"/>
          <w:sz w:val="24"/>
          <w:szCs w:val="24"/>
        </w:rPr>
        <w:t> 协议》，公司将持有的北京用友软件工程有限公司</w:t>
      </w:r>
      <w:r>
        <w:rPr>
          <w:rFonts w:ascii="宋体" w:hAnsi="宋体" w:cs="宋体" w:eastAsia="宋体" w:hint="default"/>
          <w:spacing w:val="-60"/>
          <w:sz w:val="24"/>
          <w:szCs w:val="24"/>
        </w:rPr>
        <w:t> </w:t>
      </w:r>
      <w:r>
        <w:rPr>
          <w:rFonts w:ascii="宋体" w:hAnsi="宋体" w:cs="宋体" w:eastAsia="宋体" w:hint="default"/>
          <w:sz w:val="24"/>
          <w:szCs w:val="24"/>
        </w:rPr>
        <w:t>73.45%的股权以人民币</w:t>
      </w:r>
      <w:r>
        <w:rPr>
          <w:rFonts w:ascii="宋体" w:hAnsi="宋体" w:cs="宋体" w:eastAsia="宋体" w:hint="default"/>
          <w:spacing w:val="-60"/>
          <w:sz w:val="24"/>
          <w:szCs w:val="24"/>
        </w:rPr>
        <w:t> </w:t>
      </w:r>
      <w:r>
        <w:rPr>
          <w:rFonts w:ascii="宋体" w:hAnsi="宋体" w:cs="宋体" w:eastAsia="宋体" w:hint="default"/>
          <w:sz w:val="24"/>
          <w:szCs w:val="24"/>
        </w:rPr>
        <w:t>36,725,000</w:t>
      </w:r>
    </w:p>
    <w:p>
      <w:pPr>
        <w:spacing w:before="17"/>
        <w:ind w:left="138" w:right="0" w:firstLine="0"/>
        <w:jc w:val="left"/>
        <w:rPr>
          <w:rFonts w:ascii="宋体" w:hAnsi="宋体" w:cs="宋体" w:eastAsia="宋体" w:hint="default"/>
          <w:sz w:val="24"/>
          <w:szCs w:val="24"/>
        </w:rPr>
      </w:pPr>
      <w:r>
        <w:rPr>
          <w:rFonts w:ascii="宋体" w:hAnsi="宋体" w:cs="宋体" w:eastAsia="宋体" w:hint="default"/>
          <w:spacing w:val="-3"/>
          <w:sz w:val="24"/>
          <w:szCs w:val="24"/>
        </w:rPr>
        <w:t>元的价格转让给邵凯先生。根据约定，邵凯先生于</w:t>
      </w:r>
      <w:r>
        <w:rPr>
          <w:rFonts w:ascii="宋体" w:hAnsi="宋体" w:cs="宋体" w:eastAsia="宋体" w:hint="default"/>
          <w:spacing w:val="-57"/>
          <w:sz w:val="24"/>
          <w:szCs w:val="24"/>
        </w:rPr>
        <w:t> </w:t>
      </w:r>
      <w:r>
        <w:rPr>
          <w:rFonts w:ascii="宋体" w:hAnsi="宋体" w:cs="宋体" w:eastAsia="宋体" w:hint="default"/>
          <w:spacing w:val="25"/>
          <w:sz w:val="24"/>
          <w:szCs w:val="24"/>
        </w:rPr>
        <w:t>2009年6月</w:t>
      </w:r>
      <w:r>
        <w:rPr>
          <w:rFonts w:ascii="宋体" w:hAnsi="宋体" w:cs="宋体" w:eastAsia="宋体" w:hint="default"/>
          <w:spacing w:val="-57"/>
          <w:sz w:val="24"/>
          <w:szCs w:val="24"/>
        </w:rPr>
        <w:t> </w:t>
      </w:r>
      <w:r>
        <w:rPr>
          <w:rFonts w:ascii="宋体" w:hAnsi="宋体" w:cs="宋体" w:eastAsia="宋体" w:hint="default"/>
          <w:sz w:val="24"/>
          <w:szCs w:val="24"/>
        </w:rPr>
        <w:t>30</w:t>
      </w:r>
      <w:r>
        <w:rPr>
          <w:rFonts w:ascii="宋体" w:hAnsi="宋体" w:cs="宋体" w:eastAsia="宋体" w:hint="default"/>
          <w:spacing w:val="-57"/>
          <w:sz w:val="24"/>
          <w:szCs w:val="24"/>
        </w:rPr>
        <w:t> </w:t>
      </w:r>
      <w:r>
        <w:rPr>
          <w:rFonts w:ascii="宋体" w:hAnsi="宋体" w:cs="宋体" w:eastAsia="宋体" w:hint="default"/>
          <w:sz w:val="24"/>
          <w:szCs w:val="24"/>
        </w:rPr>
        <w:t>日前支付了</w:t>
      </w:r>
      <w:r>
        <w:rPr>
          <w:rFonts w:ascii="宋体" w:hAnsi="宋体" w:cs="宋体" w:eastAsia="宋体" w:hint="default"/>
          <w:spacing w:val="-57"/>
          <w:sz w:val="24"/>
          <w:szCs w:val="24"/>
        </w:rPr>
        <w:t> </w:t>
      </w:r>
      <w:r>
        <w:rPr>
          <w:rFonts w:ascii="宋体" w:hAnsi="宋体" w:cs="宋体" w:eastAsia="宋体" w:hint="default"/>
          <w:sz w:val="24"/>
          <w:szCs w:val="24"/>
        </w:rPr>
        <w:t>2009</w:t>
      </w:r>
      <w:r>
        <w:rPr>
          <w:rFonts w:ascii="宋体" w:hAnsi="宋体" w:cs="宋体" w:eastAsia="宋体" w:hint="default"/>
          <w:spacing w:val="-57"/>
          <w:sz w:val="24"/>
          <w:szCs w:val="24"/>
        </w:rPr>
        <w:t> </w:t>
      </w:r>
      <w:r>
        <w:rPr>
          <w:rFonts w:ascii="宋体" w:hAnsi="宋体" w:cs="宋体" w:eastAsia="宋体" w:hint="default"/>
          <w:sz w:val="24"/>
          <w:szCs w:val="24"/>
        </w:rPr>
        <w:t>年度</w:t>
      </w:r>
    </w:p>
    <w:p>
      <w:pPr>
        <w:spacing w:before="74"/>
        <w:ind w:left="138" w:right="0" w:firstLine="0"/>
        <w:jc w:val="left"/>
        <w:rPr>
          <w:rFonts w:ascii="宋体" w:hAnsi="宋体" w:cs="宋体" w:eastAsia="宋体" w:hint="default"/>
          <w:sz w:val="24"/>
          <w:szCs w:val="24"/>
        </w:rPr>
      </w:pPr>
      <w:r>
        <w:rPr>
          <w:rFonts w:ascii="宋体" w:hAnsi="宋体" w:cs="宋体" w:eastAsia="宋体" w:hint="default"/>
          <w:sz w:val="24"/>
          <w:szCs w:val="24"/>
        </w:rPr>
        <w:t>股权转让款</w:t>
      </w:r>
      <w:r>
        <w:rPr>
          <w:rFonts w:ascii="宋体" w:hAnsi="宋体" w:cs="宋体" w:eastAsia="宋体" w:hint="default"/>
          <w:spacing w:val="-59"/>
          <w:sz w:val="24"/>
          <w:szCs w:val="24"/>
        </w:rPr>
        <w:t> </w:t>
      </w:r>
      <w:r>
        <w:rPr>
          <w:rFonts w:ascii="宋体" w:hAnsi="宋体" w:cs="宋体" w:eastAsia="宋体" w:hint="default"/>
          <w:sz w:val="24"/>
          <w:szCs w:val="24"/>
        </w:rPr>
        <w:t>10,000,000</w:t>
      </w:r>
      <w:r>
        <w:rPr>
          <w:rFonts w:ascii="宋体" w:hAnsi="宋体" w:cs="宋体" w:eastAsia="宋体" w:hint="default"/>
          <w:spacing w:val="-59"/>
          <w:sz w:val="24"/>
          <w:szCs w:val="24"/>
        </w:rPr>
        <w:t> </w:t>
      </w:r>
      <w:r>
        <w:rPr>
          <w:rFonts w:ascii="宋体" w:hAnsi="宋体" w:cs="宋体" w:eastAsia="宋体" w:hint="default"/>
          <w:sz w:val="24"/>
          <w:szCs w:val="24"/>
        </w:rPr>
        <w:t>元。截止</w:t>
      </w:r>
      <w:r>
        <w:rPr>
          <w:rFonts w:ascii="宋体" w:hAnsi="宋体" w:cs="宋体" w:eastAsia="宋体" w:hint="default"/>
          <w:spacing w:val="-59"/>
          <w:sz w:val="24"/>
          <w:szCs w:val="24"/>
        </w:rPr>
        <w:t> </w:t>
      </w:r>
      <w:r>
        <w:rPr>
          <w:rFonts w:ascii="宋体" w:hAnsi="宋体" w:cs="宋体" w:eastAsia="宋体" w:hint="default"/>
          <w:spacing w:val="25"/>
          <w:sz w:val="24"/>
          <w:szCs w:val="24"/>
        </w:rPr>
        <w:t>2009年6月</w:t>
      </w:r>
      <w:r>
        <w:rPr>
          <w:rFonts w:ascii="宋体" w:hAnsi="宋体" w:cs="宋体" w:eastAsia="宋体" w:hint="default"/>
          <w:spacing w:val="-59"/>
          <w:sz w:val="24"/>
          <w:szCs w:val="24"/>
        </w:rPr>
        <w:t> </w:t>
      </w:r>
      <w:r>
        <w:rPr>
          <w:rFonts w:ascii="宋体" w:hAnsi="宋体" w:cs="宋体" w:eastAsia="宋体" w:hint="default"/>
          <w:sz w:val="24"/>
          <w:szCs w:val="24"/>
        </w:rPr>
        <w:t>30</w:t>
      </w:r>
      <w:r>
        <w:rPr>
          <w:rFonts w:ascii="宋体" w:hAnsi="宋体" w:cs="宋体" w:eastAsia="宋体" w:hint="default"/>
          <w:spacing w:val="-59"/>
          <w:sz w:val="24"/>
          <w:szCs w:val="24"/>
        </w:rPr>
        <w:t> </w:t>
      </w:r>
      <w:r>
        <w:rPr>
          <w:rFonts w:ascii="宋体" w:hAnsi="宋体" w:cs="宋体" w:eastAsia="宋体" w:hint="default"/>
          <w:sz w:val="24"/>
          <w:szCs w:val="24"/>
        </w:rPr>
        <w:t>日，邵凯先生已支付全部股权转让款。</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35"/>
          <w:szCs w:val="35"/>
        </w:rPr>
      </w:pPr>
    </w:p>
    <w:p>
      <w:pPr>
        <w:spacing w:before="0"/>
        <w:ind w:left="538" w:right="2433" w:firstLine="0"/>
        <w:jc w:val="left"/>
        <w:rPr>
          <w:rFonts w:ascii="宋体" w:hAnsi="宋体" w:cs="宋体" w:eastAsia="宋体" w:hint="default"/>
          <w:sz w:val="24"/>
          <w:szCs w:val="24"/>
        </w:rPr>
      </w:pPr>
      <w:bookmarkStart w:name="_TOC_250004" w:id="26"/>
      <w:r>
        <w:rPr>
          <w:rFonts w:ascii="宋体" w:hAnsi="宋体" w:cs="宋体" w:eastAsia="宋体" w:hint="default"/>
          <w:b/>
          <w:bCs/>
          <w:sz w:val="24"/>
          <w:szCs w:val="24"/>
        </w:rPr>
        <w:t>(七) 重大合同及其履行情况</w:t>
      </w:r>
      <w:bookmarkEnd w:id="26"/>
      <w:r>
        <w:rPr>
          <w:rFonts w:ascii="宋体" w:hAnsi="宋体" w:cs="宋体" w:eastAsia="宋体" w:hint="default"/>
          <w:sz w:val="24"/>
          <w:szCs w:val="24"/>
        </w:rPr>
      </w:r>
    </w:p>
    <w:p>
      <w:pPr>
        <w:spacing w:line="297" w:lineRule="auto" w:before="116"/>
        <w:ind w:left="138" w:right="286" w:firstLine="480"/>
        <w:jc w:val="left"/>
        <w:rPr>
          <w:rFonts w:ascii="宋体" w:hAnsi="宋体" w:cs="宋体" w:eastAsia="宋体" w:hint="default"/>
          <w:sz w:val="24"/>
          <w:szCs w:val="24"/>
        </w:rPr>
      </w:pPr>
      <w:r>
        <w:rPr>
          <w:rFonts w:ascii="宋体" w:hAnsi="宋体" w:cs="宋体" w:eastAsia="宋体" w:hint="default"/>
          <w:sz w:val="24"/>
          <w:szCs w:val="24"/>
        </w:rPr>
        <w:t>1、为公司带来的利润达到公司本期利润总额</w:t>
      </w:r>
      <w:r>
        <w:rPr>
          <w:rFonts w:ascii="宋体" w:hAnsi="宋体" w:cs="宋体" w:eastAsia="宋体" w:hint="default"/>
          <w:spacing w:val="-60"/>
          <w:sz w:val="24"/>
          <w:szCs w:val="24"/>
        </w:rPr>
        <w:t> </w:t>
      </w:r>
      <w:r>
        <w:rPr>
          <w:rFonts w:ascii="宋体" w:hAnsi="宋体" w:cs="宋体" w:eastAsia="宋体" w:hint="default"/>
          <w:sz w:val="24"/>
          <w:szCs w:val="24"/>
        </w:rPr>
        <w:t>10%以上（含</w:t>
      </w:r>
      <w:r>
        <w:rPr>
          <w:rFonts w:ascii="宋体" w:hAnsi="宋体" w:cs="宋体" w:eastAsia="宋体" w:hint="default"/>
          <w:spacing w:val="-60"/>
          <w:sz w:val="24"/>
          <w:szCs w:val="24"/>
        </w:rPr>
        <w:t> </w:t>
      </w:r>
      <w:r>
        <w:rPr>
          <w:rFonts w:ascii="宋体" w:hAnsi="宋体" w:cs="宋体" w:eastAsia="宋体" w:hint="default"/>
          <w:sz w:val="24"/>
          <w:szCs w:val="24"/>
        </w:rPr>
        <w:t>10%）的托管、承包、租</w:t>
      </w:r>
      <w:r>
        <w:rPr>
          <w:rFonts w:ascii="宋体" w:hAnsi="宋体" w:cs="宋体" w:eastAsia="宋体" w:hint="default"/>
          <w:sz w:val="24"/>
          <w:szCs w:val="24"/>
        </w:rPr>
        <w:t> 赁事项</w:t>
      </w:r>
    </w:p>
    <w:p>
      <w:pPr>
        <w:spacing w:line="388" w:lineRule="auto" w:before="137"/>
        <w:ind w:left="618" w:right="6046" w:firstLine="0"/>
        <w:jc w:val="left"/>
        <w:rPr>
          <w:rFonts w:ascii="宋体" w:hAnsi="宋体" w:cs="宋体" w:eastAsia="宋体" w:hint="default"/>
          <w:sz w:val="24"/>
          <w:szCs w:val="24"/>
        </w:rPr>
      </w:pPr>
      <w:r>
        <w:rPr>
          <w:rFonts w:ascii="宋体" w:hAnsi="宋体" w:cs="宋体" w:eastAsia="宋体" w:hint="default"/>
          <w:sz w:val="24"/>
          <w:szCs w:val="24"/>
        </w:rPr>
        <w:t>(1) 托管情况 报告期内公司无托管事项。 (2) 承包情况 报告期内公司无承包事项。 (3) 租赁情况 报告期内公司无租赁事项。 2、担保情况</w:t>
      </w:r>
    </w:p>
    <w:p>
      <w:pPr>
        <w:spacing w:after="0" w:line="388" w:lineRule="auto"/>
        <w:jc w:val="left"/>
        <w:rPr>
          <w:rFonts w:ascii="宋体" w:hAnsi="宋体" w:cs="宋体" w:eastAsia="宋体" w:hint="default"/>
          <w:sz w:val="24"/>
          <w:szCs w:val="24"/>
        </w:rPr>
        <w:sectPr>
          <w:type w:val="continuous"/>
          <w:pgSz w:w="11910" w:h="16840"/>
          <w:pgMar w:top="900" w:bottom="280" w:left="1280" w:right="1060"/>
        </w:sectPr>
      </w:pPr>
    </w:p>
    <w:p>
      <w:pPr>
        <w:spacing w:line="240" w:lineRule="auto" w:before="12"/>
        <w:rPr>
          <w:rFonts w:ascii="宋体" w:hAnsi="宋体" w:cs="宋体" w:eastAsia="宋体" w:hint="default"/>
          <w:sz w:val="21"/>
          <w:szCs w:val="21"/>
        </w:rPr>
      </w:pPr>
    </w:p>
    <w:p>
      <w:pPr>
        <w:spacing w:line="297" w:lineRule="auto" w:before="26"/>
        <w:ind w:left="138" w:right="285" w:firstLine="480"/>
        <w:jc w:val="both"/>
        <w:rPr>
          <w:rFonts w:ascii="宋体" w:hAnsi="宋体" w:cs="宋体" w:eastAsia="宋体" w:hint="default"/>
          <w:sz w:val="24"/>
          <w:szCs w:val="24"/>
        </w:rPr>
      </w:pPr>
      <w:r>
        <w:rPr>
          <w:rFonts w:ascii="宋体" w:hAnsi="宋体" w:cs="宋体" w:eastAsia="宋体" w:hint="default"/>
          <w:sz w:val="24"/>
          <w:szCs w:val="24"/>
        </w:rPr>
        <w:t>报告期内公司无重大担保事项，没有属于《关于规范上市公司与关联方资金往来及 上市公司对外担保若干问题的通知》中所规定的违规担保事项。</w:t>
      </w:r>
    </w:p>
    <w:p>
      <w:pPr>
        <w:spacing w:line="388" w:lineRule="auto" w:before="137"/>
        <w:ind w:left="618" w:right="5546" w:firstLine="0"/>
        <w:jc w:val="left"/>
        <w:rPr>
          <w:rFonts w:ascii="宋体" w:hAnsi="宋体" w:cs="宋体" w:eastAsia="宋体" w:hint="default"/>
          <w:sz w:val="24"/>
          <w:szCs w:val="24"/>
        </w:rPr>
      </w:pPr>
      <w:r>
        <w:rPr>
          <w:rFonts w:ascii="宋体" w:hAnsi="宋体" w:cs="宋体" w:eastAsia="宋体" w:hint="default"/>
          <w:sz w:val="24"/>
          <w:szCs w:val="24"/>
        </w:rPr>
        <w:t>3、委托理财情况 报告期内公司无委托理财事项。 4、其他重大合同</w:t>
      </w:r>
    </w:p>
    <w:p>
      <w:pPr>
        <w:spacing w:line="297" w:lineRule="auto" w:before="46"/>
        <w:ind w:left="138" w:right="219" w:firstLine="480"/>
        <w:jc w:val="both"/>
        <w:rPr>
          <w:rFonts w:ascii="宋体" w:hAnsi="宋体" w:cs="宋体" w:eastAsia="宋体" w:hint="default"/>
          <w:sz w:val="24"/>
          <w:szCs w:val="24"/>
        </w:rPr>
      </w:pPr>
      <w:r>
        <w:rPr>
          <w:rFonts w:ascii="宋体" w:hAnsi="宋体" w:cs="宋体" w:eastAsia="宋体" w:hint="default"/>
          <w:sz w:val="24"/>
          <w:szCs w:val="24"/>
        </w:rPr>
        <w:t>报告期内，公司与中国建筑第五工程局有限公司签署《“用友软件园”2#研发中心 工程建设工程施工合同》，依据合同约定，中国建筑第五工程局为公司</w:t>
      </w:r>
      <w:r>
        <w:rPr>
          <w:rFonts w:ascii="宋体" w:hAnsi="宋体" w:cs="宋体" w:eastAsia="宋体" w:hint="default"/>
          <w:spacing w:val="-60"/>
          <w:sz w:val="24"/>
          <w:szCs w:val="24"/>
        </w:rPr>
        <w:t> </w:t>
      </w:r>
      <w:r>
        <w:rPr>
          <w:rFonts w:ascii="宋体" w:hAnsi="宋体" w:cs="宋体" w:eastAsia="宋体" w:hint="default"/>
          <w:sz w:val="24"/>
          <w:szCs w:val="24"/>
        </w:rPr>
        <w:t>2#研发中心提供</w:t>
      </w:r>
      <w:r>
        <w:rPr>
          <w:rFonts w:ascii="宋体" w:hAnsi="宋体" w:cs="宋体" w:eastAsia="宋体" w:hint="default"/>
          <w:sz w:val="24"/>
          <w:szCs w:val="24"/>
        </w:rPr>
        <w:t> </w:t>
      </w:r>
      <w:r>
        <w:rPr>
          <w:rFonts w:ascii="宋体" w:hAnsi="宋体" w:cs="宋体" w:eastAsia="宋体" w:hint="default"/>
          <w:spacing w:val="-8"/>
          <w:sz w:val="24"/>
          <w:szCs w:val="24"/>
        </w:rPr>
        <w:t>建设工程施工，合同价款为人民币</w:t>
      </w:r>
      <w:r>
        <w:rPr>
          <w:rFonts w:ascii="宋体" w:hAnsi="宋体" w:cs="宋体" w:eastAsia="宋体" w:hint="default"/>
          <w:spacing w:val="-82"/>
          <w:sz w:val="24"/>
          <w:szCs w:val="24"/>
        </w:rPr>
        <w:t> </w:t>
      </w:r>
      <w:r>
        <w:rPr>
          <w:rFonts w:ascii="宋体" w:hAnsi="宋体" w:cs="宋体" w:eastAsia="宋体" w:hint="default"/>
          <w:sz w:val="24"/>
          <w:szCs w:val="24"/>
        </w:rPr>
        <w:t>139,300,000.00</w:t>
      </w:r>
      <w:r>
        <w:rPr>
          <w:rFonts w:ascii="宋体" w:hAnsi="宋体" w:cs="宋体" w:eastAsia="宋体" w:hint="default"/>
          <w:spacing w:val="-82"/>
          <w:sz w:val="24"/>
          <w:szCs w:val="24"/>
        </w:rPr>
        <w:t> </w:t>
      </w:r>
      <w:r>
        <w:rPr>
          <w:rFonts w:ascii="宋体" w:hAnsi="宋体" w:cs="宋体" w:eastAsia="宋体" w:hint="default"/>
          <w:spacing w:val="-18"/>
          <w:sz w:val="24"/>
          <w:szCs w:val="24"/>
        </w:rPr>
        <w:t>元，合同工期为</w:t>
      </w:r>
      <w:r>
        <w:rPr>
          <w:rFonts w:ascii="宋体" w:hAnsi="宋体" w:cs="宋体" w:eastAsia="宋体" w:hint="default"/>
          <w:spacing w:val="-82"/>
          <w:sz w:val="24"/>
          <w:szCs w:val="24"/>
        </w:rPr>
        <w:t> </w:t>
      </w:r>
      <w:r>
        <w:rPr>
          <w:rFonts w:ascii="宋体" w:hAnsi="宋体" w:cs="宋体" w:eastAsia="宋体" w:hint="default"/>
          <w:spacing w:val="-1"/>
          <w:sz w:val="24"/>
          <w:szCs w:val="24"/>
        </w:rPr>
        <w:t>2009</w:t>
      </w:r>
      <w:r>
        <w:rPr>
          <w:rFonts w:ascii="宋体" w:hAnsi="宋体" w:cs="宋体" w:eastAsia="宋体" w:hint="default"/>
          <w:spacing w:val="-82"/>
          <w:sz w:val="24"/>
          <w:szCs w:val="24"/>
        </w:rPr>
        <w:t> </w:t>
      </w:r>
      <w:r>
        <w:rPr>
          <w:rFonts w:ascii="宋体" w:hAnsi="宋体" w:cs="宋体" w:eastAsia="宋体" w:hint="default"/>
          <w:sz w:val="24"/>
          <w:szCs w:val="24"/>
        </w:rPr>
        <w:t>年</w:t>
      </w:r>
      <w:r>
        <w:rPr>
          <w:rFonts w:ascii="宋体" w:hAnsi="宋体" w:cs="宋体" w:eastAsia="宋体" w:hint="default"/>
          <w:spacing w:val="-83"/>
          <w:sz w:val="24"/>
          <w:szCs w:val="24"/>
        </w:rPr>
        <w:t> </w:t>
      </w:r>
      <w:r>
        <w:rPr>
          <w:rFonts w:ascii="宋体" w:hAnsi="宋体" w:cs="宋体" w:eastAsia="宋体" w:hint="default"/>
          <w:sz w:val="24"/>
          <w:szCs w:val="24"/>
        </w:rPr>
        <w:t>3</w:t>
      </w:r>
      <w:r>
        <w:rPr>
          <w:rFonts w:ascii="宋体" w:hAnsi="宋体" w:cs="宋体" w:eastAsia="宋体" w:hint="default"/>
          <w:spacing w:val="-82"/>
          <w:sz w:val="24"/>
          <w:szCs w:val="24"/>
        </w:rPr>
        <w:t> </w:t>
      </w:r>
      <w:r>
        <w:rPr>
          <w:rFonts w:ascii="宋体" w:hAnsi="宋体" w:cs="宋体" w:eastAsia="宋体" w:hint="default"/>
          <w:sz w:val="24"/>
          <w:szCs w:val="24"/>
        </w:rPr>
        <w:t>月</w:t>
      </w:r>
      <w:r>
        <w:rPr>
          <w:rFonts w:ascii="宋体" w:hAnsi="宋体" w:cs="宋体" w:eastAsia="宋体" w:hint="default"/>
          <w:spacing w:val="-82"/>
          <w:sz w:val="24"/>
          <w:szCs w:val="24"/>
        </w:rPr>
        <w:t> </w:t>
      </w:r>
      <w:r>
        <w:rPr>
          <w:rFonts w:ascii="宋体" w:hAnsi="宋体" w:cs="宋体" w:eastAsia="宋体" w:hint="default"/>
          <w:spacing w:val="-1"/>
          <w:sz w:val="24"/>
          <w:szCs w:val="24"/>
        </w:rPr>
        <w:t>30</w:t>
      </w:r>
      <w:r>
        <w:rPr>
          <w:rFonts w:ascii="宋体" w:hAnsi="宋体" w:cs="宋体" w:eastAsia="宋体" w:hint="default"/>
          <w:spacing w:val="-82"/>
          <w:sz w:val="24"/>
          <w:szCs w:val="24"/>
        </w:rPr>
        <w:t> </w:t>
      </w:r>
      <w:r>
        <w:rPr>
          <w:rFonts w:ascii="宋体" w:hAnsi="宋体" w:cs="宋体" w:eastAsia="宋体" w:hint="default"/>
          <w:spacing w:val="-1"/>
          <w:sz w:val="24"/>
          <w:szCs w:val="24"/>
        </w:rPr>
        <w:t>日-2010</w:t>
      </w:r>
      <w:r>
        <w:rPr>
          <w:rFonts w:ascii="宋体" w:hAnsi="宋体" w:cs="宋体" w:eastAsia="宋体" w:hint="default"/>
          <w:spacing w:val="-1"/>
          <w:sz w:val="24"/>
          <w:szCs w:val="24"/>
        </w:rPr>
        <w:t> </w:t>
      </w:r>
      <w:r>
        <w:rPr>
          <w:rFonts w:ascii="宋体" w:hAnsi="宋体" w:cs="宋体" w:eastAsia="宋体" w:hint="default"/>
          <w:spacing w:val="40"/>
          <w:sz w:val="24"/>
          <w:szCs w:val="24"/>
        </w:rPr>
        <w:t>年9月</w:t>
      </w:r>
      <w:r>
        <w:rPr>
          <w:rFonts w:ascii="宋体" w:hAnsi="宋体" w:cs="宋体" w:eastAsia="宋体" w:hint="default"/>
          <w:spacing w:val="-60"/>
          <w:sz w:val="24"/>
          <w:szCs w:val="24"/>
        </w:rPr>
        <w:t> </w:t>
      </w:r>
      <w:r>
        <w:rPr>
          <w:rFonts w:ascii="宋体" w:hAnsi="宋体" w:cs="宋体" w:eastAsia="宋体" w:hint="default"/>
          <w:sz w:val="24"/>
          <w:szCs w:val="24"/>
        </w:rPr>
        <w:t>25</w:t>
      </w:r>
      <w:r>
        <w:rPr>
          <w:rFonts w:ascii="宋体" w:hAnsi="宋体" w:cs="宋体" w:eastAsia="宋体" w:hint="default"/>
          <w:spacing w:val="-60"/>
          <w:sz w:val="24"/>
          <w:szCs w:val="24"/>
        </w:rPr>
        <w:t> </w:t>
      </w:r>
      <w:r>
        <w:rPr>
          <w:rFonts w:ascii="宋体" w:hAnsi="宋体" w:cs="宋体" w:eastAsia="宋体" w:hint="default"/>
          <w:sz w:val="24"/>
          <w:szCs w:val="24"/>
        </w:rPr>
        <w:t>日。</w:t>
      </w: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30"/>
          <w:szCs w:val="30"/>
        </w:rPr>
      </w:pPr>
    </w:p>
    <w:p>
      <w:pPr>
        <w:spacing w:before="0"/>
        <w:ind w:left="538" w:right="5546" w:firstLine="0"/>
        <w:jc w:val="left"/>
        <w:rPr>
          <w:rFonts w:ascii="宋体" w:hAnsi="宋体" w:cs="宋体" w:eastAsia="宋体" w:hint="default"/>
          <w:sz w:val="24"/>
          <w:szCs w:val="24"/>
        </w:rPr>
      </w:pPr>
      <w:bookmarkStart w:name="_TOC_250003" w:id="27"/>
      <w:r>
        <w:rPr>
          <w:rFonts w:ascii="宋体" w:hAnsi="宋体" w:cs="宋体" w:eastAsia="宋体" w:hint="default"/>
          <w:b/>
          <w:bCs/>
          <w:sz w:val="24"/>
          <w:szCs w:val="24"/>
        </w:rPr>
        <w:t>(八) 承诺事项履行情况</w:t>
      </w:r>
      <w:bookmarkEnd w:id="27"/>
      <w:r>
        <w:rPr>
          <w:rFonts w:ascii="宋体" w:hAnsi="宋体" w:cs="宋体" w:eastAsia="宋体" w:hint="default"/>
          <w:sz w:val="24"/>
          <w:szCs w:val="24"/>
        </w:rPr>
      </w:r>
    </w:p>
    <w:p>
      <w:pPr>
        <w:spacing w:line="297" w:lineRule="auto" w:before="116"/>
        <w:ind w:left="138" w:right="219" w:firstLine="480"/>
        <w:jc w:val="both"/>
        <w:rPr>
          <w:rFonts w:ascii="宋体" w:hAnsi="宋体" w:cs="宋体" w:eastAsia="宋体" w:hint="default"/>
          <w:sz w:val="24"/>
          <w:szCs w:val="24"/>
        </w:rPr>
      </w:pPr>
      <w:r>
        <w:rPr>
          <w:rFonts w:ascii="宋体" w:hAnsi="宋体" w:cs="宋体" w:eastAsia="宋体" w:hint="default"/>
          <w:sz w:val="24"/>
          <w:szCs w:val="24"/>
        </w:rPr>
        <w:t>公司、持股</w:t>
      </w:r>
      <w:r>
        <w:rPr>
          <w:rFonts w:ascii="宋体" w:hAnsi="宋体" w:cs="宋体" w:eastAsia="宋体" w:hint="default"/>
          <w:spacing w:val="-56"/>
          <w:sz w:val="24"/>
          <w:szCs w:val="24"/>
        </w:rPr>
        <w:t> </w:t>
      </w:r>
      <w:r>
        <w:rPr>
          <w:rFonts w:ascii="宋体" w:hAnsi="宋体" w:cs="宋体" w:eastAsia="宋体" w:hint="default"/>
          <w:sz w:val="24"/>
          <w:szCs w:val="24"/>
        </w:rPr>
        <w:t>5%以上股东及其实际控制人在报告期内或持续到报告期内的承诺及其履</w:t>
      </w:r>
      <w:r>
        <w:rPr>
          <w:rFonts w:ascii="宋体" w:hAnsi="宋体" w:cs="宋体" w:eastAsia="宋体" w:hint="default"/>
          <w:sz w:val="24"/>
          <w:szCs w:val="24"/>
        </w:rPr>
        <w:t> 行情况</w:t>
      </w:r>
    </w:p>
    <w:p>
      <w:pPr>
        <w:spacing w:line="240" w:lineRule="auto" w:before="6"/>
        <w:rPr>
          <w:rFonts w:ascii="宋体" w:hAnsi="宋体" w:cs="宋体" w:eastAsia="宋体" w:hint="default"/>
          <w:sz w:val="13"/>
          <w:szCs w:val="13"/>
        </w:rPr>
      </w:pPr>
    </w:p>
    <w:tbl>
      <w:tblPr>
        <w:tblW w:w="0" w:type="auto"/>
        <w:jc w:val="left"/>
        <w:tblInd w:w="125" w:type="dxa"/>
        <w:tblLayout w:type="fixed"/>
        <w:tblCellMar>
          <w:top w:w="0" w:type="dxa"/>
          <w:left w:w="0" w:type="dxa"/>
          <w:bottom w:w="0" w:type="dxa"/>
          <w:right w:w="0" w:type="dxa"/>
        </w:tblCellMar>
        <w:tblLook w:val="01E0"/>
      </w:tblPr>
      <w:tblGrid>
        <w:gridCol w:w="1928"/>
        <w:gridCol w:w="4920"/>
        <w:gridCol w:w="2400"/>
      </w:tblGrid>
      <w:tr>
        <w:trPr>
          <w:trHeight w:val="431" w:hRule="exact"/>
        </w:trPr>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538"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4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hAnsi="宋体" w:cs="宋体" w:eastAsia="宋体" w:hint="default"/>
                <w:sz w:val="21"/>
                <w:szCs w:val="21"/>
              </w:rPr>
              <w:t>承诺事项</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hAnsi="宋体" w:cs="宋体" w:eastAsia="宋体" w:hint="default"/>
                <w:sz w:val="21"/>
                <w:szCs w:val="21"/>
              </w:rPr>
              <w:t>承诺履行情况</w:t>
            </w:r>
          </w:p>
        </w:tc>
      </w:tr>
      <w:tr>
        <w:trPr>
          <w:trHeight w:val="1133" w:hRule="exact"/>
        </w:trPr>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72" w:lineRule="exact"/>
              <w:ind w:left="103" w:right="133"/>
              <w:jc w:val="left"/>
              <w:rPr>
                <w:rFonts w:ascii="宋体" w:hAnsi="宋体" w:cs="宋体" w:eastAsia="宋体" w:hint="default"/>
                <w:sz w:val="21"/>
                <w:szCs w:val="21"/>
              </w:rPr>
            </w:pPr>
            <w:r>
              <w:rPr>
                <w:rFonts w:ascii="宋体" w:hAnsi="宋体" w:cs="宋体" w:eastAsia="宋体" w:hint="default"/>
                <w:sz w:val="21"/>
                <w:szCs w:val="21"/>
              </w:rPr>
              <w:t>北京用友科技有限 公司</w:t>
            </w:r>
          </w:p>
        </w:tc>
        <w:tc>
          <w:tcPr>
            <w:tcW w:w="4920" w:type="dxa"/>
            <w:vMerge w:val="restart"/>
            <w:tcBorders>
              <w:top w:val="single" w:sz="4" w:space="0" w:color="000000"/>
              <w:left w:val="single" w:sz="4" w:space="0" w:color="000000"/>
              <w:right w:val="single" w:sz="4" w:space="0" w:color="000000"/>
            </w:tcBorders>
          </w:tcPr>
          <w:p>
            <w:pPr>
              <w:pStyle w:val="TableParagraph"/>
              <w:spacing w:line="238" w:lineRule="exact"/>
              <w:ind w:left="103" w:right="0"/>
              <w:jc w:val="both"/>
              <w:rPr>
                <w:rFonts w:ascii="宋体" w:hAnsi="宋体" w:cs="宋体" w:eastAsia="宋体" w:hint="default"/>
                <w:sz w:val="21"/>
                <w:szCs w:val="21"/>
              </w:rPr>
            </w:pPr>
            <w:r>
              <w:rPr>
                <w:rFonts w:ascii="宋体" w:hAnsi="宋体" w:cs="宋体" w:eastAsia="宋体" w:hint="default"/>
                <w:sz w:val="21"/>
                <w:szCs w:val="21"/>
              </w:rPr>
              <w:t>①其持有的用友软件非流通股股份自改革方案实施</w:t>
            </w:r>
          </w:p>
          <w:p>
            <w:pPr>
              <w:pStyle w:val="TableParagraph"/>
              <w:spacing w:line="237" w:lineRule="auto" w:before="1"/>
              <w:ind w:left="103" w:right="185"/>
              <w:jc w:val="both"/>
              <w:rPr>
                <w:rFonts w:ascii="宋体" w:hAnsi="宋体" w:cs="宋体" w:eastAsia="宋体" w:hint="default"/>
                <w:sz w:val="21"/>
                <w:szCs w:val="21"/>
              </w:rPr>
            </w:pPr>
            <w:r>
              <w:rPr>
                <w:rFonts w:ascii="宋体" w:hAnsi="宋体" w:cs="宋体" w:eastAsia="宋体" w:hint="default"/>
                <w:sz w:val="21"/>
                <w:szCs w:val="21"/>
              </w:rPr>
              <w:t>之日起，在十二个月内不上市交易或者转让；②在 上述承诺期满后，通过上海证券交易所挂牌交易出 售原非流通股股份数量占公司股份总数的比例在十 二个月内不超过百分之五，在二十四个月内不超过 百分之十；③通过上海证券交易所挂牌交易出售的 用友软件股份数量，每达到用友软件股份总数百分 之一时，自该事实发生之日起两个工作日内做出公 告，但公告期间无需停止出售股份。</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72" w:lineRule="exact"/>
              <w:ind w:left="775" w:right="143" w:hanging="630"/>
              <w:jc w:val="left"/>
              <w:rPr>
                <w:rFonts w:ascii="宋体" w:hAnsi="宋体" w:cs="宋体" w:eastAsia="宋体" w:hint="default"/>
                <w:sz w:val="21"/>
                <w:szCs w:val="21"/>
              </w:rPr>
            </w:pPr>
            <w:r>
              <w:rPr>
                <w:rFonts w:ascii="宋体" w:hAnsi="宋体" w:cs="宋体" w:eastAsia="宋体" w:hint="default"/>
                <w:sz w:val="21"/>
                <w:szCs w:val="21"/>
              </w:rPr>
              <w:t>未申请上市流通（详见 “注”）</w:t>
            </w:r>
          </w:p>
        </w:tc>
      </w:tr>
      <w:tr>
        <w:trPr>
          <w:trHeight w:val="1328" w:hRule="exact"/>
        </w:trPr>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8"/>
                <w:szCs w:val="28"/>
              </w:rPr>
            </w:pPr>
          </w:p>
          <w:p>
            <w:pPr>
              <w:pStyle w:val="TableParagraph"/>
              <w:spacing w:line="272" w:lineRule="exact"/>
              <w:ind w:left="103" w:right="133"/>
              <w:jc w:val="left"/>
              <w:rPr>
                <w:rFonts w:ascii="宋体" w:hAnsi="宋体" w:cs="宋体" w:eastAsia="宋体" w:hint="default"/>
                <w:sz w:val="21"/>
                <w:szCs w:val="21"/>
              </w:rPr>
            </w:pPr>
            <w:r>
              <w:rPr>
                <w:rFonts w:ascii="宋体" w:hAnsi="宋体" w:cs="宋体" w:eastAsia="宋体" w:hint="default"/>
                <w:sz w:val="21"/>
                <w:szCs w:val="21"/>
              </w:rPr>
              <w:t>上海用友科技咨询 有限公司</w:t>
            </w:r>
          </w:p>
        </w:tc>
        <w:tc>
          <w:tcPr>
            <w:tcW w:w="4920" w:type="dxa"/>
            <w:vMerge/>
            <w:tcBorders>
              <w:left w:val="single" w:sz="4" w:space="0" w:color="000000"/>
              <w:bottom w:val="single" w:sz="4" w:space="0" w:color="000000"/>
              <w:right w:val="single" w:sz="4" w:space="0" w:color="000000"/>
            </w:tcBorders>
          </w:tcPr>
          <w:p>
            <w:pP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全面履行了承诺</w:t>
            </w:r>
          </w:p>
        </w:tc>
      </w:tr>
    </w:tbl>
    <w:p>
      <w:pPr>
        <w:spacing w:line="297" w:lineRule="auto" w:before="81"/>
        <w:ind w:left="138" w:right="219" w:firstLine="480"/>
        <w:jc w:val="both"/>
        <w:rPr>
          <w:rFonts w:ascii="宋体" w:hAnsi="宋体" w:cs="宋体" w:eastAsia="宋体" w:hint="default"/>
          <w:sz w:val="24"/>
          <w:szCs w:val="24"/>
        </w:rPr>
      </w:pPr>
      <w:r>
        <w:rPr>
          <w:rFonts w:ascii="宋体" w:hAnsi="宋体" w:cs="宋体" w:eastAsia="宋体" w:hint="default"/>
          <w:sz w:val="24"/>
          <w:szCs w:val="24"/>
        </w:rPr>
        <w:t>注：公司控股股东北京用友科技有限公司于</w:t>
      </w:r>
      <w:r>
        <w:rPr>
          <w:rFonts w:ascii="宋体" w:hAnsi="宋体" w:cs="宋体" w:eastAsia="宋体" w:hint="default"/>
          <w:spacing w:val="-71"/>
          <w:sz w:val="24"/>
          <w:szCs w:val="24"/>
        </w:rPr>
        <w:t> </w:t>
      </w:r>
      <w:r>
        <w:rPr>
          <w:rFonts w:ascii="宋体" w:hAnsi="宋体" w:cs="宋体" w:eastAsia="宋体" w:hint="default"/>
          <w:spacing w:val="30"/>
          <w:sz w:val="24"/>
          <w:szCs w:val="24"/>
        </w:rPr>
        <w:t>2008年8月1</w:t>
      </w:r>
      <w:r>
        <w:rPr>
          <w:rFonts w:ascii="宋体" w:hAnsi="宋体" w:cs="宋体" w:eastAsia="宋体" w:hint="default"/>
          <w:spacing w:val="-71"/>
          <w:sz w:val="24"/>
          <w:szCs w:val="24"/>
        </w:rPr>
        <w:t> </w:t>
      </w:r>
      <w:r>
        <w:rPr>
          <w:rFonts w:ascii="宋体" w:hAnsi="宋体" w:cs="宋体" w:eastAsia="宋体" w:hint="default"/>
          <w:spacing w:val="-3"/>
          <w:sz w:val="24"/>
          <w:szCs w:val="24"/>
        </w:rPr>
        <w:t>日作出如下承诺：北京用</w:t>
      </w:r>
      <w:r>
        <w:rPr>
          <w:rFonts w:ascii="宋体" w:hAnsi="宋体" w:cs="宋体" w:eastAsia="宋体" w:hint="default"/>
          <w:sz w:val="24"/>
          <w:szCs w:val="24"/>
        </w:rPr>
        <w:t> 友科技有限公司长期看好用友软件股份有限公司股份的投资价值，为此承诺公司持有的</w:t>
      </w:r>
      <w:r>
        <w:rPr>
          <w:rFonts w:ascii="宋体" w:hAnsi="宋体" w:cs="宋体" w:eastAsia="宋体" w:hint="default"/>
          <w:spacing w:val="-81"/>
          <w:sz w:val="24"/>
          <w:szCs w:val="24"/>
        </w:rPr>
        <w:t> </w:t>
      </w:r>
      <w:r>
        <w:rPr>
          <w:rFonts w:ascii="宋体" w:hAnsi="宋体" w:cs="宋体" w:eastAsia="宋体" w:hint="default"/>
          <w:spacing w:val="-81"/>
          <w:sz w:val="24"/>
          <w:szCs w:val="24"/>
        </w:rPr>
      </w:r>
      <w:r>
        <w:rPr>
          <w:rFonts w:ascii="宋体" w:hAnsi="宋体" w:cs="宋体" w:eastAsia="宋体" w:hint="default"/>
          <w:sz w:val="24"/>
          <w:szCs w:val="24"/>
        </w:rPr>
        <w:t>将于 2009 年 2 月 28</w:t>
      </w:r>
      <w:r>
        <w:rPr>
          <w:rFonts w:ascii="宋体" w:hAnsi="宋体" w:cs="宋体" w:eastAsia="宋体" w:hint="default"/>
          <w:spacing w:val="-58"/>
          <w:sz w:val="24"/>
          <w:szCs w:val="24"/>
        </w:rPr>
        <w:t> </w:t>
      </w:r>
      <w:r>
        <w:rPr>
          <w:rFonts w:ascii="宋体" w:hAnsi="宋体" w:cs="宋体" w:eastAsia="宋体" w:hint="default"/>
          <w:sz w:val="24"/>
          <w:szCs w:val="24"/>
        </w:rPr>
        <w:t>日解除限售条件的用友软件股份有限公司股份延长禁售期一年至</w:t>
      </w:r>
    </w:p>
    <w:p>
      <w:pPr>
        <w:spacing w:before="18"/>
        <w:ind w:left="138" w:right="0" w:firstLine="0"/>
        <w:jc w:val="left"/>
        <w:rPr>
          <w:rFonts w:ascii="宋体" w:hAnsi="宋体" w:cs="宋体" w:eastAsia="宋体" w:hint="default"/>
          <w:sz w:val="24"/>
          <w:szCs w:val="24"/>
        </w:rPr>
      </w:pPr>
      <w:r>
        <w:rPr>
          <w:rFonts w:ascii="宋体" w:hAnsi="宋体" w:cs="宋体" w:eastAsia="宋体" w:hint="default"/>
          <w:spacing w:val="25"/>
          <w:sz w:val="24"/>
          <w:szCs w:val="24"/>
        </w:rPr>
        <w:t>2010年2月</w:t>
      </w:r>
      <w:r>
        <w:rPr>
          <w:rFonts w:ascii="宋体" w:hAnsi="宋体" w:cs="宋体" w:eastAsia="宋体" w:hint="default"/>
          <w:spacing w:val="-58"/>
          <w:sz w:val="24"/>
          <w:szCs w:val="24"/>
        </w:rPr>
        <w:t> </w:t>
      </w:r>
      <w:r>
        <w:rPr>
          <w:rFonts w:ascii="宋体" w:hAnsi="宋体" w:cs="宋体" w:eastAsia="宋体" w:hint="default"/>
          <w:sz w:val="24"/>
          <w:szCs w:val="24"/>
        </w:rPr>
        <w:t>28</w:t>
      </w:r>
      <w:r>
        <w:rPr>
          <w:rFonts w:ascii="宋体" w:hAnsi="宋体" w:cs="宋体" w:eastAsia="宋体" w:hint="default"/>
          <w:spacing w:val="-58"/>
          <w:sz w:val="24"/>
          <w:szCs w:val="24"/>
        </w:rPr>
        <w:t> </w:t>
      </w:r>
      <w:r>
        <w:rPr>
          <w:rFonts w:ascii="宋体" w:hAnsi="宋体" w:cs="宋体" w:eastAsia="宋体" w:hint="default"/>
          <w:sz w:val="24"/>
          <w:szCs w:val="24"/>
        </w:rPr>
        <w:t>日；公司持有的已经解除限售条件的股份在</w:t>
      </w:r>
      <w:r>
        <w:rPr>
          <w:rFonts w:ascii="宋体" w:hAnsi="宋体" w:cs="宋体" w:eastAsia="宋体" w:hint="default"/>
          <w:spacing w:val="-58"/>
          <w:sz w:val="24"/>
          <w:szCs w:val="24"/>
        </w:rPr>
        <w:t> </w:t>
      </w:r>
      <w:r>
        <w:rPr>
          <w:rFonts w:ascii="宋体" w:hAnsi="宋体" w:cs="宋体" w:eastAsia="宋体" w:hint="default"/>
          <w:spacing w:val="25"/>
          <w:sz w:val="24"/>
          <w:szCs w:val="24"/>
        </w:rPr>
        <w:t>2010年2月</w:t>
      </w:r>
      <w:r>
        <w:rPr>
          <w:rFonts w:ascii="宋体" w:hAnsi="宋体" w:cs="宋体" w:eastAsia="宋体" w:hint="default"/>
          <w:spacing w:val="-58"/>
          <w:sz w:val="24"/>
          <w:szCs w:val="24"/>
        </w:rPr>
        <w:t> </w:t>
      </w:r>
      <w:r>
        <w:rPr>
          <w:rFonts w:ascii="宋体" w:hAnsi="宋体" w:cs="宋体" w:eastAsia="宋体" w:hint="default"/>
          <w:sz w:val="24"/>
          <w:szCs w:val="24"/>
        </w:rPr>
        <w:t>28</w:t>
      </w:r>
      <w:r>
        <w:rPr>
          <w:rFonts w:ascii="宋体" w:hAnsi="宋体" w:cs="宋体" w:eastAsia="宋体" w:hint="default"/>
          <w:spacing w:val="-58"/>
          <w:sz w:val="24"/>
          <w:szCs w:val="24"/>
        </w:rPr>
        <w:t> </w:t>
      </w:r>
      <w:r>
        <w:rPr>
          <w:rFonts w:ascii="宋体" w:hAnsi="宋体" w:cs="宋体" w:eastAsia="宋体" w:hint="default"/>
          <w:sz w:val="24"/>
          <w:szCs w:val="24"/>
        </w:rPr>
        <w:t>日前不减持。</w:t>
      </w:r>
    </w:p>
    <w:p>
      <w:pPr>
        <w:spacing w:line="297" w:lineRule="auto" w:before="74"/>
        <w:ind w:left="138" w:right="206" w:firstLine="0"/>
        <w:jc w:val="left"/>
        <w:rPr>
          <w:rFonts w:ascii="宋体" w:hAnsi="宋体" w:cs="宋体" w:eastAsia="宋体" w:hint="default"/>
          <w:sz w:val="24"/>
          <w:szCs w:val="24"/>
        </w:rPr>
      </w:pPr>
      <w:r>
        <w:rPr>
          <w:rFonts w:ascii="宋体" w:hAnsi="宋体" w:cs="宋体" w:eastAsia="宋体" w:hint="default"/>
          <w:spacing w:val="-4"/>
          <w:sz w:val="24"/>
          <w:szCs w:val="24"/>
        </w:rPr>
        <w:t>因此，北京用友科技有限公司可于</w:t>
      </w:r>
      <w:r>
        <w:rPr>
          <w:rFonts w:ascii="宋体" w:hAnsi="宋体" w:cs="宋体" w:eastAsia="宋体" w:hint="default"/>
          <w:spacing w:val="-59"/>
          <w:sz w:val="24"/>
          <w:szCs w:val="24"/>
        </w:rPr>
        <w:t> </w:t>
      </w:r>
      <w:r>
        <w:rPr>
          <w:rFonts w:ascii="宋体" w:hAnsi="宋体" w:cs="宋体" w:eastAsia="宋体" w:hint="default"/>
          <w:spacing w:val="25"/>
          <w:sz w:val="24"/>
          <w:szCs w:val="24"/>
        </w:rPr>
        <w:t>2009年2月</w:t>
      </w:r>
      <w:r>
        <w:rPr>
          <w:rFonts w:ascii="宋体" w:hAnsi="宋体" w:cs="宋体" w:eastAsia="宋体" w:hint="default"/>
          <w:spacing w:val="-59"/>
          <w:sz w:val="24"/>
          <w:szCs w:val="24"/>
        </w:rPr>
        <w:t> </w:t>
      </w:r>
      <w:r>
        <w:rPr>
          <w:rFonts w:ascii="宋体" w:hAnsi="宋体" w:cs="宋体" w:eastAsia="宋体" w:hint="default"/>
          <w:sz w:val="24"/>
          <w:szCs w:val="24"/>
        </w:rPr>
        <w:t>28</w:t>
      </w:r>
      <w:r>
        <w:rPr>
          <w:rFonts w:ascii="宋体" w:hAnsi="宋体" w:cs="宋体" w:eastAsia="宋体" w:hint="default"/>
          <w:spacing w:val="-59"/>
          <w:sz w:val="24"/>
          <w:szCs w:val="24"/>
        </w:rPr>
        <w:t> </w:t>
      </w:r>
      <w:r>
        <w:rPr>
          <w:rFonts w:ascii="宋体" w:hAnsi="宋体" w:cs="宋体" w:eastAsia="宋体" w:hint="default"/>
          <w:sz w:val="24"/>
          <w:szCs w:val="24"/>
        </w:rPr>
        <w:t>日上市的</w:t>
      </w:r>
      <w:r>
        <w:rPr>
          <w:rFonts w:ascii="宋体" w:hAnsi="宋体" w:cs="宋体" w:eastAsia="宋体" w:hint="default"/>
          <w:spacing w:val="-59"/>
          <w:sz w:val="24"/>
          <w:szCs w:val="24"/>
        </w:rPr>
        <w:t> </w:t>
      </w:r>
      <w:r>
        <w:rPr>
          <w:rFonts w:ascii="宋体" w:hAnsi="宋体" w:cs="宋体" w:eastAsia="宋体" w:hint="default"/>
          <w:sz w:val="24"/>
          <w:szCs w:val="24"/>
        </w:rPr>
        <w:t>95,472,000</w:t>
      </w:r>
      <w:r>
        <w:rPr>
          <w:rFonts w:ascii="宋体" w:hAnsi="宋体" w:cs="宋体" w:eastAsia="宋体" w:hint="default"/>
          <w:spacing w:val="-59"/>
          <w:sz w:val="24"/>
          <w:szCs w:val="24"/>
        </w:rPr>
        <w:t> </w:t>
      </w:r>
      <w:r>
        <w:rPr>
          <w:rFonts w:ascii="宋体" w:hAnsi="宋体" w:cs="宋体" w:eastAsia="宋体" w:hint="default"/>
          <w:sz w:val="24"/>
          <w:szCs w:val="24"/>
        </w:rPr>
        <w:t>股用友软件股份</w:t>
      </w:r>
      <w:r>
        <w:rPr>
          <w:rFonts w:ascii="宋体" w:hAnsi="宋体" w:cs="宋体" w:eastAsia="宋体" w:hint="default"/>
          <w:sz w:val="24"/>
          <w:szCs w:val="24"/>
        </w:rPr>
        <w:t> 未申上市。</w:t>
      </w:r>
    </w:p>
    <w:p>
      <w:pPr>
        <w:spacing w:after="0" w:line="297" w:lineRule="auto"/>
        <w:jc w:val="left"/>
        <w:rPr>
          <w:rFonts w:ascii="宋体" w:hAnsi="宋体" w:cs="宋体" w:eastAsia="宋体" w:hint="default"/>
          <w:sz w:val="24"/>
          <w:szCs w:val="24"/>
        </w:rPr>
        <w:sectPr>
          <w:pgSz w:w="11910" w:h="16840"/>
          <w:pgMar w:header="0" w:footer="727" w:top="1080" w:bottom="920" w:left="1280" w:right="1080"/>
        </w:sectPr>
      </w:pPr>
    </w:p>
    <w:p>
      <w:pPr>
        <w:spacing w:line="240" w:lineRule="auto" w:before="0"/>
        <w:rPr>
          <w:rFonts w:ascii="宋体" w:hAnsi="宋体" w:cs="宋体" w:eastAsia="宋体" w:hint="default"/>
          <w:sz w:val="20"/>
          <w:szCs w:val="20"/>
        </w:rPr>
      </w:pPr>
    </w:p>
    <w:p>
      <w:pPr>
        <w:spacing w:line="314" w:lineRule="auto" w:before="170"/>
        <w:ind w:left="620" w:right="184" w:hanging="83"/>
        <w:jc w:val="left"/>
        <w:rPr>
          <w:rFonts w:ascii="宋体" w:hAnsi="宋体" w:cs="宋体" w:eastAsia="宋体" w:hint="default"/>
          <w:sz w:val="24"/>
          <w:szCs w:val="24"/>
        </w:rPr>
      </w:pPr>
      <w:r>
        <w:rPr>
          <w:rFonts w:ascii="宋体" w:hAnsi="宋体" w:cs="宋体" w:eastAsia="宋体" w:hint="default"/>
          <w:b/>
          <w:bCs/>
          <w:sz w:val="24"/>
          <w:szCs w:val="24"/>
        </w:rPr>
        <w:t>(九)</w:t>
      </w:r>
      <w:r>
        <w:rPr>
          <w:rFonts w:ascii="宋体" w:hAnsi="宋体" w:cs="宋体" w:eastAsia="宋体" w:hint="default"/>
          <w:b/>
          <w:bCs/>
          <w:spacing w:val="1"/>
          <w:sz w:val="24"/>
          <w:szCs w:val="24"/>
        </w:rPr>
        <w:t> </w:t>
      </w:r>
      <w:r>
        <w:rPr>
          <w:rFonts w:ascii="宋体" w:hAnsi="宋体" w:cs="宋体" w:eastAsia="宋体" w:hint="default"/>
          <w:b/>
          <w:bCs/>
          <w:sz w:val="24"/>
          <w:szCs w:val="24"/>
        </w:rPr>
        <w:t>聘任、解聘会计师事务所情况</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报告期内，公司继续聘用安永华明会计师事务所为公司年度审计机构，支付费用情</w:t>
      </w:r>
    </w:p>
    <w:p>
      <w:pPr>
        <w:spacing w:line="238" w:lineRule="exact" w:before="0"/>
        <w:ind w:left="138" w:right="184" w:firstLine="0"/>
        <w:jc w:val="left"/>
        <w:rPr>
          <w:rFonts w:ascii="宋体" w:hAnsi="宋体" w:cs="宋体" w:eastAsia="宋体" w:hint="default"/>
          <w:sz w:val="24"/>
          <w:szCs w:val="24"/>
        </w:rPr>
      </w:pPr>
      <w:r>
        <w:rPr>
          <w:rFonts w:ascii="宋体" w:hAnsi="宋体" w:cs="宋体" w:eastAsia="宋体" w:hint="default"/>
          <w:sz w:val="24"/>
          <w:szCs w:val="24"/>
        </w:rPr>
        <w:t>况如下：</w:t>
      </w:r>
    </w:p>
    <w:p>
      <w:pPr>
        <w:spacing w:before="0"/>
        <w:ind w:left="0" w:right="139" w:firstLine="0"/>
        <w:jc w:val="right"/>
        <w:rPr>
          <w:rFonts w:ascii="宋体" w:hAnsi="宋体" w:cs="宋体" w:eastAsia="宋体" w:hint="default"/>
          <w:sz w:val="21"/>
          <w:szCs w:val="21"/>
        </w:rPr>
      </w:pPr>
      <w:r>
        <w:rPr>
          <w:rFonts w:ascii="宋体" w:hAnsi="宋体" w:cs="宋体" w:eastAsia="宋体" w:hint="default"/>
          <w:sz w:val="21"/>
          <w:szCs w:val="21"/>
        </w:rPr>
        <w:t>单位：元</w:t>
      </w: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3616"/>
        <w:gridCol w:w="2790"/>
        <w:gridCol w:w="2790"/>
      </w:tblGrid>
      <w:tr>
        <w:trPr>
          <w:trHeight w:val="396" w:hRule="exact"/>
        </w:trPr>
        <w:tc>
          <w:tcPr>
            <w:tcW w:w="36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right="2"/>
              <w:jc w:val="righ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right="0"/>
              <w:jc w:val="righ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年度</w:t>
            </w:r>
          </w:p>
        </w:tc>
      </w:tr>
      <w:tr>
        <w:trPr>
          <w:trHeight w:val="395" w:hRule="exact"/>
        </w:trPr>
        <w:tc>
          <w:tcPr>
            <w:tcW w:w="36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left="6" w:right="0"/>
              <w:jc w:val="left"/>
              <w:rPr>
                <w:rFonts w:ascii="宋体" w:hAnsi="宋体" w:cs="宋体" w:eastAsia="宋体" w:hint="default"/>
                <w:sz w:val="21"/>
                <w:szCs w:val="21"/>
              </w:rPr>
            </w:pPr>
            <w:r>
              <w:rPr>
                <w:rFonts w:ascii="宋体" w:hAnsi="宋体" w:cs="宋体" w:eastAsia="宋体" w:hint="default"/>
                <w:sz w:val="21"/>
                <w:szCs w:val="21"/>
              </w:rPr>
              <w:t>财务审计费用</w:t>
            </w:r>
          </w:p>
        </w:tc>
        <w:tc>
          <w:tcPr>
            <w:tcW w:w="2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right="4"/>
              <w:jc w:val="right"/>
              <w:rPr>
                <w:rFonts w:ascii="宋体" w:hAnsi="宋体" w:cs="宋体" w:eastAsia="宋体" w:hint="default"/>
                <w:sz w:val="21"/>
                <w:szCs w:val="21"/>
              </w:rPr>
            </w:pPr>
            <w:r>
              <w:rPr>
                <w:rFonts w:ascii="宋体"/>
                <w:spacing w:val="-1"/>
                <w:sz w:val="21"/>
              </w:rPr>
              <w:t>1,700,000</w:t>
            </w:r>
            <w:r>
              <w:rPr>
                <w:rFonts w:ascii="宋体"/>
                <w:sz w:val="21"/>
              </w:rPr>
            </w:r>
          </w:p>
        </w:tc>
        <w:tc>
          <w:tcPr>
            <w:tcW w:w="2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right="0"/>
              <w:jc w:val="right"/>
              <w:rPr>
                <w:rFonts w:ascii="宋体" w:hAnsi="宋体" w:cs="宋体" w:eastAsia="宋体" w:hint="default"/>
                <w:sz w:val="21"/>
                <w:szCs w:val="21"/>
              </w:rPr>
            </w:pPr>
            <w:r>
              <w:rPr>
                <w:rFonts w:ascii="宋体"/>
                <w:spacing w:val="-1"/>
                <w:sz w:val="21"/>
              </w:rPr>
              <w:t>1,700,000</w:t>
            </w:r>
            <w:r>
              <w:rPr>
                <w:rFonts w:ascii="宋体"/>
                <w:sz w:val="21"/>
              </w:rPr>
            </w:r>
          </w:p>
        </w:tc>
      </w:tr>
      <w:tr>
        <w:trPr>
          <w:trHeight w:val="395" w:hRule="exact"/>
        </w:trPr>
        <w:tc>
          <w:tcPr>
            <w:tcW w:w="36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left="6" w:right="0"/>
              <w:jc w:val="left"/>
              <w:rPr>
                <w:rFonts w:ascii="宋体" w:hAnsi="宋体" w:cs="宋体" w:eastAsia="宋体" w:hint="default"/>
                <w:sz w:val="21"/>
                <w:szCs w:val="21"/>
              </w:rPr>
            </w:pPr>
            <w:r>
              <w:rPr>
                <w:rFonts w:ascii="宋体" w:hAnsi="宋体" w:cs="宋体" w:eastAsia="宋体" w:hint="default"/>
                <w:sz w:val="21"/>
                <w:szCs w:val="21"/>
              </w:rPr>
              <w:t>其中：年末应付未付费用</w:t>
            </w:r>
          </w:p>
        </w:tc>
        <w:tc>
          <w:tcPr>
            <w:tcW w:w="2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right="4"/>
              <w:jc w:val="right"/>
              <w:rPr>
                <w:rFonts w:ascii="宋体" w:hAnsi="宋体" w:cs="宋体" w:eastAsia="宋体" w:hint="default"/>
                <w:sz w:val="21"/>
                <w:szCs w:val="21"/>
              </w:rPr>
            </w:pPr>
            <w:r>
              <w:rPr>
                <w:rFonts w:ascii="宋体"/>
                <w:spacing w:val="-1"/>
                <w:sz w:val="21"/>
              </w:rPr>
              <w:t>1,150,000</w:t>
            </w:r>
            <w:r>
              <w:rPr>
                <w:rFonts w:ascii="宋体"/>
                <w:sz w:val="21"/>
              </w:rPr>
            </w:r>
          </w:p>
        </w:tc>
        <w:tc>
          <w:tcPr>
            <w:tcW w:w="2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right="0"/>
              <w:jc w:val="right"/>
              <w:rPr>
                <w:rFonts w:ascii="宋体" w:hAnsi="宋体" w:cs="宋体" w:eastAsia="宋体" w:hint="default"/>
                <w:sz w:val="21"/>
                <w:szCs w:val="21"/>
              </w:rPr>
            </w:pPr>
            <w:r>
              <w:rPr>
                <w:rFonts w:ascii="宋体"/>
                <w:spacing w:val="-1"/>
                <w:sz w:val="21"/>
              </w:rPr>
              <w:t>1,300,000</w:t>
            </w:r>
            <w:r>
              <w:rPr>
                <w:rFonts w:ascii="宋体"/>
                <w:sz w:val="21"/>
              </w:rPr>
            </w:r>
          </w:p>
        </w:tc>
      </w:tr>
      <w:tr>
        <w:trPr>
          <w:trHeight w:val="395" w:hRule="exact"/>
        </w:trPr>
        <w:tc>
          <w:tcPr>
            <w:tcW w:w="36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left="6" w:right="0"/>
              <w:jc w:val="left"/>
              <w:rPr>
                <w:rFonts w:ascii="宋体" w:hAnsi="宋体" w:cs="宋体" w:eastAsia="宋体" w:hint="default"/>
                <w:sz w:val="21"/>
                <w:szCs w:val="21"/>
              </w:rPr>
            </w:pPr>
            <w:r>
              <w:rPr>
                <w:rFonts w:ascii="宋体" w:hAnsi="宋体" w:cs="宋体" w:eastAsia="宋体" w:hint="default"/>
                <w:sz w:val="21"/>
                <w:szCs w:val="21"/>
              </w:rPr>
              <w:t>差旅费用</w:t>
            </w:r>
          </w:p>
        </w:tc>
        <w:tc>
          <w:tcPr>
            <w:tcW w:w="2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right="3"/>
              <w:jc w:val="right"/>
              <w:rPr>
                <w:rFonts w:ascii="宋体" w:hAnsi="宋体" w:cs="宋体" w:eastAsia="宋体" w:hint="default"/>
                <w:sz w:val="21"/>
                <w:szCs w:val="21"/>
              </w:rPr>
            </w:pPr>
            <w:r>
              <w:rPr>
                <w:rFonts w:ascii="宋体"/>
                <w:sz w:val="21"/>
              </w:rPr>
              <w:t>115,804</w:t>
            </w:r>
          </w:p>
        </w:tc>
        <w:tc>
          <w:tcPr>
            <w:tcW w:w="2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right="1"/>
              <w:jc w:val="right"/>
              <w:rPr>
                <w:rFonts w:ascii="宋体" w:hAnsi="宋体" w:cs="宋体" w:eastAsia="宋体" w:hint="default"/>
                <w:sz w:val="21"/>
                <w:szCs w:val="21"/>
              </w:rPr>
            </w:pPr>
            <w:r>
              <w:rPr>
                <w:rFonts w:ascii="宋体"/>
                <w:sz w:val="21"/>
              </w:rPr>
              <w:t>84,829</w:t>
            </w:r>
          </w:p>
        </w:tc>
      </w:tr>
      <w:tr>
        <w:trPr>
          <w:trHeight w:val="396" w:hRule="exact"/>
        </w:trPr>
        <w:tc>
          <w:tcPr>
            <w:tcW w:w="36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left="6"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right="3"/>
              <w:jc w:val="right"/>
              <w:rPr>
                <w:rFonts w:ascii="宋体" w:hAnsi="宋体" w:cs="宋体" w:eastAsia="宋体" w:hint="default"/>
                <w:sz w:val="21"/>
                <w:szCs w:val="21"/>
              </w:rPr>
            </w:pPr>
            <w:r>
              <w:rPr>
                <w:rFonts w:ascii="宋体"/>
                <w:spacing w:val="-1"/>
                <w:sz w:val="21"/>
              </w:rPr>
              <w:t>1,815,804</w:t>
            </w:r>
          </w:p>
        </w:tc>
        <w:tc>
          <w:tcPr>
            <w:tcW w:w="2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9"/>
              <w:ind w:right="1"/>
              <w:jc w:val="right"/>
              <w:rPr>
                <w:rFonts w:ascii="宋体" w:hAnsi="宋体" w:cs="宋体" w:eastAsia="宋体" w:hint="default"/>
                <w:sz w:val="21"/>
                <w:szCs w:val="21"/>
              </w:rPr>
            </w:pPr>
            <w:r>
              <w:rPr>
                <w:rFonts w:ascii="宋体"/>
                <w:spacing w:val="-1"/>
                <w:sz w:val="21"/>
              </w:rPr>
              <w:t>1,784,829</w:t>
            </w:r>
          </w:p>
        </w:tc>
      </w:tr>
    </w:tbl>
    <w:p>
      <w:pPr>
        <w:spacing w:before="61"/>
        <w:ind w:left="138" w:right="184" w:firstLine="0"/>
        <w:jc w:val="left"/>
        <w:rPr>
          <w:rFonts w:ascii="宋体" w:hAnsi="宋体" w:cs="宋体" w:eastAsia="宋体" w:hint="default"/>
          <w:sz w:val="24"/>
          <w:szCs w:val="24"/>
        </w:rPr>
      </w:pPr>
      <w:r>
        <w:rPr>
          <w:rFonts w:ascii="宋体" w:hAnsi="宋体" w:cs="宋体" w:eastAsia="宋体" w:hint="default"/>
          <w:sz w:val="24"/>
          <w:szCs w:val="24"/>
        </w:rPr>
        <w:t>注：截止报告期末，安永华明会计师事务所已连续</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年为公司提供审计服务。</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8"/>
          <w:szCs w:val="28"/>
        </w:rPr>
      </w:pPr>
    </w:p>
    <w:p>
      <w:pPr>
        <w:spacing w:line="310" w:lineRule="exact" w:before="0"/>
        <w:ind w:left="138" w:right="122" w:firstLine="399"/>
        <w:jc w:val="left"/>
        <w:rPr>
          <w:rFonts w:ascii="宋体" w:hAnsi="宋体" w:cs="宋体" w:eastAsia="宋体" w:hint="default"/>
          <w:sz w:val="24"/>
          <w:szCs w:val="24"/>
        </w:rPr>
      </w:pPr>
      <w:bookmarkStart w:name="_TOC_250002" w:id="28"/>
      <w:r>
        <w:rPr>
          <w:rFonts w:ascii="宋体" w:hAnsi="宋体" w:cs="宋体" w:eastAsia="宋体" w:hint="default"/>
          <w:b/>
          <w:bCs/>
          <w:sz w:val="24"/>
          <w:szCs w:val="24"/>
        </w:rPr>
        <w:t>(十)</w:t>
      </w:r>
      <w:r>
        <w:rPr>
          <w:rFonts w:ascii="宋体" w:hAnsi="宋体" w:cs="宋体" w:eastAsia="宋体" w:hint="default"/>
          <w:b/>
          <w:bCs/>
          <w:spacing w:val="-11"/>
          <w:sz w:val="24"/>
          <w:szCs w:val="24"/>
        </w:rPr>
        <w:t> </w:t>
      </w:r>
      <w:r>
        <w:rPr>
          <w:rFonts w:ascii="宋体" w:hAnsi="宋体" w:cs="宋体" w:eastAsia="宋体" w:hint="default"/>
          <w:b/>
          <w:bCs/>
          <w:sz w:val="24"/>
          <w:szCs w:val="24"/>
        </w:rPr>
        <w:t>上市公司及其董事、监事、高级管理人员、公司股东、实际控制人处罚及整改</w:t>
      </w:r>
      <w:r>
        <w:rPr>
          <w:rFonts w:ascii="宋体" w:hAnsi="宋体" w:cs="宋体" w:eastAsia="宋体" w:hint="default"/>
          <w:b/>
          <w:bCs/>
          <w:spacing w:val="1"/>
          <w:w w:val="99"/>
          <w:sz w:val="24"/>
          <w:szCs w:val="24"/>
        </w:rPr>
        <w:t> </w:t>
      </w:r>
      <w:r>
        <w:rPr>
          <w:rFonts w:ascii="宋体" w:hAnsi="宋体" w:cs="宋体" w:eastAsia="宋体" w:hint="default"/>
          <w:b/>
          <w:bCs/>
          <w:sz w:val="24"/>
          <w:szCs w:val="24"/>
        </w:rPr>
        <w:t>情况</w:t>
      </w:r>
      <w:bookmarkEnd w:id="28"/>
      <w:r>
        <w:rPr>
          <w:rFonts w:ascii="宋体" w:hAnsi="宋体" w:cs="宋体" w:eastAsia="宋体" w:hint="default"/>
          <w:sz w:val="24"/>
          <w:szCs w:val="24"/>
        </w:rPr>
      </w:r>
    </w:p>
    <w:p>
      <w:pPr>
        <w:spacing w:line="297" w:lineRule="auto" w:before="88"/>
        <w:ind w:left="138" w:right="186" w:firstLine="480"/>
        <w:jc w:val="left"/>
        <w:rPr>
          <w:rFonts w:ascii="宋体" w:hAnsi="宋体" w:cs="宋体" w:eastAsia="宋体" w:hint="default"/>
          <w:sz w:val="24"/>
          <w:szCs w:val="24"/>
        </w:rPr>
      </w:pPr>
      <w:r>
        <w:rPr>
          <w:rFonts w:ascii="宋体" w:hAnsi="宋体" w:cs="宋体" w:eastAsia="宋体" w:hint="default"/>
          <w:sz w:val="24"/>
          <w:szCs w:val="24"/>
        </w:rPr>
        <w:t>报告期内公司及其董事、监事、高级管理人员、公司股东、实际控制人均未受中国 证监会的稽查、行政处罚、通报批评及证券交易所的公开谴责。</w:t>
      </w: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30"/>
          <w:szCs w:val="30"/>
        </w:rPr>
      </w:pPr>
    </w:p>
    <w:p>
      <w:pPr>
        <w:spacing w:line="331" w:lineRule="auto" w:before="0"/>
        <w:ind w:left="618" w:right="4746" w:hanging="81"/>
        <w:jc w:val="left"/>
        <w:rPr>
          <w:rFonts w:ascii="宋体" w:hAnsi="宋体" w:cs="宋体" w:eastAsia="宋体" w:hint="default"/>
          <w:sz w:val="24"/>
          <w:szCs w:val="24"/>
        </w:rPr>
      </w:pPr>
      <w:r>
        <w:rPr>
          <w:rFonts w:ascii="宋体" w:hAnsi="宋体" w:cs="宋体" w:eastAsia="宋体" w:hint="default"/>
          <w:b/>
          <w:bCs/>
          <w:sz w:val="24"/>
          <w:szCs w:val="24"/>
        </w:rPr>
        <w:t>(十一) 其他重大事项的说明</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报告期内公司新取得知识产权成果情况</w:t>
      </w:r>
    </w:p>
    <w:p>
      <w:pPr>
        <w:pStyle w:val="Heading7"/>
        <w:spacing w:line="297" w:lineRule="auto" w:before="103"/>
        <w:ind w:left="138" w:right="122" w:firstLine="480"/>
        <w:jc w:val="left"/>
      </w:pPr>
      <w:r>
        <w:rPr>
          <w:spacing w:val="-2"/>
        </w:rPr>
        <w:t>1、报告期内，根据《中华人民共和国商标法》规定，经中华人民共和国国家工商行</w:t>
      </w:r>
      <w:r>
        <w:rPr/>
        <w:t> 政管理总局商标局核准，公司新获得</w:t>
      </w:r>
      <w:r>
        <w:rPr>
          <w:spacing w:val="-60"/>
        </w:rPr>
        <w:t> </w:t>
      </w:r>
      <w:r>
        <w:rPr/>
        <w:t>6</w:t>
      </w:r>
      <w:r>
        <w:rPr>
          <w:spacing w:val="-60"/>
        </w:rPr>
        <w:t> </w:t>
      </w:r>
      <w:r>
        <w:rPr/>
        <w:t>个注册商标专有权, 如下所示：</w:t>
      </w:r>
    </w:p>
    <w:p>
      <w:pPr>
        <w:spacing w:line="240" w:lineRule="auto" w:before="6"/>
        <w:rPr>
          <w:rFonts w:ascii="宋体" w:hAnsi="宋体" w:cs="宋体" w:eastAsia="宋体" w:hint="default"/>
          <w:sz w:val="13"/>
          <w:szCs w:val="13"/>
        </w:rPr>
      </w:pPr>
    </w:p>
    <w:tbl>
      <w:tblPr>
        <w:tblW w:w="0" w:type="auto"/>
        <w:jc w:val="left"/>
        <w:tblInd w:w="118" w:type="dxa"/>
        <w:tblLayout w:type="fixed"/>
        <w:tblCellMar>
          <w:top w:w="0" w:type="dxa"/>
          <w:left w:w="0" w:type="dxa"/>
          <w:bottom w:w="0" w:type="dxa"/>
          <w:right w:w="0" w:type="dxa"/>
        </w:tblCellMar>
        <w:tblLook w:val="01E0"/>
      </w:tblPr>
      <w:tblGrid>
        <w:gridCol w:w="641"/>
        <w:gridCol w:w="2143"/>
        <w:gridCol w:w="2143"/>
        <w:gridCol w:w="2144"/>
        <w:gridCol w:w="2144"/>
      </w:tblGrid>
      <w:tr>
        <w:trPr>
          <w:trHeight w:val="445"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宋体" w:hAnsi="宋体" w:cs="宋体" w:eastAsia="宋体" w:hint="default"/>
                <w:sz w:val="20"/>
                <w:szCs w:val="20"/>
              </w:rPr>
            </w:pPr>
            <w:r>
              <w:rPr>
                <w:rFonts w:ascii="宋体" w:hAnsi="宋体" w:cs="宋体" w:eastAsia="宋体" w:hint="default"/>
                <w:sz w:val="20"/>
                <w:szCs w:val="20"/>
              </w:rPr>
              <w:t>序号</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1" w:right="0"/>
              <w:jc w:val="center"/>
              <w:rPr>
                <w:rFonts w:ascii="宋体" w:hAnsi="宋体" w:cs="宋体" w:eastAsia="宋体" w:hint="default"/>
                <w:sz w:val="20"/>
                <w:szCs w:val="20"/>
              </w:rPr>
            </w:pPr>
            <w:r>
              <w:rPr>
                <w:rFonts w:ascii="宋体" w:hAnsi="宋体" w:cs="宋体" w:eastAsia="宋体" w:hint="default"/>
                <w:sz w:val="20"/>
                <w:szCs w:val="20"/>
              </w:rPr>
              <w:t>注册商标样式</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宋体" w:hAnsi="宋体" w:cs="宋体" w:eastAsia="宋体" w:hint="default"/>
                <w:sz w:val="20"/>
                <w:szCs w:val="20"/>
              </w:rPr>
            </w:pPr>
            <w:r>
              <w:rPr>
                <w:rFonts w:ascii="宋体" w:hAnsi="宋体" w:cs="宋体" w:eastAsia="宋体" w:hint="default"/>
                <w:sz w:val="20"/>
                <w:szCs w:val="20"/>
              </w:rPr>
              <w:t>类别</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666" w:right="0"/>
              <w:jc w:val="left"/>
              <w:rPr>
                <w:rFonts w:ascii="宋体" w:hAnsi="宋体" w:cs="宋体" w:eastAsia="宋体" w:hint="default"/>
                <w:sz w:val="20"/>
                <w:szCs w:val="20"/>
              </w:rPr>
            </w:pPr>
            <w:r>
              <w:rPr>
                <w:rFonts w:ascii="宋体" w:hAnsi="宋体" w:cs="宋体" w:eastAsia="宋体" w:hint="default"/>
                <w:sz w:val="20"/>
                <w:szCs w:val="20"/>
              </w:rPr>
              <w:t>证书编号</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666" w:right="0"/>
              <w:jc w:val="left"/>
              <w:rPr>
                <w:rFonts w:ascii="宋体" w:hAnsi="宋体" w:cs="宋体" w:eastAsia="宋体" w:hint="default"/>
                <w:sz w:val="20"/>
                <w:szCs w:val="20"/>
              </w:rPr>
            </w:pPr>
            <w:r>
              <w:rPr>
                <w:rFonts w:ascii="宋体" w:hAnsi="宋体" w:cs="宋体" w:eastAsia="宋体" w:hint="default"/>
                <w:sz w:val="20"/>
                <w:szCs w:val="20"/>
              </w:rPr>
              <w:t>注册日期</w:t>
            </w:r>
          </w:p>
        </w:tc>
      </w:tr>
      <w:tr>
        <w:trPr>
          <w:trHeight w:val="445"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宋体" w:hAnsi="宋体" w:cs="宋体" w:eastAsia="宋体" w:hint="default"/>
                <w:sz w:val="20"/>
                <w:szCs w:val="20"/>
              </w:rPr>
            </w:pPr>
            <w:r>
              <w:rPr>
                <w:rFonts w:ascii="宋体"/>
                <w:w w:val="100"/>
                <w:sz w:val="20"/>
              </w:rPr>
              <w:t>1</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宋体" w:hAnsi="宋体" w:cs="宋体" w:eastAsia="宋体" w:hint="default"/>
                <w:sz w:val="20"/>
                <w:szCs w:val="20"/>
              </w:rPr>
            </w:pPr>
            <w:r>
              <w:rPr>
                <w:rFonts w:ascii="宋体" w:hAnsi="宋体" w:cs="宋体" w:eastAsia="宋体" w:hint="default"/>
                <w:sz w:val="20"/>
                <w:szCs w:val="20"/>
              </w:rPr>
              <w:t>UFIDA</w:t>
            </w:r>
            <w:r>
              <w:rPr>
                <w:rFonts w:ascii="宋体" w:hAnsi="宋体" w:cs="宋体" w:eastAsia="宋体" w:hint="default"/>
                <w:spacing w:val="-53"/>
                <w:sz w:val="20"/>
                <w:szCs w:val="20"/>
              </w:rPr>
              <w:t> </w:t>
            </w:r>
            <w:r>
              <w:rPr>
                <w:rFonts w:ascii="宋体" w:hAnsi="宋体" w:cs="宋体" w:eastAsia="宋体" w:hint="default"/>
                <w:sz w:val="20"/>
                <w:szCs w:val="20"/>
              </w:rPr>
              <w:t>用友</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宋体" w:hAnsi="宋体" w:cs="宋体" w:eastAsia="宋体" w:hint="default"/>
                <w:sz w:val="20"/>
                <w:szCs w:val="20"/>
              </w:rPr>
            </w:pPr>
            <w:r>
              <w:rPr>
                <w:rFonts w:ascii="宋体"/>
                <w:sz w:val="20"/>
              </w:rPr>
              <w:t>37</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715" w:right="0"/>
              <w:jc w:val="left"/>
              <w:rPr>
                <w:rFonts w:ascii="宋体" w:hAnsi="宋体" w:cs="宋体" w:eastAsia="宋体" w:hint="default"/>
                <w:sz w:val="20"/>
                <w:szCs w:val="20"/>
              </w:rPr>
            </w:pPr>
            <w:r>
              <w:rPr>
                <w:rFonts w:ascii="宋体"/>
                <w:sz w:val="20"/>
              </w:rPr>
              <w:t>4817311</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616" w:right="0"/>
              <w:jc w:val="left"/>
              <w:rPr>
                <w:rFonts w:ascii="宋体" w:hAnsi="宋体" w:cs="宋体" w:eastAsia="宋体" w:hint="default"/>
                <w:sz w:val="20"/>
                <w:szCs w:val="20"/>
              </w:rPr>
            </w:pPr>
            <w:r>
              <w:rPr>
                <w:rFonts w:ascii="宋体"/>
                <w:sz w:val="20"/>
              </w:rPr>
              <w:t>2009-3-28</w:t>
            </w:r>
          </w:p>
        </w:tc>
      </w:tr>
      <w:tr>
        <w:trPr>
          <w:trHeight w:val="445"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宋体" w:hAnsi="宋体" w:cs="宋体" w:eastAsia="宋体" w:hint="default"/>
                <w:sz w:val="20"/>
                <w:szCs w:val="20"/>
              </w:rPr>
            </w:pPr>
            <w:r>
              <w:rPr>
                <w:rFonts w:ascii="宋体"/>
                <w:w w:val="100"/>
                <w:sz w:val="20"/>
              </w:rPr>
              <w:t>2</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宋体" w:hAnsi="宋体" w:cs="宋体" w:eastAsia="宋体" w:hint="default"/>
                <w:sz w:val="20"/>
                <w:szCs w:val="20"/>
              </w:rPr>
            </w:pPr>
            <w:r>
              <w:rPr>
                <w:rFonts w:ascii="宋体" w:hAnsi="宋体" w:cs="宋体" w:eastAsia="宋体" w:hint="default"/>
                <w:sz w:val="20"/>
                <w:szCs w:val="20"/>
              </w:rPr>
              <w:t>UFIDA</w:t>
            </w:r>
            <w:r>
              <w:rPr>
                <w:rFonts w:ascii="宋体" w:hAnsi="宋体" w:cs="宋体" w:eastAsia="宋体" w:hint="default"/>
                <w:spacing w:val="-53"/>
                <w:sz w:val="20"/>
                <w:szCs w:val="20"/>
              </w:rPr>
              <w:t> </w:t>
            </w:r>
            <w:r>
              <w:rPr>
                <w:rFonts w:ascii="宋体" w:hAnsi="宋体" w:cs="宋体" w:eastAsia="宋体" w:hint="default"/>
                <w:sz w:val="20"/>
                <w:szCs w:val="20"/>
              </w:rPr>
              <w:t>用友</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宋体" w:hAnsi="宋体" w:cs="宋体" w:eastAsia="宋体" w:hint="default"/>
                <w:sz w:val="20"/>
                <w:szCs w:val="20"/>
              </w:rPr>
            </w:pPr>
            <w:r>
              <w:rPr>
                <w:rFonts w:ascii="宋体"/>
                <w:w w:val="100"/>
                <w:sz w:val="20"/>
              </w:rPr>
              <w:t>1</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715" w:right="0"/>
              <w:jc w:val="left"/>
              <w:rPr>
                <w:rFonts w:ascii="宋体" w:hAnsi="宋体" w:cs="宋体" w:eastAsia="宋体" w:hint="default"/>
                <w:sz w:val="20"/>
                <w:szCs w:val="20"/>
              </w:rPr>
            </w:pPr>
            <w:r>
              <w:rPr>
                <w:rFonts w:ascii="宋体"/>
                <w:sz w:val="20"/>
              </w:rPr>
              <w:t>4817313</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616" w:right="0"/>
              <w:jc w:val="left"/>
              <w:rPr>
                <w:rFonts w:ascii="宋体" w:hAnsi="宋体" w:cs="宋体" w:eastAsia="宋体" w:hint="default"/>
                <w:sz w:val="20"/>
                <w:szCs w:val="20"/>
              </w:rPr>
            </w:pPr>
            <w:r>
              <w:rPr>
                <w:rFonts w:ascii="宋体"/>
                <w:sz w:val="20"/>
              </w:rPr>
              <w:t>2009-2-14</w:t>
            </w:r>
          </w:p>
        </w:tc>
      </w:tr>
      <w:tr>
        <w:trPr>
          <w:trHeight w:val="445"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宋体" w:hAnsi="宋体" w:cs="宋体" w:eastAsia="宋体" w:hint="default"/>
                <w:sz w:val="20"/>
                <w:szCs w:val="20"/>
              </w:rPr>
            </w:pPr>
            <w:r>
              <w:rPr>
                <w:rFonts w:ascii="宋体"/>
                <w:w w:val="100"/>
                <w:sz w:val="20"/>
              </w:rPr>
              <w:t>3</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宋体" w:hAnsi="宋体" w:cs="宋体" w:eastAsia="宋体" w:hint="default"/>
                <w:sz w:val="20"/>
                <w:szCs w:val="20"/>
              </w:rPr>
            </w:pPr>
            <w:r>
              <w:rPr>
                <w:rFonts w:ascii="宋体" w:hAnsi="宋体" w:cs="宋体" w:eastAsia="宋体" w:hint="default"/>
                <w:sz w:val="20"/>
                <w:szCs w:val="20"/>
              </w:rPr>
              <w:t>UFIDA</w:t>
            </w:r>
            <w:r>
              <w:rPr>
                <w:rFonts w:ascii="宋体" w:hAnsi="宋体" w:cs="宋体" w:eastAsia="宋体" w:hint="default"/>
                <w:spacing w:val="-53"/>
                <w:sz w:val="20"/>
                <w:szCs w:val="20"/>
              </w:rPr>
              <w:t> </w:t>
            </w:r>
            <w:r>
              <w:rPr>
                <w:rFonts w:ascii="宋体" w:hAnsi="宋体" w:cs="宋体" w:eastAsia="宋体" w:hint="default"/>
                <w:sz w:val="20"/>
                <w:szCs w:val="20"/>
              </w:rPr>
              <w:t>用友</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宋体" w:hAnsi="宋体" w:cs="宋体" w:eastAsia="宋体" w:hint="default"/>
                <w:sz w:val="20"/>
                <w:szCs w:val="20"/>
              </w:rPr>
            </w:pPr>
            <w:r>
              <w:rPr>
                <w:rFonts w:ascii="宋体"/>
                <w:sz w:val="20"/>
              </w:rPr>
              <w:t>39</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715" w:right="0"/>
              <w:jc w:val="left"/>
              <w:rPr>
                <w:rFonts w:ascii="宋体" w:hAnsi="宋体" w:cs="宋体" w:eastAsia="宋体" w:hint="default"/>
                <w:sz w:val="20"/>
                <w:szCs w:val="20"/>
              </w:rPr>
            </w:pPr>
            <w:r>
              <w:rPr>
                <w:rFonts w:ascii="宋体"/>
                <w:sz w:val="20"/>
              </w:rPr>
              <w:t>4817312</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616" w:right="0"/>
              <w:jc w:val="left"/>
              <w:rPr>
                <w:rFonts w:ascii="宋体" w:hAnsi="宋体" w:cs="宋体" w:eastAsia="宋体" w:hint="default"/>
                <w:sz w:val="20"/>
                <w:szCs w:val="20"/>
              </w:rPr>
            </w:pPr>
            <w:r>
              <w:rPr>
                <w:rFonts w:ascii="宋体"/>
                <w:sz w:val="20"/>
              </w:rPr>
              <w:t>2009-2-14</w:t>
            </w:r>
          </w:p>
        </w:tc>
      </w:tr>
      <w:tr>
        <w:trPr>
          <w:trHeight w:val="444"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宋体" w:hAnsi="宋体" w:cs="宋体" w:eastAsia="宋体" w:hint="default"/>
                <w:sz w:val="20"/>
                <w:szCs w:val="20"/>
              </w:rPr>
            </w:pPr>
            <w:r>
              <w:rPr>
                <w:rFonts w:ascii="宋体"/>
                <w:w w:val="100"/>
                <w:sz w:val="20"/>
              </w:rPr>
              <w:t>4</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宋体" w:hAnsi="宋体" w:cs="宋体" w:eastAsia="宋体" w:hint="default"/>
                <w:sz w:val="20"/>
                <w:szCs w:val="20"/>
              </w:rPr>
            </w:pPr>
            <w:r>
              <w:rPr>
                <w:rFonts w:ascii="宋体" w:hAnsi="宋体" w:cs="宋体" w:eastAsia="宋体" w:hint="default"/>
                <w:sz w:val="20"/>
                <w:szCs w:val="20"/>
              </w:rPr>
              <w:t>UFIDA</w:t>
            </w:r>
            <w:r>
              <w:rPr>
                <w:rFonts w:ascii="宋体" w:hAnsi="宋体" w:cs="宋体" w:eastAsia="宋体" w:hint="default"/>
                <w:spacing w:val="-53"/>
                <w:sz w:val="20"/>
                <w:szCs w:val="20"/>
              </w:rPr>
              <w:t> </w:t>
            </w:r>
            <w:r>
              <w:rPr>
                <w:rFonts w:ascii="宋体" w:hAnsi="宋体" w:cs="宋体" w:eastAsia="宋体" w:hint="default"/>
                <w:sz w:val="20"/>
                <w:szCs w:val="20"/>
              </w:rPr>
              <w:t>用友</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宋体" w:hAnsi="宋体" w:cs="宋体" w:eastAsia="宋体" w:hint="default"/>
                <w:sz w:val="20"/>
                <w:szCs w:val="20"/>
              </w:rPr>
            </w:pPr>
            <w:r>
              <w:rPr>
                <w:rFonts w:ascii="宋体"/>
                <w:sz w:val="20"/>
              </w:rPr>
              <w:t>43</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715" w:right="0"/>
              <w:jc w:val="left"/>
              <w:rPr>
                <w:rFonts w:ascii="宋体" w:hAnsi="宋体" w:cs="宋体" w:eastAsia="宋体" w:hint="default"/>
                <w:sz w:val="20"/>
                <w:szCs w:val="20"/>
              </w:rPr>
            </w:pPr>
            <w:r>
              <w:rPr>
                <w:rFonts w:ascii="宋体"/>
                <w:sz w:val="20"/>
              </w:rPr>
              <w:t>4817334</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616" w:right="0"/>
              <w:jc w:val="left"/>
              <w:rPr>
                <w:rFonts w:ascii="宋体" w:hAnsi="宋体" w:cs="宋体" w:eastAsia="宋体" w:hint="default"/>
                <w:sz w:val="20"/>
                <w:szCs w:val="20"/>
              </w:rPr>
            </w:pPr>
            <w:r>
              <w:rPr>
                <w:rFonts w:ascii="宋体"/>
                <w:sz w:val="20"/>
              </w:rPr>
              <w:t>2009-3-28</w:t>
            </w:r>
          </w:p>
        </w:tc>
      </w:tr>
      <w:tr>
        <w:trPr>
          <w:trHeight w:val="445"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宋体" w:hAnsi="宋体" w:cs="宋体" w:eastAsia="宋体" w:hint="default"/>
                <w:sz w:val="20"/>
                <w:szCs w:val="20"/>
              </w:rPr>
            </w:pPr>
            <w:r>
              <w:rPr>
                <w:rFonts w:ascii="宋体"/>
                <w:w w:val="100"/>
                <w:sz w:val="20"/>
              </w:rPr>
              <w:t>5</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宋体" w:hAnsi="宋体" w:cs="宋体" w:eastAsia="宋体" w:hint="default"/>
                <w:sz w:val="20"/>
                <w:szCs w:val="20"/>
              </w:rPr>
            </w:pPr>
            <w:r>
              <w:rPr>
                <w:rFonts w:ascii="宋体" w:hAnsi="宋体" w:cs="宋体" w:eastAsia="宋体" w:hint="default"/>
                <w:sz w:val="20"/>
                <w:szCs w:val="20"/>
              </w:rPr>
              <w:t>UFIDA</w:t>
            </w:r>
            <w:r>
              <w:rPr>
                <w:rFonts w:ascii="宋体" w:hAnsi="宋体" w:cs="宋体" w:eastAsia="宋体" w:hint="default"/>
                <w:spacing w:val="-53"/>
                <w:sz w:val="20"/>
                <w:szCs w:val="20"/>
              </w:rPr>
              <w:t> </w:t>
            </w:r>
            <w:r>
              <w:rPr>
                <w:rFonts w:ascii="宋体" w:hAnsi="宋体" w:cs="宋体" w:eastAsia="宋体" w:hint="default"/>
                <w:sz w:val="20"/>
                <w:szCs w:val="20"/>
              </w:rPr>
              <w:t>用友</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宋体" w:hAnsi="宋体" w:cs="宋体" w:eastAsia="宋体" w:hint="default"/>
                <w:sz w:val="20"/>
                <w:szCs w:val="20"/>
              </w:rPr>
            </w:pPr>
            <w:r>
              <w:rPr>
                <w:rFonts w:ascii="宋体"/>
                <w:w w:val="100"/>
                <w:sz w:val="20"/>
              </w:rPr>
              <w:t>3</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715" w:right="0"/>
              <w:jc w:val="left"/>
              <w:rPr>
                <w:rFonts w:ascii="宋体" w:hAnsi="宋体" w:cs="宋体" w:eastAsia="宋体" w:hint="default"/>
                <w:sz w:val="20"/>
                <w:szCs w:val="20"/>
              </w:rPr>
            </w:pPr>
            <w:r>
              <w:rPr>
                <w:rFonts w:ascii="宋体"/>
                <w:sz w:val="20"/>
              </w:rPr>
              <w:t>4817315</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616" w:right="0"/>
              <w:jc w:val="left"/>
              <w:rPr>
                <w:rFonts w:ascii="宋体" w:hAnsi="宋体" w:cs="宋体" w:eastAsia="宋体" w:hint="default"/>
                <w:sz w:val="20"/>
                <w:szCs w:val="20"/>
              </w:rPr>
            </w:pPr>
            <w:r>
              <w:rPr>
                <w:rFonts w:ascii="宋体"/>
                <w:sz w:val="20"/>
              </w:rPr>
              <w:t>2009-4-14</w:t>
            </w:r>
          </w:p>
        </w:tc>
      </w:tr>
      <w:tr>
        <w:trPr>
          <w:trHeight w:val="445"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宋体" w:hAnsi="宋体" w:cs="宋体" w:eastAsia="宋体" w:hint="default"/>
                <w:sz w:val="20"/>
                <w:szCs w:val="20"/>
              </w:rPr>
            </w:pPr>
            <w:r>
              <w:rPr>
                <w:rFonts w:ascii="宋体"/>
                <w:w w:val="100"/>
                <w:sz w:val="20"/>
              </w:rPr>
              <w:t>6</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宋体" w:hAnsi="宋体" w:cs="宋体" w:eastAsia="宋体" w:hint="default"/>
                <w:sz w:val="20"/>
                <w:szCs w:val="20"/>
              </w:rPr>
            </w:pPr>
            <w:r>
              <w:rPr>
                <w:rFonts w:ascii="宋体" w:hAnsi="宋体" w:cs="宋体" w:eastAsia="宋体" w:hint="default"/>
                <w:sz w:val="20"/>
                <w:szCs w:val="20"/>
              </w:rPr>
              <w:t>UFIDA</w:t>
            </w:r>
            <w:r>
              <w:rPr>
                <w:rFonts w:ascii="宋体" w:hAnsi="宋体" w:cs="宋体" w:eastAsia="宋体" w:hint="default"/>
                <w:spacing w:val="-53"/>
                <w:sz w:val="20"/>
                <w:szCs w:val="20"/>
              </w:rPr>
              <w:t> </w:t>
            </w:r>
            <w:r>
              <w:rPr>
                <w:rFonts w:ascii="宋体" w:hAnsi="宋体" w:cs="宋体" w:eastAsia="宋体" w:hint="default"/>
                <w:sz w:val="20"/>
                <w:szCs w:val="20"/>
              </w:rPr>
              <w:t>用友</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宋体" w:hAnsi="宋体" w:cs="宋体" w:eastAsia="宋体" w:hint="default"/>
                <w:sz w:val="20"/>
                <w:szCs w:val="20"/>
              </w:rPr>
            </w:pPr>
            <w:r>
              <w:rPr>
                <w:rFonts w:ascii="宋体"/>
                <w:sz w:val="20"/>
              </w:rPr>
              <w:t>45</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715" w:right="0"/>
              <w:jc w:val="left"/>
              <w:rPr>
                <w:rFonts w:ascii="宋体" w:hAnsi="宋体" w:cs="宋体" w:eastAsia="宋体" w:hint="default"/>
                <w:sz w:val="20"/>
                <w:szCs w:val="20"/>
              </w:rPr>
            </w:pPr>
            <w:r>
              <w:rPr>
                <w:rFonts w:ascii="宋体"/>
                <w:sz w:val="20"/>
              </w:rPr>
              <w:t>4817335</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616" w:right="0"/>
              <w:jc w:val="left"/>
              <w:rPr>
                <w:rFonts w:ascii="宋体" w:hAnsi="宋体" w:cs="宋体" w:eastAsia="宋体" w:hint="default"/>
                <w:sz w:val="20"/>
                <w:szCs w:val="20"/>
              </w:rPr>
            </w:pPr>
            <w:r>
              <w:rPr>
                <w:rFonts w:ascii="宋体"/>
                <w:sz w:val="20"/>
              </w:rPr>
              <w:t>2009-3-28</w:t>
            </w:r>
          </w:p>
        </w:tc>
      </w:tr>
    </w:tbl>
    <w:p>
      <w:pPr>
        <w:spacing w:after="0" w:line="240" w:lineRule="auto"/>
        <w:jc w:val="left"/>
        <w:rPr>
          <w:rFonts w:ascii="宋体" w:hAnsi="宋体" w:cs="宋体" w:eastAsia="宋体" w:hint="default"/>
          <w:sz w:val="20"/>
          <w:szCs w:val="20"/>
        </w:rPr>
        <w:sectPr>
          <w:pgSz w:w="11910" w:h="16840"/>
          <w:pgMar w:header="0" w:footer="727" w:top="1080" w:bottom="920" w:left="1280" w:right="116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spacing w:line="310" w:lineRule="exact" w:before="58"/>
        <w:ind w:left="138" w:right="0" w:firstLine="0"/>
        <w:jc w:val="left"/>
        <w:rPr>
          <w:rFonts w:ascii="宋体" w:hAnsi="宋体" w:cs="宋体" w:eastAsia="宋体" w:hint="default"/>
          <w:sz w:val="24"/>
          <w:szCs w:val="24"/>
        </w:rPr>
      </w:pPr>
      <w:r>
        <w:rPr>
          <w:rFonts w:ascii="宋体" w:hAnsi="宋体" w:cs="宋体" w:eastAsia="宋体" w:hint="default"/>
          <w:spacing w:val="-6"/>
          <w:sz w:val="24"/>
          <w:szCs w:val="24"/>
        </w:rPr>
        <w:t>2、报告期内，公司根据《计算机软件保护条例》及《计算机软件著作权登记办法》规定，</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经中华人民共和国国家版权局批准，获得如下软件著作权：</w:t>
      </w:r>
    </w:p>
    <w:p>
      <w:pPr>
        <w:spacing w:line="240" w:lineRule="auto" w:before="11"/>
        <w:rPr>
          <w:rFonts w:ascii="宋体" w:hAnsi="宋体" w:cs="宋体" w:eastAsia="宋体" w:hint="default"/>
          <w:sz w:val="9"/>
          <w:szCs w:val="9"/>
        </w:rPr>
      </w:pPr>
    </w:p>
    <w:tbl>
      <w:tblPr>
        <w:tblW w:w="0" w:type="auto"/>
        <w:jc w:val="left"/>
        <w:tblInd w:w="128" w:type="dxa"/>
        <w:tblLayout w:type="fixed"/>
        <w:tblCellMar>
          <w:top w:w="0" w:type="dxa"/>
          <w:left w:w="0" w:type="dxa"/>
          <w:bottom w:w="0" w:type="dxa"/>
          <w:right w:w="0" w:type="dxa"/>
        </w:tblCellMar>
        <w:tblLook w:val="01E0"/>
      </w:tblPr>
      <w:tblGrid>
        <w:gridCol w:w="641"/>
        <w:gridCol w:w="1534"/>
        <w:gridCol w:w="1020"/>
        <w:gridCol w:w="1116"/>
        <w:gridCol w:w="1418"/>
        <w:gridCol w:w="1237"/>
        <w:gridCol w:w="1237"/>
        <w:gridCol w:w="716"/>
      </w:tblGrid>
      <w:tr>
        <w:trPr>
          <w:trHeight w:val="52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hAnsi="宋体" w:cs="宋体" w:eastAsia="宋体" w:hint="default"/>
                <w:b/>
                <w:bCs/>
                <w:sz w:val="20"/>
                <w:szCs w:val="20"/>
              </w:rPr>
              <w:t>序号</w:t>
            </w:r>
            <w:r>
              <w:rPr>
                <w:rFonts w:ascii="宋体" w:hAnsi="宋体" w:cs="宋体" w:eastAsia="宋体" w:hint="default"/>
                <w:sz w:val="20"/>
                <w:szCs w:val="20"/>
              </w:rPr>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hAnsi="宋体" w:cs="宋体" w:eastAsia="宋体" w:hint="default"/>
                <w:b/>
                <w:bCs/>
                <w:sz w:val="20"/>
                <w:szCs w:val="20"/>
              </w:rPr>
              <w:t>软件名称</w:t>
            </w:r>
            <w:r>
              <w:rPr>
                <w:rFonts w:ascii="宋体" w:hAnsi="宋体" w:cs="宋体" w:eastAsia="宋体" w:hint="default"/>
                <w:sz w:val="20"/>
                <w:szCs w:val="20"/>
              </w:rPr>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b/>
                <w:bCs/>
                <w:sz w:val="20"/>
                <w:szCs w:val="20"/>
              </w:rPr>
              <w:t>产品简</w:t>
            </w:r>
            <w:r>
              <w:rPr>
                <w:rFonts w:ascii="宋体" w:hAnsi="宋体" w:cs="宋体" w:eastAsia="宋体" w:hint="default"/>
                <w:sz w:val="20"/>
                <w:szCs w:val="20"/>
              </w:rPr>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b/>
                <w:bCs/>
                <w:w w:val="99"/>
                <w:sz w:val="20"/>
                <w:szCs w:val="20"/>
              </w:rPr>
              <w:t>称</w:t>
            </w:r>
            <w:r>
              <w:rPr>
                <w:rFonts w:ascii="宋体" w:hAnsi="宋体" w:cs="宋体" w:eastAsia="宋体" w:hint="default"/>
                <w:sz w:val="20"/>
                <w:szCs w:val="20"/>
              </w:rPr>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hAnsi="宋体" w:cs="宋体" w:eastAsia="宋体" w:hint="default"/>
                <w:b/>
                <w:bCs/>
                <w:sz w:val="20"/>
                <w:szCs w:val="20"/>
              </w:rPr>
              <w:t>版本号</w:t>
            </w:r>
            <w:r>
              <w:rPr>
                <w:rFonts w:ascii="宋体" w:hAnsi="宋体" w:cs="宋体" w:eastAsia="宋体" w:hint="default"/>
                <w:sz w:val="20"/>
                <w:szCs w:val="20"/>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hAnsi="宋体" w:cs="宋体" w:eastAsia="宋体" w:hint="default"/>
                <w:b/>
                <w:bCs/>
                <w:sz w:val="20"/>
                <w:szCs w:val="20"/>
              </w:rPr>
              <w:t>登记号</w:t>
            </w:r>
            <w:r>
              <w:rPr>
                <w:rFonts w:ascii="宋体" w:hAnsi="宋体" w:cs="宋体" w:eastAsia="宋体" w:hint="default"/>
                <w:sz w:val="20"/>
                <w:szCs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16"/>
              <w:jc w:val="right"/>
              <w:rPr>
                <w:rFonts w:ascii="宋体" w:hAnsi="宋体" w:cs="宋体" w:eastAsia="宋体" w:hint="default"/>
                <w:sz w:val="20"/>
                <w:szCs w:val="20"/>
              </w:rPr>
            </w:pPr>
            <w:r>
              <w:rPr>
                <w:rFonts w:ascii="宋体" w:hAnsi="宋体" w:cs="宋体" w:eastAsia="宋体" w:hint="default"/>
                <w:b/>
                <w:bCs/>
                <w:sz w:val="20"/>
                <w:szCs w:val="20"/>
              </w:rPr>
              <w:t>登记批准日</w:t>
            </w:r>
            <w:r>
              <w:rPr>
                <w:rFonts w:ascii="宋体" w:hAnsi="宋体" w:cs="宋体" w:eastAsia="宋体" w:hint="default"/>
                <w:sz w:val="20"/>
                <w:szCs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16"/>
              <w:jc w:val="right"/>
              <w:rPr>
                <w:rFonts w:ascii="宋体" w:hAnsi="宋体" w:cs="宋体" w:eastAsia="宋体" w:hint="default"/>
                <w:sz w:val="20"/>
                <w:szCs w:val="20"/>
              </w:rPr>
            </w:pPr>
            <w:r>
              <w:rPr>
                <w:rFonts w:ascii="宋体" w:hAnsi="宋体" w:cs="宋体" w:eastAsia="宋体" w:hint="default"/>
                <w:b/>
                <w:bCs/>
                <w:sz w:val="20"/>
                <w:szCs w:val="20"/>
              </w:rPr>
              <w:t>权利起算日</w:t>
            </w:r>
            <w:r>
              <w:rPr>
                <w:rFonts w:ascii="宋体" w:hAnsi="宋体" w:cs="宋体" w:eastAsia="宋体" w:hint="default"/>
                <w:sz w:val="20"/>
                <w:szCs w:val="20"/>
              </w:rPr>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b/>
                <w:bCs/>
                <w:sz w:val="20"/>
                <w:szCs w:val="20"/>
              </w:rPr>
              <w:t>备注</w:t>
            </w:r>
            <w:r>
              <w:rPr>
                <w:rFonts w:ascii="宋体" w:hAnsi="宋体" w:cs="宋体" w:eastAsia="宋体" w:hint="default"/>
                <w:sz w:val="20"/>
                <w:szCs w:val="20"/>
              </w:rPr>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w w:val="100"/>
                <w:sz w:val="20"/>
              </w:rPr>
              <w:t>1</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2"/>
                <w:sz w:val="20"/>
                <w:szCs w:val="20"/>
              </w:rPr>
              <w:t> </w:t>
            </w:r>
            <w:r>
              <w:rPr>
                <w:rFonts w:ascii="宋体" w:hAnsi="宋体" w:cs="宋体" w:eastAsia="宋体" w:hint="default"/>
                <w:sz w:val="20"/>
                <w:szCs w:val="20"/>
              </w:rPr>
              <w:t>ERP-U8</w:t>
            </w:r>
            <w:r>
              <w:rPr>
                <w:rFonts w:ascii="宋体" w:hAnsi="宋体" w:cs="宋体" w:eastAsia="宋体" w:hint="default"/>
                <w:spacing w:val="-52"/>
                <w:sz w:val="20"/>
                <w:szCs w:val="20"/>
              </w:rPr>
              <w:t> </w:t>
            </w:r>
            <w:r>
              <w:rPr>
                <w:rFonts w:ascii="宋体" w:hAnsi="宋体" w:cs="宋体" w:eastAsia="宋体" w:hint="default"/>
                <w:sz w:val="20"/>
                <w:szCs w:val="20"/>
              </w:rPr>
              <w:t>管</w:t>
            </w:r>
          </w:p>
          <w:p>
            <w:pPr>
              <w:pStyle w:val="TableParagraph"/>
              <w:spacing w:line="261" w:lineRule="exact"/>
              <w:ind w:left="103" w:right="0"/>
              <w:jc w:val="left"/>
              <w:rPr>
                <w:rFonts w:ascii="宋体" w:hAnsi="宋体" w:cs="宋体" w:eastAsia="宋体" w:hint="default"/>
                <w:sz w:val="20"/>
                <w:szCs w:val="20"/>
              </w:rPr>
            </w:pPr>
            <w:r>
              <w:rPr>
                <w:rFonts w:ascii="宋体" w:hAnsi="宋体" w:cs="宋体" w:eastAsia="宋体" w:hint="default"/>
                <w:sz w:val="20"/>
                <w:szCs w:val="20"/>
              </w:rPr>
              <w:t>理软件</w:t>
            </w:r>
          </w:p>
        </w:tc>
        <w:tc>
          <w:tcPr>
            <w:tcW w:w="1020"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V8.72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2009SR00768</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2009-1-6</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2008-11-20</w:t>
            </w:r>
            <w:r>
              <w:rPr>
                <w:rFonts w:ascii="宋体"/>
                <w:sz w:val="20"/>
              </w:rPr>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5"/>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78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0"/>
                <w:szCs w:val="20"/>
              </w:rPr>
            </w:pPr>
            <w:r>
              <w:rPr>
                <w:rFonts w:ascii="宋体"/>
                <w:w w:val="100"/>
                <w:sz w:val="20"/>
              </w:rPr>
              <w:t>2</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100"/>
              <w:jc w:val="left"/>
              <w:rPr>
                <w:rFonts w:ascii="宋体" w:hAnsi="宋体" w:cs="宋体" w:eastAsia="宋体" w:hint="default"/>
                <w:sz w:val="20"/>
                <w:szCs w:val="20"/>
              </w:rPr>
            </w:pPr>
            <w:r>
              <w:rPr>
                <w:rFonts w:ascii="宋体" w:hAnsi="宋体" w:cs="宋体" w:eastAsia="宋体" w:hint="default"/>
                <w:sz w:val="20"/>
                <w:szCs w:val="20"/>
              </w:rPr>
              <w:t>Turbo</w:t>
            </w:r>
            <w:r>
              <w:rPr>
                <w:rFonts w:ascii="宋体" w:hAnsi="宋体" w:cs="宋体" w:eastAsia="宋体" w:hint="default"/>
                <w:spacing w:val="-35"/>
                <w:sz w:val="20"/>
                <w:szCs w:val="20"/>
              </w:rPr>
              <w:t> </w:t>
            </w:r>
            <w:r>
              <w:rPr>
                <w:rFonts w:ascii="宋体" w:hAnsi="宋体" w:cs="宋体" w:eastAsia="宋体" w:hint="default"/>
                <w:sz w:val="20"/>
                <w:szCs w:val="20"/>
              </w:rPr>
              <w:t>CRM</w:t>
            </w:r>
            <w:r>
              <w:rPr>
                <w:rFonts w:ascii="宋体" w:hAnsi="宋体" w:cs="宋体" w:eastAsia="宋体" w:hint="default"/>
                <w:spacing w:val="-51"/>
                <w:sz w:val="20"/>
                <w:szCs w:val="20"/>
              </w:rPr>
              <w:t> </w:t>
            </w:r>
            <w:r>
              <w:rPr>
                <w:rFonts w:ascii="宋体" w:hAnsi="宋体" w:cs="宋体" w:eastAsia="宋体" w:hint="default"/>
                <w:sz w:val="20"/>
                <w:szCs w:val="20"/>
              </w:rPr>
              <w:t>客户</w:t>
            </w:r>
            <w:r>
              <w:rPr>
                <w:rFonts w:ascii="宋体" w:hAnsi="宋体" w:cs="宋体" w:eastAsia="宋体" w:hint="default"/>
                <w:spacing w:val="-1"/>
                <w:w w:val="100"/>
                <w:sz w:val="20"/>
                <w:szCs w:val="20"/>
              </w:rPr>
              <w:t> </w:t>
            </w:r>
            <w:r>
              <w:rPr>
                <w:rFonts w:ascii="宋体" w:hAnsi="宋体" w:cs="宋体" w:eastAsia="宋体" w:hint="default"/>
                <w:sz w:val="20"/>
                <w:szCs w:val="20"/>
              </w:rPr>
              <w:t>关系管理系统</w:t>
            </w:r>
          </w:p>
        </w:tc>
        <w:tc>
          <w:tcPr>
            <w:tcW w:w="1020"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sz w:val="20"/>
              </w:rPr>
              <w:t>V1.0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sz w:val="20"/>
              </w:rPr>
              <w:t>2009SR00762</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0"/>
                <w:szCs w:val="20"/>
              </w:rPr>
            </w:pPr>
            <w:r>
              <w:rPr>
                <w:rFonts w:ascii="宋体"/>
                <w:spacing w:val="-1"/>
                <w:sz w:val="20"/>
              </w:rPr>
              <w:t>2009-1-6</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2"/>
              <w:jc w:val="right"/>
              <w:rPr>
                <w:rFonts w:ascii="宋体" w:hAnsi="宋体" w:cs="宋体" w:eastAsia="宋体" w:hint="default"/>
                <w:sz w:val="20"/>
                <w:szCs w:val="20"/>
              </w:rPr>
            </w:pPr>
            <w:r>
              <w:rPr>
                <w:rFonts w:ascii="宋体"/>
                <w:spacing w:val="-1"/>
                <w:sz w:val="20"/>
              </w:rPr>
              <w:t>2000-12-8</w:t>
            </w:r>
            <w:r>
              <w:rPr>
                <w:rFonts w:ascii="宋体"/>
                <w:sz w:val="20"/>
              </w:rPr>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特博</w:t>
            </w:r>
          </w:p>
          <w:p>
            <w:pPr>
              <w:pStyle w:val="TableParagraph"/>
              <w:spacing w:line="260" w:lineRule="exact" w:before="24"/>
              <w:ind w:left="103" w:right="200"/>
              <w:jc w:val="left"/>
              <w:rPr>
                <w:rFonts w:ascii="宋体" w:hAnsi="宋体" w:cs="宋体" w:eastAsia="宋体" w:hint="default"/>
                <w:sz w:val="20"/>
                <w:szCs w:val="20"/>
              </w:rPr>
            </w:pPr>
            <w:r>
              <w:rPr>
                <w:rFonts w:ascii="宋体" w:hAnsi="宋体" w:cs="宋体" w:eastAsia="宋体" w:hint="default"/>
                <w:sz w:val="20"/>
                <w:szCs w:val="20"/>
              </w:rPr>
              <w:t>深转</w:t>
            </w:r>
            <w:r>
              <w:rPr>
                <w:rFonts w:ascii="宋体" w:hAnsi="宋体" w:cs="宋体" w:eastAsia="宋体" w:hint="default"/>
                <w:w w:val="100"/>
                <w:sz w:val="20"/>
                <w:szCs w:val="20"/>
              </w:rPr>
              <w:t> </w:t>
            </w:r>
            <w:r>
              <w:rPr>
                <w:rFonts w:ascii="宋体" w:hAnsi="宋体" w:cs="宋体" w:eastAsia="宋体" w:hint="default"/>
                <w:sz w:val="20"/>
                <w:szCs w:val="20"/>
              </w:rPr>
              <w:t>入</w:t>
            </w:r>
          </w:p>
        </w:tc>
      </w:tr>
      <w:tr>
        <w:trPr>
          <w:trHeight w:val="78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0"/>
                <w:szCs w:val="20"/>
              </w:rPr>
            </w:pPr>
            <w:r>
              <w:rPr>
                <w:rFonts w:ascii="宋体"/>
                <w:w w:val="100"/>
                <w:sz w:val="20"/>
              </w:rPr>
              <w:t>3</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217"/>
              <w:jc w:val="left"/>
              <w:rPr>
                <w:rFonts w:ascii="宋体" w:hAnsi="宋体" w:cs="宋体" w:eastAsia="宋体" w:hint="default"/>
                <w:sz w:val="20"/>
                <w:szCs w:val="20"/>
              </w:rPr>
            </w:pPr>
            <w:r>
              <w:rPr>
                <w:rFonts w:ascii="宋体" w:hAnsi="宋体" w:cs="宋体" w:eastAsia="宋体" w:hint="default"/>
                <w:sz w:val="20"/>
                <w:szCs w:val="20"/>
              </w:rPr>
              <w:t>客</w:t>
            </w:r>
            <w:r>
              <w:rPr>
                <w:rFonts w:ascii="宋体" w:hAnsi="宋体" w:cs="宋体" w:eastAsia="宋体" w:hint="default"/>
                <w:spacing w:val="-51"/>
                <w:sz w:val="20"/>
                <w:szCs w:val="20"/>
              </w:rPr>
              <w:t> </w:t>
            </w:r>
            <w:r>
              <w:rPr>
                <w:rFonts w:ascii="宋体" w:hAnsi="宋体" w:cs="宋体" w:eastAsia="宋体" w:hint="default"/>
                <w:sz w:val="20"/>
                <w:szCs w:val="20"/>
              </w:rPr>
              <w:t>e</w:t>
            </w:r>
            <w:r>
              <w:rPr>
                <w:rFonts w:ascii="宋体" w:hAnsi="宋体" w:cs="宋体" w:eastAsia="宋体" w:hint="default"/>
                <w:spacing w:val="-50"/>
                <w:sz w:val="20"/>
                <w:szCs w:val="20"/>
              </w:rPr>
              <w:t> </w:t>
            </w:r>
            <w:r>
              <w:rPr>
                <w:rFonts w:ascii="宋体" w:hAnsi="宋体" w:cs="宋体" w:eastAsia="宋体" w:hint="default"/>
                <w:sz w:val="20"/>
                <w:szCs w:val="20"/>
              </w:rPr>
              <w:t>通客户管</w:t>
            </w:r>
            <w:r>
              <w:rPr>
                <w:rFonts w:ascii="宋体" w:hAnsi="宋体" w:cs="宋体" w:eastAsia="宋体" w:hint="default"/>
                <w:w w:val="100"/>
                <w:sz w:val="20"/>
                <w:szCs w:val="20"/>
              </w:rPr>
              <w:t> </w:t>
            </w:r>
            <w:r>
              <w:rPr>
                <w:rFonts w:ascii="宋体" w:hAnsi="宋体" w:cs="宋体" w:eastAsia="宋体" w:hint="default"/>
                <w:sz w:val="20"/>
                <w:szCs w:val="20"/>
              </w:rPr>
              <w:t>理软件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客</w:t>
            </w:r>
            <w:r>
              <w:rPr>
                <w:rFonts w:ascii="宋体" w:hAnsi="宋体" w:cs="宋体" w:eastAsia="宋体" w:hint="default"/>
                <w:spacing w:val="-51"/>
                <w:sz w:val="20"/>
                <w:szCs w:val="20"/>
              </w:rPr>
              <w:t> </w:t>
            </w:r>
            <w:r>
              <w:rPr>
                <w:rFonts w:ascii="宋体" w:hAnsi="宋体" w:cs="宋体" w:eastAsia="宋体" w:hint="default"/>
                <w:sz w:val="20"/>
                <w:szCs w:val="20"/>
              </w:rPr>
              <w:t>e</w:t>
            </w:r>
            <w:r>
              <w:rPr>
                <w:rFonts w:ascii="宋体" w:hAnsi="宋体" w:cs="宋体" w:eastAsia="宋体" w:hint="default"/>
                <w:spacing w:val="-50"/>
                <w:sz w:val="20"/>
                <w:szCs w:val="20"/>
              </w:rPr>
              <w:t> </w:t>
            </w:r>
            <w:r>
              <w:rPr>
                <w:rFonts w:ascii="宋体" w:hAnsi="宋体" w:cs="宋体" w:eastAsia="宋体" w:hint="default"/>
                <w:sz w:val="20"/>
                <w:szCs w:val="20"/>
              </w:rPr>
              <w:t>通</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2" w:right="0"/>
              <w:jc w:val="left"/>
              <w:rPr>
                <w:rFonts w:ascii="宋体" w:hAnsi="宋体" w:cs="宋体" w:eastAsia="宋体" w:hint="default"/>
                <w:sz w:val="20"/>
                <w:szCs w:val="20"/>
              </w:rPr>
            </w:pPr>
            <w:r>
              <w:rPr>
                <w:rFonts w:ascii="宋体"/>
                <w:sz w:val="20"/>
              </w:rPr>
              <w:t>V1.0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2" w:right="0"/>
              <w:jc w:val="left"/>
              <w:rPr>
                <w:rFonts w:ascii="宋体" w:hAnsi="宋体" w:cs="宋体" w:eastAsia="宋体" w:hint="default"/>
                <w:sz w:val="20"/>
                <w:szCs w:val="20"/>
              </w:rPr>
            </w:pPr>
            <w:r>
              <w:rPr>
                <w:rFonts w:ascii="宋体"/>
                <w:sz w:val="20"/>
              </w:rPr>
              <w:t>2009SR00764</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0"/>
                <w:szCs w:val="20"/>
              </w:rPr>
            </w:pPr>
            <w:r>
              <w:rPr>
                <w:rFonts w:ascii="宋体"/>
                <w:spacing w:val="-1"/>
                <w:sz w:val="20"/>
              </w:rPr>
              <w:t>2009-1-6</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0"/>
                <w:szCs w:val="20"/>
              </w:rPr>
            </w:pPr>
            <w:r>
              <w:rPr>
                <w:rFonts w:ascii="宋体"/>
                <w:spacing w:val="-1"/>
                <w:sz w:val="20"/>
              </w:rPr>
              <w:t>2005-8-1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特博</w:t>
            </w:r>
          </w:p>
          <w:p>
            <w:pPr>
              <w:pStyle w:val="TableParagraph"/>
              <w:spacing w:line="260" w:lineRule="exact" w:before="24"/>
              <w:ind w:left="103" w:right="200"/>
              <w:jc w:val="left"/>
              <w:rPr>
                <w:rFonts w:ascii="宋体" w:hAnsi="宋体" w:cs="宋体" w:eastAsia="宋体" w:hint="default"/>
                <w:sz w:val="20"/>
                <w:szCs w:val="20"/>
              </w:rPr>
            </w:pPr>
            <w:r>
              <w:rPr>
                <w:rFonts w:ascii="宋体" w:hAnsi="宋体" w:cs="宋体" w:eastAsia="宋体" w:hint="default"/>
                <w:sz w:val="20"/>
                <w:szCs w:val="20"/>
              </w:rPr>
              <w:t>深转</w:t>
            </w:r>
            <w:r>
              <w:rPr>
                <w:rFonts w:ascii="宋体" w:hAnsi="宋体" w:cs="宋体" w:eastAsia="宋体" w:hint="default"/>
                <w:w w:val="100"/>
                <w:sz w:val="20"/>
                <w:szCs w:val="20"/>
              </w:rPr>
              <w:t> </w:t>
            </w:r>
            <w:r>
              <w:rPr>
                <w:rFonts w:ascii="宋体" w:hAnsi="宋体" w:cs="宋体" w:eastAsia="宋体" w:hint="default"/>
                <w:sz w:val="20"/>
                <w:szCs w:val="20"/>
              </w:rPr>
              <w:t>入</w:t>
            </w:r>
          </w:p>
        </w:tc>
      </w:tr>
      <w:tr>
        <w:trPr>
          <w:trHeight w:val="787"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0"/>
                <w:szCs w:val="20"/>
              </w:rPr>
            </w:pPr>
            <w:r>
              <w:rPr>
                <w:rFonts w:ascii="宋体"/>
                <w:w w:val="100"/>
                <w:sz w:val="20"/>
              </w:rPr>
              <w:t>4</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217"/>
              <w:jc w:val="left"/>
              <w:rPr>
                <w:rFonts w:ascii="宋体" w:hAnsi="宋体" w:cs="宋体" w:eastAsia="宋体" w:hint="default"/>
                <w:sz w:val="20"/>
                <w:szCs w:val="20"/>
              </w:rPr>
            </w:pPr>
            <w:r>
              <w:rPr>
                <w:rFonts w:ascii="宋体" w:hAnsi="宋体" w:cs="宋体" w:eastAsia="宋体" w:hint="default"/>
                <w:sz w:val="20"/>
                <w:szCs w:val="20"/>
              </w:rPr>
              <w:t>客易通营销版</w:t>
            </w:r>
            <w:r>
              <w:rPr>
                <w:rFonts w:ascii="宋体" w:hAnsi="宋体" w:cs="宋体" w:eastAsia="宋体" w:hint="default"/>
                <w:w w:val="100"/>
                <w:sz w:val="20"/>
                <w:szCs w:val="20"/>
              </w:rPr>
              <w:t> </w:t>
            </w:r>
            <w:r>
              <w:rPr>
                <w:rFonts w:ascii="宋体" w:hAnsi="宋体" w:cs="宋体" w:eastAsia="宋体" w:hint="default"/>
                <w:sz w:val="20"/>
                <w:szCs w:val="20"/>
              </w:rPr>
              <w:t>客户管理软件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103"/>
              <w:jc w:val="left"/>
              <w:rPr>
                <w:rFonts w:ascii="宋体" w:hAnsi="宋体" w:cs="宋体" w:eastAsia="宋体" w:hint="default"/>
                <w:sz w:val="20"/>
                <w:szCs w:val="20"/>
              </w:rPr>
            </w:pPr>
            <w:r>
              <w:rPr>
                <w:rFonts w:ascii="宋体" w:hAnsi="宋体" w:cs="宋体" w:eastAsia="宋体" w:hint="default"/>
                <w:sz w:val="20"/>
                <w:szCs w:val="20"/>
              </w:rPr>
              <w:t>客易通营</w:t>
            </w:r>
            <w:r>
              <w:rPr>
                <w:rFonts w:ascii="宋体" w:hAnsi="宋体" w:cs="宋体" w:eastAsia="宋体" w:hint="default"/>
                <w:w w:val="100"/>
                <w:sz w:val="20"/>
                <w:szCs w:val="20"/>
              </w:rPr>
              <w:t> </w:t>
            </w:r>
            <w:r>
              <w:rPr>
                <w:rFonts w:ascii="宋体" w:hAnsi="宋体" w:cs="宋体" w:eastAsia="宋体" w:hint="default"/>
                <w:sz w:val="20"/>
                <w:szCs w:val="20"/>
              </w:rPr>
              <w:t>销版</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sz w:val="20"/>
              </w:rPr>
              <w:t>V5.1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sz w:val="20"/>
              </w:rPr>
              <w:t>2009SR00765</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0"/>
                <w:szCs w:val="20"/>
              </w:rPr>
            </w:pPr>
            <w:r>
              <w:rPr>
                <w:rFonts w:ascii="宋体"/>
                <w:spacing w:val="-1"/>
                <w:sz w:val="20"/>
              </w:rPr>
              <w:t>2009-1-6</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2"/>
              <w:jc w:val="right"/>
              <w:rPr>
                <w:rFonts w:ascii="宋体" w:hAnsi="宋体" w:cs="宋体" w:eastAsia="宋体" w:hint="default"/>
                <w:sz w:val="20"/>
                <w:szCs w:val="20"/>
              </w:rPr>
            </w:pPr>
            <w:r>
              <w:rPr>
                <w:rFonts w:ascii="宋体"/>
                <w:spacing w:val="-1"/>
                <w:sz w:val="20"/>
              </w:rPr>
              <w:t>2008-6-10</w:t>
            </w:r>
            <w:r>
              <w:rPr>
                <w:rFonts w:ascii="宋体"/>
                <w:sz w:val="20"/>
              </w:rPr>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特博</w:t>
            </w:r>
          </w:p>
          <w:p>
            <w:pPr>
              <w:pStyle w:val="TableParagraph"/>
              <w:spacing w:line="260" w:lineRule="exact" w:before="24"/>
              <w:ind w:left="103" w:right="200"/>
              <w:jc w:val="left"/>
              <w:rPr>
                <w:rFonts w:ascii="宋体" w:hAnsi="宋体" w:cs="宋体" w:eastAsia="宋体" w:hint="default"/>
                <w:sz w:val="20"/>
                <w:szCs w:val="20"/>
              </w:rPr>
            </w:pPr>
            <w:r>
              <w:rPr>
                <w:rFonts w:ascii="宋体" w:hAnsi="宋体" w:cs="宋体" w:eastAsia="宋体" w:hint="default"/>
                <w:sz w:val="20"/>
                <w:szCs w:val="20"/>
              </w:rPr>
              <w:t>深转</w:t>
            </w:r>
            <w:r>
              <w:rPr>
                <w:rFonts w:ascii="宋体" w:hAnsi="宋体" w:cs="宋体" w:eastAsia="宋体" w:hint="default"/>
                <w:w w:val="100"/>
                <w:sz w:val="20"/>
                <w:szCs w:val="20"/>
              </w:rPr>
              <w:t> </w:t>
            </w:r>
            <w:r>
              <w:rPr>
                <w:rFonts w:ascii="宋体" w:hAnsi="宋体" w:cs="宋体" w:eastAsia="宋体" w:hint="default"/>
                <w:sz w:val="20"/>
                <w:szCs w:val="20"/>
              </w:rPr>
              <w:t>入</w:t>
            </w:r>
          </w:p>
        </w:tc>
      </w:tr>
      <w:tr>
        <w:trPr>
          <w:trHeight w:val="78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0"/>
                <w:szCs w:val="20"/>
              </w:rPr>
            </w:pPr>
            <w:r>
              <w:rPr>
                <w:rFonts w:ascii="宋体"/>
                <w:w w:val="100"/>
                <w:sz w:val="20"/>
              </w:rPr>
              <w:t>5</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217"/>
              <w:jc w:val="left"/>
              <w:rPr>
                <w:rFonts w:ascii="宋体" w:hAnsi="宋体" w:cs="宋体" w:eastAsia="宋体" w:hint="default"/>
                <w:sz w:val="20"/>
                <w:szCs w:val="20"/>
              </w:rPr>
            </w:pPr>
            <w:r>
              <w:rPr>
                <w:rFonts w:ascii="宋体" w:hAnsi="宋体" w:cs="宋体" w:eastAsia="宋体" w:hint="default"/>
                <w:sz w:val="20"/>
                <w:szCs w:val="20"/>
              </w:rPr>
              <w:t>客</w:t>
            </w:r>
            <w:r>
              <w:rPr>
                <w:rFonts w:ascii="宋体" w:hAnsi="宋体" w:cs="宋体" w:eastAsia="宋体" w:hint="default"/>
                <w:spacing w:val="-51"/>
                <w:sz w:val="20"/>
                <w:szCs w:val="20"/>
              </w:rPr>
              <w:t> </w:t>
            </w:r>
            <w:r>
              <w:rPr>
                <w:rFonts w:ascii="宋体" w:hAnsi="宋体" w:cs="宋体" w:eastAsia="宋体" w:hint="default"/>
                <w:sz w:val="20"/>
                <w:szCs w:val="20"/>
              </w:rPr>
              <w:t>e</w:t>
            </w:r>
            <w:r>
              <w:rPr>
                <w:rFonts w:ascii="宋体" w:hAnsi="宋体" w:cs="宋体" w:eastAsia="宋体" w:hint="default"/>
                <w:spacing w:val="-50"/>
                <w:sz w:val="20"/>
                <w:szCs w:val="20"/>
              </w:rPr>
              <w:t> </w:t>
            </w:r>
            <w:r>
              <w:rPr>
                <w:rFonts w:ascii="宋体" w:hAnsi="宋体" w:cs="宋体" w:eastAsia="宋体" w:hint="default"/>
                <w:sz w:val="20"/>
                <w:szCs w:val="20"/>
              </w:rPr>
              <w:t>通客户管</w:t>
            </w:r>
            <w:r>
              <w:rPr>
                <w:rFonts w:ascii="宋体" w:hAnsi="宋体" w:cs="宋体" w:eastAsia="宋体" w:hint="default"/>
                <w:w w:val="100"/>
                <w:sz w:val="20"/>
                <w:szCs w:val="20"/>
              </w:rPr>
              <w:t> </w:t>
            </w:r>
            <w:r>
              <w:rPr>
                <w:rFonts w:ascii="宋体" w:hAnsi="宋体" w:cs="宋体" w:eastAsia="宋体" w:hint="default"/>
                <w:sz w:val="20"/>
                <w:szCs w:val="20"/>
              </w:rPr>
              <w:t>理软件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客</w:t>
            </w:r>
            <w:r>
              <w:rPr>
                <w:rFonts w:ascii="宋体" w:hAnsi="宋体" w:cs="宋体" w:eastAsia="宋体" w:hint="default"/>
                <w:spacing w:val="-51"/>
                <w:sz w:val="20"/>
                <w:szCs w:val="20"/>
              </w:rPr>
              <w:t> </w:t>
            </w:r>
            <w:r>
              <w:rPr>
                <w:rFonts w:ascii="宋体" w:hAnsi="宋体" w:cs="宋体" w:eastAsia="宋体" w:hint="default"/>
                <w:sz w:val="20"/>
                <w:szCs w:val="20"/>
              </w:rPr>
              <w:t>e</w:t>
            </w:r>
            <w:r>
              <w:rPr>
                <w:rFonts w:ascii="宋体" w:hAnsi="宋体" w:cs="宋体" w:eastAsia="宋体" w:hint="default"/>
                <w:spacing w:val="-50"/>
                <w:sz w:val="20"/>
                <w:szCs w:val="20"/>
              </w:rPr>
              <w:t> </w:t>
            </w:r>
            <w:r>
              <w:rPr>
                <w:rFonts w:ascii="宋体" w:hAnsi="宋体" w:cs="宋体" w:eastAsia="宋体" w:hint="default"/>
                <w:sz w:val="20"/>
                <w:szCs w:val="20"/>
              </w:rPr>
              <w:t>通</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2" w:right="0"/>
              <w:jc w:val="left"/>
              <w:rPr>
                <w:rFonts w:ascii="宋体" w:hAnsi="宋体" w:cs="宋体" w:eastAsia="宋体" w:hint="default"/>
                <w:sz w:val="20"/>
                <w:szCs w:val="20"/>
              </w:rPr>
            </w:pPr>
            <w:r>
              <w:rPr>
                <w:rFonts w:ascii="宋体"/>
                <w:sz w:val="20"/>
              </w:rPr>
              <w:t>V3.0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2" w:right="0"/>
              <w:jc w:val="left"/>
              <w:rPr>
                <w:rFonts w:ascii="宋体" w:hAnsi="宋体" w:cs="宋体" w:eastAsia="宋体" w:hint="default"/>
                <w:sz w:val="20"/>
                <w:szCs w:val="20"/>
              </w:rPr>
            </w:pPr>
            <w:r>
              <w:rPr>
                <w:rFonts w:ascii="宋体"/>
                <w:sz w:val="20"/>
              </w:rPr>
              <w:t>2009SR00763</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0"/>
                <w:szCs w:val="20"/>
              </w:rPr>
            </w:pPr>
            <w:r>
              <w:rPr>
                <w:rFonts w:ascii="宋体"/>
                <w:spacing w:val="-1"/>
                <w:sz w:val="20"/>
              </w:rPr>
              <w:t>2009-1-6</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0"/>
                <w:szCs w:val="20"/>
              </w:rPr>
            </w:pPr>
            <w:r>
              <w:rPr>
                <w:rFonts w:ascii="宋体"/>
                <w:spacing w:val="-1"/>
                <w:sz w:val="20"/>
              </w:rPr>
              <w:t>2006-3-15</w:t>
            </w:r>
            <w:r>
              <w:rPr>
                <w:rFonts w:ascii="宋体"/>
                <w:sz w:val="20"/>
              </w:rPr>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特博</w:t>
            </w:r>
          </w:p>
          <w:p>
            <w:pPr>
              <w:pStyle w:val="TableParagraph"/>
              <w:spacing w:line="240" w:lineRule="auto"/>
              <w:ind w:left="103" w:right="200"/>
              <w:jc w:val="left"/>
              <w:rPr>
                <w:rFonts w:ascii="宋体" w:hAnsi="宋体" w:cs="宋体" w:eastAsia="宋体" w:hint="default"/>
                <w:sz w:val="20"/>
                <w:szCs w:val="20"/>
              </w:rPr>
            </w:pPr>
            <w:r>
              <w:rPr>
                <w:rFonts w:ascii="宋体" w:hAnsi="宋体" w:cs="宋体" w:eastAsia="宋体" w:hint="default"/>
                <w:sz w:val="20"/>
                <w:szCs w:val="20"/>
              </w:rPr>
              <w:t>深转</w:t>
            </w:r>
            <w:r>
              <w:rPr>
                <w:rFonts w:ascii="宋体" w:hAnsi="宋体" w:cs="宋体" w:eastAsia="宋体" w:hint="default"/>
                <w:w w:val="100"/>
                <w:sz w:val="20"/>
                <w:szCs w:val="20"/>
              </w:rPr>
              <w:t> </w:t>
            </w:r>
            <w:r>
              <w:rPr>
                <w:rFonts w:ascii="宋体" w:hAnsi="宋体" w:cs="宋体" w:eastAsia="宋体" w:hint="default"/>
                <w:sz w:val="20"/>
                <w:szCs w:val="20"/>
              </w:rPr>
              <w:t>入</w:t>
            </w:r>
          </w:p>
        </w:tc>
      </w:tr>
      <w:tr>
        <w:trPr>
          <w:trHeight w:val="78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0"/>
                <w:szCs w:val="20"/>
              </w:rPr>
            </w:pPr>
            <w:r>
              <w:rPr>
                <w:rFonts w:ascii="宋体"/>
                <w:w w:val="100"/>
                <w:sz w:val="20"/>
              </w:rPr>
              <w:t>6</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100"/>
              <w:jc w:val="left"/>
              <w:rPr>
                <w:rFonts w:ascii="宋体" w:hAnsi="宋体" w:cs="宋体" w:eastAsia="宋体" w:hint="default"/>
                <w:sz w:val="20"/>
                <w:szCs w:val="20"/>
              </w:rPr>
            </w:pPr>
            <w:r>
              <w:rPr>
                <w:rFonts w:ascii="宋体" w:hAnsi="宋体" w:cs="宋体" w:eastAsia="宋体" w:hint="default"/>
                <w:sz w:val="20"/>
                <w:szCs w:val="20"/>
              </w:rPr>
              <w:t>Turbo</w:t>
            </w:r>
            <w:r>
              <w:rPr>
                <w:rFonts w:ascii="宋体" w:hAnsi="宋体" w:cs="宋体" w:eastAsia="宋体" w:hint="default"/>
                <w:spacing w:val="-35"/>
                <w:sz w:val="20"/>
                <w:szCs w:val="20"/>
              </w:rPr>
              <w:t> </w:t>
            </w:r>
            <w:r>
              <w:rPr>
                <w:rFonts w:ascii="宋体" w:hAnsi="宋体" w:cs="宋体" w:eastAsia="宋体" w:hint="default"/>
                <w:sz w:val="20"/>
                <w:szCs w:val="20"/>
              </w:rPr>
              <w:t>CRM</w:t>
            </w:r>
            <w:r>
              <w:rPr>
                <w:rFonts w:ascii="宋体" w:hAnsi="宋体" w:cs="宋体" w:eastAsia="宋体" w:hint="default"/>
                <w:spacing w:val="-51"/>
                <w:sz w:val="20"/>
                <w:szCs w:val="20"/>
              </w:rPr>
              <w:t> </w:t>
            </w:r>
            <w:r>
              <w:rPr>
                <w:rFonts w:ascii="宋体" w:hAnsi="宋体" w:cs="宋体" w:eastAsia="宋体" w:hint="default"/>
                <w:sz w:val="20"/>
                <w:szCs w:val="20"/>
              </w:rPr>
              <w:t>客户</w:t>
            </w:r>
            <w:r>
              <w:rPr>
                <w:rFonts w:ascii="宋体" w:hAnsi="宋体" w:cs="宋体" w:eastAsia="宋体" w:hint="default"/>
                <w:spacing w:val="-1"/>
                <w:w w:val="100"/>
                <w:sz w:val="20"/>
                <w:szCs w:val="20"/>
              </w:rPr>
              <w:t> </w:t>
            </w:r>
            <w:r>
              <w:rPr>
                <w:rFonts w:ascii="宋体" w:hAnsi="宋体" w:cs="宋体" w:eastAsia="宋体" w:hint="default"/>
                <w:sz w:val="20"/>
                <w:szCs w:val="20"/>
              </w:rPr>
              <w:t>关系管理系统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154"/>
              <w:jc w:val="left"/>
              <w:rPr>
                <w:rFonts w:ascii="宋体" w:hAnsi="宋体" w:cs="宋体" w:eastAsia="宋体" w:hint="default"/>
                <w:sz w:val="20"/>
                <w:szCs w:val="20"/>
              </w:rPr>
            </w:pPr>
            <w:r>
              <w:rPr>
                <w:rFonts w:ascii="宋体" w:hAnsi="宋体" w:cs="宋体" w:eastAsia="宋体" w:hint="default"/>
                <w:sz w:val="20"/>
                <w:szCs w:val="20"/>
              </w:rPr>
              <w:t>Turbo</w:t>
            </w:r>
            <w:r>
              <w:rPr>
                <w:rFonts w:ascii="宋体" w:hAnsi="宋体" w:cs="宋体" w:eastAsia="宋体" w:hint="default"/>
                <w:w w:val="100"/>
                <w:sz w:val="20"/>
                <w:szCs w:val="20"/>
              </w:rPr>
              <w:t> </w:t>
            </w:r>
            <w:r>
              <w:rPr>
                <w:rFonts w:ascii="宋体" w:hAnsi="宋体" w:cs="宋体" w:eastAsia="宋体" w:hint="default"/>
                <w:sz w:val="20"/>
                <w:szCs w:val="20"/>
              </w:rPr>
              <w:t>CRM</w:t>
            </w:r>
            <w:r>
              <w:rPr>
                <w:rFonts w:ascii="宋体" w:hAnsi="宋体" w:cs="宋体" w:eastAsia="宋体" w:hint="default"/>
                <w:spacing w:val="-50"/>
                <w:sz w:val="20"/>
                <w:szCs w:val="20"/>
              </w:rPr>
              <w:t> </w:t>
            </w:r>
            <w:r>
              <w:rPr>
                <w:rFonts w:ascii="宋体" w:hAnsi="宋体" w:cs="宋体" w:eastAsia="宋体" w:hint="default"/>
                <w:sz w:val="20"/>
                <w:szCs w:val="20"/>
              </w:rPr>
              <w:t>软件</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sz w:val="20"/>
              </w:rPr>
              <w:t>V5.0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sz w:val="20"/>
              </w:rPr>
              <w:t>2009SR00766</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0"/>
                <w:szCs w:val="20"/>
              </w:rPr>
            </w:pPr>
            <w:r>
              <w:rPr>
                <w:rFonts w:ascii="宋体"/>
                <w:spacing w:val="-1"/>
                <w:sz w:val="20"/>
              </w:rPr>
              <w:t>2009-1-6</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0"/>
                <w:szCs w:val="20"/>
              </w:rPr>
            </w:pPr>
            <w:r>
              <w:rPr>
                <w:rFonts w:ascii="宋体"/>
                <w:spacing w:val="-1"/>
                <w:sz w:val="20"/>
              </w:rPr>
              <w:t>2006-3-1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特博</w:t>
            </w:r>
          </w:p>
          <w:p>
            <w:pPr>
              <w:pStyle w:val="TableParagraph"/>
              <w:spacing w:line="260" w:lineRule="exact" w:before="24"/>
              <w:ind w:left="103" w:right="200"/>
              <w:jc w:val="left"/>
              <w:rPr>
                <w:rFonts w:ascii="宋体" w:hAnsi="宋体" w:cs="宋体" w:eastAsia="宋体" w:hint="default"/>
                <w:sz w:val="20"/>
                <w:szCs w:val="20"/>
              </w:rPr>
            </w:pPr>
            <w:r>
              <w:rPr>
                <w:rFonts w:ascii="宋体" w:hAnsi="宋体" w:cs="宋体" w:eastAsia="宋体" w:hint="default"/>
                <w:sz w:val="20"/>
                <w:szCs w:val="20"/>
              </w:rPr>
              <w:t>深转</w:t>
            </w:r>
            <w:r>
              <w:rPr>
                <w:rFonts w:ascii="宋体" w:hAnsi="宋体" w:cs="宋体" w:eastAsia="宋体" w:hint="default"/>
                <w:w w:val="100"/>
                <w:sz w:val="20"/>
                <w:szCs w:val="20"/>
              </w:rPr>
              <w:t> </w:t>
            </w:r>
            <w:r>
              <w:rPr>
                <w:rFonts w:ascii="宋体" w:hAnsi="宋体" w:cs="宋体" w:eastAsia="宋体" w:hint="default"/>
                <w:sz w:val="20"/>
                <w:szCs w:val="20"/>
              </w:rPr>
              <w:t>入</w:t>
            </w:r>
          </w:p>
        </w:tc>
      </w:tr>
      <w:tr>
        <w:trPr>
          <w:trHeight w:val="78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0"/>
                <w:szCs w:val="20"/>
              </w:rPr>
            </w:pPr>
            <w:r>
              <w:rPr>
                <w:rFonts w:ascii="宋体"/>
                <w:w w:val="100"/>
                <w:sz w:val="20"/>
              </w:rPr>
              <w:t>7</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217"/>
              <w:jc w:val="left"/>
              <w:rPr>
                <w:rFonts w:ascii="宋体" w:hAnsi="宋体" w:cs="宋体" w:eastAsia="宋体" w:hint="default"/>
                <w:sz w:val="20"/>
                <w:szCs w:val="20"/>
              </w:rPr>
            </w:pPr>
            <w:r>
              <w:rPr>
                <w:rFonts w:ascii="宋体" w:hAnsi="宋体" w:cs="宋体" w:eastAsia="宋体" w:hint="default"/>
                <w:sz w:val="20"/>
                <w:szCs w:val="20"/>
              </w:rPr>
              <w:t>客易通企业版</w:t>
            </w:r>
            <w:r>
              <w:rPr>
                <w:rFonts w:ascii="宋体" w:hAnsi="宋体" w:cs="宋体" w:eastAsia="宋体" w:hint="default"/>
                <w:w w:val="100"/>
                <w:sz w:val="20"/>
                <w:szCs w:val="20"/>
              </w:rPr>
              <w:t> </w:t>
            </w:r>
            <w:r>
              <w:rPr>
                <w:rFonts w:ascii="宋体" w:hAnsi="宋体" w:cs="宋体" w:eastAsia="宋体" w:hint="default"/>
                <w:sz w:val="20"/>
                <w:szCs w:val="20"/>
              </w:rPr>
              <w:t>客户管理软件</w:t>
            </w:r>
          </w:p>
        </w:tc>
        <w:tc>
          <w:tcPr>
            <w:tcW w:w="1020"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sz w:val="20"/>
              </w:rPr>
              <w:t>V5.0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sz w:val="20"/>
              </w:rPr>
              <w:t>2009SR04689</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0"/>
                <w:szCs w:val="20"/>
              </w:rPr>
            </w:pPr>
            <w:r>
              <w:rPr>
                <w:rFonts w:ascii="宋体"/>
                <w:spacing w:val="-1"/>
                <w:sz w:val="20"/>
              </w:rPr>
              <w:t>2009-2-2</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0"/>
                <w:szCs w:val="20"/>
              </w:rPr>
            </w:pPr>
            <w:r>
              <w:rPr>
                <w:rFonts w:ascii="宋体"/>
                <w:spacing w:val="-1"/>
                <w:sz w:val="20"/>
              </w:rPr>
              <w:t>2008-5-8</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特博</w:t>
            </w:r>
          </w:p>
          <w:p>
            <w:pPr>
              <w:pStyle w:val="TableParagraph"/>
              <w:spacing w:line="260" w:lineRule="exact" w:before="24"/>
              <w:ind w:left="103" w:right="200"/>
              <w:jc w:val="left"/>
              <w:rPr>
                <w:rFonts w:ascii="宋体" w:hAnsi="宋体" w:cs="宋体" w:eastAsia="宋体" w:hint="default"/>
                <w:sz w:val="20"/>
                <w:szCs w:val="20"/>
              </w:rPr>
            </w:pPr>
            <w:r>
              <w:rPr>
                <w:rFonts w:ascii="宋体" w:hAnsi="宋体" w:cs="宋体" w:eastAsia="宋体" w:hint="default"/>
                <w:sz w:val="20"/>
                <w:szCs w:val="20"/>
              </w:rPr>
              <w:t>深转</w:t>
            </w:r>
            <w:r>
              <w:rPr>
                <w:rFonts w:ascii="宋体" w:hAnsi="宋体" w:cs="宋体" w:eastAsia="宋体" w:hint="default"/>
                <w:w w:val="100"/>
                <w:sz w:val="20"/>
                <w:szCs w:val="20"/>
              </w:rPr>
              <w:t> </w:t>
            </w:r>
            <w:r>
              <w:rPr>
                <w:rFonts w:ascii="宋体" w:hAnsi="宋体" w:cs="宋体" w:eastAsia="宋体" w:hint="default"/>
                <w:sz w:val="20"/>
                <w:szCs w:val="20"/>
              </w:rPr>
              <w:t>入</w:t>
            </w:r>
          </w:p>
        </w:tc>
      </w:tr>
      <w:tr>
        <w:trPr>
          <w:trHeight w:val="52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w w:val="100"/>
                <w:sz w:val="20"/>
              </w:rPr>
              <w:t>8</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UFIDA U9</w:t>
            </w:r>
            <w:r>
              <w:rPr>
                <w:rFonts w:ascii="宋体" w:hAnsi="宋体" w:cs="宋体" w:eastAsia="宋体" w:hint="default"/>
                <w:spacing w:val="-55"/>
                <w:sz w:val="20"/>
                <w:szCs w:val="20"/>
              </w:rPr>
              <w:t> </w:t>
            </w:r>
            <w:r>
              <w:rPr>
                <w:rFonts w:ascii="宋体" w:hAnsi="宋体" w:cs="宋体" w:eastAsia="宋体" w:hint="default"/>
                <w:sz w:val="20"/>
                <w:szCs w:val="20"/>
              </w:rPr>
              <w:t>企业</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管理软件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UFIDA</w:t>
            </w:r>
            <w:r>
              <w:rPr>
                <w:rFonts w:ascii="宋体"/>
                <w:spacing w:val="-2"/>
                <w:sz w:val="20"/>
              </w:rPr>
              <w:t> </w:t>
            </w:r>
            <w:r>
              <w:rPr>
                <w:rFonts w:ascii="宋体"/>
                <w:sz w:val="20"/>
              </w:rPr>
              <w:t>U9</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V1.5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2009SR05153</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1"/>
              <w:jc w:val="right"/>
              <w:rPr>
                <w:rFonts w:ascii="宋体" w:hAnsi="宋体" w:cs="宋体" w:eastAsia="宋体" w:hint="default"/>
                <w:sz w:val="20"/>
                <w:szCs w:val="20"/>
              </w:rPr>
            </w:pPr>
            <w:r>
              <w:rPr>
                <w:rFonts w:ascii="宋体"/>
                <w:spacing w:val="-1"/>
                <w:sz w:val="20"/>
              </w:rPr>
              <w:t>2009-2-11</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2008-12-30</w:t>
            </w:r>
            <w:r>
              <w:rPr>
                <w:rFonts w:ascii="宋体"/>
                <w:sz w:val="20"/>
              </w:rPr>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5"/>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w w:val="100"/>
                <w:sz w:val="20"/>
              </w:rPr>
              <w:t>9</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UFIDA</w:t>
            </w:r>
            <w:r>
              <w:rPr>
                <w:rFonts w:ascii="宋体" w:hAnsi="宋体" w:cs="宋体" w:eastAsia="宋体" w:hint="default"/>
                <w:spacing w:val="-36"/>
                <w:sz w:val="20"/>
                <w:szCs w:val="20"/>
              </w:rPr>
              <w:t> </w:t>
            </w:r>
            <w:r>
              <w:rPr>
                <w:rFonts w:ascii="宋体" w:hAnsi="宋体" w:cs="宋体" w:eastAsia="宋体" w:hint="default"/>
                <w:sz w:val="20"/>
                <w:szCs w:val="20"/>
              </w:rPr>
              <w:t>UAP</w:t>
            </w:r>
            <w:r>
              <w:rPr>
                <w:rFonts w:ascii="宋体" w:hAnsi="宋体" w:cs="宋体" w:eastAsia="宋体" w:hint="default"/>
                <w:spacing w:val="-51"/>
                <w:sz w:val="20"/>
                <w:szCs w:val="20"/>
              </w:rPr>
              <w:t> </w:t>
            </w:r>
            <w:r>
              <w:rPr>
                <w:rFonts w:ascii="宋体" w:hAnsi="宋体" w:cs="宋体" w:eastAsia="宋体" w:hint="default"/>
                <w:sz w:val="20"/>
                <w:szCs w:val="20"/>
              </w:rPr>
              <w:t>企业</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应用平台软件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sz w:val="20"/>
              </w:rPr>
              <w:t>UFIDA</w:t>
            </w:r>
          </w:p>
          <w:p>
            <w:pPr>
              <w:pStyle w:val="TableParagraph"/>
              <w:spacing w:line="260" w:lineRule="exact"/>
              <w:ind w:left="103" w:right="0"/>
              <w:jc w:val="left"/>
              <w:rPr>
                <w:rFonts w:ascii="宋体" w:hAnsi="宋体" w:cs="宋体" w:eastAsia="宋体" w:hint="default"/>
                <w:sz w:val="20"/>
                <w:szCs w:val="20"/>
              </w:rPr>
            </w:pPr>
            <w:r>
              <w:rPr>
                <w:rFonts w:ascii="宋体"/>
                <w:sz w:val="20"/>
              </w:rPr>
              <w:t>UAP</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V2.20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2009SR05152</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2009-2-11</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2008-4-18</w:t>
            </w:r>
            <w:r>
              <w:rPr>
                <w:rFonts w:ascii="宋体"/>
                <w:sz w:val="20"/>
              </w:rPr>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10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UFIDA</w:t>
            </w:r>
            <w:r>
              <w:rPr>
                <w:rFonts w:ascii="宋体" w:hAnsi="宋体" w:cs="宋体" w:eastAsia="宋体" w:hint="default"/>
                <w:spacing w:val="-36"/>
                <w:sz w:val="20"/>
                <w:szCs w:val="20"/>
              </w:rPr>
              <w:t> </w:t>
            </w:r>
            <w:r>
              <w:rPr>
                <w:rFonts w:ascii="宋体" w:hAnsi="宋体" w:cs="宋体" w:eastAsia="宋体" w:hint="default"/>
                <w:sz w:val="20"/>
                <w:szCs w:val="20"/>
              </w:rPr>
              <w:t>UAP</w:t>
            </w:r>
            <w:r>
              <w:rPr>
                <w:rFonts w:ascii="宋体" w:hAnsi="宋体" w:cs="宋体" w:eastAsia="宋体" w:hint="default"/>
                <w:spacing w:val="-51"/>
                <w:sz w:val="20"/>
                <w:szCs w:val="20"/>
              </w:rPr>
              <w:t> </w:t>
            </w:r>
            <w:r>
              <w:rPr>
                <w:rFonts w:ascii="宋体" w:hAnsi="宋体" w:cs="宋体" w:eastAsia="宋体" w:hint="default"/>
                <w:sz w:val="20"/>
                <w:szCs w:val="20"/>
              </w:rPr>
              <w:t>企业</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应用平台软件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sz w:val="20"/>
              </w:rPr>
              <w:t>UFIDA</w:t>
            </w:r>
          </w:p>
          <w:p>
            <w:pPr>
              <w:pStyle w:val="TableParagraph"/>
              <w:spacing w:line="260" w:lineRule="exact"/>
              <w:ind w:left="103" w:right="0"/>
              <w:jc w:val="left"/>
              <w:rPr>
                <w:rFonts w:ascii="宋体" w:hAnsi="宋体" w:cs="宋体" w:eastAsia="宋体" w:hint="default"/>
                <w:sz w:val="20"/>
                <w:szCs w:val="20"/>
              </w:rPr>
            </w:pPr>
            <w:r>
              <w:rPr>
                <w:rFonts w:ascii="宋体"/>
                <w:sz w:val="20"/>
              </w:rPr>
              <w:t>UAP</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V2.8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2009SR05151</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2009-2-11</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2008-12-31</w:t>
            </w:r>
            <w:r>
              <w:rPr>
                <w:rFonts w:ascii="宋体"/>
                <w:sz w:val="20"/>
              </w:rPr>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1307"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0"/>
                <w:szCs w:val="20"/>
              </w:rPr>
            </w:pPr>
            <w:r>
              <w:rPr>
                <w:rFonts w:ascii="宋体"/>
                <w:sz w:val="20"/>
              </w:rPr>
              <w:t>11</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both"/>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0"/>
                <w:sz w:val="20"/>
                <w:szCs w:val="20"/>
              </w:rPr>
              <w:t> </w:t>
            </w:r>
            <w:r>
              <w:rPr>
                <w:rFonts w:ascii="宋体" w:hAnsi="宋体" w:cs="宋体" w:eastAsia="宋体" w:hint="default"/>
                <w:sz w:val="20"/>
                <w:szCs w:val="20"/>
              </w:rPr>
              <w:t>ERP</w:t>
            </w:r>
            <w:r>
              <w:rPr>
                <w:rFonts w:ascii="宋体" w:hAnsi="宋体" w:cs="宋体" w:eastAsia="宋体" w:hint="default"/>
                <w:spacing w:val="-50"/>
                <w:sz w:val="20"/>
                <w:szCs w:val="20"/>
              </w:rPr>
              <w:t> </w:t>
            </w:r>
            <w:r>
              <w:rPr>
                <w:rFonts w:ascii="宋体" w:hAnsi="宋体" w:cs="宋体" w:eastAsia="宋体" w:hint="default"/>
                <w:sz w:val="20"/>
                <w:szCs w:val="20"/>
              </w:rPr>
              <w:t>沙盘</w:t>
            </w:r>
          </w:p>
          <w:p>
            <w:pPr>
              <w:pStyle w:val="TableParagraph"/>
              <w:spacing w:line="260" w:lineRule="exact"/>
              <w:ind w:left="103" w:right="0"/>
              <w:jc w:val="both"/>
              <w:rPr>
                <w:rFonts w:ascii="宋体" w:hAnsi="宋体" w:cs="宋体" w:eastAsia="宋体" w:hint="default"/>
                <w:sz w:val="20"/>
                <w:szCs w:val="20"/>
              </w:rPr>
            </w:pPr>
            <w:r>
              <w:rPr>
                <w:rFonts w:ascii="宋体" w:hAnsi="宋体" w:cs="宋体" w:eastAsia="宋体" w:hint="default"/>
                <w:sz w:val="20"/>
                <w:szCs w:val="20"/>
              </w:rPr>
              <w:t>运行监控系统</w:t>
            </w:r>
          </w:p>
          <w:p>
            <w:pPr>
              <w:pStyle w:val="TableParagraph"/>
              <w:spacing w:line="260" w:lineRule="exact" w:before="24"/>
              <w:ind w:left="103" w:right="216"/>
              <w:jc w:val="both"/>
              <w:rPr>
                <w:rFonts w:ascii="宋体" w:hAnsi="宋体" w:cs="宋体" w:eastAsia="宋体" w:hint="default"/>
                <w:sz w:val="20"/>
                <w:szCs w:val="20"/>
              </w:rPr>
            </w:pPr>
            <w:r>
              <w:rPr>
                <w:rFonts w:ascii="宋体" w:hAnsi="宋体" w:cs="宋体" w:eastAsia="宋体" w:hint="default"/>
                <w:sz w:val="20"/>
                <w:szCs w:val="20"/>
              </w:rPr>
              <w:t>--"创业者"企</w:t>
            </w:r>
            <w:r>
              <w:rPr>
                <w:rFonts w:ascii="宋体" w:hAnsi="宋体" w:cs="宋体" w:eastAsia="宋体" w:hint="default"/>
                <w:w w:val="100"/>
                <w:sz w:val="20"/>
                <w:szCs w:val="20"/>
              </w:rPr>
              <w:t> </w:t>
            </w:r>
            <w:r>
              <w:rPr>
                <w:rFonts w:ascii="宋体" w:hAnsi="宋体" w:cs="宋体" w:eastAsia="宋体" w:hint="default"/>
                <w:sz w:val="20"/>
                <w:szCs w:val="20"/>
              </w:rPr>
              <w:t>业模拟经营系</w:t>
            </w:r>
            <w:r>
              <w:rPr>
                <w:rFonts w:ascii="宋体" w:hAnsi="宋体" w:cs="宋体" w:eastAsia="宋体" w:hint="default"/>
                <w:w w:val="100"/>
                <w:sz w:val="20"/>
                <w:szCs w:val="20"/>
              </w:rPr>
              <w:t> </w:t>
            </w:r>
            <w:r>
              <w:rPr>
                <w:rFonts w:ascii="宋体" w:hAnsi="宋体" w:cs="宋体" w:eastAsia="宋体" w:hint="default"/>
                <w:sz w:val="20"/>
                <w:szCs w:val="20"/>
              </w:rPr>
              <w:t>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7"/>
                <w:szCs w:val="27"/>
              </w:rPr>
            </w:pPr>
          </w:p>
          <w:p>
            <w:pPr>
              <w:pStyle w:val="TableParagraph"/>
              <w:spacing w:line="240" w:lineRule="auto"/>
              <w:ind w:left="103" w:right="103"/>
              <w:jc w:val="left"/>
              <w:rPr>
                <w:rFonts w:ascii="宋体" w:hAnsi="宋体" w:cs="宋体" w:eastAsia="宋体" w:hint="default"/>
                <w:sz w:val="20"/>
                <w:szCs w:val="20"/>
              </w:rPr>
            </w:pPr>
            <w:r>
              <w:rPr>
                <w:rFonts w:ascii="宋体" w:hAnsi="宋体" w:cs="宋体" w:eastAsia="宋体" w:hint="default"/>
                <w:sz w:val="20"/>
                <w:szCs w:val="20"/>
              </w:rPr>
              <w:t>用友电子</w:t>
            </w:r>
            <w:r>
              <w:rPr>
                <w:rFonts w:ascii="宋体" w:hAnsi="宋体" w:cs="宋体" w:eastAsia="宋体" w:hint="default"/>
                <w:w w:val="100"/>
                <w:sz w:val="20"/>
                <w:szCs w:val="20"/>
              </w:rPr>
              <w:t> </w:t>
            </w:r>
            <w:r>
              <w:rPr>
                <w:rFonts w:ascii="宋体" w:hAnsi="宋体" w:cs="宋体" w:eastAsia="宋体" w:hint="default"/>
                <w:sz w:val="20"/>
                <w:szCs w:val="20"/>
              </w:rPr>
              <w:t>沙盘</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sz w:val="20"/>
              </w:rPr>
              <w:t>V1.0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sz w:val="20"/>
              </w:rPr>
              <w:t>2009SR05154</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02"/>
              <w:jc w:val="right"/>
              <w:rPr>
                <w:rFonts w:ascii="宋体" w:hAnsi="宋体" w:cs="宋体" w:eastAsia="宋体" w:hint="default"/>
                <w:sz w:val="20"/>
                <w:szCs w:val="20"/>
              </w:rPr>
            </w:pPr>
            <w:r>
              <w:rPr>
                <w:rFonts w:ascii="宋体"/>
                <w:spacing w:val="-1"/>
                <w:sz w:val="20"/>
              </w:rPr>
              <w:t>2009-2-11</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0"/>
                <w:szCs w:val="20"/>
              </w:rPr>
            </w:pPr>
            <w:r>
              <w:rPr>
                <w:rFonts w:ascii="宋体"/>
                <w:spacing w:val="-1"/>
                <w:sz w:val="20"/>
              </w:rPr>
              <w:t>2007-9-1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both"/>
              <w:rPr>
                <w:rFonts w:ascii="宋体" w:hAnsi="宋体" w:cs="宋体" w:eastAsia="宋体" w:hint="default"/>
                <w:sz w:val="20"/>
                <w:szCs w:val="20"/>
              </w:rPr>
            </w:pPr>
            <w:r>
              <w:rPr>
                <w:rFonts w:ascii="宋体" w:hAnsi="宋体" w:cs="宋体" w:eastAsia="宋体" w:hint="default"/>
                <w:sz w:val="20"/>
                <w:szCs w:val="20"/>
              </w:rPr>
              <w:t>与浙</w:t>
            </w:r>
          </w:p>
          <w:p>
            <w:pPr>
              <w:pStyle w:val="TableParagraph"/>
              <w:spacing w:line="260" w:lineRule="exact" w:before="25"/>
              <w:ind w:left="103" w:right="200"/>
              <w:jc w:val="both"/>
              <w:rPr>
                <w:rFonts w:ascii="宋体" w:hAnsi="宋体" w:cs="宋体" w:eastAsia="宋体" w:hint="default"/>
                <w:sz w:val="20"/>
                <w:szCs w:val="20"/>
              </w:rPr>
            </w:pPr>
            <w:r>
              <w:rPr>
                <w:rFonts w:ascii="宋体" w:hAnsi="宋体" w:cs="宋体" w:eastAsia="宋体" w:hint="default"/>
                <w:sz w:val="20"/>
                <w:szCs w:val="20"/>
              </w:rPr>
              <w:t>江大</w:t>
            </w:r>
            <w:r>
              <w:rPr>
                <w:rFonts w:ascii="宋体" w:hAnsi="宋体" w:cs="宋体" w:eastAsia="宋体" w:hint="default"/>
                <w:w w:val="100"/>
                <w:sz w:val="20"/>
                <w:szCs w:val="20"/>
              </w:rPr>
              <w:t> </w:t>
            </w:r>
            <w:r>
              <w:rPr>
                <w:rFonts w:ascii="宋体" w:hAnsi="宋体" w:cs="宋体" w:eastAsia="宋体" w:hint="default"/>
                <w:sz w:val="20"/>
                <w:szCs w:val="20"/>
              </w:rPr>
              <w:t>学共</w:t>
            </w:r>
            <w:r>
              <w:rPr>
                <w:rFonts w:ascii="宋体" w:hAnsi="宋体" w:cs="宋体" w:eastAsia="宋体" w:hint="default"/>
                <w:w w:val="100"/>
                <w:sz w:val="20"/>
                <w:szCs w:val="20"/>
              </w:rPr>
              <w:t> </w:t>
            </w:r>
            <w:r>
              <w:rPr>
                <w:rFonts w:ascii="宋体" w:hAnsi="宋体" w:cs="宋体" w:eastAsia="宋体" w:hint="default"/>
                <w:sz w:val="20"/>
                <w:szCs w:val="20"/>
              </w:rPr>
              <w:t>有版</w:t>
            </w:r>
            <w:r>
              <w:rPr>
                <w:rFonts w:ascii="宋体" w:hAnsi="宋体" w:cs="宋体" w:eastAsia="宋体" w:hint="default"/>
                <w:w w:val="100"/>
                <w:sz w:val="20"/>
                <w:szCs w:val="20"/>
              </w:rPr>
              <w:t> </w:t>
            </w:r>
            <w:r>
              <w:rPr>
                <w:rFonts w:ascii="宋体" w:hAnsi="宋体" w:cs="宋体" w:eastAsia="宋体" w:hint="default"/>
                <w:sz w:val="20"/>
                <w:szCs w:val="20"/>
              </w:rPr>
              <w:t>权</w:t>
            </w:r>
          </w:p>
        </w:tc>
      </w:tr>
      <w:tr>
        <w:trPr>
          <w:trHeight w:val="52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12</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用友汇算通软</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w w:val="100"/>
                <w:sz w:val="20"/>
                <w:szCs w:val="20"/>
              </w:rPr>
              <w:t>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用友汇算</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w w:val="100"/>
                <w:sz w:val="20"/>
                <w:szCs w:val="20"/>
              </w:rPr>
              <w:t>通</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V2.0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2009SE020707</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2009-6-3</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2008-11-28</w:t>
            </w:r>
            <w:r>
              <w:rPr>
                <w:rFonts w:ascii="宋体"/>
                <w:sz w:val="20"/>
              </w:rPr>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13</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2"/>
                <w:sz w:val="20"/>
                <w:szCs w:val="20"/>
              </w:rPr>
              <w:t> </w:t>
            </w:r>
            <w:r>
              <w:rPr>
                <w:rFonts w:ascii="宋体" w:hAnsi="宋体" w:cs="宋体" w:eastAsia="宋体" w:hint="default"/>
                <w:sz w:val="20"/>
                <w:szCs w:val="20"/>
              </w:rPr>
              <w:t>T6-企业</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管理软件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1"/>
                <w:sz w:val="20"/>
                <w:szCs w:val="20"/>
              </w:rPr>
              <w:t> </w:t>
            </w:r>
            <w:r>
              <w:rPr>
                <w:rFonts w:ascii="宋体" w:hAnsi="宋体" w:cs="宋体" w:eastAsia="宋体" w:hint="default"/>
                <w:sz w:val="20"/>
                <w:szCs w:val="20"/>
              </w:rPr>
              <w:t>T6</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2" w:right="0"/>
              <w:jc w:val="left"/>
              <w:rPr>
                <w:rFonts w:ascii="宋体" w:hAnsi="宋体" w:cs="宋体" w:eastAsia="宋体" w:hint="default"/>
                <w:sz w:val="20"/>
                <w:szCs w:val="20"/>
              </w:rPr>
            </w:pPr>
            <w:r>
              <w:rPr>
                <w:rFonts w:ascii="宋体"/>
                <w:sz w:val="20"/>
              </w:rPr>
              <w:t>V3.2Plus1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2009SR020706</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2009-6-3</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9"/>
              <w:jc w:val="right"/>
              <w:rPr>
                <w:rFonts w:ascii="宋体" w:hAnsi="宋体" w:cs="宋体" w:eastAsia="宋体" w:hint="default"/>
                <w:sz w:val="20"/>
                <w:szCs w:val="20"/>
              </w:rPr>
            </w:pPr>
            <w:r>
              <w:rPr>
                <w:rFonts w:ascii="宋体"/>
                <w:spacing w:val="-1"/>
                <w:sz w:val="20"/>
              </w:rPr>
              <w:t>2009-4-1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78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0"/>
                <w:szCs w:val="20"/>
              </w:rPr>
            </w:pPr>
            <w:r>
              <w:rPr>
                <w:rFonts w:ascii="宋体"/>
                <w:sz w:val="20"/>
              </w:rPr>
              <w:t>14</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6"/>
                <w:sz w:val="20"/>
                <w:szCs w:val="20"/>
              </w:rPr>
              <w:t> </w:t>
            </w:r>
            <w:r>
              <w:rPr>
                <w:rFonts w:ascii="宋体" w:hAnsi="宋体" w:cs="宋体" w:eastAsia="宋体" w:hint="default"/>
                <w:sz w:val="20"/>
                <w:szCs w:val="20"/>
              </w:rPr>
              <w:t>TurboCRM</w:t>
            </w:r>
          </w:p>
          <w:p>
            <w:pPr>
              <w:pStyle w:val="TableParagraph"/>
              <w:spacing w:line="260" w:lineRule="exact" w:before="24"/>
              <w:ind w:left="103" w:right="217"/>
              <w:jc w:val="left"/>
              <w:rPr>
                <w:rFonts w:ascii="宋体" w:hAnsi="宋体" w:cs="宋体" w:eastAsia="宋体" w:hint="default"/>
                <w:sz w:val="20"/>
                <w:szCs w:val="20"/>
              </w:rPr>
            </w:pPr>
            <w:r>
              <w:rPr>
                <w:rFonts w:ascii="宋体" w:hAnsi="宋体" w:cs="宋体" w:eastAsia="宋体" w:hint="default"/>
                <w:sz w:val="20"/>
                <w:szCs w:val="20"/>
              </w:rPr>
              <w:t>客户关系管理</w:t>
            </w:r>
            <w:r>
              <w:rPr>
                <w:rFonts w:ascii="宋体" w:hAnsi="宋体" w:cs="宋体" w:eastAsia="宋体" w:hint="default"/>
                <w:w w:val="100"/>
                <w:sz w:val="20"/>
                <w:szCs w:val="20"/>
              </w:rPr>
              <w:t> </w:t>
            </w:r>
            <w:r>
              <w:rPr>
                <w:rFonts w:ascii="宋体" w:hAnsi="宋体" w:cs="宋体" w:eastAsia="宋体" w:hint="default"/>
                <w:sz w:val="20"/>
                <w:szCs w:val="20"/>
              </w:rPr>
              <w:t>系统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104"/>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w w:val="100"/>
                <w:sz w:val="20"/>
                <w:szCs w:val="20"/>
              </w:rPr>
              <w:t> </w:t>
            </w:r>
            <w:r>
              <w:rPr>
                <w:rFonts w:ascii="宋体" w:hAnsi="宋体" w:cs="宋体" w:eastAsia="宋体" w:hint="default"/>
                <w:sz w:val="20"/>
                <w:szCs w:val="20"/>
              </w:rPr>
              <w:t>TurboCRM</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sz w:val="20"/>
              </w:rPr>
              <w:t>V6.0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sz w:val="20"/>
              </w:rPr>
              <w:t>2009SR020704</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0"/>
              <w:jc w:val="right"/>
              <w:rPr>
                <w:rFonts w:ascii="宋体" w:hAnsi="宋体" w:cs="宋体" w:eastAsia="宋体" w:hint="default"/>
                <w:sz w:val="20"/>
                <w:szCs w:val="20"/>
              </w:rPr>
            </w:pPr>
            <w:r>
              <w:rPr>
                <w:rFonts w:ascii="宋体"/>
                <w:spacing w:val="-1"/>
                <w:sz w:val="20"/>
              </w:rPr>
              <w:t>2009-6-3</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99"/>
              <w:jc w:val="right"/>
              <w:rPr>
                <w:rFonts w:ascii="宋体" w:hAnsi="宋体" w:cs="宋体" w:eastAsia="宋体" w:hint="default"/>
                <w:sz w:val="20"/>
                <w:szCs w:val="20"/>
              </w:rPr>
            </w:pPr>
            <w:r>
              <w:rPr>
                <w:rFonts w:ascii="宋体"/>
                <w:spacing w:val="-1"/>
                <w:sz w:val="20"/>
              </w:rPr>
              <w:t>2009-4-3</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95"/>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15</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2"/>
                <w:sz w:val="20"/>
                <w:szCs w:val="20"/>
              </w:rPr>
              <w:t> </w:t>
            </w:r>
            <w:r>
              <w:rPr>
                <w:rFonts w:ascii="宋体" w:hAnsi="宋体" w:cs="宋体" w:eastAsia="宋体" w:hint="default"/>
                <w:sz w:val="20"/>
                <w:szCs w:val="20"/>
              </w:rPr>
              <w:t>T3-用友</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通管理软件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hAnsi="宋体" w:cs="宋体" w:eastAsia="宋体" w:hint="default"/>
                <w:sz w:val="20"/>
                <w:szCs w:val="20"/>
              </w:rPr>
              <w:t>用友通</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V10.6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2" w:right="0"/>
              <w:jc w:val="left"/>
              <w:rPr>
                <w:rFonts w:ascii="宋体" w:hAnsi="宋体" w:cs="宋体" w:eastAsia="宋体" w:hint="default"/>
                <w:sz w:val="20"/>
                <w:szCs w:val="20"/>
              </w:rPr>
            </w:pPr>
            <w:r>
              <w:rPr>
                <w:rFonts w:ascii="宋体"/>
                <w:sz w:val="20"/>
              </w:rPr>
              <w:t>2009SR020703</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1"/>
              <w:jc w:val="right"/>
              <w:rPr>
                <w:rFonts w:ascii="宋体" w:hAnsi="宋体" w:cs="宋体" w:eastAsia="宋体" w:hint="default"/>
                <w:sz w:val="20"/>
                <w:szCs w:val="20"/>
              </w:rPr>
            </w:pPr>
            <w:r>
              <w:rPr>
                <w:rFonts w:ascii="宋体"/>
                <w:spacing w:val="-1"/>
                <w:sz w:val="20"/>
              </w:rPr>
              <w:t>2009-6-3</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2009-4-3</w:t>
            </w:r>
            <w:r>
              <w:rPr>
                <w:rFonts w:ascii="宋体"/>
                <w:sz w:val="20"/>
              </w:rPr>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6"/>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78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0"/>
                <w:szCs w:val="20"/>
              </w:rPr>
            </w:pPr>
            <w:r>
              <w:rPr>
                <w:rFonts w:ascii="宋体"/>
                <w:sz w:val="20"/>
              </w:rPr>
              <w:t>16</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2"/>
                <w:sz w:val="20"/>
                <w:szCs w:val="20"/>
              </w:rPr>
              <w:t> </w:t>
            </w:r>
            <w:r>
              <w:rPr>
                <w:rFonts w:ascii="宋体" w:hAnsi="宋体" w:cs="宋体" w:eastAsia="宋体" w:hint="default"/>
                <w:sz w:val="20"/>
                <w:szCs w:val="20"/>
              </w:rPr>
              <w:t>ERP-NC</w:t>
            </w:r>
            <w:r>
              <w:rPr>
                <w:rFonts w:ascii="宋体" w:hAnsi="宋体" w:cs="宋体" w:eastAsia="宋体" w:hint="default"/>
                <w:spacing w:val="-52"/>
                <w:sz w:val="20"/>
                <w:szCs w:val="20"/>
              </w:rPr>
              <w:t> </w:t>
            </w:r>
            <w:r>
              <w:rPr>
                <w:rFonts w:ascii="宋体" w:hAnsi="宋体" w:cs="宋体" w:eastAsia="宋体" w:hint="default"/>
                <w:sz w:val="20"/>
                <w:szCs w:val="20"/>
              </w:rPr>
              <w:t>集</w:t>
            </w:r>
          </w:p>
          <w:p>
            <w:pPr>
              <w:pStyle w:val="TableParagraph"/>
              <w:spacing w:line="260" w:lineRule="exact" w:before="24"/>
              <w:ind w:left="103" w:right="217"/>
              <w:jc w:val="left"/>
              <w:rPr>
                <w:rFonts w:ascii="宋体" w:hAnsi="宋体" w:cs="宋体" w:eastAsia="宋体" w:hint="default"/>
                <w:sz w:val="20"/>
                <w:szCs w:val="20"/>
              </w:rPr>
            </w:pPr>
            <w:r>
              <w:rPr>
                <w:rFonts w:ascii="宋体" w:hAnsi="宋体" w:cs="宋体" w:eastAsia="宋体" w:hint="default"/>
                <w:sz w:val="20"/>
                <w:szCs w:val="20"/>
              </w:rPr>
              <w:t>团企业解决方</w:t>
            </w:r>
            <w:r>
              <w:rPr>
                <w:rFonts w:ascii="宋体" w:hAnsi="宋体" w:cs="宋体" w:eastAsia="宋体" w:hint="default"/>
                <w:w w:val="100"/>
                <w:sz w:val="20"/>
                <w:szCs w:val="20"/>
              </w:rPr>
              <w:t> </w:t>
            </w:r>
            <w:r>
              <w:rPr>
                <w:rFonts w:ascii="宋体" w:hAnsi="宋体" w:cs="宋体" w:eastAsia="宋体" w:hint="default"/>
                <w:sz w:val="20"/>
                <w:szCs w:val="20"/>
              </w:rPr>
              <w:t>案系统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305"/>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w w:val="100"/>
                <w:sz w:val="20"/>
                <w:szCs w:val="20"/>
              </w:rPr>
              <w:t> </w:t>
            </w:r>
            <w:r>
              <w:rPr>
                <w:rFonts w:ascii="宋体" w:hAnsi="宋体" w:cs="宋体" w:eastAsia="宋体" w:hint="default"/>
                <w:sz w:val="20"/>
                <w:szCs w:val="20"/>
              </w:rPr>
              <w:t>ERP-NC</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sz w:val="20"/>
              </w:rPr>
              <w:t>V5.5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sz w:val="20"/>
              </w:rPr>
              <w:t>2009SR020701</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0"/>
              <w:jc w:val="right"/>
              <w:rPr>
                <w:rFonts w:ascii="宋体" w:hAnsi="宋体" w:cs="宋体" w:eastAsia="宋体" w:hint="default"/>
                <w:sz w:val="20"/>
                <w:szCs w:val="20"/>
              </w:rPr>
            </w:pPr>
            <w:r>
              <w:rPr>
                <w:rFonts w:ascii="宋体"/>
                <w:spacing w:val="-1"/>
                <w:sz w:val="20"/>
              </w:rPr>
              <w:t>2009-6-3</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99"/>
              <w:jc w:val="right"/>
              <w:rPr>
                <w:rFonts w:ascii="宋体" w:hAnsi="宋体" w:cs="宋体" w:eastAsia="宋体" w:hint="default"/>
                <w:sz w:val="20"/>
                <w:szCs w:val="20"/>
              </w:rPr>
            </w:pPr>
            <w:r>
              <w:rPr>
                <w:rFonts w:ascii="宋体"/>
                <w:spacing w:val="-1"/>
                <w:sz w:val="20"/>
              </w:rPr>
              <w:t>2009-4-3</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95"/>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17</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4"/>
                <w:sz w:val="20"/>
                <w:szCs w:val="20"/>
              </w:rPr>
              <w:t> </w:t>
            </w:r>
            <w:r>
              <w:rPr>
                <w:rFonts w:ascii="宋体" w:hAnsi="宋体" w:cs="宋体" w:eastAsia="宋体" w:hint="default"/>
                <w:sz w:val="20"/>
                <w:szCs w:val="20"/>
              </w:rPr>
              <w:t>ERP-房地</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产系统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hAnsi="宋体" w:cs="宋体" w:eastAsia="宋体" w:hint="default"/>
                <w:sz w:val="20"/>
                <w:szCs w:val="20"/>
              </w:rPr>
              <w:t>用友房产</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2" w:right="0"/>
              <w:jc w:val="left"/>
              <w:rPr>
                <w:rFonts w:ascii="宋体" w:hAnsi="宋体" w:cs="宋体" w:eastAsia="宋体" w:hint="default"/>
                <w:sz w:val="20"/>
                <w:szCs w:val="20"/>
              </w:rPr>
            </w:pPr>
            <w:r>
              <w:rPr>
                <w:rFonts w:ascii="宋体"/>
                <w:sz w:val="20"/>
              </w:rPr>
              <w:t>V2.8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2" w:right="0"/>
              <w:jc w:val="left"/>
              <w:rPr>
                <w:rFonts w:ascii="宋体" w:hAnsi="宋体" w:cs="宋体" w:eastAsia="宋体" w:hint="default"/>
                <w:sz w:val="20"/>
                <w:szCs w:val="20"/>
              </w:rPr>
            </w:pPr>
            <w:r>
              <w:rPr>
                <w:rFonts w:ascii="宋体"/>
                <w:sz w:val="20"/>
              </w:rPr>
              <w:t>2009SR020697</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1"/>
              <w:jc w:val="right"/>
              <w:rPr>
                <w:rFonts w:ascii="宋体" w:hAnsi="宋体" w:cs="宋体" w:eastAsia="宋体" w:hint="default"/>
                <w:sz w:val="20"/>
                <w:szCs w:val="20"/>
              </w:rPr>
            </w:pPr>
            <w:r>
              <w:rPr>
                <w:rFonts w:ascii="宋体"/>
                <w:spacing w:val="-1"/>
                <w:sz w:val="20"/>
              </w:rPr>
              <w:t>2009-6-3</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2009-3-3</w:t>
            </w:r>
            <w:r>
              <w:rPr>
                <w:rFonts w:ascii="宋体"/>
                <w:sz w:val="20"/>
              </w:rPr>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6"/>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78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0"/>
                <w:szCs w:val="20"/>
              </w:rPr>
            </w:pPr>
            <w:r>
              <w:rPr>
                <w:rFonts w:ascii="宋体"/>
                <w:sz w:val="20"/>
              </w:rPr>
              <w:t>18</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2"/>
                <w:sz w:val="20"/>
                <w:szCs w:val="20"/>
              </w:rPr>
              <w:t> </w:t>
            </w:r>
            <w:r>
              <w:rPr>
                <w:rFonts w:ascii="宋体" w:hAnsi="宋体" w:cs="宋体" w:eastAsia="宋体" w:hint="default"/>
                <w:sz w:val="20"/>
                <w:szCs w:val="20"/>
              </w:rPr>
              <w:t>T1-记账</w:t>
            </w:r>
          </w:p>
          <w:p>
            <w:pPr>
              <w:pStyle w:val="TableParagraph"/>
              <w:spacing w:line="260" w:lineRule="exact" w:before="24"/>
              <w:ind w:left="103" w:right="217"/>
              <w:jc w:val="left"/>
              <w:rPr>
                <w:rFonts w:ascii="宋体" w:hAnsi="宋体" w:cs="宋体" w:eastAsia="宋体" w:hint="default"/>
                <w:sz w:val="20"/>
                <w:szCs w:val="20"/>
              </w:rPr>
            </w:pPr>
            <w:r>
              <w:rPr>
                <w:rFonts w:ascii="宋体" w:hAnsi="宋体" w:cs="宋体" w:eastAsia="宋体" w:hint="default"/>
                <w:sz w:val="20"/>
                <w:szCs w:val="20"/>
              </w:rPr>
              <w:t>宝</w:t>
            </w:r>
            <w:r>
              <w:rPr>
                <w:rFonts w:ascii="宋体" w:hAnsi="宋体" w:cs="宋体" w:eastAsia="宋体" w:hint="default"/>
                <w:spacing w:val="-51"/>
                <w:sz w:val="20"/>
                <w:szCs w:val="20"/>
              </w:rPr>
              <w:t> </w:t>
            </w:r>
            <w:r>
              <w:rPr>
                <w:rFonts w:ascii="宋体" w:hAnsi="宋体" w:cs="宋体" w:eastAsia="宋体" w:hint="default"/>
                <w:sz w:val="20"/>
                <w:szCs w:val="20"/>
              </w:rPr>
              <w:t>U</w:t>
            </w:r>
            <w:r>
              <w:rPr>
                <w:rFonts w:ascii="宋体" w:hAnsi="宋体" w:cs="宋体" w:eastAsia="宋体" w:hint="default"/>
                <w:spacing w:val="-50"/>
                <w:sz w:val="20"/>
                <w:szCs w:val="20"/>
              </w:rPr>
              <w:t> </w:t>
            </w:r>
            <w:r>
              <w:rPr>
                <w:rFonts w:ascii="宋体" w:hAnsi="宋体" w:cs="宋体" w:eastAsia="宋体" w:hint="default"/>
                <w:sz w:val="20"/>
                <w:szCs w:val="20"/>
              </w:rPr>
              <w:t>盘版财务</w:t>
            </w:r>
            <w:r>
              <w:rPr>
                <w:rFonts w:ascii="宋体" w:hAnsi="宋体" w:cs="宋体" w:eastAsia="宋体" w:hint="default"/>
                <w:w w:val="100"/>
                <w:sz w:val="20"/>
                <w:szCs w:val="20"/>
              </w:rPr>
              <w:t> </w:t>
            </w:r>
            <w:r>
              <w:rPr>
                <w:rFonts w:ascii="宋体" w:hAnsi="宋体" w:cs="宋体" w:eastAsia="宋体" w:hint="default"/>
                <w:sz w:val="20"/>
                <w:szCs w:val="20"/>
              </w:rPr>
              <w:t>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154"/>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0"/>
                <w:sz w:val="20"/>
                <w:szCs w:val="20"/>
              </w:rPr>
              <w:t> </w:t>
            </w:r>
            <w:r>
              <w:rPr>
                <w:rFonts w:ascii="宋体" w:hAnsi="宋体" w:cs="宋体" w:eastAsia="宋体" w:hint="default"/>
                <w:sz w:val="20"/>
                <w:szCs w:val="20"/>
              </w:rPr>
              <w:t>T1-</w:t>
            </w:r>
            <w:r>
              <w:rPr>
                <w:rFonts w:ascii="宋体" w:hAnsi="宋体" w:cs="宋体" w:eastAsia="宋体" w:hint="default"/>
                <w:w w:val="100"/>
                <w:sz w:val="20"/>
                <w:szCs w:val="20"/>
              </w:rPr>
              <w:t> </w:t>
            </w:r>
            <w:r>
              <w:rPr>
                <w:rFonts w:ascii="宋体" w:hAnsi="宋体" w:cs="宋体" w:eastAsia="宋体" w:hint="default"/>
                <w:sz w:val="20"/>
                <w:szCs w:val="20"/>
              </w:rPr>
              <w:t>记账宝</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sz w:val="20"/>
              </w:rPr>
              <w:t>V11.2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sz w:val="20"/>
              </w:rPr>
              <w:t>2009SR026697</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0"/>
              <w:jc w:val="right"/>
              <w:rPr>
                <w:rFonts w:ascii="宋体" w:hAnsi="宋体" w:cs="宋体" w:eastAsia="宋体" w:hint="default"/>
                <w:sz w:val="20"/>
                <w:szCs w:val="20"/>
              </w:rPr>
            </w:pPr>
            <w:r>
              <w:rPr>
                <w:rFonts w:ascii="宋体"/>
                <w:spacing w:val="-1"/>
                <w:sz w:val="20"/>
              </w:rPr>
              <w:t>2009-7-7</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0"/>
              <w:jc w:val="right"/>
              <w:rPr>
                <w:rFonts w:ascii="宋体" w:hAnsi="宋体" w:cs="宋体" w:eastAsia="宋体" w:hint="default"/>
                <w:sz w:val="20"/>
                <w:szCs w:val="20"/>
              </w:rPr>
            </w:pPr>
            <w:r>
              <w:rPr>
                <w:rFonts w:ascii="宋体"/>
                <w:spacing w:val="-1"/>
                <w:sz w:val="20"/>
              </w:rPr>
              <w:t>2009-3-24</w:t>
            </w:r>
            <w:r>
              <w:rPr>
                <w:rFonts w:ascii="宋体"/>
                <w:sz w:val="20"/>
              </w:rPr>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94"/>
              <w:jc w:val="center"/>
              <w:rPr>
                <w:rFonts w:ascii="宋体" w:hAnsi="宋体" w:cs="宋体" w:eastAsia="宋体" w:hint="default"/>
                <w:sz w:val="20"/>
                <w:szCs w:val="20"/>
              </w:rPr>
            </w:pPr>
            <w:r>
              <w:rPr>
                <w:rFonts w:ascii="宋体" w:hAnsi="宋体" w:cs="宋体" w:eastAsia="宋体" w:hint="default"/>
                <w:sz w:val="20"/>
                <w:szCs w:val="20"/>
              </w:rPr>
              <w:t>自有</w:t>
            </w:r>
          </w:p>
        </w:tc>
      </w:tr>
    </w:tbl>
    <w:p>
      <w:pPr>
        <w:spacing w:after="0" w:line="240" w:lineRule="auto"/>
        <w:jc w:val="center"/>
        <w:rPr>
          <w:rFonts w:ascii="宋体" w:hAnsi="宋体" w:cs="宋体" w:eastAsia="宋体" w:hint="default"/>
          <w:sz w:val="20"/>
          <w:szCs w:val="20"/>
        </w:rPr>
        <w:sectPr>
          <w:pgSz w:w="11910" w:h="16840"/>
          <w:pgMar w:header="0" w:footer="727" w:top="1080" w:bottom="920" w:left="1280" w:right="106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0"/>
          <w:szCs w:val="10"/>
        </w:rPr>
      </w:pPr>
    </w:p>
    <w:tbl>
      <w:tblPr>
        <w:tblW w:w="0" w:type="auto"/>
        <w:jc w:val="left"/>
        <w:tblInd w:w="128" w:type="dxa"/>
        <w:tblLayout w:type="fixed"/>
        <w:tblCellMar>
          <w:top w:w="0" w:type="dxa"/>
          <w:left w:w="0" w:type="dxa"/>
          <w:bottom w:w="0" w:type="dxa"/>
          <w:right w:w="0" w:type="dxa"/>
        </w:tblCellMar>
        <w:tblLook w:val="01E0"/>
      </w:tblPr>
      <w:tblGrid>
        <w:gridCol w:w="641"/>
        <w:gridCol w:w="1534"/>
        <w:gridCol w:w="1020"/>
        <w:gridCol w:w="1116"/>
        <w:gridCol w:w="1418"/>
        <w:gridCol w:w="1237"/>
        <w:gridCol w:w="1237"/>
        <w:gridCol w:w="716"/>
      </w:tblGrid>
      <w:tr>
        <w:trPr>
          <w:trHeight w:val="782" w:hRule="exact"/>
        </w:trPr>
        <w:tc>
          <w:tcPr>
            <w:tcW w:w="64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214" w:right="0"/>
              <w:jc w:val="left"/>
              <w:rPr>
                <w:rFonts w:ascii="宋体" w:hAnsi="宋体" w:cs="宋体" w:eastAsia="宋体" w:hint="default"/>
                <w:sz w:val="20"/>
                <w:szCs w:val="20"/>
              </w:rPr>
            </w:pPr>
            <w:r>
              <w:rPr>
                <w:rFonts w:ascii="宋体"/>
                <w:sz w:val="20"/>
              </w:rPr>
              <w:t>19</w:t>
            </w:r>
          </w:p>
        </w:tc>
        <w:tc>
          <w:tcPr>
            <w:tcW w:w="1534" w:type="dxa"/>
            <w:tcBorders>
              <w:top w:val="nil" w:sz="6" w:space="0" w:color="auto"/>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2"/>
                <w:sz w:val="20"/>
                <w:szCs w:val="20"/>
              </w:rPr>
              <w:t> </w:t>
            </w:r>
            <w:r>
              <w:rPr>
                <w:rFonts w:ascii="宋体" w:hAnsi="宋体" w:cs="宋体" w:eastAsia="宋体" w:hint="default"/>
                <w:sz w:val="20"/>
                <w:szCs w:val="20"/>
              </w:rPr>
              <w:t>ERP-U8</w:t>
            </w:r>
            <w:r>
              <w:rPr>
                <w:rFonts w:ascii="宋体" w:hAnsi="宋体" w:cs="宋体" w:eastAsia="宋体" w:hint="default"/>
                <w:spacing w:val="-52"/>
                <w:sz w:val="20"/>
                <w:szCs w:val="20"/>
              </w:rPr>
              <w:t> </w:t>
            </w:r>
            <w:r>
              <w:rPr>
                <w:rFonts w:ascii="宋体" w:hAnsi="宋体" w:cs="宋体" w:eastAsia="宋体" w:hint="default"/>
                <w:sz w:val="20"/>
                <w:szCs w:val="20"/>
              </w:rPr>
              <w:t>连</w:t>
            </w:r>
          </w:p>
          <w:p>
            <w:pPr>
              <w:pStyle w:val="TableParagraph"/>
              <w:spacing w:line="260" w:lineRule="exact" w:before="24"/>
              <w:ind w:left="103" w:right="217"/>
              <w:jc w:val="left"/>
              <w:rPr>
                <w:rFonts w:ascii="宋体" w:hAnsi="宋体" w:cs="宋体" w:eastAsia="宋体" w:hint="default"/>
                <w:sz w:val="20"/>
                <w:szCs w:val="20"/>
              </w:rPr>
            </w:pPr>
            <w:r>
              <w:rPr>
                <w:rFonts w:ascii="宋体" w:hAnsi="宋体" w:cs="宋体" w:eastAsia="宋体" w:hint="default"/>
                <w:sz w:val="20"/>
                <w:szCs w:val="20"/>
              </w:rPr>
              <w:t>锁零售管理系</w:t>
            </w:r>
            <w:r>
              <w:rPr>
                <w:rFonts w:ascii="宋体" w:hAnsi="宋体" w:cs="宋体" w:eastAsia="宋体" w:hint="default"/>
                <w:w w:val="100"/>
                <w:sz w:val="20"/>
                <w:szCs w:val="20"/>
              </w:rPr>
              <w:t> </w:t>
            </w:r>
            <w:r>
              <w:rPr>
                <w:rFonts w:ascii="宋体" w:hAnsi="宋体" w:cs="宋体" w:eastAsia="宋体" w:hint="default"/>
                <w:sz w:val="20"/>
                <w:szCs w:val="20"/>
              </w:rPr>
              <w:t>统</w:t>
            </w:r>
          </w:p>
        </w:tc>
        <w:tc>
          <w:tcPr>
            <w:tcW w:w="1020" w:type="dxa"/>
            <w:tcBorders>
              <w:top w:val="nil" w:sz="6" w:space="0" w:color="auto"/>
              <w:left w:val="single" w:sz="4" w:space="0" w:color="000000"/>
              <w:bottom w:val="single" w:sz="4" w:space="0" w:color="000000"/>
              <w:right w:val="single" w:sz="4" w:space="0" w:color="000000"/>
            </w:tcBorders>
          </w:tcPr>
          <w:p>
            <w:pPr>
              <w:pStyle w:val="TableParagraph"/>
              <w:spacing w:line="260" w:lineRule="exact" w:before="123"/>
              <w:ind w:left="103" w:right="253"/>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1"/>
                <w:sz w:val="20"/>
                <w:szCs w:val="20"/>
              </w:rPr>
              <w:t> </w:t>
            </w:r>
            <w:r>
              <w:rPr>
                <w:rFonts w:ascii="宋体" w:hAnsi="宋体" w:cs="宋体" w:eastAsia="宋体" w:hint="default"/>
                <w:sz w:val="20"/>
                <w:szCs w:val="20"/>
              </w:rPr>
              <w:t>U8</w:t>
            </w:r>
            <w:r>
              <w:rPr>
                <w:rFonts w:ascii="宋体" w:hAnsi="宋体" w:cs="宋体" w:eastAsia="宋体" w:hint="default"/>
                <w:w w:val="100"/>
                <w:sz w:val="20"/>
                <w:szCs w:val="20"/>
              </w:rPr>
              <w:t> </w:t>
            </w:r>
            <w:r>
              <w:rPr>
                <w:rFonts w:ascii="宋体" w:hAnsi="宋体" w:cs="宋体" w:eastAsia="宋体" w:hint="default"/>
                <w:sz w:val="20"/>
                <w:szCs w:val="20"/>
              </w:rPr>
              <w:t>零售</w:t>
            </w:r>
          </w:p>
        </w:tc>
        <w:tc>
          <w:tcPr>
            <w:tcW w:w="11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0"/>
                <w:szCs w:val="20"/>
              </w:rPr>
            </w:pPr>
            <w:r>
              <w:rPr>
                <w:rFonts w:ascii="宋体"/>
                <w:sz w:val="20"/>
              </w:rPr>
              <w:t>V8.72</w:t>
            </w:r>
          </w:p>
        </w:tc>
        <w:tc>
          <w:tcPr>
            <w:tcW w:w="14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0"/>
                <w:szCs w:val="20"/>
              </w:rPr>
            </w:pPr>
            <w:r>
              <w:rPr>
                <w:rFonts w:ascii="宋体"/>
                <w:sz w:val="20"/>
              </w:rPr>
              <w:t>2009SR026698</w:t>
            </w:r>
          </w:p>
        </w:tc>
        <w:tc>
          <w:tcPr>
            <w:tcW w:w="12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100"/>
              <w:jc w:val="right"/>
              <w:rPr>
                <w:rFonts w:ascii="宋体" w:hAnsi="宋体" w:cs="宋体" w:eastAsia="宋体" w:hint="default"/>
                <w:sz w:val="20"/>
                <w:szCs w:val="20"/>
              </w:rPr>
            </w:pPr>
            <w:r>
              <w:rPr>
                <w:rFonts w:ascii="宋体"/>
                <w:spacing w:val="-1"/>
                <w:sz w:val="20"/>
              </w:rPr>
              <w:t>2009-7-7</w:t>
            </w:r>
          </w:p>
        </w:tc>
        <w:tc>
          <w:tcPr>
            <w:tcW w:w="12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222" w:right="0"/>
              <w:jc w:val="center"/>
              <w:rPr>
                <w:rFonts w:ascii="宋体" w:hAnsi="宋体" w:cs="宋体" w:eastAsia="宋体" w:hint="default"/>
                <w:sz w:val="20"/>
                <w:szCs w:val="20"/>
              </w:rPr>
            </w:pPr>
            <w:r>
              <w:rPr>
                <w:rFonts w:ascii="宋体"/>
                <w:sz w:val="20"/>
              </w:rPr>
              <w:t>2009-3-1</w:t>
            </w:r>
          </w:p>
        </w:tc>
        <w:tc>
          <w:tcPr>
            <w:tcW w:w="7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20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2"/>
                <w:sz w:val="20"/>
                <w:szCs w:val="20"/>
              </w:rPr>
              <w:t> </w:t>
            </w:r>
            <w:r>
              <w:rPr>
                <w:rFonts w:ascii="宋体" w:hAnsi="宋体" w:cs="宋体" w:eastAsia="宋体" w:hint="default"/>
                <w:sz w:val="20"/>
                <w:szCs w:val="20"/>
              </w:rPr>
              <w:t>T3-客户</w:t>
            </w:r>
          </w:p>
          <w:p>
            <w:pPr>
              <w:pStyle w:val="TableParagraph"/>
              <w:spacing w:line="261" w:lineRule="exact"/>
              <w:ind w:left="103" w:right="0"/>
              <w:jc w:val="left"/>
              <w:rPr>
                <w:rFonts w:ascii="宋体" w:hAnsi="宋体" w:cs="宋体" w:eastAsia="宋体" w:hint="default"/>
                <w:sz w:val="20"/>
                <w:szCs w:val="20"/>
              </w:rPr>
            </w:pPr>
            <w:r>
              <w:rPr>
                <w:rFonts w:ascii="宋体" w:hAnsi="宋体" w:cs="宋体" w:eastAsia="宋体" w:hint="default"/>
                <w:sz w:val="20"/>
                <w:szCs w:val="20"/>
              </w:rPr>
              <w:t>通管理系统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hAnsi="宋体" w:cs="宋体" w:eastAsia="宋体" w:hint="default"/>
                <w:sz w:val="20"/>
                <w:szCs w:val="20"/>
              </w:rPr>
              <w:t>客户通</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V11.2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2009SR026701</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3"/>
              <w:jc w:val="right"/>
              <w:rPr>
                <w:rFonts w:ascii="宋体" w:hAnsi="宋体" w:cs="宋体" w:eastAsia="宋体" w:hint="default"/>
                <w:sz w:val="20"/>
                <w:szCs w:val="20"/>
              </w:rPr>
            </w:pPr>
            <w:r>
              <w:rPr>
                <w:rFonts w:ascii="宋体"/>
                <w:spacing w:val="-1"/>
                <w:sz w:val="20"/>
              </w:rPr>
              <w:t>2009-7-7</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19" w:right="0"/>
              <w:jc w:val="center"/>
              <w:rPr>
                <w:rFonts w:ascii="宋体" w:hAnsi="宋体" w:cs="宋体" w:eastAsia="宋体" w:hint="default"/>
                <w:sz w:val="20"/>
                <w:szCs w:val="20"/>
              </w:rPr>
            </w:pPr>
            <w:r>
              <w:rPr>
                <w:rFonts w:ascii="宋体"/>
                <w:sz w:val="20"/>
              </w:rPr>
              <w:t>2009-3-19</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7"/>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21</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迈特</w:t>
            </w:r>
          </w:p>
          <w:p>
            <w:pPr>
              <w:pStyle w:val="TableParagraph"/>
              <w:spacing w:line="260" w:lineRule="exact"/>
              <w:ind w:left="103" w:right="0"/>
              <w:jc w:val="left"/>
              <w:rPr>
                <w:rFonts w:ascii="宋体" w:hAnsi="宋体" w:cs="宋体" w:eastAsia="宋体" w:hint="default"/>
                <w:sz w:val="20"/>
                <w:szCs w:val="20"/>
              </w:rPr>
            </w:pPr>
            <w:r>
              <w:rPr>
                <w:rFonts w:ascii="宋体"/>
                <w:sz w:val="20"/>
              </w:rPr>
              <w:t>PDM/PLM3.0</w:t>
            </w:r>
          </w:p>
        </w:tc>
        <w:tc>
          <w:tcPr>
            <w:tcW w:w="1020"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V3.0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2009SR031659</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1"/>
              <w:jc w:val="right"/>
              <w:rPr>
                <w:rFonts w:ascii="宋体" w:hAnsi="宋体" w:cs="宋体" w:eastAsia="宋体" w:hint="default"/>
                <w:sz w:val="20"/>
                <w:szCs w:val="20"/>
              </w:rPr>
            </w:pPr>
            <w:r>
              <w:rPr>
                <w:rFonts w:ascii="宋体"/>
                <w:spacing w:val="-1"/>
                <w:sz w:val="20"/>
              </w:rPr>
              <w:t>2009-8-9</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19" w:right="0"/>
              <w:jc w:val="center"/>
              <w:rPr>
                <w:rFonts w:ascii="宋体" w:hAnsi="宋体" w:cs="宋体" w:eastAsia="宋体" w:hint="default"/>
                <w:sz w:val="20"/>
                <w:szCs w:val="20"/>
              </w:rPr>
            </w:pPr>
            <w:r>
              <w:rPr>
                <w:rFonts w:ascii="宋体"/>
                <w:sz w:val="20"/>
              </w:rPr>
              <w:t>2002-7-25</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迈特</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转入</w:t>
            </w:r>
          </w:p>
        </w:tc>
      </w:tr>
      <w:tr>
        <w:trPr>
          <w:trHeight w:val="52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22</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迈特产品数据</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管理系统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hAnsi="宋体" w:cs="宋体" w:eastAsia="宋体" w:hint="default"/>
                <w:sz w:val="20"/>
                <w:szCs w:val="20"/>
              </w:rPr>
              <w:t>迈特</w:t>
            </w:r>
            <w:r>
              <w:rPr>
                <w:rFonts w:ascii="宋体" w:hAnsi="宋体" w:cs="宋体" w:eastAsia="宋体" w:hint="default"/>
                <w:spacing w:val="-53"/>
                <w:sz w:val="20"/>
                <w:szCs w:val="20"/>
              </w:rPr>
              <w:t> </w:t>
            </w:r>
            <w:r>
              <w:rPr>
                <w:rFonts w:ascii="宋体" w:hAnsi="宋体" w:cs="宋体" w:eastAsia="宋体" w:hint="default"/>
                <w:sz w:val="20"/>
                <w:szCs w:val="20"/>
              </w:rPr>
              <w:t>PDM</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2" w:right="0"/>
              <w:jc w:val="left"/>
              <w:rPr>
                <w:rFonts w:ascii="宋体" w:hAnsi="宋体" w:cs="宋体" w:eastAsia="宋体" w:hint="default"/>
                <w:sz w:val="20"/>
                <w:szCs w:val="20"/>
              </w:rPr>
            </w:pPr>
            <w:r>
              <w:rPr>
                <w:rFonts w:ascii="宋体"/>
                <w:sz w:val="20"/>
              </w:rPr>
              <w:t>V3.8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2009SR030694</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1"/>
              <w:jc w:val="right"/>
              <w:rPr>
                <w:rFonts w:ascii="宋体" w:hAnsi="宋体" w:cs="宋体" w:eastAsia="宋体" w:hint="default"/>
                <w:sz w:val="20"/>
                <w:szCs w:val="20"/>
              </w:rPr>
            </w:pPr>
            <w:r>
              <w:rPr>
                <w:rFonts w:ascii="宋体"/>
                <w:spacing w:val="-1"/>
                <w:sz w:val="20"/>
              </w:rPr>
              <w:t>2009-8-4</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19" w:right="0"/>
              <w:jc w:val="center"/>
              <w:rPr>
                <w:rFonts w:ascii="宋体" w:hAnsi="宋体" w:cs="宋体" w:eastAsia="宋体" w:hint="default"/>
                <w:sz w:val="20"/>
                <w:szCs w:val="20"/>
              </w:rPr>
            </w:pPr>
            <w:r>
              <w:rPr>
                <w:rFonts w:ascii="宋体"/>
                <w:sz w:val="20"/>
              </w:rPr>
              <w:t>2007-7-30</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迈特</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转入</w:t>
            </w:r>
          </w:p>
        </w:tc>
      </w:tr>
      <w:tr>
        <w:trPr>
          <w:trHeight w:val="78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214" w:right="0"/>
              <w:jc w:val="left"/>
              <w:rPr>
                <w:rFonts w:ascii="宋体" w:hAnsi="宋体" w:cs="宋体" w:eastAsia="宋体" w:hint="default"/>
                <w:sz w:val="20"/>
                <w:szCs w:val="20"/>
              </w:rPr>
            </w:pPr>
            <w:r>
              <w:rPr>
                <w:rFonts w:ascii="宋体"/>
                <w:sz w:val="20"/>
              </w:rPr>
              <w:t>23</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0"/>
                <w:szCs w:val="20"/>
              </w:rPr>
            </w:pPr>
            <w:r>
              <w:rPr>
                <w:rFonts w:ascii="宋体" w:hAnsi="宋体" w:cs="宋体" w:eastAsia="宋体" w:hint="default"/>
                <w:sz w:val="20"/>
                <w:szCs w:val="20"/>
              </w:rPr>
              <w:t>迈特-计算机辅</w:t>
            </w:r>
          </w:p>
          <w:p>
            <w:pPr>
              <w:pStyle w:val="TableParagraph"/>
              <w:spacing w:line="240" w:lineRule="auto"/>
              <w:ind w:left="103" w:right="217"/>
              <w:jc w:val="left"/>
              <w:rPr>
                <w:rFonts w:ascii="宋体" w:hAnsi="宋体" w:cs="宋体" w:eastAsia="宋体" w:hint="default"/>
                <w:sz w:val="20"/>
                <w:szCs w:val="20"/>
              </w:rPr>
            </w:pPr>
            <w:r>
              <w:rPr>
                <w:rFonts w:ascii="宋体" w:hAnsi="宋体" w:cs="宋体" w:eastAsia="宋体" w:hint="default"/>
                <w:sz w:val="20"/>
                <w:szCs w:val="20"/>
              </w:rPr>
              <w:t>助工艺设计系</w:t>
            </w:r>
            <w:r>
              <w:rPr>
                <w:rFonts w:ascii="宋体" w:hAnsi="宋体" w:cs="宋体" w:eastAsia="宋体" w:hint="default"/>
                <w:w w:val="100"/>
                <w:sz w:val="20"/>
                <w:szCs w:val="20"/>
              </w:rPr>
              <w:t> </w:t>
            </w:r>
            <w:r>
              <w:rPr>
                <w:rFonts w:ascii="宋体" w:hAnsi="宋体" w:cs="宋体" w:eastAsia="宋体" w:hint="default"/>
                <w:sz w:val="20"/>
                <w:szCs w:val="20"/>
              </w:rPr>
              <w:t>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迈特</w:t>
            </w:r>
          </w:p>
          <w:p>
            <w:pPr>
              <w:pStyle w:val="TableParagraph"/>
              <w:spacing w:line="240" w:lineRule="auto"/>
              <w:ind w:left="103" w:right="505"/>
              <w:jc w:val="left"/>
              <w:rPr>
                <w:rFonts w:ascii="宋体" w:hAnsi="宋体" w:cs="宋体" w:eastAsia="宋体" w:hint="default"/>
                <w:sz w:val="20"/>
                <w:szCs w:val="20"/>
              </w:rPr>
            </w:pPr>
            <w:r>
              <w:rPr>
                <w:rFonts w:ascii="宋体"/>
                <w:sz w:val="20"/>
              </w:rPr>
              <w:t>CAPP</w:t>
            </w:r>
            <w:r>
              <w:rPr>
                <w:rFonts w:ascii="宋体"/>
                <w:spacing w:val="-1"/>
                <w:w w:val="100"/>
                <w:sz w:val="20"/>
              </w:rPr>
              <w:t> </w:t>
            </w:r>
            <w:r>
              <w:rPr>
                <w:rFonts w:ascii="宋体"/>
                <w:sz w:val="20"/>
              </w:rPr>
              <w:t>V2.0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0"/>
                <w:szCs w:val="20"/>
              </w:rPr>
            </w:pPr>
            <w:r>
              <w:rPr>
                <w:rFonts w:ascii="宋体"/>
                <w:sz w:val="20"/>
              </w:rPr>
              <w:t>V2.0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0"/>
                <w:szCs w:val="20"/>
              </w:rPr>
            </w:pPr>
            <w:r>
              <w:rPr>
                <w:rFonts w:ascii="宋体"/>
                <w:sz w:val="20"/>
              </w:rPr>
              <w:t>2009SR030007</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102"/>
              <w:jc w:val="right"/>
              <w:rPr>
                <w:rFonts w:ascii="宋体" w:hAnsi="宋体" w:cs="宋体" w:eastAsia="宋体" w:hint="default"/>
                <w:sz w:val="20"/>
                <w:szCs w:val="20"/>
              </w:rPr>
            </w:pPr>
            <w:r>
              <w:rPr>
                <w:rFonts w:ascii="宋体"/>
                <w:spacing w:val="-1"/>
                <w:sz w:val="20"/>
              </w:rPr>
              <w:t>2009-7-30</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9" w:right="0"/>
              <w:jc w:val="center"/>
              <w:rPr>
                <w:rFonts w:ascii="宋体" w:hAnsi="宋体" w:cs="宋体" w:eastAsia="宋体" w:hint="default"/>
                <w:sz w:val="20"/>
                <w:szCs w:val="20"/>
              </w:rPr>
            </w:pPr>
            <w:r>
              <w:rPr>
                <w:rFonts w:ascii="宋体"/>
                <w:sz w:val="20"/>
              </w:rPr>
              <w:t>2004-10-31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200"/>
              <w:jc w:val="left"/>
              <w:rPr>
                <w:rFonts w:ascii="宋体" w:hAnsi="宋体" w:cs="宋体" w:eastAsia="宋体" w:hint="default"/>
                <w:sz w:val="20"/>
                <w:szCs w:val="20"/>
              </w:rPr>
            </w:pPr>
            <w:r>
              <w:rPr>
                <w:rFonts w:ascii="宋体" w:hAnsi="宋体" w:cs="宋体" w:eastAsia="宋体" w:hint="default"/>
                <w:sz w:val="20"/>
                <w:szCs w:val="20"/>
              </w:rPr>
              <w:t>迈特</w:t>
            </w:r>
            <w:r>
              <w:rPr>
                <w:rFonts w:ascii="宋体" w:hAnsi="宋体" w:cs="宋体" w:eastAsia="宋体" w:hint="default"/>
                <w:w w:val="100"/>
                <w:sz w:val="20"/>
                <w:szCs w:val="20"/>
              </w:rPr>
              <w:t> </w:t>
            </w:r>
            <w:r>
              <w:rPr>
                <w:rFonts w:ascii="宋体" w:hAnsi="宋体" w:cs="宋体" w:eastAsia="宋体" w:hint="default"/>
                <w:sz w:val="20"/>
                <w:szCs w:val="20"/>
              </w:rPr>
              <w:t>转入</w:t>
            </w:r>
          </w:p>
        </w:tc>
      </w:tr>
      <w:tr>
        <w:trPr>
          <w:trHeight w:val="78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214" w:right="0"/>
              <w:jc w:val="left"/>
              <w:rPr>
                <w:rFonts w:ascii="宋体" w:hAnsi="宋体" w:cs="宋体" w:eastAsia="宋体" w:hint="default"/>
                <w:sz w:val="20"/>
                <w:szCs w:val="20"/>
              </w:rPr>
            </w:pPr>
            <w:r>
              <w:rPr>
                <w:rFonts w:ascii="宋体"/>
                <w:sz w:val="20"/>
              </w:rPr>
              <w:t>24</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迈特-计算机辅</w:t>
            </w:r>
          </w:p>
          <w:p>
            <w:pPr>
              <w:pStyle w:val="TableParagraph"/>
              <w:spacing w:line="260" w:lineRule="exact" w:before="24"/>
              <w:ind w:left="103" w:right="217"/>
              <w:jc w:val="left"/>
              <w:rPr>
                <w:rFonts w:ascii="宋体" w:hAnsi="宋体" w:cs="宋体" w:eastAsia="宋体" w:hint="default"/>
                <w:sz w:val="20"/>
                <w:szCs w:val="20"/>
              </w:rPr>
            </w:pPr>
            <w:r>
              <w:rPr>
                <w:rFonts w:ascii="宋体" w:hAnsi="宋体" w:cs="宋体" w:eastAsia="宋体" w:hint="default"/>
                <w:sz w:val="20"/>
                <w:szCs w:val="20"/>
              </w:rPr>
              <w:t>助工艺设计系</w:t>
            </w:r>
            <w:r>
              <w:rPr>
                <w:rFonts w:ascii="宋体" w:hAnsi="宋体" w:cs="宋体" w:eastAsia="宋体" w:hint="default"/>
                <w:w w:val="100"/>
                <w:sz w:val="20"/>
                <w:szCs w:val="20"/>
              </w:rPr>
              <w:t> </w:t>
            </w:r>
            <w:r>
              <w:rPr>
                <w:rFonts w:ascii="宋体" w:hAnsi="宋体" w:cs="宋体" w:eastAsia="宋体" w:hint="default"/>
                <w:sz w:val="20"/>
                <w:szCs w:val="20"/>
              </w:rPr>
              <w:t>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504"/>
              <w:jc w:val="left"/>
              <w:rPr>
                <w:rFonts w:ascii="宋体" w:hAnsi="宋体" w:cs="宋体" w:eastAsia="宋体" w:hint="default"/>
                <w:sz w:val="20"/>
                <w:szCs w:val="20"/>
              </w:rPr>
            </w:pPr>
            <w:r>
              <w:rPr>
                <w:rFonts w:ascii="宋体" w:hAnsi="宋体" w:cs="宋体" w:eastAsia="宋体" w:hint="default"/>
                <w:sz w:val="20"/>
                <w:szCs w:val="20"/>
              </w:rPr>
              <w:t>迈特</w:t>
            </w:r>
            <w:r>
              <w:rPr>
                <w:rFonts w:ascii="宋体" w:hAnsi="宋体" w:cs="宋体" w:eastAsia="宋体" w:hint="default"/>
                <w:w w:val="100"/>
                <w:sz w:val="20"/>
                <w:szCs w:val="20"/>
              </w:rPr>
              <w:t> </w:t>
            </w:r>
            <w:r>
              <w:rPr>
                <w:rFonts w:ascii="宋体" w:hAnsi="宋体" w:cs="宋体" w:eastAsia="宋体" w:hint="default"/>
                <w:sz w:val="20"/>
                <w:szCs w:val="20"/>
              </w:rPr>
              <w:t>CAPP</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0"/>
                <w:szCs w:val="20"/>
              </w:rPr>
            </w:pPr>
            <w:r>
              <w:rPr>
                <w:rFonts w:ascii="宋体"/>
                <w:sz w:val="20"/>
              </w:rPr>
              <w:t>V3.0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0"/>
                <w:szCs w:val="20"/>
              </w:rPr>
            </w:pPr>
            <w:r>
              <w:rPr>
                <w:rFonts w:ascii="宋体"/>
                <w:sz w:val="20"/>
              </w:rPr>
              <w:t>2009SR030693</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101"/>
              <w:jc w:val="right"/>
              <w:rPr>
                <w:rFonts w:ascii="宋体" w:hAnsi="宋体" w:cs="宋体" w:eastAsia="宋体" w:hint="default"/>
                <w:sz w:val="20"/>
                <w:szCs w:val="20"/>
              </w:rPr>
            </w:pPr>
            <w:r>
              <w:rPr>
                <w:rFonts w:ascii="宋体"/>
                <w:spacing w:val="-1"/>
                <w:sz w:val="20"/>
              </w:rPr>
              <w:t>2009-8-4</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9" w:right="0"/>
              <w:jc w:val="center"/>
              <w:rPr>
                <w:rFonts w:ascii="宋体" w:hAnsi="宋体" w:cs="宋体" w:eastAsia="宋体" w:hint="default"/>
                <w:sz w:val="20"/>
                <w:szCs w:val="20"/>
              </w:rPr>
            </w:pPr>
            <w:r>
              <w:rPr>
                <w:rFonts w:ascii="宋体"/>
                <w:sz w:val="20"/>
              </w:rPr>
              <w:t>2007-10-20</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200"/>
              <w:jc w:val="left"/>
              <w:rPr>
                <w:rFonts w:ascii="宋体" w:hAnsi="宋体" w:cs="宋体" w:eastAsia="宋体" w:hint="default"/>
                <w:sz w:val="20"/>
                <w:szCs w:val="20"/>
              </w:rPr>
            </w:pPr>
            <w:r>
              <w:rPr>
                <w:rFonts w:ascii="宋体" w:hAnsi="宋体" w:cs="宋体" w:eastAsia="宋体" w:hint="default"/>
                <w:sz w:val="20"/>
                <w:szCs w:val="20"/>
              </w:rPr>
              <w:t>迈特</w:t>
            </w:r>
            <w:r>
              <w:rPr>
                <w:rFonts w:ascii="宋体" w:hAnsi="宋体" w:cs="宋体" w:eastAsia="宋体" w:hint="default"/>
                <w:w w:val="100"/>
                <w:sz w:val="20"/>
                <w:szCs w:val="20"/>
              </w:rPr>
              <w:t> </w:t>
            </w:r>
            <w:r>
              <w:rPr>
                <w:rFonts w:ascii="宋体" w:hAnsi="宋体" w:cs="宋体" w:eastAsia="宋体" w:hint="default"/>
                <w:sz w:val="20"/>
                <w:szCs w:val="20"/>
              </w:rPr>
              <w:t>转入</w:t>
            </w:r>
          </w:p>
        </w:tc>
      </w:tr>
      <w:tr>
        <w:trPr>
          <w:trHeight w:val="78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214" w:right="0"/>
              <w:jc w:val="left"/>
              <w:rPr>
                <w:rFonts w:ascii="宋体" w:hAnsi="宋体" w:cs="宋体" w:eastAsia="宋体" w:hint="default"/>
                <w:sz w:val="20"/>
                <w:szCs w:val="20"/>
              </w:rPr>
            </w:pPr>
            <w:r>
              <w:rPr>
                <w:rFonts w:ascii="宋体"/>
                <w:sz w:val="20"/>
              </w:rPr>
              <w:t>25</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0"/>
                <w:szCs w:val="20"/>
              </w:rPr>
            </w:pPr>
            <w:r>
              <w:rPr>
                <w:rFonts w:ascii="宋体" w:hAnsi="宋体" w:cs="宋体" w:eastAsia="宋体" w:hint="default"/>
                <w:sz w:val="20"/>
                <w:szCs w:val="20"/>
              </w:rPr>
              <w:t>迈特产品数字</w:t>
            </w:r>
          </w:p>
          <w:p>
            <w:pPr>
              <w:pStyle w:val="TableParagraph"/>
              <w:spacing w:line="260" w:lineRule="exact" w:before="24"/>
              <w:ind w:left="103" w:right="217"/>
              <w:jc w:val="left"/>
              <w:rPr>
                <w:rFonts w:ascii="宋体" w:hAnsi="宋体" w:cs="宋体" w:eastAsia="宋体" w:hint="default"/>
                <w:sz w:val="20"/>
                <w:szCs w:val="20"/>
              </w:rPr>
            </w:pPr>
            <w:r>
              <w:rPr>
                <w:rFonts w:ascii="宋体" w:hAnsi="宋体" w:cs="宋体" w:eastAsia="宋体" w:hint="default"/>
                <w:sz w:val="20"/>
                <w:szCs w:val="20"/>
              </w:rPr>
              <w:t>化协同设计平</w:t>
            </w:r>
            <w:r>
              <w:rPr>
                <w:rFonts w:ascii="宋体" w:hAnsi="宋体" w:cs="宋体" w:eastAsia="宋体" w:hint="default"/>
                <w:w w:val="100"/>
                <w:sz w:val="20"/>
                <w:szCs w:val="20"/>
              </w:rPr>
              <w:t> </w:t>
            </w:r>
            <w:r>
              <w:rPr>
                <w:rFonts w:ascii="宋体" w:hAnsi="宋体" w:cs="宋体" w:eastAsia="宋体" w:hint="default"/>
                <w:sz w:val="20"/>
                <w:szCs w:val="20"/>
              </w:rPr>
              <w:t>台系统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0"/>
                <w:szCs w:val="20"/>
              </w:rPr>
            </w:pPr>
            <w:r>
              <w:rPr>
                <w:rFonts w:ascii="宋体"/>
                <w:sz w:val="20"/>
              </w:rPr>
              <w:t>Mit-DCD</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0"/>
                <w:szCs w:val="20"/>
              </w:rPr>
            </w:pPr>
            <w:r>
              <w:rPr>
                <w:rFonts w:ascii="宋体"/>
                <w:sz w:val="20"/>
              </w:rPr>
              <w:t>V1.0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0"/>
                <w:szCs w:val="20"/>
              </w:rPr>
            </w:pPr>
            <w:r>
              <w:rPr>
                <w:rFonts w:ascii="宋体"/>
                <w:sz w:val="20"/>
              </w:rPr>
              <w:t>2009SR030692</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101"/>
              <w:jc w:val="right"/>
              <w:rPr>
                <w:rFonts w:ascii="宋体" w:hAnsi="宋体" w:cs="宋体" w:eastAsia="宋体" w:hint="default"/>
                <w:sz w:val="20"/>
                <w:szCs w:val="20"/>
              </w:rPr>
            </w:pPr>
            <w:r>
              <w:rPr>
                <w:rFonts w:ascii="宋体"/>
                <w:spacing w:val="-1"/>
                <w:sz w:val="20"/>
              </w:rPr>
              <w:t>2009-8-4</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219" w:right="0"/>
              <w:jc w:val="center"/>
              <w:rPr>
                <w:rFonts w:ascii="宋体" w:hAnsi="宋体" w:cs="宋体" w:eastAsia="宋体" w:hint="default"/>
                <w:sz w:val="20"/>
                <w:szCs w:val="20"/>
              </w:rPr>
            </w:pPr>
            <w:r>
              <w:rPr>
                <w:rFonts w:ascii="宋体"/>
                <w:sz w:val="20"/>
              </w:rPr>
              <w:t>2006-7-1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200"/>
              <w:jc w:val="left"/>
              <w:rPr>
                <w:rFonts w:ascii="宋体" w:hAnsi="宋体" w:cs="宋体" w:eastAsia="宋体" w:hint="default"/>
                <w:sz w:val="20"/>
                <w:szCs w:val="20"/>
              </w:rPr>
            </w:pPr>
            <w:r>
              <w:rPr>
                <w:rFonts w:ascii="宋体" w:hAnsi="宋体" w:cs="宋体" w:eastAsia="宋体" w:hint="default"/>
                <w:sz w:val="20"/>
                <w:szCs w:val="20"/>
              </w:rPr>
              <w:t>迈特</w:t>
            </w:r>
            <w:r>
              <w:rPr>
                <w:rFonts w:ascii="宋体" w:hAnsi="宋体" w:cs="宋体" w:eastAsia="宋体" w:hint="default"/>
                <w:w w:val="100"/>
                <w:sz w:val="20"/>
                <w:szCs w:val="20"/>
              </w:rPr>
              <w:t> </w:t>
            </w:r>
            <w:r>
              <w:rPr>
                <w:rFonts w:ascii="宋体" w:hAnsi="宋体" w:cs="宋体" w:eastAsia="宋体" w:hint="default"/>
                <w:sz w:val="20"/>
                <w:szCs w:val="20"/>
              </w:rPr>
              <w:t>转入</w:t>
            </w:r>
          </w:p>
        </w:tc>
      </w:tr>
      <w:tr>
        <w:trPr>
          <w:trHeight w:val="104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7"/>
              <w:ind w:left="214" w:right="0"/>
              <w:jc w:val="left"/>
              <w:rPr>
                <w:rFonts w:ascii="宋体" w:hAnsi="宋体" w:cs="宋体" w:eastAsia="宋体" w:hint="default"/>
                <w:sz w:val="20"/>
                <w:szCs w:val="20"/>
              </w:rPr>
            </w:pPr>
            <w:r>
              <w:rPr>
                <w:rFonts w:ascii="宋体"/>
                <w:sz w:val="20"/>
              </w:rPr>
              <w:t>26</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both"/>
              <w:rPr>
                <w:rFonts w:ascii="宋体" w:hAnsi="宋体" w:cs="宋体" w:eastAsia="宋体" w:hint="default"/>
                <w:sz w:val="20"/>
                <w:szCs w:val="20"/>
              </w:rPr>
            </w:pPr>
            <w:r>
              <w:rPr>
                <w:rFonts w:ascii="宋体" w:hAnsi="宋体" w:cs="宋体" w:eastAsia="宋体" w:hint="default"/>
                <w:sz w:val="20"/>
                <w:szCs w:val="20"/>
              </w:rPr>
              <w:t>迈特企业间网</w:t>
            </w:r>
          </w:p>
          <w:p>
            <w:pPr>
              <w:pStyle w:val="TableParagraph"/>
              <w:spacing w:line="260" w:lineRule="exact" w:before="24"/>
              <w:ind w:left="103" w:right="217"/>
              <w:jc w:val="both"/>
              <w:rPr>
                <w:rFonts w:ascii="宋体" w:hAnsi="宋体" w:cs="宋体" w:eastAsia="宋体" w:hint="default"/>
                <w:sz w:val="20"/>
                <w:szCs w:val="20"/>
              </w:rPr>
            </w:pPr>
            <w:r>
              <w:rPr>
                <w:rFonts w:ascii="宋体" w:hAnsi="宋体" w:cs="宋体" w:eastAsia="宋体" w:hint="default"/>
                <w:sz w:val="20"/>
                <w:szCs w:val="20"/>
              </w:rPr>
              <w:t>络化协同设计</w:t>
            </w:r>
            <w:r>
              <w:rPr>
                <w:rFonts w:ascii="宋体" w:hAnsi="宋体" w:cs="宋体" w:eastAsia="宋体" w:hint="default"/>
                <w:w w:val="100"/>
                <w:sz w:val="20"/>
                <w:szCs w:val="20"/>
              </w:rPr>
              <w:t> </w:t>
            </w:r>
            <w:r>
              <w:rPr>
                <w:rFonts w:ascii="宋体" w:hAnsi="宋体" w:cs="宋体" w:eastAsia="宋体" w:hint="default"/>
                <w:sz w:val="20"/>
                <w:szCs w:val="20"/>
              </w:rPr>
              <w:t>与管理平台系</w:t>
            </w:r>
            <w:r>
              <w:rPr>
                <w:rFonts w:ascii="宋体" w:hAnsi="宋体" w:cs="宋体" w:eastAsia="宋体" w:hint="default"/>
                <w:w w:val="100"/>
                <w:sz w:val="20"/>
                <w:szCs w:val="20"/>
              </w:rPr>
              <w:t> </w:t>
            </w:r>
            <w:r>
              <w:rPr>
                <w:rFonts w:ascii="宋体" w:hAnsi="宋体" w:cs="宋体" w:eastAsia="宋体" w:hint="default"/>
                <w:sz w:val="20"/>
                <w:szCs w:val="20"/>
              </w:rPr>
              <w:t>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60" w:lineRule="exact"/>
              <w:ind w:left="103" w:right="104"/>
              <w:jc w:val="left"/>
              <w:rPr>
                <w:rFonts w:ascii="宋体" w:hAnsi="宋体" w:cs="宋体" w:eastAsia="宋体" w:hint="default"/>
                <w:sz w:val="20"/>
                <w:szCs w:val="20"/>
              </w:rPr>
            </w:pPr>
            <w:r>
              <w:rPr>
                <w:rFonts w:ascii="宋体"/>
                <w:sz w:val="20"/>
              </w:rPr>
              <w:t>MIT-eCDM</w:t>
            </w:r>
            <w:r>
              <w:rPr>
                <w:rFonts w:ascii="宋体"/>
                <w:w w:val="100"/>
                <w:sz w:val="20"/>
              </w:rPr>
              <w:t> </w:t>
            </w:r>
            <w:r>
              <w:rPr>
                <w:rFonts w:ascii="宋体"/>
                <w:sz w:val="20"/>
              </w:rPr>
              <w:t>V2.0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left="103" w:right="0"/>
              <w:jc w:val="left"/>
              <w:rPr>
                <w:rFonts w:ascii="宋体" w:hAnsi="宋体" w:cs="宋体" w:eastAsia="宋体" w:hint="default"/>
                <w:sz w:val="20"/>
                <w:szCs w:val="20"/>
              </w:rPr>
            </w:pPr>
            <w:r>
              <w:rPr>
                <w:rFonts w:ascii="宋体"/>
                <w:sz w:val="20"/>
              </w:rPr>
              <w:t>V2.0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right="0"/>
              <w:jc w:val="center"/>
              <w:rPr>
                <w:rFonts w:ascii="宋体" w:hAnsi="宋体" w:cs="宋体" w:eastAsia="宋体" w:hint="default"/>
                <w:sz w:val="20"/>
                <w:szCs w:val="20"/>
              </w:rPr>
            </w:pPr>
            <w:r>
              <w:rPr>
                <w:rFonts w:ascii="宋体"/>
                <w:sz w:val="20"/>
              </w:rPr>
              <w:t>2009SR030766</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right="101"/>
              <w:jc w:val="right"/>
              <w:rPr>
                <w:rFonts w:ascii="宋体" w:hAnsi="宋体" w:cs="宋体" w:eastAsia="宋体" w:hint="default"/>
                <w:sz w:val="20"/>
                <w:szCs w:val="20"/>
              </w:rPr>
            </w:pPr>
            <w:r>
              <w:rPr>
                <w:rFonts w:ascii="宋体"/>
                <w:spacing w:val="-1"/>
                <w:sz w:val="20"/>
              </w:rPr>
              <w:t>2009-8-5</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left="119" w:right="0"/>
              <w:jc w:val="center"/>
              <w:rPr>
                <w:rFonts w:ascii="宋体" w:hAnsi="宋体" w:cs="宋体" w:eastAsia="宋体" w:hint="default"/>
                <w:sz w:val="20"/>
                <w:szCs w:val="20"/>
              </w:rPr>
            </w:pPr>
            <w:r>
              <w:rPr>
                <w:rFonts w:ascii="宋体"/>
                <w:sz w:val="20"/>
              </w:rPr>
              <w:t>2007-6-10</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60" w:lineRule="exact"/>
              <w:ind w:left="103" w:right="200"/>
              <w:jc w:val="left"/>
              <w:rPr>
                <w:rFonts w:ascii="宋体" w:hAnsi="宋体" w:cs="宋体" w:eastAsia="宋体" w:hint="default"/>
                <w:sz w:val="20"/>
                <w:szCs w:val="20"/>
              </w:rPr>
            </w:pPr>
            <w:r>
              <w:rPr>
                <w:rFonts w:ascii="宋体" w:hAnsi="宋体" w:cs="宋体" w:eastAsia="宋体" w:hint="default"/>
                <w:sz w:val="20"/>
                <w:szCs w:val="20"/>
              </w:rPr>
              <w:t>迈特</w:t>
            </w:r>
            <w:r>
              <w:rPr>
                <w:rFonts w:ascii="宋体" w:hAnsi="宋体" w:cs="宋体" w:eastAsia="宋体" w:hint="default"/>
                <w:w w:val="100"/>
                <w:sz w:val="20"/>
                <w:szCs w:val="20"/>
              </w:rPr>
              <w:t> </w:t>
            </w:r>
            <w:r>
              <w:rPr>
                <w:rFonts w:ascii="宋体" w:hAnsi="宋体" w:cs="宋体" w:eastAsia="宋体" w:hint="default"/>
                <w:sz w:val="20"/>
                <w:szCs w:val="20"/>
              </w:rPr>
              <w:t>转入</w:t>
            </w:r>
          </w:p>
        </w:tc>
      </w:tr>
      <w:tr>
        <w:trPr>
          <w:trHeight w:val="787"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214" w:right="0"/>
              <w:jc w:val="left"/>
              <w:rPr>
                <w:rFonts w:ascii="宋体" w:hAnsi="宋体" w:cs="宋体" w:eastAsia="宋体" w:hint="default"/>
                <w:sz w:val="20"/>
                <w:szCs w:val="20"/>
              </w:rPr>
            </w:pPr>
            <w:r>
              <w:rPr>
                <w:rFonts w:ascii="宋体"/>
                <w:sz w:val="20"/>
              </w:rPr>
              <w:t>27</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0"/>
                <w:szCs w:val="20"/>
              </w:rPr>
            </w:pPr>
            <w:r>
              <w:rPr>
                <w:rFonts w:ascii="宋体" w:hAnsi="宋体" w:cs="宋体" w:eastAsia="宋体" w:hint="default"/>
                <w:sz w:val="20"/>
                <w:szCs w:val="20"/>
              </w:rPr>
              <w:t>迈特协同供应</w:t>
            </w:r>
          </w:p>
          <w:p>
            <w:pPr>
              <w:pStyle w:val="TableParagraph"/>
              <w:spacing w:line="260" w:lineRule="exact" w:before="24"/>
              <w:ind w:left="103" w:right="217"/>
              <w:jc w:val="left"/>
              <w:rPr>
                <w:rFonts w:ascii="宋体" w:hAnsi="宋体" w:cs="宋体" w:eastAsia="宋体" w:hint="default"/>
                <w:sz w:val="20"/>
                <w:szCs w:val="20"/>
              </w:rPr>
            </w:pPr>
            <w:r>
              <w:rPr>
                <w:rFonts w:ascii="宋体" w:hAnsi="宋体" w:cs="宋体" w:eastAsia="宋体" w:hint="default"/>
                <w:sz w:val="20"/>
                <w:szCs w:val="20"/>
              </w:rPr>
              <w:t>链与协同制造</w:t>
            </w:r>
            <w:r>
              <w:rPr>
                <w:rFonts w:ascii="宋体" w:hAnsi="宋体" w:cs="宋体" w:eastAsia="宋体" w:hint="default"/>
                <w:w w:val="100"/>
                <w:sz w:val="20"/>
                <w:szCs w:val="20"/>
              </w:rPr>
              <w:t> </w:t>
            </w:r>
            <w:r>
              <w:rPr>
                <w:rFonts w:ascii="宋体" w:hAnsi="宋体" w:cs="宋体" w:eastAsia="宋体" w:hint="default"/>
                <w:sz w:val="20"/>
                <w:szCs w:val="20"/>
              </w:rPr>
              <w:t>平台系统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103"/>
              <w:jc w:val="left"/>
              <w:rPr>
                <w:rFonts w:ascii="宋体" w:hAnsi="宋体" w:cs="宋体" w:eastAsia="宋体" w:hint="default"/>
                <w:sz w:val="20"/>
                <w:szCs w:val="20"/>
              </w:rPr>
            </w:pPr>
            <w:r>
              <w:rPr>
                <w:rFonts w:ascii="宋体" w:hAnsi="宋体" w:cs="宋体" w:eastAsia="宋体" w:hint="default"/>
                <w:sz w:val="20"/>
                <w:szCs w:val="20"/>
              </w:rPr>
              <w:t>迈特协同</w:t>
            </w:r>
            <w:r>
              <w:rPr>
                <w:rFonts w:ascii="宋体" w:hAnsi="宋体" w:cs="宋体" w:eastAsia="宋体" w:hint="default"/>
                <w:w w:val="100"/>
                <w:sz w:val="20"/>
                <w:szCs w:val="20"/>
              </w:rPr>
              <w:t> </w:t>
            </w:r>
            <w:r>
              <w:rPr>
                <w:rFonts w:ascii="宋体" w:hAnsi="宋体" w:cs="宋体" w:eastAsia="宋体" w:hint="default"/>
                <w:sz w:val="20"/>
                <w:szCs w:val="20"/>
              </w:rPr>
              <w:t>平台</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0"/>
                <w:szCs w:val="20"/>
              </w:rPr>
            </w:pPr>
            <w:r>
              <w:rPr>
                <w:rFonts w:ascii="宋体"/>
                <w:sz w:val="20"/>
              </w:rPr>
              <w:t>V2.50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0"/>
                <w:szCs w:val="20"/>
              </w:rPr>
            </w:pPr>
            <w:r>
              <w:rPr>
                <w:rFonts w:ascii="宋体"/>
                <w:sz w:val="20"/>
              </w:rPr>
              <w:t>2009SR030009</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102"/>
              <w:jc w:val="right"/>
              <w:rPr>
                <w:rFonts w:ascii="宋体" w:hAnsi="宋体" w:cs="宋体" w:eastAsia="宋体" w:hint="default"/>
                <w:sz w:val="20"/>
                <w:szCs w:val="20"/>
              </w:rPr>
            </w:pPr>
            <w:r>
              <w:rPr>
                <w:rFonts w:ascii="宋体"/>
                <w:spacing w:val="-1"/>
                <w:sz w:val="20"/>
              </w:rPr>
              <w:t>2009-7-30</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19" w:right="0"/>
              <w:jc w:val="center"/>
              <w:rPr>
                <w:rFonts w:ascii="宋体" w:hAnsi="宋体" w:cs="宋体" w:eastAsia="宋体" w:hint="default"/>
                <w:sz w:val="20"/>
                <w:szCs w:val="20"/>
              </w:rPr>
            </w:pPr>
            <w:r>
              <w:rPr>
                <w:rFonts w:ascii="宋体"/>
                <w:sz w:val="20"/>
              </w:rPr>
              <w:t>2008-4-25</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3"/>
              <w:ind w:left="103" w:right="200"/>
              <w:jc w:val="left"/>
              <w:rPr>
                <w:rFonts w:ascii="宋体" w:hAnsi="宋体" w:cs="宋体" w:eastAsia="宋体" w:hint="default"/>
                <w:sz w:val="20"/>
                <w:szCs w:val="20"/>
              </w:rPr>
            </w:pPr>
            <w:r>
              <w:rPr>
                <w:rFonts w:ascii="宋体" w:hAnsi="宋体" w:cs="宋体" w:eastAsia="宋体" w:hint="default"/>
                <w:sz w:val="20"/>
                <w:szCs w:val="20"/>
              </w:rPr>
              <w:t>迈特</w:t>
            </w:r>
            <w:r>
              <w:rPr>
                <w:rFonts w:ascii="宋体" w:hAnsi="宋体" w:cs="宋体" w:eastAsia="宋体" w:hint="default"/>
                <w:w w:val="100"/>
                <w:sz w:val="20"/>
                <w:szCs w:val="20"/>
              </w:rPr>
              <w:t> </w:t>
            </w:r>
            <w:r>
              <w:rPr>
                <w:rFonts w:ascii="宋体" w:hAnsi="宋体" w:cs="宋体" w:eastAsia="宋体" w:hint="default"/>
                <w:sz w:val="20"/>
                <w:szCs w:val="20"/>
              </w:rPr>
              <w:t>转入</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28</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2"/>
                <w:sz w:val="20"/>
                <w:szCs w:val="20"/>
              </w:rPr>
              <w:t> </w:t>
            </w:r>
            <w:r>
              <w:rPr>
                <w:rFonts w:ascii="宋体" w:hAnsi="宋体" w:cs="宋体" w:eastAsia="宋体" w:hint="default"/>
                <w:sz w:val="20"/>
                <w:szCs w:val="20"/>
              </w:rPr>
              <w:t>T3-仓管</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通管理软件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0"/>
                <w:sz w:val="20"/>
                <w:szCs w:val="20"/>
              </w:rPr>
              <w:t> </w:t>
            </w:r>
            <w:r>
              <w:rPr>
                <w:rFonts w:ascii="宋体" w:hAnsi="宋体" w:cs="宋体" w:eastAsia="宋体" w:hint="default"/>
                <w:sz w:val="20"/>
                <w:szCs w:val="20"/>
              </w:rPr>
              <w:t>T3-</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仓管通</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V11.0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2009SR031679</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2009-8-10</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2" w:right="0"/>
              <w:jc w:val="center"/>
              <w:rPr>
                <w:rFonts w:ascii="宋体" w:hAnsi="宋体" w:cs="宋体" w:eastAsia="宋体" w:hint="default"/>
                <w:sz w:val="20"/>
                <w:szCs w:val="20"/>
              </w:rPr>
            </w:pPr>
            <w:r>
              <w:rPr>
                <w:rFonts w:ascii="宋体"/>
                <w:sz w:val="20"/>
              </w:rPr>
              <w:t>2009-5-26</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29</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2"/>
                <w:sz w:val="20"/>
                <w:szCs w:val="20"/>
              </w:rPr>
              <w:t> </w:t>
            </w:r>
            <w:r>
              <w:rPr>
                <w:rFonts w:ascii="宋体" w:hAnsi="宋体" w:cs="宋体" w:eastAsia="宋体" w:hint="default"/>
                <w:sz w:val="20"/>
                <w:szCs w:val="20"/>
              </w:rPr>
              <w:t>T3-业务</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通管理软件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0"/>
                <w:sz w:val="20"/>
                <w:szCs w:val="20"/>
              </w:rPr>
              <w:t> </w:t>
            </w:r>
            <w:r>
              <w:rPr>
                <w:rFonts w:ascii="宋体" w:hAnsi="宋体" w:cs="宋体" w:eastAsia="宋体" w:hint="default"/>
                <w:sz w:val="20"/>
                <w:szCs w:val="20"/>
              </w:rPr>
              <w:t>T3-</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业务通</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V11.0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2009SR031680</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2009-8-10</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2" w:right="0"/>
              <w:jc w:val="center"/>
              <w:rPr>
                <w:rFonts w:ascii="宋体" w:hAnsi="宋体" w:cs="宋体" w:eastAsia="宋体" w:hint="default"/>
                <w:sz w:val="20"/>
                <w:szCs w:val="20"/>
              </w:rPr>
            </w:pPr>
            <w:r>
              <w:rPr>
                <w:rFonts w:ascii="宋体"/>
                <w:sz w:val="20"/>
              </w:rPr>
              <w:t>2009-5-26</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30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用友移动</w:t>
            </w:r>
            <w:r>
              <w:rPr>
                <w:rFonts w:ascii="宋体" w:hAnsi="宋体" w:cs="宋体" w:eastAsia="宋体" w:hint="default"/>
                <w:spacing w:val="-55"/>
                <w:sz w:val="20"/>
                <w:szCs w:val="20"/>
              </w:rPr>
              <w:t> </w:t>
            </w:r>
            <w:r>
              <w:rPr>
                <w:rFonts w:ascii="宋体" w:hAnsi="宋体" w:cs="宋体" w:eastAsia="宋体" w:hint="default"/>
                <w:sz w:val="20"/>
                <w:szCs w:val="20"/>
              </w:rPr>
              <w:t>CRM</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应用软件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hAnsi="宋体" w:cs="宋体" w:eastAsia="宋体" w:hint="default"/>
                <w:sz w:val="20"/>
                <w:szCs w:val="20"/>
              </w:rPr>
              <w:t>移动</w:t>
            </w:r>
            <w:r>
              <w:rPr>
                <w:rFonts w:ascii="宋体" w:hAnsi="宋体" w:cs="宋体" w:eastAsia="宋体" w:hint="default"/>
                <w:spacing w:val="-53"/>
                <w:sz w:val="20"/>
                <w:szCs w:val="20"/>
              </w:rPr>
              <w:t> </w:t>
            </w:r>
            <w:r>
              <w:rPr>
                <w:rFonts w:ascii="宋体" w:hAnsi="宋体" w:cs="宋体" w:eastAsia="宋体" w:hint="default"/>
                <w:sz w:val="20"/>
                <w:szCs w:val="20"/>
              </w:rPr>
              <w:t>CRM</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宋体" w:hAnsi="宋体" w:cs="宋体" w:eastAsia="宋体" w:hint="default"/>
                <w:sz w:val="20"/>
                <w:szCs w:val="20"/>
              </w:rPr>
            </w:pPr>
            <w:r>
              <w:rPr>
                <w:rFonts w:ascii="宋体"/>
                <w:sz w:val="20"/>
              </w:rPr>
              <w:t>2009SR032466</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2009-8-14</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2" w:right="0"/>
              <w:jc w:val="center"/>
              <w:rPr>
                <w:rFonts w:ascii="宋体" w:hAnsi="宋体" w:cs="宋体" w:eastAsia="宋体" w:hint="default"/>
                <w:sz w:val="20"/>
                <w:szCs w:val="20"/>
              </w:rPr>
            </w:pPr>
            <w:r>
              <w:rPr>
                <w:rFonts w:ascii="宋体"/>
                <w:sz w:val="20"/>
              </w:rPr>
              <w:t>2008-5-29</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104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7"/>
              <w:ind w:left="214" w:right="0"/>
              <w:jc w:val="left"/>
              <w:rPr>
                <w:rFonts w:ascii="宋体" w:hAnsi="宋体" w:cs="宋体" w:eastAsia="宋体" w:hint="default"/>
                <w:sz w:val="20"/>
                <w:szCs w:val="20"/>
              </w:rPr>
            </w:pPr>
            <w:r>
              <w:rPr>
                <w:rFonts w:ascii="宋体"/>
                <w:sz w:val="20"/>
              </w:rPr>
              <w:t>31</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用友在线伟库</w:t>
            </w:r>
          </w:p>
          <w:p>
            <w:pPr>
              <w:pStyle w:val="TableParagraph"/>
              <w:spacing w:line="237" w:lineRule="auto" w:before="1"/>
              <w:ind w:left="103" w:right="118"/>
              <w:jc w:val="left"/>
              <w:rPr>
                <w:rFonts w:ascii="宋体" w:hAnsi="宋体" w:cs="宋体" w:eastAsia="宋体" w:hint="default"/>
                <w:sz w:val="20"/>
                <w:szCs w:val="20"/>
              </w:rPr>
            </w:pPr>
            <w:r>
              <w:rPr>
                <w:rFonts w:ascii="宋体" w:hAnsi="宋体" w:cs="宋体" w:eastAsia="宋体" w:hint="default"/>
                <w:sz w:val="20"/>
                <w:szCs w:val="20"/>
              </w:rPr>
              <w:t>网-财源滚滚应</w:t>
            </w:r>
            <w:r>
              <w:rPr>
                <w:rFonts w:ascii="宋体" w:hAnsi="宋体" w:cs="宋体" w:eastAsia="宋体" w:hint="default"/>
                <w:w w:val="100"/>
                <w:sz w:val="20"/>
                <w:szCs w:val="20"/>
              </w:rPr>
              <w:t> </w:t>
            </w:r>
            <w:r>
              <w:rPr>
                <w:rFonts w:ascii="宋体" w:hAnsi="宋体" w:cs="宋体" w:eastAsia="宋体" w:hint="default"/>
                <w:sz w:val="20"/>
                <w:szCs w:val="20"/>
              </w:rPr>
              <w:t>用服务平台系</w:t>
            </w:r>
            <w:r>
              <w:rPr>
                <w:rFonts w:ascii="宋体" w:hAnsi="宋体" w:cs="宋体" w:eastAsia="宋体" w:hint="default"/>
                <w:w w:val="100"/>
                <w:sz w:val="20"/>
                <w:szCs w:val="20"/>
              </w:rPr>
              <w:t> </w:t>
            </w:r>
            <w:r>
              <w:rPr>
                <w:rFonts w:ascii="宋体" w:hAnsi="宋体" w:cs="宋体" w:eastAsia="宋体" w:hint="default"/>
                <w:sz w:val="20"/>
                <w:szCs w:val="20"/>
              </w:rPr>
              <w:t>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60" w:lineRule="exact"/>
              <w:ind w:left="103" w:right="103"/>
              <w:jc w:val="left"/>
              <w:rPr>
                <w:rFonts w:ascii="宋体" w:hAnsi="宋体" w:cs="宋体" w:eastAsia="宋体" w:hint="default"/>
                <w:sz w:val="20"/>
                <w:szCs w:val="20"/>
              </w:rPr>
            </w:pPr>
            <w:r>
              <w:rPr>
                <w:rFonts w:ascii="宋体" w:hAnsi="宋体" w:cs="宋体" w:eastAsia="宋体" w:hint="default"/>
                <w:sz w:val="20"/>
                <w:szCs w:val="20"/>
              </w:rPr>
              <w:t>在线财源</w:t>
            </w:r>
            <w:r>
              <w:rPr>
                <w:rFonts w:ascii="宋体" w:hAnsi="宋体" w:cs="宋体" w:eastAsia="宋体" w:hint="default"/>
                <w:w w:val="100"/>
                <w:sz w:val="20"/>
                <w:szCs w:val="20"/>
              </w:rPr>
              <w:t> </w:t>
            </w:r>
            <w:r>
              <w:rPr>
                <w:rFonts w:ascii="宋体" w:hAnsi="宋体" w:cs="宋体" w:eastAsia="宋体" w:hint="default"/>
                <w:sz w:val="20"/>
                <w:szCs w:val="20"/>
              </w:rPr>
              <w:t>滚滚</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left="103" w:right="0"/>
              <w:jc w:val="left"/>
              <w:rPr>
                <w:rFonts w:ascii="宋体" w:hAnsi="宋体" w:cs="宋体" w:eastAsia="宋体" w:hint="default"/>
                <w:sz w:val="20"/>
                <w:szCs w:val="20"/>
              </w:rPr>
            </w:pPr>
            <w:r>
              <w:rPr>
                <w:rFonts w:ascii="宋体"/>
                <w:sz w:val="20"/>
              </w:rPr>
              <w:t>V2.50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right="0"/>
              <w:jc w:val="center"/>
              <w:rPr>
                <w:rFonts w:ascii="宋体" w:hAnsi="宋体" w:cs="宋体" w:eastAsia="宋体" w:hint="default"/>
                <w:sz w:val="20"/>
                <w:szCs w:val="20"/>
              </w:rPr>
            </w:pPr>
            <w:r>
              <w:rPr>
                <w:rFonts w:ascii="宋体"/>
                <w:sz w:val="20"/>
              </w:rPr>
              <w:t>2009SR032469</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right="100"/>
              <w:jc w:val="right"/>
              <w:rPr>
                <w:rFonts w:ascii="宋体" w:hAnsi="宋体" w:cs="宋体" w:eastAsia="宋体" w:hint="default"/>
                <w:sz w:val="20"/>
                <w:szCs w:val="20"/>
              </w:rPr>
            </w:pPr>
            <w:r>
              <w:rPr>
                <w:rFonts w:ascii="宋体"/>
                <w:spacing w:val="-1"/>
                <w:sz w:val="20"/>
              </w:rPr>
              <w:t>2009-8-14</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left="122" w:right="0"/>
              <w:jc w:val="center"/>
              <w:rPr>
                <w:rFonts w:ascii="宋体" w:hAnsi="宋体" w:cs="宋体" w:eastAsia="宋体" w:hint="default"/>
                <w:sz w:val="20"/>
                <w:szCs w:val="20"/>
              </w:rPr>
            </w:pPr>
            <w:r>
              <w:rPr>
                <w:rFonts w:ascii="宋体"/>
                <w:sz w:val="20"/>
              </w:rPr>
              <w:t>2009-5-13</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104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7"/>
              <w:ind w:left="214" w:right="0"/>
              <w:jc w:val="left"/>
              <w:rPr>
                <w:rFonts w:ascii="宋体" w:hAnsi="宋体" w:cs="宋体" w:eastAsia="宋体" w:hint="default"/>
                <w:sz w:val="20"/>
                <w:szCs w:val="20"/>
              </w:rPr>
            </w:pPr>
            <w:r>
              <w:rPr>
                <w:rFonts w:ascii="宋体"/>
                <w:sz w:val="20"/>
              </w:rPr>
              <w:t>32</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用友在线伟库</w:t>
            </w:r>
          </w:p>
          <w:p>
            <w:pPr>
              <w:pStyle w:val="TableParagraph"/>
              <w:spacing w:line="237" w:lineRule="auto" w:before="1"/>
              <w:ind w:left="103" w:right="118"/>
              <w:jc w:val="left"/>
              <w:rPr>
                <w:rFonts w:ascii="宋体" w:hAnsi="宋体" w:cs="宋体" w:eastAsia="宋体" w:hint="default"/>
                <w:sz w:val="20"/>
                <w:szCs w:val="20"/>
              </w:rPr>
            </w:pPr>
            <w:r>
              <w:rPr>
                <w:rFonts w:ascii="宋体" w:hAnsi="宋体" w:cs="宋体" w:eastAsia="宋体" w:hint="default"/>
                <w:sz w:val="20"/>
                <w:szCs w:val="20"/>
              </w:rPr>
              <w:t>网-客源滚滚应</w:t>
            </w:r>
            <w:r>
              <w:rPr>
                <w:rFonts w:ascii="宋体" w:hAnsi="宋体" w:cs="宋体" w:eastAsia="宋体" w:hint="default"/>
                <w:w w:val="100"/>
                <w:sz w:val="20"/>
                <w:szCs w:val="20"/>
              </w:rPr>
              <w:t> </w:t>
            </w:r>
            <w:r>
              <w:rPr>
                <w:rFonts w:ascii="宋体" w:hAnsi="宋体" w:cs="宋体" w:eastAsia="宋体" w:hint="default"/>
                <w:sz w:val="20"/>
                <w:szCs w:val="20"/>
              </w:rPr>
              <w:t>用服务平台系</w:t>
            </w:r>
            <w:r>
              <w:rPr>
                <w:rFonts w:ascii="宋体" w:hAnsi="宋体" w:cs="宋体" w:eastAsia="宋体" w:hint="default"/>
                <w:w w:val="100"/>
                <w:sz w:val="20"/>
                <w:szCs w:val="20"/>
              </w:rPr>
              <w:t> </w:t>
            </w:r>
            <w:r>
              <w:rPr>
                <w:rFonts w:ascii="宋体" w:hAnsi="宋体" w:cs="宋体" w:eastAsia="宋体" w:hint="default"/>
                <w:sz w:val="20"/>
                <w:szCs w:val="20"/>
              </w:rPr>
              <w:t>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60" w:lineRule="exact"/>
              <w:ind w:left="103" w:right="103"/>
              <w:jc w:val="left"/>
              <w:rPr>
                <w:rFonts w:ascii="宋体" w:hAnsi="宋体" w:cs="宋体" w:eastAsia="宋体" w:hint="default"/>
                <w:sz w:val="20"/>
                <w:szCs w:val="20"/>
              </w:rPr>
            </w:pPr>
            <w:r>
              <w:rPr>
                <w:rFonts w:ascii="宋体" w:hAnsi="宋体" w:cs="宋体" w:eastAsia="宋体" w:hint="default"/>
                <w:sz w:val="20"/>
                <w:szCs w:val="20"/>
              </w:rPr>
              <w:t>在线客源</w:t>
            </w:r>
            <w:r>
              <w:rPr>
                <w:rFonts w:ascii="宋体" w:hAnsi="宋体" w:cs="宋体" w:eastAsia="宋体" w:hint="default"/>
                <w:w w:val="100"/>
                <w:sz w:val="20"/>
                <w:szCs w:val="20"/>
              </w:rPr>
              <w:t> </w:t>
            </w:r>
            <w:r>
              <w:rPr>
                <w:rFonts w:ascii="宋体" w:hAnsi="宋体" w:cs="宋体" w:eastAsia="宋体" w:hint="default"/>
                <w:sz w:val="20"/>
                <w:szCs w:val="20"/>
              </w:rPr>
              <w:t>滚滚</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left="103" w:right="0"/>
              <w:jc w:val="left"/>
              <w:rPr>
                <w:rFonts w:ascii="宋体" w:hAnsi="宋体" w:cs="宋体" w:eastAsia="宋体" w:hint="default"/>
                <w:sz w:val="20"/>
                <w:szCs w:val="20"/>
              </w:rPr>
            </w:pPr>
            <w:r>
              <w:rPr>
                <w:rFonts w:ascii="宋体"/>
                <w:sz w:val="20"/>
              </w:rPr>
              <w:t>V1.0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right="0"/>
              <w:jc w:val="center"/>
              <w:rPr>
                <w:rFonts w:ascii="宋体" w:hAnsi="宋体" w:cs="宋体" w:eastAsia="宋体" w:hint="default"/>
                <w:sz w:val="20"/>
                <w:szCs w:val="20"/>
              </w:rPr>
            </w:pPr>
            <w:r>
              <w:rPr>
                <w:rFonts w:ascii="宋体"/>
                <w:sz w:val="20"/>
              </w:rPr>
              <w:t>2009SR032468</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right="100"/>
              <w:jc w:val="right"/>
              <w:rPr>
                <w:rFonts w:ascii="宋体" w:hAnsi="宋体" w:cs="宋体" w:eastAsia="宋体" w:hint="default"/>
                <w:sz w:val="20"/>
                <w:szCs w:val="20"/>
              </w:rPr>
            </w:pPr>
            <w:r>
              <w:rPr>
                <w:rFonts w:ascii="宋体"/>
                <w:spacing w:val="-1"/>
                <w:sz w:val="20"/>
              </w:rPr>
              <w:t>2009-8-14</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left="122" w:right="0"/>
              <w:jc w:val="center"/>
              <w:rPr>
                <w:rFonts w:ascii="宋体" w:hAnsi="宋体" w:cs="宋体" w:eastAsia="宋体" w:hint="default"/>
                <w:sz w:val="20"/>
                <w:szCs w:val="20"/>
              </w:rPr>
            </w:pPr>
            <w:r>
              <w:rPr>
                <w:rFonts w:ascii="宋体"/>
                <w:sz w:val="20"/>
              </w:rPr>
              <w:t>2009-5-13</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33</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2"/>
                <w:sz w:val="20"/>
                <w:szCs w:val="20"/>
              </w:rPr>
              <w:t> </w:t>
            </w:r>
            <w:r>
              <w:rPr>
                <w:rFonts w:ascii="宋体" w:hAnsi="宋体" w:cs="宋体" w:eastAsia="宋体" w:hint="default"/>
                <w:sz w:val="20"/>
                <w:szCs w:val="20"/>
              </w:rPr>
              <w:t>T1-商贸</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宝管理系统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用友商贸</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w w:val="100"/>
                <w:sz w:val="20"/>
                <w:szCs w:val="20"/>
              </w:rPr>
              <w:t>宝</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V11.0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2009SR032467</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2009-8-14</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2" w:right="0"/>
              <w:jc w:val="center"/>
              <w:rPr>
                <w:rFonts w:ascii="宋体" w:hAnsi="宋体" w:cs="宋体" w:eastAsia="宋体" w:hint="default"/>
                <w:sz w:val="20"/>
                <w:szCs w:val="20"/>
              </w:rPr>
            </w:pPr>
            <w:r>
              <w:rPr>
                <w:rFonts w:ascii="宋体"/>
                <w:sz w:val="20"/>
              </w:rPr>
              <w:t>2009-4-17</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34</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用友产品数据</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管理系统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3"/>
                <w:sz w:val="20"/>
                <w:szCs w:val="20"/>
              </w:rPr>
              <w:t> </w:t>
            </w:r>
            <w:r>
              <w:rPr>
                <w:rFonts w:ascii="宋体" w:hAnsi="宋体" w:cs="宋体" w:eastAsia="宋体" w:hint="default"/>
                <w:sz w:val="20"/>
                <w:szCs w:val="20"/>
              </w:rPr>
              <w:t>PDM</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V5.0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宋体" w:hAnsi="宋体" w:cs="宋体" w:eastAsia="宋体" w:hint="default"/>
                <w:sz w:val="20"/>
                <w:szCs w:val="20"/>
              </w:rPr>
            </w:pPr>
            <w:r>
              <w:rPr>
                <w:rFonts w:ascii="宋体"/>
                <w:sz w:val="20"/>
              </w:rPr>
              <w:t>2009SR053013</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2009-11-16</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2" w:right="0"/>
              <w:jc w:val="center"/>
              <w:rPr>
                <w:rFonts w:ascii="宋体" w:hAnsi="宋体" w:cs="宋体" w:eastAsia="宋体" w:hint="default"/>
                <w:sz w:val="20"/>
                <w:szCs w:val="20"/>
              </w:rPr>
            </w:pPr>
            <w:r>
              <w:rPr>
                <w:rFonts w:ascii="宋体"/>
                <w:sz w:val="20"/>
              </w:rPr>
              <w:t>2009-8-26</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35</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用友协同产品</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开发平台软件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3"/>
                <w:sz w:val="20"/>
                <w:szCs w:val="20"/>
              </w:rPr>
              <w:t> </w:t>
            </w:r>
            <w:r>
              <w:rPr>
                <w:rFonts w:ascii="宋体" w:hAnsi="宋体" w:cs="宋体" w:eastAsia="宋体" w:hint="default"/>
                <w:sz w:val="20"/>
                <w:szCs w:val="20"/>
              </w:rPr>
              <w:t>CPD</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V3.0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宋体" w:hAnsi="宋体" w:cs="宋体" w:eastAsia="宋体" w:hint="default"/>
                <w:sz w:val="20"/>
                <w:szCs w:val="20"/>
              </w:rPr>
            </w:pPr>
            <w:r>
              <w:rPr>
                <w:rFonts w:ascii="宋体"/>
                <w:sz w:val="20"/>
              </w:rPr>
              <w:t>2009SR053012</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2009-11-16</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2" w:right="0"/>
              <w:jc w:val="center"/>
              <w:rPr>
                <w:rFonts w:ascii="宋体" w:hAnsi="宋体" w:cs="宋体" w:eastAsia="宋体" w:hint="default"/>
                <w:sz w:val="20"/>
                <w:szCs w:val="20"/>
              </w:rPr>
            </w:pPr>
            <w:r>
              <w:rPr>
                <w:rFonts w:ascii="宋体"/>
                <w:sz w:val="20"/>
              </w:rPr>
              <w:t>2009-8-26</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36</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2"/>
                <w:sz w:val="20"/>
                <w:szCs w:val="20"/>
              </w:rPr>
              <w:t> </w:t>
            </w:r>
            <w:r>
              <w:rPr>
                <w:rFonts w:ascii="宋体" w:hAnsi="宋体" w:cs="宋体" w:eastAsia="宋体" w:hint="default"/>
                <w:sz w:val="20"/>
                <w:szCs w:val="20"/>
              </w:rPr>
              <w:t>T3-渠道</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通管理软件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0"/>
                <w:sz w:val="20"/>
                <w:szCs w:val="20"/>
              </w:rPr>
              <w:t> </w:t>
            </w:r>
            <w:r>
              <w:rPr>
                <w:rFonts w:ascii="宋体" w:hAnsi="宋体" w:cs="宋体" w:eastAsia="宋体" w:hint="default"/>
                <w:sz w:val="20"/>
                <w:szCs w:val="20"/>
              </w:rPr>
              <w:t>T3-</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渠道通</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V11.0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2009SR053011</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spacing w:val="-1"/>
                <w:sz w:val="20"/>
              </w:rPr>
              <w:t>2009-11-16</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2" w:right="0"/>
              <w:jc w:val="center"/>
              <w:rPr>
                <w:rFonts w:ascii="宋体" w:hAnsi="宋体" w:cs="宋体" w:eastAsia="宋体" w:hint="default"/>
                <w:sz w:val="20"/>
                <w:szCs w:val="20"/>
              </w:rPr>
            </w:pPr>
            <w:r>
              <w:rPr>
                <w:rFonts w:ascii="宋体"/>
                <w:sz w:val="20"/>
              </w:rPr>
              <w:t>2009-7-30</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1046"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7"/>
              <w:ind w:left="214" w:right="0"/>
              <w:jc w:val="left"/>
              <w:rPr>
                <w:rFonts w:ascii="宋体" w:hAnsi="宋体" w:cs="宋体" w:eastAsia="宋体" w:hint="default"/>
                <w:sz w:val="20"/>
                <w:szCs w:val="20"/>
              </w:rPr>
            </w:pPr>
            <w:r>
              <w:rPr>
                <w:rFonts w:ascii="宋体"/>
                <w:sz w:val="20"/>
              </w:rPr>
              <w:t>37</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both"/>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2"/>
                <w:sz w:val="20"/>
                <w:szCs w:val="20"/>
              </w:rPr>
              <w:t> </w:t>
            </w:r>
            <w:r>
              <w:rPr>
                <w:rFonts w:ascii="宋体" w:hAnsi="宋体" w:cs="宋体" w:eastAsia="宋体" w:hint="default"/>
                <w:sz w:val="20"/>
                <w:szCs w:val="20"/>
              </w:rPr>
              <w:t>ERP-NC</w:t>
            </w:r>
            <w:r>
              <w:rPr>
                <w:rFonts w:ascii="宋体" w:hAnsi="宋体" w:cs="宋体" w:eastAsia="宋体" w:hint="default"/>
                <w:spacing w:val="-52"/>
                <w:sz w:val="20"/>
                <w:szCs w:val="20"/>
              </w:rPr>
              <w:t> </w:t>
            </w:r>
            <w:r>
              <w:rPr>
                <w:rFonts w:ascii="宋体" w:hAnsi="宋体" w:cs="宋体" w:eastAsia="宋体" w:hint="default"/>
                <w:sz w:val="20"/>
                <w:szCs w:val="20"/>
              </w:rPr>
              <w:t>人</w:t>
            </w:r>
          </w:p>
          <w:p>
            <w:pPr>
              <w:pStyle w:val="TableParagraph"/>
              <w:spacing w:line="260" w:lineRule="exact" w:before="24"/>
              <w:ind w:left="103" w:right="217"/>
              <w:jc w:val="both"/>
              <w:rPr>
                <w:rFonts w:ascii="宋体" w:hAnsi="宋体" w:cs="宋体" w:eastAsia="宋体" w:hint="default"/>
                <w:sz w:val="20"/>
                <w:szCs w:val="20"/>
              </w:rPr>
            </w:pPr>
            <w:r>
              <w:rPr>
                <w:rFonts w:ascii="宋体" w:hAnsi="宋体" w:cs="宋体" w:eastAsia="宋体" w:hint="default"/>
                <w:sz w:val="20"/>
                <w:szCs w:val="20"/>
              </w:rPr>
              <w:t>力资源管理集</w:t>
            </w:r>
            <w:r>
              <w:rPr>
                <w:rFonts w:ascii="宋体" w:hAnsi="宋体" w:cs="宋体" w:eastAsia="宋体" w:hint="default"/>
                <w:w w:val="100"/>
                <w:sz w:val="20"/>
                <w:szCs w:val="20"/>
              </w:rPr>
              <w:t> </w:t>
            </w:r>
            <w:r>
              <w:rPr>
                <w:rFonts w:ascii="宋体" w:hAnsi="宋体" w:cs="宋体" w:eastAsia="宋体" w:hint="default"/>
                <w:sz w:val="20"/>
                <w:szCs w:val="20"/>
              </w:rPr>
              <w:t>团解决方案系</w:t>
            </w:r>
            <w:r>
              <w:rPr>
                <w:rFonts w:ascii="宋体" w:hAnsi="宋体" w:cs="宋体" w:eastAsia="宋体" w:hint="default"/>
                <w:w w:val="100"/>
                <w:sz w:val="20"/>
                <w:szCs w:val="20"/>
              </w:rPr>
              <w:t> </w:t>
            </w:r>
            <w:r>
              <w:rPr>
                <w:rFonts w:ascii="宋体" w:hAnsi="宋体" w:cs="宋体" w:eastAsia="宋体" w:hint="default"/>
                <w:sz w:val="20"/>
                <w:szCs w:val="20"/>
              </w:rPr>
              <w:t>统</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2"/>
                <w:sz w:val="20"/>
                <w:szCs w:val="20"/>
              </w:rPr>
              <w:t> </w:t>
            </w:r>
            <w:r>
              <w:rPr>
                <w:rFonts w:ascii="宋体" w:hAnsi="宋体" w:cs="宋体" w:eastAsia="宋体" w:hint="default"/>
                <w:sz w:val="20"/>
                <w:szCs w:val="20"/>
              </w:rPr>
              <w:t>EHR</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left="102" w:right="0"/>
              <w:jc w:val="left"/>
              <w:rPr>
                <w:rFonts w:ascii="宋体" w:hAnsi="宋体" w:cs="宋体" w:eastAsia="宋体" w:hint="default"/>
                <w:sz w:val="20"/>
                <w:szCs w:val="20"/>
              </w:rPr>
            </w:pPr>
            <w:r>
              <w:rPr>
                <w:rFonts w:ascii="宋体"/>
                <w:sz w:val="20"/>
              </w:rPr>
              <w:t>V5.5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right="1"/>
              <w:jc w:val="center"/>
              <w:rPr>
                <w:rFonts w:ascii="宋体" w:hAnsi="宋体" w:cs="宋体" w:eastAsia="宋体" w:hint="default"/>
                <w:sz w:val="20"/>
                <w:szCs w:val="20"/>
              </w:rPr>
            </w:pPr>
            <w:r>
              <w:rPr>
                <w:rFonts w:ascii="宋体"/>
                <w:sz w:val="20"/>
              </w:rPr>
              <w:t>2009SR053009</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right="102"/>
              <w:jc w:val="right"/>
              <w:rPr>
                <w:rFonts w:ascii="宋体" w:hAnsi="宋体" w:cs="宋体" w:eastAsia="宋体" w:hint="default"/>
                <w:sz w:val="20"/>
                <w:szCs w:val="20"/>
              </w:rPr>
            </w:pPr>
            <w:r>
              <w:rPr>
                <w:rFonts w:ascii="宋体"/>
                <w:spacing w:val="-1"/>
                <w:sz w:val="20"/>
              </w:rPr>
              <w:t>2009-11-16</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left="218" w:right="0"/>
              <w:jc w:val="center"/>
              <w:rPr>
                <w:rFonts w:ascii="宋体" w:hAnsi="宋体" w:cs="宋体" w:eastAsia="宋体" w:hint="default"/>
                <w:sz w:val="20"/>
                <w:szCs w:val="20"/>
              </w:rPr>
            </w:pPr>
            <w:r>
              <w:rPr>
                <w:rFonts w:ascii="宋体"/>
                <w:sz w:val="20"/>
              </w:rPr>
              <w:t>2009-4-1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6"/>
              <w:ind w:right="99"/>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790"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214" w:right="0"/>
              <w:jc w:val="left"/>
              <w:rPr>
                <w:rFonts w:ascii="宋体" w:hAnsi="宋体" w:cs="宋体" w:eastAsia="宋体" w:hint="default"/>
                <w:sz w:val="20"/>
                <w:szCs w:val="20"/>
              </w:rPr>
            </w:pPr>
            <w:r>
              <w:rPr>
                <w:rFonts w:ascii="宋体"/>
                <w:sz w:val="20"/>
              </w:rPr>
              <w:t>38</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0"/>
                <w:szCs w:val="20"/>
              </w:rPr>
            </w:pPr>
            <w:r>
              <w:rPr>
                <w:rFonts w:ascii="宋体" w:hAnsi="宋体" w:cs="宋体" w:eastAsia="宋体" w:hint="default"/>
                <w:sz w:val="20"/>
                <w:szCs w:val="20"/>
              </w:rPr>
              <w:t>5107 ICC</w:t>
            </w:r>
            <w:r>
              <w:rPr>
                <w:rFonts w:ascii="宋体" w:hAnsi="宋体" w:cs="宋体" w:eastAsia="宋体" w:hint="default"/>
                <w:spacing w:val="-3"/>
                <w:sz w:val="20"/>
                <w:szCs w:val="20"/>
              </w:rPr>
              <w:t> </w:t>
            </w:r>
            <w:r>
              <w:rPr>
                <w:rFonts w:ascii="宋体" w:hAnsi="宋体" w:cs="宋体" w:eastAsia="宋体" w:hint="default"/>
                <w:sz w:val="20"/>
                <w:szCs w:val="20"/>
              </w:rPr>
              <w:t>互联</w:t>
            </w:r>
          </w:p>
          <w:p>
            <w:pPr>
              <w:pStyle w:val="TableParagraph"/>
              <w:spacing w:line="260" w:lineRule="exact" w:before="25"/>
              <w:ind w:left="103" w:right="217"/>
              <w:jc w:val="left"/>
              <w:rPr>
                <w:rFonts w:ascii="宋体" w:hAnsi="宋体" w:cs="宋体" w:eastAsia="宋体" w:hint="default"/>
                <w:sz w:val="20"/>
                <w:szCs w:val="20"/>
              </w:rPr>
            </w:pPr>
            <w:r>
              <w:rPr>
                <w:rFonts w:ascii="宋体" w:hAnsi="宋体" w:cs="宋体" w:eastAsia="宋体" w:hint="default"/>
                <w:sz w:val="20"/>
                <w:szCs w:val="20"/>
              </w:rPr>
              <w:t>网呼叫中心软</w:t>
            </w:r>
            <w:r>
              <w:rPr>
                <w:rFonts w:ascii="宋体" w:hAnsi="宋体" w:cs="宋体" w:eastAsia="宋体" w:hint="default"/>
                <w:w w:val="100"/>
                <w:sz w:val="20"/>
                <w:szCs w:val="20"/>
              </w:rPr>
              <w:t> </w:t>
            </w:r>
            <w:r>
              <w:rPr>
                <w:rFonts w:ascii="宋体" w:hAnsi="宋体" w:cs="宋体" w:eastAsia="宋体" w:hint="default"/>
                <w:sz w:val="20"/>
                <w:szCs w:val="20"/>
              </w:rPr>
              <w:t>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0"/>
                <w:szCs w:val="20"/>
              </w:rPr>
            </w:pPr>
            <w:r>
              <w:rPr>
                <w:rFonts w:ascii="宋体"/>
                <w:sz w:val="20"/>
              </w:rPr>
              <w:t>5107</w:t>
            </w:r>
            <w:r>
              <w:rPr>
                <w:rFonts w:ascii="宋体"/>
                <w:spacing w:val="-2"/>
                <w:sz w:val="20"/>
              </w:rPr>
              <w:t> </w:t>
            </w:r>
            <w:r>
              <w:rPr>
                <w:rFonts w:ascii="宋体"/>
                <w:sz w:val="20"/>
              </w:rPr>
              <w:t>ICC</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0"/>
                <w:szCs w:val="20"/>
              </w:rPr>
            </w:pPr>
            <w:r>
              <w:rPr>
                <w:rFonts w:ascii="宋体"/>
                <w:sz w:val="20"/>
              </w:rPr>
              <w:t>2.8.5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0"/>
                <w:szCs w:val="20"/>
              </w:rPr>
            </w:pPr>
            <w:r>
              <w:rPr>
                <w:rFonts w:ascii="宋体"/>
                <w:sz w:val="20"/>
              </w:rPr>
              <w:t>2009SR048567</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102"/>
              <w:jc w:val="right"/>
              <w:rPr>
                <w:rFonts w:ascii="宋体" w:hAnsi="宋体" w:cs="宋体" w:eastAsia="宋体" w:hint="default"/>
                <w:sz w:val="20"/>
                <w:szCs w:val="20"/>
              </w:rPr>
            </w:pPr>
            <w:r>
              <w:rPr>
                <w:rFonts w:ascii="宋体"/>
                <w:spacing w:val="-1"/>
                <w:sz w:val="20"/>
              </w:rPr>
              <w:t>2009-10-23</w:t>
            </w:r>
            <w:r>
              <w:rPr>
                <w:rFonts w:ascii="宋体"/>
                <w:sz w:val="20"/>
              </w:rPr>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19" w:right="0"/>
              <w:jc w:val="center"/>
              <w:rPr>
                <w:rFonts w:ascii="宋体" w:hAnsi="宋体" w:cs="宋体" w:eastAsia="宋体" w:hint="default"/>
                <w:sz w:val="20"/>
                <w:szCs w:val="20"/>
              </w:rPr>
            </w:pPr>
            <w:r>
              <w:rPr>
                <w:rFonts w:ascii="宋体"/>
                <w:sz w:val="20"/>
              </w:rPr>
              <w:t>2009-6-11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200"/>
              <w:jc w:val="left"/>
              <w:rPr>
                <w:rFonts w:ascii="宋体" w:hAnsi="宋体" w:cs="宋体" w:eastAsia="宋体" w:hint="default"/>
                <w:sz w:val="20"/>
                <w:szCs w:val="20"/>
              </w:rPr>
            </w:pPr>
            <w:r>
              <w:rPr>
                <w:rFonts w:ascii="宋体" w:hAnsi="宋体" w:cs="宋体" w:eastAsia="宋体" w:hint="default"/>
                <w:sz w:val="20"/>
                <w:szCs w:val="20"/>
              </w:rPr>
              <w:t>哈久</w:t>
            </w:r>
            <w:r>
              <w:rPr>
                <w:rFonts w:ascii="宋体" w:hAnsi="宋体" w:cs="宋体" w:eastAsia="宋体" w:hint="default"/>
                <w:w w:val="100"/>
                <w:sz w:val="20"/>
                <w:szCs w:val="20"/>
              </w:rPr>
              <w:t> </w:t>
            </w:r>
            <w:r>
              <w:rPr>
                <w:rFonts w:ascii="宋体" w:hAnsi="宋体" w:cs="宋体" w:eastAsia="宋体" w:hint="default"/>
                <w:sz w:val="20"/>
                <w:szCs w:val="20"/>
              </w:rPr>
              <w:t>转入</w:t>
            </w:r>
          </w:p>
        </w:tc>
      </w:tr>
    </w:tbl>
    <w:p>
      <w:pPr>
        <w:spacing w:after="0" w:line="240" w:lineRule="auto"/>
        <w:jc w:val="left"/>
        <w:rPr>
          <w:rFonts w:ascii="宋体" w:hAnsi="宋体" w:cs="宋体" w:eastAsia="宋体" w:hint="default"/>
          <w:sz w:val="20"/>
          <w:szCs w:val="20"/>
        </w:rPr>
        <w:sectPr>
          <w:pgSz w:w="11910" w:h="16840"/>
          <w:pgMar w:header="0" w:footer="727" w:top="1080" w:bottom="920" w:left="1280" w:right="116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0"/>
          <w:szCs w:val="10"/>
        </w:rPr>
      </w:pPr>
    </w:p>
    <w:tbl>
      <w:tblPr>
        <w:tblW w:w="0" w:type="auto"/>
        <w:jc w:val="left"/>
        <w:tblInd w:w="128" w:type="dxa"/>
        <w:tblLayout w:type="fixed"/>
        <w:tblCellMar>
          <w:top w:w="0" w:type="dxa"/>
          <w:left w:w="0" w:type="dxa"/>
          <w:bottom w:w="0" w:type="dxa"/>
          <w:right w:w="0" w:type="dxa"/>
        </w:tblCellMar>
        <w:tblLook w:val="01E0"/>
      </w:tblPr>
      <w:tblGrid>
        <w:gridCol w:w="641"/>
        <w:gridCol w:w="1534"/>
        <w:gridCol w:w="1020"/>
        <w:gridCol w:w="1116"/>
        <w:gridCol w:w="1418"/>
        <w:gridCol w:w="1237"/>
        <w:gridCol w:w="1237"/>
        <w:gridCol w:w="716"/>
      </w:tblGrid>
      <w:tr>
        <w:trPr>
          <w:trHeight w:val="523" w:hRule="exact"/>
        </w:trPr>
        <w:tc>
          <w:tcPr>
            <w:tcW w:w="64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39</w:t>
            </w:r>
          </w:p>
        </w:tc>
        <w:tc>
          <w:tcPr>
            <w:tcW w:w="1534" w:type="dxa"/>
            <w:tcBorders>
              <w:top w:val="nil" w:sz="6" w:space="0" w:color="auto"/>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5107</w:t>
            </w:r>
            <w:r>
              <w:rPr>
                <w:rFonts w:ascii="宋体" w:hAnsi="宋体" w:cs="宋体" w:eastAsia="宋体" w:hint="default"/>
                <w:spacing w:val="-43"/>
                <w:sz w:val="20"/>
                <w:szCs w:val="20"/>
              </w:rPr>
              <w:t> </w:t>
            </w:r>
            <w:r>
              <w:rPr>
                <w:rFonts w:ascii="宋体" w:hAnsi="宋体" w:cs="宋体" w:eastAsia="宋体" w:hint="default"/>
                <w:sz w:val="20"/>
                <w:szCs w:val="20"/>
              </w:rPr>
              <w:t>IM</w:t>
            </w:r>
            <w:r>
              <w:rPr>
                <w:rFonts w:ascii="宋体" w:hAnsi="宋体" w:cs="宋体" w:eastAsia="宋体" w:hint="default"/>
                <w:spacing w:val="-43"/>
                <w:sz w:val="20"/>
                <w:szCs w:val="20"/>
              </w:rPr>
              <w:t> </w:t>
            </w:r>
            <w:r>
              <w:rPr>
                <w:rFonts w:ascii="宋体" w:hAnsi="宋体" w:cs="宋体" w:eastAsia="宋体" w:hint="default"/>
                <w:sz w:val="20"/>
                <w:szCs w:val="20"/>
              </w:rPr>
              <w:t>即时通</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讯软件</w:t>
            </w:r>
          </w:p>
        </w:tc>
        <w:tc>
          <w:tcPr>
            <w:tcW w:w="102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5107</w:t>
            </w:r>
            <w:r>
              <w:rPr>
                <w:rFonts w:ascii="宋体"/>
                <w:spacing w:val="-3"/>
                <w:sz w:val="20"/>
              </w:rPr>
              <w:t> </w:t>
            </w:r>
            <w:r>
              <w:rPr>
                <w:rFonts w:ascii="宋体"/>
                <w:sz w:val="20"/>
              </w:rPr>
              <w:t>IM</w:t>
            </w:r>
          </w:p>
        </w:tc>
        <w:tc>
          <w:tcPr>
            <w:tcW w:w="11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1.5.4</w:t>
            </w:r>
          </w:p>
        </w:tc>
        <w:tc>
          <w:tcPr>
            <w:tcW w:w="14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2009SR048568</w:t>
            </w:r>
          </w:p>
        </w:tc>
        <w:tc>
          <w:tcPr>
            <w:tcW w:w="12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7"/>
              <w:ind w:left="19" w:right="0"/>
              <w:jc w:val="center"/>
              <w:rPr>
                <w:rFonts w:ascii="宋体" w:hAnsi="宋体" w:cs="宋体" w:eastAsia="宋体" w:hint="default"/>
                <w:sz w:val="20"/>
                <w:szCs w:val="20"/>
              </w:rPr>
            </w:pPr>
            <w:r>
              <w:rPr>
                <w:rFonts w:ascii="宋体"/>
                <w:sz w:val="20"/>
              </w:rPr>
              <w:t>2009-10-23</w:t>
            </w:r>
          </w:p>
        </w:tc>
        <w:tc>
          <w:tcPr>
            <w:tcW w:w="12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7"/>
              <w:ind w:left="119" w:right="0"/>
              <w:jc w:val="center"/>
              <w:rPr>
                <w:rFonts w:ascii="宋体" w:hAnsi="宋体" w:cs="宋体" w:eastAsia="宋体" w:hint="default"/>
                <w:sz w:val="20"/>
                <w:szCs w:val="20"/>
              </w:rPr>
            </w:pPr>
            <w:r>
              <w:rPr>
                <w:rFonts w:ascii="宋体"/>
                <w:sz w:val="20"/>
              </w:rPr>
              <w:t>2009-6-11</w:t>
            </w:r>
          </w:p>
        </w:tc>
        <w:tc>
          <w:tcPr>
            <w:tcW w:w="716" w:type="dxa"/>
            <w:tcBorders>
              <w:top w:val="nil" w:sz="6" w:space="0" w:color="auto"/>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哈久</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转入</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40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恒聚网站商务</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伴侣软件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hAnsi="宋体" w:cs="宋体" w:eastAsia="宋体" w:hint="default"/>
                <w:sz w:val="20"/>
                <w:szCs w:val="20"/>
              </w:rPr>
              <w:t>网站伴侣</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2009SR048565</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0" w:right="0"/>
              <w:jc w:val="center"/>
              <w:rPr>
                <w:rFonts w:ascii="宋体" w:hAnsi="宋体" w:cs="宋体" w:eastAsia="宋体" w:hint="default"/>
                <w:sz w:val="20"/>
                <w:szCs w:val="20"/>
              </w:rPr>
            </w:pPr>
            <w:r>
              <w:rPr>
                <w:rFonts w:ascii="宋体"/>
                <w:sz w:val="20"/>
              </w:rPr>
              <w:t>2009-10-23</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 w:right="0"/>
              <w:jc w:val="center"/>
              <w:rPr>
                <w:rFonts w:ascii="宋体" w:hAnsi="宋体" w:cs="宋体" w:eastAsia="宋体" w:hint="default"/>
                <w:sz w:val="20"/>
                <w:szCs w:val="20"/>
              </w:rPr>
            </w:pPr>
            <w:r>
              <w:rPr>
                <w:rFonts w:ascii="宋体"/>
                <w:sz w:val="20"/>
              </w:rPr>
              <w:t>2005-11-16</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恒聚</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转入</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41</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恒聚网站伴侣</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hAnsi="宋体" w:cs="宋体" w:eastAsia="宋体" w:hint="default"/>
                <w:sz w:val="20"/>
                <w:szCs w:val="20"/>
              </w:rPr>
              <w:t>网站伴侣</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2009SR048566</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0" w:right="0"/>
              <w:jc w:val="center"/>
              <w:rPr>
                <w:rFonts w:ascii="宋体" w:hAnsi="宋体" w:cs="宋体" w:eastAsia="宋体" w:hint="default"/>
                <w:sz w:val="20"/>
                <w:szCs w:val="20"/>
              </w:rPr>
            </w:pPr>
            <w:r>
              <w:rPr>
                <w:rFonts w:ascii="宋体"/>
                <w:sz w:val="20"/>
              </w:rPr>
              <w:t>2009-10-23</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0" w:right="0"/>
              <w:jc w:val="center"/>
              <w:rPr>
                <w:rFonts w:ascii="宋体" w:hAnsi="宋体" w:cs="宋体" w:eastAsia="宋体" w:hint="default"/>
                <w:sz w:val="20"/>
                <w:szCs w:val="20"/>
              </w:rPr>
            </w:pPr>
            <w:r>
              <w:rPr>
                <w:rFonts w:ascii="宋体"/>
                <w:sz w:val="20"/>
              </w:rPr>
              <w:t>2006-5-16</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恒聚</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转入</w:t>
            </w:r>
          </w:p>
        </w:tc>
      </w:tr>
      <w:tr>
        <w:trPr>
          <w:trHeight w:val="787"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214" w:right="0"/>
              <w:jc w:val="left"/>
              <w:rPr>
                <w:rFonts w:ascii="宋体" w:hAnsi="宋体" w:cs="宋体" w:eastAsia="宋体" w:hint="default"/>
                <w:sz w:val="20"/>
                <w:szCs w:val="20"/>
              </w:rPr>
            </w:pPr>
            <w:r>
              <w:rPr>
                <w:rFonts w:ascii="宋体"/>
                <w:sz w:val="20"/>
              </w:rPr>
              <w:t>42</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用友元数据模</w:t>
            </w:r>
          </w:p>
          <w:p>
            <w:pPr>
              <w:pStyle w:val="TableParagraph"/>
              <w:spacing w:line="260" w:lineRule="exact" w:before="24"/>
              <w:ind w:left="103" w:right="217"/>
              <w:jc w:val="left"/>
              <w:rPr>
                <w:rFonts w:ascii="宋体" w:hAnsi="宋体" w:cs="宋体" w:eastAsia="宋体" w:hint="default"/>
                <w:sz w:val="20"/>
                <w:szCs w:val="20"/>
              </w:rPr>
            </w:pPr>
            <w:r>
              <w:rPr>
                <w:rFonts w:ascii="宋体" w:hAnsi="宋体" w:cs="宋体" w:eastAsia="宋体" w:hint="default"/>
                <w:sz w:val="20"/>
                <w:szCs w:val="20"/>
              </w:rPr>
              <w:t>型驱动开发平</w:t>
            </w:r>
            <w:r>
              <w:rPr>
                <w:rFonts w:ascii="宋体" w:hAnsi="宋体" w:cs="宋体" w:eastAsia="宋体" w:hint="default"/>
                <w:w w:val="100"/>
                <w:sz w:val="20"/>
                <w:szCs w:val="20"/>
              </w:rPr>
              <w:t> </w:t>
            </w:r>
            <w:r>
              <w:rPr>
                <w:rFonts w:ascii="宋体" w:hAnsi="宋体" w:cs="宋体" w:eastAsia="宋体" w:hint="default"/>
                <w:sz w:val="20"/>
                <w:szCs w:val="20"/>
              </w:rPr>
              <w:t>台软件</w:t>
            </w:r>
          </w:p>
        </w:tc>
        <w:tc>
          <w:tcPr>
            <w:tcW w:w="1020"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0"/>
                <w:szCs w:val="20"/>
              </w:rPr>
            </w:pPr>
            <w:r>
              <w:rPr>
                <w:rFonts w:ascii="宋体"/>
                <w:sz w:val="20"/>
              </w:rPr>
              <w:t>V1.0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0"/>
                <w:szCs w:val="20"/>
              </w:rPr>
            </w:pPr>
            <w:r>
              <w:rPr>
                <w:rFonts w:ascii="宋体"/>
                <w:sz w:val="20"/>
              </w:rPr>
              <w:t>2009SR059789</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21" w:right="0"/>
              <w:jc w:val="center"/>
              <w:rPr>
                <w:rFonts w:ascii="宋体" w:hAnsi="宋体" w:cs="宋体" w:eastAsia="宋体" w:hint="default"/>
                <w:sz w:val="20"/>
                <w:szCs w:val="20"/>
              </w:rPr>
            </w:pPr>
            <w:r>
              <w:rPr>
                <w:rFonts w:ascii="宋体"/>
                <w:sz w:val="20"/>
              </w:rPr>
              <w:t>2009-12-25</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22" w:right="0"/>
              <w:jc w:val="center"/>
              <w:rPr>
                <w:rFonts w:ascii="宋体" w:hAnsi="宋体" w:cs="宋体" w:eastAsia="宋体" w:hint="default"/>
                <w:sz w:val="20"/>
                <w:szCs w:val="20"/>
              </w:rPr>
            </w:pPr>
            <w:r>
              <w:rPr>
                <w:rFonts w:ascii="宋体"/>
                <w:sz w:val="20"/>
              </w:rPr>
              <w:t>2009-3-31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78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214" w:right="0"/>
              <w:jc w:val="left"/>
              <w:rPr>
                <w:rFonts w:ascii="宋体" w:hAnsi="宋体" w:cs="宋体" w:eastAsia="宋体" w:hint="default"/>
                <w:sz w:val="20"/>
                <w:szCs w:val="20"/>
              </w:rPr>
            </w:pPr>
            <w:r>
              <w:rPr>
                <w:rFonts w:ascii="宋体"/>
                <w:sz w:val="20"/>
              </w:rPr>
              <w:t>43</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 UAP</w:t>
            </w:r>
            <w:r>
              <w:rPr>
                <w:rFonts w:ascii="宋体" w:hAnsi="宋体" w:cs="宋体" w:eastAsia="宋体" w:hint="default"/>
                <w:spacing w:val="-54"/>
                <w:sz w:val="20"/>
                <w:szCs w:val="20"/>
              </w:rPr>
              <w:t> </w:t>
            </w:r>
            <w:r>
              <w:rPr>
                <w:rFonts w:ascii="宋体" w:hAnsi="宋体" w:cs="宋体" w:eastAsia="宋体" w:hint="default"/>
                <w:sz w:val="20"/>
                <w:szCs w:val="20"/>
              </w:rPr>
              <w:t>NC</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Web</w:t>
            </w:r>
            <w:r>
              <w:rPr>
                <w:rFonts w:ascii="宋体" w:hAnsi="宋体" w:cs="宋体" w:eastAsia="宋体" w:hint="default"/>
                <w:spacing w:val="-51"/>
                <w:sz w:val="20"/>
                <w:szCs w:val="20"/>
              </w:rPr>
              <w:t> </w:t>
            </w:r>
            <w:r>
              <w:rPr>
                <w:rFonts w:ascii="宋体" w:hAnsi="宋体" w:cs="宋体" w:eastAsia="宋体" w:hint="default"/>
                <w:sz w:val="20"/>
                <w:szCs w:val="20"/>
              </w:rPr>
              <w:t>开发框架</w:t>
            </w:r>
          </w:p>
          <w:p>
            <w:pPr>
              <w:pStyle w:val="TableParagraph"/>
              <w:spacing w:line="261" w:lineRule="exact"/>
              <w:ind w:left="103" w:right="0"/>
              <w:jc w:val="left"/>
              <w:rPr>
                <w:rFonts w:ascii="宋体" w:hAnsi="宋体" w:cs="宋体" w:eastAsia="宋体" w:hint="default"/>
                <w:sz w:val="20"/>
                <w:szCs w:val="20"/>
              </w:rPr>
            </w:pPr>
            <w:r>
              <w:rPr>
                <w:rFonts w:ascii="宋体" w:hAnsi="宋体" w:cs="宋体" w:eastAsia="宋体" w:hint="default"/>
                <w:sz w:val="20"/>
                <w:szCs w:val="20"/>
              </w:rPr>
              <w:t>（LFW)软件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0"/>
                <w:szCs w:val="20"/>
              </w:rPr>
            </w:pPr>
            <w:r>
              <w:rPr>
                <w:rFonts w:ascii="宋体"/>
                <w:sz w:val="20"/>
              </w:rPr>
              <w:t>UAP</w:t>
            </w:r>
            <w:r>
              <w:rPr>
                <w:rFonts w:ascii="宋体"/>
                <w:spacing w:val="-3"/>
                <w:sz w:val="20"/>
              </w:rPr>
              <w:t> </w:t>
            </w:r>
            <w:r>
              <w:rPr>
                <w:rFonts w:ascii="宋体"/>
                <w:sz w:val="20"/>
              </w:rPr>
              <w:t>LFW</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0"/>
                <w:szCs w:val="20"/>
              </w:rPr>
            </w:pPr>
            <w:r>
              <w:rPr>
                <w:rFonts w:ascii="宋体"/>
                <w:sz w:val="20"/>
              </w:rPr>
              <w:t>V1.0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0"/>
                <w:szCs w:val="20"/>
              </w:rPr>
            </w:pPr>
            <w:r>
              <w:rPr>
                <w:rFonts w:ascii="宋体"/>
                <w:sz w:val="20"/>
              </w:rPr>
              <w:t>2009SR059791</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21" w:right="0"/>
              <w:jc w:val="center"/>
              <w:rPr>
                <w:rFonts w:ascii="宋体" w:hAnsi="宋体" w:cs="宋体" w:eastAsia="宋体" w:hint="default"/>
                <w:sz w:val="20"/>
                <w:szCs w:val="20"/>
              </w:rPr>
            </w:pPr>
            <w:r>
              <w:rPr>
                <w:rFonts w:ascii="宋体"/>
                <w:sz w:val="20"/>
              </w:rPr>
              <w:t>2009-12-25</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21" w:right="0"/>
              <w:jc w:val="center"/>
              <w:rPr>
                <w:rFonts w:ascii="宋体" w:hAnsi="宋体" w:cs="宋体" w:eastAsia="宋体" w:hint="default"/>
                <w:sz w:val="20"/>
                <w:szCs w:val="20"/>
              </w:rPr>
            </w:pPr>
            <w:r>
              <w:rPr>
                <w:rFonts w:ascii="宋体"/>
                <w:sz w:val="20"/>
              </w:rPr>
              <w:t>2009-3-31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95"/>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44</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0"/>
                <w:sz w:val="20"/>
                <w:szCs w:val="20"/>
              </w:rPr>
              <w:t> </w:t>
            </w:r>
            <w:r>
              <w:rPr>
                <w:rFonts w:ascii="宋体" w:hAnsi="宋体" w:cs="宋体" w:eastAsia="宋体" w:hint="default"/>
                <w:sz w:val="20"/>
                <w:szCs w:val="20"/>
              </w:rPr>
              <w:t>UAP</w:t>
            </w:r>
            <w:r>
              <w:rPr>
                <w:rFonts w:ascii="宋体" w:hAnsi="宋体" w:cs="宋体" w:eastAsia="宋体" w:hint="default"/>
                <w:spacing w:val="-50"/>
                <w:sz w:val="20"/>
                <w:szCs w:val="20"/>
              </w:rPr>
              <w:t> </w:t>
            </w:r>
            <w:r>
              <w:rPr>
                <w:rFonts w:ascii="宋体" w:hAnsi="宋体" w:cs="宋体" w:eastAsia="宋体" w:hint="default"/>
                <w:sz w:val="20"/>
                <w:szCs w:val="20"/>
              </w:rPr>
              <w:t>工作</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流平台软件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UAP</w:t>
            </w:r>
            <w:r>
              <w:rPr>
                <w:rFonts w:ascii="宋体" w:hAnsi="宋体" w:cs="宋体" w:eastAsia="宋体" w:hint="default"/>
                <w:spacing w:val="-51"/>
                <w:sz w:val="20"/>
                <w:szCs w:val="20"/>
              </w:rPr>
              <w:t> </w:t>
            </w:r>
            <w:r>
              <w:rPr>
                <w:rFonts w:ascii="宋体" w:hAnsi="宋体" w:cs="宋体" w:eastAsia="宋体" w:hint="default"/>
                <w:sz w:val="20"/>
                <w:szCs w:val="20"/>
              </w:rPr>
              <w:t>工作</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w w:val="100"/>
                <w:sz w:val="20"/>
                <w:szCs w:val="20"/>
              </w:rPr>
              <w:t>流</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2009SR059792</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 w:right="0"/>
              <w:jc w:val="center"/>
              <w:rPr>
                <w:rFonts w:ascii="宋体" w:hAnsi="宋体" w:cs="宋体" w:eastAsia="宋体" w:hint="default"/>
                <w:sz w:val="20"/>
                <w:szCs w:val="20"/>
              </w:rPr>
            </w:pPr>
            <w:r>
              <w:rPr>
                <w:rFonts w:ascii="宋体"/>
                <w:sz w:val="20"/>
              </w:rPr>
              <w:t>2009-12-25</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2" w:right="0"/>
              <w:jc w:val="center"/>
              <w:rPr>
                <w:rFonts w:ascii="宋体" w:hAnsi="宋体" w:cs="宋体" w:eastAsia="宋体" w:hint="default"/>
                <w:sz w:val="20"/>
                <w:szCs w:val="20"/>
              </w:rPr>
            </w:pPr>
            <w:r>
              <w:rPr>
                <w:rFonts w:ascii="宋体"/>
                <w:sz w:val="20"/>
              </w:rPr>
              <w:t>2009-3-31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45</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0"/>
                <w:sz w:val="20"/>
                <w:szCs w:val="20"/>
              </w:rPr>
              <w:t> </w:t>
            </w:r>
            <w:r>
              <w:rPr>
                <w:rFonts w:ascii="宋体" w:hAnsi="宋体" w:cs="宋体" w:eastAsia="宋体" w:hint="default"/>
                <w:sz w:val="20"/>
                <w:szCs w:val="20"/>
              </w:rPr>
              <w:t>UAP</w:t>
            </w:r>
            <w:r>
              <w:rPr>
                <w:rFonts w:ascii="宋体" w:hAnsi="宋体" w:cs="宋体" w:eastAsia="宋体" w:hint="default"/>
                <w:spacing w:val="-50"/>
                <w:sz w:val="20"/>
                <w:szCs w:val="20"/>
              </w:rPr>
              <w:t> </w:t>
            </w:r>
            <w:r>
              <w:rPr>
                <w:rFonts w:ascii="宋体" w:hAnsi="宋体" w:cs="宋体" w:eastAsia="宋体" w:hint="default"/>
                <w:sz w:val="20"/>
                <w:szCs w:val="20"/>
              </w:rPr>
              <w:t>预警</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服务软件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UAP</w:t>
            </w:r>
            <w:r>
              <w:rPr>
                <w:rFonts w:ascii="宋体" w:hAnsi="宋体" w:cs="宋体" w:eastAsia="宋体" w:hint="default"/>
                <w:spacing w:val="-51"/>
                <w:sz w:val="20"/>
                <w:szCs w:val="20"/>
              </w:rPr>
              <w:t> </w:t>
            </w:r>
            <w:r>
              <w:rPr>
                <w:rFonts w:ascii="宋体" w:hAnsi="宋体" w:cs="宋体" w:eastAsia="宋体" w:hint="default"/>
                <w:sz w:val="20"/>
                <w:szCs w:val="20"/>
              </w:rPr>
              <w:t>预警</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服务</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2009SR059730</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 w:right="0"/>
              <w:jc w:val="center"/>
              <w:rPr>
                <w:rFonts w:ascii="宋体" w:hAnsi="宋体" w:cs="宋体" w:eastAsia="宋体" w:hint="default"/>
                <w:sz w:val="20"/>
                <w:szCs w:val="20"/>
              </w:rPr>
            </w:pPr>
            <w:r>
              <w:rPr>
                <w:rFonts w:ascii="宋体"/>
                <w:sz w:val="20"/>
              </w:rPr>
              <w:t>2009-12-25</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2" w:right="0"/>
              <w:jc w:val="center"/>
              <w:rPr>
                <w:rFonts w:ascii="宋体" w:hAnsi="宋体" w:cs="宋体" w:eastAsia="宋体" w:hint="default"/>
                <w:sz w:val="20"/>
                <w:szCs w:val="20"/>
              </w:rPr>
            </w:pPr>
            <w:r>
              <w:rPr>
                <w:rFonts w:ascii="宋体"/>
                <w:sz w:val="20"/>
              </w:rPr>
              <w:t>2009-3-31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78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214" w:right="0"/>
              <w:jc w:val="left"/>
              <w:rPr>
                <w:rFonts w:ascii="宋体" w:hAnsi="宋体" w:cs="宋体" w:eastAsia="宋体" w:hint="default"/>
                <w:sz w:val="20"/>
                <w:szCs w:val="20"/>
              </w:rPr>
            </w:pPr>
            <w:r>
              <w:rPr>
                <w:rFonts w:ascii="宋体"/>
                <w:sz w:val="20"/>
              </w:rPr>
              <w:t>46</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0"/>
                <w:sz w:val="20"/>
                <w:szCs w:val="20"/>
              </w:rPr>
              <w:t> </w:t>
            </w:r>
            <w:r>
              <w:rPr>
                <w:rFonts w:ascii="宋体" w:hAnsi="宋体" w:cs="宋体" w:eastAsia="宋体" w:hint="default"/>
                <w:sz w:val="20"/>
                <w:szCs w:val="20"/>
              </w:rPr>
              <w:t>UAP</w:t>
            </w:r>
            <w:r>
              <w:rPr>
                <w:rFonts w:ascii="宋体" w:hAnsi="宋体" w:cs="宋体" w:eastAsia="宋体" w:hint="default"/>
                <w:spacing w:val="-50"/>
                <w:sz w:val="20"/>
                <w:szCs w:val="20"/>
              </w:rPr>
              <w:t> </w:t>
            </w:r>
            <w:r>
              <w:rPr>
                <w:rFonts w:ascii="宋体" w:hAnsi="宋体" w:cs="宋体" w:eastAsia="宋体" w:hint="default"/>
                <w:sz w:val="20"/>
                <w:szCs w:val="20"/>
              </w:rPr>
              <w:t>查询</w:t>
            </w:r>
          </w:p>
          <w:p>
            <w:pPr>
              <w:pStyle w:val="TableParagraph"/>
              <w:spacing w:line="240" w:lineRule="auto"/>
              <w:ind w:left="103" w:right="217"/>
              <w:jc w:val="left"/>
              <w:rPr>
                <w:rFonts w:ascii="宋体" w:hAnsi="宋体" w:cs="宋体" w:eastAsia="宋体" w:hint="default"/>
                <w:sz w:val="20"/>
                <w:szCs w:val="20"/>
              </w:rPr>
            </w:pPr>
            <w:r>
              <w:rPr>
                <w:rFonts w:ascii="宋体" w:hAnsi="宋体" w:cs="宋体" w:eastAsia="宋体" w:hint="default"/>
                <w:sz w:val="20"/>
                <w:szCs w:val="20"/>
              </w:rPr>
              <w:t>引擎与分析报</w:t>
            </w:r>
            <w:r>
              <w:rPr>
                <w:rFonts w:ascii="宋体" w:hAnsi="宋体" w:cs="宋体" w:eastAsia="宋体" w:hint="default"/>
                <w:w w:val="100"/>
                <w:sz w:val="20"/>
                <w:szCs w:val="20"/>
              </w:rPr>
              <w:t> </w:t>
            </w:r>
            <w:r>
              <w:rPr>
                <w:rFonts w:ascii="宋体" w:hAnsi="宋体" w:cs="宋体" w:eastAsia="宋体" w:hint="default"/>
                <w:sz w:val="20"/>
                <w:szCs w:val="20"/>
              </w:rPr>
              <w:t>表软件</w:t>
            </w:r>
          </w:p>
        </w:tc>
        <w:tc>
          <w:tcPr>
            <w:tcW w:w="1020"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20"/>
                <w:szCs w:val="20"/>
              </w:rPr>
            </w:pPr>
            <w:r>
              <w:rPr>
                <w:rFonts w:ascii="宋体"/>
                <w:sz w:val="20"/>
              </w:rPr>
              <w:t>V1.0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0"/>
                <w:szCs w:val="20"/>
              </w:rPr>
            </w:pPr>
            <w:r>
              <w:rPr>
                <w:rFonts w:ascii="宋体"/>
                <w:sz w:val="20"/>
              </w:rPr>
              <w:t>2009SR059769</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21" w:right="0"/>
              <w:jc w:val="center"/>
              <w:rPr>
                <w:rFonts w:ascii="宋体" w:hAnsi="宋体" w:cs="宋体" w:eastAsia="宋体" w:hint="default"/>
                <w:sz w:val="20"/>
                <w:szCs w:val="20"/>
              </w:rPr>
            </w:pPr>
            <w:r>
              <w:rPr>
                <w:rFonts w:ascii="宋体"/>
                <w:sz w:val="20"/>
              </w:rPr>
              <w:t>2009-12-25</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22" w:right="0"/>
              <w:jc w:val="center"/>
              <w:rPr>
                <w:rFonts w:ascii="宋体" w:hAnsi="宋体" w:cs="宋体" w:eastAsia="宋体" w:hint="default"/>
                <w:sz w:val="20"/>
                <w:szCs w:val="20"/>
              </w:rPr>
            </w:pPr>
            <w:r>
              <w:rPr>
                <w:rFonts w:ascii="宋体"/>
                <w:sz w:val="20"/>
              </w:rPr>
              <w:t>2009-3-31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47</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0"/>
                <w:sz w:val="20"/>
                <w:szCs w:val="20"/>
              </w:rPr>
              <w:t> </w:t>
            </w:r>
            <w:r>
              <w:rPr>
                <w:rFonts w:ascii="宋体" w:hAnsi="宋体" w:cs="宋体" w:eastAsia="宋体" w:hint="default"/>
                <w:sz w:val="20"/>
                <w:szCs w:val="20"/>
              </w:rPr>
              <w:t>UAP</w:t>
            </w:r>
            <w:r>
              <w:rPr>
                <w:rFonts w:ascii="宋体" w:hAnsi="宋体" w:cs="宋体" w:eastAsia="宋体" w:hint="default"/>
                <w:spacing w:val="-50"/>
                <w:sz w:val="20"/>
                <w:szCs w:val="20"/>
              </w:rPr>
              <w:t> </w:t>
            </w:r>
            <w:r>
              <w:rPr>
                <w:rFonts w:ascii="宋体" w:hAnsi="宋体" w:cs="宋体" w:eastAsia="宋体" w:hint="default"/>
                <w:sz w:val="20"/>
                <w:szCs w:val="20"/>
              </w:rPr>
              <w:t>动态</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会计平台软件</w:t>
            </w:r>
          </w:p>
        </w:tc>
        <w:tc>
          <w:tcPr>
            <w:tcW w:w="1020"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2009SR059772</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 w:right="0"/>
              <w:jc w:val="center"/>
              <w:rPr>
                <w:rFonts w:ascii="宋体" w:hAnsi="宋体" w:cs="宋体" w:eastAsia="宋体" w:hint="default"/>
                <w:sz w:val="20"/>
                <w:szCs w:val="20"/>
              </w:rPr>
            </w:pPr>
            <w:r>
              <w:rPr>
                <w:rFonts w:ascii="宋体"/>
                <w:sz w:val="20"/>
              </w:rPr>
              <w:t>2009-12-25</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2" w:right="0"/>
              <w:jc w:val="center"/>
              <w:rPr>
                <w:rFonts w:ascii="宋体" w:hAnsi="宋体" w:cs="宋体" w:eastAsia="宋体" w:hint="default"/>
                <w:sz w:val="20"/>
                <w:szCs w:val="20"/>
              </w:rPr>
            </w:pPr>
            <w:r>
              <w:rPr>
                <w:rFonts w:ascii="宋体"/>
                <w:sz w:val="20"/>
              </w:rPr>
              <w:t>2009-3-31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48</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用友消息中心</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软件</w:t>
            </w:r>
          </w:p>
        </w:tc>
        <w:tc>
          <w:tcPr>
            <w:tcW w:w="1020"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2009SR059779</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 w:right="0"/>
              <w:jc w:val="center"/>
              <w:rPr>
                <w:rFonts w:ascii="宋体" w:hAnsi="宋体" w:cs="宋体" w:eastAsia="宋体" w:hint="default"/>
                <w:sz w:val="20"/>
                <w:szCs w:val="20"/>
              </w:rPr>
            </w:pPr>
            <w:r>
              <w:rPr>
                <w:rFonts w:ascii="宋体"/>
                <w:sz w:val="20"/>
              </w:rPr>
              <w:t>2009-12-25</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2" w:right="0"/>
              <w:jc w:val="center"/>
              <w:rPr>
                <w:rFonts w:ascii="宋体" w:hAnsi="宋体" w:cs="宋体" w:eastAsia="宋体" w:hint="default"/>
                <w:sz w:val="20"/>
                <w:szCs w:val="20"/>
              </w:rPr>
            </w:pPr>
            <w:r>
              <w:rPr>
                <w:rFonts w:ascii="宋体"/>
                <w:sz w:val="20"/>
              </w:rPr>
              <w:t>2009-3-31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49</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用友外部交换</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平台软件</w:t>
            </w:r>
          </w:p>
        </w:tc>
        <w:tc>
          <w:tcPr>
            <w:tcW w:w="1020"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2009SR059774</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 w:right="0"/>
              <w:jc w:val="center"/>
              <w:rPr>
                <w:rFonts w:ascii="宋体" w:hAnsi="宋体" w:cs="宋体" w:eastAsia="宋体" w:hint="default"/>
                <w:sz w:val="20"/>
                <w:szCs w:val="20"/>
              </w:rPr>
            </w:pPr>
            <w:r>
              <w:rPr>
                <w:rFonts w:ascii="宋体"/>
                <w:sz w:val="20"/>
              </w:rPr>
              <w:t>2009-12-25</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2" w:right="0"/>
              <w:jc w:val="center"/>
              <w:rPr>
                <w:rFonts w:ascii="宋体" w:hAnsi="宋体" w:cs="宋体" w:eastAsia="宋体" w:hint="default"/>
                <w:sz w:val="20"/>
                <w:szCs w:val="20"/>
              </w:rPr>
            </w:pPr>
            <w:r>
              <w:rPr>
                <w:rFonts w:ascii="宋体"/>
                <w:sz w:val="20"/>
              </w:rPr>
              <w:t>2009-3-31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50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3"/>
                <w:sz w:val="20"/>
                <w:szCs w:val="20"/>
              </w:rPr>
              <w:t> </w:t>
            </w:r>
            <w:r>
              <w:rPr>
                <w:rFonts w:ascii="宋体" w:hAnsi="宋体" w:cs="宋体" w:eastAsia="宋体" w:hint="default"/>
                <w:sz w:val="20"/>
                <w:szCs w:val="20"/>
              </w:rPr>
              <w:t>NC</w:t>
            </w:r>
            <w:r>
              <w:rPr>
                <w:rFonts w:ascii="宋体" w:hAnsi="宋体" w:cs="宋体" w:eastAsia="宋体" w:hint="default"/>
                <w:spacing w:val="-52"/>
                <w:sz w:val="20"/>
                <w:szCs w:val="20"/>
              </w:rPr>
              <w:t> </w:t>
            </w:r>
            <w:r>
              <w:rPr>
                <w:rFonts w:ascii="宋体" w:hAnsi="宋体" w:cs="宋体" w:eastAsia="宋体" w:hint="default"/>
                <w:sz w:val="20"/>
                <w:szCs w:val="20"/>
              </w:rPr>
              <w:t>门户平</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台软件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sz w:val="20"/>
              </w:rPr>
              <w:t>UFIDA</w:t>
            </w:r>
            <w:r>
              <w:rPr>
                <w:rFonts w:ascii="宋体"/>
                <w:spacing w:val="-2"/>
                <w:sz w:val="20"/>
              </w:rPr>
              <w:t> </w:t>
            </w:r>
            <w:r>
              <w:rPr>
                <w:rFonts w:ascii="宋体"/>
                <w:sz w:val="20"/>
              </w:rPr>
              <w:t>NC</w:t>
            </w:r>
          </w:p>
          <w:p>
            <w:pPr>
              <w:pStyle w:val="TableParagraph"/>
              <w:spacing w:line="260" w:lineRule="exact"/>
              <w:ind w:left="103" w:right="0"/>
              <w:jc w:val="left"/>
              <w:rPr>
                <w:rFonts w:ascii="宋体" w:hAnsi="宋体" w:cs="宋体" w:eastAsia="宋体" w:hint="default"/>
                <w:sz w:val="20"/>
                <w:szCs w:val="20"/>
              </w:rPr>
            </w:pPr>
            <w:r>
              <w:rPr>
                <w:rFonts w:ascii="宋体"/>
                <w:sz w:val="20"/>
              </w:rPr>
              <w:t>Portal</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sz w:val="20"/>
              </w:rPr>
              <w:t>V1.0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sz w:val="20"/>
              </w:rPr>
              <w:t>2009SR059777</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 w:right="0"/>
              <w:jc w:val="center"/>
              <w:rPr>
                <w:rFonts w:ascii="宋体" w:hAnsi="宋体" w:cs="宋体" w:eastAsia="宋体" w:hint="default"/>
                <w:sz w:val="20"/>
                <w:szCs w:val="20"/>
              </w:rPr>
            </w:pPr>
            <w:r>
              <w:rPr>
                <w:rFonts w:ascii="宋体"/>
                <w:sz w:val="20"/>
              </w:rPr>
              <w:t>2009-12-25</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2" w:right="0"/>
              <w:jc w:val="center"/>
              <w:rPr>
                <w:rFonts w:ascii="宋体" w:hAnsi="宋体" w:cs="宋体" w:eastAsia="宋体" w:hint="default"/>
                <w:sz w:val="20"/>
                <w:szCs w:val="20"/>
              </w:rPr>
            </w:pPr>
            <w:r>
              <w:rPr>
                <w:rFonts w:ascii="宋体"/>
                <w:sz w:val="20"/>
              </w:rPr>
              <w:t>2009-3-31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52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4" w:right="0"/>
              <w:jc w:val="left"/>
              <w:rPr>
                <w:rFonts w:ascii="宋体" w:hAnsi="宋体" w:cs="宋体" w:eastAsia="宋体" w:hint="default"/>
                <w:sz w:val="20"/>
                <w:szCs w:val="20"/>
              </w:rPr>
            </w:pPr>
            <w:r>
              <w:rPr>
                <w:rFonts w:ascii="宋体"/>
                <w:sz w:val="20"/>
              </w:rPr>
              <w:t>51</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3"/>
                <w:sz w:val="20"/>
                <w:szCs w:val="20"/>
              </w:rPr>
              <w:t> </w:t>
            </w:r>
            <w:r>
              <w:rPr>
                <w:rFonts w:ascii="宋体" w:hAnsi="宋体" w:cs="宋体" w:eastAsia="宋体" w:hint="default"/>
                <w:sz w:val="20"/>
                <w:szCs w:val="20"/>
              </w:rPr>
              <w:t>U8</w:t>
            </w:r>
            <w:r>
              <w:rPr>
                <w:rFonts w:ascii="宋体" w:hAnsi="宋体" w:cs="宋体" w:eastAsia="宋体" w:hint="default"/>
                <w:spacing w:val="-52"/>
                <w:sz w:val="20"/>
                <w:szCs w:val="20"/>
              </w:rPr>
              <w:t> </w:t>
            </w:r>
            <w:r>
              <w:rPr>
                <w:rFonts w:ascii="宋体" w:hAnsi="宋体" w:cs="宋体" w:eastAsia="宋体" w:hint="default"/>
                <w:sz w:val="20"/>
                <w:szCs w:val="20"/>
              </w:rPr>
              <w:t>企业管</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理软件</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20"/>
                <w:szCs w:val="20"/>
              </w:rPr>
            </w:pPr>
            <w:r>
              <w:rPr>
                <w:rFonts w:ascii="宋体" w:hAnsi="宋体" w:cs="宋体" w:eastAsia="宋体" w:hint="default"/>
                <w:sz w:val="20"/>
                <w:szCs w:val="20"/>
              </w:rPr>
              <w:t>用友</w:t>
            </w:r>
            <w:r>
              <w:rPr>
                <w:rFonts w:ascii="宋体" w:hAnsi="宋体" w:cs="宋体" w:eastAsia="宋体" w:hint="default"/>
                <w:spacing w:val="-51"/>
                <w:sz w:val="20"/>
                <w:szCs w:val="20"/>
              </w:rPr>
              <w:t> </w:t>
            </w:r>
            <w:r>
              <w:rPr>
                <w:rFonts w:ascii="宋体" w:hAnsi="宋体" w:cs="宋体" w:eastAsia="宋体" w:hint="default"/>
                <w:sz w:val="20"/>
                <w:szCs w:val="20"/>
              </w:rPr>
              <w:t>U8</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2" w:right="0"/>
              <w:jc w:val="left"/>
              <w:rPr>
                <w:rFonts w:ascii="宋体" w:hAnsi="宋体" w:cs="宋体" w:eastAsia="宋体" w:hint="default"/>
                <w:sz w:val="20"/>
                <w:szCs w:val="20"/>
              </w:rPr>
            </w:pPr>
            <w:r>
              <w:rPr>
                <w:rFonts w:ascii="宋体"/>
                <w:sz w:val="20"/>
              </w:rPr>
              <w:t>V8.90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宋体" w:hAnsi="宋体" w:cs="宋体" w:eastAsia="宋体" w:hint="default"/>
                <w:sz w:val="20"/>
                <w:szCs w:val="20"/>
              </w:rPr>
            </w:pPr>
            <w:r>
              <w:rPr>
                <w:rFonts w:ascii="宋体"/>
                <w:sz w:val="20"/>
              </w:rPr>
              <w:t>2009SR059697</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1" w:right="0"/>
              <w:jc w:val="center"/>
              <w:rPr>
                <w:rFonts w:ascii="宋体" w:hAnsi="宋体" w:cs="宋体" w:eastAsia="宋体" w:hint="default"/>
                <w:sz w:val="20"/>
                <w:szCs w:val="20"/>
              </w:rPr>
            </w:pPr>
            <w:r>
              <w:rPr>
                <w:rFonts w:ascii="宋体"/>
                <w:sz w:val="20"/>
              </w:rPr>
              <w:t>2009-12-25</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2" w:right="0"/>
              <w:jc w:val="center"/>
              <w:rPr>
                <w:rFonts w:ascii="宋体" w:hAnsi="宋体" w:cs="宋体" w:eastAsia="宋体" w:hint="default"/>
                <w:sz w:val="20"/>
                <w:szCs w:val="20"/>
              </w:rPr>
            </w:pPr>
            <w:r>
              <w:rPr>
                <w:rFonts w:ascii="宋体"/>
                <w:sz w:val="20"/>
              </w:rPr>
              <w:t>2009-9-11</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94"/>
              <w:jc w:val="center"/>
              <w:rPr>
                <w:rFonts w:ascii="宋体" w:hAnsi="宋体" w:cs="宋体" w:eastAsia="宋体" w:hint="default"/>
                <w:sz w:val="20"/>
                <w:szCs w:val="20"/>
              </w:rPr>
            </w:pPr>
            <w:r>
              <w:rPr>
                <w:rFonts w:ascii="宋体" w:hAnsi="宋体" w:cs="宋体" w:eastAsia="宋体" w:hint="default"/>
                <w:sz w:val="20"/>
                <w:szCs w:val="20"/>
              </w:rPr>
              <w:t>自有</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9"/>
          <w:szCs w:val="19"/>
        </w:rPr>
      </w:pPr>
    </w:p>
    <w:p>
      <w:pPr>
        <w:spacing w:before="26"/>
        <w:ind w:left="538" w:right="2433" w:firstLine="0"/>
        <w:jc w:val="left"/>
        <w:rPr>
          <w:rFonts w:ascii="宋体" w:hAnsi="宋体" w:cs="宋体" w:eastAsia="宋体" w:hint="default"/>
          <w:sz w:val="24"/>
          <w:szCs w:val="24"/>
        </w:rPr>
      </w:pPr>
      <w:bookmarkStart w:name="_TOC_250001" w:id="29"/>
      <w:r>
        <w:rPr>
          <w:rFonts w:ascii="宋体" w:hAnsi="宋体" w:cs="宋体" w:eastAsia="宋体" w:hint="default"/>
          <w:b/>
          <w:bCs/>
          <w:sz w:val="24"/>
          <w:szCs w:val="24"/>
        </w:rPr>
        <w:t>(十二) 信息披露索引</w:t>
      </w:r>
      <w:bookmarkEnd w:id="29"/>
      <w:r>
        <w:rPr>
          <w:rFonts w:ascii="宋体" w:hAnsi="宋体" w:cs="宋体" w:eastAsia="宋体" w:hint="default"/>
          <w:sz w:val="24"/>
          <w:szCs w:val="24"/>
        </w:rPr>
      </w:r>
    </w:p>
    <w:p>
      <w:pPr>
        <w:spacing w:line="240" w:lineRule="auto" w:before="10"/>
        <w:rPr>
          <w:rFonts w:ascii="宋体" w:hAnsi="宋体" w:cs="宋体" w:eastAsia="宋体" w:hint="default"/>
          <w:b/>
          <w:bCs/>
          <w:sz w:val="2"/>
          <w:szCs w:val="2"/>
        </w:rPr>
      </w:pPr>
    </w:p>
    <w:tbl>
      <w:tblPr>
        <w:tblW w:w="0" w:type="auto"/>
        <w:jc w:val="left"/>
        <w:tblInd w:w="122" w:type="dxa"/>
        <w:tblLayout w:type="fixed"/>
        <w:tblCellMar>
          <w:top w:w="0" w:type="dxa"/>
          <w:left w:w="0" w:type="dxa"/>
          <w:bottom w:w="0" w:type="dxa"/>
          <w:right w:w="0" w:type="dxa"/>
        </w:tblCellMar>
        <w:tblLook w:val="01E0"/>
      </w:tblPr>
      <w:tblGrid>
        <w:gridCol w:w="2809"/>
        <w:gridCol w:w="1901"/>
        <w:gridCol w:w="2002"/>
        <w:gridCol w:w="2588"/>
      </w:tblGrid>
      <w:tr>
        <w:trPr>
          <w:trHeight w:val="560"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事项</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刊载的报刊名称及</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版面</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73" w:right="0"/>
              <w:jc w:val="left"/>
              <w:rPr>
                <w:rFonts w:ascii="宋体" w:hAnsi="宋体" w:cs="宋体" w:eastAsia="宋体" w:hint="default"/>
                <w:sz w:val="21"/>
                <w:szCs w:val="21"/>
              </w:rPr>
            </w:pPr>
            <w:r>
              <w:rPr>
                <w:rFonts w:ascii="宋体" w:hAnsi="宋体" w:cs="宋体" w:eastAsia="宋体" w:hint="default"/>
                <w:sz w:val="21"/>
                <w:szCs w:val="21"/>
              </w:rPr>
              <w:t>刊载日期</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刊载的互联网网站及检索</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路径</w:t>
            </w:r>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8"/>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70"/>
                <w:sz w:val="21"/>
                <w:szCs w:val="21"/>
              </w:rPr>
              <w:t> </w:t>
            </w: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年第一次</w:t>
            </w:r>
            <w:r>
              <w:rPr>
                <w:rFonts w:ascii="宋体" w:hAnsi="宋体" w:cs="宋体" w:eastAsia="宋体" w:hint="default"/>
                <w:sz w:val="21"/>
                <w:szCs w:val="21"/>
              </w:rPr>
              <w:t> 会议决议公告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20</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173"/>
              <w:jc w:val="left"/>
              <w:rPr>
                <w:rFonts w:ascii="宋体" w:hAnsi="宋体" w:cs="宋体" w:eastAsia="宋体" w:hint="default"/>
                <w:sz w:val="21"/>
                <w:szCs w:val="21"/>
              </w:rPr>
            </w:pPr>
            <w:r>
              <w:rPr>
                <w:rFonts w:ascii="宋体" w:hAnsi="宋体" w:cs="宋体" w:eastAsia="宋体" w:hint="default"/>
                <w:sz w:val="21"/>
                <w:szCs w:val="21"/>
              </w:rPr>
              <w:t>有限售条件的流通股上市公 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25</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1105"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关于被认定为“高新技术企</w:t>
            </w:r>
          </w:p>
          <w:p>
            <w:pPr>
              <w:pStyle w:val="TableParagraph"/>
              <w:spacing w:line="272" w:lineRule="exact" w:before="26"/>
              <w:ind w:left="100" w:right="120"/>
              <w:jc w:val="both"/>
              <w:rPr>
                <w:rFonts w:ascii="宋体" w:hAnsi="宋体" w:cs="宋体" w:eastAsia="宋体" w:hint="default"/>
                <w:sz w:val="21"/>
                <w:szCs w:val="21"/>
              </w:rPr>
            </w:pPr>
            <w:r>
              <w:rPr>
                <w:rFonts w:ascii="宋体" w:hAnsi="宋体" w:cs="宋体" w:eastAsia="宋体" w:hint="default"/>
                <w:sz w:val="21"/>
                <w:szCs w:val="21"/>
              </w:rPr>
              <w:t>业”和“2008</w:t>
            </w:r>
            <w:r>
              <w:rPr>
                <w:rFonts w:ascii="宋体" w:hAnsi="宋体" w:cs="宋体" w:eastAsia="宋体" w:hint="default"/>
                <w:spacing w:val="-61"/>
                <w:sz w:val="21"/>
                <w:szCs w:val="21"/>
              </w:rPr>
              <w:t> </w:t>
            </w:r>
            <w:r>
              <w:rPr>
                <w:rFonts w:ascii="宋体" w:hAnsi="宋体" w:cs="宋体" w:eastAsia="宋体" w:hint="default"/>
                <w:sz w:val="21"/>
                <w:szCs w:val="21"/>
              </w:rPr>
              <w:t>年度国家规划</w:t>
            </w:r>
            <w:r>
              <w:rPr>
                <w:rFonts w:ascii="宋体" w:hAnsi="宋体" w:cs="宋体" w:eastAsia="宋体" w:hint="default"/>
                <w:sz w:val="21"/>
                <w:szCs w:val="21"/>
              </w:rPr>
              <w:t> 布局内重点软件企业”的公 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26</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28"/>
                <w:szCs w:val="28"/>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78" w:hRule="exact"/>
        </w:trPr>
        <w:tc>
          <w:tcPr>
            <w:tcW w:w="2809"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70"/>
                <w:sz w:val="21"/>
                <w:szCs w:val="21"/>
              </w:rPr>
              <w:t> </w:t>
            </w: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年第二次</w:t>
            </w:r>
          </w:p>
        </w:tc>
        <w:tc>
          <w:tcPr>
            <w:tcW w:w="1901"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tc>
        <w:tc>
          <w:tcPr>
            <w:tcW w:w="2002" w:type="dxa"/>
            <w:tcBorders>
              <w:top w:val="single" w:sz="6" w:space="0" w:color="000000"/>
              <w:left w:val="single" w:sz="6" w:space="0" w:color="000000"/>
              <w:bottom w:val="nil" w:sz="6" w:space="0" w:color="auto"/>
              <w:right w:val="single" w:sz="6" w:space="0" w:color="000000"/>
            </w:tcBorders>
          </w:tcPr>
          <w:p>
            <w:pPr/>
          </w:p>
        </w:tc>
        <w:tc>
          <w:tcPr>
            <w:tcW w:w="2588" w:type="dxa"/>
            <w:tcBorders>
              <w:top w:val="single" w:sz="6" w:space="0" w:color="000000"/>
              <w:left w:val="single" w:sz="6" w:space="0" w:color="000000"/>
              <w:bottom w:val="nil" w:sz="6" w:space="0" w:color="auto"/>
              <w:right w:val="single" w:sz="6" w:space="0" w:color="000000"/>
            </w:tcBorders>
          </w:tcPr>
          <w:p>
            <w:pPr/>
          </w:p>
        </w:tc>
      </w:tr>
      <w:tr>
        <w:trPr>
          <w:trHeight w:val="273" w:hRule="exact"/>
        </w:trPr>
        <w:tc>
          <w:tcPr>
            <w:tcW w:w="2809"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会议决议暨召开</w:t>
            </w:r>
            <w:r>
              <w:rPr>
                <w:rFonts w:ascii="宋体" w:hAnsi="宋体" w:cs="宋体" w:eastAsia="宋体" w:hint="default"/>
                <w:spacing w:val="-71"/>
                <w:sz w:val="21"/>
                <w:szCs w:val="21"/>
              </w:rPr>
              <w:t> </w:t>
            </w:r>
            <w:r>
              <w:rPr>
                <w:rFonts w:ascii="宋体" w:hAnsi="宋体" w:cs="宋体" w:eastAsia="宋体" w:hint="default"/>
                <w:sz w:val="21"/>
                <w:szCs w:val="21"/>
              </w:rPr>
              <w:t>2008</w:t>
            </w:r>
            <w:r>
              <w:rPr>
                <w:rFonts w:ascii="宋体" w:hAnsi="宋体" w:cs="宋体" w:eastAsia="宋体" w:hint="default"/>
                <w:spacing w:val="-70"/>
                <w:sz w:val="21"/>
                <w:szCs w:val="21"/>
              </w:rPr>
              <w:t> </w:t>
            </w:r>
            <w:r>
              <w:rPr>
                <w:rFonts w:ascii="宋体" w:hAnsi="宋体" w:cs="宋体" w:eastAsia="宋体" w:hint="default"/>
                <w:sz w:val="21"/>
                <w:szCs w:val="21"/>
              </w:rPr>
              <w:t>年年度</w:t>
            </w:r>
          </w:p>
        </w:tc>
        <w:tc>
          <w:tcPr>
            <w:tcW w:w="1901"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tc>
        <w:tc>
          <w:tcPr>
            <w:tcW w:w="200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0" w:hRule="exact"/>
        </w:trPr>
        <w:tc>
          <w:tcPr>
            <w:tcW w:w="2809"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股东大会通知的公告</w:t>
            </w:r>
          </w:p>
        </w:tc>
        <w:tc>
          <w:tcPr>
            <w:tcW w:w="1901"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nil" w:sz="6" w:space="0" w:color="auto"/>
              <w:left w:val="single" w:sz="6" w:space="0" w:color="000000"/>
              <w:bottom w:val="single" w:sz="6" w:space="0" w:color="000000"/>
              <w:right w:val="single" w:sz="6" w:space="0" w:color="000000"/>
            </w:tcBorders>
          </w:tcPr>
          <w:p>
            <w:pPr/>
          </w:p>
        </w:tc>
        <w:tc>
          <w:tcPr>
            <w:tcW w:w="2588" w:type="dxa"/>
            <w:tcBorders>
              <w:top w:val="nil" w:sz="6" w:space="0" w:color="auto"/>
              <w:left w:val="single" w:sz="6" w:space="0" w:color="000000"/>
              <w:bottom w:val="single" w:sz="6" w:space="0" w:color="000000"/>
              <w:right w:val="single" w:sz="6" w:space="0" w:color="000000"/>
            </w:tcBorders>
          </w:tcPr>
          <w:p>
            <w:pPr/>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8"/>
              <w:jc w:val="left"/>
              <w:rPr>
                <w:rFonts w:ascii="宋体" w:hAnsi="宋体" w:cs="宋体" w:eastAsia="宋体" w:hint="default"/>
                <w:sz w:val="21"/>
                <w:szCs w:val="21"/>
              </w:rPr>
            </w:pPr>
            <w:r>
              <w:rPr>
                <w:rFonts w:ascii="宋体" w:hAnsi="宋体" w:cs="宋体" w:eastAsia="宋体" w:hint="default"/>
                <w:sz w:val="21"/>
                <w:szCs w:val="21"/>
              </w:rPr>
              <w:t>第四届监事会</w:t>
            </w:r>
            <w:r>
              <w:rPr>
                <w:rFonts w:ascii="宋体" w:hAnsi="宋体" w:cs="宋体" w:eastAsia="宋体" w:hint="default"/>
                <w:spacing w:val="-70"/>
                <w:sz w:val="21"/>
                <w:szCs w:val="21"/>
              </w:rPr>
              <w:t> </w:t>
            </w: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年第一次</w:t>
            </w:r>
            <w:r>
              <w:rPr>
                <w:rFonts w:ascii="宋体" w:hAnsi="宋体" w:cs="宋体" w:eastAsia="宋体" w:hint="default"/>
                <w:sz w:val="21"/>
                <w:szCs w:val="21"/>
              </w:rPr>
              <w:t> 会议决议公告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8"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年度报告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《上海证券报》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hyperlink r:id="rId9">
              <w:r>
                <w:rPr>
                  <w:rFonts w:ascii="宋体"/>
                  <w:sz w:val="21"/>
                </w:rPr>
                <w:t>http://www.sse.com.cn</w:t>
              </w:r>
            </w:hyperlink>
          </w:p>
        </w:tc>
      </w:tr>
    </w:tbl>
    <w:p>
      <w:pPr>
        <w:spacing w:after="0" w:line="241" w:lineRule="exact"/>
        <w:jc w:val="left"/>
        <w:rPr>
          <w:rFonts w:ascii="宋体" w:hAnsi="宋体" w:cs="宋体" w:eastAsia="宋体" w:hint="default"/>
          <w:sz w:val="21"/>
          <w:szCs w:val="21"/>
        </w:rPr>
        <w:sectPr>
          <w:pgSz w:w="11910" w:h="16840"/>
          <w:pgMar w:header="0" w:footer="727" w:top="1080" w:bottom="920" w:left="1280" w:right="106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0"/>
          <w:szCs w:val="10"/>
        </w:rPr>
      </w:pPr>
    </w:p>
    <w:tbl>
      <w:tblPr>
        <w:tblW w:w="0" w:type="auto"/>
        <w:jc w:val="left"/>
        <w:tblInd w:w="122" w:type="dxa"/>
        <w:tblLayout w:type="fixed"/>
        <w:tblCellMar>
          <w:top w:w="0" w:type="dxa"/>
          <w:left w:w="0" w:type="dxa"/>
          <w:bottom w:w="0" w:type="dxa"/>
          <w:right w:w="0" w:type="dxa"/>
        </w:tblCellMar>
        <w:tblLook w:val="01E0"/>
      </w:tblPr>
      <w:tblGrid>
        <w:gridCol w:w="2809"/>
        <w:gridCol w:w="1901"/>
        <w:gridCol w:w="2002"/>
        <w:gridCol w:w="2588"/>
      </w:tblGrid>
      <w:tr>
        <w:trPr>
          <w:trHeight w:val="559" w:hRule="exact"/>
        </w:trPr>
        <w:tc>
          <w:tcPr>
            <w:tcW w:w="2809"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
        </w:tc>
        <w:tc>
          <w:tcPr>
            <w:tcW w:w="2588" w:type="dxa"/>
            <w:tcBorders>
              <w:top w:val="single" w:sz="6" w:space="0" w:color="000000"/>
              <w:left w:val="single" w:sz="6" w:space="0" w:color="000000"/>
              <w:bottom w:val="single" w:sz="6" w:space="0" w:color="000000"/>
              <w:right w:val="single" w:sz="6" w:space="0" w:color="000000"/>
            </w:tcBorders>
          </w:tcPr>
          <w:p>
            <w:pPr/>
          </w:p>
        </w:tc>
      </w:tr>
      <w:tr>
        <w:trPr>
          <w:trHeight w:val="833"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118"/>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年年度股东大会决议公</w:t>
            </w:r>
            <w:r>
              <w:rPr>
                <w:rFonts w:ascii="宋体" w:hAnsi="宋体" w:cs="宋体" w:eastAsia="宋体" w:hint="default"/>
                <w:sz w:val="21"/>
                <w:szCs w:val="21"/>
              </w:rPr>
              <w:t> 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16</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118"/>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年度利润分配及资本公</w:t>
            </w:r>
            <w:r>
              <w:rPr>
                <w:rFonts w:ascii="宋体" w:hAnsi="宋体" w:cs="宋体" w:eastAsia="宋体" w:hint="default"/>
                <w:sz w:val="21"/>
                <w:szCs w:val="21"/>
              </w:rPr>
              <w:t> 积转增股本实施公告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8"/>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70"/>
                <w:sz w:val="21"/>
                <w:szCs w:val="21"/>
              </w:rPr>
              <w:t> </w:t>
            </w: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年第三次</w:t>
            </w:r>
            <w:r>
              <w:rPr>
                <w:rFonts w:ascii="宋体" w:hAnsi="宋体" w:cs="宋体" w:eastAsia="宋体" w:hint="default"/>
                <w:sz w:val="21"/>
                <w:szCs w:val="21"/>
              </w:rPr>
              <w:t> 会议决议公告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3"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年第一季度报告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关于公司股东股权质押公告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16</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3"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8"/>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70"/>
                <w:sz w:val="21"/>
                <w:szCs w:val="21"/>
              </w:rPr>
              <w:t> </w:t>
            </w: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年第四次</w:t>
            </w:r>
            <w:r>
              <w:rPr>
                <w:rFonts w:ascii="宋体" w:hAnsi="宋体" w:cs="宋体" w:eastAsia="宋体" w:hint="default"/>
                <w:sz w:val="21"/>
                <w:szCs w:val="21"/>
              </w:rPr>
              <w:t> 会议决议公告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19</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173"/>
              <w:jc w:val="left"/>
              <w:rPr>
                <w:rFonts w:ascii="宋体" w:hAnsi="宋体" w:cs="宋体" w:eastAsia="宋体" w:hint="default"/>
                <w:sz w:val="21"/>
                <w:szCs w:val="21"/>
              </w:rPr>
            </w:pPr>
            <w:r>
              <w:rPr>
                <w:rFonts w:ascii="宋体" w:hAnsi="宋体" w:cs="宋体" w:eastAsia="宋体" w:hint="default"/>
                <w:sz w:val="21"/>
                <w:szCs w:val="21"/>
              </w:rPr>
              <w:t>关于公司股东股权质押解除 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1"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8"/>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70"/>
                <w:sz w:val="21"/>
                <w:szCs w:val="21"/>
              </w:rPr>
              <w:t> </w:t>
            </w: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年第五次</w:t>
            </w:r>
            <w:r>
              <w:rPr>
                <w:rFonts w:ascii="宋体" w:hAnsi="宋体" w:cs="宋体" w:eastAsia="宋体" w:hint="default"/>
                <w:sz w:val="21"/>
                <w:szCs w:val="21"/>
              </w:rPr>
              <w:t> 会议决议公告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16</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3"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公司股东减持公告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1"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173"/>
              <w:jc w:val="left"/>
              <w:rPr>
                <w:rFonts w:ascii="宋体" w:hAnsi="宋体" w:cs="宋体" w:eastAsia="宋体" w:hint="default"/>
                <w:sz w:val="21"/>
                <w:szCs w:val="21"/>
              </w:rPr>
            </w:pPr>
            <w:r>
              <w:rPr>
                <w:rFonts w:ascii="宋体" w:hAnsi="宋体" w:cs="宋体" w:eastAsia="宋体" w:hint="default"/>
                <w:sz w:val="21"/>
                <w:szCs w:val="21"/>
              </w:rPr>
              <w:t>注销已回购股权激励股份的 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1"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股权激励股份解锁的公告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1" w:right="0"/>
              <w:jc w:val="left"/>
              <w:rPr>
                <w:rFonts w:ascii="宋体" w:hAnsi="宋体" w:cs="宋体" w:eastAsia="宋体" w:hint="default"/>
                <w:sz w:val="21"/>
                <w:szCs w:val="21"/>
              </w:rPr>
            </w:pPr>
            <w:hyperlink r:id="rId9">
              <w:r>
                <w:rPr>
                  <w:rFonts w:ascii="宋体"/>
                  <w:sz w:val="21"/>
                </w:rPr>
                <w:t>http://www.sse.com.cn</w:t>
              </w:r>
            </w:hyperlink>
          </w:p>
        </w:tc>
      </w:tr>
      <w:tr>
        <w:trPr>
          <w:trHeight w:val="833"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8"/>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70"/>
                <w:sz w:val="21"/>
                <w:szCs w:val="21"/>
              </w:rPr>
              <w:t> </w:t>
            </w: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年第六次</w:t>
            </w:r>
            <w:r>
              <w:rPr>
                <w:rFonts w:ascii="宋体" w:hAnsi="宋体" w:cs="宋体" w:eastAsia="宋体" w:hint="default"/>
                <w:sz w:val="21"/>
                <w:szCs w:val="21"/>
              </w:rPr>
              <w:t> 决议公告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1"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8"/>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70"/>
                <w:sz w:val="21"/>
                <w:szCs w:val="21"/>
              </w:rPr>
              <w:t> </w:t>
            </w: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年第七次</w:t>
            </w:r>
            <w:r>
              <w:rPr>
                <w:rFonts w:ascii="宋体" w:hAnsi="宋体" w:cs="宋体" w:eastAsia="宋体" w:hint="default"/>
                <w:sz w:val="21"/>
                <w:szCs w:val="21"/>
              </w:rPr>
              <w:t> 决议公告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1"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173"/>
              <w:jc w:val="left"/>
              <w:rPr>
                <w:rFonts w:ascii="宋体" w:hAnsi="宋体" w:cs="宋体" w:eastAsia="宋体" w:hint="default"/>
                <w:sz w:val="21"/>
                <w:szCs w:val="21"/>
              </w:rPr>
            </w:pPr>
            <w:r>
              <w:rPr>
                <w:rFonts w:ascii="宋体" w:hAnsi="宋体" w:cs="宋体" w:eastAsia="宋体" w:hint="default"/>
                <w:sz w:val="21"/>
                <w:szCs w:val="21"/>
              </w:rPr>
              <w:t>注销已回购股权激励股份的 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15</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3"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股权激励股份解锁的公告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8"/>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70"/>
                <w:sz w:val="21"/>
                <w:szCs w:val="21"/>
              </w:rPr>
              <w:t> </w:t>
            </w: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年第八次</w:t>
            </w:r>
            <w:r>
              <w:rPr>
                <w:rFonts w:ascii="宋体" w:hAnsi="宋体" w:cs="宋体" w:eastAsia="宋体" w:hint="default"/>
                <w:sz w:val="21"/>
                <w:szCs w:val="21"/>
              </w:rPr>
              <w:t> 决议公告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24</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288"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70"/>
                <w:sz w:val="21"/>
                <w:szCs w:val="21"/>
              </w:rPr>
              <w:t> </w:t>
            </w: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年第九次</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30</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hyperlink r:id="rId9">
              <w:r>
                <w:rPr>
                  <w:rFonts w:ascii="宋体"/>
                  <w:sz w:val="21"/>
                </w:rPr>
                <w:t>http://www.sse.com.cn</w:t>
              </w:r>
            </w:hyperlink>
          </w:p>
        </w:tc>
      </w:tr>
    </w:tbl>
    <w:p>
      <w:pPr>
        <w:spacing w:after="0" w:line="241" w:lineRule="exact"/>
        <w:jc w:val="left"/>
        <w:rPr>
          <w:rFonts w:ascii="宋体" w:hAnsi="宋体" w:cs="宋体" w:eastAsia="宋体" w:hint="default"/>
          <w:sz w:val="21"/>
          <w:szCs w:val="21"/>
        </w:rPr>
        <w:sectPr>
          <w:pgSz w:w="11910" w:h="16840"/>
          <w:pgMar w:header="0" w:footer="727" w:top="1080" w:bottom="920" w:left="1280" w:right="106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0"/>
          <w:szCs w:val="10"/>
        </w:rPr>
      </w:pPr>
    </w:p>
    <w:tbl>
      <w:tblPr>
        <w:tblW w:w="0" w:type="auto"/>
        <w:jc w:val="left"/>
        <w:tblInd w:w="122" w:type="dxa"/>
        <w:tblLayout w:type="fixed"/>
        <w:tblCellMar>
          <w:top w:w="0" w:type="dxa"/>
          <w:left w:w="0" w:type="dxa"/>
          <w:bottom w:w="0" w:type="dxa"/>
          <w:right w:w="0" w:type="dxa"/>
        </w:tblCellMar>
        <w:tblLook w:val="01E0"/>
      </w:tblPr>
      <w:tblGrid>
        <w:gridCol w:w="2809"/>
        <w:gridCol w:w="1901"/>
        <w:gridCol w:w="2002"/>
        <w:gridCol w:w="2588"/>
      </w:tblGrid>
      <w:tr>
        <w:trPr>
          <w:trHeight w:val="559"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决议公告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
        </w:tc>
        <w:tc>
          <w:tcPr>
            <w:tcW w:w="2588" w:type="dxa"/>
            <w:tcBorders>
              <w:top w:val="single" w:sz="6" w:space="0" w:color="000000"/>
              <w:left w:val="single" w:sz="6" w:space="0" w:color="000000"/>
              <w:bottom w:val="single" w:sz="6" w:space="0" w:color="000000"/>
              <w:right w:val="single" w:sz="6" w:space="0" w:color="000000"/>
            </w:tcBorders>
          </w:tcPr>
          <w:p>
            <w:pPr/>
          </w:p>
        </w:tc>
      </w:tr>
      <w:tr>
        <w:trPr>
          <w:trHeight w:val="833"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8"/>
              <w:jc w:val="left"/>
              <w:rPr>
                <w:rFonts w:ascii="宋体" w:hAnsi="宋体" w:cs="宋体" w:eastAsia="宋体" w:hint="default"/>
                <w:sz w:val="21"/>
                <w:szCs w:val="21"/>
              </w:rPr>
            </w:pPr>
            <w:r>
              <w:rPr>
                <w:rFonts w:ascii="宋体" w:hAnsi="宋体" w:cs="宋体" w:eastAsia="宋体" w:hint="default"/>
                <w:sz w:val="21"/>
                <w:szCs w:val="21"/>
              </w:rPr>
              <w:t>第四届监事会</w:t>
            </w:r>
            <w:r>
              <w:rPr>
                <w:rFonts w:ascii="宋体" w:hAnsi="宋体" w:cs="宋体" w:eastAsia="宋体" w:hint="default"/>
                <w:spacing w:val="-70"/>
                <w:sz w:val="21"/>
                <w:szCs w:val="21"/>
              </w:rPr>
              <w:t> </w:t>
            </w: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年第四次</w:t>
            </w:r>
            <w:r>
              <w:rPr>
                <w:rFonts w:ascii="宋体" w:hAnsi="宋体" w:cs="宋体" w:eastAsia="宋体" w:hint="default"/>
                <w:sz w:val="21"/>
                <w:szCs w:val="21"/>
              </w:rPr>
              <w:t> 会议决议公告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30</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118"/>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年第一次临时股东大会</w:t>
            </w:r>
            <w:r>
              <w:rPr>
                <w:rFonts w:ascii="宋体" w:hAnsi="宋体" w:cs="宋体" w:eastAsia="宋体" w:hint="default"/>
                <w:sz w:val="21"/>
                <w:szCs w:val="21"/>
              </w:rPr>
              <w:t> 的提示性通知</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17</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118"/>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年第一次临时股东大会</w:t>
            </w:r>
            <w:r>
              <w:rPr>
                <w:rFonts w:ascii="宋体" w:hAnsi="宋体" w:cs="宋体" w:eastAsia="宋体" w:hint="default"/>
                <w:sz w:val="21"/>
                <w:szCs w:val="21"/>
              </w:rPr>
              <w:t> 决议公告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3"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8"/>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70"/>
                <w:sz w:val="21"/>
                <w:szCs w:val="21"/>
              </w:rPr>
              <w:t> </w:t>
            </w: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年第十次</w:t>
            </w:r>
            <w:r>
              <w:rPr>
                <w:rFonts w:ascii="宋体" w:hAnsi="宋体" w:cs="宋体" w:eastAsia="宋体" w:hint="default"/>
                <w:sz w:val="21"/>
                <w:szCs w:val="21"/>
              </w:rPr>
              <w:t> 决议公告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173"/>
              <w:jc w:val="left"/>
              <w:rPr>
                <w:rFonts w:ascii="宋体" w:hAnsi="宋体" w:cs="宋体" w:eastAsia="宋体" w:hint="default"/>
                <w:sz w:val="21"/>
                <w:szCs w:val="21"/>
              </w:rPr>
            </w:pPr>
            <w:r>
              <w:rPr>
                <w:rFonts w:ascii="宋体" w:hAnsi="宋体" w:cs="宋体" w:eastAsia="宋体" w:hint="default"/>
                <w:sz w:val="21"/>
                <w:szCs w:val="21"/>
              </w:rPr>
              <w:t>股权激励计划实施暨股份变 动公告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19</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3"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8"/>
              <w:jc w:val="left"/>
              <w:rPr>
                <w:rFonts w:ascii="宋体" w:hAnsi="宋体" w:cs="宋体" w:eastAsia="宋体" w:hint="default"/>
                <w:sz w:val="21"/>
                <w:szCs w:val="21"/>
              </w:rPr>
            </w:pPr>
            <w:r>
              <w:rPr>
                <w:rFonts w:ascii="宋体" w:hAnsi="宋体" w:cs="宋体" w:eastAsia="宋体" w:hint="default"/>
                <w:sz w:val="21"/>
                <w:szCs w:val="21"/>
              </w:rPr>
              <w:t>第四届董事会</w:t>
            </w:r>
            <w:r>
              <w:rPr>
                <w:rFonts w:ascii="宋体" w:hAnsi="宋体" w:cs="宋体" w:eastAsia="宋体" w:hint="default"/>
                <w:spacing w:val="-70"/>
                <w:sz w:val="21"/>
                <w:szCs w:val="21"/>
              </w:rPr>
              <w:t> </w:t>
            </w:r>
            <w:r>
              <w:rPr>
                <w:rFonts w:ascii="宋体" w:hAnsi="宋体" w:cs="宋体" w:eastAsia="宋体" w:hint="default"/>
                <w:sz w:val="21"/>
                <w:szCs w:val="21"/>
              </w:rPr>
              <w:t>2009</w:t>
            </w:r>
            <w:r>
              <w:rPr>
                <w:rFonts w:ascii="宋体" w:hAnsi="宋体" w:cs="宋体" w:eastAsia="宋体" w:hint="default"/>
                <w:spacing w:val="-70"/>
                <w:sz w:val="21"/>
                <w:szCs w:val="21"/>
              </w:rPr>
              <w:t> </w:t>
            </w:r>
            <w:r>
              <w:rPr>
                <w:rFonts w:ascii="宋体" w:hAnsi="宋体" w:cs="宋体" w:eastAsia="宋体" w:hint="default"/>
                <w:sz w:val="21"/>
                <w:szCs w:val="21"/>
              </w:rPr>
              <w:t>年第十一</w:t>
            </w:r>
            <w:r>
              <w:rPr>
                <w:rFonts w:ascii="宋体" w:hAnsi="宋体" w:cs="宋体" w:eastAsia="宋体" w:hint="default"/>
                <w:sz w:val="21"/>
                <w:szCs w:val="21"/>
              </w:rPr>
              <w:t> 次决议公告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r>
        <w:trPr>
          <w:trHeight w:val="832"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关于公司股东上海用友科技</w:t>
            </w:r>
          </w:p>
          <w:p>
            <w:pPr>
              <w:pStyle w:val="TableParagraph"/>
              <w:spacing w:line="272" w:lineRule="exact" w:before="26"/>
              <w:ind w:left="100" w:right="173"/>
              <w:jc w:val="left"/>
              <w:rPr>
                <w:rFonts w:ascii="宋体" w:hAnsi="宋体" w:cs="宋体" w:eastAsia="宋体" w:hint="default"/>
                <w:sz w:val="21"/>
                <w:szCs w:val="21"/>
              </w:rPr>
            </w:pPr>
            <w:r>
              <w:rPr>
                <w:rFonts w:ascii="宋体" w:hAnsi="宋体" w:cs="宋体" w:eastAsia="宋体" w:hint="default"/>
                <w:sz w:val="21"/>
                <w:szCs w:val="21"/>
              </w:rPr>
              <w:t>咨询有限公司股份转让的提 示性公告</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25</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9">
              <w:r>
                <w:rPr>
                  <w:rFonts w:ascii="宋体"/>
                  <w:sz w:val="21"/>
                </w:rPr>
                <w:t>http://www.sse.com.cn</w:t>
              </w:r>
            </w:hyperlink>
          </w:p>
        </w:tc>
      </w:tr>
    </w:tbl>
    <w:p>
      <w:pPr>
        <w:spacing w:after="0" w:line="240" w:lineRule="auto"/>
        <w:jc w:val="left"/>
        <w:rPr>
          <w:rFonts w:ascii="宋体" w:hAnsi="宋体" w:cs="宋体" w:eastAsia="宋体" w:hint="default"/>
          <w:sz w:val="21"/>
          <w:szCs w:val="21"/>
        </w:rPr>
        <w:sectPr>
          <w:pgSz w:w="11910" w:h="16840"/>
          <w:pgMar w:header="0" w:footer="727" w:top="1080" w:bottom="920" w:left="1280" w:right="1060"/>
        </w:sectPr>
      </w:pPr>
    </w:p>
    <w:p>
      <w:pPr>
        <w:spacing w:line="240" w:lineRule="auto" w:before="5"/>
        <w:rPr>
          <w:rFonts w:ascii="Times New Roman" w:hAnsi="Times New Roman" w:cs="Times New Roman" w:eastAsia="Times New Roman" w:hint="default"/>
          <w:sz w:val="6"/>
          <w:szCs w:val="6"/>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63pt;height:.75pt;mso-position-horizontal-relative:char;mso-position-vertical-relative:line" coordorigin="0,0" coordsize="9260,15">
            <v:group style="position:absolute;left:7;top:7;width:9245;height:2" coordorigin="7,7" coordsize="9245,2">
              <v:shape style="position:absolute;left:7;top:7;width:9245;height:2" coordorigin="7,7" coordsize="9245,0" path="m7,7l9252,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8"/>
          <w:szCs w:val="18"/>
        </w:rPr>
      </w:pPr>
    </w:p>
    <w:p>
      <w:pPr>
        <w:spacing w:before="7"/>
        <w:ind w:left="3206" w:right="3206" w:firstLine="0"/>
        <w:jc w:val="center"/>
        <w:rPr>
          <w:rFonts w:ascii="黑体" w:hAnsi="黑体" w:cs="黑体" w:eastAsia="黑体" w:hint="default"/>
          <w:sz w:val="30"/>
          <w:szCs w:val="30"/>
        </w:rPr>
      </w:pPr>
      <w:r>
        <w:rPr>
          <w:rFonts w:ascii="黑体" w:hAnsi="黑体" w:cs="黑体" w:eastAsia="黑体" w:hint="default"/>
          <w:b/>
          <w:bCs/>
          <w:sz w:val="30"/>
          <w:szCs w:val="30"/>
        </w:rPr>
        <w:t>十、财务报告（后附）</w:t>
      </w:r>
      <w:r>
        <w:rPr>
          <w:rFonts w:ascii="黑体" w:hAnsi="黑体" w:cs="黑体" w:eastAsia="黑体" w:hint="default"/>
          <w:sz w:val="30"/>
          <w:szCs w:val="30"/>
        </w:rPr>
      </w:r>
    </w:p>
    <w:p>
      <w:pPr>
        <w:spacing w:line="240" w:lineRule="auto" w:before="0"/>
        <w:rPr>
          <w:rFonts w:ascii="黑体" w:hAnsi="黑体" w:cs="黑体" w:eastAsia="黑体" w:hint="default"/>
          <w:b/>
          <w:bCs/>
          <w:sz w:val="30"/>
          <w:szCs w:val="30"/>
        </w:rPr>
      </w:pPr>
    </w:p>
    <w:p>
      <w:pPr>
        <w:spacing w:line="240" w:lineRule="auto" w:before="0"/>
        <w:rPr>
          <w:rFonts w:ascii="黑体" w:hAnsi="黑体" w:cs="黑体" w:eastAsia="黑体" w:hint="default"/>
          <w:b/>
          <w:bCs/>
          <w:sz w:val="30"/>
          <w:szCs w:val="30"/>
        </w:rPr>
      </w:pPr>
    </w:p>
    <w:p>
      <w:pPr>
        <w:spacing w:line="240" w:lineRule="auto" w:before="2"/>
        <w:rPr>
          <w:rFonts w:ascii="黑体" w:hAnsi="黑体" w:cs="黑体" w:eastAsia="黑体" w:hint="default"/>
          <w:b/>
          <w:bCs/>
          <w:sz w:val="33"/>
          <w:szCs w:val="33"/>
        </w:rPr>
      </w:pPr>
    </w:p>
    <w:p>
      <w:pPr>
        <w:pStyle w:val="Heading3"/>
        <w:spacing w:line="240" w:lineRule="auto" w:before="0"/>
        <w:ind w:left="3203" w:right="3206"/>
        <w:jc w:val="center"/>
        <w:rPr>
          <w:b w:val="0"/>
          <w:bCs w:val="0"/>
        </w:rPr>
      </w:pPr>
      <w:bookmarkStart w:name="_TOC_250000" w:id="30"/>
      <w:r>
        <w:rPr/>
        <w:t>十一、备查文件目录</w:t>
      </w:r>
      <w:bookmarkEnd w:id="30"/>
      <w:r>
        <w:rPr>
          <w:b w:val="0"/>
          <w:bCs w:val="0"/>
        </w:rPr>
      </w:r>
    </w:p>
    <w:p>
      <w:pPr>
        <w:spacing w:line="240" w:lineRule="auto" w:before="4"/>
        <w:rPr>
          <w:rFonts w:ascii="黑体" w:hAnsi="黑体" w:cs="黑体" w:eastAsia="黑体" w:hint="default"/>
          <w:b/>
          <w:bCs/>
          <w:sz w:val="30"/>
          <w:szCs w:val="30"/>
        </w:rPr>
      </w:pPr>
    </w:p>
    <w:p>
      <w:pPr>
        <w:spacing w:line="312" w:lineRule="exact" w:before="0"/>
        <w:ind w:left="138" w:right="186" w:firstLine="480"/>
        <w:jc w:val="left"/>
        <w:rPr>
          <w:rFonts w:ascii="宋体" w:hAnsi="宋体" w:cs="宋体" w:eastAsia="宋体" w:hint="default"/>
          <w:sz w:val="24"/>
          <w:szCs w:val="24"/>
        </w:rPr>
      </w:pPr>
      <w:r>
        <w:rPr>
          <w:rFonts w:ascii="宋体" w:hAnsi="宋体" w:cs="宋体" w:eastAsia="宋体" w:hint="default"/>
          <w:sz w:val="24"/>
          <w:szCs w:val="24"/>
        </w:rPr>
        <w:t>（一）载有公司法定代表人、主管会计工作负责人和会计机构负责人签名并盖章的 会计报表；</w:t>
      </w:r>
    </w:p>
    <w:p>
      <w:pPr>
        <w:spacing w:before="67"/>
        <w:ind w:left="618" w:right="184" w:firstLine="0"/>
        <w:jc w:val="left"/>
        <w:rPr>
          <w:rFonts w:ascii="宋体" w:hAnsi="宋体" w:cs="宋体" w:eastAsia="宋体" w:hint="default"/>
          <w:sz w:val="24"/>
          <w:szCs w:val="24"/>
        </w:rPr>
      </w:pPr>
      <w:r>
        <w:rPr>
          <w:rFonts w:ascii="宋体" w:hAnsi="宋体" w:cs="宋体" w:eastAsia="宋体" w:hint="default"/>
          <w:sz w:val="24"/>
          <w:szCs w:val="24"/>
        </w:rPr>
        <w:t>（二）载有会计师事务所盖章、注册会计师签名并盖章的审计报告原件；</w:t>
      </w:r>
    </w:p>
    <w:p>
      <w:pPr>
        <w:spacing w:line="310" w:lineRule="exact" w:before="130"/>
        <w:ind w:left="138" w:right="186" w:firstLine="480"/>
        <w:jc w:val="left"/>
        <w:rPr>
          <w:rFonts w:ascii="宋体" w:hAnsi="宋体" w:cs="宋体" w:eastAsia="宋体" w:hint="default"/>
          <w:sz w:val="24"/>
          <w:szCs w:val="24"/>
        </w:rPr>
      </w:pPr>
      <w:r>
        <w:rPr>
          <w:rFonts w:ascii="宋体" w:hAnsi="宋体" w:cs="宋体" w:eastAsia="宋体" w:hint="default"/>
          <w:sz w:val="24"/>
          <w:szCs w:val="24"/>
        </w:rPr>
        <w:t>（三）报告期内在中国证监会指定报刊上公开披露过的所有公司文件的正本和公告 原稿。</w:t>
      </w:r>
    </w:p>
    <w:p>
      <w:pPr>
        <w:spacing w:line="240" w:lineRule="auto" w:before="0"/>
        <w:rPr>
          <w:rFonts w:ascii="宋体" w:hAnsi="宋体" w:cs="宋体" w:eastAsia="宋体" w:hint="default"/>
          <w:sz w:val="24"/>
          <w:szCs w:val="24"/>
        </w:rPr>
      </w:pPr>
    </w:p>
    <w:p>
      <w:pPr>
        <w:spacing w:before="167"/>
        <w:ind w:left="858" w:right="184" w:firstLine="0"/>
        <w:jc w:val="left"/>
        <w:rPr>
          <w:rFonts w:ascii="宋体" w:hAnsi="宋体" w:cs="宋体" w:eastAsia="宋体" w:hint="default"/>
          <w:sz w:val="24"/>
          <w:szCs w:val="24"/>
        </w:rPr>
      </w:pPr>
      <w:r>
        <w:rPr>
          <w:rFonts w:ascii="宋体" w:hAnsi="宋体" w:cs="宋体" w:eastAsia="宋体" w:hint="default"/>
          <w:sz w:val="24"/>
          <w:szCs w:val="24"/>
        </w:rPr>
        <w:t>文件存放地：公司证券与投资者关系部</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31"/>
          <w:szCs w:val="31"/>
        </w:rPr>
      </w:pPr>
    </w:p>
    <w:p>
      <w:pPr>
        <w:spacing w:line="451" w:lineRule="auto" w:before="0"/>
        <w:ind w:left="5418" w:right="1626" w:firstLine="0"/>
        <w:jc w:val="left"/>
        <w:rPr>
          <w:rFonts w:ascii="宋体" w:hAnsi="宋体" w:cs="宋体" w:eastAsia="宋体" w:hint="default"/>
          <w:sz w:val="24"/>
          <w:szCs w:val="24"/>
        </w:rPr>
      </w:pPr>
      <w:r>
        <w:rPr>
          <w:rFonts w:ascii="宋体" w:hAnsi="宋体" w:cs="宋体" w:eastAsia="宋体" w:hint="default"/>
          <w:sz w:val="24"/>
          <w:szCs w:val="24"/>
        </w:rPr>
        <w:t>用友软件股份有限公司 董事长：王文京</w:t>
      </w:r>
    </w:p>
    <w:p>
      <w:pPr>
        <w:spacing w:line="240" w:lineRule="auto" w:before="11"/>
        <w:rPr>
          <w:rFonts w:ascii="宋体" w:hAnsi="宋体" w:cs="宋体" w:eastAsia="宋体" w:hint="default"/>
          <w:sz w:val="28"/>
          <w:szCs w:val="28"/>
        </w:rPr>
      </w:pPr>
    </w:p>
    <w:p>
      <w:pPr>
        <w:spacing w:before="0"/>
        <w:ind w:left="5418" w:right="184" w:firstLine="0"/>
        <w:jc w:val="left"/>
        <w:rPr>
          <w:rFonts w:ascii="宋体" w:hAnsi="宋体" w:cs="宋体" w:eastAsia="宋体" w:hint="default"/>
          <w:sz w:val="24"/>
          <w:szCs w:val="24"/>
        </w:rPr>
      </w:pPr>
      <w:r>
        <w:rPr>
          <w:rFonts w:ascii="宋体" w:hAnsi="宋体" w:cs="宋体" w:eastAsia="宋体" w:hint="default"/>
          <w:sz w:val="24"/>
          <w:szCs w:val="24"/>
        </w:rPr>
        <w:t>二零一零年三月二十日</w:t>
      </w:r>
    </w:p>
    <w:p>
      <w:pPr>
        <w:spacing w:after="0"/>
        <w:jc w:val="left"/>
        <w:rPr>
          <w:rFonts w:ascii="宋体" w:hAnsi="宋体" w:cs="宋体" w:eastAsia="宋体" w:hint="default"/>
          <w:sz w:val="24"/>
          <w:szCs w:val="24"/>
        </w:rPr>
        <w:sectPr>
          <w:headerReference w:type="default" r:id="rId21"/>
          <w:footerReference w:type="default" r:id="rId22"/>
          <w:pgSz w:w="11910" w:h="16840"/>
          <w:pgMar w:header="0" w:footer="0" w:top="900" w:bottom="280" w:left="128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8"/>
          <w:szCs w:val="28"/>
        </w:rPr>
      </w:pPr>
    </w:p>
    <w:p>
      <w:pPr>
        <w:spacing w:line="712" w:lineRule="auto" w:before="0"/>
        <w:ind w:left="739" w:right="98" w:firstLine="1625"/>
        <w:jc w:val="left"/>
        <w:rPr>
          <w:rFonts w:ascii="黑体" w:hAnsi="黑体" w:cs="黑体" w:eastAsia="黑体" w:hint="default"/>
          <w:sz w:val="36"/>
          <w:szCs w:val="36"/>
        </w:rPr>
      </w:pPr>
      <w:bookmarkStart w:name="用友软件2009审计报告.pdf" w:id="31"/>
      <w:bookmarkEnd w:id="31"/>
      <w:r>
        <w:rPr/>
      </w:r>
      <w:r>
        <w:rPr>
          <w:rFonts w:ascii="黑体" w:hAnsi="黑体" w:cs="黑体" w:eastAsia="黑体" w:hint="default"/>
          <w:b/>
          <w:bCs/>
          <w:sz w:val="36"/>
          <w:szCs w:val="36"/>
        </w:rPr>
        <w:t>用友软件股份有限公司</w:t>
      </w:r>
      <w:r>
        <w:rPr>
          <w:rFonts w:ascii="黑体" w:hAnsi="黑体" w:cs="黑体" w:eastAsia="黑体" w:hint="default"/>
          <w:b/>
          <w:bCs/>
          <w:spacing w:val="1"/>
          <w:w w:val="99"/>
          <w:sz w:val="36"/>
          <w:szCs w:val="36"/>
        </w:rPr>
        <w:t> </w:t>
      </w:r>
      <w:r>
        <w:rPr>
          <w:rFonts w:ascii="黑体" w:hAnsi="黑体" w:cs="黑体" w:eastAsia="黑体" w:hint="default"/>
          <w:b/>
          <w:bCs/>
          <w:w w:val="95"/>
          <w:sz w:val="36"/>
          <w:szCs w:val="36"/>
        </w:rPr>
        <w:t>(在中华人民共和国注册成立的股份有限公司)</w:t>
      </w:r>
      <w:r>
        <w:rPr>
          <w:rFonts w:ascii="黑体" w:hAnsi="黑体" w:cs="黑体" w:eastAsia="黑体" w:hint="default"/>
          <w:sz w:val="36"/>
          <w:szCs w:val="36"/>
        </w:rPr>
      </w:r>
    </w:p>
    <w:p>
      <w:pPr>
        <w:spacing w:before="221"/>
        <w:ind w:left="2312" w:right="2511" w:firstLine="0"/>
        <w:jc w:val="center"/>
        <w:rPr>
          <w:rFonts w:ascii="黑体" w:hAnsi="黑体" w:cs="黑体" w:eastAsia="黑体" w:hint="default"/>
          <w:sz w:val="36"/>
          <w:szCs w:val="36"/>
        </w:rPr>
      </w:pPr>
      <w:r>
        <w:rPr>
          <w:rFonts w:ascii="黑体" w:hAnsi="黑体" w:cs="黑体" w:eastAsia="黑体" w:hint="default"/>
          <w:b/>
          <w:bCs/>
          <w:sz w:val="36"/>
          <w:szCs w:val="36"/>
        </w:rPr>
        <w:t>已审财务报表</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0"/>
        <w:rPr>
          <w:rFonts w:ascii="黑体" w:hAnsi="黑体" w:cs="黑体" w:eastAsia="黑体" w:hint="default"/>
          <w:b/>
          <w:bCs/>
          <w:sz w:val="36"/>
          <w:szCs w:val="36"/>
        </w:rPr>
      </w:pPr>
    </w:p>
    <w:p>
      <w:pPr>
        <w:spacing w:line="240" w:lineRule="auto" w:before="0"/>
        <w:rPr>
          <w:rFonts w:ascii="黑体" w:hAnsi="黑体" w:cs="黑体" w:eastAsia="黑体" w:hint="default"/>
          <w:b/>
          <w:bCs/>
          <w:sz w:val="48"/>
          <w:szCs w:val="48"/>
        </w:rPr>
      </w:pPr>
    </w:p>
    <w:p>
      <w:pPr>
        <w:spacing w:before="0"/>
        <w:ind w:left="2311" w:right="2511" w:firstLine="0"/>
        <w:jc w:val="center"/>
        <w:rPr>
          <w:rFonts w:ascii="黑体" w:hAnsi="黑体" w:cs="黑体" w:eastAsia="黑体" w:hint="default"/>
          <w:sz w:val="28"/>
          <w:szCs w:val="28"/>
        </w:rPr>
      </w:pPr>
      <w:r>
        <w:rPr>
          <w:rFonts w:ascii="黑体" w:hAnsi="黑体" w:cs="黑体" w:eastAsia="黑体" w:hint="default"/>
          <w:b/>
          <w:bCs/>
          <w:sz w:val="28"/>
          <w:szCs w:val="28"/>
        </w:rPr>
        <w:t>二零零九年十二月三十一日</w:t>
      </w:r>
      <w:r>
        <w:rPr>
          <w:rFonts w:ascii="黑体" w:hAnsi="黑体" w:cs="黑体" w:eastAsia="黑体" w:hint="default"/>
          <w:sz w:val="28"/>
          <w:szCs w:val="28"/>
        </w:rPr>
      </w:r>
    </w:p>
    <w:p>
      <w:pPr>
        <w:spacing w:after="0"/>
        <w:jc w:val="center"/>
        <w:rPr>
          <w:rFonts w:ascii="黑体" w:hAnsi="黑体" w:cs="黑体" w:eastAsia="黑体" w:hint="default"/>
          <w:sz w:val="28"/>
          <w:szCs w:val="28"/>
        </w:rPr>
        <w:sectPr>
          <w:headerReference w:type="default" r:id="rId23"/>
          <w:footerReference w:type="default" r:id="rId24"/>
          <w:pgSz w:w="11910" w:h="16840"/>
          <w:pgMar w:header="0" w:footer="0" w:top="1600" w:bottom="280" w:left="1680" w:right="16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2"/>
          <w:szCs w:val="12"/>
        </w:rPr>
      </w:pPr>
    </w:p>
    <w:tbl>
      <w:tblPr>
        <w:tblW w:w="0" w:type="auto"/>
        <w:jc w:val="left"/>
        <w:tblInd w:w="114" w:type="dxa"/>
        <w:tblLayout w:type="fixed"/>
        <w:tblCellMar>
          <w:top w:w="0" w:type="dxa"/>
          <w:left w:w="0" w:type="dxa"/>
          <w:bottom w:w="0" w:type="dxa"/>
          <w:right w:w="0" w:type="dxa"/>
        </w:tblCellMar>
        <w:tblLook w:val="01E0"/>
      </w:tblPr>
      <w:tblGrid>
        <w:gridCol w:w="3757"/>
        <w:gridCol w:w="2258"/>
        <w:gridCol w:w="2401"/>
      </w:tblGrid>
      <w:tr>
        <w:trPr>
          <w:trHeight w:val="1040" w:hRule="exact"/>
        </w:trPr>
        <w:tc>
          <w:tcPr>
            <w:tcW w:w="3757" w:type="dxa"/>
            <w:tcBorders>
              <w:top w:val="nil" w:sz="6" w:space="0" w:color="auto"/>
              <w:left w:val="nil" w:sz="6" w:space="0" w:color="auto"/>
              <w:bottom w:val="nil" w:sz="6" w:space="0" w:color="auto"/>
              <w:right w:val="nil" w:sz="6" w:space="0" w:color="auto"/>
            </w:tcBorders>
          </w:tcPr>
          <w:p>
            <w:pP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31"/>
              <w:ind w:left="258" w:right="0"/>
              <w:jc w:val="left"/>
              <w:rPr>
                <w:rFonts w:ascii="黑体" w:hAnsi="黑体" w:cs="黑体" w:eastAsia="黑体" w:hint="default"/>
                <w:sz w:val="22"/>
                <w:szCs w:val="22"/>
              </w:rPr>
            </w:pPr>
            <w:r>
              <w:rPr>
                <w:rFonts w:ascii="黑体" w:hAnsi="黑体" w:cs="黑体" w:eastAsia="黑体" w:hint="default"/>
                <w:b/>
                <w:bCs/>
                <w:w w:val="99"/>
                <w:sz w:val="22"/>
                <w:szCs w:val="22"/>
              </w:rPr>
            </w:r>
            <w:r>
              <w:rPr>
                <w:rFonts w:ascii="黑体" w:hAnsi="黑体" w:cs="黑体" w:eastAsia="黑体" w:hint="default"/>
                <w:b/>
                <w:bCs/>
                <w:sz w:val="22"/>
                <w:szCs w:val="22"/>
                <w:u w:val="single" w:color="000000"/>
              </w:rPr>
              <w:t>目录</w:t>
            </w:r>
            <w:r>
              <w:rPr>
                <w:rFonts w:ascii="黑体" w:hAnsi="黑体" w:cs="黑体" w:eastAsia="黑体" w:hint="default"/>
                <w:b/>
                <w:bCs/>
                <w:sz w:val="22"/>
                <w:szCs w:val="22"/>
              </w:rPr>
            </w:r>
            <w:r>
              <w:rPr>
                <w:rFonts w:ascii="黑体" w:hAnsi="黑体" w:cs="黑体" w:eastAsia="黑体" w:hint="default"/>
                <w:sz w:val="22"/>
                <w:szCs w:val="22"/>
              </w:rPr>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1523" w:right="0"/>
              <w:jc w:val="center"/>
              <w:rPr>
                <w:rFonts w:ascii="黑体" w:hAnsi="黑体" w:cs="黑体" w:eastAsia="黑体" w:hint="default"/>
                <w:sz w:val="22"/>
                <w:szCs w:val="22"/>
              </w:rPr>
            </w:pPr>
            <w:r>
              <w:rPr>
                <w:rFonts w:ascii="黑体" w:hAnsi="黑体" w:cs="黑体" w:eastAsia="黑体" w:hint="default"/>
                <w:b/>
                <w:bCs/>
                <w:w w:val="99"/>
                <w:sz w:val="22"/>
                <w:szCs w:val="22"/>
              </w:rPr>
            </w:r>
            <w:r>
              <w:rPr>
                <w:rFonts w:ascii="黑体" w:hAnsi="黑体" w:cs="黑体" w:eastAsia="黑体" w:hint="default"/>
                <w:b/>
                <w:bCs/>
                <w:sz w:val="22"/>
                <w:szCs w:val="22"/>
                <w:u w:val="single" w:color="000000"/>
              </w:rPr>
              <w:t>页次</w:t>
            </w:r>
            <w:r>
              <w:rPr>
                <w:rFonts w:ascii="黑体" w:hAnsi="黑体" w:cs="黑体" w:eastAsia="黑体" w:hint="default"/>
                <w:b/>
                <w:bCs/>
                <w:sz w:val="22"/>
                <w:szCs w:val="22"/>
              </w:rPr>
            </w:r>
            <w:r>
              <w:rPr>
                <w:rFonts w:ascii="黑体" w:hAnsi="黑体" w:cs="黑体" w:eastAsia="黑体" w:hint="default"/>
                <w:sz w:val="22"/>
                <w:szCs w:val="22"/>
              </w:rPr>
            </w:r>
          </w:p>
        </w:tc>
      </w:tr>
      <w:tr>
        <w:trPr>
          <w:trHeight w:val="1076" w:hRule="exact"/>
        </w:trPr>
        <w:tc>
          <w:tcPr>
            <w:tcW w:w="3757"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5" w:right="0"/>
              <w:jc w:val="left"/>
              <w:rPr>
                <w:rFonts w:ascii="黑体" w:hAnsi="黑体" w:cs="黑体" w:eastAsia="黑体" w:hint="default"/>
                <w:sz w:val="22"/>
                <w:szCs w:val="22"/>
              </w:rPr>
            </w:pPr>
            <w:r>
              <w:rPr>
                <w:rFonts w:ascii="黑体" w:hAnsi="黑体" w:cs="黑体" w:eastAsia="黑体" w:hint="default"/>
                <w:b/>
                <w:bCs/>
                <w:sz w:val="22"/>
                <w:szCs w:val="22"/>
              </w:rPr>
              <w:t>一、审计报告</w:t>
            </w:r>
            <w:r>
              <w:rPr>
                <w:rFonts w:ascii="黑体" w:hAnsi="黑体" w:cs="黑体" w:eastAsia="黑体" w:hint="default"/>
                <w:sz w:val="22"/>
                <w:szCs w:val="22"/>
              </w:rPr>
            </w:r>
          </w:p>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left="35" w:right="0"/>
              <w:jc w:val="left"/>
              <w:rPr>
                <w:rFonts w:ascii="黑体" w:hAnsi="黑体" w:cs="黑体" w:eastAsia="黑体" w:hint="default"/>
                <w:sz w:val="22"/>
                <w:szCs w:val="22"/>
              </w:rPr>
            </w:pPr>
            <w:r>
              <w:rPr>
                <w:rFonts w:ascii="黑体" w:hAnsi="黑体" w:cs="黑体" w:eastAsia="黑体" w:hint="default"/>
                <w:b/>
                <w:bCs/>
                <w:sz w:val="22"/>
                <w:szCs w:val="22"/>
              </w:rPr>
              <w:t>二、已审财务报表</w:t>
            </w:r>
            <w:r>
              <w:rPr>
                <w:rFonts w:ascii="黑体" w:hAnsi="黑体" w:cs="黑体" w:eastAsia="黑体" w:hint="default"/>
                <w:sz w:val="22"/>
                <w:szCs w:val="22"/>
              </w:rPr>
            </w:r>
          </w:p>
        </w:tc>
        <w:tc>
          <w:tcPr>
            <w:tcW w:w="2258" w:type="dxa"/>
            <w:tcBorders>
              <w:top w:val="nil" w:sz="6" w:space="0" w:color="auto"/>
              <w:left w:val="nil" w:sz="6" w:space="0" w:color="auto"/>
              <w:bottom w:val="nil" w:sz="6" w:space="0" w:color="auto"/>
              <w:right w:val="nil" w:sz="6" w:space="0" w:color="auto"/>
            </w:tcBorders>
          </w:tcPr>
          <w:p>
            <w:pP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1522" w:right="0"/>
              <w:jc w:val="center"/>
              <w:rPr>
                <w:rFonts w:ascii="Arial" w:hAnsi="Arial" w:cs="Arial" w:eastAsia="Arial" w:hint="default"/>
                <w:sz w:val="22"/>
                <w:szCs w:val="22"/>
              </w:rPr>
            </w:pPr>
            <w:r>
              <w:rPr>
                <w:rFonts w:ascii="Arial"/>
                <w:b/>
                <w:w w:val="99"/>
                <w:sz w:val="22"/>
              </w:rPr>
              <w:t>1</w:t>
            </w:r>
            <w:r>
              <w:rPr>
                <w:rFonts w:ascii="Arial"/>
                <w:sz w:val="22"/>
              </w:rPr>
            </w:r>
          </w:p>
        </w:tc>
      </w:tr>
      <w:tr>
        <w:trPr>
          <w:trHeight w:val="5383" w:hRule="exact"/>
        </w:trPr>
        <w:tc>
          <w:tcPr>
            <w:tcW w:w="3757" w:type="dxa"/>
            <w:tcBorders>
              <w:top w:val="nil" w:sz="6" w:space="0" w:color="auto"/>
              <w:left w:val="nil" w:sz="6" w:space="0" w:color="auto"/>
              <w:bottom w:val="nil" w:sz="6" w:space="0" w:color="auto"/>
              <w:right w:val="nil" w:sz="6" w:space="0" w:color="auto"/>
            </w:tcBorders>
          </w:tcPr>
          <w:p>
            <w:pPr>
              <w:pStyle w:val="TableParagraph"/>
              <w:spacing w:line="240" w:lineRule="auto" w:before="92"/>
              <w:ind w:left="433" w:right="0"/>
              <w:jc w:val="left"/>
              <w:rPr>
                <w:rFonts w:ascii="黑体" w:hAnsi="黑体" w:cs="黑体" w:eastAsia="黑体" w:hint="default"/>
                <w:sz w:val="22"/>
                <w:szCs w:val="22"/>
              </w:rPr>
            </w:pPr>
            <w:r>
              <w:rPr>
                <w:rFonts w:ascii="Arial" w:hAnsi="Arial" w:cs="Arial" w:eastAsia="Arial" w:hint="default"/>
                <w:b/>
                <w:bCs/>
                <w:sz w:val="22"/>
                <w:szCs w:val="22"/>
              </w:rPr>
              <w:t>1.</w:t>
            </w:r>
            <w:r>
              <w:rPr>
                <w:rFonts w:ascii="黑体" w:hAnsi="黑体" w:cs="黑体" w:eastAsia="黑体" w:hint="default"/>
                <w:b/>
                <w:bCs/>
                <w:sz w:val="22"/>
                <w:szCs w:val="22"/>
              </w:rPr>
              <w:t>合并资产负债表</w:t>
            </w:r>
            <w:r>
              <w:rPr>
                <w:rFonts w:ascii="黑体" w:hAnsi="黑体" w:cs="黑体" w:eastAsia="黑体" w:hint="default"/>
                <w:sz w:val="22"/>
                <w:szCs w:val="22"/>
              </w:rPr>
            </w:r>
          </w:p>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454" w:right="0"/>
              <w:jc w:val="left"/>
              <w:rPr>
                <w:rFonts w:ascii="黑体" w:hAnsi="黑体" w:cs="黑体" w:eastAsia="黑体" w:hint="default"/>
                <w:sz w:val="22"/>
                <w:szCs w:val="22"/>
              </w:rPr>
            </w:pPr>
            <w:r>
              <w:rPr>
                <w:rFonts w:ascii="Arial" w:hAnsi="Arial" w:cs="Arial" w:eastAsia="Arial" w:hint="default"/>
                <w:b/>
                <w:bCs/>
                <w:sz w:val="22"/>
                <w:szCs w:val="22"/>
              </w:rPr>
              <w:t>2.</w:t>
            </w:r>
            <w:r>
              <w:rPr>
                <w:rFonts w:ascii="黑体" w:hAnsi="黑体" w:cs="黑体" w:eastAsia="黑体" w:hint="default"/>
                <w:b/>
                <w:bCs/>
                <w:sz w:val="22"/>
                <w:szCs w:val="22"/>
              </w:rPr>
              <w:t>合并利润表</w:t>
            </w:r>
            <w:r>
              <w:rPr>
                <w:rFonts w:ascii="黑体" w:hAnsi="黑体" w:cs="黑体" w:eastAsia="黑体" w:hint="default"/>
                <w:sz w:val="22"/>
                <w:szCs w:val="22"/>
              </w:rPr>
            </w:r>
          </w:p>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454" w:right="0"/>
              <w:jc w:val="left"/>
              <w:rPr>
                <w:rFonts w:ascii="黑体" w:hAnsi="黑体" w:cs="黑体" w:eastAsia="黑体" w:hint="default"/>
                <w:sz w:val="22"/>
                <w:szCs w:val="22"/>
              </w:rPr>
            </w:pPr>
            <w:r>
              <w:rPr>
                <w:rFonts w:ascii="Arial" w:hAnsi="Arial" w:cs="Arial" w:eastAsia="Arial" w:hint="default"/>
                <w:b/>
                <w:bCs/>
                <w:sz w:val="22"/>
                <w:szCs w:val="22"/>
              </w:rPr>
              <w:t>3.</w:t>
            </w:r>
            <w:r>
              <w:rPr>
                <w:rFonts w:ascii="黑体" w:hAnsi="黑体" w:cs="黑体" w:eastAsia="黑体" w:hint="default"/>
                <w:b/>
                <w:bCs/>
                <w:sz w:val="22"/>
                <w:szCs w:val="22"/>
              </w:rPr>
              <w:t>合并股东权益变动表</w:t>
            </w:r>
            <w:r>
              <w:rPr>
                <w:rFonts w:ascii="黑体" w:hAnsi="黑体" w:cs="黑体" w:eastAsia="黑体" w:hint="default"/>
                <w:sz w:val="22"/>
                <w:szCs w:val="22"/>
              </w:rPr>
            </w: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454" w:right="0"/>
              <w:jc w:val="left"/>
              <w:rPr>
                <w:rFonts w:ascii="黑体" w:hAnsi="黑体" w:cs="黑体" w:eastAsia="黑体" w:hint="default"/>
                <w:sz w:val="22"/>
                <w:szCs w:val="22"/>
              </w:rPr>
            </w:pPr>
            <w:r>
              <w:rPr>
                <w:rFonts w:ascii="Arial" w:hAnsi="Arial" w:cs="Arial" w:eastAsia="Arial" w:hint="default"/>
                <w:b/>
                <w:bCs/>
                <w:sz w:val="22"/>
                <w:szCs w:val="22"/>
              </w:rPr>
              <w:t>4.</w:t>
            </w:r>
            <w:r>
              <w:rPr>
                <w:rFonts w:ascii="黑体" w:hAnsi="黑体" w:cs="黑体" w:eastAsia="黑体" w:hint="default"/>
                <w:b/>
                <w:bCs/>
                <w:sz w:val="22"/>
                <w:szCs w:val="22"/>
              </w:rPr>
              <w:t>合并现金流量表</w:t>
            </w:r>
            <w:r>
              <w:rPr>
                <w:rFonts w:ascii="黑体" w:hAnsi="黑体" w:cs="黑体" w:eastAsia="黑体" w:hint="default"/>
                <w:sz w:val="22"/>
                <w:szCs w:val="22"/>
              </w:rPr>
            </w:r>
          </w:p>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454" w:right="0"/>
              <w:jc w:val="left"/>
              <w:rPr>
                <w:rFonts w:ascii="黑体" w:hAnsi="黑体" w:cs="黑体" w:eastAsia="黑体" w:hint="default"/>
                <w:sz w:val="22"/>
                <w:szCs w:val="22"/>
              </w:rPr>
            </w:pPr>
            <w:r>
              <w:rPr>
                <w:rFonts w:ascii="Arial" w:hAnsi="Arial" w:cs="Arial" w:eastAsia="Arial" w:hint="default"/>
                <w:b/>
                <w:bCs/>
                <w:sz w:val="22"/>
                <w:szCs w:val="22"/>
              </w:rPr>
              <w:t>5.</w:t>
            </w:r>
            <w:r>
              <w:rPr>
                <w:rFonts w:ascii="黑体" w:hAnsi="黑体" w:cs="黑体" w:eastAsia="黑体" w:hint="default"/>
                <w:b/>
                <w:bCs/>
                <w:sz w:val="22"/>
                <w:szCs w:val="22"/>
              </w:rPr>
              <w:t>公司资产负债表</w:t>
            </w:r>
            <w:r>
              <w:rPr>
                <w:rFonts w:ascii="黑体" w:hAnsi="黑体" w:cs="黑体" w:eastAsia="黑体" w:hint="default"/>
                <w:sz w:val="22"/>
                <w:szCs w:val="22"/>
              </w:rPr>
            </w: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454" w:right="0"/>
              <w:jc w:val="left"/>
              <w:rPr>
                <w:rFonts w:ascii="黑体" w:hAnsi="黑体" w:cs="黑体" w:eastAsia="黑体" w:hint="default"/>
                <w:sz w:val="22"/>
                <w:szCs w:val="22"/>
              </w:rPr>
            </w:pPr>
            <w:r>
              <w:rPr>
                <w:rFonts w:ascii="Arial" w:hAnsi="Arial" w:cs="Arial" w:eastAsia="Arial" w:hint="default"/>
                <w:b/>
                <w:bCs/>
                <w:sz w:val="22"/>
                <w:szCs w:val="22"/>
              </w:rPr>
              <w:t>6.</w:t>
            </w:r>
            <w:r>
              <w:rPr>
                <w:rFonts w:ascii="黑体" w:hAnsi="黑体" w:cs="黑体" w:eastAsia="黑体" w:hint="default"/>
                <w:b/>
                <w:bCs/>
                <w:sz w:val="22"/>
                <w:szCs w:val="22"/>
              </w:rPr>
              <w:t>公司利润表</w:t>
            </w:r>
            <w:r>
              <w:rPr>
                <w:rFonts w:ascii="黑体" w:hAnsi="黑体" w:cs="黑体" w:eastAsia="黑体" w:hint="default"/>
                <w:sz w:val="22"/>
                <w:szCs w:val="22"/>
              </w:rPr>
            </w:r>
          </w:p>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454" w:right="0"/>
              <w:jc w:val="left"/>
              <w:rPr>
                <w:rFonts w:ascii="黑体" w:hAnsi="黑体" w:cs="黑体" w:eastAsia="黑体" w:hint="default"/>
                <w:sz w:val="22"/>
                <w:szCs w:val="22"/>
              </w:rPr>
            </w:pPr>
            <w:r>
              <w:rPr>
                <w:rFonts w:ascii="Arial" w:hAnsi="Arial" w:cs="Arial" w:eastAsia="Arial" w:hint="default"/>
                <w:b/>
                <w:bCs/>
                <w:sz w:val="22"/>
                <w:szCs w:val="22"/>
              </w:rPr>
              <w:t>7.</w:t>
            </w:r>
            <w:r>
              <w:rPr>
                <w:rFonts w:ascii="黑体" w:hAnsi="黑体" w:cs="黑体" w:eastAsia="黑体" w:hint="default"/>
                <w:b/>
                <w:bCs/>
                <w:sz w:val="22"/>
                <w:szCs w:val="22"/>
              </w:rPr>
              <w:t>公司股东权益变动表</w:t>
            </w:r>
            <w:r>
              <w:rPr>
                <w:rFonts w:ascii="黑体" w:hAnsi="黑体" w:cs="黑体" w:eastAsia="黑体" w:hint="default"/>
                <w:sz w:val="22"/>
                <w:szCs w:val="22"/>
              </w:rPr>
            </w: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454" w:right="0"/>
              <w:jc w:val="left"/>
              <w:rPr>
                <w:rFonts w:ascii="黑体" w:hAnsi="黑体" w:cs="黑体" w:eastAsia="黑体" w:hint="default"/>
                <w:sz w:val="22"/>
                <w:szCs w:val="22"/>
              </w:rPr>
            </w:pPr>
            <w:r>
              <w:rPr>
                <w:rFonts w:ascii="Arial" w:hAnsi="Arial" w:cs="Arial" w:eastAsia="Arial" w:hint="default"/>
                <w:b/>
                <w:bCs/>
                <w:sz w:val="22"/>
                <w:szCs w:val="22"/>
              </w:rPr>
              <w:t>8.</w:t>
            </w:r>
            <w:r>
              <w:rPr>
                <w:rFonts w:ascii="黑体" w:hAnsi="黑体" w:cs="黑体" w:eastAsia="黑体" w:hint="default"/>
                <w:b/>
                <w:bCs/>
                <w:sz w:val="22"/>
                <w:szCs w:val="22"/>
              </w:rPr>
              <w:t>公司现金流量表</w:t>
            </w:r>
            <w:r>
              <w:rPr>
                <w:rFonts w:ascii="黑体" w:hAnsi="黑体" w:cs="黑体" w:eastAsia="黑体" w:hint="default"/>
                <w:sz w:val="22"/>
                <w:szCs w:val="22"/>
              </w:rPr>
            </w:r>
          </w:p>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424" w:lineRule="auto"/>
              <w:ind w:left="433" w:right="1555" w:firstLine="21"/>
              <w:jc w:val="left"/>
              <w:rPr>
                <w:rFonts w:ascii="黑体" w:hAnsi="黑体" w:cs="黑体" w:eastAsia="黑体" w:hint="default"/>
                <w:sz w:val="22"/>
                <w:szCs w:val="22"/>
              </w:rPr>
            </w:pPr>
            <w:r>
              <w:rPr>
                <w:rFonts w:ascii="Arial" w:hAnsi="Arial" w:cs="Arial" w:eastAsia="Arial" w:hint="default"/>
                <w:b/>
                <w:bCs/>
                <w:sz w:val="22"/>
                <w:szCs w:val="22"/>
              </w:rPr>
              <w:t>9.</w:t>
            </w:r>
            <w:r>
              <w:rPr>
                <w:rFonts w:ascii="黑体" w:hAnsi="黑体" w:cs="黑体" w:eastAsia="黑体" w:hint="default"/>
                <w:b/>
                <w:bCs/>
                <w:sz w:val="22"/>
                <w:szCs w:val="22"/>
              </w:rPr>
              <w:t>财务报表附注</w:t>
            </w:r>
            <w:r>
              <w:rPr>
                <w:rFonts w:ascii="黑体" w:hAnsi="黑体" w:cs="黑体" w:eastAsia="黑体" w:hint="default"/>
                <w:b/>
                <w:bCs/>
                <w:spacing w:val="1"/>
                <w:w w:val="99"/>
                <w:sz w:val="22"/>
                <w:szCs w:val="22"/>
              </w:rPr>
              <w:t> </w:t>
            </w:r>
            <w:r>
              <w:rPr>
                <w:rFonts w:ascii="黑体" w:hAnsi="黑体" w:cs="黑体" w:eastAsia="黑体" w:hint="default"/>
                <w:b/>
                <w:bCs/>
                <w:sz w:val="22"/>
                <w:szCs w:val="22"/>
              </w:rPr>
              <w:t>财务报表补充资料</w:t>
            </w:r>
            <w:r>
              <w:rPr>
                <w:rFonts w:ascii="黑体" w:hAnsi="黑体" w:cs="黑体" w:eastAsia="黑体" w:hint="default"/>
                <w:sz w:val="22"/>
                <w:szCs w:val="22"/>
              </w:rPr>
            </w:r>
          </w:p>
        </w:tc>
        <w:tc>
          <w:tcPr>
            <w:tcW w:w="2258" w:type="dxa"/>
            <w:tcBorders>
              <w:top w:val="nil" w:sz="6" w:space="0" w:color="auto"/>
              <w:left w:val="nil" w:sz="6" w:space="0" w:color="auto"/>
              <w:bottom w:val="nil" w:sz="6" w:space="0" w:color="auto"/>
              <w:right w:val="nil" w:sz="6" w:space="0" w:color="auto"/>
            </w:tcBorders>
          </w:tcPr>
          <w:p>
            <w:pP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253"/>
              <w:jc w:val="right"/>
              <w:rPr>
                <w:rFonts w:ascii="Arial" w:hAnsi="Arial" w:cs="Arial" w:eastAsia="Arial" w:hint="default"/>
                <w:sz w:val="22"/>
                <w:szCs w:val="22"/>
              </w:rPr>
            </w:pPr>
            <w:r>
              <w:rPr>
                <w:rFonts w:ascii="Arial" w:hAnsi="Arial" w:cs="Arial" w:eastAsia="Arial" w:hint="default"/>
                <w:b/>
                <w:bCs/>
                <w:w w:val="95"/>
                <w:sz w:val="22"/>
                <w:szCs w:val="22"/>
              </w:rPr>
              <w:t>2–3</w:t>
            </w:r>
            <w:r>
              <w:rPr>
                <w:rFonts w:ascii="Arial" w:hAnsi="Arial" w:cs="Arial" w:eastAsia="Arial" w:hint="default"/>
                <w:sz w:val="22"/>
                <w:szCs w:val="22"/>
              </w:rPr>
            </w:r>
          </w:p>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376"/>
              <w:jc w:val="right"/>
              <w:rPr>
                <w:rFonts w:ascii="Arial" w:hAnsi="Arial" w:cs="Arial" w:eastAsia="Arial" w:hint="default"/>
                <w:sz w:val="22"/>
                <w:szCs w:val="22"/>
              </w:rPr>
            </w:pPr>
            <w:r>
              <w:rPr>
                <w:rFonts w:ascii="Arial"/>
                <w:b/>
                <w:w w:val="99"/>
                <w:sz w:val="22"/>
              </w:rPr>
              <w:t>4</w:t>
            </w:r>
            <w:r>
              <w:rPr>
                <w:rFonts w:ascii="Arial"/>
                <w:sz w:val="22"/>
              </w:rPr>
            </w:r>
          </w:p>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253"/>
              <w:jc w:val="right"/>
              <w:rPr>
                <w:rFonts w:ascii="Arial" w:hAnsi="Arial" w:cs="Arial" w:eastAsia="Arial" w:hint="default"/>
                <w:sz w:val="22"/>
                <w:szCs w:val="22"/>
              </w:rPr>
            </w:pPr>
            <w:r>
              <w:rPr>
                <w:rFonts w:ascii="Arial" w:hAnsi="Arial" w:cs="Arial" w:eastAsia="Arial" w:hint="default"/>
                <w:b/>
                <w:bCs/>
                <w:w w:val="95"/>
                <w:sz w:val="22"/>
                <w:szCs w:val="22"/>
              </w:rPr>
              <w:t>5–6</w:t>
            </w:r>
            <w:r>
              <w:rPr>
                <w:rFonts w:ascii="Arial" w:hAnsi="Arial" w:cs="Arial" w:eastAsia="Arial" w:hint="default"/>
                <w:sz w:val="22"/>
                <w:szCs w:val="22"/>
              </w:rPr>
            </w:r>
          </w:p>
          <w:p>
            <w:pPr>
              <w:pStyle w:val="TableParagraph"/>
              <w:spacing w:line="240" w:lineRule="auto" w:before="9"/>
              <w:ind w:right="0"/>
              <w:jc w:val="left"/>
              <w:rPr>
                <w:rFonts w:ascii="Times New Roman" w:hAnsi="Times New Roman" w:cs="Times New Roman" w:eastAsia="Times New Roman" w:hint="default"/>
                <w:sz w:val="24"/>
                <w:szCs w:val="24"/>
              </w:rPr>
            </w:pPr>
          </w:p>
          <w:p>
            <w:pPr>
              <w:pStyle w:val="TableParagraph"/>
              <w:spacing w:line="240" w:lineRule="auto"/>
              <w:ind w:right="253"/>
              <w:jc w:val="right"/>
              <w:rPr>
                <w:rFonts w:ascii="Arial" w:hAnsi="Arial" w:cs="Arial" w:eastAsia="Arial" w:hint="default"/>
                <w:sz w:val="22"/>
                <w:szCs w:val="22"/>
              </w:rPr>
            </w:pPr>
            <w:r>
              <w:rPr>
                <w:rFonts w:ascii="Arial" w:hAnsi="Arial" w:cs="Arial" w:eastAsia="Arial" w:hint="default"/>
                <w:b/>
                <w:bCs/>
                <w:w w:val="95"/>
                <w:sz w:val="22"/>
                <w:szCs w:val="22"/>
              </w:rPr>
              <w:t>7–8</w:t>
            </w:r>
            <w:r>
              <w:rPr>
                <w:rFonts w:ascii="Arial" w:hAnsi="Arial" w:cs="Arial" w:eastAsia="Arial" w:hint="default"/>
                <w:sz w:val="22"/>
                <w:szCs w:val="22"/>
              </w:rPr>
            </w:r>
          </w:p>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192"/>
              <w:jc w:val="right"/>
              <w:rPr>
                <w:rFonts w:ascii="Arial" w:hAnsi="Arial" w:cs="Arial" w:eastAsia="Arial" w:hint="default"/>
                <w:sz w:val="22"/>
                <w:szCs w:val="22"/>
              </w:rPr>
            </w:pPr>
            <w:r>
              <w:rPr>
                <w:rFonts w:ascii="Arial" w:hAnsi="Arial" w:cs="Arial" w:eastAsia="Arial" w:hint="default"/>
                <w:b/>
                <w:bCs/>
                <w:w w:val="95"/>
                <w:sz w:val="22"/>
                <w:szCs w:val="22"/>
              </w:rPr>
              <w:t>9–10</w:t>
            </w:r>
            <w:r>
              <w:rPr>
                <w:rFonts w:ascii="Arial" w:hAnsi="Arial" w:cs="Arial" w:eastAsia="Arial" w:hint="default"/>
                <w:sz w:val="22"/>
                <w:szCs w:val="22"/>
              </w:rPr>
            </w:r>
          </w:p>
          <w:p>
            <w:pPr>
              <w:pStyle w:val="TableParagraph"/>
              <w:spacing w:line="240" w:lineRule="auto" w:before="9"/>
              <w:ind w:right="0"/>
              <w:jc w:val="left"/>
              <w:rPr>
                <w:rFonts w:ascii="Times New Roman" w:hAnsi="Times New Roman" w:cs="Times New Roman" w:eastAsia="Times New Roman" w:hint="default"/>
                <w:sz w:val="24"/>
                <w:szCs w:val="24"/>
              </w:rPr>
            </w:pPr>
          </w:p>
          <w:p>
            <w:pPr>
              <w:pStyle w:val="TableParagraph"/>
              <w:spacing w:line="240" w:lineRule="auto"/>
              <w:ind w:right="314"/>
              <w:jc w:val="right"/>
              <w:rPr>
                <w:rFonts w:ascii="Arial" w:hAnsi="Arial" w:cs="Arial" w:eastAsia="Arial" w:hint="default"/>
                <w:sz w:val="22"/>
                <w:szCs w:val="22"/>
              </w:rPr>
            </w:pPr>
            <w:r>
              <w:rPr>
                <w:rFonts w:ascii="Arial"/>
                <w:b/>
                <w:w w:val="95"/>
                <w:sz w:val="22"/>
              </w:rPr>
              <w:t>11</w:t>
            </w:r>
            <w:r>
              <w:rPr>
                <w:rFonts w:ascii="Arial"/>
                <w:sz w:val="22"/>
              </w:rPr>
            </w:r>
          </w:p>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131"/>
              <w:jc w:val="right"/>
              <w:rPr>
                <w:rFonts w:ascii="Arial" w:hAnsi="Arial" w:cs="Arial" w:eastAsia="Arial" w:hint="default"/>
                <w:sz w:val="22"/>
                <w:szCs w:val="22"/>
              </w:rPr>
            </w:pPr>
            <w:r>
              <w:rPr>
                <w:rFonts w:ascii="Arial" w:hAnsi="Arial" w:cs="Arial" w:eastAsia="Arial" w:hint="default"/>
                <w:b/>
                <w:bCs/>
                <w:w w:val="95"/>
                <w:sz w:val="22"/>
                <w:szCs w:val="22"/>
              </w:rPr>
              <w:t>12–13</w:t>
            </w:r>
            <w:r>
              <w:rPr>
                <w:rFonts w:ascii="Arial" w:hAnsi="Arial" w:cs="Arial" w:eastAsia="Arial" w:hint="default"/>
                <w:sz w:val="22"/>
                <w:szCs w:val="22"/>
              </w:rPr>
            </w:r>
          </w:p>
          <w:p>
            <w:pPr>
              <w:pStyle w:val="TableParagraph"/>
              <w:spacing w:line="240" w:lineRule="auto" w:before="9"/>
              <w:ind w:right="0"/>
              <w:jc w:val="left"/>
              <w:rPr>
                <w:rFonts w:ascii="Times New Roman" w:hAnsi="Times New Roman" w:cs="Times New Roman" w:eastAsia="Times New Roman" w:hint="default"/>
                <w:sz w:val="24"/>
                <w:szCs w:val="24"/>
              </w:rPr>
            </w:pPr>
          </w:p>
          <w:p>
            <w:pPr>
              <w:pStyle w:val="TableParagraph"/>
              <w:spacing w:line="240" w:lineRule="auto"/>
              <w:ind w:right="314"/>
              <w:jc w:val="right"/>
              <w:rPr>
                <w:rFonts w:ascii="Arial" w:hAnsi="Arial" w:cs="Arial" w:eastAsia="Arial" w:hint="default"/>
                <w:sz w:val="22"/>
                <w:szCs w:val="22"/>
              </w:rPr>
            </w:pPr>
            <w:r>
              <w:rPr>
                <w:rFonts w:ascii="Arial"/>
                <w:b/>
                <w:w w:val="95"/>
                <w:sz w:val="22"/>
              </w:rPr>
              <w:t>14</w:t>
            </w:r>
            <w:r>
              <w:rPr>
                <w:rFonts w:ascii="Arial"/>
                <w:sz w:val="22"/>
              </w:rPr>
            </w:r>
          </w:p>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left="1522" w:right="0"/>
              <w:jc w:val="center"/>
              <w:rPr>
                <w:rFonts w:ascii="Arial" w:hAnsi="Arial" w:cs="Arial" w:eastAsia="Arial" w:hint="default"/>
                <w:sz w:val="22"/>
                <w:szCs w:val="22"/>
              </w:rPr>
            </w:pPr>
            <w:r>
              <w:rPr>
                <w:rFonts w:ascii="Arial" w:hAnsi="Arial" w:cs="Arial" w:eastAsia="Arial" w:hint="default"/>
                <w:b/>
                <w:bCs/>
                <w:sz w:val="22"/>
                <w:szCs w:val="22"/>
              </w:rPr>
              <w:t>15–166</w:t>
            </w:r>
            <w:r>
              <w:rPr>
                <w:rFonts w:ascii="Arial" w:hAnsi="Arial" w:cs="Arial" w:eastAsia="Arial" w:hint="default"/>
                <w:sz w:val="22"/>
                <w:szCs w:val="22"/>
              </w:rPr>
            </w:r>
          </w:p>
        </w:tc>
      </w:tr>
      <w:tr>
        <w:trPr>
          <w:trHeight w:val="544" w:hRule="exact"/>
        </w:trPr>
        <w:tc>
          <w:tcPr>
            <w:tcW w:w="3757" w:type="dxa"/>
            <w:tcBorders>
              <w:top w:val="nil" w:sz="6" w:space="0" w:color="auto"/>
              <w:left w:val="nil" w:sz="6" w:space="0" w:color="auto"/>
              <w:bottom w:val="nil" w:sz="6" w:space="0" w:color="auto"/>
              <w:right w:val="nil" w:sz="6" w:space="0" w:color="auto"/>
            </w:tcBorders>
          </w:tcPr>
          <w:p>
            <w:pPr>
              <w:pStyle w:val="TableParagraph"/>
              <w:spacing w:line="240" w:lineRule="auto" w:before="92"/>
              <w:ind w:left="445" w:right="0"/>
              <w:jc w:val="left"/>
              <w:rPr>
                <w:rFonts w:ascii="黑体" w:hAnsi="黑体" w:cs="黑体" w:eastAsia="黑体" w:hint="default"/>
                <w:sz w:val="22"/>
                <w:szCs w:val="22"/>
              </w:rPr>
            </w:pPr>
            <w:r>
              <w:rPr>
                <w:rFonts w:ascii="Arial" w:hAnsi="Arial" w:cs="Arial" w:eastAsia="Arial" w:hint="default"/>
                <w:b/>
                <w:bCs/>
                <w:sz w:val="22"/>
                <w:szCs w:val="22"/>
              </w:rPr>
              <w:t>1.</w:t>
            </w:r>
            <w:r>
              <w:rPr>
                <w:rFonts w:ascii="黑体" w:hAnsi="黑体" w:cs="黑体" w:eastAsia="黑体" w:hint="default"/>
                <w:b/>
                <w:bCs/>
                <w:sz w:val="22"/>
                <w:szCs w:val="22"/>
              </w:rPr>
              <w:t>非经常性损益明细表</w:t>
            </w:r>
            <w:r>
              <w:rPr>
                <w:rFonts w:ascii="黑体" w:hAnsi="黑体" w:cs="黑体" w:eastAsia="黑体" w:hint="default"/>
                <w:sz w:val="22"/>
                <w:szCs w:val="22"/>
              </w:rPr>
            </w:r>
          </w:p>
        </w:tc>
        <w:tc>
          <w:tcPr>
            <w:tcW w:w="2258" w:type="dxa"/>
            <w:tcBorders>
              <w:top w:val="nil" w:sz="6" w:space="0" w:color="auto"/>
              <w:left w:val="nil" w:sz="6" w:space="0" w:color="auto"/>
              <w:bottom w:val="nil" w:sz="6" w:space="0" w:color="auto"/>
              <w:right w:val="nil" w:sz="6" w:space="0" w:color="auto"/>
            </w:tcBorders>
          </w:tcPr>
          <w:p>
            <w:pP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1522" w:right="0"/>
              <w:jc w:val="center"/>
              <w:rPr>
                <w:rFonts w:ascii="Arial" w:hAnsi="Arial" w:cs="Arial" w:eastAsia="Arial" w:hint="default"/>
                <w:sz w:val="22"/>
                <w:szCs w:val="22"/>
              </w:rPr>
            </w:pPr>
            <w:r>
              <w:rPr>
                <w:rFonts w:ascii="Arial"/>
                <w:b/>
                <w:sz w:val="22"/>
              </w:rPr>
              <w:t>167</w:t>
            </w:r>
            <w:r>
              <w:rPr>
                <w:rFonts w:ascii="Arial"/>
                <w:sz w:val="22"/>
              </w:rPr>
            </w:r>
          </w:p>
        </w:tc>
      </w:tr>
      <w:tr>
        <w:trPr>
          <w:trHeight w:val="538" w:hRule="exact"/>
        </w:trPr>
        <w:tc>
          <w:tcPr>
            <w:tcW w:w="3757" w:type="dxa"/>
            <w:tcBorders>
              <w:top w:val="nil" w:sz="6" w:space="0" w:color="auto"/>
              <w:left w:val="nil" w:sz="6" w:space="0" w:color="auto"/>
              <w:bottom w:val="nil" w:sz="6" w:space="0" w:color="auto"/>
              <w:right w:val="nil" w:sz="6" w:space="0" w:color="auto"/>
            </w:tcBorders>
          </w:tcPr>
          <w:p>
            <w:pPr>
              <w:pStyle w:val="TableParagraph"/>
              <w:spacing w:line="240" w:lineRule="auto" w:before="86"/>
              <w:ind w:left="445" w:right="0"/>
              <w:jc w:val="left"/>
              <w:rPr>
                <w:rFonts w:ascii="黑体" w:hAnsi="黑体" w:cs="黑体" w:eastAsia="黑体" w:hint="default"/>
                <w:sz w:val="22"/>
                <w:szCs w:val="22"/>
              </w:rPr>
            </w:pPr>
            <w:r>
              <w:rPr>
                <w:rFonts w:ascii="Arial" w:hAnsi="Arial" w:cs="Arial" w:eastAsia="Arial" w:hint="default"/>
                <w:b/>
                <w:bCs/>
                <w:sz w:val="22"/>
                <w:szCs w:val="22"/>
              </w:rPr>
              <w:t>2.</w:t>
            </w:r>
            <w:r>
              <w:rPr>
                <w:rFonts w:ascii="黑体" w:hAnsi="黑体" w:cs="黑体" w:eastAsia="黑体" w:hint="default"/>
                <w:b/>
                <w:bCs/>
                <w:sz w:val="22"/>
                <w:szCs w:val="22"/>
              </w:rPr>
              <w:t>净资产收益率和每股收益</w:t>
            </w:r>
            <w:r>
              <w:rPr>
                <w:rFonts w:ascii="黑体" w:hAnsi="黑体" w:cs="黑体" w:eastAsia="黑体" w:hint="default"/>
                <w:sz w:val="22"/>
                <w:szCs w:val="22"/>
              </w:rPr>
            </w:r>
          </w:p>
        </w:tc>
        <w:tc>
          <w:tcPr>
            <w:tcW w:w="2258" w:type="dxa"/>
            <w:tcBorders>
              <w:top w:val="nil" w:sz="6" w:space="0" w:color="auto"/>
              <w:left w:val="nil" w:sz="6" w:space="0" w:color="auto"/>
              <w:bottom w:val="nil" w:sz="6" w:space="0" w:color="auto"/>
              <w:right w:val="nil" w:sz="6" w:space="0" w:color="auto"/>
            </w:tcBorders>
          </w:tcPr>
          <w:p>
            <w:pP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1522" w:right="0"/>
              <w:jc w:val="center"/>
              <w:rPr>
                <w:rFonts w:ascii="Arial" w:hAnsi="Arial" w:cs="Arial" w:eastAsia="Arial" w:hint="default"/>
                <w:sz w:val="22"/>
                <w:szCs w:val="22"/>
              </w:rPr>
            </w:pPr>
            <w:r>
              <w:rPr>
                <w:rFonts w:ascii="Arial"/>
                <w:b/>
                <w:sz w:val="22"/>
              </w:rPr>
              <w:t>167</w:t>
            </w:r>
            <w:r>
              <w:rPr>
                <w:rFonts w:ascii="Arial"/>
                <w:sz w:val="22"/>
              </w:rPr>
            </w:r>
          </w:p>
        </w:tc>
      </w:tr>
      <w:tr>
        <w:trPr>
          <w:trHeight w:val="485" w:hRule="exact"/>
        </w:trPr>
        <w:tc>
          <w:tcPr>
            <w:tcW w:w="3757" w:type="dxa"/>
            <w:tcBorders>
              <w:top w:val="nil" w:sz="6" w:space="0" w:color="auto"/>
              <w:left w:val="nil" w:sz="6" w:space="0" w:color="auto"/>
              <w:bottom w:val="nil" w:sz="6" w:space="0" w:color="auto"/>
              <w:right w:val="nil" w:sz="6" w:space="0" w:color="auto"/>
            </w:tcBorders>
          </w:tcPr>
          <w:p>
            <w:pPr>
              <w:pStyle w:val="TableParagraph"/>
              <w:spacing w:line="240" w:lineRule="auto" w:before="86"/>
              <w:ind w:left="445" w:right="0"/>
              <w:jc w:val="left"/>
              <w:rPr>
                <w:rFonts w:ascii="黑体" w:hAnsi="黑体" w:cs="黑体" w:eastAsia="黑体" w:hint="default"/>
                <w:sz w:val="22"/>
                <w:szCs w:val="22"/>
              </w:rPr>
            </w:pPr>
            <w:r>
              <w:rPr>
                <w:rFonts w:ascii="Arial" w:hAnsi="Arial" w:cs="Arial" w:eastAsia="Arial" w:hint="default"/>
                <w:b/>
                <w:bCs/>
                <w:sz w:val="22"/>
                <w:szCs w:val="22"/>
              </w:rPr>
              <w:t>3.</w:t>
            </w:r>
            <w:r>
              <w:rPr>
                <w:rFonts w:ascii="黑体" w:hAnsi="黑体" w:cs="黑体" w:eastAsia="黑体" w:hint="default"/>
                <w:b/>
                <w:bCs/>
                <w:sz w:val="22"/>
                <w:szCs w:val="22"/>
              </w:rPr>
              <w:t>财务报表项目数据的变动分析</w:t>
            </w:r>
            <w:r>
              <w:rPr>
                <w:rFonts w:ascii="黑体" w:hAnsi="黑体" w:cs="黑体" w:eastAsia="黑体" w:hint="default"/>
                <w:sz w:val="22"/>
                <w:szCs w:val="22"/>
              </w:rPr>
            </w:r>
          </w:p>
        </w:tc>
        <w:tc>
          <w:tcPr>
            <w:tcW w:w="2258" w:type="dxa"/>
            <w:tcBorders>
              <w:top w:val="nil" w:sz="6" w:space="0" w:color="auto"/>
              <w:left w:val="nil" w:sz="6" w:space="0" w:color="auto"/>
              <w:bottom w:val="nil" w:sz="6" w:space="0" w:color="auto"/>
              <w:right w:val="nil" w:sz="6" w:space="0" w:color="auto"/>
            </w:tcBorders>
          </w:tcPr>
          <w:p>
            <w:pP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1523" w:right="0"/>
              <w:jc w:val="center"/>
              <w:rPr>
                <w:rFonts w:ascii="Arial" w:hAnsi="Arial" w:cs="Arial" w:eastAsia="Arial" w:hint="default"/>
                <w:sz w:val="22"/>
                <w:szCs w:val="22"/>
              </w:rPr>
            </w:pPr>
            <w:r>
              <w:rPr>
                <w:rFonts w:ascii="Arial"/>
                <w:b/>
                <w:sz w:val="22"/>
              </w:rPr>
              <w:t>168-170</w:t>
            </w:r>
            <w:r>
              <w:rPr>
                <w:rFonts w:ascii="Arial"/>
                <w:sz w:val="22"/>
              </w:rPr>
            </w:r>
          </w:p>
        </w:tc>
      </w:tr>
    </w:tbl>
    <w:p>
      <w:pPr>
        <w:spacing w:after="0" w:line="240" w:lineRule="auto"/>
        <w:jc w:val="center"/>
        <w:rPr>
          <w:rFonts w:ascii="Arial" w:hAnsi="Arial" w:cs="Arial" w:eastAsia="Arial" w:hint="default"/>
          <w:sz w:val="22"/>
          <w:szCs w:val="22"/>
        </w:rPr>
        <w:sectPr>
          <w:headerReference w:type="default" r:id="rId25"/>
          <w:footerReference w:type="default" r:id="rId26"/>
          <w:pgSz w:w="11910" w:h="16840"/>
          <w:pgMar w:header="0" w:footer="0" w:top="1600" w:bottom="280" w:left="1500" w:right="16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9"/>
          <w:szCs w:val="19"/>
        </w:rPr>
      </w:pPr>
    </w:p>
    <w:p>
      <w:pPr>
        <w:pStyle w:val="BodyText"/>
        <w:spacing w:line="240" w:lineRule="auto" w:before="38"/>
        <w:ind w:left="817" w:right="890"/>
        <w:jc w:val="center"/>
      </w:pPr>
      <w:r>
        <w:rPr/>
        <w:t>审计报告</w:t>
      </w:r>
    </w:p>
    <w:p>
      <w:pPr>
        <w:spacing w:line="240" w:lineRule="auto" w:before="6"/>
        <w:rPr>
          <w:rFonts w:ascii="黑体" w:hAnsi="黑体" w:cs="黑体" w:eastAsia="黑体" w:hint="default"/>
          <w:sz w:val="14"/>
          <w:szCs w:val="14"/>
        </w:rPr>
      </w:pPr>
    </w:p>
    <w:p>
      <w:pPr>
        <w:pStyle w:val="BodyText"/>
        <w:spacing w:line="240" w:lineRule="auto" w:before="38"/>
        <w:ind w:left="4804" w:right="112"/>
        <w:jc w:val="left"/>
      </w:pPr>
      <w:r>
        <w:rPr/>
        <w:t>安永华明（</w:t>
      </w:r>
      <w:r>
        <w:rPr>
          <w:rFonts w:ascii="Arial" w:hAnsi="Arial" w:cs="Arial" w:eastAsia="Arial" w:hint="default"/>
        </w:rPr>
        <w:t>2010</w:t>
      </w:r>
      <w:r>
        <w:rPr/>
        <w:t>）审字第</w:t>
      </w:r>
      <w:r>
        <w:rPr>
          <w:rFonts w:ascii="Arial" w:hAnsi="Arial" w:cs="Arial" w:eastAsia="Arial" w:hint="default"/>
        </w:rPr>
        <w:t>60469423_A01</w:t>
      </w:r>
      <w:r>
        <w:rPr/>
        <w:t>号</w:t>
      </w:r>
    </w:p>
    <w:p>
      <w:pPr>
        <w:spacing w:line="240" w:lineRule="auto" w:before="4"/>
        <w:rPr>
          <w:rFonts w:ascii="黑体" w:hAnsi="黑体" w:cs="黑体" w:eastAsia="黑体" w:hint="default"/>
          <w:sz w:val="13"/>
          <w:szCs w:val="13"/>
        </w:rPr>
      </w:pPr>
    </w:p>
    <w:p>
      <w:pPr>
        <w:pStyle w:val="BodyText"/>
        <w:spacing w:line="240" w:lineRule="auto" w:before="38"/>
        <w:ind w:left="101" w:right="112"/>
        <w:jc w:val="left"/>
      </w:pPr>
      <w:r>
        <w:rPr/>
        <w:t>用友软件股份有限公司全体股东：</w:t>
      </w:r>
    </w:p>
    <w:p>
      <w:pPr>
        <w:spacing w:line="240" w:lineRule="auto" w:before="4"/>
        <w:rPr>
          <w:rFonts w:ascii="黑体" w:hAnsi="黑体" w:cs="黑体" w:eastAsia="黑体" w:hint="default"/>
          <w:sz w:val="17"/>
          <w:szCs w:val="17"/>
        </w:rPr>
      </w:pPr>
    </w:p>
    <w:p>
      <w:pPr>
        <w:pStyle w:val="BodyText"/>
        <w:spacing w:line="232" w:lineRule="exact"/>
        <w:ind w:left="102" w:right="173" w:firstLine="425"/>
        <w:jc w:val="both"/>
      </w:pPr>
      <w:r>
        <w:rPr>
          <w:spacing w:val="-2"/>
        </w:rPr>
        <w:t>我们审计了后附的用友软件股份有限公司</w:t>
      </w:r>
      <w:r>
        <w:rPr>
          <w:rFonts w:ascii="Arial" w:hAnsi="Arial" w:cs="Arial" w:eastAsia="Arial" w:hint="default"/>
          <w:spacing w:val="-2"/>
        </w:rPr>
        <w:t>(“</w:t>
      </w:r>
      <w:r>
        <w:rPr>
          <w:spacing w:val="-2"/>
        </w:rPr>
        <w:t>贵公司</w:t>
      </w:r>
      <w:r>
        <w:rPr>
          <w:rFonts w:ascii="Arial" w:hAnsi="Arial" w:cs="Arial" w:eastAsia="Arial" w:hint="default"/>
          <w:spacing w:val="-2"/>
        </w:rPr>
        <w:t>”)</w:t>
      </w:r>
      <w:r>
        <w:rPr>
          <w:spacing w:val="-2"/>
        </w:rPr>
        <w:t>及其子公司</w:t>
      </w:r>
      <w:r>
        <w:rPr>
          <w:rFonts w:ascii="Arial" w:hAnsi="Arial" w:cs="Arial" w:eastAsia="Arial" w:hint="default"/>
          <w:spacing w:val="-2"/>
        </w:rPr>
        <w:t>(</w:t>
      </w:r>
      <w:r>
        <w:rPr>
          <w:spacing w:val="-2"/>
        </w:rPr>
        <w:t>统称</w:t>
      </w:r>
      <w:r>
        <w:rPr>
          <w:rFonts w:ascii="Arial" w:hAnsi="Arial" w:cs="Arial" w:eastAsia="Arial" w:hint="default"/>
          <w:spacing w:val="-2"/>
        </w:rPr>
        <w:t>“</w:t>
      </w:r>
      <w:r>
        <w:rPr>
          <w:spacing w:val="-2"/>
        </w:rPr>
        <w:t>贵集团</w:t>
      </w:r>
      <w:r>
        <w:rPr>
          <w:rFonts w:ascii="Arial" w:hAnsi="Arial" w:cs="Arial" w:eastAsia="Arial" w:hint="default"/>
          <w:spacing w:val="-2"/>
        </w:rPr>
        <w:t>”)</w:t>
      </w:r>
      <w:r>
        <w:rPr>
          <w:spacing w:val="-2"/>
        </w:rPr>
        <w:t>的财务报表，包</w:t>
      </w:r>
      <w:r>
        <w:rPr>
          <w:w w:val="100"/>
        </w:rPr>
        <w:t> </w:t>
      </w:r>
      <w:r>
        <w:rPr>
          <w:spacing w:val="-2"/>
        </w:rPr>
        <w:t>括</w:t>
      </w:r>
      <w:r>
        <w:rPr>
          <w:rFonts w:ascii="Arial" w:hAnsi="Arial" w:cs="Arial" w:eastAsia="Arial" w:hint="default"/>
          <w:spacing w:val="-2"/>
        </w:rPr>
        <w:t>2009</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日的合并及公司的资产负债表，</w:t>
      </w:r>
      <w:r>
        <w:rPr>
          <w:rFonts w:ascii="Arial" w:hAnsi="Arial" w:cs="Arial" w:eastAsia="Arial" w:hint="default"/>
          <w:spacing w:val="-2"/>
        </w:rPr>
        <w:t>2009</w:t>
      </w:r>
      <w:r>
        <w:rPr>
          <w:spacing w:val="-2"/>
        </w:rPr>
        <w:t>年度合并及公司的利润表、股东权益变动表</w:t>
      </w:r>
      <w:r>
        <w:rPr>
          <w:spacing w:val="-49"/>
        </w:rPr>
        <w:t> </w:t>
      </w:r>
      <w:r>
        <w:rPr>
          <w:spacing w:val="-49"/>
        </w:rPr>
      </w:r>
      <w:r>
        <w:rPr/>
        <w:t>和现金流量表以及财务报表附注。</w:t>
      </w:r>
    </w:p>
    <w:p>
      <w:pPr>
        <w:pStyle w:val="BodyText"/>
        <w:tabs>
          <w:tab w:pos="1149" w:val="left" w:leader="none"/>
        </w:tabs>
        <w:spacing w:line="436" w:lineRule="exact" w:before="40"/>
        <w:ind w:left="558" w:right="112" w:hanging="31"/>
        <w:jc w:val="left"/>
      </w:pPr>
      <w:r>
        <w:rPr/>
        <w:t>一、</w:t>
        <w:tab/>
        <w:t>管理层对财务报表的责任</w:t>
      </w:r>
      <w:r>
        <w:rPr>
          <w:w w:val="100"/>
        </w:rPr>
        <w:t> </w:t>
      </w:r>
      <w:r>
        <w:rPr>
          <w:spacing w:val="-1"/>
        </w:rPr>
        <w:t>按照企业会计准则的规定编制财务报表是贵公司管理层的责任。这种责任包括：（</w:t>
      </w:r>
      <w:r>
        <w:rPr>
          <w:rFonts w:ascii="Arial" w:hAnsi="Arial" w:cs="Arial" w:eastAsia="Arial" w:hint="default"/>
          <w:spacing w:val="-1"/>
        </w:rPr>
        <w:t>1</w:t>
      </w:r>
      <w:r>
        <w:rPr>
          <w:spacing w:val="-1"/>
        </w:rPr>
        <w:t>）设计、</w:t>
      </w:r>
    </w:p>
    <w:p>
      <w:pPr>
        <w:pStyle w:val="BodyText"/>
        <w:spacing w:line="158" w:lineRule="exact"/>
        <w:ind w:left="102" w:right="112"/>
        <w:jc w:val="left"/>
      </w:pPr>
      <w:r>
        <w:rPr>
          <w:w w:val="100"/>
        </w:rPr>
        <w:t>实施和</w:t>
      </w:r>
      <w:r>
        <w:rPr>
          <w:spacing w:val="-2"/>
          <w:w w:val="100"/>
        </w:rPr>
        <w:t>维</w:t>
      </w:r>
      <w:r>
        <w:rPr>
          <w:w w:val="100"/>
        </w:rPr>
        <w:t>护</w:t>
      </w:r>
      <w:r>
        <w:rPr>
          <w:spacing w:val="-2"/>
          <w:w w:val="100"/>
        </w:rPr>
        <w:t>与</w:t>
      </w:r>
      <w:r>
        <w:rPr>
          <w:w w:val="100"/>
        </w:rPr>
        <w:t>财务报</w:t>
      </w:r>
      <w:r>
        <w:rPr>
          <w:spacing w:val="-2"/>
          <w:w w:val="100"/>
        </w:rPr>
        <w:t>表</w:t>
      </w:r>
      <w:r>
        <w:rPr>
          <w:w w:val="100"/>
        </w:rPr>
        <w:t>编</w:t>
      </w:r>
      <w:r>
        <w:rPr>
          <w:spacing w:val="-2"/>
          <w:w w:val="100"/>
        </w:rPr>
        <w:t>制</w:t>
      </w:r>
      <w:r>
        <w:rPr>
          <w:w w:val="100"/>
        </w:rPr>
        <w:t>相关的</w:t>
      </w:r>
      <w:r>
        <w:rPr>
          <w:spacing w:val="-2"/>
          <w:w w:val="100"/>
        </w:rPr>
        <w:t>内</w:t>
      </w:r>
      <w:r>
        <w:rPr>
          <w:w w:val="100"/>
        </w:rPr>
        <w:t>部</w:t>
      </w:r>
      <w:r>
        <w:rPr>
          <w:spacing w:val="-2"/>
          <w:w w:val="100"/>
        </w:rPr>
        <w:t>控</w:t>
      </w:r>
      <w:r>
        <w:rPr>
          <w:w w:val="100"/>
        </w:rPr>
        <w:t>制</w:t>
      </w:r>
      <w:r>
        <w:rPr>
          <w:spacing w:val="-95"/>
          <w:w w:val="100"/>
        </w:rPr>
        <w:t>，</w:t>
      </w:r>
      <w:r>
        <w:rPr>
          <w:spacing w:val="-2"/>
          <w:w w:val="100"/>
        </w:rPr>
        <w:t>以</w:t>
      </w:r>
      <w:r>
        <w:rPr>
          <w:w w:val="100"/>
        </w:rPr>
        <w:t>使财</w:t>
      </w:r>
      <w:r>
        <w:rPr>
          <w:spacing w:val="-2"/>
          <w:w w:val="100"/>
        </w:rPr>
        <w:t>务</w:t>
      </w:r>
      <w:r>
        <w:rPr>
          <w:w w:val="100"/>
        </w:rPr>
        <w:t>报表不</w:t>
      </w:r>
      <w:r>
        <w:rPr>
          <w:spacing w:val="-2"/>
          <w:w w:val="100"/>
        </w:rPr>
        <w:t>存</w:t>
      </w:r>
      <w:r>
        <w:rPr>
          <w:w w:val="100"/>
        </w:rPr>
        <w:t>在</w:t>
      </w:r>
      <w:r>
        <w:rPr>
          <w:spacing w:val="-2"/>
          <w:w w:val="100"/>
        </w:rPr>
        <w:t>由</w:t>
      </w:r>
      <w:r>
        <w:rPr>
          <w:w w:val="100"/>
        </w:rPr>
        <w:t>于舞弊</w:t>
      </w:r>
      <w:r>
        <w:rPr>
          <w:spacing w:val="-2"/>
          <w:w w:val="100"/>
        </w:rPr>
        <w:t>或</w:t>
      </w:r>
      <w:r>
        <w:rPr>
          <w:w w:val="100"/>
        </w:rPr>
        <w:t>错</w:t>
      </w:r>
      <w:r>
        <w:rPr>
          <w:spacing w:val="-2"/>
          <w:w w:val="100"/>
        </w:rPr>
        <w:t>误</w:t>
      </w:r>
      <w:r>
        <w:rPr>
          <w:w w:val="100"/>
        </w:rPr>
        <w:t>而导致</w:t>
      </w:r>
      <w:r>
        <w:rPr>
          <w:spacing w:val="-2"/>
          <w:w w:val="100"/>
        </w:rPr>
        <w:t>的</w:t>
      </w:r>
      <w:r>
        <w:rPr>
          <w:w w:val="100"/>
        </w:rPr>
        <w:t>重</w:t>
      </w:r>
      <w:r>
        <w:rPr>
          <w:spacing w:val="-2"/>
          <w:w w:val="100"/>
        </w:rPr>
        <w:t>大</w:t>
      </w:r>
      <w:r>
        <w:rPr>
          <w:w w:val="100"/>
        </w:rPr>
        <w:t>错</w:t>
      </w:r>
    </w:p>
    <w:p>
      <w:pPr>
        <w:pStyle w:val="BodyText"/>
        <w:spacing w:line="261" w:lineRule="exact"/>
        <w:ind w:left="102" w:right="112"/>
        <w:jc w:val="left"/>
      </w:pPr>
      <w:r>
        <w:rPr/>
        <w:t>报；（</w:t>
      </w:r>
      <w:r>
        <w:rPr>
          <w:rFonts w:ascii="Arial" w:hAnsi="Arial" w:cs="Arial" w:eastAsia="Arial" w:hint="default"/>
        </w:rPr>
        <w:t>2</w:t>
      </w:r>
      <w:r>
        <w:rPr/>
        <w:t>）选择和运用恰当的会计政策；（</w:t>
      </w:r>
      <w:r>
        <w:rPr>
          <w:rFonts w:ascii="Arial" w:hAnsi="Arial" w:cs="Arial" w:eastAsia="Arial" w:hint="default"/>
        </w:rPr>
        <w:t>3</w:t>
      </w:r>
      <w:r>
        <w:rPr/>
        <w:t>）作出合理的会计估计。</w:t>
      </w:r>
    </w:p>
    <w:p>
      <w:pPr>
        <w:pStyle w:val="BodyText"/>
        <w:tabs>
          <w:tab w:pos="1149" w:val="left" w:leader="none"/>
        </w:tabs>
        <w:spacing w:line="436" w:lineRule="exact" w:before="44"/>
        <w:ind w:left="558" w:right="174" w:hanging="31"/>
        <w:jc w:val="left"/>
      </w:pPr>
      <w:r>
        <w:rPr/>
        <w:t>二、</w:t>
        <w:tab/>
        <w:t>注册会计师的责任</w:t>
      </w:r>
      <w:r>
        <w:rPr>
          <w:w w:val="100"/>
        </w:rPr>
        <w:t> </w:t>
      </w:r>
      <w:r>
        <w:rPr/>
        <w:t>我们的责任是在实施审计工作的基础上对财务报表发表审计意见。我们按照中国注册会计师</w:t>
      </w:r>
    </w:p>
    <w:p>
      <w:pPr>
        <w:pStyle w:val="BodyText"/>
        <w:spacing w:line="156" w:lineRule="exact"/>
        <w:ind w:left="102" w:right="112"/>
        <w:jc w:val="left"/>
      </w:pPr>
      <w:r>
        <w:rPr>
          <w:spacing w:val="-3"/>
        </w:rPr>
        <w:t>审计准则的规定执行了审计工作。中国注册会计师审计准则要求我们遵守职业道德规范，计划和实</w:t>
      </w:r>
    </w:p>
    <w:p>
      <w:pPr>
        <w:pStyle w:val="BodyText"/>
        <w:spacing w:line="247" w:lineRule="exact"/>
        <w:ind w:left="102" w:right="112"/>
        <w:jc w:val="left"/>
      </w:pPr>
      <w:r>
        <w:rPr/>
        <w:t>施审计工作以对财务报表是否不存在重大错报获取合理保证。</w:t>
      </w:r>
    </w:p>
    <w:p>
      <w:pPr>
        <w:spacing w:line="240" w:lineRule="auto" w:before="7"/>
        <w:rPr>
          <w:rFonts w:ascii="黑体" w:hAnsi="黑体" w:cs="黑体" w:eastAsia="黑体" w:hint="default"/>
          <w:sz w:val="15"/>
          <w:szCs w:val="15"/>
        </w:rPr>
      </w:pPr>
    </w:p>
    <w:p>
      <w:pPr>
        <w:pStyle w:val="BodyText"/>
        <w:spacing w:line="211" w:lineRule="auto"/>
        <w:ind w:left="102" w:right="173" w:firstLine="455"/>
        <w:jc w:val="both"/>
      </w:pPr>
      <w:r>
        <w:rPr/>
        <w:t>审计工作涉及实施审计程序，以获取有关财务报表金额和披露的审计证据。选择的审计程序</w:t>
      </w:r>
      <w:r>
        <w:rPr>
          <w:w w:val="100"/>
        </w:rPr>
        <w:t> </w:t>
      </w:r>
      <w:r>
        <w:rPr>
          <w:spacing w:val="-3"/>
        </w:rPr>
        <w:t>取决于注册会计师的判断，包括对由于舞弊或错误导致的财务报表重大错报风险的评估。在进行风</w:t>
      </w:r>
      <w:r>
        <w:rPr>
          <w:spacing w:val="-79"/>
        </w:rPr>
        <w:t> </w:t>
      </w:r>
      <w:r>
        <w:rPr>
          <w:spacing w:val="-79"/>
        </w:rPr>
      </w:r>
      <w:r>
        <w:rPr>
          <w:spacing w:val="-3"/>
        </w:rPr>
        <w:t>险评估时，我们考虑与财务报表编制相关的内部控制，以设计恰当的审计程序，但目的并非对内部</w:t>
      </w:r>
      <w:r>
        <w:rPr>
          <w:spacing w:val="-77"/>
        </w:rPr>
        <w:t> </w:t>
      </w:r>
      <w:r>
        <w:rPr>
          <w:spacing w:val="-77"/>
        </w:rPr>
      </w:r>
      <w:r>
        <w:rPr>
          <w:spacing w:val="-3"/>
          <w:w w:val="100"/>
        </w:rPr>
        <w:t>控制的有效性发表意见。审计工作还包括评价管理层选用会计政策的恰当性和作出会计估计的合理</w:t>
      </w:r>
      <w:r>
        <w:rPr>
          <w:spacing w:val="-95"/>
          <w:w w:val="100"/>
        </w:rPr>
        <w:t> </w:t>
      </w:r>
      <w:r>
        <w:rPr>
          <w:spacing w:val="-95"/>
          <w:w w:val="100"/>
        </w:rPr>
      </w:r>
      <w:r>
        <w:rPr/>
        <w:t>性，以及评价财务报表的总体列报。</w:t>
      </w:r>
    </w:p>
    <w:p>
      <w:pPr>
        <w:pStyle w:val="BodyText"/>
        <w:tabs>
          <w:tab w:pos="1149" w:val="left" w:leader="none"/>
        </w:tabs>
        <w:spacing w:line="400" w:lineRule="auto" w:before="177"/>
        <w:ind w:left="528" w:right="1022" w:firstLine="30"/>
        <w:jc w:val="left"/>
      </w:pPr>
      <w:r>
        <w:rPr>
          <w:spacing w:val="-1"/>
        </w:rPr>
        <w:t>我们相信，我们获取的审计证据是充分的、适当的，为发表审计意见提供了基础。</w:t>
      </w:r>
      <w:r>
        <w:rPr>
          <w:w w:val="100"/>
        </w:rPr>
        <w:t> </w:t>
      </w:r>
      <w:r>
        <w:rPr/>
        <w:t>三、</w:t>
        <w:tab/>
        <w:t>审计意见</w:t>
      </w:r>
    </w:p>
    <w:p>
      <w:pPr>
        <w:pStyle w:val="BodyText"/>
        <w:spacing w:line="230" w:lineRule="exact" w:before="90"/>
        <w:ind w:left="102" w:right="174" w:firstLine="455"/>
        <w:jc w:val="both"/>
      </w:pPr>
      <w:r>
        <w:rPr/>
        <w:t>我们认为，上述财务报表已经按照企业会计准则的规定编制，在所有重大方面公允地反映了</w:t>
      </w:r>
      <w:r>
        <w:rPr>
          <w:w w:val="100"/>
        </w:rPr>
        <w:t> </w:t>
      </w:r>
      <w:r>
        <w:rPr/>
        <w:t>贵集团和贵公司</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日的财务状况以及</w:t>
      </w:r>
      <w:r>
        <w:rPr>
          <w:rFonts w:ascii="Arial" w:hAnsi="Arial" w:cs="Arial" w:eastAsia="Arial" w:hint="default"/>
        </w:rPr>
        <w:t>2009</w:t>
      </w:r>
      <w:r>
        <w:rPr/>
        <w:t>年度的经营成果和现金流量。</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pStyle w:val="BodyText"/>
        <w:tabs>
          <w:tab w:pos="4967" w:val="left" w:leader="none"/>
          <w:tab w:pos="7236" w:val="left" w:leader="none"/>
        </w:tabs>
        <w:spacing w:line="240" w:lineRule="auto" w:before="133"/>
        <w:ind w:left="0" w:right="708"/>
        <w:jc w:val="right"/>
      </w:pPr>
      <w:r>
        <w:rPr>
          <w:spacing w:val="-1"/>
        </w:rPr>
        <w:t>安永华明会计师事务所</w:t>
        <w:tab/>
        <w:t>中国注册会计师</w:t>
        <w:tab/>
      </w:r>
      <w:r>
        <w:rPr/>
        <w:t>杨淑娟</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16"/>
          <w:szCs w:val="16"/>
        </w:rPr>
      </w:pPr>
    </w:p>
    <w:p>
      <w:pPr>
        <w:pStyle w:val="BodyText"/>
        <w:tabs>
          <w:tab w:pos="4367" w:val="left" w:leader="none"/>
          <w:tab w:pos="6636" w:val="left" w:leader="none"/>
        </w:tabs>
        <w:spacing w:line="240" w:lineRule="auto"/>
        <w:ind w:left="0" w:right="708"/>
        <w:jc w:val="right"/>
      </w:pPr>
      <w:r>
        <w:rPr/>
        <w:t>中国北京</w:t>
        <w:tab/>
      </w:r>
      <w:r>
        <w:rPr>
          <w:spacing w:val="-1"/>
        </w:rPr>
        <w:t>中国注册会计师</w:t>
        <w:tab/>
      </w:r>
      <w:r>
        <w:rPr/>
        <w:t>陈胜昔</w:t>
      </w: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26"/>
          <w:szCs w:val="26"/>
        </w:rPr>
      </w:pPr>
    </w:p>
    <w:p>
      <w:pPr>
        <w:pStyle w:val="BodyText"/>
        <w:spacing w:line="240" w:lineRule="auto"/>
        <w:ind w:left="0" w:right="740"/>
        <w:jc w:val="right"/>
      </w:pPr>
      <w:r>
        <w:rPr>
          <w:spacing w:val="-1"/>
        </w:rPr>
        <w:t>二零一零年三月二十日</w:t>
      </w:r>
    </w:p>
    <w:p>
      <w:pPr>
        <w:spacing w:after="0" w:line="240" w:lineRule="auto"/>
        <w:jc w:val="right"/>
        <w:sectPr>
          <w:headerReference w:type="default" r:id="rId27"/>
          <w:footerReference w:type="default" r:id="rId28"/>
          <w:pgSz w:w="11910" w:h="16840"/>
          <w:pgMar w:header="0" w:footer="457" w:top="1600" w:bottom="640" w:left="1600" w:right="1520"/>
          <w:pgNumType w:start="1"/>
        </w:sectPr>
      </w:pPr>
    </w:p>
    <w:p>
      <w:pPr>
        <w:spacing w:line="240" w:lineRule="auto" w:before="4"/>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2913"/>
        <w:gridCol w:w="1984"/>
        <w:gridCol w:w="1987"/>
        <w:gridCol w:w="1691"/>
      </w:tblGrid>
      <w:tr>
        <w:trPr>
          <w:trHeight w:val="708"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b/>
                <w:bCs/>
                <w:sz w:val="20"/>
                <w:szCs w:val="20"/>
              </w:rPr>
              <w:t>资产</w:t>
            </w:r>
            <w:r>
              <w:rPr>
                <w:rFonts w:ascii="黑体" w:hAnsi="黑体" w:cs="黑体" w:eastAsia="黑体" w:hint="default"/>
                <w:sz w:val="20"/>
                <w:szCs w:val="20"/>
              </w:rPr>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679" w:right="0"/>
              <w:jc w:val="center"/>
              <w:rPr>
                <w:rFonts w:ascii="黑体" w:hAnsi="黑体" w:cs="黑体" w:eastAsia="黑体" w:hint="default"/>
                <w:sz w:val="20"/>
                <w:szCs w:val="20"/>
              </w:rPr>
            </w:pPr>
            <w:r>
              <w:rPr>
                <w:rFonts w:ascii="黑体" w:hAnsi="黑体" w:cs="黑体" w:eastAsia="黑体" w:hint="default"/>
                <w:b/>
                <w:bCs/>
                <w:sz w:val="20"/>
                <w:szCs w:val="20"/>
              </w:rPr>
              <w:t>附注五</w:t>
            </w:r>
            <w:r>
              <w:rPr>
                <w:rFonts w:ascii="黑体" w:hAnsi="黑体" w:cs="黑体" w:eastAsia="黑体" w:hint="default"/>
                <w:sz w:val="20"/>
                <w:szCs w:val="20"/>
              </w:rPr>
            </w:r>
          </w:p>
        </w:tc>
        <w:tc>
          <w:tcPr>
            <w:tcW w:w="1987" w:type="dxa"/>
            <w:tcBorders>
              <w:top w:val="nil" w:sz="6" w:space="0" w:color="auto"/>
              <w:left w:val="nil" w:sz="6" w:space="0" w:color="auto"/>
              <w:bottom w:val="nil" w:sz="6" w:space="0" w:color="auto"/>
              <w:right w:val="nil" w:sz="6" w:space="0" w:color="auto"/>
            </w:tcBorders>
          </w:tcPr>
          <w:p>
            <w:pPr>
              <w:pStyle w:val="TableParagraph"/>
              <w:spacing w:line="268" w:lineRule="exact" w:before="38"/>
              <w:ind w:left="984" w:right="0"/>
              <w:jc w:val="left"/>
              <w:rPr>
                <w:rFonts w:ascii="黑体" w:hAnsi="黑体" w:cs="黑体" w:eastAsia="黑体" w:hint="default"/>
                <w:sz w:val="20"/>
                <w:szCs w:val="20"/>
              </w:rPr>
            </w:pPr>
            <w:r>
              <w:rPr>
                <w:rFonts w:ascii="Arial" w:hAnsi="Arial" w:cs="Arial" w:eastAsia="Arial" w:hint="default"/>
                <w:b/>
                <w:bCs/>
                <w:sz w:val="20"/>
                <w:szCs w:val="20"/>
              </w:rPr>
              <w:t>2009</w:t>
            </w:r>
            <w:r>
              <w:rPr>
                <w:rFonts w:ascii="黑体" w:hAnsi="黑体" w:cs="黑体" w:eastAsia="黑体" w:hint="default"/>
                <w:b/>
                <w:bCs/>
                <w:sz w:val="20"/>
                <w:szCs w:val="20"/>
              </w:rPr>
              <w:t>年</w:t>
            </w:r>
            <w:r>
              <w:rPr>
                <w:rFonts w:ascii="黑体" w:hAnsi="黑体" w:cs="黑体" w:eastAsia="黑体" w:hint="default"/>
                <w:sz w:val="20"/>
                <w:szCs w:val="20"/>
              </w:rPr>
            </w:r>
          </w:p>
          <w:p>
            <w:pPr>
              <w:pStyle w:val="TableParagraph"/>
              <w:spacing w:line="268" w:lineRule="exact"/>
              <w:ind w:left="784" w:right="0"/>
              <w:jc w:val="left"/>
              <w:rPr>
                <w:rFonts w:ascii="黑体" w:hAnsi="黑体" w:cs="黑体" w:eastAsia="黑体" w:hint="default"/>
                <w:sz w:val="20"/>
                <w:szCs w:val="20"/>
              </w:rPr>
            </w:pPr>
            <w:r>
              <w:rPr>
                <w:rFonts w:ascii="Arial" w:hAnsi="Arial" w:cs="Arial" w:eastAsia="Arial" w:hint="default"/>
                <w:b/>
                <w:bCs/>
                <w:sz w:val="20"/>
                <w:szCs w:val="20"/>
              </w:rPr>
              <w:t>12</w:t>
            </w:r>
            <w:r>
              <w:rPr>
                <w:rFonts w:ascii="黑体" w:hAnsi="黑体" w:cs="黑体" w:eastAsia="黑体" w:hint="default"/>
                <w:b/>
                <w:bCs/>
                <w:sz w:val="20"/>
                <w:szCs w:val="20"/>
              </w:rPr>
              <w:t>月</w:t>
            </w:r>
            <w:r>
              <w:rPr>
                <w:rFonts w:ascii="Arial" w:hAnsi="Arial" w:cs="Arial" w:eastAsia="Arial" w:hint="default"/>
                <w:b/>
                <w:bCs/>
                <w:sz w:val="20"/>
                <w:szCs w:val="20"/>
              </w:rPr>
              <w:t>31</w:t>
            </w:r>
            <w:r>
              <w:rPr>
                <w:rFonts w:ascii="黑体" w:hAnsi="黑体" w:cs="黑体" w:eastAsia="黑体" w:hint="default"/>
                <w:b/>
                <w:bCs/>
                <w:sz w:val="20"/>
                <w:szCs w:val="20"/>
              </w:rPr>
              <w:t>日</w:t>
            </w:r>
            <w:r>
              <w:rPr>
                <w:rFonts w:ascii="黑体" w:hAnsi="黑体" w:cs="黑体" w:eastAsia="黑体" w:hint="default"/>
                <w:sz w:val="20"/>
                <w:szCs w:val="20"/>
              </w:rPr>
            </w:r>
          </w:p>
        </w:tc>
        <w:tc>
          <w:tcPr>
            <w:tcW w:w="1691" w:type="dxa"/>
            <w:tcBorders>
              <w:top w:val="nil" w:sz="6" w:space="0" w:color="auto"/>
              <w:left w:val="nil" w:sz="6" w:space="0" w:color="auto"/>
              <w:bottom w:val="nil" w:sz="6" w:space="0" w:color="auto"/>
              <w:right w:val="nil" w:sz="6" w:space="0" w:color="auto"/>
            </w:tcBorders>
          </w:tcPr>
          <w:p>
            <w:pPr>
              <w:pStyle w:val="TableParagraph"/>
              <w:spacing w:line="268" w:lineRule="exact" w:before="38"/>
              <w:ind w:left="1008" w:right="0"/>
              <w:jc w:val="left"/>
              <w:rPr>
                <w:rFonts w:ascii="黑体" w:hAnsi="黑体" w:cs="黑体" w:eastAsia="黑体" w:hint="default"/>
                <w:sz w:val="20"/>
                <w:szCs w:val="20"/>
              </w:rPr>
            </w:pPr>
            <w:r>
              <w:rPr>
                <w:rFonts w:ascii="Arial" w:hAnsi="Arial" w:cs="Arial" w:eastAsia="Arial" w:hint="default"/>
                <w:b/>
                <w:bCs/>
                <w:sz w:val="20"/>
                <w:szCs w:val="20"/>
              </w:rPr>
              <w:t>2008</w:t>
            </w:r>
            <w:r>
              <w:rPr>
                <w:rFonts w:ascii="黑体" w:hAnsi="黑体" w:cs="黑体" w:eastAsia="黑体" w:hint="default"/>
                <w:b/>
                <w:bCs/>
                <w:sz w:val="20"/>
                <w:szCs w:val="20"/>
              </w:rPr>
              <w:t>年</w:t>
            </w:r>
            <w:r>
              <w:rPr>
                <w:rFonts w:ascii="黑体" w:hAnsi="黑体" w:cs="黑体" w:eastAsia="黑体" w:hint="default"/>
                <w:sz w:val="20"/>
                <w:szCs w:val="20"/>
              </w:rPr>
            </w:r>
          </w:p>
          <w:p>
            <w:pPr>
              <w:pStyle w:val="TableParagraph"/>
              <w:spacing w:line="268" w:lineRule="exact"/>
              <w:ind w:left="807" w:right="0"/>
              <w:jc w:val="left"/>
              <w:rPr>
                <w:rFonts w:ascii="黑体" w:hAnsi="黑体" w:cs="黑体" w:eastAsia="黑体" w:hint="default"/>
                <w:sz w:val="20"/>
                <w:szCs w:val="20"/>
              </w:rPr>
            </w:pPr>
            <w:r>
              <w:rPr>
                <w:rFonts w:ascii="Arial" w:hAnsi="Arial" w:cs="Arial" w:eastAsia="Arial" w:hint="default"/>
                <w:b/>
                <w:bCs/>
                <w:sz w:val="20"/>
                <w:szCs w:val="20"/>
              </w:rPr>
              <w:t>12</w:t>
            </w:r>
            <w:r>
              <w:rPr>
                <w:rFonts w:ascii="黑体" w:hAnsi="黑体" w:cs="黑体" w:eastAsia="黑体" w:hint="default"/>
                <w:b/>
                <w:bCs/>
                <w:sz w:val="20"/>
                <w:szCs w:val="20"/>
              </w:rPr>
              <w:t>月</w:t>
            </w:r>
            <w:r>
              <w:rPr>
                <w:rFonts w:ascii="Arial" w:hAnsi="Arial" w:cs="Arial" w:eastAsia="Arial" w:hint="default"/>
                <w:b/>
                <w:bCs/>
                <w:sz w:val="20"/>
                <w:szCs w:val="20"/>
              </w:rPr>
              <w:t>31</w:t>
            </w:r>
            <w:r>
              <w:rPr>
                <w:rFonts w:ascii="黑体" w:hAnsi="黑体" w:cs="黑体" w:eastAsia="黑体" w:hint="default"/>
                <w:b/>
                <w:bCs/>
                <w:sz w:val="20"/>
                <w:szCs w:val="20"/>
              </w:rPr>
              <w:t>日</w:t>
            </w:r>
            <w:r>
              <w:rPr>
                <w:rFonts w:ascii="黑体" w:hAnsi="黑体" w:cs="黑体" w:eastAsia="黑体" w:hint="default"/>
                <w:sz w:val="20"/>
                <w:szCs w:val="20"/>
              </w:rPr>
            </w:r>
          </w:p>
        </w:tc>
      </w:tr>
      <w:tr>
        <w:trPr>
          <w:trHeight w:val="490"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Arial" w:hAnsi="Arial" w:cs="Arial" w:eastAsia="Arial" w:hint="default"/>
                <w:sz w:val="20"/>
                <w:szCs w:val="20"/>
              </w:rPr>
            </w:pPr>
            <w:r>
              <w:rPr>
                <w:rFonts w:ascii="黑体" w:hAnsi="黑体" w:cs="黑体" w:eastAsia="黑体" w:hint="default"/>
                <w:sz w:val="20"/>
                <w:szCs w:val="20"/>
              </w:rPr>
              <w:t>流动资产</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
        </w:tc>
        <w:tc>
          <w:tcPr>
            <w:tcW w:w="1987" w:type="dxa"/>
            <w:tcBorders>
              <w:top w:val="nil" w:sz="6" w:space="0" w:color="auto"/>
              <w:left w:val="nil" w:sz="6" w:space="0" w:color="auto"/>
              <w:bottom w:val="nil" w:sz="6" w:space="0" w:color="auto"/>
              <w:right w:val="nil" w:sz="6" w:space="0" w:color="auto"/>
            </w:tcBorders>
          </w:tcPr>
          <w:p>
            <w:pPr/>
          </w:p>
        </w:tc>
        <w:tc>
          <w:tcPr>
            <w:tcW w:w="1691" w:type="dxa"/>
            <w:tcBorders>
              <w:top w:val="nil" w:sz="6" w:space="0" w:color="auto"/>
              <w:left w:val="nil" w:sz="6" w:space="0" w:color="auto"/>
              <w:bottom w:val="nil" w:sz="6" w:space="0" w:color="auto"/>
              <w:right w:val="nil" w:sz="6" w:space="0" w:color="auto"/>
            </w:tcBorders>
          </w:tcPr>
          <w:p>
            <w:pPr/>
          </w:p>
        </w:tc>
      </w:tr>
      <w:tr>
        <w:trPr>
          <w:trHeight w:val="374"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04" w:right="0"/>
              <w:jc w:val="left"/>
              <w:rPr>
                <w:rFonts w:ascii="黑体" w:hAnsi="黑体" w:cs="黑体" w:eastAsia="黑体" w:hint="default"/>
                <w:sz w:val="20"/>
                <w:szCs w:val="20"/>
              </w:rPr>
            </w:pPr>
            <w:r>
              <w:rPr>
                <w:rFonts w:ascii="黑体" w:hAnsi="黑体" w:cs="黑体" w:eastAsia="黑体" w:hint="default"/>
                <w:sz w:val="20"/>
                <w:szCs w:val="20"/>
              </w:rPr>
              <w:t>货币资金</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681" w:right="0"/>
              <w:jc w:val="center"/>
              <w:rPr>
                <w:rFonts w:ascii="Arial" w:hAnsi="Arial" w:cs="Arial" w:eastAsia="Arial" w:hint="default"/>
                <w:sz w:val="20"/>
                <w:szCs w:val="20"/>
              </w:rPr>
            </w:pPr>
            <w:r>
              <w:rPr>
                <w:rFonts w:ascii="Arial"/>
                <w:w w:val="100"/>
                <w:sz w:val="20"/>
              </w:rPr>
              <w:t>1</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52"/>
              <w:jc w:val="right"/>
              <w:rPr>
                <w:rFonts w:ascii="Arial" w:hAnsi="Arial" w:cs="Arial" w:eastAsia="Arial" w:hint="default"/>
                <w:sz w:val="20"/>
                <w:szCs w:val="20"/>
              </w:rPr>
            </w:pPr>
            <w:r>
              <w:rPr>
                <w:rFonts w:ascii="Arial"/>
                <w:spacing w:val="-1"/>
                <w:sz w:val="20"/>
              </w:rPr>
              <w:t>1,625,137,464</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Arial" w:hAnsi="Arial" w:cs="Arial" w:eastAsia="Arial" w:hint="default"/>
                <w:sz w:val="20"/>
                <w:szCs w:val="20"/>
              </w:rPr>
            </w:pPr>
            <w:r>
              <w:rPr>
                <w:rFonts w:ascii="Arial"/>
                <w:spacing w:val="-1"/>
                <w:sz w:val="20"/>
              </w:rPr>
              <w:t>1,085,138,211</w:t>
            </w:r>
          </w:p>
        </w:tc>
      </w:tr>
      <w:tr>
        <w:trPr>
          <w:trHeight w:val="259"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26" w:lineRule="exact"/>
              <w:ind w:left="304" w:right="0"/>
              <w:jc w:val="left"/>
              <w:rPr>
                <w:rFonts w:ascii="黑体" w:hAnsi="黑体" w:cs="黑体" w:eastAsia="黑体" w:hint="default"/>
                <w:sz w:val="20"/>
                <w:szCs w:val="20"/>
              </w:rPr>
            </w:pPr>
            <w:r>
              <w:rPr>
                <w:rFonts w:ascii="黑体" w:hAnsi="黑体" w:cs="黑体" w:eastAsia="黑体" w:hint="default"/>
                <w:sz w:val="20"/>
                <w:szCs w:val="20"/>
              </w:rPr>
              <w:t>交易性金融资产</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
              <w:ind w:left="681" w:right="0"/>
              <w:jc w:val="center"/>
              <w:rPr>
                <w:rFonts w:ascii="Arial" w:hAnsi="Arial" w:cs="Arial" w:eastAsia="Arial" w:hint="default"/>
                <w:sz w:val="20"/>
                <w:szCs w:val="20"/>
              </w:rPr>
            </w:pPr>
            <w:r>
              <w:rPr>
                <w:rFonts w:ascii="Arial"/>
                <w:w w:val="100"/>
                <w:sz w:val="20"/>
              </w:rPr>
              <w:t>2</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53"/>
              <w:jc w:val="right"/>
              <w:rPr>
                <w:rFonts w:ascii="Arial" w:hAnsi="Arial" w:cs="Arial" w:eastAsia="Arial" w:hint="default"/>
                <w:sz w:val="20"/>
                <w:szCs w:val="20"/>
              </w:rPr>
            </w:pPr>
            <w:r>
              <w:rPr>
                <w:rFonts w:ascii="Arial"/>
                <w:w w:val="100"/>
                <w:sz w:val="20"/>
              </w:rPr>
              <w:t>-</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60,503,942</w:t>
            </w:r>
          </w:p>
        </w:tc>
      </w:tr>
      <w:tr>
        <w:trPr>
          <w:trHeight w:val="259"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26" w:lineRule="exact"/>
              <w:ind w:left="304" w:right="0"/>
              <w:jc w:val="left"/>
              <w:rPr>
                <w:rFonts w:ascii="黑体" w:hAnsi="黑体" w:cs="黑体" w:eastAsia="黑体" w:hint="default"/>
                <w:sz w:val="20"/>
                <w:szCs w:val="20"/>
              </w:rPr>
            </w:pPr>
            <w:r>
              <w:rPr>
                <w:rFonts w:ascii="黑体" w:hAnsi="黑体" w:cs="黑体" w:eastAsia="黑体" w:hint="default"/>
                <w:sz w:val="20"/>
                <w:szCs w:val="20"/>
              </w:rPr>
              <w:t>应收票据</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
              <w:ind w:left="681" w:right="0"/>
              <w:jc w:val="center"/>
              <w:rPr>
                <w:rFonts w:ascii="Arial" w:hAnsi="Arial" w:cs="Arial" w:eastAsia="Arial" w:hint="default"/>
                <w:sz w:val="20"/>
                <w:szCs w:val="20"/>
              </w:rPr>
            </w:pPr>
            <w:r>
              <w:rPr>
                <w:rFonts w:ascii="Arial"/>
                <w:w w:val="100"/>
                <w:sz w:val="20"/>
              </w:rPr>
              <w:t>3</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53"/>
              <w:jc w:val="right"/>
              <w:rPr>
                <w:rFonts w:ascii="Arial" w:hAnsi="Arial" w:cs="Arial" w:eastAsia="Arial" w:hint="default"/>
                <w:sz w:val="20"/>
                <w:szCs w:val="20"/>
              </w:rPr>
            </w:pPr>
            <w:r>
              <w:rPr>
                <w:rFonts w:ascii="Arial"/>
                <w:spacing w:val="-1"/>
                <w:sz w:val="20"/>
              </w:rPr>
              <w:t>22,756,000</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2,353,314</w:t>
            </w:r>
          </w:p>
        </w:tc>
      </w:tr>
      <w:tr>
        <w:trPr>
          <w:trHeight w:val="259"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26" w:lineRule="exact"/>
              <w:ind w:left="304" w:right="0"/>
              <w:jc w:val="left"/>
              <w:rPr>
                <w:rFonts w:ascii="黑体" w:hAnsi="黑体" w:cs="黑体" w:eastAsia="黑体" w:hint="default"/>
                <w:sz w:val="20"/>
                <w:szCs w:val="20"/>
              </w:rPr>
            </w:pPr>
            <w:r>
              <w:rPr>
                <w:rFonts w:ascii="黑体" w:hAnsi="黑体" w:cs="黑体" w:eastAsia="黑体" w:hint="default"/>
                <w:sz w:val="20"/>
                <w:szCs w:val="20"/>
              </w:rPr>
              <w:t>应收账款</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
              <w:ind w:left="681" w:right="0"/>
              <w:jc w:val="center"/>
              <w:rPr>
                <w:rFonts w:ascii="Arial" w:hAnsi="Arial" w:cs="Arial" w:eastAsia="Arial" w:hint="default"/>
                <w:sz w:val="20"/>
                <w:szCs w:val="20"/>
              </w:rPr>
            </w:pPr>
            <w:r>
              <w:rPr>
                <w:rFonts w:ascii="Arial"/>
                <w:w w:val="100"/>
                <w:sz w:val="20"/>
              </w:rPr>
              <w:t>4</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51"/>
              <w:jc w:val="right"/>
              <w:rPr>
                <w:rFonts w:ascii="Arial" w:hAnsi="Arial" w:cs="Arial" w:eastAsia="Arial" w:hint="default"/>
                <w:sz w:val="20"/>
                <w:szCs w:val="20"/>
              </w:rPr>
            </w:pPr>
            <w:r>
              <w:rPr>
                <w:rFonts w:ascii="Arial"/>
                <w:spacing w:val="-1"/>
                <w:sz w:val="20"/>
              </w:rPr>
              <w:t>510,883,978</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278,343,391</w:t>
            </w:r>
          </w:p>
        </w:tc>
      </w:tr>
      <w:tr>
        <w:trPr>
          <w:trHeight w:val="260"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26" w:lineRule="exact"/>
              <w:ind w:left="304" w:right="0"/>
              <w:jc w:val="left"/>
              <w:rPr>
                <w:rFonts w:ascii="黑体" w:hAnsi="黑体" w:cs="黑体" w:eastAsia="黑体" w:hint="default"/>
                <w:sz w:val="20"/>
                <w:szCs w:val="20"/>
              </w:rPr>
            </w:pPr>
            <w:r>
              <w:rPr>
                <w:rFonts w:ascii="黑体" w:hAnsi="黑体" w:cs="黑体" w:eastAsia="黑体" w:hint="default"/>
                <w:sz w:val="20"/>
                <w:szCs w:val="20"/>
              </w:rPr>
              <w:t>预付款项</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
              <w:ind w:left="681" w:right="0"/>
              <w:jc w:val="center"/>
              <w:rPr>
                <w:rFonts w:ascii="Arial" w:hAnsi="Arial" w:cs="Arial" w:eastAsia="Arial" w:hint="default"/>
                <w:sz w:val="20"/>
                <w:szCs w:val="20"/>
              </w:rPr>
            </w:pPr>
            <w:r>
              <w:rPr>
                <w:rFonts w:ascii="Arial"/>
                <w:w w:val="100"/>
                <w:sz w:val="20"/>
              </w:rPr>
              <w:t>5</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53"/>
              <w:jc w:val="right"/>
              <w:rPr>
                <w:rFonts w:ascii="Arial" w:hAnsi="Arial" w:cs="Arial" w:eastAsia="Arial" w:hint="default"/>
                <w:sz w:val="20"/>
                <w:szCs w:val="20"/>
              </w:rPr>
            </w:pPr>
            <w:r>
              <w:rPr>
                <w:rFonts w:ascii="Arial"/>
                <w:spacing w:val="-1"/>
                <w:sz w:val="20"/>
              </w:rPr>
              <w:t>2,315,006</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3,147,610</w:t>
            </w:r>
          </w:p>
        </w:tc>
      </w:tr>
      <w:tr>
        <w:trPr>
          <w:trHeight w:val="260"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27" w:lineRule="exact"/>
              <w:ind w:left="304" w:right="0"/>
              <w:jc w:val="left"/>
              <w:rPr>
                <w:rFonts w:ascii="黑体" w:hAnsi="黑体" w:cs="黑体" w:eastAsia="黑体" w:hint="default"/>
                <w:sz w:val="20"/>
                <w:szCs w:val="20"/>
              </w:rPr>
            </w:pPr>
            <w:r>
              <w:rPr>
                <w:rFonts w:ascii="黑体" w:hAnsi="黑体" w:cs="黑体" w:eastAsia="黑体" w:hint="default"/>
                <w:sz w:val="20"/>
                <w:szCs w:val="20"/>
              </w:rPr>
              <w:t>其他应收款</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
              <w:ind w:left="681" w:right="0"/>
              <w:jc w:val="center"/>
              <w:rPr>
                <w:rFonts w:ascii="Arial" w:hAnsi="Arial" w:cs="Arial" w:eastAsia="Arial" w:hint="default"/>
                <w:sz w:val="20"/>
                <w:szCs w:val="20"/>
              </w:rPr>
            </w:pPr>
            <w:r>
              <w:rPr>
                <w:rFonts w:ascii="Arial"/>
                <w:w w:val="100"/>
                <w:sz w:val="20"/>
              </w:rPr>
              <w:t>6</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53"/>
              <w:jc w:val="right"/>
              <w:rPr>
                <w:rFonts w:ascii="Arial" w:hAnsi="Arial" w:cs="Arial" w:eastAsia="Arial" w:hint="default"/>
                <w:sz w:val="20"/>
                <w:szCs w:val="20"/>
              </w:rPr>
            </w:pPr>
            <w:r>
              <w:rPr>
                <w:rFonts w:ascii="Arial"/>
                <w:spacing w:val="-1"/>
                <w:sz w:val="20"/>
              </w:rPr>
              <w:t>39,071,261</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83,874,210</w:t>
            </w:r>
          </w:p>
        </w:tc>
      </w:tr>
      <w:tr>
        <w:trPr>
          <w:trHeight w:val="259"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26" w:lineRule="exact"/>
              <w:ind w:left="304" w:right="0"/>
              <w:jc w:val="left"/>
              <w:rPr>
                <w:rFonts w:ascii="黑体" w:hAnsi="黑体" w:cs="黑体" w:eastAsia="黑体" w:hint="default"/>
                <w:sz w:val="20"/>
                <w:szCs w:val="20"/>
              </w:rPr>
            </w:pPr>
            <w:r>
              <w:rPr>
                <w:rFonts w:ascii="黑体" w:hAnsi="黑体" w:cs="黑体" w:eastAsia="黑体" w:hint="default"/>
                <w:sz w:val="20"/>
                <w:szCs w:val="20"/>
              </w:rPr>
              <w:t>存货</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
              <w:ind w:left="681" w:right="0"/>
              <w:jc w:val="center"/>
              <w:rPr>
                <w:rFonts w:ascii="Arial" w:hAnsi="Arial" w:cs="Arial" w:eastAsia="Arial" w:hint="default"/>
                <w:sz w:val="20"/>
                <w:szCs w:val="20"/>
              </w:rPr>
            </w:pPr>
            <w:r>
              <w:rPr>
                <w:rFonts w:ascii="Arial"/>
                <w:w w:val="100"/>
                <w:sz w:val="20"/>
              </w:rPr>
              <w:t>7</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53"/>
              <w:jc w:val="right"/>
              <w:rPr>
                <w:rFonts w:ascii="Arial" w:hAnsi="Arial" w:cs="Arial" w:eastAsia="Arial" w:hint="default"/>
                <w:sz w:val="20"/>
                <w:szCs w:val="20"/>
              </w:rPr>
            </w:pPr>
            <w:r>
              <w:rPr>
                <w:rFonts w:ascii="Arial"/>
                <w:spacing w:val="-1"/>
                <w:sz w:val="20"/>
              </w:rPr>
              <w:t>11,705,896</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14,476,921</w:t>
            </w:r>
          </w:p>
        </w:tc>
      </w:tr>
      <w:tr>
        <w:trPr>
          <w:trHeight w:val="375"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26" w:lineRule="exact"/>
              <w:ind w:left="304" w:right="0"/>
              <w:jc w:val="left"/>
              <w:rPr>
                <w:rFonts w:ascii="黑体" w:hAnsi="黑体" w:cs="黑体" w:eastAsia="黑体" w:hint="default"/>
                <w:sz w:val="20"/>
                <w:szCs w:val="20"/>
              </w:rPr>
            </w:pPr>
            <w:r>
              <w:rPr>
                <w:rFonts w:ascii="黑体" w:hAnsi="黑体" w:cs="黑体" w:eastAsia="黑体" w:hint="default"/>
                <w:sz w:val="20"/>
                <w:szCs w:val="20"/>
              </w:rPr>
              <w:t>其他流动资产</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
              <w:ind w:left="681" w:right="0"/>
              <w:jc w:val="center"/>
              <w:rPr>
                <w:rFonts w:ascii="Arial" w:hAnsi="Arial" w:cs="Arial" w:eastAsia="Arial" w:hint="default"/>
                <w:sz w:val="20"/>
                <w:szCs w:val="20"/>
              </w:rPr>
            </w:pPr>
            <w:r>
              <w:rPr>
                <w:rFonts w:ascii="Arial"/>
                <w:w w:val="100"/>
                <w:sz w:val="20"/>
              </w:rPr>
              <w:t>8</w:t>
            </w:r>
          </w:p>
        </w:tc>
        <w:tc>
          <w:tcPr>
            <w:tcW w:w="1987"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8"/>
              <w:ind w:right="352"/>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3,294,431</w:t>
            </w:r>
            <w:r>
              <w:rPr>
                <w:rFonts w:ascii="Arial"/>
                <w:sz w:val="20"/>
              </w:rPr>
            </w:r>
          </w:p>
        </w:tc>
        <w:tc>
          <w:tcPr>
            <w:tcW w:w="1691"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8"/>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1,272,541</w:t>
            </w:r>
            <w:r>
              <w:rPr>
                <w:rFonts w:ascii="Arial"/>
                <w:sz w:val="20"/>
              </w:rPr>
            </w:r>
          </w:p>
        </w:tc>
      </w:tr>
      <w:tr>
        <w:trPr>
          <w:trHeight w:val="489"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黑体" w:hAnsi="黑体" w:cs="黑体" w:eastAsia="黑体" w:hint="default"/>
                <w:sz w:val="20"/>
                <w:szCs w:val="20"/>
              </w:rPr>
              <w:t>流动资产合计</w:t>
            </w:r>
          </w:p>
        </w:tc>
        <w:tc>
          <w:tcPr>
            <w:tcW w:w="1984" w:type="dxa"/>
            <w:tcBorders>
              <w:top w:val="nil" w:sz="6" w:space="0" w:color="auto"/>
              <w:left w:val="nil" w:sz="6" w:space="0" w:color="auto"/>
              <w:bottom w:val="nil" w:sz="6" w:space="0" w:color="auto"/>
              <w:right w:val="nil" w:sz="6" w:space="0" w:color="auto"/>
            </w:tcBorders>
          </w:tcPr>
          <w:p>
            <w:pP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53"/>
              <w:jc w:val="right"/>
              <w:rPr>
                <w:rFonts w:ascii="Arial" w:hAnsi="Arial" w:cs="Arial" w:eastAsia="Arial" w:hint="default"/>
                <w:sz w:val="20"/>
                <w:szCs w:val="20"/>
              </w:rPr>
            </w:pPr>
            <w:r>
              <w:rPr>
                <w:rFonts w:ascii="Arial"/>
                <w:w w:val="100"/>
                <w:sz w:val="20"/>
              </w:rPr>
            </w:r>
            <w:r>
              <w:rPr>
                <w:rFonts w:ascii="Arial"/>
                <w:spacing w:val="-2"/>
                <w:sz w:val="20"/>
                <w:u w:val="single" w:color="000000"/>
              </w:rPr>
              <w:t>2,215,164,036</w:t>
            </w:r>
            <w:r>
              <w:rPr>
                <w:rFonts w:ascii="Arial"/>
                <w:spacing w:val="-2"/>
                <w:sz w:val="20"/>
              </w:rPr>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Arial" w:hAnsi="Arial" w:cs="Arial" w:eastAsia="Arial" w:hint="default"/>
                <w:sz w:val="20"/>
                <w:szCs w:val="20"/>
              </w:rPr>
            </w:pPr>
            <w:r>
              <w:rPr>
                <w:rFonts w:ascii="Arial"/>
                <w:w w:val="100"/>
                <w:sz w:val="20"/>
              </w:rPr>
            </w:r>
            <w:r>
              <w:rPr>
                <w:rFonts w:ascii="Arial"/>
                <w:spacing w:val="-2"/>
                <w:sz w:val="20"/>
                <w:u w:val="single" w:color="000000"/>
              </w:rPr>
              <w:t>1,529,110,140</w:t>
            </w:r>
            <w:r>
              <w:rPr>
                <w:rFonts w:ascii="Arial"/>
                <w:spacing w:val="-2"/>
                <w:sz w:val="20"/>
              </w:rPr>
            </w:r>
          </w:p>
        </w:tc>
      </w:tr>
      <w:tr>
        <w:trPr>
          <w:trHeight w:val="490"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Arial" w:hAnsi="Arial" w:cs="Arial" w:eastAsia="Arial" w:hint="default"/>
                <w:sz w:val="20"/>
                <w:szCs w:val="20"/>
              </w:rPr>
            </w:pPr>
            <w:r>
              <w:rPr>
                <w:rFonts w:ascii="黑体" w:hAnsi="黑体" w:cs="黑体" w:eastAsia="黑体" w:hint="default"/>
                <w:sz w:val="20"/>
                <w:szCs w:val="20"/>
              </w:rPr>
              <w:t>非流动资产</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
        </w:tc>
        <w:tc>
          <w:tcPr>
            <w:tcW w:w="1987" w:type="dxa"/>
            <w:tcBorders>
              <w:top w:val="nil" w:sz="6" w:space="0" w:color="auto"/>
              <w:left w:val="nil" w:sz="6" w:space="0" w:color="auto"/>
              <w:bottom w:val="nil" w:sz="6" w:space="0" w:color="auto"/>
              <w:right w:val="nil" w:sz="6" w:space="0" w:color="auto"/>
            </w:tcBorders>
          </w:tcPr>
          <w:p>
            <w:pPr/>
          </w:p>
        </w:tc>
        <w:tc>
          <w:tcPr>
            <w:tcW w:w="1691" w:type="dxa"/>
            <w:tcBorders>
              <w:top w:val="nil" w:sz="6" w:space="0" w:color="auto"/>
              <w:left w:val="nil" w:sz="6" w:space="0" w:color="auto"/>
              <w:bottom w:val="nil" w:sz="6" w:space="0" w:color="auto"/>
              <w:right w:val="nil" w:sz="6" w:space="0" w:color="auto"/>
            </w:tcBorders>
          </w:tcPr>
          <w:p>
            <w:pPr/>
          </w:p>
        </w:tc>
      </w:tr>
      <w:tr>
        <w:trPr>
          <w:trHeight w:val="374"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03" w:right="0"/>
              <w:jc w:val="left"/>
              <w:rPr>
                <w:rFonts w:ascii="黑体" w:hAnsi="黑体" w:cs="黑体" w:eastAsia="黑体" w:hint="default"/>
                <w:sz w:val="20"/>
                <w:szCs w:val="20"/>
              </w:rPr>
            </w:pPr>
            <w:r>
              <w:rPr>
                <w:rFonts w:ascii="黑体" w:hAnsi="黑体" w:cs="黑体" w:eastAsia="黑体" w:hint="default"/>
                <w:sz w:val="20"/>
                <w:szCs w:val="20"/>
              </w:rPr>
              <w:t>可供出售金融资产</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680" w:right="0"/>
              <w:jc w:val="center"/>
              <w:rPr>
                <w:rFonts w:ascii="Arial" w:hAnsi="Arial" w:cs="Arial" w:eastAsia="Arial" w:hint="default"/>
                <w:sz w:val="20"/>
                <w:szCs w:val="20"/>
              </w:rPr>
            </w:pPr>
            <w:r>
              <w:rPr>
                <w:rFonts w:ascii="Arial"/>
                <w:w w:val="100"/>
                <w:sz w:val="20"/>
              </w:rPr>
              <w:t>9</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53"/>
              <w:jc w:val="right"/>
              <w:rPr>
                <w:rFonts w:ascii="Arial" w:hAnsi="Arial" w:cs="Arial" w:eastAsia="Arial" w:hint="default"/>
                <w:sz w:val="20"/>
                <w:szCs w:val="20"/>
              </w:rPr>
            </w:pPr>
            <w:r>
              <w:rPr>
                <w:rFonts w:ascii="Arial"/>
                <w:w w:val="100"/>
                <w:sz w:val="20"/>
              </w:rPr>
              <w:t>-</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Arial" w:hAnsi="Arial" w:cs="Arial" w:eastAsia="Arial" w:hint="default"/>
                <w:sz w:val="20"/>
                <w:szCs w:val="20"/>
              </w:rPr>
            </w:pPr>
            <w:r>
              <w:rPr>
                <w:rFonts w:ascii="Arial"/>
                <w:spacing w:val="-1"/>
                <w:sz w:val="20"/>
              </w:rPr>
              <w:t>276,210,000</w:t>
            </w:r>
          </w:p>
        </w:tc>
      </w:tr>
      <w:tr>
        <w:trPr>
          <w:trHeight w:val="260"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长期股权投资</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exact"/>
              <w:ind w:left="677" w:right="0"/>
              <w:jc w:val="center"/>
              <w:rPr>
                <w:rFonts w:ascii="Arial" w:hAnsi="Arial" w:cs="Arial" w:eastAsia="Arial" w:hint="default"/>
                <w:sz w:val="20"/>
                <w:szCs w:val="20"/>
              </w:rPr>
            </w:pPr>
            <w:r>
              <w:rPr>
                <w:rFonts w:ascii="Arial" w:hAnsi="Arial" w:cs="Arial" w:eastAsia="Arial" w:hint="default"/>
                <w:sz w:val="20"/>
                <w:szCs w:val="20"/>
              </w:rPr>
              <w:t>10</w:t>
            </w:r>
            <w:r>
              <w:rPr>
                <w:rFonts w:ascii="黑体" w:hAnsi="黑体" w:cs="黑体" w:eastAsia="黑体" w:hint="default"/>
                <w:sz w:val="20"/>
                <w:szCs w:val="20"/>
              </w:rPr>
              <w:t>、</w:t>
            </w:r>
            <w:r>
              <w:rPr>
                <w:rFonts w:ascii="Arial" w:hAnsi="Arial" w:cs="Arial" w:eastAsia="Arial" w:hint="default"/>
                <w:sz w:val="20"/>
                <w:szCs w:val="20"/>
              </w:rPr>
              <w:t>11</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53"/>
              <w:jc w:val="right"/>
              <w:rPr>
                <w:rFonts w:ascii="Arial" w:hAnsi="Arial" w:cs="Arial" w:eastAsia="Arial" w:hint="default"/>
                <w:sz w:val="20"/>
                <w:szCs w:val="20"/>
              </w:rPr>
            </w:pPr>
            <w:r>
              <w:rPr>
                <w:rFonts w:ascii="Arial"/>
                <w:spacing w:val="-1"/>
                <w:sz w:val="20"/>
              </w:rPr>
              <w:t>56,611,563</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5"/>
              <w:jc w:val="right"/>
              <w:rPr>
                <w:rFonts w:ascii="Arial" w:hAnsi="Arial" w:cs="Arial" w:eastAsia="Arial" w:hint="default"/>
                <w:sz w:val="20"/>
                <w:szCs w:val="20"/>
              </w:rPr>
            </w:pPr>
            <w:r>
              <w:rPr>
                <w:rFonts w:ascii="Arial"/>
                <w:spacing w:val="-1"/>
                <w:sz w:val="20"/>
              </w:rPr>
              <w:t>34,647,825</w:t>
            </w:r>
          </w:p>
        </w:tc>
      </w:tr>
      <w:tr>
        <w:trPr>
          <w:trHeight w:val="259"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固定资产</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
              <w:ind w:left="678" w:right="0"/>
              <w:jc w:val="center"/>
              <w:rPr>
                <w:rFonts w:ascii="Arial" w:hAnsi="Arial" w:cs="Arial" w:eastAsia="Arial" w:hint="default"/>
                <w:sz w:val="20"/>
                <w:szCs w:val="20"/>
              </w:rPr>
            </w:pPr>
            <w:r>
              <w:rPr>
                <w:rFonts w:ascii="Arial"/>
                <w:sz w:val="20"/>
              </w:rPr>
              <w:t>12</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52"/>
              <w:jc w:val="right"/>
              <w:rPr>
                <w:rFonts w:ascii="Arial" w:hAnsi="Arial" w:cs="Arial" w:eastAsia="Arial" w:hint="default"/>
                <w:sz w:val="20"/>
                <w:szCs w:val="20"/>
              </w:rPr>
            </w:pPr>
            <w:r>
              <w:rPr>
                <w:rFonts w:ascii="Arial"/>
                <w:spacing w:val="-1"/>
                <w:sz w:val="20"/>
              </w:rPr>
              <w:t>505,843,625</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510,300,363</w:t>
            </w:r>
          </w:p>
        </w:tc>
      </w:tr>
      <w:tr>
        <w:trPr>
          <w:trHeight w:val="259"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在建工程</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
              <w:ind w:left="678" w:right="0"/>
              <w:jc w:val="center"/>
              <w:rPr>
                <w:rFonts w:ascii="Arial" w:hAnsi="Arial" w:cs="Arial" w:eastAsia="Arial" w:hint="default"/>
                <w:sz w:val="20"/>
                <w:szCs w:val="20"/>
              </w:rPr>
            </w:pPr>
            <w:r>
              <w:rPr>
                <w:rFonts w:ascii="Arial"/>
                <w:sz w:val="20"/>
              </w:rPr>
              <w:t>13</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52"/>
              <w:jc w:val="right"/>
              <w:rPr>
                <w:rFonts w:ascii="Arial" w:hAnsi="Arial" w:cs="Arial" w:eastAsia="Arial" w:hint="default"/>
                <w:sz w:val="20"/>
                <w:szCs w:val="20"/>
              </w:rPr>
            </w:pPr>
            <w:r>
              <w:rPr>
                <w:rFonts w:ascii="Arial"/>
                <w:spacing w:val="-1"/>
                <w:sz w:val="20"/>
              </w:rPr>
              <w:t>162,577,323</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37,532,692</w:t>
            </w:r>
          </w:p>
        </w:tc>
      </w:tr>
      <w:tr>
        <w:trPr>
          <w:trHeight w:val="259"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无形资产</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
              <w:ind w:left="678" w:right="0"/>
              <w:jc w:val="center"/>
              <w:rPr>
                <w:rFonts w:ascii="Arial" w:hAnsi="Arial" w:cs="Arial" w:eastAsia="Arial" w:hint="default"/>
                <w:sz w:val="20"/>
                <w:szCs w:val="20"/>
              </w:rPr>
            </w:pPr>
            <w:r>
              <w:rPr>
                <w:rFonts w:ascii="Arial"/>
                <w:sz w:val="20"/>
              </w:rPr>
              <w:t>14</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52"/>
              <w:jc w:val="right"/>
              <w:rPr>
                <w:rFonts w:ascii="Arial" w:hAnsi="Arial" w:cs="Arial" w:eastAsia="Arial" w:hint="default"/>
                <w:sz w:val="20"/>
                <w:szCs w:val="20"/>
              </w:rPr>
            </w:pPr>
            <w:r>
              <w:rPr>
                <w:rFonts w:ascii="Arial"/>
                <w:spacing w:val="-1"/>
                <w:sz w:val="20"/>
              </w:rPr>
              <w:t>333,714,328</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325,289,229</w:t>
            </w:r>
          </w:p>
        </w:tc>
      </w:tr>
      <w:tr>
        <w:trPr>
          <w:trHeight w:val="259"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商誉</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
              <w:ind w:left="678" w:right="0"/>
              <w:jc w:val="center"/>
              <w:rPr>
                <w:rFonts w:ascii="Arial" w:hAnsi="Arial" w:cs="Arial" w:eastAsia="Arial" w:hint="default"/>
                <w:sz w:val="20"/>
                <w:szCs w:val="20"/>
              </w:rPr>
            </w:pPr>
            <w:r>
              <w:rPr>
                <w:rFonts w:ascii="Arial"/>
                <w:sz w:val="20"/>
              </w:rPr>
              <w:t>15</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52"/>
              <w:jc w:val="right"/>
              <w:rPr>
                <w:rFonts w:ascii="Arial" w:hAnsi="Arial" w:cs="Arial" w:eastAsia="Arial" w:hint="default"/>
                <w:sz w:val="20"/>
                <w:szCs w:val="20"/>
              </w:rPr>
            </w:pPr>
            <w:r>
              <w:rPr>
                <w:rFonts w:ascii="Arial"/>
                <w:spacing w:val="-1"/>
                <w:sz w:val="20"/>
              </w:rPr>
              <w:t>472,868,579</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361,458,036</w:t>
            </w:r>
          </w:p>
        </w:tc>
      </w:tr>
      <w:tr>
        <w:trPr>
          <w:trHeight w:val="259"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长期待摊费用</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
              <w:ind w:left="678" w:right="0"/>
              <w:jc w:val="center"/>
              <w:rPr>
                <w:rFonts w:ascii="Arial" w:hAnsi="Arial" w:cs="Arial" w:eastAsia="Arial" w:hint="default"/>
                <w:sz w:val="20"/>
                <w:szCs w:val="20"/>
              </w:rPr>
            </w:pPr>
            <w:r>
              <w:rPr>
                <w:rFonts w:ascii="Arial"/>
                <w:sz w:val="20"/>
              </w:rPr>
              <w:t>16</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53"/>
              <w:jc w:val="right"/>
              <w:rPr>
                <w:rFonts w:ascii="Arial" w:hAnsi="Arial" w:cs="Arial" w:eastAsia="Arial" w:hint="default"/>
                <w:sz w:val="20"/>
                <w:szCs w:val="20"/>
              </w:rPr>
            </w:pPr>
            <w:r>
              <w:rPr>
                <w:rFonts w:ascii="Arial"/>
                <w:spacing w:val="-1"/>
                <w:sz w:val="20"/>
              </w:rPr>
              <w:t>33,601,952</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24,764,986</w:t>
            </w:r>
          </w:p>
        </w:tc>
      </w:tr>
      <w:tr>
        <w:trPr>
          <w:trHeight w:val="375"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递延所得税资产</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
              <w:ind w:left="678" w:right="0"/>
              <w:jc w:val="center"/>
              <w:rPr>
                <w:rFonts w:ascii="Arial" w:hAnsi="Arial" w:cs="Arial" w:eastAsia="Arial" w:hint="default"/>
                <w:sz w:val="20"/>
                <w:szCs w:val="20"/>
              </w:rPr>
            </w:pPr>
            <w:r>
              <w:rPr>
                <w:rFonts w:ascii="Arial"/>
                <w:sz w:val="20"/>
              </w:rPr>
              <w:t>17</w:t>
            </w:r>
          </w:p>
        </w:tc>
        <w:tc>
          <w:tcPr>
            <w:tcW w:w="1987"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8"/>
              <w:ind w:right="35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39,130,782</w:t>
            </w:r>
            <w:r>
              <w:rPr>
                <w:rFonts w:ascii="Arial"/>
                <w:spacing w:val="-1"/>
                <w:sz w:val="20"/>
              </w:rPr>
            </w:r>
          </w:p>
        </w:tc>
        <w:tc>
          <w:tcPr>
            <w:tcW w:w="1691"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8"/>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10,658,589</w:t>
            </w:r>
            <w:r>
              <w:rPr>
                <w:rFonts w:ascii="Arial"/>
                <w:spacing w:val="-1"/>
                <w:sz w:val="20"/>
              </w:rPr>
            </w:r>
          </w:p>
        </w:tc>
      </w:tr>
      <w:tr>
        <w:trPr>
          <w:trHeight w:val="490"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黑体" w:hAnsi="黑体" w:cs="黑体" w:eastAsia="黑体" w:hint="default"/>
                <w:sz w:val="20"/>
                <w:szCs w:val="20"/>
              </w:rPr>
              <w:t>非流动资产合计</w:t>
            </w:r>
          </w:p>
        </w:tc>
        <w:tc>
          <w:tcPr>
            <w:tcW w:w="1984" w:type="dxa"/>
            <w:tcBorders>
              <w:top w:val="nil" w:sz="6" w:space="0" w:color="auto"/>
              <w:left w:val="nil" w:sz="6" w:space="0" w:color="auto"/>
              <w:bottom w:val="nil" w:sz="6" w:space="0" w:color="auto"/>
              <w:right w:val="nil" w:sz="6" w:space="0" w:color="auto"/>
            </w:tcBorders>
          </w:tcPr>
          <w:p>
            <w:pP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53"/>
              <w:jc w:val="right"/>
              <w:rPr>
                <w:rFonts w:ascii="Arial" w:hAnsi="Arial" w:cs="Arial" w:eastAsia="Arial" w:hint="default"/>
                <w:sz w:val="20"/>
                <w:szCs w:val="20"/>
              </w:rPr>
            </w:pPr>
            <w:r>
              <w:rPr>
                <w:rFonts w:ascii="Arial"/>
                <w:w w:val="100"/>
                <w:sz w:val="20"/>
              </w:rPr>
            </w:r>
            <w:r>
              <w:rPr>
                <w:rFonts w:ascii="Arial"/>
                <w:spacing w:val="-2"/>
                <w:sz w:val="20"/>
                <w:u w:val="single" w:color="000000"/>
              </w:rPr>
              <w:t>1,604,348,152</w:t>
            </w:r>
            <w:r>
              <w:rPr>
                <w:rFonts w:ascii="Arial"/>
                <w:spacing w:val="-2"/>
                <w:sz w:val="20"/>
              </w:rPr>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Arial" w:hAnsi="Arial" w:cs="Arial" w:eastAsia="Arial" w:hint="default"/>
                <w:sz w:val="20"/>
                <w:szCs w:val="20"/>
              </w:rPr>
            </w:pPr>
            <w:r>
              <w:rPr>
                <w:rFonts w:ascii="Arial"/>
                <w:w w:val="100"/>
                <w:sz w:val="20"/>
              </w:rPr>
            </w:r>
            <w:r>
              <w:rPr>
                <w:rFonts w:ascii="Arial"/>
                <w:spacing w:val="-2"/>
                <w:sz w:val="20"/>
                <w:u w:val="single" w:color="000000"/>
              </w:rPr>
              <w:t>1,580,861,720</w:t>
            </w:r>
            <w:r>
              <w:rPr>
                <w:rFonts w:ascii="Arial"/>
                <w:spacing w:val="-2"/>
                <w:sz w:val="20"/>
              </w:rPr>
            </w:r>
          </w:p>
        </w:tc>
      </w:tr>
      <w:tr>
        <w:trPr>
          <w:trHeight w:val="449" w:hRule="exact"/>
        </w:trPr>
        <w:tc>
          <w:tcPr>
            <w:tcW w:w="291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黑体" w:hAnsi="黑体" w:cs="黑体" w:eastAsia="黑体" w:hint="default"/>
                <w:sz w:val="20"/>
                <w:szCs w:val="20"/>
              </w:rPr>
              <w:t>资产总计</w:t>
            </w:r>
          </w:p>
        </w:tc>
        <w:tc>
          <w:tcPr>
            <w:tcW w:w="1984" w:type="dxa"/>
            <w:tcBorders>
              <w:top w:val="nil" w:sz="6" w:space="0" w:color="auto"/>
              <w:left w:val="nil" w:sz="6" w:space="0" w:color="auto"/>
              <w:bottom w:val="nil" w:sz="6" w:space="0" w:color="auto"/>
              <w:right w:val="nil" w:sz="6" w:space="0" w:color="auto"/>
            </w:tcBorders>
          </w:tcPr>
          <w:p>
            <w:pP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53"/>
              <w:jc w:val="right"/>
              <w:rPr>
                <w:rFonts w:ascii="Arial" w:hAnsi="Arial" w:cs="Arial" w:eastAsia="Arial" w:hint="default"/>
                <w:sz w:val="20"/>
                <w:szCs w:val="20"/>
              </w:rPr>
            </w:pPr>
            <w:r>
              <w:rPr>
                <w:rFonts w:ascii="Arial"/>
                <w:w w:val="100"/>
                <w:sz w:val="20"/>
              </w:rPr>
            </w:r>
            <w:r>
              <w:rPr>
                <w:rFonts w:ascii="Arial"/>
                <w:spacing w:val="-2"/>
                <w:sz w:val="20"/>
                <w:u w:val="thick" w:color="000000"/>
              </w:rPr>
              <w:t>3,819,512,188</w:t>
            </w:r>
            <w:r>
              <w:rPr>
                <w:rFonts w:ascii="Arial"/>
                <w:spacing w:val="-2"/>
                <w:sz w:val="20"/>
              </w:rPr>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Arial" w:hAnsi="Arial" w:cs="Arial" w:eastAsia="Arial" w:hint="default"/>
                <w:sz w:val="20"/>
                <w:szCs w:val="20"/>
              </w:rPr>
            </w:pPr>
            <w:r>
              <w:rPr>
                <w:rFonts w:ascii="Arial"/>
                <w:w w:val="100"/>
                <w:sz w:val="20"/>
              </w:rPr>
            </w:r>
            <w:r>
              <w:rPr>
                <w:rFonts w:ascii="Arial"/>
                <w:spacing w:val="-2"/>
                <w:sz w:val="20"/>
                <w:u w:val="thick" w:color="000000"/>
              </w:rPr>
              <w:t>3,109,971,860</w:t>
            </w:r>
            <w:r>
              <w:rPr>
                <w:rFonts w:ascii="Arial"/>
                <w:spacing w:val="-2"/>
                <w:sz w:val="20"/>
              </w:rPr>
            </w:r>
          </w:p>
        </w:tc>
      </w:tr>
    </w:tbl>
    <w:p>
      <w:pPr>
        <w:spacing w:after="0" w:line="240" w:lineRule="auto"/>
        <w:jc w:val="right"/>
        <w:rPr>
          <w:rFonts w:ascii="Arial" w:hAnsi="Arial" w:cs="Arial" w:eastAsia="Arial" w:hint="default"/>
          <w:sz w:val="20"/>
          <w:szCs w:val="20"/>
        </w:rPr>
        <w:sectPr>
          <w:headerReference w:type="default" r:id="rId29"/>
          <w:pgSz w:w="11910" w:h="16840"/>
          <w:pgMar w:header="958" w:footer="457" w:top="2520" w:bottom="680" w:left="1560" w:right="1560"/>
        </w:sectPr>
      </w:pPr>
    </w:p>
    <w:p>
      <w:pPr>
        <w:spacing w:line="240" w:lineRule="auto" w:before="4"/>
        <w:rPr>
          <w:rFonts w:ascii="Times New Roman" w:hAnsi="Times New Roman" w:cs="Times New Roman" w:eastAsia="Times New Roman" w:hint="default"/>
          <w:sz w:val="27"/>
          <w:szCs w:val="27"/>
        </w:rPr>
      </w:pPr>
    </w:p>
    <w:tbl>
      <w:tblPr>
        <w:tblW w:w="0" w:type="auto"/>
        <w:jc w:val="left"/>
        <w:tblInd w:w="116" w:type="dxa"/>
        <w:tblLayout w:type="fixed"/>
        <w:tblCellMar>
          <w:top w:w="0" w:type="dxa"/>
          <w:left w:w="0" w:type="dxa"/>
          <w:bottom w:w="0" w:type="dxa"/>
          <w:right w:w="0" w:type="dxa"/>
        </w:tblCellMar>
        <w:tblLook w:val="01E0"/>
      </w:tblPr>
      <w:tblGrid>
        <w:gridCol w:w="3197"/>
        <w:gridCol w:w="2002"/>
        <w:gridCol w:w="1748"/>
        <w:gridCol w:w="1752"/>
      </w:tblGrid>
      <w:tr>
        <w:trPr>
          <w:trHeight w:val="708"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b/>
                <w:bCs/>
                <w:sz w:val="20"/>
                <w:szCs w:val="20"/>
              </w:rPr>
              <w:t>负债及股东权益</w:t>
            </w:r>
            <w:r>
              <w:rPr>
                <w:rFonts w:ascii="黑体" w:hAnsi="黑体" w:cs="黑体" w:eastAsia="黑体" w:hint="default"/>
                <w:sz w:val="20"/>
                <w:szCs w:val="20"/>
              </w:rPr>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20" w:right="0"/>
              <w:jc w:val="center"/>
              <w:rPr>
                <w:rFonts w:ascii="黑体" w:hAnsi="黑体" w:cs="黑体" w:eastAsia="黑体" w:hint="default"/>
                <w:sz w:val="20"/>
                <w:szCs w:val="20"/>
              </w:rPr>
            </w:pPr>
            <w:r>
              <w:rPr>
                <w:rFonts w:ascii="黑体" w:hAnsi="黑体" w:cs="黑体" w:eastAsia="黑体" w:hint="default"/>
                <w:b/>
                <w:bCs/>
                <w:sz w:val="20"/>
                <w:szCs w:val="20"/>
              </w:rPr>
              <w:t>附注五</w:t>
            </w:r>
            <w:r>
              <w:rPr>
                <w:rFonts w:ascii="黑体" w:hAnsi="黑体" w:cs="黑体" w:eastAsia="黑体" w:hint="default"/>
                <w:sz w:val="20"/>
                <w:szCs w:val="20"/>
              </w:rPr>
            </w:r>
          </w:p>
        </w:tc>
        <w:tc>
          <w:tcPr>
            <w:tcW w:w="1748" w:type="dxa"/>
            <w:tcBorders>
              <w:top w:val="nil" w:sz="6" w:space="0" w:color="auto"/>
              <w:left w:val="nil" w:sz="6" w:space="0" w:color="auto"/>
              <w:bottom w:val="nil" w:sz="6" w:space="0" w:color="auto"/>
              <w:right w:val="nil" w:sz="6" w:space="0" w:color="auto"/>
            </w:tcBorders>
          </w:tcPr>
          <w:p>
            <w:pPr>
              <w:pStyle w:val="TableParagraph"/>
              <w:spacing w:line="268" w:lineRule="exact" w:before="38"/>
              <w:ind w:left="712" w:right="0"/>
              <w:jc w:val="left"/>
              <w:rPr>
                <w:rFonts w:ascii="黑体" w:hAnsi="黑体" w:cs="黑体" w:eastAsia="黑体" w:hint="default"/>
                <w:sz w:val="20"/>
                <w:szCs w:val="20"/>
              </w:rPr>
            </w:pPr>
            <w:r>
              <w:rPr>
                <w:rFonts w:ascii="Arial" w:hAnsi="Arial" w:cs="Arial" w:eastAsia="Arial" w:hint="default"/>
                <w:b/>
                <w:bCs/>
                <w:sz w:val="20"/>
                <w:szCs w:val="20"/>
              </w:rPr>
              <w:t>2009</w:t>
            </w:r>
            <w:r>
              <w:rPr>
                <w:rFonts w:ascii="黑体" w:hAnsi="黑体" w:cs="黑体" w:eastAsia="黑体" w:hint="default"/>
                <w:b/>
                <w:bCs/>
                <w:sz w:val="20"/>
                <w:szCs w:val="20"/>
              </w:rPr>
              <w:t>年</w:t>
            </w:r>
            <w:r>
              <w:rPr>
                <w:rFonts w:ascii="黑体" w:hAnsi="黑体" w:cs="黑体" w:eastAsia="黑体" w:hint="default"/>
                <w:sz w:val="20"/>
                <w:szCs w:val="20"/>
              </w:rPr>
            </w:r>
          </w:p>
          <w:p>
            <w:pPr>
              <w:pStyle w:val="TableParagraph"/>
              <w:spacing w:line="268" w:lineRule="exact"/>
              <w:ind w:left="512" w:right="0"/>
              <w:jc w:val="left"/>
              <w:rPr>
                <w:rFonts w:ascii="黑体" w:hAnsi="黑体" w:cs="黑体" w:eastAsia="黑体" w:hint="default"/>
                <w:sz w:val="20"/>
                <w:szCs w:val="20"/>
              </w:rPr>
            </w:pPr>
            <w:r>
              <w:rPr>
                <w:rFonts w:ascii="Arial" w:hAnsi="Arial" w:cs="Arial" w:eastAsia="Arial" w:hint="default"/>
                <w:b/>
                <w:bCs/>
                <w:sz w:val="20"/>
                <w:szCs w:val="20"/>
              </w:rPr>
              <w:t>12</w:t>
            </w:r>
            <w:r>
              <w:rPr>
                <w:rFonts w:ascii="黑体" w:hAnsi="黑体" w:cs="黑体" w:eastAsia="黑体" w:hint="default"/>
                <w:b/>
                <w:bCs/>
                <w:sz w:val="20"/>
                <w:szCs w:val="20"/>
              </w:rPr>
              <w:t>月</w:t>
            </w:r>
            <w:r>
              <w:rPr>
                <w:rFonts w:ascii="Arial" w:hAnsi="Arial" w:cs="Arial" w:eastAsia="Arial" w:hint="default"/>
                <w:b/>
                <w:bCs/>
                <w:sz w:val="20"/>
                <w:szCs w:val="20"/>
              </w:rPr>
              <w:t>31</w:t>
            </w:r>
            <w:r>
              <w:rPr>
                <w:rFonts w:ascii="黑体" w:hAnsi="黑体" w:cs="黑体" w:eastAsia="黑体" w:hint="default"/>
                <w:b/>
                <w:bCs/>
                <w:sz w:val="20"/>
                <w:szCs w:val="20"/>
              </w:rPr>
              <w:t>日</w:t>
            </w:r>
            <w:r>
              <w:rPr>
                <w:rFonts w:ascii="黑体" w:hAnsi="黑体" w:cs="黑体" w:eastAsia="黑体" w:hint="default"/>
                <w:sz w:val="20"/>
                <w:szCs w:val="20"/>
              </w:rPr>
            </w:r>
          </w:p>
        </w:tc>
        <w:tc>
          <w:tcPr>
            <w:tcW w:w="1752" w:type="dxa"/>
            <w:tcBorders>
              <w:top w:val="nil" w:sz="6" w:space="0" w:color="auto"/>
              <w:left w:val="nil" w:sz="6" w:space="0" w:color="auto"/>
              <w:bottom w:val="nil" w:sz="6" w:space="0" w:color="auto"/>
              <w:right w:val="nil" w:sz="6" w:space="0" w:color="auto"/>
            </w:tcBorders>
          </w:tcPr>
          <w:p>
            <w:pPr>
              <w:pStyle w:val="TableParagraph"/>
              <w:spacing w:line="268" w:lineRule="exact" w:before="38"/>
              <w:ind w:left="948" w:right="0"/>
              <w:jc w:val="left"/>
              <w:rPr>
                <w:rFonts w:ascii="黑体" w:hAnsi="黑体" w:cs="黑体" w:eastAsia="黑体" w:hint="default"/>
                <w:sz w:val="20"/>
                <w:szCs w:val="20"/>
              </w:rPr>
            </w:pPr>
            <w:r>
              <w:rPr>
                <w:rFonts w:ascii="Arial" w:hAnsi="Arial" w:cs="Arial" w:eastAsia="Arial" w:hint="default"/>
                <w:b/>
                <w:bCs/>
                <w:sz w:val="20"/>
                <w:szCs w:val="20"/>
              </w:rPr>
              <w:t>2008</w:t>
            </w:r>
            <w:r>
              <w:rPr>
                <w:rFonts w:ascii="黑体" w:hAnsi="黑体" w:cs="黑体" w:eastAsia="黑体" w:hint="default"/>
                <w:b/>
                <w:bCs/>
                <w:sz w:val="20"/>
                <w:szCs w:val="20"/>
              </w:rPr>
              <w:t>年</w:t>
            </w:r>
            <w:r>
              <w:rPr>
                <w:rFonts w:ascii="黑体" w:hAnsi="黑体" w:cs="黑体" w:eastAsia="黑体" w:hint="default"/>
                <w:sz w:val="20"/>
                <w:szCs w:val="20"/>
              </w:rPr>
            </w:r>
          </w:p>
          <w:p>
            <w:pPr>
              <w:pStyle w:val="TableParagraph"/>
              <w:spacing w:line="268" w:lineRule="exact"/>
              <w:ind w:left="747" w:right="0"/>
              <w:jc w:val="left"/>
              <w:rPr>
                <w:rFonts w:ascii="黑体" w:hAnsi="黑体" w:cs="黑体" w:eastAsia="黑体" w:hint="default"/>
                <w:sz w:val="20"/>
                <w:szCs w:val="20"/>
              </w:rPr>
            </w:pPr>
            <w:r>
              <w:rPr>
                <w:rFonts w:ascii="Arial" w:hAnsi="Arial" w:cs="Arial" w:eastAsia="Arial" w:hint="default"/>
                <w:b/>
                <w:bCs/>
                <w:sz w:val="20"/>
                <w:szCs w:val="20"/>
              </w:rPr>
              <w:t>12</w:t>
            </w:r>
            <w:r>
              <w:rPr>
                <w:rFonts w:ascii="黑体" w:hAnsi="黑体" w:cs="黑体" w:eastAsia="黑体" w:hint="default"/>
                <w:b/>
                <w:bCs/>
                <w:sz w:val="20"/>
                <w:szCs w:val="20"/>
              </w:rPr>
              <w:t>月</w:t>
            </w:r>
            <w:r>
              <w:rPr>
                <w:rFonts w:ascii="Arial" w:hAnsi="Arial" w:cs="Arial" w:eastAsia="Arial" w:hint="default"/>
                <w:b/>
                <w:bCs/>
                <w:sz w:val="20"/>
                <w:szCs w:val="20"/>
              </w:rPr>
              <w:t>31</w:t>
            </w:r>
            <w:r>
              <w:rPr>
                <w:rFonts w:ascii="黑体" w:hAnsi="黑体" w:cs="黑体" w:eastAsia="黑体" w:hint="default"/>
                <w:b/>
                <w:bCs/>
                <w:sz w:val="20"/>
                <w:szCs w:val="20"/>
              </w:rPr>
              <w:t>日</w:t>
            </w:r>
            <w:r>
              <w:rPr>
                <w:rFonts w:ascii="黑体" w:hAnsi="黑体" w:cs="黑体" w:eastAsia="黑体" w:hint="default"/>
                <w:sz w:val="20"/>
                <w:szCs w:val="20"/>
              </w:rPr>
            </w:r>
          </w:p>
        </w:tc>
      </w:tr>
      <w:tr>
        <w:trPr>
          <w:trHeight w:val="49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Arial" w:hAnsi="Arial" w:cs="Arial" w:eastAsia="Arial" w:hint="default"/>
                <w:sz w:val="20"/>
                <w:szCs w:val="20"/>
              </w:rPr>
            </w:pPr>
            <w:r>
              <w:rPr>
                <w:rFonts w:ascii="黑体" w:hAnsi="黑体" w:cs="黑体" w:eastAsia="黑体" w:hint="default"/>
                <w:sz w:val="20"/>
                <w:szCs w:val="20"/>
              </w:rPr>
              <w:t>流动负债</w:t>
            </w:r>
            <w:r>
              <w:rPr>
                <w:rFonts w:ascii="Arial" w:hAnsi="Arial" w:cs="Arial" w:eastAsia="Arial" w:hint="default"/>
                <w:sz w:val="20"/>
                <w:szCs w:val="20"/>
              </w:rPr>
              <w:t>:</w:t>
            </w:r>
          </w:p>
        </w:tc>
        <w:tc>
          <w:tcPr>
            <w:tcW w:w="2002"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
        </w:tc>
        <w:tc>
          <w:tcPr>
            <w:tcW w:w="1752" w:type="dxa"/>
            <w:tcBorders>
              <w:top w:val="nil" w:sz="6" w:space="0" w:color="auto"/>
              <w:left w:val="nil" w:sz="6" w:space="0" w:color="auto"/>
              <w:bottom w:val="nil" w:sz="6" w:space="0" w:color="auto"/>
              <w:right w:val="nil" w:sz="6" w:space="0" w:color="auto"/>
            </w:tcBorders>
          </w:tcPr>
          <w:p>
            <w:pPr/>
          </w:p>
        </w:tc>
      </w:tr>
      <w:tr>
        <w:trPr>
          <w:trHeight w:val="374"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03" w:right="0"/>
              <w:jc w:val="left"/>
              <w:rPr>
                <w:rFonts w:ascii="黑体" w:hAnsi="黑体" w:cs="黑体" w:eastAsia="黑体" w:hint="default"/>
                <w:sz w:val="20"/>
                <w:szCs w:val="20"/>
              </w:rPr>
            </w:pPr>
            <w:r>
              <w:rPr>
                <w:rFonts w:ascii="黑体" w:hAnsi="黑体" w:cs="黑体" w:eastAsia="黑体" w:hint="default"/>
                <w:sz w:val="20"/>
                <w:szCs w:val="20"/>
              </w:rPr>
              <w:t>应付票据</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22" w:right="0"/>
              <w:jc w:val="center"/>
              <w:rPr>
                <w:rFonts w:ascii="Arial" w:hAnsi="Arial" w:cs="Arial" w:eastAsia="Arial" w:hint="default"/>
                <w:sz w:val="20"/>
                <w:szCs w:val="20"/>
              </w:rPr>
            </w:pPr>
            <w:r>
              <w:rPr>
                <w:rFonts w:ascii="Arial"/>
                <w:sz w:val="20"/>
              </w:rPr>
              <w:t>19</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468" w:right="0"/>
              <w:jc w:val="left"/>
              <w:rPr>
                <w:rFonts w:ascii="Arial" w:hAnsi="Arial" w:cs="Arial" w:eastAsia="Arial" w:hint="default"/>
                <w:sz w:val="20"/>
                <w:szCs w:val="20"/>
              </w:rPr>
            </w:pPr>
            <w:r>
              <w:rPr>
                <w:rFonts w:ascii="Arial"/>
                <w:sz w:val="20"/>
              </w:rPr>
              <w:t>2,567,410</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55"/>
              <w:jc w:val="right"/>
              <w:rPr>
                <w:rFonts w:ascii="Arial" w:hAnsi="Arial" w:cs="Arial" w:eastAsia="Arial" w:hint="default"/>
                <w:sz w:val="20"/>
                <w:szCs w:val="20"/>
              </w:rPr>
            </w:pPr>
            <w:r>
              <w:rPr>
                <w:rFonts w:ascii="Arial"/>
                <w:w w:val="100"/>
                <w:sz w:val="20"/>
              </w:rPr>
              <w:t>-</w:t>
            </w:r>
          </w:p>
        </w:tc>
      </w:tr>
      <w:tr>
        <w:trPr>
          <w:trHeight w:val="259"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应付账款</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center"/>
              <w:rPr>
                <w:rFonts w:ascii="Arial" w:hAnsi="Arial" w:cs="Arial" w:eastAsia="Arial" w:hint="default"/>
                <w:sz w:val="20"/>
                <w:szCs w:val="20"/>
              </w:rPr>
            </w:pPr>
            <w:r>
              <w:rPr>
                <w:rFonts w:ascii="Arial"/>
                <w:sz w:val="20"/>
              </w:rPr>
              <w:t>20</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7" w:right="0"/>
              <w:jc w:val="left"/>
              <w:rPr>
                <w:rFonts w:ascii="Arial" w:hAnsi="Arial" w:cs="Arial" w:eastAsia="Arial" w:hint="default"/>
                <w:sz w:val="20"/>
                <w:szCs w:val="20"/>
              </w:rPr>
            </w:pPr>
            <w:r>
              <w:rPr>
                <w:rFonts w:ascii="Arial"/>
                <w:sz w:val="20"/>
              </w:rPr>
              <w:t>78,754,049</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8"/>
              <w:ind w:left="592" w:right="0"/>
              <w:jc w:val="left"/>
              <w:rPr>
                <w:rFonts w:ascii="Arial" w:hAnsi="Arial" w:cs="Arial" w:eastAsia="Arial" w:hint="default"/>
                <w:sz w:val="20"/>
                <w:szCs w:val="20"/>
              </w:rPr>
            </w:pPr>
            <w:r>
              <w:rPr>
                <w:rFonts w:ascii="Arial"/>
                <w:sz w:val="20"/>
              </w:rPr>
              <w:t>41,045,621</w:t>
            </w:r>
          </w:p>
        </w:tc>
      </w:tr>
      <w:tr>
        <w:trPr>
          <w:trHeight w:val="259"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预收款项</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center"/>
              <w:rPr>
                <w:rFonts w:ascii="Arial" w:hAnsi="Arial" w:cs="Arial" w:eastAsia="Arial" w:hint="default"/>
                <w:sz w:val="20"/>
                <w:szCs w:val="20"/>
              </w:rPr>
            </w:pPr>
            <w:r>
              <w:rPr>
                <w:rFonts w:ascii="Arial"/>
                <w:sz w:val="20"/>
              </w:rPr>
              <w:t>21</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
              <w:ind w:left="246" w:right="0"/>
              <w:jc w:val="left"/>
              <w:rPr>
                <w:rFonts w:ascii="Arial" w:hAnsi="Arial" w:cs="Arial" w:eastAsia="Arial" w:hint="default"/>
                <w:sz w:val="20"/>
                <w:szCs w:val="20"/>
              </w:rPr>
            </w:pPr>
            <w:r>
              <w:rPr>
                <w:rFonts w:ascii="Arial"/>
                <w:sz w:val="20"/>
              </w:rPr>
              <w:t>288,685,902</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8"/>
              <w:ind w:left="482" w:right="0"/>
              <w:jc w:val="left"/>
              <w:rPr>
                <w:rFonts w:ascii="Arial" w:hAnsi="Arial" w:cs="Arial" w:eastAsia="Arial" w:hint="default"/>
                <w:sz w:val="20"/>
                <w:szCs w:val="20"/>
              </w:rPr>
            </w:pPr>
            <w:r>
              <w:rPr>
                <w:rFonts w:ascii="Arial"/>
                <w:sz w:val="20"/>
              </w:rPr>
              <w:t>240,405,608</w:t>
            </w:r>
          </w:p>
        </w:tc>
      </w:tr>
      <w:tr>
        <w:trPr>
          <w:trHeight w:val="259"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应付职工薪酬</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center"/>
              <w:rPr>
                <w:rFonts w:ascii="Arial" w:hAnsi="Arial" w:cs="Arial" w:eastAsia="Arial" w:hint="default"/>
                <w:sz w:val="20"/>
                <w:szCs w:val="20"/>
              </w:rPr>
            </w:pPr>
            <w:r>
              <w:rPr>
                <w:rFonts w:ascii="Arial"/>
                <w:sz w:val="20"/>
              </w:rPr>
              <w:t>22</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
              <w:ind w:left="246" w:right="0"/>
              <w:jc w:val="left"/>
              <w:rPr>
                <w:rFonts w:ascii="Arial" w:hAnsi="Arial" w:cs="Arial" w:eastAsia="Arial" w:hint="default"/>
                <w:sz w:val="20"/>
                <w:szCs w:val="20"/>
              </w:rPr>
            </w:pPr>
            <w:r>
              <w:rPr>
                <w:rFonts w:ascii="Arial"/>
                <w:sz w:val="20"/>
              </w:rPr>
              <w:t>306,360,821</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8"/>
              <w:ind w:left="482" w:right="0"/>
              <w:jc w:val="left"/>
              <w:rPr>
                <w:rFonts w:ascii="Arial" w:hAnsi="Arial" w:cs="Arial" w:eastAsia="Arial" w:hint="default"/>
                <w:sz w:val="20"/>
                <w:szCs w:val="20"/>
              </w:rPr>
            </w:pPr>
            <w:r>
              <w:rPr>
                <w:rFonts w:ascii="Arial"/>
                <w:sz w:val="20"/>
              </w:rPr>
              <w:t>193,851,923</w:t>
            </w:r>
          </w:p>
        </w:tc>
      </w:tr>
      <w:tr>
        <w:trPr>
          <w:trHeight w:val="26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应交税费</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center"/>
              <w:rPr>
                <w:rFonts w:ascii="Arial" w:hAnsi="Arial" w:cs="Arial" w:eastAsia="Arial" w:hint="default"/>
                <w:sz w:val="20"/>
                <w:szCs w:val="20"/>
              </w:rPr>
            </w:pPr>
            <w:r>
              <w:rPr>
                <w:rFonts w:ascii="Arial"/>
                <w:sz w:val="20"/>
              </w:rPr>
              <w:t>23</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
              <w:ind w:left="246" w:right="0"/>
              <w:jc w:val="left"/>
              <w:rPr>
                <w:rFonts w:ascii="Arial" w:hAnsi="Arial" w:cs="Arial" w:eastAsia="Arial" w:hint="default"/>
                <w:sz w:val="20"/>
                <w:szCs w:val="20"/>
              </w:rPr>
            </w:pPr>
            <w:r>
              <w:rPr>
                <w:rFonts w:ascii="Arial"/>
                <w:sz w:val="20"/>
              </w:rPr>
              <w:t>184,856,541</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8"/>
              <w:ind w:left="482" w:right="0"/>
              <w:jc w:val="left"/>
              <w:rPr>
                <w:rFonts w:ascii="Arial" w:hAnsi="Arial" w:cs="Arial" w:eastAsia="Arial" w:hint="default"/>
                <w:sz w:val="20"/>
                <w:szCs w:val="20"/>
              </w:rPr>
            </w:pPr>
            <w:r>
              <w:rPr>
                <w:rFonts w:ascii="Arial"/>
                <w:sz w:val="20"/>
              </w:rPr>
              <w:t>110,690,706</w:t>
            </w:r>
          </w:p>
        </w:tc>
      </w:tr>
      <w:tr>
        <w:trPr>
          <w:trHeight w:val="26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27" w:lineRule="exact"/>
              <w:ind w:left="303" w:right="0"/>
              <w:jc w:val="left"/>
              <w:rPr>
                <w:rFonts w:ascii="黑体" w:hAnsi="黑体" w:cs="黑体" w:eastAsia="黑体" w:hint="default"/>
                <w:sz w:val="20"/>
                <w:szCs w:val="20"/>
              </w:rPr>
            </w:pPr>
            <w:r>
              <w:rPr>
                <w:rFonts w:ascii="黑体" w:hAnsi="黑体" w:cs="黑体" w:eastAsia="黑体" w:hint="default"/>
                <w:sz w:val="20"/>
                <w:szCs w:val="20"/>
              </w:rPr>
              <w:t>应付股利</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center"/>
              <w:rPr>
                <w:rFonts w:ascii="Arial" w:hAnsi="Arial" w:cs="Arial" w:eastAsia="Arial" w:hint="default"/>
                <w:sz w:val="20"/>
                <w:szCs w:val="20"/>
              </w:rPr>
            </w:pPr>
            <w:r>
              <w:rPr>
                <w:rFonts w:ascii="Arial"/>
                <w:sz w:val="20"/>
              </w:rPr>
              <w:t>24</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
              <w:ind w:left="468" w:right="0"/>
              <w:jc w:val="left"/>
              <w:rPr>
                <w:rFonts w:ascii="Arial" w:hAnsi="Arial" w:cs="Arial" w:eastAsia="Arial" w:hint="default"/>
                <w:sz w:val="20"/>
                <w:szCs w:val="20"/>
              </w:rPr>
            </w:pPr>
            <w:r>
              <w:rPr>
                <w:rFonts w:ascii="Arial"/>
                <w:sz w:val="20"/>
              </w:rPr>
              <w:t>4,107,458</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8"/>
              <w:ind w:left="704" w:right="0"/>
              <w:jc w:val="left"/>
              <w:rPr>
                <w:rFonts w:ascii="Arial" w:hAnsi="Arial" w:cs="Arial" w:eastAsia="Arial" w:hint="default"/>
                <w:sz w:val="20"/>
                <w:szCs w:val="20"/>
              </w:rPr>
            </w:pPr>
            <w:r>
              <w:rPr>
                <w:rFonts w:ascii="Arial"/>
                <w:sz w:val="20"/>
              </w:rPr>
              <w:t>9,846,406</w:t>
            </w:r>
          </w:p>
        </w:tc>
      </w:tr>
      <w:tr>
        <w:trPr>
          <w:trHeight w:val="259"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其他应付款</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center"/>
              <w:rPr>
                <w:rFonts w:ascii="Arial" w:hAnsi="Arial" w:cs="Arial" w:eastAsia="Arial" w:hint="default"/>
                <w:sz w:val="20"/>
                <w:szCs w:val="20"/>
              </w:rPr>
            </w:pPr>
            <w:r>
              <w:rPr>
                <w:rFonts w:ascii="Arial"/>
                <w:sz w:val="20"/>
              </w:rPr>
              <w:t>25</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
              <w:ind w:left="246" w:right="0"/>
              <w:jc w:val="left"/>
              <w:rPr>
                <w:rFonts w:ascii="Arial" w:hAnsi="Arial" w:cs="Arial" w:eastAsia="Arial" w:hint="default"/>
                <w:sz w:val="20"/>
                <w:szCs w:val="20"/>
              </w:rPr>
            </w:pPr>
            <w:r>
              <w:rPr>
                <w:rFonts w:ascii="Arial"/>
                <w:sz w:val="20"/>
              </w:rPr>
              <w:t>321,716,550</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8"/>
              <w:ind w:left="482" w:right="0"/>
              <w:jc w:val="left"/>
              <w:rPr>
                <w:rFonts w:ascii="Arial" w:hAnsi="Arial" w:cs="Arial" w:eastAsia="Arial" w:hint="default"/>
                <w:sz w:val="20"/>
                <w:szCs w:val="20"/>
              </w:rPr>
            </w:pPr>
            <w:r>
              <w:rPr>
                <w:rFonts w:ascii="Arial"/>
                <w:sz w:val="20"/>
              </w:rPr>
              <w:t>340,819,908</w:t>
            </w:r>
          </w:p>
        </w:tc>
      </w:tr>
      <w:tr>
        <w:trPr>
          <w:trHeight w:val="375"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其他流动负债</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3" w:right="0"/>
              <w:jc w:val="center"/>
              <w:rPr>
                <w:rFonts w:ascii="Arial" w:hAnsi="Arial" w:cs="Arial" w:eastAsia="Arial" w:hint="default"/>
                <w:sz w:val="20"/>
                <w:szCs w:val="20"/>
              </w:rPr>
            </w:pPr>
            <w:r>
              <w:rPr>
                <w:rFonts w:ascii="Arial"/>
                <w:sz w:val="20"/>
              </w:rPr>
              <w:t>26</w:t>
            </w:r>
          </w:p>
        </w:tc>
        <w:tc>
          <w:tcPr>
            <w:tcW w:w="1748" w:type="dxa"/>
            <w:tcBorders>
              <w:top w:val="nil" w:sz="6" w:space="0" w:color="auto"/>
              <w:left w:val="nil" w:sz="6" w:space="0" w:color="auto"/>
              <w:bottom w:val="nil" w:sz="6" w:space="0" w:color="auto"/>
              <w:right w:val="nil" w:sz="6" w:space="0" w:color="auto"/>
            </w:tcBorders>
          </w:tcPr>
          <w:p>
            <w:pPr>
              <w:pStyle w:val="TableParagraph"/>
              <w:tabs>
                <w:tab w:pos="468" w:val="left" w:leader="none"/>
              </w:tabs>
              <w:spacing w:line="240" w:lineRule="auto" w:before="8"/>
              <w:ind w:left="79"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5,125,301</w:t>
            </w:r>
            <w:r>
              <w:rPr>
                <w:rFonts w:ascii="Arial"/>
                <w:sz w:val="20"/>
              </w:rPr>
            </w:r>
          </w:p>
        </w:tc>
        <w:tc>
          <w:tcPr>
            <w:tcW w:w="1752" w:type="dxa"/>
            <w:tcBorders>
              <w:top w:val="nil" w:sz="6" w:space="0" w:color="auto"/>
              <w:left w:val="nil" w:sz="6" w:space="0" w:color="auto"/>
              <w:bottom w:val="nil" w:sz="6" w:space="0" w:color="auto"/>
              <w:right w:val="nil" w:sz="6" w:space="0" w:color="auto"/>
            </w:tcBorders>
          </w:tcPr>
          <w:p>
            <w:pPr>
              <w:pStyle w:val="TableParagraph"/>
              <w:tabs>
                <w:tab w:pos="703" w:val="left" w:leader="none"/>
              </w:tabs>
              <w:spacing w:line="240" w:lineRule="auto" w:before="8"/>
              <w:ind w:left="305"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4,508,692</w:t>
            </w:r>
            <w:r>
              <w:rPr>
                <w:rFonts w:ascii="Arial"/>
                <w:sz w:val="20"/>
              </w:rPr>
            </w:r>
          </w:p>
        </w:tc>
      </w:tr>
      <w:tr>
        <w:trPr>
          <w:trHeight w:val="489"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黑体" w:hAnsi="黑体" w:cs="黑体" w:eastAsia="黑体" w:hint="default"/>
                <w:sz w:val="20"/>
                <w:szCs w:val="20"/>
              </w:rPr>
              <w:t>流动负债合计</w:t>
            </w:r>
          </w:p>
        </w:tc>
        <w:tc>
          <w:tcPr>
            <w:tcW w:w="2002"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80" w:right="0"/>
              <w:jc w:val="left"/>
              <w:rPr>
                <w:rFonts w:ascii="Arial" w:hAnsi="Arial" w:cs="Arial" w:eastAsia="Arial" w:hint="default"/>
                <w:sz w:val="20"/>
                <w:szCs w:val="20"/>
              </w:rPr>
            </w:pPr>
            <w:r>
              <w:rPr>
                <w:rFonts w:ascii="Arial"/>
                <w:w w:val="100"/>
                <w:sz w:val="20"/>
              </w:rPr>
            </w:r>
            <w:r>
              <w:rPr>
                <w:rFonts w:ascii="Arial"/>
                <w:sz w:val="20"/>
                <w:u w:val="single" w:color="000000"/>
              </w:rPr>
              <w:t>1,192,174,032</w:t>
            </w:r>
            <w:r>
              <w:rPr>
                <w:rFonts w:ascii="Arial"/>
                <w:sz w:val="20"/>
              </w:rPr>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282"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941,168,864</w:t>
            </w:r>
            <w:r>
              <w:rPr>
                <w:rFonts w:ascii="Arial"/>
                <w:sz w:val="20"/>
              </w:rPr>
            </w:r>
          </w:p>
        </w:tc>
      </w:tr>
      <w:tr>
        <w:trPr>
          <w:trHeight w:val="49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Arial" w:hAnsi="Arial" w:cs="Arial" w:eastAsia="Arial" w:hint="default"/>
                <w:sz w:val="20"/>
                <w:szCs w:val="20"/>
              </w:rPr>
            </w:pPr>
            <w:r>
              <w:rPr>
                <w:rFonts w:ascii="黑体" w:hAnsi="黑体" w:cs="黑体" w:eastAsia="黑体" w:hint="default"/>
                <w:sz w:val="20"/>
                <w:szCs w:val="20"/>
              </w:rPr>
              <w:t>非流动负债</w:t>
            </w:r>
            <w:r>
              <w:rPr>
                <w:rFonts w:ascii="Arial" w:hAnsi="Arial" w:cs="Arial" w:eastAsia="Arial" w:hint="default"/>
                <w:sz w:val="20"/>
                <w:szCs w:val="20"/>
              </w:rPr>
              <w:t>:</w:t>
            </w:r>
          </w:p>
        </w:tc>
        <w:tc>
          <w:tcPr>
            <w:tcW w:w="2002"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
        </w:tc>
        <w:tc>
          <w:tcPr>
            <w:tcW w:w="1752" w:type="dxa"/>
            <w:tcBorders>
              <w:top w:val="nil" w:sz="6" w:space="0" w:color="auto"/>
              <w:left w:val="nil" w:sz="6" w:space="0" w:color="auto"/>
              <w:bottom w:val="nil" w:sz="6" w:space="0" w:color="auto"/>
              <w:right w:val="nil" w:sz="6" w:space="0" w:color="auto"/>
            </w:tcBorders>
          </w:tcPr>
          <w:p>
            <w:pPr/>
          </w:p>
        </w:tc>
      </w:tr>
      <w:tr>
        <w:trPr>
          <w:trHeight w:val="374"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03" w:right="0"/>
              <w:jc w:val="left"/>
              <w:rPr>
                <w:rFonts w:ascii="黑体" w:hAnsi="黑体" w:cs="黑体" w:eastAsia="黑体" w:hint="default"/>
                <w:sz w:val="20"/>
                <w:szCs w:val="20"/>
              </w:rPr>
            </w:pPr>
            <w:r>
              <w:rPr>
                <w:rFonts w:ascii="黑体" w:hAnsi="黑体" w:cs="黑体" w:eastAsia="黑体" w:hint="default"/>
                <w:sz w:val="20"/>
                <w:szCs w:val="20"/>
              </w:rPr>
              <w:t>递延收益</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22" w:right="0"/>
              <w:jc w:val="center"/>
              <w:rPr>
                <w:rFonts w:ascii="Arial" w:hAnsi="Arial" w:cs="Arial" w:eastAsia="Arial" w:hint="default"/>
                <w:sz w:val="20"/>
                <w:szCs w:val="20"/>
              </w:rPr>
            </w:pPr>
            <w:r>
              <w:rPr>
                <w:rFonts w:ascii="Arial"/>
                <w:sz w:val="20"/>
              </w:rPr>
              <w:t>27</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357" w:right="0"/>
              <w:jc w:val="left"/>
              <w:rPr>
                <w:rFonts w:ascii="Arial" w:hAnsi="Arial" w:cs="Arial" w:eastAsia="Arial" w:hint="default"/>
                <w:sz w:val="20"/>
                <w:szCs w:val="20"/>
              </w:rPr>
            </w:pPr>
            <w:r>
              <w:rPr>
                <w:rFonts w:ascii="Arial"/>
                <w:sz w:val="20"/>
              </w:rPr>
              <w:t>13,862,234</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592" w:right="0"/>
              <w:jc w:val="left"/>
              <w:rPr>
                <w:rFonts w:ascii="Arial" w:hAnsi="Arial" w:cs="Arial" w:eastAsia="Arial" w:hint="default"/>
                <w:sz w:val="20"/>
                <w:szCs w:val="20"/>
              </w:rPr>
            </w:pPr>
            <w:r>
              <w:rPr>
                <w:rFonts w:ascii="Arial"/>
                <w:sz w:val="20"/>
              </w:rPr>
              <w:t>25,669,034</w:t>
            </w:r>
          </w:p>
        </w:tc>
      </w:tr>
      <w:tr>
        <w:trPr>
          <w:trHeight w:val="374"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递延所得税负债</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center"/>
              <w:rPr>
                <w:rFonts w:ascii="Arial" w:hAnsi="Arial" w:cs="Arial" w:eastAsia="Arial" w:hint="default"/>
                <w:sz w:val="20"/>
                <w:szCs w:val="20"/>
              </w:rPr>
            </w:pPr>
            <w:r>
              <w:rPr>
                <w:rFonts w:ascii="Arial"/>
                <w:sz w:val="20"/>
              </w:rPr>
              <w:t>17</w:t>
            </w:r>
          </w:p>
        </w:tc>
        <w:tc>
          <w:tcPr>
            <w:tcW w:w="1748" w:type="dxa"/>
            <w:tcBorders>
              <w:top w:val="nil" w:sz="6" w:space="0" w:color="auto"/>
              <w:left w:val="nil" w:sz="6" w:space="0" w:color="auto"/>
              <w:bottom w:val="nil" w:sz="6" w:space="0" w:color="auto"/>
              <w:right w:val="nil" w:sz="6" w:space="0" w:color="auto"/>
            </w:tcBorders>
          </w:tcPr>
          <w:p>
            <w:pPr>
              <w:pStyle w:val="TableParagraph"/>
              <w:tabs>
                <w:tab w:pos="1292" w:val="left" w:leader="none"/>
              </w:tabs>
              <w:spacing w:line="240" w:lineRule="auto" w:before="8"/>
              <w:ind w:left="102"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752" w:type="dxa"/>
            <w:tcBorders>
              <w:top w:val="nil" w:sz="6" w:space="0" w:color="auto"/>
              <w:left w:val="nil" w:sz="6" w:space="0" w:color="auto"/>
              <w:bottom w:val="nil" w:sz="6" w:space="0" w:color="auto"/>
              <w:right w:val="nil" w:sz="6" w:space="0" w:color="auto"/>
            </w:tcBorders>
          </w:tcPr>
          <w:p>
            <w:pPr>
              <w:pStyle w:val="TableParagraph"/>
              <w:tabs>
                <w:tab w:pos="593" w:val="left" w:leader="none"/>
              </w:tabs>
              <w:spacing w:line="240" w:lineRule="auto" w:before="8"/>
              <w:ind w:left="294"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22,840,955</w:t>
            </w:r>
            <w:r>
              <w:rPr>
                <w:rFonts w:ascii="Arial"/>
                <w:sz w:val="20"/>
              </w:rPr>
            </w:r>
          </w:p>
        </w:tc>
      </w:tr>
      <w:tr>
        <w:trPr>
          <w:trHeight w:val="49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黑体" w:hAnsi="黑体" w:cs="黑体" w:eastAsia="黑体" w:hint="default"/>
                <w:sz w:val="20"/>
                <w:szCs w:val="20"/>
              </w:rPr>
              <w:t>非流动负债合计</w:t>
            </w:r>
          </w:p>
        </w:tc>
        <w:tc>
          <w:tcPr>
            <w:tcW w:w="2002"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tabs>
                <w:tab w:pos="357" w:val="left" w:leader="none"/>
              </w:tabs>
              <w:spacing w:line="240" w:lineRule="auto" w:before="123"/>
              <w:ind w:left="68"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13,862,234</w:t>
            </w:r>
            <w:r>
              <w:rPr>
                <w:rFonts w:ascii="Arial"/>
                <w:sz w:val="20"/>
              </w:rPr>
            </w:r>
          </w:p>
        </w:tc>
        <w:tc>
          <w:tcPr>
            <w:tcW w:w="1752" w:type="dxa"/>
            <w:tcBorders>
              <w:top w:val="nil" w:sz="6" w:space="0" w:color="auto"/>
              <w:left w:val="nil" w:sz="6" w:space="0" w:color="auto"/>
              <w:bottom w:val="nil" w:sz="6" w:space="0" w:color="auto"/>
              <w:right w:val="nil" w:sz="6" w:space="0" w:color="auto"/>
            </w:tcBorders>
          </w:tcPr>
          <w:p>
            <w:pPr>
              <w:pStyle w:val="TableParagraph"/>
              <w:tabs>
                <w:tab w:pos="593" w:val="left" w:leader="none"/>
              </w:tabs>
              <w:spacing w:line="240" w:lineRule="auto" w:before="123"/>
              <w:ind w:left="294"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48,509,989</w:t>
            </w:r>
            <w:r>
              <w:rPr>
                <w:rFonts w:ascii="Arial"/>
                <w:sz w:val="20"/>
              </w:rPr>
            </w:r>
          </w:p>
        </w:tc>
      </w:tr>
      <w:tr>
        <w:trPr>
          <w:trHeight w:val="49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黑体" w:hAnsi="黑体" w:cs="黑体" w:eastAsia="黑体" w:hint="default"/>
                <w:sz w:val="20"/>
                <w:szCs w:val="20"/>
              </w:rPr>
              <w:t>负债总计</w:t>
            </w:r>
          </w:p>
        </w:tc>
        <w:tc>
          <w:tcPr>
            <w:tcW w:w="2002"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80" w:right="0"/>
              <w:jc w:val="left"/>
              <w:rPr>
                <w:rFonts w:ascii="Arial" w:hAnsi="Arial" w:cs="Arial" w:eastAsia="Arial" w:hint="default"/>
                <w:sz w:val="20"/>
                <w:szCs w:val="20"/>
              </w:rPr>
            </w:pPr>
            <w:r>
              <w:rPr>
                <w:rFonts w:ascii="Arial"/>
                <w:w w:val="100"/>
                <w:sz w:val="20"/>
              </w:rPr>
            </w:r>
            <w:r>
              <w:rPr>
                <w:rFonts w:ascii="Arial"/>
                <w:sz w:val="20"/>
                <w:u w:val="single" w:color="000000"/>
              </w:rPr>
              <w:t>1,206,036,266</w:t>
            </w:r>
            <w:r>
              <w:rPr>
                <w:rFonts w:ascii="Arial"/>
                <w:sz w:val="20"/>
              </w:rPr>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282"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989,678,853</w:t>
            </w:r>
            <w:r>
              <w:rPr>
                <w:rFonts w:ascii="Arial"/>
                <w:sz w:val="20"/>
              </w:rPr>
            </w:r>
          </w:p>
        </w:tc>
      </w:tr>
      <w:tr>
        <w:trPr>
          <w:trHeight w:val="49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Arial" w:hAnsi="Arial" w:cs="Arial" w:eastAsia="Arial" w:hint="default"/>
                <w:sz w:val="20"/>
                <w:szCs w:val="20"/>
              </w:rPr>
            </w:pPr>
            <w:r>
              <w:rPr>
                <w:rFonts w:ascii="黑体" w:hAnsi="黑体" w:cs="黑体" w:eastAsia="黑体" w:hint="default"/>
                <w:sz w:val="20"/>
                <w:szCs w:val="20"/>
              </w:rPr>
              <w:t>股东权益</w:t>
            </w:r>
            <w:r>
              <w:rPr>
                <w:rFonts w:ascii="Arial" w:hAnsi="Arial" w:cs="Arial" w:eastAsia="Arial" w:hint="default"/>
                <w:sz w:val="20"/>
                <w:szCs w:val="20"/>
              </w:rPr>
              <w:t>:</w:t>
            </w:r>
          </w:p>
        </w:tc>
        <w:tc>
          <w:tcPr>
            <w:tcW w:w="2002"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
        </w:tc>
        <w:tc>
          <w:tcPr>
            <w:tcW w:w="1752" w:type="dxa"/>
            <w:tcBorders>
              <w:top w:val="nil" w:sz="6" w:space="0" w:color="auto"/>
              <w:left w:val="nil" w:sz="6" w:space="0" w:color="auto"/>
              <w:bottom w:val="nil" w:sz="6" w:space="0" w:color="auto"/>
              <w:right w:val="nil" w:sz="6" w:space="0" w:color="auto"/>
            </w:tcBorders>
          </w:tcPr>
          <w:p>
            <w:pPr/>
          </w:p>
        </w:tc>
      </w:tr>
      <w:tr>
        <w:trPr>
          <w:trHeight w:val="374"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03" w:right="0"/>
              <w:jc w:val="left"/>
              <w:rPr>
                <w:rFonts w:ascii="黑体" w:hAnsi="黑体" w:cs="黑体" w:eastAsia="黑体" w:hint="default"/>
                <w:sz w:val="20"/>
                <w:szCs w:val="20"/>
              </w:rPr>
            </w:pPr>
            <w:r>
              <w:rPr>
                <w:rFonts w:ascii="黑体" w:hAnsi="黑体" w:cs="黑体" w:eastAsia="黑体" w:hint="default"/>
                <w:sz w:val="20"/>
                <w:szCs w:val="20"/>
              </w:rPr>
              <w:t>股本</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22" w:right="0"/>
              <w:jc w:val="center"/>
              <w:rPr>
                <w:rFonts w:ascii="Arial" w:hAnsi="Arial" w:cs="Arial" w:eastAsia="Arial" w:hint="default"/>
                <w:sz w:val="20"/>
                <w:szCs w:val="20"/>
              </w:rPr>
            </w:pPr>
            <w:r>
              <w:rPr>
                <w:rFonts w:ascii="Arial"/>
                <w:sz w:val="20"/>
              </w:rPr>
              <w:t>28</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246" w:right="0"/>
              <w:jc w:val="left"/>
              <w:rPr>
                <w:rFonts w:ascii="Arial" w:hAnsi="Arial" w:cs="Arial" w:eastAsia="Arial" w:hint="default"/>
                <w:sz w:val="20"/>
                <w:szCs w:val="20"/>
              </w:rPr>
            </w:pPr>
            <w:r>
              <w:rPr>
                <w:rFonts w:ascii="Arial"/>
                <w:sz w:val="20"/>
              </w:rPr>
              <w:t>627,858,850</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482" w:right="0"/>
              <w:jc w:val="left"/>
              <w:rPr>
                <w:rFonts w:ascii="Arial" w:hAnsi="Arial" w:cs="Arial" w:eastAsia="Arial" w:hint="default"/>
                <w:sz w:val="20"/>
                <w:szCs w:val="20"/>
              </w:rPr>
            </w:pPr>
            <w:r>
              <w:rPr>
                <w:rFonts w:ascii="Arial"/>
                <w:sz w:val="20"/>
              </w:rPr>
              <w:t>466,683,575</w:t>
            </w:r>
          </w:p>
        </w:tc>
      </w:tr>
      <w:tr>
        <w:trPr>
          <w:trHeight w:val="259"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资本公积</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center"/>
              <w:rPr>
                <w:rFonts w:ascii="Arial" w:hAnsi="Arial" w:cs="Arial" w:eastAsia="Arial" w:hint="default"/>
                <w:sz w:val="20"/>
                <w:szCs w:val="20"/>
              </w:rPr>
            </w:pPr>
            <w:r>
              <w:rPr>
                <w:rFonts w:ascii="Arial"/>
                <w:sz w:val="20"/>
              </w:rPr>
              <w:t>29</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
              <w:ind w:left="246" w:right="0"/>
              <w:jc w:val="left"/>
              <w:rPr>
                <w:rFonts w:ascii="Arial" w:hAnsi="Arial" w:cs="Arial" w:eastAsia="Arial" w:hint="default"/>
                <w:sz w:val="20"/>
                <w:szCs w:val="20"/>
              </w:rPr>
            </w:pPr>
            <w:r>
              <w:rPr>
                <w:rFonts w:ascii="Arial"/>
                <w:sz w:val="20"/>
              </w:rPr>
              <w:t>862,842,262</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8"/>
              <w:ind w:left="482" w:right="0"/>
              <w:jc w:val="left"/>
              <w:rPr>
                <w:rFonts w:ascii="Arial" w:hAnsi="Arial" w:cs="Arial" w:eastAsia="Arial" w:hint="default"/>
                <w:sz w:val="20"/>
                <w:szCs w:val="20"/>
              </w:rPr>
            </w:pPr>
            <w:r>
              <w:rPr>
                <w:rFonts w:ascii="Arial"/>
                <w:sz w:val="20"/>
              </w:rPr>
              <w:t>985,636,668</w:t>
            </w:r>
          </w:p>
        </w:tc>
      </w:tr>
      <w:tr>
        <w:trPr>
          <w:trHeight w:val="259"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盈余公积</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center"/>
              <w:rPr>
                <w:rFonts w:ascii="Arial" w:hAnsi="Arial" w:cs="Arial" w:eastAsia="Arial" w:hint="default"/>
                <w:sz w:val="20"/>
                <w:szCs w:val="20"/>
              </w:rPr>
            </w:pPr>
            <w:r>
              <w:rPr>
                <w:rFonts w:ascii="Arial"/>
                <w:sz w:val="20"/>
              </w:rPr>
              <w:t>30</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
              <w:ind w:left="246" w:right="0"/>
              <w:jc w:val="left"/>
              <w:rPr>
                <w:rFonts w:ascii="Arial" w:hAnsi="Arial" w:cs="Arial" w:eastAsia="Arial" w:hint="default"/>
                <w:sz w:val="20"/>
                <w:szCs w:val="20"/>
              </w:rPr>
            </w:pPr>
            <w:r>
              <w:rPr>
                <w:rFonts w:ascii="Arial"/>
                <w:sz w:val="20"/>
              </w:rPr>
              <w:t>271,273,699</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8"/>
              <w:ind w:left="482" w:right="0"/>
              <w:jc w:val="left"/>
              <w:rPr>
                <w:rFonts w:ascii="Arial" w:hAnsi="Arial" w:cs="Arial" w:eastAsia="Arial" w:hint="default"/>
                <w:sz w:val="20"/>
                <w:szCs w:val="20"/>
              </w:rPr>
            </w:pPr>
            <w:r>
              <w:rPr>
                <w:rFonts w:ascii="Arial"/>
                <w:sz w:val="20"/>
              </w:rPr>
              <w:t>189,550,229</w:t>
            </w:r>
          </w:p>
        </w:tc>
      </w:tr>
      <w:tr>
        <w:trPr>
          <w:trHeight w:val="259"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未分配利润</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center"/>
              <w:rPr>
                <w:rFonts w:ascii="Arial" w:hAnsi="Arial" w:cs="Arial" w:eastAsia="Arial" w:hint="default"/>
                <w:sz w:val="20"/>
                <w:szCs w:val="20"/>
              </w:rPr>
            </w:pPr>
            <w:r>
              <w:rPr>
                <w:rFonts w:ascii="Arial"/>
                <w:sz w:val="20"/>
              </w:rPr>
              <w:t>31</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
              <w:ind w:left="246" w:right="0"/>
              <w:jc w:val="left"/>
              <w:rPr>
                <w:rFonts w:ascii="Arial" w:hAnsi="Arial" w:cs="Arial" w:eastAsia="Arial" w:hint="default"/>
                <w:sz w:val="20"/>
                <w:szCs w:val="20"/>
              </w:rPr>
            </w:pPr>
            <w:r>
              <w:rPr>
                <w:rFonts w:ascii="Arial"/>
                <w:sz w:val="20"/>
              </w:rPr>
              <w:t>818,666,807</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8"/>
              <w:ind w:left="482" w:right="0"/>
              <w:jc w:val="left"/>
              <w:rPr>
                <w:rFonts w:ascii="Arial" w:hAnsi="Arial" w:cs="Arial" w:eastAsia="Arial" w:hint="default"/>
                <w:sz w:val="20"/>
                <w:szCs w:val="20"/>
              </w:rPr>
            </w:pPr>
            <w:r>
              <w:rPr>
                <w:rFonts w:ascii="Arial"/>
                <w:sz w:val="20"/>
              </w:rPr>
              <w:t>446,569,298</w:t>
            </w:r>
          </w:p>
        </w:tc>
      </w:tr>
      <w:tr>
        <w:trPr>
          <w:trHeight w:val="234"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26" w:lineRule="exact"/>
              <w:ind w:left="303" w:right="0"/>
              <w:jc w:val="left"/>
              <w:rPr>
                <w:rFonts w:ascii="黑体" w:hAnsi="黑体" w:cs="黑体" w:eastAsia="黑体" w:hint="default"/>
                <w:sz w:val="20"/>
                <w:szCs w:val="20"/>
              </w:rPr>
            </w:pPr>
            <w:r>
              <w:rPr>
                <w:rFonts w:ascii="黑体" w:hAnsi="黑体" w:cs="黑体" w:eastAsia="黑体" w:hint="default"/>
                <w:sz w:val="20"/>
                <w:szCs w:val="20"/>
              </w:rPr>
              <w:t>外币报表折算差额</w:t>
            </w:r>
          </w:p>
        </w:tc>
        <w:tc>
          <w:tcPr>
            <w:tcW w:w="2002"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tabs>
                <w:tab w:pos="745" w:val="left" w:leader="none"/>
              </w:tabs>
              <w:spacing w:line="240" w:lineRule="auto" w:before="8"/>
              <w:ind w:right="0"/>
              <w:jc w:val="left"/>
              <w:rPr>
                <w:rFonts w:ascii="Arial" w:hAnsi="Arial" w:cs="Arial" w:eastAsia="Arial" w:hint="default"/>
                <w:sz w:val="20"/>
                <w:szCs w:val="20"/>
              </w:rPr>
            </w:pPr>
            <w:r>
              <w:rPr>
                <w:rFonts w:ascii="Arial"/>
                <w:sz w:val="20"/>
              </w:rPr>
              <w:t>(</w:t>
            </w:r>
            <w:r>
              <w:rPr>
                <w:rFonts w:ascii="Arial"/>
                <w:sz w:val="20"/>
                <w:u w:val="single" w:color="000000"/>
              </w:rPr>
              <w:t> </w:t>
              <w:tab/>
              <w:t>63,786</w:t>
            </w:r>
            <w:r>
              <w:rPr>
                <w:rFonts w:ascii="Arial"/>
                <w:spacing w:val="2"/>
                <w:sz w:val="20"/>
                <w:u w:val="single" w:color="000000"/>
              </w:rPr>
              <w:t> </w:t>
            </w:r>
            <w:r>
              <w:rPr>
                <w:rFonts w:ascii="Arial"/>
                <w:spacing w:val="2"/>
                <w:sz w:val="20"/>
              </w:rPr>
            </w:r>
            <w:r>
              <w:rPr>
                <w:rFonts w:ascii="Arial"/>
                <w:sz w:val="20"/>
              </w:rPr>
              <w:t>)</w:t>
            </w:r>
          </w:p>
        </w:tc>
        <w:tc>
          <w:tcPr>
            <w:tcW w:w="1752" w:type="dxa"/>
            <w:tcBorders>
              <w:top w:val="nil" w:sz="6" w:space="0" w:color="auto"/>
              <w:left w:val="nil" w:sz="6" w:space="0" w:color="auto"/>
              <w:bottom w:val="nil" w:sz="6" w:space="0" w:color="auto"/>
              <w:right w:val="nil" w:sz="6" w:space="0" w:color="auto"/>
            </w:tcBorders>
          </w:tcPr>
          <w:p>
            <w:pPr>
              <w:pStyle w:val="TableParagraph"/>
              <w:tabs>
                <w:tab w:pos="871" w:val="left" w:leader="none"/>
              </w:tabs>
              <w:spacing w:line="240" w:lineRule="auto" w:before="8"/>
              <w:ind w:left="265" w:right="0"/>
              <w:jc w:val="left"/>
              <w:rPr>
                <w:rFonts w:ascii="Arial" w:hAnsi="Arial" w:cs="Arial" w:eastAsia="Arial" w:hint="default"/>
                <w:sz w:val="20"/>
                <w:szCs w:val="20"/>
              </w:rPr>
            </w:pPr>
            <w:r>
              <w:rPr>
                <w:rFonts w:ascii="Arial"/>
                <w:sz w:val="20"/>
              </w:rPr>
              <w:t>(</w:t>
            </w:r>
            <w:r>
              <w:rPr>
                <w:rFonts w:ascii="Arial"/>
                <w:sz w:val="20"/>
                <w:u w:val="single" w:color="000000"/>
              </w:rPr>
              <w:t> </w:t>
              <w:tab/>
              <w:t>778,356</w:t>
            </w:r>
            <w:r>
              <w:rPr>
                <w:rFonts w:ascii="Arial"/>
                <w:spacing w:val="-2"/>
                <w:sz w:val="20"/>
                <w:u w:val="single" w:color="000000"/>
              </w:rPr>
              <w:t> </w:t>
            </w:r>
            <w:r>
              <w:rPr>
                <w:rFonts w:ascii="Arial"/>
                <w:spacing w:val="-2"/>
                <w:sz w:val="20"/>
              </w:rPr>
            </w:r>
            <w:r>
              <w:rPr>
                <w:rFonts w:ascii="Arial"/>
                <w:sz w:val="20"/>
              </w:rPr>
              <w:t>)</w:t>
            </w:r>
          </w:p>
        </w:tc>
      </w:tr>
      <w:tr>
        <w:trPr>
          <w:trHeight w:val="63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归属于母公司股东权益合计</w:t>
            </w:r>
          </w:p>
        </w:tc>
        <w:tc>
          <w:tcPr>
            <w:tcW w:w="2002"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left="80" w:right="0"/>
              <w:jc w:val="left"/>
              <w:rPr>
                <w:rFonts w:ascii="Arial" w:hAnsi="Arial" w:cs="Arial" w:eastAsia="Arial" w:hint="default"/>
                <w:sz w:val="20"/>
                <w:szCs w:val="20"/>
              </w:rPr>
            </w:pPr>
            <w:r>
              <w:rPr>
                <w:rFonts w:ascii="Arial"/>
                <w:w w:val="100"/>
                <w:sz w:val="20"/>
              </w:rPr>
            </w:r>
            <w:r>
              <w:rPr>
                <w:rFonts w:ascii="Arial"/>
                <w:sz w:val="20"/>
                <w:u w:val="single" w:color="000000"/>
              </w:rPr>
              <w:t>2,580,577,832</w:t>
            </w:r>
            <w:r>
              <w:rPr>
                <w:rFonts w:ascii="Arial"/>
                <w:sz w:val="20"/>
              </w:rPr>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315" w:right="0"/>
              <w:jc w:val="left"/>
              <w:rPr>
                <w:rFonts w:ascii="Arial" w:hAnsi="Arial" w:cs="Arial" w:eastAsia="Arial" w:hint="default"/>
                <w:sz w:val="20"/>
                <w:szCs w:val="20"/>
              </w:rPr>
            </w:pPr>
            <w:r>
              <w:rPr>
                <w:rFonts w:ascii="Arial"/>
                <w:w w:val="100"/>
                <w:sz w:val="20"/>
              </w:rPr>
            </w:r>
            <w:r>
              <w:rPr>
                <w:rFonts w:ascii="Arial"/>
                <w:sz w:val="20"/>
                <w:u w:val="single" w:color="000000"/>
              </w:rPr>
              <w:t>2,087,661,414</w:t>
            </w:r>
            <w:r>
              <w:rPr>
                <w:rFonts w:ascii="Arial"/>
                <w:sz w:val="20"/>
              </w:rPr>
            </w:r>
          </w:p>
        </w:tc>
      </w:tr>
      <w:tr>
        <w:trPr>
          <w:trHeight w:val="490"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黑体" w:hAnsi="黑体" w:cs="黑体" w:eastAsia="黑体" w:hint="default"/>
                <w:sz w:val="20"/>
                <w:szCs w:val="20"/>
              </w:rPr>
              <w:t>少数股东权益</w:t>
            </w:r>
          </w:p>
        </w:tc>
        <w:tc>
          <w:tcPr>
            <w:tcW w:w="2002"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tabs>
                <w:tab w:pos="357" w:val="left" w:leader="none"/>
              </w:tabs>
              <w:spacing w:line="240" w:lineRule="auto" w:before="123"/>
              <w:ind w:left="58"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32,898,090</w:t>
            </w:r>
            <w:r>
              <w:rPr>
                <w:rFonts w:ascii="Arial"/>
                <w:sz w:val="20"/>
              </w:rPr>
            </w:r>
          </w:p>
        </w:tc>
        <w:tc>
          <w:tcPr>
            <w:tcW w:w="1752" w:type="dxa"/>
            <w:tcBorders>
              <w:top w:val="nil" w:sz="6" w:space="0" w:color="auto"/>
              <w:left w:val="nil" w:sz="6" w:space="0" w:color="auto"/>
              <w:bottom w:val="nil" w:sz="6" w:space="0" w:color="auto"/>
              <w:right w:val="nil" w:sz="6" w:space="0" w:color="auto"/>
            </w:tcBorders>
          </w:tcPr>
          <w:p>
            <w:pPr>
              <w:pStyle w:val="TableParagraph"/>
              <w:tabs>
                <w:tab w:pos="593" w:val="left" w:leader="none"/>
              </w:tabs>
              <w:spacing w:line="240" w:lineRule="auto" w:before="123"/>
              <w:ind w:left="294"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32,631,593</w:t>
            </w:r>
            <w:r>
              <w:rPr>
                <w:rFonts w:ascii="Arial"/>
                <w:sz w:val="20"/>
              </w:rPr>
            </w:r>
          </w:p>
        </w:tc>
      </w:tr>
      <w:tr>
        <w:trPr>
          <w:trHeight w:val="489"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黑体" w:hAnsi="黑体" w:cs="黑体" w:eastAsia="黑体" w:hint="default"/>
                <w:sz w:val="20"/>
                <w:szCs w:val="20"/>
              </w:rPr>
              <w:t>股东权益合计</w:t>
            </w:r>
          </w:p>
        </w:tc>
        <w:tc>
          <w:tcPr>
            <w:tcW w:w="2002"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80" w:right="0"/>
              <w:jc w:val="left"/>
              <w:rPr>
                <w:rFonts w:ascii="Arial" w:hAnsi="Arial" w:cs="Arial" w:eastAsia="Arial" w:hint="default"/>
                <w:sz w:val="20"/>
                <w:szCs w:val="20"/>
              </w:rPr>
            </w:pPr>
            <w:r>
              <w:rPr>
                <w:rFonts w:ascii="Arial"/>
                <w:w w:val="100"/>
                <w:sz w:val="20"/>
              </w:rPr>
            </w:r>
            <w:r>
              <w:rPr>
                <w:rFonts w:ascii="Arial"/>
                <w:sz w:val="20"/>
                <w:u w:val="single" w:color="000000"/>
              </w:rPr>
              <w:t>2,613,475,922</w:t>
            </w:r>
            <w:r>
              <w:rPr>
                <w:rFonts w:ascii="Arial"/>
                <w:sz w:val="20"/>
              </w:rPr>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315" w:right="0"/>
              <w:jc w:val="left"/>
              <w:rPr>
                <w:rFonts w:ascii="Arial" w:hAnsi="Arial" w:cs="Arial" w:eastAsia="Arial" w:hint="default"/>
                <w:sz w:val="20"/>
                <w:szCs w:val="20"/>
              </w:rPr>
            </w:pPr>
            <w:r>
              <w:rPr>
                <w:rFonts w:ascii="Arial"/>
                <w:w w:val="100"/>
                <w:sz w:val="20"/>
              </w:rPr>
            </w:r>
            <w:r>
              <w:rPr>
                <w:rFonts w:ascii="Arial"/>
                <w:sz w:val="20"/>
                <w:u w:val="single" w:color="000000"/>
              </w:rPr>
              <w:t>2,120,293,007</w:t>
            </w:r>
            <w:r>
              <w:rPr>
                <w:rFonts w:ascii="Arial"/>
                <w:sz w:val="20"/>
              </w:rPr>
            </w:r>
          </w:p>
        </w:tc>
      </w:tr>
      <w:tr>
        <w:trPr>
          <w:trHeight w:val="448" w:hRule="exact"/>
        </w:trPr>
        <w:tc>
          <w:tcPr>
            <w:tcW w:w="31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黑体" w:hAnsi="黑体" w:cs="黑体" w:eastAsia="黑体" w:hint="default"/>
                <w:sz w:val="20"/>
                <w:szCs w:val="20"/>
              </w:rPr>
              <w:t>负债及股东权益总计</w:t>
            </w:r>
          </w:p>
        </w:tc>
        <w:tc>
          <w:tcPr>
            <w:tcW w:w="2002"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80" w:right="0"/>
              <w:jc w:val="left"/>
              <w:rPr>
                <w:rFonts w:ascii="Arial" w:hAnsi="Arial" w:cs="Arial" w:eastAsia="Arial" w:hint="default"/>
                <w:sz w:val="20"/>
                <w:szCs w:val="20"/>
              </w:rPr>
            </w:pPr>
            <w:r>
              <w:rPr>
                <w:rFonts w:ascii="Arial"/>
                <w:w w:val="100"/>
                <w:sz w:val="20"/>
              </w:rPr>
            </w:r>
            <w:r>
              <w:rPr>
                <w:rFonts w:ascii="Arial"/>
                <w:sz w:val="20"/>
                <w:u w:val="thick" w:color="000000"/>
              </w:rPr>
              <w:t>3,819,512,188</w:t>
            </w:r>
            <w:r>
              <w:rPr>
                <w:rFonts w:ascii="Arial"/>
                <w:sz w:val="20"/>
              </w:rPr>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315" w:right="0"/>
              <w:jc w:val="left"/>
              <w:rPr>
                <w:rFonts w:ascii="Arial" w:hAnsi="Arial" w:cs="Arial" w:eastAsia="Arial" w:hint="default"/>
                <w:sz w:val="20"/>
                <w:szCs w:val="20"/>
              </w:rPr>
            </w:pPr>
            <w:r>
              <w:rPr>
                <w:rFonts w:ascii="Arial"/>
                <w:w w:val="100"/>
                <w:sz w:val="20"/>
              </w:rPr>
            </w:r>
            <w:r>
              <w:rPr>
                <w:rFonts w:ascii="Arial"/>
                <w:sz w:val="20"/>
                <w:u w:val="thick" w:color="000000"/>
              </w:rPr>
              <w:t>3,109,971,860</w:t>
            </w:r>
            <w:r>
              <w:rPr>
                <w:rFonts w:ascii="Arial"/>
                <w:sz w:val="20"/>
              </w:rPr>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7"/>
          <w:szCs w:val="27"/>
        </w:rPr>
      </w:pPr>
    </w:p>
    <w:p>
      <w:pPr>
        <w:pStyle w:val="BodyText"/>
        <w:spacing w:line="240" w:lineRule="auto" w:before="38"/>
        <w:ind w:left="181" w:right="210"/>
        <w:jc w:val="left"/>
      </w:pPr>
      <w:r>
        <w:rPr/>
        <w:t>财务报表由以下人士签署：</w:t>
      </w:r>
    </w:p>
    <w:p>
      <w:pPr>
        <w:spacing w:line="240" w:lineRule="auto" w:before="5"/>
        <w:rPr>
          <w:rFonts w:ascii="黑体" w:hAnsi="黑体" w:cs="黑体" w:eastAsia="黑体" w:hint="default"/>
          <w:sz w:val="17"/>
          <w:szCs w:val="17"/>
        </w:rPr>
      </w:pPr>
    </w:p>
    <w:p>
      <w:pPr>
        <w:pStyle w:val="BodyText"/>
        <w:tabs>
          <w:tab w:pos="3072" w:val="left" w:leader="none"/>
          <w:tab w:pos="5963" w:val="left" w:leader="none"/>
        </w:tabs>
        <w:spacing w:line="240" w:lineRule="auto"/>
        <w:ind w:left="180" w:right="210"/>
        <w:jc w:val="left"/>
      </w:pPr>
      <w:r>
        <w:rPr>
          <w:spacing w:val="-1"/>
        </w:rPr>
        <w:t>公司法定代表人</w:t>
        <w:tab/>
        <w:t>主管会计工作负责人</w:t>
        <w:tab/>
        <w:t>会计机构负责人</w:t>
      </w:r>
    </w:p>
    <w:p>
      <w:pPr>
        <w:spacing w:after="0" w:line="240" w:lineRule="auto"/>
        <w:jc w:val="left"/>
        <w:sectPr>
          <w:headerReference w:type="default" r:id="rId30"/>
          <w:pgSz w:w="11910" w:h="16840"/>
          <w:pgMar w:header="958" w:footer="457" w:top="2520" w:bottom="660" w:left="1520" w:right="1460"/>
        </w:sectPr>
      </w:pPr>
    </w:p>
    <w:p>
      <w:pPr>
        <w:spacing w:line="240" w:lineRule="auto" w:before="7"/>
        <w:rPr>
          <w:rFonts w:ascii="黑体" w:hAnsi="黑体" w:cs="黑体" w:eastAsia="黑体" w:hint="default"/>
          <w:sz w:val="20"/>
          <w:szCs w:val="20"/>
        </w:rPr>
      </w:pPr>
    </w:p>
    <w:tbl>
      <w:tblPr>
        <w:tblW w:w="0" w:type="auto"/>
        <w:jc w:val="left"/>
        <w:tblInd w:w="106" w:type="dxa"/>
        <w:tblLayout w:type="fixed"/>
        <w:tblCellMar>
          <w:top w:w="0" w:type="dxa"/>
          <w:left w:w="0" w:type="dxa"/>
          <w:bottom w:w="0" w:type="dxa"/>
          <w:right w:w="0" w:type="dxa"/>
        </w:tblCellMar>
        <w:tblLook w:val="01E0"/>
      </w:tblPr>
      <w:tblGrid>
        <w:gridCol w:w="3480"/>
        <w:gridCol w:w="1373"/>
        <w:gridCol w:w="2055"/>
        <w:gridCol w:w="1761"/>
      </w:tblGrid>
      <w:tr>
        <w:trPr>
          <w:trHeight w:val="938" w:hRule="exact"/>
        </w:trPr>
        <w:tc>
          <w:tcPr>
            <w:tcW w:w="348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项目</w:t>
            </w:r>
            <w:r>
              <w:rPr>
                <w:rFonts w:ascii="黑体" w:hAnsi="黑体" w:cs="黑体" w:eastAsia="黑体" w:hint="default"/>
                <w:sz w:val="20"/>
                <w:szCs w:val="20"/>
              </w:rPr>
            </w:r>
          </w:p>
          <w:p>
            <w:pPr>
              <w:pStyle w:val="TableParagraph"/>
              <w:spacing w:line="240" w:lineRule="auto" w:before="5"/>
              <w:ind w:right="0"/>
              <w:jc w:val="left"/>
              <w:rPr>
                <w:rFonts w:ascii="黑体" w:hAnsi="黑体" w:cs="黑体" w:eastAsia="黑体" w:hint="default"/>
                <w:sz w:val="17"/>
                <w:szCs w:val="17"/>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一、营业收入</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98" w:right="0"/>
              <w:jc w:val="center"/>
              <w:rPr>
                <w:rFonts w:ascii="黑体" w:hAnsi="黑体" w:cs="黑体" w:eastAsia="黑体" w:hint="default"/>
                <w:sz w:val="20"/>
                <w:szCs w:val="20"/>
              </w:rPr>
            </w:pPr>
            <w:r>
              <w:rPr>
                <w:rFonts w:ascii="黑体" w:hAnsi="黑体" w:cs="黑体" w:eastAsia="黑体" w:hint="default"/>
                <w:b/>
                <w:bCs/>
                <w:sz w:val="20"/>
                <w:szCs w:val="20"/>
              </w:rPr>
              <w:t>附注五</w:t>
            </w:r>
            <w:r>
              <w:rPr>
                <w:rFonts w:ascii="黑体" w:hAnsi="黑体" w:cs="黑体" w:eastAsia="黑体" w:hint="default"/>
                <w:sz w:val="20"/>
                <w:szCs w:val="20"/>
              </w:rPr>
            </w:r>
          </w:p>
          <w:p>
            <w:pPr>
              <w:pStyle w:val="TableParagraph"/>
              <w:spacing w:line="240" w:lineRule="auto" w:before="10"/>
              <w:ind w:right="0"/>
              <w:jc w:val="left"/>
              <w:rPr>
                <w:rFonts w:ascii="黑体" w:hAnsi="黑体" w:cs="黑体" w:eastAsia="黑体" w:hint="default"/>
                <w:sz w:val="20"/>
                <w:szCs w:val="20"/>
              </w:rPr>
            </w:pPr>
          </w:p>
          <w:p>
            <w:pPr>
              <w:pStyle w:val="TableParagraph"/>
              <w:spacing w:line="240" w:lineRule="auto"/>
              <w:ind w:left="100" w:right="0"/>
              <w:jc w:val="center"/>
              <w:rPr>
                <w:rFonts w:ascii="Arial" w:hAnsi="Arial" w:cs="Arial" w:eastAsia="Arial" w:hint="default"/>
                <w:sz w:val="20"/>
                <w:szCs w:val="20"/>
              </w:rPr>
            </w:pPr>
            <w:r>
              <w:rPr>
                <w:rFonts w:ascii="Arial"/>
                <w:sz w:val="20"/>
              </w:rPr>
              <w:t>32</w:t>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56" w:right="0"/>
              <w:jc w:val="left"/>
              <w:rPr>
                <w:rFonts w:ascii="黑体" w:hAnsi="黑体" w:cs="黑体" w:eastAsia="黑体" w:hint="default"/>
                <w:sz w:val="20"/>
                <w:szCs w:val="20"/>
              </w:rPr>
            </w:pPr>
            <w:r>
              <w:rPr>
                <w:rFonts w:ascii="Arial" w:hAnsi="Arial" w:cs="Arial" w:eastAsia="Arial" w:hint="default"/>
                <w:b/>
                <w:bCs/>
                <w:sz w:val="20"/>
                <w:szCs w:val="20"/>
              </w:rPr>
              <w:t>2009</w:t>
            </w:r>
            <w:r>
              <w:rPr>
                <w:rFonts w:ascii="黑体" w:hAnsi="黑体" w:cs="黑体" w:eastAsia="黑体" w:hint="default"/>
                <w:b/>
                <w:bCs/>
                <w:sz w:val="20"/>
                <w:szCs w:val="20"/>
              </w:rPr>
              <w:t>年</w:t>
            </w:r>
            <w:r>
              <w:rPr>
                <w:rFonts w:ascii="黑体" w:hAnsi="黑体" w:cs="黑体" w:eastAsia="黑体" w:hint="default"/>
                <w:sz w:val="20"/>
                <w:szCs w:val="20"/>
              </w:rPr>
            </w:r>
          </w:p>
          <w:p>
            <w:pPr>
              <w:pStyle w:val="TableParagraph"/>
              <w:spacing w:line="240" w:lineRule="auto" w:before="9"/>
              <w:ind w:right="0"/>
              <w:jc w:val="left"/>
              <w:rPr>
                <w:rFonts w:ascii="黑体" w:hAnsi="黑体" w:cs="黑体" w:eastAsia="黑体" w:hint="default"/>
                <w:sz w:val="19"/>
                <w:szCs w:val="19"/>
              </w:rPr>
            </w:pPr>
          </w:p>
          <w:p>
            <w:pPr>
              <w:pStyle w:val="TableParagraph"/>
              <w:spacing w:line="240" w:lineRule="auto"/>
              <w:ind w:left="424" w:right="0"/>
              <w:jc w:val="left"/>
              <w:rPr>
                <w:rFonts w:ascii="Arial" w:hAnsi="Arial" w:cs="Arial" w:eastAsia="Arial" w:hint="default"/>
                <w:sz w:val="20"/>
                <w:szCs w:val="20"/>
              </w:rPr>
            </w:pPr>
            <w:r>
              <w:rPr>
                <w:rFonts w:ascii="Arial"/>
                <w:sz w:val="20"/>
              </w:rPr>
              <w:t>2,347,005,714</w:t>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982" w:right="0"/>
              <w:jc w:val="left"/>
              <w:rPr>
                <w:rFonts w:ascii="黑体" w:hAnsi="黑体" w:cs="黑体" w:eastAsia="黑体" w:hint="default"/>
                <w:sz w:val="20"/>
                <w:szCs w:val="20"/>
              </w:rPr>
            </w:pPr>
            <w:r>
              <w:rPr>
                <w:rFonts w:ascii="Arial" w:hAnsi="Arial" w:cs="Arial" w:eastAsia="Arial" w:hint="default"/>
                <w:b/>
                <w:bCs/>
                <w:sz w:val="20"/>
                <w:szCs w:val="20"/>
              </w:rPr>
              <w:t>2008</w:t>
            </w:r>
            <w:r>
              <w:rPr>
                <w:rFonts w:ascii="黑体" w:hAnsi="黑体" w:cs="黑体" w:eastAsia="黑体" w:hint="default"/>
                <w:b/>
                <w:bCs/>
                <w:sz w:val="20"/>
                <w:szCs w:val="20"/>
              </w:rPr>
              <w:t>年</w:t>
            </w:r>
            <w:r>
              <w:rPr>
                <w:rFonts w:ascii="黑体" w:hAnsi="黑体" w:cs="黑体" w:eastAsia="黑体" w:hint="default"/>
                <w:sz w:val="20"/>
                <w:szCs w:val="20"/>
              </w:rPr>
            </w:r>
          </w:p>
          <w:p>
            <w:pPr>
              <w:pStyle w:val="TableParagraph"/>
              <w:spacing w:line="240" w:lineRule="auto" w:before="9"/>
              <w:ind w:right="0"/>
              <w:jc w:val="left"/>
              <w:rPr>
                <w:rFonts w:ascii="黑体" w:hAnsi="黑体" w:cs="黑体" w:eastAsia="黑体" w:hint="default"/>
                <w:sz w:val="19"/>
                <w:szCs w:val="19"/>
              </w:rPr>
            </w:pPr>
          </w:p>
          <w:p>
            <w:pPr>
              <w:pStyle w:val="TableParagraph"/>
              <w:spacing w:line="240" w:lineRule="auto"/>
              <w:ind w:left="350" w:right="0"/>
              <w:jc w:val="left"/>
              <w:rPr>
                <w:rFonts w:ascii="Arial" w:hAnsi="Arial" w:cs="Arial" w:eastAsia="Arial" w:hint="default"/>
                <w:sz w:val="20"/>
                <w:szCs w:val="20"/>
              </w:rPr>
            </w:pPr>
            <w:r>
              <w:rPr>
                <w:rFonts w:ascii="Arial"/>
                <w:sz w:val="20"/>
              </w:rPr>
              <w:t>1,725,632,957</w:t>
            </w:r>
          </w:p>
        </w:tc>
      </w:tr>
      <w:tr>
        <w:trPr>
          <w:trHeight w:val="374" w:hRule="exact"/>
        </w:trPr>
        <w:tc>
          <w:tcPr>
            <w:tcW w:w="348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55" w:right="0"/>
              <w:jc w:val="left"/>
              <w:rPr>
                <w:rFonts w:ascii="黑体" w:hAnsi="黑体" w:cs="黑体" w:eastAsia="黑体" w:hint="default"/>
                <w:sz w:val="20"/>
                <w:szCs w:val="20"/>
              </w:rPr>
            </w:pPr>
            <w:r>
              <w:rPr>
                <w:rFonts w:ascii="黑体" w:hAnsi="黑体" w:cs="黑体" w:eastAsia="黑体" w:hint="default"/>
                <w:sz w:val="20"/>
                <w:szCs w:val="20"/>
              </w:rPr>
              <w:t>减：营业成本</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522"/>
              <w:jc w:val="right"/>
              <w:rPr>
                <w:rFonts w:ascii="Arial" w:hAnsi="Arial" w:cs="Arial" w:eastAsia="Arial" w:hint="default"/>
                <w:sz w:val="20"/>
                <w:szCs w:val="20"/>
              </w:rPr>
            </w:pPr>
            <w:r>
              <w:rPr>
                <w:rFonts w:ascii="Arial"/>
                <w:sz w:val="20"/>
              </w:rPr>
              <w:t>32</w:t>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48"/>
              <w:jc w:val="right"/>
              <w:rPr>
                <w:rFonts w:ascii="Arial" w:hAnsi="Arial" w:cs="Arial" w:eastAsia="Arial" w:hint="default"/>
                <w:sz w:val="20"/>
                <w:szCs w:val="20"/>
              </w:rPr>
            </w:pPr>
            <w:r>
              <w:rPr>
                <w:rFonts w:ascii="Arial"/>
                <w:spacing w:val="-1"/>
                <w:sz w:val="20"/>
              </w:rPr>
              <w:t>391,167,536</w:t>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28"/>
              <w:jc w:val="right"/>
              <w:rPr>
                <w:rFonts w:ascii="Arial" w:hAnsi="Arial" w:cs="Arial" w:eastAsia="Arial" w:hint="default"/>
                <w:sz w:val="20"/>
                <w:szCs w:val="20"/>
              </w:rPr>
            </w:pPr>
            <w:r>
              <w:rPr>
                <w:rFonts w:ascii="Arial"/>
                <w:spacing w:val="-1"/>
                <w:sz w:val="20"/>
              </w:rPr>
              <w:t>212,324,120</w:t>
            </w:r>
          </w:p>
        </w:tc>
      </w:tr>
      <w:tr>
        <w:trPr>
          <w:trHeight w:val="260" w:hRule="exact"/>
        </w:trPr>
        <w:tc>
          <w:tcPr>
            <w:tcW w:w="3480" w:type="dxa"/>
            <w:tcBorders>
              <w:top w:val="nil" w:sz="6" w:space="0" w:color="auto"/>
              <w:left w:val="nil" w:sz="6" w:space="0" w:color="auto"/>
              <w:bottom w:val="nil" w:sz="6" w:space="0" w:color="auto"/>
              <w:right w:val="nil" w:sz="6" w:space="0" w:color="auto"/>
            </w:tcBorders>
          </w:tcPr>
          <w:p>
            <w:pPr>
              <w:pStyle w:val="TableParagraph"/>
              <w:spacing w:line="227" w:lineRule="exact"/>
              <w:ind w:left="847" w:right="0"/>
              <w:jc w:val="left"/>
              <w:rPr>
                <w:rFonts w:ascii="黑体" w:hAnsi="黑体" w:cs="黑体" w:eastAsia="黑体" w:hint="default"/>
                <w:sz w:val="20"/>
                <w:szCs w:val="20"/>
              </w:rPr>
            </w:pPr>
            <w:r>
              <w:rPr>
                <w:rFonts w:ascii="黑体" w:hAnsi="黑体" w:cs="黑体" w:eastAsia="黑体" w:hint="default"/>
                <w:sz w:val="20"/>
                <w:szCs w:val="20"/>
              </w:rPr>
              <w:t>营业税金及附加</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22"/>
              <w:jc w:val="right"/>
              <w:rPr>
                <w:rFonts w:ascii="Arial" w:hAnsi="Arial" w:cs="Arial" w:eastAsia="Arial" w:hint="default"/>
                <w:sz w:val="20"/>
                <w:szCs w:val="20"/>
              </w:rPr>
            </w:pPr>
            <w:r>
              <w:rPr>
                <w:rFonts w:ascii="Arial"/>
                <w:sz w:val="20"/>
              </w:rPr>
              <w:t>33</w:t>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9"/>
              <w:jc w:val="right"/>
              <w:rPr>
                <w:rFonts w:ascii="Arial" w:hAnsi="Arial" w:cs="Arial" w:eastAsia="Arial" w:hint="default"/>
                <w:sz w:val="20"/>
                <w:szCs w:val="20"/>
              </w:rPr>
            </w:pPr>
            <w:r>
              <w:rPr>
                <w:rFonts w:ascii="Arial"/>
                <w:spacing w:val="-1"/>
                <w:sz w:val="20"/>
              </w:rPr>
              <w:t>63,249,718</w:t>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9"/>
              <w:jc w:val="right"/>
              <w:rPr>
                <w:rFonts w:ascii="Arial" w:hAnsi="Arial" w:cs="Arial" w:eastAsia="Arial" w:hint="default"/>
                <w:sz w:val="20"/>
                <w:szCs w:val="20"/>
              </w:rPr>
            </w:pPr>
            <w:r>
              <w:rPr>
                <w:rFonts w:ascii="Arial"/>
                <w:spacing w:val="-1"/>
                <w:sz w:val="20"/>
              </w:rPr>
              <w:t>48,024,159</w:t>
            </w:r>
          </w:p>
        </w:tc>
      </w:tr>
      <w:tr>
        <w:trPr>
          <w:trHeight w:val="259" w:hRule="exact"/>
        </w:trPr>
        <w:tc>
          <w:tcPr>
            <w:tcW w:w="3480" w:type="dxa"/>
            <w:tcBorders>
              <w:top w:val="nil" w:sz="6" w:space="0" w:color="auto"/>
              <w:left w:val="nil" w:sz="6" w:space="0" w:color="auto"/>
              <w:bottom w:val="nil" w:sz="6" w:space="0" w:color="auto"/>
              <w:right w:val="nil" w:sz="6" w:space="0" w:color="auto"/>
            </w:tcBorders>
          </w:tcPr>
          <w:p>
            <w:pPr>
              <w:pStyle w:val="TableParagraph"/>
              <w:spacing w:line="226" w:lineRule="exact"/>
              <w:ind w:left="847" w:right="0"/>
              <w:jc w:val="left"/>
              <w:rPr>
                <w:rFonts w:ascii="黑体" w:hAnsi="黑体" w:cs="黑体" w:eastAsia="黑体" w:hint="default"/>
                <w:sz w:val="20"/>
                <w:szCs w:val="20"/>
              </w:rPr>
            </w:pPr>
            <w:r>
              <w:rPr>
                <w:rFonts w:ascii="黑体" w:hAnsi="黑体" w:cs="黑体" w:eastAsia="黑体" w:hint="default"/>
                <w:sz w:val="20"/>
                <w:szCs w:val="20"/>
              </w:rPr>
              <w:t>销售费用</w:t>
            </w:r>
          </w:p>
        </w:tc>
        <w:tc>
          <w:tcPr>
            <w:tcW w:w="1373" w:type="dxa"/>
            <w:tcBorders>
              <w:top w:val="nil" w:sz="6" w:space="0" w:color="auto"/>
              <w:left w:val="nil" w:sz="6" w:space="0" w:color="auto"/>
              <w:bottom w:val="nil" w:sz="6" w:space="0" w:color="auto"/>
              <w:right w:val="nil" w:sz="6" w:space="0" w:color="auto"/>
            </w:tcBorders>
          </w:tcPr>
          <w:p>
            <w:pP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8"/>
              <w:ind w:left="424" w:right="0"/>
              <w:jc w:val="left"/>
              <w:rPr>
                <w:rFonts w:ascii="Arial" w:hAnsi="Arial" w:cs="Arial" w:eastAsia="Arial" w:hint="default"/>
                <w:sz w:val="20"/>
                <w:szCs w:val="20"/>
              </w:rPr>
            </w:pPr>
            <w:r>
              <w:rPr>
                <w:rFonts w:ascii="Arial"/>
                <w:sz w:val="20"/>
              </w:rPr>
              <w:t>1,049,722,269</w:t>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8"/>
              <w:jc w:val="right"/>
              <w:rPr>
                <w:rFonts w:ascii="Arial" w:hAnsi="Arial" w:cs="Arial" w:eastAsia="Arial" w:hint="default"/>
                <w:sz w:val="20"/>
                <w:szCs w:val="20"/>
              </w:rPr>
            </w:pPr>
            <w:r>
              <w:rPr>
                <w:rFonts w:ascii="Arial"/>
                <w:spacing w:val="-1"/>
                <w:sz w:val="20"/>
              </w:rPr>
              <w:t>778,892,912</w:t>
            </w:r>
          </w:p>
        </w:tc>
      </w:tr>
      <w:tr>
        <w:trPr>
          <w:trHeight w:val="259" w:hRule="exact"/>
        </w:trPr>
        <w:tc>
          <w:tcPr>
            <w:tcW w:w="3480" w:type="dxa"/>
            <w:tcBorders>
              <w:top w:val="nil" w:sz="6" w:space="0" w:color="auto"/>
              <w:left w:val="nil" w:sz="6" w:space="0" w:color="auto"/>
              <w:bottom w:val="nil" w:sz="6" w:space="0" w:color="auto"/>
              <w:right w:val="nil" w:sz="6" w:space="0" w:color="auto"/>
            </w:tcBorders>
          </w:tcPr>
          <w:p>
            <w:pPr>
              <w:pStyle w:val="TableParagraph"/>
              <w:spacing w:line="226" w:lineRule="exact"/>
              <w:ind w:left="847" w:right="0"/>
              <w:jc w:val="left"/>
              <w:rPr>
                <w:rFonts w:ascii="黑体" w:hAnsi="黑体" w:cs="黑体" w:eastAsia="黑体" w:hint="default"/>
                <w:sz w:val="20"/>
                <w:szCs w:val="20"/>
              </w:rPr>
            </w:pPr>
            <w:r>
              <w:rPr>
                <w:rFonts w:ascii="黑体" w:hAnsi="黑体" w:cs="黑体" w:eastAsia="黑体" w:hint="default"/>
                <w:sz w:val="20"/>
                <w:szCs w:val="20"/>
              </w:rPr>
              <w:t>管理费用</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22"/>
              <w:jc w:val="right"/>
              <w:rPr>
                <w:rFonts w:ascii="Arial" w:hAnsi="Arial" w:cs="Arial" w:eastAsia="Arial" w:hint="default"/>
                <w:sz w:val="20"/>
                <w:szCs w:val="20"/>
              </w:rPr>
            </w:pPr>
            <w:r>
              <w:rPr>
                <w:rFonts w:ascii="Arial"/>
                <w:sz w:val="20"/>
              </w:rPr>
              <w:t>34</w:t>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8"/>
              <w:jc w:val="right"/>
              <w:rPr>
                <w:rFonts w:ascii="Arial" w:hAnsi="Arial" w:cs="Arial" w:eastAsia="Arial" w:hint="default"/>
                <w:sz w:val="20"/>
                <w:szCs w:val="20"/>
              </w:rPr>
            </w:pPr>
            <w:r>
              <w:rPr>
                <w:rFonts w:ascii="Arial"/>
                <w:spacing w:val="-1"/>
                <w:sz w:val="20"/>
              </w:rPr>
              <w:t>658,377,849</w:t>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8"/>
              <w:jc w:val="right"/>
              <w:rPr>
                <w:rFonts w:ascii="Arial" w:hAnsi="Arial" w:cs="Arial" w:eastAsia="Arial" w:hint="default"/>
                <w:sz w:val="20"/>
                <w:szCs w:val="20"/>
              </w:rPr>
            </w:pPr>
            <w:r>
              <w:rPr>
                <w:rFonts w:ascii="Arial"/>
                <w:spacing w:val="-1"/>
                <w:sz w:val="20"/>
              </w:rPr>
              <w:t>565,651,056</w:t>
            </w:r>
          </w:p>
        </w:tc>
      </w:tr>
      <w:tr>
        <w:trPr>
          <w:trHeight w:val="259" w:hRule="exact"/>
        </w:trPr>
        <w:tc>
          <w:tcPr>
            <w:tcW w:w="3480" w:type="dxa"/>
            <w:tcBorders>
              <w:top w:val="nil" w:sz="6" w:space="0" w:color="auto"/>
              <w:left w:val="nil" w:sz="6" w:space="0" w:color="auto"/>
              <w:bottom w:val="nil" w:sz="6" w:space="0" w:color="auto"/>
              <w:right w:val="nil" w:sz="6" w:space="0" w:color="auto"/>
            </w:tcBorders>
          </w:tcPr>
          <w:p>
            <w:pPr>
              <w:pStyle w:val="TableParagraph"/>
              <w:spacing w:line="226" w:lineRule="exact"/>
              <w:ind w:left="848" w:right="0"/>
              <w:jc w:val="left"/>
              <w:rPr>
                <w:rFonts w:ascii="黑体" w:hAnsi="黑体" w:cs="黑体" w:eastAsia="黑体" w:hint="default"/>
                <w:sz w:val="20"/>
                <w:szCs w:val="20"/>
              </w:rPr>
            </w:pPr>
            <w:r>
              <w:rPr>
                <w:rFonts w:ascii="黑体" w:hAnsi="黑体" w:cs="黑体" w:eastAsia="黑体" w:hint="default"/>
                <w:sz w:val="20"/>
                <w:szCs w:val="20"/>
              </w:rPr>
              <w:t>财务费用</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22"/>
              <w:jc w:val="right"/>
              <w:rPr>
                <w:rFonts w:ascii="Arial" w:hAnsi="Arial" w:cs="Arial" w:eastAsia="Arial" w:hint="default"/>
                <w:sz w:val="20"/>
                <w:szCs w:val="20"/>
              </w:rPr>
            </w:pPr>
            <w:r>
              <w:rPr>
                <w:rFonts w:ascii="Arial"/>
                <w:sz w:val="20"/>
              </w:rPr>
              <w:t>35</w:t>
            </w:r>
          </w:p>
        </w:tc>
        <w:tc>
          <w:tcPr>
            <w:tcW w:w="2055" w:type="dxa"/>
            <w:tcBorders>
              <w:top w:val="nil" w:sz="6" w:space="0" w:color="auto"/>
              <w:left w:val="nil" w:sz="6" w:space="0" w:color="auto"/>
              <w:bottom w:val="nil" w:sz="6" w:space="0" w:color="auto"/>
              <w:right w:val="nil" w:sz="6" w:space="0" w:color="auto"/>
            </w:tcBorders>
          </w:tcPr>
          <w:p>
            <w:pPr>
              <w:pStyle w:val="TableParagraph"/>
              <w:tabs>
                <w:tab w:pos="365" w:val="left" w:leader="none"/>
              </w:tabs>
              <w:spacing w:line="240" w:lineRule="auto" w:before="8"/>
              <w:ind w:right="260"/>
              <w:jc w:val="right"/>
              <w:rPr>
                <w:rFonts w:ascii="Arial" w:hAnsi="Arial" w:cs="Arial" w:eastAsia="Arial" w:hint="default"/>
                <w:sz w:val="20"/>
                <w:szCs w:val="20"/>
              </w:rPr>
            </w:pPr>
            <w:r>
              <w:rPr>
                <w:rFonts w:ascii="Arial"/>
                <w:sz w:val="20"/>
              </w:rPr>
              <w:t>(</w:t>
              <w:tab/>
              <w:t>10,865,603</w:t>
            </w:r>
            <w:r>
              <w:rPr>
                <w:rFonts w:ascii="Arial"/>
                <w:spacing w:val="-35"/>
                <w:sz w:val="20"/>
              </w:rPr>
              <w:t> </w:t>
            </w:r>
            <w:r>
              <w:rPr>
                <w:rFonts w:ascii="Arial"/>
                <w:sz w:val="20"/>
              </w:rPr>
              <w:t>)</w:t>
            </w:r>
          </w:p>
        </w:tc>
        <w:tc>
          <w:tcPr>
            <w:tcW w:w="1761" w:type="dxa"/>
            <w:tcBorders>
              <w:top w:val="nil" w:sz="6" w:space="0" w:color="auto"/>
              <w:left w:val="nil" w:sz="6" w:space="0" w:color="auto"/>
              <w:bottom w:val="nil" w:sz="6" w:space="0" w:color="auto"/>
              <w:right w:val="nil" w:sz="6" w:space="0" w:color="auto"/>
            </w:tcBorders>
          </w:tcPr>
          <w:p>
            <w:pPr>
              <w:pStyle w:val="TableParagraph"/>
              <w:tabs>
                <w:tab w:pos="465" w:val="left" w:leader="none"/>
              </w:tabs>
              <w:spacing w:line="240" w:lineRule="auto" w:before="8"/>
              <w:ind w:right="33"/>
              <w:jc w:val="right"/>
              <w:rPr>
                <w:rFonts w:ascii="Arial" w:hAnsi="Arial" w:cs="Arial" w:eastAsia="Arial" w:hint="default"/>
                <w:sz w:val="20"/>
                <w:szCs w:val="20"/>
              </w:rPr>
            </w:pPr>
            <w:r>
              <w:rPr>
                <w:rFonts w:ascii="Arial"/>
                <w:sz w:val="20"/>
              </w:rPr>
              <w:t>(</w:t>
              <w:tab/>
              <w:t>8,284,954</w:t>
            </w:r>
            <w:r>
              <w:rPr>
                <w:rFonts w:ascii="Arial"/>
                <w:spacing w:val="-26"/>
                <w:sz w:val="20"/>
              </w:rPr>
              <w:t> </w:t>
            </w:r>
            <w:r>
              <w:rPr>
                <w:rFonts w:ascii="Arial"/>
                <w:sz w:val="20"/>
              </w:rPr>
              <w:t>)</w:t>
            </w:r>
          </w:p>
        </w:tc>
      </w:tr>
      <w:tr>
        <w:trPr>
          <w:trHeight w:val="259" w:hRule="exact"/>
        </w:trPr>
        <w:tc>
          <w:tcPr>
            <w:tcW w:w="3480" w:type="dxa"/>
            <w:tcBorders>
              <w:top w:val="nil" w:sz="6" w:space="0" w:color="auto"/>
              <w:left w:val="nil" w:sz="6" w:space="0" w:color="auto"/>
              <w:bottom w:val="nil" w:sz="6" w:space="0" w:color="auto"/>
              <w:right w:val="nil" w:sz="6" w:space="0" w:color="auto"/>
            </w:tcBorders>
          </w:tcPr>
          <w:p>
            <w:pPr>
              <w:pStyle w:val="TableParagraph"/>
              <w:spacing w:line="226" w:lineRule="exact"/>
              <w:ind w:left="848" w:right="0"/>
              <w:jc w:val="left"/>
              <w:rPr>
                <w:rFonts w:ascii="黑体" w:hAnsi="黑体" w:cs="黑体" w:eastAsia="黑体" w:hint="default"/>
                <w:sz w:val="20"/>
                <w:szCs w:val="20"/>
              </w:rPr>
            </w:pPr>
            <w:r>
              <w:rPr>
                <w:rFonts w:ascii="黑体" w:hAnsi="黑体" w:cs="黑体" w:eastAsia="黑体" w:hint="default"/>
                <w:sz w:val="20"/>
                <w:szCs w:val="20"/>
              </w:rPr>
              <w:t>资产减值损失</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22"/>
              <w:jc w:val="right"/>
              <w:rPr>
                <w:rFonts w:ascii="Arial" w:hAnsi="Arial" w:cs="Arial" w:eastAsia="Arial" w:hint="default"/>
                <w:sz w:val="20"/>
                <w:szCs w:val="20"/>
              </w:rPr>
            </w:pPr>
            <w:r>
              <w:rPr>
                <w:rFonts w:ascii="Arial"/>
                <w:sz w:val="20"/>
              </w:rPr>
              <w:t>36</w:t>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9"/>
              <w:jc w:val="right"/>
              <w:rPr>
                <w:rFonts w:ascii="Arial" w:hAnsi="Arial" w:cs="Arial" w:eastAsia="Arial" w:hint="default"/>
                <w:sz w:val="20"/>
                <w:szCs w:val="20"/>
              </w:rPr>
            </w:pPr>
            <w:r>
              <w:rPr>
                <w:rFonts w:ascii="Arial"/>
                <w:spacing w:val="-1"/>
                <w:sz w:val="20"/>
              </w:rPr>
              <w:t>9,234,694</w:t>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8"/>
              <w:jc w:val="right"/>
              <w:rPr>
                <w:rFonts w:ascii="Arial" w:hAnsi="Arial" w:cs="Arial" w:eastAsia="Arial" w:hint="default"/>
                <w:sz w:val="20"/>
                <w:szCs w:val="20"/>
              </w:rPr>
            </w:pPr>
            <w:r>
              <w:rPr>
                <w:rFonts w:ascii="Arial"/>
                <w:spacing w:val="-1"/>
                <w:sz w:val="20"/>
              </w:rPr>
              <w:t>7,003,092</w:t>
            </w:r>
          </w:p>
        </w:tc>
      </w:tr>
      <w:tr>
        <w:trPr>
          <w:trHeight w:val="260" w:hRule="exact"/>
        </w:trPr>
        <w:tc>
          <w:tcPr>
            <w:tcW w:w="3480" w:type="dxa"/>
            <w:tcBorders>
              <w:top w:val="nil" w:sz="6" w:space="0" w:color="auto"/>
              <w:left w:val="nil" w:sz="6" w:space="0" w:color="auto"/>
              <w:bottom w:val="nil" w:sz="6" w:space="0" w:color="auto"/>
              <w:right w:val="nil" w:sz="6" w:space="0" w:color="auto"/>
            </w:tcBorders>
          </w:tcPr>
          <w:p>
            <w:pPr>
              <w:pStyle w:val="TableParagraph"/>
              <w:spacing w:line="240" w:lineRule="exact"/>
              <w:ind w:left="456" w:right="0"/>
              <w:jc w:val="left"/>
              <w:rPr>
                <w:rFonts w:ascii="Arial" w:hAnsi="Arial" w:cs="Arial" w:eastAsia="Arial" w:hint="default"/>
                <w:sz w:val="20"/>
                <w:szCs w:val="20"/>
              </w:rPr>
            </w:pPr>
            <w:r>
              <w:rPr>
                <w:rFonts w:ascii="黑体" w:hAnsi="黑体" w:cs="黑体" w:eastAsia="黑体" w:hint="default"/>
                <w:sz w:val="20"/>
                <w:szCs w:val="20"/>
              </w:rPr>
              <w:t>加：公允价值变动收益</w:t>
            </w:r>
            <w:r>
              <w:rPr>
                <w:rFonts w:ascii="Arial" w:hAnsi="Arial" w:cs="Arial" w:eastAsia="Arial" w:hint="default"/>
                <w:sz w:val="20"/>
                <w:szCs w:val="20"/>
              </w:rPr>
              <w:t>/(</w:t>
            </w:r>
            <w:r>
              <w:rPr>
                <w:rFonts w:ascii="黑体" w:hAnsi="黑体" w:cs="黑体" w:eastAsia="黑体" w:hint="default"/>
                <w:sz w:val="20"/>
                <w:szCs w:val="20"/>
              </w:rPr>
              <w:t>损失</w:t>
            </w:r>
            <w:r>
              <w:rPr>
                <w:rFonts w:ascii="Arial" w:hAnsi="Arial" w:cs="Arial" w:eastAsia="Arial" w:hint="default"/>
                <w:sz w:val="20"/>
                <w:szCs w:val="20"/>
              </w:rPr>
              <w:t>)</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21"/>
              <w:jc w:val="right"/>
              <w:rPr>
                <w:rFonts w:ascii="Arial" w:hAnsi="Arial" w:cs="Arial" w:eastAsia="Arial" w:hint="default"/>
                <w:sz w:val="20"/>
                <w:szCs w:val="20"/>
              </w:rPr>
            </w:pPr>
            <w:r>
              <w:rPr>
                <w:rFonts w:ascii="Arial"/>
                <w:sz w:val="20"/>
              </w:rPr>
              <w:t>37</w:t>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8"/>
              <w:jc w:val="right"/>
              <w:rPr>
                <w:rFonts w:ascii="Arial" w:hAnsi="Arial" w:cs="Arial" w:eastAsia="Arial" w:hint="default"/>
                <w:sz w:val="20"/>
                <w:szCs w:val="20"/>
              </w:rPr>
            </w:pPr>
            <w:r>
              <w:rPr>
                <w:rFonts w:ascii="Arial"/>
                <w:spacing w:val="-1"/>
                <w:sz w:val="20"/>
              </w:rPr>
              <w:t>49,129,953</w:t>
            </w:r>
          </w:p>
        </w:tc>
        <w:tc>
          <w:tcPr>
            <w:tcW w:w="1761" w:type="dxa"/>
            <w:tcBorders>
              <w:top w:val="nil" w:sz="6" w:space="0" w:color="auto"/>
              <w:left w:val="nil" w:sz="6" w:space="0" w:color="auto"/>
              <w:bottom w:val="nil" w:sz="6" w:space="0" w:color="auto"/>
              <w:right w:val="nil" w:sz="6" w:space="0" w:color="auto"/>
            </w:tcBorders>
          </w:tcPr>
          <w:p>
            <w:pPr>
              <w:pStyle w:val="TableParagraph"/>
              <w:tabs>
                <w:tab w:pos="365" w:val="left" w:leader="none"/>
              </w:tabs>
              <w:spacing w:line="240" w:lineRule="auto" w:before="8"/>
              <w:ind w:right="33"/>
              <w:jc w:val="right"/>
              <w:rPr>
                <w:rFonts w:ascii="Arial" w:hAnsi="Arial" w:cs="Arial" w:eastAsia="Arial" w:hint="default"/>
                <w:sz w:val="20"/>
                <w:szCs w:val="20"/>
              </w:rPr>
            </w:pPr>
            <w:r>
              <w:rPr>
                <w:rFonts w:ascii="Arial"/>
                <w:sz w:val="20"/>
              </w:rPr>
              <w:t>(</w:t>
              <w:tab/>
              <w:t>76,497,547</w:t>
            </w:r>
            <w:r>
              <w:rPr>
                <w:rFonts w:ascii="Arial"/>
                <w:spacing w:val="-27"/>
                <w:sz w:val="20"/>
              </w:rPr>
              <w:t> </w:t>
            </w:r>
            <w:r>
              <w:rPr>
                <w:rFonts w:ascii="Arial"/>
                <w:sz w:val="20"/>
              </w:rPr>
              <w:t>)</w:t>
            </w:r>
          </w:p>
        </w:tc>
      </w:tr>
      <w:tr>
        <w:trPr>
          <w:trHeight w:val="245" w:hRule="exact"/>
        </w:trPr>
        <w:tc>
          <w:tcPr>
            <w:tcW w:w="3480" w:type="dxa"/>
            <w:tcBorders>
              <w:top w:val="nil" w:sz="6" w:space="0" w:color="auto"/>
              <w:left w:val="nil" w:sz="6" w:space="0" w:color="auto"/>
              <w:bottom w:val="nil" w:sz="6" w:space="0" w:color="auto"/>
              <w:right w:val="nil" w:sz="6" w:space="0" w:color="auto"/>
            </w:tcBorders>
          </w:tcPr>
          <w:p>
            <w:pPr>
              <w:pStyle w:val="TableParagraph"/>
              <w:spacing w:line="225" w:lineRule="exact"/>
              <w:ind w:left="848" w:right="0"/>
              <w:jc w:val="left"/>
              <w:rPr>
                <w:rFonts w:ascii="黑体" w:hAnsi="黑体" w:cs="黑体" w:eastAsia="黑体" w:hint="default"/>
                <w:sz w:val="20"/>
                <w:szCs w:val="20"/>
              </w:rPr>
            </w:pPr>
            <w:r>
              <w:rPr>
                <w:rFonts w:ascii="黑体" w:hAnsi="黑体" w:cs="黑体" w:eastAsia="黑体" w:hint="default"/>
                <w:sz w:val="20"/>
                <w:szCs w:val="20"/>
              </w:rPr>
              <w:t>投资收益</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521"/>
              <w:jc w:val="right"/>
              <w:rPr>
                <w:rFonts w:ascii="Arial" w:hAnsi="Arial" w:cs="Arial" w:eastAsia="Arial" w:hint="default"/>
                <w:sz w:val="20"/>
                <w:szCs w:val="20"/>
              </w:rPr>
            </w:pPr>
            <w:r>
              <w:rPr>
                <w:rFonts w:ascii="Arial"/>
                <w:sz w:val="20"/>
              </w:rPr>
              <w:t>38</w:t>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47"/>
              <w:jc w:val="right"/>
              <w:rPr>
                <w:rFonts w:ascii="Arial" w:hAnsi="Arial" w:cs="Arial" w:eastAsia="Arial" w:hint="default"/>
                <w:sz w:val="20"/>
                <w:szCs w:val="20"/>
              </w:rPr>
            </w:pPr>
            <w:r>
              <w:rPr>
                <w:rFonts w:ascii="Arial"/>
                <w:spacing w:val="-1"/>
                <w:sz w:val="20"/>
              </w:rPr>
              <w:t>243,978,920</w:t>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27"/>
              <w:jc w:val="right"/>
              <w:rPr>
                <w:rFonts w:ascii="Arial" w:hAnsi="Arial" w:cs="Arial" w:eastAsia="Arial" w:hint="default"/>
                <w:sz w:val="20"/>
                <w:szCs w:val="20"/>
              </w:rPr>
            </w:pPr>
            <w:r>
              <w:rPr>
                <w:rFonts w:ascii="Arial"/>
                <w:spacing w:val="-1"/>
                <w:sz w:val="20"/>
              </w:rPr>
              <w:t>200,353,687</w:t>
            </w:r>
          </w:p>
        </w:tc>
      </w:tr>
    </w:tbl>
    <w:p>
      <w:pPr>
        <w:pStyle w:val="BodyText"/>
        <w:spacing w:line="239" w:lineRule="exact"/>
        <w:ind w:left="563" w:right="0"/>
        <w:jc w:val="left"/>
      </w:pPr>
      <w:r>
        <w:rPr/>
        <w:t>其中：对联营企业和合营企业</w:t>
      </w:r>
    </w:p>
    <w:p>
      <w:pPr>
        <w:pStyle w:val="BodyText"/>
        <w:tabs>
          <w:tab w:pos="5373" w:val="left" w:leader="none"/>
          <w:tab w:pos="5773" w:val="left" w:leader="none"/>
          <w:tab w:pos="7354" w:val="left" w:leader="none"/>
          <w:tab w:pos="7753" w:val="left" w:leader="none"/>
        </w:tabs>
        <w:spacing w:line="275" w:lineRule="exact"/>
        <w:ind w:left="1276" w:right="0"/>
        <w:jc w:val="left"/>
        <w:rPr>
          <w:rFonts w:ascii="Arial" w:hAnsi="Arial" w:cs="Arial" w:eastAsia="Arial" w:hint="default"/>
        </w:rPr>
      </w:pPr>
      <w:r>
        <w:rPr>
          <w:spacing w:val="-1"/>
        </w:rPr>
        <w:t>的投资收益</w:t>
        <w:tab/>
      </w:r>
      <w:r>
        <w:rPr>
          <w:rFonts w:ascii="Arial" w:hAnsi="Arial" w:cs="Arial" w:eastAsia="Arial" w:hint="default"/>
          <w:spacing w:val="-1"/>
        </w:rPr>
      </w:r>
      <w:r>
        <w:rPr>
          <w:rFonts w:ascii="Arial" w:hAnsi="Arial" w:cs="Arial" w:eastAsia="Arial" w:hint="default"/>
          <w:spacing w:val="-1"/>
          <w:u w:val="single" w:color="000000"/>
        </w:rPr>
        <w:t> </w:t>
        <w:tab/>
      </w:r>
      <w:r>
        <w:rPr>
          <w:rFonts w:ascii="Arial" w:hAnsi="Arial" w:cs="Arial" w:eastAsia="Arial" w:hint="default"/>
          <w:u w:val="single" w:color="000000"/>
        </w:rPr>
        <w:t>6,950,828</w:t>
      </w:r>
      <w:r>
        <w:rPr>
          <w:rFonts w:ascii="Arial" w:hAnsi="Arial" w:cs="Arial" w:eastAsia="Arial" w:hint="default"/>
        </w:rPr>
        <w:tab/>
      </w:r>
      <w:r>
        <w:rPr>
          <w:rFonts w:ascii="Arial" w:hAnsi="Arial" w:cs="Arial" w:eastAsia="Arial" w:hint="default"/>
          <w:u w:val="single" w:color="000000"/>
        </w:rPr>
        <w:t> </w:t>
        <w:tab/>
        <w:t>3,625,057</w:t>
      </w:r>
      <w:r>
        <w:rPr>
          <w:rFonts w:ascii="Arial" w:hAnsi="Arial" w:cs="Arial" w:eastAsia="Arial" w:hint="default"/>
        </w:rPr>
      </w:r>
    </w:p>
    <w:p>
      <w:pPr>
        <w:spacing w:line="240" w:lineRule="auto" w:before="0"/>
        <w:rPr>
          <w:rFonts w:ascii="Arial" w:hAnsi="Arial" w:cs="Arial" w:eastAsia="Arial" w:hint="default"/>
          <w:sz w:val="20"/>
          <w:szCs w:val="20"/>
        </w:rPr>
      </w:pPr>
    </w:p>
    <w:p>
      <w:pPr>
        <w:spacing w:line="240" w:lineRule="auto" w:before="7"/>
        <w:rPr>
          <w:rFonts w:ascii="Arial" w:hAnsi="Arial" w:cs="Arial" w:eastAsia="Arial" w:hint="default"/>
          <w:sz w:val="18"/>
          <w:szCs w:val="18"/>
        </w:rPr>
      </w:pPr>
    </w:p>
    <w:p>
      <w:pPr>
        <w:pStyle w:val="BodyText"/>
        <w:tabs>
          <w:tab w:pos="5551" w:val="left" w:leader="none"/>
          <w:tab w:pos="7532" w:val="left" w:leader="none"/>
        </w:tabs>
        <w:spacing w:line="240" w:lineRule="auto"/>
        <w:ind w:left="141" w:right="0"/>
        <w:jc w:val="left"/>
        <w:rPr>
          <w:rFonts w:ascii="Arial" w:hAnsi="Arial" w:cs="Arial" w:eastAsia="Arial" w:hint="default"/>
        </w:rPr>
      </w:pPr>
      <w:r>
        <w:rPr>
          <w:spacing w:val="-1"/>
        </w:rPr>
        <w:t>二、营业利润</w:t>
        <w:tab/>
      </w:r>
      <w:r>
        <w:rPr>
          <w:rFonts w:ascii="Arial" w:hAnsi="Arial" w:cs="Arial" w:eastAsia="Arial" w:hint="default"/>
          <w:spacing w:val="-1"/>
        </w:rPr>
        <w:t>479,228,124</w:t>
        <w:tab/>
        <w:t>245,878,712</w:t>
      </w:r>
    </w:p>
    <w:p>
      <w:pPr>
        <w:spacing w:line="240" w:lineRule="auto" w:before="2"/>
        <w:rPr>
          <w:rFonts w:ascii="Arial" w:hAnsi="Arial" w:cs="Arial" w:eastAsia="Arial" w:hint="default"/>
          <w:sz w:val="15"/>
          <w:szCs w:val="15"/>
        </w:rPr>
      </w:pPr>
    </w:p>
    <w:tbl>
      <w:tblPr>
        <w:tblW w:w="0" w:type="auto"/>
        <w:jc w:val="left"/>
        <w:tblInd w:w="526" w:type="dxa"/>
        <w:tblLayout w:type="fixed"/>
        <w:tblCellMar>
          <w:top w:w="0" w:type="dxa"/>
          <w:left w:w="0" w:type="dxa"/>
          <w:bottom w:w="0" w:type="dxa"/>
          <w:right w:w="0" w:type="dxa"/>
        </w:tblCellMar>
        <w:tblLook w:val="01E0"/>
      </w:tblPr>
      <w:tblGrid>
        <w:gridCol w:w="3061"/>
        <w:gridCol w:w="1317"/>
        <w:gridCol w:w="2105"/>
        <w:gridCol w:w="1671"/>
      </w:tblGrid>
      <w:tr>
        <w:trPr>
          <w:trHeight w:val="333" w:hRule="exact"/>
        </w:trPr>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sz w:val="20"/>
                <w:szCs w:val="20"/>
              </w:rPr>
              <w:t>加：营业外收入</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67"/>
              <w:jc w:val="right"/>
              <w:rPr>
                <w:rFonts w:ascii="Arial" w:hAnsi="Arial" w:cs="Arial" w:eastAsia="Arial" w:hint="default"/>
                <w:sz w:val="20"/>
                <w:szCs w:val="20"/>
              </w:rPr>
            </w:pPr>
            <w:r>
              <w:rPr>
                <w:rFonts w:ascii="Arial"/>
                <w:sz w:val="20"/>
              </w:rPr>
              <w:t>39</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43"/>
              <w:jc w:val="right"/>
              <w:rPr>
                <w:rFonts w:ascii="Arial" w:hAnsi="Arial" w:cs="Arial" w:eastAsia="Arial" w:hint="default"/>
                <w:sz w:val="20"/>
                <w:szCs w:val="20"/>
              </w:rPr>
            </w:pPr>
            <w:r>
              <w:rPr>
                <w:rFonts w:ascii="Arial"/>
                <w:spacing w:val="-1"/>
                <w:sz w:val="20"/>
              </w:rPr>
              <w:t>201,792,598</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Arial" w:hAnsi="Arial" w:cs="Arial" w:eastAsia="Arial" w:hint="default"/>
                <w:sz w:val="20"/>
                <w:szCs w:val="20"/>
              </w:rPr>
            </w:pPr>
            <w:r>
              <w:rPr>
                <w:rFonts w:ascii="Arial"/>
                <w:spacing w:val="-1"/>
                <w:sz w:val="20"/>
              </w:rPr>
              <w:t>224,380,308</w:t>
            </w:r>
          </w:p>
        </w:tc>
      </w:tr>
      <w:tr>
        <w:trPr>
          <w:trHeight w:val="259" w:hRule="exact"/>
        </w:trPr>
        <w:tc>
          <w:tcPr>
            <w:tcW w:w="3061"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减：营业外支出</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67"/>
              <w:jc w:val="right"/>
              <w:rPr>
                <w:rFonts w:ascii="Arial" w:hAnsi="Arial" w:cs="Arial" w:eastAsia="Arial" w:hint="default"/>
                <w:sz w:val="20"/>
                <w:szCs w:val="20"/>
              </w:rPr>
            </w:pPr>
            <w:r>
              <w:rPr>
                <w:rFonts w:ascii="Arial"/>
                <w:sz w:val="20"/>
              </w:rPr>
              <w:t>40</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4"/>
              <w:jc w:val="right"/>
              <w:rPr>
                <w:rFonts w:ascii="Arial" w:hAnsi="Arial" w:cs="Arial" w:eastAsia="Arial" w:hint="default"/>
                <w:sz w:val="20"/>
                <w:szCs w:val="20"/>
              </w:rPr>
            </w:pPr>
            <w:r>
              <w:rPr>
                <w:rFonts w:ascii="Arial"/>
                <w:spacing w:val="-1"/>
                <w:sz w:val="20"/>
              </w:rPr>
              <w:t>6,776,280</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6,190,190</w:t>
            </w:r>
          </w:p>
        </w:tc>
      </w:tr>
      <w:tr>
        <w:trPr>
          <w:trHeight w:val="334" w:hRule="exact"/>
        </w:trPr>
        <w:tc>
          <w:tcPr>
            <w:tcW w:w="3061"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其中：非流动资产处置损失</w:t>
            </w:r>
          </w:p>
        </w:tc>
        <w:tc>
          <w:tcPr>
            <w:tcW w:w="1317" w:type="dxa"/>
            <w:tcBorders>
              <w:top w:val="nil" w:sz="6" w:space="0" w:color="auto"/>
              <w:left w:val="nil" w:sz="6" w:space="0" w:color="auto"/>
              <w:bottom w:val="nil" w:sz="6" w:space="0" w:color="auto"/>
              <w:right w:val="nil" w:sz="6" w:space="0" w:color="auto"/>
            </w:tcBorders>
          </w:tcPr>
          <w:p>
            <w:pPr/>
          </w:p>
        </w:tc>
        <w:tc>
          <w:tcPr>
            <w:tcW w:w="2105"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8"/>
              <w:ind w:right="34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1,481,922</w:t>
            </w:r>
            <w:r>
              <w:rPr>
                <w:rFonts w:ascii="Arial"/>
                <w:sz w:val="20"/>
              </w:rPr>
            </w:r>
          </w:p>
        </w:tc>
        <w:tc>
          <w:tcPr>
            <w:tcW w:w="1671"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2,345,070</w:t>
            </w:r>
            <w:r>
              <w:rPr>
                <w:rFonts w:ascii="Arial"/>
                <w:sz w:val="20"/>
              </w:rPr>
            </w:r>
          </w:p>
        </w:tc>
      </w:tr>
    </w:tbl>
    <w:p>
      <w:pPr>
        <w:spacing w:line="240" w:lineRule="auto" w:before="2"/>
        <w:rPr>
          <w:rFonts w:ascii="Arial" w:hAnsi="Arial" w:cs="Arial" w:eastAsia="Arial" w:hint="default"/>
          <w:sz w:val="27"/>
          <w:szCs w:val="27"/>
        </w:rPr>
      </w:pPr>
    </w:p>
    <w:p>
      <w:pPr>
        <w:pStyle w:val="BodyText"/>
        <w:tabs>
          <w:tab w:pos="5551" w:val="left" w:leader="none"/>
          <w:tab w:pos="7532" w:val="left" w:leader="none"/>
        </w:tabs>
        <w:spacing w:line="240" w:lineRule="auto" w:before="38"/>
        <w:ind w:left="141" w:right="0"/>
        <w:jc w:val="left"/>
        <w:rPr>
          <w:rFonts w:ascii="Arial" w:hAnsi="Arial" w:cs="Arial" w:eastAsia="Arial" w:hint="default"/>
        </w:rPr>
      </w:pPr>
      <w:r>
        <w:rPr>
          <w:spacing w:val="-1"/>
        </w:rPr>
        <w:t>三、利润总额</w:t>
        <w:tab/>
      </w:r>
      <w:r>
        <w:rPr>
          <w:rFonts w:ascii="Arial" w:hAnsi="Arial" w:cs="Arial" w:eastAsia="Arial" w:hint="default"/>
          <w:spacing w:val="-1"/>
        </w:rPr>
        <w:t>674,244,442</w:t>
        <w:tab/>
        <w:t>464,068,830</w:t>
      </w:r>
    </w:p>
    <w:p>
      <w:pPr>
        <w:spacing w:line="240" w:lineRule="auto" w:before="7"/>
        <w:rPr>
          <w:rFonts w:ascii="Arial" w:hAnsi="Arial" w:cs="Arial" w:eastAsia="Arial" w:hint="default"/>
          <w:sz w:val="18"/>
          <w:szCs w:val="18"/>
        </w:rPr>
      </w:pPr>
    </w:p>
    <w:p>
      <w:pPr>
        <w:pStyle w:val="BodyText"/>
        <w:tabs>
          <w:tab w:pos="4211" w:val="left" w:leader="none"/>
          <w:tab w:pos="5362" w:val="left" w:leader="none"/>
          <w:tab w:pos="5661" w:val="left" w:leader="none"/>
          <w:tab w:pos="7343" w:val="left" w:leader="none"/>
          <w:tab w:pos="7642" w:val="left" w:leader="none"/>
        </w:tabs>
        <w:spacing w:line="240" w:lineRule="auto"/>
        <w:ind w:left="561" w:right="0"/>
        <w:jc w:val="left"/>
        <w:rPr>
          <w:rFonts w:ascii="Arial" w:hAnsi="Arial" w:cs="Arial" w:eastAsia="Arial" w:hint="default"/>
        </w:rPr>
      </w:pPr>
      <w:r>
        <w:rPr>
          <w:spacing w:val="-1"/>
        </w:rPr>
        <w:t>减：所得税费用</w:t>
        <w:tab/>
      </w:r>
      <w:r>
        <w:rPr>
          <w:rFonts w:ascii="Arial" w:hAnsi="Arial" w:cs="Arial" w:eastAsia="Arial" w:hint="default"/>
        </w:rPr>
        <w:t>41</w:t>
        <w:tab/>
      </w:r>
      <w:r>
        <w:rPr>
          <w:rFonts w:ascii="Arial" w:hAnsi="Arial" w:cs="Arial" w:eastAsia="Arial" w:hint="default"/>
          <w:u w:val="single" w:color="000000"/>
        </w:rPr>
        <w:t> </w:t>
        <w:tab/>
      </w:r>
      <w:r>
        <w:rPr>
          <w:rFonts w:ascii="Arial" w:hAnsi="Arial" w:cs="Arial" w:eastAsia="Arial" w:hint="default"/>
          <w:spacing w:val="-1"/>
          <w:u w:val="single" w:color="000000"/>
        </w:rPr>
        <w:t>60,262,639</w:t>
      </w:r>
      <w:r>
        <w:rPr>
          <w:rFonts w:ascii="Arial" w:hAnsi="Arial" w:cs="Arial" w:eastAsia="Arial" w:hint="default"/>
          <w:spacing w:val="-1"/>
        </w:rPr>
        <w:tab/>
      </w:r>
      <w:r>
        <w:rPr>
          <w:rFonts w:ascii="Arial" w:hAnsi="Arial" w:cs="Arial" w:eastAsia="Arial" w:hint="default"/>
          <w:spacing w:val="-1"/>
          <w:u w:val="single" w:color="000000"/>
        </w:rPr>
        <w:t> </w:t>
        <w:tab/>
        <w:t>60,302,243</w:t>
      </w:r>
      <w:r>
        <w:rPr>
          <w:rFonts w:ascii="Arial" w:hAnsi="Arial" w:cs="Arial" w:eastAsia="Arial" w:hint="default"/>
          <w:spacing w:val="-1"/>
        </w:rPr>
      </w:r>
    </w:p>
    <w:p>
      <w:pPr>
        <w:spacing w:line="240" w:lineRule="auto" w:before="1"/>
        <w:rPr>
          <w:rFonts w:ascii="Arial" w:hAnsi="Arial" w:cs="Arial" w:eastAsia="Arial" w:hint="default"/>
          <w:sz w:val="15"/>
          <w:szCs w:val="15"/>
        </w:rPr>
      </w:pPr>
    </w:p>
    <w:tbl>
      <w:tblPr>
        <w:tblW w:w="0" w:type="auto"/>
        <w:jc w:val="left"/>
        <w:tblInd w:w="106" w:type="dxa"/>
        <w:tblLayout w:type="fixed"/>
        <w:tblCellMar>
          <w:top w:w="0" w:type="dxa"/>
          <w:left w:w="0" w:type="dxa"/>
          <w:bottom w:w="0" w:type="dxa"/>
          <w:right w:w="0" w:type="dxa"/>
        </w:tblCellMar>
        <w:tblLook w:val="01E0"/>
      </w:tblPr>
      <w:tblGrid>
        <w:gridCol w:w="3571"/>
        <w:gridCol w:w="1182"/>
        <w:gridCol w:w="2149"/>
        <w:gridCol w:w="1767"/>
      </w:tblGrid>
      <w:tr>
        <w:trPr>
          <w:trHeight w:val="449"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sz w:val="20"/>
                <w:szCs w:val="20"/>
              </w:rPr>
              <w:t>四、净利润</w:t>
            </w:r>
          </w:p>
        </w:tc>
        <w:tc>
          <w:tcPr>
            <w:tcW w:w="333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2"/>
              <w:ind w:left="1673"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24"/>
                <w:sz w:val="20"/>
                <w:u w:val="thick" w:color="000000"/>
              </w:rPr>
              <w:t> </w:t>
            </w:r>
            <w:r>
              <w:rPr>
                <w:rFonts w:ascii="Arial"/>
                <w:sz w:val="20"/>
                <w:u w:val="thick" w:color="000000"/>
              </w:rPr>
              <w:t>613,981,803</w:t>
            </w:r>
            <w:r>
              <w:rPr>
                <w:rFonts w:ascii="Arial"/>
                <w:sz w:val="20"/>
              </w:rPr>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93" w:right="0"/>
              <w:jc w:val="center"/>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24"/>
                <w:sz w:val="20"/>
                <w:u w:val="thick" w:color="000000"/>
              </w:rPr>
              <w:t> </w:t>
            </w:r>
            <w:r>
              <w:rPr>
                <w:rFonts w:ascii="Arial"/>
                <w:sz w:val="20"/>
                <w:u w:val="thick" w:color="000000"/>
              </w:rPr>
              <w:t>403,766,587</w:t>
            </w:r>
            <w:r>
              <w:rPr>
                <w:rFonts w:ascii="Arial"/>
                <w:sz w:val="20"/>
              </w:rPr>
            </w:r>
          </w:p>
        </w:tc>
      </w:tr>
      <w:tr>
        <w:trPr>
          <w:trHeight w:val="374"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61" w:right="0"/>
              <w:jc w:val="left"/>
              <w:rPr>
                <w:rFonts w:ascii="黑体" w:hAnsi="黑体" w:cs="黑体" w:eastAsia="黑体" w:hint="default"/>
                <w:sz w:val="20"/>
                <w:szCs w:val="20"/>
              </w:rPr>
            </w:pPr>
            <w:r>
              <w:rPr>
                <w:rFonts w:ascii="黑体" w:hAnsi="黑体" w:cs="黑体" w:eastAsia="黑体" w:hint="default"/>
                <w:sz w:val="20"/>
                <w:szCs w:val="20"/>
              </w:rPr>
              <w:t>归属于母公司股东的净利润</w:t>
            </w:r>
          </w:p>
        </w:tc>
        <w:tc>
          <w:tcPr>
            <w:tcW w:w="333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3"/>
              <w:ind w:left="1673"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23"/>
                <w:sz w:val="20"/>
                <w:u w:val="thick" w:color="000000"/>
              </w:rPr>
              <w:t> </w:t>
            </w:r>
            <w:r>
              <w:rPr>
                <w:rFonts w:ascii="Arial"/>
                <w:sz w:val="20"/>
                <w:u w:val="thick" w:color="000000"/>
              </w:rPr>
              <w:t>593,699,966</w:t>
            </w:r>
            <w:r>
              <w:rPr>
                <w:rFonts w:ascii="Arial"/>
                <w:sz w:val="20"/>
              </w:rPr>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193" w:right="0"/>
              <w:jc w:val="center"/>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24"/>
                <w:sz w:val="20"/>
                <w:u w:val="thick" w:color="000000"/>
              </w:rPr>
              <w:t> </w:t>
            </w:r>
            <w:r>
              <w:rPr>
                <w:rFonts w:ascii="Arial"/>
                <w:sz w:val="20"/>
                <w:u w:val="thick" w:color="000000"/>
              </w:rPr>
              <w:t>391,432,157</w:t>
            </w:r>
            <w:r>
              <w:rPr>
                <w:rFonts w:ascii="Arial"/>
                <w:sz w:val="20"/>
              </w:rPr>
            </w:r>
          </w:p>
        </w:tc>
      </w:tr>
      <w:tr>
        <w:trPr>
          <w:trHeight w:val="234"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26" w:lineRule="exact"/>
              <w:ind w:left="461" w:right="0"/>
              <w:jc w:val="left"/>
              <w:rPr>
                <w:rFonts w:ascii="黑体" w:hAnsi="黑体" w:cs="黑体" w:eastAsia="黑体" w:hint="default"/>
                <w:sz w:val="20"/>
                <w:szCs w:val="20"/>
              </w:rPr>
            </w:pPr>
            <w:r>
              <w:rPr>
                <w:rFonts w:ascii="黑体" w:hAnsi="黑体" w:cs="黑体" w:eastAsia="黑体" w:hint="default"/>
                <w:sz w:val="20"/>
                <w:szCs w:val="20"/>
              </w:rPr>
              <w:t>少数股东收益</w:t>
            </w:r>
          </w:p>
        </w:tc>
        <w:tc>
          <w:tcPr>
            <w:tcW w:w="3331" w:type="dxa"/>
            <w:gridSpan w:val="2"/>
            <w:tcBorders>
              <w:top w:val="nil" w:sz="6" w:space="0" w:color="auto"/>
              <w:left w:val="nil" w:sz="6" w:space="0" w:color="auto"/>
              <w:bottom w:val="nil" w:sz="6" w:space="0" w:color="auto"/>
              <w:right w:val="nil" w:sz="6" w:space="0" w:color="auto"/>
            </w:tcBorders>
          </w:tcPr>
          <w:p>
            <w:pPr>
              <w:pStyle w:val="TableParagraph"/>
              <w:tabs>
                <w:tab w:pos="1984" w:val="left" w:leader="none"/>
              </w:tabs>
              <w:spacing w:line="240" w:lineRule="auto" w:before="8"/>
              <w:ind w:left="1685"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20,281,837</w:t>
            </w:r>
            <w:r>
              <w:rPr>
                <w:rFonts w:ascii="Arial"/>
                <w:sz w:val="20"/>
              </w:rPr>
            </w:r>
          </w:p>
        </w:tc>
        <w:tc>
          <w:tcPr>
            <w:tcW w:w="1767" w:type="dxa"/>
            <w:tcBorders>
              <w:top w:val="nil" w:sz="6" w:space="0" w:color="auto"/>
              <w:left w:val="nil" w:sz="6" w:space="0" w:color="auto"/>
              <w:bottom w:val="nil" w:sz="6" w:space="0" w:color="auto"/>
              <w:right w:val="nil" w:sz="6" w:space="0" w:color="auto"/>
            </w:tcBorders>
          </w:tcPr>
          <w:p>
            <w:pPr>
              <w:pStyle w:val="TableParagraph"/>
              <w:tabs>
                <w:tab w:pos="503" w:val="left" w:leader="none"/>
              </w:tabs>
              <w:spacing w:line="240" w:lineRule="auto" w:before="8"/>
              <w:ind w:left="205" w:right="0"/>
              <w:jc w:val="center"/>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12,334,430</w:t>
            </w:r>
            <w:r>
              <w:rPr>
                <w:rFonts w:ascii="Arial"/>
                <w:sz w:val="20"/>
              </w:rPr>
            </w:r>
          </w:p>
        </w:tc>
      </w:tr>
      <w:tr>
        <w:trPr>
          <w:trHeight w:val="627"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Arial" w:hAnsi="Arial" w:cs="Arial" w:eastAsia="Arial" w:hint="default"/>
                <w:sz w:val="19"/>
                <w:szCs w:val="19"/>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五、每股收益</w:t>
            </w:r>
          </w:p>
        </w:tc>
        <w:tc>
          <w:tcPr>
            <w:tcW w:w="3331" w:type="dxa"/>
            <w:gridSpan w:val="2"/>
            <w:tcBorders>
              <w:top w:val="nil" w:sz="6" w:space="0" w:color="auto"/>
              <w:left w:val="nil" w:sz="6" w:space="0" w:color="auto"/>
              <w:bottom w:val="nil" w:sz="6" w:space="0" w:color="auto"/>
              <w:right w:val="nil" w:sz="6" w:space="0" w:color="auto"/>
            </w:tcBorders>
          </w:tcPr>
          <w:p>
            <w:pPr/>
          </w:p>
        </w:tc>
        <w:tc>
          <w:tcPr>
            <w:tcW w:w="1767" w:type="dxa"/>
            <w:tcBorders>
              <w:top w:val="nil" w:sz="6" w:space="0" w:color="auto"/>
              <w:left w:val="nil" w:sz="6" w:space="0" w:color="auto"/>
              <w:bottom w:val="nil" w:sz="6" w:space="0" w:color="auto"/>
              <w:right w:val="nil" w:sz="6" w:space="0" w:color="auto"/>
            </w:tcBorders>
          </w:tcPr>
          <w:p>
            <w:pPr/>
          </w:p>
        </w:tc>
      </w:tr>
      <w:tr>
        <w:trPr>
          <w:trHeight w:val="378"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459" w:right="0"/>
              <w:jc w:val="left"/>
              <w:rPr>
                <w:rFonts w:ascii="黑体" w:hAnsi="黑体" w:cs="黑体" w:eastAsia="黑体" w:hint="default"/>
                <w:sz w:val="20"/>
                <w:szCs w:val="20"/>
              </w:rPr>
            </w:pPr>
            <w:r>
              <w:rPr>
                <w:rFonts w:ascii="黑体" w:hAnsi="黑体" w:cs="黑体" w:eastAsia="黑体" w:hint="default"/>
                <w:sz w:val="20"/>
                <w:szCs w:val="20"/>
              </w:rPr>
              <w:t>基本每股收益</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422"/>
              <w:jc w:val="right"/>
              <w:rPr>
                <w:rFonts w:ascii="Arial" w:hAnsi="Arial" w:cs="Arial" w:eastAsia="Arial" w:hint="default"/>
                <w:sz w:val="20"/>
                <w:szCs w:val="20"/>
              </w:rPr>
            </w:pPr>
            <w:r>
              <w:rPr>
                <w:rFonts w:ascii="Arial"/>
                <w:sz w:val="20"/>
              </w:rPr>
              <w:t>42</w:t>
            </w:r>
          </w:p>
        </w:tc>
        <w:tc>
          <w:tcPr>
            <w:tcW w:w="2149" w:type="dxa"/>
            <w:tcBorders>
              <w:top w:val="nil" w:sz="6" w:space="0" w:color="auto"/>
              <w:left w:val="nil" w:sz="6" w:space="0" w:color="auto"/>
              <w:bottom w:val="nil" w:sz="6" w:space="0" w:color="auto"/>
              <w:right w:val="nil" w:sz="6" w:space="0" w:color="auto"/>
            </w:tcBorders>
          </w:tcPr>
          <w:p>
            <w:pPr>
              <w:pStyle w:val="TableParagraph"/>
              <w:tabs>
                <w:tab w:pos="1413" w:val="left" w:leader="none"/>
              </w:tabs>
              <w:spacing w:line="240" w:lineRule="auto" w:before="127"/>
              <w:ind w:left="514"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0.97</w:t>
            </w:r>
            <w:r>
              <w:rPr>
                <w:rFonts w:ascii="Arial"/>
                <w:sz w:val="20"/>
              </w:rPr>
            </w:r>
          </w:p>
        </w:tc>
        <w:tc>
          <w:tcPr>
            <w:tcW w:w="1767" w:type="dxa"/>
            <w:tcBorders>
              <w:top w:val="nil" w:sz="6" w:space="0" w:color="auto"/>
              <w:left w:val="nil" w:sz="6" w:space="0" w:color="auto"/>
              <w:bottom w:val="nil" w:sz="6" w:space="0" w:color="auto"/>
              <w:right w:val="nil" w:sz="6" w:space="0" w:color="auto"/>
            </w:tcBorders>
          </w:tcPr>
          <w:p>
            <w:pPr>
              <w:pStyle w:val="TableParagraph"/>
              <w:tabs>
                <w:tab w:pos="1115" w:val="left" w:leader="none"/>
              </w:tabs>
              <w:spacing w:line="240" w:lineRule="auto" w:before="127"/>
              <w:ind w:left="215" w:right="0"/>
              <w:jc w:val="center"/>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0.65</w:t>
            </w:r>
            <w:r>
              <w:rPr>
                <w:rFonts w:ascii="Arial"/>
                <w:sz w:val="20"/>
              </w:rPr>
            </w:r>
          </w:p>
        </w:tc>
      </w:tr>
      <w:tr>
        <w:trPr>
          <w:trHeight w:val="374"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26" w:lineRule="exact"/>
              <w:ind w:left="459" w:right="0"/>
              <w:jc w:val="left"/>
              <w:rPr>
                <w:rFonts w:ascii="黑体" w:hAnsi="黑体" w:cs="黑体" w:eastAsia="黑体" w:hint="default"/>
                <w:sz w:val="20"/>
                <w:szCs w:val="20"/>
              </w:rPr>
            </w:pPr>
            <w:r>
              <w:rPr>
                <w:rFonts w:ascii="黑体" w:hAnsi="黑体" w:cs="黑体" w:eastAsia="黑体" w:hint="default"/>
                <w:sz w:val="20"/>
                <w:szCs w:val="20"/>
              </w:rPr>
              <w:t>稀释每股收益</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22"/>
              <w:jc w:val="right"/>
              <w:rPr>
                <w:rFonts w:ascii="Arial" w:hAnsi="Arial" w:cs="Arial" w:eastAsia="Arial" w:hint="default"/>
                <w:sz w:val="20"/>
                <w:szCs w:val="20"/>
              </w:rPr>
            </w:pPr>
            <w:r>
              <w:rPr>
                <w:rFonts w:ascii="Arial"/>
                <w:sz w:val="20"/>
              </w:rPr>
              <w:t>42</w:t>
            </w:r>
          </w:p>
        </w:tc>
        <w:tc>
          <w:tcPr>
            <w:tcW w:w="2149" w:type="dxa"/>
            <w:tcBorders>
              <w:top w:val="nil" w:sz="6" w:space="0" w:color="auto"/>
              <w:left w:val="nil" w:sz="6" w:space="0" w:color="auto"/>
              <w:bottom w:val="nil" w:sz="6" w:space="0" w:color="auto"/>
              <w:right w:val="nil" w:sz="6" w:space="0" w:color="auto"/>
            </w:tcBorders>
          </w:tcPr>
          <w:p>
            <w:pPr>
              <w:pStyle w:val="TableParagraph"/>
              <w:tabs>
                <w:tab w:pos="1413" w:val="left" w:leader="none"/>
              </w:tabs>
              <w:spacing w:line="240" w:lineRule="auto" w:before="8"/>
              <w:ind w:left="514"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0.97</w:t>
            </w:r>
            <w:r>
              <w:rPr>
                <w:rFonts w:ascii="Arial"/>
                <w:sz w:val="20"/>
              </w:rPr>
            </w:r>
          </w:p>
        </w:tc>
        <w:tc>
          <w:tcPr>
            <w:tcW w:w="1767" w:type="dxa"/>
            <w:tcBorders>
              <w:top w:val="nil" w:sz="6" w:space="0" w:color="auto"/>
              <w:left w:val="nil" w:sz="6" w:space="0" w:color="auto"/>
              <w:bottom w:val="nil" w:sz="6" w:space="0" w:color="auto"/>
              <w:right w:val="nil" w:sz="6" w:space="0" w:color="auto"/>
            </w:tcBorders>
          </w:tcPr>
          <w:p>
            <w:pPr>
              <w:pStyle w:val="TableParagraph"/>
              <w:tabs>
                <w:tab w:pos="1114" w:val="left" w:leader="none"/>
              </w:tabs>
              <w:spacing w:line="240" w:lineRule="auto" w:before="8"/>
              <w:ind w:left="215" w:right="0"/>
              <w:jc w:val="center"/>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0.65</w:t>
            </w:r>
            <w:r>
              <w:rPr>
                <w:rFonts w:ascii="Arial"/>
                <w:sz w:val="20"/>
              </w:rPr>
            </w:r>
          </w:p>
        </w:tc>
      </w:tr>
      <w:tr>
        <w:trPr>
          <w:trHeight w:val="490"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黑体" w:hAnsi="黑体" w:cs="黑体" w:eastAsia="黑体" w:hint="default"/>
                <w:sz w:val="20"/>
                <w:szCs w:val="20"/>
              </w:rPr>
              <w:t>六、其他综合收益</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422"/>
              <w:jc w:val="right"/>
              <w:rPr>
                <w:rFonts w:ascii="Arial" w:hAnsi="Arial" w:cs="Arial" w:eastAsia="Arial" w:hint="default"/>
                <w:sz w:val="20"/>
                <w:szCs w:val="20"/>
              </w:rPr>
            </w:pPr>
            <w:r>
              <w:rPr>
                <w:rFonts w:ascii="Arial"/>
                <w:sz w:val="20"/>
              </w:rPr>
              <w:t>43</w:t>
            </w:r>
          </w:p>
        </w:tc>
        <w:tc>
          <w:tcPr>
            <w:tcW w:w="2149"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424" w:right="0"/>
              <w:jc w:val="left"/>
              <w:rPr>
                <w:rFonts w:ascii="Arial" w:hAnsi="Arial" w:cs="Arial" w:eastAsia="Arial" w:hint="default"/>
                <w:sz w:val="20"/>
                <w:szCs w:val="20"/>
              </w:rPr>
            </w:pPr>
            <w:r>
              <w:rPr>
                <w:rFonts w:ascii="Arial"/>
                <w:sz w:val="20"/>
              </w:rPr>
              <w:t>(   </w:t>
            </w:r>
            <w:r>
              <w:rPr>
                <w:rFonts w:ascii="Arial"/>
                <w:sz w:val="20"/>
                <w:u w:val="single" w:color="000000"/>
              </w:rPr>
              <w:t> 204,854,022</w:t>
            </w:r>
            <w:r>
              <w:rPr>
                <w:rFonts w:ascii="Arial"/>
                <w:spacing w:val="-2"/>
                <w:sz w:val="20"/>
                <w:u w:val="single" w:color="000000"/>
              </w:rPr>
              <w:t> </w:t>
            </w:r>
            <w:r>
              <w:rPr>
                <w:rFonts w:ascii="Arial"/>
                <w:spacing w:val="-2"/>
                <w:sz w:val="20"/>
              </w:rPr>
            </w:r>
            <w:r>
              <w:rPr>
                <w:rFonts w:ascii="Arial"/>
                <w:sz w:val="20"/>
              </w:rPr>
              <w:t>)</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221" w:right="0"/>
              <w:jc w:val="center"/>
              <w:rPr>
                <w:rFonts w:ascii="Arial" w:hAnsi="Arial" w:cs="Arial" w:eastAsia="Arial" w:hint="default"/>
                <w:sz w:val="20"/>
                <w:szCs w:val="20"/>
              </w:rPr>
            </w:pPr>
            <w:r>
              <w:rPr>
                <w:rFonts w:ascii="Arial"/>
                <w:sz w:val="20"/>
              </w:rPr>
              <w:t>(   </w:t>
            </w:r>
            <w:r>
              <w:rPr>
                <w:rFonts w:ascii="Arial"/>
                <w:sz w:val="20"/>
                <w:u w:val="single" w:color="000000"/>
              </w:rPr>
              <w:t> 576,191,520</w:t>
            </w:r>
            <w:r>
              <w:rPr>
                <w:rFonts w:ascii="Arial"/>
                <w:spacing w:val="4"/>
                <w:sz w:val="20"/>
                <w:u w:val="single" w:color="000000"/>
              </w:rPr>
              <w:t> </w:t>
            </w:r>
            <w:r>
              <w:rPr>
                <w:rFonts w:ascii="Arial"/>
                <w:spacing w:val="4"/>
                <w:sz w:val="20"/>
              </w:rPr>
            </w:r>
            <w:r>
              <w:rPr>
                <w:rFonts w:ascii="Arial"/>
                <w:sz w:val="20"/>
              </w:rPr>
              <w:t>)</w:t>
            </w:r>
          </w:p>
        </w:tc>
      </w:tr>
      <w:tr>
        <w:trPr>
          <w:trHeight w:val="489"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黑体" w:hAnsi="黑体" w:cs="黑体" w:eastAsia="黑体" w:hint="default"/>
                <w:sz w:val="20"/>
                <w:szCs w:val="20"/>
              </w:rPr>
              <w:t>七、综合收益总额</w:t>
            </w:r>
          </w:p>
        </w:tc>
        <w:tc>
          <w:tcPr>
            <w:tcW w:w="1182" w:type="dxa"/>
            <w:tcBorders>
              <w:top w:val="nil" w:sz="6" w:space="0" w:color="auto"/>
              <w:left w:val="nil" w:sz="6" w:space="0" w:color="auto"/>
              <w:bottom w:val="nil" w:sz="6" w:space="0" w:color="auto"/>
              <w:right w:val="nil" w:sz="6" w:space="0" w:color="auto"/>
            </w:tcBorders>
          </w:tcPr>
          <w:p>
            <w:pPr/>
          </w:p>
        </w:tc>
        <w:tc>
          <w:tcPr>
            <w:tcW w:w="2149"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491"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24"/>
                <w:sz w:val="20"/>
                <w:u w:val="thick" w:color="000000"/>
              </w:rPr>
              <w:t> </w:t>
            </w:r>
            <w:r>
              <w:rPr>
                <w:rFonts w:ascii="Arial"/>
                <w:sz w:val="20"/>
                <w:u w:val="thick" w:color="000000"/>
              </w:rPr>
              <w:t>409,127,781</w:t>
            </w:r>
            <w:r>
              <w:rPr>
                <w:rFonts w:ascii="Arial"/>
                <w:sz w:val="20"/>
              </w:rPr>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221" w:right="0"/>
              <w:jc w:val="center"/>
              <w:rPr>
                <w:rFonts w:ascii="Arial" w:hAnsi="Arial" w:cs="Arial" w:eastAsia="Arial" w:hint="default"/>
                <w:sz w:val="20"/>
                <w:szCs w:val="20"/>
              </w:rPr>
            </w:pPr>
            <w:r>
              <w:rPr>
                <w:rFonts w:ascii="Arial"/>
                <w:sz w:val="20"/>
              </w:rPr>
              <w:t>(   </w:t>
            </w:r>
            <w:r>
              <w:rPr>
                <w:rFonts w:ascii="Arial"/>
                <w:sz w:val="20"/>
                <w:u w:val="thick" w:color="000000"/>
              </w:rPr>
              <w:t> 172,424,933</w:t>
            </w:r>
            <w:r>
              <w:rPr>
                <w:rFonts w:ascii="Arial"/>
                <w:spacing w:val="5"/>
                <w:sz w:val="20"/>
                <w:u w:val="thick" w:color="000000"/>
              </w:rPr>
              <w:t> </w:t>
            </w:r>
            <w:r>
              <w:rPr>
                <w:rFonts w:ascii="Arial"/>
                <w:spacing w:val="5"/>
                <w:sz w:val="20"/>
              </w:rPr>
            </w:r>
            <w:r>
              <w:rPr>
                <w:rFonts w:ascii="Arial"/>
                <w:sz w:val="20"/>
              </w:rPr>
              <w:t>)</w:t>
            </w:r>
          </w:p>
        </w:tc>
      </w:tr>
      <w:tr>
        <w:trPr>
          <w:trHeight w:val="371"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黑体" w:hAnsi="黑体" w:cs="黑体" w:eastAsia="黑体" w:hint="default"/>
                <w:sz w:val="20"/>
                <w:szCs w:val="20"/>
              </w:rPr>
              <w:t>其中：</w:t>
            </w:r>
          </w:p>
        </w:tc>
        <w:tc>
          <w:tcPr>
            <w:tcW w:w="1182" w:type="dxa"/>
            <w:tcBorders>
              <w:top w:val="nil" w:sz="6" w:space="0" w:color="auto"/>
              <w:left w:val="nil" w:sz="6" w:space="0" w:color="auto"/>
              <w:bottom w:val="nil" w:sz="6" w:space="0" w:color="auto"/>
              <w:right w:val="nil" w:sz="6" w:space="0" w:color="auto"/>
            </w:tcBorders>
          </w:tcPr>
          <w:p>
            <w:pPr/>
          </w:p>
        </w:tc>
        <w:tc>
          <w:tcPr>
            <w:tcW w:w="2149" w:type="dxa"/>
            <w:tcBorders>
              <w:top w:val="nil" w:sz="6" w:space="0" w:color="auto"/>
              <w:left w:val="nil" w:sz="6" w:space="0" w:color="auto"/>
              <w:bottom w:val="nil" w:sz="6" w:space="0" w:color="auto"/>
              <w:right w:val="nil" w:sz="6" w:space="0" w:color="auto"/>
            </w:tcBorders>
          </w:tcPr>
          <w:p>
            <w:pPr/>
          </w:p>
        </w:tc>
        <w:tc>
          <w:tcPr>
            <w:tcW w:w="1767" w:type="dxa"/>
            <w:tcBorders>
              <w:top w:val="nil" w:sz="6" w:space="0" w:color="auto"/>
              <w:left w:val="nil" w:sz="6" w:space="0" w:color="auto"/>
              <w:bottom w:val="nil" w:sz="6" w:space="0" w:color="auto"/>
              <w:right w:val="nil" w:sz="6" w:space="0" w:color="auto"/>
            </w:tcBorders>
          </w:tcPr>
          <w:p>
            <w:pPr/>
          </w:p>
        </w:tc>
      </w:tr>
      <w:tr>
        <w:trPr>
          <w:trHeight w:val="264"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30" w:lineRule="exact"/>
              <w:ind w:left="35" w:right="0"/>
              <w:jc w:val="left"/>
              <w:rPr>
                <w:rFonts w:ascii="黑体" w:hAnsi="黑体" w:cs="黑体" w:eastAsia="黑体" w:hint="default"/>
                <w:sz w:val="20"/>
                <w:szCs w:val="20"/>
              </w:rPr>
            </w:pPr>
            <w:r>
              <w:rPr>
                <w:rFonts w:ascii="黑体" w:hAnsi="黑体" w:cs="黑体" w:eastAsia="黑体" w:hint="default"/>
                <w:sz w:val="20"/>
                <w:szCs w:val="20"/>
              </w:rPr>
              <w:t>归属于母公司股东的综合收益总额</w:t>
            </w:r>
          </w:p>
        </w:tc>
        <w:tc>
          <w:tcPr>
            <w:tcW w:w="1182" w:type="dxa"/>
            <w:tcBorders>
              <w:top w:val="nil" w:sz="6" w:space="0" w:color="auto"/>
              <w:left w:val="nil" w:sz="6" w:space="0" w:color="auto"/>
              <w:bottom w:val="nil" w:sz="6" w:space="0" w:color="auto"/>
              <w:right w:val="nil" w:sz="6" w:space="0" w:color="auto"/>
            </w:tcBorders>
          </w:tcPr>
          <w:p>
            <w:pPr/>
          </w:p>
        </w:tc>
        <w:tc>
          <w:tcPr>
            <w:tcW w:w="214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91"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24"/>
                <w:sz w:val="20"/>
                <w:u w:val="thick" w:color="000000"/>
              </w:rPr>
              <w:t> </w:t>
            </w:r>
            <w:r>
              <w:rPr>
                <w:rFonts w:ascii="Arial"/>
                <w:sz w:val="20"/>
                <w:u w:val="thick" w:color="000000"/>
              </w:rPr>
              <w:t>388,845,944</w:t>
            </w:r>
            <w:r>
              <w:rPr>
                <w:rFonts w:ascii="Arial"/>
                <w:sz w:val="20"/>
              </w:rPr>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21" w:right="0"/>
              <w:jc w:val="center"/>
              <w:rPr>
                <w:rFonts w:ascii="Arial" w:hAnsi="Arial" w:cs="Arial" w:eastAsia="Arial" w:hint="default"/>
                <w:sz w:val="20"/>
                <w:szCs w:val="20"/>
              </w:rPr>
            </w:pPr>
            <w:r>
              <w:rPr>
                <w:rFonts w:ascii="Arial"/>
                <w:sz w:val="20"/>
              </w:rPr>
              <w:t>(   </w:t>
            </w:r>
            <w:r>
              <w:rPr>
                <w:rFonts w:ascii="Arial"/>
                <w:sz w:val="20"/>
                <w:u w:val="thick" w:color="000000"/>
              </w:rPr>
              <w:t> 184,759,363</w:t>
            </w:r>
            <w:r>
              <w:rPr>
                <w:rFonts w:ascii="Arial"/>
                <w:spacing w:val="5"/>
                <w:sz w:val="20"/>
                <w:u w:val="thick" w:color="000000"/>
              </w:rPr>
              <w:t> </w:t>
            </w:r>
            <w:r>
              <w:rPr>
                <w:rFonts w:ascii="Arial"/>
                <w:spacing w:val="5"/>
                <w:sz w:val="20"/>
              </w:rPr>
            </w:r>
            <w:r>
              <w:rPr>
                <w:rFonts w:ascii="Arial"/>
                <w:sz w:val="20"/>
              </w:rPr>
              <w:t>)</w:t>
            </w:r>
          </w:p>
        </w:tc>
      </w:tr>
      <w:tr>
        <w:trPr>
          <w:trHeight w:val="334"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归属于少数股东的综合收益总额</w:t>
            </w:r>
          </w:p>
        </w:tc>
        <w:tc>
          <w:tcPr>
            <w:tcW w:w="1182" w:type="dxa"/>
            <w:tcBorders>
              <w:top w:val="nil" w:sz="6" w:space="0" w:color="auto"/>
              <w:left w:val="nil" w:sz="6" w:space="0" w:color="auto"/>
              <w:bottom w:val="nil" w:sz="6" w:space="0" w:color="auto"/>
              <w:right w:val="nil" w:sz="6" w:space="0" w:color="auto"/>
            </w:tcBorders>
          </w:tcPr>
          <w:p>
            <w:pPr/>
          </w:p>
        </w:tc>
        <w:tc>
          <w:tcPr>
            <w:tcW w:w="2149" w:type="dxa"/>
            <w:tcBorders>
              <w:top w:val="nil" w:sz="6" w:space="0" w:color="auto"/>
              <w:left w:val="nil" w:sz="6" w:space="0" w:color="auto"/>
              <w:bottom w:val="nil" w:sz="6" w:space="0" w:color="auto"/>
              <w:right w:val="nil" w:sz="6" w:space="0" w:color="auto"/>
            </w:tcBorders>
          </w:tcPr>
          <w:p>
            <w:pPr>
              <w:pStyle w:val="TableParagraph"/>
              <w:tabs>
                <w:tab w:pos="802" w:val="left" w:leader="none"/>
              </w:tabs>
              <w:spacing w:line="240" w:lineRule="auto" w:before="8"/>
              <w:ind w:left="503"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20,281,837</w:t>
            </w:r>
            <w:r>
              <w:rPr>
                <w:rFonts w:ascii="Arial"/>
                <w:sz w:val="20"/>
              </w:rPr>
            </w:r>
          </w:p>
        </w:tc>
        <w:tc>
          <w:tcPr>
            <w:tcW w:w="1767" w:type="dxa"/>
            <w:tcBorders>
              <w:top w:val="nil" w:sz="6" w:space="0" w:color="auto"/>
              <w:left w:val="nil" w:sz="6" w:space="0" w:color="auto"/>
              <w:bottom w:val="nil" w:sz="6" w:space="0" w:color="auto"/>
              <w:right w:val="nil" w:sz="6" w:space="0" w:color="auto"/>
            </w:tcBorders>
          </w:tcPr>
          <w:p>
            <w:pPr>
              <w:pStyle w:val="TableParagraph"/>
              <w:tabs>
                <w:tab w:pos="504" w:val="left" w:leader="none"/>
              </w:tabs>
              <w:spacing w:line="240" w:lineRule="auto" w:before="8"/>
              <w:ind w:left="205" w:right="0"/>
              <w:jc w:val="center"/>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12,334,430</w:t>
            </w:r>
            <w:r>
              <w:rPr>
                <w:rFonts w:ascii="Arial"/>
                <w:sz w:val="20"/>
              </w:rPr>
            </w:r>
          </w:p>
        </w:tc>
      </w:tr>
    </w:tbl>
    <w:p>
      <w:pPr>
        <w:spacing w:after="0" w:line="240" w:lineRule="auto"/>
        <w:jc w:val="center"/>
        <w:rPr>
          <w:rFonts w:ascii="Arial" w:hAnsi="Arial" w:cs="Arial" w:eastAsia="Arial" w:hint="default"/>
          <w:sz w:val="20"/>
          <w:szCs w:val="20"/>
        </w:rPr>
        <w:sectPr>
          <w:headerReference w:type="default" r:id="rId31"/>
          <w:pgSz w:w="11910" w:h="16840"/>
          <w:pgMar w:header="958" w:footer="457" w:top="2520" w:bottom="640" w:left="1560" w:right="1460"/>
        </w:sectPr>
      </w:pPr>
    </w:p>
    <w:p>
      <w:pPr>
        <w:pStyle w:val="Heading9"/>
        <w:spacing w:line="292" w:lineRule="auto" w:before="72"/>
        <w:ind w:left="7225" w:right="6708" w:hanging="501"/>
        <w:jc w:val="left"/>
        <w:rPr>
          <w:b w:val="0"/>
          <w:bCs w:val="0"/>
        </w:rPr>
      </w:pPr>
      <w:r>
        <w:rPr/>
        <w:t>合并股东权益变动表</w:t>
      </w:r>
      <w:r>
        <w:rPr>
          <w:spacing w:val="1"/>
          <w:w w:val="99"/>
        </w:rPr>
        <w:t> </w:t>
      </w:r>
      <w:r>
        <w:rPr>
          <w:rFonts w:ascii="Arial" w:hAnsi="Arial" w:cs="Arial" w:eastAsia="Arial" w:hint="default"/>
        </w:rPr>
        <w:t>2009</w:t>
      </w:r>
      <w:r>
        <w:rPr>
          <w:rFonts w:ascii="Arial" w:hAnsi="Arial" w:cs="Arial" w:eastAsia="Arial" w:hint="default"/>
          <w:spacing w:val="-7"/>
        </w:rPr>
        <w:t> </w:t>
      </w:r>
      <w:r>
        <w:rPr/>
        <w:t>年度</w:t>
      </w:r>
      <w:r>
        <w:rPr>
          <w:spacing w:val="1"/>
          <w:w w:val="99"/>
        </w:rPr>
        <w:t> </w:t>
      </w:r>
      <w:r>
        <w:rPr/>
        <w:t>人民币元</w:t>
      </w:r>
      <w:r>
        <w:rPr>
          <w:b w:val="0"/>
          <w:bCs w:val="0"/>
        </w:rPr>
      </w:r>
    </w:p>
    <w:p>
      <w:pPr>
        <w:spacing w:line="240" w:lineRule="auto" w:before="0"/>
        <w:rPr>
          <w:rFonts w:ascii="黑体" w:hAnsi="黑体" w:cs="黑体" w:eastAsia="黑体" w:hint="default"/>
          <w:b/>
          <w:bCs/>
          <w:sz w:val="15"/>
          <w:szCs w:val="15"/>
        </w:rPr>
      </w:pPr>
    </w:p>
    <w:p>
      <w:pPr>
        <w:spacing w:line="20" w:lineRule="exact"/>
        <w:ind w:left="134" w:right="0" w:firstLine="0"/>
        <w:rPr>
          <w:rFonts w:ascii="黑体" w:hAnsi="黑体" w:cs="黑体" w:eastAsia="黑体" w:hint="default"/>
          <w:sz w:val="2"/>
          <w:szCs w:val="2"/>
        </w:rPr>
      </w:pPr>
      <w:r>
        <w:rPr>
          <w:rFonts w:ascii="黑体" w:hAnsi="黑体" w:cs="黑体" w:eastAsia="黑体" w:hint="default"/>
          <w:sz w:val="2"/>
          <w:szCs w:val="2"/>
        </w:rPr>
        <w:pict>
          <v:group style="width:758.25pt;height:.75pt;mso-position-horizontal-relative:char;mso-position-vertical-relative:line" coordorigin="0,0" coordsize="15165,15">
            <v:group style="position:absolute;left:8;top:8;width:15150;height:2" coordorigin="8,8" coordsize="15150,2">
              <v:shape style="position:absolute;left:8;top:8;width:15150;height:2" coordorigin="8,8" coordsize="15150,0" path="m8,8l15157,7e" filled="false" stroked="true" strokeweight=".75pt" strokecolor="#000000">
                <v:path arrowok="t"/>
              </v:shape>
            </v:group>
          </v:group>
        </w:pict>
      </w:r>
      <w:r>
        <w:rPr>
          <w:rFonts w:ascii="黑体" w:hAnsi="黑体" w:cs="黑体" w:eastAsia="黑体" w:hint="default"/>
          <w:sz w:val="2"/>
          <w:szCs w:val="2"/>
        </w:rPr>
      </w:r>
    </w:p>
    <w:p>
      <w:pPr>
        <w:spacing w:line="240" w:lineRule="auto" w:before="5"/>
        <w:rPr>
          <w:rFonts w:ascii="黑体" w:hAnsi="黑体" w:cs="黑体" w:eastAsia="黑体" w:hint="default"/>
          <w:b/>
          <w:bCs/>
          <w:sz w:val="26"/>
          <w:szCs w:val="26"/>
        </w:rPr>
      </w:pPr>
    </w:p>
    <w:tbl>
      <w:tblPr>
        <w:tblW w:w="0" w:type="auto"/>
        <w:jc w:val="left"/>
        <w:tblInd w:w="114" w:type="dxa"/>
        <w:tblLayout w:type="fixed"/>
        <w:tblCellMar>
          <w:top w:w="0" w:type="dxa"/>
          <w:left w:w="0" w:type="dxa"/>
          <w:bottom w:w="0" w:type="dxa"/>
          <w:right w:w="0" w:type="dxa"/>
        </w:tblCellMar>
        <w:tblLook w:val="01E0"/>
      </w:tblPr>
      <w:tblGrid>
        <w:gridCol w:w="2974"/>
        <w:gridCol w:w="1514"/>
        <w:gridCol w:w="1548"/>
        <w:gridCol w:w="2826"/>
        <w:gridCol w:w="1765"/>
        <w:gridCol w:w="1444"/>
        <w:gridCol w:w="1570"/>
        <w:gridCol w:w="1569"/>
      </w:tblGrid>
      <w:tr>
        <w:trPr>
          <w:trHeight w:val="574" w:hRule="exact"/>
        </w:trPr>
        <w:tc>
          <w:tcPr>
            <w:tcW w:w="6036" w:type="dxa"/>
            <w:gridSpan w:val="3"/>
            <w:tcBorders>
              <w:top w:val="nil" w:sz="6" w:space="0" w:color="auto"/>
              <w:left w:val="nil" w:sz="6" w:space="0" w:color="auto"/>
              <w:bottom w:val="nil" w:sz="6" w:space="0" w:color="auto"/>
              <w:right w:val="nil" w:sz="6" w:space="0" w:color="auto"/>
            </w:tcBorders>
          </w:tcPr>
          <w:p>
            <w:pPr/>
          </w:p>
        </w:tc>
        <w:tc>
          <w:tcPr>
            <w:tcW w:w="2826"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91" w:right="0"/>
              <w:jc w:val="center"/>
              <w:rPr>
                <w:rFonts w:ascii="黑体" w:hAnsi="黑体" w:cs="黑体" w:eastAsia="黑体" w:hint="default"/>
                <w:sz w:val="18"/>
                <w:szCs w:val="18"/>
              </w:rPr>
            </w:pPr>
            <w:r>
              <w:rPr>
                <w:rFonts w:ascii="Arial" w:hAnsi="Arial" w:cs="Arial" w:eastAsia="Arial" w:hint="default"/>
                <w:b/>
                <w:bCs/>
                <w:sz w:val="18"/>
                <w:szCs w:val="18"/>
              </w:rPr>
              <w:t>2009</w:t>
            </w:r>
            <w:r>
              <w:rPr>
                <w:rFonts w:ascii="黑体" w:hAnsi="黑体" w:cs="黑体" w:eastAsia="黑体" w:hint="default"/>
                <w:b/>
                <w:bCs/>
                <w:sz w:val="18"/>
                <w:szCs w:val="18"/>
              </w:rPr>
              <w:t>年</w:t>
            </w:r>
            <w:r>
              <w:rPr>
                <w:rFonts w:ascii="黑体" w:hAnsi="黑体" w:cs="黑体" w:eastAsia="黑体" w:hint="default"/>
                <w:sz w:val="18"/>
                <w:szCs w:val="18"/>
              </w:rPr>
            </w:r>
          </w:p>
          <w:p>
            <w:pPr>
              <w:pStyle w:val="TableParagraph"/>
              <w:spacing w:line="240" w:lineRule="auto" w:before="7"/>
              <w:ind w:left="91" w:right="0"/>
              <w:jc w:val="center"/>
              <w:rPr>
                <w:rFonts w:ascii="黑体" w:hAnsi="黑体" w:cs="黑体" w:eastAsia="黑体" w:hint="default"/>
                <w:sz w:val="18"/>
                <w:szCs w:val="18"/>
              </w:rPr>
            </w:pPr>
            <w:r>
              <w:rPr>
                <w:rFonts w:ascii="黑体" w:hAnsi="黑体" w:cs="黑体" w:eastAsia="黑体" w:hint="default"/>
                <w:b/>
                <w:bCs/>
                <w:sz w:val="18"/>
                <w:szCs w:val="18"/>
              </w:rPr>
              <w:t>归属于母公司股东权益</w:t>
            </w:r>
            <w:r>
              <w:rPr>
                <w:rFonts w:ascii="黑体" w:hAnsi="黑体" w:cs="黑体" w:eastAsia="黑体" w:hint="default"/>
                <w:sz w:val="18"/>
                <w:szCs w:val="18"/>
              </w:rPr>
            </w:r>
          </w:p>
        </w:tc>
        <w:tc>
          <w:tcPr>
            <w:tcW w:w="1765" w:type="dxa"/>
            <w:tcBorders>
              <w:top w:val="nil" w:sz="6" w:space="0" w:color="auto"/>
              <w:left w:val="nil" w:sz="6" w:space="0" w:color="auto"/>
              <w:bottom w:val="single" w:sz="4" w:space="0" w:color="000000"/>
              <w:right w:val="nil" w:sz="6" w:space="0" w:color="auto"/>
            </w:tcBorders>
          </w:tcPr>
          <w:p>
            <w:pPr/>
          </w:p>
        </w:tc>
        <w:tc>
          <w:tcPr>
            <w:tcW w:w="1444" w:type="dxa"/>
            <w:tcBorders>
              <w:top w:val="nil" w:sz="6" w:space="0" w:color="auto"/>
              <w:left w:val="nil" w:sz="6" w:space="0" w:color="auto"/>
              <w:bottom w:val="single" w:sz="4" w:space="0" w:color="000000"/>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b/>
                <w:bCs/>
                <w:sz w:val="22"/>
                <w:szCs w:val="22"/>
              </w:rPr>
            </w:pPr>
          </w:p>
          <w:p>
            <w:pPr>
              <w:pStyle w:val="TableParagraph"/>
              <w:spacing w:line="240" w:lineRule="auto"/>
              <w:ind w:right="217"/>
              <w:jc w:val="right"/>
              <w:rPr>
                <w:rFonts w:ascii="黑体" w:hAnsi="黑体" w:cs="黑体" w:eastAsia="黑体" w:hint="default"/>
                <w:sz w:val="18"/>
                <w:szCs w:val="18"/>
              </w:rPr>
            </w:pPr>
            <w:r>
              <w:rPr>
                <w:rFonts w:ascii="黑体" w:hAnsi="黑体" w:cs="黑体" w:eastAsia="黑体" w:hint="default"/>
                <w:b/>
                <w:bCs/>
                <w:w w:val="95"/>
                <w:sz w:val="18"/>
                <w:szCs w:val="18"/>
              </w:rPr>
              <w:t>少数股东权益</w:t>
            </w:r>
            <w:r>
              <w:rPr>
                <w:rFonts w:ascii="黑体" w:hAnsi="黑体" w:cs="黑体" w:eastAsia="黑体" w:hint="default"/>
                <w:sz w:val="18"/>
                <w:szCs w:val="18"/>
              </w:rPr>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b/>
                <w:bCs/>
                <w:sz w:val="22"/>
                <w:szCs w:val="22"/>
              </w:rPr>
            </w:pPr>
          </w:p>
          <w:p>
            <w:pPr>
              <w:pStyle w:val="TableParagraph"/>
              <w:spacing w:line="240" w:lineRule="auto"/>
              <w:ind w:right="100"/>
              <w:jc w:val="right"/>
              <w:rPr>
                <w:rFonts w:ascii="黑体" w:hAnsi="黑体" w:cs="黑体" w:eastAsia="黑体" w:hint="default"/>
                <w:sz w:val="18"/>
                <w:szCs w:val="18"/>
              </w:rPr>
            </w:pPr>
            <w:r>
              <w:rPr>
                <w:rFonts w:ascii="黑体" w:hAnsi="黑体" w:cs="黑体" w:eastAsia="黑体" w:hint="default"/>
                <w:b/>
                <w:bCs/>
                <w:w w:val="95"/>
                <w:sz w:val="18"/>
                <w:szCs w:val="18"/>
              </w:rPr>
              <w:t>股东权益合计</w:t>
            </w:r>
            <w:r>
              <w:rPr>
                <w:rFonts w:ascii="黑体" w:hAnsi="黑体" w:cs="黑体" w:eastAsia="黑体" w:hint="default"/>
                <w:sz w:val="18"/>
                <w:szCs w:val="18"/>
              </w:rPr>
            </w:r>
          </w:p>
        </w:tc>
      </w:tr>
      <w:tr>
        <w:trPr>
          <w:trHeight w:val="391" w:hRule="exact"/>
        </w:trPr>
        <w:tc>
          <w:tcPr>
            <w:tcW w:w="2974" w:type="dxa"/>
            <w:tcBorders>
              <w:top w:val="nil" w:sz="6" w:space="0" w:color="auto"/>
              <w:left w:val="nil" w:sz="6" w:space="0" w:color="auto"/>
              <w:bottom w:val="nil" w:sz="6" w:space="0" w:color="auto"/>
              <w:right w:val="nil" w:sz="6" w:space="0" w:color="auto"/>
            </w:tcBorders>
          </w:tcPr>
          <w:p>
            <w:pPr/>
          </w:p>
        </w:tc>
        <w:tc>
          <w:tcPr>
            <w:tcW w:w="1514" w:type="dxa"/>
            <w:tcBorders>
              <w:top w:val="single" w:sz="4" w:space="0" w:color="000000"/>
              <w:left w:val="nil" w:sz="6" w:space="0" w:color="auto"/>
              <w:bottom w:val="nil" w:sz="6" w:space="0" w:color="auto"/>
              <w:right w:val="nil" w:sz="6" w:space="0" w:color="auto"/>
            </w:tcBorders>
          </w:tcPr>
          <w:p>
            <w:pPr>
              <w:pStyle w:val="TableParagraph"/>
              <w:spacing w:line="221" w:lineRule="exact"/>
              <w:ind w:right="265"/>
              <w:jc w:val="right"/>
              <w:rPr>
                <w:rFonts w:ascii="黑体" w:hAnsi="黑体" w:cs="黑体" w:eastAsia="黑体" w:hint="default"/>
                <w:sz w:val="18"/>
                <w:szCs w:val="18"/>
              </w:rPr>
            </w:pPr>
            <w:r>
              <w:rPr>
                <w:rFonts w:ascii="黑体" w:hAnsi="黑体" w:cs="黑体" w:eastAsia="黑体" w:hint="default"/>
                <w:sz w:val="18"/>
                <w:szCs w:val="18"/>
              </w:rPr>
              <w:t>股本</w:t>
            </w:r>
          </w:p>
        </w:tc>
        <w:tc>
          <w:tcPr>
            <w:tcW w:w="1548" w:type="dxa"/>
            <w:tcBorders>
              <w:top w:val="single" w:sz="4" w:space="0" w:color="000000"/>
              <w:left w:val="nil" w:sz="6" w:space="0" w:color="auto"/>
              <w:bottom w:val="nil" w:sz="6" w:space="0" w:color="auto"/>
              <w:right w:val="nil" w:sz="6" w:space="0" w:color="auto"/>
            </w:tcBorders>
          </w:tcPr>
          <w:p>
            <w:pPr>
              <w:pStyle w:val="TableParagraph"/>
              <w:spacing w:line="221" w:lineRule="exact"/>
              <w:ind w:right="208"/>
              <w:jc w:val="right"/>
              <w:rPr>
                <w:rFonts w:ascii="黑体" w:hAnsi="黑体" w:cs="黑体" w:eastAsia="黑体" w:hint="default"/>
                <w:sz w:val="18"/>
                <w:szCs w:val="18"/>
              </w:rPr>
            </w:pPr>
            <w:r>
              <w:rPr>
                <w:rFonts w:ascii="黑体" w:hAnsi="黑体" w:cs="黑体" w:eastAsia="黑体" w:hint="default"/>
                <w:sz w:val="18"/>
                <w:szCs w:val="18"/>
              </w:rPr>
              <w:t>资本公积</w:t>
            </w:r>
          </w:p>
        </w:tc>
        <w:tc>
          <w:tcPr>
            <w:tcW w:w="2826" w:type="dxa"/>
            <w:tcBorders>
              <w:top w:val="single" w:sz="4" w:space="0" w:color="000000"/>
              <w:left w:val="nil" w:sz="6" w:space="0" w:color="auto"/>
              <w:bottom w:val="nil" w:sz="6" w:space="0" w:color="auto"/>
              <w:right w:val="nil" w:sz="6" w:space="0" w:color="auto"/>
            </w:tcBorders>
          </w:tcPr>
          <w:p>
            <w:pPr>
              <w:pStyle w:val="TableParagraph"/>
              <w:tabs>
                <w:tab w:pos="1723" w:val="left" w:leader="none"/>
              </w:tabs>
              <w:spacing w:line="221" w:lineRule="exact"/>
              <w:ind w:left="472" w:right="0"/>
              <w:jc w:val="left"/>
              <w:rPr>
                <w:rFonts w:ascii="黑体" w:hAnsi="黑体" w:cs="黑体" w:eastAsia="黑体" w:hint="default"/>
                <w:sz w:val="18"/>
                <w:szCs w:val="18"/>
              </w:rPr>
            </w:pPr>
            <w:r>
              <w:rPr>
                <w:rFonts w:ascii="黑体" w:hAnsi="黑体" w:cs="黑体" w:eastAsia="黑体" w:hint="default"/>
                <w:sz w:val="18"/>
                <w:szCs w:val="18"/>
              </w:rPr>
              <w:t>盈余公积</w:t>
              <w:tab/>
              <w:t>未分配利润</w:t>
            </w:r>
          </w:p>
        </w:tc>
        <w:tc>
          <w:tcPr>
            <w:tcW w:w="1765" w:type="dxa"/>
            <w:tcBorders>
              <w:top w:val="single" w:sz="4" w:space="0" w:color="000000"/>
              <w:left w:val="nil" w:sz="6" w:space="0" w:color="auto"/>
              <w:bottom w:val="nil" w:sz="6" w:space="0" w:color="auto"/>
              <w:right w:val="nil" w:sz="6" w:space="0" w:color="auto"/>
            </w:tcBorders>
          </w:tcPr>
          <w:p>
            <w:pPr>
              <w:pStyle w:val="TableParagraph"/>
              <w:spacing w:line="221" w:lineRule="exact"/>
              <w:ind w:right="191"/>
              <w:jc w:val="right"/>
              <w:rPr>
                <w:rFonts w:ascii="黑体" w:hAnsi="黑体" w:cs="黑体" w:eastAsia="黑体" w:hint="default"/>
                <w:sz w:val="18"/>
                <w:szCs w:val="18"/>
              </w:rPr>
            </w:pPr>
            <w:r>
              <w:rPr>
                <w:rFonts w:ascii="黑体" w:hAnsi="黑体" w:cs="黑体" w:eastAsia="黑体" w:hint="default"/>
                <w:sz w:val="18"/>
                <w:szCs w:val="18"/>
              </w:rPr>
              <w:t>外币报表折算差额</w:t>
            </w:r>
          </w:p>
        </w:tc>
        <w:tc>
          <w:tcPr>
            <w:tcW w:w="1444" w:type="dxa"/>
            <w:tcBorders>
              <w:top w:val="single" w:sz="4" w:space="0" w:color="000000"/>
              <w:left w:val="nil" w:sz="6" w:space="0" w:color="auto"/>
              <w:bottom w:val="nil" w:sz="6" w:space="0" w:color="auto"/>
              <w:right w:val="nil" w:sz="6" w:space="0" w:color="auto"/>
            </w:tcBorders>
          </w:tcPr>
          <w:p>
            <w:pPr>
              <w:pStyle w:val="TableParagraph"/>
              <w:spacing w:line="221" w:lineRule="exact"/>
              <w:ind w:right="78"/>
              <w:jc w:val="right"/>
              <w:rPr>
                <w:rFonts w:ascii="黑体" w:hAnsi="黑体" w:cs="黑体" w:eastAsia="黑体" w:hint="default"/>
                <w:sz w:val="18"/>
                <w:szCs w:val="18"/>
              </w:rPr>
            </w:pPr>
            <w:r>
              <w:rPr>
                <w:rFonts w:ascii="黑体" w:hAnsi="黑体" w:cs="黑体" w:eastAsia="黑体" w:hint="default"/>
                <w:sz w:val="18"/>
                <w:szCs w:val="18"/>
              </w:rPr>
              <w:t>小计</w:t>
            </w:r>
          </w:p>
        </w:tc>
        <w:tc>
          <w:tcPr>
            <w:tcW w:w="1570"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nil" w:sz="6" w:space="0" w:color="auto"/>
            </w:tcBorders>
          </w:tcPr>
          <w:p>
            <w:pPr/>
          </w:p>
        </w:tc>
      </w:tr>
      <w:tr>
        <w:trPr>
          <w:trHeight w:val="387"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5" w:right="0"/>
              <w:jc w:val="left"/>
              <w:rPr>
                <w:rFonts w:ascii="黑体" w:hAnsi="黑体" w:cs="黑体" w:eastAsia="黑体" w:hint="default"/>
                <w:sz w:val="18"/>
                <w:szCs w:val="18"/>
              </w:rPr>
            </w:pPr>
            <w:r>
              <w:rPr>
                <w:rFonts w:ascii="黑体" w:hAnsi="黑体" w:cs="黑体" w:eastAsia="黑体" w:hint="default"/>
                <w:sz w:val="18"/>
                <w:szCs w:val="18"/>
              </w:rPr>
              <w:t>一、上年年末余额</w:t>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284"/>
              <w:jc w:val="right"/>
              <w:rPr>
                <w:rFonts w:ascii="Arial" w:hAnsi="Arial" w:cs="Arial" w:eastAsia="Arial" w:hint="default"/>
                <w:sz w:val="18"/>
                <w:szCs w:val="18"/>
              </w:rPr>
            </w:pPr>
            <w:r>
              <w:rPr>
                <w:rFonts w:ascii="Arial"/>
                <w:spacing w:val="-1"/>
                <w:sz w:val="18"/>
              </w:rPr>
              <w:t>466,683,575</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37" w:right="0"/>
              <w:jc w:val="left"/>
              <w:rPr>
                <w:rFonts w:ascii="Arial" w:hAnsi="Arial" w:cs="Arial" w:eastAsia="Arial" w:hint="default"/>
                <w:sz w:val="18"/>
                <w:szCs w:val="18"/>
              </w:rPr>
            </w:pPr>
            <w:r>
              <w:rPr>
                <w:rFonts w:ascii="Arial"/>
                <w:sz w:val="18"/>
              </w:rPr>
              <w:t>981,643,397</w:t>
            </w:r>
          </w:p>
        </w:tc>
        <w:tc>
          <w:tcPr>
            <w:tcW w:w="2826" w:type="dxa"/>
            <w:tcBorders>
              <w:top w:val="nil" w:sz="6" w:space="0" w:color="auto"/>
              <w:left w:val="nil" w:sz="6" w:space="0" w:color="auto"/>
              <w:bottom w:val="nil" w:sz="6" w:space="0" w:color="auto"/>
              <w:right w:val="nil" w:sz="6" w:space="0" w:color="auto"/>
            </w:tcBorders>
          </w:tcPr>
          <w:p>
            <w:pPr>
              <w:pStyle w:val="TableParagraph"/>
              <w:tabs>
                <w:tab w:pos="1623" w:val="left" w:leader="none"/>
              </w:tabs>
              <w:spacing w:line="240" w:lineRule="auto" w:before="150"/>
              <w:ind w:left="192" w:right="0"/>
              <w:jc w:val="left"/>
              <w:rPr>
                <w:rFonts w:ascii="Arial" w:hAnsi="Arial" w:cs="Arial" w:eastAsia="Arial" w:hint="default"/>
                <w:sz w:val="18"/>
                <w:szCs w:val="18"/>
              </w:rPr>
            </w:pPr>
            <w:r>
              <w:rPr>
                <w:rFonts w:ascii="Arial"/>
                <w:spacing w:val="-1"/>
                <w:sz w:val="18"/>
              </w:rPr>
              <w:t>189,550,229</w:t>
              <w:tab/>
              <w:t>450,562,569</w:t>
            </w:r>
            <w:r>
              <w:rPr>
                <w:rFonts w:ascii="Arial"/>
                <w:sz w:val="18"/>
              </w:rPr>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120"/>
              <w:jc w:val="right"/>
              <w:rPr>
                <w:rFonts w:ascii="Arial" w:hAnsi="Arial" w:cs="Arial" w:eastAsia="Arial" w:hint="default"/>
                <w:sz w:val="18"/>
                <w:szCs w:val="18"/>
              </w:rPr>
            </w:pPr>
            <w:r>
              <w:rPr>
                <w:rFonts w:ascii="Arial"/>
                <w:sz w:val="18"/>
              </w:rPr>
              <w:t>(778,356</w:t>
            </w:r>
            <w:r>
              <w:rPr>
                <w:rFonts w:ascii="Arial"/>
                <w:spacing w:val="-38"/>
                <w:sz w:val="18"/>
              </w:rPr>
              <w:t> </w:t>
            </w:r>
            <w:r>
              <w:rPr>
                <w:rFonts w:ascii="Arial"/>
                <w:sz w:val="18"/>
              </w:rPr>
              <w:t>)</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212" w:right="0"/>
              <w:jc w:val="left"/>
              <w:rPr>
                <w:rFonts w:ascii="Arial" w:hAnsi="Arial" w:cs="Arial" w:eastAsia="Arial" w:hint="default"/>
                <w:sz w:val="18"/>
                <w:szCs w:val="18"/>
              </w:rPr>
            </w:pPr>
            <w:r>
              <w:rPr>
                <w:rFonts w:ascii="Arial"/>
                <w:sz w:val="18"/>
              </w:rPr>
              <w:t>2,087,661,414</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226"/>
              <w:jc w:val="right"/>
              <w:rPr>
                <w:rFonts w:ascii="Arial" w:hAnsi="Arial" w:cs="Arial" w:eastAsia="Arial" w:hint="default"/>
                <w:sz w:val="18"/>
                <w:szCs w:val="18"/>
              </w:rPr>
            </w:pPr>
            <w:r>
              <w:rPr>
                <w:rFonts w:ascii="Arial"/>
                <w:spacing w:val="-1"/>
                <w:sz w:val="18"/>
              </w:rPr>
              <w:t>32,631,593</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110"/>
              <w:jc w:val="right"/>
              <w:rPr>
                <w:rFonts w:ascii="Arial" w:hAnsi="Arial" w:cs="Arial" w:eastAsia="Arial" w:hint="default"/>
                <w:sz w:val="18"/>
                <w:szCs w:val="18"/>
              </w:rPr>
            </w:pPr>
            <w:r>
              <w:rPr>
                <w:rFonts w:ascii="Arial"/>
                <w:spacing w:val="-1"/>
                <w:sz w:val="18"/>
              </w:rPr>
              <w:t>2,120,293,007</w:t>
            </w:r>
          </w:p>
        </w:tc>
      </w:tr>
      <w:tr>
        <w:trPr>
          <w:trHeight w:val="383"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Arial" w:hAnsi="Arial" w:cs="Arial" w:eastAsia="Arial" w:hint="default"/>
                <w:sz w:val="18"/>
                <w:szCs w:val="18"/>
              </w:rPr>
            </w:pPr>
            <w:r>
              <w:rPr>
                <w:rFonts w:ascii="黑体" w:hAnsi="黑体" w:cs="黑体" w:eastAsia="黑体" w:hint="default"/>
                <w:sz w:val="18"/>
                <w:szCs w:val="18"/>
              </w:rPr>
              <w:t>加：会计政策变更</w:t>
            </w:r>
            <w:r>
              <w:rPr>
                <w:rFonts w:ascii="Arial" w:hAnsi="Arial" w:cs="Arial" w:eastAsia="Arial" w:hint="default"/>
                <w:sz w:val="18"/>
                <w:szCs w:val="18"/>
              </w:rPr>
              <w:t>(</w:t>
            </w:r>
            <w:r>
              <w:rPr>
                <w:rFonts w:ascii="黑体" w:hAnsi="黑体" w:cs="黑体" w:eastAsia="黑体" w:hint="default"/>
                <w:sz w:val="18"/>
                <w:szCs w:val="18"/>
              </w:rPr>
              <w:t>附注二、</w:t>
            </w:r>
            <w:r>
              <w:rPr>
                <w:rFonts w:ascii="Arial" w:hAnsi="Arial" w:cs="Arial" w:eastAsia="Arial" w:hint="default"/>
                <w:sz w:val="18"/>
                <w:szCs w:val="18"/>
              </w:rPr>
              <w:t>31)</w:t>
            </w:r>
          </w:p>
        </w:tc>
        <w:tc>
          <w:tcPr>
            <w:tcW w:w="1514" w:type="dxa"/>
            <w:tcBorders>
              <w:top w:val="nil" w:sz="6" w:space="0" w:color="auto"/>
              <w:left w:val="nil" w:sz="6" w:space="0" w:color="auto"/>
              <w:bottom w:val="nil" w:sz="6" w:space="0" w:color="auto"/>
              <w:right w:val="nil" w:sz="6" w:space="0" w:color="auto"/>
            </w:tcBorders>
          </w:tcPr>
          <w:p>
            <w:pPr>
              <w:pStyle w:val="TableParagraph"/>
              <w:tabs>
                <w:tab w:pos="990" w:val="left" w:leader="none"/>
              </w:tabs>
              <w:spacing w:line="240" w:lineRule="auto" w:before="19"/>
              <w:ind w:right="26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98"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9"/>
                <w:sz w:val="18"/>
                <w:u w:val="single" w:color="000000"/>
              </w:rPr>
              <w:t> </w:t>
            </w:r>
            <w:r>
              <w:rPr>
                <w:rFonts w:ascii="Arial"/>
                <w:sz w:val="18"/>
                <w:u w:val="single" w:color="000000"/>
              </w:rPr>
              <w:t>3,993,271</w:t>
            </w:r>
            <w:r>
              <w:rPr>
                <w:rFonts w:ascii="Arial"/>
                <w:sz w:val="18"/>
              </w:rPr>
            </w:r>
          </w:p>
        </w:tc>
        <w:tc>
          <w:tcPr>
            <w:tcW w:w="2826" w:type="dxa"/>
            <w:tcBorders>
              <w:top w:val="nil" w:sz="6" w:space="0" w:color="auto"/>
              <w:left w:val="nil" w:sz="6" w:space="0" w:color="auto"/>
              <w:bottom w:val="nil" w:sz="6" w:space="0" w:color="auto"/>
              <w:right w:val="nil" w:sz="6" w:space="0" w:color="auto"/>
            </w:tcBorders>
          </w:tcPr>
          <w:p>
            <w:pPr>
              <w:pStyle w:val="TableParagraph"/>
              <w:tabs>
                <w:tab w:pos="1132" w:val="left" w:leader="none"/>
                <w:tab w:pos="1584" w:val="left" w:leader="none"/>
              </w:tabs>
              <w:spacing w:line="240" w:lineRule="auto" w:before="19"/>
              <w:ind w:left="142"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tab/>
              <w:t>(  </w:t>
            </w:r>
            <w:r>
              <w:rPr>
                <w:rFonts w:ascii="Arial"/>
                <w:spacing w:val="31"/>
                <w:sz w:val="18"/>
              </w:rPr>
              <w:t> </w:t>
            </w:r>
            <w:r>
              <w:rPr>
                <w:rFonts w:ascii="Arial"/>
                <w:spacing w:val="31"/>
                <w:sz w:val="18"/>
                <w:u w:val="single" w:color="000000"/>
              </w:rPr>
              <w:t> </w:t>
            </w:r>
            <w:r>
              <w:rPr>
                <w:rFonts w:ascii="Arial"/>
                <w:sz w:val="18"/>
                <w:u w:val="single" w:color="000000"/>
              </w:rPr>
              <w:t>3,993,271</w:t>
            </w:r>
            <w:r>
              <w:rPr>
                <w:rFonts w:ascii="Arial"/>
                <w:sz w:val="18"/>
              </w:rPr>
              <w:t>)</w:t>
            </w:r>
          </w:p>
        </w:tc>
        <w:tc>
          <w:tcPr>
            <w:tcW w:w="1765" w:type="dxa"/>
            <w:tcBorders>
              <w:top w:val="nil" w:sz="6" w:space="0" w:color="auto"/>
              <w:left w:val="nil" w:sz="6" w:space="0" w:color="auto"/>
              <w:bottom w:val="nil" w:sz="6" w:space="0" w:color="auto"/>
              <w:right w:val="nil" w:sz="6" w:space="0" w:color="auto"/>
            </w:tcBorders>
          </w:tcPr>
          <w:p>
            <w:pPr>
              <w:pStyle w:val="TableParagraph"/>
              <w:tabs>
                <w:tab w:pos="719" w:val="left" w:leader="none"/>
              </w:tabs>
              <w:spacing w:line="240" w:lineRule="auto" w:before="19"/>
              <w:ind w:right="17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444" w:type="dxa"/>
            <w:tcBorders>
              <w:top w:val="nil" w:sz="6" w:space="0" w:color="auto"/>
              <w:left w:val="nil" w:sz="6" w:space="0" w:color="auto"/>
              <w:bottom w:val="nil" w:sz="6" w:space="0" w:color="auto"/>
              <w:right w:val="nil" w:sz="6" w:space="0" w:color="auto"/>
            </w:tcBorders>
          </w:tcPr>
          <w:p>
            <w:pPr>
              <w:pStyle w:val="TableParagraph"/>
              <w:tabs>
                <w:tab w:pos="1303" w:val="left" w:leader="none"/>
              </w:tabs>
              <w:spacing w:line="240" w:lineRule="auto" w:before="19"/>
              <w:ind w:left="133"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570" w:type="dxa"/>
            <w:tcBorders>
              <w:top w:val="nil" w:sz="6" w:space="0" w:color="auto"/>
              <w:left w:val="nil" w:sz="6" w:space="0" w:color="auto"/>
              <w:bottom w:val="nil" w:sz="6" w:space="0" w:color="auto"/>
              <w:right w:val="nil" w:sz="6" w:space="0" w:color="auto"/>
            </w:tcBorders>
          </w:tcPr>
          <w:p>
            <w:pPr>
              <w:pStyle w:val="TableParagraph"/>
              <w:tabs>
                <w:tab w:pos="900" w:val="left" w:leader="none"/>
              </w:tabs>
              <w:spacing w:line="240" w:lineRule="auto" w:before="19"/>
              <w:ind w:right="23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569" w:type="dxa"/>
            <w:tcBorders>
              <w:top w:val="nil" w:sz="6" w:space="0" w:color="auto"/>
              <w:left w:val="nil" w:sz="6" w:space="0" w:color="auto"/>
              <w:bottom w:val="nil" w:sz="6" w:space="0" w:color="auto"/>
              <w:right w:val="nil" w:sz="6" w:space="0" w:color="auto"/>
            </w:tcBorders>
          </w:tcPr>
          <w:p>
            <w:pPr>
              <w:pStyle w:val="TableParagraph"/>
              <w:tabs>
                <w:tab w:pos="1170" w:val="left" w:leader="none"/>
              </w:tabs>
              <w:spacing w:line="240" w:lineRule="auto" w:before="19"/>
              <w:ind w:right="108"/>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r>
      <w:tr>
        <w:trPr>
          <w:trHeight w:val="633"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59" w:lineRule="auto" w:before="105"/>
              <w:ind w:left="44" w:right="1127"/>
              <w:jc w:val="left"/>
              <w:rPr>
                <w:rFonts w:ascii="黑体" w:hAnsi="黑体" w:cs="黑体" w:eastAsia="黑体" w:hint="default"/>
                <w:sz w:val="18"/>
                <w:szCs w:val="18"/>
              </w:rPr>
            </w:pPr>
            <w:r>
              <w:rPr>
                <w:rFonts w:ascii="黑体" w:hAnsi="黑体" w:cs="黑体" w:eastAsia="黑体" w:hint="default"/>
                <w:sz w:val="18"/>
                <w:szCs w:val="18"/>
              </w:rPr>
              <w:t>二、本年年初余额 三、本年增减变动金额</w:t>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84"/>
              <w:jc w:val="right"/>
              <w:rPr>
                <w:rFonts w:ascii="Arial" w:hAnsi="Arial" w:cs="Arial" w:eastAsia="Arial" w:hint="default"/>
                <w:sz w:val="18"/>
                <w:szCs w:val="18"/>
              </w:rPr>
            </w:pPr>
            <w:r>
              <w:rPr>
                <w:rFonts w:ascii="Arial"/>
                <w:spacing w:val="-1"/>
                <w:sz w:val="18"/>
              </w:rPr>
              <w:t>466,683,575</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337" w:right="0"/>
              <w:jc w:val="left"/>
              <w:rPr>
                <w:rFonts w:ascii="Arial" w:hAnsi="Arial" w:cs="Arial" w:eastAsia="Arial" w:hint="default"/>
                <w:sz w:val="18"/>
                <w:szCs w:val="18"/>
              </w:rPr>
            </w:pPr>
            <w:r>
              <w:rPr>
                <w:rFonts w:ascii="Arial"/>
                <w:sz w:val="18"/>
              </w:rPr>
              <w:t>985,636,668</w:t>
            </w:r>
          </w:p>
        </w:tc>
        <w:tc>
          <w:tcPr>
            <w:tcW w:w="2826" w:type="dxa"/>
            <w:tcBorders>
              <w:top w:val="nil" w:sz="6" w:space="0" w:color="auto"/>
              <w:left w:val="nil" w:sz="6" w:space="0" w:color="auto"/>
              <w:bottom w:val="nil" w:sz="6" w:space="0" w:color="auto"/>
              <w:right w:val="nil" w:sz="6" w:space="0" w:color="auto"/>
            </w:tcBorders>
          </w:tcPr>
          <w:p>
            <w:pPr>
              <w:pStyle w:val="TableParagraph"/>
              <w:tabs>
                <w:tab w:pos="1623" w:val="left" w:leader="none"/>
              </w:tabs>
              <w:spacing w:line="240" w:lineRule="auto" w:before="146"/>
              <w:ind w:left="192" w:right="0"/>
              <w:jc w:val="left"/>
              <w:rPr>
                <w:rFonts w:ascii="Arial" w:hAnsi="Arial" w:cs="Arial" w:eastAsia="Arial" w:hint="default"/>
                <w:sz w:val="18"/>
                <w:szCs w:val="18"/>
              </w:rPr>
            </w:pPr>
            <w:r>
              <w:rPr>
                <w:rFonts w:ascii="Arial"/>
                <w:spacing w:val="-1"/>
                <w:sz w:val="18"/>
              </w:rPr>
              <w:t>189,550,229</w:t>
              <w:tab/>
              <w:t>446,569,298</w:t>
            </w:r>
            <w:r>
              <w:rPr>
                <w:rFonts w:ascii="Arial"/>
                <w:sz w:val="18"/>
              </w:rPr>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20"/>
              <w:jc w:val="right"/>
              <w:rPr>
                <w:rFonts w:ascii="Arial" w:hAnsi="Arial" w:cs="Arial" w:eastAsia="Arial" w:hint="default"/>
                <w:sz w:val="18"/>
                <w:szCs w:val="18"/>
              </w:rPr>
            </w:pPr>
            <w:r>
              <w:rPr>
                <w:rFonts w:ascii="Arial"/>
                <w:sz w:val="18"/>
              </w:rPr>
              <w:t>(778,356</w:t>
            </w:r>
            <w:r>
              <w:rPr>
                <w:rFonts w:ascii="Arial"/>
                <w:spacing w:val="-38"/>
                <w:sz w:val="18"/>
              </w:rPr>
              <w:t> </w:t>
            </w:r>
            <w:r>
              <w:rPr>
                <w:rFonts w:ascii="Arial"/>
                <w:sz w:val="18"/>
              </w:rPr>
              <w:t>)</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212" w:right="0"/>
              <w:jc w:val="left"/>
              <w:rPr>
                <w:rFonts w:ascii="Arial" w:hAnsi="Arial" w:cs="Arial" w:eastAsia="Arial" w:hint="default"/>
                <w:sz w:val="18"/>
                <w:szCs w:val="18"/>
              </w:rPr>
            </w:pPr>
            <w:r>
              <w:rPr>
                <w:rFonts w:ascii="Arial"/>
                <w:sz w:val="18"/>
              </w:rPr>
              <w:t>2,087,661,414</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26"/>
              <w:jc w:val="right"/>
              <w:rPr>
                <w:rFonts w:ascii="Arial" w:hAnsi="Arial" w:cs="Arial" w:eastAsia="Arial" w:hint="default"/>
                <w:sz w:val="18"/>
                <w:szCs w:val="18"/>
              </w:rPr>
            </w:pPr>
            <w:r>
              <w:rPr>
                <w:rFonts w:ascii="Arial"/>
                <w:spacing w:val="-1"/>
                <w:sz w:val="18"/>
              </w:rPr>
              <w:t>32,631,593</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10"/>
              <w:jc w:val="right"/>
              <w:rPr>
                <w:rFonts w:ascii="Arial" w:hAnsi="Arial" w:cs="Arial" w:eastAsia="Arial" w:hint="default"/>
                <w:sz w:val="18"/>
                <w:szCs w:val="18"/>
              </w:rPr>
            </w:pPr>
            <w:r>
              <w:rPr>
                <w:rFonts w:ascii="Arial"/>
                <w:spacing w:val="-1"/>
                <w:sz w:val="18"/>
              </w:rPr>
              <w:t>2,120,293,007</w:t>
            </w:r>
          </w:p>
        </w:tc>
      </w:tr>
      <w:tr>
        <w:trPr>
          <w:trHeight w:val="259"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31" w:lineRule="exact"/>
              <w:ind w:left="44" w:right="0"/>
              <w:jc w:val="left"/>
              <w:rPr>
                <w:rFonts w:ascii="黑体" w:hAnsi="黑体" w:cs="黑体" w:eastAsia="黑体" w:hint="default"/>
                <w:sz w:val="18"/>
                <w:szCs w:val="18"/>
              </w:rPr>
            </w:pPr>
            <w:r>
              <w:rPr>
                <w:rFonts w:ascii="Arial" w:hAnsi="Arial" w:cs="Arial" w:eastAsia="Arial" w:hint="default"/>
                <w:sz w:val="18"/>
                <w:szCs w:val="18"/>
              </w:rPr>
              <w:t>(</w:t>
            </w:r>
            <w:r>
              <w:rPr>
                <w:rFonts w:ascii="黑体" w:hAnsi="黑体" w:cs="黑体" w:eastAsia="黑体" w:hint="default"/>
                <w:sz w:val="18"/>
                <w:szCs w:val="18"/>
              </w:rPr>
              <w:t>一</w:t>
            </w:r>
            <w:r>
              <w:rPr>
                <w:rFonts w:ascii="Arial" w:hAnsi="Arial" w:cs="Arial" w:eastAsia="Arial" w:hint="default"/>
                <w:sz w:val="18"/>
                <w:szCs w:val="18"/>
              </w:rPr>
              <w:t>)</w:t>
            </w:r>
            <w:r>
              <w:rPr>
                <w:rFonts w:ascii="Arial" w:hAnsi="Arial" w:cs="Arial" w:eastAsia="Arial" w:hint="default"/>
                <w:spacing w:val="40"/>
                <w:sz w:val="18"/>
                <w:szCs w:val="18"/>
              </w:rPr>
              <w:t> </w:t>
            </w:r>
            <w:r>
              <w:rPr>
                <w:rFonts w:ascii="黑体" w:hAnsi="黑体" w:cs="黑体" w:eastAsia="黑体" w:hint="default"/>
                <w:sz w:val="18"/>
                <w:szCs w:val="18"/>
              </w:rPr>
              <w:t>净利润</w:t>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84"/>
              <w:jc w:val="right"/>
              <w:rPr>
                <w:rFonts w:ascii="Arial" w:hAnsi="Arial" w:cs="Arial" w:eastAsia="Arial" w:hint="default"/>
                <w:sz w:val="18"/>
                <w:szCs w:val="18"/>
              </w:rPr>
            </w:pPr>
            <w:r>
              <w:rPr>
                <w:rFonts w:ascii="Arial"/>
                <w:w w:val="99"/>
                <w:sz w:val="18"/>
              </w:rPr>
              <w:t>-</w:t>
            </w:r>
            <w:r>
              <w:rPr>
                <w:rFonts w:ascii="Arial"/>
                <w:sz w:val="18"/>
              </w:rPr>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8"/>
              <w:jc w:val="right"/>
              <w:rPr>
                <w:rFonts w:ascii="Arial" w:hAnsi="Arial" w:cs="Arial" w:eastAsia="Arial" w:hint="default"/>
                <w:sz w:val="18"/>
                <w:szCs w:val="18"/>
              </w:rPr>
            </w:pPr>
            <w:r>
              <w:rPr>
                <w:rFonts w:ascii="Arial"/>
                <w:w w:val="99"/>
                <w:sz w:val="18"/>
              </w:rPr>
              <w:t>-</w:t>
            </w:r>
            <w:r>
              <w:rPr>
                <w:rFonts w:ascii="Arial"/>
                <w:sz w:val="18"/>
              </w:rPr>
            </w:r>
          </w:p>
        </w:tc>
        <w:tc>
          <w:tcPr>
            <w:tcW w:w="2826" w:type="dxa"/>
            <w:tcBorders>
              <w:top w:val="nil" w:sz="6" w:space="0" w:color="auto"/>
              <w:left w:val="nil" w:sz="6" w:space="0" w:color="auto"/>
              <w:bottom w:val="nil" w:sz="6" w:space="0" w:color="auto"/>
              <w:right w:val="nil" w:sz="6" w:space="0" w:color="auto"/>
            </w:tcBorders>
          </w:tcPr>
          <w:p>
            <w:pPr>
              <w:pStyle w:val="TableParagraph"/>
              <w:tabs>
                <w:tab w:pos="1623" w:val="left" w:leader="none"/>
              </w:tabs>
              <w:spacing w:line="240" w:lineRule="auto" w:before="23"/>
              <w:ind w:left="1132" w:right="0"/>
              <w:jc w:val="left"/>
              <w:rPr>
                <w:rFonts w:ascii="Arial" w:hAnsi="Arial" w:cs="Arial" w:eastAsia="Arial" w:hint="default"/>
                <w:sz w:val="18"/>
                <w:szCs w:val="18"/>
              </w:rPr>
            </w:pPr>
            <w:r>
              <w:rPr>
                <w:rFonts w:ascii="Arial"/>
                <w:sz w:val="18"/>
              </w:rPr>
              <w:t>-</w:t>
              <w:tab/>
              <w:t>593,699,966</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1"/>
              <w:jc w:val="right"/>
              <w:rPr>
                <w:rFonts w:ascii="Arial" w:hAnsi="Arial" w:cs="Arial" w:eastAsia="Arial" w:hint="default"/>
                <w:sz w:val="18"/>
                <w:szCs w:val="18"/>
              </w:rPr>
            </w:pPr>
            <w:r>
              <w:rPr>
                <w:rFonts w:ascii="Arial"/>
                <w:w w:val="99"/>
                <w:sz w:val="18"/>
              </w:rPr>
              <w:t>-</w:t>
            </w:r>
            <w:r>
              <w:rPr>
                <w:rFonts w:ascii="Arial"/>
                <w:sz w:val="18"/>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9"/>
              <w:jc w:val="right"/>
              <w:rPr>
                <w:rFonts w:ascii="Arial" w:hAnsi="Arial" w:cs="Arial" w:eastAsia="Arial" w:hint="default"/>
                <w:sz w:val="18"/>
                <w:szCs w:val="18"/>
              </w:rPr>
            </w:pPr>
            <w:r>
              <w:rPr>
                <w:rFonts w:ascii="Arial"/>
                <w:spacing w:val="-1"/>
                <w:sz w:val="18"/>
              </w:rPr>
              <w:t>593,699,966</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6"/>
              <w:jc w:val="right"/>
              <w:rPr>
                <w:rFonts w:ascii="Arial" w:hAnsi="Arial" w:cs="Arial" w:eastAsia="Arial" w:hint="default"/>
                <w:sz w:val="18"/>
                <w:szCs w:val="18"/>
              </w:rPr>
            </w:pPr>
            <w:r>
              <w:rPr>
                <w:rFonts w:ascii="Arial"/>
                <w:spacing w:val="-1"/>
                <w:sz w:val="18"/>
              </w:rPr>
              <w:t>20,281,837</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9"/>
              <w:jc w:val="right"/>
              <w:rPr>
                <w:rFonts w:ascii="Arial" w:hAnsi="Arial" w:cs="Arial" w:eastAsia="Arial" w:hint="default"/>
                <w:sz w:val="18"/>
                <w:szCs w:val="18"/>
              </w:rPr>
            </w:pPr>
            <w:r>
              <w:rPr>
                <w:rFonts w:ascii="Arial"/>
                <w:spacing w:val="-1"/>
                <w:sz w:val="18"/>
              </w:rPr>
              <w:t>613,981,803</w:t>
            </w:r>
            <w:r>
              <w:rPr>
                <w:rFonts w:ascii="Arial"/>
                <w:sz w:val="18"/>
              </w:rPr>
            </w:r>
          </w:p>
        </w:tc>
      </w:tr>
      <w:tr>
        <w:trPr>
          <w:trHeight w:val="249"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26" w:lineRule="exact"/>
              <w:ind w:left="44" w:right="0"/>
              <w:jc w:val="left"/>
              <w:rPr>
                <w:rFonts w:ascii="Arial" w:hAnsi="Arial" w:cs="Arial" w:eastAsia="Arial" w:hint="default"/>
                <w:sz w:val="18"/>
                <w:szCs w:val="18"/>
              </w:rPr>
            </w:pPr>
            <w:r>
              <w:rPr>
                <w:rFonts w:ascii="Arial" w:hAnsi="Arial" w:cs="Arial" w:eastAsia="Arial" w:hint="default"/>
                <w:sz w:val="18"/>
                <w:szCs w:val="18"/>
              </w:rPr>
              <w:t>(</w:t>
            </w:r>
            <w:r>
              <w:rPr>
                <w:rFonts w:ascii="黑体" w:hAnsi="黑体" w:cs="黑体" w:eastAsia="黑体" w:hint="default"/>
                <w:sz w:val="18"/>
                <w:szCs w:val="18"/>
              </w:rPr>
              <w:t>二</w:t>
            </w:r>
            <w:r>
              <w:rPr>
                <w:rFonts w:ascii="Arial" w:hAnsi="Arial" w:cs="Arial" w:eastAsia="Arial" w:hint="default"/>
                <w:sz w:val="18"/>
                <w:szCs w:val="18"/>
              </w:rPr>
              <w:t>)</w:t>
            </w:r>
            <w:r>
              <w:rPr>
                <w:rFonts w:ascii="Arial" w:hAnsi="Arial" w:cs="Arial" w:eastAsia="Arial" w:hint="default"/>
                <w:spacing w:val="37"/>
                <w:sz w:val="18"/>
                <w:szCs w:val="18"/>
              </w:rPr>
              <w:t> </w:t>
            </w:r>
            <w:r>
              <w:rPr>
                <w:rFonts w:ascii="黑体" w:hAnsi="黑体" w:cs="黑体" w:eastAsia="黑体" w:hint="default"/>
                <w:sz w:val="18"/>
                <w:szCs w:val="18"/>
              </w:rPr>
              <w:t>其他综合收益</w:t>
            </w:r>
            <w:r>
              <w:rPr>
                <w:rFonts w:ascii="Arial" w:hAnsi="Arial" w:cs="Arial" w:eastAsia="Arial" w:hint="default"/>
                <w:sz w:val="18"/>
                <w:szCs w:val="18"/>
              </w:rPr>
              <w:t>(</w:t>
            </w:r>
            <w:r>
              <w:rPr>
                <w:rFonts w:ascii="黑体" w:hAnsi="黑体" w:cs="黑体" w:eastAsia="黑体" w:hint="default"/>
                <w:sz w:val="18"/>
                <w:szCs w:val="18"/>
              </w:rPr>
              <w:t>附注五、</w:t>
            </w:r>
            <w:r>
              <w:rPr>
                <w:rFonts w:ascii="Arial" w:hAnsi="Arial" w:cs="Arial" w:eastAsia="Arial" w:hint="default"/>
                <w:sz w:val="18"/>
                <w:szCs w:val="18"/>
              </w:rPr>
              <w:t>43)</w:t>
            </w:r>
          </w:p>
        </w:tc>
        <w:tc>
          <w:tcPr>
            <w:tcW w:w="1514" w:type="dxa"/>
            <w:tcBorders>
              <w:top w:val="nil" w:sz="6" w:space="0" w:color="auto"/>
              <w:left w:val="nil" w:sz="6" w:space="0" w:color="auto"/>
              <w:bottom w:val="nil" w:sz="6" w:space="0" w:color="auto"/>
              <w:right w:val="nil" w:sz="6" w:space="0" w:color="auto"/>
            </w:tcBorders>
          </w:tcPr>
          <w:p>
            <w:pPr>
              <w:pStyle w:val="TableParagraph"/>
              <w:tabs>
                <w:tab w:pos="989" w:val="left" w:leader="none"/>
              </w:tabs>
              <w:spacing w:line="240" w:lineRule="auto" w:before="18"/>
              <w:ind w:right="28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40"/>
              <w:jc w:val="right"/>
              <w:rPr>
                <w:rFonts w:ascii="Arial" w:hAnsi="Arial" w:cs="Arial" w:eastAsia="Arial" w:hint="default"/>
                <w:sz w:val="18"/>
                <w:szCs w:val="18"/>
              </w:rPr>
            </w:pPr>
            <w:r>
              <w:rPr>
                <w:rFonts w:ascii="Arial"/>
                <w:sz w:val="18"/>
              </w:rPr>
              <w:t>(</w:t>
            </w:r>
            <w:r>
              <w:rPr>
                <w:rFonts w:ascii="Arial"/>
                <w:sz w:val="18"/>
                <w:u w:val="single" w:color="000000"/>
              </w:rPr>
              <w:t>205,568,592</w:t>
            </w:r>
            <w:r>
              <w:rPr>
                <w:rFonts w:ascii="Arial"/>
                <w:spacing w:val="-41"/>
                <w:sz w:val="18"/>
                <w:u w:val="single" w:color="000000"/>
              </w:rPr>
              <w:t> </w:t>
            </w:r>
            <w:r>
              <w:rPr>
                <w:rFonts w:ascii="Arial"/>
                <w:spacing w:val="-41"/>
                <w:sz w:val="18"/>
              </w:rPr>
            </w:r>
            <w:r>
              <w:rPr>
                <w:rFonts w:ascii="Arial"/>
                <w:sz w:val="18"/>
              </w:rPr>
              <w:t>)</w:t>
            </w:r>
          </w:p>
        </w:tc>
        <w:tc>
          <w:tcPr>
            <w:tcW w:w="2826" w:type="dxa"/>
            <w:tcBorders>
              <w:top w:val="nil" w:sz="6" w:space="0" w:color="auto"/>
              <w:left w:val="nil" w:sz="6" w:space="0" w:color="auto"/>
              <w:bottom w:val="nil" w:sz="6" w:space="0" w:color="auto"/>
              <w:right w:val="nil" w:sz="6" w:space="0" w:color="auto"/>
            </w:tcBorders>
          </w:tcPr>
          <w:p>
            <w:pPr>
              <w:pStyle w:val="TableParagraph"/>
              <w:tabs>
                <w:tab w:pos="1132" w:val="left" w:leader="none"/>
                <w:tab w:pos="1573" w:val="left" w:leader="none"/>
                <w:tab w:pos="2564" w:val="left" w:leader="none"/>
              </w:tabs>
              <w:spacing w:line="240" w:lineRule="auto" w:before="18"/>
              <w:ind w:left="142"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tab/>
            </w:r>
            <w:r>
              <w:rPr>
                <w:rFonts w:ascii="Arial"/>
                <w:sz w:val="18"/>
                <w:u w:val="single" w:color="000000"/>
              </w:rPr>
              <w:t> </w:t>
              <w:tab/>
              <w:t>-</w:t>
            </w:r>
            <w:r>
              <w:rPr>
                <w:rFonts w:ascii="Arial"/>
                <w:sz w:val="18"/>
              </w:rPr>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00"/>
              <w:jc w:val="right"/>
              <w:rPr>
                <w:rFonts w:ascii="Arial" w:hAnsi="Arial" w:cs="Arial" w:eastAsia="Arial" w:hint="default"/>
                <w:sz w:val="18"/>
                <w:szCs w:val="18"/>
              </w:rPr>
            </w:pPr>
            <w:r>
              <w:rPr>
                <w:rFonts w:ascii="Arial"/>
                <w:w w:val="99"/>
                <w:sz w:val="18"/>
              </w:rPr>
            </w:r>
            <w:r>
              <w:rPr>
                <w:rFonts w:ascii="Arial"/>
                <w:spacing w:val="-1"/>
                <w:sz w:val="18"/>
                <w:u w:val="single" w:color="000000"/>
              </w:rPr>
              <w:t>714,570</w:t>
            </w:r>
            <w:r>
              <w:rPr>
                <w:rFonts w:ascii="Arial"/>
                <w:spacing w:val="-1"/>
                <w:sz w:val="18"/>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0"/>
              <w:jc w:val="right"/>
              <w:rPr>
                <w:rFonts w:ascii="Arial" w:hAnsi="Arial" w:cs="Arial" w:eastAsia="Arial" w:hint="default"/>
                <w:sz w:val="18"/>
                <w:szCs w:val="18"/>
              </w:rPr>
            </w:pPr>
            <w:r>
              <w:rPr>
                <w:rFonts w:ascii="Arial"/>
                <w:sz w:val="18"/>
              </w:rPr>
              <w:t>(   </w:t>
            </w:r>
            <w:r>
              <w:rPr>
                <w:rFonts w:ascii="Arial"/>
                <w:sz w:val="18"/>
                <w:u w:val="single" w:color="000000"/>
              </w:rPr>
              <w:t> 204,854,022</w:t>
            </w:r>
            <w:r>
              <w:rPr>
                <w:rFonts w:ascii="Arial"/>
                <w:spacing w:val="-10"/>
                <w:sz w:val="18"/>
                <w:u w:val="single" w:color="000000"/>
              </w:rPr>
              <w:t> </w:t>
            </w:r>
            <w:r>
              <w:rPr>
                <w:rFonts w:ascii="Arial"/>
                <w:spacing w:val="-10"/>
                <w:sz w:val="18"/>
              </w:rPr>
            </w:r>
            <w:r>
              <w:rPr>
                <w:rFonts w:ascii="Arial"/>
                <w:sz w:val="18"/>
              </w:rPr>
              <w:t>)</w:t>
            </w:r>
          </w:p>
        </w:tc>
        <w:tc>
          <w:tcPr>
            <w:tcW w:w="1570" w:type="dxa"/>
            <w:tcBorders>
              <w:top w:val="nil" w:sz="6" w:space="0" w:color="auto"/>
              <w:left w:val="nil" w:sz="6" w:space="0" w:color="auto"/>
              <w:bottom w:val="nil" w:sz="6" w:space="0" w:color="auto"/>
              <w:right w:val="nil" w:sz="6" w:space="0" w:color="auto"/>
            </w:tcBorders>
          </w:tcPr>
          <w:p>
            <w:pPr>
              <w:pStyle w:val="TableParagraph"/>
              <w:tabs>
                <w:tab w:pos="900" w:val="left" w:leader="none"/>
              </w:tabs>
              <w:spacing w:line="240" w:lineRule="auto" w:before="18"/>
              <w:ind w:right="226"/>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3"/>
              <w:jc w:val="right"/>
              <w:rPr>
                <w:rFonts w:ascii="Arial" w:hAnsi="Arial" w:cs="Arial" w:eastAsia="Arial" w:hint="default"/>
                <w:sz w:val="18"/>
                <w:szCs w:val="18"/>
              </w:rPr>
            </w:pPr>
            <w:r>
              <w:rPr>
                <w:rFonts w:ascii="Arial"/>
                <w:sz w:val="18"/>
              </w:rPr>
              <w:t>(  </w:t>
            </w:r>
            <w:r>
              <w:rPr>
                <w:rFonts w:ascii="Arial"/>
                <w:spacing w:val="34"/>
                <w:sz w:val="18"/>
              </w:rPr>
              <w:t> </w:t>
            </w:r>
            <w:r>
              <w:rPr>
                <w:rFonts w:ascii="Arial"/>
                <w:spacing w:val="34"/>
                <w:sz w:val="18"/>
                <w:u w:val="single" w:color="000000"/>
              </w:rPr>
              <w:t> </w:t>
            </w:r>
            <w:r>
              <w:rPr>
                <w:rFonts w:ascii="Arial"/>
                <w:sz w:val="18"/>
                <w:u w:val="single" w:color="000000"/>
              </w:rPr>
              <w:t>204,854,022</w:t>
            </w:r>
            <w:r>
              <w:rPr>
                <w:rFonts w:ascii="Arial"/>
                <w:sz w:val="18"/>
              </w:rPr>
              <w:t>)</w:t>
            </w:r>
          </w:p>
        </w:tc>
      </w:tr>
    </w:tbl>
    <w:p>
      <w:pPr>
        <w:tabs>
          <w:tab w:pos="3265" w:val="left" w:leader="none"/>
          <w:tab w:pos="4256" w:val="left" w:leader="none"/>
          <w:tab w:pos="4868" w:val="left" w:leader="none"/>
          <w:tab w:pos="6292" w:val="left" w:leader="none"/>
          <w:tab w:pos="7282" w:val="left" w:leader="none"/>
          <w:tab w:pos="7774" w:val="left" w:leader="none"/>
          <w:tab w:pos="9889" w:val="left" w:leader="none"/>
          <w:tab w:pos="10924" w:val="left" w:leader="none"/>
          <w:tab w:pos="12626" w:val="left" w:leader="none"/>
          <w:tab w:pos="14033" w:val="left" w:leader="none"/>
        </w:tabs>
        <w:spacing w:line="233" w:lineRule="exact" w:before="0"/>
        <w:ind w:left="159" w:right="0" w:firstLine="0"/>
        <w:jc w:val="left"/>
        <w:rPr>
          <w:rFonts w:ascii="Arial" w:hAnsi="Arial" w:cs="Arial" w:eastAsia="Arial" w:hint="default"/>
          <w:sz w:val="18"/>
          <w:szCs w:val="18"/>
        </w:rPr>
      </w:pPr>
      <w:r>
        <w:rPr>
          <w:rFonts w:ascii="黑体" w:hAnsi="黑体" w:cs="黑体" w:eastAsia="黑体" w:hint="default"/>
          <w:sz w:val="18"/>
          <w:szCs w:val="18"/>
        </w:rPr>
        <w:t>综合收益总额</w:t>
        <w:tab/>
      </w:r>
      <w:r>
        <w:rPr>
          <w:rFonts w:ascii="Arial" w:hAnsi="Arial" w:cs="Arial" w:eastAsia="Arial" w:hint="default"/>
          <w:sz w:val="18"/>
          <w:szCs w:val="18"/>
        </w:rPr>
      </w:r>
      <w:r>
        <w:rPr>
          <w:rFonts w:ascii="Arial" w:hAnsi="Arial" w:cs="Arial" w:eastAsia="Arial" w:hint="default"/>
          <w:sz w:val="18"/>
          <w:szCs w:val="18"/>
          <w:u w:val="single" w:color="000000"/>
        </w:rPr>
        <w:t> </w:t>
        <w:tab/>
        <w:t>-</w:t>
      </w:r>
      <w:r>
        <w:rPr>
          <w:rFonts w:ascii="Arial" w:hAnsi="Arial" w:cs="Arial" w:eastAsia="Arial" w:hint="default"/>
          <w:sz w:val="18"/>
          <w:szCs w:val="18"/>
        </w:rPr>
        <w:tab/>
      </w:r>
      <w:r>
        <w:rPr>
          <w:rFonts w:ascii="Arial" w:hAnsi="Arial" w:cs="Arial" w:eastAsia="Arial" w:hint="default"/>
          <w:spacing w:val="-1"/>
          <w:sz w:val="18"/>
          <w:szCs w:val="18"/>
        </w:rPr>
        <w:t>(</w:t>
      </w:r>
      <w:r>
        <w:rPr>
          <w:rFonts w:ascii="Arial" w:hAnsi="Arial" w:cs="Arial" w:eastAsia="Arial" w:hint="default"/>
          <w:spacing w:val="-1"/>
          <w:sz w:val="18"/>
          <w:szCs w:val="18"/>
          <w:u w:val="single" w:color="000000"/>
        </w:rPr>
        <w:t>205,568,592</w:t>
      </w:r>
      <w:r>
        <w:rPr>
          <w:rFonts w:ascii="Arial" w:hAnsi="Arial" w:cs="Arial" w:eastAsia="Arial" w:hint="default"/>
          <w:spacing w:val="-29"/>
          <w:sz w:val="18"/>
          <w:szCs w:val="18"/>
          <w:u w:val="single" w:color="000000"/>
        </w:rPr>
        <w:t> </w:t>
      </w:r>
      <w:r>
        <w:rPr>
          <w:rFonts w:ascii="Arial" w:hAnsi="Arial" w:cs="Arial" w:eastAsia="Arial" w:hint="default"/>
          <w:spacing w:val="-29"/>
          <w:sz w:val="18"/>
          <w:szCs w:val="18"/>
        </w:rPr>
      </w:r>
      <w:r>
        <w:rPr>
          <w:rFonts w:ascii="Arial" w:hAnsi="Arial" w:cs="Arial" w:eastAsia="Arial" w:hint="default"/>
          <w:sz w:val="18"/>
          <w:szCs w:val="18"/>
        </w:rPr>
        <w:t>)</w:t>
        <w:tab/>
      </w:r>
      <w:r>
        <w:rPr>
          <w:rFonts w:ascii="Arial" w:hAnsi="Arial" w:cs="Arial" w:eastAsia="Arial" w:hint="default"/>
          <w:sz w:val="18"/>
          <w:szCs w:val="18"/>
          <w:u w:val="single" w:color="000000"/>
        </w:rPr>
        <w:t> </w:t>
        <w:tab/>
        <w:t>-</w:t>
      </w:r>
      <w:r>
        <w:rPr>
          <w:rFonts w:ascii="Arial" w:hAnsi="Arial" w:cs="Arial" w:eastAsia="Arial" w:hint="default"/>
          <w:sz w:val="18"/>
          <w:szCs w:val="18"/>
        </w:rPr>
        <w:tab/>
      </w:r>
      <w:r>
        <w:rPr>
          <w:rFonts w:ascii="Arial" w:hAnsi="Arial" w:cs="Arial" w:eastAsia="Arial" w:hint="default"/>
          <w:spacing w:val="-1"/>
          <w:sz w:val="18"/>
          <w:szCs w:val="18"/>
          <w:u w:val="single" w:color="000000"/>
        </w:rPr>
        <w:t>593,699,966</w:t>
      </w:r>
      <w:r>
        <w:rPr>
          <w:rFonts w:ascii="Arial" w:hAnsi="Arial" w:cs="Arial" w:eastAsia="Arial" w:hint="default"/>
          <w:spacing w:val="-1"/>
          <w:sz w:val="18"/>
          <w:szCs w:val="18"/>
        </w:rPr>
        <w:tab/>
      </w:r>
      <w:r>
        <w:rPr>
          <w:rFonts w:ascii="Arial" w:hAnsi="Arial" w:cs="Arial" w:eastAsia="Arial" w:hint="default"/>
          <w:spacing w:val="-1"/>
          <w:sz w:val="18"/>
          <w:szCs w:val="18"/>
          <w:u w:val="single" w:color="000000"/>
        </w:rPr>
        <w:t>714,570</w:t>
      </w:r>
      <w:r>
        <w:rPr>
          <w:rFonts w:ascii="Arial" w:hAnsi="Arial" w:cs="Arial" w:eastAsia="Arial" w:hint="default"/>
          <w:spacing w:val="-1"/>
          <w:sz w:val="18"/>
          <w:szCs w:val="18"/>
        </w:rPr>
        <w:tab/>
      </w:r>
      <w:r>
        <w:rPr>
          <w:rFonts w:ascii="Arial" w:hAnsi="Arial" w:cs="Arial" w:eastAsia="Arial" w:hint="default"/>
          <w:spacing w:val="-1"/>
          <w:sz w:val="18"/>
          <w:szCs w:val="18"/>
          <w:u w:val="single" w:color="000000"/>
        </w:rPr>
        <w:t> 388,845,944</w:t>
      </w:r>
      <w:r>
        <w:rPr>
          <w:rFonts w:ascii="Arial" w:hAnsi="Arial" w:cs="Arial" w:eastAsia="Arial" w:hint="default"/>
          <w:spacing w:val="-1"/>
          <w:sz w:val="18"/>
          <w:szCs w:val="18"/>
        </w:rPr>
        <w:tab/>
      </w:r>
      <w:r>
        <w:rPr>
          <w:rFonts w:ascii="Arial" w:hAnsi="Arial" w:cs="Arial" w:eastAsia="Arial" w:hint="default"/>
          <w:spacing w:val="-1"/>
          <w:sz w:val="18"/>
          <w:szCs w:val="18"/>
          <w:u w:val="single" w:color="000000"/>
        </w:rPr>
        <w:t>20,281,837</w:t>
      </w:r>
      <w:r>
        <w:rPr>
          <w:rFonts w:ascii="Arial" w:hAnsi="Arial" w:cs="Arial" w:eastAsia="Arial" w:hint="default"/>
          <w:spacing w:val="-1"/>
          <w:sz w:val="18"/>
          <w:szCs w:val="18"/>
        </w:rPr>
        <w:tab/>
      </w:r>
      <w:r>
        <w:rPr>
          <w:rFonts w:ascii="Arial" w:hAnsi="Arial" w:cs="Arial" w:eastAsia="Arial" w:hint="default"/>
          <w:spacing w:val="-1"/>
          <w:sz w:val="18"/>
          <w:szCs w:val="18"/>
          <w:u w:val="single" w:color="000000"/>
        </w:rPr>
        <w:t> 409,127,781</w:t>
      </w:r>
      <w:r>
        <w:rPr>
          <w:rFonts w:ascii="Arial" w:hAnsi="Arial" w:cs="Arial" w:eastAsia="Arial" w:hint="default"/>
          <w:spacing w:val="-1"/>
          <w:sz w:val="18"/>
          <w:szCs w:val="18"/>
        </w:rPr>
      </w:r>
    </w:p>
    <w:p>
      <w:pPr>
        <w:spacing w:line="240" w:lineRule="auto" w:before="10"/>
        <w:rPr>
          <w:rFonts w:ascii="Arial" w:hAnsi="Arial" w:cs="Arial" w:eastAsia="Arial" w:hint="default"/>
          <w:sz w:val="18"/>
          <w:szCs w:val="18"/>
        </w:rPr>
      </w:pPr>
    </w:p>
    <w:p>
      <w:pPr>
        <w:spacing w:before="44"/>
        <w:ind w:left="159" w:right="6708" w:firstLine="0"/>
        <w:jc w:val="left"/>
        <w:rPr>
          <w:rFonts w:ascii="黑体" w:hAnsi="黑体" w:cs="黑体" w:eastAsia="黑体" w:hint="default"/>
          <w:sz w:val="18"/>
          <w:szCs w:val="18"/>
        </w:rPr>
      </w:pPr>
      <w:r>
        <w:rPr>
          <w:rFonts w:ascii="Arial" w:hAnsi="Arial" w:cs="Arial" w:eastAsia="Arial" w:hint="default"/>
          <w:sz w:val="18"/>
          <w:szCs w:val="18"/>
        </w:rPr>
        <w:t>(</w:t>
      </w:r>
      <w:r>
        <w:rPr>
          <w:rFonts w:ascii="黑体" w:hAnsi="黑体" w:cs="黑体" w:eastAsia="黑体" w:hint="default"/>
          <w:sz w:val="18"/>
          <w:szCs w:val="18"/>
        </w:rPr>
        <w:t>三</w:t>
      </w:r>
      <w:r>
        <w:rPr>
          <w:rFonts w:ascii="Arial" w:hAnsi="Arial" w:cs="Arial" w:eastAsia="Arial" w:hint="default"/>
          <w:sz w:val="18"/>
          <w:szCs w:val="18"/>
        </w:rPr>
        <w:t>)</w:t>
      </w:r>
      <w:r>
        <w:rPr>
          <w:rFonts w:ascii="Arial" w:hAnsi="Arial" w:cs="Arial" w:eastAsia="Arial" w:hint="default"/>
          <w:spacing w:val="39"/>
          <w:sz w:val="18"/>
          <w:szCs w:val="18"/>
        </w:rPr>
        <w:t> </w:t>
      </w:r>
      <w:r>
        <w:rPr>
          <w:rFonts w:ascii="黑体" w:hAnsi="黑体" w:cs="黑体" w:eastAsia="黑体" w:hint="default"/>
          <w:sz w:val="18"/>
          <w:szCs w:val="18"/>
        </w:rPr>
        <w:t>股东投入和减少资本</w:t>
      </w:r>
    </w:p>
    <w:p>
      <w:pPr>
        <w:tabs>
          <w:tab w:pos="3415" w:val="left" w:leader="none"/>
          <w:tab w:pos="4939" w:val="left" w:leader="none"/>
          <w:tab w:pos="7281" w:val="left" w:leader="none"/>
          <w:tab w:pos="8712" w:val="left" w:leader="none"/>
          <w:tab w:pos="10478" w:val="left" w:leader="none"/>
          <w:tab w:pos="11105" w:val="left" w:leader="none"/>
          <w:tab w:pos="13466" w:val="left" w:leader="none"/>
          <w:tab w:pos="14213" w:val="left" w:leader="none"/>
        </w:tabs>
        <w:spacing w:before="6"/>
        <w:ind w:left="368" w:right="0" w:firstLine="0"/>
        <w:jc w:val="left"/>
        <w:rPr>
          <w:rFonts w:ascii="Arial" w:hAnsi="Arial" w:cs="Arial" w:eastAsia="Arial" w:hint="default"/>
          <w:sz w:val="18"/>
          <w:szCs w:val="18"/>
        </w:rPr>
      </w:pPr>
      <w:r>
        <w:rPr>
          <w:rFonts w:ascii="Arial" w:hAnsi="Arial" w:cs="Arial" w:eastAsia="Arial" w:hint="default"/>
          <w:spacing w:val="-1"/>
          <w:sz w:val="18"/>
          <w:szCs w:val="18"/>
        </w:rPr>
        <w:t>1.</w:t>
      </w:r>
      <w:r>
        <w:rPr>
          <w:rFonts w:ascii="黑体" w:hAnsi="黑体" w:cs="黑体" w:eastAsia="黑体" w:hint="default"/>
          <w:spacing w:val="-1"/>
          <w:sz w:val="18"/>
          <w:szCs w:val="18"/>
        </w:rPr>
        <w:t>股东投入资本</w:t>
      </w:r>
      <w:r>
        <w:rPr>
          <w:rFonts w:ascii="Arial" w:hAnsi="Arial" w:cs="Arial" w:eastAsia="Arial" w:hint="default"/>
          <w:spacing w:val="-1"/>
          <w:sz w:val="18"/>
          <w:szCs w:val="18"/>
        </w:rPr>
        <w:t>(</w:t>
      </w:r>
      <w:r>
        <w:rPr>
          <w:rFonts w:ascii="黑体" w:hAnsi="黑体" w:cs="黑体" w:eastAsia="黑体" w:hint="default"/>
          <w:spacing w:val="-1"/>
          <w:sz w:val="18"/>
          <w:szCs w:val="18"/>
        </w:rPr>
        <w:t>附注五、</w:t>
      </w:r>
      <w:r>
        <w:rPr>
          <w:rFonts w:ascii="Arial" w:hAnsi="Arial" w:cs="Arial" w:eastAsia="Arial" w:hint="default"/>
          <w:spacing w:val="-1"/>
          <w:sz w:val="18"/>
          <w:szCs w:val="18"/>
        </w:rPr>
        <w:t>28)</w:t>
        <w:tab/>
        <w:t>21,196,982</w:t>
        <w:tab/>
        <w:t>259,144,516</w:t>
        <w:tab/>
      </w:r>
      <w:r>
        <w:rPr>
          <w:rFonts w:ascii="Arial" w:hAnsi="Arial" w:cs="Arial" w:eastAsia="Arial" w:hint="default"/>
          <w:sz w:val="18"/>
          <w:szCs w:val="18"/>
        </w:rPr>
        <w:t>-</w:t>
        <w:tab/>
        <w:t>-</w:t>
        <w:tab/>
        <w:t>-</w:t>
        <w:tab/>
      </w:r>
      <w:r>
        <w:rPr>
          <w:rFonts w:ascii="Arial" w:hAnsi="Arial" w:cs="Arial" w:eastAsia="Arial" w:hint="default"/>
          <w:spacing w:val="-1"/>
          <w:sz w:val="18"/>
          <w:szCs w:val="18"/>
        </w:rPr>
        <w:t>280,341,498</w:t>
        <w:tab/>
      </w:r>
      <w:r>
        <w:rPr>
          <w:rFonts w:ascii="Arial" w:hAnsi="Arial" w:cs="Arial" w:eastAsia="Arial" w:hint="default"/>
          <w:sz w:val="18"/>
          <w:szCs w:val="18"/>
        </w:rPr>
        <w:t>-</w:t>
        <w:tab/>
      </w:r>
      <w:r>
        <w:rPr>
          <w:rFonts w:ascii="Arial" w:hAnsi="Arial" w:cs="Arial" w:eastAsia="Arial" w:hint="default"/>
          <w:spacing w:val="-1"/>
          <w:sz w:val="18"/>
          <w:szCs w:val="18"/>
        </w:rPr>
        <w:t>280,341,498</w:t>
      </w:r>
      <w:r>
        <w:rPr>
          <w:rFonts w:ascii="Arial" w:hAnsi="Arial" w:cs="Arial" w:eastAsia="Arial" w:hint="default"/>
          <w:sz w:val="18"/>
          <w:szCs w:val="18"/>
        </w:rPr>
      </w:r>
    </w:p>
    <w:p>
      <w:pPr>
        <w:spacing w:line="240" w:lineRule="auto" w:before="2"/>
        <w:rPr>
          <w:rFonts w:ascii="Arial" w:hAnsi="Arial" w:cs="Arial" w:eastAsia="Arial" w:hint="default"/>
          <w:sz w:val="3"/>
          <w:szCs w:val="3"/>
        </w:rPr>
      </w:pPr>
    </w:p>
    <w:tbl>
      <w:tblPr>
        <w:tblW w:w="0" w:type="auto"/>
        <w:jc w:val="left"/>
        <w:tblInd w:w="333" w:type="dxa"/>
        <w:tblLayout w:type="fixed"/>
        <w:tblCellMar>
          <w:top w:w="0" w:type="dxa"/>
          <w:left w:w="0" w:type="dxa"/>
          <w:bottom w:w="0" w:type="dxa"/>
          <w:right w:w="0" w:type="dxa"/>
        </w:tblCellMar>
        <w:tblLook w:val="01E0"/>
      </w:tblPr>
      <w:tblGrid>
        <w:gridCol w:w="2723"/>
        <w:gridCol w:w="1572"/>
        <w:gridCol w:w="1516"/>
        <w:gridCol w:w="6232"/>
        <w:gridCol w:w="2949"/>
      </w:tblGrid>
      <w:tr>
        <w:trPr>
          <w:trHeight w:val="461" w:hRule="exact"/>
        </w:trPr>
        <w:tc>
          <w:tcPr>
            <w:tcW w:w="2723" w:type="dxa"/>
            <w:tcBorders>
              <w:top w:val="nil" w:sz="6" w:space="0" w:color="auto"/>
              <w:left w:val="nil" w:sz="6" w:space="0" w:color="auto"/>
              <w:bottom w:val="nil" w:sz="6" w:space="0" w:color="auto"/>
              <w:right w:val="nil" w:sz="6" w:space="0" w:color="auto"/>
            </w:tcBorders>
          </w:tcPr>
          <w:p>
            <w:pPr>
              <w:pStyle w:val="TableParagraph"/>
              <w:spacing w:line="191" w:lineRule="exact"/>
              <w:ind w:left="35" w:right="0"/>
              <w:jc w:val="left"/>
              <w:rPr>
                <w:rFonts w:ascii="黑体" w:hAnsi="黑体" w:cs="黑体" w:eastAsia="黑体" w:hint="default"/>
                <w:sz w:val="18"/>
                <w:szCs w:val="18"/>
              </w:rPr>
            </w:pPr>
            <w:r>
              <w:rPr>
                <w:rFonts w:ascii="Arial" w:hAnsi="Arial" w:cs="Arial" w:eastAsia="Arial" w:hint="default"/>
                <w:sz w:val="18"/>
                <w:szCs w:val="18"/>
              </w:rPr>
              <w:t>2.</w:t>
            </w:r>
            <w:r>
              <w:rPr>
                <w:rFonts w:ascii="黑体" w:hAnsi="黑体" w:cs="黑体" w:eastAsia="黑体" w:hint="default"/>
                <w:sz w:val="18"/>
                <w:szCs w:val="18"/>
              </w:rPr>
              <w:t>股份支付计入股东权益的金额</w:t>
            </w:r>
          </w:p>
          <w:p>
            <w:pPr>
              <w:pStyle w:val="TableParagraph"/>
              <w:spacing w:line="241" w:lineRule="exact"/>
              <w:ind w:left="305" w:right="0"/>
              <w:jc w:val="left"/>
              <w:rPr>
                <w:rFonts w:ascii="Arial" w:hAnsi="Arial" w:cs="Arial" w:eastAsia="Arial" w:hint="default"/>
                <w:sz w:val="18"/>
                <w:szCs w:val="18"/>
              </w:rPr>
            </w:pPr>
            <w:r>
              <w:rPr>
                <w:rFonts w:ascii="Arial" w:hAnsi="Arial" w:cs="Arial" w:eastAsia="Arial" w:hint="default"/>
                <w:sz w:val="18"/>
                <w:szCs w:val="18"/>
              </w:rPr>
              <w:t>(</w:t>
            </w:r>
            <w:r>
              <w:rPr>
                <w:rFonts w:ascii="黑体" w:hAnsi="黑体" w:cs="黑体" w:eastAsia="黑体" w:hint="default"/>
                <w:sz w:val="18"/>
                <w:szCs w:val="18"/>
              </w:rPr>
              <w:t>附注七</w:t>
            </w:r>
            <w:r>
              <w:rPr>
                <w:rFonts w:ascii="Arial" w:hAnsi="Arial" w:cs="Arial" w:eastAsia="Arial" w:hint="default"/>
                <w:sz w:val="18"/>
                <w:szCs w:val="18"/>
              </w:rPr>
              <w:t>)</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Arial" w:hAnsi="Arial" w:cs="Arial" w:eastAsia="Arial" w:hint="default"/>
                <w:sz w:val="19"/>
                <w:szCs w:val="19"/>
              </w:rPr>
            </w:pPr>
          </w:p>
          <w:p>
            <w:pPr>
              <w:pStyle w:val="TableParagraph"/>
              <w:tabs>
                <w:tab w:pos="509" w:val="left" w:leader="none"/>
              </w:tabs>
              <w:spacing w:line="240" w:lineRule="auto"/>
              <w:ind w:right="29"/>
              <w:jc w:val="center"/>
              <w:rPr>
                <w:rFonts w:ascii="Arial" w:hAnsi="Arial" w:cs="Arial" w:eastAsia="Arial" w:hint="default"/>
                <w:sz w:val="18"/>
                <w:szCs w:val="18"/>
              </w:rPr>
            </w:pPr>
            <w:r>
              <w:rPr>
                <w:rFonts w:ascii="Arial"/>
                <w:sz w:val="18"/>
              </w:rPr>
              <w:t>(</w:t>
              <w:tab/>
              <w:t>20,600</w:t>
            </w:r>
            <w:r>
              <w:rPr>
                <w:rFonts w:ascii="Arial"/>
                <w:spacing w:val="-32"/>
                <w:sz w:val="18"/>
              </w:rPr>
              <w:t> </w:t>
            </w:r>
            <w:r>
              <w:rPr>
                <w:rFonts w:ascii="Arial"/>
                <w:sz w:val="18"/>
              </w:rPr>
              <w:t>)</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Arial" w:hAnsi="Arial" w:cs="Arial" w:eastAsia="Arial" w:hint="default"/>
                <w:sz w:val="19"/>
                <w:szCs w:val="19"/>
              </w:rPr>
            </w:pPr>
          </w:p>
          <w:p>
            <w:pPr>
              <w:pStyle w:val="TableParagraph"/>
              <w:spacing w:line="240" w:lineRule="auto"/>
              <w:ind w:left="511" w:right="0"/>
              <w:jc w:val="left"/>
              <w:rPr>
                <w:rFonts w:ascii="Arial" w:hAnsi="Arial" w:cs="Arial" w:eastAsia="Arial" w:hint="default"/>
                <w:sz w:val="18"/>
                <w:szCs w:val="18"/>
              </w:rPr>
            </w:pPr>
            <w:r>
              <w:rPr>
                <w:rFonts w:ascii="Arial"/>
                <w:sz w:val="18"/>
              </w:rPr>
              <w:t>8,030,117</w:t>
            </w:r>
          </w:p>
        </w:tc>
        <w:tc>
          <w:tcPr>
            <w:tcW w:w="623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Arial" w:hAnsi="Arial" w:cs="Arial" w:eastAsia="Arial" w:hint="default"/>
                <w:sz w:val="19"/>
                <w:szCs w:val="19"/>
              </w:rPr>
            </w:pPr>
          </w:p>
          <w:p>
            <w:pPr>
              <w:pStyle w:val="TableParagraph"/>
              <w:tabs>
                <w:tab w:pos="2569" w:val="left" w:leader="none"/>
                <w:tab w:pos="4334" w:val="left" w:leader="none"/>
                <w:tab w:pos="5161" w:val="left" w:leader="none"/>
              </w:tabs>
              <w:spacing w:line="240" w:lineRule="auto"/>
              <w:ind w:left="1138" w:right="0"/>
              <w:jc w:val="left"/>
              <w:rPr>
                <w:rFonts w:ascii="Arial" w:hAnsi="Arial" w:cs="Arial" w:eastAsia="Arial" w:hint="default"/>
                <w:sz w:val="18"/>
                <w:szCs w:val="18"/>
              </w:rPr>
            </w:pPr>
            <w:r>
              <w:rPr>
                <w:rFonts w:ascii="Arial"/>
                <w:sz w:val="18"/>
              </w:rPr>
              <w:t>-</w:t>
              <w:tab/>
              <w:t>-</w:t>
              <w:tab/>
              <w:t>-</w:t>
              <w:tab/>
              <w:t>8,009,517</w:t>
            </w:r>
          </w:p>
        </w:tc>
        <w:tc>
          <w:tcPr>
            <w:tcW w:w="294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Arial" w:hAnsi="Arial" w:cs="Arial" w:eastAsia="Arial" w:hint="default"/>
                <w:sz w:val="19"/>
                <w:szCs w:val="19"/>
              </w:rPr>
            </w:pPr>
          </w:p>
          <w:p>
            <w:pPr>
              <w:pStyle w:val="TableParagraph"/>
              <w:tabs>
                <w:tab w:pos="948" w:val="left" w:leader="none"/>
              </w:tabs>
              <w:spacing w:line="240" w:lineRule="auto"/>
              <w:ind w:right="109"/>
              <w:jc w:val="right"/>
              <w:rPr>
                <w:rFonts w:ascii="Arial" w:hAnsi="Arial" w:cs="Arial" w:eastAsia="Arial" w:hint="default"/>
                <w:sz w:val="18"/>
                <w:szCs w:val="18"/>
              </w:rPr>
            </w:pPr>
            <w:r>
              <w:rPr>
                <w:rFonts w:ascii="Arial"/>
                <w:sz w:val="18"/>
              </w:rPr>
              <w:t>-</w:t>
              <w:tab/>
            </w:r>
            <w:r>
              <w:rPr>
                <w:rFonts w:ascii="Arial"/>
                <w:spacing w:val="-1"/>
                <w:sz w:val="18"/>
              </w:rPr>
              <w:t>8,009,517</w:t>
            </w:r>
            <w:r>
              <w:rPr>
                <w:rFonts w:ascii="Arial"/>
                <w:sz w:val="18"/>
              </w:rPr>
            </w:r>
          </w:p>
        </w:tc>
      </w:tr>
      <w:tr>
        <w:trPr>
          <w:trHeight w:val="260" w:hRule="exact"/>
        </w:trPr>
        <w:tc>
          <w:tcPr>
            <w:tcW w:w="2723"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Arial" w:hAnsi="Arial" w:cs="Arial" w:eastAsia="Arial" w:hint="default"/>
                <w:sz w:val="18"/>
                <w:szCs w:val="18"/>
              </w:rPr>
            </w:pPr>
            <w:r>
              <w:rPr>
                <w:rFonts w:ascii="Arial" w:hAnsi="Arial" w:cs="Arial" w:eastAsia="Arial" w:hint="default"/>
                <w:sz w:val="18"/>
                <w:szCs w:val="18"/>
              </w:rPr>
              <w:t>3.</w:t>
            </w:r>
            <w:r>
              <w:rPr>
                <w:rFonts w:ascii="黑体" w:hAnsi="黑体" w:cs="黑体" w:eastAsia="黑体" w:hint="default"/>
                <w:sz w:val="18"/>
                <w:szCs w:val="18"/>
              </w:rPr>
              <w:t>其他</w:t>
            </w:r>
            <w:r>
              <w:rPr>
                <w:rFonts w:ascii="Arial" w:hAnsi="Arial" w:cs="Arial" w:eastAsia="Arial" w:hint="default"/>
                <w:sz w:val="18"/>
                <w:szCs w:val="18"/>
              </w:rPr>
              <w:t>(</w:t>
            </w:r>
            <w:r>
              <w:rPr>
                <w:rFonts w:ascii="黑体" w:hAnsi="黑体" w:cs="黑体" w:eastAsia="黑体" w:hint="default"/>
                <w:sz w:val="18"/>
                <w:szCs w:val="18"/>
              </w:rPr>
              <w:t>附注五、</w:t>
            </w:r>
            <w:r>
              <w:rPr>
                <w:rFonts w:ascii="Arial" w:hAnsi="Arial" w:cs="Arial" w:eastAsia="Arial" w:hint="default"/>
                <w:sz w:val="18"/>
                <w:szCs w:val="18"/>
              </w:rPr>
              <w:t>28)</w:t>
            </w:r>
          </w:p>
        </w:tc>
        <w:tc>
          <w:tcPr>
            <w:tcW w:w="1572" w:type="dxa"/>
            <w:tcBorders>
              <w:top w:val="nil" w:sz="6" w:space="0" w:color="auto"/>
              <w:left w:val="nil" w:sz="6" w:space="0" w:color="auto"/>
              <w:bottom w:val="nil" w:sz="6" w:space="0" w:color="auto"/>
              <w:right w:val="nil" w:sz="6" w:space="0" w:color="auto"/>
            </w:tcBorders>
          </w:tcPr>
          <w:p>
            <w:pPr>
              <w:pStyle w:val="TableParagraph"/>
              <w:tabs>
                <w:tab w:pos="989" w:val="left" w:leader="none"/>
              </w:tabs>
              <w:spacing w:line="240" w:lineRule="auto" w:before="18"/>
              <w:ind w:right="101"/>
              <w:jc w:val="center"/>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29" w:right="0"/>
              <w:jc w:val="left"/>
              <w:rPr>
                <w:rFonts w:ascii="Arial" w:hAnsi="Arial" w:cs="Arial" w:eastAsia="Arial" w:hint="default"/>
                <w:sz w:val="18"/>
                <w:szCs w:val="18"/>
              </w:rPr>
            </w:pPr>
            <w:r>
              <w:rPr>
                <w:rFonts w:ascii="Arial"/>
                <w:sz w:val="18"/>
              </w:rPr>
              <w:t>( </w:t>
            </w:r>
            <w:r>
              <w:rPr>
                <w:rFonts w:ascii="Arial"/>
                <w:spacing w:val="19"/>
                <w:sz w:val="18"/>
              </w:rPr>
              <w:t> </w:t>
            </w:r>
            <w:r>
              <w:rPr>
                <w:rFonts w:ascii="Arial"/>
                <w:spacing w:val="19"/>
                <w:sz w:val="18"/>
                <w:u w:val="single" w:color="000000"/>
              </w:rPr>
              <w:t> </w:t>
            </w:r>
            <w:r>
              <w:rPr>
                <w:rFonts w:ascii="Arial"/>
                <w:sz w:val="18"/>
                <w:u w:val="single" w:color="000000"/>
              </w:rPr>
              <w:t>44,401,554</w:t>
            </w:r>
            <w:r>
              <w:rPr>
                <w:rFonts w:ascii="Arial"/>
                <w:sz w:val="18"/>
              </w:rPr>
              <w:t>)</w:t>
            </w:r>
          </w:p>
        </w:tc>
        <w:tc>
          <w:tcPr>
            <w:tcW w:w="6232" w:type="dxa"/>
            <w:tcBorders>
              <w:top w:val="nil" w:sz="6" w:space="0" w:color="auto"/>
              <w:left w:val="nil" w:sz="6" w:space="0" w:color="auto"/>
              <w:bottom w:val="nil" w:sz="6" w:space="0" w:color="auto"/>
              <w:right w:val="nil" w:sz="6" w:space="0" w:color="auto"/>
            </w:tcBorders>
          </w:tcPr>
          <w:p>
            <w:pPr>
              <w:pStyle w:val="TableParagraph"/>
              <w:tabs>
                <w:tab w:pos="647" w:val="left" w:leader="none"/>
                <w:tab w:pos="1579" w:val="left" w:leader="none"/>
                <w:tab w:pos="2570" w:val="left" w:leader="none"/>
                <w:tab w:pos="3705" w:val="left" w:leader="none"/>
                <w:tab w:pos="4335" w:val="left" w:leader="none"/>
                <w:tab w:pos="4730" w:val="left" w:leader="none"/>
                <w:tab w:pos="5060" w:val="left" w:leader="none"/>
              </w:tabs>
              <w:spacing w:line="240" w:lineRule="auto" w:before="18"/>
              <w:ind w:left="137" w:right="0"/>
              <w:jc w:val="left"/>
              <w:rPr>
                <w:rFonts w:ascii="Arial" w:hAnsi="Arial" w:cs="Arial" w:eastAsia="Arial" w:hint="default"/>
                <w:sz w:val="18"/>
                <w:szCs w:val="18"/>
              </w:rPr>
            </w:pPr>
            <w:r>
              <w:rPr>
                <w:rFonts w:ascii="Arial"/>
                <w:sz w:val="18"/>
              </w:rPr>
              <w:t>(</w:t>
            </w:r>
            <w:r>
              <w:rPr>
                <w:rFonts w:ascii="Arial"/>
                <w:sz w:val="18"/>
                <w:u w:val="single" w:color="000000"/>
              </w:rPr>
              <w:t> </w:t>
              <w:tab/>
              <w:t>39,729</w:t>
            </w:r>
            <w:r>
              <w:rPr>
                <w:rFonts w:ascii="Arial"/>
                <w:spacing w:val="-21"/>
                <w:sz w:val="18"/>
                <w:u w:val="single" w:color="000000"/>
              </w:rPr>
              <w:t> </w:t>
            </w:r>
            <w:r>
              <w:rPr>
                <w:rFonts w:ascii="Arial"/>
                <w:spacing w:val="-21"/>
                <w:sz w:val="18"/>
              </w:rPr>
            </w:r>
            <w:r>
              <w:rPr>
                <w:rFonts w:ascii="Arial"/>
                <w:sz w:val="18"/>
              </w:rPr>
              <w:t>)</w:t>
              <w:tab/>
            </w:r>
            <w:r>
              <w:rPr>
                <w:rFonts w:ascii="Arial"/>
                <w:sz w:val="18"/>
                <w:u w:val="single" w:color="000000"/>
              </w:rPr>
              <w:t> </w:t>
              <w:tab/>
              <w:t>-</w:t>
            </w:r>
            <w:r>
              <w:rPr>
                <w:rFonts w:ascii="Arial"/>
                <w:sz w:val="18"/>
              </w:rPr>
              <w:tab/>
            </w:r>
            <w:r>
              <w:rPr>
                <w:rFonts w:ascii="Arial"/>
                <w:sz w:val="18"/>
                <w:u w:val="single" w:color="000000"/>
              </w:rPr>
              <w:t> </w:t>
              <w:tab/>
              <w:t>-</w:t>
            </w:r>
            <w:r>
              <w:rPr>
                <w:rFonts w:ascii="Arial"/>
                <w:sz w:val="18"/>
              </w:rPr>
              <w:tab/>
              <w:t>(</w:t>
            </w:r>
            <w:r>
              <w:rPr>
                <w:rFonts w:ascii="Arial"/>
                <w:sz w:val="18"/>
                <w:u w:val="single" w:color="000000"/>
              </w:rPr>
              <w:t> </w:t>
              <w:tab/>
              <w:t>44,441,283</w:t>
            </w:r>
            <w:r>
              <w:rPr>
                <w:rFonts w:ascii="Arial"/>
                <w:spacing w:val="-38"/>
                <w:sz w:val="18"/>
                <w:u w:val="single" w:color="000000"/>
              </w:rPr>
              <w:t> </w:t>
            </w:r>
            <w:r>
              <w:rPr>
                <w:rFonts w:ascii="Arial"/>
                <w:spacing w:val="-38"/>
                <w:sz w:val="18"/>
              </w:rPr>
            </w:r>
            <w:r>
              <w:rPr>
                <w:rFonts w:ascii="Arial"/>
                <w:sz w:val="18"/>
              </w:rPr>
              <w:t>)</w:t>
            </w:r>
          </w:p>
        </w:tc>
        <w:tc>
          <w:tcPr>
            <w:tcW w:w="2949" w:type="dxa"/>
            <w:tcBorders>
              <w:top w:val="nil" w:sz="6" w:space="0" w:color="auto"/>
              <w:left w:val="nil" w:sz="6" w:space="0" w:color="auto"/>
              <w:bottom w:val="nil" w:sz="6" w:space="0" w:color="auto"/>
              <w:right w:val="nil" w:sz="6" w:space="0" w:color="auto"/>
            </w:tcBorders>
          </w:tcPr>
          <w:p>
            <w:pPr>
              <w:pStyle w:val="TableParagraph"/>
              <w:tabs>
                <w:tab w:pos="1417" w:val="left" w:leader="none"/>
                <w:tab w:pos="1746" w:val="left" w:leader="none"/>
              </w:tabs>
              <w:spacing w:line="240" w:lineRule="auto" w:before="18"/>
              <w:ind w:right="33"/>
              <w:jc w:val="right"/>
              <w:rPr>
                <w:rFonts w:ascii="Arial" w:hAnsi="Arial" w:cs="Arial" w:eastAsia="Arial" w:hint="default"/>
                <w:sz w:val="18"/>
                <w:szCs w:val="18"/>
              </w:rPr>
            </w:pPr>
            <w:r>
              <w:rPr>
                <w:rFonts w:ascii="Arial"/>
                <w:sz w:val="18"/>
              </w:rPr>
              <w:t>(</w:t>
            </w:r>
            <w:r>
              <w:rPr>
                <w:rFonts w:ascii="Arial"/>
                <w:sz w:val="18"/>
                <w:u w:val="single" w:color="000000"/>
              </w:rPr>
              <w:t>14,367,031</w:t>
            </w:r>
            <w:r>
              <w:rPr>
                <w:rFonts w:ascii="Arial"/>
                <w:spacing w:val="-43"/>
                <w:sz w:val="18"/>
                <w:u w:val="single" w:color="000000"/>
              </w:rPr>
              <w:t> </w:t>
            </w:r>
            <w:r>
              <w:rPr>
                <w:rFonts w:ascii="Arial"/>
                <w:spacing w:val="-43"/>
                <w:sz w:val="18"/>
              </w:rPr>
            </w:r>
            <w:r>
              <w:rPr>
                <w:rFonts w:ascii="Arial"/>
                <w:sz w:val="18"/>
              </w:rPr>
              <w:t>)</w:t>
              <w:tab/>
              <w:t>(</w:t>
            </w:r>
            <w:r>
              <w:rPr>
                <w:rFonts w:ascii="Arial"/>
                <w:sz w:val="18"/>
                <w:u w:val="single" w:color="000000"/>
              </w:rPr>
              <w:t> </w:t>
              <w:tab/>
              <w:t>58,808,314</w:t>
            </w:r>
            <w:r>
              <w:rPr>
                <w:rFonts w:ascii="Arial"/>
                <w:sz w:val="18"/>
              </w:rPr>
              <w:t>)</w:t>
            </w:r>
          </w:p>
        </w:tc>
      </w:tr>
      <w:tr>
        <w:trPr>
          <w:trHeight w:val="318" w:hRule="exact"/>
        </w:trPr>
        <w:tc>
          <w:tcPr>
            <w:tcW w:w="2723" w:type="dxa"/>
            <w:tcBorders>
              <w:top w:val="nil" w:sz="6" w:space="0" w:color="auto"/>
              <w:left w:val="nil" w:sz="6" w:space="0" w:color="auto"/>
              <w:bottom w:val="nil" w:sz="6" w:space="0" w:color="auto"/>
              <w:right w:val="nil" w:sz="6" w:space="0" w:color="auto"/>
            </w:tcBorders>
          </w:tcPr>
          <w:p>
            <w:pP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0"/>
              <w:jc w:val="center"/>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z w:val="18"/>
                <w:u w:val="single" w:color="000000"/>
              </w:rPr>
              <w:t>21,176,382</w:t>
            </w:r>
            <w:r>
              <w:rPr>
                <w:rFonts w:ascii="Arial"/>
                <w:sz w:val="18"/>
              </w:rPr>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11" w:right="0"/>
              <w:jc w:val="left"/>
              <w:rPr>
                <w:rFonts w:ascii="Arial" w:hAnsi="Arial" w:cs="Arial" w:eastAsia="Arial" w:hint="default"/>
                <w:sz w:val="18"/>
                <w:szCs w:val="18"/>
              </w:rPr>
            </w:pPr>
            <w:r>
              <w:rPr>
                <w:rFonts w:ascii="Arial"/>
                <w:w w:val="99"/>
                <w:sz w:val="18"/>
              </w:rPr>
            </w:r>
            <w:r>
              <w:rPr>
                <w:rFonts w:ascii="Arial"/>
                <w:sz w:val="18"/>
                <w:u w:val="single" w:color="000000"/>
              </w:rPr>
              <w:t>222,773,079</w:t>
            </w:r>
            <w:r>
              <w:rPr>
                <w:rFonts w:ascii="Arial"/>
                <w:sz w:val="18"/>
              </w:rPr>
            </w:r>
          </w:p>
        </w:tc>
        <w:tc>
          <w:tcPr>
            <w:tcW w:w="6232" w:type="dxa"/>
            <w:tcBorders>
              <w:top w:val="nil" w:sz="6" w:space="0" w:color="auto"/>
              <w:left w:val="nil" w:sz="6" w:space="0" w:color="auto"/>
              <w:bottom w:val="nil" w:sz="6" w:space="0" w:color="auto"/>
              <w:right w:val="nil" w:sz="6" w:space="0" w:color="auto"/>
            </w:tcBorders>
          </w:tcPr>
          <w:p>
            <w:pPr>
              <w:pStyle w:val="TableParagraph"/>
              <w:tabs>
                <w:tab w:pos="647" w:val="left" w:leader="none"/>
                <w:tab w:pos="1579" w:val="left" w:leader="none"/>
                <w:tab w:pos="2570" w:val="left" w:leader="none"/>
                <w:tab w:pos="3705" w:val="left" w:leader="none"/>
                <w:tab w:pos="4335" w:val="left" w:leader="none"/>
                <w:tab w:pos="4780" w:val="left" w:leader="none"/>
              </w:tabs>
              <w:spacing w:line="240" w:lineRule="auto" w:before="15"/>
              <w:ind w:left="137" w:right="0"/>
              <w:jc w:val="left"/>
              <w:rPr>
                <w:rFonts w:ascii="Arial" w:hAnsi="Arial" w:cs="Arial" w:eastAsia="Arial" w:hint="default"/>
                <w:sz w:val="18"/>
                <w:szCs w:val="18"/>
              </w:rPr>
            </w:pPr>
            <w:r>
              <w:rPr>
                <w:rFonts w:ascii="Arial"/>
                <w:sz w:val="18"/>
              </w:rPr>
              <w:t>(</w:t>
            </w:r>
            <w:r>
              <w:rPr>
                <w:rFonts w:ascii="Arial"/>
                <w:sz w:val="18"/>
                <w:u w:val="single" w:color="000000"/>
              </w:rPr>
              <w:t> </w:t>
              <w:tab/>
              <w:t>39,729</w:t>
            </w:r>
            <w:r>
              <w:rPr>
                <w:rFonts w:ascii="Arial"/>
                <w:spacing w:val="-21"/>
                <w:sz w:val="18"/>
                <w:u w:val="single" w:color="000000"/>
              </w:rPr>
              <w:t> </w:t>
            </w:r>
            <w:r>
              <w:rPr>
                <w:rFonts w:ascii="Arial"/>
                <w:spacing w:val="-21"/>
                <w:sz w:val="18"/>
              </w:rPr>
            </w:r>
            <w:r>
              <w:rPr>
                <w:rFonts w:ascii="Arial"/>
                <w:sz w:val="18"/>
              </w:rPr>
              <w:t>)</w:t>
              <w:tab/>
            </w:r>
            <w:r>
              <w:rPr>
                <w:rFonts w:ascii="Arial"/>
                <w:sz w:val="18"/>
                <w:u w:val="single" w:color="000000"/>
              </w:rPr>
              <w:t> </w:t>
              <w:tab/>
              <w:t>-</w:t>
            </w:r>
            <w:r>
              <w:rPr>
                <w:rFonts w:ascii="Arial"/>
                <w:sz w:val="18"/>
              </w:rPr>
              <w:tab/>
            </w:r>
            <w:r>
              <w:rPr>
                <w:rFonts w:ascii="Arial"/>
                <w:sz w:val="18"/>
                <w:u w:val="single" w:color="000000"/>
              </w:rPr>
              <w:t> </w:t>
              <w:tab/>
              <w:t>-</w:t>
            </w:r>
            <w:r>
              <w:rPr>
                <w:rFonts w:ascii="Arial"/>
                <w:sz w:val="18"/>
              </w:rPr>
              <w:tab/>
            </w:r>
            <w:r>
              <w:rPr>
                <w:rFonts w:ascii="Arial"/>
                <w:sz w:val="18"/>
                <w:u w:val="single" w:color="000000"/>
              </w:rPr>
              <w:t> 243,909,732</w:t>
            </w:r>
            <w:r>
              <w:rPr>
                <w:rFonts w:ascii="Arial"/>
                <w:sz w:val="18"/>
              </w:rPr>
            </w:r>
          </w:p>
        </w:tc>
        <w:tc>
          <w:tcPr>
            <w:tcW w:w="2949" w:type="dxa"/>
            <w:tcBorders>
              <w:top w:val="nil" w:sz="6" w:space="0" w:color="auto"/>
              <w:left w:val="nil" w:sz="6" w:space="0" w:color="auto"/>
              <w:bottom w:val="nil" w:sz="6" w:space="0" w:color="auto"/>
              <w:right w:val="nil" w:sz="6" w:space="0" w:color="auto"/>
            </w:tcBorders>
          </w:tcPr>
          <w:p>
            <w:pPr>
              <w:pStyle w:val="TableParagraph"/>
              <w:tabs>
                <w:tab w:pos="1657" w:val="left" w:leader="none"/>
              </w:tabs>
              <w:spacing w:line="240" w:lineRule="auto" w:before="15"/>
              <w:ind w:left="190" w:right="0"/>
              <w:jc w:val="left"/>
              <w:rPr>
                <w:rFonts w:ascii="Arial" w:hAnsi="Arial" w:cs="Arial" w:eastAsia="Arial" w:hint="default"/>
                <w:sz w:val="18"/>
                <w:szCs w:val="18"/>
              </w:rPr>
            </w:pPr>
            <w:r>
              <w:rPr>
                <w:rFonts w:ascii="Arial"/>
                <w:sz w:val="18"/>
              </w:rPr>
              <w:t>(</w:t>
            </w:r>
            <w:r>
              <w:rPr>
                <w:rFonts w:ascii="Arial"/>
                <w:sz w:val="18"/>
                <w:u w:val="single" w:color="000000"/>
              </w:rPr>
              <w:t>14,367,031</w:t>
            </w:r>
            <w:r>
              <w:rPr>
                <w:rFonts w:ascii="Arial"/>
                <w:spacing w:val="-42"/>
                <w:sz w:val="18"/>
                <w:u w:val="single" w:color="000000"/>
              </w:rPr>
              <w:t> </w:t>
            </w:r>
            <w:r>
              <w:rPr>
                <w:rFonts w:ascii="Arial"/>
                <w:spacing w:val="-42"/>
                <w:sz w:val="18"/>
              </w:rPr>
            </w:r>
            <w:r>
              <w:rPr>
                <w:rFonts w:ascii="Arial"/>
                <w:sz w:val="18"/>
              </w:rPr>
              <w:t>)</w:t>
              <w:tab/>
            </w:r>
            <w:r>
              <w:rPr>
                <w:rFonts w:ascii="Arial"/>
                <w:sz w:val="18"/>
                <w:u w:val="single" w:color="000000"/>
              </w:rPr>
              <w:t> 229,542,701</w:t>
            </w:r>
            <w:r>
              <w:rPr>
                <w:rFonts w:ascii="Arial"/>
                <w:sz w:val="18"/>
              </w:rPr>
            </w:r>
          </w:p>
        </w:tc>
      </w:tr>
    </w:tbl>
    <w:p>
      <w:pPr>
        <w:spacing w:line="240" w:lineRule="auto" w:before="6"/>
        <w:rPr>
          <w:rFonts w:ascii="Arial" w:hAnsi="Arial" w:cs="Arial" w:eastAsia="Arial" w:hint="default"/>
          <w:sz w:val="10"/>
          <w:szCs w:val="10"/>
        </w:rPr>
      </w:pPr>
    </w:p>
    <w:p>
      <w:pPr>
        <w:spacing w:before="44"/>
        <w:ind w:left="159" w:right="6708" w:firstLine="0"/>
        <w:jc w:val="left"/>
        <w:rPr>
          <w:rFonts w:ascii="黑体" w:hAnsi="黑体" w:cs="黑体" w:eastAsia="黑体" w:hint="default"/>
          <w:sz w:val="18"/>
          <w:szCs w:val="18"/>
        </w:rPr>
      </w:pPr>
      <w:r>
        <w:rPr>
          <w:rFonts w:ascii="Arial" w:hAnsi="Arial" w:cs="Arial" w:eastAsia="Arial" w:hint="default"/>
          <w:sz w:val="18"/>
          <w:szCs w:val="18"/>
        </w:rPr>
        <w:t>(</w:t>
      </w:r>
      <w:r>
        <w:rPr>
          <w:rFonts w:ascii="黑体" w:hAnsi="黑体" w:cs="黑体" w:eastAsia="黑体" w:hint="default"/>
          <w:sz w:val="18"/>
          <w:szCs w:val="18"/>
        </w:rPr>
        <w:t>四</w:t>
      </w:r>
      <w:r>
        <w:rPr>
          <w:rFonts w:ascii="Arial" w:hAnsi="Arial" w:cs="Arial" w:eastAsia="Arial" w:hint="default"/>
          <w:sz w:val="18"/>
          <w:szCs w:val="18"/>
        </w:rPr>
        <w:t>)</w:t>
      </w:r>
      <w:r>
        <w:rPr>
          <w:rFonts w:ascii="Arial" w:hAnsi="Arial" w:cs="Arial" w:eastAsia="Arial" w:hint="default"/>
          <w:spacing w:val="39"/>
          <w:sz w:val="18"/>
          <w:szCs w:val="18"/>
        </w:rPr>
        <w:t> </w:t>
      </w:r>
      <w:r>
        <w:rPr>
          <w:rFonts w:ascii="黑体" w:hAnsi="黑体" w:cs="黑体" w:eastAsia="黑体" w:hint="default"/>
          <w:sz w:val="18"/>
          <w:szCs w:val="18"/>
        </w:rPr>
        <w:t>利润分配</w:t>
      </w:r>
    </w:p>
    <w:p>
      <w:pPr>
        <w:tabs>
          <w:tab w:pos="4255" w:val="left" w:leader="none"/>
          <w:tab w:pos="5879" w:val="left" w:leader="none"/>
          <w:tab w:pos="6442" w:val="left" w:leader="none"/>
          <w:tab w:pos="7711" w:val="left" w:leader="none"/>
          <w:tab w:pos="10479" w:val="left" w:leader="none"/>
          <w:tab w:pos="12045" w:val="left" w:leader="none"/>
          <w:tab w:pos="13467" w:val="left" w:leader="none"/>
          <w:tab w:pos="15154" w:val="left" w:leader="none"/>
        </w:tabs>
        <w:spacing w:before="6"/>
        <w:ind w:left="368" w:right="0" w:firstLine="0"/>
        <w:jc w:val="left"/>
        <w:rPr>
          <w:rFonts w:ascii="Arial" w:hAnsi="Arial" w:cs="Arial" w:eastAsia="Arial" w:hint="default"/>
          <w:sz w:val="18"/>
          <w:szCs w:val="18"/>
        </w:rPr>
      </w:pPr>
      <w:r>
        <w:rPr>
          <w:rFonts w:ascii="Arial" w:hAnsi="Arial" w:cs="Arial" w:eastAsia="Arial" w:hint="default"/>
          <w:spacing w:val="-1"/>
          <w:sz w:val="18"/>
          <w:szCs w:val="18"/>
        </w:rPr>
        <w:t>1.</w:t>
      </w:r>
      <w:r>
        <w:rPr>
          <w:rFonts w:ascii="黑体" w:hAnsi="黑体" w:cs="黑体" w:eastAsia="黑体" w:hint="default"/>
          <w:spacing w:val="-1"/>
          <w:sz w:val="18"/>
          <w:szCs w:val="18"/>
        </w:rPr>
        <w:t>提取盈余公积</w:t>
      </w:r>
      <w:r>
        <w:rPr>
          <w:rFonts w:ascii="Arial" w:hAnsi="Arial" w:cs="Arial" w:eastAsia="Arial" w:hint="default"/>
          <w:spacing w:val="-1"/>
          <w:sz w:val="18"/>
          <w:szCs w:val="18"/>
        </w:rPr>
        <w:t>(</w:t>
      </w:r>
      <w:r>
        <w:rPr>
          <w:rFonts w:ascii="黑体" w:hAnsi="黑体" w:cs="黑体" w:eastAsia="黑体" w:hint="default"/>
          <w:spacing w:val="-1"/>
          <w:sz w:val="18"/>
          <w:szCs w:val="18"/>
        </w:rPr>
        <w:t>附注五、</w:t>
      </w:r>
      <w:r>
        <w:rPr>
          <w:rFonts w:ascii="Arial" w:hAnsi="Arial" w:cs="Arial" w:eastAsia="Arial" w:hint="default"/>
          <w:spacing w:val="-1"/>
          <w:sz w:val="18"/>
          <w:szCs w:val="18"/>
        </w:rPr>
        <w:t>30)</w:t>
        <w:tab/>
      </w:r>
      <w:r>
        <w:rPr>
          <w:rFonts w:ascii="Arial" w:hAnsi="Arial" w:cs="Arial" w:eastAsia="Arial" w:hint="default"/>
          <w:sz w:val="18"/>
          <w:szCs w:val="18"/>
        </w:rPr>
        <w:t>-</w:t>
        <w:tab/>
        <w:t>-</w:t>
        <w:tab/>
      </w:r>
      <w:r>
        <w:rPr>
          <w:rFonts w:ascii="Arial" w:hAnsi="Arial" w:cs="Arial" w:eastAsia="Arial" w:hint="default"/>
          <w:spacing w:val="-1"/>
          <w:sz w:val="18"/>
          <w:szCs w:val="18"/>
        </w:rPr>
        <w:t>81,603,564</w:t>
        <w:tab/>
      </w:r>
      <w:r>
        <w:rPr>
          <w:rFonts w:ascii="Arial" w:hAnsi="Arial" w:cs="Arial" w:eastAsia="Arial" w:hint="default"/>
          <w:sz w:val="18"/>
          <w:szCs w:val="18"/>
        </w:rPr>
        <w:t>( </w:t>
      </w:r>
      <w:r>
        <w:rPr>
          <w:rFonts w:ascii="Arial" w:hAnsi="Arial" w:cs="Arial" w:eastAsia="Arial" w:hint="default"/>
          <w:spacing w:val="3"/>
          <w:sz w:val="18"/>
          <w:szCs w:val="18"/>
        </w:rPr>
        <w:t> </w:t>
      </w:r>
      <w:r>
        <w:rPr>
          <w:rFonts w:ascii="Arial" w:hAnsi="Arial" w:cs="Arial" w:eastAsia="Arial" w:hint="default"/>
          <w:sz w:val="18"/>
          <w:szCs w:val="18"/>
        </w:rPr>
        <w:t>81,603,564)</w:t>
        <w:tab/>
        <w:t>-</w:t>
        <w:tab/>
        <w:t>-</w:t>
        <w:tab/>
        <w:t>-</w:t>
        <w:tab/>
        <w:t>-</w:t>
      </w:r>
    </w:p>
    <w:p>
      <w:pPr>
        <w:spacing w:line="240" w:lineRule="auto" w:before="2"/>
        <w:rPr>
          <w:rFonts w:ascii="Arial" w:hAnsi="Arial" w:cs="Arial" w:eastAsia="Arial" w:hint="default"/>
          <w:sz w:val="3"/>
          <w:szCs w:val="3"/>
        </w:rPr>
      </w:pPr>
    </w:p>
    <w:tbl>
      <w:tblPr>
        <w:tblW w:w="0" w:type="auto"/>
        <w:jc w:val="left"/>
        <w:tblInd w:w="334" w:type="dxa"/>
        <w:tblLayout w:type="fixed"/>
        <w:tblCellMar>
          <w:top w:w="0" w:type="dxa"/>
          <w:left w:w="0" w:type="dxa"/>
          <w:bottom w:w="0" w:type="dxa"/>
          <w:right w:w="0" w:type="dxa"/>
        </w:tblCellMar>
        <w:tblLook w:val="01E0"/>
      </w:tblPr>
      <w:tblGrid>
        <w:gridCol w:w="2623"/>
        <w:gridCol w:w="1646"/>
        <w:gridCol w:w="1534"/>
        <w:gridCol w:w="1392"/>
        <w:gridCol w:w="1819"/>
        <w:gridCol w:w="1355"/>
        <w:gridCol w:w="1665"/>
        <w:gridCol w:w="1428"/>
        <w:gridCol w:w="1531"/>
      </w:tblGrid>
      <w:tr>
        <w:trPr>
          <w:trHeight w:val="248" w:hRule="exact"/>
        </w:trPr>
        <w:tc>
          <w:tcPr>
            <w:tcW w:w="2623" w:type="dxa"/>
            <w:tcBorders>
              <w:top w:val="nil" w:sz="6" w:space="0" w:color="auto"/>
              <w:left w:val="nil" w:sz="6" w:space="0" w:color="auto"/>
              <w:bottom w:val="nil" w:sz="6" w:space="0" w:color="auto"/>
              <w:right w:val="nil" w:sz="6" w:space="0" w:color="auto"/>
            </w:tcBorders>
          </w:tcPr>
          <w:p>
            <w:pPr>
              <w:pStyle w:val="TableParagraph"/>
              <w:spacing w:line="220" w:lineRule="exact"/>
              <w:ind w:left="35" w:right="0"/>
              <w:jc w:val="left"/>
              <w:rPr>
                <w:rFonts w:ascii="Arial" w:hAnsi="Arial" w:cs="Arial" w:eastAsia="Arial" w:hint="default"/>
                <w:sz w:val="18"/>
                <w:szCs w:val="18"/>
              </w:rPr>
            </w:pPr>
            <w:r>
              <w:rPr>
                <w:rFonts w:ascii="Arial" w:hAnsi="Arial" w:cs="Arial" w:eastAsia="Arial" w:hint="default"/>
                <w:sz w:val="18"/>
                <w:szCs w:val="18"/>
              </w:rPr>
              <w:t>2.</w:t>
            </w:r>
            <w:r>
              <w:rPr>
                <w:rFonts w:ascii="黑体" w:hAnsi="黑体" w:cs="黑体" w:eastAsia="黑体" w:hint="default"/>
                <w:sz w:val="18"/>
                <w:szCs w:val="18"/>
              </w:rPr>
              <w:t>对股东的分配</w:t>
            </w:r>
            <w:r>
              <w:rPr>
                <w:rFonts w:ascii="Arial" w:hAnsi="Arial" w:cs="Arial" w:eastAsia="Arial" w:hint="default"/>
                <w:sz w:val="18"/>
                <w:szCs w:val="18"/>
              </w:rPr>
              <w:t>(</w:t>
            </w:r>
            <w:r>
              <w:rPr>
                <w:rFonts w:ascii="黑体" w:hAnsi="黑体" w:cs="黑体" w:eastAsia="黑体" w:hint="default"/>
                <w:sz w:val="18"/>
                <w:szCs w:val="18"/>
              </w:rPr>
              <w:t>附注五、</w:t>
            </w:r>
            <w:r>
              <w:rPr>
                <w:rFonts w:ascii="Arial" w:hAnsi="Arial" w:cs="Arial" w:eastAsia="Arial" w:hint="default"/>
                <w:sz w:val="18"/>
                <w:szCs w:val="18"/>
              </w:rPr>
              <w:t>31)</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84"/>
              <w:jc w:val="right"/>
              <w:rPr>
                <w:rFonts w:ascii="Arial" w:hAnsi="Arial" w:cs="Arial" w:eastAsia="Arial" w:hint="default"/>
                <w:sz w:val="18"/>
                <w:szCs w:val="18"/>
              </w:rPr>
            </w:pPr>
            <w:r>
              <w:rPr>
                <w:rFonts w:ascii="Arial"/>
                <w:w w:val="99"/>
                <w:sz w:val="18"/>
              </w:rPr>
              <w:t>-</w:t>
            </w:r>
            <w:r>
              <w:rPr>
                <w:rFonts w:ascii="Arial"/>
                <w:sz w:val="18"/>
              </w:rPr>
            </w:r>
          </w:p>
        </w:tc>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94"/>
              <w:jc w:val="right"/>
              <w:rPr>
                <w:rFonts w:ascii="Arial" w:hAnsi="Arial" w:cs="Arial" w:eastAsia="Arial" w:hint="default"/>
                <w:sz w:val="18"/>
                <w:szCs w:val="18"/>
              </w:rPr>
            </w:pPr>
            <w:r>
              <w:rPr>
                <w:rFonts w:ascii="Arial"/>
                <w:w w:val="99"/>
                <w:sz w:val="18"/>
              </w:rPr>
              <w:t>-</w:t>
            </w:r>
            <w:r>
              <w:rPr>
                <w:rFonts w:ascii="Arial"/>
                <w:sz w:val="18"/>
              </w:rPr>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83"/>
              <w:jc w:val="right"/>
              <w:rPr>
                <w:rFonts w:ascii="Arial" w:hAnsi="Arial" w:cs="Arial" w:eastAsia="Arial" w:hint="default"/>
                <w:sz w:val="18"/>
                <w:szCs w:val="18"/>
              </w:rPr>
            </w:pPr>
            <w:r>
              <w:rPr>
                <w:rFonts w:ascii="Arial"/>
                <w:w w:val="99"/>
                <w:sz w:val="18"/>
              </w:rPr>
              <w:t>-</w:t>
            </w:r>
            <w:r>
              <w:rPr>
                <w:rFonts w:ascii="Arial"/>
                <w:sz w:val="18"/>
              </w:rPr>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85" w:right="0"/>
              <w:jc w:val="left"/>
              <w:rPr>
                <w:rFonts w:ascii="Arial" w:hAnsi="Arial" w:cs="Arial" w:eastAsia="Arial" w:hint="default"/>
                <w:sz w:val="18"/>
                <w:szCs w:val="18"/>
              </w:rPr>
            </w:pPr>
            <w:r>
              <w:rPr>
                <w:rFonts w:ascii="Arial"/>
                <w:sz w:val="18"/>
              </w:rPr>
              <w:t>(139,998,893)</w:t>
            </w: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0"/>
              <w:jc w:val="right"/>
              <w:rPr>
                <w:rFonts w:ascii="Arial" w:hAnsi="Arial" w:cs="Arial" w:eastAsia="Arial" w:hint="default"/>
                <w:sz w:val="18"/>
                <w:szCs w:val="18"/>
              </w:rPr>
            </w:pPr>
            <w:r>
              <w:rPr>
                <w:rFonts w:ascii="Arial"/>
                <w:w w:val="99"/>
                <w:sz w:val="18"/>
              </w:rPr>
              <w:t>-</w:t>
            </w:r>
            <w:r>
              <w:rPr>
                <w:rFonts w:ascii="Arial"/>
                <w:sz w:val="18"/>
              </w:rPr>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
              <w:jc w:val="center"/>
              <w:rPr>
                <w:rFonts w:ascii="Arial" w:hAnsi="Arial" w:cs="Arial" w:eastAsia="Arial" w:hint="default"/>
                <w:sz w:val="18"/>
                <w:szCs w:val="18"/>
              </w:rPr>
            </w:pPr>
            <w:r>
              <w:rPr>
                <w:rFonts w:ascii="Arial"/>
                <w:sz w:val="18"/>
              </w:rPr>
              <w:t>(   139,998,893</w:t>
            </w:r>
            <w:r>
              <w:rPr>
                <w:rFonts w:ascii="Arial"/>
                <w:spacing w:val="-10"/>
                <w:sz w:val="18"/>
              </w:rPr>
              <w:t> </w:t>
            </w:r>
            <w:r>
              <w:rPr>
                <w:rFonts w:ascii="Arial"/>
                <w:sz w:val="18"/>
              </w:rPr>
              <w:t>)</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81" w:right="0"/>
              <w:jc w:val="left"/>
              <w:rPr>
                <w:rFonts w:ascii="Arial" w:hAnsi="Arial" w:cs="Arial" w:eastAsia="Arial" w:hint="default"/>
                <w:sz w:val="18"/>
                <w:szCs w:val="18"/>
              </w:rPr>
            </w:pPr>
            <w:r>
              <w:rPr>
                <w:rFonts w:ascii="Arial"/>
                <w:sz w:val="18"/>
              </w:rPr>
              <w:t>(  5,648,309</w:t>
            </w:r>
            <w:r>
              <w:rPr>
                <w:rFonts w:ascii="Arial"/>
                <w:spacing w:val="-22"/>
                <w:sz w:val="18"/>
              </w:rPr>
              <w:t> </w:t>
            </w:r>
            <w:r>
              <w:rPr>
                <w:rFonts w:ascii="Arial"/>
                <w:sz w:val="18"/>
              </w:rPr>
              <w:t>)</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99" w:right="0"/>
              <w:jc w:val="left"/>
              <w:rPr>
                <w:rFonts w:ascii="Arial" w:hAnsi="Arial" w:cs="Arial" w:eastAsia="Arial" w:hint="default"/>
                <w:sz w:val="18"/>
                <w:szCs w:val="18"/>
              </w:rPr>
            </w:pPr>
            <w:r>
              <w:rPr>
                <w:rFonts w:ascii="Arial"/>
                <w:sz w:val="18"/>
              </w:rPr>
              <w:t>(   145,647,202</w:t>
            </w:r>
            <w:r>
              <w:rPr>
                <w:rFonts w:ascii="Arial"/>
                <w:spacing w:val="-33"/>
                <w:sz w:val="18"/>
              </w:rPr>
              <w:t> </w:t>
            </w:r>
            <w:r>
              <w:rPr>
                <w:rFonts w:ascii="Arial"/>
                <w:sz w:val="18"/>
              </w:rPr>
              <w:t>)</w:t>
            </w:r>
          </w:p>
        </w:tc>
      </w:tr>
      <w:tr>
        <w:trPr>
          <w:trHeight w:val="259" w:hRule="exact"/>
        </w:trPr>
        <w:tc>
          <w:tcPr>
            <w:tcW w:w="2623"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Arial" w:hAnsi="Arial" w:cs="Arial" w:eastAsia="Arial" w:hint="default"/>
                <w:sz w:val="18"/>
                <w:szCs w:val="18"/>
              </w:rPr>
            </w:pPr>
            <w:r>
              <w:rPr>
                <w:rFonts w:ascii="Arial" w:hAnsi="Arial" w:cs="Arial" w:eastAsia="Arial" w:hint="default"/>
                <w:sz w:val="18"/>
                <w:szCs w:val="18"/>
              </w:rPr>
              <w:t>3.</w:t>
            </w:r>
            <w:r>
              <w:rPr>
                <w:rFonts w:ascii="黑体" w:hAnsi="黑体" w:cs="黑体" w:eastAsia="黑体" w:hint="default"/>
                <w:sz w:val="18"/>
                <w:szCs w:val="18"/>
              </w:rPr>
              <w:t>其他</w:t>
            </w:r>
            <w:r>
              <w:rPr>
                <w:rFonts w:ascii="Arial" w:hAnsi="Arial" w:cs="Arial" w:eastAsia="Arial" w:hint="default"/>
                <w:sz w:val="18"/>
                <w:szCs w:val="18"/>
              </w:rPr>
              <w:t>(</w:t>
            </w:r>
            <w:r>
              <w:rPr>
                <w:rFonts w:ascii="黑体" w:hAnsi="黑体" w:cs="黑体" w:eastAsia="黑体" w:hint="default"/>
                <w:sz w:val="18"/>
                <w:szCs w:val="18"/>
              </w:rPr>
              <w:t>附注五、</w:t>
            </w:r>
            <w:r>
              <w:rPr>
                <w:rFonts w:ascii="Arial" w:hAnsi="Arial" w:cs="Arial" w:eastAsia="Arial" w:hint="default"/>
                <w:sz w:val="18"/>
                <w:szCs w:val="18"/>
              </w:rPr>
              <w:t>30</w:t>
            </w:r>
            <w:r>
              <w:rPr>
                <w:rFonts w:ascii="黑体" w:hAnsi="黑体" w:cs="黑体" w:eastAsia="黑体" w:hint="default"/>
                <w:sz w:val="18"/>
                <w:szCs w:val="18"/>
              </w:rPr>
              <w:t>及</w:t>
            </w:r>
            <w:r>
              <w:rPr>
                <w:rFonts w:ascii="Arial" w:hAnsi="Arial" w:cs="Arial" w:eastAsia="Arial" w:hint="default"/>
                <w:sz w:val="18"/>
                <w:szCs w:val="18"/>
              </w:rPr>
              <w:t>31)</w:t>
            </w:r>
          </w:p>
        </w:tc>
        <w:tc>
          <w:tcPr>
            <w:tcW w:w="1646" w:type="dxa"/>
            <w:tcBorders>
              <w:top w:val="nil" w:sz="6" w:space="0" w:color="auto"/>
              <w:left w:val="nil" w:sz="6" w:space="0" w:color="auto"/>
              <w:bottom w:val="nil" w:sz="6" w:space="0" w:color="auto"/>
              <w:right w:val="nil" w:sz="6" w:space="0" w:color="auto"/>
            </w:tcBorders>
          </w:tcPr>
          <w:p>
            <w:pPr>
              <w:pStyle w:val="TableParagraph"/>
              <w:tabs>
                <w:tab w:pos="980" w:val="left" w:leader="none"/>
              </w:tabs>
              <w:spacing w:line="240" w:lineRule="auto" w:before="18"/>
              <w:ind w:right="28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534" w:type="dxa"/>
            <w:tcBorders>
              <w:top w:val="nil" w:sz="6" w:space="0" w:color="auto"/>
              <w:left w:val="nil" w:sz="6" w:space="0" w:color="auto"/>
              <w:bottom w:val="nil" w:sz="6" w:space="0" w:color="auto"/>
              <w:right w:val="nil" w:sz="6" w:space="0" w:color="auto"/>
            </w:tcBorders>
          </w:tcPr>
          <w:p>
            <w:pPr>
              <w:pStyle w:val="TableParagraph"/>
              <w:tabs>
                <w:tab w:pos="990" w:val="left" w:leader="none"/>
              </w:tabs>
              <w:spacing w:line="240" w:lineRule="auto" w:before="18"/>
              <w:ind w:right="19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392" w:type="dxa"/>
            <w:tcBorders>
              <w:top w:val="nil" w:sz="6" w:space="0" w:color="auto"/>
              <w:left w:val="nil" w:sz="6" w:space="0" w:color="auto"/>
              <w:bottom w:val="nil" w:sz="6" w:space="0" w:color="auto"/>
              <w:right w:val="nil" w:sz="6" w:space="0" w:color="auto"/>
            </w:tcBorders>
          </w:tcPr>
          <w:p>
            <w:pPr>
              <w:pStyle w:val="TableParagraph"/>
              <w:tabs>
                <w:tab w:pos="360" w:val="left" w:leader="none"/>
              </w:tabs>
              <w:spacing w:line="240" w:lineRule="auto" w:before="18"/>
              <w:ind w:right="18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159,635</w:t>
            </w:r>
            <w:r>
              <w:rPr>
                <w:rFonts w:ascii="Arial"/>
                <w:spacing w:val="-1"/>
                <w:sz w:val="18"/>
              </w:rPr>
            </w:r>
          </w:p>
        </w:tc>
        <w:tc>
          <w:tcPr>
            <w:tcW w:w="1819" w:type="dxa"/>
            <w:tcBorders>
              <w:top w:val="nil" w:sz="6" w:space="0" w:color="auto"/>
              <w:left w:val="nil" w:sz="6" w:space="0" w:color="auto"/>
              <w:bottom w:val="nil" w:sz="6" w:space="0" w:color="auto"/>
              <w:right w:val="nil" w:sz="6" w:space="0" w:color="auto"/>
            </w:tcBorders>
          </w:tcPr>
          <w:p>
            <w:pPr>
              <w:pStyle w:val="TableParagraph"/>
              <w:tabs>
                <w:tab w:pos="1186" w:val="left" w:leader="none"/>
              </w:tabs>
              <w:spacing w:line="240" w:lineRule="auto" w:before="18"/>
              <w:ind w:left="195"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355" w:type="dxa"/>
            <w:tcBorders>
              <w:top w:val="nil" w:sz="6" w:space="0" w:color="auto"/>
              <w:left w:val="nil" w:sz="6" w:space="0" w:color="auto"/>
              <w:bottom w:val="nil" w:sz="6" w:space="0" w:color="auto"/>
              <w:right w:val="nil" w:sz="6" w:space="0" w:color="auto"/>
            </w:tcBorders>
          </w:tcPr>
          <w:p>
            <w:pPr>
              <w:pStyle w:val="TableParagraph"/>
              <w:tabs>
                <w:tab w:pos="630" w:val="left" w:leader="none"/>
              </w:tabs>
              <w:spacing w:line="240" w:lineRule="auto" w:before="18"/>
              <w:ind w:right="16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665" w:type="dxa"/>
            <w:tcBorders>
              <w:top w:val="nil" w:sz="6" w:space="0" w:color="auto"/>
              <w:left w:val="nil" w:sz="6" w:space="0" w:color="auto"/>
              <w:bottom w:val="nil" w:sz="6" w:space="0" w:color="auto"/>
              <w:right w:val="nil" w:sz="6" w:space="0" w:color="auto"/>
            </w:tcBorders>
          </w:tcPr>
          <w:p>
            <w:pPr>
              <w:pStyle w:val="TableParagraph"/>
              <w:tabs>
                <w:tab w:pos="540" w:val="left" w:leader="none"/>
              </w:tabs>
              <w:spacing w:line="240" w:lineRule="auto" w:before="18"/>
              <w:ind w:right="47"/>
              <w:jc w:val="center"/>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159,635</w:t>
            </w:r>
            <w:r>
              <w:rPr>
                <w:rFonts w:ascii="Arial"/>
                <w:sz w:val="18"/>
              </w:rPr>
            </w:r>
          </w:p>
        </w:tc>
        <w:tc>
          <w:tcPr>
            <w:tcW w:w="1428" w:type="dxa"/>
            <w:tcBorders>
              <w:top w:val="nil" w:sz="6" w:space="0" w:color="auto"/>
              <w:left w:val="nil" w:sz="6" w:space="0" w:color="auto"/>
              <w:bottom w:val="nil" w:sz="6" w:space="0" w:color="auto"/>
              <w:right w:val="nil" w:sz="6" w:space="0" w:color="auto"/>
            </w:tcBorders>
          </w:tcPr>
          <w:p>
            <w:pPr>
              <w:pStyle w:val="TableParagraph"/>
              <w:tabs>
                <w:tab w:pos="1100" w:val="left" w:leader="none"/>
              </w:tabs>
              <w:spacing w:line="240" w:lineRule="auto" w:before="18"/>
              <w:ind w:left="200"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531" w:type="dxa"/>
            <w:tcBorders>
              <w:top w:val="nil" w:sz="6" w:space="0" w:color="auto"/>
              <w:left w:val="nil" w:sz="6" w:space="0" w:color="auto"/>
              <w:bottom w:val="nil" w:sz="6" w:space="0" w:color="auto"/>
              <w:right w:val="nil" w:sz="6" w:space="0" w:color="auto"/>
            </w:tcBorders>
          </w:tcPr>
          <w:p>
            <w:pPr>
              <w:pStyle w:val="TableParagraph"/>
              <w:tabs>
                <w:tab w:pos="760" w:val="left" w:leader="none"/>
              </w:tabs>
              <w:spacing w:line="240" w:lineRule="auto" w:before="18"/>
              <w:ind w:left="220"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159,635</w:t>
            </w:r>
            <w:r>
              <w:rPr>
                <w:rFonts w:ascii="Arial"/>
                <w:sz w:val="18"/>
              </w:rPr>
            </w:r>
          </w:p>
        </w:tc>
      </w:tr>
      <w:tr>
        <w:trPr>
          <w:trHeight w:val="318" w:hRule="exact"/>
        </w:trPr>
        <w:tc>
          <w:tcPr>
            <w:tcW w:w="2623"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Style w:val="TableParagraph"/>
              <w:tabs>
                <w:tab w:pos="980" w:val="left" w:leader="none"/>
              </w:tabs>
              <w:spacing w:line="240" w:lineRule="auto" w:before="15"/>
              <w:ind w:right="28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534" w:type="dxa"/>
            <w:tcBorders>
              <w:top w:val="nil" w:sz="6" w:space="0" w:color="auto"/>
              <w:left w:val="nil" w:sz="6" w:space="0" w:color="auto"/>
              <w:bottom w:val="nil" w:sz="6" w:space="0" w:color="auto"/>
              <w:right w:val="nil" w:sz="6" w:space="0" w:color="auto"/>
            </w:tcBorders>
          </w:tcPr>
          <w:p>
            <w:pPr>
              <w:pStyle w:val="TableParagraph"/>
              <w:tabs>
                <w:tab w:pos="990" w:val="left" w:leader="none"/>
              </w:tabs>
              <w:spacing w:line="240" w:lineRule="auto" w:before="15"/>
              <w:ind w:right="19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sz w:val="18"/>
                <w:u w:val="single" w:color="000000"/>
              </w:rPr>
              <w:t>81,763,199</w:t>
            </w:r>
            <w:r>
              <w:rPr>
                <w:rFonts w:ascii="Arial"/>
                <w:spacing w:val="-1"/>
                <w:sz w:val="18"/>
              </w:rPr>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85" w:right="0"/>
              <w:jc w:val="left"/>
              <w:rPr>
                <w:rFonts w:ascii="Arial" w:hAnsi="Arial" w:cs="Arial" w:eastAsia="Arial" w:hint="default"/>
                <w:sz w:val="18"/>
                <w:szCs w:val="18"/>
              </w:rPr>
            </w:pPr>
            <w:r>
              <w:rPr>
                <w:rFonts w:ascii="Arial"/>
                <w:sz w:val="18"/>
              </w:rPr>
              <w:t>(</w:t>
            </w:r>
            <w:r>
              <w:rPr>
                <w:rFonts w:ascii="Arial"/>
                <w:sz w:val="18"/>
                <w:u w:val="single" w:color="000000"/>
              </w:rPr>
              <w:t>221,602,457</w:t>
            </w:r>
            <w:r>
              <w:rPr>
                <w:rFonts w:ascii="Arial"/>
                <w:sz w:val="18"/>
              </w:rPr>
              <w:t>)</w:t>
            </w:r>
          </w:p>
        </w:tc>
        <w:tc>
          <w:tcPr>
            <w:tcW w:w="1355" w:type="dxa"/>
            <w:tcBorders>
              <w:top w:val="nil" w:sz="6" w:space="0" w:color="auto"/>
              <w:left w:val="nil" w:sz="6" w:space="0" w:color="auto"/>
              <w:bottom w:val="nil" w:sz="6" w:space="0" w:color="auto"/>
              <w:right w:val="nil" w:sz="6" w:space="0" w:color="auto"/>
            </w:tcBorders>
          </w:tcPr>
          <w:p>
            <w:pPr>
              <w:pStyle w:val="TableParagraph"/>
              <w:tabs>
                <w:tab w:pos="630" w:val="left" w:leader="none"/>
              </w:tabs>
              <w:spacing w:line="240" w:lineRule="auto" w:before="15"/>
              <w:ind w:right="16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 w:right="0"/>
              <w:jc w:val="center"/>
              <w:rPr>
                <w:rFonts w:ascii="Arial" w:hAnsi="Arial" w:cs="Arial" w:eastAsia="Arial" w:hint="default"/>
                <w:sz w:val="18"/>
                <w:szCs w:val="18"/>
              </w:rPr>
            </w:pPr>
            <w:r>
              <w:rPr>
                <w:rFonts w:ascii="Arial"/>
                <w:sz w:val="18"/>
              </w:rPr>
              <w:t>(   </w:t>
            </w:r>
            <w:r>
              <w:rPr>
                <w:rFonts w:ascii="Arial"/>
                <w:sz w:val="18"/>
                <w:u w:val="single" w:color="000000"/>
              </w:rPr>
              <w:t> 139,839,258</w:t>
            </w:r>
            <w:r>
              <w:rPr>
                <w:rFonts w:ascii="Arial"/>
                <w:spacing w:val="-28"/>
                <w:sz w:val="18"/>
                <w:u w:val="single" w:color="000000"/>
              </w:rPr>
              <w:t> </w:t>
            </w:r>
            <w:r>
              <w:rPr>
                <w:rFonts w:ascii="Arial"/>
                <w:spacing w:val="-28"/>
                <w:sz w:val="18"/>
              </w:rPr>
            </w:r>
            <w:r>
              <w:rPr>
                <w:rFonts w:ascii="Arial"/>
                <w:sz w:val="18"/>
              </w:rPr>
              <w:t>)</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81" w:right="0"/>
              <w:jc w:val="left"/>
              <w:rPr>
                <w:rFonts w:ascii="Arial" w:hAnsi="Arial" w:cs="Arial" w:eastAsia="Arial" w:hint="default"/>
                <w:sz w:val="18"/>
                <w:szCs w:val="18"/>
              </w:rPr>
            </w:pPr>
            <w:r>
              <w:rPr>
                <w:rFonts w:ascii="Arial"/>
                <w:sz w:val="18"/>
              </w:rPr>
              <w:t>(  </w:t>
            </w:r>
            <w:r>
              <w:rPr>
                <w:rFonts w:ascii="Arial"/>
                <w:sz w:val="18"/>
                <w:u w:val="single" w:color="000000"/>
              </w:rPr>
              <w:t> 5,648,309</w:t>
            </w:r>
            <w:r>
              <w:rPr>
                <w:rFonts w:ascii="Arial"/>
                <w:spacing w:val="-23"/>
                <w:sz w:val="18"/>
                <w:u w:val="single" w:color="000000"/>
              </w:rPr>
              <w:t> </w:t>
            </w:r>
            <w:r>
              <w:rPr>
                <w:rFonts w:ascii="Arial"/>
                <w:spacing w:val="-23"/>
                <w:sz w:val="18"/>
              </w:rPr>
            </w:r>
            <w:r>
              <w:rPr>
                <w:rFonts w:ascii="Arial"/>
                <w:sz w:val="18"/>
              </w:rPr>
              <w:t>)</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90" w:right="0"/>
              <w:jc w:val="left"/>
              <w:rPr>
                <w:rFonts w:ascii="Arial" w:hAnsi="Arial" w:cs="Arial" w:eastAsia="Arial" w:hint="default"/>
                <w:sz w:val="18"/>
                <w:szCs w:val="18"/>
              </w:rPr>
            </w:pPr>
            <w:r>
              <w:rPr>
                <w:rFonts w:ascii="Arial"/>
                <w:sz w:val="18"/>
              </w:rPr>
              <w:t>(  </w:t>
            </w:r>
            <w:r>
              <w:rPr>
                <w:rFonts w:ascii="Arial"/>
                <w:spacing w:val="26"/>
                <w:sz w:val="18"/>
              </w:rPr>
              <w:t> </w:t>
            </w:r>
            <w:r>
              <w:rPr>
                <w:rFonts w:ascii="Arial"/>
                <w:spacing w:val="26"/>
                <w:sz w:val="18"/>
                <w:u w:val="single" w:color="000000"/>
              </w:rPr>
              <w:t> </w:t>
            </w:r>
            <w:r>
              <w:rPr>
                <w:rFonts w:ascii="Arial"/>
                <w:sz w:val="18"/>
                <w:u w:val="single" w:color="000000"/>
              </w:rPr>
              <w:t>145,487,567</w:t>
            </w:r>
            <w:r>
              <w:rPr>
                <w:rFonts w:ascii="Arial"/>
                <w:sz w:val="18"/>
              </w:rPr>
              <w:t>)</w:t>
            </w:r>
          </w:p>
        </w:tc>
      </w:tr>
    </w:tbl>
    <w:p>
      <w:pPr>
        <w:spacing w:line="240" w:lineRule="auto" w:before="6"/>
        <w:rPr>
          <w:rFonts w:ascii="Arial" w:hAnsi="Arial" w:cs="Arial" w:eastAsia="Arial" w:hint="default"/>
          <w:sz w:val="10"/>
          <w:szCs w:val="10"/>
        </w:rPr>
      </w:pPr>
    </w:p>
    <w:p>
      <w:pPr>
        <w:spacing w:before="44"/>
        <w:ind w:left="149" w:right="6708" w:firstLine="0"/>
        <w:jc w:val="left"/>
        <w:rPr>
          <w:rFonts w:ascii="黑体" w:hAnsi="黑体" w:cs="黑体" w:eastAsia="黑体" w:hint="default"/>
          <w:sz w:val="18"/>
          <w:szCs w:val="18"/>
        </w:rPr>
      </w:pPr>
      <w:r>
        <w:rPr>
          <w:rFonts w:ascii="Arial" w:hAnsi="Arial" w:cs="Arial" w:eastAsia="Arial" w:hint="default"/>
          <w:sz w:val="18"/>
          <w:szCs w:val="18"/>
        </w:rPr>
        <w:t>(</w:t>
      </w:r>
      <w:r>
        <w:rPr>
          <w:rFonts w:ascii="黑体" w:hAnsi="黑体" w:cs="黑体" w:eastAsia="黑体" w:hint="default"/>
          <w:sz w:val="18"/>
          <w:szCs w:val="18"/>
        </w:rPr>
        <w:t>五</w:t>
      </w:r>
      <w:r>
        <w:rPr>
          <w:rFonts w:ascii="Arial" w:hAnsi="Arial" w:cs="Arial" w:eastAsia="Arial" w:hint="default"/>
          <w:sz w:val="18"/>
          <w:szCs w:val="18"/>
        </w:rPr>
        <w:t>)</w:t>
      </w:r>
      <w:r>
        <w:rPr>
          <w:rFonts w:ascii="Arial" w:hAnsi="Arial" w:cs="Arial" w:eastAsia="Arial" w:hint="default"/>
          <w:spacing w:val="39"/>
          <w:sz w:val="18"/>
          <w:szCs w:val="18"/>
        </w:rPr>
        <w:t> </w:t>
      </w:r>
      <w:r>
        <w:rPr>
          <w:rFonts w:ascii="黑体" w:hAnsi="黑体" w:cs="黑体" w:eastAsia="黑体" w:hint="default"/>
          <w:sz w:val="18"/>
          <w:szCs w:val="18"/>
        </w:rPr>
        <w:t>股东权益内部结转</w:t>
      </w:r>
    </w:p>
    <w:p>
      <w:pPr>
        <w:tabs>
          <w:tab w:pos="3316" w:val="left" w:leader="none"/>
          <w:tab w:pos="4878" w:val="left" w:leader="none"/>
          <w:tab w:pos="6292" w:val="left" w:leader="none"/>
          <w:tab w:pos="7282" w:val="left" w:leader="none"/>
          <w:tab w:pos="7723" w:val="left" w:leader="none"/>
          <w:tab w:pos="8714" w:val="left" w:leader="none"/>
          <w:tab w:pos="9848" w:val="left" w:leader="none"/>
          <w:tab w:pos="10479" w:val="left" w:leader="none"/>
          <w:tab w:pos="10874" w:val="left" w:leader="none"/>
          <w:tab w:pos="12045" w:val="left" w:leader="none"/>
          <w:tab w:pos="12566" w:val="left" w:leader="none"/>
          <w:tab w:pos="13467" w:val="left" w:leader="none"/>
          <w:tab w:pos="13984" w:val="left" w:leader="none"/>
          <w:tab w:pos="15154" w:val="left" w:leader="none"/>
        </w:tabs>
        <w:spacing w:before="6"/>
        <w:ind w:left="369" w:right="0" w:firstLine="0"/>
        <w:jc w:val="left"/>
        <w:rPr>
          <w:rFonts w:ascii="Arial" w:hAnsi="Arial" w:cs="Arial" w:eastAsia="Arial" w:hint="default"/>
          <w:sz w:val="18"/>
          <w:szCs w:val="18"/>
        </w:rPr>
      </w:pPr>
      <w:r>
        <w:rPr>
          <w:rFonts w:ascii="Arial" w:hAnsi="Arial" w:cs="Arial" w:eastAsia="Arial" w:hint="default"/>
          <w:spacing w:val="-1"/>
          <w:sz w:val="18"/>
          <w:szCs w:val="18"/>
        </w:rPr>
        <w:t>1.</w:t>
      </w:r>
      <w:r>
        <w:rPr>
          <w:rFonts w:ascii="黑体" w:hAnsi="黑体" w:cs="黑体" w:eastAsia="黑体" w:hint="default"/>
          <w:spacing w:val="-1"/>
          <w:sz w:val="18"/>
          <w:szCs w:val="18"/>
        </w:rPr>
        <w:t>资本公积转增股本</w:t>
      </w:r>
      <w:r>
        <w:rPr>
          <w:rFonts w:ascii="Arial" w:hAnsi="Arial" w:cs="Arial" w:eastAsia="Arial" w:hint="default"/>
          <w:spacing w:val="-1"/>
          <w:sz w:val="18"/>
          <w:szCs w:val="18"/>
        </w:rPr>
        <w:t>(</w:t>
      </w:r>
      <w:r>
        <w:rPr>
          <w:rFonts w:ascii="黑体" w:hAnsi="黑体" w:cs="黑体" w:eastAsia="黑体" w:hint="default"/>
          <w:spacing w:val="-1"/>
          <w:sz w:val="18"/>
          <w:szCs w:val="18"/>
        </w:rPr>
        <w:t>附注五、</w:t>
      </w:r>
      <w:r>
        <w:rPr>
          <w:rFonts w:ascii="Arial" w:hAnsi="Arial" w:cs="Arial" w:eastAsia="Arial" w:hint="default"/>
          <w:spacing w:val="-1"/>
          <w:sz w:val="18"/>
          <w:szCs w:val="18"/>
        </w:rPr>
        <w:t>28)</w:t>
        <w:tab/>
      </w:r>
      <w:r>
        <w:rPr>
          <w:rFonts w:ascii="Arial" w:hAnsi="Arial" w:cs="Arial" w:eastAsia="Arial" w:hint="default"/>
          <w:spacing w:val="-1"/>
          <w:sz w:val="18"/>
          <w:szCs w:val="18"/>
          <w:u w:val="single" w:color="000000"/>
        </w:rPr>
        <w:t>139,998,893</w:t>
      </w:r>
      <w:r>
        <w:rPr>
          <w:rFonts w:ascii="Arial" w:hAnsi="Arial" w:cs="Arial" w:eastAsia="Arial" w:hint="default"/>
          <w:spacing w:val="-1"/>
          <w:sz w:val="18"/>
          <w:szCs w:val="18"/>
        </w:rPr>
        <w:tab/>
        <w:t>(</w:t>
      </w:r>
      <w:r>
        <w:rPr>
          <w:rFonts w:ascii="Arial" w:hAnsi="Arial" w:cs="Arial" w:eastAsia="Arial" w:hint="default"/>
          <w:spacing w:val="-1"/>
          <w:sz w:val="18"/>
          <w:szCs w:val="18"/>
          <w:u w:val="single" w:color="000000"/>
        </w:rPr>
        <w:t>139,998,893</w:t>
      </w:r>
      <w:r>
        <w:rPr>
          <w:rFonts w:ascii="Arial" w:hAnsi="Arial" w:cs="Arial" w:eastAsia="Arial" w:hint="default"/>
          <w:spacing w:val="-28"/>
          <w:sz w:val="18"/>
          <w:szCs w:val="18"/>
          <w:u w:val="single" w:color="000000"/>
        </w:rPr>
        <w:t> </w:t>
      </w:r>
      <w:r>
        <w:rPr>
          <w:rFonts w:ascii="Arial" w:hAnsi="Arial" w:cs="Arial" w:eastAsia="Arial" w:hint="default"/>
          <w:spacing w:val="-28"/>
          <w:sz w:val="18"/>
          <w:szCs w:val="18"/>
        </w:rPr>
      </w:r>
      <w:r>
        <w:rPr>
          <w:rFonts w:ascii="Arial" w:hAnsi="Arial" w:cs="Arial" w:eastAsia="Arial" w:hint="default"/>
          <w:sz w:val="18"/>
          <w:szCs w:val="18"/>
        </w:rPr>
        <w:t>)</w:t>
        <w:tab/>
      </w:r>
      <w:r>
        <w:rPr>
          <w:rFonts w:ascii="Arial" w:hAnsi="Arial" w:cs="Arial" w:eastAsia="Arial" w:hint="default"/>
          <w:sz w:val="18"/>
          <w:szCs w:val="18"/>
          <w:u w:val="single" w:color="000000"/>
        </w:rPr>
        <w:t> </w:t>
        <w:tab/>
        <w:t>-</w:t>
      </w:r>
      <w:r>
        <w:rPr>
          <w:rFonts w:ascii="Arial" w:hAnsi="Arial" w:cs="Arial" w:eastAsia="Arial" w:hint="default"/>
          <w:sz w:val="18"/>
          <w:szCs w:val="18"/>
        </w:rPr>
        <w:tab/>
      </w:r>
      <w:r>
        <w:rPr>
          <w:rFonts w:ascii="Arial" w:hAnsi="Arial" w:cs="Arial" w:eastAsia="Arial" w:hint="default"/>
          <w:sz w:val="18"/>
          <w:szCs w:val="18"/>
          <w:u w:val="single" w:color="000000"/>
        </w:rPr>
        <w:t> </w:t>
        <w:tab/>
        <w:t>-</w:t>
      </w:r>
      <w:r>
        <w:rPr>
          <w:rFonts w:ascii="Arial" w:hAnsi="Arial" w:cs="Arial" w:eastAsia="Arial" w:hint="default"/>
          <w:sz w:val="18"/>
          <w:szCs w:val="18"/>
        </w:rPr>
        <w:tab/>
      </w:r>
      <w:r>
        <w:rPr>
          <w:rFonts w:ascii="Arial" w:hAnsi="Arial" w:cs="Arial" w:eastAsia="Arial" w:hint="default"/>
          <w:sz w:val="18"/>
          <w:szCs w:val="18"/>
          <w:u w:val="single" w:color="000000"/>
        </w:rPr>
        <w:t> </w:t>
        <w:tab/>
        <w:t>-</w:t>
      </w:r>
      <w:r>
        <w:rPr>
          <w:rFonts w:ascii="Arial" w:hAnsi="Arial" w:cs="Arial" w:eastAsia="Arial" w:hint="default"/>
          <w:sz w:val="18"/>
          <w:szCs w:val="18"/>
        </w:rPr>
        <w:tab/>
      </w:r>
      <w:r>
        <w:rPr>
          <w:rFonts w:ascii="Arial" w:hAnsi="Arial" w:cs="Arial" w:eastAsia="Arial" w:hint="default"/>
          <w:sz w:val="18"/>
          <w:szCs w:val="18"/>
          <w:u w:val="single" w:color="000000"/>
        </w:rPr>
        <w:t> </w:t>
        <w:tab/>
        <w:t>-</w:t>
      </w:r>
      <w:r>
        <w:rPr>
          <w:rFonts w:ascii="Arial" w:hAnsi="Arial" w:cs="Arial" w:eastAsia="Arial" w:hint="default"/>
          <w:sz w:val="18"/>
          <w:szCs w:val="18"/>
        </w:rPr>
        <w:tab/>
      </w:r>
      <w:r>
        <w:rPr>
          <w:rFonts w:ascii="Arial" w:hAnsi="Arial" w:cs="Arial" w:eastAsia="Arial" w:hint="default"/>
          <w:sz w:val="18"/>
          <w:szCs w:val="18"/>
          <w:u w:val="single" w:color="000000"/>
        </w:rPr>
        <w:t> </w:t>
        <w:tab/>
        <w:t>-</w:t>
      </w:r>
      <w:r>
        <w:rPr>
          <w:rFonts w:ascii="Arial" w:hAnsi="Arial" w:cs="Arial" w:eastAsia="Arial" w:hint="default"/>
          <w:sz w:val="18"/>
          <w:szCs w:val="18"/>
        </w:rPr>
        <w:tab/>
      </w:r>
      <w:r>
        <w:rPr>
          <w:rFonts w:ascii="Arial" w:hAnsi="Arial" w:cs="Arial" w:eastAsia="Arial" w:hint="default"/>
          <w:sz w:val="18"/>
          <w:szCs w:val="18"/>
          <w:u w:val="single" w:color="000000"/>
        </w:rPr>
        <w:t> </w:t>
        <w:tab/>
        <w:t>-</w:t>
      </w:r>
      <w:r>
        <w:rPr>
          <w:rFonts w:ascii="Arial" w:hAnsi="Arial" w:cs="Arial" w:eastAsia="Arial" w:hint="default"/>
          <w:sz w:val="18"/>
          <w:szCs w:val="18"/>
        </w:rPr>
      </w:r>
    </w:p>
    <w:p>
      <w:pPr>
        <w:spacing w:line="240" w:lineRule="auto" w:before="10"/>
        <w:rPr>
          <w:rFonts w:ascii="Arial" w:hAnsi="Arial" w:cs="Arial" w:eastAsia="Arial" w:hint="default"/>
          <w:sz w:val="18"/>
          <w:szCs w:val="18"/>
        </w:rPr>
      </w:pPr>
    </w:p>
    <w:p>
      <w:pPr>
        <w:tabs>
          <w:tab w:pos="3316" w:val="left" w:leader="none"/>
          <w:tab w:pos="4939" w:val="left" w:leader="none"/>
          <w:tab w:pos="6342" w:val="left" w:leader="none"/>
          <w:tab w:pos="7774" w:val="left" w:leader="none"/>
          <w:tab w:pos="9809" w:val="left" w:leader="none"/>
          <w:tab w:pos="10954" w:val="left" w:leader="none"/>
          <w:tab w:pos="12626" w:val="left" w:leader="none"/>
          <w:tab w:pos="14063" w:val="left" w:leader="none"/>
        </w:tabs>
        <w:spacing w:before="44"/>
        <w:ind w:left="149" w:right="0" w:firstLine="0"/>
        <w:jc w:val="left"/>
        <w:rPr>
          <w:rFonts w:ascii="Arial" w:hAnsi="Arial" w:cs="Arial" w:eastAsia="Arial" w:hint="default"/>
          <w:sz w:val="18"/>
          <w:szCs w:val="18"/>
        </w:rPr>
      </w:pPr>
      <w:r>
        <w:rPr>
          <w:rFonts w:ascii="黑体" w:hAnsi="黑体" w:cs="黑体" w:eastAsia="黑体" w:hint="default"/>
          <w:sz w:val="18"/>
          <w:szCs w:val="18"/>
        </w:rPr>
        <w:t>四、本年年末余额</w:t>
        <w:tab/>
      </w:r>
      <w:r>
        <w:rPr>
          <w:rFonts w:ascii="Arial" w:hAnsi="Arial" w:cs="Arial" w:eastAsia="Arial" w:hint="default"/>
          <w:sz w:val="18"/>
          <w:szCs w:val="18"/>
        </w:rPr>
      </w:r>
      <w:r>
        <w:rPr>
          <w:rFonts w:ascii="Arial" w:hAnsi="Arial" w:cs="Arial" w:eastAsia="Arial" w:hint="default"/>
          <w:spacing w:val="-1"/>
          <w:sz w:val="18"/>
          <w:szCs w:val="18"/>
          <w:u w:val="thick" w:color="000000"/>
        </w:rPr>
        <w:t>627,858,850</w:t>
      </w:r>
      <w:r>
        <w:rPr>
          <w:rFonts w:ascii="Arial" w:hAnsi="Arial" w:cs="Arial" w:eastAsia="Arial" w:hint="default"/>
          <w:spacing w:val="-1"/>
          <w:sz w:val="18"/>
          <w:szCs w:val="18"/>
        </w:rPr>
        <w:tab/>
      </w:r>
      <w:r>
        <w:rPr>
          <w:rFonts w:ascii="Arial" w:hAnsi="Arial" w:cs="Arial" w:eastAsia="Arial" w:hint="default"/>
          <w:spacing w:val="-1"/>
          <w:sz w:val="18"/>
          <w:szCs w:val="18"/>
          <w:u w:val="thick" w:color="000000"/>
        </w:rPr>
        <w:t>862,842,262</w:t>
      </w:r>
      <w:r>
        <w:rPr>
          <w:rFonts w:ascii="Arial" w:hAnsi="Arial" w:cs="Arial" w:eastAsia="Arial" w:hint="default"/>
          <w:spacing w:val="-1"/>
          <w:sz w:val="18"/>
          <w:szCs w:val="18"/>
        </w:rPr>
        <w:tab/>
      </w:r>
      <w:r>
        <w:rPr>
          <w:rFonts w:ascii="Arial" w:hAnsi="Arial" w:cs="Arial" w:eastAsia="Arial" w:hint="default"/>
          <w:spacing w:val="-1"/>
          <w:sz w:val="18"/>
          <w:szCs w:val="18"/>
          <w:u w:val="thick" w:color="000000"/>
        </w:rPr>
        <w:t>271,273,699</w:t>
      </w:r>
      <w:r>
        <w:rPr>
          <w:rFonts w:ascii="Arial" w:hAnsi="Arial" w:cs="Arial" w:eastAsia="Arial" w:hint="default"/>
          <w:spacing w:val="-1"/>
          <w:sz w:val="18"/>
          <w:szCs w:val="18"/>
        </w:rPr>
        <w:tab/>
      </w:r>
      <w:r>
        <w:rPr>
          <w:rFonts w:ascii="Arial" w:hAnsi="Arial" w:cs="Arial" w:eastAsia="Arial" w:hint="default"/>
          <w:spacing w:val="-1"/>
          <w:sz w:val="18"/>
          <w:szCs w:val="18"/>
          <w:u w:val="thick" w:color="000000"/>
        </w:rPr>
        <w:t>818,666,807</w:t>
      </w:r>
      <w:r>
        <w:rPr>
          <w:rFonts w:ascii="Arial" w:hAnsi="Arial" w:cs="Arial" w:eastAsia="Arial" w:hint="default"/>
          <w:spacing w:val="-1"/>
          <w:sz w:val="18"/>
          <w:szCs w:val="18"/>
        </w:rPr>
        <w:tab/>
        <w:t>(  </w:t>
      </w:r>
      <w:r>
        <w:rPr>
          <w:rFonts w:ascii="Arial" w:hAnsi="Arial" w:cs="Arial" w:eastAsia="Arial" w:hint="default"/>
          <w:spacing w:val="-1"/>
          <w:sz w:val="18"/>
          <w:szCs w:val="18"/>
          <w:u w:val="thick" w:color="000000"/>
        </w:rPr>
        <w:t> 63,786</w:t>
      </w:r>
      <w:r>
        <w:rPr>
          <w:rFonts w:ascii="Arial" w:hAnsi="Arial" w:cs="Arial" w:eastAsia="Arial" w:hint="default"/>
          <w:spacing w:val="-8"/>
          <w:sz w:val="18"/>
          <w:szCs w:val="18"/>
          <w:u w:val="thick" w:color="000000"/>
        </w:rPr>
        <w:t> </w:t>
      </w:r>
      <w:r>
        <w:rPr>
          <w:rFonts w:ascii="Arial" w:hAnsi="Arial" w:cs="Arial" w:eastAsia="Arial" w:hint="default"/>
          <w:spacing w:val="-8"/>
          <w:sz w:val="18"/>
          <w:szCs w:val="18"/>
        </w:rPr>
      </w:r>
      <w:r>
        <w:rPr>
          <w:rFonts w:ascii="Arial" w:hAnsi="Arial" w:cs="Arial" w:eastAsia="Arial" w:hint="default"/>
          <w:sz w:val="18"/>
          <w:szCs w:val="18"/>
        </w:rPr>
        <w:t>)</w:t>
        <w:tab/>
      </w:r>
      <w:r>
        <w:rPr>
          <w:rFonts w:ascii="Arial" w:hAnsi="Arial" w:cs="Arial" w:eastAsia="Arial" w:hint="default"/>
          <w:spacing w:val="-1"/>
          <w:sz w:val="18"/>
          <w:szCs w:val="18"/>
          <w:u w:val="thick" w:color="000000"/>
        </w:rPr>
        <w:t>2,580,577,832</w:t>
      </w:r>
      <w:r>
        <w:rPr>
          <w:rFonts w:ascii="Arial" w:hAnsi="Arial" w:cs="Arial" w:eastAsia="Arial" w:hint="default"/>
          <w:spacing w:val="-1"/>
          <w:sz w:val="18"/>
          <w:szCs w:val="18"/>
        </w:rPr>
        <w:tab/>
      </w:r>
      <w:r>
        <w:rPr>
          <w:rFonts w:ascii="Arial" w:hAnsi="Arial" w:cs="Arial" w:eastAsia="Arial" w:hint="default"/>
          <w:spacing w:val="-1"/>
          <w:sz w:val="18"/>
          <w:szCs w:val="18"/>
          <w:u w:val="thick" w:color="000000"/>
        </w:rPr>
        <w:t>32,898,090</w:t>
      </w:r>
      <w:r>
        <w:rPr>
          <w:rFonts w:ascii="Arial" w:hAnsi="Arial" w:cs="Arial" w:eastAsia="Arial" w:hint="default"/>
          <w:spacing w:val="-1"/>
          <w:sz w:val="18"/>
          <w:szCs w:val="18"/>
        </w:rPr>
        <w:tab/>
      </w:r>
      <w:r>
        <w:rPr>
          <w:rFonts w:ascii="Arial" w:hAnsi="Arial" w:cs="Arial" w:eastAsia="Arial" w:hint="default"/>
          <w:spacing w:val="-1"/>
          <w:sz w:val="18"/>
          <w:szCs w:val="18"/>
          <w:u w:val="thick" w:color="000000"/>
        </w:rPr>
        <w:t>2,613,475,922</w:t>
      </w:r>
      <w:r>
        <w:rPr>
          <w:rFonts w:ascii="Arial" w:hAnsi="Arial" w:cs="Arial" w:eastAsia="Arial" w:hint="default"/>
          <w:spacing w:val="-1"/>
          <w:sz w:val="18"/>
          <w:szCs w:val="18"/>
        </w:rPr>
      </w:r>
    </w:p>
    <w:p>
      <w:pPr>
        <w:spacing w:after="0"/>
        <w:jc w:val="left"/>
        <w:rPr>
          <w:rFonts w:ascii="Arial" w:hAnsi="Arial" w:cs="Arial" w:eastAsia="Arial" w:hint="default"/>
          <w:sz w:val="18"/>
          <w:szCs w:val="18"/>
        </w:rPr>
        <w:sectPr>
          <w:headerReference w:type="default" r:id="rId32"/>
          <w:footerReference w:type="default" r:id="rId33"/>
          <w:pgSz w:w="16840" w:h="11910" w:orient="landscape"/>
          <w:pgMar w:header="958" w:footer="498" w:top="1160" w:bottom="680" w:left="700" w:right="700"/>
          <w:pgNumType w:start="5"/>
        </w:sectPr>
      </w:pPr>
    </w:p>
    <w:p>
      <w:pPr>
        <w:pStyle w:val="Heading9"/>
        <w:spacing w:line="292" w:lineRule="auto" w:before="72"/>
        <w:ind w:left="7225" w:right="6647" w:hanging="723"/>
        <w:jc w:val="left"/>
        <w:rPr>
          <w:b w:val="0"/>
          <w:bCs w:val="0"/>
        </w:rPr>
      </w:pPr>
      <w:r>
        <w:rPr/>
        <w:t>合并股东权益变动表(续)</w:t>
      </w:r>
      <w:r>
        <w:rPr>
          <w:spacing w:val="1"/>
          <w:w w:val="99"/>
        </w:rPr>
        <w:t> </w:t>
      </w:r>
      <w:r>
        <w:rPr>
          <w:rFonts w:ascii="Arial" w:hAnsi="Arial" w:cs="Arial" w:eastAsia="Arial" w:hint="default"/>
        </w:rPr>
        <w:t>2009</w:t>
      </w:r>
      <w:r>
        <w:rPr>
          <w:rFonts w:ascii="Arial" w:hAnsi="Arial" w:cs="Arial" w:eastAsia="Arial" w:hint="default"/>
          <w:spacing w:val="-7"/>
        </w:rPr>
        <w:t> </w:t>
      </w:r>
      <w:r>
        <w:rPr/>
        <w:t>年度</w:t>
      </w:r>
      <w:r>
        <w:rPr>
          <w:spacing w:val="1"/>
          <w:w w:val="99"/>
        </w:rPr>
        <w:t> </w:t>
      </w:r>
      <w:r>
        <w:rPr/>
        <w:t>人民币元</w:t>
      </w:r>
      <w:r>
        <w:rPr>
          <w:b w:val="0"/>
          <w:bCs w:val="0"/>
        </w:rPr>
      </w:r>
    </w:p>
    <w:p>
      <w:pPr>
        <w:spacing w:line="240" w:lineRule="auto" w:before="0"/>
        <w:rPr>
          <w:rFonts w:ascii="黑体" w:hAnsi="黑体" w:cs="黑体" w:eastAsia="黑体" w:hint="default"/>
          <w:b/>
          <w:bCs/>
          <w:sz w:val="15"/>
          <w:szCs w:val="15"/>
        </w:rPr>
      </w:pPr>
    </w:p>
    <w:p>
      <w:pPr>
        <w:spacing w:line="20" w:lineRule="exact"/>
        <w:ind w:left="104" w:right="0" w:firstLine="0"/>
        <w:rPr>
          <w:rFonts w:ascii="黑体" w:hAnsi="黑体" w:cs="黑体" w:eastAsia="黑体" w:hint="default"/>
          <w:sz w:val="2"/>
          <w:szCs w:val="2"/>
        </w:rPr>
      </w:pPr>
      <w:r>
        <w:rPr>
          <w:rFonts w:ascii="黑体" w:hAnsi="黑体" w:cs="黑体" w:eastAsia="黑体" w:hint="default"/>
          <w:sz w:val="2"/>
          <w:szCs w:val="2"/>
        </w:rPr>
        <w:pict>
          <v:group style="width:769pt;height:.75pt;mso-position-horizontal-relative:char;mso-position-vertical-relative:line" coordorigin="0,0" coordsize="15380,15">
            <v:group style="position:absolute;left:8;top:8;width:15365;height:2" coordorigin="8,8" coordsize="15365,2">
              <v:shape style="position:absolute;left:8;top:8;width:15365;height:2" coordorigin="8,8" coordsize="15365,0" path="m8,8l15372,7e" filled="false" stroked="true" strokeweight=".75pt" strokecolor="#000000">
                <v:path arrowok="t"/>
              </v:shape>
            </v:group>
          </v:group>
        </w:pict>
      </w:r>
      <w:r>
        <w:rPr>
          <w:rFonts w:ascii="黑体" w:hAnsi="黑体" w:cs="黑体" w:eastAsia="黑体" w:hint="default"/>
          <w:sz w:val="2"/>
          <w:szCs w:val="2"/>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24"/>
          <w:szCs w:val="24"/>
        </w:rPr>
      </w:pPr>
    </w:p>
    <w:p>
      <w:pPr>
        <w:spacing w:before="44"/>
        <w:ind w:left="149" w:right="6647" w:firstLine="0"/>
        <w:jc w:val="left"/>
        <w:rPr>
          <w:rFonts w:ascii="黑体" w:hAnsi="黑体" w:cs="黑体" w:eastAsia="黑体" w:hint="default"/>
          <w:sz w:val="18"/>
          <w:szCs w:val="18"/>
        </w:rPr>
      </w:pPr>
      <w:r>
        <w:rPr/>
        <w:pict>
          <v:shape style="position:absolute;margin-left:40.726601pt;margin-top:-64.279671pt;width:758.5pt;height:272.850pt;mso-position-horizontal-relative:page;mso-position-vertical-relative:paragraph;z-index:15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005"/>
                    <w:gridCol w:w="1357"/>
                    <w:gridCol w:w="1644"/>
                    <w:gridCol w:w="1402"/>
                    <w:gridCol w:w="1489"/>
                    <w:gridCol w:w="1805"/>
                    <w:gridCol w:w="1448"/>
                    <w:gridCol w:w="1517"/>
                    <w:gridCol w:w="1502"/>
                  </w:tblGrid>
                  <w:tr>
                    <w:trPr>
                      <w:trHeight w:val="574" w:hRule="exact"/>
                    </w:trPr>
                    <w:tc>
                      <w:tcPr>
                        <w:tcW w:w="6006" w:type="dxa"/>
                        <w:gridSpan w:val="3"/>
                        <w:tcBorders>
                          <w:top w:val="nil" w:sz="6" w:space="0" w:color="auto"/>
                          <w:left w:val="nil" w:sz="6" w:space="0" w:color="auto"/>
                          <w:bottom w:val="nil" w:sz="6" w:space="0" w:color="auto"/>
                          <w:right w:val="nil" w:sz="6" w:space="0" w:color="auto"/>
                        </w:tcBorders>
                      </w:tcPr>
                      <w:p>
                        <w:pPr/>
                      </w:p>
                    </w:tc>
                    <w:tc>
                      <w:tcPr>
                        <w:tcW w:w="2891" w:type="dxa"/>
                        <w:gridSpan w:val="2"/>
                        <w:tcBorders>
                          <w:top w:val="nil" w:sz="6" w:space="0" w:color="auto"/>
                          <w:left w:val="nil" w:sz="6" w:space="0" w:color="auto"/>
                          <w:bottom w:val="single" w:sz="4" w:space="0" w:color="000000"/>
                          <w:right w:val="nil" w:sz="6" w:space="0" w:color="auto"/>
                        </w:tcBorders>
                      </w:tcPr>
                      <w:p>
                        <w:pPr>
                          <w:pStyle w:val="TableParagraph"/>
                          <w:spacing w:line="240" w:lineRule="auto" w:before="44"/>
                          <w:ind w:right="857"/>
                          <w:jc w:val="center"/>
                          <w:rPr>
                            <w:rFonts w:ascii="黑体" w:hAnsi="黑体" w:cs="黑体" w:eastAsia="黑体" w:hint="default"/>
                            <w:sz w:val="18"/>
                            <w:szCs w:val="18"/>
                          </w:rPr>
                        </w:pPr>
                        <w:r>
                          <w:rPr>
                            <w:rFonts w:ascii="Arial" w:hAnsi="Arial" w:cs="Arial" w:eastAsia="Arial" w:hint="default"/>
                            <w:b/>
                            <w:bCs/>
                            <w:sz w:val="18"/>
                            <w:szCs w:val="18"/>
                          </w:rPr>
                          <w:t>2008</w:t>
                        </w:r>
                        <w:r>
                          <w:rPr>
                            <w:rFonts w:ascii="黑体" w:hAnsi="黑体" w:cs="黑体" w:eastAsia="黑体" w:hint="default"/>
                            <w:b/>
                            <w:bCs/>
                            <w:sz w:val="18"/>
                            <w:szCs w:val="18"/>
                          </w:rPr>
                          <w:t>年</w:t>
                        </w:r>
                        <w:r>
                          <w:rPr>
                            <w:rFonts w:ascii="黑体" w:hAnsi="黑体" w:cs="黑体" w:eastAsia="黑体" w:hint="default"/>
                            <w:sz w:val="18"/>
                            <w:szCs w:val="18"/>
                          </w:rPr>
                        </w:r>
                      </w:p>
                      <w:p>
                        <w:pPr>
                          <w:pStyle w:val="TableParagraph"/>
                          <w:spacing w:line="240" w:lineRule="auto" w:before="7"/>
                          <w:ind w:right="857"/>
                          <w:jc w:val="center"/>
                          <w:rPr>
                            <w:rFonts w:ascii="黑体" w:hAnsi="黑体" w:cs="黑体" w:eastAsia="黑体" w:hint="default"/>
                            <w:sz w:val="18"/>
                            <w:szCs w:val="18"/>
                          </w:rPr>
                        </w:pPr>
                        <w:r>
                          <w:rPr>
                            <w:rFonts w:ascii="黑体" w:hAnsi="黑体" w:cs="黑体" w:eastAsia="黑体" w:hint="default"/>
                            <w:b/>
                            <w:bCs/>
                            <w:sz w:val="18"/>
                            <w:szCs w:val="18"/>
                          </w:rPr>
                          <w:t>归属于母公司股东权益</w:t>
                        </w:r>
                        <w:r>
                          <w:rPr>
                            <w:rFonts w:ascii="黑体" w:hAnsi="黑体" w:cs="黑体" w:eastAsia="黑体" w:hint="default"/>
                            <w:sz w:val="18"/>
                            <w:szCs w:val="18"/>
                          </w:rPr>
                        </w:r>
                      </w:p>
                    </w:tc>
                    <w:tc>
                      <w:tcPr>
                        <w:tcW w:w="1805" w:type="dxa"/>
                        <w:tcBorders>
                          <w:top w:val="nil" w:sz="6" w:space="0" w:color="auto"/>
                          <w:left w:val="nil" w:sz="6" w:space="0" w:color="auto"/>
                          <w:bottom w:val="single" w:sz="4" w:space="0" w:color="000000"/>
                          <w:right w:val="nil" w:sz="6" w:space="0" w:color="auto"/>
                        </w:tcBorders>
                      </w:tcPr>
                      <w:p>
                        <w:pPr/>
                      </w:p>
                    </w:tc>
                    <w:tc>
                      <w:tcPr>
                        <w:tcW w:w="1448" w:type="dxa"/>
                        <w:tcBorders>
                          <w:top w:val="nil" w:sz="6" w:space="0" w:color="auto"/>
                          <w:left w:val="nil" w:sz="6" w:space="0" w:color="auto"/>
                          <w:bottom w:val="single" w:sz="4" w:space="0" w:color="000000"/>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Arial" w:hAnsi="Arial" w:cs="Arial" w:eastAsia="Arial" w:hint="default"/>
                            <w:sz w:val="26"/>
                            <w:szCs w:val="26"/>
                          </w:rPr>
                        </w:pPr>
                      </w:p>
                      <w:p>
                        <w:pPr>
                          <w:pStyle w:val="TableParagraph"/>
                          <w:spacing w:line="240" w:lineRule="auto"/>
                          <w:ind w:right="167"/>
                          <w:jc w:val="right"/>
                          <w:rPr>
                            <w:rFonts w:ascii="黑体" w:hAnsi="黑体" w:cs="黑体" w:eastAsia="黑体" w:hint="default"/>
                            <w:sz w:val="18"/>
                            <w:szCs w:val="18"/>
                          </w:rPr>
                        </w:pPr>
                        <w:r>
                          <w:rPr>
                            <w:rFonts w:ascii="黑体" w:hAnsi="黑体" w:cs="黑体" w:eastAsia="黑体" w:hint="default"/>
                            <w:b/>
                            <w:bCs/>
                            <w:w w:val="95"/>
                            <w:sz w:val="18"/>
                            <w:szCs w:val="18"/>
                          </w:rPr>
                          <w:t>少数股东权益</w:t>
                        </w:r>
                        <w:r>
                          <w:rPr>
                            <w:rFonts w:ascii="黑体" w:hAnsi="黑体" w:cs="黑体" w:eastAsia="黑体" w:hint="default"/>
                            <w:sz w:val="18"/>
                            <w:szCs w:val="18"/>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Arial" w:hAnsi="Arial" w:cs="Arial" w:eastAsia="Arial" w:hint="default"/>
                            <w:sz w:val="26"/>
                            <w:szCs w:val="26"/>
                          </w:rPr>
                        </w:pPr>
                      </w:p>
                      <w:p>
                        <w:pPr>
                          <w:pStyle w:val="TableParagraph"/>
                          <w:spacing w:line="240" w:lineRule="auto"/>
                          <w:ind w:right="90"/>
                          <w:jc w:val="right"/>
                          <w:rPr>
                            <w:rFonts w:ascii="黑体" w:hAnsi="黑体" w:cs="黑体" w:eastAsia="黑体" w:hint="default"/>
                            <w:sz w:val="18"/>
                            <w:szCs w:val="18"/>
                          </w:rPr>
                        </w:pPr>
                        <w:r>
                          <w:rPr>
                            <w:rFonts w:ascii="黑体" w:hAnsi="黑体" w:cs="黑体" w:eastAsia="黑体" w:hint="default"/>
                            <w:b/>
                            <w:bCs/>
                            <w:w w:val="95"/>
                            <w:sz w:val="18"/>
                            <w:szCs w:val="18"/>
                          </w:rPr>
                          <w:t>股东权益合计</w:t>
                        </w:r>
                        <w:r>
                          <w:rPr>
                            <w:rFonts w:ascii="黑体" w:hAnsi="黑体" w:cs="黑体" w:eastAsia="黑体" w:hint="default"/>
                            <w:sz w:val="18"/>
                            <w:szCs w:val="18"/>
                          </w:rPr>
                        </w:r>
                      </w:p>
                    </w:tc>
                  </w:tr>
                  <w:tr>
                    <w:trPr>
                      <w:trHeight w:val="395" w:hRule="exact"/>
                    </w:trPr>
                    <w:tc>
                      <w:tcPr>
                        <w:tcW w:w="4362" w:type="dxa"/>
                        <w:gridSpan w:val="2"/>
                        <w:tcBorders>
                          <w:top w:val="nil" w:sz="6" w:space="0" w:color="auto"/>
                          <w:left w:val="nil" w:sz="6" w:space="0" w:color="auto"/>
                          <w:bottom w:val="nil" w:sz="6" w:space="0" w:color="auto"/>
                          <w:right w:val="nil" w:sz="6" w:space="0" w:color="auto"/>
                        </w:tcBorders>
                      </w:tcPr>
                      <w:p>
                        <w:pPr>
                          <w:pStyle w:val="TableParagraph"/>
                          <w:spacing w:line="226" w:lineRule="exact"/>
                          <w:ind w:right="221"/>
                          <w:jc w:val="right"/>
                          <w:rPr>
                            <w:rFonts w:ascii="黑体" w:hAnsi="黑体" w:cs="黑体" w:eastAsia="黑体" w:hint="default"/>
                            <w:sz w:val="18"/>
                            <w:szCs w:val="18"/>
                          </w:rPr>
                        </w:pPr>
                        <w:r>
                          <w:rPr>
                            <w:rFonts w:ascii="黑体" w:hAnsi="黑体" w:cs="黑体" w:eastAsia="黑体" w:hint="default"/>
                            <w:sz w:val="18"/>
                            <w:szCs w:val="18"/>
                          </w:rPr>
                          <w:t>股本</w:t>
                        </w:r>
                      </w:p>
                    </w:tc>
                    <w:tc>
                      <w:tcPr>
                        <w:tcW w:w="1644" w:type="dxa"/>
                        <w:tcBorders>
                          <w:top w:val="single" w:sz="4" w:space="0" w:color="000000"/>
                          <w:left w:val="nil" w:sz="6" w:space="0" w:color="auto"/>
                          <w:bottom w:val="nil" w:sz="6" w:space="0" w:color="auto"/>
                          <w:right w:val="nil" w:sz="6" w:space="0" w:color="auto"/>
                        </w:tcBorders>
                      </w:tcPr>
                      <w:p>
                        <w:pPr>
                          <w:pStyle w:val="TableParagraph"/>
                          <w:spacing w:line="221" w:lineRule="exact"/>
                          <w:ind w:right="177"/>
                          <w:jc w:val="right"/>
                          <w:rPr>
                            <w:rFonts w:ascii="黑体" w:hAnsi="黑体" w:cs="黑体" w:eastAsia="黑体" w:hint="default"/>
                            <w:sz w:val="18"/>
                            <w:szCs w:val="18"/>
                          </w:rPr>
                        </w:pPr>
                        <w:r>
                          <w:rPr>
                            <w:rFonts w:ascii="黑体" w:hAnsi="黑体" w:cs="黑体" w:eastAsia="黑体" w:hint="default"/>
                            <w:sz w:val="18"/>
                            <w:szCs w:val="18"/>
                          </w:rPr>
                          <w:t>资本公积</w:t>
                        </w:r>
                      </w:p>
                    </w:tc>
                    <w:tc>
                      <w:tcPr>
                        <w:tcW w:w="2891" w:type="dxa"/>
                        <w:gridSpan w:val="2"/>
                        <w:tcBorders>
                          <w:top w:val="single" w:sz="4" w:space="0" w:color="000000"/>
                          <w:left w:val="nil" w:sz="6" w:space="0" w:color="auto"/>
                          <w:bottom w:val="nil" w:sz="6" w:space="0" w:color="auto"/>
                          <w:right w:val="nil" w:sz="6" w:space="0" w:color="auto"/>
                        </w:tcBorders>
                      </w:tcPr>
                      <w:p>
                        <w:pPr>
                          <w:pStyle w:val="TableParagraph"/>
                          <w:tabs>
                            <w:tab w:pos="1749" w:val="left" w:leader="none"/>
                          </w:tabs>
                          <w:spacing w:line="221" w:lineRule="exact"/>
                          <w:ind w:left="516" w:right="0"/>
                          <w:jc w:val="left"/>
                          <w:rPr>
                            <w:rFonts w:ascii="黑体" w:hAnsi="黑体" w:cs="黑体" w:eastAsia="黑体" w:hint="default"/>
                            <w:sz w:val="18"/>
                            <w:szCs w:val="18"/>
                          </w:rPr>
                        </w:pPr>
                        <w:r>
                          <w:rPr>
                            <w:rFonts w:ascii="黑体" w:hAnsi="黑体" w:cs="黑体" w:eastAsia="黑体" w:hint="default"/>
                            <w:sz w:val="18"/>
                            <w:szCs w:val="18"/>
                          </w:rPr>
                          <w:t>盈余公积</w:t>
                          <w:tab/>
                          <w:t>未分配利润</w:t>
                        </w:r>
                      </w:p>
                    </w:tc>
                    <w:tc>
                      <w:tcPr>
                        <w:tcW w:w="1805" w:type="dxa"/>
                        <w:tcBorders>
                          <w:top w:val="single" w:sz="4" w:space="0" w:color="000000"/>
                          <w:left w:val="nil" w:sz="6" w:space="0" w:color="auto"/>
                          <w:bottom w:val="nil" w:sz="6" w:space="0" w:color="auto"/>
                          <w:right w:val="nil" w:sz="6" w:space="0" w:color="auto"/>
                        </w:tcBorders>
                      </w:tcPr>
                      <w:p>
                        <w:pPr>
                          <w:pStyle w:val="TableParagraph"/>
                          <w:spacing w:line="221" w:lineRule="exact"/>
                          <w:ind w:right="185"/>
                          <w:jc w:val="right"/>
                          <w:rPr>
                            <w:rFonts w:ascii="黑体" w:hAnsi="黑体" w:cs="黑体" w:eastAsia="黑体" w:hint="default"/>
                            <w:sz w:val="18"/>
                            <w:szCs w:val="18"/>
                          </w:rPr>
                        </w:pPr>
                        <w:r>
                          <w:rPr>
                            <w:rFonts w:ascii="黑体" w:hAnsi="黑体" w:cs="黑体" w:eastAsia="黑体" w:hint="default"/>
                            <w:sz w:val="18"/>
                            <w:szCs w:val="18"/>
                          </w:rPr>
                          <w:t>外币报表折算差额</w:t>
                        </w:r>
                      </w:p>
                    </w:tc>
                    <w:tc>
                      <w:tcPr>
                        <w:tcW w:w="1448" w:type="dxa"/>
                        <w:tcBorders>
                          <w:top w:val="single" w:sz="4" w:space="0" w:color="000000"/>
                          <w:left w:val="nil" w:sz="6" w:space="0" w:color="auto"/>
                          <w:bottom w:val="nil" w:sz="6" w:space="0" w:color="auto"/>
                          <w:right w:val="nil" w:sz="6" w:space="0" w:color="auto"/>
                        </w:tcBorders>
                      </w:tcPr>
                      <w:p>
                        <w:pPr>
                          <w:pStyle w:val="TableParagraph"/>
                          <w:spacing w:line="221" w:lineRule="exact"/>
                          <w:ind w:right="68"/>
                          <w:jc w:val="right"/>
                          <w:rPr>
                            <w:rFonts w:ascii="黑体" w:hAnsi="黑体" w:cs="黑体" w:eastAsia="黑体" w:hint="default"/>
                            <w:sz w:val="18"/>
                            <w:szCs w:val="18"/>
                          </w:rPr>
                        </w:pPr>
                        <w:r>
                          <w:rPr>
                            <w:rFonts w:ascii="黑体" w:hAnsi="黑体" w:cs="黑体" w:eastAsia="黑体" w:hint="default"/>
                            <w:sz w:val="18"/>
                            <w:szCs w:val="18"/>
                          </w:rPr>
                          <w:t>小计</w:t>
                        </w:r>
                      </w:p>
                    </w:tc>
                    <w:tc>
                      <w:tcPr>
                        <w:tcW w:w="1517"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r>
                  <w:tr>
                    <w:trPr>
                      <w:trHeight w:val="514" w:hRule="exact"/>
                    </w:trPr>
                    <w:tc>
                      <w:tcPr>
                        <w:tcW w:w="4362" w:type="dxa"/>
                        <w:gridSpan w:val="2"/>
                        <w:tcBorders>
                          <w:top w:val="nil" w:sz="6" w:space="0" w:color="auto"/>
                          <w:left w:val="nil" w:sz="6" w:space="0" w:color="auto"/>
                          <w:bottom w:val="nil" w:sz="6" w:space="0" w:color="auto"/>
                          <w:right w:val="nil" w:sz="6" w:space="0" w:color="auto"/>
                        </w:tcBorders>
                      </w:tcPr>
                      <w:p>
                        <w:pPr>
                          <w:pStyle w:val="TableParagraph"/>
                          <w:tabs>
                            <w:tab w:pos="3138" w:val="left" w:leader="none"/>
                          </w:tabs>
                          <w:spacing w:line="240" w:lineRule="auto" w:before="105"/>
                          <w:ind w:left="34" w:right="0"/>
                          <w:jc w:val="left"/>
                          <w:rPr>
                            <w:rFonts w:ascii="Arial" w:hAnsi="Arial" w:cs="Arial" w:eastAsia="Arial" w:hint="default"/>
                            <w:sz w:val="18"/>
                            <w:szCs w:val="18"/>
                          </w:rPr>
                        </w:pPr>
                        <w:r>
                          <w:rPr>
                            <w:rFonts w:ascii="黑体" w:hAnsi="黑体" w:cs="黑体" w:eastAsia="黑体" w:hint="default"/>
                            <w:sz w:val="18"/>
                            <w:szCs w:val="18"/>
                          </w:rPr>
                          <w:t>一、本年年初余额</w:t>
                          <w:tab/>
                        </w:r>
                        <w:r>
                          <w:rPr>
                            <w:rFonts w:ascii="Arial" w:hAnsi="Arial" w:cs="Arial" w:eastAsia="Arial" w:hint="default"/>
                            <w:sz w:val="18"/>
                            <w:szCs w:val="18"/>
                          </w:rPr>
                          <w:t>231,379,200</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79"/>
                          <w:jc w:val="right"/>
                          <w:rPr>
                            <w:rFonts w:ascii="Arial" w:hAnsi="Arial" w:cs="Arial" w:eastAsia="Arial" w:hint="default"/>
                            <w:sz w:val="18"/>
                            <w:szCs w:val="18"/>
                          </w:rPr>
                        </w:pPr>
                        <w:r>
                          <w:rPr>
                            <w:rFonts w:ascii="Arial"/>
                            <w:spacing w:val="-1"/>
                            <w:sz w:val="18"/>
                          </w:rPr>
                          <w:t>1,700,273,925</w:t>
                        </w:r>
                      </w:p>
                    </w:tc>
                    <w:tc>
                      <w:tcPr>
                        <w:tcW w:w="2891" w:type="dxa"/>
                        <w:gridSpan w:val="2"/>
                        <w:tcBorders>
                          <w:top w:val="nil" w:sz="6" w:space="0" w:color="auto"/>
                          <w:left w:val="nil" w:sz="6" w:space="0" w:color="auto"/>
                          <w:bottom w:val="nil" w:sz="6" w:space="0" w:color="auto"/>
                          <w:right w:val="nil" w:sz="6" w:space="0" w:color="auto"/>
                        </w:tcBorders>
                      </w:tcPr>
                      <w:p>
                        <w:pPr>
                          <w:pStyle w:val="TableParagraph"/>
                          <w:tabs>
                            <w:tab w:pos="1649" w:val="left" w:leader="none"/>
                          </w:tabs>
                          <w:spacing w:line="240" w:lineRule="auto" w:before="146"/>
                          <w:ind w:left="236" w:right="0"/>
                          <w:jc w:val="left"/>
                          <w:rPr>
                            <w:rFonts w:ascii="Arial" w:hAnsi="Arial" w:cs="Arial" w:eastAsia="Arial" w:hint="default"/>
                            <w:sz w:val="18"/>
                            <w:szCs w:val="18"/>
                          </w:rPr>
                        </w:pPr>
                        <w:r>
                          <w:rPr>
                            <w:rFonts w:ascii="Arial"/>
                            <w:spacing w:val="-1"/>
                            <w:sz w:val="18"/>
                          </w:rPr>
                          <w:t>129,617,944</w:t>
                          <w:tab/>
                          <w:t>348,342,966</w:t>
                        </w:r>
                        <w:r>
                          <w:rPr>
                            <w:rFonts w:ascii="Arial"/>
                            <w:sz w:val="18"/>
                          </w:rPr>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34"/>
                          <w:jc w:val="right"/>
                          <w:rPr>
                            <w:rFonts w:ascii="Arial" w:hAnsi="Arial" w:cs="Arial" w:eastAsia="Arial" w:hint="default"/>
                            <w:sz w:val="18"/>
                            <w:szCs w:val="18"/>
                          </w:rPr>
                        </w:pPr>
                        <w:r>
                          <w:rPr>
                            <w:rFonts w:ascii="Arial"/>
                            <w:spacing w:val="-2"/>
                            <w:sz w:val="18"/>
                          </w:rPr>
                          <w:t>(1,112,169)</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226" w:right="0"/>
                          <w:jc w:val="left"/>
                          <w:rPr>
                            <w:rFonts w:ascii="Arial" w:hAnsi="Arial" w:cs="Arial" w:eastAsia="Arial" w:hint="default"/>
                            <w:sz w:val="18"/>
                            <w:szCs w:val="18"/>
                          </w:rPr>
                        </w:pPr>
                        <w:r>
                          <w:rPr>
                            <w:rFonts w:ascii="Arial"/>
                            <w:sz w:val="18"/>
                          </w:rPr>
                          <w:t>2,408,501,866</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67"/>
                          <w:jc w:val="right"/>
                          <w:rPr>
                            <w:rFonts w:ascii="Arial" w:hAnsi="Arial" w:cs="Arial" w:eastAsia="Arial" w:hint="default"/>
                            <w:sz w:val="18"/>
                            <w:szCs w:val="18"/>
                          </w:rPr>
                        </w:pPr>
                        <w:r>
                          <w:rPr>
                            <w:rFonts w:ascii="Arial"/>
                            <w:spacing w:val="-1"/>
                            <w:sz w:val="18"/>
                          </w:rPr>
                          <w:t>14,806,171</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92"/>
                          <w:jc w:val="right"/>
                          <w:rPr>
                            <w:rFonts w:ascii="Arial" w:hAnsi="Arial" w:cs="Arial" w:eastAsia="Arial" w:hint="default"/>
                            <w:sz w:val="18"/>
                            <w:szCs w:val="18"/>
                          </w:rPr>
                        </w:pPr>
                        <w:r>
                          <w:rPr>
                            <w:rFonts w:ascii="Arial"/>
                            <w:spacing w:val="-1"/>
                            <w:sz w:val="18"/>
                          </w:rPr>
                          <w:t>2,423,308,037</w:t>
                        </w:r>
                      </w:p>
                    </w:tc>
                  </w:tr>
                  <w:tr>
                    <w:trPr>
                      <w:trHeight w:val="383" w:hRule="exact"/>
                    </w:trPr>
                    <w:tc>
                      <w:tcPr>
                        <w:tcW w:w="4362" w:type="dxa"/>
                        <w:gridSpan w:val="2"/>
                        <w:tcBorders>
                          <w:top w:val="nil" w:sz="6" w:space="0" w:color="auto"/>
                          <w:left w:val="nil" w:sz="6" w:space="0" w:color="auto"/>
                          <w:bottom w:val="nil" w:sz="6" w:space="0" w:color="auto"/>
                          <w:right w:val="nil" w:sz="6" w:space="0" w:color="auto"/>
                        </w:tcBorders>
                      </w:tcPr>
                      <w:p>
                        <w:pPr>
                          <w:pStyle w:val="TableParagraph"/>
                          <w:tabs>
                            <w:tab w:pos="4077" w:val="left" w:leader="none"/>
                          </w:tabs>
                          <w:spacing w:line="240" w:lineRule="auto" w:before="100"/>
                          <w:ind w:left="35" w:right="0"/>
                          <w:jc w:val="left"/>
                          <w:rPr>
                            <w:rFonts w:ascii="Arial" w:hAnsi="Arial" w:cs="Arial" w:eastAsia="Arial" w:hint="default"/>
                            <w:sz w:val="18"/>
                            <w:szCs w:val="18"/>
                          </w:rPr>
                        </w:pPr>
                        <w:r>
                          <w:rPr>
                            <w:rFonts w:ascii="Arial" w:hAnsi="Arial" w:cs="Arial" w:eastAsia="Arial" w:hint="default"/>
                            <w:sz w:val="18"/>
                            <w:szCs w:val="18"/>
                          </w:rPr>
                          <w:t>(</w:t>
                        </w:r>
                        <w:r>
                          <w:rPr>
                            <w:rFonts w:ascii="黑体" w:hAnsi="黑体" w:cs="黑体" w:eastAsia="黑体" w:hint="default"/>
                            <w:sz w:val="18"/>
                            <w:szCs w:val="18"/>
                          </w:rPr>
                          <w:t>一</w:t>
                        </w:r>
                        <w:r>
                          <w:rPr>
                            <w:rFonts w:ascii="Arial" w:hAnsi="Arial" w:cs="Arial" w:eastAsia="Arial" w:hint="default"/>
                            <w:sz w:val="18"/>
                            <w:szCs w:val="18"/>
                          </w:rPr>
                          <w:t>)</w:t>
                        </w:r>
                        <w:r>
                          <w:rPr>
                            <w:rFonts w:ascii="Arial" w:hAnsi="Arial" w:cs="Arial" w:eastAsia="Arial" w:hint="default"/>
                            <w:spacing w:val="40"/>
                            <w:sz w:val="18"/>
                            <w:szCs w:val="18"/>
                          </w:rPr>
                          <w:t> </w:t>
                        </w:r>
                        <w:r>
                          <w:rPr>
                            <w:rFonts w:ascii="黑体" w:hAnsi="黑体" w:cs="黑体" w:eastAsia="黑体" w:hint="default"/>
                            <w:sz w:val="18"/>
                            <w:szCs w:val="18"/>
                          </w:rPr>
                          <w:t>净利润</w:t>
                          <w:tab/>
                        </w:r>
                        <w:r>
                          <w:rPr>
                            <w:rFonts w:ascii="Arial" w:hAnsi="Arial" w:cs="Arial" w:eastAsia="Arial" w:hint="default"/>
                            <w:sz w:val="18"/>
                            <w:szCs w:val="18"/>
                          </w:rPr>
                          <w:t>-</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77"/>
                          <w:jc w:val="right"/>
                          <w:rPr>
                            <w:rFonts w:ascii="Arial" w:hAnsi="Arial" w:cs="Arial" w:eastAsia="Arial" w:hint="default"/>
                            <w:sz w:val="18"/>
                            <w:szCs w:val="18"/>
                          </w:rPr>
                        </w:pPr>
                        <w:r>
                          <w:rPr>
                            <w:rFonts w:ascii="Arial"/>
                            <w:w w:val="99"/>
                            <w:sz w:val="18"/>
                          </w:rPr>
                          <w:t>-</w:t>
                        </w:r>
                        <w:r>
                          <w:rPr>
                            <w:rFonts w:ascii="Arial"/>
                            <w:sz w:val="18"/>
                          </w:rPr>
                        </w:r>
                      </w:p>
                    </w:tc>
                    <w:tc>
                      <w:tcPr>
                        <w:tcW w:w="2891" w:type="dxa"/>
                        <w:gridSpan w:val="2"/>
                        <w:tcBorders>
                          <w:top w:val="nil" w:sz="6" w:space="0" w:color="auto"/>
                          <w:left w:val="nil" w:sz="6" w:space="0" w:color="auto"/>
                          <w:bottom w:val="nil" w:sz="6" w:space="0" w:color="auto"/>
                          <w:right w:val="nil" w:sz="6" w:space="0" w:color="auto"/>
                        </w:tcBorders>
                      </w:tcPr>
                      <w:p>
                        <w:pPr>
                          <w:pStyle w:val="TableParagraph"/>
                          <w:tabs>
                            <w:tab w:pos="1650" w:val="left" w:leader="none"/>
                          </w:tabs>
                          <w:spacing w:line="240" w:lineRule="auto" w:before="142"/>
                          <w:ind w:left="1176" w:right="0"/>
                          <w:jc w:val="left"/>
                          <w:rPr>
                            <w:rFonts w:ascii="Arial" w:hAnsi="Arial" w:cs="Arial" w:eastAsia="Arial" w:hint="default"/>
                            <w:sz w:val="18"/>
                            <w:szCs w:val="18"/>
                          </w:rPr>
                        </w:pPr>
                        <w:r>
                          <w:rPr>
                            <w:rFonts w:ascii="Arial"/>
                            <w:sz w:val="18"/>
                          </w:rPr>
                          <w:t>-</w:t>
                          <w:tab/>
                          <w:t>391,432,157</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87"/>
                          <w:jc w:val="right"/>
                          <w:rPr>
                            <w:rFonts w:ascii="Arial" w:hAnsi="Arial" w:cs="Arial" w:eastAsia="Arial" w:hint="default"/>
                            <w:sz w:val="18"/>
                            <w:szCs w:val="18"/>
                          </w:rPr>
                        </w:pPr>
                        <w:r>
                          <w:rPr>
                            <w:rFonts w:ascii="Arial"/>
                            <w:w w:val="99"/>
                            <w:sz w:val="18"/>
                          </w:rPr>
                          <w:t>-</w:t>
                        </w:r>
                        <w:r>
                          <w:rPr>
                            <w:rFonts w:ascii="Arial"/>
                            <w:sz w:val="18"/>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68"/>
                          <w:jc w:val="right"/>
                          <w:rPr>
                            <w:rFonts w:ascii="Arial" w:hAnsi="Arial" w:cs="Arial" w:eastAsia="Arial" w:hint="default"/>
                            <w:sz w:val="18"/>
                            <w:szCs w:val="18"/>
                          </w:rPr>
                        </w:pPr>
                        <w:r>
                          <w:rPr>
                            <w:rFonts w:ascii="Arial"/>
                            <w:spacing w:val="-1"/>
                            <w:sz w:val="18"/>
                          </w:rPr>
                          <w:t>391,432,157</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67"/>
                          <w:jc w:val="right"/>
                          <w:rPr>
                            <w:rFonts w:ascii="Arial" w:hAnsi="Arial" w:cs="Arial" w:eastAsia="Arial" w:hint="default"/>
                            <w:sz w:val="18"/>
                            <w:szCs w:val="18"/>
                          </w:rPr>
                        </w:pPr>
                        <w:r>
                          <w:rPr>
                            <w:rFonts w:ascii="Arial"/>
                            <w:spacing w:val="-1"/>
                            <w:sz w:val="18"/>
                          </w:rPr>
                          <w:t>12,334,430</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91"/>
                          <w:jc w:val="right"/>
                          <w:rPr>
                            <w:rFonts w:ascii="Arial" w:hAnsi="Arial" w:cs="Arial" w:eastAsia="Arial" w:hint="default"/>
                            <w:sz w:val="18"/>
                            <w:szCs w:val="18"/>
                          </w:rPr>
                        </w:pPr>
                        <w:r>
                          <w:rPr>
                            <w:rFonts w:ascii="Arial"/>
                            <w:spacing w:val="-1"/>
                            <w:sz w:val="18"/>
                          </w:rPr>
                          <w:t>403,766,587</w:t>
                        </w:r>
                        <w:r>
                          <w:rPr>
                            <w:rFonts w:ascii="Arial"/>
                            <w:sz w:val="18"/>
                          </w:rPr>
                        </w:r>
                      </w:p>
                    </w:tc>
                  </w:tr>
                  <w:tr>
                    <w:trPr>
                      <w:trHeight w:val="255" w:hRule="exact"/>
                    </w:trPr>
                    <w:tc>
                      <w:tcPr>
                        <w:tcW w:w="4362" w:type="dxa"/>
                        <w:gridSpan w:val="2"/>
                        <w:tcBorders>
                          <w:top w:val="nil" w:sz="6" w:space="0" w:color="auto"/>
                          <w:left w:val="nil" w:sz="6" w:space="0" w:color="auto"/>
                          <w:bottom w:val="nil" w:sz="6" w:space="0" w:color="auto"/>
                          <w:right w:val="nil" w:sz="6" w:space="0" w:color="auto"/>
                        </w:tcBorders>
                      </w:tcPr>
                      <w:p>
                        <w:pPr>
                          <w:pStyle w:val="TableParagraph"/>
                          <w:tabs>
                            <w:tab w:pos="3087" w:val="left" w:leader="none"/>
                            <w:tab w:pos="4077" w:val="left" w:leader="none"/>
                          </w:tabs>
                          <w:spacing w:line="222" w:lineRule="exact"/>
                          <w:ind w:left="34" w:right="0"/>
                          <w:jc w:val="left"/>
                          <w:rPr>
                            <w:rFonts w:ascii="Arial" w:hAnsi="Arial" w:cs="Arial" w:eastAsia="Arial" w:hint="default"/>
                            <w:sz w:val="18"/>
                            <w:szCs w:val="18"/>
                          </w:rPr>
                        </w:pPr>
                        <w:r>
                          <w:rPr>
                            <w:rFonts w:ascii="Arial" w:hAnsi="Arial" w:cs="Arial" w:eastAsia="Arial" w:hint="default"/>
                            <w:sz w:val="18"/>
                            <w:szCs w:val="18"/>
                          </w:rPr>
                          <w:t>(</w:t>
                        </w:r>
                        <w:r>
                          <w:rPr>
                            <w:rFonts w:ascii="黑体" w:hAnsi="黑体" w:cs="黑体" w:eastAsia="黑体" w:hint="default"/>
                            <w:sz w:val="18"/>
                            <w:szCs w:val="18"/>
                          </w:rPr>
                          <w:t>二</w:t>
                        </w:r>
                        <w:r>
                          <w:rPr>
                            <w:rFonts w:ascii="Arial" w:hAnsi="Arial" w:cs="Arial" w:eastAsia="Arial" w:hint="default"/>
                            <w:sz w:val="18"/>
                            <w:szCs w:val="18"/>
                          </w:rPr>
                          <w:t>)</w:t>
                        </w:r>
                        <w:r>
                          <w:rPr>
                            <w:rFonts w:ascii="Arial" w:hAnsi="Arial" w:cs="Arial" w:eastAsia="Arial" w:hint="default"/>
                            <w:spacing w:val="39"/>
                            <w:sz w:val="18"/>
                            <w:szCs w:val="18"/>
                          </w:rPr>
                          <w:t> </w:t>
                        </w:r>
                        <w:r>
                          <w:rPr>
                            <w:rFonts w:ascii="黑体" w:hAnsi="黑体" w:cs="黑体" w:eastAsia="黑体" w:hint="default"/>
                            <w:sz w:val="18"/>
                            <w:szCs w:val="18"/>
                          </w:rPr>
                          <w:t>其他综合收益</w:t>
                          <w:tab/>
                        </w:r>
                        <w:r>
                          <w:rPr>
                            <w:rFonts w:ascii="Arial" w:hAnsi="Arial" w:cs="Arial" w:eastAsia="Arial" w:hint="default"/>
                            <w:sz w:val="18"/>
                            <w:szCs w:val="18"/>
                          </w:rPr>
                        </w:r>
                        <w:r>
                          <w:rPr>
                            <w:rFonts w:ascii="Arial" w:hAnsi="Arial" w:cs="Arial" w:eastAsia="Arial" w:hint="default"/>
                            <w:sz w:val="18"/>
                            <w:szCs w:val="18"/>
                            <w:u w:val="single" w:color="000000"/>
                          </w:rPr>
                          <w:t> </w:t>
                          <w:tab/>
                          <w:t>-</w:t>
                        </w:r>
                        <w:r>
                          <w:rPr>
                            <w:rFonts w:ascii="Arial" w:hAnsi="Arial" w:cs="Arial" w:eastAsia="Arial" w:hint="default"/>
                            <w:sz w:val="18"/>
                            <w:szCs w:val="18"/>
                          </w:rPr>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0"/>
                          <w:jc w:val="right"/>
                          <w:rPr>
                            <w:rFonts w:ascii="Arial" w:hAnsi="Arial" w:cs="Arial" w:eastAsia="Arial" w:hint="default"/>
                            <w:sz w:val="18"/>
                            <w:szCs w:val="18"/>
                          </w:rPr>
                        </w:pPr>
                        <w:r>
                          <w:rPr>
                            <w:rFonts w:ascii="Arial"/>
                            <w:sz w:val="18"/>
                          </w:rPr>
                          <w:t>(  </w:t>
                        </w:r>
                        <w:r>
                          <w:rPr>
                            <w:rFonts w:ascii="Arial"/>
                            <w:spacing w:val="27"/>
                            <w:sz w:val="18"/>
                          </w:rPr>
                          <w:t> </w:t>
                        </w:r>
                        <w:r>
                          <w:rPr>
                            <w:rFonts w:ascii="Arial"/>
                            <w:spacing w:val="27"/>
                            <w:sz w:val="18"/>
                            <w:u w:val="single" w:color="000000"/>
                          </w:rPr>
                          <w:t> </w:t>
                        </w:r>
                        <w:r>
                          <w:rPr>
                            <w:rFonts w:ascii="Arial"/>
                            <w:sz w:val="18"/>
                            <w:u w:val="single" w:color="000000"/>
                          </w:rPr>
                          <w:t>576,525,333</w:t>
                        </w:r>
                        <w:r>
                          <w:rPr>
                            <w:rFonts w:ascii="Arial"/>
                            <w:sz w:val="18"/>
                          </w:rPr>
                          <w:t>)</w:t>
                        </w:r>
                      </w:p>
                    </w:tc>
                    <w:tc>
                      <w:tcPr>
                        <w:tcW w:w="2891" w:type="dxa"/>
                        <w:gridSpan w:val="2"/>
                        <w:tcBorders>
                          <w:top w:val="nil" w:sz="6" w:space="0" w:color="auto"/>
                          <w:left w:val="nil" w:sz="6" w:space="0" w:color="auto"/>
                          <w:bottom w:val="nil" w:sz="6" w:space="0" w:color="auto"/>
                          <w:right w:val="nil" w:sz="6" w:space="0" w:color="auto"/>
                        </w:tcBorders>
                      </w:tcPr>
                      <w:p>
                        <w:pPr>
                          <w:pStyle w:val="TableParagraph"/>
                          <w:tabs>
                            <w:tab w:pos="1176" w:val="left" w:leader="none"/>
                            <w:tab w:pos="1599" w:val="left" w:leader="none"/>
                            <w:tab w:pos="2589" w:val="left" w:leader="none"/>
                          </w:tabs>
                          <w:spacing w:line="240" w:lineRule="auto" w:before="15"/>
                          <w:ind w:left="185"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tab/>
                        </w:r>
                        <w:r>
                          <w:rPr>
                            <w:rFonts w:ascii="Arial"/>
                            <w:sz w:val="18"/>
                            <w:u w:val="single" w:color="000000"/>
                          </w:rPr>
                          <w:t> </w:t>
                          <w:tab/>
                          <w:t>-</w:t>
                        </w:r>
                        <w:r>
                          <w:rPr>
                            <w:rFonts w:ascii="Arial"/>
                            <w:sz w:val="18"/>
                          </w:rPr>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0"/>
                            <w:sz w:val="18"/>
                            <w:u w:val="single" w:color="000000"/>
                          </w:rPr>
                          <w:t> </w:t>
                        </w:r>
                        <w:r>
                          <w:rPr>
                            <w:rFonts w:ascii="Arial"/>
                            <w:spacing w:val="-1"/>
                            <w:sz w:val="18"/>
                            <w:u w:val="single" w:color="000000"/>
                          </w:rPr>
                          <w:t>333,813</w:t>
                        </w:r>
                        <w:r>
                          <w:rPr>
                            <w:rFonts w:ascii="Arial"/>
                            <w:spacing w:val="-1"/>
                            <w:sz w:val="18"/>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right"/>
                          <w:rPr>
                            <w:rFonts w:ascii="Arial" w:hAnsi="Arial" w:cs="Arial" w:eastAsia="Arial" w:hint="default"/>
                            <w:sz w:val="18"/>
                            <w:szCs w:val="18"/>
                          </w:rPr>
                        </w:pPr>
                        <w:r>
                          <w:rPr>
                            <w:rFonts w:ascii="Arial"/>
                            <w:sz w:val="18"/>
                          </w:rPr>
                          <w:t>(  </w:t>
                        </w:r>
                        <w:r>
                          <w:rPr>
                            <w:rFonts w:ascii="Arial"/>
                            <w:spacing w:val="31"/>
                            <w:sz w:val="18"/>
                          </w:rPr>
                          <w:t> </w:t>
                        </w:r>
                        <w:r>
                          <w:rPr>
                            <w:rFonts w:ascii="Arial"/>
                            <w:spacing w:val="31"/>
                            <w:sz w:val="18"/>
                            <w:u w:val="single" w:color="000000"/>
                          </w:rPr>
                          <w:t> </w:t>
                        </w:r>
                        <w:r>
                          <w:rPr>
                            <w:rFonts w:ascii="Arial"/>
                            <w:sz w:val="18"/>
                            <w:u w:val="single" w:color="000000"/>
                          </w:rPr>
                          <w:t>576,191,520</w:t>
                        </w:r>
                        <w:r>
                          <w:rPr>
                            <w:rFonts w:ascii="Arial"/>
                            <w:sz w:val="18"/>
                          </w:rPr>
                          <w:t>)</w:t>
                        </w:r>
                      </w:p>
                    </w:tc>
                    <w:tc>
                      <w:tcPr>
                        <w:tcW w:w="1517" w:type="dxa"/>
                        <w:tcBorders>
                          <w:top w:val="nil" w:sz="6" w:space="0" w:color="auto"/>
                          <w:left w:val="nil" w:sz="6" w:space="0" w:color="auto"/>
                          <w:bottom w:val="nil" w:sz="6" w:space="0" w:color="auto"/>
                          <w:right w:val="nil" w:sz="6" w:space="0" w:color="auto"/>
                        </w:tcBorders>
                      </w:tcPr>
                      <w:p>
                        <w:pPr>
                          <w:pStyle w:val="TableParagraph"/>
                          <w:tabs>
                            <w:tab w:pos="900" w:val="left" w:leader="none"/>
                          </w:tabs>
                          <w:spacing w:line="240" w:lineRule="auto" w:before="15"/>
                          <w:ind w:right="167"/>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sz w:val="18"/>
                          </w:rPr>
                          <w:t>(  </w:t>
                        </w:r>
                        <w:r>
                          <w:rPr>
                            <w:rFonts w:ascii="Arial"/>
                            <w:spacing w:val="17"/>
                            <w:sz w:val="18"/>
                          </w:rPr>
                          <w:t> </w:t>
                        </w:r>
                        <w:r>
                          <w:rPr>
                            <w:rFonts w:ascii="Arial"/>
                            <w:spacing w:val="17"/>
                            <w:sz w:val="18"/>
                            <w:u w:val="single" w:color="000000"/>
                          </w:rPr>
                          <w:t> </w:t>
                        </w:r>
                        <w:r>
                          <w:rPr>
                            <w:rFonts w:ascii="Arial"/>
                            <w:sz w:val="18"/>
                            <w:u w:val="single" w:color="000000"/>
                          </w:rPr>
                          <w:t>576,191,520</w:t>
                        </w:r>
                        <w:r>
                          <w:rPr>
                            <w:rFonts w:ascii="Arial"/>
                            <w:sz w:val="18"/>
                          </w:rPr>
                          <w:t>)</w:t>
                        </w:r>
                      </w:p>
                    </w:tc>
                  </w:tr>
                  <w:tr>
                    <w:trPr>
                      <w:trHeight w:val="510" w:hRule="exact"/>
                    </w:trPr>
                    <w:tc>
                      <w:tcPr>
                        <w:tcW w:w="4362" w:type="dxa"/>
                        <w:gridSpan w:val="2"/>
                        <w:tcBorders>
                          <w:top w:val="nil" w:sz="6" w:space="0" w:color="auto"/>
                          <w:left w:val="nil" w:sz="6" w:space="0" w:color="auto"/>
                          <w:bottom w:val="nil" w:sz="6" w:space="0" w:color="auto"/>
                          <w:right w:val="nil" w:sz="6" w:space="0" w:color="auto"/>
                        </w:tcBorders>
                      </w:tcPr>
                      <w:p>
                        <w:pPr>
                          <w:pStyle w:val="TableParagraph"/>
                          <w:tabs>
                            <w:tab w:pos="3087" w:val="left" w:leader="none"/>
                            <w:tab w:pos="4078" w:val="left" w:leader="none"/>
                          </w:tabs>
                          <w:spacing w:line="221" w:lineRule="exact"/>
                          <w:ind w:left="34" w:right="0"/>
                          <w:jc w:val="left"/>
                          <w:rPr>
                            <w:rFonts w:ascii="Arial" w:hAnsi="Arial" w:cs="Arial" w:eastAsia="Arial" w:hint="default"/>
                            <w:sz w:val="18"/>
                            <w:szCs w:val="18"/>
                          </w:rPr>
                        </w:pPr>
                        <w:r>
                          <w:rPr>
                            <w:rFonts w:ascii="黑体" w:hAnsi="黑体" w:cs="黑体" w:eastAsia="黑体" w:hint="default"/>
                            <w:sz w:val="18"/>
                            <w:szCs w:val="18"/>
                          </w:rPr>
                          <w:t>综合收益总额</w:t>
                          <w:tab/>
                        </w:r>
                        <w:r>
                          <w:rPr>
                            <w:rFonts w:ascii="Arial" w:hAnsi="Arial" w:cs="Arial" w:eastAsia="Arial" w:hint="default"/>
                            <w:sz w:val="18"/>
                            <w:szCs w:val="18"/>
                          </w:rPr>
                        </w:r>
                        <w:r>
                          <w:rPr>
                            <w:rFonts w:ascii="Arial" w:hAnsi="Arial" w:cs="Arial" w:eastAsia="Arial" w:hint="default"/>
                            <w:sz w:val="18"/>
                            <w:szCs w:val="18"/>
                            <w:u w:val="single" w:color="000000"/>
                          </w:rPr>
                          <w:t> </w:t>
                          <w:tab/>
                          <w:t>-</w:t>
                        </w:r>
                        <w:r>
                          <w:rPr>
                            <w:rFonts w:ascii="Arial" w:hAnsi="Arial" w:cs="Arial" w:eastAsia="Arial" w:hint="default"/>
                            <w:sz w:val="18"/>
                            <w:szCs w:val="18"/>
                          </w:rPr>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10"/>
                          <w:jc w:val="right"/>
                          <w:rPr>
                            <w:rFonts w:ascii="Arial" w:hAnsi="Arial" w:cs="Arial" w:eastAsia="Arial" w:hint="default"/>
                            <w:sz w:val="18"/>
                            <w:szCs w:val="18"/>
                          </w:rPr>
                        </w:pPr>
                        <w:r>
                          <w:rPr>
                            <w:rFonts w:ascii="Arial"/>
                            <w:sz w:val="18"/>
                          </w:rPr>
                          <w:t>(  </w:t>
                        </w:r>
                        <w:r>
                          <w:rPr>
                            <w:rFonts w:ascii="Arial"/>
                            <w:spacing w:val="27"/>
                            <w:sz w:val="18"/>
                          </w:rPr>
                          <w:t> </w:t>
                        </w:r>
                        <w:r>
                          <w:rPr>
                            <w:rFonts w:ascii="Arial"/>
                            <w:spacing w:val="27"/>
                            <w:sz w:val="18"/>
                            <w:u w:val="single" w:color="000000"/>
                          </w:rPr>
                          <w:t> </w:t>
                        </w:r>
                        <w:r>
                          <w:rPr>
                            <w:rFonts w:ascii="Arial"/>
                            <w:sz w:val="18"/>
                            <w:u w:val="single" w:color="000000"/>
                          </w:rPr>
                          <w:t>576,525,333</w:t>
                        </w:r>
                        <w:r>
                          <w:rPr>
                            <w:rFonts w:ascii="Arial"/>
                            <w:sz w:val="18"/>
                          </w:rPr>
                          <w:t>)</w:t>
                        </w:r>
                      </w:p>
                    </w:tc>
                    <w:tc>
                      <w:tcPr>
                        <w:tcW w:w="2891" w:type="dxa"/>
                        <w:gridSpan w:val="2"/>
                        <w:tcBorders>
                          <w:top w:val="nil" w:sz="6" w:space="0" w:color="auto"/>
                          <w:left w:val="nil" w:sz="6" w:space="0" w:color="auto"/>
                          <w:bottom w:val="nil" w:sz="6" w:space="0" w:color="auto"/>
                          <w:right w:val="nil" w:sz="6" w:space="0" w:color="auto"/>
                        </w:tcBorders>
                      </w:tcPr>
                      <w:p>
                        <w:pPr>
                          <w:pStyle w:val="TableParagraph"/>
                          <w:tabs>
                            <w:tab w:pos="1176" w:val="left" w:leader="none"/>
                            <w:tab w:pos="1649" w:val="left" w:leader="none"/>
                          </w:tabs>
                          <w:spacing w:line="240" w:lineRule="auto" w:before="14"/>
                          <w:ind w:left="185"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tab/>
                        </w:r>
                        <w:r>
                          <w:rPr>
                            <w:rFonts w:ascii="Arial"/>
                            <w:sz w:val="18"/>
                            <w:u w:val="single" w:color="000000"/>
                          </w:rPr>
                          <w:t>391,432,157</w:t>
                        </w:r>
                        <w:r>
                          <w:rPr>
                            <w:rFonts w:ascii="Arial"/>
                            <w:sz w:val="18"/>
                          </w:rPr>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8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0"/>
                            <w:sz w:val="18"/>
                            <w:u w:val="single" w:color="000000"/>
                          </w:rPr>
                          <w:t> </w:t>
                        </w:r>
                        <w:r>
                          <w:rPr>
                            <w:rFonts w:ascii="Arial"/>
                            <w:spacing w:val="-1"/>
                            <w:sz w:val="18"/>
                            <w:u w:val="single" w:color="000000"/>
                          </w:rPr>
                          <w:t>333,813</w:t>
                        </w:r>
                        <w:r>
                          <w:rPr>
                            <w:rFonts w:ascii="Arial"/>
                            <w:spacing w:val="-1"/>
                            <w:sz w:val="18"/>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18"/>
                            <w:szCs w:val="18"/>
                          </w:rPr>
                        </w:pPr>
                        <w:r>
                          <w:rPr>
                            <w:rFonts w:ascii="Arial"/>
                            <w:sz w:val="18"/>
                          </w:rPr>
                          <w:t>(  </w:t>
                        </w:r>
                        <w:r>
                          <w:rPr>
                            <w:rFonts w:ascii="Arial"/>
                            <w:spacing w:val="31"/>
                            <w:sz w:val="18"/>
                          </w:rPr>
                          <w:t> </w:t>
                        </w:r>
                        <w:r>
                          <w:rPr>
                            <w:rFonts w:ascii="Arial"/>
                            <w:spacing w:val="31"/>
                            <w:sz w:val="18"/>
                            <w:u w:val="single" w:color="000000"/>
                          </w:rPr>
                          <w:t> </w:t>
                        </w:r>
                        <w:r>
                          <w:rPr>
                            <w:rFonts w:ascii="Arial"/>
                            <w:sz w:val="18"/>
                            <w:u w:val="single" w:color="000000"/>
                          </w:rPr>
                          <w:t>184,759,363</w:t>
                        </w:r>
                        <w:r>
                          <w:rPr>
                            <w:rFonts w:ascii="Arial"/>
                            <w:sz w:val="18"/>
                          </w:rPr>
                          <w:t>)</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67"/>
                          <w:jc w:val="right"/>
                          <w:rPr>
                            <w:rFonts w:ascii="Arial" w:hAnsi="Arial" w:cs="Arial" w:eastAsia="Arial" w:hint="default"/>
                            <w:sz w:val="18"/>
                            <w:szCs w:val="18"/>
                          </w:rPr>
                        </w:pPr>
                        <w:r>
                          <w:rPr>
                            <w:rFonts w:ascii="Arial"/>
                            <w:w w:val="99"/>
                            <w:sz w:val="18"/>
                          </w:rPr>
                        </w:r>
                        <w:r>
                          <w:rPr>
                            <w:rFonts w:ascii="Arial"/>
                            <w:spacing w:val="-1"/>
                            <w:sz w:val="18"/>
                            <w:u w:val="single" w:color="000000"/>
                          </w:rPr>
                          <w:t>12,334,430</w:t>
                        </w:r>
                        <w:r>
                          <w:rPr>
                            <w:rFonts w:ascii="Arial"/>
                            <w:spacing w:val="-1"/>
                            <w:sz w:val="18"/>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Arial" w:hAnsi="Arial" w:cs="Arial" w:eastAsia="Arial" w:hint="default"/>
                            <w:sz w:val="18"/>
                            <w:szCs w:val="18"/>
                          </w:rPr>
                        </w:pPr>
                        <w:r>
                          <w:rPr>
                            <w:rFonts w:ascii="Arial"/>
                            <w:sz w:val="18"/>
                          </w:rPr>
                          <w:t>(  </w:t>
                        </w:r>
                        <w:r>
                          <w:rPr>
                            <w:rFonts w:ascii="Arial"/>
                            <w:spacing w:val="17"/>
                            <w:sz w:val="18"/>
                          </w:rPr>
                          <w:t> </w:t>
                        </w:r>
                        <w:r>
                          <w:rPr>
                            <w:rFonts w:ascii="Arial"/>
                            <w:spacing w:val="17"/>
                            <w:sz w:val="18"/>
                            <w:u w:val="single" w:color="000000"/>
                          </w:rPr>
                          <w:t> </w:t>
                        </w:r>
                        <w:r>
                          <w:rPr>
                            <w:rFonts w:ascii="Arial"/>
                            <w:sz w:val="18"/>
                            <w:u w:val="single" w:color="000000"/>
                          </w:rPr>
                          <w:t>172,424,933</w:t>
                        </w:r>
                        <w:r>
                          <w:rPr>
                            <w:rFonts w:ascii="Arial"/>
                            <w:sz w:val="18"/>
                          </w:rPr>
                          <w:t>)</w:t>
                        </w:r>
                      </w:p>
                    </w:tc>
                  </w:tr>
                  <w:tr>
                    <w:trPr>
                      <w:trHeight w:val="473" w:hRule="exact"/>
                    </w:trPr>
                    <w:tc>
                      <w:tcPr>
                        <w:tcW w:w="4362" w:type="dxa"/>
                        <w:gridSpan w:val="2"/>
                        <w:tcBorders>
                          <w:top w:val="nil" w:sz="6" w:space="0" w:color="auto"/>
                          <w:left w:val="nil" w:sz="6" w:space="0" w:color="auto"/>
                          <w:bottom w:val="nil" w:sz="6" w:space="0" w:color="auto"/>
                          <w:right w:val="nil" w:sz="6" w:space="0" w:color="auto"/>
                        </w:tcBorders>
                      </w:tcPr>
                      <w:p>
                        <w:pPr>
                          <w:pStyle w:val="TableParagraph"/>
                          <w:spacing w:line="221" w:lineRule="exact"/>
                          <w:ind w:left="34" w:right="0"/>
                          <w:jc w:val="left"/>
                          <w:rPr>
                            <w:rFonts w:ascii="黑体" w:hAnsi="黑体" w:cs="黑体" w:eastAsia="黑体" w:hint="default"/>
                            <w:sz w:val="18"/>
                            <w:szCs w:val="18"/>
                          </w:rPr>
                        </w:pPr>
                        <w:r>
                          <w:rPr>
                            <w:rFonts w:ascii="Arial" w:hAnsi="Arial" w:cs="Arial" w:eastAsia="Arial" w:hint="default"/>
                            <w:sz w:val="18"/>
                            <w:szCs w:val="18"/>
                          </w:rPr>
                          <w:t>(</w:t>
                        </w:r>
                        <w:r>
                          <w:rPr>
                            <w:rFonts w:ascii="黑体" w:hAnsi="黑体" w:cs="黑体" w:eastAsia="黑体" w:hint="default"/>
                            <w:sz w:val="18"/>
                            <w:szCs w:val="18"/>
                          </w:rPr>
                          <w:t>三</w:t>
                        </w:r>
                        <w:r>
                          <w:rPr>
                            <w:rFonts w:ascii="Arial" w:hAnsi="Arial" w:cs="Arial" w:eastAsia="Arial" w:hint="default"/>
                            <w:sz w:val="18"/>
                            <w:szCs w:val="18"/>
                          </w:rPr>
                          <w:t>)</w:t>
                        </w:r>
                        <w:r>
                          <w:rPr>
                            <w:rFonts w:ascii="Arial" w:hAnsi="Arial" w:cs="Arial" w:eastAsia="Arial" w:hint="default"/>
                            <w:spacing w:val="39"/>
                            <w:sz w:val="18"/>
                            <w:szCs w:val="18"/>
                          </w:rPr>
                          <w:t> </w:t>
                        </w:r>
                        <w:r>
                          <w:rPr>
                            <w:rFonts w:ascii="黑体" w:hAnsi="黑体" w:cs="黑体" w:eastAsia="黑体" w:hint="default"/>
                            <w:sz w:val="18"/>
                            <w:szCs w:val="18"/>
                          </w:rPr>
                          <w:t>股东投入和减少资本</w:t>
                        </w:r>
                      </w:p>
                      <w:p>
                        <w:pPr>
                          <w:pStyle w:val="TableParagraph"/>
                          <w:tabs>
                            <w:tab w:pos="3338" w:val="left" w:leader="none"/>
                          </w:tabs>
                          <w:spacing w:line="240" w:lineRule="auto" w:before="7"/>
                          <w:ind w:left="166" w:right="0"/>
                          <w:jc w:val="left"/>
                          <w:rPr>
                            <w:rFonts w:ascii="Arial" w:hAnsi="Arial" w:cs="Arial" w:eastAsia="Arial" w:hint="default"/>
                            <w:sz w:val="18"/>
                            <w:szCs w:val="18"/>
                          </w:rPr>
                        </w:pPr>
                        <w:r>
                          <w:rPr>
                            <w:rFonts w:ascii="Arial" w:hAnsi="Arial" w:cs="Arial" w:eastAsia="Arial" w:hint="default"/>
                            <w:sz w:val="18"/>
                            <w:szCs w:val="18"/>
                          </w:rPr>
                          <w:t>1.</w:t>
                        </w:r>
                        <w:r>
                          <w:rPr>
                            <w:rFonts w:ascii="Arial" w:hAnsi="Arial" w:cs="Arial" w:eastAsia="Arial" w:hint="default"/>
                            <w:spacing w:val="36"/>
                            <w:sz w:val="18"/>
                            <w:szCs w:val="18"/>
                          </w:rPr>
                          <w:t> </w:t>
                        </w:r>
                        <w:r>
                          <w:rPr>
                            <w:rFonts w:ascii="黑体" w:hAnsi="黑体" w:cs="黑体" w:eastAsia="黑体" w:hint="default"/>
                            <w:sz w:val="18"/>
                            <w:szCs w:val="18"/>
                          </w:rPr>
                          <w:t>股东投入资本</w:t>
                        </w:r>
                        <w:r>
                          <w:rPr>
                            <w:rFonts w:ascii="Arial" w:hAnsi="Arial" w:cs="Arial" w:eastAsia="Arial" w:hint="default"/>
                            <w:sz w:val="18"/>
                            <w:szCs w:val="18"/>
                          </w:rPr>
                          <w:t>(</w:t>
                        </w:r>
                        <w:r>
                          <w:rPr>
                            <w:rFonts w:ascii="黑体" w:hAnsi="黑体" w:cs="黑体" w:eastAsia="黑体" w:hint="default"/>
                            <w:sz w:val="18"/>
                            <w:szCs w:val="18"/>
                          </w:rPr>
                          <w:t>附注五、</w:t>
                        </w:r>
                        <w:r>
                          <w:rPr>
                            <w:rFonts w:ascii="Arial" w:hAnsi="Arial" w:cs="Arial" w:eastAsia="Arial" w:hint="default"/>
                            <w:sz w:val="18"/>
                            <w:szCs w:val="18"/>
                          </w:rPr>
                          <w:t>28)</w:t>
                          <w:tab/>
                          <w:t>4,006,375</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Arial" w:hAnsi="Arial" w:cs="Arial" w:eastAsia="Arial" w:hint="default"/>
                            <w:sz w:val="23"/>
                            <w:szCs w:val="23"/>
                          </w:rPr>
                        </w:pPr>
                      </w:p>
                      <w:p>
                        <w:pPr>
                          <w:pStyle w:val="TableParagraph"/>
                          <w:spacing w:line="240" w:lineRule="auto"/>
                          <w:ind w:right="178"/>
                          <w:jc w:val="right"/>
                          <w:rPr>
                            <w:rFonts w:ascii="Arial" w:hAnsi="Arial" w:cs="Arial" w:eastAsia="Arial" w:hint="default"/>
                            <w:sz w:val="18"/>
                            <w:szCs w:val="18"/>
                          </w:rPr>
                        </w:pPr>
                        <w:r>
                          <w:rPr>
                            <w:rFonts w:ascii="Arial"/>
                            <w:spacing w:val="-1"/>
                            <w:sz w:val="18"/>
                          </w:rPr>
                          <w:t>55,679,977</w:t>
                        </w:r>
                      </w:p>
                    </w:tc>
                    <w:tc>
                      <w:tcPr>
                        <w:tcW w:w="28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Arial" w:hAnsi="Arial" w:cs="Arial" w:eastAsia="Arial" w:hint="default"/>
                            <w:sz w:val="23"/>
                            <w:szCs w:val="23"/>
                          </w:rPr>
                        </w:pPr>
                      </w:p>
                      <w:p>
                        <w:pPr>
                          <w:pStyle w:val="TableParagraph"/>
                          <w:tabs>
                            <w:tab w:pos="2588" w:val="left" w:leader="none"/>
                          </w:tabs>
                          <w:spacing w:line="240" w:lineRule="auto"/>
                          <w:ind w:left="1174" w:right="0"/>
                          <w:jc w:val="left"/>
                          <w:rPr>
                            <w:rFonts w:ascii="Arial" w:hAnsi="Arial" w:cs="Arial" w:eastAsia="Arial" w:hint="default"/>
                            <w:sz w:val="18"/>
                            <w:szCs w:val="18"/>
                          </w:rPr>
                        </w:pPr>
                        <w:r>
                          <w:rPr>
                            <w:rFonts w:ascii="Arial"/>
                            <w:sz w:val="18"/>
                          </w:rPr>
                          <w:t>-</w:t>
                          <w:tab/>
                          <w:t>-</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Arial" w:hAnsi="Arial" w:cs="Arial" w:eastAsia="Arial" w:hint="default"/>
                            <w:sz w:val="23"/>
                            <w:szCs w:val="23"/>
                          </w:rPr>
                        </w:pPr>
                      </w:p>
                      <w:p>
                        <w:pPr>
                          <w:pStyle w:val="TableParagraph"/>
                          <w:spacing w:line="240" w:lineRule="auto"/>
                          <w:ind w:right="185"/>
                          <w:jc w:val="right"/>
                          <w:rPr>
                            <w:rFonts w:ascii="Arial" w:hAnsi="Arial" w:cs="Arial" w:eastAsia="Arial" w:hint="default"/>
                            <w:sz w:val="18"/>
                            <w:szCs w:val="18"/>
                          </w:rPr>
                        </w:pPr>
                        <w:r>
                          <w:rPr>
                            <w:rFonts w:ascii="Arial"/>
                            <w:w w:val="99"/>
                            <w:sz w:val="18"/>
                          </w:rPr>
                          <w:t>-</w:t>
                        </w:r>
                        <w:r>
                          <w:rPr>
                            <w:rFonts w:ascii="Arial"/>
                            <w:sz w:val="18"/>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Arial" w:hAnsi="Arial" w:cs="Arial" w:eastAsia="Arial" w:hint="default"/>
                            <w:sz w:val="23"/>
                            <w:szCs w:val="23"/>
                          </w:rPr>
                        </w:pPr>
                      </w:p>
                      <w:p>
                        <w:pPr>
                          <w:pStyle w:val="TableParagraph"/>
                          <w:spacing w:line="240" w:lineRule="auto"/>
                          <w:ind w:right="68"/>
                          <w:jc w:val="right"/>
                          <w:rPr>
                            <w:rFonts w:ascii="Arial" w:hAnsi="Arial" w:cs="Arial" w:eastAsia="Arial" w:hint="default"/>
                            <w:sz w:val="18"/>
                            <w:szCs w:val="18"/>
                          </w:rPr>
                        </w:pPr>
                        <w:r>
                          <w:rPr>
                            <w:rFonts w:ascii="Arial"/>
                            <w:spacing w:val="-1"/>
                            <w:sz w:val="18"/>
                          </w:rPr>
                          <w:t>59,686,352</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Arial" w:hAnsi="Arial" w:cs="Arial" w:eastAsia="Arial" w:hint="default"/>
                            <w:sz w:val="23"/>
                            <w:szCs w:val="23"/>
                          </w:rPr>
                        </w:pPr>
                      </w:p>
                      <w:p>
                        <w:pPr>
                          <w:pStyle w:val="TableParagraph"/>
                          <w:spacing w:line="240" w:lineRule="auto"/>
                          <w:ind w:right="167"/>
                          <w:jc w:val="right"/>
                          <w:rPr>
                            <w:rFonts w:ascii="Arial" w:hAnsi="Arial" w:cs="Arial" w:eastAsia="Arial" w:hint="default"/>
                            <w:sz w:val="18"/>
                            <w:szCs w:val="18"/>
                          </w:rPr>
                        </w:pPr>
                        <w:r>
                          <w:rPr>
                            <w:rFonts w:ascii="Arial"/>
                            <w:w w:val="99"/>
                            <w:sz w:val="18"/>
                          </w:rPr>
                          <w:t>-</w:t>
                        </w:r>
                        <w:r>
                          <w:rPr>
                            <w:rFonts w:ascii="Arial"/>
                            <w:sz w:val="18"/>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Arial" w:hAnsi="Arial" w:cs="Arial" w:eastAsia="Arial" w:hint="default"/>
                            <w:sz w:val="23"/>
                            <w:szCs w:val="23"/>
                          </w:rPr>
                        </w:pPr>
                      </w:p>
                      <w:p>
                        <w:pPr>
                          <w:pStyle w:val="TableParagraph"/>
                          <w:spacing w:line="240" w:lineRule="auto"/>
                          <w:ind w:right="90"/>
                          <w:jc w:val="right"/>
                          <w:rPr>
                            <w:rFonts w:ascii="Arial" w:hAnsi="Arial" w:cs="Arial" w:eastAsia="Arial" w:hint="default"/>
                            <w:sz w:val="18"/>
                            <w:szCs w:val="18"/>
                          </w:rPr>
                        </w:pPr>
                        <w:r>
                          <w:rPr>
                            <w:rFonts w:ascii="Arial"/>
                            <w:spacing w:val="-1"/>
                            <w:sz w:val="18"/>
                          </w:rPr>
                          <w:t>59,686,352</w:t>
                        </w:r>
                      </w:p>
                    </w:tc>
                  </w:tr>
                  <w:tr>
                    <w:trPr>
                      <w:trHeight w:val="505" w:hRule="exact"/>
                    </w:trPr>
                    <w:tc>
                      <w:tcPr>
                        <w:tcW w:w="15169" w:type="dxa"/>
                        <w:gridSpan w:val="9"/>
                        <w:tcBorders>
                          <w:top w:val="nil" w:sz="6" w:space="0" w:color="auto"/>
                          <w:left w:val="nil" w:sz="6" w:space="0" w:color="auto"/>
                          <w:bottom w:val="nil" w:sz="6" w:space="0" w:color="auto"/>
                          <w:right w:val="nil" w:sz="6" w:space="0" w:color="auto"/>
                        </w:tcBorders>
                      </w:tcPr>
                      <w:p>
                        <w:pPr>
                          <w:pStyle w:val="TableParagraph"/>
                          <w:spacing w:line="230" w:lineRule="exact"/>
                          <w:ind w:left="166" w:right="0"/>
                          <w:jc w:val="left"/>
                          <w:rPr>
                            <w:rFonts w:ascii="黑体" w:hAnsi="黑体" w:cs="黑体" w:eastAsia="黑体" w:hint="default"/>
                            <w:sz w:val="18"/>
                            <w:szCs w:val="18"/>
                          </w:rPr>
                        </w:pPr>
                        <w:r>
                          <w:rPr>
                            <w:rFonts w:ascii="Arial" w:hAnsi="Arial" w:cs="Arial" w:eastAsia="Arial" w:hint="default"/>
                            <w:sz w:val="18"/>
                            <w:szCs w:val="18"/>
                          </w:rPr>
                          <w:t>2.</w:t>
                        </w:r>
                        <w:r>
                          <w:rPr>
                            <w:rFonts w:ascii="Arial" w:hAnsi="Arial" w:cs="Arial" w:eastAsia="Arial" w:hint="default"/>
                            <w:spacing w:val="38"/>
                            <w:sz w:val="18"/>
                            <w:szCs w:val="18"/>
                          </w:rPr>
                          <w:t> </w:t>
                        </w:r>
                        <w:r>
                          <w:rPr>
                            <w:rFonts w:ascii="黑体" w:hAnsi="黑体" w:cs="黑体" w:eastAsia="黑体" w:hint="default"/>
                            <w:sz w:val="18"/>
                            <w:szCs w:val="18"/>
                          </w:rPr>
                          <w:t>股份支付计入股东权益的金额</w:t>
                        </w:r>
                      </w:p>
                      <w:p>
                        <w:pPr>
                          <w:pStyle w:val="TableParagraph"/>
                          <w:tabs>
                            <w:tab w:pos="3076" w:val="left" w:leader="none"/>
                            <w:tab w:pos="3586" w:val="left" w:leader="none"/>
                            <w:tab w:pos="4925" w:val="left" w:leader="none"/>
                            <w:tab w:pos="7182" w:val="left" w:leader="none"/>
                            <w:tab w:pos="8595" w:val="left" w:leader="none"/>
                            <w:tab w:pos="10454" w:val="left" w:leader="none"/>
                            <w:tab w:pos="11179" w:val="left" w:leader="none"/>
                            <w:tab w:pos="13437" w:val="left" w:leader="none"/>
                            <w:tab w:pos="14176" w:val="left" w:leader="none"/>
                          </w:tabs>
                          <w:spacing w:line="241" w:lineRule="exact"/>
                          <w:ind w:left="527" w:right="0"/>
                          <w:jc w:val="left"/>
                          <w:rPr>
                            <w:rFonts w:ascii="Arial" w:hAnsi="Arial" w:cs="Arial" w:eastAsia="Arial" w:hint="default"/>
                            <w:sz w:val="18"/>
                            <w:szCs w:val="18"/>
                          </w:rPr>
                        </w:pPr>
                        <w:r>
                          <w:rPr>
                            <w:rFonts w:ascii="Arial" w:hAnsi="Arial" w:cs="Arial" w:eastAsia="Arial" w:hint="default"/>
                            <w:spacing w:val="-1"/>
                            <w:sz w:val="18"/>
                            <w:szCs w:val="18"/>
                          </w:rPr>
                          <w:t>(</w:t>
                        </w:r>
                        <w:r>
                          <w:rPr>
                            <w:rFonts w:ascii="黑体" w:hAnsi="黑体" w:cs="黑体" w:eastAsia="黑体" w:hint="default"/>
                            <w:spacing w:val="-1"/>
                            <w:sz w:val="18"/>
                            <w:szCs w:val="18"/>
                          </w:rPr>
                          <w:t>附注七</w:t>
                        </w:r>
                        <w:r>
                          <w:rPr>
                            <w:rFonts w:ascii="Arial" w:hAnsi="Arial" w:cs="Arial" w:eastAsia="Arial" w:hint="default"/>
                            <w:spacing w:val="-1"/>
                            <w:sz w:val="18"/>
                            <w:szCs w:val="18"/>
                          </w:rPr>
                          <w:t>)</w:t>
                          <w:tab/>
                        </w:r>
                        <w:r>
                          <w:rPr>
                            <w:rFonts w:ascii="Arial" w:hAnsi="Arial" w:cs="Arial" w:eastAsia="Arial" w:hint="default"/>
                            <w:sz w:val="18"/>
                            <w:szCs w:val="18"/>
                          </w:rPr>
                          <w:t>(</w:t>
                          <w:tab/>
                        </w:r>
                        <w:r>
                          <w:rPr>
                            <w:rFonts w:ascii="Arial" w:hAnsi="Arial" w:cs="Arial" w:eastAsia="Arial" w:hint="default"/>
                            <w:spacing w:val="-1"/>
                            <w:sz w:val="18"/>
                            <w:szCs w:val="18"/>
                          </w:rPr>
                          <w:t>63,200)</w:t>
                          <w:tab/>
                          <w:t>37,569,299</w:t>
                          <w:tab/>
                        </w:r>
                        <w:r>
                          <w:rPr>
                            <w:rFonts w:ascii="Arial" w:hAnsi="Arial" w:cs="Arial" w:eastAsia="Arial" w:hint="default"/>
                            <w:sz w:val="18"/>
                            <w:szCs w:val="18"/>
                          </w:rPr>
                          <w:t>-</w:t>
                          <w:tab/>
                          <w:t>-</w:t>
                          <w:tab/>
                          <w:t>-</w:t>
                          <w:tab/>
                        </w:r>
                        <w:r>
                          <w:rPr>
                            <w:rFonts w:ascii="Arial" w:hAnsi="Arial" w:cs="Arial" w:eastAsia="Arial" w:hint="default"/>
                            <w:spacing w:val="-1"/>
                            <w:sz w:val="18"/>
                            <w:szCs w:val="18"/>
                          </w:rPr>
                          <w:t>37,506,099</w:t>
                          <w:tab/>
                        </w:r>
                        <w:r>
                          <w:rPr>
                            <w:rFonts w:ascii="Arial" w:hAnsi="Arial" w:cs="Arial" w:eastAsia="Arial" w:hint="default"/>
                            <w:sz w:val="18"/>
                            <w:szCs w:val="18"/>
                          </w:rPr>
                          <w:t>-</w:t>
                          <w:tab/>
                        </w:r>
                        <w:r>
                          <w:rPr>
                            <w:rFonts w:ascii="Arial" w:hAnsi="Arial" w:cs="Arial" w:eastAsia="Arial" w:hint="default"/>
                            <w:spacing w:val="-1"/>
                            <w:sz w:val="18"/>
                            <w:szCs w:val="18"/>
                          </w:rPr>
                          <w:t>37,506,099</w:t>
                        </w:r>
                      </w:p>
                    </w:tc>
                  </w:tr>
                  <w:tr>
                    <w:trPr>
                      <w:trHeight w:val="255" w:hRule="exact"/>
                    </w:trPr>
                    <w:tc>
                      <w:tcPr>
                        <w:tcW w:w="4362" w:type="dxa"/>
                        <w:gridSpan w:val="2"/>
                        <w:tcBorders>
                          <w:top w:val="nil" w:sz="6" w:space="0" w:color="auto"/>
                          <w:left w:val="nil" w:sz="6" w:space="0" w:color="auto"/>
                          <w:bottom w:val="nil" w:sz="6" w:space="0" w:color="auto"/>
                          <w:right w:val="nil" w:sz="6" w:space="0" w:color="auto"/>
                        </w:tcBorders>
                      </w:tcPr>
                      <w:p>
                        <w:pPr>
                          <w:pStyle w:val="TableParagraph"/>
                          <w:tabs>
                            <w:tab w:pos="3087" w:val="left" w:leader="none"/>
                            <w:tab w:pos="4077" w:val="left" w:leader="none"/>
                          </w:tabs>
                          <w:spacing w:line="222" w:lineRule="exact"/>
                          <w:ind w:left="166" w:right="0"/>
                          <w:jc w:val="left"/>
                          <w:rPr>
                            <w:rFonts w:ascii="Arial" w:hAnsi="Arial" w:cs="Arial" w:eastAsia="Arial" w:hint="default"/>
                            <w:sz w:val="18"/>
                            <w:szCs w:val="18"/>
                          </w:rPr>
                        </w:pPr>
                        <w:r>
                          <w:rPr>
                            <w:rFonts w:ascii="Arial" w:hAnsi="Arial" w:cs="Arial" w:eastAsia="Arial" w:hint="default"/>
                            <w:sz w:val="18"/>
                            <w:szCs w:val="18"/>
                          </w:rPr>
                          <w:t>3.</w:t>
                        </w:r>
                        <w:r>
                          <w:rPr>
                            <w:rFonts w:ascii="Arial" w:hAnsi="Arial" w:cs="Arial" w:eastAsia="Arial" w:hint="default"/>
                            <w:spacing w:val="38"/>
                            <w:sz w:val="18"/>
                            <w:szCs w:val="18"/>
                          </w:rPr>
                          <w:t> </w:t>
                        </w:r>
                        <w:r>
                          <w:rPr>
                            <w:rFonts w:ascii="黑体" w:hAnsi="黑体" w:cs="黑体" w:eastAsia="黑体" w:hint="default"/>
                            <w:sz w:val="18"/>
                            <w:szCs w:val="18"/>
                          </w:rPr>
                          <w:t>其他</w:t>
                          <w:tab/>
                        </w:r>
                        <w:r>
                          <w:rPr>
                            <w:rFonts w:ascii="Arial" w:hAnsi="Arial" w:cs="Arial" w:eastAsia="Arial" w:hint="default"/>
                            <w:sz w:val="18"/>
                            <w:szCs w:val="18"/>
                          </w:rPr>
                        </w:r>
                        <w:r>
                          <w:rPr>
                            <w:rFonts w:ascii="Arial" w:hAnsi="Arial" w:cs="Arial" w:eastAsia="Arial" w:hint="default"/>
                            <w:sz w:val="18"/>
                            <w:szCs w:val="18"/>
                            <w:u w:val="single" w:color="000000"/>
                          </w:rPr>
                          <w:t> </w:t>
                          <w:tab/>
                          <w:t>-</w:t>
                        </w:r>
                        <w:r>
                          <w:rPr>
                            <w:rFonts w:ascii="Arial" w:hAnsi="Arial" w:cs="Arial" w:eastAsia="Arial" w:hint="default"/>
                            <w:sz w:val="18"/>
                            <w:szCs w:val="18"/>
                          </w:rPr>
                        </w:r>
                      </w:p>
                    </w:tc>
                    <w:tc>
                      <w:tcPr>
                        <w:tcW w:w="1644" w:type="dxa"/>
                        <w:tcBorders>
                          <w:top w:val="nil" w:sz="6" w:space="0" w:color="auto"/>
                          <w:left w:val="nil" w:sz="6" w:space="0" w:color="auto"/>
                          <w:bottom w:val="nil" w:sz="6" w:space="0" w:color="auto"/>
                          <w:right w:val="nil" w:sz="6" w:space="0" w:color="auto"/>
                        </w:tcBorders>
                      </w:tcPr>
                      <w:p>
                        <w:pPr>
                          <w:pStyle w:val="TableParagraph"/>
                          <w:tabs>
                            <w:tab w:pos="1160" w:val="left" w:leader="none"/>
                          </w:tabs>
                          <w:spacing w:line="240" w:lineRule="auto" w:before="15"/>
                          <w:ind w:right="178"/>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402" w:type="dxa"/>
                        <w:tcBorders>
                          <w:top w:val="nil" w:sz="6" w:space="0" w:color="auto"/>
                          <w:left w:val="nil" w:sz="6" w:space="0" w:color="auto"/>
                          <w:bottom w:val="nil" w:sz="6" w:space="0" w:color="auto"/>
                          <w:right w:val="nil" w:sz="6" w:space="0" w:color="auto"/>
                        </w:tcBorders>
                      </w:tcPr>
                      <w:p>
                        <w:pPr>
                          <w:pStyle w:val="TableParagraph"/>
                          <w:tabs>
                            <w:tab w:pos="990" w:val="left" w:leader="none"/>
                          </w:tabs>
                          <w:spacing w:line="240" w:lineRule="auto" w:before="15"/>
                          <w:ind w:right="16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489" w:type="dxa"/>
                        <w:tcBorders>
                          <w:top w:val="nil" w:sz="6" w:space="0" w:color="auto"/>
                          <w:left w:val="nil" w:sz="6" w:space="0" w:color="auto"/>
                          <w:bottom w:val="nil" w:sz="6" w:space="0" w:color="auto"/>
                          <w:right w:val="nil" w:sz="6" w:space="0" w:color="auto"/>
                        </w:tcBorders>
                      </w:tcPr>
                      <w:p>
                        <w:pPr>
                          <w:pStyle w:val="TableParagraph"/>
                          <w:tabs>
                            <w:tab w:pos="990" w:val="left" w:leader="none"/>
                          </w:tabs>
                          <w:spacing w:line="240" w:lineRule="auto" w:before="15"/>
                          <w:ind w:right="41"/>
                          <w:jc w:val="center"/>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805" w:type="dxa"/>
                        <w:tcBorders>
                          <w:top w:val="nil" w:sz="6" w:space="0" w:color="auto"/>
                          <w:left w:val="nil" w:sz="6" w:space="0" w:color="auto"/>
                          <w:bottom w:val="nil" w:sz="6" w:space="0" w:color="auto"/>
                          <w:right w:val="nil" w:sz="6" w:space="0" w:color="auto"/>
                        </w:tcBorders>
                      </w:tcPr>
                      <w:p>
                        <w:pPr>
                          <w:pStyle w:val="TableParagraph"/>
                          <w:tabs>
                            <w:tab w:pos="810" w:val="left" w:leader="none"/>
                          </w:tabs>
                          <w:spacing w:line="240" w:lineRule="auto" w:before="15"/>
                          <w:ind w:right="18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448" w:type="dxa"/>
                        <w:tcBorders>
                          <w:top w:val="nil" w:sz="6" w:space="0" w:color="auto"/>
                          <w:left w:val="nil" w:sz="6" w:space="0" w:color="auto"/>
                          <w:bottom w:val="nil" w:sz="6" w:space="0" w:color="auto"/>
                          <w:right w:val="nil" w:sz="6" w:space="0" w:color="auto"/>
                        </w:tcBorders>
                      </w:tcPr>
                      <w:p>
                        <w:pPr>
                          <w:pStyle w:val="TableParagraph"/>
                          <w:tabs>
                            <w:tab w:pos="1317" w:val="left" w:leader="none"/>
                          </w:tabs>
                          <w:spacing w:line="240" w:lineRule="auto" w:before="15"/>
                          <w:ind w:left="147"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8"/>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sz w:val="18"/>
                            <w:u w:val="single" w:color="000000"/>
                          </w:rPr>
                          <w:t>5,490,992</w:t>
                        </w:r>
                        <w:r>
                          <w:rPr>
                            <w:rFonts w:ascii="Arial"/>
                            <w:spacing w:val="-1"/>
                            <w:sz w:val="18"/>
                          </w:rPr>
                        </w:r>
                      </w:p>
                    </w:tc>
                    <w:tc>
                      <w:tcPr>
                        <w:tcW w:w="1502" w:type="dxa"/>
                        <w:tcBorders>
                          <w:top w:val="nil" w:sz="6" w:space="0" w:color="auto"/>
                          <w:left w:val="nil" w:sz="6" w:space="0" w:color="auto"/>
                          <w:bottom w:val="nil" w:sz="6" w:space="0" w:color="auto"/>
                          <w:right w:val="nil" w:sz="6" w:space="0" w:color="auto"/>
                        </w:tcBorders>
                      </w:tcPr>
                      <w:p>
                        <w:pPr>
                          <w:pStyle w:val="TableParagraph"/>
                          <w:tabs>
                            <w:tab w:pos="380" w:val="left" w:leader="none"/>
                          </w:tabs>
                          <w:spacing w:line="240" w:lineRule="auto" w:before="15"/>
                          <w:ind w:right="91"/>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5,490,992</w:t>
                        </w:r>
                        <w:r>
                          <w:rPr>
                            <w:rFonts w:ascii="Arial"/>
                            <w:spacing w:val="-1"/>
                            <w:sz w:val="18"/>
                          </w:rPr>
                        </w:r>
                      </w:p>
                    </w:tc>
                  </w:tr>
                  <w:tr>
                    <w:trPr>
                      <w:trHeight w:val="378" w:hRule="exact"/>
                    </w:trPr>
                    <w:tc>
                      <w:tcPr>
                        <w:tcW w:w="436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
                          <w:ind w:right="222"/>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0"/>
                            <w:sz w:val="18"/>
                            <w:u w:val="single" w:color="000000"/>
                          </w:rPr>
                          <w:t> </w:t>
                        </w:r>
                        <w:r>
                          <w:rPr>
                            <w:rFonts w:ascii="Arial"/>
                            <w:spacing w:val="-1"/>
                            <w:sz w:val="18"/>
                            <w:u w:val="single" w:color="000000"/>
                          </w:rPr>
                          <w:t>3,943,175</w:t>
                        </w:r>
                        <w:r>
                          <w:rPr>
                            <w:rFonts w:ascii="Arial"/>
                            <w:spacing w:val="-1"/>
                            <w:sz w:val="18"/>
                          </w:rPr>
                        </w:r>
                      </w:p>
                    </w:tc>
                    <w:tc>
                      <w:tcPr>
                        <w:tcW w:w="1644" w:type="dxa"/>
                        <w:tcBorders>
                          <w:top w:val="nil" w:sz="6" w:space="0" w:color="auto"/>
                          <w:left w:val="nil" w:sz="6" w:space="0" w:color="auto"/>
                          <w:bottom w:val="nil" w:sz="6" w:space="0" w:color="auto"/>
                          <w:right w:val="nil" w:sz="6" w:space="0" w:color="auto"/>
                        </w:tcBorders>
                      </w:tcPr>
                      <w:p>
                        <w:pPr>
                          <w:pStyle w:val="TableParagraph"/>
                          <w:tabs>
                            <w:tab w:pos="270" w:val="left" w:leader="none"/>
                          </w:tabs>
                          <w:spacing w:line="240" w:lineRule="auto" w:before="14"/>
                          <w:ind w:right="179"/>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93,249,276</w:t>
                        </w:r>
                        <w:r>
                          <w:rPr>
                            <w:rFonts w:ascii="Arial"/>
                            <w:spacing w:val="-1"/>
                            <w:sz w:val="18"/>
                          </w:rPr>
                        </w:r>
                      </w:p>
                    </w:tc>
                    <w:tc>
                      <w:tcPr>
                        <w:tcW w:w="1402" w:type="dxa"/>
                        <w:tcBorders>
                          <w:top w:val="nil" w:sz="6" w:space="0" w:color="auto"/>
                          <w:left w:val="nil" w:sz="6" w:space="0" w:color="auto"/>
                          <w:bottom w:val="nil" w:sz="6" w:space="0" w:color="auto"/>
                          <w:right w:val="nil" w:sz="6" w:space="0" w:color="auto"/>
                        </w:tcBorders>
                      </w:tcPr>
                      <w:p>
                        <w:pPr>
                          <w:pStyle w:val="TableParagraph"/>
                          <w:tabs>
                            <w:tab w:pos="990" w:val="left" w:leader="none"/>
                          </w:tabs>
                          <w:spacing w:line="240" w:lineRule="auto" w:before="14"/>
                          <w:ind w:right="16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489" w:type="dxa"/>
                        <w:tcBorders>
                          <w:top w:val="nil" w:sz="6" w:space="0" w:color="auto"/>
                          <w:left w:val="nil" w:sz="6" w:space="0" w:color="auto"/>
                          <w:bottom w:val="nil" w:sz="6" w:space="0" w:color="auto"/>
                          <w:right w:val="nil" w:sz="6" w:space="0" w:color="auto"/>
                        </w:tcBorders>
                      </w:tcPr>
                      <w:p>
                        <w:pPr>
                          <w:pStyle w:val="TableParagraph"/>
                          <w:tabs>
                            <w:tab w:pos="990" w:val="left" w:leader="none"/>
                          </w:tabs>
                          <w:spacing w:line="240" w:lineRule="auto" w:before="14"/>
                          <w:ind w:right="41"/>
                          <w:jc w:val="center"/>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805" w:type="dxa"/>
                        <w:tcBorders>
                          <w:top w:val="nil" w:sz="6" w:space="0" w:color="auto"/>
                          <w:left w:val="nil" w:sz="6" w:space="0" w:color="auto"/>
                          <w:bottom w:val="nil" w:sz="6" w:space="0" w:color="auto"/>
                          <w:right w:val="nil" w:sz="6" w:space="0" w:color="auto"/>
                        </w:tcBorders>
                      </w:tcPr>
                      <w:p>
                        <w:pPr>
                          <w:pStyle w:val="TableParagraph"/>
                          <w:tabs>
                            <w:tab w:pos="810" w:val="left" w:leader="none"/>
                          </w:tabs>
                          <w:spacing w:line="240" w:lineRule="auto" w:before="14"/>
                          <w:ind w:right="18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448" w:type="dxa"/>
                        <w:tcBorders>
                          <w:top w:val="nil" w:sz="6" w:space="0" w:color="auto"/>
                          <w:left w:val="nil" w:sz="6" w:space="0" w:color="auto"/>
                          <w:bottom w:val="nil" w:sz="6" w:space="0" w:color="auto"/>
                          <w:right w:val="nil" w:sz="6" w:space="0" w:color="auto"/>
                        </w:tcBorders>
                      </w:tcPr>
                      <w:p>
                        <w:pPr>
                          <w:pStyle w:val="TableParagraph"/>
                          <w:tabs>
                            <w:tab w:pos="475" w:val="left" w:leader="none"/>
                          </w:tabs>
                          <w:spacing w:line="240" w:lineRule="auto" w:before="14"/>
                          <w:ind w:left="186"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97,192,451</w:t>
                        </w:r>
                        <w:r>
                          <w:rPr>
                            <w:rFonts w:ascii="Arial"/>
                            <w:sz w:val="18"/>
                          </w:rPr>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68"/>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sz w:val="18"/>
                            <w:u w:val="single" w:color="000000"/>
                          </w:rPr>
                          <w:t>5,490,992</w:t>
                        </w:r>
                        <w:r>
                          <w:rPr>
                            <w:rFonts w:ascii="Arial"/>
                            <w:spacing w:val="-1"/>
                            <w:sz w:val="18"/>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91"/>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0"/>
                            <w:sz w:val="18"/>
                            <w:u w:val="single" w:color="000000"/>
                          </w:rPr>
                          <w:t> </w:t>
                        </w:r>
                        <w:r>
                          <w:rPr>
                            <w:rFonts w:ascii="Arial"/>
                            <w:spacing w:val="-1"/>
                            <w:sz w:val="18"/>
                            <w:u w:val="single" w:color="000000"/>
                          </w:rPr>
                          <w:t>102,683,443</w:t>
                        </w:r>
                        <w:r>
                          <w:rPr>
                            <w:rFonts w:ascii="Arial"/>
                            <w:spacing w:val="-1"/>
                            <w:sz w:val="18"/>
                          </w:rPr>
                        </w:r>
                      </w:p>
                    </w:tc>
                  </w:tr>
                  <w:tr>
                    <w:trPr>
                      <w:trHeight w:val="638" w:hRule="exact"/>
                    </w:trPr>
                    <w:tc>
                      <w:tcPr>
                        <w:tcW w:w="3005"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5" w:right="0"/>
                          <w:jc w:val="left"/>
                          <w:rPr>
                            <w:rFonts w:ascii="黑体" w:hAnsi="黑体" w:cs="黑体" w:eastAsia="黑体" w:hint="default"/>
                            <w:sz w:val="18"/>
                            <w:szCs w:val="18"/>
                          </w:rPr>
                        </w:pPr>
                        <w:r>
                          <w:rPr>
                            <w:rFonts w:ascii="Arial" w:hAnsi="Arial" w:cs="Arial" w:eastAsia="Arial" w:hint="default"/>
                            <w:sz w:val="18"/>
                            <w:szCs w:val="18"/>
                          </w:rPr>
                          <w:t>(</w:t>
                        </w:r>
                        <w:r>
                          <w:rPr>
                            <w:rFonts w:ascii="黑体" w:hAnsi="黑体" w:cs="黑体" w:eastAsia="黑体" w:hint="default"/>
                            <w:sz w:val="18"/>
                            <w:szCs w:val="18"/>
                          </w:rPr>
                          <w:t>四</w:t>
                        </w:r>
                        <w:r>
                          <w:rPr>
                            <w:rFonts w:ascii="Arial" w:hAnsi="Arial" w:cs="Arial" w:eastAsia="Arial" w:hint="default"/>
                            <w:sz w:val="18"/>
                            <w:szCs w:val="18"/>
                          </w:rPr>
                          <w:t>)</w:t>
                        </w:r>
                        <w:r>
                          <w:rPr>
                            <w:rFonts w:ascii="Arial" w:hAnsi="Arial" w:cs="Arial" w:eastAsia="Arial" w:hint="default"/>
                            <w:spacing w:val="39"/>
                            <w:sz w:val="18"/>
                            <w:szCs w:val="18"/>
                          </w:rPr>
                          <w:t> </w:t>
                        </w:r>
                        <w:r>
                          <w:rPr>
                            <w:rFonts w:ascii="黑体" w:hAnsi="黑体" w:cs="黑体" w:eastAsia="黑体" w:hint="default"/>
                            <w:sz w:val="18"/>
                            <w:szCs w:val="18"/>
                          </w:rPr>
                          <w:t>利润分配</w:t>
                        </w:r>
                      </w:p>
                      <w:p>
                        <w:pPr>
                          <w:pStyle w:val="TableParagraph"/>
                          <w:spacing w:line="240" w:lineRule="auto" w:before="7"/>
                          <w:ind w:left="166" w:right="0"/>
                          <w:jc w:val="left"/>
                          <w:rPr>
                            <w:rFonts w:ascii="Arial" w:hAnsi="Arial" w:cs="Arial" w:eastAsia="Arial" w:hint="default"/>
                            <w:sz w:val="18"/>
                            <w:szCs w:val="18"/>
                          </w:rPr>
                        </w:pPr>
                        <w:r>
                          <w:rPr>
                            <w:rFonts w:ascii="Arial" w:hAnsi="Arial" w:cs="Arial" w:eastAsia="Arial" w:hint="default"/>
                            <w:sz w:val="18"/>
                            <w:szCs w:val="18"/>
                          </w:rPr>
                          <w:t>1.</w:t>
                        </w:r>
                        <w:r>
                          <w:rPr>
                            <w:rFonts w:ascii="Arial" w:hAnsi="Arial" w:cs="Arial" w:eastAsia="Arial" w:hint="default"/>
                            <w:spacing w:val="35"/>
                            <w:sz w:val="18"/>
                            <w:szCs w:val="18"/>
                          </w:rPr>
                          <w:t> </w:t>
                        </w:r>
                        <w:r>
                          <w:rPr>
                            <w:rFonts w:ascii="黑体" w:hAnsi="黑体" w:cs="黑体" w:eastAsia="黑体" w:hint="default"/>
                            <w:sz w:val="18"/>
                            <w:szCs w:val="18"/>
                          </w:rPr>
                          <w:t>提取盈余公积</w:t>
                        </w:r>
                        <w:r>
                          <w:rPr>
                            <w:rFonts w:ascii="Arial" w:hAnsi="Arial" w:cs="Arial" w:eastAsia="Arial" w:hint="default"/>
                            <w:sz w:val="18"/>
                            <w:szCs w:val="18"/>
                          </w:rPr>
                          <w:t>(</w:t>
                        </w:r>
                        <w:r>
                          <w:rPr>
                            <w:rFonts w:ascii="黑体" w:hAnsi="黑体" w:cs="黑体" w:eastAsia="黑体" w:hint="default"/>
                            <w:sz w:val="18"/>
                            <w:szCs w:val="18"/>
                          </w:rPr>
                          <w:t>附注五、</w:t>
                        </w:r>
                        <w:r>
                          <w:rPr>
                            <w:rFonts w:ascii="Arial" w:hAnsi="Arial" w:cs="Arial" w:eastAsia="Arial" w:hint="default"/>
                            <w:sz w:val="18"/>
                            <w:szCs w:val="18"/>
                          </w:rPr>
                          <w:t>30)</w:t>
                        </w:r>
                      </w:p>
                    </w:tc>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
                          <w:ind w:right="0"/>
                          <w:jc w:val="left"/>
                          <w:rPr>
                            <w:rFonts w:ascii="Arial" w:hAnsi="Arial" w:cs="Arial" w:eastAsia="Arial" w:hint="default"/>
                            <w:sz w:val="16"/>
                            <w:szCs w:val="16"/>
                          </w:rPr>
                        </w:pPr>
                      </w:p>
                      <w:p>
                        <w:pPr>
                          <w:pStyle w:val="TableParagraph"/>
                          <w:spacing w:line="240" w:lineRule="auto"/>
                          <w:ind w:right="221"/>
                          <w:jc w:val="right"/>
                          <w:rPr>
                            <w:rFonts w:ascii="Arial" w:hAnsi="Arial" w:cs="Arial" w:eastAsia="Arial" w:hint="default"/>
                            <w:sz w:val="18"/>
                            <w:szCs w:val="18"/>
                          </w:rPr>
                        </w:pPr>
                        <w:r>
                          <w:rPr>
                            <w:rFonts w:ascii="Arial"/>
                            <w:w w:val="99"/>
                            <w:sz w:val="18"/>
                          </w:rPr>
                          <w:t>-</w:t>
                        </w:r>
                        <w:r>
                          <w:rPr>
                            <w:rFonts w:ascii="Arial"/>
                            <w:sz w:val="18"/>
                          </w:rPr>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
                          <w:ind w:right="0"/>
                          <w:jc w:val="left"/>
                          <w:rPr>
                            <w:rFonts w:ascii="Arial" w:hAnsi="Arial" w:cs="Arial" w:eastAsia="Arial" w:hint="default"/>
                            <w:sz w:val="16"/>
                            <w:szCs w:val="16"/>
                          </w:rPr>
                        </w:pPr>
                      </w:p>
                      <w:p>
                        <w:pPr>
                          <w:pStyle w:val="TableParagraph"/>
                          <w:spacing w:line="240" w:lineRule="auto"/>
                          <w:ind w:right="177"/>
                          <w:jc w:val="right"/>
                          <w:rPr>
                            <w:rFonts w:ascii="Arial" w:hAnsi="Arial" w:cs="Arial" w:eastAsia="Arial" w:hint="default"/>
                            <w:sz w:val="18"/>
                            <w:szCs w:val="18"/>
                          </w:rPr>
                        </w:pPr>
                        <w:r>
                          <w:rPr>
                            <w:rFonts w:ascii="Arial"/>
                            <w:w w:val="99"/>
                            <w:sz w:val="18"/>
                          </w:rPr>
                          <w:t>-</w:t>
                        </w:r>
                        <w:r>
                          <w:rPr>
                            <w:rFonts w:ascii="Arial"/>
                            <w:sz w:val="18"/>
                          </w:rPr>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
                          <w:ind w:right="0"/>
                          <w:jc w:val="left"/>
                          <w:rPr>
                            <w:rFonts w:ascii="Arial" w:hAnsi="Arial" w:cs="Arial" w:eastAsia="Arial" w:hint="default"/>
                            <w:sz w:val="16"/>
                            <w:szCs w:val="16"/>
                          </w:rPr>
                        </w:pPr>
                      </w:p>
                      <w:p>
                        <w:pPr>
                          <w:pStyle w:val="TableParagraph"/>
                          <w:spacing w:line="240" w:lineRule="auto"/>
                          <w:ind w:right="164"/>
                          <w:jc w:val="right"/>
                          <w:rPr>
                            <w:rFonts w:ascii="Arial" w:hAnsi="Arial" w:cs="Arial" w:eastAsia="Arial" w:hint="default"/>
                            <w:sz w:val="18"/>
                            <w:szCs w:val="18"/>
                          </w:rPr>
                        </w:pPr>
                        <w:r>
                          <w:rPr>
                            <w:rFonts w:ascii="Arial"/>
                            <w:spacing w:val="-1"/>
                            <w:sz w:val="18"/>
                          </w:rPr>
                          <w:t>59,932,285</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
                          <w:ind w:right="0"/>
                          <w:jc w:val="left"/>
                          <w:rPr>
                            <w:rFonts w:ascii="Arial" w:hAnsi="Arial" w:cs="Arial" w:eastAsia="Arial" w:hint="default"/>
                            <w:sz w:val="16"/>
                            <w:szCs w:val="16"/>
                          </w:rPr>
                        </w:pPr>
                      </w:p>
                      <w:p>
                        <w:pPr>
                          <w:pStyle w:val="TableParagraph"/>
                          <w:spacing w:line="240" w:lineRule="auto"/>
                          <w:ind w:right="10"/>
                          <w:jc w:val="center"/>
                          <w:rPr>
                            <w:rFonts w:ascii="Arial" w:hAnsi="Arial" w:cs="Arial" w:eastAsia="Arial" w:hint="default"/>
                            <w:sz w:val="18"/>
                            <w:szCs w:val="18"/>
                          </w:rPr>
                        </w:pPr>
                        <w:r>
                          <w:rPr>
                            <w:rFonts w:ascii="Arial"/>
                            <w:sz w:val="18"/>
                          </w:rPr>
                          <w:t>( </w:t>
                        </w:r>
                        <w:r>
                          <w:rPr>
                            <w:rFonts w:ascii="Arial"/>
                            <w:spacing w:val="16"/>
                            <w:sz w:val="18"/>
                          </w:rPr>
                          <w:t> </w:t>
                        </w:r>
                        <w:r>
                          <w:rPr>
                            <w:rFonts w:ascii="Arial"/>
                            <w:sz w:val="18"/>
                          </w:rPr>
                          <w:t>59,932,285)</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
                          <w:ind w:right="0"/>
                          <w:jc w:val="left"/>
                          <w:rPr>
                            <w:rFonts w:ascii="Arial" w:hAnsi="Arial" w:cs="Arial" w:eastAsia="Arial" w:hint="default"/>
                            <w:sz w:val="16"/>
                            <w:szCs w:val="16"/>
                          </w:rPr>
                        </w:pPr>
                      </w:p>
                      <w:p>
                        <w:pPr>
                          <w:pStyle w:val="TableParagraph"/>
                          <w:spacing w:line="240" w:lineRule="auto"/>
                          <w:ind w:right="185"/>
                          <w:jc w:val="right"/>
                          <w:rPr>
                            <w:rFonts w:ascii="Arial" w:hAnsi="Arial" w:cs="Arial" w:eastAsia="Arial" w:hint="default"/>
                            <w:sz w:val="18"/>
                            <w:szCs w:val="18"/>
                          </w:rPr>
                        </w:pPr>
                        <w:r>
                          <w:rPr>
                            <w:rFonts w:ascii="Arial"/>
                            <w:w w:val="99"/>
                            <w:sz w:val="18"/>
                          </w:rPr>
                          <w:t>-</w:t>
                        </w:r>
                        <w:r>
                          <w:rPr>
                            <w:rFonts w:ascii="Arial"/>
                            <w:sz w:val="18"/>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
                          <w:ind w:right="0"/>
                          <w:jc w:val="left"/>
                          <w:rPr>
                            <w:rFonts w:ascii="Arial" w:hAnsi="Arial" w:cs="Arial" w:eastAsia="Arial" w:hint="default"/>
                            <w:sz w:val="16"/>
                            <w:szCs w:val="16"/>
                          </w:rPr>
                        </w:pPr>
                      </w:p>
                      <w:p>
                        <w:pPr>
                          <w:pStyle w:val="TableParagraph"/>
                          <w:spacing w:line="240" w:lineRule="auto"/>
                          <w:ind w:right="68"/>
                          <w:jc w:val="right"/>
                          <w:rPr>
                            <w:rFonts w:ascii="Arial" w:hAnsi="Arial" w:cs="Arial" w:eastAsia="Arial" w:hint="default"/>
                            <w:sz w:val="18"/>
                            <w:szCs w:val="18"/>
                          </w:rPr>
                        </w:pPr>
                        <w:r>
                          <w:rPr>
                            <w:rFonts w:ascii="Arial"/>
                            <w:w w:val="99"/>
                            <w:sz w:val="18"/>
                          </w:rPr>
                          <w:t>-</w:t>
                        </w:r>
                        <w:r>
                          <w:rPr>
                            <w:rFonts w:ascii="Arial"/>
                            <w:sz w:val="18"/>
                          </w:rPr>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
                          <w:ind w:right="0"/>
                          <w:jc w:val="left"/>
                          <w:rPr>
                            <w:rFonts w:ascii="Arial" w:hAnsi="Arial" w:cs="Arial" w:eastAsia="Arial" w:hint="default"/>
                            <w:sz w:val="16"/>
                            <w:szCs w:val="16"/>
                          </w:rPr>
                        </w:pPr>
                      </w:p>
                      <w:p>
                        <w:pPr>
                          <w:pStyle w:val="TableParagraph"/>
                          <w:spacing w:line="240" w:lineRule="auto"/>
                          <w:ind w:right="167"/>
                          <w:jc w:val="right"/>
                          <w:rPr>
                            <w:rFonts w:ascii="Arial" w:hAnsi="Arial" w:cs="Arial" w:eastAsia="Arial" w:hint="default"/>
                            <w:sz w:val="18"/>
                            <w:szCs w:val="18"/>
                          </w:rPr>
                        </w:pPr>
                        <w:r>
                          <w:rPr>
                            <w:rFonts w:ascii="Arial"/>
                            <w:w w:val="99"/>
                            <w:sz w:val="18"/>
                          </w:rPr>
                          <w:t>-</w:t>
                        </w:r>
                        <w:r>
                          <w:rPr>
                            <w:rFonts w:ascii="Arial"/>
                            <w:sz w:val="18"/>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
                          <w:ind w:right="0"/>
                          <w:jc w:val="left"/>
                          <w:rPr>
                            <w:rFonts w:ascii="Arial" w:hAnsi="Arial" w:cs="Arial" w:eastAsia="Arial" w:hint="default"/>
                            <w:sz w:val="16"/>
                            <w:szCs w:val="16"/>
                          </w:rPr>
                        </w:pPr>
                      </w:p>
                      <w:p>
                        <w:pPr>
                          <w:pStyle w:val="TableParagraph"/>
                          <w:spacing w:line="240" w:lineRule="auto"/>
                          <w:ind w:right="90"/>
                          <w:jc w:val="right"/>
                          <w:rPr>
                            <w:rFonts w:ascii="Arial" w:hAnsi="Arial" w:cs="Arial" w:eastAsia="Arial" w:hint="default"/>
                            <w:sz w:val="18"/>
                            <w:szCs w:val="18"/>
                          </w:rPr>
                        </w:pPr>
                        <w:r>
                          <w:rPr>
                            <w:rFonts w:ascii="Arial"/>
                            <w:w w:val="99"/>
                            <w:sz w:val="18"/>
                          </w:rPr>
                          <w:t>-</w:t>
                        </w:r>
                        <w:r>
                          <w:rPr>
                            <w:rFonts w:ascii="Arial"/>
                            <w:sz w:val="18"/>
                          </w:rPr>
                        </w:r>
                      </w:p>
                    </w:tc>
                  </w:tr>
                  <w:tr>
                    <w:trPr>
                      <w:trHeight w:val="259" w:hRule="exact"/>
                    </w:trPr>
                    <w:tc>
                      <w:tcPr>
                        <w:tcW w:w="3005" w:type="dxa"/>
                        <w:tcBorders>
                          <w:top w:val="nil" w:sz="6" w:space="0" w:color="auto"/>
                          <w:left w:val="nil" w:sz="6" w:space="0" w:color="auto"/>
                          <w:bottom w:val="nil" w:sz="6" w:space="0" w:color="auto"/>
                          <w:right w:val="nil" w:sz="6" w:space="0" w:color="auto"/>
                        </w:tcBorders>
                      </w:tcPr>
                      <w:p>
                        <w:pPr>
                          <w:pStyle w:val="TableParagraph"/>
                          <w:spacing w:line="226" w:lineRule="exact"/>
                          <w:ind w:left="166" w:right="0"/>
                          <w:jc w:val="left"/>
                          <w:rPr>
                            <w:rFonts w:ascii="Arial" w:hAnsi="Arial" w:cs="Arial" w:eastAsia="Arial" w:hint="default"/>
                            <w:sz w:val="18"/>
                            <w:szCs w:val="18"/>
                          </w:rPr>
                        </w:pPr>
                        <w:r>
                          <w:rPr>
                            <w:rFonts w:ascii="Arial" w:hAnsi="Arial" w:cs="Arial" w:eastAsia="Arial" w:hint="default"/>
                            <w:sz w:val="18"/>
                            <w:szCs w:val="18"/>
                          </w:rPr>
                          <w:t>2.</w:t>
                        </w:r>
                        <w:r>
                          <w:rPr>
                            <w:rFonts w:ascii="Arial" w:hAnsi="Arial" w:cs="Arial" w:eastAsia="Arial" w:hint="default"/>
                            <w:spacing w:val="36"/>
                            <w:sz w:val="18"/>
                            <w:szCs w:val="18"/>
                          </w:rPr>
                          <w:t> </w:t>
                        </w:r>
                        <w:r>
                          <w:rPr>
                            <w:rFonts w:ascii="黑体" w:hAnsi="黑体" w:cs="黑体" w:eastAsia="黑体" w:hint="default"/>
                            <w:sz w:val="18"/>
                            <w:szCs w:val="18"/>
                          </w:rPr>
                          <w:t>对股东的分配</w:t>
                        </w:r>
                        <w:r>
                          <w:rPr>
                            <w:rFonts w:ascii="Arial" w:hAnsi="Arial" w:cs="Arial" w:eastAsia="Arial" w:hint="default"/>
                            <w:sz w:val="18"/>
                            <w:szCs w:val="18"/>
                          </w:rPr>
                          <w:t>(</w:t>
                        </w:r>
                        <w:r>
                          <w:rPr>
                            <w:rFonts w:ascii="黑体" w:hAnsi="黑体" w:cs="黑体" w:eastAsia="黑体" w:hint="default"/>
                            <w:sz w:val="18"/>
                            <w:szCs w:val="18"/>
                          </w:rPr>
                          <w:t>附注五、</w:t>
                        </w:r>
                        <w:r>
                          <w:rPr>
                            <w:rFonts w:ascii="Arial" w:hAnsi="Arial" w:cs="Arial" w:eastAsia="Arial" w:hint="default"/>
                            <w:sz w:val="18"/>
                            <w:szCs w:val="18"/>
                          </w:rPr>
                          <w:t>31)</w:t>
                        </w:r>
                      </w:p>
                    </w:tc>
                    <w:tc>
                      <w:tcPr>
                        <w:tcW w:w="1357" w:type="dxa"/>
                        <w:tcBorders>
                          <w:top w:val="nil" w:sz="6" w:space="0" w:color="auto"/>
                          <w:left w:val="nil" w:sz="6" w:space="0" w:color="auto"/>
                          <w:bottom w:val="nil" w:sz="6" w:space="0" w:color="auto"/>
                          <w:right w:val="nil" w:sz="6" w:space="0" w:color="auto"/>
                        </w:tcBorders>
                      </w:tcPr>
                      <w:p>
                        <w:pPr>
                          <w:pStyle w:val="TableParagraph"/>
                          <w:tabs>
                            <w:tab w:pos="990" w:val="left" w:leader="none"/>
                          </w:tabs>
                          <w:spacing w:line="240" w:lineRule="auto" w:before="18"/>
                          <w:ind w:right="221"/>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644" w:type="dxa"/>
                        <w:tcBorders>
                          <w:top w:val="nil" w:sz="6" w:space="0" w:color="auto"/>
                          <w:left w:val="nil" w:sz="6" w:space="0" w:color="auto"/>
                          <w:bottom w:val="nil" w:sz="6" w:space="0" w:color="auto"/>
                          <w:right w:val="nil" w:sz="6" w:space="0" w:color="auto"/>
                        </w:tcBorders>
                      </w:tcPr>
                      <w:p>
                        <w:pPr>
                          <w:pStyle w:val="TableParagraph"/>
                          <w:tabs>
                            <w:tab w:pos="1170" w:val="left" w:leader="none"/>
                          </w:tabs>
                          <w:spacing w:line="240" w:lineRule="auto" w:before="18"/>
                          <w:ind w:right="177"/>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402" w:type="dxa"/>
                        <w:tcBorders>
                          <w:top w:val="nil" w:sz="6" w:space="0" w:color="auto"/>
                          <w:left w:val="nil" w:sz="6" w:space="0" w:color="auto"/>
                          <w:bottom w:val="nil" w:sz="6" w:space="0" w:color="auto"/>
                          <w:right w:val="nil" w:sz="6" w:space="0" w:color="auto"/>
                        </w:tcBorders>
                      </w:tcPr>
                      <w:p>
                        <w:pPr>
                          <w:pStyle w:val="TableParagraph"/>
                          <w:tabs>
                            <w:tab w:pos="990" w:val="left" w:leader="none"/>
                          </w:tabs>
                          <w:spacing w:line="240" w:lineRule="auto" w:before="18"/>
                          <w:ind w:right="16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8" w:right="0"/>
                          <w:jc w:val="center"/>
                          <w:rPr>
                            <w:rFonts w:ascii="Arial" w:hAnsi="Arial" w:cs="Arial" w:eastAsia="Arial" w:hint="default"/>
                            <w:sz w:val="18"/>
                            <w:szCs w:val="18"/>
                          </w:rPr>
                        </w:pPr>
                        <w:r>
                          <w:rPr>
                            <w:rFonts w:ascii="Arial"/>
                            <w:sz w:val="18"/>
                          </w:rPr>
                          <w:t>(</w:t>
                        </w:r>
                        <w:r>
                          <w:rPr>
                            <w:rFonts w:ascii="Arial"/>
                            <w:sz w:val="18"/>
                            <w:u w:val="single" w:color="000000"/>
                          </w:rPr>
                          <w:t>233,273,540</w:t>
                        </w:r>
                        <w:r>
                          <w:rPr>
                            <w:rFonts w:ascii="Arial"/>
                            <w:sz w:val="18"/>
                          </w:rPr>
                          <w:t>)</w:t>
                        </w:r>
                      </w:p>
                    </w:tc>
                    <w:tc>
                      <w:tcPr>
                        <w:tcW w:w="1805" w:type="dxa"/>
                        <w:tcBorders>
                          <w:top w:val="nil" w:sz="6" w:space="0" w:color="auto"/>
                          <w:left w:val="nil" w:sz="6" w:space="0" w:color="auto"/>
                          <w:bottom w:val="nil" w:sz="6" w:space="0" w:color="auto"/>
                          <w:right w:val="nil" w:sz="6" w:space="0" w:color="auto"/>
                        </w:tcBorders>
                      </w:tcPr>
                      <w:p>
                        <w:pPr>
                          <w:pStyle w:val="TableParagraph"/>
                          <w:tabs>
                            <w:tab w:pos="810" w:val="left" w:leader="none"/>
                          </w:tabs>
                          <w:spacing w:line="240" w:lineRule="auto" w:before="18"/>
                          <w:ind w:right="18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0"/>
                          <w:jc w:val="right"/>
                          <w:rPr>
                            <w:rFonts w:ascii="Arial" w:hAnsi="Arial" w:cs="Arial" w:eastAsia="Arial" w:hint="default"/>
                            <w:sz w:val="18"/>
                            <w:szCs w:val="18"/>
                          </w:rPr>
                        </w:pPr>
                        <w:r>
                          <w:rPr>
                            <w:rFonts w:ascii="Arial"/>
                            <w:sz w:val="18"/>
                          </w:rPr>
                          <w:t>(  </w:t>
                        </w:r>
                        <w:r>
                          <w:rPr>
                            <w:rFonts w:ascii="Arial"/>
                            <w:spacing w:val="31"/>
                            <w:sz w:val="18"/>
                          </w:rPr>
                          <w:t> </w:t>
                        </w:r>
                        <w:r>
                          <w:rPr>
                            <w:rFonts w:ascii="Arial"/>
                            <w:spacing w:val="31"/>
                            <w:sz w:val="18"/>
                            <w:u w:val="single" w:color="000000"/>
                          </w:rPr>
                          <w:t> </w:t>
                        </w:r>
                        <w:r>
                          <w:rPr>
                            <w:rFonts w:ascii="Arial"/>
                            <w:sz w:val="18"/>
                            <w:u w:val="single" w:color="000000"/>
                          </w:rPr>
                          <w:t>233,273,540</w:t>
                        </w:r>
                        <w:r>
                          <w:rPr>
                            <w:rFonts w:ascii="Arial"/>
                            <w:sz w:val="18"/>
                          </w:rPr>
                          <w:t>)</w:t>
                        </w:r>
                      </w:p>
                    </w:tc>
                    <w:tc>
                      <w:tcPr>
                        <w:tcW w:w="1517" w:type="dxa"/>
                        <w:tcBorders>
                          <w:top w:val="nil" w:sz="6" w:space="0" w:color="auto"/>
                          <w:left w:val="nil" w:sz="6" w:space="0" w:color="auto"/>
                          <w:bottom w:val="nil" w:sz="6" w:space="0" w:color="auto"/>
                          <w:right w:val="nil" w:sz="6" w:space="0" w:color="auto"/>
                        </w:tcBorders>
                      </w:tcPr>
                      <w:p>
                        <w:pPr>
                          <w:pStyle w:val="TableParagraph"/>
                          <w:tabs>
                            <w:tab w:pos="900" w:val="left" w:leader="none"/>
                          </w:tabs>
                          <w:spacing w:line="240" w:lineRule="auto" w:before="18"/>
                          <w:ind w:right="167"/>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3"/>
                          <w:jc w:val="right"/>
                          <w:rPr>
                            <w:rFonts w:ascii="Arial" w:hAnsi="Arial" w:cs="Arial" w:eastAsia="Arial" w:hint="default"/>
                            <w:sz w:val="18"/>
                            <w:szCs w:val="18"/>
                          </w:rPr>
                        </w:pPr>
                        <w:r>
                          <w:rPr>
                            <w:rFonts w:ascii="Arial"/>
                            <w:sz w:val="18"/>
                          </w:rPr>
                          <w:t>(  </w:t>
                        </w:r>
                        <w:r>
                          <w:rPr>
                            <w:rFonts w:ascii="Arial"/>
                            <w:spacing w:val="17"/>
                            <w:sz w:val="18"/>
                          </w:rPr>
                          <w:t> </w:t>
                        </w:r>
                        <w:r>
                          <w:rPr>
                            <w:rFonts w:ascii="Arial"/>
                            <w:spacing w:val="17"/>
                            <w:sz w:val="18"/>
                            <w:u w:val="single" w:color="000000"/>
                          </w:rPr>
                          <w:t> </w:t>
                        </w:r>
                        <w:r>
                          <w:rPr>
                            <w:rFonts w:ascii="Arial"/>
                            <w:sz w:val="18"/>
                            <w:u w:val="single" w:color="000000"/>
                          </w:rPr>
                          <w:t>233,273,540</w:t>
                        </w:r>
                        <w:r>
                          <w:rPr>
                            <w:rFonts w:ascii="Arial"/>
                            <w:sz w:val="18"/>
                          </w:rPr>
                          <w:t>)</w:t>
                        </w:r>
                      </w:p>
                    </w:tc>
                  </w:tr>
                  <w:tr>
                    <w:trPr>
                      <w:trHeight w:val="318" w:hRule="exact"/>
                    </w:trPr>
                    <w:tc>
                      <w:tcPr>
                        <w:tcW w:w="3005" w:type="dxa"/>
                        <w:tcBorders>
                          <w:top w:val="nil" w:sz="6" w:space="0" w:color="auto"/>
                          <w:left w:val="nil" w:sz="6" w:space="0" w:color="auto"/>
                          <w:bottom w:val="nil" w:sz="6" w:space="0" w:color="auto"/>
                          <w:right w:val="nil" w:sz="6" w:space="0" w:color="auto"/>
                        </w:tcBorders>
                      </w:tcPr>
                      <w:p>
                        <w:pPr/>
                      </w:p>
                    </w:tc>
                    <w:tc>
                      <w:tcPr>
                        <w:tcW w:w="1357" w:type="dxa"/>
                        <w:tcBorders>
                          <w:top w:val="nil" w:sz="6" w:space="0" w:color="auto"/>
                          <w:left w:val="nil" w:sz="6" w:space="0" w:color="auto"/>
                          <w:bottom w:val="nil" w:sz="6" w:space="0" w:color="auto"/>
                          <w:right w:val="nil" w:sz="6" w:space="0" w:color="auto"/>
                        </w:tcBorders>
                      </w:tcPr>
                      <w:p>
                        <w:pPr>
                          <w:pStyle w:val="TableParagraph"/>
                          <w:tabs>
                            <w:tab w:pos="990" w:val="left" w:leader="none"/>
                          </w:tabs>
                          <w:spacing w:line="240" w:lineRule="auto" w:before="15"/>
                          <w:ind w:right="221"/>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644" w:type="dxa"/>
                        <w:tcBorders>
                          <w:top w:val="nil" w:sz="6" w:space="0" w:color="auto"/>
                          <w:left w:val="nil" w:sz="6" w:space="0" w:color="auto"/>
                          <w:bottom w:val="nil" w:sz="6" w:space="0" w:color="auto"/>
                          <w:right w:val="nil" w:sz="6" w:space="0" w:color="auto"/>
                        </w:tcBorders>
                      </w:tcPr>
                      <w:p>
                        <w:pPr>
                          <w:pStyle w:val="TableParagraph"/>
                          <w:tabs>
                            <w:tab w:pos="1170" w:val="left" w:leader="none"/>
                          </w:tabs>
                          <w:spacing w:line="240" w:lineRule="auto" w:before="15"/>
                          <w:ind w:right="177"/>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9"/>
                            <w:sz w:val="18"/>
                            <w:u w:val="single" w:color="000000"/>
                          </w:rPr>
                          <w:t> </w:t>
                        </w:r>
                        <w:r>
                          <w:rPr>
                            <w:rFonts w:ascii="Arial"/>
                            <w:spacing w:val="-1"/>
                            <w:sz w:val="18"/>
                            <w:u w:val="single" w:color="000000"/>
                          </w:rPr>
                          <w:t>59,932,285</w:t>
                        </w:r>
                        <w:r>
                          <w:rPr>
                            <w:rFonts w:ascii="Arial"/>
                            <w:spacing w:val="-1"/>
                            <w:sz w:val="18"/>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 w:right="0"/>
                          <w:jc w:val="center"/>
                          <w:rPr>
                            <w:rFonts w:ascii="Arial" w:hAnsi="Arial" w:cs="Arial" w:eastAsia="Arial" w:hint="default"/>
                            <w:sz w:val="18"/>
                            <w:szCs w:val="18"/>
                          </w:rPr>
                        </w:pPr>
                        <w:r>
                          <w:rPr>
                            <w:rFonts w:ascii="Arial"/>
                            <w:sz w:val="18"/>
                          </w:rPr>
                          <w:t>(</w:t>
                        </w:r>
                        <w:r>
                          <w:rPr>
                            <w:rFonts w:ascii="Arial"/>
                            <w:sz w:val="18"/>
                            <w:u w:val="single" w:color="000000"/>
                          </w:rPr>
                          <w:t>293,205,825</w:t>
                        </w:r>
                        <w:r>
                          <w:rPr>
                            <w:rFonts w:ascii="Arial"/>
                            <w:sz w:val="18"/>
                          </w:rPr>
                          <w:t>)</w:t>
                        </w:r>
                      </w:p>
                    </w:tc>
                    <w:tc>
                      <w:tcPr>
                        <w:tcW w:w="1805" w:type="dxa"/>
                        <w:tcBorders>
                          <w:top w:val="nil" w:sz="6" w:space="0" w:color="auto"/>
                          <w:left w:val="nil" w:sz="6" w:space="0" w:color="auto"/>
                          <w:bottom w:val="nil" w:sz="6" w:space="0" w:color="auto"/>
                          <w:right w:val="nil" w:sz="6" w:space="0" w:color="auto"/>
                        </w:tcBorders>
                      </w:tcPr>
                      <w:p>
                        <w:pPr>
                          <w:pStyle w:val="TableParagraph"/>
                          <w:tabs>
                            <w:tab w:pos="810" w:val="left" w:leader="none"/>
                          </w:tabs>
                          <w:spacing w:line="240" w:lineRule="auto" w:before="15"/>
                          <w:ind w:right="18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right"/>
                          <w:rPr>
                            <w:rFonts w:ascii="Arial" w:hAnsi="Arial" w:cs="Arial" w:eastAsia="Arial" w:hint="default"/>
                            <w:sz w:val="18"/>
                            <w:szCs w:val="18"/>
                          </w:rPr>
                        </w:pPr>
                        <w:r>
                          <w:rPr>
                            <w:rFonts w:ascii="Arial"/>
                            <w:sz w:val="18"/>
                          </w:rPr>
                          <w:t>(  </w:t>
                        </w:r>
                        <w:r>
                          <w:rPr>
                            <w:rFonts w:ascii="Arial"/>
                            <w:spacing w:val="31"/>
                            <w:sz w:val="18"/>
                          </w:rPr>
                          <w:t> </w:t>
                        </w:r>
                        <w:r>
                          <w:rPr>
                            <w:rFonts w:ascii="Arial"/>
                            <w:spacing w:val="31"/>
                            <w:sz w:val="18"/>
                            <w:u w:val="single" w:color="000000"/>
                          </w:rPr>
                          <w:t> </w:t>
                        </w:r>
                        <w:r>
                          <w:rPr>
                            <w:rFonts w:ascii="Arial"/>
                            <w:sz w:val="18"/>
                            <w:u w:val="single" w:color="000000"/>
                          </w:rPr>
                          <w:t>233,273,540</w:t>
                        </w:r>
                        <w:r>
                          <w:rPr>
                            <w:rFonts w:ascii="Arial"/>
                            <w:sz w:val="18"/>
                          </w:rPr>
                          <w:t>)</w:t>
                        </w:r>
                      </w:p>
                    </w:tc>
                    <w:tc>
                      <w:tcPr>
                        <w:tcW w:w="1517" w:type="dxa"/>
                        <w:tcBorders>
                          <w:top w:val="nil" w:sz="6" w:space="0" w:color="auto"/>
                          <w:left w:val="nil" w:sz="6" w:space="0" w:color="auto"/>
                          <w:bottom w:val="nil" w:sz="6" w:space="0" w:color="auto"/>
                          <w:right w:val="nil" w:sz="6" w:space="0" w:color="auto"/>
                        </w:tcBorders>
                      </w:tcPr>
                      <w:p>
                        <w:pPr>
                          <w:pStyle w:val="TableParagraph"/>
                          <w:tabs>
                            <w:tab w:pos="901" w:val="left" w:leader="none"/>
                          </w:tabs>
                          <w:spacing w:line="240" w:lineRule="auto" w:before="15"/>
                          <w:ind w:right="167"/>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sz w:val="18"/>
                          </w:rPr>
                          <w:t>(  </w:t>
                        </w:r>
                        <w:r>
                          <w:rPr>
                            <w:rFonts w:ascii="Arial"/>
                            <w:spacing w:val="17"/>
                            <w:sz w:val="18"/>
                          </w:rPr>
                          <w:t> </w:t>
                        </w:r>
                        <w:r>
                          <w:rPr>
                            <w:rFonts w:ascii="Arial"/>
                            <w:spacing w:val="17"/>
                            <w:sz w:val="18"/>
                            <w:u w:val="single" w:color="000000"/>
                          </w:rPr>
                          <w:t> </w:t>
                        </w:r>
                        <w:r>
                          <w:rPr>
                            <w:rFonts w:ascii="Arial"/>
                            <w:sz w:val="18"/>
                            <w:u w:val="single" w:color="000000"/>
                          </w:rPr>
                          <w:t>233,273,540</w:t>
                        </w:r>
                        <w:r>
                          <w:rPr>
                            <w:rFonts w:ascii="Arial"/>
                            <w:sz w:val="18"/>
                          </w:rPr>
                          <w:t>)</w:t>
                        </w:r>
                      </w:p>
                    </w:tc>
                  </w:tr>
                </w:tbl>
                <w:p>
                  <w:pPr/>
                </w:p>
              </w:txbxContent>
            </v:textbox>
            <w10:wrap type="none"/>
          </v:shape>
        </w:pict>
      </w:r>
      <w:r>
        <w:rPr>
          <w:rFonts w:ascii="黑体" w:hAnsi="黑体" w:cs="黑体" w:eastAsia="黑体" w:hint="default"/>
          <w:sz w:val="18"/>
          <w:szCs w:val="18"/>
        </w:rPr>
        <w:t>二、本年增减变动金额</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26"/>
          <w:szCs w:val="26"/>
        </w:rPr>
      </w:pPr>
    </w:p>
    <w:p>
      <w:pPr>
        <w:spacing w:before="44"/>
        <w:ind w:left="149" w:right="6647" w:firstLine="0"/>
        <w:jc w:val="left"/>
        <w:rPr>
          <w:rFonts w:ascii="黑体" w:hAnsi="黑体" w:cs="黑体" w:eastAsia="黑体" w:hint="default"/>
          <w:sz w:val="18"/>
          <w:szCs w:val="18"/>
        </w:rPr>
      </w:pPr>
      <w:r>
        <w:rPr>
          <w:rFonts w:ascii="Arial" w:hAnsi="Arial" w:cs="Arial" w:eastAsia="Arial" w:hint="default"/>
          <w:sz w:val="18"/>
          <w:szCs w:val="18"/>
        </w:rPr>
        <w:t>(</w:t>
      </w:r>
      <w:r>
        <w:rPr>
          <w:rFonts w:ascii="黑体" w:hAnsi="黑体" w:cs="黑体" w:eastAsia="黑体" w:hint="default"/>
          <w:sz w:val="18"/>
          <w:szCs w:val="18"/>
        </w:rPr>
        <w:t>五</w:t>
      </w:r>
      <w:r>
        <w:rPr>
          <w:rFonts w:ascii="Arial" w:hAnsi="Arial" w:cs="Arial" w:eastAsia="Arial" w:hint="default"/>
          <w:sz w:val="18"/>
          <w:szCs w:val="18"/>
        </w:rPr>
        <w:t>)</w:t>
      </w:r>
      <w:r>
        <w:rPr>
          <w:rFonts w:ascii="Arial" w:hAnsi="Arial" w:cs="Arial" w:eastAsia="Arial" w:hint="default"/>
          <w:spacing w:val="39"/>
          <w:sz w:val="18"/>
          <w:szCs w:val="18"/>
        </w:rPr>
        <w:t> </w:t>
      </w:r>
      <w:r>
        <w:rPr>
          <w:rFonts w:ascii="黑体" w:hAnsi="黑体" w:cs="黑体" w:eastAsia="黑体" w:hint="default"/>
          <w:sz w:val="18"/>
          <w:szCs w:val="18"/>
        </w:rPr>
        <w:t>股东权益内部结转</w:t>
      </w:r>
    </w:p>
    <w:p>
      <w:pPr>
        <w:tabs>
          <w:tab w:pos="3252" w:val="left" w:leader="none"/>
          <w:tab w:pos="4699" w:val="left" w:leader="none"/>
          <w:tab w:pos="6306" w:val="left" w:leader="none"/>
          <w:tab w:pos="7296" w:val="left" w:leader="none"/>
          <w:tab w:pos="7720" w:val="left" w:leader="none"/>
          <w:tab w:pos="8710" w:val="left" w:leader="none"/>
          <w:tab w:pos="9758" w:val="left" w:leader="none"/>
          <w:tab w:pos="10569" w:val="left" w:leader="none"/>
          <w:tab w:pos="10973" w:val="left" w:leader="none"/>
          <w:tab w:pos="12133" w:val="left" w:leader="none"/>
          <w:tab w:pos="12652" w:val="left" w:leader="none"/>
          <w:tab w:pos="13552" w:val="left" w:leader="none"/>
          <w:tab w:pos="13961" w:val="left" w:leader="none"/>
          <w:tab w:pos="15131" w:val="left" w:leader="none"/>
        </w:tabs>
        <w:spacing w:before="6"/>
        <w:ind w:left="281" w:right="0" w:firstLine="0"/>
        <w:jc w:val="left"/>
        <w:rPr>
          <w:rFonts w:ascii="Arial" w:hAnsi="Arial" w:cs="Arial" w:eastAsia="Arial" w:hint="default"/>
          <w:sz w:val="18"/>
          <w:szCs w:val="18"/>
        </w:rPr>
      </w:pPr>
      <w:r>
        <w:rPr>
          <w:rFonts w:ascii="Arial" w:hAnsi="Arial" w:cs="Arial" w:eastAsia="Arial" w:hint="default"/>
          <w:spacing w:val="-1"/>
          <w:sz w:val="18"/>
          <w:szCs w:val="18"/>
        </w:rPr>
        <w:t>1.</w:t>
      </w:r>
      <w:r>
        <w:rPr>
          <w:rFonts w:ascii="Arial" w:hAnsi="Arial" w:cs="Arial" w:eastAsia="Arial" w:hint="default"/>
          <w:sz w:val="18"/>
          <w:szCs w:val="18"/>
        </w:rPr>
        <w:t> </w:t>
      </w:r>
      <w:r>
        <w:rPr>
          <w:rFonts w:ascii="Arial" w:hAnsi="Arial" w:cs="Arial" w:eastAsia="Arial" w:hint="default"/>
          <w:spacing w:val="4"/>
          <w:sz w:val="18"/>
          <w:szCs w:val="18"/>
        </w:rPr>
        <w:t> </w:t>
      </w:r>
      <w:r>
        <w:rPr>
          <w:rFonts w:ascii="黑体" w:hAnsi="黑体" w:cs="黑体" w:eastAsia="黑体" w:hint="default"/>
          <w:spacing w:val="-1"/>
          <w:sz w:val="18"/>
          <w:szCs w:val="18"/>
        </w:rPr>
        <w:t>资本公积转增股本</w:t>
      </w:r>
      <w:r>
        <w:rPr>
          <w:rFonts w:ascii="Arial" w:hAnsi="Arial" w:cs="Arial" w:eastAsia="Arial" w:hint="default"/>
          <w:spacing w:val="-1"/>
          <w:sz w:val="18"/>
          <w:szCs w:val="18"/>
        </w:rPr>
        <w:t>(</w:t>
      </w:r>
      <w:r>
        <w:rPr>
          <w:rFonts w:ascii="黑体" w:hAnsi="黑体" w:cs="黑体" w:eastAsia="黑体" w:hint="default"/>
          <w:spacing w:val="-1"/>
          <w:sz w:val="18"/>
          <w:szCs w:val="18"/>
        </w:rPr>
        <w:t>附注五、</w:t>
      </w:r>
      <w:r>
        <w:rPr>
          <w:rFonts w:ascii="Arial" w:hAnsi="Arial" w:cs="Arial" w:eastAsia="Arial" w:hint="default"/>
          <w:spacing w:val="-1"/>
          <w:sz w:val="18"/>
          <w:szCs w:val="18"/>
        </w:rPr>
        <w:t>28)</w:t>
        <w:tab/>
      </w:r>
      <w:r>
        <w:rPr>
          <w:rFonts w:ascii="Arial" w:hAnsi="Arial" w:cs="Arial" w:eastAsia="Arial" w:hint="default"/>
          <w:spacing w:val="-1"/>
          <w:sz w:val="18"/>
          <w:szCs w:val="18"/>
          <w:u w:val="single" w:color="000000"/>
        </w:rPr>
        <w:t>231,361,200</w:t>
      </w:r>
      <w:r>
        <w:rPr>
          <w:rFonts w:ascii="Arial" w:hAnsi="Arial" w:cs="Arial" w:eastAsia="Arial" w:hint="default"/>
          <w:spacing w:val="-1"/>
          <w:sz w:val="18"/>
          <w:szCs w:val="18"/>
        </w:rPr>
        <w:tab/>
      </w:r>
      <w:r>
        <w:rPr>
          <w:rFonts w:ascii="Arial" w:hAnsi="Arial" w:cs="Arial" w:eastAsia="Arial" w:hint="default"/>
          <w:sz w:val="18"/>
          <w:szCs w:val="18"/>
        </w:rPr>
        <w:t>(  </w:t>
      </w:r>
      <w:r>
        <w:rPr>
          <w:rFonts w:ascii="Arial" w:hAnsi="Arial" w:cs="Arial" w:eastAsia="Arial" w:hint="default"/>
          <w:spacing w:val="39"/>
          <w:sz w:val="18"/>
          <w:szCs w:val="18"/>
        </w:rPr>
        <w:t> </w:t>
      </w:r>
      <w:r>
        <w:rPr>
          <w:rFonts w:ascii="Arial" w:hAnsi="Arial" w:cs="Arial" w:eastAsia="Arial" w:hint="default"/>
          <w:spacing w:val="39"/>
          <w:sz w:val="18"/>
          <w:szCs w:val="18"/>
          <w:u w:val="single" w:color="000000"/>
        </w:rPr>
        <w:t> </w:t>
      </w:r>
      <w:r>
        <w:rPr>
          <w:rFonts w:ascii="Arial" w:hAnsi="Arial" w:cs="Arial" w:eastAsia="Arial" w:hint="default"/>
          <w:spacing w:val="-1"/>
          <w:sz w:val="18"/>
          <w:szCs w:val="18"/>
          <w:u w:val="single" w:color="000000"/>
        </w:rPr>
        <w:t>231,361,200</w:t>
      </w:r>
      <w:r>
        <w:rPr>
          <w:rFonts w:ascii="Arial" w:hAnsi="Arial" w:cs="Arial" w:eastAsia="Arial" w:hint="default"/>
          <w:spacing w:val="-1"/>
          <w:sz w:val="18"/>
          <w:szCs w:val="18"/>
        </w:rPr>
        <w:t>)</w:t>
        <w:tab/>
      </w:r>
      <w:r>
        <w:rPr>
          <w:rFonts w:ascii="Arial" w:hAnsi="Arial" w:cs="Arial" w:eastAsia="Arial" w:hint="default"/>
          <w:spacing w:val="-1"/>
          <w:sz w:val="18"/>
          <w:szCs w:val="18"/>
          <w:u w:val="single" w:color="000000"/>
        </w:rPr>
        <w:t> </w:t>
        <w:tab/>
      </w:r>
      <w:r>
        <w:rPr>
          <w:rFonts w:ascii="Arial" w:hAnsi="Arial" w:cs="Arial" w:eastAsia="Arial" w:hint="default"/>
          <w:sz w:val="18"/>
          <w:szCs w:val="18"/>
          <w:u w:val="single" w:color="000000"/>
        </w:rPr>
        <w:t>-</w:t>
      </w:r>
      <w:r>
        <w:rPr>
          <w:rFonts w:ascii="Arial" w:hAnsi="Arial" w:cs="Arial" w:eastAsia="Arial" w:hint="default"/>
          <w:sz w:val="18"/>
          <w:szCs w:val="18"/>
        </w:rPr>
        <w:tab/>
      </w:r>
      <w:r>
        <w:rPr>
          <w:rFonts w:ascii="Arial" w:hAnsi="Arial" w:cs="Arial" w:eastAsia="Arial" w:hint="default"/>
          <w:sz w:val="18"/>
          <w:szCs w:val="18"/>
          <w:u w:val="single" w:color="000000"/>
        </w:rPr>
        <w:t> </w:t>
        <w:tab/>
        <w:t>-</w:t>
      </w:r>
      <w:r>
        <w:rPr>
          <w:rFonts w:ascii="Arial" w:hAnsi="Arial" w:cs="Arial" w:eastAsia="Arial" w:hint="default"/>
          <w:sz w:val="18"/>
          <w:szCs w:val="18"/>
        </w:rPr>
        <w:tab/>
      </w:r>
      <w:r>
        <w:rPr>
          <w:rFonts w:ascii="Arial" w:hAnsi="Arial" w:cs="Arial" w:eastAsia="Arial" w:hint="default"/>
          <w:sz w:val="18"/>
          <w:szCs w:val="18"/>
          <w:u w:val="single" w:color="000000"/>
        </w:rPr>
        <w:t> </w:t>
        <w:tab/>
        <w:t>-</w:t>
      </w:r>
      <w:r>
        <w:rPr>
          <w:rFonts w:ascii="Arial" w:hAnsi="Arial" w:cs="Arial" w:eastAsia="Arial" w:hint="default"/>
          <w:sz w:val="18"/>
          <w:szCs w:val="18"/>
        </w:rPr>
        <w:tab/>
      </w:r>
      <w:r>
        <w:rPr>
          <w:rFonts w:ascii="Arial" w:hAnsi="Arial" w:cs="Arial" w:eastAsia="Arial" w:hint="default"/>
          <w:sz w:val="18"/>
          <w:szCs w:val="18"/>
          <w:u w:val="single" w:color="000000"/>
        </w:rPr>
        <w:t> </w:t>
        <w:tab/>
        <w:t>-</w:t>
      </w:r>
      <w:r>
        <w:rPr>
          <w:rFonts w:ascii="Arial" w:hAnsi="Arial" w:cs="Arial" w:eastAsia="Arial" w:hint="default"/>
          <w:sz w:val="18"/>
          <w:szCs w:val="18"/>
        </w:rPr>
        <w:tab/>
      </w:r>
      <w:r>
        <w:rPr>
          <w:rFonts w:ascii="Arial" w:hAnsi="Arial" w:cs="Arial" w:eastAsia="Arial" w:hint="default"/>
          <w:sz w:val="18"/>
          <w:szCs w:val="18"/>
          <w:u w:val="single" w:color="000000"/>
        </w:rPr>
        <w:t> </w:t>
        <w:tab/>
        <w:t>-</w:t>
      </w:r>
      <w:r>
        <w:rPr>
          <w:rFonts w:ascii="Arial" w:hAnsi="Arial" w:cs="Arial" w:eastAsia="Arial" w:hint="default"/>
          <w:sz w:val="18"/>
          <w:szCs w:val="18"/>
        </w:rPr>
        <w:tab/>
      </w:r>
      <w:r>
        <w:rPr>
          <w:rFonts w:ascii="Arial" w:hAnsi="Arial" w:cs="Arial" w:eastAsia="Arial" w:hint="default"/>
          <w:sz w:val="18"/>
          <w:szCs w:val="18"/>
          <w:u w:val="single" w:color="000000"/>
        </w:rPr>
        <w:t> </w:t>
        <w:tab/>
        <w:t>-</w:t>
      </w:r>
      <w:r>
        <w:rPr>
          <w:rFonts w:ascii="Arial" w:hAnsi="Arial" w:cs="Arial" w:eastAsia="Arial" w:hint="default"/>
          <w:sz w:val="18"/>
          <w:szCs w:val="18"/>
        </w:rPr>
      </w:r>
    </w:p>
    <w:p>
      <w:pPr>
        <w:spacing w:line="240" w:lineRule="auto" w:before="10"/>
        <w:rPr>
          <w:rFonts w:ascii="Arial" w:hAnsi="Arial" w:cs="Arial" w:eastAsia="Arial" w:hint="default"/>
          <w:sz w:val="18"/>
          <w:szCs w:val="18"/>
        </w:rPr>
      </w:pPr>
    </w:p>
    <w:p>
      <w:pPr>
        <w:tabs>
          <w:tab w:pos="3252" w:val="left" w:leader="none"/>
          <w:tab w:pos="4759" w:val="left" w:leader="none"/>
          <w:tab w:pos="6356" w:val="left" w:leader="none"/>
          <w:tab w:pos="7770" w:val="left" w:leader="none"/>
          <w:tab w:pos="9739" w:val="left" w:leader="none"/>
          <w:tab w:pos="11042" w:val="left" w:leader="none"/>
          <w:tab w:pos="12712" w:val="left" w:leader="none"/>
          <w:tab w:pos="14040" w:val="left" w:leader="none"/>
        </w:tabs>
        <w:spacing w:before="44"/>
        <w:ind w:left="149" w:right="0" w:firstLine="0"/>
        <w:jc w:val="left"/>
        <w:rPr>
          <w:rFonts w:ascii="Arial" w:hAnsi="Arial" w:cs="Arial" w:eastAsia="Arial" w:hint="default"/>
          <w:sz w:val="18"/>
          <w:szCs w:val="18"/>
        </w:rPr>
      </w:pPr>
      <w:r>
        <w:rPr>
          <w:rFonts w:ascii="黑体" w:hAnsi="黑体" w:cs="黑体" w:eastAsia="黑体" w:hint="default"/>
          <w:sz w:val="18"/>
          <w:szCs w:val="18"/>
        </w:rPr>
        <w:t>四、本年年末余额</w:t>
        <w:tab/>
      </w:r>
      <w:r>
        <w:rPr>
          <w:rFonts w:ascii="Arial" w:hAnsi="Arial" w:cs="Arial" w:eastAsia="Arial" w:hint="default"/>
          <w:sz w:val="18"/>
          <w:szCs w:val="18"/>
        </w:rPr>
      </w:r>
      <w:r>
        <w:rPr>
          <w:rFonts w:ascii="Arial" w:hAnsi="Arial" w:cs="Arial" w:eastAsia="Arial" w:hint="default"/>
          <w:spacing w:val="-1"/>
          <w:sz w:val="18"/>
          <w:szCs w:val="18"/>
          <w:u w:val="thick" w:color="000000"/>
        </w:rPr>
        <w:t>466,683,575</w:t>
      </w:r>
      <w:r>
        <w:rPr>
          <w:rFonts w:ascii="Arial" w:hAnsi="Arial" w:cs="Arial" w:eastAsia="Arial" w:hint="default"/>
          <w:spacing w:val="-1"/>
          <w:sz w:val="18"/>
          <w:szCs w:val="18"/>
        </w:rPr>
        <w:tab/>
      </w:r>
      <w:r>
        <w:rPr>
          <w:rFonts w:ascii="Arial" w:hAnsi="Arial" w:cs="Arial" w:eastAsia="Arial" w:hint="default"/>
          <w:spacing w:val="-1"/>
          <w:sz w:val="18"/>
          <w:szCs w:val="18"/>
          <w:u w:val="thick" w:color="000000"/>
        </w:rPr>
        <w:t> 985,636,668</w:t>
      </w:r>
      <w:r>
        <w:rPr>
          <w:rFonts w:ascii="Arial" w:hAnsi="Arial" w:cs="Arial" w:eastAsia="Arial" w:hint="default"/>
          <w:spacing w:val="-1"/>
          <w:sz w:val="18"/>
          <w:szCs w:val="18"/>
        </w:rPr>
        <w:tab/>
      </w:r>
      <w:r>
        <w:rPr>
          <w:rFonts w:ascii="Arial" w:hAnsi="Arial" w:cs="Arial" w:eastAsia="Arial" w:hint="default"/>
          <w:spacing w:val="-1"/>
          <w:sz w:val="18"/>
          <w:szCs w:val="18"/>
          <w:u w:val="thick" w:color="000000"/>
        </w:rPr>
        <w:t>189,550,229</w:t>
      </w:r>
      <w:r>
        <w:rPr>
          <w:rFonts w:ascii="Arial" w:hAnsi="Arial" w:cs="Arial" w:eastAsia="Arial" w:hint="default"/>
          <w:spacing w:val="-1"/>
          <w:sz w:val="18"/>
          <w:szCs w:val="18"/>
        </w:rPr>
        <w:tab/>
      </w:r>
      <w:r>
        <w:rPr>
          <w:rFonts w:ascii="Arial" w:hAnsi="Arial" w:cs="Arial" w:eastAsia="Arial" w:hint="default"/>
          <w:spacing w:val="-1"/>
          <w:sz w:val="18"/>
          <w:szCs w:val="18"/>
          <w:u w:val="thick" w:color="000000"/>
        </w:rPr>
        <w:t>446,569,298</w:t>
      </w:r>
      <w:r>
        <w:rPr>
          <w:rFonts w:ascii="Arial" w:hAnsi="Arial" w:cs="Arial" w:eastAsia="Arial" w:hint="default"/>
          <w:spacing w:val="-1"/>
          <w:sz w:val="18"/>
          <w:szCs w:val="18"/>
        </w:rPr>
        <w:tab/>
        <w:t>(  </w:t>
      </w:r>
      <w:r>
        <w:rPr>
          <w:rFonts w:ascii="Arial" w:hAnsi="Arial" w:cs="Arial" w:eastAsia="Arial" w:hint="default"/>
          <w:spacing w:val="31"/>
          <w:sz w:val="18"/>
          <w:szCs w:val="18"/>
        </w:rPr>
        <w:t> </w:t>
      </w:r>
      <w:r>
        <w:rPr>
          <w:rFonts w:ascii="Arial" w:hAnsi="Arial" w:cs="Arial" w:eastAsia="Arial" w:hint="default"/>
          <w:spacing w:val="31"/>
          <w:sz w:val="18"/>
          <w:szCs w:val="18"/>
          <w:u w:val="thick" w:color="000000"/>
        </w:rPr>
        <w:t> </w:t>
      </w:r>
      <w:r>
        <w:rPr>
          <w:rFonts w:ascii="Arial" w:hAnsi="Arial" w:cs="Arial" w:eastAsia="Arial" w:hint="default"/>
          <w:sz w:val="18"/>
          <w:szCs w:val="18"/>
          <w:u w:val="thick" w:color="000000"/>
        </w:rPr>
        <w:t>778,356</w:t>
      </w:r>
      <w:r>
        <w:rPr>
          <w:rFonts w:ascii="Arial" w:hAnsi="Arial" w:cs="Arial" w:eastAsia="Arial" w:hint="default"/>
          <w:sz w:val="18"/>
          <w:szCs w:val="18"/>
        </w:rPr>
        <w:t>)</w:t>
        <w:tab/>
      </w:r>
      <w:r>
        <w:rPr>
          <w:rFonts w:ascii="Arial" w:hAnsi="Arial" w:cs="Arial" w:eastAsia="Arial" w:hint="default"/>
          <w:spacing w:val="-1"/>
          <w:sz w:val="18"/>
          <w:szCs w:val="18"/>
          <w:u w:val="thick" w:color="000000"/>
        </w:rPr>
        <w:t>2,087,661,414</w:t>
      </w:r>
      <w:r>
        <w:rPr>
          <w:rFonts w:ascii="Arial" w:hAnsi="Arial" w:cs="Arial" w:eastAsia="Arial" w:hint="default"/>
          <w:spacing w:val="-1"/>
          <w:sz w:val="18"/>
          <w:szCs w:val="18"/>
        </w:rPr>
        <w:tab/>
      </w:r>
      <w:r>
        <w:rPr>
          <w:rFonts w:ascii="Arial" w:hAnsi="Arial" w:cs="Arial" w:eastAsia="Arial" w:hint="default"/>
          <w:spacing w:val="-1"/>
          <w:sz w:val="18"/>
          <w:szCs w:val="18"/>
          <w:u w:val="thick" w:color="000000"/>
        </w:rPr>
        <w:t>32,631,593</w:t>
      </w:r>
      <w:r>
        <w:rPr>
          <w:rFonts w:ascii="Arial" w:hAnsi="Arial" w:cs="Arial" w:eastAsia="Arial" w:hint="default"/>
          <w:spacing w:val="-1"/>
          <w:sz w:val="18"/>
          <w:szCs w:val="18"/>
        </w:rPr>
        <w:tab/>
      </w:r>
      <w:r>
        <w:rPr>
          <w:rFonts w:ascii="Arial" w:hAnsi="Arial" w:cs="Arial" w:eastAsia="Arial" w:hint="default"/>
          <w:spacing w:val="-1"/>
          <w:sz w:val="18"/>
          <w:szCs w:val="18"/>
          <w:u w:val="thick" w:color="000000"/>
        </w:rPr>
        <w:t>2,120,293,007</w:t>
      </w:r>
      <w:r>
        <w:rPr>
          <w:rFonts w:ascii="Arial" w:hAnsi="Arial" w:cs="Arial" w:eastAsia="Arial" w:hint="default"/>
          <w:spacing w:val="-1"/>
          <w:sz w:val="18"/>
          <w:szCs w:val="18"/>
        </w:rPr>
      </w:r>
    </w:p>
    <w:p>
      <w:pPr>
        <w:spacing w:after="0"/>
        <w:jc w:val="left"/>
        <w:rPr>
          <w:rFonts w:ascii="Arial" w:hAnsi="Arial" w:cs="Arial" w:eastAsia="Arial" w:hint="default"/>
          <w:sz w:val="18"/>
          <w:szCs w:val="18"/>
        </w:rPr>
        <w:sectPr>
          <w:pgSz w:w="16840" w:h="11910" w:orient="landscape"/>
          <w:pgMar w:header="958" w:footer="498" w:top="1160" w:bottom="680" w:left="700" w:right="540"/>
        </w:sectPr>
      </w:pPr>
    </w:p>
    <w:p>
      <w:pPr>
        <w:spacing w:line="240" w:lineRule="auto" w:before="6"/>
        <w:rPr>
          <w:rFonts w:ascii="Times New Roman" w:hAnsi="Times New Roman" w:cs="Times New Roman" w:eastAsia="Times New Roman" w:hint="default"/>
          <w:sz w:val="29"/>
          <w:szCs w:val="29"/>
        </w:rPr>
      </w:pPr>
    </w:p>
    <w:tbl>
      <w:tblPr>
        <w:tblW w:w="0" w:type="auto"/>
        <w:jc w:val="left"/>
        <w:tblInd w:w="111" w:type="dxa"/>
        <w:tblLayout w:type="fixed"/>
        <w:tblCellMar>
          <w:top w:w="0" w:type="dxa"/>
          <w:left w:w="0" w:type="dxa"/>
          <w:bottom w:w="0" w:type="dxa"/>
          <w:right w:w="0" w:type="dxa"/>
        </w:tblCellMar>
        <w:tblLook w:val="01E0"/>
      </w:tblPr>
      <w:tblGrid>
        <w:gridCol w:w="3799"/>
        <w:gridCol w:w="1362"/>
        <w:gridCol w:w="1966"/>
        <w:gridCol w:w="1699"/>
      </w:tblGrid>
      <w:tr>
        <w:trPr>
          <w:trHeight w:val="1491"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9"/>
                <w:szCs w:val="29"/>
              </w:rPr>
            </w:pPr>
          </w:p>
          <w:p>
            <w:pPr>
              <w:pStyle w:val="TableParagraph"/>
              <w:spacing w:line="550" w:lineRule="atLeast"/>
              <w:ind w:left="35" w:right="960"/>
              <w:jc w:val="left"/>
              <w:rPr>
                <w:rFonts w:ascii="黑体" w:hAnsi="黑体" w:cs="黑体" w:eastAsia="黑体" w:hint="default"/>
                <w:sz w:val="20"/>
                <w:szCs w:val="20"/>
              </w:rPr>
            </w:pPr>
            <w:r>
              <w:rPr>
                <w:rFonts w:ascii="黑体" w:hAnsi="黑体" w:cs="黑体" w:eastAsia="黑体" w:hint="default"/>
                <w:sz w:val="20"/>
                <w:szCs w:val="20"/>
              </w:rPr>
              <w:t>一、经营活动产生的现金流量</w:t>
            </w:r>
            <w:r>
              <w:rPr>
                <w:rFonts w:ascii="Arial" w:hAnsi="Arial" w:cs="Arial" w:eastAsia="Arial" w:hint="default"/>
                <w:sz w:val="20"/>
                <w:szCs w:val="20"/>
              </w:rPr>
              <w:t>:</w:t>
            </w:r>
            <w:r>
              <w:rPr>
                <w:rFonts w:ascii="Arial" w:hAnsi="Arial" w:cs="Arial" w:eastAsia="Arial" w:hint="default"/>
                <w:w w:val="100"/>
                <w:sz w:val="20"/>
                <w:szCs w:val="20"/>
              </w:rPr>
              <w:t> </w:t>
            </w:r>
            <w:r>
              <w:rPr>
                <w:rFonts w:ascii="黑体" w:hAnsi="黑体" w:cs="黑体" w:eastAsia="黑体" w:hint="default"/>
                <w:spacing w:val="-1"/>
                <w:sz w:val="20"/>
                <w:szCs w:val="20"/>
              </w:rPr>
              <w:t>销售商品、提供劳务收到的现金</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2"/>
              <w:jc w:val="center"/>
              <w:rPr>
                <w:rFonts w:ascii="黑体" w:hAnsi="黑体" w:cs="黑体" w:eastAsia="黑体" w:hint="default"/>
                <w:sz w:val="20"/>
                <w:szCs w:val="20"/>
              </w:rPr>
            </w:pPr>
            <w:r>
              <w:rPr>
                <w:rFonts w:ascii="黑体" w:hAnsi="黑体" w:cs="黑体" w:eastAsia="黑体" w:hint="default"/>
                <w:b/>
                <w:bCs/>
                <w:sz w:val="20"/>
                <w:szCs w:val="20"/>
              </w:rPr>
              <w:t>附注五</w:t>
            </w:r>
            <w:r>
              <w:rPr>
                <w:rFonts w:ascii="黑体" w:hAnsi="黑体" w:cs="黑体" w:eastAsia="黑体" w:hint="default"/>
                <w:sz w:val="20"/>
                <w:szCs w:val="20"/>
              </w:rPr>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31" w:right="0"/>
              <w:jc w:val="left"/>
              <w:rPr>
                <w:rFonts w:ascii="黑体" w:hAnsi="黑体" w:cs="黑体" w:eastAsia="黑体" w:hint="default"/>
                <w:sz w:val="20"/>
                <w:szCs w:val="20"/>
              </w:rPr>
            </w:pPr>
            <w:r>
              <w:rPr>
                <w:rFonts w:ascii="Arial" w:hAnsi="Arial" w:cs="Arial" w:eastAsia="Arial" w:hint="default"/>
                <w:b/>
                <w:bCs/>
                <w:sz w:val="20"/>
                <w:szCs w:val="20"/>
              </w:rPr>
              <w:t>2009</w:t>
            </w:r>
            <w:r>
              <w:rPr>
                <w:rFonts w:ascii="黑体" w:hAnsi="黑体" w:cs="黑体" w:eastAsia="黑体" w:hint="default"/>
                <w:b/>
                <w:bCs/>
                <w:sz w:val="20"/>
                <w:szCs w:val="20"/>
              </w:rPr>
              <w:t>年</w:t>
            </w:r>
            <w:r>
              <w:rPr>
                <w:rFonts w:ascii="黑体" w:hAnsi="黑体" w:cs="黑体" w:eastAsia="黑体" w:hint="default"/>
                <w:sz w:val="20"/>
                <w:szCs w:val="20"/>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left="399" w:right="0"/>
              <w:jc w:val="left"/>
              <w:rPr>
                <w:rFonts w:ascii="Arial" w:hAnsi="Arial" w:cs="Arial" w:eastAsia="Arial" w:hint="default"/>
                <w:sz w:val="20"/>
                <w:szCs w:val="20"/>
              </w:rPr>
            </w:pPr>
            <w:r>
              <w:rPr>
                <w:rFonts w:ascii="Arial"/>
                <w:sz w:val="20"/>
              </w:rPr>
              <w:t>2,527,450,341</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940" w:right="0"/>
              <w:jc w:val="left"/>
              <w:rPr>
                <w:rFonts w:ascii="黑体" w:hAnsi="黑体" w:cs="黑体" w:eastAsia="黑体" w:hint="default"/>
                <w:sz w:val="20"/>
                <w:szCs w:val="20"/>
              </w:rPr>
            </w:pPr>
            <w:r>
              <w:rPr>
                <w:rFonts w:ascii="Arial" w:hAnsi="Arial" w:cs="Arial" w:eastAsia="Arial" w:hint="default"/>
                <w:b/>
                <w:bCs/>
                <w:sz w:val="20"/>
                <w:szCs w:val="20"/>
              </w:rPr>
              <w:t>2008</w:t>
            </w:r>
            <w:r>
              <w:rPr>
                <w:rFonts w:ascii="黑体" w:hAnsi="黑体" w:cs="黑体" w:eastAsia="黑体" w:hint="default"/>
                <w:b/>
                <w:bCs/>
                <w:sz w:val="20"/>
                <w:szCs w:val="20"/>
              </w:rPr>
              <w:t>年</w:t>
            </w:r>
            <w:r>
              <w:rPr>
                <w:rFonts w:ascii="黑体" w:hAnsi="黑体" w:cs="黑体" w:eastAsia="黑体" w:hint="default"/>
                <w:sz w:val="20"/>
                <w:szCs w:val="20"/>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left="308" w:right="0"/>
              <w:jc w:val="left"/>
              <w:rPr>
                <w:rFonts w:ascii="Arial" w:hAnsi="Arial" w:cs="Arial" w:eastAsia="Arial" w:hint="default"/>
                <w:sz w:val="20"/>
                <w:szCs w:val="20"/>
              </w:rPr>
            </w:pPr>
            <w:r>
              <w:rPr>
                <w:rFonts w:ascii="Arial"/>
                <w:sz w:val="20"/>
              </w:rPr>
              <w:t>2,025,373,550</w:t>
            </w:r>
          </w:p>
        </w:tc>
      </w:tr>
      <w:tr>
        <w:trPr>
          <w:trHeight w:val="284"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黑体" w:hAnsi="黑体" w:cs="黑体" w:eastAsia="黑体" w:hint="default"/>
                <w:sz w:val="20"/>
                <w:szCs w:val="20"/>
              </w:rPr>
            </w:pPr>
            <w:r>
              <w:rPr>
                <w:rFonts w:ascii="黑体" w:hAnsi="黑体" w:cs="黑体" w:eastAsia="黑体" w:hint="default"/>
                <w:sz w:val="20"/>
                <w:szCs w:val="20"/>
              </w:rPr>
              <w:t>收到的税费返还</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27"/>
              <w:ind w:left="566" w:right="0"/>
              <w:jc w:val="left"/>
              <w:rPr>
                <w:rFonts w:ascii="Arial" w:hAnsi="Arial" w:cs="Arial" w:eastAsia="Arial" w:hint="default"/>
                <w:sz w:val="20"/>
                <w:szCs w:val="20"/>
              </w:rPr>
            </w:pPr>
            <w:r>
              <w:rPr>
                <w:rFonts w:ascii="Arial"/>
                <w:sz w:val="20"/>
              </w:rPr>
              <w:t>147,151,916</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07"/>
              <w:jc w:val="right"/>
              <w:rPr>
                <w:rFonts w:ascii="Arial" w:hAnsi="Arial" w:cs="Arial" w:eastAsia="Arial" w:hint="default"/>
                <w:sz w:val="20"/>
                <w:szCs w:val="20"/>
              </w:rPr>
            </w:pPr>
            <w:r>
              <w:rPr>
                <w:rFonts w:ascii="Arial"/>
                <w:spacing w:val="-1"/>
                <w:sz w:val="20"/>
              </w:rPr>
              <w:t>133,066,473</w:t>
            </w:r>
          </w:p>
        </w:tc>
      </w:tr>
      <w:tr>
        <w:trPr>
          <w:trHeight w:val="426"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黑体" w:hAnsi="黑体" w:cs="黑体" w:eastAsia="黑体" w:hint="default"/>
                <w:sz w:val="20"/>
                <w:szCs w:val="20"/>
              </w:rPr>
            </w:pPr>
            <w:r>
              <w:rPr>
                <w:rFonts w:ascii="黑体" w:hAnsi="黑体" w:cs="黑体" w:eastAsia="黑体" w:hint="default"/>
                <w:sz w:val="20"/>
                <w:szCs w:val="20"/>
              </w:rPr>
              <w:t>收到的其他与经营活动有关的现金</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tabs>
                <w:tab w:pos="676" w:val="left" w:leader="none"/>
              </w:tabs>
              <w:spacing w:line="240" w:lineRule="auto" w:before="27"/>
              <w:ind w:left="37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44,444,168</w:t>
            </w:r>
            <w:r>
              <w:rPr>
                <w:rFonts w:ascii="Arial"/>
                <w:sz w:val="20"/>
              </w:rPr>
            </w:r>
          </w:p>
        </w:tc>
        <w:tc>
          <w:tcPr>
            <w:tcW w:w="1699" w:type="dxa"/>
            <w:tcBorders>
              <w:top w:val="nil" w:sz="6" w:space="0" w:color="auto"/>
              <w:left w:val="nil" w:sz="6" w:space="0" w:color="auto"/>
              <w:bottom w:val="nil" w:sz="6" w:space="0" w:color="auto"/>
              <w:right w:val="nil" w:sz="6" w:space="0" w:color="auto"/>
            </w:tcBorders>
          </w:tcPr>
          <w:p>
            <w:pPr>
              <w:pStyle w:val="TableParagraph"/>
              <w:tabs>
                <w:tab w:pos="585" w:val="left" w:leader="none"/>
              </w:tabs>
              <w:spacing w:line="240" w:lineRule="auto" w:before="28"/>
              <w:ind w:left="286"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48,788,753</w:t>
            </w:r>
            <w:r>
              <w:rPr>
                <w:rFonts w:ascii="Arial"/>
                <w:sz w:val="20"/>
              </w:rPr>
            </w:r>
          </w:p>
        </w:tc>
      </w:tr>
      <w:tr>
        <w:trPr>
          <w:trHeight w:val="568"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35" w:right="0"/>
              <w:jc w:val="left"/>
              <w:rPr>
                <w:rFonts w:ascii="黑体" w:hAnsi="黑体" w:cs="黑体" w:eastAsia="黑体" w:hint="default"/>
                <w:sz w:val="20"/>
                <w:szCs w:val="20"/>
              </w:rPr>
            </w:pPr>
            <w:r>
              <w:rPr>
                <w:rFonts w:ascii="黑体" w:hAnsi="黑体" w:cs="黑体" w:eastAsia="黑体" w:hint="default"/>
                <w:sz w:val="20"/>
                <w:szCs w:val="20"/>
              </w:rPr>
              <w:t>经营活动现金流入小计</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69"/>
              <w:ind w:left="399" w:right="0"/>
              <w:jc w:val="left"/>
              <w:rPr>
                <w:rFonts w:ascii="Arial" w:hAnsi="Arial" w:cs="Arial" w:eastAsia="Arial" w:hint="default"/>
                <w:sz w:val="20"/>
                <w:szCs w:val="20"/>
              </w:rPr>
            </w:pPr>
            <w:r>
              <w:rPr>
                <w:rFonts w:ascii="Arial"/>
                <w:w w:val="100"/>
                <w:sz w:val="20"/>
              </w:rPr>
            </w:r>
            <w:r>
              <w:rPr>
                <w:rFonts w:ascii="Arial"/>
                <w:sz w:val="20"/>
                <w:u w:val="single" w:color="000000"/>
              </w:rPr>
              <w:t>2,719,046,425</w:t>
            </w:r>
            <w:r>
              <w:rPr>
                <w:rFonts w:ascii="Arial"/>
                <w:sz w:val="20"/>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69"/>
              <w:ind w:left="308" w:right="0"/>
              <w:jc w:val="left"/>
              <w:rPr>
                <w:rFonts w:ascii="Arial" w:hAnsi="Arial" w:cs="Arial" w:eastAsia="Arial" w:hint="default"/>
                <w:sz w:val="20"/>
                <w:szCs w:val="20"/>
              </w:rPr>
            </w:pPr>
            <w:r>
              <w:rPr>
                <w:rFonts w:ascii="Arial"/>
                <w:w w:val="100"/>
                <w:sz w:val="20"/>
              </w:rPr>
            </w:r>
            <w:r>
              <w:rPr>
                <w:rFonts w:ascii="Arial"/>
                <w:sz w:val="20"/>
                <w:u w:val="single" w:color="000000"/>
              </w:rPr>
              <w:t>2,207,228,776</w:t>
            </w:r>
            <w:r>
              <w:rPr>
                <w:rFonts w:ascii="Arial"/>
                <w:sz w:val="20"/>
              </w:rPr>
            </w:r>
          </w:p>
        </w:tc>
      </w:tr>
      <w:tr>
        <w:trPr>
          <w:trHeight w:val="426"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35" w:right="0"/>
              <w:jc w:val="left"/>
              <w:rPr>
                <w:rFonts w:ascii="黑体" w:hAnsi="黑体" w:cs="黑体" w:eastAsia="黑体" w:hint="default"/>
                <w:sz w:val="20"/>
                <w:szCs w:val="20"/>
              </w:rPr>
            </w:pPr>
            <w:r>
              <w:rPr>
                <w:rFonts w:ascii="黑体" w:hAnsi="黑体" w:cs="黑体" w:eastAsia="黑体" w:hint="default"/>
                <w:sz w:val="20"/>
                <w:szCs w:val="20"/>
              </w:rPr>
              <w:t>购买商品、接收劳务支付的现金</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70"/>
              <w:ind w:right="205"/>
              <w:jc w:val="right"/>
              <w:rPr>
                <w:rFonts w:ascii="Arial" w:hAnsi="Arial" w:cs="Arial" w:eastAsia="Arial" w:hint="default"/>
                <w:sz w:val="20"/>
                <w:szCs w:val="20"/>
              </w:rPr>
            </w:pPr>
            <w:r>
              <w:rPr>
                <w:rFonts w:ascii="Arial"/>
                <w:sz w:val="20"/>
              </w:rPr>
              <w:t>(  </w:t>
            </w:r>
            <w:r>
              <w:rPr>
                <w:rFonts w:ascii="Arial"/>
                <w:spacing w:val="24"/>
                <w:sz w:val="20"/>
              </w:rPr>
              <w:t> </w:t>
            </w:r>
            <w:r>
              <w:rPr>
                <w:rFonts w:ascii="Arial"/>
                <w:sz w:val="20"/>
              </w:rPr>
              <w:t>468,075,267)</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70"/>
              <w:ind w:right="33"/>
              <w:jc w:val="right"/>
              <w:rPr>
                <w:rFonts w:ascii="Arial" w:hAnsi="Arial" w:cs="Arial" w:eastAsia="Arial" w:hint="default"/>
                <w:sz w:val="20"/>
                <w:szCs w:val="20"/>
              </w:rPr>
            </w:pPr>
            <w:r>
              <w:rPr>
                <w:rFonts w:ascii="Arial"/>
                <w:sz w:val="20"/>
              </w:rPr>
              <w:t>(  </w:t>
            </w:r>
            <w:r>
              <w:rPr>
                <w:rFonts w:ascii="Arial"/>
                <w:spacing w:val="40"/>
                <w:sz w:val="20"/>
              </w:rPr>
              <w:t> </w:t>
            </w:r>
            <w:r>
              <w:rPr>
                <w:rFonts w:ascii="Arial"/>
                <w:sz w:val="20"/>
              </w:rPr>
              <w:t>205,905,837)</w:t>
            </w:r>
          </w:p>
        </w:tc>
      </w:tr>
      <w:tr>
        <w:trPr>
          <w:trHeight w:val="284"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黑体" w:hAnsi="黑体" w:cs="黑体" w:eastAsia="黑体" w:hint="default"/>
                <w:sz w:val="20"/>
                <w:szCs w:val="20"/>
              </w:rPr>
            </w:pPr>
            <w:r>
              <w:rPr>
                <w:rFonts w:ascii="黑体" w:hAnsi="黑体" w:cs="黑体" w:eastAsia="黑体" w:hint="default"/>
                <w:sz w:val="20"/>
                <w:szCs w:val="20"/>
              </w:rPr>
              <w:t>支付给职工以及为职工支付的现金</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05"/>
              <w:jc w:val="right"/>
              <w:rPr>
                <w:rFonts w:ascii="Arial" w:hAnsi="Arial" w:cs="Arial" w:eastAsia="Arial" w:hint="default"/>
                <w:sz w:val="20"/>
                <w:szCs w:val="20"/>
              </w:rPr>
            </w:pPr>
            <w:r>
              <w:rPr>
                <w:rFonts w:ascii="Arial"/>
                <w:sz w:val="20"/>
              </w:rPr>
              <w:t>(  </w:t>
            </w:r>
            <w:r>
              <w:rPr>
                <w:rFonts w:ascii="Arial"/>
                <w:spacing w:val="24"/>
                <w:sz w:val="20"/>
              </w:rPr>
              <w:t> </w:t>
            </w:r>
            <w:r>
              <w:rPr>
                <w:rFonts w:ascii="Arial"/>
                <w:sz w:val="20"/>
              </w:rPr>
              <w:t>927,277,932)</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3"/>
              <w:jc w:val="right"/>
              <w:rPr>
                <w:rFonts w:ascii="Arial" w:hAnsi="Arial" w:cs="Arial" w:eastAsia="Arial" w:hint="default"/>
                <w:sz w:val="20"/>
                <w:szCs w:val="20"/>
              </w:rPr>
            </w:pPr>
            <w:r>
              <w:rPr>
                <w:rFonts w:ascii="Arial"/>
                <w:sz w:val="20"/>
              </w:rPr>
              <w:t>(  </w:t>
            </w:r>
            <w:r>
              <w:rPr>
                <w:rFonts w:ascii="Arial"/>
                <w:spacing w:val="40"/>
                <w:sz w:val="20"/>
              </w:rPr>
              <w:t> </w:t>
            </w:r>
            <w:r>
              <w:rPr>
                <w:rFonts w:ascii="Arial"/>
                <w:sz w:val="20"/>
              </w:rPr>
              <w:t>853,637,115)</w:t>
            </w:r>
          </w:p>
        </w:tc>
      </w:tr>
      <w:tr>
        <w:trPr>
          <w:trHeight w:val="284"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黑体" w:hAnsi="黑体" w:cs="黑体" w:eastAsia="黑体" w:hint="default"/>
                <w:sz w:val="20"/>
                <w:szCs w:val="20"/>
              </w:rPr>
            </w:pPr>
            <w:r>
              <w:rPr>
                <w:rFonts w:ascii="黑体" w:hAnsi="黑体" w:cs="黑体" w:eastAsia="黑体" w:hint="default"/>
                <w:sz w:val="20"/>
                <w:szCs w:val="20"/>
              </w:rPr>
              <w:t>支付的各项税费</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05"/>
              <w:jc w:val="right"/>
              <w:rPr>
                <w:rFonts w:ascii="Arial" w:hAnsi="Arial" w:cs="Arial" w:eastAsia="Arial" w:hint="default"/>
                <w:sz w:val="20"/>
                <w:szCs w:val="20"/>
              </w:rPr>
            </w:pPr>
            <w:r>
              <w:rPr>
                <w:rFonts w:ascii="Arial"/>
                <w:sz w:val="20"/>
              </w:rPr>
              <w:t>(  </w:t>
            </w:r>
            <w:r>
              <w:rPr>
                <w:rFonts w:ascii="Arial"/>
                <w:spacing w:val="24"/>
                <w:sz w:val="20"/>
              </w:rPr>
              <w:t> </w:t>
            </w:r>
            <w:r>
              <w:rPr>
                <w:rFonts w:ascii="Arial"/>
                <w:sz w:val="20"/>
              </w:rPr>
              <w:t>332,395,771)</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3"/>
              <w:jc w:val="right"/>
              <w:rPr>
                <w:rFonts w:ascii="Arial" w:hAnsi="Arial" w:cs="Arial" w:eastAsia="Arial" w:hint="default"/>
                <w:sz w:val="20"/>
                <w:szCs w:val="20"/>
              </w:rPr>
            </w:pPr>
            <w:r>
              <w:rPr>
                <w:rFonts w:ascii="Arial"/>
                <w:sz w:val="20"/>
              </w:rPr>
              <w:t>(  </w:t>
            </w:r>
            <w:r>
              <w:rPr>
                <w:rFonts w:ascii="Arial"/>
                <w:spacing w:val="40"/>
                <w:sz w:val="20"/>
              </w:rPr>
              <w:t> </w:t>
            </w:r>
            <w:r>
              <w:rPr>
                <w:rFonts w:ascii="Arial"/>
                <w:sz w:val="20"/>
              </w:rPr>
              <w:t>386,897,822)</w:t>
            </w:r>
          </w:p>
        </w:tc>
      </w:tr>
      <w:tr>
        <w:trPr>
          <w:trHeight w:val="426"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黑体" w:hAnsi="黑体" w:cs="黑体" w:eastAsia="黑体" w:hint="default"/>
                <w:sz w:val="20"/>
                <w:szCs w:val="20"/>
              </w:rPr>
            </w:pPr>
            <w:r>
              <w:rPr>
                <w:rFonts w:ascii="黑体" w:hAnsi="黑体" w:cs="黑体" w:eastAsia="黑体" w:hint="default"/>
                <w:sz w:val="20"/>
                <w:szCs w:val="20"/>
              </w:rPr>
              <w:t>支付的其他与经营活动有关的现金</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22"/>
              <w:jc w:val="center"/>
              <w:rPr>
                <w:rFonts w:ascii="Arial" w:hAnsi="Arial" w:cs="Arial" w:eastAsia="Arial" w:hint="default"/>
                <w:sz w:val="20"/>
                <w:szCs w:val="20"/>
              </w:rPr>
            </w:pPr>
            <w:r>
              <w:rPr>
                <w:rFonts w:ascii="Arial"/>
                <w:sz w:val="20"/>
              </w:rPr>
              <w:t>44</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05"/>
              <w:jc w:val="right"/>
              <w:rPr>
                <w:rFonts w:ascii="Arial" w:hAnsi="Arial" w:cs="Arial" w:eastAsia="Arial" w:hint="default"/>
                <w:sz w:val="20"/>
                <w:szCs w:val="20"/>
              </w:rPr>
            </w:pPr>
            <w:r>
              <w:rPr>
                <w:rFonts w:ascii="Arial"/>
                <w:sz w:val="20"/>
              </w:rPr>
              <w:t>(  </w:t>
            </w:r>
            <w:r>
              <w:rPr>
                <w:rFonts w:ascii="Arial"/>
                <w:spacing w:val="17"/>
                <w:sz w:val="20"/>
              </w:rPr>
              <w:t> </w:t>
            </w:r>
            <w:r>
              <w:rPr>
                <w:rFonts w:ascii="Arial"/>
                <w:spacing w:val="17"/>
                <w:sz w:val="20"/>
                <w:u w:val="single" w:color="000000"/>
              </w:rPr>
              <w:t> </w:t>
            </w:r>
            <w:r>
              <w:rPr>
                <w:rFonts w:ascii="Arial"/>
                <w:sz w:val="20"/>
                <w:u w:val="single" w:color="000000"/>
              </w:rPr>
              <w:t>591,339,736</w:t>
            </w:r>
            <w:r>
              <w:rPr>
                <w:rFonts w:ascii="Arial"/>
                <w:sz w:val="20"/>
              </w:rPr>
              <w:t>)</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3"/>
              <w:jc w:val="right"/>
              <w:rPr>
                <w:rFonts w:ascii="Arial" w:hAnsi="Arial" w:cs="Arial" w:eastAsia="Arial" w:hint="default"/>
                <w:sz w:val="20"/>
                <w:szCs w:val="20"/>
              </w:rPr>
            </w:pPr>
            <w:r>
              <w:rPr>
                <w:rFonts w:ascii="Arial"/>
                <w:sz w:val="20"/>
              </w:rPr>
              <w:t>(  </w:t>
            </w:r>
            <w:r>
              <w:rPr>
                <w:rFonts w:ascii="Arial"/>
                <w:spacing w:val="40"/>
                <w:sz w:val="20"/>
              </w:rPr>
              <w:t> </w:t>
            </w:r>
            <w:r>
              <w:rPr>
                <w:rFonts w:ascii="Arial"/>
                <w:spacing w:val="40"/>
                <w:sz w:val="20"/>
                <w:u w:val="single" w:color="000000"/>
              </w:rPr>
              <w:t> </w:t>
            </w:r>
            <w:r>
              <w:rPr>
                <w:rFonts w:ascii="Arial"/>
                <w:sz w:val="20"/>
                <w:u w:val="single" w:color="000000"/>
              </w:rPr>
              <w:t>398,579,863</w:t>
            </w:r>
            <w:r>
              <w:rPr>
                <w:rFonts w:ascii="Arial"/>
                <w:sz w:val="20"/>
              </w:rPr>
              <w:t>)</w:t>
            </w:r>
          </w:p>
        </w:tc>
      </w:tr>
      <w:tr>
        <w:trPr>
          <w:trHeight w:val="568"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35" w:right="0"/>
              <w:jc w:val="left"/>
              <w:rPr>
                <w:rFonts w:ascii="黑体" w:hAnsi="黑体" w:cs="黑体" w:eastAsia="黑体" w:hint="default"/>
                <w:sz w:val="20"/>
                <w:szCs w:val="20"/>
              </w:rPr>
            </w:pPr>
            <w:r>
              <w:rPr>
                <w:rFonts w:ascii="黑体" w:hAnsi="黑体" w:cs="黑体" w:eastAsia="黑体" w:hint="default"/>
                <w:sz w:val="20"/>
                <w:szCs w:val="20"/>
              </w:rPr>
              <w:t>经营活动现金流出小计</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69"/>
              <w:ind w:right="205"/>
              <w:jc w:val="right"/>
              <w:rPr>
                <w:rFonts w:ascii="Arial" w:hAnsi="Arial" w:cs="Arial" w:eastAsia="Arial" w:hint="default"/>
                <w:sz w:val="20"/>
                <w:szCs w:val="20"/>
              </w:rPr>
            </w:pPr>
            <w:r>
              <w:rPr>
                <w:rFonts w:ascii="Arial"/>
                <w:spacing w:val="-1"/>
                <w:sz w:val="20"/>
              </w:rPr>
              <w:t>(</w:t>
            </w:r>
            <w:r>
              <w:rPr>
                <w:rFonts w:ascii="Arial"/>
                <w:spacing w:val="-1"/>
                <w:sz w:val="20"/>
                <w:u w:val="single" w:color="000000"/>
              </w:rPr>
              <w:t>2,319,088,706</w:t>
            </w:r>
            <w:r>
              <w:rPr>
                <w:rFonts w:ascii="Arial"/>
                <w:spacing w:val="-1"/>
                <w:sz w:val="20"/>
              </w:rPr>
              <w:t>)</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69"/>
              <w:ind w:right="33"/>
              <w:jc w:val="right"/>
              <w:rPr>
                <w:rFonts w:ascii="Arial" w:hAnsi="Arial" w:cs="Arial" w:eastAsia="Arial" w:hint="default"/>
                <w:sz w:val="20"/>
                <w:szCs w:val="20"/>
              </w:rPr>
            </w:pPr>
            <w:r>
              <w:rPr>
                <w:rFonts w:ascii="Arial"/>
                <w:sz w:val="20"/>
              </w:rPr>
              <w:t>(</w:t>
            </w:r>
            <w:r>
              <w:rPr>
                <w:rFonts w:ascii="Arial"/>
                <w:sz w:val="20"/>
                <w:u w:val="single" w:color="000000"/>
              </w:rPr>
              <w:t>1,845,020,637</w:t>
            </w:r>
            <w:r>
              <w:rPr>
                <w:rFonts w:ascii="Arial"/>
                <w:sz w:val="20"/>
              </w:rPr>
              <w:t>)</w:t>
            </w:r>
          </w:p>
        </w:tc>
      </w:tr>
      <w:tr>
        <w:trPr>
          <w:trHeight w:val="568"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35" w:right="0"/>
              <w:jc w:val="left"/>
              <w:rPr>
                <w:rFonts w:ascii="黑体" w:hAnsi="黑体" w:cs="黑体" w:eastAsia="黑体" w:hint="default"/>
                <w:sz w:val="20"/>
                <w:szCs w:val="20"/>
              </w:rPr>
            </w:pPr>
            <w:r>
              <w:rPr>
                <w:rFonts w:ascii="黑体" w:hAnsi="黑体" w:cs="黑体" w:eastAsia="黑体" w:hint="default"/>
                <w:sz w:val="20"/>
                <w:szCs w:val="20"/>
              </w:rPr>
              <w:t>经营活动产生的现金流量净额</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169"/>
              <w:ind w:right="123"/>
              <w:jc w:val="center"/>
              <w:rPr>
                <w:rFonts w:ascii="Arial" w:hAnsi="Arial" w:cs="Arial" w:eastAsia="Arial" w:hint="default"/>
                <w:sz w:val="20"/>
                <w:szCs w:val="20"/>
              </w:rPr>
            </w:pPr>
            <w:r>
              <w:rPr>
                <w:rFonts w:ascii="Arial"/>
                <w:sz w:val="20"/>
              </w:rPr>
              <w:t>45</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69"/>
              <w:ind w:left="365"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399,957,719</w:t>
            </w:r>
            <w:r>
              <w:rPr>
                <w:rFonts w:ascii="Arial"/>
                <w:sz w:val="20"/>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69"/>
              <w:ind w:left="274"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362,208,139</w:t>
            </w:r>
            <w:r>
              <w:rPr>
                <w:rFonts w:ascii="Arial"/>
                <w:sz w:val="20"/>
              </w:rPr>
            </w:r>
          </w:p>
        </w:tc>
      </w:tr>
      <w:tr>
        <w:trPr>
          <w:trHeight w:val="562"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35" w:right="0"/>
              <w:jc w:val="left"/>
              <w:rPr>
                <w:rFonts w:ascii="Arial" w:hAnsi="Arial" w:cs="Arial" w:eastAsia="Arial" w:hint="default"/>
                <w:sz w:val="20"/>
                <w:szCs w:val="20"/>
              </w:rPr>
            </w:pPr>
            <w:r>
              <w:rPr>
                <w:rFonts w:ascii="黑体" w:hAnsi="黑体" w:cs="黑体" w:eastAsia="黑体" w:hint="default"/>
                <w:sz w:val="20"/>
                <w:szCs w:val="20"/>
              </w:rPr>
              <w:t>二、投资活动产生的现金流量</w:t>
            </w:r>
            <w:r>
              <w:rPr>
                <w:rFonts w:ascii="Arial" w:hAnsi="Arial" w:cs="Arial" w:eastAsia="Arial" w:hint="default"/>
                <w:sz w:val="20"/>
                <w:szCs w:val="20"/>
              </w:rPr>
              <w:t>:</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
        </w:tc>
      </w:tr>
      <w:tr>
        <w:trPr>
          <w:trHeight w:val="432"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35" w:right="0"/>
              <w:jc w:val="left"/>
              <w:rPr>
                <w:rFonts w:ascii="黑体" w:hAnsi="黑体" w:cs="黑体" w:eastAsia="黑体" w:hint="default"/>
                <w:sz w:val="20"/>
                <w:szCs w:val="20"/>
              </w:rPr>
            </w:pPr>
            <w:r>
              <w:rPr>
                <w:rFonts w:ascii="黑体" w:hAnsi="黑体" w:cs="黑体" w:eastAsia="黑体" w:hint="default"/>
                <w:sz w:val="20"/>
                <w:szCs w:val="20"/>
              </w:rPr>
              <w:t>收回投资成本所收到的现金</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75"/>
              <w:ind w:left="565" w:right="0"/>
              <w:jc w:val="left"/>
              <w:rPr>
                <w:rFonts w:ascii="Arial" w:hAnsi="Arial" w:cs="Arial" w:eastAsia="Arial" w:hint="default"/>
                <w:sz w:val="20"/>
                <w:szCs w:val="20"/>
              </w:rPr>
            </w:pPr>
            <w:r>
              <w:rPr>
                <w:rFonts w:ascii="Arial"/>
                <w:sz w:val="20"/>
              </w:rPr>
              <w:t>159,673,985</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75"/>
              <w:ind w:right="107"/>
              <w:jc w:val="right"/>
              <w:rPr>
                <w:rFonts w:ascii="Arial" w:hAnsi="Arial" w:cs="Arial" w:eastAsia="Arial" w:hint="default"/>
                <w:sz w:val="20"/>
                <w:szCs w:val="20"/>
              </w:rPr>
            </w:pPr>
            <w:r>
              <w:rPr>
                <w:rFonts w:ascii="Arial"/>
                <w:spacing w:val="-1"/>
                <w:sz w:val="20"/>
              </w:rPr>
              <w:t>129,011,583</w:t>
            </w:r>
          </w:p>
        </w:tc>
      </w:tr>
      <w:tr>
        <w:trPr>
          <w:trHeight w:val="284"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黑体" w:hAnsi="黑体" w:cs="黑体" w:eastAsia="黑体" w:hint="default"/>
                <w:sz w:val="20"/>
                <w:szCs w:val="20"/>
              </w:rPr>
            </w:pPr>
            <w:r>
              <w:rPr>
                <w:rFonts w:ascii="黑体" w:hAnsi="黑体" w:cs="黑体" w:eastAsia="黑体" w:hint="default"/>
                <w:sz w:val="20"/>
                <w:szCs w:val="20"/>
              </w:rPr>
              <w:t>取得投资收益所收到的现金</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27"/>
              <w:ind w:left="565" w:right="0"/>
              <w:jc w:val="left"/>
              <w:rPr>
                <w:rFonts w:ascii="Arial" w:hAnsi="Arial" w:cs="Arial" w:eastAsia="Arial" w:hint="default"/>
                <w:sz w:val="20"/>
                <w:szCs w:val="20"/>
              </w:rPr>
            </w:pPr>
            <w:r>
              <w:rPr>
                <w:rFonts w:ascii="Arial"/>
                <w:sz w:val="20"/>
              </w:rPr>
              <w:t>230,793,283</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07"/>
              <w:jc w:val="right"/>
              <w:rPr>
                <w:rFonts w:ascii="Arial" w:hAnsi="Arial" w:cs="Arial" w:eastAsia="Arial" w:hint="default"/>
                <w:sz w:val="20"/>
                <w:szCs w:val="20"/>
              </w:rPr>
            </w:pPr>
            <w:r>
              <w:rPr>
                <w:rFonts w:ascii="Arial"/>
                <w:spacing w:val="-1"/>
                <w:sz w:val="20"/>
              </w:rPr>
              <w:t>193,357,312</w:t>
            </w:r>
          </w:p>
        </w:tc>
      </w:tr>
      <w:tr>
        <w:trPr>
          <w:trHeight w:val="519"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29" w:lineRule="exact"/>
              <w:ind w:left="35" w:right="0"/>
              <w:jc w:val="left"/>
              <w:rPr>
                <w:rFonts w:ascii="黑体" w:hAnsi="黑体" w:cs="黑体" w:eastAsia="黑体" w:hint="default"/>
                <w:sz w:val="20"/>
                <w:szCs w:val="20"/>
              </w:rPr>
            </w:pPr>
            <w:r>
              <w:rPr>
                <w:rFonts w:ascii="黑体" w:hAnsi="黑体" w:cs="黑体" w:eastAsia="黑体" w:hint="default"/>
                <w:sz w:val="20"/>
                <w:szCs w:val="20"/>
              </w:rPr>
              <w:t>取得存款利息收入所收到的现金</w:t>
            </w:r>
          </w:p>
          <w:p>
            <w:pPr>
              <w:pStyle w:val="TableParagraph"/>
              <w:spacing w:line="260" w:lineRule="exact"/>
              <w:ind w:left="35" w:right="0"/>
              <w:jc w:val="left"/>
              <w:rPr>
                <w:rFonts w:ascii="黑体" w:hAnsi="黑体" w:cs="黑体" w:eastAsia="黑体" w:hint="default"/>
                <w:sz w:val="20"/>
                <w:szCs w:val="20"/>
              </w:rPr>
            </w:pPr>
            <w:r>
              <w:rPr>
                <w:rFonts w:ascii="黑体" w:hAnsi="黑体" w:cs="黑体" w:eastAsia="黑体" w:hint="default"/>
                <w:spacing w:val="-3"/>
                <w:sz w:val="20"/>
                <w:szCs w:val="20"/>
              </w:rPr>
              <w:t>处置固定资产，无形资产和其他长期资产</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86"/>
              <w:jc w:val="right"/>
              <w:rPr>
                <w:rFonts w:ascii="Arial" w:hAnsi="Arial" w:cs="Arial" w:eastAsia="Arial" w:hint="default"/>
                <w:sz w:val="20"/>
                <w:szCs w:val="20"/>
              </w:rPr>
            </w:pPr>
            <w:r>
              <w:rPr>
                <w:rFonts w:ascii="Arial"/>
                <w:spacing w:val="-1"/>
                <w:sz w:val="20"/>
              </w:rPr>
              <w:t>11,834,010</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09"/>
              <w:jc w:val="right"/>
              <w:rPr>
                <w:rFonts w:ascii="Arial" w:hAnsi="Arial" w:cs="Arial" w:eastAsia="Arial" w:hint="default"/>
                <w:sz w:val="20"/>
                <w:szCs w:val="20"/>
              </w:rPr>
            </w:pPr>
            <w:r>
              <w:rPr>
                <w:rFonts w:ascii="Arial"/>
                <w:spacing w:val="-1"/>
                <w:sz w:val="20"/>
              </w:rPr>
              <w:t>10,681,618</w:t>
            </w:r>
          </w:p>
        </w:tc>
      </w:tr>
      <w:tr>
        <w:trPr>
          <w:trHeight w:val="283"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30" w:lineRule="exact"/>
              <w:ind w:left="230" w:right="0"/>
              <w:jc w:val="left"/>
              <w:rPr>
                <w:rFonts w:ascii="黑体" w:hAnsi="黑体" w:cs="黑体" w:eastAsia="黑体" w:hint="default"/>
                <w:sz w:val="20"/>
                <w:szCs w:val="20"/>
              </w:rPr>
            </w:pPr>
            <w:r>
              <w:rPr>
                <w:rFonts w:ascii="黑体" w:hAnsi="黑体" w:cs="黑体" w:eastAsia="黑体" w:hint="default"/>
                <w:sz w:val="20"/>
                <w:szCs w:val="20"/>
              </w:rPr>
              <w:t>收回的现金净额</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85"/>
              <w:jc w:val="right"/>
              <w:rPr>
                <w:rFonts w:ascii="Arial" w:hAnsi="Arial" w:cs="Arial" w:eastAsia="Arial" w:hint="default"/>
                <w:sz w:val="20"/>
                <w:szCs w:val="20"/>
              </w:rPr>
            </w:pPr>
            <w:r>
              <w:rPr>
                <w:rFonts w:ascii="Arial"/>
                <w:spacing w:val="-1"/>
                <w:sz w:val="20"/>
              </w:rPr>
              <w:t>1,740,216</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08"/>
              <w:jc w:val="right"/>
              <w:rPr>
                <w:rFonts w:ascii="Arial" w:hAnsi="Arial" w:cs="Arial" w:eastAsia="Arial" w:hint="default"/>
                <w:sz w:val="20"/>
                <w:szCs w:val="20"/>
              </w:rPr>
            </w:pPr>
            <w:r>
              <w:rPr>
                <w:rFonts w:ascii="Arial"/>
                <w:spacing w:val="-1"/>
                <w:sz w:val="20"/>
              </w:rPr>
              <w:t>63,485,151</w:t>
            </w:r>
          </w:p>
        </w:tc>
      </w:tr>
      <w:tr>
        <w:trPr>
          <w:trHeight w:val="426"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黑体" w:hAnsi="黑体" w:cs="黑体" w:eastAsia="黑体" w:hint="default"/>
                <w:sz w:val="20"/>
                <w:szCs w:val="20"/>
              </w:rPr>
            </w:pPr>
            <w:r>
              <w:rPr>
                <w:rFonts w:ascii="黑体" w:hAnsi="黑体" w:cs="黑体" w:eastAsia="黑体" w:hint="default"/>
                <w:sz w:val="20"/>
                <w:szCs w:val="20"/>
              </w:rPr>
              <w:t>处置子公司所流入的现金净额</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tabs>
                <w:tab w:pos="676" w:val="left" w:leader="none"/>
              </w:tabs>
              <w:spacing w:line="240" w:lineRule="auto" w:before="27"/>
              <w:ind w:left="37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10,000,000</w:t>
            </w:r>
            <w:r>
              <w:rPr>
                <w:rFonts w:ascii="Arial"/>
                <w:sz w:val="20"/>
              </w:rPr>
            </w:r>
          </w:p>
        </w:tc>
        <w:tc>
          <w:tcPr>
            <w:tcW w:w="1699" w:type="dxa"/>
            <w:tcBorders>
              <w:top w:val="nil" w:sz="6" w:space="0" w:color="auto"/>
              <w:left w:val="nil" w:sz="6" w:space="0" w:color="auto"/>
              <w:bottom w:val="nil" w:sz="6" w:space="0" w:color="auto"/>
              <w:right w:val="nil" w:sz="6" w:space="0" w:color="auto"/>
            </w:tcBorders>
          </w:tcPr>
          <w:p>
            <w:pPr>
              <w:pStyle w:val="TableParagraph"/>
              <w:tabs>
                <w:tab w:pos="585" w:val="left" w:leader="none"/>
              </w:tabs>
              <w:spacing w:line="240" w:lineRule="auto" w:before="27"/>
              <w:ind w:left="286"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13,700,000</w:t>
            </w:r>
            <w:r>
              <w:rPr>
                <w:rFonts w:ascii="Arial"/>
                <w:sz w:val="20"/>
              </w:rPr>
            </w:r>
          </w:p>
        </w:tc>
      </w:tr>
      <w:tr>
        <w:trPr>
          <w:trHeight w:val="556"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35" w:right="0"/>
              <w:jc w:val="left"/>
              <w:rPr>
                <w:rFonts w:ascii="黑体" w:hAnsi="黑体" w:cs="黑体" w:eastAsia="黑体" w:hint="default"/>
                <w:sz w:val="20"/>
                <w:szCs w:val="20"/>
              </w:rPr>
            </w:pPr>
            <w:r>
              <w:rPr>
                <w:rFonts w:ascii="黑体" w:hAnsi="黑体" w:cs="黑体" w:eastAsia="黑体" w:hint="default"/>
                <w:sz w:val="20"/>
                <w:szCs w:val="20"/>
              </w:rPr>
              <w:t>投资活动现金流入小计</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70"/>
              <w:ind w:left="365"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414,041,494</w:t>
            </w:r>
            <w:r>
              <w:rPr>
                <w:rFonts w:ascii="Arial"/>
                <w:sz w:val="20"/>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70"/>
              <w:ind w:left="274"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410,235,664</w:t>
            </w:r>
            <w:r>
              <w:rPr>
                <w:rFonts w:ascii="Arial"/>
                <w:sz w:val="20"/>
              </w:rPr>
            </w:r>
          </w:p>
        </w:tc>
      </w:tr>
      <w:tr>
        <w:trPr>
          <w:trHeight w:val="390"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40" w:lineRule="auto" w:before="98"/>
              <w:ind w:left="35" w:right="0"/>
              <w:jc w:val="left"/>
              <w:rPr>
                <w:rFonts w:ascii="黑体" w:hAnsi="黑体" w:cs="黑体" w:eastAsia="黑体" w:hint="default"/>
                <w:sz w:val="20"/>
                <w:szCs w:val="20"/>
              </w:rPr>
            </w:pPr>
            <w:r>
              <w:rPr>
                <w:rFonts w:ascii="黑体" w:hAnsi="黑体" w:cs="黑体" w:eastAsia="黑体" w:hint="default"/>
                <w:sz w:val="20"/>
                <w:szCs w:val="20"/>
              </w:rPr>
              <w:t>购建固定资产、无形资产和其他长期资产</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
        </w:tc>
      </w:tr>
      <w:tr>
        <w:trPr>
          <w:trHeight w:val="283"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30" w:lineRule="exact"/>
              <w:ind w:left="243" w:right="0"/>
              <w:jc w:val="left"/>
              <w:rPr>
                <w:rFonts w:ascii="黑体" w:hAnsi="黑体" w:cs="黑体" w:eastAsia="黑体" w:hint="default"/>
                <w:sz w:val="20"/>
                <w:szCs w:val="20"/>
              </w:rPr>
            </w:pPr>
            <w:r>
              <w:rPr>
                <w:rFonts w:ascii="黑体" w:hAnsi="黑体" w:cs="黑体" w:eastAsia="黑体" w:hint="default"/>
                <w:sz w:val="20"/>
                <w:szCs w:val="20"/>
              </w:rPr>
              <w:t>支付的现金</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05"/>
              <w:jc w:val="right"/>
              <w:rPr>
                <w:rFonts w:ascii="Arial" w:hAnsi="Arial" w:cs="Arial" w:eastAsia="Arial" w:hint="default"/>
                <w:sz w:val="20"/>
                <w:szCs w:val="20"/>
              </w:rPr>
            </w:pPr>
            <w:r>
              <w:rPr>
                <w:rFonts w:ascii="Arial"/>
                <w:sz w:val="20"/>
              </w:rPr>
              <w:t>(  </w:t>
            </w:r>
            <w:r>
              <w:rPr>
                <w:rFonts w:ascii="Arial"/>
                <w:spacing w:val="34"/>
                <w:sz w:val="20"/>
              </w:rPr>
              <w:t> </w:t>
            </w:r>
            <w:r>
              <w:rPr>
                <w:rFonts w:ascii="Arial"/>
                <w:sz w:val="20"/>
              </w:rPr>
              <w:t>260,418,901)</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3"/>
              <w:jc w:val="right"/>
              <w:rPr>
                <w:rFonts w:ascii="Arial" w:hAnsi="Arial" w:cs="Arial" w:eastAsia="Arial" w:hint="default"/>
                <w:sz w:val="20"/>
                <w:szCs w:val="20"/>
              </w:rPr>
            </w:pPr>
            <w:r>
              <w:rPr>
                <w:rFonts w:ascii="Arial"/>
                <w:sz w:val="20"/>
              </w:rPr>
              <w:t>(  </w:t>
            </w:r>
            <w:r>
              <w:rPr>
                <w:rFonts w:ascii="Arial"/>
                <w:spacing w:val="40"/>
                <w:sz w:val="20"/>
              </w:rPr>
              <w:t> </w:t>
            </w:r>
            <w:r>
              <w:rPr>
                <w:rFonts w:ascii="Arial"/>
                <w:sz w:val="20"/>
              </w:rPr>
              <w:t>114,169,274)</w:t>
            </w:r>
          </w:p>
        </w:tc>
      </w:tr>
      <w:tr>
        <w:trPr>
          <w:trHeight w:val="284"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黑体" w:hAnsi="黑体" w:cs="黑体" w:eastAsia="黑体" w:hint="default"/>
                <w:sz w:val="20"/>
                <w:szCs w:val="20"/>
              </w:rPr>
            </w:pPr>
            <w:r>
              <w:rPr>
                <w:rFonts w:ascii="黑体" w:hAnsi="黑体" w:cs="黑体" w:eastAsia="黑体" w:hint="default"/>
                <w:sz w:val="20"/>
                <w:szCs w:val="20"/>
              </w:rPr>
              <w:t>处置子公司所流出的现金净额</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86"/>
              <w:jc w:val="right"/>
              <w:rPr>
                <w:rFonts w:ascii="Arial" w:hAnsi="Arial" w:cs="Arial" w:eastAsia="Arial" w:hint="default"/>
                <w:sz w:val="20"/>
                <w:szCs w:val="20"/>
              </w:rPr>
            </w:pPr>
            <w:r>
              <w:rPr>
                <w:rFonts w:ascii="Arial"/>
                <w:w w:val="100"/>
                <w:sz w:val="20"/>
              </w:rPr>
              <w:t>-</w:t>
            </w:r>
          </w:p>
        </w:tc>
        <w:tc>
          <w:tcPr>
            <w:tcW w:w="1699" w:type="dxa"/>
            <w:tcBorders>
              <w:top w:val="nil" w:sz="6" w:space="0" w:color="auto"/>
              <w:left w:val="nil" w:sz="6" w:space="0" w:color="auto"/>
              <w:bottom w:val="nil" w:sz="6" w:space="0" w:color="auto"/>
              <w:right w:val="nil" w:sz="6" w:space="0" w:color="auto"/>
            </w:tcBorders>
          </w:tcPr>
          <w:p>
            <w:pPr>
              <w:pStyle w:val="TableParagraph"/>
              <w:tabs>
                <w:tab w:pos="365" w:val="left" w:leader="none"/>
              </w:tabs>
              <w:spacing w:line="240" w:lineRule="auto" w:before="27"/>
              <w:ind w:right="33"/>
              <w:jc w:val="right"/>
              <w:rPr>
                <w:rFonts w:ascii="Arial" w:hAnsi="Arial" w:cs="Arial" w:eastAsia="Arial" w:hint="default"/>
                <w:sz w:val="20"/>
                <w:szCs w:val="20"/>
              </w:rPr>
            </w:pPr>
            <w:r>
              <w:rPr>
                <w:rFonts w:ascii="Arial"/>
                <w:sz w:val="20"/>
              </w:rPr>
              <w:t>(</w:t>
              <w:tab/>
              <w:t>14,143,705)</w:t>
            </w:r>
          </w:p>
        </w:tc>
      </w:tr>
      <w:tr>
        <w:trPr>
          <w:trHeight w:val="284"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黑体" w:hAnsi="黑体" w:cs="黑体" w:eastAsia="黑体" w:hint="default"/>
                <w:sz w:val="20"/>
                <w:szCs w:val="20"/>
              </w:rPr>
            </w:pPr>
            <w:r>
              <w:rPr>
                <w:rFonts w:ascii="黑体" w:hAnsi="黑体" w:cs="黑体" w:eastAsia="黑体" w:hint="default"/>
                <w:sz w:val="20"/>
                <w:szCs w:val="20"/>
              </w:rPr>
              <w:t>收购子公司所流出的现金净额</w:t>
            </w:r>
          </w:p>
        </w:tc>
        <w:tc>
          <w:tcPr>
            <w:tcW w:w="1362" w:type="dxa"/>
            <w:tcBorders>
              <w:top w:val="nil" w:sz="6" w:space="0" w:color="auto"/>
              <w:left w:val="nil" w:sz="6" w:space="0" w:color="auto"/>
              <w:bottom w:val="nil" w:sz="6" w:space="0" w:color="auto"/>
              <w:right w:val="nil" w:sz="6" w:space="0" w:color="auto"/>
            </w:tcBorders>
          </w:tcPr>
          <w:p>
            <w:pPr>
              <w:pStyle w:val="TableParagraph"/>
              <w:spacing w:line="246" w:lineRule="exact"/>
              <w:ind w:right="122"/>
              <w:jc w:val="center"/>
              <w:rPr>
                <w:rFonts w:ascii="Arial" w:hAnsi="Arial" w:cs="Arial" w:eastAsia="Arial" w:hint="default"/>
                <w:sz w:val="20"/>
                <w:szCs w:val="20"/>
              </w:rPr>
            </w:pPr>
            <w:r>
              <w:rPr>
                <w:rFonts w:ascii="黑体" w:hAnsi="黑体" w:cs="黑体" w:eastAsia="黑体" w:hint="default"/>
                <w:sz w:val="20"/>
                <w:szCs w:val="20"/>
              </w:rPr>
              <w:t>附注四、</w:t>
            </w:r>
            <w:r>
              <w:rPr>
                <w:rFonts w:ascii="Arial" w:hAnsi="Arial" w:cs="Arial" w:eastAsia="Arial" w:hint="default"/>
                <w:sz w:val="20"/>
                <w:szCs w:val="20"/>
              </w:rPr>
              <w:t>4</w:t>
            </w:r>
          </w:p>
        </w:tc>
        <w:tc>
          <w:tcPr>
            <w:tcW w:w="1966" w:type="dxa"/>
            <w:tcBorders>
              <w:top w:val="nil" w:sz="6" w:space="0" w:color="auto"/>
              <w:left w:val="nil" w:sz="6" w:space="0" w:color="auto"/>
              <w:bottom w:val="nil" w:sz="6" w:space="0" w:color="auto"/>
              <w:right w:val="nil" w:sz="6" w:space="0" w:color="auto"/>
            </w:tcBorders>
          </w:tcPr>
          <w:p>
            <w:pPr>
              <w:pStyle w:val="TableParagraph"/>
              <w:tabs>
                <w:tab w:pos="664" w:val="left" w:leader="none"/>
              </w:tabs>
              <w:spacing w:line="240" w:lineRule="auto" w:before="27"/>
              <w:ind w:right="205"/>
              <w:jc w:val="right"/>
              <w:rPr>
                <w:rFonts w:ascii="Arial" w:hAnsi="Arial" w:cs="Arial" w:eastAsia="Arial" w:hint="default"/>
                <w:sz w:val="20"/>
                <w:szCs w:val="20"/>
              </w:rPr>
            </w:pPr>
            <w:r>
              <w:rPr>
                <w:rFonts w:ascii="Arial"/>
                <w:sz w:val="20"/>
              </w:rPr>
              <w:t>(</w:t>
              <w:tab/>
              <w:t>582,844)</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3"/>
              <w:jc w:val="right"/>
              <w:rPr>
                <w:rFonts w:ascii="Arial" w:hAnsi="Arial" w:cs="Arial" w:eastAsia="Arial" w:hint="default"/>
                <w:sz w:val="20"/>
                <w:szCs w:val="20"/>
              </w:rPr>
            </w:pPr>
            <w:r>
              <w:rPr>
                <w:rFonts w:ascii="Arial"/>
                <w:sz w:val="20"/>
              </w:rPr>
              <w:t>(  </w:t>
            </w:r>
            <w:r>
              <w:rPr>
                <w:rFonts w:ascii="Arial"/>
                <w:spacing w:val="40"/>
                <w:sz w:val="20"/>
              </w:rPr>
              <w:t> </w:t>
            </w:r>
            <w:r>
              <w:rPr>
                <w:rFonts w:ascii="Arial"/>
                <w:sz w:val="20"/>
              </w:rPr>
              <w:t>146,044,828)</w:t>
            </w:r>
          </w:p>
        </w:tc>
      </w:tr>
      <w:tr>
        <w:trPr>
          <w:trHeight w:val="426"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黑体" w:hAnsi="黑体" w:cs="黑体" w:eastAsia="黑体" w:hint="default"/>
                <w:sz w:val="20"/>
                <w:szCs w:val="20"/>
              </w:rPr>
            </w:pPr>
            <w:r>
              <w:rPr>
                <w:rFonts w:ascii="黑体" w:hAnsi="黑体" w:cs="黑体" w:eastAsia="黑体" w:hint="default"/>
                <w:sz w:val="20"/>
                <w:szCs w:val="20"/>
              </w:rPr>
              <w:t>投资支付的现金</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05"/>
              <w:jc w:val="right"/>
              <w:rPr>
                <w:rFonts w:ascii="Arial" w:hAnsi="Arial" w:cs="Arial" w:eastAsia="Arial" w:hint="default"/>
                <w:sz w:val="20"/>
                <w:szCs w:val="20"/>
              </w:rPr>
            </w:pPr>
            <w:r>
              <w:rPr>
                <w:rFonts w:ascii="Arial"/>
                <w:sz w:val="20"/>
              </w:rPr>
              <w:t>(  </w:t>
            </w:r>
            <w:r>
              <w:rPr>
                <w:rFonts w:ascii="Arial"/>
                <w:spacing w:val="26"/>
                <w:sz w:val="20"/>
              </w:rPr>
              <w:t> </w:t>
            </w:r>
            <w:r>
              <w:rPr>
                <w:rFonts w:ascii="Arial"/>
                <w:spacing w:val="26"/>
                <w:sz w:val="20"/>
                <w:u w:val="single" w:color="000000"/>
              </w:rPr>
              <w:t> </w:t>
            </w:r>
            <w:r>
              <w:rPr>
                <w:rFonts w:ascii="Arial"/>
                <w:sz w:val="20"/>
                <w:u w:val="single" w:color="000000"/>
              </w:rPr>
              <w:t>144,695,254</w:t>
            </w:r>
            <w:r>
              <w:rPr>
                <w:rFonts w:ascii="Arial"/>
                <w:sz w:val="20"/>
              </w:rPr>
              <w:t>)</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Arial" w:hAnsi="Arial" w:cs="Arial" w:eastAsia="Arial" w:hint="default"/>
                <w:sz w:val="20"/>
                <w:szCs w:val="20"/>
              </w:rPr>
            </w:pPr>
            <w:r>
              <w:rPr>
                <w:rFonts w:ascii="Arial"/>
                <w:sz w:val="20"/>
              </w:rPr>
              <w:t>(  </w:t>
            </w:r>
            <w:r>
              <w:rPr>
                <w:rFonts w:ascii="Arial"/>
                <w:spacing w:val="40"/>
                <w:sz w:val="20"/>
              </w:rPr>
              <w:t> </w:t>
            </w:r>
            <w:r>
              <w:rPr>
                <w:rFonts w:ascii="Arial"/>
                <w:spacing w:val="40"/>
                <w:sz w:val="20"/>
                <w:u w:val="single" w:color="000000"/>
              </w:rPr>
              <w:t> </w:t>
            </w:r>
            <w:r>
              <w:rPr>
                <w:rFonts w:ascii="Arial"/>
                <w:sz w:val="20"/>
                <w:u w:val="single" w:color="000000"/>
              </w:rPr>
              <w:t>140,880,519</w:t>
            </w:r>
            <w:r>
              <w:rPr>
                <w:rFonts w:ascii="Arial"/>
                <w:sz w:val="20"/>
              </w:rPr>
              <w:t>)</w:t>
            </w:r>
          </w:p>
        </w:tc>
      </w:tr>
      <w:tr>
        <w:trPr>
          <w:trHeight w:val="568"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35" w:right="0"/>
              <w:jc w:val="left"/>
              <w:rPr>
                <w:rFonts w:ascii="黑体" w:hAnsi="黑体" w:cs="黑体" w:eastAsia="黑体" w:hint="default"/>
                <w:sz w:val="20"/>
                <w:szCs w:val="20"/>
              </w:rPr>
            </w:pPr>
            <w:r>
              <w:rPr>
                <w:rFonts w:ascii="黑体" w:hAnsi="黑体" w:cs="黑体" w:eastAsia="黑体" w:hint="default"/>
                <w:sz w:val="20"/>
                <w:szCs w:val="20"/>
              </w:rPr>
              <w:t>投资活动现金流出小计</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69"/>
              <w:ind w:right="205"/>
              <w:jc w:val="right"/>
              <w:rPr>
                <w:rFonts w:ascii="Arial" w:hAnsi="Arial" w:cs="Arial" w:eastAsia="Arial" w:hint="default"/>
                <w:sz w:val="20"/>
                <w:szCs w:val="20"/>
              </w:rPr>
            </w:pPr>
            <w:r>
              <w:rPr>
                <w:rFonts w:ascii="Arial"/>
                <w:sz w:val="20"/>
              </w:rPr>
              <w:t>(  </w:t>
            </w:r>
            <w:r>
              <w:rPr>
                <w:rFonts w:ascii="Arial"/>
                <w:spacing w:val="26"/>
                <w:sz w:val="20"/>
              </w:rPr>
              <w:t> </w:t>
            </w:r>
            <w:r>
              <w:rPr>
                <w:rFonts w:ascii="Arial"/>
                <w:spacing w:val="26"/>
                <w:sz w:val="20"/>
                <w:u w:val="single" w:color="000000"/>
              </w:rPr>
              <w:t> </w:t>
            </w:r>
            <w:r>
              <w:rPr>
                <w:rFonts w:ascii="Arial"/>
                <w:sz w:val="20"/>
                <w:u w:val="single" w:color="000000"/>
              </w:rPr>
              <w:t>405,696,999</w:t>
            </w:r>
            <w:r>
              <w:rPr>
                <w:rFonts w:ascii="Arial"/>
                <w:sz w:val="20"/>
              </w:rPr>
              <w:t>)</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69"/>
              <w:ind w:right="33"/>
              <w:jc w:val="right"/>
              <w:rPr>
                <w:rFonts w:ascii="Arial" w:hAnsi="Arial" w:cs="Arial" w:eastAsia="Arial" w:hint="default"/>
                <w:sz w:val="20"/>
                <w:szCs w:val="20"/>
              </w:rPr>
            </w:pPr>
            <w:r>
              <w:rPr>
                <w:rFonts w:ascii="Arial"/>
                <w:sz w:val="20"/>
              </w:rPr>
              <w:t>(  </w:t>
            </w:r>
            <w:r>
              <w:rPr>
                <w:rFonts w:ascii="Arial"/>
                <w:spacing w:val="40"/>
                <w:sz w:val="20"/>
              </w:rPr>
              <w:t> </w:t>
            </w:r>
            <w:r>
              <w:rPr>
                <w:rFonts w:ascii="Arial"/>
                <w:spacing w:val="40"/>
                <w:sz w:val="20"/>
                <w:u w:val="single" w:color="000000"/>
              </w:rPr>
              <w:t> </w:t>
            </w:r>
            <w:r>
              <w:rPr>
                <w:rFonts w:ascii="Arial"/>
                <w:sz w:val="20"/>
                <w:u w:val="single" w:color="000000"/>
              </w:rPr>
              <w:t>415,238,326</w:t>
            </w:r>
            <w:r>
              <w:rPr>
                <w:rFonts w:ascii="Arial"/>
                <w:sz w:val="20"/>
              </w:rPr>
              <w:t>)</w:t>
            </w:r>
          </w:p>
        </w:tc>
      </w:tr>
      <w:tr>
        <w:trPr>
          <w:trHeight w:val="495" w:hRule="exact"/>
        </w:trPr>
        <w:tc>
          <w:tcPr>
            <w:tcW w:w="3799"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35" w:right="0"/>
              <w:jc w:val="left"/>
              <w:rPr>
                <w:rFonts w:ascii="黑体" w:hAnsi="黑体" w:cs="黑体" w:eastAsia="黑体" w:hint="default"/>
                <w:sz w:val="20"/>
                <w:szCs w:val="20"/>
              </w:rPr>
            </w:pPr>
            <w:r>
              <w:rPr>
                <w:rFonts w:ascii="黑体" w:hAnsi="黑体" w:cs="黑体" w:eastAsia="黑体" w:hint="default"/>
                <w:sz w:val="20"/>
                <w:szCs w:val="20"/>
              </w:rPr>
              <w:t>投资活动产生的现金流量净额</w:t>
            </w:r>
          </w:p>
        </w:tc>
        <w:tc>
          <w:tcPr>
            <w:tcW w:w="1362"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tabs>
                <w:tab w:pos="786" w:val="left" w:leader="none"/>
              </w:tabs>
              <w:spacing w:line="240" w:lineRule="auto" w:before="169"/>
              <w:ind w:left="388"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8,344,495</w:t>
            </w:r>
            <w:r>
              <w:rPr>
                <w:rFonts w:ascii="Arial"/>
                <w:sz w:val="20"/>
              </w:rPr>
            </w:r>
          </w:p>
        </w:tc>
        <w:tc>
          <w:tcPr>
            <w:tcW w:w="1699" w:type="dxa"/>
            <w:tcBorders>
              <w:top w:val="nil" w:sz="6" w:space="0" w:color="auto"/>
              <w:left w:val="nil" w:sz="6" w:space="0" w:color="auto"/>
              <w:bottom w:val="nil" w:sz="6" w:space="0" w:color="auto"/>
              <w:right w:val="nil" w:sz="6" w:space="0" w:color="auto"/>
            </w:tcBorders>
          </w:tcPr>
          <w:p>
            <w:pPr>
              <w:pStyle w:val="TableParagraph"/>
              <w:tabs>
                <w:tab w:pos="465" w:val="left" w:leader="none"/>
              </w:tabs>
              <w:spacing w:line="240" w:lineRule="auto" w:before="169"/>
              <w:ind w:right="33"/>
              <w:jc w:val="right"/>
              <w:rPr>
                <w:rFonts w:ascii="Arial" w:hAnsi="Arial" w:cs="Arial" w:eastAsia="Arial" w:hint="default"/>
                <w:sz w:val="20"/>
                <w:szCs w:val="20"/>
              </w:rPr>
            </w:pPr>
            <w:r>
              <w:rPr>
                <w:rFonts w:ascii="Arial"/>
                <w:sz w:val="20"/>
              </w:rPr>
              <w:t>(</w:t>
            </w:r>
            <w:r>
              <w:rPr>
                <w:rFonts w:ascii="Arial"/>
                <w:sz w:val="20"/>
                <w:u w:val="single" w:color="000000"/>
              </w:rPr>
              <w:t> </w:t>
              <w:tab/>
              <w:t>5,002,662</w:t>
            </w:r>
            <w:r>
              <w:rPr>
                <w:rFonts w:ascii="Arial"/>
                <w:sz w:val="20"/>
              </w:rPr>
              <w:t>)</w:t>
            </w:r>
          </w:p>
        </w:tc>
      </w:tr>
    </w:tbl>
    <w:p>
      <w:pPr>
        <w:spacing w:after="0" w:line="240" w:lineRule="auto"/>
        <w:jc w:val="right"/>
        <w:rPr>
          <w:rFonts w:ascii="Arial" w:hAnsi="Arial" w:cs="Arial" w:eastAsia="Arial" w:hint="default"/>
          <w:sz w:val="20"/>
          <w:szCs w:val="20"/>
        </w:rPr>
        <w:sectPr>
          <w:headerReference w:type="default" r:id="rId34"/>
          <w:footerReference w:type="default" r:id="rId35"/>
          <w:pgSz w:w="11910" w:h="16840"/>
          <w:pgMar w:header="958" w:footer="463" w:top="2520" w:bottom="660" w:left="1540" w:right="1320"/>
          <w:pgNumType w:start="7"/>
        </w:sectPr>
      </w:pPr>
    </w:p>
    <w:p>
      <w:pPr>
        <w:spacing w:line="240" w:lineRule="auto" w:before="2"/>
        <w:rPr>
          <w:rFonts w:ascii="Times New Roman" w:hAnsi="Times New Roman" w:cs="Times New Roman" w:eastAsia="Times New Roman" w:hint="default"/>
          <w:sz w:val="28"/>
          <w:szCs w:val="28"/>
        </w:rPr>
      </w:pPr>
    </w:p>
    <w:tbl>
      <w:tblPr>
        <w:tblW w:w="0" w:type="auto"/>
        <w:jc w:val="left"/>
        <w:tblInd w:w="112" w:type="dxa"/>
        <w:tblLayout w:type="fixed"/>
        <w:tblCellMar>
          <w:top w:w="0" w:type="dxa"/>
          <w:left w:w="0" w:type="dxa"/>
          <w:bottom w:w="0" w:type="dxa"/>
          <w:right w:w="0" w:type="dxa"/>
        </w:tblCellMar>
        <w:tblLook w:val="01E0"/>
      </w:tblPr>
      <w:tblGrid>
        <w:gridCol w:w="4172"/>
        <w:gridCol w:w="965"/>
        <w:gridCol w:w="1920"/>
        <w:gridCol w:w="1728"/>
      </w:tblGrid>
      <w:tr>
        <w:trPr>
          <w:trHeight w:val="1633" w:hRule="exact"/>
        </w:trPr>
        <w:tc>
          <w:tcPr>
            <w:tcW w:w="417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9"/>
                <w:szCs w:val="29"/>
              </w:rPr>
            </w:pPr>
          </w:p>
          <w:p>
            <w:pPr>
              <w:pStyle w:val="TableParagraph"/>
              <w:spacing w:line="550" w:lineRule="atLeast"/>
              <w:ind w:left="35" w:right="1478"/>
              <w:jc w:val="left"/>
              <w:rPr>
                <w:rFonts w:ascii="黑体" w:hAnsi="黑体" w:cs="黑体" w:eastAsia="黑体" w:hint="default"/>
                <w:sz w:val="20"/>
                <w:szCs w:val="20"/>
              </w:rPr>
            </w:pPr>
            <w:r>
              <w:rPr>
                <w:rFonts w:ascii="黑体" w:hAnsi="黑体" w:cs="黑体" w:eastAsia="黑体" w:hint="default"/>
                <w:spacing w:val="-1"/>
                <w:sz w:val="20"/>
                <w:szCs w:val="20"/>
              </w:rPr>
              <w:t>三、筹资活动产生的现金流量</w:t>
            </w:r>
            <w:r>
              <w:rPr>
                <w:rFonts w:ascii="Arial" w:hAnsi="Arial" w:cs="Arial" w:eastAsia="Arial" w:hint="default"/>
                <w:spacing w:val="-1"/>
                <w:sz w:val="20"/>
                <w:szCs w:val="20"/>
              </w:rPr>
              <w:t>:</w:t>
            </w:r>
            <w:r>
              <w:rPr>
                <w:rFonts w:ascii="Arial" w:hAnsi="Arial" w:cs="Arial" w:eastAsia="Arial" w:hint="default"/>
                <w:spacing w:val="-45"/>
                <w:sz w:val="20"/>
                <w:szCs w:val="20"/>
              </w:rPr>
              <w:t> </w:t>
            </w:r>
            <w:r>
              <w:rPr>
                <w:rFonts w:ascii="黑体" w:hAnsi="黑体" w:cs="黑体" w:eastAsia="黑体" w:hint="default"/>
                <w:sz w:val="20"/>
                <w:szCs w:val="20"/>
              </w:rPr>
              <w:t>吸收投资所收到的现金</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center"/>
              <w:rPr>
                <w:rFonts w:ascii="黑体" w:hAnsi="黑体" w:cs="黑体" w:eastAsia="黑体" w:hint="default"/>
                <w:sz w:val="20"/>
                <w:szCs w:val="20"/>
              </w:rPr>
            </w:pPr>
            <w:r>
              <w:rPr>
                <w:rFonts w:ascii="黑体" w:hAnsi="黑体" w:cs="黑体" w:eastAsia="黑体" w:hint="default"/>
                <w:b/>
                <w:bCs/>
                <w:sz w:val="20"/>
                <w:szCs w:val="20"/>
              </w:rPr>
              <w:t>附注五</w:t>
            </w:r>
            <w:r>
              <w:rPr>
                <w:rFonts w:ascii="黑体" w:hAnsi="黑体" w:cs="黑体" w:eastAsia="黑体" w:hint="default"/>
                <w:sz w:val="20"/>
                <w:szCs w:val="20"/>
              </w:rPr>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939" w:right="0"/>
              <w:jc w:val="left"/>
              <w:rPr>
                <w:rFonts w:ascii="黑体" w:hAnsi="黑体" w:cs="黑体" w:eastAsia="黑体" w:hint="default"/>
                <w:sz w:val="20"/>
                <w:szCs w:val="20"/>
              </w:rPr>
            </w:pPr>
            <w:r>
              <w:rPr>
                <w:rFonts w:ascii="Arial" w:hAnsi="Arial" w:cs="Arial" w:eastAsia="Arial" w:hint="default"/>
                <w:b/>
                <w:bCs/>
                <w:sz w:val="20"/>
                <w:szCs w:val="20"/>
              </w:rPr>
              <w:t>2009</w:t>
            </w:r>
            <w:r>
              <w:rPr>
                <w:rFonts w:ascii="黑体" w:hAnsi="黑体" w:cs="黑体" w:eastAsia="黑体" w:hint="default"/>
                <w:b/>
                <w:bCs/>
                <w:sz w:val="20"/>
                <w:szCs w:val="20"/>
              </w:rPr>
              <w:t>年</w:t>
            </w:r>
            <w:r>
              <w:rPr>
                <w:rFonts w:ascii="黑体" w:hAnsi="黑体" w:cs="黑体" w:eastAsia="黑体" w:hint="default"/>
                <w:sz w:val="20"/>
                <w:szCs w:val="20"/>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left="294"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3"/>
                <w:sz w:val="20"/>
                <w:u w:val="single" w:color="000000"/>
              </w:rPr>
              <w:t> </w:t>
            </w:r>
            <w:r>
              <w:rPr>
                <w:rFonts w:ascii="Arial"/>
                <w:sz w:val="20"/>
                <w:u w:val="single" w:color="000000"/>
              </w:rPr>
              <w:t>280,712,827</w:t>
            </w:r>
            <w:r>
              <w:rPr>
                <w:rFonts w:ascii="Arial"/>
                <w:sz w:val="20"/>
              </w:rPr>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923" w:right="0"/>
              <w:jc w:val="left"/>
              <w:rPr>
                <w:rFonts w:ascii="黑体" w:hAnsi="黑体" w:cs="黑体" w:eastAsia="黑体" w:hint="default"/>
                <w:sz w:val="20"/>
                <w:szCs w:val="20"/>
              </w:rPr>
            </w:pPr>
            <w:r>
              <w:rPr>
                <w:rFonts w:ascii="Arial" w:hAnsi="Arial" w:cs="Arial" w:eastAsia="Arial" w:hint="default"/>
                <w:b/>
                <w:bCs/>
                <w:sz w:val="20"/>
                <w:szCs w:val="20"/>
              </w:rPr>
              <w:t>2008</w:t>
            </w:r>
            <w:r>
              <w:rPr>
                <w:rFonts w:ascii="黑体" w:hAnsi="黑体" w:cs="黑体" w:eastAsia="黑体" w:hint="default"/>
                <w:b/>
                <w:bCs/>
                <w:sz w:val="20"/>
                <w:szCs w:val="20"/>
              </w:rPr>
              <w:t>年</w:t>
            </w:r>
            <w:r>
              <w:rPr>
                <w:rFonts w:ascii="黑体" w:hAnsi="黑体" w:cs="黑体" w:eastAsia="黑体" w:hint="default"/>
                <w:sz w:val="20"/>
                <w:szCs w:val="20"/>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tabs>
                <w:tab w:pos="568" w:val="left" w:leader="none"/>
              </w:tabs>
              <w:spacing w:line="240" w:lineRule="auto"/>
              <w:ind w:left="269"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55,693,081</w:t>
            </w:r>
            <w:r>
              <w:rPr>
                <w:rFonts w:ascii="Arial"/>
                <w:sz w:val="20"/>
              </w:rPr>
            </w:r>
          </w:p>
        </w:tc>
      </w:tr>
      <w:tr>
        <w:trPr>
          <w:trHeight w:val="568" w:hRule="exact"/>
        </w:trPr>
        <w:tc>
          <w:tcPr>
            <w:tcW w:w="4172"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35" w:right="0"/>
              <w:jc w:val="left"/>
              <w:rPr>
                <w:rFonts w:ascii="黑体" w:hAnsi="黑体" w:cs="黑体" w:eastAsia="黑体" w:hint="default"/>
                <w:sz w:val="20"/>
                <w:szCs w:val="20"/>
              </w:rPr>
            </w:pPr>
            <w:r>
              <w:rPr>
                <w:rFonts w:ascii="黑体" w:hAnsi="黑体" w:cs="黑体" w:eastAsia="黑体" w:hint="default"/>
                <w:sz w:val="20"/>
                <w:szCs w:val="20"/>
              </w:rPr>
              <w:t>筹资活动现金流入小计</w:t>
            </w:r>
          </w:p>
        </w:tc>
        <w:tc>
          <w:tcPr>
            <w:tcW w:w="965"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70"/>
              <w:ind w:left="294"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3"/>
                <w:sz w:val="20"/>
                <w:u w:val="single" w:color="000000"/>
              </w:rPr>
              <w:t> </w:t>
            </w:r>
            <w:r>
              <w:rPr>
                <w:rFonts w:ascii="Arial"/>
                <w:sz w:val="20"/>
                <w:u w:val="single" w:color="000000"/>
              </w:rPr>
              <w:t>280,712,827</w:t>
            </w:r>
            <w:r>
              <w:rPr>
                <w:rFonts w:ascii="Arial"/>
                <w:sz w:val="20"/>
              </w:rPr>
            </w:r>
          </w:p>
        </w:tc>
        <w:tc>
          <w:tcPr>
            <w:tcW w:w="1728" w:type="dxa"/>
            <w:tcBorders>
              <w:top w:val="nil" w:sz="6" w:space="0" w:color="auto"/>
              <w:left w:val="nil" w:sz="6" w:space="0" w:color="auto"/>
              <w:bottom w:val="nil" w:sz="6" w:space="0" w:color="auto"/>
              <w:right w:val="nil" w:sz="6" w:space="0" w:color="auto"/>
            </w:tcBorders>
          </w:tcPr>
          <w:p>
            <w:pPr>
              <w:pStyle w:val="TableParagraph"/>
              <w:tabs>
                <w:tab w:pos="568" w:val="left" w:leader="none"/>
              </w:tabs>
              <w:spacing w:line="240" w:lineRule="auto" w:before="170"/>
              <w:ind w:left="269"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55,693,081</w:t>
            </w:r>
            <w:r>
              <w:rPr>
                <w:rFonts w:ascii="Arial"/>
                <w:sz w:val="20"/>
              </w:rPr>
            </w:r>
          </w:p>
        </w:tc>
      </w:tr>
      <w:tr>
        <w:trPr>
          <w:trHeight w:val="426" w:hRule="exact"/>
        </w:trPr>
        <w:tc>
          <w:tcPr>
            <w:tcW w:w="4172"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35" w:right="0"/>
              <w:jc w:val="left"/>
              <w:rPr>
                <w:rFonts w:ascii="黑体" w:hAnsi="黑体" w:cs="黑体" w:eastAsia="黑体" w:hint="default"/>
                <w:sz w:val="20"/>
                <w:szCs w:val="20"/>
              </w:rPr>
            </w:pPr>
            <w:r>
              <w:rPr>
                <w:rFonts w:ascii="黑体" w:hAnsi="黑体" w:cs="黑体" w:eastAsia="黑体" w:hint="default"/>
                <w:sz w:val="20"/>
                <w:szCs w:val="20"/>
              </w:rPr>
              <w:t>分配股利、利润和偿付利息所支付的现金</w:t>
            </w:r>
          </w:p>
        </w:tc>
        <w:tc>
          <w:tcPr>
            <w:tcW w:w="965"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69"/>
              <w:ind w:right="209"/>
              <w:jc w:val="right"/>
              <w:rPr>
                <w:rFonts w:ascii="Arial" w:hAnsi="Arial" w:cs="Arial" w:eastAsia="Arial" w:hint="default"/>
                <w:sz w:val="20"/>
                <w:szCs w:val="20"/>
              </w:rPr>
            </w:pPr>
            <w:r>
              <w:rPr>
                <w:rFonts w:ascii="Arial"/>
                <w:sz w:val="20"/>
              </w:rPr>
              <w:t>(   150,152,245</w:t>
            </w:r>
            <w:r>
              <w:rPr>
                <w:rFonts w:ascii="Arial"/>
                <w:spacing w:val="-10"/>
                <w:sz w:val="20"/>
              </w:rPr>
              <w:t> </w:t>
            </w:r>
            <w:r>
              <w:rPr>
                <w:rFonts w:ascii="Arial"/>
                <w:sz w:val="20"/>
              </w:rPr>
              <w:t>)</w:t>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69"/>
              <w:ind w:left="211" w:right="0"/>
              <w:jc w:val="left"/>
              <w:rPr>
                <w:rFonts w:ascii="Arial" w:hAnsi="Arial" w:cs="Arial" w:eastAsia="Arial" w:hint="default"/>
                <w:sz w:val="20"/>
                <w:szCs w:val="20"/>
              </w:rPr>
            </w:pPr>
            <w:r>
              <w:rPr>
                <w:rFonts w:ascii="Arial"/>
                <w:sz w:val="20"/>
              </w:rPr>
              <w:t>(   236,539,634</w:t>
            </w:r>
            <w:r>
              <w:rPr>
                <w:rFonts w:ascii="Arial"/>
                <w:spacing w:val="3"/>
                <w:sz w:val="20"/>
              </w:rPr>
              <w:t> </w:t>
            </w:r>
            <w:r>
              <w:rPr>
                <w:rFonts w:ascii="Arial"/>
                <w:sz w:val="20"/>
              </w:rPr>
              <w:t>)</w:t>
            </w:r>
          </w:p>
        </w:tc>
      </w:tr>
      <w:tr>
        <w:trPr>
          <w:trHeight w:val="284" w:hRule="exact"/>
        </w:trPr>
        <w:tc>
          <w:tcPr>
            <w:tcW w:w="4172" w:type="dxa"/>
            <w:tcBorders>
              <w:top w:val="nil" w:sz="6" w:space="0" w:color="auto"/>
              <w:left w:val="nil" w:sz="6" w:space="0" w:color="auto"/>
              <w:bottom w:val="nil" w:sz="6" w:space="0" w:color="auto"/>
              <w:right w:val="nil" w:sz="6" w:space="0" w:color="auto"/>
            </w:tcBorders>
          </w:tcPr>
          <w:p>
            <w:pPr>
              <w:pStyle w:val="TableParagraph"/>
              <w:spacing w:line="231" w:lineRule="exact"/>
              <w:ind w:left="245" w:right="0"/>
              <w:jc w:val="left"/>
              <w:rPr>
                <w:rFonts w:ascii="黑体" w:hAnsi="黑体" w:cs="黑体" w:eastAsia="黑体" w:hint="default"/>
                <w:sz w:val="20"/>
                <w:szCs w:val="20"/>
              </w:rPr>
            </w:pPr>
            <w:r>
              <w:rPr>
                <w:rFonts w:ascii="黑体" w:hAnsi="黑体" w:cs="黑体" w:eastAsia="黑体" w:hint="default"/>
                <w:sz w:val="20"/>
                <w:szCs w:val="20"/>
              </w:rPr>
              <w:t>其中：子公司支付给少数股东的股利、利润</w:t>
            </w:r>
          </w:p>
        </w:tc>
        <w:tc>
          <w:tcPr>
            <w:tcW w:w="965"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nil" w:sz="6" w:space="0" w:color="auto"/>
              <w:right w:val="nil" w:sz="6" w:space="0" w:color="auto"/>
            </w:tcBorders>
          </w:tcPr>
          <w:p>
            <w:pPr>
              <w:pStyle w:val="TableParagraph"/>
              <w:tabs>
                <w:tab w:pos="347" w:val="left" w:leader="none"/>
              </w:tabs>
              <w:spacing w:line="240" w:lineRule="auto" w:before="27"/>
              <w:ind w:right="208"/>
              <w:jc w:val="right"/>
              <w:rPr>
                <w:rFonts w:ascii="Arial" w:hAnsi="Arial" w:cs="Arial" w:eastAsia="Arial" w:hint="default"/>
                <w:sz w:val="20"/>
                <w:szCs w:val="20"/>
              </w:rPr>
            </w:pPr>
            <w:r>
              <w:rPr>
                <w:rFonts w:ascii="Arial"/>
                <w:sz w:val="20"/>
              </w:rPr>
              <w:t>(</w:t>
              <w:tab/>
              <w:t>10,153,352</w:t>
            </w:r>
            <w:r>
              <w:rPr>
                <w:rFonts w:ascii="Arial"/>
                <w:spacing w:val="-3"/>
                <w:sz w:val="20"/>
              </w:rPr>
              <w:t> </w:t>
            </w:r>
            <w:r>
              <w:rPr>
                <w:rFonts w:ascii="Arial"/>
                <w:sz w:val="20"/>
              </w:rPr>
              <w:t>)</w:t>
            </w:r>
          </w:p>
        </w:tc>
        <w:tc>
          <w:tcPr>
            <w:tcW w:w="1728" w:type="dxa"/>
            <w:tcBorders>
              <w:top w:val="nil" w:sz="6" w:space="0" w:color="auto"/>
              <w:left w:val="nil" w:sz="6" w:space="0" w:color="auto"/>
              <w:bottom w:val="nil" w:sz="6" w:space="0" w:color="auto"/>
              <w:right w:val="nil" w:sz="6" w:space="0" w:color="auto"/>
            </w:tcBorders>
          </w:tcPr>
          <w:p>
            <w:pPr>
              <w:pStyle w:val="TableParagraph"/>
              <w:tabs>
                <w:tab w:pos="678" w:val="left" w:leader="none"/>
              </w:tabs>
              <w:spacing w:line="240" w:lineRule="auto" w:before="27"/>
              <w:ind w:left="213" w:right="0"/>
              <w:jc w:val="left"/>
              <w:rPr>
                <w:rFonts w:ascii="Arial" w:hAnsi="Arial" w:cs="Arial" w:eastAsia="Arial" w:hint="default"/>
                <w:sz w:val="20"/>
                <w:szCs w:val="20"/>
              </w:rPr>
            </w:pPr>
            <w:r>
              <w:rPr>
                <w:rFonts w:ascii="Arial"/>
                <w:sz w:val="20"/>
              </w:rPr>
              <w:t>(</w:t>
              <w:tab/>
              <w:t>5,178,434 )</w:t>
            </w:r>
          </w:p>
        </w:tc>
      </w:tr>
      <w:tr>
        <w:trPr>
          <w:trHeight w:val="426" w:hRule="exact"/>
        </w:trPr>
        <w:tc>
          <w:tcPr>
            <w:tcW w:w="4172"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黑体" w:hAnsi="黑体" w:cs="黑体" w:eastAsia="黑体" w:hint="default"/>
                <w:sz w:val="20"/>
                <w:szCs w:val="20"/>
              </w:rPr>
            </w:pPr>
            <w:r>
              <w:rPr>
                <w:rFonts w:ascii="黑体" w:hAnsi="黑体" w:cs="黑体" w:eastAsia="黑体" w:hint="default"/>
                <w:sz w:val="20"/>
                <w:szCs w:val="20"/>
              </w:rPr>
              <w:t>支付的其他与筹资活动有关的现金</w:t>
            </w:r>
          </w:p>
        </w:tc>
        <w:tc>
          <w:tcPr>
            <w:tcW w:w="965"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nil" w:sz="6" w:space="0" w:color="auto"/>
              <w:right w:val="nil" w:sz="6" w:space="0" w:color="auto"/>
            </w:tcBorders>
          </w:tcPr>
          <w:p>
            <w:pPr>
              <w:pStyle w:val="TableParagraph"/>
              <w:tabs>
                <w:tab w:pos="626" w:val="left" w:leader="none"/>
              </w:tabs>
              <w:spacing w:line="240" w:lineRule="auto" w:before="27"/>
              <w:ind w:right="208"/>
              <w:jc w:val="right"/>
              <w:rPr>
                <w:rFonts w:ascii="Arial" w:hAnsi="Arial" w:cs="Arial" w:eastAsia="Arial" w:hint="default"/>
                <w:sz w:val="20"/>
                <w:szCs w:val="20"/>
              </w:rPr>
            </w:pPr>
            <w:r>
              <w:rPr>
                <w:rFonts w:ascii="Arial"/>
                <w:sz w:val="20"/>
              </w:rPr>
              <w:t>(</w:t>
            </w:r>
            <w:r>
              <w:rPr>
                <w:rFonts w:ascii="Arial"/>
                <w:sz w:val="20"/>
                <w:u w:val="single" w:color="000000"/>
              </w:rPr>
              <w:t> </w:t>
              <w:tab/>
              <w:t>219,490</w:t>
            </w:r>
            <w:r>
              <w:rPr>
                <w:rFonts w:ascii="Arial"/>
                <w:spacing w:val="-4"/>
                <w:sz w:val="20"/>
                <w:u w:val="single" w:color="000000"/>
              </w:rPr>
              <w:t> </w:t>
            </w:r>
            <w:r>
              <w:rPr>
                <w:rFonts w:ascii="Arial"/>
                <w:spacing w:val="-4"/>
                <w:sz w:val="20"/>
              </w:rPr>
            </w:r>
            <w:r>
              <w:rPr>
                <w:rFonts w:ascii="Arial"/>
                <w:sz w:val="20"/>
              </w:rPr>
              <w:t>)</w:t>
            </w:r>
          </w:p>
        </w:tc>
        <w:tc>
          <w:tcPr>
            <w:tcW w:w="1728" w:type="dxa"/>
            <w:tcBorders>
              <w:top w:val="nil" w:sz="6" w:space="0" w:color="auto"/>
              <w:left w:val="nil" w:sz="6" w:space="0" w:color="auto"/>
              <w:bottom w:val="nil" w:sz="6" w:space="0" w:color="auto"/>
              <w:right w:val="nil" w:sz="6" w:space="0" w:color="auto"/>
            </w:tcBorders>
          </w:tcPr>
          <w:p>
            <w:pPr>
              <w:pStyle w:val="TableParagraph"/>
              <w:tabs>
                <w:tab w:pos="846" w:val="left" w:leader="none"/>
              </w:tabs>
              <w:spacing w:line="240" w:lineRule="auto" w:before="27"/>
              <w:ind w:left="209" w:right="0"/>
              <w:jc w:val="left"/>
              <w:rPr>
                <w:rFonts w:ascii="Arial" w:hAnsi="Arial" w:cs="Arial" w:eastAsia="Arial" w:hint="default"/>
                <w:sz w:val="20"/>
                <w:szCs w:val="20"/>
              </w:rPr>
            </w:pPr>
            <w:r>
              <w:rPr>
                <w:rFonts w:ascii="Arial"/>
                <w:sz w:val="20"/>
              </w:rPr>
              <w:t>(</w:t>
            </w:r>
            <w:r>
              <w:rPr>
                <w:rFonts w:ascii="Arial"/>
                <w:sz w:val="20"/>
                <w:u w:val="single" w:color="000000"/>
              </w:rPr>
              <w:t> </w:t>
              <w:tab/>
              <w:t>708,801 </w:t>
            </w:r>
            <w:r>
              <w:rPr>
                <w:rFonts w:ascii="Arial"/>
                <w:sz w:val="20"/>
              </w:rPr>
              <w:t>)</w:t>
            </w:r>
          </w:p>
        </w:tc>
      </w:tr>
      <w:tr>
        <w:trPr>
          <w:trHeight w:val="568" w:hRule="exact"/>
        </w:trPr>
        <w:tc>
          <w:tcPr>
            <w:tcW w:w="4172"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35" w:right="0"/>
              <w:jc w:val="left"/>
              <w:rPr>
                <w:rFonts w:ascii="黑体" w:hAnsi="黑体" w:cs="黑体" w:eastAsia="黑体" w:hint="default"/>
                <w:sz w:val="20"/>
                <w:szCs w:val="20"/>
              </w:rPr>
            </w:pPr>
            <w:r>
              <w:rPr>
                <w:rFonts w:ascii="黑体" w:hAnsi="黑体" w:cs="黑体" w:eastAsia="黑体" w:hint="default"/>
                <w:sz w:val="20"/>
                <w:szCs w:val="20"/>
              </w:rPr>
              <w:t>筹资活动现金流出小计</w:t>
            </w:r>
          </w:p>
        </w:tc>
        <w:tc>
          <w:tcPr>
            <w:tcW w:w="965"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70"/>
              <w:ind w:right="208"/>
              <w:jc w:val="right"/>
              <w:rPr>
                <w:rFonts w:ascii="Arial" w:hAnsi="Arial" w:cs="Arial" w:eastAsia="Arial" w:hint="default"/>
                <w:sz w:val="20"/>
                <w:szCs w:val="20"/>
              </w:rPr>
            </w:pPr>
            <w:r>
              <w:rPr>
                <w:rFonts w:ascii="Arial"/>
                <w:sz w:val="20"/>
              </w:rPr>
              <w:t>(   </w:t>
            </w:r>
            <w:r>
              <w:rPr>
                <w:rFonts w:ascii="Arial"/>
                <w:sz w:val="20"/>
                <w:u w:val="single" w:color="000000"/>
              </w:rPr>
              <w:t> 150,371,735</w:t>
            </w:r>
            <w:r>
              <w:rPr>
                <w:rFonts w:ascii="Arial"/>
                <w:spacing w:val="-8"/>
                <w:sz w:val="20"/>
                <w:u w:val="single" w:color="000000"/>
              </w:rPr>
              <w:t> </w:t>
            </w:r>
            <w:r>
              <w:rPr>
                <w:rFonts w:ascii="Arial"/>
                <w:spacing w:val="-8"/>
                <w:sz w:val="20"/>
              </w:rPr>
            </w:r>
            <w:r>
              <w:rPr>
                <w:rFonts w:ascii="Arial"/>
                <w:sz w:val="20"/>
              </w:rPr>
              <w:t>)</w:t>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70"/>
              <w:ind w:left="211" w:right="0"/>
              <w:jc w:val="left"/>
              <w:rPr>
                <w:rFonts w:ascii="Arial" w:hAnsi="Arial" w:cs="Arial" w:eastAsia="Arial" w:hint="default"/>
                <w:sz w:val="20"/>
                <w:szCs w:val="20"/>
              </w:rPr>
            </w:pPr>
            <w:r>
              <w:rPr>
                <w:rFonts w:ascii="Arial"/>
                <w:sz w:val="20"/>
              </w:rPr>
              <w:t>(   </w:t>
            </w:r>
            <w:r>
              <w:rPr>
                <w:rFonts w:ascii="Arial"/>
                <w:sz w:val="20"/>
                <w:u w:val="single" w:color="000000"/>
              </w:rPr>
              <w:t> 237,248,435</w:t>
            </w:r>
            <w:r>
              <w:rPr>
                <w:rFonts w:ascii="Arial"/>
                <w:spacing w:val="4"/>
                <w:sz w:val="20"/>
                <w:u w:val="single" w:color="000000"/>
              </w:rPr>
              <w:t> </w:t>
            </w:r>
            <w:r>
              <w:rPr>
                <w:rFonts w:ascii="Arial"/>
                <w:spacing w:val="4"/>
                <w:sz w:val="20"/>
              </w:rPr>
            </w:r>
            <w:r>
              <w:rPr>
                <w:rFonts w:ascii="Arial"/>
                <w:sz w:val="20"/>
              </w:rPr>
              <w:t>)</w:t>
            </w:r>
          </w:p>
        </w:tc>
      </w:tr>
      <w:tr>
        <w:trPr>
          <w:trHeight w:val="568" w:hRule="exact"/>
        </w:trPr>
        <w:tc>
          <w:tcPr>
            <w:tcW w:w="4172"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35" w:right="0"/>
              <w:jc w:val="left"/>
              <w:rPr>
                <w:rFonts w:ascii="黑体" w:hAnsi="黑体" w:cs="黑体" w:eastAsia="黑体" w:hint="default"/>
                <w:sz w:val="20"/>
                <w:szCs w:val="20"/>
              </w:rPr>
            </w:pPr>
            <w:r>
              <w:rPr>
                <w:rFonts w:ascii="黑体" w:hAnsi="黑体" w:cs="黑体" w:eastAsia="黑体" w:hint="default"/>
                <w:sz w:val="20"/>
                <w:szCs w:val="20"/>
              </w:rPr>
              <w:t>筹资活动产生的现金流量净额</w:t>
            </w:r>
          </w:p>
        </w:tc>
        <w:tc>
          <w:tcPr>
            <w:tcW w:w="965"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69"/>
              <w:ind w:left="294"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3"/>
                <w:sz w:val="20"/>
                <w:u w:val="single" w:color="000000"/>
              </w:rPr>
              <w:t> </w:t>
            </w:r>
            <w:r>
              <w:rPr>
                <w:rFonts w:ascii="Arial"/>
                <w:sz w:val="20"/>
                <w:u w:val="single" w:color="000000"/>
              </w:rPr>
              <w:t>130,341,092</w:t>
            </w:r>
            <w:r>
              <w:rPr>
                <w:rFonts w:ascii="Arial"/>
                <w:sz w:val="20"/>
              </w:rPr>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69"/>
              <w:ind w:left="211" w:right="0"/>
              <w:jc w:val="left"/>
              <w:rPr>
                <w:rFonts w:ascii="Arial" w:hAnsi="Arial" w:cs="Arial" w:eastAsia="Arial" w:hint="default"/>
                <w:sz w:val="20"/>
                <w:szCs w:val="20"/>
              </w:rPr>
            </w:pPr>
            <w:r>
              <w:rPr>
                <w:rFonts w:ascii="Arial"/>
                <w:sz w:val="20"/>
              </w:rPr>
              <w:t>(   </w:t>
            </w:r>
            <w:r>
              <w:rPr>
                <w:rFonts w:ascii="Arial"/>
                <w:sz w:val="20"/>
                <w:u w:val="single" w:color="000000"/>
              </w:rPr>
              <w:t> 181,555,354</w:t>
            </w:r>
            <w:r>
              <w:rPr>
                <w:rFonts w:ascii="Arial"/>
                <w:spacing w:val="4"/>
                <w:sz w:val="20"/>
                <w:u w:val="single" w:color="000000"/>
              </w:rPr>
              <w:t> </w:t>
            </w:r>
            <w:r>
              <w:rPr>
                <w:rFonts w:ascii="Arial"/>
                <w:spacing w:val="4"/>
                <w:sz w:val="20"/>
              </w:rPr>
            </w:r>
            <w:r>
              <w:rPr>
                <w:rFonts w:ascii="Arial"/>
                <w:sz w:val="20"/>
              </w:rPr>
              <w:t>)</w:t>
            </w:r>
          </w:p>
        </w:tc>
      </w:tr>
      <w:tr>
        <w:trPr>
          <w:trHeight w:val="568" w:hRule="exact"/>
        </w:trPr>
        <w:tc>
          <w:tcPr>
            <w:tcW w:w="4172"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35" w:right="0"/>
              <w:jc w:val="left"/>
              <w:rPr>
                <w:rFonts w:ascii="黑体" w:hAnsi="黑体" w:cs="黑体" w:eastAsia="黑体" w:hint="default"/>
                <w:sz w:val="20"/>
                <w:szCs w:val="20"/>
              </w:rPr>
            </w:pPr>
            <w:r>
              <w:rPr>
                <w:rFonts w:ascii="黑体" w:hAnsi="黑体" w:cs="黑体" w:eastAsia="黑体" w:hint="default"/>
                <w:sz w:val="20"/>
                <w:szCs w:val="20"/>
              </w:rPr>
              <w:t>四、汇率变动对现金的影响额</w:t>
            </w:r>
          </w:p>
        </w:tc>
        <w:tc>
          <w:tcPr>
            <w:tcW w:w="965"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nil" w:sz="6" w:space="0" w:color="auto"/>
              <w:right w:val="nil" w:sz="6" w:space="0" w:color="auto"/>
            </w:tcBorders>
          </w:tcPr>
          <w:p>
            <w:pPr>
              <w:pStyle w:val="TableParagraph"/>
              <w:tabs>
                <w:tab w:pos="861" w:val="left" w:leader="none"/>
              </w:tabs>
              <w:spacing w:line="240" w:lineRule="auto" w:before="169"/>
              <w:ind w:left="292"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531,360</w:t>
            </w:r>
            <w:r>
              <w:rPr>
                <w:rFonts w:ascii="Arial"/>
                <w:sz w:val="20"/>
              </w:rPr>
            </w:r>
          </w:p>
        </w:tc>
        <w:tc>
          <w:tcPr>
            <w:tcW w:w="1728" w:type="dxa"/>
            <w:tcBorders>
              <w:top w:val="nil" w:sz="6" w:space="0" w:color="auto"/>
              <w:left w:val="nil" w:sz="6" w:space="0" w:color="auto"/>
              <w:bottom w:val="nil" w:sz="6" w:space="0" w:color="auto"/>
              <w:right w:val="nil" w:sz="6" w:space="0" w:color="auto"/>
            </w:tcBorders>
          </w:tcPr>
          <w:p>
            <w:pPr>
              <w:pStyle w:val="TableParagraph"/>
              <w:tabs>
                <w:tab w:pos="680" w:val="left" w:leader="none"/>
              </w:tabs>
              <w:spacing w:line="240" w:lineRule="auto" w:before="169"/>
              <w:ind w:left="233" w:right="0"/>
              <w:jc w:val="left"/>
              <w:rPr>
                <w:rFonts w:ascii="Arial" w:hAnsi="Arial" w:cs="Arial" w:eastAsia="Arial" w:hint="default"/>
                <w:sz w:val="20"/>
                <w:szCs w:val="20"/>
              </w:rPr>
            </w:pPr>
            <w:r>
              <w:rPr>
                <w:rFonts w:ascii="Arial"/>
                <w:sz w:val="20"/>
              </w:rPr>
              <w:t>(</w:t>
            </w:r>
            <w:r>
              <w:rPr>
                <w:rFonts w:ascii="Arial"/>
                <w:sz w:val="20"/>
                <w:u w:val="single" w:color="000000"/>
              </w:rPr>
              <w:t> </w:t>
              <w:tab/>
              <w:t>1,118,512</w:t>
            </w:r>
            <w:r>
              <w:rPr>
                <w:rFonts w:ascii="Arial"/>
                <w:spacing w:val="-9"/>
                <w:sz w:val="20"/>
                <w:u w:val="single" w:color="000000"/>
              </w:rPr>
              <w:t> </w:t>
            </w:r>
            <w:r>
              <w:rPr>
                <w:rFonts w:ascii="Arial"/>
                <w:spacing w:val="-9"/>
                <w:sz w:val="20"/>
              </w:rPr>
            </w:r>
            <w:r>
              <w:rPr>
                <w:rFonts w:ascii="Arial"/>
                <w:sz w:val="20"/>
              </w:rPr>
              <w:t>)</w:t>
            </w:r>
          </w:p>
        </w:tc>
      </w:tr>
      <w:tr>
        <w:trPr>
          <w:trHeight w:val="426" w:hRule="exact"/>
        </w:trPr>
        <w:tc>
          <w:tcPr>
            <w:tcW w:w="4172"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35" w:right="0"/>
              <w:jc w:val="left"/>
              <w:rPr>
                <w:rFonts w:ascii="黑体" w:hAnsi="黑体" w:cs="黑体" w:eastAsia="黑体" w:hint="default"/>
                <w:sz w:val="20"/>
                <w:szCs w:val="20"/>
              </w:rPr>
            </w:pPr>
            <w:r>
              <w:rPr>
                <w:rFonts w:ascii="黑体" w:hAnsi="黑体" w:cs="黑体" w:eastAsia="黑体" w:hint="default"/>
                <w:sz w:val="20"/>
                <w:szCs w:val="20"/>
              </w:rPr>
              <w:t>五、现金及现金等价物净增加额</w:t>
            </w:r>
          </w:p>
        </w:tc>
        <w:tc>
          <w:tcPr>
            <w:tcW w:w="965"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70"/>
              <w:ind w:left="473" w:right="0"/>
              <w:jc w:val="left"/>
              <w:rPr>
                <w:rFonts w:ascii="Arial" w:hAnsi="Arial" w:cs="Arial" w:eastAsia="Arial" w:hint="default"/>
                <w:sz w:val="20"/>
                <w:szCs w:val="20"/>
              </w:rPr>
            </w:pPr>
            <w:r>
              <w:rPr>
                <w:rFonts w:ascii="Arial"/>
                <w:sz w:val="20"/>
              </w:rPr>
              <w:t>539,174,666</w:t>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70"/>
              <w:ind w:left="458" w:right="0"/>
              <w:jc w:val="left"/>
              <w:rPr>
                <w:rFonts w:ascii="Arial" w:hAnsi="Arial" w:cs="Arial" w:eastAsia="Arial" w:hint="default"/>
                <w:sz w:val="20"/>
                <w:szCs w:val="20"/>
              </w:rPr>
            </w:pPr>
            <w:r>
              <w:rPr>
                <w:rFonts w:ascii="Arial"/>
                <w:sz w:val="20"/>
              </w:rPr>
              <w:t>174,531,611</w:t>
            </w:r>
          </w:p>
        </w:tc>
      </w:tr>
      <w:tr>
        <w:trPr>
          <w:trHeight w:val="426" w:hRule="exact"/>
        </w:trPr>
        <w:tc>
          <w:tcPr>
            <w:tcW w:w="4172"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黑体" w:hAnsi="黑体" w:cs="黑体" w:eastAsia="黑体" w:hint="default"/>
                <w:sz w:val="20"/>
                <w:szCs w:val="20"/>
              </w:rPr>
            </w:pPr>
            <w:r>
              <w:rPr>
                <w:rFonts w:ascii="黑体" w:hAnsi="黑体" w:cs="黑体" w:eastAsia="黑体" w:hint="default"/>
                <w:sz w:val="20"/>
                <w:szCs w:val="20"/>
              </w:rPr>
              <w:t>加：年初现金及现金等价物余额</w:t>
            </w:r>
          </w:p>
        </w:tc>
        <w:tc>
          <w:tcPr>
            <w:tcW w:w="965"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07" w:right="0"/>
              <w:jc w:val="left"/>
              <w:rPr>
                <w:rFonts w:ascii="Arial" w:hAnsi="Arial" w:cs="Arial" w:eastAsia="Arial" w:hint="default"/>
                <w:sz w:val="20"/>
                <w:szCs w:val="20"/>
              </w:rPr>
            </w:pPr>
            <w:r>
              <w:rPr>
                <w:rFonts w:ascii="Arial"/>
                <w:w w:val="100"/>
                <w:sz w:val="20"/>
              </w:rPr>
            </w:r>
            <w:r>
              <w:rPr>
                <w:rFonts w:ascii="Arial"/>
                <w:sz w:val="20"/>
                <w:u w:val="single" w:color="000000"/>
              </w:rPr>
              <w:t>1,076,308,762</w:t>
            </w:r>
            <w:r>
              <w:rPr>
                <w:rFonts w:ascii="Arial"/>
                <w:sz w:val="20"/>
              </w:rPr>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27"/>
              <w:ind w:left="278"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3"/>
                <w:sz w:val="20"/>
                <w:u w:val="single" w:color="000000"/>
              </w:rPr>
              <w:t> </w:t>
            </w:r>
            <w:r>
              <w:rPr>
                <w:rFonts w:ascii="Arial"/>
                <w:sz w:val="20"/>
                <w:u w:val="single" w:color="000000"/>
              </w:rPr>
              <w:t>901,777,151</w:t>
            </w:r>
            <w:r>
              <w:rPr>
                <w:rFonts w:ascii="Arial"/>
                <w:sz w:val="20"/>
              </w:rPr>
            </w:r>
          </w:p>
        </w:tc>
      </w:tr>
      <w:tr>
        <w:trPr>
          <w:trHeight w:val="496" w:hRule="exact"/>
        </w:trPr>
        <w:tc>
          <w:tcPr>
            <w:tcW w:w="4172"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35" w:right="0"/>
              <w:jc w:val="left"/>
              <w:rPr>
                <w:rFonts w:ascii="黑体" w:hAnsi="黑体" w:cs="黑体" w:eastAsia="黑体" w:hint="default"/>
                <w:sz w:val="20"/>
                <w:szCs w:val="20"/>
              </w:rPr>
            </w:pPr>
            <w:r>
              <w:rPr>
                <w:rFonts w:ascii="黑体" w:hAnsi="黑体" w:cs="黑体" w:eastAsia="黑体" w:hint="default"/>
                <w:sz w:val="20"/>
                <w:szCs w:val="20"/>
              </w:rPr>
              <w:t>六、年末现金及现金等价物余额</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70"/>
              <w:ind w:right="79"/>
              <w:jc w:val="center"/>
              <w:rPr>
                <w:rFonts w:ascii="Arial" w:hAnsi="Arial" w:cs="Arial" w:eastAsia="Arial" w:hint="default"/>
                <w:sz w:val="20"/>
                <w:szCs w:val="20"/>
              </w:rPr>
            </w:pPr>
            <w:r>
              <w:rPr>
                <w:rFonts w:ascii="Arial"/>
                <w:sz w:val="20"/>
              </w:rPr>
              <w:t>45</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70"/>
              <w:ind w:left="306" w:right="0"/>
              <w:jc w:val="left"/>
              <w:rPr>
                <w:rFonts w:ascii="Arial" w:hAnsi="Arial" w:cs="Arial" w:eastAsia="Arial" w:hint="default"/>
                <w:sz w:val="20"/>
                <w:szCs w:val="20"/>
              </w:rPr>
            </w:pPr>
            <w:r>
              <w:rPr>
                <w:rFonts w:ascii="Arial"/>
                <w:w w:val="100"/>
                <w:sz w:val="20"/>
              </w:rPr>
            </w:r>
            <w:r>
              <w:rPr>
                <w:rFonts w:ascii="Arial"/>
                <w:sz w:val="20"/>
                <w:u w:val="thick" w:color="000000"/>
              </w:rPr>
              <w:t>1,615,483,428</w:t>
            </w:r>
            <w:r>
              <w:rPr>
                <w:rFonts w:ascii="Arial"/>
                <w:sz w:val="20"/>
              </w:rPr>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70"/>
              <w:ind w:left="291" w:right="0"/>
              <w:jc w:val="left"/>
              <w:rPr>
                <w:rFonts w:ascii="Arial" w:hAnsi="Arial" w:cs="Arial" w:eastAsia="Arial" w:hint="default"/>
                <w:sz w:val="20"/>
                <w:szCs w:val="20"/>
              </w:rPr>
            </w:pPr>
            <w:r>
              <w:rPr>
                <w:rFonts w:ascii="Arial"/>
                <w:w w:val="100"/>
                <w:sz w:val="20"/>
              </w:rPr>
            </w:r>
            <w:r>
              <w:rPr>
                <w:rFonts w:ascii="Arial"/>
                <w:sz w:val="20"/>
                <w:u w:val="thick" w:color="000000"/>
              </w:rPr>
              <w:t>1,076,308,762</w:t>
            </w:r>
            <w:r>
              <w:rPr>
                <w:rFonts w:ascii="Arial"/>
                <w:sz w:val="20"/>
              </w:rPr>
            </w:r>
          </w:p>
        </w:tc>
      </w:tr>
    </w:tbl>
    <w:p>
      <w:pPr>
        <w:spacing w:after="0" w:line="240" w:lineRule="auto"/>
        <w:jc w:val="left"/>
        <w:rPr>
          <w:rFonts w:ascii="Arial" w:hAnsi="Arial" w:cs="Arial" w:eastAsia="Arial" w:hint="default"/>
          <w:sz w:val="20"/>
          <w:szCs w:val="20"/>
        </w:rPr>
        <w:sectPr>
          <w:headerReference w:type="default" r:id="rId36"/>
          <w:pgSz w:w="11910" w:h="16840"/>
          <w:pgMar w:header="958" w:footer="463" w:top="2520" w:bottom="660" w:left="1580" w:right="1320"/>
        </w:sectPr>
      </w:pPr>
    </w:p>
    <w:p>
      <w:pPr>
        <w:spacing w:line="240" w:lineRule="auto" w:before="4"/>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2760"/>
        <w:gridCol w:w="2063"/>
        <w:gridCol w:w="2085"/>
        <w:gridCol w:w="1757"/>
      </w:tblGrid>
      <w:tr>
        <w:trPr>
          <w:trHeight w:val="708" w:hRule="exact"/>
        </w:trPr>
        <w:tc>
          <w:tcPr>
            <w:tcW w:w="27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b/>
                <w:bCs/>
                <w:sz w:val="20"/>
                <w:szCs w:val="20"/>
              </w:rPr>
              <w:t>资产</w:t>
            </w:r>
            <w:r>
              <w:rPr>
                <w:rFonts w:ascii="黑体" w:hAnsi="黑体" w:cs="黑体" w:eastAsia="黑体" w:hint="default"/>
                <w:sz w:val="20"/>
                <w:szCs w:val="20"/>
              </w:rPr>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548" w:right="0"/>
              <w:jc w:val="center"/>
              <w:rPr>
                <w:rFonts w:ascii="黑体" w:hAnsi="黑体" w:cs="黑体" w:eastAsia="黑体" w:hint="default"/>
                <w:sz w:val="20"/>
                <w:szCs w:val="20"/>
              </w:rPr>
            </w:pPr>
            <w:r>
              <w:rPr>
                <w:rFonts w:ascii="黑体" w:hAnsi="黑体" w:cs="黑体" w:eastAsia="黑体" w:hint="default"/>
                <w:b/>
                <w:bCs/>
                <w:sz w:val="20"/>
                <w:szCs w:val="20"/>
              </w:rPr>
              <w:t>附注十三</w:t>
            </w:r>
            <w:r>
              <w:rPr>
                <w:rFonts w:ascii="黑体" w:hAnsi="黑体" w:cs="黑体" w:eastAsia="黑体" w:hint="default"/>
                <w:sz w:val="20"/>
                <w:szCs w:val="20"/>
              </w:rPr>
            </w:r>
          </w:p>
        </w:tc>
        <w:tc>
          <w:tcPr>
            <w:tcW w:w="2085" w:type="dxa"/>
            <w:tcBorders>
              <w:top w:val="nil" w:sz="6" w:space="0" w:color="auto"/>
              <w:left w:val="nil" w:sz="6" w:space="0" w:color="auto"/>
              <w:bottom w:val="nil" w:sz="6" w:space="0" w:color="auto"/>
              <w:right w:val="nil" w:sz="6" w:space="0" w:color="auto"/>
            </w:tcBorders>
          </w:tcPr>
          <w:p>
            <w:pPr>
              <w:pStyle w:val="TableParagraph"/>
              <w:spacing w:line="268" w:lineRule="exact" w:before="38"/>
              <w:ind w:left="998" w:right="0"/>
              <w:jc w:val="left"/>
              <w:rPr>
                <w:rFonts w:ascii="黑体" w:hAnsi="黑体" w:cs="黑体" w:eastAsia="黑体" w:hint="default"/>
                <w:sz w:val="20"/>
                <w:szCs w:val="20"/>
              </w:rPr>
            </w:pPr>
            <w:r>
              <w:rPr>
                <w:rFonts w:ascii="Arial" w:hAnsi="Arial" w:cs="Arial" w:eastAsia="Arial" w:hint="default"/>
                <w:b/>
                <w:bCs/>
                <w:sz w:val="20"/>
                <w:szCs w:val="20"/>
              </w:rPr>
              <w:t>2009</w:t>
            </w:r>
            <w:r>
              <w:rPr>
                <w:rFonts w:ascii="黑体" w:hAnsi="黑体" w:cs="黑体" w:eastAsia="黑体" w:hint="default"/>
                <w:b/>
                <w:bCs/>
                <w:sz w:val="20"/>
                <w:szCs w:val="20"/>
              </w:rPr>
              <w:t>年</w:t>
            </w:r>
            <w:r>
              <w:rPr>
                <w:rFonts w:ascii="黑体" w:hAnsi="黑体" w:cs="黑体" w:eastAsia="黑体" w:hint="default"/>
                <w:sz w:val="20"/>
                <w:szCs w:val="20"/>
              </w:rPr>
            </w:r>
          </w:p>
          <w:p>
            <w:pPr>
              <w:pStyle w:val="TableParagraph"/>
              <w:spacing w:line="268" w:lineRule="exact"/>
              <w:ind w:left="798" w:right="0"/>
              <w:jc w:val="left"/>
              <w:rPr>
                <w:rFonts w:ascii="黑体" w:hAnsi="黑体" w:cs="黑体" w:eastAsia="黑体" w:hint="default"/>
                <w:sz w:val="20"/>
                <w:szCs w:val="20"/>
              </w:rPr>
            </w:pPr>
            <w:r>
              <w:rPr>
                <w:rFonts w:ascii="Arial" w:hAnsi="Arial" w:cs="Arial" w:eastAsia="Arial" w:hint="default"/>
                <w:b/>
                <w:bCs/>
                <w:sz w:val="20"/>
                <w:szCs w:val="20"/>
              </w:rPr>
              <w:t>12</w:t>
            </w:r>
            <w:r>
              <w:rPr>
                <w:rFonts w:ascii="黑体" w:hAnsi="黑体" w:cs="黑体" w:eastAsia="黑体" w:hint="default"/>
                <w:b/>
                <w:bCs/>
                <w:sz w:val="20"/>
                <w:szCs w:val="20"/>
              </w:rPr>
              <w:t>月</w:t>
            </w:r>
            <w:r>
              <w:rPr>
                <w:rFonts w:ascii="Arial" w:hAnsi="Arial" w:cs="Arial" w:eastAsia="Arial" w:hint="default"/>
                <w:b/>
                <w:bCs/>
                <w:sz w:val="20"/>
                <w:szCs w:val="20"/>
              </w:rPr>
              <w:t>31</w:t>
            </w:r>
            <w:r>
              <w:rPr>
                <w:rFonts w:ascii="黑体" w:hAnsi="黑体" w:cs="黑体" w:eastAsia="黑体" w:hint="default"/>
                <w:b/>
                <w:bCs/>
                <w:sz w:val="20"/>
                <w:szCs w:val="20"/>
              </w:rPr>
              <w:t>日</w:t>
            </w:r>
            <w:r>
              <w:rPr>
                <w:rFonts w:ascii="黑体" w:hAnsi="黑体" w:cs="黑体" w:eastAsia="黑体" w:hint="default"/>
                <w:sz w:val="20"/>
                <w:szCs w:val="20"/>
              </w:rPr>
            </w:r>
          </w:p>
        </w:tc>
        <w:tc>
          <w:tcPr>
            <w:tcW w:w="1757" w:type="dxa"/>
            <w:tcBorders>
              <w:top w:val="nil" w:sz="6" w:space="0" w:color="auto"/>
              <w:left w:val="nil" w:sz="6" w:space="0" w:color="auto"/>
              <w:bottom w:val="nil" w:sz="6" w:space="0" w:color="auto"/>
              <w:right w:val="nil" w:sz="6" w:space="0" w:color="auto"/>
            </w:tcBorders>
          </w:tcPr>
          <w:p>
            <w:pPr>
              <w:pStyle w:val="TableParagraph"/>
              <w:spacing w:line="268" w:lineRule="exact" w:before="38"/>
              <w:ind w:left="1073" w:right="0"/>
              <w:jc w:val="left"/>
              <w:rPr>
                <w:rFonts w:ascii="黑体" w:hAnsi="黑体" w:cs="黑体" w:eastAsia="黑体" w:hint="default"/>
                <w:sz w:val="20"/>
                <w:szCs w:val="20"/>
              </w:rPr>
            </w:pPr>
            <w:r>
              <w:rPr>
                <w:rFonts w:ascii="Arial" w:hAnsi="Arial" w:cs="Arial" w:eastAsia="Arial" w:hint="default"/>
                <w:b/>
                <w:bCs/>
                <w:sz w:val="20"/>
                <w:szCs w:val="20"/>
              </w:rPr>
              <w:t>2008</w:t>
            </w:r>
            <w:r>
              <w:rPr>
                <w:rFonts w:ascii="黑体" w:hAnsi="黑体" w:cs="黑体" w:eastAsia="黑体" w:hint="default"/>
                <w:b/>
                <w:bCs/>
                <w:sz w:val="20"/>
                <w:szCs w:val="20"/>
              </w:rPr>
              <w:t>年</w:t>
            </w:r>
            <w:r>
              <w:rPr>
                <w:rFonts w:ascii="黑体" w:hAnsi="黑体" w:cs="黑体" w:eastAsia="黑体" w:hint="default"/>
                <w:sz w:val="20"/>
                <w:szCs w:val="20"/>
              </w:rPr>
            </w:r>
          </w:p>
          <w:p>
            <w:pPr>
              <w:pStyle w:val="TableParagraph"/>
              <w:spacing w:line="268" w:lineRule="exact"/>
              <w:ind w:left="873" w:right="0"/>
              <w:jc w:val="left"/>
              <w:rPr>
                <w:rFonts w:ascii="黑体" w:hAnsi="黑体" w:cs="黑体" w:eastAsia="黑体" w:hint="default"/>
                <w:sz w:val="20"/>
                <w:szCs w:val="20"/>
              </w:rPr>
            </w:pPr>
            <w:r>
              <w:rPr>
                <w:rFonts w:ascii="Arial" w:hAnsi="Arial" w:cs="Arial" w:eastAsia="Arial" w:hint="default"/>
                <w:b/>
                <w:bCs/>
                <w:sz w:val="20"/>
                <w:szCs w:val="20"/>
              </w:rPr>
              <w:t>12</w:t>
            </w:r>
            <w:r>
              <w:rPr>
                <w:rFonts w:ascii="黑体" w:hAnsi="黑体" w:cs="黑体" w:eastAsia="黑体" w:hint="default"/>
                <w:b/>
                <w:bCs/>
                <w:sz w:val="20"/>
                <w:szCs w:val="20"/>
              </w:rPr>
              <w:t>月</w:t>
            </w:r>
            <w:r>
              <w:rPr>
                <w:rFonts w:ascii="Arial" w:hAnsi="Arial" w:cs="Arial" w:eastAsia="Arial" w:hint="default"/>
                <w:b/>
                <w:bCs/>
                <w:sz w:val="20"/>
                <w:szCs w:val="20"/>
              </w:rPr>
              <w:t>31</w:t>
            </w:r>
            <w:r>
              <w:rPr>
                <w:rFonts w:ascii="黑体" w:hAnsi="黑体" w:cs="黑体" w:eastAsia="黑体" w:hint="default"/>
                <w:b/>
                <w:bCs/>
                <w:sz w:val="20"/>
                <w:szCs w:val="20"/>
              </w:rPr>
              <w:t>日</w:t>
            </w:r>
            <w:r>
              <w:rPr>
                <w:rFonts w:ascii="黑体" w:hAnsi="黑体" w:cs="黑体" w:eastAsia="黑体" w:hint="default"/>
                <w:sz w:val="20"/>
                <w:szCs w:val="20"/>
              </w:rPr>
            </w:r>
          </w:p>
        </w:tc>
      </w:tr>
      <w:tr>
        <w:trPr>
          <w:trHeight w:val="490" w:hRule="exact"/>
        </w:trPr>
        <w:tc>
          <w:tcPr>
            <w:tcW w:w="276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Arial" w:hAnsi="Arial" w:cs="Arial" w:eastAsia="Arial" w:hint="default"/>
                <w:sz w:val="20"/>
                <w:szCs w:val="20"/>
              </w:rPr>
            </w:pPr>
            <w:r>
              <w:rPr>
                <w:rFonts w:ascii="黑体" w:hAnsi="黑体" w:cs="黑体" w:eastAsia="黑体" w:hint="default"/>
                <w:sz w:val="20"/>
                <w:szCs w:val="20"/>
              </w:rPr>
              <w:t>流动资产</w:t>
            </w:r>
            <w:r>
              <w:rPr>
                <w:rFonts w:ascii="Arial" w:hAnsi="Arial" w:cs="Arial" w:eastAsia="Arial" w:hint="default"/>
                <w:sz w:val="20"/>
                <w:szCs w:val="20"/>
              </w:rPr>
              <w:t>:</w:t>
            </w:r>
          </w:p>
        </w:tc>
        <w:tc>
          <w:tcPr>
            <w:tcW w:w="2063" w:type="dxa"/>
            <w:tcBorders>
              <w:top w:val="nil" w:sz="6" w:space="0" w:color="auto"/>
              <w:left w:val="nil" w:sz="6" w:space="0" w:color="auto"/>
              <w:bottom w:val="nil" w:sz="6" w:space="0" w:color="auto"/>
              <w:right w:val="nil" w:sz="6" w:space="0" w:color="auto"/>
            </w:tcBorders>
          </w:tcPr>
          <w:p>
            <w:pPr/>
          </w:p>
        </w:tc>
        <w:tc>
          <w:tcPr>
            <w:tcW w:w="208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r>
      <w:tr>
        <w:trPr>
          <w:trHeight w:val="374" w:hRule="exact"/>
        </w:trPr>
        <w:tc>
          <w:tcPr>
            <w:tcW w:w="276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55" w:right="0"/>
              <w:jc w:val="left"/>
              <w:rPr>
                <w:rFonts w:ascii="黑体" w:hAnsi="黑体" w:cs="黑体" w:eastAsia="黑体" w:hint="default"/>
                <w:sz w:val="20"/>
                <w:szCs w:val="20"/>
              </w:rPr>
            </w:pPr>
            <w:r>
              <w:rPr>
                <w:rFonts w:ascii="黑体" w:hAnsi="黑体" w:cs="黑体" w:eastAsia="黑体" w:hint="default"/>
                <w:sz w:val="20"/>
                <w:szCs w:val="20"/>
              </w:rPr>
              <w:t>货币资金</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550" w:right="0"/>
              <w:jc w:val="center"/>
              <w:rPr>
                <w:rFonts w:ascii="Arial" w:hAnsi="Arial" w:cs="Arial" w:eastAsia="Arial" w:hint="default"/>
                <w:sz w:val="20"/>
                <w:szCs w:val="20"/>
              </w:rPr>
            </w:pPr>
            <w:r>
              <w:rPr>
                <w:rFonts w:ascii="Arial"/>
                <w:w w:val="100"/>
                <w:sz w:val="20"/>
              </w:rPr>
              <w:t>1</w:t>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36"/>
              <w:jc w:val="right"/>
              <w:rPr>
                <w:rFonts w:ascii="Arial" w:hAnsi="Arial" w:cs="Arial" w:eastAsia="Arial" w:hint="default"/>
                <w:sz w:val="20"/>
                <w:szCs w:val="20"/>
              </w:rPr>
            </w:pPr>
            <w:r>
              <w:rPr>
                <w:rFonts w:ascii="Arial"/>
                <w:spacing w:val="-1"/>
                <w:sz w:val="20"/>
              </w:rPr>
              <w:t>1,135,747,658</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Arial" w:hAnsi="Arial" w:cs="Arial" w:eastAsia="Arial" w:hint="default"/>
                <w:sz w:val="20"/>
                <w:szCs w:val="20"/>
              </w:rPr>
            </w:pPr>
            <w:r>
              <w:rPr>
                <w:rFonts w:ascii="Arial"/>
                <w:spacing w:val="-1"/>
                <w:sz w:val="20"/>
              </w:rPr>
              <w:t>801,267,103</w:t>
            </w:r>
          </w:p>
        </w:tc>
      </w:tr>
      <w:tr>
        <w:trPr>
          <w:trHeight w:val="259" w:hRule="exact"/>
        </w:trPr>
        <w:tc>
          <w:tcPr>
            <w:tcW w:w="2760" w:type="dxa"/>
            <w:tcBorders>
              <w:top w:val="nil" w:sz="6" w:space="0" w:color="auto"/>
              <w:left w:val="nil" w:sz="6" w:space="0" w:color="auto"/>
              <w:bottom w:val="nil" w:sz="6" w:space="0" w:color="auto"/>
              <w:right w:val="nil" w:sz="6" w:space="0" w:color="auto"/>
            </w:tcBorders>
          </w:tcPr>
          <w:p>
            <w:pPr>
              <w:pStyle w:val="TableParagraph"/>
              <w:spacing w:line="226" w:lineRule="exact"/>
              <w:ind w:left="455" w:right="0"/>
              <w:jc w:val="left"/>
              <w:rPr>
                <w:rFonts w:ascii="黑体" w:hAnsi="黑体" w:cs="黑体" w:eastAsia="黑体" w:hint="default"/>
                <w:sz w:val="20"/>
                <w:szCs w:val="20"/>
              </w:rPr>
            </w:pPr>
            <w:r>
              <w:rPr>
                <w:rFonts w:ascii="黑体" w:hAnsi="黑体" w:cs="黑体" w:eastAsia="黑体" w:hint="default"/>
                <w:sz w:val="20"/>
                <w:szCs w:val="20"/>
              </w:rPr>
              <w:t>交易性金融资产</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8"/>
              <w:ind w:left="551" w:right="0"/>
              <w:jc w:val="center"/>
              <w:rPr>
                <w:rFonts w:ascii="Arial" w:hAnsi="Arial" w:cs="Arial" w:eastAsia="Arial" w:hint="default"/>
                <w:sz w:val="20"/>
                <w:szCs w:val="20"/>
              </w:rPr>
            </w:pPr>
            <w:r>
              <w:rPr>
                <w:rFonts w:ascii="Arial"/>
                <w:w w:val="100"/>
                <w:sz w:val="20"/>
              </w:rPr>
              <w:t>2</w:t>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7"/>
              <w:jc w:val="right"/>
              <w:rPr>
                <w:rFonts w:ascii="Arial" w:hAnsi="Arial" w:cs="Arial" w:eastAsia="Arial" w:hint="default"/>
                <w:sz w:val="20"/>
                <w:szCs w:val="20"/>
              </w:rPr>
            </w:pPr>
            <w:r>
              <w:rPr>
                <w:rFonts w:ascii="Arial"/>
                <w:w w:val="100"/>
                <w:sz w:val="20"/>
              </w:rPr>
              <w:t>-</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57,615,883</w:t>
            </w:r>
          </w:p>
        </w:tc>
      </w:tr>
      <w:tr>
        <w:trPr>
          <w:trHeight w:val="259" w:hRule="exact"/>
        </w:trPr>
        <w:tc>
          <w:tcPr>
            <w:tcW w:w="2760" w:type="dxa"/>
            <w:tcBorders>
              <w:top w:val="nil" w:sz="6" w:space="0" w:color="auto"/>
              <w:left w:val="nil" w:sz="6" w:space="0" w:color="auto"/>
              <w:bottom w:val="nil" w:sz="6" w:space="0" w:color="auto"/>
              <w:right w:val="nil" w:sz="6" w:space="0" w:color="auto"/>
            </w:tcBorders>
          </w:tcPr>
          <w:p>
            <w:pPr>
              <w:pStyle w:val="TableParagraph"/>
              <w:spacing w:line="226" w:lineRule="exact"/>
              <w:ind w:left="461" w:right="0"/>
              <w:jc w:val="left"/>
              <w:rPr>
                <w:rFonts w:ascii="黑体" w:hAnsi="黑体" w:cs="黑体" w:eastAsia="黑体" w:hint="default"/>
                <w:sz w:val="20"/>
                <w:szCs w:val="20"/>
              </w:rPr>
            </w:pPr>
            <w:r>
              <w:rPr>
                <w:rFonts w:ascii="黑体" w:hAnsi="黑体" w:cs="黑体" w:eastAsia="黑体" w:hint="default"/>
                <w:sz w:val="20"/>
                <w:szCs w:val="20"/>
              </w:rPr>
              <w:t>应收票据</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8"/>
              <w:ind w:left="551" w:right="0"/>
              <w:jc w:val="center"/>
              <w:rPr>
                <w:rFonts w:ascii="Arial" w:hAnsi="Arial" w:cs="Arial" w:eastAsia="Arial" w:hint="default"/>
                <w:sz w:val="20"/>
                <w:szCs w:val="20"/>
              </w:rPr>
            </w:pPr>
            <w:r>
              <w:rPr>
                <w:rFonts w:ascii="Arial"/>
                <w:w w:val="100"/>
                <w:sz w:val="20"/>
              </w:rPr>
              <w:t>3</w:t>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7"/>
              <w:jc w:val="right"/>
              <w:rPr>
                <w:rFonts w:ascii="Arial" w:hAnsi="Arial" w:cs="Arial" w:eastAsia="Arial" w:hint="default"/>
                <w:sz w:val="20"/>
                <w:szCs w:val="20"/>
              </w:rPr>
            </w:pPr>
            <w:r>
              <w:rPr>
                <w:rFonts w:ascii="Arial"/>
                <w:spacing w:val="-1"/>
                <w:sz w:val="20"/>
              </w:rPr>
              <w:t>22,556,000</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1,800,000</w:t>
            </w:r>
          </w:p>
        </w:tc>
      </w:tr>
      <w:tr>
        <w:trPr>
          <w:trHeight w:val="259" w:hRule="exact"/>
        </w:trPr>
        <w:tc>
          <w:tcPr>
            <w:tcW w:w="2760" w:type="dxa"/>
            <w:tcBorders>
              <w:top w:val="nil" w:sz="6" w:space="0" w:color="auto"/>
              <w:left w:val="nil" w:sz="6" w:space="0" w:color="auto"/>
              <w:bottom w:val="nil" w:sz="6" w:space="0" w:color="auto"/>
              <w:right w:val="nil" w:sz="6" w:space="0" w:color="auto"/>
            </w:tcBorders>
          </w:tcPr>
          <w:p>
            <w:pPr>
              <w:pStyle w:val="TableParagraph"/>
              <w:spacing w:line="226" w:lineRule="exact"/>
              <w:ind w:left="455" w:right="0"/>
              <w:jc w:val="left"/>
              <w:rPr>
                <w:rFonts w:ascii="黑体" w:hAnsi="黑体" w:cs="黑体" w:eastAsia="黑体" w:hint="default"/>
                <w:sz w:val="20"/>
                <w:szCs w:val="20"/>
              </w:rPr>
            </w:pPr>
            <w:r>
              <w:rPr>
                <w:rFonts w:ascii="黑体" w:hAnsi="黑体" w:cs="黑体" w:eastAsia="黑体" w:hint="default"/>
                <w:sz w:val="20"/>
                <w:szCs w:val="20"/>
              </w:rPr>
              <w:t>应收账款</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8"/>
              <w:ind w:left="551" w:right="0"/>
              <w:jc w:val="center"/>
              <w:rPr>
                <w:rFonts w:ascii="Arial" w:hAnsi="Arial" w:cs="Arial" w:eastAsia="Arial" w:hint="default"/>
                <w:sz w:val="20"/>
                <w:szCs w:val="20"/>
              </w:rPr>
            </w:pPr>
            <w:r>
              <w:rPr>
                <w:rFonts w:ascii="Arial"/>
                <w:w w:val="100"/>
                <w:sz w:val="20"/>
              </w:rPr>
              <w:t>4</w:t>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5"/>
              <w:jc w:val="right"/>
              <w:rPr>
                <w:rFonts w:ascii="Arial" w:hAnsi="Arial" w:cs="Arial" w:eastAsia="Arial" w:hint="default"/>
                <w:sz w:val="20"/>
                <w:szCs w:val="20"/>
              </w:rPr>
            </w:pPr>
            <w:r>
              <w:rPr>
                <w:rFonts w:ascii="Arial"/>
                <w:spacing w:val="-1"/>
                <w:sz w:val="20"/>
              </w:rPr>
              <w:t>254,093,026</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152,289,900</w:t>
            </w:r>
          </w:p>
        </w:tc>
      </w:tr>
      <w:tr>
        <w:trPr>
          <w:trHeight w:val="260" w:hRule="exact"/>
        </w:trPr>
        <w:tc>
          <w:tcPr>
            <w:tcW w:w="2760" w:type="dxa"/>
            <w:tcBorders>
              <w:top w:val="nil" w:sz="6" w:space="0" w:color="auto"/>
              <w:left w:val="nil" w:sz="6" w:space="0" w:color="auto"/>
              <w:bottom w:val="nil" w:sz="6" w:space="0" w:color="auto"/>
              <w:right w:val="nil" w:sz="6" w:space="0" w:color="auto"/>
            </w:tcBorders>
          </w:tcPr>
          <w:p>
            <w:pPr>
              <w:pStyle w:val="TableParagraph"/>
              <w:spacing w:line="226" w:lineRule="exact"/>
              <w:ind w:left="455" w:right="0"/>
              <w:jc w:val="left"/>
              <w:rPr>
                <w:rFonts w:ascii="黑体" w:hAnsi="黑体" w:cs="黑体" w:eastAsia="黑体" w:hint="default"/>
                <w:sz w:val="20"/>
                <w:szCs w:val="20"/>
              </w:rPr>
            </w:pPr>
            <w:r>
              <w:rPr>
                <w:rFonts w:ascii="黑体" w:hAnsi="黑体" w:cs="黑体" w:eastAsia="黑体" w:hint="default"/>
                <w:sz w:val="20"/>
                <w:szCs w:val="20"/>
              </w:rPr>
              <w:t>预付款项</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8"/>
              <w:ind w:left="551" w:right="0"/>
              <w:jc w:val="center"/>
              <w:rPr>
                <w:rFonts w:ascii="Arial" w:hAnsi="Arial" w:cs="Arial" w:eastAsia="Arial" w:hint="default"/>
                <w:sz w:val="20"/>
                <w:szCs w:val="20"/>
              </w:rPr>
            </w:pPr>
            <w:r>
              <w:rPr>
                <w:rFonts w:ascii="Arial"/>
                <w:w w:val="100"/>
                <w:sz w:val="20"/>
              </w:rPr>
              <w:t>5</w:t>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6"/>
              <w:jc w:val="right"/>
              <w:rPr>
                <w:rFonts w:ascii="Arial" w:hAnsi="Arial" w:cs="Arial" w:eastAsia="Arial" w:hint="default"/>
                <w:sz w:val="20"/>
                <w:szCs w:val="20"/>
              </w:rPr>
            </w:pPr>
            <w:r>
              <w:rPr>
                <w:rFonts w:ascii="Arial"/>
                <w:spacing w:val="-1"/>
                <w:sz w:val="20"/>
              </w:rPr>
              <w:t>176,632</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5"/>
              <w:jc w:val="right"/>
              <w:rPr>
                <w:rFonts w:ascii="Arial" w:hAnsi="Arial" w:cs="Arial" w:eastAsia="Arial" w:hint="default"/>
                <w:sz w:val="20"/>
                <w:szCs w:val="20"/>
              </w:rPr>
            </w:pPr>
            <w:r>
              <w:rPr>
                <w:rFonts w:ascii="Arial"/>
                <w:spacing w:val="-1"/>
                <w:sz w:val="20"/>
              </w:rPr>
              <w:t>1,473,928</w:t>
            </w:r>
          </w:p>
        </w:tc>
      </w:tr>
      <w:tr>
        <w:trPr>
          <w:trHeight w:val="260" w:hRule="exact"/>
        </w:trPr>
        <w:tc>
          <w:tcPr>
            <w:tcW w:w="2760" w:type="dxa"/>
            <w:tcBorders>
              <w:top w:val="nil" w:sz="6" w:space="0" w:color="auto"/>
              <w:left w:val="nil" w:sz="6" w:space="0" w:color="auto"/>
              <w:bottom w:val="nil" w:sz="6" w:space="0" w:color="auto"/>
              <w:right w:val="nil" w:sz="6" w:space="0" w:color="auto"/>
            </w:tcBorders>
          </w:tcPr>
          <w:p>
            <w:pPr>
              <w:pStyle w:val="TableParagraph"/>
              <w:spacing w:line="227" w:lineRule="exact"/>
              <w:ind w:left="461" w:right="0"/>
              <w:jc w:val="left"/>
              <w:rPr>
                <w:rFonts w:ascii="黑体" w:hAnsi="黑体" w:cs="黑体" w:eastAsia="黑体" w:hint="default"/>
                <w:sz w:val="20"/>
                <w:szCs w:val="20"/>
              </w:rPr>
            </w:pPr>
            <w:r>
              <w:rPr>
                <w:rFonts w:ascii="黑体" w:hAnsi="黑体" w:cs="黑体" w:eastAsia="黑体" w:hint="default"/>
                <w:sz w:val="20"/>
                <w:szCs w:val="20"/>
              </w:rPr>
              <w:t>应收股利</w:t>
            </w:r>
          </w:p>
        </w:tc>
        <w:tc>
          <w:tcPr>
            <w:tcW w:w="2063" w:type="dxa"/>
            <w:tcBorders>
              <w:top w:val="nil" w:sz="6" w:space="0" w:color="auto"/>
              <w:left w:val="nil" w:sz="6" w:space="0" w:color="auto"/>
              <w:bottom w:val="nil" w:sz="6" w:space="0" w:color="auto"/>
              <w:right w:val="nil" w:sz="6" w:space="0" w:color="auto"/>
            </w:tcBorders>
          </w:tcPr>
          <w:p>
            <w:pP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7"/>
              <w:jc w:val="right"/>
              <w:rPr>
                <w:rFonts w:ascii="Arial" w:hAnsi="Arial" w:cs="Arial" w:eastAsia="Arial" w:hint="default"/>
                <w:sz w:val="20"/>
                <w:szCs w:val="20"/>
              </w:rPr>
            </w:pPr>
            <w:r>
              <w:rPr>
                <w:rFonts w:ascii="Arial"/>
                <w:spacing w:val="-1"/>
                <w:sz w:val="20"/>
              </w:rPr>
              <w:t>12,002,658</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w w:val="100"/>
                <w:sz w:val="20"/>
              </w:rPr>
              <w:t>-</w:t>
            </w:r>
          </w:p>
        </w:tc>
      </w:tr>
      <w:tr>
        <w:trPr>
          <w:trHeight w:val="259" w:hRule="exact"/>
        </w:trPr>
        <w:tc>
          <w:tcPr>
            <w:tcW w:w="2760" w:type="dxa"/>
            <w:tcBorders>
              <w:top w:val="nil" w:sz="6" w:space="0" w:color="auto"/>
              <w:left w:val="nil" w:sz="6" w:space="0" w:color="auto"/>
              <w:bottom w:val="nil" w:sz="6" w:space="0" w:color="auto"/>
              <w:right w:val="nil" w:sz="6" w:space="0" w:color="auto"/>
            </w:tcBorders>
          </w:tcPr>
          <w:p>
            <w:pPr>
              <w:pStyle w:val="TableParagraph"/>
              <w:spacing w:line="226" w:lineRule="exact"/>
              <w:ind w:left="455" w:right="0"/>
              <w:jc w:val="left"/>
              <w:rPr>
                <w:rFonts w:ascii="黑体" w:hAnsi="黑体" w:cs="黑体" w:eastAsia="黑体" w:hint="default"/>
                <w:sz w:val="20"/>
                <w:szCs w:val="20"/>
              </w:rPr>
            </w:pPr>
            <w:r>
              <w:rPr>
                <w:rFonts w:ascii="黑体" w:hAnsi="黑体" w:cs="黑体" w:eastAsia="黑体" w:hint="default"/>
                <w:sz w:val="20"/>
                <w:szCs w:val="20"/>
              </w:rPr>
              <w:t>其他应收款</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8"/>
              <w:ind w:left="551" w:right="0"/>
              <w:jc w:val="center"/>
              <w:rPr>
                <w:rFonts w:ascii="Arial" w:hAnsi="Arial" w:cs="Arial" w:eastAsia="Arial" w:hint="default"/>
                <w:sz w:val="20"/>
                <w:szCs w:val="20"/>
              </w:rPr>
            </w:pPr>
            <w:r>
              <w:rPr>
                <w:rFonts w:ascii="Arial"/>
                <w:w w:val="100"/>
                <w:sz w:val="20"/>
              </w:rPr>
              <w:t>6</w:t>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5"/>
              <w:jc w:val="right"/>
              <w:rPr>
                <w:rFonts w:ascii="Arial" w:hAnsi="Arial" w:cs="Arial" w:eastAsia="Arial" w:hint="default"/>
                <w:sz w:val="20"/>
                <w:szCs w:val="20"/>
              </w:rPr>
            </w:pPr>
            <w:r>
              <w:rPr>
                <w:rFonts w:ascii="Arial"/>
                <w:spacing w:val="-1"/>
                <w:sz w:val="20"/>
              </w:rPr>
              <w:t>136,807,616</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141,133,379</w:t>
            </w:r>
          </w:p>
        </w:tc>
      </w:tr>
      <w:tr>
        <w:trPr>
          <w:trHeight w:val="259" w:hRule="exact"/>
        </w:trPr>
        <w:tc>
          <w:tcPr>
            <w:tcW w:w="2760" w:type="dxa"/>
            <w:tcBorders>
              <w:top w:val="nil" w:sz="6" w:space="0" w:color="auto"/>
              <w:left w:val="nil" w:sz="6" w:space="0" w:color="auto"/>
              <w:bottom w:val="nil" w:sz="6" w:space="0" w:color="auto"/>
              <w:right w:val="nil" w:sz="6" w:space="0" w:color="auto"/>
            </w:tcBorders>
          </w:tcPr>
          <w:p>
            <w:pPr>
              <w:pStyle w:val="TableParagraph"/>
              <w:spacing w:line="226" w:lineRule="exact"/>
              <w:ind w:left="455" w:right="0"/>
              <w:jc w:val="left"/>
              <w:rPr>
                <w:rFonts w:ascii="黑体" w:hAnsi="黑体" w:cs="黑体" w:eastAsia="黑体" w:hint="default"/>
                <w:sz w:val="20"/>
                <w:szCs w:val="20"/>
              </w:rPr>
            </w:pPr>
            <w:r>
              <w:rPr>
                <w:rFonts w:ascii="黑体" w:hAnsi="黑体" w:cs="黑体" w:eastAsia="黑体" w:hint="default"/>
                <w:sz w:val="20"/>
                <w:szCs w:val="20"/>
              </w:rPr>
              <w:t>存货</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8"/>
              <w:ind w:left="551" w:right="0"/>
              <w:jc w:val="center"/>
              <w:rPr>
                <w:rFonts w:ascii="Arial" w:hAnsi="Arial" w:cs="Arial" w:eastAsia="Arial" w:hint="default"/>
                <w:sz w:val="20"/>
                <w:szCs w:val="20"/>
              </w:rPr>
            </w:pPr>
            <w:r>
              <w:rPr>
                <w:rFonts w:ascii="Arial"/>
                <w:w w:val="100"/>
                <w:sz w:val="20"/>
              </w:rPr>
              <w:t>7</w:t>
            </w: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6"/>
              <w:jc w:val="right"/>
              <w:rPr>
                <w:rFonts w:ascii="Arial" w:hAnsi="Arial" w:cs="Arial" w:eastAsia="Arial" w:hint="default"/>
                <w:sz w:val="20"/>
                <w:szCs w:val="20"/>
              </w:rPr>
            </w:pPr>
            <w:r>
              <w:rPr>
                <w:rFonts w:ascii="Arial"/>
                <w:spacing w:val="-1"/>
                <w:sz w:val="20"/>
              </w:rPr>
              <w:t>4,739,133</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7,964,479</w:t>
            </w:r>
          </w:p>
        </w:tc>
      </w:tr>
      <w:tr>
        <w:trPr>
          <w:trHeight w:val="375" w:hRule="exact"/>
        </w:trPr>
        <w:tc>
          <w:tcPr>
            <w:tcW w:w="2760" w:type="dxa"/>
            <w:tcBorders>
              <w:top w:val="nil" w:sz="6" w:space="0" w:color="auto"/>
              <w:left w:val="nil" w:sz="6" w:space="0" w:color="auto"/>
              <w:bottom w:val="nil" w:sz="6" w:space="0" w:color="auto"/>
              <w:right w:val="nil" w:sz="6" w:space="0" w:color="auto"/>
            </w:tcBorders>
          </w:tcPr>
          <w:p>
            <w:pPr>
              <w:pStyle w:val="TableParagraph"/>
              <w:spacing w:line="226" w:lineRule="exact"/>
              <w:ind w:left="455" w:right="0"/>
              <w:jc w:val="left"/>
              <w:rPr>
                <w:rFonts w:ascii="黑体" w:hAnsi="黑体" w:cs="黑体" w:eastAsia="黑体" w:hint="default"/>
                <w:sz w:val="20"/>
                <w:szCs w:val="20"/>
              </w:rPr>
            </w:pPr>
            <w:r>
              <w:rPr>
                <w:rFonts w:ascii="黑体" w:hAnsi="黑体" w:cs="黑体" w:eastAsia="黑体" w:hint="default"/>
                <w:sz w:val="20"/>
                <w:szCs w:val="20"/>
              </w:rPr>
              <w:t>其他流动资产</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8"/>
              <w:ind w:left="552" w:right="0"/>
              <w:jc w:val="center"/>
              <w:rPr>
                <w:rFonts w:ascii="Arial" w:hAnsi="Arial" w:cs="Arial" w:eastAsia="Arial" w:hint="default"/>
                <w:sz w:val="20"/>
                <w:szCs w:val="20"/>
              </w:rPr>
            </w:pPr>
            <w:r>
              <w:rPr>
                <w:rFonts w:ascii="Arial"/>
                <w:w w:val="100"/>
                <w:sz w:val="20"/>
              </w:rPr>
              <w:t>8</w:t>
            </w:r>
          </w:p>
        </w:tc>
        <w:tc>
          <w:tcPr>
            <w:tcW w:w="2085" w:type="dxa"/>
            <w:tcBorders>
              <w:top w:val="nil" w:sz="6" w:space="0" w:color="auto"/>
              <w:left w:val="nil" w:sz="6" w:space="0" w:color="auto"/>
              <w:bottom w:val="nil" w:sz="6" w:space="0" w:color="auto"/>
              <w:right w:val="nil" w:sz="6" w:space="0" w:color="auto"/>
            </w:tcBorders>
          </w:tcPr>
          <w:p>
            <w:pPr>
              <w:pStyle w:val="TableParagraph"/>
              <w:tabs>
                <w:tab w:pos="399" w:val="left" w:leader="none"/>
              </w:tabs>
              <w:spacing w:line="240" w:lineRule="auto" w:before="8"/>
              <w:ind w:right="43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1,153,288</w:t>
            </w:r>
            <w:r>
              <w:rPr>
                <w:rFonts w:ascii="Arial"/>
                <w:sz w:val="20"/>
              </w:rPr>
            </w:r>
          </w:p>
        </w:tc>
        <w:tc>
          <w:tcPr>
            <w:tcW w:w="1757" w:type="dxa"/>
            <w:tcBorders>
              <w:top w:val="nil" w:sz="6" w:space="0" w:color="auto"/>
              <w:left w:val="nil" w:sz="6" w:space="0" w:color="auto"/>
              <w:bottom w:val="nil" w:sz="6" w:space="0" w:color="auto"/>
              <w:right w:val="nil" w:sz="6" w:space="0" w:color="auto"/>
            </w:tcBorders>
          </w:tcPr>
          <w:p>
            <w:pPr>
              <w:pStyle w:val="TableParagraph"/>
              <w:tabs>
                <w:tab w:pos="559" w:val="left" w:leader="none"/>
              </w:tabs>
              <w:spacing w:line="240" w:lineRule="auto" w:before="8"/>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878,612</w:t>
            </w:r>
            <w:r>
              <w:rPr>
                <w:rFonts w:ascii="Arial"/>
                <w:spacing w:val="-1"/>
                <w:sz w:val="20"/>
              </w:rPr>
            </w:r>
          </w:p>
        </w:tc>
      </w:tr>
      <w:tr>
        <w:trPr>
          <w:trHeight w:val="449" w:hRule="exact"/>
        </w:trPr>
        <w:tc>
          <w:tcPr>
            <w:tcW w:w="276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54" w:right="0"/>
              <w:jc w:val="left"/>
              <w:rPr>
                <w:rFonts w:ascii="黑体" w:hAnsi="黑体" w:cs="黑体" w:eastAsia="黑体" w:hint="default"/>
                <w:sz w:val="20"/>
                <w:szCs w:val="20"/>
              </w:rPr>
            </w:pPr>
            <w:r>
              <w:rPr>
                <w:rFonts w:ascii="黑体" w:hAnsi="黑体" w:cs="黑体" w:eastAsia="黑体" w:hint="default"/>
                <w:sz w:val="20"/>
                <w:szCs w:val="20"/>
              </w:rPr>
              <w:t>流动资产合计</w:t>
            </w:r>
          </w:p>
        </w:tc>
        <w:tc>
          <w:tcPr>
            <w:tcW w:w="2063" w:type="dxa"/>
            <w:tcBorders>
              <w:top w:val="nil" w:sz="6" w:space="0" w:color="auto"/>
              <w:left w:val="nil" w:sz="6" w:space="0" w:color="auto"/>
              <w:bottom w:val="nil" w:sz="6" w:space="0" w:color="auto"/>
              <w:right w:val="nil" w:sz="6" w:space="0" w:color="auto"/>
            </w:tcBorders>
          </w:tcPr>
          <w:p>
            <w:pPr/>
          </w:p>
        </w:tc>
        <w:tc>
          <w:tcPr>
            <w:tcW w:w="208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437"/>
              <w:jc w:val="right"/>
              <w:rPr>
                <w:rFonts w:ascii="Arial" w:hAnsi="Arial" w:cs="Arial" w:eastAsia="Arial" w:hint="default"/>
                <w:sz w:val="20"/>
                <w:szCs w:val="20"/>
              </w:rPr>
            </w:pPr>
            <w:r>
              <w:rPr>
                <w:rFonts w:ascii="Arial"/>
                <w:w w:val="100"/>
                <w:sz w:val="20"/>
              </w:rPr>
            </w:r>
            <w:r>
              <w:rPr>
                <w:rFonts w:ascii="Arial"/>
                <w:spacing w:val="-2"/>
                <w:sz w:val="20"/>
                <w:u w:val="single" w:color="000000"/>
              </w:rPr>
              <w:t>1,567,276,011</w:t>
            </w:r>
            <w:r>
              <w:rPr>
                <w:rFonts w:ascii="Arial"/>
                <w:spacing w:val="-2"/>
                <w:sz w:val="20"/>
              </w:rPr>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Arial" w:hAnsi="Arial" w:cs="Arial" w:eastAsia="Arial" w:hint="default"/>
                <w:sz w:val="20"/>
                <w:szCs w:val="20"/>
              </w:rPr>
            </w:pPr>
            <w:r>
              <w:rPr>
                <w:rFonts w:ascii="Arial"/>
                <w:w w:val="100"/>
                <w:sz w:val="20"/>
              </w:rPr>
            </w:r>
            <w:r>
              <w:rPr>
                <w:rFonts w:ascii="Arial"/>
                <w:spacing w:val="-2"/>
                <w:sz w:val="20"/>
                <w:u w:val="single" w:color="000000"/>
              </w:rPr>
              <w:t>1,164,423,284</w:t>
            </w:r>
            <w:r>
              <w:rPr>
                <w:rFonts w:ascii="Arial"/>
                <w:spacing w:val="-2"/>
                <w:sz w:val="20"/>
              </w:rPr>
            </w:r>
          </w:p>
        </w:tc>
      </w:tr>
    </w:tbl>
    <w:p>
      <w:pPr>
        <w:spacing w:line="240" w:lineRule="auto" w:before="1"/>
        <w:rPr>
          <w:rFonts w:ascii="Times New Roman" w:hAnsi="Times New Roman" w:cs="Times New Roman" w:eastAsia="Times New Roman" w:hint="default"/>
          <w:sz w:val="7"/>
          <w:szCs w:val="7"/>
        </w:rPr>
      </w:pPr>
    </w:p>
    <w:p>
      <w:pPr>
        <w:pStyle w:val="BodyText"/>
        <w:spacing w:line="240" w:lineRule="auto" w:before="38"/>
        <w:ind w:left="141" w:right="0"/>
        <w:jc w:val="left"/>
        <w:rPr>
          <w:rFonts w:ascii="Arial" w:hAnsi="Arial" w:cs="Arial" w:eastAsia="Arial" w:hint="default"/>
        </w:rPr>
      </w:pPr>
      <w:r>
        <w:rPr/>
        <w:t>非流动资产</w:t>
      </w:r>
      <w:r>
        <w:rPr>
          <w:rFonts w:ascii="Arial" w:hAnsi="Arial" w:cs="Arial" w:eastAsia="Arial" w:hint="default"/>
        </w:rPr>
        <w:t>:</w:t>
      </w:r>
    </w:p>
    <w:p>
      <w:pPr>
        <w:spacing w:line="240" w:lineRule="auto" w:before="1"/>
        <w:rPr>
          <w:rFonts w:ascii="Arial" w:hAnsi="Arial" w:cs="Arial" w:eastAsia="Arial" w:hint="default"/>
          <w:sz w:val="15"/>
          <w:szCs w:val="15"/>
        </w:rPr>
      </w:pPr>
    </w:p>
    <w:tbl>
      <w:tblPr>
        <w:tblW w:w="0" w:type="auto"/>
        <w:jc w:val="left"/>
        <w:tblInd w:w="106" w:type="dxa"/>
        <w:tblLayout w:type="fixed"/>
        <w:tblCellMar>
          <w:top w:w="0" w:type="dxa"/>
          <w:left w:w="0" w:type="dxa"/>
          <w:bottom w:w="0" w:type="dxa"/>
          <w:right w:w="0" w:type="dxa"/>
        </w:tblCellMar>
        <w:tblLook w:val="01E0"/>
      </w:tblPr>
      <w:tblGrid>
        <w:gridCol w:w="2808"/>
        <w:gridCol w:w="2065"/>
        <w:gridCol w:w="2031"/>
        <w:gridCol w:w="1761"/>
      </w:tblGrid>
      <w:tr>
        <w:trPr>
          <w:trHeight w:val="335" w:hRule="exact"/>
        </w:trPr>
        <w:tc>
          <w:tcPr>
            <w:tcW w:w="280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61" w:right="0"/>
              <w:jc w:val="left"/>
              <w:rPr>
                <w:rFonts w:ascii="黑体" w:hAnsi="黑体" w:cs="黑体" w:eastAsia="黑体" w:hint="default"/>
                <w:sz w:val="20"/>
                <w:szCs w:val="20"/>
              </w:rPr>
            </w:pPr>
            <w:r>
              <w:rPr>
                <w:rFonts w:ascii="黑体" w:hAnsi="黑体" w:cs="黑体" w:eastAsia="黑体" w:hint="default"/>
                <w:sz w:val="20"/>
                <w:szCs w:val="20"/>
              </w:rPr>
              <w:t>可供出售金融资产</w:t>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50" w:right="0"/>
              <w:jc w:val="center"/>
              <w:rPr>
                <w:rFonts w:ascii="Arial" w:hAnsi="Arial" w:cs="Arial" w:eastAsia="Arial" w:hint="default"/>
                <w:sz w:val="20"/>
                <w:szCs w:val="20"/>
              </w:rPr>
            </w:pPr>
            <w:r>
              <w:rPr>
                <w:rFonts w:ascii="黑体" w:hAnsi="黑体" w:cs="黑体" w:eastAsia="黑体" w:hint="default"/>
                <w:sz w:val="20"/>
                <w:szCs w:val="20"/>
              </w:rPr>
              <w:t>附注五、</w:t>
            </w:r>
            <w:r>
              <w:rPr>
                <w:rFonts w:ascii="Arial" w:hAnsi="Arial" w:cs="Arial" w:eastAsia="Arial" w:hint="default"/>
                <w:sz w:val="20"/>
                <w:szCs w:val="20"/>
              </w:rPr>
              <w:t>9</w:t>
            </w:r>
          </w:p>
        </w:tc>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33"/>
              <w:jc w:val="right"/>
              <w:rPr>
                <w:rFonts w:ascii="Arial" w:hAnsi="Arial" w:cs="Arial" w:eastAsia="Arial" w:hint="default"/>
                <w:sz w:val="20"/>
                <w:szCs w:val="20"/>
              </w:rPr>
            </w:pPr>
            <w:r>
              <w:rPr>
                <w:rFonts w:ascii="Arial"/>
                <w:w w:val="100"/>
                <w:sz w:val="20"/>
              </w:rPr>
              <w:t>-</w:t>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Arial" w:hAnsi="Arial" w:cs="Arial" w:eastAsia="Arial" w:hint="default"/>
                <w:sz w:val="20"/>
                <w:szCs w:val="20"/>
              </w:rPr>
            </w:pPr>
            <w:r>
              <w:rPr>
                <w:rFonts w:ascii="Arial"/>
                <w:spacing w:val="-1"/>
                <w:sz w:val="20"/>
              </w:rPr>
              <w:t>276,210,000</w:t>
            </w:r>
          </w:p>
        </w:tc>
      </w:tr>
      <w:tr>
        <w:trPr>
          <w:trHeight w:val="259" w:hRule="exact"/>
        </w:trPr>
        <w:tc>
          <w:tcPr>
            <w:tcW w:w="2808" w:type="dxa"/>
            <w:tcBorders>
              <w:top w:val="nil" w:sz="6" w:space="0" w:color="auto"/>
              <w:left w:val="nil" w:sz="6" w:space="0" w:color="auto"/>
              <w:bottom w:val="nil" w:sz="6" w:space="0" w:color="auto"/>
              <w:right w:val="nil" w:sz="6" w:space="0" w:color="auto"/>
            </w:tcBorders>
          </w:tcPr>
          <w:p>
            <w:pPr>
              <w:pStyle w:val="TableParagraph"/>
              <w:spacing w:line="226" w:lineRule="exact"/>
              <w:ind w:left="461" w:right="0"/>
              <w:jc w:val="left"/>
              <w:rPr>
                <w:rFonts w:ascii="黑体" w:hAnsi="黑体" w:cs="黑体" w:eastAsia="黑体" w:hint="default"/>
                <w:sz w:val="20"/>
                <w:szCs w:val="20"/>
              </w:rPr>
            </w:pPr>
            <w:r>
              <w:rPr>
                <w:rFonts w:ascii="黑体" w:hAnsi="黑体" w:cs="黑体" w:eastAsia="黑体" w:hint="default"/>
                <w:sz w:val="20"/>
                <w:szCs w:val="20"/>
              </w:rPr>
              <w:t>长期股权投资</w:t>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8"/>
              <w:ind w:left="451" w:right="0"/>
              <w:jc w:val="center"/>
              <w:rPr>
                <w:rFonts w:ascii="Arial" w:hAnsi="Arial" w:cs="Arial" w:eastAsia="Arial" w:hint="default"/>
                <w:sz w:val="20"/>
                <w:szCs w:val="20"/>
              </w:rPr>
            </w:pPr>
            <w:r>
              <w:rPr>
                <w:rFonts w:ascii="Arial"/>
                <w:w w:val="100"/>
                <w:sz w:val="20"/>
              </w:rPr>
              <w:t>9</w:t>
            </w:r>
          </w:p>
        </w:tc>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2"/>
              <w:jc w:val="right"/>
              <w:rPr>
                <w:rFonts w:ascii="Arial" w:hAnsi="Arial" w:cs="Arial" w:eastAsia="Arial" w:hint="default"/>
                <w:sz w:val="20"/>
                <w:szCs w:val="20"/>
              </w:rPr>
            </w:pPr>
            <w:r>
              <w:rPr>
                <w:rFonts w:ascii="Arial"/>
                <w:spacing w:val="-1"/>
                <w:sz w:val="20"/>
              </w:rPr>
              <w:t>821,392,007</w:t>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528,179,349</w:t>
            </w:r>
          </w:p>
        </w:tc>
      </w:tr>
      <w:tr>
        <w:trPr>
          <w:trHeight w:val="259" w:hRule="exact"/>
        </w:trPr>
        <w:tc>
          <w:tcPr>
            <w:tcW w:w="2808" w:type="dxa"/>
            <w:tcBorders>
              <w:top w:val="nil" w:sz="6" w:space="0" w:color="auto"/>
              <w:left w:val="nil" w:sz="6" w:space="0" w:color="auto"/>
              <w:bottom w:val="nil" w:sz="6" w:space="0" w:color="auto"/>
              <w:right w:val="nil" w:sz="6" w:space="0" w:color="auto"/>
            </w:tcBorders>
          </w:tcPr>
          <w:p>
            <w:pPr>
              <w:pStyle w:val="TableParagraph"/>
              <w:spacing w:line="226" w:lineRule="exact"/>
              <w:ind w:left="461" w:right="0"/>
              <w:jc w:val="left"/>
              <w:rPr>
                <w:rFonts w:ascii="黑体" w:hAnsi="黑体" w:cs="黑体" w:eastAsia="黑体" w:hint="default"/>
                <w:sz w:val="20"/>
                <w:szCs w:val="20"/>
              </w:rPr>
            </w:pPr>
            <w:r>
              <w:rPr>
                <w:rFonts w:ascii="黑体" w:hAnsi="黑体" w:cs="黑体" w:eastAsia="黑体" w:hint="default"/>
                <w:sz w:val="20"/>
                <w:szCs w:val="20"/>
              </w:rPr>
              <w:t>固定资产</w:t>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8"/>
              <w:ind w:left="450" w:right="0"/>
              <w:jc w:val="center"/>
              <w:rPr>
                <w:rFonts w:ascii="Arial" w:hAnsi="Arial" w:cs="Arial" w:eastAsia="Arial" w:hint="default"/>
                <w:sz w:val="20"/>
                <w:szCs w:val="20"/>
              </w:rPr>
            </w:pPr>
            <w:r>
              <w:rPr>
                <w:rFonts w:ascii="Arial"/>
                <w:sz w:val="20"/>
              </w:rPr>
              <w:t>10</w:t>
            </w:r>
          </w:p>
        </w:tc>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2"/>
              <w:jc w:val="right"/>
              <w:rPr>
                <w:rFonts w:ascii="Arial" w:hAnsi="Arial" w:cs="Arial" w:eastAsia="Arial" w:hint="default"/>
                <w:sz w:val="20"/>
                <w:szCs w:val="20"/>
              </w:rPr>
            </w:pPr>
            <w:r>
              <w:rPr>
                <w:rFonts w:ascii="Arial"/>
                <w:spacing w:val="-1"/>
                <w:sz w:val="20"/>
              </w:rPr>
              <w:t>485,878,430</w:t>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492,377,230</w:t>
            </w:r>
          </w:p>
        </w:tc>
      </w:tr>
      <w:tr>
        <w:trPr>
          <w:trHeight w:val="260" w:hRule="exact"/>
        </w:trPr>
        <w:tc>
          <w:tcPr>
            <w:tcW w:w="2808" w:type="dxa"/>
            <w:tcBorders>
              <w:top w:val="nil" w:sz="6" w:space="0" w:color="auto"/>
              <w:left w:val="nil" w:sz="6" w:space="0" w:color="auto"/>
              <w:bottom w:val="nil" w:sz="6" w:space="0" w:color="auto"/>
              <w:right w:val="nil" w:sz="6" w:space="0" w:color="auto"/>
            </w:tcBorders>
          </w:tcPr>
          <w:p>
            <w:pPr>
              <w:pStyle w:val="TableParagraph"/>
              <w:spacing w:line="226" w:lineRule="exact"/>
              <w:ind w:left="461" w:right="0"/>
              <w:jc w:val="left"/>
              <w:rPr>
                <w:rFonts w:ascii="黑体" w:hAnsi="黑体" w:cs="黑体" w:eastAsia="黑体" w:hint="default"/>
                <w:sz w:val="20"/>
                <w:szCs w:val="20"/>
              </w:rPr>
            </w:pPr>
            <w:r>
              <w:rPr>
                <w:rFonts w:ascii="黑体" w:hAnsi="黑体" w:cs="黑体" w:eastAsia="黑体" w:hint="default"/>
                <w:sz w:val="20"/>
                <w:szCs w:val="20"/>
              </w:rPr>
              <w:t>在建工程</w:t>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exact"/>
              <w:ind w:left="451" w:right="0"/>
              <w:jc w:val="center"/>
              <w:rPr>
                <w:rFonts w:ascii="Arial" w:hAnsi="Arial" w:cs="Arial" w:eastAsia="Arial" w:hint="default"/>
                <w:sz w:val="20"/>
                <w:szCs w:val="20"/>
              </w:rPr>
            </w:pPr>
            <w:r>
              <w:rPr>
                <w:rFonts w:ascii="黑体" w:hAnsi="黑体" w:cs="黑体" w:eastAsia="黑体" w:hint="default"/>
                <w:sz w:val="20"/>
                <w:szCs w:val="20"/>
              </w:rPr>
              <w:t>附注五、</w:t>
            </w:r>
            <w:r>
              <w:rPr>
                <w:rFonts w:ascii="Arial" w:hAnsi="Arial" w:cs="Arial" w:eastAsia="Arial" w:hint="default"/>
                <w:sz w:val="20"/>
                <w:szCs w:val="20"/>
              </w:rPr>
              <w:t>12</w:t>
            </w:r>
          </w:p>
        </w:tc>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2"/>
              <w:jc w:val="right"/>
              <w:rPr>
                <w:rFonts w:ascii="Arial" w:hAnsi="Arial" w:cs="Arial" w:eastAsia="Arial" w:hint="default"/>
                <w:sz w:val="20"/>
                <w:szCs w:val="20"/>
              </w:rPr>
            </w:pPr>
            <w:r>
              <w:rPr>
                <w:rFonts w:ascii="Arial"/>
                <w:spacing w:val="-1"/>
                <w:sz w:val="20"/>
              </w:rPr>
              <w:t>162,577,323</w:t>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37,532,692</w:t>
            </w:r>
          </w:p>
        </w:tc>
      </w:tr>
      <w:tr>
        <w:trPr>
          <w:trHeight w:val="259" w:hRule="exact"/>
        </w:trPr>
        <w:tc>
          <w:tcPr>
            <w:tcW w:w="2808" w:type="dxa"/>
            <w:tcBorders>
              <w:top w:val="nil" w:sz="6" w:space="0" w:color="auto"/>
              <w:left w:val="nil" w:sz="6" w:space="0" w:color="auto"/>
              <w:bottom w:val="nil" w:sz="6" w:space="0" w:color="auto"/>
              <w:right w:val="nil" w:sz="6" w:space="0" w:color="auto"/>
            </w:tcBorders>
          </w:tcPr>
          <w:p>
            <w:pPr>
              <w:pStyle w:val="TableParagraph"/>
              <w:spacing w:line="225" w:lineRule="exact"/>
              <w:ind w:left="461" w:right="0"/>
              <w:jc w:val="left"/>
              <w:rPr>
                <w:rFonts w:ascii="黑体" w:hAnsi="黑体" w:cs="黑体" w:eastAsia="黑体" w:hint="default"/>
                <w:sz w:val="20"/>
                <w:szCs w:val="20"/>
              </w:rPr>
            </w:pPr>
            <w:r>
              <w:rPr>
                <w:rFonts w:ascii="黑体" w:hAnsi="黑体" w:cs="黑体" w:eastAsia="黑体" w:hint="default"/>
                <w:sz w:val="20"/>
                <w:szCs w:val="20"/>
              </w:rPr>
              <w:t>无形资产</w:t>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7"/>
              <w:ind w:left="450" w:right="0"/>
              <w:jc w:val="center"/>
              <w:rPr>
                <w:rFonts w:ascii="Arial" w:hAnsi="Arial" w:cs="Arial" w:eastAsia="Arial" w:hint="default"/>
                <w:sz w:val="20"/>
                <w:szCs w:val="20"/>
              </w:rPr>
            </w:pPr>
            <w:r>
              <w:rPr>
                <w:rFonts w:ascii="Arial"/>
                <w:sz w:val="20"/>
              </w:rPr>
              <w:t>11</w:t>
            </w:r>
          </w:p>
        </w:tc>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432"/>
              <w:jc w:val="right"/>
              <w:rPr>
                <w:rFonts w:ascii="Arial" w:hAnsi="Arial" w:cs="Arial" w:eastAsia="Arial" w:hint="default"/>
                <w:sz w:val="20"/>
                <w:szCs w:val="20"/>
              </w:rPr>
            </w:pPr>
            <w:r>
              <w:rPr>
                <w:rFonts w:ascii="Arial"/>
                <w:spacing w:val="-1"/>
                <w:sz w:val="20"/>
              </w:rPr>
              <w:t>307,752,632</w:t>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spacing w:val="-1"/>
                <w:sz w:val="20"/>
              </w:rPr>
              <w:t>303,002,482</w:t>
            </w:r>
          </w:p>
        </w:tc>
      </w:tr>
      <w:tr>
        <w:trPr>
          <w:trHeight w:val="259" w:hRule="exact"/>
        </w:trPr>
        <w:tc>
          <w:tcPr>
            <w:tcW w:w="2808" w:type="dxa"/>
            <w:tcBorders>
              <w:top w:val="nil" w:sz="6" w:space="0" w:color="auto"/>
              <w:left w:val="nil" w:sz="6" w:space="0" w:color="auto"/>
              <w:bottom w:val="nil" w:sz="6" w:space="0" w:color="auto"/>
              <w:right w:val="nil" w:sz="6" w:space="0" w:color="auto"/>
            </w:tcBorders>
          </w:tcPr>
          <w:p>
            <w:pPr>
              <w:pStyle w:val="TableParagraph"/>
              <w:spacing w:line="226" w:lineRule="exact"/>
              <w:ind w:left="461" w:right="0"/>
              <w:jc w:val="left"/>
              <w:rPr>
                <w:rFonts w:ascii="黑体" w:hAnsi="黑体" w:cs="黑体" w:eastAsia="黑体" w:hint="default"/>
                <w:sz w:val="20"/>
                <w:szCs w:val="20"/>
              </w:rPr>
            </w:pPr>
            <w:r>
              <w:rPr>
                <w:rFonts w:ascii="黑体" w:hAnsi="黑体" w:cs="黑体" w:eastAsia="黑体" w:hint="default"/>
                <w:sz w:val="20"/>
                <w:szCs w:val="20"/>
              </w:rPr>
              <w:t>商誉</w:t>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8"/>
              <w:ind w:left="450" w:right="0"/>
              <w:jc w:val="center"/>
              <w:rPr>
                <w:rFonts w:ascii="Arial" w:hAnsi="Arial" w:cs="Arial" w:eastAsia="Arial" w:hint="default"/>
                <w:sz w:val="20"/>
                <w:szCs w:val="20"/>
              </w:rPr>
            </w:pPr>
            <w:r>
              <w:rPr>
                <w:rFonts w:ascii="Arial"/>
                <w:sz w:val="20"/>
              </w:rPr>
              <w:t>12</w:t>
            </w:r>
          </w:p>
        </w:tc>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2"/>
              <w:jc w:val="right"/>
              <w:rPr>
                <w:rFonts w:ascii="Arial" w:hAnsi="Arial" w:cs="Arial" w:eastAsia="Arial" w:hint="default"/>
                <w:sz w:val="20"/>
                <w:szCs w:val="20"/>
              </w:rPr>
            </w:pPr>
            <w:r>
              <w:rPr>
                <w:rFonts w:ascii="Arial"/>
                <w:spacing w:val="-1"/>
                <w:sz w:val="20"/>
              </w:rPr>
              <w:t>110,755,848</w:t>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50,729,937</w:t>
            </w:r>
          </w:p>
        </w:tc>
      </w:tr>
      <w:tr>
        <w:trPr>
          <w:trHeight w:val="259" w:hRule="exact"/>
        </w:trPr>
        <w:tc>
          <w:tcPr>
            <w:tcW w:w="2808" w:type="dxa"/>
            <w:tcBorders>
              <w:top w:val="nil" w:sz="6" w:space="0" w:color="auto"/>
              <w:left w:val="nil" w:sz="6" w:space="0" w:color="auto"/>
              <w:bottom w:val="nil" w:sz="6" w:space="0" w:color="auto"/>
              <w:right w:val="nil" w:sz="6" w:space="0" w:color="auto"/>
            </w:tcBorders>
          </w:tcPr>
          <w:p>
            <w:pPr>
              <w:pStyle w:val="TableParagraph"/>
              <w:spacing w:line="226" w:lineRule="exact"/>
              <w:ind w:left="461" w:right="0"/>
              <w:jc w:val="left"/>
              <w:rPr>
                <w:rFonts w:ascii="黑体" w:hAnsi="黑体" w:cs="黑体" w:eastAsia="黑体" w:hint="default"/>
                <w:sz w:val="20"/>
                <w:szCs w:val="20"/>
              </w:rPr>
            </w:pPr>
            <w:r>
              <w:rPr>
                <w:rFonts w:ascii="黑体" w:hAnsi="黑体" w:cs="黑体" w:eastAsia="黑体" w:hint="default"/>
                <w:sz w:val="20"/>
                <w:szCs w:val="20"/>
              </w:rPr>
              <w:t>长期待摊费用</w:t>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8"/>
              <w:ind w:left="450" w:right="0"/>
              <w:jc w:val="center"/>
              <w:rPr>
                <w:rFonts w:ascii="Arial" w:hAnsi="Arial" w:cs="Arial" w:eastAsia="Arial" w:hint="default"/>
                <w:sz w:val="20"/>
                <w:szCs w:val="20"/>
              </w:rPr>
            </w:pPr>
            <w:r>
              <w:rPr>
                <w:rFonts w:ascii="Arial"/>
                <w:sz w:val="20"/>
              </w:rPr>
              <w:t>13</w:t>
            </w:r>
          </w:p>
        </w:tc>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33"/>
              <w:jc w:val="right"/>
              <w:rPr>
                <w:rFonts w:ascii="Arial" w:hAnsi="Arial" w:cs="Arial" w:eastAsia="Arial" w:hint="default"/>
                <w:sz w:val="20"/>
                <w:szCs w:val="20"/>
              </w:rPr>
            </w:pPr>
            <w:r>
              <w:rPr>
                <w:rFonts w:ascii="Arial"/>
                <w:spacing w:val="-1"/>
                <w:sz w:val="20"/>
              </w:rPr>
              <w:t>28,243,467</w:t>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22,528,954</w:t>
            </w:r>
          </w:p>
        </w:tc>
      </w:tr>
      <w:tr>
        <w:trPr>
          <w:trHeight w:val="375" w:hRule="exact"/>
        </w:trPr>
        <w:tc>
          <w:tcPr>
            <w:tcW w:w="2808" w:type="dxa"/>
            <w:tcBorders>
              <w:top w:val="nil" w:sz="6" w:space="0" w:color="auto"/>
              <w:left w:val="nil" w:sz="6" w:space="0" w:color="auto"/>
              <w:bottom w:val="nil" w:sz="6" w:space="0" w:color="auto"/>
              <w:right w:val="nil" w:sz="6" w:space="0" w:color="auto"/>
            </w:tcBorders>
          </w:tcPr>
          <w:p>
            <w:pPr>
              <w:pStyle w:val="TableParagraph"/>
              <w:spacing w:line="226" w:lineRule="exact"/>
              <w:ind w:left="461" w:right="0"/>
              <w:jc w:val="left"/>
              <w:rPr>
                <w:rFonts w:ascii="黑体" w:hAnsi="黑体" w:cs="黑体" w:eastAsia="黑体" w:hint="default"/>
                <w:sz w:val="20"/>
                <w:szCs w:val="20"/>
              </w:rPr>
            </w:pPr>
            <w:r>
              <w:rPr>
                <w:rFonts w:ascii="黑体" w:hAnsi="黑体" w:cs="黑体" w:eastAsia="黑体" w:hint="default"/>
                <w:sz w:val="20"/>
                <w:szCs w:val="20"/>
              </w:rPr>
              <w:t>递延所得税资产</w:t>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8"/>
              <w:ind w:left="450" w:right="0"/>
              <w:jc w:val="center"/>
              <w:rPr>
                <w:rFonts w:ascii="Arial" w:hAnsi="Arial" w:cs="Arial" w:eastAsia="Arial" w:hint="default"/>
                <w:sz w:val="20"/>
                <w:szCs w:val="20"/>
              </w:rPr>
            </w:pPr>
            <w:r>
              <w:rPr>
                <w:rFonts w:ascii="Arial"/>
                <w:sz w:val="20"/>
              </w:rPr>
              <w:t>14</w:t>
            </w:r>
          </w:p>
        </w:tc>
        <w:tc>
          <w:tcPr>
            <w:tcW w:w="2031"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8"/>
              <w:ind w:right="4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26,223,791</w:t>
            </w:r>
            <w:r>
              <w:rPr>
                <w:rFonts w:ascii="Arial"/>
                <w:spacing w:val="-1"/>
                <w:sz w:val="20"/>
              </w:rPr>
            </w:r>
          </w:p>
        </w:tc>
        <w:tc>
          <w:tcPr>
            <w:tcW w:w="1761"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8"/>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7,694,308</w:t>
            </w:r>
            <w:r>
              <w:rPr>
                <w:rFonts w:ascii="Arial"/>
                <w:sz w:val="20"/>
              </w:rPr>
            </w:r>
          </w:p>
        </w:tc>
      </w:tr>
      <w:tr>
        <w:trPr>
          <w:trHeight w:val="490" w:hRule="exact"/>
        </w:trPr>
        <w:tc>
          <w:tcPr>
            <w:tcW w:w="280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0" w:right="0"/>
              <w:jc w:val="left"/>
              <w:rPr>
                <w:rFonts w:ascii="黑体" w:hAnsi="黑体" w:cs="黑体" w:eastAsia="黑体" w:hint="default"/>
                <w:sz w:val="20"/>
                <w:szCs w:val="20"/>
              </w:rPr>
            </w:pPr>
            <w:r>
              <w:rPr>
                <w:rFonts w:ascii="黑体" w:hAnsi="黑体" w:cs="黑体" w:eastAsia="黑体" w:hint="default"/>
                <w:sz w:val="20"/>
                <w:szCs w:val="20"/>
              </w:rPr>
              <w:t>非流动资产合计</w:t>
            </w:r>
          </w:p>
        </w:tc>
        <w:tc>
          <w:tcPr>
            <w:tcW w:w="2065" w:type="dxa"/>
            <w:tcBorders>
              <w:top w:val="nil" w:sz="6" w:space="0" w:color="auto"/>
              <w:left w:val="nil" w:sz="6" w:space="0" w:color="auto"/>
              <w:bottom w:val="nil" w:sz="6" w:space="0" w:color="auto"/>
              <w:right w:val="nil" w:sz="6" w:space="0" w:color="auto"/>
            </w:tcBorders>
          </w:tcPr>
          <w:p>
            <w:pPr/>
          </w:p>
        </w:tc>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433"/>
              <w:jc w:val="right"/>
              <w:rPr>
                <w:rFonts w:ascii="Arial" w:hAnsi="Arial" w:cs="Arial" w:eastAsia="Arial" w:hint="default"/>
                <w:sz w:val="20"/>
                <w:szCs w:val="20"/>
              </w:rPr>
            </w:pPr>
            <w:r>
              <w:rPr>
                <w:rFonts w:ascii="Arial"/>
                <w:w w:val="100"/>
                <w:sz w:val="20"/>
              </w:rPr>
            </w:r>
            <w:r>
              <w:rPr>
                <w:rFonts w:ascii="Arial"/>
                <w:spacing w:val="-2"/>
                <w:sz w:val="20"/>
                <w:u w:val="single" w:color="000000"/>
              </w:rPr>
              <w:t>1,942,823,498</w:t>
            </w:r>
            <w:r>
              <w:rPr>
                <w:rFonts w:ascii="Arial"/>
                <w:spacing w:val="-2"/>
                <w:sz w:val="20"/>
              </w:rPr>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Arial" w:hAnsi="Arial" w:cs="Arial" w:eastAsia="Arial" w:hint="default"/>
                <w:sz w:val="20"/>
                <w:szCs w:val="20"/>
              </w:rPr>
            </w:pPr>
            <w:r>
              <w:rPr>
                <w:rFonts w:ascii="Arial"/>
                <w:w w:val="100"/>
                <w:sz w:val="20"/>
              </w:rPr>
            </w:r>
            <w:r>
              <w:rPr>
                <w:rFonts w:ascii="Arial"/>
                <w:spacing w:val="-2"/>
                <w:sz w:val="20"/>
                <w:u w:val="single" w:color="000000"/>
              </w:rPr>
              <w:t>1,718,254,952</w:t>
            </w:r>
            <w:r>
              <w:rPr>
                <w:rFonts w:ascii="Arial"/>
                <w:spacing w:val="-2"/>
                <w:sz w:val="20"/>
              </w:rPr>
            </w:r>
          </w:p>
        </w:tc>
      </w:tr>
      <w:tr>
        <w:trPr>
          <w:trHeight w:val="449" w:hRule="exact"/>
        </w:trPr>
        <w:tc>
          <w:tcPr>
            <w:tcW w:w="280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黑体" w:hAnsi="黑体" w:cs="黑体" w:eastAsia="黑体" w:hint="default"/>
                <w:sz w:val="20"/>
                <w:szCs w:val="20"/>
              </w:rPr>
              <w:t>资产总计</w:t>
            </w:r>
          </w:p>
        </w:tc>
        <w:tc>
          <w:tcPr>
            <w:tcW w:w="2065" w:type="dxa"/>
            <w:tcBorders>
              <w:top w:val="nil" w:sz="6" w:space="0" w:color="auto"/>
              <w:left w:val="nil" w:sz="6" w:space="0" w:color="auto"/>
              <w:bottom w:val="nil" w:sz="6" w:space="0" w:color="auto"/>
              <w:right w:val="nil" w:sz="6" w:space="0" w:color="auto"/>
            </w:tcBorders>
          </w:tcPr>
          <w:p>
            <w:pPr/>
          </w:p>
        </w:tc>
        <w:tc>
          <w:tcPr>
            <w:tcW w:w="203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433"/>
              <w:jc w:val="right"/>
              <w:rPr>
                <w:rFonts w:ascii="Arial" w:hAnsi="Arial" w:cs="Arial" w:eastAsia="Arial" w:hint="default"/>
                <w:sz w:val="20"/>
                <w:szCs w:val="20"/>
              </w:rPr>
            </w:pPr>
            <w:r>
              <w:rPr>
                <w:rFonts w:ascii="Arial"/>
                <w:w w:val="100"/>
                <w:sz w:val="20"/>
              </w:rPr>
            </w:r>
            <w:r>
              <w:rPr>
                <w:rFonts w:ascii="Arial"/>
                <w:spacing w:val="-2"/>
                <w:sz w:val="20"/>
                <w:u w:val="thick" w:color="000000"/>
              </w:rPr>
              <w:t>3,510,099,509</w:t>
            </w:r>
            <w:r>
              <w:rPr>
                <w:rFonts w:ascii="Arial"/>
                <w:spacing w:val="-2"/>
                <w:sz w:val="20"/>
              </w:rPr>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Arial" w:hAnsi="Arial" w:cs="Arial" w:eastAsia="Arial" w:hint="default"/>
                <w:sz w:val="20"/>
                <w:szCs w:val="20"/>
              </w:rPr>
            </w:pPr>
            <w:r>
              <w:rPr>
                <w:rFonts w:ascii="Arial"/>
                <w:w w:val="100"/>
                <w:sz w:val="20"/>
              </w:rPr>
            </w:r>
            <w:r>
              <w:rPr>
                <w:rFonts w:ascii="Arial"/>
                <w:spacing w:val="-2"/>
                <w:sz w:val="20"/>
                <w:u w:val="thick" w:color="000000"/>
              </w:rPr>
              <w:t>2,882,678,236</w:t>
            </w:r>
            <w:r>
              <w:rPr>
                <w:rFonts w:ascii="Arial"/>
                <w:spacing w:val="-2"/>
                <w:sz w:val="20"/>
              </w:rPr>
            </w:r>
          </w:p>
        </w:tc>
      </w:tr>
    </w:tbl>
    <w:p>
      <w:pPr>
        <w:spacing w:after="0" w:line="240" w:lineRule="auto"/>
        <w:jc w:val="right"/>
        <w:rPr>
          <w:rFonts w:ascii="Arial" w:hAnsi="Arial" w:cs="Arial" w:eastAsia="Arial" w:hint="default"/>
          <w:sz w:val="20"/>
          <w:szCs w:val="20"/>
        </w:rPr>
        <w:sectPr>
          <w:headerReference w:type="default" r:id="rId37"/>
          <w:pgSz w:w="11910" w:h="16840"/>
          <w:pgMar w:header="958" w:footer="463" w:top="2520" w:bottom="660" w:left="1560" w:right="1460"/>
        </w:sectPr>
      </w:pPr>
    </w:p>
    <w:p>
      <w:pPr>
        <w:spacing w:line="240" w:lineRule="auto" w:before="4"/>
        <w:rPr>
          <w:rFonts w:ascii="Arial" w:hAnsi="Arial" w:cs="Arial" w:eastAsia="Arial" w:hint="default"/>
          <w:sz w:val="27"/>
          <w:szCs w:val="27"/>
        </w:rPr>
      </w:pPr>
    </w:p>
    <w:tbl>
      <w:tblPr>
        <w:tblW w:w="0" w:type="auto"/>
        <w:jc w:val="left"/>
        <w:tblInd w:w="116" w:type="dxa"/>
        <w:tblLayout w:type="fixed"/>
        <w:tblCellMar>
          <w:top w:w="0" w:type="dxa"/>
          <w:left w:w="0" w:type="dxa"/>
          <w:bottom w:w="0" w:type="dxa"/>
          <w:right w:w="0" w:type="dxa"/>
        </w:tblCellMar>
        <w:tblLook w:val="01E0"/>
      </w:tblPr>
      <w:tblGrid>
        <w:gridCol w:w="2630"/>
        <w:gridCol w:w="2290"/>
        <w:gridCol w:w="2148"/>
        <w:gridCol w:w="1628"/>
      </w:tblGrid>
      <w:tr>
        <w:trPr>
          <w:trHeight w:val="708" w:hRule="exact"/>
        </w:trPr>
        <w:tc>
          <w:tcPr>
            <w:tcW w:w="26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Arial" w:hAnsi="Arial" w:cs="Arial" w:eastAsia="Arial" w:hint="default"/>
                <w:sz w:val="25"/>
                <w:szCs w:val="25"/>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b/>
                <w:bCs/>
                <w:sz w:val="20"/>
                <w:szCs w:val="20"/>
              </w:rPr>
              <w:t>负债及股东权益</w:t>
            </w:r>
            <w:r>
              <w:rPr>
                <w:rFonts w:ascii="黑体" w:hAnsi="黑体" w:cs="黑体" w:eastAsia="黑体" w:hint="default"/>
                <w:sz w:val="20"/>
                <w:szCs w:val="20"/>
              </w:rPr>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Arial" w:hAnsi="Arial" w:cs="Arial" w:eastAsia="Arial" w:hint="default"/>
                <w:sz w:val="25"/>
                <w:szCs w:val="25"/>
              </w:rPr>
            </w:pPr>
          </w:p>
          <w:p>
            <w:pPr>
              <w:pStyle w:val="TableParagraph"/>
              <w:spacing w:line="240" w:lineRule="auto"/>
              <w:ind w:left="459" w:right="0"/>
              <w:jc w:val="center"/>
              <w:rPr>
                <w:rFonts w:ascii="黑体" w:hAnsi="黑体" w:cs="黑体" w:eastAsia="黑体" w:hint="default"/>
                <w:sz w:val="20"/>
                <w:szCs w:val="20"/>
              </w:rPr>
            </w:pPr>
            <w:r>
              <w:rPr>
                <w:rFonts w:ascii="黑体" w:hAnsi="黑体" w:cs="黑体" w:eastAsia="黑体" w:hint="default"/>
                <w:b/>
                <w:bCs/>
                <w:sz w:val="20"/>
                <w:szCs w:val="20"/>
              </w:rPr>
              <w:t>附注十三</w:t>
            </w:r>
            <w:r>
              <w:rPr>
                <w:rFonts w:ascii="黑体" w:hAnsi="黑体" w:cs="黑体" w:eastAsia="黑体" w:hint="default"/>
                <w:sz w:val="20"/>
                <w:szCs w:val="20"/>
              </w:rPr>
            </w:r>
          </w:p>
        </w:tc>
        <w:tc>
          <w:tcPr>
            <w:tcW w:w="2148" w:type="dxa"/>
            <w:tcBorders>
              <w:top w:val="nil" w:sz="6" w:space="0" w:color="auto"/>
              <w:left w:val="nil" w:sz="6" w:space="0" w:color="auto"/>
              <w:bottom w:val="nil" w:sz="6" w:space="0" w:color="auto"/>
              <w:right w:val="nil" w:sz="6" w:space="0" w:color="auto"/>
            </w:tcBorders>
          </w:tcPr>
          <w:p>
            <w:pPr>
              <w:pStyle w:val="TableParagraph"/>
              <w:spacing w:line="268" w:lineRule="exact" w:before="38"/>
              <w:ind w:left="1179" w:right="0"/>
              <w:jc w:val="left"/>
              <w:rPr>
                <w:rFonts w:ascii="黑体" w:hAnsi="黑体" w:cs="黑体" w:eastAsia="黑体" w:hint="default"/>
                <w:sz w:val="20"/>
                <w:szCs w:val="20"/>
              </w:rPr>
            </w:pPr>
            <w:r>
              <w:rPr>
                <w:rFonts w:ascii="Arial" w:hAnsi="Arial" w:cs="Arial" w:eastAsia="Arial" w:hint="default"/>
                <w:b/>
                <w:bCs/>
                <w:sz w:val="20"/>
                <w:szCs w:val="20"/>
              </w:rPr>
              <w:t>2009</w:t>
            </w:r>
            <w:r>
              <w:rPr>
                <w:rFonts w:ascii="黑体" w:hAnsi="黑体" w:cs="黑体" w:eastAsia="黑体" w:hint="default"/>
                <w:b/>
                <w:bCs/>
                <w:sz w:val="20"/>
                <w:szCs w:val="20"/>
              </w:rPr>
              <w:t>年</w:t>
            </w:r>
            <w:r>
              <w:rPr>
                <w:rFonts w:ascii="黑体" w:hAnsi="黑体" w:cs="黑体" w:eastAsia="黑体" w:hint="default"/>
                <w:sz w:val="20"/>
                <w:szCs w:val="20"/>
              </w:rPr>
            </w:r>
          </w:p>
          <w:p>
            <w:pPr>
              <w:pStyle w:val="TableParagraph"/>
              <w:spacing w:line="268" w:lineRule="exact"/>
              <w:ind w:left="979" w:right="0"/>
              <w:jc w:val="left"/>
              <w:rPr>
                <w:rFonts w:ascii="黑体" w:hAnsi="黑体" w:cs="黑体" w:eastAsia="黑体" w:hint="default"/>
                <w:sz w:val="20"/>
                <w:szCs w:val="20"/>
              </w:rPr>
            </w:pPr>
            <w:r>
              <w:rPr>
                <w:rFonts w:ascii="Arial" w:hAnsi="Arial" w:cs="Arial" w:eastAsia="Arial" w:hint="default"/>
                <w:b/>
                <w:bCs/>
                <w:sz w:val="20"/>
                <w:szCs w:val="20"/>
              </w:rPr>
              <w:t>12</w:t>
            </w:r>
            <w:r>
              <w:rPr>
                <w:rFonts w:ascii="黑体" w:hAnsi="黑体" w:cs="黑体" w:eastAsia="黑体" w:hint="default"/>
                <w:b/>
                <w:bCs/>
                <w:sz w:val="20"/>
                <w:szCs w:val="20"/>
              </w:rPr>
              <w:t>月</w:t>
            </w:r>
            <w:r>
              <w:rPr>
                <w:rFonts w:ascii="Arial" w:hAnsi="Arial" w:cs="Arial" w:eastAsia="Arial" w:hint="default"/>
                <w:b/>
                <w:bCs/>
                <w:sz w:val="20"/>
                <w:szCs w:val="20"/>
              </w:rPr>
              <w:t>31</w:t>
            </w:r>
            <w:r>
              <w:rPr>
                <w:rFonts w:ascii="黑体" w:hAnsi="黑体" w:cs="黑体" w:eastAsia="黑体" w:hint="default"/>
                <w:b/>
                <w:bCs/>
                <w:sz w:val="20"/>
                <w:szCs w:val="20"/>
              </w:rPr>
              <w:t>日</w:t>
            </w:r>
            <w:r>
              <w:rPr>
                <w:rFonts w:ascii="黑体" w:hAnsi="黑体" w:cs="黑体" w:eastAsia="黑体" w:hint="default"/>
                <w:sz w:val="20"/>
                <w:szCs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68" w:lineRule="exact" w:before="38"/>
              <w:ind w:left="944" w:right="0"/>
              <w:jc w:val="left"/>
              <w:rPr>
                <w:rFonts w:ascii="黑体" w:hAnsi="黑体" w:cs="黑体" w:eastAsia="黑体" w:hint="default"/>
                <w:sz w:val="20"/>
                <w:szCs w:val="20"/>
              </w:rPr>
            </w:pPr>
            <w:r>
              <w:rPr>
                <w:rFonts w:ascii="Arial" w:hAnsi="Arial" w:cs="Arial" w:eastAsia="Arial" w:hint="default"/>
                <w:b/>
                <w:bCs/>
                <w:sz w:val="20"/>
                <w:szCs w:val="20"/>
              </w:rPr>
              <w:t>2008</w:t>
            </w:r>
            <w:r>
              <w:rPr>
                <w:rFonts w:ascii="黑体" w:hAnsi="黑体" w:cs="黑体" w:eastAsia="黑体" w:hint="default"/>
                <w:b/>
                <w:bCs/>
                <w:sz w:val="20"/>
                <w:szCs w:val="20"/>
              </w:rPr>
              <w:t>年</w:t>
            </w:r>
            <w:r>
              <w:rPr>
                <w:rFonts w:ascii="黑体" w:hAnsi="黑体" w:cs="黑体" w:eastAsia="黑体" w:hint="default"/>
                <w:sz w:val="20"/>
                <w:szCs w:val="20"/>
              </w:rPr>
            </w:r>
          </w:p>
          <w:p>
            <w:pPr>
              <w:pStyle w:val="TableParagraph"/>
              <w:spacing w:line="268" w:lineRule="exact"/>
              <w:ind w:left="744" w:right="0"/>
              <w:jc w:val="left"/>
              <w:rPr>
                <w:rFonts w:ascii="黑体" w:hAnsi="黑体" w:cs="黑体" w:eastAsia="黑体" w:hint="default"/>
                <w:sz w:val="20"/>
                <w:szCs w:val="20"/>
              </w:rPr>
            </w:pPr>
            <w:r>
              <w:rPr>
                <w:rFonts w:ascii="Arial" w:hAnsi="Arial" w:cs="Arial" w:eastAsia="Arial" w:hint="default"/>
                <w:b/>
                <w:bCs/>
                <w:sz w:val="20"/>
                <w:szCs w:val="20"/>
              </w:rPr>
              <w:t>12</w:t>
            </w:r>
            <w:r>
              <w:rPr>
                <w:rFonts w:ascii="黑体" w:hAnsi="黑体" w:cs="黑体" w:eastAsia="黑体" w:hint="default"/>
                <w:b/>
                <w:bCs/>
                <w:sz w:val="20"/>
                <w:szCs w:val="20"/>
              </w:rPr>
              <w:t>月</w:t>
            </w:r>
            <w:r>
              <w:rPr>
                <w:rFonts w:ascii="Arial" w:hAnsi="Arial" w:cs="Arial" w:eastAsia="Arial" w:hint="default"/>
                <w:b/>
                <w:bCs/>
                <w:sz w:val="20"/>
                <w:szCs w:val="20"/>
              </w:rPr>
              <w:t>31</w:t>
            </w:r>
            <w:r>
              <w:rPr>
                <w:rFonts w:ascii="黑体" w:hAnsi="黑体" w:cs="黑体" w:eastAsia="黑体" w:hint="default"/>
                <w:b/>
                <w:bCs/>
                <w:sz w:val="20"/>
                <w:szCs w:val="20"/>
              </w:rPr>
              <w:t>日</w:t>
            </w:r>
            <w:r>
              <w:rPr>
                <w:rFonts w:ascii="黑体" w:hAnsi="黑体" w:cs="黑体" w:eastAsia="黑体" w:hint="default"/>
                <w:sz w:val="20"/>
                <w:szCs w:val="20"/>
              </w:rPr>
            </w:r>
          </w:p>
        </w:tc>
      </w:tr>
      <w:tr>
        <w:trPr>
          <w:trHeight w:val="511" w:hRule="exact"/>
        </w:trPr>
        <w:tc>
          <w:tcPr>
            <w:tcW w:w="263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Arial" w:hAnsi="Arial" w:cs="Arial" w:eastAsia="Arial" w:hint="default"/>
                <w:sz w:val="20"/>
                <w:szCs w:val="20"/>
              </w:rPr>
            </w:pPr>
            <w:r>
              <w:rPr>
                <w:rFonts w:ascii="黑体" w:hAnsi="黑体" w:cs="黑体" w:eastAsia="黑体" w:hint="default"/>
                <w:sz w:val="20"/>
                <w:szCs w:val="20"/>
              </w:rPr>
              <w:t>流动负债</w:t>
            </w:r>
            <w:r>
              <w:rPr>
                <w:rFonts w:ascii="Arial" w:hAnsi="Arial" w:cs="Arial" w:eastAsia="Arial" w:hint="default"/>
                <w:sz w:val="20"/>
                <w:szCs w:val="20"/>
              </w:rPr>
              <w:t>:</w:t>
            </w:r>
          </w:p>
        </w:tc>
        <w:tc>
          <w:tcPr>
            <w:tcW w:w="2290"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
        </w:tc>
        <w:tc>
          <w:tcPr>
            <w:tcW w:w="1628" w:type="dxa"/>
            <w:tcBorders>
              <w:top w:val="nil" w:sz="6" w:space="0" w:color="auto"/>
              <w:left w:val="nil" w:sz="6" w:space="0" w:color="auto"/>
              <w:bottom w:val="nil" w:sz="6" w:space="0" w:color="auto"/>
              <w:right w:val="nil" w:sz="6" w:space="0" w:color="auto"/>
            </w:tcBorders>
          </w:tcPr>
          <w:p>
            <w:pPr/>
          </w:p>
        </w:tc>
      </w:tr>
      <w:tr>
        <w:trPr>
          <w:trHeight w:val="395" w:hRule="exact"/>
        </w:trPr>
        <w:tc>
          <w:tcPr>
            <w:tcW w:w="2630"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455" w:right="0"/>
              <w:jc w:val="left"/>
              <w:rPr>
                <w:rFonts w:ascii="黑体" w:hAnsi="黑体" w:cs="黑体" w:eastAsia="黑体" w:hint="default"/>
                <w:sz w:val="20"/>
                <w:szCs w:val="20"/>
              </w:rPr>
            </w:pPr>
            <w:r>
              <w:rPr>
                <w:rFonts w:ascii="黑体" w:hAnsi="黑体" w:cs="黑体" w:eastAsia="黑体" w:hint="default"/>
                <w:sz w:val="20"/>
                <w:szCs w:val="20"/>
              </w:rPr>
              <w:t>应付账款</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460" w:right="0"/>
              <w:jc w:val="center"/>
              <w:rPr>
                <w:rFonts w:ascii="Arial" w:hAnsi="Arial" w:cs="Arial" w:eastAsia="Arial" w:hint="default"/>
                <w:sz w:val="20"/>
                <w:szCs w:val="20"/>
              </w:rPr>
            </w:pPr>
            <w:r>
              <w:rPr>
                <w:rFonts w:ascii="Arial"/>
                <w:sz w:val="20"/>
              </w:rPr>
              <w:t>16</w:t>
            </w: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319"/>
              <w:jc w:val="right"/>
              <w:rPr>
                <w:rFonts w:ascii="Arial" w:hAnsi="Arial" w:cs="Arial" w:eastAsia="Arial" w:hint="default"/>
                <w:sz w:val="20"/>
                <w:szCs w:val="20"/>
              </w:rPr>
            </w:pPr>
            <w:r>
              <w:rPr>
                <w:rFonts w:ascii="Arial"/>
                <w:spacing w:val="-1"/>
                <w:sz w:val="20"/>
              </w:rPr>
              <w:t>15,257,607</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34"/>
              <w:jc w:val="right"/>
              <w:rPr>
                <w:rFonts w:ascii="Arial" w:hAnsi="Arial" w:cs="Arial" w:eastAsia="Arial" w:hint="default"/>
                <w:sz w:val="20"/>
                <w:szCs w:val="20"/>
              </w:rPr>
            </w:pPr>
            <w:r>
              <w:rPr>
                <w:rFonts w:ascii="Arial"/>
                <w:spacing w:val="-1"/>
                <w:sz w:val="20"/>
              </w:rPr>
              <w:t>7,708,331</w:t>
            </w:r>
          </w:p>
        </w:tc>
      </w:tr>
      <w:tr>
        <w:trPr>
          <w:trHeight w:val="259" w:hRule="exact"/>
        </w:trPr>
        <w:tc>
          <w:tcPr>
            <w:tcW w:w="2630" w:type="dxa"/>
            <w:tcBorders>
              <w:top w:val="nil" w:sz="6" w:space="0" w:color="auto"/>
              <w:left w:val="nil" w:sz="6" w:space="0" w:color="auto"/>
              <w:bottom w:val="nil" w:sz="6" w:space="0" w:color="auto"/>
              <w:right w:val="nil" w:sz="6" w:space="0" w:color="auto"/>
            </w:tcBorders>
          </w:tcPr>
          <w:p>
            <w:pPr>
              <w:pStyle w:val="TableParagraph"/>
              <w:spacing w:line="226" w:lineRule="exact"/>
              <w:ind w:left="455" w:right="0"/>
              <w:jc w:val="left"/>
              <w:rPr>
                <w:rFonts w:ascii="黑体" w:hAnsi="黑体" w:cs="黑体" w:eastAsia="黑体" w:hint="default"/>
                <w:sz w:val="20"/>
                <w:szCs w:val="20"/>
              </w:rPr>
            </w:pPr>
            <w:r>
              <w:rPr>
                <w:rFonts w:ascii="黑体" w:hAnsi="黑体" w:cs="黑体" w:eastAsia="黑体" w:hint="default"/>
                <w:sz w:val="20"/>
                <w:szCs w:val="20"/>
              </w:rPr>
              <w:t>预收款项</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8"/>
              <w:ind w:left="461" w:right="0"/>
              <w:jc w:val="center"/>
              <w:rPr>
                <w:rFonts w:ascii="Arial" w:hAnsi="Arial" w:cs="Arial" w:eastAsia="Arial" w:hint="default"/>
                <w:sz w:val="20"/>
                <w:szCs w:val="20"/>
              </w:rPr>
            </w:pPr>
            <w:r>
              <w:rPr>
                <w:rFonts w:ascii="Arial"/>
                <w:sz w:val="20"/>
              </w:rPr>
              <w:t>17</w:t>
            </w: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18"/>
              <w:jc w:val="right"/>
              <w:rPr>
                <w:rFonts w:ascii="Arial" w:hAnsi="Arial" w:cs="Arial" w:eastAsia="Arial" w:hint="default"/>
                <w:sz w:val="20"/>
                <w:szCs w:val="20"/>
              </w:rPr>
            </w:pPr>
            <w:r>
              <w:rPr>
                <w:rFonts w:ascii="Arial"/>
                <w:spacing w:val="-1"/>
                <w:sz w:val="20"/>
              </w:rPr>
              <w:t>202,594,204</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160,871,522</w:t>
            </w:r>
          </w:p>
        </w:tc>
      </w:tr>
      <w:tr>
        <w:trPr>
          <w:trHeight w:val="259" w:hRule="exact"/>
        </w:trPr>
        <w:tc>
          <w:tcPr>
            <w:tcW w:w="2630" w:type="dxa"/>
            <w:tcBorders>
              <w:top w:val="nil" w:sz="6" w:space="0" w:color="auto"/>
              <w:left w:val="nil" w:sz="6" w:space="0" w:color="auto"/>
              <w:bottom w:val="nil" w:sz="6" w:space="0" w:color="auto"/>
              <w:right w:val="nil" w:sz="6" w:space="0" w:color="auto"/>
            </w:tcBorders>
          </w:tcPr>
          <w:p>
            <w:pPr>
              <w:pStyle w:val="TableParagraph"/>
              <w:spacing w:line="226" w:lineRule="exact"/>
              <w:ind w:right="971"/>
              <w:jc w:val="right"/>
              <w:rPr>
                <w:rFonts w:ascii="黑体" w:hAnsi="黑体" w:cs="黑体" w:eastAsia="黑体" w:hint="default"/>
                <w:sz w:val="20"/>
                <w:szCs w:val="20"/>
              </w:rPr>
            </w:pPr>
            <w:r>
              <w:rPr>
                <w:rFonts w:ascii="黑体" w:hAnsi="黑体" w:cs="黑体" w:eastAsia="黑体" w:hint="default"/>
                <w:spacing w:val="-1"/>
                <w:sz w:val="20"/>
                <w:szCs w:val="20"/>
              </w:rPr>
              <w:t>应付职工薪酬</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8"/>
              <w:ind w:left="461" w:right="0"/>
              <w:jc w:val="center"/>
              <w:rPr>
                <w:rFonts w:ascii="Arial" w:hAnsi="Arial" w:cs="Arial" w:eastAsia="Arial" w:hint="default"/>
                <w:sz w:val="20"/>
                <w:szCs w:val="20"/>
              </w:rPr>
            </w:pPr>
            <w:r>
              <w:rPr>
                <w:rFonts w:ascii="Arial"/>
                <w:sz w:val="20"/>
              </w:rPr>
              <w:t>18</w:t>
            </w: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17"/>
              <w:jc w:val="right"/>
              <w:rPr>
                <w:rFonts w:ascii="Arial" w:hAnsi="Arial" w:cs="Arial" w:eastAsia="Arial" w:hint="default"/>
                <w:sz w:val="20"/>
                <w:szCs w:val="20"/>
              </w:rPr>
            </w:pPr>
            <w:r>
              <w:rPr>
                <w:rFonts w:ascii="Arial"/>
                <w:spacing w:val="-1"/>
                <w:sz w:val="20"/>
              </w:rPr>
              <w:t>236,899,659</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126,812,364</w:t>
            </w:r>
          </w:p>
        </w:tc>
      </w:tr>
      <w:tr>
        <w:trPr>
          <w:trHeight w:val="259" w:hRule="exact"/>
        </w:trPr>
        <w:tc>
          <w:tcPr>
            <w:tcW w:w="2630" w:type="dxa"/>
            <w:tcBorders>
              <w:top w:val="nil" w:sz="6" w:space="0" w:color="auto"/>
              <w:left w:val="nil" w:sz="6" w:space="0" w:color="auto"/>
              <w:bottom w:val="nil" w:sz="6" w:space="0" w:color="auto"/>
              <w:right w:val="nil" w:sz="6" w:space="0" w:color="auto"/>
            </w:tcBorders>
          </w:tcPr>
          <w:p>
            <w:pPr>
              <w:pStyle w:val="TableParagraph"/>
              <w:spacing w:line="226" w:lineRule="exact"/>
              <w:ind w:left="455" w:right="0"/>
              <w:jc w:val="left"/>
              <w:rPr>
                <w:rFonts w:ascii="黑体" w:hAnsi="黑体" w:cs="黑体" w:eastAsia="黑体" w:hint="default"/>
                <w:sz w:val="20"/>
                <w:szCs w:val="20"/>
              </w:rPr>
            </w:pPr>
            <w:r>
              <w:rPr>
                <w:rFonts w:ascii="黑体" w:hAnsi="黑体" w:cs="黑体" w:eastAsia="黑体" w:hint="default"/>
                <w:sz w:val="20"/>
                <w:szCs w:val="20"/>
              </w:rPr>
              <w:t>应交税费</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8"/>
              <w:ind w:left="462" w:right="0"/>
              <w:jc w:val="center"/>
              <w:rPr>
                <w:rFonts w:ascii="Arial" w:hAnsi="Arial" w:cs="Arial" w:eastAsia="Arial" w:hint="default"/>
                <w:sz w:val="20"/>
                <w:szCs w:val="20"/>
              </w:rPr>
            </w:pPr>
            <w:r>
              <w:rPr>
                <w:rFonts w:ascii="Arial"/>
                <w:sz w:val="20"/>
              </w:rPr>
              <w:t>19</w:t>
            </w: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17"/>
              <w:jc w:val="right"/>
              <w:rPr>
                <w:rFonts w:ascii="Arial" w:hAnsi="Arial" w:cs="Arial" w:eastAsia="Arial" w:hint="default"/>
                <w:sz w:val="20"/>
                <w:szCs w:val="20"/>
              </w:rPr>
            </w:pPr>
            <w:r>
              <w:rPr>
                <w:rFonts w:ascii="Arial"/>
                <w:spacing w:val="-1"/>
                <w:sz w:val="20"/>
              </w:rPr>
              <w:t>118,717,153</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78,851,452</w:t>
            </w:r>
          </w:p>
        </w:tc>
      </w:tr>
      <w:tr>
        <w:trPr>
          <w:trHeight w:val="259" w:hRule="exact"/>
        </w:trPr>
        <w:tc>
          <w:tcPr>
            <w:tcW w:w="2630" w:type="dxa"/>
            <w:tcBorders>
              <w:top w:val="nil" w:sz="6" w:space="0" w:color="auto"/>
              <w:left w:val="nil" w:sz="6" w:space="0" w:color="auto"/>
              <w:bottom w:val="nil" w:sz="6" w:space="0" w:color="auto"/>
              <w:right w:val="nil" w:sz="6" w:space="0" w:color="auto"/>
            </w:tcBorders>
          </w:tcPr>
          <w:p>
            <w:pPr>
              <w:pStyle w:val="TableParagraph"/>
              <w:spacing w:line="226" w:lineRule="exact"/>
              <w:ind w:left="455" w:right="0"/>
              <w:jc w:val="left"/>
              <w:rPr>
                <w:rFonts w:ascii="黑体" w:hAnsi="黑体" w:cs="黑体" w:eastAsia="黑体" w:hint="default"/>
                <w:sz w:val="20"/>
                <w:szCs w:val="20"/>
              </w:rPr>
            </w:pPr>
            <w:r>
              <w:rPr>
                <w:rFonts w:ascii="黑体" w:hAnsi="黑体" w:cs="黑体" w:eastAsia="黑体" w:hint="default"/>
                <w:sz w:val="20"/>
                <w:szCs w:val="20"/>
              </w:rPr>
              <w:t>其他应付款</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8"/>
              <w:ind w:left="462" w:right="0"/>
              <w:jc w:val="center"/>
              <w:rPr>
                <w:rFonts w:ascii="Arial" w:hAnsi="Arial" w:cs="Arial" w:eastAsia="Arial" w:hint="default"/>
                <w:sz w:val="20"/>
                <w:szCs w:val="20"/>
              </w:rPr>
            </w:pPr>
            <w:r>
              <w:rPr>
                <w:rFonts w:ascii="Arial"/>
                <w:sz w:val="20"/>
              </w:rPr>
              <w:t>20</w:t>
            </w: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17"/>
              <w:jc w:val="right"/>
              <w:rPr>
                <w:rFonts w:ascii="Arial" w:hAnsi="Arial" w:cs="Arial" w:eastAsia="Arial" w:hint="default"/>
                <w:sz w:val="20"/>
                <w:szCs w:val="20"/>
              </w:rPr>
            </w:pPr>
            <w:r>
              <w:rPr>
                <w:rFonts w:ascii="Arial"/>
                <w:spacing w:val="-1"/>
                <w:sz w:val="20"/>
              </w:rPr>
              <w:t>300,588,388</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329,205,411</w:t>
            </w:r>
          </w:p>
        </w:tc>
      </w:tr>
      <w:tr>
        <w:trPr>
          <w:trHeight w:val="375" w:hRule="exact"/>
        </w:trPr>
        <w:tc>
          <w:tcPr>
            <w:tcW w:w="2630" w:type="dxa"/>
            <w:tcBorders>
              <w:top w:val="nil" w:sz="6" w:space="0" w:color="auto"/>
              <w:left w:val="nil" w:sz="6" w:space="0" w:color="auto"/>
              <w:bottom w:val="nil" w:sz="6" w:space="0" w:color="auto"/>
              <w:right w:val="nil" w:sz="6" w:space="0" w:color="auto"/>
            </w:tcBorders>
          </w:tcPr>
          <w:p>
            <w:pPr>
              <w:pStyle w:val="TableParagraph"/>
              <w:spacing w:line="226" w:lineRule="exact"/>
              <w:ind w:right="971"/>
              <w:jc w:val="right"/>
              <w:rPr>
                <w:rFonts w:ascii="黑体" w:hAnsi="黑体" w:cs="黑体" w:eastAsia="黑体" w:hint="default"/>
                <w:sz w:val="20"/>
                <w:szCs w:val="20"/>
              </w:rPr>
            </w:pPr>
            <w:r>
              <w:rPr>
                <w:rFonts w:ascii="黑体" w:hAnsi="黑体" w:cs="黑体" w:eastAsia="黑体" w:hint="default"/>
                <w:spacing w:val="-1"/>
                <w:sz w:val="20"/>
                <w:szCs w:val="20"/>
              </w:rPr>
              <w:t>其他流动负债</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8"/>
              <w:ind w:left="462" w:right="0"/>
              <w:jc w:val="center"/>
              <w:rPr>
                <w:rFonts w:ascii="Arial" w:hAnsi="Arial" w:cs="Arial" w:eastAsia="Arial" w:hint="default"/>
                <w:sz w:val="20"/>
                <w:szCs w:val="20"/>
              </w:rPr>
            </w:pPr>
            <w:r>
              <w:rPr>
                <w:rFonts w:ascii="Arial"/>
                <w:sz w:val="20"/>
              </w:rPr>
              <w:t>21</w:t>
            </w:r>
          </w:p>
        </w:tc>
        <w:tc>
          <w:tcPr>
            <w:tcW w:w="2148" w:type="dxa"/>
            <w:tcBorders>
              <w:top w:val="nil" w:sz="6" w:space="0" w:color="auto"/>
              <w:left w:val="nil" w:sz="6" w:space="0" w:color="auto"/>
              <w:bottom w:val="nil" w:sz="6" w:space="0" w:color="auto"/>
              <w:right w:val="nil" w:sz="6" w:space="0" w:color="auto"/>
            </w:tcBorders>
          </w:tcPr>
          <w:p>
            <w:pPr>
              <w:pStyle w:val="TableParagraph"/>
              <w:tabs>
                <w:tab w:pos="399" w:val="left" w:leader="none"/>
              </w:tabs>
              <w:spacing w:line="240" w:lineRule="auto" w:before="8"/>
              <w:ind w:right="31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2,914,881</w:t>
            </w:r>
            <w:r>
              <w:rPr>
                <w:rFonts w:ascii="Arial"/>
                <w:sz w:val="20"/>
              </w:rPr>
            </w:r>
          </w:p>
        </w:tc>
        <w:tc>
          <w:tcPr>
            <w:tcW w:w="1628" w:type="dxa"/>
            <w:tcBorders>
              <w:top w:val="nil" w:sz="6" w:space="0" w:color="auto"/>
              <w:left w:val="nil" w:sz="6" w:space="0" w:color="auto"/>
              <w:bottom w:val="nil" w:sz="6" w:space="0" w:color="auto"/>
              <w:right w:val="nil" w:sz="6" w:space="0" w:color="auto"/>
            </w:tcBorders>
          </w:tcPr>
          <w:p>
            <w:pPr>
              <w:pStyle w:val="TableParagraph"/>
              <w:tabs>
                <w:tab w:pos="379" w:val="left" w:leader="none"/>
              </w:tabs>
              <w:spacing w:line="240" w:lineRule="auto" w:before="8"/>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2,362,240</w:t>
            </w:r>
            <w:r>
              <w:rPr>
                <w:rFonts w:ascii="Arial"/>
                <w:spacing w:val="-1"/>
                <w:sz w:val="20"/>
              </w:rPr>
            </w:r>
          </w:p>
        </w:tc>
      </w:tr>
      <w:tr>
        <w:trPr>
          <w:trHeight w:val="449" w:hRule="exact"/>
        </w:trPr>
        <w:tc>
          <w:tcPr>
            <w:tcW w:w="263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972"/>
              <w:jc w:val="right"/>
              <w:rPr>
                <w:rFonts w:ascii="黑体" w:hAnsi="黑体" w:cs="黑体" w:eastAsia="黑体" w:hint="default"/>
                <w:sz w:val="20"/>
                <w:szCs w:val="20"/>
              </w:rPr>
            </w:pPr>
            <w:r>
              <w:rPr>
                <w:rFonts w:ascii="黑体" w:hAnsi="黑体" w:cs="黑体" w:eastAsia="黑体" w:hint="default"/>
                <w:spacing w:val="-1"/>
                <w:sz w:val="20"/>
                <w:szCs w:val="20"/>
              </w:rPr>
              <w:t>流动负债合计</w:t>
            </w:r>
          </w:p>
        </w:tc>
        <w:tc>
          <w:tcPr>
            <w:tcW w:w="2290" w:type="dxa"/>
            <w:tcBorders>
              <w:top w:val="nil" w:sz="6" w:space="0" w:color="auto"/>
              <w:left w:val="nil" w:sz="6" w:space="0" w:color="auto"/>
              <w:bottom w:val="nil" w:sz="6" w:space="0" w:color="auto"/>
              <w:right w:val="nil" w:sz="6" w:space="0" w:color="auto"/>
            </w:tcBorders>
          </w:tcPr>
          <w:p>
            <w:pP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1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pacing w:val="-1"/>
                <w:sz w:val="20"/>
                <w:u w:val="single" w:color="000000"/>
              </w:rPr>
              <w:t>876,971,892</w:t>
            </w:r>
            <w:r>
              <w:rPr>
                <w:rFonts w:ascii="Arial"/>
                <w:spacing w:val="-1"/>
                <w:sz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8"/>
                <w:sz w:val="20"/>
                <w:u w:val="single" w:color="000000"/>
              </w:rPr>
              <w:t> </w:t>
            </w:r>
            <w:r>
              <w:rPr>
                <w:rFonts w:ascii="Arial"/>
                <w:spacing w:val="-2"/>
                <w:sz w:val="20"/>
                <w:u w:val="single" w:color="000000"/>
              </w:rPr>
              <w:t>705,811,320</w:t>
            </w:r>
            <w:r>
              <w:rPr>
                <w:rFonts w:ascii="Arial"/>
                <w:spacing w:val="-2"/>
                <w:sz w:val="20"/>
              </w:rPr>
            </w:r>
          </w:p>
        </w:tc>
      </w:tr>
    </w:tbl>
    <w:p>
      <w:pPr>
        <w:spacing w:line="240" w:lineRule="auto" w:before="1"/>
        <w:rPr>
          <w:rFonts w:ascii="Arial" w:hAnsi="Arial" w:cs="Arial" w:eastAsia="Arial" w:hint="default"/>
          <w:sz w:val="12"/>
          <w:szCs w:val="12"/>
        </w:rPr>
      </w:pPr>
    </w:p>
    <w:p>
      <w:pPr>
        <w:pStyle w:val="BodyText"/>
        <w:spacing w:line="240" w:lineRule="auto" w:before="38"/>
        <w:ind w:left="151" w:right="210"/>
        <w:jc w:val="left"/>
        <w:rPr>
          <w:rFonts w:ascii="Arial" w:hAnsi="Arial" w:cs="Arial" w:eastAsia="Arial" w:hint="default"/>
        </w:rPr>
      </w:pPr>
      <w:r>
        <w:rPr/>
        <w:t>非流动负债</w:t>
      </w:r>
      <w:r>
        <w:rPr>
          <w:rFonts w:ascii="Arial" w:hAnsi="Arial" w:cs="Arial" w:eastAsia="Arial" w:hint="default"/>
        </w:rPr>
        <w:t>:</w:t>
      </w:r>
    </w:p>
    <w:p>
      <w:pPr>
        <w:spacing w:line="240" w:lineRule="auto" w:before="11"/>
        <w:rPr>
          <w:rFonts w:ascii="Arial" w:hAnsi="Arial" w:cs="Arial" w:eastAsia="Arial" w:hint="default"/>
          <w:sz w:val="18"/>
          <w:szCs w:val="18"/>
        </w:rPr>
      </w:pPr>
    </w:p>
    <w:tbl>
      <w:tblPr>
        <w:tblW w:w="0" w:type="auto"/>
        <w:jc w:val="left"/>
        <w:tblInd w:w="116" w:type="dxa"/>
        <w:tblLayout w:type="fixed"/>
        <w:tblCellMar>
          <w:top w:w="0" w:type="dxa"/>
          <w:left w:w="0" w:type="dxa"/>
          <w:bottom w:w="0" w:type="dxa"/>
          <w:right w:w="0" w:type="dxa"/>
        </w:tblCellMar>
        <w:tblLook w:val="01E0"/>
      </w:tblPr>
      <w:tblGrid>
        <w:gridCol w:w="2675"/>
        <w:gridCol w:w="2301"/>
        <w:gridCol w:w="2081"/>
        <w:gridCol w:w="1638"/>
      </w:tblGrid>
      <w:tr>
        <w:trPr>
          <w:trHeight w:val="333" w:hRule="exact"/>
        </w:trPr>
        <w:tc>
          <w:tcPr>
            <w:tcW w:w="267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55" w:right="0"/>
              <w:jc w:val="left"/>
              <w:rPr>
                <w:rFonts w:ascii="黑体" w:hAnsi="黑体" w:cs="黑体" w:eastAsia="黑体" w:hint="default"/>
                <w:sz w:val="20"/>
                <w:szCs w:val="20"/>
              </w:rPr>
            </w:pPr>
            <w:r>
              <w:rPr>
                <w:rFonts w:ascii="黑体" w:hAnsi="黑体" w:cs="黑体" w:eastAsia="黑体" w:hint="default"/>
                <w:sz w:val="20"/>
                <w:szCs w:val="20"/>
              </w:rPr>
              <w:t>递延收益</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60" w:right="0"/>
              <w:jc w:val="center"/>
              <w:rPr>
                <w:rFonts w:ascii="Arial" w:hAnsi="Arial" w:cs="Arial" w:eastAsia="Arial" w:hint="default"/>
                <w:sz w:val="20"/>
                <w:szCs w:val="20"/>
              </w:rPr>
            </w:pPr>
            <w:r>
              <w:rPr>
                <w:rFonts w:ascii="Arial"/>
                <w:sz w:val="20"/>
              </w:rPr>
              <w:t>22</w:t>
            </w:r>
          </w:p>
        </w:tc>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09"/>
              <w:jc w:val="right"/>
              <w:rPr>
                <w:rFonts w:ascii="Arial" w:hAnsi="Arial" w:cs="Arial" w:eastAsia="Arial" w:hint="default"/>
                <w:sz w:val="20"/>
                <w:szCs w:val="20"/>
              </w:rPr>
            </w:pPr>
            <w:r>
              <w:rPr>
                <w:rFonts w:ascii="Arial"/>
                <w:spacing w:val="-1"/>
                <w:sz w:val="20"/>
              </w:rPr>
              <w:t>13,230,000</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4"/>
              <w:jc w:val="right"/>
              <w:rPr>
                <w:rFonts w:ascii="Arial" w:hAnsi="Arial" w:cs="Arial" w:eastAsia="Arial" w:hint="default"/>
                <w:sz w:val="20"/>
                <w:szCs w:val="20"/>
              </w:rPr>
            </w:pPr>
            <w:r>
              <w:rPr>
                <w:rFonts w:ascii="Arial"/>
                <w:spacing w:val="-1"/>
                <w:sz w:val="20"/>
              </w:rPr>
              <w:t>22,391,800</w:t>
            </w:r>
          </w:p>
        </w:tc>
      </w:tr>
      <w:tr>
        <w:trPr>
          <w:trHeight w:val="375" w:hRule="exact"/>
        </w:trPr>
        <w:tc>
          <w:tcPr>
            <w:tcW w:w="2675" w:type="dxa"/>
            <w:tcBorders>
              <w:top w:val="nil" w:sz="6" w:space="0" w:color="auto"/>
              <w:left w:val="nil" w:sz="6" w:space="0" w:color="auto"/>
              <w:bottom w:val="nil" w:sz="6" w:space="0" w:color="auto"/>
              <w:right w:val="nil" w:sz="6" w:space="0" w:color="auto"/>
            </w:tcBorders>
          </w:tcPr>
          <w:p>
            <w:pPr>
              <w:pStyle w:val="TableParagraph"/>
              <w:spacing w:line="226" w:lineRule="exact"/>
              <w:ind w:left="455" w:right="0"/>
              <w:jc w:val="left"/>
              <w:rPr>
                <w:rFonts w:ascii="黑体" w:hAnsi="黑体" w:cs="黑体" w:eastAsia="黑体" w:hint="default"/>
                <w:sz w:val="20"/>
                <w:szCs w:val="20"/>
              </w:rPr>
            </w:pPr>
            <w:r>
              <w:rPr>
                <w:rFonts w:ascii="黑体" w:hAnsi="黑体" w:cs="黑体" w:eastAsia="黑体" w:hint="default"/>
                <w:sz w:val="20"/>
                <w:szCs w:val="20"/>
              </w:rPr>
              <w:t>递延所得税负债</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8"/>
              <w:ind w:left="360" w:right="0"/>
              <w:jc w:val="center"/>
              <w:rPr>
                <w:rFonts w:ascii="Arial" w:hAnsi="Arial" w:cs="Arial" w:eastAsia="Arial" w:hint="default"/>
                <w:sz w:val="20"/>
                <w:szCs w:val="20"/>
              </w:rPr>
            </w:pPr>
            <w:r>
              <w:rPr>
                <w:rFonts w:ascii="Arial"/>
                <w:sz w:val="20"/>
              </w:rPr>
              <w:t>14</w:t>
            </w:r>
          </w:p>
        </w:tc>
        <w:tc>
          <w:tcPr>
            <w:tcW w:w="2081" w:type="dxa"/>
            <w:tcBorders>
              <w:top w:val="nil" w:sz="6" w:space="0" w:color="auto"/>
              <w:left w:val="nil" w:sz="6" w:space="0" w:color="auto"/>
              <w:bottom w:val="nil" w:sz="6" w:space="0" w:color="auto"/>
              <w:right w:val="nil" w:sz="6" w:space="0" w:color="auto"/>
            </w:tcBorders>
          </w:tcPr>
          <w:p>
            <w:pPr>
              <w:pStyle w:val="TableParagraph"/>
              <w:tabs>
                <w:tab w:pos="1230" w:val="left" w:leader="none"/>
              </w:tabs>
              <w:spacing w:line="240" w:lineRule="auto" w:before="8"/>
              <w:ind w:right="30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638" w:type="dxa"/>
            <w:tcBorders>
              <w:top w:val="nil" w:sz="6" w:space="0" w:color="auto"/>
              <w:left w:val="nil" w:sz="6" w:space="0" w:color="auto"/>
              <w:bottom w:val="nil" w:sz="6" w:space="0" w:color="auto"/>
              <w:right w:val="nil" w:sz="6" w:space="0" w:color="auto"/>
            </w:tcBorders>
          </w:tcPr>
          <w:p>
            <w:pPr>
              <w:pStyle w:val="TableParagraph"/>
              <w:tabs>
                <w:tab w:pos="279" w:val="left" w:leader="none"/>
              </w:tabs>
              <w:spacing w:line="240" w:lineRule="auto" w:before="8"/>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22,840,955</w:t>
            </w:r>
            <w:r>
              <w:rPr>
                <w:rFonts w:ascii="Arial"/>
                <w:spacing w:val="-1"/>
                <w:sz w:val="20"/>
              </w:rPr>
            </w:r>
          </w:p>
        </w:tc>
      </w:tr>
      <w:tr>
        <w:trPr>
          <w:trHeight w:val="490" w:hRule="exact"/>
        </w:trPr>
        <w:tc>
          <w:tcPr>
            <w:tcW w:w="2675" w:type="dxa"/>
            <w:tcBorders>
              <w:top w:val="nil" w:sz="6" w:space="0" w:color="auto"/>
              <w:left w:val="nil" w:sz="6" w:space="0" w:color="auto"/>
              <w:bottom w:val="nil" w:sz="6" w:space="0" w:color="auto"/>
              <w:right w:val="nil" w:sz="6" w:space="0" w:color="auto"/>
            </w:tcBorders>
          </w:tcPr>
          <w:p>
            <w:pPr>
              <w:pStyle w:val="TableParagraph"/>
              <w:spacing w:line="240" w:lineRule="auto" w:before="79"/>
              <w:ind w:left="65" w:right="0"/>
              <w:jc w:val="left"/>
              <w:rPr>
                <w:rFonts w:ascii="黑体" w:hAnsi="黑体" w:cs="黑体" w:eastAsia="黑体" w:hint="default"/>
                <w:sz w:val="20"/>
                <w:szCs w:val="20"/>
              </w:rPr>
            </w:pPr>
            <w:r>
              <w:rPr>
                <w:rFonts w:ascii="黑体" w:hAnsi="黑体" w:cs="黑体" w:eastAsia="黑体" w:hint="default"/>
                <w:sz w:val="20"/>
                <w:szCs w:val="20"/>
              </w:rPr>
              <w:t>非流动负债合计</w:t>
            </w:r>
          </w:p>
        </w:tc>
        <w:tc>
          <w:tcPr>
            <w:tcW w:w="2301" w:type="dxa"/>
            <w:tcBorders>
              <w:top w:val="nil" w:sz="6" w:space="0" w:color="auto"/>
              <w:left w:val="nil" w:sz="6" w:space="0" w:color="auto"/>
              <w:bottom w:val="nil" w:sz="6" w:space="0" w:color="auto"/>
              <w:right w:val="nil" w:sz="6" w:space="0" w:color="auto"/>
            </w:tcBorders>
          </w:tcPr>
          <w:p>
            <w:pPr/>
          </w:p>
        </w:tc>
        <w:tc>
          <w:tcPr>
            <w:tcW w:w="2081" w:type="dxa"/>
            <w:tcBorders>
              <w:top w:val="nil" w:sz="6" w:space="0" w:color="auto"/>
              <w:left w:val="nil" w:sz="6" w:space="0" w:color="auto"/>
              <w:bottom w:val="nil" w:sz="6" w:space="0" w:color="auto"/>
              <w:right w:val="nil" w:sz="6" w:space="0" w:color="auto"/>
            </w:tcBorders>
          </w:tcPr>
          <w:p>
            <w:pPr>
              <w:pStyle w:val="TableParagraph"/>
              <w:tabs>
                <w:tab w:pos="299" w:val="left" w:leader="none"/>
              </w:tabs>
              <w:spacing w:line="240" w:lineRule="auto" w:before="123"/>
              <w:ind w:right="30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13,230,000</w:t>
            </w:r>
            <w:r>
              <w:rPr>
                <w:rFonts w:ascii="Arial"/>
                <w:spacing w:val="-1"/>
                <w:sz w:val="20"/>
              </w:rPr>
            </w:r>
          </w:p>
        </w:tc>
        <w:tc>
          <w:tcPr>
            <w:tcW w:w="1638" w:type="dxa"/>
            <w:tcBorders>
              <w:top w:val="nil" w:sz="6" w:space="0" w:color="auto"/>
              <w:left w:val="nil" w:sz="6" w:space="0" w:color="auto"/>
              <w:bottom w:val="nil" w:sz="6" w:space="0" w:color="auto"/>
              <w:right w:val="nil" w:sz="6" w:space="0" w:color="auto"/>
            </w:tcBorders>
          </w:tcPr>
          <w:p>
            <w:pPr>
              <w:pStyle w:val="TableParagraph"/>
              <w:tabs>
                <w:tab w:pos="279" w:val="left" w:leader="none"/>
              </w:tabs>
              <w:spacing w:line="240" w:lineRule="auto" w:before="123"/>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45,232,755</w:t>
            </w:r>
            <w:r>
              <w:rPr>
                <w:rFonts w:ascii="Arial"/>
                <w:spacing w:val="-1"/>
                <w:sz w:val="20"/>
              </w:rPr>
            </w:r>
          </w:p>
        </w:tc>
      </w:tr>
      <w:tr>
        <w:trPr>
          <w:trHeight w:val="509" w:hRule="exact"/>
        </w:trPr>
        <w:tc>
          <w:tcPr>
            <w:tcW w:w="2675"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55" w:right="0"/>
              <w:jc w:val="left"/>
              <w:rPr>
                <w:rFonts w:ascii="黑体" w:hAnsi="黑体" w:cs="黑体" w:eastAsia="黑体" w:hint="default"/>
                <w:sz w:val="20"/>
                <w:szCs w:val="20"/>
              </w:rPr>
            </w:pPr>
            <w:r>
              <w:rPr>
                <w:rFonts w:ascii="黑体" w:hAnsi="黑体" w:cs="黑体" w:eastAsia="黑体" w:hint="default"/>
                <w:sz w:val="20"/>
                <w:szCs w:val="20"/>
              </w:rPr>
              <w:t>负债合计</w:t>
            </w:r>
          </w:p>
        </w:tc>
        <w:tc>
          <w:tcPr>
            <w:tcW w:w="2301" w:type="dxa"/>
            <w:tcBorders>
              <w:top w:val="nil" w:sz="6" w:space="0" w:color="auto"/>
              <w:left w:val="nil" w:sz="6" w:space="0" w:color="auto"/>
              <w:bottom w:val="nil" w:sz="6" w:space="0" w:color="auto"/>
              <w:right w:val="nil" w:sz="6" w:space="0" w:color="auto"/>
            </w:tcBorders>
          </w:tcPr>
          <w:p>
            <w:pPr/>
          </w:p>
        </w:tc>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0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3"/>
                <w:sz w:val="20"/>
                <w:u w:val="single" w:color="000000"/>
              </w:rPr>
              <w:t> </w:t>
            </w:r>
            <w:r>
              <w:rPr>
                <w:rFonts w:ascii="Arial"/>
                <w:spacing w:val="-1"/>
                <w:sz w:val="20"/>
                <w:u w:val="single" w:color="000000"/>
              </w:rPr>
              <w:t>890,201,892</w:t>
            </w:r>
            <w:r>
              <w:rPr>
                <w:rFonts w:ascii="Arial"/>
                <w:spacing w:val="-1"/>
                <w:sz w:val="20"/>
              </w:rPr>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3"/>
                <w:sz w:val="20"/>
                <w:u w:val="single" w:color="000000"/>
              </w:rPr>
              <w:t> </w:t>
            </w:r>
            <w:r>
              <w:rPr>
                <w:rFonts w:ascii="Arial"/>
                <w:spacing w:val="-1"/>
                <w:sz w:val="20"/>
                <w:u w:val="single" w:color="000000"/>
              </w:rPr>
              <w:t>751,044,075</w:t>
            </w:r>
            <w:r>
              <w:rPr>
                <w:rFonts w:ascii="Arial"/>
                <w:spacing w:val="-1"/>
                <w:sz w:val="20"/>
              </w:rPr>
            </w:r>
          </w:p>
        </w:tc>
      </w:tr>
      <w:tr>
        <w:trPr>
          <w:trHeight w:val="518" w:hRule="exact"/>
        </w:trPr>
        <w:tc>
          <w:tcPr>
            <w:tcW w:w="2675" w:type="dxa"/>
            <w:tcBorders>
              <w:top w:val="nil" w:sz="6" w:space="0" w:color="auto"/>
              <w:left w:val="nil" w:sz="6" w:space="0" w:color="auto"/>
              <w:bottom w:val="nil" w:sz="6" w:space="0" w:color="auto"/>
              <w:right w:val="nil" w:sz="6" w:space="0" w:color="auto"/>
            </w:tcBorders>
          </w:tcPr>
          <w:p>
            <w:pPr>
              <w:pStyle w:val="TableParagraph"/>
              <w:spacing w:line="240" w:lineRule="auto" w:before="98"/>
              <w:ind w:left="35" w:right="0"/>
              <w:jc w:val="left"/>
              <w:rPr>
                <w:rFonts w:ascii="Arial" w:hAnsi="Arial" w:cs="Arial" w:eastAsia="Arial" w:hint="default"/>
                <w:sz w:val="20"/>
                <w:szCs w:val="20"/>
              </w:rPr>
            </w:pPr>
            <w:r>
              <w:rPr>
                <w:rFonts w:ascii="黑体" w:hAnsi="黑体" w:cs="黑体" w:eastAsia="黑体" w:hint="default"/>
                <w:sz w:val="20"/>
                <w:szCs w:val="20"/>
              </w:rPr>
              <w:t>股东权益</w:t>
            </w:r>
            <w:r>
              <w:rPr>
                <w:rFonts w:ascii="Arial" w:hAnsi="Arial" w:cs="Arial" w:eastAsia="Arial" w:hint="default"/>
                <w:sz w:val="20"/>
                <w:szCs w:val="20"/>
              </w:rPr>
              <w:t>:</w:t>
            </w:r>
          </w:p>
        </w:tc>
        <w:tc>
          <w:tcPr>
            <w:tcW w:w="2301" w:type="dxa"/>
            <w:tcBorders>
              <w:top w:val="nil" w:sz="6" w:space="0" w:color="auto"/>
              <w:left w:val="nil" w:sz="6" w:space="0" w:color="auto"/>
              <w:bottom w:val="nil" w:sz="6" w:space="0" w:color="auto"/>
              <w:right w:val="nil" w:sz="6" w:space="0" w:color="auto"/>
            </w:tcBorders>
          </w:tcPr>
          <w:p>
            <w:pPr/>
          </w:p>
        </w:tc>
        <w:tc>
          <w:tcPr>
            <w:tcW w:w="2081"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
        </w:tc>
      </w:tr>
      <w:tr>
        <w:trPr>
          <w:trHeight w:val="383" w:hRule="exact"/>
        </w:trPr>
        <w:tc>
          <w:tcPr>
            <w:tcW w:w="2675" w:type="dxa"/>
            <w:tcBorders>
              <w:top w:val="nil" w:sz="6" w:space="0" w:color="auto"/>
              <w:left w:val="nil" w:sz="6" w:space="0" w:color="auto"/>
              <w:bottom w:val="nil" w:sz="6" w:space="0" w:color="auto"/>
              <w:right w:val="nil" w:sz="6" w:space="0" w:color="auto"/>
            </w:tcBorders>
          </w:tcPr>
          <w:p>
            <w:pPr>
              <w:pStyle w:val="TableParagraph"/>
              <w:spacing w:line="240" w:lineRule="auto" w:before="87"/>
              <w:ind w:left="455" w:right="0"/>
              <w:jc w:val="left"/>
              <w:rPr>
                <w:rFonts w:ascii="黑体" w:hAnsi="黑体" w:cs="黑体" w:eastAsia="黑体" w:hint="default"/>
                <w:sz w:val="20"/>
                <w:szCs w:val="20"/>
              </w:rPr>
            </w:pPr>
            <w:r>
              <w:rPr>
                <w:rFonts w:ascii="黑体" w:hAnsi="黑体" w:cs="黑体" w:eastAsia="黑体" w:hint="default"/>
                <w:sz w:val="20"/>
                <w:szCs w:val="20"/>
              </w:rPr>
              <w:t>股本</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87"/>
              <w:ind w:left="361" w:right="0"/>
              <w:jc w:val="center"/>
              <w:rPr>
                <w:rFonts w:ascii="Arial" w:hAnsi="Arial" w:cs="Arial" w:eastAsia="Arial" w:hint="default"/>
                <w:sz w:val="20"/>
                <w:szCs w:val="20"/>
              </w:rPr>
            </w:pPr>
            <w:r>
              <w:rPr>
                <w:rFonts w:ascii="黑体" w:hAnsi="黑体" w:cs="黑体" w:eastAsia="黑体" w:hint="default"/>
                <w:sz w:val="20"/>
                <w:szCs w:val="20"/>
              </w:rPr>
              <w:t>附注五、</w:t>
            </w:r>
            <w:r>
              <w:rPr>
                <w:rFonts w:ascii="Arial" w:hAnsi="Arial" w:cs="Arial" w:eastAsia="Arial" w:hint="default"/>
                <w:sz w:val="20"/>
                <w:szCs w:val="20"/>
              </w:rPr>
              <w:t>27</w:t>
            </w:r>
          </w:p>
        </w:tc>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07"/>
              <w:jc w:val="right"/>
              <w:rPr>
                <w:rFonts w:ascii="Arial" w:hAnsi="Arial" w:cs="Arial" w:eastAsia="Arial" w:hint="default"/>
                <w:sz w:val="20"/>
                <w:szCs w:val="20"/>
              </w:rPr>
            </w:pPr>
            <w:r>
              <w:rPr>
                <w:rFonts w:ascii="Arial"/>
                <w:spacing w:val="-1"/>
                <w:sz w:val="20"/>
              </w:rPr>
              <w:t>627,858,850</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3"/>
              <w:jc w:val="right"/>
              <w:rPr>
                <w:rFonts w:ascii="Arial" w:hAnsi="Arial" w:cs="Arial" w:eastAsia="Arial" w:hint="default"/>
                <w:sz w:val="20"/>
                <w:szCs w:val="20"/>
              </w:rPr>
            </w:pPr>
            <w:r>
              <w:rPr>
                <w:rFonts w:ascii="Arial"/>
                <w:spacing w:val="-1"/>
                <w:sz w:val="20"/>
              </w:rPr>
              <w:t>466,683,575</w:t>
            </w:r>
          </w:p>
        </w:tc>
      </w:tr>
      <w:tr>
        <w:trPr>
          <w:trHeight w:val="259" w:hRule="exact"/>
        </w:trPr>
        <w:tc>
          <w:tcPr>
            <w:tcW w:w="2675" w:type="dxa"/>
            <w:tcBorders>
              <w:top w:val="nil" w:sz="6" w:space="0" w:color="auto"/>
              <w:left w:val="nil" w:sz="6" w:space="0" w:color="auto"/>
              <w:bottom w:val="nil" w:sz="6" w:space="0" w:color="auto"/>
              <w:right w:val="nil" w:sz="6" w:space="0" w:color="auto"/>
            </w:tcBorders>
          </w:tcPr>
          <w:p>
            <w:pPr>
              <w:pStyle w:val="TableParagraph"/>
              <w:spacing w:line="225" w:lineRule="exact"/>
              <w:ind w:left="455" w:right="0"/>
              <w:jc w:val="left"/>
              <w:rPr>
                <w:rFonts w:ascii="黑体" w:hAnsi="黑体" w:cs="黑体" w:eastAsia="黑体" w:hint="default"/>
                <w:sz w:val="20"/>
                <w:szCs w:val="20"/>
              </w:rPr>
            </w:pPr>
            <w:r>
              <w:rPr>
                <w:rFonts w:ascii="黑体" w:hAnsi="黑体" w:cs="黑体" w:eastAsia="黑体" w:hint="default"/>
                <w:sz w:val="20"/>
                <w:szCs w:val="20"/>
              </w:rPr>
              <w:t>资本公积</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7"/>
              <w:ind w:left="360" w:right="0"/>
              <w:jc w:val="center"/>
              <w:rPr>
                <w:rFonts w:ascii="Arial" w:hAnsi="Arial" w:cs="Arial" w:eastAsia="Arial" w:hint="default"/>
                <w:sz w:val="20"/>
                <w:szCs w:val="20"/>
              </w:rPr>
            </w:pPr>
            <w:r>
              <w:rPr>
                <w:rFonts w:ascii="Arial"/>
                <w:sz w:val="20"/>
              </w:rPr>
              <w:t>23</w:t>
            </w:r>
          </w:p>
        </w:tc>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07"/>
              <w:jc w:val="right"/>
              <w:rPr>
                <w:rFonts w:ascii="Arial" w:hAnsi="Arial" w:cs="Arial" w:eastAsia="Arial" w:hint="default"/>
                <w:sz w:val="20"/>
                <w:szCs w:val="20"/>
              </w:rPr>
            </w:pPr>
            <w:r>
              <w:rPr>
                <w:rFonts w:ascii="Arial"/>
                <w:spacing w:val="-1"/>
                <w:sz w:val="20"/>
              </w:rPr>
              <w:t>910,621,381</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spacing w:val="-1"/>
                <w:sz w:val="20"/>
              </w:rPr>
              <w:t>988,622,304</w:t>
            </w:r>
          </w:p>
        </w:tc>
      </w:tr>
      <w:tr>
        <w:trPr>
          <w:trHeight w:val="260" w:hRule="exact"/>
        </w:trPr>
        <w:tc>
          <w:tcPr>
            <w:tcW w:w="2675" w:type="dxa"/>
            <w:tcBorders>
              <w:top w:val="nil" w:sz="6" w:space="0" w:color="auto"/>
              <w:left w:val="nil" w:sz="6" w:space="0" w:color="auto"/>
              <w:bottom w:val="nil" w:sz="6" w:space="0" w:color="auto"/>
              <w:right w:val="nil" w:sz="6" w:space="0" w:color="auto"/>
            </w:tcBorders>
          </w:tcPr>
          <w:p>
            <w:pPr>
              <w:pStyle w:val="TableParagraph"/>
              <w:spacing w:line="226" w:lineRule="exact"/>
              <w:ind w:left="455" w:right="0"/>
              <w:jc w:val="left"/>
              <w:rPr>
                <w:rFonts w:ascii="黑体" w:hAnsi="黑体" w:cs="黑体" w:eastAsia="黑体" w:hint="default"/>
                <w:sz w:val="20"/>
                <w:szCs w:val="20"/>
              </w:rPr>
            </w:pPr>
            <w:r>
              <w:rPr>
                <w:rFonts w:ascii="黑体" w:hAnsi="黑体" w:cs="黑体" w:eastAsia="黑体" w:hint="default"/>
                <w:sz w:val="20"/>
                <w:szCs w:val="20"/>
              </w:rPr>
              <w:t>盈余公积</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8"/>
              <w:ind w:left="361" w:right="0"/>
              <w:jc w:val="center"/>
              <w:rPr>
                <w:rFonts w:ascii="Arial" w:hAnsi="Arial" w:cs="Arial" w:eastAsia="Arial" w:hint="default"/>
                <w:sz w:val="20"/>
                <w:szCs w:val="20"/>
              </w:rPr>
            </w:pPr>
            <w:r>
              <w:rPr>
                <w:rFonts w:ascii="Arial"/>
                <w:sz w:val="20"/>
              </w:rPr>
              <w:t>24</w:t>
            </w:r>
          </w:p>
        </w:tc>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07"/>
              <w:jc w:val="right"/>
              <w:rPr>
                <w:rFonts w:ascii="Arial" w:hAnsi="Arial" w:cs="Arial" w:eastAsia="Arial" w:hint="default"/>
                <w:sz w:val="20"/>
                <w:szCs w:val="20"/>
              </w:rPr>
            </w:pPr>
            <w:r>
              <w:rPr>
                <w:rFonts w:ascii="Arial"/>
                <w:spacing w:val="-1"/>
                <w:sz w:val="20"/>
              </w:rPr>
              <w:t>271,273,699</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189,510,500</w:t>
            </w:r>
          </w:p>
        </w:tc>
      </w:tr>
      <w:tr>
        <w:trPr>
          <w:trHeight w:val="375" w:hRule="exact"/>
        </w:trPr>
        <w:tc>
          <w:tcPr>
            <w:tcW w:w="2675" w:type="dxa"/>
            <w:tcBorders>
              <w:top w:val="nil" w:sz="6" w:space="0" w:color="auto"/>
              <w:left w:val="nil" w:sz="6" w:space="0" w:color="auto"/>
              <w:bottom w:val="nil" w:sz="6" w:space="0" w:color="auto"/>
              <w:right w:val="nil" w:sz="6" w:space="0" w:color="auto"/>
            </w:tcBorders>
          </w:tcPr>
          <w:p>
            <w:pPr>
              <w:pStyle w:val="TableParagraph"/>
              <w:spacing w:line="227" w:lineRule="exact"/>
              <w:ind w:left="455" w:right="0"/>
              <w:jc w:val="left"/>
              <w:rPr>
                <w:rFonts w:ascii="黑体" w:hAnsi="黑体" w:cs="黑体" w:eastAsia="黑体" w:hint="default"/>
                <w:sz w:val="20"/>
                <w:szCs w:val="20"/>
              </w:rPr>
            </w:pPr>
            <w:r>
              <w:rPr>
                <w:rFonts w:ascii="黑体" w:hAnsi="黑体" w:cs="黑体" w:eastAsia="黑体" w:hint="default"/>
                <w:sz w:val="20"/>
                <w:szCs w:val="20"/>
              </w:rPr>
              <w:t>未分配利润</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8"/>
              <w:ind w:left="361" w:right="0"/>
              <w:jc w:val="center"/>
              <w:rPr>
                <w:rFonts w:ascii="Arial" w:hAnsi="Arial" w:cs="Arial" w:eastAsia="Arial" w:hint="default"/>
                <w:sz w:val="20"/>
                <w:szCs w:val="20"/>
              </w:rPr>
            </w:pPr>
            <w:r>
              <w:rPr>
                <w:rFonts w:ascii="Arial"/>
                <w:sz w:val="20"/>
              </w:rPr>
              <w:t>25</w:t>
            </w:r>
          </w:p>
        </w:tc>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0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3"/>
                <w:sz w:val="20"/>
                <w:u w:val="single" w:color="000000"/>
              </w:rPr>
              <w:t> </w:t>
            </w:r>
            <w:r>
              <w:rPr>
                <w:rFonts w:ascii="Arial"/>
                <w:spacing w:val="-1"/>
                <w:sz w:val="20"/>
                <w:u w:val="single" w:color="000000"/>
              </w:rPr>
              <w:t>810,143,687</w:t>
            </w:r>
            <w:r>
              <w:rPr>
                <w:rFonts w:ascii="Arial"/>
                <w:spacing w:val="-1"/>
                <w:sz w:val="20"/>
              </w:rPr>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3"/>
                <w:sz w:val="20"/>
                <w:u w:val="single" w:color="000000"/>
              </w:rPr>
              <w:t> </w:t>
            </w:r>
            <w:r>
              <w:rPr>
                <w:rFonts w:ascii="Arial"/>
                <w:spacing w:val="-1"/>
                <w:sz w:val="20"/>
                <w:u w:val="single" w:color="000000"/>
              </w:rPr>
              <w:t>486,817,782</w:t>
            </w:r>
            <w:r>
              <w:rPr>
                <w:rFonts w:ascii="Arial"/>
                <w:spacing w:val="-1"/>
                <w:sz w:val="20"/>
              </w:rPr>
            </w:r>
          </w:p>
        </w:tc>
      </w:tr>
      <w:tr>
        <w:trPr>
          <w:trHeight w:val="489" w:hRule="exact"/>
        </w:trPr>
        <w:tc>
          <w:tcPr>
            <w:tcW w:w="2675"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55" w:right="0"/>
              <w:jc w:val="left"/>
              <w:rPr>
                <w:rFonts w:ascii="黑体" w:hAnsi="黑体" w:cs="黑体" w:eastAsia="黑体" w:hint="default"/>
                <w:sz w:val="20"/>
                <w:szCs w:val="20"/>
              </w:rPr>
            </w:pPr>
            <w:r>
              <w:rPr>
                <w:rFonts w:ascii="黑体" w:hAnsi="黑体" w:cs="黑体" w:eastAsia="黑体" w:hint="default"/>
                <w:sz w:val="20"/>
                <w:szCs w:val="20"/>
              </w:rPr>
              <w:t>股东权益合计</w:t>
            </w:r>
          </w:p>
        </w:tc>
        <w:tc>
          <w:tcPr>
            <w:tcW w:w="2301" w:type="dxa"/>
            <w:tcBorders>
              <w:top w:val="nil" w:sz="6" w:space="0" w:color="auto"/>
              <w:left w:val="nil" w:sz="6" w:space="0" w:color="auto"/>
              <w:bottom w:val="nil" w:sz="6" w:space="0" w:color="auto"/>
              <w:right w:val="nil" w:sz="6" w:space="0" w:color="auto"/>
            </w:tcBorders>
          </w:tcPr>
          <w:p>
            <w:pPr/>
          </w:p>
        </w:tc>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08"/>
              <w:jc w:val="right"/>
              <w:rPr>
                <w:rFonts w:ascii="Arial" w:hAnsi="Arial" w:cs="Arial" w:eastAsia="Arial" w:hint="default"/>
                <w:sz w:val="20"/>
                <w:szCs w:val="20"/>
              </w:rPr>
            </w:pPr>
            <w:r>
              <w:rPr>
                <w:rFonts w:ascii="Arial"/>
                <w:w w:val="100"/>
                <w:sz w:val="20"/>
              </w:rPr>
            </w:r>
            <w:r>
              <w:rPr>
                <w:rFonts w:ascii="Arial"/>
                <w:spacing w:val="-2"/>
                <w:sz w:val="20"/>
                <w:u w:val="single" w:color="000000"/>
              </w:rPr>
              <w:t>2,619,897,617</w:t>
            </w:r>
            <w:r>
              <w:rPr>
                <w:rFonts w:ascii="Arial"/>
                <w:spacing w:val="-2"/>
                <w:sz w:val="20"/>
              </w:rPr>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4"/>
              <w:jc w:val="right"/>
              <w:rPr>
                <w:rFonts w:ascii="Arial" w:hAnsi="Arial" w:cs="Arial" w:eastAsia="Arial" w:hint="default"/>
                <w:sz w:val="20"/>
                <w:szCs w:val="20"/>
              </w:rPr>
            </w:pPr>
            <w:r>
              <w:rPr>
                <w:rFonts w:ascii="Arial"/>
                <w:w w:val="100"/>
                <w:sz w:val="20"/>
              </w:rPr>
            </w:r>
            <w:r>
              <w:rPr>
                <w:rFonts w:ascii="Arial"/>
                <w:spacing w:val="-2"/>
                <w:sz w:val="20"/>
                <w:u w:val="single" w:color="000000"/>
              </w:rPr>
              <w:t>2,131,634,161</w:t>
            </w:r>
            <w:r>
              <w:rPr>
                <w:rFonts w:ascii="Arial"/>
                <w:spacing w:val="-2"/>
                <w:sz w:val="20"/>
              </w:rPr>
            </w:r>
          </w:p>
        </w:tc>
      </w:tr>
      <w:tr>
        <w:trPr>
          <w:trHeight w:val="449" w:hRule="exact"/>
        </w:trPr>
        <w:tc>
          <w:tcPr>
            <w:tcW w:w="2675"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黑体" w:hAnsi="黑体" w:cs="黑体" w:eastAsia="黑体" w:hint="default"/>
                <w:sz w:val="20"/>
                <w:szCs w:val="20"/>
              </w:rPr>
              <w:t>负债及股东权益总计</w:t>
            </w:r>
          </w:p>
        </w:tc>
        <w:tc>
          <w:tcPr>
            <w:tcW w:w="2301" w:type="dxa"/>
            <w:tcBorders>
              <w:top w:val="nil" w:sz="6" w:space="0" w:color="auto"/>
              <w:left w:val="nil" w:sz="6" w:space="0" w:color="auto"/>
              <w:bottom w:val="nil" w:sz="6" w:space="0" w:color="auto"/>
              <w:right w:val="nil" w:sz="6" w:space="0" w:color="auto"/>
            </w:tcBorders>
          </w:tcPr>
          <w:p>
            <w:pPr/>
          </w:p>
        </w:tc>
        <w:tc>
          <w:tcPr>
            <w:tcW w:w="208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08"/>
              <w:jc w:val="right"/>
              <w:rPr>
                <w:rFonts w:ascii="Arial" w:hAnsi="Arial" w:cs="Arial" w:eastAsia="Arial" w:hint="default"/>
                <w:sz w:val="20"/>
                <w:szCs w:val="20"/>
              </w:rPr>
            </w:pPr>
            <w:r>
              <w:rPr>
                <w:rFonts w:ascii="Arial"/>
                <w:w w:val="100"/>
                <w:sz w:val="20"/>
              </w:rPr>
            </w:r>
            <w:r>
              <w:rPr>
                <w:rFonts w:ascii="Arial"/>
                <w:spacing w:val="-2"/>
                <w:sz w:val="20"/>
                <w:u w:val="thick" w:color="000000"/>
              </w:rPr>
              <w:t>3,510,099,509</w:t>
            </w:r>
            <w:r>
              <w:rPr>
                <w:rFonts w:ascii="Arial"/>
                <w:spacing w:val="-2"/>
                <w:sz w:val="20"/>
              </w:rPr>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Arial" w:hAnsi="Arial" w:cs="Arial" w:eastAsia="Arial" w:hint="default"/>
                <w:sz w:val="20"/>
                <w:szCs w:val="20"/>
              </w:rPr>
            </w:pPr>
            <w:r>
              <w:rPr>
                <w:rFonts w:ascii="Arial"/>
                <w:w w:val="100"/>
                <w:sz w:val="20"/>
              </w:rPr>
            </w:r>
            <w:r>
              <w:rPr>
                <w:rFonts w:ascii="Arial"/>
                <w:spacing w:val="-2"/>
                <w:sz w:val="20"/>
                <w:u w:val="thick" w:color="000000"/>
              </w:rPr>
              <w:t>2,882,678,236</w:t>
            </w:r>
            <w:r>
              <w:rPr>
                <w:rFonts w:ascii="Arial"/>
                <w:spacing w:val="-2"/>
                <w:sz w:val="20"/>
              </w:rPr>
            </w:r>
          </w:p>
        </w:tc>
      </w:tr>
    </w:tbl>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2"/>
        <w:rPr>
          <w:rFonts w:ascii="Arial" w:hAnsi="Arial" w:cs="Arial" w:eastAsia="Arial" w:hint="default"/>
          <w:sz w:val="29"/>
          <w:szCs w:val="29"/>
        </w:rPr>
      </w:pPr>
    </w:p>
    <w:p>
      <w:pPr>
        <w:pStyle w:val="BodyText"/>
        <w:spacing w:line="240" w:lineRule="auto" w:before="38"/>
        <w:ind w:left="181" w:right="210"/>
        <w:jc w:val="left"/>
      </w:pPr>
      <w:r>
        <w:rPr/>
        <w:t>财务报表由以下人士签署：</w:t>
      </w:r>
    </w:p>
    <w:p>
      <w:pPr>
        <w:spacing w:line="240" w:lineRule="auto" w:before="5"/>
        <w:rPr>
          <w:rFonts w:ascii="黑体" w:hAnsi="黑体" w:cs="黑体" w:eastAsia="黑体" w:hint="default"/>
          <w:sz w:val="17"/>
          <w:szCs w:val="17"/>
        </w:rPr>
      </w:pPr>
    </w:p>
    <w:p>
      <w:pPr>
        <w:pStyle w:val="BodyText"/>
        <w:tabs>
          <w:tab w:pos="3073" w:val="left" w:leader="none"/>
          <w:tab w:pos="5963" w:val="left" w:leader="none"/>
        </w:tabs>
        <w:spacing w:line="240" w:lineRule="auto"/>
        <w:ind w:left="181" w:right="210"/>
        <w:jc w:val="left"/>
      </w:pPr>
      <w:r>
        <w:rPr>
          <w:spacing w:val="-1"/>
        </w:rPr>
        <w:t>公司法定代表人</w:t>
        <w:tab/>
        <w:t>主管会计工作负责人</w:t>
        <w:tab/>
        <w:t>会计机构负责人</w:t>
      </w:r>
    </w:p>
    <w:p>
      <w:pPr>
        <w:spacing w:after="0" w:line="240" w:lineRule="auto"/>
        <w:jc w:val="left"/>
        <w:sectPr>
          <w:headerReference w:type="default" r:id="rId38"/>
          <w:pgSz w:w="11910" w:h="16840"/>
          <w:pgMar w:header="958" w:footer="463" w:top="2520" w:bottom="660" w:left="1520" w:right="1460"/>
        </w:sectPr>
      </w:pPr>
    </w:p>
    <w:p>
      <w:pPr>
        <w:spacing w:line="240" w:lineRule="auto" w:before="4"/>
        <w:rPr>
          <w:rFonts w:ascii="Times New Roman" w:hAnsi="Times New Roman" w:cs="Times New Roman" w:eastAsia="Times New Roman" w:hint="default"/>
          <w:sz w:val="27"/>
          <w:szCs w:val="27"/>
        </w:rPr>
      </w:pPr>
    </w:p>
    <w:tbl>
      <w:tblPr>
        <w:tblW w:w="0" w:type="auto"/>
        <w:jc w:val="left"/>
        <w:tblInd w:w="115" w:type="dxa"/>
        <w:tblLayout w:type="fixed"/>
        <w:tblCellMar>
          <w:top w:w="0" w:type="dxa"/>
          <w:left w:w="0" w:type="dxa"/>
          <w:bottom w:w="0" w:type="dxa"/>
          <w:right w:w="0" w:type="dxa"/>
        </w:tblCellMar>
        <w:tblLook w:val="01E0"/>
      </w:tblPr>
      <w:tblGrid>
        <w:gridCol w:w="3917"/>
        <w:gridCol w:w="1501"/>
        <w:gridCol w:w="1777"/>
        <w:gridCol w:w="1703"/>
      </w:tblGrid>
      <w:tr>
        <w:trPr>
          <w:trHeight w:val="938"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46" w:right="0"/>
              <w:jc w:val="left"/>
              <w:rPr>
                <w:rFonts w:ascii="黑体" w:hAnsi="黑体" w:cs="黑体" w:eastAsia="黑体" w:hint="default"/>
                <w:sz w:val="20"/>
                <w:szCs w:val="20"/>
              </w:rPr>
            </w:pPr>
            <w:r>
              <w:rPr>
                <w:rFonts w:ascii="黑体" w:hAnsi="黑体" w:cs="黑体" w:eastAsia="黑体" w:hint="default"/>
                <w:b/>
                <w:bCs/>
                <w:sz w:val="20"/>
                <w:szCs w:val="20"/>
              </w:rPr>
              <w:t>项目</w:t>
            </w:r>
            <w:r>
              <w:rPr>
                <w:rFonts w:ascii="黑体" w:hAnsi="黑体" w:cs="黑体" w:eastAsia="黑体" w:hint="default"/>
                <w:sz w:val="20"/>
                <w:szCs w:val="20"/>
              </w:rPr>
            </w:r>
          </w:p>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46" w:right="0"/>
              <w:jc w:val="left"/>
              <w:rPr>
                <w:rFonts w:ascii="黑体" w:hAnsi="黑体" w:cs="黑体" w:eastAsia="黑体" w:hint="default"/>
                <w:sz w:val="20"/>
                <w:szCs w:val="20"/>
              </w:rPr>
            </w:pPr>
            <w:r>
              <w:rPr>
                <w:rFonts w:ascii="黑体" w:hAnsi="黑体" w:cs="黑体" w:eastAsia="黑体" w:hint="default"/>
                <w:sz w:val="20"/>
                <w:szCs w:val="20"/>
              </w:rPr>
              <w:t>一、营业收入</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08" w:right="0"/>
              <w:jc w:val="center"/>
              <w:rPr>
                <w:rFonts w:ascii="黑体" w:hAnsi="黑体" w:cs="黑体" w:eastAsia="黑体" w:hint="default"/>
                <w:sz w:val="20"/>
                <w:szCs w:val="20"/>
              </w:rPr>
            </w:pPr>
            <w:r>
              <w:rPr>
                <w:rFonts w:ascii="黑体" w:hAnsi="黑体" w:cs="黑体" w:eastAsia="黑体" w:hint="default"/>
                <w:b/>
                <w:bCs/>
                <w:sz w:val="20"/>
                <w:szCs w:val="20"/>
              </w:rPr>
              <w:t>附注十三</w:t>
            </w:r>
            <w:r>
              <w:rPr>
                <w:rFonts w:ascii="黑体" w:hAnsi="黑体" w:cs="黑体" w:eastAsia="黑体" w:hint="default"/>
                <w:sz w:val="20"/>
                <w:szCs w:val="20"/>
              </w:rPr>
            </w: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209" w:right="0"/>
              <w:jc w:val="center"/>
              <w:rPr>
                <w:rFonts w:ascii="Arial" w:hAnsi="Arial" w:cs="Arial" w:eastAsia="Arial" w:hint="default"/>
                <w:sz w:val="20"/>
                <w:szCs w:val="20"/>
              </w:rPr>
            </w:pPr>
            <w:r>
              <w:rPr>
                <w:rFonts w:ascii="Arial"/>
                <w:sz w:val="20"/>
              </w:rPr>
              <w:t>26</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66" w:right="0"/>
              <w:jc w:val="left"/>
              <w:rPr>
                <w:rFonts w:ascii="黑体" w:hAnsi="黑体" w:cs="黑体" w:eastAsia="黑体" w:hint="default"/>
                <w:sz w:val="20"/>
                <w:szCs w:val="20"/>
              </w:rPr>
            </w:pPr>
            <w:r>
              <w:rPr>
                <w:rFonts w:ascii="Arial" w:hAnsi="Arial" w:cs="Arial" w:eastAsia="Arial" w:hint="default"/>
                <w:b/>
                <w:bCs/>
                <w:sz w:val="20"/>
                <w:szCs w:val="20"/>
              </w:rPr>
              <w:t>2009</w:t>
            </w:r>
            <w:r>
              <w:rPr>
                <w:rFonts w:ascii="黑体" w:hAnsi="黑体" w:cs="黑体" w:eastAsia="黑体" w:hint="default"/>
                <w:b/>
                <w:bCs/>
                <w:sz w:val="20"/>
                <w:szCs w:val="20"/>
              </w:rPr>
              <w:t>年</w:t>
            </w:r>
            <w:r>
              <w:rPr>
                <w:rFonts w:ascii="黑体" w:hAnsi="黑体" w:cs="黑体" w:eastAsia="黑体" w:hint="default"/>
                <w:sz w:val="20"/>
                <w:szCs w:val="20"/>
              </w:rPr>
            </w:r>
          </w:p>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left="233" w:right="0"/>
              <w:jc w:val="left"/>
              <w:rPr>
                <w:rFonts w:ascii="Arial" w:hAnsi="Arial" w:cs="Arial" w:eastAsia="Arial" w:hint="default"/>
                <w:sz w:val="20"/>
                <w:szCs w:val="20"/>
              </w:rPr>
            </w:pPr>
            <w:r>
              <w:rPr>
                <w:rFonts w:ascii="Arial"/>
                <w:sz w:val="20"/>
              </w:rPr>
              <w:t>1,574,821,134</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97" w:right="0"/>
              <w:jc w:val="left"/>
              <w:rPr>
                <w:rFonts w:ascii="黑体" w:hAnsi="黑体" w:cs="黑体" w:eastAsia="黑体" w:hint="default"/>
                <w:sz w:val="20"/>
                <w:szCs w:val="20"/>
              </w:rPr>
            </w:pPr>
            <w:r>
              <w:rPr>
                <w:rFonts w:ascii="Arial" w:hAnsi="Arial" w:cs="Arial" w:eastAsia="Arial" w:hint="default"/>
                <w:b/>
                <w:bCs/>
                <w:sz w:val="20"/>
                <w:szCs w:val="20"/>
              </w:rPr>
              <w:t>2008</w:t>
            </w:r>
            <w:r>
              <w:rPr>
                <w:rFonts w:ascii="黑体" w:hAnsi="黑体" w:cs="黑体" w:eastAsia="黑体" w:hint="default"/>
                <w:b/>
                <w:bCs/>
                <w:sz w:val="20"/>
                <w:szCs w:val="20"/>
              </w:rPr>
              <w:t>年</w:t>
            </w:r>
            <w:r>
              <w:rPr>
                <w:rFonts w:ascii="黑体" w:hAnsi="黑体" w:cs="黑体" w:eastAsia="黑体" w:hint="default"/>
                <w:sz w:val="20"/>
                <w:szCs w:val="20"/>
              </w:rPr>
            </w:r>
          </w:p>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left="265" w:right="0"/>
              <w:jc w:val="left"/>
              <w:rPr>
                <w:rFonts w:ascii="Arial" w:hAnsi="Arial" w:cs="Arial" w:eastAsia="Arial" w:hint="default"/>
                <w:sz w:val="20"/>
                <w:szCs w:val="20"/>
              </w:rPr>
            </w:pPr>
            <w:r>
              <w:rPr>
                <w:rFonts w:ascii="Arial"/>
                <w:sz w:val="20"/>
              </w:rPr>
              <w:t>1,263,795,106</w:t>
            </w:r>
          </w:p>
        </w:tc>
      </w:tr>
      <w:tr>
        <w:trPr>
          <w:trHeight w:val="374"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66" w:right="0"/>
              <w:jc w:val="left"/>
              <w:rPr>
                <w:rFonts w:ascii="黑体" w:hAnsi="黑体" w:cs="黑体" w:eastAsia="黑体" w:hint="default"/>
                <w:sz w:val="20"/>
                <w:szCs w:val="20"/>
              </w:rPr>
            </w:pPr>
            <w:r>
              <w:rPr>
                <w:rFonts w:ascii="黑体" w:hAnsi="黑体" w:cs="黑体" w:eastAsia="黑体" w:hint="default"/>
                <w:sz w:val="20"/>
                <w:szCs w:val="20"/>
              </w:rPr>
              <w:t>减：营业成本</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209" w:right="0"/>
              <w:jc w:val="center"/>
              <w:rPr>
                <w:rFonts w:ascii="Arial" w:hAnsi="Arial" w:cs="Arial" w:eastAsia="Arial" w:hint="default"/>
                <w:sz w:val="20"/>
                <w:szCs w:val="20"/>
              </w:rPr>
            </w:pPr>
            <w:r>
              <w:rPr>
                <w:rFonts w:ascii="Arial"/>
                <w:sz w:val="20"/>
              </w:rPr>
              <w:t>26</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400" w:right="0"/>
              <w:jc w:val="left"/>
              <w:rPr>
                <w:rFonts w:ascii="Arial" w:hAnsi="Arial" w:cs="Arial" w:eastAsia="Arial" w:hint="default"/>
                <w:sz w:val="20"/>
                <w:szCs w:val="20"/>
              </w:rPr>
            </w:pPr>
            <w:r>
              <w:rPr>
                <w:rFonts w:ascii="Arial"/>
                <w:sz w:val="20"/>
              </w:rPr>
              <w:t>184,881,499</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5"/>
              <w:jc w:val="right"/>
              <w:rPr>
                <w:rFonts w:ascii="Arial" w:hAnsi="Arial" w:cs="Arial" w:eastAsia="Arial" w:hint="default"/>
                <w:sz w:val="20"/>
                <w:szCs w:val="20"/>
              </w:rPr>
            </w:pPr>
            <w:r>
              <w:rPr>
                <w:rFonts w:ascii="Arial"/>
                <w:spacing w:val="-1"/>
                <w:sz w:val="20"/>
              </w:rPr>
              <w:t>134,033,086</w:t>
            </w:r>
          </w:p>
        </w:tc>
      </w:tr>
      <w:tr>
        <w:trPr>
          <w:trHeight w:val="259"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26" w:lineRule="exact"/>
              <w:ind w:left="972" w:right="0"/>
              <w:jc w:val="left"/>
              <w:rPr>
                <w:rFonts w:ascii="黑体" w:hAnsi="黑体" w:cs="黑体" w:eastAsia="黑体" w:hint="default"/>
                <w:sz w:val="20"/>
                <w:szCs w:val="20"/>
              </w:rPr>
            </w:pPr>
            <w:r>
              <w:rPr>
                <w:rFonts w:ascii="黑体" w:hAnsi="黑体" w:cs="黑体" w:eastAsia="黑体" w:hint="default"/>
                <w:sz w:val="20"/>
                <w:szCs w:val="20"/>
              </w:rPr>
              <w:t>营业税金及附加</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8"/>
              <w:ind w:left="209" w:right="0"/>
              <w:jc w:val="center"/>
              <w:rPr>
                <w:rFonts w:ascii="Arial" w:hAnsi="Arial" w:cs="Arial" w:eastAsia="Arial" w:hint="default"/>
                <w:sz w:val="20"/>
                <w:szCs w:val="20"/>
              </w:rPr>
            </w:pPr>
            <w:r>
              <w:rPr>
                <w:rFonts w:ascii="Arial"/>
                <w:sz w:val="20"/>
              </w:rPr>
              <w:t>27</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62"/>
              <w:jc w:val="right"/>
              <w:rPr>
                <w:rFonts w:ascii="Arial" w:hAnsi="Arial" w:cs="Arial" w:eastAsia="Arial" w:hint="default"/>
                <w:sz w:val="20"/>
                <w:szCs w:val="20"/>
              </w:rPr>
            </w:pPr>
            <w:r>
              <w:rPr>
                <w:rFonts w:ascii="Arial"/>
                <w:spacing w:val="-1"/>
                <w:sz w:val="20"/>
              </w:rPr>
              <w:t>39,871,877</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56"/>
              <w:jc w:val="right"/>
              <w:rPr>
                <w:rFonts w:ascii="Arial" w:hAnsi="Arial" w:cs="Arial" w:eastAsia="Arial" w:hint="default"/>
                <w:sz w:val="20"/>
                <w:szCs w:val="20"/>
              </w:rPr>
            </w:pPr>
            <w:r>
              <w:rPr>
                <w:rFonts w:ascii="Arial"/>
                <w:spacing w:val="-1"/>
                <w:sz w:val="20"/>
              </w:rPr>
              <w:t>33,937,134</w:t>
            </w:r>
          </w:p>
        </w:tc>
      </w:tr>
      <w:tr>
        <w:trPr>
          <w:trHeight w:val="259"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26" w:lineRule="exact"/>
              <w:ind w:left="972" w:right="0"/>
              <w:jc w:val="left"/>
              <w:rPr>
                <w:rFonts w:ascii="黑体" w:hAnsi="黑体" w:cs="黑体" w:eastAsia="黑体" w:hint="default"/>
                <w:sz w:val="20"/>
                <w:szCs w:val="20"/>
              </w:rPr>
            </w:pPr>
            <w:r>
              <w:rPr>
                <w:rFonts w:ascii="黑体" w:hAnsi="黑体" w:cs="黑体" w:eastAsia="黑体" w:hint="default"/>
                <w:sz w:val="20"/>
                <w:szCs w:val="20"/>
              </w:rPr>
              <w:t>销售费用</w:t>
            </w:r>
          </w:p>
        </w:tc>
        <w:tc>
          <w:tcPr>
            <w:tcW w:w="1501"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8"/>
              <w:ind w:left="400" w:right="0"/>
              <w:jc w:val="left"/>
              <w:rPr>
                <w:rFonts w:ascii="Arial" w:hAnsi="Arial" w:cs="Arial" w:eastAsia="Arial" w:hint="default"/>
                <w:sz w:val="20"/>
                <w:szCs w:val="20"/>
              </w:rPr>
            </w:pPr>
            <w:r>
              <w:rPr>
                <w:rFonts w:ascii="Arial"/>
                <w:sz w:val="20"/>
              </w:rPr>
              <w:t>753,086,651</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55"/>
              <w:jc w:val="right"/>
              <w:rPr>
                <w:rFonts w:ascii="Arial" w:hAnsi="Arial" w:cs="Arial" w:eastAsia="Arial" w:hint="default"/>
                <w:sz w:val="20"/>
                <w:szCs w:val="20"/>
              </w:rPr>
            </w:pPr>
            <w:r>
              <w:rPr>
                <w:rFonts w:ascii="Arial"/>
                <w:spacing w:val="-1"/>
                <w:sz w:val="20"/>
              </w:rPr>
              <w:t>557,782,542</w:t>
            </w:r>
          </w:p>
        </w:tc>
      </w:tr>
      <w:tr>
        <w:trPr>
          <w:trHeight w:val="259"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26" w:lineRule="exact"/>
              <w:ind w:left="972" w:right="0"/>
              <w:jc w:val="left"/>
              <w:rPr>
                <w:rFonts w:ascii="黑体" w:hAnsi="黑体" w:cs="黑体" w:eastAsia="黑体" w:hint="default"/>
                <w:sz w:val="20"/>
                <w:szCs w:val="20"/>
              </w:rPr>
            </w:pPr>
            <w:r>
              <w:rPr>
                <w:rFonts w:ascii="黑体" w:hAnsi="黑体" w:cs="黑体" w:eastAsia="黑体" w:hint="default"/>
                <w:sz w:val="20"/>
                <w:szCs w:val="20"/>
              </w:rPr>
              <w:t>管理费用</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8"/>
              <w:ind w:left="209" w:right="0"/>
              <w:jc w:val="center"/>
              <w:rPr>
                <w:rFonts w:ascii="Arial" w:hAnsi="Arial" w:cs="Arial" w:eastAsia="Arial" w:hint="default"/>
                <w:sz w:val="20"/>
                <w:szCs w:val="20"/>
              </w:rPr>
            </w:pPr>
            <w:r>
              <w:rPr>
                <w:rFonts w:ascii="Arial"/>
                <w:sz w:val="20"/>
              </w:rPr>
              <w:t>28</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8"/>
              <w:ind w:left="400" w:right="0"/>
              <w:jc w:val="left"/>
              <w:rPr>
                <w:rFonts w:ascii="Arial" w:hAnsi="Arial" w:cs="Arial" w:eastAsia="Arial" w:hint="default"/>
                <w:sz w:val="20"/>
                <w:szCs w:val="20"/>
              </w:rPr>
            </w:pPr>
            <w:r>
              <w:rPr>
                <w:rFonts w:ascii="Arial"/>
                <w:sz w:val="20"/>
              </w:rPr>
              <w:t>480,125,098</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55"/>
              <w:jc w:val="right"/>
              <w:rPr>
                <w:rFonts w:ascii="Arial" w:hAnsi="Arial" w:cs="Arial" w:eastAsia="Arial" w:hint="default"/>
                <w:sz w:val="20"/>
                <w:szCs w:val="20"/>
              </w:rPr>
            </w:pPr>
            <w:r>
              <w:rPr>
                <w:rFonts w:ascii="Arial"/>
                <w:spacing w:val="-1"/>
                <w:sz w:val="20"/>
              </w:rPr>
              <w:t>432,632,683</w:t>
            </w:r>
          </w:p>
        </w:tc>
      </w:tr>
      <w:tr>
        <w:trPr>
          <w:trHeight w:val="259"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26" w:lineRule="exact"/>
              <w:ind w:left="972" w:right="0"/>
              <w:jc w:val="left"/>
              <w:rPr>
                <w:rFonts w:ascii="黑体" w:hAnsi="黑体" w:cs="黑体" w:eastAsia="黑体" w:hint="default"/>
                <w:sz w:val="20"/>
                <w:szCs w:val="20"/>
              </w:rPr>
            </w:pPr>
            <w:r>
              <w:rPr>
                <w:rFonts w:ascii="黑体" w:hAnsi="黑体" w:cs="黑体" w:eastAsia="黑体" w:hint="default"/>
                <w:sz w:val="20"/>
                <w:szCs w:val="20"/>
              </w:rPr>
              <w:t>财务费用</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8"/>
              <w:ind w:left="210" w:right="0"/>
              <w:jc w:val="center"/>
              <w:rPr>
                <w:rFonts w:ascii="Arial" w:hAnsi="Arial" w:cs="Arial" w:eastAsia="Arial" w:hint="default"/>
                <w:sz w:val="20"/>
                <w:szCs w:val="20"/>
              </w:rPr>
            </w:pPr>
            <w:r>
              <w:rPr>
                <w:rFonts w:ascii="Arial"/>
                <w:sz w:val="20"/>
              </w:rPr>
              <w:t>29</w:t>
            </w:r>
          </w:p>
        </w:tc>
        <w:tc>
          <w:tcPr>
            <w:tcW w:w="1777" w:type="dxa"/>
            <w:tcBorders>
              <w:top w:val="nil" w:sz="6" w:space="0" w:color="auto"/>
              <w:left w:val="nil" w:sz="6" w:space="0" w:color="auto"/>
              <w:bottom w:val="nil" w:sz="6" w:space="0" w:color="auto"/>
              <w:right w:val="nil" w:sz="6" w:space="0" w:color="auto"/>
            </w:tcBorders>
          </w:tcPr>
          <w:p>
            <w:pPr>
              <w:pStyle w:val="TableParagraph"/>
              <w:tabs>
                <w:tab w:pos="365" w:val="left" w:leader="none"/>
              </w:tabs>
              <w:spacing w:line="240" w:lineRule="auto" w:before="8"/>
              <w:ind w:right="164"/>
              <w:jc w:val="right"/>
              <w:rPr>
                <w:rFonts w:ascii="Arial" w:hAnsi="Arial" w:cs="Arial" w:eastAsia="Arial" w:hint="default"/>
                <w:sz w:val="20"/>
                <w:szCs w:val="20"/>
              </w:rPr>
            </w:pPr>
            <w:r>
              <w:rPr>
                <w:rFonts w:ascii="Arial"/>
                <w:sz w:val="20"/>
              </w:rPr>
              <w:t>(</w:t>
              <w:tab/>
              <w:t>10,234,838</w:t>
            </w:r>
            <w:r>
              <w:rPr>
                <w:rFonts w:ascii="Arial"/>
                <w:spacing w:val="-27"/>
                <w:sz w:val="20"/>
              </w:rPr>
              <w:t> </w:t>
            </w:r>
            <w:r>
              <w:rPr>
                <w:rFonts w:ascii="Arial"/>
                <w:sz w:val="20"/>
              </w:rPr>
              <w:t>)</w:t>
            </w:r>
          </w:p>
        </w:tc>
        <w:tc>
          <w:tcPr>
            <w:tcW w:w="1703" w:type="dxa"/>
            <w:tcBorders>
              <w:top w:val="nil" w:sz="6" w:space="0" w:color="auto"/>
              <w:left w:val="nil" w:sz="6" w:space="0" w:color="auto"/>
              <w:bottom w:val="nil" w:sz="6" w:space="0" w:color="auto"/>
              <w:right w:val="nil" w:sz="6" w:space="0" w:color="auto"/>
            </w:tcBorders>
          </w:tcPr>
          <w:p>
            <w:pPr>
              <w:pStyle w:val="TableParagraph"/>
              <w:tabs>
                <w:tab w:pos="465" w:val="left" w:leader="none"/>
              </w:tabs>
              <w:spacing w:line="240" w:lineRule="auto" w:before="8"/>
              <w:ind w:right="58"/>
              <w:jc w:val="right"/>
              <w:rPr>
                <w:rFonts w:ascii="Arial" w:hAnsi="Arial" w:cs="Arial" w:eastAsia="Arial" w:hint="default"/>
                <w:sz w:val="20"/>
                <w:szCs w:val="20"/>
              </w:rPr>
            </w:pPr>
            <w:r>
              <w:rPr>
                <w:rFonts w:ascii="Arial"/>
                <w:sz w:val="20"/>
              </w:rPr>
              <w:t>(</w:t>
              <w:tab/>
              <w:t>7,151,599</w:t>
            </w:r>
            <w:r>
              <w:rPr>
                <w:rFonts w:ascii="Arial"/>
                <w:spacing w:val="-25"/>
                <w:sz w:val="20"/>
              </w:rPr>
              <w:t> </w:t>
            </w:r>
            <w:r>
              <w:rPr>
                <w:rFonts w:ascii="Arial"/>
                <w:sz w:val="20"/>
              </w:rPr>
              <w:t>)</w:t>
            </w:r>
          </w:p>
        </w:tc>
      </w:tr>
      <w:tr>
        <w:trPr>
          <w:trHeight w:val="260"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26" w:lineRule="exact"/>
              <w:ind w:left="972" w:right="0"/>
              <w:jc w:val="left"/>
              <w:rPr>
                <w:rFonts w:ascii="黑体" w:hAnsi="黑体" w:cs="黑体" w:eastAsia="黑体" w:hint="default"/>
                <w:sz w:val="20"/>
                <w:szCs w:val="20"/>
              </w:rPr>
            </w:pPr>
            <w:r>
              <w:rPr>
                <w:rFonts w:ascii="黑体" w:hAnsi="黑体" w:cs="黑体" w:eastAsia="黑体" w:hint="default"/>
                <w:sz w:val="20"/>
                <w:szCs w:val="20"/>
              </w:rPr>
              <w:t>资产减值损失</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8"/>
              <w:ind w:left="209" w:right="0"/>
              <w:jc w:val="center"/>
              <w:rPr>
                <w:rFonts w:ascii="Arial" w:hAnsi="Arial" w:cs="Arial" w:eastAsia="Arial" w:hint="default"/>
                <w:sz w:val="20"/>
                <w:szCs w:val="20"/>
              </w:rPr>
            </w:pPr>
            <w:r>
              <w:rPr>
                <w:rFonts w:ascii="Arial"/>
                <w:sz w:val="20"/>
              </w:rPr>
              <w:t>30</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61"/>
              <w:jc w:val="right"/>
              <w:rPr>
                <w:rFonts w:ascii="Arial" w:hAnsi="Arial" w:cs="Arial" w:eastAsia="Arial" w:hint="default"/>
                <w:sz w:val="20"/>
                <w:szCs w:val="20"/>
              </w:rPr>
            </w:pPr>
            <w:r>
              <w:rPr>
                <w:rFonts w:ascii="Arial"/>
                <w:spacing w:val="-1"/>
                <w:sz w:val="20"/>
              </w:rPr>
              <w:t>2,988,817</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56"/>
              <w:jc w:val="right"/>
              <w:rPr>
                <w:rFonts w:ascii="Arial" w:hAnsi="Arial" w:cs="Arial" w:eastAsia="Arial" w:hint="default"/>
                <w:sz w:val="20"/>
                <w:szCs w:val="20"/>
              </w:rPr>
            </w:pPr>
            <w:r>
              <w:rPr>
                <w:rFonts w:ascii="Arial"/>
                <w:spacing w:val="-1"/>
                <w:sz w:val="20"/>
              </w:rPr>
              <w:t>4,258,488</w:t>
            </w:r>
          </w:p>
        </w:tc>
      </w:tr>
      <w:tr>
        <w:trPr>
          <w:trHeight w:val="260"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41" w:lineRule="exact"/>
              <w:ind w:left="566" w:right="0"/>
              <w:jc w:val="left"/>
              <w:rPr>
                <w:rFonts w:ascii="Arial" w:hAnsi="Arial" w:cs="Arial" w:eastAsia="Arial" w:hint="default"/>
                <w:sz w:val="20"/>
                <w:szCs w:val="20"/>
              </w:rPr>
            </w:pPr>
            <w:r>
              <w:rPr>
                <w:rFonts w:ascii="黑体" w:hAnsi="黑体" w:cs="黑体" w:eastAsia="黑体" w:hint="default"/>
                <w:sz w:val="20"/>
                <w:szCs w:val="20"/>
              </w:rPr>
              <w:t>加：公允价值变动收益</w:t>
            </w:r>
            <w:r>
              <w:rPr>
                <w:rFonts w:ascii="Arial" w:hAnsi="Arial" w:cs="Arial" w:eastAsia="Arial" w:hint="default"/>
                <w:sz w:val="20"/>
                <w:szCs w:val="20"/>
              </w:rPr>
              <w:t>/(</w:t>
            </w:r>
            <w:r>
              <w:rPr>
                <w:rFonts w:ascii="黑体" w:hAnsi="黑体" w:cs="黑体" w:eastAsia="黑体" w:hint="default"/>
                <w:sz w:val="20"/>
                <w:szCs w:val="20"/>
              </w:rPr>
              <w:t>损失</w:t>
            </w:r>
            <w:r>
              <w:rPr>
                <w:rFonts w:ascii="Arial" w:hAnsi="Arial" w:cs="Arial" w:eastAsia="Arial" w:hint="default"/>
                <w:sz w:val="20"/>
                <w:szCs w:val="20"/>
              </w:rPr>
              <w:t>)</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8"/>
              <w:ind w:left="209" w:right="0"/>
              <w:jc w:val="center"/>
              <w:rPr>
                <w:rFonts w:ascii="Arial" w:hAnsi="Arial" w:cs="Arial" w:eastAsia="Arial" w:hint="default"/>
                <w:sz w:val="20"/>
                <w:szCs w:val="20"/>
              </w:rPr>
            </w:pPr>
            <w:r>
              <w:rPr>
                <w:rFonts w:ascii="Arial"/>
                <w:sz w:val="20"/>
              </w:rPr>
              <w:t>31</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61"/>
              <w:jc w:val="right"/>
              <w:rPr>
                <w:rFonts w:ascii="Arial" w:hAnsi="Arial" w:cs="Arial" w:eastAsia="Arial" w:hint="default"/>
                <w:sz w:val="20"/>
                <w:szCs w:val="20"/>
              </w:rPr>
            </w:pPr>
            <w:r>
              <w:rPr>
                <w:rFonts w:ascii="Arial"/>
                <w:spacing w:val="-1"/>
                <w:sz w:val="20"/>
              </w:rPr>
              <w:t>46,903,611</w:t>
            </w:r>
          </w:p>
        </w:tc>
        <w:tc>
          <w:tcPr>
            <w:tcW w:w="1703" w:type="dxa"/>
            <w:tcBorders>
              <w:top w:val="nil" w:sz="6" w:space="0" w:color="auto"/>
              <w:left w:val="nil" w:sz="6" w:space="0" w:color="auto"/>
              <w:bottom w:val="nil" w:sz="6" w:space="0" w:color="auto"/>
              <w:right w:val="nil" w:sz="6" w:space="0" w:color="auto"/>
            </w:tcBorders>
          </w:tcPr>
          <w:p>
            <w:pPr>
              <w:pStyle w:val="TableParagraph"/>
              <w:tabs>
                <w:tab w:pos="365" w:val="left" w:leader="none"/>
              </w:tabs>
              <w:spacing w:line="240" w:lineRule="auto" w:before="8"/>
              <w:ind w:right="59"/>
              <w:jc w:val="right"/>
              <w:rPr>
                <w:rFonts w:ascii="Arial" w:hAnsi="Arial" w:cs="Arial" w:eastAsia="Arial" w:hint="default"/>
                <w:sz w:val="20"/>
                <w:szCs w:val="20"/>
              </w:rPr>
            </w:pPr>
            <w:r>
              <w:rPr>
                <w:rFonts w:ascii="Arial"/>
                <w:sz w:val="20"/>
              </w:rPr>
              <w:t>(</w:t>
              <w:tab/>
              <w:t>74,232,671</w:t>
            </w:r>
            <w:r>
              <w:rPr>
                <w:rFonts w:ascii="Arial"/>
                <w:spacing w:val="-27"/>
                <w:sz w:val="20"/>
              </w:rPr>
              <w:t> </w:t>
            </w:r>
            <w:r>
              <w:rPr>
                <w:rFonts w:ascii="Arial"/>
                <w:sz w:val="20"/>
              </w:rPr>
              <w:t>)</w:t>
            </w:r>
          </w:p>
        </w:tc>
      </w:tr>
      <w:tr>
        <w:trPr>
          <w:trHeight w:val="514"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24" w:lineRule="exact"/>
              <w:ind w:left="972" w:right="0"/>
              <w:jc w:val="left"/>
              <w:rPr>
                <w:rFonts w:ascii="黑体" w:hAnsi="黑体" w:cs="黑体" w:eastAsia="黑体" w:hint="default"/>
                <w:sz w:val="20"/>
                <w:szCs w:val="20"/>
              </w:rPr>
            </w:pPr>
            <w:r>
              <w:rPr>
                <w:rFonts w:ascii="黑体" w:hAnsi="黑体" w:cs="黑体" w:eastAsia="黑体" w:hint="default"/>
                <w:sz w:val="20"/>
                <w:szCs w:val="20"/>
              </w:rPr>
              <w:t>投资收益</w:t>
            </w:r>
          </w:p>
          <w:p>
            <w:pPr>
              <w:pStyle w:val="TableParagraph"/>
              <w:spacing w:line="260" w:lineRule="exact"/>
              <w:ind w:left="972" w:right="0"/>
              <w:jc w:val="left"/>
              <w:rPr>
                <w:rFonts w:ascii="黑体" w:hAnsi="黑体" w:cs="黑体" w:eastAsia="黑体" w:hint="default"/>
                <w:sz w:val="20"/>
                <w:szCs w:val="20"/>
              </w:rPr>
            </w:pPr>
            <w:r>
              <w:rPr>
                <w:rFonts w:ascii="黑体" w:hAnsi="黑体" w:cs="黑体" w:eastAsia="黑体" w:hint="default"/>
                <w:sz w:val="20"/>
                <w:szCs w:val="20"/>
              </w:rPr>
              <w:t>其中：对联营企业和合营企业</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7"/>
              <w:ind w:left="209" w:right="0"/>
              <w:jc w:val="center"/>
              <w:rPr>
                <w:rFonts w:ascii="Arial" w:hAnsi="Arial" w:cs="Arial" w:eastAsia="Arial" w:hint="default"/>
                <w:sz w:val="20"/>
                <w:szCs w:val="20"/>
              </w:rPr>
            </w:pPr>
            <w:r>
              <w:rPr>
                <w:rFonts w:ascii="Arial"/>
                <w:sz w:val="20"/>
              </w:rPr>
              <w:t>32</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7"/>
              <w:ind w:left="400" w:right="0"/>
              <w:jc w:val="left"/>
              <w:rPr>
                <w:rFonts w:ascii="Arial" w:hAnsi="Arial" w:cs="Arial" w:eastAsia="Arial" w:hint="default"/>
                <w:sz w:val="20"/>
                <w:szCs w:val="20"/>
              </w:rPr>
            </w:pPr>
            <w:r>
              <w:rPr>
                <w:rFonts w:ascii="Arial"/>
                <w:sz w:val="20"/>
              </w:rPr>
              <w:t>251,177,937</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55"/>
              <w:jc w:val="right"/>
              <w:rPr>
                <w:rFonts w:ascii="Arial" w:hAnsi="Arial" w:cs="Arial" w:eastAsia="Arial" w:hint="default"/>
                <w:sz w:val="20"/>
                <w:szCs w:val="20"/>
              </w:rPr>
            </w:pPr>
            <w:r>
              <w:rPr>
                <w:rFonts w:ascii="Arial"/>
                <w:spacing w:val="-1"/>
                <w:sz w:val="20"/>
              </w:rPr>
              <w:t>215,766,149</w:t>
            </w:r>
          </w:p>
        </w:tc>
      </w:tr>
      <w:tr>
        <w:trPr>
          <w:trHeight w:val="379"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30" w:lineRule="exact"/>
              <w:ind w:left="1781" w:right="0"/>
              <w:jc w:val="left"/>
              <w:rPr>
                <w:rFonts w:ascii="黑体" w:hAnsi="黑体" w:cs="黑体" w:eastAsia="黑体" w:hint="default"/>
                <w:sz w:val="20"/>
                <w:szCs w:val="20"/>
              </w:rPr>
            </w:pPr>
            <w:r>
              <w:rPr>
                <w:rFonts w:ascii="黑体" w:hAnsi="黑体" w:cs="黑体" w:eastAsia="黑体" w:hint="default"/>
                <w:sz w:val="20"/>
                <w:szCs w:val="20"/>
              </w:rPr>
              <w:t>的投资收益</w:t>
            </w:r>
          </w:p>
        </w:tc>
        <w:tc>
          <w:tcPr>
            <w:tcW w:w="1501"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Style w:val="TableParagraph"/>
              <w:tabs>
                <w:tab w:pos="621" w:val="left" w:leader="none"/>
              </w:tabs>
              <w:spacing w:line="240" w:lineRule="auto" w:before="11"/>
              <w:ind w:left="223"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6,950,828</w:t>
            </w:r>
            <w:r>
              <w:rPr>
                <w:rFonts w:ascii="Arial"/>
                <w:sz w:val="20"/>
              </w:rPr>
            </w:r>
          </w:p>
        </w:tc>
        <w:tc>
          <w:tcPr>
            <w:tcW w:w="1703" w:type="dxa"/>
            <w:tcBorders>
              <w:top w:val="nil" w:sz="6" w:space="0" w:color="auto"/>
              <w:left w:val="nil" w:sz="6" w:space="0" w:color="auto"/>
              <w:bottom w:val="nil" w:sz="6" w:space="0" w:color="auto"/>
              <w:right w:val="nil" w:sz="6" w:space="0" w:color="auto"/>
            </w:tcBorders>
          </w:tcPr>
          <w:p>
            <w:pPr>
              <w:pStyle w:val="TableParagraph"/>
              <w:tabs>
                <w:tab w:pos="653" w:val="left" w:leader="none"/>
              </w:tabs>
              <w:spacing w:line="240" w:lineRule="auto" w:before="12"/>
              <w:ind w:left="254"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3,578,802</w:t>
            </w:r>
            <w:r>
              <w:rPr>
                <w:rFonts w:ascii="Arial"/>
                <w:sz w:val="20"/>
              </w:rPr>
            </w:r>
          </w:p>
        </w:tc>
      </w:tr>
      <w:tr>
        <w:trPr>
          <w:trHeight w:val="490"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46" w:right="0"/>
              <w:jc w:val="left"/>
              <w:rPr>
                <w:rFonts w:ascii="黑体" w:hAnsi="黑体" w:cs="黑体" w:eastAsia="黑体" w:hint="default"/>
                <w:sz w:val="20"/>
                <w:szCs w:val="20"/>
              </w:rPr>
            </w:pPr>
            <w:r>
              <w:rPr>
                <w:rFonts w:ascii="黑体" w:hAnsi="黑体" w:cs="黑体" w:eastAsia="黑体" w:hint="default"/>
                <w:sz w:val="20"/>
                <w:szCs w:val="20"/>
              </w:rPr>
              <w:t>二、营业利润</w:t>
            </w:r>
          </w:p>
        </w:tc>
        <w:tc>
          <w:tcPr>
            <w:tcW w:w="1501"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400" w:right="0"/>
              <w:jc w:val="left"/>
              <w:rPr>
                <w:rFonts w:ascii="Arial" w:hAnsi="Arial" w:cs="Arial" w:eastAsia="Arial" w:hint="default"/>
                <w:sz w:val="20"/>
                <w:szCs w:val="20"/>
              </w:rPr>
            </w:pPr>
            <w:r>
              <w:rPr>
                <w:rFonts w:ascii="Arial"/>
                <w:sz w:val="20"/>
              </w:rPr>
              <w:t>422,183,578</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5"/>
              <w:jc w:val="right"/>
              <w:rPr>
                <w:rFonts w:ascii="Arial" w:hAnsi="Arial" w:cs="Arial" w:eastAsia="Arial" w:hint="default"/>
                <w:sz w:val="20"/>
                <w:szCs w:val="20"/>
              </w:rPr>
            </w:pPr>
            <w:r>
              <w:rPr>
                <w:rFonts w:ascii="Arial"/>
                <w:spacing w:val="-1"/>
                <w:sz w:val="20"/>
              </w:rPr>
              <w:t>249,836,250</w:t>
            </w:r>
          </w:p>
        </w:tc>
      </w:tr>
      <w:tr>
        <w:trPr>
          <w:trHeight w:val="374"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66" w:right="0"/>
              <w:jc w:val="left"/>
              <w:rPr>
                <w:rFonts w:ascii="黑体" w:hAnsi="黑体" w:cs="黑体" w:eastAsia="黑体" w:hint="default"/>
                <w:sz w:val="20"/>
                <w:szCs w:val="20"/>
              </w:rPr>
            </w:pPr>
            <w:r>
              <w:rPr>
                <w:rFonts w:ascii="黑体" w:hAnsi="黑体" w:cs="黑体" w:eastAsia="黑体" w:hint="default"/>
                <w:sz w:val="20"/>
                <w:szCs w:val="20"/>
              </w:rPr>
              <w:t>加：营业外收入</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209" w:right="0"/>
              <w:jc w:val="center"/>
              <w:rPr>
                <w:rFonts w:ascii="Arial" w:hAnsi="Arial" w:cs="Arial" w:eastAsia="Arial" w:hint="default"/>
                <w:sz w:val="20"/>
                <w:szCs w:val="20"/>
              </w:rPr>
            </w:pPr>
            <w:r>
              <w:rPr>
                <w:rFonts w:ascii="Arial"/>
                <w:sz w:val="20"/>
              </w:rPr>
              <w:t>33</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400" w:right="0"/>
              <w:jc w:val="left"/>
              <w:rPr>
                <w:rFonts w:ascii="Arial" w:hAnsi="Arial" w:cs="Arial" w:eastAsia="Arial" w:hint="default"/>
                <w:sz w:val="20"/>
                <w:szCs w:val="20"/>
              </w:rPr>
            </w:pPr>
            <w:r>
              <w:rPr>
                <w:rFonts w:ascii="Arial"/>
                <w:sz w:val="20"/>
              </w:rPr>
              <w:t>174,115,646</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5"/>
              <w:jc w:val="right"/>
              <w:rPr>
                <w:rFonts w:ascii="Arial" w:hAnsi="Arial" w:cs="Arial" w:eastAsia="Arial" w:hint="default"/>
                <w:sz w:val="20"/>
                <w:szCs w:val="20"/>
              </w:rPr>
            </w:pPr>
            <w:r>
              <w:rPr>
                <w:rFonts w:ascii="Arial"/>
                <w:spacing w:val="-1"/>
                <w:sz w:val="20"/>
              </w:rPr>
              <w:t>208,969,356</w:t>
            </w:r>
          </w:p>
        </w:tc>
      </w:tr>
      <w:tr>
        <w:trPr>
          <w:trHeight w:val="259"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26" w:lineRule="exact"/>
              <w:ind w:left="566" w:right="0"/>
              <w:jc w:val="left"/>
              <w:rPr>
                <w:rFonts w:ascii="黑体" w:hAnsi="黑体" w:cs="黑体" w:eastAsia="黑体" w:hint="default"/>
                <w:sz w:val="20"/>
                <w:szCs w:val="20"/>
              </w:rPr>
            </w:pPr>
            <w:r>
              <w:rPr>
                <w:rFonts w:ascii="黑体" w:hAnsi="黑体" w:cs="黑体" w:eastAsia="黑体" w:hint="default"/>
                <w:sz w:val="20"/>
                <w:szCs w:val="20"/>
              </w:rPr>
              <w:t>减：营业外支出</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8"/>
              <w:ind w:left="209" w:right="0"/>
              <w:jc w:val="center"/>
              <w:rPr>
                <w:rFonts w:ascii="Arial" w:hAnsi="Arial" w:cs="Arial" w:eastAsia="Arial" w:hint="default"/>
                <w:sz w:val="20"/>
                <w:szCs w:val="20"/>
              </w:rPr>
            </w:pPr>
            <w:r>
              <w:rPr>
                <w:rFonts w:ascii="Arial"/>
                <w:sz w:val="20"/>
              </w:rPr>
              <w:t>34</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61"/>
              <w:jc w:val="right"/>
              <w:rPr>
                <w:rFonts w:ascii="Arial" w:hAnsi="Arial" w:cs="Arial" w:eastAsia="Arial" w:hint="default"/>
                <w:sz w:val="20"/>
                <w:szCs w:val="20"/>
              </w:rPr>
            </w:pPr>
            <w:r>
              <w:rPr>
                <w:rFonts w:ascii="Arial"/>
                <w:spacing w:val="-1"/>
                <w:sz w:val="20"/>
              </w:rPr>
              <w:t>5,576,710</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56"/>
              <w:jc w:val="right"/>
              <w:rPr>
                <w:rFonts w:ascii="Arial" w:hAnsi="Arial" w:cs="Arial" w:eastAsia="Arial" w:hint="default"/>
                <w:sz w:val="20"/>
                <w:szCs w:val="20"/>
              </w:rPr>
            </w:pPr>
            <w:r>
              <w:rPr>
                <w:rFonts w:ascii="Arial"/>
                <w:spacing w:val="-1"/>
                <w:sz w:val="20"/>
              </w:rPr>
              <w:t>5,936,734</w:t>
            </w:r>
          </w:p>
        </w:tc>
      </w:tr>
      <w:tr>
        <w:trPr>
          <w:trHeight w:val="375"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26" w:lineRule="exact"/>
              <w:ind w:left="958" w:right="0"/>
              <w:jc w:val="left"/>
              <w:rPr>
                <w:rFonts w:ascii="黑体" w:hAnsi="黑体" w:cs="黑体" w:eastAsia="黑体" w:hint="default"/>
                <w:sz w:val="20"/>
                <w:szCs w:val="20"/>
              </w:rPr>
            </w:pPr>
            <w:r>
              <w:rPr>
                <w:rFonts w:ascii="黑体" w:hAnsi="黑体" w:cs="黑体" w:eastAsia="黑体" w:hint="default"/>
                <w:sz w:val="20"/>
                <w:szCs w:val="20"/>
              </w:rPr>
              <w:t>其中：非流动资产处置损失</w:t>
            </w:r>
          </w:p>
        </w:tc>
        <w:tc>
          <w:tcPr>
            <w:tcW w:w="1501"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Style w:val="TableParagraph"/>
              <w:tabs>
                <w:tab w:pos="788" w:val="left" w:leader="none"/>
              </w:tabs>
              <w:spacing w:line="240" w:lineRule="auto" w:before="8"/>
              <w:ind w:left="189"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986,245</w:t>
            </w:r>
            <w:r>
              <w:rPr>
                <w:rFonts w:ascii="Arial"/>
                <w:sz w:val="20"/>
              </w:rPr>
            </w:r>
          </w:p>
        </w:tc>
        <w:tc>
          <w:tcPr>
            <w:tcW w:w="1703" w:type="dxa"/>
            <w:tcBorders>
              <w:top w:val="nil" w:sz="6" w:space="0" w:color="auto"/>
              <w:left w:val="nil" w:sz="6" w:space="0" w:color="auto"/>
              <w:bottom w:val="nil" w:sz="6" w:space="0" w:color="auto"/>
              <w:right w:val="nil" w:sz="6" w:space="0" w:color="auto"/>
            </w:tcBorders>
          </w:tcPr>
          <w:p>
            <w:pPr>
              <w:pStyle w:val="TableParagraph"/>
              <w:tabs>
                <w:tab w:pos="653" w:val="left" w:leader="none"/>
              </w:tabs>
              <w:spacing w:line="240" w:lineRule="auto" w:before="8"/>
              <w:ind w:left="254"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2,235,131</w:t>
            </w:r>
            <w:r>
              <w:rPr>
                <w:rFonts w:ascii="Arial"/>
                <w:sz w:val="20"/>
              </w:rPr>
            </w:r>
          </w:p>
        </w:tc>
      </w:tr>
      <w:tr>
        <w:trPr>
          <w:trHeight w:val="490"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46" w:right="0"/>
              <w:jc w:val="left"/>
              <w:rPr>
                <w:rFonts w:ascii="黑体" w:hAnsi="黑体" w:cs="黑体" w:eastAsia="黑体" w:hint="default"/>
                <w:sz w:val="20"/>
                <w:szCs w:val="20"/>
              </w:rPr>
            </w:pPr>
            <w:r>
              <w:rPr>
                <w:rFonts w:ascii="黑体" w:hAnsi="黑体" w:cs="黑体" w:eastAsia="黑体" w:hint="default"/>
                <w:sz w:val="20"/>
                <w:szCs w:val="20"/>
              </w:rPr>
              <w:t>三、利润总额</w:t>
            </w:r>
          </w:p>
        </w:tc>
        <w:tc>
          <w:tcPr>
            <w:tcW w:w="1501"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400" w:right="0"/>
              <w:jc w:val="left"/>
              <w:rPr>
                <w:rFonts w:ascii="Arial" w:hAnsi="Arial" w:cs="Arial" w:eastAsia="Arial" w:hint="default"/>
                <w:sz w:val="20"/>
                <w:szCs w:val="20"/>
              </w:rPr>
            </w:pPr>
            <w:r>
              <w:rPr>
                <w:rFonts w:ascii="Arial"/>
                <w:sz w:val="20"/>
              </w:rPr>
              <w:t>590,722,514</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55"/>
              <w:jc w:val="right"/>
              <w:rPr>
                <w:rFonts w:ascii="Arial" w:hAnsi="Arial" w:cs="Arial" w:eastAsia="Arial" w:hint="default"/>
                <w:sz w:val="20"/>
                <w:szCs w:val="20"/>
              </w:rPr>
            </w:pPr>
            <w:r>
              <w:rPr>
                <w:rFonts w:ascii="Arial"/>
                <w:spacing w:val="-1"/>
                <w:sz w:val="20"/>
              </w:rPr>
              <w:t>452,868,872</w:t>
            </w:r>
          </w:p>
        </w:tc>
      </w:tr>
      <w:tr>
        <w:trPr>
          <w:trHeight w:val="489"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66" w:right="0"/>
              <w:jc w:val="left"/>
              <w:rPr>
                <w:rFonts w:ascii="黑体" w:hAnsi="黑体" w:cs="黑体" w:eastAsia="黑体" w:hint="default"/>
                <w:sz w:val="20"/>
                <w:szCs w:val="20"/>
              </w:rPr>
            </w:pPr>
            <w:r>
              <w:rPr>
                <w:rFonts w:ascii="黑体" w:hAnsi="黑体" w:cs="黑体" w:eastAsia="黑体" w:hint="default"/>
                <w:sz w:val="20"/>
                <w:szCs w:val="20"/>
              </w:rPr>
              <w:t>减：所得税费用</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209" w:right="0"/>
              <w:jc w:val="center"/>
              <w:rPr>
                <w:rFonts w:ascii="Arial" w:hAnsi="Arial" w:cs="Arial" w:eastAsia="Arial" w:hint="default"/>
                <w:sz w:val="20"/>
                <w:szCs w:val="20"/>
              </w:rPr>
            </w:pPr>
            <w:r>
              <w:rPr>
                <w:rFonts w:ascii="Arial"/>
                <w:sz w:val="20"/>
              </w:rPr>
              <w:t>35</w:t>
            </w:r>
          </w:p>
        </w:tc>
        <w:tc>
          <w:tcPr>
            <w:tcW w:w="1777" w:type="dxa"/>
            <w:tcBorders>
              <w:top w:val="nil" w:sz="6" w:space="0" w:color="auto"/>
              <w:left w:val="nil" w:sz="6" w:space="0" w:color="auto"/>
              <w:bottom w:val="nil" w:sz="6" w:space="0" w:color="auto"/>
              <w:right w:val="nil" w:sz="6" w:space="0" w:color="auto"/>
            </w:tcBorders>
          </w:tcPr>
          <w:p>
            <w:pPr>
              <w:pStyle w:val="TableParagraph"/>
              <w:tabs>
                <w:tab w:pos="510" w:val="left" w:leader="none"/>
              </w:tabs>
              <w:spacing w:line="240" w:lineRule="auto" w:before="123"/>
              <w:ind w:left="212"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46,698,752</w:t>
            </w:r>
            <w:r>
              <w:rPr>
                <w:rFonts w:ascii="Arial"/>
                <w:sz w:val="20"/>
              </w:rPr>
            </w:r>
          </w:p>
        </w:tc>
        <w:tc>
          <w:tcPr>
            <w:tcW w:w="1703" w:type="dxa"/>
            <w:tcBorders>
              <w:top w:val="nil" w:sz="6" w:space="0" w:color="auto"/>
              <w:left w:val="nil" w:sz="6" w:space="0" w:color="auto"/>
              <w:bottom w:val="nil" w:sz="6" w:space="0" w:color="auto"/>
              <w:right w:val="nil" w:sz="6" w:space="0" w:color="auto"/>
            </w:tcBorders>
          </w:tcPr>
          <w:p>
            <w:pPr>
              <w:pStyle w:val="TableParagraph"/>
              <w:tabs>
                <w:tab w:pos="542" w:val="left" w:leader="none"/>
              </w:tabs>
              <w:spacing w:line="240" w:lineRule="auto" w:before="123"/>
              <w:ind w:left="243"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53,320,304</w:t>
            </w:r>
            <w:r>
              <w:rPr>
                <w:rFonts w:ascii="Arial"/>
                <w:sz w:val="20"/>
              </w:rPr>
            </w:r>
          </w:p>
        </w:tc>
      </w:tr>
      <w:tr>
        <w:trPr>
          <w:trHeight w:val="489"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46" w:right="0"/>
              <w:jc w:val="left"/>
              <w:rPr>
                <w:rFonts w:ascii="黑体" w:hAnsi="黑体" w:cs="黑体" w:eastAsia="黑体" w:hint="default"/>
                <w:sz w:val="20"/>
                <w:szCs w:val="20"/>
              </w:rPr>
            </w:pPr>
            <w:r>
              <w:rPr>
                <w:rFonts w:ascii="黑体" w:hAnsi="黑体" w:cs="黑体" w:eastAsia="黑体" w:hint="default"/>
                <w:sz w:val="20"/>
                <w:szCs w:val="20"/>
              </w:rPr>
              <w:t>四、净利润</w:t>
            </w:r>
          </w:p>
        </w:tc>
        <w:tc>
          <w:tcPr>
            <w:tcW w:w="1501"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200"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24"/>
                <w:sz w:val="20"/>
                <w:u w:val="thick" w:color="000000"/>
              </w:rPr>
              <w:t> </w:t>
            </w:r>
            <w:r>
              <w:rPr>
                <w:rFonts w:ascii="Arial"/>
                <w:sz w:val="20"/>
                <w:u w:val="thick" w:color="000000"/>
              </w:rPr>
              <w:t>544,023,762</w:t>
            </w:r>
            <w:r>
              <w:rPr>
                <w:rFonts w:ascii="Arial"/>
                <w:sz w:val="20"/>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231"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24"/>
                <w:sz w:val="20"/>
                <w:u w:val="thick" w:color="000000"/>
              </w:rPr>
              <w:t> </w:t>
            </w:r>
            <w:r>
              <w:rPr>
                <w:rFonts w:ascii="Arial"/>
                <w:sz w:val="20"/>
                <w:u w:val="thick" w:color="000000"/>
              </w:rPr>
              <w:t>399,548,568</w:t>
            </w:r>
            <w:r>
              <w:rPr>
                <w:rFonts w:ascii="Arial"/>
                <w:sz w:val="20"/>
              </w:rPr>
            </w:r>
          </w:p>
        </w:tc>
      </w:tr>
      <w:tr>
        <w:trPr>
          <w:trHeight w:val="486"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46" w:right="0"/>
              <w:jc w:val="left"/>
              <w:rPr>
                <w:rFonts w:ascii="黑体" w:hAnsi="黑体" w:cs="黑体" w:eastAsia="黑体" w:hint="default"/>
                <w:sz w:val="20"/>
                <w:szCs w:val="20"/>
              </w:rPr>
            </w:pPr>
            <w:r>
              <w:rPr>
                <w:rFonts w:ascii="黑体" w:hAnsi="黑体" w:cs="黑体" w:eastAsia="黑体" w:hint="default"/>
                <w:sz w:val="20"/>
                <w:szCs w:val="20"/>
              </w:rPr>
              <w:t>五、每股收益</w:t>
            </w:r>
          </w:p>
        </w:tc>
        <w:tc>
          <w:tcPr>
            <w:tcW w:w="1501"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
        </w:tc>
      </w:tr>
      <w:tr>
        <w:trPr>
          <w:trHeight w:val="378"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黑体" w:hAnsi="黑体" w:cs="黑体" w:eastAsia="黑体" w:hint="default"/>
                <w:sz w:val="20"/>
                <w:szCs w:val="20"/>
              </w:rPr>
            </w:pPr>
            <w:r>
              <w:rPr>
                <w:rFonts w:ascii="黑体" w:hAnsi="黑体" w:cs="黑体" w:eastAsia="黑体" w:hint="default"/>
                <w:sz w:val="20"/>
                <w:szCs w:val="20"/>
              </w:rPr>
              <w:t>（一）基本每股收益</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209" w:right="0"/>
              <w:jc w:val="center"/>
              <w:rPr>
                <w:rFonts w:ascii="Arial" w:hAnsi="Arial" w:cs="Arial" w:eastAsia="Arial" w:hint="default"/>
                <w:sz w:val="20"/>
                <w:szCs w:val="20"/>
              </w:rPr>
            </w:pPr>
            <w:r>
              <w:rPr>
                <w:rFonts w:ascii="Arial"/>
                <w:sz w:val="20"/>
              </w:rPr>
              <w:t>36</w:t>
            </w:r>
          </w:p>
        </w:tc>
        <w:tc>
          <w:tcPr>
            <w:tcW w:w="1777" w:type="dxa"/>
            <w:tcBorders>
              <w:top w:val="nil" w:sz="6" w:space="0" w:color="auto"/>
              <w:left w:val="nil" w:sz="6" w:space="0" w:color="auto"/>
              <w:bottom w:val="nil" w:sz="6" w:space="0" w:color="auto"/>
              <w:right w:val="nil" w:sz="6" w:space="0" w:color="auto"/>
            </w:tcBorders>
          </w:tcPr>
          <w:p>
            <w:pPr>
              <w:pStyle w:val="TableParagraph"/>
              <w:tabs>
                <w:tab w:pos="1122" w:val="left" w:leader="none"/>
              </w:tabs>
              <w:spacing w:line="240" w:lineRule="auto" w:before="127"/>
              <w:ind w:left="223"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0.89</w:t>
            </w:r>
            <w:r>
              <w:rPr>
                <w:rFonts w:ascii="Arial"/>
                <w:sz w:val="20"/>
              </w:rPr>
            </w:r>
          </w:p>
        </w:tc>
        <w:tc>
          <w:tcPr>
            <w:tcW w:w="1703" w:type="dxa"/>
            <w:tcBorders>
              <w:top w:val="nil" w:sz="6" w:space="0" w:color="auto"/>
              <w:left w:val="nil" w:sz="6" w:space="0" w:color="auto"/>
              <w:bottom w:val="nil" w:sz="6" w:space="0" w:color="auto"/>
              <w:right w:val="nil" w:sz="6" w:space="0" w:color="auto"/>
            </w:tcBorders>
          </w:tcPr>
          <w:p>
            <w:pPr>
              <w:pStyle w:val="TableParagraph"/>
              <w:tabs>
                <w:tab w:pos="1153" w:val="left" w:leader="none"/>
              </w:tabs>
              <w:spacing w:line="240" w:lineRule="auto" w:before="127"/>
              <w:ind w:left="254"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0.66</w:t>
            </w:r>
            <w:r>
              <w:rPr>
                <w:rFonts w:ascii="Arial"/>
                <w:sz w:val="20"/>
              </w:rPr>
            </w:r>
          </w:p>
        </w:tc>
      </w:tr>
      <w:tr>
        <w:trPr>
          <w:trHeight w:val="374"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（二）稀释每股收益</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8"/>
              <w:ind w:left="209" w:right="0"/>
              <w:jc w:val="center"/>
              <w:rPr>
                <w:rFonts w:ascii="Arial" w:hAnsi="Arial" w:cs="Arial" w:eastAsia="Arial" w:hint="default"/>
                <w:sz w:val="20"/>
                <w:szCs w:val="20"/>
              </w:rPr>
            </w:pPr>
            <w:r>
              <w:rPr>
                <w:rFonts w:ascii="Arial"/>
                <w:sz w:val="20"/>
              </w:rPr>
              <w:t>36</w:t>
            </w:r>
          </w:p>
        </w:tc>
        <w:tc>
          <w:tcPr>
            <w:tcW w:w="1777" w:type="dxa"/>
            <w:tcBorders>
              <w:top w:val="nil" w:sz="6" w:space="0" w:color="auto"/>
              <w:left w:val="nil" w:sz="6" w:space="0" w:color="auto"/>
              <w:bottom w:val="nil" w:sz="6" w:space="0" w:color="auto"/>
              <w:right w:val="nil" w:sz="6" w:space="0" w:color="auto"/>
            </w:tcBorders>
          </w:tcPr>
          <w:p>
            <w:pPr>
              <w:pStyle w:val="TableParagraph"/>
              <w:tabs>
                <w:tab w:pos="1122" w:val="left" w:leader="none"/>
              </w:tabs>
              <w:spacing w:line="240" w:lineRule="auto" w:before="8"/>
              <w:ind w:left="223"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0.89</w:t>
            </w:r>
            <w:r>
              <w:rPr>
                <w:rFonts w:ascii="Arial"/>
                <w:sz w:val="20"/>
              </w:rPr>
            </w:r>
          </w:p>
        </w:tc>
        <w:tc>
          <w:tcPr>
            <w:tcW w:w="1703" w:type="dxa"/>
            <w:tcBorders>
              <w:top w:val="nil" w:sz="6" w:space="0" w:color="auto"/>
              <w:left w:val="nil" w:sz="6" w:space="0" w:color="auto"/>
              <w:bottom w:val="nil" w:sz="6" w:space="0" w:color="auto"/>
              <w:right w:val="nil" w:sz="6" w:space="0" w:color="auto"/>
            </w:tcBorders>
          </w:tcPr>
          <w:p>
            <w:pPr>
              <w:pStyle w:val="TableParagraph"/>
              <w:tabs>
                <w:tab w:pos="1153" w:val="left" w:leader="none"/>
              </w:tabs>
              <w:spacing w:line="240" w:lineRule="auto" w:before="8"/>
              <w:ind w:left="254"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0.66</w:t>
            </w:r>
            <w:r>
              <w:rPr>
                <w:rFonts w:ascii="Arial"/>
                <w:sz w:val="20"/>
              </w:rPr>
            </w:r>
          </w:p>
        </w:tc>
      </w:tr>
      <w:tr>
        <w:trPr>
          <w:trHeight w:val="375"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46" w:right="0"/>
              <w:jc w:val="left"/>
              <w:rPr>
                <w:rFonts w:ascii="黑体" w:hAnsi="黑体" w:cs="黑体" w:eastAsia="黑体" w:hint="default"/>
                <w:sz w:val="20"/>
                <w:szCs w:val="20"/>
              </w:rPr>
            </w:pPr>
            <w:r>
              <w:rPr>
                <w:rFonts w:ascii="黑体" w:hAnsi="黑体" w:cs="黑体" w:eastAsia="黑体" w:hint="default"/>
                <w:sz w:val="20"/>
                <w:szCs w:val="20"/>
              </w:rPr>
              <w:t>其他综合收益</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11" w:right="0"/>
              <w:jc w:val="center"/>
              <w:rPr>
                <w:rFonts w:ascii="Arial" w:hAnsi="Arial" w:cs="Arial" w:eastAsia="Arial" w:hint="default"/>
                <w:sz w:val="20"/>
                <w:szCs w:val="20"/>
              </w:rPr>
            </w:pPr>
            <w:r>
              <w:rPr>
                <w:rFonts w:ascii="黑体" w:hAnsi="黑体" w:cs="黑体" w:eastAsia="黑体" w:hint="default"/>
                <w:sz w:val="20"/>
                <w:szCs w:val="20"/>
              </w:rPr>
              <w:t>附注五、</w:t>
            </w:r>
            <w:r>
              <w:rPr>
                <w:rFonts w:ascii="Arial" w:hAnsi="Arial" w:cs="Arial" w:eastAsia="Arial" w:hint="default"/>
                <w:sz w:val="20"/>
                <w:szCs w:val="20"/>
              </w:rPr>
              <w:t>43</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62"/>
              <w:jc w:val="right"/>
              <w:rPr>
                <w:rFonts w:ascii="Arial" w:hAnsi="Arial" w:cs="Arial" w:eastAsia="Arial" w:hint="default"/>
                <w:sz w:val="20"/>
                <w:szCs w:val="20"/>
              </w:rPr>
            </w:pPr>
            <w:r>
              <w:rPr>
                <w:rFonts w:ascii="Arial"/>
                <w:sz w:val="20"/>
              </w:rPr>
              <w:t>(   </w:t>
            </w:r>
            <w:r>
              <w:rPr>
                <w:rFonts w:ascii="Arial"/>
                <w:sz w:val="20"/>
                <w:u w:val="thick" w:color="000000"/>
              </w:rPr>
              <w:t> 205,568,592</w:t>
            </w:r>
            <w:r>
              <w:rPr>
                <w:rFonts w:ascii="Arial"/>
                <w:spacing w:val="9"/>
                <w:sz w:val="20"/>
                <w:u w:val="thick" w:color="000000"/>
              </w:rPr>
              <w:t> </w:t>
            </w:r>
            <w:r>
              <w:rPr>
                <w:rFonts w:ascii="Arial"/>
                <w:spacing w:val="9"/>
                <w:sz w:val="20"/>
              </w:rPr>
            </w:r>
            <w:r>
              <w:rPr>
                <w:rFonts w:ascii="Arial"/>
                <w:sz w:val="20"/>
              </w:rPr>
              <w:t>)</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w:hAnsi="Arial" w:cs="Arial" w:eastAsia="Arial" w:hint="default"/>
                <w:sz w:val="20"/>
                <w:szCs w:val="20"/>
              </w:rPr>
            </w:pPr>
            <w:r>
              <w:rPr>
                <w:rFonts w:ascii="Arial"/>
                <w:sz w:val="20"/>
              </w:rPr>
              <w:t>(    </w:t>
            </w:r>
            <w:r>
              <w:rPr>
                <w:rFonts w:ascii="Arial"/>
                <w:sz w:val="20"/>
                <w:u w:val="thick" w:color="000000"/>
              </w:rPr>
              <w:t> 576,525,333</w:t>
            </w:r>
            <w:r>
              <w:rPr>
                <w:rFonts w:ascii="Arial"/>
                <w:spacing w:val="-24"/>
                <w:sz w:val="20"/>
                <w:u w:val="thick" w:color="000000"/>
              </w:rPr>
              <w:t> </w:t>
            </w:r>
            <w:r>
              <w:rPr>
                <w:rFonts w:ascii="Arial"/>
                <w:spacing w:val="-24"/>
                <w:sz w:val="20"/>
              </w:rPr>
            </w:r>
            <w:r>
              <w:rPr>
                <w:rFonts w:ascii="Arial"/>
                <w:sz w:val="20"/>
              </w:rPr>
              <w:t>)</w:t>
            </w:r>
          </w:p>
        </w:tc>
      </w:tr>
      <w:tr>
        <w:trPr>
          <w:trHeight w:val="333" w:hRule="exact"/>
        </w:trPr>
        <w:tc>
          <w:tcPr>
            <w:tcW w:w="3917" w:type="dxa"/>
            <w:tcBorders>
              <w:top w:val="nil" w:sz="6" w:space="0" w:color="auto"/>
              <w:left w:val="nil" w:sz="6" w:space="0" w:color="auto"/>
              <w:bottom w:val="nil" w:sz="6" w:space="0" w:color="auto"/>
              <w:right w:val="nil" w:sz="6" w:space="0" w:color="auto"/>
            </w:tcBorders>
          </w:tcPr>
          <w:p>
            <w:pPr>
              <w:pStyle w:val="TableParagraph"/>
              <w:spacing w:line="225" w:lineRule="exact"/>
              <w:ind w:left="146" w:right="0"/>
              <w:jc w:val="left"/>
              <w:rPr>
                <w:rFonts w:ascii="黑体" w:hAnsi="黑体" w:cs="黑体" w:eastAsia="黑体" w:hint="default"/>
                <w:sz w:val="20"/>
                <w:szCs w:val="20"/>
              </w:rPr>
            </w:pPr>
            <w:r>
              <w:rPr>
                <w:rFonts w:ascii="黑体" w:hAnsi="黑体" w:cs="黑体" w:eastAsia="黑体" w:hint="default"/>
                <w:sz w:val="20"/>
                <w:szCs w:val="20"/>
              </w:rPr>
              <w:t>综合收益总额</w:t>
            </w:r>
          </w:p>
        </w:tc>
        <w:tc>
          <w:tcPr>
            <w:tcW w:w="1501"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7"/>
              <w:ind w:left="200"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24"/>
                <w:sz w:val="20"/>
                <w:u w:val="thick" w:color="000000"/>
              </w:rPr>
              <w:t> </w:t>
            </w:r>
            <w:r>
              <w:rPr>
                <w:rFonts w:ascii="Arial"/>
                <w:sz w:val="20"/>
                <w:u w:val="thick" w:color="000000"/>
              </w:rPr>
              <w:t>338,455,170</w:t>
            </w:r>
            <w:r>
              <w:rPr>
                <w:rFonts w:ascii="Arial"/>
                <w:sz w:val="20"/>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sz w:val="20"/>
              </w:rPr>
              <w:t>(    </w:t>
            </w:r>
            <w:r>
              <w:rPr>
                <w:rFonts w:ascii="Arial"/>
                <w:sz w:val="20"/>
                <w:u w:val="thick" w:color="000000"/>
              </w:rPr>
              <w:t> 176,976,765</w:t>
            </w:r>
            <w:r>
              <w:rPr>
                <w:rFonts w:ascii="Arial"/>
                <w:spacing w:val="-22"/>
                <w:sz w:val="20"/>
                <w:u w:val="thick" w:color="000000"/>
              </w:rPr>
              <w:t> </w:t>
            </w:r>
            <w:r>
              <w:rPr>
                <w:rFonts w:ascii="Arial"/>
                <w:spacing w:val="-22"/>
                <w:sz w:val="20"/>
              </w:rPr>
            </w:r>
            <w:r>
              <w:rPr>
                <w:rFonts w:ascii="Arial"/>
                <w:sz w:val="20"/>
              </w:rPr>
              <w:t>)</w:t>
            </w:r>
          </w:p>
        </w:tc>
      </w:tr>
    </w:tbl>
    <w:p>
      <w:pPr>
        <w:spacing w:after="0" w:line="240" w:lineRule="auto"/>
        <w:jc w:val="right"/>
        <w:rPr>
          <w:rFonts w:ascii="Arial" w:hAnsi="Arial" w:cs="Arial" w:eastAsia="Arial" w:hint="default"/>
          <w:sz w:val="20"/>
          <w:szCs w:val="20"/>
        </w:rPr>
        <w:sectPr>
          <w:headerReference w:type="default" r:id="rId39"/>
          <w:pgSz w:w="11910" w:h="16840"/>
          <w:pgMar w:header="958" w:footer="463" w:top="2520" w:bottom="660" w:left="1440" w:right="1340"/>
        </w:sectPr>
      </w:pPr>
    </w:p>
    <w:p>
      <w:pPr>
        <w:spacing w:line="240" w:lineRule="auto" w:before="2"/>
        <w:rPr>
          <w:rFonts w:ascii="Times New Roman" w:hAnsi="Times New Roman" w:cs="Times New Roman" w:eastAsia="Times New Roman" w:hint="default"/>
          <w:sz w:val="21"/>
          <w:szCs w:val="21"/>
        </w:rPr>
      </w:pPr>
    </w:p>
    <w:p>
      <w:pPr>
        <w:spacing w:before="38"/>
        <w:ind w:left="9700" w:right="0" w:firstLine="0"/>
        <w:jc w:val="left"/>
        <w:rPr>
          <w:rFonts w:ascii="黑体" w:hAnsi="黑体" w:cs="黑体" w:eastAsia="黑体" w:hint="default"/>
          <w:sz w:val="20"/>
          <w:szCs w:val="20"/>
        </w:rPr>
      </w:pPr>
      <w:r>
        <w:rPr>
          <w:rFonts w:ascii="Arial" w:hAnsi="Arial" w:cs="Arial" w:eastAsia="Arial" w:hint="default"/>
          <w:b/>
          <w:bCs/>
          <w:sz w:val="20"/>
          <w:szCs w:val="20"/>
        </w:rPr>
        <w:t>2009</w:t>
      </w:r>
      <w:r>
        <w:rPr>
          <w:rFonts w:ascii="黑体" w:hAnsi="黑体" w:cs="黑体" w:eastAsia="黑体" w:hint="default"/>
          <w:b/>
          <w:bCs/>
          <w:sz w:val="20"/>
          <w:szCs w:val="20"/>
        </w:rPr>
        <w:t>年</w:t>
      </w:r>
      <w:r>
        <w:rPr>
          <w:rFonts w:ascii="黑体" w:hAnsi="黑体" w:cs="黑体" w:eastAsia="黑体" w:hint="default"/>
          <w:sz w:val="20"/>
          <w:szCs w:val="20"/>
        </w:rPr>
      </w:r>
    </w:p>
    <w:p>
      <w:pPr>
        <w:spacing w:line="240" w:lineRule="auto" w:before="12"/>
        <w:rPr>
          <w:rFonts w:ascii="黑体" w:hAnsi="黑体" w:cs="黑体" w:eastAsia="黑体" w:hint="default"/>
          <w:b/>
          <w:bCs/>
          <w:sz w:val="2"/>
          <w:szCs w:val="2"/>
        </w:rPr>
      </w:pPr>
    </w:p>
    <w:tbl>
      <w:tblPr>
        <w:tblW w:w="0" w:type="auto"/>
        <w:jc w:val="left"/>
        <w:tblInd w:w="104" w:type="dxa"/>
        <w:tblLayout w:type="fixed"/>
        <w:tblCellMar>
          <w:top w:w="0" w:type="dxa"/>
          <w:left w:w="0" w:type="dxa"/>
          <w:bottom w:w="0" w:type="dxa"/>
          <w:right w:w="0" w:type="dxa"/>
        </w:tblCellMar>
        <w:tblLook w:val="01E0"/>
      </w:tblPr>
      <w:tblGrid>
        <w:gridCol w:w="5249"/>
        <w:gridCol w:w="1925"/>
        <w:gridCol w:w="1966"/>
        <w:gridCol w:w="1835"/>
        <w:gridCol w:w="1875"/>
        <w:gridCol w:w="1743"/>
      </w:tblGrid>
      <w:tr>
        <w:trPr>
          <w:trHeight w:val="852"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2"/>
              <w:ind w:right="0"/>
              <w:jc w:val="left"/>
              <w:rPr>
                <w:rFonts w:ascii="黑体" w:hAnsi="黑体" w:cs="黑体" w:eastAsia="黑体" w:hint="default"/>
                <w:b/>
                <w:bCs/>
                <w:sz w:val="20"/>
                <w:szCs w:val="20"/>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一、本年年初余额</w:t>
            </w:r>
          </w:p>
        </w:tc>
        <w:tc>
          <w:tcPr>
            <w:tcW w:w="1925" w:type="dxa"/>
            <w:tcBorders>
              <w:top w:val="single" w:sz="4" w:space="0" w:color="000000"/>
              <w:left w:val="nil" w:sz="6" w:space="0" w:color="auto"/>
              <w:bottom w:val="nil" w:sz="6" w:space="0" w:color="auto"/>
              <w:right w:val="nil" w:sz="6" w:space="0" w:color="auto"/>
            </w:tcBorders>
          </w:tcPr>
          <w:p>
            <w:pPr>
              <w:pStyle w:val="TableParagraph"/>
              <w:spacing w:line="232" w:lineRule="exact"/>
              <w:ind w:left="367" w:right="0" w:firstLine="711"/>
              <w:jc w:val="left"/>
              <w:rPr>
                <w:rFonts w:ascii="黑体" w:hAnsi="黑体" w:cs="黑体" w:eastAsia="黑体" w:hint="default"/>
                <w:sz w:val="20"/>
                <w:szCs w:val="20"/>
              </w:rPr>
            </w:pPr>
            <w:r>
              <w:rPr>
                <w:rFonts w:ascii="黑体" w:hAnsi="黑体" w:cs="黑体" w:eastAsia="黑体" w:hint="default"/>
                <w:sz w:val="20"/>
                <w:szCs w:val="20"/>
              </w:rPr>
              <w:t>股本</w:t>
            </w:r>
          </w:p>
          <w:p>
            <w:pPr>
              <w:pStyle w:val="TableParagraph"/>
              <w:spacing w:line="240" w:lineRule="auto" w:before="12"/>
              <w:ind w:right="0"/>
              <w:jc w:val="left"/>
              <w:rPr>
                <w:rFonts w:ascii="黑体" w:hAnsi="黑体" w:cs="黑体" w:eastAsia="黑体" w:hint="default"/>
                <w:b/>
                <w:bCs/>
                <w:sz w:val="27"/>
                <w:szCs w:val="27"/>
              </w:rPr>
            </w:pPr>
          </w:p>
          <w:p>
            <w:pPr>
              <w:pStyle w:val="TableParagraph"/>
              <w:spacing w:line="240" w:lineRule="auto"/>
              <w:ind w:left="367" w:right="0"/>
              <w:jc w:val="left"/>
              <w:rPr>
                <w:rFonts w:ascii="Arial" w:hAnsi="Arial" w:cs="Arial" w:eastAsia="Arial" w:hint="default"/>
                <w:sz w:val="20"/>
                <w:szCs w:val="20"/>
              </w:rPr>
            </w:pPr>
            <w:r>
              <w:rPr>
                <w:rFonts w:ascii="Arial"/>
                <w:sz w:val="20"/>
              </w:rPr>
              <w:t>466,683,575</w:t>
            </w:r>
          </w:p>
        </w:tc>
        <w:tc>
          <w:tcPr>
            <w:tcW w:w="1966" w:type="dxa"/>
            <w:tcBorders>
              <w:top w:val="single" w:sz="4" w:space="0" w:color="000000"/>
              <w:left w:val="nil" w:sz="6" w:space="0" w:color="auto"/>
              <w:bottom w:val="nil" w:sz="6" w:space="0" w:color="auto"/>
              <w:right w:val="nil" w:sz="6" w:space="0" w:color="auto"/>
            </w:tcBorders>
          </w:tcPr>
          <w:p>
            <w:pPr>
              <w:pStyle w:val="TableParagraph"/>
              <w:spacing w:line="232" w:lineRule="exact"/>
              <w:ind w:left="417" w:right="0" w:firstLine="299"/>
              <w:jc w:val="left"/>
              <w:rPr>
                <w:rFonts w:ascii="黑体" w:hAnsi="黑体" w:cs="黑体" w:eastAsia="黑体" w:hint="default"/>
                <w:sz w:val="20"/>
                <w:szCs w:val="20"/>
              </w:rPr>
            </w:pPr>
            <w:r>
              <w:rPr>
                <w:rFonts w:ascii="黑体" w:hAnsi="黑体" w:cs="黑体" w:eastAsia="黑体" w:hint="default"/>
                <w:sz w:val="20"/>
                <w:szCs w:val="20"/>
              </w:rPr>
              <w:t>资本公积</w:t>
            </w:r>
          </w:p>
          <w:p>
            <w:pPr>
              <w:pStyle w:val="TableParagraph"/>
              <w:spacing w:line="240" w:lineRule="auto" w:before="12"/>
              <w:ind w:right="0"/>
              <w:jc w:val="left"/>
              <w:rPr>
                <w:rFonts w:ascii="黑体" w:hAnsi="黑体" w:cs="黑体" w:eastAsia="黑体" w:hint="default"/>
                <w:b/>
                <w:bCs/>
                <w:sz w:val="27"/>
                <w:szCs w:val="27"/>
              </w:rPr>
            </w:pPr>
          </w:p>
          <w:p>
            <w:pPr>
              <w:pStyle w:val="TableParagraph"/>
              <w:spacing w:line="240" w:lineRule="auto"/>
              <w:ind w:left="417" w:right="0"/>
              <w:jc w:val="left"/>
              <w:rPr>
                <w:rFonts w:ascii="Arial" w:hAnsi="Arial" w:cs="Arial" w:eastAsia="Arial" w:hint="default"/>
                <w:sz w:val="20"/>
                <w:szCs w:val="20"/>
              </w:rPr>
            </w:pPr>
            <w:r>
              <w:rPr>
                <w:rFonts w:ascii="Arial"/>
                <w:sz w:val="20"/>
              </w:rPr>
              <w:t>988,622,304</w:t>
            </w:r>
          </w:p>
        </w:tc>
        <w:tc>
          <w:tcPr>
            <w:tcW w:w="1835" w:type="dxa"/>
            <w:tcBorders>
              <w:top w:val="single" w:sz="4" w:space="0" w:color="000000"/>
              <w:left w:val="nil" w:sz="6" w:space="0" w:color="auto"/>
              <w:bottom w:val="nil" w:sz="6" w:space="0" w:color="auto"/>
              <w:right w:val="nil" w:sz="6" w:space="0" w:color="auto"/>
            </w:tcBorders>
          </w:tcPr>
          <w:p>
            <w:pPr>
              <w:pStyle w:val="TableParagraph"/>
              <w:spacing w:line="232" w:lineRule="exact"/>
              <w:ind w:left="355" w:right="0" w:firstLine="308"/>
              <w:jc w:val="left"/>
              <w:rPr>
                <w:rFonts w:ascii="黑体" w:hAnsi="黑体" w:cs="黑体" w:eastAsia="黑体" w:hint="default"/>
                <w:sz w:val="20"/>
                <w:szCs w:val="20"/>
              </w:rPr>
            </w:pPr>
            <w:r>
              <w:rPr>
                <w:rFonts w:ascii="黑体" w:hAnsi="黑体" w:cs="黑体" w:eastAsia="黑体" w:hint="default"/>
                <w:sz w:val="20"/>
                <w:szCs w:val="20"/>
              </w:rPr>
              <w:t>盈余公积</w:t>
            </w:r>
          </w:p>
          <w:p>
            <w:pPr>
              <w:pStyle w:val="TableParagraph"/>
              <w:spacing w:line="240" w:lineRule="auto" w:before="12"/>
              <w:ind w:right="0"/>
              <w:jc w:val="left"/>
              <w:rPr>
                <w:rFonts w:ascii="黑体" w:hAnsi="黑体" w:cs="黑体" w:eastAsia="黑体" w:hint="default"/>
                <w:b/>
                <w:bCs/>
                <w:sz w:val="27"/>
                <w:szCs w:val="27"/>
              </w:rPr>
            </w:pPr>
          </w:p>
          <w:p>
            <w:pPr>
              <w:pStyle w:val="TableParagraph"/>
              <w:spacing w:line="240" w:lineRule="auto"/>
              <w:ind w:left="355" w:right="0"/>
              <w:jc w:val="left"/>
              <w:rPr>
                <w:rFonts w:ascii="Arial" w:hAnsi="Arial" w:cs="Arial" w:eastAsia="Arial" w:hint="default"/>
                <w:sz w:val="20"/>
                <w:szCs w:val="20"/>
              </w:rPr>
            </w:pPr>
            <w:r>
              <w:rPr>
                <w:rFonts w:ascii="Arial"/>
                <w:sz w:val="20"/>
              </w:rPr>
              <w:t>189,510,500</w:t>
            </w:r>
          </w:p>
        </w:tc>
        <w:tc>
          <w:tcPr>
            <w:tcW w:w="1875" w:type="dxa"/>
            <w:tcBorders>
              <w:top w:val="single" w:sz="4" w:space="0" w:color="000000"/>
              <w:left w:val="nil" w:sz="6" w:space="0" w:color="auto"/>
              <w:bottom w:val="nil" w:sz="6" w:space="0" w:color="auto"/>
              <w:right w:val="nil" w:sz="6" w:space="0" w:color="auto"/>
            </w:tcBorders>
          </w:tcPr>
          <w:p>
            <w:pPr>
              <w:pStyle w:val="TableParagraph"/>
              <w:spacing w:line="232" w:lineRule="exact"/>
              <w:ind w:left="111" w:right="0"/>
              <w:jc w:val="center"/>
              <w:rPr>
                <w:rFonts w:ascii="黑体" w:hAnsi="黑体" w:cs="黑体" w:eastAsia="黑体" w:hint="default"/>
                <w:sz w:val="20"/>
                <w:szCs w:val="20"/>
              </w:rPr>
            </w:pPr>
            <w:r>
              <w:rPr>
                <w:rFonts w:ascii="黑体" w:hAnsi="黑体" w:cs="黑体" w:eastAsia="黑体" w:hint="default"/>
                <w:sz w:val="20"/>
                <w:szCs w:val="20"/>
              </w:rPr>
              <w:t>未分配利润</w:t>
            </w:r>
          </w:p>
          <w:p>
            <w:pPr>
              <w:pStyle w:val="TableParagraph"/>
              <w:spacing w:line="240" w:lineRule="auto" w:before="12"/>
              <w:ind w:right="0"/>
              <w:jc w:val="left"/>
              <w:rPr>
                <w:rFonts w:ascii="黑体" w:hAnsi="黑体" w:cs="黑体" w:eastAsia="黑体" w:hint="default"/>
                <w:b/>
                <w:bCs/>
                <w:sz w:val="27"/>
                <w:szCs w:val="27"/>
              </w:rPr>
            </w:pPr>
          </w:p>
          <w:p>
            <w:pPr>
              <w:pStyle w:val="TableParagraph"/>
              <w:spacing w:line="240" w:lineRule="auto"/>
              <w:ind w:left="111" w:right="0"/>
              <w:jc w:val="center"/>
              <w:rPr>
                <w:rFonts w:ascii="Arial" w:hAnsi="Arial" w:cs="Arial" w:eastAsia="Arial" w:hint="default"/>
                <w:sz w:val="20"/>
                <w:szCs w:val="20"/>
              </w:rPr>
            </w:pPr>
            <w:r>
              <w:rPr>
                <w:rFonts w:ascii="Arial"/>
                <w:sz w:val="20"/>
              </w:rPr>
              <w:t>486,817,782</w:t>
            </w:r>
          </w:p>
        </w:tc>
        <w:tc>
          <w:tcPr>
            <w:tcW w:w="1743" w:type="dxa"/>
            <w:tcBorders>
              <w:top w:val="single" w:sz="4" w:space="0" w:color="000000"/>
              <w:left w:val="nil" w:sz="6" w:space="0" w:color="auto"/>
              <w:bottom w:val="nil" w:sz="6" w:space="0" w:color="auto"/>
              <w:right w:val="nil" w:sz="6" w:space="0" w:color="auto"/>
            </w:tcBorders>
          </w:tcPr>
          <w:p>
            <w:pPr>
              <w:pStyle w:val="TableParagraph"/>
              <w:spacing w:line="232" w:lineRule="exact"/>
              <w:ind w:left="338" w:right="0" w:firstLine="86"/>
              <w:jc w:val="left"/>
              <w:rPr>
                <w:rFonts w:ascii="黑体" w:hAnsi="黑体" w:cs="黑体" w:eastAsia="黑体" w:hint="default"/>
                <w:sz w:val="20"/>
                <w:szCs w:val="20"/>
              </w:rPr>
            </w:pPr>
            <w:r>
              <w:rPr>
                <w:rFonts w:ascii="黑体" w:hAnsi="黑体" w:cs="黑体" w:eastAsia="黑体" w:hint="default"/>
                <w:sz w:val="20"/>
                <w:szCs w:val="20"/>
              </w:rPr>
              <w:t>股东权益合计</w:t>
            </w:r>
          </w:p>
          <w:p>
            <w:pPr>
              <w:pStyle w:val="TableParagraph"/>
              <w:spacing w:line="240" w:lineRule="auto" w:before="12"/>
              <w:ind w:right="0"/>
              <w:jc w:val="left"/>
              <w:rPr>
                <w:rFonts w:ascii="黑体" w:hAnsi="黑体" w:cs="黑体" w:eastAsia="黑体" w:hint="default"/>
                <w:b/>
                <w:bCs/>
                <w:sz w:val="27"/>
                <w:szCs w:val="27"/>
              </w:rPr>
            </w:pPr>
          </w:p>
          <w:p>
            <w:pPr>
              <w:pStyle w:val="TableParagraph"/>
              <w:spacing w:line="240" w:lineRule="auto"/>
              <w:ind w:left="338" w:right="0"/>
              <w:jc w:val="left"/>
              <w:rPr>
                <w:rFonts w:ascii="Arial" w:hAnsi="Arial" w:cs="Arial" w:eastAsia="Arial" w:hint="default"/>
                <w:sz w:val="20"/>
                <w:szCs w:val="20"/>
              </w:rPr>
            </w:pPr>
            <w:r>
              <w:rPr>
                <w:rFonts w:ascii="Arial"/>
                <w:sz w:val="20"/>
              </w:rPr>
              <w:t>2,131,634,161</w:t>
            </w:r>
          </w:p>
        </w:tc>
      </w:tr>
      <w:tr>
        <w:trPr>
          <w:trHeight w:val="265"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25" w:lineRule="exact"/>
              <w:ind w:left="35" w:right="0"/>
              <w:jc w:val="left"/>
              <w:rPr>
                <w:rFonts w:ascii="黑体" w:hAnsi="黑体" w:cs="黑体" w:eastAsia="黑体" w:hint="default"/>
                <w:sz w:val="20"/>
                <w:szCs w:val="20"/>
              </w:rPr>
            </w:pPr>
            <w:r>
              <w:rPr>
                <w:rFonts w:ascii="黑体" w:hAnsi="黑体" w:cs="黑体" w:eastAsia="黑体" w:hint="default"/>
                <w:sz w:val="20"/>
                <w:szCs w:val="20"/>
              </w:rPr>
              <w:t>二、本年增减变动金额</w:t>
            </w:r>
          </w:p>
        </w:tc>
        <w:tc>
          <w:tcPr>
            <w:tcW w:w="1925"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
        </w:tc>
        <w:tc>
          <w:tcPr>
            <w:tcW w:w="1835" w:type="dxa"/>
            <w:tcBorders>
              <w:top w:val="nil" w:sz="6" w:space="0" w:color="auto"/>
              <w:left w:val="nil" w:sz="6" w:space="0" w:color="auto"/>
              <w:bottom w:val="nil" w:sz="6" w:space="0" w:color="auto"/>
              <w:right w:val="nil" w:sz="6" w:space="0" w:color="auto"/>
            </w:tcBorders>
          </w:tcPr>
          <w:p>
            <w:pPr/>
          </w:p>
        </w:tc>
        <w:tc>
          <w:tcPr>
            <w:tcW w:w="1875" w:type="dxa"/>
            <w:tcBorders>
              <w:top w:val="nil" w:sz="6" w:space="0" w:color="auto"/>
              <w:left w:val="nil" w:sz="6" w:space="0" w:color="auto"/>
              <w:bottom w:val="nil" w:sz="6" w:space="0" w:color="auto"/>
              <w:right w:val="nil" w:sz="6" w:space="0" w:color="auto"/>
            </w:tcBorders>
          </w:tcPr>
          <w:p>
            <w:pPr/>
          </w:p>
        </w:tc>
        <w:tc>
          <w:tcPr>
            <w:tcW w:w="1743" w:type="dxa"/>
            <w:tcBorders>
              <w:top w:val="nil" w:sz="6" w:space="0" w:color="auto"/>
              <w:left w:val="nil" w:sz="6" w:space="0" w:color="auto"/>
              <w:bottom w:val="nil" w:sz="6" w:space="0" w:color="auto"/>
              <w:right w:val="nil" w:sz="6" w:space="0" w:color="auto"/>
            </w:tcBorders>
          </w:tcPr>
          <w:p>
            <w:pPr/>
          </w:p>
        </w:tc>
      </w:tr>
      <w:tr>
        <w:trPr>
          <w:trHeight w:val="284"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黑体" w:hAnsi="黑体" w:cs="黑体" w:eastAsia="黑体" w:hint="default"/>
                <w:sz w:val="20"/>
                <w:szCs w:val="20"/>
              </w:rPr>
            </w:pPr>
            <w:r>
              <w:rPr>
                <w:rFonts w:ascii="Arial" w:hAnsi="Arial" w:cs="Arial" w:eastAsia="Arial" w:hint="default"/>
                <w:sz w:val="20"/>
                <w:szCs w:val="20"/>
              </w:rPr>
              <w:t>(</w:t>
            </w:r>
            <w:r>
              <w:rPr>
                <w:rFonts w:ascii="黑体" w:hAnsi="黑体" w:cs="黑体" w:eastAsia="黑体" w:hint="default"/>
                <w:sz w:val="20"/>
                <w:szCs w:val="20"/>
              </w:rPr>
              <w:t>一</w:t>
            </w:r>
            <w:r>
              <w:rPr>
                <w:rFonts w:ascii="Arial" w:hAnsi="Arial" w:cs="Arial" w:eastAsia="Arial" w:hint="default"/>
                <w:sz w:val="20"/>
                <w:szCs w:val="20"/>
              </w:rPr>
              <w:t>)</w:t>
            </w:r>
            <w:r>
              <w:rPr>
                <w:rFonts w:ascii="Arial" w:hAnsi="Arial" w:cs="Arial" w:eastAsia="Arial" w:hint="default"/>
                <w:spacing w:val="43"/>
                <w:sz w:val="20"/>
                <w:szCs w:val="20"/>
              </w:rPr>
              <w:t> </w:t>
            </w:r>
            <w:r>
              <w:rPr>
                <w:rFonts w:ascii="黑体" w:hAnsi="黑体" w:cs="黑体" w:eastAsia="黑体" w:hint="default"/>
                <w:sz w:val="20"/>
                <w:szCs w:val="20"/>
              </w:rPr>
              <w:t>净利润</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43"/>
              <w:jc w:val="right"/>
              <w:rPr>
                <w:rFonts w:ascii="Arial" w:hAnsi="Arial" w:cs="Arial" w:eastAsia="Arial" w:hint="default"/>
                <w:sz w:val="20"/>
                <w:szCs w:val="20"/>
              </w:rPr>
            </w:pPr>
            <w:r>
              <w:rPr>
                <w:rFonts w:ascii="Arial"/>
                <w:w w:val="100"/>
                <w:sz w:val="20"/>
              </w:rPr>
              <w:t>-</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33"/>
              <w:jc w:val="right"/>
              <w:rPr>
                <w:rFonts w:ascii="Arial" w:hAnsi="Arial" w:cs="Arial" w:eastAsia="Arial" w:hint="default"/>
                <w:sz w:val="20"/>
                <w:szCs w:val="20"/>
              </w:rPr>
            </w:pPr>
            <w:r>
              <w:rPr>
                <w:rFonts w:ascii="Arial"/>
                <w:w w:val="100"/>
                <w:sz w:val="20"/>
              </w:rPr>
              <w:t>-</w:t>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66"/>
              <w:jc w:val="right"/>
              <w:rPr>
                <w:rFonts w:ascii="Arial" w:hAnsi="Arial" w:cs="Arial" w:eastAsia="Arial" w:hint="default"/>
                <w:sz w:val="20"/>
                <w:szCs w:val="20"/>
              </w:rPr>
            </w:pPr>
            <w:r>
              <w:rPr>
                <w:rFonts w:ascii="Arial"/>
                <w:w w:val="100"/>
                <w:sz w:val="20"/>
              </w:rPr>
              <w:t>-</w:t>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32" w:right="0"/>
              <w:jc w:val="left"/>
              <w:rPr>
                <w:rFonts w:ascii="Arial" w:hAnsi="Arial" w:cs="Arial" w:eastAsia="Arial" w:hint="default"/>
                <w:sz w:val="20"/>
                <w:szCs w:val="20"/>
              </w:rPr>
            </w:pPr>
            <w:r>
              <w:rPr>
                <w:rFonts w:ascii="Arial"/>
                <w:sz w:val="20"/>
              </w:rPr>
              <w:t>544,023,762</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2"/>
              <w:jc w:val="right"/>
              <w:rPr>
                <w:rFonts w:ascii="Arial" w:hAnsi="Arial" w:cs="Arial" w:eastAsia="Arial" w:hint="default"/>
                <w:sz w:val="20"/>
                <w:szCs w:val="20"/>
              </w:rPr>
            </w:pPr>
            <w:r>
              <w:rPr>
                <w:rFonts w:ascii="Arial"/>
                <w:spacing w:val="-1"/>
                <w:sz w:val="20"/>
              </w:rPr>
              <w:t>544,023,762</w:t>
            </w:r>
          </w:p>
        </w:tc>
      </w:tr>
      <w:tr>
        <w:trPr>
          <w:trHeight w:val="280"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50" w:lineRule="exact"/>
              <w:ind w:left="35" w:right="0"/>
              <w:jc w:val="left"/>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二</w:t>
            </w:r>
            <w:r>
              <w:rPr>
                <w:rFonts w:ascii="Arial" w:hAnsi="Arial" w:cs="Arial" w:eastAsia="Arial" w:hint="default"/>
                <w:sz w:val="20"/>
                <w:szCs w:val="20"/>
              </w:rPr>
              <w:t>)</w:t>
            </w:r>
            <w:r>
              <w:rPr>
                <w:rFonts w:ascii="Arial" w:hAnsi="Arial" w:cs="Arial" w:eastAsia="Arial" w:hint="default"/>
                <w:spacing w:val="38"/>
                <w:sz w:val="20"/>
                <w:szCs w:val="20"/>
              </w:rPr>
              <w:t> </w:t>
            </w:r>
            <w:r>
              <w:rPr>
                <w:rFonts w:ascii="黑体" w:hAnsi="黑体" w:cs="黑体" w:eastAsia="黑体" w:hint="default"/>
                <w:sz w:val="20"/>
                <w:szCs w:val="20"/>
              </w:rPr>
              <w:t>其他综合收益</w:t>
            </w:r>
            <w:r>
              <w:rPr>
                <w:rFonts w:ascii="Arial" w:hAnsi="Arial" w:cs="Arial" w:eastAsia="Arial" w:hint="default"/>
                <w:sz w:val="20"/>
                <w:szCs w:val="20"/>
              </w:rPr>
              <w:t>(</w:t>
            </w:r>
            <w:r>
              <w:rPr>
                <w:rFonts w:ascii="黑体" w:hAnsi="黑体" w:cs="黑体" w:eastAsia="黑体" w:hint="default"/>
                <w:sz w:val="20"/>
                <w:szCs w:val="20"/>
              </w:rPr>
              <w:t>附注五、</w:t>
            </w:r>
            <w:r>
              <w:rPr>
                <w:rFonts w:ascii="Arial" w:hAnsi="Arial" w:cs="Arial" w:eastAsia="Arial" w:hint="default"/>
                <w:sz w:val="20"/>
                <w:szCs w:val="20"/>
              </w:rPr>
              <w:t>43)</w:t>
            </w:r>
          </w:p>
        </w:tc>
        <w:tc>
          <w:tcPr>
            <w:tcW w:w="1925" w:type="dxa"/>
            <w:tcBorders>
              <w:top w:val="nil" w:sz="6" w:space="0" w:color="auto"/>
              <w:left w:val="nil" w:sz="6" w:space="0" w:color="auto"/>
              <w:bottom w:val="nil" w:sz="6" w:space="0" w:color="auto"/>
              <w:right w:val="nil" w:sz="6" w:space="0" w:color="auto"/>
            </w:tcBorders>
          </w:tcPr>
          <w:p>
            <w:pPr>
              <w:pStyle w:val="TableParagraph"/>
              <w:tabs>
                <w:tab w:pos="1408" w:val="left" w:leader="none"/>
              </w:tabs>
              <w:spacing w:line="240" w:lineRule="auto" w:before="18"/>
              <w:ind w:left="410"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63" w:right="0"/>
              <w:jc w:val="left"/>
              <w:rPr>
                <w:rFonts w:ascii="Arial" w:hAnsi="Arial" w:cs="Arial" w:eastAsia="Arial" w:hint="default"/>
                <w:sz w:val="20"/>
                <w:szCs w:val="20"/>
              </w:rPr>
            </w:pPr>
            <w:r>
              <w:rPr>
                <w:rFonts w:ascii="Arial"/>
                <w:sz w:val="20"/>
              </w:rPr>
              <w:t>(</w:t>
            </w:r>
            <w:r>
              <w:rPr>
                <w:rFonts w:ascii="Arial"/>
                <w:sz w:val="20"/>
                <w:u w:val="single" w:color="000000"/>
              </w:rPr>
              <w:t>205,568,592</w:t>
            </w:r>
            <w:r>
              <w:rPr>
                <w:rFonts w:ascii="Arial"/>
                <w:sz w:val="20"/>
              </w:rPr>
              <w:t>)</w:t>
            </w:r>
          </w:p>
        </w:tc>
        <w:tc>
          <w:tcPr>
            <w:tcW w:w="1835"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19"/>
              <w:ind w:right="36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875" w:type="dxa"/>
            <w:tcBorders>
              <w:top w:val="nil" w:sz="6" w:space="0" w:color="auto"/>
              <w:left w:val="nil" w:sz="6" w:space="0" w:color="auto"/>
              <w:bottom w:val="nil" w:sz="6" w:space="0" w:color="auto"/>
              <w:right w:val="nil" w:sz="6" w:space="0" w:color="auto"/>
            </w:tcBorders>
          </w:tcPr>
          <w:p>
            <w:pPr>
              <w:pStyle w:val="TableParagraph"/>
              <w:tabs>
                <w:tab w:pos="1479" w:val="left" w:leader="none"/>
              </w:tabs>
              <w:spacing w:line="240" w:lineRule="auto" w:before="19"/>
              <w:ind w:left="460"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3"/>
              <w:jc w:val="right"/>
              <w:rPr>
                <w:rFonts w:ascii="Arial" w:hAnsi="Arial" w:cs="Arial" w:eastAsia="Arial" w:hint="default"/>
                <w:sz w:val="20"/>
                <w:szCs w:val="20"/>
              </w:rPr>
            </w:pPr>
            <w:r>
              <w:rPr>
                <w:rFonts w:ascii="Arial"/>
                <w:sz w:val="20"/>
              </w:rPr>
              <w:t>(  </w:t>
            </w:r>
            <w:r>
              <w:rPr>
                <w:rFonts w:ascii="Arial"/>
                <w:spacing w:val="55"/>
                <w:sz w:val="20"/>
              </w:rPr>
              <w:t> </w:t>
            </w:r>
            <w:r>
              <w:rPr>
                <w:rFonts w:ascii="Arial"/>
                <w:spacing w:val="55"/>
                <w:sz w:val="20"/>
                <w:u w:val="single" w:color="000000"/>
              </w:rPr>
              <w:t> </w:t>
            </w:r>
            <w:r>
              <w:rPr>
                <w:rFonts w:ascii="Arial"/>
                <w:sz w:val="20"/>
                <w:u w:val="single" w:color="000000"/>
              </w:rPr>
              <w:t>205,568,592</w:t>
            </w:r>
            <w:r>
              <w:rPr>
                <w:rFonts w:ascii="Arial"/>
                <w:sz w:val="20"/>
              </w:rPr>
              <w:t>)</w:t>
            </w:r>
          </w:p>
        </w:tc>
      </w:tr>
      <w:tr>
        <w:trPr>
          <w:trHeight w:val="244"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36" w:lineRule="exact"/>
              <w:ind w:left="461" w:right="0"/>
              <w:jc w:val="left"/>
              <w:rPr>
                <w:rFonts w:ascii="黑体" w:hAnsi="黑体" w:cs="黑体" w:eastAsia="黑体" w:hint="default"/>
                <w:sz w:val="20"/>
                <w:szCs w:val="20"/>
              </w:rPr>
            </w:pPr>
            <w:r>
              <w:rPr>
                <w:rFonts w:ascii="黑体" w:hAnsi="黑体" w:cs="黑体" w:eastAsia="黑体" w:hint="default"/>
                <w:sz w:val="20"/>
                <w:szCs w:val="20"/>
              </w:rPr>
              <w:t>综合收益总额</w:t>
            </w:r>
          </w:p>
        </w:tc>
        <w:tc>
          <w:tcPr>
            <w:tcW w:w="1925" w:type="dxa"/>
            <w:tcBorders>
              <w:top w:val="nil" w:sz="6" w:space="0" w:color="auto"/>
              <w:left w:val="nil" w:sz="6" w:space="0" w:color="auto"/>
              <w:bottom w:val="nil" w:sz="6" w:space="0" w:color="auto"/>
              <w:right w:val="nil" w:sz="6" w:space="0" w:color="auto"/>
            </w:tcBorders>
          </w:tcPr>
          <w:p>
            <w:pPr>
              <w:pStyle w:val="TableParagraph"/>
              <w:tabs>
                <w:tab w:pos="1409" w:val="left" w:leader="none"/>
              </w:tabs>
              <w:spacing w:line="240" w:lineRule="auto" w:before="18"/>
              <w:ind w:left="410"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63" w:right="0"/>
              <w:jc w:val="left"/>
              <w:rPr>
                <w:rFonts w:ascii="Arial" w:hAnsi="Arial" w:cs="Arial" w:eastAsia="Arial" w:hint="default"/>
                <w:sz w:val="20"/>
                <w:szCs w:val="20"/>
              </w:rPr>
            </w:pPr>
            <w:r>
              <w:rPr>
                <w:rFonts w:ascii="Arial"/>
                <w:sz w:val="20"/>
              </w:rPr>
              <w:t>(</w:t>
            </w:r>
            <w:r>
              <w:rPr>
                <w:rFonts w:ascii="Arial"/>
                <w:sz w:val="20"/>
                <w:u w:val="single" w:color="000000"/>
              </w:rPr>
              <w:t>205,568,592</w:t>
            </w:r>
            <w:r>
              <w:rPr>
                <w:rFonts w:ascii="Arial"/>
                <w:sz w:val="20"/>
              </w:rPr>
              <w:t>)</w:t>
            </w:r>
          </w:p>
        </w:tc>
        <w:tc>
          <w:tcPr>
            <w:tcW w:w="1835"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18"/>
              <w:ind w:right="36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34" w:right="0"/>
              <w:jc w:val="left"/>
              <w:rPr>
                <w:rFonts w:ascii="Arial" w:hAnsi="Arial" w:cs="Arial" w:eastAsia="Arial" w:hint="default"/>
                <w:sz w:val="20"/>
                <w:szCs w:val="20"/>
              </w:rPr>
            </w:pPr>
            <w:r>
              <w:rPr>
                <w:rFonts w:ascii="Arial"/>
                <w:w w:val="100"/>
                <w:sz w:val="20"/>
              </w:rPr>
            </w:r>
            <w:r>
              <w:rPr>
                <w:rFonts w:ascii="Arial"/>
                <w:sz w:val="20"/>
                <w:u w:val="single" w:color="000000"/>
              </w:rPr>
              <w:t>544,023,762</w:t>
            </w:r>
            <w:r>
              <w:rPr>
                <w:rFonts w:ascii="Arial"/>
                <w:sz w:val="20"/>
              </w:rPr>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84"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338,455,170</w:t>
            </w:r>
            <w:r>
              <w:rPr>
                <w:rFonts w:ascii="Arial"/>
                <w:sz w:val="20"/>
              </w:rPr>
            </w:r>
          </w:p>
        </w:tc>
      </w:tr>
      <w:tr>
        <w:trPr>
          <w:trHeight w:val="596"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b/>
                <w:bCs/>
                <w:sz w:val="22"/>
                <w:szCs w:val="22"/>
              </w:rPr>
            </w:pPr>
          </w:p>
          <w:p>
            <w:pPr>
              <w:pStyle w:val="TableParagraph"/>
              <w:spacing w:line="240" w:lineRule="auto"/>
              <w:ind w:left="35" w:right="0"/>
              <w:jc w:val="left"/>
              <w:rPr>
                <w:rFonts w:ascii="黑体" w:hAnsi="黑体" w:cs="黑体" w:eastAsia="黑体" w:hint="default"/>
                <w:sz w:val="20"/>
                <w:szCs w:val="20"/>
              </w:rPr>
            </w:pPr>
            <w:r>
              <w:rPr>
                <w:rFonts w:ascii="Arial" w:hAnsi="Arial" w:cs="Arial" w:eastAsia="Arial" w:hint="default"/>
                <w:sz w:val="20"/>
                <w:szCs w:val="20"/>
              </w:rPr>
              <w:t>(</w:t>
            </w:r>
            <w:r>
              <w:rPr>
                <w:rFonts w:ascii="黑体" w:hAnsi="黑体" w:cs="黑体" w:eastAsia="黑体" w:hint="default"/>
                <w:sz w:val="20"/>
                <w:szCs w:val="20"/>
              </w:rPr>
              <w:t>三</w:t>
            </w:r>
            <w:r>
              <w:rPr>
                <w:rFonts w:ascii="Arial" w:hAnsi="Arial" w:cs="Arial" w:eastAsia="Arial" w:hint="default"/>
                <w:sz w:val="20"/>
                <w:szCs w:val="20"/>
              </w:rPr>
              <w:t>)</w:t>
            </w:r>
            <w:r>
              <w:rPr>
                <w:rFonts w:ascii="Arial" w:hAnsi="Arial" w:cs="Arial" w:eastAsia="Arial" w:hint="default"/>
                <w:spacing w:val="41"/>
                <w:sz w:val="20"/>
                <w:szCs w:val="20"/>
              </w:rPr>
              <w:t> </w:t>
            </w:r>
            <w:r>
              <w:rPr>
                <w:rFonts w:ascii="黑体" w:hAnsi="黑体" w:cs="黑体" w:eastAsia="黑体" w:hint="default"/>
                <w:sz w:val="20"/>
                <w:szCs w:val="20"/>
              </w:rPr>
              <w:t>股东投入和减少资本</w:t>
            </w:r>
          </w:p>
        </w:tc>
        <w:tc>
          <w:tcPr>
            <w:tcW w:w="1925"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
        </w:tc>
        <w:tc>
          <w:tcPr>
            <w:tcW w:w="1835" w:type="dxa"/>
            <w:tcBorders>
              <w:top w:val="nil" w:sz="6" w:space="0" w:color="auto"/>
              <w:left w:val="nil" w:sz="6" w:space="0" w:color="auto"/>
              <w:bottom w:val="nil" w:sz="6" w:space="0" w:color="auto"/>
              <w:right w:val="nil" w:sz="6" w:space="0" w:color="auto"/>
            </w:tcBorders>
          </w:tcPr>
          <w:p>
            <w:pPr/>
          </w:p>
        </w:tc>
        <w:tc>
          <w:tcPr>
            <w:tcW w:w="1875" w:type="dxa"/>
            <w:tcBorders>
              <w:top w:val="nil" w:sz="6" w:space="0" w:color="auto"/>
              <w:left w:val="nil" w:sz="6" w:space="0" w:color="auto"/>
              <w:bottom w:val="nil" w:sz="6" w:space="0" w:color="auto"/>
              <w:right w:val="nil" w:sz="6" w:space="0" w:color="auto"/>
            </w:tcBorders>
          </w:tcPr>
          <w:p>
            <w:pPr/>
          </w:p>
        </w:tc>
        <w:tc>
          <w:tcPr>
            <w:tcW w:w="1743" w:type="dxa"/>
            <w:tcBorders>
              <w:top w:val="nil" w:sz="6" w:space="0" w:color="auto"/>
              <w:left w:val="nil" w:sz="6" w:space="0" w:color="auto"/>
              <w:bottom w:val="nil" w:sz="6" w:space="0" w:color="auto"/>
              <w:right w:val="nil" w:sz="6" w:space="0" w:color="auto"/>
            </w:tcBorders>
          </w:tcPr>
          <w:p>
            <w:pPr/>
          </w:p>
        </w:tc>
      </w:tr>
      <w:tr>
        <w:trPr>
          <w:trHeight w:val="280"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50" w:lineRule="exact"/>
              <w:ind w:left="223" w:right="0"/>
              <w:jc w:val="left"/>
              <w:rPr>
                <w:rFonts w:ascii="Arial" w:hAnsi="Arial" w:cs="Arial" w:eastAsia="Arial" w:hint="default"/>
                <w:sz w:val="20"/>
                <w:szCs w:val="20"/>
              </w:rPr>
            </w:pPr>
            <w:r>
              <w:rPr>
                <w:rFonts w:ascii="Arial" w:hAnsi="Arial" w:cs="Arial" w:eastAsia="Arial" w:hint="default"/>
                <w:sz w:val="20"/>
                <w:szCs w:val="20"/>
              </w:rPr>
              <w:t>1.</w:t>
            </w:r>
            <w:r>
              <w:rPr>
                <w:rFonts w:ascii="Arial" w:hAnsi="Arial" w:cs="Arial" w:eastAsia="Arial" w:hint="default"/>
                <w:spacing w:val="21"/>
                <w:sz w:val="20"/>
                <w:szCs w:val="20"/>
              </w:rPr>
              <w:t> </w:t>
            </w:r>
            <w:r>
              <w:rPr>
                <w:rFonts w:ascii="黑体" w:hAnsi="黑体" w:cs="黑体" w:eastAsia="黑体" w:hint="default"/>
                <w:sz w:val="20"/>
                <w:szCs w:val="20"/>
              </w:rPr>
              <w:t>股东投入资本</w:t>
            </w:r>
            <w:r>
              <w:rPr>
                <w:rFonts w:ascii="Arial" w:hAnsi="Arial" w:cs="Arial" w:eastAsia="Arial" w:hint="default"/>
                <w:sz w:val="20"/>
                <w:szCs w:val="20"/>
              </w:rPr>
              <w:t>(</w:t>
            </w:r>
            <w:r>
              <w:rPr>
                <w:rFonts w:ascii="黑体" w:hAnsi="黑体" w:cs="黑体" w:eastAsia="黑体" w:hint="default"/>
                <w:sz w:val="20"/>
                <w:szCs w:val="20"/>
              </w:rPr>
              <w:t>附注五、</w:t>
            </w:r>
            <w:r>
              <w:rPr>
                <w:rFonts w:ascii="Arial" w:hAnsi="Arial" w:cs="Arial" w:eastAsia="Arial" w:hint="default"/>
                <w:sz w:val="20"/>
                <w:szCs w:val="20"/>
              </w:rPr>
              <w:t>28)</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76" w:right="0"/>
              <w:jc w:val="left"/>
              <w:rPr>
                <w:rFonts w:ascii="Arial" w:hAnsi="Arial" w:cs="Arial" w:eastAsia="Arial" w:hint="default"/>
                <w:sz w:val="20"/>
                <w:szCs w:val="20"/>
              </w:rPr>
            </w:pPr>
            <w:r>
              <w:rPr>
                <w:rFonts w:ascii="Arial"/>
                <w:sz w:val="20"/>
              </w:rPr>
              <w:t>21,196,982</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29" w:right="0"/>
              <w:jc w:val="left"/>
              <w:rPr>
                <w:rFonts w:ascii="Arial" w:hAnsi="Arial" w:cs="Arial" w:eastAsia="Arial" w:hint="default"/>
                <w:sz w:val="20"/>
                <w:szCs w:val="20"/>
              </w:rPr>
            </w:pPr>
            <w:r>
              <w:rPr>
                <w:rFonts w:ascii="Arial"/>
                <w:sz w:val="20"/>
              </w:rPr>
              <w:t>259,536,445</w:t>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69"/>
              <w:jc w:val="right"/>
              <w:rPr>
                <w:rFonts w:ascii="Arial" w:hAnsi="Arial" w:cs="Arial" w:eastAsia="Arial" w:hint="default"/>
                <w:sz w:val="20"/>
                <w:szCs w:val="20"/>
              </w:rPr>
            </w:pPr>
            <w:r>
              <w:rPr>
                <w:rFonts w:ascii="Arial"/>
                <w:w w:val="100"/>
                <w:sz w:val="20"/>
              </w:rPr>
              <w:t>-</w:t>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29"/>
              <w:jc w:val="right"/>
              <w:rPr>
                <w:rFonts w:ascii="Arial" w:hAnsi="Arial" w:cs="Arial" w:eastAsia="Arial" w:hint="default"/>
                <w:sz w:val="20"/>
                <w:szCs w:val="20"/>
              </w:rPr>
            </w:pPr>
            <w:r>
              <w:rPr>
                <w:rFonts w:ascii="Arial"/>
                <w:w w:val="100"/>
                <w:sz w:val="20"/>
              </w:rPr>
              <w:t>-</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42"/>
              <w:jc w:val="right"/>
              <w:rPr>
                <w:rFonts w:ascii="Arial" w:hAnsi="Arial" w:cs="Arial" w:eastAsia="Arial" w:hint="default"/>
                <w:sz w:val="20"/>
                <w:szCs w:val="20"/>
              </w:rPr>
            </w:pPr>
            <w:r>
              <w:rPr>
                <w:rFonts w:ascii="Arial"/>
                <w:spacing w:val="-1"/>
                <w:sz w:val="20"/>
              </w:rPr>
              <w:t>280,733,427</w:t>
            </w:r>
          </w:p>
        </w:tc>
      </w:tr>
      <w:tr>
        <w:trPr>
          <w:trHeight w:val="284"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50" w:lineRule="exact"/>
              <w:ind w:left="223" w:right="0"/>
              <w:jc w:val="left"/>
              <w:rPr>
                <w:rFonts w:ascii="Arial" w:hAnsi="Arial" w:cs="Arial" w:eastAsia="Arial" w:hint="default"/>
                <w:sz w:val="20"/>
                <w:szCs w:val="20"/>
              </w:rPr>
            </w:pPr>
            <w:r>
              <w:rPr>
                <w:rFonts w:ascii="Arial" w:hAnsi="Arial" w:cs="Arial" w:eastAsia="Arial" w:hint="default"/>
                <w:sz w:val="20"/>
                <w:szCs w:val="20"/>
              </w:rPr>
              <w:t>2.</w:t>
            </w:r>
            <w:r>
              <w:rPr>
                <w:rFonts w:ascii="Arial" w:hAnsi="Arial" w:cs="Arial" w:eastAsia="Arial" w:hint="default"/>
                <w:spacing w:val="21"/>
                <w:sz w:val="20"/>
                <w:szCs w:val="20"/>
              </w:rPr>
              <w:t> </w:t>
            </w:r>
            <w:r>
              <w:rPr>
                <w:rFonts w:ascii="黑体" w:hAnsi="黑体" w:cs="黑体" w:eastAsia="黑体" w:hint="default"/>
                <w:sz w:val="20"/>
                <w:szCs w:val="20"/>
              </w:rPr>
              <w:t>股份支付计入股东</w:t>
            </w:r>
            <w:r>
              <w:rPr>
                <w:rFonts w:ascii="Arial" w:hAnsi="Arial" w:cs="Arial" w:eastAsia="Arial" w:hint="default"/>
                <w:sz w:val="20"/>
                <w:szCs w:val="20"/>
              </w:rPr>
              <w:t>(</w:t>
            </w:r>
            <w:r>
              <w:rPr>
                <w:rFonts w:ascii="黑体" w:hAnsi="黑体" w:cs="黑体" w:eastAsia="黑体" w:hint="default"/>
                <w:sz w:val="20"/>
                <w:szCs w:val="20"/>
              </w:rPr>
              <w:t>附注七</w:t>
            </w:r>
            <w:r>
              <w:rPr>
                <w:rFonts w:ascii="Arial" w:hAnsi="Arial" w:cs="Arial" w:eastAsia="Arial" w:hint="default"/>
                <w:sz w:val="20"/>
                <w:szCs w:val="20"/>
              </w:rPr>
              <w:t>)</w:t>
            </w:r>
          </w:p>
        </w:tc>
        <w:tc>
          <w:tcPr>
            <w:tcW w:w="1925" w:type="dxa"/>
            <w:tcBorders>
              <w:top w:val="nil" w:sz="6" w:space="0" w:color="auto"/>
              <w:left w:val="nil" w:sz="6" w:space="0" w:color="auto"/>
              <w:bottom w:val="nil" w:sz="6" w:space="0" w:color="auto"/>
              <w:right w:val="nil" w:sz="6" w:space="0" w:color="auto"/>
            </w:tcBorders>
          </w:tcPr>
          <w:p>
            <w:pPr>
              <w:pStyle w:val="TableParagraph"/>
              <w:tabs>
                <w:tab w:pos="565" w:val="left" w:leader="none"/>
              </w:tabs>
              <w:spacing w:line="240" w:lineRule="auto" w:before="19"/>
              <w:ind w:right="361"/>
              <w:jc w:val="right"/>
              <w:rPr>
                <w:rFonts w:ascii="Arial" w:hAnsi="Arial" w:cs="Arial" w:eastAsia="Arial" w:hint="default"/>
                <w:sz w:val="20"/>
                <w:szCs w:val="20"/>
              </w:rPr>
            </w:pPr>
            <w:r>
              <w:rPr>
                <w:rFonts w:ascii="Arial"/>
                <w:sz w:val="20"/>
              </w:rPr>
              <w:t>(</w:t>
            </w:r>
            <w:r>
              <w:rPr>
                <w:rFonts w:ascii="Arial"/>
                <w:sz w:val="20"/>
                <w:u w:val="single" w:color="000000"/>
              </w:rPr>
              <w:t> </w:t>
              <w:tab/>
              <w:t>20,600</w:t>
            </w:r>
            <w:r>
              <w:rPr>
                <w:rFonts w:ascii="Arial"/>
                <w:sz w:val="20"/>
              </w:rPr>
              <w:t>)</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452"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8,030,117</w:t>
            </w:r>
            <w:r>
              <w:rPr>
                <w:rFonts w:ascii="Arial"/>
                <w:sz w:val="20"/>
              </w:rPr>
            </w:r>
          </w:p>
        </w:tc>
        <w:tc>
          <w:tcPr>
            <w:tcW w:w="1835"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19"/>
              <w:ind w:right="36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875" w:type="dxa"/>
            <w:tcBorders>
              <w:top w:val="nil" w:sz="6" w:space="0" w:color="auto"/>
              <w:left w:val="nil" w:sz="6" w:space="0" w:color="auto"/>
              <w:bottom w:val="nil" w:sz="6" w:space="0" w:color="auto"/>
              <w:right w:val="nil" w:sz="6" w:space="0" w:color="auto"/>
            </w:tcBorders>
          </w:tcPr>
          <w:p>
            <w:pPr>
              <w:pStyle w:val="TableParagraph"/>
              <w:tabs>
                <w:tab w:pos="1479" w:val="left" w:leader="none"/>
              </w:tabs>
              <w:spacing w:line="240" w:lineRule="auto" w:before="19"/>
              <w:ind w:left="460"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743" w:type="dxa"/>
            <w:tcBorders>
              <w:top w:val="nil" w:sz="6" w:space="0" w:color="auto"/>
              <w:left w:val="nil" w:sz="6" w:space="0" w:color="auto"/>
              <w:bottom w:val="nil" w:sz="6" w:space="0" w:color="auto"/>
              <w:right w:val="nil" w:sz="6" w:space="0" w:color="auto"/>
            </w:tcBorders>
          </w:tcPr>
          <w:p>
            <w:pPr>
              <w:pStyle w:val="TableParagraph"/>
              <w:tabs>
                <w:tab w:pos="705" w:val="left" w:leader="none"/>
              </w:tabs>
              <w:spacing w:line="240" w:lineRule="auto" w:before="19"/>
              <w:ind w:left="28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8,009,517</w:t>
            </w:r>
            <w:r>
              <w:rPr>
                <w:rFonts w:ascii="Arial"/>
                <w:sz w:val="20"/>
              </w:rPr>
            </w:r>
          </w:p>
        </w:tc>
      </w:tr>
      <w:tr>
        <w:trPr>
          <w:trHeight w:val="240" w:hRule="exact"/>
        </w:trPr>
        <w:tc>
          <w:tcPr>
            <w:tcW w:w="5249"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79"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21,176,382</w:t>
            </w:r>
            <w:r>
              <w:rPr>
                <w:rFonts w:ascii="Arial"/>
                <w:sz w:val="20"/>
              </w:rPr>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29" w:right="0"/>
              <w:jc w:val="left"/>
              <w:rPr>
                <w:rFonts w:ascii="Arial" w:hAnsi="Arial" w:cs="Arial" w:eastAsia="Arial" w:hint="default"/>
                <w:sz w:val="20"/>
                <w:szCs w:val="20"/>
              </w:rPr>
            </w:pPr>
            <w:r>
              <w:rPr>
                <w:rFonts w:ascii="Arial"/>
                <w:w w:val="100"/>
                <w:sz w:val="20"/>
              </w:rPr>
            </w:r>
            <w:r>
              <w:rPr>
                <w:rFonts w:ascii="Arial"/>
                <w:sz w:val="20"/>
                <w:u w:val="single" w:color="000000"/>
              </w:rPr>
              <w:t>267,566,562</w:t>
            </w:r>
            <w:r>
              <w:rPr>
                <w:rFonts w:ascii="Arial"/>
                <w:sz w:val="20"/>
              </w:rPr>
            </w:r>
          </w:p>
        </w:tc>
        <w:tc>
          <w:tcPr>
            <w:tcW w:w="1835"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14"/>
              <w:ind w:right="36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875" w:type="dxa"/>
            <w:tcBorders>
              <w:top w:val="nil" w:sz="6" w:space="0" w:color="auto"/>
              <w:left w:val="nil" w:sz="6" w:space="0" w:color="auto"/>
              <w:bottom w:val="nil" w:sz="6" w:space="0" w:color="auto"/>
              <w:right w:val="nil" w:sz="6" w:space="0" w:color="auto"/>
            </w:tcBorders>
          </w:tcPr>
          <w:p>
            <w:pPr>
              <w:pStyle w:val="TableParagraph"/>
              <w:tabs>
                <w:tab w:pos="1479" w:val="left" w:leader="none"/>
              </w:tabs>
              <w:spacing w:line="240" w:lineRule="auto" w:before="14"/>
              <w:ind w:left="460"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4"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288,742,944</w:t>
            </w:r>
            <w:r>
              <w:rPr>
                <w:rFonts w:ascii="Arial"/>
                <w:sz w:val="20"/>
              </w:rPr>
            </w:r>
          </w:p>
        </w:tc>
      </w:tr>
      <w:tr>
        <w:trPr>
          <w:trHeight w:val="596" w:hRule="exact"/>
        </w:trPr>
        <w:tc>
          <w:tcPr>
            <w:tcW w:w="14593"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left"/>
              <w:rPr>
                <w:rFonts w:ascii="黑体" w:hAnsi="黑体" w:cs="黑体" w:eastAsia="黑体" w:hint="default"/>
                <w:sz w:val="20"/>
                <w:szCs w:val="20"/>
              </w:rPr>
            </w:pPr>
            <w:r>
              <w:rPr>
                <w:rFonts w:ascii="Arial" w:hAnsi="Arial" w:cs="Arial" w:eastAsia="Arial" w:hint="default"/>
                <w:sz w:val="20"/>
                <w:szCs w:val="20"/>
              </w:rPr>
              <w:t>(</w:t>
            </w:r>
            <w:r>
              <w:rPr>
                <w:rFonts w:ascii="黑体" w:hAnsi="黑体" w:cs="黑体" w:eastAsia="黑体" w:hint="default"/>
                <w:sz w:val="20"/>
                <w:szCs w:val="20"/>
              </w:rPr>
              <w:t>四</w:t>
            </w:r>
            <w:r>
              <w:rPr>
                <w:rFonts w:ascii="Arial" w:hAnsi="Arial" w:cs="Arial" w:eastAsia="Arial" w:hint="default"/>
                <w:sz w:val="20"/>
                <w:szCs w:val="20"/>
              </w:rPr>
              <w:t>)</w:t>
            </w:r>
            <w:r>
              <w:rPr>
                <w:rFonts w:ascii="Arial" w:hAnsi="Arial" w:cs="Arial" w:eastAsia="Arial" w:hint="default"/>
                <w:spacing w:val="39"/>
                <w:sz w:val="20"/>
                <w:szCs w:val="20"/>
              </w:rPr>
              <w:t> </w:t>
            </w:r>
            <w:r>
              <w:rPr>
                <w:rFonts w:ascii="黑体" w:hAnsi="黑体" w:cs="黑体" w:eastAsia="黑体" w:hint="default"/>
                <w:sz w:val="20"/>
                <w:szCs w:val="20"/>
              </w:rPr>
              <w:t>利润分配</w:t>
            </w:r>
          </w:p>
          <w:p>
            <w:pPr>
              <w:pStyle w:val="TableParagraph"/>
              <w:tabs>
                <w:tab w:pos="6660" w:val="left" w:leader="none"/>
                <w:tab w:pos="8648" w:val="left" w:leader="none"/>
                <w:tab w:pos="9602" w:val="left" w:leader="none"/>
                <w:tab w:pos="11331" w:val="left" w:leader="none"/>
                <w:tab w:pos="14380" w:val="left" w:leader="none"/>
              </w:tabs>
              <w:spacing w:line="240" w:lineRule="auto" w:before="5"/>
              <w:ind w:left="223" w:right="0"/>
              <w:jc w:val="left"/>
              <w:rPr>
                <w:rFonts w:ascii="Arial" w:hAnsi="Arial" w:cs="Arial" w:eastAsia="Arial" w:hint="default"/>
                <w:sz w:val="20"/>
                <w:szCs w:val="20"/>
              </w:rPr>
            </w:pPr>
            <w:r>
              <w:rPr>
                <w:rFonts w:ascii="Arial" w:hAnsi="Arial" w:cs="Arial" w:eastAsia="Arial" w:hint="default"/>
                <w:sz w:val="20"/>
                <w:szCs w:val="20"/>
              </w:rPr>
              <w:t>1.</w:t>
            </w:r>
            <w:r>
              <w:rPr>
                <w:rFonts w:ascii="Arial" w:hAnsi="Arial" w:cs="Arial" w:eastAsia="Arial" w:hint="default"/>
                <w:spacing w:val="35"/>
                <w:sz w:val="20"/>
                <w:szCs w:val="20"/>
              </w:rPr>
              <w:t> </w:t>
            </w:r>
            <w:r>
              <w:rPr>
                <w:rFonts w:ascii="黑体" w:hAnsi="黑体" w:cs="黑体" w:eastAsia="黑体" w:hint="default"/>
                <w:spacing w:val="-1"/>
                <w:sz w:val="20"/>
                <w:szCs w:val="20"/>
              </w:rPr>
              <w:t>提取盈余公积</w:t>
            </w:r>
            <w:r>
              <w:rPr>
                <w:rFonts w:ascii="Arial" w:hAnsi="Arial" w:cs="Arial" w:eastAsia="Arial" w:hint="default"/>
                <w:spacing w:val="-1"/>
                <w:sz w:val="20"/>
                <w:szCs w:val="20"/>
              </w:rPr>
              <w:t>(</w:t>
            </w:r>
            <w:r>
              <w:rPr>
                <w:rFonts w:ascii="黑体" w:hAnsi="黑体" w:cs="黑体" w:eastAsia="黑体" w:hint="default"/>
                <w:spacing w:val="-1"/>
                <w:sz w:val="20"/>
                <w:szCs w:val="20"/>
              </w:rPr>
              <w:t>附注五、</w:t>
            </w:r>
            <w:r>
              <w:rPr>
                <w:rFonts w:ascii="Arial" w:hAnsi="Arial" w:cs="Arial" w:eastAsia="Arial" w:hint="default"/>
                <w:spacing w:val="-1"/>
                <w:sz w:val="20"/>
                <w:szCs w:val="20"/>
              </w:rPr>
              <w:t>30)</w:t>
              <w:tab/>
            </w:r>
            <w:r>
              <w:rPr>
                <w:rFonts w:ascii="Arial" w:hAnsi="Arial" w:cs="Arial" w:eastAsia="Arial" w:hint="default"/>
                <w:sz w:val="20"/>
                <w:szCs w:val="20"/>
              </w:rPr>
              <w:t>-</w:t>
              <w:tab/>
              <w:t>-</w:t>
              <w:tab/>
            </w:r>
            <w:r>
              <w:rPr>
                <w:rFonts w:ascii="Arial" w:hAnsi="Arial" w:cs="Arial" w:eastAsia="Arial" w:hint="default"/>
                <w:spacing w:val="-1"/>
                <w:sz w:val="20"/>
                <w:szCs w:val="20"/>
              </w:rPr>
              <w:t>81,603,564</w:t>
              <w:tab/>
            </w:r>
            <w:r>
              <w:rPr>
                <w:rFonts w:ascii="Arial" w:hAnsi="Arial" w:cs="Arial" w:eastAsia="Arial" w:hint="default"/>
                <w:sz w:val="20"/>
                <w:szCs w:val="20"/>
              </w:rPr>
              <w:t>(  </w:t>
            </w:r>
            <w:r>
              <w:rPr>
                <w:rFonts w:ascii="Arial" w:hAnsi="Arial" w:cs="Arial" w:eastAsia="Arial" w:hint="default"/>
                <w:spacing w:val="-1"/>
                <w:sz w:val="20"/>
                <w:szCs w:val="20"/>
              </w:rPr>
              <w:t>81,603,564</w:t>
            </w:r>
            <w:r>
              <w:rPr>
                <w:rFonts w:ascii="Arial" w:hAnsi="Arial" w:cs="Arial" w:eastAsia="Arial" w:hint="default"/>
                <w:spacing w:val="-4"/>
                <w:sz w:val="20"/>
                <w:szCs w:val="20"/>
              </w:rPr>
              <w:t> </w:t>
            </w:r>
            <w:r>
              <w:rPr>
                <w:rFonts w:ascii="Arial" w:hAnsi="Arial" w:cs="Arial" w:eastAsia="Arial" w:hint="default"/>
                <w:sz w:val="20"/>
                <w:szCs w:val="20"/>
              </w:rPr>
              <w:t>)</w:t>
              <w:tab/>
              <w:t>-</w:t>
            </w:r>
          </w:p>
        </w:tc>
      </w:tr>
      <w:tr>
        <w:trPr>
          <w:trHeight w:val="280"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50" w:lineRule="exact"/>
              <w:ind w:left="223" w:right="0"/>
              <w:jc w:val="left"/>
              <w:rPr>
                <w:rFonts w:ascii="Arial" w:hAnsi="Arial" w:cs="Arial" w:eastAsia="Arial" w:hint="default"/>
                <w:sz w:val="20"/>
                <w:szCs w:val="20"/>
              </w:rPr>
            </w:pPr>
            <w:r>
              <w:rPr>
                <w:rFonts w:ascii="Arial" w:hAnsi="Arial" w:cs="Arial" w:eastAsia="Arial" w:hint="default"/>
                <w:sz w:val="20"/>
                <w:szCs w:val="20"/>
              </w:rPr>
              <w:t>2.</w:t>
            </w:r>
            <w:r>
              <w:rPr>
                <w:rFonts w:ascii="Arial" w:hAnsi="Arial" w:cs="Arial" w:eastAsia="Arial" w:hint="default"/>
                <w:spacing w:val="21"/>
                <w:sz w:val="20"/>
                <w:szCs w:val="20"/>
              </w:rPr>
              <w:t> </w:t>
            </w:r>
            <w:r>
              <w:rPr>
                <w:rFonts w:ascii="黑体" w:hAnsi="黑体" w:cs="黑体" w:eastAsia="黑体" w:hint="default"/>
                <w:sz w:val="20"/>
                <w:szCs w:val="20"/>
              </w:rPr>
              <w:t>对股东的分配</w:t>
            </w:r>
            <w:r>
              <w:rPr>
                <w:rFonts w:ascii="Arial" w:hAnsi="Arial" w:cs="Arial" w:eastAsia="Arial" w:hint="default"/>
                <w:sz w:val="20"/>
                <w:szCs w:val="20"/>
              </w:rPr>
              <w:t>(</w:t>
            </w:r>
            <w:r>
              <w:rPr>
                <w:rFonts w:ascii="黑体" w:hAnsi="黑体" w:cs="黑体" w:eastAsia="黑体" w:hint="default"/>
                <w:sz w:val="20"/>
                <w:szCs w:val="20"/>
              </w:rPr>
              <w:t>附注五、</w:t>
            </w:r>
            <w:r>
              <w:rPr>
                <w:rFonts w:ascii="Arial" w:hAnsi="Arial" w:cs="Arial" w:eastAsia="Arial" w:hint="default"/>
                <w:sz w:val="20"/>
                <w:szCs w:val="20"/>
              </w:rPr>
              <w:t>31)</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43"/>
              <w:jc w:val="right"/>
              <w:rPr>
                <w:rFonts w:ascii="Arial" w:hAnsi="Arial" w:cs="Arial" w:eastAsia="Arial" w:hint="default"/>
                <w:sz w:val="20"/>
                <w:szCs w:val="20"/>
              </w:rPr>
            </w:pPr>
            <w:r>
              <w:rPr>
                <w:rFonts w:ascii="Arial"/>
                <w:w w:val="100"/>
                <w:sz w:val="20"/>
              </w:rPr>
              <w:t>-</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22"/>
              <w:jc w:val="right"/>
              <w:rPr>
                <w:rFonts w:ascii="Arial" w:hAnsi="Arial" w:cs="Arial" w:eastAsia="Arial" w:hint="default"/>
                <w:sz w:val="20"/>
                <w:szCs w:val="20"/>
              </w:rPr>
            </w:pPr>
            <w:r>
              <w:rPr>
                <w:rFonts w:ascii="Arial"/>
                <w:w w:val="100"/>
                <w:sz w:val="20"/>
              </w:rPr>
              <w:t>-</w:t>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68"/>
              <w:jc w:val="right"/>
              <w:rPr>
                <w:rFonts w:ascii="Arial" w:hAnsi="Arial" w:cs="Arial" w:eastAsia="Arial" w:hint="default"/>
                <w:sz w:val="20"/>
                <w:szCs w:val="20"/>
              </w:rPr>
            </w:pPr>
            <w:r>
              <w:rPr>
                <w:rFonts w:ascii="Arial"/>
                <w:w w:val="100"/>
                <w:sz w:val="20"/>
              </w:rPr>
              <w:t>-</w:t>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8"/>
              <w:jc w:val="right"/>
              <w:rPr>
                <w:rFonts w:ascii="Arial" w:hAnsi="Arial" w:cs="Arial" w:eastAsia="Arial" w:hint="default"/>
                <w:sz w:val="20"/>
                <w:szCs w:val="20"/>
              </w:rPr>
            </w:pPr>
            <w:r>
              <w:rPr>
                <w:rFonts w:ascii="Arial"/>
                <w:sz w:val="20"/>
              </w:rPr>
              <w:t>(139,998,893</w:t>
            </w:r>
            <w:r>
              <w:rPr>
                <w:rFonts w:ascii="Arial"/>
                <w:spacing w:val="-27"/>
                <w:sz w:val="20"/>
              </w:rPr>
              <w:t> </w:t>
            </w:r>
            <w:r>
              <w:rPr>
                <w:rFonts w:ascii="Arial"/>
                <w:sz w:val="20"/>
              </w:rPr>
              <w:t>)</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3"/>
              <w:jc w:val="right"/>
              <w:rPr>
                <w:rFonts w:ascii="Arial" w:hAnsi="Arial" w:cs="Arial" w:eastAsia="Arial" w:hint="default"/>
                <w:sz w:val="20"/>
                <w:szCs w:val="20"/>
              </w:rPr>
            </w:pPr>
            <w:r>
              <w:rPr>
                <w:rFonts w:ascii="Arial"/>
                <w:sz w:val="20"/>
              </w:rPr>
              <w:t>(   139,998,893</w:t>
            </w:r>
            <w:r>
              <w:rPr>
                <w:rFonts w:ascii="Arial"/>
                <w:spacing w:val="3"/>
                <w:sz w:val="20"/>
              </w:rPr>
              <w:t> </w:t>
            </w:r>
            <w:r>
              <w:rPr>
                <w:rFonts w:ascii="Arial"/>
                <w:sz w:val="20"/>
              </w:rPr>
              <w:t>)</w:t>
            </w:r>
          </w:p>
        </w:tc>
      </w:tr>
      <w:tr>
        <w:trPr>
          <w:trHeight w:val="284"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50" w:lineRule="exact"/>
              <w:ind w:left="223" w:right="0"/>
              <w:jc w:val="left"/>
              <w:rPr>
                <w:rFonts w:ascii="Arial" w:hAnsi="Arial" w:cs="Arial" w:eastAsia="Arial" w:hint="default"/>
                <w:sz w:val="20"/>
                <w:szCs w:val="20"/>
              </w:rPr>
            </w:pPr>
            <w:r>
              <w:rPr>
                <w:rFonts w:ascii="Arial" w:hAnsi="Arial" w:cs="Arial" w:eastAsia="Arial" w:hint="default"/>
                <w:sz w:val="20"/>
                <w:szCs w:val="20"/>
              </w:rPr>
              <w:t>3.</w:t>
            </w:r>
            <w:r>
              <w:rPr>
                <w:rFonts w:ascii="Arial" w:hAnsi="Arial" w:cs="Arial" w:eastAsia="Arial" w:hint="default"/>
                <w:spacing w:val="21"/>
                <w:sz w:val="20"/>
                <w:szCs w:val="20"/>
              </w:rPr>
              <w:t> </w:t>
            </w:r>
            <w:r>
              <w:rPr>
                <w:rFonts w:ascii="黑体" w:hAnsi="黑体" w:cs="黑体" w:eastAsia="黑体" w:hint="default"/>
                <w:sz w:val="20"/>
                <w:szCs w:val="20"/>
              </w:rPr>
              <w:t>其他</w:t>
            </w:r>
            <w:r>
              <w:rPr>
                <w:rFonts w:ascii="Arial" w:hAnsi="Arial" w:cs="Arial" w:eastAsia="Arial" w:hint="default"/>
                <w:sz w:val="20"/>
                <w:szCs w:val="20"/>
              </w:rPr>
              <w:t>(</w:t>
            </w:r>
            <w:r>
              <w:rPr>
                <w:rFonts w:ascii="黑体" w:hAnsi="黑体" w:cs="黑体" w:eastAsia="黑体" w:hint="default"/>
                <w:sz w:val="20"/>
                <w:szCs w:val="20"/>
              </w:rPr>
              <w:t>附注五、</w:t>
            </w:r>
            <w:r>
              <w:rPr>
                <w:rFonts w:ascii="Arial" w:hAnsi="Arial" w:cs="Arial" w:eastAsia="Arial" w:hint="default"/>
                <w:sz w:val="20"/>
                <w:szCs w:val="20"/>
              </w:rPr>
              <w:t>30</w:t>
            </w:r>
            <w:r>
              <w:rPr>
                <w:rFonts w:ascii="黑体" w:hAnsi="黑体" w:cs="黑体" w:eastAsia="黑体" w:hint="default"/>
                <w:sz w:val="20"/>
                <w:szCs w:val="20"/>
              </w:rPr>
              <w:t>及附注十三、</w:t>
            </w:r>
            <w:r>
              <w:rPr>
                <w:rFonts w:ascii="Arial" w:hAnsi="Arial" w:cs="Arial" w:eastAsia="Arial" w:hint="default"/>
                <w:sz w:val="20"/>
                <w:szCs w:val="20"/>
              </w:rPr>
              <w:t>25)</w:t>
            </w:r>
          </w:p>
        </w:tc>
        <w:tc>
          <w:tcPr>
            <w:tcW w:w="1925" w:type="dxa"/>
            <w:tcBorders>
              <w:top w:val="nil" w:sz="6" w:space="0" w:color="auto"/>
              <w:left w:val="nil" w:sz="6" w:space="0" w:color="auto"/>
              <w:bottom w:val="nil" w:sz="6" w:space="0" w:color="auto"/>
              <w:right w:val="nil" w:sz="6" w:space="0" w:color="auto"/>
            </w:tcBorders>
          </w:tcPr>
          <w:p>
            <w:pPr>
              <w:pStyle w:val="TableParagraph"/>
              <w:tabs>
                <w:tab w:pos="1408" w:val="left" w:leader="none"/>
              </w:tabs>
              <w:spacing w:line="240" w:lineRule="auto" w:before="18"/>
              <w:ind w:left="410"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966" w:type="dxa"/>
            <w:tcBorders>
              <w:top w:val="nil" w:sz="6" w:space="0" w:color="auto"/>
              <w:left w:val="nil" w:sz="6" w:space="0" w:color="auto"/>
              <w:bottom w:val="nil" w:sz="6" w:space="0" w:color="auto"/>
              <w:right w:val="nil" w:sz="6" w:space="0" w:color="auto"/>
            </w:tcBorders>
          </w:tcPr>
          <w:p>
            <w:pPr>
              <w:pStyle w:val="TableParagraph"/>
              <w:tabs>
                <w:tab w:pos="1459" w:val="left" w:leader="none"/>
              </w:tabs>
              <w:spacing w:line="240" w:lineRule="auto" w:before="18"/>
              <w:ind w:left="461"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835" w:type="dxa"/>
            <w:tcBorders>
              <w:top w:val="nil" w:sz="6" w:space="0" w:color="auto"/>
              <w:left w:val="nil" w:sz="6" w:space="0" w:color="auto"/>
              <w:bottom w:val="nil" w:sz="6" w:space="0" w:color="auto"/>
              <w:right w:val="nil" w:sz="6" w:space="0" w:color="auto"/>
            </w:tcBorders>
          </w:tcPr>
          <w:p>
            <w:pPr>
              <w:pStyle w:val="TableParagraph"/>
              <w:tabs>
                <w:tab w:pos="379" w:val="left" w:leader="none"/>
              </w:tabs>
              <w:spacing w:line="240" w:lineRule="auto" w:before="18"/>
              <w:ind w:right="36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159,635</w:t>
            </w:r>
            <w:r>
              <w:rPr>
                <w:rFonts w:ascii="Arial"/>
                <w:sz w:val="20"/>
              </w:rPr>
            </w:r>
          </w:p>
        </w:tc>
        <w:tc>
          <w:tcPr>
            <w:tcW w:w="1875" w:type="dxa"/>
            <w:tcBorders>
              <w:top w:val="nil" w:sz="6" w:space="0" w:color="auto"/>
              <w:left w:val="nil" w:sz="6" w:space="0" w:color="auto"/>
              <w:bottom w:val="nil" w:sz="6" w:space="0" w:color="auto"/>
              <w:right w:val="nil" w:sz="6" w:space="0" w:color="auto"/>
            </w:tcBorders>
          </w:tcPr>
          <w:p>
            <w:pPr>
              <w:pStyle w:val="TableParagraph"/>
              <w:tabs>
                <w:tab w:pos="820" w:val="left" w:leader="none"/>
              </w:tabs>
              <w:spacing w:line="240" w:lineRule="auto" w:before="18"/>
              <w:ind w:left="422"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904,600</w:t>
            </w:r>
            <w:r>
              <w:rPr>
                <w:rFonts w:ascii="Arial"/>
                <w:sz w:val="20"/>
              </w:rPr>
            </w:r>
          </w:p>
        </w:tc>
        <w:tc>
          <w:tcPr>
            <w:tcW w:w="1743" w:type="dxa"/>
            <w:tcBorders>
              <w:top w:val="nil" w:sz="6" w:space="0" w:color="auto"/>
              <w:left w:val="nil" w:sz="6" w:space="0" w:color="auto"/>
              <w:bottom w:val="nil" w:sz="6" w:space="0" w:color="auto"/>
              <w:right w:val="nil" w:sz="6" w:space="0" w:color="auto"/>
            </w:tcBorders>
          </w:tcPr>
          <w:p>
            <w:pPr>
              <w:pStyle w:val="TableParagraph"/>
              <w:tabs>
                <w:tab w:pos="705" w:val="left" w:leader="none"/>
              </w:tabs>
              <w:spacing w:line="240" w:lineRule="auto" w:before="18"/>
              <w:ind w:left="30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1,064,235</w:t>
            </w:r>
            <w:r>
              <w:rPr>
                <w:rFonts w:ascii="Arial"/>
                <w:sz w:val="20"/>
              </w:rPr>
            </w:r>
          </w:p>
        </w:tc>
      </w:tr>
      <w:tr>
        <w:trPr>
          <w:trHeight w:val="241" w:hRule="exact"/>
        </w:trPr>
        <w:tc>
          <w:tcPr>
            <w:tcW w:w="5249"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Style w:val="TableParagraph"/>
              <w:tabs>
                <w:tab w:pos="1409" w:val="left" w:leader="none"/>
              </w:tabs>
              <w:spacing w:line="240" w:lineRule="auto" w:before="15"/>
              <w:ind w:left="410"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966" w:type="dxa"/>
            <w:tcBorders>
              <w:top w:val="nil" w:sz="6" w:space="0" w:color="auto"/>
              <w:left w:val="nil" w:sz="6" w:space="0" w:color="auto"/>
              <w:bottom w:val="nil" w:sz="6" w:space="0" w:color="auto"/>
              <w:right w:val="nil" w:sz="6" w:space="0" w:color="auto"/>
            </w:tcBorders>
          </w:tcPr>
          <w:p>
            <w:pPr>
              <w:pStyle w:val="TableParagraph"/>
              <w:tabs>
                <w:tab w:pos="1459" w:val="left" w:leader="none"/>
              </w:tabs>
              <w:spacing w:line="240" w:lineRule="auto" w:before="15"/>
              <w:ind w:left="461"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6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81,763,199</w:t>
            </w:r>
            <w:r>
              <w:rPr>
                <w:rFonts w:ascii="Arial"/>
                <w:spacing w:val="-1"/>
                <w:sz w:val="20"/>
              </w:rPr>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8"/>
              <w:jc w:val="right"/>
              <w:rPr>
                <w:rFonts w:ascii="Arial" w:hAnsi="Arial" w:cs="Arial" w:eastAsia="Arial" w:hint="default"/>
                <w:sz w:val="20"/>
                <w:szCs w:val="20"/>
              </w:rPr>
            </w:pPr>
            <w:r>
              <w:rPr>
                <w:rFonts w:ascii="Arial"/>
                <w:sz w:val="20"/>
              </w:rPr>
              <w:t>(</w:t>
            </w:r>
            <w:r>
              <w:rPr>
                <w:rFonts w:ascii="Arial"/>
                <w:sz w:val="20"/>
                <w:u w:val="single" w:color="000000"/>
              </w:rPr>
              <w:t>220,697,857</w:t>
            </w:r>
            <w:r>
              <w:rPr>
                <w:rFonts w:ascii="Arial"/>
                <w:spacing w:val="-25"/>
                <w:sz w:val="20"/>
                <w:u w:val="single" w:color="000000"/>
              </w:rPr>
              <w:t> </w:t>
            </w:r>
            <w:r>
              <w:rPr>
                <w:rFonts w:ascii="Arial"/>
                <w:spacing w:val="-25"/>
                <w:sz w:val="20"/>
              </w:rPr>
            </w:r>
            <w:r>
              <w:rPr>
                <w:rFonts w:ascii="Arial"/>
                <w:sz w:val="20"/>
              </w:rPr>
              <w:t>)</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sz w:val="20"/>
              </w:rPr>
              <w:t>(   </w:t>
            </w:r>
            <w:r>
              <w:rPr>
                <w:rFonts w:ascii="Arial"/>
                <w:sz w:val="20"/>
                <w:u w:val="single" w:color="000000"/>
              </w:rPr>
              <w:t> 138,934,658</w:t>
            </w:r>
            <w:r>
              <w:rPr>
                <w:rFonts w:ascii="Arial"/>
                <w:spacing w:val="-8"/>
                <w:sz w:val="20"/>
                <w:u w:val="single" w:color="000000"/>
              </w:rPr>
              <w:t> </w:t>
            </w:r>
            <w:r>
              <w:rPr>
                <w:rFonts w:ascii="Arial"/>
                <w:spacing w:val="-8"/>
                <w:sz w:val="20"/>
              </w:rPr>
            </w:r>
            <w:r>
              <w:rPr>
                <w:rFonts w:ascii="Arial"/>
                <w:sz w:val="20"/>
              </w:rPr>
              <w:t>)</w:t>
            </w:r>
          </w:p>
        </w:tc>
      </w:tr>
      <w:tr>
        <w:trPr>
          <w:trHeight w:val="315"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left"/>
              <w:rPr>
                <w:rFonts w:ascii="黑体" w:hAnsi="黑体" w:cs="黑体" w:eastAsia="黑体" w:hint="default"/>
                <w:sz w:val="20"/>
                <w:szCs w:val="20"/>
              </w:rPr>
            </w:pPr>
            <w:r>
              <w:rPr>
                <w:rFonts w:ascii="Arial" w:hAnsi="Arial" w:cs="Arial" w:eastAsia="Arial" w:hint="default"/>
                <w:sz w:val="20"/>
                <w:szCs w:val="20"/>
              </w:rPr>
              <w:t>(</w:t>
            </w:r>
            <w:r>
              <w:rPr>
                <w:rFonts w:ascii="黑体" w:hAnsi="黑体" w:cs="黑体" w:eastAsia="黑体" w:hint="default"/>
                <w:sz w:val="20"/>
                <w:szCs w:val="20"/>
              </w:rPr>
              <w:t>五</w:t>
            </w:r>
            <w:r>
              <w:rPr>
                <w:rFonts w:ascii="Arial" w:hAnsi="Arial" w:cs="Arial" w:eastAsia="Arial" w:hint="default"/>
                <w:sz w:val="20"/>
                <w:szCs w:val="20"/>
              </w:rPr>
              <w:t>)</w:t>
            </w:r>
            <w:r>
              <w:rPr>
                <w:rFonts w:ascii="Arial" w:hAnsi="Arial" w:cs="Arial" w:eastAsia="Arial" w:hint="default"/>
                <w:spacing w:val="41"/>
                <w:sz w:val="20"/>
                <w:szCs w:val="20"/>
              </w:rPr>
              <w:t> </w:t>
            </w:r>
            <w:r>
              <w:rPr>
                <w:rFonts w:ascii="黑体" w:hAnsi="黑体" w:cs="黑体" w:eastAsia="黑体" w:hint="default"/>
                <w:sz w:val="20"/>
                <w:szCs w:val="20"/>
              </w:rPr>
              <w:t>股东权益内部结转</w:t>
            </w:r>
          </w:p>
        </w:tc>
        <w:tc>
          <w:tcPr>
            <w:tcW w:w="1925"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
        </w:tc>
        <w:tc>
          <w:tcPr>
            <w:tcW w:w="1835" w:type="dxa"/>
            <w:tcBorders>
              <w:top w:val="nil" w:sz="6" w:space="0" w:color="auto"/>
              <w:left w:val="nil" w:sz="6" w:space="0" w:color="auto"/>
              <w:bottom w:val="nil" w:sz="6" w:space="0" w:color="auto"/>
              <w:right w:val="nil" w:sz="6" w:space="0" w:color="auto"/>
            </w:tcBorders>
          </w:tcPr>
          <w:p>
            <w:pPr/>
          </w:p>
        </w:tc>
        <w:tc>
          <w:tcPr>
            <w:tcW w:w="1875" w:type="dxa"/>
            <w:tcBorders>
              <w:top w:val="nil" w:sz="6" w:space="0" w:color="auto"/>
              <w:left w:val="nil" w:sz="6" w:space="0" w:color="auto"/>
              <w:bottom w:val="nil" w:sz="6" w:space="0" w:color="auto"/>
              <w:right w:val="nil" w:sz="6" w:space="0" w:color="auto"/>
            </w:tcBorders>
          </w:tcPr>
          <w:p>
            <w:pPr/>
          </w:p>
        </w:tc>
        <w:tc>
          <w:tcPr>
            <w:tcW w:w="1743" w:type="dxa"/>
            <w:tcBorders>
              <w:top w:val="nil" w:sz="6" w:space="0" w:color="auto"/>
              <w:left w:val="nil" w:sz="6" w:space="0" w:color="auto"/>
              <w:bottom w:val="nil" w:sz="6" w:space="0" w:color="auto"/>
              <w:right w:val="nil" w:sz="6" w:space="0" w:color="auto"/>
            </w:tcBorders>
          </w:tcPr>
          <w:p>
            <w:pPr/>
          </w:p>
        </w:tc>
      </w:tr>
      <w:tr>
        <w:trPr>
          <w:trHeight w:val="344" w:hRule="exact"/>
        </w:trPr>
        <w:tc>
          <w:tcPr>
            <w:tcW w:w="5249" w:type="dxa"/>
            <w:tcBorders>
              <w:top w:val="nil" w:sz="6" w:space="0" w:color="auto"/>
              <w:left w:val="nil" w:sz="6" w:space="0" w:color="auto"/>
              <w:bottom w:val="nil" w:sz="6" w:space="0" w:color="auto"/>
              <w:right w:val="nil" w:sz="6" w:space="0" w:color="auto"/>
            </w:tcBorders>
          </w:tcPr>
          <w:p>
            <w:pPr>
              <w:pStyle w:val="TableParagraph"/>
              <w:spacing w:line="250" w:lineRule="exact"/>
              <w:ind w:left="223" w:right="0"/>
              <w:jc w:val="left"/>
              <w:rPr>
                <w:rFonts w:ascii="Arial" w:hAnsi="Arial" w:cs="Arial" w:eastAsia="Arial" w:hint="default"/>
                <w:sz w:val="20"/>
                <w:szCs w:val="20"/>
              </w:rPr>
            </w:pPr>
            <w:r>
              <w:rPr>
                <w:rFonts w:ascii="Arial" w:hAnsi="Arial" w:cs="Arial" w:eastAsia="Arial" w:hint="default"/>
                <w:sz w:val="20"/>
                <w:szCs w:val="20"/>
              </w:rPr>
              <w:t>1.</w:t>
            </w:r>
            <w:r>
              <w:rPr>
                <w:rFonts w:ascii="Arial" w:hAnsi="Arial" w:cs="Arial" w:eastAsia="Arial" w:hint="default"/>
                <w:spacing w:val="19"/>
                <w:sz w:val="20"/>
                <w:szCs w:val="20"/>
              </w:rPr>
              <w:t> </w:t>
            </w:r>
            <w:r>
              <w:rPr>
                <w:rFonts w:ascii="黑体" w:hAnsi="黑体" w:cs="黑体" w:eastAsia="黑体" w:hint="default"/>
                <w:sz w:val="20"/>
                <w:szCs w:val="20"/>
              </w:rPr>
              <w:t>资本公积转增股本</w:t>
            </w:r>
            <w:r>
              <w:rPr>
                <w:rFonts w:ascii="Arial" w:hAnsi="Arial" w:cs="Arial" w:eastAsia="Arial" w:hint="default"/>
                <w:sz w:val="20"/>
                <w:szCs w:val="20"/>
              </w:rPr>
              <w:t>(</w:t>
            </w:r>
            <w:r>
              <w:rPr>
                <w:rFonts w:ascii="黑体" w:hAnsi="黑体" w:cs="黑体" w:eastAsia="黑体" w:hint="default"/>
                <w:sz w:val="20"/>
                <w:szCs w:val="20"/>
              </w:rPr>
              <w:t>附注五、</w:t>
            </w:r>
            <w:r>
              <w:rPr>
                <w:rFonts w:ascii="Arial" w:hAnsi="Arial" w:cs="Arial" w:eastAsia="Arial" w:hint="default"/>
                <w:sz w:val="20"/>
                <w:szCs w:val="20"/>
              </w:rPr>
              <w:t>28)</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66" w:right="0"/>
              <w:jc w:val="left"/>
              <w:rPr>
                <w:rFonts w:ascii="Arial" w:hAnsi="Arial" w:cs="Arial" w:eastAsia="Arial" w:hint="default"/>
                <w:sz w:val="20"/>
                <w:szCs w:val="20"/>
              </w:rPr>
            </w:pPr>
            <w:r>
              <w:rPr>
                <w:rFonts w:ascii="Arial"/>
                <w:w w:val="100"/>
                <w:sz w:val="20"/>
              </w:rPr>
            </w:r>
            <w:r>
              <w:rPr>
                <w:rFonts w:ascii="Arial"/>
                <w:sz w:val="20"/>
                <w:u w:val="single" w:color="000000"/>
              </w:rPr>
              <w:t>139,998,893</w:t>
            </w:r>
            <w:r>
              <w:rPr>
                <w:rFonts w:ascii="Arial"/>
                <w:sz w:val="20"/>
              </w:rPr>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63" w:right="0"/>
              <w:jc w:val="left"/>
              <w:rPr>
                <w:rFonts w:ascii="Arial" w:hAnsi="Arial" w:cs="Arial" w:eastAsia="Arial" w:hint="default"/>
                <w:sz w:val="20"/>
                <w:szCs w:val="20"/>
              </w:rPr>
            </w:pPr>
            <w:r>
              <w:rPr>
                <w:rFonts w:ascii="Arial"/>
                <w:sz w:val="20"/>
              </w:rPr>
              <w:t>(</w:t>
            </w:r>
            <w:r>
              <w:rPr>
                <w:rFonts w:ascii="Arial"/>
                <w:sz w:val="20"/>
                <w:u w:val="single" w:color="000000"/>
              </w:rPr>
              <w:t>139,998,893</w:t>
            </w:r>
            <w:r>
              <w:rPr>
                <w:rFonts w:ascii="Arial"/>
                <w:sz w:val="20"/>
              </w:rPr>
              <w:t>)</w:t>
            </w:r>
          </w:p>
        </w:tc>
        <w:tc>
          <w:tcPr>
            <w:tcW w:w="1835" w:type="dxa"/>
            <w:tcBorders>
              <w:top w:val="nil" w:sz="6" w:space="0" w:color="auto"/>
              <w:left w:val="nil" w:sz="6" w:space="0" w:color="auto"/>
              <w:bottom w:val="nil" w:sz="6" w:space="0" w:color="auto"/>
              <w:right w:val="nil" w:sz="6" w:space="0" w:color="auto"/>
            </w:tcBorders>
          </w:tcPr>
          <w:p>
            <w:pPr>
              <w:pStyle w:val="TableParagraph"/>
              <w:tabs>
                <w:tab w:pos="1018" w:val="left" w:leader="none"/>
              </w:tabs>
              <w:spacing w:line="240" w:lineRule="auto" w:before="18"/>
              <w:ind w:right="36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875" w:type="dxa"/>
            <w:tcBorders>
              <w:top w:val="nil" w:sz="6" w:space="0" w:color="auto"/>
              <w:left w:val="nil" w:sz="6" w:space="0" w:color="auto"/>
              <w:bottom w:val="nil" w:sz="6" w:space="0" w:color="auto"/>
              <w:right w:val="nil" w:sz="6" w:space="0" w:color="auto"/>
            </w:tcBorders>
          </w:tcPr>
          <w:p>
            <w:pPr>
              <w:pStyle w:val="TableParagraph"/>
              <w:tabs>
                <w:tab w:pos="1478" w:val="left" w:leader="none"/>
              </w:tabs>
              <w:spacing w:line="240" w:lineRule="auto" w:before="18"/>
              <w:ind w:left="459"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743" w:type="dxa"/>
            <w:tcBorders>
              <w:top w:val="nil" w:sz="6" w:space="0" w:color="auto"/>
              <w:left w:val="nil" w:sz="6" w:space="0" w:color="auto"/>
              <w:bottom w:val="nil" w:sz="6" w:space="0" w:color="auto"/>
              <w:right w:val="nil" w:sz="6" w:space="0" w:color="auto"/>
            </w:tcBorders>
          </w:tcPr>
          <w:p>
            <w:pPr>
              <w:pStyle w:val="TableParagraph"/>
              <w:tabs>
                <w:tab w:pos="1530" w:val="left" w:leader="none"/>
              </w:tabs>
              <w:spacing w:line="240" w:lineRule="auto" w:before="18"/>
              <w:ind w:left="330"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bl>
    <w:p>
      <w:pPr>
        <w:spacing w:line="240" w:lineRule="auto" w:before="2"/>
        <w:rPr>
          <w:rFonts w:ascii="黑体" w:hAnsi="黑体" w:cs="黑体" w:eastAsia="黑体" w:hint="default"/>
          <w:b/>
          <w:bCs/>
          <w:sz w:val="13"/>
          <w:szCs w:val="13"/>
        </w:rPr>
      </w:pPr>
    </w:p>
    <w:p>
      <w:pPr>
        <w:pStyle w:val="BodyText"/>
        <w:tabs>
          <w:tab w:pos="5721" w:val="left" w:leader="none"/>
          <w:tab w:pos="7696" w:val="left" w:leader="none"/>
          <w:tab w:pos="9545" w:val="left" w:leader="none"/>
          <w:tab w:pos="11516" w:val="left" w:leader="none"/>
          <w:tab w:pos="13293" w:val="left" w:leader="none"/>
        </w:tabs>
        <w:spacing w:line="240" w:lineRule="auto" w:before="38"/>
        <w:ind w:left="140" w:right="0"/>
        <w:jc w:val="left"/>
        <w:rPr>
          <w:rFonts w:ascii="Arial" w:hAnsi="Arial" w:cs="Arial" w:eastAsia="Arial" w:hint="default"/>
        </w:rPr>
      </w:pPr>
      <w:r>
        <w:rPr>
          <w:spacing w:val="-1"/>
        </w:rPr>
        <w:t>四、本年年末余额</w:t>
        <w:tab/>
      </w:r>
      <w:r>
        <w:rPr>
          <w:rFonts w:ascii="Arial" w:hAnsi="Arial" w:cs="Arial" w:eastAsia="Arial" w:hint="default"/>
          <w:spacing w:val="-1"/>
        </w:rPr>
      </w:r>
      <w:r>
        <w:rPr>
          <w:rFonts w:ascii="Arial" w:hAnsi="Arial" w:cs="Arial" w:eastAsia="Arial" w:hint="default"/>
          <w:spacing w:val="-1"/>
          <w:u w:val="thick" w:color="000000"/>
        </w:rPr>
        <w:t>627,858,850</w:t>
      </w:r>
      <w:r>
        <w:rPr>
          <w:rFonts w:ascii="Arial" w:hAnsi="Arial" w:cs="Arial" w:eastAsia="Arial" w:hint="default"/>
          <w:spacing w:val="-1"/>
        </w:rPr>
        <w:tab/>
      </w:r>
      <w:r>
        <w:rPr>
          <w:rFonts w:ascii="Arial" w:hAnsi="Arial" w:cs="Arial" w:eastAsia="Arial" w:hint="default"/>
          <w:spacing w:val="-1"/>
          <w:u w:val="thick" w:color="000000"/>
        </w:rPr>
        <w:t>910,621,381</w:t>
      </w:r>
      <w:r>
        <w:rPr>
          <w:rFonts w:ascii="Arial" w:hAnsi="Arial" w:cs="Arial" w:eastAsia="Arial" w:hint="default"/>
          <w:spacing w:val="-1"/>
        </w:rPr>
        <w:tab/>
      </w:r>
      <w:r>
        <w:rPr>
          <w:rFonts w:ascii="Arial" w:hAnsi="Arial" w:cs="Arial" w:eastAsia="Arial" w:hint="default"/>
          <w:spacing w:val="-1"/>
          <w:u w:val="thick" w:color="000000"/>
        </w:rPr>
        <w:t>271,273,699</w:t>
      </w:r>
      <w:r>
        <w:rPr>
          <w:rFonts w:ascii="Arial" w:hAnsi="Arial" w:cs="Arial" w:eastAsia="Arial" w:hint="default"/>
          <w:spacing w:val="-1"/>
        </w:rPr>
        <w:tab/>
      </w:r>
      <w:r>
        <w:rPr>
          <w:rFonts w:ascii="Arial" w:hAnsi="Arial" w:cs="Arial" w:eastAsia="Arial" w:hint="default"/>
          <w:spacing w:val="-1"/>
          <w:u w:val="thick" w:color="000000"/>
        </w:rPr>
        <w:t>810,143,687</w:t>
      </w:r>
      <w:r>
        <w:rPr>
          <w:rFonts w:ascii="Arial" w:hAnsi="Arial" w:cs="Arial" w:eastAsia="Arial" w:hint="default"/>
          <w:spacing w:val="-1"/>
        </w:rPr>
        <w:tab/>
      </w:r>
      <w:r>
        <w:rPr>
          <w:rFonts w:ascii="Arial" w:hAnsi="Arial" w:cs="Arial" w:eastAsia="Arial" w:hint="default"/>
          <w:spacing w:val="-2"/>
          <w:u w:val="thick" w:color="000000"/>
        </w:rPr>
        <w:t>2,619,897,617</w:t>
      </w:r>
      <w:r>
        <w:rPr>
          <w:rFonts w:ascii="Arial" w:hAnsi="Arial" w:cs="Arial" w:eastAsia="Arial" w:hint="default"/>
          <w:spacing w:val="-2"/>
        </w:rPr>
      </w:r>
    </w:p>
    <w:p>
      <w:pPr>
        <w:spacing w:after="0" w:line="240" w:lineRule="auto"/>
        <w:jc w:val="left"/>
        <w:rPr>
          <w:rFonts w:ascii="Arial" w:hAnsi="Arial" w:cs="Arial" w:eastAsia="Arial" w:hint="default"/>
        </w:rPr>
        <w:sectPr>
          <w:headerReference w:type="default" r:id="rId40"/>
          <w:footerReference w:type="default" r:id="rId41"/>
          <w:pgSz w:w="16840" w:h="11910" w:orient="landscape"/>
          <w:pgMar w:header="958" w:footer="488" w:top="2600" w:bottom="680" w:left="960" w:right="1000"/>
          <w:pgNumType w:start="12"/>
        </w:sectPr>
      </w:pPr>
    </w:p>
    <w:p>
      <w:pPr>
        <w:spacing w:line="240" w:lineRule="auto" w:before="2"/>
        <w:rPr>
          <w:rFonts w:ascii="Arial" w:hAnsi="Arial" w:cs="Arial" w:eastAsia="Arial" w:hint="default"/>
          <w:sz w:val="21"/>
          <w:szCs w:val="21"/>
        </w:rPr>
      </w:pPr>
    </w:p>
    <w:p>
      <w:pPr>
        <w:spacing w:before="38"/>
        <w:ind w:left="9729" w:right="0" w:firstLine="0"/>
        <w:jc w:val="left"/>
        <w:rPr>
          <w:rFonts w:ascii="黑体" w:hAnsi="黑体" w:cs="黑体" w:eastAsia="黑体" w:hint="default"/>
          <w:sz w:val="20"/>
          <w:szCs w:val="20"/>
        </w:rPr>
      </w:pPr>
      <w:r>
        <w:rPr>
          <w:rFonts w:ascii="Arial" w:hAnsi="Arial" w:cs="Arial" w:eastAsia="Arial" w:hint="default"/>
          <w:b/>
          <w:bCs/>
          <w:sz w:val="20"/>
          <w:szCs w:val="20"/>
        </w:rPr>
        <w:t>2008</w:t>
      </w:r>
      <w:r>
        <w:rPr>
          <w:rFonts w:ascii="黑体" w:hAnsi="黑体" w:cs="黑体" w:eastAsia="黑体" w:hint="default"/>
          <w:b/>
          <w:bCs/>
          <w:sz w:val="20"/>
          <w:szCs w:val="20"/>
        </w:rPr>
        <w:t>年</w:t>
      </w:r>
      <w:r>
        <w:rPr>
          <w:rFonts w:ascii="黑体" w:hAnsi="黑体" w:cs="黑体" w:eastAsia="黑体" w:hint="default"/>
          <w:sz w:val="20"/>
          <w:szCs w:val="20"/>
        </w:rPr>
      </w:r>
    </w:p>
    <w:p>
      <w:pPr>
        <w:spacing w:line="240" w:lineRule="auto" w:before="12"/>
        <w:rPr>
          <w:rFonts w:ascii="黑体" w:hAnsi="黑体" w:cs="黑体" w:eastAsia="黑体" w:hint="default"/>
          <w:b/>
          <w:bCs/>
          <w:sz w:val="2"/>
          <w:szCs w:val="2"/>
        </w:rPr>
      </w:pPr>
    </w:p>
    <w:tbl>
      <w:tblPr>
        <w:tblW w:w="0" w:type="auto"/>
        <w:jc w:val="left"/>
        <w:tblInd w:w="105" w:type="dxa"/>
        <w:tblLayout w:type="fixed"/>
        <w:tblCellMar>
          <w:top w:w="0" w:type="dxa"/>
          <w:left w:w="0" w:type="dxa"/>
          <w:bottom w:w="0" w:type="dxa"/>
          <w:right w:w="0" w:type="dxa"/>
        </w:tblCellMar>
        <w:tblLook w:val="01E0"/>
      </w:tblPr>
      <w:tblGrid>
        <w:gridCol w:w="5301"/>
        <w:gridCol w:w="1697"/>
        <w:gridCol w:w="2116"/>
        <w:gridCol w:w="1839"/>
        <w:gridCol w:w="1833"/>
        <w:gridCol w:w="1787"/>
      </w:tblGrid>
      <w:tr>
        <w:trPr>
          <w:trHeight w:val="572" w:hRule="exact"/>
        </w:trPr>
        <w:tc>
          <w:tcPr>
            <w:tcW w:w="53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b/>
                <w:bCs/>
                <w:sz w:val="19"/>
                <w:szCs w:val="19"/>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一、本年年初余额</w:t>
            </w:r>
          </w:p>
        </w:tc>
        <w:tc>
          <w:tcPr>
            <w:tcW w:w="1697" w:type="dxa"/>
            <w:tcBorders>
              <w:top w:val="single" w:sz="4" w:space="0" w:color="000000"/>
              <w:left w:val="nil" w:sz="6" w:space="0" w:color="auto"/>
              <w:bottom w:val="nil" w:sz="6" w:space="0" w:color="auto"/>
              <w:right w:val="nil" w:sz="6" w:space="0" w:color="auto"/>
            </w:tcBorders>
          </w:tcPr>
          <w:p>
            <w:pPr>
              <w:pStyle w:val="TableParagraph"/>
              <w:spacing w:line="232" w:lineRule="exact"/>
              <w:ind w:left="278" w:right="0" w:firstLine="711"/>
              <w:jc w:val="left"/>
              <w:rPr>
                <w:rFonts w:ascii="黑体" w:hAnsi="黑体" w:cs="黑体" w:eastAsia="黑体" w:hint="default"/>
                <w:sz w:val="20"/>
                <w:szCs w:val="20"/>
              </w:rPr>
            </w:pPr>
            <w:r>
              <w:rPr>
                <w:rFonts w:ascii="黑体" w:hAnsi="黑体" w:cs="黑体" w:eastAsia="黑体" w:hint="default"/>
                <w:sz w:val="20"/>
                <w:szCs w:val="20"/>
              </w:rPr>
              <w:t>股本</w:t>
            </w:r>
          </w:p>
          <w:p>
            <w:pPr>
              <w:pStyle w:val="TableParagraph"/>
              <w:spacing w:line="240" w:lineRule="auto" w:before="85"/>
              <w:ind w:left="278" w:right="0"/>
              <w:jc w:val="left"/>
              <w:rPr>
                <w:rFonts w:ascii="Arial" w:hAnsi="Arial" w:cs="Arial" w:eastAsia="Arial" w:hint="default"/>
                <w:sz w:val="20"/>
                <w:szCs w:val="20"/>
              </w:rPr>
            </w:pPr>
            <w:r>
              <w:rPr>
                <w:rFonts w:ascii="Arial"/>
                <w:sz w:val="20"/>
              </w:rPr>
              <w:t>231,379,200</w:t>
            </w:r>
          </w:p>
        </w:tc>
        <w:tc>
          <w:tcPr>
            <w:tcW w:w="2116" w:type="dxa"/>
            <w:tcBorders>
              <w:top w:val="single" w:sz="4" w:space="0" w:color="000000"/>
              <w:left w:val="nil" w:sz="6" w:space="0" w:color="auto"/>
              <w:bottom w:val="nil" w:sz="6" w:space="0" w:color="auto"/>
              <w:right w:val="nil" w:sz="6" w:space="0" w:color="auto"/>
            </w:tcBorders>
          </w:tcPr>
          <w:p>
            <w:pPr>
              <w:pStyle w:val="TableParagraph"/>
              <w:spacing w:line="232" w:lineRule="exact"/>
              <w:ind w:left="385" w:right="0" w:firstLine="465"/>
              <w:jc w:val="left"/>
              <w:rPr>
                <w:rFonts w:ascii="黑体" w:hAnsi="黑体" w:cs="黑体" w:eastAsia="黑体" w:hint="default"/>
                <w:sz w:val="20"/>
                <w:szCs w:val="20"/>
              </w:rPr>
            </w:pPr>
            <w:r>
              <w:rPr>
                <w:rFonts w:ascii="黑体" w:hAnsi="黑体" w:cs="黑体" w:eastAsia="黑体" w:hint="default"/>
                <w:sz w:val="20"/>
                <w:szCs w:val="20"/>
              </w:rPr>
              <w:t>资本公积</w:t>
            </w:r>
          </w:p>
          <w:p>
            <w:pPr>
              <w:pStyle w:val="TableParagraph"/>
              <w:spacing w:line="240" w:lineRule="auto" w:before="85"/>
              <w:ind w:left="385" w:right="0"/>
              <w:jc w:val="left"/>
              <w:rPr>
                <w:rFonts w:ascii="Arial" w:hAnsi="Arial" w:cs="Arial" w:eastAsia="Arial" w:hint="default"/>
                <w:sz w:val="20"/>
                <w:szCs w:val="20"/>
              </w:rPr>
            </w:pPr>
            <w:r>
              <w:rPr>
                <w:rFonts w:ascii="Arial"/>
                <w:sz w:val="20"/>
              </w:rPr>
              <w:t>1,707,252,832</w:t>
            </w:r>
          </w:p>
        </w:tc>
        <w:tc>
          <w:tcPr>
            <w:tcW w:w="1839" w:type="dxa"/>
            <w:tcBorders>
              <w:top w:val="single" w:sz="4" w:space="0" w:color="000000"/>
              <w:left w:val="nil" w:sz="6" w:space="0" w:color="auto"/>
              <w:bottom w:val="nil" w:sz="6" w:space="0" w:color="auto"/>
              <w:right w:val="nil" w:sz="6" w:space="0" w:color="auto"/>
            </w:tcBorders>
          </w:tcPr>
          <w:p>
            <w:pPr>
              <w:pStyle w:val="TableParagraph"/>
              <w:spacing w:line="232" w:lineRule="exact"/>
              <w:ind w:left="344" w:right="0" w:firstLine="308"/>
              <w:jc w:val="left"/>
              <w:rPr>
                <w:rFonts w:ascii="黑体" w:hAnsi="黑体" w:cs="黑体" w:eastAsia="黑体" w:hint="default"/>
                <w:sz w:val="20"/>
                <w:szCs w:val="20"/>
              </w:rPr>
            </w:pPr>
            <w:r>
              <w:rPr>
                <w:rFonts w:ascii="黑体" w:hAnsi="黑体" w:cs="黑体" w:eastAsia="黑体" w:hint="default"/>
                <w:sz w:val="20"/>
                <w:szCs w:val="20"/>
              </w:rPr>
              <w:t>盈余公积</w:t>
            </w:r>
          </w:p>
          <w:p>
            <w:pPr>
              <w:pStyle w:val="TableParagraph"/>
              <w:spacing w:line="240" w:lineRule="auto" w:before="85"/>
              <w:ind w:left="344" w:right="0"/>
              <w:jc w:val="left"/>
              <w:rPr>
                <w:rFonts w:ascii="Arial" w:hAnsi="Arial" w:cs="Arial" w:eastAsia="Arial" w:hint="default"/>
                <w:sz w:val="20"/>
                <w:szCs w:val="20"/>
              </w:rPr>
            </w:pPr>
            <w:r>
              <w:rPr>
                <w:rFonts w:ascii="Arial"/>
                <w:sz w:val="20"/>
              </w:rPr>
              <w:t>129,578,215</w:t>
            </w:r>
          </w:p>
        </w:tc>
        <w:tc>
          <w:tcPr>
            <w:tcW w:w="1833" w:type="dxa"/>
            <w:tcBorders>
              <w:top w:val="single" w:sz="4" w:space="0" w:color="000000"/>
              <w:left w:val="nil" w:sz="6" w:space="0" w:color="auto"/>
              <w:bottom w:val="nil" w:sz="6" w:space="0" w:color="auto"/>
              <w:right w:val="nil" w:sz="6" w:space="0" w:color="auto"/>
            </w:tcBorders>
          </w:tcPr>
          <w:p>
            <w:pPr>
              <w:pStyle w:val="TableParagraph"/>
              <w:spacing w:line="232" w:lineRule="exact"/>
              <w:ind w:left="49" w:right="0"/>
              <w:jc w:val="center"/>
              <w:rPr>
                <w:rFonts w:ascii="黑体" w:hAnsi="黑体" w:cs="黑体" w:eastAsia="黑体" w:hint="default"/>
                <w:sz w:val="20"/>
                <w:szCs w:val="20"/>
              </w:rPr>
            </w:pPr>
            <w:r>
              <w:rPr>
                <w:rFonts w:ascii="黑体" w:hAnsi="黑体" w:cs="黑体" w:eastAsia="黑体" w:hint="default"/>
                <w:sz w:val="20"/>
                <w:szCs w:val="20"/>
              </w:rPr>
              <w:t>未分配利润</w:t>
            </w:r>
          </w:p>
          <w:p>
            <w:pPr>
              <w:pStyle w:val="TableParagraph"/>
              <w:spacing w:line="240" w:lineRule="auto" w:before="85"/>
              <w:ind w:left="48" w:right="0"/>
              <w:jc w:val="center"/>
              <w:rPr>
                <w:rFonts w:ascii="Arial" w:hAnsi="Arial" w:cs="Arial" w:eastAsia="Arial" w:hint="default"/>
                <w:sz w:val="20"/>
                <w:szCs w:val="20"/>
              </w:rPr>
            </w:pPr>
            <w:r>
              <w:rPr>
                <w:rFonts w:ascii="Arial"/>
                <w:sz w:val="20"/>
              </w:rPr>
              <w:t>378,562,699</w:t>
            </w:r>
          </w:p>
        </w:tc>
        <w:tc>
          <w:tcPr>
            <w:tcW w:w="1787" w:type="dxa"/>
            <w:tcBorders>
              <w:top w:val="single" w:sz="4" w:space="0" w:color="000000"/>
              <w:left w:val="nil" w:sz="6" w:space="0" w:color="auto"/>
              <w:bottom w:val="nil" w:sz="6" w:space="0" w:color="auto"/>
              <w:right w:val="nil" w:sz="6" w:space="0" w:color="auto"/>
            </w:tcBorders>
          </w:tcPr>
          <w:p>
            <w:pPr>
              <w:pStyle w:val="TableParagraph"/>
              <w:spacing w:line="232" w:lineRule="exact"/>
              <w:ind w:left="415" w:right="0" w:firstLine="79"/>
              <w:jc w:val="left"/>
              <w:rPr>
                <w:rFonts w:ascii="黑体" w:hAnsi="黑体" w:cs="黑体" w:eastAsia="黑体" w:hint="default"/>
                <w:sz w:val="20"/>
                <w:szCs w:val="20"/>
              </w:rPr>
            </w:pPr>
            <w:r>
              <w:rPr>
                <w:rFonts w:ascii="黑体" w:hAnsi="黑体" w:cs="黑体" w:eastAsia="黑体" w:hint="default"/>
                <w:sz w:val="20"/>
                <w:szCs w:val="20"/>
              </w:rPr>
              <w:t>股东权益合计</w:t>
            </w:r>
          </w:p>
          <w:p>
            <w:pPr>
              <w:pStyle w:val="TableParagraph"/>
              <w:spacing w:line="240" w:lineRule="auto" w:before="85"/>
              <w:ind w:left="415" w:right="0"/>
              <w:jc w:val="left"/>
              <w:rPr>
                <w:rFonts w:ascii="Arial" w:hAnsi="Arial" w:cs="Arial" w:eastAsia="Arial" w:hint="default"/>
                <w:sz w:val="20"/>
                <w:szCs w:val="20"/>
              </w:rPr>
            </w:pPr>
            <w:r>
              <w:rPr>
                <w:rFonts w:ascii="Arial"/>
                <w:sz w:val="20"/>
              </w:rPr>
              <w:t>2,446,772,946</w:t>
            </w:r>
          </w:p>
        </w:tc>
      </w:tr>
      <w:tr>
        <w:trPr>
          <w:trHeight w:val="264" w:hRule="exact"/>
        </w:trPr>
        <w:tc>
          <w:tcPr>
            <w:tcW w:w="5301" w:type="dxa"/>
            <w:tcBorders>
              <w:top w:val="nil" w:sz="6" w:space="0" w:color="auto"/>
              <w:left w:val="nil" w:sz="6" w:space="0" w:color="auto"/>
              <w:bottom w:val="nil" w:sz="6" w:space="0" w:color="auto"/>
              <w:right w:val="nil" w:sz="6" w:space="0" w:color="auto"/>
            </w:tcBorders>
          </w:tcPr>
          <w:p>
            <w:pPr>
              <w:pStyle w:val="TableParagraph"/>
              <w:spacing w:line="225" w:lineRule="exact"/>
              <w:ind w:left="35" w:right="0"/>
              <w:jc w:val="left"/>
              <w:rPr>
                <w:rFonts w:ascii="黑体" w:hAnsi="黑体" w:cs="黑体" w:eastAsia="黑体" w:hint="default"/>
                <w:sz w:val="20"/>
                <w:szCs w:val="20"/>
              </w:rPr>
            </w:pPr>
            <w:r>
              <w:rPr>
                <w:rFonts w:ascii="黑体" w:hAnsi="黑体" w:cs="黑体" w:eastAsia="黑体" w:hint="default"/>
                <w:sz w:val="20"/>
                <w:szCs w:val="20"/>
              </w:rPr>
              <w:t>二、本年增减变动金额</w:t>
            </w:r>
          </w:p>
        </w:tc>
        <w:tc>
          <w:tcPr>
            <w:tcW w:w="1697" w:type="dxa"/>
            <w:tcBorders>
              <w:top w:val="nil" w:sz="6" w:space="0" w:color="auto"/>
              <w:left w:val="nil" w:sz="6" w:space="0" w:color="auto"/>
              <w:bottom w:val="nil" w:sz="6" w:space="0" w:color="auto"/>
              <w:right w:val="nil" w:sz="6" w:space="0" w:color="auto"/>
            </w:tcBorders>
          </w:tcPr>
          <w:p>
            <w:pPr/>
          </w:p>
        </w:tc>
        <w:tc>
          <w:tcPr>
            <w:tcW w:w="2116" w:type="dxa"/>
            <w:tcBorders>
              <w:top w:val="nil" w:sz="6" w:space="0" w:color="auto"/>
              <w:left w:val="nil" w:sz="6" w:space="0" w:color="auto"/>
              <w:bottom w:val="nil" w:sz="6" w:space="0" w:color="auto"/>
              <w:right w:val="nil" w:sz="6" w:space="0" w:color="auto"/>
            </w:tcBorders>
          </w:tcPr>
          <w:p>
            <w:pPr/>
          </w:p>
        </w:tc>
        <w:tc>
          <w:tcPr>
            <w:tcW w:w="1839" w:type="dxa"/>
            <w:tcBorders>
              <w:top w:val="nil" w:sz="6" w:space="0" w:color="auto"/>
              <w:left w:val="nil" w:sz="6" w:space="0" w:color="auto"/>
              <w:bottom w:val="nil" w:sz="6" w:space="0" w:color="auto"/>
              <w:right w:val="nil" w:sz="6" w:space="0" w:color="auto"/>
            </w:tcBorders>
          </w:tcPr>
          <w:p>
            <w:pPr/>
          </w:p>
        </w:tc>
        <w:tc>
          <w:tcPr>
            <w:tcW w:w="1833"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nil" w:sz="6" w:space="0" w:color="auto"/>
              <w:right w:val="nil" w:sz="6" w:space="0" w:color="auto"/>
            </w:tcBorders>
          </w:tcPr>
          <w:p>
            <w:pPr/>
          </w:p>
        </w:tc>
      </w:tr>
      <w:tr>
        <w:trPr>
          <w:trHeight w:val="284" w:hRule="exact"/>
        </w:trPr>
        <w:tc>
          <w:tcPr>
            <w:tcW w:w="5301" w:type="dxa"/>
            <w:tcBorders>
              <w:top w:val="nil" w:sz="6" w:space="0" w:color="auto"/>
              <w:left w:val="nil" w:sz="6" w:space="0" w:color="auto"/>
              <w:bottom w:val="nil" w:sz="6" w:space="0" w:color="auto"/>
              <w:right w:val="nil" w:sz="6" w:space="0" w:color="auto"/>
            </w:tcBorders>
          </w:tcPr>
          <w:p>
            <w:pPr>
              <w:pStyle w:val="TableParagraph"/>
              <w:spacing w:line="254" w:lineRule="exact"/>
              <w:ind w:left="35" w:right="0"/>
              <w:jc w:val="left"/>
              <w:rPr>
                <w:rFonts w:ascii="黑体" w:hAnsi="黑体" w:cs="黑体" w:eastAsia="黑体" w:hint="default"/>
                <w:sz w:val="20"/>
                <w:szCs w:val="20"/>
              </w:rPr>
            </w:pPr>
            <w:r>
              <w:rPr>
                <w:rFonts w:ascii="Arial" w:hAnsi="Arial" w:cs="Arial" w:eastAsia="Arial" w:hint="default"/>
                <w:sz w:val="20"/>
                <w:szCs w:val="20"/>
              </w:rPr>
              <w:t>(</w:t>
            </w:r>
            <w:r>
              <w:rPr>
                <w:rFonts w:ascii="黑体" w:hAnsi="黑体" w:cs="黑体" w:eastAsia="黑体" w:hint="default"/>
                <w:sz w:val="20"/>
                <w:szCs w:val="20"/>
              </w:rPr>
              <w:t>一</w:t>
            </w:r>
            <w:r>
              <w:rPr>
                <w:rFonts w:ascii="Arial" w:hAnsi="Arial" w:cs="Arial" w:eastAsia="Arial" w:hint="default"/>
                <w:sz w:val="20"/>
                <w:szCs w:val="20"/>
              </w:rPr>
              <w:t>)</w:t>
            </w:r>
            <w:r>
              <w:rPr>
                <w:rFonts w:ascii="Arial" w:hAnsi="Arial" w:cs="Arial" w:eastAsia="Arial" w:hint="default"/>
                <w:spacing w:val="43"/>
                <w:sz w:val="20"/>
                <w:szCs w:val="20"/>
              </w:rPr>
              <w:t> </w:t>
            </w:r>
            <w:r>
              <w:rPr>
                <w:rFonts w:ascii="黑体" w:hAnsi="黑体" w:cs="黑体" w:eastAsia="黑体" w:hint="default"/>
                <w:sz w:val="20"/>
                <w:szCs w:val="20"/>
              </w:rPr>
              <w:t>净利润</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05"/>
              <w:jc w:val="right"/>
              <w:rPr>
                <w:rFonts w:ascii="Arial" w:hAnsi="Arial" w:cs="Arial" w:eastAsia="Arial" w:hint="default"/>
                <w:sz w:val="20"/>
                <w:szCs w:val="20"/>
              </w:rPr>
            </w:pPr>
            <w:r>
              <w:rPr>
                <w:rFonts w:ascii="Arial"/>
                <w:w w:val="100"/>
                <w:sz w:val="20"/>
              </w:rPr>
              <w:t>-</w:t>
            </w:r>
          </w:p>
        </w:tc>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49"/>
              <w:jc w:val="right"/>
              <w:rPr>
                <w:rFonts w:ascii="Arial" w:hAnsi="Arial" w:cs="Arial" w:eastAsia="Arial" w:hint="default"/>
                <w:sz w:val="20"/>
                <w:szCs w:val="20"/>
              </w:rPr>
            </w:pPr>
            <w:r>
              <w:rPr>
                <w:rFonts w:ascii="Arial"/>
                <w:w w:val="100"/>
                <w:sz w:val="20"/>
              </w:rPr>
              <w:t>-</w:t>
            </w:r>
          </w:p>
        </w:tc>
        <w:tc>
          <w:tcPr>
            <w:tcW w:w="18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1"/>
              <w:jc w:val="right"/>
              <w:rPr>
                <w:rFonts w:ascii="Arial" w:hAnsi="Arial" w:cs="Arial" w:eastAsia="Arial" w:hint="default"/>
                <w:sz w:val="20"/>
                <w:szCs w:val="20"/>
              </w:rPr>
            </w:pPr>
            <w:r>
              <w:rPr>
                <w:rFonts w:ascii="Arial"/>
                <w:w w:val="100"/>
                <w:sz w:val="20"/>
              </w:rPr>
              <w:t>-</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6"/>
              <w:jc w:val="right"/>
              <w:rPr>
                <w:rFonts w:ascii="Arial" w:hAnsi="Arial" w:cs="Arial" w:eastAsia="Arial" w:hint="default"/>
                <w:sz w:val="20"/>
                <w:szCs w:val="20"/>
              </w:rPr>
            </w:pPr>
            <w:r>
              <w:rPr>
                <w:rFonts w:ascii="Arial"/>
                <w:spacing w:val="-1"/>
                <w:sz w:val="20"/>
              </w:rPr>
              <w:t>399,548,568</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9"/>
              <w:jc w:val="right"/>
              <w:rPr>
                <w:rFonts w:ascii="Arial" w:hAnsi="Arial" w:cs="Arial" w:eastAsia="Arial" w:hint="default"/>
                <w:sz w:val="20"/>
                <w:szCs w:val="20"/>
              </w:rPr>
            </w:pPr>
            <w:r>
              <w:rPr>
                <w:rFonts w:ascii="Arial"/>
                <w:spacing w:val="-1"/>
                <w:sz w:val="20"/>
              </w:rPr>
              <w:t>399,548,568</w:t>
            </w:r>
          </w:p>
        </w:tc>
      </w:tr>
      <w:tr>
        <w:trPr>
          <w:trHeight w:val="280" w:hRule="exact"/>
        </w:trPr>
        <w:tc>
          <w:tcPr>
            <w:tcW w:w="5301" w:type="dxa"/>
            <w:tcBorders>
              <w:top w:val="nil" w:sz="6" w:space="0" w:color="auto"/>
              <w:left w:val="nil" w:sz="6" w:space="0" w:color="auto"/>
              <w:bottom w:val="nil" w:sz="6" w:space="0" w:color="auto"/>
              <w:right w:val="nil" w:sz="6" w:space="0" w:color="auto"/>
            </w:tcBorders>
          </w:tcPr>
          <w:p>
            <w:pPr>
              <w:pStyle w:val="TableParagraph"/>
              <w:spacing w:line="250" w:lineRule="exact"/>
              <w:ind w:left="35" w:right="0"/>
              <w:jc w:val="left"/>
              <w:rPr>
                <w:rFonts w:ascii="黑体" w:hAnsi="黑体" w:cs="黑体" w:eastAsia="黑体" w:hint="default"/>
                <w:sz w:val="20"/>
                <w:szCs w:val="20"/>
              </w:rPr>
            </w:pPr>
            <w:r>
              <w:rPr>
                <w:rFonts w:ascii="Arial" w:hAnsi="Arial" w:cs="Arial" w:eastAsia="Arial" w:hint="default"/>
                <w:sz w:val="20"/>
                <w:szCs w:val="20"/>
              </w:rPr>
              <w:t>(</w:t>
            </w:r>
            <w:r>
              <w:rPr>
                <w:rFonts w:ascii="黑体" w:hAnsi="黑体" w:cs="黑体" w:eastAsia="黑体" w:hint="default"/>
                <w:sz w:val="20"/>
                <w:szCs w:val="20"/>
              </w:rPr>
              <w:t>二</w:t>
            </w:r>
            <w:r>
              <w:rPr>
                <w:rFonts w:ascii="Arial" w:hAnsi="Arial" w:cs="Arial" w:eastAsia="Arial" w:hint="default"/>
                <w:sz w:val="20"/>
                <w:szCs w:val="20"/>
              </w:rPr>
              <w:t>)</w:t>
            </w:r>
            <w:r>
              <w:rPr>
                <w:rFonts w:ascii="Arial" w:hAnsi="Arial" w:cs="Arial" w:eastAsia="Arial" w:hint="default"/>
                <w:spacing w:val="42"/>
                <w:sz w:val="20"/>
                <w:szCs w:val="20"/>
              </w:rPr>
              <w:t> </w:t>
            </w:r>
            <w:r>
              <w:rPr>
                <w:rFonts w:ascii="黑体" w:hAnsi="黑体" w:cs="黑体" w:eastAsia="黑体" w:hint="default"/>
                <w:sz w:val="20"/>
                <w:szCs w:val="20"/>
              </w:rPr>
              <w:t>其他综合收益</w:t>
            </w:r>
          </w:p>
        </w:tc>
        <w:tc>
          <w:tcPr>
            <w:tcW w:w="1697" w:type="dxa"/>
            <w:tcBorders>
              <w:top w:val="nil" w:sz="6" w:space="0" w:color="auto"/>
              <w:left w:val="nil" w:sz="6" w:space="0" w:color="auto"/>
              <w:bottom w:val="nil" w:sz="6" w:space="0" w:color="auto"/>
              <w:right w:val="nil" w:sz="6" w:space="0" w:color="auto"/>
            </w:tcBorders>
          </w:tcPr>
          <w:p>
            <w:pPr>
              <w:pStyle w:val="TableParagraph"/>
              <w:tabs>
                <w:tab w:pos="1018" w:val="left" w:leader="none"/>
              </w:tabs>
              <w:spacing w:line="240" w:lineRule="auto" w:before="19"/>
              <w:ind w:right="30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42"/>
              <w:jc w:val="right"/>
              <w:rPr>
                <w:rFonts w:ascii="Arial" w:hAnsi="Arial" w:cs="Arial" w:eastAsia="Arial" w:hint="default"/>
                <w:sz w:val="20"/>
                <w:szCs w:val="20"/>
              </w:rPr>
            </w:pPr>
            <w:r>
              <w:rPr>
                <w:rFonts w:ascii="Arial"/>
                <w:sz w:val="20"/>
              </w:rPr>
              <w:t>(   </w:t>
            </w:r>
            <w:r>
              <w:rPr>
                <w:rFonts w:ascii="Arial"/>
                <w:sz w:val="20"/>
                <w:u w:val="single" w:color="000000"/>
              </w:rPr>
              <w:t> 576,525,333</w:t>
            </w:r>
            <w:r>
              <w:rPr>
                <w:rFonts w:ascii="Arial"/>
                <w:spacing w:val="-12"/>
                <w:sz w:val="20"/>
                <w:u w:val="single" w:color="000000"/>
              </w:rPr>
              <w:t> </w:t>
            </w:r>
            <w:r>
              <w:rPr>
                <w:rFonts w:ascii="Arial"/>
                <w:spacing w:val="-12"/>
                <w:sz w:val="20"/>
              </w:rPr>
            </w:r>
            <w:r>
              <w:rPr>
                <w:rFonts w:ascii="Arial"/>
                <w:sz w:val="20"/>
              </w:rPr>
              <w:t>)</w:t>
            </w:r>
          </w:p>
        </w:tc>
        <w:tc>
          <w:tcPr>
            <w:tcW w:w="1839"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19"/>
              <w:ind w:right="38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833" w:type="dxa"/>
            <w:tcBorders>
              <w:top w:val="nil" w:sz="6" w:space="0" w:color="auto"/>
              <w:left w:val="nil" w:sz="6" w:space="0" w:color="auto"/>
              <w:bottom w:val="nil" w:sz="6" w:space="0" w:color="auto"/>
              <w:right w:val="nil" w:sz="6" w:space="0" w:color="auto"/>
            </w:tcBorders>
          </w:tcPr>
          <w:p>
            <w:pPr>
              <w:pStyle w:val="TableParagraph"/>
              <w:tabs>
                <w:tab w:pos="1018" w:val="left" w:leader="none"/>
              </w:tabs>
              <w:spacing w:line="240" w:lineRule="auto" w:before="19"/>
              <w:ind w:right="33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0"/>
              <w:jc w:val="right"/>
              <w:rPr>
                <w:rFonts w:ascii="Arial" w:hAnsi="Arial" w:cs="Arial" w:eastAsia="Arial" w:hint="default"/>
                <w:sz w:val="20"/>
                <w:szCs w:val="20"/>
              </w:rPr>
            </w:pPr>
            <w:r>
              <w:rPr>
                <w:rFonts w:ascii="Arial"/>
                <w:sz w:val="20"/>
              </w:rPr>
              <w:t>(   </w:t>
            </w:r>
            <w:r>
              <w:rPr>
                <w:rFonts w:ascii="Arial"/>
                <w:sz w:val="20"/>
                <w:u w:val="single" w:color="000000"/>
              </w:rPr>
              <w:t> 576,525,333</w:t>
            </w:r>
            <w:r>
              <w:rPr>
                <w:rFonts w:ascii="Arial"/>
                <w:spacing w:val="-26"/>
                <w:sz w:val="20"/>
                <w:u w:val="single" w:color="000000"/>
              </w:rPr>
              <w:t> </w:t>
            </w:r>
            <w:r>
              <w:rPr>
                <w:rFonts w:ascii="Arial"/>
                <w:spacing w:val="-26"/>
                <w:sz w:val="20"/>
              </w:rPr>
            </w:r>
            <w:r>
              <w:rPr>
                <w:rFonts w:ascii="Arial"/>
                <w:sz w:val="20"/>
              </w:rPr>
              <w:t>)</w:t>
            </w:r>
          </w:p>
        </w:tc>
      </w:tr>
      <w:tr>
        <w:trPr>
          <w:trHeight w:val="344" w:hRule="exact"/>
        </w:trPr>
        <w:tc>
          <w:tcPr>
            <w:tcW w:w="5301" w:type="dxa"/>
            <w:tcBorders>
              <w:top w:val="nil" w:sz="6" w:space="0" w:color="auto"/>
              <w:left w:val="nil" w:sz="6" w:space="0" w:color="auto"/>
              <w:bottom w:val="nil" w:sz="6" w:space="0" w:color="auto"/>
              <w:right w:val="nil" w:sz="6" w:space="0" w:color="auto"/>
            </w:tcBorders>
          </w:tcPr>
          <w:p>
            <w:pPr>
              <w:pStyle w:val="TableParagraph"/>
              <w:spacing w:line="236" w:lineRule="exact"/>
              <w:ind w:left="461" w:right="0"/>
              <w:jc w:val="left"/>
              <w:rPr>
                <w:rFonts w:ascii="黑体" w:hAnsi="黑体" w:cs="黑体" w:eastAsia="黑体" w:hint="default"/>
                <w:sz w:val="20"/>
                <w:szCs w:val="20"/>
              </w:rPr>
            </w:pPr>
            <w:r>
              <w:rPr>
                <w:rFonts w:ascii="黑体" w:hAnsi="黑体" w:cs="黑体" w:eastAsia="黑体" w:hint="default"/>
                <w:sz w:val="20"/>
                <w:szCs w:val="20"/>
              </w:rPr>
              <w:t>综合收益总额</w:t>
            </w:r>
          </w:p>
        </w:tc>
        <w:tc>
          <w:tcPr>
            <w:tcW w:w="1697" w:type="dxa"/>
            <w:tcBorders>
              <w:top w:val="nil" w:sz="6" w:space="0" w:color="auto"/>
              <w:left w:val="nil" w:sz="6" w:space="0" w:color="auto"/>
              <w:bottom w:val="nil" w:sz="6" w:space="0" w:color="auto"/>
              <w:right w:val="nil" w:sz="6" w:space="0" w:color="auto"/>
            </w:tcBorders>
          </w:tcPr>
          <w:p>
            <w:pPr>
              <w:pStyle w:val="TableParagraph"/>
              <w:tabs>
                <w:tab w:pos="1018" w:val="left" w:leader="none"/>
              </w:tabs>
              <w:spacing w:line="240" w:lineRule="auto" w:before="18"/>
              <w:ind w:right="30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42"/>
              <w:jc w:val="right"/>
              <w:rPr>
                <w:rFonts w:ascii="Arial" w:hAnsi="Arial" w:cs="Arial" w:eastAsia="Arial" w:hint="default"/>
                <w:sz w:val="20"/>
                <w:szCs w:val="20"/>
              </w:rPr>
            </w:pPr>
            <w:r>
              <w:rPr>
                <w:rFonts w:ascii="Arial"/>
                <w:sz w:val="20"/>
              </w:rPr>
              <w:t>(   </w:t>
            </w:r>
            <w:r>
              <w:rPr>
                <w:rFonts w:ascii="Arial"/>
                <w:sz w:val="20"/>
                <w:u w:val="single" w:color="000000"/>
              </w:rPr>
              <w:t> 576,525,333</w:t>
            </w:r>
            <w:r>
              <w:rPr>
                <w:rFonts w:ascii="Arial"/>
                <w:spacing w:val="-12"/>
                <w:sz w:val="20"/>
                <w:u w:val="single" w:color="000000"/>
              </w:rPr>
              <w:t> </w:t>
            </w:r>
            <w:r>
              <w:rPr>
                <w:rFonts w:ascii="Arial"/>
                <w:spacing w:val="-12"/>
                <w:sz w:val="20"/>
              </w:rPr>
            </w:r>
            <w:r>
              <w:rPr>
                <w:rFonts w:ascii="Arial"/>
                <w:sz w:val="20"/>
              </w:rPr>
              <w:t>)</w:t>
            </w:r>
          </w:p>
        </w:tc>
        <w:tc>
          <w:tcPr>
            <w:tcW w:w="1839"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18"/>
              <w:ind w:right="38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34"/>
              <w:jc w:val="right"/>
              <w:rPr>
                <w:rFonts w:ascii="Arial" w:hAnsi="Arial" w:cs="Arial" w:eastAsia="Arial" w:hint="default"/>
                <w:sz w:val="20"/>
                <w:szCs w:val="20"/>
              </w:rPr>
            </w:pPr>
            <w:r>
              <w:rPr>
                <w:rFonts w:ascii="Arial"/>
                <w:w w:val="100"/>
                <w:sz w:val="20"/>
              </w:rPr>
            </w:r>
            <w:r>
              <w:rPr>
                <w:rFonts w:ascii="Arial"/>
                <w:spacing w:val="-1"/>
                <w:sz w:val="20"/>
                <w:u w:val="single" w:color="000000"/>
              </w:rPr>
              <w:t>399,548,568</w:t>
            </w:r>
            <w:r>
              <w:rPr>
                <w:rFonts w:ascii="Arial"/>
                <w:spacing w:val="-1"/>
                <w:sz w:val="20"/>
              </w:rPr>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0"/>
              <w:jc w:val="right"/>
              <w:rPr>
                <w:rFonts w:ascii="Arial" w:hAnsi="Arial" w:cs="Arial" w:eastAsia="Arial" w:hint="default"/>
                <w:sz w:val="20"/>
                <w:szCs w:val="20"/>
              </w:rPr>
            </w:pPr>
            <w:r>
              <w:rPr>
                <w:rFonts w:ascii="Arial"/>
                <w:sz w:val="20"/>
              </w:rPr>
              <w:t>(   </w:t>
            </w:r>
            <w:r>
              <w:rPr>
                <w:rFonts w:ascii="Arial"/>
                <w:sz w:val="20"/>
                <w:u w:val="single" w:color="000000"/>
              </w:rPr>
              <w:t> 176,976,765</w:t>
            </w:r>
            <w:r>
              <w:rPr>
                <w:rFonts w:ascii="Arial"/>
                <w:spacing w:val="-39"/>
                <w:sz w:val="20"/>
                <w:u w:val="single" w:color="000000"/>
              </w:rPr>
              <w:t> </w:t>
            </w:r>
            <w:r>
              <w:rPr>
                <w:rFonts w:ascii="Arial"/>
                <w:spacing w:val="-39"/>
                <w:sz w:val="20"/>
              </w:rPr>
            </w:r>
            <w:r>
              <w:rPr>
                <w:rFonts w:ascii="Arial"/>
                <w:sz w:val="20"/>
              </w:rPr>
              <w:t>)</w:t>
            </w:r>
          </w:p>
        </w:tc>
      </w:tr>
    </w:tbl>
    <w:p>
      <w:pPr>
        <w:spacing w:line="240" w:lineRule="auto" w:before="7"/>
        <w:rPr>
          <w:rFonts w:ascii="黑体" w:hAnsi="黑体" w:cs="黑体" w:eastAsia="黑体" w:hint="default"/>
          <w:b/>
          <w:bCs/>
          <w:sz w:val="11"/>
          <w:szCs w:val="11"/>
        </w:rPr>
      </w:pPr>
    </w:p>
    <w:p>
      <w:pPr>
        <w:pStyle w:val="BodyText"/>
        <w:spacing w:line="240" w:lineRule="auto" w:before="38"/>
        <w:ind w:left="140" w:right="0"/>
        <w:jc w:val="left"/>
      </w:pPr>
      <w:r>
        <w:rPr>
          <w:rFonts w:ascii="Arial" w:hAnsi="Arial" w:cs="Arial" w:eastAsia="Arial" w:hint="default"/>
        </w:rPr>
        <w:t>(</w:t>
      </w:r>
      <w:r>
        <w:rPr/>
        <w:t>三</w:t>
      </w:r>
      <w:r>
        <w:rPr>
          <w:rFonts w:ascii="Arial" w:hAnsi="Arial" w:cs="Arial" w:eastAsia="Arial" w:hint="default"/>
        </w:rPr>
        <w:t>)</w:t>
      </w:r>
      <w:r>
        <w:rPr>
          <w:rFonts w:ascii="Arial" w:hAnsi="Arial" w:cs="Arial" w:eastAsia="Arial" w:hint="default"/>
          <w:spacing w:val="41"/>
        </w:rPr>
        <w:t> </w:t>
      </w:r>
      <w:r>
        <w:rPr/>
        <w:t>股东投入和减少资本</w:t>
      </w:r>
    </w:p>
    <w:p>
      <w:pPr>
        <w:pStyle w:val="BodyText"/>
        <w:tabs>
          <w:tab w:pos="5905" w:val="left" w:leader="none"/>
          <w:tab w:pos="7765" w:val="left" w:leader="none"/>
          <w:tab w:pos="10604" w:val="left" w:leader="none"/>
          <w:tab w:pos="12484" w:val="left" w:leader="none"/>
          <w:tab w:pos="13583" w:val="left" w:leader="none"/>
        </w:tabs>
        <w:spacing w:line="240" w:lineRule="auto" w:before="3"/>
        <w:ind w:left="328" w:right="0"/>
        <w:jc w:val="left"/>
        <w:rPr>
          <w:rFonts w:ascii="Arial" w:hAnsi="Arial" w:cs="Arial" w:eastAsia="Arial" w:hint="default"/>
        </w:rPr>
      </w:pPr>
      <w:r>
        <w:rPr>
          <w:rFonts w:ascii="Arial" w:hAnsi="Arial" w:cs="Arial" w:eastAsia="Arial" w:hint="default"/>
        </w:rPr>
        <w:t>1.</w:t>
      </w:r>
      <w:r>
        <w:rPr>
          <w:rFonts w:ascii="Arial" w:hAnsi="Arial" w:cs="Arial" w:eastAsia="Arial" w:hint="default"/>
          <w:spacing w:val="35"/>
        </w:rPr>
        <w:t> </w:t>
      </w:r>
      <w:r>
        <w:rPr>
          <w:spacing w:val="-1"/>
        </w:rPr>
        <w:t>股东投入资本</w:t>
      </w:r>
      <w:r>
        <w:rPr>
          <w:rFonts w:ascii="Arial" w:hAnsi="Arial" w:cs="Arial" w:eastAsia="Arial" w:hint="default"/>
          <w:spacing w:val="-1"/>
        </w:rPr>
        <w:t>(</w:t>
      </w:r>
      <w:r>
        <w:rPr>
          <w:spacing w:val="-1"/>
        </w:rPr>
        <w:t>附注五、</w:t>
      </w:r>
      <w:r>
        <w:rPr>
          <w:rFonts w:ascii="Arial" w:hAnsi="Arial" w:cs="Arial" w:eastAsia="Arial" w:hint="default"/>
          <w:spacing w:val="-1"/>
        </w:rPr>
        <w:t>28)</w:t>
        <w:tab/>
        <w:t>4,006,375</w:t>
        <w:tab/>
        <w:t>51,686,706</w:t>
        <w:tab/>
      </w:r>
      <w:r>
        <w:rPr>
          <w:rFonts w:ascii="Arial" w:hAnsi="Arial" w:cs="Arial" w:eastAsia="Arial" w:hint="default"/>
        </w:rPr>
        <w:t>-</w:t>
        <w:tab/>
        <w:t>-</w:t>
        <w:tab/>
      </w:r>
      <w:r>
        <w:rPr>
          <w:rFonts w:ascii="Arial" w:hAnsi="Arial" w:cs="Arial" w:eastAsia="Arial" w:hint="default"/>
          <w:spacing w:val="-1"/>
        </w:rPr>
        <w:t>55,693,081</w:t>
      </w:r>
    </w:p>
    <w:p>
      <w:pPr>
        <w:pStyle w:val="BodyText"/>
        <w:spacing w:line="240" w:lineRule="auto" w:before="3"/>
        <w:ind w:left="328" w:right="0"/>
        <w:jc w:val="left"/>
        <w:rPr>
          <w:rFonts w:ascii="Arial" w:hAnsi="Arial" w:cs="Arial" w:eastAsia="Arial" w:hint="default"/>
        </w:rPr>
      </w:pPr>
      <w:r>
        <w:rPr/>
        <w:pict>
          <v:shape style="position:absolute;margin-left:328.178864pt;margin-top:3.648184pt;width:450.9pt;height:29.1pt;mso-position-horizontal-relative:page;mso-position-vertical-relative:paragraph;z-index:15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76"/>
                    <w:gridCol w:w="2008"/>
                    <w:gridCol w:w="1882"/>
                    <w:gridCol w:w="1850"/>
                    <w:gridCol w:w="1702"/>
                  </w:tblGrid>
                  <w:tr>
                    <w:trPr>
                      <w:trHeight w:val="241" w:hRule="exact"/>
                    </w:trPr>
                    <w:tc>
                      <w:tcPr>
                        <w:tcW w:w="1576" w:type="dxa"/>
                        <w:tcBorders>
                          <w:top w:val="nil" w:sz="6" w:space="0" w:color="auto"/>
                          <w:left w:val="nil" w:sz="6" w:space="0" w:color="auto"/>
                          <w:bottom w:val="nil" w:sz="6" w:space="0" w:color="auto"/>
                          <w:right w:val="nil" w:sz="6" w:space="0" w:color="auto"/>
                        </w:tcBorders>
                      </w:tcPr>
                      <w:p>
                        <w:pPr>
                          <w:pStyle w:val="TableParagraph"/>
                          <w:tabs>
                            <w:tab w:pos="581" w:val="left" w:leader="none"/>
                          </w:tabs>
                          <w:spacing w:line="205" w:lineRule="exact"/>
                          <w:ind w:left="35" w:right="0"/>
                          <w:jc w:val="left"/>
                          <w:rPr>
                            <w:rFonts w:ascii="Arial" w:hAnsi="Arial" w:cs="Arial" w:eastAsia="Arial" w:hint="default"/>
                            <w:sz w:val="20"/>
                            <w:szCs w:val="20"/>
                          </w:rPr>
                        </w:pPr>
                        <w:r>
                          <w:rPr>
                            <w:rFonts w:ascii="Arial"/>
                            <w:sz w:val="20"/>
                          </w:rPr>
                          <w:t>(</w:t>
                        </w:r>
                        <w:r>
                          <w:rPr>
                            <w:rFonts w:ascii="Arial"/>
                            <w:sz w:val="20"/>
                            <w:u w:val="single" w:color="000000"/>
                          </w:rPr>
                          <w:t> </w:t>
                          <w:tab/>
                          <w:t>63,200</w:t>
                        </w:r>
                        <w:r>
                          <w:rPr>
                            <w:rFonts w:ascii="Arial"/>
                            <w:spacing w:val="-29"/>
                            <w:sz w:val="20"/>
                            <w:u w:val="single" w:color="000000"/>
                          </w:rPr>
                          <w:t> </w:t>
                        </w:r>
                        <w:r>
                          <w:rPr>
                            <w:rFonts w:ascii="Arial"/>
                            <w:spacing w:val="-29"/>
                            <w:sz w:val="20"/>
                          </w:rPr>
                        </w:r>
                        <w:r>
                          <w:rPr>
                            <w:rFonts w:ascii="Arial"/>
                            <w:sz w:val="20"/>
                          </w:rPr>
                          <w:t>)</w:t>
                        </w:r>
                      </w:p>
                    </w:tc>
                    <w:tc>
                      <w:tcPr>
                        <w:tcW w:w="2008" w:type="dxa"/>
                        <w:tcBorders>
                          <w:top w:val="nil" w:sz="6" w:space="0" w:color="auto"/>
                          <w:left w:val="nil" w:sz="6" w:space="0" w:color="auto"/>
                          <w:bottom w:val="nil" w:sz="6" w:space="0" w:color="auto"/>
                          <w:right w:val="nil" w:sz="6" w:space="0" w:color="auto"/>
                        </w:tcBorders>
                      </w:tcPr>
                      <w:p>
                        <w:pPr>
                          <w:pStyle w:val="TableParagraph"/>
                          <w:tabs>
                            <w:tab w:pos="586" w:val="left" w:leader="none"/>
                          </w:tabs>
                          <w:spacing w:line="205" w:lineRule="exact"/>
                          <w:ind w:left="288"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37,569,299</w:t>
                        </w:r>
                        <w:r>
                          <w:rPr>
                            <w:rFonts w:ascii="Arial"/>
                            <w:sz w:val="20"/>
                          </w:rPr>
                        </w:r>
                      </w:p>
                    </w:tc>
                    <w:tc>
                      <w:tcPr>
                        <w:tcW w:w="1882" w:type="dxa"/>
                        <w:tcBorders>
                          <w:top w:val="nil" w:sz="6" w:space="0" w:color="auto"/>
                          <w:left w:val="nil" w:sz="6" w:space="0" w:color="auto"/>
                          <w:bottom w:val="nil" w:sz="6" w:space="0" w:color="auto"/>
                          <w:right w:val="nil" w:sz="6" w:space="0" w:color="auto"/>
                        </w:tcBorders>
                      </w:tcPr>
                      <w:p>
                        <w:pPr>
                          <w:pStyle w:val="TableParagraph"/>
                          <w:tabs>
                            <w:tab w:pos="1019" w:val="left" w:leader="none"/>
                          </w:tabs>
                          <w:spacing w:line="205" w:lineRule="exact"/>
                          <w:ind w:left="20" w:right="0"/>
                          <w:jc w:val="center"/>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850" w:type="dxa"/>
                        <w:tcBorders>
                          <w:top w:val="nil" w:sz="6" w:space="0" w:color="auto"/>
                          <w:left w:val="nil" w:sz="6" w:space="0" w:color="auto"/>
                          <w:bottom w:val="nil" w:sz="6" w:space="0" w:color="auto"/>
                          <w:right w:val="nil" w:sz="6" w:space="0" w:color="auto"/>
                        </w:tcBorders>
                      </w:tcPr>
                      <w:p>
                        <w:pPr>
                          <w:pStyle w:val="TableParagraph"/>
                          <w:tabs>
                            <w:tab w:pos="1018" w:val="left" w:leader="none"/>
                          </w:tabs>
                          <w:spacing w:line="205" w:lineRule="exact"/>
                          <w:ind w:right="36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702"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05" w:lineRule="exact"/>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37,506,099</w:t>
                        </w:r>
                        <w:r>
                          <w:rPr>
                            <w:rFonts w:ascii="Arial"/>
                            <w:spacing w:val="-1"/>
                            <w:sz w:val="20"/>
                          </w:rPr>
                        </w:r>
                      </w:p>
                    </w:tc>
                  </w:tr>
                  <w:tr>
                    <w:trPr>
                      <w:trHeight w:val="341" w:hRule="exact"/>
                    </w:trPr>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3"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3,943,175</w:t>
                        </w:r>
                        <w:r>
                          <w:rPr>
                            <w:rFonts w:ascii="Arial"/>
                            <w:sz w:val="20"/>
                          </w:rPr>
                        </w:r>
                      </w:p>
                    </w:tc>
                    <w:tc>
                      <w:tcPr>
                        <w:tcW w:w="2008" w:type="dxa"/>
                        <w:tcBorders>
                          <w:top w:val="nil" w:sz="6" w:space="0" w:color="auto"/>
                          <w:left w:val="nil" w:sz="6" w:space="0" w:color="auto"/>
                          <w:bottom w:val="nil" w:sz="6" w:space="0" w:color="auto"/>
                          <w:right w:val="nil" w:sz="6" w:space="0" w:color="auto"/>
                        </w:tcBorders>
                      </w:tcPr>
                      <w:p>
                        <w:pPr>
                          <w:pStyle w:val="TableParagraph"/>
                          <w:tabs>
                            <w:tab w:pos="586" w:val="left" w:leader="none"/>
                          </w:tabs>
                          <w:spacing w:line="240" w:lineRule="auto" w:before="15"/>
                          <w:ind w:left="288"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89,256,005</w:t>
                        </w:r>
                        <w:r>
                          <w:rPr>
                            <w:rFonts w:ascii="Arial"/>
                            <w:sz w:val="20"/>
                          </w:rPr>
                        </w:r>
                      </w:p>
                    </w:tc>
                    <w:tc>
                      <w:tcPr>
                        <w:tcW w:w="1882" w:type="dxa"/>
                        <w:tcBorders>
                          <w:top w:val="nil" w:sz="6" w:space="0" w:color="auto"/>
                          <w:left w:val="nil" w:sz="6" w:space="0" w:color="auto"/>
                          <w:bottom w:val="nil" w:sz="6" w:space="0" w:color="auto"/>
                          <w:right w:val="nil" w:sz="6" w:space="0" w:color="auto"/>
                        </w:tcBorders>
                      </w:tcPr>
                      <w:p>
                        <w:pPr>
                          <w:pStyle w:val="TableParagraph"/>
                          <w:tabs>
                            <w:tab w:pos="1019" w:val="left" w:leader="none"/>
                          </w:tabs>
                          <w:spacing w:line="240" w:lineRule="auto" w:before="15"/>
                          <w:ind w:left="20" w:right="0"/>
                          <w:jc w:val="center"/>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850" w:type="dxa"/>
                        <w:tcBorders>
                          <w:top w:val="nil" w:sz="6" w:space="0" w:color="auto"/>
                          <w:left w:val="nil" w:sz="6" w:space="0" w:color="auto"/>
                          <w:bottom w:val="nil" w:sz="6" w:space="0" w:color="auto"/>
                          <w:right w:val="nil" w:sz="6" w:space="0" w:color="auto"/>
                        </w:tcBorders>
                      </w:tcPr>
                      <w:p>
                        <w:pPr>
                          <w:pStyle w:val="TableParagraph"/>
                          <w:tabs>
                            <w:tab w:pos="1018" w:val="left" w:leader="none"/>
                          </w:tabs>
                          <w:spacing w:line="240" w:lineRule="auto" w:before="15"/>
                          <w:ind w:right="36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702"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1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93,199,180</w:t>
                        </w:r>
                        <w:r>
                          <w:rPr>
                            <w:rFonts w:ascii="Arial"/>
                            <w:spacing w:val="-1"/>
                            <w:sz w:val="20"/>
                          </w:rPr>
                        </w:r>
                      </w:p>
                    </w:tc>
                  </w:tr>
                </w:tbl>
                <w:p>
                  <w:pPr/>
                </w:p>
              </w:txbxContent>
            </v:textbox>
            <w10:wrap type="none"/>
          </v:shape>
        </w:pict>
      </w:r>
      <w:r>
        <w:rPr>
          <w:rFonts w:ascii="Arial" w:hAnsi="Arial" w:cs="Arial" w:eastAsia="Arial" w:hint="default"/>
        </w:rPr>
        <w:t>2.</w:t>
      </w:r>
      <w:r>
        <w:rPr>
          <w:rFonts w:ascii="Arial" w:hAnsi="Arial" w:cs="Arial" w:eastAsia="Arial" w:hint="default"/>
          <w:spacing w:val="21"/>
        </w:rPr>
        <w:t> </w:t>
      </w:r>
      <w:r>
        <w:rPr/>
        <w:t>股份支付计入股东</w:t>
      </w:r>
      <w:r>
        <w:rPr>
          <w:rFonts w:ascii="Arial" w:hAnsi="Arial" w:cs="Arial" w:eastAsia="Arial" w:hint="default"/>
        </w:rPr>
        <w:t>(</w:t>
      </w:r>
      <w:r>
        <w:rPr/>
        <w:t>附注七</w:t>
      </w:r>
      <w:r>
        <w:rPr>
          <w:rFonts w:ascii="Arial" w:hAnsi="Arial" w:cs="Arial" w:eastAsia="Arial" w:hint="default"/>
        </w:rPr>
        <w:t>)</w:t>
      </w:r>
    </w:p>
    <w:p>
      <w:pPr>
        <w:spacing w:line="240" w:lineRule="auto" w:before="4"/>
        <w:rPr>
          <w:rFonts w:ascii="Arial" w:hAnsi="Arial" w:cs="Arial" w:eastAsia="Arial" w:hint="default"/>
          <w:sz w:val="21"/>
          <w:szCs w:val="21"/>
        </w:rPr>
      </w:pPr>
    </w:p>
    <w:p>
      <w:pPr>
        <w:pStyle w:val="BodyText"/>
        <w:spacing w:line="240" w:lineRule="auto" w:before="38"/>
        <w:ind w:left="140" w:right="0"/>
        <w:jc w:val="left"/>
      </w:pPr>
      <w:r>
        <w:rPr>
          <w:rFonts w:ascii="Arial" w:hAnsi="Arial" w:cs="Arial" w:eastAsia="Arial" w:hint="default"/>
        </w:rPr>
        <w:t>(</w:t>
      </w:r>
      <w:r>
        <w:rPr/>
        <w:t>四</w:t>
      </w:r>
      <w:r>
        <w:rPr>
          <w:rFonts w:ascii="Arial" w:hAnsi="Arial" w:cs="Arial" w:eastAsia="Arial" w:hint="default"/>
        </w:rPr>
        <w:t>)</w:t>
      </w:r>
      <w:r>
        <w:rPr>
          <w:rFonts w:ascii="Arial" w:hAnsi="Arial" w:cs="Arial" w:eastAsia="Arial" w:hint="default"/>
          <w:spacing w:val="39"/>
        </w:rPr>
        <w:t> </w:t>
      </w:r>
      <w:r>
        <w:rPr/>
        <w:t>利润分配</w:t>
      </w:r>
    </w:p>
    <w:p>
      <w:pPr>
        <w:pStyle w:val="BodyText"/>
        <w:tabs>
          <w:tab w:pos="6728" w:val="left" w:leader="none"/>
          <w:tab w:pos="8700" w:val="left" w:leader="none"/>
          <w:tab w:pos="9669" w:val="left" w:leader="none"/>
          <w:tab w:pos="11363" w:val="left" w:leader="none"/>
          <w:tab w:pos="14518" w:val="left" w:leader="none"/>
        </w:tabs>
        <w:spacing w:line="240" w:lineRule="auto" w:before="3"/>
        <w:ind w:left="328" w:right="0"/>
        <w:jc w:val="left"/>
        <w:rPr>
          <w:rFonts w:ascii="Arial" w:hAnsi="Arial" w:cs="Arial" w:eastAsia="Arial" w:hint="default"/>
        </w:rPr>
      </w:pPr>
      <w:r>
        <w:rPr>
          <w:rFonts w:ascii="Arial" w:hAnsi="Arial" w:cs="Arial" w:eastAsia="Arial" w:hint="default"/>
        </w:rPr>
        <w:t>1.</w:t>
      </w:r>
      <w:r>
        <w:rPr>
          <w:rFonts w:ascii="Arial" w:hAnsi="Arial" w:cs="Arial" w:eastAsia="Arial" w:hint="default"/>
          <w:spacing w:val="35"/>
        </w:rPr>
        <w:t> </w:t>
      </w:r>
      <w:r>
        <w:rPr>
          <w:spacing w:val="-1"/>
        </w:rPr>
        <w:t>提取盈余公积</w:t>
      </w:r>
      <w:r>
        <w:rPr>
          <w:rFonts w:ascii="Arial" w:hAnsi="Arial" w:cs="Arial" w:eastAsia="Arial" w:hint="default"/>
          <w:spacing w:val="-1"/>
        </w:rPr>
        <w:t>(</w:t>
      </w:r>
      <w:r>
        <w:rPr>
          <w:spacing w:val="-1"/>
        </w:rPr>
        <w:t>附注五、</w:t>
      </w:r>
      <w:r>
        <w:rPr>
          <w:rFonts w:ascii="Arial" w:hAnsi="Arial" w:cs="Arial" w:eastAsia="Arial" w:hint="default"/>
          <w:spacing w:val="-1"/>
        </w:rPr>
        <w:t>30)</w:t>
        <w:tab/>
      </w:r>
      <w:r>
        <w:rPr>
          <w:rFonts w:ascii="Arial" w:hAnsi="Arial" w:cs="Arial" w:eastAsia="Arial" w:hint="default"/>
        </w:rPr>
        <w:t>-</w:t>
        <w:tab/>
        <w:t>-</w:t>
        <w:tab/>
      </w:r>
      <w:r>
        <w:rPr>
          <w:rFonts w:ascii="Arial" w:hAnsi="Arial" w:cs="Arial" w:eastAsia="Arial" w:hint="default"/>
          <w:spacing w:val="-1"/>
        </w:rPr>
        <w:t>59,932,285</w:t>
        <w:tab/>
      </w:r>
      <w:r>
        <w:rPr>
          <w:rFonts w:ascii="Arial" w:hAnsi="Arial" w:cs="Arial" w:eastAsia="Arial" w:hint="default"/>
        </w:rPr>
        <w:t>(  </w:t>
      </w:r>
      <w:r>
        <w:rPr>
          <w:rFonts w:ascii="Arial" w:hAnsi="Arial" w:cs="Arial" w:eastAsia="Arial" w:hint="default"/>
          <w:spacing w:val="-1"/>
        </w:rPr>
        <w:t>59,932,285</w:t>
      </w:r>
      <w:r>
        <w:rPr>
          <w:rFonts w:ascii="Arial" w:hAnsi="Arial" w:cs="Arial" w:eastAsia="Arial" w:hint="default"/>
          <w:spacing w:val="-4"/>
        </w:rPr>
        <w:t> </w:t>
      </w:r>
      <w:r>
        <w:rPr>
          <w:rFonts w:ascii="Arial" w:hAnsi="Arial" w:cs="Arial" w:eastAsia="Arial" w:hint="default"/>
        </w:rPr>
        <w:t>)</w:t>
        <w:tab/>
        <w:t>-</w:t>
      </w:r>
    </w:p>
    <w:p>
      <w:pPr>
        <w:pStyle w:val="BodyText"/>
        <w:spacing w:line="240" w:lineRule="auto" w:before="5"/>
        <w:ind w:left="328" w:right="0"/>
        <w:jc w:val="left"/>
        <w:rPr>
          <w:rFonts w:ascii="Arial" w:hAnsi="Arial" w:cs="Arial" w:eastAsia="Arial" w:hint="default"/>
        </w:rPr>
      </w:pPr>
      <w:r>
        <w:rPr/>
        <w:pict>
          <v:shape style="position:absolute;margin-left:331.721008pt;margin-top:3.750335pt;width:451.95pt;height:29pt;mso-position-horizontal-relative:page;mso-position-vertical-relative:paragraph;z-index:15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74"/>
                    <w:gridCol w:w="2022"/>
                    <w:gridCol w:w="1853"/>
                    <w:gridCol w:w="1916"/>
                    <w:gridCol w:w="1774"/>
                  </w:tblGrid>
                  <w:tr>
                    <w:trPr>
                      <w:trHeight w:val="240" w:hRule="exact"/>
                    </w:trPr>
                    <w:tc>
                      <w:tcPr>
                        <w:tcW w:w="1474" w:type="dxa"/>
                        <w:tcBorders>
                          <w:top w:val="nil" w:sz="6" w:space="0" w:color="auto"/>
                          <w:left w:val="nil" w:sz="6" w:space="0" w:color="auto"/>
                          <w:bottom w:val="nil" w:sz="6" w:space="0" w:color="auto"/>
                          <w:right w:val="nil" w:sz="6" w:space="0" w:color="auto"/>
                        </w:tcBorders>
                      </w:tcPr>
                      <w:p>
                        <w:pPr>
                          <w:pStyle w:val="TableParagraph"/>
                          <w:tabs>
                            <w:tab w:pos="1055" w:val="left" w:leader="none"/>
                          </w:tabs>
                          <w:spacing w:line="205" w:lineRule="exact"/>
                          <w:ind w:left="36"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2022" w:type="dxa"/>
                        <w:tcBorders>
                          <w:top w:val="nil" w:sz="6" w:space="0" w:color="auto"/>
                          <w:left w:val="nil" w:sz="6" w:space="0" w:color="auto"/>
                          <w:bottom w:val="nil" w:sz="6" w:space="0" w:color="auto"/>
                          <w:right w:val="nil" w:sz="6" w:space="0" w:color="auto"/>
                        </w:tcBorders>
                      </w:tcPr>
                      <w:p>
                        <w:pPr>
                          <w:pStyle w:val="TableParagraph"/>
                          <w:tabs>
                            <w:tab w:pos="1200" w:val="left" w:leader="none"/>
                          </w:tabs>
                          <w:spacing w:line="205" w:lineRule="exact"/>
                          <w:ind w:right="47"/>
                          <w:jc w:val="center"/>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853" w:type="dxa"/>
                        <w:tcBorders>
                          <w:top w:val="nil" w:sz="6" w:space="0" w:color="auto"/>
                          <w:left w:val="nil" w:sz="6" w:space="0" w:color="auto"/>
                          <w:bottom w:val="nil" w:sz="6" w:space="0" w:color="auto"/>
                          <w:right w:val="nil" w:sz="6" w:space="0" w:color="auto"/>
                        </w:tcBorders>
                      </w:tcPr>
                      <w:p>
                        <w:pPr>
                          <w:pStyle w:val="TableParagraph"/>
                          <w:tabs>
                            <w:tab w:pos="1084" w:val="left" w:leader="none"/>
                          </w:tabs>
                          <w:spacing w:line="205" w:lineRule="exact"/>
                          <w:ind w:left="74" w:right="0"/>
                          <w:jc w:val="center"/>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916" w:type="dxa"/>
                        <w:tcBorders>
                          <w:top w:val="nil" w:sz="6" w:space="0" w:color="auto"/>
                          <w:left w:val="nil" w:sz="6" w:space="0" w:color="auto"/>
                          <w:bottom w:val="nil" w:sz="6" w:space="0" w:color="auto"/>
                          <w:right w:val="nil" w:sz="6" w:space="0" w:color="auto"/>
                        </w:tcBorders>
                      </w:tcPr>
                      <w:p>
                        <w:pPr>
                          <w:pStyle w:val="TableParagraph"/>
                          <w:spacing w:line="205" w:lineRule="exact"/>
                          <w:ind w:left="62" w:right="0"/>
                          <w:jc w:val="center"/>
                          <w:rPr>
                            <w:rFonts w:ascii="Arial" w:hAnsi="Arial" w:cs="Arial" w:eastAsia="Arial" w:hint="default"/>
                            <w:sz w:val="20"/>
                            <w:szCs w:val="20"/>
                          </w:rPr>
                        </w:pPr>
                        <w:r>
                          <w:rPr>
                            <w:rFonts w:ascii="Arial"/>
                            <w:sz w:val="20"/>
                          </w:rPr>
                          <w:t>(</w:t>
                        </w:r>
                        <w:r>
                          <w:rPr>
                            <w:rFonts w:ascii="Arial"/>
                            <w:sz w:val="20"/>
                            <w:u w:val="single" w:color="000000"/>
                          </w:rPr>
                          <w:t>231,361,200</w:t>
                        </w:r>
                        <w:r>
                          <w:rPr>
                            <w:rFonts w:ascii="Arial"/>
                            <w:spacing w:val="-24"/>
                            <w:sz w:val="20"/>
                            <w:u w:val="single" w:color="000000"/>
                          </w:rPr>
                          <w:t> </w:t>
                        </w:r>
                        <w:r>
                          <w:rPr>
                            <w:rFonts w:ascii="Arial"/>
                            <w:spacing w:val="-24"/>
                            <w:sz w:val="20"/>
                          </w:rPr>
                        </w:r>
                        <w:r>
                          <w:rPr>
                            <w:rFonts w:ascii="Arial"/>
                            <w:sz w:val="20"/>
                          </w:rPr>
                          <w:t>)</w:t>
                        </w:r>
                      </w:p>
                    </w:tc>
                    <w:tc>
                      <w:tcPr>
                        <w:tcW w:w="1774" w:type="dxa"/>
                        <w:tcBorders>
                          <w:top w:val="nil" w:sz="6" w:space="0" w:color="auto"/>
                          <w:left w:val="nil" w:sz="6" w:space="0" w:color="auto"/>
                          <w:bottom w:val="nil" w:sz="6" w:space="0" w:color="auto"/>
                          <w:right w:val="nil" w:sz="6" w:space="0" w:color="auto"/>
                        </w:tcBorders>
                      </w:tcPr>
                      <w:p>
                        <w:pPr>
                          <w:pStyle w:val="TableParagraph"/>
                          <w:spacing w:line="205" w:lineRule="exact"/>
                          <w:ind w:right="36"/>
                          <w:jc w:val="right"/>
                          <w:rPr>
                            <w:rFonts w:ascii="Arial" w:hAnsi="Arial" w:cs="Arial" w:eastAsia="Arial" w:hint="default"/>
                            <w:sz w:val="20"/>
                            <w:szCs w:val="20"/>
                          </w:rPr>
                        </w:pPr>
                        <w:r>
                          <w:rPr>
                            <w:rFonts w:ascii="Arial"/>
                            <w:sz w:val="20"/>
                          </w:rPr>
                          <w:t>(   </w:t>
                        </w:r>
                        <w:r>
                          <w:rPr>
                            <w:rFonts w:ascii="Arial"/>
                            <w:sz w:val="20"/>
                            <w:u w:val="single" w:color="000000"/>
                          </w:rPr>
                          <w:t> 231,361,200</w:t>
                        </w:r>
                        <w:r>
                          <w:rPr>
                            <w:rFonts w:ascii="Arial"/>
                            <w:spacing w:val="-30"/>
                            <w:sz w:val="20"/>
                            <w:u w:val="single" w:color="000000"/>
                          </w:rPr>
                          <w:t> </w:t>
                        </w:r>
                        <w:r>
                          <w:rPr>
                            <w:rFonts w:ascii="Arial"/>
                            <w:spacing w:val="-30"/>
                            <w:sz w:val="20"/>
                          </w:rPr>
                        </w:r>
                        <w:r>
                          <w:rPr>
                            <w:rFonts w:ascii="Arial"/>
                            <w:sz w:val="20"/>
                          </w:rPr>
                          <w:t>)</w:t>
                        </w:r>
                      </w:p>
                    </w:tc>
                  </w:tr>
                  <w:tr>
                    <w:trPr>
                      <w:trHeight w:val="340" w:hRule="exact"/>
                    </w:trPr>
                    <w:tc>
                      <w:tcPr>
                        <w:tcW w:w="1474" w:type="dxa"/>
                        <w:tcBorders>
                          <w:top w:val="nil" w:sz="6" w:space="0" w:color="auto"/>
                          <w:left w:val="nil" w:sz="6" w:space="0" w:color="auto"/>
                          <w:bottom w:val="nil" w:sz="6" w:space="0" w:color="auto"/>
                          <w:right w:val="nil" w:sz="6" w:space="0" w:color="auto"/>
                        </w:tcBorders>
                      </w:tcPr>
                      <w:p>
                        <w:pPr>
                          <w:pStyle w:val="TableParagraph"/>
                          <w:tabs>
                            <w:tab w:pos="1053" w:val="left" w:leader="none"/>
                          </w:tabs>
                          <w:spacing w:line="240" w:lineRule="auto" w:before="14"/>
                          <w:ind w:left="35"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2022" w:type="dxa"/>
                        <w:tcBorders>
                          <w:top w:val="nil" w:sz="6" w:space="0" w:color="auto"/>
                          <w:left w:val="nil" w:sz="6" w:space="0" w:color="auto"/>
                          <w:bottom w:val="nil" w:sz="6" w:space="0" w:color="auto"/>
                          <w:right w:val="nil" w:sz="6" w:space="0" w:color="auto"/>
                        </w:tcBorders>
                      </w:tcPr>
                      <w:p>
                        <w:pPr>
                          <w:pStyle w:val="TableParagraph"/>
                          <w:tabs>
                            <w:tab w:pos="1200" w:val="left" w:leader="none"/>
                          </w:tabs>
                          <w:spacing w:line="240" w:lineRule="auto" w:before="14"/>
                          <w:ind w:right="47"/>
                          <w:jc w:val="center"/>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52" w:right="0"/>
                          <w:jc w:val="center"/>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59,932,285</w:t>
                        </w:r>
                        <w:r>
                          <w:rPr>
                            <w:rFonts w:ascii="Arial"/>
                            <w:sz w:val="20"/>
                          </w:rPr>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62" w:right="0"/>
                          <w:jc w:val="center"/>
                          <w:rPr>
                            <w:rFonts w:ascii="Arial" w:hAnsi="Arial" w:cs="Arial" w:eastAsia="Arial" w:hint="default"/>
                            <w:sz w:val="20"/>
                            <w:szCs w:val="20"/>
                          </w:rPr>
                        </w:pPr>
                        <w:r>
                          <w:rPr>
                            <w:rFonts w:ascii="Arial"/>
                            <w:sz w:val="20"/>
                          </w:rPr>
                          <w:t>(</w:t>
                        </w:r>
                        <w:r>
                          <w:rPr>
                            <w:rFonts w:ascii="Arial"/>
                            <w:sz w:val="20"/>
                            <w:u w:val="single" w:color="000000"/>
                          </w:rPr>
                          <w:t>291,293,485</w:t>
                        </w:r>
                        <w:r>
                          <w:rPr>
                            <w:rFonts w:ascii="Arial"/>
                            <w:spacing w:val="-24"/>
                            <w:sz w:val="20"/>
                            <w:u w:val="single" w:color="000000"/>
                          </w:rPr>
                          <w:t> </w:t>
                        </w:r>
                        <w:r>
                          <w:rPr>
                            <w:rFonts w:ascii="Arial"/>
                            <w:spacing w:val="-24"/>
                            <w:sz w:val="20"/>
                          </w:rPr>
                        </w:r>
                        <w:r>
                          <w:rPr>
                            <w:rFonts w:ascii="Arial"/>
                            <w:sz w:val="20"/>
                          </w:rPr>
                          <w:t>)</w:t>
                        </w:r>
                      </w:p>
                    </w:tc>
                    <w:tc>
                      <w:tcPr>
                        <w:tcW w:w="177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Arial" w:hAnsi="Arial" w:cs="Arial" w:eastAsia="Arial" w:hint="default"/>
                            <w:sz w:val="20"/>
                            <w:szCs w:val="20"/>
                          </w:rPr>
                        </w:pPr>
                        <w:r>
                          <w:rPr>
                            <w:rFonts w:ascii="Arial"/>
                            <w:sz w:val="20"/>
                          </w:rPr>
                          <w:t>(   </w:t>
                        </w:r>
                        <w:r>
                          <w:rPr>
                            <w:rFonts w:ascii="Arial"/>
                            <w:sz w:val="20"/>
                            <w:u w:val="single" w:color="000000"/>
                          </w:rPr>
                          <w:t> 231,361,200</w:t>
                        </w:r>
                        <w:r>
                          <w:rPr>
                            <w:rFonts w:ascii="Arial"/>
                            <w:spacing w:val="-26"/>
                            <w:sz w:val="20"/>
                            <w:u w:val="single" w:color="000000"/>
                          </w:rPr>
                          <w:t> </w:t>
                        </w:r>
                        <w:r>
                          <w:rPr>
                            <w:rFonts w:ascii="Arial"/>
                            <w:spacing w:val="-26"/>
                            <w:sz w:val="20"/>
                          </w:rPr>
                        </w:r>
                        <w:r>
                          <w:rPr>
                            <w:rFonts w:ascii="Arial"/>
                            <w:sz w:val="20"/>
                          </w:rPr>
                          <w:t>)</w:t>
                        </w:r>
                      </w:p>
                    </w:tc>
                  </w:tr>
                </w:tbl>
                <w:p>
                  <w:pPr/>
                </w:p>
              </w:txbxContent>
            </v:textbox>
            <w10:wrap type="none"/>
          </v:shape>
        </w:pict>
      </w:r>
      <w:r>
        <w:rPr>
          <w:rFonts w:ascii="Arial" w:hAnsi="Arial" w:cs="Arial" w:eastAsia="Arial" w:hint="default"/>
        </w:rPr>
        <w:t>2.</w:t>
      </w:r>
      <w:r>
        <w:rPr>
          <w:rFonts w:ascii="Arial" w:hAnsi="Arial" w:cs="Arial" w:eastAsia="Arial" w:hint="default"/>
          <w:spacing w:val="21"/>
        </w:rPr>
        <w:t> </w:t>
      </w:r>
      <w:r>
        <w:rPr/>
        <w:t>对股东的分配</w:t>
      </w:r>
      <w:r>
        <w:rPr>
          <w:rFonts w:ascii="Arial" w:hAnsi="Arial" w:cs="Arial" w:eastAsia="Arial" w:hint="default"/>
        </w:rPr>
        <w:t>(</w:t>
      </w:r>
      <w:r>
        <w:rPr/>
        <w:t>附注五、</w:t>
      </w:r>
      <w:r>
        <w:rPr>
          <w:rFonts w:ascii="Arial" w:hAnsi="Arial" w:cs="Arial" w:eastAsia="Arial" w:hint="default"/>
        </w:rPr>
        <w:t>31)</w:t>
      </w:r>
    </w:p>
    <w:p>
      <w:pPr>
        <w:spacing w:line="240" w:lineRule="auto" w:before="3"/>
        <w:rPr>
          <w:rFonts w:ascii="Arial" w:hAnsi="Arial" w:cs="Arial" w:eastAsia="Arial" w:hint="default"/>
          <w:sz w:val="21"/>
          <w:szCs w:val="21"/>
        </w:rPr>
      </w:pPr>
    </w:p>
    <w:p>
      <w:pPr>
        <w:pStyle w:val="BodyText"/>
        <w:spacing w:line="240" w:lineRule="auto" w:before="38"/>
        <w:ind w:left="140" w:right="0"/>
        <w:jc w:val="left"/>
      </w:pPr>
      <w:r>
        <w:rPr>
          <w:rFonts w:ascii="Arial" w:hAnsi="Arial" w:cs="Arial" w:eastAsia="Arial" w:hint="default"/>
        </w:rPr>
        <w:t>(</w:t>
      </w:r>
      <w:r>
        <w:rPr/>
        <w:t>五</w:t>
      </w:r>
      <w:r>
        <w:rPr>
          <w:rFonts w:ascii="Arial" w:hAnsi="Arial" w:cs="Arial" w:eastAsia="Arial" w:hint="default"/>
        </w:rPr>
        <w:t>)</w:t>
      </w:r>
      <w:r>
        <w:rPr>
          <w:rFonts w:ascii="Arial" w:hAnsi="Arial" w:cs="Arial" w:eastAsia="Arial" w:hint="default"/>
          <w:spacing w:val="41"/>
        </w:rPr>
        <w:t> </w:t>
      </w:r>
      <w:r>
        <w:rPr/>
        <w:t>股东权益内部结转</w:t>
      </w:r>
    </w:p>
    <w:p>
      <w:pPr>
        <w:pStyle w:val="BodyText"/>
        <w:tabs>
          <w:tab w:pos="5683" w:val="left" w:leader="none"/>
          <w:tab w:pos="7408" w:val="left" w:leader="none"/>
          <w:tab w:pos="9605" w:val="left" w:leader="none"/>
          <w:tab w:pos="10604" w:val="left" w:leader="none"/>
          <w:tab w:pos="11484" w:val="left" w:leader="none"/>
          <w:tab w:pos="12483" w:val="left" w:leader="none"/>
          <w:tab w:pos="13338" w:val="left" w:leader="none"/>
          <w:tab w:pos="14518" w:val="left" w:leader="none"/>
        </w:tabs>
        <w:spacing w:line="240" w:lineRule="auto" w:before="5"/>
        <w:ind w:left="328" w:right="0"/>
        <w:jc w:val="left"/>
        <w:rPr>
          <w:rFonts w:ascii="Arial" w:hAnsi="Arial" w:cs="Arial" w:eastAsia="Arial" w:hint="default"/>
        </w:rPr>
      </w:pPr>
      <w:r>
        <w:rPr>
          <w:rFonts w:ascii="Arial" w:hAnsi="Arial" w:cs="Arial" w:eastAsia="Arial" w:hint="default"/>
        </w:rPr>
        <w:t>1.</w:t>
      </w:r>
      <w:r>
        <w:rPr>
          <w:rFonts w:ascii="Arial" w:hAnsi="Arial" w:cs="Arial" w:eastAsia="Arial" w:hint="default"/>
          <w:spacing w:val="35"/>
        </w:rPr>
        <w:t> </w:t>
      </w:r>
      <w:r>
        <w:rPr>
          <w:spacing w:val="-1"/>
        </w:rPr>
        <w:t>资本公积转增股本</w:t>
      </w:r>
      <w:r>
        <w:rPr>
          <w:rFonts w:ascii="Arial" w:hAnsi="Arial" w:cs="Arial" w:eastAsia="Arial" w:hint="default"/>
          <w:spacing w:val="-1"/>
        </w:rPr>
        <w:t>(</w:t>
      </w:r>
      <w:r>
        <w:rPr>
          <w:spacing w:val="-1"/>
        </w:rPr>
        <w:t>附注五、</w:t>
      </w:r>
      <w:r>
        <w:rPr>
          <w:rFonts w:ascii="Arial" w:hAnsi="Arial" w:cs="Arial" w:eastAsia="Arial" w:hint="default"/>
          <w:spacing w:val="-1"/>
        </w:rPr>
        <w:t>28)</w:t>
        <w:tab/>
      </w:r>
      <w:r>
        <w:rPr>
          <w:rFonts w:ascii="Arial" w:hAnsi="Arial" w:cs="Arial" w:eastAsia="Arial" w:hint="default"/>
          <w:spacing w:val="-1"/>
          <w:u w:val="single" w:color="000000"/>
        </w:rPr>
        <w:t>231,361,200</w:t>
      </w:r>
      <w:r>
        <w:rPr>
          <w:rFonts w:ascii="Arial" w:hAnsi="Arial" w:cs="Arial" w:eastAsia="Arial" w:hint="default"/>
          <w:spacing w:val="-1"/>
        </w:rPr>
        <w:tab/>
      </w:r>
      <w:r>
        <w:rPr>
          <w:rFonts w:ascii="Arial" w:hAnsi="Arial" w:cs="Arial" w:eastAsia="Arial" w:hint="default"/>
        </w:rPr>
        <w:t>(   </w:t>
      </w:r>
      <w:r>
        <w:rPr>
          <w:rFonts w:ascii="Arial" w:hAnsi="Arial" w:cs="Arial" w:eastAsia="Arial" w:hint="default"/>
          <w:u w:val="single" w:color="000000"/>
        </w:rPr>
        <w:t> </w:t>
      </w:r>
      <w:r>
        <w:rPr>
          <w:rFonts w:ascii="Arial" w:hAnsi="Arial" w:cs="Arial" w:eastAsia="Arial" w:hint="default"/>
          <w:spacing w:val="-1"/>
          <w:u w:val="single" w:color="000000"/>
        </w:rPr>
        <w:t>231,361,200 </w:t>
      </w:r>
      <w:r>
        <w:rPr>
          <w:rFonts w:ascii="Arial" w:hAnsi="Arial" w:cs="Arial" w:eastAsia="Arial" w:hint="default"/>
          <w:spacing w:val="-1"/>
        </w:rPr>
      </w:r>
      <w:r>
        <w:rPr>
          <w:rFonts w:ascii="Arial" w:hAnsi="Arial" w:cs="Arial" w:eastAsia="Arial" w:hint="default"/>
        </w:rPr>
        <w:t>)</w:t>
        <w:tab/>
      </w:r>
      <w:r>
        <w:rPr>
          <w:rFonts w:ascii="Arial" w:hAnsi="Arial" w:cs="Arial" w:eastAsia="Arial" w:hint="default"/>
          <w:u w:val="single" w:color="000000"/>
        </w:rPr>
        <w:t> </w:t>
        <w:tab/>
        <w:t>-</w:t>
      </w:r>
      <w:r>
        <w:rPr>
          <w:rFonts w:ascii="Arial" w:hAnsi="Arial" w:cs="Arial" w:eastAsia="Arial" w:hint="default"/>
        </w:rPr>
        <w:tab/>
      </w:r>
      <w:r>
        <w:rPr>
          <w:rFonts w:ascii="Arial" w:hAnsi="Arial" w:cs="Arial" w:eastAsia="Arial" w:hint="default"/>
          <w:u w:val="single" w:color="000000"/>
        </w:rPr>
        <w:t> </w:t>
        <w:tab/>
        <w:t>-</w:t>
      </w:r>
      <w:r>
        <w:rPr>
          <w:rFonts w:ascii="Arial" w:hAnsi="Arial" w:cs="Arial" w:eastAsia="Arial" w:hint="default"/>
        </w:rPr>
        <w:tab/>
      </w:r>
      <w:r>
        <w:rPr>
          <w:rFonts w:ascii="Arial" w:hAnsi="Arial" w:cs="Arial" w:eastAsia="Arial" w:hint="default"/>
          <w:u w:val="single" w:color="000000"/>
        </w:rPr>
        <w:t> </w:t>
        <w:tab/>
        <w:t>-</w:t>
      </w:r>
      <w:r>
        <w:rPr>
          <w:rFonts w:ascii="Arial" w:hAnsi="Arial" w:cs="Arial" w:eastAsia="Arial" w:hint="default"/>
        </w:rPr>
      </w:r>
    </w:p>
    <w:p>
      <w:pPr>
        <w:spacing w:line="240" w:lineRule="auto" w:before="0"/>
        <w:rPr>
          <w:rFonts w:ascii="Arial" w:hAnsi="Arial" w:cs="Arial" w:eastAsia="Arial" w:hint="default"/>
          <w:sz w:val="23"/>
          <w:szCs w:val="23"/>
        </w:rPr>
      </w:pPr>
    </w:p>
    <w:p>
      <w:pPr>
        <w:pStyle w:val="BodyText"/>
        <w:tabs>
          <w:tab w:pos="5684" w:val="left" w:leader="none"/>
          <w:tab w:pos="7455" w:val="left" w:leader="none"/>
          <w:tab w:pos="9562" w:val="left" w:leader="none"/>
          <w:tab w:pos="11441" w:val="left" w:leader="none"/>
          <w:tab w:pos="13306" w:val="left" w:leader="none"/>
        </w:tabs>
        <w:spacing w:line="240" w:lineRule="auto" w:before="38"/>
        <w:ind w:left="140" w:right="0"/>
        <w:jc w:val="left"/>
        <w:rPr>
          <w:rFonts w:ascii="Arial" w:hAnsi="Arial" w:cs="Arial" w:eastAsia="Arial" w:hint="default"/>
        </w:rPr>
      </w:pPr>
      <w:r>
        <w:rPr>
          <w:spacing w:val="-1"/>
        </w:rPr>
        <w:t>四、本年年末余额</w:t>
        <w:tab/>
      </w:r>
      <w:r>
        <w:rPr>
          <w:rFonts w:ascii="Arial" w:hAnsi="Arial" w:cs="Arial" w:eastAsia="Arial" w:hint="default"/>
          <w:spacing w:val="-1"/>
        </w:rPr>
      </w:r>
      <w:r>
        <w:rPr>
          <w:rFonts w:ascii="Arial" w:hAnsi="Arial" w:cs="Arial" w:eastAsia="Arial" w:hint="default"/>
          <w:spacing w:val="-1"/>
          <w:u w:val="thick" w:color="000000"/>
        </w:rPr>
        <w:t>466,683,575</w:t>
      </w:r>
      <w:r>
        <w:rPr>
          <w:rFonts w:ascii="Arial" w:hAnsi="Arial" w:cs="Arial" w:eastAsia="Arial" w:hint="default"/>
          <w:spacing w:val="-1"/>
        </w:rPr>
        <w:tab/>
      </w:r>
      <w:r>
        <w:rPr>
          <w:rFonts w:ascii="Arial" w:hAnsi="Arial" w:cs="Arial" w:eastAsia="Arial" w:hint="default"/>
          <w:spacing w:val="-1"/>
          <w:u w:val="thick" w:color="000000"/>
        </w:rPr>
        <w:t> 988,622,304</w:t>
      </w:r>
      <w:r>
        <w:rPr>
          <w:rFonts w:ascii="Arial" w:hAnsi="Arial" w:cs="Arial" w:eastAsia="Arial" w:hint="default"/>
          <w:spacing w:val="-1"/>
        </w:rPr>
        <w:tab/>
      </w:r>
      <w:r>
        <w:rPr>
          <w:rFonts w:ascii="Arial" w:hAnsi="Arial" w:cs="Arial" w:eastAsia="Arial" w:hint="default"/>
          <w:spacing w:val="-1"/>
          <w:u w:val="thick" w:color="000000"/>
        </w:rPr>
        <w:t>189,510,500</w:t>
      </w:r>
      <w:r>
        <w:rPr>
          <w:rFonts w:ascii="Arial" w:hAnsi="Arial" w:cs="Arial" w:eastAsia="Arial" w:hint="default"/>
          <w:spacing w:val="-1"/>
        </w:rPr>
        <w:tab/>
      </w:r>
      <w:r>
        <w:rPr>
          <w:rFonts w:ascii="Arial" w:hAnsi="Arial" w:cs="Arial" w:eastAsia="Arial" w:hint="default"/>
          <w:spacing w:val="-1"/>
          <w:u w:val="thick" w:color="000000"/>
        </w:rPr>
        <w:t>486,817,782</w:t>
      </w:r>
      <w:r>
        <w:rPr>
          <w:rFonts w:ascii="Arial" w:hAnsi="Arial" w:cs="Arial" w:eastAsia="Arial" w:hint="default"/>
          <w:spacing w:val="-1"/>
        </w:rPr>
        <w:tab/>
      </w:r>
      <w:r>
        <w:rPr>
          <w:rFonts w:ascii="Arial" w:hAnsi="Arial" w:cs="Arial" w:eastAsia="Arial" w:hint="default"/>
          <w:spacing w:val="-2"/>
          <w:u w:val="thick" w:color="000000"/>
        </w:rPr>
        <w:t>2,131,634,161</w:t>
      </w:r>
      <w:r>
        <w:rPr>
          <w:rFonts w:ascii="Arial" w:hAnsi="Arial" w:cs="Arial" w:eastAsia="Arial" w:hint="default"/>
          <w:spacing w:val="-2"/>
        </w:rPr>
      </w:r>
    </w:p>
    <w:p>
      <w:pPr>
        <w:spacing w:after="0" w:line="240" w:lineRule="auto"/>
        <w:jc w:val="left"/>
        <w:rPr>
          <w:rFonts w:ascii="Arial" w:hAnsi="Arial" w:cs="Arial" w:eastAsia="Arial" w:hint="default"/>
        </w:rPr>
        <w:sectPr>
          <w:pgSz w:w="16840" w:h="11910" w:orient="landscape"/>
          <w:pgMar w:header="958" w:footer="488" w:top="2600" w:bottom="680" w:left="960" w:right="1000"/>
        </w:sectPr>
      </w:pPr>
    </w:p>
    <w:p>
      <w:pPr>
        <w:spacing w:line="240" w:lineRule="auto" w:before="6"/>
        <w:rPr>
          <w:rFonts w:ascii="Times New Roman" w:hAnsi="Times New Roman" w:cs="Times New Roman" w:eastAsia="Times New Roman" w:hint="default"/>
          <w:sz w:val="3"/>
          <w:szCs w:val="3"/>
        </w:rPr>
      </w:pPr>
    </w:p>
    <w:tbl>
      <w:tblPr>
        <w:tblW w:w="0" w:type="auto"/>
        <w:jc w:val="left"/>
        <w:tblInd w:w="110" w:type="dxa"/>
        <w:tblLayout w:type="fixed"/>
        <w:tblCellMar>
          <w:top w:w="0" w:type="dxa"/>
          <w:left w:w="0" w:type="dxa"/>
          <w:bottom w:w="0" w:type="dxa"/>
          <w:right w:w="0" w:type="dxa"/>
        </w:tblCellMar>
        <w:tblLook w:val="01E0"/>
      </w:tblPr>
      <w:tblGrid>
        <w:gridCol w:w="3446"/>
        <w:gridCol w:w="1918"/>
        <w:gridCol w:w="1838"/>
        <w:gridCol w:w="1567"/>
      </w:tblGrid>
      <w:tr>
        <w:trPr>
          <w:trHeight w:val="607" w:hRule="exact"/>
        </w:trPr>
        <w:tc>
          <w:tcPr>
            <w:tcW w:w="3446" w:type="dxa"/>
            <w:vMerge w:val="restart"/>
            <w:tcBorders>
              <w:top w:val="nil" w:sz="6" w:space="0" w:color="auto"/>
              <w:left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Style w:val="TableParagraph"/>
              <w:spacing w:line="244" w:lineRule="exact"/>
              <w:ind w:left="22" w:right="0" w:firstLine="48"/>
              <w:jc w:val="left"/>
              <w:rPr>
                <w:rFonts w:ascii="黑体" w:hAnsi="黑体" w:cs="黑体" w:eastAsia="黑体" w:hint="default"/>
                <w:sz w:val="22"/>
                <w:szCs w:val="22"/>
              </w:rPr>
            </w:pPr>
            <w:r>
              <w:rPr>
                <w:rFonts w:ascii="黑体" w:hAnsi="黑体" w:cs="黑体" w:eastAsia="黑体" w:hint="default"/>
                <w:b/>
                <w:bCs/>
                <w:sz w:val="22"/>
                <w:szCs w:val="22"/>
              </w:rPr>
              <w:t>公司现金流量表</w:t>
            </w:r>
            <w:r>
              <w:rPr>
                <w:rFonts w:ascii="黑体" w:hAnsi="黑体" w:cs="黑体" w:eastAsia="黑体" w:hint="default"/>
                <w:sz w:val="22"/>
                <w:szCs w:val="22"/>
              </w:rPr>
            </w:r>
          </w:p>
          <w:p>
            <w:pPr>
              <w:pStyle w:val="TableParagraph"/>
              <w:spacing w:line="303" w:lineRule="exact"/>
              <w:ind w:left="22" w:right="0"/>
              <w:jc w:val="left"/>
              <w:rPr>
                <w:rFonts w:ascii="黑体" w:hAnsi="黑体" w:cs="黑体" w:eastAsia="黑体" w:hint="default"/>
                <w:sz w:val="22"/>
                <w:szCs w:val="22"/>
              </w:rPr>
            </w:pPr>
            <w:r>
              <w:rPr>
                <w:rFonts w:ascii="Arial" w:hAnsi="Arial" w:cs="Arial" w:eastAsia="Arial" w:hint="default"/>
                <w:b/>
                <w:bCs/>
                <w:sz w:val="22"/>
                <w:szCs w:val="22"/>
              </w:rPr>
              <w:t>2009</w:t>
            </w:r>
            <w:r>
              <w:rPr>
                <w:rFonts w:ascii="黑体" w:hAnsi="黑体" w:cs="黑体" w:eastAsia="黑体" w:hint="default"/>
                <w:b/>
                <w:bCs/>
                <w:sz w:val="22"/>
                <w:szCs w:val="22"/>
              </w:rPr>
              <w:t>年</w:t>
            </w:r>
            <w:r>
              <w:rPr>
                <w:rFonts w:ascii="Arial" w:hAnsi="Arial" w:cs="Arial" w:eastAsia="Arial" w:hint="default"/>
                <w:b/>
                <w:bCs/>
                <w:sz w:val="22"/>
                <w:szCs w:val="22"/>
              </w:rPr>
              <w:t>12</w:t>
            </w:r>
            <w:r>
              <w:rPr>
                <w:rFonts w:ascii="黑体" w:hAnsi="黑体" w:cs="黑体" w:eastAsia="黑体" w:hint="default"/>
                <w:b/>
                <w:bCs/>
                <w:sz w:val="22"/>
                <w:szCs w:val="22"/>
              </w:rPr>
              <w:t>月</w:t>
            </w:r>
            <w:r>
              <w:rPr>
                <w:rFonts w:ascii="Arial" w:hAnsi="Arial" w:cs="Arial" w:eastAsia="Arial" w:hint="default"/>
                <w:b/>
                <w:bCs/>
                <w:sz w:val="22"/>
                <w:szCs w:val="22"/>
              </w:rPr>
              <w:t>31</w:t>
            </w:r>
            <w:r>
              <w:rPr>
                <w:rFonts w:ascii="黑体" w:hAnsi="黑体" w:cs="黑体" w:eastAsia="黑体" w:hint="default"/>
                <w:b/>
                <w:bCs/>
                <w:sz w:val="22"/>
                <w:szCs w:val="22"/>
              </w:rPr>
              <w:t>日</w:t>
            </w:r>
            <w:r>
              <w:rPr>
                <w:rFonts w:ascii="黑体" w:hAnsi="黑体" w:cs="黑体" w:eastAsia="黑体" w:hint="default"/>
                <w:sz w:val="22"/>
                <w:szCs w:val="22"/>
              </w:rPr>
            </w:r>
          </w:p>
        </w:tc>
        <w:tc>
          <w:tcPr>
            <w:tcW w:w="3405" w:type="dxa"/>
            <w:gridSpan w:val="2"/>
            <w:vMerge w:val="restart"/>
            <w:tcBorders>
              <w:top w:val="nil" w:sz="6" w:space="0" w:color="auto"/>
              <w:left w:val="nil" w:sz="6" w:space="0" w:color="auto"/>
              <w:right w:val="nil" w:sz="6" w:space="0" w:color="auto"/>
            </w:tcBorders>
          </w:tcPr>
          <w:p>
            <w:pPr/>
          </w:p>
        </w:tc>
      </w:tr>
      <w:tr>
        <w:trPr>
          <w:trHeight w:val="562" w:hRule="exact"/>
        </w:trPr>
        <w:tc>
          <w:tcPr>
            <w:tcW w:w="3446" w:type="dxa"/>
            <w:vMerge/>
            <w:tcBorders>
              <w:left w:val="nil" w:sz="6" w:space="0" w:color="auto"/>
              <w:right w:val="nil" w:sz="6" w:space="0" w:color="auto"/>
            </w:tcBorders>
          </w:tcPr>
          <w:p>
            <w:pPr/>
          </w:p>
        </w:tc>
        <w:tc>
          <w:tcPr>
            <w:tcW w:w="1918" w:type="dxa"/>
            <w:tcBorders>
              <w:top w:val="nil" w:sz="6" w:space="0" w:color="auto"/>
              <w:left w:val="nil" w:sz="6" w:space="0" w:color="auto"/>
              <w:bottom w:val="single" w:sz="6" w:space="0" w:color="000000"/>
              <w:right w:val="nil" w:sz="6" w:space="0" w:color="auto"/>
            </w:tcBorders>
          </w:tcPr>
          <w:p>
            <w:pPr>
              <w:pStyle w:val="TableParagraph"/>
              <w:spacing w:line="284" w:lineRule="exact"/>
              <w:ind w:right="617"/>
              <w:jc w:val="right"/>
              <w:rPr>
                <w:rFonts w:ascii="黑体" w:hAnsi="黑体" w:cs="黑体" w:eastAsia="黑体" w:hint="default"/>
                <w:sz w:val="22"/>
                <w:szCs w:val="22"/>
              </w:rPr>
            </w:pPr>
            <w:r>
              <w:rPr>
                <w:rFonts w:ascii="黑体" w:hAnsi="黑体" w:cs="黑体" w:eastAsia="黑体" w:hint="default"/>
                <w:b/>
                <w:bCs/>
                <w:w w:val="95"/>
                <w:sz w:val="22"/>
                <w:szCs w:val="22"/>
              </w:rPr>
              <w:t>人民币元</w:t>
            </w:r>
            <w:r>
              <w:rPr>
                <w:rFonts w:ascii="黑体" w:hAnsi="黑体" w:cs="黑体" w:eastAsia="黑体" w:hint="default"/>
                <w:sz w:val="22"/>
                <w:szCs w:val="22"/>
              </w:rPr>
            </w:r>
          </w:p>
        </w:tc>
        <w:tc>
          <w:tcPr>
            <w:tcW w:w="3405" w:type="dxa"/>
            <w:gridSpan w:val="2"/>
            <w:vMerge/>
            <w:tcBorders>
              <w:left w:val="nil" w:sz="6" w:space="0" w:color="auto"/>
              <w:bottom w:val="single" w:sz="6" w:space="0" w:color="000000"/>
              <w:right w:val="nil" w:sz="6" w:space="0" w:color="auto"/>
            </w:tcBorders>
          </w:tcPr>
          <w:p>
            <w:pPr/>
          </w:p>
        </w:tc>
      </w:tr>
      <w:tr>
        <w:trPr>
          <w:trHeight w:val="737" w:hRule="exact"/>
        </w:trPr>
        <w:tc>
          <w:tcPr>
            <w:tcW w:w="3446" w:type="dxa"/>
            <w:vMerge/>
            <w:tcBorders>
              <w:left w:val="nil" w:sz="6" w:space="0" w:color="auto"/>
              <w:bottom w:val="nil" w:sz="6" w:space="0" w:color="auto"/>
              <w:right w:val="nil" w:sz="6" w:space="0" w:color="auto"/>
            </w:tcBorders>
          </w:tcPr>
          <w:p>
            <w:pPr/>
          </w:p>
        </w:tc>
        <w:tc>
          <w:tcPr>
            <w:tcW w:w="1918"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4"/>
              <w:ind w:right="731"/>
              <w:jc w:val="right"/>
              <w:rPr>
                <w:rFonts w:ascii="黑体" w:hAnsi="黑体" w:cs="黑体" w:eastAsia="黑体" w:hint="default"/>
                <w:sz w:val="18"/>
                <w:szCs w:val="18"/>
              </w:rPr>
            </w:pPr>
            <w:r>
              <w:rPr>
                <w:rFonts w:ascii="黑体" w:hAnsi="黑体" w:cs="黑体" w:eastAsia="黑体" w:hint="default"/>
                <w:sz w:val="18"/>
                <w:szCs w:val="18"/>
              </w:rPr>
              <w:t>附注十二</w:t>
            </w:r>
          </w:p>
        </w:tc>
        <w:tc>
          <w:tcPr>
            <w:tcW w:w="1838"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4"/>
              <w:ind w:left="936" w:right="0"/>
              <w:jc w:val="left"/>
              <w:rPr>
                <w:rFonts w:ascii="黑体" w:hAnsi="黑体" w:cs="黑体" w:eastAsia="黑体" w:hint="default"/>
                <w:sz w:val="18"/>
                <w:szCs w:val="18"/>
              </w:rPr>
            </w:pPr>
            <w:r>
              <w:rPr>
                <w:rFonts w:ascii="Arial" w:hAnsi="Arial" w:cs="Arial" w:eastAsia="Arial" w:hint="default"/>
                <w:sz w:val="18"/>
                <w:szCs w:val="18"/>
              </w:rPr>
              <w:t>2009</w:t>
            </w:r>
            <w:r>
              <w:rPr>
                <w:rFonts w:ascii="黑体" w:hAnsi="黑体" w:cs="黑体" w:eastAsia="黑体" w:hint="default"/>
                <w:sz w:val="18"/>
                <w:szCs w:val="18"/>
              </w:rPr>
              <w:t>年</w:t>
            </w:r>
          </w:p>
        </w:tc>
        <w:tc>
          <w:tcPr>
            <w:tcW w:w="1567"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4"/>
              <w:ind w:right="118"/>
              <w:jc w:val="right"/>
              <w:rPr>
                <w:rFonts w:ascii="黑体" w:hAnsi="黑体" w:cs="黑体" w:eastAsia="黑体" w:hint="default"/>
                <w:sz w:val="18"/>
                <w:szCs w:val="18"/>
              </w:rPr>
            </w:pPr>
            <w:r>
              <w:rPr>
                <w:rFonts w:ascii="Arial" w:hAnsi="Arial" w:cs="Arial" w:eastAsia="Arial" w:hint="default"/>
                <w:spacing w:val="-1"/>
                <w:sz w:val="18"/>
                <w:szCs w:val="18"/>
              </w:rPr>
              <w:t>2008</w:t>
            </w:r>
            <w:r>
              <w:rPr>
                <w:rFonts w:ascii="黑体" w:hAnsi="黑体" w:cs="黑体" w:eastAsia="黑体" w:hint="default"/>
                <w:spacing w:val="-1"/>
                <w:sz w:val="18"/>
                <w:szCs w:val="18"/>
              </w:rPr>
              <w:t>年</w:t>
            </w:r>
          </w:p>
        </w:tc>
      </w:tr>
      <w:tr>
        <w:trPr>
          <w:trHeight w:val="458"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40" w:lineRule="auto" w:before="87"/>
              <w:ind w:left="35" w:right="0"/>
              <w:jc w:val="left"/>
              <w:rPr>
                <w:rFonts w:ascii="Arial" w:hAnsi="Arial" w:cs="Arial" w:eastAsia="Arial" w:hint="default"/>
                <w:sz w:val="18"/>
                <w:szCs w:val="18"/>
              </w:rPr>
            </w:pPr>
            <w:r>
              <w:rPr>
                <w:rFonts w:ascii="黑体" w:hAnsi="黑体" w:cs="黑体" w:eastAsia="黑体" w:hint="default"/>
                <w:sz w:val="18"/>
                <w:szCs w:val="18"/>
              </w:rPr>
              <w:t>一、经营活动产生的现金流量</w:t>
            </w:r>
            <w:r>
              <w:rPr>
                <w:rFonts w:ascii="Arial" w:hAnsi="Arial" w:cs="Arial" w:eastAsia="Arial" w:hint="default"/>
                <w:sz w:val="18"/>
                <w:szCs w:val="18"/>
              </w:rPr>
              <w:t>:</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
        </w:tc>
        <w:tc>
          <w:tcPr>
            <w:tcW w:w="1567" w:type="dxa"/>
            <w:tcBorders>
              <w:top w:val="nil" w:sz="6" w:space="0" w:color="auto"/>
              <w:left w:val="nil" w:sz="6" w:space="0" w:color="auto"/>
              <w:bottom w:val="nil" w:sz="6" w:space="0" w:color="auto"/>
              <w:right w:val="nil" w:sz="6" w:space="0" w:color="auto"/>
            </w:tcBorders>
          </w:tcPr>
          <w:p>
            <w:pPr/>
          </w:p>
        </w:tc>
      </w:tr>
      <w:tr>
        <w:trPr>
          <w:trHeight w:val="344"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黑体" w:hAnsi="黑体" w:cs="黑体" w:eastAsia="黑体" w:hint="default"/>
                <w:sz w:val="18"/>
                <w:szCs w:val="18"/>
              </w:rPr>
            </w:pPr>
            <w:r>
              <w:rPr>
                <w:rFonts w:ascii="黑体" w:hAnsi="黑体" w:cs="黑体" w:eastAsia="黑体" w:hint="default"/>
                <w:sz w:val="18"/>
                <w:szCs w:val="18"/>
              </w:rPr>
              <w:t>销售商品、提供劳务收到的现金</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364" w:right="0"/>
              <w:jc w:val="left"/>
              <w:rPr>
                <w:rFonts w:ascii="Arial" w:hAnsi="Arial" w:cs="Arial" w:eastAsia="Arial" w:hint="default"/>
                <w:sz w:val="18"/>
                <w:szCs w:val="18"/>
              </w:rPr>
            </w:pPr>
            <w:r>
              <w:rPr>
                <w:rFonts w:ascii="Arial"/>
                <w:sz w:val="18"/>
              </w:rPr>
              <w:t>1,726,152,818</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332" w:right="0"/>
              <w:jc w:val="left"/>
              <w:rPr>
                <w:rFonts w:ascii="Arial" w:hAnsi="Arial" w:cs="Arial" w:eastAsia="Arial" w:hint="default"/>
                <w:sz w:val="18"/>
                <w:szCs w:val="18"/>
              </w:rPr>
            </w:pPr>
            <w:r>
              <w:rPr>
                <w:rFonts w:ascii="Arial"/>
                <w:sz w:val="18"/>
              </w:rPr>
              <w:t>1,491,779,947</w:t>
            </w:r>
          </w:p>
        </w:tc>
      </w:tr>
      <w:tr>
        <w:trPr>
          <w:trHeight w:val="233"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黑体" w:hAnsi="黑体" w:cs="黑体" w:eastAsia="黑体" w:hint="default"/>
                <w:sz w:val="18"/>
                <w:szCs w:val="18"/>
              </w:rPr>
            </w:pPr>
            <w:r>
              <w:rPr>
                <w:rFonts w:ascii="黑体" w:hAnsi="黑体" w:cs="黑体" w:eastAsia="黑体" w:hint="default"/>
                <w:sz w:val="18"/>
                <w:szCs w:val="18"/>
              </w:rPr>
              <w:t>收到的增值税退税</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515" w:right="0"/>
              <w:jc w:val="left"/>
              <w:rPr>
                <w:rFonts w:ascii="Arial" w:hAnsi="Arial" w:cs="Arial" w:eastAsia="Arial" w:hint="default"/>
                <w:sz w:val="18"/>
                <w:szCs w:val="18"/>
              </w:rPr>
            </w:pPr>
            <w:r>
              <w:rPr>
                <w:rFonts w:ascii="Arial"/>
                <w:sz w:val="18"/>
              </w:rPr>
              <w:t>126,827,226</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1"/>
              <w:jc w:val="right"/>
              <w:rPr>
                <w:rFonts w:ascii="Arial" w:hAnsi="Arial" w:cs="Arial" w:eastAsia="Arial" w:hint="default"/>
                <w:sz w:val="18"/>
                <w:szCs w:val="18"/>
              </w:rPr>
            </w:pPr>
            <w:r>
              <w:rPr>
                <w:rFonts w:ascii="Arial"/>
                <w:spacing w:val="-1"/>
                <w:sz w:val="18"/>
              </w:rPr>
              <w:t>118,002,740</w:t>
            </w:r>
          </w:p>
        </w:tc>
      </w:tr>
      <w:tr>
        <w:trPr>
          <w:trHeight w:val="234"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黑体" w:hAnsi="黑体" w:cs="黑体" w:eastAsia="黑体" w:hint="default"/>
                <w:sz w:val="18"/>
                <w:szCs w:val="18"/>
              </w:rPr>
            </w:pPr>
            <w:r>
              <w:rPr>
                <w:rFonts w:ascii="黑体" w:hAnsi="黑体" w:cs="黑体" w:eastAsia="黑体" w:hint="default"/>
                <w:sz w:val="18"/>
                <w:szCs w:val="18"/>
              </w:rPr>
              <w:t>收到的其他与经营活动有关的现金</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tabs>
                <w:tab w:pos="614" w:val="left" w:leader="none"/>
              </w:tabs>
              <w:spacing w:line="240" w:lineRule="auto" w:before="14"/>
              <w:ind w:left="344"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47,863,187</w:t>
            </w:r>
            <w:r>
              <w:rPr>
                <w:rFonts w:ascii="Arial"/>
                <w:sz w:val="18"/>
              </w:rPr>
            </w:r>
          </w:p>
        </w:tc>
        <w:tc>
          <w:tcPr>
            <w:tcW w:w="1567" w:type="dxa"/>
            <w:tcBorders>
              <w:top w:val="nil" w:sz="6" w:space="0" w:color="auto"/>
              <w:left w:val="nil" w:sz="6" w:space="0" w:color="auto"/>
              <w:bottom w:val="nil" w:sz="6" w:space="0" w:color="auto"/>
              <w:right w:val="nil" w:sz="6" w:space="0" w:color="auto"/>
            </w:tcBorders>
          </w:tcPr>
          <w:p>
            <w:pPr>
              <w:pStyle w:val="TableParagraph"/>
              <w:tabs>
                <w:tab w:pos="582" w:val="left" w:leader="none"/>
              </w:tabs>
              <w:spacing w:line="240" w:lineRule="auto" w:before="14"/>
              <w:ind w:left="312"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47,988,811</w:t>
            </w:r>
            <w:r>
              <w:rPr>
                <w:rFonts w:ascii="Arial"/>
                <w:sz w:val="18"/>
              </w:rPr>
            </w:r>
          </w:p>
        </w:tc>
      </w:tr>
      <w:tr>
        <w:trPr>
          <w:trHeight w:val="337"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黑体" w:hAnsi="黑体" w:cs="黑体" w:eastAsia="黑体" w:hint="default"/>
                <w:sz w:val="18"/>
                <w:szCs w:val="18"/>
              </w:rPr>
            </w:pPr>
            <w:r>
              <w:rPr>
                <w:rFonts w:ascii="黑体" w:hAnsi="黑体" w:cs="黑体" w:eastAsia="黑体" w:hint="default"/>
                <w:sz w:val="18"/>
                <w:szCs w:val="18"/>
              </w:rPr>
              <w:t>现金流入小计</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64" w:right="0"/>
              <w:jc w:val="left"/>
              <w:rPr>
                <w:rFonts w:ascii="Arial" w:hAnsi="Arial" w:cs="Arial" w:eastAsia="Arial" w:hint="default"/>
                <w:sz w:val="18"/>
                <w:szCs w:val="18"/>
              </w:rPr>
            </w:pPr>
            <w:r>
              <w:rPr>
                <w:rFonts w:ascii="Arial"/>
                <w:w w:val="99"/>
                <w:sz w:val="18"/>
              </w:rPr>
            </w:r>
            <w:r>
              <w:rPr>
                <w:rFonts w:ascii="Arial"/>
                <w:sz w:val="18"/>
                <w:u w:val="single" w:color="000000"/>
              </w:rPr>
              <w:t>1,900,843,231</w:t>
            </w:r>
            <w:r>
              <w:rPr>
                <w:rFonts w:ascii="Arial"/>
                <w:sz w:val="18"/>
              </w:rPr>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32" w:right="0"/>
              <w:jc w:val="left"/>
              <w:rPr>
                <w:rFonts w:ascii="Arial" w:hAnsi="Arial" w:cs="Arial" w:eastAsia="Arial" w:hint="default"/>
                <w:sz w:val="18"/>
                <w:szCs w:val="18"/>
              </w:rPr>
            </w:pPr>
            <w:r>
              <w:rPr>
                <w:rFonts w:ascii="Arial"/>
                <w:w w:val="99"/>
                <w:sz w:val="18"/>
              </w:rPr>
            </w:r>
            <w:r>
              <w:rPr>
                <w:rFonts w:ascii="Arial"/>
                <w:sz w:val="18"/>
                <w:u w:val="single" w:color="000000"/>
              </w:rPr>
              <w:t>1,657,771,498</w:t>
            </w:r>
            <w:r>
              <w:rPr>
                <w:rFonts w:ascii="Arial"/>
                <w:sz w:val="18"/>
              </w:rPr>
            </w:r>
          </w:p>
        </w:tc>
      </w:tr>
      <w:tr>
        <w:trPr>
          <w:trHeight w:val="337"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黑体" w:hAnsi="黑体" w:cs="黑体" w:eastAsia="黑体" w:hint="default"/>
                <w:sz w:val="18"/>
                <w:szCs w:val="18"/>
              </w:rPr>
            </w:pPr>
            <w:r>
              <w:rPr>
                <w:rFonts w:ascii="黑体" w:hAnsi="黑体" w:cs="黑体" w:eastAsia="黑体" w:hint="default"/>
                <w:sz w:val="18"/>
                <w:szCs w:val="18"/>
              </w:rPr>
              <w:t>购买商品、接收劳务支付的现金</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274" w:right="0"/>
              <w:jc w:val="left"/>
              <w:rPr>
                <w:rFonts w:ascii="Arial" w:hAnsi="Arial" w:cs="Arial" w:eastAsia="Arial" w:hint="default"/>
                <w:sz w:val="18"/>
                <w:szCs w:val="18"/>
              </w:rPr>
            </w:pPr>
            <w:r>
              <w:rPr>
                <w:rFonts w:ascii="Arial"/>
                <w:sz w:val="18"/>
              </w:rPr>
              <w:t>(   235,507,948</w:t>
            </w:r>
            <w:r>
              <w:rPr>
                <w:rFonts w:ascii="Arial"/>
                <w:spacing w:val="-1"/>
                <w:sz w:val="18"/>
              </w:rPr>
              <w:t> </w:t>
            </w:r>
            <w:r>
              <w:rPr>
                <w:rFonts w:ascii="Arial"/>
                <w:sz w:val="18"/>
              </w:rPr>
              <w:t>)</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0"/>
              <w:jc w:val="right"/>
              <w:rPr>
                <w:rFonts w:ascii="Arial" w:hAnsi="Arial" w:cs="Arial" w:eastAsia="Arial" w:hint="default"/>
                <w:sz w:val="18"/>
                <w:szCs w:val="18"/>
              </w:rPr>
            </w:pPr>
            <w:r>
              <w:rPr>
                <w:rFonts w:ascii="Arial"/>
                <w:sz w:val="18"/>
              </w:rPr>
              <w:t>(   135,448,225</w:t>
            </w:r>
            <w:r>
              <w:rPr>
                <w:rFonts w:ascii="Arial"/>
                <w:spacing w:val="-7"/>
                <w:sz w:val="18"/>
              </w:rPr>
              <w:t> </w:t>
            </w:r>
            <w:r>
              <w:rPr>
                <w:rFonts w:ascii="Arial"/>
                <w:sz w:val="18"/>
              </w:rPr>
              <w:t>)</w:t>
            </w:r>
          </w:p>
        </w:tc>
      </w:tr>
      <w:tr>
        <w:trPr>
          <w:trHeight w:val="233"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黑体" w:hAnsi="黑体" w:cs="黑体" w:eastAsia="黑体" w:hint="default"/>
                <w:sz w:val="18"/>
                <w:szCs w:val="18"/>
              </w:rPr>
            </w:pPr>
            <w:r>
              <w:rPr>
                <w:rFonts w:ascii="黑体" w:hAnsi="黑体" w:cs="黑体" w:eastAsia="黑体" w:hint="default"/>
                <w:sz w:val="18"/>
                <w:szCs w:val="18"/>
              </w:rPr>
              <w:t>支付给职工以及为职工支付的现金</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4" w:right="0"/>
              <w:jc w:val="left"/>
              <w:rPr>
                <w:rFonts w:ascii="Arial" w:hAnsi="Arial" w:cs="Arial" w:eastAsia="Arial" w:hint="default"/>
                <w:sz w:val="18"/>
                <w:szCs w:val="18"/>
              </w:rPr>
            </w:pPr>
            <w:r>
              <w:rPr>
                <w:rFonts w:ascii="Arial"/>
                <w:sz w:val="18"/>
              </w:rPr>
              <w:t>(   647,100,750</w:t>
            </w:r>
            <w:r>
              <w:rPr>
                <w:rFonts w:ascii="Arial"/>
                <w:spacing w:val="-1"/>
                <w:sz w:val="18"/>
              </w:rPr>
              <w:t> </w:t>
            </w:r>
            <w:r>
              <w:rPr>
                <w:rFonts w:ascii="Arial"/>
                <w:sz w:val="18"/>
              </w:rPr>
              <w:t>)</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right"/>
              <w:rPr>
                <w:rFonts w:ascii="Arial" w:hAnsi="Arial" w:cs="Arial" w:eastAsia="Arial" w:hint="default"/>
                <w:sz w:val="18"/>
                <w:szCs w:val="18"/>
              </w:rPr>
            </w:pPr>
            <w:r>
              <w:rPr>
                <w:rFonts w:ascii="Arial"/>
                <w:sz w:val="18"/>
              </w:rPr>
              <w:t>(   649,021,622</w:t>
            </w:r>
            <w:r>
              <w:rPr>
                <w:rFonts w:ascii="Arial"/>
                <w:spacing w:val="-7"/>
                <w:sz w:val="18"/>
              </w:rPr>
              <w:t> </w:t>
            </w:r>
            <w:r>
              <w:rPr>
                <w:rFonts w:ascii="Arial"/>
                <w:sz w:val="18"/>
              </w:rPr>
              <w:t>)</w:t>
            </w:r>
          </w:p>
        </w:tc>
      </w:tr>
      <w:tr>
        <w:trPr>
          <w:trHeight w:val="244"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黑体" w:hAnsi="黑体" w:cs="黑体" w:eastAsia="黑体" w:hint="default"/>
                <w:sz w:val="18"/>
                <w:szCs w:val="18"/>
              </w:rPr>
            </w:pPr>
            <w:r>
              <w:rPr>
                <w:rFonts w:ascii="黑体" w:hAnsi="黑体" w:cs="黑体" w:eastAsia="黑体" w:hint="default"/>
                <w:sz w:val="18"/>
                <w:szCs w:val="18"/>
              </w:rPr>
              <w:t>支付的各种税费</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4" w:right="0"/>
              <w:jc w:val="left"/>
              <w:rPr>
                <w:rFonts w:ascii="Arial" w:hAnsi="Arial" w:cs="Arial" w:eastAsia="Arial" w:hint="default"/>
                <w:sz w:val="18"/>
                <w:szCs w:val="18"/>
              </w:rPr>
            </w:pPr>
            <w:r>
              <w:rPr>
                <w:rFonts w:ascii="Arial"/>
                <w:sz w:val="18"/>
              </w:rPr>
              <w:t>(   259,433,422</w:t>
            </w:r>
            <w:r>
              <w:rPr>
                <w:rFonts w:ascii="Arial"/>
                <w:spacing w:val="-1"/>
                <w:sz w:val="18"/>
              </w:rPr>
              <w:t> </w:t>
            </w:r>
            <w:r>
              <w:rPr>
                <w:rFonts w:ascii="Arial"/>
                <w:sz w:val="18"/>
              </w:rPr>
              <w:t>)</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18"/>
                <w:szCs w:val="18"/>
              </w:rPr>
            </w:pPr>
            <w:r>
              <w:rPr>
                <w:rFonts w:ascii="Arial"/>
                <w:sz w:val="18"/>
              </w:rPr>
              <w:t>(   302,672,857</w:t>
            </w:r>
            <w:r>
              <w:rPr>
                <w:rFonts w:ascii="Arial"/>
                <w:spacing w:val="-7"/>
                <w:sz w:val="18"/>
              </w:rPr>
              <w:t> </w:t>
            </w:r>
            <w:r>
              <w:rPr>
                <w:rFonts w:ascii="Arial"/>
                <w:sz w:val="18"/>
              </w:rPr>
              <w:t>)</w:t>
            </w:r>
          </w:p>
        </w:tc>
      </w:tr>
      <w:tr>
        <w:trPr>
          <w:trHeight w:val="222"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185" w:lineRule="exact"/>
              <w:ind w:left="35" w:right="0"/>
              <w:jc w:val="left"/>
              <w:rPr>
                <w:rFonts w:ascii="黑体" w:hAnsi="黑体" w:cs="黑体" w:eastAsia="黑体" w:hint="default"/>
                <w:sz w:val="18"/>
                <w:szCs w:val="18"/>
              </w:rPr>
            </w:pPr>
            <w:r>
              <w:rPr>
                <w:rFonts w:ascii="黑体" w:hAnsi="黑体" w:cs="黑体" w:eastAsia="黑体" w:hint="default"/>
                <w:sz w:val="18"/>
                <w:szCs w:val="18"/>
              </w:rPr>
              <w:t>支付的其他与经营活动有关的现金</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65"/>
              <w:jc w:val="center"/>
              <w:rPr>
                <w:rFonts w:ascii="Arial" w:hAnsi="Arial" w:cs="Arial" w:eastAsia="Arial" w:hint="default"/>
                <w:sz w:val="18"/>
                <w:szCs w:val="18"/>
              </w:rPr>
            </w:pPr>
            <w:r>
              <w:rPr>
                <w:rFonts w:ascii="Arial"/>
                <w:sz w:val="18"/>
              </w:rPr>
              <w:t>37</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4"/>
              <w:ind w:left="275" w:right="0"/>
              <w:jc w:val="left"/>
              <w:rPr>
                <w:rFonts w:ascii="Arial" w:hAnsi="Arial" w:cs="Arial" w:eastAsia="Arial" w:hint="default"/>
                <w:sz w:val="18"/>
                <w:szCs w:val="18"/>
              </w:rPr>
            </w:pPr>
            <w:r>
              <w:rPr>
                <w:rFonts w:ascii="Arial"/>
                <w:sz w:val="18"/>
              </w:rPr>
              <w:t>(   </w:t>
            </w:r>
            <w:r>
              <w:rPr>
                <w:rFonts w:ascii="Arial"/>
                <w:sz w:val="18"/>
                <w:u w:val="single" w:color="000000"/>
              </w:rPr>
              <w:t> 385,539,931</w:t>
            </w:r>
            <w:r>
              <w:rPr>
                <w:rFonts w:ascii="Arial"/>
                <w:spacing w:val="-1"/>
                <w:sz w:val="18"/>
                <w:u w:val="single" w:color="000000"/>
              </w:rPr>
              <w:t> </w:t>
            </w:r>
            <w:r>
              <w:rPr>
                <w:rFonts w:ascii="Arial"/>
                <w:spacing w:val="-1"/>
                <w:sz w:val="18"/>
              </w:rPr>
            </w:r>
            <w:r>
              <w:rPr>
                <w:rFonts w:ascii="Arial"/>
                <w:sz w:val="18"/>
              </w:rPr>
              <w:t>)</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right"/>
              <w:rPr>
                <w:rFonts w:ascii="Arial" w:hAnsi="Arial" w:cs="Arial" w:eastAsia="Arial" w:hint="default"/>
                <w:sz w:val="18"/>
                <w:szCs w:val="18"/>
              </w:rPr>
            </w:pPr>
            <w:r>
              <w:rPr>
                <w:rFonts w:ascii="Arial"/>
                <w:sz w:val="18"/>
              </w:rPr>
              <w:t>(   </w:t>
            </w:r>
            <w:r>
              <w:rPr>
                <w:rFonts w:ascii="Arial"/>
                <w:sz w:val="18"/>
                <w:u w:val="single" w:color="000000"/>
              </w:rPr>
              <w:t> 274,729,691</w:t>
            </w:r>
            <w:r>
              <w:rPr>
                <w:rFonts w:ascii="Arial"/>
                <w:spacing w:val="-8"/>
                <w:sz w:val="18"/>
                <w:u w:val="single" w:color="000000"/>
              </w:rPr>
              <w:t> </w:t>
            </w:r>
            <w:r>
              <w:rPr>
                <w:rFonts w:ascii="Arial"/>
                <w:spacing w:val="-8"/>
                <w:sz w:val="18"/>
              </w:rPr>
            </w:r>
            <w:r>
              <w:rPr>
                <w:rFonts w:ascii="Arial"/>
                <w:sz w:val="18"/>
              </w:rPr>
              <w:t>)</w:t>
            </w:r>
          </w:p>
        </w:tc>
      </w:tr>
      <w:tr>
        <w:trPr>
          <w:trHeight w:val="337"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黑体" w:hAnsi="黑体" w:cs="黑体" w:eastAsia="黑体" w:hint="default"/>
                <w:sz w:val="18"/>
                <w:szCs w:val="18"/>
              </w:rPr>
            </w:pPr>
            <w:r>
              <w:rPr>
                <w:rFonts w:ascii="黑体" w:hAnsi="黑体" w:cs="黑体" w:eastAsia="黑体" w:hint="default"/>
                <w:sz w:val="18"/>
                <w:szCs w:val="18"/>
              </w:rPr>
              <w:t>现金流出小计</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04" w:right="0"/>
              <w:jc w:val="left"/>
              <w:rPr>
                <w:rFonts w:ascii="Arial" w:hAnsi="Arial" w:cs="Arial" w:eastAsia="Arial" w:hint="default"/>
                <w:sz w:val="18"/>
                <w:szCs w:val="18"/>
              </w:rPr>
            </w:pPr>
            <w:r>
              <w:rPr>
                <w:rFonts w:ascii="Arial"/>
                <w:sz w:val="18"/>
              </w:rPr>
              <w:t>(</w:t>
            </w:r>
            <w:r>
              <w:rPr>
                <w:rFonts w:ascii="Arial"/>
                <w:sz w:val="18"/>
                <w:u w:val="single" w:color="000000"/>
              </w:rPr>
              <w:t>1,527,582,051</w:t>
            </w:r>
            <w:r>
              <w:rPr>
                <w:rFonts w:ascii="Arial"/>
                <w:spacing w:val="-33"/>
                <w:sz w:val="18"/>
                <w:u w:val="single" w:color="000000"/>
              </w:rPr>
              <w:t> </w:t>
            </w:r>
            <w:r>
              <w:rPr>
                <w:rFonts w:ascii="Arial"/>
                <w:spacing w:val="-33"/>
                <w:sz w:val="18"/>
              </w:rPr>
            </w:r>
            <w:r>
              <w:rPr>
                <w:rFonts w:ascii="Arial"/>
                <w:sz w:val="18"/>
              </w:rPr>
              <w:t>)</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18"/>
                <w:szCs w:val="18"/>
              </w:rPr>
            </w:pPr>
            <w:r>
              <w:rPr>
                <w:rFonts w:ascii="Arial"/>
                <w:sz w:val="18"/>
              </w:rPr>
              <w:t>(</w:t>
            </w:r>
            <w:r>
              <w:rPr>
                <w:rFonts w:ascii="Arial"/>
                <w:sz w:val="18"/>
                <w:u w:val="single" w:color="000000"/>
              </w:rPr>
              <w:t>1,361,872,395</w:t>
            </w:r>
            <w:r>
              <w:rPr>
                <w:rFonts w:ascii="Arial"/>
                <w:spacing w:val="-39"/>
                <w:sz w:val="18"/>
                <w:u w:val="single" w:color="000000"/>
              </w:rPr>
              <w:t> </w:t>
            </w:r>
            <w:r>
              <w:rPr>
                <w:rFonts w:ascii="Arial"/>
                <w:spacing w:val="-39"/>
                <w:sz w:val="18"/>
              </w:rPr>
            </w:r>
            <w:r>
              <w:rPr>
                <w:rFonts w:ascii="Arial"/>
                <w:sz w:val="18"/>
              </w:rPr>
              <w:t>)</w:t>
            </w:r>
          </w:p>
        </w:tc>
      </w:tr>
      <w:tr>
        <w:trPr>
          <w:trHeight w:val="440"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黑体" w:hAnsi="黑体" w:cs="黑体" w:eastAsia="黑体" w:hint="default"/>
                <w:sz w:val="18"/>
                <w:szCs w:val="18"/>
              </w:rPr>
            </w:pPr>
            <w:r>
              <w:rPr>
                <w:rFonts w:ascii="黑体" w:hAnsi="黑体" w:cs="黑体" w:eastAsia="黑体" w:hint="default"/>
                <w:sz w:val="18"/>
                <w:szCs w:val="18"/>
              </w:rPr>
              <w:t>经营活动产生的现金流量净额</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265"/>
              <w:jc w:val="center"/>
              <w:rPr>
                <w:rFonts w:ascii="Arial" w:hAnsi="Arial" w:cs="Arial" w:eastAsia="Arial" w:hint="default"/>
                <w:sz w:val="18"/>
                <w:szCs w:val="18"/>
              </w:rPr>
            </w:pPr>
            <w:r>
              <w:rPr>
                <w:rFonts w:ascii="Arial"/>
                <w:sz w:val="18"/>
              </w:rPr>
              <w:t>38</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34"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0"/>
                <w:sz w:val="18"/>
                <w:u w:val="single" w:color="000000"/>
              </w:rPr>
              <w:t> </w:t>
            </w:r>
            <w:r>
              <w:rPr>
                <w:rFonts w:ascii="Arial"/>
                <w:sz w:val="18"/>
                <w:u w:val="single" w:color="000000"/>
              </w:rPr>
              <w:t>373,261,180</w:t>
            </w:r>
            <w:r>
              <w:rPr>
                <w:rFonts w:ascii="Arial"/>
                <w:sz w:val="18"/>
              </w:rPr>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02"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0"/>
                <w:sz w:val="18"/>
                <w:u w:val="single" w:color="000000"/>
              </w:rPr>
              <w:t> </w:t>
            </w:r>
            <w:r>
              <w:rPr>
                <w:rFonts w:ascii="Arial"/>
                <w:sz w:val="18"/>
                <w:u w:val="single" w:color="000000"/>
              </w:rPr>
              <w:t>295,899,103</w:t>
            </w:r>
            <w:r>
              <w:rPr>
                <w:rFonts w:ascii="Arial"/>
                <w:sz w:val="18"/>
              </w:rPr>
            </w:r>
          </w:p>
        </w:tc>
      </w:tr>
      <w:tr>
        <w:trPr>
          <w:trHeight w:val="434"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Arial" w:hAnsi="Arial" w:cs="Arial" w:eastAsia="Arial" w:hint="default"/>
                <w:sz w:val="18"/>
                <w:szCs w:val="18"/>
              </w:rPr>
            </w:pPr>
            <w:r>
              <w:rPr>
                <w:rFonts w:ascii="黑体" w:hAnsi="黑体" w:cs="黑体" w:eastAsia="黑体" w:hint="default"/>
                <w:sz w:val="18"/>
                <w:szCs w:val="18"/>
              </w:rPr>
              <w:t>二、投资活动产生的现金流量</w:t>
            </w:r>
            <w:r>
              <w:rPr>
                <w:rFonts w:ascii="Arial" w:hAnsi="Arial" w:cs="Arial" w:eastAsia="Arial" w:hint="default"/>
                <w:sz w:val="18"/>
                <w:szCs w:val="18"/>
              </w:rPr>
              <w:t>:</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
        </w:tc>
        <w:tc>
          <w:tcPr>
            <w:tcW w:w="1567" w:type="dxa"/>
            <w:tcBorders>
              <w:top w:val="nil" w:sz="6" w:space="0" w:color="auto"/>
              <w:left w:val="nil" w:sz="6" w:space="0" w:color="auto"/>
              <w:bottom w:val="nil" w:sz="6" w:space="0" w:color="auto"/>
              <w:right w:val="nil" w:sz="6" w:space="0" w:color="auto"/>
            </w:tcBorders>
          </w:tcPr>
          <w:p>
            <w:pPr/>
          </w:p>
        </w:tc>
      </w:tr>
      <w:tr>
        <w:trPr>
          <w:trHeight w:val="344"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黑体" w:hAnsi="黑体" w:cs="黑体" w:eastAsia="黑体" w:hint="default"/>
                <w:sz w:val="18"/>
                <w:szCs w:val="18"/>
              </w:rPr>
            </w:pPr>
            <w:r>
              <w:rPr>
                <w:rFonts w:ascii="黑体" w:hAnsi="黑体" w:cs="黑体" w:eastAsia="黑体" w:hint="default"/>
                <w:sz w:val="18"/>
                <w:szCs w:val="18"/>
              </w:rPr>
              <w:t>收回投资成本所收到的现金</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515" w:right="0"/>
              <w:jc w:val="left"/>
              <w:rPr>
                <w:rFonts w:ascii="Arial" w:hAnsi="Arial" w:cs="Arial" w:eastAsia="Arial" w:hint="default"/>
                <w:sz w:val="18"/>
                <w:szCs w:val="18"/>
              </w:rPr>
            </w:pPr>
            <w:r>
              <w:rPr>
                <w:rFonts w:ascii="Arial"/>
                <w:sz w:val="18"/>
              </w:rPr>
              <w:t>153,695,684</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81"/>
              <w:jc w:val="right"/>
              <w:rPr>
                <w:rFonts w:ascii="Arial" w:hAnsi="Arial" w:cs="Arial" w:eastAsia="Arial" w:hint="default"/>
                <w:sz w:val="18"/>
                <w:szCs w:val="18"/>
              </w:rPr>
            </w:pPr>
            <w:r>
              <w:rPr>
                <w:rFonts w:ascii="Arial"/>
                <w:spacing w:val="-1"/>
                <w:sz w:val="18"/>
              </w:rPr>
              <w:t>116,749,436</w:t>
            </w:r>
          </w:p>
        </w:tc>
      </w:tr>
      <w:tr>
        <w:trPr>
          <w:trHeight w:val="233"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黑体" w:hAnsi="黑体" w:cs="黑体" w:eastAsia="黑体" w:hint="default"/>
                <w:sz w:val="18"/>
                <w:szCs w:val="18"/>
              </w:rPr>
            </w:pPr>
            <w:r>
              <w:rPr>
                <w:rFonts w:ascii="黑体" w:hAnsi="黑体" w:cs="黑体" w:eastAsia="黑体" w:hint="default"/>
                <w:sz w:val="18"/>
                <w:szCs w:val="18"/>
              </w:rPr>
              <w:t>处置子公司所流入的现金净额</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15" w:right="0"/>
              <w:jc w:val="left"/>
              <w:rPr>
                <w:rFonts w:ascii="Arial" w:hAnsi="Arial" w:cs="Arial" w:eastAsia="Arial" w:hint="default"/>
                <w:sz w:val="18"/>
                <w:szCs w:val="18"/>
              </w:rPr>
            </w:pPr>
            <w:r>
              <w:rPr>
                <w:rFonts w:ascii="Arial"/>
                <w:sz w:val="18"/>
              </w:rPr>
              <w:t>10,000,000</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1"/>
              <w:jc w:val="right"/>
              <w:rPr>
                <w:rFonts w:ascii="Arial" w:hAnsi="Arial" w:cs="Arial" w:eastAsia="Arial" w:hint="default"/>
                <w:sz w:val="18"/>
                <w:szCs w:val="18"/>
              </w:rPr>
            </w:pPr>
            <w:r>
              <w:rPr>
                <w:rFonts w:ascii="Arial"/>
                <w:spacing w:val="-1"/>
                <w:sz w:val="18"/>
              </w:rPr>
              <w:t>23,700,000</w:t>
            </w:r>
          </w:p>
        </w:tc>
      </w:tr>
      <w:tr>
        <w:trPr>
          <w:trHeight w:val="233"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黑体" w:hAnsi="黑体" w:cs="黑体" w:eastAsia="黑体" w:hint="default"/>
                <w:sz w:val="18"/>
                <w:szCs w:val="18"/>
              </w:rPr>
            </w:pPr>
            <w:r>
              <w:rPr>
                <w:rFonts w:ascii="黑体" w:hAnsi="黑体" w:cs="黑体" w:eastAsia="黑体" w:hint="default"/>
                <w:sz w:val="18"/>
                <w:szCs w:val="18"/>
              </w:rPr>
              <w:t>取得投资收益收所收到的现金</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515" w:right="0"/>
              <w:jc w:val="left"/>
              <w:rPr>
                <w:rFonts w:ascii="Arial" w:hAnsi="Arial" w:cs="Arial" w:eastAsia="Arial" w:hint="default"/>
                <w:sz w:val="18"/>
                <w:szCs w:val="18"/>
              </w:rPr>
            </w:pPr>
            <w:r>
              <w:rPr>
                <w:rFonts w:ascii="Arial"/>
                <w:sz w:val="18"/>
              </w:rPr>
              <w:t>232,042,714</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1"/>
              <w:jc w:val="right"/>
              <w:rPr>
                <w:rFonts w:ascii="Arial" w:hAnsi="Arial" w:cs="Arial" w:eastAsia="Arial" w:hint="default"/>
                <w:sz w:val="18"/>
                <w:szCs w:val="18"/>
              </w:rPr>
            </w:pPr>
            <w:r>
              <w:rPr>
                <w:rFonts w:ascii="Arial"/>
                <w:spacing w:val="-1"/>
                <w:sz w:val="18"/>
              </w:rPr>
              <w:t>212,187,348</w:t>
            </w:r>
          </w:p>
        </w:tc>
      </w:tr>
      <w:tr>
        <w:trPr>
          <w:trHeight w:val="456"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黑体" w:hAnsi="黑体" w:cs="黑体" w:eastAsia="黑体" w:hint="default"/>
                <w:sz w:val="18"/>
                <w:szCs w:val="18"/>
              </w:rPr>
            </w:pPr>
            <w:r>
              <w:rPr>
                <w:rFonts w:ascii="黑体" w:hAnsi="黑体" w:cs="黑体" w:eastAsia="黑体" w:hint="default"/>
                <w:sz w:val="18"/>
                <w:szCs w:val="18"/>
              </w:rPr>
              <w:t>取得存款利息收入所收到的现金</w:t>
            </w:r>
          </w:p>
          <w:p>
            <w:pPr>
              <w:pStyle w:val="TableParagraph"/>
              <w:spacing w:line="234" w:lineRule="exact"/>
              <w:ind w:left="35" w:right="0"/>
              <w:jc w:val="left"/>
              <w:rPr>
                <w:rFonts w:ascii="黑体" w:hAnsi="黑体" w:cs="黑体" w:eastAsia="黑体" w:hint="default"/>
                <w:sz w:val="18"/>
                <w:szCs w:val="18"/>
              </w:rPr>
            </w:pPr>
            <w:r>
              <w:rPr>
                <w:rFonts w:ascii="黑体" w:hAnsi="黑体" w:cs="黑体" w:eastAsia="黑体" w:hint="default"/>
                <w:sz w:val="18"/>
                <w:szCs w:val="18"/>
              </w:rPr>
              <w:t>处置固定资产、无形资产和其他长期资产</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15" w:right="0"/>
              <w:jc w:val="left"/>
              <w:rPr>
                <w:rFonts w:ascii="Arial" w:hAnsi="Arial" w:cs="Arial" w:eastAsia="Arial" w:hint="default"/>
                <w:sz w:val="18"/>
                <w:szCs w:val="18"/>
              </w:rPr>
            </w:pPr>
            <w:r>
              <w:rPr>
                <w:rFonts w:ascii="Arial"/>
                <w:sz w:val="18"/>
              </w:rPr>
              <w:t>10,890,380</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1"/>
              <w:jc w:val="right"/>
              <w:rPr>
                <w:rFonts w:ascii="Arial" w:hAnsi="Arial" w:cs="Arial" w:eastAsia="Arial" w:hint="default"/>
                <w:sz w:val="18"/>
                <w:szCs w:val="18"/>
              </w:rPr>
            </w:pPr>
            <w:r>
              <w:rPr>
                <w:rFonts w:ascii="Arial"/>
                <w:spacing w:val="-1"/>
                <w:sz w:val="18"/>
              </w:rPr>
              <w:t>9,354,346</w:t>
            </w:r>
          </w:p>
        </w:tc>
      </w:tr>
      <w:tr>
        <w:trPr>
          <w:trHeight w:val="815"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06" w:lineRule="exact"/>
              <w:ind w:left="231" w:right="0"/>
              <w:jc w:val="left"/>
              <w:rPr>
                <w:rFonts w:ascii="黑体" w:hAnsi="黑体" w:cs="黑体" w:eastAsia="黑体" w:hint="default"/>
                <w:sz w:val="18"/>
                <w:szCs w:val="18"/>
              </w:rPr>
            </w:pPr>
            <w:r>
              <w:rPr>
                <w:rFonts w:ascii="黑体" w:hAnsi="黑体" w:cs="黑体" w:eastAsia="黑体" w:hint="default"/>
                <w:sz w:val="18"/>
                <w:szCs w:val="18"/>
              </w:rPr>
              <w:t>收回的现金净额</w:t>
            </w:r>
          </w:p>
          <w:p>
            <w:pPr>
              <w:pStyle w:val="TableParagraph"/>
              <w:spacing w:line="240" w:lineRule="auto"/>
              <w:ind w:left="35" w:right="709"/>
              <w:jc w:val="left"/>
              <w:rPr>
                <w:rFonts w:ascii="黑体" w:hAnsi="黑体" w:cs="黑体" w:eastAsia="黑体" w:hint="default"/>
                <w:sz w:val="18"/>
                <w:szCs w:val="18"/>
              </w:rPr>
            </w:pPr>
            <w:r>
              <w:rPr>
                <w:rFonts w:ascii="黑体" w:hAnsi="黑体" w:cs="黑体" w:eastAsia="黑体" w:hint="default"/>
                <w:sz w:val="18"/>
                <w:szCs w:val="18"/>
              </w:rPr>
              <w:t>收到的其他与投资活动有关的现金 现金流入小计</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716" w:right="0"/>
              <w:jc w:val="left"/>
              <w:rPr>
                <w:rFonts w:ascii="Arial" w:hAnsi="Arial" w:cs="Arial" w:eastAsia="Arial" w:hint="default"/>
                <w:sz w:val="18"/>
                <w:szCs w:val="18"/>
              </w:rPr>
            </w:pPr>
            <w:r>
              <w:rPr>
                <w:rFonts w:ascii="Arial"/>
                <w:sz w:val="18"/>
              </w:rPr>
              <w:t>1,435,535</w:t>
            </w:r>
          </w:p>
          <w:p>
            <w:pPr>
              <w:pStyle w:val="TableParagraph"/>
              <w:tabs>
                <w:tab w:pos="1455" w:val="left" w:leader="none"/>
              </w:tabs>
              <w:spacing w:line="240" w:lineRule="auto" w:before="25"/>
              <w:ind w:left="285"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p>
            <w:pPr>
              <w:pStyle w:val="TableParagraph"/>
              <w:spacing w:line="240" w:lineRule="auto" w:before="27"/>
              <w:ind w:left="334"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1"/>
                <w:sz w:val="18"/>
                <w:u w:val="single" w:color="000000"/>
              </w:rPr>
              <w:t> </w:t>
            </w:r>
            <w:r>
              <w:rPr>
                <w:rFonts w:ascii="Arial"/>
                <w:sz w:val="18"/>
                <w:u w:val="single" w:color="000000"/>
              </w:rPr>
              <w:t>408,064,313</w:t>
            </w:r>
            <w:r>
              <w:rPr>
                <w:rFonts w:ascii="Arial"/>
                <w:sz w:val="18"/>
              </w:rPr>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82" w:right="0"/>
              <w:jc w:val="left"/>
              <w:rPr>
                <w:rFonts w:ascii="Arial" w:hAnsi="Arial" w:cs="Arial" w:eastAsia="Arial" w:hint="default"/>
                <w:sz w:val="18"/>
                <w:szCs w:val="18"/>
              </w:rPr>
            </w:pPr>
            <w:r>
              <w:rPr>
                <w:rFonts w:ascii="Arial"/>
                <w:sz w:val="18"/>
              </w:rPr>
              <w:t>62,338,129</w:t>
            </w:r>
          </w:p>
          <w:p>
            <w:pPr>
              <w:pStyle w:val="TableParagraph"/>
              <w:tabs>
                <w:tab w:pos="1424" w:val="left" w:leader="none"/>
              </w:tabs>
              <w:spacing w:line="240" w:lineRule="auto" w:before="26"/>
              <w:ind w:left="253"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p>
            <w:pPr>
              <w:pStyle w:val="TableParagraph"/>
              <w:spacing w:line="240" w:lineRule="auto" w:before="27"/>
              <w:ind w:left="302"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0"/>
                <w:sz w:val="18"/>
                <w:u w:val="single" w:color="000000"/>
              </w:rPr>
              <w:t> </w:t>
            </w:r>
            <w:r>
              <w:rPr>
                <w:rFonts w:ascii="Arial"/>
                <w:sz w:val="18"/>
                <w:u w:val="single" w:color="000000"/>
              </w:rPr>
              <w:t>424,329,259</w:t>
            </w:r>
            <w:r>
              <w:rPr>
                <w:rFonts w:ascii="Arial"/>
                <w:sz w:val="18"/>
              </w:rPr>
            </w:r>
          </w:p>
        </w:tc>
      </w:tr>
      <w:tr>
        <w:trPr>
          <w:trHeight w:val="326"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黑体" w:hAnsi="黑体" w:cs="黑体" w:eastAsia="黑体" w:hint="default"/>
                <w:sz w:val="18"/>
                <w:szCs w:val="18"/>
              </w:rPr>
            </w:pPr>
            <w:r>
              <w:rPr>
                <w:rFonts w:ascii="黑体" w:hAnsi="黑体" w:cs="黑体" w:eastAsia="黑体" w:hint="default"/>
                <w:spacing w:val="-2"/>
                <w:sz w:val="18"/>
                <w:szCs w:val="18"/>
              </w:rPr>
              <w:t>购建固定资产、无形资产和其他长期资产所</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
        </w:tc>
        <w:tc>
          <w:tcPr>
            <w:tcW w:w="1567" w:type="dxa"/>
            <w:tcBorders>
              <w:top w:val="nil" w:sz="6" w:space="0" w:color="auto"/>
              <w:left w:val="nil" w:sz="6" w:space="0" w:color="auto"/>
              <w:bottom w:val="nil" w:sz="6" w:space="0" w:color="auto"/>
              <w:right w:val="nil" w:sz="6" w:space="0" w:color="auto"/>
            </w:tcBorders>
          </w:tcPr>
          <w:p>
            <w:pPr/>
          </w:p>
        </w:tc>
      </w:tr>
      <w:tr>
        <w:trPr>
          <w:trHeight w:val="245"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06" w:lineRule="exact"/>
              <w:ind w:left="231" w:right="0"/>
              <w:jc w:val="left"/>
              <w:rPr>
                <w:rFonts w:ascii="黑体" w:hAnsi="黑体" w:cs="黑体" w:eastAsia="黑体" w:hint="default"/>
                <w:sz w:val="18"/>
                <w:szCs w:val="18"/>
              </w:rPr>
            </w:pPr>
            <w:r>
              <w:rPr>
                <w:rFonts w:ascii="黑体" w:hAnsi="黑体" w:cs="黑体" w:eastAsia="黑体" w:hint="default"/>
                <w:sz w:val="18"/>
                <w:szCs w:val="18"/>
              </w:rPr>
              <w:t>支付的现金</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74" w:right="0"/>
              <w:jc w:val="left"/>
              <w:rPr>
                <w:rFonts w:ascii="Arial" w:hAnsi="Arial" w:cs="Arial" w:eastAsia="Arial" w:hint="default"/>
                <w:sz w:val="18"/>
                <w:szCs w:val="18"/>
              </w:rPr>
            </w:pPr>
            <w:r>
              <w:rPr>
                <w:rFonts w:ascii="Arial"/>
                <w:sz w:val="18"/>
              </w:rPr>
              <w:t>(   232,535,513</w:t>
            </w:r>
            <w:r>
              <w:rPr>
                <w:rFonts w:ascii="Arial"/>
                <w:spacing w:val="-1"/>
                <w:sz w:val="18"/>
              </w:rPr>
              <w:t> </w:t>
            </w:r>
            <w:r>
              <w:rPr>
                <w:rFonts w:ascii="Arial"/>
                <w:sz w:val="18"/>
              </w:rPr>
              <w:t>)</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0"/>
              <w:jc w:val="right"/>
              <w:rPr>
                <w:rFonts w:ascii="Arial" w:hAnsi="Arial" w:cs="Arial" w:eastAsia="Arial" w:hint="default"/>
                <w:sz w:val="18"/>
                <w:szCs w:val="18"/>
              </w:rPr>
            </w:pPr>
            <w:r>
              <w:rPr>
                <w:rFonts w:ascii="Arial"/>
                <w:sz w:val="18"/>
              </w:rPr>
              <w:t>(   106,154,240</w:t>
            </w:r>
            <w:r>
              <w:rPr>
                <w:rFonts w:ascii="Arial"/>
                <w:spacing w:val="-7"/>
                <w:sz w:val="18"/>
              </w:rPr>
              <w:t> </w:t>
            </w:r>
            <w:r>
              <w:rPr>
                <w:rFonts w:ascii="Arial"/>
                <w:sz w:val="18"/>
              </w:rPr>
              <w:t>)</w:t>
            </w:r>
          </w:p>
        </w:tc>
      </w:tr>
      <w:tr>
        <w:trPr>
          <w:trHeight w:val="233"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黑体" w:hAnsi="黑体" w:cs="黑体" w:eastAsia="黑体" w:hint="default"/>
                <w:sz w:val="18"/>
                <w:szCs w:val="18"/>
              </w:rPr>
            </w:pPr>
            <w:r>
              <w:rPr>
                <w:rFonts w:ascii="黑体" w:hAnsi="黑体" w:cs="黑体" w:eastAsia="黑体" w:hint="default"/>
                <w:sz w:val="18"/>
                <w:szCs w:val="18"/>
              </w:rPr>
              <w:t>收购子公司所流出的现金净额</w:t>
            </w:r>
          </w:p>
        </w:tc>
        <w:tc>
          <w:tcPr>
            <w:tcW w:w="1918" w:type="dxa"/>
            <w:tcBorders>
              <w:top w:val="nil" w:sz="6" w:space="0" w:color="auto"/>
              <w:left w:val="nil" w:sz="6" w:space="0" w:color="auto"/>
              <w:bottom w:val="nil" w:sz="6" w:space="0" w:color="auto"/>
              <w:right w:val="nil" w:sz="6" w:space="0" w:color="auto"/>
            </w:tcBorders>
          </w:tcPr>
          <w:p>
            <w:pPr>
              <w:pStyle w:val="TableParagraph"/>
              <w:spacing w:line="208" w:lineRule="exact"/>
              <w:ind w:right="681"/>
              <w:jc w:val="right"/>
              <w:rPr>
                <w:rFonts w:ascii="Arial" w:hAnsi="Arial" w:cs="Arial" w:eastAsia="Arial" w:hint="default"/>
                <w:sz w:val="18"/>
                <w:szCs w:val="18"/>
              </w:rPr>
            </w:pPr>
            <w:r>
              <w:rPr>
                <w:rFonts w:ascii="黑体" w:hAnsi="黑体" w:cs="黑体" w:eastAsia="黑体" w:hint="default"/>
                <w:w w:val="95"/>
                <w:sz w:val="18"/>
                <w:szCs w:val="18"/>
              </w:rPr>
              <w:t>附注四、</w:t>
            </w:r>
            <w:r>
              <w:rPr>
                <w:rFonts w:ascii="Arial" w:hAnsi="Arial" w:cs="Arial" w:eastAsia="Arial" w:hint="default"/>
                <w:w w:val="95"/>
                <w:sz w:val="18"/>
                <w:szCs w:val="18"/>
              </w:rPr>
              <w:t>4</w:t>
            </w:r>
            <w:r>
              <w:rPr>
                <w:rFonts w:ascii="Arial" w:hAnsi="Arial" w:cs="Arial" w:eastAsia="Arial" w:hint="default"/>
                <w:sz w:val="18"/>
                <w:szCs w:val="18"/>
              </w:rPr>
            </w:r>
          </w:p>
        </w:tc>
        <w:tc>
          <w:tcPr>
            <w:tcW w:w="1838" w:type="dxa"/>
            <w:tcBorders>
              <w:top w:val="nil" w:sz="6" w:space="0" w:color="auto"/>
              <w:left w:val="nil" w:sz="6" w:space="0" w:color="auto"/>
              <w:bottom w:val="nil" w:sz="6" w:space="0" w:color="auto"/>
              <w:right w:val="nil" w:sz="6" w:space="0" w:color="auto"/>
            </w:tcBorders>
          </w:tcPr>
          <w:p>
            <w:pPr>
              <w:pStyle w:val="TableParagraph"/>
              <w:tabs>
                <w:tab w:pos="716" w:val="left" w:leader="none"/>
              </w:tabs>
              <w:spacing w:line="240" w:lineRule="auto" w:before="14"/>
              <w:ind w:left="265" w:right="0"/>
              <w:jc w:val="left"/>
              <w:rPr>
                <w:rFonts w:ascii="Arial" w:hAnsi="Arial" w:cs="Arial" w:eastAsia="Arial" w:hint="default"/>
                <w:sz w:val="18"/>
                <w:szCs w:val="18"/>
              </w:rPr>
            </w:pPr>
            <w:r>
              <w:rPr>
                <w:rFonts w:ascii="Arial"/>
                <w:sz w:val="18"/>
              </w:rPr>
              <w:t>(</w:t>
              <w:tab/>
              <w:t>1,100,000</w:t>
            </w:r>
            <w:r>
              <w:rPr>
                <w:rFonts w:ascii="Arial"/>
                <w:spacing w:val="-30"/>
                <w:sz w:val="18"/>
              </w:rPr>
              <w:t> </w:t>
            </w:r>
            <w:r>
              <w:rPr>
                <w:rFonts w:ascii="Arial"/>
                <w:sz w:val="18"/>
              </w:rPr>
              <w:t>)</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18"/>
                <w:szCs w:val="18"/>
              </w:rPr>
            </w:pPr>
            <w:r>
              <w:rPr>
                <w:rFonts w:ascii="Arial"/>
                <w:sz w:val="18"/>
              </w:rPr>
              <w:t>(   163,180,000</w:t>
            </w:r>
            <w:r>
              <w:rPr>
                <w:rFonts w:ascii="Arial"/>
                <w:spacing w:val="-7"/>
                <w:sz w:val="18"/>
              </w:rPr>
              <w:t> </w:t>
            </w:r>
            <w:r>
              <w:rPr>
                <w:rFonts w:ascii="Arial"/>
                <w:sz w:val="18"/>
              </w:rPr>
              <w:t>)</w:t>
            </w:r>
          </w:p>
        </w:tc>
      </w:tr>
      <w:tr>
        <w:trPr>
          <w:trHeight w:val="233"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黑体" w:hAnsi="黑体" w:cs="黑体" w:eastAsia="黑体" w:hint="default"/>
                <w:sz w:val="18"/>
                <w:szCs w:val="18"/>
              </w:rPr>
            </w:pPr>
            <w:r>
              <w:rPr>
                <w:rFonts w:ascii="黑体" w:hAnsi="黑体" w:cs="黑体" w:eastAsia="黑体" w:hint="default"/>
                <w:sz w:val="18"/>
                <w:szCs w:val="18"/>
              </w:rPr>
              <w:t>投资所支付的现金</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74" w:right="0"/>
              <w:jc w:val="left"/>
              <w:rPr>
                <w:rFonts w:ascii="Arial" w:hAnsi="Arial" w:cs="Arial" w:eastAsia="Arial" w:hint="default"/>
                <w:sz w:val="18"/>
                <w:szCs w:val="18"/>
              </w:rPr>
            </w:pPr>
            <w:r>
              <w:rPr>
                <w:rFonts w:ascii="Arial"/>
                <w:sz w:val="18"/>
              </w:rPr>
              <w:t>(   </w:t>
            </w:r>
            <w:r>
              <w:rPr>
                <w:rFonts w:ascii="Arial"/>
                <w:sz w:val="18"/>
                <w:u w:val="single" w:color="000000"/>
              </w:rPr>
              <w:t> 349,791,595</w:t>
            </w:r>
            <w:r>
              <w:rPr>
                <w:rFonts w:ascii="Arial"/>
                <w:spacing w:val="-1"/>
                <w:sz w:val="18"/>
                <w:u w:val="single" w:color="000000"/>
              </w:rPr>
              <w:t> </w:t>
            </w:r>
            <w:r>
              <w:rPr>
                <w:rFonts w:ascii="Arial"/>
                <w:spacing w:val="-1"/>
                <w:sz w:val="18"/>
              </w:rPr>
            </w:r>
            <w:r>
              <w:rPr>
                <w:rFonts w:ascii="Arial"/>
                <w:sz w:val="18"/>
              </w:rPr>
              <w:t>)</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18"/>
                <w:szCs w:val="18"/>
              </w:rPr>
            </w:pPr>
            <w:r>
              <w:rPr>
                <w:rFonts w:ascii="Arial"/>
                <w:sz w:val="18"/>
              </w:rPr>
              <w:t>(   </w:t>
            </w:r>
            <w:r>
              <w:rPr>
                <w:rFonts w:ascii="Arial"/>
                <w:sz w:val="18"/>
                <w:u w:val="single" w:color="000000"/>
              </w:rPr>
              <w:t> 188,828,527</w:t>
            </w:r>
            <w:r>
              <w:rPr>
                <w:rFonts w:ascii="Arial"/>
                <w:spacing w:val="-8"/>
                <w:sz w:val="18"/>
                <w:u w:val="single" w:color="000000"/>
              </w:rPr>
              <w:t> </w:t>
            </w:r>
            <w:r>
              <w:rPr>
                <w:rFonts w:ascii="Arial"/>
                <w:spacing w:val="-8"/>
                <w:sz w:val="18"/>
              </w:rPr>
            </w:r>
            <w:r>
              <w:rPr>
                <w:rFonts w:ascii="Arial"/>
                <w:sz w:val="18"/>
              </w:rPr>
              <w:t>)</w:t>
            </w:r>
          </w:p>
        </w:tc>
      </w:tr>
      <w:tr>
        <w:trPr>
          <w:trHeight w:val="337"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黑体" w:hAnsi="黑体" w:cs="黑体" w:eastAsia="黑体" w:hint="default"/>
                <w:sz w:val="18"/>
                <w:szCs w:val="18"/>
              </w:rPr>
            </w:pPr>
            <w:r>
              <w:rPr>
                <w:rFonts w:ascii="黑体" w:hAnsi="黑体" w:cs="黑体" w:eastAsia="黑体" w:hint="default"/>
                <w:sz w:val="18"/>
                <w:szCs w:val="18"/>
              </w:rPr>
              <w:t>现金流出小计</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4" w:right="0"/>
              <w:jc w:val="left"/>
              <w:rPr>
                <w:rFonts w:ascii="Arial" w:hAnsi="Arial" w:cs="Arial" w:eastAsia="Arial" w:hint="default"/>
                <w:sz w:val="18"/>
                <w:szCs w:val="18"/>
              </w:rPr>
            </w:pPr>
            <w:r>
              <w:rPr>
                <w:rFonts w:ascii="Arial"/>
                <w:sz w:val="18"/>
              </w:rPr>
              <w:t>(   </w:t>
            </w:r>
            <w:r>
              <w:rPr>
                <w:rFonts w:ascii="Arial"/>
                <w:sz w:val="18"/>
                <w:u w:val="single" w:color="000000"/>
              </w:rPr>
              <w:t> 583,427,108</w:t>
            </w:r>
            <w:r>
              <w:rPr>
                <w:rFonts w:ascii="Arial"/>
                <w:spacing w:val="-1"/>
                <w:sz w:val="18"/>
                <w:u w:val="single" w:color="000000"/>
              </w:rPr>
              <w:t> </w:t>
            </w:r>
            <w:r>
              <w:rPr>
                <w:rFonts w:ascii="Arial"/>
                <w:spacing w:val="-1"/>
                <w:sz w:val="18"/>
              </w:rPr>
            </w:r>
            <w:r>
              <w:rPr>
                <w:rFonts w:ascii="Arial"/>
                <w:sz w:val="18"/>
              </w:rPr>
              <w:t>)</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right"/>
              <w:rPr>
                <w:rFonts w:ascii="Arial" w:hAnsi="Arial" w:cs="Arial" w:eastAsia="Arial" w:hint="default"/>
                <w:sz w:val="18"/>
                <w:szCs w:val="18"/>
              </w:rPr>
            </w:pPr>
            <w:r>
              <w:rPr>
                <w:rFonts w:ascii="Arial"/>
                <w:sz w:val="18"/>
              </w:rPr>
              <w:t>(   </w:t>
            </w:r>
            <w:r>
              <w:rPr>
                <w:rFonts w:ascii="Arial"/>
                <w:sz w:val="18"/>
                <w:u w:val="single" w:color="000000"/>
              </w:rPr>
              <w:t> 458,162,767</w:t>
            </w:r>
            <w:r>
              <w:rPr>
                <w:rFonts w:ascii="Arial"/>
                <w:spacing w:val="-8"/>
                <w:sz w:val="18"/>
                <w:u w:val="single" w:color="000000"/>
              </w:rPr>
              <w:t> </w:t>
            </w:r>
            <w:r>
              <w:rPr>
                <w:rFonts w:ascii="Arial"/>
                <w:spacing w:val="-8"/>
                <w:sz w:val="18"/>
              </w:rPr>
            </w:r>
            <w:r>
              <w:rPr>
                <w:rFonts w:ascii="Arial"/>
                <w:sz w:val="18"/>
              </w:rPr>
              <w:t>)</w:t>
            </w:r>
          </w:p>
        </w:tc>
      </w:tr>
      <w:tr>
        <w:trPr>
          <w:trHeight w:val="440"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黑体" w:hAnsi="黑体" w:cs="黑体" w:eastAsia="黑体" w:hint="default"/>
                <w:sz w:val="18"/>
                <w:szCs w:val="18"/>
              </w:rPr>
            </w:pPr>
            <w:r>
              <w:rPr>
                <w:rFonts w:ascii="黑体" w:hAnsi="黑体" w:cs="黑体" w:eastAsia="黑体" w:hint="default"/>
                <w:sz w:val="18"/>
                <w:szCs w:val="18"/>
              </w:rPr>
              <w:t>投资活动产生的现金流量净额</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274" w:right="0"/>
              <w:jc w:val="left"/>
              <w:rPr>
                <w:rFonts w:ascii="Arial" w:hAnsi="Arial" w:cs="Arial" w:eastAsia="Arial" w:hint="default"/>
                <w:sz w:val="18"/>
                <w:szCs w:val="18"/>
              </w:rPr>
            </w:pPr>
            <w:r>
              <w:rPr>
                <w:rFonts w:ascii="Arial"/>
                <w:sz w:val="18"/>
              </w:rPr>
              <w:t>(   </w:t>
            </w:r>
            <w:r>
              <w:rPr>
                <w:rFonts w:ascii="Arial"/>
                <w:sz w:val="18"/>
                <w:u w:val="single" w:color="000000"/>
              </w:rPr>
              <w:t> 175,362,795</w:t>
            </w:r>
            <w:r>
              <w:rPr>
                <w:rFonts w:ascii="Arial"/>
                <w:spacing w:val="-1"/>
                <w:sz w:val="18"/>
                <w:u w:val="single" w:color="000000"/>
              </w:rPr>
              <w:t> </w:t>
            </w:r>
            <w:r>
              <w:rPr>
                <w:rFonts w:ascii="Arial"/>
                <w:spacing w:val="-1"/>
                <w:sz w:val="18"/>
              </w:rPr>
            </w:r>
            <w:r>
              <w:rPr>
                <w:rFonts w:ascii="Arial"/>
                <w:sz w:val="18"/>
              </w:rPr>
              <w:t>)</w:t>
            </w:r>
          </w:p>
        </w:tc>
        <w:tc>
          <w:tcPr>
            <w:tcW w:w="1567" w:type="dxa"/>
            <w:tcBorders>
              <w:top w:val="nil" w:sz="6" w:space="0" w:color="auto"/>
              <w:left w:val="nil" w:sz="6" w:space="0" w:color="auto"/>
              <w:bottom w:val="nil" w:sz="6" w:space="0" w:color="auto"/>
              <w:right w:val="nil" w:sz="6" w:space="0" w:color="auto"/>
            </w:tcBorders>
          </w:tcPr>
          <w:p>
            <w:pPr>
              <w:pStyle w:val="TableParagraph"/>
              <w:tabs>
                <w:tab w:pos="329" w:val="left" w:leader="none"/>
              </w:tabs>
              <w:spacing w:line="240" w:lineRule="auto" w:before="118"/>
              <w:ind w:right="0"/>
              <w:jc w:val="right"/>
              <w:rPr>
                <w:rFonts w:ascii="Arial" w:hAnsi="Arial" w:cs="Arial" w:eastAsia="Arial" w:hint="default"/>
                <w:sz w:val="18"/>
                <w:szCs w:val="18"/>
              </w:rPr>
            </w:pPr>
            <w:r>
              <w:rPr>
                <w:rFonts w:ascii="Arial"/>
                <w:sz w:val="18"/>
              </w:rPr>
              <w:t>(</w:t>
            </w:r>
            <w:r>
              <w:rPr>
                <w:rFonts w:ascii="Arial"/>
                <w:sz w:val="18"/>
                <w:u w:val="single" w:color="000000"/>
              </w:rPr>
              <w:t> </w:t>
              <w:tab/>
              <w:t>33,833,508</w:t>
            </w:r>
            <w:r>
              <w:rPr>
                <w:rFonts w:ascii="Arial"/>
                <w:spacing w:val="-36"/>
                <w:sz w:val="18"/>
                <w:u w:val="single" w:color="000000"/>
              </w:rPr>
              <w:t> </w:t>
            </w:r>
            <w:r>
              <w:rPr>
                <w:rFonts w:ascii="Arial"/>
                <w:spacing w:val="-36"/>
                <w:sz w:val="18"/>
              </w:rPr>
            </w:r>
            <w:r>
              <w:rPr>
                <w:rFonts w:ascii="Arial"/>
                <w:sz w:val="18"/>
              </w:rPr>
              <w:t>)</w:t>
            </w:r>
          </w:p>
        </w:tc>
      </w:tr>
      <w:tr>
        <w:trPr>
          <w:trHeight w:val="434"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Arial" w:hAnsi="Arial" w:cs="Arial" w:eastAsia="Arial" w:hint="default"/>
                <w:sz w:val="18"/>
                <w:szCs w:val="18"/>
              </w:rPr>
            </w:pPr>
            <w:r>
              <w:rPr>
                <w:rFonts w:ascii="黑体" w:hAnsi="黑体" w:cs="黑体" w:eastAsia="黑体" w:hint="default"/>
                <w:sz w:val="18"/>
                <w:szCs w:val="18"/>
              </w:rPr>
              <w:t>三、筹资活动产生的现金流量</w:t>
            </w:r>
            <w:r>
              <w:rPr>
                <w:rFonts w:ascii="Arial" w:hAnsi="Arial" w:cs="Arial" w:eastAsia="Arial" w:hint="default"/>
                <w:sz w:val="18"/>
                <w:szCs w:val="18"/>
              </w:rPr>
              <w:t>:</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
        </w:tc>
        <w:tc>
          <w:tcPr>
            <w:tcW w:w="1567" w:type="dxa"/>
            <w:tcBorders>
              <w:top w:val="nil" w:sz="6" w:space="0" w:color="auto"/>
              <w:left w:val="nil" w:sz="6" w:space="0" w:color="auto"/>
              <w:bottom w:val="nil" w:sz="6" w:space="0" w:color="auto"/>
              <w:right w:val="nil" w:sz="6" w:space="0" w:color="auto"/>
            </w:tcBorders>
          </w:tcPr>
          <w:p>
            <w:pPr/>
          </w:p>
        </w:tc>
      </w:tr>
      <w:tr>
        <w:trPr>
          <w:trHeight w:val="344"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黑体" w:hAnsi="黑体" w:cs="黑体" w:eastAsia="黑体" w:hint="default"/>
                <w:sz w:val="18"/>
                <w:szCs w:val="18"/>
              </w:rPr>
            </w:pPr>
            <w:r>
              <w:rPr>
                <w:rFonts w:ascii="黑体" w:hAnsi="黑体" w:cs="黑体" w:eastAsia="黑体" w:hint="default"/>
                <w:sz w:val="18"/>
                <w:szCs w:val="18"/>
              </w:rPr>
              <w:t>吸收投资所收到的现金</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334"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1"/>
                <w:sz w:val="18"/>
                <w:u w:val="single" w:color="000000"/>
              </w:rPr>
              <w:t> </w:t>
            </w:r>
            <w:r>
              <w:rPr>
                <w:rFonts w:ascii="Arial"/>
                <w:sz w:val="18"/>
                <w:u w:val="single" w:color="000000"/>
              </w:rPr>
              <w:t>280,712,827</w:t>
            </w:r>
            <w:r>
              <w:rPr>
                <w:rFonts w:ascii="Arial"/>
                <w:sz w:val="18"/>
              </w:rPr>
            </w:r>
          </w:p>
        </w:tc>
        <w:tc>
          <w:tcPr>
            <w:tcW w:w="1567" w:type="dxa"/>
            <w:tcBorders>
              <w:top w:val="nil" w:sz="6" w:space="0" w:color="auto"/>
              <w:left w:val="nil" w:sz="6" w:space="0" w:color="auto"/>
              <w:bottom w:val="nil" w:sz="6" w:space="0" w:color="auto"/>
              <w:right w:val="nil" w:sz="6" w:space="0" w:color="auto"/>
            </w:tcBorders>
          </w:tcPr>
          <w:p>
            <w:pPr>
              <w:pStyle w:val="TableParagraph"/>
              <w:tabs>
                <w:tab w:pos="582" w:val="left" w:leader="none"/>
              </w:tabs>
              <w:spacing w:line="240" w:lineRule="auto" w:before="125"/>
              <w:ind w:left="312"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55,693,081</w:t>
            </w:r>
            <w:r>
              <w:rPr>
                <w:rFonts w:ascii="Arial"/>
                <w:sz w:val="18"/>
              </w:rPr>
            </w:r>
          </w:p>
        </w:tc>
      </w:tr>
      <w:tr>
        <w:trPr>
          <w:trHeight w:val="337"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黑体" w:hAnsi="黑体" w:cs="黑体" w:eastAsia="黑体" w:hint="default"/>
                <w:sz w:val="18"/>
                <w:szCs w:val="18"/>
              </w:rPr>
            </w:pPr>
            <w:r>
              <w:rPr>
                <w:rFonts w:ascii="黑体" w:hAnsi="黑体" w:cs="黑体" w:eastAsia="黑体" w:hint="default"/>
                <w:sz w:val="18"/>
                <w:szCs w:val="18"/>
              </w:rPr>
              <w:t>现金流入小计</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34"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1"/>
                <w:sz w:val="18"/>
                <w:u w:val="single" w:color="000000"/>
              </w:rPr>
              <w:t> </w:t>
            </w:r>
            <w:r>
              <w:rPr>
                <w:rFonts w:ascii="Arial"/>
                <w:sz w:val="18"/>
                <w:u w:val="single" w:color="000000"/>
              </w:rPr>
              <w:t>280,712,827</w:t>
            </w:r>
            <w:r>
              <w:rPr>
                <w:rFonts w:ascii="Arial"/>
                <w:sz w:val="18"/>
              </w:rPr>
            </w:r>
          </w:p>
        </w:tc>
        <w:tc>
          <w:tcPr>
            <w:tcW w:w="1567" w:type="dxa"/>
            <w:tcBorders>
              <w:top w:val="nil" w:sz="6" w:space="0" w:color="auto"/>
              <w:left w:val="nil" w:sz="6" w:space="0" w:color="auto"/>
              <w:bottom w:val="nil" w:sz="6" w:space="0" w:color="auto"/>
              <w:right w:val="nil" w:sz="6" w:space="0" w:color="auto"/>
            </w:tcBorders>
          </w:tcPr>
          <w:p>
            <w:pPr>
              <w:pStyle w:val="TableParagraph"/>
              <w:tabs>
                <w:tab w:pos="582" w:val="left" w:leader="none"/>
              </w:tabs>
              <w:spacing w:line="240" w:lineRule="auto" w:before="15"/>
              <w:ind w:left="312"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55,693,081</w:t>
            </w:r>
            <w:r>
              <w:rPr>
                <w:rFonts w:ascii="Arial"/>
                <w:sz w:val="18"/>
              </w:rPr>
            </w:r>
          </w:p>
        </w:tc>
      </w:tr>
      <w:tr>
        <w:trPr>
          <w:trHeight w:val="337"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黑体" w:hAnsi="黑体" w:cs="黑体" w:eastAsia="黑体" w:hint="default"/>
                <w:sz w:val="18"/>
                <w:szCs w:val="18"/>
              </w:rPr>
            </w:pPr>
            <w:r>
              <w:rPr>
                <w:rFonts w:ascii="黑体" w:hAnsi="黑体" w:cs="黑体" w:eastAsia="黑体" w:hint="default"/>
                <w:sz w:val="18"/>
                <w:szCs w:val="18"/>
              </w:rPr>
              <w:t>分配股利和偿付利息所支付的现金</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274" w:right="0"/>
              <w:jc w:val="left"/>
              <w:rPr>
                <w:rFonts w:ascii="Arial" w:hAnsi="Arial" w:cs="Arial" w:eastAsia="Arial" w:hint="default"/>
                <w:sz w:val="18"/>
                <w:szCs w:val="18"/>
              </w:rPr>
            </w:pPr>
            <w:r>
              <w:rPr>
                <w:rFonts w:ascii="Arial"/>
                <w:sz w:val="18"/>
              </w:rPr>
              <w:t>(   139,998,893</w:t>
            </w:r>
            <w:r>
              <w:rPr>
                <w:rFonts w:ascii="Arial"/>
                <w:spacing w:val="-1"/>
                <w:sz w:val="18"/>
              </w:rPr>
              <w:t> </w:t>
            </w:r>
            <w:r>
              <w:rPr>
                <w:rFonts w:ascii="Arial"/>
                <w:sz w:val="18"/>
              </w:rPr>
              <w:t>)</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0"/>
              <w:jc w:val="right"/>
              <w:rPr>
                <w:rFonts w:ascii="Arial" w:hAnsi="Arial" w:cs="Arial" w:eastAsia="Arial" w:hint="default"/>
                <w:sz w:val="18"/>
                <w:szCs w:val="18"/>
              </w:rPr>
            </w:pPr>
            <w:r>
              <w:rPr>
                <w:rFonts w:ascii="Arial"/>
                <w:sz w:val="18"/>
              </w:rPr>
              <w:t>(   231,361,200</w:t>
            </w:r>
            <w:r>
              <w:rPr>
                <w:rFonts w:ascii="Arial"/>
                <w:spacing w:val="-7"/>
                <w:sz w:val="18"/>
              </w:rPr>
              <w:t> </w:t>
            </w:r>
            <w:r>
              <w:rPr>
                <w:rFonts w:ascii="Arial"/>
                <w:sz w:val="18"/>
              </w:rPr>
              <w:t>)</w:t>
            </w:r>
          </w:p>
        </w:tc>
      </w:tr>
      <w:tr>
        <w:trPr>
          <w:trHeight w:val="233"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黑体" w:hAnsi="黑体" w:cs="黑体" w:eastAsia="黑体" w:hint="default"/>
                <w:sz w:val="18"/>
                <w:szCs w:val="18"/>
              </w:rPr>
            </w:pPr>
            <w:r>
              <w:rPr>
                <w:rFonts w:ascii="黑体" w:hAnsi="黑体" w:cs="黑体" w:eastAsia="黑体" w:hint="default"/>
                <w:sz w:val="18"/>
                <w:szCs w:val="18"/>
              </w:rPr>
              <w:t>支付的其他与筹资活动有关的现金</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tabs>
                <w:tab w:pos="865" w:val="left" w:leader="none"/>
              </w:tabs>
              <w:spacing w:line="240" w:lineRule="auto" w:before="14"/>
              <w:ind w:left="265" w:right="0"/>
              <w:jc w:val="left"/>
              <w:rPr>
                <w:rFonts w:ascii="Arial" w:hAnsi="Arial" w:cs="Arial" w:eastAsia="Arial" w:hint="default"/>
                <w:sz w:val="18"/>
                <w:szCs w:val="18"/>
              </w:rPr>
            </w:pPr>
            <w:r>
              <w:rPr>
                <w:rFonts w:ascii="Arial"/>
                <w:sz w:val="18"/>
              </w:rPr>
              <w:t>(</w:t>
            </w:r>
            <w:r>
              <w:rPr>
                <w:rFonts w:ascii="Arial"/>
                <w:sz w:val="18"/>
                <w:u w:val="single" w:color="000000"/>
              </w:rPr>
              <w:t> </w:t>
              <w:tab/>
              <w:t>219,490</w:t>
            </w:r>
            <w:r>
              <w:rPr>
                <w:rFonts w:ascii="Arial"/>
                <w:spacing w:val="-28"/>
                <w:sz w:val="18"/>
                <w:u w:val="single" w:color="000000"/>
              </w:rPr>
              <w:t> </w:t>
            </w:r>
            <w:r>
              <w:rPr>
                <w:rFonts w:ascii="Arial"/>
                <w:spacing w:val="-28"/>
                <w:sz w:val="18"/>
              </w:rPr>
            </w:r>
            <w:r>
              <w:rPr>
                <w:rFonts w:ascii="Arial"/>
                <w:sz w:val="18"/>
              </w:rPr>
              <w:t>)</w:t>
            </w:r>
          </w:p>
        </w:tc>
        <w:tc>
          <w:tcPr>
            <w:tcW w:w="1567" w:type="dxa"/>
            <w:tcBorders>
              <w:top w:val="nil" w:sz="6" w:space="0" w:color="auto"/>
              <w:left w:val="nil" w:sz="6" w:space="0" w:color="auto"/>
              <w:bottom w:val="nil" w:sz="6" w:space="0" w:color="auto"/>
              <w:right w:val="nil" w:sz="6" w:space="0" w:color="auto"/>
            </w:tcBorders>
          </w:tcPr>
          <w:p>
            <w:pPr>
              <w:pStyle w:val="TableParagraph"/>
              <w:tabs>
                <w:tab w:pos="599" w:val="left" w:leader="none"/>
              </w:tabs>
              <w:spacing w:line="240" w:lineRule="auto" w:before="14"/>
              <w:ind w:right="0"/>
              <w:jc w:val="right"/>
              <w:rPr>
                <w:rFonts w:ascii="Arial" w:hAnsi="Arial" w:cs="Arial" w:eastAsia="Arial" w:hint="default"/>
                <w:sz w:val="18"/>
                <w:szCs w:val="18"/>
              </w:rPr>
            </w:pPr>
            <w:r>
              <w:rPr>
                <w:rFonts w:ascii="Arial"/>
                <w:sz w:val="18"/>
              </w:rPr>
              <w:t>(</w:t>
            </w:r>
            <w:r>
              <w:rPr>
                <w:rFonts w:ascii="Arial"/>
                <w:sz w:val="18"/>
                <w:u w:val="single" w:color="000000"/>
              </w:rPr>
              <w:t> </w:t>
              <w:tab/>
              <w:t>728,700</w:t>
            </w:r>
            <w:r>
              <w:rPr>
                <w:rFonts w:ascii="Arial"/>
                <w:spacing w:val="-33"/>
                <w:sz w:val="18"/>
                <w:u w:val="single" w:color="000000"/>
              </w:rPr>
              <w:t> </w:t>
            </w:r>
            <w:r>
              <w:rPr>
                <w:rFonts w:ascii="Arial"/>
                <w:spacing w:val="-33"/>
                <w:sz w:val="18"/>
              </w:rPr>
            </w:r>
            <w:r>
              <w:rPr>
                <w:rFonts w:ascii="Arial"/>
                <w:sz w:val="18"/>
              </w:rPr>
              <w:t>)</w:t>
            </w:r>
          </w:p>
        </w:tc>
      </w:tr>
      <w:tr>
        <w:trPr>
          <w:trHeight w:val="337"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黑体" w:hAnsi="黑体" w:cs="黑体" w:eastAsia="黑体" w:hint="default"/>
                <w:sz w:val="18"/>
                <w:szCs w:val="18"/>
              </w:rPr>
            </w:pPr>
            <w:r>
              <w:rPr>
                <w:rFonts w:ascii="黑体" w:hAnsi="黑体" w:cs="黑体" w:eastAsia="黑体" w:hint="default"/>
                <w:sz w:val="18"/>
                <w:szCs w:val="18"/>
              </w:rPr>
              <w:t>现金流出小计</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4" w:right="0"/>
              <w:jc w:val="left"/>
              <w:rPr>
                <w:rFonts w:ascii="Arial" w:hAnsi="Arial" w:cs="Arial" w:eastAsia="Arial" w:hint="default"/>
                <w:sz w:val="18"/>
                <w:szCs w:val="18"/>
              </w:rPr>
            </w:pPr>
            <w:r>
              <w:rPr>
                <w:rFonts w:ascii="Arial"/>
                <w:sz w:val="18"/>
              </w:rPr>
              <w:t>(   </w:t>
            </w:r>
            <w:r>
              <w:rPr>
                <w:rFonts w:ascii="Arial"/>
                <w:sz w:val="18"/>
                <w:u w:val="single" w:color="000000"/>
              </w:rPr>
              <w:t> 140,218,383</w:t>
            </w:r>
            <w:r>
              <w:rPr>
                <w:rFonts w:ascii="Arial"/>
                <w:spacing w:val="-1"/>
                <w:sz w:val="18"/>
                <w:u w:val="single" w:color="000000"/>
              </w:rPr>
              <w:t> </w:t>
            </w:r>
            <w:r>
              <w:rPr>
                <w:rFonts w:ascii="Arial"/>
                <w:spacing w:val="-1"/>
                <w:sz w:val="18"/>
              </w:rPr>
            </w:r>
            <w:r>
              <w:rPr>
                <w:rFonts w:ascii="Arial"/>
                <w:sz w:val="18"/>
              </w:rPr>
              <w:t>)</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right"/>
              <w:rPr>
                <w:rFonts w:ascii="Arial" w:hAnsi="Arial" w:cs="Arial" w:eastAsia="Arial" w:hint="default"/>
                <w:sz w:val="18"/>
                <w:szCs w:val="18"/>
              </w:rPr>
            </w:pPr>
            <w:r>
              <w:rPr>
                <w:rFonts w:ascii="Arial"/>
                <w:sz w:val="18"/>
              </w:rPr>
              <w:t>(   </w:t>
            </w:r>
            <w:r>
              <w:rPr>
                <w:rFonts w:ascii="Arial"/>
                <w:sz w:val="18"/>
                <w:u w:val="single" w:color="000000"/>
              </w:rPr>
              <w:t> 232,089,900</w:t>
            </w:r>
            <w:r>
              <w:rPr>
                <w:rFonts w:ascii="Arial"/>
                <w:spacing w:val="-8"/>
                <w:sz w:val="18"/>
                <w:u w:val="single" w:color="000000"/>
              </w:rPr>
              <w:t> </w:t>
            </w:r>
            <w:r>
              <w:rPr>
                <w:rFonts w:ascii="Arial"/>
                <w:spacing w:val="-8"/>
                <w:sz w:val="18"/>
              </w:rPr>
            </w:r>
            <w:r>
              <w:rPr>
                <w:rFonts w:ascii="Arial"/>
                <w:sz w:val="18"/>
              </w:rPr>
              <w:t>)</w:t>
            </w:r>
          </w:p>
        </w:tc>
      </w:tr>
      <w:tr>
        <w:trPr>
          <w:trHeight w:val="440"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黑体" w:hAnsi="黑体" w:cs="黑体" w:eastAsia="黑体" w:hint="default"/>
                <w:sz w:val="18"/>
                <w:szCs w:val="18"/>
              </w:rPr>
            </w:pPr>
            <w:r>
              <w:rPr>
                <w:rFonts w:ascii="黑体" w:hAnsi="黑体" w:cs="黑体" w:eastAsia="黑体" w:hint="default"/>
                <w:sz w:val="18"/>
                <w:szCs w:val="18"/>
              </w:rPr>
              <w:t>筹资活动产生的现金流量净额</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34"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1"/>
                <w:sz w:val="18"/>
                <w:u w:val="single" w:color="000000"/>
              </w:rPr>
              <w:t> </w:t>
            </w:r>
            <w:r>
              <w:rPr>
                <w:rFonts w:ascii="Arial"/>
                <w:sz w:val="18"/>
                <w:u w:val="single" w:color="000000"/>
              </w:rPr>
              <w:t>140,494,444</w:t>
            </w:r>
            <w:r>
              <w:rPr>
                <w:rFonts w:ascii="Arial"/>
                <w:sz w:val="18"/>
              </w:rPr>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0"/>
              <w:jc w:val="right"/>
              <w:rPr>
                <w:rFonts w:ascii="Arial" w:hAnsi="Arial" w:cs="Arial" w:eastAsia="Arial" w:hint="default"/>
                <w:sz w:val="18"/>
                <w:szCs w:val="18"/>
              </w:rPr>
            </w:pPr>
            <w:r>
              <w:rPr>
                <w:rFonts w:ascii="Arial"/>
                <w:sz w:val="18"/>
              </w:rPr>
              <w:t>(   </w:t>
            </w:r>
            <w:r>
              <w:rPr>
                <w:rFonts w:ascii="Arial"/>
                <w:sz w:val="18"/>
                <w:u w:val="single" w:color="000000"/>
              </w:rPr>
              <w:t> 176,396,819</w:t>
            </w:r>
            <w:r>
              <w:rPr>
                <w:rFonts w:ascii="Arial"/>
                <w:spacing w:val="-7"/>
                <w:sz w:val="18"/>
                <w:u w:val="single" w:color="000000"/>
              </w:rPr>
              <w:t> </w:t>
            </w:r>
            <w:r>
              <w:rPr>
                <w:rFonts w:ascii="Arial"/>
                <w:spacing w:val="-7"/>
                <w:sz w:val="18"/>
              </w:rPr>
            </w:r>
            <w:r>
              <w:rPr>
                <w:rFonts w:ascii="Arial"/>
                <w:sz w:val="18"/>
              </w:rPr>
              <w:t>)</w:t>
            </w:r>
          </w:p>
        </w:tc>
      </w:tr>
      <w:tr>
        <w:trPr>
          <w:trHeight w:val="440"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黑体" w:hAnsi="黑体" w:cs="黑体" w:eastAsia="黑体" w:hint="default"/>
                <w:sz w:val="18"/>
                <w:szCs w:val="18"/>
              </w:rPr>
            </w:pPr>
            <w:r>
              <w:rPr>
                <w:rFonts w:ascii="黑体" w:hAnsi="黑体" w:cs="黑体" w:eastAsia="黑体" w:hint="default"/>
                <w:sz w:val="18"/>
                <w:szCs w:val="18"/>
              </w:rPr>
              <w:t>四、汇率变动对现金的影响额</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tabs>
                <w:tab w:pos="1215" w:val="left" w:leader="none"/>
              </w:tabs>
              <w:spacing w:line="240" w:lineRule="auto" w:before="118"/>
              <w:ind w:left="255" w:right="0"/>
              <w:jc w:val="left"/>
              <w:rPr>
                <w:rFonts w:ascii="Arial" w:hAnsi="Arial" w:cs="Arial" w:eastAsia="Arial" w:hint="default"/>
                <w:sz w:val="18"/>
                <w:szCs w:val="18"/>
              </w:rPr>
            </w:pPr>
            <w:r>
              <w:rPr>
                <w:rFonts w:ascii="Arial"/>
                <w:sz w:val="18"/>
              </w:rPr>
              <w:t>(</w:t>
            </w:r>
            <w:r>
              <w:rPr>
                <w:rFonts w:ascii="Arial"/>
                <w:sz w:val="18"/>
                <w:u w:val="single" w:color="000000"/>
              </w:rPr>
              <w:t> </w:t>
              <w:tab/>
              <w:t>336</w:t>
            </w:r>
            <w:r>
              <w:rPr>
                <w:rFonts w:ascii="Arial"/>
                <w:spacing w:val="-24"/>
                <w:sz w:val="18"/>
                <w:u w:val="single" w:color="000000"/>
              </w:rPr>
              <w:t> </w:t>
            </w:r>
            <w:r>
              <w:rPr>
                <w:rFonts w:ascii="Arial"/>
                <w:spacing w:val="-24"/>
                <w:sz w:val="18"/>
              </w:rPr>
            </w:r>
            <w:r>
              <w:rPr>
                <w:rFonts w:ascii="Arial"/>
                <w:sz w:val="18"/>
              </w:rPr>
              <w:t>)</w:t>
            </w:r>
          </w:p>
        </w:tc>
        <w:tc>
          <w:tcPr>
            <w:tcW w:w="1567" w:type="dxa"/>
            <w:tcBorders>
              <w:top w:val="nil" w:sz="6" w:space="0" w:color="auto"/>
              <w:left w:val="nil" w:sz="6" w:space="0" w:color="auto"/>
              <w:bottom w:val="nil" w:sz="6" w:space="0" w:color="auto"/>
              <w:right w:val="nil" w:sz="6" w:space="0" w:color="auto"/>
            </w:tcBorders>
          </w:tcPr>
          <w:p>
            <w:pPr>
              <w:pStyle w:val="TableParagraph"/>
              <w:tabs>
                <w:tab w:pos="419" w:val="left" w:leader="none"/>
              </w:tabs>
              <w:spacing w:line="240" w:lineRule="auto" w:before="118"/>
              <w:ind w:right="0"/>
              <w:jc w:val="right"/>
              <w:rPr>
                <w:rFonts w:ascii="Arial" w:hAnsi="Arial" w:cs="Arial" w:eastAsia="Arial" w:hint="default"/>
                <w:sz w:val="18"/>
                <w:szCs w:val="18"/>
              </w:rPr>
            </w:pPr>
            <w:r>
              <w:rPr>
                <w:rFonts w:ascii="Arial"/>
                <w:sz w:val="18"/>
              </w:rPr>
              <w:t>(</w:t>
            </w:r>
            <w:r>
              <w:rPr>
                <w:rFonts w:ascii="Arial"/>
                <w:sz w:val="18"/>
                <w:u w:val="single" w:color="000000"/>
              </w:rPr>
              <w:t> </w:t>
              <w:tab/>
              <w:t>1,448,406</w:t>
            </w:r>
            <w:r>
              <w:rPr>
                <w:rFonts w:ascii="Arial"/>
                <w:spacing w:val="-35"/>
                <w:sz w:val="18"/>
                <w:u w:val="single" w:color="000000"/>
              </w:rPr>
              <w:t> </w:t>
            </w:r>
            <w:r>
              <w:rPr>
                <w:rFonts w:ascii="Arial"/>
                <w:spacing w:val="-35"/>
                <w:sz w:val="18"/>
              </w:rPr>
            </w:r>
            <w:r>
              <w:rPr>
                <w:rFonts w:ascii="Arial"/>
                <w:sz w:val="18"/>
              </w:rPr>
              <w:t>)</w:t>
            </w:r>
          </w:p>
        </w:tc>
      </w:tr>
      <w:tr>
        <w:trPr>
          <w:trHeight w:val="440"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黑体" w:hAnsi="黑体" w:cs="黑体" w:eastAsia="黑体" w:hint="default"/>
                <w:sz w:val="18"/>
                <w:szCs w:val="18"/>
              </w:rPr>
            </w:pPr>
            <w:r>
              <w:rPr>
                <w:rFonts w:ascii="黑体" w:hAnsi="黑体" w:cs="黑体" w:eastAsia="黑体" w:hint="default"/>
                <w:sz w:val="18"/>
                <w:szCs w:val="18"/>
              </w:rPr>
              <w:t>五、现金及现金等价物净增加额</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515" w:right="0"/>
              <w:jc w:val="left"/>
              <w:rPr>
                <w:rFonts w:ascii="Arial" w:hAnsi="Arial" w:cs="Arial" w:eastAsia="Arial" w:hint="default"/>
                <w:sz w:val="18"/>
                <w:szCs w:val="18"/>
              </w:rPr>
            </w:pPr>
            <w:r>
              <w:rPr>
                <w:rFonts w:ascii="Arial"/>
                <w:sz w:val="18"/>
              </w:rPr>
              <w:t>338,392,493</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82"/>
              <w:jc w:val="right"/>
              <w:rPr>
                <w:rFonts w:ascii="Arial" w:hAnsi="Arial" w:cs="Arial" w:eastAsia="Arial" w:hint="default"/>
                <w:sz w:val="18"/>
                <w:szCs w:val="18"/>
              </w:rPr>
            </w:pPr>
            <w:r>
              <w:rPr>
                <w:rFonts w:ascii="Arial"/>
                <w:spacing w:val="-1"/>
                <w:sz w:val="18"/>
              </w:rPr>
              <w:t>84,220,370</w:t>
            </w:r>
          </w:p>
        </w:tc>
      </w:tr>
      <w:tr>
        <w:trPr>
          <w:trHeight w:val="440"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黑体" w:hAnsi="黑体" w:cs="黑体" w:eastAsia="黑体" w:hint="default"/>
                <w:sz w:val="18"/>
                <w:szCs w:val="18"/>
              </w:rPr>
            </w:pPr>
            <w:r>
              <w:rPr>
                <w:rFonts w:ascii="黑体" w:hAnsi="黑体" w:cs="黑体" w:eastAsia="黑体" w:hint="default"/>
                <w:sz w:val="18"/>
                <w:szCs w:val="18"/>
              </w:rPr>
              <w:t>加：年初现金及现金等价物金额</w:t>
            </w:r>
          </w:p>
        </w:tc>
        <w:tc>
          <w:tcPr>
            <w:tcW w:w="1918"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34"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1"/>
                <w:sz w:val="18"/>
                <w:u w:val="single" w:color="000000"/>
              </w:rPr>
              <w:t> </w:t>
            </w:r>
            <w:r>
              <w:rPr>
                <w:rFonts w:ascii="Arial"/>
                <w:sz w:val="18"/>
                <w:u w:val="single" w:color="000000"/>
              </w:rPr>
              <w:t>792,437,654</w:t>
            </w:r>
            <w:r>
              <w:rPr>
                <w:rFonts w:ascii="Arial"/>
                <w:sz w:val="18"/>
              </w:rPr>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02"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0"/>
                <w:sz w:val="18"/>
                <w:u w:val="single" w:color="000000"/>
              </w:rPr>
              <w:t> </w:t>
            </w:r>
            <w:r>
              <w:rPr>
                <w:rFonts w:ascii="Arial"/>
                <w:sz w:val="18"/>
                <w:u w:val="single" w:color="000000"/>
              </w:rPr>
              <w:t>708,217,284</w:t>
            </w:r>
            <w:r>
              <w:rPr>
                <w:rFonts w:ascii="Arial"/>
                <w:sz w:val="18"/>
              </w:rPr>
            </w:r>
          </w:p>
        </w:tc>
      </w:tr>
      <w:tr>
        <w:trPr>
          <w:trHeight w:val="421" w:hRule="exact"/>
        </w:trPr>
        <w:tc>
          <w:tcPr>
            <w:tcW w:w="344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黑体" w:hAnsi="黑体" w:cs="黑体" w:eastAsia="黑体" w:hint="default"/>
                <w:sz w:val="18"/>
                <w:szCs w:val="18"/>
              </w:rPr>
            </w:pPr>
            <w:r>
              <w:rPr>
                <w:rFonts w:ascii="黑体" w:hAnsi="黑体" w:cs="黑体" w:eastAsia="黑体" w:hint="default"/>
                <w:sz w:val="18"/>
                <w:szCs w:val="18"/>
              </w:rPr>
              <w:t>六、年末现金及现金等价物余额</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265"/>
              <w:jc w:val="center"/>
              <w:rPr>
                <w:rFonts w:ascii="Arial" w:hAnsi="Arial" w:cs="Arial" w:eastAsia="Arial" w:hint="default"/>
                <w:sz w:val="18"/>
                <w:szCs w:val="18"/>
              </w:rPr>
            </w:pPr>
            <w:r>
              <w:rPr>
                <w:rFonts w:ascii="Arial"/>
                <w:sz w:val="18"/>
              </w:rPr>
              <w:t>38</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65" w:right="0"/>
              <w:jc w:val="left"/>
              <w:rPr>
                <w:rFonts w:ascii="Arial" w:hAnsi="Arial" w:cs="Arial" w:eastAsia="Arial" w:hint="default"/>
                <w:sz w:val="18"/>
                <w:szCs w:val="18"/>
              </w:rPr>
            </w:pPr>
            <w:r>
              <w:rPr>
                <w:rFonts w:ascii="Arial"/>
                <w:w w:val="99"/>
                <w:sz w:val="18"/>
              </w:rPr>
            </w:r>
            <w:r>
              <w:rPr>
                <w:rFonts w:ascii="Arial"/>
                <w:sz w:val="18"/>
                <w:u w:val="thick" w:color="000000"/>
              </w:rPr>
              <w:t>1,130,830,147</w:t>
            </w:r>
            <w:r>
              <w:rPr>
                <w:rFonts w:ascii="Arial"/>
                <w:sz w:val="18"/>
              </w:rPr>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02" w:right="0"/>
              <w:jc w:val="lef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z w:val="18"/>
                <w:u w:val="thick" w:color="000000"/>
              </w:rPr>
              <w:t>  </w:t>
            </w:r>
            <w:r>
              <w:rPr>
                <w:rFonts w:ascii="Arial"/>
                <w:spacing w:val="-20"/>
                <w:sz w:val="18"/>
                <w:u w:val="thick" w:color="000000"/>
              </w:rPr>
              <w:t> </w:t>
            </w:r>
            <w:r>
              <w:rPr>
                <w:rFonts w:ascii="Arial"/>
                <w:sz w:val="18"/>
                <w:u w:val="thick" w:color="000000"/>
              </w:rPr>
              <w:t>792,437,654</w:t>
            </w:r>
            <w:r>
              <w:rPr>
                <w:rFonts w:ascii="Arial"/>
                <w:sz w:val="18"/>
              </w:rPr>
            </w:r>
          </w:p>
        </w:tc>
      </w:tr>
    </w:tbl>
    <w:p>
      <w:pPr>
        <w:spacing w:after="0" w:line="240" w:lineRule="auto"/>
        <w:jc w:val="left"/>
        <w:rPr>
          <w:rFonts w:ascii="Arial" w:hAnsi="Arial" w:cs="Arial" w:eastAsia="Arial" w:hint="default"/>
          <w:sz w:val="18"/>
          <w:szCs w:val="18"/>
        </w:rPr>
        <w:sectPr>
          <w:headerReference w:type="default" r:id="rId42"/>
          <w:footerReference w:type="default" r:id="rId43"/>
          <w:pgSz w:w="11910" w:h="16840"/>
          <w:pgMar w:header="958" w:footer="834" w:top="1160" w:bottom="1020" w:left="1540" w:right="1380"/>
        </w:sectPr>
      </w:pPr>
    </w:p>
    <w:p>
      <w:pPr>
        <w:pStyle w:val="Heading9"/>
        <w:spacing w:line="284" w:lineRule="exact"/>
        <w:ind w:left="3500" w:right="3562"/>
        <w:jc w:val="center"/>
        <w:rPr>
          <w:b w:val="0"/>
          <w:bCs w:val="0"/>
        </w:rPr>
      </w:pPr>
      <w:r>
        <w:rPr/>
        <w:t>财务报表附注</w:t>
      </w:r>
      <w:r>
        <w:rPr>
          <w:b w:val="0"/>
          <w:bCs w:val="0"/>
        </w:rPr>
      </w:r>
    </w:p>
    <w:p>
      <w:pPr>
        <w:spacing w:line="303" w:lineRule="exact" w:before="0"/>
        <w:ind w:left="3500" w:right="3563"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黑体" w:hAnsi="黑体" w:cs="黑体" w:eastAsia="黑体" w:hint="default"/>
          <w:b/>
          <w:bCs/>
          <w:sz w:val="22"/>
          <w:szCs w:val="22"/>
        </w:rPr>
        <w:t>年</w:t>
      </w:r>
      <w:r>
        <w:rPr>
          <w:rFonts w:ascii="Arial" w:hAnsi="Arial" w:cs="Arial" w:eastAsia="Arial" w:hint="default"/>
          <w:b/>
          <w:bCs/>
          <w:sz w:val="22"/>
          <w:szCs w:val="22"/>
        </w:rPr>
        <w:t>12</w:t>
      </w:r>
      <w:r>
        <w:rPr>
          <w:rFonts w:ascii="黑体" w:hAnsi="黑体" w:cs="黑体" w:eastAsia="黑体" w:hint="default"/>
          <w:b/>
          <w:bCs/>
          <w:sz w:val="22"/>
          <w:szCs w:val="22"/>
        </w:rPr>
        <w:t>月</w:t>
      </w:r>
      <w:r>
        <w:rPr>
          <w:rFonts w:ascii="Arial" w:hAnsi="Arial" w:cs="Arial" w:eastAsia="Arial" w:hint="default"/>
          <w:b/>
          <w:bCs/>
          <w:sz w:val="22"/>
          <w:szCs w:val="22"/>
        </w:rPr>
        <w:t>31</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3500" w:right="3534"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p>
      <w:pPr>
        <w:spacing w:line="240" w:lineRule="auto" w:before="8"/>
        <w:rPr>
          <w:rFonts w:ascii="黑体" w:hAnsi="黑体" w:cs="黑体" w:eastAsia="黑体" w:hint="default"/>
          <w:b/>
          <w:bCs/>
          <w:sz w:val="20"/>
          <w:szCs w:val="20"/>
        </w:rPr>
      </w:pPr>
    </w:p>
    <w:p>
      <w:pPr>
        <w:spacing w:line="20" w:lineRule="exact"/>
        <w:ind w:left="108" w:right="0" w:firstLine="0"/>
        <w:rPr>
          <w:rFonts w:ascii="黑体" w:hAnsi="黑体" w:cs="黑体" w:eastAsia="黑体" w:hint="default"/>
          <w:sz w:val="2"/>
          <w:szCs w:val="2"/>
        </w:rPr>
      </w:pPr>
      <w:r>
        <w:rPr>
          <w:rFonts w:ascii="黑体" w:hAnsi="黑体" w:cs="黑体" w:eastAsia="黑体" w:hint="default"/>
          <w:sz w:val="2"/>
          <w:szCs w:val="2"/>
        </w:rPr>
        <w:pict>
          <v:group style="width:426.45pt;height:.75pt;mso-position-horizontal-relative:char;mso-position-vertical-relative:line" coordorigin="0,0" coordsize="8529,15">
            <v:group style="position:absolute;left:8;top:8;width:8514;height:2" coordorigin="8,8" coordsize="8514,2">
              <v:shape style="position:absolute;left:8;top:8;width:8514;height:2" coordorigin="8,8" coordsize="8514,0" path="m8,8l8522,8e" filled="false" stroked="true" strokeweight=".75pt" strokecolor="#000000">
                <v:path arrowok="t"/>
              </v:shape>
            </v:group>
          </v:group>
        </w:pict>
      </w:r>
      <w:r>
        <w:rPr>
          <w:rFonts w:ascii="黑体" w:hAnsi="黑体" w:cs="黑体" w:eastAsia="黑体" w:hint="default"/>
          <w:sz w:val="2"/>
          <w:szCs w:val="2"/>
        </w:rPr>
      </w:r>
    </w:p>
    <w:p>
      <w:pPr>
        <w:spacing w:before="8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一、</w:t>
      </w:r>
      <w:r>
        <w:rPr>
          <w:rFonts w:ascii="黑体" w:hAnsi="黑体" w:cs="黑体" w:eastAsia="黑体" w:hint="default"/>
          <w:b/>
          <w:bCs/>
          <w:spacing w:val="-83"/>
          <w:sz w:val="20"/>
          <w:szCs w:val="20"/>
        </w:rPr>
        <w:t> </w:t>
      </w:r>
      <w:r>
        <w:rPr>
          <w:rFonts w:ascii="黑体" w:hAnsi="黑体" w:cs="黑体" w:eastAsia="黑体" w:hint="default"/>
          <w:b/>
          <w:bCs/>
          <w:sz w:val="20"/>
          <w:szCs w:val="20"/>
        </w:rPr>
        <w:t>本集团的基本情况</w:t>
      </w:r>
      <w:r>
        <w:rPr>
          <w:rFonts w:ascii="黑体" w:hAnsi="黑体" w:cs="黑体" w:eastAsia="黑体" w:hint="default"/>
          <w:sz w:val="20"/>
          <w:szCs w:val="20"/>
        </w:rPr>
      </w:r>
    </w:p>
    <w:p>
      <w:pPr>
        <w:spacing w:line="240" w:lineRule="auto" w:before="11"/>
        <w:rPr>
          <w:rFonts w:ascii="黑体" w:hAnsi="黑体" w:cs="黑体" w:eastAsia="黑体" w:hint="default"/>
          <w:b/>
          <w:bCs/>
          <w:sz w:val="25"/>
          <w:szCs w:val="25"/>
        </w:rPr>
      </w:pPr>
    </w:p>
    <w:p>
      <w:pPr>
        <w:pStyle w:val="BodyText"/>
        <w:spacing w:line="261" w:lineRule="auto"/>
        <w:ind w:right="129" w:firstLine="399"/>
        <w:jc w:val="both"/>
      </w:pPr>
      <w:r>
        <w:rPr/>
        <w:t>用友软件股份有限公司</w:t>
      </w:r>
      <w:r>
        <w:rPr>
          <w:rFonts w:ascii="Arial" w:hAnsi="Arial" w:cs="Arial" w:eastAsia="Arial" w:hint="default"/>
        </w:rPr>
        <w:t>(</w:t>
      </w:r>
      <w:r>
        <w:rPr/>
        <w:t>以下简称</w:t>
      </w:r>
      <w:r>
        <w:rPr>
          <w:rFonts w:ascii="Arial" w:hAnsi="Arial" w:cs="Arial" w:eastAsia="Arial" w:hint="default"/>
        </w:rPr>
        <w:t>“</w:t>
      </w:r>
      <w:r>
        <w:rPr/>
        <w:t>本公司</w:t>
      </w:r>
      <w:r>
        <w:rPr>
          <w:rFonts w:ascii="Arial" w:hAnsi="Arial" w:cs="Arial" w:eastAsia="Arial" w:hint="default"/>
        </w:rPr>
        <w:t>”)</w:t>
      </w:r>
      <w:r>
        <w:rPr/>
        <w:t>是根据《中华人民共和国公司法》</w:t>
      </w:r>
      <w:r>
        <w:rPr>
          <w:rFonts w:ascii="Arial" w:hAnsi="Arial" w:cs="Arial" w:eastAsia="Arial" w:hint="default"/>
        </w:rPr>
        <w:t>(</w:t>
      </w:r>
      <w:r>
        <w:rPr/>
        <w:t>以下简</w:t>
      </w:r>
      <w:r>
        <w:rPr>
          <w:spacing w:val="1"/>
          <w:w w:val="100"/>
        </w:rPr>
        <w:t> </w:t>
      </w:r>
      <w:r>
        <w:rPr>
          <w:spacing w:val="2"/>
        </w:rPr>
        <w:t>称</w:t>
      </w:r>
      <w:r>
        <w:rPr>
          <w:rFonts w:ascii="Arial" w:hAnsi="Arial" w:cs="Arial" w:eastAsia="Arial" w:hint="default"/>
          <w:spacing w:val="2"/>
        </w:rPr>
        <w:t>“</w:t>
      </w:r>
      <w:r>
        <w:rPr>
          <w:spacing w:val="2"/>
        </w:rPr>
        <w:t>公司法</w:t>
      </w:r>
      <w:r>
        <w:rPr>
          <w:rFonts w:ascii="Arial" w:hAnsi="Arial" w:cs="Arial" w:eastAsia="Arial" w:hint="default"/>
          <w:spacing w:val="2"/>
        </w:rPr>
        <w:t>”)</w:t>
      </w:r>
      <w:r>
        <w:rPr>
          <w:spacing w:val="2"/>
        </w:rPr>
        <w:t>于</w:t>
      </w:r>
      <w:r>
        <w:rPr>
          <w:rFonts w:ascii="Arial" w:hAnsi="Arial" w:cs="Arial" w:eastAsia="Arial" w:hint="default"/>
          <w:spacing w:val="2"/>
        </w:rPr>
        <w:t>1999</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6</w:t>
      </w:r>
      <w:r>
        <w:rPr>
          <w:spacing w:val="2"/>
        </w:rPr>
        <w:t>日在中华人民共和国</w:t>
      </w:r>
      <w:r>
        <w:rPr>
          <w:rFonts w:ascii="Arial" w:hAnsi="Arial" w:cs="Arial" w:eastAsia="Arial" w:hint="default"/>
          <w:spacing w:val="2"/>
        </w:rPr>
        <w:t>(</w:t>
      </w:r>
      <w:r>
        <w:rPr>
          <w:spacing w:val="2"/>
        </w:rPr>
        <w:t>以下简称</w:t>
      </w:r>
      <w:r>
        <w:rPr>
          <w:rFonts w:ascii="Arial" w:hAnsi="Arial" w:cs="Arial" w:eastAsia="Arial" w:hint="default"/>
          <w:spacing w:val="2"/>
        </w:rPr>
        <w:t>“</w:t>
      </w:r>
      <w:r>
        <w:rPr>
          <w:spacing w:val="2"/>
        </w:rPr>
        <w:t>中国</w:t>
      </w:r>
      <w:r>
        <w:rPr>
          <w:rFonts w:ascii="Arial" w:hAnsi="Arial" w:cs="Arial" w:eastAsia="Arial" w:hint="default"/>
          <w:spacing w:val="2"/>
        </w:rPr>
        <w:t>”)</w:t>
      </w:r>
      <w:r>
        <w:rPr>
          <w:spacing w:val="2"/>
        </w:rPr>
        <w:t>注册成立的股份有限公</w:t>
      </w:r>
      <w:r>
        <w:rPr>
          <w:spacing w:val="-62"/>
        </w:rPr>
        <w:t> </w:t>
      </w:r>
      <w:r>
        <w:rPr>
          <w:spacing w:val="-62"/>
        </w:rPr>
      </w:r>
      <w:r>
        <w:rPr/>
        <w:t>司。本公司根据</w:t>
      </w:r>
      <w:r>
        <w:rPr>
          <w:rFonts w:ascii="Arial" w:hAnsi="Arial" w:cs="Arial" w:eastAsia="Arial" w:hint="default"/>
        </w:rPr>
        <w:t>2005</w:t>
      </w:r>
      <w:r>
        <w:rPr/>
        <w:t>年</w:t>
      </w:r>
      <w:r>
        <w:rPr>
          <w:rFonts w:ascii="Arial" w:hAnsi="Arial" w:cs="Arial" w:eastAsia="Arial" w:hint="default"/>
        </w:rPr>
        <w:t>4</w:t>
      </w:r>
      <w:r>
        <w:rPr/>
        <w:t>月</w:t>
      </w:r>
      <w:r>
        <w:rPr>
          <w:rFonts w:ascii="Arial" w:hAnsi="Arial" w:cs="Arial" w:eastAsia="Arial" w:hint="default"/>
        </w:rPr>
        <w:t>29</w:t>
      </w:r>
      <w:r>
        <w:rPr/>
        <w:t>日股东大会决议，公司名称由原来的北京用友软件股份有限</w:t>
      </w:r>
      <w:r>
        <w:rPr>
          <w:spacing w:val="-89"/>
        </w:rPr>
        <w:t> </w:t>
      </w:r>
      <w:r>
        <w:rPr>
          <w:spacing w:val="-89"/>
        </w:rPr>
      </w:r>
      <w:r>
        <w:rPr>
          <w:spacing w:val="-3"/>
          <w:w w:val="100"/>
        </w:rPr>
        <w:t>公司变更为现时的用友软件股份有限公司，于</w:t>
      </w:r>
      <w:r>
        <w:rPr>
          <w:rFonts w:ascii="Arial" w:hAnsi="Arial" w:cs="Arial" w:eastAsia="Arial" w:hint="default"/>
          <w:spacing w:val="-3"/>
          <w:w w:val="100"/>
        </w:rPr>
        <w:t>2005</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日前有关的工商变更手续已办</w:t>
      </w:r>
      <w:r>
        <w:rPr>
          <w:spacing w:val="-94"/>
          <w:w w:val="100"/>
        </w:rPr>
        <w:t> </w:t>
      </w:r>
      <w:r>
        <w:rPr>
          <w:spacing w:val="-94"/>
          <w:w w:val="100"/>
        </w:rPr>
      </w:r>
      <w:r>
        <w:rPr/>
        <w:t>理完毕。本公司所发行的人民币普通股</w:t>
      </w:r>
      <w:r>
        <w:rPr>
          <w:rFonts w:ascii="Arial" w:hAnsi="Arial" w:cs="Arial" w:eastAsia="Arial" w:hint="default"/>
        </w:rPr>
        <w:t>A</w:t>
      </w:r>
      <w:r>
        <w:rPr/>
        <w:t>股股票已在上海证券交易所上市。本公司营业执</w:t>
      </w:r>
      <w:r>
        <w:rPr>
          <w:spacing w:val="-49"/>
        </w:rPr>
        <w:t> </w:t>
      </w:r>
      <w:r>
        <w:rPr>
          <w:spacing w:val="-49"/>
        </w:rPr>
      </w:r>
      <w:r>
        <w:rPr/>
        <w:t>照注册号为</w:t>
      </w:r>
      <w:r>
        <w:rPr>
          <w:rFonts w:ascii="Arial" w:hAnsi="Arial" w:cs="Arial" w:eastAsia="Arial" w:hint="default"/>
        </w:rPr>
        <w:t>1100002511925</w:t>
      </w:r>
      <w:r>
        <w:rPr/>
        <w:t>。本公司及子公司</w:t>
      </w:r>
      <w:r>
        <w:rPr>
          <w:rFonts w:ascii="Arial" w:hAnsi="Arial" w:cs="Arial" w:eastAsia="Arial" w:hint="default"/>
        </w:rPr>
        <w:t>(</w:t>
      </w:r>
      <w:r>
        <w:rPr/>
        <w:t>以下统称</w:t>
      </w:r>
      <w:r>
        <w:rPr>
          <w:rFonts w:ascii="Arial" w:hAnsi="Arial" w:cs="Arial" w:eastAsia="Arial" w:hint="default"/>
        </w:rPr>
        <w:t>“</w:t>
      </w:r>
      <w:r>
        <w:rPr/>
        <w:t>本集团</w:t>
      </w:r>
      <w:r>
        <w:rPr>
          <w:rFonts w:ascii="Arial" w:hAnsi="Arial" w:cs="Arial" w:eastAsia="Arial" w:hint="default"/>
        </w:rPr>
        <w:t>”)</w:t>
      </w:r>
      <w:r>
        <w:rPr/>
        <w:t>主要从事电子计算机软</w:t>
      </w:r>
      <w:r>
        <w:rPr>
          <w:spacing w:val="-36"/>
        </w:rPr>
        <w:t> </w:t>
      </w:r>
      <w:r>
        <w:rPr>
          <w:spacing w:val="-36"/>
        </w:rPr>
      </w:r>
      <w:r>
        <w:rPr>
          <w:spacing w:val="-1"/>
        </w:rPr>
        <w:t>件、硬件及外部设备的技术开发、技术咨询、技术转让、技术服务；企业管理咨询；数据</w:t>
      </w:r>
      <w:r>
        <w:rPr>
          <w:spacing w:val="-82"/>
        </w:rPr>
        <w:t> </w:t>
      </w:r>
      <w:r>
        <w:rPr>
          <w:spacing w:val="-82"/>
        </w:rPr>
      </w:r>
      <w:r>
        <w:rPr>
          <w:spacing w:val="-2"/>
        </w:rPr>
        <w:t>库服务；销售电子计算机软硬件及外部设备。本公司总部位于北京市海淀区北清路</w:t>
      </w:r>
      <w:r>
        <w:rPr>
          <w:rFonts w:ascii="Arial" w:hAnsi="Arial" w:cs="Arial" w:eastAsia="Arial" w:hint="default"/>
          <w:spacing w:val="-2"/>
        </w:rPr>
        <w:t>68</w:t>
      </w:r>
      <w:r>
        <w:rPr>
          <w:spacing w:val="-2"/>
        </w:rPr>
        <w:t>号用</w:t>
      </w:r>
      <w:r>
        <w:rPr>
          <w:spacing w:val="-59"/>
        </w:rPr>
        <w:t> </w:t>
      </w:r>
      <w:r>
        <w:rPr/>
        <w:t>友软件园。</w:t>
      </w:r>
    </w:p>
    <w:p>
      <w:pPr>
        <w:pStyle w:val="BodyText"/>
        <w:spacing w:line="261" w:lineRule="auto" w:before="20"/>
        <w:ind w:right="133" w:firstLine="400"/>
        <w:jc w:val="both"/>
      </w:pPr>
      <w:r>
        <w:rPr>
          <w:rFonts w:ascii="Arial" w:hAnsi="Arial" w:cs="Arial" w:eastAsia="Arial" w:hint="default"/>
        </w:rPr>
        <w:t>1999</w:t>
      </w:r>
      <w:r>
        <w:rPr/>
        <w:t>年</w:t>
      </w:r>
      <w:r>
        <w:rPr>
          <w:rFonts w:ascii="Arial" w:hAnsi="Arial" w:cs="Arial" w:eastAsia="Arial" w:hint="default"/>
        </w:rPr>
        <w:t>10</w:t>
      </w:r>
      <w:r>
        <w:rPr/>
        <w:t>月</w:t>
      </w:r>
      <w:r>
        <w:rPr>
          <w:rFonts w:ascii="Arial" w:hAnsi="Arial" w:cs="Arial" w:eastAsia="Arial" w:hint="default"/>
        </w:rPr>
        <w:t>29</w:t>
      </w:r>
      <w:r>
        <w:rPr/>
        <w:t>日，经北京巿人民政府京政函</w:t>
      </w:r>
      <w:r>
        <w:rPr>
          <w:rFonts w:ascii="Arial" w:hAnsi="Arial" w:cs="Arial" w:eastAsia="Arial" w:hint="default"/>
        </w:rPr>
        <w:t>[1999]133</w:t>
      </w:r>
      <w:r>
        <w:rPr/>
        <w:t>号文批准，由原北京用友软件</w:t>
      </w:r>
      <w:r>
        <w:rPr>
          <w:w w:val="100"/>
        </w:rPr>
        <w:t> </w:t>
      </w:r>
      <w:r>
        <w:rPr>
          <w:rFonts w:ascii="Arial" w:hAnsi="Arial" w:cs="Arial" w:eastAsia="Arial" w:hint="default"/>
          <w:spacing w:val="-1"/>
        </w:rPr>
        <w:t>(</w:t>
      </w:r>
      <w:r>
        <w:rPr>
          <w:spacing w:val="-1"/>
        </w:rPr>
        <w:t>集团</w:t>
      </w:r>
      <w:r>
        <w:rPr>
          <w:rFonts w:ascii="Arial" w:hAnsi="Arial" w:cs="Arial" w:eastAsia="Arial" w:hint="default"/>
          <w:spacing w:val="-1"/>
        </w:rPr>
        <w:t>)</w:t>
      </w:r>
      <w:r>
        <w:rPr>
          <w:spacing w:val="-1"/>
        </w:rPr>
        <w:t>有限公司的五家股东</w:t>
      </w:r>
      <w:r>
        <w:rPr>
          <w:rFonts w:ascii="Arial" w:hAnsi="Arial" w:cs="Arial" w:eastAsia="Arial" w:hint="default"/>
          <w:spacing w:val="-1"/>
        </w:rPr>
        <w:t>—</w:t>
      </w:r>
      <w:r>
        <w:rPr>
          <w:spacing w:val="-1"/>
        </w:rPr>
        <w:t>北京用友科技有限公司</w:t>
      </w:r>
      <w:r>
        <w:rPr>
          <w:rFonts w:ascii="Arial" w:hAnsi="Arial" w:cs="Arial" w:eastAsia="Arial" w:hint="default"/>
          <w:spacing w:val="-1"/>
        </w:rPr>
        <w:t>(</w:t>
      </w:r>
      <w:r>
        <w:rPr>
          <w:spacing w:val="-1"/>
        </w:rPr>
        <w:t>以下简称</w:t>
      </w:r>
      <w:r>
        <w:rPr>
          <w:rFonts w:ascii="Arial" w:hAnsi="Arial" w:cs="Arial" w:eastAsia="Arial" w:hint="default"/>
          <w:spacing w:val="-1"/>
        </w:rPr>
        <w:t>“</w:t>
      </w:r>
      <w:r>
        <w:rPr>
          <w:spacing w:val="-1"/>
        </w:rPr>
        <w:t>用友科技</w:t>
      </w:r>
      <w:r>
        <w:rPr>
          <w:rFonts w:ascii="Arial" w:hAnsi="Arial" w:cs="Arial" w:eastAsia="Arial" w:hint="default"/>
          <w:spacing w:val="-1"/>
        </w:rPr>
        <w:t>”)</w:t>
      </w:r>
      <w:r>
        <w:rPr>
          <w:spacing w:val="-1"/>
        </w:rPr>
        <w:t>、北京用友企业</w:t>
      </w:r>
      <w:r>
        <w:rPr>
          <w:spacing w:val="-79"/>
        </w:rPr>
        <w:t> </w:t>
      </w:r>
      <w:r>
        <w:rPr>
          <w:spacing w:val="-79"/>
        </w:rPr>
      </w:r>
      <w:r>
        <w:rPr>
          <w:spacing w:val="-1"/>
        </w:rPr>
        <w:t>管理研究所有限公司</w:t>
      </w:r>
      <w:r>
        <w:rPr>
          <w:rFonts w:ascii="Arial" w:hAnsi="Arial" w:cs="Arial" w:eastAsia="Arial" w:hint="default"/>
          <w:spacing w:val="-1"/>
        </w:rPr>
        <w:t>(</w:t>
      </w:r>
      <w:r>
        <w:rPr>
          <w:spacing w:val="-1"/>
        </w:rPr>
        <w:t>以下简称</w:t>
      </w:r>
      <w:r>
        <w:rPr>
          <w:rFonts w:ascii="Arial" w:hAnsi="Arial" w:cs="Arial" w:eastAsia="Arial" w:hint="default"/>
          <w:spacing w:val="-1"/>
        </w:rPr>
        <w:t>“</w:t>
      </w:r>
      <w:r>
        <w:rPr>
          <w:spacing w:val="-1"/>
        </w:rPr>
        <w:t>用友研究所</w:t>
      </w:r>
      <w:r>
        <w:rPr>
          <w:rFonts w:ascii="Arial" w:hAnsi="Arial" w:cs="Arial" w:eastAsia="Arial" w:hint="default"/>
          <w:spacing w:val="-1"/>
        </w:rPr>
        <w:t>”)</w:t>
      </w:r>
      <w:r>
        <w:rPr>
          <w:spacing w:val="-1"/>
        </w:rPr>
        <w:t>、上海用友科技咨询有限公司</w:t>
      </w:r>
      <w:r>
        <w:rPr>
          <w:rFonts w:ascii="Arial" w:hAnsi="Arial" w:cs="Arial" w:eastAsia="Arial" w:hint="default"/>
          <w:spacing w:val="-1"/>
        </w:rPr>
        <w:t>(</w:t>
      </w:r>
      <w:r>
        <w:rPr>
          <w:spacing w:val="-1"/>
        </w:rPr>
        <w:t>以下简称</w:t>
      </w:r>
      <w:r>
        <w:rPr>
          <w:rFonts w:ascii="Arial" w:hAnsi="Arial" w:cs="Arial" w:eastAsia="Arial" w:hint="default"/>
          <w:spacing w:val="-1"/>
        </w:rPr>
        <w:t>“</w:t>
      </w:r>
      <w:r>
        <w:rPr>
          <w:spacing w:val="-1"/>
        </w:rPr>
        <w:t>上海</w:t>
      </w:r>
      <w:r>
        <w:rPr>
          <w:spacing w:val="-76"/>
        </w:rPr>
        <w:t> </w:t>
      </w:r>
      <w:r>
        <w:rPr>
          <w:spacing w:val="-1"/>
        </w:rPr>
        <w:t>用友科技咨询</w:t>
      </w:r>
      <w:r>
        <w:rPr>
          <w:rFonts w:ascii="Arial" w:hAnsi="Arial" w:cs="Arial" w:eastAsia="Arial" w:hint="default"/>
          <w:spacing w:val="-1"/>
        </w:rPr>
        <w:t>”)</w:t>
      </w:r>
      <w:r>
        <w:rPr>
          <w:spacing w:val="-1"/>
        </w:rPr>
        <w:t>、上海益倍管理咨询有限公司</w:t>
      </w:r>
      <w:r>
        <w:rPr>
          <w:rFonts w:ascii="Arial" w:hAnsi="Arial" w:cs="Arial" w:eastAsia="Arial" w:hint="default"/>
          <w:spacing w:val="-1"/>
        </w:rPr>
        <w:t>(</w:t>
      </w:r>
      <w:r>
        <w:rPr>
          <w:spacing w:val="-1"/>
        </w:rPr>
        <w:t>以下简称</w:t>
      </w:r>
      <w:r>
        <w:rPr>
          <w:rFonts w:ascii="Arial" w:hAnsi="Arial" w:cs="Arial" w:eastAsia="Arial" w:hint="default"/>
          <w:spacing w:val="-1"/>
        </w:rPr>
        <w:t>“</w:t>
      </w:r>
      <w:r>
        <w:rPr>
          <w:spacing w:val="-1"/>
        </w:rPr>
        <w:t>上海益倍</w:t>
      </w:r>
      <w:r>
        <w:rPr>
          <w:rFonts w:ascii="Arial" w:hAnsi="Arial" w:cs="Arial" w:eastAsia="Arial" w:hint="default"/>
          <w:spacing w:val="-1"/>
        </w:rPr>
        <w:t>”)</w:t>
      </w:r>
      <w:r>
        <w:rPr>
          <w:spacing w:val="-1"/>
        </w:rPr>
        <w:t>和上海优富信息咨询有</w:t>
      </w:r>
      <w:r>
        <w:rPr>
          <w:spacing w:val="-76"/>
        </w:rPr>
        <w:t> </w:t>
      </w:r>
      <w:r>
        <w:rPr>
          <w:spacing w:val="-76"/>
        </w:rPr>
      </w:r>
      <w:r>
        <w:rPr>
          <w:spacing w:val="-1"/>
        </w:rPr>
        <w:t>限公司</w:t>
      </w:r>
      <w:r>
        <w:rPr>
          <w:rFonts w:ascii="Arial" w:hAnsi="Arial" w:cs="Arial" w:eastAsia="Arial" w:hint="default"/>
          <w:spacing w:val="-1"/>
        </w:rPr>
        <w:t>(</w:t>
      </w:r>
      <w:r>
        <w:rPr>
          <w:spacing w:val="-1"/>
        </w:rPr>
        <w:t>以下简称</w:t>
      </w:r>
      <w:r>
        <w:rPr>
          <w:rFonts w:ascii="Arial" w:hAnsi="Arial" w:cs="Arial" w:eastAsia="Arial" w:hint="default"/>
          <w:spacing w:val="-1"/>
        </w:rPr>
        <w:t>“</w:t>
      </w:r>
      <w:r>
        <w:rPr>
          <w:spacing w:val="-1"/>
        </w:rPr>
        <w:t>上海优富</w:t>
      </w:r>
      <w:r>
        <w:rPr>
          <w:rFonts w:ascii="Arial" w:hAnsi="Arial" w:cs="Arial" w:eastAsia="Arial" w:hint="default"/>
          <w:spacing w:val="-1"/>
        </w:rPr>
        <w:t>”)</w:t>
      </w:r>
      <w:r>
        <w:rPr>
          <w:spacing w:val="-1"/>
        </w:rPr>
        <w:t>作为发起人，将原北京用友软件</w:t>
      </w:r>
      <w:r>
        <w:rPr>
          <w:rFonts w:ascii="Arial" w:hAnsi="Arial" w:cs="Arial" w:eastAsia="Arial" w:hint="default"/>
          <w:spacing w:val="-1"/>
        </w:rPr>
        <w:t>(</w:t>
      </w:r>
      <w:r>
        <w:rPr>
          <w:spacing w:val="-1"/>
        </w:rPr>
        <w:t>集团</w:t>
      </w:r>
      <w:r>
        <w:rPr>
          <w:rFonts w:ascii="Arial" w:hAnsi="Arial" w:cs="Arial" w:eastAsia="Arial" w:hint="default"/>
          <w:spacing w:val="-1"/>
        </w:rPr>
        <w:t>)</w:t>
      </w:r>
      <w:r>
        <w:rPr>
          <w:spacing w:val="-1"/>
        </w:rPr>
        <w:t>有限公司依法变更为北</w:t>
      </w:r>
      <w:r>
        <w:rPr>
          <w:spacing w:val="-77"/>
        </w:rPr>
        <w:t> </w:t>
      </w:r>
      <w:r>
        <w:rPr>
          <w:spacing w:val="-77"/>
        </w:rPr>
      </w:r>
      <w:r>
        <w:rPr/>
        <w:t>京用友软件股份有限公司。</w:t>
      </w:r>
    </w:p>
    <w:p>
      <w:pPr>
        <w:pStyle w:val="BodyText"/>
        <w:spacing w:line="261" w:lineRule="auto" w:before="20"/>
        <w:ind w:right="132" w:firstLine="399"/>
        <w:jc w:val="both"/>
      </w:pPr>
      <w:r>
        <w:rPr/>
        <w:t>经中国证券监督管理委员会</w:t>
      </w:r>
      <w:r>
        <w:rPr>
          <w:rFonts w:ascii="Arial" w:hAnsi="Arial" w:cs="Arial" w:eastAsia="Arial" w:hint="default"/>
        </w:rPr>
        <w:t>2001</w:t>
      </w:r>
      <w:r>
        <w:rPr/>
        <w:t>年</w:t>
      </w:r>
      <w:r>
        <w:rPr>
          <w:rFonts w:ascii="Arial" w:hAnsi="Arial" w:cs="Arial" w:eastAsia="Arial" w:hint="default"/>
        </w:rPr>
        <w:t>4</w:t>
      </w:r>
      <w:r>
        <w:rPr/>
        <w:t>月</w:t>
      </w:r>
      <w:r>
        <w:rPr>
          <w:rFonts w:ascii="Arial" w:hAnsi="Arial" w:cs="Arial" w:eastAsia="Arial" w:hint="default"/>
        </w:rPr>
        <w:t>18</w:t>
      </w:r>
      <w:r>
        <w:rPr/>
        <w:t>日签发的证监发行字</w:t>
      </w:r>
      <w:r>
        <w:rPr>
          <w:rFonts w:ascii="Arial" w:hAnsi="Arial" w:cs="Arial" w:eastAsia="Arial" w:hint="default"/>
        </w:rPr>
        <w:t>[2001]28</w:t>
      </w:r>
      <w:r>
        <w:rPr/>
        <w:t>号文批准，本</w:t>
      </w:r>
      <w:r>
        <w:rPr>
          <w:w w:val="100"/>
        </w:rPr>
        <w:t> </w:t>
      </w:r>
      <w:r>
        <w:rPr/>
        <w:t>公司利用上海证券交易所交易系统，采用上网定价方式向社会公开发行每股面值为</w:t>
      </w:r>
      <w:r>
        <w:rPr>
          <w:rFonts w:ascii="Arial" w:hAnsi="Arial" w:cs="Arial" w:eastAsia="Arial" w:hint="default"/>
        </w:rPr>
        <w:t>1</w:t>
      </w:r>
      <w:r>
        <w:rPr/>
        <w:t>元的</w:t>
      </w:r>
      <w:r>
        <w:rPr>
          <w:spacing w:val="-29"/>
        </w:rPr>
        <w:t> </w:t>
      </w:r>
      <w:r>
        <w:rPr/>
        <w:t>人民币普通股。</w:t>
      </w:r>
    </w:p>
    <w:p>
      <w:pPr>
        <w:pStyle w:val="BodyText"/>
        <w:spacing w:line="261" w:lineRule="auto" w:before="20"/>
        <w:ind w:right="102" w:firstLine="399"/>
        <w:jc w:val="both"/>
      </w:pPr>
      <w:r>
        <w:rPr>
          <w:spacing w:val="-1"/>
        </w:rPr>
        <w:t>经本公司于</w:t>
      </w:r>
      <w:r>
        <w:rPr>
          <w:rFonts w:ascii="Arial" w:hAnsi="Arial" w:cs="Arial" w:eastAsia="Arial" w:hint="default"/>
          <w:spacing w:val="-1"/>
        </w:rPr>
        <w:t>2006</w:t>
      </w:r>
      <w:r>
        <w:rPr>
          <w:spacing w:val="-1"/>
        </w:rPr>
        <w:t>年</w:t>
      </w:r>
      <w:r>
        <w:rPr>
          <w:rFonts w:ascii="Arial" w:hAnsi="Arial" w:cs="Arial" w:eastAsia="Arial" w:hint="default"/>
          <w:spacing w:val="-1"/>
        </w:rPr>
        <w:t>4</w:t>
      </w:r>
      <w:r>
        <w:rPr>
          <w:spacing w:val="-1"/>
        </w:rPr>
        <w:t>月</w:t>
      </w:r>
      <w:r>
        <w:rPr>
          <w:rFonts w:ascii="Arial" w:hAnsi="Arial" w:cs="Arial" w:eastAsia="Arial" w:hint="default"/>
          <w:spacing w:val="-1"/>
        </w:rPr>
        <w:t>28</w:t>
      </w:r>
      <w:r>
        <w:rPr>
          <w:spacing w:val="-1"/>
        </w:rPr>
        <w:t>日召开的股东大会决议通过的关于</w:t>
      </w:r>
      <w:r>
        <w:rPr>
          <w:rFonts w:ascii="Arial" w:hAnsi="Arial" w:cs="Arial" w:eastAsia="Arial" w:hint="default"/>
          <w:spacing w:val="-1"/>
        </w:rPr>
        <w:t>2005</w:t>
      </w:r>
      <w:r>
        <w:rPr>
          <w:spacing w:val="-1"/>
        </w:rPr>
        <w:t>年度利润分配议案，</w:t>
      </w:r>
      <w:r>
        <w:rPr>
          <w:w w:val="100"/>
        </w:rPr>
        <w:t> </w:t>
      </w:r>
      <w:r>
        <w:rPr>
          <w:spacing w:val="-3"/>
        </w:rPr>
        <w:t>以</w:t>
      </w:r>
      <w:r>
        <w:rPr>
          <w:rFonts w:ascii="Arial" w:hAnsi="Arial" w:cs="Arial" w:eastAsia="Arial" w:hint="default"/>
          <w:spacing w:val="-3"/>
        </w:rPr>
        <w:t>2005</w:t>
      </w:r>
      <w:r>
        <w:rPr>
          <w:spacing w:val="-3"/>
        </w:rPr>
        <w:t>年末股份总数</w:t>
      </w:r>
      <w:r>
        <w:rPr>
          <w:rFonts w:ascii="Arial" w:hAnsi="Arial" w:cs="Arial" w:eastAsia="Arial" w:hint="default"/>
          <w:spacing w:val="-3"/>
        </w:rPr>
        <w:t>172,800,000</w:t>
      </w:r>
      <w:r>
        <w:rPr>
          <w:spacing w:val="-3"/>
        </w:rPr>
        <w:t>股为基数，向全体股东每</w:t>
      </w:r>
      <w:r>
        <w:rPr>
          <w:rFonts w:ascii="Arial" w:hAnsi="Arial" w:cs="Arial" w:eastAsia="Arial" w:hint="default"/>
          <w:spacing w:val="-3"/>
        </w:rPr>
        <w:t>10</w:t>
      </w:r>
      <w:r>
        <w:rPr>
          <w:spacing w:val="-3"/>
        </w:rPr>
        <w:t>股转增</w:t>
      </w:r>
      <w:r>
        <w:rPr>
          <w:rFonts w:ascii="Arial" w:hAnsi="Arial" w:cs="Arial" w:eastAsia="Arial" w:hint="default"/>
          <w:spacing w:val="-3"/>
        </w:rPr>
        <w:t>3</w:t>
      </w:r>
      <w:r>
        <w:rPr>
          <w:spacing w:val="-3"/>
        </w:rPr>
        <w:t>股，共计由资本公积</w:t>
      </w:r>
      <w:r>
        <w:rPr>
          <w:spacing w:val="-69"/>
        </w:rPr>
        <w:t> </w:t>
      </w:r>
      <w:r>
        <w:rPr>
          <w:spacing w:val="-69"/>
        </w:rPr>
      </w:r>
      <w:r>
        <w:rPr/>
        <w:t>转增股本</w:t>
      </w:r>
      <w:r>
        <w:rPr>
          <w:rFonts w:ascii="Arial" w:hAnsi="Arial" w:cs="Arial" w:eastAsia="Arial" w:hint="default"/>
        </w:rPr>
        <w:t>51,840,000</w:t>
      </w:r>
      <w:r>
        <w:rPr/>
        <w:t>股。转增后，本公司的注册资本从人民币</w:t>
      </w:r>
      <w:r>
        <w:rPr>
          <w:rFonts w:ascii="Arial" w:hAnsi="Arial" w:cs="Arial" w:eastAsia="Arial" w:hint="default"/>
        </w:rPr>
        <w:t>172,800,000</w:t>
      </w:r>
      <w:r>
        <w:rPr/>
        <w:t>元增加至人民</w:t>
      </w:r>
      <w:r>
        <w:rPr>
          <w:spacing w:val="-34"/>
        </w:rPr>
        <w:t> </w:t>
      </w:r>
      <w:r>
        <w:rPr>
          <w:spacing w:val="-34"/>
        </w:rPr>
      </w:r>
      <w:r>
        <w:rPr/>
        <w:t>币</w:t>
      </w:r>
      <w:r>
        <w:rPr>
          <w:rFonts w:ascii="Arial" w:hAnsi="Arial" w:cs="Arial" w:eastAsia="Arial" w:hint="default"/>
        </w:rPr>
        <w:t>224,640,000</w:t>
      </w:r>
      <w:r>
        <w:rPr/>
        <w:t>元。</w:t>
      </w:r>
    </w:p>
    <w:p>
      <w:pPr>
        <w:pStyle w:val="BodyText"/>
        <w:spacing w:line="261" w:lineRule="auto" w:before="4"/>
        <w:ind w:right="129" w:firstLine="400"/>
        <w:jc w:val="both"/>
      </w:pPr>
      <w:r>
        <w:rPr>
          <w:spacing w:val="2"/>
        </w:rPr>
        <w:t>经本公司于</w:t>
      </w:r>
      <w:r>
        <w:rPr>
          <w:rFonts w:ascii="Arial" w:hAnsi="Arial" w:cs="Arial" w:eastAsia="Arial" w:hint="default"/>
          <w:spacing w:val="2"/>
        </w:rPr>
        <w:t>2007</w:t>
      </w:r>
      <w:r>
        <w:rPr>
          <w:spacing w:val="2"/>
        </w:rPr>
        <w:t>年</w:t>
      </w:r>
      <w:r>
        <w:rPr>
          <w:rFonts w:ascii="Arial" w:hAnsi="Arial" w:cs="Arial" w:eastAsia="Arial" w:hint="default"/>
          <w:spacing w:val="2"/>
        </w:rPr>
        <w:t>8</w:t>
      </w:r>
      <w:r>
        <w:rPr>
          <w:spacing w:val="2"/>
        </w:rPr>
        <w:t>月</w:t>
      </w:r>
      <w:r>
        <w:rPr>
          <w:rFonts w:ascii="Arial" w:hAnsi="Arial" w:cs="Arial" w:eastAsia="Arial" w:hint="default"/>
          <w:spacing w:val="2"/>
        </w:rPr>
        <w:t>3</w:t>
      </w:r>
      <w:r>
        <w:rPr>
          <w:spacing w:val="2"/>
        </w:rPr>
        <w:t>日召开的二零零七年第一次临时股东大会审议通过以授予附</w:t>
      </w:r>
      <w:r>
        <w:rPr>
          <w:w w:val="100"/>
        </w:rPr>
        <w:t> </w:t>
      </w:r>
      <w:r>
        <w:rPr>
          <w:spacing w:val="-3"/>
        </w:rPr>
        <w:t>有一定禁售期限的股票</w:t>
      </w:r>
      <w:r>
        <w:rPr>
          <w:rFonts w:ascii="Arial" w:hAnsi="Arial" w:cs="Arial" w:eastAsia="Arial" w:hint="default"/>
          <w:spacing w:val="-3"/>
        </w:rPr>
        <w:t>(</w:t>
      </w:r>
      <w:r>
        <w:rPr>
          <w:spacing w:val="-3"/>
        </w:rPr>
        <w:t>以下简称</w:t>
      </w:r>
      <w:r>
        <w:rPr>
          <w:rFonts w:ascii="Arial" w:hAnsi="Arial" w:cs="Arial" w:eastAsia="Arial" w:hint="default"/>
          <w:spacing w:val="-3"/>
        </w:rPr>
        <w:t>“</w:t>
      </w:r>
      <w:r>
        <w:rPr>
          <w:spacing w:val="-3"/>
        </w:rPr>
        <w:t>标的股票</w:t>
      </w:r>
      <w:r>
        <w:rPr>
          <w:rFonts w:ascii="Arial" w:hAnsi="Arial" w:cs="Arial" w:eastAsia="Arial" w:hint="default"/>
          <w:spacing w:val="-3"/>
        </w:rPr>
        <w:t>”)</w:t>
      </w:r>
      <w:r>
        <w:rPr>
          <w:spacing w:val="-3"/>
        </w:rPr>
        <w:t>的方式实施股权激励计划，藉此奖励对本集团</w:t>
      </w:r>
      <w:r>
        <w:rPr>
          <w:spacing w:val="-62"/>
        </w:rPr>
        <w:t> </w:t>
      </w:r>
      <w:r>
        <w:rPr>
          <w:spacing w:val="-62"/>
        </w:rPr>
      </w:r>
      <w:r>
        <w:rPr>
          <w:spacing w:val="-1"/>
        </w:rPr>
        <w:t>业务有贡献的员工。该股权激励计划的激励对象为本公司监事、高级管理人员和其他核心</w:t>
      </w:r>
      <w:r>
        <w:rPr>
          <w:spacing w:val="-80"/>
        </w:rPr>
        <w:t> </w:t>
      </w:r>
      <w:r>
        <w:rPr>
          <w:spacing w:val="-80"/>
        </w:rPr>
      </w:r>
      <w:r>
        <w:rPr>
          <w:spacing w:val="-3"/>
        </w:rPr>
        <w:t>员工。根据公司股东大会的授权，公司董事会于</w:t>
      </w:r>
      <w:r>
        <w:rPr>
          <w:rFonts w:ascii="Arial" w:hAnsi="Arial" w:cs="Arial" w:eastAsia="Arial" w:hint="default"/>
          <w:spacing w:val="-3"/>
        </w:rPr>
        <w:t>2007</w:t>
      </w:r>
      <w:r>
        <w:rPr>
          <w:spacing w:val="-3"/>
        </w:rPr>
        <w:t>年</w:t>
      </w:r>
      <w:r>
        <w:rPr>
          <w:rFonts w:ascii="Arial" w:hAnsi="Arial" w:cs="Arial" w:eastAsia="Arial" w:hint="default"/>
          <w:spacing w:val="-3"/>
        </w:rPr>
        <w:t>8</w:t>
      </w:r>
      <w:r>
        <w:rPr>
          <w:spacing w:val="-3"/>
        </w:rPr>
        <w:t>月</w:t>
      </w:r>
      <w:r>
        <w:rPr>
          <w:rFonts w:ascii="Arial" w:hAnsi="Arial" w:cs="Arial" w:eastAsia="Arial" w:hint="default"/>
          <w:spacing w:val="-3"/>
        </w:rPr>
        <w:t>8</w:t>
      </w:r>
      <w:r>
        <w:rPr>
          <w:spacing w:val="-3"/>
        </w:rPr>
        <w:t>日，向符合授予条件的股权激</w:t>
      </w:r>
      <w:r>
        <w:rPr>
          <w:spacing w:val="-58"/>
        </w:rPr>
        <w:t> </w:t>
      </w:r>
      <w:r>
        <w:rPr>
          <w:spacing w:val="-58"/>
        </w:rPr>
      </w:r>
      <w:r>
        <w:rPr>
          <w:spacing w:val="-2"/>
        </w:rPr>
        <w:t>励对象授予《用友软件股份有限公司股权激励计划（修订稿）》中的</w:t>
      </w:r>
      <w:r>
        <w:rPr>
          <w:rFonts w:ascii="Arial" w:hAnsi="Arial" w:cs="Arial" w:eastAsia="Arial" w:hint="default"/>
          <w:spacing w:val="-2"/>
        </w:rPr>
        <w:t>2007</w:t>
      </w:r>
      <w:r>
        <w:rPr>
          <w:spacing w:val="-2"/>
        </w:rPr>
        <w:t>年度股票。截至</w:t>
      </w:r>
      <w:r>
        <w:rPr>
          <w:spacing w:val="-80"/>
        </w:rPr>
        <w:t> </w:t>
      </w:r>
      <w:r>
        <w:rPr>
          <w:spacing w:val="-80"/>
        </w:rPr>
      </w:r>
      <w:r>
        <w:rPr>
          <w:rFonts w:ascii="Arial" w:hAnsi="Arial" w:cs="Arial" w:eastAsia="Arial" w:hint="default"/>
          <w:spacing w:val="-2"/>
        </w:rPr>
        <w:t>2007</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日，本公司按此股权激励计划应于</w:t>
      </w:r>
      <w:r>
        <w:rPr>
          <w:rFonts w:ascii="Arial" w:hAnsi="Arial" w:cs="Arial" w:eastAsia="Arial" w:hint="default"/>
          <w:spacing w:val="-2"/>
        </w:rPr>
        <w:t>2007</w:t>
      </w:r>
      <w:r>
        <w:rPr>
          <w:spacing w:val="-2"/>
        </w:rPr>
        <w:t>年度所授予的股份计</w:t>
      </w:r>
      <w:r>
        <w:rPr>
          <w:rFonts w:ascii="Arial" w:hAnsi="Arial" w:cs="Arial" w:eastAsia="Arial" w:hint="default"/>
          <w:spacing w:val="-2"/>
        </w:rPr>
        <w:t>6,739,200</w:t>
      </w:r>
      <w:r>
        <w:rPr>
          <w:spacing w:val="-2"/>
        </w:rPr>
        <w:t>股已</w:t>
      </w:r>
      <w:r>
        <w:rPr>
          <w:spacing w:val="-48"/>
        </w:rPr>
        <w:t> </w:t>
      </w:r>
      <w:r>
        <w:rPr/>
        <w:t>由激励对象按每股价格人民币</w:t>
      </w:r>
      <w:r>
        <w:rPr>
          <w:rFonts w:ascii="Arial" w:hAnsi="Arial" w:cs="Arial" w:eastAsia="Arial" w:hint="default"/>
        </w:rPr>
        <w:t>18.17</w:t>
      </w:r>
      <w:r>
        <w:rPr/>
        <w:t>元全部认购。认购后，本公司的注册及实收资本由人</w:t>
      </w:r>
      <w:r>
        <w:rPr>
          <w:spacing w:val="-18"/>
        </w:rPr>
        <w:t> </w:t>
      </w:r>
      <w:r>
        <w:rPr>
          <w:spacing w:val="-18"/>
        </w:rPr>
      </w:r>
      <w:r>
        <w:rPr>
          <w:spacing w:val="-2"/>
        </w:rPr>
        <w:t>民币</w:t>
      </w:r>
      <w:r>
        <w:rPr>
          <w:rFonts w:ascii="Arial" w:hAnsi="Arial" w:cs="Arial" w:eastAsia="Arial" w:hint="default"/>
          <w:spacing w:val="-2"/>
        </w:rPr>
        <w:t>224,640,000</w:t>
      </w:r>
      <w:r>
        <w:rPr>
          <w:spacing w:val="-2"/>
        </w:rPr>
        <w:t>元增加至人民币</w:t>
      </w:r>
      <w:r>
        <w:rPr>
          <w:rFonts w:ascii="Arial" w:hAnsi="Arial" w:cs="Arial" w:eastAsia="Arial" w:hint="default"/>
          <w:spacing w:val="-2"/>
        </w:rPr>
        <w:t>231,379,200</w:t>
      </w:r>
      <w:r>
        <w:rPr>
          <w:spacing w:val="-2"/>
        </w:rPr>
        <w:t>元。此次股本变动业经深圳市鹏城会计师事</w:t>
      </w:r>
      <w:r>
        <w:rPr>
          <w:spacing w:val="-40"/>
        </w:rPr>
        <w:t> </w:t>
      </w:r>
      <w:r>
        <w:rPr>
          <w:spacing w:val="-40"/>
        </w:rPr>
      </w:r>
      <w:r>
        <w:rPr/>
        <w:t>务所进行验证，并于</w:t>
      </w:r>
      <w:r>
        <w:rPr>
          <w:rFonts w:ascii="Arial" w:hAnsi="Arial" w:cs="Arial" w:eastAsia="Arial" w:hint="default"/>
        </w:rPr>
        <w:t>2007</w:t>
      </w:r>
      <w:r>
        <w:rPr/>
        <w:t>年</w:t>
      </w:r>
      <w:r>
        <w:rPr>
          <w:rFonts w:ascii="Arial" w:hAnsi="Arial" w:cs="Arial" w:eastAsia="Arial" w:hint="default"/>
        </w:rPr>
        <w:t>12</w:t>
      </w:r>
      <w:r>
        <w:rPr/>
        <w:t>月</w:t>
      </w:r>
      <w:r>
        <w:rPr>
          <w:rFonts w:ascii="Arial" w:hAnsi="Arial" w:cs="Arial" w:eastAsia="Arial" w:hint="default"/>
        </w:rPr>
        <w:t>1</w:t>
      </w:r>
      <w:r>
        <w:rPr/>
        <w:t>日出具了深鹏所验字</w:t>
      </w:r>
      <w:r>
        <w:rPr>
          <w:rFonts w:ascii="Arial" w:hAnsi="Arial" w:cs="Arial" w:eastAsia="Arial" w:hint="default"/>
        </w:rPr>
        <w:t>[2007]171</w:t>
      </w:r>
      <w:r>
        <w:rPr/>
        <w:t>号验资报告。</w:t>
      </w:r>
    </w:p>
    <w:p>
      <w:pPr>
        <w:pStyle w:val="BodyText"/>
        <w:spacing w:line="261" w:lineRule="auto" w:before="4"/>
        <w:ind w:left="816" w:right="131" w:firstLine="399"/>
        <w:jc w:val="both"/>
      </w:pPr>
      <w:r>
        <w:rPr>
          <w:spacing w:val="-2"/>
        </w:rPr>
        <w:t>经本公司于</w:t>
      </w:r>
      <w:r>
        <w:rPr>
          <w:rFonts w:ascii="Arial" w:hAnsi="Arial" w:cs="Arial" w:eastAsia="Arial" w:hint="default"/>
          <w:spacing w:val="-2"/>
        </w:rPr>
        <w:t>2008</w:t>
      </w:r>
      <w:r>
        <w:rPr>
          <w:spacing w:val="-2"/>
        </w:rPr>
        <w:t>年</w:t>
      </w:r>
      <w:r>
        <w:rPr>
          <w:rFonts w:ascii="Arial" w:hAnsi="Arial" w:cs="Arial" w:eastAsia="Arial" w:hint="default"/>
          <w:spacing w:val="-2"/>
        </w:rPr>
        <w:t>3</w:t>
      </w:r>
      <w:r>
        <w:rPr>
          <w:spacing w:val="-2"/>
        </w:rPr>
        <w:t>月</w:t>
      </w:r>
      <w:r>
        <w:rPr>
          <w:rFonts w:ascii="Arial" w:hAnsi="Arial" w:cs="Arial" w:eastAsia="Arial" w:hint="default"/>
          <w:spacing w:val="-2"/>
        </w:rPr>
        <w:t>26</w:t>
      </w:r>
      <w:r>
        <w:rPr>
          <w:spacing w:val="-2"/>
        </w:rPr>
        <w:t>日召开的股东大会决议通过的《公司</w:t>
      </w:r>
      <w:r>
        <w:rPr>
          <w:rFonts w:ascii="Arial" w:hAnsi="Arial" w:cs="Arial" w:eastAsia="Arial" w:hint="default"/>
          <w:spacing w:val="-2"/>
        </w:rPr>
        <w:t>2007</w:t>
      </w:r>
      <w:r>
        <w:rPr>
          <w:spacing w:val="-2"/>
        </w:rPr>
        <w:t>年度资本公积金转</w:t>
      </w:r>
      <w:r>
        <w:rPr>
          <w:w w:val="100"/>
        </w:rPr>
        <w:t> </w:t>
      </w:r>
      <w:r>
        <w:rPr/>
        <w:t>增股本议案》，本公司以</w:t>
      </w:r>
      <w:r>
        <w:rPr>
          <w:rFonts w:ascii="Arial" w:hAnsi="Arial" w:cs="Arial" w:eastAsia="Arial" w:hint="default"/>
        </w:rPr>
        <w:t>2007</w:t>
      </w:r>
      <w:r>
        <w:rPr/>
        <w:t>年末总股本扣除截止到</w:t>
      </w:r>
      <w:r>
        <w:rPr>
          <w:rFonts w:ascii="Arial" w:hAnsi="Arial" w:cs="Arial" w:eastAsia="Arial" w:hint="default"/>
        </w:rPr>
        <w:t>2008</w:t>
      </w:r>
      <w:r>
        <w:rPr/>
        <w:t>年</w:t>
      </w:r>
      <w:r>
        <w:rPr>
          <w:rFonts w:ascii="Arial" w:hAnsi="Arial" w:cs="Arial" w:eastAsia="Arial" w:hint="default"/>
        </w:rPr>
        <w:t>3</w:t>
      </w:r>
      <w:r>
        <w:rPr/>
        <w:t>月</w:t>
      </w:r>
      <w:r>
        <w:rPr>
          <w:rFonts w:ascii="Arial" w:hAnsi="Arial" w:cs="Arial" w:eastAsia="Arial" w:hint="default"/>
        </w:rPr>
        <w:t>3</w:t>
      </w:r>
      <w:r>
        <w:rPr/>
        <w:t>日已批准回购但尚未注</w:t>
      </w:r>
      <w:r>
        <w:rPr>
          <w:spacing w:val="-32"/>
        </w:rPr>
        <w:t> </w:t>
      </w:r>
      <w:r>
        <w:rPr>
          <w:spacing w:val="-32"/>
        </w:rPr>
      </w:r>
      <w:r>
        <w:rPr/>
        <w:t>销的股权激励股份计</w:t>
      </w:r>
      <w:r>
        <w:rPr>
          <w:rFonts w:ascii="Arial" w:hAnsi="Arial" w:cs="Arial" w:eastAsia="Arial" w:hint="default"/>
        </w:rPr>
        <w:t>18,000</w:t>
      </w:r>
      <w:r>
        <w:rPr/>
        <w:t>股后的</w:t>
      </w:r>
      <w:r>
        <w:rPr>
          <w:rFonts w:ascii="Arial" w:hAnsi="Arial" w:cs="Arial" w:eastAsia="Arial" w:hint="default"/>
        </w:rPr>
        <w:t>231,361,200</w:t>
      </w:r>
      <w:r>
        <w:rPr/>
        <w:t>股为基数，向全体股东每</w:t>
      </w:r>
      <w:r>
        <w:rPr>
          <w:rFonts w:ascii="Arial" w:hAnsi="Arial" w:cs="Arial" w:eastAsia="Arial" w:hint="default"/>
        </w:rPr>
        <w:t>10</w:t>
      </w:r>
      <w:r>
        <w:rPr/>
        <w:t>股转增</w:t>
      </w:r>
      <w:r>
        <w:rPr>
          <w:rFonts w:ascii="Arial" w:hAnsi="Arial" w:cs="Arial" w:eastAsia="Arial" w:hint="default"/>
        </w:rPr>
        <w:t>10</w:t>
      </w:r>
      <w:r>
        <w:rPr/>
        <w:t>股，</w:t>
      </w:r>
      <w:r>
        <w:rPr>
          <w:spacing w:val="-79"/>
        </w:rPr>
        <w:t> </w:t>
      </w:r>
      <w:r>
        <w:rPr>
          <w:spacing w:val="-2"/>
        </w:rPr>
        <w:t>共计转增</w:t>
      </w:r>
      <w:r>
        <w:rPr>
          <w:rFonts w:ascii="Arial" w:hAnsi="Arial" w:cs="Arial" w:eastAsia="Arial" w:hint="default"/>
          <w:spacing w:val="-2"/>
        </w:rPr>
        <w:t>231,361,200</w:t>
      </w:r>
      <w:r>
        <w:rPr>
          <w:spacing w:val="-2"/>
        </w:rPr>
        <w:t>股。转增后，公司的注册资本从人民币</w:t>
      </w:r>
      <w:r>
        <w:rPr>
          <w:rFonts w:ascii="Arial" w:hAnsi="Arial" w:cs="Arial" w:eastAsia="Arial" w:hint="default"/>
          <w:spacing w:val="-2"/>
        </w:rPr>
        <w:t>231,361,200</w:t>
      </w:r>
      <w:r>
        <w:rPr>
          <w:spacing w:val="-2"/>
        </w:rPr>
        <w:t>元增加至人民币</w:t>
      </w:r>
      <w:r>
        <w:rPr>
          <w:spacing w:val="-41"/>
        </w:rPr>
        <w:t> </w:t>
      </w:r>
      <w:r>
        <w:rPr>
          <w:spacing w:val="-41"/>
        </w:rPr>
      </w:r>
      <w:r>
        <w:rPr>
          <w:rFonts w:ascii="Arial" w:hAnsi="Arial" w:cs="Arial" w:eastAsia="Arial" w:hint="default"/>
        </w:rPr>
        <w:t>462,740,400</w:t>
      </w:r>
      <w:r>
        <w:rPr/>
        <w:t>元。此次股本变动业经深圳市鹏城会计师事务所进行验证</w:t>
      </w:r>
      <w:r>
        <w:rPr>
          <w:rFonts w:ascii="Arial" w:hAnsi="Arial" w:cs="Arial" w:eastAsia="Arial" w:hint="default"/>
        </w:rPr>
        <w:t>,</w:t>
      </w:r>
      <w:r>
        <w:rPr/>
        <w:t>并于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1</w:t>
      </w:r>
      <w:r>
        <w:rPr>
          <w:rFonts w:ascii="Arial" w:hAnsi="Arial" w:cs="Arial" w:eastAsia="Arial" w:hint="default"/>
          <w:spacing w:val="-16"/>
        </w:rPr>
        <w:t> </w:t>
      </w:r>
      <w:r>
        <w:rPr/>
        <w:t>日出具了深鹏所验字</w:t>
      </w:r>
      <w:r>
        <w:rPr>
          <w:rFonts w:ascii="Arial" w:hAnsi="Arial" w:cs="Arial" w:eastAsia="Arial" w:hint="default"/>
        </w:rPr>
        <w:t>[2008]194</w:t>
      </w:r>
      <w:r>
        <w:rPr/>
        <w:t>号验资报告。</w:t>
      </w:r>
    </w:p>
    <w:p>
      <w:pPr>
        <w:spacing w:after="0" w:line="261" w:lineRule="auto"/>
        <w:jc w:val="both"/>
        <w:sectPr>
          <w:footerReference w:type="default" r:id="rId44"/>
          <w:pgSz w:w="11910" w:h="16840"/>
          <w:pgMar w:footer="834" w:header="958" w:top="1160" w:bottom="1020" w:left="1600" w:right="1560"/>
          <w:pgNumType w:start="15"/>
        </w:sectPr>
      </w:pPr>
    </w:p>
    <w:p>
      <w:pPr>
        <w:spacing w:line="240" w:lineRule="auto" w:before="7"/>
        <w:rPr>
          <w:rFonts w:ascii="黑体" w:hAnsi="黑体" w:cs="黑体" w:eastAsia="黑体" w:hint="default"/>
          <w:sz w:val="25"/>
          <w:szCs w:val="25"/>
        </w:rPr>
      </w:pPr>
    </w:p>
    <w:p>
      <w:pPr>
        <w:tabs>
          <w:tab w:pos="810"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一、</w:t>
        <w:tab/>
        <w:t>本集团的基本情况（续）</w:t>
      </w:r>
      <w:r>
        <w:rPr>
          <w:rFonts w:ascii="黑体" w:hAnsi="黑体" w:cs="黑体" w:eastAsia="黑体" w:hint="default"/>
          <w:sz w:val="20"/>
          <w:szCs w:val="20"/>
        </w:rPr>
      </w:r>
    </w:p>
    <w:p>
      <w:pPr>
        <w:spacing w:line="240" w:lineRule="auto" w:before="4"/>
        <w:rPr>
          <w:rFonts w:ascii="黑体" w:hAnsi="黑体" w:cs="黑体" w:eastAsia="黑体" w:hint="default"/>
          <w:b/>
          <w:bCs/>
          <w:sz w:val="24"/>
          <w:szCs w:val="24"/>
        </w:rPr>
      </w:pPr>
    </w:p>
    <w:p>
      <w:pPr>
        <w:pStyle w:val="BodyText"/>
        <w:spacing w:line="261" w:lineRule="auto"/>
        <w:ind w:right="114"/>
        <w:jc w:val="left"/>
      </w:pPr>
      <w:r>
        <w:rPr>
          <w:spacing w:val="-3"/>
        </w:rPr>
        <w:t>因有部分股权激励对象发生了公司股权激励计划中规定的变更和终止的情形</w:t>
      </w:r>
      <w:r>
        <w:rPr>
          <w:rFonts w:ascii="Arial" w:hAnsi="Arial" w:cs="Arial" w:eastAsia="Arial" w:hint="default"/>
          <w:spacing w:val="-3"/>
        </w:rPr>
        <w:t>,</w:t>
      </w:r>
      <w:r>
        <w:rPr>
          <w:spacing w:val="-3"/>
        </w:rPr>
        <w:t>根据《用友软</w:t>
      </w:r>
      <w:r>
        <w:rPr>
          <w:spacing w:val="-54"/>
        </w:rPr>
        <w:t> </w:t>
      </w:r>
      <w:r>
        <w:rPr>
          <w:spacing w:val="-54"/>
        </w:rPr>
      </w:r>
      <w:r>
        <w:rPr>
          <w:spacing w:val="3"/>
        </w:rPr>
        <w:t>件股份有限公司股权激励计划</w:t>
      </w:r>
      <w:r>
        <w:rPr>
          <w:rFonts w:ascii="Arial" w:hAnsi="Arial" w:cs="Arial" w:eastAsia="Arial" w:hint="default"/>
          <w:spacing w:val="3"/>
        </w:rPr>
        <w:t>(</w:t>
      </w:r>
      <w:r>
        <w:rPr>
          <w:spacing w:val="3"/>
        </w:rPr>
        <w:t>修订稿</w:t>
      </w:r>
      <w:r>
        <w:rPr>
          <w:rFonts w:ascii="Arial" w:hAnsi="Arial" w:cs="Arial" w:eastAsia="Arial" w:hint="default"/>
          <w:spacing w:val="3"/>
        </w:rPr>
        <w:t>)</w:t>
      </w:r>
      <w:r>
        <w:rPr>
          <w:spacing w:val="3"/>
        </w:rPr>
        <w:t>》有关条款和股东大会授权</w:t>
      </w:r>
      <w:r>
        <w:rPr>
          <w:rFonts w:ascii="Arial" w:hAnsi="Arial" w:cs="Arial" w:eastAsia="Arial" w:hint="default"/>
          <w:spacing w:val="3"/>
        </w:rPr>
        <w:t>,</w:t>
      </w:r>
      <w:r>
        <w:rPr>
          <w:spacing w:val="3"/>
        </w:rPr>
        <w:t>本公司董事会分别于</w:t>
      </w:r>
      <w:r>
        <w:rPr>
          <w:spacing w:val="-42"/>
        </w:rPr>
        <w:t> </w:t>
      </w:r>
      <w:r>
        <w:rPr>
          <w:spacing w:val="-42"/>
        </w:rPr>
      </w:r>
      <w:r>
        <w:rPr>
          <w:rFonts w:ascii="Arial" w:hAnsi="Arial" w:cs="Arial" w:eastAsia="Arial" w:hint="default"/>
          <w:spacing w:val="-3"/>
          <w:w w:val="100"/>
        </w:rPr>
        <w:t>2008</w:t>
      </w:r>
      <w:r>
        <w:rPr>
          <w:spacing w:val="-3"/>
          <w:w w:val="100"/>
        </w:rPr>
        <w:t>年</w:t>
      </w:r>
      <w:r>
        <w:rPr>
          <w:rFonts w:ascii="Arial" w:hAnsi="Arial" w:cs="Arial" w:eastAsia="Arial" w:hint="default"/>
          <w:spacing w:val="-3"/>
          <w:w w:val="100"/>
        </w:rPr>
        <w:t>3</w:t>
      </w:r>
      <w:r>
        <w:rPr>
          <w:spacing w:val="-3"/>
          <w:w w:val="100"/>
        </w:rPr>
        <w:t>月</w:t>
      </w:r>
      <w:r>
        <w:rPr>
          <w:rFonts w:ascii="Arial" w:hAnsi="Arial" w:cs="Arial" w:eastAsia="Arial" w:hint="default"/>
          <w:spacing w:val="-3"/>
          <w:w w:val="100"/>
        </w:rPr>
        <w:t>3</w:t>
      </w:r>
      <w:r>
        <w:rPr>
          <w:spacing w:val="-3"/>
          <w:w w:val="100"/>
        </w:rPr>
        <w:t>日召开的第三届董事会</w:t>
      </w:r>
      <w:r>
        <w:rPr>
          <w:rFonts w:ascii="Arial" w:hAnsi="Arial" w:cs="Arial" w:eastAsia="Arial" w:hint="default"/>
          <w:spacing w:val="-3"/>
          <w:w w:val="100"/>
        </w:rPr>
        <w:t>2008</w:t>
      </w:r>
      <w:r>
        <w:rPr>
          <w:spacing w:val="-3"/>
          <w:w w:val="100"/>
        </w:rPr>
        <w:t>年第二次会议、</w:t>
      </w:r>
      <w:r>
        <w:rPr>
          <w:rFonts w:ascii="Arial" w:hAnsi="Arial" w:cs="Arial" w:eastAsia="Arial" w:hint="default"/>
          <w:spacing w:val="-3"/>
          <w:w w:val="100"/>
        </w:rPr>
        <w:t>2008</w:t>
      </w:r>
      <w:r>
        <w:rPr>
          <w:spacing w:val="-3"/>
          <w:w w:val="100"/>
        </w:rPr>
        <w:t>年</w:t>
      </w:r>
      <w:r>
        <w:rPr>
          <w:rFonts w:ascii="Arial" w:hAnsi="Arial" w:cs="Arial" w:eastAsia="Arial" w:hint="default"/>
          <w:spacing w:val="-3"/>
          <w:w w:val="100"/>
        </w:rPr>
        <w:t>4</w:t>
      </w:r>
      <w:r>
        <w:rPr>
          <w:spacing w:val="-3"/>
          <w:w w:val="100"/>
        </w:rPr>
        <w:t>月</w:t>
      </w:r>
      <w:r>
        <w:rPr>
          <w:rFonts w:ascii="Arial" w:hAnsi="Arial" w:cs="Arial" w:eastAsia="Arial" w:hint="default"/>
          <w:spacing w:val="-3"/>
          <w:w w:val="100"/>
        </w:rPr>
        <w:t>29</w:t>
      </w:r>
      <w:r>
        <w:rPr>
          <w:spacing w:val="-3"/>
          <w:w w:val="100"/>
        </w:rPr>
        <w:t>日召开的第四届董事</w:t>
      </w:r>
      <w:r>
        <w:rPr>
          <w:spacing w:val="-85"/>
          <w:w w:val="100"/>
        </w:rPr>
        <w:t> </w:t>
      </w:r>
      <w:r>
        <w:rPr>
          <w:spacing w:val="-85"/>
          <w:w w:val="100"/>
        </w:rPr>
      </w:r>
      <w:r>
        <w:rPr/>
        <w:t>会</w:t>
      </w:r>
      <w:r>
        <w:rPr>
          <w:rFonts w:ascii="Arial" w:hAnsi="Arial" w:cs="Arial" w:eastAsia="Arial" w:hint="default"/>
        </w:rPr>
        <w:t>2008</w:t>
      </w:r>
      <w:r>
        <w:rPr/>
        <w:t>年第二次会议和</w:t>
      </w:r>
      <w:r>
        <w:rPr>
          <w:rFonts w:ascii="Arial" w:hAnsi="Arial" w:cs="Arial" w:eastAsia="Arial" w:hint="default"/>
        </w:rPr>
        <w:t>2008</w:t>
      </w:r>
      <w:r>
        <w:rPr/>
        <w:t>年</w:t>
      </w:r>
      <w:r>
        <w:rPr>
          <w:rFonts w:ascii="Arial" w:hAnsi="Arial" w:cs="Arial" w:eastAsia="Arial" w:hint="default"/>
        </w:rPr>
        <w:t>7</w:t>
      </w:r>
      <w:r>
        <w:rPr/>
        <w:t>月</w:t>
      </w:r>
      <w:r>
        <w:rPr>
          <w:rFonts w:ascii="Arial" w:hAnsi="Arial" w:cs="Arial" w:eastAsia="Arial" w:hint="default"/>
        </w:rPr>
        <w:t>30</w:t>
      </w:r>
      <w:r>
        <w:rPr/>
        <w:t>日召开的第四届董事会</w:t>
      </w:r>
      <w:r>
        <w:rPr>
          <w:rFonts w:ascii="Arial" w:hAnsi="Arial" w:cs="Arial" w:eastAsia="Arial" w:hint="default"/>
        </w:rPr>
        <w:t>2008</w:t>
      </w:r>
      <w:r>
        <w:rPr/>
        <w:t>年第四次会议上审议通</w:t>
      </w:r>
      <w:r>
        <w:rPr>
          <w:spacing w:val="-1"/>
        </w:rPr>
        <w:t> </w:t>
      </w:r>
      <w:r>
        <w:rPr>
          <w:spacing w:val="-1"/>
        </w:rPr>
      </w:r>
      <w:r>
        <w:rPr/>
        <w:t>过了回购并注销上述激励对象已获授但尚未解锁的股权激励股票的相关议案。本公司已分</w:t>
      </w:r>
      <w:r>
        <w:rPr>
          <w:w w:val="100"/>
        </w:rPr>
        <w:t> </w:t>
      </w:r>
      <w:r>
        <w:rPr>
          <w:spacing w:val="8"/>
        </w:rPr>
        <w:t>别于</w:t>
      </w:r>
      <w:r>
        <w:rPr>
          <w:rFonts w:ascii="Arial" w:hAnsi="Arial" w:cs="Arial" w:eastAsia="Arial" w:hint="default"/>
          <w:spacing w:val="8"/>
        </w:rPr>
        <w:t>2008</w:t>
      </w:r>
      <w:r>
        <w:rPr>
          <w:spacing w:val="8"/>
        </w:rPr>
        <w:t>年</w:t>
      </w:r>
      <w:r>
        <w:rPr>
          <w:rFonts w:ascii="Arial" w:hAnsi="Arial" w:cs="Arial" w:eastAsia="Arial" w:hint="default"/>
          <w:spacing w:val="8"/>
        </w:rPr>
        <w:t>5</w:t>
      </w:r>
      <w:r>
        <w:rPr>
          <w:spacing w:val="8"/>
        </w:rPr>
        <w:t>月</w:t>
      </w:r>
      <w:r>
        <w:rPr>
          <w:rFonts w:ascii="Arial" w:hAnsi="Arial" w:cs="Arial" w:eastAsia="Arial" w:hint="default"/>
          <w:spacing w:val="8"/>
        </w:rPr>
        <w:t>6</w:t>
      </w:r>
      <w:r>
        <w:rPr>
          <w:spacing w:val="8"/>
        </w:rPr>
        <w:t>日及</w:t>
      </w:r>
      <w:r>
        <w:rPr>
          <w:rFonts w:ascii="Arial" w:hAnsi="Arial" w:cs="Arial" w:eastAsia="Arial" w:hint="default"/>
          <w:spacing w:val="8"/>
        </w:rPr>
        <w:t>2008</w:t>
      </w:r>
      <w:r>
        <w:rPr>
          <w:spacing w:val="8"/>
        </w:rPr>
        <w:t>年</w:t>
      </w:r>
      <w:r>
        <w:rPr>
          <w:rFonts w:ascii="Arial" w:hAnsi="Arial" w:cs="Arial" w:eastAsia="Arial" w:hint="default"/>
          <w:spacing w:val="8"/>
        </w:rPr>
        <w:t>10</w:t>
      </w:r>
      <w:r>
        <w:rPr>
          <w:spacing w:val="8"/>
        </w:rPr>
        <w:t>月</w:t>
      </w:r>
      <w:r>
        <w:rPr>
          <w:rFonts w:ascii="Arial" w:hAnsi="Arial" w:cs="Arial" w:eastAsia="Arial" w:hint="default"/>
          <w:spacing w:val="8"/>
        </w:rPr>
        <w:t>9</w:t>
      </w:r>
      <w:r>
        <w:rPr>
          <w:spacing w:val="8"/>
        </w:rPr>
        <w:t>日</w:t>
      </w:r>
      <w:r>
        <w:rPr>
          <w:rFonts w:ascii="Arial" w:hAnsi="Arial" w:cs="Arial" w:eastAsia="Arial" w:hint="default"/>
          <w:spacing w:val="8"/>
        </w:rPr>
        <w:t>,</w:t>
      </w:r>
      <w:r>
        <w:rPr>
          <w:spacing w:val="8"/>
        </w:rPr>
        <w:t>将上述回购的股权激励股票予以注销</w:t>
      </w:r>
      <w:r>
        <w:rPr>
          <w:rFonts w:ascii="Arial" w:hAnsi="Arial" w:cs="Arial" w:eastAsia="Arial" w:hint="default"/>
          <w:spacing w:val="8"/>
        </w:rPr>
        <w:t>,</w:t>
      </w:r>
      <w:r>
        <w:rPr>
          <w:spacing w:val="8"/>
        </w:rPr>
        <w:t>共计注销</w:t>
      </w:r>
      <w:r>
        <w:rPr>
          <w:spacing w:val="-24"/>
        </w:rPr>
        <w:t> </w:t>
      </w:r>
      <w:r>
        <w:rPr>
          <w:spacing w:val="-24"/>
        </w:rPr>
      </w:r>
      <w:r>
        <w:rPr>
          <w:rFonts w:ascii="Arial" w:hAnsi="Arial" w:cs="Arial" w:eastAsia="Arial" w:hint="default"/>
          <w:spacing w:val="-1"/>
        </w:rPr>
        <w:t>63,200</w:t>
      </w:r>
      <w:r>
        <w:rPr>
          <w:spacing w:val="-1"/>
        </w:rPr>
        <w:t>股。注销后</w:t>
      </w:r>
      <w:r>
        <w:rPr>
          <w:rFonts w:ascii="Arial" w:hAnsi="Arial" w:cs="Arial" w:eastAsia="Arial" w:hint="default"/>
          <w:spacing w:val="-1"/>
        </w:rPr>
        <w:t>,</w:t>
      </w:r>
      <w:r>
        <w:rPr>
          <w:spacing w:val="-1"/>
        </w:rPr>
        <w:t>本公司的注册资本从人民币</w:t>
      </w:r>
      <w:r>
        <w:rPr>
          <w:rFonts w:ascii="Arial" w:hAnsi="Arial" w:cs="Arial" w:eastAsia="Arial" w:hint="default"/>
          <w:spacing w:val="-1"/>
        </w:rPr>
        <w:t>462,740,400</w:t>
      </w:r>
      <w:r>
        <w:rPr>
          <w:spacing w:val="-1"/>
        </w:rPr>
        <w:t>元减至人民币</w:t>
      </w:r>
      <w:r>
        <w:rPr>
          <w:rFonts w:ascii="Arial" w:hAnsi="Arial" w:cs="Arial" w:eastAsia="Arial" w:hint="default"/>
          <w:spacing w:val="-1"/>
        </w:rPr>
        <w:t>462,677,200</w:t>
      </w:r>
      <w:r>
        <w:rPr>
          <w:spacing w:val="-1"/>
        </w:rPr>
        <w:t>元。</w:t>
      </w:r>
      <w:r>
        <w:rPr>
          <w:spacing w:val="-55"/>
        </w:rPr>
        <w:t> </w:t>
      </w:r>
      <w:r>
        <w:rPr>
          <w:spacing w:val="2"/>
        </w:rPr>
        <w:t>此次股本变动业经深圳市鹏城会计师事务所进行验证</w:t>
      </w:r>
      <w:r>
        <w:rPr>
          <w:rFonts w:ascii="Arial" w:hAnsi="Arial" w:cs="Arial" w:eastAsia="Arial" w:hint="default"/>
          <w:spacing w:val="2"/>
        </w:rPr>
        <w:t>,</w:t>
      </w:r>
      <w:r>
        <w:rPr>
          <w:spacing w:val="2"/>
        </w:rPr>
        <w:t>并于</w:t>
      </w:r>
      <w:r>
        <w:rPr>
          <w:rFonts w:ascii="Arial" w:hAnsi="Arial" w:cs="Arial" w:eastAsia="Arial" w:hint="default"/>
          <w:spacing w:val="2"/>
        </w:rPr>
        <w:t>2008</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5</w:t>
      </w:r>
      <w:r>
        <w:rPr>
          <w:spacing w:val="2"/>
        </w:rPr>
        <w:t>日出具了深鹏所</w:t>
      </w:r>
      <w:r>
        <w:rPr>
          <w:spacing w:val="-51"/>
        </w:rPr>
        <w:t> </w:t>
      </w:r>
      <w:r>
        <w:rPr>
          <w:spacing w:val="-51"/>
        </w:rPr>
      </w:r>
      <w:r>
        <w:rPr/>
        <w:t>验字</w:t>
      </w:r>
      <w:r>
        <w:rPr>
          <w:rFonts w:ascii="Arial" w:hAnsi="Arial" w:cs="Arial" w:eastAsia="Arial" w:hint="default"/>
        </w:rPr>
        <w:t>[2008]195</w:t>
      </w:r>
      <w:r>
        <w:rPr/>
        <w:t>号验资报告。</w:t>
      </w:r>
    </w:p>
    <w:p>
      <w:pPr>
        <w:spacing w:line="240" w:lineRule="auto" w:before="3"/>
        <w:rPr>
          <w:rFonts w:ascii="黑体" w:hAnsi="黑体" w:cs="黑体" w:eastAsia="黑体" w:hint="default"/>
          <w:sz w:val="23"/>
          <w:szCs w:val="23"/>
        </w:rPr>
      </w:pPr>
    </w:p>
    <w:p>
      <w:pPr>
        <w:pStyle w:val="BodyText"/>
        <w:spacing w:line="261" w:lineRule="auto"/>
        <w:ind w:right="209"/>
        <w:jc w:val="both"/>
      </w:pPr>
      <w:r>
        <w:rPr>
          <w:rFonts w:ascii="Arial" w:hAnsi="Arial" w:cs="Arial" w:eastAsia="Arial" w:hint="default"/>
          <w:spacing w:val="2"/>
        </w:rPr>
        <w:t>2008</w:t>
      </w:r>
      <w:r>
        <w:rPr>
          <w:spacing w:val="2"/>
        </w:rPr>
        <w:t>年</w:t>
      </w:r>
      <w:r>
        <w:rPr>
          <w:rFonts w:ascii="Arial" w:hAnsi="Arial" w:cs="Arial" w:eastAsia="Arial" w:hint="default"/>
          <w:spacing w:val="2"/>
        </w:rPr>
        <w:t>8</w:t>
      </w:r>
      <w:r>
        <w:rPr>
          <w:spacing w:val="2"/>
        </w:rPr>
        <w:t>月</w:t>
      </w:r>
      <w:r>
        <w:rPr>
          <w:rFonts w:ascii="Arial" w:hAnsi="Arial" w:cs="Arial" w:eastAsia="Arial" w:hint="default"/>
          <w:spacing w:val="2"/>
        </w:rPr>
        <w:t>8</w:t>
      </w:r>
      <w:r>
        <w:rPr>
          <w:spacing w:val="2"/>
        </w:rPr>
        <w:t>日</w:t>
      </w:r>
      <w:r>
        <w:rPr>
          <w:rFonts w:ascii="Arial" w:hAnsi="Arial" w:cs="Arial" w:eastAsia="Arial" w:hint="default"/>
          <w:spacing w:val="2"/>
        </w:rPr>
        <w:t>,</w:t>
      </w:r>
      <w:r>
        <w:rPr>
          <w:spacing w:val="2"/>
        </w:rPr>
        <w:t>本公司于</w:t>
      </w:r>
      <w:r>
        <w:rPr>
          <w:rFonts w:ascii="Arial" w:hAnsi="Arial" w:cs="Arial" w:eastAsia="Arial" w:hint="default"/>
          <w:spacing w:val="2"/>
        </w:rPr>
        <w:t>2007</w:t>
      </w:r>
      <w:r>
        <w:rPr>
          <w:spacing w:val="2"/>
        </w:rPr>
        <w:t>年</w:t>
      </w:r>
      <w:r>
        <w:rPr>
          <w:rFonts w:ascii="Arial" w:hAnsi="Arial" w:cs="Arial" w:eastAsia="Arial" w:hint="default"/>
          <w:spacing w:val="2"/>
        </w:rPr>
        <w:t>8</w:t>
      </w:r>
      <w:r>
        <w:rPr>
          <w:spacing w:val="2"/>
        </w:rPr>
        <w:t>月</w:t>
      </w:r>
      <w:r>
        <w:rPr>
          <w:rFonts w:ascii="Arial" w:hAnsi="Arial" w:cs="Arial" w:eastAsia="Arial" w:hint="default"/>
          <w:spacing w:val="2"/>
        </w:rPr>
        <w:t>8</w:t>
      </w:r>
      <w:r>
        <w:rPr>
          <w:spacing w:val="2"/>
        </w:rPr>
        <w:t>日向符合授予条件的股权激励对象授予的</w:t>
      </w:r>
      <w:r>
        <w:rPr>
          <w:rFonts w:ascii="Arial" w:hAnsi="Arial" w:cs="Arial" w:eastAsia="Arial" w:hint="default"/>
          <w:spacing w:val="2"/>
        </w:rPr>
        <w:t>2007</w:t>
      </w:r>
      <w:r>
        <w:rPr>
          <w:spacing w:val="2"/>
        </w:rPr>
        <w:t>年度</w:t>
      </w:r>
      <w:r>
        <w:rPr>
          <w:spacing w:val="-59"/>
        </w:rPr>
        <w:t> </w:t>
      </w:r>
      <w:r>
        <w:rPr>
          <w:spacing w:val="2"/>
        </w:rPr>
        <w:t>股票部分已达到解锁条件</w:t>
      </w:r>
      <w:r>
        <w:rPr>
          <w:rFonts w:ascii="Arial" w:hAnsi="Arial" w:cs="Arial" w:eastAsia="Arial" w:hint="default"/>
          <w:spacing w:val="2"/>
        </w:rPr>
        <w:t>,</w:t>
      </w:r>
      <w:r>
        <w:rPr>
          <w:spacing w:val="2"/>
        </w:rPr>
        <w:t>本次解锁的已授出股权激励股份数量为</w:t>
      </w:r>
      <w:r>
        <w:rPr>
          <w:rFonts w:ascii="Arial" w:hAnsi="Arial" w:cs="Arial" w:eastAsia="Arial" w:hint="default"/>
          <w:spacing w:val="2"/>
        </w:rPr>
        <w:t>8,038,320</w:t>
      </w:r>
      <w:r>
        <w:rPr>
          <w:spacing w:val="2"/>
        </w:rPr>
        <w:t>股</w:t>
      </w:r>
      <w:r>
        <w:rPr>
          <w:rFonts w:ascii="Arial" w:hAnsi="Arial" w:cs="Arial" w:eastAsia="Arial" w:hint="default"/>
          <w:spacing w:val="2"/>
        </w:rPr>
        <w:t>,</w:t>
      </w:r>
      <w:r>
        <w:rPr>
          <w:spacing w:val="2"/>
        </w:rPr>
        <w:t>可上市流</w:t>
      </w:r>
      <w:r>
        <w:rPr>
          <w:spacing w:val="-16"/>
        </w:rPr>
        <w:t> </w:t>
      </w:r>
      <w:r>
        <w:rPr/>
        <w:t>通日为</w:t>
      </w:r>
      <w:r>
        <w:rPr>
          <w:rFonts w:ascii="Arial" w:hAnsi="Arial" w:cs="Arial" w:eastAsia="Arial" w:hint="default"/>
        </w:rPr>
        <w:t>2008</w:t>
      </w:r>
      <w:r>
        <w:rPr/>
        <w:t>年</w:t>
      </w:r>
      <w:r>
        <w:rPr>
          <w:rFonts w:ascii="Arial" w:hAnsi="Arial" w:cs="Arial" w:eastAsia="Arial" w:hint="default"/>
        </w:rPr>
        <w:t>8</w:t>
      </w:r>
      <w:r>
        <w:rPr/>
        <w:t>月</w:t>
      </w:r>
      <w:r>
        <w:rPr>
          <w:rFonts w:ascii="Arial" w:hAnsi="Arial" w:cs="Arial" w:eastAsia="Arial" w:hint="default"/>
        </w:rPr>
        <w:t>8</w:t>
      </w:r>
      <w:r>
        <w:rPr/>
        <w:t>日。</w:t>
      </w:r>
    </w:p>
    <w:p>
      <w:pPr>
        <w:spacing w:line="240" w:lineRule="auto" w:before="3"/>
        <w:rPr>
          <w:rFonts w:ascii="黑体" w:hAnsi="黑体" w:cs="黑体" w:eastAsia="黑体" w:hint="default"/>
          <w:sz w:val="23"/>
          <w:szCs w:val="23"/>
        </w:rPr>
      </w:pPr>
    </w:p>
    <w:p>
      <w:pPr>
        <w:pStyle w:val="BodyText"/>
        <w:spacing w:line="261" w:lineRule="auto"/>
        <w:ind w:right="191"/>
        <w:jc w:val="both"/>
      </w:pPr>
      <w:r>
        <w:rPr>
          <w:spacing w:val="2"/>
        </w:rPr>
        <w:t>根据公司股东大会的授权</w:t>
      </w:r>
      <w:r>
        <w:rPr>
          <w:rFonts w:ascii="Arial" w:hAnsi="Arial" w:cs="Arial" w:eastAsia="Arial" w:hint="default"/>
          <w:spacing w:val="2"/>
        </w:rPr>
        <w:t>,</w:t>
      </w:r>
      <w:r>
        <w:rPr>
          <w:spacing w:val="2"/>
        </w:rPr>
        <w:t>公司董事会于</w:t>
      </w:r>
      <w:r>
        <w:rPr>
          <w:rFonts w:ascii="Arial" w:hAnsi="Arial" w:cs="Arial" w:eastAsia="Arial" w:hint="default"/>
          <w:spacing w:val="2"/>
        </w:rPr>
        <w:t>2008</w:t>
      </w:r>
      <w:r>
        <w:rPr>
          <w:spacing w:val="2"/>
        </w:rPr>
        <w:t>年</w:t>
      </w:r>
      <w:r>
        <w:rPr>
          <w:rFonts w:ascii="Arial" w:hAnsi="Arial" w:cs="Arial" w:eastAsia="Arial" w:hint="default"/>
          <w:spacing w:val="2"/>
        </w:rPr>
        <w:t>9</w:t>
      </w:r>
      <w:r>
        <w:rPr>
          <w:spacing w:val="2"/>
        </w:rPr>
        <w:t>月</w:t>
      </w:r>
      <w:r>
        <w:rPr>
          <w:rFonts w:ascii="Arial" w:hAnsi="Arial" w:cs="Arial" w:eastAsia="Arial" w:hint="default"/>
          <w:spacing w:val="2"/>
        </w:rPr>
        <w:t>26</w:t>
      </w:r>
      <w:r>
        <w:rPr>
          <w:spacing w:val="2"/>
        </w:rPr>
        <w:t>日向符合授予条件的股权激励对象</w:t>
      </w:r>
      <w:r>
        <w:rPr>
          <w:spacing w:val="-54"/>
        </w:rPr>
        <w:t> </w:t>
      </w:r>
      <w:r>
        <w:rPr>
          <w:spacing w:val="-54"/>
        </w:rPr>
      </w:r>
      <w:r>
        <w:rPr>
          <w:spacing w:val="-2"/>
        </w:rPr>
        <w:t>授予《用友软件股份有限公司股权激励计划</w:t>
      </w:r>
      <w:r>
        <w:rPr>
          <w:rFonts w:ascii="Arial" w:hAnsi="Arial" w:cs="Arial" w:eastAsia="Arial" w:hint="default"/>
          <w:spacing w:val="-2"/>
        </w:rPr>
        <w:t>(</w:t>
      </w:r>
      <w:r>
        <w:rPr>
          <w:spacing w:val="-2"/>
        </w:rPr>
        <w:t>修订稿</w:t>
      </w:r>
      <w:r>
        <w:rPr>
          <w:rFonts w:ascii="Arial" w:hAnsi="Arial" w:cs="Arial" w:eastAsia="Arial" w:hint="default"/>
          <w:spacing w:val="-2"/>
        </w:rPr>
        <w:t>)</w:t>
      </w:r>
      <w:r>
        <w:rPr>
          <w:spacing w:val="-2"/>
        </w:rPr>
        <w:t>》中的</w:t>
      </w:r>
      <w:r>
        <w:rPr>
          <w:rFonts w:ascii="Arial" w:hAnsi="Arial" w:cs="Arial" w:eastAsia="Arial" w:hint="default"/>
          <w:spacing w:val="-2"/>
        </w:rPr>
        <w:t>2008</w:t>
      </w:r>
      <w:r>
        <w:rPr>
          <w:spacing w:val="-2"/>
        </w:rPr>
        <w:t>年度股票。截至</w:t>
      </w:r>
      <w:r>
        <w:rPr>
          <w:rFonts w:ascii="Arial" w:hAnsi="Arial" w:cs="Arial" w:eastAsia="Arial" w:hint="default"/>
          <w:spacing w:val="-2"/>
        </w:rPr>
        <w:t>2008</w:t>
      </w:r>
      <w:r>
        <w:rPr>
          <w:spacing w:val="-2"/>
        </w:rPr>
        <w:t>年</w:t>
      </w:r>
      <w:r>
        <w:rPr>
          <w:rFonts w:ascii="Arial" w:hAnsi="Arial" w:cs="Arial" w:eastAsia="Arial" w:hint="default"/>
          <w:spacing w:val="-2"/>
        </w:rPr>
        <w:t>12</w:t>
      </w:r>
      <w:r>
        <w:rPr>
          <w:rFonts w:ascii="Arial" w:hAnsi="Arial" w:cs="Arial" w:eastAsia="Arial" w:hint="default"/>
          <w:spacing w:val="-33"/>
        </w:rPr>
        <w:t> </w:t>
      </w:r>
      <w:r>
        <w:rPr>
          <w:spacing w:val="-3"/>
        </w:rPr>
        <w:t>月</w:t>
      </w:r>
      <w:r>
        <w:rPr>
          <w:rFonts w:ascii="Arial" w:hAnsi="Arial" w:cs="Arial" w:eastAsia="Arial" w:hint="default"/>
          <w:spacing w:val="-3"/>
        </w:rPr>
        <w:t>25</w:t>
      </w:r>
      <w:r>
        <w:rPr>
          <w:spacing w:val="-3"/>
        </w:rPr>
        <w:t>日</w:t>
      </w:r>
      <w:r>
        <w:rPr>
          <w:rFonts w:ascii="Arial" w:hAnsi="Arial" w:cs="Arial" w:eastAsia="Arial" w:hint="default"/>
          <w:spacing w:val="-3"/>
        </w:rPr>
        <w:t>,</w:t>
      </w:r>
      <w:r>
        <w:rPr>
          <w:spacing w:val="-3"/>
        </w:rPr>
        <w:t>实际授出股权激励股份</w:t>
      </w:r>
      <w:r>
        <w:rPr>
          <w:rFonts w:ascii="Arial" w:hAnsi="Arial" w:cs="Arial" w:eastAsia="Arial" w:hint="default"/>
          <w:spacing w:val="-3"/>
        </w:rPr>
        <w:t>4,006,375</w:t>
      </w:r>
      <w:r>
        <w:rPr>
          <w:spacing w:val="-3"/>
        </w:rPr>
        <w:t>股。其中</w:t>
      </w:r>
      <w:r>
        <w:rPr>
          <w:rFonts w:ascii="Arial" w:hAnsi="Arial" w:cs="Arial" w:eastAsia="Arial" w:hint="default"/>
          <w:spacing w:val="-3"/>
        </w:rPr>
        <w:t>3,724,875</w:t>
      </w:r>
      <w:r>
        <w:rPr>
          <w:spacing w:val="-3"/>
        </w:rPr>
        <w:t>股由激励对象按每股价格人民</w:t>
      </w:r>
      <w:r>
        <w:rPr>
          <w:spacing w:val="-40"/>
        </w:rPr>
        <w:t> </w:t>
      </w:r>
      <w:r>
        <w:rPr>
          <w:spacing w:val="-40"/>
        </w:rPr>
      </w:r>
      <w:r>
        <w:rPr/>
        <w:t>币</w:t>
      </w:r>
      <w:r>
        <w:rPr>
          <w:rFonts w:ascii="Arial" w:hAnsi="Arial" w:cs="Arial" w:eastAsia="Arial" w:hint="default"/>
        </w:rPr>
        <w:t>13.71</w:t>
      </w:r>
      <w:r>
        <w:rPr/>
        <w:t>元认购。另有</w:t>
      </w:r>
      <w:r>
        <w:rPr>
          <w:rFonts w:ascii="Arial" w:hAnsi="Arial" w:cs="Arial" w:eastAsia="Arial" w:hint="default"/>
        </w:rPr>
        <w:t>281,500</w:t>
      </w:r>
      <w:r>
        <w:rPr/>
        <w:t>股由激励对象按每股价格人民币</w:t>
      </w:r>
      <w:r>
        <w:rPr>
          <w:rFonts w:ascii="Arial" w:hAnsi="Arial" w:cs="Arial" w:eastAsia="Arial" w:hint="default"/>
        </w:rPr>
        <w:t>16.43</w:t>
      </w:r>
      <w:r>
        <w:rPr/>
        <w:t>元认购。认购后</w:t>
      </w:r>
      <w:r>
        <w:rPr>
          <w:rFonts w:ascii="Arial" w:hAnsi="Arial" w:cs="Arial" w:eastAsia="Arial" w:hint="default"/>
        </w:rPr>
        <w:t>,</w:t>
      </w:r>
      <w:r>
        <w:rPr/>
        <w:t>本公</w:t>
      </w:r>
      <w:r>
        <w:rPr>
          <w:spacing w:val="-97"/>
        </w:rPr>
        <w:t> </w:t>
      </w:r>
      <w:r>
        <w:rPr>
          <w:spacing w:val="-2"/>
        </w:rPr>
        <w:t>司的注册及实收资本由人民币</w:t>
      </w:r>
      <w:r>
        <w:rPr>
          <w:rFonts w:ascii="Arial" w:hAnsi="Arial" w:cs="Arial" w:eastAsia="Arial" w:hint="default"/>
          <w:spacing w:val="-2"/>
        </w:rPr>
        <w:t>462,677,200</w:t>
      </w:r>
      <w:r>
        <w:rPr>
          <w:spacing w:val="-2"/>
        </w:rPr>
        <w:t>元增加至人民币</w:t>
      </w:r>
      <w:r>
        <w:rPr>
          <w:rFonts w:ascii="Arial" w:hAnsi="Arial" w:cs="Arial" w:eastAsia="Arial" w:hint="default"/>
          <w:spacing w:val="-2"/>
        </w:rPr>
        <w:t>466,683,575</w:t>
      </w:r>
      <w:r>
        <w:rPr>
          <w:spacing w:val="-2"/>
        </w:rPr>
        <w:t>元。此次股本变动</w:t>
      </w:r>
      <w:r>
        <w:rPr>
          <w:spacing w:val="-40"/>
        </w:rPr>
        <w:t> </w:t>
      </w:r>
      <w:r>
        <w:rPr>
          <w:spacing w:val="-40"/>
        </w:rPr>
      </w:r>
      <w:r>
        <w:rPr>
          <w:spacing w:val="22"/>
        </w:rPr>
        <w:t>业经深圳市鹏城会计师事务所进行验证</w:t>
      </w:r>
      <w:r>
        <w:rPr>
          <w:spacing w:val="-70"/>
        </w:rPr>
        <w:t> </w:t>
      </w:r>
      <w:r>
        <w:rPr>
          <w:rFonts w:ascii="Arial" w:hAnsi="Arial" w:cs="Arial" w:eastAsia="Arial" w:hint="default"/>
        </w:rPr>
        <w:t>,</w:t>
      </w:r>
      <w:r>
        <w:rPr>
          <w:rFonts w:ascii="Arial" w:hAnsi="Arial" w:cs="Arial" w:eastAsia="Arial" w:hint="default"/>
          <w:spacing w:val="-26"/>
        </w:rPr>
        <w:t> </w:t>
      </w:r>
      <w:r>
        <w:rPr>
          <w:spacing w:val="12"/>
        </w:rPr>
        <w:t>并于</w:t>
      </w:r>
      <w:r>
        <w:rPr>
          <w:spacing w:val="-70"/>
        </w:rPr>
        <w:t> </w:t>
      </w:r>
      <w:r>
        <w:rPr>
          <w:rFonts w:ascii="Arial" w:hAnsi="Arial" w:cs="Arial" w:eastAsia="Arial" w:hint="default"/>
        </w:rPr>
        <w:t>2008</w:t>
      </w:r>
      <w:r>
        <w:rPr>
          <w:rFonts w:ascii="Arial" w:hAnsi="Arial" w:cs="Arial" w:eastAsia="Arial" w:hint="default"/>
          <w:spacing w:val="-26"/>
        </w:rPr>
        <w:t> </w:t>
      </w:r>
      <w:r>
        <w:rPr/>
        <w:t>年</w:t>
      </w:r>
      <w:r>
        <w:rPr>
          <w:spacing w:val="-70"/>
        </w:rPr>
        <w:t> </w:t>
      </w:r>
      <w:r>
        <w:rPr>
          <w:rFonts w:ascii="Arial" w:hAnsi="Arial" w:cs="Arial" w:eastAsia="Arial" w:hint="default"/>
        </w:rPr>
        <w:t>12</w:t>
      </w:r>
      <w:r>
        <w:rPr>
          <w:rFonts w:ascii="Arial" w:hAnsi="Arial" w:cs="Arial" w:eastAsia="Arial" w:hint="default"/>
          <w:spacing w:val="-26"/>
        </w:rPr>
        <w:t> </w:t>
      </w:r>
      <w:r>
        <w:rPr/>
        <w:t>月</w:t>
      </w:r>
      <w:r>
        <w:rPr>
          <w:spacing w:val="-70"/>
        </w:rPr>
        <w:t> </w:t>
      </w:r>
      <w:r>
        <w:rPr>
          <w:rFonts w:ascii="Arial" w:hAnsi="Arial" w:cs="Arial" w:eastAsia="Arial" w:hint="default"/>
        </w:rPr>
        <w:t>15</w:t>
      </w:r>
      <w:r>
        <w:rPr>
          <w:rFonts w:ascii="Arial" w:hAnsi="Arial" w:cs="Arial" w:eastAsia="Arial" w:hint="default"/>
          <w:spacing w:val="-27"/>
        </w:rPr>
        <w:t> </w:t>
      </w:r>
      <w:r>
        <w:rPr>
          <w:spacing w:val="21"/>
        </w:rPr>
        <w:t>日出具了深鹏所验字</w:t>
      </w:r>
      <w:r>
        <w:rPr>
          <w:spacing w:val="-91"/>
        </w:rPr>
        <w:t> </w:t>
      </w:r>
      <w:r>
        <w:rPr>
          <w:rFonts w:ascii="Arial" w:hAnsi="Arial" w:cs="Arial" w:eastAsia="Arial" w:hint="default"/>
        </w:rPr>
        <w:t>[2008]196</w:t>
      </w:r>
      <w:r>
        <w:rPr/>
        <w:t>号验资报告。</w:t>
      </w:r>
    </w:p>
    <w:p>
      <w:pPr>
        <w:spacing w:line="240" w:lineRule="auto" w:before="3"/>
        <w:rPr>
          <w:rFonts w:ascii="黑体" w:hAnsi="黑体" w:cs="黑体" w:eastAsia="黑体" w:hint="default"/>
          <w:sz w:val="23"/>
          <w:szCs w:val="23"/>
        </w:rPr>
      </w:pPr>
    </w:p>
    <w:p>
      <w:pPr>
        <w:pStyle w:val="BodyText"/>
        <w:spacing w:line="261" w:lineRule="auto"/>
        <w:ind w:right="184" w:hanging="1"/>
        <w:jc w:val="both"/>
      </w:pPr>
      <w:r>
        <w:rPr>
          <w:spacing w:val="-2"/>
        </w:rPr>
        <w:t>经本公司于</w:t>
      </w:r>
      <w:r>
        <w:rPr>
          <w:rFonts w:ascii="Arial" w:hAnsi="Arial" w:cs="Arial" w:eastAsia="Arial" w:hint="default"/>
          <w:spacing w:val="-2"/>
        </w:rPr>
        <w:t>2009</w:t>
      </w:r>
      <w:r>
        <w:rPr>
          <w:spacing w:val="-2"/>
        </w:rPr>
        <w:t>年</w:t>
      </w:r>
      <w:r>
        <w:rPr>
          <w:rFonts w:ascii="Arial" w:hAnsi="Arial" w:cs="Arial" w:eastAsia="Arial" w:hint="default"/>
          <w:spacing w:val="-2"/>
        </w:rPr>
        <w:t>4</w:t>
      </w:r>
      <w:r>
        <w:rPr>
          <w:spacing w:val="-2"/>
        </w:rPr>
        <w:t>月</w:t>
      </w:r>
      <w:r>
        <w:rPr>
          <w:rFonts w:ascii="Arial" w:hAnsi="Arial" w:cs="Arial" w:eastAsia="Arial" w:hint="default"/>
          <w:spacing w:val="-2"/>
        </w:rPr>
        <w:t>15</w:t>
      </w:r>
      <w:r>
        <w:rPr>
          <w:spacing w:val="-2"/>
        </w:rPr>
        <w:t>日召开的股东大会决议通过的《</w:t>
      </w:r>
      <w:r>
        <w:rPr>
          <w:rFonts w:ascii="Arial" w:hAnsi="Arial" w:cs="Arial" w:eastAsia="Arial" w:hint="default"/>
          <w:spacing w:val="-2"/>
        </w:rPr>
        <w:t>2008</w:t>
      </w:r>
      <w:r>
        <w:rPr>
          <w:spacing w:val="-2"/>
        </w:rPr>
        <w:t>年度资本公积金转增股本议</w:t>
      </w:r>
      <w:r>
        <w:rPr>
          <w:spacing w:val="-55"/>
        </w:rPr>
        <w:t> </w:t>
      </w:r>
      <w:r>
        <w:rPr>
          <w:spacing w:val="-55"/>
        </w:rPr>
      </w:r>
      <w:r>
        <w:rPr>
          <w:spacing w:val="-2"/>
        </w:rPr>
        <w:t>案》，本公司以</w:t>
      </w:r>
      <w:r>
        <w:rPr>
          <w:rFonts w:ascii="Arial" w:hAnsi="Arial" w:cs="Arial" w:eastAsia="Arial" w:hint="default"/>
          <w:spacing w:val="-2"/>
        </w:rPr>
        <w:t>2008</w:t>
      </w:r>
      <w:r>
        <w:rPr>
          <w:spacing w:val="-2"/>
        </w:rPr>
        <w:t>年末总股本扣除截止到</w:t>
      </w:r>
      <w:r>
        <w:rPr>
          <w:rFonts w:ascii="Arial" w:hAnsi="Arial" w:cs="Arial" w:eastAsia="Arial" w:hint="default"/>
          <w:spacing w:val="-2"/>
        </w:rPr>
        <w:t>2009</w:t>
      </w:r>
      <w:r>
        <w:rPr>
          <w:spacing w:val="-2"/>
        </w:rPr>
        <w:t>年</w:t>
      </w:r>
      <w:r>
        <w:rPr>
          <w:rFonts w:ascii="Arial" w:hAnsi="Arial" w:cs="Arial" w:eastAsia="Arial" w:hint="default"/>
          <w:spacing w:val="-2"/>
        </w:rPr>
        <w:t>3</w:t>
      </w:r>
      <w:r>
        <w:rPr>
          <w:spacing w:val="-2"/>
        </w:rPr>
        <w:t>月</w:t>
      </w:r>
      <w:r>
        <w:rPr>
          <w:rFonts w:ascii="Arial" w:hAnsi="Arial" w:cs="Arial" w:eastAsia="Arial" w:hint="default"/>
          <w:spacing w:val="-2"/>
        </w:rPr>
        <w:t>19</w:t>
      </w:r>
      <w:r>
        <w:rPr>
          <w:spacing w:val="-2"/>
        </w:rPr>
        <w:t>日已批准回购但尚未注销的股权</w:t>
      </w:r>
      <w:r>
        <w:rPr>
          <w:spacing w:val="-55"/>
        </w:rPr>
        <w:t> </w:t>
      </w:r>
      <w:r>
        <w:rPr>
          <w:spacing w:val="-55"/>
        </w:rPr>
      </w:r>
      <w:r>
        <w:rPr/>
        <w:t>激励股份计</w:t>
      </w:r>
      <w:r>
        <w:rPr>
          <w:rFonts w:ascii="Arial" w:hAnsi="Arial" w:cs="Arial" w:eastAsia="Arial" w:hint="default"/>
        </w:rPr>
        <w:t>20,600</w:t>
      </w:r>
      <w:r>
        <w:rPr/>
        <w:t>股后的</w:t>
      </w:r>
      <w:r>
        <w:rPr>
          <w:rFonts w:ascii="Arial" w:hAnsi="Arial" w:cs="Arial" w:eastAsia="Arial" w:hint="default"/>
        </w:rPr>
        <w:t>466,662,975</w:t>
      </w:r>
      <w:r>
        <w:rPr/>
        <w:t>股为基数，向全体股东每</w:t>
      </w:r>
      <w:r>
        <w:rPr>
          <w:rFonts w:ascii="Arial" w:hAnsi="Arial" w:cs="Arial" w:eastAsia="Arial" w:hint="default"/>
        </w:rPr>
        <w:t>10</w:t>
      </w:r>
      <w:r>
        <w:rPr/>
        <w:t>股转增</w:t>
      </w:r>
      <w:r>
        <w:rPr>
          <w:rFonts w:ascii="Arial" w:hAnsi="Arial" w:cs="Arial" w:eastAsia="Arial" w:hint="default"/>
        </w:rPr>
        <w:t>3</w:t>
      </w:r>
      <w:r>
        <w:rPr/>
        <w:t>股，共计转增</w:t>
      </w:r>
      <w:r>
        <w:rPr>
          <w:spacing w:val="8"/>
        </w:rPr>
        <w:t> </w:t>
      </w:r>
      <w:r>
        <w:rPr>
          <w:spacing w:val="8"/>
        </w:rPr>
      </w:r>
      <w:r>
        <w:rPr>
          <w:rFonts w:ascii="Arial" w:hAnsi="Arial" w:cs="Arial" w:eastAsia="Arial" w:hint="default"/>
        </w:rPr>
        <w:t>139,998,893</w:t>
      </w:r>
      <w:r>
        <w:rPr>
          <w:rFonts w:ascii="Arial" w:hAnsi="Arial" w:cs="Arial" w:eastAsia="Arial" w:hint="default"/>
          <w:spacing w:val="-22"/>
        </w:rPr>
        <w:t> </w:t>
      </w:r>
      <w:r>
        <w:rPr>
          <w:spacing w:val="14"/>
        </w:rPr>
        <w:t>股。</w:t>
      </w:r>
      <w:r>
        <w:rPr>
          <w:spacing w:val="-65"/>
        </w:rPr>
        <w:t> </w:t>
      </w:r>
      <w:r>
        <w:rPr>
          <w:spacing w:val="23"/>
        </w:rPr>
        <w:t>转增后，公</w:t>
      </w:r>
      <w:r>
        <w:rPr>
          <w:spacing w:val="-65"/>
        </w:rPr>
        <w:t> </w:t>
      </w:r>
      <w:r>
        <w:rPr>
          <w:spacing w:val="23"/>
        </w:rPr>
        <w:t>司的注册资</w:t>
      </w:r>
      <w:r>
        <w:rPr>
          <w:spacing w:val="-65"/>
        </w:rPr>
        <w:t> </w:t>
      </w:r>
      <w:r>
        <w:rPr>
          <w:spacing w:val="23"/>
        </w:rPr>
        <w:t>本从人民币</w:t>
      </w:r>
      <w:r>
        <w:rPr>
          <w:spacing w:val="-65"/>
        </w:rPr>
        <w:t> </w:t>
      </w:r>
      <w:r>
        <w:rPr>
          <w:rFonts w:ascii="Arial" w:hAnsi="Arial" w:cs="Arial" w:eastAsia="Arial" w:hint="default"/>
        </w:rPr>
        <w:t>466,683,575</w:t>
      </w:r>
      <w:r>
        <w:rPr>
          <w:rFonts w:ascii="Arial" w:hAnsi="Arial" w:cs="Arial" w:eastAsia="Arial" w:hint="default"/>
          <w:spacing w:val="-22"/>
        </w:rPr>
        <w:t> </w:t>
      </w:r>
      <w:r>
        <w:rPr>
          <w:spacing w:val="14"/>
        </w:rPr>
        <w:t>元增</w:t>
      </w:r>
      <w:r>
        <w:rPr>
          <w:spacing w:val="-65"/>
        </w:rPr>
        <w:t> </w:t>
      </w:r>
      <w:r>
        <w:rPr>
          <w:spacing w:val="19"/>
        </w:rPr>
        <w:t>加至人</w:t>
      </w:r>
      <w:r>
        <w:rPr>
          <w:spacing w:val="-65"/>
        </w:rPr>
        <w:t> </w:t>
      </w:r>
      <w:r>
        <w:rPr>
          <w:spacing w:val="14"/>
        </w:rPr>
        <w:t>民币</w:t>
      </w:r>
      <w:r>
        <w:rPr>
          <w:spacing w:val="-70"/>
        </w:rPr>
        <w:t> </w:t>
      </w:r>
      <w:r>
        <w:rPr/>
      </w:r>
    </w:p>
    <w:p>
      <w:pPr>
        <w:pStyle w:val="BodyText"/>
        <w:spacing w:line="261" w:lineRule="auto" w:before="4"/>
        <w:ind w:right="215" w:firstLine="1"/>
        <w:jc w:val="both"/>
      </w:pPr>
      <w:r>
        <w:rPr>
          <w:rFonts w:ascii="Arial" w:hAnsi="Arial" w:cs="Arial" w:eastAsia="Arial" w:hint="default"/>
          <w:spacing w:val="-2"/>
        </w:rPr>
        <w:t>606,682,468</w:t>
      </w:r>
      <w:r>
        <w:rPr>
          <w:spacing w:val="-2"/>
        </w:rPr>
        <w:t>元。此次股本变动业经深圳市鹏城会计师事务所进行验证</w:t>
      </w:r>
      <w:r>
        <w:rPr>
          <w:rFonts w:ascii="Arial" w:hAnsi="Arial" w:cs="Arial" w:eastAsia="Arial" w:hint="default"/>
          <w:spacing w:val="-2"/>
        </w:rPr>
        <w:t>,</w:t>
      </w:r>
      <w:r>
        <w:rPr>
          <w:spacing w:val="-2"/>
        </w:rPr>
        <w:t>并于</w:t>
      </w:r>
      <w:r>
        <w:rPr>
          <w:rFonts w:ascii="Arial" w:hAnsi="Arial" w:cs="Arial" w:eastAsia="Arial" w:hint="default"/>
          <w:spacing w:val="-2"/>
        </w:rPr>
        <w:t>2009</w:t>
      </w:r>
      <w:r>
        <w:rPr>
          <w:spacing w:val="-2"/>
        </w:rPr>
        <w:t>年</w:t>
      </w:r>
      <w:r>
        <w:rPr>
          <w:rFonts w:ascii="Arial" w:hAnsi="Arial" w:cs="Arial" w:eastAsia="Arial" w:hint="default"/>
          <w:spacing w:val="-2"/>
        </w:rPr>
        <w:t>5</w:t>
      </w:r>
      <w:r>
        <w:rPr>
          <w:spacing w:val="-2"/>
        </w:rPr>
        <w:t>月</w:t>
      </w:r>
      <w:r>
        <w:rPr>
          <w:rFonts w:ascii="Arial" w:hAnsi="Arial" w:cs="Arial" w:eastAsia="Arial" w:hint="default"/>
          <w:spacing w:val="-2"/>
        </w:rPr>
        <w:t>7</w:t>
      </w:r>
      <w:r>
        <w:rPr>
          <w:spacing w:val="-2"/>
        </w:rPr>
        <w:t>日</w:t>
      </w:r>
      <w:r>
        <w:rPr>
          <w:spacing w:val="-59"/>
        </w:rPr>
        <w:t> </w:t>
      </w:r>
      <w:r>
        <w:rPr/>
        <w:t>出具了深鹏所验字</w:t>
      </w:r>
      <w:r>
        <w:rPr>
          <w:rFonts w:ascii="Arial" w:hAnsi="Arial" w:cs="Arial" w:eastAsia="Arial" w:hint="default"/>
        </w:rPr>
        <w:t>[2009]34</w:t>
      </w:r>
      <w:r>
        <w:rPr/>
        <w:t>号验资报告。</w:t>
      </w:r>
    </w:p>
    <w:p>
      <w:pPr>
        <w:spacing w:line="240" w:lineRule="auto" w:before="3"/>
        <w:rPr>
          <w:rFonts w:ascii="黑体" w:hAnsi="黑体" w:cs="黑体" w:eastAsia="黑体" w:hint="default"/>
          <w:sz w:val="23"/>
          <w:szCs w:val="23"/>
        </w:rPr>
      </w:pPr>
    </w:p>
    <w:p>
      <w:pPr>
        <w:pStyle w:val="BodyText"/>
        <w:spacing w:line="261" w:lineRule="auto"/>
        <w:ind w:right="213"/>
        <w:jc w:val="both"/>
      </w:pPr>
      <w:r>
        <w:rPr>
          <w:spacing w:val="-3"/>
        </w:rPr>
        <w:t>因有部分股权激励对象发生了公司股权激励计划中规定的变更和终止的情形</w:t>
      </w:r>
      <w:r>
        <w:rPr>
          <w:rFonts w:ascii="Arial" w:hAnsi="Arial" w:cs="Arial" w:eastAsia="Arial" w:hint="default"/>
          <w:spacing w:val="-3"/>
        </w:rPr>
        <w:t>,</w:t>
      </w:r>
      <w:r>
        <w:rPr>
          <w:spacing w:val="-3"/>
        </w:rPr>
        <w:t>根据《用友软</w:t>
      </w:r>
      <w:r>
        <w:rPr>
          <w:spacing w:val="-54"/>
        </w:rPr>
        <w:t> </w:t>
      </w:r>
      <w:r>
        <w:rPr>
          <w:spacing w:val="-54"/>
        </w:rPr>
      </w:r>
      <w:r>
        <w:rPr>
          <w:spacing w:val="-2"/>
        </w:rPr>
        <w:t>件股份有限公司股权激励计划</w:t>
      </w:r>
      <w:r>
        <w:rPr>
          <w:rFonts w:ascii="Arial" w:hAnsi="Arial" w:cs="Arial" w:eastAsia="Arial" w:hint="default"/>
          <w:spacing w:val="-2"/>
        </w:rPr>
        <w:t>(</w:t>
      </w:r>
      <w:r>
        <w:rPr>
          <w:spacing w:val="-2"/>
        </w:rPr>
        <w:t>修订稿</w:t>
      </w:r>
      <w:r>
        <w:rPr>
          <w:rFonts w:ascii="Arial" w:hAnsi="Arial" w:cs="Arial" w:eastAsia="Arial" w:hint="default"/>
          <w:spacing w:val="-2"/>
        </w:rPr>
        <w:t>)</w:t>
      </w:r>
      <w:r>
        <w:rPr>
          <w:spacing w:val="-2"/>
        </w:rPr>
        <w:t>》有关条款和股东大会授权</w:t>
      </w:r>
      <w:r>
        <w:rPr>
          <w:rFonts w:ascii="Arial" w:hAnsi="Arial" w:cs="Arial" w:eastAsia="Arial" w:hint="default"/>
          <w:spacing w:val="-2"/>
        </w:rPr>
        <w:t>,</w:t>
      </w:r>
      <w:r>
        <w:rPr>
          <w:spacing w:val="-2"/>
        </w:rPr>
        <w:t>本公司董事会于</w:t>
      </w:r>
      <w:r>
        <w:rPr>
          <w:rFonts w:ascii="Arial" w:hAnsi="Arial" w:cs="Arial" w:eastAsia="Arial" w:hint="default"/>
          <w:spacing w:val="-2"/>
        </w:rPr>
        <w:t>2009</w:t>
      </w:r>
      <w:r>
        <w:rPr>
          <w:spacing w:val="-2"/>
        </w:rPr>
        <w:t>年</w:t>
      </w:r>
      <w:r>
        <w:rPr>
          <w:spacing w:val="-67"/>
        </w:rPr>
        <w:t> </w:t>
      </w:r>
      <w:r>
        <w:rPr>
          <w:rFonts w:ascii="Arial" w:hAnsi="Arial" w:cs="Arial" w:eastAsia="Arial" w:hint="default"/>
        </w:rPr>
        <w:t>3</w:t>
      </w:r>
      <w:r>
        <w:rPr/>
        <w:t>月</w:t>
      </w:r>
      <w:r>
        <w:rPr>
          <w:rFonts w:ascii="Arial" w:hAnsi="Arial" w:cs="Arial" w:eastAsia="Arial" w:hint="default"/>
        </w:rPr>
        <w:t>19</w:t>
      </w:r>
      <w:r>
        <w:rPr/>
        <w:t>日召开的第四届董事会</w:t>
      </w:r>
      <w:r>
        <w:rPr>
          <w:rFonts w:ascii="Arial" w:hAnsi="Arial" w:cs="Arial" w:eastAsia="Arial" w:hint="default"/>
        </w:rPr>
        <w:t>2009</w:t>
      </w:r>
      <w:r>
        <w:rPr/>
        <w:t>年第二次会议上审议通过了回购并注销上述激励对象已</w:t>
      </w:r>
      <w:r>
        <w:rPr>
          <w:spacing w:val="-89"/>
        </w:rPr>
        <w:t> </w:t>
      </w:r>
      <w:r>
        <w:rPr>
          <w:spacing w:val="-89"/>
        </w:rPr>
      </w:r>
      <w:r>
        <w:rPr>
          <w:spacing w:val="-2"/>
        </w:rPr>
        <w:t>获授但尚未解锁的股权激励股票的相关议案。本公司已分别于</w:t>
      </w:r>
      <w:r>
        <w:rPr>
          <w:rFonts w:ascii="Arial" w:hAnsi="Arial" w:cs="Arial" w:eastAsia="Arial" w:hint="default"/>
          <w:spacing w:val="-2"/>
        </w:rPr>
        <w:t>2009</w:t>
      </w:r>
      <w:r>
        <w:rPr>
          <w:spacing w:val="-2"/>
        </w:rPr>
        <w:t>年</w:t>
      </w:r>
      <w:r>
        <w:rPr>
          <w:rFonts w:ascii="Arial" w:hAnsi="Arial" w:cs="Arial" w:eastAsia="Arial" w:hint="default"/>
          <w:spacing w:val="-2"/>
        </w:rPr>
        <w:t>8</w:t>
      </w:r>
      <w:r>
        <w:rPr>
          <w:spacing w:val="-2"/>
        </w:rPr>
        <w:t>月</w:t>
      </w:r>
      <w:r>
        <w:rPr>
          <w:rFonts w:ascii="Arial" w:hAnsi="Arial" w:cs="Arial" w:eastAsia="Arial" w:hint="default"/>
          <w:spacing w:val="-2"/>
        </w:rPr>
        <w:t>3</w:t>
      </w:r>
      <w:r>
        <w:rPr>
          <w:spacing w:val="-2"/>
        </w:rPr>
        <w:t>日及</w:t>
      </w:r>
      <w:r>
        <w:rPr>
          <w:rFonts w:ascii="Arial" w:hAnsi="Arial" w:cs="Arial" w:eastAsia="Arial" w:hint="default"/>
          <w:spacing w:val="-2"/>
        </w:rPr>
        <w:t>2009</w:t>
      </w:r>
      <w:r>
        <w:rPr>
          <w:spacing w:val="-2"/>
        </w:rPr>
        <w:t>年</w:t>
      </w:r>
      <w:r>
        <w:rPr>
          <w:rFonts w:ascii="Arial" w:hAnsi="Arial" w:cs="Arial" w:eastAsia="Arial" w:hint="default"/>
          <w:spacing w:val="-2"/>
        </w:rPr>
        <w:t>9</w:t>
      </w:r>
      <w:r>
        <w:rPr>
          <w:spacing w:val="-2"/>
        </w:rPr>
        <w:t>月</w:t>
      </w:r>
      <w:r>
        <w:rPr>
          <w:spacing w:val="-54"/>
        </w:rPr>
        <w:t> </w:t>
      </w:r>
      <w:r>
        <w:rPr>
          <w:rFonts w:ascii="Arial" w:hAnsi="Arial" w:cs="Arial" w:eastAsia="Arial" w:hint="default"/>
          <w:spacing w:val="-1"/>
        </w:rPr>
        <w:t>15</w:t>
      </w:r>
      <w:r>
        <w:rPr>
          <w:spacing w:val="-1"/>
        </w:rPr>
        <w:t>日</w:t>
      </w:r>
      <w:r>
        <w:rPr>
          <w:rFonts w:ascii="Arial" w:hAnsi="Arial" w:cs="Arial" w:eastAsia="Arial" w:hint="default"/>
          <w:spacing w:val="-1"/>
        </w:rPr>
        <w:t>,</w:t>
      </w:r>
      <w:r>
        <w:rPr>
          <w:spacing w:val="-1"/>
        </w:rPr>
        <w:t>将上述回购的股权激励股票予以注销</w:t>
      </w:r>
      <w:r>
        <w:rPr>
          <w:rFonts w:ascii="Arial" w:hAnsi="Arial" w:cs="Arial" w:eastAsia="Arial" w:hint="default"/>
          <w:spacing w:val="-1"/>
        </w:rPr>
        <w:t>,</w:t>
      </w:r>
      <w:r>
        <w:rPr>
          <w:spacing w:val="-1"/>
        </w:rPr>
        <w:t>共计注销</w:t>
      </w:r>
      <w:r>
        <w:rPr>
          <w:rFonts w:ascii="Arial" w:hAnsi="Arial" w:cs="Arial" w:eastAsia="Arial" w:hint="default"/>
          <w:spacing w:val="-1"/>
        </w:rPr>
        <w:t>20,600</w:t>
      </w:r>
      <w:r>
        <w:rPr>
          <w:spacing w:val="-1"/>
        </w:rPr>
        <w:t>股。注销后</w:t>
      </w:r>
      <w:r>
        <w:rPr>
          <w:rFonts w:ascii="Arial" w:hAnsi="Arial" w:cs="Arial" w:eastAsia="Arial" w:hint="default"/>
          <w:spacing w:val="-1"/>
        </w:rPr>
        <w:t>,</w:t>
      </w:r>
      <w:r>
        <w:rPr>
          <w:spacing w:val="-1"/>
        </w:rPr>
        <w:t>本公司的注册资本</w:t>
      </w:r>
      <w:r>
        <w:rPr>
          <w:spacing w:val="-80"/>
        </w:rPr>
        <w:t> </w:t>
      </w:r>
      <w:r>
        <w:rPr>
          <w:spacing w:val="-80"/>
        </w:rPr>
      </w:r>
      <w:r>
        <w:rPr>
          <w:spacing w:val="-2"/>
        </w:rPr>
        <w:t>从人民币</w:t>
      </w:r>
      <w:r>
        <w:rPr>
          <w:rFonts w:ascii="Arial" w:hAnsi="Arial" w:cs="Arial" w:eastAsia="Arial" w:hint="default"/>
          <w:spacing w:val="-2"/>
        </w:rPr>
        <w:t>606,682,468</w:t>
      </w:r>
      <w:r>
        <w:rPr>
          <w:spacing w:val="-2"/>
        </w:rPr>
        <w:t>元减至人民币</w:t>
      </w:r>
      <w:r>
        <w:rPr>
          <w:rFonts w:ascii="Arial" w:hAnsi="Arial" w:cs="Arial" w:eastAsia="Arial" w:hint="default"/>
          <w:spacing w:val="-2"/>
        </w:rPr>
        <w:t>606,661,868</w:t>
      </w:r>
      <w:r>
        <w:rPr>
          <w:spacing w:val="-2"/>
        </w:rPr>
        <w:t>元。此次股本变动业经深圳市鹏城会计师</w:t>
      </w:r>
      <w:r>
        <w:rPr>
          <w:spacing w:val="-42"/>
        </w:rPr>
        <w:t> </w:t>
      </w:r>
      <w:r>
        <w:rPr>
          <w:spacing w:val="-42"/>
        </w:rPr>
      </w:r>
      <w:r>
        <w:rPr/>
        <w:t>事务所进行验证</w:t>
      </w:r>
      <w:r>
        <w:rPr>
          <w:rFonts w:ascii="Arial" w:hAnsi="Arial" w:cs="Arial" w:eastAsia="Arial" w:hint="default"/>
        </w:rPr>
        <w:t>,</w:t>
      </w:r>
      <w:r>
        <w:rPr/>
        <w:t>并于</w:t>
      </w:r>
      <w:r>
        <w:rPr>
          <w:rFonts w:ascii="Arial" w:hAnsi="Arial" w:cs="Arial" w:eastAsia="Arial" w:hint="default"/>
        </w:rPr>
        <w:t>2009</w:t>
      </w:r>
      <w:r>
        <w:rPr/>
        <w:t>年</w:t>
      </w:r>
      <w:r>
        <w:rPr>
          <w:rFonts w:ascii="Arial" w:hAnsi="Arial" w:cs="Arial" w:eastAsia="Arial" w:hint="default"/>
        </w:rPr>
        <w:t>10</w:t>
      </w:r>
      <w:r>
        <w:rPr/>
        <w:t>月</w:t>
      </w:r>
      <w:r>
        <w:rPr>
          <w:rFonts w:ascii="Arial" w:hAnsi="Arial" w:cs="Arial" w:eastAsia="Arial" w:hint="default"/>
        </w:rPr>
        <w:t>22</w:t>
      </w:r>
      <w:r>
        <w:rPr/>
        <w:t>日出具了深鹏所验字</w:t>
      </w:r>
      <w:r>
        <w:rPr>
          <w:rFonts w:ascii="Arial" w:hAnsi="Arial" w:cs="Arial" w:eastAsia="Arial" w:hint="default"/>
        </w:rPr>
        <w:t>[2009]152</w:t>
      </w:r>
      <w:r>
        <w:rPr/>
        <w:t>号验资报告。</w:t>
      </w:r>
    </w:p>
    <w:p>
      <w:pPr>
        <w:spacing w:line="240" w:lineRule="auto" w:before="3"/>
        <w:rPr>
          <w:rFonts w:ascii="黑体" w:hAnsi="黑体" w:cs="黑体" w:eastAsia="黑体" w:hint="default"/>
          <w:sz w:val="23"/>
          <w:szCs w:val="23"/>
        </w:rPr>
      </w:pPr>
    </w:p>
    <w:p>
      <w:pPr>
        <w:pStyle w:val="BodyText"/>
        <w:spacing w:line="261" w:lineRule="auto"/>
        <w:ind w:right="210"/>
        <w:jc w:val="both"/>
      </w:pPr>
      <w:r>
        <w:rPr>
          <w:rFonts w:ascii="Arial" w:hAnsi="Arial" w:cs="Arial" w:eastAsia="Arial" w:hint="default"/>
        </w:rPr>
        <w:t>2009</w:t>
      </w:r>
      <w:r>
        <w:rPr/>
        <w:t>年</w:t>
      </w:r>
      <w:r>
        <w:rPr>
          <w:rFonts w:ascii="Arial" w:hAnsi="Arial" w:cs="Arial" w:eastAsia="Arial" w:hint="default"/>
        </w:rPr>
        <w:t>8</w:t>
      </w:r>
      <w:r>
        <w:rPr/>
        <w:t>月</w:t>
      </w:r>
      <w:r>
        <w:rPr>
          <w:rFonts w:ascii="Arial" w:hAnsi="Arial" w:cs="Arial" w:eastAsia="Arial" w:hint="default"/>
        </w:rPr>
        <w:t>10</w:t>
      </w:r>
      <w:r>
        <w:rPr/>
        <w:t>日</w:t>
      </w:r>
      <w:r>
        <w:rPr>
          <w:rFonts w:ascii="Arial" w:hAnsi="Arial" w:cs="Arial" w:eastAsia="Arial" w:hint="default"/>
        </w:rPr>
        <w:t>,</w:t>
      </w:r>
      <w:r>
        <w:rPr/>
        <w:t>本公司于</w:t>
      </w:r>
      <w:r>
        <w:rPr>
          <w:rFonts w:ascii="Arial" w:hAnsi="Arial" w:cs="Arial" w:eastAsia="Arial" w:hint="default"/>
        </w:rPr>
        <w:t>2007</w:t>
      </w:r>
      <w:r>
        <w:rPr/>
        <w:t>年</w:t>
      </w:r>
      <w:r>
        <w:rPr>
          <w:rFonts w:ascii="Arial" w:hAnsi="Arial" w:cs="Arial" w:eastAsia="Arial" w:hint="default"/>
        </w:rPr>
        <w:t>8</w:t>
      </w:r>
      <w:r>
        <w:rPr/>
        <w:t>月</w:t>
      </w:r>
      <w:r>
        <w:rPr>
          <w:rFonts w:ascii="Arial" w:hAnsi="Arial" w:cs="Arial" w:eastAsia="Arial" w:hint="default"/>
        </w:rPr>
        <w:t>8</w:t>
      </w:r>
      <w:r>
        <w:rPr/>
        <w:t>日向符合授予条件的股权激励对象授予的</w:t>
      </w:r>
      <w:r>
        <w:rPr>
          <w:rFonts w:ascii="Arial" w:hAnsi="Arial" w:cs="Arial" w:eastAsia="Arial" w:hint="default"/>
        </w:rPr>
        <w:t>2007</w:t>
      </w:r>
      <w:r>
        <w:rPr/>
        <w:t>年度</w:t>
      </w:r>
      <w:r>
        <w:rPr>
          <w:spacing w:val="-66"/>
        </w:rPr>
        <w:t> </w:t>
      </w:r>
      <w:r>
        <w:rPr>
          <w:spacing w:val="2"/>
        </w:rPr>
        <w:t>股票部分已达到解锁条件</w:t>
      </w:r>
      <w:r>
        <w:rPr>
          <w:rFonts w:ascii="Arial" w:hAnsi="Arial" w:cs="Arial" w:eastAsia="Arial" w:hint="default"/>
          <w:spacing w:val="2"/>
        </w:rPr>
        <w:t>,</w:t>
      </w:r>
      <w:r>
        <w:rPr>
          <w:spacing w:val="2"/>
        </w:rPr>
        <w:t>本次解锁的已授出股权激励股份数量为</w:t>
      </w:r>
      <w:r>
        <w:rPr>
          <w:rFonts w:ascii="Arial" w:hAnsi="Arial" w:cs="Arial" w:eastAsia="Arial" w:hint="default"/>
          <w:spacing w:val="2"/>
        </w:rPr>
        <w:t>6,949,904</w:t>
      </w:r>
      <w:r>
        <w:rPr>
          <w:spacing w:val="2"/>
        </w:rPr>
        <w:t>股</w:t>
      </w:r>
      <w:r>
        <w:rPr>
          <w:rFonts w:ascii="Arial" w:hAnsi="Arial" w:cs="Arial" w:eastAsia="Arial" w:hint="default"/>
          <w:spacing w:val="2"/>
        </w:rPr>
        <w:t>,</w:t>
      </w:r>
      <w:r>
        <w:rPr>
          <w:spacing w:val="2"/>
        </w:rPr>
        <w:t>可上市流</w:t>
      </w:r>
      <w:r>
        <w:rPr>
          <w:spacing w:val="-17"/>
        </w:rPr>
        <w:t> </w:t>
      </w:r>
      <w:r>
        <w:rPr/>
        <w:t>通日为</w:t>
      </w:r>
      <w:r>
        <w:rPr>
          <w:rFonts w:ascii="Arial" w:hAnsi="Arial" w:cs="Arial" w:eastAsia="Arial" w:hint="default"/>
        </w:rPr>
        <w:t>2009</w:t>
      </w:r>
      <w:r>
        <w:rPr/>
        <w:t>年</w:t>
      </w:r>
      <w:r>
        <w:rPr>
          <w:rFonts w:ascii="Arial" w:hAnsi="Arial" w:cs="Arial" w:eastAsia="Arial" w:hint="default"/>
        </w:rPr>
        <w:t>8</w:t>
      </w:r>
      <w:r>
        <w:rPr/>
        <w:t>月</w:t>
      </w:r>
      <w:r>
        <w:rPr>
          <w:rFonts w:ascii="Arial" w:hAnsi="Arial" w:cs="Arial" w:eastAsia="Arial" w:hint="default"/>
        </w:rPr>
        <w:t>10</w:t>
      </w:r>
      <w:r>
        <w:rPr/>
        <w:t>日。</w:t>
      </w:r>
    </w:p>
    <w:p>
      <w:pPr>
        <w:spacing w:after="0" w:line="261" w:lineRule="auto"/>
        <w:jc w:val="both"/>
        <w:sectPr>
          <w:headerReference w:type="default" r:id="rId45"/>
          <w:pgSz w:w="11910" w:h="16840"/>
          <w:pgMar w:header="958" w:footer="834" w:top="2380" w:bottom="1020" w:left="1600" w:right="1480"/>
        </w:sectPr>
      </w:pPr>
    </w:p>
    <w:p>
      <w:pPr>
        <w:spacing w:line="240" w:lineRule="auto" w:before="7"/>
        <w:rPr>
          <w:rFonts w:ascii="黑体" w:hAnsi="黑体" w:cs="黑体" w:eastAsia="黑体" w:hint="default"/>
          <w:sz w:val="25"/>
          <w:szCs w:val="25"/>
        </w:rPr>
      </w:pPr>
    </w:p>
    <w:p>
      <w:pPr>
        <w:tabs>
          <w:tab w:pos="810"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一、</w:t>
        <w:tab/>
        <w:t>本集团的基本情况（续）</w:t>
      </w:r>
      <w:r>
        <w:rPr>
          <w:rFonts w:ascii="黑体" w:hAnsi="黑体" w:cs="黑体" w:eastAsia="黑体" w:hint="default"/>
          <w:sz w:val="20"/>
          <w:szCs w:val="20"/>
        </w:rPr>
      </w:r>
    </w:p>
    <w:p>
      <w:pPr>
        <w:spacing w:line="240" w:lineRule="auto" w:before="4"/>
        <w:rPr>
          <w:rFonts w:ascii="黑体" w:hAnsi="黑体" w:cs="黑体" w:eastAsia="黑体" w:hint="default"/>
          <w:b/>
          <w:bCs/>
          <w:sz w:val="24"/>
          <w:szCs w:val="24"/>
        </w:rPr>
      </w:pPr>
    </w:p>
    <w:p>
      <w:pPr>
        <w:pStyle w:val="BodyText"/>
        <w:spacing w:line="261" w:lineRule="auto"/>
        <w:ind w:right="130"/>
        <w:jc w:val="both"/>
      </w:pPr>
      <w:r>
        <w:rPr>
          <w:rFonts w:ascii="Arial" w:hAnsi="Arial" w:cs="Arial" w:eastAsia="Arial" w:hint="default"/>
          <w:spacing w:val="2"/>
        </w:rPr>
        <w:t>2009</w:t>
      </w:r>
      <w:r>
        <w:rPr>
          <w:spacing w:val="2"/>
        </w:rPr>
        <w:t>年</w:t>
      </w:r>
      <w:r>
        <w:rPr>
          <w:rFonts w:ascii="Arial" w:hAnsi="Arial" w:cs="Arial" w:eastAsia="Arial" w:hint="default"/>
          <w:spacing w:val="2"/>
        </w:rPr>
        <w:t>9</w:t>
      </w:r>
      <w:r>
        <w:rPr>
          <w:spacing w:val="2"/>
        </w:rPr>
        <w:t>月</w:t>
      </w:r>
      <w:r>
        <w:rPr>
          <w:rFonts w:ascii="Arial" w:hAnsi="Arial" w:cs="Arial" w:eastAsia="Arial" w:hint="default"/>
          <w:spacing w:val="2"/>
        </w:rPr>
        <w:t>28</w:t>
      </w:r>
      <w:r>
        <w:rPr>
          <w:spacing w:val="2"/>
        </w:rPr>
        <w:t>日</w:t>
      </w:r>
      <w:r>
        <w:rPr>
          <w:rFonts w:ascii="Arial" w:hAnsi="Arial" w:cs="Arial" w:eastAsia="Arial" w:hint="default"/>
          <w:spacing w:val="2"/>
        </w:rPr>
        <w:t>,</w:t>
      </w:r>
      <w:r>
        <w:rPr>
          <w:spacing w:val="2"/>
        </w:rPr>
        <w:t>本公司于</w:t>
      </w:r>
      <w:r>
        <w:rPr>
          <w:rFonts w:ascii="Arial" w:hAnsi="Arial" w:cs="Arial" w:eastAsia="Arial" w:hint="default"/>
          <w:spacing w:val="2"/>
        </w:rPr>
        <w:t>2008</w:t>
      </w:r>
      <w:r>
        <w:rPr>
          <w:spacing w:val="2"/>
        </w:rPr>
        <w:t>年</w:t>
      </w:r>
      <w:r>
        <w:rPr>
          <w:rFonts w:ascii="Arial" w:hAnsi="Arial" w:cs="Arial" w:eastAsia="Arial" w:hint="default"/>
          <w:spacing w:val="2"/>
        </w:rPr>
        <w:t>9</w:t>
      </w:r>
      <w:r>
        <w:rPr>
          <w:spacing w:val="2"/>
        </w:rPr>
        <w:t>月</w:t>
      </w:r>
      <w:r>
        <w:rPr>
          <w:rFonts w:ascii="Arial" w:hAnsi="Arial" w:cs="Arial" w:eastAsia="Arial" w:hint="default"/>
          <w:spacing w:val="2"/>
        </w:rPr>
        <w:t>26</w:t>
      </w:r>
      <w:r>
        <w:rPr>
          <w:spacing w:val="2"/>
        </w:rPr>
        <w:t>日向符合授予条件的股权激励对象授予的</w:t>
      </w:r>
      <w:r>
        <w:rPr>
          <w:rFonts w:ascii="Arial" w:hAnsi="Arial" w:cs="Arial" w:eastAsia="Arial" w:hint="default"/>
          <w:spacing w:val="2"/>
        </w:rPr>
        <w:t>2008</w:t>
      </w:r>
      <w:r>
        <w:rPr>
          <w:spacing w:val="2"/>
        </w:rPr>
        <w:t>年</w:t>
      </w:r>
      <w:r>
        <w:rPr>
          <w:spacing w:val="-83"/>
        </w:rPr>
        <w:t> </w:t>
      </w:r>
      <w:r>
        <w:rPr>
          <w:spacing w:val="2"/>
        </w:rPr>
        <w:t>度股票部分已达到解锁条件</w:t>
      </w:r>
      <w:r>
        <w:rPr>
          <w:rFonts w:ascii="Arial" w:hAnsi="Arial" w:cs="Arial" w:eastAsia="Arial" w:hint="default"/>
          <w:spacing w:val="2"/>
        </w:rPr>
        <w:t>,</w:t>
      </w:r>
      <w:r>
        <w:rPr>
          <w:spacing w:val="2"/>
        </w:rPr>
        <w:t>本次解锁的已授出股权激励股份数量为</w:t>
      </w:r>
      <w:r>
        <w:rPr>
          <w:rFonts w:ascii="Arial" w:hAnsi="Arial" w:cs="Arial" w:eastAsia="Arial" w:hint="default"/>
          <w:spacing w:val="2"/>
        </w:rPr>
        <w:t>3,118,889</w:t>
      </w:r>
      <w:r>
        <w:rPr>
          <w:spacing w:val="2"/>
        </w:rPr>
        <w:t>股</w:t>
      </w:r>
      <w:r>
        <w:rPr>
          <w:rFonts w:ascii="Arial" w:hAnsi="Arial" w:cs="Arial" w:eastAsia="Arial" w:hint="default"/>
          <w:spacing w:val="2"/>
        </w:rPr>
        <w:t>,</w:t>
      </w:r>
      <w:r>
        <w:rPr>
          <w:spacing w:val="2"/>
        </w:rPr>
        <w:t>可上市</w:t>
      </w:r>
      <w:r>
        <w:rPr>
          <w:spacing w:val="-16"/>
        </w:rPr>
        <w:t> </w:t>
      </w:r>
      <w:r>
        <w:rPr/>
        <w:t>流通日为</w:t>
      </w:r>
      <w:r>
        <w:rPr>
          <w:rFonts w:ascii="Arial" w:hAnsi="Arial" w:cs="Arial" w:eastAsia="Arial" w:hint="default"/>
        </w:rPr>
        <w:t>2009</w:t>
      </w:r>
      <w:r>
        <w:rPr/>
        <w:t>年</w:t>
      </w:r>
      <w:r>
        <w:rPr>
          <w:rFonts w:ascii="Arial" w:hAnsi="Arial" w:cs="Arial" w:eastAsia="Arial" w:hint="default"/>
        </w:rPr>
        <w:t>9</w:t>
      </w:r>
      <w:r>
        <w:rPr/>
        <w:t>月</w:t>
      </w:r>
      <w:r>
        <w:rPr>
          <w:rFonts w:ascii="Arial" w:hAnsi="Arial" w:cs="Arial" w:eastAsia="Arial" w:hint="default"/>
        </w:rPr>
        <w:t>28</w:t>
      </w:r>
      <w:r>
        <w:rPr/>
        <w:t>日。</w:t>
      </w:r>
    </w:p>
    <w:p>
      <w:pPr>
        <w:spacing w:line="240" w:lineRule="auto" w:before="3"/>
        <w:rPr>
          <w:rFonts w:ascii="黑体" w:hAnsi="黑体" w:cs="黑体" w:eastAsia="黑体" w:hint="default"/>
          <w:sz w:val="23"/>
          <w:szCs w:val="23"/>
        </w:rPr>
      </w:pPr>
    </w:p>
    <w:p>
      <w:pPr>
        <w:pStyle w:val="BodyText"/>
        <w:spacing w:line="261" w:lineRule="auto"/>
        <w:ind w:right="134"/>
        <w:jc w:val="both"/>
      </w:pPr>
      <w:r>
        <w:rPr>
          <w:spacing w:val="2"/>
        </w:rPr>
        <w:t>根据公司股东大会的授权</w:t>
      </w:r>
      <w:r>
        <w:rPr>
          <w:rFonts w:ascii="Arial" w:hAnsi="Arial" w:cs="Arial" w:eastAsia="Arial" w:hint="default"/>
          <w:spacing w:val="2"/>
        </w:rPr>
        <w:t>,</w:t>
      </w:r>
      <w:r>
        <w:rPr>
          <w:spacing w:val="2"/>
        </w:rPr>
        <w:t>公司董事会于</w:t>
      </w:r>
      <w:r>
        <w:rPr>
          <w:rFonts w:ascii="Arial" w:hAnsi="Arial" w:cs="Arial" w:eastAsia="Arial" w:hint="default"/>
          <w:spacing w:val="2"/>
        </w:rPr>
        <w:t>2009</w:t>
      </w:r>
      <w:r>
        <w:rPr>
          <w:spacing w:val="2"/>
        </w:rPr>
        <w:t>年</w:t>
      </w:r>
      <w:r>
        <w:rPr>
          <w:rFonts w:ascii="Arial" w:hAnsi="Arial" w:cs="Arial" w:eastAsia="Arial" w:hint="default"/>
          <w:spacing w:val="2"/>
        </w:rPr>
        <w:t>9</w:t>
      </w:r>
      <w:r>
        <w:rPr>
          <w:spacing w:val="2"/>
        </w:rPr>
        <w:t>月</w:t>
      </w:r>
      <w:r>
        <w:rPr>
          <w:rFonts w:ascii="Arial" w:hAnsi="Arial" w:cs="Arial" w:eastAsia="Arial" w:hint="default"/>
          <w:spacing w:val="2"/>
        </w:rPr>
        <w:t>29</w:t>
      </w:r>
      <w:r>
        <w:rPr>
          <w:spacing w:val="2"/>
        </w:rPr>
        <w:t>日向符合授予条件的股权激励对象</w:t>
      </w:r>
      <w:r>
        <w:rPr>
          <w:spacing w:val="-54"/>
        </w:rPr>
        <w:t> </w:t>
      </w:r>
      <w:r>
        <w:rPr>
          <w:spacing w:val="-54"/>
        </w:rPr>
      </w:r>
      <w:r>
        <w:rPr>
          <w:spacing w:val="-2"/>
        </w:rPr>
        <w:t>授予《用友软件股份有限公司股权激励计划</w:t>
      </w:r>
      <w:r>
        <w:rPr>
          <w:rFonts w:ascii="Arial" w:hAnsi="Arial" w:cs="Arial" w:eastAsia="Arial" w:hint="default"/>
          <w:spacing w:val="-2"/>
        </w:rPr>
        <w:t>(</w:t>
      </w:r>
      <w:r>
        <w:rPr>
          <w:spacing w:val="-2"/>
        </w:rPr>
        <w:t>修订稿</w:t>
      </w:r>
      <w:r>
        <w:rPr>
          <w:rFonts w:ascii="Arial" w:hAnsi="Arial" w:cs="Arial" w:eastAsia="Arial" w:hint="default"/>
          <w:spacing w:val="-2"/>
        </w:rPr>
        <w:t>)</w:t>
      </w:r>
      <w:r>
        <w:rPr>
          <w:spacing w:val="-2"/>
        </w:rPr>
        <w:t>》中的</w:t>
      </w:r>
      <w:r>
        <w:rPr>
          <w:rFonts w:ascii="Arial" w:hAnsi="Arial" w:cs="Arial" w:eastAsia="Arial" w:hint="default"/>
          <w:spacing w:val="-2"/>
        </w:rPr>
        <w:t>2009</w:t>
      </w:r>
      <w:r>
        <w:rPr>
          <w:spacing w:val="-2"/>
        </w:rPr>
        <w:t>年度股票。截至</w:t>
      </w:r>
      <w:r>
        <w:rPr>
          <w:rFonts w:ascii="Arial" w:hAnsi="Arial" w:cs="Arial" w:eastAsia="Arial" w:hint="default"/>
          <w:spacing w:val="-2"/>
        </w:rPr>
        <w:t>2009</w:t>
      </w:r>
      <w:r>
        <w:rPr>
          <w:spacing w:val="-2"/>
        </w:rPr>
        <w:t>年</w:t>
      </w:r>
      <w:r>
        <w:rPr>
          <w:rFonts w:ascii="Arial" w:hAnsi="Arial" w:cs="Arial" w:eastAsia="Arial" w:hint="default"/>
          <w:spacing w:val="-2"/>
        </w:rPr>
        <w:t>12</w:t>
      </w:r>
      <w:r>
        <w:rPr>
          <w:rFonts w:ascii="Arial" w:hAnsi="Arial" w:cs="Arial" w:eastAsia="Arial" w:hint="default"/>
          <w:spacing w:val="-33"/>
        </w:rPr>
        <w:t> </w:t>
      </w:r>
      <w:r>
        <w:rPr>
          <w:spacing w:val="-2"/>
        </w:rPr>
        <w:t>月</w:t>
      </w:r>
      <w:r>
        <w:rPr>
          <w:rFonts w:ascii="Arial" w:hAnsi="Arial" w:cs="Arial" w:eastAsia="Arial" w:hint="default"/>
          <w:spacing w:val="-2"/>
        </w:rPr>
        <w:t>31</w:t>
      </w:r>
      <w:r>
        <w:rPr>
          <w:spacing w:val="-2"/>
        </w:rPr>
        <w:t>日</w:t>
      </w:r>
      <w:r>
        <w:rPr>
          <w:rFonts w:ascii="Arial" w:hAnsi="Arial" w:cs="Arial" w:eastAsia="Arial" w:hint="default"/>
          <w:spacing w:val="-2"/>
        </w:rPr>
        <w:t>,</w:t>
      </w:r>
      <w:r>
        <w:rPr>
          <w:spacing w:val="-2"/>
        </w:rPr>
        <w:t>实际授出股权激励股份</w:t>
      </w:r>
      <w:r>
        <w:rPr>
          <w:rFonts w:ascii="Arial" w:hAnsi="Arial" w:cs="Arial" w:eastAsia="Arial" w:hint="default"/>
          <w:spacing w:val="-2"/>
        </w:rPr>
        <w:t>21,196,982</w:t>
      </w:r>
      <w:r>
        <w:rPr>
          <w:spacing w:val="-2"/>
        </w:rPr>
        <w:t>股。其中授出</w:t>
      </w:r>
      <w:r>
        <w:rPr>
          <w:rFonts w:ascii="Arial" w:hAnsi="Arial" w:cs="Arial" w:eastAsia="Arial" w:hint="default"/>
          <w:spacing w:val="-2"/>
        </w:rPr>
        <w:t>2009</w:t>
      </w:r>
      <w:r>
        <w:rPr>
          <w:spacing w:val="-2"/>
        </w:rPr>
        <w:t>年度股票</w:t>
      </w:r>
      <w:r>
        <w:rPr>
          <w:rFonts w:ascii="Arial" w:hAnsi="Arial" w:cs="Arial" w:eastAsia="Arial" w:hint="default"/>
          <w:spacing w:val="-2"/>
        </w:rPr>
        <w:t>5,840,640</w:t>
      </w:r>
      <w:r>
        <w:rPr>
          <w:spacing w:val="-2"/>
        </w:rPr>
        <w:t>股，由激</w:t>
      </w:r>
      <w:r>
        <w:rPr>
          <w:spacing w:val="-45"/>
        </w:rPr>
        <w:t> </w:t>
      </w:r>
      <w:r>
        <w:rPr>
          <w:spacing w:val="-45"/>
        </w:rPr>
      </w:r>
      <w:r>
        <w:rPr>
          <w:spacing w:val="-3"/>
        </w:rPr>
        <w:t>励对象按每股价格人民币</w:t>
      </w:r>
      <w:r>
        <w:rPr>
          <w:rFonts w:ascii="Arial" w:hAnsi="Arial" w:cs="Arial" w:eastAsia="Arial" w:hint="default"/>
          <w:spacing w:val="-3"/>
        </w:rPr>
        <w:t>9.6</w:t>
      </w:r>
      <w:r>
        <w:rPr>
          <w:spacing w:val="-3"/>
        </w:rPr>
        <w:t>元认购。另授出预留股份</w:t>
      </w:r>
      <w:r>
        <w:rPr>
          <w:rFonts w:ascii="Arial" w:hAnsi="Arial" w:cs="Arial" w:eastAsia="Arial" w:hint="default"/>
          <w:spacing w:val="-3"/>
        </w:rPr>
        <w:t>15,356,342</w:t>
      </w:r>
      <w:r>
        <w:rPr>
          <w:spacing w:val="-3"/>
        </w:rPr>
        <w:t>股，由激励对象按每股价</w:t>
      </w:r>
      <w:r>
        <w:rPr>
          <w:spacing w:val="-66"/>
        </w:rPr>
        <w:t> </w:t>
      </w:r>
      <w:r>
        <w:rPr>
          <w:spacing w:val="-66"/>
        </w:rPr>
      </w:r>
      <w:r>
        <w:rPr>
          <w:spacing w:val="-3"/>
        </w:rPr>
        <w:t>格人民币</w:t>
      </w:r>
      <w:r>
        <w:rPr>
          <w:rFonts w:ascii="Arial" w:hAnsi="Arial" w:cs="Arial" w:eastAsia="Arial" w:hint="default"/>
          <w:spacing w:val="-3"/>
        </w:rPr>
        <w:t>14.63</w:t>
      </w:r>
      <w:r>
        <w:rPr>
          <w:spacing w:val="-3"/>
        </w:rPr>
        <w:t>元认购。认购后</w:t>
      </w:r>
      <w:r>
        <w:rPr>
          <w:rFonts w:ascii="Arial" w:hAnsi="Arial" w:cs="Arial" w:eastAsia="Arial" w:hint="default"/>
          <w:spacing w:val="-3"/>
        </w:rPr>
        <w:t>,</w:t>
      </w:r>
      <w:r>
        <w:rPr>
          <w:spacing w:val="-3"/>
        </w:rPr>
        <w:t>本公司的注册及实收资本由人民币</w:t>
      </w:r>
      <w:r>
        <w:rPr>
          <w:rFonts w:ascii="Arial" w:hAnsi="Arial" w:cs="Arial" w:eastAsia="Arial" w:hint="default"/>
          <w:spacing w:val="-3"/>
        </w:rPr>
        <w:t>606,661,868</w:t>
      </w:r>
      <w:r>
        <w:rPr>
          <w:spacing w:val="-3"/>
        </w:rPr>
        <w:t>元增加至人</w:t>
      </w:r>
      <w:r>
        <w:rPr>
          <w:spacing w:val="-44"/>
        </w:rPr>
        <w:t> </w:t>
      </w:r>
      <w:r>
        <w:rPr>
          <w:spacing w:val="-44"/>
        </w:rPr>
      </w:r>
      <w:r>
        <w:rPr/>
        <w:t>民币</w:t>
      </w:r>
      <w:r>
        <w:rPr>
          <w:rFonts w:ascii="Arial" w:hAnsi="Arial" w:cs="Arial" w:eastAsia="Arial" w:hint="default"/>
        </w:rPr>
        <w:t>627,858,850</w:t>
      </w:r>
      <w:r>
        <w:rPr/>
        <w:t>元。此次股本变动业经深圳市鹏城会计师事务所进行验证，并于</w:t>
      </w:r>
      <w:r>
        <w:rPr>
          <w:rFonts w:ascii="Arial" w:hAnsi="Arial" w:cs="Arial" w:eastAsia="Arial" w:hint="default"/>
        </w:rPr>
        <w:t>2009</w:t>
      </w:r>
      <w:r>
        <w:rPr/>
        <w:t>年</w:t>
      </w:r>
      <w:r>
        <w:rPr>
          <w:spacing w:val="-72"/>
        </w:rPr>
        <w:t> </w:t>
      </w:r>
      <w:r>
        <w:rPr>
          <w:rFonts w:ascii="Arial" w:hAnsi="Arial" w:cs="Arial" w:eastAsia="Arial" w:hint="default"/>
        </w:rPr>
        <w:t>12</w:t>
      </w:r>
      <w:r>
        <w:rPr/>
        <w:t>月</w:t>
      </w:r>
      <w:r>
        <w:rPr>
          <w:rFonts w:ascii="Arial" w:hAnsi="Arial" w:cs="Arial" w:eastAsia="Arial" w:hint="default"/>
        </w:rPr>
        <w:t>25</w:t>
      </w:r>
      <w:r>
        <w:rPr/>
        <w:t>日出具了深鹏所验字</w:t>
      </w:r>
      <w:r>
        <w:rPr>
          <w:rFonts w:ascii="Arial" w:hAnsi="Arial" w:cs="Arial" w:eastAsia="Arial" w:hint="default"/>
        </w:rPr>
        <w:t>[2009]194</w:t>
      </w:r>
      <w:r>
        <w:rPr/>
        <w:t>号验资报告。截至本财务报表批准日，本公司尚未</w:t>
      </w:r>
      <w:r>
        <w:rPr>
          <w:spacing w:val="-51"/>
        </w:rPr>
        <w:t> </w:t>
      </w:r>
      <w:r>
        <w:rPr/>
        <w:t>取得变更后的营业执照。</w:t>
      </w:r>
    </w:p>
    <w:p>
      <w:pPr>
        <w:spacing w:line="240" w:lineRule="auto" w:before="6"/>
        <w:rPr>
          <w:rFonts w:ascii="黑体" w:hAnsi="黑体" w:cs="黑体" w:eastAsia="黑体" w:hint="default"/>
          <w:sz w:val="24"/>
          <w:szCs w:val="24"/>
        </w:rPr>
      </w:pPr>
    </w:p>
    <w:p>
      <w:pPr>
        <w:pStyle w:val="BodyText"/>
        <w:spacing w:line="240" w:lineRule="auto"/>
        <w:ind w:right="0"/>
        <w:jc w:val="both"/>
      </w:pPr>
      <w:r>
        <w:rPr/>
        <w:t>本集团的母公司和最终母公司为于中国成立的用友科技。</w:t>
      </w:r>
    </w:p>
    <w:p>
      <w:pPr>
        <w:spacing w:line="240" w:lineRule="auto" w:before="11"/>
        <w:rPr>
          <w:rFonts w:ascii="黑体" w:hAnsi="黑体" w:cs="黑体" w:eastAsia="黑体" w:hint="default"/>
          <w:sz w:val="25"/>
          <w:szCs w:val="25"/>
        </w:rPr>
      </w:pPr>
    </w:p>
    <w:p>
      <w:pPr>
        <w:pStyle w:val="BodyText"/>
        <w:spacing w:line="261" w:lineRule="auto"/>
        <w:ind w:right="133"/>
        <w:jc w:val="both"/>
      </w:pPr>
      <w:r>
        <w:rPr/>
        <w:t>本财务报表业经公司董事会于</w:t>
      </w:r>
      <w:r>
        <w:rPr>
          <w:rFonts w:ascii="Arial" w:hAnsi="Arial" w:cs="Arial" w:eastAsia="Arial" w:hint="default"/>
        </w:rPr>
        <w:t>2010</w:t>
      </w:r>
      <w:r>
        <w:rPr/>
        <w:t>年</w:t>
      </w:r>
      <w:r>
        <w:rPr>
          <w:rFonts w:ascii="Arial" w:hAnsi="Arial" w:cs="Arial" w:eastAsia="Arial" w:hint="default"/>
        </w:rPr>
        <w:t>3</w:t>
      </w:r>
      <w:r>
        <w:rPr/>
        <w:t>月</w:t>
      </w:r>
      <w:r>
        <w:rPr>
          <w:rFonts w:ascii="Arial" w:hAnsi="Arial" w:cs="Arial" w:eastAsia="Arial" w:hint="default"/>
        </w:rPr>
        <w:t>20</w:t>
      </w:r>
      <w:r>
        <w:rPr/>
        <w:t>日决议批准。根据本公司章程，本财务报表将</w:t>
      </w:r>
      <w:r>
        <w:rPr>
          <w:spacing w:val="-90"/>
        </w:rPr>
        <w:t> </w:t>
      </w:r>
      <w:r>
        <w:rPr>
          <w:spacing w:val="-90"/>
        </w:rPr>
      </w:r>
      <w:r>
        <w:rPr/>
        <w:t>提交股东大会审议。</w:t>
      </w: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15"/>
          <w:szCs w:val="15"/>
        </w:rPr>
      </w:pPr>
    </w:p>
    <w:p>
      <w:pPr>
        <w:tabs>
          <w:tab w:pos="810" w:val="left" w:leader="none"/>
        </w:tabs>
        <w:spacing w:before="0"/>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w:t>
      </w:r>
      <w:r>
        <w:rPr>
          <w:rFonts w:ascii="黑体" w:hAnsi="黑体" w:cs="黑体" w:eastAsia="黑体" w:hint="default"/>
          <w:sz w:val="20"/>
          <w:szCs w:val="20"/>
        </w:rPr>
      </w:r>
    </w:p>
    <w:p>
      <w:pPr>
        <w:spacing w:line="240" w:lineRule="auto" w:before="3"/>
        <w:rPr>
          <w:rFonts w:ascii="黑体" w:hAnsi="黑体" w:cs="黑体" w:eastAsia="黑体" w:hint="default"/>
          <w:b/>
          <w:bCs/>
          <w:sz w:val="17"/>
          <w:szCs w:val="17"/>
        </w:rPr>
      </w:pPr>
    </w:p>
    <w:p>
      <w:pPr>
        <w:tabs>
          <w:tab w:pos="5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1.</w:t>
        <w:tab/>
      </w:r>
      <w:r>
        <w:rPr>
          <w:rFonts w:ascii="黑体" w:hAnsi="黑体" w:cs="黑体" w:eastAsia="黑体" w:hint="default"/>
          <w:b/>
          <w:bCs/>
          <w:sz w:val="20"/>
          <w:szCs w:val="20"/>
        </w:rPr>
        <w:t>财务报表的编制基础</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61" w:lineRule="auto"/>
        <w:ind w:right="134"/>
        <w:jc w:val="both"/>
      </w:pPr>
      <w:r>
        <w:rPr/>
        <w:t>本财务报表按照中国财政部</w:t>
      </w:r>
      <w:r>
        <w:rPr>
          <w:rFonts w:ascii="Arial" w:hAnsi="Arial" w:cs="Arial" w:eastAsia="Arial" w:hint="default"/>
        </w:rPr>
        <w:t>2006</w:t>
      </w:r>
      <w:r>
        <w:rPr/>
        <w:t>年</w:t>
      </w:r>
      <w:r>
        <w:rPr>
          <w:rFonts w:ascii="Arial" w:hAnsi="Arial" w:cs="Arial" w:eastAsia="Arial" w:hint="default"/>
        </w:rPr>
        <w:t>2</w:t>
      </w:r>
      <w:r>
        <w:rPr/>
        <w:t>月颁布的《企业会计准则</w:t>
      </w:r>
      <w:r>
        <w:rPr>
          <w:rFonts w:ascii="Arial" w:hAnsi="Arial" w:cs="Arial" w:eastAsia="Arial" w:hint="default"/>
        </w:rPr>
        <w:t>—</w:t>
      </w:r>
      <w:r>
        <w:rPr/>
        <w:t>基本准则》和</w:t>
      </w:r>
      <w:r>
        <w:rPr>
          <w:rFonts w:ascii="Arial" w:hAnsi="Arial" w:cs="Arial" w:eastAsia="Arial" w:hint="default"/>
        </w:rPr>
        <w:t>38</w:t>
      </w:r>
      <w:r>
        <w:rPr/>
        <w:t>项具体会</w:t>
      </w:r>
      <w:r>
        <w:rPr>
          <w:spacing w:val="-89"/>
        </w:rPr>
        <w:t> </w:t>
      </w:r>
      <w:r>
        <w:rPr>
          <w:spacing w:val="-89"/>
        </w:rPr>
      </w:r>
      <w:r>
        <w:rPr/>
        <w:t>计准则、其后颁布的应用指南、解释以及其他相关规定</w:t>
      </w:r>
      <w:r>
        <w:rPr>
          <w:rFonts w:ascii="Arial" w:hAnsi="Arial" w:cs="Arial" w:eastAsia="Arial" w:hint="default"/>
        </w:rPr>
        <w:t>(</w:t>
      </w:r>
      <w:r>
        <w:rPr/>
        <w:t>统称</w:t>
      </w:r>
      <w:r>
        <w:rPr>
          <w:rFonts w:ascii="Arial" w:hAnsi="Arial" w:cs="Arial" w:eastAsia="Arial" w:hint="default"/>
        </w:rPr>
        <w:t>“</w:t>
      </w:r>
      <w:r>
        <w:rPr/>
        <w:t>企业会计准则</w:t>
      </w:r>
      <w:r>
        <w:rPr>
          <w:rFonts w:ascii="Arial" w:hAnsi="Arial" w:cs="Arial" w:eastAsia="Arial" w:hint="default"/>
        </w:rPr>
        <w:t>”)</w:t>
      </w:r>
      <w:r>
        <w:rPr/>
        <w:t>编制。</w:t>
      </w:r>
    </w:p>
    <w:p>
      <w:pPr>
        <w:spacing w:line="240" w:lineRule="auto" w:before="3"/>
        <w:rPr>
          <w:rFonts w:ascii="黑体" w:hAnsi="黑体" w:cs="黑体" w:eastAsia="黑体" w:hint="default"/>
          <w:sz w:val="23"/>
          <w:szCs w:val="23"/>
        </w:rPr>
      </w:pPr>
    </w:p>
    <w:p>
      <w:pPr>
        <w:pStyle w:val="BodyText"/>
        <w:spacing w:line="240" w:lineRule="auto"/>
        <w:ind w:right="0"/>
        <w:jc w:val="both"/>
      </w:pPr>
      <w:r>
        <w:rPr/>
        <w:t>本财务报表以持续经营为基础列报。</w:t>
      </w:r>
    </w:p>
    <w:p>
      <w:pPr>
        <w:spacing w:line="240" w:lineRule="auto" w:before="11"/>
        <w:rPr>
          <w:rFonts w:ascii="黑体" w:hAnsi="黑体" w:cs="黑体" w:eastAsia="黑体" w:hint="default"/>
          <w:sz w:val="25"/>
          <w:szCs w:val="25"/>
        </w:rPr>
      </w:pPr>
    </w:p>
    <w:p>
      <w:pPr>
        <w:pStyle w:val="BodyText"/>
        <w:spacing w:line="276" w:lineRule="auto"/>
        <w:ind w:right="127"/>
        <w:jc w:val="both"/>
      </w:pPr>
      <w:r>
        <w:rPr>
          <w:spacing w:val="-1"/>
        </w:rPr>
        <w:t>编制本财务报表时，除某些金融工具外，均以历史成本为计价原则。资产如果发生减值，</w:t>
      </w:r>
      <w:r>
        <w:rPr>
          <w:spacing w:val="-72"/>
        </w:rPr>
        <w:t> </w:t>
      </w:r>
      <w:r>
        <w:rPr>
          <w:spacing w:val="-72"/>
        </w:rPr>
      </w:r>
      <w:r>
        <w:rPr/>
        <w:t>则按照相关规定计提相应的减值准备。</w:t>
      </w:r>
    </w:p>
    <w:p>
      <w:pPr>
        <w:spacing w:line="240" w:lineRule="auto" w:before="7"/>
        <w:rPr>
          <w:rFonts w:ascii="黑体" w:hAnsi="黑体" w:cs="黑体" w:eastAsia="黑体" w:hint="default"/>
          <w:sz w:val="23"/>
          <w:szCs w:val="23"/>
        </w:rPr>
      </w:pPr>
    </w:p>
    <w:p>
      <w:pPr>
        <w:tabs>
          <w:tab w:pos="8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2.</w:t>
        <w:tab/>
      </w:r>
      <w:r>
        <w:rPr>
          <w:rFonts w:ascii="黑体" w:hAnsi="黑体" w:cs="黑体" w:eastAsia="黑体" w:hint="default"/>
          <w:b/>
          <w:bCs/>
          <w:sz w:val="20"/>
          <w:szCs w:val="20"/>
        </w:rPr>
        <w:t>遵循企业会计准则的声明</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61" w:lineRule="auto"/>
        <w:ind w:left="821" w:right="134" w:hanging="15"/>
        <w:jc w:val="both"/>
      </w:pPr>
      <w:r>
        <w:rPr>
          <w:spacing w:val="2"/>
        </w:rPr>
        <w:t>本财务报表符合企业会计准则的要求，真实、完整地反映了本公司及本集团于</w:t>
      </w:r>
      <w:r>
        <w:rPr>
          <w:rFonts w:ascii="Arial" w:hAnsi="Arial" w:cs="Arial" w:eastAsia="Arial" w:hint="default"/>
          <w:spacing w:val="2"/>
        </w:rPr>
        <w:t>2009</w:t>
      </w:r>
      <w:r>
        <w:rPr>
          <w:spacing w:val="2"/>
        </w:rPr>
        <w:t>年</w:t>
      </w:r>
      <w:r>
        <w:rPr>
          <w:rFonts w:ascii="Arial" w:hAnsi="Arial" w:cs="Arial" w:eastAsia="Arial" w:hint="default"/>
          <w:spacing w:val="2"/>
        </w:rPr>
        <w:t>12</w:t>
      </w:r>
      <w:r>
        <w:rPr>
          <w:rFonts w:ascii="Arial" w:hAnsi="Arial" w:cs="Arial" w:eastAsia="Arial" w:hint="default"/>
          <w:spacing w:val="-27"/>
        </w:rPr>
        <w:t> </w:t>
      </w:r>
      <w:r>
        <w:rPr/>
        <w:t>月</w:t>
      </w:r>
      <w:r>
        <w:rPr>
          <w:rFonts w:ascii="Arial" w:hAnsi="Arial" w:cs="Arial" w:eastAsia="Arial" w:hint="default"/>
        </w:rPr>
        <w:t>31</w:t>
      </w:r>
      <w:r>
        <w:rPr/>
        <w:t>日的财务状况以及</w:t>
      </w:r>
      <w:r>
        <w:rPr>
          <w:rFonts w:ascii="Arial" w:hAnsi="Arial" w:cs="Arial" w:eastAsia="Arial" w:hint="default"/>
        </w:rPr>
        <w:t>2009</w:t>
      </w:r>
      <w:r>
        <w:rPr/>
        <w:t>年度的经营成果和现金流量。</w:t>
      </w:r>
    </w:p>
    <w:p>
      <w:pPr>
        <w:spacing w:after="0" w:line="261" w:lineRule="auto"/>
        <w:jc w:val="both"/>
        <w:sectPr>
          <w:headerReference w:type="default" r:id="rId46"/>
          <w:footerReference w:type="default" r:id="rId47"/>
          <w:pgSz w:w="11910" w:h="16840"/>
          <w:pgMar w:header="958" w:footer="473" w:top="2380" w:bottom="660" w:left="1600" w:right="1560"/>
          <w:pgNumType w:start="17"/>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10"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4"/>
        <w:rPr>
          <w:rFonts w:ascii="黑体" w:hAnsi="黑体" w:cs="黑体" w:eastAsia="黑体" w:hint="default"/>
          <w:b/>
          <w:bCs/>
          <w:sz w:val="24"/>
          <w:szCs w:val="24"/>
        </w:rPr>
      </w:pPr>
    </w:p>
    <w:p>
      <w:pPr>
        <w:tabs>
          <w:tab w:pos="821" w:val="left" w:leader="none"/>
        </w:tabs>
        <w:spacing w:line="520" w:lineRule="auto" w:before="0"/>
        <w:ind w:left="815" w:right="2057" w:hanging="715"/>
        <w:jc w:val="left"/>
        <w:rPr>
          <w:rFonts w:ascii="黑体" w:hAnsi="黑体" w:cs="黑体" w:eastAsia="黑体" w:hint="default"/>
          <w:sz w:val="20"/>
          <w:szCs w:val="20"/>
        </w:rPr>
      </w:pPr>
      <w:r>
        <w:rPr>
          <w:rFonts w:ascii="Arial" w:hAnsi="Arial" w:cs="Arial" w:eastAsia="Arial" w:hint="default"/>
          <w:b/>
          <w:bCs/>
          <w:spacing w:val="-1"/>
          <w:sz w:val="20"/>
          <w:szCs w:val="20"/>
        </w:rPr>
        <w:t>3.</w:t>
        <w:tab/>
        <w:tab/>
      </w:r>
      <w:r>
        <w:rPr>
          <w:rFonts w:ascii="黑体" w:hAnsi="黑体" w:cs="黑体" w:eastAsia="黑体" w:hint="default"/>
          <w:b/>
          <w:bCs/>
          <w:sz w:val="20"/>
          <w:szCs w:val="20"/>
        </w:rPr>
        <w:t>会计期间</w:t>
      </w:r>
      <w:r>
        <w:rPr>
          <w:rFonts w:ascii="黑体" w:hAnsi="黑体" w:cs="黑体" w:eastAsia="黑体" w:hint="default"/>
          <w:b/>
          <w:bCs/>
          <w:w w:val="99"/>
          <w:sz w:val="20"/>
          <w:szCs w:val="20"/>
        </w:rPr>
        <w:t> </w:t>
      </w:r>
      <w:r>
        <w:rPr>
          <w:rFonts w:ascii="黑体" w:hAnsi="黑体" w:cs="黑体" w:eastAsia="黑体" w:hint="default"/>
          <w:spacing w:val="-1"/>
          <w:sz w:val="20"/>
          <w:szCs w:val="20"/>
        </w:rPr>
        <w:t>本集团会计年度釆用公历年度，即每年自</w:t>
      </w:r>
      <w:r>
        <w:rPr>
          <w:rFonts w:ascii="Arial" w:hAnsi="Arial" w:cs="Arial" w:eastAsia="Arial" w:hint="default"/>
          <w:spacing w:val="-1"/>
          <w:sz w:val="20"/>
          <w:szCs w:val="20"/>
        </w:rPr>
        <w:t>1</w:t>
      </w:r>
      <w:r>
        <w:rPr>
          <w:rFonts w:ascii="黑体" w:hAnsi="黑体" w:cs="黑体" w:eastAsia="黑体" w:hint="default"/>
          <w:spacing w:val="-1"/>
          <w:sz w:val="20"/>
          <w:szCs w:val="20"/>
        </w:rPr>
        <w:t>月</w:t>
      </w:r>
      <w:r>
        <w:rPr>
          <w:rFonts w:ascii="Arial" w:hAnsi="Arial" w:cs="Arial" w:eastAsia="Arial" w:hint="default"/>
          <w:spacing w:val="-1"/>
          <w:sz w:val="20"/>
          <w:szCs w:val="20"/>
        </w:rPr>
        <w:t>1</w:t>
      </w:r>
      <w:r>
        <w:rPr>
          <w:rFonts w:ascii="黑体" w:hAnsi="黑体" w:cs="黑体" w:eastAsia="黑体" w:hint="default"/>
          <w:spacing w:val="-1"/>
          <w:sz w:val="20"/>
          <w:szCs w:val="20"/>
        </w:rPr>
        <w:t>日起至</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日止。</w:t>
      </w:r>
    </w:p>
    <w:p>
      <w:pPr>
        <w:tabs>
          <w:tab w:pos="821" w:val="left" w:leader="none"/>
        </w:tabs>
        <w:spacing w:before="62"/>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4.</w:t>
        <w:tab/>
      </w:r>
      <w:r>
        <w:rPr>
          <w:rFonts w:ascii="黑体" w:hAnsi="黑体" w:cs="黑体" w:eastAsia="黑体" w:hint="default"/>
          <w:b/>
          <w:bCs/>
          <w:sz w:val="20"/>
          <w:szCs w:val="20"/>
        </w:rPr>
        <w:t>记账本位币</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76" w:lineRule="auto"/>
        <w:ind w:right="0"/>
        <w:jc w:val="left"/>
      </w:pPr>
      <w:r>
        <w:rPr>
          <w:spacing w:val="-1"/>
        </w:rPr>
        <w:t>本集团记账本位币和编制本财务报表所采用的货币均为人民币。除有特别说明外，均以人</w:t>
      </w:r>
      <w:r>
        <w:rPr>
          <w:spacing w:val="-79"/>
        </w:rPr>
        <w:t> </w:t>
      </w:r>
      <w:r>
        <w:rPr>
          <w:spacing w:val="-79"/>
        </w:rPr>
      </w:r>
      <w:r>
        <w:rPr/>
        <w:t>民币元为单位表示。</w:t>
      </w:r>
    </w:p>
    <w:p>
      <w:pPr>
        <w:spacing w:line="240" w:lineRule="auto" w:before="7"/>
        <w:rPr>
          <w:rFonts w:ascii="黑体" w:hAnsi="黑体" w:cs="黑体" w:eastAsia="黑体" w:hint="default"/>
          <w:sz w:val="23"/>
          <w:szCs w:val="23"/>
        </w:rPr>
      </w:pPr>
    </w:p>
    <w:p>
      <w:pPr>
        <w:pStyle w:val="BodyText"/>
        <w:spacing w:line="276" w:lineRule="auto"/>
        <w:ind w:right="0"/>
        <w:jc w:val="left"/>
      </w:pPr>
      <w:r>
        <w:rPr>
          <w:spacing w:val="-1"/>
        </w:rPr>
        <w:t>本集团下属子公司、合营企业及联营企业，根据其经营所处的主要经济环境自行决定其记</w:t>
      </w:r>
      <w:r>
        <w:rPr>
          <w:spacing w:val="-80"/>
        </w:rPr>
        <w:t> </w:t>
      </w:r>
      <w:r>
        <w:rPr>
          <w:spacing w:val="-80"/>
        </w:rPr>
      </w:r>
      <w:r>
        <w:rPr/>
        <w:t>账本位币，编制财务报表时折算为人民币。</w:t>
      </w:r>
    </w:p>
    <w:p>
      <w:pPr>
        <w:spacing w:line="240" w:lineRule="auto" w:before="7"/>
        <w:rPr>
          <w:rFonts w:ascii="黑体" w:hAnsi="黑体" w:cs="黑体" w:eastAsia="黑体" w:hint="default"/>
          <w:sz w:val="23"/>
          <w:szCs w:val="23"/>
        </w:rPr>
      </w:pPr>
    </w:p>
    <w:p>
      <w:pPr>
        <w:tabs>
          <w:tab w:pos="8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5.</w:t>
        <w:tab/>
      </w:r>
      <w:r>
        <w:rPr>
          <w:rFonts w:ascii="黑体" w:hAnsi="黑体" w:cs="黑体" w:eastAsia="黑体" w:hint="default"/>
          <w:b/>
          <w:bCs/>
          <w:sz w:val="20"/>
          <w:szCs w:val="20"/>
        </w:rPr>
        <w:t>企业合并</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76" w:lineRule="auto"/>
        <w:ind w:right="0"/>
        <w:jc w:val="left"/>
      </w:pPr>
      <w:r>
        <w:rPr>
          <w:spacing w:val="-1"/>
        </w:rPr>
        <w:t>企业合并，是指将两个或两个以上单独的企业合并形成一个报告主体的交易或事项。企业</w:t>
      </w:r>
      <w:r>
        <w:rPr>
          <w:spacing w:val="-79"/>
        </w:rPr>
        <w:t> </w:t>
      </w:r>
      <w:r>
        <w:rPr>
          <w:spacing w:val="-79"/>
        </w:rPr>
      </w:r>
      <w:r>
        <w:rPr/>
        <w:t>合并分为同一控制下企业合并和非同一控制下企业合并。</w:t>
      </w:r>
    </w:p>
    <w:p>
      <w:pPr>
        <w:spacing w:line="240" w:lineRule="auto" w:before="9"/>
        <w:rPr>
          <w:rFonts w:ascii="黑体" w:hAnsi="黑体" w:cs="黑体" w:eastAsia="黑体" w:hint="default"/>
          <w:sz w:val="22"/>
          <w:szCs w:val="22"/>
        </w:rPr>
      </w:pPr>
    </w:p>
    <w:p>
      <w:pPr>
        <w:pStyle w:val="BodyText"/>
        <w:spacing w:line="273" w:lineRule="auto"/>
        <w:ind w:right="0"/>
        <w:jc w:val="left"/>
      </w:pPr>
      <w:r>
        <w:rPr>
          <w:rFonts w:ascii="黑体" w:hAnsi="黑体" w:cs="黑体" w:eastAsia="黑体" w:hint="default"/>
          <w:i/>
          <w:sz w:val="21"/>
          <w:szCs w:val="21"/>
        </w:rPr>
        <w:t>同一控制下企业合并</w:t>
      </w:r>
      <w:r>
        <w:rPr>
          <w:rFonts w:ascii="黑体" w:hAnsi="黑体" w:cs="黑体" w:eastAsia="黑体" w:hint="default"/>
          <w:i/>
          <w:w w:val="95"/>
          <w:sz w:val="21"/>
          <w:szCs w:val="21"/>
        </w:rPr>
        <w:t> </w:t>
      </w:r>
      <w:r>
        <w:rPr>
          <w:spacing w:val="-1"/>
        </w:rPr>
        <w:t>参与合并的企业在合并前后均受同一方或相同的多方最终控制，且该控制并非暂时的，为</w:t>
      </w:r>
      <w:r>
        <w:rPr>
          <w:spacing w:val="-80"/>
        </w:rPr>
        <w:t> </w:t>
      </w:r>
      <w:r>
        <w:rPr>
          <w:spacing w:val="-80"/>
        </w:rPr>
      </w:r>
      <w:r>
        <w:rPr>
          <w:spacing w:val="-1"/>
        </w:rPr>
        <w:t>同一控制下的企业合并。同一控制下的企业合并，在合并日取得对其他参与合并企业控制</w:t>
      </w:r>
      <w:r>
        <w:rPr>
          <w:spacing w:val="-79"/>
        </w:rPr>
        <w:t> </w:t>
      </w:r>
      <w:r>
        <w:rPr>
          <w:spacing w:val="-79"/>
        </w:rPr>
      </w:r>
      <w:r>
        <w:rPr>
          <w:spacing w:val="-1"/>
        </w:rPr>
        <w:t>权的一方为合并方，参与合并的其他企业为被合并方。合并日，是指合并方实际取得对被</w:t>
      </w:r>
      <w:r>
        <w:rPr>
          <w:spacing w:val="-82"/>
        </w:rPr>
        <w:t> </w:t>
      </w:r>
      <w:r>
        <w:rPr>
          <w:spacing w:val="-82"/>
        </w:rPr>
      </w:r>
      <w:r>
        <w:rPr/>
        <w:t>合并方控制权的日期。</w:t>
      </w:r>
    </w:p>
    <w:p>
      <w:pPr>
        <w:spacing w:line="240" w:lineRule="auto" w:before="9"/>
        <w:rPr>
          <w:rFonts w:ascii="黑体" w:hAnsi="黑体" w:cs="黑体" w:eastAsia="黑体" w:hint="default"/>
          <w:sz w:val="23"/>
          <w:szCs w:val="23"/>
        </w:rPr>
      </w:pPr>
    </w:p>
    <w:p>
      <w:pPr>
        <w:pStyle w:val="BodyText"/>
        <w:spacing w:line="268" w:lineRule="auto"/>
        <w:ind w:right="135"/>
        <w:jc w:val="both"/>
      </w:pPr>
      <w:r>
        <w:rPr>
          <w:spacing w:val="-1"/>
        </w:rPr>
        <w:t>合并方在企业合并中取得的资产和负债，按合并日在被合并方的账面价值计量。合并方取</w:t>
      </w:r>
      <w:r>
        <w:rPr>
          <w:spacing w:val="-78"/>
        </w:rPr>
        <w:t> </w:t>
      </w:r>
      <w:r>
        <w:rPr>
          <w:spacing w:val="-78"/>
        </w:rPr>
      </w:r>
      <w:r>
        <w:rPr/>
        <w:t>得的净资产账面价值与支付的合并对价的账面价值</w:t>
      </w:r>
      <w:r>
        <w:rPr>
          <w:rFonts w:ascii="Arial" w:hAnsi="Arial" w:cs="Arial" w:eastAsia="Arial" w:hint="default"/>
        </w:rPr>
        <w:t>(</w:t>
      </w:r>
      <w:r>
        <w:rPr/>
        <w:t>或发行股份面值总额</w:t>
      </w:r>
      <w:r>
        <w:rPr>
          <w:rFonts w:ascii="Arial" w:hAnsi="Arial" w:cs="Arial" w:eastAsia="Arial" w:hint="default"/>
        </w:rPr>
        <w:t>)</w:t>
      </w:r>
      <w:r>
        <w:rPr/>
        <w:t>的差额，调整资</w:t>
      </w:r>
      <w:r>
        <w:rPr>
          <w:spacing w:val="-50"/>
        </w:rPr>
        <w:t> </w:t>
      </w:r>
      <w:r>
        <w:rPr>
          <w:spacing w:val="-50"/>
        </w:rPr>
      </w:r>
      <w:r>
        <w:rPr/>
        <w:t>本公积中的股本溢价，不足冲减的则调整留存收益。</w:t>
      </w:r>
    </w:p>
    <w:p>
      <w:pPr>
        <w:spacing w:line="240" w:lineRule="auto" w:before="0"/>
        <w:rPr>
          <w:rFonts w:ascii="黑体" w:hAnsi="黑体" w:cs="黑体" w:eastAsia="黑体" w:hint="default"/>
          <w:sz w:val="24"/>
          <w:szCs w:val="24"/>
        </w:rPr>
      </w:pPr>
    </w:p>
    <w:p>
      <w:pPr>
        <w:pStyle w:val="BodyText"/>
        <w:spacing w:line="240" w:lineRule="auto"/>
        <w:ind w:right="0"/>
        <w:jc w:val="left"/>
      </w:pPr>
      <w:r>
        <w:rPr/>
        <w:t>合并方为进行企业合并发生的各项直接费用，于发生时计入当期损益。</w:t>
      </w:r>
    </w:p>
    <w:p>
      <w:pPr>
        <w:spacing w:line="240" w:lineRule="auto" w:before="13"/>
        <w:rPr>
          <w:rFonts w:ascii="黑体" w:hAnsi="黑体" w:cs="黑体" w:eastAsia="黑体" w:hint="default"/>
          <w:sz w:val="24"/>
          <w:szCs w:val="24"/>
        </w:rPr>
      </w:pPr>
    </w:p>
    <w:p>
      <w:pPr>
        <w:pStyle w:val="BodyText"/>
        <w:spacing w:line="273" w:lineRule="auto"/>
        <w:ind w:right="0"/>
        <w:jc w:val="left"/>
      </w:pPr>
      <w:r>
        <w:rPr>
          <w:rFonts w:ascii="黑体" w:hAnsi="黑体" w:cs="黑体" w:eastAsia="黑体" w:hint="default"/>
          <w:i/>
          <w:sz w:val="21"/>
          <w:szCs w:val="21"/>
        </w:rPr>
        <w:t>非同一控制下的企业合并</w:t>
      </w:r>
      <w:r>
        <w:rPr>
          <w:rFonts w:ascii="黑体" w:hAnsi="黑体" w:cs="黑体" w:eastAsia="黑体" w:hint="default"/>
          <w:i/>
          <w:w w:val="95"/>
          <w:sz w:val="21"/>
          <w:szCs w:val="21"/>
        </w:rPr>
        <w:t> </w:t>
      </w:r>
      <w:r>
        <w:rPr>
          <w:spacing w:val="-1"/>
        </w:rPr>
        <w:t>参与合并的企业在合并前后不受同一方或相同的多方最终控制的，为非同一控制下的企业</w:t>
      </w:r>
      <w:r>
        <w:rPr>
          <w:spacing w:val="-80"/>
        </w:rPr>
        <w:t> </w:t>
      </w:r>
      <w:r>
        <w:rPr>
          <w:spacing w:val="-80"/>
        </w:rPr>
      </w:r>
      <w:r>
        <w:rPr>
          <w:spacing w:val="-1"/>
        </w:rPr>
        <w:t>合并。非同一控制下的企业合并，在购买日取得对其他参与合并企业控制权的一方为购买</w:t>
      </w:r>
      <w:r>
        <w:rPr>
          <w:spacing w:val="-80"/>
        </w:rPr>
        <w:t> </w:t>
      </w:r>
      <w:r>
        <w:rPr>
          <w:spacing w:val="-80"/>
        </w:rPr>
      </w:r>
      <w:r>
        <w:rPr>
          <w:spacing w:val="-1"/>
        </w:rPr>
        <w:t>方，参与合并的其他企业为被购买方。购买日，是指为购买方实际取得对被购买方控制权</w:t>
      </w:r>
      <w:r>
        <w:rPr>
          <w:spacing w:val="-82"/>
        </w:rPr>
        <w:t> </w:t>
      </w:r>
      <w:r>
        <w:rPr>
          <w:spacing w:val="-82"/>
        </w:rPr>
      </w:r>
      <w:r>
        <w:rPr/>
        <w:t>的日期。</w:t>
      </w:r>
    </w:p>
    <w:p>
      <w:pPr>
        <w:spacing w:after="0" w:line="273" w:lineRule="auto"/>
        <w:jc w:val="left"/>
        <w:sectPr>
          <w:pgSz w:w="11910" w:h="16840"/>
          <w:pgMar w:header="958" w:footer="473" w:top="2380" w:bottom="660" w:left="1600" w:right="156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10"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4"/>
        <w:rPr>
          <w:rFonts w:ascii="黑体" w:hAnsi="黑体" w:cs="黑体" w:eastAsia="黑体" w:hint="default"/>
          <w:b/>
          <w:bCs/>
          <w:sz w:val="24"/>
          <w:szCs w:val="24"/>
        </w:rPr>
      </w:pPr>
    </w:p>
    <w:p>
      <w:pPr>
        <w:tabs>
          <w:tab w:pos="8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5.</w:t>
        <w:tab/>
      </w:r>
      <w:r>
        <w:rPr>
          <w:rFonts w:ascii="黑体" w:hAnsi="黑体" w:cs="黑体" w:eastAsia="黑体" w:hint="default"/>
          <w:b/>
          <w:bCs/>
          <w:sz w:val="20"/>
          <w:szCs w:val="20"/>
        </w:rPr>
        <w:t>企业合并（续）</w:t>
      </w:r>
      <w:r>
        <w:rPr>
          <w:rFonts w:ascii="黑体" w:hAnsi="黑体" w:cs="黑体" w:eastAsia="黑体" w:hint="default"/>
          <w:sz w:val="20"/>
          <w:szCs w:val="20"/>
        </w:rPr>
      </w:r>
    </w:p>
    <w:p>
      <w:pPr>
        <w:spacing w:line="240" w:lineRule="auto" w:before="12"/>
        <w:rPr>
          <w:rFonts w:ascii="黑体" w:hAnsi="黑体" w:cs="黑体" w:eastAsia="黑体" w:hint="default"/>
          <w:b/>
          <w:bCs/>
          <w:sz w:val="23"/>
          <w:szCs w:val="23"/>
        </w:rPr>
      </w:pPr>
    </w:p>
    <w:p>
      <w:pPr>
        <w:pStyle w:val="BodyText"/>
        <w:spacing w:line="273" w:lineRule="auto"/>
        <w:ind w:right="0" w:firstLine="6"/>
        <w:jc w:val="left"/>
      </w:pPr>
      <w:r>
        <w:rPr>
          <w:rFonts w:ascii="黑体" w:hAnsi="黑体" w:cs="黑体" w:eastAsia="黑体" w:hint="default"/>
          <w:i/>
          <w:sz w:val="21"/>
          <w:szCs w:val="21"/>
        </w:rPr>
        <w:t>非同一控制下的企业合并</w:t>
      </w:r>
      <w:r>
        <w:rPr>
          <w:rFonts w:ascii="黑体" w:hAnsi="黑体" w:cs="黑体" w:eastAsia="黑体" w:hint="default"/>
          <w:i/>
          <w:w w:val="95"/>
          <w:sz w:val="21"/>
          <w:szCs w:val="21"/>
        </w:rPr>
        <w:t> </w:t>
      </w:r>
      <w:r>
        <w:rPr>
          <w:spacing w:val="-1"/>
        </w:rPr>
        <w:t>对于非同一控制下的企业合并，合并成本为购买日购买方为取得对被购买方的控制权而付</w:t>
      </w:r>
      <w:r>
        <w:rPr>
          <w:spacing w:val="-80"/>
        </w:rPr>
        <w:t> </w:t>
      </w:r>
      <w:r>
        <w:rPr>
          <w:spacing w:val="-80"/>
        </w:rPr>
      </w:r>
      <w:r>
        <w:rPr>
          <w:spacing w:val="-1"/>
        </w:rPr>
        <w:t>出的资产、发生或承担的负债以及发行的权益性证券的公允价值，以及为企业合并而发生</w:t>
      </w:r>
      <w:r>
        <w:rPr>
          <w:spacing w:val="-78"/>
        </w:rPr>
        <w:t> </w:t>
      </w:r>
      <w:r>
        <w:rPr>
          <w:spacing w:val="-78"/>
        </w:rPr>
      </w:r>
      <w:r>
        <w:rPr>
          <w:spacing w:val="-1"/>
        </w:rPr>
        <w:t>的各项直接相关费用。对合并成本的调整很可能发生且可靠计量的，确认或有对价，其后</w:t>
      </w:r>
      <w:r>
        <w:rPr>
          <w:spacing w:val="-81"/>
        </w:rPr>
        <w:t> </w:t>
      </w:r>
      <w:r>
        <w:rPr>
          <w:spacing w:val="-81"/>
        </w:rPr>
      </w:r>
      <w:r>
        <w:rPr>
          <w:spacing w:val="-1"/>
        </w:rPr>
        <w:t>续计量影响商誉。通过多次交换交易分步实现的企业合并，合并成本为每一单项交易成本</w:t>
      </w:r>
      <w:r>
        <w:rPr>
          <w:spacing w:val="-80"/>
        </w:rPr>
        <w:t> </w:t>
      </w:r>
      <w:r>
        <w:rPr>
          <w:spacing w:val="-80"/>
        </w:rPr>
      </w:r>
      <w:r>
        <w:rPr>
          <w:spacing w:val="-1"/>
        </w:rPr>
        <w:t>之和。在合并合同中对可能影响合并成本的未来事项作出约定的，购买日如果估计未来事</w:t>
      </w:r>
      <w:r>
        <w:rPr>
          <w:spacing w:val="-79"/>
        </w:rPr>
        <w:t> </w:t>
      </w:r>
      <w:r>
        <w:rPr>
          <w:spacing w:val="-79"/>
        </w:rPr>
      </w:r>
      <w:r>
        <w:rPr/>
        <w:t>项很可能发生并且对合并成本的影响金额能够可靠计量的，也计入合并成本。</w:t>
      </w:r>
    </w:p>
    <w:p>
      <w:pPr>
        <w:spacing w:line="240" w:lineRule="auto" w:before="9"/>
        <w:rPr>
          <w:rFonts w:ascii="黑体" w:hAnsi="黑体" w:cs="黑体" w:eastAsia="黑体" w:hint="default"/>
          <w:sz w:val="23"/>
          <w:szCs w:val="23"/>
        </w:rPr>
      </w:pPr>
    </w:p>
    <w:p>
      <w:pPr>
        <w:pStyle w:val="BodyText"/>
        <w:spacing w:line="276" w:lineRule="auto"/>
        <w:ind w:right="135"/>
        <w:jc w:val="both"/>
      </w:pPr>
      <w:r>
        <w:rPr>
          <w:spacing w:val="-1"/>
        </w:rPr>
        <w:t>非同一控制下企业合并中所取得的被购买方可辨认资产、负债及或有负债在收购日以公允</w:t>
      </w:r>
      <w:r>
        <w:rPr>
          <w:spacing w:val="-81"/>
        </w:rPr>
        <w:t> </w:t>
      </w:r>
      <w:r>
        <w:rPr>
          <w:spacing w:val="-81"/>
        </w:rPr>
      </w:r>
      <w:r>
        <w:rPr/>
        <w:t>价值计量。</w:t>
      </w:r>
    </w:p>
    <w:p>
      <w:pPr>
        <w:spacing w:line="240" w:lineRule="auto" w:before="7"/>
        <w:rPr>
          <w:rFonts w:ascii="黑体" w:hAnsi="黑体" w:cs="黑体" w:eastAsia="黑体" w:hint="default"/>
          <w:sz w:val="23"/>
          <w:szCs w:val="23"/>
        </w:rPr>
      </w:pPr>
    </w:p>
    <w:p>
      <w:pPr>
        <w:pStyle w:val="BodyText"/>
        <w:spacing w:line="276" w:lineRule="auto"/>
        <w:ind w:right="126"/>
        <w:jc w:val="both"/>
      </w:pPr>
      <w:r>
        <w:rPr>
          <w:spacing w:val="-1"/>
        </w:rPr>
        <w:t>合并成本大于合并中取得的被购买方可辨认净资产公允价值份额的差额，确认为商誉。合</w:t>
      </w:r>
      <w:r>
        <w:rPr>
          <w:spacing w:val="-80"/>
        </w:rPr>
        <w:t> </w:t>
      </w:r>
      <w:r>
        <w:rPr>
          <w:spacing w:val="-80"/>
        </w:rPr>
      </w:r>
      <w:r>
        <w:rPr>
          <w:spacing w:val="-1"/>
        </w:rPr>
        <w:t>并成本小于合并中取得的被购买方可辨认净资产公允价值份额的，首先对取得的被购买方</w:t>
      </w:r>
      <w:r>
        <w:rPr>
          <w:spacing w:val="-80"/>
        </w:rPr>
        <w:t> </w:t>
      </w:r>
      <w:r>
        <w:rPr>
          <w:spacing w:val="-80"/>
        </w:rPr>
      </w:r>
      <w:r>
        <w:rPr>
          <w:spacing w:val="-1"/>
        </w:rPr>
        <w:t>各项可辨认资产、负债及或有负债的公允价值以及合并成本的计量进行复核，复核后合并</w:t>
      </w:r>
      <w:r>
        <w:rPr>
          <w:spacing w:val="-80"/>
        </w:rPr>
        <w:t> </w:t>
      </w:r>
      <w:r>
        <w:rPr>
          <w:spacing w:val="-80"/>
        </w:rPr>
      </w:r>
      <w:r>
        <w:rPr>
          <w:spacing w:val="-1"/>
        </w:rPr>
        <w:t>成本仍小于合并中取得的被购买方可辨认净资产公允价值份额的，其差额计入当期损益。</w:t>
      </w:r>
    </w:p>
    <w:p>
      <w:pPr>
        <w:spacing w:line="240" w:lineRule="auto" w:before="7"/>
        <w:rPr>
          <w:rFonts w:ascii="黑体" w:hAnsi="黑体" w:cs="黑体" w:eastAsia="黑体" w:hint="default"/>
          <w:sz w:val="23"/>
          <w:szCs w:val="23"/>
        </w:rPr>
      </w:pPr>
    </w:p>
    <w:p>
      <w:pPr>
        <w:tabs>
          <w:tab w:pos="810"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6.</w:t>
        <w:tab/>
      </w:r>
      <w:r>
        <w:rPr>
          <w:rFonts w:ascii="黑体" w:hAnsi="黑体" w:cs="黑体" w:eastAsia="黑体" w:hint="default"/>
          <w:b/>
          <w:bCs/>
          <w:sz w:val="20"/>
          <w:szCs w:val="20"/>
        </w:rPr>
        <w:t>合并财务报表</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61" w:lineRule="auto"/>
        <w:ind w:right="133"/>
        <w:jc w:val="both"/>
      </w:pPr>
      <w:r>
        <w:rPr>
          <w:spacing w:val="-3"/>
          <w:w w:val="100"/>
        </w:rPr>
        <w:t>合并财务报表的合并范围以控制为基础确定，包括本公司及全部子公司截至</w:t>
      </w:r>
      <w:r>
        <w:rPr>
          <w:rFonts w:ascii="Arial" w:hAnsi="Arial" w:cs="Arial" w:eastAsia="Arial" w:hint="default"/>
          <w:spacing w:val="-3"/>
          <w:w w:val="100"/>
        </w:rPr>
        <w:t>2009</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rFonts w:ascii="Arial" w:hAnsi="Arial" w:cs="Arial" w:eastAsia="Arial" w:hint="default"/>
          <w:spacing w:val="-51"/>
          <w:w w:val="100"/>
        </w:rPr>
        <w:t> </w:t>
      </w:r>
      <w:r>
        <w:rPr/>
        <w:t>日止年度的财务报表。子公司，是指被本公司控制的企业或主体。</w:t>
      </w:r>
    </w:p>
    <w:p>
      <w:pPr>
        <w:spacing w:line="240" w:lineRule="auto" w:before="6"/>
        <w:rPr>
          <w:rFonts w:ascii="黑体" w:hAnsi="黑体" w:cs="黑体" w:eastAsia="黑体" w:hint="default"/>
          <w:sz w:val="24"/>
          <w:szCs w:val="24"/>
        </w:rPr>
      </w:pPr>
    </w:p>
    <w:p>
      <w:pPr>
        <w:pStyle w:val="BodyText"/>
        <w:spacing w:line="276" w:lineRule="auto"/>
        <w:ind w:right="128"/>
        <w:jc w:val="both"/>
      </w:pPr>
      <w:r>
        <w:rPr>
          <w:spacing w:val="-1"/>
        </w:rPr>
        <w:t>编制合并财务报表时，子公司采用与本公司一致的会计年度和会计政策。本集团内部各公</w:t>
      </w:r>
      <w:r>
        <w:rPr>
          <w:spacing w:val="-80"/>
        </w:rPr>
        <w:t> </w:t>
      </w:r>
      <w:r>
        <w:rPr>
          <w:spacing w:val="-80"/>
        </w:rPr>
      </w:r>
      <w:r>
        <w:rPr/>
        <w:t>司之间的所有交易产生的损益和未实现损益及往来于合并时全额抵消。</w:t>
      </w:r>
    </w:p>
    <w:p>
      <w:pPr>
        <w:spacing w:line="240" w:lineRule="auto" w:before="7"/>
        <w:rPr>
          <w:rFonts w:ascii="黑体" w:hAnsi="黑体" w:cs="黑体" w:eastAsia="黑体" w:hint="default"/>
          <w:sz w:val="23"/>
          <w:szCs w:val="23"/>
        </w:rPr>
      </w:pPr>
    </w:p>
    <w:p>
      <w:pPr>
        <w:pStyle w:val="BodyText"/>
        <w:spacing w:line="276" w:lineRule="auto"/>
        <w:ind w:right="128"/>
        <w:jc w:val="both"/>
      </w:pPr>
      <w:r>
        <w:rPr>
          <w:spacing w:val="3"/>
        </w:rPr>
        <w:t>纳入合并范围的子公司的股东权益中不属于本集团所拥有的部分作为少数股东权益在合</w:t>
      </w:r>
      <w:r>
        <w:rPr>
          <w:spacing w:val="-48"/>
        </w:rPr>
        <w:t> </w:t>
      </w:r>
      <w:r>
        <w:rPr/>
        <w:t>并财务报表中单独列示。</w:t>
      </w:r>
    </w:p>
    <w:p>
      <w:pPr>
        <w:spacing w:line="240" w:lineRule="auto" w:before="7"/>
        <w:rPr>
          <w:rFonts w:ascii="黑体" w:hAnsi="黑体" w:cs="黑体" w:eastAsia="黑体" w:hint="default"/>
          <w:sz w:val="23"/>
          <w:szCs w:val="23"/>
        </w:rPr>
      </w:pPr>
    </w:p>
    <w:p>
      <w:pPr>
        <w:pStyle w:val="BodyText"/>
        <w:spacing w:line="276" w:lineRule="auto"/>
        <w:ind w:right="135"/>
        <w:jc w:val="both"/>
      </w:pPr>
      <w:r>
        <w:rPr>
          <w:spacing w:val="-1"/>
        </w:rPr>
        <w:t>对于通过非同一控制下的企业合并取得的子公司，被购买方的经营成果和现金流量自本集</w:t>
      </w:r>
      <w:r>
        <w:rPr>
          <w:spacing w:val="-81"/>
        </w:rPr>
        <w:t> </w:t>
      </w:r>
      <w:r>
        <w:rPr>
          <w:spacing w:val="-81"/>
        </w:rPr>
      </w:r>
      <w:r>
        <w:rPr>
          <w:spacing w:val="-1"/>
        </w:rPr>
        <w:t>团取得控制权之日起纳入合并财务报表，直至本集团对其控制权终止。在编制合并财务报</w:t>
      </w:r>
      <w:r>
        <w:rPr>
          <w:spacing w:val="-79"/>
        </w:rPr>
        <w:t> </w:t>
      </w:r>
      <w:r>
        <w:rPr>
          <w:spacing w:val="-79"/>
        </w:rPr>
      </w:r>
      <w:r>
        <w:rPr>
          <w:spacing w:val="-1"/>
        </w:rPr>
        <w:t>表时，以购买日确定的各项可辨认资产、负债及或有负债的公允价值为基础对子公司的财</w:t>
      </w:r>
      <w:r>
        <w:rPr>
          <w:spacing w:val="-79"/>
        </w:rPr>
        <w:t> </w:t>
      </w:r>
      <w:r>
        <w:rPr>
          <w:spacing w:val="-79"/>
        </w:rPr>
      </w:r>
      <w:r>
        <w:rPr/>
        <w:t>务报表进行调整。</w:t>
      </w:r>
    </w:p>
    <w:p>
      <w:pPr>
        <w:spacing w:line="240" w:lineRule="auto" w:before="7"/>
        <w:rPr>
          <w:rFonts w:ascii="黑体" w:hAnsi="黑体" w:cs="黑体" w:eastAsia="黑体" w:hint="default"/>
          <w:sz w:val="23"/>
          <w:szCs w:val="23"/>
        </w:rPr>
      </w:pPr>
    </w:p>
    <w:p>
      <w:pPr>
        <w:pStyle w:val="BodyText"/>
        <w:spacing w:line="276" w:lineRule="auto"/>
        <w:ind w:right="135"/>
        <w:jc w:val="both"/>
      </w:pPr>
      <w:r>
        <w:rPr>
          <w:spacing w:val="-1"/>
        </w:rPr>
        <w:t>对于通过同一控制下的企业合并取得的子公司，被合并方的经营成果和现金流量自合并当</w:t>
      </w:r>
      <w:r>
        <w:rPr>
          <w:spacing w:val="-81"/>
        </w:rPr>
        <w:t> </w:t>
      </w:r>
      <w:r>
        <w:rPr>
          <w:spacing w:val="-81"/>
        </w:rPr>
      </w:r>
      <w:r>
        <w:rPr>
          <w:spacing w:val="-1"/>
        </w:rPr>
        <w:t>期期初纳入合并财务报表。编制比较合并财务报表时，对前期财务报表的相关项目进行调</w:t>
      </w:r>
      <w:r>
        <w:rPr>
          <w:spacing w:val="-78"/>
        </w:rPr>
        <w:t> </w:t>
      </w:r>
      <w:r>
        <w:rPr>
          <w:spacing w:val="-78"/>
        </w:rPr>
      </w:r>
      <w:r>
        <w:rPr/>
        <w:t>整，视同合并后形成的报告主体自最终控制方开始实施控制时一直存在。</w:t>
      </w:r>
    </w:p>
    <w:p>
      <w:pPr>
        <w:spacing w:after="0" w:line="276" w:lineRule="auto"/>
        <w:jc w:val="both"/>
        <w:sectPr>
          <w:pgSz w:w="11910" w:h="16840"/>
          <w:pgMar w:header="958" w:footer="473" w:top="2380" w:bottom="660" w:left="1600" w:right="156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10"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4"/>
        <w:rPr>
          <w:rFonts w:ascii="黑体" w:hAnsi="黑体" w:cs="黑体" w:eastAsia="黑体" w:hint="default"/>
          <w:b/>
          <w:bCs/>
          <w:sz w:val="24"/>
          <w:szCs w:val="24"/>
        </w:rPr>
      </w:pPr>
    </w:p>
    <w:p>
      <w:pPr>
        <w:tabs>
          <w:tab w:pos="821" w:val="left" w:leader="none"/>
        </w:tabs>
        <w:spacing w:before="0"/>
        <w:ind w:left="101" w:right="114" w:firstLine="0"/>
        <w:jc w:val="left"/>
        <w:rPr>
          <w:rFonts w:ascii="黑体" w:hAnsi="黑体" w:cs="黑体" w:eastAsia="黑体" w:hint="default"/>
          <w:sz w:val="20"/>
          <w:szCs w:val="20"/>
        </w:rPr>
      </w:pPr>
      <w:r>
        <w:rPr>
          <w:rFonts w:ascii="Arial" w:hAnsi="Arial" w:cs="Arial" w:eastAsia="Arial" w:hint="default"/>
          <w:b/>
          <w:bCs/>
          <w:spacing w:val="-1"/>
          <w:sz w:val="20"/>
          <w:szCs w:val="20"/>
        </w:rPr>
        <w:t>7.</w:t>
        <w:tab/>
      </w:r>
      <w:r>
        <w:rPr>
          <w:rFonts w:ascii="黑体" w:hAnsi="黑体" w:cs="黑体" w:eastAsia="黑体" w:hint="default"/>
          <w:b/>
          <w:bCs/>
          <w:sz w:val="20"/>
          <w:szCs w:val="20"/>
        </w:rPr>
        <w:t>现金及现金等价物</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76" w:lineRule="auto"/>
        <w:ind w:right="215"/>
        <w:jc w:val="both"/>
      </w:pPr>
      <w:r>
        <w:rPr>
          <w:spacing w:val="-1"/>
        </w:rPr>
        <w:t>现金，是指本集团的库存现金以及可以随时用于支付的存款；现金等价物，是指本集团持</w:t>
      </w:r>
      <w:r>
        <w:rPr>
          <w:spacing w:val="-83"/>
        </w:rPr>
        <w:t> </w:t>
      </w:r>
      <w:r>
        <w:rPr>
          <w:spacing w:val="-83"/>
        </w:rPr>
      </w:r>
      <w:r>
        <w:rPr/>
        <w:t>有的期限短、流动性强、易于转换为已知金额的现金、价值变动风险很小的投资。</w:t>
      </w:r>
    </w:p>
    <w:p>
      <w:pPr>
        <w:spacing w:line="240" w:lineRule="auto" w:before="7"/>
        <w:rPr>
          <w:rFonts w:ascii="黑体" w:hAnsi="黑体" w:cs="黑体" w:eastAsia="黑体" w:hint="default"/>
          <w:sz w:val="23"/>
          <w:szCs w:val="23"/>
        </w:rPr>
      </w:pPr>
    </w:p>
    <w:p>
      <w:pPr>
        <w:tabs>
          <w:tab w:pos="821" w:val="left" w:leader="none"/>
        </w:tabs>
        <w:spacing w:line="520" w:lineRule="auto" w:before="0"/>
        <w:ind w:left="815" w:right="1405" w:hanging="715"/>
        <w:jc w:val="left"/>
        <w:rPr>
          <w:rFonts w:ascii="黑体" w:hAnsi="黑体" w:cs="黑体" w:eastAsia="黑体" w:hint="default"/>
          <w:sz w:val="20"/>
          <w:szCs w:val="20"/>
        </w:rPr>
      </w:pPr>
      <w:r>
        <w:rPr>
          <w:rFonts w:ascii="Arial" w:hAnsi="Arial" w:cs="Arial" w:eastAsia="Arial" w:hint="default"/>
          <w:b/>
          <w:bCs/>
          <w:spacing w:val="-1"/>
          <w:sz w:val="20"/>
          <w:szCs w:val="20"/>
        </w:rPr>
        <w:t>8.</w:t>
        <w:tab/>
        <w:tab/>
      </w:r>
      <w:r>
        <w:rPr>
          <w:rFonts w:ascii="黑体" w:hAnsi="黑体" w:cs="黑体" w:eastAsia="黑体" w:hint="default"/>
          <w:b/>
          <w:bCs/>
          <w:sz w:val="20"/>
          <w:szCs w:val="20"/>
        </w:rPr>
        <w:t>外币业务和外币报表折算</w:t>
      </w:r>
      <w:r>
        <w:rPr>
          <w:rFonts w:ascii="黑体" w:hAnsi="黑体" w:cs="黑体" w:eastAsia="黑体" w:hint="default"/>
          <w:b/>
          <w:bCs/>
          <w:w w:val="99"/>
          <w:sz w:val="20"/>
          <w:szCs w:val="20"/>
        </w:rPr>
        <w:t> </w:t>
      </w:r>
      <w:r>
        <w:rPr>
          <w:rFonts w:ascii="黑体" w:hAnsi="黑体" w:cs="黑体" w:eastAsia="黑体" w:hint="default"/>
          <w:sz w:val="20"/>
          <w:szCs w:val="20"/>
        </w:rPr>
        <w:t>本集团对于发生的外币交易，将外币金额折算为记账本位币金额。</w:t>
      </w:r>
    </w:p>
    <w:p>
      <w:pPr>
        <w:pStyle w:val="BodyText"/>
        <w:spacing w:line="276" w:lineRule="auto" w:before="104"/>
        <w:ind w:right="206"/>
        <w:jc w:val="both"/>
      </w:pPr>
      <w:r>
        <w:rPr>
          <w:spacing w:val="-1"/>
        </w:rPr>
        <w:t>外币交易在初始确认时，采用交易发生当期平均汇率将外币金额折算为记账本位币金额。</w:t>
      </w:r>
      <w:r>
        <w:rPr>
          <w:spacing w:val="-72"/>
        </w:rPr>
        <w:t> </w:t>
      </w:r>
      <w:r>
        <w:rPr>
          <w:spacing w:val="-72"/>
        </w:rPr>
      </w:r>
      <w:r>
        <w:rPr>
          <w:spacing w:val="-1"/>
        </w:rPr>
        <w:t>于资产负债表日，对于外币货币性项目采用资产负债表日即期汇率折算，由此产生的汇兑</w:t>
      </w:r>
      <w:r>
        <w:rPr>
          <w:spacing w:val="-80"/>
        </w:rPr>
        <w:t> </w:t>
      </w:r>
      <w:r>
        <w:rPr>
          <w:spacing w:val="-80"/>
        </w:rPr>
      </w:r>
      <w:r>
        <w:rPr>
          <w:spacing w:val="-1"/>
        </w:rPr>
        <w:t>差额，除属于与购建符合资本化条件的资产相关的外币专门借款产生的汇兑差额按照借款</w:t>
      </w:r>
      <w:r>
        <w:rPr>
          <w:spacing w:val="-81"/>
        </w:rPr>
        <w:t> </w:t>
      </w:r>
      <w:r>
        <w:rPr>
          <w:spacing w:val="-81"/>
        </w:rPr>
      </w:r>
      <w:r>
        <w:rPr>
          <w:spacing w:val="-1"/>
        </w:rPr>
        <w:t>费用资本化的原则处理之外，均计入当期损益。以历史成本计量的外币非货币性项目，仍</w:t>
      </w:r>
      <w:r>
        <w:rPr>
          <w:spacing w:val="-82"/>
        </w:rPr>
        <w:t> </w:t>
      </w:r>
      <w:r>
        <w:rPr>
          <w:spacing w:val="-82"/>
        </w:rPr>
      </w:r>
      <w:r>
        <w:rPr>
          <w:spacing w:val="-1"/>
        </w:rPr>
        <w:t>采用交易发生日的即期汇率折算，不改变其记账本位币金额。以公允价值计量的外币非货</w:t>
      </w:r>
      <w:r>
        <w:rPr>
          <w:spacing w:val="-80"/>
        </w:rPr>
        <w:t> </w:t>
      </w:r>
      <w:r>
        <w:rPr>
          <w:spacing w:val="-80"/>
        </w:rPr>
      </w:r>
      <w:r>
        <w:rPr>
          <w:spacing w:val="-1"/>
        </w:rPr>
        <w:t>币性项目，采用公允价值确定日的即期汇率折算，由此产生的汇兑差额计入当期损益或其</w:t>
      </w:r>
      <w:r>
        <w:rPr>
          <w:spacing w:val="-79"/>
        </w:rPr>
        <w:t> </w:t>
      </w:r>
      <w:r>
        <w:rPr>
          <w:spacing w:val="-79"/>
        </w:rPr>
      </w:r>
      <w:r>
        <w:rPr/>
        <w:t>他综合收益。</w:t>
      </w:r>
    </w:p>
    <w:p>
      <w:pPr>
        <w:spacing w:line="240" w:lineRule="auto" w:before="7"/>
        <w:rPr>
          <w:rFonts w:ascii="黑体" w:hAnsi="黑体" w:cs="黑体" w:eastAsia="黑体" w:hint="default"/>
          <w:sz w:val="23"/>
          <w:szCs w:val="23"/>
        </w:rPr>
      </w:pPr>
    </w:p>
    <w:p>
      <w:pPr>
        <w:pStyle w:val="BodyText"/>
        <w:spacing w:line="271" w:lineRule="auto"/>
        <w:ind w:right="215"/>
        <w:jc w:val="both"/>
      </w:pPr>
      <w:r>
        <w:rPr>
          <w:spacing w:val="-1"/>
        </w:rPr>
        <w:t>对于境外经营，本集团在编制财务报表时将其记账本位币折算为人民币：对资产负债表中</w:t>
      </w:r>
      <w:r>
        <w:rPr>
          <w:spacing w:val="-80"/>
        </w:rPr>
        <w:t> </w:t>
      </w:r>
      <w:r>
        <w:rPr>
          <w:spacing w:val="-80"/>
        </w:rPr>
      </w:r>
      <w:r>
        <w:rPr/>
        <w:t>的资产和负债项目，采用资产负债表日的即期汇率折算，股东权益项目除</w:t>
      </w:r>
      <w:r>
        <w:rPr>
          <w:rFonts w:ascii="Arial" w:hAnsi="Arial" w:cs="Arial" w:eastAsia="Arial" w:hint="default"/>
        </w:rPr>
        <w:t>“</w:t>
      </w:r>
      <w:r>
        <w:rPr/>
        <w:t>未分配利润</w:t>
      </w:r>
      <w:r>
        <w:rPr>
          <w:rFonts w:ascii="Arial" w:hAnsi="Arial" w:cs="Arial" w:eastAsia="Arial" w:hint="default"/>
        </w:rPr>
        <w:t>”</w:t>
      </w:r>
      <w:r>
        <w:rPr/>
        <w:t>项</w:t>
      </w:r>
      <w:r>
        <w:rPr>
          <w:spacing w:val="-50"/>
        </w:rPr>
        <w:t> </w:t>
      </w:r>
      <w:r>
        <w:rPr>
          <w:spacing w:val="-1"/>
        </w:rPr>
        <w:t>目外，其他项目采用发生时的即期汇率折算；利润表中的收入和费用项目，采用交易发生</w:t>
      </w:r>
      <w:r>
        <w:rPr>
          <w:spacing w:val="-82"/>
        </w:rPr>
        <w:t> </w:t>
      </w:r>
      <w:r>
        <w:rPr>
          <w:spacing w:val="-82"/>
        </w:rPr>
      </w:r>
      <w:r>
        <w:rPr>
          <w:spacing w:val="-1"/>
        </w:rPr>
        <w:t>当期平均汇率折算。按照上述折算产生的外币财务报表折算差额，确认为其他综合收益并</w:t>
      </w:r>
      <w:r>
        <w:rPr>
          <w:spacing w:val="-79"/>
        </w:rPr>
        <w:t> </w:t>
      </w:r>
      <w:r>
        <w:rPr>
          <w:spacing w:val="-79"/>
        </w:rPr>
      </w:r>
      <w:r>
        <w:rPr>
          <w:spacing w:val="-1"/>
        </w:rPr>
        <w:t>在资产负债表中股东权益项目下单独列示。处置境外经营时，将与该境外经营相关的其他</w:t>
      </w:r>
      <w:r>
        <w:rPr>
          <w:spacing w:val="-80"/>
        </w:rPr>
        <w:t> </w:t>
      </w:r>
      <w:r>
        <w:rPr>
          <w:spacing w:val="-80"/>
        </w:rPr>
      </w:r>
      <w:r>
        <w:rPr/>
        <w:t>综合收益转入处置当期损益，部分处置的按处置比例计算。</w:t>
      </w:r>
    </w:p>
    <w:p>
      <w:pPr>
        <w:spacing w:line="240" w:lineRule="auto" w:before="11"/>
        <w:rPr>
          <w:rFonts w:ascii="黑体" w:hAnsi="黑体" w:cs="黑体" w:eastAsia="黑体" w:hint="default"/>
          <w:sz w:val="23"/>
          <w:szCs w:val="23"/>
        </w:rPr>
      </w:pPr>
    </w:p>
    <w:p>
      <w:pPr>
        <w:pStyle w:val="BodyText"/>
        <w:spacing w:line="276" w:lineRule="auto"/>
        <w:ind w:right="215"/>
        <w:jc w:val="both"/>
      </w:pPr>
      <w:r>
        <w:rPr>
          <w:spacing w:val="-1"/>
        </w:rPr>
        <w:t>外币现金流量以及境外子公司的现金流量，采用现金流量发生当期平均汇率折算。汇率变</w:t>
      </w:r>
      <w:r>
        <w:rPr>
          <w:spacing w:val="-79"/>
        </w:rPr>
        <w:t> </w:t>
      </w:r>
      <w:r>
        <w:rPr>
          <w:spacing w:val="-79"/>
        </w:rPr>
      </w:r>
      <w:r>
        <w:rPr/>
        <w:t>动对现金的影响额作为调节项目，在现金流量表中单独列报。</w:t>
      </w:r>
    </w:p>
    <w:p>
      <w:pPr>
        <w:spacing w:line="240" w:lineRule="auto" w:before="3"/>
        <w:rPr>
          <w:rFonts w:ascii="黑体" w:hAnsi="黑体" w:cs="黑体" w:eastAsia="黑体" w:hint="default"/>
          <w:sz w:val="18"/>
          <w:szCs w:val="18"/>
        </w:rPr>
      </w:pPr>
    </w:p>
    <w:p>
      <w:pPr>
        <w:pStyle w:val="BodyText"/>
        <w:tabs>
          <w:tab w:pos="821" w:val="left" w:leader="none"/>
        </w:tabs>
        <w:spacing w:line="535" w:lineRule="auto"/>
        <w:ind w:right="114" w:hanging="715"/>
        <w:jc w:val="left"/>
      </w:pPr>
      <w:r>
        <w:rPr>
          <w:rFonts w:ascii="Arial" w:hAnsi="Arial" w:cs="Arial" w:eastAsia="Arial" w:hint="default"/>
          <w:b/>
          <w:bCs/>
          <w:spacing w:val="-1"/>
        </w:rPr>
        <w:t>9.</w:t>
        <w:tab/>
        <w:tab/>
      </w:r>
      <w:r>
        <w:rPr>
          <w:rFonts w:ascii="黑体" w:hAnsi="黑体" w:cs="黑体" w:eastAsia="黑体" w:hint="default"/>
          <w:b/>
          <w:bCs/>
        </w:rPr>
        <w:t>金融工具</w:t>
      </w:r>
      <w:r>
        <w:rPr>
          <w:rFonts w:ascii="黑体" w:hAnsi="黑体" w:cs="黑体" w:eastAsia="黑体" w:hint="default"/>
          <w:b/>
          <w:bCs/>
          <w:w w:val="99"/>
        </w:rPr>
        <w:t> </w:t>
      </w:r>
      <w:r>
        <w:rPr>
          <w:spacing w:val="-4"/>
        </w:rPr>
        <w:t>金融工具，是指形成一个企业的金融资产，并形成其他单位的金融负债或权益工具的合同。</w:t>
      </w:r>
      <w:r>
        <w:rPr>
          <w:w w:val="100"/>
        </w:rPr>
        <w:t> </w:t>
      </w:r>
      <w:r>
        <w:rPr>
          <w:u w:val="single" w:color="000000"/>
        </w:rPr>
        <w:t>金融工具的确认和终止确认</w:t>
      </w:r>
      <w:r>
        <w:rPr/>
      </w:r>
    </w:p>
    <w:p>
      <w:pPr>
        <w:pStyle w:val="BodyText"/>
        <w:spacing w:line="240" w:lineRule="auto" w:before="92"/>
        <w:ind w:right="114"/>
        <w:jc w:val="left"/>
      </w:pPr>
      <w:r>
        <w:rPr/>
        <w:t>本集团于成为金融工具合同的一方时确认一项金融资产或金融负债。</w:t>
      </w:r>
    </w:p>
    <w:p>
      <w:pPr>
        <w:spacing w:after="0" w:line="240" w:lineRule="auto"/>
        <w:jc w:val="left"/>
        <w:sectPr>
          <w:pgSz w:w="11910" w:h="16840"/>
          <w:pgMar w:header="958" w:footer="473" w:top="2380" w:bottom="660" w:left="1600" w:right="148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10"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4"/>
        <w:rPr>
          <w:rFonts w:ascii="黑体" w:hAnsi="黑体" w:cs="黑体" w:eastAsia="黑体" w:hint="default"/>
          <w:b/>
          <w:bCs/>
          <w:sz w:val="24"/>
          <w:szCs w:val="24"/>
        </w:rPr>
      </w:pPr>
    </w:p>
    <w:p>
      <w:pPr>
        <w:tabs>
          <w:tab w:pos="821" w:val="left" w:leader="none"/>
        </w:tabs>
        <w:spacing w:before="0"/>
        <w:ind w:left="101" w:right="114" w:firstLine="0"/>
        <w:jc w:val="left"/>
        <w:rPr>
          <w:rFonts w:ascii="黑体" w:hAnsi="黑体" w:cs="黑体" w:eastAsia="黑体" w:hint="default"/>
          <w:sz w:val="20"/>
          <w:szCs w:val="20"/>
        </w:rPr>
      </w:pPr>
      <w:r>
        <w:rPr>
          <w:rFonts w:ascii="Arial" w:hAnsi="Arial" w:cs="Arial" w:eastAsia="Arial" w:hint="default"/>
          <w:b/>
          <w:bCs/>
          <w:spacing w:val="-1"/>
          <w:sz w:val="20"/>
          <w:szCs w:val="20"/>
        </w:rPr>
        <w:t>9.</w:t>
        <w:tab/>
      </w:r>
      <w:r>
        <w:rPr>
          <w:rFonts w:ascii="黑体" w:hAnsi="黑体" w:cs="黑体" w:eastAsia="黑体" w:hint="default"/>
          <w:b/>
          <w:bCs/>
          <w:sz w:val="20"/>
          <w:szCs w:val="20"/>
        </w:rPr>
        <w:t>金融工具（续）</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61" w:lineRule="auto"/>
        <w:ind w:right="114"/>
        <w:jc w:val="left"/>
      </w:pPr>
      <w:r>
        <w:rPr>
          <w:spacing w:val="2"/>
        </w:rPr>
        <w:t>满足下列条件的，终止确认金融资产</w:t>
      </w:r>
      <w:r>
        <w:rPr>
          <w:rFonts w:ascii="Arial" w:hAnsi="Arial" w:cs="Arial" w:eastAsia="Arial" w:hint="default"/>
          <w:spacing w:val="2"/>
        </w:rPr>
        <w:t>(</w:t>
      </w:r>
      <w:r>
        <w:rPr>
          <w:spacing w:val="2"/>
        </w:rPr>
        <w:t>或金融资产的一部分，或一组类似金融资产的一部</w:t>
      </w:r>
      <w:r>
        <w:rPr>
          <w:spacing w:val="-73"/>
        </w:rPr>
        <w:t> </w:t>
      </w:r>
      <w:r>
        <w:rPr>
          <w:spacing w:val="-73"/>
        </w:rPr>
      </w:r>
      <w:r>
        <w:rPr/>
        <w:t>分</w:t>
      </w:r>
      <w:r>
        <w:rPr>
          <w:rFonts w:ascii="Arial" w:hAnsi="Arial" w:cs="Arial" w:eastAsia="Arial" w:hint="default"/>
        </w:rPr>
        <w:t>)</w:t>
      </w:r>
      <w:r>
        <w:rPr/>
        <w:t>：</w:t>
      </w:r>
    </w:p>
    <w:p>
      <w:pPr>
        <w:spacing w:line="240" w:lineRule="auto" w:before="12"/>
        <w:rPr>
          <w:rFonts w:ascii="黑体" w:hAnsi="黑体" w:cs="黑体" w:eastAsia="黑体" w:hint="default"/>
          <w:sz w:val="17"/>
          <w:szCs w:val="17"/>
        </w:rPr>
      </w:pPr>
    </w:p>
    <w:p>
      <w:pPr>
        <w:pStyle w:val="BodyText"/>
        <w:tabs>
          <w:tab w:pos="1541" w:val="left" w:leader="none"/>
        </w:tabs>
        <w:spacing w:line="240" w:lineRule="auto"/>
        <w:ind w:left="821" w:right="114"/>
        <w:jc w:val="left"/>
      </w:pPr>
      <w:r>
        <w:rPr>
          <w:rFonts w:ascii="Arial" w:hAnsi="Arial" w:cs="Arial" w:eastAsia="Arial" w:hint="default"/>
        </w:rPr>
        <w:t>(1)</w:t>
        <w:tab/>
      </w:r>
      <w:r>
        <w:rPr/>
        <w:t>收取金融资产现金流量的权利届满；</w:t>
      </w:r>
    </w:p>
    <w:p>
      <w:pPr>
        <w:pStyle w:val="BodyText"/>
        <w:spacing w:line="261" w:lineRule="auto" w:before="24"/>
        <w:ind w:left="1541" w:right="215" w:hanging="721"/>
        <w:jc w:val="both"/>
      </w:pPr>
      <w:r>
        <w:rPr>
          <w:rFonts w:ascii="Arial" w:hAnsi="Arial" w:cs="Arial" w:eastAsia="Arial" w:hint="default"/>
        </w:rPr>
        <w:t>(2)</w:t>
      </w:r>
      <w:r>
        <w:rPr>
          <w:rFonts w:ascii="Arial" w:hAnsi="Arial" w:cs="Arial" w:eastAsia="Arial" w:hint="default"/>
          <w:spacing w:val="5"/>
        </w:rPr>
        <w:t> </w:t>
      </w:r>
      <w:r>
        <w:rPr>
          <w:spacing w:val="-3"/>
        </w:rPr>
        <w:t>转移了收取金融资产现金流量的权利，或在</w:t>
      </w:r>
      <w:r>
        <w:rPr>
          <w:rFonts w:ascii="Arial" w:hAnsi="Arial" w:cs="Arial" w:eastAsia="Arial" w:hint="default"/>
          <w:spacing w:val="-3"/>
        </w:rPr>
        <w:t>“</w:t>
      </w:r>
      <w:r>
        <w:rPr>
          <w:spacing w:val="-3"/>
        </w:rPr>
        <w:t>过手</w:t>
      </w:r>
      <w:r>
        <w:rPr>
          <w:rFonts w:ascii="Arial" w:hAnsi="Arial" w:cs="Arial" w:eastAsia="Arial" w:hint="default"/>
          <w:spacing w:val="-3"/>
        </w:rPr>
        <w:t>”</w:t>
      </w:r>
      <w:r>
        <w:rPr>
          <w:spacing w:val="-3"/>
        </w:rPr>
        <w:t>协议下承担了及时将收取的现金</w:t>
      </w:r>
      <w:r>
        <w:rPr>
          <w:w w:val="100"/>
        </w:rPr>
        <w:t> </w:t>
      </w:r>
      <w:r>
        <w:rPr/>
        <w:t>流量全额支付给第三方的义务；并且</w:t>
      </w:r>
      <w:r>
        <w:rPr>
          <w:rFonts w:ascii="Arial" w:hAnsi="Arial" w:cs="Arial" w:eastAsia="Arial" w:hint="default"/>
        </w:rPr>
        <w:t>(a)</w:t>
      </w:r>
      <w:r>
        <w:rPr/>
        <w:t>实质上转让了金融资产所有权上几乎所有</w:t>
      </w:r>
      <w:r>
        <w:rPr>
          <w:w w:val="100"/>
        </w:rPr>
        <w:t> </w:t>
      </w:r>
      <w:r>
        <w:rPr/>
        <w:t>的风险和报酬，或</w:t>
      </w:r>
      <w:r>
        <w:rPr>
          <w:rFonts w:ascii="Arial" w:hAnsi="Arial" w:cs="Arial" w:eastAsia="Arial" w:hint="default"/>
        </w:rPr>
        <w:t>(b)</w:t>
      </w:r>
      <w:r>
        <w:rPr/>
        <w:t>虽然实质上既没有转移也没有保留金融资产所有权上几乎所</w:t>
      </w:r>
      <w:r>
        <w:rPr>
          <w:w w:val="100"/>
        </w:rPr>
        <w:t> </w:t>
      </w:r>
      <w:r>
        <w:rPr/>
        <w:t>有的风险和报酬，但放弃了对该金融资产的控制。</w:t>
      </w:r>
    </w:p>
    <w:p>
      <w:pPr>
        <w:spacing w:line="240" w:lineRule="auto" w:before="2"/>
        <w:rPr>
          <w:rFonts w:ascii="黑体" w:hAnsi="黑体" w:cs="黑体" w:eastAsia="黑体" w:hint="default"/>
          <w:sz w:val="19"/>
          <w:szCs w:val="19"/>
        </w:rPr>
      </w:pPr>
    </w:p>
    <w:p>
      <w:pPr>
        <w:pStyle w:val="BodyText"/>
        <w:spacing w:line="276" w:lineRule="auto"/>
        <w:ind w:right="206"/>
        <w:jc w:val="both"/>
      </w:pPr>
      <w:r>
        <w:rPr>
          <w:spacing w:val="-1"/>
        </w:rPr>
        <w:t>如果金融负债的责任已履行、撤销或届满，则对金融负债进行终止确认。如果现有金融负</w:t>
      </w:r>
      <w:r>
        <w:rPr>
          <w:spacing w:val="-82"/>
        </w:rPr>
        <w:t> </w:t>
      </w:r>
      <w:r>
        <w:rPr>
          <w:spacing w:val="-82"/>
        </w:rPr>
      </w:r>
      <w:r>
        <w:rPr>
          <w:spacing w:val="-1"/>
        </w:rPr>
        <w:t>债被同一债权人以实质上几乎完全不同条款的另一金融负债所取代，或现有负债的条款几</w:t>
      </w:r>
      <w:r>
        <w:rPr>
          <w:spacing w:val="-80"/>
        </w:rPr>
        <w:t> </w:t>
      </w:r>
      <w:r>
        <w:rPr>
          <w:spacing w:val="-80"/>
        </w:rPr>
      </w:r>
      <w:r>
        <w:rPr>
          <w:spacing w:val="-1"/>
        </w:rPr>
        <w:t>乎全部被实质性修改，则此类替换或修改作为终止确认原负债和确认新负债处理，差额计</w:t>
      </w:r>
      <w:r>
        <w:rPr>
          <w:spacing w:val="-79"/>
        </w:rPr>
        <w:t> </w:t>
      </w:r>
      <w:r>
        <w:rPr>
          <w:spacing w:val="-79"/>
        </w:rPr>
      </w:r>
      <w:r>
        <w:rPr/>
        <w:t>入当期损益。</w:t>
      </w:r>
    </w:p>
    <w:p>
      <w:pPr>
        <w:spacing w:line="240" w:lineRule="auto" w:before="2"/>
        <w:rPr>
          <w:rFonts w:ascii="黑体" w:hAnsi="黑体" w:cs="黑体" w:eastAsia="黑体" w:hint="default"/>
          <w:sz w:val="18"/>
          <w:szCs w:val="18"/>
        </w:rPr>
      </w:pPr>
    </w:p>
    <w:p>
      <w:pPr>
        <w:pStyle w:val="BodyText"/>
        <w:spacing w:line="276" w:lineRule="auto"/>
        <w:ind w:right="114"/>
        <w:jc w:val="left"/>
      </w:pPr>
      <w:r>
        <w:rPr/>
        <w:t>以常规方式买卖金融资产，按交易日会计进行确认和终止确认。常规方式买卖金融资产，</w:t>
      </w:r>
      <w:r>
        <w:rPr>
          <w:w w:val="100"/>
        </w:rPr>
        <w:t> </w:t>
      </w:r>
      <w:r>
        <w:rPr>
          <w:spacing w:val="-4"/>
        </w:rPr>
        <w:t>是指按照合同条款的约定，在法规或通行惯例规定的期限内收取或交付金融资产。交易日，</w:t>
      </w:r>
      <w:r>
        <w:rPr>
          <w:spacing w:val="-58"/>
        </w:rPr>
        <w:t> </w:t>
      </w:r>
      <w:r>
        <w:rPr>
          <w:spacing w:val="-58"/>
        </w:rPr>
      </w:r>
      <w:r>
        <w:rPr/>
        <w:t>是指本集团承诺买入或卖出金融资产的日期。</w:t>
      </w:r>
    </w:p>
    <w:p>
      <w:pPr>
        <w:spacing w:line="240" w:lineRule="auto" w:before="3"/>
        <w:rPr>
          <w:rFonts w:ascii="黑体" w:hAnsi="黑体" w:cs="黑体" w:eastAsia="黑体" w:hint="default"/>
          <w:sz w:val="18"/>
          <w:szCs w:val="18"/>
        </w:rPr>
      </w:pPr>
    </w:p>
    <w:p>
      <w:pPr>
        <w:pStyle w:val="BodyText"/>
        <w:spacing w:line="240" w:lineRule="auto"/>
        <w:ind w:left="816" w:right="114"/>
        <w:jc w:val="left"/>
      </w:pPr>
      <w:r>
        <w:rPr>
          <w:w w:val="100"/>
        </w:rPr>
      </w:r>
      <w:r>
        <w:rPr>
          <w:u w:val="single" w:color="000000"/>
        </w:rPr>
        <w:t>金融资产分类和计量</w:t>
      </w:r>
      <w:r>
        <w:rPr/>
      </w:r>
    </w:p>
    <w:p>
      <w:pPr>
        <w:spacing w:line="240" w:lineRule="auto" w:before="13"/>
        <w:rPr>
          <w:rFonts w:ascii="黑体" w:hAnsi="黑体" w:cs="黑体" w:eastAsia="黑体" w:hint="default"/>
          <w:sz w:val="22"/>
          <w:szCs w:val="22"/>
        </w:rPr>
      </w:pPr>
    </w:p>
    <w:p>
      <w:pPr>
        <w:pStyle w:val="BodyText"/>
        <w:spacing w:line="276" w:lineRule="auto" w:before="38"/>
        <w:ind w:right="215"/>
        <w:jc w:val="both"/>
      </w:pPr>
      <w:r>
        <w:rPr>
          <w:spacing w:val="-1"/>
        </w:rPr>
        <w:t>本集团的金融资产于初始确认时分类为：以公允价值计量且其变动计入当期损益的金融资</w:t>
      </w:r>
      <w:r>
        <w:rPr>
          <w:spacing w:val="-80"/>
        </w:rPr>
        <w:t> </w:t>
      </w:r>
      <w:r>
        <w:rPr>
          <w:spacing w:val="-80"/>
        </w:rPr>
      </w:r>
      <w:r>
        <w:rPr>
          <w:spacing w:val="-1"/>
        </w:rPr>
        <w:t>产、持有至到期投资、贷款和应收款项、可供出售金融资产、被指定为有效套期工具的衍</w:t>
      </w:r>
      <w:r>
        <w:rPr>
          <w:spacing w:val="-80"/>
        </w:rPr>
        <w:t> </w:t>
      </w:r>
      <w:r>
        <w:rPr>
          <w:spacing w:val="-80"/>
        </w:rPr>
      </w:r>
      <w:r>
        <w:rPr>
          <w:spacing w:val="-1"/>
        </w:rPr>
        <w:t>生工具。本集团在初始确认时确定金融资产的分类。金融资产在初始确认时以公允价值计</w:t>
      </w:r>
      <w:r>
        <w:rPr>
          <w:spacing w:val="-79"/>
        </w:rPr>
        <w:t> </w:t>
      </w:r>
      <w:r>
        <w:rPr>
          <w:spacing w:val="-79"/>
        </w:rPr>
      </w:r>
      <w:r>
        <w:rPr>
          <w:spacing w:val="-1"/>
        </w:rPr>
        <w:t>量。对于以公允价值计量且其变动计入当期损益的金融资产，相关交易费用直接计入当期</w:t>
      </w:r>
      <w:r>
        <w:rPr>
          <w:spacing w:val="-80"/>
        </w:rPr>
        <w:t> </w:t>
      </w:r>
      <w:r>
        <w:rPr>
          <w:spacing w:val="-80"/>
        </w:rPr>
      </w:r>
      <w:r>
        <w:rPr/>
        <w:t>损益，其他类别的金融资产相关交易费用计入其初始确认金额。</w:t>
      </w:r>
    </w:p>
    <w:p>
      <w:pPr>
        <w:spacing w:line="240" w:lineRule="auto" w:before="7"/>
        <w:rPr>
          <w:rFonts w:ascii="黑体" w:hAnsi="黑体" w:cs="黑体" w:eastAsia="黑体" w:hint="default"/>
          <w:sz w:val="23"/>
          <w:szCs w:val="23"/>
        </w:rPr>
      </w:pPr>
    </w:p>
    <w:p>
      <w:pPr>
        <w:pStyle w:val="BodyText"/>
        <w:spacing w:line="240" w:lineRule="auto"/>
        <w:ind w:right="114"/>
        <w:jc w:val="left"/>
      </w:pPr>
      <w:r>
        <w:rPr/>
        <w:t>金融资产的后续计量取决于其分类：</w:t>
      </w:r>
    </w:p>
    <w:p>
      <w:pPr>
        <w:spacing w:line="240" w:lineRule="auto" w:before="8"/>
        <w:rPr>
          <w:rFonts w:ascii="黑体" w:hAnsi="黑体" w:cs="黑体" w:eastAsia="黑体" w:hint="default"/>
          <w:sz w:val="19"/>
          <w:szCs w:val="19"/>
        </w:rPr>
      </w:pPr>
    </w:p>
    <w:p>
      <w:pPr>
        <w:pStyle w:val="BodyText"/>
        <w:spacing w:line="273" w:lineRule="auto"/>
        <w:ind w:right="114"/>
        <w:jc w:val="left"/>
      </w:pPr>
      <w:r>
        <w:rPr>
          <w:rFonts w:ascii="黑体" w:hAnsi="黑体" w:cs="黑体" w:eastAsia="黑体" w:hint="default"/>
          <w:i/>
          <w:sz w:val="21"/>
          <w:szCs w:val="21"/>
        </w:rPr>
        <w:t>以公允价值计量且其变动计入当期损益的金融资产</w:t>
      </w:r>
      <w:r>
        <w:rPr>
          <w:rFonts w:ascii="黑体" w:hAnsi="黑体" w:cs="黑体" w:eastAsia="黑体" w:hint="default"/>
          <w:i/>
          <w:w w:val="95"/>
          <w:sz w:val="21"/>
          <w:szCs w:val="21"/>
        </w:rPr>
        <w:t> </w:t>
      </w:r>
      <w:r>
        <w:rPr>
          <w:spacing w:val="-1"/>
        </w:rPr>
        <w:t>以公允价值计量且其变动计入当期损益的金融资产，包括交易性金融资产和初始确认时指</w:t>
      </w:r>
      <w:r>
        <w:rPr>
          <w:spacing w:val="-80"/>
        </w:rPr>
        <w:t> </w:t>
      </w:r>
      <w:r>
        <w:rPr>
          <w:spacing w:val="-80"/>
        </w:rPr>
      </w:r>
      <w:r>
        <w:rPr>
          <w:spacing w:val="-1"/>
        </w:rPr>
        <w:t>定为以公允价值计量且其变动计入当期损益的金融资产。交易性金融资产，是指满足下列</w:t>
      </w:r>
      <w:r>
        <w:rPr>
          <w:spacing w:val="-80"/>
        </w:rPr>
        <w:t> </w:t>
      </w:r>
      <w:r>
        <w:rPr>
          <w:spacing w:val="-80"/>
        </w:rPr>
      </w:r>
      <w:r>
        <w:rPr>
          <w:spacing w:val="-1"/>
        </w:rPr>
        <w:t>条件之一的金融资产：取得该金融资产的目的是为了在短期内出售；属于进行集中管理的</w:t>
      </w:r>
      <w:r>
        <w:rPr>
          <w:spacing w:val="-79"/>
        </w:rPr>
        <w:t> </w:t>
      </w:r>
      <w:r>
        <w:rPr>
          <w:spacing w:val="-79"/>
        </w:rPr>
      </w:r>
      <w:r>
        <w:rPr>
          <w:spacing w:val="-1"/>
        </w:rPr>
        <w:t>可辨认金融工具组合的一部分，且有客观证据表明企业近期采用短期获利方式对该组合进</w:t>
      </w:r>
      <w:r>
        <w:rPr>
          <w:spacing w:val="-80"/>
        </w:rPr>
        <w:t> </w:t>
      </w:r>
      <w:r>
        <w:rPr>
          <w:spacing w:val="-80"/>
        </w:rPr>
      </w:r>
      <w:r>
        <w:rPr>
          <w:spacing w:val="-1"/>
        </w:rPr>
        <w:t>行管理；属于衍生工具，但是，被指定且为有效套期工具的衍生工具、属于财务担保合同</w:t>
      </w:r>
      <w:r>
        <w:rPr>
          <w:spacing w:val="-81"/>
        </w:rPr>
        <w:t> </w:t>
      </w:r>
      <w:r>
        <w:rPr>
          <w:spacing w:val="-81"/>
        </w:rPr>
      </w:r>
      <w:r>
        <w:rPr>
          <w:spacing w:val="-1"/>
        </w:rPr>
        <w:t>的衍生工具、与在活跃市场中没有报价且其公允价值不能可靠计量的权益工具投资挂钩并</w:t>
      </w:r>
      <w:r>
        <w:rPr>
          <w:spacing w:val="-80"/>
        </w:rPr>
        <w:t> </w:t>
      </w:r>
      <w:r>
        <w:rPr>
          <w:spacing w:val="-80"/>
        </w:rPr>
      </w:r>
      <w:r>
        <w:rPr>
          <w:spacing w:val="-1"/>
        </w:rPr>
        <w:t>须通过交付该权益工具结算的衍生工具除外。对于此类金融资产，采用公允价值进行后续</w:t>
      </w:r>
      <w:r>
        <w:rPr>
          <w:spacing w:val="-79"/>
        </w:rPr>
        <w:t> </w:t>
      </w:r>
      <w:r>
        <w:rPr>
          <w:spacing w:val="-79"/>
        </w:rPr>
      </w:r>
      <w:r>
        <w:rPr>
          <w:spacing w:val="-1"/>
        </w:rPr>
        <w:t>计量，所有已实现和未实现的损益均计入当期损益。与以公允价值计量且其变动计入当期</w:t>
      </w:r>
      <w:r>
        <w:rPr>
          <w:spacing w:val="-79"/>
        </w:rPr>
        <w:t> </w:t>
      </w:r>
      <w:r>
        <w:rPr>
          <w:spacing w:val="-79"/>
        </w:rPr>
      </w:r>
      <w:r>
        <w:rPr/>
        <w:t>损益的金融资产相关的股利或利息收入，计入当期损益。</w:t>
      </w:r>
    </w:p>
    <w:p>
      <w:pPr>
        <w:spacing w:after="0" w:line="273" w:lineRule="auto"/>
        <w:jc w:val="left"/>
        <w:sectPr>
          <w:pgSz w:w="11910" w:h="16840"/>
          <w:pgMar w:header="958" w:footer="473" w:top="2380" w:bottom="660" w:left="1600" w:right="1480"/>
        </w:sect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23"/>
          <w:szCs w:val="23"/>
        </w:rPr>
      </w:pPr>
    </w:p>
    <w:p>
      <w:pPr>
        <w:tabs>
          <w:tab w:pos="821"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1"/>
        <w:rPr>
          <w:rFonts w:ascii="黑体" w:hAnsi="黑体" w:cs="黑体" w:eastAsia="黑体" w:hint="default"/>
          <w:b/>
          <w:bCs/>
          <w:sz w:val="24"/>
          <w:szCs w:val="24"/>
        </w:rPr>
      </w:pPr>
    </w:p>
    <w:p>
      <w:pPr>
        <w:tabs>
          <w:tab w:pos="821" w:val="left" w:leader="none"/>
        </w:tabs>
        <w:spacing w:line="460" w:lineRule="auto" w:before="0"/>
        <w:ind w:left="815" w:right="5605" w:hanging="715"/>
        <w:jc w:val="left"/>
        <w:rPr>
          <w:rFonts w:ascii="黑体" w:hAnsi="黑体" w:cs="黑体" w:eastAsia="黑体" w:hint="default"/>
          <w:sz w:val="20"/>
          <w:szCs w:val="20"/>
        </w:rPr>
      </w:pPr>
      <w:r>
        <w:rPr>
          <w:rFonts w:ascii="Arial" w:hAnsi="Arial" w:cs="Arial" w:eastAsia="Arial" w:hint="default"/>
          <w:b/>
          <w:bCs/>
          <w:spacing w:val="-1"/>
          <w:sz w:val="20"/>
          <w:szCs w:val="20"/>
        </w:rPr>
        <w:t>9.</w:t>
        <w:tab/>
        <w:tab/>
      </w:r>
      <w:r>
        <w:rPr>
          <w:rFonts w:ascii="黑体" w:hAnsi="黑体" w:cs="黑体" w:eastAsia="黑体" w:hint="default"/>
          <w:b/>
          <w:bCs/>
          <w:sz w:val="20"/>
          <w:szCs w:val="20"/>
        </w:rPr>
        <w:t>金融工具（续）</w:t>
      </w:r>
      <w:r>
        <w:rPr>
          <w:rFonts w:ascii="黑体" w:hAnsi="黑体" w:cs="黑体" w:eastAsia="黑体" w:hint="default"/>
          <w:b/>
          <w:bCs/>
          <w:w w:val="99"/>
          <w:sz w:val="20"/>
          <w:szCs w:val="20"/>
        </w:rPr>
        <w:t> </w:t>
      </w:r>
      <w:r>
        <w:rPr>
          <w:rFonts w:ascii="黑体" w:hAnsi="黑体" w:cs="黑体" w:eastAsia="黑体" w:hint="default"/>
          <w:w w:val="100"/>
          <w:sz w:val="20"/>
          <w:szCs w:val="20"/>
        </w:rPr>
      </w:r>
      <w:r>
        <w:rPr>
          <w:rFonts w:ascii="黑体" w:hAnsi="黑体" w:cs="黑体" w:eastAsia="黑体" w:hint="default"/>
          <w:sz w:val="20"/>
          <w:szCs w:val="20"/>
          <w:u w:val="single" w:color="000000"/>
        </w:rPr>
        <w:t>金融资产分类和计量</w:t>
      </w:r>
      <w:r>
        <w:rPr>
          <w:rFonts w:ascii="黑体" w:hAnsi="黑体" w:cs="黑体" w:eastAsia="黑体" w:hint="default"/>
          <w:sz w:val="20"/>
          <w:szCs w:val="20"/>
        </w:rPr>
        <w:t>（续）</w:t>
      </w:r>
    </w:p>
    <w:p>
      <w:pPr>
        <w:pStyle w:val="BodyText"/>
        <w:spacing w:line="273" w:lineRule="auto" w:before="26"/>
        <w:ind w:right="114" w:firstLine="6"/>
        <w:jc w:val="left"/>
      </w:pPr>
      <w:r>
        <w:rPr>
          <w:rFonts w:ascii="黑体" w:hAnsi="黑体" w:cs="黑体" w:eastAsia="黑体" w:hint="default"/>
          <w:i/>
          <w:sz w:val="21"/>
          <w:szCs w:val="21"/>
        </w:rPr>
        <w:t>持有至到期投资</w:t>
      </w:r>
      <w:r>
        <w:rPr>
          <w:rFonts w:ascii="黑体" w:hAnsi="黑体" w:cs="黑体" w:eastAsia="黑体" w:hint="default"/>
          <w:i/>
          <w:w w:val="95"/>
          <w:sz w:val="21"/>
          <w:szCs w:val="21"/>
        </w:rPr>
        <w:t> </w:t>
      </w:r>
      <w:r>
        <w:rPr>
          <w:spacing w:val="-1"/>
        </w:rPr>
        <w:t>持有至到期投资，是指到期日固定、回收金额固定或可确定，且本集团有明确意图和能力</w:t>
      </w:r>
      <w:r>
        <w:rPr>
          <w:spacing w:val="-83"/>
        </w:rPr>
        <w:t> </w:t>
      </w:r>
      <w:r>
        <w:rPr>
          <w:spacing w:val="-83"/>
        </w:rPr>
      </w:r>
      <w:r>
        <w:rPr>
          <w:spacing w:val="-1"/>
        </w:rPr>
        <w:t>持有至到期的非衍生金融资产。对于此类金融资产，采用实际利率法，按照摊余成本进行</w:t>
      </w:r>
      <w:r>
        <w:rPr>
          <w:spacing w:val="-82"/>
        </w:rPr>
        <w:t> </w:t>
      </w:r>
      <w:r>
        <w:rPr>
          <w:spacing w:val="-82"/>
        </w:rPr>
      </w:r>
      <w:r>
        <w:rPr/>
        <w:t>后续计量，其摊销或减值以及终止确认产生的利得或损失，均计入当期损益。</w:t>
      </w:r>
    </w:p>
    <w:p>
      <w:pPr>
        <w:spacing w:line="240" w:lineRule="auto" w:before="7"/>
        <w:rPr>
          <w:rFonts w:ascii="黑体" w:hAnsi="黑体" w:cs="黑体" w:eastAsia="黑体" w:hint="default"/>
          <w:sz w:val="17"/>
          <w:szCs w:val="17"/>
        </w:rPr>
      </w:pPr>
    </w:p>
    <w:p>
      <w:pPr>
        <w:pStyle w:val="BodyText"/>
        <w:spacing w:line="273" w:lineRule="auto"/>
        <w:ind w:right="114"/>
        <w:jc w:val="left"/>
      </w:pPr>
      <w:r>
        <w:rPr>
          <w:rFonts w:ascii="黑体" w:hAnsi="黑体" w:cs="黑体" w:eastAsia="黑体" w:hint="default"/>
          <w:i/>
          <w:sz w:val="21"/>
          <w:szCs w:val="21"/>
        </w:rPr>
        <w:t>贷款和应收款项</w:t>
      </w:r>
      <w:r>
        <w:rPr>
          <w:rFonts w:ascii="黑体" w:hAnsi="黑体" w:cs="黑体" w:eastAsia="黑体" w:hint="default"/>
          <w:i/>
          <w:w w:val="95"/>
          <w:sz w:val="21"/>
          <w:szCs w:val="21"/>
        </w:rPr>
        <w:t> </w:t>
      </w:r>
      <w:r>
        <w:rPr>
          <w:spacing w:val="-4"/>
        </w:rPr>
        <w:t>贷款和应收款项，是指在活跃市场中没有报价、回收金额固定或可确定的非衍生金融资产。</w:t>
      </w:r>
      <w:r>
        <w:rPr>
          <w:spacing w:val="-58"/>
        </w:rPr>
        <w:t> </w:t>
      </w:r>
      <w:r>
        <w:rPr>
          <w:spacing w:val="-58"/>
        </w:rPr>
      </w:r>
      <w:r>
        <w:rPr/>
        <w:t>对于此类金融资产，采用实际利率法，按照摊余成本进行后续计量，其摊销或减值产生的</w:t>
      </w:r>
      <w:r>
        <w:rPr>
          <w:w w:val="100"/>
        </w:rPr>
        <w:t> </w:t>
      </w:r>
      <w:r>
        <w:rPr/>
        <w:t>利得或损失，均计入当期损益。</w:t>
      </w:r>
    </w:p>
    <w:p>
      <w:pPr>
        <w:spacing w:line="240" w:lineRule="auto" w:before="7"/>
        <w:rPr>
          <w:rFonts w:ascii="黑体" w:hAnsi="黑体" w:cs="黑体" w:eastAsia="黑体" w:hint="default"/>
          <w:sz w:val="17"/>
          <w:szCs w:val="17"/>
        </w:rPr>
      </w:pPr>
    </w:p>
    <w:p>
      <w:pPr>
        <w:pStyle w:val="BodyText"/>
        <w:spacing w:line="273" w:lineRule="auto"/>
        <w:ind w:right="114" w:hanging="5"/>
        <w:jc w:val="left"/>
      </w:pPr>
      <w:r>
        <w:rPr>
          <w:rFonts w:ascii="黑体" w:hAnsi="黑体" w:cs="黑体" w:eastAsia="黑体" w:hint="default"/>
          <w:i/>
          <w:sz w:val="21"/>
          <w:szCs w:val="21"/>
        </w:rPr>
        <w:t>可供出售金融资产</w:t>
      </w:r>
      <w:r>
        <w:rPr>
          <w:rFonts w:ascii="黑体" w:hAnsi="黑体" w:cs="黑体" w:eastAsia="黑体" w:hint="default"/>
          <w:i/>
          <w:w w:val="95"/>
          <w:sz w:val="21"/>
          <w:szCs w:val="21"/>
        </w:rPr>
        <w:t> </w:t>
      </w:r>
      <w:r>
        <w:rPr/>
        <w:t>可供出售金融资产，是指初始确认时即指定为可供出售的非衍生金融资产，以及除上述金</w:t>
      </w:r>
      <w:r>
        <w:rPr>
          <w:w w:val="100"/>
        </w:rPr>
        <w:t> </w:t>
      </w:r>
      <w:r>
        <w:rPr/>
        <w:t>融资产类别以外的金融资产。对于此类金融资产，采用公允价值进行后续计量。其折价或</w:t>
      </w:r>
      <w:r>
        <w:rPr>
          <w:w w:val="100"/>
        </w:rPr>
        <w:t> </w:t>
      </w:r>
      <w:r>
        <w:rPr/>
        <w:t>溢价采用实际利率法进行摊销并确认为利息收入或费用。除减值损失及外币货币性金融资</w:t>
      </w:r>
      <w:r>
        <w:rPr>
          <w:w w:val="100"/>
        </w:rPr>
        <w:t> </w:t>
      </w:r>
      <w:r>
        <w:rPr/>
        <w:t>产的汇兑差额确认为当期损益外，可供出售金融资产的公允价值变动作为其他综合收益于</w:t>
      </w:r>
      <w:r>
        <w:rPr>
          <w:w w:val="100"/>
        </w:rPr>
        <w:t> </w:t>
      </w:r>
      <w:r>
        <w:rPr>
          <w:spacing w:val="-4"/>
        </w:rPr>
        <w:t>资本公积确认，直到该金融资产终止确认或发生减值时，其累计利得或损失转入当期损益。</w:t>
      </w:r>
      <w:r>
        <w:rPr>
          <w:spacing w:val="-63"/>
        </w:rPr>
        <w:t> </w:t>
      </w:r>
      <w:r>
        <w:rPr>
          <w:spacing w:val="-63"/>
        </w:rPr>
      </w:r>
      <w:r>
        <w:rPr/>
        <w:t>与可供出售金融资产相关的股利或利息收入，计入当期损益。</w:t>
      </w:r>
    </w:p>
    <w:p>
      <w:pPr>
        <w:spacing w:line="240" w:lineRule="auto" w:before="4"/>
        <w:rPr>
          <w:rFonts w:ascii="黑体" w:hAnsi="黑体" w:cs="黑体" w:eastAsia="黑体" w:hint="default"/>
          <w:sz w:val="18"/>
          <w:szCs w:val="18"/>
        </w:rPr>
      </w:pPr>
    </w:p>
    <w:p>
      <w:pPr>
        <w:pStyle w:val="BodyText"/>
        <w:spacing w:line="240" w:lineRule="auto"/>
        <w:ind w:left="821" w:right="114"/>
        <w:jc w:val="left"/>
      </w:pPr>
      <w:r>
        <w:rPr/>
        <w:t>对于在活跃市场中没有报价且其公允价值不能可靠计量的权益工具投资，按成本计量。</w:t>
      </w:r>
    </w:p>
    <w:p>
      <w:pPr>
        <w:spacing w:line="240" w:lineRule="auto" w:before="7"/>
        <w:rPr>
          <w:rFonts w:ascii="黑体" w:hAnsi="黑体" w:cs="黑体" w:eastAsia="黑体" w:hint="default"/>
          <w:sz w:val="20"/>
          <w:szCs w:val="20"/>
        </w:rPr>
      </w:pPr>
    </w:p>
    <w:p>
      <w:pPr>
        <w:pStyle w:val="BodyText"/>
        <w:spacing w:line="276" w:lineRule="auto"/>
        <w:ind w:right="215"/>
        <w:jc w:val="both"/>
      </w:pPr>
      <w:r>
        <w:rPr>
          <w:spacing w:val="-1"/>
        </w:rPr>
        <w:t>本集团的金融负债于初始确认时分类为：以公允价值计量且其变动计入当期损益的金融负</w:t>
      </w:r>
      <w:r>
        <w:rPr>
          <w:spacing w:val="-80"/>
        </w:rPr>
        <w:t> </w:t>
      </w:r>
      <w:r>
        <w:rPr>
          <w:spacing w:val="-80"/>
        </w:rPr>
      </w:r>
      <w:r>
        <w:rPr>
          <w:spacing w:val="-1"/>
        </w:rPr>
        <w:t>债、其他金融负债、被指定为有效套期工具的衍生工具。本集团在初始确认时确定金融负</w:t>
      </w:r>
      <w:r>
        <w:rPr>
          <w:spacing w:val="-83"/>
        </w:rPr>
        <w:t> </w:t>
      </w:r>
      <w:r>
        <w:rPr>
          <w:spacing w:val="-83"/>
        </w:rPr>
      </w:r>
      <w:r>
        <w:rPr>
          <w:spacing w:val="-1"/>
        </w:rPr>
        <w:t>债的分类。对于以公允价值计量且其变动计入当期损益的金融负债，相关交易费用直接计</w:t>
      </w:r>
      <w:r>
        <w:rPr>
          <w:spacing w:val="-78"/>
        </w:rPr>
        <w:t> </w:t>
      </w:r>
      <w:r>
        <w:rPr>
          <w:spacing w:val="-78"/>
        </w:rPr>
      </w:r>
      <w:r>
        <w:rPr/>
        <w:t>入当期损益，其他金融负债的相关交易费用计入其初始确认金额。</w:t>
      </w:r>
    </w:p>
    <w:p>
      <w:pPr>
        <w:spacing w:line="240" w:lineRule="auto" w:before="3"/>
        <w:rPr>
          <w:rFonts w:ascii="黑体" w:hAnsi="黑体" w:cs="黑体" w:eastAsia="黑体" w:hint="default"/>
          <w:sz w:val="18"/>
          <w:szCs w:val="18"/>
        </w:rPr>
      </w:pPr>
    </w:p>
    <w:p>
      <w:pPr>
        <w:pStyle w:val="BodyText"/>
        <w:spacing w:line="240" w:lineRule="auto"/>
        <w:ind w:right="114"/>
        <w:jc w:val="left"/>
      </w:pPr>
      <w:r>
        <w:rPr/>
        <w:t>金融负债的后续计量取决于其分类：</w:t>
      </w:r>
    </w:p>
    <w:p>
      <w:pPr>
        <w:spacing w:line="240" w:lineRule="auto" w:before="8"/>
        <w:rPr>
          <w:rFonts w:ascii="黑体" w:hAnsi="黑体" w:cs="黑体" w:eastAsia="黑体" w:hint="default"/>
          <w:sz w:val="19"/>
          <w:szCs w:val="19"/>
        </w:rPr>
      </w:pPr>
    </w:p>
    <w:p>
      <w:pPr>
        <w:pStyle w:val="BodyText"/>
        <w:spacing w:line="273" w:lineRule="auto"/>
        <w:ind w:right="114"/>
        <w:jc w:val="left"/>
      </w:pPr>
      <w:r>
        <w:rPr>
          <w:rFonts w:ascii="黑体" w:hAnsi="黑体" w:cs="黑体" w:eastAsia="黑体" w:hint="default"/>
          <w:i/>
          <w:sz w:val="21"/>
          <w:szCs w:val="21"/>
        </w:rPr>
        <w:t>以公允价值计量且其变动计入当期损益的金融负债</w:t>
      </w:r>
      <w:r>
        <w:rPr>
          <w:rFonts w:ascii="黑体" w:hAnsi="黑体" w:cs="黑体" w:eastAsia="黑体" w:hint="default"/>
          <w:i/>
          <w:w w:val="95"/>
          <w:sz w:val="21"/>
          <w:szCs w:val="21"/>
        </w:rPr>
        <w:t> </w:t>
      </w:r>
      <w:r>
        <w:rPr>
          <w:spacing w:val="-1"/>
        </w:rPr>
        <w:t>以公允价值计量且其变动计入当期损益的金融负债，包括交易性金融负债和初始确认时指</w:t>
      </w:r>
      <w:r>
        <w:rPr>
          <w:spacing w:val="-80"/>
        </w:rPr>
        <w:t> </w:t>
      </w:r>
      <w:r>
        <w:rPr>
          <w:spacing w:val="-80"/>
        </w:rPr>
      </w:r>
      <w:r>
        <w:rPr>
          <w:spacing w:val="-1"/>
        </w:rPr>
        <w:t>定为以公允价值计量且其变动计入当期损益的金融负债。交易性金融负债，是指满足下列</w:t>
      </w:r>
      <w:r>
        <w:rPr>
          <w:spacing w:val="-80"/>
        </w:rPr>
        <w:t> </w:t>
      </w:r>
      <w:r>
        <w:rPr>
          <w:spacing w:val="-80"/>
        </w:rPr>
      </w:r>
      <w:r>
        <w:rPr>
          <w:spacing w:val="-1"/>
        </w:rPr>
        <w:t>条件之一的金融负债：承担该金融负债的目的是为了在近期内回购；属于进行集中管理的</w:t>
      </w:r>
      <w:r>
        <w:rPr>
          <w:spacing w:val="-79"/>
        </w:rPr>
        <w:t> </w:t>
      </w:r>
      <w:r>
        <w:rPr>
          <w:spacing w:val="-79"/>
        </w:rPr>
      </w:r>
      <w:r>
        <w:rPr>
          <w:spacing w:val="-1"/>
        </w:rPr>
        <w:t>可辨认金融工具组合的一部分，且有客观证据表明企业近期采用短期获利方式对该组合进</w:t>
      </w:r>
      <w:r>
        <w:rPr>
          <w:spacing w:val="-80"/>
        </w:rPr>
        <w:t> </w:t>
      </w:r>
      <w:r>
        <w:rPr>
          <w:spacing w:val="-80"/>
        </w:rPr>
      </w:r>
      <w:r>
        <w:rPr>
          <w:spacing w:val="-1"/>
        </w:rPr>
        <w:t>行管理；属于衍生工具，但是，被指定且为有效套期工具的衍生工具、属于财务担保合同</w:t>
      </w:r>
      <w:r>
        <w:rPr>
          <w:spacing w:val="-81"/>
        </w:rPr>
        <w:t> </w:t>
      </w:r>
      <w:r>
        <w:rPr>
          <w:spacing w:val="-81"/>
        </w:rPr>
      </w:r>
      <w:r>
        <w:rPr>
          <w:spacing w:val="-1"/>
        </w:rPr>
        <w:t>的衍生工具、与在活跃市场中没有报价且其公允价值不能可靠计量的权益工具投资挂钩并</w:t>
      </w:r>
      <w:r>
        <w:rPr>
          <w:spacing w:val="-80"/>
        </w:rPr>
        <w:t> </w:t>
      </w:r>
      <w:r>
        <w:rPr>
          <w:spacing w:val="-80"/>
        </w:rPr>
      </w:r>
      <w:r>
        <w:rPr>
          <w:spacing w:val="-1"/>
        </w:rPr>
        <w:t>须通过交付该权益工具结算的衍生工具除外。对于此类金融负债，按照公允价值进行后续</w:t>
      </w:r>
      <w:r>
        <w:rPr>
          <w:spacing w:val="-79"/>
        </w:rPr>
        <w:t> </w:t>
      </w:r>
      <w:r>
        <w:rPr>
          <w:spacing w:val="-79"/>
        </w:rPr>
      </w:r>
      <w:r>
        <w:rPr/>
        <w:t>计量，所有已实现和未实现的损益均计入当期损益。</w:t>
      </w:r>
    </w:p>
    <w:p>
      <w:pPr>
        <w:spacing w:line="240" w:lineRule="auto" w:before="2"/>
        <w:rPr>
          <w:rFonts w:ascii="黑体" w:hAnsi="黑体" w:cs="黑体" w:eastAsia="黑体" w:hint="default"/>
          <w:sz w:val="16"/>
          <w:szCs w:val="16"/>
        </w:rPr>
      </w:pPr>
    </w:p>
    <w:p>
      <w:pPr>
        <w:spacing w:line="273" w:lineRule="exact" w:before="0"/>
        <w:ind w:left="810" w:right="114" w:firstLine="0"/>
        <w:jc w:val="left"/>
        <w:rPr>
          <w:rFonts w:ascii="黑体" w:hAnsi="黑体" w:cs="黑体" w:eastAsia="黑体" w:hint="default"/>
          <w:sz w:val="21"/>
          <w:szCs w:val="21"/>
        </w:rPr>
      </w:pPr>
      <w:r>
        <w:rPr>
          <w:rFonts w:ascii="黑体" w:hAnsi="黑体" w:cs="黑体" w:eastAsia="黑体" w:hint="default"/>
          <w:i/>
          <w:sz w:val="21"/>
          <w:szCs w:val="21"/>
        </w:rPr>
        <w:t>其他金融负债</w:t>
      </w:r>
      <w:r>
        <w:rPr>
          <w:rFonts w:ascii="黑体" w:hAnsi="黑体" w:cs="黑体" w:eastAsia="黑体" w:hint="default"/>
          <w:sz w:val="21"/>
          <w:szCs w:val="21"/>
        </w:rPr>
      </w:r>
    </w:p>
    <w:p>
      <w:pPr>
        <w:pStyle w:val="BodyText"/>
        <w:spacing w:line="260" w:lineRule="exact"/>
        <w:ind w:left="810" w:right="114"/>
        <w:jc w:val="left"/>
      </w:pPr>
      <w:r>
        <w:rPr/>
        <w:t>对于此类金融负债，采用实际利率法，按照摊余成本进行后续计量。</w:t>
      </w:r>
    </w:p>
    <w:p>
      <w:pPr>
        <w:spacing w:after="0" w:line="260" w:lineRule="exact"/>
        <w:jc w:val="left"/>
        <w:sectPr>
          <w:pgSz w:w="11910" w:h="16840"/>
          <w:pgMar w:header="958" w:footer="473" w:top="2380" w:bottom="660" w:left="1600" w:right="1480"/>
        </w:sectPr>
      </w:pPr>
    </w:p>
    <w:p>
      <w:pPr>
        <w:spacing w:line="240" w:lineRule="auto" w:before="7"/>
        <w:rPr>
          <w:rFonts w:ascii="黑体" w:hAnsi="黑体" w:cs="黑体" w:eastAsia="黑体" w:hint="default"/>
          <w:sz w:val="25"/>
          <w:szCs w:val="25"/>
        </w:rPr>
      </w:pPr>
    </w:p>
    <w:p>
      <w:pPr>
        <w:tabs>
          <w:tab w:pos="810"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4"/>
        <w:rPr>
          <w:rFonts w:ascii="黑体" w:hAnsi="黑体" w:cs="黑体" w:eastAsia="黑体" w:hint="default"/>
          <w:b/>
          <w:bCs/>
          <w:sz w:val="24"/>
          <w:szCs w:val="24"/>
        </w:rPr>
      </w:pPr>
    </w:p>
    <w:p>
      <w:pPr>
        <w:tabs>
          <w:tab w:pos="821" w:val="left" w:leader="none"/>
        </w:tabs>
        <w:spacing w:line="520" w:lineRule="auto" w:before="0"/>
        <w:ind w:left="810" w:right="6130" w:hanging="710"/>
        <w:jc w:val="left"/>
        <w:rPr>
          <w:rFonts w:ascii="黑体" w:hAnsi="黑体" w:cs="黑体" w:eastAsia="黑体" w:hint="default"/>
          <w:sz w:val="20"/>
          <w:szCs w:val="20"/>
        </w:rPr>
      </w:pPr>
      <w:r>
        <w:rPr>
          <w:rFonts w:ascii="Arial" w:hAnsi="Arial" w:cs="Arial" w:eastAsia="Arial" w:hint="default"/>
          <w:b/>
          <w:bCs/>
          <w:spacing w:val="-1"/>
          <w:sz w:val="20"/>
          <w:szCs w:val="20"/>
        </w:rPr>
        <w:t>9.</w:t>
        <w:tab/>
        <w:tab/>
      </w:r>
      <w:r>
        <w:rPr>
          <w:rFonts w:ascii="黑体" w:hAnsi="黑体" w:cs="黑体" w:eastAsia="黑体" w:hint="default"/>
          <w:b/>
          <w:bCs/>
          <w:sz w:val="20"/>
          <w:szCs w:val="20"/>
        </w:rPr>
        <w:t>金融工具（续）</w:t>
      </w:r>
      <w:r>
        <w:rPr>
          <w:rFonts w:ascii="黑体" w:hAnsi="黑体" w:cs="黑体" w:eastAsia="黑体" w:hint="default"/>
          <w:b/>
          <w:bCs/>
          <w:w w:val="99"/>
          <w:sz w:val="20"/>
          <w:szCs w:val="20"/>
        </w:rPr>
        <w:t> </w:t>
      </w:r>
      <w:r>
        <w:rPr>
          <w:rFonts w:ascii="黑体" w:hAnsi="黑体" w:cs="黑体" w:eastAsia="黑体" w:hint="default"/>
          <w:w w:val="100"/>
          <w:sz w:val="20"/>
          <w:szCs w:val="20"/>
        </w:rPr>
      </w:r>
      <w:r>
        <w:rPr>
          <w:rFonts w:ascii="黑体" w:hAnsi="黑体" w:cs="黑体" w:eastAsia="黑体" w:hint="default"/>
          <w:sz w:val="20"/>
          <w:szCs w:val="20"/>
          <w:u w:val="single" w:color="000000"/>
        </w:rPr>
        <w:t>金融工具的公允价值</w:t>
      </w:r>
      <w:r>
        <w:rPr>
          <w:rFonts w:ascii="黑体" w:hAnsi="黑体" w:cs="黑体" w:eastAsia="黑体" w:hint="default"/>
          <w:sz w:val="20"/>
          <w:szCs w:val="20"/>
        </w:rPr>
      </w:r>
    </w:p>
    <w:p>
      <w:pPr>
        <w:pStyle w:val="BodyText"/>
        <w:spacing w:line="276" w:lineRule="auto" w:before="104"/>
        <w:ind w:right="135"/>
        <w:jc w:val="both"/>
      </w:pPr>
      <w:r>
        <w:rPr>
          <w:spacing w:val="-1"/>
        </w:rPr>
        <w:t>存在活跃市场的金融资产或金融负债，采用活跃市场中的报价确定其公允价值。金融工具</w:t>
      </w:r>
      <w:r>
        <w:rPr>
          <w:spacing w:val="-78"/>
        </w:rPr>
        <w:t> </w:t>
      </w:r>
      <w:r>
        <w:rPr>
          <w:spacing w:val="-78"/>
        </w:rPr>
      </w:r>
      <w:r>
        <w:rPr>
          <w:spacing w:val="-1"/>
        </w:rPr>
        <w:t>不存在活跃市场的，本集团采用估值技术确定其公允价值，估值技术包括参考熟悉情况并</w:t>
      </w:r>
      <w:r>
        <w:rPr>
          <w:spacing w:val="-80"/>
        </w:rPr>
        <w:t> </w:t>
      </w:r>
      <w:r>
        <w:rPr>
          <w:spacing w:val="-80"/>
        </w:rPr>
      </w:r>
      <w:r>
        <w:rPr>
          <w:spacing w:val="-1"/>
        </w:rPr>
        <w:t>自愿交易的各方最近进行的市场交易中使用的价格、参照实质上相同的其他金融工具的当</w:t>
      </w:r>
      <w:r>
        <w:rPr>
          <w:spacing w:val="-80"/>
        </w:rPr>
        <w:t> </w:t>
      </w:r>
      <w:r>
        <w:rPr>
          <w:spacing w:val="-80"/>
        </w:rPr>
      </w:r>
      <w:r>
        <w:rPr/>
        <w:t>前公允价值、现金流量折现法和期权定价模型等。</w:t>
      </w:r>
    </w:p>
    <w:p>
      <w:pPr>
        <w:spacing w:line="240" w:lineRule="auto" w:before="7"/>
        <w:rPr>
          <w:rFonts w:ascii="黑体" w:hAnsi="黑体" w:cs="黑体" w:eastAsia="黑体" w:hint="default"/>
          <w:sz w:val="23"/>
          <w:szCs w:val="23"/>
        </w:rPr>
      </w:pPr>
    </w:p>
    <w:p>
      <w:pPr>
        <w:pStyle w:val="BodyText"/>
        <w:spacing w:line="240" w:lineRule="auto"/>
        <w:ind w:left="810" w:right="0"/>
        <w:jc w:val="both"/>
      </w:pPr>
      <w:r>
        <w:rPr>
          <w:w w:val="100"/>
        </w:rPr>
      </w:r>
      <w:r>
        <w:rPr>
          <w:u w:val="single" w:color="000000"/>
        </w:rPr>
        <w:t>金融资产减值</w:t>
      </w:r>
      <w:r>
        <w:rPr/>
      </w:r>
    </w:p>
    <w:p>
      <w:pPr>
        <w:spacing w:line="240" w:lineRule="auto" w:before="12"/>
        <w:rPr>
          <w:rFonts w:ascii="黑体" w:hAnsi="黑体" w:cs="黑体" w:eastAsia="黑体" w:hint="default"/>
          <w:sz w:val="22"/>
          <w:szCs w:val="22"/>
        </w:rPr>
      </w:pPr>
    </w:p>
    <w:p>
      <w:pPr>
        <w:pStyle w:val="BodyText"/>
        <w:spacing w:line="276" w:lineRule="auto" w:before="38"/>
        <w:ind w:right="135"/>
        <w:jc w:val="both"/>
      </w:pPr>
      <w:r>
        <w:rPr>
          <w:spacing w:val="-1"/>
        </w:rPr>
        <w:t>本集团于资产负债表日对金融资产的账面价值进行检查，有客观证据表明该金融资产发生</w:t>
      </w:r>
      <w:r>
        <w:rPr>
          <w:spacing w:val="-81"/>
        </w:rPr>
        <w:t> </w:t>
      </w:r>
      <w:r>
        <w:rPr>
          <w:spacing w:val="-81"/>
        </w:rPr>
      </w:r>
      <w:r>
        <w:rPr>
          <w:spacing w:val="-1"/>
        </w:rPr>
        <w:t>减值的，计提减值准备。表明金融资产发生减值的客观证据，是指金融资产初始确认后实</w:t>
      </w:r>
      <w:r>
        <w:rPr>
          <w:spacing w:val="-82"/>
        </w:rPr>
        <w:t> </w:t>
      </w:r>
      <w:r>
        <w:rPr>
          <w:spacing w:val="-82"/>
        </w:rPr>
      </w:r>
      <w:r>
        <w:rPr>
          <w:spacing w:val="-1"/>
        </w:rPr>
        <w:t>际发生的、对该金融资产的预计未来现金流量有影响，且企业能够对该影响进行可靠计量</w:t>
      </w:r>
      <w:r>
        <w:rPr>
          <w:spacing w:val="-78"/>
        </w:rPr>
        <w:t> </w:t>
      </w:r>
      <w:r>
        <w:rPr>
          <w:spacing w:val="-78"/>
        </w:rPr>
      </w:r>
      <w:r>
        <w:rPr/>
        <w:t>的事项。</w:t>
      </w:r>
    </w:p>
    <w:p>
      <w:pPr>
        <w:spacing w:line="240" w:lineRule="auto" w:before="9"/>
        <w:rPr>
          <w:rFonts w:ascii="黑体" w:hAnsi="黑体" w:cs="黑体" w:eastAsia="黑体" w:hint="default"/>
          <w:sz w:val="22"/>
          <w:szCs w:val="22"/>
        </w:rPr>
      </w:pPr>
    </w:p>
    <w:p>
      <w:pPr>
        <w:pStyle w:val="BodyText"/>
        <w:spacing w:line="271" w:lineRule="auto"/>
        <w:ind w:right="0"/>
        <w:jc w:val="left"/>
      </w:pPr>
      <w:r>
        <w:rPr>
          <w:rFonts w:ascii="黑体" w:hAnsi="黑体" w:cs="黑体" w:eastAsia="黑体" w:hint="default"/>
          <w:i/>
          <w:sz w:val="21"/>
          <w:szCs w:val="21"/>
        </w:rPr>
        <w:t>以摊余成本计量的金融资产</w:t>
      </w:r>
      <w:r>
        <w:rPr>
          <w:rFonts w:ascii="黑体" w:hAnsi="黑体" w:cs="黑体" w:eastAsia="黑体" w:hint="default"/>
          <w:i/>
          <w:w w:val="95"/>
          <w:sz w:val="21"/>
          <w:szCs w:val="21"/>
        </w:rPr>
        <w:t> </w:t>
      </w:r>
      <w:r>
        <w:rPr>
          <w:spacing w:val="-1"/>
        </w:rPr>
        <w:t>如果有客观证据表明该金融资产发生减值，则将该金融资产的账面价值减记至预计未来现</w:t>
      </w:r>
      <w:r>
        <w:rPr>
          <w:spacing w:val="-81"/>
        </w:rPr>
        <w:t> </w:t>
      </w:r>
      <w:r>
        <w:rPr>
          <w:spacing w:val="-81"/>
        </w:rPr>
      </w:r>
      <w:r>
        <w:rPr/>
        <w:t>金流量</w:t>
      </w:r>
      <w:r>
        <w:rPr>
          <w:rFonts w:ascii="Arial" w:hAnsi="Arial" w:cs="Arial" w:eastAsia="Arial" w:hint="default"/>
        </w:rPr>
        <w:t>(</w:t>
      </w:r>
      <w:r>
        <w:rPr/>
        <w:t>不包括尚未发生的未来信用损失</w:t>
      </w:r>
      <w:r>
        <w:rPr>
          <w:rFonts w:ascii="Arial" w:hAnsi="Arial" w:cs="Arial" w:eastAsia="Arial" w:hint="default"/>
        </w:rPr>
        <w:t>)</w:t>
      </w:r>
      <w:r>
        <w:rPr/>
        <w:t>现值，减记金额计入当期损益。预计未来现金流</w:t>
      </w:r>
      <w:r>
        <w:rPr>
          <w:spacing w:val="-50"/>
        </w:rPr>
        <w:t> </w:t>
      </w:r>
      <w:r>
        <w:rPr>
          <w:spacing w:val="-50"/>
        </w:rPr>
      </w:r>
      <w:r>
        <w:rPr>
          <w:spacing w:val="-1"/>
        </w:rPr>
        <w:t>量现值，按照该金融资产原实际利率（即初始确认时确定的实际利率）折现确定，并考虑</w:t>
      </w:r>
      <w:r>
        <w:rPr>
          <w:spacing w:val="-79"/>
        </w:rPr>
        <w:t> </w:t>
      </w:r>
      <w:r>
        <w:rPr>
          <w:spacing w:val="-79"/>
        </w:rPr>
      </w:r>
      <w:r>
        <w:rPr>
          <w:spacing w:val="-1"/>
        </w:rPr>
        <w:t>相关担保物的价值。对于浮动利率，在计算未来现金流量现值时采用合同规定的现行实际</w:t>
      </w:r>
      <w:r>
        <w:rPr>
          <w:spacing w:val="-80"/>
        </w:rPr>
        <w:t> </w:t>
      </w:r>
      <w:r>
        <w:rPr>
          <w:spacing w:val="-80"/>
        </w:rPr>
      </w:r>
      <w:r>
        <w:rPr/>
        <w:t>利率作为折现率。</w:t>
      </w:r>
    </w:p>
    <w:p>
      <w:pPr>
        <w:spacing w:line="240" w:lineRule="auto" w:before="11"/>
        <w:rPr>
          <w:rFonts w:ascii="黑体" w:hAnsi="黑体" w:cs="黑体" w:eastAsia="黑体" w:hint="default"/>
          <w:sz w:val="23"/>
          <w:szCs w:val="23"/>
        </w:rPr>
      </w:pPr>
    </w:p>
    <w:p>
      <w:pPr>
        <w:pStyle w:val="BodyText"/>
        <w:spacing w:line="268" w:lineRule="auto"/>
        <w:ind w:right="134"/>
        <w:jc w:val="both"/>
      </w:pPr>
      <w:r>
        <w:rPr>
          <w:spacing w:val="-1"/>
        </w:rPr>
        <w:t>对单项金额重大的金融资产单独进行减值测试，如有客观证据表明其已发生减值，确认减</w:t>
      </w:r>
      <w:r>
        <w:rPr>
          <w:spacing w:val="-79"/>
        </w:rPr>
        <w:t> </w:t>
      </w:r>
      <w:r>
        <w:rPr>
          <w:spacing w:val="-79"/>
        </w:rPr>
      </w:r>
      <w:r>
        <w:rPr>
          <w:spacing w:val="-1"/>
        </w:rPr>
        <w:t>值损失，计入当期损益。对单项金额不重大的金融资产，包括在具有类似信用风险特征的</w:t>
      </w:r>
      <w:r>
        <w:rPr>
          <w:spacing w:val="-82"/>
        </w:rPr>
        <w:t> </w:t>
      </w:r>
      <w:r>
        <w:rPr>
          <w:spacing w:val="-82"/>
        </w:rPr>
      </w:r>
      <w:r>
        <w:rPr>
          <w:spacing w:val="-3"/>
        </w:rPr>
        <w:t>金融资产组合中进行减值测试。单独测试未发生减值的金融资产</w:t>
      </w:r>
      <w:r>
        <w:rPr>
          <w:rFonts w:ascii="Arial" w:hAnsi="Arial" w:cs="Arial" w:eastAsia="Arial" w:hint="default"/>
          <w:spacing w:val="-3"/>
        </w:rPr>
        <w:t>(</w:t>
      </w:r>
      <w:r>
        <w:rPr>
          <w:spacing w:val="-3"/>
        </w:rPr>
        <w:t>包括单项金额重大和不重</w:t>
      </w:r>
      <w:r>
        <w:rPr>
          <w:spacing w:val="-65"/>
        </w:rPr>
        <w:t> </w:t>
      </w:r>
      <w:r>
        <w:rPr>
          <w:spacing w:val="-65"/>
        </w:rPr>
      </w:r>
      <w:r>
        <w:rPr>
          <w:spacing w:val="-3"/>
        </w:rPr>
        <w:t>大的金融资产</w:t>
      </w:r>
      <w:r>
        <w:rPr>
          <w:rFonts w:ascii="Arial" w:hAnsi="Arial" w:cs="Arial" w:eastAsia="Arial" w:hint="default"/>
          <w:spacing w:val="-3"/>
        </w:rPr>
        <w:t>)</w:t>
      </w:r>
      <w:r>
        <w:rPr>
          <w:spacing w:val="-3"/>
        </w:rPr>
        <w:t>，包括在具有类似信用风险特征的金融资产组合中再进行减值测试。已单项</w:t>
      </w:r>
      <w:r>
        <w:rPr>
          <w:spacing w:val="-68"/>
        </w:rPr>
        <w:t> </w:t>
      </w:r>
      <w:r>
        <w:rPr>
          <w:spacing w:val="-68"/>
        </w:rPr>
      </w:r>
      <w:r>
        <w:rPr>
          <w:spacing w:val="-1"/>
        </w:rPr>
        <w:t>确认减值损失的金融资产，不包括在具有类似信用风险特征的金融资产组合中进行减值测</w:t>
      </w:r>
      <w:r>
        <w:rPr>
          <w:spacing w:val="-80"/>
        </w:rPr>
        <w:t> </w:t>
      </w:r>
      <w:r>
        <w:rPr>
          <w:spacing w:val="-80"/>
        </w:rPr>
      </w:r>
      <w:r>
        <w:rPr/>
        <w:t>试。</w:t>
      </w:r>
    </w:p>
    <w:p>
      <w:pPr>
        <w:spacing w:line="240" w:lineRule="auto" w:before="0"/>
        <w:rPr>
          <w:rFonts w:ascii="黑体" w:hAnsi="黑体" w:cs="黑体" w:eastAsia="黑体" w:hint="default"/>
          <w:sz w:val="24"/>
          <w:szCs w:val="24"/>
        </w:rPr>
      </w:pPr>
    </w:p>
    <w:p>
      <w:pPr>
        <w:pStyle w:val="BodyText"/>
        <w:spacing w:line="276" w:lineRule="auto"/>
        <w:ind w:right="135"/>
        <w:jc w:val="both"/>
      </w:pPr>
      <w:r>
        <w:rPr>
          <w:spacing w:val="-1"/>
        </w:rPr>
        <w:t>本集团对以摊余成本计量的金融资产确认减值损失后，如有客观证据表明该金融资产价值</w:t>
      </w:r>
      <w:r>
        <w:rPr>
          <w:spacing w:val="-80"/>
        </w:rPr>
        <w:t> </w:t>
      </w:r>
      <w:r>
        <w:rPr>
          <w:spacing w:val="-80"/>
        </w:rPr>
      </w:r>
      <w:r>
        <w:rPr>
          <w:spacing w:val="-1"/>
        </w:rPr>
        <w:t>已恢复，且客观上与确认该损失后发生的事项有关，原确认的减值损失予以转回，计入当</w:t>
      </w:r>
      <w:r>
        <w:rPr>
          <w:spacing w:val="-81"/>
        </w:rPr>
        <w:t> </w:t>
      </w:r>
      <w:r>
        <w:rPr>
          <w:spacing w:val="-81"/>
        </w:rPr>
      </w:r>
      <w:r>
        <w:rPr>
          <w:spacing w:val="-1"/>
        </w:rPr>
        <w:t>期损益。但是，该转回后的账面价值不超过假定不计提减值准备情况下该金融资产在转回</w:t>
      </w:r>
      <w:r>
        <w:rPr>
          <w:spacing w:val="-80"/>
        </w:rPr>
        <w:t> </w:t>
      </w:r>
      <w:r>
        <w:rPr>
          <w:spacing w:val="-80"/>
        </w:rPr>
      </w:r>
      <w:r>
        <w:rPr/>
        <w:t>日的摊余成本。</w:t>
      </w:r>
    </w:p>
    <w:p>
      <w:pPr>
        <w:spacing w:line="240" w:lineRule="auto" w:before="9"/>
        <w:rPr>
          <w:rFonts w:ascii="黑体" w:hAnsi="黑体" w:cs="黑体" w:eastAsia="黑体" w:hint="default"/>
          <w:sz w:val="22"/>
          <w:szCs w:val="22"/>
        </w:rPr>
      </w:pPr>
    </w:p>
    <w:p>
      <w:pPr>
        <w:pStyle w:val="BodyText"/>
        <w:spacing w:line="273" w:lineRule="auto"/>
        <w:ind w:right="0" w:firstLine="6"/>
        <w:jc w:val="left"/>
      </w:pPr>
      <w:r>
        <w:rPr>
          <w:rFonts w:ascii="黑体" w:hAnsi="黑体" w:cs="黑体" w:eastAsia="黑体" w:hint="default"/>
          <w:i/>
          <w:sz w:val="21"/>
          <w:szCs w:val="21"/>
        </w:rPr>
        <w:t>可供出售金融资产</w:t>
      </w:r>
      <w:r>
        <w:rPr>
          <w:rFonts w:ascii="黑体" w:hAnsi="黑体" w:cs="黑体" w:eastAsia="黑体" w:hint="default"/>
          <w:i/>
          <w:w w:val="95"/>
          <w:sz w:val="21"/>
          <w:szCs w:val="21"/>
        </w:rPr>
        <w:t> </w:t>
      </w:r>
      <w:r>
        <w:rPr>
          <w:spacing w:val="-1"/>
        </w:rPr>
        <w:t>如果有客观证据表明该金融资产发生减值，原计入其他综合收益的因公允价值下降形成的</w:t>
      </w:r>
      <w:r>
        <w:rPr>
          <w:spacing w:val="-81"/>
        </w:rPr>
        <w:t> </w:t>
      </w:r>
      <w:r>
        <w:rPr>
          <w:spacing w:val="-81"/>
        </w:rPr>
      </w:r>
      <w:r>
        <w:rPr>
          <w:spacing w:val="-1"/>
        </w:rPr>
        <w:t>累计损失，予以转出，计入当期损益。该转出的累计损失，为可供出售金融资产的初始取</w:t>
      </w:r>
      <w:r>
        <w:rPr>
          <w:spacing w:val="-81"/>
        </w:rPr>
        <w:t> </w:t>
      </w:r>
      <w:r>
        <w:rPr>
          <w:spacing w:val="-81"/>
        </w:rPr>
      </w:r>
      <w:r>
        <w:rPr>
          <w:spacing w:val="3"/>
        </w:rPr>
        <w:t>得成本扣除已收回本金和已摊销金额、当前公允价值和原已计入损益的减值损失后的余</w:t>
      </w:r>
      <w:r>
        <w:rPr>
          <w:spacing w:val="-48"/>
        </w:rPr>
        <w:t> </w:t>
      </w:r>
      <w:r>
        <w:rPr>
          <w:spacing w:val="-48"/>
        </w:rPr>
      </w:r>
      <w:r>
        <w:rPr/>
        <w:t>额。</w:t>
      </w:r>
    </w:p>
    <w:p>
      <w:pPr>
        <w:spacing w:after="0" w:line="273" w:lineRule="auto"/>
        <w:jc w:val="left"/>
        <w:sectPr>
          <w:pgSz w:w="11910" w:h="16840"/>
          <w:pgMar w:header="958" w:footer="473" w:top="2380" w:bottom="660" w:left="1600" w:right="156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08"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4"/>
        <w:rPr>
          <w:rFonts w:ascii="黑体" w:hAnsi="黑体" w:cs="黑体" w:eastAsia="黑体" w:hint="default"/>
          <w:b/>
          <w:bCs/>
          <w:sz w:val="24"/>
          <w:szCs w:val="24"/>
        </w:rPr>
      </w:pPr>
    </w:p>
    <w:p>
      <w:pPr>
        <w:tabs>
          <w:tab w:pos="821" w:val="left" w:leader="none"/>
        </w:tabs>
        <w:spacing w:line="520" w:lineRule="auto" w:before="0"/>
        <w:ind w:left="810" w:right="6130" w:hanging="710"/>
        <w:jc w:val="left"/>
        <w:rPr>
          <w:rFonts w:ascii="黑体" w:hAnsi="黑体" w:cs="黑体" w:eastAsia="黑体" w:hint="default"/>
          <w:sz w:val="20"/>
          <w:szCs w:val="20"/>
        </w:rPr>
      </w:pPr>
      <w:r>
        <w:rPr>
          <w:rFonts w:ascii="Arial" w:hAnsi="Arial" w:cs="Arial" w:eastAsia="Arial" w:hint="default"/>
          <w:b/>
          <w:bCs/>
          <w:spacing w:val="-1"/>
          <w:sz w:val="20"/>
          <w:szCs w:val="20"/>
        </w:rPr>
        <w:t>9.</w:t>
        <w:tab/>
        <w:tab/>
      </w:r>
      <w:r>
        <w:rPr>
          <w:rFonts w:ascii="黑体" w:hAnsi="黑体" w:cs="黑体" w:eastAsia="黑体" w:hint="default"/>
          <w:b/>
          <w:bCs/>
          <w:sz w:val="20"/>
          <w:szCs w:val="20"/>
        </w:rPr>
        <w:t>金融工具（续）</w:t>
      </w:r>
      <w:r>
        <w:rPr>
          <w:rFonts w:ascii="黑体" w:hAnsi="黑体" w:cs="黑体" w:eastAsia="黑体" w:hint="default"/>
          <w:b/>
          <w:bCs/>
          <w:w w:val="99"/>
          <w:sz w:val="20"/>
          <w:szCs w:val="20"/>
        </w:rPr>
        <w:t> </w:t>
      </w:r>
      <w:r>
        <w:rPr>
          <w:rFonts w:ascii="黑体" w:hAnsi="黑体" w:cs="黑体" w:eastAsia="黑体" w:hint="default"/>
          <w:w w:val="100"/>
          <w:sz w:val="20"/>
          <w:szCs w:val="20"/>
        </w:rPr>
      </w:r>
      <w:r>
        <w:rPr>
          <w:rFonts w:ascii="黑体" w:hAnsi="黑体" w:cs="黑体" w:eastAsia="黑体" w:hint="default"/>
          <w:sz w:val="20"/>
          <w:szCs w:val="20"/>
          <w:u w:val="single" w:color="000000"/>
        </w:rPr>
        <w:t>金融资产减值</w:t>
      </w:r>
      <w:r>
        <w:rPr>
          <w:rFonts w:ascii="黑体" w:hAnsi="黑体" w:cs="黑体" w:eastAsia="黑体" w:hint="default"/>
          <w:sz w:val="20"/>
          <w:szCs w:val="20"/>
        </w:rPr>
        <w:t>（续）</w:t>
      </w:r>
    </w:p>
    <w:p>
      <w:pPr>
        <w:pStyle w:val="BodyText"/>
        <w:spacing w:line="276" w:lineRule="auto" w:before="104"/>
        <w:ind w:right="126"/>
        <w:jc w:val="both"/>
      </w:pPr>
      <w:r>
        <w:rPr>
          <w:spacing w:val="-1"/>
        </w:rPr>
        <w:t>对于已确认减值损失的可供出售债务工具，在随后的会计期间公允价值已上升且客观上与</w:t>
      </w:r>
      <w:r>
        <w:rPr>
          <w:spacing w:val="-81"/>
        </w:rPr>
        <w:t> </w:t>
      </w:r>
      <w:r>
        <w:rPr>
          <w:spacing w:val="-81"/>
        </w:rPr>
      </w:r>
      <w:r>
        <w:rPr>
          <w:spacing w:val="-1"/>
        </w:rPr>
        <w:t>确认原减值损失确认后发生的事项有关的，原确认的减值损失予以转回，计入当期损益。</w:t>
      </w:r>
      <w:r>
        <w:rPr>
          <w:spacing w:val="-72"/>
        </w:rPr>
        <w:t> </w:t>
      </w:r>
      <w:r>
        <w:rPr>
          <w:spacing w:val="-72"/>
        </w:rPr>
      </w:r>
      <w:r>
        <w:rPr>
          <w:spacing w:val="-1"/>
        </w:rPr>
        <w:t>可供出售权益工具投资发生的减值损失，不通过损益转回。减值之后发生的公允价值增加</w:t>
      </w:r>
      <w:r>
        <w:rPr>
          <w:spacing w:val="-79"/>
        </w:rPr>
        <w:t> </w:t>
      </w:r>
      <w:r>
        <w:rPr>
          <w:spacing w:val="-79"/>
        </w:rPr>
      </w:r>
      <w:r>
        <w:rPr/>
        <w:t>直接在其他综合收益中确认。</w:t>
      </w:r>
    </w:p>
    <w:p>
      <w:pPr>
        <w:spacing w:line="240" w:lineRule="auto" w:before="9"/>
        <w:rPr>
          <w:rFonts w:ascii="黑体" w:hAnsi="黑体" w:cs="黑体" w:eastAsia="黑体" w:hint="default"/>
          <w:sz w:val="22"/>
          <w:szCs w:val="22"/>
        </w:rPr>
      </w:pPr>
    </w:p>
    <w:p>
      <w:pPr>
        <w:pStyle w:val="BodyText"/>
        <w:spacing w:line="273" w:lineRule="auto"/>
        <w:ind w:right="0" w:hanging="5"/>
        <w:jc w:val="left"/>
      </w:pPr>
      <w:r>
        <w:rPr>
          <w:rFonts w:ascii="黑体" w:hAnsi="黑体" w:cs="黑体" w:eastAsia="黑体" w:hint="default"/>
          <w:i/>
          <w:sz w:val="21"/>
          <w:szCs w:val="21"/>
        </w:rPr>
        <w:t>以成本计量的金融资产</w:t>
      </w:r>
      <w:r>
        <w:rPr>
          <w:rFonts w:ascii="黑体" w:hAnsi="黑体" w:cs="黑体" w:eastAsia="黑体" w:hint="default"/>
          <w:i/>
          <w:w w:val="95"/>
          <w:sz w:val="21"/>
          <w:szCs w:val="21"/>
        </w:rPr>
        <w:t> </w:t>
      </w:r>
      <w:r>
        <w:rPr>
          <w:spacing w:val="-1"/>
        </w:rPr>
        <w:t>如果有客观证据表明该金融资产发生减值，将该金融资产的账面价值，与按照类似金融资</w:t>
      </w:r>
      <w:r>
        <w:rPr>
          <w:spacing w:val="-85"/>
        </w:rPr>
        <w:t> </w:t>
      </w:r>
      <w:r>
        <w:rPr>
          <w:spacing w:val="-85"/>
        </w:rPr>
      </w:r>
      <w:r>
        <w:rPr>
          <w:spacing w:val="-1"/>
        </w:rPr>
        <w:t>产当时市场收益率对未来现金流量折现确定的现值之间的差额，确认为减值损失，计入当</w:t>
      </w:r>
      <w:r>
        <w:rPr>
          <w:spacing w:val="-84"/>
        </w:rPr>
        <w:t> </w:t>
      </w:r>
      <w:r>
        <w:rPr>
          <w:spacing w:val="-84"/>
        </w:rPr>
      </w:r>
      <w:r>
        <w:rPr/>
        <w:t>期损益。发生的减值损失一经确认，不再转回。</w:t>
      </w:r>
    </w:p>
    <w:p>
      <w:pPr>
        <w:spacing w:line="240" w:lineRule="auto" w:before="9"/>
        <w:rPr>
          <w:rFonts w:ascii="黑体" w:hAnsi="黑体" w:cs="黑体" w:eastAsia="黑体" w:hint="default"/>
          <w:sz w:val="23"/>
          <w:szCs w:val="23"/>
        </w:rPr>
      </w:pPr>
    </w:p>
    <w:p>
      <w:pPr>
        <w:pStyle w:val="BodyText"/>
        <w:spacing w:line="261" w:lineRule="auto"/>
        <w:ind w:right="0"/>
        <w:jc w:val="left"/>
      </w:pPr>
      <w:r>
        <w:rPr/>
        <w:t>按照《企业会计准则第</w:t>
      </w:r>
      <w:r>
        <w:rPr>
          <w:rFonts w:ascii="Arial" w:hAnsi="Arial" w:cs="Arial" w:eastAsia="Arial" w:hint="default"/>
        </w:rPr>
        <w:t>2</w:t>
      </w:r>
      <w:r>
        <w:rPr/>
        <w:t>号</w:t>
      </w:r>
      <w:r>
        <w:rPr>
          <w:rFonts w:ascii="Arial" w:hAnsi="Arial" w:cs="Arial" w:eastAsia="Arial" w:hint="default"/>
        </w:rPr>
        <w:t>——</w:t>
      </w:r>
      <w:r>
        <w:rPr/>
        <w:t>长期股权投资》规定的成本法核算的、在活跃市场中没有</w:t>
      </w:r>
      <w:r>
        <w:rPr>
          <w:spacing w:val="-29"/>
        </w:rPr>
        <w:t> </w:t>
      </w:r>
      <w:r>
        <w:rPr>
          <w:spacing w:val="-29"/>
        </w:rPr>
      </w:r>
      <w:r>
        <w:rPr/>
        <w:t>报价、公允价值不能可靠计量的长期股权投资，其减值也按照上述原则处理。</w:t>
      </w:r>
    </w:p>
    <w:p>
      <w:pPr>
        <w:spacing w:line="240" w:lineRule="auto" w:before="6"/>
        <w:rPr>
          <w:rFonts w:ascii="黑体" w:hAnsi="黑体" w:cs="黑体" w:eastAsia="黑体" w:hint="default"/>
          <w:sz w:val="24"/>
          <w:szCs w:val="24"/>
        </w:rPr>
      </w:pPr>
    </w:p>
    <w:p>
      <w:pPr>
        <w:pStyle w:val="BodyText"/>
        <w:spacing w:line="240" w:lineRule="auto"/>
        <w:ind w:left="821" w:right="0"/>
        <w:jc w:val="left"/>
      </w:pPr>
      <w:r>
        <w:rPr>
          <w:w w:val="100"/>
        </w:rPr>
      </w:r>
      <w:r>
        <w:rPr>
          <w:u w:val="single" w:color="000000"/>
        </w:rPr>
        <w:t>金融资产转移</w:t>
      </w:r>
      <w:r>
        <w:rPr/>
      </w:r>
    </w:p>
    <w:p>
      <w:pPr>
        <w:spacing w:line="240" w:lineRule="auto" w:before="12"/>
        <w:rPr>
          <w:rFonts w:ascii="黑体" w:hAnsi="黑体" w:cs="黑体" w:eastAsia="黑体" w:hint="default"/>
          <w:sz w:val="22"/>
          <w:szCs w:val="22"/>
        </w:rPr>
      </w:pPr>
    </w:p>
    <w:p>
      <w:pPr>
        <w:pStyle w:val="BodyText"/>
        <w:spacing w:line="276" w:lineRule="auto" w:before="38"/>
        <w:ind w:right="135"/>
        <w:jc w:val="both"/>
      </w:pPr>
      <w:r>
        <w:rPr>
          <w:spacing w:val="-1"/>
        </w:rPr>
        <w:t>本集团已将金融资产所有权上几乎所有的风险和报酬转移给转入方的，终止确认该金融资</w:t>
      </w:r>
      <w:r>
        <w:rPr>
          <w:spacing w:val="-81"/>
        </w:rPr>
        <w:t> </w:t>
      </w:r>
      <w:r>
        <w:rPr>
          <w:spacing w:val="-81"/>
        </w:rPr>
      </w:r>
      <w:r>
        <w:rPr/>
        <w:t>产；保留了金融资产所有权上几乎所有的风险和报酬的，不终止确认该金融资产。</w:t>
      </w:r>
    </w:p>
    <w:p>
      <w:pPr>
        <w:spacing w:line="240" w:lineRule="auto" w:before="7"/>
        <w:rPr>
          <w:rFonts w:ascii="黑体" w:hAnsi="黑体" w:cs="黑体" w:eastAsia="黑体" w:hint="default"/>
          <w:sz w:val="23"/>
          <w:szCs w:val="23"/>
        </w:rPr>
      </w:pPr>
    </w:p>
    <w:p>
      <w:pPr>
        <w:pStyle w:val="BodyText"/>
        <w:spacing w:line="276" w:lineRule="auto"/>
        <w:ind w:right="135"/>
        <w:jc w:val="both"/>
      </w:pPr>
      <w:r>
        <w:rPr>
          <w:spacing w:val="-1"/>
        </w:rPr>
        <w:t>本集团既没有转移也没有保留金融资产所有权上几乎所有的风险和报酬的，分别下列情况</w:t>
      </w:r>
      <w:r>
        <w:rPr>
          <w:spacing w:val="-81"/>
        </w:rPr>
        <w:t> </w:t>
      </w:r>
      <w:r>
        <w:rPr>
          <w:spacing w:val="-81"/>
        </w:rPr>
      </w:r>
      <w:r>
        <w:rPr>
          <w:spacing w:val="-1"/>
        </w:rPr>
        <w:t>处理：放弃了对该金融资产控制的，终止确认该金融资产并确认产生的资产和负债；未放</w:t>
      </w:r>
      <w:r>
        <w:rPr>
          <w:spacing w:val="-82"/>
        </w:rPr>
        <w:t> </w:t>
      </w:r>
      <w:r>
        <w:rPr>
          <w:spacing w:val="-82"/>
        </w:rPr>
      </w:r>
      <w:r>
        <w:rPr>
          <w:spacing w:val="-1"/>
        </w:rPr>
        <w:t>弃对该金融资产控制的，按照其继续涉入所转移金融资产的程度确认有关金融资产，并相</w:t>
      </w:r>
      <w:r>
        <w:rPr>
          <w:spacing w:val="-79"/>
        </w:rPr>
        <w:t> </w:t>
      </w:r>
      <w:r>
        <w:rPr>
          <w:spacing w:val="-79"/>
        </w:rPr>
      </w:r>
      <w:r>
        <w:rPr/>
        <w:t>应确认有关负债。</w:t>
      </w:r>
    </w:p>
    <w:p>
      <w:pPr>
        <w:spacing w:after="0" w:line="276" w:lineRule="auto"/>
        <w:jc w:val="both"/>
        <w:sectPr>
          <w:pgSz w:w="11910" w:h="16840"/>
          <w:pgMar w:header="958" w:footer="473" w:top="2380" w:bottom="660" w:left="1600" w:right="156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43" w:val="left" w:leader="none"/>
        </w:tabs>
        <w:spacing w:before="38"/>
        <w:ind w:left="141" w:right="0"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4"/>
        <w:rPr>
          <w:rFonts w:ascii="黑体" w:hAnsi="黑体" w:cs="黑体" w:eastAsia="黑体" w:hint="default"/>
          <w:b/>
          <w:bCs/>
          <w:sz w:val="24"/>
          <w:szCs w:val="24"/>
        </w:rPr>
      </w:pPr>
    </w:p>
    <w:p>
      <w:pPr>
        <w:tabs>
          <w:tab w:pos="848" w:val="left" w:leader="none"/>
        </w:tabs>
        <w:spacing w:before="0"/>
        <w:ind w:left="141" w:right="0" w:firstLine="0"/>
        <w:jc w:val="left"/>
        <w:rPr>
          <w:rFonts w:ascii="黑体" w:hAnsi="黑体" w:cs="黑体" w:eastAsia="黑体" w:hint="default"/>
          <w:sz w:val="20"/>
          <w:szCs w:val="20"/>
        </w:rPr>
      </w:pPr>
      <w:r>
        <w:rPr>
          <w:rFonts w:ascii="Arial" w:hAnsi="Arial" w:cs="Arial" w:eastAsia="Arial" w:hint="default"/>
          <w:b/>
          <w:bCs/>
          <w:spacing w:val="-1"/>
          <w:sz w:val="20"/>
          <w:szCs w:val="20"/>
        </w:rPr>
        <w:t>10.</w:t>
        <w:tab/>
      </w:r>
      <w:r>
        <w:rPr>
          <w:rFonts w:ascii="黑体" w:hAnsi="黑体" w:cs="黑体" w:eastAsia="黑体" w:hint="default"/>
          <w:b/>
          <w:bCs/>
          <w:sz w:val="20"/>
          <w:szCs w:val="20"/>
        </w:rPr>
        <w:t>应收款项</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76" w:lineRule="auto"/>
        <w:ind w:left="849" w:right="0"/>
        <w:jc w:val="left"/>
      </w:pPr>
      <w:r>
        <w:rPr>
          <w:spacing w:val="-1"/>
        </w:rPr>
        <w:t>对单项金额重大的应收款项，本集团按单项进行减值测试，根据应收款项的可收回程度作</w:t>
      </w:r>
      <w:r>
        <w:rPr>
          <w:spacing w:val="-74"/>
        </w:rPr>
        <w:t> </w:t>
      </w:r>
      <w:r>
        <w:rPr>
          <w:spacing w:val="-74"/>
        </w:rPr>
      </w:r>
      <w:r>
        <w:rPr>
          <w:spacing w:val="-1"/>
        </w:rPr>
        <w:t>出判断并计提相应的坏账准备。对单项金额不重大但按信用风险特征组合后该组合的风险</w:t>
      </w:r>
      <w:r>
        <w:rPr>
          <w:spacing w:val="-74"/>
        </w:rPr>
        <w:t> </w:t>
      </w:r>
      <w:r>
        <w:rPr>
          <w:spacing w:val="-74"/>
        </w:rPr>
      </w:r>
      <w:r>
        <w:rPr>
          <w:spacing w:val="-1"/>
        </w:rPr>
        <w:t>较大的应收款项，本集团根据以往经验，将单项金额不重大但根据信用期及账龄判断，在</w:t>
      </w:r>
      <w:r>
        <w:rPr>
          <w:spacing w:val="-75"/>
        </w:rPr>
        <w:t> </w:t>
      </w:r>
      <w:r>
        <w:rPr>
          <w:spacing w:val="-75"/>
        </w:rPr>
      </w:r>
      <w:r>
        <w:rPr>
          <w:spacing w:val="-1"/>
        </w:rPr>
        <w:t>同一账龄段内存在相似坏账风险的应收款项，确定为以账龄作为信用风险特征的组合。对</w:t>
      </w:r>
      <w:r>
        <w:rPr>
          <w:spacing w:val="-74"/>
        </w:rPr>
        <w:t> </w:t>
      </w:r>
      <w:r>
        <w:rPr>
          <w:spacing w:val="-74"/>
        </w:rPr>
      </w:r>
      <w:r>
        <w:rPr>
          <w:spacing w:val="-1"/>
        </w:rPr>
        <w:t>单项金额不重大但按信用风险特征组合后该组合的风险较大的应收款项，本集团根据应收</w:t>
      </w:r>
      <w:r>
        <w:rPr>
          <w:spacing w:val="-74"/>
        </w:rPr>
        <w:t> </w:t>
      </w:r>
      <w:r>
        <w:rPr>
          <w:spacing w:val="-74"/>
        </w:rPr>
      </w:r>
      <w:r>
        <w:rPr>
          <w:spacing w:val="-1"/>
        </w:rPr>
        <w:t>款项结余的账龄、顾客的信贷可靠度及过往的转销经验对坏账准备作出估计。对应收账款</w:t>
      </w:r>
      <w:r>
        <w:rPr>
          <w:spacing w:val="-74"/>
        </w:rPr>
        <w:t> </w:t>
      </w:r>
      <w:r>
        <w:rPr>
          <w:spacing w:val="-74"/>
        </w:rPr>
      </w:r>
      <w:r>
        <w:rPr/>
        <w:t>和其他应收款中以账龄作为信用风险特征的组合的坏账准备计提比例主要采用余额百分</w:t>
      </w:r>
      <w:r>
        <w:rPr>
          <w:w w:val="100"/>
        </w:rPr>
        <w:t> </w:t>
      </w:r>
      <w:r>
        <w:rPr/>
        <w:t>比法，并结合单项具体可收回程度作出判断，余额百分比的具体计提比例如下：</w:t>
      </w:r>
    </w:p>
    <w:p>
      <w:pPr>
        <w:spacing w:line="240" w:lineRule="auto" w:before="3"/>
        <w:rPr>
          <w:rFonts w:ascii="黑体" w:hAnsi="黑体" w:cs="黑体" w:eastAsia="黑体" w:hint="default"/>
          <w:sz w:val="19"/>
          <w:szCs w:val="19"/>
        </w:rPr>
      </w:pPr>
    </w:p>
    <w:tbl>
      <w:tblPr>
        <w:tblW w:w="0" w:type="auto"/>
        <w:jc w:val="left"/>
        <w:tblInd w:w="106" w:type="dxa"/>
        <w:tblLayout w:type="fixed"/>
        <w:tblCellMar>
          <w:top w:w="0" w:type="dxa"/>
          <w:left w:w="0" w:type="dxa"/>
          <w:bottom w:w="0" w:type="dxa"/>
          <w:right w:w="0" w:type="dxa"/>
        </w:tblCellMar>
        <w:tblLook w:val="01E0"/>
      </w:tblPr>
      <w:tblGrid>
        <w:gridCol w:w="4968"/>
        <w:gridCol w:w="2102"/>
        <w:gridCol w:w="1520"/>
      </w:tblGrid>
      <w:tr>
        <w:trPr>
          <w:trHeight w:val="722" w:hRule="exact"/>
        </w:trPr>
        <w:tc>
          <w:tcPr>
            <w:tcW w:w="4968" w:type="dxa"/>
            <w:tcBorders>
              <w:top w:val="nil" w:sz="6" w:space="0" w:color="auto"/>
              <w:left w:val="nil" w:sz="6" w:space="0" w:color="auto"/>
              <w:bottom w:val="nil" w:sz="6" w:space="0" w:color="auto"/>
              <w:right w:val="nil" w:sz="6" w:space="0" w:color="auto"/>
            </w:tcBorders>
          </w:tcPr>
          <w:p>
            <w:pP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17" w:right="370" w:firstLine="309"/>
              <w:jc w:val="left"/>
              <w:rPr>
                <w:rFonts w:ascii="Arial" w:hAnsi="Arial" w:cs="Arial" w:eastAsia="Arial" w:hint="default"/>
                <w:sz w:val="20"/>
                <w:szCs w:val="20"/>
              </w:rPr>
            </w:pPr>
            <w:r>
              <w:rPr>
                <w:rFonts w:ascii="黑体" w:hAnsi="黑体" w:cs="黑体" w:eastAsia="黑体" w:hint="default"/>
                <w:sz w:val="20"/>
                <w:szCs w:val="20"/>
              </w:rPr>
              <w:t>应收账款</w:t>
            </w:r>
            <w:r>
              <w:rPr>
                <w:rFonts w:ascii="黑体" w:hAnsi="黑体" w:cs="黑体" w:eastAsia="黑体" w:hint="default"/>
                <w:w w:val="100"/>
                <w:sz w:val="20"/>
                <w:szCs w:val="20"/>
              </w:rPr>
              <w:t> </w:t>
            </w:r>
            <w:r>
              <w:rPr>
                <w:rFonts w:ascii="黑体" w:hAnsi="黑体" w:cs="黑体" w:eastAsia="黑体" w:hint="default"/>
                <w:sz w:val="20"/>
                <w:szCs w:val="20"/>
              </w:rPr>
              <w:t>计提比例</w:t>
            </w:r>
            <w:r>
              <w:rPr>
                <w:rFonts w:ascii="Arial" w:hAnsi="Arial" w:cs="Arial" w:eastAsia="Arial" w:hint="default"/>
                <w:sz w:val="20"/>
                <w:szCs w:val="20"/>
              </w:rPr>
              <w:t>(%)</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72" w:right="33" w:firstLine="110"/>
              <w:jc w:val="left"/>
              <w:rPr>
                <w:rFonts w:ascii="Arial" w:hAnsi="Arial" w:cs="Arial" w:eastAsia="Arial" w:hint="default"/>
                <w:sz w:val="20"/>
                <w:szCs w:val="20"/>
              </w:rPr>
            </w:pPr>
            <w:r>
              <w:rPr>
                <w:rFonts w:ascii="黑体" w:hAnsi="黑体" w:cs="黑体" w:eastAsia="黑体" w:hint="default"/>
                <w:sz w:val="20"/>
                <w:szCs w:val="20"/>
              </w:rPr>
              <w:t>其他应收款</w:t>
            </w:r>
            <w:r>
              <w:rPr>
                <w:rFonts w:ascii="黑体" w:hAnsi="黑体" w:cs="黑体" w:eastAsia="黑体" w:hint="default"/>
                <w:w w:val="100"/>
                <w:sz w:val="20"/>
                <w:szCs w:val="20"/>
              </w:rPr>
              <w:t> </w:t>
            </w:r>
            <w:r>
              <w:rPr>
                <w:rFonts w:ascii="黑体" w:hAnsi="黑体" w:cs="黑体" w:eastAsia="黑体" w:hint="default"/>
                <w:sz w:val="20"/>
                <w:szCs w:val="20"/>
              </w:rPr>
              <w:t>计提比例</w:t>
            </w:r>
            <w:r>
              <w:rPr>
                <w:rFonts w:ascii="Arial" w:hAnsi="Arial" w:cs="Arial" w:eastAsia="Arial" w:hint="default"/>
                <w:sz w:val="20"/>
                <w:szCs w:val="20"/>
              </w:rPr>
              <w:t>(%)</w:t>
            </w:r>
          </w:p>
        </w:tc>
      </w:tr>
      <w:tr>
        <w:trPr>
          <w:trHeight w:val="392" w:hRule="exact"/>
        </w:trPr>
        <w:tc>
          <w:tcPr>
            <w:tcW w:w="4968" w:type="dxa"/>
            <w:tcBorders>
              <w:top w:val="nil" w:sz="6" w:space="0" w:color="auto"/>
              <w:left w:val="nil" w:sz="6" w:space="0" w:color="auto"/>
              <w:bottom w:val="nil" w:sz="6" w:space="0" w:color="auto"/>
              <w:right w:val="nil" w:sz="6" w:space="0" w:color="auto"/>
            </w:tcBorders>
          </w:tcPr>
          <w:p>
            <w:pPr>
              <w:pStyle w:val="TableParagraph"/>
              <w:spacing w:line="240" w:lineRule="auto" w:before="90"/>
              <w:ind w:left="744" w:right="0"/>
              <w:jc w:val="left"/>
              <w:rPr>
                <w:rFonts w:ascii="黑体" w:hAnsi="黑体" w:cs="黑体" w:eastAsia="黑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黑体" w:hAnsi="黑体" w:cs="黑体" w:eastAsia="黑体" w:hint="default"/>
                <w:sz w:val="20"/>
                <w:szCs w:val="20"/>
              </w:rPr>
              <w:t>至</w:t>
            </w:r>
            <w:r>
              <w:rPr>
                <w:rFonts w:ascii="黑体" w:hAnsi="黑体" w:cs="黑体" w:eastAsia="黑体" w:hint="default"/>
                <w:spacing w:val="-51"/>
                <w:sz w:val="20"/>
                <w:szCs w:val="20"/>
              </w:rPr>
              <w:t> </w:t>
            </w:r>
            <w:r>
              <w:rPr>
                <w:rFonts w:ascii="Arial" w:hAnsi="Arial" w:cs="Arial" w:eastAsia="Arial" w:hint="default"/>
                <w:sz w:val="20"/>
                <w:szCs w:val="20"/>
              </w:rPr>
              <w:t>2</w:t>
            </w:r>
            <w:r>
              <w:rPr>
                <w:rFonts w:ascii="Arial" w:hAnsi="Arial" w:cs="Arial" w:eastAsia="Arial" w:hint="default"/>
                <w:spacing w:val="-6"/>
                <w:sz w:val="20"/>
                <w:szCs w:val="20"/>
              </w:rPr>
              <w:t> </w:t>
            </w:r>
            <w:r>
              <w:rPr>
                <w:rFonts w:ascii="黑体" w:hAnsi="黑体" w:cs="黑体" w:eastAsia="黑体" w:hint="default"/>
                <w:sz w:val="20"/>
                <w:szCs w:val="20"/>
              </w:rPr>
              <w:t>年</w:t>
            </w: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148"/>
              <w:ind w:right="371"/>
              <w:jc w:val="right"/>
              <w:rPr>
                <w:rFonts w:ascii="Arial" w:hAnsi="Arial" w:cs="Arial" w:eastAsia="Arial" w:hint="default"/>
                <w:sz w:val="20"/>
                <w:szCs w:val="20"/>
              </w:rPr>
            </w:pPr>
            <w:r>
              <w:rPr>
                <w:rFonts w:ascii="Arial"/>
                <w:sz w:val="20"/>
              </w:rPr>
              <w:t>20</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48"/>
              <w:ind w:right="34"/>
              <w:jc w:val="right"/>
              <w:rPr>
                <w:rFonts w:ascii="Arial" w:hAnsi="Arial" w:cs="Arial" w:eastAsia="Arial" w:hint="default"/>
                <w:sz w:val="20"/>
                <w:szCs w:val="20"/>
              </w:rPr>
            </w:pPr>
            <w:r>
              <w:rPr>
                <w:rFonts w:ascii="Arial"/>
                <w:sz w:val="20"/>
              </w:rPr>
              <w:t>20</w:t>
            </w:r>
          </w:p>
        </w:tc>
      </w:tr>
      <w:tr>
        <w:trPr>
          <w:trHeight w:val="260" w:hRule="exact"/>
        </w:trPr>
        <w:tc>
          <w:tcPr>
            <w:tcW w:w="4968" w:type="dxa"/>
            <w:tcBorders>
              <w:top w:val="nil" w:sz="6" w:space="0" w:color="auto"/>
              <w:left w:val="nil" w:sz="6" w:space="0" w:color="auto"/>
              <w:bottom w:val="nil" w:sz="6" w:space="0" w:color="auto"/>
              <w:right w:val="nil" w:sz="6" w:space="0" w:color="auto"/>
            </w:tcBorders>
          </w:tcPr>
          <w:p>
            <w:pPr>
              <w:pStyle w:val="TableParagraph"/>
              <w:spacing w:line="233" w:lineRule="exact"/>
              <w:ind w:left="744" w:right="0"/>
              <w:jc w:val="left"/>
              <w:rPr>
                <w:rFonts w:ascii="黑体" w:hAnsi="黑体" w:cs="黑体" w:eastAsia="黑体" w:hint="default"/>
                <w:sz w:val="20"/>
                <w:szCs w:val="20"/>
              </w:rPr>
            </w:pPr>
            <w:r>
              <w:rPr>
                <w:rFonts w:ascii="Arial" w:hAnsi="Arial" w:cs="Arial" w:eastAsia="Arial" w:hint="default"/>
                <w:sz w:val="20"/>
                <w:szCs w:val="20"/>
              </w:rPr>
              <w:t>2</w:t>
            </w:r>
            <w:r>
              <w:rPr>
                <w:rFonts w:ascii="Arial" w:hAnsi="Arial" w:cs="Arial" w:eastAsia="Arial" w:hint="default"/>
                <w:spacing w:val="-6"/>
                <w:sz w:val="20"/>
                <w:szCs w:val="20"/>
              </w:rPr>
              <w:t> </w:t>
            </w:r>
            <w:r>
              <w:rPr>
                <w:rFonts w:ascii="黑体" w:hAnsi="黑体" w:cs="黑体" w:eastAsia="黑体" w:hint="default"/>
                <w:sz w:val="20"/>
                <w:szCs w:val="20"/>
              </w:rPr>
              <w:t>至</w:t>
            </w:r>
            <w:r>
              <w:rPr>
                <w:rFonts w:ascii="黑体" w:hAnsi="黑体" w:cs="黑体" w:eastAsia="黑体" w:hint="default"/>
                <w:spacing w:val="-51"/>
                <w:sz w:val="20"/>
                <w:szCs w:val="20"/>
              </w:rPr>
              <w:t> </w:t>
            </w:r>
            <w:r>
              <w:rPr>
                <w:rFonts w:ascii="Arial" w:hAnsi="Arial" w:cs="Arial" w:eastAsia="Arial" w:hint="default"/>
                <w:sz w:val="20"/>
                <w:szCs w:val="20"/>
              </w:rPr>
              <w:t>3</w:t>
            </w:r>
            <w:r>
              <w:rPr>
                <w:rFonts w:ascii="Arial" w:hAnsi="Arial" w:cs="Arial" w:eastAsia="Arial" w:hint="default"/>
                <w:spacing w:val="-6"/>
                <w:sz w:val="20"/>
                <w:szCs w:val="20"/>
              </w:rPr>
              <w:t> </w:t>
            </w:r>
            <w:r>
              <w:rPr>
                <w:rFonts w:ascii="黑体" w:hAnsi="黑体" w:cs="黑体" w:eastAsia="黑体" w:hint="default"/>
                <w:sz w:val="20"/>
                <w:szCs w:val="20"/>
              </w:rPr>
              <w:t>年</w:t>
            </w: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2"/>
              <w:jc w:val="right"/>
              <w:rPr>
                <w:rFonts w:ascii="Arial" w:hAnsi="Arial" w:cs="Arial" w:eastAsia="Arial" w:hint="default"/>
                <w:sz w:val="20"/>
                <w:szCs w:val="20"/>
              </w:rPr>
            </w:pPr>
            <w:r>
              <w:rPr>
                <w:rFonts w:ascii="Arial"/>
                <w:sz w:val="20"/>
              </w:rPr>
              <w:t>40</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Arial" w:hAnsi="Arial" w:cs="Arial" w:eastAsia="Arial" w:hint="default"/>
                <w:sz w:val="20"/>
                <w:szCs w:val="20"/>
              </w:rPr>
            </w:pPr>
            <w:r>
              <w:rPr>
                <w:rFonts w:ascii="Arial"/>
                <w:sz w:val="20"/>
              </w:rPr>
              <w:t>40</w:t>
            </w:r>
          </w:p>
        </w:tc>
      </w:tr>
      <w:tr>
        <w:trPr>
          <w:trHeight w:val="419" w:hRule="exact"/>
        </w:trPr>
        <w:tc>
          <w:tcPr>
            <w:tcW w:w="4968" w:type="dxa"/>
            <w:tcBorders>
              <w:top w:val="nil" w:sz="6" w:space="0" w:color="auto"/>
              <w:left w:val="nil" w:sz="6" w:space="0" w:color="auto"/>
              <w:bottom w:val="nil" w:sz="6" w:space="0" w:color="auto"/>
              <w:right w:val="nil" w:sz="6" w:space="0" w:color="auto"/>
            </w:tcBorders>
          </w:tcPr>
          <w:p>
            <w:pPr>
              <w:pStyle w:val="TableParagraph"/>
              <w:spacing w:line="234" w:lineRule="exact"/>
              <w:ind w:left="744" w:right="0"/>
              <w:jc w:val="left"/>
              <w:rPr>
                <w:rFonts w:ascii="黑体" w:hAnsi="黑体" w:cs="黑体" w:eastAsia="黑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黑体" w:hAnsi="黑体" w:cs="黑体" w:eastAsia="黑体" w:hint="default"/>
                <w:sz w:val="20"/>
                <w:szCs w:val="20"/>
              </w:rPr>
              <w:t>年以上</w:t>
            </w: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2"/>
              <w:jc w:val="right"/>
              <w:rPr>
                <w:rFonts w:ascii="Arial" w:hAnsi="Arial" w:cs="Arial" w:eastAsia="Arial" w:hint="default"/>
                <w:sz w:val="20"/>
                <w:szCs w:val="20"/>
              </w:rPr>
            </w:pPr>
            <w:r>
              <w:rPr>
                <w:rFonts w:ascii="Arial"/>
                <w:sz w:val="20"/>
              </w:rPr>
              <w:t>100</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Arial" w:hAnsi="Arial" w:cs="Arial" w:eastAsia="Arial" w:hint="default"/>
                <w:sz w:val="20"/>
                <w:szCs w:val="20"/>
              </w:rPr>
            </w:pPr>
            <w:r>
              <w:rPr>
                <w:rFonts w:ascii="Arial"/>
                <w:sz w:val="20"/>
              </w:rPr>
              <w:t>100</w:t>
            </w:r>
          </w:p>
        </w:tc>
      </w:tr>
      <w:tr>
        <w:trPr>
          <w:trHeight w:val="582" w:hRule="exact"/>
        </w:trPr>
        <w:tc>
          <w:tcPr>
            <w:tcW w:w="4968" w:type="dxa"/>
            <w:tcBorders>
              <w:top w:val="nil" w:sz="6" w:space="0" w:color="auto"/>
              <w:left w:val="nil" w:sz="6" w:space="0" w:color="auto"/>
              <w:bottom w:val="nil" w:sz="6" w:space="0" w:color="auto"/>
              <w:right w:val="nil" w:sz="6" w:space="0" w:color="auto"/>
            </w:tcBorders>
          </w:tcPr>
          <w:p>
            <w:pPr>
              <w:pStyle w:val="TableParagraph"/>
              <w:tabs>
                <w:tab w:pos="754" w:val="left" w:leader="none"/>
              </w:tabs>
              <w:spacing w:line="240" w:lineRule="auto" w:before="116"/>
              <w:ind w:left="35" w:right="0"/>
              <w:jc w:val="left"/>
              <w:rPr>
                <w:rFonts w:ascii="黑体" w:hAnsi="黑体" w:cs="黑体" w:eastAsia="黑体" w:hint="default"/>
                <w:sz w:val="20"/>
                <w:szCs w:val="20"/>
              </w:rPr>
            </w:pPr>
            <w:r>
              <w:rPr>
                <w:rFonts w:ascii="Arial" w:hAnsi="Arial" w:cs="Arial" w:eastAsia="Arial" w:hint="default"/>
                <w:b/>
                <w:bCs/>
                <w:spacing w:val="-1"/>
                <w:sz w:val="20"/>
                <w:szCs w:val="20"/>
              </w:rPr>
              <w:t>11.</w:t>
              <w:tab/>
            </w:r>
            <w:r>
              <w:rPr>
                <w:rFonts w:ascii="黑体" w:hAnsi="黑体" w:cs="黑体" w:eastAsia="黑体" w:hint="default"/>
                <w:b/>
                <w:bCs/>
                <w:spacing w:val="1"/>
                <w:sz w:val="20"/>
                <w:szCs w:val="20"/>
              </w:rPr>
              <w:t>存货</w:t>
            </w:r>
            <w:r>
              <w:rPr>
                <w:rFonts w:ascii="黑体" w:hAnsi="黑体" w:cs="黑体" w:eastAsia="黑体" w:hint="default"/>
                <w:sz w:val="20"/>
                <w:szCs w:val="20"/>
              </w:rPr>
            </w:r>
          </w:p>
        </w:tc>
        <w:tc>
          <w:tcPr>
            <w:tcW w:w="2102"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nil" w:sz="6" w:space="0" w:color="auto"/>
            </w:tcBorders>
          </w:tcPr>
          <w:p>
            <w:pPr/>
          </w:p>
        </w:tc>
      </w:tr>
      <w:tr>
        <w:trPr>
          <w:trHeight w:val="496" w:hRule="exact"/>
        </w:trPr>
        <w:tc>
          <w:tcPr>
            <w:tcW w:w="496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749" w:right="0"/>
              <w:jc w:val="left"/>
              <w:rPr>
                <w:rFonts w:ascii="黑体" w:hAnsi="黑体" w:cs="黑体" w:eastAsia="黑体" w:hint="default"/>
                <w:sz w:val="20"/>
                <w:szCs w:val="20"/>
              </w:rPr>
            </w:pPr>
            <w:r>
              <w:rPr>
                <w:rFonts w:ascii="黑体" w:hAnsi="黑体" w:cs="黑体" w:eastAsia="黑体" w:hint="default"/>
                <w:sz w:val="20"/>
                <w:szCs w:val="20"/>
              </w:rPr>
              <w:t>存货包括原材料、库存商品、周转材料。</w:t>
            </w:r>
          </w:p>
        </w:tc>
        <w:tc>
          <w:tcPr>
            <w:tcW w:w="2102"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nil" w:sz="6" w:space="0" w:color="auto"/>
            </w:tcBorders>
          </w:tcPr>
          <w:p>
            <w:pPr/>
          </w:p>
        </w:tc>
      </w:tr>
    </w:tbl>
    <w:p>
      <w:pPr>
        <w:spacing w:line="240" w:lineRule="auto" w:before="3"/>
        <w:rPr>
          <w:rFonts w:ascii="黑体" w:hAnsi="黑体" w:cs="黑体" w:eastAsia="黑体" w:hint="default"/>
          <w:sz w:val="15"/>
          <w:szCs w:val="15"/>
        </w:rPr>
      </w:pPr>
    </w:p>
    <w:p>
      <w:pPr>
        <w:pStyle w:val="BodyText"/>
        <w:spacing w:line="276" w:lineRule="auto" w:before="38"/>
        <w:ind w:left="855" w:right="147"/>
        <w:jc w:val="both"/>
      </w:pPr>
      <w:r>
        <w:rPr>
          <w:spacing w:val="-1"/>
        </w:rPr>
        <w:t>存货按照成本进行初始计量。存货成本包括采购成本、加工成本和其他成本。发出存货，</w:t>
      </w:r>
      <w:r>
        <w:rPr>
          <w:spacing w:val="-72"/>
        </w:rPr>
        <w:t> </w:t>
      </w:r>
      <w:r>
        <w:rPr>
          <w:spacing w:val="-72"/>
        </w:rPr>
      </w:r>
      <w:r>
        <w:rPr>
          <w:spacing w:val="-1"/>
        </w:rPr>
        <w:t>采用加权平均法确定其实际成本。周转材料包括低值易耗品和包装物等，低值易耗品和包</w:t>
      </w:r>
      <w:r>
        <w:rPr>
          <w:spacing w:val="-80"/>
        </w:rPr>
        <w:t> </w:t>
      </w:r>
      <w:r>
        <w:rPr>
          <w:spacing w:val="-80"/>
        </w:rPr>
      </w:r>
      <w:r>
        <w:rPr/>
        <w:t>装物釆用一次转销法进行摊销。</w:t>
      </w:r>
    </w:p>
    <w:p>
      <w:pPr>
        <w:spacing w:line="240" w:lineRule="auto" w:before="7"/>
        <w:rPr>
          <w:rFonts w:ascii="黑体" w:hAnsi="黑体" w:cs="黑体" w:eastAsia="黑体" w:hint="default"/>
          <w:sz w:val="23"/>
          <w:szCs w:val="23"/>
        </w:rPr>
      </w:pPr>
    </w:p>
    <w:p>
      <w:pPr>
        <w:pStyle w:val="BodyText"/>
        <w:spacing w:line="240" w:lineRule="auto"/>
        <w:ind w:left="855" w:right="0"/>
        <w:jc w:val="both"/>
      </w:pPr>
      <w:r>
        <w:rPr/>
        <w:t>存货的盘存制度采用永续盘存制。</w:t>
      </w:r>
    </w:p>
    <w:p>
      <w:pPr>
        <w:spacing w:line="240" w:lineRule="auto" w:before="11"/>
        <w:rPr>
          <w:rFonts w:ascii="黑体" w:hAnsi="黑体" w:cs="黑体" w:eastAsia="黑体" w:hint="default"/>
          <w:sz w:val="25"/>
          <w:szCs w:val="25"/>
        </w:rPr>
      </w:pPr>
    </w:p>
    <w:p>
      <w:pPr>
        <w:pStyle w:val="BodyText"/>
        <w:spacing w:line="276" w:lineRule="auto"/>
        <w:ind w:left="855" w:right="155"/>
        <w:jc w:val="both"/>
      </w:pPr>
      <w:r>
        <w:rPr>
          <w:spacing w:val="-1"/>
        </w:rPr>
        <w:t>于资产负债表日，存货按照成本与可变现净值孰低计量，对成本高于可变现净值的，计提</w:t>
      </w:r>
      <w:r>
        <w:rPr>
          <w:spacing w:val="-82"/>
        </w:rPr>
        <w:t> </w:t>
      </w:r>
      <w:r>
        <w:rPr>
          <w:spacing w:val="-82"/>
        </w:rPr>
      </w:r>
      <w:r>
        <w:rPr>
          <w:spacing w:val="-1"/>
        </w:rPr>
        <w:t>存货跌价准备，计入当期损益。如果以前计提存货跌价准备的影响因素已经消失，使得存</w:t>
      </w:r>
      <w:r>
        <w:rPr>
          <w:spacing w:val="-81"/>
        </w:rPr>
        <w:t> </w:t>
      </w:r>
      <w:r>
        <w:rPr>
          <w:spacing w:val="-81"/>
        </w:rPr>
      </w:r>
      <w:r>
        <w:rPr>
          <w:spacing w:val="-1"/>
        </w:rPr>
        <w:t>货的可变现净值高于其账面价值，则在原已计提的存货跌价准备金额内，将以前减记的金</w:t>
      </w:r>
      <w:r>
        <w:rPr>
          <w:spacing w:val="-80"/>
        </w:rPr>
        <w:t> </w:t>
      </w:r>
      <w:r>
        <w:rPr>
          <w:spacing w:val="-80"/>
        </w:rPr>
      </w:r>
      <w:r>
        <w:rPr/>
        <w:t>额予以恢复，转回的金额计入当期损益。</w:t>
      </w:r>
    </w:p>
    <w:p>
      <w:pPr>
        <w:spacing w:line="240" w:lineRule="auto" w:before="7"/>
        <w:rPr>
          <w:rFonts w:ascii="黑体" w:hAnsi="黑体" w:cs="黑体" w:eastAsia="黑体" w:hint="default"/>
          <w:sz w:val="23"/>
          <w:szCs w:val="23"/>
        </w:rPr>
      </w:pPr>
    </w:p>
    <w:p>
      <w:pPr>
        <w:pStyle w:val="BodyText"/>
        <w:spacing w:line="276" w:lineRule="auto"/>
        <w:ind w:left="855" w:right="155"/>
        <w:jc w:val="both"/>
      </w:pPr>
      <w:r>
        <w:rPr>
          <w:spacing w:val="-1"/>
        </w:rPr>
        <w:t>可变现净值，是指在日常活动中，存货的估计售价减去至完工时估计将要发生的成本、估</w:t>
      </w:r>
      <w:r>
        <w:rPr>
          <w:spacing w:val="-81"/>
        </w:rPr>
        <w:t> </w:t>
      </w:r>
      <w:r>
        <w:rPr>
          <w:spacing w:val="-81"/>
        </w:rPr>
      </w:r>
      <w:r>
        <w:rPr>
          <w:spacing w:val="-1"/>
        </w:rPr>
        <w:t>计的销售费用以及相关税费后的金额。计提存货跌价准备时，原材料按类别计提，产成品</w:t>
      </w:r>
      <w:r>
        <w:rPr>
          <w:spacing w:val="-81"/>
        </w:rPr>
        <w:t> </w:t>
      </w:r>
      <w:r>
        <w:rPr>
          <w:spacing w:val="-81"/>
        </w:rPr>
      </w:r>
      <w:r>
        <w:rPr/>
        <w:t>按单个存货项目计提。</w:t>
      </w:r>
    </w:p>
    <w:p>
      <w:pPr>
        <w:spacing w:after="0" w:line="276" w:lineRule="auto"/>
        <w:jc w:val="both"/>
        <w:sectPr>
          <w:pgSz w:w="11910" w:h="16840"/>
          <w:pgMar w:header="958" w:footer="473" w:top="2380" w:bottom="660" w:left="1560" w:right="154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13"/>
        <w:rPr>
          <w:rFonts w:ascii="黑体" w:hAnsi="黑体" w:cs="黑体" w:eastAsia="黑体" w:hint="default"/>
          <w:b/>
          <w:bCs/>
          <w:sz w:val="18"/>
          <w:szCs w:val="18"/>
        </w:rPr>
      </w:pPr>
    </w:p>
    <w:p>
      <w:pPr>
        <w:tabs>
          <w:tab w:pos="8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12.</w:t>
        <w:tab/>
      </w:r>
      <w:r>
        <w:rPr>
          <w:rFonts w:ascii="黑体" w:hAnsi="黑体" w:cs="黑体" w:eastAsia="黑体" w:hint="default"/>
          <w:b/>
          <w:bCs/>
          <w:sz w:val="20"/>
          <w:szCs w:val="20"/>
        </w:rPr>
        <w:t>长期股权投资</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76" w:lineRule="auto"/>
        <w:ind w:right="128"/>
        <w:jc w:val="both"/>
      </w:pPr>
      <w:r>
        <w:rPr>
          <w:spacing w:val="-1"/>
        </w:rPr>
        <w:t>长期股权投资包括对子公司、合营企业和联营企业的权益性投资，以及对被投资单位不具</w:t>
      </w:r>
      <w:r>
        <w:rPr>
          <w:spacing w:val="-79"/>
        </w:rPr>
        <w:t> </w:t>
      </w:r>
      <w:r>
        <w:rPr>
          <w:spacing w:val="-79"/>
        </w:rPr>
      </w:r>
      <w:r>
        <w:rPr>
          <w:spacing w:val="-1"/>
        </w:rPr>
        <w:t>有控制、共同控制或重大影响，且在活跃市场中没有报价、公允价值不能可靠计量的权益</w:t>
      </w:r>
      <w:r>
        <w:rPr>
          <w:spacing w:val="-81"/>
        </w:rPr>
        <w:t> </w:t>
      </w:r>
      <w:r>
        <w:rPr>
          <w:spacing w:val="-81"/>
        </w:rPr>
      </w:r>
      <w:r>
        <w:rPr/>
        <w:t>性投资。</w:t>
      </w:r>
    </w:p>
    <w:p>
      <w:pPr>
        <w:spacing w:line="240" w:lineRule="auto" w:before="7"/>
        <w:rPr>
          <w:rFonts w:ascii="黑体" w:hAnsi="黑体" w:cs="黑体" w:eastAsia="黑体" w:hint="default"/>
          <w:sz w:val="23"/>
          <w:szCs w:val="23"/>
        </w:rPr>
      </w:pPr>
    </w:p>
    <w:p>
      <w:pPr>
        <w:pStyle w:val="BodyText"/>
        <w:spacing w:line="276" w:lineRule="auto"/>
        <w:ind w:right="126"/>
        <w:jc w:val="both"/>
      </w:pPr>
      <w:r>
        <w:rPr>
          <w:spacing w:val="3"/>
        </w:rPr>
        <w:t>长期股权投资在取得时以初始投资成本进行初始计量。对于企业合并形成的长期股权投</w:t>
      </w:r>
      <w:r>
        <w:rPr>
          <w:spacing w:val="-48"/>
        </w:rPr>
        <w:t> </w:t>
      </w:r>
      <w:r>
        <w:rPr>
          <w:spacing w:val="-1"/>
        </w:rPr>
        <w:t>资，通过同一控制下的企业合并取得的，以取得被合并方所有者权益账面价值的份额作为</w:t>
      </w:r>
      <w:r>
        <w:rPr>
          <w:spacing w:val="-79"/>
        </w:rPr>
        <w:t> </w:t>
      </w:r>
      <w:r>
        <w:rPr>
          <w:spacing w:val="-79"/>
        </w:rPr>
      </w:r>
      <w:r>
        <w:rPr>
          <w:spacing w:val="-1"/>
        </w:rPr>
        <w:t>初始投资成本；通过非同一控制下的企业合并取得的，以合并成本作为初始投资成本。除</w:t>
      </w:r>
      <w:r>
        <w:rPr>
          <w:spacing w:val="-81"/>
        </w:rPr>
        <w:t> </w:t>
      </w:r>
      <w:r>
        <w:rPr>
          <w:spacing w:val="-81"/>
        </w:rPr>
      </w:r>
      <w:r>
        <w:rPr>
          <w:spacing w:val="-1"/>
        </w:rPr>
        <w:t>企业合并形成的长期股权投资以外方式取得的长期股权投资，按照下列方法确定初始投资</w:t>
      </w:r>
      <w:r>
        <w:rPr>
          <w:spacing w:val="-81"/>
        </w:rPr>
        <w:t> </w:t>
      </w:r>
      <w:r>
        <w:rPr>
          <w:spacing w:val="-81"/>
        </w:rPr>
      </w:r>
      <w:r>
        <w:rPr>
          <w:spacing w:val="-1"/>
        </w:rPr>
        <w:t>成本：支付现金取得的，以实际支付的购买价款及与取得长期股权投资直接相关的费用、</w:t>
      </w:r>
      <w:r>
        <w:rPr>
          <w:spacing w:val="-72"/>
        </w:rPr>
        <w:t> </w:t>
      </w:r>
      <w:r>
        <w:rPr>
          <w:spacing w:val="-72"/>
        </w:rPr>
      </w:r>
      <w:r>
        <w:rPr>
          <w:spacing w:val="-1"/>
        </w:rPr>
        <w:t>税金及其他必要支出作为初始投资成本；发行权益性证券取得的，以发行权益性证券的公</w:t>
      </w:r>
      <w:r>
        <w:rPr>
          <w:spacing w:val="-78"/>
        </w:rPr>
        <w:t> </w:t>
      </w:r>
      <w:r>
        <w:rPr>
          <w:spacing w:val="-78"/>
        </w:rPr>
      </w:r>
      <w:r>
        <w:rPr>
          <w:spacing w:val="-1"/>
        </w:rPr>
        <w:t>允价值作为初始投资成本；投资者投入的，以投资合同或协议约定的价值作为初始投资成</w:t>
      </w:r>
      <w:r>
        <w:rPr>
          <w:spacing w:val="-79"/>
        </w:rPr>
        <w:t> </w:t>
      </w:r>
      <w:r>
        <w:rPr>
          <w:spacing w:val="-79"/>
        </w:rPr>
      </w:r>
      <w:r>
        <w:rPr/>
        <w:t>本，但合同或协议约定价值不公允的除外。</w:t>
      </w:r>
    </w:p>
    <w:p>
      <w:pPr>
        <w:spacing w:line="240" w:lineRule="auto" w:before="7"/>
        <w:rPr>
          <w:rFonts w:ascii="黑体" w:hAnsi="黑体" w:cs="黑体" w:eastAsia="黑体" w:hint="default"/>
          <w:sz w:val="23"/>
          <w:szCs w:val="23"/>
        </w:rPr>
      </w:pPr>
    </w:p>
    <w:p>
      <w:pPr>
        <w:pStyle w:val="BodyText"/>
        <w:spacing w:line="276" w:lineRule="auto"/>
        <w:ind w:right="135"/>
        <w:jc w:val="both"/>
      </w:pPr>
      <w:r>
        <w:rPr>
          <w:spacing w:val="-1"/>
        </w:rPr>
        <w:t>本集团对被投资单位不具有共同控制或重大影响，且在活跃市场中没有报价、公允价值不</w:t>
      </w:r>
      <w:r>
        <w:rPr>
          <w:spacing w:val="-80"/>
        </w:rPr>
        <w:t> </w:t>
      </w:r>
      <w:r>
        <w:rPr>
          <w:spacing w:val="-80"/>
        </w:rPr>
      </w:r>
      <w:r>
        <w:rPr>
          <w:spacing w:val="-1"/>
        </w:rPr>
        <w:t>能可靠计量的长期股权投资，采用成本法核算。本公司能够对被投资单位实施控制的长期</w:t>
      </w:r>
      <w:r>
        <w:rPr>
          <w:spacing w:val="-80"/>
        </w:rPr>
        <w:t> </w:t>
      </w:r>
      <w:r>
        <w:rPr>
          <w:spacing w:val="-80"/>
        </w:rPr>
      </w:r>
      <w:r>
        <w:rPr/>
        <w:t>股权投资，在本公司个别财务报表中采用成本法核算。</w:t>
      </w:r>
    </w:p>
    <w:p>
      <w:pPr>
        <w:spacing w:line="240" w:lineRule="auto" w:before="7"/>
        <w:rPr>
          <w:rFonts w:ascii="黑体" w:hAnsi="黑体" w:cs="黑体" w:eastAsia="黑体" w:hint="default"/>
          <w:sz w:val="23"/>
          <w:szCs w:val="23"/>
        </w:rPr>
      </w:pPr>
    </w:p>
    <w:p>
      <w:pPr>
        <w:pStyle w:val="BodyText"/>
        <w:spacing w:line="276" w:lineRule="auto"/>
        <w:ind w:right="135"/>
        <w:jc w:val="both"/>
      </w:pPr>
      <w:r>
        <w:rPr>
          <w:spacing w:val="-1"/>
        </w:rPr>
        <w:t>采用成本法时，长期股权投资按初始投资成本计价，除取得投资时实际支付的价款或对价</w:t>
      </w:r>
      <w:r>
        <w:rPr>
          <w:spacing w:val="-79"/>
        </w:rPr>
        <w:t> </w:t>
      </w:r>
      <w:r>
        <w:rPr>
          <w:spacing w:val="-79"/>
        </w:rPr>
      </w:r>
      <w:r>
        <w:rPr>
          <w:spacing w:val="-1"/>
        </w:rPr>
        <w:t>中包含的已宣告但尚未发放的现金股利或利润外，按享有被投资单位宣告分派的现金股利</w:t>
      </w:r>
      <w:r>
        <w:rPr>
          <w:spacing w:val="-81"/>
        </w:rPr>
        <w:t> </w:t>
      </w:r>
      <w:r>
        <w:rPr>
          <w:spacing w:val="-81"/>
        </w:rPr>
      </w:r>
      <w:r>
        <w:rPr/>
        <w:t>或利润，确认为当期投资收益，并同时根据有关资产减值政策考虑长期投资是否减值。</w:t>
      </w:r>
    </w:p>
    <w:p>
      <w:pPr>
        <w:spacing w:line="240" w:lineRule="auto" w:before="7"/>
        <w:rPr>
          <w:rFonts w:ascii="黑体" w:hAnsi="黑体" w:cs="黑体" w:eastAsia="黑体" w:hint="default"/>
          <w:sz w:val="23"/>
          <w:szCs w:val="23"/>
        </w:rPr>
      </w:pPr>
    </w:p>
    <w:p>
      <w:pPr>
        <w:pStyle w:val="BodyText"/>
        <w:spacing w:line="276" w:lineRule="auto"/>
        <w:ind w:right="135"/>
        <w:jc w:val="both"/>
      </w:pPr>
      <w:r>
        <w:rPr>
          <w:spacing w:val="-1"/>
        </w:rPr>
        <w:t>本集团对被投资单位具有共同控制或重大影响的，长期股权投资采用权益法核算。共同控</w:t>
      </w:r>
      <w:r>
        <w:rPr>
          <w:spacing w:val="-79"/>
        </w:rPr>
        <w:t> </w:t>
      </w:r>
      <w:r>
        <w:rPr>
          <w:spacing w:val="-79"/>
        </w:rPr>
      </w:r>
      <w:r>
        <w:rPr>
          <w:spacing w:val="-1"/>
        </w:rPr>
        <w:t>制，是指按照合同约定对某项经济活动所共有的控制，仅在与该项经济活动相关的重要财</w:t>
      </w:r>
      <w:r>
        <w:rPr>
          <w:spacing w:val="-79"/>
        </w:rPr>
        <w:t> </w:t>
      </w:r>
      <w:r>
        <w:rPr>
          <w:spacing w:val="-79"/>
        </w:rPr>
      </w:r>
      <w:r>
        <w:rPr>
          <w:spacing w:val="-1"/>
        </w:rPr>
        <w:t>务和经营决策需要分享控制权的投资方一致同意时存在。重大影响，是指对一个企业的财</w:t>
      </w:r>
      <w:r>
        <w:rPr>
          <w:spacing w:val="-79"/>
        </w:rPr>
        <w:t> </w:t>
      </w:r>
      <w:r>
        <w:rPr>
          <w:spacing w:val="-79"/>
        </w:rPr>
      </w:r>
      <w:r>
        <w:rPr>
          <w:spacing w:val="-1"/>
        </w:rPr>
        <w:t>务和经营政策有参与决策的权力，但并不能够控制或者与其他方一起共同控制这些政策的</w:t>
      </w:r>
      <w:r>
        <w:rPr>
          <w:spacing w:val="-81"/>
        </w:rPr>
        <w:t> </w:t>
      </w:r>
      <w:r>
        <w:rPr>
          <w:spacing w:val="-81"/>
        </w:rPr>
      </w:r>
      <w:r>
        <w:rPr/>
        <w:t>制定。</w:t>
      </w:r>
    </w:p>
    <w:p>
      <w:pPr>
        <w:spacing w:line="240" w:lineRule="auto" w:before="7"/>
        <w:rPr>
          <w:rFonts w:ascii="黑体" w:hAnsi="黑体" w:cs="黑体" w:eastAsia="黑体" w:hint="default"/>
          <w:sz w:val="23"/>
          <w:szCs w:val="23"/>
        </w:rPr>
      </w:pPr>
    </w:p>
    <w:p>
      <w:pPr>
        <w:pStyle w:val="BodyText"/>
        <w:spacing w:line="276" w:lineRule="auto"/>
        <w:ind w:right="135"/>
        <w:jc w:val="both"/>
      </w:pPr>
      <w:r>
        <w:rPr>
          <w:spacing w:val="-1"/>
        </w:rPr>
        <w:t>采用权益法时，长期股权投资的初始投资成本大于投资时应享有被投资单位可辨认净资产</w:t>
      </w:r>
      <w:r>
        <w:rPr>
          <w:spacing w:val="-81"/>
        </w:rPr>
        <w:t> </w:t>
      </w:r>
      <w:r>
        <w:rPr>
          <w:spacing w:val="-81"/>
        </w:rPr>
      </w:r>
      <w:r>
        <w:rPr>
          <w:spacing w:val="-1"/>
        </w:rPr>
        <w:t>公允价值份额的，归入长期股权投资的初始投资成本；长期股权投资的初始投资成本小于</w:t>
      </w:r>
      <w:r>
        <w:rPr>
          <w:spacing w:val="-79"/>
        </w:rPr>
        <w:t> </w:t>
      </w:r>
      <w:r>
        <w:rPr>
          <w:spacing w:val="-79"/>
        </w:rPr>
      </w:r>
      <w:r>
        <w:rPr>
          <w:spacing w:val="-1"/>
        </w:rPr>
        <w:t>投资时应享有被投资单位可辨认净资产公允价值份额的，其差额计入当期损益，同时调整</w:t>
      </w:r>
      <w:r>
        <w:rPr>
          <w:spacing w:val="-79"/>
        </w:rPr>
        <w:t> </w:t>
      </w:r>
      <w:r>
        <w:rPr>
          <w:spacing w:val="-79"/>
        </w:rPr>
      </w:r>
      <w:r>
        <w:rPr/>
        <w:t>长期股权投资的成本。</w:t>
      </w:r>
    </w:p>
    <w:p>
      <w:pPr>
        <w:spacing w:after="0" w:line="276" w:lineRule="auto"/>
        <w:jc w:val="both"/>
        <w:sectPr>
          <w:pgSz w:w="11910" w:h="16840"/>
          <w:pgMar w:header="958" w:footer="473" w:top="2380" w:bottom="660" w:left="1600" w:right="156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4"/>
        <w:rPr>
          <w:rFonts w:ascii="黑体" w:hAnsi="黑体" w:cs="黑体" w:eastAsia="黑体" w:hint="default"/>
          <w:b/>
          <w:bCs/>
          <w:sz w:val="24"/>
          <w:szCs w:val="24"/>
        </w:rPr>
      </w:pPr>
    </w:p>
    <w:p>
      <w:pPr>
        <w:tabs>
          <w:tab w:pos="8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12.</w:t>
        <w:tab/>
      </w:r>
      <w:r>
        <w:rPr>
          <w:rFonts w:ascii="黑体" w:hAnsi="黑体" w:cs="黑体" w:eastAsia="黑体" w:hint="default"/>
          <w:b/>
          <w:bCs/>
          <w:sz w:val="20"/>
          <w:szCs w:val="20"/>
        </w:rPr>
        <w:t>长期股权投资（续）</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73" w:lineRule="auto"/>
        <w:ind w:right="132"/>
        <w:jc w:val="both"/>
      </w:pPr>
      <w:r>
        <w:rPr>
          <w:spacing w:val="-1"/>
        </w:rPr>
        <w:t>采用权益法时，取得长期股权投资后，按照应享有或应分担的被投资单位实现的净损益的</w:t>
      </w:r>
      <w:r>
        <w:rPr>
          <w:spacing w:val="-79"/>
        </w:rPr>
        <w:t> </w:t>
      </w:r>
      <w:r>
        <w:rPr>
          <w:spacing w:val="-79"/>
        </w:rPr>
      </w:r>
      <w:r>
        <w:rPr>
          <w:spacing w:val="-1"/>
        </w:rPr>
        <w:t>份额，确认投资损益并调整长期股权投资的账面价值。在确认应享有被投资单位净损益的</w:t>
      </w:r>
      <w:r>
        <w:rPr>
          <w:spacing w:val="-79"/>
        </w:rPr>
        <w:t> </w:t>
      </w:r>
      <w:r>
        <w:rPr>
          <w:spacing w:val="-79"/>
        </w:rPr>
      </w:r>
      <w:r>
        <w:rPr>
          <w:spacing w:val="-1"/>
        </w:rPr>
        <w:t>份额时，以取得投资时被投资单位各项可辨认资产等的公允价值为基础，按照本集团的会</w:t>
      </w:r>
      <w:r>
        <w:rPr>
          <w:spacing w:val="-80"/>
        </w:rPr>
        <w:t> </w:t>
      </w:r>
      <w:r>
        <w:rPr>
          <w:spacing w:val="-80"/>
        </w:rPr>
      </w:r>
      <w:r>
        <w:rPr>
          <w:spacing w:val="-1"/>
        </w:rPr>
        <w:t>计政策及会计期间，并抵销与联营企业及合营企业之间发生的内部交易损益按照持股比例</w:t>
      </w:r>
      <w:r>
        <w:rPr>
          <w:spacing w:val="-81"/>
        </w:rPr>
        <w:t> </w:t>
      </w:r>
      <w:r>
        <w:rPr>
          <w:spacing w:val="-81"/>
        </w:rPr>
      </w:r>
      <w:r>
        <w:rPr/>
        <w:t>计算归属于投资企业的部分</w:t>
      </w:r>
      <w:r>
        <w:rPr>
          <w:rFonts w:ascii="Arial" w:hAnsi="Arial" w:cs="Arial" w:eastAsia="Arial" w:hint="default"/>
        </w:rPr>
        <w:t>(</w:t>
      </w:r>
      <w:r>
        <w:rPr/>
        <w:t>但内部交易损失属于资产减值损失的，应全额确认</w:t>
      </w:r>
      <w:r>
        <w:rPr>
          <w:rFonts w:ascii="Arial" w:hAnsi="Arial" w:cs="Arial" w:eastAsia="Arial" w:hint="default"/>
        </w:rPr>
        <w:t>)</w:t>
      </w:r>
      <w:r>
        <w:rPr/>
        <w:t>，对被投</w:t>
      </w:r>
      <w:r>
        <w:rPr>
          <w:spacing w:val="-48"/>
        </w:rPr>
        <w:t> </w:t>
      </w:r>
      <w:r>
        <w:rPr>
          <w:spacing w:val="-48"/>
        </w:rPr>
      </w:r>
      <w:r>
        <w:rPr>
          <w:spacing w:val="-1"/>
        </w:rPr>
        <w:t>资单位的净利润进行调整后确认。对于首次执行企业会计准则之前已经持有的对联营企业</w:t>
      </w:r>
      <w:r>
        <w:rPr>
          <w:spacing w:val="-81"/>
        </w:rPr>
        <w:t> </w:t>
      </w:r>
      <w:r>
        <w:rPr>
          <w:spacing w:val="-81"/>
        </w:rPr>
      </w:r>
      <w:r>
        <w:rPr>
          <w:spacing w:val="-1"/>
        </w:rPr>
        <w:t>及合营企业的长期股权投资，如存在与该投资相关的股权投资借方差额，还应扣除按原剩</w:t>
      </w:r>
      <w:r>
        <w:rPr>
          <w:spacing w:val="-80"/>
        </w:rPr>
        <w:t> </w:t>
      </w:r>
      <w:r>
        <w:rPr>
          <w:spacing w:val="-80"/>
        </w:rPr>
      </w:r>
      <w:r>
        <w:rPr>
          <w:spacing w:val="-1"/>
        </w:rPr>
        <w:t>余期限直线摊销的股权投资借方差额，确认投资损益。按照被投资单位宣告分派的利润或</w:t>
      </w:r>
      <w:r>
        <w:rPr>
          <w:spacing w:val="-78"/>
        </w:rPr>
        <w:t> </w:t>
      </w:r>
      <w:r>
        <w:rPr>
          <w:spacing w:val="-78"/>
        </w:rPr>
      </w:r>
      <w:r>
        <w:rPr>
          <w:spacing w:val="-1"/>
        </w:rPr>
        <w:t>现金股利计算应分得的部分，相应减少长期股权投资的账面价值。本集团确认被投资单位</w:t>
      </w:r>
      <w:r>
        <w:rPr>
          <w:spacing w:val="-79"/>
        </w:rPr>
        <w:t> </w:t>
      </w:r>
      <w:r>
        <w:rPr>
          <w:spacing w:val="-79"/>
        </w:rPr>
      </w:r>
      <w:r>
        <w:rPr>
          <w:spacing w:val="-1"/>
        </w:rPr>
        <w:t>发生的净亏损，以长期股权投资的账面价值以及其他实质上构成对被投资单位净投资的长</w:t>
      </w:r>
      <w:r>
        <w:rPr>
          <w:spacing w:val="-81"/>
        </w:rPr>
        <w:t> </w:t>
      </w:r>
      <w:r>
        <w:rPr>
          <w:spacing w:val="-81"/>
        </w:rPr>
      </w:r>
      <w:r>
        <w:rPr>
          <w:spacing w:val="-1"/>
        </w:rPr>
        <w:t>期权益减记至零为限，本集团负有承担额外损失义务的除外。对于被投资单位除净损益以</w:t>
      </w:r>
      <w:r>
        <w:rPr>
          <w:spacing w:val="-80"/>
        </w:rPr>
        <w:t> </w:t>
      </w:r>
      <w:r>
        <w:rPr>
          <w:spacing w:val="-80"/>
        </w:rPr>
      </w:r>
      <w:r>
        <w:rPr>
          <w:spacing w:val="-1"/>
        </w:rPr>
        <w:t>外股东权益的其他变动，调整长期股权投资的账面价值并计入股东权益，待处置该项投资</w:t>
      </w:r>
      <w:r>
        <w:rPr>
          <w:spacing w:val="-79"/>
        </w:rPr>
        <w:t> </w:t>
      </w:r>
      <w:r>
        <w:rPr>
          <w:spacing w:val="-79"/>
        </w:rPr>
      </w:r>
      <w:r>
        <w:rPr/>
        <w:t>时按相应比例转入当期损益。</w:t>
      </w:r>
    </w:p>
    <w:p>
      <w:pPr>
        <w:spacing w:line="240" w:lineRule="auto" w:before="9"/>
        <w:rPr>
          <w:rFonts w:ascii="黑体" w:hAnsi="黑体" w:cs="黑体" w:eastAsia="黑体" w:hint="default"/>
          <w:sz w:val="23"/>
          <w:szCs w:val="23"/>
        </w:rPr>
      </w:pPr>
    </w:p>
    <w:p>
      <w:pPr>
        <w:pStyle w:val="BodyText"/>
        <w:spacing w:line="276" w:lineRule="auto"/>
        <w:ind w:right="135"/>
        <w:jc w:val="both"/>
      </w:pPr>
      <w:r>
        <w:rPr>
          <w:spacing w:val="-1"/>
        </w:rPr>
        <w:t>处置长期股权投资，其账面价值与实际取得价款的差额，计入当期损益。采用权益法核算</w:t>
      </w:r>
      <w:r>
        <w:rPr>
          <w:spacing w:val="-82"/>
        </w:rPr>
        <w:t> </w:t>
      </w:r>
      <w:r>
        <w:rPr>
          <w:spacing w:val="-82"/>
        </w:rPr>
      </w:r>
      <w:r>
        <w:rPr/>
        <w:t>的长期股权投资，在处置时将原计入股东权益的部分按相应的比例转入当期损益。</w:t>
      </w:r>
    </w:p>
    <w:p>
      <w:pPr>
        <w:spacing w:line="240" w:lineRule="auto" w:before="7"/>
        <w:rPr>
          <w:rFonts w:ascii="黑体" w:hAnsi="黑体" w:cs="黑体" w:eastAsia="黑体" w:hint="default"/>
          <w:sz w:val="23"/>
          <w:szCs w:val="23"/>
        </w:rPr>
      </w:pPr>
    </w:p>
    <w:p>
      <w:pPr>
        <w:pStyle w:val="BodyText"/>
        <w:spacing w:line="268" w:lineRule="auto"/>
        <w:ind w:right="135"/>
        <w:jc w:val="both"/>
      </w:pPr>
      <w:r>
        <w:rPr>
          <w:spacing w:val="-1"/>
        </w:rPr>
        <w:t>对子公司、合营企业、联营企业的长期股权投资减值测试方法及减值准备计提方法，详见</w:t>
      </w:r>
      <w:r>
        <w:rPr>
          <w:spacing w:val="-81"/>
        </w:rPr>
        <w:t> </w:t>
      </w:r>
      <w:r>
        <w:rPr>
          <w:spacing w:val="-81"/>
        </w:rPr>
      </w:r>
      <w:r>
        <w:rPr>
          <w:spacing w:val="-2"/>
        </w:rPr>
        <w:t>附注二、</w:t>
      </w:r>
      <w:r>
        <w:rPr>
          <w:rFonts w:ascii="Arial" w:hAnsi="Arial" w:cs="Arial" w:eastAsia="Arial" w:hint="default"/>
          <w:spacing w:val="-2"/>
        </w:rPr>
        <w:t>27</w:t>
      </w:r>
      <w:r>
        <w:rPr>
          <w:spacing w:val="-2"/>
        </w:rPr>
        <w:t>。在活跃市场没有报价且公允价值不能可靠计量的其他长期股权投资减值测试</w:t>
      </w:r>
      <w:r>
        <w:rPr>
          <w:spacing w:val="-60"/>
        </w:rPr>
        <w:t> </w:t>
      </w:r>
      <w:r>
        <w:rPr>
          <w:spacing w:val="-60"/>
        </w:rPr>
      </w:r>
      <w:r>
        <w:rPr/>
        <w:t>方法及减值准备计提方法，详见附注二、</w:t>
      </w:r>
      <w:r>
        <w:rPr>
          <w:rFonts w:ascii="Arial" w:hAnsi="Arial" w:cs="Arial" w:eastAsia="Arial" w:hint="default"/>
        </w:rPr>
        <w:t>9</w:t>
      </w:r>
      <w:r>
        <w:rPr/>
        <w:t>。</w:t>
      </w:r>
    </w:p>
    <w:p>
      <w:pPr>
        <w:spacing w:line="240" w:lineRule="auto" w:before="9"/>
        <w:rPr>
          <w:rFonts w:ascii="黑体" w:hAnsi="黑体" w:cs="黑体" w:eastAsia="黑体" w:hint="default"/>
          <w:sz w:val="22"/>
          <w:szCs w:val="22"/>
        </w:rPr>
      </w:pPr>
    </w:p>
    <w:p>
      <w:pPr>
        <w:tabs>
          <w:tab w:pos="8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13.</w:t>
        <w:tab/>
      </w:r>
      <w:r>
        <w:rPr>
          <w:rFonts w:ascii="黑体" w:hAnsi="黑体" w:cs="黑体" w:eastAsia="黑体" w:hint="default"/>
          <w:b/>
          <w:bCs/>
          <w:sz w:val="20"/>
          <w:szCs w:val="20"/>
        </w:rPr>
        <w:t>投资性房地产</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76" w:lineRule="auto"/>
        <w:ind w:right="135"/>
        <w:jc w:val="both"/>
      </w:pPr>
      <w:r>
        <w:rPr>
          <w:spacing w:val="-1"/>
        </w:rPr>
        <w:t>投资性房地产，是指为赚取租金或资本增值，或两者兼有而持有的房地产，包括已出租的</w:t>
      </w:r>
      <w:r>
        <w:rPr>
          <w:spacing w:val="-82"/>
        </w:rPr>
        <w:t> </w:t>
      </w:r>
      <w:r>
        <w:rPr>
          <w:spacing w:val="-82"/>
        </w:rPr>
      </w:r>
      <w:r>
        <w:rPr/>
        <w:t>建筑物。</w:t>
      </w:r>
    </w:p>
    <w:p>
      <w:pPr>
        <w:spacing w:line="240" w:lineRule="auto" w:before="7"/>
        <w:rPr>
          <w:rFonts w:ascii="黑体" w:hAnsi="黑体" w:cs="黑体" w:eastAsia="黑体" w:hint="default"/>
          <w:sz w:val="23"/>
          <w:szCs w:val="23"/>
        </w:rPr>
      </w:pPr>
    </w:p>
    <w:p>
      <w:pPr>
        <w:pStyle w:val="BodyText"/>
        <w:spacing w:line="276" w:lineRule="auto"/>
        <w:ind w:right="135"/>
        <w:jc w:val="both"/>
      </w:pPr>
      <w:r>
        <w:rPr>
          <w:spacing w:val="-1"/>
        </w:rPr>
        <w:t>投资性房地产按照成本进行初始计量。与投资性房地产有关的后续支出，如果与该资产有</w:t>
      </w:r>
      <w:r>
        <w:rPr>
          <w:spacing w:val="-79"/>
        </w:rPr>
        <w:t> </w:t>
      </w:r>
      <w:r>
        <w:rPr>
          <w:spacing w:val="-79"/>
        </w:rPr>
      </w:r>
      <w:r>
        <w:rPr>
          <w:spacing w:val="-1"/>
        </w:rPr>
        <w:t>关的经济利益很可能流入且其成本能够可靠地计量，则计入投资性房地产成本。否则，于</w:t>
      </w:r>
      <w:r>
        <w:rPr>
          <w:spacing w:val="-80"/>
        </w:rPr>
        <w:t> </w:t>
      </w:r>
      <w:r>
        <w:rPr>
          <w:spacing w:val="-80"/>
        </w:rPr>
      </w:r>
      <w:r>
        <w:rPr/>
        <w:t>发生时计入当期损益。</w:t>
      </w:r>
    </w:p>
    <w:p>
      <w:pPr>
        <w:spacing w:line="240" w:lineRule="auto" w:before="7"/>
        <w:rPr>
          <w:rFonts w:ascii="黑体" w:hAnsi="黑体" w:cs="黑体" w:eastAsia="黑体" w:hint="default"/>
          <w:sz w:val="23"/>
          <w:szCs w:val="23"/>
        </w:rPr>
      </w:pPr>
    </w:p>
    <w:p>
      <w:pPr>
        <w:pStyle w:val="BodyText"/>
        <w:spacing w:line="276" w:lineRule="auto"/>
        <w:ind w:right="135"/>
        <w:jc w:val="both"/>
      </w:pPr>
      <w:r>
        <w:rPr>
          <w:spacing w:val="-1"/>
        </w:rPr>
        <w:t>本集团采用成本模式对投资性房地产进行后续计量。投资性房地产的折旧采用年限平均法</w:t>
      </w:r>
      <w:r>
        <w:rPr>
          <w:spacing w:val="-80"/>
        </w:rPr>
        <w:t> </w:t>
      </w:r>
      <w:r>
        <w:rPr>
          <w:spacing w:val="-80"/>
        </w:rPr>
      </w:r>
      <w:r>
        <w:rPr/>
        <w:t>计提，其使用寿命为</w:t>
      </w:r>
      <w:r>
        <w:rPr>
          <w:rFonts w:ascii="Arial" w:hAnsi="Arial" w:cs="Arial" w:eastAsia="Arial" w:hint="default"/>
        </w:rPr>
        <w:t>40</w:t>
      </w:r>
      <w:r>
        <w:rPr/>
        <w:t>年，预计净残值为</w:t>
      </w:r>
      <w:r>
        <w:rPr>
          <w:rFonts w:ascii="Arial" w:hAnsi="Arial" w:cs="Arial" w:eastAsia="Arial" w:hint="default"/>
        </w:rPr>
        <w:t>5%</w:t>
      </w:r>
      <w:r>
        <w:rPr/>
        <w:t>，年折旧率为</w:t>
      </w:r>
      <w:r>
        <w:rPr>
          <w:rFonts w:ascii="Arial" w:hAnsi="Arial" w:cs="Arial" w:eastAsia="Arial" w:hint="default"/>
        </w:rPr>
        <w:t>2.4%</w:t>
      </w:r>
      <w:r>
        <w:rPr/>
        <w:t>。</w:t>
      </w:r>
    </w:p>
    <w:p>
      <w:pPr>
        <w:spacing w:line="240" w:lineRule="auto" w:before="3"/>
        <w:rPr>
          <w:rFonts w:ascii="黑体" w:hAnsi="黑体" w:cs="黑体" w:eastAsia="黑体" w:hint="default"/>
          <w:sz w:val="22"/>
          <w:szCs w:val="22"/>
        </w:rPr>
      </w:pPr>
    </w:p>
    <w:p>
      <w:pPr>
        <w:pStyle w:val="BodyText"/>
        <w:spacing w:line="276" w:lineRule="auto"/>
        <w:ind w:right="135"/>
        <w:jc w:val="both"/>
      </w:pPr>
      <w:r>
        <w:rPr>
          <w:spacing w:val="-1"/>
        </w:rPr>
        <w:t>采用成本模式进行后续计量的投资性房地产减值测试方法及减值准备计提方法，详见附注</w:t>
      </w:r>
      <w:r>
        <w:rPr>
          <w:spacing w:val="-80"/>
        </w:rPr>
        <w:t> </w:t>
      </w:r>
      <w:r>
        <w:rPr>
          <w:spacing w:val="-80"/>
        </w:rPr>
      </w:r>
      <w:r>
        <w:rPr/>
        <w:t>二、</w:t>
      </w:r>
      <w:r>
        <w:rPr>
          <w:rFonts w:ascii="Arial" w:hAnsi="Arial" w:cs="Arial" w:eastAsia="Arial" w:hint="default"/>
        </w:rPr>
        <w:t>27</w:t>
      </w:r>
      <w:r>
        <w:rPr/>
        <w:t>。</w:t>
      </w:r>
    </w:p>
    <w:p>
      <w:pPr>
        <w:spacing w:after="0" w:line="276" w:lineRule="auto"/>
        <w:jc w:val="both"/>
        <w:sectPr>
          <w:pgSz w:w="11910" w:h="16840"/>
          <w:pgMar w:header="958" w:footer="473" w:top="2380" w:bottom="660" w:left="1600" w:right="156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4"/>
        <w:rPr>
          <w:rFonts w:ascii="黑体" w:hAnsi="黑体" w:cs="黑体" w:eastAsia="黑体" w:hint="default"/>
          <w:b/>
          <w:bCs/>
          <w:sz w:val="24"/>
          <w:szCs w:val="24"/>
        </w:rPr>
      </w:pPr>
    </w:p>
    <w:p>
      <w:pPr>
        <w:tabs>
          <w:tab w:pos="8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14.</w:t>
        <w:tab/>
      </w:r>
      <w:r>
        <w:rPr>
          <w:rFonts w:ascii="黑体" w:hAnsi="黑体" w:cs="黑体" w:eastAsia="黑体" w:hint="default"/>
          <w:b/>
          <w:bCs/>
          <w:sz w:val="20"/>
          <w:szCs w:val="20"/>
        </w:rPr>
        <w:t>固定资产</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76" w:lineRule="auto"/>
        <w:ind w:right="135"/>
        <w:jc w:val="both"/>
      </w:pPr>
      <w:r>
        <w:rPr>
          <w:spacing w:val="-1"/>
        </w:rPr>
        <w:t>固定资产，是指为生产商品、提供劳务、出租或经营管理而持有的，使用寿命超过一个会</w:t>
      </w:r>
      <w:r>
        <w:rPr>
          <w:spacing w:val="-80"/>
        </w:rPr>
        <w:t> </w:t>
      </w:r>
      <w:r>
        <w:rPr>
          <w:spacing w:val="-80"/>
        </w:rPr>
      </w:r>
      <w:r>
        <w:rPr/>
        <w:t>计年度的有形资产。</w:t>
      </w:r>
    </w:p>
    <w:p>
      <w:pPr>
        <w:spacing w:line="240" w:lineRule="auto" w:before="7"/>
        <w:rPr>
          <w:rFonts w:ascii="黑体" w:hAnsi="黑体" w:cs="黑体" w:eastAsia="黑体" w:hint="default"/>
          <w:sz w:val="23"/>
          <w:szCs w:val="23"/>
        </w:rPr>
      </w:pPr>
    </w:p>
    <w:p>
      <w:pPr>
        <w:pStyle w:val="BodyText"/>
        <w:spacing w:line="276" w:lineRule="auto"/>
        <w:ind w:right="135"/>
        <w:jc w:val="both"/>
      </w:pPr>
      <w:r>
        <w:rPr>
          <w:spacing w:val="-1"/>
        </w:rPr>
        <w:t>固定资产仅在与其有关的经济利益很可能流入本集团，且其成本能够可靠地计量时才予以</w:t>
      </w:r>
      <w:r>
        <w:rPr>
          <w:spacing w:val="-80"/>
        </w:rPr>
        <w:t> </w:t>
      </w:r>
      <w:r>
        <w:rPr>
          <w:spacing w:val="-80"/>
        </w:rPr>
      </w:r>
      <w:r>
        <w:rPr>
          <w:spacing w:val="-1"/>
        </w:rPr>
        <w:t>确认。与固定资产有关的后续支出，符合该确认条件的，计入固定资产成本，并终止确认</w:t>
      </w:r>
      <w:r>
        <w:rPr>
          <w:spacing w:val="-80"/>
        </w:rPr>
        <w:t> </w:t>
      </w:r>
      <w:r>
        <w:rPr>
          <w:spacing w:val="-80"/>
        </w:rPr>
      </w:r>
      <w:r>
        <w:rPr/>
        <w:t>被替换部分的账面价值；否则，在发生时计入当期损益。</w:t>
      </w:r>
    </w:p>
    <w:p>
      <w:pPr>
        <w:spacing w:line="240" w:lineRule="auto" w:before="7"/>
        <w:rPr>
          <w:rFonts w:ascii="黑体" w:hAnsi="黑体" w:cs="黑体" w:eastAsia="黑体" w:hint="default"/>
          <w:sz w:val="23"/>
          <w:szCs w:val="23"/>
        </w:rPr>
      </w:pPr>
    </w:p>
    <w:p>
      <w:pPr>
        <w:pStyle w:val="BodyText"/>
        <w:spacing w:line="276" w:lineRule="auto"/>
        <w:ind w:right="135"/>
        <w:jc w:val="both"/>
      </w:pPr>
      <w:r>
        <w:rPr>
          <w:spacing w:val="-1"/>
        </w:rPr>
        <w:t>固定资产按照成本进行初始计量。购置固定资产的成本包括购买价款、相关税费、使固定</w:t>
      </w:r>
      <w:r>
        <w:rPr>
          <w:spacing w:val="-81"/>
        </w:rPr>
        <w:t> </w:t>
      </w:r>
      <w:r>
        <w:rPr>
          <w:spacing w:val="-81"/>
        </w:rPr>
      </w:r>
      <w:r>
        <w:rPr/>
        <w:t>资产达到预定可使用状态前所发生的可直接归属于该项资产的其他支出。</w:t>
      </w:r>
    </w:p>
    <w:p>
      <w:pPr>
        <w:spacing w:line="240" w:lineRule="auto" w:before="7"/>
        <w:rPr>
          <w:rFonts w:ascii="黑体" w:hAnsi="黑体" w:cs="黑体" w:eastAsia="黑体" w:hint="default"/>
          <w:sz w:val="23"/>
          <w:szCs w:val="23"/>
        </w:rPr>
      </w:pPr>
    </w:p>
    <w:p>
      <w:pPr>
        <w:pStyle w:val="BodyText"/>
        <w:spacing w:line="276" w:lineRule="auto"/>
        <w:ind w:right="135"/>
        <w:jc w:val="both"/>
      </w:pPr>
      <w:r>
        <w:rPr>
          <w:spacing w:val="-1"/>
        </w:rPr>
        <w:t>固定资产的折旧釆用年限平均法计提，各类固定资产的使用寿命、预计净残值率及年折旧</w:t>
      </w:r>
      <w:r>
        <w:rPr>
          <w:spacing w:val="-78"/>
        </w:rPr>
        <w:t> </w:t>
      </w:r>
      <w:r>
        <w:rPr>
          <w:spacing w:val="-78"/>
        </w:rPr>
      </w:r>
      <w:r>
        <w:rPr/>
        <w:t>率如下：</w:t>
      </w:r>
    </w:p>
    <w:p>
      <w:pPr>
        <w:spacing w:line="240" w:lineRule="auto" w:before="8"/>
        <w:rPr>
          <w:rFonts w:ascii="黑体" w:hAnsi="黑体" w:cs="黑体" w:eastAsia="黑体" w:hint="default"/>
          <w:sz w:val="20"/>
          <w:szCs w:val="20"/>
        </w:rPr>
      </w:pPr>
    </w:p>
    <w:tbl>
      <w:tblPr>
        <w:tblW w:w="0" w:type="auto"/>
        <w:jc w:val="left"/>
        <w:tblInd w:w="786" w:type="dxa"/>
        <w:tblLayout w:type="fixed"/>
        <w:tblCellMar>
          <w:top w:w="0" w:type="dxa"/>
          <w:left w:w="0" w:type="dxa"/>
          <w:bottom w:w="0" w:type="dxa"/>
          <w:right w:w="0" w:type="dxa"/>
        </w:tblCellMar>
        <w:tblLook w:val="01E0"/>
      </w:tblPr>
      <w:tblGrid>
        <w:gridCol w:w="2440"/>
        <w:gridCol w:w="2206"/>
        <w:gridCol w:w="1830"/>
        <w:gridCol w:w="1379"/>
      </w:tblGrid>
      <w:tr>
        <w:trPr>
          <w:trHeight w:val="655" w:hRule="exact"/>
        </w:trPr>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sz w:val="25"/>
                <w:szCs w:val="25"/>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房屋及建筑物</w:t>
            </w:r>
          </w:p>
        </w:tc>
        <w:tc>
          <w:tcPr>
            <w:tcW w:w="220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05" w:right="0"/>
              <w:jc w:val="left"/>
              <w:rPr>
                <w:rFonts w:ascii="黑体" w:hAnsi="黑体" w:cs="黑体" w:eastAsia="黑体" w:hint="default"/>
                <w:sz w:val="20"/>
                <w:szCs w:val="20"/>
              </w:rPr>
            </w:pPr>
            <w:r>
              <w:rPr>
                <w:rFonts w:ascii="黑体" w:hAnsi="黑体" w:cs="黑体" w:eastAsia="黑体" w:hint="default"/>
                <w:sz w:val="20"/>
                <w:szCs w:val="20"/>
              </w:rPr>
              <w:t>使用寿命</w:t>
            </w:r>
          </w:p>
          <w:p>
            <w:pPr>
              <w:pStyle w:val="TableParagraph"/>
              <w:spacing w:line="240" w:lineRule="auto" w:before="38"/>
              <w:ind w:left="1383" w:right="0"/>
              <w:jc w:val="left"/>
              <w:rPr>
                <w:rFonts w:ascii="黑体" w:hAnsi="黑体" w:cs="黑体" w:eastAsia="黑体" w:hint="default"/>
                <w:sz w:val="20"/>
                <w:szCs w:val="20"/>
              </w:rPr>
            </w:pPr>
            <w:r>
              <w:rPr>
                <w:rFonts w:ascii="Arial" w:hAnsi="Arial" w:cs="Arial" w:eastAsia="Arial" w:hint="default"/>
                <w:sz w:val="20"/>
                <w:szCs w:val="20"/>
              </w:rPr>
              <w:t>40</w:t>
            </w:r>
            <w:r>
              <w:rPr>
                <w:rFonts w:ascii="黑体" w:hAnsi="黑体" w:cs="黑体" w:eastAsia="黑体" w:hint="default"/>
                <w:sz w:val="20"/>
                <w:szCs w:val="20"/>
              </w:rPr>
              <w:t>年</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98" w:right="0"/>
              <w:jc w:val="left"/>
              <w:rPr>
                <w:rFonts w:ascii="黑体" w:hAnsi="黑体" w:cs="黑体" w:eastAsia="黑体" w:hint="default"/>
                <w:sz w:val="20"/>
                <w:szCs w:val="20"/>
              </w:rPr>
            </w:pPr>
            <w:r>
              <w:rPr>
                <w:rFonts w:ascii="黑体" w:hAnsi="黑体" w:cs="黑体" w:eastAsia="黑体" w:hint="default"/>
                <w:sz w:val="20"/>
                <w:szCs w:val="20"/>
              </w:rPr>
              <w:t>预计净残值</w:t>
            </w:r>
          </w:p>
          <w:p>
            <w:pPr>
              <w:pStyle w:val="TableParagraph"/>
              <w:spacing w:line="240" w:lineRule="auto" w:before="83"/>
              <w:ind w:left="1110" w:right="0"/>
              <w:jc w:val="left"/>
              <w:rPr>
                <w:rFonts w:ascii="Arial" w:hAnsi="Arial" w:cs="Arial" w:eastAsia="Arial" w:hint="default"/>
                <w:sz w:val="20"/>
                <w:szCs w:val="20"/>
              </w:rPr>
            </w:pPr>
            <w:r>
              <w:rPr>
                <w:rFonts w:ascii="Arial"/>
                <w:sz w:val="20"/>
              </w:rPr>
              <w:t>3%</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41" w:right="0"/>
              <w:jc w:val="left"/>
              <w:rPr>
                <w:rFonts w:ascii="黑体" w:hAnsi="黑体" w:cs="黑体" w:eastAsia="黑体" w:hint="default"/>
                <w:sz w:val="20"/>
                <w:szCs w:val="20"/>
              </w:rPr>
            </w:pPr>
            <w:r>
              <w:rPr>
                <w:rFonts w:ascii="黑体" w:hAnsi="黑体" w:cs="黑体" w:eastAsia="黑体" w:hint="default"/>
                <w:sz w:val="20"/>
                <w:szCs w:val="20"/>
              </w:rPr>
              <w:t>年折旧率</w:t>
            </w:r>
          </w:p>
          <w:p>
            <w:pPr>
              <w:pStyle w:val="TableParagraph"/>
              <w:spacing w:line="240" w:lineRule="auto" w:before="83"/>
              <w:ind w:left="887" w:right="0"/>
              <w:jc w:val="left"/>
              <w:rPr>
                <w:rFonts w:ascii="Arial" w:hAnsi="Arial" w:cs="Arial" w:eastAsia="Arial" w:hint="default"/>
                <w:sz w:val="20"/>
                <w:szCs w:val="20"/>
              </w:rPr>
            </w:pPr>
            <w:r>
              <w:rPr>
                <w:rFonts w:ascii="Arial"/>
                <w:sz w:val="20"/>
              </w:rPr>
              <w:t>2.4%</w:t>
            </w:r>
          </w:p>
        </w:tc>
      </w:tr>
      <w:tr>
        <w:trPr>
          <w:trHeight w:val="300" w:hRule="exact"/>
        </w:trPr>
        <w:tc>
          <w:tcPr>
            <w:tcW w:w="2440"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黑体" w:hAnsi="黑体" w:cs="黑体" w:eastAsia="黑体" w:hint="default"/>
                <w:sz w:val="20"/>
                <w:szCs w:val="20"/>
              </w:rPr>
            </w:pPr>
            <w:r>
              <w:rPr>
                <w:rFonts w:ascii="黑体" w:hAnsi="黑体" w:cs="黑体" w:eastAsia="黑体" w:hint="default"/>
                <w:sz w:val="20"/>
                <w:szCs w:val="20"/>
              </w:rPr>
              <w:t>运输工具</w:t>
            </w:r>
          </w:p>
        </w:tc>
        <w:tc>
          <w:tcPr>
            <w:tcW w:w="2206" w:type="dxa"/>
            <w:tcBorders>
              <w:top w:val="nil" w:sz="6" w:space="0" w:color="auto"/>
              <w:left w:val="nil" w:sz="6" w:space="0" w:color="auto"/>
              <w:bottom w:val="nil" w:sz="6" w:space="0" w:color="auto"/>
              <w:right w:val="nil" w:sz="6" w:space="0" w:color="auto"/>
            </w:tcBorders>
          </w:tcPr>
          <w:p>
            <w:pPr>
              <w:pStyle w:val="TableParagraph"/>
              <w:spacing w:line="260" w:lineRule="exact"/>
              <w:ind w:right="398"/>
              <w:jc w:val="right"/>
              <w:rPr>
                <w:rFonts w:ascii="黑体" w:hAnsi="黑体" w:cs="黑体" w:eastAsia="黑体" w:hint="default"/>
                <w:sz w:val="20"/>
                <w:szCs w:val="20"/>
              </w:rPr>
            </w:pPr>
            <w:r>
              <w:rPr>
                <w:rFonts w:ascii="Arial" w:hAnsi="Arial" w:cs="Arial" w:eastAsia="Arial" w:hint="default"/>
                <w:sz w:val="20"/>
                <w:szCs w:val="20"/>
              </w:rPr>
              <w:t>6</w:t>
            </w:r>
            <w:r>
              <w:rPr>
                <w:rFonts w:ascii="黑体" w:hAnsi="黑体" w:cs="黑体" w:eastAsia="黑体" w:hint="default"/>
                <w:sz w:val="20"/>
                <w:szCs w:val="20"/>
              </w:rPr>
              <w:t>年</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428"/>
              <w:jc w:val="right"/>
              <w:rPr>
                <w:rFonts w:ascii="Arial" w:hAnsi="Arial" w:cs="Arial" w:eastAsia="Arial" w:hint="default"/>
                <w:sz w:val="20"/>
                <w:szCs w:val="20"/>
              </w:rPr>
            </w:pPr>
            <w:r>
              <w:rPr>
                <w:rFonts w:ascii="Arial"/>
                <w:spacing w:val="-1"/>
                <w:sz w:val="20"/>
              </w:rPr>
              <w:t>3%</w:t>
            </w:r>
            <w:r>
              <w:rPr>
                <w:rFonts w:ascii="Arial"/>
                <w:sz w:val="20"/>
              </w:rPr>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Arial" w:hAnsi="Arial" w:cs="Arial" w:eastAsia="Arial" w:hint="default"/>
                <w:sz w:val="20"/>
                <w:szCs w:val="20"/>
              </w:rPr>
            </w:pPr>
            <w:r>
              <w:rPr>
                <w:rFonts w:ascii="Arial"/>
                <w:spacing w:val="-1"/>
                <w:sz w:val="20"/>
              </w:rPr>
              <w:t>16.2%</w:t>
            </w:r>
            <w:r>
              <w:rPr>
                <w:rFonts w:ascii="Arial"/>
                <w:sz w:val="20"/>
              </w:rPr>
            </w:r>
          </w:p>
        </w:tc>
      </w:tr>
      <w:tr>
        <w:trPr>
          <w:trHeight w:val="300" w:hRule="exact"/>
        </w:trPr>
        <w:tc>
          <w:tcPr>
            <w:tcW w:w="2440"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黑体" w:hAnsi="黑体" w:cs="黑体" w:eastAsia="黑体" w:hint="default"/>
                <w:sz w:val="20"/>
                <w:szCs w:val="20"/>
              </w:rPr>
            </w:pPr>
            <w:r>
              <w:rPr>
                <w:rFonts w:ascii="黑体" w:hAnsi="黑体" w:cs="黑体" w:eastAsia="黑体" w:hint="default"/>
                <w:sz w:val="20"/>
                <w:szCs w:val="20"/>
              </w:rPr>
              <w:t>办公及电子设备</w:t>
            </w:r>
          </w:p>
        </w:tc>
        <w:tc>
          <w:tcPr>
            <w:tcW w:w="2206" w:type="dxa"/>
            <w:tcBorders>
              <w:top w:val="nil" w:sz="6" w:space="0" w:color="auto"/>
              <w:left w:val="nil" w:sz="6" w:space="0" w:color="auto"/>
              <w:bottom w:val="nil" w:sz="6" w:space="0" w:color="auto"/>
              <w:right w:val="nil" w:sz="6" w:space="0" w:color="auto"/>
            </w:tcBorders>
          </w:tcPr>
          <w:p>
            <w:pPr>
              <w:pStyle w:val="TableParagraph"/>
              <w:spacing w:line="260" w:lineRule="exact"/>
              <w:ind w:right="398"/>
              <w:jc w:val="right"/>
              <w:rPr>
                <w:rFonts w:ascii="黑体" w:hAnsi="黑体" w:cs="黑体" w:eastAsia="黑体" w:hint="default"/>
                <w:sz w:val="20"/>
                <w:szCs w:val="20"/>
              </w:rPr>
            </w:pPr>
            <w:r>
              <w:rPr>
                <w:rFonts w:ascii="Arial" w:hAnsi="Arial" w:cs="Arial" w:eastAsia="Arial" w:hint="default"/>
                <w:sz w:val="20"/>
                <w:szCs w:val="20"/>
              </w:rPr>
              <w:t>3-5</w:t>
            </w:r>
            <w:r>
              <w:rPr>
                <w:rFonts w:ascii="黑体" w:hAnsi="黑体" w:cs="黑体" w:eastAsia="黑体" w:hint="default"/>
                <w:sz w:val="20"/>
                <w:szCs w:val="20"/>
              </w:rPr>
              <w:t>年</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428"/>
              <w:jc w:val="right"/>
              <w:rPr>
                <w:rFonts w:ascii="Arial" w:hAnsi="Arial" w:cs="Arial" w:eastAsia="Arial" w:hint="default"/>
                <w:sz w:val="20"/>
                <w:szCs w:val="20"/>
              </w:rPr>
            </w:pPr>
            <w:r>
              <w:rPr>
                <w:rFonts w:ascii="Arial"/>
                <w:sz w:val="20"/>
              </w:rPr>
              <w:t>0%</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Arial" w:hAnsi="Arial" w:cs="Arial" w:eastAsia="Arial" w:hint="default"/>
                <w:sz w:val="20"/>
                <w:szCs w:val="20"/>
              </w:rPr>
            </w:pPr>
            <w:r>
              <w:rPr>
                <w:rFonts w:ascii="Arial"/>
                <w:spacing w:val="-1"/>
                <w:sz w:val="20"/>
              </w:rPr>
              <w:t>20-33%</w:t>
            </w:r>
          </w:p>
        </w:tc>
      </w:tr>
      <w:tr>
        <w:trPr>
          <w:trHeight w:val="355" w:hRule="exact"/>
        </w:trPr>
        <w:tc>
          <w:tcPr>
            <w:tcW w:w="2440"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黑体" w:hAnsi="黑体" w:cs="黑体" w:eastAsia="黑体" w:hint="default"/>
                <w:sz w:val="20"/>
                <w:szCs w:val="20"/>
              </w:rPr>
            </w:pPr>
            <w:r>
              <w:rPr>
                <w:rFonts w:ascii="黑体" w:hAnsi="黑体" w:cs="黑体" w:eastAsia="黑体" w:hint="default"/>
                <w:sz w:val="20"/>
                <w:szCs w:val="20"/>
              </w:rPr>
              <w:t>机器设备</w:t>
            </w:r>
          </w:p>
        </w:tc>
        <w:tc>
          <w:tcPr>
            <w:tcW w:w="2206" w:type="dxa"/>
            <w:tcBorders>
              <w:top w:val="nil" w:sz="6" w:space="0" w:color="auto"/>
              <w:left w:val="nil" w:sz="6" w:space="0" w:color="auto"/>
              <w:bottom w:val="nil" w:sz="6" w:space="0" w:color="auto"/>
              <w:right w:val="nil" w:sz="6" w:space="0" w:color="auto"/>
            </w:tcBorders>
          </w:tcPr>
          <w:p>
            <w:pPr>
              <w:pStyle w:val="TableParagraph"/>
              <w:spacing w:line="260" w:lineRule="exact"/>
              <w:ind w:right="398"/>
              <w:jc w:val="right"/>
              <w:rPr>
                <w:rFonts w:ascii="黑体" w:hAnsi="黑体" w:cs="黑体" w:eastAsia="黑体" w:hint="default"/>
                <w:sz w:val="20"/>
                <w:szCs w:val="20"/>
              </w:rPr>
            </w:pPr>
            <w:r>
              <w:rPr>
                <w:rFonts w:ascii="Arial" w:hAnsi="Arial" w:cs="Arial" w:eastAsia="Arial" w:hint="default"/>
                <w:spacing w:val="-1"/>
                <w:sz w:val="20"/>
                <w:szCs w:val="20"/>
              </w:rPr>
              <w:t>8-20</w:t>
            </w:r>
            <w:r>
              <w:rPr>
                <w:rFonts w:ascii="黑体" w:hAnsi="黑体" w:cs="黑体" w:eastAsia="黑体" w:hint="default"/>
                <w:spacing w:val="-1"/>
                <w:sz w:val="20"/>
                <w:szCs w:val="20"/>
              </w:rPr>
              <w:t>年</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428"/>
              <w:jc w:val="right"/>
              <w:rPr>
                <w:rFonts w:ascii="Arial" w:hAnsi="Arial" w:cs="Arial" w:eastAsia="Arial" w:hint="default"/>
                <w:sz w:val="20"/>
                <w:szCs w:val="20"/>
              </w:rPr>
            </w:pPr>
            <w:r>
              <w:rPr>
                <w:rFonts w:ascii="Arial"/>
                <w:sz w:val="20"/>
              </w:rPr>
              <w:t>3%</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Arial" w:hAnsi="Arial" w:cs="Arial" w:eastAsia="Arial" w:hint="default"/>
                <w:sz w:val="20"/>
                <w:szCs w:val="20"/>
              </w:rPr>
            </w:pPr>
            <w:r>
              <w:rPr>
                <w:rFonts w:ascii="Arial"/>
                <w:sz w:val="20"/>
              </w:rPr>
              <w:t>4.9-12.1%</w:t>
            </w:r>
          </w:p>
        </w:tc>
      </w:tr>
    </w:tbl>
    <w:p>
      <w:pPr>
        <w:spacing w:line="240" w:lineRule="auto" w:before="8"/>
        <w:rPr>
          <w:rFonts w:ascii="黑体" w:hAnsi="黑体" w:cs="黑体" w:eastAsia="黑体" w:hint="default"/>
          <w:sz w:val="14"/>
          <w:szCs w:val="14"/>
        </w:rPr>
      </w:pPr>
    </w:p>
    <w:p>
      <w:pPr>
        <w:pStyle w:val="BodyText"/>
        <w:spacing w:line="276" w:lineRule="auto" w:before="38"/>
        <w:ind w:right="0"/>
        <w:jc w:val="left"/>
      </w:pPr>
      <w:r>
        <w:rPr>
          <w:spacing w:val="-1"/>
        </w:rPr>
        <w:t>固定资产的各组成部分具有不同使用寿命或以不同方式为企业提供经济利益的，适用不同</w:t>
      </w:r>
      <w:r>
        <w:rPr>
          <w:spacing w:val="-80"/>
        </w:rPr>
        <w:t> </w:t>
      </w:r>
      <w:r>
        <w:rPr>
          <w:spacing w:val="-80"/>
        </w:rPr>
      </w:r>
      <w:r>
        <w:rPr/>
        <w:t>折旧率。</w:t>
      </w:r>
    </w:p>
    <w:p>
      <w:pPr>
        <w:spacing w:line="240" w:lineRule="auto" w:before="7"/>
        <w:rPr>
          <w:rFonts w:ascii="黑体" w:hAnsi="黑体" w:cs="黑体" w:eastAsia="黑体" w:hint="default"/>
          <w:sz w:val="23"/>
          <w:szCs w:val="23"/>
        </w:rPr>
      </w:pPr>
    </w:p>
    <w:p>
      <w:pPr>
        <w:pStyle w:val="BodyText"/>
        <w:spacing w:line="276" w:lineRule="auto"/>
        <w:ind w:right="0"/>
        <w:jc w:val="left"/>
      </w:pPr>
      <w:r>
        <w:rPr>
          <w:spacing w:val="-1"/>
        </w:rPr>
        <w:t>本集团至少于每年年度终了，对固定资产的使用寿命、预计净残值和折旧方法进行复核，</w:t>
      </w:r>
      <w:r>
        <w:rPr>
          <w:spacing w:val="-72"/>
        </w:rPr>
        <w:t> </w:t>
      </w:r>
      <w:r>
        <w:rPr>
          <w:spacing w:val="-72"/>
        </w:rPr>
      </w:r>
      <w:r>
        <w:rPr/>
        <w:t>必要时进行调整。</w:t>
      </w:r>
    </w:p>
    <w:p>
      <w:pPr>
        <w:spacing w:line="240" w:lineRule="auto" w:before="7"/>
        <w:rPr>
          <w:rFonts w:ascii="黑体" w:hAnsi="黑体" w:cs="黑体" w:eastAsia="黑体" w:hint="default"/>
          <w:sz w:val="23"/>
          <w:szCs w:val="23"/>
        </w:rPr>
      </w:pPr>
    </w:p>
    <w:p>
      <w:pPr>
        <w:pStyle w:val="BodyText"/>
        <w:spacing w:line="240" w:lineRule="auto"/>
        <w:ind w:right="0"/>
        <w:jc w:val="left"/>
      </w:pPr>
      <w:r>
        <w:rPr/>
        <w:t>固定资产减值测试方法及减值准备计提方法，详见附注二、</w:t>
      </w:r>
      <w:r>
        <w:rPr>
          <w:rFonts w:ascii="Arial" w:hAnsi="Arial" w:cs="Arial" w:eastAsia="Arial" w:hint="default"/>
        </w:rPr>
        <w:t>27</w:t>
      </w:r>
      <w:r>
        <w:rPr/>
        <w:t>。</w:t>
      </w:r>
    </w:p>
    <w:p>
      <w:pPr>
        <w:spacing w:line="240" w:lineRule="auto" w:before="10"/>
        <w:rPr>
          <w:rFonts w:ascii="黑体" w:hAnsi="黑体" w:cs="黑体" w:eastAsia="黑体" w:hint="default"/>
          <w:sz w:val="24"/>
          <w:szCs w:val="24"/>
        </w:rPr>
      </w:pPr>
    </w:p>
    <w:p>
      <w:pPr>
        <w:tabs>
          <w:tab w:pos="8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15.</w:t>
        <w:tab/>
      </w:r>
      <w:r>
        <w:rPr>
          <w:rFonts w:ascii="黑体" w:hAnsi="黑体" w:cs="黑体" w:eastAsia="黑体" w:hint="default"/>
          <w:b/>
          <w:bCs/>
          <w:sz w:val="20"/>
          <w:szCs w:val="20"/>
        </w:rPr>
        <w:t>在建工程</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76" w:lineRule="auto"/>
        <w:ind w:right="0"/>
        <w:jc w:val="left"/>
      </w:pPr>
      <w:r>
        <w:rPr>
          <w:spacing w:val="-1"/>
        </w:rPr>
        <w:t>在建工程成本按实际工程支出确定﹐包括在建期间发生的各项必要工程支出、工程达到预</w:t>
      </w:r>
      <w:r>
        <w:rPr>
          <w:spacing w:val="-81"/>
        </w:rPr>
        <w:t> </w:t>
      </w:r>
      <w:r>
        <w:rPr>
          <w:spacing w:val="-81"/>
        </w:rPr>
      </w:r>
      <w:r>
        <w:rPr/>
        <w:t>定可使用状态前的应予资本化的借款费用以及其他相关费用等。</w:t>
      </w:r>
    </w:p>
    <w:p>
      <w:pPr>
        <w:spacing w:line="240" w:lineRule="auto" w:before="7"/>
        <w:rPr>
          <w:rFonts w:ascii="黑体" w:hAnsi="黑体" w:cs="黑体" w:eastAsia="黑体" w:hint="default"/>
          <w:sz w:val="23"/>
          <w:szCs w:val="23"/>
        </w:rPr>
      </w:pPr>
    </w:p>
    <w:p>
      <w:pPr>
        <w:pStyle w:val="BodyText"/>
        <w:spacing w:line="549" w:lineRule="auto"/>
        <w:ind w:right="0"/>
        <w:jc w:val="left"/>
      </w:pPr>
      <w:r>
        <w:rPr/>
        <w:t>在建工程在达到预定可使用状态时转入固定资产。</w:t>
      </w:r>
      <w:r>
        <w:rPr>
          <w:w w:val="100"/>
        </w:rPr>
        <w:t> </w:t>
      </w:r>
      <w:r>
        <w:rPr>
          <w:spacing w:val="-1"/>
        </w:rPr>
        <w:t>在建工程减值测试方法及减值准备计提方法，详见附注二、</w:t>
      </w:r>
      <w:r>
        <w:rPr>
          <w:rFonts w:ascii="Arial" w:hAnsi="Arial" w:cs="Arial" w:eastAsia="Arial" w:hint="default"/>
          <w:spacing w:val="-1"/>
        </w:rPr>
        <w:t>27</w:t>
      </w:r>
      <w:r>
        <w:rPr>
          <w:spacing w:val="-1"/>
        </w:rPr>
        <w:t>。</w:t>
      </w:r>
    </w:p>
    <w:p>
      <w:pPr>
        <w:spacing w:after="0" w:line="549" w:lineRule="auto"/>
        <w:jc w:val="left"/>
        <w:sectPr>
          <w:pgSz w:w="11910" w:h="16840"/>
          <w:pgMar w:header="958" w:footer="473" w:top="2380" w:bottom="660" w:left="1600" w:right="156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4"/>
        <w:rPr>
          <w:rFonts w:ascii="黑体" w:hAnsi="黑体" w:cs="黑体" w:eastAsia="黑体" w:hint="default"/>
          <w:b/>
          <w:bCs/>
          <w:sz w:val="24"/>
          <w:szCs w:val="24"/>
        </w:rPr>
      </w:pPr>
    </w:p>
    <w:p>
      <w:pPr>
        <w:tabs>
          <w:tab w:pos="80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16.</w:t>
        <w:tab/>
      </w:r>
      <w:r>
        <w:rPr>
          <w:rFonts w:ascii="黑体" w:hAnsi="黑体" w:cs="黑体" w:eastAsia="黑体" w:hint="default"/>
          <w:b/>
          <w:bCs/>
          <w:sz w:val="20"/>
          <w:szCs w:val="20"/>
        </w:rPr>
        <w:t>借款费用</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76" w:lineRule="auto"/>
        <w:ind w:right="135"/>
        <w:jc w:val="both"/>
      </w:pPr>
      <w:r>
        <w:rPr>
          <w:spacing w:val="-1"/>
        </w:rPr>
        <w:t>借款费用，是指本集团因借款而发生的利息及其他相关成本，包括借款利息、折价或者溢</w:t>
      </w:r>
      <w:r>
        <w:rPr>
          <w:spacing w:val="-82"/>
        </w:rPr>
        <w:t> </w:t>
      </w:r>
      <w:r>
        <w:rPr>
          <w:spacing w:val="-82"/>
        </w:rPr>
      </w:r>
      <w:r>
        <w:rPr/>
        <w:t>价的摊销、辅助费用以及因外币借款而发生的汇兑差额等。</w:t>
      </w:r>
    </w:p>
    <w:p>
      <w:pPr>
        <w:spacing w:line="240" w:lineRule="auto" w:before="7"/>
        <w:rPr>
          <w:rFonts w:ascii="黑体" w:hAnsi="黑体" w:cs="黑体" w:eastAsia="黑体" w:hint="default"/>
          <w:sz w:val="23"/>
          <w:szCs w:val="23"/>
        </w:rPr>
      </w:pPr>
    </w:p>
    <w:p>
      <w:pPr>
        <w:pStyle w:val="BodyText"/>
        <w:spacing w:line="276" w:lineRule="auto"/>
        <w:ind w:right="135"/>
        <w:jc w:val="both"/>
      </w:pPr>
      <w:r>
        <w:rPr>
          <w:spacing w:val="-1"/>
        </w:rPr>
        <w:t>可直接归属于符合资本化条件的资产的购建或者生产的借款费用，予以资本化，其他借款</w:t>
      </w:r>
      <w:r>
        <w:rPr>
          <w:spacing w:val="-78"/>
        </w:rPr>
        <w:t> </w:t>
      </w:r>
      <w:r>
        <w:rPr>
          <w:spacing w:val="-78"/>
        </w:rPr>
      </w:r>
      <w:r>
        <w:rPr>
          <w:spacing w:val="-1"/>
        </w:rPr>
        <w:t>费用计入当期损益。符合资本化条件的资产，是指需要经过相当长时间的购建或者生产活</w:t>
      </w:r>
      <w:r>
        <w:rPr>
          <w:spacing w:val="-80"/>
        </w:rPr>
        <w:t> </w:t>
      </w:r>
      <w:r>
        <w:rPr>
          <w:spacing w:val="-80"/>
        </w:rPr>
      </w:r>
      <w:r>
        <w:rPr/>
        <w:t>动才能达到预定可使用或者可销售状态的固定资产、投资性房地产和存货等资产。</w:t>
      </w:r>
    </w:p>
    <w:p>
      <w:pPr>
        <w:spacing w:line="240" w:lineRule="auto" w:before="7"/>
        <w:rPr>
          <w:rFonts w:ascii="黑体" w:hAnsi="黑体" w:cs="黑体" w:eastAsia="黑体" w:hint="default"/>
          <w:sz w:val="23"/>
          <w:szCs w:val="23"/>
        </w:rPr>
      </w:pPr>
    </w:p>
    <w:p>
      <w:pPr>
        <w:pStyle w:val="BodyText"/>
        <w:spacing w:line="240" w:lineRule="auto"/>
        <w:ind w:right="0"/>
        <w:jc w:val="both"/>
      </w:pPr>
      <w:r>
        <w:rPr/>
        <w:t>借款费用同时满足下列条件的，才能开始资本化：</w:t>
      </w:r>
    </w:p>
    <w:p>
      <w:pPr>
        <w:spacing w:line="240" w:lineRule="auto" w:before="0"/>
        <w:rPr>
          <w:rFonts w:ascii="黑体" w:hAnsi="黑体" w:cs="黑体" w:eastAsia="黑体" w:hint="default"/>
          <w:sz w:val="20"/>
          <w:szCs w:val="20"/>
        </w:rPr>
      </w:pPr>
    </w:p>
    <w:p>
      <w:pPr>
        <w:pStyle w:val="BodyText"/>
        <w:spacing w:line="240" w:lineRule="auto" w:before="157"/>
        <w:ind w:left="821" w:right="0"/>
        <w:jc w:val="both"/>
      </w:pPr>
      <w:r>
        <w:rPr>
          <w:rFonts w:ascii="Arial" w:hAnsi="Arial" w:cs="Arial" w:eastAsia="Arial" w:hint="default"/>
        </w:rPr>
        <w:t>(1)       </w:t>
      </w:r>
      <w:r>
        <w:rPr>
          <w:rFonts w:ascii="Arial" w:hAnsi="Arial" w:cs="Arial" w:eastAsia="Arial" w:hint="default"/>
          <w:spacing w:val="29"/>
        </w:rPr>
        <w:t> </w:t>
      </w:r>
      <w:r>
        <w:rPr/>
        <w:t>资产支出已经发生；</w:t>
      </w:r>
    </w:p>
    <w:p>
      <w:pPr>
        <w:pStyle w:val="BodyText"/>
        <w:spacing w:line="240" w:lineRule="auto" w:before="84"/>
        <w:ind w:left="821" w:right="0"/>
        <w:jc w:val="both"/>
      </w:pPr>
      <w:r>
        <w:rPr>
          <w:rFonts w:ascii="Arial" w:hAnsi="Arial" w:cs="Arial" w:eastAsia="Arial" w:hint="default"/>
        </w:rPr>
        <w:t>(2)       </w:t>
      </w:r>
      <w:r>
        <w:rPr>
          <w:rFonts w:ascii="Arial" w:hAnsi="Arial" w:cs="Arial" w:eastAsia="Arial" w:hint="default"/>
          <w:spacing w:val="29"/>
        </w:rPr>
        <w:t> </w:t>
      </w:r>
      <w:r>
        <w:rPr/>
        <w:t>借款费用已经发生；</w:t>
      </w:r>
    </w:p>
    <w:p>
      <w:pPr>
        <w:pStyle w:val="BodyText"/>
        <w:spacing w:line="240" w:lineRule="auto" w:before="84"/>
        <w:ind w:right="0" w:firstLine="6"/>
        <w:jc w:val="both"/>
      </w:pPr>
      <w:r>
        <w:rPr>
          <w:rFonts w:ascii="Arial" w:hAnsi="Arial" w:cs="Arial" w:eastAsia="Arial" w:hint="default"/>
        </w:rPr>
        <w:t>(3)       </w:t>
      </w:r>
      <w:r>
        <w:rPr>
          <w:rFonts w:ascii="Arial" w:hAnsi="Arial" w:cs="Arial" w:eastAsia="Arial" w:hint="default"/>
          <w:spacing w:val="22"/>
        </w:rPr>
        <w:t> </w:t>
      </w:r>
      <w:r>
        <w:rPr/>
        <w:t>为使资产达到预定可使用或者可销售状态所必要的购建或者生产活动已经开始。</w:t>
      </w:r>
    </w:p>
    <w:p>
      <w:pPr>
        <w:spacing w:line="240" w:lineRule="auto" w:before="3"/>
        <w:rPr>
          <w:rFonts w:ascii="黑体" w:hAnsi="黑体" w:cs="黑体" w:eastAsia="黑体" w:hint="default"/>
          <w:sz w:val="23"/>
          <w:szCs w:val="23"/>
        </w:rPr>
      </w:pPr>
    </w:p>
    <w:p>
      <w:pPr>
        <w:pStyle w:val="BodyText"/>
        <w:spacing w:line="276" w:lineRule="auto"/>
        <w:ind w:right="135"/>
        <w:jc w:val="both"/>
      </w:pPr>
      <w:r>
        <w:rPr>
          <w:spacing w:val="-1"/>
        </w:rPr>
        <w:t>购建或者生产符合资本化条件的资产达到预定可使用或者可销售状态时，借款费用停止资</w:t>
      </w:r>
      <w:r>
        <w:rPr>
          <w:spacing w:val="-80"/>
        </w:rPr>
        <w:t> </w:t>
      </w:r>
      <w:r>
        <w:rPr>
          <w:spacing w:val="-80"/>
        </w:rPr>
      </w:r>
      <w:r>
        <w:rPr/>
        <w:t>本化。之后发生的借款费用计入当期损益。</w:t>
      </w:r>
    </w:p>
    <w:p>
      <w:pPr>
        <w:spacing w:line="240" w:lineRule="auto" w:before="7"/>
        <w:rPr>
          <w:rFonts w:ascii="黑体" w:hAnsi="黑体" w:cs="黑体" w:eastAsia="黑体" w:hint="default"/>
          <w:sz w:val="23"/>
          <w:szCs w:val="23"/>
        </w:rPr>
      </w:pPr>
    </w:p>
    <w:p>
      <w:pPr>
        <w:pStyle w:val="BodyText"/>
        <w:spacing w:line="240" w:lineRule="auto"/>
        <w:ind w:right="0"/>
        <w:jc w:val="both"/>
      </w:pPr>
      <w:r>
        <w:rPr/>
        <w:t>在资本化期间内，每一会计期间的利息资本化金额，按照下列方法确定：</w:t>
      </w:r>
    </w:p>
    <w:p>
      <w:pPr>
        <w:spacing w:line="240" w:lineRule="auto" w:before="0"/>
        <w:rPr>
          <w:rFonts w:ascii="黑体" w:hAnsi="黑体" w:cs="黑体" w:eastAsia="黑体" w:hint="default"/>
          <w:sz w:val="20"/>
          <w:szCs w:val="20"/>
        </w:rPr>
      </w:pPr>
    </w:p>
    <w:p>
      <w:pPr>
        <w:pStyle w:val="BodyText"/>
        <w:tabs>
          <w:tab w:pos="1541" w:val="left" w:leader="none"/>
        </w:tabs>
        <w:spacing w:line="312" w:lineRule="auto" w:before="157"/>
        <w:ind w:left="1541" w:right="131" w:hanging="721"/>
        <w:jc w:val="left"/>
      </w:pPr>
      <w:r>
        <w:rPr>
          <w:rFonts w:ascii="Arial" w:hAnsi="Arial" w:cs="Arial" w:eastAsia="Arial" w:hint="default"/>
        </w:rPr>
        <w:t>(1)</w:t>
        <w:tab/>
      </w:r>
      <w:r>
        <w:rPr/>
        <w:t>专门借款以当期实际发生的利息费用，减去暂时性的存款利息收入或投资收益后</w:t>
      </w:r>
      <w:r>
        <w:rPr>
          <w:spacing w:val="-41"/>
        </w:rPr>
        <w:t> </w:t>
      </w:r>
      <w:r>
        <w:rPr>
          <w:spacing w:val="-41"/>
        </w:rPr>
      </w:r>
      <w:r>
        <w:rPr/>
        <w:t>的金额确定。</w:t>
      </w:r>
    </w:p>
    <w:p>
      <w:pPr>
        <w:pStyle w:val="BodyText"/>
        <w:tabs>
          <w:tab w:pos="1541" w:val="left" w:leader="none"/>
        </w:tabs>
        <w:spacing w:line="312" w:lineRule="auto" w:before="38"/>
        <w:ind w:left="1541" w:right="131" w:hanging="721"/>
        <w:jc w:val="left"/>
      </w:pPr>
      <w:r>
        <w:rPr>
          <w:rFonts w:ascii="Arial" w:hAnsi="Arial" w:cs="Arial" w:eastAsia="Arial" w:hint="default"/>
        </w:rPr>
        <w:t>(2)</w:t>
        <w:tab/>
      </w:r>
      <w:r>
        <w:rPr/>
        <w:t>占用的一般借款，根据累计资产支出超过专门借款部分的资产支出加权平均数乘</w:t>
      </w:r>
      <w:r>
        <w:rPr>
          <w:spacing w:val="-41"/>
        </w:rPr>
        <w:t> </w:t>
      </w:r>
      <w:r>
        <w:rPr>
          <w:spacing w:val="-41"/>
        </w:rPr>
      </w:r>
      <w:r>
        <w:rPr/>
        <w:t>以所占用一般借款的加权平均利率计算确定。</w:t>
      </w:r>
    </w:p>
    <w:p>
      <w:pPr>
        <w:spacing w:line="240" w:lineRule="auto" w:before="9"/>
        <w:rPr>
          <w:rFonts w:ascii="黑体" w:hAnsi="黑体" w:cs="黑体" w:eastAsia="黑体" w:hint="default"/>
          <w:sz w:val="19"/>
          <w:szCs w:val="19"/>
        </w:rPr>
      </w:pPr>
    </w:p>
    <w:p>
      <w:pPr>
        <w:pStyle w:val="BodyText"/>
        <w:spacing w:line="271" w:lineRule="auto"/>
        <w:ind w:right="135"/>
        <w:jc w:val="both"/>
      </w:pPr>
      <w:r>
        <w:rPr>
          <w:spacing w:val="-1"/>
        </w:rPr>
        <w:t>符合资本化条件的资产在购建或者生产过程中，发生除达到预定可使用或者可销售状态必</w:t>
      </w:r>
      <w:r>
        <w:rPr>
          <w:spacing w:val="-81"/>
        </w:rPr>
        <w:t> </w:t>
      </w:r>
      <w:r>
        <w:rPr>
          <w:spacing w:val="-81"/>
        </w:rPr>
      </w:r>
      <w:r>
        <w:rPr/>
        <w:t>要的程序之外的非正常中断、且中断时间连续超过</w:t>
      </w:r>
      <w:r>
        <w:rPr>
          <w:rFonts w:ascii="Arial" w:hAnsi="Arial" w:cs="Arial" w:eastAsia="Arial" w:hint="default"/>
        </w:rPr>
        <w:t>3</w:t>
      </w:r>
      <w:r>
        <w:rPr/>
        <w:t>个月的，暂停借款费用的资本化。在</w:t>
      </w:r>
      <w:r>
        <w:rPr>
          <w:spacing w:val="-31"/>
        </w:rPr>
        <w:t> </w:t>
      </w:r>
      <w:r>
        <w:rPr>
          <w:spacing w:val="-31"/>
        </w:rPr>
      </w:r>
      <w:r>
        <w:rPr>
          <w:spacing w:val="-1"/>
        </w:rPr>
        <w:t>中断期间发生的借款费用确认为费用，计入当期损益，直至资产的购建或者生产活动重新</w:t>
      </w:r>
      <w:r>
        <w:rPr>
          <w:spacing w:val="-78"/>
        </w:rPr>
        <w:t> </w:t>
      </w:r>
      <w:r>
        <w:rPr>
          <w:spacing w:val="-78"/>
        </w:rPr>
      </w:r>
      <w:r>
        <w:rPr/>
        <w:t>开始。</w:t>
      </w:r>
    </w:p>
    <w:p>
      <w:pPr>
        <w:spacing w:after="0" w:line="271" w:lineRule="auto"/>
        <w:jc w:val="both"/>
        <w:sectPr>
          <w:pgSz w:w="11910" w:h="16840"/>
          <w:pgMar w:header="958" w:footer="473" w:top="2380" w:bottom="660" w:left="1600" w:right="156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03"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4"/>
        <w:rPr>
          <w:rFonts w:ascii="黑体" w:hAnsi="黑体" w:cs="黑体" w:eastAsia="黑体" w:hint="default"/>
          <w:b/>
          <w:bCs/>
          <w:sz w:val="24"/>
          <w:szCs w:val="24"/>
        </w:rPr>
      </w:pPr>
    </w:p>
    <w:p>
      <w:pPr>
        <w:tabs>
          <w:tab w:pos="821" w:val="left" w:leader="none"/>
        </w:tabs>
        <w:spacing w:line="520" w:lineRule="auto" w:before="0"/>
        <w:ind w:left="815" w:right="4206" w:hanging="715"/>
        <w:jc w:val="left"/>
        <w:rPr>
          <w:rFonts w:ascii="黑体" w:hAnsi="黑体" w:cs="黑体" w:eastAsia="黑体" w:hint="default"/>
          <w:sz w:val="20"/>
          <w:szCs w:val="20"/>
        </w:rPr>
      </w:pPr>
      <w:r>
        <w:rPr>
          <w:rFonts w:ascii="Arial" w:hAnsi="Arial" w:cs="Arial" w:eastAsia="Arial" w:hint="default"/>
          <w:b/>
          <w:bCs/>
          <w:spacing w:val="-1"/>
          <w:sz w:val="20"/>
          <w:szCs w:val="20"/>
        </w:rPr>
        <w:t>17.</w:t>
        <w:tab/>
        <w:tab/>
      </w:r>
      <w:r>
        <w:rPr>
          <w:rFonts w:ascii="黑体" w:hAnsi="黑体" w:cs="黑体" w:eastAsia="黑体" w:hint="default"/>
          <w:b/>
          <w:bCs/>
          <w:sz w:val="20"/>
          <w:szCs w:val="20"/>
        </w:rPr>
        <w:t>无形资产</w:t>
      </w:r>
      <w:r>
        <w:rPr>
          <w:rFonts w:ascii="黑体" w:hAnsi="黑体" w:cs="黑体" w:eastAsia="黑体" w:hint="default"/>
          <w:b/>
          <w:bCs/>
          <w:w w:val="99"/>
          <w:sz w:val="20"/>
          <w:szCs w:val="20"/>
        </w:rPr>
        <w:t> </w:t>
      </w:r>
      <w:r>
        <w:rPr>
          <w:rFonts w:ascii="黑体" w:hAnsi="黑体" w:cs="黑体" w:eastAsia="黑体" w:hint="default"/>
          <w:spacing w:val="-1"/>
          <w:sz w:val="20"/>
          <w:szCs w:val="20"/>
        </w:rPr>
        <w:t>本集团的无形资产按照成本进行初始计量。</w:t>
      </w:r>
    </w:p>
    <w:p>
      <w:pPr>
        <w:pStyle w:val="BodyText"/>
        <w:spacing w:line="276" w:lineRule="auto" w:before="104"/>
        <w:ind w:right="215"/>
        <w:jc w:val="both"/>
      </w:pPr>
      <w:r>
        <w:rPr>
          <w:spacing w:val="-1"/>
        </w:rPr>
        <w:t>无形资产按照其能为本集团带来经济利益的期限确定使用寿命，无法预见其为本集团带来</w:t>
      </w:r>
      <w:r>
        <w:rPr>
          <w:spacing w:val="-81"/>
        </w:rPr>
        <w:t> </w:t>
      </w:r>
      <w:r>
        <w:rPr>
          <w:spacing w:val="-81"/>
        </w:rPr>
      </w:r>
      <w:r>
        <w:rPr/>
        <w:t>经济利益期限的作为使用寿命不确定的无形资产。</w:t>
      </w:r>
    </w:p>
    <w:p>
      <w:pPr>
        <w:spacing w:line="240" w:lineRule="auto" w:before="7"/>
        <w:rPr>
          <w:rFonts w:ascii="黑体" w:hAnsi="黑体" w:cs="黑体" w:eastAsia="黑体" w:hint="default"/>
          <w:sz w:val="23"/>
          <w:szCs w:val="23"/>
        </w:rPr>
      </w:pPr>
    </w:p>
    <w:p>
      <w:pPr>
        <w:pStyle w:val="BodyText"/>
        <w:spacing w:line="240" w:lineRule="auto"/>
        <w:ind w:right="0"/>
        <w:jc w:val="both"/>
      </w:pPr>
      <w:r>
        <w:rPr/>
        <w:t>各项无形资产的使用寿命如下：</w:t>
      </w:r>
    </w:p>
    <w:p>
      <w:pPr>
        <w:spacing w:line="240" w:lineRule="auto" w:before="5"/>
        <w:rPr>
          <w:rFonts w:ascii="黑体" w:hAnsi="黑体" w:cs="黑体" w:eastAsia="黑体" w:hint="default"/>
          <w:sz w:val="27"/>
          <w:szCs w:val="27"/>
        </w:rPr>
      </w:pPr>
    </w:p>
    <w:p>
      <w:pPr>
        <w:pStyle w:val="BodyText"/>
        <w:spacing w:line="240" w:lineRule="auto"/>
        <w:ind w:left="0" w:right="215"/>
        <w:jc w:val="right"/>
      </w:pPr>
      <w:r>
        <w:rPr/>
        <w:t>使用寿命</w:t>
      </w:r>
    </w:p>
    <w:p>
      <w:pPr>
        <w:pStyle w:val="BodyText"/>
        <w:tabs>
          <w:tab w:pos="8183" w:val="left" w:leader="none"/>
        </w:tabs>
        <w:spacing w:line="240" w:lineRule="auto" w:before="38"/>
        <w:ind w:left="821" w:right="0"/>
        <w:jc w:val="both"/>
      </w:pPr>
      <w:r>
        <w:rPr>
          <w:spacing w:val="-1"/>
        </w:rPr>
        <w:t>土地使用权</w:t>
        <w:tab/>
      </w:r>
      <w:r>
        <w:rPr>
          <w:rFonts w:ascii="Arial" w:hAnsi="Arial" w:cs="Arial" w:eastAsia="Arial" w:hint="default"/>
        </w:rPr>
        <w:t>50</w:t>
      </w:r>
      <w:r>
        <w:rPr/>
        <w:t>年</w:t>
      </w:r>
    </w:p>
    <w:p>
      <w:pPr>
        <w:pStyle w:val="BodyText"/>
        <w:tabs>
          <w:tab w:pos="8183" w:val="left" w:leader="none"/>
        </w:tabs>
        <w:spacing w:line="240" w:lineRule="auto" w:before="24"/>
        <w:ind w:left="821" w:right="0"/>
        <w:jc w:val="both"/>
      </w:pPr>
      <w:r>
        <w:rPr>
          <w:spacing w:val="-1"/>
        </w:rPr>
        <w:t>软件著作权</w:t>
        <w:tab/>
      </w:r>
      <w:r>
        <w:rPr>
          <w:rFonts w:ascii="Arial" w:hAnsi="Arial" w:cs="Arial" w:eastAsia="Arial" w:hint="default"/>
        </w:rPr>
        <w:t>10</w:t>
      </w:r>
      <w:r>
        <w:rPr/>
        <w:t>年</w:t>
      </w:r>
    </w:p>
    <w:p>
      <w:pPr>
        <w:pStyle w:val="BodyText"/>
        <w:tabs>
          <w:tab w:pos="8183" w:val="left" w:leader="none"/>
        </w:tabs>
        <w:spacing w:line="240" w:lineRule="auto" w:before="24"/>
        <w:ind w:left="821" w:right="0"/>
        <w:jc w:val="both"/>
      </w:pPr>
      <w:r>
        <w:rPr>
          <w:spacing w:val="-1"/>
        </w:rPr>
        <w:t>软件使用权</w:t>
        <w:tab/>
      </w:r>
      <w:r>
        <w:rPr>
          <w:rFonts w:ascii="Arial" w:hAnsi="Arial" w:cs="Arial" w:eastAsia="Arial" w:hint="default"/>
        </w:rPr>
        <w:t>10</w:t>
      </w:r>
      <w:r>
        <w:rPr/>
        <w:t>年</w:t>
      </w:r>
    </w:p>
    <w:p>
      <w:pPr>
        <w:spacing w:line="240" w:lineRule="auto" w:before="3"/>
        <w:rPr>
          <w:rFonts w:ascii="黑体" w:hAnsi="黑体" w:cs="黑体" w:eastAsia="黑体" w:hint="default"/>
          <w:sz w:val="23"/>
          <w:szCs w:val="23"/>
        </w:rPr>
      </w:pPr>
    </w:p>
    <w:p>
      <w:pPr>
        <w:pStyle w:val="BodyText"/>
        <w:spacing w:line="276" w:lineRule="auto"/>
        <w:ind w:right="114"/>
        <w:jc w:val="both"/>
      </w:pPr>
      <w:r>
        <w:rPr/>
        <w:t>本集团取得的土地使用权，通常作为无形资产核算。自行开发建造厂房等建筑物，相关的</w:t>
      </w:r>
      <w:r>
        <w:rPr>
          <w:w w:val="100"/>
        </w:rPr>
        <w:t> </w:t>
      </w:r>
      <w:r>
        <w:rPr/>
        <w:t>土地使用权和建筑物分别作为无形资产和固定资产核算。外购土地及建筑物支付的价款在</w:t>
      </w:r>
      <w:r>
        <w:rPr>
          <w:w w:val="100"/>
        </w:rPr>
        <w:t> </w:t>
      </w:r>
      <w:r>
        <w:rPr/>
        <w:t>土地使用权和建筑物之间进行分配，难以合理分配的，全部作为固定资产处理。</w:t>
      </w:r>
    </w:p>
    <w:p>
      <w:pPr>
        <w:spacing w:line="240" w:lineRule="auto" w:before="7"/>
        <w:rPr>
          <w:rFonts w:ascii="黑体" w:hAnsi="黑体" w:cs="黑体" w:eastAsia="黑体" w:hint="default"/>
          <w:sz w:val="23"/>
          <w:szCs w:val="23"/>
        </w:rPr>
      </w:pPr>
    </w:p>
    <w:p>
      <w:pPr>
        <w:pStyle w:val="BodyText"/>
        <w:spacing w:line="276" w:lineRule="auto"/>
        <w:ind w:right="114" w:hanging="1"/>
        <w:jc w:val="left"/>
      </w:pPr>
      <w:r>
        <w:rPr>
          <w:spacing w:val="-4"/>
        </w:rPr>
        <w:t>使用寿命有限的无形资产，在其使用寿命内采用直线法摊销。本集团至少于每年年度终了，</w:t>
      </w:r>
      <w:r>
        <w:rPr>
          <w:spacing w:val="-58"/>
        </w:rPr>
        <w:t> </w:t>
      </w:r>
      <w:r>
        <w:rPr>
          <w:spacing w:val="-58"/>
        </w:rPr>
      </w:r>
      <w:r>
        <w:rPr/>
        <w:t>对使用寿命有限的无形资产的使用寿命及摊销方法进行复核，必要时进行调整。</w:t>
      </w:r>
    </w:p>
    <w:p>
      <w:pPr>
        <w:spacing w:line="240" w:lineRule="auto" w:before="7"/>
        <w:rPr>
          <w:rFonts w:ascii="黑体" w:hAnsi="黑体" w:cs="黑体" w:eastAsia="黑体" w:hint="default"/>
          <w:sz w:val="23"/>
          <w:szCs w:val="23"/>
        </w:rPr>
      </w:pPr>
    </w:p>
    <w:p>
      <w:pPr>
        <w:pStyle w:val="BodyText"/>
        <w:spacing w:line="276" w:lineRule="auto"/>
        <w:ind w:right="215"/>
        <w:jc w:val="both"/>
      </w:pPr>
      <w:r>
        <w:rPr>
          <w:spacing w:val="-1"/>
        </w:rPr>
        <w:t>对使用寿命不确定的无形资产，无论是否存在减值迹象，每年均进行减值测试。此类无形</w:t>
      </w:r>
      <w:r>
        <w:rPr>
          <w:spacing w:val="-82"/>
        </w:rPr>
        <w:t> </w:t>
      </w:r>
      <w:r>
        <w:rPr>
          <w:spacing w:val="-82"/>
        </w:rPr>
      </w:r>
      <w:r>
        <w:rPr>
          <w:spacing w:val="-1"/>
        </w:rPr>
        <w:t>资产不予摊销，在每个会计期间对其使用寿命进行复核。如果有证据表明使用寿命是有限</w:t>
      </w:r>
      <w:r>
        <w:rPr>
          <w:spacing w:val="-80"/>
        </w:rPr>
        <w:t> </w:t>
      </w:r>
      <w:r>
        <w:rPr>
          <w:spacing w:val="-80"/>
        </w:rPr>
      </w:r>
      <w:r>
        <w:rPr/>
        <w:t>的，则按上述使用寿命有限的无形资产的政策进行会计处理。</w:t>
      </w:r>
    </w:p>
    <w:p>
      <w:pPr>
        <w:spacing w:line="240" w:lineRule="auto" w:before="7"/>
        <w:rPr>
          <w:rFonts w:ascii="黑体" w:hAnsi="黑体" w:cs="黑体" w:eastAsia="黑体" w:hint="default"/>
          <w:sz w:val="23"/>
          <w:szCs w:val="23"/>
        </w:rPr>
      </w:pPr>
    </w:p>
    <w:p>
      <w:pPr>
        <w:pStyle w:val="BodyText"/>
        <w:spacing w:line="276" w:lineRule="auto"/>
        <w:ind w:right="215"/>
        <w:jc w:val="both"/>
      </w:pPr>
      <w:r>
        <w:rPr>
          <w:spacing w:val="-1"/>
        </w:rPr>
        <w:t>本集团将内部研究开发项目的支出，区分为研究阶段支出和开发阶段支出。研究阶段的支</w:t>
      </w:r>
      <w:r>
        <w:rPr>
          <w:spacing w:val="-80"/>
        </w:rPr>
        <w:t> </w:t>
      </w:r>
      <w:r>
        <w:rPr>
          <w:spacing w:val="-80"/>
        </w:rPr>
      </w:r>
      <w:r>
        <w:rPr>
          <w:spacing w:val="-1"/>
        </w:rPr>
        <w:t>出，于发生时计入当期损益。开发阶段的支出，只有在同时满足下列条件时，才能予以资</w:t>
      </w:r>
      <w:r>
        <w:rPr>
          <w:spacing w:val="-81"/>
        </w:rPr>
        <w:t> </w:t>
      </w:r>
      <w:r>
        <w:rPr>
          <w:spacing w:val="-81"/>
        </w:rPr>
      </w:r>
      <w:r>
        <w:rPr>
          <w:spacing w:val="-1"/>
        </w:rPr>
        <w:t>本化，即：完成该无形资产以使其能够使用或出售在技术上具有可行性；具有完成该无形</w:t>
      </w:r>
      <w:r>
        <w:rPr>
          <w:spacing w:val="-81"/>
        </w:rPr>
        <w:t> </w:t>
      </w:r>
      <w:r>
        <w:rPr>
          <w:spacing w:val="-81"/>
        </w:rPr>
      </w:r>
      <w:r>
        <w:rPr>
          <w:spacing w:val="-1"/>
        </w:rPr>
        <w:t>资产并使用或出售的意图；无形资产产生经济利益的方式，包括能够证明运用该无形资产</w:t>
      </w:r>
      <w:r>
        <w:rPr>
          <w:spacing w:val="-79"/>
        </w:rPr>
        <w:t> </w:t>
      </w:r>
      <w:r>
        <w:rPr>
          <w:spacing w:val="-79"/>
        </w:rPr>
      </w:r>
      <w:r>
        <w:rPr>
          <w:spacing w:val="-1"/>
        </w:rPr>
        <w:t>生产的产品存在市场或无形资产自身存在市场，无形资产将在内部使用的，能够证明其有</w:t>
      </w:r>
      <w:r>
        <w:rPr>
          <w:spacing w:val="-80"/>
        </w:rPr>
        <w:t> </w:t>
      </w:r>
      <w:r>
        <w:rPr>
          <w:spacing w:val="-80"/>
        </w:rPr>
      </w:r>
      <w:r>
        <w:rPr>
          <w:spacing w:val="-1"/>
        </w:rPr>
        <w:t>用性；有足够的技术、财务资源和其他资源支持，以完成该无形资产的开发，并有能力使</w:t>
      </w:r>
      <w:r>
        <w:rPr>
          <w:spacing w:val="-79"/>
        </w:rPr>
        <w:t> </w:t>
      </w:r>
      <w:r>
        <w:rPr>
          <w:spacing w:val="-79"/>
        </w:rPr>
      </w:r>
      <w:r>
        <w:rPr>
          <w:spacing w:val="-1"/>
        </w:rPr>
        <w:t>用或出售该无形资产；归属于该无形资产开发阶段的支出能够可靠地计量。不满足上述条</w:t>
      </w:r>
      <w:r>
        <w:rPr>
          <w:spacing w:val="-80"/>
        </w:rPr>
        <w:t> </w:t>
      </w:r>
      <w:r>
        <w:rPr>
          <w:spacing w:val="-80"/>
        </w:rPr>
      </w:r>
      <w:r>
        <w:rPr/>
        <w:t>件的开发支出，于发生时计入当期损益。</w:t>
      </w:r>
    </w:p>
    <w:p>
      <w:pPr>
        <w:spacing w:line="240" w:lineRule="auto" w:before="7"/>
        <w:rPr>
          <w:rFonts w:ascii="黑体" w:hAnsi="黑体" w:cs="黑体" w:eastAsia="黑体" w:hint="default"/>
          <w:sz w:val="23"/>
          <w:szCs w:val="23"/>
        </w:rPr>
      </w:pPr>
    </w:p>
    <w:p>
      <w:pPr>
        <w:pStyle w:val="BodyText"/>
        <w:spacing w:line="240" w:lineRule="auto"/>
        <w:ind w:right="0"/>
        <w:jc w:val="both"/>
      </w:pPr>
      <w:r>
        <w:rPr/>
        <w:t>无形资产减值测试方法及减值准备计提方法，详见附注二、</w:t>
      </w:r>
      <w:r>
        <w:rPr>
          <w:rFonts w:ascii="Arial" w:hAnsi="Arial" w:cs="Arial" w:eastAsia="Arial" w:hint="default"/>
        </w:rPr>
        <w:t>27</w:t>
      </w:r>
      <w:r>
        <w:rPr/>
        <w:t>。</w:t>
      </w:r>
    </w:p>
    <w:p>
      <w:pPr>
        <w:spacing w:line="240" w:lineRule="auto" w:before="10"/>
        <w:rPr>
          <w:rFonts w:ascii="黑体" w:hAnsi="黑体" w:cs="黑体" w:eastAsia="黑体" w:hint="default"/>
          <w:sz w:val="24"/>
          <w:szCs w:val="24"/>
        </w:rPr>
      </w:pPr>
    </w:p>
    <w:p>
      <w:pPr>
        <w:tabs>
          <w:tab w:pos="821" w:val="left" w:leader="none"/>
        </w:tabs>
        <w:spacing w:before="0"/>
        <w:ind w:left="101" w:right="114" w:firstLine="0"/>
        <w:jc w:val="left"/>
        <w:rPr>
          <w:rFonts w:ascii="黑体" w:hAnsi="黑体" w:cs="黑体" w:eastAsia="黑体" w:hint="default"/>
          <w:sz w:val="20"/>
          <w:szCs w:val="20"/>
        </w:rPr>
      </w:pPr>
      <w:r>
        <w:rPr>
          <w:rFonts w:ascii="Arial" w:hAnsi="Arial" w:cs="Arial" w:eastAsia="Arial" w:hint="default"/>
          <w:b/>
          <w:bCs/>
          <w:spacing w:val="-1"/>
          <w:sz w:val="20"/>
          <w:szCs w:val="20"/>
        </w:rPr>
        <w:t>18.</w:t>
        <w:tab/>
      </w:r>
      <w:r>
        <w:rPr>
          <w:rFonts w:ascii="黑体" w:hAnsi="黑体" w:cs="黑体" w:eastAsia="黑体" w:hint="default"/>
          <w:b/>
          <w:bCs/>
          <w:sz w:val="20"/>
          <w:szCs w:val="20"/>
        </w:rPr>
        <w:t>长期待摊费用</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68" w:lineRule="auto"/>
        <w:ind w:left="816" w:right="214" w:hanging="1"/>
        <w:jc w:val="both"/>
      </w:pPr>
      <w:r>
        <w:rPr/>
        <w:t>本集团的长期待摊费用是指企业已经支出，但摊销年限在</w:t>
      </w:r>
      <w:r>
        <w:rPr>
          <w:rFonts w:ascii="Arial" w:hAnsi="Arial" w:cs="Arial" w:eastAsia="Arial" w:hint="default"/>
        </w:rPr>
        <w:t>1</w:t>
      </w:r>
      <w:r>
        <w:rPr/>
        <w:t>年以上的各项费用或因收购一</w:t>
      </w:r>
      <w:r>
        <w:rPr>
          <w:spacing w:val="-31"/>
        </w:rPr>
        <w:t> </w:t>
      </w:r>
      <w:r>
        <w:rPr>
          <w:spacing w:val="-31"/>
        </w:rPr>
      </w:r>
      <w:r>
        <w:rPr>
          <w:spacing w:val="-1"/>
        </w:rPr>
        <w:t>些资产及业务而付出的收购对价超出收购资产的账面金额的部分。长期待摊费用在受益期</w:t>
      </w:r>
      <w:r>
        <w:rPr>
          <w:spacing w:val="-81"/>
        </w:rPr>
        <w:t> </w:t>
      </w:r>
      <w:r>
        <w:rPr>
          <w:spacing w:val="-81"/>
        </w:rPr>
      </w:r>
      <w:r>
        <w:rPr/>
        <w:t>限内分期平均摊销。</w:t>
      </w:r>
    </w:p>
    <w:p>
      <w:pPr>
        <w:spacing w:after="0" w:line="268" w:lineRule="auto"/>
        <w:jc w:val="both"/>
        <w:sectPr>
          <w:pgSz w:w="11910" w:h="16840"/>
          <w:pgMar w:header="958" w:footer="473" w:top="2380" w:bottom="660" w:left="1600" w:right="1480"/>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28"/>
          <w:szCs w:val="28"/>
        </w:rPr>
      </w:pPr>
    </w:p>
    <w:p>
      <w:pPr>
        <w:tabs>
          <w:tab w:pos="803"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pStyle w:val="BodyText"/>
        <w:tabs>
          <w:tab w:pos="821" w:val="left" w:leader="none"/>
          <w:tab w:pos="1535" w:val="left" w:leader="none"/>
        </w:tabs>
        <w:spacing w:line="600" w:lineRule="exact" w:before="71"/>
        <w:ind w:right="1405" w:hanging="715"/>
        <w:jc w:val="left"/>
      </w:pPr>
      <w:r>
        <w:rPr>
          <w:rFonts w:ascii="Arial" w:hAnsi="Arial" w:cs="Arial" w:eastAsia="Arial" w:hint="default"/>
          <w:b/>
          <w:bCs/>
          <w:spacing w:val="-1"/>
        </w:rPr>
        <w:t>19.</w:t>
        <w:tab/>
        <w:tab/>
      </w:r>
      <w:r>
        <w:rPr>
          <w:rFonts w:ascii="黑体" w:hAnsi="黑体" w:cs="黑体" w:eastAsia="黑体" w:hint="default"/>
          <w:b/>
          <w:bCs/>
        </w:rPr>
        <w:t>预计负债</w:t>
      </w:r>
      <w:r>
        <w:rPr>
          <w:rFonts w:ascii="黑体" w:hAnsi="黑体" w:cs="黑体" w:eastAsia="黑体" w:hint="default"/>
          <w:b/>
          <w:bCs/>
          <w:w w:val="99"/>
        </w:rPr>
        <w:t> </w:t>
      </w:r>
      <w:r>
        <w:rPr>
          <w:spacing w:val="-1"/>
        </w:rPr>
        <w:t>当与或有事项相关的义务同时符合以下条件，本集团将其确认为预计负债：</w:t>
      </w:r>
      <w:r>
        <w:rPr>
          <w:w w:val="100"/>
        </w:rPr>
        <w:t> </w:t>
      </w:r>
      <w:r>
        <w:rPr>
          <w:rFonts w:ascii="Arial" w:hAnsi="Arial" w:cs="Arial" w:eastAsia="Arial" w:hint="default"/>
        </w:rPr>
        <w:t>(1)</w:t>
        <w:tab/>
      </w:r>
      <w:r>
        <w:rPr/>
        <w:t>该义务是本集团承担的现时义务；</w:t>
      </w:r>
    </w:p>
    <w:p>
      <w:pPr>
        <w:pStyle w:val="BodyText"/>
        <w:spacing w:line="222" w:lineRule="exact"/>
        <w:ind w:left="821" w:right="0"/>
        <w:jc w:val="both"/>
      </w:pPr>
      <w:r>
        <w:rPr>
          <w:rFonts w:ascii="Arial" w:hAnsi="Arial" w:cs="Arial" w:eastAsia="Arial" w:hint="default"/>
        </w:rPr>
        <w:t>(2)       </w:t>
      </w:r>
      <w:r>
        <w:rPr>
          <w:rFonts w:ascii="Arial" w:hAnsi="Arial" w:cs="Arial" w:eastAsia="Arial" w:hint="default"/>
          <w:spacing w:val="26"/>
        </w:rPr>
        <w:t> </w:t>
      </w:r>
      <w:r>
        <w:rPr/>
        <w:t>该义务的履行很可能导致经济利益流出本集团；</w:t>
      </w:r>
    </w:p>
    <w:p>
      <w:pPr>
        <w:pStyle w:val="BodyText"/>
        <w:spacing w:line="240" w:lineRule="auto" w:before="24"/>
        <w:ind w:left="821" w:right="0"/>
        <w:jc w:val="both"/>
      </w:pPr>
      <w:r>
        <w:rPr>
          <w:rFonts w:ascii="Arial" w:hAnsi="Arial" w:cs="Arial" w:eastAsia="Arial" w:hint="default"/>
        </w:rPr>
        <w:t>(3)       </w:t>
      </w:r>
      <w:r>
        <w:rPr>
          <w:rFonts w:ascii="Arial" w:hAnsi="Arial" w:cs="Arial" w:eastAsia="Arial" w:hint="default"/>
          <w:spacing w:val="27"/>
        </w:rPr>
        <w:t> </w:t>
      </w:r>
      <w:r>
        <w:rPr/>
        <w:t>该义务的金额能够可靠地计量。</w:t>
      </w:r>
    </w:p>
    <w:p>
      <w:pPr>
        <w:spacing w:line="240" w:lineRule="auto" w:before="10"/>
        <w:rPr>
          <w:rFonts w:ascii="黑体" w:hAnsi="黑体" w:cs="黑体" w:eastAsia="黑体" w:hint="default"/>
          <w:sz w:val="24"/>
          <w:szCs w:val="24"/>
        </w:rPr>
      </w:pPr>
    </w:p>
    <w:p>
      <w:pPr>
        <w:pStyle w:val="BodyText"/>
        <w:spacing w:line="276" w:lineRule="auto"/>
        <w:ind w:right="215"/>
        <w:jc w:val="both"/>
      </w:pPr>
      <w:r>
        <w:rPr>
          <w:spacing w:val="-1"/>
        </w:rPr>
        <w:t>预计负债按照履行相关现时义务所需支出的最佳估计数进行初始计量，并综合考虑与或有</w:t>
      </w:r>
      <w:r>
        <w:rPr>
          <w:spacing w:val="-81"/>
        </w:rPr>
        <w:t> </w:t>
      </w:r>
      <w:r>
        <w:rPr>
          <w:spacing w:val="-81"/>
        </w:rPr>
      </w:r>
      <w:r>
        <w:rPr>
          <w:spacing w:val="-1"/>
        </w:rPr>
        <w:t>事项有关的风险、不确定性和货币时间价值等因素。每个资产负债表日对预计负债的账面</w:t>
      </w:r>
      <w:r>
        <w:rPr>
          <w:spacing w:val="-79"/>
        </w:rPr>
        <w:t> </w:t>
      </w:r>
      <w:r>
        <w:rPr>
          <w:spacing w:val="-79"/>
        </w:rPr>
      </w:r>
      <w:r>
        <w:rPr>
          <w:spacing w:val="-1"/>
        </w:rPr>
        <w:t>价值进行复核。有确凿证据表明该账面价值不能反映当前最佳估计数的，按照当前最佳估</w:t>
      </w:r>
      <w:r>
        <w:rPr>
          <w:spacing w:val="-80"/>
        </w:rPr>
        <w:t> </w:t>
      </w:r>
      <w:r>
        <w:rPr>
          <w:spacing w:val="-80"/>
        </w:rPr>
      </w:r>
      <w:r>
        <w:rPr/>
        <w:t>计数对该账面价值进行调整。</w:t>
      </w:r>
    </w:p>
    <w:p>
      <w:pPr>
        <w:spacing w:line="240" w:lineRule="auto" w:before="7"/>
        <w:rPr>
          <w:rFonts w:ascii="黑体" w:hAnsi="黑体" w:cs="黑体" w:eastAsia="黑体" w:hint="default"/>
          <w:sz w:val="23"/>
          <w:szCs w:val="23"/>
        </w:rPr>
      </w:pPr>
    </w:p>
    <w:p>
      <w:pPr>
        <w:pStyle w:val="BodyText"/>
        <w:spacing w:line="276" w:lineRule="auto"/>
        <w:ind w:right="206"/>
        <w:jc w:val="both"/>
      </w:pPr>
      <w:r>
        <w:rPr>
          <w:spacing w:val="-1"/>
        </w:rPr>
        <w:t>企业合并中取得的被购买方或有负债在初始确认时按照公允价值计量，在初始确认后，按</w:t>
      </w:r>
      <w:r>
        <w:rPr>
          <w:spacing w:val="-80"/>
        </w:rPr>
        <w:t> </w:t>
      </w:r>
      <w:r>
        <w:rPr>
          <w:spacing w:val="-80"/>
        </w:rPr>
      </w:r>
      <w:r>
        <w:rPr>
          <w:spacing w:val="-1"/>
        </w:rPr>
        <w:t>照预计负债确认的金额，和初始确认金额扣除收入确认原则确定的累计摊销额后的余额，</w:t>
      </w:r>
      <w:r>
        <w:rPr>
          <w:spacing w:val="-72"/>
        </w:rPr>
        <w:t> </w:t>
      </w:r>
      <w:r>
        <w:rPr>
          <w:spacing w:val="-72"/>
        </w:rPr>
      </w:r>
      <w:r>
        <w:rPr/>
        <w:t>以两者之中的较高者进行后续计量。</w:t>
      </w:r>
    </w:p>
    <w:p>
      <w:pPr>
        <w:spacing w:line="240" w:lineRule="auto" w:before="5"/>
        <w:rPr>
          <w:rFonts w:ascii="黑体" w:hAnsi="黑体" w:cs="黑体" w:eastAsia="黑体" w:hint="default"/>
          <w:sz w:val="22"/>
          <w:szCs w:val="22"/>
        </w:rPr>
      </w:pPr>
    </w:p>
    <w:p>
      <w:pPr>
        <w:tabs>
          <w:tab w:pos="821" w:val="left" w:leader="none"/>
        </w:tabs>
        <w:spacing w:before="0"/>
        <w:ind w:left="101" w:right="114" w:firstLine="0"/>
        <w:jc w:val="left"/>
        <w:rPr>
          <w:rFonts w:ascii="黑体" w:hAnsi="黑体" w:cs="黑体" w:eastAsia="黑体" w:hint="default"/>
          <w:sz w:val="20"/>
          <w:szCs w:val="20"/>
        </w:rPr>
      </w:pPr>
      <w:r>
        <w:rPr>
          <w:rFonts w:ascii="Arial" w:hAnsi="Arial" w:cs="Arial" w:eastAsia="Arial" w:hint="default"/>
          <w:b/>
          <w:bCs/>
          <w:spacing w:val="-1"/>
          <w:sz w:val="20"/>
          <w:szCs w:val="20"/>
        </w:rPr>
        <w:t>20.</w:t>
        <w:tab/>
      </w:r>
      <w:r>
        <w:rPr>
          <w:rFonts w:ascii="黑体" w:hAnsi="黑体" w:cs="黑体" w:eastAsia="黑体" w:hint="default"/>
          <w:b/>
          <w:bCs/>
          <w:sz w:val="20"/>
          <w:szCs w:val="20"/>
        </w:rPr>
        <w:t>股份支付</w:t>
      </w:r>
      <w:r>
        <w:rPr>
          <w:rFonts w:ascii="黑体" w:hAnsi="黑体" w:cs="黑体" w:eastAsia="黑体" w:hint="default"/>
          <w:sz w:val="20"/>
          <w:szCs w:val="20"/>
        </w:rPr>
      </w:r>
    </w:p>
    <w:p>
      <w:pPr>
        <w:spacing w:line="240" w:lineRule="auto" w:before="5"/>
        <w:rPr>
          <w:rFonts w:ascii="黑体" w:hAnsi="黑体" w:cs="黑体" w:eastAsia="黑体" w:hint="default"/>
          <w:b/>
          <w:bCs/>
          <w:sz w:val="24"/>
          <w:szCs w:val="24"/>
        </w:rPr>
      </w:pPr>
    </w:p>
    <w:p>
      <w:pPr>
        <w:pStyle w:val="BodyText"/>
        <w:spacing w:line="276" w:lineRule="auto"/>
        <w:ind w:right="114" w:hanging="1"/>
        <w:jc w:val="both"/>
      </w:pPr>
      <w:r>
        <w:rPr>
          <w:spacing w:val="-4"/>
        </w:rPr>
        <w:t>股份支付，分为以权益结算的股份支付和以现金结算的股份支付。以权益结算的股份支付，</w:t>
      </w:r>
      <w:r>
        <w:rPr>
          <w:spacing w:val="-58"/>
        </w:rPr>
        <w:t> </w:t>
      </w:r>
      <w:r>
        <w:rPr>
          <w:spacing w:val="-58"/>
        </w:rPr>
      </w:r>
      <w:r>
        <w:rPr/>
        <w:t>是指本集团为获取服务以股份或其他权益工具作为对价进行结算的交易。</w:t>
      </w:r>
    </w:p>
    <w:p>
      <w:pPr>
        <w:spacing w:line="240" w:lineRule="auto" w:before="7"/>
        <w:rPr>
          <w:rFonts w:ascii="黑体" w:hAnsi="黑体" w:cs="黑体" w:eastAsia="黑体" w:hint="default"/>
          <w:sz w:val="23"/>
          <w:szCs w:val="23"/>
        </w:rPr>
      </w:pPr>
    </w:p>
    <w:p>
      <w:pPr>
        <w:pStyle w:val="BodyText"/>
        <w:spacing w:line="276" w:lineRule="auto"/>
        <w:ind w:right="215"/>
        <w:jc w:val="both"/>
      </w:pPr>
      <w:r>
        <w:rPr>
          <w:spacing w:val="-1"/>
        </w:rPr>
        <w:t>以权益结算的股份支付换取职工提供服务的，以授予职工权益工具的公允价值计量。授予</w:t>
      </w:r>
      <w:r>
        <w:rPr>
          <w:spacing w:val="-80"/>
        </w:rPr>
        <w:t> </w:t>
      </w:r>
      <w:r>
        <w:rPr>
          <w:spacing w:val="-80"/>
        </w:rPr>
      </w:r>
      <w:r>
        <w:rPr>
          <w:spacing w:val="-1"/>
        </w:rPr>
        <w:t>后立即可行权的，在授予日按照公允价值计入相关成本或费用，相应增加资本公积；完成</w:t>
      </w:r>
      <w:r>
        <w:rPr>
          <w:spacing w:val="-82"/>
        </w:rPr>
        <w:t> </w:t>
      </w:r>
      <w:r>
        <w:rPr>
          <w:spacing w:val="-82"/>
        </w:rPr>
      </w:r>
      <w:r>
        <w:rPr>
          <w:spacing w:val="-1"/>
        </w:rPr>
        <w:t>等待期内的服务或达到规定业绩条件才可行权的，在等待期内每个资产负债表日，本集团</w:t>
      </w:r>
      <w:r>
        <w:rPr>
          <w:spacing w:val="-79"/>
        </w:rPr>
        <w:t> </w:t>
      </w:r>
      <w:r>
        <w:rPr>
          <w:spacing w:val="-79"/>
        </w:rPr>
      </w:r>
      <w:r>
        <w:rPr>
          <w:spacing w:val="-1"/>
        </w:rPr>
        <w:t>根据最新取得的可行权职工人数变动等后续信息对可行权权益工具数量作出最佳估计，以</w:t>
      </w:r>
      <w:r>
        <w:rPr>
          <w:spacing w:val="-80"/>
        </w:rPr>
        <w:t> </w:t>
      </w:r>
      <w:r>
        <w:rPr>
          <w:spacing w:val="-80"/>
        </w:rPr>
      </w:r>
      <w:r>
        <w:rPr>
          <w:spacing w:val="-1"/>
        </w:rPr>
        <w:t>此为基础，按照授予日的公允价值，将当期取得的服务计入相关成本或费用，相应增加资</w:t>
      </w:r>
      <w:r>
        <w:rPr>
          <w:spacing w:val="-82"/>
        </w:rPr>
        <w:t> </w:t>
      </w:r>
      <w:r>
        <w:rPr>
          <w:spacing w:val="-82"/>
        </w:rPr>
      </w:r>
      <w:r>
        <w:rPr/>
        <w:t>本公积。权益工具的公允价值采用布莱克</w:t>
      </w:r>
      <w:r>
        <w:rPr>
          <w:rFonts w:ascii="Arial" w:hAnsi="Arial" w:cs="Arial" w:eastAsia="Arial" w:hint="default"/>
        </w:rPr>
        <w:t>-</w:t>
      </w:r>
      <w:r>
        <w:rPr/>
        <w:t>斯科尔斯模型确定，参见附注七、股份支付。</w:t>
      </w:r>
    </w:p>
    <w:p>
      <w:pPr>
        <w:spacing w:line="240" w:lineRule="auto" w:before="3"/>
        <w:rPr>
          <w:rFonts w:ascii="黑体" w:hAnsi="黑体" w:cs="黑体" w:eastAsia="黑体" w:hint="default"/>
          <w:sz w:val="22"/>
          <w:szCs w:val="22"/>
        </w:rPr>
      </w:pPr>
    </w:p>
    <w:p>
      <w:pPr>
        <w:pStyle w:val="BodyText"/>
        <w:spacing w:line="276" w:lineRule="auto"/>
        <w:ind w:right="208"/>
        <w:jc w:val="both"/>
      </w:pPr>
      <w:r>
        <w:rPr>
          <w:spacing w:val="-1"/>
        </w:rPr>
        <w:t>在满足业绩条件和服务期限条件的期间，应确认以权益结算的股份支付的成本或费用，并</w:t>
      </w:r>
      <w:r>
        <w:rPr>
          <w:spacing w:val="-79"/>
        </w:rPr>
        <w:t> </w:t>
      </w:r>
      <w:r>
        <w:rPr>
          <w:spacing w:val="-79"/>
        </w:rPr>
      </w:r>
      <w:r>
        <w:rPr>
          <w:spacing w:val="-1"/>
        </w:rPr>
        <w:t>相应增加资本公积。可行权日之前，于每个资产负债表日为以权益结算的股份支付确认的</w:t>
      </w:r>
      <w:r>
        <w:rPr>
          <w:spacing w:val="-80"/>
        </w:rPr>
        <w:t> </w:t>
      </w:r>
      <w:r>
        <w:rPr>
          <w:spacing w:val="-80"/>
        </w:rPr>
      </w:r>
      <w:r>
        <w:rPr>
          <w:spacing w:val="3"/>
        </w:rPr>
        <w:t>累计金额反映了等待期已届满的部分以及本集团对最终可行权的权益工具数量的最佳估</w:t>
      </w:r>
      <w:r>
        <w:rPr>
          <w:spacing w:val="-48"/>
        </w:rPr>
        <w:t> </w:t>
      </w:r>
      <w:r>
        <w:rPr>
          <w:spacing w:val="-48"/>
        </w:rPr>
      </w:r>
      <w:r>
        <w:rPr/>
        <w:t>计。</w:t>
      </w:r>
    </w:p>
    <w:p>
      <w:pPr>
        <w:spacing w:line="240" w:lineRule="auto" w:before="7"/>
        <w:rPr>
          <w:rFonts w:ascii="黑体" w:hAnsi="黑体" w:cs="黑体" w:eastAsia="黑体" w:hint="default"/>
          <w:sz w:val="23"/>
          <w:szCs w:val="23"/>
        </w:rPr>
      </w:pPr>
    </w:p>
    <w:p>
      <w:pPr>
        <w:pStyle w:val="BodyText"/>
        <w:spacing w:line="276" w:lineRule="auto"/>
        <w:ind w:right="215"/>
        <w:jc w:val="both"/>
      </w:pPr>
      <w:r>
        <w:rPr>
          <w:spacing w:val="-1"/>
        </w:rPr>
        <w:t>对于最终未能行权的股份支付，不确认成本或费用，除非行权条件是市场条件或非可行权</w:t>
      </w:r>
      <w:r>
        <w:rPr>
          <w:spacing w:val="-79"/>
        </w:rPr>
        <w:t> </w:t>
      </w:r>
      <w:r>
        <w:rPr>
          <w:spacing w:val="-79"/>
        </w:rPr>
      </w:r>
      <w:r>
        <w:rPr>
          <w:spacing w:val="-1"/>
        </w:rPr>
        <w:t>条件，此时无论是否满足市场条件或非可行权条件，只要满足所有可行权条件中的非市场</w:t>
      </w:r>
      <w:r>
        <w:rPr>
          <w:spacing w:val="-79"/>
        </w:rPr>
        <w:t> </w:t>
      </w:r>
      <w:r>
        <w:rPr>
          <w:spacing w:val="-79"/>
        </w:rPr>
      </w:r>
      <w:r>
        <w:rPr/>
        <w:t>条件，即视为可行权。</w:t>
      </w:r>
    </w:p>
    <w:p>
      <w:pPr>
        <w:spacing w:after="0" w:line="276" w:lineRule="auto"/>
        <w:jc w:val="both"/>
        <w:sectPr>
          <w:pgSz w:w="11910" w:h="16840"/>
          <w:pgMar w:header="958" w:footer="473" w:top="2380" w:bottom="660" w:left="1600" w:right="148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03"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1"/>
        <w:rPr>
          <w:rFonts w:ascii="黑体" w:hAnsi="黑体" w:cs="黑体" w:eastAsia="黑体" w:hint="default"/>
          <w:b/>
          <w:bCs/>
          <w:sz w:val="23"/>
          <w:szCs w:val="23"/>
        </w:rPr>
      </w:pPr>
    </w:p>
    <w:p>
      <w:pPr>
        <w:tabs>
          <w:tab w:pos="821" w:val="left" w:leader="none"/>
        </w:tabs>
        <w:spacing w:before="0"/>
        <w:ind w:left="101" w:right="114" w:firstLine="0"/>
        <w:jc w:val="left"/>
        <w:rPr>
          <w:rFonts w:ascii="黑体" w:hAnsi="黑体" w:cs="黑体" w:eastAsia="黑体" w:hint="default"/>
          <w:sz w:val="20"/>
          <w:szCs w:val="20"/>
        </w:rPr>
      </w:pPr>
      <w:r>
        <w:rPr>
          <w:rFonts w:ascii="Arial" w:hAnsi="Arial" w:cs="Arial" w:eastAsia="Arial" w:hint="default"/>
          <w:b/>
          <w:bCs/>
          <w:spacing w:val="-1"/>
          <w:sz w:val="20"/>
          <w:szCs w:val="20"/>
        </w:rPr>
        <w:t>20.</w:t>
        <w:tab/>
      </w:r>
      <w:r>
        <w:rPr>
          <w:rFonts w:ascii="黑体" w:hAnsi="黑体" w:cs="黑体" w:eastAsia="黑体" w:hint="default"/>
          <w:b/>
          <w:bCs/>
          <w:sz w:val="20"/>
          <w:szCs w:val="20"/>
        </w:rPr>
        <w:t>股份支付（续）</w:t>
      </w:r>
      <w:r>
        <w:rPr>
          <w:rFonts w:ascii="黑体" w:hAnsi="黑体" w:cs="黑体" w:eastAsia="黑体" w:hint="default"/>
          <w:sz w:val="20"/>
          <w:szCs w:val="20"/>
        </w:rPr>
      </w:r>
    </w:p>
    <w:p>
      <w:pPr>
        <w:spacing w:line="240" w:lineRule="auto" w:before="6"/>
        <w:rPr>
          <w:rFonts w:ascii="黑体" w:hAnsi="黑体" w:cs="黑体" w:eastAsia="黑体" w:hint="default"/>
          <w:b/>
          <w:bCs/>
          <w:sz w:val="24"/>
          <w:szCs w:val="24"/>
        </w:rPr>
      </w:pPr>
    </w:p>
    <w:p>
      <w:pPr>
        <w:pStyle w:val="BodyText"/>
        <w:spacing w:line="276" w:lineRule="auto"/>
        <w:ind w:right="206"/>
        <w:jc w:val="both"/>
      </w:pPr>
      <w:r>
        <w:rPr>
          <w:spacing w:val="-1"/>
        </w:rPr>
        <w:t>如果修改了以权益结算的股份支付的条款，至少按照未修改条款的情况确认取得的服务。</w:t>
      </w:r>
      <w:r>
        <w:rPr>
          <w:spacing w:val="-72"/>
        </w:rPr>
        <w:t> </w:t>
      </w:r>
      <w:r>
        <w:rPr>
          <w:spacing w:val="-72"/>
        </w:rPr>
      </w:r>
      <w:r>
        <w:rPr>
          <w:spacing w:val="-1"/>
        </w:rPr>
        <w:t>此外，任何增加所授予权益工具公允价值的修改，或在修改日对职工有利的变更，均确认</w:t>
      </w:r>
      <w:r>
        <w:rPr>
          <w:spacing w:val="-82"/>
        </w:rPr>
        <w:t> </w:t>
      </w:r>
      <w:r>
        <w:rPr>
          <w:spacing w:val="-82"/>
        </w:rPr>
      </w:r>
      <w:r>
        <w:rPr/>
        <w:t>取得服务的增加。</w:t>
      </w:r>
    </w:p>
    <w:p>
      <w:pPr>
        <w:spacing w:line="240" w:lineRule="auto" w:before="7"/>
        <w:rPr>
          <w:rFonts w:ascii="黑体" w:hAnsi="黑体" w:cs="黑体" w:eastAsia="黑体" w:hint="default"/>
          <w:sz w:val="23"/>
          <w:szCs w:val="23"/>
        </w:rPr>
      </w:pPr>
    </w:p>
    <w:p>
      <w:pPr>
        <w:pStyle w:val="BodyText"/>
        <w:spacing w:line="276" w:lineRule="auto"/>
        <w:ind w:right="215"/>
        <w:jc w:val="both"/>
      </w:pPr>
      <w:r>
        <w:rPr>
          <w:spacing w:val="-1"/>
        </w:rPr>
        <w:t>如果取消了以权益结算的股份支付，则于取消日作为加速行权处理，立即确认尚未确认的</w:t>
      </w:r>
      <w:r>
        <w:rPr>
          <w:spacing w:val="-79"/>
        </w:rPr>
        <w:t> </w:t>
      </w:r>
      <w:r>
        <w:rPr>
          <w:spacing w:val="-79"/>
        </w:rPr>
      </w:r>
      <w:r>
        <w:rPr>
          <w:spacing w:val="-1"/>
        </w:rPr>
        <w:t>金额。职工或其他方能够选择满足非可行权条件但在等待期内未满足的，作为取消以权益</w:t>
      </w:r>
      <w:r>
        <w:rPr>
          <w:spacing w:val="-80"/>
        </w:rPr>
        <w:t> </w:t>
      </w:r>
      <w:r>
        <w:rPr>
          <w:spacing w:val="-80"/>
        </w:rPr>
      </w:r>
      <w:r>
        <w:rPr>
          <w:spacing w:val="-1"/>
        </w:rPr>
        <w:t>结算的股份支付处理。但是，如果授予新的权益工具，并在新权益工具授予日认定所授予</w:t>
      </w:r>
      <w:r>
        <w:rPr>
          <w:spacing w:val="-82"/>
        </w:rPr>
        <w:t> </w:t>
      </w:r>
      <w:r>
        <w:rPr>
          <w:spacing w:val="-82"/>
        </w:rPr>
      </w:r>
      <w:r>
        <w:rPr>
          <w:spacing w:val="-1"/>
        </w:rPr>
        <w:t>的新权益工具是用于替代被取消的权益工具的，则以与处理原权益工具条款和条件修改相</w:t>
      </w:r>
      <w:r>
        <w:rPr>
          <w:spacing w:val="-81"/>
        </w:rPr>
        <w:t> </w:t>
      </w:r>
      <w:r>
        <w:rPr>
          <w:spacing w:val="-81"/>
        </w:rPr>
      </w:r>
      <w:r>
        <w:rPr/>
        <w:t>同的方式，对所授予的替代权益工具进行处理。</w:t>
      </w:r>
    </w:p>
    <w:p>
      <w:pPr>
        <w:spacing w:line="240" w:lineRule="auto" w:before="2"/>
        <w:rPr>
          <w:rFonts w:ascii="黑体" w:hAnsi="黑体" w:cs="黑体" w:eastAsia="黑体" w:hint="default"/>
          <w:sz w:val="18"/>
          <w:szCs w:val="18"/>
        </w:rPr>
      </w:pPr>
    </w:p>
    <w:p>
      <w:pPr>
        <w:tabs>
          <w:tab w:pos="820" w:val="left" w:leader="none"/>
        </w:tabs>
        <w:spacing w:before="0"/>
        <w:ind w:left="101" w:right="114" w:firstLine="0"/>
        <w:jc w:val="left"/>
        <w:rPr>
          <w:rFonts w:ascii="黑体" w:hAnsi="黑体" w:cs="黑体" w:eastAsia="黑体" w:hint="default"/>
          <w:sz w:val="20"/>
          <w:szCs w:val="20"/>
        </w:rPr>
      </w:pPr>
      <w:r>
        <w:rPr>
          <w:rFonts w:ascii="Arial" w:hAnsi="Arial" w:cs="Arial" w:eastAsia="Arial" w:hint="default"/>
          <w:b/>
          <w:bCs/>
          <w:spacing w:val="-1"/>
          <w:sz w:val="20"/>
          <w:szCs w:val="20"/>
        </w:rPr>
        <w:t>21.</w:t>
        <w:tab/>
      </w:r>
      <w:r>
        <w:rPr>
          <w:rFonts w:ascii="黑体" w:hAnsi="黑体" w:cs="黑体" w:eastAsia="黑体" w:hint="default"/>
          <w:b/>
          <w:bCs/>
          <w:sz w:val="20"/>
          <w:szCs w:val="20"/>
        </w:rPr>
        <w:t>回购股份</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76" w:lineRule="auto"/>
        <w:ind w:right="115"/>
        <w:jc w:val="both"/>
      </w:pPr>
      <w:r>
        <w:rPr>
          <w:spacing w:val="-4"/>
        </w:rPr>
        <w:t>回购自身权益工具支付的对价和交易费用，减少股东权益。除股份支付之外，发行、回购、</w:t>
      </w:r>
      <w:r>
        <w:rPr>
          <w:spacing w:val="-60"/>
        </w:rPr>
        <w:t> </w:t>
      </w:r>
      <w:r>
        <w:rPr>
          <w:spacing w:val="-60"/>
        </w:rPr>
      </w:r>
      <w:r>
        <w:rPr/>
        <w:t>出售或注销自身权益工具，均不确认任何利得或损失。</w:t>
      </w:r>
    </w:p>
    <w:p>
      <w:pPr>
        <w:spacing w:line="240" w:lineRule="auto" w:before="3"/>
        <w:rPr>
          <w:rFonts w:ascii="黑体" w:hAnsi="黑体" w:cs="黑体" w:eastAsia="黑体" w:hint="default"/>
          <w:sz w:val="18"/>
          <w:szCs w:val="18"/>
        </w:rPr>
      </w:pPr>
    </w:p>
    <w:p>
      <w:pPr>
        <w:tabs>
          <w:tab w:pos="821" w:val="left" w:leader="none"/>
        </w:tabs>
        <w:spacing w:before="0"/>
        <w:ind w:left="101" w:right="114" w:firstLine="0"/>
        <w:jc w:val="left"/>
        <w:rPr>
          <w:rFonts w:ascii="黑体" w:hAnsi="黑体" w:cs="黑体" w:eastAsia="黑体" w:hint="default"/>
          <w:sz w:val="20"/>
          <w:szCs w:val="20"/>
        </w:rPr>
      </w:pPr>
      <w:r>
        <w:rPr>
          <w:rFonts w:ascii="Arial" w:hAnsi="Arial" w:cs="Arial" w:eastAsia="Arial" w:hint="default"/>
          <w:b/>
          <w:bCs/>
          <w:sz w:val="20"/>
          <w:szCs w:val="20"/>
        </w:rPr>
        <w:t>22.</w:t>
        <w:tab/>
      </w:r>
      <w:r>
        <w:rPr>
          <w:rFonts w:ascii="黑体" w:hAnsi="黑体" w:cs="黑体" w:eastAsia="黑体" w:hint="default"/>
          <w:b/>
          <w:bCs/>
          <w:sz w:val="20"/>
          <w:szCs w:val="20"/>
        </w:rPr>
        <w:t>收入</w:t>
      </w:r>
      <w:r>
        <w:rPr>
          <w:rFonts w:ascii="黑体" w:hAnsi="黑体" w:cs="黑体" w:eastAsia="黑体" w:hint="default"/>
          <w:sz w:val="20"/>
          <w:szCs w:val="20"/>
        </w:rPr>
      </w:r>
    </w:p>
    <w:p>
      <w:pPr>
        <w:spacing w:line="240" w:lineRule="auto" w:before="6"/>
        <w:rPr>
          <w:rFonts w:ascii="黑体" w:hAnsi="黑体" w:cs="黑体" w:eastAsia="黑体" w:hint="default"/>
          <w:b/>
          <w:bCs/>
          <w:sz w:val="19"/>
          <w:szCs w:val="19"/>
        </w:rPr>
      </w:pPr>
    </w:p>
    <w:p>
      <w:pPr>
        <w:pStyle w:val="BodyText"/>
        <w:spacing w:line="276" w:lineRule="auto"/>
        <w:ind w:right="215"/>
        <w:jc w:val="both"/>
      </w:pPr>
      <w:r>
        <w:rPr>
          <w:spacing w:val="-1"/>
        </w:rPr>
        <w:t>收入在经济利益很可能流入本集团、且金额能够可靠计量，并同时满足下列条件时予以确</w:t>
      </w:r>
      <w:r>
        <w:rPr>
          <w:spacing w:val="-80"/>
        </w:rPr>
        <w:t> </w:t>
      </w:r>
      <w:r>
        <w:rPr>
          <w:spacing w:val="-80"/>
        </w:rPr>
      </w:r>
      <w:r>
        <w:rPr/>
        <w:t>认。</w:t>
      </w:r>
    </w:p>
    <w:p>
      <w:pPr>
        <w:spacing w:line="240" w:lineRule="auto" w:before="2"/>
        <w:rPr>
          <w:rFonts w:ascii="黑体" w:hAnsi="黑体" w:cs="黑体" w:eastAsia="黑体" w:hint="default"/>
          <w:sz w:val="18"/>
          <w:szCs w:val="18"/>
        </w:rPr>
      </w:pPr>
    </w:p>
    <w:p>
      <w:pPr>
        <w:pStyle w:val="BodyText"/>
        <w:spacing w:line="240" w:lineRule="auto"/>
        <w:ind w:right="0"/>
        <w:jc w:val="both"/>
      </w:pPr>
      <w:r>
        <w:rPr>
          <w:w w:val="100"/>
        </w:rPr>
      </w:r>
      <w:r>
        <w:rPr>
          <w:u w:val="single" w:color="000000"/>
        </w:rPr>
        <w:t>销售商品收入</w:t>
      </w:r>
      <w:r>
        <w:rPr/>
      </w:r>
    </w:p>
    <w:p>
      <w:pPr>
        <w:spacing w:line="240" w:lineRule="auto" w:before="8"/>
        <w:rPr>
          <w:rFonts w:ascii="黑体" w:hAnsi="黑体" w:cs="黑体" w:eastAsia="黑体" w:hint="default"/>
          <w:sz w:val="17"/>
          <w:szCs w:val="17"/>
        </w:rPr>
      </w:pPr>
    </w:p>
    <w:p>
      <w:pPr>
        <w:pStyle w:val="BodyText"/>
        <w:spacing w:line="276" w:lineRule="auto" w:before="38"/>
        <w:ind w:right="215"/>
        <w:jc w:val="both"/>
      </w:pPr>
      <w:r>
        <w:rPr>
          <w:spacing w:val="-1"/>
        </w:rPr>
        <w:t>本集团已将商品所有权上的主要风险和报酬转移给购货方，并不再对该商品保留通常与所</w:t>
      </w:r>
      <w:r>
        <w:rPr>
          <w:spacing w:val="-80"/>
        </w:rPr>
        <w:t> </w:t>
      </w:r>
      <w:r>
        <w:rPr>
          <w:spacing w:val="-80"/>
        </w:rPr>
      </w:r>
      <w:r>
        <w:rPr>
          <w:spacing w:val="-1"/>
        </w:rPr>
        <w:t>有权相联系的继续管理权和实施有效控制，且相关的已发生或将发生的成本能够可靠地计</w:t>
      </w:r>
      <w:r>
        <w:rPr>
          <w:spacing w:val="-81"/>
        </w:rPr>
        <w:t> </w:t>
      </w:r>
      <w:r>
        <w:rPr>
          <w:spacing w:val="-81"/>
        </w:rPr>
      </w:r>
      <w:r>
        <w:rPr>
          <w:spacing w:val="-1"/>
        </w:rPr>
        <w:t>量，确认为收入的实现。销售商品收入金额，按照从购货方已收或应收的合同或协议价款</w:t>
      </w:r>
      <w:r>
        <w:rPr>
          <w:spacing w:val="-81"/>
        </w:rPr>
        <w:t> </w:t>
      </w:r>
      <w:r>
        <w:rPr>
          <w:spacing w:val="-81"/>
        </w:rPr>
      </w:r>
      <w:r>
        <w:rPr>
          <w:spacing w:val="-1"/>
        </w:rPr>
        <w:t>确定，但已收或应收的合同或协议价款不公允的除外；合同或协议价款的收取采用递延方</w:t>
      </w:r>
      <w:r>
        <w:rPr>
          <w:spacing w:val="-79"/>
        </w:rPr>
        <w:t> </w:t>
      </w:r>
      <w:r>
        <w:rPr>
          <w:spacing w:val="-79"/>
        </w:rPr>
      </w:r>
      <w:r>
        <w:rPr/>
        <w:t>式，实质上具有融资性质的，按照应收的合同或协议价款的公允价值确定。</w:t>
      </w:r>
    </w:p>
    <w:p>
      <w:pPr>
        <w:spacing w:line="240" w:lineRule="auto" w:before="3"/>
        <w:rPr>
          <w:rFonts w:ascii="黑体" w:hAnsi="黑体" w:cs="黑体" w:eastAsia="黑体" w:hint="default"/>
          <w:sz w:val="18"/>
          <w:szCs w:val="18"/>
        </w:rPr>
      </w:pPr>
    </w:p>
    <w:p>
      <w:pPr>
        <w:pStyle w:val="BodyText"/>
        <w:spacing w:line="240" w:lineRule="auto"/>
        <w:ind w:left="821" w:right="0"/>
        <w:jc w:val="both"/>
      </w:pPr>
      <w:r>
        <w:rPr>
          <w:w w:val="100"/>
        </w:rPr>
      </w:r>
      <w:r>
        <w:rPr>
          <w:u w:val="single" w:color="000000"/>
        </w:rPr>
        <w:t>提供劳务收入</w:t>
      </w:r>
      <w:r>
        <w:rPr/>
      </w:r>
    </w:p>
    <w:p>
      <w:pPr>
        <w:spacing w:line="240" w:lineRule="auto" w:before="7"/>
        <w:rPr>
          <w:rFonts w:ascii="黑体" w:hAnsi="黑体" w:cs="黑体" w:eastAsia="黑体" w:hint="default"/>
          <w:sz w:val="17"/>
          <w:szCs w:val="17"/>
        </w:rPr>
      </w:pPr>
    </w:p>
    <w:p>
      <w:pPr>
        <w:pStyle w:val="BodyText"/>
        <w:spacing w:line="276" w:lineRule="auto" w:before="38"/>
        <w:ind w:right="206"/>
        <w:jc w:val="both"/>
      </w:pPr>
      <w:r>
        <w:rPr>
          <w:spacing w:val="-1"/>
        </w:rPr>
        <w:t>于资产负债表日，在提供劳务交易的结果能够可靠估计的情况下，按完工百分比法确认提</w:t>
      </w:r>
      <w:r>
        <w:rPr>
          <w:spacing w:val="-79"/>
        </w:rPr>
        <w:t> </w:t>
      </w:r>
      <w:r>
        <w:rPr>
          <w:spacing w:val="-79"/>
        </w:rPr>
      </w:r>
      <w:r>
        <w:rPr>
          <w:spacing w:val="-1"/>
        </w:rPr>
        <w:t>供劳务收入；否则按已经发生并预计能够得到补偿的劳务成本金额确认收入。提供劳务交</w:t>
      </w:r>
      <w:r>
        <w:rPr>
          <w:spacing w:val="-79"/>
        </w:rPr>
        <w:t> </w:t>
      </w:r>
      <w:r>
        <w:rPr>
          <w:spacing w:val="-79"/>
        </w:rPr>
      </w:r>
      <w:r>
        <w:rPr>
          <w:spacing w:val="-1"/>
        </w:rPr>
        <w:t>易的结果能够可靠估计，是指同时满足下列条件：收入的金额能够可靠地计量，相关的经</w:t>
      </w:r>
      <w:r>
        <w:rPr>
          <w:spacing w:val="-81"/>
        </w:rPr>
        <w:t> </w:t>
      </w:r>
      <w:r>
        <w:rPr>
          <w:spacing w:val="-81"/>
        </w:rPr>
      </w:r>
      <w:r>
        <w:rPr>
          <w:spacing w:val="-1"/>
        </w:rPr>
        <w:t>济利益很可能流入本集团，交易的完工进度能够可靠地确定，交易中已发生和将发生的成</w:t>
      </w:r>
      <w:r>
        <w:rPr>
          <w:spacing w:val="-79"/>
        </w:rPr>
        <w:t> </w:t>
      </w:r>
      <w:r>
        <w:rPr>
          <w:spacing w:val="-79"/>
        </w:rPr>
      </w:r>
      <w:r>
        <w:rPr>
          <w:spacing w:val="-1"/>
        </w:rPr>
        <w:t>本能够可靠地计量。本集团以已经提供的劳务占应提供劳务总量的比例确定提供劳务交易</w:t>
      </w:r>
      <w:r>
        <w:rPr>
          <w:spacing w:val="-81"/>
        </w:rPr>
        <w:t> </w:t>
      </w:r>
      <w:r>
        <w:rPr>
          <w:spacing w:val="-81"/>
        </w:rPr>
      </w:r>
      <w:r>
        <w:rPr>
          <w:spacing w:val="-1"/>
        </w:rPr>
        <w:t>的完工进度。提供劳务收入总额，按照从接受劳务方已收或应收的合同或协议价款确定，</w:t>
      </w:r>
      <w:r>
        <w:rPr>
          <w:spacing w:val="-72"/>
        </w:rPr>
        <w:t> </w:t>
      </w:r>
      <w:r>
        <w:rPr>
          <w:spacing w:val="-72"/>
        </w:rPr>
      </w:r>
      <w:r>
        <w:rPr/>
        <w:t>但已收或应收的合同或协议价款不公允的除外。</w:t>
      </w:r>
    </w:p>
    <w:p>
      <w:pPr>
        <w:spacing w:after="0" w:line="276" w:lineRule="auto"/>
        <w:jc w:val="both"/>
        <w:sectPr>
          <w:pgSz w:w="11910" w:h="16840"/>
          <w:pgMar w:header="958" w:footer="473" w:top="2380" w:bottom="660" w:left="1600" w:right="1480"/>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7"/>
          <w:szCs w:val="17"/>
        </w:rPr>
      </w:pPr>
    </w:p>
    <w:p>
      <w:pPr>
        <w:tabs>
          <w:tab w:pos="803"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4"/>
        <w:rPr>
          <w:rFonts w:ascii="黑体" w:hAnsi="黑体" w:cs="黑体" w:eastAsia="黑体" w:hint="default"/>
          <w:b/>
          <w:bCs/>
          <w:sz w:val="24"/>
          <w:szCs w:val="24"/>
        </w:rPr>
      </w:pPr>
    </w:p>
    <w:p>
      <w:pPr>
        <w:tabs>
          <w:tab w:pos="821" w:val="left" w:leader="none"/>
        </w:tabs>
        <w:spacing w:line="520" w:lineRule="auto" w:before="0"/>
        <w:ind w:left="821" w:right="6199" w:hanging="721"/>
        <w:jc w:val="left"/>
        <w:rPr>
          <w:rFonts w:ascii="黑体" w:hAnsi="黑体" w:cs="黑体" w:eastAsia="黑体" w:hint="default"/>
          <w:sz w:val="20"/>
          <w:szCs w:val="20"/>
        </w:rPr>
      </w:pPr>
      <w:r>
        <w:rPr>
          <w:rFonts w:ascii="Arial" w:hAnsi="Arial" w:cs="Arial" w:eastAsia="Arial" w:hint="default"/>
          <w:b/>
          <w:bCs/>
          <w:spacing w:val="-1"/>
          <w:sz w:val="20"/>
          <w:szCs w:val="20"/>
        </w:rPr>
        <w:t>22.</w:t>
        <w:tab/>
      </w:r>
      <w:r>
        <w:rPr>
          <w:rFonts w:ascii="黑体" w:hAnsi="黑体" w:cs="黑体" w:eastAsia="黑体" w:hint="default"/>
          <w:b/>
          <w:bCs/>
          <w:sz w:val="20"/>
          <w:szCs w:val="20"/>
        </w:rPr>
        <w:t>收入（续）</w:t>
      </w:r>
      <w:r>
        <w:rPr>
          <w:rFonts w:ascii="黑体" w:hAnsi="黑体" w:cs="黑体" w:eastAsia="黑体" w:hint="default"/>
          <w:b/>
          <w:bCs/>
          <w:w w:val="99"/>
          <w:sz w:val="20"/>
          <w:szCs w:val="20"/>
        </w:rPr>
        <w:t> </w:t>
      </w:r>
      <w:r>
        <w:rPr>
          <w:rFonts w:ascii="黑体" w:hAnsi="黑体" w:cs="黑体" w:eastAsia="黑体" w:hint="default"/>
          <w:w w:val="100"/>
          <w:sz w:val="20"/>
          <w:szCs w:val="20"/>
        </w:rPr>
      </w:r>
      <w:r>
        <w:rPr>
          <w:rFonts w:ascii="黑体" w:hAnsi="黑体" w:cs="黑体" w:eastAsia="黑体" w:hint="default"/>
          <w:sz w:val="20"/>
          <w:szCs w:val="20"/>
          <w:u w:val="single" w:color="000000"/>
        </w:rPr>
        <w:t>提供劳务收入</w:t>
      </w:r>
      <w:r>
        <w:rPr>
          <w:rFonts w:ascii="黑体" w:hAnsi="黑体" w:cs="黑体" w:eastAsia="黑体" w:hint="default"/>
          <w:sz w:val="20"/>
          <w:szCs w:val="20"/>
        </w:rPr>
        <w:t>（续）</w:t>
      </w:r>
    </w:p>
    <w:p>
      <w:pPr>
        <w:pStyle w:val="BodyText"/>
        <w:spacing w:line="276" w:lineRule="auto" w:before="104"/>
        <w:ind w:right="215"/>
        <w:jc w:val="both"/>
      </w:pPr>
      <w:r>
        <w:rPr>
          <w:spacing w:val="-1"/>
        </w:rPr>
        <w:t>本集团与其他企业签订的合同或协议包括销售商品和提供劳务时，如销售商品部分和提供</w:t>
      </w:r>
      <w:r>
        <w:rPr>
          <w:spacing w:val="-80"/>
        </w:rPr>
        <w:t> </w:t>
      </w:r>
      <w:r>
        <w:rPr>
          <w:spacing w:val="-80"/>
        </w:rPr>
      </w:r>
      <w:r>
        <w:rPr>
          <w:spacing w:val="-1"/>
        </w:rPr>
        <w:t>劳务部分能够区分并单独计量的，将销售商品部分和提供劳务部分分别处理；如销售商品</w:t>
      </w:r>
      <w:r>
        <w:rPr>
          <w:spacing w:val="-80"/>
        </w:rPr>
        <w:t> </w:t>
      </w:r>
      <w:r>
        <w:rPr>
          <w:spacing w:val="-80"/>
        </w:rPr>
      </w:r>
      <w:r>
        <w:rPr>
          <w:spacing w:val="-1"/>
        </w:rPr>
        <w:t>部分和提供劳务部分不能够区分，或虽能区分但不能够单独计量的，将该合同全部作为销</w:t>
      </w:r>
      <w:r>
        <w:rPr>
          <w:spacing w:val="-79"/>
        </w:rPr>
        <w:t> </w:t>
      </w:r>
      <w:r>
        <w:rPr>
          <w:spacing w:val="-79"/>
        </w:rPr>
      </w:r>
      <w:r>
        <w:rPr/>
        <w:t>售商品处理。</w:t>
      </w:r>
    </w:p>
    <w:p>
      <w:pPr>
        <w:spacing w:line="240" w:lineRule="auto" w:before="3"/>
        <w:rPr>
          <w:rFonts w:ascii="黑体" w:hAnsi="黑体" w:cs="黑体" w:eastAsia="黑体" w:hint="default"/>
          <w:sz w:val="18"/>
          <w:szCs w:val="18"/>
        </w:rPr>
      </w:pPr>
    </w:p>
    <w:p>
      <w:pPr>
        <w:pStyle w:val="BodyText"/>
        <w:spacing w:line="240" w:lineRule="auto"/>
        <w:ind w:right="0"/>
        <w:jc w:val="both"/>
      </w:pPr>
      <w:r>
        <w:rPr>
          <w:w w:val="100"/>
        </w:rPr>
      </w:r>
      <w:r>
        <w:rPr>
          <w:u w:val="single" w:color="000000"/>
        </w:rPr>
        <w:t>建造合同</w:t>
      </w:r>
      <w:r>
        <w:rPr/>
      </w:r>
    </w:p>
    <w:p>
      <w:pPr>
        <w:spacing w:line="240" w:lineRule="auto" w:before="6"/>
        <w:rPr>
          <w:rFonts w:ascii="黑体" w:hAnsi="黑体" w:cs="黑体" w:eastAsia="黑体" w:hint="default"/>
          <w:sz w:val="17"/>
          <w:szCs w:val="17"/>
        </w:rPr>
      </w:pPr>
    </w:p>
    <w:p>
      <w:pPr>
        <w:pStyle w:val="BodyText"/>
        <w:spacing w:line="271" w:lineRule="auto" w:before="38"/>
        <w:ind w:right="210"/>
        <w:jc w:val="both"/>
      </w:pPr>
      <w:r>
        <w:rPr>
          <w:spacing w:val="-1"/>
        </w:rPr>
        <w:t>于资产负债表日，建造合同的结果能够可靠估计的情况下，按完工百分比法确认合同收入</w:t>
      </w:r>
      <w:r>
        <w:rPr>
          <w:spacing w:val="-80"/>
        </w:rPr>
        <w:t> </w:t>
      </w:r>
      <w:r>
        <w:rPr>
          <w:spacing w:val="-80"/>
        </w:rPr>
      </w:r>
      <w:r>
        <w:rPr>
          <w:spacing w:val="-1"/>
        </w:rPr>
        <w:t>和合同费用；否则按已经发生并预计能够收回的实际合同成本金额确认收入。建造合同的</w:t>
      </w:r>
      <w:r>
        <w:rPr>
          <w:spacing w:val="-79"/>
        </w:rPr>
        <w:t> </w:t>
      </w:r>
      <w:r>
        <w:rPr>
          <w:spacing w:val="-79"/>
        </w:rPr>
      </w:r>
      <w:r>
        <w:rPr>
          <w:spacing w:val="-1"/>
        </w:rPr>
        <w:t>结果能够可靠估计，是指与合同相关的经济利益很可能流入本集团，实际发生的合同成本</w:t>
      </w:r>
      <w:r>
        <w:rPr>
          <w:spacing w:val="-79"/>
        </w:rPr>
        <w:t> </w:t>
      </w:r>
      <w:r>
        <w:rPr>
          <w:spacing w:val="-79"/>
        </w:rPr>
      </w:r>
      <w:r>
        <w:rPr>
          <w:spacing w:val="-1"/>
        </w:rPr>
        <w:t>能够清楚地区分和可靠计量；就固定造价合同而言，还需满足下列条件：合同总收入能够</w:t>
      </w:r>
      <w:r>
        <w:rPr>
          <w:spacing w:val="-81"/>
        </w:rPr>
        <w:t> </w:t>
      </w:r>
      <w:r>
        <w:rPr>
          <w:spacing w:val="-81"/>
        </w:rPr>
      </w:r>
      <w:r>
        <w:rPr>
          <w:spacing w:val="-1"/>
        </w:rPr>
        <w:t>可靠地计量，且合同完工进度和为完成合同尚需发生的成本能够可靠地确定。累计实际发</w:t>
      </w:r>
      <w:r>
        <w:rPr>
          <w:spacing w:val="-79"/>
        </w:rPr>
        <w:t> </w:t>
      </w:r>
      <w:r>
        <w:rPr>
          <w:spacing w:val="-79"/>
        </w:rPr>
      </w:r>
      <w:r>
        <w:rPr>
          <w:spacing w:val="2"/>
        </w:rPr>
        <w:t>生的合同成本占合同预计总成本的比例</w:t>
      </w:r>
      <w:r>
        <w:rPr>
          <w:rFonts w:ascii="Arial" w:hAnsi="Arial" w:cs="Arial" w:eastAsia="Arial" w:hint="default"/>
          <w:spacing w:val="2"/>
        </w:rPr>
        <w:t>/</w:t>
      </w:r>
      <w:r>
        <w:rPr>
          <w:spacing w:val="2"/>
        </w:rPr>
        <w:t>已经完成的合同工作量占合同预计总工作量的比</w:t>
      </w:r>
      <w:r>
        <w:rPr>
          <w:spacing w:val="-60"/>
        </w:rPr>
        <w:t> </w:t>
      </w:r>
      <w:r>
        <w:rPr>
          <w:spacing w:val="-60"/>
        </w:rPr>
      </w:r>
      <w:r>
        <w:rPr/>
        <w:t>例</w:t>
      </w:r>
      <w:r>
        <w:rPr>
          <w:rFonts w:ascii="Arial" w:hAnsi="Arial" w:cs="Arial" w:eastAsia="Arial" w:hint="default"/>
        </w:rPr>
        <w:t>/</w:t>
      </w:r>
      <w:r>
        <w:rPr/>
        <w:t>实际测定的完工进度</w:t>
      </w:r>
      <w:r>
        <w:rPr>
          <w:rFonts w:ascii="Arial" w:hAnsi="Arial" w:cs="Arial" w:eastAsia="Arial" w:hint="default"/>
        </w:rPr>
        <w:t>]</w:t>
      </w:r>
      <w:r>
        <w:rPr/>
        <w:t>确定合同完工进度。合同总收入金额，包括合同规定的初始收入</w:t>
      </w:r>
      <w:r>
        <w:rPr>
          <w:spacing w:val="-32"/>
        </w:rPr>
        <w:t> </w:t>
      </w:r>
      <w:r>
        <w:rPr>
          <w:spacing w:val="-32"/>
        </w:rPr>
      </w:r>
      <w:r>
        <w:rPr/>
        <w:t>和因合同变更、索赔、奖励等形成的收入。</w:t>
      </w:r>
    </w:p>
    <w:p>
      <w:pPr>
        <w:spacing w:line="240" w:lineRule="auto" w:before="7"/>
        <w:rPr>
          <w:rFonts w:ascii="黑体" w:hAnsi="黑体" w:cs="黑体" w:eastAsia="黑体" w:hint="default"/>
          <w:sz w:val="18"/>
          <w:szCs w:val="18"/>
        </w:rPr>
      </w:pPr>
    </w:p>
    <w:p>
      <w:pPr>
        <w:pStyle w:val="BodyText"/>
        <w:spacing w:line="240" w:lineRule="auto"/>
        <w:ind w:right="0"/>
        <w:jc w:val="both"/>
      </w:pPr>
      <w:r>
        <w:rPr>
          <w:w w:val="100"/>
        </w:rPr>
      </w:r>
      <w:r>
        <w:rPr>
          <w:u w:val="single" w:color="000000"/>
        </w:rPr>
        <w:t>利息收入</w:t>
      </w:r>
      <w:r>
        <w:rPr/>
      </w:r>
    </w:p>
    <w:p>
      <w:pPr>
        <w:spacing w:line="240" w:lineRule="auto" w:before="8"/>
        <w:rPr>
          <w:rFonts w:ascii="黑体" w:hAnsi="黑体" w:cs="黑体" w:eastAsia="黑体" w:hint="default"/>
          <w:sz w:val="17"/>
          <w:szCs w:val="17"/>
        </w:rPr>
      </w:pPr>
    </w:p>
    <w:p>
      <w:pPr>
        <w:pStyle w:val="BodyText"/>
        <w:spacing w:line="484" w:lineRule="auto" w:before="38"/>
        <w:ind w:right="2453"/>
        <w:jc w:val="left"/>
      </w:pPr>
      <w:r>
        <w:rPr>
          <w:spacing w:val="-1"/>
        </w:rPr>
        <w:t>按照他人使用本集团货币资金的时间和实际利率计算确定。</w:t>
      </w:r>
      <w:r>
        <w:rPr>
          <w:spacing w:val="-80"/>
        </w:rPr>
        <w:t> </w:t>
      </w:r>
      <w:r>
        <w:rPr>
          <w:spacing w:val="-80"/>
        </w:rPr>
      </w:r>
      <w:r>
        <w:rPr>
          <w:u w:val="single" w:color="000000"/>
        </w:rPr>
        <w:t>使用费收入</w:t>
      </w:r>
      <w:r>
        <w:rPr/>
      </w:r>
    </w:p>
    <w:p>
      <w:pPr>
        <w:pStyle w:val="BodyText"/>
        <w:spacing w:line="487" w:lineRule="auto" w:before="65"/>
        <w:ind w:right="2453"/>
        <w:jc w:val="left"/>
      </w:pPr>
      <w:r>
        <w:rPr>
          <w:spacing w:val="-1"/>
        </w:rPr>
        <w:t>按照有关合同或协议约定的收费时间和方法计算确定。</w:t>
      </w:r>
      <w:r>
        <w:rPr>
          <w:spacing w:val="-81"/>
        </w:rPr>
        <w:t> </w:t>
      </w:r>
      <w:r>
        <w:rPr>
          <w:spacing w:val="-81"/>
        </w:rPr>
      </w:r>
      <w:r>
        <w:rPr>
          <w:u w:val="single" w:color="000000"/>
        </w:rPr>
        <w:t>租赁收入</w:t>
      </w:r>
      <w:r>
        <w:rPr/>
      </w:r>
    </w:p>
    <w:p>
      <w:pPr>
        <w:pStyle w:val="BodyText"/>
        <w:spacing w:line="276" w:lineRule="auto" w:before="61"/>
        <w:ind w:right="114"/>
        <w:jc w:val="left"/>
      </w:pPr>
      <w:r>
        <w:rPr>
          <w:spacing w:val="-1"/>
        </w:rPr>
        <w:t>经营租赁的租金收入在租赁期内各个期间按照直线法确认，或有租金在实际发生时计入当</w:t>
      </w:r>
      <w:r>
        <w:rPr>
          <w:spacing w:val="-80"/>
        </w:rPr>
        <w:t> </w:t>
      </w:r>
      <w:r>
        <w:rPr>
          <w:spacing w:val="-80"/>
        </w:rPr>
      </w:r>
      <w:r>
        <w:rPr/>
        <w:t>期损益。</w:t>
      </w:r>
    </w:p>
    <w:p>
      <w:pPr>
        <w:spacing w:line="240" w:lineRule="auto" w:before="9"/>
        <w:rPr>
          <w:rFonts w:ascii="黑体" w:hAnsi="黑体" w:cs="黑体" w:eastAsia="黑体" w:hint="default"/>
          <w:sz w:val="16"/>
          <w:szCs w:val="16"/>
        </w:rPr>
      </w:pPr>
    </w:p>
    <w:p>
      <w:pPr>
        <w:tabs>
          <w:tab w:pos="821" w:val="left" w:leader="none"/>
        </w:tabs>
        <w:spacing w:before="0"/>
        <w:ind w:left="101" w:right="114" w:firstLine="0"/>
        <w:jc w:val="left"/>
        <w:rPr>
          <w:rFonts w:ascii="黑体" w:hAnsi="黑体" w:cs="黑体" w:eastAsia="黑体" w:hint="default"/>
          <w:sz w:val="20"/>
          <w:szCs w:val="20"/>
        </w:rPr>
      </w:pPr>
      <w:r>
        <w:rPr>
          <w:rFonts w:ascii="Arial" w:hAnsi="Arial" w:cs="Arial" w:eastAsia="Arial" w:hint="default"/>
          <w:b/>
          <w:bCs/>
          <w:spacing w:val="-1"/>
          <w:sz w:val="20"/>
          <w:szCs w:val="20"/>
        </w:rPr>
        <w:t>23.</w:t>
        <w:tab/>
      </w:r>
      <w:r>
        <w:rPr>
          <w:rFonts w:ascii="黑体" w:hAnsi="黑体" w:cs="黑体" w:eastAsia="黑体" w:hint="default"/>
          <w:b/>
          <w:bCs/>
          <w:sz w:val="20"/>
          <w:szCs w:val="20"/>
        </w:rPr>
        <w:t>政府补助</w:t>
      </w:r>
      <w:r>
        <w:rPr>
          <w:rFonts w:ascii="黑体" w:hAnsi="黑体" w:cs="黑体" w:eastAsia="黑体" w:hint="default"/>
          <w:sz w:val="20"/>
          <w:szCs w:val="20"/>
        </w:rPr>
      </w:r>
    </w:p>
    <w:p>
      <w:pPr>
        <w:spacing w:line="240" w:lineRule="auto" w:before="12"/>
        <w:rPr>
          <w:rFonts w:ascii="黑体" w:hAnsi="黑体" w:cs="黑体" w:eastAsia="黑体" w:hint="default"/>
          <w:b/>
          <w:bCs/>
          <w:sz w:val="17"/>
          <w:szCs w:val="17"/>
        </w:rPr>
      </w:pPr>
    </w:p>
    <w:p>
      <w:pPr>
        <w:pStyle w:val="BodyText"/>
        <w:spacing w:line="276" w:lineRule="auto"/>
        <w:ind w:right="114" w:hanging="1"/>
        <w:jc w:val="left"/>
      </w:pPr>
      <w:r>
        <w:rPr>
          <w:spacing w:val="-4"/>
        </w:rPr>
        <w:t>政府补助在能够满足其所附的条件并且能够收到时，予以确认。政府补助为货币性资产的，</w:t>
      </w:r>
      <w:r>
        <w:rPr>
          <w:spacing w:val="-58"/>
        </w:rPr>
        <w:t> </w:t>
      </w:r>
      <w:r>
        <w:rPr>
          <w:spacing w:val="-58"/>
        </w:rPr>
      </w:r>
      <w:r>
        <w:rPr/>
        <w:t>按照收到或应收的金额计量。政府补助为非货币性资产的，按照公允价值计量；公允价值</w:t>
      </w:r>
      <w:r>
        <w:rPr>
          <w:w w:val="100"/>
        </w:rPr>
        <w:t> </w:t>
      </w:r>
      <w:r>
        <w:rPr/>
        <w:t>不能可靠取得的，按照名义金额计量。与收益相关的政府补助，用于补偿以后期间的相关</w:t>
      </w:r>
      <w:r>
        <w:rPr>
          <w:w w:val="100"/>
        </w:rPr>
        <w:t> </w:t>
      </w:r>
      <w:r>
        <w:rPr/>
        <w:t>费用或损失的，确认为递延收益，并在确认相关费用的期间计入当期损益；用于补偿已发</w:t>
      </w:r>
      <w:r>
        <w:rPr>
          <w:w w:val="100"/>
        </w:rPr>
        <w:t> </w:t>
      </w:r>
      <w:r>
        <w:rPr/>
        <w:t>生的相关费用或损失的，直接计入当期损益。与资产相关的政府补助，确认为递延收益，</w:t>
      </w:r>
      <w:r>
        <w:rPr>
          <w:w w:val="100"/>
        </w:rPr>
        <w:t> </w:t>
      </w:r>
      <w:r>
        <w:rPr/>
        <w:t>在相关资产使用寿命内平均分配，计入当期损益。但按照名义金额计量的政府补助，直接</w:t>
      </w:r>
      <w:r>
        <w:rPr>
          <w:w w:val="100"/>
        </w:rPr>
        <w:t> </w:t>
      </w:r>
      <w:r>
        <w:rPr/>
        <w:t>计入当期损益。</w:t>
      </w:r>
    </w:p>
    <w:p>
      <w:pPr>
        <w:spacing w:line="240" w:lineRule="auto" w:before="2"/>
        <w:rPr>
          <w:rFonts w:ascii="黑体" w:hAnsi="黑体" w:cs="黑体" w:eastAsia="黑体" w:hint="default"/>
          <w:sz w:val="18"/>
          <w:szCs w:val="18"/>
        </w:rPr>
      </w:pPr>
    </w:p>
    <w:p>
      <w:pPr>
        <w:pStyle w:val="BodyText"/>
        <w:spacing w:line="240" w:lineRule="auto"/>
        <w:ind w:right="114"/>
        <w:jc w:val="left"/>
      </w:pPr>
      <w:r>
        <w:rPr/>
        <w:t>本集团对即征即退的增值税</w:t>
      </w:r>
      <w:r>
        <w:rPr>
          <w:rFonts w:ascii="Arial" w:hAnsi="Arial" w:cs="Arial" w:eastAsia="Arial" w:hint="default"/>
        </w:rPr>
        <w:t>(</w:t>
      </w:r>
      <w:r>
        <w:rPr/>
        <w:t>详见附注三、</w:t>
      </w:r>
      <w:r>
        <w:rPr>
          <w:rFonts w:ascii="Arial" w:hAnsi="Arial" w:cs="Arial" w:eastAsia="Arial" w:hint="default"/>
        </w:rPr>
        <w:t>1.(1))</w:t>
      </w:r>
      <w:r>
        <w:rPr/>
        <w:t>，于实际收到退还的增值税时记入损益。</w:t>
      </w:r>
    </w:p>
    <w:p>
      <w:pPr>
        <w:spacing w:after="0" w:line="240" w:lineRule="auto"/>
        <w:jc w:val="left"/>
        <w:sectPr>
          <w:pgSz w:w="11910" w:h="16840"/>
          <w:pgMar w:header="958" w:footer="473" w:top="2380" w:bottom="660" w:left="1600" w:right="1480"/>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7"/>
          <w:szCs w:val="17"/>
        </w:rPr>
      </w:pPr>
    </w:p>
    <w:p>
      <w:pPr>
        <w:tabs>
          <w:tab w:pos="803"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4"/>
        <w:rPr>
          <w:rFonts w:ascii="黑体" w:hAnsi="黑体" w:cs="黑体" w:eastAsia="黑体" w:hint="default"/>
          <w:b/>
          <w:bCs/>
          <w:sz w:val="24"/>
          <w:szCs w:val="24"/>
        </w:rPr>
      </w:pPr>
    </w:p>
    <w:p>
      <w:pPr>
        <w:tabs>
          <w:tab w:pos="821" w:val="left" w:leader="none"/>
        </w:tabs>
        <w:spacing w:before="0"/>
        <w:ind w:left="101" w:right="114" w:firstLine="0"/>
        <w:jc w:val="left"/>
        <w:rPr>
          <w:rFonts w:ascii="黑体" w:hAnsi="黑体" w:cs="黑体" w:eastAsia="黑体" w:hint="default"/>
          <w:sz w:val="20"/>
          <w:szCs w:val="20"/>
        </w:rPr>
      </w:pPr>
      <w:r>
        <w:rPr>
          <w:rFonts w:ascii="Arial" w:hAnsi="Arial" w:cs="Arial" w:eastAsia="Arial" w:hint="default"/>
          <w:b/>
          <w:bCs/>
          <w:spacing w:val="-1"/>
          <w:sz w:val="20"/>
          <w:szCs w:val="20"/>
        </w:rPr>
        <w:t>24.</w:t>
        <w:tab/>
      </w:r>
      <w:r>
        <w:rPr>
          <w:rFonts w:ascii="黑体" w:hAnsi="黑体" w:cs="黑体" w:eastAsia="黑体" w:hint="default"/>
          <w:b/>
          <w:bCs/>
          <w:sz w:val="20"/>
          <w:szCs w:val="20"/>
        </w:rPr>
        <w:t>所得税</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76" w:lineRule="auto"/>
        <w:ind w:right="206"/>
        <w:jc w:val="both"/>
      </w:pPr>
      <w:r>
        <w:rPr>
          <w:spacing w:val="-1"/>
        </w:rPr>
        <w:t>所得税包括当期所得税和递延所得税。除由于企业合并产生的调整商誉，或与直接计入股</w:t>
      </w:r>
      <w:r>
        <w:rPr>
          <w:spacing w:val="-79"/>
        </w:rPr>
        <w:t> </w:t>
      </w:r>
      <w:r>
        <w:rPr>
          <w:spacing w:val="-79"/>
        </w:rPr>
      </w:r>
      <w:r>
        <w:rPr>
          <w:spacing w:val="-1"/>
        </w:rPr>
        <w:t>东权益的交易或者事项相关的计入股东权益外，均作为所得税费用或收益计入当期损益。</w:t>
      </w:r>
    </w:p>
    <w:p>
      <w:pPr>
        <w:spacing w:line="240" w:lineRule="auto" w:before="7"/>
        <w:rPr>
          <w:rFonts w:ascii="黑体" w:hAnsi="黑体" w:cs="黑体" w:eastAsia="黑体" w:hint="default"/>
          <w:sz w:val="23"/>
          <w:szCs w:val="23"/>
        </w:rPr>
      </w:pPr>
    </w:p>
    <w:p>
      <w:pPr>
        <w:pStyle w:val="BodyText"/>
        <w:spacing w:line="276" w:lineRule="auto"/>
        <w:ind w:right="215"/>
        <w:jc w:val="both"/>
      </w:pPr>
      <w:r>
        <w:rPr>
          <w:spacing w:val="-1"/>
        </w:rPr>
        <w:t>本集团对于当期和以前期间形成的当期所得税负债或资产，按照税法规定计算的预期应交</w:t>
      </w:r>
      <w:r>
        <w:rPr>
          <w:spacing w:val="-80"/>
        </w:rPr>
        <w:t> </w:t>
      </w:r>
      <w:r>
        <w:rPr>
          <w:spacing w:val="-80"/>
        </w:rPr>
      </w:r>
      <w:r>
        <w:rPr/>
        <w:t>纳或返还的所得税金额计量。</w:t>
      </w:r>
    </w:p>
    <w:p>
      <w:pPr>
        <w:spacing w:line="240" w:lineRule="auto" w:before="7"/>
        <w:rPr>
          <w:rFonts w:ascii="黑体" w:hAnsi="黑体" w:cs="黑体" w:eastAsia="黑体" w:hint="default"/>
          <w:sz w:val="23"/>
          <w:szCs w:val="23"/>
        </w:rPr>
      </w:pPr>
    </w:p>
    <w:p>
      <w:pPr>
        <w:pStyle w:val="BodyText"/>
        <w:spacing w:line="276" w:lineRule="auto"/>
        <w:ind w:right="208"/>
        <w:jc w:val="both"/>
      </w:pPr>
      <w:r>
        <w:rPr>
          <w:spacing w:val="-1"/>
        </w:rPr>
        <w:t>本集团根据资产与负债于资产负债表日的账面价值与计税基础之间的暂时性差异，以及未</w:t>
      </w:r>
      <w:r>
        <w:rPr>
          <w:spacing w:val="-80"/>
        </w:rPr>
        <w:t> </w:t>
      </w:r>
      <w:r>
        <w:rPr>
          <w:spacing w:val="-80"/>
        </w:rPr>
      </w:r>
      <w:r>
        <w:rPr>
          <w:spacing w:val="3"/>
        </w:rPr>
        <w:t>作为资产和负债确认但按照税法规定可以确定其计税基础的项目的账面价值与计税基础</w:t>
      </w:r>
      <w:r>
        <w:rPr>
          <w:spacing w:val="-48"/>
        </w:rPr>
        <w:t> </w:t>
      </w:r>
      <w:r>
        <w:rPr>
          <w:spacing w:val="-48"/>
        </w:rPr>
      </w:r>
      <w:r>
        <w:rPr/>
        <w:t>之间的差额产生的暂时性差异，采用资产负债表债务法计提递延所得税。</w:t>
      </w:r>
    </w:p>
    <w:p>
      <w:pPr>
        <w:spacing w:line="240" w:lineRule="auto" w:before="7"/>
        <w:rPr>
          <w:rFonts w:ascii="黑体" w:hAnsi="黑体" w:cs="黑体" w:eastAsia="黑体" w:hint="default"/>
          <w:sz w:val="23"/>
          <w:szCs w:val="23"/>
        </w:rPr>
      </w:pPr>
    </w:p>
    <w:p>
      <w:pPr>
        <w:pStyle w:val="BodyText"/>
        <w:spacing w:line="240" w:lineRule="auto"/>
        <w:ind w:right="0"/>
        <w:jc w:val="both"/>
      </w:pPr>
      <w:r>
        <w:rPr/>
        <w:t>各种应纳税暂时性差异均据以确认递延所得税负债，除非：</w:t>
      </w:r>
    </w:p>
    <w:p>
      <w:pPr>
        <w:spacing w:line="240" w:lineRule="auto" w:before="11"/>
        <w:rPr>
          <w:rFonts w:ascii="黑体" w:hAnsi="黑体" w:cs="黑体" w:eastAsia="黑体" w:hint="default"/>
          <w:sz w:val="25"/>
          <w:szCs w:val="25"/>
        </w:rPr>
      </w:pPr>
    </w:p>
    <w:p>
      <w:pPr>
        <w:pStyle w:val="BodyText"/>
        <w:spacing w:line="268" w:lineRule="auto"/>
        <w:ind w:left="1541" w:right="211" w:hanging="721"/>
        <w:jc w:val="both"/>
      </w:pPr>
      <w:r>
        <w:rPr>
          <w:rFonts w:ascii="Arial" w:hAnsi="Arial" w:cs="Arial" w:eastAsia="Arial" w:hint="default"/>
        </w:rPr>
        <w:t>(1)</w:t>
      </w:r>
      <w:r>
        <w:rPr>
          <w:rFonts w:ascii="Arial" w:hAnsi="Arial" w:cs="Arial" w:eastAsia="Arial" w:hint="default"/>
          <w:spacing w:val="31"/>
        </w:rPr>
        <w:t> </w:t>
      </w:r>
      <w:r>
        <w:rPr/>
        <w:t>应纳税暂时性差异是在以下交易中产生的：商誉的初始确认，或者具有以下特征</w:t>
      </w:r>
      <w:r>
        <w:rPr>
          <w:spacing w:val="-98"/>
        </w:rPr>
        <w:t> </w:t>
      </w:r>
      <w:r>
        <w:rPr>
          <w:spacing w:val="-98"/>
        </w:rPr>
      </w:r>
      <w:r>
        <w:rPr/>
        <w:t>的交易中产生的资产或负债的初始确认：该交易不是企业合并，并且交易发生时</w:t>
      </w:r>
      <w:r>
        <w:rPr>
          <w:spacing w:val="1"/>
          <w:w w:val="100"/>
        </w:rPr>
        <w:t> </w:t>
      </w:r>
      <w:r>
        <w:rPr/>
        <w:t>既不影响会计利润也不影响应纳税所得额或可抵扣亏损。</w:t>
      </w:r>
    </w:p>
    <w:p>
      <w:pPr>
        <w:spacing w:line="240" w:lineRule="auto" w:before="0"/>
        <w:rPr>
          <w:rFonts w:ascii="黑体" w:hAnsi="黑体" w:cs="黑体" w:eastAsia="黑体" w:hint="default"/>
          <w:sz w:val="24"/>
          <w:szCs w:val="24"/>
        </w:rPr>
      </w:pPr>
    </w:p>
    <w:p>
      <w:pPr>
        <w:pStyle w:val="BodyText"/>
        <w:tabs>
          <w:tab w:pos="1541" w:val="left" w:leader="none"/>
        </w:tabs>
        <w:spacing w:line="261" w:lineRule="auto"/>
        <w:ind w:left="1541" w:right="216" w:hanging="721"/>
        <w:jc w:val="left"/>
      </w:pPr>
      <w:r>
        <w:rPr>
          <w:rFonts w:ascii="Arial" w:hAnsi="Arial" w:cs="Arial" w:eastAsia="Arial" w:hint="default"/>
        </w:rPr>
        <w:t>(2)</w:t>
        <w:tab/>
      </w:r>
      <w:r>
        <w:rPr/>
        <w:t>对于与子公司、合营企业及联营企业投资相关的应纳税暂时性差异，该暂时性差</w:t>
      </w:r>
      <w:r>
        <w:rPr>
          <w:spacing w:val="-41"/>
        </w:rPr>
        <w:t> </w:t>
      </w:r>
      <w:r>
        <w:rPr>
          <w:spacing w:val="-41"/>
        </w:rPr>
      </w:r>
      <w:r>
        <w:rPr/>
        <w:t>异转回的时间能够控制并且该暂时性差异在可预见的未来很可能不会转回。</w:t>
      </w:r>
    </w:p>
    <w:p>
      <w:pPr>
        <w:spacing w:line="240" w:lineRule="auto" w:before="6"/>
        <w:rPr>
          <w:rFonts w:ascii="黑体" w:hAnsi="黑体" w:cs="黑体" w:eastAsia="黑体" w:hint="default"/>
          <w:sz w:val="24"/>
          <w:szCs w:val="24"/>
        </w:rPr>
      </w:pPr>
    </w:p>
    <w:p>
      <w:pPr>
        <w:pStyle w:val="BodyText"/>
        <w:spacing w:line="276" w:lineRule="auto"/>
        <w:ind w:right="215"/>
        <w:jc w:val="both"/>
      </w:pPr>
      <w:r>
        <w:rPr>
          <w:spacing w:val="-1"/>
        </w:rPr>
        <w:t>对于可抵扣暂时性差异、能够结转以后年度的可抵扣亏损和税款抵减，本集团以很可能取</w:t>
      </w:r>
      <w:r>
        <w:rPr>
          <w:spacing w:val="-79"/>
        </w:rPr>
        <w:t> </w:t>
      </w:r>
      <w:r>
        <w:rPr>
          <w:spacing w:val="-79"/>
        </w:rPr>
      </w:r>
      <w:r>
        <w:rPr>
          <w:spacing w:val="-1"/>
        </w:rPr>
        <w:t>得用来抵扣可抵扣暂时性差异、可抵扣亏损和税款抵减的未来应纳税所得额为限，确认由</w:t>
      </w:r>
      <w:r>
        <w:rPr>
          <w:spacing w:val="-79"/>
        </w:rPr>
        <w:t> </w:t>
      </w:r>
      <w:r>
        <w:rPr>
          <w:spacing w:val="-79"/>
        </w:rPr>
      </w:r>
      <w:r>
        <w:rPr/>
        <w:t>此产生的递延所得税资产，除非：</w:t>
      </w:r>
    </w:p>
    <w:p>
      <w:pPr>
        <w:spacing w:line="240" w:lineRule="auto" w:before="7"/>
        <w:rPr>
          <w:rFonts w:ascii="黑体" w:hAnsi="黑体" w:cs="黑体" w:eastAsia="黑体" w:hint="default"/>
          <w:sz w:val="23"/>
          <w:szCs w:val="23"/>
        </w:rPr>
      </w:pPr>
    </w:p>
    <w:p>
      <w:pPr>
        <w:pStyle w:val="BodyText"/>
        <w:tabs>
          <w:tab w:pos="1541" w:val="left" w:leader="none"/>
        </w:tabs>
        <w:spacing w:line="261" w:lineRule="auto"/>
        <w:ind w:left="1541" w:right="216" w:hanging="721"/>
        <w:jc w:val="left"/>
      </w:pPr>
      <w:r>
        <w:rPr>
          <w:rFonts w:ascii="Arial" w:hAnsi="Arial" w:cs="Arial" w:eastAsia="Arial" w:hint="default"/>
        </w:rPr>
        <w:t>(1)</w:t>
        <w:tab/>
      </w:r>
      <w:r>
        <w:rPr/>
        <w:t>可抵扣暂时性差异是在以下交易中产生的：该交易不是企业合并，并且交易发生</w:t>
      </w:r>
      <w:r>
        <w:rPr>
          <w:spacing w:val="-41"/>
        </w:rPr>
        <w:t> </w:t>
      </w:r>
      <w:r>
        <w:rPr>
          <w:spacing w:val="-41"/>
        </w:rPr>
      </w:r>
      <w:r>
        <w:rPr/>
        <w:t>时既不影响会计利润也不影响应纳税所得额或可抵扣亏损。</w:t>
      </w:r>
    </w:p>
    <w:p>
      <w:pPr>
        <w:spacing w:line="240" w:lineRule="auto" w:before="6"/>
        <w:rPr>
          <w:rFonts w:ascii="黑体" w:hAnsi="黑体" w:cs="黑体" w:eastAsia="黑体" w:hint="default"/>
          <w:sz w:val="24"/>
          <w:szCs w:val="24"/>
        </w:rPr>
      </w:pPr>
    </w:p>
    <w:p>
      <w:pPr>
        <w:pStyle w:val="BodyText"/>
        <w:tabs>
          <w:tab w:pos="1519" w:val="left" w:leader="none"/>
        </w:tabs>
        <w:spacing w:line="268" w:lineRule="auto"/>
        <w:ind w:left="1520" w:right="113" w:hanging="699"/>
        <w:jc w:val="left"/>
      </w:pPr>
      <w:r>
        <w:rPr>
          <w:rFonts w:ascii="Arial" w:hAnsi="Arial" w:cs="Arial" w:eastAsia="Arial" w:hint="default"/>
        </w:rPr>
        <w:t>(2)</w:t>
        <w:tab/>
      </w:r>
      <w:r>
        <w:rPr/>
        <w:t>对于与子公司、合营企业及联营企业投资相关的可抵扣暂时性差异，同时满足下</w:t>
      </w:r>
      <w:r>
        <w:rPr>
          <w:spacing w:val="-22"/>
        </w:rPr>
        <w:t> </w:t>
      </w:r>
      <w:r>
        <w:rPr>
          <w:spacing w:val="-22"/>
        </w:rPr>
      </w:r>
      <w:r>
        <w:rPr>
          <w:spacing w:val="-1"/>
        </w:rPr>
        <w:t>列条件的，确认相应的递延所得税资产：暂时性差异在可预见的未来很可能转回，</w:t>
      </w:r>
      <w:r>
        <w:rPr>
          <w:w w:val="100"/>
        </w:rPr>
        <w:t> </w:t>
      </w:r>
      <w:r>
        <w:rPr/>
        <w:t>且未来很可能获得用来抵扣可抵扣暂时性差异的应纳税所得额。</w:t>
      </w:r>
    </w:p>
    <w:p>
      <w:pPr>
        <w:spacing w:line="240" w:lineRule="auto" w:before="0"/>
        <w:rPr>
          <w:rFonts w:ascii="黑体" w:hAnsi="黑体" w:cs="黑体" w:eastAsia="黑体" w:hint="default"/>
          <w:sz w:val="24"/>
          <w:szCs w:val="24"/>
        </w:rPr>
      </w:pPr>
    </w:p>
    <w:p>
      <w:pPr>
        <w:pStyle w:val="BodyText"/>
        <w:spacing w:line="276" w:lineRule="auto"/>
        <w:ind w:right="215"/>
        <w:jc w:val="both"/>
      </w:pPr>
      <w:r>
        <w:rPr>
          <w:spacing w:val="-1"/>
        </w:rPr>
        <w:t>本集团于资产负债表日，对于递延所得税资产和递延所得税负债，依据税法规定，按照预</w:t>
      </w:r>
      <w:r>
        <w:rPr>
          <w:spacing w:val="-80"/>
        </w:rPr>
        <w:t> </w:t>
      </w:r>
      <w:r>
        <w:rPr>
          <w:spacing w:val="-80"/>
        </w:rPr>
      </w:r>
      <w:r>
        <w:rPr>
          <w:spacing w:val="-1"/>
        </w:rPr>
        <w:t>期收回该资产或清偿该负债期间的适用税率计量，并反映资产负债表日预期收回资产或清</w:t>
      </w:r>
      <w:r>
        <w:rPr>
          <w:spacing w:val="-81"/>
        </w:rPr>
        <w:t> </w:t>
      </w:r>
      <w:r>
        <w:rPr>
          <w:spacing w:val="-81"/>
        </w:rPr>
      </w:r>
      <w:r>
        <w:rPr/>
        <w:t>偿负债方式的所得税影响。</w:t>
      </w:r>
    </w:p>
    <w:p>
      <w:pPr>
        <w:spacing w:line="240" w:lineRule="auto" w:before="7"/>
        <w:rPr>
          <w:rFonts w:ascii="黑体" w:hAnsi="黑体" w:cs="黑体" w:eastAsia="黑体" w:hint="default"/>
          <w:sz w:val="23"/>
          <w:szCs w:val="23"/>
        </w:rPr>
      </w:pPr>
    </w:p>
    <w:p>
      <w:pPr>
        <w:pStyle w:val="BodyText"/>
        <w:spacing w:line="276" w:lineRule="auto"/>
        <w:ind w:right="215"/>
        <w:jc w:val="both"/>
      </w:pPr>
      <w:r>
        <w:rPr>
          <w:spacing w:val="-1"/>
        </w:rPr>
        <w:t>于资产负债表日，本集团对递延所得税资产的账面价值进行复核，如果未来期间很可能无</w:t>
      </w:r>
      <w:r>
        <w:rPr>
          <w:spacing w:val="-79"/>
        </w:rPr>
        <w:t> </w:t>
      </w:r>
      <w:r>
        <w:rPr>
          <w:spacing w:val="-79"/>
        </w:rPr>
      </w:r>
      <w:r>
        <w:rPr>
          <w:spacing w:val="-1"/>
        </w:rPr>
        <w:t>法获得足够的应纳税所得额用以抵扣递延所得税资产的利益，减记递延所得税资产的账面</w:t>
      </w:r>
      <w:r>
        <w:rPr>
          <w:spacing w:val="-81"/>
        </w:rPr>
        <w:t> </w:t>
      </w:r>
      <w:r>
        <w:rPr>
          <w:spacing w:val="-81"/>
        </w:rPr>
      </w:r>
      <w:r>
        <w:rPr>
          <w:spacing w:val="-1"/>
        </w:rPr>
        <w:t>价值。于资产负债表日，本集团重新评估未确认的递延所得税资产，在很可能获得足够的</w:t>
      </w:r>
      <w:r>
        <w:rPr>
          <w:spacing w:val="-81"/>
        </w:rPr>
        <w:t> </w:t>
      </w:r>
      <w:r>
        <w:rPr>
          <w:spacing w:val="-81"/>
        </w:rPr>
      </w:r>
      <w:r>
        <w:rPr/>
        <w:t>应纳税所得额可供所有或部分递延所得税资产转回的限度内，确认递延所得税资产。</w:t>
      </w:r>
    </w:p>
    <w:p>
      <w:pPr>
        <w:spacing w:after="0" w:line="276" w:lineRule="auto"/>
        <w:jc w:val="both"/>
        <w:sectPr>
          <w:pgSz w:w="11910" w:h="16840"/>
          <w:pgMar w:header="958" w:footer="473" w:top="2380" w:bottom="660" w:left="1600" w:right="1480"/>
        </w:sectPr>
      </w:pP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24"/>
          <w:szCs w:val="24"/>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11"/>
        <w:rPr>
          <w:rFonts w:ascii="黑体" w:hAnsi="黑体" w:cs="黑体" w:eastAsia="黑体" w:hint="default"/>
          <w:b/>
          <w:bCs/>
          <w:sz w:val="25"/>
          <w:szCs w:val="25"/>
        </w:rPr>
      </w:pPr>
    </w:p>
    <w:p>
      <w:pPr>
        <w:tabs>
          <w:tab w:pos="8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24.</w:t>
        <w:tab/>
      </w:r>
      <w:r>
        <w:rPr>
          <w:rFonts w:ascii="黑体" w:hAnsi="黑体" w:cs="黑体" w:eastAsia="黑体" w:hint="default"/>
          <w:b/>
          <w:bCs/>
          <w:sz w:val="20"/>
          <w:szCs w:val="20"/>
        </w:rPr>
        <w:t>所得税（续）</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76" w:lineRule="auto"/>
        <w:ind w:right="135"/>
        <w:jc w:val="both"/>
      </w:pPr>
      <w:r>
        <w:rPr>
          <w:spacing w:val="-1"/>
        </w:rPr>
        <w:t>如果拥有以净额结算当期所得税资产及当期所得税负债的法定权利，且递延所得税与同一</w:t>
      </w:r>
      <w:r>
        <w:rPr>
          <w:spacing w:val="-80"/>
        </w:rPr>
        <w:t> </w:t>
      </w:r>
      <w:r>
        <w:rPr>
          <w:spacing w:val="-80"/>
        </w:rPr>
      </w:r>
      <w:r>
        <w:rPr>
          <w:spacing w:val="-1"/>
        </w:rPr>
        <w:t>应纳税主体和同一税收征管部门相关，则将递延所得税资产和递延所得税负债以抵销后的</w:t>
      </w:r>
      <w:r>
        <w:rPr>
          <w:spacing w:val="-80"/>
        </w:rPr>
        <w:t> </w:t>
      </w:r>
      <w:r>
        <w:rPr>
          <w:spacing w:val="-80"/>
        </w:rPr>
      </w:r>
      <w:r>
        <w:rPr/>
        <w:t>净额列示。</w:t>
      </w:r>
    </w:p>
    <w:p>
      <w:pPr>
        <w:spacing w:line="240" w:lineRule="auto" w:before="7"/>
        <w:rPr>
          <w:rFonts w:ascii="黑体" w:hAnsi="黑体" w:cs="黑体" w:eastAsia="黑体" w:hint="default"/>
          <w:sz w:val="23"/>
          <w:szCs w:val="23"/>
        </w:rPr>
      </w:pPr>
    </w:p>
    <w:p>
      <w:pPr>
        <w:tabs>
          <w:tab w:pos="8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25.</w:t>
        <w:tab/>
      </w:r>
      <w:r>
        <w:rPr>
          <w:rFonts w:ascii="黑体" w:hAnsi="黑体" w:cs="黑体" w:eastAsia="黑体" w:hint="default"/>
          <w:b/>
          <w:bCs/>
          <w:spacing w:val="1"/>
          <w:sz w:val="20"/>
          <w:szCs w:val="20"/>
        </w:rPr>
        <w:t>租赁</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76" w:lineRule="auto"/>
        <w:ind w:right="135"/>
        <w:jc w:val="both"/>
      </w:pPr>
      <w:r>
        <w:rPr>
          <w:spacing w:val="-1"/>
        </w:rPr>
        <w:t>实质上转移了与资产所有权有关的全部风险和报酬的租赁为融资租赁，除此之外的均为经</w:t>
      </w:r>
      <w:r>
        <w:rPr>
          <w:spacing w:val="-81"/>
        </w:rPr>
        <w:t> </w:t>
      </w:r>
      <w:r>
        <w:rPr>
          <w:spacing w:val="-81"/>
        </w:rPr>
      </w:r>
      <w:r>
        <w:rPr/>
        <w:t>营租赁。</w:t>
      </w:r>
    </w:p>
    <w:p>
      <w:pPr>
        <w:spacing w:line="240" w:lineRule="auto" w:before="7"/>
        <w:rPr>
          <w:rFonts w:ascii="黑体" w:hAnsi="黑体" w:cs="黑体" w:eastAsia="黑体" w:hint="default"/>
          <w:sz w:val="23"/>
          <w:szCs w:val="23"/>
        </w:rPr>
      </w:pPr>
    </w:p>
    <w:p>
      <w:pPr>
        <w:pStyle w:val="BodyText"/>
        <w:spacing w:line="240" w:lineRule="auto"/>
        <w:ind w:right="0"/>
        <w:jc w:val="both"/>
      </w:pPr>
      <w:r>
        <w:rPr>
          <w:w w:val="100"/>
        </w:rPr>
      </w:r>
      <w:r>
        <w:rPr>
          <w:u w:val="single" w:color="000000"/>
        </w:rPr>
        <w:t>作为经营租赁承租人</w:t>
      </w:r>
      <w:r>
        <w:rPr/>
      </w:r>
    </w:p>
    <w:p>
      <w:pPr>
        <w:spacing w:line="240" w:lineRule="auto" w:before="12"/>
        <w:rPr>
          <w:rFonts w:ascii="黑体" w:hAnsi="黑体" w:cs="黑体" w:eastAsia="黑体" w:hint="default"/>
          <w:sz w:val="22"/>
          <w:szCs w:val="22"/>
        </w:rPr>
      </w:pPr>
    </w:p>
    <w:p>
      <w:pPr>
        <w:pStyle w:val="BodyText"/>
        <w:spacing w:line="276" w:lineRule="auto" w:before="38"/>
        <w:ind w:right="0"/>
        <w:jc w:val="left"/>
      </w:pPr>
      <w:r>
        <w:rPr>
          <w:spacing w:val="-1"/>
        </w:rPr>
        <w:t>经营租赁的租金支出，在租赁期内各个期间按照直线法计入相关的资产成本或当期损益，</w:t>
      </w:r>
      <w:r>
        <w:rPr>
          <w:spacing w:val="-72"/>
        </w:rPr>
        <w:t> </w:t>
      </w:r>
      <w:r>
        <w:rPr>
          <w:spacing w:val="-72"/>
        </w:rPr>
      </w:r>
      <w:r>
        <w:rPr/>
        <w:t>或有租金在实际发生时计入当期损益。</w:t>
      </w:r>
    </w:p>
    <w:p>
      <w:pPr>
        <w:spacing w:line="240" w:lineRule="auto" w:before="7"/>
        <w:rPr>
          <w:rFonts w:ascii="黑体" w:hAnsi="黑体" w:cs="黑体" w:eastAsia="黑体" w:hint="default"/>
          <w:sz w:val="23"/>
          <w:szCs w:val="23"/>
        </w:rPr>
      </w:pPr>
    </w:p>
    <w:p>
      <w:pPr>
        <w:pStyle w:val="BodyText"/>
        <w:spacing w:line="240" w:lineRule="auto"/>
        <w:ind w:right="0"/>
        <w:jc w:val="left"/>
      </w:pPr>
      <w:r>
        <w:rPr>
          <w:w w:val="100"/>
        </w:rPr>
      </w:r>
      <w:r>
        <w:rPr>
          <w:u w:val="single" w:color="000000"/>
        </w:rPr>
        <w:t>作为经营租赁出租人</w:t>
      </w:r>
      <w:r>
        <w:rPr/>
      </w:r>
    </w:p>
    <w:p>
      <w:pPr>
        <w:spacing w:line="240" w:lineRule="auto" w:before="12"/>
        <w:rPr>
          <w:rFonts w:ascii="黑体" w:hAnsi="黑体" w:cs="黑体" w:eastAsia="黑体" w:hint="default"/>
          <w:sz w:val="22"/>
          <w:szCs w:val="22"/>
        </w:rPr>
      </w:pPr>
    </w:p>
    <w:p>
      <w:pPr>
        <w:pStyle w:val="BodyText"/>
        <w:spacing w:line="276" w:lineRule="auto" w:before="38"/>
        <w:ind w:right="135"/>
        <w:jc w:val="both"/>
      </w:pPr>
      <w:r>
        <w:rPr>
          <w:spacing w:val="-1"/>
        </w:rPr>
        <w:t>经营租赁的租金收入在租赁期内各个期间按直线法确认为当期损益，或有租金在实际发生</w:t>
      </w:r>
      <w:r>
        <w:rPr>
          <w:spacing w:val="-80"/>
        </w:rPr>
        <w:t> </w:t>
      </w:r>
      <w:r>
        <w:rPr>
          <w:spacing w:val="-80"/>
        </w:rPr>
      </w:r>
      <w:r>
        <w:rPr/>
        <w:t>时计入当期损益。</w:t>
      </w:r>
    </w:p>
    <w:p>
      <w:pPr>
        <w:spacing w:line="240" w:lineRule="auto" w:before="7"/>
        <w:rPr>
          <w:rFonts w:ascii="黑体" w:hAnsi="黑体" w:cs="黑体" w:eastAsia="黑体" w:hint="default"/>
          <w:sz w:val="23"/>
          <w:szCs w:val="23"/>
        </w:rPr>
      </w:pPr>
    </w:p>
    <w:p>
      <w:pPr>
        <w:tabs>
          <w:tab w:pos="8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z w:val="20"/>
          <w:szCs w:val="20"/>
        </w:rPr>
        <w:t>26</w:t>
      </w:r>
      <w:r>
        <w:rPr>
          <w:rFonts w:ascii="黑体" w:hAnsi="黑体" w:cs="黑体" w:eastAsia="黑体" w:hint="default"/>
          <w:b/>
          <w:bCs/>
          <w:sz w:val="20"/>
          <w:szCs w:val="20"/>
        </w:rPr>
        <w:t>．</w:t>
        <w:tab/>
        <w:t>持有待售的非流动资产</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76" w:lineRule="auto"/>
        <w:ind w:right="135"/>
        <w:jc w:val="both"/>
      </w:pPr>
      <w:r>
        <w:rPr>
          <w:spacing w:val="-1"/>
        </w:rPr>
        <w:t>同时符合以下条件的非流动资产，除金融资产、递延所得税资产之外，本集团将其划分为</w:t>
      </w:r>
      <w:r>
        <w:rPr>
          <w:spacing w:val="-83"/>
        </w:rPr>
        <w:t> </w:t>
      </w:r>
      <w:r>
        <w:rPr>
          <w:spacing w:val="-83"/>
        </w:rPr>
      </w:r>
      <w:r>
        <w:rPr/>
        <w:t>持有待售：</w:t>
      </w:r>
    </w:p>
    <w:p>
      <w:pPr>
        <w:spacing w:line="240" w:lineRule="auto" w:before="7"/>
        <w:rPr>
          <w:rFonts w:ascii="黑体" w:hAnsi="黑体" w:cs="黑体" w:eastAsia="黑体" w:hint="default"/>
          <w:sz w:val="23"/>
          <w:szCs w:val="23"/>
        </w:rPr>
      </w:pPr>
    </w:p>
    <w:p>
      <w:pPr>
        <w:pStyle w:val="BodyText"/>
        <w:spacing w:line="240" w:lineRule="auto"/>
        <w:ind w:left="821" w:right="0"/>
        <w:jc w:val="both"/>
      </w:pPr>
      <w:r>
        <w:rPr>
          <w:rFonts w:ascii="Arial" w:hAnsi="Arial" w:cs="Arial" w:eastAsia="Arial" w:hint="default"/>
        </w:rPr>
        <w:t>(1)       </w:t>
      </w:r>
      <w:r>
        <w:rPr>
          <w:rFonts w:ascii="Arial" w:hAnsi="Arial" w:cs="Arial" w:eastAsia="Arial" w:hint="default"/>
          <w:spacing w:val="25"/>
        </w:rPr>
        <w:t> </w:t>
      </w:r>
      <w:r>
        <w:rPr/>
        <w:t>本集团已经就处置该非流动资产作出决议；</w:t>
      </w:r>
    </w:p>
    <w:p>
      <w:pPr>
        <w:pStyle w:val="BodyText"/>
        <w:spacing w:line="240" w:lineRule="auto" w:before="24"/>
        <w:ind w:left="821" w:right="0"/>
        <w:jc w:val="both"/>
      </w:pPr>
      <w:r>
        <w:rPr>
          <w:rFonts w:ascii="Arial" w:hAnsi="Arial" w:cs="Arial" w:eastAsia="Arial" w:hint="default"/>
        </w:rPr>
        <w:t>(2)       </w:t>
      </w:r>
      <w:r>
        <w:rPr>
          <w:rFonts w:ascii="Arial" w:hAnsi="Arial" w:cs="Arial" w:eastAsia="Arial" w:hint="default"/>
          <w:spacing w:val="25"/>
        </w:rPr>
        <w:t> </w:t>
      </w:r>
      <w:r>
        <w:rPr/>
        <w:t>已经与受让方签订了不可撤销的转让协议；</w:t>
      </w:r>
    </w:p>
    <w:p>
      <w:pPr>
        <w:pStyle w:val="BodyText"/>
        <w:spacing w:line="240" w:lineRule="auto" w:before="24"/>
        <w:ind w:left="821" w:right="0"/>
        <w:jc w:val="both"/>
      </w:pPr>
      <w:r>
        <w:rPr>
          <w:rFonts w:ascii="Arial" w:hAnsi="Arial" w:cs="Arial" w:eastAsia="Arial" w:hint="default"/>
        </w:rPr>
        <w:t>(3)       </w:t>
      </w:r>
      <w:r>
        <w:rPr>
          <w:rFonts w:ascii="Arial" w:hAnsi="Arial" w:cs="Arial" w:eastAsia="Arial" w:hint="default"/>
          <w:spacing w:val="28"/>
        </w:rPr>
        <w:t> </w:t>
      </w:r>
      <w:r>
        <w:rPr/>
        <w:t>该项转让将在一年内完成。</w:t>
      </w:r>
    </w:p>
    <w:p>
      <w:pPr>
        <w:spacing w:line="240" w:lineRule="auto" w:before="10"/>
        <w:rPr>
          <w:rFonts w:ascii="黑体" w:hAnsi="黑体" w:cs="黑体" w:eastAsia="黑体" w:hint="default"/>
          <w:sz w:val="24"/>
          <w:szCs w:val="24"/>
        </w:rPr>
      </w:pPr>
    </w:p>
    <w:p>
      <w:pPr>
        <w:pStyle w:val="BodyText"/>
        <w:spacing w:line="276" w:lineRule="auto"/>
        <w:ind w:right="135"/>
        <w:jc w:val="both"/>
      </w:pPr>
      <w:r>
        <w:rPr>
          <w:spacing w:val="-1"/>
        </w:rPr>
        <w:t>划分为持有待售的非流动资产的单项资产和处置组，不计提折旧或摊销，按照公允价值减</w:t>
      </w:r>
      <w:r>
        <w:rPr>
          <w:spacing w:val="-79"/>
        </w:rPr>
        <w:t> </w:t>
      </w:r>
      <w:r>
        <w:rPr>
          <w:spacing w:val="-79"/>
        </w:rPr>
      </w:r>
      <w:r>
        <w:rPr>
          <w:spacing w:val="-1"/>
        </w:rPr>
        <w:t>去处置费用后的金额计量，但不得超过符合持有待售条件时的原账面价值。原账面价值高</w:t>
      </w:r>
      <w:r>
        <w:rPr>
          <w:spacing w:val="-79"/>
        </w:rPr>
        <w:t> </w:t>
      </w:r>
      <w:r>
        <w:rPr>
          <w:spacing w:val="-79"/>
        </w:rPr>
      </w:r>
      <w:r>
        <w:rPr/>
        <w:t>于公允价值减去处置费用后的差额，作为资产减值损失计入当期损益。</w:t>
      </w:r>
    </w:p>
    <w:p>
      <w:pPr>
        <w:spacing w:after="0" w:line="276" w:lineRule="auto"/>
        <w:jc w:val="both"/>
        <w:sectPr>
          <w:pgSz w:w="11910" w:h="16840"/>
          <w:pgMar w:header="958" w:footer="473" w:top="2380" w:bottom="660" w:left="1600" w:right="156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10"/>
        <w:rPr>
          <w:rFonts w:ascii="黑体" w:hAnsi="黑体" w:cs="黑体" w:eastAsia="黑体" w:hint="default"/>
          <w:b/>
          <w:bCs/>
          <w:sz w:val="22"/>
          <w:szCs w:val="22"/>
        </w:rPr>
      </w:pPr>
    </w:p>
    <w:p>
      <w:pPr>
        <w:tabs>
          <w:tab w:pos="8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27.</w:t>
        <w:tab/>
      </w:r>
      <w:r>
        <w:rPr>
          <w:rFonts w:ascii="黑体" w:hAnsi="黑体" w:cs="黑体" w:eastAsia="黑体" w:hint="default"/>
          <w:b/>
          <w:bCs/>
          <w:sz w:val="20"/>
          <w:szCs w:val="20"/>
        </w:rPr>
        <w:t>资产减值</w:t>
      </w:r>
      <w:r>
        <w:rPr>
          <w:rFonts w:ascii="黑体" w:hAnsi="黑体" w:cs="黑体" w:eastAsia="黑体" w:hint="default"/>
          <w:sz w:val="20"/>
          <w:szCs w:val="20"/>
        </w:rPr>
      </w:r>
    </w:p>
    <w:p>
      <w:pPr>
        <w:spacing w:line="240" w:lineRule="auto" w:before="4"/>
        <w:rPr>
          <w:rFonts w:ascii="黑体" w:hAnsi="黑体" w:cs="黑体" w:eastAsia="黑体" w:hint="default"/>
          <w:b/>
          <w:bCs/>
          <w:sz w:val="23"/>
          <w:szCs w:val="23"/>
        </w:rPr>
      </w:pPr>
    </w:p>
    <w:p>
      <w:pPr>
        <w:pStyle w:val="BodyText"/>
        <w:spacing w:line="276" w:lineRule="auto"/>
        <w:ind w:right="135"/>
        <w:jc w:val="both"/>
      </w:pPr>
      <w:r>
        <w:rPr>
          <w:spacing w:val="-1"/>
        </w:rPr>
        <w:t>本集团对除存货、递延所得税、金融资产、按成本法核算的在活跃市场中没有报价且其公</w:t>
      </w:r>
      <w:r>
        <w:rPr>
          <w:spacing w:val="-82"/>
        </w:rPr>
        <w:t> </w:t>
      </w:r>
      <w:r>
        <w:rPr>
          <w:spacing w:val="-82"/>
        </w:rPr>
      </w:r>
      <w:r>
        <w:rPr/>
        <w:t>允价值不能可靠计量的长期股权投资外的资产减值，按以下方法确定：</w:t>
      </w:r>
    </w:p>
    <w:p>
      <w:pPr>
        <w:spacing w:line="240" w:lineRule="auto" w:before="7"/>
        <w:rPr>
          <w:rFonts w:ascii="黑体" w:hAnsi="黑体" w:cs="黑体" w:eastAsia="黑体" w:hint="default"/>
          <w:sz w:val="23"/>
          <w:szCs w:val="23"/>
        </w:rPr>
      </w:pPr>
    </w:p>
    <w:p>
      <w:pPr>
        <w:pStyle w:val="BodyText"/>
        <w:spacing w:line="276" w:lineRule="auto"/>
        <w:ind w:right="128"/>
        <w:jc w:val="both"/>
      </w:pPr>
      <w:r>
        <w:rPr>
          <w:spacing w:val="-1"/>
        </w:rPr>
        <w:t>本集团于资产负债表日判断资产是否存在可能发生减值的迹象，存在减值迹象的，本集团</w:t>
      </w:r>
      <w:r>
        <w:rPr>
          <w:spacing w:val="-79"/>
        </w:rPr>
        <w:t> </w:t>
      </w:r>
      <w:r>
        <w:rPr>
          <w:spacing w:val="-79"/>
        </w:rPr>
      </w:r>
      <w:r>
        <w:rPr>
          <w:spacing w:val="-1"/>
        </w:rPr>
        <w:t>将估计其可收回金额，进行减值测试。对因企业合并所形成的商誉和使用寿命不确定的无</w:t>
      </w:r>
      <w:r>
        <w:rPr>
          <w:spacing w:val="-79"/>
        </w:rPr>
        <w:t> </w:t>
      </w:r>
      <w:r>
        <w:rPr>
          <w:spacing w:val="-79"/>
        </w:rPr>
      </w:r>
      <w:r>
        <w:rPr>
          <w:spacing w:val="-1"/>
        </w:rPr>
        <w:t>形资产，无论是否存在减值迹象，至少于每年末进行减值测试。对于尚未达到可使用状态</w:t>
      </w:r>
      <w:r>
        <w:rPr>
          <w:spacing w:val="-83"/>
        </w:rPr>
        <w:t> </w:t>
      </w:r>
      <w:r>
        <w:rPr>
          <w:spacing w:val="-83"/>
        </w:rPr>
      </w:r>
      <w:r>
        <w:rPr/>
        <w:t>的无形资产，也每年进行减值测试。</w:t>
      </w:r>
    </w:p>
    <w:p>
      <w:pPr>
        <w:spacing w:line="240" w:lineRule="auto" w:before="7"/>
        <w:rPr>
          <w:rFonts w:ascii="黑体" w:hAnsi="黑体" w:cs="黑体" w:eastAsia="黑体" w:hint="default"/>
          <w:sz w:val="23"/>
          <w:szCs w:val="23"/>
        </w:rPr>
      </w:pPr>
    </w:p>
    <w:p>
      <w:pPr>
        <w:pStyle w:val="BodyText"/>
        <w:spacing w:line="276" w:lineRule="auto"/>
        <w:ind w:right="126"/>
        <w:jc w:val="both"/>
      </w:pPr>
      <w:r>
        <w:rPr>
          <w:spacing w:val="3"/>
        </w:rPr>
        <w:t>可收回金额根据资产的公允价值减去处置费用后的净额与资产预计未来现金流量的现值</w:t>
      </w:r>
      <w:r>
        <w:rPr>
          <w:spacing w:val="-48"/>
        </w:rPr>
        <w:t> </w:t>
      </w:r>
      <w:r>
        <w:rPr>
          <w:spacing w:val="-1"/>
        </w:rPr>
        <w:t>两者之间较高者确定。本集团以单项资产为基础估计其可收回金额；难以对单项资产的可</w:t>
      </w:r>
      <w:r>
        <w:rPr>
          <w:spacing w:val="-79"/>
        </w:rPr>
        <w:t> </w:t>
      </w:r>
      <w:r>
        <w:rPr>
          <w:spacing w:val="-79"/>
        </w:rPr>
      </w:r>
      <w:r>
        <w:rPr>
          <w:spacing w:val="-1"/>
        </w:rPr>
        <w:t>收回金额进行估计的，以该资产所属的资产组为基础确定资产组的可收回金额。资产组的</w:t>
      </w:r>
      <w:r>
        <w:rPr>
          <w:spacing w:val="-79"/>
        </w:rPr>
        <w:t> </w:t>
      </w:r>
      <w:r>
        <w:rPr>
          <w:spacing w:val="-79"/>
        </w:rPr>
      </w:r>
      <w:r>
        <w:rPr>
          <w:spacing w:val="-1"/>
        </w:rPr>
        <w:t>认定，以资产组产生的主要现金流入是否独立于其他资产或者资产组的现金流入为依据。</w:t>
      </w:r>
    </w:p>
    <w:p>
      <w:pPr>
        <w:spacing w:line="240" w:lineRule="auto" w:before="7"/>
        <w:rPr>
          <w:rFonts w:ascii="黑体" w:hAnsi="黑体" w:cs="黑体" w:eastAsia="黑体" w:hint="default"/>
          <w:sz w:val="23"/>
          <w:szCs w:val="23"/>
        </w:rPr>
      </w:pPr>
    </w:p>
    <w:p>
      <w:pPr>
        <w:pStyle w:val="BodyText"/>
        <w:spacing w:line="276" w:lineRule="auto"/>
        <w:ind w:right="135"/>
        <w:jc w:val="both"/>
      </w:pPr>
      <w:r>
        <w:rPr>
          <w:spacing w:val="-1"/>
        </w:rPr>
        <w:t>当资产或者资产组的可收回金额低于其账面价值时，本集团将其账面价值减记至可收回金</w:t>
      </w:r>
      <w:r>
        <w:rPr>
          <w:spacing w:val="-80"/>
        </w:rPr>
        <w:t> </w:t>
      </w:r>
      <w:r>
        <w:rPr>
          <w:spacing w:val="-80"/>
        </w:rPr>
      </w:r>
      <w:r>
        <w:rPr/>
        <w:t>额，减记的金额计入当期损益，同时计提相应的资产减值准备。</w:t>
      </w:r>
    </w:p>
    <w:p>
      <w:pPr>
        <w:spacing w:line="240" w:lineRule="auto" w:before="7"/>
        <w:rPr>
          <w:rFonts w:ascii="黑体" w:hAnsi="黑体" w:cs="黑体" w:eastAsia="黑体" w:hint="default"/>
          <w:sz w:val="23"/>
          <w:szCs w:val="23"/>
        </w:rPr>
      </w:pPr>
    </w:p>
    <w:p>
      <w:pPr>
        <w:pStyle w:val="BodyText"/>
        <w:spacing w:line="276" w:lineRule="auto"/>
        <w:ind w:right="126"/>
        <w:jc w:val="both"/>
      </w:pPr>
      <w:r>
        <w:rPr>
          <w:spacing w:val="-1"/>
        </w:rPr>
        <w:t>就商誉的减值测试而言，对于因企业合并形成的商誉的账面价值，自购买日起按照合理的</w:t>
      </w:r>
      <w:r>
        <w:rPr>
          <w:spacing w:val="-78"/>
        </w:rPr>
        <w:t> </w:t>
      </w:r>
      <w:r>
        <w:rPr>
          <w:spacing w:val="-78"/>
        </w:rPr>
      </w:r>
      <w:r>
        <w:rPr>
          <w:spacing w:val="-1"/>
        </w:rPr>
        <w:t>方法分摊至相关的资产组；难以分摊至相关的资产组的，将其分摊至相关的资产组组合。</w:t>
      </w:r>
      <w:r>
        <w:rPr>
          <w:spacing w:val="-72"/>
        </w:rPr>
        <w:t> </w:t>
      </w:r>
      <w:r>
        <w:rPr>
          <w:spacing w:val="-72"/>
        </w:rPr>
      </w:r>
      <w:r>
        <w:rPr>
          <w:spacing w:val="-1"/>
        </w:rPr>
        <w:t>相关的资产组或者资产组组合，是能够从企业合并的协同效应中受益的资产组或者资产组</w:t>
      </w:r>
      <w:r>
        <w:rPr>
          <w:spacing w:val="-80"/>
        </w:rPr>
        <w:t> </w:t>
      </w:r>
      <w:r>
        <w:rPr>
          <w:spacing w:val="-80"/>
        </w:rPr>
      </w:r>
      <w:r>
        <w:rPr/>
        <w:t>组合，且不大于本集团确定的报告分部。</w:t>
      </w:r>
    </w:p>
    <w:p>
      <w:pPr>
        <w:spacing w:line="240" w:lineRule="auto" w:before="7"/>
        <w:rPr>
          <w:rFonts w:ascii="黑体" w:hAnsi="黑体" w:cs="黑体" w:eastAsia="黑体" w:hint="default"/>
          <w:sz w:val="23"/>
          <w:szCs w:val="23"/>
        </w:rPr>
      </w:pPr>
    </w:p>
    <w:p>
      <w:pPr>
        <w:pStyle w:val="BodyText"/>
        <w:spacing w:line="276" w:lineRule="auto"/>
        <w:ind w:right="135"/>
        <w:jc w:val="both"/>
      </w:pPr>
      <w:r>
        <w:rPr>
          <w:spacing w:val="-1"/>
        </w:rPr>
        <w:t>对包含商誉的相关资产组或者资产组组合进行减值测试时，如与商誉相关的资产组或者资</w:t>
      </w:r>
      <w:r>
        <w:rPr>
          <w:spacing w:val="-80"/>
        </w:rPr>
        <w:t> </w:t>
      </w:r>
      <w:r>
        <w:rPr>
          <w:spacing w:val="-80"/>
        </w:rPr>
      </w:r>
      <w:r>
        <w:rPr>
          <w:spacing w:val="-1"/>
        </w:rPr>
        <w:t>产组组合存在减值迹象的，首先对不包含商誉的资产组或者资产组组合进行减值测试，计</w:t>
      </w:r>
      <w:r>
        <w:rPr>
          <w:spacing w:val="-79"/>
        </w:rPr>
        <w:t> </w:t>
      </w:r>
      <w:r>
        <w:rPr>
          <w:spacing w:val="-79"/>
        </w:rPr>
      </w:r>
      <w:r>
        <w:rPr>
          <w:spacing w:val="-1"/>
        </w:rPr>
        <w:t>算可收回金额，确认相应的减值损失。然后对包含商誉的资产组或者资产组组合进行减值</w:t>
      </w:r>
      <w:r>
        <w:rPr>
          <w:spacing w:val="-79"/>
        </w:rPr>
        <w:t> </w:t>
      </w:r>
      <w:r>
        <w:rPr>
          <w:spacing w:val="-79"/>
        </w:rPr>
      </w:r>
      <w:r>
        <w:rPr>
          <w:spacing w:val="-1"/>
        </w:rPr>
        <w:t>测试，比较其账面价值与可收回金额，如可收回金额低于账面价值的，减值损失金额首先</w:t>
      </w:r>
      <w:r>
        <w:rPr>
          <w:spacing w:val="-82"/>
        </w:rPr>
        <w:t> </w:t>
      </w:r>
      <w:r>
        <w:rPr>
          <w:spacing w:val="-82"/>
        </w:rPr>
      </w:r>
      <w:r>
        <w:rPr>
          <w:spacing w:val="-1"/>
        </w:rPr>
        <w:t>抵减分摊至资产组或者资产组组合中商誉的账面价值，再根据资产组或者资产组组合中除</w:t>
      </w:r>
      <w:r>
        <w:rPr>
          <w:spacing w:val="-80"/>
        </w:rPr>
        <w:t> </w:t>
      </w:r>
      <w:r>
        <w:rPr>
          <w:spacing w:val="-80"/>
        </w:rPr>
      </w:r>
      <w:r>
        <w:rPr/>
        <w:t>商誉之外的其他各项资产的账面价值所占比重，按比例抵减其他各项资产的账面价值。</w:t>
      </w:r>
    </w:p>
    <w:p>
      <w:pPr>
        <w:spacing w:line="240" w:lineRule="auto" w:before="7"/>
        <w:rPr>
          <w:rFonts w:ascii="黑体" w:hAnsi="黑体" w:cs="黑体" w:eastAsia="黑体" w:hint="default"/>
          <w:sz w:val="23"/>
          <w:szCs w:val="23"/>
        </w:rPr>
      </w:pPr>
    </w:p>
    <w:p>
      <w:pPr>
        <w:pStyle w:val="BodyText"/>
        <w:spacing w:line="240" w:lineRule="auto"/>
        <w:ind w:right="0"/>
        <w:jc w:val="both"/>
      </w:pPr>
      <w:r>
        <w:rPr/>
        <w:t>上述资产减值损失一经确认，在以后会计期间不再转回。</w:t>
      </w:r>
    </w:p>
    <w:p>
      <w:pPr>
        <w:spacing w:after="0" w:line="240" w:lineRule="auto"/>
        <w:jc w:val="both"/>
        <w:sectPr>
          <w:pgSz w:w="11910" w:h="16840"/>
          <w:pgMar w:header="958" w:footer="473" w:top="2380" w:bottom="660" w:left="1600" w:right="156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10"/>
        <w:rPr>
          <w:rFonts w:ascii="黑体" w:hAnsi="黑体" w:cs="黑体" w:eastAsia="黑体" w:hint="default"/>
          <w:b/>
          <w:bCs/>
          <w:sz w:val="22"/>
          <w:szCs w:val="22"/>
        </w:rPr>
      </w:pPr>
    </w:p>
    <w:p>
      <w:pPr>
        <w:tabs>
          <w:tab w:pos="8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28.</w:t>
        <w:tab/>
      </w:r>
      <w:r>
        <w:rPr>
          <w:rFonts w:ascii="黑体" w:hAnsi="黑体" w:cs="黑体" w:eastAsia="黑体" w:hint="default"/>
          <w:b/>
          <w:bCs/>
          <w:sz w:val="20"/>
          <w:szCs w:val="20"/>
        </w:rPr>
        <w:t>职工薪酬</w:t>
      </w:r>
      <w:r>
        <w:rPr>
          <w:rFonts w:ascii="黑体" w:hAnsi="黑体" w:cs="黑体" w:eastAsia="黑体" w:hint="default"/>
          <w:sz w:val="20"/>
          <w:szCs w:val="20"/>
        </w:rPr>
      </w:r>
    </w:p>
    <w:p>
      <w:pPr>
        <w:spacing w:line="240" w:lineRule="auto" w:before="4"/>
        <w:rPr>
          <w:rFonts w:ascii="黑体" w:hAnsi="黑体" w:cs="黑体" w:eastAsia="黑体" w:hint="default"/>
          <w:b/>
          <w:bCs/>
          <w:sz w:val="23"/>
          <w:szCs w:val="23"/>
        </w:rPr>
      </w:pPr>
    </w:p>
    <w:p>
      <w:pPr>
        <w:pStyle w:val="BodyText"/>
        <w:spacing w:line="276" w:lineRule="auto"/>
        <w:ind w:right="135"/>
        <w:jc w:val="both"/>
      </w:pPr>
      <w:r>
        <w:rPr>
          <w:spacing w:val="-1"/>
        </w:rPr>
        <w:t>职工薪酬，是指本集团为获得职工提供的服务而给予除股份支付以外各种形式的报酬以及</w:t>
      </w:r>
      <w:r>
        <w:rPr>
          <w:spacing w:val="-80"/>
        </w:rPr>
        <w:t> </w:t>
      </w:r>
      <w:r>
        <w:rPr>
          <w:spacing w:val="-80"/>
        </w:rPr>
      </w:r>
      <w:r>
        <w:rPr>
          <w:spacing w:val="-1"/>
        </w:rPr>
        <w:t>其他相关支出。在职工提供服务的会计期间，将应付的职工薪酬确认为负债。对于资产负</w:t>
      </w:r>
      <w:r>
        <w:rPr>
          <w:spacing w:val="-82"/>
        </w:rPr>
        <w:t> </w:t>
      </w:r>
      <w:r>
        <w:rPr>
          <w:spacing w:val="-82"/>
        </w:rPr>
      </w:r>
      <w:r>
        <w:rPr/>
        <w:t>债表日后</w:t>
      </w:r>
      <w:r>
        <w:rPr>
          <w:rFonts w:ascii="Arial" w:hAnsi="Arial" w:cs="Arial" w:eastAsia="Arial" w:hint="default"/>
        </w:rPr>
        <w:t>1</w:t>
      </w:r>
      <w:r>
        <w:rPr/>
        <w:t>年以上到期的，如果折现的影响金额重大，则以其现值列示。</w:t>
      </w:r>
    </w:p>
    <w:p>
      <w:pPr>
        <w:spacing w:line="240" w:lineRule="auto" w:before="3"/>
        <w:rPr>
          <w:rFonts w:ascii="黑体" w:hAnsi="黑体" w:cs="黑体" w:eastAsia="黑体" w:hint="default"/>
          <w:sz w:val="22"/>
          <w:szCs w:val="22"/>
        </w:rPr>
      </w:pPr>
    </w:p>
    <w:p>
      <w:pPr>
        <w:pStyle w:val="BodyText"/>
        <w:spacing w:line="276" w:lineRule="auto"/>
        <w:ind w:right="135"/>
        <w:jc w:val="both"/>
      </w:pPr>
      <w:r>
        <w:rPr>
          <w:spacing w:val="-1"/>
        </w:rPr>
        <w:t>本集团的职工参加由当地政府管理的养老保险、医疗保险、失业保险费等社会保险费和住</w:t>
      </w:r>
      <w:r>
        <w:rPr>
          <w:spacing w:val="-80"/>
        </w:rPr>
        <w:t> </w:t>
      </w:r>
      <w:r>
        <w:rPr>
          <w:spacing w:val="-80"/>
        </w:rPr>
      </w:r>
      <w:r>
        <w:rPr/>
        <w:t>房公积金，相应支出在发生时计入相关资产成本或当期损益。</w:t>
      </w:r>
    </w:p>
    <w:p>
      <w:pPr>
        <w:spacing w:line="240" w:lineRule="auto" w:before="12"/>
        <w:rPr>
          <w:rFonts w:ascii="黑体" w:hAnsi="黑体" w:cs="黑体" w:eastAsia="黑体" w:hint="default"/>
          <w:sz w:val="16"/>
          <w:szCs w:val="16"/>
        </w:rPr>
      </w:pPr>
    </w:p>
    <w:p>
      <w:pPr>
        <w:tabs>
          <w:tab w:pos="821" w:val="left" w:leader="none"/>
        </w:tabs>
        <w:spacing w:line="518" w:lineRule="auto" w:before="0"/>
        <w:ind w:left="815" w:right="2127" w:hanging="715"/>
        <w:jc w:val="left"/>
        <w:rPr>
          <w:rFonts w:ascii="黑体" w:hAnsi="黑体" w:cs="黑体" w:eastAsia="黑体" w:hint="default"/>
          <w:sz w:val="20"/>
          <w:szCs w:val="20"/>
        </w:rPr>
      </w:pPr>
      <w:r>
        <w:rPr>
          <w:rFonts w:ascii="Arial" w:hAnsi="Arial" w:cs="Arial" w:eastAsia="Arial" w:hint="default"/>
          <w:b/>
          <w:bCs/>
          <w:spacing w:val="-1"/>
          <w:sz w:val="20"/>
          <w:szCs w:val="20"/>
        </w:rPr>
        <w:t>29.</w:t>
        <w:tab/>
        <w:tab/>
      </w:r>
      <w:r>
        <w:rPr>
          <w:rFonts w:ascii="黑体" w:hAnsi="黑体" w:cs="黑体" w:eastAsia="黑体" w:hint="default"/>
          <w:b/>
          <w:bCs/>
          <w:sz w:val="20"/>
          <w:szCs w:val="20"/>
        </w:rPr>
        <w:t>利润分配</w:t>
      </w:r>
      <w:r>
        <w:rPr>
          <w:rFonts w:ascii="黑体" w:hAnsi="黑体" w:cs="黑体" w:eastAsia="黑体" w:hint="default"/>
          <w:b/>
          <w:bCs/>
          <w:w w:val="99"/>
          <w:sz w:val="20"/>
          <w:szCs w:val="20"/>
        </w:rPr>
        <w:t> </w:t>
      </w:r>
      <w:r>
        <w:rPr>
          <w:rFonts w:ascii="黑体" w:hAnsi="黑体" w:cs="黑体" w:eastAsia="黑体" w:hint="default"/>
          <w:spacing w:val="-1"/>
          <w:sz w:val="20"/>
          <w:szCs w:val="20"/>
        </w:rPr>
        <w:t>税后利润在提取盈余公积和任意盈余公积后，余额进行利润分配。</w:t>
      </w:r>
    </w:p>
    <w:p>
      <w:pPr>
        <w:pStyle w:val="BodyText"/>
        <w:spacing w:line="271" w:lineRule="auto" w:before="106"/>
        <w:ind w:right="135"/>
        <w:jc w:val="both"/>
      </w:pPr>
      <w:r>
        <w:rPr>
          <w:spacing w:val="-1"/>
        </w:rPr>
        <w:t>根据公司法及本公司的公司章程，本公司需按适用于本公司的企业会计准则及相关的补充</w:t>
      </w:r>
      <w:r>
        <w:rPr>
          <w:spacing w:val="-81"/>
        </w:rPr>
        <w:t> </w:t>
      </w:r>
      <w:r>
        <w:rPr>
          <w:spacing w:val="-81"/>
        </w:rPr>
      </w:r>
      <w:r>
        <w:rPr>
          <w:spacing w:val="-1"/>
        </w:rPr>
        <w:t>规定计算之净利润的</w:t>
      </w:r>
      <w:r>
        <w:rPr>
          <w:rFonts w:ascii="Arial" w:hAnsi="Arial" w:cs="Arial" w:eastAsia="Arial" w:hint="default"/>
          <w:spacing w:val="-1"/>
        </w:rPr>
        <w:t>10%</w:t>
      </w:r>
      <w:r>
        <w:rPr>
          <w:spacing w:val="-1"/>
        </w:rPr>
        <w:t>提取法定盈余公积，直至该储备已达本公司注册资本的</w:t>
      </w:r>
      <w:r>
        <w:rPr>
          <w:rFonts w:ascii="Arial" w:hAnsi="Arial" w:cs="Arial" w:eastAsia="Arial" w:hint="default"/>
          <w:spacing w:val="-1"/>
        </w:rPr>
        <w:t>50%</w:t>
      </w:r>
      <w:r>
        <w:rPr>
          <w:spacing w:val="-1"/>
        </w:rPr>
        <w:t>。在</w:t>
      </w:r>
      <w:r>
        <w:rPr>
          <w:spacing w:val="-85"/>
        </w:rPr>
        <w:t> </w:t>
      </w:r>
      <w:r>
        <w:rPr>
          <w:spacing w:val="-1"/>
        </w:rPr>
        <w:t>符合公司法及本公司的公司章程的若干规定下，部分法定盈余公积可转增为股本，惟所留</w:t>
      </w:r>
      <w:r>
        <w:rPr>
          <w:spacing w:val="-79"/>
        </w:rPr>
        <w:t> </w:t>
      </w:r>
      <w:r>
        <w:rPr>
          <w:spacing w:val="-79"/>
        </w:rPr>
      </w:r>
      <w:r>
        <w:rPr/>
        <w:t>存后的法定盈余公积余额不可低于注册资本的</w:t>
      </w:r>
      <w:r>
        <w:rPr>
          <w:rFonts w:ascii="Arial" w:hAnsi="Arial" w:cs="Arial" w:eastAsia="Arial" w:hint="default"/>
        </w:rPr>
        <w:t>25%</w:t>
      </w:r>
      <w:r>
        <w:rPr/>
        <w:t>。</w:t>
      </w:r>
    </w:p>
    <w:p>
      <w:pPr>
        <w:spacing w:line="240" w:lineRule="auto" w:before="7"/>
        <w:rPr>
          <w:rFonts w:ascii="黑体" w:hAnsi="黑体" w:cs="黑体" w:eastAsia="黑体" w:hint="default"/>
          <w:sz w:val="22"/>
          <w:szCs w:val="22"/>
        </w:rPr>
      </w:pPr>
    </w:p>
    <w:p>
      <w:pPr>
        <w:pStyle w:val="BodyText"/>
        <w:spacing w:line="240" w:lineRule="auto"/>
        <w:ind w:right="0"/>
        <w:jc w:val="both"/>
      </w:pPr>
      <w:r>
        <w:rPr/>
        <w:t>任意盈余公积的提取由股东大会根据需要决定。</w:t>
      </w:r>
    </w:p>
    <w:p>
      <w:pPr>
        <w:spacing w:line="240" w:lineRule="auto" w:before="11"/>
        <w:rPr>
          <w:rFonts w:ascii="黑体" w:hAnsi="黑体" w:cs="黑体" w:eastAsia="黑体" w:hint="default"/>
          <w:sz w:val="25"/>
          <w:szCs w:val="25"/>
        </w:rPr>
      </w:pPr>
    </w:p>
    <w:p>
      <w:pPr>
        <w:pStyle w:val="BodyText"/>
        <w:spacing w:line="276" w:lineRule="auto"/>
        <w:ind w:right="135"/>
        <w:jc w:val="both"/>
      </w:pPr>
      <w:r>
        <w:rPr>
          <w:spacing w:val="-1"/>
        </w:rPr>
        <w:t>资产负债表日后，经审议批准的利润分配方案中拟分配的股利或利润，不确认为资产负债</w:t>
      </w:r>
      <w:r>
        <w:rPr>
          <w:spacing w:val="-80"/>
        </w:rPr>
        <w:t> </w:t>
      </w:r>
      <w:r>
        <w:rPr>
          <w:spacing w:val="-80"/>
        </w:rPr>
      </w:r>
      <w:r>
        <w:rPr/>
        <w:t>表日的负债，在附注中单独披露。</w:t>
      </w:r>
    </w:p>
    <w:p>
      <w:pPr>
        <w:spacing w:line="240" w:lineRule="auto" w:before="13"/>
        <w:rPr>
          <w:rFonts w:ascii="黑体" w:hAnsi="黑体" w:cs="黑体" w:eastAsia="黑体" w:hint="default"/>
          <w:sz w:val="21"/>
          <w:szCs w:val="21"/>
        </w:rPr>
      </w:pPr>
    </w:p>
    <w:p>
      <w:pPr>
        <w:tabs>
          <w:tab w:pos="8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30.</w:t>
        <w:tab/>
      </w:r>
      <w:r>
        <w:rPr>
          <w:rFonts w:ascii="黑体" w:hAnsi="黑体" w:cs="黑体" w:eastAsia="黑体" w:hint="default"/>
          <w:b/>
          <w:bCs/>
          <w:sz w:val="20"/>
          <w:szCs w:val="20"/>
        </w:rPr>
        <w:t>重大会计判断和估计</w:t>
      </w:r>
      <w:r>
        <w:rPr>
          <w:rFonts w:ascii="黑体" w:hAnsi="黑体" w:cs="黑体" w:eastAsia="黑体" w:hint="default"/>
          <w:sz w:val="20"/>
          <w:szCs w:val="20"/>
        </w:rPr>
      </w:r>
    </w:p>
    <w:p>
      <w:pPr>
        <w:spacing w:line="240" w:lineRule="auto" w:before="3"/>
        <w:rPr>
          <w:rFonts w:ascii="黑体" w:hAnsi="黑体" w:cs="黑体" w:eastAsia="黑体" w:hint="default"/>
          <w:b/>
          <w:bCs/>
          <w:sz w:val="23"/>
          <w:szCs w:val="23"/>
        </w:rPr>
      </w:pPr>
    </w:p>
    <w:p>
      <w:pPr>
        <w:pStyle w:val="BodyText"/>
        <w:spacing w:line="276" w:lineRule="auto"/>
        <w:ind w:right="135"/>
        <w:jc w:val="both"/>
      </w:pPr>
      <w:r>
        <w:rPr>
          <w:spacing w:val="-1"/>
        </w:rPr>
        <w:t>编制财务报表要求管理层作出判断和估计，这些判断和估计会影响收入、费用、资产和负</w:t>
      </w:r>
      <w:r>
        <w:rPr>
          <w:spacing w:val="-81"/>
        </w:rPr>
        <w:t> </w:t>
      </w:r>
      <w:r>
        <w:rPr>
          <w:spacing w:val="-81"/>
        </w:rPr>
      </w:r>
      <w:r>
        <w:rPr>
          <w:spacing w:val="-1"/>
        </w:rPr>
        <w:t>债的报告金额以及资产负债表日或有负债的披露。然而，这些估计的不确定性所导致的结</w:t>
      </w:r>
      <w:r>
        <w:rPr>
          <w:spacing w:val="-80"/>
        </w:rPr>
        <w:t> </w:t>
      </w:r>
      <w:r>
        <w:rPr>
          <w:spacing w:val="-80"/>
        </w:rPr>
      </w:r>
      <w:r>
        <w:rPr/>
        <w:t>果可能造成对未来受影响的资产或负债的账面金额进行重大调整。</w:t>
      </w:r>
    </w:p>
    <w:p>
      <w:pPr>
        <w:spacing w:line="240" w:lineRule="auto" w:before="7"/>
        <w:rPr>
          <w:rFonts w:ascii="黑体" w:hAnsi="黑体" w:cs="黑体" w:eastAsia="黑体" w:hint="default"/>
          <w:sz w:val="23"/>
          <w:szCs w:val="23"/>
        </w:rPr>
      </w:pPr>
    </w:p>
    <w:p>
      <w:pPr>
        <w:pStyle w:val="BodyText"/>
        <w:spacing w:line="240" w:lineRule="auto"/>
        <w:ind w:right="0"/>
        <w:jc w:val="both"/>
      </w:pPr>
      <w:r>
        <w:rPr>
          <w:w w:val="100"/>
        </w:rPr>
      </w:r>
      <w:r>
        <w:rPr>
          <w:u w:val="single" w:color="000000"/>
        </w:rPr>
        <w:t>估计的不确定性</w:t>
      </w:r>
      <w:r>
        <w:rPr/>
      </w:r>
    </w:p>
    <w:p>
      <w:pPr>
        <w:spacing w:line="240" w:lineRule="auto" w:before="12"/>
        <w:rPr>
          <w:rFonts w:ascii="黑体" w:hAnsi="黑体" w:cs="黑体" w:eastAsia="黑体" w:hint="default"/>
          <w:sz w:val="22"/>
          <w:szCs w:val="22"/>
        </w:rPr>
      </w:pPr>
    </w:p>
    <w:p>
      <w:pPr>
        <w:pStyle w:val="BodyText"/>
        <w:spacing w:line="276" w:lineRule="auto" w:before="38"/>
        <w:ind w:right="0"/>
        <w:jc w:val="left"/>
      </w:pPr>
      <w:r>
        <w:rPr>
          <w:spacing w:val="-1"/>
        </w:rPr>
        <w:t>以下为于资产负债表日有关未来的关键假设以及估计不确定性的其他关键来源，可能会导</w:t>
      </w:r>
      <w:r>
        <w:rPr>
          <w:spacing w:val="-80"/>
        </w:rPr>
        <w:t> </w:t>
      </w:r>
      <w:r>
        <w:rPr>
          <w:spacing w:val="-80"/>
        </w:rPr>
      </w:r>
      <w:r>
        <w:rPr/>
        <w:t>致未来会计期间资产和负债账面金额重大调整。</w:t>
      </w:r>
    </w:p>
    <w:p>
      <w:pPr>
        <w:spacing w:line="240" w:lineRule="auto" w:before="9"/>
        <w:rPr>
          <w:rFonts w:ascii="黑体" w:hAnsi="黑体" w:cs="黑体" w:eastAsia="黑体" w:hint="default"/>
          <w:sz w:val="22"/>
          <w:szCs w:val="22"/>
        </w:rPr>
      </w:pPr>
    </w:p>
    <w:p>
      <w:pPr>
        <w:pStyle w:val="BodyText"/>
        <w:spacing w:line="273" w:lineRule="auto"/>
        <w:ind w:right="0"/>
        <w:jc w:val="left"/>
      </w:pPr>
      <w:r>
        <w:rPr>
          <w:rFonts w:ascii="黑体" w:hAnsi="黑体" w:cs="黑体" w:eastAsia="黑体" w:hint="default"/>
          <w:i/>
          <w:sz w:val="21"/>
          <w:szCs w:val="21"/>
        </w:rPr>
        <w:t>可供出售金融资产减值</w:t>
      </w:r>
      <w:r>
        <w:rPr>
          <w:rFonts w:ascii="黑体" w:hAnsi="黑体" w:cs="黑体" w:eastAsia="黑体" w:hint="default"/>
          <w:i/>
          <w:w w:val="95"/>
          <w:sz w:val="21"/>
          <w:szCs w:val="21"/>
        </w:rPr>
        <w:t> </w:t>
      </w:r>
      <w:r>
        <w:rPr>
          <w:spacing w:val="-1"/>
        </w:rPr>
        <w:t>本集团将某些资产归类为可供出售金融资产，并将其公允价值的变动直接计入股东权益。</w:t>
      </w:r>
      <w:r>
        <w:rPr>
          <w:spacing w:val="-72"/>
        </w:rPr>
        <w:t> </w:t>
      </w:r>
      <w:r>
        <w:rPr>
          <w:spacing w:val="-72"/>
        </w:rPr>
      </w:r>
      <w:r>
        <w:rPr>
          <w:spacing w:val="-1"/>
        </w:rPr>
        <w:t>当公允价值下降时，管理层就价值下降作出假设以确定是否存在需在利润表中确认其减值</w:t>
      </w:r>
      <w:r>
        <w:rPr>
          <w:spacing w:val="-81"/>
        </w:rPr>
        <w:t> </w:t>
      </w:r>
      <w:r>
        <w:rPr>
          <w:spacing w:val="-81"/>
        </w:rPr>
      </w:r>
      <w:r>
        <w:rPr/>
        <w:t>损失。</w:t>
      </w:r>
    </w:p>
    <w:p>
      <w:pPr>
        <w:spacing w:after="0" w:line="273" w:lineRule="auto"/>
        <w:jc w:val="left"/>
        <w:sectPr>
          <w:pgSz w:w="11910" w:h="16840"/>
          <w:pgMar w:header="958" w:footer="473" w:top="2380" w:bottom="660" w:left="1600" w:right="1560"/>
        </w:sectPr>
      </w:pP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27"/>
          <w:szCs w:val="27"/>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21" w:val="left" w:leader="none"/>
        </w:tabs>
        <w:spacing w:line="504" w:lineRule="auto" w:before="0"/>
        <w:ind w:left="815" w:right="3992" w:hanging="714"/>
        <w:jc w:val="left"/>
        <w:rPr>
          <w:rFonts w:ascii="黑体" w:hAnsi="黑体" w:cs="黑体" w:eastAsia="黑体" w:hint="default"/>
          <w:sz w:val="20"/>
          <w:szCs w:val="20"/>
        </w:rPr>
      </w:pPr>
      <w:r>
        <w:rPr>
          <w:rFonts w:ascii="Arial" w:hAnsi="Arial" w:cs="Arial" w:eastAsia="Arial" w:hint="default"/>
          <w:b/>
          <w:bCs/>
          <w:spacing w:val="-1"/>
          <w:sz w:val="20"/>
          <w:szCs w:val="20"/>
        </w:rPr>
        <w:t>30.</w:t>
        <w:tab/>
        <w:tab/>
      </w:r>
      <w:r>
        <w:rPr>
          <w:rFonts w:ascii="黑体" w:hAnsi="黑体" w:cs="黑体" w:eastAsia="黑体" w:hint="default"/>
          <w:b/>
          <w:bCs/>
          <w:sz w:val="20"/>
          <w:szCs w:val="20"/>
        </w:rPr>
        <w:t>重大会计判断和估计（续）</w:t>
      </w:r>
      <w:r>
        <w:rPr>
          <w:rFonts w:ascii="黑体" w:hAnsi="黑体" w:cs="黑体" w:eastAsia="黑体" w:hint="default"/>
          <w:b/>
          <w:bCs/>
          <w:w w:val="99"/>
          <w:sz w:val="20"/>
          <w:szCs w:val="20"/>
        </w:rPr>
        <w:t> </w:t>
      </w:r>
      <w:r>
        <w:rPr>
          <w:rFonts w:ascii="黑体" w:hAnsi="黑体" w:cs="黑体" w:eastAsia="黑体" w:hint="default"/>
          <w:w w:val="100"/>
          <w:sz w:val="20"/>
          <w:szCs w:val="20"/>
        </w:rPr>
      </w:r>
      <w:r>
        <w:rPr>
          <w:rFonts w:ascii="黑体" w:hAnsi="黑体" w:cs="黑体" w:eastAsia="黑体" w:hint="default"/>
          <w:sz w:val="20"/>
          <w:szCs w:val="20"/>
          <w:u w:val="single" w:color="000000"/>
        </w:rPr>
        <w:t>估计的不确定性</w:t>
      </w:r>
      <w:r>
        <w:rPr>
          <w:rFonts w:ascii="黑体" w:hAnsi="黑体" w:cs="黑体" w:eastAsia="黑体" w:hint="default"/>
          <w:sz w:val="20"/>
          <w:szCs w:val="20"/>
        </w:rPr>
        <w:t>（续）</w:t>
      </w:r>
    </w:p>
    <w:p>
      <w:pPr>
        <w:pStyle w:val="BodyText"/>
        <w:spacing w:line="273" w:lineRule="auto" w:before="106"/>
        <w:ind w:right="0" w:hanging="1"/>
        <w:jc w:val="left"/>
      </w:pPr>
      <w:r>
        <w:rPr>
          <w:rFonts w:ascii="黑体" w:hAnsi="黑体" w:cs="黑体" w:eastAsia="黑体" w:hint="default"/>
          <w:i/>
          <w:sz w:val="21"/>
          <w:szCs w:val="21"/>
        </w:rPr>
        <w:t>除金融资产之外的非流动资产减值</w:t>
      </w:r>
      <w:r>
        <w:rPr>
          <w:rFonts w:ascii="Arial" w:hAnsi="Arial" w:cs="Arial" w:eastAsia="Arial" w:hint="default"/>
          <w:i/>
        </w:rPr>
        <w:t>(</w:t>
      </w:r>
      <w:r>
        <w:rPr>
          <w:rFonts w:ascii="黑体" w:hAnsi="黑体" w:cs="黑体" w:eastAsia="黑体" w:hint="default"/>
          <w:i/>
          <w:sz w:val="21"/>
          <w:szCs w:val="21"/>
        </w:rPr>
        <w:t>除商誉外</w:t>
      </w:r>
      <w:r>
        <w:rPr>
          <w:rFonts w:ascii="Arial" w:hAnsi="Arial" w:cs="Arial" w:eastAsia="Arial" w:hint="default"/>
          <w:i/>
        </w:rPr>
        <w:t>)</w:t>
      </w:r>
      <w:r>
        <w:rPr>
          <w:rFonts w:ascii="Arial" w:hAnsi="Arial" w:cs="Arial" w:eastAsia="Arial" w:hint="default"/>
          <w:i/>
          <w:w w:val="100"/>
        </w:rPr>
        <w:t> </w:t>
      </w:r>
      <w:r>
        <w:rPr>
          <w:spacing w:val="3"/>
        </w:rPr>
        <w:t>本集团于资产负债表日对除金融资产之外的非流动资产判断是否存在可能发生减值的迹</w:t>
      </w:r>
      <w:r>
        <w:rPr>
          <w:spacing w:val="-49"/>
        </w:rPr>
        <w:t> </w:t>
      </w:r>
      <w:r>
        <w:rPr>
          <w:spacing w:val="-1"/>
        </w:rPr>
        <w:t>象。对使用寿命不确定的无形资产，除每年进行的减值测试外，当其存在减值迹象时，也</w:t>
      </w:r>
      <w:r>
        <w:rPr>
          <w:spacing w:val="-81"/>
        </w:rPr>
        <w:t> </w:t>
      </w:r>
      <w:r>
        <w:rPr>
          <w:spacing w:val="-81"/>
        </w:rPr>
      </w:r>
      <w:r>
        <w:rPr>
          <w:spacing w:val="-1"/>
        </w:rPr>
        <w:t>进行减值测试。其他除金融资产之外的非流动资产，当存在迹象表明其账面金额不可收回</w:t>
      </w:r>
      <w:r>
        <w:rPr>
          <w:spacing w:val="-80"/>
        </w:rPr>
        <w:t> </w:t>
      </w:r>
      <w:r>
        <w:rPr>
          <w:spacing w:val="-80"/>
        </w:rPr>
      </w:r>
      <w:r>
        <w:rPr>
          <w:spacing w:val="-1"/>
        </w:rPr>
        <w:t>时，进行减值测试。当资产或资产组的账面价值高于可收回金额，即公允价值减去处置费</w:t>
      </w:r>
      <w:r>
        <w:rPr>
          <w:spacing w:val="-83"/>
        </w:rPr>
        <w:t> </w:t>
      </w:r>
      <w:r>
        <w:rPr>
          <w:spacing w:val="-83"/>
        </w:rPr>
      </w:r>
      <w:r>
        <w:rPr>
          <w:spacing w:val="-1"/>
        </w:rPr>
        <w:t>用后的净额和预计未来现金流量的现值中的较高者，表明发生了减值。公允价值减去处置</w:t>
      </w:r>
      <w:r>
        <w:rPr>
          <w:spacing w:val="-80"/>
        </w:rPr>
        <w:t> </w:t>
      </w:r>
      <w:r>
        <w:rPr>
          <w:spacing w:val="-80"/>
        </w:rPr>
      </w:r>
      <w:r>
        <w:rPr>
          <w:spacing w:val="-1"/>
        </w:rPr>
        <w:t>费用后的净额，参考公平交易中类似资产的销售协议价格或可观察到的市场价格，减去可</w:t>
      </w:r>
      <w:r>
        <w:rPr>
          <w:spacing w:val="-80"/>
        </w:rPr>
        <w:t> </w:t>
      </w:r>
      <w:r>
        <w:rPr>
          <w:spacing w:val="-80"/>
        </w:rPr>
      </w:r>
      <w:r>
        <w:rPr>
          <w:spacing w:val="-1"/>
        </w:rPr>
        <w:t>直接归属于该资产处置的增量成本确定。预计未来现金流量现值时，管理层必须估计该项</w:t>
      </w:r>
      <w:r>
        <w:rPr>
          <w:spacing w:val="-79"/>
        </w:rPr>
        <w:t> </w:t>
      </w:r>
      <w:r>
        <w:rPr>
          <w:spacing w:val="-79"/>
        </w:rPr>
      </w:r>
      <w:r>
        <w:rPr>
          <w:spacing w:val="-1"/>
        </w:rPr>
        <w:t>资产或资产组的预计未来现金流量，并选择恰当的折现率确定未来现金流量的现值。详见</w:t>
      </w:r>
      <w:r>
        <w:rPr>
          <w:spacing w:val="-81"/>
        </w:rPr>
        <w:t> </w:t>
      </w:r>
      <w:r>
        <w:rPr>
          <w:spacing w:val="-81"/>
        </w:rPr>
      </w:r>
      <w:r>
        <w:rPr/>
        <w:t>附注五、</w:t>
      </w:r>
      <w:r>
        <w:rPr>
          <w:rFonts w:ascii="Arial" w:hAnsi="Arial" w:cs="Arial" w:eastAsia="Arial" w:hint="default"/>
        </w:rPr>
        <w:t>18</w:t>
      </w:r>
      <w:r>
        <w:rPr/>
        <w:t>。</w:t>
      </w:r>
    </w:p>
    <w:p>
      <w:pPr>
        <w:spacing w:line="240" w:lineRule="auto" w:before="6"/>
        <w:rPr>
          <w:rFonts w:ascii="黑体" w:hAnsi="黑体" w:cs="黑体" w:eastAsia="黑体" w:hint="default"/>
          <w:sz w:val="21"/>
          <w:szCs w:val="21"/>
        </w:rPr>
      </w:pPr>
    </w:p>
    <w:p>
      <w:pPr>
        <w:pStyle w:val="BodyText"/>
        <w:spacing w:line="273" w:lineRule="auto"/>
        <w:ind w:right="0"/>
        <w:jc w:val="left"/>
      </w:pPr>
      <w:r>
        <w:rPr>
          <w:rFonts w:ascii="黑体" w:hAnsi="黑体" w:cs="黑体" w:eastAsia="黑体" w:hint="default"/>
          <w:i/>
          <w:sz w:val="21"/>
          <w:szCs w:val="21"/>
        </w:rPr>
        <w:t>商誉减值</w:t>
      </w:r>
      <w:r>
        <w:rPr>
          <w:rFonts w:ascii="黑体" w:hAnsi="黑体" w:cs="黑体" w:eastAsia="黑体" w:hint="default"/>
          <w:i/>
          <w:w w:val="95"/>
          <w:sz w:val="21"/>
          <w:szCs w:val="21"/>
        </w:rPr>
        <w:t> </w:t>
      </w:r>
      <w:r>
        <w:rPr>
          <w:spacing w:val="-1"/>
        </w:rPr>
        <w:t>本集团至少每年测试商誉是否发生减值。这要求对分配了商誉的资产组或者资产组组合的</w:t>
      </w:r>
      <w:r>
        <w:rPr>
          <w:spacing w:val="-80"/>
        </w:rPr>
        <w:t> </w:t>
      </w:r>
      <w:r>
        <w:rPr>
          <w:spacing w:val="-80"/>
        </w:rPr>
      </w:r>
      <w:r>
        <w:rPr>
          <w:spacing w:val="-1"/>
        </w:rPr>
        <w:t>未来现金流量的现值进行预计。对未来现金流量的现值进行预计时，本集团需要预计未来</w:t>
      </w:r>
      <w:r>
        <w:rPr>
          <w:spacing w:val="-79"/>
        </w:rPr>
        <w:t> </w:t>
      </w:r>
      <w:r>
        <w:rPr>
          <w:spacing w:val="-79"/>
        </w:rPr>
      </w:r>
      <w:r>
        <w:rPr>
          <w:spacing w:val="3"/>
        </w:rPr>
        <w:t>资产组或者资产组组合产生的现金流量，同时选择恰当的折现率确定未来现金流量的现</w:t>
      </w:r>
      <w:r>
        <w:rPr>
          <w:spacing w:val="-48"/>
        </w:rPr>
        <w:t> </w:t>
      </w:r>
      <w:r>
        <w:rPr>
          <w:spacing w:val="-48"/>
        </w:rPr>
      </w:r>
      <w:r>
        <w:rPr/>
        <w:t>值。详见附注五、</w:t>
      </w:r>
      <w:r>
        <w:rPr>
          <w:rFonts w:ascii="Arial" w:hAnsi="Arial" w:cs="Arial" w:eastAsia="Arial" w:hint="default"/>
        </w:rPr>
        <w:t>15</w:t>
      </w:r>
      <w:r>
        <w:rPr/>
        <w:t>。</w:t>
      </w:r>
    </w:p>
    <w:p>
      <w:pPr>
        <w:spacing w:line="240" w:lineRule="auto" w:before="6"/>
        <w:rPr>
          <w:rFonts w:ascii="黑体" w:hAnsi="黑体" w:cs="黑体" w:eastAsia="黑体" w:hint="default"/>
          <w:sz w:val="21"/>
          <w:szCs w:val="21"/>
        </w:rPr>
      </w:pPr>
    </w:p>
    <w:p>
      <w:pPr>
        <w:pStyle w:val="BodyText"/>
        <w:spacing w:line="273" w:lineRule="auto"/>
        <w:ind w:right="0"/>
        <w:jc w:val="left"/>
      </w:pPr>
      <w:r>
        <w:rPr>
          <w:rFonts w:ascii="黑体" w:hAnsi="黑体" w:cs="黑体" w:eastAsia="黑体" w:hint="default"/>
          <w:i/>
          <w:sz w:val="21"/>
          <w:szCs w:val="21"/>
        </w:rPr>
        <w:t>非上市股权投资的公允价值</w:t>
      </w:r>
      <w:r>
        <w:rPr>
          <w:rFonts w:ascii="黑体" w:hAnsi="黑体" w:cs="黑体" w:eastAsia="黑体" w:hint="default"/>
          <w:i/>
          <w:w w:val="95"/>
          <w:sz w:val="21"/>
          <w:szCs w:val="21"/>
        </w:rPr>
        <w:t> </w:t>
      </w:r>
      <w:r>
        <w:rPr>
          <w:spacing w:val="-1"/>
        </w:rPr>
        <w:t>非上市的股权投资的估值，是根据具有类似合同条款和风险特征的其他金融工具的当前折</w:t>
      </w:r>
      <w:r>
        <w:rPr>
          <w:spacing w:val="-80"/>
        </w:rPr>
        <w:t> </w:t>
      </w:r>
      <w:r>
        <w:rPr>
          <w:spacing w:val="-80"/>
        </w:rPr>
      </w:r>
      <w:r>
        <w:rPr>
          <w:spacing w:val="-1"/>
        </w:rPr>
        <w:t>现率折现的预计未来现金流量。这要求本集团估计预计未来现金流量、信用风险、波动和</w:t>
      </w:r>
      <w:r>
        <w:rPr>
          <w:spacing w:val="-81"/>
        </w:rPr>
        <w:t> </w:t>
      </w:r>
      <w:r>
        <w:rPr>
          <w:spacing w:val="-81"/>
        </w:rPr>
      </w:r>
      <w:r>
        <w:rPr/>
        <w:t>折现率，因此具有不确定性。</w:t>
      </w:r>
    </w:p>
    <w:p>
      <w:pPr>
        <w:spacing w:line="240" w:lineRule="auto" w:before="11"/>
        <w:rPr>
          <w:rFonts w:ascii="黑体" w:hAnsi="黑体" w:cs="黑体" w:eastAsia="黑体" w:hint="default"/>
          <w:sz w:val="22"/>
          <w:szCs w:val="22"/>
        </w:rPr>
      </w:pPr>
    </w:p>
    <w:p>
      <w:pPr>
        <w:pStyle w:val="BodyText"/>
        <w:spacing w:line="273" w:lineRule="auto"/>
        <w:ind w:right="0"/>
        <w:jc w:val="left"/>
      </w:pPr>
      <w:r>
        <w:rPr>
          <w:rFonts w:ascii="黑体" w:hAnsi="黑体" w:cs="黑体" w:eastAsia="黑体" w:hint="default"/>
          <w:i/>
          <w:sz w:val="21"/>
          <w:szCs w:val="21"/>
        </w:rPr>
        <w:t>开发支出</w:t>
      </w:r>
      <w:r>
        <w:rPr>
          <w:rFonts w:ascii="黑体" w:hAnsi="黑体" w:cs="黑体" w:eastAsia="黑体" w:hint="default"/>
          <w:i/>
          <w:w w:val="95"/>
          <w:sz w:val="21"/>
          <w:szCs w:val="21"/>
        </w:rPr>
        <w:t> </w:t>
      </w:r>
      <w:r>
        <w:rPr>
          <w:spacing w:val="-1"/>
        </w:rPr>
        <w:t>确定资本化的金额时，管理层必须作出有关资产的预计未来现金流量适用的折现率以及预</w:t>
      </w:r>
      <w:r>
        <w:rPr>
          <w:spacing w:val="-81"/>
        </w:rPr>
        <w:t> </w:t>
      </w:r>
      <w:r>
        <w:rPr>
          <w:spacing w:val="-81"/>
        </w:rPr>
      </w:r>
      <w:r>
        <w:rPr/>
        <w:t>计受益期间的假设。</w:t>
      </w:r>
    </w:p>
    <w:p>
      <w:pPr>
        <w:spacing w:line="240" w:lineRule="auto" w:before="11"/>
        <w:rPr>
          <w:rFonts w:ascii="黑体" w:hAnsi="黑体" w:cs="黑体" w:eastAsia="黑体" w:hint="default"/>
          <w:sz w:val="22"/>
          <w:szCs w:val="22"/>
        </w:rPr>
      </w:pPr>
    </w:p>
    <w:p>
      <w:pPr>
        <w:pStyle w:val="BodyText"/>
        <w:spacing w:line="273" w:lineRule="auto"/>
        <w:ind w:right="0"/>
        <w:jc w:val="left"/>
      </w:pPr>
      <w:r>
        <w:rPr>
          <w:rFonts w:ascii="黑体" w:hAnsi="黑体" w:cs="黑体" w:eastAsia="黑体" w:hint="default"/>
          <w:i/>
          <w:sz w:val="21"/>
          <w:szCs w:val="21"/>
        </w:rPr>
        <w:t>递延所得税资产</w:t>
      </w:r>
      <w:r>
        <w:rPr>
          <w:rFonts w:ascii="黑体" w:hAnsi="黑体" w:cs="黑体" w:eastAsia="黑体" w:hint="default"/>
          <w:i/>
          <w:w w:val="95"/>
          <w:sz w:val="21"/>
          <w:szCs w:val="21"/>
        </w:rPr>
        <w:t> </w:t>
      </w:r>
      <w:r>
        <w:rPr>
          <w:spacing w:val="-1"/>
        </w:rPr>
        <w:t>在很可能有足够的应纳税所得额用以抵扣可抵扣亏损的限度内，应就所有尚未利用的可抵</w:t>
      </w:r>
      <w:r>
        <w:rPr>
          <w:spacing w:val="-81"/>
        </w:rPr>
        <w:t> </w:t>
      </w:r>
      <w:r>
        <w:rPr>
          <w:spacing w:val="-81"/>
        </w:rPr>
      </w:r>
      <w:r>
        <w:rPr>
          <w:spacing w:val="-1"/>
        </w:rPr>
        <w:t>扣亏损确认递延所得税资产。这需要管理层运用大量的判断来估计未来取得应纳税所得额</w:t>
      </w:r>
      <w:r>
        <w:rPr>
          <w:spacing w:val="-81"/>
        </w:rPr>
        <w:t> </w:t>
      </w:r>
      <w:r>
        <w:rPr>
          <w:spacing w:val="-81"/>
        </w:rPr>
      </w:r>
      <w:r>
        <w:rPr/>
        <w:t>的时间和金额，结合纳税筹划策略，以决定应确认的递延所得税资产的金额。</w:t>
      </w:r>
    </w:p>
    <w:p>
      <w:pPr>
        <w:spacing w:after="0" w:line="273" w:lineRule="auto"/>
        <w:jc w:val="left"/>
        <w:sectPr>
          <w:pgSz w:w="11910" w:h="16840"/>
          <w:pgMar w:header="958" w:footer="473" w:top="2380" w:bottom="660" w:left="1600" w:right="156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10"/>
        <w:rPr>
          <w:rFonts w:ascii="黑体" w:hAnsi="黑体" w:cs="黑体" w:eastAsia="黑体" w:hint="default"/>
          <w:b/>
          <w:bCs/>
          <w:sz w:val="22"/>
          <w:szCs w:val="22"/>
        </w:rPr>
      </w:pPr>
    </w:p>
    <w:p>
      <w:pPr>
        <w:tabs>
          <w:tab w:pos="821" w:val="left" w:leader="none"/>
        </w:tabs>
        <w:spacing w:line="506" w:lineRule="auto" w:before="0"/>
        <w:ind w:left="815" w:right="5511" w:hanging="715"/>
        <w:jc w:val="left"/>
        <w:rPr>
          <w:rFonts w:ascii="黑体" w:hAnsi="黑体" w:cs="黑体" w:eastAsia="黑体" w:hint="default"/>
          <w:sz w:val="20"/>
          <w:szCs w:val="20"/>
        </w:rPr>
      </w:pPr>
      <w:r>
        <w:rPr>
          <w:rFonts w:ascii="Arial" w:hAnsi="Arial" w:cs="Arial" w:eastAsia="Arial" w:hint="default"/>
          <w:b/>
          <w:bCs/>
          <w:spacing w:val="-1"/>
          <w:sz w:val="20"/>
          <w:szCs w:val="20"/>
        </w:rPr>
        <w:t>30.</w:t>
        <w:tab/>
        <w:tab/>
      </w:r>
      <w:r>
        <w:rPr>
          <w:rFonts w:ascii="黑体" w:hAnsi="黑体" w:cs="黑体" w:eastAsia="黑体" w:hint="default"/>
          <w:b/>
          <w:bCs/>
          <w:sz w:val="20"/>
          <w:szCs w:val="20"/>
        </w:rPr>
        <w:t>重大会计判断和估计（续）</w:t>
      </w:r>
      <w:r>
        <w:rPr>
          <w:rFonts w:ascii="黑体" w:hAnsi="黑体" w:cs="黑体" w:eastAsia="黑体" w:hint="default"/>
          <w:b/>
          <w:bCs/>
          <w:w w:val="99"/>
          <w:sz w:val="20"/>
          <w:szCs w:val="20"/>
        </w:rPr>
        <w:t> </w:t>
      </w:r>
      <w:r>
        <w:rPr>
          <w:rFonts w:ascii="黑体" w:hAnsi="黑体" w:cs="黑体" w:eastAsia="黑体" w:hint="default"/>
          <w:w w:val="100"/>
          <w:sz w:val="20"/>
          <w:szCs w:val="20"/>
        </w:rPr>
      </w:r>
      <w:r>
        <w:rPr>
          <w:rFonts w:ascii="黑体" w:hAnsi="黑体" w:cs="黑体" w:eastAsia="黑体" w:hint="default"/>
          <w:sz w:val="20"/>
          <w:szCs w:val="20"/>
          <w:u w:val="single" w:color="000000"/>
        </w:rPr>
        <w:t>估计的不确定性</w:t>
      </w:r>
      <w:r>
        <w:rPr>
          <w:rFonts w:ascii="黑体" w:hAnsi="黑体" w:cs="黑体" w:eastAsia="黑体" w:hint="default"/>
          <w:sz w:val="20"/>
          <w:szCs w:val="20"/>
        </w:rPr>
        <w:t>（续）</w:t>
      </w:r>
    </w:p>
    <w:p>
      <w:pPr>
        <w:pStyle w:val="BodyText"/>
        <w:spacing w:line="271" w:lineRule="auto" w:before="104"/>
        <w:ind w:right="0"/>
        <w:jc w:val="left"/>
      </w:pPr>
      <w:r>
        <w:rPr>
          <w:rFonts w:ascii="黑体" w:hAnsi="黑体" w:cs="黑体" w:eastAsia="黑体" w:hint="default"/>
          <w:i/>
          <w:sz w:val="21"/>
          <w:szCs w:val="21"/>
        </w:rPr>
        <w:t>折旧</w:t>
      </w:r>
      <w:r>
        <w:rPr>
          <w:rFonts w:ascii="黑体" w:hAnsi="黑体" w:cs="黑体" w:eastAsia="黑体" w:hint="default"/>
          <w:i/>
          <w:w w:val="95"/>
          <w:sz w:val="21"/>
          <w:szCs w:val="21"/>
        </w:rPr>
        <w:t> </w:t>
      </w:r>
      <w:r>
        <w:rPr>
          <w:spacing w:val="-2"/>
        </w:rPr>
        <w:t>如附注二、</w:t>
      </w:r>
      <w:r>
        <w:rPr>
          <w:rFonts w:ascii="Arial" w:hAnsi="Arial" w:cs="Arial" w:eastAsia="Arial" w:hint="default"/>
          <w:spacing w:val="-2"/>
        </w:rPr>
        <w:t>14</w:t>
      </w:r>
      <w:r>
        <w:rPr>
          <w:spacing w:val="-2"/>
        </w:rPr>
        <w:t>所述，本集团对固定资产在考虑其残值后，在预计可使用年限内按直线法计</w:t>
      </w:r>
      <w:r>
        <w:rPr>
          <w:spacing w:val="-61"/>
        </w:rPr>
        <w:t> </w:t>
      </w:r>
      <w:r>
        <w:rPr>
          <w:spacing w:val="-61"/>
        </w:rPr>
      </w:r>
      <w:r>
        <w:rPr>
          <w:spacing w:val="-1"/>
        </w:rPr>
        <w:t>提折旧。本集团定期审阅预计可使用年限，以决定将计入每个报告期的折旧费用数额。预</w:t>
      </w:r>
      <w:r>
        <w:rPr>
          <w:spacing w:val="-82"/>
        </w:rPr>
        <w:t> </w:t>
      </w:r>
      <w:r>
        <w:rPr>
          <w:spacing w:val="-82"/>
        </w:rPr>
      </w:r>
      <w:r>
        <w:rPr>
          <w:spacing w:val="-1"/>
        </w:rPr>
        <w:t>计可使用年限是本集团根据对同类资产的已往经验并结合预期的技术改变而确定。如果以</w:t>
      </w:r>
      <w:r>
        <w:rPr>
          <w:spacing w:val="-80"/>
        </w:rPr>
        <w:t> </w:t>
      </w:r>
      <w:r>
        <w:rPr>
          <w:spacing w:val="-80"/>
        </w:rPr>
      </w:r>
      <w:r>
        <w:rPr/>
        <w:t>前的估计发生重大变化，则会在未来期间对折旧费用进行调整。</w:t>
      </w:r>
    </w:p>
    <w:p>
      <w:pPr>
        <w:spacing w:line="240" w:lineRule="auto" w:before="13"/>
        <w:rPr>
          <w:rFonts w:ascii="黑体" w:hAnsi="黑体" w:cs="黑体" w:eastAsia="黑体" w:hint="default"/>
          <w:sz w:val="22"/>
          <w:szCs w:val="22"/>
        </w:rPr>
      </w:pPr>
    </w:p>
    <w:p>
      <w:pPr>
        <w:pStyle w:val="BodyText"/>
        <w:spacing w:line="273" w:lineRule="auto"/>
        <w:ind w:right="0"/>
        <w:jc w:val="left"/>
      </w:pPr>
      <w:r>
        <w:rPr>
          <w:rFonts w:ascii="黑体" w:hAnsi="黑体" w:cs="黑体" w:eastAsia="黑体" w:hint="default"/>
          <w:i/>
          <w:sz w:val="21"/>
          <w:szCs w:val="21"/>
        </w:rPr>
        <w:t>无形资产的可使用寿命</w:t>
      </w:r>
      <w:r>
        <w:rPr>
          <w:rFonts w:ascii="黑体" w:hAnsi="黑体" w:cs="黑体" w:eastAsia="黑体" w:hint="default"/>
          <w:i/>
          <w:w w:val="95"/>
          <w:sz w:val="21"/>
          <w:szCs w:val="21"/>
        </w:rPr>
        <w:t> </w:t>
      </w:r>
      <w:r>
        <w:rPr>
          <w:spacing w:val="-1"/>
        </w:rPr>
        <w:t>无形资产的预计可使用寿命，以过去性质及功能相似的无形资产的实际使用寿命为基础，</w:t>
      </w:r>
      <w:r>
        <w:rPr>
          <w:spacing w:val="-72"/>
        </w:rPr>
        <w:t> </w:t>
      </w:r>
      <w:r>
        <w:rPr>
          <w:spacing w:val="-72"/>
        </w:rPr>
      </w:r>
      <w:r>
        <w:rPr>
          <w:spacing w:val="-1"/>
        </w:rPr>
        <w:t>按照历史经验施行估计，并考虑该些无形资产适用的合同性权利或其他法定权利的期限。</w:t>
      </w:r>
    </w:p>
    <w:p>
      <w:pPr>
        <w:spacing w:line="240" w:lineRule="auto" w:before="9"/>
        <w:rPr>
          <w:rFonts w:ascii="黑体" w:hAnsi="黑体" w:cs="黑体" w:eastAsia="黑体" w:hint="default"/>
          <w:sz w:val="23"/>
          <w:szCs w:val="23"/>
        </w:rPr>
      </w:pPr>
    </w:p>
    <w:p>
      <w:pPr>
        <w:pStyle w:val="BodyText"/>
        <w:spacing w:line="276" w:lineRule="auto"/>
        <w:ind w:right="126"/>
        <w:jc w:val="both"/>
      </w:pPr>
      <w:r>
        <w:rPr>
          <w:spacing w:val="-1"/>
        </w:rPr>
        <w:t>如果该些无形资产的可使用寿命缩短或延长，则对于可使用寿命有限的无形资产，应改变</w:t>
      </w:r>
      <w:r>
        <w:rPr>
          <w:spacing w:val="-79"/>
        </w:rPr>
        <w:t> </w:t>
      </w:r>
      <w:r>
        <w:rPr>
          <w:spacing w:val="-79"/>
        </w:rPr>
      </w:r>
      <w:r>
        <w:rPr>
          <w:spacing w:val="-1"/>
        </w:rPr>
        <w:t>其摊销年限；对于可使用寿命不确定的无形资产，如果有证据表明其使用寿命是有限的，</w:t>
      </w:r>
      <w:r>
        <w:rPr>
          <w:spacing w:val="-72"/>
        </w:rPr>
        <w:t> </w:t>
      </w:r>
      <w:r>
        <w:rPr>
          <w:spacing w:val="-72"/>
        </w:rPr>
      </w:r>
      <w:r>
        <w:rPr/>
        <w:t>应当估计其使用寿命并按照使用寿命有限的无形资产的处理原则进行处理。</w:t>
      </w:r>
    </w:p>
    <w:p>
      <w:pPr>
        <w:spacing w:line="240" w:lineRule="auto" w:before="3"/>
        <w:rPr>
          <w:rFonts w:ascii="黑体" w:hAnsi="黑体" w:cs="黑体" w:eastAsia="黑体" w:hint="default"/>
          <w:sz w:val="17"/>
          <w:szCs w:val="17"/>
        </w:rPr>
      </w:pPr>
    </w:p>
    <w:p>
      <w:pPr>
        <w:pStyle w:val="BodyText"/>
        <w:spacing w:line="273" w:lineRule="auto"/>
        <w:ind w:right="0"/>
        <w:jc w:val="left"/>
      </w:pPr>
      <w:r>
        <w:rPr>
          <w:rFonts w:ascii="黑体" w:hAnsi="黑体" w:cs="黑体" w:eastAsia="黑体" w:hint="default"/>
          <w:i/>
          <w:sz w:val="21"/>
          <w:szCs w:val="21"/>
        </w:rPr>
        <w:t>应收款项的坏账准备</w:t>
      </w:r>
      <w:r>
        <w:rPr>
          <w:rFonts w:ascii="黑体" w:hAnsi="黑体" w:cs="黑体" w:eastAsia="黑体" w:hint="default"/>
          <w:i/>
          <w:w w:val="95"/>
          <w:sz w:val="21"/>
          <w:szCs w:val="21"/>
        </w:rPr>
        <w:t> </w:t>
      </w:r>
      <w:r>
        <w:rPr>
          <w:spacing w:val="-1"/>
        </w:rPr>
        <w:t>应收款项的坏账准备由管理层根据会影响应收款项回收的客观证据（如债务人破产或出现</w:t>
      </w:r>
      <w:r>
        <w:rPr>
          <w:spacing w:val="-80"/>
        </w:rPr>
        <w:t> </w:t>
      </w:r>
      <w:r>
        <w:rPr>
          <w:spacing w:val="-80"/>
        </w:rPr>
      </w:r>
      <w:r>
        <w:rPr/>
        <w:t>严重财政困难的可能性）确定。管理层将会于每年年末重新估计坏账准备。</w:t>
      </w:r>
    </w:p>
    <w:p>
      <w:pPr>
        <w:spacing w:line="240" w:lineRule="auto" w:before="11"/>
        <w:rPr>
          <w:rFonts w:ascii="黑体" w:hAnsi="黑体" w:cs="黑体" w:eastAsia="黑体" w:hint="default"/>
          <w:sz w:val="22"/>
          <w:szCs w:val="22"/>
        </w:rPr>
      </w:pPr>
    </w:p>
    <w:p>
      <w:pPr>
        <w:pStyle w:val="BodyText"/>
        <w:spacing w:line="273" w:lineRule="auto"/>
        <w:ind w:right="0"/>
        <w:jc w:val="left"/>
      </w:pPr>
      <w:r>
        <w:rPr>
          <w:rFonts w:ascii="黑体" w:hAnsi="黑体" w:cs="黑体" w:eastAsia="黑体" w:hint="default"/>
          <w:i/>
          <w:sz w:val="21"/>
          <w:szCs w:val="21"/>
        </w:rPr>
        <w:t>以可变现净值为基础计提的存货跌价准备</w:t>
      </w:r>
      <w:r>
        <w:rPr>
          <w:rFonts w:ascii="黑体" w:hAnsi="黑体" w:cs="黑体" w:eastAsia="黑体" w:hint="default"/>
          <w:i/>
          <w:w w:val="95"/>
          <w:sz w:val="21"/>
          <w:szCs w:val="21"/>
        </w:rPr>
        <w:t> </w:t>
      </w:r>
      <w:r>
        <w:rPr>
          <w:spacing w:val="-1"/>
        </w:rPr>
        <w:t>本集团根据存货会计政策，按照成本与可变现净值孰低计量，对成本高于可变现净值及陈</w:t>
      </w:r>
      <w:r>
        <w:rPr>
          <w:spacing w:val="-79"/>
        </w:rPr>
        <w:t> </w:t>
      </w:r>
      <w:r>
        <w:rPr>
          <w:spacing w:val="-79"/>
        </w:rPr>
      </w:r>
      <w:r>
        <w:rPr>
          <w:spacing w:val="-1"/>
        </w:rPr>
        <w:t>旧和滞销的存货，计提存货跌价准备。本集团将于每年年末对单个存货是否陈旧和滞销、</w:t>
      </w:r>
      <w:r>
        <w:rPr>
          <w:spacing w:val="-72"/>
        </w:rPr>
        <w:t> </w:t>
      </w:r>
      <w:r>
        <w:rPr>
          <w:spacing w:val="-72"/>
        </w:rPr>
      </w:r>
      <w:r>
        <w:rPr/>
        <w:t>可变现净值是否低于存货成本进行重新估计。</w:t>
      </w:r>
    </w:p>
    <w:p>
      <w:pPr>
        <w:spacing w:line="240" w:lineRule="auto" w:before="11"/>
        <w:rPr>
          <w:rFonts w:ascii="黑体" w:hAnsi="黑体" w:cs="黑体" w:eastAsia="黑体" w:hint="default"/>
          <w:sz w:val="22"/>
          <w:szCs w:val="22"/>
        </w:rPr>
      </w:pPr>
    </w:p>
    <w:p>
      <w:pPr>
        <w:pStyle w:val="BodyText"/>
        <w:spacing w:line="273" w:lineRule="auto"/>
        <w:ind w:right="0"/>
        <w:jc w:val="left"/>
      </w:pPr>
      <w:r>
        <w:rPr>
          <w:rFonts w:ascii="黑体" w:hAnsi="黑体" w:cs="黑体" w:eastAsia="黑体" w:hint="default"/>
          <w:i/>
          <w:sz w:val="21"/>
          <w:szCs w:val="21"/>
        </w:rPr>
        <w:t>所得税</w:t>
      </w:r>
      <w:r>
        <w:rPr>
          <w:rFonts w:ascii="黑体" w:hAnsi="黑体" w:cs="黑体" w:eastAsia="黑体" w:hint="default"/>
          <w:i/>
          <w:w w:val="95"/>
          <w:sz w:val="21"/>
          <w:szCs w:val="21"/>
        </w:rPr>
        <w:t> </w:t>
      </w:r>
      <w:r>
        <w:rPr>
          <w:spacing w:val="-1"/>
        </w:rPr>
        <w:t>本公司及其子公司因分布在国内若干省份而需分别在其所在地缴纳企业所得税。在计提企</w:t>
      </w:r>
      <w:r>
        <w:rPr>
          <w:spacing w:val="-80"/>
        </w:rPr>
        <w:t> </w:t>
      </w:r>
      <w:r>
        <w:rPr>
          <w:spacing w:val="-80"/>
        </w:rPr>
      </w:r>
      <w:r>
        <w:rPr>
          <w:spacing w:val="-1"/>
        </w:rPr>
        <w:t>业所得税时，由于有关企业所得税的若干事项尚未获得主管税务机关确认，因此需以现行</w:t>
      </w:r>
      <w:r>
        <w:rPr>
          <w:spacing w:val="-79"/>
        </w:rPr>
        <w:t> </w:t>
      </w:r>
      <w:r>
        <w:rPr>
          <w:spacing w:val="-79"/>
        </w:rPr>
      </w:r>
      <w:r>
        <w:rPr>
          <w:spacing w:val="-1"/>
        </w:rPr>
        <w:t>的税收法规及其他相关政策为依据，作出可靠的估计和判断。若有关事项的最终税务结果</w:t>
      </w:r>
      <w:r>
        <w:rPr>
          <w:spacing w:val="-80"/>
        </w:rPr>
        <w:t> </w:t>
      </w:r>
      <w:r>
        <w:rPr>
          <w:spacing w:val="-80"/>
        </w:rPr>
      </w:r>
      <w:r>
        <w:rPr/>
        <w:t>有别于已确认金额时，该些差额将对当期的所得税造成影响。</w:t>
      </w:r>
    </w:p>
    <w:p>
      <w:pPr>
        <w:spacing w:after="0" w:line="273" w:lineRule="auto"/>
        <w:jc w:val="left"/>
        <w:sectPr>
          <w:pgSz w:w="11910" w:h="16840"/>
          <w:pgMar w:header="958" w:footer="473" w:top="2380" w:bottom="660" w:left="1600" w:right="156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03"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二、</w:t>
        <w:tab/>
        <w:t>重要会计政策、会计估计和前期差错（续）</w:t>
      </w:r>
      <w:r>
        <w:rPr>
          <w:rFonts w:ascii="黑体" w:hAnsi="黑体" w:cs="黑体" w:eastAsia="黑体" w:hint="default"/>
          <w:sz w:val="20"/>
          <w:szCs w:val="20"/>
        </w:rPr>
      </w:r>
    </w:p>
    <w:p>
      <w:pPr>
        <w:spacing w:line="240" w:lineRule="auto" w:before="10"/>
        <w:rPr>
          <w:rFonts w:ascii="黑体" w:hAnsi="黑体" w:cs="黑体" w:eastAsia="黑体" w:hint="default"/>
          <w:b/>
          <w:bCs/>
          <w:sz w:val="22"/>
          <w:szCs w:val="22"/>
        </w:rPr>
      </w:pPr>
    </w:p>
    <w:p>
      <w:pPr>
        <w:tabs>
          <w:tab w:pos="821" w:val="left" w:leader="none"/>
        </w:tabs>
        <w:spacing w:line="504" w:lineRule="auto" w:before="0"/>
        <w:ind w:left="815" w:right="5791" w:hanging="715"/>
        <w:jc w:val="left"/>
        <w:rPr>
          <w:rFonts w:ascii="黑体" w:hAnsi="黑体" w:cs="黑体" w:eastAsia="黑体" w:hint="default"/>
          <w:sz w:val="20"/>
          <w:szCs w:val="20"/>
        </w:rPr>
      </w:pPr>
      <w:r>
        <w:rPr>
          <w:rFonts w:ascii="Arial" w:hAnsi="Arial" w:cs="Arial" w:eastAsia="Arial" w:hint="default"/>
          <w:b/>
          <w:bCs/>
          <w:spacing w:val="-1"/>
          <w:sz w:val="20"/>
          <w:szCs w:val="20"/>
        </w:rPr>
        <w:t>31.</w:t>
        <w:tab/>
        <w:tab/>
      </w:r>
      <w:r>
        <w:rPr>
          <w:rFonts w:ascii="黑体" w:hAnsi="黑体" w:cs="黑体" w:eastAsia="黑体" w:hint="default"/>
          <w:b/>
          <w:bCs/>
          <w:sz w:val="20"/>
          <w:szCs w:val="20"/>
        </w:rPr>
        <w:t>会计政策和会计估计变更</w:t>
      </w:r>
      <w:r>
        <w:rPr>
          <w:rFonts w:ascii="黑体" w:hAnsi="黑体" w:cs="黑体" w:eastAsia="黑体" w:hint="default"/>
          <w:b/>
          <w:bCs/>
          <w:w w:val="99"/>
          <w:sz w:val="20"/>
          <w:szCs w:val="20"/>
        </w:rPr>
        <w:t> </w:t>
      </w:r>
      <w:r>
        <w:rPr>
          <w:rFonts w:ascii="黑体" w:hAnsi="黑体" w:cs="黑体" w:eastAsia="黑体" w:hint="default"/>
          <w:w w:val="100"/>
          <w:sz w:val="20"/>
          <w:szCs w:val="20"/>
        </w:rPr>
      </w:r>
      <w:r>
        <w:rPr>
          <w:rFonts w:ascii="黑体" w:hAnsi="黑体" w:cs="黑体" w:eastAsia="黑体" w:hint="default"/>
          <w:sz w:val="20"/>
          <w:szCs w:val="20"/>
          <w:u w:val="single" w:color="000000"/>
        </w:rPr>
        <w:t>会计政策变更</w:t>
      </w:r>
      <w:r>
        <w:rPr>
          <w:rFonts w:ascii="黑体" w:hAnsi="黑体" w:cs="黑体" w:eastAsia="黑体" w:hint="default"/>
          <w:sz w:val="20"/>
          <w:szCs w:val="20"/>
        </w:rPr>
      </w:r>
    </w:p>
    <w:p>
      <w:pPr>
        <w:pStyle w:val="BodyText"/>
        <w:spacing w:line="273" w:lineRule="auto" w:before="118"/>
        <w:ind w:right="208"/>
        <w:jc w:val="both"/>
      </w:pPr>
      <w:r>
        <w:rPr>
          <w:spacing w:val="-1"/>
        </w:rPr>
        <w:t>对采用成本法核算的长期股权投资，本集团原以被投资单位接受投资后产生的累积净利润</w:t>
      </w:r>
      <w:r>
        <w:rPr>
          <w:spacing w:val="-81"/>
        </w:rPr>
        <w:t> </w:t>
      </w:r>
      <w:r>
        <w:rPr>
          <w:spacing w:val="-81"/>
        </w:rPr>
      </w:r>
      <w:r>
        <w:rPr>
          <w:spacing w:val="-1"/>
        </w:rPr>
        <w:t>的分配额为限确认为投资收益，所获得的现金股利或利润超过上述数额的部分作为初始投</w:t>
      </w:r>
      <w:r>
        <w:rPr>
          <w:spacing w:val="-80"/>
        </w:rPr>
        <w:t> </w:t>
      </w:r>
      <w:r>
        <w:rPr>
          <w:spacing w:val="-80"/>
        </w:rPr>
      </w:r>
      <w:r>
        <w:rPr>
          <w:spacing w:val="-2"/>
        </w:rPr>
        <w:t>资成本的收回。</w:t>
      </w:r>
      <w:r>
        <w:rPr>
          <w:rFonts w:ascii="Arial" w:hAnsi="Arial" w:cs="Arial" w:eastAsia="Arial" w:hint="default"/>
          <w:spacing w:val="-2"/>
        </w:rPr>
        <w:t>2009</w:t>
      </w:r>
      <w:r>
        <w:rPr>
          <w:spacing w:val="-2"/>
        </w:rPr>
        <w:t>年按照《企业会计准则解释第</w:t>
      </w:r>
      <w:r>
        <w:rPr>
          <w:rFonts w:ascii="Arial" w:hAnsi="Arial" w:cs="Arial" w:eastAsia="Arial" w:hint="default"/>
          <w:spacing w:val="-2"/>
        </w:rPr>
        <w:t>3</w:t>
      </w:r>
      <w:r>
        <w:rPr>
          <w:spacing w:val="-2"/>
        </w:rPr>
        <w:t>号》，自</w:t>
      </w:r>
      <w:r>
        <w:rPr>
          <w:rFonts w:ascii="Arial" w:hAnsi="Arial" w:cs="Arial" w:eastAsia="Arial" w:hint="default"/>
          <w:spacing w:val="-2"/>
        </w:rPr>
        <w:t>2009</w:t>
      </w:r>
      <w:r>
        <w:rPr>
          <w:spacing w:val="-2"/>
        </w:rPr>
        <w:t>年</w:t>
      </w:r>
      <w:r>
        <w:rPr>
          <w:rFonts w:ascii="Arial" w:hAnsi="Arial" w:cs="Arial" w:eastAsia="Arial" w:hint="default"/>
          <w:spacing w:val="-2"/>
        </w:rPr>
        <w:t>1</w:t>
      </w:r>
      <w:r>
        <w:rPr>
          <w:spacing w:val="-2"/>
        </w:rPr>
        <w:t>月</w:t>
      </w:r>
      <w:r>
        <w:rPr>
          <w:rFonts w:ascii="Arial" w:hAnsi="Arial" w:cs="Arial" w:eastAsia="Arial" w:hint="default"/>
          <w:spacing w:val="-2"/>
        </w:rPr>
        <w:t>1</w:t>
      </w:r>
      <w:r>
        <w:rPr>
          <w:spacing w:val="-2"/>
        </w:rPr>
        <w:t>日起变更会计政</w:t>
      </w:r>
      <w:r>
        <w:rPr>
          <w:spacing w:val="-58"/>
        </w:rPr>
        <w:t> </w:t>
      </w:r>
      <w:r>
        <w:rPr>
          <w:spacing w:val="-58"/>
        </w:rPr>
      </w:r>
      <w:r>
        <w:rPr>
          <w:spacing w:val="-1"/>
        </w:rPr>
        <w:t>策，不再划分是否属于投资前和投资后被投资单位实现的净利润。变更后，本集团对采用</w:t>
      </w:r>
      <w:r>
        <w:rPr>
          <w:spacing w:val="-82"/>
        </w:rPr>
        <w:t> </w:t>
      </w:r>
      <w:r>
        <w:rPr>
          <w:spacing w:val="-82"/>
        </w:rPr>
      </w:r>
      <w:r>
        <w:rPr>
          <w:spacing w:val="-1"/>
        </w:rPr>
        <w:t>成本法核算的长期股权投资，除取得投资时实际支付的价款或对价中包含的已宣告但尚未</w:t>
      </w:r>
      <w:r>
        <w:rPr>
          <w:spacing w:val="-81"/>
        </w:rPr>
        <w:t> </w:t>
      </w:r>
      <w:r>
        <w:rPr>
          <w:spacing w:val="-81"/>
        </w:rPr>
      </w:r>
      <w:r>
        <w:rPr>
          <w:spacing w:val="3"/>
        </w:rPr>
        <w:t>发放的现金股利或利润外，按照享有被投资单位宣告发放的现金股利或利润确认投资收</w:t>
      </w:r>
      <w:r>
        <w:rPr>
          <w:spacing w:val="-48"/>
        </w:rPr>
        <w:t> </w:t>
      </w:r>
      <w:r>
        <w:rPr>
          <w:spacing w:val="-48"/>
        </w:rPr>
      </w:r>
      <w:r>
        <w:rPr/>
        <w:t>益。该变更对本集团财务报表无影响。</w:t>
      </w:r>
    </w:p>
    <w:p>
      <w:pPr>
        <w:spacing w:line="240" w:lineRule="auto" w:before="9"/>
        <w:rPr>
          <w:rFonts w:ascii="黑体" w:hAnsi="黑体" w:cs="黑体" w:eastAsia="黑体" w:hint="default"/>
          <w:sz w:val="23"/>
          <w:szCs w:val="23"/>
        </w:rPr>
      </w:pPr>
    </w:p>
    <w:p>
      <w:pPr>
        <w:pStyle w:val="BodyText"/>
        <w:spacing w:line="271" w:lineRule="auto"/>
        <w:ind w:right="114"/>
        <w:jc w:val="left"/>
      </w:pPr>
      <w:r>
        <w:rPr/>
        <w:t>本集团在不丧失控制权情况下处置对子公司的投资，在合并财务报表中原以处置价款与处</w:t>
      </w:r>
      <w:r>
        <w:rPr>
          <w:w w:val="100"/>
        </w:rPr>
        <w:t> </w:t>
      </w:r>
      <w:r>
        <w:rPr/>
        <w:t>置投资对应的享有该子公司净资产份额的差额确认为投资收益。根据《关于执行会计准则</w:t>
      </w:r>
      <w:r>
        <w:rPr>
          <w:w w:val="100"/>
        </w:rPr>
        <w:t> </w:t>
      </w:r>
      <w:r>
        <w:rPr>
          <w:spacing w:val="-2"/>
        </w:rPr>
        <w:t>的上市公司和非上市企业做好</w:t>
      </w:r>
      <w:r>
        <w:rPr>
          <w:rFonts w:ascii="Arial" w:hAnsi="Arial" w:cs="Arial" w:eastAsia="Arial" w:hint="default"/>
          <w:spacing w:val="-2"/>
        </w:rPr>
        <w:t>2009</w:t>
      </w:r>
      <w:r>
        <w:rPr>
          <w:spacing w:val="-2"/>
        </w:rPr>
        <w:t>年年报工作的通知》</w:t>
      </w:r>
      <w:r>
        <w:rPr>
          <w:rFonts w:ascii="Arial" w:hAnsi="Arial" w:cs="Arial" w:eastAsia="Arial" w:hint="default"/>
          <w:spacing w:val="-2"/>
        </w:rPr>
        <w:t>(</w:t>
      </w:r>
      <w:r>
        <w:rPr>
          <w:spacing w:val="-2"/>
        </w:rPr>
        <w:t>财会</w:t>
      </w:r>
      <w:r>
        <w:rPr>
          <w:rFonts w:ascii="Arial" w:hAnsi="Arial" w:cs="Arial" w:eastAsia="Arial" w:hint="default"/>
          <w:spacing w:val="-2"/>
        </w:rPr>
        <w:t>[2009]16</w:t>
      </w:r>
      <w:r>
        <w:rPr>
          <w:spacing w:val="-2"/>
        </w:rPr>
        <w:t>号</w:t>
      </w:r>
      <w:r>
        <w:rPr>
          <w:rFonts w:ascii="Arial" w:hAnsi="Arial" w:cs="Arial" w:eastAsia="Arial" w:hint="default"/>
          <w:spacing w:val="-2"/>
        </w:rPr>
        <w:t>)</w:t>
      </w:r>
      <w:r>
        <w:rPr>
          <w:spacing w:val="-2"/>
        </w:rPr>
        <w:t>，变更会计政策，</w:t>
      </w:r>
      <w:r>
        <w:rPr>
          <w:spacing w:val="-85"/>
        </w:rPr>
        <w:t> </w:t>
      </w:r>
      <w:r>
        <w:rPr>
          <w:spacing w:val="-85"/>
        </w:rPr>
      </w:r>
      <w:r>
        <w:rPr/>
        <w:t>将该项差额计入资本公积中的股本溢价，不足冲减的则调整留存收益。该会计政策变更引</w:t>
      </w:r>
      <w:r>
        <w:rPr>
          <w:w w:val="100"/>
        </w:rPr>
        <w:t> </w:t>
      </w:r>
      <w:r>
        <w:rPr/>
        <w:t>起的追溯调整对</w:t>
      </w:r>
      <w:r>
        <w:rPr>
          <w:rFonts w:ascii="Arial" w:hAnsi="Arial" w:cs="Arial" w:eastAsia="Arial" w:hint="default"/>
        </w:rPr>
        <w:t>2009</w:t>
      </w:r>
      <w:r>
        <w:rPr/>
        <w:t>年度和</w:t>
      </w:r>
      <w:r>
        <w:rPr>
          <w:rFonts w:ascii="Arial" w:hAnsi="Arial" w:cs="Arial" w:eastAsia="Arial" w:hint="default"/>
        </w:rPr>
        <w:t>2008</w:t>
      </w:r>
      <w:r>
        <w:rPr/>
        <w:t>年度财务报表的主要影响如下：</w:t>
      </w:r>
    </w:p>
    <w:p>
      <w:pPr>
        <w:spacing w:line="240" w:lineRule="auto" w:before="7"/>
        <w:rPr>
          <w:rFonts w:ascii="黑体" w:hAnsi="黑体" w:cs="黑体" w:eastAsia="黑体" w:hint="default"/>
          <w:sz w:val="22"/>
          <w:szCs w:val="22"/>
        </w:rPr>
      </w:pPr>
    </w:p>
    <w:p>
      <w:pPr>
        <w:pStyle w:val="BodyText"/>
        <w:spacing w:line="261" w:lineRule="auto"/>
        <w:ind w:left="816" w:right="212" w:hanging="1"/>
        <w:jc w:val="both"/>
      </w:pPr>
      <w:r>
        <w:rPr/>
        <w:t>本集团于</w:t>
      </w:r>
      <w:r>
        <w:rPr>
          <w:rFonts w:ascii="Arial" w:hAnsi="Arial" w:cs="Arial" w:eastAsia="Arial" w:hint="default"/>
        </w:rPr>
        <w:t>2008</w:t>
      </w:r>
      <w:r>
        <w:rPr/>
        <w:t>年</w:t>
      </w:r>
      <w:r>
        <w:rPr>
          <w:rFonts w:ascii="Arial" w:hAnsi="Arial" w:cs="Arial" w:eastAsia="Arial" w:hint="default"/>
        </w:rPr>
        <w:t>6</w:t>
      </w:r>
      <w:r>
        <w:rPr/>
        <w:t>月与厦门用友烟草软件有限责任公司（以下简称“用友烟草”）的核心</w:t>
      </w:r>
      <w:r>
        <w:rPr>
          <w:spacing w:val="-68"/>
        </w:rPr>
        <w:t> </w:t>
      </w:r>
      <w:r>
        <w:rPr>
          <w:spacing w:val="-68"/>
        </w:rPr>
      </w:r>
      <w:r>
        <w:rPr>
          <w:spacing w:val="-3"/>
          <w:w w:val="100"/>
        </w:rPr>
        <w:t>管理人员肖晖和许翔签订了股权转让协议，将本集团持有用友烟草的</w:t>
      </w:r>
      <w:r>
        <w:rPr>
          <w:rFonts w:ascii="Arial" w:hAnsi="Arial" w:cs="Arial" w:eastAsia="Arial" w:hint="default"/>
          <w:spacing w:val="-3"/>
          <w:w w:val="100"/>
        </w:rPr>
        <w:t>16%</w:t>
      </w:r>
      <w:r>
        <w:rPr>
          <w:spacing w:val="-3"/>
          <w:w w:val="100"/>
        </w:rPr>
        <w:t>和</w:t>
      </w:r>
      <w:r>
        <w:rPr>
          <w:rFonts w:ascii="Arial" w:hAnsi="Arial" w:cs="Arial" w:eastAsia="Arial" w:hint="default"/>
          <w:spacing w:val="-3"/>
          <w:w w:val="100"/>
        </w:rPr>
        <w:t>5%</w:t>
      </w:r>
      <w:r>
        <w:rPr>
          <w:spacing w:val="-3"/>
          <w:w w:val="100"/>
        </w:rPr>
        <w:t>股权分别以</w:t>
      </w:r>
      <w:r>
        <w:rPr>
          <w:w w:val="100"/>
        </w:rPr>
        <w:t> </w:t>
      </w:r>
      <w:r>
        <w:rPr/>
        <w:t>人民币</w:t>
      </w:r>
      <w:r>
        <w:rPr>
          <w:rFonts w:ascii="Arial" w:hAnsi="Arial" w:cs="Arial" w:eastAsia="Arial" w:hint="default"/>
        </w:rPr>
        <w:t>3,200,000</w:t>
      </w:r>
      <w:r>
        <w:rPr/>
        <w:t>元和人民币</w:t>
      </w:r>
      <w:r>
        <w:rPr>
          <w:rFonts w:ascii="Arial" w:hAnsi="Arial" w:cs="Arial" w:eastAsia="Arial" w:hint="default"/>
        </w:rPr>
        <w:t>1,000,000</w:t>
      </w:r>
      <w:r>
        <w:rPr/>
        <w:t>元的转让价格转让给肖晖和许翔，转让后，本集团</w:t>
      </w:r>
      <w:r>
        <w:rPr>
          <w:spacing w:val="-91"/>
        </w:rPr>
        <w:t> </w:t>
      </w:r>
      <w:r>
        <w:rPr>
          <w:spacing w:val="2"/>
        </w:rPr>
        <w:t>持有厦门烟草</w:t>
      </w:r>
      <w:r>
        <w:rPr>
          <w:rFonts w:ascii="Arial" w:hAnsi="Arial" w:cs="Arial" w:eastAsia="Arial" w:hint="default"/>
          <w:spacing w:val="2"/>
        </w:rPr>
        <w:t>79%</w:t>
      </w:r>
      <w:r>
        <w:rPr>
          <w:spacing w:val="2"/>
        </w:rPr>
        <w:t>的股权。根据变更前的会计政策，本集团将处置价款与截至</w:t>
      </w:r>
      <w:r>
        <w:rPr>
          <w:rFonts w:ascii="Arial" w:hAnsi="Arial" w:cs="Arial" w:eastAsia="Arial" w:hint="default"/>
          <w:spacing w:val="2"/>
        </w:rPr>
        <w:t>2008</w:t>
      </w:r>
      <w:r>
        <w:rPr>
          <w:spacing w:val="2"/>
        </w:rPr>
        <w:t>年</w:t>
      </w:r>
      <w:r>
        <w:rPr>
          <w:rFonts w:ascii="Arial" w:hAnsi="Arial" w:cs="Arial" w:eastAsia="Arial" w:hint="default"/>
          <w:spacing w:val="2"/>
        </w:rPr>
        <w:t>11</w:t>
      </w:r>
      <w:r>
        <w:rPr>
          <w:rFonts w:ascii="Arial" w:hAnsi="Arial" w:cs="Arial" w:eastAsia="Arial" w:hint="default"/>
          <w:spacing w:val="-36"/>
        </w:rPr>
        <w:t> </w:t>
      </w:r>
      <w:r>
        <w:rPr/>
        <w:t>月底股权交割日所处置</w:t>
      </w:r>
      <w:r>
        <w:rPr>
          <w:rFonts w:ascii="Arial" w:hAnsi="Arial" w:cs="Arial" w:eastAsia="Arial" w:hint="default"/>
        </w:rPr>
        <w:t>21%</w:t>
      </w:r>
      <w:r>
        <w:rPr/>
        <w:t>股权对应的享有用友烟草净资产份额的差额人民币</w:t>
      </w:r>
      <w:r>
        <w:rPr>
          <w:rFonts w:ascii="Arial" w:hAnsi="Arial" w:cs="Arial" w:eastAsia="Arial" w:hint="default"/>
        </w:rPr>
        <w:t>3,993,271</w:t>
      </w:r>
      <w:r>
        <w:rPr>
          <w:rFonts w:ascii="Arial" w:hAnsi="Arial" w:cs="Arial" w:eastAsia="Arial" w:hint="default"/>
          <w:spacing w:val="26"/>
        </w:rPr>
        <w:t> </w:t>
      </w:r>
      <w:r>
        <w:rPr>
          <w:rFonts w:ascii="Arial" w:hAnsi="Arial" w:cs="Arial" w:eastAsia="Arial" w:hint="default"/>
          <w:spacing w:val="26"/>
        </w:rPr>
      </w:r>
      <w:r>
        <w:rPr>
          <w:spacing w:val="-2"/>
        </w:rPr>
        <w:t>元，计入了</w:t>
      </w:r>
      <w:r>
        <w:rPr>
          <w:rFonts w:ascii="Arial" w:hAnsi="Arial" w:cs="Arial" w:eastAsia="Arial" w:hint="default"/>
          <w:spacing w:val="-2"/>
        </w:rPr>
        <w:t>2008</w:t>
      </w:r>
      <w:r>
        <w:rPr>
          <w:spacing w:val="-2"/>
        </w:rPr>
        <w:t>年投资收益中。根据变更后的会计政策，本集团将原计入投资收益的上述</w:t>
      </w:r>
      <w:r>
        <w:rPr>
          <w:spacing w:val="-85"/>
        </w:rPr>
        <w:t> </w:t>
      </w:r>
      <w:r>
        <w:rPr>
          <w:spacing w:val="-85"/>
        </w:rPr>
      </w:r>
      <w:r>
        <w:rPr/>
        <w:t>差额追溯调整至资本公积中的股本溢价。</w:t>
      </w:r>
    </w:p>
    <w:p>
      <w:pPr>
        <w:spacing w:line="240" w:lineRule="auto" w:before="6"/>
        <w:rPr>
          <w:rFonts w:ascii="黑体" w:hAnsi="黑体" w:cs="黑体" w:eastAsia="黑体" w:hint="default"/>
          <w:sz w:val="24"/>
          <w:szCs w:val="24"/>
        </w:rPr>
      </w:pPr>
    </w:p>
    <w:p>
      <w:pPr>
        <w:pStyle w:val="BodyText"/>
        <w:spacing w:line="240" w:lineRule="auto"/>
        <w:ind w:left="816" w:right="0"/>
        <w:jc w:val="both"/>
      </w:pPr>
      <w:r>
        <w:rPr/>
        <w:t>本集团</w:t>
      </w:r>
    </w:p>
    <w:p>
      <w:pPr>
        <w:pStyle w:val="BodyText"/>
        <w:tabs>
          <w:tab w:pos="3367" w:val="left" w:leader="none"/>
        </w:tabs>
        <w:spacing w:line="240" w:lineRule="auto" w:before="38"/>
        <w:ind w:left="816" w:right="0"/>
        <w:jc w:val="both"/>
      </w:pPr>
      <w:r>
        <w:rPr>
          <w:rFonts w:ascii="Arial" w:hAnsi="Arial" w:cs="Arial" w:eastAsia="Arial" w:hint="default"/>
          <w:spacing w:val="-1"/>
        </w:rPr>
        <w:t>2009</w:t>
      </w:r>
      <w:r>
        <w:rPr>
          <w:spacing w:val="-1"/>
        </w:rPr>
        <w:t>年</w:t>
        <w:tab/>
        <w:t>会计政策变更前</w:t>
      </w:r>
      <w:r>
        <w:rPr/>
        <w:t>   </w:t>
      </w:r>
      <w:r>
        <w:rPr>
          <w:spacing w:val="-1"/>
        </w:rPr>
        <w:t>会计政策变更影响</w:t>
      </w:r>
      <w:r>
        <w:rPr/>
        <w:t>    </w:t>
      </w:r>
      <w:r>
        <w:rPr>
          <w:spacing w:val="43"/>
        </w:rPr>
        <w:t> </w:t>
      </w:r>
      <w:r>
        <w:rPr>
          <w:spacing w:val="-1"/>
        </w:rPr>
        <w:t>会计政策变更后</w:t>
      </w:r>
    </w:p>
    <w:p>
      <w:pPr>
        <w:spacing w:line="240" w:lineRule="auto" w:before="11"/>
        <w:rPr>
          <w:rFonts w:ascii="黑体" w:hAnsi="黑体" w:cs="黑体" w:eastAsia="黑体" w:hint="default"/>
          <w:sz w:val="21"/>
          <w:szCs w:val="21"/>
        </w:rPr>
      </w:pPr>
    </w:p>
    <w:tbl>
      <w:tblPr>
        <w:tblW w:w="0" w:type="auto"/>
        <w:jc w:val="left"/>
        <w:tblInd w:w="781" w:type="dxa"/>
        <w:tblLayout w:type="fixed"/>
        <w:tblCellMar>
          <w:top w:w="0" w:type="dxa"/>
          <w:left w:w="0" w:type="dxa"/>
          <w:bottom w:w="0" w:type="dxa"/>
          <w:right w:w="0" w:type="dxa"/>
        </w:tblCellMar>
        <w:tblLook w:val="01E0"/>
      </w:tblPr>
      <w:tblGrid>
        <w:gridCol w:w="2355"/>
        <w:gridCol w:w="2111"/>
        <w:gridCol w:w="1884"/>
        <w:gridCol w:w="1499"/>
      </w:tblGrid>
      <w:tr>
        <w:trPr>
          <w:trHeight w:val="355" w:hRule="exact"/>
        </w:trPr>
        <w:tc>
          <w:tcPr>
            <w:tcW w:w="235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sz w:val="20"/>
                <w:szCs w:val="20"/>
              </w:rPr>
              <w:t>资本公积年初余额</w:t>
            </w: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76"/>
              <w:jc w:val="right"/>
              <w:rPr>
                <w:rFonts w:ascii="Arial" w:hAnsi="Arial" w:cs="Arial" w:eastAsia="Arial" w:hint="default"/>
                <w:sz w:val="20"/>
                <w:szCs w:val="20"/>
              </w:rPr>
            </w:pPr>
            <w:r>
              <w:rPr>
                <w:rFonts w:ascii="Arial"/>
                <w:spacing w:val="-1"/>
                <w:sz w:val="20"/>
              </w:rPr>
              <w:t>981,643,397</w:t>
            </w:r>
          </w:p>
        </w:tc>
        <w:tc>
          <w:tcPr>
            <w:tcW w:w="188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545" w:right="0"/>
              <w:jc w:val="left"/>
              <w:rPr>
                <w:rFonts w:ascii="Arial" w:hAnsi="Arial" w:cs="Arial" w:eastAsia="Arial" w:hint="default"/>
                <w:sz w:val="20"/>
                <w:szCs w:val="20"/>
              </w:rPr>
            </w:pPr>
            <w:r>
              <w:rPr>
                <w:rFonts w:ascii="Arial"/>
                <w:sz w:val="20"/>
              </w:rPr>
              <w:t>3,993,271</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Arial" w:hAnsi="Arial" w:cs="Arial" w:eastAsia="Arial" w:hint="default"/>
                <w:sz w:val="20"/>
                <w:szCs w:val="20"/>
              </w:rPr>
            </w:pPr>
            <w:r>
              <w:rPr>
                <w:rFonts w:ascii="Arial"/>
                <w:spacing w:val="-1"/>
                <w:sz w:val="20"/>
              </w:rPr>
              <w:t>985,636,668</w:t>
            </w:r>
          </w:p>
        </w:tc>
      </w:tr>
      <w:tr>
        <w:trPr>
          <w:trHeight w:val="355" w:hRule="exact"/>
        </w:trPr>
        <w:tc>
          <w:tcPr>
            <w:tcW w:w="2355"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黑体" w:hAnsi="黑体" w:cs="黑体" w:eastAsia="黑体" w:hint="default"/>
                <w:sz w:val="20"/>
                <w:szCs w:val="20"/>
              </w:rPr>
            </w:pPr>
            <w:r>
              <w:rPr>
                <w:rFonts w:ascii="黑体" w:hAnsi="黑体" w:cs="黑体" w:eastAsia="黑体" w:hint="default"/>
                <w:sz w:val="20"/>
                <w:szCs w:val="20"/>
              </w:rPr>
              <w:t>未分配利润年初余额</w:t>
            </w: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476"/>
              <w:jc w:val="right"/>
              <w:rPr>
                <w:rFonts w:ascii="Arial" w:hAnsi="Arial" w:cs="Arial" w:eastAsia="Arial" w:hint="default"/>
                <w:sz w:val="20"/>
                <w:szCs w:val="20"/>
              </w:rPr>
            </w:pPr>
            <w:r>
              <w:rPr>
                <w:rFonts w:ascii="Arial"/>
                <w:spacing w:val="-1"/>
                <w:sz w:val="20"/>
              </w:rPr>
              <w:t>450,562,569</w:t>
            </w:r>
          </w:p>
        </w:tc>
        <w:tc>
          <w:tcPr>
            <w:tcW w:w="188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78" w:right="0"/>
              <w:jc w:val="left"/>
              <w:rPr>
                <w:rFonts w:ascii="Arial" w:hAnsi="Arial" w:cs="Arial" w:eastAsia="Arial" w:hint="default"/>
                <w:sz w:val="20"/>
                <w:szCs w:val="20"/>
              </w:rPr>
            </w:pPr>
            <w:r>
              <w:rPr>
                <w:rFonts w:ascii="Arial"/>
                <w:sz w:val="20"/>
              </w:rPr>
              <w:t>(3,993,271</w:t>
            </w:r>
            <w:r>
              <w:rPr>
                <w:rFonts w:ascii="Arial"/>
                <w:spacing w:val="-25"/>
                <w:sz w:val="20"/>
              </w:rPr>
              <w:t> </w:t>
            </w:r>
            <w:r>
              <w:rPr>
                <w:rFonts w:ascii="Arial"/>
                <w:sz w:val="20"/>
              </w:rPr>
              <w:t>)</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Arial" w:hAnsi="Arial" w:cs="Arial" w:eastAsia="Arial" w:hint="default"/>
                <w:sz w:val="20"/>
                <w:szCs w:val="20"/>
              </w:rPr>
            </w:pPr>
            <w:r>
              <w:rPr>
                <w:rFonts w:ascii="Arial"/>
                <w:spacing w:val="-1"/>
                <w:sz w:val="20"/>
              </w:rPr>
              <w:t>446,569,298</w:t>
            </w:r>
          </w:p>
        </w:tc>
      </w:tr>
    </w:tbl>
    <w:p>
      <w:pPr>
        <w:spacing w:line="240" w:lineRule="auto" w:before="8"/>
        <w:rPr>
          <w:rFonts w:ascii="黑体" w:hAnsi="黑体" w:cs="黑体" w:eastAsia="黑体" w:hint="default"/>
          <w:sz w:val="14"/>
          <w:szCs w:val="14"/>
        </w:rPr>
      </w:pPr>
    </w:p>
    <w:p>
      <w:pPr>
        <w:pStyle w:val="BodyText"/>
        <w:tabs>
          <w:tab w:pos="3367" w:val="left" w:leader="none"/>
          <w:tab w:pos="5054" w:val="left" w:leader="none"/>
          <w:tab w:pos="7173" w:val="left" w:leader="none"/>
        </w:tabs>
        <w:spacing w:line="240" w:lineRule="auto" w:before="38"/>
        <w:ind w:left="816" w:right="114"/>
        <w:jc w:val="left"/>
      </w:pPr>
      <w:r>
        <w:rPr>
          <w:rFonts w:ascii="Arial" w:hAnsi="Arial" w:cs="Arial" w:eastAsia="Arial" w:hint="default"/>
          <w:spacing w:val="-1"/>
        </w:rPr>
        <w:t>2008</w:t>
      </w:r>
      <w:r>
        <w:rPr>
          <w:spacing w:val="-1"/>
        </w:rPr>
        <w:t>年</w:t>
        <w:tab/>
        <w:t>会计政策变更前</w:t>
        <w:tab/>
        <w:t>会计政策变更影响</w:t>
        <w:tab/>
        <w:t>会计政策变更后</w:t>
      </w:r>
    </w:p>
    <w:p>
      <w:pPr>
        <w:spacing w:line="240" w:lineRule="auto" w:before="11"/>
        <w:rPr>
          <w:rFonts w:ascii="黑体" w:hAnsi="黑体" w:cs="黑体" w:eastAsia="黑体" w:hint="default"/>
          <w:sz w:val="21"/>
          <w:szCs w:val="21"/>
        </w:rPr>
      </w:pPr>
    </w:p>
    <w:tbl>
      <w:tblPr>
        <w:tblW w:w="0" w:type="auto"/>
        <w:jc w:val="left"/>
        <w:tblInd w:w="781" w:type="dxa"/>
        <w:tblLayout w:type="fixed"/>
        <w:tblCellMar>
          <w:top w:w="0" w:type="dxa"/>
          <w:left w:w="0" w:type="dxa"/>
          <w:bottom w:w="0" w:type="dxa"/>
          <w:right w:w="0" w:type="dxa"/>
        </w:tblCellMar>
        <w:tblLook w:val="01E0"/>
      </w:tblPr>
      <w:tblGrid>
        <w:gridCol w:w="2322"/>
        <w:gridCol w:w="2178"/>
        <w:gridCol w:w="1792"/>
        <w:gridCol w:w="1632"/>
      </w:tblGrid>
      <w:tr>
        <w:trPr>
          <w:trHeight w:val="355" w:hRule="exact"/>
        </w:trPr>
        <w:tc>
          <w:tcPr>
            <w:tcW w:w="232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sz w:val="20"/>
                <w:szCs w:val="20"/>
              </w:rPr>
              <w:t>资本公积本年发生额</w:t>
            </w:r>
          </w:p>
        </w:tc>
        <w:tc>
          <w:tcPr>
            <w:tcW w:w="217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69" w:right="0"/>
              <w:jc w:val="center"/>
              <w:rPr>
                <w:rFonts w:ascii="Arial" w:hAnsi="Arial" w:cs="Arial" w:eastAsia="Arial" w:hint="default"/>
                <w:sz w:val="20"/>
                <w:szCs w:val="20"/>
              </w:rPr>
            </w:pPr>
            <w:r>
              <w:rPr>
                <w:rFonts w:ascii="Arial"/>
                <w:sz w:val="20"/>
              </w:rPr>
              <w:t>(718,630,528</w:t>
            </w:r>
            <w:r>
              <w:rPr>
                <w:rFonts w:ascii="Arial"/>
                <w:spacing w:val="-28"/>
                <w:sz w:val="20"/>
              </w:rPr>
              <w:t> </w:t>
            </w:r>
            <w:r>
              <w:rPr>
                <w:rFonts w:ascii="Arial"/>
                <w:sz w:val="20"/>
              </w:rPr>
              <w:t>)</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64" w:right="0"/>
              <w:jc w:val="center"/>
              <w:rPr>
                <w:rFonts w:ascii="Arial" w:hAnsi="Arial" w:cs="Arial" w:eastAsia="Arial" w:hint="default"/>
                <w:sz w:val="20"/>
                <w:szCs w:val="20"/>
              </w:rPr>
            </w:pPr>
            <w:r>
              <w:rPr>
                <w:rFonts w:ascii="Arial"/>
                <w:sz w:val="20"/>
              </w:rPr>
              <w:t>3,993,271</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86" w:right="0"/>
              <w:jc w:val="center"/>
              <w:rPr>
                <w:rFonts w:ascii="Arial" w:hAnsi="Arial" w:cs="Arial" w:eastAsia="Arial" w:hint="default"/>
                <w:sz w:val="20"/>
                <w:szCs w:val="20"/>
              </w:rPr>
            </w:pPr>
            <w:r>
              <w:rPr>
                <w:rFonts w:ascii="Arial"/>
                <w:sz w:val="20"/>
              </w:rPr>
              <w:t>(714,637,257</w:t>
            </w:r>
            <w:r>
              <w:rPr>
                <w:rFonts w:ascii="Arial"/>
                <w:spacing w:val="-28"/>
                <w:sz w:val="20"/>
              </w:rPr>
              <w:t> </w:t>
            </w:r>
            <w:r>
              <w:rPr>
                <w:rFonts w:ascii="Arial"/>
                <w:sz w:val="20"/>
              </w:rPr>
              <w:t>)</w:t>
            </w:r>
          </w:p>
        </w:tc>
      </w:tr>
      <w:tr>
        <w:trPr>
          <w:trHeight w:val="355" w:hRule="exact"/>
        </w:trPr>
        <w:tc>
          <w:tcPr>
            <w:tcW w:w="2322"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黑体" w:hAnsi="黑体" w:cs="黑体" w:eastAsia="黑体" w:hint="default"/>
                <w:sz w:val="20"/>
                <w:szCs w:val="20"/>
              </w:rPr>
            </w:pPr>
            <w:r>
              <w:rPr>
                <w:rFonts w:ascii="黑体" w:hAnsi="黑体" w:cs="黑体" w:eastAsia="黑体" w:hint="default"/>
                <w:sz w:val="20"/>
                <w:szCs w:val="20"/>
              </w:rPr>
              <w:t>投资收益本年发生额</w:t>
            </w:r>
          </w:p>
        </w:tc>
        <w:tc>
          <w:tcPr>
            <w:tcW w:w="217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9" w:right="0"/>
              <w:jc w:val="center"/>
              <w:rPr>
                <w:rFonts w:ascii="Arial" w:hAnsi="Arial" w:cs="Arial" w:eastAsia="Arial" w:hint="default"/>
                <w:sz w:val="20"/>
                <w:szCs w:val="20"/>
              </w:rPr>
            </w:pPr>
            <w:r>
              <w:rPr>
                <w:rFonts w:ascii="Arial"/>
                <w:sz w:val="20"/>
              </w:rPr>
              <w:t>204,346,958</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94" w:right="0"/>
              <w:jc w:val="center"/>
              <w:rPr>
                <w:rFonts w:ascii="Arial" w:hAnsi="Arial" w:cs="Arial" w:eastAsia="Arial" w:hint="default"/>
                <w:sz w:val="20"/>
                <w:szCs w:val="20"/>
              </w:rPr>
            </w:pPr>
            <w:r>
              <w:rPr>
                <w:rFonts w:ascii="Arial"/>
                <w:sz w:val="20"/>
              </w:rPr>
              <w:t>(3,993,271</w:t>
            </w:r>
            <w:r>
              <w:rPr>
                <w:rFonts w:ascii="Arial"/>
                <w:spacing w:val="-26"/>
                <w:sz w:val="20"/>
              </w:rPr>
              <w:t> </w:t>
            </w:r>
            <w:r>
              <w:rPr>
                <w:rFonts w:ascii="Arial"/>
                <w:sz w:val="20"/>
              </w:rPr>
              <w:t>)</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57" w:right="0"/>
              <w:jc w:val="center"/>
              <w:rPr>
                <w:rFonts w:ascii="Arial" w:hAnsi="Arial" w:cs="Arial" w:eastAsia="Arial" w:hint="default"/>
                <w:sz w:val="20"/>
                <w:szCs w:val="20"/>
              </w:rPr>
            </w:pPr>
            <w:r>
              <w:rPr>
                <w:rFonts w:ascii="Arial"/>
                <w:sz w:val="20"/>
              </w:rPr>
              <w:t>200,353,687</w:t>
            </w:r>
          </w:p>
        </w:tc>
      </w:tr>
    </w:tbl>
    <w:p>
      <w:pPr>
        <w:spacing w:after="0" w:line="240" w:lineRule="auto"/>
        <w:jc w:val="center"/>
        <w:rPr>
          <w:rFonts w:ascii="Arial" w:hAnsi="Arial" w:cs="Arial" w:eastAsia="Arial" w:hint="default"/>
          <w:sz w:val="20"/>
          <w:szCs w:val="20"/>
        </w:rPr>
        <w:sectPr>
          <w:pgSz w:w="11910" w:h="16840"/>
          <w:pgMar w:header="958" w:footer="473" w:top="2380" w:bottom="660" w:left="1600" w:right="148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03"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三、</w:t>
        <w:tab/>
        <w:t>税项</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21" w:val="left" w:leader="none"/>
        </w:tabs>
        <w:spacing w:line="424" w:lineRule="auto" w:before="0"/>
        <w:ind w:left="810" w:right="4954" w:hanging="710"/>
        <w:jc w:val="left"/>
        <w:rPr>
          <w:rFonts w:ascii="Arial" w:hAnsi="Arial" w:cs="Arial" w:eastAsia="Arial" w:hint="default"/>
          <w:sz w:val="20"/>
          <w:szCs w:val="20"/>
        </w:rPr>
      </w:pPr>
      <w:r>
        <w:rPr>
          <w:rFonts w:ascii="Arial" w:hAnsi="Arial" w:cs="Arial" w:eastAsia="Arial" w:hint="default"/>
          <w:b/>
          <w:bCs/>
          <w:spacing w:val="-1"/>
          <w:sz w:val="20"/>
          <w:szCs w:val="20"/>
        </w:rPr>
        <w:t>1.</w:t>
        <w:tab/>
        <w:tab/>
      </w:r>
      <w:r>
        <w:rPr>
          <w:rFonts w:ascii="黑体" w:hAnsi="黑体" w:cs="黑体" w:eastAsia="黑体" w:hint="default"/>
          <w:b/>
          <w:bCs/>
          <w:sz w:val="20"/>
          <w:szCs w:val="20"/>
        </w:rPr>
        <w:t>主要税种及税率</w:t>
      </w:r>
      <w:r>
        <w:rPr>
          <w:rFonts w:ascii="黑体" w:hAnsi="黑体" w:cs="黑体" w:eastAsia="黑体" w:hint="default"/>
          <w:b/>
          <w:bCs/>
          <w:w w:val="99"/>
          <w:sz w:val="20"/>
          <w:szCs w:val="20"/>
        </w:rPr>
        <w:t> </w:t>
      </w:r>
      <w:r>
        <w:rPr>
          <w:rFonts w:ascii="黑体" w:hAnsi="黑体" w:cs="黑体" w:eastAsia="黑体" w:hint="default"/>
          <w:sz w:val="20"/>
          <w:szCs w:val="20"/>
        </w:rPr>
        <w:t>本集团适用的主要税种及税率如下</w:t>
      </w:r>
      <w:r>
        <w:rPr>
          <w:rFonts w:ascii="Arial" w:hAnsi="Arial" w:cs="Arial" w:eastAsia="Arial" w:hint="default"/>
          <w:sz w:val="20"/>
          <w:szCs w:val="20"/>
        </w:rPr>
        <w:t>:</w:t>
      </w:r>
    </w:p>
    <w:p>
      <w:pPr>
        <w:pStyle w:val="BodyText"/>
        <w:spacing w:line="266" w:lineRule="auto" w:before="62"/>
        <w:ind w:right="214" w:hanging="714"/>
        <w:jc w:val="both"/>
      </w:pPr>
      <w:r>
        <w:rPr>
          <w:rFonts w:ascii="Arial" w:hAnsi="Arial" w:cs="Arial" w:eastAsia="Arial" w:hint="default"/>
        </w:rPr>
        <w:t>(1)</w:t>
      </w:r>
      <w:r>
        <w:rPr>
          <w:rFonts w:ascii="Arial" w:hAnsi="Arial" w:cs="Arial" w:eastAsia="Arial" w:hint="default"/>
          <w:spacing w:val="38"/>
        </w:rPr>
        <w:t> </w:t>
      </w:r>
      <w:r>
        <w:rPr/>
        <w:t>增值税</w:t>
      </w:r>
      <w:r>
        <w:rPr>
          <w:rFonts w:ascii="Arial" w:hAnsi="Arial" w:cs="Arial" w:eastAsia="Arial" w:hint="default"/>
        </w:rPr>
        <w:t>–</w:t>
      </w:r>
      <w:r>
        <w:rPr/>
        <w:t>根据国家税务法规，本集团产品销售收入为计征增值税收入。因应各集团内分公</w:t>
      </w:r>
      <w:r>
        <w:rPr>
          <w:spacing w:val="1"/>
          <w:w w:val="100"/>
        </w:rPr>
        <w:t> </w:t>
      </w:r>
      <w:r>
        <w:rPr>
          <w:spacing w:val="-1"/>
        </w:rPr>
        <w:t>司及子公司的个别情况，增值税征收方法有所不同。个别分公司或子公司为增值税一般纳</w:t>
      </w:r>
      <w:r>
        <w:rPr>
          <w:w w:val="100"/>
        </w:rPr>
        <w:t> </w:t>
      </w:r>
      <w:r>
        <w:rPr>
          <w:spacing w:val="-1"/>
        </w:rPr>
        <w:t>税人的，增值税由买方按销售额的</w:t>
      </w:r>
      <w:r>
        <w:rPr>
          <w:rFonts w:ascii="Arial" w:hAnsi="Arial" w:cs="Arial" w:eastAsia="Arial" w:hint="default"/>
          <w:spacing w:val="-1"/>
        </w:rPr>
        <w:t>17%</w:t>
      </w:r>
      <w:r>
        <w:rPr>
          <w:spacing w:val="-1"/>
        </w:rPr>
        <w:t>计算连同销售金额一并支付分公司或子公司，分公</w:t>
      </w:r>
      <w:r>
        <w:rPr>
          <w:w w:val="100"/>
        </w:rPr>
        <w:t> </w:t>
      </w:r>
      <w:r>
        <w:rPr/>
        <w:t>司及子公司在扣除那些因购进货物所支付而允许抵扣的增值税之后上缴税务机关。</w:t>
      </w:r>
    </w:p>
    <w:p>
      <w:pPr>
        <w:spacing w:line="240" w:lineRule="auto" w:before="2"/>
        <w:rPr>
          <w:rFonts w:ascii="黑体" w:hAnsi="黑体" w:cs="黑体" w:eastAsia="黑体" w:hint="default"/>
          <w:sz w:val="24"/>
          <w:szCs w:val="24"/>
        </w:rPr>
      </w:pPr>
    </w:p>
    <w:p>
      <w:pPr>
        <w:pStyle w:val="BodyText"/>
        <w:spacing w:line="268" w:lineRule="auto"/>
        <w:ind w:right="209"/>
        <w:jc w:val="both"/>
      </w:pPr>
      <w:r>
        <w:rPr/>
        <w:t>依据财政部、国家税务总局、海关总署于</w:t>
      </w:r>
      <w:r>
        <w:rPr>
          <w:rFonts w:ascii="Arial" w:hAnsi="Arial" w:cs="Arial" w:eastAsia="Arial" w:hint="default"/>
        </w:rPr>
        <w:t>2000</w:t>
      </w:r>
      <w:r>
        <w:rPr/>
        <w:t>年</w:t>
      </w:r>
      <w:r>
        <w:rPr>
          <w:rFonts w:ascii="Arial" w:hAnsi="Arial" w:cs="Arial" w:eastAsia="Arial" w:hint="default"/>
        </w:rPr>
        <w:t>9</w:t>
      </w:r>
      <w:r>
        <w:rPr/>
        <w:t>月</w:t>
      </w:r>
      <w:r>
        <w:rPr>
          <w:rFonts w:ascii="Arial" w:hAnsi="Arial" w:cs="Arial" w:eastAsia="Arial" w:hint="default"/>
        </w:rPr>
        <w:t>22</w:t>
      </w:r>
      <w:r>
        <w:rPr/>
        <w:t>日下发的《关于鼓励软件产业和集</w:t>
      </w:r>
      <w:r>
        <w:rPr>
          <w:spacing w:val="-88"/>
        </w:rPr>
        <w:t> </w:t>
      </w:r>
      <w:r>
        <w:rPr>
          <w:spacing w:val="-88"/>
        </w:rPr>
      </w:r>
      <w:r>
        <w:rPr>
          <w:spacing w:val="-4"/>
        </w:rPr>
        <w:t>成电路产业发展有关税收政策问题的通知》</w:t>
      </w:r>
      <w:r>
        <w:rPr>
          <w:rFonts w:ascii="Arial" w:hAnsi="Arial" w:cs="Arial" w:eastAsia="Arial" w:hint="default"/>
          <w:spacing w:val="-4"/>
        </w:rPr>
        <w:t>(</w:t>
      </w:r>
      <w:r>
        <w:rPr>
          <w:spacing w:val="-4"/>
        </w:rPr>
        <w:t>财税</w:t>
      </w:r>
      <w:r>
        <w:rPr>
          <w:rFonts w:ascii="Arial" w:hAnsi="Arial" w:cs="Arial" w:eastAsia="Arial" w:hint="default"/>
          <w:spacing w:val="-4"/>
        </w:rPr>
        <w:t>[2000]25</w:t>
      </w:r>
      <w:r>
        <w:rPr>
          <w:spacing w:val="-4"/>
        </w:rPr>
        <w:t>号</w:t>
      </w:r>
      <w:r>
        <w:rPr>
          <w:rFonts w:ascii="Arial" w:hAnsi="Arial" w:cs="Arial" w:eastAsia="Arial" w:hint="default"/>
          <w:spacing w:val="-4"/>
        </w:rPr>
        <w:t>)</w:t>
      </w:r>
      <w:r>
        <w:rPr>
          <w:spacing w:val="-4"/>
        </w:rPr>
        <w:t>，自</w:t>
      </w:r>
      <w:r>
        <w:rPr>
          <w:rFonts w:ascii="Arial" w:hAnsi="Arial" w:cs="Arial" w:eastAsia="Arial" w:hint="default"/>
          <w:spacing w:val="-4"/>
        </w:rPr>
        <w:t>2000</w:t>
      </w:r>
      <w:r>
        <w:rPr>
          <w:spacing w:val="-4"/>
        </w:rPr>
        <w:t>年</w:t>
      </w:r>
      <w:r>
        <w:rPr>
          <w:rFonts w:ascii="Arial" w:hAnsi="Arial" w:cs="Arial" w:eastAsia="Arial" w:hint="default"/>
          <w:spacing w:val="-4"/>
        </w:rPr>
        <w:t>6</w:t>
      </w:r>
      <w:r>
        <w:rPr>
          <w:spacing w:val="-4"/>
        </w:rPr>
        <w:t>月</w:t>
      </w:r>
      <w:r>
        <w:rPr>
          <w:rFonts w:ascii="Arial" w:hAnsi="Arial" w:cs="Arial" w:eastAsia="Arial" w:hint="default"/>
          <w:spacing w:val="-4"/>
        </w:rPr>
        <w:t>24</w:t>
      </w:r>
      <w:r>
        <w:rPr>
          <w:spacing w:val="-4"/>
        </w:rPr>
        <w:t>日起至</w:t>
      </w:r>
      <w:r>
        <w:rPr>
          <w:rFonts w:ascii="Arial" w:hAnsi="Arial" w:cs="Arial" w:eastAsia="Arial" w:hint="default"/>
          <w:spacing w:val="-4"/>
        </w:rPr>
        <w:t>2010</w:t>
      </w:r>
      <w:r>
        <w:rPr>
          <w:rFonts w:ascii="Arial" w:hAnsi="Arial" w:cs="Arial" w:eastAsia="Arial" w:hint="default"/>
          <w:spacing w:val="-19"/>
        </w:rPr>
        <w:t> </w:t>
      </w:r>
      <w:r>
        <w:rPr>
          <w:rFonts w:ascii="Arial" w:hAnsi="Arial" w:cs="Arial" w:eastAsia="Arial" w:hint="default"/>
          <w:spacing w:val="-19"/>
        </w:rPr>
      </w:r>
      <w:r>
        <w:rPr>
          <w:spacing w:val="-1"/>
        </w:rPr>
        <w:t>年底以前，本公司及其在北京的分公司销售其自行开发生产的计算机软件产品，可按法定</w:t>
      </w:r>
      <w:r>
        <w:rPr>
          <w:spacing w:val="-78"/>
        </w:rPr>
        <w:t> </w:t>
      </w:r>
      <w:r>
        <w:rPr>
          <w:spacing w:val="-78"/>
        </w:rPr>
      </w:r>
      <w:r>
        <w:rPr>
          <w:rFonts w:ascii="Arial" w:hAnsi="Arial" w:cs="Arial" w:eastAsia="Arial" w:hint="default"/>
          <w:spacing w:val="-3"/>
        </w:rPr>
        <w:t>17%</w:t>
      </w:r>
      <w:r>
        <w:rPr>
          <w:spacing w:val="-3"/>
        </w:rPr>
        <w:t>的税率征收增值税后，对实际税负超过</w:t>
      </w:r>
      <w:r>
        <w:rPr>
          <w:rFonts w:ascii="Arial" w:hAnsi="Arial" w:cs="Arial" w:eastAsia="Arial" w:hint="default"/>
          <w:spacing w:val="-3"/>
        </w:rPr>
        <w:t>3%</w:t>
      </w:r>
      <w:r>
        <w:rPr>
          <w:spacing w:val="-3"/>
        </w:rPr>
        <w:t>的部分实行即征即退；本公司的上海分公司</w:t>
      </w:r>
      <w:r>
        <w:rPr>
          <w:spacing w:val="-85"/>
        </w:rPr>
        <w:t> </w:t>
      </w:r>
      <w:r>
        <w:rPr>
          <w:spacing w:val="-85"/>
        </w:rPr>
      </w:r>
      <w:r>
        <w:rPr>
          <w:spacing w:val="-1"/>
        </w:rPr>
        <w:t>及子公司用友艾福斯软件系统有限公司、用友华表软件技术有限公司、用友政务软件有限</w:t>
      </w:r>
      <w:r>
        <w:rPr>
          <w:spacing w:val="-79"/>
        </w:rPr>
        <w:t> </w:t>
      </w:r>
      <w:r>
        <w:rPr>
          <w:spacing w:val="-79"/>
        </w:rPr>
      </w:r>
      <w:r>
        <w:rPr>
          <w:spacing w:val="-1"/>
        </w:rPr>
        <w:t>公司、用友金融软件系统有限公司、厦门用友烟草软件有限责任公司和北京方正春元科技</w:t>
      </w:r>
      <w:r>
        <w:rPr>
          <w:spacing w:val="-80"/>
        </w:rPr>
        <w:t> </w:t>
      </w:r>
      <w:r>
        <w:rPr>
          <w:spacing w:val="-80"/>
        </w:rPr>
      </w:r>
      <w:r>
        <w:rPr>
          <w:spacing w:val="-1"/>
        </w:rPr>
        <w:t>发展有限公司亦已经获得税务局的批准可实施与北京分公司同一政策；其他分公司及子公</w:t>
      </w:r>
      <w:r>
        <w:rPr>
          <w:spacing w:val="-81"/>
        </w:rPr>
        <w:t> </w:t>
      </w:r>
      <w:r>
        <w:rPr>
          <w:spacing w:val="-81"/>
        </w:rPr>
      </w:r>
      <w:r>
        <w:rPr>
          <w:spacing w:val="-1"/>
        </w:rPr>
        <w:t>司按法定</w:t>
      </w:r>
      <w:r>
        <w:rPr>
          <w:rFonts w:ascii="Arial" w:hAnsi="Arial" w:cs="Arial" w:eastAsia="Arial" w:hint="default"/>
          <w:spacing w:val="-1"/>
        </w:rPr>
        <w:t>17%</w:t>
      </w:r>
      <w:r>
        <w:rPr>
          <w:spacing w:val="-1"/>
        </w:rPr>
        <w:t>的税率征收增值税，不作退还。所退税款用于研究开发软件产品和扩大再生</w:t>
      </w:r>
      <w:r>
        <w:rPr>
          <w:spacing w:val="-79"/>
        </w:rPr>
        <w:t> </w:t>
      </w:r>
      <w:r>
        <w:rPr>
          <w:spacing w:val="-79"/>
        </w:rPr>
      </w:r>
      <w:r>
        <w:rPr/>
        <w:t>产，不作为企业所得税应税收入，不予征收企业所得税。</w:t>
      </w:r>
    </w:p>
    <w:p>
      <w:pPr>
        <w:spacing w:line="240" w:lineRule="auto" w:before="0"/>
        <w:rPr>
          <w:rFonts w:ascii="黑体" w:hAnsi="黑体" w:cs="黑体" w:eastAsia="黑体" w:hint="default"/>
          <w:sz w:val="24"/>
          <w:szCs w:val="24"/>
        </w:rPr>
      </w:pPr>
    </w:p>
    <w:p>
      <w:pPr>
        <w:pStyle w:val="BodyText"/>
        <w:spacing w:line="271" w:lineRule="auto"/>
        <w:ind w:right="207"/>
        <w:jc w:val="both"/>
      </w:pPr>
      <w:r>
        <w:rPr>
          <w:spacing w:val="3"/>
        </w:rPr>
        <w:t>另有个别分公司或子公司由增值税一般纳税人转为商业企业小规模纳税人或由商业企业</w:t>
      </w:r>
      <w:r>
        <w:rPr>
          <w:spacing w:val="-48"/>
        </w:rPr>
        <w:t> </w:t>
      </w:r>
      <w:r>
        <w:rPr>
          <w:spacing w:val="-1"/>
        </w:rPr>
        <w:t>小规模纳税人转为一般纳税人。当其为增值税一般纳税人时，依照以上方法计征增值税。</w:t>
      </w:r>
      <w:r>
        <w:rPr>
          <w:spacing w:val="-72"/>
        </w:rPr>
        <w:t> </w:t>
      </w:r>
      <w:r>
        <w:rPr>
          <w:spacing w:val="-72"/>
        </w:rPr>
      </w:r>
      <w:r>
        <w:rPr>
          <w:spacing w:val="-1"/>
        </w:rPr>
        <w:t>而在被认定为商业企业小规模纳税人期间，在小规模纳税人制度下，其增值税由买方按销</w:t>
      </w:r>
      <w:r>
        <w:rPr>
          <w:spacing w:val="-79"/>
        </w:rPr>
        <w:t> </w:t>
      </w:r>
      <w:r>
        <w:rPr>
          <w:spacing w:val="-79"/>
        </w:rPr>
      </w:r>
      <w:r>
        <w:rPr>
          <w:spacing w:val="-4"/>
        </w:rPr>
        <w:t>售额</w:t>
      </w:r>
      <w:r>
        <w:rPr>
          <w:rFonts w:ascii="Arial" w:hAnsi="Arial" w:cs="Arial" w:eastAsia="Arial" w:hint="default"/>
          <w:spacing w:val="-4"/>
        </w:rPr>
        <w:t>3%</w:t>
      </w:r>
      <w:r>
        <w:rPr>
          <w:spacing w:val="-4"/>
        </w:rPr>
        <w:t>计算连同销售金额一并支付有关的分公司或子公司，在此简易方法下，那些因购进</w:t>
      </w:r>
      <w:r>
        <w:rPr>
          <w:spacing w:val="-48"/>
        </w:rPr>
        <w:t> </w:t>
      </w:r>
      <w:r>
        <w:rPr>
          <w:spacing w:val="-48"/>
        </w:rPr>
      </w:r>
      <w:r>
        <w:rPr>
          <w:spacing w:val="-1"/>
        </w:rPr>
        <w:t>货物所支付的增值税不能作销项抵扣，分公司及子公司直接上缴销项所获取的增值税予税</w:t>
      </w:r>
      <w:r>
        <w:rPr>
          <w:spacing w:val="-80"/>
        </w:rPr>
        <w:t> </w:t>
      </w:r>
      <w:r>
        <w:rPr>
          <w:spacing w:val="-80"/>
        </w:rPr>
      </w:r>
      <w:r>
        <w:rPr/>
        <w:t>务机关。</w:t>
      </w:r>
    </w:p>
    <w:p>
      <w:pPr>
        <w:spacing w:line="240" w:lineRule="auto" w:before="11"/>
        <w:rPr>
          <w:rFonts w:ascii="黑体" w:hAnsi="黑体" w:cs="黑体" w:eastAsia="黑体" w:hint="default"/>
          <w:sz w:val="23"/>
          <w:szCs w:val="23"/>
        </w:rPr>
      </w:pPr>
    </w:p>
    <w:p>
      <w:pPr>
        <w:pStyle w:val="BodyText"/>
        <w:tabs>
          <w:tab w:pos="834" w:val="left" w:leader="none"/>
        </w:tabs>
        <w:spacing w:line="261" w:lineRule="auto"/>
        <w:ind w:right="138" w:hanging="715"/>
        <w:jc w:val="left"/>
      </w:pPr>
      <w:r>
        <w:rPr>
          <w:rFonts w:ascii="Arial" w:hAnsi="Arial" w:cs="Arial" w:eastAsia="Arial" w:hint="default"/>
        </w:rPr>
        <w:t>(2)</w:t>
        <w:tab/>
        <w:tab/>
      </w:r>
      <w:r>
        <w:rPr/>
        <w:t>营业税</w:t>
      </w:r>
      <w:r>
        <w:rPr>
          <w:rFonts w:ascii="Arial" w:hAnsi="Arial" w:cs="Arial" w:eastAsia="Arial" w:hint="default"/>
        </w:rPr>
        <w:t>–</w:t>
      </w:r>
      <w:r>
        <w:rPr/>
        <w:t>根据国家有关税务法规，本集团按照属营业税征缴范围的销售收入及服务收入的</w:t>
      </w:r>
      <w:r>
        <w:rPr>
          <w:spacing w:val="-47"/>
        </w:rPr>
        <w:t> </w:t>
      </w:r>
      <w:r>
        <w:rPr>
          <w:rFonts w:ascii="Arial" w:hAnsi="Arial" w:cs="Arial" w:eastAsia="Arial" w:hint="default"/>
        </w:rPr>
        <w:t>5%</w:t>
      </w:r>
      <w:r>
        <w:rPr/>
        <w:t>和培训收入的</w:t>
      </w:r>
      <w:r>
        <w:rPr>
          <w:rFonts w:ascii="Arial" w:hAnsi="Arial" w:cs="Arial" w:eastAsia="Arial" w:hint="default"/>
        </w:rPr>
        <w:t>3%</w:t>
      </w:r>
      <w:r>
        <w:rPr/>
        <w:t>计缴营业税。根据财税字［</w:t>
      </w:r>
      <w:r>
        <w:rPr>
          <w:rFonts w:ascii="Arial" w:hAnsi="Arial" w:cs="Arial" w:eastAsia="Arial" w:hint="default"/>
        </w:rPr>
        <w:t>1999</w:t>
      </w:r>
      <w:r>
        <w:rPr/>
        <w:t>］</w:t>
      </w:r>
      <w:r>
        <w:rPr>
          <w:rFonts w:ascii="Arial" w:hAnsi="Arial" w:cs="Arial" w:eastAsia="Arial" w:hint="default"/>
        </w:rPr>
        <w:t>273</w:t>
      </w:r>
      <w:r>
        <w:rPr/>
        <w:t>号所规定的</w:t>
      </w:r>
      <w:r>
        <w:rPr>
          <w:rFonts w:ascii="Arial" w:hAnsi="Arial" w:cs="Arial" w:eastAsia="Arial" w:hint="default"/>
        </w:rPr>
        <w:t>“</w:t>
      </w:r>
      <w:r>
        <w:rPr/>
        <w:t>从事技术转让、技</w:t>
      </w:r>
      <w:r>
        <w:rPr>
          <w:w w:val="100"/>
        </w:rPr>
        <w:t> </w:t>
      </w:r>
      <w:r>
        <w:rPr>
          <w:spacing w:val="-1"/>
        </w:rPr>
        <w:t>术开发业务和与之相关的技术咨询、技术服务业务取得的收入，免征营业税</w:t>
      </w:r>
      <w:r>
        <w:rPr>
          <w:rFonts w:ascii="Arial" w:hAnsi="Arial" w:cs="Arial" w:eastAsia="Arial" w:hint="default"/>
          <w:spacing w:val="-1"/>
        </w:rPr>
        <w:t>”</w:t>
      </w:r>
      <w:r>
        <w:rPr>
          <w:spacing w:val="-1"/>
        </w:rPr>
        <w:t>的优惠政策，</w:t>
      </w:r>
      <w:r>
        <w:rPr>
          <w:w w:val="100"/>
        </w:rPr>
        <w:t> </w:t>
      </w:r>
      <w:r>
        <w:rPr>
          <w:rFonts w:ascii="Arial" w:hAnsi="Arial" w:cs="Arial" w:eastAsia="Arial" w:hint="default"/>
          <w:spacing w:val="-2"/>
        </w:rPr>
        <w:t>2009</w:t>
      </w:r>
      <w:r>
        <w:rPr>
          <w:spacing w:val="-2"/>
        </w:rPr>
        <w:t>年本公司及子公司用友政务软件有限公司、北京方正春元科技发展有限公司和厦门用</w:t>
      </w:r>
      <w:r>
        <w:rPr>
          <w:w w:val="100"/>
        </w:rPr>
        <w:t> </w:t>
      </w:r>
      <w:r>
        <w:rPr/>
        <w:t>友烟草软件有限责任公司对符合条件的技术开发合同免缴营业税。</w:t>
      </w:r>
    </w:p>
    <w:p>
      <w:pPr>
        <w:spacing w:line="240" w:lineRule="auto" w:before="6"/>
        <w:rPr>
          <w:rFonts w:ascii="黑体" w:hAnsi="黑体" w:cs="黑体" w:eastAsia="黑体" w:hint="default"/>
          <w:sz w:val="24"/>
          <w:szCs w:val="24"/>
        </w:rPr>
      </w:pPr>
    </w:p>
    <w:p>
      <w:pPr>
        <w:pStyle w:val="BodyText"/>
        <w:tabs>
          <w:tab w:pos="816" w:val="left" w:leader="none"/>
        </w:tabs>
        <w:spacing w:line="261" w:lineRule="auto"/>
        <w:ind w:right="114" w:hanging="715"/>
        <w:jc w:val="left"/>
      </w:pPr>
      <w:r>
        <w:rPr>
          <w:rFonts w:ascii="Arial" w:hAnsi="Arial" w:cs="Arial" w:eastAsia="Arial" w:hint="default"/>
        </w:rPr>
        <w:t>(3)</w:t>
        <w:tab/>
        <w:tab/>
      </w:r>
      <w:r>
        <w:rPr>
          <w:spacing w:val="-2"/>
        </w:rPr>
        <w:t>城巿维护建设税</w:t>
      </w:r>
      <w:r>
        <w:rPr>
          <w:rFonts w:ascii="Arial" w:hAnsi="Arial" w:cs="Arial" w:eastAsia="Arial" w:hint="default"/>
          <w:spacing w:val="-2"/>
        </w:rPr>
        <w:t>–</w:t>
      </w:r>
      <w:r>
        <w:rPr>
          <w:spacing w:val="-2"/>
        </w:rPr>
        <w:t>根据国家有关税务法规，除地处深圳的子公司因另有当地规定而减征外，</w:t>
      </w:r>
      <w:r>
        <w:rPr>
          <w:spacing w:val="-51"/>
        </w:rPr>
        <w:t> </w:t>
      </w:r>
      <w:r>
        <w:rPr>
          <w:spacing w:val="-51"/>
        </w:rPr>
      </w:r>
      <w:r>
        <w:rPr>
          <w:spacing w:val="-4"/>
          <w:w w:val="100"/>
        </w:rPr>
        <w:t>本集团按应缴纳的增值税净额和营业税税额的</w:t>
      </w:r>
      <w:r>
        <w:rPr>
          <w:rFonts w:ascii="Arial" w:hAnsi="Arial" w:cs="Arial" w:eastAsia="Arial" w:hint="default"/>
          <w:spacing w:val="-4"/>
          <w:w w:val="100"/>
        </w:rPr>
        <w:t>7%</w:t>
      </w:r>
      <w:r>
        <w:rPr>
          <w:spacing w:val="-4"/>
          <w:w w:val="100"/>
        </w:rPr>
        <w:t>计缴城巿维护建设税。深圳子公司根据当</w:t>
      </w:r>
      <w:r>
        <w:rPr>
          <w:w w:val="100"/>
        </w:rPr>
        <w:t> </w:t>
      </w:r>
      <w:r>
        <w:rPr/>
        <w:t>地规定而按增值税净额和营业税税额的</w:t>
      </w:r>
      <w:r>
        <w:rPr>
          <w:rFonts w:ascii="Arial" w:hAnsi="Arial" w:cs="Arial" w:eastAsia="Arial" w:hint="default"/>
        </w:rPr>
        <w:t>1%</w:t>
      </w:r>
      <w:r>
        <w:rPr/>
        <w:t>计缴此税。</w:t>
      </w:r>
    </w:p>
    <w:p>
      <w:pPr>
        <w:spacing w:line="240" w:lineRule="auto" w:before="3"/>
        <w:rPr>
          <w:rFonts w:ascii="黑体" w:hAnsi="黑体" w:cs="黑体" w:eastAsia="黑体" w:hint="default"/>
          <w:sz w:val="23"/>
          <w:szCs w:val="23"/>
        </w:rPr>
      </w:pPr>
    </w:p>
    <w:p>
      <w:pPr>
        <w:pStyle w:val="BodyText"/>
        <w:tabs>
          <w:tab w:pos="825" w:val="left" w:leader="none"/>
        </w:tabs>
        <w:spacing w:line="261" w:lineRule="auto"/>
        <w:ind w:right="216" w:hanging="714"/>
        <w:jc w:val="left"/>
      </w:pPr>
      <w:r>
        <w:rPr>
          <w:rFonts w:ascii="Arial" w:hAnsi="Arial" w:cs="Arial" w:eastAsia="Arial" w:hint="default"/>
        </w:rPr>
        <w:t>(4)</w:t>
        <w:tab/>
        <w:tab/>
      </w:r>
      <w:r>
        <w:rPr/>
        <w:t>教育费附加</w:t>
      </w:r>
      <w:r>
        <w:rPr>
          <w:rFonts w:ascii="Arial" w:hAnsi="Arial" w:cs="Arial" w:eastAsia="Arial" w:hint="default"/>
        </w:rPr>
        <w:t>–</w:t>
      </w:r>
      <w:r>
        <w:rPr/>
        <w:t>根据国家有关税务法规及当地有关规定，本公司及本公司的各分公司及子公</w:t>
      </w:r>
      <w:r>
        <w:rPr>
          <w:spacing w:val="-40"/>
        </w:rPr>
        <w:t> </w:t>
      </w:r>
      <w:r>
        <w:rPr>
          <w:spacing w:val="-40"/>
        </w:rPr>
      </w:r>
      <w:r>
        <w:rPr/>
        <w:t>司按应缴纳的增值税净额和营业税税额的</w:t>
      </w:r>
      <w:r>
        <w:rPr>
          <w:rFonts w:ascii="Arial" w:hAnsi="Arial" w:cs="Arial" w:eastAsia="Arial" w:hint="default"/>
        </w:rPr>
        <w:t>3%</w:t>
      </w:r>
      <w:r>
        <w:rPr/>
        <w:t>或</w:t>
      </w:r>
      <w:r>
        <w:rPr>
          <w:rFonts w:ascii="Arial" w:hAnsi="Arial" w:cs="Arial" w:eastAsia="Arial" w:hint="default"/>
        </w:rPr>
        <w:t>4%</w:t>
      </w:r>
      <w:r>
        <w:rPr/>
        <w:t>缴纳教育费附加。</w:t>
      </w:r>
    </w:p>
    <w:p>
      <w:pPr>
        <w:spacing w:after="0" w:line="261" w:lineRule="auto"/>
        <w:jc w:val="left"/>
        <w:sectPr>
          <w:pgSz w:w="11910" w:h="16840"/>
          <w:pgMar w:header="958" w:footer="473" w:top="2380" w:bottom="660" w:left="1600" w:right="148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03"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三、</w:t>
        <w:tab/>
        <w:t>税项（续）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21" w:val="left" w:leader="none"/>
        </w:tabs>
        <w:spacing w:line="504" w:lineRule="auto" w:before="0"/>
        <w:ind w:left="815" w:right="4351" w:hanging="715"/>
        <w:jc w:val="left"/>
        <w:rPr>
          <w:rFonts w:ascii="Arial" w:hAnsi="Arial" w:cs="Arial" w:eastAsia="Arial" w:hint="default"/>
          <w:sz w:val="20"/>
          <w:szCs w:val="20"/>
        </w:rPr>
      </w:pPr>
      <w:r>
        <w:rPr>
          <w:rFonts w:ascii="Arial" w:hAnsi="Arial" w:cs="Arial" w:eastAsia="Arial" w:hint="default"/>
          <w:b/>
          <w:bCs/>
          <w:spacing w:val="-1"/>
          <w:sz w:val="20"/>
          <w:szCs w:val="20"/>
        </w:rPr>
        <w:t>1.</w:t>
        <w:tab/>
        <w:tab/>
      </w:r>
      <w:r>
        <w:rPr>
          <w:rFonts w:ascii="黑体" w:hAnsi="黑体" w:cs="黑体" w:eastAsia="黑体" w:hint="default"/>
          <w:b/>
          <w:bCs/>
          <w:sz w:val="20"/>
          <w:szCs w:val="20"/>
        </w:rPr>
        <w:t>主要税种及税率（续）</w:t>
      </w:r>
      <w:r>
        <w:rPr>
          <w:rFonts w:ascii="黑体" w:hAnsi="黑体" w:cs="黑体" w:eastAsia="黑体" w:hint="default"/>
          <w:b/>
          <w:bCs/>
          <w:w w:val="99"/>
          <w:sz w:val="20"/>
          <w:szCs w:val="20"/>
        </w:rPr>
        <w:t> </w:t>
      </w:r>
      <w:r>
        <w:rPr>
          <w:rFonts w:ascii="黑体" w:hAnsi="黑体" w:cs="黑体" w:eastAsia="黑体" w:hint="default"/>
          <w:spacing w:val="-1"/>
          <w:sz w:val="20"/>
          <w:szCs w:val="20"/>
        </w:rPr>
        <w:t>本集团适用的主要税种及税率如下（续）</w:t>
      </w:r>
      <w:r>
        <w:rPr>
          <w:rFonts w:ascii="Arial" w:hAnsi="Arial" w:cs="Arial" w:eastAsia="Arial" w:hint="default"/>
          <w:spacing w:val="-1"/>
          <w:sz w:val="20"/>
          <w:szCs w:val="20"/>
        </w:rPr>
        <w:t>:</w:t>
      </w:r>
    </w:p>
    <w:p>
      <w:pPr>
        <w:pStyle w:val="BodyText"/>
        <w:tabs>
          <w:tab w:pos="817" w:val="left" w:leader="none"/>
        </w:tabs>
        <w:spacing w:line="261" w:lineRule="auto" w:before="78"/>
        <w:ind w:right="216" w:hanging="715"/>
        <w:jc w:val="left"/>
      </w:pPr>
      <w:r>
        <w:rPr>
          <w:rFonts w:ascii="Arial" w:hAnsi="Arial" w:cs="Arial" w:eastAsia="Arial" w:hint="default"/>
        </w:rPr>
        <w:t>(5)</w:t>
        <w:tab/>
        <w:tab/>
      </w:r>
      <w:r>
        <w:rPr>
          <w:spacing w:val="-1"/>
        </w:rPr>
        <w:t>企业所得税</w:t>
      </w:r>
      <w:r>
        <w:rPr>
          <w:rFonts w:ascii="Arial" w:hAnsi="Arial" w:cs="Arial" w:eastAsia="Arial" w:hint="default"/>
          <w:spacing w:val="-1"/>
        </w:rPr>
        <w:t>–</w:t>
      </w:r>
      <w:r>
        <w:rPr>
          <w:spacing w:val="-1"/>
        </w:rPr>
        <w:t>本集团依照</w:t>
      </w:r>
      <w:r>
        <w:rPr>
          <w:rFonts w:ascii="Arial" w:hAnsi="Arial" w:cs="Arial" w:eastAsia="Arial" w:hint="default"/>
          <w:spacing w:val="-1"/>
        </w:rPr>
        <w:t>2008</w:t>
      </w:r>
      <w:r>
        <w:rPr>
          <w:spacing w:val="-1"/>
        </w:rPr>
        <w:t>年</w:t>
      </w:r>
      <w:r>
        <w:rPr>
          <w:rFonts w:ascii="Arial" w:hAnsi="Arial" w:cs="Arial" w:eastAsia="Arial" w:hint="default"/>
          <w:spacing w:val="-1"/>
        </w:rPr>
        <w:t>1</w:t>
      </w:r>
      <w:r>
        <w:rPr>
          <w:spacing w:val="-1"/>
        </w:rPr>
        <w:t>月</w:t>
      </w:r>
      <w:r>
        <w:rPr>
          <w:rFonts w:ascii="Arial" w:hAnsi="Arial" w:cs="Arial" w:eastAsia="Arial" w:hint="default"/>
          <w:spacing w:val="-1"/>
        </w:rPr>
        <w:t>1</w:t>
      </w:r>
      <w:r>
        <w:rPr>
          <w:spacing w:val="-1"/>
        </w:rPr>
        <w:t>日起施行的《中华人民共和国企业所得税法》，按应</w:t>
      </w:r>
      <w:r>
        <w:rPr>
          <w:spacing w:val="-55"/>
        </w:rPr>
        <w:t> </w:t>
      </w:r>
      <w:r>
        <w:rPr>
          <w:spacing w:val="-55"/>
        </w:rPr>
      </w:r>
      <w:r>
        <w:rPr/>
        <w:t>纳税所得额计算企业所得税。</w:t>
      </w:r>
    </w:p>
    <w:p>
      <w:pPr>
        <w:spacing w:line="240" w:lineRule="auto" w:before="6"/>
        <w:rPr>
          <w:rFonts w:ascii="黑体" w:hAnsi="黑体" w:cs="黑体" w:eastAsia="黑体" w:hint="default"/>
          <w:sz w:val="24"/>
          <w:szCs w:val="24"/>
        </w:rPr>
      </w:pPr>
    </w:p>
    <w:p>
      <w:pPr>
        <w:pStyle w:val="BodyText"/>
        <w:spacing w:line="271" w:lineRule="auto"/>
        <w:ind w:right="213"/>
        <w:jc w:val="both"/>
      </w:pPr>
      <w:r>
        <w:rPr>
          <w:spacing w:val="-1"/>
        </w:rPr>
        <w:t>经国家发展和改革委员会、工业和信息化部、商务部、国家税务总局审核批准，本公司及</w:t>
      </w:r>
      <w:r>
        <w:rPr>
          <w:spacing w:val="-80"/>
        </w:rPr>
        <w:t> </w:t>
      </w:r>
      <w:r>
        <w:rPr>
          <w:spacing w:val="-80"/>
        </w:rPr>
      </w:r>
      <w:r>
        <w:rPr>
          <w:spacing w:val="-1"/>
        </w:rPr>
        <w:t>其子公司北京用友政务软件有限公司、北京方正春元科技发展有限公司按《国家规划布局</w:t>
      </w:r>
      <w:r>
        <w:rPr>
          <w:spacing w:val="-79"/>
        </w:rPr>
        <w:t> </w:t>
      </w:r>
      <w:r>
        <w:rPr>
          <w:spacing w:val="-79"/>
        </w:rPr>
      </w:r>
      <w:r>
        <w:rPr>
          <w:spacing w:val="-2"/>
        </w:rPr>
        <w:t>内重点软件企业认定管理办法》的有关规定，被认定为</w:t>
      </w:r>
      <w:r>
        <w:rPr>
          <w:rFonts w:ascii="Arial" w:hAnsi="Arial" w:cs="Arial" w:eastAsia="Arial" w:hint="default"/>
          <w:spacing w:val="-2"/>
        </w:rPr>
        <w:t>2009</w:t>
      </w:r>
      <w:r>
        <w:rPr>
          <w:spacing w:val="-2"/>
        </w:rPr>
        <w:t>年度国家规划布局内重点软件</w:t>
      </w:r>
      <w:r>
        <w:rPr>
          <w:spacing w:val="-83"/>
        </w:rPr>
        <w:t> </w:t>
      </w:r>
      <w:r>
        <w:rPr>
          <w:spacing w:val="-83"/>
        </w:rPr>
      </w:r>
      <w:r>
        <w:rPr/>
        <w:t>企业，</w:t>
      </w:r>
      <w:r>
        <w:rPr>
          <w:rFonts w:ascii="Arial" w:hAnsi="Arial" w:cs="Arial" w:eastAsia="Arial" w:hint="default"/>
        </w:rPr>
        <w:t>2009</w:t>
      </w:r>
      <w:r>
        <w:rPr/>
        <w:t>年减按</w:t>
      </w:r>
      <w:r>
        <w:rPr>
          <w:rFonts w:ascii="Arial" w:hAnsi="Arial" w:cs="Arial" w:eastAsia="Arial" w:hint="default"/>
        </w:rPr>
        <w:t>10%</w:t>
      </w:r>
      <w:r>
        <w:rPr/>
        <w:t>的税率缴纳企业所得税。</w:t>
      </w:r>
    </w:p>
    <w:p>
      <w:pPr>
        <w:spacing w:line="240" w:lineRule="auto" w:before="7"/>
        <w:rPr>
          <w:rFonts w:ascii="黑体" w:hAnsi="黑体" w:cs="黑体" w:eastAsia="黑体" w:hint="default"/>
          <w:sz w:val="22"/>
          <w:szCs w:val="22"/>
        </w:rPr>
      </w:pPr>
    </w:p>
    <w:p>
      <w:pPr>
        <w:pStyle w:val="BodyText"/>
        <w:spacing w:line="268" w:lineRule="auto"/>
        <w:ind w:right="114"/>
        <w:jc w:val="left"/>
      </w:pPr>
      <w:r>
        <w:rPr/>
        <w:t>根据新税法和国税发</w:t>
      </w:r>
      <w:r>
        <w:rPr>
          <w:rFonts w:ascii="Arial" w:hAnsi="Arial" w:cs="Arial" w:eastAsia="Arial" w:hint="default"/>
        </w:rPr>
        <w:t>2008[28]</w:t>
      </w:r>
      <w:r>
        <w:rPr/>
        <w:t>号文的要求，本公司于</w:t>
      </w:r>
      <w:r>
        <w:rPr>
          <w:rFonts w:ascii="Arial" w:hAnsi="Arial" w:cs="Arial" w:eastAsia="Arial" w:hint="default"/>
        </w:rPr>
        <w:t>2009</w:t>
      </w:r>
      <w:r>
        <w:rPr/>
        <w:t>年对所有的分支机构合并缴纳企</w:t>
      </w:r>
      <w:r>
        <w:rPr>
          <w:w w:val="100"/>
        </w:rPr>
        <w:t> </w:t>
      </w:r>
      <w:r>
        <w:rPr/>
        <w:t>业所得税。即按合并季度报表的应纳税所得额乘以</w:t>
      </w:r>
      <w:r>
        <w:rPr>
          <w:rFonts w:ascii="Arial" w:hAnsi="Arial" w:cs="Arial" w:eastAsia="Arial" w:hint="default"/>
        </w:rPr>
        <w:t>25%</w:t>
      </w:r>
      <w:r>
        <w:rPr/>
        <w:t>的企业所得税税率，预缴本年前三</w:t>
      </w:r>
      <w:r>
        <w:rPr>
          <w:w w:val="100"/>
        </w:rPr>
        <w:t> </w:t>
      </w:r>
      <w:r>
        <w:rPr>
          <w:spacing w:val="-4"/>
        </w:rPr>
        <w:t>季度应纳所得税额。待年度汇算清缴时，以年度合并税前利润计算的应纳税所得额为基础，</w:t>
      </w:r>
      <w:r>
        <w:rPr>
          <w:spacing w:val="-58"/>
        </w:rPr>
        <w:t> </w:t>
      </w:r>
      <w:r>
        <w:rPr>
          <w:spacing w:val="-58"/>
        </w:rPr>
      </w:r>
      <w:r>
        <w:rPr/>
        <w:t>按照税务机构备案的比例在总分支机构之间进行分配，然后总分支机构以分配到的应纳税</w:t>
      </w:r>
      <w:r>
        <w:rPr>
          <w:w w:val="100"/>
        </w:rPr>
        <w:t> </w:t>
      </w:r>
      <w:r>
        <w:rPr/>
        <w:t>所得额乘以各自适用的税率计算得到实际应纳所得税费用，根据其与预缴的所得税额之差</w:t>
      </w:r>
      <w:r>
        <w:rPr>
          <w:w w:val="100"/>
        </w:rPr>
        <w:t> </w:t>
      </w:r>
      <w:r>
        <w:rPr/>
        <w:t>额进行补缴或退税。</w:t>
      </w:r>
    </w:p>
    <w:p>
      <w:pPr>
        <w:spacing w:line="240" w:lineRule="auto" w:before="0"/>
        <w:rPr>
          <w:rFonts w:ascii="黑体" w:hAnsi="黑体" w:cs="黑体" w:eastAsia="黑体" w:hint="default"/>
          <w:sz w:val="24"/>
          <w:szCs w:val="24"/>
        </w:rPr>
      </w:pPr>
    </w:p>
    <w:p>
      <w:pPr>
        <w:pStyle w:val="BodyText"/>
        <w:spacing w:line="276" w:lineRule="auto"/>
        <w:ind w:left="816" w:right="114"/>
        <w:jc w:val="both"/>
      </w:pPr>
      <w:r>
        <w:rPr/>
        <w:t>因本集团内各子公司情况不同，税率亦有所不同。除下述子公司外，本公司的其他子公司</w:t>
      </w:r>
      <w:r>
        <w:rPr>
          <w:w w:val="100"/>
        </w:rPr>
        <w:t> </w:t>
      </w:r>
      <w:r>
        <w:rPr>
          <w:spacing w:val="-5"/>
        </w:rPr>
        <w:t>于</w:t>
      </w:r>
      <w:r>
        <w:rPr>
          <w:rFonts w:ascii="Arial" w:hAnsi="Arial" w:cs="Arial" w:eastAsia="Arial" w:hint="default"/>
          <w:spacing w:val="-5"/>
        </w:rPr>
        <w:t>2009</w:t>
      </w:r>
      <w:r>
        <w:rPr>
          <w:spacing w:val="-5"/>
        </w:rPr>
        <w:t>年执行《中华人民共和国企业所得税法》，按应纳税所得额的</w:t>
      </w:r>
      <w:r>
        <w:rPr>
          <w:rFonts w:ascii="Arial" w:hAnsi="Arial" w:cs="Arial" w:eastAsia="Arial" w:hint="default"/>
          <w:spacing w:val="-5"/>
        </w:rPr>
        <w:t>25%</w:t>
      </w:r>
      <w:r>
        <w:rPr>
          <w:spacing w:val="-5"/>
        </w:rPr>
        <w:t>计缴企业所得税。</w:t>
      </w:r>
    </w:p>
    <w:p>
      <w:pPr>
        <w:spacing w:line="240" w:lineRule="auto" w:before="3"/>
        <w:rPr>
          <w:rFonts w:ascii="黑体" w:hAnsi="黑体" w:cs="黑体" w:eastAsia="黑体" w:hint="default"/>
          <w:sz w:val="22"/>
          <w:szCs w:val="22"/>
        </w:rPr>
      </w:pPr>
    </w:p>
    <w:p>
      <w:pPr>
        <w:pStyle w:val="BodyText"/>
        <w:spacing w:line="271" w:lineRule="auto"/>
        <w:ind w:left="816" w:right="210"/>
        <w:jc w:val="both"/>
      </w:pPr>
      <w:r>
        <w:rPr>
          <w:spacing w:val="-1"/>
        </w:rPr>
        <w:t>本公司之子公司厦门用友烟草软件有限责任公司、北京用友华表软件技术有限公司、北京</w:t>
      </w:r>
      <w:r>
        <w:rPr>
          <w:spacing w:val="-80"/>
        </w:rPr>
        <w:t> </w:t>
      </w:r>
      <w:r>
        <w:rPr>
          <w:spacing w:val="-80"/>
        </w:rPr>
      </w:r>
      <w:r>
        <w:rPr>
          <w:spacing w:val="-1"/>
        </w:rPr>
        <w:t>用友艾福斯软件系统有限公司、浙江用友软件有限公司、天津用友软件技术有限公司、广</w:t>
      </w:r>
      <w:r>
        <w:rPr>
          <w:spacing w:val="-82"/>
        </w:rPr>
        <w:t> </w:t>
      </w:r>
      <w:r>
        <w:rPr>
          <w:spacing w:val="-82"/>
        </w:rPr>
      </w:r>
      <w:r>
        <w:rPr/>
        <w:t>东用友软件有限公司于</w:t>
      </w:r>
      <w:r>
        <w:rPr>
          <w:rFonts w:ascii="Arial" w:hAnsi="Arial" w:cs="Arial" w:eastAsia="Arial" w:hint="default"/>
        </w:rPr>
        <w:t>2009</w:t>
      </w:r>
      <w:r>
        <w:rPr/>
        <w:t>年为国家认定的高新技术企业，</w:t>
      </w:r>
      <w:r>
        <w:rPr>
          <w:rFonts w:ascii="Arial" w:hAnsi="Arial" w:cs="Arial" w:eastAsia="Arial" w:hint="default"/>
        </w:rPr>
        <w:t>2009</w:t>
      </w:r>
      <w:r>
        <w:rPr/>
        <w:t>年可享受</w:t>
      </w:r>
      <w:r>
        <w:rPr>
          <w:rFonts w:ascii="Arial" w:hAnsi="Arial" w:cs="Arial" w:eastAsia="Arial" w:hint="default"/>
        </w:rPr>
        <w:t>15%</w:t>
      </w:r>
      <w:r>
        <w:rPr/>
        <w:t>的优惠税</w:t>
      </w:r>
      <w:r>
        <w:rPr>
          <w:spacing w:val="-12"/>
        </w:rPr>
        <w:t> </w:t>
      </w:r>
      <w:r>
        <w:rPr/>
        <w:t>率。</w:t>
      </w:r>
    </w:p>
    <w:p>
      <w:pPr>
        <w:spacing w:line="240" w:lineRule="auto" w:before="11"/>
        <w:rPr>
          <w:rFonts w:ascii="黑体" w:hAnsi="黑体" w:cs="黑体" w:eastAsia="黑体" w:hint="default"/>
          <w:sz w:val="23"/>
          <w:szCs w:val="23"/>
        </w:rPr>
      </w:pPr>
    </w:p>
    <w:p>
      <w:pPr>
        <w:pStyle w:val="BodyText"/>
        <w:spacing w:line="276" w:lineRule="auto"/>
        <w:ind w:left="816" w:right="214"/>
        <w:jc w:val="both"/>
      </w:pPr>
      <w:r>
        <w:rPr>
          <w:spacing w:val="-1"/>
        </w:rPr>
        <w:t>本公司之子公司用友审计软件有限公司属于国家认定的高新技术企业，自成立起享受软件</w:t>
      </w:r>
      <w:r>
        <w:rPr>
          <w:spacing w:val="-81"/>
        </w:rPr>
        <w:t> </w:t>
      </w:r>
      <w:r>
        <w:rPr>
          <w:spacing w:val="-81"/>
        </w:rPr>
      </w:r>
      <w:r>
        <w:rPr/>
        <w:t>企业三免三减半优惠，</w:t>
      </w:r>
      <w:r>
        <w:rPr>
          <w:rFonts w:ascii="Arial" w:hAnsi="Arial" w:cs="Arial" w:eastAsia="Arial" w:hint="default"/>
        </w:rPr>
        <w:t>2009</w:t>
      </w:r>
      <w:r>
        <w:rPr/>
        <w:t>年可享受</w:t>
      </w:r>
      <w:r>
        <w:rPr>
          <w:rFonts w:ascii="Arial" w:hAnsi="Arial" w:cs="Arial" w:eastAsia="Arial" w:hint="default"/>
        </w:rPr>
        <w:t>7.5%</w:t>
      </w:r>
      <w:r>
        <w:rPr/>
        <w:t>优惠税率。</w:t>
      </w:r>
    </w:p>
    <w:p>
      <w:pPr>
        <w:spacing w:line="240" w:lineRule="auto" w:before="3"/>
        <w:rPr>
          <w:rFonts w:ascii="黑体" w:hAnsi="黑体" w:cs="黑体" w:eastAsia="黑体" w:hint="default"/>
          <w:sz w:val="22"/>
          <w:szCs w:val="22"/>
        </w:rPr>
      </w:pPr>
    </w:p>
    <w:p>
      <w:pPr>
        <w:pStyle w:val="BodyText"/>
        <w:spacing w:line="268" w:lineRule="auto"/>
        <w:ind w:left="816" w:right="214"/>
        <w:jc w:val="both"/>
      </w:pPr>
      <w:r>
        <w:rPr>
          <w:spacing w:val="-1"/>
        </w:rPr>
        <w:t>本公司之子公司广西用友软件有限公司，符合《财政部国家税务总局关于享受企业所得税</w:t>
      </w:r>
      <w:r>
        <w:rPr>
          <w:spacing w:val="-79"/>
        </w:rPr>
        <w:t> </w:t>
      </w:r>
      <w:r>
        <w:rPr>
          <w:spacing w:val="-79"/>
        </w:rPr>
      </w:r>
      <w:r>
        <w:rPr>
          <w:spacing w:val="-2"/>
        </w:rPr>
        <w:t>优惠政策的新办企业认定标准的通知》</w:t>
      </w:r>
      <w:r>
        <w:rPr>
          <w:rFonts w:ascii="Arial" w:hAnsi="Arial" w:cs="Arial" w:eastAsia="Arial" w:hint="default"/>
          <w:spacing w:val="-2"/>
        </w:rPr>
        <w:t>(</w:t>
      </w:r>
      <w:r>
        <w:rPr>
          <w:spacing w:val="-2"/>
        </w:rPr>
        <w:t>财税</w:t>
      </w:r>
      <w:r>
        <w:rPr>
          <w:rFonts w:ascii="Arial" w:hAnsi="Arial" w:cs="Arial" w:eastAsia="Arial" w:hint="default"/>
          <w:spacing w:val="-2"/>
        </w:rPr>
        <w:t>[2006]1</w:t>
      </w:r>
      <w:r>
        <w:rPr>
          <w:spacing w:val="-2"/>
        </w:rPr>
        <w:t>号</w:t>
      </w:r>
      <w:r>
        <w:rPr>
          <w:rFonts w:ascii="Arial" w:hAnsi="Arial" w:cs="Arial" w:eastAsia="Arial" w:hint="default"/>
          <w:spacing w:val="-2"/>
        </w:rPr>
        <w:t>)</w:t>
      </w:r>
      <w:r>
        <w:rPr>
          <w:spacing w:val="-2"/>
        </w:rPr>
        <w:t>规定的新办企业条件，从</w:t>
      </w:r>
      <w:r>
        <w:rPr>
          <w:rFonts w:ascii="Arial" w:hAnsi="Arial" w:cs="Arial" w:eastAsia="Arial" w:hint="default"/>
          <w:spacing w:val="-2"/>
        </w:rPr>
        <w:t>2006</w:t>
      </w:r>
      <w:r>
        <w:rPr>
          <w:spacing w:val="-2"/>
        </w:rPr>
        <w:t>年至</w:t>
      </w:r>
      <w:r>
        <w:rPr>
          <w:spacing w:val="-77"/>
        </w:rPr>
        <w:t> </w:t>
      </w:r>
      <w:r>
        <w:rPr>
          <w:rFonts w:ascii="Arial" w:hAnsi="Arial" w:cs="Arial" w:eastAsia="Arial" w:hint="default"/>
        </w:rPr>
        <w:t>2010</w:t>
      </w:r>
      <w:r>
        <w:rPr/>
        <w:t>年止免征企业所得税。</w:t>
      </w:r>
    </w:p>
    <w:p>
      <w:pPr>
        <w:spacing w:line="240" w:lineRule="auto" w:before="9"/>
        <w:rPr>
          <w:rFonts w:ascii="黑体" w:hAnsi="黑体" w:cs="黑体" w:eastAsia="黑体" w:hint="default"/>
          <w:sz w:val="22"/>
          <w:szCs w:val="22"/>
        </w:rPr>
      </w:pPr>
    </w:p>
    <w:p>
      <w:pPr>
        <w:pStyle w:val="BodyText"/>
        <w:tabs>
          <w:tab w:pos="807" w:val="left" w:leader="none"/>
        </w:tabs>
        <w:spacing w:line="240" w:lineRule="auto"/>
        <w:ind w:left="102" w:right="114"/>
        <w:jc w:val="left"/>
      </w:pPr>
      <w:r>
        <w:rPr>
          <w:rFonts w:ascii="Arial" w:hAnsi="Arial" w:cs="Arial" w:eastAsia="Arial" w:hint="default"/>
        </w:rPr>
        <w:t>(6)</w:t>
        <w:tab/>
      </w:r>
      <w:r>
        <w:rPr/>
        <w:t>其他税项</w:t>
      </w:r>
      <w:r>
        <w:rPr>
          <w:rFonts w:ascii="Arial" w:hAnsi="Arial" w:cs="Arial" w:eastAsia="Arial" w:hint="default"/>
        </w:rPr>
        <w:t>–</w:t>
      </w:r>
      <w:r>
        <w:rPr/>
        <w:t>按国家有关税法的规定计算缴纳。</w:t>
      </w:r>
    </w:p>
    <w:p>
      <w:pPr>
        <w:spacing w:line="240" w:lineRule="auto" w:before="11"/>
        <w:rPr>
          <w:rFonts w:ascii="黑体" w:hAnsi="黑体" w:cs="黑体" w:eastAsia="黑体" w:hint="default"/>
          <w:sz w:val="17"/>
          <w:szCs w:val="17"/>
        </w:rPr>
      </w:pPr>
    </w:p>
    <w:p>
      <w:pPr>
        <w:tabs>
          <w:tab w:pos="821" w:val="left" w:leader="none"/>
        </w:tabs>
        <w:spacing w:before="0"/>
        <w:ind w:left="101" w:right="114" w:firstLine="0"/>
        <w:jc w:val="left"/>
        <w:rPr>
          <w:rFonts w:ascii="黑体" w:hAnsi="黑体" w:cs="黑体" w:eastAsia="黑体" w:hint="default"/>
          <w:sz w:val="20"/>
          <w:szCs w:val="20"/>
        </w:rPr>
      </w:pPr>
      <w:r>
        <w:rPr>
          <w:rFonts w:ascii="Arial" w:hAnsi="Arial" w:cs="Arial" w:eastAsia="Arial" w:hint="default"/>
          <w:b/>
          <w:bCs/>
          <w:spacing w:val="-1"/>
          <w:sz w:val="20"/>
          <w:szCs w:val="20"/>
        </w:rPr>
        <w:t>2.</w:t>
        <w:tab/>
      </w:r>
      <w:r>
        <w:rPr>
          <w:rFonts w:ascii="黑体" w:hAnsi="黑体" w:cs="黑体" w:eastAsia="黑体" w:hint="default"/>
          <w:b/>
          <w:bCs/>
          <w:sz w:val="20"/>
          <w:szCs w:val="20"/>
        </w:rPr>
        <w:t>税收优惠及批文</w:t>
      </w:r>
      <w:r>
        <w:rPr>
          <w:rFonts w:ascii="黑体" w:hAnsi="黑体" w:cs="黑体" w:eastAsia="黑体" w:hint="default"/>
          <w:sz w:val="20"/>
          <w:szCs w:val="20"/>
        </w:rPr>
      </w:r>
    </w:p>
    <w:p>
      <w:pPr>
        <w:spacing w:line="240" w:lineRule="auto" w:before="12"/>
        <w:rPr>
          <w:rFonts w:ascii="黑体" w:hAnsi="黑体" w:cs="黑体" w:eastAsia="黑体" w:hint="default"/>
          <w:b/>
          <w:bCs/>
          <w:sz w:val="17"/>
          <w:szCs w:val="17"/>
        </w:rPr>
      </w:pPr>
    </w:p>
    <w:p>
      <w:pPr>
        <w:pStyle w:val="BodyText"/>
        <w:spacing w:line="271" w:lineRule="auto"/>
        <w:ind w:right="214"/>
        <w:jc w:val="both"/>
      </w:pPr>
      <w:r>
        <w:rPr>
          <w:spacing w:val="20"/>
        </w:rPr>
        <w:t>根据国家发展和改革委员会、工业和信息化部、商务部和国家税务总局发改高技</w:t>
      </w:r>
      <w:r>
        <w:rPr>
          <w:spacing w:val="-37"/>
        </w:rPr>
        <w:t> </w:t>
      </w:r>
      <w:r>
        <w:rPr>
          <w:spacing w:val="-37"/>
        </w:rPr>
      </w:r>
      <w:r>
        <w:rPr>
          <w:rFonts w:ascii="Arial" w:hAnsi="Arial" w:cs="Arial" w:eastAsia="Arial" w:hint="default"/>
          <w:spacing w:val="-1"/>
        </w:rPr>
        <w:t>[2009]3357</w:t>
      </w:r>
      <w:r>
        <w:rPr>
          <w:spacing w:val="-1"/>
        </w:rPr>
        <w:t>号文，本公司及下属北京用友政务软件有限公司和北京方正春元科技发展有限</w:t>
      </w:r>
      <w:r>
        <w:rPr>
          <w:spacing w:val="-74"/>
        </w:rPr>
        <w:t> </w:t>
      </w:r>
      <w:r>
        <w:rPr>
          <w:spacing w:val="-74"/>
        </w:rPr>
      </w:r>
      <w:r>
        <w:rPr>
          <w:spacing w:val="-1"/>
        </w:rPr>
        <w:t>公司，按《国家规划布局内重点软件企业认定管理办法》的有关规定享受企业所得税优惠</w:t>
      </w:r>
      <w:r>
        <w:rPr>
          <w:spacing w:val="-81"/>
        </w:rPr>
        <w:t> </w:t>
      </w:r>
      <w:r>
        <w:rPr>
          <w:spacing w:val="-81"/>
        </w:rPr>
      </w:r>
      <w:r>
        <w:rPr/>
        <w:t>政策，减按</w:t>
      </w:r>
      <w:r>
        <w:rPr>
          <w:rFonts w:ascii="Arial" w:hAnsi="Arial" w:cs="Arial" w:eastAsia="Arial" w:hint="default"/>
        </w:rPr>
        <w:t>10%</w:t>
      </w:r>
      <w:r>
        <w:rPr/>
        <w:t>的税率征收企业所得税。</w:t>
      </w:r>
    </w:p>
    <w:p>
      <w:pPr>
        <w:spacing w:after="0" w:line="271" w:lineRule="auto"/>
        <w:jc w:val="both"/>
        <w:sectPr>
          <w:pgSz w:w="11910" w:h="16840"/>
          <w:pgMar w:header="958" w:footer="473" w:top="2380" w:bottom="660" w:left="1600" w:right="1480"/>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7"/>
          <w:szCs w:val="17"/>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三、</w:t>
        <w:tab/>
        <w:t>税项（续）</w:t>
      </w:r>
      <w:r>
        <w:rPr>
          <w:rFonts w:ascii="黑体" w:hAnsi="黑体" w:cs="黑体" w:eastAsia="黑体" w:hint="default"/>
          <w:sz w:val="20"/>
          <w:szCs w:val="20"/>
        </w:rPr>
      </w:r>
    </w:p>
    <w:p>
      <w:pPr>
        <w:spacing w:line="240" w:lineRule="auto" w:before="11"/>
        <w:rPr>
          <w:rFonts w:ascii="黑体" w:hAnsi="黑体" w:cs="黑体" w:eastAsia="黑体" w:hint="default"/>
          <w:b/>
          <w:bCs/>
          <w:sz w:val="13"/>
          <w:szCs w:val="13"/>
        </w:rPr>
      </w:pPr>
    </w:p>
    <w:p>
      <w:pPr>
        <w:tabs>
          <w:tab w:pos="8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2.</w:t>
        <w:tab/>
      </w:r>
      <w:r>
        <w:rPr>
          <w:rFonts w:ascii="黑体" w:hAnsi="黑体" w:cs="黑体" w:eastAsia="黑体" w:hint="default"/>
          <w:b/>
          <w:bCs/>
          <w:sz w:val="20"/>
          <w:szCs w:val="20"/>
        </w:rPr>
        <w:t>税收优惠及批文（续）</w:t>
      </w:r>
      <w:r>
        <w:rPr>
          <w:rFonts w:ascii="黑体" w:hAnsi="黑体" w:cs="黑体" w:eastAsia="黑体" w:hint="default"/>
          <w:sz w:val="20"/>
          <w:szCs w:val="20"/>
        </w:rPr>
      </w:r>
    </w:p>
    <w:p>
      <w:pPr>
        <w:spacing w:line="240" w:lineRule="auto" w:before="5"/>
        <w:rPr>
          <w:rFonts w:ascii="黑体" w:hAnsi="黑体" w:cs="黑体" w:eastAsia="黑体" w:hint="default"/>
          <w:b/>
          <w:bCs/>
          <w:sz w:val="14"/>
          <w:szCs w:val="14"/>
        </w:rPr>
      </w:pPr>
    </w:p>
    <w:p>
      <w:pPr>
        <w:pStyle w:val="BodyText"/>
        <w:spacing w:line="240" w:lineRule="auto"/>
        <w:ind w:right="0"/>
        <w:jc w:val="both"/>
      </w:pPr>
      <w:r>
        <w:rPr>
          <w:spacing w:val="14"/>
        </w:rPr>
        <w:t>本公司于</w:t>
      </w:r>
      <w:r>
        <w:rPr>
          <w:spacing w:val="-70"/>
        </w:rPr>
        <w:t> </w:t>
      </w:r>
      <w:r>
        <w:rPr>
          <w:rFonts w:ascii="Arial" w:hAnsi="Arial" w:cs="Arial" w:eastAsia="Arial" w:hint="default"/>
        </w:rPr>
        <w:t>2008</w:t>
      </w:r>
      <w:r>
        <w:rPr>
          <w:rFonts w:ascii="Arial" w:hAnsi="Arial" w:cs="Arial" w:eastAsia="Arial" w:hint="default"/>
          <w:spacing w:val="-25"/>
        </w:rPr>
        <w:t> </w:t>
      </w:r>
      <w:r>
        <w:rPr/>
        <w:t>年</w:t>
      </w:r>
      <w:r>
        <w:rPr>
          <w:spacing w:val="-72"/>
        </w:rPr>
        <w:t> </w:t>
      </w:r>
      <w:r>
        <w:rPr>
          <w:rFonts w:ascii="Arial" w:hAnsi="Arial" w:cs="Arial" w:eastAsia="Arial" w:hint="default"/>
        </w:rPr>
        <w:t>12</w:t>
      </w:r>
      <w:r>
        <w:rPr>
          <w:rFonts w:ascii="Arial" w:hAnsi="Arial" w:cs="Arial" w:eastAsia="Arial" w:hint="default"/>
          <w:spacing w:val="-26"/>
        </w:rPr>
        <w:t> </w:t>
      </w:r>
      <w:r>
        <w:rPr/>
        <w:t>月</w:t>
      </w:r>
      <w:r>
        <w:rPr>
          <w:spacing w:val="-70"/>
        </w:rPr>
        <w:t> </w:t>
      </w:r>
      <w:r>
        <w:rPr>
          <w:rFonts w:ascii="Arial" w:hAnsi="Arial" w:cs="Arial" w:eastAsia="Arial" w:hint="default"/>
        </w:rPr>
        <w:t>18</w:t>
      </w:r>
      <w:r>
        <w:rPr>
          <w:rFonts w:ascii="Arial" w:hAnsi="Arial" w:cs="Arial" w:eastAsia="Arial" w:hint="default"/>
          <w:spacing w:val="-26"/>
        </w:rPr>
        <w:t> </w:t>
      </w:r>
      <w:r>
        <w:rPr>
          <w:spacing w:val="18"/>
        </w:rPr>
        <w:t>日取得了有效期为三年的高新技术企业证书，证书编号为</w:t>
      </w:r>
    </w:p>
    <w:p>
      <w:pPr>
        <w:pStyle w:val="BodyText"/>
        <w:spacing w:line="240" w:lineRule="auto" w:before="24"/>
        <w:ind w:right="0"/>
        <w:jc w:val="both"/>
      </w:pPr>
      <w:r>
        <w:rPr>
          <w:rFonts w:ascii="Arial" w:hAnsi="Arial" w:cs="Arial" w:eastAsia="Arial" w:hint="default"/>
        </w:rPr>
        <w:t>GR200811000662</w:t>
      </w:r>
      <w:r>
        <w:rPr/>
        <w:t>，</w:t>
      </w:r>
      <w:r>
        <w:rPr>
          <w:rFonts w:ascii="Arial" w:hAnsi="Arial" w:cs="Arial" w:eastAsia="Arial" w:hint="default"/>
        </w:rPr>
        <w:t>2009</w:t>
      </w:r>
      <w:r>
        <w:rPr/>
        <w:t>年可享受</w:t>
      </w:r>
      <w:r>
        <w:rPr>
          <w:rFonts w:ascii="Arial" w:hAnsi="Arial" w:cs="Arial" w:eastAsia="Arial" w:hint="default"/>
        </w:rPr>
        <w:t>15%</w:t>
      </w:r>
      <w:r>
        <w:rPr/>
        <w:t>的优惠税率。</w:t>
      </w:r>
    </w:p>
    <w:p>
      <w:pPr>
        <w:spacing w:line="240" w:lineRule="auto" w:before="11"/>
        <w:rPr>
          <w:rFonts w:ascii="黑体" w:hAnsi="黑体" w:cs="黑体" w:eastAsia="黑体" w:hint="default"/>
          <w:sz w:val="15"/>
          <w:szCs w:val="15"/>
        </w:rPr>
      </w:pPr>
    </w:p>
    <w:p>
      <w:pPr>
        <w:pStyle w:val="BodyText"/>
        <w:spacing w:line="261" w:lineRule="auto"/>
        <w:ind w:right="133"/>
        <w:jc w:val="both"/>
      </w:pPr>
      <w:r>
        <w:rPr/>
        <w:t>本公司之子公司厦门用友烟草软件有限责任公司于</w:t>
      </w:r>
      <w:r>
        <w:rPr>
          <w:rFonts w:ascii="Arial" w:hAnsi="Arial" w:cs="Arial" w:eastAsia="Arial" w:hint="default"/>
        </w:rPr>
        <w:t>2009</w:t>
      </w:r>
      <w:r>
        <w:rPr/>
        <w:t>年</w:t>
      </w:r>
      <w:r>
        <w:rPr>
          <w:rFonts w:ascii="Arial" w:hAnsi="Arial" w:cs="Arial" w:eastAsia="Arial" w:hint="default"/>
        </w:rPr>
        <w:t>7</w:t>
      </w:r>
      <w:r>
        <w:rPr/>
        <w:t>月</w:t>
      </w:r>
      <w:r>
        <w:rPr>
          <w:rFonts w:ascii="Arial" w:hAnsi="Arial" w:cs="Arial" w:eastAsia="Arial" w:hint="default"/>
        </w:rPr>
        <w:t>30</w:t>
      </w:r>
      <w:r>
        <w:rPr/>
        <w:t>日取得了有效期为三年的</w:t>
      </w:r>
      <w:r>
        <w:rPr>
          <w:spacing w:val="-89"/>
        </w:rPr>
        <w:t> </w:t>
      </w:r>
      <w:r>
        <w:rPr>
          <w:spacing w:val="-89"/>
        </w:rPr>
      </w:r>
      <w:r>
        <w:rPr/>
        <w:t>高新技术企业证书，证书编号为</w:t>
      </w:r>
      <w:r>
        <w:rPr>
          <w:rFonts w:ascii="Arial" w:hAnsi="Arial" w:cs="Arial" w:eastAsia="Arial" w:hint="default"/>
        </w:rPr>
        <w:t>GR200935100103</w:t>
      </w:r>
      <w:r>
        <w:rPr/>
        <w:t>，</w:t>
      </w:r>
      <w:r>
        <w:rPr>
          <w:rFonts w:ascii="Arial" w:hAnsi="Arial" w:cs="Arial" w:eastAsia="Arial" w:hint="default"/>
        </w:rPr>
        <w:t>2009</w:t>
      </w:r>
      <w:r>
        <w:rPr/>
        <w:t>年可享受</w:t>
      </w:r>
      <w:r>
        <w:rPr>
          <w:rFonts w:ascii="Arial" w:hAnsi="Arial" w:cs="Arial" w:eastAsia="Arial" w:hint="default"/>
        </w:rPr>
        <w:t>15%</w:t>
      </w:r>
      <w:r>
        <w:rPr/>
        <w:t>的优惠税率。</w:t>
      </w:r>
    </w:p>
    <w:p>
      <w:pPr>
        <w:spacing w:line="240" w:lineRule="auto" w:before="6"/>
        <w:rPr>
          <w:rFonts w:ascii="黑体" w:hAnsi="黑体" w:cs="黑体" w:eastAsia="黑体" w:hint="default"/>
          <w:sz w:val="14"/>
          <w:szCs w:val="14"/>
        </w:rPr>
      </w:pPr>
    </w:p>
    <w:p>
      <w:pPr>
        <w:pStyle w:val="BodyText"/>
        <w:spacing w:line="261" w:lineRule="auto"/>
        <w:ind w:right="133"/>
        <w:jc w:val="both"/>
      </w:pPr>
      <w:r>
        <w:rPr/>
        <w:t>本公司之子公司北京用友华表软件技术有限公司于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30</w:t>
      </w:r>
      <w:r>
        <w:rPr/>
        <w:t>日取得了有效期为三年</w:t>
      </w:r>
      <w:r>
        <w:rPr>
          <w:spacing w:val="-15"/>
        </w:rPr>
        <w:t> </w:t>
      </w:r>
      <w:r>
        <w:rPr>
          <w:spacing w:val="-15"/>
        </w:rPr>
      </w:r>
      <w:r>
        <w:rPr/>
        <w:t>的高新技术企业证书，证书编号为</w:t>
      </w:r>
      <w:r>
        <w:rPr>
          <w:rFonts w:ascii="Arial" w:hAnsi="Arial" w:cs="Arial" w:eastAsia="Arial" w:hint="default"/>
        </w:rPr>
        <w:t>GR200811002585</w:t>
      </w:r>
      <w:r>
        <w:rPr/>
        <w:t>，</w:t>
      </w:r>
      <w:r>
        <w:rPr>
          <w:rFonts w:ascii="Arial" w:hAnsi="Arial" w:cs="Arial" w:eastAsia="Arial" w:hint="default"/>
        </w:rPr>
        <w:t>2009</w:t>
      </w:r>
      <w:r>
        <w:rPr/>
        <w:t>年可享受</w:t>
      </w:r>
      <w:r>
        <w:rPr>
          <w:rFonts w:ascii="Arial" w:hAnsi="Arial" w:cs="Arial" w:eastAsia="Arial" w:hint="default"/>
        </w:rPr>
        <w:t>15%</w:t>
      </w:r>
      <w:r>
        <w:rPr/>
        <w:t>的优惠税率。</w:t>
      </w:r>
    </w:p>
    <w:p>
      <w:pPr>
        <w:spacing w:line="240" w:lineRule="auto" w:before="4"/>
        <w:rPr>
          <w:rFonts w:ascii="黑体" w:hAnsi="黑体" w:cs="黑体" w:eastAsia="黑体" w:hint="default"/>
          <w:sz w:val="14"/>
          <w:szCs w:val="14"/>
        </w:rPr>
      </w:pPr>
    </w:p>
    <w:p>
      <w:pPr>
        <w:pStyle w:val="BodyText"/>
        <w:spacing w:line="261" w:lineRule="auto"/>
        <w:ind w:right="133"/>
        <w:jc w:val="both"/>
      </w:pPr>
      <w:r>
        <w:rPr/>
        <w:t>本公司之子公司北京用友艾福斯软件系统有限公司于</w:t>
      </w:r>
      <w:r>
        <w:rPr>
          <w:rFonts w:ascii="Arial" w:hAnsi="Arial" w:cs="Arial" w:eastAsia="Arial" w:hint="default"/>
        </w:rPr>
        <w:t>2009</w:t>
      </w:r>
      <w:r>
        <w:rPr/>
        <w:t>年</w:t>
      </w:r>
      <w:r>
        <w:rPr>
          <w:rFonts w:ascii="Arial" w:hAnsi="Arial" w:cs="Arial" w:eastAsia="Arial" w:hint="default"/>
        </w:rPr>
        <w:t>6</w:t>
      </w:r>
      <w:r>
        <w:rPr/>
        <w:t>月</w:t>
      </w:r>
      <w:r>
        <w:rPr>
          <w:rFonts w:ascii="Arial" w:hAnsi="Arial" w:cs="Arial" w:eastAsia="Arial" w:hint="default"/>
        </w:rPr>
        <w:t>18</w:t>
      </w:r>
      <w:r>
        <w:rPr/>
        <w:t>日取得了有效期为三年</w:t>
      </w:r>
      <w:r>
        <w:rPr>
          <w:spacing w:val="-89"/>
        </w:rPr>
        <w:t> </w:t>
      </w:r>
      <w:r>
        <w:rPr>
          <w:spacing w:val="-89"/>
        </w:rPr>
      </w:r>
      <w:r>
        <w:rPr/>
        <w:t>的高新技术企业证书，证书编号为</w:t>
      </w:r>
      <w:r>
        <w:rPr>
          <w:rFonts w:ascii="Arial" w:hAnsi="Arial" w:cs="Arial" w:eastAsia="Arial" w:hint="default"/>
        </w:rPr>
        <w:t>GR200911000230</w:t>
      </w:r>
      <w:r>
        <w:rPr/>
        <w:t>，</w:t>
      </w:r>
      <w:r>
        <w:rPr>
          <w:rFonts w:ascii="Arial" w:hAnsi="Arial" w:cs="Arial" w:eastAsia="Arial" w:hint="default"/>
        </w:rPr>
        <w:t>2009</w:t>
      </w:r>
      <w:r>
        <w:rPr/>
        <w:t>年可享受</w:t>
      </w:r>
      <w:r>
        <w:rPr>
          <w:rFonts w:ascii="Arial" w:hAnsi="Arial" w:cs="Arial" w:eastAsia="Arial" w:hint="default"/>
        </w:rPr>
        <w:t>15%</w:t>
      </w:r>
      <w:r>
        <w:rPr/>
        <w:t>的优惠税率。</w:t>
      </w:r>
    </w:p>
    <w:p>
      <w:pPr>
        <w:spacing w:line="240" w:lineRule="auto" w:before="4"/>
        <w:rPr>
          <w:rFonts w:ascii="黑体" w:hAnsi="黑体" w:cs="黑体" w:eastAsia="黑体" w:hint="default"/>
          <w:sz w:val="14"/>
          <w:szCs w:val="14"/>
        </w:rPr>
      </w:pPr>
    </w:p>
    <w:p>
      <w:pPr>
        <w:pStyle w:val="BodyText"/>
        <w:spacing w:line="264" w:lineRule="auto"/>
        <w:ind w:right="134"/>
        <w:jc w:val="both"/>
      </w:pPr>
      <w:r>
        <w:rPr/>
        <w:t>本公司之子公司浙江用友软件有限公司于</w:t>
      </w:r>
      <w:r>
        <w:rPr>
          <w:rFonts w:ascii="Arial" w:hAnsi="Arial" w:cs="Arial" w:eastAsia="Arial" w:hint="default"/>
        </w:rPr>
        <w:t>2008</w:t>
      </w:r>
      <w:r>
        <w:rPr/>
        <w:t>年</w:t>
      </w:r>
      <w:r>
        <w:rPr>
          <w:rFonts w:ascii="Arial" w:hAnsi="Arial" w:cs="Arial" w:eastAsia="Arial" w:hint="default"/>
        </w:rPr>
        <w:t>9</w:t>
      </w:r>
      <w:r>
        <w:rPr/>
        <w:t>月</w:t>
      </w:r>
      <w:r>
        <w:rPr>
          <w:rFonts w:ascii="Arial" w:hAnsi="Arial" w:cs="Arial" w:eastAsia="Arial" w:hint="default"/>
        </w:rPr>
        <w:t>19</w:t>
      </w:r>
      <w:r>
        <w:rPr/>
        <w:t>日取得了有效期为三年的高新技术</w:t>
      </w:r>
      <w:r>
        <w:rPr>
          <w:spacing w:val="-88"/>
        </w:rPr>
        <w:t> </w:t>
      </w:r>
      <w:r>
        <w:rPr>
          <w:spacing w:val="-88"/>
        </w:rPr>
      </w:r>
      <w:r>
        <w:rPr>
          <w:spacing w:val="-2"/>
        </w:rPr>
        <w:t>企业证书，证书编号为</w:t>
      </w:r>
      <w:r>
        <w:rPr>
          <w:rFonts w:ascii="Arial" w:hAnsi="Arial" w:cs="Arial" w:eastAsia="Arial" w:hint="default"/>
          <w:spacing w:val="-2"/>
        </w:rPr>
        <w:t>GR200833000043</w:t>
      </w:r>
      <w:r>
        <w:rPr>
          <w:spacing w:val="-2"/>
        </w:rPr>
        <w:t>，根据浙江省科学技术厅、浙江省财政厅、浙江</w:t>
      </w:r>
      <w:r>
        <w:rPr>
          <w:spacing w:val="-64"/>
        </w:rPr>
        <w:t> </w:t>
      </w:r>
      <w:r>
        <w:rPr>
          <w:spacing w:val="-64"/>
        </w:rPr>
      </w:r>
      <w:r>
        <w:rPr>
          <w:spacing w:val="-3"/>
          <w:w w:val="100"/>
        </w:rPr>
        <w:t>省国家税务局和浙江省地方税务局浙科发高</w:t>
      </w:r>
      <w:r>
        <w:rPr>
          <w:rFonts w:ascii="Arial" w:hAnsi="Arial" w:cs="Arial" w:eastAsia="Arial" w:hint="default"/>
          <w:spacing w:val="-3"/>
          <w:w w:val="100"/>
        </w:rPr>
        <w:t>[2008]250</w:t>
      </w:r>
      <w:r>
        <w:rPr>
          <w:spacing w:val="-3"/>
          <w:w w:val="100"/>
        </w:rPr>
        <w:t>号文，本公司下属子公司浙江用友软</w:t>
      </w:r>
      <w:r>
        <w:rPr>
          <w:spacing w:val="-95"/>
          <w:w w:val="100"/>
        </w:rPr>
        <w:t> </w:t>
      </w:r>
      <w:r>
        <w:rPr>
          <w:spacing w:val="-95"/>
          <w:w w:val="100"/>
        </w:rPr>
      </w:r>
      <w:r>
        <w:rPr>
          <w:spacing w:val="-1"/>
        </w:rPr>
        <w:t>件有限公司按《高新技术企业认定管理办法》和《高新技术企业认定管理工作指引》的有</w:t>
      </w:r>
      <w:r>
        <w:rPr>
          <w:spacing w:val="-81"/>
        </w:rPr>
        <w:t> </w:t>
      </w:r>
      <w:r>
        <w:rPr>
          <w:spacing w:val="-81"/>
        </w:rPr>
      </w:r>
      <w:r>
        <w:rPr/>
        <w:t>关规定，</w:t>
      </w:r>
      <w:r>
        <w:rPr>
          <w:rFonts w:ascii="Arial" w:hAnsi="Arial" w:cs="Arial" w:eastAsia="Arial" w:hint="default"/>
        </w:rPr>
        <w:t>2009</w:t>
      </w:r>
      <w:r>
        <w:rPr/>
        <w:t>年可享受</w:t>
      </w:r>
      <w:r>
        <w:rPr>
          <w:rFonts w:ascii="Arial" w:hAnsi="Arial" w:cs="Arial" w:eastAsia="Arial" w:hint="default"/>
        </w:rPr>
        <w:t>15%</w:t>
      </w:r>
      <w:r>
        <w:rPr/>
        <w:t>的优惠税率。</w:t>
      </w:r>
    </w:p>
    <w:p>
      <w:pPr>
        <w:spacing w:line="240" w:lineRule="auto" w:before="3"/>
        <w:rPr>
          <w:rFonts w:ascii="黑体" w:hAnsi="黑体" w:cs="黑体" w:eastAsia="黑体" w:hint="default"/>
          <w:sz w:val="14"/>
          <w:szCs w:val="14"/>
        </w:rPr>
      </w:pPr>
    </w:p>
    <w:p>
      <w:pPr>
        <w:pStyle w:val="BodyText"/>
        <w:spacing w:line="268" w:lineRule="auto"/>
        <w:ind w:right="134"/>
        <w:jc w:val="both"/>
      </w:pPr>
      <w:r>
        <w:rPr>
          <w:spacing w:val="-1"/>
        </w:rPr>
        <w:t>根据天津市科学技术委员会、天津市财政局、天津市国家税务局和天津市地方税务局津科</w:t>
      </w:r>
      <w:r>
        <w:rPr>
          <w:spacing w:val="-80"/>
        </w:rPr>
        <w:t> </w:t>
      </w:r>
      <w:r>
        <w:rPr>
          <w:spacing w:val="-80"/>
        </w:rPr>
      </w:r>
      <w:r>
        <w:rPr>
          <w:spacing w:val="-1"/>
        </w:rPr>
        <w:t>高</w:t>
      </w:r>
      <w:r>
        <w:rPr>
          <w:rFonts w:ascii="Arial" w:hAnsi="Arial" w:cs="Arial" w:eastAsia="Arial" w:hint="default"/>
          <w:spacing w:val="-1"/>
        </w:rPr>
        <w:t>[2009]310</w:t>
      </w:r>
      <w:r>
        <w:rPr>
          <w:spacing w:val="-1"/>
        </w:rPr>
        <w:t>号</w:t>
      </w:r>
      <w:r>
        <w:rPr>
          <w:rFonts w:ascii="Arial" w:hAnsi="Arial" w:cs="Arial" w:eastAsia="Arial" w:hint="default"/>
          <w:spacing w:val="-1"/>
        </w:rPr>
        <w:t>-</w:t>
      </w:r>
      <w:r>
        <w:rPr>
          <w:spacing w:val="-1"/>
        </w:rPr>
        <w:t>关于公示天津市</w:t>
      </w:r>
      <w:r>
        <w:rPr>
          <w:rFonts w:ascii="Arial" w:hAnsi="Arial" w:cs="Arial" w:eastAsia="Arial" w:hint="default"/>
          <w:spacing w:val="-1"/>
        </w:rPr>
        <w:t>2009</w:t>
      </w:r>
      <w:r>
        <w:rPr>
          <w:spacing w:val="-1"/>
        </w:rPr>
        <w:t>年第四批拟认定高新技术企业名单的通知，本公司下</w:t>
      </w:r>
      <w:r>
        <w:rPr>
          <w:spacing w:val="-78"/>
        </w:rPr>
        <w:t> </w:t>
      </w:r>
      <w:r>
        <w:rPr>
          <w:spacing w:val="-78"/>
        </w:rPr>
      </w:r>
      <w:r>
        <w:rPr>
          <w:spacing w:val="-1"/>
        </w:rPr>
        <w:t>属子公司天津用友软件技术有限公司按《高新技术企业认定管理办法》和《高新技术企业</w:t>
      </w:r>
      <w:r>
        <w:rPr>
          <w:spacing w:val="-81"/>
        </w:rPr>
        <w:t> </w:t>
      </w:r>
      <w:r>
        <w:rPr>
          <w:spacing w:val="-81"/>
        </w:rPr>
      </w:r>
      <w:r>
        <w:rPr>
          <w:spacing w:val="-7"/>
          <w:w w:val="100"/>
        </w:rPr>
        <w:t>认定管理工作指引》的有关规定，在拟认定的高新技术企业认定名单内，</w:t>
      </w:r>
      <w:r>
        <w:rPr>
          <w:rFonts w:ascii="Arial" w:hAnsi="Arial" w:cs="Arial" w:eastAsia="Arial" w:hint="default"/>
          <w:spacing w:val="-7"/>
          <w:w w:val="100"/>
        </w:rPr>
        <w:t>2009</w:t>
      </w:r>
      <w:r>
        <w:rPr>
          <w:spacing w:val="-7"/>
          <w:w w:val="100"/>
        </w:rPr>
        <w:t>年可享受</w:t>
      </w:r>
      <w:r>
        <w:rPr>
          <w:rFonts w:ascii="Arial" w:hAnsi="Arial" w:cs="Arial" w:eastAsia="Arial" w:hint="default"/>
          <w:spacing w:val="-7"/>
          <w:w w:val="100"/>
        </w:rPr>
        <w:t>15%</w:t>
      </w:r>
      <w:r>
        <w:rPr>
          <w:rFonts w:ascii="Arial" w:hAnsi="Arial" w:cs="Arial" w:eastAsia="Arial" w:hint="default"/>
          <w:spacing w:val="-37"/>
          <w:w w:val="100"/>
        </w:rPr>
        <w:t> </w:t>
      </w:r>
      <w:r>
        <w:rPr/>
        <w:t>的优惠税率。</w:t>
      </w:r>
    </w:p>
    <w:p>
      <w:pPr>
        <w:spacing w:line="240" w:lineRule="auto" w:before="2"/>
        <w:rPr>
          <w:rFonts w:ascii="黑体" w:hAnsi="黑体" w:cs="黑体" w:eastAsia="黑体" w:hint="default"/>
          <w:sz w:val="15"/>
          <w:szCs w:val="15"/>
        </w:rPr>
      </w:pPr>
    </w:p>
    <w:p>
      <w:pPr>
        <w:pStyle w:val="BodyText"/>
        <w:spacing w:line="261" w:lineRule="auto"/>
        <w:ind w:right="132"/>
        <w:jc w:val="both"/>
      </w:pPr>
      <w:r>
        <w:rPr/>
        <w:t>本公司之子公司广东用友软件有限公司于</w:t>
      </w:r>
      <w:r>
        <w:rPr>
          <w:rFonts w:ascii="Arial" w:hAnsi="Arial" w:cs="Arial" w:eastAsia="Arial" w:hint="default"/>
        </w:rPr>
        <w:t>2003</w:t>
      </w:r>
      <w:r>
        <w:rPr/>
        <w:t>年</w:t>
      </w:r>
      <w:r>
        <w:rPr>
          <w:rFonts w:ascii="Arial" w:hAnsi="Arial" w:cs="Arial" w:eastAsia="Arial" w:hint="default"/>
        </w:rPr>
        <w:t>5</w:t>
      </w:r>
      <w:r>
        <w:rPr/>
        <w:t>月</w:t>
      </w:r>
      <w:r>
        <w:rPr>
          <w:rFonts w:ascii="Arial" w:hAnsi="Arial" w:cs="Arial" w:eastAsia="Arial" w:hint="default"/>
        </w:rPr>
        <w:t>30</w:t>
      </w:r>
      <w:r>
        <w:rPr/>
        <w:t>日取得了高新技术企业证书，证书</w:t>
      </w:r>
      <w:r>
        <w:rPr>
          <w:spacing w:val="-88"/>
        </w:rPr>
        <w:t> </w:t>
      </w:r>
      <w:r>
        <w:rPr>
          <w:spacing w:val="-88"/>
        </w:rPr>
      </w:r>
      <w:r>
        <w:rPr/>
        <w:t>编号为</w:t>
      </w:r>
      <w:r>
        <w:rPr>
          <w:rFonts w:ascii="Arial" w:hAnsi="Arial" w:cs="Arial" w:eastAsia="Arial" w:hint="default"/>
        </w:rPr>
        <w:t>0044102A0356</w:t>
      </w:r>
      <w:r>
        <w:rPr/>
        <w:t>，该证书要求企业每年进行年审，年审合格，则可享受</w:t>
      </w:r>
      <w:r>
        <w:rPr>
          <w:rFonts w:ascii="Arial" w:hAnsi="Arial" w:cs="Arial" w:eastAsia="Arial" w:hint="default"/>
        </w:rPr>
        <w:t>15%</w:t>
      </w:r>
      <w:r>
        <w:rPr/>
        <w:t>的优惠</w:t>
      </w:r>
      <w:r>
        <w:rPr>
          <w:spacing w:val="-75"/>
        </w:rPr>
        <w:t> </w:t>
      </w:r>
      <w:r>
        <w:rPr>
          <w:spacing w:val="-75"/>
        </w:rPr>
      </w:r>
      <w:r>
        <w:rPr>
          <w:spacing w:val="-1"/>
        </w:rPr>
        <w:t>税率。广东用友于</w:t>
      </w:r>
      <w:r>
        <w:rPr>
          <w:rFonts w:ascii="Arial" w:hAnsi="Arial" w:cs="Arial" w:eastAsia="Arial" w:hint="default"/>
          <w:spacing w:val="-1"/>
        </w:rPr>
        <w:t>2010</w:t>
      </w:r>
      <w:r>
        <w:rPr>
          <w:spacing w:val="-1"/>
        </w:rPr>
        <w:t>年</w:t>
      </w:r>
      <w:r>
        <w:rPr>
          <w:rFonts w:ascii="Arial" w:hAnsi="Arial" w:cs="Arial" w:eastAsia="Arial" w:hint="default"/>
          <w:spacing w:val="-1"/>
        </w:rPr>
        <w:t>3</w:t>
      </w:r>
      <w:r>
        <w:rPr>
          <w:spacing w:val="-1"/>
        </w:rPr>
        <w:t>月进行的</w:t>
      </w:r>
      <w:r>
        <w:rPr>
          <w:rFonts w:ascii="Arial" w:hAnsi="Arial" w:cs="Arial" w:eastAsia="Arial" w:hint="default"/>
          <w:spacing w:val="-1"/>
        </w:rPr>
        <w:t>2009</w:t>
      </w:r>
      <w:r>
        <w:rPr>
          <w:spacing w:val="-1"/>
        </w:rPr>
        <w:t>年年审已受理备案，截至本财务报告日年审仍在</w:t>
      </w:r>
      <w:r>
        <w:rPr>
          <w:spacing w:val="-76"/>
        </w:rPr>
        <w:t> </w:t>
      </w:r>
      <w:r>
        <w:rPr>
          <w:spacing w:val="-76"/>
        </w:rPr>
      </w:r>
      <w:r>
        <w:rPr/>
        <w:t>进行中。</w:t>
      </w:r>
    </w:p>
    <w:p>
      <w:pPr>
        <w:spacing w:line="240" w:lineRule="auto" w:before="8"/>
        <w:rPr>
          <w:rFonts w:ascii="黑体" w:hAnsi="黑体" w:cs="黑体" w:eastAsia="黑体" w:hint="default"/>
          <w:sz w:val="15"/>
          <w:szCs w:val="15"/>
        </w:rPr>
      </w:pPr>
    </w:p>
    <w:p>
      <w:pPr>
        <w:pStyle w:val="BodyText"/>
        <w:spacing w:line="264" w:lineRule="auto"/>
        <w:ind w:right="102"/>
        <w:jc w:val="both"/>
      </w:pPr>
      <w:r>
        <w:rPr/>
        <w:t>本公司之子公司北京用友审计软件有限公司于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24</w:t>
      </w:r>
      <w:r>
        <w:rPr/>
        <w:t>日取得了有效期为三年的高</w:t>
      </w:r>
      <w:r>
        <w:rPr>
          <w:spacing w:val="-14"/>
        </w:rPr>
        <w:t> </w:t>
      </w:r>
      <w:r>
        <w:rPr/>
        <w:t>新技术企业证书，证书编号为</w:t>
      </w:r>
      <w:r>
        <w:rPr>
          <w:rFonts w:ascii="Arial" w:hAnsi="Arial" w:cs="Arial" w:eastAsia="Arial" w:hint="default"/>
        </w:rPr>
        <w:t>GR200811002231</w:t>
      </w:r>
      <w:r>
        <w:rPr/>
        <w:t>，</w:t>
      </w:r>
      <w:r>
        <w:rPr>
          <w:rFonts w:ascii="Arial" w:hAnsi="Arial" w:cs="Arial" w:eastAsia="Arial" w:hint="default"/>
        </w:rPr>
        <w:t>2009</w:t>
      </w:r>
      <w:r>
        <w:rPr/>
        <w:t>年可享受</w:t>
      </w:r>
      <w:r>
        <w:rPr>
          <w:rFonts w:ascii="Arial" w:hAnsi="Arial" w:cs="Arial" w:eastAsia="Arial" w:hint="default"/>
        </w:rPr>
        <w:t>15%</w:t>
      </w:r>
      <w:r>
        <w:rPr/>
        <w:t>的优惠税率。另外</w:t>
      </w:r>
      <w:r>
        <w:rPr>
          <w:rFonts w:ascii="Arial" w:hAnsi="Arial" w:cs="Arial" w:eastAsia="Arial" w:hint="default"/>
        </w:rPr>
        <w:t>,</w:t>
      </w:r>
      <w:r>
        <w:rPr>
          <w:rFonts w:ascii="Arial" w:hAnsi="Arial" w:cs="Arial" w:eastAsia="Arial" w:hint="default"/>
          <w:spacing w:val="-17"/>
        </w:rPr>
        <w:t> </w:t>
      </w:r>
      <w:r>
        <w:rPr/>
        <w:t>北京用友审计软件有限公司符合《鼓励软件产业和集成电路产业发展的若干政策》和《软</w:t>
      </w:r>
      <w:r>
        <w:rPr>
          <w:w w:val="100"/>
        </w:rPr>
        <w:t> </w:t>
      </w:r>
      <w:r>
        <w:rPr>
          <w:spacing w:val="-1"/>
        </w:rPr>
        <w:t>件企业认定标准及管理办法》</w:t>
      </w:r>
      <w:r>
        <w:rPr>
          <w:rFonts w:ascii="Arial" w:hAnsi="Arial" w:cs="Arial" w:eastAsia="Arial" w:hint="default"/>
          <w:spacing w:val="-1"/>
        </w:rPr>
        <w:t>(</w:t>
      </w:r>
      <w:r>
        <w:rPr>
          <w:spacing w:val="-1"/>
        </w:rPr>
        <w:t>试行</w:t>
      </w:r>
      <w:r>
        <w:rPr>
          <w:rFonts w:ascii="Arial" w:hAnsi="Arial" w:cs="Arial" w:eastAsia="Arial" w:hint="default"/>
          <w:spacing w:val="-1"/>
        </w:rPr>
        <w:t>)</w:t>
      </w:r>
      <w:r>
        <w:rPr>
          <w:spacing w:val="-1"/>
        </w:rPr>
        <w:t>的有关规定，于</w:t>
      </w:r>
      <w:r>
        <w:rPr>
          <w:rFonts w:ascii="Arial" w:hAnsi="Arial" w:cs="Arial" w:eastAsia="Arial" w:hint="default"/>
          <w:spacing w:val="-1"/>
        </w:rPr>
        <w:t>2006</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10</w:t>
      </w:r>
      <w:r>
        <w:rPr>
          <w:spacing w:val="-1"/>
        </w:rPr>
        <w:t>日被认定为软件企业，</w:t>
      </w:r>
      <w:r>
        <w:rPr>
          <w:spacing w:val="-68"/>
        </w:rPr>
        <w:t> </w:t>
      </w:r>
      <w:r>
        <w:rPr>
          <w:spacing w:val="-68"/>
        </w:rPr>
      </w:r>
      <w:r>
        <w:rPr/>
        <w:t>证书编号为京</w:t>
      </w:r>
      <w:r>
        <w:rPr>
          <w:rFonts w:ascii="Arial" w:hAnsi="Arial" w:cs="Arial" w:eastAsia="Arial" w:hint="default"/>
        </w:rPr>
        <w:t>R-2006-0527</w:t>
      </w:r>
      <w:r>
        <w:rPr/>
        <w:t>。根据海淀区国家税务局高新技术企业减免税年审表北京用友</w:t>
      </w:r>
      <w:r>
        <w:rPr>
          <w:spacing w:val="-82"/>
        </w:rPr>
        <w:t> </w:t>
      </w:r>
      <w:r>
        <w:rPr>
          <w:spacing w:val="-82"/>
        </w:rPr>
      </w:r>
      <w:r>
        <w:rPr>
          <w:spacing w:val="-2"/>
        </w:rPr>
        <w:t>审计软件有限公司于</w:t>
      </w:r>
      <w:r>
        <w:rPr>
          <w:rFonts w:ascii="Arial" w:hAnsi="Arial" w:cs="Arial" w:eastAsia="Arial" w:hint="default"/>
          <w:spacing w:val="-2"/>
        </w:rPr>
        <w:t>2006</w:t>
      </w:r>
      <w:r>
        <w:rPr>
          <w:spacing w:val="-2"/>
        </w:rPr>
        <w:t>年</w:t>
      </w:r>
      <w:r>
        <w:rPr>
          <w:rFonts w:ascii="Arial" w:hAnsi="Arial" w:cs="Arial" w:eastAsia="Arial" w:hint="default"/>
          <w:spacing w:val="-2"/>
        </w:rPr>
        <w:t>3</w:t>
      </w:r>
      <w:r>
        <w:rPr>
          <w:spacing w:val="-2"/>
        </w:rPr>
        <w:t>月</w:t>
      </w:r>
      <w:r>
        <w:rPr>
          <w:rFonts w:ascii="Arial" w:hAnsi="Arial" w:cs="Arial" w:eastAsia="Arial" w:hint="default"/>
          <w:spacing w:val="-2"/>
        </w:rPr>
        <w:t>9</w:t>
      </w:r>
      <w:r>
        <w:rPr>
          <w:spacing w:val="-2"/>
        </w:rPr>
        <w:t>日至</w:t>
      </w:r>
      <w:r>
        <w:rPr>
          <w:rFonts w:ascii="Arial" w:hAnsi="Arial" w:cs="Arial" w:eastAsia="Arial" w:hint="default"/>
          <w:spacing w:val="-2"/>
        </w:rPr>
        <w:t>2008</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日享受免税税收政策，于</w:t>
      </w:r>
      <w:r>
        <w:rPr>
          <w:rFonts w:ascii="Arial" w:hAnsi="Arial" w:cs="Arial" w:eastAsia="Arial" w:hint="default"/>
          <w:spacing w:val="-2"/>
        </w:rPr>
        <w:t>2009</w:t>
      </w:r>
      <w:r>
        <w:rPr>
          <w:spacing w:val="-2"/>
        </w:rPr>
        <w:t>年</w:t>
      </w:r>
      <w:r>
        <w:rPr>
          <w:rFonts w:ascii="Arial" w:hAnsi="Arial" w:cs="Arial" w:eastAsia="Arial" w:hint="default"/>
          <w:spacing w:val="-2"/>
        </w:rPr>
        <w:t>1</w:t>
      </w:r>
      <w:r>
        <w:rPr>
          <w:spacing w:val="-2"/>
        </w:rPr>
        <w:t>月</w:t>
      </w:r>
      <w:r>
        <w:rPr>
          <w:rFonts w:ascii="Arial" w:hAnsi="Arial" w:cs="Arial" w:eastAsia="Arial" w:hint="default"/>
          <w:spacing w:val="-2"/>
        </w:rPr>
        <w:t>1 </w:t>
      </w:r>
      <w:r>
        <w:rPr/>
        <w:t>日至</w:t>
      </w:r>
      <w:r>
        <w:rPr>
          <w:rFonts w:ascii="Arial" w:hAnsi="Arial" w:cs="Arial" w:eastAsia="Arial" w:hint="default"/>
        </w:rPr>
        <w:t>2011</w:t>
      </w:r>
      <w:r>
        <w:rPr/>
        <w:t>年</w:t>
      </w:r>
      <w:r>
        <w:rPr>
          <w:rFonts w:ascii="Arial" w:hAnsi="Arial" w:cs="Arial" w:eastAsia="Arial" w:hint="default"/>
        </w:rPr>
        <w:t>12</w:t>
      </w:r>
      <w:r>
        <w:rPr/>
        <w:t>月</w:t>
      </w:r>
      <w:r>
        <w:rPr>
          <w:rFonts w:ascii="Arial" w:hAnsi="Arial" w:cs="Arial" w:eastAsia="Arial" w:hint="default"/>
        </w:rPr>
        <w:t>31</w:t>
      </w:r>
      <w:r>
        <w:rPr/>
        <w:t>日享受</w:t>
      </w:r>
      <w:r>
        <w:rPr>
          <w:rFonts w:ascii="Arial" w:hAnsi="Arial" w:cs="Arial" w:eastAsia="Arial" w:hint="default"/>
        </w:rPr>
        <w:t>7.5%</w:t>
      </w:r>
      <w:r>
        <w:rPr/>
        <w:t>优惠税率。</w:t>
      </w:r>
    </w:p>
    <w:p>
      <w:pPr>
        <w:spacing w:line="240" w:lineRule="auto" w:before="2"/>
        <w:rPr>
          <w:rFonts w:ascii="黑体" w:hAnsi="黑体" w:cs="黑体" w:eastAsia="黑体" w:hint="default"/>
          <w:sz w:val="14"/>
          <w:szCs w:val="14"/>
        </w:rPr>
      </w:pPr>
    </w:p>
    <w:p>
      <w:pPr>
        <w:pStyle w:val="BodyText"/>
        <w:spacing w:line="264" w:lineRule="auto"/>
        <w:ind w:right="134"/>
        <w:jc w:val="both"/>
      </w:pPr>
      <w:r>
        <w:rPr/>
        <w:t>根据南宁高新技术产业开发区、国家税务总局南高国税函</w:t>
      </w:r>
      <w:r>
        <w:rPr>
          <w:rFonts w:ascii="Arial" w:hAnsi="Arial" w:cs="Arial" w:eastAsia="Arial" w:hint="default"/>
        </w:rPr>
        <w:t>[2006]55</w:t>
      </w:r>
      <w:r>
        <w:rPr/>
        <w:t>号，本公司下属子公司</w:t>
      </w:r>
      <w:r>
        <w:rPr>
          <w:spacing w:val="-94"/>
        </w:rPr>
        <w:t> </w:t>
      </w:r>
      <w:r>
        <w:rPr>
          <w:spacing w:val="-94"/>
        </w:rPr>
      </w:r>
      <w:r>
        <w:rPr>
          <w:spacing w:val="-1"/>
        </w:rPr>
        <w:t>广西用友软件有限公司符合《财政部国家税务总局关于享受企业所得税优惠政策的新办企</w:t>
      </w:r>
      <w:r>
        <w:rPr>
          <w:spacing w:val="-80"/>
        </w:rPr>
        <w:t> </w:t>
      </w:r>
      <w:r>
        <w:rPr>
          <w:spacing w:val="-80"/>
        </w:rPr>
      </w:r>
      <w:r>
        <w:rPr>
          <w:spacing w:val="-1"/>
        </w:rPr>
        <w:t>业认定标准的通知》</w:t>
      </w:r>
      <w:r>
        <w:rPr>
          <w:rFonts w:ascii="Arial" w:hAnsi="Arial" w:cs="Arial" w:eastAsia="Arial" w:hint="default"/>
          <w:spacing w:val="-1"/>
        </w:rPr>
        <w:t>(</w:t>
      </w:r>
      <w:r>
        <w:rPr>
          <w:spacing w:val="-1"/>
        </w:rPr>
        <w:t>财税</w:t>
      </w:r>
      <w:r>
        <w:rPr>
          <w:rFonts w:ascii="Arial" w:hAnsi="Arial" w:cs="Arial" w:eastAsia="Arial" w:hint="default"/>
          <w:spacing w:val="-1"/>
        </w:rPr>
        <w:t>[2006]1</w:t>
      </w:r>
      <w:r>
        <w:rPr>
          <w:spacing w:val="-1"/>
        </w:rPr>
        <w:t>号</w:t>
      </w:r>
      <w:r>
        <w:rPr>
          <w:rFonts w:ascii="Arial" w:hAnsi="Arial" w:cs="Arial" w:eastAsia="Arial" w:hint="default"/>
          <w:spacing w:val="-1"/>
        </w:rPr>
        <w:t>)</w:t>
      </w:r>
      <w:r>
        <w:rPr>
          <w:spacing w:val="-1"/>
        </w:rPr>
        <w:t>规定的新办企业条件，根据《自治区人民政府关于印</w:t>
      </w:r>
      <w:r>
        <w:rPr>
          <w:spacing w:val="-74"/>
        </w:rPr>
        <w:t> </w:t>
      </w:r>
      <w:r>
        <w:rPr>
          <w:spacing w:val="-74"/>
        </w:rPr>
      </w:r>
      <w:r>
        <w:rPr>
          <w:spacing w:val="-2"/>
        </w:rPr>
        <w:t>发贯彻实施西部大开发政策措施若干规定的通知》</w:t>
      </w:r>
      <w:r>
        <w:rPr>
          <w:rFonts w:ascii="Arial" w:hAnsi="Arial" w:cs="Arial" w:eastAsia="Arial" w:hint="default"/>
          <w:spacing w:val="-2"/>
        </w:rPr>
        <w:t>(</w:t>
      </w:r>
      <w:r>
        <w:rPr>
          <w:spacing w:val="-2"/>
        </w:rPr>
        <w:t>桂政发</w:t>
      </w:r>
      <w:r>
        <w:rPr>
          <w:rFonts w:ascii="Arial" w:hAnsi="Arial" w:cs="Arial" w:eastAsia="Arial" w:hint="default"/>
          <w:spacing w:val="-2"/>
        </w:rPr>
        <w:t>[2001]100</w:t>
      </w:r>
      <w:r>
        <w:rPr>
          <w:spacing w:val="-2"/>
        </w:rPr>
        <w:t>号</w:t>
      </w:r>
      <w:r>
        <w:rPr>
          <w:rFonts w:ascii="Arial" w:hAnsi="Arial" w:cs="Arial" w:eastAsia="Arial" w:hint="default"/>
          <w:spacing w:val="-2"/>
        </w:rPr>
        <w:t>)</w:t>
      </w:r>
      <w:r>
        <w:rPr>
          <w:spacing w:val="-2"/>
        </w:rPr>
        <w:t>第二条第（四）项</w:t>
      </w:r>
      <w:r>
        <w:rPr>
          <w:spacing w:val="-61"/>
        </w:rPr>
        <w:t> </w:t>
      </w:r>
      <w:r>
        <w:rPr>
          <w:spacing w:val="-61"/>
        </w:rPr>
      </w:r>
      <w:r>
        <w:rPr/>
        <w:t>第</w:t>
      </w:r>
      <w:r>
        <w:rPr>
          <w:rFonts w:ascii="Arial" w:hAnsi="Arial" w:cs="Arial" w:eastAsia="Arial" w:hint="default"/>
        </w:rPr>
        <w:t>5</w:t>
      </w:r>
      <w:r>
        <w:rPr/>
        <w:t>目及《自治区国家税务局转发国家税务总局关于印发《税收减免管理办法（试行）的</w:t>
      </w:r>
      <w:r>
        <w:rPr>
          <w:spacing w:val="-31"/>
        </w:rPr>
        <w:t> </w:t>
      </w:r>
      <w:r>
        <w:rPr>
          <w:spacing w:val="-31"/>
        </w:rPr>
      </w:r>
      <w:r>
        <w:rPr/>
        <w:t>通知》</w:t>
      </w:r>
      <w:r>
        <w:rPr>
          <w:rFonts w:ascii="Arial" w:hAnsi="Arial" w:cs="Arial" w:eastAsia="Arial" w:hint="default"/>
        </w:rPr>
        <w:t>(</w:t>
      </w:r>
      <w:r>
        <w:rPr/>
        <w:t>桂国税发</w:t>
      </w:r>
      <w:r>
        <w:rPr>
          <w:rFonts w:ascii="Arial" w:hAnsi="Arial" w:cs="Arial" w:eastAsia="Arial" w:hint="default"/>
        </w:rPr>
        <w:t>[2005]320</w:t>
      </w:r>
      <w:r>
        <w:rPr/>
        <w:t>号</w:t>
      </w:r>
      <w:r>
        <w:rPr>
          <w:rFonts w:ascii="Arial" w:hAnsi="Arial" w:cs="Arial" w:eastAsia="Arial" w:hint="default"/>
        </w:rPr>
        <w:t>)</w:t>
      </w:r>
      <w:r>
        <w:rPr/>
        <w:t>第一条的规定，从</w:t>
      </w:r>
      <w:r>
        <w:rPr>
          <w:rFonts w:ascii="Arial" w:hAnsi="Arial" w:cs="Arial" w:eastAsia="Arial" w:hint="default"/>
        </w:rPr>
        <w:t>2006</w:t>
      </w:r>
      <w:r>
        <w:rPr/>
        <w:t>年起至</w:t>
      </w:r>
      <w:r>
        <w:rPr>
          <w:rFonts w:ascii="Arial" w:hAnsi="Arial" w:cs="Arial" w:eastAsia="Arial" w:hint="default"/>
        </w:rPr>
        <w:t>2010</w:t>
      </w:r>
      <w:r>
        <w:rPr/>
        <w:t>年止免征企业所得税。</w:t>
      </w:r>
    </w:p>
    <w:p>
      <w:pPr>
        <w:spacing w:after="0" w:line="264" w:lineRule="auto"/>
        <w:jc w:val="both"/>
        <w:sectPr>
          <w:pgSz w:w="11910" w:h="16840"/>
          <w:pgMar w:header="958" w:footer="473" w:top="2380" w:bottom="660" w:left="1600" w:right="1560"/>
        </w:sectPr>
      </w:pPr>
    </w:p>
    <w:p>
      <w:pPr>
        <w:spacing w:line="240" w:lineRule="auto" w:before="2"/>
        <w:rPr>
          <w:rFonts w:ascii="黑体" w:hAnsi="黑体" w:cs="黑体" w:eastAsia="黑体" w:hint="default"/>
          <w:sz w:val="20"/>
          <w:szCs w:val="20"/>
        </w:rPr>
      </w:pPr>
    </w:p>
    <w:p>
      <w:pPr>
        <w:spacing w:before="38"/>
        <w:ind w:left="150" w:right="0" w:firstLine="0"/>
        <w:jc w:val="left"/>
        <w:rPr>
          <w:rFonts w:ascii="黑体" w:hAnsi="黑体" w:cs="黑体" w:eastAsia="黑体" w:hint="default"/>
          <w:sz w:val="20"/>
          <w:szCs w:val="20"/>
        </w:rPr>
      </w:pPr>
      <w:r>
        <w:rPr>
          <w:rFonts w:ascii="黑体" w:hAnsi="黑体" w:cs="黑体" w:eastAsia="黑体" w:hint="default"/>
          <w:b/>
          <w:bCs/>
          <w:sz w:val="20"/>
          <w:szCs w:val="20"/>
        </w:rPr>
        <w:t>四、合并财务报表的合并范围</w:t>
      </w:r>
      <w:r>
        <w:rPr>
          <w:rFonts w:ascii="黑体" w:hAnsi="黑体" w:cs="黑体" w:eastAsia="黑体" w:hint="default"/>
          <w:sz w:val="20"/>
          <w:szCs w:val="20"/>
        </w:rPr>
      </w:r>
    </w:p>
    <w:p>
      <w:pPr>
        <w:spacing w:line="240" w:lineRule="auto" w:before="6"/>
        <w:rPr>
          <w:rFonts w:ascii="黑体" w:hAnsi="黑体" w:cs="黑体" w:eastAsia="黑体" w:hint="default"/>
          <w:b/>
          <w:bCs/>
          <w:sz w:val="17"/>
          <w:szCs w:val="17"/>
        </w:rPr>
      </w:pPr>
    </w:p>
    <w:p>
      <w:pPr>
        <w:tabs>
          <w:tab w:pos="596" w:val="left" w:leader="none"/>
        </w:tabs>
        <w:spacing w:before="0"/>
        <w:ind w:left="150" w:right="0" w:firstLine="0"/>
        <w:jc w:val="left"/>
        <w:rPr>
          <w:rFonts w:ascii="黑体" w:hAnsi="黑体" w:cs="黑体" w:eastAsia="黑体" w:hint="default"/>
          <w:sz w:val="20"/>
          <w:szCs w:val="20"/>
        </w:rPr>
      </w:pPr>
      <w:r>
        <w:rPr>
          <w:rFonts w:ascii="Arial" w:hAnsi="Arial" w:cs="Arial" w:eastAsia="Arial" w:hint="default"/>
          <w:b/>
          <w:bCs/>
          <w:spacing w:val="-1"/>
          <w:sz w:val="20"/>
          <w:szCs w:val="20"/>
        </w:rPr>
        <w:t>1.</w:t>
        <w:tab/>
      </w:r>
      <w:r>
        <w:rPr>
          <w:rFonts w:ascii="黑体" w:hAnsi="黑体" w:cs="黑体" w:eastAsia="黑体" w:hint="default"/>
          <w:b/>
          <w:bCs/>
          <w:sz w:val="20"/>
          <w:szCs w:val="20"/>
        </w:rPr>
        <w:t>子公司情况</w:t>
      </w:r>
      <w:r>
        <w:rPr>
          <w:rFonts w:ascii="黑体" w:hAnsi="黑体" w:cs="黑体" w:eastAsia="黑体" w:hint="default"/>
          <w:sz w:val="20"/>
          <w:szCs w:val="20"/>
        </w:rPr>
      </w:r>
    </w:p>
    <w:p>
      <w:pPr>
        <w:spacing w:line="240" w:lineRule="auto" w:before="5"/>
        <w:rPr>
          <w:rFonts w:ascii="黑体" w:hAnsi="黑体" w:cs="黑体" w:eastAsia="黑体" w:hint="default"/>
          <w:b/>
          <w:bCs/>
          <w:sz w:val="13"/>
          <w:szCs w:val="13"/>
        </w:rPr>
      </w:pPr>
    </w:p>
    <w:p>
      <w:pPr>
        <w:spacing w:after="0" w:line="240" w:lineRule="auto"/>
        <w:rPr>
          <w:rFonts w:ascii="黑体" w:hAnsi="黑体" w:cs="黑体" w:eastAsia="黑体" w:hint="default"/>
          <w:sz w:val="13"/>
          <w:szCs w:val="13"/>
        </w:rPr>
        <w:sectPr>
          <w:headerReference w:type="default" r:id="rId48"/>
          <w:footerReference w:type="default" r:id="rId49"/>
          <w:pgSz w:w="16840" w:h="11910" w:orient="landscape"/>
          <w:pgMar w:header="958" w:footer="0" w:top="2380" w:bottom="280" w:left="620" w:right="540"/>
        </w:sectPr>
      </w:pPr>
    </w:p>
    <w:p>
      <w:pPr>
        <w:pStyle w:val="BodyText"/>
        <w:spacing w:line="357" w:lineRule="auto" w:before="38"/>
        <w:ind w:left="146" w:right="-2" w:firstLine="3"/>
        <w:jc w:val="left"/>
      </w:pPr>
      <w:r>
        <w:rPr/>
        <w:t>本集团重要子公司的情况如下：</w:t>
      </w:r>
      <w:r>
        <w:rPr>
          <w:w w:val="100"/>
        </w:rPr>
        <w:t> </w:t>
      </w:r>
      <w:r>
        <w:rPr>
          <w:spacing w:val="-1"/>
        </w:rPr>
        <w:t>通过设立或投资等方式取得的子公司</w:t>
      </w:r>
    </w:p>
    <w:p>
      <w:pPr>
        <w:spacing w:line="240" w:lineRule="auto" w:before="0"/>
        <w:rPr>
          <w:rFonts w:ascii="黑体" w:hAnsi="黑体" w:cs="黑体" w:eastAsia="黑体" w:hint="default"/>
          <w:sz w:val="18"/>
          <w:szCs w:val="18"/>
        </w:rPr>
      </w:pPr>
      <w:r>
        <w:rPr/>
        <w:br w:type="column"/>
      </w:r>
      <w:r>
        <w:rPr>
          <w:rFonts w:ascii="黑体"/>
          <w:sz w:val="18"/>
        </w:rPr>
      </w:r>
    </w:p>
    <w:p>
      <w:pPr>
        <w:spacing w:line="240" w:lineRule="auto" w:before="0"/>
        <w:rPr>
          <w:rFonts w:ascii="黑体" w:hAnsi="黑体" w:cs="黑体" w:eastAsia="黑体" w:hint="default"/>
          <w:sz w:val="18"/>
          <w:szCs w:val="18"/>
        </w:rPr>
      </w:pPr>
    </w:p>
    <w:p>
      <w:pPr>
        <w:spacing w:line="240" w:lineRule="auto" w:before="1"/>
        <w:rPr>
          <w:rFonts w:ascii="黑体" w:hAnsi="黑体" w:cs="黑体" w:eastAsia="黑体" w:hint="default"/>
          <w:sz w:val="21"/>
          <w:szCs w:val="21"/>
        </w:rPr>
      </w:pPr>
    </w:p>
    <w:p>
      <w:pPr>
        <w:tabs>
          <w:tab w:pos="4644" w:val="left" w:leader="none"/>
        </w:tabs>
        <w:spacing w:before="0"/>
        <w:ind w:left="146" w:right="0" w:firstLine="0"/>
        <w:jc w:val="left"/>
        <w:rPr>
          <w:rFonts w:ascii="黑体" w:hAnsi="黑体" w:cs="黑体" w:eastAsia="黑体" w:hint="default"/>
          <w:sz w:val="18"/>
          <w:szCs w:val="18"/>
        </w:rPr>
      </w:pPr>
      <w:r>
        <w:rPr>
          <w:rFonts w:ascii="黑体" w:hAnsi="黑体" w:cs="黑体" w:eastAsia="黑体" w:hint="default"/>
          <w:sz w:val="18"/>
          <w:szCs w:val="18"/>
        </w:rPr>
        <w:t>实质上构成</w:t>
        <w:tab/>
        <w:t>少数股东权益</w:t>
      </w:r>
    </w:p>
    <w:p>
      <w:pPr>
        <w:spacing w:after="0"/>
        <w:jc w:val="left"/>
        <w:rPr>
          <w:rFonts w:ascii="黑体" w:hAnsi="黑体" w:cs="黑体" w:eastAsia="黑体" w:hint="default"/>
          <w:sz w:val="18"/>
          <w:szCs w:val="18"/>
        </w:rPr>
        <w:sectPr>
          <w:type w:val="continuous"/>
          <w:pgSz w:w="16840" w:h="11910" w:orient="landscape"/>
          <w:pgMar w:top="900" w:bottom="280" w:left="620" w:right="540"/>
          <w:cols w:num="2" w:equalWidth="0">
            <w:col w:w="3349" w:space="6496"/>
            <w:col w:w="5835"/>
          </w:cols>
        </w:sectPr>
      </w:pPr>
    </w:p>
    <w:p>
      <w:pPr>
        <w:tabs>
          <w:tab w:pos="1715" w:val="left" w:leader="none"/>
          <w:tab w:pos="2652" w:val="left" w:leader="none"/>
          <w:tab w:pos="3294" w:val="left" w:leader="none"/>
          <w:tab w:pos="3930" w:val="left" w:leader="none"/>
          <w:tab w:pos="5069" w:val="left" w:leader="none"/>
          <w:tab w:pos="6448" w:val="left" w:leader="none"/>
          <w:tab w:pos="8187" w:val="left" w:leader="none"/>
          <w:tab w:pos="8548" w:val="left" w:leader="none"/>
          <w:tab w:pos="9180" w:val="left" w:leader="none"/>
          <w:tab w:pos="9360" w:val="left" w:leader="none"/>
          <w:tab w:pos="11240" w:val="left" w:leader="none"/>
          <w:tab w:pos="11949" w:val="left" w:leader="none"/>
          <w:tab w:pos="12800" w:val="left" w:leader="none"/>
          <w:tab w:pos="13433" w:val="left" w:leader="none"/>
          <w:tab w:pos="13793" w:val="left" w:leader="none"/>
          <w:tab w:pos="14489" w:val="left" w:leader="none"/>
        </w:tabs>
        <w:spacing w:line="300" w:lineRule="auto" w:before="40"/>
        <w:ind w:left="104" w:right="108" w:firstLine="1610"/>
        <w:jc w:val="right"/>
        <w:rPr>
          <w:rFonts w:ascii="黑体" w:hAnsi="黑体" w:cs="黑体" w:eastAsia="黑体" w:hint="default"/>
          <w:sz w:val="18"/>
          <w:szCs w:val="18"/>
        </w:rPr>
      </w:pPr>
      <w:r>
        <w:rPr>
          <w:rFonts w:ascii="黑体" w:hAnsi="黑体" w:cs="黑体" w:eastAsia="黑体" w:hint="default"/>
          <w:sz w:val="18"/>
          <w:szCs w:val="18"/>
        </w:rPr>
        <w:t>子公司</w:t>
        <w:tab/>
        <w:tab/>
        <w:t>法人</w:t>
        <w:tab/>
        <w:tab/>
        <w:tab/>
        <w:tab/>
        <w:t>组织机构</w:t>
        <w:tab/>
        <w:t>年末实际</w:t>
      </w:r>
      <w:r>
        <w:rPr>
          <w:rFonts w:ascii="黑体" w:hAnsi="黑体" w:cs="黑体" w:eastAsia="黑体" w:hint="default"/>
          <w:spacing w:val="1"/>
          <w:sz w:val="18"/>
          <w:szCs w:val="18"/>
        </w:rPr>
        <w:t> </w:t>
      </w:r>
      <w:r>
        <w:rPr>
          <w:rFonts w:ascii="黑体" w:hAnsi="黑体" w:cs="黑体" w:eastAsia="黑体" w:hint="default"/>
          <w:sz w:val="18"/>
          <w:szCs w:val="18"/>
        </w:rPr>
        <w:t>净投资的其</w:t>
        <w:tab/>
        <w:t>持股</w:t>
        <w:tab/>
        <w:t>表决</w:t>
        <w:tab/>
        <w:t>是否</w:t>
        <w:tab/>
        <w:t>少数股东</w:t>
      </w:r>
      <w:r>
        <w:rPr>
          <w:rFonts w:ascii="黑体" w:hAnsi="黑体" w:cs="黑体" w:eastAsia="黑体" w:hint="default"/>
          <w:spacing w:val="66"/>
          <w:sz w:val="18"/>
          <w:szCs w:val="18"/>
        </w:rPr>
        <w:t> </w:t>
      </w:r>
      <w:r>
        <w:rPr>
          <w:rFonts w:ascii="黑体" w:hAnsi="黑体" w:cs="黑体" w:eastAsia="黑体" w:hint="default"/>
          <w:sz w:val="18"/>
          <w:szCs w:val="18"/>
        </w:rPr>
        <w:t>中用于冲减少数</w:t>
      </w:r>
      <w:r>
        <w:rPr>
          <w:rFonts w:ascii="黑体" w:hAnsi="黑体" w:cs="黑体" w:eastAsia="黑体" w:hint="default"/>
          <w:sz w:val="18"/>
          <w:szCs w:val="18"/>
        </w:rPr>
        <w:t> 被投资单位名称</w:t>
        <w:tab/>
        <w:t>类型</w:t>
        <w:tab/>
        <w:t>注册地</w:t>
      </w:r>
      <w:r>
        <w:rPr>
          <w:rFonts w:ascii="黑体" w:hAnsi="黑体" w:cs="黑体" w:eastAsia="黑体" w:hint="default"/>
          <w:spacing w:val="12"/>
          <w:sz w:val="18"/>
          <w:szCs w:val="18"/>
        </w:rPr>
        <w:t> </w:t>
      </w:r>
      <w:r>
        <w:rPr>
          <w:rFonts w:ascii="黑体" w:hAnsi="黑体" w:cs="黑体" w:eastAsia="黑体" w:hint="default"/>
          <w:sz w:val="18"/>
          <w:szCs w:val="18"/>
        </w:rPr>
        <w:t>代表</w:t>
        <w:tab/>
        <w:t>业务性质</w:t>
        <w:tab/>
        <w:t>注册资本</w:t>
        <w:tab/>
        <w:t>经营范围</w:t>
        <w:tab/>
        <w:tab/>
        <w:t>代码</w:t>
        <w:tab/>
        <w:tab/>
        <w:t>出资额</w:t>
      </w:r>
      <w:r>
        <w:rPr>
          <w:rFonts w:ascii="黑体" w:hAnsi="黑体" w:cs="黑体" w:eastAsia="黑体" w:hint="default"/>
          <w:spacing w:val="1"/>
          <w:sz w:val="18"/>
          <w:szCs w:val="18"/>
        </w:rPr>
        <w:t> </w:t>
      </w:r>
      <w:r>
        <w:rPr>
          <w:rFonts w:ascii="黑体" w:hAnsi="黑体" w:cs="黑体" w:eastAsia="黑体" w:hint="default"/>
          <w:sz w:val="18"/>
          <w:szCs w:val="18"/>
        </w:rPr>
        <w:t>他项目余额</w:t>
        <w:tab/>
        <w:t>比例  权比例</w:t>
      </w:r>
      <w:r>
        <w:rPr>
          <w:rFonts w:ascii="黑体" w:hAnsi="黑体" w:cs="黑体" w:eastAsia="黑体" w:hint="default"/>
          <w:spacing w:val="29"/>
          <w:sz w:val="18"/>
          <w:szCs w:val="18"/>
        </w:rPr>
        <w:t> </w:t>
      </w:r>
      <w:r>
        <w:rPr>
          <w:rFonts w:ascii="黑体" w:hAnsi="黑体" w:cs="黑体" w:eastAsia="黑体" w:hint="default"/>
          <w:sz w:val="18"/>
          <w:szCs w:val="18"/>
        </w:rPr>
        <w:t>合并报表</w:t>
        <w:tab/>
        <w:tab/>
        <w:t>权益</w:t>
        <w:tab/>
        <w:t>股东损益金额</w:t>
      </w:r>
    </w:p>
    <w:p>
      <w:pPr>
        <w:tabs>
          <w:tab w:pos="708" w:val="left" w:leader="none"/>
          <w:tab w:pos="3848" w:val="left" w:leader="none"/>
        </w:tabs>
        <w:spacing w:line="245" w:lineRule="exact" w:before="0"/>
        <w:ind w:left="0" w:right="108" w:firstLine="0"/>
        <w:jc w:val="right"/>
        <w:rPr>
          <w:rFonts w:ascii="Arial" w:hAnsi="Arial" w:cs="Arial" w:eastAsia="Arial" w:hint="default"/>
          <w:sz w:val="18"/>
          <w:szCs w:val="18"/>
        </w:rPr>
      </w:pPr>
      <w:r>
        <w:rPr>
          <w:rFonts w:ascii="Arial" w:hAnsi="Arial" w:cs="Arial" w:eastAsia="Arial" w:hint="default"/>
          <w:spacing w:val="-1"/>
          <w:sz w:val="18"/>
          <w:szCs w:val="18"/>
        </w:rPr>
        <w:t>(%)</w:t>
        <w:tab/>
        <w:t>(%)</w:t>
        <w:tab/>
        <w:t>(</w:t>
      </w:r>
      <w:r>
        <w:rPr>
          <w:rFonts w:ascii="黑体" w:hAnsi="黑体" w:cs="黑体" w:eastAsia="黑体" w:hint="default"/>
          <w:spacing w:val="-1"/>
          <w:sz w:val="18"/>
          <w:szCs w:val="18"/>
        </w:rPr>
        <w:t>注</w:t>
      </w:r>
      <w:r>
        <w:rPr>
          <w:rFonts w:ascii="Arial" w:hAnsi="Arial" w:cs="Arial" w:eastAsia="Arial" w:hint="default"/>
          <w:spacing w:val="-1"/>
          <w:sz w:val="18"/>
          <w:szCs w:val="18"/>
        </w:rPr>
        <w:t>8)</w:t>
      </w:r>
      <w:r>
        <w:rPr>
          <w:rFonts w:ascii="Arial" w:hAnsi="Arial" w:cs="Arial" w:eastAsia="Arial" w:hint="default"/>
          <w:sz w:val="18"/>
          <w:szCs w:val="18"/>
        </w:rPr>
      </w:r>
    </w:p>
    <w:p>
      <w:pPr>
        <w:spacing w:line="240" w:lineRule="auto" w:before="4"/>
        <w:rPr>
          <w:rFonts w:ascii="Arial" w:hAnsi="Arial" w:cs="Arial" w:eastAsia="Arial" w:hint="default"/>
          <w:sz w:val="20"/>
          <w:szCs w:val="20"/>
        </w:rPr>
      </w:pPr>
    </w:p>
    <w:p>
      <w:pPr>
        <w:spacing w:after="0" w:line="240" w:lineRule="auto"/>
        <w:rPr>
          <w:rFonts w:ascii="Arial" w:hAnsi="Arial" w:cs="Arial" w:eastAsia="Arial" w:hint="default"/>
          <w:sz w:val="20"/>
          <w:szCs w:val="20"/>
        </w:rPr>
        <w:sectPr>
          <w:type w:val="continuous"/>
          <w:pgSz w:w="16840" w:h="11910" w:orient="landscape"/>
          <w:pgMar w:top="900" w:bottom="280" w:left="620" w:right="540"/>
        </w:sectPr>
      </w:pPr>
    </w:p>
    <w:p>
      <w:pPr>
        <w:spacing w:line="232" w:lineRule="auto" w:before="51"/>
        <w:ind w:left="285" w:right="-20" w:hanging="180"/>
        <w:jc w:val="left"/>
        <w:rPr>
          <w:rFonts w:ascii="Arial" w:hAnsi="Arial" w:cs="Arial" w:eastAsia="Arial" w:hint="default"/>
          <w:sz w:val="18"/>
          <w:szCs w:val="18"/>
        </w:rPr>
      </w:pPr>
      <w:r>
        <w:rPr>
          <w:rFonts w:ascii="黑体" w:hAnsi="黑体" w:cs="黑体" w:eastAsia="黑体" w:hint="default"/>
          <w:sz w:val="18"/>
          <w:szCs w:val="18"/>
        </w:rPr>
        <w:t>重庆用友软件有限 公司</w:t>
      </w:r>
      <w:r>
        <w:rPr>
          <w:rFonts w:ascii="Arial" w:hAnsi="Arial" w:cs="Arial" w:eastAsia="Arial" w:hint="default"/>
          <w:sz w:val="18"/>
          <w:szCs w:val="18"/>
        </w:rPr>
        <w:t>(</w:t>
      </w:r>
      <w:r>
        <w:rPr>
          <w:rFonts w:ascii="黑体" w:hAnsi="黑体" w:cs="黑体" w:eastAsia="黑体" w:hint="default"/>
          <w:sz w:val="18"/>
          <w:szCs w:val="18"/>
        </w:rPr>
        <w:t>以下简称 </w:t>
      </w:r>
      <w:r>
        <w:rPr>
          <w:rFonts w:ascii="Arial" w:hAnsi="Arial" w:cs="Arial" w:eastAsia="Arial" w:hint="default"/>
          <w:sz w:val="18"/>
          <w:szCs w:val="18"/>
        </w:rPr>
        <w:t>“</w:t>
      </w:r>
      <w:r>
        <w:rPr>
          <w:rFonts w:ascii="黑体" w:hAnsi="黑体" w:cs="黑体" w:eastAsia="黑体" w:hint="default"/>
          <w:sz w:val="18"/>
          <w:szCs w:val="18"/>
        </w:rPr>
        <w:t>重庆用友</w:t>
      </w:r>
      <w:r>
        <w:rPr>
          <w:rFonts w:ascii="Arial" w:hAnsi="Arial" w:cs="Arial" w:eastAsia="Arial" w:hint="default"/>
          <w:sz w:val="18"/>
          <w:szCs w:val="18"/>
        </w:rPr>
        <w:t>”)</w:t>
      </w:r>
    </w:p>
    <w:p>
      <w:pPr>
        <w:spacing w:line="232" w:lineRule="exact" w:before="69"/>
        <w:ind w:left="105" w:right="-20" w:firstLine="0"/>
        <w:jc w:val="left"/>
        <w:rPr>
          <w:rFonts w:ascii="黑体" w:hAnsi="黑体" w:cs="黑体" w:eastAsia="黑体" w:hint="default"/>
          <w:sz w:val="18"/>
          <w:szCs w:val="18"/>
        </w:rPr>
      </w:pPr>
      <w:r>
        <w:rPr/>
        <w:br w:type="column"/>
      </w:r>
      <w:r>
        <w:rPr>
          <w:rFonts w:ascii="黑体" w:hAnsi="黑体" w:cs="黑体" w:eastAsia="黑体" w:hint="default"/>
          <w:sz w:val="18"/>
          <w:szCs w:val="18"/>
        </w:rPr>
        <w:t>有限责任 公司</w:t>
      </w:r>
    </w:p>
    <w:p>
      <w:pPr>
        <w:spacing w:line="234" w:lineRule="exact" w:before="44"/>
        <w:ind w:left="105" w:right="-19" w:firstLine="0"/>
        <w:jc w:val="left"/>
        <w:rPr>
          <w:rFonts w:ascii="黑体" w:hAnsi="黑体" w:cs="黑体" w:eastAsia="黑体" w:hint="default"/>
          <w:sz w:val="18"/>
          <w:szCs w:val="18"/>
        </w:rPr>
      </w:pPr>
      <w:r>
        <w:rPr/>
        <w:br w:type="column"/>
      </w:r>
      <w:r>
        <w:rPr>
          <w:rFonts w:ascii="黑体" w:hAnsi="黑体" w:cs="黑体" w:eastAsia="黑体" w:hint="default"/>
          <w:sz w:val="18"/>
          <w:szCs w:val="18"/>
        </w:rPr>
        <w:t>重庆市 王文京</w:t>
      </w:r>
      <w:r>
        <w:rPr>
          <w:rFonts w:ascii="黑体" w:hAnsi="黑体" w:cs="黑体" w:eastAsia="黑体" w:hint="default"/>
          <w:spacing w:val="17"/>
          <w:sz w:val="18"/>
          <w:szCs w:val="18"/>
        </w:rPr>
        <w:t> </w:t>
      </w:r>
      <w:r>
        <w:rPr>
          <w:rFonts w:ascii="黑体" w:hAnsi="黑体" w:cs="黑体" w:eastAsia="黑体" w:hint="default"/>
          <w:sz w:val="18"/>
          <w:szCs w:val="18"/>
        </w:rPr>
        <w:t>计算机软、</w:t>
      </w:r>
    </w:p>
    <w:p>
      <w:pPr>
        <w:spacing w:line="234" w:lineRule="exact" w:before="0"/>
        <w:ind w:left="1383" w:right="-19" w:firstLine="0"/>
        <w:jc w:val="left"/>
        <w:rPr>
          <w:rFonts w:ascii="黑体" w:hAnsi="黑体" w:cs="黑体" w:eastAsia="黑体" w:hint="default"/>
          <w:sz w:val="18"/>
          <w:szCs w:val="18"/>
        </w:rPr>
      </w:pPr>
      <w:r>
        <w:rPr>
          <w:rFonts w:ascii="黑体" w:hAnsi="黑体" w:cs="黑体" w:eastAsia="黑体" w:hint="default"/>
          <w:sz w:val="18"/>
          <w:szCs w:val="18"/>
        </w:rPr>
        <w:t>硬件行业</w:t>
      </w:r>
    </w:p>
    <w:p>
      <w:pPr>
        <w:spacing w:line="237" w:lineRule="auto" w:before="46"/>
        <w:ind w:left="809" w:right="0" w:hanging="705"/>
        <w:jc w:val="both"/>
        <w:rPr>
          <w:rFonts w:ascii="黑体" w:hAnsi="黑体" w:cs="黑体" w:eastAsia="黑体" w:hint="default"/>
          <w:sz w:val="18"/>
          <w:szCs w:val="18"/>
        </w:rPr>
      </w:pPr>
      <w:r>
        <w:rPr/>
        <w:br w:type="column"/>
      </w:r>
      <w:r>
        <w:rPr>
          <w:rFonts w:ascii="Arial" w:hAnsi="Arial" w:cs="Arial" w:eastAsia="Arial" w:hint="default"/>
          <w:position w:val="1"/>
          <w:sz w:val="18"/>
          <w:szCs w:val="18"/>
        </w:rPr>
        <w:t>800,000</w:t>
      </w:r>
      <w:r>
        <w:rPr>
          <w:rFonts w:ascii="Arial" w:hAnsi="Arial" w:cs="Arial" w:eastAsia="Arial" w:hint="default"/>
          <w:spacing w:val="1"/>
          <w:position w:val="1"/>
          <w:sz w:val="18"/>
          <w:szCs w:val="18"/>
        </w:rPr>
        <w:t> </w:t>
      </w:r>
      <w:r>
        <w:rPr>
          <w:rFonts w:ascii="黑体" w:hAnsi="黑体" w:cs="黑体" w:eastAsia="黑体" w:hint="default"/>
          <w:spacing w:val="-5"/>
          <w:sz w:val="18"/>
          <w:szCs w:val="18"/>
        </w:rPr>
        <w:t>计算机软、硬件及外围设</w:t>
      </w:r>
      <w:r>
        <w:rPr>
          <w:rFonts w:ascii="黑体" w:hAnsi="黑体" w:cs="黑体" w:eastAsia="黑体" w:hint="default"/>
          <w:sz w:val="18"/>
          <w:szCs w:val="18"/>
        </w:rPr>
        <w:t> </w:t>
      </w:r>
      <w:r>
        <w:rPr>
          <w:rFonts w:ascii="黑体" w:hAnsi="黑体" w:cs="黑体" w:eastAsia="黑体" w:hint="default"/>
          <w:spacing w:val="-5"/>
          <w:sz w:val="18"/>
          <w:szCs w:val="18"/>
        </w:rPr>
        <w:t>备的开发、销售和技术服</w:t>
      </w:r>
      <w:r>
        <w:rPr>
          <w:rFonts w:ascii="黑体" w:hAnsi="黑体" w:cs="黑体" w:eastAsia="黑体" w:hint="default"/>
          <w:sz w:val="18"/>
          <w:szCs w:val="18"/>
        </w:rPr>
        <w:t> </w:t>
      </w:r>
      <w:r>
        <w:rPr>
          <w:rFonts w:ascii="黑体" w:hAnsi="黑体" w:cs="黑体" w:eastAsia="黑体" w:hint="default"/>
          <w:spacing w:val="14"/>
          <w:sz w:val="18"/>
          <w:szCs w:val="18"/>
        </w:rPr>
        <w:t>务；财会电算化管理服</w:t>
      </w:r>
      <w:r>
        <w:rPr>
          <w:rFonts w:ascii="黑体" w:hAnsi="黑体" w:cs="黑体" w:eastAsia="黑体" w:hint="default"/>
          <w:spacing w:val="14"/>
          <w:sz w:val="18"/>
          <w:szCs w:val="18"/>
        </w:rPr>
        <w:t> </w:t>
      </w:r>
      <w:r>
        <w:rPr>
          <w:rFonts w:ascii="黑体" w:hAnsi="黑体" w:cs="黑体" w:eastAsia="黑体" w:hint="default"/>
          <w:spacing w:val="-5"/>
          <w:sz w:val="18"/>
          <w:szCs w:val="18"/>
        </w:rPr>
        <w:t>务。（法律、法规禁止经</w:t>
      </w:r>
      <w:r>
        <w:rPr>
          <w:rFonts w:ascii="黑体" w:hAnsi="黑体" w:cs="黑体" w:eastAsia="黑体" w:hint="default"/>
          <w:sz w:val="18"/>
          <w:szCs w:val="18"/>
        </w:rPr>
        <w:t> </w:t>
      </w:r>
      <w:r>
        <w:rPr>
          <w:rFonts w:ascii="黑体" w:hAnsi="黑体" w:cs="黑体" w:eastAsia="黑体" w:hint="default"/>
          <w:spacing w:val="-5"/>
          <w:sz w:val="18"/>
          <w:szCs w:val="18"/>
        </w:rPr>
        <w:t>营的不得经营，法律法规</w:t>
      </w:r>
      <w:r>
        <w:rPr>
          <w:rFonts w:ascii="黑体" w:hAnsi="黑体" w:cs="黑体" w:eastAsia="黑体" w:hint="default"/>
          <w:sz w:val="18"/>
          <w:szCs w:val="18"/>
        </w:rPr>
        <w:t> </w:t>
      </w:r>
      <w:r>
        <w:rPr>
          <w:rFonts w:ascii="黑体" w:hAnsi="黑体" w:cs="黑体" w:eastAsia="黑体" w:hint="default"/>
          <w:spacing w:val="-5"/>
          <w:sz w:val="18"/>
          <w:szCs w:val="18"/>
        </w:rPr>
        <w:t>规定需审批或许可的，取</w:t>
      </w:r>
      <w:r>
        <w:rPr>
          <w:rFonts w:ascii="黑体" w:hAnsi="黑体" w:cs="黑体" w:eastAsia="黑体" w:hint="default"/>
          <w:sz w:val="18"/>
          <w:szCs w:val="18"/>
        </w:rPr>
        <w:t> </w:t>
      </w:r>
      <w:r>
        <w:rPr>
          <w:rFonts w:ascii="黑体" w:hAnsi="黑体" w:cs="黑体" w:eastAsia="黑体" w:hint="default"/>
          <w:spacing w:val="-5"/>
          <w:sz w:val="18"/>
          <w:szCs w:val="18"/>
        </w:rPr>
        <w:t>得审批或许可后，方可经</w:t>
      </w:r>
      <w:r>
        <w:rPr>
          <w:rFonts w:ascii="黑体" w:hAnsi="黑体" w:cs="黑体" w:eastAsia="黑体" w:hint="default"/>
          <w:sz w:val="18"/>
          <w:szCs w:val="18"/>
        </w:rPr>
        <w:t> 营）</w:t>
      </w:r>
    </w:p>
    <w:p>
      <w:pPr>
        <w:tabs>
          <w:tab w:pos="1408" w:val="left" w:leader="none"/>
          <w:tab w:pos="2987" w:val="left" w:leader="none"/>
          <w:tab w:pos="3458" w:val="left" w:leader="none"/>
          <w:tab w:pos="4167" w:val="left" w:leader="none"/>
          <w:tab w:pos="5137" w:val="left" w:leader="none"/>
          <w:tab w:pos="6250" w:val="left" w:leader="none"/>
          <w:tab w:pos="7666" w:val="left" w:leader="none"/>
        </w:tabs>
        <w:spacing w:before="44"/>
        <w:ind w:left="105"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20287786-3</w:t>
        <w:tab/>
        <w:t>820,000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20" w:right="540"/>
          <w:cols w:num="5" w:equalWidth="0">
            <w:col w:w="1546" w:space="65"/>
            <w:col w:w="826" w:space="112"/>
            <w:col w:w="2284" w:space="204"/>
            <w:col w:w="2754" w:space="54"/>
            <w:col w:w="7835"/>
          </w:cols>
        </w:sectPr>
      </w:pPr>
    </w:p>
    <w:p>
      <w:pPr>
        <w:spacing w:line="240" w:lineRule="auto" w:before="6"/>
        <w:rPr>
          <w:rFonts w:ascii="Arial" w:hAnsi="Arial" w:cs="Arial" w:eastAsia="Arial" w:hint="default"/>
          <w:sz w:val="21"/>
          <w:szCs w:val="21"/>
        </w:rPr>
      </w:pPr>
    </w:p>
    <w:p>
      <w:pPr>
        <w:spacing w:after="0" w:line="240" w:lineRule="auto"/>
        <w:rPr>
          <w:rFonts w:ascii="Arial" w:hAnsi="Arial" w:cs="Arial" w:eastAsia="Arial" w:hint="default"/>
          <w:sz w:val="21"/>
          <w:szCs w:val="21"/>
        </w:rPr>
        <w:sectPr>
          <w:type w:val="continuous"/>
          <w:pgSz w:w="16840" w:h="11910" w:orient="landscape"/>
          <w:pgMar w:top="900" w:bottom="280" w:left="620" w:right="540"/>
        </w:sectPr>
      </w:pPr>
    </w:p>
    <w:p>
      <w:pPr>
        <w:spacing w:before="45"/>
        <w:ind w:left="119" w:right="-14" w:firstLine="0"/>
        <w:jc w:val="left"/>
        <w:rPr>
          <w:rFonts w:ascii="黑体" w:hAnsi="黑体" w:cs="黑体" w:eastAsia="黑体" w:hint="default"/>
          <w:sz w:val="18"/>
          <w:szCs w:val="18"/>
        </w:rPr>
      </w:pPr>
      <w:r>
        <w:rPr>
          <w:rFonts w:ascii="黑体" w:hAnsi="黑体" w:cs="黑体" w:eastAsia="黑体" w:hint="default"/>
          <w:spacing w:val="14"/>
          <w:sz w:val="18"/>
          <w:szCs w:val="18"/>
        </w:rPr>
        <w:t>深圳巿灏麓梵科技</w:t>
      </w:r>
      <w:r>
        <w:rPr>
          <w:rFonts w:ascii="黑体" w:hAnsi="黑体" w:cs="黑体" w:eastAsia="黑体" w:hint="default"/>
          <w:spacing w:val="-53"/>
          <w:sz w:val="18"/>
          <w:szCs w:val="18"/>
        </w:rPr>
        <w:t> </w:t>
      </w:r>
      <w:r>
        <w:rPr>
          <w:rFonts w:ascii="黑体" w:hAnsi="黑体" w:cs="黑体" w:eastAsia="黑体" w:hint="default"/>
          <w:sz w:val="18"/>
          <w:szCs w:val="18"/>
        </w:rPr>
        <w:t>有限责任</w:t>
      </w:r>
    </w:p>
    <w:p>
      <w:pPr>
        <w:spacing w:before="45"/>
        <w:ind w:left="119" w:right="-19" w:firstLine="0"/>
        <w:jc w:val="left"/>
        <w:rPr>
          <w:rFonts w:ascii="黑体" w:hAnsi="黑体" w:cs="黑体" w:eastAsia="黑体" w:hint="default"/>
          <w:sz w:val="18"/>
          <w:szCs w:val="18"/>
        </w:rPr>
      </w:pPr>
      <w:r>
        <w:rPr/>
        <w:br w:type="column"/>
      </w:r>
      <w:r>
        <w:rPr>
          <w:rFonts w:ascii="黑体" w:hAnsi="黑体" w:cs="黑体" w:eastAsia="黑体" w:hint="default"/>
          <w:sz w:val="18"/>
          <w:szCs w:val="18"/>
        </w:rPr>
        <w:t>深圳市 贾文新</w:t>
      </w:r>
      <w:r>
        <w:rPr>
          <w:rFonts w:ascii="黑体" w:hAnsi="黑体" w:cs="黑体" w:eastAsia="黑体" w:hint="default"/>
          <w:spacing w:val="17"/>
          <w:sz w:val="18"/>
          <w:szCs w:val="18"/>
        </w:rPr>
        <w:t> </w:t>
      </w:r>
      <w:r>
        <w:rPr>
          <w:rFonts w:ascii="黑体" w:hAnsi="黑体" w:cs="黑体" w:eastAsia="黑体" w:hint="default"/>
          <w:sz w:val="18"/>
          <w:szCs w:val="18"/>
        </w:rPr>
        <w:t>计算机软件</w:t>
      </w:r>
    </w:p>
    <w:p>
      <w:pPr>
        <w:spacing w:before="45"/>
        <w:ind w:left="119" w:right="0" w:firstLine="0"/>
        <w:jc w:val="left"/>
        <w:rPr>
          <w:rFonts w:ascii="黑体" w:hAnsi="黑体" w:cs="黑体" w:eastAsia="黑体" w:hint="default"/>
          <w:sz w:val="18"/>
          <w:szCs w:val="18"/>
        </w:rPr>
      </w:pPr>
      <w:r>
        <w:rPr/>
        <w:br w:type="column"/>
      </w:r>
      <w:r>
        <w:rPr>
          <w:rFonts w:ascii="Arial" w:hAnsi="Arial" w:cs="Arial" w:eastAsia="Arial" w:hint="default"/>
          <w:position w:val="1"/>
          <w:sz w:val="18"/>
          <w:szCs w:val="18"/>
        </w:rPr>
        <w:t>1,000,000</w:t>
      </w:r>
      <w:r>
        <w:rPr>
          <w:rFonts w:ascii="Arial" w:hAnsi="Arial" w:cs="Arial" w:eastAsia="Arial" w:hint="default"/>
          <w:spacing w:val="2"/>
          <w:position w:val="1"/>
          <w:sz w:val="18"/>
          <w:szCs w:val="18"/>
        </w:rPr>
        <w:t> </w:t>
      </w:r>
      <w:r>
        <w:rPr>
          <w:rFonts w:ascii="黑体" w:hAnsi="黑体" w:cs="黑体" w:eastAsia="黑体" w:hint="default"/>
          <w:spacing w:val="15"/>
          <w:sz w:val="18"/>
          <w:szCs w:val="18"/>
        </w:rPr>
        <w:t>电脑软件的技术开发及</w:t>
      </w:r>
      <w:r>
        <w:rPr>
          <w:rFonts w:ascii="黑体" w:hAnsi="黑体" w:cs="黑体" w:eastAsia="黑体" w:hint="default"/>
          <w:spacing w:val="-72"/>
          <w:sz w:val="18"/>
          <w:szCs w:val="18"/>
        </w:rPr>
        <w:t> </w:t>
      </w:r>
      <w:r>
        <w:rPr>
          <w:rFonts w:ascii="黑体" w:hAnsi="黑体" w:cs="黑体" w:eastAsia="黑体" w:hint="default"/>
          <w:sz w:val="18"/>
          <w:szCs w:val="18"/>
        </w:rPr>
      </w:r>
    </w:p>
    <w:p>
      <w:pPr>
        <w:tabs>
          <w:tab w:pos="1390" w:val="left" w:leader="none"/>
          <w:tab w:pos="2969" w:val="left" w:leader="none"/>
          <w:tab w:pos="3440" w:val="left" w:leader="none"/>
          <w:tab w:pos="4149" w:val="left" w:leader="none"/>
          <w:tab w:pos="5120" w:val="left" w:leader="none"/>
          <w:tab w:pos="6232" w:val="left" w:leader="none"/>
          <w:tab w:pos="7648" w:val="left" w:leader="none"/>
        </w:tabs>
        <w:spacing w:before="45"/>
        <w:ind w:left="87"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27931552-7</w:t>
        <w:tab/>
        <w:t>900,000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20" w:right="540"/>
          <w:cols w:num="4" w:equalWidth="0">
            <w:col w:w="2435" w:space="97"/>
            <w:col w:w="2298" w:space="40"/>
            <w:col w:w="2951" w:space="40"/>
            <w:col w:w="7819"/>
          </w:cols>
        </w:sectPr>
      </w:pPr>
    </w:p>
    <w:p>
      <w:pPr>
        <w:tabs>
          <w:tab w:pos="1714" w:val="left" w:leader="none"/>
        </w:tabs>
        <w:spacing w:line="232" w:lineRule="auto" w:before="2"/>
        <w:ind w:left="285" w:right="0" w:firstLine="2"/>
        <w:jc w:val="left"/>
        <w:rPr>
          <w:rFonts w:ascii="Arial" w:hAnsi="Arial" w:cs="Arial" w:eastAsia="Arial" w:hint="default"/>
          <w:sz w:val="18"/>
          <w:szCs w:val="18"/>
        </w:rPr>
      </w:pPr>
      <w:r>
        <w:rPr>
          <w:rFonts w:ascii="黑体" w:hAnsi="黑体" w:cs="黑体" w:eastAsia="黑体" w:hint="default"/>
          <w:sz w:val="18"/>
          <w:szCs w:val="18"/>
        </w:rPr>
        <w:t>有限公司</w:t>
        <w:tab/>
        <w:t>公司 </w:t>
      </w:r>
      <w:r>
        <w:rPr>
          <w:rFonts w:ascii="Arial" w:hAnsi="Arial" w:cs="Arial" w:eastAsia="Arial" w:hint="default"/>
          <w:sz w:val="18"/>
          <w:szCs w:val="18"/>
        </w:rPr>
        <w:t>(</w:t>
      </w:r>
      <w:r>
        <w:rPr>
          <w:rFonts w:ascii="黑体" w:hAnsi="黑体" w:cs="黑体" w:eastAsia="黑体" w:hint="default"/>
          <w:sz w:val="18"/>
          <w:szCs w:val="18"/>
        </w:rPr>
        <w:t>以下简称</w:t>
      </w:r>
      <w:r>
        <w:rPr>
          <w:rFonts w:ascii="Arial" w:hAnsi="Arial" w:cs="Arial" w:eastAsia="Arial" w:hint="default"/>
          <w:sz w:val="18"/>
          <w:szCs w:val="18"/>
        </w:rPr>
        <w:t>“</w:t>
      </w:r>
      <w:r>
        <w:rPr>
          <w:rFonts w:ascii="黑体" w:hAnsi="黑体" w:cs="黑体" w:eastAsia="黑体" w:hint="default"/>
          <w:sz w:val="18"/>
          <w:szCs w:val="18"/>
        </w:rPr>
        <w:t>深圳 灏麓梵</w:t>
      </w:r>
      <w:r>
        <w:rPr>
          <w:rFonts w:ascii="Arial" w:hAnsi="Arial" w:cs="Arial" w:eastAsia="Arial" w:hint="default"/>
          <w:sz w:val="18"/>
          <w:szCs w:val="18"/>
        </w:rPr>
        <w:t>”)(</w:t>
      </w:r>
      <w:r>
        <w:rPr>
          <w:rFonts w:ascii="黑体" w:hAnsi="黑体" w:cs="黑体" w:eastAsia="黑体" w:hint="default"/>
          <w:sz w:val="18"/>
          <w:szCs w:val="18"/>
        </w:rPr>
        <w:t>注</w:t>
      </w:r>
      <w:r>
        <w:rPr>
          <w:rFonts w:ascii="Arial" w:hAnsi="Arial" w:cs="Arial" w:eastAsia="Arial" w:hint="default"/>
          <w:sz w:val="18"/>
          <w:szCs w:val="18"/>
        </w:rPr>
        <w:t>5)</w:t>
      </w:r>
    </w:p>
    <w:p>
      <w:pPr>
        <w:tabs>
          <w:tab w:pos="2199" w:val="left" w:leader="none"/>
        </w:tabs>
        <w:spacing w:line="231" w:lineRule="exact" w:before="0"/>
        <w:ind w:left="285" w:right="0" w:firstLine="0"/>
        <w:jc w:val="left"/>
        <w:rPr>
          <w:rFonts w:ascii="黑体" w:hAnsi="黑体" w:cs="黑体" w:eastAsia="黑体" w:hint="default"/>
          <w:sz w:val="18"/>
          <w:szCs w:val="18"/>
        </w:rPr>
      </w:pPr>
      <w:r>
        <w:rPr/>
        <w:br w:type="column"/>
      </w:r>
      <w:r>
        <w:rPr>
          <w:rFonts w:ascii="黑体" w:hAnsi="黑体" w:cs="黑体" w:eastAsia="黑体" w:hint="default"/>
          <w:sz w:val="18"/>
          <w:szCs w:val="18"/>
        </w:rPr>
        <w:t>行业</w:t>
        <w:tab/>
        <w:t>销售</w:t>
      </w:r>
    </w:p>
    <w:p>
      <w:pPr>
        <w:spacing w:after="0" w:line="231" w:lineRule="exact"/>
        <w:jc w:val="left"/>
        <w:rPr>
          <w:rFonts w:ascii="黑体" w:hAnsi="黑体" w:cs="黑体" w:eastAsia="黑体" w:hint="default"/>
          <w:sz w:val="18"/>
          <w:szCs w:val="18"/>
        </w:rPr>
        <w:sectPr>
          <w:type w:val="continuous"/>
          <w:pgSz w:w="16840" w:h="11910" w:orient="landscape"/>
          <w:pgMar w:top="900" w:bottom="280" w:left="620" w:right="540"/>
          <w:cols w:num="2" w:equalWidth="0">
            <w:col w:w="2075" w:space="1570"/>
            <w:col w:w="12035"/>
          </w:cols>
        </w:sectPr>
      </w:pPr>
    </w:p>
    <w:p>
      <w:pPr>
        <w:spacing w:line="240" w:lineRule="auto" w:before="6"/>
        <w:rPr>
          <w:rFonts w:ascii="黑体" w:hAnsi="黑体" w:cs="黑体" w:eastAsia="黑体" w:hint="default"/>
          <w:sz w:val="22"/>
          <w:szCs w:val="22"/>
        </w:rPr>
      </w:pPr>
    </w:p>
    <w:p>
      <w:pPr>
        <w:spacing w:after="0" w:line="240" w:lineRule="auto"/>
        <w:rPr>
          <w:rFonts w:ascii="黑体" w:hAnsi="黑体" w:cs="黑体" w:eastAsia="黑体" w:hint="default"/>
          <w:sz w:val="22"/>
          <w:szCs w:val="22"/>
        </w:rPr>
        <w:sectPr>
          <w:type w:val="continuous"/>
          <w:pgSz w:w="16840" w:h="11910" w:orient="landscape"/>
          <w:pgMar w:top="900" w:bottom="280" w:left="620" w:right="540"/>
        </w:sectPr>
      </w:pPr>
    </w:p>
    <w:p>
      <w:pPr>
        <w:spacing w:before="44"/>
        <w:ind w:left="104" w:right="-20" w:firstLine="0"/>
        <w:jc w:val="left"/>
        <w:rPr>
          <w:rFonts w:ascii="黑体" w:hAnsi="黑体" w:cs="黑体" w:eastAsia="黑体" w:hint="default"/>
          <w:sz w:val="18"/>
          <w:szCs w:val="18"/>
        </w:rPr>
      </w:pPr>
      <w:r>
        <w:rPr>
          <w:rFonts w:ascii="黑体" w:hAnsi="黑体" w:cs="黑体" w:eastAsia="黑体" w:hint="default"/>
          <w:sz w:val="18"/>
          <w:szCs w:val="18"/>
        </w:rPr>
        <w:t>武汉用友软件有限</w:t>
      </w:r>
    </w:p>
    <w:p>
      <w:pPr>
        <w:spacing w:before="44"/>
        <w:ind w:left="104" w:right="-20" w:firstLine="0"/>
        <w:jc w:val="left"/>
        <w:rPr>
          <w:rFonts w:ascii="黑体" w:hAnsi="黑体" w:cs="黑体" w:eastAsia="黑体" w:hint="default"/>
          <w:sz w:val="18"/>
          <w:szCs w:val="18"/>
        </w:rPr>
      </w:pPr>
      <w:r>
        <w:rPr/>
        <w:br w:type="column"/>
      </w:r>
      <w:r>
        <w:rPr>
          <w:rFonts w:ascii="黑体" w:hAnsi="黑体" w:cs="黑体" w:eastAsia="黑体" w:hint="default"/>
          <w:sz w:val="18"/>
          <w:szCs w:val="18"/>
        </w:rPr>
        <w:t>有限责任</w:t>
      </w:r>
    </w:p>
    <w:p>
      <w:pPr>
        <w:spacing w:before="44"/>
        <w:ind w:left="104" w:right="-19" w:firstLine="0"/>
        <w:jc w:val="left"/>
        <w:rPr>
          <w:rFonts w:ascii="Arial" w:hAnsi="Arial" w:cs="Arial" w:eastAsia="Arial" w:hint="default"/>
          <w:sz w:val="18"/>
          <w:szCs w:val="18"/>
        </w:rPr>
      </w:pPr>
      <w:r>
        <w:rPr/>
        <w:br w:type="column"/>
      </w:r>
      <w:r>
        <w:rPr>
          <w:rFonts w:ascii="黑体" w:hAnsi="黑体" w:cs="黑体" w:eastAsia="黑体" w:hint="default"/>
          <w:sz w:val="18"/>
          <w:szCs w:val="18"/>
        </w:rPr>
        <w:t>武汉市 王文京</w:t>
      </w:r>
      <w:r>
        <w:rPr>
          <w:rFonts w:ascii="黑体" w:hAnsi="黑体" w:cs="黑体" w:eastAsia="黑体" w:hint="default"/>
          <w:spacing w:val="17"/>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spacing w:before="44"/>
        <w:ind w:left="104" w:right="-13" w:firstLine="0"/>
        <w:jc w:val="left"/>
        <w:rPr>
          <w:rFonts w:ascii="黑体" w:hAnsi="黑体" w:cs="黑体" w:eastAsia="黑体" w:hint="default"/>
          <w:sz w:val="18"/>
          <w:szCs w:val="18"/>
        </w:rPr>
      </w:pPr>
      <w:r>
        <w:rPr/>
        <w:br w:type="column"/>
      </w:r>
      <w:r>
        <w:rPr>
          <w:rFonts w:ascii="Arial" w:hAnsi="Arial" w:cs="Arial" w:eastAsia="Arial" w:hint="default"/>
          <w:position w:val="1"/>
          <w:sz w:val="18"/>
          <w:szCs w:val="18"/>
        </w:rPr>
        <w:t>500,000 </w:t>
      </w:r>
      <w:r>
        <w:rPr>
          <w:rFonts w:ascii="黑体" w:hAnsi="黑体" w:cs="黑体" w:eastAsia="黑体" w:hint="default"/>
          <w:spacing w:val="-5"/>
          <w:sz w:val="18"/>
          <w:szCs w:val="18"/>
        </w:rPr>
        <w:t>计算机软件、电子技术的</w:t>
      </w:r>
    </w:p>
    <w:p>
      <w:pPr>
        <w:tabs>
          <w:tab w:pos="2987" w:val="left" w:leader="none"/>
          <w:tab w:pos="3557" w:val="left" w:leader="none"/>
          <w:tab w:pos="4266" w:val="left" w:leader="none"/>
          <w:tab w:pos="5137" w:val="left" w:leader="none"/>
          <w:tab w:pos="5540" w:val="left" w:leader="none"/>
          <w:tab w:pos="7666" w:val="left" w:leader="none"/>
        </w:tabs>
        <w:spacing w:before="44"/>
        <w:ind w:left="104"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30001721-8</w:t>
      </w:r>
      <w:r>
        <w:rPr>
          <w:rFonts w:ascii="Arial" w:hAnsi="Arial" w:cs="Arial" w:eastAsia="Arial" w:hint="default"/>
          <w:position w:val="1"/>
          <w:sz w:val="18"/>
          <w:szCs w:val="18"/>
        </w:rPr>
        <w:t>  </w:t>
      </w:r>
      <w:r>
        <w:rPr>
          <w:rFonts w:ascii="Arial" w:hAnsi="Arial" w:cs="Arial" w:eastAsia="Arial" w:hint="default"/>
          <w:spacing w:val="48"/>
          <w:position w:val="1"/>
          <w:sz w:val="18"/>
          <w:szCs w:val="18"/>
        </w:rPr>
        <w:t> </w:t>
      </w:r>
      <w:r>
        <w:rPr>
          <w:rFonts w:ascii="Arial" w:hAnsi="Arial" w:cs="Arial" w:eastAsia="Arial" w:hint="default"/>
          <w:spacing w:val="-1"/>
          <w:position w:val="1"/>
          <w:sz w:val="18"/>
          <w:szCs w:val="18"/>
        </w:rPr>
        <w:t>1,470,000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95</w:t>
        <w:tab/>
        <w:t>95</w:t>
        <w:tab/>
      </w:r>
      <w:r>
        <w:rPr>
          <w:rFonts w:ascii="黑体" w:hAnsi="黑体" w:cs="黑体" w:eastAsia="黑体" w:hint="default"/>
          <w:sz w:val="18"/>
          <w:szCs w:val="18"/>
        </w:rPr>
        <w:t>是</w:t>
        <w:tab/>
      </w:r>
      <w:r>
        <w:rPr>
          <w:rFonts w:ascii="Arial" w:hAnsi="Arial" w:cs="Arial" w:eastAsia="Arial" w:hint="default"/>
          <w:spacing w:val="-1"/>
          <w:position w:val="1"/>
          <w:sz w:val="18"/>
          <w:szCs w:val="18"/>
        </w:rPr>
        <w:t>(480,179)</w:t>
        <w:tab/>
      </w:r>
      <w:r>
        <w:rPr>
          <w:rFonts w:ascii="Arial" w:hAnsi="Arial" w:cs="Arial" w:eastAsia="Arial" w:hint="default"/>
          <w:position w:val="1"/>
          <w:sz w:val="18"/>
          <w:szCs w:val="18"/>
        </w:rPr>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20" w:right="540"/>
          <w:cols w:num="5" w:equalWidth="0">
            <w:col w:w="1545" w:space="65"/>
            <w:col w:w="825" w:space="112"/>
            <w:col w:w="2153" w:space="334"/>
            <w:col w:w="2738" w:space="70"/>
            <w:col w:w="7838"/>
          </w:cols>
        </w:sectPr>
      </w:pPr>
    </w:p>
    <w:p>
      <w:pPr>
        <w:spacing w:line="234" w:lineRule="exact" w:before="7"/>
        <w:ind w:left="300" w:right="-19" w:firstLine="0"/>
        <w:jc w:val="left"/>
        <w:rPr>
          <w:rFonts w:ascii="Arial" w:hAnsi="Arial" w:cs="Arial" w:eastAsia="Arial" w:hint="default"/>
          <w:sz w:val="18"/>
          <w:szCs w:val="18"/>
        </w:rPr>
      </w:pPr>
      <w:r>
        <w:rPr>
          <w:rFonts w:ascii="黑体" w:hAnsi="黑体" w:cs="黑体" w:eastAsia="黑体" w:hint="default"/>
          <w:sz w:val="18"/>
          <w:szCs w:val="18"/>
        </w:rPr>
        <w:t>责任公司</w:t>
      </w:r>
      <w:r>
        <w:rPr>
          <w:rFonts w:ascii="Arial" w:hAnsi="Arial" w:cs="Arial" w:eastAsia="Arial" w:hint="default"/>
          <w:sz w:val="18"/>
          <w:szCs w:val="18"/>
        </w:rPr>
        <w:t>(</w:t>
      </w:r>
      <w:r>
        <w:rPr>
          <w:rFonts w:ascii="黑体" w:hAnsi="黑体" w:cs="黑体" w:eastAsia="黑体" w:hint="default"/>
          <w:sz w:val="18"/>
          <w:szCs w:val="18"/>
        </w:rPr>
        <w:t>以下简</w:t>
      </w:r>
      <w:r>
        <w:rPr>
          <w:rFonts w:ascii="黑体" w:hAnsi="黑体" w:cs="黑体" w:eastAsia="黑体" w:hint="default"/>
          <w:spacing w:val="4"/>
          <w:sz w:val="18"/>
          <w:szCs w:val="18"/>
        </w:rPr>
        <w:t> </w:t>
      </w:r>
      <w:r>
        <w:rPr>
          <w:rFonts w:ascii="黑体" w:hAnsi="黑体" w:cs="黑体" w:eastAsia="黑体" w:hint="default"/>
          <w:sz w:val="18"/>
          <w:szCs w:val="18"/>
        </w:rPr>
        <w:t>公司</w:t>
      </w:r>
      <w:r>
        <w:rPr>
          <w:rFonts w:ascii="黑体" w:hAnsi="黑体" w:cs="黑体" w:eastAsia="黑体" w:hint="default"/>
          <w:sz w:val="18"/>
          <w:szCs w:val="18"/>
        </w:rPr>
        <w:t> 称</w:t>
      </w:r>
      <w:r>
        <w:rPr>
          <w:rFonts w:ascii="Arial" w:hAnsi="Arial" w:cs="Arial" w:eastAsia="Arial" w:hint="default"/>
          <w:sz w:val="18"/>
          <w:szCs w:val="18"/>
        </w:rPr>
        <w:t>“</w:t>
      </w:r>
      <w:r>
        <w:rPr>
          <w:rFonts w:ascii="黑体" w:hAnsi="黑体" w:cs="黑体" w:eastAsia="黑体" w:hint="default"/>
          <w:sz w:val="18"/>
          <w:szCs w:val="18"/>
        </w:rPr>
        <w:t>武汉用友</w:t>
      </w:r>
      <w:r>
        <w:rPr>
          <w:rFonts w:ascii="Arial" w:hAnsi="Arial" w:cs="Arial" w:eastAsia="Arial" w:hint="default"/>
          <w:sz w:val="18"/>
          <w:szCs w:val="18"/>
        </w:rPr>
        <w:t>”)</w:t>
      </w:r>
    </w:p>
    <w:p>
      <w:pPr>
        <w:spacing w:line="234" w:lineRule="exact" w:before="7"/>
        <w:ind w:left="300" w:right="-20" w:firstLine="0"/>
        <w:jc w:val="left"/>
        <w:rPr>
          <w:rFonts w:ascii="黑体" w:hAnsi="黑体" w:cs="黑体" w:eastAsia="黑体" w:hint="default"/>
          <w:sz w:val="18"/>
          <w:szCs w:val="18"/>
        </w:rPr>
      </w:pPr>
      <w:r>
        <w:rPr/>
        <w:br w:type="column"/>
      </w:r>
      <w:r>
        <w:rPr>
          <w:rFonts w:ascii="黑体" w:hAnsi="黑体" w:cs="黑体" w:eastAsia="黑体" w:hint="default"/>
          <w:sz w:val="18"/>
          <w:szCs w:val="18"/>
        </w:rPr>
        <w:t>硬件及电子 行业</w:t>
      </w:r>
    </w:p>
    <w:p>
      <w:pPr>
        <w:spacing w:line="219" w:lineRule="exact" w:before="0"/>
        <w:ind w:left="300" w:right="0" w:firstLine="0"/>
        <w:jc w:val="both"/>
        <w:rPr>
          <w:rFonts w:ascii="黑体" w:hAnsi="黑体" w:cs="黑体" w:eastAsia="黑体" w:hint="default"/>
          <w:sz w:val="18"/>
          <w:szCs w:val="18"/>
        </w:rPr>
      </w:pPr>
      <w:r>
        <w:rPr>
          <w:spacing w:val="-5"/>
        </w:rPr>
        <w:br w:type="column"/>
      </w:r>
      <w:r>
        <w:rPr>
          <w:rFonts w:ascii="黑体" w:hAnsi="黑体" w:cs="黑体" w:eastAsia="黑体" w:hint="default"/>
          <w:spacing w:val="-5"/>
          <w:sz w:val="18"/>
          <w:szCs w:val="18"/>
        </w:rPr>
        <w:t>开发、研制、技术服务及</w:t>
      </w:r>
    </w:p>
    <w:p>
      <w:pPr>
        <w:spacing w:line="237" w:lineRule="auto" w:before="1"/>
        <w:ind w:left="300" w:right="0" w:firstLine="0"/>
        <w:jc w:val="both"/>
        <w:rPr>
          <w:rFonts w:ascii="黑体" w:hAnsi="黑体" w:cs="黑体" w:eastAsia="黑体" w:hint="default"/>
          <w:sz w:val="18"/>
          <w:szCs w:val="18"/>
        </w:rPr>
      </w:pPr>
      <w:r>
        <w:rPr>
          <w:rFonts w:ascii="黑体" w:hAnsi="黑体" w:cs="黑体" w:eastAsia="黑体" w:hint="default"/>
          <w:spacing w:val="-5"/>
          <w:sz w:val="18"/>
          <w:szCs w:val="18"/>
        </w:rPr>
        <w:t>咨询；计算机及配件、电</w:t>
      </w:r>
      <w:r>
        <w:rPr>
          <w:rFonts w:ascii="黑体" w:hAnsi="黑体" w:cs="黑体" w:eastAsia="黑体" w:hint="default"/>
          <w:spacing w:val="-87"/>
          <w:sz w:val="18"/>
          <w:szCs w:val="18"/>
        </w:rPr>
        <w:t> </w:t>
      </w:r>
      <w:r>
        <w:rPr>
          <w:rFonts w:ascii="黑体" w:hAnsi="黑体" w:cs="黑体" w:eastAsia="黑体" w:hint="default"/>
          <w:spacing w:val="-87"/>
          <w:sz w:val="18"/>
          <w:szCs w:val="18"/>
        </w:rPr>
      </w:r>
      <w:r>
        <w:rPr>
          <w:rFonts w:ascii="黑体" w:hAnsi="黑体" w:cs="黑体" w:eastAsia="黑体" w:hint="default"/>
          <w:spacing w:val="-5"/>
          <w:sz w:val="18"/>
          <w:szCs w:val="18"/>
        </w:rPr>
        <w:t>子元器件批发兼零售、信</w:t>
      </w:r>
      <w:r>
        <w:rPr>
          <w:rFonts w:ascii="黑体" w:hAnsi="黑体" w:cs="黑体" w:eastAsia="黑体" w:hint="default"/>
          <w:spacing w:val="-86"/>
          <w:sz w:val="18"/>
          <w:szCs w:val="18"/>
        </w:rPr>
        <w:t> </w:t>
      </w:r>
      <w:r>
        <w:rPr>
          <w:rFonts w:ascii="黑体" w:hAnsi="黑体" w:cs="黑体" w:eastAsia="黑体" w:hint="default"/>
          <w:spacing w:val="-86"/>
          <w:sz w:val="18"/>
          <w:szCs w:val="18"/>
        </w:rPr>
      </w:r>
      <w:r>
        <w:rPr>
          <w:rFonts w:ascii="黑体" w:hAnsi="黑体" w:cs="黑体" w:eastAsia="黑体" w:hint="default"/>
          <w:sz w:val="18"/>
          <w:szCs w:val="18"/>
        </w:rPr>
        <w:t>息服务</w:t>
      </w:r>
    </w:p>
    <w:p>
      <w:pPr>
        <w:spacing w:line="243" w:lineRule="exact" w:before="0"/>
        <w:ind w:left="300" w:right="0" w:firstLine="0"/>
        <w:jc w:val="left"/>
        <w:rPr>
          <w:rFonts w:ascii="Arial" w:hAnsi="Arial" w:cs="Arial" w:eastAsia="Arial" w:hint="default"/>
          <w:sz w:val="18"/>
          <w:szCs w:val="18"/>
        </w:rPr>
      </w:pPr>
      <w:r>
        <w:rPr/>
        <w:br w:type="column"/>
      </w:r>
      <w:r>
        <w:rPr>
          <w:rFonts w:ascii="Arial" w:hAnsi="Arial" w:cs="Arial" w:eastAsia="Arial" w:hint="default"/>
          <w:sz w:val="18"/>
          <w:szCs w:val="18"/>
        </w:rPr>
        <w:t>(</w:t>
      </w:r>
      <w:r>
        <w:rPr>
          <w:rFonts w:ascii="黑体" w:hAnsi="黑体" w:cs="黑体" w:eastAsia="黑体" w:hint="default"/>
          <w:sz w:val="18"/>
          <w:szCs w:val="18"/>
        </w:rPr>
        <w:t>注</w:t>
      </w:r>
      <w:r>
        <w:rPr>
          <w:rFonts w:ascii="黑体" w:hAnsi="黑体" w:cs="黑体" w:eastAsia="黑体" w:hint="default"/>
          <w:spacing w:val="-49"/>
          <w:sz w:val="18"/>
          <w:szCs w:val="18"/>
        </w:rPr>
        <w:t> </w:t>
      </w:r>
      <w:r>
        <w:rPr>
          <w:rFonts w:ascii="Arial" w:hAnsi="Arial" w:cs="Arial" w:eastAsia="Arial" w:hint="default"/>
          <w:sz w:val="18"/>
          <w:szCs w:val="18"/>
        </w:rPr>
        <w:t>6)</w:t>
      </w:r>
    </w:p>
    <w:p>
      <w:pPr>
        <w:spacing w:after="0" w:line="243" w:lineRule="exact"/>
        <w:jc w:val="left"/>
        <w:rPr>
          <w:rFonts w:ascii="Arial" w:hAnsi="Arial" w:cs="Arial" w:eastAsia="Arial" w:hint="default"/>
          <w:sz w:val="18"/>
          <w:szCs w:val="18"/>
        </w:rPr>
        <w:sectPr>
          <w:type w:val="continuous"/>
          <w:pgSz w:w="16840" w:h="11910" w:orient="landscape"/>
          <w:pgMar w:top="900" w:bottom="280" w:left="620" w:right="540"/>
          <w:cols w:num="4" w:equalWidth="0">
            <w:col w:w="2076" w:space="1554"/>
            <w:col w:w="1201" w:space="713"/>
            <w:col w:w="2231" w:space="5634"/>
            <w:col w:w="2271"/>
          </w:cols>
        </w:sectPr>
      </w:pPr>
    </w:p>
    <w:p>
      <w:pPr>
        <w:spacing w:line="240" w:lineRule="auto" w:before="0"/>
        <w:rPr>
          <w:rFonts w:ascii="Arial" w:hAnsi="Arial" w:cs="Arial" w:eastAsia="Arial" w:hint="default"/>
          <w:sz w:val="20"/>
          <w:szCs w:val="20"/>
        </w:rPr>
      </w:pPr>
    </w:p>
    <w:p>
      <w:pPr>
        <w:spacing w:line="240" w:lineRule="auto" w:before="11"/>
        <w:rPr>
          <w:rFonts w:ascii="Arial" w:hAnsi="Arial" w:cs="Arial" w:eastAsia="Arial" w:hint="default"/>
          <w:sz w:val="18"/>
          <w:szCs w:val="18"/>
        </w:rPr>
      </w:pPr>
    </w:p>
    <w:p>
      <w:pPr>
        <w:pStyle w:val="BodyText"/>
        <w:spacing w:line="240" w:lineRule="auto"/>
        <w:ind w:left="7668" w:right="7748"/>
        <w:jc w:val="center"/>
        <w:rPr>
          <w:rFonts w:ascii="Arial" w:hAnsi="Arial" w:cs="Arial" w:eastAsia="Arial" w:hint="default"/>
        </w:rPr>
      </w:pPr>
      <w:r>
        <w:rPr>
          <w:rFonts w:ascii="Arial"/>
        </w:rPr>
        <w:t>44</w:t>
      </w:r>
    </w:p>
    <w:p>
      <w:pPr>
        <w:spacing w:after="0" w:line="240" w:lineRule="auto"/>
        <w:jc w:val="center"/>
        <w:rPr>
          <w:rFonts w:ascii="Arial" w:hAnsi="Arial" w:cs="Arial" w:eastAsia="Arial" w:hint="default"/>
        </w:rPr>
        <w:sectPr>
          <w:type w:val="continuous"/>
          <w:pgSz w:w="16840" w:h="11910" w:orient="landscape"/>
          <w:pgMar w:top="900" w:bottom="280" w:left="620" w:right="540"/>
        </w:sectPr>
      </w:pPr>
    </w:p>
    <w:p>
      <w:pPr>
        <w:spacing w:line="240" w:lineRule="auto" w:before="11"/>
        <w:rPr>
          <w:rFonts w:ascii="Arial" w:hAnsi="Arial" w:cs="Arial" w:eastAsia="Arial" w:hint="default"/>
          <w:sz w:val="22"/>
          <w:szCs w:val="22"/>
        </w:rPr>
      </w:pPr>
    </w:p>
    <w:p>
      <w:pPr>
        <w:spacing w:before="38"/>
        <w:ind w:left="107" w:right="8432" w:firstLine="0"/>
        <w:jc w:val="left"/>
        <w:rPr>
          <w:rFonts w:ascii="黑体" w:hAnsi="黑体" w:cs="黑体" w:eastAsia="黑体" w:hint="default"/>
          <w:sz w:val="20"/>
          <w:szCs w:val="20"/>
        </w:rPr>
      </w:pPr>
      <w:r>
        <w:rPr>
          <w:rFonts w:ascii="黑体" w:hAnsi="黑体" w:cs="黑体" w:eastAsia="黑体" w:hint="default"/>
          <w:b/>
          <w:bCs/>
          <w:sz w:val="20"/>
          <w:szCs w:val="20"/>
        </w:rPr>
        <w:t>四、合并财务报表的合并范围（续）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spacing w:before="0"/>
        <w:ind w:left="170" w:right="8432" w:firstLine="0"/>
        <w:jc w:val="left"/>
        <w:rPr>
          <w:rFonts w:ascii="黑体" w:hAnsi="黑体" w:cs="黑体" w:eastAsia="黑体" w:hint="default"/>
          <w:sz w:val="20"/>
          <w:szCs w:val="20"/>
        </w:rPr>
      </w:pPr>
      <w:r>
        <w:rPr>
          <w:rFonts w:ascii="Arial" w:hAnsi="Arial" w:cs="Arial" w:eastAsia="Arial" w:hint="default"/>
          <w:b/>
          <w:bCs/>
          <w:sz w:val="20"/>
          <w:szCs w:val="20"/>
        </w:rPr>
        <w:t>1.  </w:t>
      </w:r>
      <w:r>
        <w:rPr>
          <w:rFonts w:ascii="Arial" w:hAnsi="Arial" w:cs="Arial" w:eastAsia="Arial" w:hint="default"/>
          <w:b/>
          <w:bCs/>
          <w:spacing w:val="31"/>
          <w:sz w:val="20"/>
          <w:szCs w:val="20"/>
        </w:rPr>
        <w:t> </w:t>
      </w:r>
      <w:r>
        <w:rPr>
          <w:rFonts w:ascii="黑体" w:hAnsi="黑体" w:cs="黑体" w:eastAsia="黑体" w:hint="default"/>
          <w:b/>
          <w:bCs/>
          <w:sz w:val="20"/>
          <w:szCs w:val="20"/>
        </w:rPr>
        <w:t>子公司情况（续）</w:t>
      </w:r>
      <w:r>
        <w:rPr>
          <w:rFonts w:ascii="黑体" w:hAnsi="黑体" w:cs="黑体" w:eastAsia="黑体" w:hint="default"/>
          <w:sz w:val="20"/>
          <w:szCs w:val="20"/>
        </w:rPr>
      </w:r>
    </w:p>
    <w:p>
      <w:pPr>
        <w:spacing w:line="240" w:lineRule="auto" w:before="4"/>
        <w:rPr>
          <w:rFonts w:ascii="黑体" w:hAnsi="黑体" w:cs="黑体" w:eastAsia="黑体" w:hint="default"/>
          <w:b/>
          <w:bCs/>
          <w:sz w:val="16"/>
          <w:szCs w:val="16"/>
        </w:rPr>
      </w:pPr>
    </w:p>
    <w:p>
      <w:pPr>
        <w:pStyle w:val="BodyText"/>
        <w:spacing w:line="331" w:lineRule="auto"/>
        <w:ind w:left="107" w:right="8432"/>
        <w:jc w:val="left"/>
      </w:pPr>
      <w:r>
        <w:rPr/>
        <w:t>本集团重要子公司的情况如下（续）：</w:t>
      </w:r>
      <w:r>
        <w:rPr>
          <w:w w:val="100"/>
        </w:rPr>
        <w:t> </w:t>
      </w:r>
      <w:r>
        <w:rPr>
          <w:spacing w:val="-1"/>
        </w:rPr>
        <w:t>通过设立或投资等方式取得的子公司（续）</w:t>
      </w:r>
    </w:p>
    <w:p>
      <w:pPr>
        <w:tabs>
          <w:tab w:pos="4497" w:val="left" w:leader="none"/>
        </w:tabs>
        <w:spacing w:before="61"/>
        <w:ind w:left="0" w:right="110" w:firstLine="0"/>
        <w:jc w:val="right"/>
        <w:rPr>
          <w:rFonts w:ascii="黑体" w:hAnsi="黑体" w:cs="黑体" w:eastAsia="黑体" w:hint="default"/>
          <w:sz w:val="18"/>
          <w:szCs w:val="18"/>
        </w:rPr>
      </w:pPr>
      <w:r>
        <w:rPr>
          <w:rFonts w:ascii="黑体" w:hAnsi="黑体" w:cs="黑体" w:eastAsia="黑体" w:hint="default"/>
          <w:sz w:val="18"/>
          <w:szCs w:val="18"/>
        </w:rPr>
        <w:t>实质上构成</w:t>
        <w:tab/>
        <w:t>少数股东权益</w:t>
      </w:r>
    </w:p>
    <w:p>
      <w:pPr>
        <w:tabs>
          <w:tab w:pos="1754" w:val="left" w:leader="none"/>
          <w:tab w:pos="2602" w:val="left" w:leader="none"/>
          <w:tab w:pos="3311" w:val="left" w:leader="none"/>
          <w:tab w:pos="4019" w:val="left" w:leader="none"/>
          <w:tab w:pos="5157" w:val="left" w:leader="none"/>
          <w:tab w:pos="6537" w:val="left" w:leader="none"/>
          <w:tab w:pos="8207" w:val="left" w:leader="none"/>
          <w:tab w:pos="8567" w:val="left" w:leader="none"/>
          <w:tab w:pos="9200" w:val="left" w:leader="none"/>
          <w:tab w:pos="11260" w:val="left" w:leader="none"/>
          <w:tab w:pos="11969" w:val="left" w:leader="none"/>
          <w:tab w:pos="12820" w:val="left" w:leader="none"/>
          <w:tab w:pos="13452" w:val="left" w:leader="none"/>
          <w:tab w:pos="13812" w:val="left" w:leader="none"/>
          <w:tab w:pos="14508" w:val="left" w:leader="none"/>
        </w:tabs>
        <w:spacing w:line="285" w:lineRule="auto" w:before="44"/>
        <w:ind w:left="117" w:right="109" w:firstLine="1636"/>
        <w:jc w:val="right"/>
        <w:rPr>
          <w:rFonts w:ascii="黑体" w:hAnsi="黑体" w:cs="黑体" w:eastAsia="黑体" w:hint="default"/>
          <w:sz w:val="18"/>
          <w:szCs w:val="18"/>
        </w:rPr>
      </w:pPr>
      <w:r>
        <w:rPr>
          <w:rFonts w:ascii="黑体" w:hAnsi="黑体" w:cs="黑体" w:eastAsia="黑体" w:hint="default"/>
          <w:sz w:val="18"/>
          <w:szCs w:val="18"/>
        </w:rPr>
        <w:t>子公司</w:t>
        <w:tab/>
        <w:tab/>
        <w:t>法人</w:t>
        <w:tab/>
        <w:tab/>
        <w:tab/>
        <w:tab/>
        <w:t>组织机构</w:t>
        <w:tab/>
        <w:t>年末实际</w:t>
      </w:r>
      <w:r>
        <w:rPr>
          <w:rFonts w:ascii="黑体" w:hAnsi="黑体" w:cs="黑体" w:eastAsia="黑体" w:hint="default"/>
          <w:spacing w:val="1"/>
          <w:sz w:val="18"/>
          <w:szCs w:val="18"/>
        </w:rPr>
        <w:t> </w:t>
      </w:r>
      <w:r>
        <w:rPr>
          <w:rFonts w:ascii="黑体" w:hAnsi="黑体" w:cs="黑体" w:eastAsia="黑体" w:hint="default"/>
          <w:sz w:val="18"/>
          <w:szCs w:val="18"/>
        </w:rPr>
        <w:t>净投资的其</w:t>
        <w:tab/>
        <w:t>持股</w:t>
        <w:tab/>
        <w:t>表决</w:t>
        <w:tab/>
        <w:t>是否</w:t>
        <w:tab/>
        <w:t>少数股东</w:t>
      </w:r>
      <w:r>
        <w:rPr>
          <w:rFonts w:ascii="黑体" w:hAnsi="黑体" w:cs="黑体" w:eastAsia="黑体" w:hint="default"/>
          <w:spacing w:val="49"/>
          <w:sz w:val="18"/>
          <w:szCs w:val="18"/>
        </w:rPr>
        <w:t> </w:t>
      </w:r>
      <w:r>
        <w:rPr>
          <w:rFonts w:ascii="黑体" w:hAnsi="黑体" w:cs="黑体" w:eastAsia="黑体" w:hint="default"/>
          <w:sz w:val="18"/>
          <w:szCs w:val="18"/>
        </w:rPr>
        <w:t>中用于冲减少数</w:t>
      </w:r>
      <w:r>
        <w:rPr>
          <w:rFonts w:ascii="黑体" w:hAnsi="黑体" w:cs="黑体" w:eastAsia="黑体" w:hint="default"/>
          <w:sz w:val="18"/>
          <w:szCs w:val="18"/>
        </w:rPr>
        <w:t> 被投资单位名称</w:t>
        <w:tab/>
        <w:t>类型</w:t>
        <w:tab/>
        <w:t>注册地</w:t>
      </w:r>
      <w:r>
        <w:rPr>
          <w:rFonts w:ascii="黑体" w:hAnsi="黑体" w:cs="黑体" w:eastAsia="黑体" w:hint="default"/>
          <w:spacing w:val="79"/>
          <w:sz w:val="18"/>
          <w:szCs w:val="18"/>
        </w:rPr>
        <w:t> </w:t>
      </w:r>
      <w:r>
        <w:rPr>
          <w:rFonts w:ascii="黑体" w:hAnsi="黑体" w:cs="黑体" w:eastAsia="黑体" w:hint="default"/>
          <w:sz w:val="18"/>
          <w:szCs w:val="18"/>
        </w:rPr>
        <w:t>代表</w:t>
        <w:tab/>
        <w:t>业务性质</w:t>
        <w:tab/>
        <w:t>注册资本</w:t>
        <w:tab/>
        <w:t>经营范围</w:t>
        <w:tab/>
        <w:tab/>
        <w:t>代码</w:t>
        <w:tab/>
        <w:t>出资额</w:t>
      </w:r>
      <w:r>
        <w:rPr>
          <w:rFonts w:ascii="黑体" w:hAnsi="黑体" w:cs="黑体" w:eastAsia="黑体" w:hint="default"/>
          <w:spacing w:val="1"/>
          <w:sz w:val="18"/>
          <w:szCs w:val="18"/>
        </w:rPr>
        <w:t> </w:t>
      </w:r>
      <w:r>
        <w:rPr>
          <w:rFonts w:ascii="黑体" w:hAnsi="黑体" w:cs="黑体" w:eastAsia="黑体" w:hint="default"/>
          <w:sz w:val="18"/>
          <w:szCs w:val="18"/>
        </w:rPr>
        <w:t>他项目余额</w:t>
        <w:tab/>
        <w:t>比例  权比例</w:t>
      </w:r>
      <w:r>
        <w:rPr>
          <w:rFonts w:ascii="黑体" w:hAnsi="黑体" w:cs="黑体" w:eastAsia="黑体" w:hint="default"/>
          <w:spacing w:val="29"/>
          <w:sz w:val="18"/>
          <w:szCs w:val="18"/>
        </w:rPr>
        <w:t> </w:t>
      </w:r>
      <w:r>
        <w:rPr>
          <w:rFonts w:ascii="黑体" w:hAnsi="黑体" w:cs="黑体" w:eastAsia="黑体" w:hint="default"/>
          <w:sz w:val="18"/>
          <w:szCs w:val="18"/>
        </w:rPr>
        <w:t>合并报表</w:t>
        <w:tab/>
        <w:tab/>
        <w:t>权益</w:t>
        <w:tab/>
        <w:t>股东损益金额</w:t>
      </w:r>
    </w:p>
    <w:p>
      <w:pPr>
        <w:tabs>
          <w:tab w:pos="708" w:val="left" w:leader="none"/>
          <w:tab w:pos="3848" w:val="left" w:leader="none"/>
        </w:tabs>
        <w:spacing w:before="9"/>
        <w:ind w:left="0" w:right="109" w:firstLine="0"/>
        <w:jc w:val="right"/>
        <w:rPr>
          <w:rFonts w:ascii="Arial" w:hAnsi="Arial" w:cs="Arial" w:eastAsia="Arial" w:hint="default"/>
          <w:sz w:val="18"/>
          <w:szCs w:val="18"/>
        </w:rPr>
      </w:pPr>
      <w:r>
        <w:rPr>
          <w:rFonts w:ascii="Arial" w:hAnsi="Arial" w:cs="Arial" w:eastAsia="Arial" w:hint="default"/>
          <w:spacing w:val="-1"/>
          <w:sz w:val="18"/>
          <w:szCs w:val="18"/>
        </w:rPr>
        <w:t>(%)</w:t>
        <w:tab/>
        <w:t>(%)</w:t>
        <w:tab/>
        <w:t>(</w:t>
      </w:r>
      <w:r>
        <w:rPr>
          <w:rFonts w:ascii="黑体" w:hAnsi="黑体" w:cs="黑体" w:eastAsia="黑体" w:hint="default"/>
          <w:spacing w:val="-1"/>
          <w:sz w:val="18"/>
          <w:szCs w:val="18"/>
        </w:rPr>
        <w:t>注</w:t>
      </w:r>
      <w:r>
        <w:rPr>
          <w:rFonts w:ascii="Arial" w:hAnsi="Arial" w:cs="Arial" w:eastAsia="Arial" w:hint="default"/>
          <w:spacing w:val="-1"/>
          <w:sz w:val="18"/>
          <w:szCs w:val="18"/>
        </w:rPr>
        <w:t>8)</w:t>
      </w:r>
      <w:r>
        <w:rPr>
          <w:rFonts w:ascii="Arial" w:hAnsi="Arial" w:cs="Arial" w:eastAsia="Arial" w:hint="default"/>
          <w:sz w:val="18"/>
          <w:szCs w:val="18"/>
        </w:rPr>
      </w:r>
    </w:p>
    <w:p>
      <w:pPr>
        <w:spacing w:line="240" w:lineRule="auto" w:before="2"/>
        <w:rPr>
          <w:rFonts w:ascii="Arial" w:hAnsi="Arial" w:cs="Arial" w:eastAsia="Arial" w:hint="default"/>
          <w:sz w:val="19"/>
          <w:szCs w:val="19"/>
        </w:rPr>
      </w:pPr>
    </w:p>
    <w:p>
      <w:pPr>
        <w:spacing w:after="0" w:line="240" w:lineRule="auto"/>
        <w:rPr>
          <w:rFonts w:ascii="Arial" w:hAnsi="Arial" w:cs="Arial" w:eastAsia="Arial" w:hint="default"/>
          <w:sz w:val="19"/>
          <w:szCs w:val="19"/>
        </w:rPr>
        <w:sectPr>
          <w:footerReference w:type="default" r:id="rId50"/>
          <w:pgSz w:w="16840" w:h="11910" w:orient="landscape"/>
          <w:pgMar w:footer="496" w:header="958" w:top="2380" w:bottom="680" w:left="600" w:right="540"/>
          <w:pgNumType w:start="45"/>
        </w:sectPr>
      </w:pPr>
    </w:p>
    <w:p>
      <w:pPr>
        <w:spacing w:line="232" w:lineRule="auto" w:before="51"/>
        <w:ind w:left="334" w:right="-12" w:hanging="218"/>
        <w:jc w:val="left"/>
        <w:rPr>
          <w:rFonts w:ascii="Arial" w:hAnsi="Arial" w:cs="Arial" w:eastAsia="Arial" w:hint="default"/>
          <w:sz w:val="18"/>
          <w:szCs w:val="18"/>
        </w:rPr>
      </w:pPr>
      <w:r>
        <w:rPr>
          <w:rFonts w:ascii="黑体" w:hAnsi="黑体" w:cs="黑体" w:eastAsia="黑体" w:hint="default"/>
          <w:spacing w:val="19"/>
          <w:sz w:val="18"/>
          <w:szCs w:val="18"/>
        </w:rPr>
        <w:t>广东用友软件有限</w:t>
      </w:r>
      <w:r>
        <w:rPr>
          <w:rFonts w:ascii="黑体" w:hAnsi="黑体" w:cs="黑体" w:eastAsia="黑体" w:hint="default"/>
          <w:spacing w:val="-52"/>
          <w:sz w:val="18"/>
          <w:szCs w:val="18"/>
        </w:rPr>
        <w:t> </w:t>
      </w:r>
      <w:r>
        <w:rPr>
          <w:rFonts w:ascii="黑体" w:hAnsi="黑体" w:cs="黑体" w:eastAsia="黑体" w:hint="default"/>
          <w:sz w:val="18"/>
          <w:szCs w:val="18"/>
        </w:rPr>
        <w:t>有限责任</w:t>
      </w:r>
      <w:r>
        <w:rPr>
          <w:rFonts w:ascii="黑体" w:hAnsi="黑体" w:cs="黑体" w:eastAsia="黑体" w:hint="default"/>
          <w:sz w:val="18"/>
          <w:szCs w:val="18"/>
        </w:rPr>
        <w:t> 公司</w:t>
      </w:r>
      <w:r>
        <w:rPr>
          <w:rFonts w:ascii="Arial" w:hAnsi="Arial" w:cs="Arial" w:eastAsia="Arial" w:hint="default"/>
          <w:sz w:val="18"/>
          <w:szCs w:val="18"/>
        </w:rPr>
        <w:t>(</w:t>
      </w:r>
      <w:r>
        <w:rPr>
          <w:rFonts w:ascii="黑体" w:hAnsi="黑体" w:cs="黑体" w:eastAsia="黑体" w:hint="default"/>
          <w:sz w:val="18"/>
          <w:szCs w:val="18"/>
        </w:rPr>
        <w:t>以下简称</w:t>
      </w:r>
      <w:r>
        <w:rPr>
          <w:rFonts w:ascii="Arial" w:hAnsi="Arial" w:cs="Arial" w:eastAsia="Arial" w:hint="default"/>
          <w:sz w:val="18"/>
          <w:szCs w:val="18"/>
        </w:rPr>
        <w:t>“</w:t>
      </w:r>
      <w:r>
        <w:rPr>
          <w:rFonts w:ascii="黑体" w:hAnsi="黑体" w:cs="黑体" w:eastAsia="黑体" w:hint="default"/>
          <w:sz w:val="18"/>
          <w:szCs w:val="18"/>
        </w:rPr>
        <w:t>广</w:t>
      </w:r>
      <w:r>
        <w:rPr>
          <w:rFonts w:ascii="黑体" w:hAnsi="黑体" w:cs="黑体" w:eastAsia="黑体" w:hint="default"/>
          <w:spacing w:val="-52"/>
          <w:sz w:val="18"/>
          <w:szCs w:val="18"/>
        </w:rPr>
        <w:t> </w:t>
      </w:r>
      <w:r>
        <w:rPr>
          <w:rFonts w:ascii="黑体" w:hAnsi="黑体" w:cs="黑体" w:eastAsia="黑体" w:hint="default"/>
          <w:sz w:val="18"/>
          <w:szCs w:val="18"/>
        </w:rPr>
        <w:t>公司</w:t>
      </w:r>
      <w:r>
        <w:rPr>
          <w:rFonts w:ascii="黑体" w:hAnsi="黑体" w:cs="黑体" w:eastAsia="黑体" w:hint="default"/>
          <w:sz w:val="18"/>
          <w:szCs w:val="18"/>
        </w:rPr>
        <w:t> 东用友</w:t>
      </w:r>
      <w:r>
        <w:rPr>
          <w:rFonts w:ascii="Arial" w:hAnsi="Arial" w:cs="Arial" w:eastAsia="Arial" w:hint="default"/>
          <w:sz w:val="18"/>
          <w:szCs w:val="18"/>
        </w:rPr>
        <w:t>”)</w:t>
      </w:r>
    </w:p>
    <w:p>
      <w:pPr>
        <w:spacing w:line="241" w:lineRule="exact" w:before="45"/>
        <w:ind w:left="88" w:right="0" w:firstLine="0"/>
        <w:jc w:val="left"/>
        <w:rPr>
          <w:rFonts w:ascii="Arial" w:hAnsi="Arial" w:cs="Arial" w:eastAsia="Arial" w:hint="default"/>
          <w:sz w:val="18"/>
          <w:szCs w:val="18"/>
        </w:rPr>
      </w:pPr>
      <w:r>
        <w:rPr/>
        <w:br w:type="column"/>
      </w:r>
      <w:r>
        <w:rPr>
          <w:rFonts w:ascii="黑体" w:hAnsi="黑体" w:cs="黑体" w:eastAsia="黑体" w:hint="default"/>
          <w:sz w:val="18"/>
          <w:szCs w:val="18"/>
        </w:rPr>
        <w:t>广州市  王文京</w:t>
      </w:r>
      <w:r>
        <w:rPr>
          <w:rFonts w:ascii="黑体" w:hAnsi="黑体" w:cs="黑体" w:eastAsia="黑体" w:hint="default"/>
          <w:spacing w:val="66"/>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spacing w:line="232" w:lineRule="auto" w:before="0"/>
        <w:ind w:left="1505" w:right="0" w:firstLine="0"/>
        <w:jc w:val="both"/>
        <w:rPr>
          <w:rFonts w:ascii="黑体" w:hAnsi="黑体" w:cs="黑体" w:eastAsia="黑体" w:hint="default"/>
          <w:sz w:val="18"/>
          <w:szCs w:val="18"/>
        </w:rPr>
      </w:pPr>
      <w:r>
        <w:rPr>
          <w:rFonts w:ascii="黑体" w:hAnsi="黑体" w:cs="黑体" w:eastAsia="黑体" w:hint="default"/>
          <w:sz w:val="18"/>
          <w:szCs w:val="18"/>
        </w:rPr>
        <w:t>硬件</w:t>
      </w:r>
      <w:r>
        <w:rPr>
          <w:rFonts w:ascii="Arial" w:hAnsi="Arial" w:cs="Arial" w:eastAsia="Arial" w:hint="default"/>
          <w:sz w:val="18"/>
          <w:szCs w:val="18"/>
        </w:rPr>
        <w:t>/</w:t>
      </w:r>
      <w:r>
        <w:rPr>
          <w:rFonts w:ascii="黑体" w:hAnsi="黑体" w:cs="黑体" w:eastAsia="黑体" w:hint="default"/>
          <w:sz w:val="18"/>
          <w:szCs w:val="18"/>
        </w:rPr>
        <w:t>网络、 技术咨询及 电子行业</w:t>
      </w:r>
    </w:p>
    <w:p>
      <w:pPr>
        <w:spacing w:line="236" w:lineRule="exact" w:before="44"/>
        <w:ind w:left="67" w:right="-17" w:firstLine="0"/>
        <w:jc w:val="left"/>
        <w:rPr>
          <w:rFonts w:ascii="黑体" w:hAnsi="黑体" w:cs="黑体" w:eastAsia="黑体" w:hint="default"/>
          <w:sz w:val="18"/>
          <w:szCs w:val="18"/>
        </w:rPr>
      </w:pPr>
      <w:r>
        <w:rPr/>
        <w:br w:type="column"/>
      </w:r>
      <w:r>
        <w:rPr>
          <w:rFonts w:ascii="Arial" w:hAnsi="Arial" w:cs="Arial" w:eastAsia="Arial" w:hint="default"/>
          <w:position w:val="1"/>
          <w:sz w:val="18"/>
          <w:szCs w:val="18"/>
        </w:rPr>
        <w:t>5,000,000</w:t>
      </w:r>
      <w:r>
        <w:rPr>
          <w:rFonts w:ascii="Arial" w:hAnsi="Arial" w:cs="Arial" w:eastAsia="Arial" w:hint="default"/>
          <w:spacing w:val="1"/>
          <w:position w:val="1"/>
          <w:sz w:val="18"/>
          <w:szCs w:val="18"/>
        </w:rPr>
        <w:t> </w:t>
      </w:r>
      <w:r>
        <w:rPr>
          <w:rFonts w:ascii="黑体" w:hAnsi="黑体" w:cs="黑体" w:eastAsia="黑体" w:hint="default"/>
          <w:spacing w:val="-5"/>
          <w:sz w:val="18"/>
          <w:szCs w:val="18"/>
        </w:rPr>
        <w:t>电子计算机软硬件、网络</w:t>
      </w:r>
    </w:p>
    <w:p>
      <w:pPr>
        <w:spacing w:line="237" w:lineRule="auto" w:before="0"/>
        <w:ind w:left="923" w:right="-17" w:firstLine="0"/>
        <w:jc w:val="left"/>
        <w:rPr>
          <w:rFonts w:ascii="黑体" w:hAnsi="黑体" w:cs="黑体" w:eastAsia="黑体" w:hint="default"/>
          <w:sz w:val="18"/>
          <w:szCs w:val="18"/>
        </w:rPr>
      </w:pPr>
      <w:r>
        <w:rPr>
          <w:rFonts w:ascii="黑体" w:hAnsi="黑体" w:cs="黑体" w:eastAsia="黑体" w:hint="default"/>
          <w:spacing w:val="-5"/>
          <w:sz w:val="18"/>
          <w:szCs w:val="18"/>
        </w:rPr>
        <w:t>工程的技术服务、技术转</w:t>
      </w:r>
      <w:r>
        <w:rPr>
          <w:rFonts w:ascii="黑体" w:hAnsi="黑体" w:cs="黑体" w:eastAsia="黑体" w:hint="default"/>
          <w:spacing w:val="-86"/>
          <w:sz w:val="18"/>
          <w:szCs w:val="18"/>
        </w:rPr>
        <w:t> </w:t>
      </w:r>
      <w:r>
        <w:rPr>
          <w:rFonts w:ascii="黑体" w:hAnsi="黑体" w:cs="黑体" w:eastAsia="黑体" w:hint="default"/>
          <w:spacing w:val="-86"/>
          <w:sz w:val="18"/>
          <w:szCs w:val="18"/>
        </w:rPr>
      </w:r>
      <w:r>
        <w:rPr>
          <w:rFonts w:ascii="黑体" w:hAnsi="黑体" w:cs="黑体" w:eastAsia="黑体" w:hint="default"/>
          <w:spacing w:val="-12"/>
          <w:sz w:val="18"/>
          <w:szCs w:val="18"/>
        </w:rPr>
        <w:t>让、信息咨询、技术培训、</w:t>
      </w:r>
      <w:r>
        <w:rPr>
          <w:rFonts w:ascii="黑体" w:hAnsi="黑体" w:cs="黑体" w:eastAsia="黑体" w:hint="default"/>
          <w:spacing w:val="-88"/>
          <w:sz w:val="18"/>
          <w:szCs w:val="18"/>
        </w:rPr>
        <w:t> </w:t>
      </w:r>
      <w:r>
        <w:rPr>
          <w:rFonts w:ascii="黑体" w:hAnsi="黑体" w:cs="黑体" w:eastAsia="黑体" w:hint="default"/>
          <w:spacing w:val="-88"/>
          <w:sz w:val="18"/>
          <w:szCs w:val="18"/>
        </w:rPr>
      </w:r>
      <w:r>
        <w:rPr>
          <w:rFonts w:ascii="黑体" w:hAnsi="黑体" w:cs="黑体" w:eastAsia="黑体" w:hint="default"/>
          <w:spacing w:val="-5"/>
          <w:sz w:val="18"/>
          <w:szCs w:val="18"/>
        </w:rPr>
        <w:t>数据库服务；销售电子计</w:t>
      </w:r>
      <w:r>
        <w:rPr>
          <w:rFonts w:ascii="黑体" w:hAnsi="黑体" w:cs="黑体" w:eastAsia="黑体" w:hint="default"/>
          <w:spacing w:val="-88"/>
          <w:sz w:val="18"/>
          <w:szCs w:val="18"/>
        </w:rPr>
        <w:t> </w:t>
      </w:r>
      <w:r>
        <w:rPr>
          <w:rFonts w:ascii="黑体" w:hAnsi="黑体" w:cs="黑体" w:eastAsia="黑体" w:hint="default"/>
          <w:spacing w:val="-88"/>
          <w:sz w:val="18"/>
          <w:szCs w:val="18"/>
        </w:rPr>
      </w:r>
      <w:r>
        <w:rPr>
          <w:rFonts w:ascii="黑体" w:hAnsi="黑体" w:cs="黑体" w:eastAsia="黑体" w:hint="default"/>
          <w:sz w:val="18"/>
          <w:szCs w:val="18"/>
        </w:rPr>
        <w:t>算机及配件、办公设备、 </w:t>
      </w:r>
      <w:r>
        <w:rPr>
          <w:rFonts w:ascii="黑体" w:hAnsi="黑体" w:cs="黑体" w:eastAsia="黑体" w:hint="default"/>
          <w:spacing w:val="-5"/>
          <w:sz w:val="18"/>
          <w:szCs w:val="18"/>
        </w:rPr>
        <w:t>电子产品及通信设备（不</w:t>
      </w:r>
      <w:r>
        <w:rPr>
          <w:rFonts w:ascii="黑体" w:hAnsi="黑体" w:cs="黑体" w:eastAsia="黑体" w:hint="default"/>
          <w:spacing w:val="-86"/>
          <w:sz w:val="18"/>
          <w:szCs w:val="18"/>
        </w:rPr>
        <w:t> </w:t>
      </w:r>
      <w:r>
        <w:rPr>
          <w:rFonts w:ascii="黑体" w:hAnsi="黑体" w:cs="黑体" w:eastAsia="黑体" w:hint="default"/>
          <w:spacing w:val="-86"/>
          <w:sz w:val="18"/>
          <w:szCs w:val="18"/>
        </w:rPr>
      </w:r>
      <w:r>
        <w:rPr>
          <w:rFonts w:ascii="黑体" w:hAnsi="黑体" w:cs="黑体" w:eastAsia="黑体" w:hint="default"/>
          <w:spacing w:val="-5"/>
          <w:sz w:val="18"/>
          <w:szCs w:val="18"/>
        </w:rPr>
        <w:t>含广播、电视接收、发射</w:t>
      </w:r>
      <w:r>
        <w:rPr>
          <w:rFonts w:ascii="黑体" w:hAnsi="黑体" w:cs="黑体" w:eastAsia="黑体" w:hint="default"/>
          <w:spacing w:val="-87"/>
          <w:sz w:val="18"/>
          <w:szCs w:val="18"/>
        </w:rPr>
        <w:t> </w:t>
      </w:r>
      <w:r>
        <w:rPr>
          <w:rFonts w:ascii="黑体" w:hAnsi="黑体" w:cs="黑体" w:eastAsia="黑体" w:hint="default"/>
          <w:spacing w:val="-87"/>
          <w:sz w:val="18"/>
          <w:szCs w:val="18"/>
        </w:rPr>
      </w:r>
      <w:r>
        <w:rPr>
          <w:rFonts w:ascii="黑体" w:hAnsi="黑体" w:cs="黑体" w:eastAsia="黑体" w:hint="default"/>
          <w:sz w:val="18"/>
          <w:szCs w:val="18"/>
        </w:rPr>
        <w:t>设备）；企业管理咨询</w:t>
      </w:r>
    </w:p>
    <w:p>
      <w:pPr>
        <w:tabs>
          <w:tab w:pos="2857" w:val="left" w:leader="none"/>
          <w:tab w:pos="3328" w:val="left" w:leader="none"/>
          <w:tab w:pos="4037" w:val="left" w:leader="none"/>
          <w:tab w:pos="5008" w:val="left" w:leader="none"/>
          <w:tab w:pos="6120" w:val="left" w:leader="none"/>
          <w:tab w:pos="7536" w:val="left" w:leader="none"/>
        </w:tabs>
        <w:spacing w:before="44"/>
        <w:ind w:left="-25"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19037504-8</w:t>
      </w:r>
      <w:r>
        <w:rPr>
          <w:rFonts w:ascii="Arial" w:hAnsi="Arial" w:cs="Arial" w:eastAsia="Arial" w:hint="default"/>
          <w:position w:val="1"/>
          <w:sz w:val="18"/>
          <w:szCs w:val="18"/>
        </w:rPr>
        <w:t>  </w:t>
      </w:r>
      <w:r>
        <w:rPr>
          <w:rFonts w:ascii="Arial" w:hAnsi="Arial" w:cs="Arial" w:eastAsia="Arial" w:hint="default"/>
          <w:spacing w:val="48"/>
          <w:position w:val="1"/>
          <w:sz w:val="18"/>
          <w:szCs w:val="18"/>
        </w:rPr>
        <w:t> </w:t>
      </w:r>
      <w:r>
        <w:rPr>
          <w:rFonts w:ascii="Arial" w:hAnsi="Arial" w:cs="Arial" w:eastAsia="Arial" w:hint="default"/>
          <w:spacing w:val="-1"/>
          <w:position w:val="1"/>
          <w:sz w:val="18"/>
          <w:szCs w:val="18"/>
        </w:rPr>
        <w:t>8,390,000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540"/>
          <w:cols w:num="4" w:equalWidth="0">
            <w:col w:w="2475" w:space="40"/>
            <w:col w:w="2456" w:space="40"/>
            <w:col w:w="2943" w:space="40"/>
            <w:col w:w="7706"/>
          </w:cols>
        </w:sectPr>
      </w:pPr>
    </w:p>
    <w:p>
      <w:pPr>
        <w:spacing w:line="240" w:lineRule="auto" w:before="8"/>
        <w:rPr>
          <w:rFonts w:ascii="Arial" w:hAnsi="Arial" w:cs="Arial" w:eastAsia="Arial" w:hint="default"/>
          <w:sz w:val="16"/>
          <w:szCs w:val="16"/>
        </w:rPr>
      </w:pPr>
    </w:p>
    <w:p>
      <w:pPr>
        <w:spacing w:after="0" w:line="240" w:lineRule="auto"/>
        <w:rPr>
          <w:rFonts w:ascii="Arial" w:hAnsi="Arial" w:cs="Arial" w:eastAsia="Arial" w:hint="default"/>
          <w:sz w:val="16"/>
          <w:szCs w:val="16"/>
        </w:rPr>
        <w:sectPr>
          <w:type w:val="continuous"/>
          <w:pgSz w:w="16840" w:h="11910" w:orient="landscape"/>
          <w:pgMar w:top="900" w:bottom="280" w:left="600" w:right="540"/>
        </w:sectPr>
      </w:pPr>
    </w:p>
    <w:p>
      <w:pPr>
        <w:spacing w:line="232" w:lineRule="auto" w:before="51"/>
        <w:ind w:left="320" w:right="-18" w:hanging="214"/>
        <w:jc w:val="left"/>
        <w:rPr>
          <w:rFonts w:ascii="Arial" w:hAnsi="Arial" w:cs="Arial" w:eastAsia="Arial" w:hint="default"/>
          <w:sz w:val="18"/>
          <w:szCs w:val="18"/>
        </w:rPr>
      </w:pPr>
      <w:r>
        <w:rPr>
          <w:rFonts w:ascii="黑体" w:hAnsi="黑体" w:cs="黑体" w:eastAsia="黑体" w:hint="default"/>
          <w:sz w:val="18"/>
          <w:szCs w:val="18"/>
        </w:rPr>
        <w:t>天</w:t>
      </w:r>
      <w:r>
        <w:rPr>
          <w:rFonts w:ascii="黑体" w:hAnsi="黑体" w:cs="黑体" w:eastAsia="黑体" w:hint="default"/>
          <w:spacing w:val="-66"/>
          <w:sz w:val="18"/>
          <w:szCs w:val="18"/>
        </w:rPr>
        <w:t> </w:t>
      </w:r>
      <w:r>
        <w:rPr>
          <w:rFonts w:ascii="黑体" w:hAnsi="黑体" w:cs="黑体" w:eastAsia="黑体" w:hint="default"/>
          <w:spacing w:val="19"/>
          <w:sz w:val="18"/>
          <w:szCs w:val="18"/>
        </w:rPr>
        <w:t>津用友软件</w:t>
      </w:r>
      <w:r>
        <w:rPr>
          <w:rFonts w:ascii="黑体" w:hAnsi="黑体" w:cs="黑体" w:eastAsia="黑体" w:hint="default"/>
          <w:spacing w:val="-65"/>
          <w:sz w:val="18"/>
          <w:szCs w:val="18"/>
        </w:rPr>
        <w:t> </w:t>
      </w:r>
      <w:r>
        <w:rPr>
          <w:rFonts w:ascii="黑体" w:hAnsi="黑体" w:cs="黑体" w:eastAsia="黑体" w:hint="default"/>
          <w:spacing w:val="12"/>
          <w:sz w:val="18"/>
          <w:szCs w:val="18"/>
        </w:rPr>
        <w:t>技术</w:t>
      </w:r>
      <w:r>
        <w:rPr>
          <w:rFonts w:ascii="黑体" w:hAnsi="黑体" w:cs="黑体" w:eastAsia="黑体" w:hint="default"/>
          <w:spacing w:val="-52"/>
          <w:sz w:val="18"/>
          <w:szCs w:val="18"/>
        </w:rPr>
        <w:t> </w:t>
      </w:r>
      <w:r>
        <w:rPr>
          <w:rFonts w:ascii="黑体" w:hAnsi="黑体" w:cs="黑体" w:eastAsia="黑体" w:hint="default"/>
          <w:sz w:val="18"/>
          <w:szCs w:val="18"/>
        </w:rPr>
        <w:t>有限责任</w:t>
      </w:r>
      <w:r>
        <w:rPr>
          <w:rFonts w:ascii="黑体" w:hAnsi="黑体" w:cs="黑体" w:eastAsia="黑体" w:hint="default"/>
          <w:sz w:val="18"/>
          <w:szCs w:val="18"/>
        </w:rPr>
        <w:t> </w:t>
      </w:r>
      <w:r>
        <w:rPr>
          <w:rFonts w:ascii="黑体" w:hAnsi="黑体" w:cs="黑体" w:eastAsia="黑体" w:hint="default"/>
          <w:spacing w:val="8"/>
          <w:sz w:val="18"/>
          <w:szCs w:val="18"/>
        </w:rPr>
        <w:t>有限公司</w:t>
      </w:r>
      <w:r>
        <w:rPr>
          <w:rFonts w:ascii="Arial" w:hAnsi="Arial" w:cs="Arial" w:eastAsia="Arial" w:hint="default"/>
          <w:spacing w:val="8"/>
          <w:sz w:val="18"/>
          <w:szCs w:val="18"/>
        </w:rPr>
        <w:t>(</w:t>
      </w:r>
      <w:r>
        <w:rPr>
          <w:rFonts w:ascii="黑体" w:hAnsi="黑体" w:cs="黑体" w:eastAsia="黑体" w:hint="default"/>
          <w:spacing w:val="8"/>
          <w:sz w:val="18"/>
          <w:szCs w:val="18"/>
        </w:rPr>
        <w:t>以下简</w:t>
      </w:r>
      <w:r>
        <w:rPr>
          <w:rFonts w:ascii="黑体" w:hAnsi="黑体" w:cs="黑体" w:eastAsia="黑体" w:hint="default"/>
          <w:spacing w:val="-51"/>
          <w:sz w:val="18"/>
          <w:szCs w:val="18"/>
        </w:rPr>
        <w:t> </w:t>
      </w:r>
      <w:r>
        <w:rPr>
          <w:rFonts w:ascii="黑体" w:hAnsi="黑体" w:cs="黑体" w:eastAsia="黑体" w:hint="default"/>
          <w:sz w:val="18"/>
          <w:szCs w:val="18"/>
        </w:rPr>
        <w:t>公司</w:t>
      </w:r>
      <w:r>
        <w:rPr>
          <w:rFonts w:ascii="黑体" w:hAnsi="黑体" w:cs="黑体" w:eastAsia="黑体" w:hint="default"/>
          <w:sz w:val="18"/>
          <w:szCs w:val="18"/>
        </w:rPr>
        <w:t> 称</w:t>
      </w:r>
      <w:r>
        <w:rPr>
          <w:rFonts w:ascii="Arial" w:hAnsi="Arial" w:cs="Arial" w:eastAsia="Arial" w:hint="default"/>
          <w:sz w:val="18"/>
          <w:szCs w:val="18"/>
        </w:rPr>
        <w:t>“</w:t>
      </w:r>
      <w:r>
        <w:rPr>
          <w:rFonts w:ascii="黑体" w:hAnsi="黑体" w:cs="黑体" w:eastAsia="黑体" w:hint="default"/>
          <w:sz w:val="18"/>
          <w:szCs w:val="18"/>
        </w:rPr>
        <w:t>天津用友</w:t>
      </w:r>
      <w:r>
        <w:rPr>
          <w:rFonts w:ascii="Arial" w:hAnsi="Arial" w:cs="Arial" w:eastAsia="Arial" w:hint="default"/>
          <w:sz w:val="18"/>
          <w:szCs w:val="18"/>
        </w:rPr>
        <w:t>”)</w:t>
      </w:r>
    </w:p>
    <w:p>
      <w:pPr>
        <w:spacing w:line="241" w:lineRule="exact" w:before="44"/>
        <w:ind w:left="88" w:right="0" w:firstLine="0"/>
        <w:jc w:val="left"/>
        <w:rPr>
          <w:rFonts w:ascii="Arial" w:hAnsi="Arial" w:cs="Arial" w:eastAsia="Arial" w:hint="default"/>
          <w:sz w:val="18"/>
          <w:szCs w:val="18"/>
        </w:rPr>
      </w:pPr>
      <w:r>
        <w:rPr/>
        <w:br w:type="column"/>
      </w:r>
      <w:r>
        <w:rPr>
          <w:rFonts w:ascii="黑体" w:hAnsi="黑体" w:cs="黑体" w:eastAsia="黑体" w:hint="default"/>
          <w:sz w:val="18"/>
          <w:szCs w:val="18"/>
        </w:rPr>
        <w:t>天津市  郭新平</w:t>
      </w:r>
      <w:r>
        <w:rPr>
          <w:rFonts w:ascii="黑体" w:hAnsi="黑体" w:cs="黑体" w:eastAsia="黑体" w:hint="default"/>
          <w:spacing w:val="66"/>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spacing w:line="237" w:lineRule="auto" w:before="0"/>
        <w:ind w:left="1505" w:right="0" w:firstLine="0"/>
        <w:jc w:val="both"/>
        <w:rPr>
          <w:rFonts w:ascii="黑体" w:hAnsi="黑体" w:cs="黑体" w:eastAsia="黑体" w:hint="default"/>
          <w:sz w:val="18"/>
          <w:szCs w:val="18"/>
        </w:rPr>
      </w:pPr>
      <w:r>
        <w:rPr>
          <w:rFonts w:ascii="黑体" w:hAnsi="黑体" w:cs="黑体" w:eastAsia="黑体" w:hint="default"/>
          <w:sz w:val="18"/>
          <w:szCs w:val="18"/>
        </w:rPr>
        <w:t>硬件、技术 咨询及电子 行业</w:t>
      </w:r>
    </w:p>
    <w:p>
      <w:pPr>
        <w:tabs>
          <w:tab w:pos="5728" w:val="left" w:leader="none"/>
          <w:tab w:pos="6198" w:val="left" w:leader="none"/>
          <w:tab w:pos="6908" w:val="left" w:leader="none"/>
          <w:tab w:pos="7878" w:val="left" w:leader="none"/>
          <w:tab w:pos="8991" w:val="left" w:leader="none"/>
          <w:tab w:pos="10407" w:val="left" w:leader="none"/>
        </w:tabs>
        <w:spacing w:line="236" w:lineRule="exact" w:before="44"/>
        <w:ind w:left="106"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500,001</w:t>
      </w:r>
      <w:r>
        <w:rPr>
          <w:rFonts w:ascii="Arial" w:hAnsi="Arial" w:cs="Arial" w:eastAsia="Arial" w:hint="default"/>
          <w:position w:val="1"/>
          <w:sz w:val="18"/>
          <w:szCs w:val="18"/>
        </w:rPr>
        <w:t> </w:t>
      </w:r>
      <w:r>
        <w:rPr>
          <w:rFonts w:ascii="黑体" w:hAnsi="黑体" w:cs="黑体" w:eastAsia="黑体" w:hint="default"/>
          <w:sz w:val="18"/>
          <w:szCs w:val="18"/>
        </w:rPr>
        <w:t>技术开发、咨询、服务、 </w:t>
      </w:r>
      <w:r>
        <w:rPr>
          <w:rFonts w:ascii="Arial" w:hAnsi="Arial" w:cs="Arial" w:eastAsia="Arial" w:hint="default"/>
          <w:spacing w:val="-1"/>
          <w:position w:val="1"/>
          <w:sz w:val="18"/>
          <w:szCs w:val="18"/>
        </w:rPr>
        <w:t>23899671-7</w:t>
      </w:r>
      <w:r>
        <w:rPr>
          <w:rFonts w:ascii="Arial" w:hAnsi="Arial" w:cs="Arial" w:eastAsia="Arial" w:hint="default"/>
          <w:position w:val="1"/>
          <w:sz w:val="18"/>
          <w:szCs w:val="18"/>
        </w:rPr>
        <w:t>  </w:t>
      </w:r>
      <w:r>
        <w:rPr>
          <w:rFonts w:ascii="Arial" w:hAnsi="Arial" w:cs="Arial" w:eastAsia="Arial" w:hint="default"/>
          <w:spacing w:val="20"/>
          <w:position w:val="1"/>
          <w:sz w:val="18"/>
          <w:szCs w:val="18"/>
        </w:rPr>
        <w:t> </w:t>
      </w:r>
      <w:r>
        <w:rPr>
          <w:rFonts w:ascii="Arial" w:hAnsi="Arial" w:cs="Arial" w:eastAsia="Arial" w:hint="default"/>
          <w:spacing w:val="-1"/>
          <w:position w:val="1"/>
          <w:sz w:val="18"/>
          <w:szCs w:val="18"/>
        </w:rPr>
        <w:t>3,020,000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line="230" w:lineRule="auto" w:before="6"/>
        <w:ind w:left="812" w:right="7730" w:firstLine="0"/>
        <w:jc w:val="left"/>
        <w:rPr>
          <w:rFonts w:ascii="黑体" w:hAnsi="黑体" w:cs="黑体" w:eastAsia="黑体" w:hint="default"/>
          <w:sz w:val="18"/>
          <w:szCs w:val="18"/>
        </w:rPr>
      </w:pPr>
      <w:r>
        <w:rPr>
          <w:rFonts w:ascii="黑体" w:hAnsi="黑体" w:cs="黑体" w:eastAsia="黑体" w:hint="default"/>
          <w:spacing w:val="-2"/>
          <w:sz w:val="18"/>
          <w:szCs w:val="18"/>
        </w:rPr>
        <w:t>转让、培训</w:t>
      </w:r>
      <w:r>
        <w:rPr>
          <w:rFonts w:ascii="Arial" w:hAnsi="Arial" w:cs="Arial" w:eastAsia="Arial" w:hint="default"/>
          <w:spacing w:val="-2"/>
          <w:sz w:val="18"/>
          <w:szCs w:val="18"/>
        </w:rPr>
        <w:t>(</w:t>
      </w:r>
      <w:r>
        <w:rPr>
          <w:rFonts w:ascii="黑体" w:hAnsi="黑体" w:cs="黑体" w:eastAsia="黑体" w:hint="default"/>
          <w:spacing w:val="-2"/>
          <w:sz w:val="18"/>
          <w:szCs w:val="18"/>
        </w:rPr>
        <w:t>电子与信息、</w:t>
      </w:r>
      <w:r>
        <w:rPr>
          <w:rFonts w:ascii="黑体" w:hAnsi="黑体" w:cs="黑体" w:eastAsia="黑体" w:hint="default"/>
          <w:sz w:val="18"/>
          <w:szCs w:val="18"/>
        </w:rPr>
        <w:t> 机电一体化的技术及产 品</w:t>
      </w:r>
      <w:r>
        <w:rPr>
          <w:rFonts w:ascii="Arial" w:hAnsi="Arial" w:cs="Arial" w:eastAsia="Arial" w:hint="default"/>
          <w:sz w:val="18"/>
          <w:szCs w:val="18"/>
        </w:rPr>
        <w:t>)</w:t>
      </w:r>
      <w:r>
        <w:rPr>
          <w:rFonts w:ascii="黑体" w:hAnsi="黑体" w:cs="黑体" w:eastAsia="黑体" w:hint="default"/>
          <w:sz w:val="18"/>
          <w:szCs w:val="18"/>
        </w:rPr>
        <w:t>；计算机软件、文化 办公用机械批发兼零售</w:t>
      </w:r>
    </w:p>
    <w:p>
      <w:pPr>
        <w:spacing w:after="0" w:line="230" w:lineRule="auto"/>
        <w:jc w:val="left"/>
        <w:rPr>
          <w:rFonts w:ascii="黑体" w:hAnsi="黑体" w:cs="黑体" w:eastAsia="黑体" w:hint="default"/>
          <w:sz w:val="18"/>
          <w:szCs w:val="18"/>
        </w:rPr>
        <w:sectPr>
          <w:type w:val="continuous"/>
          <w:pgSz w:w="16840" w:h="11910" w:orient="landscape"/>
          <w:pgMar w:top="900" w:bottom="280" w:left="600" w:right="540"/>
          <w:cols w:num="3" w:equalWidth="0">
            <w:col w:w="2475" w:space="40"/>
            <w:col w:w="2406" w:space="201"/>
            <w:col w:w="10578"/>
          </w:cols>
        </w:sectPr>
      </w:pPr>
    </w:p>
    <w:p>
      <w:pPr>
        <w:spacing w:line="240" w:lineRule="auto" w:before="6"/>
        <w:rPr>
          <w:rFonts w:ascii="黑体" w:hAnsi="黑体" w:cs="黑体" w:eastAsia="黑体" w:hint="default"/>
          <w:sz w:val="20"/>
          <w:szCs w:val="20"/>
        </w:rPr>
      </w:pPr>
    </w:p>
    <w:p>
      <w:pPr>
        <w:spacing w:after="0" w:line="240" w:lineRule="auto"/>
        <w:rPr>
          <w:rFonts w:ascii="黑体" w:hAnsi="黑体" w:cs="黑体" w:eastAsia="黑体" w:hint="default"/>
          <w:sz w:val="20"/>
          <w:szCs w:val="20"/>
        </w:rPr>
        <w:sectPr>
          <w:type w:val="continuous"/>
          <w:pgSz w:w="16840" w:h="11910" w:orient="landscape"/>
          <w:pgMar w:top="900" w:bottom="280" w:left="600" w:right="540"/>
        </w:sectPr>
      </w:pPr>
    </w:p>
    <w:p>
      <w:pPr>
        <w:spacing w:line="232" w:lineRule="auto" w:before="50"/>
        <w:ind w:left="334" w:right="-13" w:hanging="218"/>
        <w:jc w:val="left"/>
        <w:rPr>
          <w:rFonts w:ascii="Arial" w:hAnsi="Arial" w:cs="Arial" w:eastAsia="Arial" w:hint="default"/>
          <w:sz w:val="18"/>
          <w:szCs w:val="18"/>
        </w:rPr>
      </w:pPr>
      <w:r>
        <w:rPr>
          <w:rFonts w:ascii="黑体" w:hAnsi="黑体" w:cs="黑体" w:eastAsia="黑体" w:hint="default"/>
          <w:spacing w:val="19"/>
          <w:sz w:val="18"/>
          <w:szCs w:val="18"/>
        </w:rPr>
        <w:t>安徽用友软件有限</w:t>
      </w:r>
      <w:r>
        <w:rPr>
          <w:rFonts w:ascii="黑体" w:hAnsi="黑体" w:cs="黑体" w:eastAsia="黑体" w:hint="default"/>
          <w:spacing w:val="-52"/>
          <w:sz w:val="18"/>
          <w:szCs w:val="18"/>
        </w:rPr>
        <w:t> </w:t>
      </w:r>
      <w:r>
        <w:rPr>
          <w:rFonts w:ascii="黑体" w:hAnsi="黑体" w:cs="黑体" w:eastAsia="黑体" w:hint="default"/>
          <w:sz w:val="18"/>
          <w:szCs w:val="18"/>
        </w:rPr>
        <w:t>有限责任</w:t>
      </w:r>
      <w:r>
        <w:rPr>
          <w:rFonts w:ascii="黑体" w:hAnsi="黑体" w:cs="黑体" w:eastAsia="黑体" w:hint="default"/>
          <w:sz w:val="18"/>
          <w:szCs w:val="18"/>
        </w:rPr>
        <w:t> 公司</w:t>
      </w:r>
      <w:r>
        <w:rPr>
          <w:rFonts w:ascii="Arial" w:hAnsi="Arial" w:cs="Arial" w:eastAsia="Arial" w:hint="default"/>
          <w:sz w:val="18"/>
          <w:szCs w:val="18"/>
        </w:rPr>
        <w:t>(</w:t>
      </w:r>
      <w:r>
        <w:rPr>
          <w:rFonts w:ascii="黑体" w:hAnsi="黑体" w:cs="黑体" w:eastAsia="黑体" w:hint="default"/>
          <w:sz w:val="18"/>
          <w:szCs w:val="18"/>
        </w:rPr>
        <w:t>以下简称</w:t>
      </w:r>
      <w:r>
        <w:rPr>
          <w:rFonts w:ascii="Arial" w:hAnsi="Arial" w:cs="Arial" w:eastAsia="Arial" w:hint="default"/>
          <w:sz w:val="18"/>
          <w:szCs w:val="18"/>
        </w:rPr>
        <w:t>“</w:t>
      </w:r>
      <w:r>
        <w:rPr>
          <w:rFonts w:ascii="黑体" w:hAnsi="黑体" w:cs="黑体" w:eastAsia="黑体" w:hint="default"/>
          <w:sz w:val="18"/>
          <w:szCs w:val="18"/>
        </w:rPr>
        <w:t>安</w:t>
      </w:r>
      <w:r>
        <w:rPr>
          <w:rFonts w:ascii="黑体" w:hAnsi="黑体" w:cs="黑体" w:eastAsia="黑体" w:hint="default"/>
          <w:spacing w:val="-52"/>
          <w:sz w:val="18"/>
          <w:szCs w:val="18"/>
        </w:rPr>
        <w:t> </w:t>
      </w:r>
      <w:r>
        <w:rPr>
          <w:rFonts w:ascii="黑体" w:hAnsi="黑体" w:cs="黑体" w:eastAsia="黑体" w:hint="default"/>
          <w:sz w:val="18"/>
          <w:szCs w:val="18"/>
        </w:rPr>
        <w:t>公司</w:t>
      </w:r>
      <w:r>
        <w:rPr>
          <w:rFonts w:ascii="黑体" w:hAnsi="黑体" w:cs="黑体" w:eastAsia="黑体" w:hint="default"/>
          <w:sz w:val="18"/>
          <w:szCs w:val="18"/>
        </w:rPr>
        <w:t> 徽用友</w:t>
      </w:r>
      <w:r>
        <w:rPr>
          <w:rFonts w:ascii="Arial" w:hAnsi="Arial" w:cs="Arial" w:eastAsia="Arial" w:hint="default"/>
          <w:sz w:val="18"/>
          <w:szCs w:val="18"/>
        </w:rPr>
        <w:t>”)</w:t>
      </w:r>
    </w:p>
    <w:p>
      <w:pPr>
        <w:spacing w:line="241" w:lineRule="exact" w:before="44"/>
        <w:ind w:left="88" w:right="0" w:firstLine="0"/>
        <w:jc w:val="left"/>
        <w:rPr>
          <w:rFonts w:ascii="Arial" w:hAnsi="Arial" w:cs="Arial" w:eastAsia="Arial" w:hint="default"/>
          <w:sz w:val="18"/>
          <w:szCs w:val="18"/>
        </w:rPr>
      </w:pPr>
      <w:r>
        <w:rPr/>
        <w:br w:type="column"/>
      </w:r>
      <w:r>
        <w:rPr>
          <w:rFonts w:ascii="黑体" w:hAnsi="黑体" w:cs="黑体" w:eastAsia="黑体" w:hint="default"/>
          <w:sz w:val="18"/>
          <w:szCs w:val="18"/>
        </w:rPr>
        <w:t>合肥市  郭新平</w:t>
      </w:r>
      <w:r>
        <w:rPr>
          <w:rFonts w:ascii="黑体" w:hAnsi="黑体" w:cs="黑体" w:eastAsia="黑体" w:hint="default"/>
          <w:spacing w:val="66"/>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spacing w:line="237" w:lineRule="auto" w:before="0"/>
        <w:ind w:left="1505" w:right="0" w:firstLine="0"/>
        <w:jc w:val="both"/>
        <w:rPr>
          <w:rFonts w:ascii="黑体" w:hAnsi="黑体" w:cs="黑体" w:eastAsia="黑体" w:hint="default"/>
          <w:sz w:val="18"/>
          <w:szCs w:val="18"/>
        </w:rPr>
      </w:pPr>
      <w:r>
        <w:rPr>
          <w:rFonts w:ascii="黑体" w:hAnsi="黑体" w:cs="黑体" w:eastAsia="黑体" w:hint="default"/>
          <w:sz w:val="18"/>
          <w:szCs w:val="18"/>
        </w:rPr>
        <w:t>硬件、技术 咨询及电子 行业</w:t>
      </w:r>
    </w:p>
    <w:p>
      <w:pPr>
        <w:spacing w:line="236" w:lineRule="exact" w:before="44"/>
        <w:ind w:left="116" w:right="-9" w:firstLine="0"/>
        <w:jc w:val="left"/>
        <w:rPr>
          <w:rFonts w:ascii="黑体" w:hAnsi="黑体" w:cs="黑体" w:eastAsia="黑体" w:hint="default"/>
          <w:sz w:val="18"/>
          <w:szCs w:val="18"/>
        </w:rPr>
      </w:pPr>
      <w:r>
        <w:rPr/>
        <w:br w:type="column"/>
      </w:r>
      <w:r>
        <w:rPr>
          <w:rFonts w:ascii="Arial" w:hAnsi="Arial" w:cs="Arial" w:eastAsia="Arial" w:hint="default"/>
          <w:position w:val="1"/>
          <w:sz w:val="18"/>
          <w:szCs w:val="18"/>
        </w:rPr>
        <w:t>1,200,000</w:t>
      </w:r>
      <w:r>
        <w:rPr>
          <w:rFonts w:ascii="Arial" w:hAnsi="Arial" w:cs="Arial" w:eastAsia="Arial" w:hint="default"/>
          <w:spacing w:val="-1"/>
          <w:position w:val="1"/>
          <w:sz w:val="18"/>
          <w:szCs w:val="18"/>
        </w:rPr>
        <w:t> </w:t>
      </w:r>
      <w:r>
        <w:rPr>
          <w:rFonts w:ascii="黑体" w:hAnsi="黑体" w:cs="黑体" w:eastAsia="黑体" w:hint="default"/>
          <w:spacing w:val="-5"/>
          <w:sz w:val="18"/>
          <w:szCs w:val="18"/>
        </w:rPr>
        <w:t>会计电算化、电子化推广</w:t>
      </w:r>
    </w:p>
    <w:p>
      <w:pPr>
        <w:spacing w:line="237" w:lineRule="auto" w:before="0"/>
        <w:ind w:left="972" w:right="0" w:firstLine="0"/>
        <w:jc w:val="both"/>
        <w:rPr>
          <w:rFonts w:ascii="黑体" w:hAnsi="黑体" w:cs="黑体" w:eastAsia="黑体" w:hint="default"/>
          <w:sz w:val="18"/>
          <w:szCs w:val="18"/>
        </w:rPr>
      </w:pPr>
      <w:r>
        <w:rPr>
          <w:rFonts w:ascii="黑体" w:hAnsi="黑体" w:cs="黑体" w:eastAsia="黑体" w:hint="default"/>
          <w:spacing w:val="-5"/>
          <w:sz w:val="18"/>
          <w:szCs w:val="18"/>
        </w:rPr>
        <w:t>与技术服务、计算机软件</w:t>
      </w:r>
      <w:r>
        <w:rPr>
          <w:rFonts w:ascii="黑体" w:hAnsi="黑体" w:cs="黑体" w:eastAsia="黑体" w:hint="default"/>
          <w:spacing w:val="-88"/>
          <w:sz w:val="18"/>
          <w:szCs w:val="18"/>
        </w:rPr>
        <w:t> </w:t>
      </w:r>
      <w:r>
        <w:rPr>
          <w:rFonts w:ascii="黑体" w:hAnsi="黑体" w:cs="黑体" w:eastAsia="黑体" w:hint="default"/>
          <w:spacing w:val="-88"/>
          <w:sz w:val="18"/>
          <w:szCs w:val="18"/>
        </w:rPr>
      </w:r>
      <w:r>
        <w:rPr>
          <w:rFonts w:ascii="黑体" w:hAnsi="黑体" w:cs="黑体" w:eastAsia="黑体" w:hint="default"/>
          <w:spacing w:val="-5"/>
          <w:sz w:val="18"/>
          <w:szCs w:val="18"/>
        </w:rPr>
        <w:t>开发及网络工程施工、电</w:t>
      </w:r>
      <w:r>
        <w:rPr>
          <w:rFonts w:ascii="黑体" w:hAnsi="黑体" w:cs="黑体" w:eastAsia="黑体" w:hint="default"/>
          <w:spacing w:val="-86"/>
          <w:sz w:val="18"/>
          <w:szCs w:val="18"/>
        </w:rPr>
        <w:t> </w:t>
      </w:r>
      <w:r>
        <w:rPr>
          <w:rFonts w:ascii="黑体" w:hAnsi="黑体" w:cs="黑体" w:eastAsia="黑体" w:hint="default"/>
          <w:spacing w:val="-86"/>
          <w:sz w:val="18"/>
          <w:szCs w:val="18"/>
        </w:rPr>
      </w:r>
      <w:r>
        <w:rPr>
          <w:rFonts w:ascii="黑体" w:hAnsi="黑体" w:cs="黑体" w:eastAsia="黑体" w:hint="default"/>
          <w:spacing w:val="-5"/>
          <w:sz w:val="18"/>
          <w:szCs w:val="18"/>
        </w:rPr>
        <w:t>子计算机及软件销售、培</w:t>
      </w:r>
      <w:r>
        <w:rPr>
          <w:rFonts w:ascii="黑体" w:hAnsi="黑体" w:cs="黑体" w:eastAsia="黑体" w:hint="default"/>
          <w:spacing w:val="-86"/>
          <w:sz w:val="18"/>
          <w:szCs w:val="18"/>
        </w:rPr>
        <w:t> </w:t>
      </w:r>
      <w:r>
        <w:rPr>
          <w:rFonts w:ascii="黑体" w:hAnsi="黑体" w:cs="黑体" w:eastAsia="黑体" w:hint="default"/>
          <w:spacing w:val="-86"/>
          <w:sz w:val="18"/>
          <w:szCs w:val="18"/>
        </w:rPr>
      </w:r>
      <w:r>
        <w:rPr>
          <w:rFonts w:ascii="黑体" w:hAnsi="黑体" w:cs="黑体" w:eastAsia="黑体" w:hint="default"/>
          <w:sz w:val="18"/>
          <w:szCs w:val="18"/>
        </w:rPr>
        <w:t>训</w:t>
      </w:r>
    </w:p>
    <w:p>
      <w:pPr>
        <w:tabs>
          <w:tab w:pos="2946" w:val="left" w:leader="none"/>
          <w:tab w:pos="3417" w:val="left" w:leader="none"/>
          <w:tab w:pos="4126" w:val="left" w:leader="none"/>
          <w:tab w:pos="5096" w:val="left" w:leader="none"/>
          <w:tab w:pos="6209" w:val="left" w:leader="none"/>
          <w:tab w:pos="7625" w:val="left" w:leader="none"/>
        </w:tabs>
        <w:spacing w:before="44"/>
        <w:ind w:left="64"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71100526-2</w:t>
      </w:r>
      <w:r>
        <w:rPr>
          <w:rFonts w:ascii="Arial" w:hAnsi="Arial" w:cs="Arial" w:eastAsia="Arial" w:hint="default"/>
          <w:position w:val="1"/>
          <w:sz w:val="18"/>
          <w:szCs w:val="18"/>
        </w:rPr>
        <w:t>  </w:t>
      </w:r>
      <w:r>
        <w:rPr>
          <w:rFonts w:ascii="Arial" w:hAnsi="Arial" w:cs="Arial" w:eastAsia="Arial" w:hint="default"/>
          <w:spacing w:val="48"/>
          <w:position w:val="1"/>
          <w:sz w:val="18"/>
          <w:szCs w:val="18"/>
        </w:rPr>
        <w:t> </w:t>
      </w:r>
      <w:r>
        <w:rPr>
          <w:rFonts w:ascii="Arial" w:hAnsi="Arial" w:cs="Arial" w:eastAsia="Arial" w:hint="default"/>
          <w:spacing w:val="-1"/>
          <w:position w:val="1"/>
          <w:sz w:val="18"/>
          <w:szCs w:val="18"/>
        </w:rPr>
        <w:t>1,167,000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540"/>
          <w:cols w:num="4" w:equalWidth="0">
            <w:col w:w="2474" w:space="40"/>
            <w:col w:w="2406" w:space="41"/>
            <w:col w:w="2903" w:space="40"/>
            <w:col w:w="7796"/>
          </w:cols>
        </w:sectPr>
      </w:pPr>
    </w:p>
    <w:p>
      <w:pPr>
        <w:spacing w:line="240" w:lineRule="auto" w:before="0"/>
        <w:rPr>
          <w:rFonts w:ascii="Arial" w:hAnsi="Arial" w:cs="Arial" w:eastAsia="Arial" w:hint="default"/>
          <w:sz w:val="20"/>
          <w:szCs w:val="20"/>
        </w:rPr>
      </w:pPr>
    </w:p>
    <w:p>
      <w:pPr>
        <w:spacing w:line="240" w:lineRule="auto" w:before="8"/>
        <w:rPr>
          <w:rFonts w:ascii="Arial" w:hAnsi="Arial" w:cs="Arial" w:eastAsia="Arial" w:hint="default"/>
          <w:sz w:val="17"/>
          <w:szCs w:val="17"/>
        </w:rPr>
      </w:pPr>
    </w:p>
    <w:p>
      <w:pPr>
        <w:spacing w:before="0"/>
        <w:ind w:left="107" w:right="0" w:firstLine="0"/>
        <w:jc w:val="left"/>
        <w:rPr>
          <w:rFonts w:ascii="黑体" w:hAnsi="黑体" w:cs="黑体" w:eastAsia="黑体" w:hint="default"/>
          <w:sz w:val="20"/>
          <w:szCs w:val="20"/>
        </w:rPr>
      </w:pPr>
      <w:r>
        <w:rPr>
          <w:rFonts w:ascii="黑体" w:hAnsi="黑体" w:cs="黑体" w:eastAsia="黑体" w:hint="default"/>
          <w:b/>
          <w:bCs/>
          <w:sz w:val="20"/>
          <w:szCs w:val="20"/>
        </w:rPr>
        <w:t>四、合并财务报表的合并范围（续）</w:t>
      </w:r>
      <w:r>
        <w:rPr>
          <w:rFonts w:ascii="黑体" w:hAnsi="黑体" w:cs="黑体" w:eastAsia="黑体" w:hint="default"/>
          <w:sz w:val="20"/>
          <w:szCs w:val="20"/>
        </w:rPr>
      </w:r>
    </w:p>
    <w:p>
      <w:pPr>
        <w:spacing w:line="240" w:lineRule="auto" w:before="4"/>
        <w:rPr>
          <w:rFonts w:ascii="黑体" w:hAnsi="黑体" w:cs="黑体" w:eastAsia="黑体" w:hint="default"/>
          <w:b/>
          <w:bCs/>
          <w:sz w:val="17"/>
          <w:szCs w:val="17"/>
        </w:rPr>
      </w:pPr>
    </w:p>
    <w:p>
      <w:pPr>
        <w:spacing w:before="0"/>
        <w:ind w:left="170" w:right="0" w:firstLine="0"/>
        <w:jc w:val="left"/>
        <w:rPr>
          <w:rFonts w:ascii="黑体" w:hAnsi="黑体" w:cs="黑体" w:eastAsia="黑体" w:hint="default"/>
          <w:sz w:val="20"/>
          <w:szCs w:val="20"/>
        </w:rPr>
      </w:pPr>
      <w:r>
        <w:rPr>
          <w:rFonts w:ascii="Arial" w:hAnsi="Arial" w:cs="Arial" w:eastAsia="Arial" w:hint="default"/>
          <w:b/>
          <w:bCs/>
          <w:sz w:val="20"/>
          <w:szCs w:val="20"/>
        </w:rPr>
        <w:t>1.  </w:t>
      </w:r>
      <w:r>
        <w:rPr>
          <w:rFonts w:ascii="Arial" w:hAnsi="Arial" w:cs="Arial" w:eastAsia="Arial" w:hint="default"/>
          <w:b/>
          <w:bCs/>
          <w:spacing w:val="31"/>
          <w:sz w:val="20"/>
          <w:szCs w:val="20"/>
        </w:rPr>
        <w:t> </w:t>
      </w:r>
      <w:r>
        <w:rPr>
          <w:rFonts w:ascii="黑体" w:hAnsi="黑体" w:cs="黑体" w:eastAsia="黑体" w:hint="default"/>
          <w:b/>
          <w:bCs/>
          <w:sz w:val="20"/>
          <w:szCs w:val="20"/>
        </w:rPr>
        <w:t>子公司情况（续）</w:t>
      </w:r>
      <w:r>
        <w:rPr>
          <w:rFonts w:ascii="黑体" w:hAnsi="黑体" w:cs="黑体" w:eastAsia="黑体" w:hint="default"/>
          <w:sz w:val="20"/>
          <w:szCs w:val="20"/>
        </w:rPr>
      </w:r>
    </w:p>
    <w:p>
      <w:pPr>
        <w:spacing w:line="240" w:lineRule="auto" w:before="5"/>
        <w:rPr>
          <w:rFonts w:ascii="黑体" w:hAnsi="黑体" w:cs="黑体" w:eastAsia="黑体" w:hint="default"/>
          <w:b/>
          <w:bCs/>
          <w:sz w:val="13"/>
          <w:szCs w:val="13"/>
        </w:rPr>
      </w:pPr>
    </w:p>
    <w:p>
      <w:pPr>
        <w:spacing w:after="0" w:line="240" w:lineRule="auto"/>
        <w:rPr>
          <w:rFonts w:ascii="黑体" w:hAnsi="黑体" w:cs="黑体" w:eastAsia="黑体" w:hint="default"/>
          <w:sz w:val="13"/>
          <w:szCs w:val="13"/>
        </w:rPr>
        <w:sectPr>
          <w:pgSz w:w="16840" w:h="11910" w:orient="landscape"/>
          <w:pgMar w:header="958" w:footer="496" w:top="2380" w:bottom="680" w:left="600" w:right="260"/>
        </w:sectPr>
      </w:pPr>
    </w:p>
    <w:p>
      <w:pPr>
        <w:pStyle w:val="BodyText"/>
        <w:spacing w:line="331" w:lineRule="auto" w:before="38"/>
        <w:ind w:left="107" w:right="0"/>
        <w:jc w:val="left"/>
      </w:pPr>
      <w:r>
        <w:rPr/>
        <w:t>本集团重要子公司的情况如下（续）：</w:t>
      </w:r>
      <w:r>
        <w:rPr>
          <w:w w:val="100"/>
        </w:rPr>
        <w:t> </w:t>
      </w:r>
      <w:r>
        <w:rPr>
          <w:spacing w:val="-1"/>
        </w:rPr>
        <w:t>通过设立或投资等方式取得的子公司（续）</w:t>
      </w:r>
    </w:p>
    <w:p>
      <w:pPr>
        <w:spacing w:line="240" w:lineRule="auto" w:before="0"/>
        <w:rPr>
          <w:rFonts w:ascii="黑体" w:hAnsi="黑体" w:cs="黑体" w:eastAsia="黑体" w:hint="default"/>
          <w:sz w:val="18"/>
          <w:szCs w:val="18"/>
        </w:rPr>
      </w:pPr>
      <w:r>
        <w:rPr/>
        <w:br w:type="column"/>
      </w:r>
      <w:r>
        <w:rPr>
          <w:rFonts w:ascii="黑体"/>
          <w:sz w:val="18"/>
        </w:rPr>
      </w:r>
    </w:p>
    <w:p>
      <w:pPr>
        <w:spacing w:line="240" w:lineRule="auto" w:before="0"/>
        <w:rPr>
          <w:rFonts w:ascii="黑体" w:hAnsi="黑体" w:cs="黑体" w:eastAsia="黑体" w:hint="default"/>
          <w:sz w:val="18"/>
          <w:szCs w:val="18"/>
        </w:rPr>
      </w:pPr>
    </w:p>
    <w:p>
      <w:pPr>
        <w:spacing w:line="240" w:lineRule="auto" w:before="12"/>
        <w:rPr>
          <w:rFonts w:ascii="黑体" w:hAnsi="黑体" w:cs="黑体" w:eastAsia="黑体" w:hint="default"/>
          <w:sz w:val="21"/>
          <w:szCs w:val="21"/>
        </w:rPr>
      </w:pPr>
    </w:p>
    <w:p>
      <w:pPr>
        <w:tabs>
          <w:tab w:pos="4321" w:val="left" w:leader="none"/>
        </w:tabs>
        <w:spacing w:before="0"/>
        <w:ind w:left="107" w:right="0" w:firstLine="0"/>
        <w:jc w:val="left"/>
        <w:rPr>
          <w:rFonts w:ascii="黑体" w:hAnsi="黑体" w:cs="黑体" w:eastAsia="黑体" w:hint="default"/>
          <w:sz w:val="18"/>
          <w:szCs w:val="18"/>
        </w:rPr>
      </w:pPr>
      <w:r>
        <w:rPr>
          <w:rFonts w:ascii="黑体" w:hAnsi="黑体" w:cs="黑体" w:eastAsia="黑体" w:hint="default"/>
          <w:sz w:val="18"/>
          <w:szCs w:val="18"/>
        </w:rPr>
        <w:t>实质上构成</w:t>
        <w:tab/>
        <w:t>少数股东权益</w:t>
      </w:r>
    </w:p>
    <w:p>
      <w:pPr>
        <w:spacing w:after="0"/>
        <w:jc w:val="left"/>
        <w:rPr>
          <w:rFonts w:ascii="黑体" w:hAnsi="黑体" w:cs="黑体" w:eastAsia="黑体" w:hint="default"/>
          <w:sz w:val="18"/>
          <w:szCs w:val="18"/>
        </w:rPr>
        <w:sectPr>
          <w:type w:val="continuous"/>
          <w:pgSz w:w="16840" w:h="11910" w:orient="landscape"/>
          <w:pgMar w:top="900" w:bottom="280" w:left="600" w:right="260"/>
          <w:cols w:num="2" w:equalWidth="0">
            <w:col w:w="3908" w:space="6563"/>
            <w:col w:w="5509"/>
          </w:cols>
        </w:sectPr>
      </w:pPr>
    </w:p>
    <w:p>
      <w:pPr>
        <w:tabs>
          <w:tab w:pos="2238" w:val="left" w:leader="none"/>
          <w:tab w:pos="3086" w:val="left" w:leader="none"/>
          <w:tab w:pos="3880" w:val="left" w:leader="none"/>
          <w:tab w:pos="4588" w:val="left" w:leader="none"/>
          <w:tab w:pos="5726" w:val="left" w:leader="none"/>
          <w:tab w:pos="7105" w:val="left" w:leader="none"/>
          <w:tab w:pos="8773" w:val="left" w:leader="none"/>
          <w:tab w:pos="9133" w:val="left" w:leader="none"/>
          <w:tab w:pos="9766" w:val="left" w:leader="none"/>
          <w:tab w:pos="9946" w:val="left" w:leader="none"/>
          <w:tab w:pos="11684" w:val="left" w:leader="none"/>
          <w:tab w:pos="12394" w:val="left" w:leader="none"/>
          <w:tab w:pos="13246" w:val="left" w:leader="none"/>
          <w:tab w:pos="14095" w:val="left" w:leader="none"/>
          <w:tab w:pos="14792" w:val="left" w:leader="none"/>
        </w:tabs>
        <w:spacing w:line="249" w:lineRule="auto" w:before="38"/>
        <w:ind w:left="138" w:right="105" w:firstLine="2100"/>
        <w:jc w:val="right"/>
        <w:rPr>
          <w:rFonts w:ascii="黑体" w:hAnsi="黑体" w:cs="黑体" w:eastAsia="黑体" w:hint="default"/>
          <w:sz w:val="18"/>
          <w:szCs w:val="18"/>
        </w:rPr>
      </w:pPr>
      <w:r>
        <w:rPr>
          <w:rFonts w:ascii="黑体" w:hAnsi="黑体" w:cs="黑体" w:eastAsia="黑体" w:hint="default"/>
          <w:position w:val="-2"/>
          <w:sz w:val="18"/>
          <w:szCs w:val="18"/>
        </w:rPr>
        <w:t>子公司</w:t>
        <w:tab/>
        <w:tab/>
      </w:r>
      <w:r>
        <w:rPr>
          <w:rFonts w:ascii="黑体" w:hAnsi="黑体" w:cs="黑体" w:eastAsia="黑体" w:hint="default"/>
          <w:sz w:val="18"/>
          <w:szCs w:val="18"/>
        </w:rPr>
        <w:t>法人</w:t>
        <w:tab/>
        <w:tab/>
        <w:tab/>
        <w:tab/>
        <w:t>组织机构</w:t>
        <w:tab/>
        <w:t>年末实际</w:t>
      </w:r>
      <w:r>
        <w:rPr>
          <w:rFonts w:ascii="黑体" w:hAnsi="黑体" w:cs="黑体" w:eastAsia="黑体" w:hint="default"/>
          <w:spacing w:val="2"/>
          <w:sz w:val="18"/>
          <w:szCs w:val="18"/>
        </w:rPr>
        <w:t> </w:t>
      </w:r>
      <w:r>
        <w:rPr>
          <w:rFonts w:ascii="黑体" w:hAnsi="黑体" w:cs="黑体" w:eastAsia="黑体" w:hint="default"/>
          <w:sz w:val="18"/>
          <w:szCs w:val="18"/>
        </w:rPr>
        <w:t>净投资的其</w:t>
        <w:tab/>
        <w:t>持股</w:t>
        <w:tab/>
        <w:t>表决</w:t>
        <w:tab/>
        <w:t>是否 少数股东 </w:t>
      </w:r>
      <w:r>
        <w:rPr>
          <w:rFonts w:ascii="黑体" w:hAnsi="黑体" w:cs="黑体" w:eastAsia="黑体" w:hint="default"/>
          <w:spacing w:val="16"/>
          <w:sz w:val="18"/>
          <w:szCs w:val="18"/>
        </w:rPr>
        <w:t> </w:t>
      </w:r>
      <w:r>
        <w:rPr>
          <w:rFonts w:ascii="黑体" w:hAnsi="黑体" w:cs="黑体" w:eastAsia="黑体" w:hint="default"/>
          <w:sz w:val="18"/>
          <w:szCs w:val="18"/>
        </w:rPr>
        <w:t>中用于冲减少数</w:t>
      </w:r>
      <w:r>
        <w:rPr>
          <w:rFonts w:ascii="黑体" w:hAnsi="黑体" w:cs="黑体" w:eastAsia="黑体" w:hint="default"/>
          <w:sz w:val="18"/>
          <w:szCs w:val="18"/>
        </w:rPr>
        <w:t> 被投资单位名称</w:t>
        <w:tab/>
      </w:r>
      <w:r>
        <w:rPr>
          <w:rFonts w:ascii="黑体" w:hAnsi="黑体" w:cs="黑体" w:eastAsia="黑体" w:hint="default"/>
          <w:position w:val="-2"/>
          <w:sz w:val="18"/>
          <w:szCs w:val="18"/>
        </w:rPr>
        <w:t>类型</w:t>
        <w:tab/>
      </w:r>
      <w:r>
        <w:rPr>
          <w:rFonts w:ascii="黑体" w:hAnsi="黑体" w:cs="黑体" w:eastAsia="黑体" w:hint="default"/>
          <w:sz w:val="18"/>
          <w:szCs w:val="18"/>
        </w:rPr>
        <w:t>注册地</w:t>
        <w:tab/>
        <w:t>代表</w:t>
        <w:tab/>
        <w:t>业务性质</w:t>
        <w:tab/>
        <w:t>注册资本</w:t>
        <w:tab/>
        <w:t>经营范围</w:t>
        <w:tab/>
        <w:tab/>
        <w:t>代码</w:t>
        <w:tab/>
        <w:tab/>
        <w:t>出资额</w:t>
      </w:r>
      <w:r>
        <w:rPr>
          <w:rFonts w:ascii="黑体" w:hAnsi="黑体" w:cs="黑体" w:eastAsia="黑体" w:hint="default"/>
          <w:spacing w:val="2"/>
          <w:sz w:val="18"/>
          <w:szCs w:val="18"/>
        </w:rPr>
        <w:t> </w:t>
      </w:r>
      <w:r>
        <w:rPr>
          <w:rFonts w:ascii="黑体" w:hAnsi="黑体" w:cs="黑体" w:eastAsia="黑体" w:hint="default"/>
          <w:sz w:val="18"/>
          <w:szCs w:val="18"/>
        </w:rPr>
        <w:t>他项目余额</w:t>
        <w:tab/>
        <w:t>比例  权比例</w:t>
      </w:r>
      <w:r>
        <w:rPr>
          <w:rFonts w:ascii="黑体" w:hAnsi="黑体" w:cs="黑体" w:eastAsia="黑体" w:hint="default"/>
          <w:spacing w:val="30"/>
          <w:sz w:val="18"/>
          <w:szCs w:val="18"/>
        </w:rPr>
        <w:t> </w:t>
      </w:r>
      <w:r>
        <w:rPr>
          <w:rFonts w:ascii="黑体" w:hAnsi="黑体" w:cs="黑体" w:eastAsia="黑体" w:hint="default"/>
          <w:sz w:val="18"/>
          <w:szCs w:val="18"/>
        </w:rPr>
        <w:t>合并报表</w:t>
        <w:tab/>
        <w:t>权益</w:t>
        <w:tab/>
        <w:t>股东损益金额</w:t>
      </w:r>
    </w:p>
    <w:p>
      <w:pPr>
        <w:tabs>
          <w:tab w:pos="708" w:val="left" w:leader="none"/>
          <w:tab w:pos="3707" w:val="left" w:leader="none"/>
        </w:tabs>
        <w:spacing w:before="11"/>
        <w:ind w:left="0" w:right="105" w:firstLine="0"/>
        <w:jc w:val="right"/>
        <w:rPr>
          <w:rFonts w:ascii="Arial" w:hAnsi="Arial" w:cs="Arial" w:eastAsia="Arial" w:hint="default"/>
          <w:sz w:val="18"/>
          <w:szCs w:val="18"/>
        </w:rPr>
      </w:pPr>
      <w:r>
        <w:rPr>
          <w:rFonts w:ascii="Arial" w:hAnsi="Arial" w:cs="Arial" w:eastAsia="Arial" w:hint="default"/>
          <w:spacing w:val="-1"/>
          <w:sz w:val="18"/>
          <w:szCs w:val="18"/>
        </w:rPr>
        <w:t>(%)</w:t>
        <w:tab/>
        <w:t>(%)</w:t>
        <w:tab/>
        <w:t>(</w:t>
      </w:r>
      <w:r>
        <w:rPr>
          <w:rFonts w:ascii="黑体" w:hAnsi="黑体" w:cs="黑体" w:eastAsia="黑体" w:hint="default"/>
          <w:spacing w:val="-1"/>
          <w:sz w:val="18"/>
          <w:szCs w:val="18"/>
        </w:rPr>
        <w:t>注</w:t>
      </w:r>
      <w:r>
        <w:rPr>
          <w:rFonts w:ascii="Arial" w:hAnsi="Arial" w:cs="Arial" w:eastAsia="Arial" w:hint="default"/>
          <w:spacing w:val="-1"/>
          <w:sz w:val="18"/>
          <w:szCs w:val="18"/>
        </w:rPr>
        <w:t>8)</w:t>
      </w:r>
      <w:r>
        <w:rPr>
          <w:rFonts w:ascii="Arial" w:hAnsi="Arial" w:cs="Arial" w:eastAsia="Arial" w:hint="default"/>
          <w:sz w:val="18"/>
          <w:szCs w:val="18"/>
        </w:rPr>
      </w:r>
    </w:p>
    <w:p>
      <w:pPr>
        <w:spacing w:line="240" w:lineRule="auto" w:before="11"/>
        <w:rPr>
          <w:rFonts w:ascii="Arial" w:hAnsi="Arial" w:cs="Arial" w:eastAsia="Arial" w:hint="default"/>
          <w:sz w:val="21"/>
          <w:szCs w:val="21"/>
        </w:rPr>
      </w:pPr>
    </w:p>
    <w:p>
      <w:pPr>
        <w:spacing w:after="0" w:line="240" w:lineRule="auto"/>
        <w:rPr>
          <w:rFonts w:ascii="Arial" w:hAnsi="Arial" w:cs="Arial" w:eastAsia="Arial" w:hint="default"/>
          <w:sz w:val="21"/>
          <w:szCs w:val="21"/>
        </w:rPr>
        <w:sectPr>
          <w:type w:val="continuous"/>
          <w:pgSz w:w="16840" w:h="11910" w:orient="landscape"/>
          <w:pgMar w:top="900" w:bottom="280" w:left="600" w:right="260"/>
        </w:sectPr>
      </w:pPr>
    </w:p>
    <w:p>
      <w:pPr>
        <w:spacing w:before="78"/>
        <w:ind w:left="138" w:right="-17" w:firstLine="0"/>
        <w:jc w:val="left"/>
        <w:rPr>
          <w:rFonts w:ascii="Arial" w:hAnsi="Arial" w:cs="Arial" w:eastAsia="Arial" w:hint="default"/>
          <w:sz w:val="18"/>
          <w:szCs w:val="18"/>
        </w:rPr>
      </w:pPr>
      <w:r>
        <w:rPr>
          <w:rFonts w:ascii="Arial"/>
          <w:sz w:val="18"/>
        </w:rPr>
        <w:t>UF</w:t>
      </w:r>
      <w:r>
        <w:rPr>
          <w:rFonts w:ascii="Arial"/>
          <w:spacing w:val="-2"/>
          <w:sz w:val="18"/>
        </w:rPr>
        <w:t> </w:t>
      </w:r>
      <w:r>
        <w:rPr>
          <w:rFonts w:ascii="Arial"/>
          <w:sz w:val="18"/>
        </w:rPr>
        <w:t>INTERNATIONAL</w:t>
      </w:r>
    </w:p>
    <w:p>
      <w:pPr>
        <w:spacing w:before="44"/>
        <w:ind w:left="138" w:right="-20" w:firstLine="0"/>
        <w:jc w:val="left"/>
        <w:rPr>
          <w:rFonts w:ascii="黑体" w:hAnsi="黑体" w:cs="黑体" w:eastAsia="黑体" w:hint="default"/>
          <w:sz w:val="18"/>
          <w:szCs w:val="18"/>
        </w:rPr>
      </w:pPr>
      <w:r>
        <w:rPr/>
        <w:br w:type="column"/>
      </w:r>
      <w:r>
        <w:rPr>
          <w:rFonts w:ascii="黑体" w:hAnsi="黑体" w:cs="黑体" w:eastAsia="黑体" w:hint="default"/>
          <w:sz w:val="18"/>
          <w:szCs w:val="18"/>
        </w:rPr>
        <w:t>有限责任</w:t>
      </w:r>
    </w:p>
    <w:p>
      <w:pPr>
        <w:tabs>
          <w:tab w:pos="1589" w:val="left" w:leader="none"/>
        </w:tabs>
        <w:spacing w:before="50"/>
        <w:ind w:left="88" w:right="-20" w:firstLine="0"/>
        <w:jc w:val="left"/>
        <w:rPr>
          <w:rFonts w:ascii="黑体" w:hAnsi="黑体" w:cs="黑体" w:eastAsia="黑体" w:hint="default"/>
          <w:sz w:val="18"/>
          <w:szCs w:val="18"/>
        </w:rPr>
      </w:pPr>
      <w:r>
        <w:rPr/>
        <w:br w:type="column"/>
      </w:r>
      <w:r>
        <w:rPr>
          <w:rFonts w:ascii="黑体" w:hAnsi="黑体" w:cs="黑体" w:eastAsia="黑体" w:hint="default"/>
          <w:sz w:val="18"/>
          <w:szCs w:val="18"/>
        </w:rPr>
        <w:t>英属维尔</w:t>
      </w:r>
      <w:r>
        <w:rPr>
          <w:rFonts w:ascii="黑体" w:hAnsi="黑体" w:cs="黑体" w:eastAsia="黑体" w:hint="default"/>
          <w:spacing w:val="-18"/>
          <w:sz w:val="18"/>
          <w:szCs w:val="18"/>
        </w:rPr>
        <w:t> </w:t>
      </w:r>
      <w:r>
        <w:rPr>
          <w:rFonts w:ascii="Arial" w:hAnsi="Arial" w:cs="Arial" w:eastAsia="Arial" w:hint="default"/>
          <w:position w:val="1"/>
          <w:sz w:val="18"/>
          <w:szCs w:val="18"/>
        </w:rPr>
        <w:t>NA</w:t>
        <w:tab/>
      </w:r>
      <w:r>
        <w:rPr>
          <w:rFonts w:ascii="黑体" w:hAnsi="黑体" w:cs="黑体" w:eastAsia="黑体" w:hint="default"/>
          <w:sz w:val="18"/>
          <w:szCs w:val="18"/>
        </w:rPr>
        <w:t>投资控股、</w:t>
      </w:r>
    </w:p>
    <w:p>
      <w:pPr>
        <w:spacing w:before="50"/>
        <w:ind w:left="138" w:right="-18" w:firstLine="0"/>
        <w:jc w:val="left"/>
        <w:rPr>
          <w:rFonts w:ascii="黑体" w:hAnsi="黑体" w:cs="黑体" w:eastAsia="黑体" w:hint="default"/>
          <w:sz w:val="18"/>
          <w:szCs w:val="18"/>
        </w:rPr>
      </w:pPr>
      <w:r>
        <w:rPr/>
        <w:br w:type="column"/>
      </w:r>
      <w:r>
        <w:rPr>
          <w:rFonts w:ascii="黑体" w:hAnsi="黑体" w:cs="黑体" w:eastAsia="黑体" w:hint="default"/>
          <w:sz w:val="18"/>
          <w:szCs w:val="18"/>
        </w:rPr>
        <w:t>美元</w:t>
      </w:r>
      <w:r>
        <w:rPr>
          <w:rFonts w:ascii="黑体" w:hAnsi="黑体" w:cs="黑体" w:eastAsia="黑体" w:hint="default"/>
          <w:spacing w:val="11"/>
          <w:sz w:val="18"/>
          <w:szCs w:val="18"/>
        </w:rPr>
        <w:t> </w:t>
      </w:r>
      <w:r>
        <w:rPr>
          <w:rFonts w:ascii="黑体" w:hAnsi="黑体" w:cs="黑体" w:eastAsia="黑体" w:hint="default"/>
          <w:spacing w:val="-5"/>
          <w:sz w:val="18"/>
          <w:szCs w:val="18"/>
        </w:rPr>
        <w:t>投资控股、计算机软件开</w:t>
      </w:r>
    </w:p>
    <w:p>
      <w:pPr>
        <w:tabs>
          <w:tab w:pos="2602" w:val="left" w:leader="none"/>
          <w:tab w:pos="2929" w:val="left" w:leader="none"/>
          <w:tab w:pos="3639" w:val="left" w:leader="none"/>
          <w:tab w:pos="4610" w:val="left" w:leader="none"/>
          <w:tab w:pos="5580" w:val="left" w:leader="none"/>
          <w:tab w:pos="6997" w:val="left" w:leader="none"/>
        </w:tabs>
        <w:spacing w:before="50"/>
        <w:ind w:left="138" w:right="0" w:firstLine="0"/>
        <w:jc w:val="left"/>
        <w:rPr>
          <w:rFonts w:ascii="Arial" w:hAnsi="Arial" w:cs="Arial" w:eastAsia="Arial" w:hint="default"/>
          <w:sz w:val="18"/>
          <w:szCs w:val="18"/>
        </w:rPr>
      </w:pPr>
      <w:r>
        <w:rPr/>
        <w:br w:type="column"/>
      </w:r>
      <w:r>
        <w:rPr>
          <w:rFonts w:ascii="黑体" w:hAnsi="黑体" w:cs="黑体" w:eastAsia="黑体" w:hint="default"/>
          <w:sz w:val="18"/>
          <w:szCs w:val="18"/>
        </w:rPr>
        <w:t>不适用</w:t>
      </w:r>
      <w:r>
        <w:rPr>
          <w:rFonts w:ascii="黑体" w:hAnsi="黑体" w:cs="黑体" w:eastAsia="黑体" w:hint="default"/>
          <w:spacing w:val="4"/>
          <w:sz w:val="18"/>
          <w:szCs w:val="18"/>
        </w:rPr>
        <w:t> </w:t>
      </w:r>
      <w:r>
        <w:rPr>
          <w:rFonts w:ascii="Arial" w:hAnsi="Arial" w:cs="Arial" w:eastAsia="Arial" w:hint="default"/>
          <w:spacing w:val="-1"/>
          <w:position w:val="1"/>
          <w:sz w:val="18"/>
          <w:szCs w:val="18"/>
        </w:rPr>
        <w:t>21,928,859</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260"/>
          <w:cols w:num="5" w:equalWidth="0">
            <w:col w:w="1870" w:space="230"/>
            <w:col w:w="859" w:space="40"/>
            <w:col w:w="2490" w:space="415"/>
            <w:col w:w="2527" w:space="384"/>
            <w:col w:w="7165"/>
          </w:cols>
        </w:sectPr>
      </w:pPr>
    </w:p>
    <w:p>
      <w:pPr>
        <w:tabs>
          <w:tab w:pos="2238" w:val="left" w:leader="none"/>
        </w:tabs>
        <w:spacing w:line="223" w:lineRule="exact" w:before="27"/>
        <w:ind w:left="318" w:right="-20" w:firstLine="0"/>
        <w:jc w:val="left"/>
        <w:rPr>
          <w:rFonts w:ascii="黑体" w:hAnsi="黑体" w:cs="黑体" w:eastAsia="黑体" w:hint="default"/>
          <w:sz w:val="18"/>
          <w:szCs w:val="18"/>
        </w:rPr>
      </w:pPr>
      <w:r>
        <w:rPr>
          <w:rFonts w:ascii="Arial" w:hAnsi="Arial" w:cs="Arial" w:eastAsia="Arial" w:hint="default"/>
          <w:sz w:val="18"/>
          <w:szCs w:val="18"/>
        </w:rPr>
        <w:t>HOLDINGS.,LTD.</w:t>
        <w:tab/>
      </w:r>
      <w:r>
        <w:rPr>
          <w:rFonts w:ascii="黑体" w:hAnsi="黑体" w:cs="黑体" w:eastAsia="黑体" w:hint="default"/>
          <w:position w:val="-3"/>
          <w:sz w:val="18"/>
          <w:szCs w:val="18"/>
        </w:rPr>
        <w:t>公司</w:t>
      </w:r>
      <w:r>
        <w:rPr>
          <w:rFonts w:ascii="黑体" w:hAnsi="黑体" w:cs="黑体" w:eastAsia="黑体" w:hint="default"/>
          <w:sz w:val="18"/>
          <w:szCs w:val="18"/>
        </w:rPr>
      </w:r>
    </w:p>
    <w:p>
      <w:pPr>
        <w:spacing w:line="236" w:lineRule="exact" w:before="0"/>
        <w:ind w:left="318" w:right="-20" w:firstLine="0"/>
        <w:jc w:val="left"/>
        <w:rPr>
          <w:rFonts w:ascii="黑体" w:hAnsi="黑体" w:cs="黑体" w:eastAsia="黑体" w:hint="default"/>
          <w:sz w:val="18"/>
          <w:szCs w:val="18"/>
        </w:rPr>
      </w:pPr>
      <w:r>
        <w:rPr>
          <w:rFonts w:ascii="Arial" w:hAnsi="Arial" w:cs="Arial" w:eastAsia="Arial" w:hint="default"/>
          <w:sz w:val="18"/>
          <w:szCs w:val="18"/>
        </w:rPr>
        <w:t>(</w:t>
      </w:r>
      <w:r>
        <w:rPr>
          <w:rFonts w:ascii="黑体" w:hAnsi="黑体" w:cs="黑体" w:eastAsia="黑体" w:hint="default"/>
          <w:sz w:val="18"/>
          <w:szCs w:val="18"/>
        </w:rPr>
        <w:t>以下简称</w:t>
      </w:r>
    </w:p>
    <w:p>
      <w:pPr>
        <w:spacing w:before="48"/>
        <w:ind w:left="294" w:right="-20" w:firstLine="0"/>
        <w:jc w:val="left"/>
        <w:rPr>
          <w:rFonts w:ascii="Arial" w:hAnsi="Arial" w:cs="Arial" w:eastAsia="Arial" w:hint="default"/>
          <w:sz w:val="18"/>
          <w:szCs w:val="18"/>
        </w:rPr>
      </w:pPr>
      <w:r>
        <w:rPr>
          <w:rFonts w:ascii="Arial" w:hAnsi="Arial" w:cs="Arial" w:eastAsia="Arial" w:hint="default"/>
          <w:sz w:val="18"/>
          <w:szCs w:val="18"/>
        </w:rPr>
        <w:t>UF</w:t>
      </w:r>
      <w:r>
        <w:rPr>
          <w:rFonts w:ascii="Arial" w:hAnsi="Arial" w:cs="Arial" w:eastAsia="Arial" w:hint="default"/>
          <w:spacing w:val="-2"/>
          <w:sz w:val="18"/>
          <w:szCs w:val="18"/>
        </w:rPr>
        <w:t> </w:t>
      </w:r>
      <w:r>
        <w:rPr>
          <w:rFonts w:ascii="Arial" w:hAnsi="Arial" w:cs="Arial" w:eastAsia="Arial" w:hint="default"/>
          <w:sz w:val="18"/>
          <w:szCs w:val="18"/>
        </w:rPr>
        <w:t>INTERNATIONAL”)</w:t>
      </w:r>
    </w:p>
    <w:p>
      <w:pPr>
        <w:spacing w:before="30"/>
        <w:ind w:left="294" w:right="-20" w:firstLine="0"/>
        <w:jc w:val="left"/>
        <w:rPr>
          <w:rFonts w:ascii="黑体" w:hAnsi="黑体" w:cs="黑体" w:eastAsia="黑体" w:hint="default"/>
          <w:sz w:val="18"/>
          <w:szCs w:val="18"/>
        </w:rPr>
      </w:pPr>
      <w:r>
        <w:rPr/>
        <w:br w:type="column"/>
      </w:r>
      <w:r>
        <w:rPr>
          <w:rFonts w:ascii="黑体" w:hAnsi="黑体" w:cs="黑体" w:eastAsia="黑体" w:hint="default"/>
          <w:sz w:val="18"/>
          <w:szCs w:val="18"/>
        </w:rPr>
        <w:t>京群岛</w:t>
      </w:r>
    </w:p>
    <w:p>
      <w:pPr>
        <w:spacing w:line="273" w:lineRule="auto" w:before="30"/>
        <w:ind w:left="294" w:right="0" w:firstLine="0"/>
        <w:jc w:val="both"/>
        <w:rPr>
          <w:rFonts w:ascii="黑体" w:hAnsi="黑体" w:cs="黑体" w:eastAsia="黑体" w:hint="default"/>
          <w:sz w:val="18"/>
          <w:szCs w:val="18"/>
        </w:rPr>
      </w:pPr>
      <w:r>
        <w:rPr/>
        <w:br w:type="column"/>
      </w:r>
      <w:r>
        <w:rPr>
          <w:rFonts w:ascii="黑体" w:hAnsi="黑体" w:cs="黑体" w:eastAsia="黑体" w:hint="default"/>
          <w:sz w:val="18"/>
          <w:szCs w:val="18"/>
        </w:rPr>
        <w:t>计算机软件 开发及技术 咨询</w:t>
      </w:r>
    </w:p>
    <w:p>
      <w:pPr>
        <w:spacing w:before="30"/>
        <w:ind w:left="294" w:right="0" w:firstLine="0"/>
        <w:jc w:val="left"/>
        <w:rPr>
          <w:rFonts w:ascii="黑体" w:hAnsi="黑体" w:cs="黑体" w:eastAsia="黑体" w:hint="default"/>
          <w:sz w:val="18"/>
          <w:szCs w:val="18"/>
        </w:rPr>
      </w:pPr>
      <w:r>
        <w:rPr/>
        <w:br w:type="column"/>
      </w:r>
      <w:r>
        <w:rPr>
          <w:rFonts w:ascii="Arial" w:hAnsi="Arial" w:cs="Arial" w:eastAsia="Arial" w:hint="default"/>
          <w:position w:val="1"/>
          <w:sz w:val="18"/>
          <w:szCs w:val="18"/>
        </w:rPr>
        <w:t>20,000</w:t>
      </w:r>
      <w:r>
        <w:rPr>
          <w:rFonts w:ascii="Arial" w:hAnsi="Arial" w:cs="Arial" w:eastAsia="Arial" w:hint="default"/>
          <w:spacing w:val="-1"/>
          <w:position w:val="1"/>
          <w:sz w:val="18"/>
          <w:szCs w:val="18"/>
        </w:rPr>
        <w:t> </w:t>
      </w:r>
      <w:r>
        <w:rPr>
          <w:rFonts w:ascii="黑体" w:hAnsi="黑体" w:cs="黑体" w:eastAsia="黑体" w:hint="default"/>
          <w:sz w:val="18"/>
          <w:szCs w:val="18"/>
        </w:rPr>
        <w:t>发及技术咨询</w:t>
      </w:r>
    </w:p>
    <w:p>
      <w:pPr>
        <w:spacing w:after="0"/>
        <w:jc w:val="left"/>
        <w:rPr>
          <w:rFonts w:ascii="黑体" w:hAnsi="黑体" w:cs="黑体" w:eastAsia="黑体" w:hint="default"/>
          <w:sz w:val="18"/>
          <w:szCs w:val="18"/>
        </w:rPr>
        <w:sectPr>
          <w:type w:val="continuous"/>
          <w:pgSz w:w="16840" w:h="11910" w:orient="landscape"/>
          <w:pgMar w:top="900" w:bottom="280" w:left="600" w:right="260"/>
          <w:cols w:num="4" w:equalWidth="0">
            <w:col w:w="2599" w:space="193"/>
            <w:col w:w="835" w:space="666"/>
            <w:col w:w="1195" w:space="114"/>
            <w:col w:w="10378"/>
          </w:cols>
        </w:sectPr>
      </w:pPr>
    </w:p>
    <w:p>
      <w:pPr>
        <w:spacing w:line="240" w:lineRule="auto" w:before="0"/>
        <w:rPr>
          <w:rFonts w:ascii="黑体" w:hAnsi="黑体" w:cs="黑体" w:eastAsia="黑体" w:hint="default"/>
          <w:sz w:val="15"/>
          <w:szCs w:val="15"/>
        </w:rPr>
      </w:pPr>
    </w:p>
    <w:p>
      <w:pPr>
        <w:spacing w:after="0" w:line="240" w:lineRule="auto"/>
        <w:rPr>
          <w:rFonts w:ascii="黑体" w:hAnsi="黑体" w:cs="黑体" w:eastAsia="黑体" w:hint="default"/>
          <w:sz w:val="15"/>
          <w:szCs w:val="15"/>
        </w:rPr>
        <w:sectPr>
          <w:type w:val="continuous"/>
          <w:pgSz w:w="16840" w:h="11910" w:orient="landscape"/>
          <w:pgMar w:top="900" w:bottom="280" w:left="600" w:right="260"/>
        </w:sectPr>
      </w:pPr>
    </w:p>
    <w:p>
      <w:pPr>
        <w:spacing w:line="266" w:lineRule="auto" w:before="49"/>
        <w:ind w:left="307" w:right="-19" w:hanging="170"/>
        <w:jc w:val="left"/>
        <w:rPr>
          <w:rFonts w:ascii="Arial" w:hAnsi="Arial" w:cs="Arial" w:eastAsia="Arial" w:hint="default"/>
          <w:sz w:val="18"/>
          <w:szCs w:val="18"/>
        </w:rPr>
      </w:pPr>
      <w:r>
        <w:rPr>
          <w:rFonts w:ascii="黑体" w:hAnsi="黑体" w:cs="黑体" w:eastAsia="黑体" w:hint="default"/>
          <w:sz w:val="18"/>
          <w:szCs w:val="18"/>
        </w:rPr>
        <w:t>北京用友华表软件技术有 限公司</w:t>
      </w:r>
      <w:r>
        <w:rPr>
          <w:rFonts w:ascii="Arial" w:hAnsi="Arial" w:cs="Arial" w:eastAsia="Arial" w:hint="default"/>
          <w:sz w:val="18"/>
          <w:szCs w:val="18"/>
        </w:rPr>
        <w:t>(</w:t>
      </w:r>
      <w:r>
        <w:rPr>
          <w:rFonts w:ascii="黑体" w:hAnsi="黑体" w:cs="黑体" w:eastAsia="黑体" w:hint="default"/>
          <w:sz w:val="18"/>
          <w:szCs w:val="18"/>
        </w:rPr>
        <w:t>以下简称</w:t>
      </w:r>
      <w:r>
        <w:rPr>
          <w:rFonts w:ascii="Arial" w:hAnsi="Arial" w:cs="Arial" w:eastAsia="Arial" w:hint="default"/>
          <w:sz w:val="18"/>
          <w:szCs w:val="18"/>
        </w:rPr>
        <w:t>“</w:t>
      </w:r>
      <w:r>
        <w:rPr>
          <w:rFonts w:ascii="黑体" w:hAnsi="黑体" w:cs="黑体" w:eastAsia="黑体" w:hint="default"/>
          <w:sz w:val="18"/>
          <w:szCs w:val="18"/>
        </w:rPr>
        <w:t>用友 华表</w:t>
      </w:r>
      <w:r>
        <w:rPr>
          <w:rFonts w:ascii="Arial" w:hAnsi="Arial" w:cs="Arial" w:eastAsia="Arial" w:hint="default"/>
          <w:sz w:val="18"/>
          <w:szCs w:val="18"/>
        </w:rPr>
        <w:t>”)</w:t>
      </w:r>
    </w:p>
    <w:p>
      <w:pPr>
        <w:spacing w:line="273" w:lineRule="auto" w:before="49"/>
        <w:ind w:left="79" w:right="-20" w:firstLine="0"/>
        <w:jc w:val="left"/>
        <w:rPr>
          <w:rFonts w:ascii="黑体" w:hAnsi="黑体" w:cs="黑体" w:eastAsia="黑体" w:hint="default"/>
          <w:sz w:val="18"/>
          <w:szCs w:val="18"/>
        </w:rPr>
      </w:pPr>
      <w:r>
        <w:rPr/>
        <w:br w:type="column"/>
      </w:r>
      <w:r>
        <w:rPr>
          <w:rFonts w:ascii="黑体" w:hAnsi="黑体" w:cs="黑体" w:eastAsia="黑体" w:hint="default"/>
          <w:sz w:val="18"/>
          <w:szCs w:val="18"/>
        </w:rPr>
        <w:t>有限责任 公司</w:t>
      </w:r>
    </w:p>
    <w:p>
      <w:pPr>
        <w:tabs>
          <w:tab w:pos="881" w:val="left" w:leader="none"/>
        </w:tabs>
        <w:spacing w:before="49"/>
        <w:ind w:left="88" w:right="0" w:firstLine="0"/>
        <w:jc w:val="left"/>
        <w:rPr>
          <w:rFonts w:ascii="Arial" w:hAnsi="Arial" w:cs="Arial" w:eastAsia="Arial" w:hint="default"/>
          <w:sz w:val="18"/>
          <w:szCs w:val="18"/>
        </w:rPr>
      </w:pPr>
      <w:r>
        <w:rPr/>
        <w:br w:type="column"/>
      </w:r>
      <w:r>
        <w:rPr>
          <w:rFonts w:ascii="黑体" w:hAnsi="黑体" w:cs="黑体" w:eastAsia="黑体" w:hint="default"/>
          <w:sz w:val="18"/>
          <w:szCs w:val="18"/>
        </w:rPr>
        <w:t>北京市</w:t>
        <w:tab/>
        <w:t>郭新平</w:t>
      </w:r>
      <w:r>
        <w:rPr>
          <w:rFonts w:ascii="黑体" w:hAnsi="黑体" w:cs="黑体" w:eastAsia="黑体" w:hint="default"/>
          <w:spacing w:val="79"/>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spacing w:line="273" w:lineRule="auto" w:before="19"/>
        <w:ind w:left="1590" w:right="0" w:firstLine="0"/>
        <w:jc w:val="both"/>
        <w:rPr>
          <w:rFonts w:ascii="黑体" w:hAnsi="黑体" w:cs="黑体" w:eastAsia="黑体" w:hint="default"/>
          <w:sz w:val="18"/>
          <w:szCs w:val="18"/>
        </w:rPr>
      </w:pPr>
      <w:r>
        <w:rPr>
          <w:rFonts w:ascii="黑体" w:hAnsi="黑体" w:cs="黑体" w:eastAsia="黑体" w:hint="default"/>
          <w:sz w:val="18"/>
          <w:szCs w:val="18"/>
        </w:rPr>
        <w:t>硬件、技术 咨询及电子 行业</w:t>
      </w:r>
    </w:p>
    <w:p>
      <w:pPr>
        <w:tabs>
          <w:tab w:pos="5888" w:val="left" w:leader="none"/>
          <w:tab w:pos="6315" w:val="left" w:leader="none"/>
          <w:tab w:pos="7024" w:val="left" w:leader="none"/>
          <w:tab w:pos="7898" w:val="left" w:leader="none"/>
          <w:tab w:pos="8278" w:val="left" w:leader="none"/>
          <w:tab w:pos="10285" w:val="left" w:leader="none"/>
        </w:tabs>
        <w:spacing w:before="49"/>
        <w:ind w:left="119"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3,000,000</w:t>
      </w:r>
      <w:r>
        <w:rPr>
          <w:rFonts w:ascii="Arial" w:hAnsi="Arial" w:cs="Arial" w:eastAsia="Arial" w:hint="default"/>
          <w:position w:val="1"/>
          <w:sz w:val="18"/>
          <w:szCs w:val="18"/>
        </w:rPr>
        <w:t> </w:t>
      </w:r>
      <w:r>
        <w:rPr>
          <w:rFonts w:ascii="黑体" w:hAnsi="黑体" w:cs="黑体" w:eastAsia="黑体" w:hint="default"/>
          <w:spacing w:val="12"/>
          <w:sz w:val="18"/>
          <w:szCs w:val="18"/>
        </w:rPr>
        <w:t>自产产品及技术出口业</w:t>
      </w:r>
      <w:r>
        <w:rPr>
          <w:rFonts w:ascii="黑体" w:hAnsi="黑体" w:cs="黑体" w:eastAsia="黑体" w:hint="default"/>
          <w:sz w:val="18"/>
          <w:szCs w:val="18"/>
        </w:rPr>
        <w:t> </w:t>
      </w:r>
      <w:r>
        <w:rPr>
          <w:rFonts w:ascii="Arial" w:hAnsi="Arial" w:cs="Arial" w:eastAsia="Arial" w:hint="default"/>
          <w:spacing w:val="-1"/>
          <w:position w:val="1"/>
          <w:sz w:val="18"/>
          <w:szCs w:val="18"/>
        </w:rPr>
        <w:t>X0038544-9</w:t>
      </w:r>
      <w:r>
        <w:rPr>
          <w:rFonts w:ascii="Arial" w:hAnsi="Arial" w:cs="Arial" w:eastAsia="Arial" w:hint="default"/>
          <w:position w:val="1"/>
          <w:sz w:val="18"/>
          <w:szCs w:val="18"/>
        </w:rPr>
        <w:t> </w:t>
      </w:r>
      <w:r>
        <w:rPr>
          <w:rFonts w:ascii="Arial" w:hAnsi="Arial" w:cs="Arial" w:eastAsia="Arial" w:hint="default"/>
          <w:spacing w:val="1"/>
          <w:position w:val="1"/>
          <w:sz w:val="18"/>
          <w:szCs w:val="18"/>
        </w:rPr>
        <w:t> </w:t>
      </w:r>
      <w:r>
        <w:rPr>
          <w:rFonts w:ascii="Arial" w:hAnsi="Arial" w:cs="Arial" w:eastAsia="Arial" w:hint="default"/>
          <w:spacing w:val="-1"/>
          <w:position w:val="1"/>
          <w:sz w:val="18"/>
          <w:szCs w:val="18"/>
        </w:rPr>
        <w:t>16,170,128</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98</w:t>
        <w:tab/>
        <w:t>98</w:t>
        <w:tab/>
      </w:r>
      <w:r>
        <w:rPr>
          <w:rFonts w:ascii="黑体" w:hAnsi="黑体" w:cs="黑体" w:eastAsia="黑体" w:hint="default"/>
          <w:sz w:val="18"/>
          <w:szCs w:val="18"/>
        </w:rPr>
        <w:t>是</w:t>
        <w:tab/>
      </w:r>
      <w:r>
        <w:rPr>
          <w:rFonts w:ascii="Arial" w:hAnsi="Arial" w:cs="Arial" w:eastAsia="Arial" w:hint="default"/>
          <w:spacing w:val="-1"/>
          <w:position w:val="1"/>
          <w:sz w:val="18"/>
          <w:szCs w:val="18"/>
        </w:rPr>
        <w:t>436,046</w:t>
        <w:tab/>
      </w:r>
      <w:r>
        <w:rPr>
          <w:rFonts w:ascii="Arial" w:hAnsi="Arial" w:cs="Arial" w:eastAsia="Arial" w:hint="default"/>
          <w:position w:val="1"/>
          <w:sz w:val="18"/>
          <w:szCs w:val="18"/>
        </w:rPr>
        <w:t>-</w:t>
      </w:r>
      <w:r>
        <w:rPr>
          <w:rFonts w:ascii="Arial" w:hAnsi="Arial" w:cs="Arial" w:eastAsia="Arial" w:hint="default"/>
          <w:sz w:val="18"/>
          <w:szCs w:val="18"/>
        </w:rPr>
      </w:r>
    </w:p>
    <w:p>
      <w:pPr>
        <w:spacing w:line="271" w:lineRule="auto" w:before="29"/>
        <w:ind w:left="974" w:right="7531" w:firstLine="0"/>
        <w:jc w:val="both"/>
        <w:rPr>
          <w:rFonts w:ascii="黑体" w:hAnsi="黑体" w:cs="黑体" w:eastAsia="黑体" w:hint="default"/>
          <w:sz w:val="18"/>
          <w:szCs w:val="18"/>
        </w:rPr>
      </w:pPr>
      <w:r>
        <w:rPr>
          <w:rFonts w:ascii="黑体" w:hAnsi="黑体" w:cs="黑体" w:eastAsia="黑体" w:hint="default"/>
          <w:spacing w:val="14"/>
          <w:sz w:val="18"/>
          <w:szCs w:val="18"/>
        </w:rPr>
        <w:t>务及原辅材料、仪器仪 </w:t>
      </w:r>
      <w:r>
        <w:rPr>
          <w:rFonts w:ascii="黑体" w:hAnsi="黑体" w:cs="黑体" w:eastAsia="黑体" w:hint="default"/>
          <w:spacing w:val="-5"/>
          <w:sz w:val="18"/>
          <w:szCs w:val="18"/>
        </w:rPr>
        <w:t>表、机械设备、零配件及</w:t>
      </w:r>
      <w:r>
        <w:rPr>
          <w:rFonts w:ascii="黑体" w:hAnsi="黑体" w:cs="黑体" w:eastAsia="黑体" w:hint="default"/>
          <w:spacing w:val="-88"/>
          <w:sz w:val="18"/>
          <w:szCs w:val="18"/>
        </w:rPr>
        <w:t> </w:t>
      </w:r>
      <w:r>
        <w:rPr>
          <w:rFonts w:ascii="黑体" w:hAnsi="黑体" w:cs="黑体" w:eastAsia="黑体" w:hint="default"/>
          <w:spacing w:val="-88"/>
          <w:sz w:val="18"/>
          <w:szCs w:val="18"/>
        </w:rPr>
      </w:r>
      <w:r>
        <w:rPr>
          <w:rFonts w:ascii="黑体" w:hAnsi="黑体" w:cs="黑体" w:eastAsia="黑体" w:hint="default"/>
          <w:spacing w:val="-5"/>
          <w:sz w:val="18"/>
          <w:szCs w:val="18"/>
        </w:rPr>
        <w:t>技术的进口业务；经营进</w:t>
      </w:r>
      <w:r>
        <w:rPr>
          <w:rFonts w:ascii="黑体" w:hAnsi="黑体" w:cs="黑体" w:eastAsia="黑体" w:hint="default"/>
          <w:spacing w:val="-86"/>
          <w:sz w:val="18"/>
          <w:szCs w:val="18"/>
        </w:rPr>
        <w:t> </w:t>
      </w:r>
      <w:r>
        <w:rPr>
          <w:rFonts w:ascii="黑体" w:hAnsi="黑体" w:cs="黑体" w:eastAsia="黑体" w:hint="default"/>
          <w:spacing w:val="-86"/>
          <w:sz w:val="18"/>
          <w:szCs w:val="18"/>
        </w:rPr>
      </w:r>
      <w:r>
        <w:rPr>
          <w:rFonts w:ascii="黑体" w:hAnsi="黑体" w:cs="黑体" w:eastAsia="黑体" w:hint="default"/>
          <w:sz w:val="18"/>
          <w:szCs w:val="18"/>
        </w:rPr>
        <w:t>料加工和</w:t>
      </w:r>
      <w:r>
        <w:rPr>
          <w:rFonts w:ascii="Arial" w:hAnsi="Arial" w:cs="Arial" w:eastAsia="Arial" w:hint="default"/>
          <w:sz w:val="18"/>
          <w:szCs w:val="18"/>
        </w:rPr>
        <w:t>“</w:t>
      </w:r>
      <w:r>
        <w:rPr>
          <w:rFonts w:ascii="黑体" w:hAnsi="黑体" w:cs="黑体" w:eastAsia="黑体" w:hint="default"/>
          <w:sz w:val="18"/>
          <w:szCs w:val="18"/>
        </w:rPr>
        <w:t>三来一补</w:t>
      </w:r>
      <w:r>
        <w:rPr>
          <w:rFonts w:ascii="Arial" w:hAnsi="Arial" w:cs="Arial" w:eastAsia="Arial" w:hint="default"/>
          <w:sz w:val="18"/>
          <w:szCs w:val="18"/>
        </w:rPr>
        <w:t>”</w:t>
      </w:r>
      <w:r>
        <w:rPr>
          <w:rFonts w:ascii="黑体" w:hAnsi="黑体" w:cs="黑体" w:eastAsia="黑体" w:hint="default"/>
          <w:sz w:val="18"/>
          <w:szCs w:val="18"/>
        </w:rPr>
        <w:t>的业</w:t>
      </w:r>
      <w:r>
        <w:rPr>
          <w:rFonts w:ascii="黑体" w:hAnsi="黑体" w:cs="黑体" w:eastAsia="黑体" w:hint="default"/>
          <w:spacing w:val="-82"/>
          <w:sz w:val="18"/>
          <w:szCs w:val="18"/>
        </w:rPr>
        <w:t> </w:t>
      </w:r>
      <w:r>
        <w:rPr>
          <w:rFonts w:ascii="黑体" w:hAnsi="黑体" w:cs="黑体" w:eastAsia="黑体" w:hint="default"/>
          <w:sz w:val="18"/>
          <w:szCs w:val="18"/>
        </w:rPr>
        <w:t>务。</w:t>
      </w:r>
    </w:p>
    <w:p>
      <w:pPr>
        <w:spacing w:after="0" w:line="271" w:lineRule="auto"/>
        <w:jc w:val="both"/>
        <w:rPr>
          <w:rFonts w:ascii="黑体" w:hAnsi="黑体" w:cs="黑体" w:eastAsia="黑体" w:hint="default"/>
          <w:sz w:val="18"/>
          <w:szCs w:val="18"/>
        </w:rPr>
        <w:sectPr>
          <w:type w:val="continuous"/>
          <w:pgSz w:w="16840" w:h="11910" w:orient="landscape"/>
          <w:pgMar w:top="900" w:bottom="280" w:left="600" w:right="260"/>
          <w:cols w:num="4" w:equalWidth="0">
            <w:col w:w="2119" w:space="40"/>
            <w:col w:w="800" w:space="40"/>
            <w:col w:w="2491" w:space="40"/>
            <w:col w:w="10450"/>
          </w:cols>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7"/>
          <w:szCs w:val="17"/>
        </w:rPr>
      </w:pPr>
    </w:p>
    <w:p>
      <w:pPr>
        <w:spacing w:before="38"/>
        <w:ind w:left="107" w:right="10591" w:firstLine="0"/>
        <w:jc w:val="left"/>
        <w:rPr>
          <w:rFonts w:ascii="黑体" w:hAnsi="黑体" w:cs="黑体" w:eastAsia="黑体" w:hint="default"/>
          <w:sz w:val="20"/>
          <w:szCs w:val="20"/>
        </w:rPr>
      </w:pPr>
      <w:r>
        <w:rPr>
          <w:rFonts w:ascii="黑体" w:hAnsi="黑体" w:cs="黑体" w:eastAsia="黑体" w:hint="default"/>
          <w:b/>
          <w:bCs/>
          <w:sz w:val="20"/>
          <w:szCs w:val="20"/>
        </w:rPr>
        <w:t>四、合并财务报表的合并范围（续）</w:t>
      </w:r>
      <w:r>
        <w:rPr>
          <w:rFonts w:ascii="黑体" w:hAnsi="黑体" w:cs="黑体" w:eastAsia="黑体" w:hint="default"/>
          <w:sz w:val="20"/>
          <w:szCs w:val="20"/>
        </w:rPr>
      </w:r>
    </w:p>
    <w:p>
      <w:pPr>
        <w:spacing w:line="240" w:lineRule="auto" w:before="11"/>
        <w:rPr>
          <w:rFonts w:ascii="黑体" w:hAnsi="黑体" w:cs="黑体" w:eastAsia="黑体" w:hint="default"/>
          <w:b/>
          <w:bCs/>
          <w:sz w:val="13"/>
          <w:szCs w:val="13"/>
        </w:rPr>
      </w:pPr>
    </w:p>
    <w:p>
      <w:pPr>
        <w:spacing w:line="396" w:lineRule="auto" w:before="0"/>
        <w:ind w:left="107" w:right="10591" w:firstLine="62"/>
        <w:jc w:val="left"/>
        <w:rPr>
          <w:rFonts w:ascii="黑体" w:hAnsi="黑体" w:cs="黑体" w:eastAsia="黑体" w:hint="default"/>
          <w:sz w:val="20"/>
          <w:szCs w:val="20"/>
        </w:rPr>
      </w:pPr>
      <w:r>
        <w:rPr>
          <w:rFonts w:ascii="Arial" w:hAnsi="Arial" w:cs="Arial" w:eastAsia="Arial" w:hint="default"/>
          <w:b/>
          <w:bCs/>
          <w:sz w:val="20"/>
          <w:szCs w:val="20"/>
        </w:rPr>
        <w:t>1.</w:t>
      </w:r>
      <w:r>
        <w:rPr>
          <w:rFonts w:ascii="Arial" w:hAnsi="Arial" w:cs="Arial" w:eastAsia="Arial" w:hint="default"/>
          <w:b/>
          <w:bCs/>
          <w:spacing w:val="31"/>
          <w:sz w:val="20"/>
          <w:szCs w:val="20"/>
        </w:rPr>
        <w:t> </w:t>
      </w:r>
      <w:r>
        <w:rPr>
          <w:rFonts w:ascii="黑体" w:hAnsi="黑体" w:cs="黑体" w:eastAsia="黑体" w:hint="default"/>
          <w:b/>
          <w:bCs/>
          <w:sz w:val="20"/>
          <w:szCs w:val="20"/>
        </w:rPr>
        <w:t>子公司情况（续）</w:t>
      </w:r>
      <w:r>
        <w:rPr>
          <w:rFonts w:ascii="黑体" w:hAnsi="黑体" w:cs="黑体" w:eastAsia="黑体" w:hint="default"/>
          <w:b/>
          <w:bCs/>
          <w:w w:val="99"/>
          <w:sz w:val="20"/>
          <w:szCs w:val="20"/>
        </w:rPr>
        <w:t> </w:t>
      </w:r>
      <w:r>
        <w:rPr>
          <w:rFonts w:ascii="黑体" w:hAnsi="黑体" w:cs="黑体" w:eastAsia="黑体" w:hint="default"/>
          <w:sz w:val="20"/>
          <w:szCs w:val="20"/>
        </w:rPr>
        <w:t>本集团重要子公司的情况如下（续）：</w:t>
      </w:r>
      <w:r>
        <w:rPr>
          <w:rFonts w:ascii="黑体" w:hAnsi="黑体" w:cs="黑体" w:eastAsia="黑体" w:hint="default"/>
          <w:w w:val="100"/>
          <w:sz w:val="20"/>
          <w:szCs w:val="20"/>
        </w:rPr>
        <w:t> </w:t>
      </w:r>
      <w:r>
        <w:rPr>
          <w:rFonts w:ascii="黑体" w:hAnsi="黑体" w:cs="黑体" w:eastAsia="黑体" w:hint="default"/>
          <w:spacing w:val="-1"/>
          <w:sz w:val="20"/>
          <w:szCs w:val="20"/>
        </w:rPr>
        <w:t>通过设立或投资等方式取得的子公司（续）</w:t>
      </w:r>
    </w:p>
    <w:p>
      <w:pPr>
        <w:tabs>
          <w:tab w:pos="4356" w:val="left" w:leader="none"/>
        </w:tabs>
        <w:spacing w:before="0"/>
        <w:ind w:left="0" w:right="124" w:firstLine="0"/>
        <w:jc w:val="right"/>
        <w:rPr>
          <w:rFonts w:ascii="黑体" w:hAnsi="黑体" w:cs="黑体" w:eastAsia="黑体" w:hint="default"/>
          <w:sz w:val="18"/>
          <w:szCs w:val="18"/>
        </w:rPr>
      </w:pPr>
      <w:r>
        <w:rPr>
          <w:rFonts w:ascii="黑体" w:hAnsi="黑体" w:cs="黑体" w:eastAsia="黑体" w:hint="default"/>
          <w:sz w:val="18"/>
          <w:szCs w:val="18"/>
        </w:rPr>
        <w:t>实质上构成</w:t>
        <w:tab/>
        <w:t>少数股东权益</w:t>
      </w:r>
    </w:p>
    <w:p>
      <w:pPr>
        <w:tabs>
          <w:tab w:pos="1754" w:val="left" w:leader="none"/>
          <w:tab w:pos="2534" w:val="left" w:leader="none"/>
          <w:tab w:pos="3242" w:val="left" w:leader="none"/>
          <w:tab w:pos="3949" w:val="left" w:leader="none"/>
          <w:tab w:pos="5089" w:val="left" w:leader="none"/>
          <w:tab w:pos="6681" w:val="left" w:leader="none"/>
          <w:tab w:pos="8632" w:val="left" w:leader="none"/>
          <w:tab w:pos="8992" w:val="left" w:leader="none"/>
          <w:tab w:pos="9624" w:val="left" w:leader="none"/>
          <w:tab w:pos="9804" w:val="left" w:leader="none"/>
          <w:tab w:pos="11544" w:val="left" w:leader="none"/>
          <w:tab w:pos="12251" w:val="left" w:leader="none"/>
          <w:tab w:pos="13103" w:val="left" w:leader="none"/>
          <w:tab w:pos="13736" w:val="left" w:leader="none"/>
          <w:tab w:pos="14095" w:val="left" w:leader="none"/>
          <w:tab w:pos="14792" w:val="left" w:leader="none"/>
        </w:tabs>
        <w:spacing w:line="280" w:lineRule="auto" w:before="38"/>
        <w:ind w:left="131" w:right="124" w:firstLine="1622"/>
        <w:jc w:val="right"/>
        <w:rPr>
          <w:rFonts w:ascii="黑体" w:hAnsi="黑体" w:cs="黑体" w:eastAsia="黑体" w:hint="default"/>
          <w:sz w:val="18"/>
          <w:szCs w:val="18"/>
        </w:rPr>
      </w:pPr>
      <w:r>
        <w:rPr>
          <w:rFonts w:ascii="黑体" w:hAnsi="黑体" w:cs="黑体" w:eastAsia="黑体" w:hint="default"/>
          <w:sz w:val="18"/>
          <w:szCs w:val="18"/>
        </w:rPr>
        <w:t>子公司</w:t>
        <w:tab/>
        <w:tab/>
        <w:t>法人</w:t>
        <w:tab/>
        <w:tab/>
        <w:tab/>
        <w:tab/>
        <w:t>组织机构</w:t>
        <w:tab/>
        <w:t>年末实际</w:t>
      </w:r>
      <w:r>
        <w:rPr>
          <w:rFonts w:ascii="黑体" w:hAnsi="黑体" w:cs="黑体" w:eastAsia="黑体" w:hint="default"/>
          <w:spacing w:val="1"/>
          <w:sz w:val="18"/>
          <w:szCs w:val="18"/>
        </w:rPr>
        <w:t> </w:t>
      </w:r>
      <w:r>
        <w:rPr>
          <w:rFonts w:ascii="黑体" w:hAnsi="黑体" w:cs="黑体" w:eastAsia="黑体" w:hint="default"/>
          <w:sz w:val="18"/>
          <w:szCs w:val="18"/>
        </w:rPr>
        <w:t>净投资的其</w:t>
        <w:tab/>
        <w:t>持股</w:t>
        <w:tab/>
        <w:t>表决</w:t>
        <w:tab/>
        <w:t>是否</w:t>
        <w:tab/>
        <w:t>少数股东</w:t>
      </w:r>
      <w:r>
        <w:rPr>
          <w:rFonts w:ascii="黑体" w:hAnsi="黑体" w:cs="黑体" w:eastAsia="黑体" w:hint="default"/>
          <w:spacing w:val="67"/>
          <w:sz w:val="18"/>
          <w:szCs w:val="18"/>
        </w:rPr>
        <w:t> </w:t>
      </w:r>
      <w:r>
        <w:rPr>
          <w:rFonts w:ascii="黑体" w:hAnsi="黑体" w:cs="黑体" w:eastAsia="黑体" w:hint="default"/>
          <w:sz w:val="18"/>
          <w:szCs w:val="18"/>
        </w:rPr>
        <w:t>中用于冲减少数</w:t>
      </w:r>
      <w:r>
        <w:rPr>
          <w:rFonts w:ascii="黑体" w:hAnsi="黑体" w:cs="黑体" w:eastAsia="黑体" w:hint="default"/>
          <w:sz w:val="18"/>
          <w:szCs w:val="18"/>
        </w:rPr>
        <w:t> 被投资单位名称</w:t>
        <w:tab/>
        <w:t>类型</w:t>
        <w:tab/>
        <w:t>注册地</w:t>
      </w:r>
      <w:r>
        <w:rPr>
          <w:rFonts w:ascii="黑体" w:hAnsi="黑体" w:cs="黑体" w:eastAsia="黑体" w:hint="default"/>
          <w:spacing w:val="77"/>
          <w:sz w:val="18"/>
          <w:szCs w:val="18"/>
        </w:rPr>
        <w:t> </w:t>
      </w:r>
      <w:r>
        <w:rPr>
          <w:rFonts w:ascii="黑体" w:hAnsi="黑体" w:cs="黑体" w:eastAsia="黑体" w:hint="default"/>
          <w:sz w:val="18"/>
          <w:szCs w:val="18"/>
        </w:rPr>
        <w:t>代表</w:t>
        <w:tab/>
        <w:t>业务性质</w:t>
        <w:tab/>
        <w:t>注册资本</w:t>
        <w:tab/>
        <w:t>经营范围</w:t>
        <w:tab/>
        <w:tab/>
        <w:t>代码</w:t>
        <w:tab/>
        <w:tab/>
        <w:t>出资额</w:t>
      </w:r>
      <w:r>
        <w:rPr>
          <w:rFonts w:ascii="黑体" w:hAnsi="黑体" w:cs="黑体" w:eastAsia="黑体" w:hint="default"/>
          <w:spacing w:val="1"/>
          <w:sz w:val="18"/>
          <w:szCs w:val="18"/>
        </w:rPr>
        <w:t> </w:t>
      </w:r>
      <w:r>
        <w:rPr>
          <w:rFonts w:ascii="黑体" w:hAnsi="黑体" w:cs="黑体" w:eastAsia="黑体" w:hint="default"/>
          <w:sz w:val="18"/>
          <w:szCs w:val="18"/>
        </w:rPr>
        <w:t>他项目余额</w:t>
        <w:tab/>
        <w:t>比例  权比例</w:t>
      </w:r>
      <w:r>
        <w:rPr>
          <w:rFonts w:ascii="黑体" w:hAnsi="黑体" w:cs="黑体" w:eastAsia="黑体" w:hint="default"/>
          <w:spacing w:val="27"/>
          <w:sz w:val="18"/>
          <w:szCs w:val="18"/>
        </w:rPr>
        <w:t> </w:t>
      </w:r>
      <w:r>
        <w:rPr>
          <w:rFonts w:ascii="黑体" w:hAnsi="黑体" w:cs="黑体" w:eastAsia="黑体" w:hint="default"/>
          <w:sz w:val="18"/>
          <w:szCs w:val="18"/>
        </w:rPr>
        <w:t>合并报表</w:t>
        <w:tab/>
        <w:tab/>
        <w:t>权益</w:t>
        <w:tab/>
        <w:t>股东损益金额</w:t>
      </w:r>
    </w:p>
    <w:p>
      <w:pPr>
        <w:tabs>
          <w:tab w:pos="706" w:val="left" w:leader="none"/>
          <w:tab w:pos="3864" w:val="left" w:leader="none"/>
        </w:tabs>
        <w:spacing w:before="16"/>
        <w:ind w:left="0" w:right="108" w:firstLine="0"/>
        <w:jc w:val="right"/>
        <w:rPr>
          <w:rFonts w:ascii="Arial" w:hAnsi="Arial" w:cs="Arial" w:eastAsia="Arial" w:hint="default"/>
          <w:sz w:val="18"/>
          <w:szCs w:val="18"/>
        </w:rPr>
      </w:pPr>
      <w:r>
        <w:rPr>
          <w:rFonts w:ascii="Arial" w:hAnsi="Arial" w:cs="Arial" w:eastAsia="Arial" w:hint="default"/>
          <w:spacing w:val="-1"/>
          <w:sz w:val="18"/>
          <w:szCs w:val="18"/>
        </w:rPr>
        <w:t>(%)</w:t>
        <w:tab/>
        <w:t>(%)</w:t>
        <w:tab/>
        <w:t>(</w:t>
      </w:r>
      <w:r>
        <w:rPr>
          <w:rFonts w:ascii="黑体" w:hAnsi="黑体" w:cs="黑体" w:eastAsia="黑体" w:hint="default"/>
          <w:spacing w:val="-1"/>
          <w:sz w:val="18"/>
          <w:szCs w:val="18"/>
        </w:rPr>
        <w:t>注</w:t>
      </w:r>
      <w:r>
        <w:rPr>
          <w:rFonts w:ascii="Arial" w:hAnsi="Arial" w:cs="Arial" w:eastAsia="Arial" w:hint="default"/>
          <w:spacing w:val="-1"/>
          <w:sz w:val="18"/>
          <w:szCs w:val="18"/>
        </w:rPr>
        <w:t>8)</w:t>
      </w:r>
      <w:r>
        <w:rPr>
          <w:rFonts w:ascii="Arial" w:hAnsi="Arial" w:cs="Arial" w:eastAsia="Arial" w:hint="default"/>
          <w:sz w:val="18"/>
          <w:szCs w:val="18"/>
        </w:rPr>
      </w:r>
    </w:p>
    <w:p>
      <w:pPr>
        <w:spacing w:line="240" w:lineRule="auto" w:before="11"/>
        <w:rPr>
          <w:rFonts w:ascii="Arial" w:hAnsi="Arial" w:cs="Arial" w:eastAsia="Arial" w:hint="default"/>
          <w:sz w:val="12"/>
          <w:szCs w:val="12"/>
        </w:rPr>
      </w:pPr>
    </w:p>
    <w:p>
      <w:pPr>
        <w:spacing w:after="0" w:line="240" w:lineRule="auto"/>
        <w:rPr>
          <w:rFonts w:ascii="Arial" w:hAnsi="Arial" w:cs="Arial" w:eastAsia="Arial" w:hint="default"/>
          <w:sz w:val="12"/>
          <w:szCs w:val="12"/>
        </w:rPr>
        <w:sectPr>
          <w:pgSz w:w="16840" w:h="11910" w:orient="landscape"/>
          <w:pgMar w:header="958" w:footer="496" w:top="2380" w:bottom="680" w:left="600" w:right="240"/>
        </w:sectPr>
      </w:pPr>
    </w:p>
    <w:p>
      <w:pPr>
        <w:spacing w:before="49"/>
        <w:ind w:left="131" w:right="-20" w:firstLine="0"/>
        <w:jc w:val="left"/>
        <w:rPr>
          <w:rFonts w:ascii="黑体" w:hAnsi="黑体" w:cs="黑体" w:eastAsia="黑体" w:hint="default"/>
          <w:sz w:val="18"/>
          <w:szCs w:val="18"/>
        </w:rPr>
      </w:pPr>
      <w:r>
        <w:rPr>
          <w:rFonts w:ascii="黑体" w:hAnsi="黑体" w:cs="黑体" w:eastAsia="黑体" w:hint="default"/>
          <w:sz w:val="18"/>
          <w:szCs w:val="18"/>
        </w:rPr>
        <w:t>北京用友艾福斯软</w:t>
      </w:r>
    </w:p>
    <w:p>
      <w:pPr>
        <w:spacing w:before="49"/>
        <w:ind w:left="131" w:right="-18" w:firstLine="0"/>
        <w:jc w:val="left"/>
        <w:rPr>
          <w:rFonts w:ascii="Arial" w:hAnsi="Arial" w:cs="Arial" w:eastAsia="Arial" w:hint="default"/>
          <w:sz w:val="18"/>
          <w:szCs w:val="18"/>
        </w:rPr>
      </w:pPr>
      <w:r>
        <w:rPr/>
        <w:br w:type="column"/>
      </w:r>
      <w:r>
        <w:rPr>
          <w:rFonts w:ascii="黑体" w:hAnsi="黑体" w:cs="黑体" w:eastAsia="黑体" w:hint="default"/>
          <w:sz w:val="18"/>
          <w:szCs w:val="18"/>
        </w:rPr>
        <w:t>有限责任 北京市  王文京</w:t>
      </w:r>
      <w:r>
        <w:rPr>
          <w:rFonts w:ascii="黑体" w:hAnsi="黑体" w:cs="黑体" w:eastAsia="黑体" w:hint="default"/>
          <w:spacing w:val="34"/>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tabs>
          <w:tab w:pos="6000" w:val="left" w:leader="none"/>
          <w:tab w:pos="6430" w:val="left" w:leader="none"/>
          <w:tab w:pos="7137" w:val="left" w:leader="none"/>
          <w:tab w:pos="8009" w:val="left" w:leader="none"/>
          <w:tab w:pos="8532" w:val="left" w:leader="none"/>
          <w:tab w:pos="10539" w:val="left" w:leader="none"/>
        </w:tabs>
        <w:spacing w:before="49"/>
        <w:ind w:left="131" w:right="0" w:firstLine="0"/>
        <w:jc w:val="left"/>
        <w:rPr>
          <w:rFonts w:ascii="Arial" w:hAnsi="Arial" w:cs="Arial" w:eastAsia="Arial" w:hint="default"/>
          <w:sz w:val="18"/>
          <w:szCs w:val="18"/>
        </w:rPr>
      </w:pPr>
      <w:r>
        <w:rPr/>
        <w:br w:type="column"/>
      </w:r>
      <w:r>
        <w:rPr>
          <w:rFonts w:ascii="黑体" w:hAnsi="黑体" w:cs="黑体" w:eastAsia="黑体" w:hint="default"/>
          <w:sz w:val="18"/>
          <w:szCs w:val="18"/>
        </w:rPr>
        <w:t>美元 </w:t>
      </w:r>
      <w:r>
        <w:rPr>
          <w:rFonts w:ascii="黑体" w:hAnsi="黑体" w:cs="黑体" w:eastAsia="黑体" w:hint="default"/>
          <w:spacing w:val="-6"/>
          <w:sz w:val="18"/>
          <w:szCs w:val="18"/>
        </w:rPr>
        <w:t>研制、开发、生产计算机硬件；</w:t>
      </w:r>
      <w:r>
        <w:rPr>
          <w:rFonts w:ascii="黑体" w:hAnsi="黑体" w:cs="黑体" w:eastAsia="黑体" w:hint="default"/>
          <w:sz w:val="18"/>
          <w:szCs w:val="18"/>
        </w:rPr>
        <w:t> </w:t>
      </w:r>
      <w:r>
        <w:rPr>
          <w:rFonts w:ascii="Arial" w:hAnsi="Arial" w:cs="Arial" w:eastAsia="Arial" w:hint="default"/>
          <w:spacing w:val="-1"/>
          <w:position w:val="1"/>
          <w:sz w:val="18"/>
          <w:szCs w:val="18"/>
        </w:rPr>
        <w:t>73344527-7</w:t>
      </w:r>
      <w:r>
        <w:rPr>
          <w:rFonts w:ascii="Arial" w:hAnsi="Arial" w:cs="Arial" w:eastAsia="Arial" w:hint="default"/>
          <w:position w:val="1"/>
          <w:sz w:val="18"/>
          <w:szCs w:val="18"/>
        </w:rPr>
        <w:t>   </w:t>
      </w:r>
      <w:r>
        <w:rPr>
          <w:rFonts w:ascii="Arial" w:hAnsi="Arial" w:cs="Arial" w:eastAsia="Arial" w:hint="default"/>
          <w:spacing w:val="6"/>
          <w:position w:val="1"/>
          <w:sz w:val="18"/>
          <w:szCs w:val="18"/>
        </w:rPr>
        <w:t> </w:t>
      </w:r>
      <w:r>
        <w:rPr>
          <w:rFonts w:ascii="Arial" w:hAnsi="Arial" w:cs="Arial" w:eastAsia="Arial" w:hint="default"/>
          <w:spacing w:val="-1"/>
          <w:position w:val="1"/>
          <w:sz w:val="18"/>
          <w:szCs w:val="18"/>
        </w:rPr>
        <w:t>8,300,000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75</w:t>
        <w:tab/>
        <w:t>75</w:t>
        <w:tab/>
      </w:r>
      <w:r>
        <w:rPr>
          <w:rFonts w:ascii="黑体" w:hAnsi="黑体" w:cs="黑体" w:eastAsia="黑体" w:hint="default"/>
          <w:sz w:val="18"/>
          <w:szCs w:val="18"/>
        </w:rPr>
        <w:t>是</w:t>
        <w:tab/>
      </w:r>
      <w:r>
        <w:rPr>
          <w:rFonts w:ascii="Arial" w:hAnsi="Arial" w:cs="Arial" w:eastAsia="Arial" w:hint="default"/>
          <w:spacing w:val="-1"/>
          <w:position w:val="1"/>
          <w:sz w:val="18"/>
          <w:szCs w:val="18"/>
        </w:rPr>
        <w:t>100,170</w:t>
        <w:tab/>
      </w:r>
      <w:r>
        <w:rPr>
          <w:rFonts w:ascii="Arial" w:hAnsi="Arial" w:cs="Arial" w:eastAsia="Arial" w:hint="default"/>
          <w:position w:val="1"/>
          <w:sz w:val="18"/>
          <w:szCs w:val="18"/>
        </w:rPr>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240"/>
          <w:cols w:num="3" w:equalWidth="0">
            <w:col w:w="1572" w:space="50"/>
            <w:col w:w="3098" w:space="554"/>
            <w:col w:w="10726"/>
          </w:cols>
        </w:sectPr>
      </w:pPr>
    </w:p>
    <w:p>
      <w:pPr>
        <w:spacing w:line="232" w:lineRule="auto" w:before="0"/>
        <w:ind w:left="306" w:right="-20" w:firstLine="0"/>
        <w:jc w:val="left"/>
        <w:rPr>
          <w:rFonts w:ascii="Arial" w:hAnsi="Arial" w:cs="Arial" w:eastAsia="Arial" w:hint="default"/>
          <w:sz w:val="18"/>
          <w:szCs w:val="18"/>
        </w:rPr>
      </w:pPr>
      <w:r>
        <w:rPr>
          <w:rFonts w:ascii="黑体" w:hAnsi="黑体" w:cs="黑体" w:eastAsia="黑体" w:hint="default"/>
          <w:sz w:val="18"/>
          <w:szCs w:val="18"/>
        </w:rPr>
        <w:t>件系统有限公司 </w:t>
      </w:r>
      <w:r>
        <w:rPr>
          <w:rFonts w:ascii="Arial" w:hAnsi="Arial" w:cs="Arial" w:eastAsia="Arial" w:hint="default"/>
          <w:sz w:val="18"/>
          <w:szCs w:val="18"/>
        </w:rPr>
        <w:t>(</w:t>
      </w:r>
      <w:r>
        <w:rPr>
          <w:rFonts w:ascii="黑体" w:hAnsi="黑体" w:cs="黑体" w:eastAsia="黑体" w:hint="default"/>
          <w:sz w:val="18"/>
          <w:szCs w:val="18"/>
        </w:rPr>
        <w:t>以下简称</w:t>
      </w:r>
      <w:r>
        <w:rPr>
          <w:rFonts w:ascii="Arial" w:hAnsi="Arial" w:cs="Arial" w:eastAsia="Arial" w:hint="default"/>
          <w:sz w:val="18"/>
          <w:szCs w:val="18"/>
        </w:rPr>
        <w:t>“</w:t>
      </w:r>
      <w:r>
        <w:rPr>
          <w:rFonts w:ascii="黑体" w:hAnsi="黑体" w:cs="黑体" w:eastAsia="黑体" w:hint="default"/>
          <w:sz w:val="18"/>
          <w:szCs w:val="18"/>
        </w:rPr>
        <w:t>用友艾 福斯</w:t>
      </w:r>
      <w:r>
        <w:rPr>
          <w:rFonts w:ascii="Arial" w:hAnsi="Arial" w:cs="Arial" w:eastAsia="Arial" w:hint="default"/>
          <w:sz w:val="18"/>
          <w:szCs w:val="18"/>
        </w:rPr>
        <w:t>”)</w:t>
      </w:r>
    </w:p>
    <w:p>
      <w:pPr>
        <w:spacing w:line="234" w:lineRule="exact" w:before="7"/>
        <w:ind w:left="132" w:right="-20" w:firstLine="0"/>
        <w:jc w:val="left"/>
        <w:rPr>
          <w:rFonts w:ascii="黑体" w:hAnsi="黑体" w:cs="黑体" w:eastAsia="黑体" w:hint="default"/>
          <w:sz w:val="18"/>
          <w:szCs w:val="18"/>
        </w:rPr>
      </w:pPr>
      <w:r>
        <w:rPr>
          <w:spacing w:val="-19"/>
        </w:rPr>
        <w:br w:type="column"/>
      </w:r>
      <w:r>
        <w:rPr>
          <w:rFonts w:ascii="黑体" w:hAnsi="黑体" w:cs="黑体" w:eastAsia="黑体" w:hint="default"/>
          <w:spacing w:val="-19"/>
          <w:sz w:val="18"/>
          <w:szCs w:val="18"/>
        </w:rPr>
        <w:t>公司（中</w:t>
      </w:r>
      <w:r>
        <w:rPr>
          <w:rFonts w:ascii="黑体" w:hAnsi="黑体" w:cs="黑体" w:eastAsia="黑体" w:hint="default"/>
          <w:sz w:val="18"/>
          <w:szCs w:val="18"/>
        </w:rPr>
        <w:t> 外合资）</w:t>
      </w:r>
    </w:p>
    <w:p>
      <w:pPr>
        <w:spacing w:line="219" w:lineRule="exact" w:before="0"/>
        <w:ind w:left="306" w:right="-17" w:firstLine="0"/>
        <w:jc w:val="left"/>
        <w:rPr>
          <w:rFonts w:ascii="黑体" w:hAnsi="黑体" w:cs="黑体" w:eastAsia="黑体" w:hint="default"/>
          <w:sz w:val="18"/>
          <w:szCs w:val="18"/>
        </w:rPr>
      </w:pPr>
      <w:r>
        <w:rPr>
          <w:spacing w:val="-7"/>
        </w:rPr>
        <w:br w:type="column"/>
      </w:r>
      <w:r>
        <w:rPr>
          <w:rFonts w:ascii="黑体" w:hAnsi="黑体" w:cs="黑体" w:eastAsia="黑体" w:hint="default"/>
          <w:spacing w:val="-7"/>
          <w:sz w:val="18"/>
          <w:szCs w:val="18"/>
        </w:rPr>
        <w:t>硬件、技术</w:t>
      </w:r>
    </w:p>
    <w:p>
      <w:pPr>
        <w:spacing w:line="232" w:lineRule="exact" w:before="24"/>
        <w:ind w:left="306" w:right="128" w:firstLine="0"/>
        <w:jc w:val="left"/>
        <w:rPr>
          <w:rFonts w:ascii="黑体" w:hAnsi="黑体" w:cs="黑体" w:eastAsia="黑体" w:hint="default"/>
          <w:sz w:val="18"/>
          <w:szCs w:val="18"/>
        </w:rPr>
      </w:pPr>
      <w:r>
        <w:rPr>
          <w:rFonts w:ascii="黑体" w:hAnsi="黑体" w:cs="黑体" w:eastAsia="黑体" w:hint="default"/>
          <w:sz w:val="18"/>
          <w:szCs w:val="18"/>
        </w:rPr>
        <w:t>咨询及电 子行业</w:t>
      </w:r>
    </w:p>
    <w:p>
      <w:pPr>
        <w:spacing w:line="234" w:lineRule="exact" w:before="7"/>
        <w:ind w:left="1007" w:right="7783" w:hanging="855"/>
        <w:jc w:val="left"/>
        <w:rPr>
          <w:rFonts w:ascii="黑体" w:hAnsi="黑体" w:cs="黑体" w:eastAsia="黑体" w:hint="default"/>
          <w:sz w:val="18"/>
          <w:szCs w:val="18"/>
        </w:rPr>
      </w:pPr>
      <w:r>
        <w:rPr/>
        <w:br w:type="column"/>
      </w:r>
      <w:r>
        <w:rPr>
          <w:rFonts w:ascii="Arial" w:hAnsi="Arial" w:cs="Arial" w:eastAsia="Arial" w:hint="default"/>
          <w:position w:val="1"/>
          <w:sz w:val="18"/>
          <w:szCs w:val="18"/>
        </w:rPr>
        <w:t>1,333,334</w:t>
      </w:r>
      <w:r>
        <w:rPr>
          <w:rFonts w:ascii="Arial" w:hAnsi="Arial" w:cs="Arial" w:eastAsia="Arial" w:hint="default"/>
          <w:spacing w:val="-3"/>
          <w:position w:val="1"/>
          <w:sz w:val="18"/>
          <w:szCs w:val="18"/>
        </w:rPr>
        <w:t> </w:t>
      </w:r>
      <w:r>
        <w:rPr>
          <w:rFonts w:ascii="黑体" w:hAnsi="黑体" w:cs="黑体" w:eastAsia="黑体" w:hint="default"/>
          <w:sz w:val="18"/>
          <w:szCs w:val="18"/>
        </w:rPr>
        <w:t>提供自产产品的技术咨询、技 术服务；销售自产产品。</w:t>
      </w:r>
    </w:p>
    <w:p>
      <w:pPr>
        <w:spacing w:after="0" w:line="234" w:lineRule="exact"/>
        <w:jc w:val="left"/>
        <w:rPr>
          <w:rFonts w:ascii="黑体" w:hAnsi="黑体" w:cs="黑体" w:eastAsia="黑体" w:hint="default"/>
          <w:sz w:val="18"/>
          <w:szCs w:val="18"/>
        </w:rPr>
        <w:sectPr>
          <w:type w:val="continuous"/>
          <w:pgSz w:w="16840" w:h="11910" w:orient="landscape"/>
          <w:pgMar w:top="900" w:bottom="280" w:left="600" w:right="240"/>
          <w:cols w:num="4" w:equalWidth="0">
            <w:col w:w="1687" w:space="40"/>
            <w:col w:w="853" w:space="1063"/>
            <w:col w:w="1175" w:space="40"/>
            <w:col w:w="11142"/>
          </w:cols>
        </w:sectPr>
      </w:pPr>
    </w:p>
    <w:p>
      <w:pPr>
        <w:spacing w:line="240" w:lineRule="auto" w:before="4"/>
        <w:rPr>
          <w:rFonts w:ascii="黑体" w:hAnsi="黑体" w:cs="黑体" w:eastAsia="黑体" w:hint="default"/>
          <w:sz w:val="16"/>
          <w:szCs w:val="16"/>
        </w:rPr>
      </w:pPr>
    </w:p>
    <w:p>
      <w:pPr>
        <w:spacing w:after="0" w:line="240" w:lineRule="auto"/>
        <w:rPr>
          <w:rFonts w:ascii="黑体" w:hAnsi="黑体" w:cs="黑体" w:eastAsia="黑体" w:hint="default"/>
          <w:sz w:val="16"/>
          <w:szCs w:val="16"/>
        </w:rPr>
        <w:sectPr>
          <w:type w:val="continuous"/>
          <w:pgSz w:w="16840" w:h="11910" w:orient="landscape"/>
          <w:pgMar w:top="900" w:bottom="280" w:left="600" w:right="240"/>
        </w:sectPr>
      </w:pPr>
    </w:p>
    <w:p>
      <w:pPr>
        <w:spacing w:before="48"/>
        <w:ind w:left="131" w:right="-20" w:firstLine="0"/>
        <w:jc w:val="left"/>
        <w:rPr>
          <w:rFonts w:ascii="黑体" w:hAnsi="黑体" w:cs="黑体" w:eastAsia="黑体" w:hint="default"/>
          <w:sz w:val="18"/>
          <w:szCs w:val="18"/>
        </w:rPr>
      </w:pPr>
      <w:r>
        <w:rPr>
          <w:rFonts w:ascii="黑体" w:hAnsi="黑体" w:cs="黑体" w:eastAsia="黑体" w:hint="default"/>
          <w:sz w:val="18"/>
          <w:szCs w:val="18"/>
        </w:rPr>
        <w:t>北京用友政务软件</w:t>
      </w:r>
    </w:p>
    <w:p>
      <w:pPr>
        <w:spacing w:before="48"/>
        <w:ind w:left="131" w:right="-18" w:firstLine="0"/>
        <w:jc w:val="left"/>
        <w:rPr>
          <w:rFonts w:ascii="Arial" w:hAnsi="Arial" w:cs="Arial" w:eastAsia="Arial" w:hint="default"/>
          <w:sz w:val="18"/>
          <w:szCs w:val="18"/>
        </w:rPr>
      </w:pPr>
      <w:r>
        <w:rPr/>
        <w:br w:type="column"/>
      </w:r>
      <w:r>
        <w:rPr>
          <w:rFonts w:ascii="黑体" w:hAnsi="黑体" w:cs="黑体" w:eastAsia="黑体" w:hint="default"/>
          <w:sz w:val="18"/>
          <w:szCs w:val="18"/>
        </w:rPr>
        <w:t>有限责任 北京市  郭新平</w:t>
      </w:r>
      <w:r>
        <w:rPr>
          <w:rFonts w:ascii="黑体" w:hAnsi="黑体" w:cs="黑体" w:eastAsia="黑体" w:hint="default"/>
          <w:spacing w:val="34"/>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spacing w:before="49"/>
        <w:ind w:left="131" w:right="-13" w:firstLine="0"/>
        <w:jc w:val="left"/>
        <w:rPr>
          <w:rFonts w:ascii="黑体" w:hAnsi="黑体" w:cs="黑体" w:eastAsia="黑体" w:hint="default"/>
          <w:sz w:val="18"/>
          <w:szCs w:val="18"/>
        </w:rPr>
      </w:pPr>
      <w:r>
        <w:rPr/>
        <w:br w:type="column"/>
      </w:r>
      <w:r>
        <w:rPr>
          <w:rFonts w:ascii="Arial" w:hAnsi="Arial" w:cs="Arial" w:eastAsia="Arial" w:hint="default"/>
          <w:position w:val="1"/>
          <w:sz w:val="18"/>
          <w:szCs w:val="18"/>
        </w:rPr>
        <w:t>26,700,000</w:t>
      </w:r>
      <w:r>
        <w:rPr>
          <w:rFonts w:ascii="Arial" w:hAnsi="Arial" w:cs="Arial" w:eastAsia="Arial" w:hint="default"/>
          <w:spacing w:val="-3"/>
          <w:position w:val="1"/>
          <w:sz w:val="18"/>
          <w:szCs w:val="18"/>
        </w:rPr>
        <w:t> </w:t>
      </w:r>
      <w:r>
        <w:rPr>
          <w:rFonts w:ascii="黑体" w:hAnsi="黑体" w:cs="黑体" w:eastAsia="黑体" w:hint="default"/>
          <w:sz w:val="18"/>
          <w:szCs w:val="18"/>
        </w:rPr>
        <w:t>财务管理软件开发、设计、销</w:t>
      </w:r>
    </w:p>
    <w:p>
      <w:pPr>
        <w:tabs>
          <w:tab w:pos="3013" w:val="left" w:leader="none"/>
          <w:tab w:pos="3443" w:val="left" w:leader="none"/>
          <w:tab w:pos="4150" w:val="left" w:leader="none"/>
          <w:tab w:pos="5022" w:val="left" w:leader="none"/>
          <w:tab w:pos="7551" w:val="left" w:leader="none"/>
        </w:tabs>
        <w:spacing w:before="48"/>
        <w:ind w:left="131"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74613540-3</w:t>
      </w:r>
      <w:r>
        <w:rPr>
          <w:rFonts w:ascii="Arial" w:hAnsi="Arial" w:cs="Arial" w:eastAsia="Arial" w:hint="default"/>
          <w:spacing w:val="48"/>
          <w:position w:val="1"/>
          <w:sz w:val="18"/>
          <w:szCs w:val="18"/>
        </w:rPr>
        <w:t> </w:t>
      </w:r>
      <w:r>
        <w:rPr>
          <w:rFonts w:ascii="Arial" w:hAnsi="Arial" w:cs="Arial" w:eastAsia="Arial" w:hint="default"/>
          <w:spacing w:val="-1"/>
          <w:position w:val="1"/>
          <w:sz w:val="18"/>
          <w:szCs w:val="18"/>
        </w:rPr>
        <w:t>42,699,284</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68</w:t>
        <w:tab/>
        <w:t>68</w:t>
        <w:tab/>
      </w:r>
      <w:r>
        <w:rPr>
          <w:rFonts w:ascii="黑体" w:hAnsi="黑体" w:cs="黑体" w:eastAsia="黑体" w:hint="default"/>
          <w:sz w:val="18"/>
          <w:szCs w:val="18"/>
        </w:rPr>
        <w:t>是</w:t>
      </w:r>
      <w:r>
        <w:rPr>
          <w:rFonts w:ascii="黑体" w:hAnsi="黑体" w:cs="黑体" w:eastAsia="黑体" w:hint="default"/>
          <w:spacing w:val="4"/>
          <w:sz w:val="18"/>
          <w:szCs w:val="18"/>
        </w:rPr>
        <w:t> </w:t>
      </w:r>
      <w:r>
        <w:rPr>
          <w:rFonts w:ascii="Arial" w:hAnsi="Arial" w:cs="Arial" w:eastAsia="Arial" w:hint="default"/>
          <w:spacing w:val="-1"/>
          <w:position w:val="1"/>
          <w:sz w:val="18"/>
          <w:szCs w:val="18"/>
        </w:rPr>
        <w:t>16,602,376</w:t>
        <w:tab/>
      </w:r>
      <w:r>
        <w:rPr>
          <w:rFonts w:ascii="Arial" w:hAnsi="Arial" w:cs="Arial" w:eastAsia="Arial" w:hint="default"/>
          <w:position w:val="1"/>
          <w:sz w:val="18"/>
          <w:szCs w:val="18"/>
        </w:rPr>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240"/>
          <w:cols w:num="4" w:equalWidth="0">
            <w:col w:w="1572" w:space="50"/>
            <w:col w:w="3098" w:space="58"/>
            <w:col w:w="3427" w:space="55"/>
            <w:col w:w="7740"/>
          </w:cols>
        </w:sectPr>
      </w:pPr>
    </w:p>
    <w:p>
      <w:pPr>
        <w:tabs>
          <w:tab w:pos="1859" w:val="left" w:leader="none"/>
        </w:tabs>
        <w:spacing w:line="234" w:lineRule="exact" w:before="7"/>
        <w:ind w:left="306" w:right="0" w:firstLine="0"/>
        <w:jc w:val="left"/>
        <w:rPr>
          <w:rFonts w:ascii="Arial" w:hAnsi="Arial" w:cs="Arial" w:eastAsia="Arial" w:hint="default"/>
          <w:sz w:val="18"/>
          <w:szCs w:val="18"/>
        </w:rPr>
      </w:pPr>
      <w:r>
        <w:rPr>
          <w:rFonts w:ascii="黑体" w:hAnsi="黑体" w:cs="黑体" w:eastAsia="黑体" w:hint="default"/>
          <w:sz w:val="18"/>
          <w:szCs w:val="18"/>
        </w:rPr>
        <w:t>有限公司</w:t>
      </w:r>
      <w:r>
        <w:rPr>
          <w:rFonts w:ascii="Arial" w:hAnsi="Arial" w:cs="Arial" w:eastAsia="Arial" w:hint="default"/>
          <w:sz w:val="18"/>
          <w:szCs w:val="18"/>
        </w:rPr>
        <w:t>(</w:t>
      </w:r>
      <w:r>
        <w:rPr>
          <w:rFonts w:ascii="黑体" w:hAnsi="黑体" w:cs="黑体" w:eastAsia="黑体" w:hint="default"/>
          <w:sz w:val="18"/>
          <w:szCs w:val="18"/>
        </w:rPr>
        <w:t>以下简</w:t>
        <w:tab/>
        <w:t>公司 称</w:t>
      </w:r>
      <w:r>
        <w:rPr>
          <w:rFonts w:ascii="Arial" w:hAnsi="Arial" w:cs="Arial" w:eastAsia="Arial" w:hint="default"/>
          <w:sz w:val="18"/>
          <w:szCs w:val="18"/>
        </w:rPr>
        <w:t>“</w:t>
      </w:r>
      <w:r>
        <w:rPr>
          <w:rFonts w:ascii="黑体" w:hAnsi="黑体" w:cs="黑体" w:eastAsia="黑体" w:hint="default"/>
          <w:sz w:val="18"/>
          <w:szCs w:val="18"/>
        </w:rPr>
        <w:t>用友政务</w:t>
      </w:r>
      <w:r>
        <w:rPr>
          <w:rFonts w:ascii="Arial" w:hAnsi="Arial" w:cs="Arial" w:eastAsia="Arial" w:hint="default"/>
          <w:sz w:val="18"/>
          <w:szCs w:val="18"/>
        </w:rPr>
        <w:t>”)</w:t>
      </w:r>
    </w:p>
    <w:p>
      <w:pPr>
        <w:spacing w:line="219" w:lineRule="exact" w:before="0"/>
        <w:ind w:left="306" w:right="-17" w:firstLine="0"/>
        <w:jc w:val="left"/>
        <w:rPr>
          <w:rFonts w:ascii="黑体" w:hAnsi="黑体" w:cs="黑体" w:eastAsia="黑体" w:hint="default"/>
          <w:sz w:val="18"/>
          <w:szCs w:val="18"/>
        </w:rPr>
      </w:pPr>
      <w:r>
        <w:rPr>
          <w:spacing w:val="-7"/>
        </w:rPr>
        <w:br w:type="column"/>
      </w:r>
      <w:r>
        <w:rPr>
          <w:rFonts w:ascii="黑体" w:hAnsi="黑体" w:cs="黑体" w:eastAsia="黑体" w:hint="default"/>
          <w:spacing w:val="-7"/>
          <w:sz w:val="18"/>
          <w:szCs w:val="18"/>
        </w:rPr>
        <w:t>硬件、技术</w:t>
      </w:r>
    </w:p>
    <w:p>
      <w:pPr>
        <w:spacing w:line="232" w:lineRule="exact" w:before="24"/>
        <w:ind w:left="307" w:right="127" w:firstLine="0"/>
        <w:jc w:val="left"/>
        <w:rPr>
          <w:rFonts w:ascii="黑体" w:hAnsi="黑体" w:cs="黑体" w:eastAsia="黑体" w:hint="default"/>
          <w:sz w:val="18"/>
          <w:szCs w:val="18"/>
        </w:rPr>
      </w:pPr>
      <w:r>
        <w:rPr>
          <w:rFonts w:ascii="黑体" w:hAnsi="黑体" w:cs="黑体" w:eastAsia="黑体" w:hint="default"/>
          <w:sz w:val="18"/>
          <w:szCs w:val="18"/>
        </w:rPr>
        <w:t>咨询及电 子行业</w:t>
      </w:r>
    </w:p>
    <w:p>
      <w:pPr>
        <w:spacing w:line="234" w:lineRule="exact" w:before="7"/>
        <w:ind w:left="306" w:right="7775" w:firstLine="0"/>
        <w:jc w:val="left"/>
        <w:rPr>
          <w:rFonts w:ascii="黑体" w:hAnsi="黑体" w:cs="黑体" w:eastAsia="黑体" w:hint="default"/>
          <w:sz w:val="18"/>
          <w:szCs w:val="18"/>
        </w:rPr>
      </w:pPr>
      <w:r>
        <w:rPr/>
        <w:br w:type="column"/>
      </w:r>
      <w:r>
        <w:rPr>
          <w:rFonts w:ascii="黑体" w:hAnsi="黑体" w:cs="黑体" w:eastAsia="黑体" w:hint="default"/>
          <w:sz w:val="18"/>
          <w:szCs w:val="18"/>
        </w:rPr>
        <w:t>售、计算机软件、硬件及外部 设备销售，财务管理咨询。</w:t>
      </w:r>
    </w:p>
    <w:p>
      <w:pPr>
        <w:spacing w:after="0" w:line="234" w:lineRule="exact"/>
        <w:jc w:val="left"/>
        <w:rPr>
          <w:rFonts w:ascii="黑体" w:hAnsi="黑体" w:cs="黑体" w:eastAsia="黑体" w:hint="default"/>
          <w:sz w:val="18"/>
          <w:szCs w:val="18"/>
        </w:rPr>
        <w:sectPr>
          <w:type w:val="continuous"/>
          <w:pgSz w:w="16840" w:h="11910" w:orient="landscape"/>
          <w:pgMar w:top="900" w:bottom="280" w:left="600" w:right="240"/>
          <w:cols w:num="3" w:equalWidth="0">
            <w:col w:w="2220" w:space="1423"/>
            <w:col w:w="1175" w:space="741"/>
            <w:col w:w="10441"/>
          </w:cols>
        </w:sectPr>
      </w:pP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5"/>
          <w:szCs w:val="15"/>
        </w:rPr>
      </w:pPr>
    </w:p>
    <w:p>
      <w:pPr>
        <w:spacing w:after="0" w:line="240" w:lineRule="auto"/>
        <w:rPr>
          <w:rFonts w:ascii="黑体" w:hAnsi="黑体" w:cs="黑体" w:eastAsia="黑体" w:hint="default"/>
          <w:sz w:val="15"/>
          <w:szCs w:val="15"/>
        </w:rPr>
        <w:sectPr>
          <w:type w:val="continuous"/>
          <w:pgSz w:w="16840" w:h="11910" w:orient="landscape"/>
          <w:pgMar w:top="900" w:bottom="280" w:left="600" w:right="240"/>
        </w:sectPr>
      </w:pPr>
    </w:p>
    <w:p>
      <w:pPr>
        <w:spacing w:before="50"/>
        <w:ind w:left="131" w:right="-20" w:firstLine="0"/>
        <w:jc w:val="left"/>
        <w:rPr>
          <w:rFonts w:ascii="黑体" w:hAnsi="黑体" w:cs="黑体" w:eastAsia="黑体" w:hint="default"/>
          <w:sz w:val="18"/>
          <w:szCs w:val="18"/>
        </w:rPr>
      </w:pPr>
      <w:r>
        <w:rPr>
          <w:rFonts w:ascii="黑体" w:hAnsi="黑体" w:cs="黑体" w:eastAsia="黑体" w:hint="default"/>
          <w:sz w:val="18"/>
          <w:szCs w:val="18"/>
        </w:rPr>
        <w:t>北京用友金融软件</w:t>
      </w:r>
    </w:p>
    <w:p>
      <w:pPr>
        <w:spacing w:before="40"/>
        <w:ind w:left="131" w:right="-17" w:firstLine="0"/>
        <w:jc w:val="left"/>
        <w:rPr>
          <w:rFonts w:ascii="Arial" w:hAnsi="Arial" w:cs="Arial" w:eastAsia="Arial" w:hint="default"/>
          <w:sz w:val="18"/>
          <w:szCs w:val="18"/>
        </w:rPr>
      </w:pPr>
      <w:r>
        <w:rPr/>
        <w:br w:type="column"/>
      </w:r>
      <w:r>
        <w:rPr>
          <w:rFonts w:ascii="黑体" w:hAnsi="黑体" w:cs="黑体" w:eastAsia="黑体" w:hint="default"/>
          <w:position w:val="1"/>
          <w:sz w:val="18"/>
          <w:szCs w:val="18"/>
        </w:rPr>
        <w:t>有限责任 </w:t>
      </w:r>
      <w:r>
        <w:rPr>
          <w:rFonts w:ascii="黑体" w:hAnsi="黑体" w:cs="黑体" w:eastAsia="黑体" w:hint="default"/>
          <w:sz w:val="18"/>
          <w:szCs w:val="18"/>
        </w:rPr>
        <w:t>北京市  王文京</w:t>
      </w:r>
      <w:r>
        <w:rPr>
          <w:rFonts w:ascii="黑体" w:hAnsi="黑体" w:cs="黑体" w:eastAsia="黑体" w:hint="default"/>
          <w:spacing w:val="33"/>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spacing w:before="50"/>
        <w:ind w:left="131" w:right="-12" w:firstLine="0"/>
        <w:jc w:val="left"/>
        <w:rPr>
          <w:rFonts w:ascii="黑体" w:hAnsi="黑体" w:cs="黑体" w:eastAsia="黑体" w:hint="default"/>
          <w:sz w:val="18"/>
          <w:szCs w:val="18"/>
        </w:rPr>
      </w:pPr>
      <w:r>
        <w:rPr/>
        <w:br w:type="column"/>
      </w:r>
      <w:r>
        <w:rPr>
          <w:rFonts w:ascii="Arial" w:hAnsi="Arial" w:cs="Arial" w:eastAsia="Arial" w:hint="default"/>
          <w:position w:val="1"/>
          <w:sz w:val="18"/>
          <w:szCs w:val="18"/>
        </w:rPr>
        <w:t>30,000,000</w:t>
      </w:r>
      <w:r>
        <w:rPr>
          <w:rFonts w:ascii="Arial" w:hAnsi="Arial" w:cs="Arial" w:eastAsia="Arial" w:hint="default"/>
          <w:spacing w:val="-3"/>
          <w:position w:val="1"/>
          <w:sz w:val="18"/>
          <w:szCs w:val="18"/>
        </w:rPr>
        <w:t> </w:t>
      </w:r>
      <w:r>
        <w:rPr>
          <w:rFonts w:ascii="黑体" w:hAnsi="黑体" w:cs="黑体" w:eastAsia="黑体" w:hint="default"/>
          <w:sz w:val="18"/>
          <w:szCs w:val="18"/>
        </w:rPr>
        <w:t>金融软件及计算机网络技术开</w:t>
      </w:r>
    </w:p>
    <w:p>
      <w:pPr>
        <w:tabs>
          <w:tab w:pos="3013" w:val="left" w:leader="none"/>
          <w:tab w:pos="3343" w:val="left" w:leader="none"/>
          <w:tab w:pos="4050" w:val="left" w:leader="none"/>
          <w:tab w:pos="5022" w:val="left" w:leader="none"/>
          <w:tab w:pos="6135" w:val="left" w:leader="none"/>
          <w:tab w:pos="7552" w:val="left" w:leader="none"/>
        </w:tabs>
        <w:spacing w:before="50"/>
        <w:ind w:left="131"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76629673-0</w:t>
      </w:r>
      <w:r>
        <w:rPr>
          <w:rFonts w:ascii="Arial" w:hAnsi="Arial" w:cs="Arial" w:eastAsia="Arial" w:hint="default"/>
          <w:spacing w:val="48"/>
          <w:position w:val="1"/>
          <w:sz w:val="18"/>
          <w:szCs w:val="18"/>
        </w:rPr>
        <w:t> </w:t>
      </w:r>
      <w:r>
        <w:rPr>
          <w:rFonts w:ascii="Arial" w:hAnsi="Arial" w:cs="Arial" w:eastAsia="Arial" w:hint="default"/>
          <w:spacing w:val="-1"/>
          <w:position w:val="1"/>
          <w:sz w:val="18"/>
          <w:szCs w:val="18"/>
        </w:rPr>
        <w:t>30,000,000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240"/>
          <w:cols w:num="4" w:equalWidth="0">
            <w:col w:w="1572" w:space="50"/>
            <w:col w:w="3098" w:space="58"/>
            <w:col w:w="3427" w:space="55"/>
            <w:col w:w="7740"/>
          </w:cols>
        </w:sectPr>
      </w:pPr>
    </w:p>
    <w:p>
      <w:pPr>
        <w:spacing w:line="232" w:lineRule="exact" w:before="10"/>
        <w:ind w:left="306" w:right="-19" w:firstLine="0"/>
        <w:jc w:val="left"/>
        <w:rPr>
          <w:rFonts w:ascii="黑体" w:hAnsi="黑体" w:cs="黑体" w:eastAsia="黑体" w:hint="default"/>
          <w:sz w:val="18"/>
          <w:szCs w:val="18"/>
        </w:rPr>
      </w:pPr>
      <w:r>
        <w:rPr>
          <w:rFonts w:ascii="黑体" w:hAnsi="黑体" w:cs="黑体" w:eastAsia="黑体" w:hint="default"/>
          <w:sz w:val="18"/>
          <w:szCs w:val="18"/>
        </w:rPr>
        <w:t>系统有限公司</w:t>
      </w:r>
      <w:r>
        <w:rPr>
          <w:rFonts w:ascii="Arial" w:hAnsi="Arial" w:cs="Arial" w:eastAsia="Arial" w:hint="default"/>
          <w:sz w:val="18"/>
          <w:szCs w:val="18"/>
        </w:rPr>
        <w:t>(</w:t>
      </w:r>
      <w:r>
        <w:rPr>
          <w:rFonts w:ascii="黑体" w:hAnsi="黑体" w:cs="黑体" w:eastAsia="黑体" w:hint="default"/>
          <w:sz w:val="18"/>
          <w:szCs w:val="18"/>
        </w:rPr>
        <w:t>以</w:t>
      </w:r>
      <w:r>
        <w:rPr>
          <w:rFonts w:ascii="黑体" w:hAnsi="黑体" w:cs="黑体" w:eastAsia="黑体" w:hint="default"/>
          <w:spacing w:val="37"/>
          <w:sz w:val="18"/>
          <w:szCs w:val="18"/>
        </w:rPr>
        <w:t> </w:t>
      </w:r>
      <w:r>
        <w:rPr>
          <w:rFonts w:ascii="黑体" w:hAnsi="黑体" w:cs="黑体" w:eastAsia="黑体" w:hint="default"/>
          <w:position w:val="1"/>
          <w:sz w:val="18"/>
          <w:szCs w:val="18"/>
        </w:rPr>
        <w:t>公司</w:t>
      </w:r>
      <w:r>
        <w:rPr>
          <w:rFonts w:ascii="黑体" w:hAnsi="黑体" w:cs="黑体" w:eastAsia="黑体" w:hint="default"/>
          <w:position w:val="1"/>
          <w:sz w:val="18"/>
          <w:szCs w:val="18"/>
        </w:rPr>
        <w:t> </w:t>
      </w:r>
      <w:r>
        <w:rPr>
          <w:rFonts w:ascii="黑体" w:hAnsi="黑体" w:cs="黑体" w:eastAsia="黑体" w:hint="default"/>
          <w:sz w:val="18"/>
          <w:szCs w:val="18"/>
        </w:rPr>
        <w:t>下简称</w:t>
      </w:r>
      <w:r>
        <w:rPr>
          <w:rFonts w:ascii="Arial" w:hAnsi="Arial" w:cs="Arial" w:eastAsia="Arial" w:hint="default"/>
          <w:sz w:val="18"/>
          <w:szCs w:val="18"/>
        </w:rPr>
        <w:t>“</w:t>
      </w:r>
      <w:r>
        <w:rPr>
          <w:rFonts w:ascii="黑体" w:hAnsi="黑体" w:cs="黑体" w:eastAsia="黑体" w:hint="default"/>
          <w:sz w:val="18"/>
          <w:szCs w:val="18"/>
        </w:rPr>
        <w:t>用友金</w:t>
      </w:r>
    </w:p>
    <w:p>
      <w:pPr>
        <w:spacing w:line="226" w:lineRule="exact" w:before="0"/>
        <w:ind w:left="306" w:right="-19" w:firstLine="0"/>
        <w:jc w:val="left"/>
        <w:rPr>
          <w:rFonts w:ascii="Arial" w:hAnsi="Arial" w:cs="Arial" w:eastAsia="Arial" w:hint="default"/>
          <w:sz w:val="18"/>
          <w:szCs w:val="18"/>
        </w:rPr>
      </w:pPr>
      <w:r>
        <w:rPr>
          <w:rFonts w:ascii="黑体" w:hAnsi="黑体" w:cs="黑体" w:eastAsia="黑体" w:hint="default"/>
          <w:sz w:val="18"/>
          <w:szCs w:val="18"/>
        </w:rPr>
        <w:t>融</w:t>
      </w:r>
      <w:r>
        <w:rPr>
          <w:rFonts w:ascii="Arial" w:hAnsi="Arial" w:cs="Arial" w:eastAsia="Arial" w:hint="default"/>
          <w:sz w:val="18"/>
          <w:szCs w:val="18"/>
        </w:rPr>
        <w:t>”)</w:t>
      </w:r>
    </w:p>
    <w:p>
      <w:pPr>
        <w:spacing w:line="232" w:lineRule="auto" w:before="0"/>
        <w:ind w:left="306" w:right="-19" w:firstLine="0"/>
        <w:jc w:val="left"/>
        <w:rPr>
          <w:rFonts w:ascii="黑体" w:hAnsi="黑体" w:cs="黑体" w:eastAsia="黑体" w:hint="default"/>
          <w:sz w:val="18"/>
          <w:szCs w:val="18"/>
        </w:rPr>
      </w:pPr>
      <w:r>
        <w:rPr/>
        <w:br w:type="column"/>
      </w:r>
      <w:r>
        <w:rPr>
          <w:rFonts w:ascii="黑体" w:hAnsi="黑体" w:cs="黑体" w:eastAsia="黑体" w:hint="default"/>
          <w:sz w:val="18"/>
          <w:szCs w:val="18"/>
        </w:rPr>
        <w:t>硬件</w:t>
      </w:r>
      <w:r>
        <w:rPr>
          <w:rFonts w:ascii="Arial" w:hAnsi="Arial" w:cs="Arial" w:eastAsia="Arial" w:hint="default"/>
          <w:sz w:val="18"/>
          <w:szCs w:val="18"/>
        </w:rPr>
        <w:t>/</w:t>
      </w:r>
      <w:r>
        <w:rPr>
          <w:rFonts w:ascii="黑体" w:hAnsi="黑体" w:cs="黑体" w:eastAsia="黑体" w:hint="default"/>
          <w:sz w:val="18"/>
          <w:szCs w:val="18"/>
        </w:rPr>
        <w:t>网络、 技术咨询 及电子行</w:t>
      </w:r>
    </w:p>
    <w:p>
      <w:pPr>
        <w:spacing w:line="233" w:lineRule="exact" w:before="0"/>
        <w:ind w:left="306" w:right="-19" w:firstLine="0"/>
        <w:jc w:val="left"/>
        <w:rPr>
          <w:rFonts w:ascii="黑体" w:hAnsi="黑体" w:cs="黑体" w:eastAsia="黑体" w:hint="default"/>
          <w:sz w:val="18"/>
          <w:szCs w:val="18"/>
        </w:rPr>
      </w:pPr>
      <w:r>
        <w:rPr>
          <w:rFonts w:ascii="黑体" w:hAnsi="黑体" w:cs="黑体" w:eastAsia="黑体" w:hint="default"/>
          <w:sz w:val="18"/>
          <w:szCs w:val="18"/>
        </w:rPr>
        <w:t>业</w:t>
      </w:r>
    </w:p>
    <w:p>
      <w:pPr>
        <w:spacing w:line="232" w:lineRule="exact" w:before="10"/>
        <w:ind w:left="306" w:right="7775" w:firstLine="0"/>
        <w:jc w:val="left"/>
        <w:rPr>
          <w:rFonts w:ascii="黑体" w:hAnsi="黑体" w:cs="黑体" w:eastAsia="黑体" w:hint="default"/>
          <w:sz w:val="18"/>
          <w:szCs w:val="18"/>
        </w:rPr>
      </w:pPr>
      <w:r>
        <w:rPr/>
        <w:br w:type="column"/>
      </w:r>
      <w:r>
        <w:rPr>
          <w:rFonts w:ascii="黑体" w:hAnsi="黑体" w:cs="黑体" w:eastAsia="黑体" w:hint="default"/>
          <w:sz w:val="18"/>
          <w:szCs w:val="18"/>
        </w:rPr>
        <w:t>发；销售计算机软、硬件；计 算机系统集成；技术咨询、技</w:t>
      </w:r>
    </w:p>
    <w:p>
      <w:pPr>
        <w:spacing w:line="213" w:lineRule="exact" w:before="0"/>
        <w:ind w:left="306" w:right="7775" w:firstLine="0"/>
        <w:jc w:val="left"/>
        <w:rPr>
          <w:rFonts w:ascii="黑体" w:hAnsi="黑体" w:cs="黑体" w:eastAsia="黑体" w:hint="default"/>
          <w:sz w:val="18"/>
          <w:szCs w:val="18"/>
        </w:rPr>
      </w:pPr>
      <w:r>
        <w:rPr>
          <w:rFonts w:ascii="黑体" w:hAnsi="黑体" w:cs="黑体" w:eastAsia="黑体" w:hint="default"/>
          <w:sz w:val="18"/>
          <w:szCs w:val="18"/>
        </w:rPr>
        <w:t>术服务、技术培训</w:t>
      </w:r>
    </w:p>
    <w:p>
      <w:pPr>
        <w:spacing w:after="0" w:line="213" w:lineRule="exact"/>
        <w:jc w:val="left"/>
        <w:rPr>
          <w:rFonts w:ascii="黑体" w:hAnsi="黑体" w:cs="黑体" w:eastAsia="黑体" w:hint="default"/>
          <w:sz w:val="18"/>
          <w:szCs w:val="18"/>
        </w:rPr>
        <w:sectPr>
          <w:type w:val="continuous"/>
          <w:pgSz w:w="16840" w:h="11910" w:orient="landscape"/>
          <w:pgMar w:top="900" w:bottom="280" w:left="600" w:right="240"/>
          <w:cols w:num="3" w:equalWidth="0">
            <w:col w:w="2115" w:space="1528"/>
            <w:col w:w="1258" w:space="657"/>
            <w:col w:w="10442"/>
          </w:cols>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7"/>
          <w:szCs w:val="17"/>
        </w:rPr>
      </w:pPr>
    </w:p>
    <w:p>
      <w:pPr>
        <w:spacing w:before="38"/>
        <w:ind w:left="107" w:right="10371" w:firstLine="0"/>
        <w:jc w:val="left"/>
        <w:rPr>
          <w:rFonts w:ascii="黑体" w:hAnsi="黑体" w:cs="黑体" w:eastAsia="黑体" w:hint="default"/>
          <w:sz w:val="20"/>
          <w:szCs w:val="20"/>
        </w:rPr>
      </w:pPr>
      <w:r>
        <w:rPr>
          <w:rFonts w:ascii="黑体" w:hAnsi="黑体" w:cs="黑体" w:eastAsia="黑体" w:hint="default"/>
          <w:b/>
          <w:bCs/>
          <w:sz w:val="20"/>
          <w:szCs w:val="20"/>
        </w:rPr>
        <w:t>四、合并财务报表的合并范围（续）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spacing w:line="398" w:lineRule="auto" w:before="0"/>
        <w:ind w:left="107" w:right="10371" w:firstLine="62"/>
        <w:jc w:val="left"/>
        <w:rPr>
          <w:rFonts w:ascii="黑体" w:hAnsi="黑体" w:cs="黑体" w:eastAsia="黑体" w:hint="default"/>
          <w:sz w:val="20"/>
          <w:szCs w:val="20"/>
        </w:rPr>
      </w:pPr>
      <w:r>
        <w:rPr>
          <w:rFonts w:ascii="Arial" w:hAnsi="Arial" w:cs="Arial" w:eastAsia="Arial" w:hint="default"/>
          <w:b/>
          <w:bCs/>
          <w:sz w:val="20"/>
          <w:szCs w:val="20"/>
        </w:rPr>
        <w:t>1.</w:t>
      </w:r>
      <w:r>
        <w:rPr>
          <w:rFonts w:ascii="Arial" w:hAnsi="Arial" w:cs="Arial" w:eastAsia="Arial" w:hint="default"/>
          <w:b/>
          <w:bCs/>
          <w:spacing w:val="31"/>
          <w:sz w:val="20"/>
          <w:szCs w:val="20"/>
        </w:rPr>
        <w:t> </w:t>
      </w:r>
      <w:r>
        <w:rPr>
          <w:rFonts w:ascii="黑体" w:hAnsi="黑体" w:cs="黑体" w:eastAsia="黑体" w:hint="default"/>
          <w:b/>
          <w:bCs/>
          <w:sz w:val="20"/>
          <w:szCs w:val="20"/>
        </w:rPr>
        <w:t>子公司情况（续）</w:t>
      </w:r>
      <w:r>
        <w:rPr>
          <w:rFonts w:ascii="黑体" w:hAnsi="黑体" w:cs="黑体" w:eastAsia="黑体" w:hint="default"/>
          <w:b/>
          <w:bCs/>
          <w:w w:val="99"/>
          <w:sz w:val="20"/>
          <w:szCs w:val="20"/>
        </w:rPr>
        <w:t> </w:t>
      </w:r>
      <w:r>
        <w:rPr>
          <w:rFonts w:ascii="黑体" w:hAnsi="黑体" w:cs="黑体" w:eastAsia="黑体" w:hint="default"/>
          <w:sz w:val="20"/>
          <w:szCs w:val="20"/>
        </w:rPr>
        <w:t>本集团重要子公司的情况如下（续）：</w:t>
      </w:r>
      <w:r>
        <w:rPr>
          <w:rFonts w:ascii="黑体" w:hAnsi="黑体" w:cs="黑体" w:eastAsia="黑体" w:hint="default"/>
          <w:w w:val="100"/>
          <w:sz w:val="20"/>
          <w:szCs w:val="20"/>
        </w:rPr>
        <w:t> </w:t>
      </w:r>
      <w:r>
        <w:rPr>
          <w:rFonts w:ascii="黑体" w:hAnsi="黑体" w:cs="黑体" w:eastAsia="黑体" w:hint="default"/>
          <w:spacing w:val="-1"/>
          <w:sz w:val="20"/>
          <w:szCs w:val="20"/>
        </w:rPr>
        <w:t>通过设立或投资等方式取得的子公司（续）</w:t>
      </w:r>
    </w:p>
    <w:p>
      <w:pPr>
        <w:tabs>
          <w:tab w:pos="4120" w:val="left" w:leader="none"/>
        </w:tabs>
        <w:spacing w:line="234" w:lineRule="exact" w:before="0"/>
        <w:ind w:left="0" w:right="139" w:firstLine="0"/>
        <w:jc w:val="right"/>
        <w:rPr>
          <w:rFonts w:ascii="黑体" w:hAnsi="黑体" w:cs="黑体" w:eastAsia="黑体" w:hint="default"/>
          <w:sz w:val="18"/>
          <w:szCs w:val="18"/>
        </w:rPr>
      </w:pPr>
      <w:r>
        <w:rPr>
          <w:rFonts w:ascii="黑体" w:hAnsi="黑体" w:cs="黑体" w:eastAsia="黑体" w:hint="default"/>
          <w:sz w:val="18"/>
          <w:szCs w:val="18"/>
        </w:rPr>
        <w:t>实质上构成</w:t>
        <w:tab/>
        <w:t>少数股东权益</w:t>
      </w:r>
    </w:p>
    <w:p>
      <w:pPr>
        <w:tabs>
          <w:tab w:pos="1753" w:val="left" w:leader="none"/>
          <w:tab w:pos="2533" w:val="left" w:leader="none"/>
          <w:tab w:pos="3241" w:val="left" w:leader="none"/>
          <w:tab w:pos="3949" w:val="left" w:leader="none"/>
          <w:tab w:pos="5089" w:val="left" w:leader="none"/>
          <w:tab w:pos="6751" w:val="left" w:leader="none"/>
          <w:tab w:pos="8685" w:val="left" w:leader="none"/>
          <w:tab w:pos="9044" w:val="left" w:leader="none"/>
          <w:tab w:pos="9637" w:val="left" w:leader="none"/>
          <w:tab w:pos="9817" w:val="left" w:leader="none"/>
          <w:tab w:pos="12095" w:val="left" w:leader="none"/>
          <w:tab w:pos="12991" w:val="left" w:leader="none"/>
          <w:tab w:pos="13860" w:val="left" w:leader="none"/>
          <w:tab w:pos="14557" w:val="left" w:leader="none"/>
        </w:tabs>
        <w:spacing w:line="283" w:lineRule="auto" w:before="36"/>
        <w:ind w:left="138" w:right="140" w:firstLine="1615"/>
        <w:jc w:val="right"/>
        <w:rPr>
          <w:rFonts w:ascii="黑体" w:hAnsi="黑体" w:cs="黑体" w:eastAsia="黑体" w:hint="default"/>
          <w:sz w:val="18"/>
          <w:szCs w:val="18"/>
        </w:rPr>
      </w:pPr>
      <w:r>
        <w:rPr>
          <w:rFonts w:ascii="黑体" w:hAnsi="黑体" w:cs="黑体" w:eastAsia="黑体" w:hint="default"/>
          <w:sz w:val="18"/>
          <w:szCs w:val="18"/>
        </w:rPr>
        <w:t>子公司</w:t>
        <w:tab/>
        <w:tab/>
        <w:t>法人</w:t>
        <w:tab/>
        <w:tab/>
        <w:tab/>
        <w:tab/>
        <w:t>组织机构</w:t>
        <w:tab/>
        <w:t>年末实际 净投资的其</w:t>
      </w:r>
      <w:r>
        <w:rPr>
          <w:rFonts w:ascii="黑体" w:hAnsi="黑体" w:cs="黑体" w:eastAsia="黑体" w:hint="default"/>
          <w:spacing w:val="28"/>
          <w:sz w:val="18"/>
          <w:szCs w:val="18"/>
        </w:rPr>
        <w:t> </w:t>
      </w:r>
      <w:r>
        <w:rPr>
          <w:rFonts w:ascii="黑体" w:hAnsi="黑体" w:cs="黑体" w:eastAsia="黑体" w:hint="default"/>
          <w:sz w:val="18"/>
          <w:szCs w:val="18"/>
        </w:rPr>
        <w:t>持股</w:t>
        <w:tab/>
        <w:t>表决</w:t>
        <w:tab/>
        <w:t>是否  少数股东</w:t>
      </w:r>
      <w:r>
        <w:rPr>
          <w:rFonts w:ascii="黑体" w:hAnsi="黑体" w:cs="黑体" w:eastAsia="黑体" w:hint="default"/>
          <w:spacing w:val="35"/>
          <w:sz w:val="18"/>
          <w:szCs w:val="18"/>
        </w:rPr>
        <w:t> </w:t>
      </w:r>
      <w:r>
        <w:rPr>
          <w:rFonts w:ascii="黑体" w:hAnsi="黑体" w:cs="黑体" w:eastAsia="黑体" w:hint="default"/>
          <w:sz w:val="18"/>
          <w:szCs w:val="18"/>
        </w:rPr>
        <w:t>中用于冲减少数</w:t>
      </w:r>
      <w:r>
        <w:rPr>
          <w:rFonts w:ascii="黑体" w:hAnsi="黑体" w:cs="黑体" w:eastAsia="黑体" w:hint="default"/>
          <w:sz w:val="18"/>
          <w:szCs w:val="18"/>
        </w:rPr>
        <w:t> 被投资单位名称</w:t>
        <w:tab/>
        <w:t>类型</w:t>
        <w:tab/>
        <w:t>注册地</w:t>
      </w:r>
      <w:r>
        <w:rPr>
          <w:rFonts w:ascii="黑体" w:hAnsi="黑体" w:cs="黑体" w:eastAsia="黑体" w:hint="default"/>
          <w:spacing w:val="77"/>
          <w:sz w:val="18"/>
          <w:szCs w:val="18"/>
        </w:rPr>
        <w:t> </w:t>
      </w:r>
      <w:r>
        <w:rPr>
          <w:rFonts w:ascii="黑体" w:hAnsi="黑体" w:cs="黑体" w:eastAsia="黑体" w:hint="default"/>
          <w:sz w:val="18"/>
          <w:szCs w:val="18"/>
        </w:rPr>
        <w:t>代表</w:t>
        <w:tab/>
        <w:t>业务性质</w:t>
        <w:tab/>
        <w:t>注册资本</w:t>
        <w:tab/>
        <w:t>经营范围</w:t>
        <w:tab/>
        <w:tab/>
        <w:t>代码</w:t>
        <w:tab/>
        <w:tab/>
        <w:t>出资额 他项目余额 比例 权比例 </w:t>
      </w:r>
      <w:r>
        <w:rPr>
          <w:rFonts w:ascii="黑体" w:hAnsi="黑体" w:cs="黑体" w:eastAsia="黑体" w:hint="default"/>
          <w:spacing w:val="22"/>
          <w:sz w:val="18"/>
          <w:szCs w:val="18"/>
        </w:rPr>
        <w:t> </w:t>
      </w:r>
      <w:r>
        <w:rPr>
          <w:rFonts w:ascii="黑体" w:hAnsi="黑体" w:cs="黑体" w:eastAsia="黑体" w:hint="default"/>
          <w:sz w:val="18"/>
          <w:szCs w:val="18"/>
        </w:rPr>
        <w:t>合并报表</w:t>
        <w:tab/>
        <w:t>权益</w:t>
        <w:tab/>
        <w:t>股东损益金额</w:t>
      </w:r>
    </w:p>
    <w:p>
      <w:pPr>
        <w:tabs>
          <w:tab w:pos="628" w:val="left" w:leader="none"/>
          <w:tab w:pos="3718" w:val="left" w:leader="none"/>
        </w:tabs>
        <w:spacing w:before="14"/>
        <w:ind w:left="0" w:right="113" w:firstLine="0"/>
        <w:jc w:val="right"/>
        <w:rPr>
          <w:rFonts w:ascii="Arial" w:hAnsi="Arial" w:cs="Arial" w:eastAsia="Arial" w:hint="default"/>
          <w:sz w:val="18"/>
          <w:szCs w:val="18"/>
        </w:rPr>
      </w:pPr>
      <w:r>
        <w:rPr>
          <w:rFonts w:ascii="Arial" w:hAnsi="Arial" w:cs="Arial" w:eastAsia="Arial" w:hint="default"/>
          <w:spacing w:val="-1"/>
          <w:sz w:val="18"/>
          <w:szCs w:val="18"/>
        </w:rPr>
        <w:t>(%)</w:t>
        <w:tab/>
        <w:t>(%)</w:t>
        <w:tab/>
        <w:t>(</w:t>
      </w:r>
      <w:r>
        <w:rPr>
          <w:rFonts w:ascii="黑体" w:hAnsi="黑体" w:cs="黑体" w:eastAsia="黑体" w:hint="default"/>
          <w:spacing w:val="-1"/>
          <w:sz w:val="18"/>
          <w:szCs w:val="18"/>
        </w:rPr>
        <w:t>注</w:t>
      </w:r>
      <w:r>
        <w:rPr>
          <w:rFonts w:ascii="Arial" w:hAnsi="Arial" w:cs="Arial" w:eastAsia="Arial" w:hint="default"/>
          <w:spacing w:val="-1"/>
          <w:sz w:val="18"/>
          <w:szCs w:val="18"/>
        </w:rPr>
        <w:t>8)</w:t>
      </w:r>
      <w:r>
        <w:rPr>
          <w:rFonts w:ascii="Arial" w:hAnsi="Arial" w:cs="Arial" w:eastAsia="Arial" w:hint="default"/>
          <w:sz w:val="18"/>
          <w:szCs w:val="18"/>
        </w:rPr>
      </w:r>
    </w:p>
    <w:p>
      <w:pPr>
        <w:spacing w:line="240" w:lineRule="auto" w:before="2"/>
        <w:rPr>
          <w:rFonts w:ascii="Arial" w:hAnsi="Arial" w:cs="Arial" w:eastAsia="Arial" w:hint="default"/>
          <w:sz w:val="18"/>
          <w:szCs w:val="18"/>
        </w:rPr>
      </w:pPr>
    </w:p>
    <w:p>
      <w:pPr>
        <w:spacing w:after="0" w:line="240" w:lineRule="auto"/>
        <w:rPr>
          <w:rFonts w:ascii="Arial" w:hAnsi="Arial" w:cs="Arial" w:eastAsia="Arial" w:hint="default"/>
          <w:sz w:val="18"/>
          <w:szCs w:val="18"/>
        </w:rPr>
        <w:sectPr>
          <w:pgSz w:w="16840" w:h="11910" w:orient="landscape"/>
          <w:pgMar w:header="958" w:footer="496" w:top="2380" w:bottom="680" w:left="600" w:right="460"/>
        </w:sectPr>
      </w:pPr>
    </w:p>
    <w:p>
      <w:pPr>
        <w:spacing w:before="50"/>
        <w:ind w:left="138" w:right="-20" w:firstLine="0"/>
        <w:jc w:val="left"/>
        <w:rPr>
          <w:rFonts w:ascii="黑体" w:hAnsi="黑体" w:cs="黑体" w:eastAsia="黑体" w:hint="default"/>
          <w:sz w:val="18"/>
          <w:szCs w:val="18"/>
        </w:rPr>
      </w:pPr>
      <w:r>
        <w:rPr>
          <w:rFonts w:ascii="黑体" w:hAnsi="黑体" w:cs="黑体" w:eastAsia="黑体" w:hint="default"/>
          <w:sz w:val="18"/>
          <w:szCs w:val="18"/>
        </w:rPr>
        <w:t>浙江用友软件有限</w:t>
      </w:r>
    </w:p>
    <w:p>
      <w:pPr>
        <w:spacing w:before="40"/>
        <w:ind w:left="134" w:right="-17" w:firstLine="0"/>
        <w:jc w:val="left"/>
        <w:rPr>
          <w:rFonts w:ascii="Arial" w:hAnsi="Arial" w:cs="Arial" w:eastAsia="Arial" w:hint="default"/>
          <w:sz w:val="18"/>
          <w:szCs w:val="18"/>
        </w:rPr>
      </w:pPr>
      <w:r>
        <w:rPr/>
        <w:br w:type="column"/>
      </w:r>
      <w:r>
        <w:rPr>
          <w:rFonts w:ascii="黑体" w:hAnsi="黑体" w:cs="黑体" w:eastAsia="黑体" w:hint="default"/>
          <w:position w:val="1"/>
          <w:sz w:val="18"/>
          <w:szCs w:val="18"/>
        </w:rPr>
        <w:t>有限责任 </w:t>
      </w:r>
      <w:r>
        <w:rPr>
          <w:rFonts w:ascii="黑体" w:hAnsi="黑体" w:cs="黑体" w:eastAsia="黑体" w:hint="default"/>
          <w:sz w:val="18"/>
          <w:szCs w:val="18"/>
        </w:rPr>
        <w:t>杭州市  郭新平</w:t>
      </w:r>
      <w:r>
        <w:rPr>
          <w:rFonts w:ascii="黑体" w:hAnsi="黑体" w:cs="黑体" w:eastAsia="黑体" w:hint="default"/>
          <w:spacing w:val="33"/>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tabs>
          <w:tab w:pos="6402" w:val="left" w:leader="none"/>
          <w:tab w:pos="7282" w:val="left" w:leader="none"/>
          <w:tab w:pos="8299" w:val="left" w:leader="none"/>
          <w:tab w:pos="9287" w:val="left" w:leader="none"/>
          <w:tab w:pos="10705" w:val="left" w:leader="none"/>
        </w:tabs>
        <w:spacing w:before="50"/>
        <w:ind w:left="138"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5,000,000</w:t>
      </w:r>
      <w:r>
        <w:rPr>
          <w:rFonts w:ascii="Arial" w:hAnsi="Arial" w:cs="Arial" w:eastAsia="Arial" w:hint="default"/>
          <w:position w:val="1"/>
          <w:sz w:val="18"/>
          <w:szCs w:val="18"/>
        </w:rPr>
        <w:t> </w:t>
      </w:r>
      <w:r>
        <w:rPr>
          <w:rFonts w:ascii="黑体" w:hAnsi="黑体" w:cs="黑体" w:eastAsia="黑体" w:hint="default"/>
          <w:spacing w:val="-6"/>
          <w:sz w:val="18"/>
          <w:szCs w:val="18"/>
        </w:rPr>
        <w:t>技术开发、技术咨询、技术服务、</w:t>
      </w:r>
      <w:r>
        <w:rPr>
          <w:rFonts w:ascii="Arial" w:hAnsi="Arial" w:cs="Arial" w:eastAsia="Arial" w:hint="default"/>
          <w:spacing w:val="-6"/>
          <w:position w:val="1"/>
          <w:sz w:val="18"/>
          <w:szCs w:val="18"/>
        </w:rPr>
        <w:t>77358064-1</w:t>
      </w:r>
      <w:r>
        <w:rPr>
          <w:rFonts w:ascii="Arial" w:hAnsi="Arial" w:cs="Arial" w:eastAsia="Arial" w:hint="default"/>
          <w:position w:val="1"/>
          <w:sz w:val="18"/>
          <w:szCs w:val="18"/>
        </w:rPr>
        <w:t>  </w:t>
      </w:r>
      <w:r>
        <w:rPr>
          <w:rFonts w:ascii="Arial" w:hAnsi="Arial" w:cs="Arial" w:eastAsia="Arial" w:hint="default"/>
          <w:spacing w:val="34"/>
          <w:position w:val="1"/>
          <w:sz w:val="18"/>
          <w:szCs w:val="18"/>
        </w:rPr>
        <w:t> </w:t>
      </w:r>
      <w:r>
        <w:rPr>
          <w:rFonts w:ascii="Arial" w:hAnsi="Arial" w:cs="Arial" w:eastAsia="Arial" w:hint="default"/>
          <w:spacing w:val="-1"/>
          <w:position w:val="1"/>
          <w:sz w:val="18"/>
          <w:szCs w:val="18"/>
        </w:rPr>
        <w:t>5,000,000</w:t>
        <w:tab/>
      </w:r>
      <w:r>
        <w:rPr>
          <w:rFonts w:ascii="Arial" w:hAnsi="Arial" w:cs="Arial" w:eastAsia="Arial" w:hint="default"/>
          <w:position w:val="1"/>
          <w:sz w:val="18"/>
          <w:szCs w:val="18"/>
        </w:rPr>
        <w:t>-  </w:t>
      </w:r>
      <w:r>
        <w:rPr>
          <w:rFonts w:ascii="Arial" w:hAnsi="Arial" w:cs="Arial" w:eastAsia="Arial" w:hint="default"/>
          <w:spacing w:val="40"/>
          <w:position w:val="1"/>
          <w:sz w:val="18"/>
          <w:szCs w:val="18"/>
        </w:rPr>
        <w:t> </w:t>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460"/>
          <w:cols w:num="3" w:equalWidth="0">
            <w:col w:w="1579" w:space="40"/>
            <w:col w:w="3101" w:space="152"/>
            <w:col w:w="10908"/>
          </w:cols>
        </w:sectPr>
      </w:pPr>
    </w:p>
    <w:p>
      <w:pPr>
        <w:spacing w:line="234" w:lineRule="exact" w:before="7"/>
        <w:ind w:left="305" w:right="-19" w:firstLine="0"/>
        <w:jc w:val="left"/>
        <w:rPr>
          <w:rFonts w:ascii="Arial" w:hAnsi="Arial" w:cs="Arial" w:eastAsia="Arial" w:hint="default"/>
          <w:sz w:val="18"/>
          <w:szCs w:val="18"/>
        </w:rPr>
      </w:pPr>
      <w:r>
        <w:rPr>
          <w:rFonts w:ascii="黑体" w:hAnsi="黑体" w:cs="黑体" w:eastAsia="黑体" w:hint="default"/>
          <w:sz w:val="18"/>
          <w:szCs w:val="18"/>
        </w:rPr>
        <w:t>公司</w:t>
      </w:r>
      <w:r>
        <w:rPr>
          <w:rFonts w:ascii="Arial" w:hAnsi="Arial" w:cs="Arial" w:eastAsia="Arial" w:hint="default"/>
          <w:sz w:val="18"/>
          <w:szCs w:val="18"/>
        </w:rPr>
        <w:t>(</w:t>
      </w:r>
      <w:r>
        <w:rPr>
          <w:rFonts w:ascii="黑体" w:hAnsi="黑体" w:cs="黑体" w:eastAsia="黑体" w:hint="default"/>
          <w:sz w:val="18"/>
          <w:szCs w:val="18"/>
        </w:rPr>
        <w:t>以下简称</w:t>
      </w:r>
      <w:r>
        <w:rPr>
          <w:rFonts w:ascii="Arial" w:hAnsi="Arial" w:cs="Arial" w:eastAsia="Arial" w:hint="default"/>
          <w:sz w:val="18"/>
          <w:szCs w:val="18"/>
        </w:rPr>
        <w:t>“</w:t>
      </w:r>
      <w:r>
        <w:rPr>
          <w:rFonts w:ascii="黑体" w:hAnsi="黑体" w:cs="黑体" w:eastAsia="黑体" w:hint="default"/>
          <w:sz w:val="18"/>
          <w:szCs w:val="18"/>
        </w:rPr>
        <w:t>浙</w:t>
      </w:r>
      <w:r>
        <w:rPr>
          <w:rFonts w:ascii="黑体" w:hAnsi="黑体" w:cs="黑体" w:eastAsia="黑体" w:hint="default"/>
          <w:spacing w:val="-23"/>
          <w:sz w:val="18"/>
          <w:szCs w:val="18"/>
        </w:rPr>
        <w:t> </w:t>
      </w:r>
      <w:r>
        <w:rPr>
          <w:rFonts w:ascii="黑体" w:hAnsi="黑体" w:cs="黑体" w:eastAsia="黑体" w:hint="default"/>
          <w:position w:val="1"/>
          <w:sz w:val="18"/>
          <w:szCs w:val="18"/>
        </w:rPr>
        <w:t>公司</w:t>
      </w:r>
      <w:r>
        <w:rPr>
          <w:rFonts w:ascii="黑体" w:hAnsi="黑体" w:cs="黑体" w:eastAsia="黑体" w:hint="default"/>
          <w:position w:val="1"/>
          <w:sz w:val="18"/>
          <w:szCs w:val="18"/>
        </w:rPr>
        <w:t> </w:t>
      </w:r>
      <w:r>
        <w:rPr>
          <w:rFonts w:ascii="黑体" w:hAnsi="黑体" w:cs="黑体" w:eastAsia="黑体" w:hint="default"/>
          <w:sz w:val="18"/>
          <w:szCs w:val="18"/>
        </w:rPr>
        <w:t>江用友</w:t>
      </w:r>
      <w:r>
        <w:rPr>
          <w:rFonts w:ascii="Arial" w:hAnsi="Arial" w:cs="Arial" w:eastAsia="Arial" w:hint="default"/>
          <w:sz w:val="18"/>
          <w:szCs w:val="18"/>
        </w:rPr>
        <w:t>”)</w:t>
      </w:r>
    </w:p>
    <w:p>
      <w:pPr>
        <w:spacing w:line="232" w:lineRule="auto" w:before="0"/>
        <w:ind w:left="305" w:right="-19" w:firstLine="0"/>
        <w:jc w:val="left"/>
        <w:rPr>
          <w:rFonts w:ascii="黑体" w:hAnsi="黑体" w:cs="黑体" w:eastAsia="黑体" w:hint="default"/>
          <w:sz w:val="18"/>
          <w:szCs w:val="18"/>
        </w:rPr>
      </w:pPr>
      <w:r>
        <w:rPr/>
        <w:br w:type="column"/>
      </w:r>
      <w:r>
        <w:rPr>
          <w:rFonts w:ascii="黑体" w:hAnsi="黑体" w:cs="黑体" w:eastAsia="黑体" w:hint="default"/>
          <w:sz w:val="18"/>
          <w:szCs w:val="18"/>
        </w:rPr>
        <w:t>硬件</w:t>
      </w:r>
      <w:r>
        <w:rPr>
          <w:rFonts w:ascii="Arial" w:hAnsi="Arial" w:cs="Arial" w:eastAsia="Arial" w:hint="default"/>
          <w:sz w:val="18"/>
          <w:szCs w:val="18"/>
        </w:rPr>
        <w:t>/</w:t>
      </w:r>
      <w:r>
        <w:rPr>
          <w:rFonts w:ascii="黑体" w:hAnsi="黑体" w:cs="黑体" w:eastAsia="黑体" w:hint="default"/>
          <w:sz w:val="18"/>
          <w:szCs w:val="18"/>
        </w:rPr>
        <w:t>网络、 技术咨询 及电子行</w:t>
      </w:r>
    </w:p>
    <w:p>
      <w:pPr>
        <w:spacing w:line="235" w:lineRule="exact" w:before="0"/>
        <w:ind w:left="305" w:right="-19" w:firstLine="0"/>
        <w:jc w:val="left"/>
        <w:rPr>
          <w:rFonts w:ascii="黑体" w:hAnsi="黑体" w:cs="黑体" w:eastAsia="黑体" w:hint="default"/>
          <w:sz w:val="18"/>
          <w:szCs w:val="18"/>
        </w:rPr>
      </w:pPr>
      <w:r>
        <w:rPr>
          <w:rFonts w:ascii="黑体" w:hAnsi="黑体" w:cs="黑体" w:eastAsia="黑体" w:hint="default"/>
          <w:sz w:val="18"/>
          <w:szCs w:val="18"/>
        </w:rPr>
        <w:t>业</w:t>
      </w:r>
    </w:p>
    <w:p>
      <w:pPr>
        <w:spacing w:line="219" w:lineRule="exact" w:before="0"/>
        <w:ind w:left="305" w:right="7316" w:firstLine="0"/>
        <w:jc w:val="left"/>
        <w:rPr>
          <w:rFonts w:ascii="黑体" w:hAnsi="黑体" w:cs="黑体" w:eastAsia="黑体" w:hint="default"/>
          <w:sz w:val="18"/>
          <w:szCs w:val="18"/>
        </w:rPr>
      </w:pPr>
      <w:r>
        <w:rPr/>
        <w:br w:type="column"/>
      </w:r>
      <w:r>
        <w:rPr>
          <w:rFonts w:ascii="黑体" w:hAnsi="黑体" w:cs="黑体" w:eastAsia="黑体" w:hint="default"/>
          <w:sz w:val="18"/>
          <w:szCs w:val="18"/>
        </w:rPr>
        <w:t>技术培训、成果转让；计算机软</w:t>
      </w:r>
    </w:p>
    <w:p>
      <w:pPr>
        <w:spacing w:line="237" w:lineRule="auto" w:before="1"/>
        <w:ind w:left="305" w:right="7316" w:firstLine="0"/>
        <w:jc w:val="left"/>
        <w:rPr>
          <w:rFonts w:ascii="黑体" w:hAnsi="黑体" w:cs="黑体" w:eastAsia="黑体" w:hint="default"/>
          <w:sz w:val="18"/>
          <w:szCs w:val="18"/>
        </w:rPr>
      </w:pPr>
      <w:r>
        <w:rPr>
          <w:rFonts w:ascii="黑体" w:hAnsi="黑体" w:cs="黑体" w:eastAsia="黑体" w:hint="default"/>
          <w:spacing w:val="-8"/>
          <w:sz w:val="18"/>
          <w:szCs w:val="18"/>
        </w:rPr>
        <w:t>件、硬件及外部设备批发、零售；</w:t>
      </w:r>
      <w:r>
        <w:rPr>
          <w:rFonts w:ascii="黑体" w:hAnsi="黑体" w:cs="黑体" w:eastAsia="黑体" w:hint="default"/>
          <w:spacing w:val="-86"/>
          <w:sz w:val="18"/>
          <w:szCs w:val="18"/>
        </w:rPr>
        <w:t> </w:t>
      </w:r>
      <w:r>
        <w:rPr>
          <w:rFonts w:ascii="黑体" w:hAnsi="黑体" w:cs="黑体" w:eastAsia="黑体" w:hint="default"/>
          <w:spacing w:val="-86"/>
          <w:sz w:val="18"/>
          <w:szCs w:val="18"/>
        </w:rPr>
      </w:r>
      <w:r>
        <w:rPr>
          <w:rFonts w:ascii="黑体" w:hAnsi="黑体" w:cs="黑体" w:eastAsia="黑体" w:hint="default"/>
          <w:sz w:val="18"/>
          <w:szCs w:val="18"/>
        </w:rPr>
        <w:t>计算机软、硬件及外部设备、打</w:t>
      </w:r>
      <w:r>
        <w:rPr>
          <w:rFonts w:ascii="黑体" w:hAnsi="黑体" w:cs="黑体" w:eastAsia="黑体" w:hint="default"/>
          <w:sz w:val="18"/>
          <w:szCs w:val="18"/>
        </w:rPr>
        <w:t> 印纸、计算机耗材；企业管理咨 询；其他无需报经审批的一切合 法项目。</w:t>
      </w:r>
    </w:p>
    <w:p>
      <w:pPr>
        <w:spacing w:after="0" w:line="237" w:lineRule="auto"/>
        <w:jc w:val="left"/>
        <w:rPr>
          <w:rFonts w:ascii="黑体" w:hAnsi="黑体" w:cs="黑体" w:eastAsia="黑体" w:hint="default"/>
          <w:sz w:val="18"/>
          <w:szCs w:val="18"/>
        </w:rPr>
        <w:sectPr>
          <w:type w:val="continuous"/>
          <w:pgSz w:w="16840" w:h="11910" w:orient="landscape"/>
          <w:pgMar w:top="900" w:bottom="280" w:left="600" w:right="460"/>
          <w:cols w:num="3" w:equalWidth="0">
            <w:col w:w="2114" w:space="1529"/>
            <w:col w:w="1257" w:space="658"/>
            <w:col w:w="10222"/>
          </w:cols>
        </w:sectPr>
      </w:pPr>
    </w:p>
    <w:p>
      <w:pPr>
        <w:spacing w:line="240" w:lineRule="auto" w:before="11"/>
        <w:rPr>
          <w:rFonts w:ascii="黑体" w:hAnsi="黑体" w:cs="黑体" w:eastAsia="黑体" w:hint="default"/>
          <w:sz w:val="11"/>
          <w:szCs w:val="11"/>
        </w:rPr>
      </w:pPr>
    </w:p>
    <w:p>
      <w:pPr>
        <w:spacing w:after="0" w:line="240" w:lineRule="auto"/>
        <w:rPr>
          <w:rFonts w:ascii="黑体" w:hAnsi="黑体" w:cs="黑体" w:eastAsia="黑体" w:hint="default"/>
          <w:sz w:val="11"/>
          <w:szCs w:val="11"/>
        </w:rPr>
        <w:sectPr>
          <w:type w:val="continuous"/>
          <w:pgSz w:w="16840" w:h="11910" w:orient="landscape"/>
          <w:pgMar w:top="900" w:bottom="280" w:left="600" w:right="460"/>
        </w:sectPr>
      </w:pPr>
    </w:p>
    <w:p>
      <w:pPr>
        <w:spacing w:before="50"/>
        <w:ind w:left="137" w:right="-20" w:firstLine="0"/>
        <w:jc w:val="left"/>
        <w:rPr>
          <w:rFonts w:ascii="黑体" w:hAnsi="黑体" w:cs="黑体" w:eastAsia="黑体" w:hint="default"/>
          <w:sz w:val="18"/>
          <w:szCs w:val="18"/>
        </w:rPr>
      </w:pPr>
      <w:r>
        <w:rPr>
          <w:rFonts w:ascii="黑体" w:hAnsi="黑体" w:cs="黑体" w:eastAsia="黑体" w:hint="default"/>
          <w:sz w:val="18"/>
          <w:szCs w:val="18"/>
        </w:rPr>
        <w:t>沈阳用友软件有限</w:t>
      </w:r>
    </w:p>
    <w:p>
      <w:pPr>
        <w:spacing w:before="41"/>
        <w:ind w:left="134" w:right="-17" w:firstLine="0"/>
        <w:jc w:val="left"/>
        <w:rPr>
          <w:rFonts w:ascii="Arial" w:hAnsi="Arial" w:cs="Arial" w:eastAsia="Arial" w:hint="default"/>
          <w:sz w:val="18"/>
          <w:szCs w:val="18"/>
        </w:rPr>
      </w:pPr>
      <w:r>
        <w:rPr/>
        <w:br w:type="column"/>
      </w:r>
      <w:r>
        <w:rPr>
          <w:rFonts w:ascii="黑体" w:hAnsi="黑体" w:cs="黑体" w:eastAsia="黑体" w:hint="default"/>
          <w:position w:val="1"/>
          <w:sz w:val="18"/>
          <w:szCs w:val="18"/>
        </w:rPr>
        <w:t>有限责任 </w:t>
      </w:r>
      <w:r>
        <w:rPr>
          <w:rFonts w:ascii="黑体" w:hAnsi="黑体" w:cs="黑体" w:eastAsia="黑体" w:hint="default"/>
          <w:sz w:val="18"/>
          <w:szCs w:val="18"/>
        </w:rPr>
        <w:t>沈阳市  何景霄</w:t>
      </w:r>
      <w:r>
        <w:rPr>
          <w:rFonts w:ascii="黑体" w:hAnsi="黑体" w:cs="黑体" w:eastAsia="黑体" w:hint="default"/>
          <w:spacing w:val="35"/>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tabs>
          <w:tab w:pos="6402" w:val="left" w:leader="none"/>
          <w:tab w:pos="7282" w:val="left" w:leader="none"/>
          <w:tab w:pos="8298" w:val="left" w:leader="none"/>
          <w:tab w:pos="9287" w:val="left" w:leader="none"/>
          <w:tab w:pos="10704" w:val="left" w:leader="none"/>
        </w:tabs>
        <w:spacing w:before="50"/>
        <w:ind w:left="137"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3,000,000</w:t>
      </w:r>
      <w:r>
        <w:rPr>
          <w:rFonts w:ascii="Arial" w:hAnsi="Arial" w:cs="Arial" w:eastAsia="Arial" w:hint="default"/>
          <w:position w:val="1"/>
          <w:sz w:val="18"/>
          <w:szCs w:val="18"/>
        </w:rPr>
        <w:t> </w:t>
      </w:r>
      <w:r>
        <w:rPr>
          <w:rFonts w:ascii="黑体" w:hAnsi="黑体" w:cs="黑体" w:eastAsia="黑体" w:hint="default"/>
          <w:spacing w:val="-2"/>
          <w:sz w:val="18"/>
          <w:szCs w:val="18"/>
        </w:rPr>
        <w:t>电子计算机软件、硬件及外部设</w:t>
      </w:r>
      <w:r>
        <w:rPr>
          <w:rFonts w:ascii="黑体" w:hAnsi="黑体" w:cs="黑体" w:eastAsia="黑体" w:hint="default"/>
          <w:sz w:val="18"/>
          <w:szCs w:val="18"/>
        </w:rPr>
        <w:t> </w:t>
      </w:r>
      <w:r>
        <w:rPr>
          <w:rFonts w:ascii="Arial" w:hAnsi="Arial" w:cs="Arial" w:eastAsia="Arial" w:hint="default"/>
          <w:spacing w:val="-1"/>
          <w:position w:val="1"/>
          <w:sz w:val="18"/>
          <w:szCs w:val="18"/>
        </w:rPr>
        <w:t>77484063-6</w:t>
      </w:r>
      <w:r>
        <w:rPr>
          <w:rFonts w:ascii="Arial" w:hAnsi="Arial" w:cs="Arial" w:eastAsia="Arial" w:hint="default"/>
          <w:position w:val="1"/>
          <w:sz w:val="18"/>
          <w:szCs w:val="18"/>
        </w:rPr>
        <w:t>  </w:t>
      </w:r>
      <w:r>
        <w:rPr>
          <w:rFonts w:ascii="Arial" w:hAnsi="Arial" w:cs="Arial" w:eastAsia="Arial" w:hint="default"/>
          <w:spacing w:val="12"/>
          <w:position w:val="1"/>
          <w:sz w:val="18"/>
          <w:szCs w:val="18"/>
        </w:rPr>
        <w:t> </w:t>
      </w:r>
      <w:r>
        <w:rPr>
          <w:rFonts w:ascii="Arial" w:hAnsi="Arial" w:cs="Arial" w:eastAsia="Arial" w:hint="default"/>
          <w:spacing w:val="-1"/>
          <w:position w:val="1"/>
          <w:sz w:val="18"/>
          <w:szCs w:val="18"/>
        </w:rPr>
        <w:t>3,000,000</w:t>
        <w:tab/>
      </w:r>
      <w:r>
        <w:rPr>
          <w:rFonts w:ascii="Arial" w:hAnsi="Arial" w:cs="Arial" w:eastAsia="Arial" w:hint="default"/>
          <w:position w:val="1"/>
          <w:sz w:val="18"/>
          <w:szCs w:val="18"/>
        </w:rPr>
        <w:t>-  </w:t>
      </w:r>
      <w:r>
        <w:rPr>
          <w:rFonts w:ascii="Arial" w:hAnsi="Arial" w:cs="Arial" w:eastAsia="Arial" w:hint="default"/>
          <w:spacing w:val="40"/>
          <w:position w:val="1"/>
          <w:sz w:val="18"/>
          <w:szCs w:val="18"/>
        </w:rPr>
        <w:t> </w:t>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460"/>
          <w:cols w:num="3" w:equalWidth="0">
            <w:col w:w="1578" w:space="40"/>
            <w:col w:w="3103" w:space="153"/>
            <w:col w:w="10906"/>
          </w:cols>
        </w:sectPr>
      </w:pPr>
    </w:p>
    <w:p>
      <w:pPr>
        <w:spacing w:line="232" w:lineRule="exact" w:before="10"/>
        <w:ind w:left="305" w:right="-20" w:firstLine="0"/>
        <w:jc w:val="left"/>
        <w:rPr>
          <w:rFonts w:ascii="Arial" w:hAnsi="Arial" w:cs="Arial" w:eastAsia="Arial" w:hint="default"/>
          <w:sz w:val="18"/>
          <w:szCs w:val="18"/>
        </w:rPr>
      </w:pPr>
      <w:r>
        <w:rPr>
          <w:rFonts w:ascii="黑体" w:hAnsi="黑体" w:cs="黑体" w:eastAsia="黑体" w:hint="default"/>
          <w:sz w:val="18"/>
          <w:szCs w:val="18"/>
        </w:rPr>
        <w:t>公司</w:t>
      </w:r>
      <w:r>
        <w:rPr>
          <w:rFonts w:ascii="Arial" w:hAnsi="Arial" w:cs="Arial" w:eastAsia="Arial" w:hint="default"/>
          <w:sz w:val="18"/>
          <w:szCs w:val="18"/>
        </w:rPr>
        <w:t>(</w:t>
      </w:r>
      <w:r>
        <w:rPr>
          <w:rFonts w:ascii="黑体" w:hAnsi="黑体" w:cs="黑体" w:eastAsia="黑体" w:hint="default"/>
          <w:sz w:val="18"/>
          <w:szCs w:val="18"/>
        </w:rPr>
        <w:t>以下简称</w:t>
      </w:r>
      <w:r>
        <w:rPr>
          <w:rFonts w:ascii="Arial" w:hAnsi="Arial" w:cs="Arial" w:eastAsia="Arial" w:hint="default"/>
          <w:sz w:val="18"/>
          <w:szCs w:val="18"/>
        </w:rPr>
        <w:t>“</w:t>
      </w:r>
      <w:r>
        <w:rPr>
          <w:rFonts w:ascii="黑体" w:hAnsi="黑体" w:cs="黑体" w:eastAsia="黑体" w:hint="default"/>
          <w:sz w:val="18"/>
          <w:szCs w:val="18"/>
        </w:rPr>
        <w:t>沈</w:t>
      </w:r>
      <w:r>
        <w:rPr>
          <w:rFonts w:ascii="黑体" w:hAnsi="黑体" w:cs="黑体" w:eastAsia="黑体" w:hint="default"/>
          <w:spacing w:val="-23"/>
          <w:sz w:val="18"/>
          <w:szCs w:val="18"/>
        </w:rPr>
        <w:t> </w:t>
      </w:r>
      <w:r>
        <w:rPr>
          <w:rFonts w:ascii="黑体" w:hAnsi="黑体" w:cs="黑体" w:eastAsia="黑体" w:hint="default"/>
          <w:position w:val="1"/>
          <w:sz w:val="18"/>
          <w:szCs w:val="18"/>
        </w:rPr>
        <w:t>公司</w:t>
      </w:r>
      <w:r>
        <w:rPr>
          <w:rFonts w:ascii="黑体" w:hAnsi="黑体" w:cs="黑体" w:eastAsia="黑体" w:hint="default"/>
          <w:position w:val="1"/>
          <w:sz w:val="18"/>
          <w:szCs w:val="18"/>
        </w:rPr>
        <w:t> </w:t>
      </w:r>
      <w:r>
        <w:rPr>
          <w:rFonts w:ascii="黑体" w:hAnsi="黑体" w:cs="黑体" w:eastAsia="黑体" w:hint="default"/>
          <w:sz w:val="18"/>
          <w:szCs w:val="18"/>
        </w:rPr>
        <w:t>阳用友</w:t>
      </w:r>
      <w:r>
        <w:rPr>
          <w:rFonts w:ascii="Arial" w:hAnsi="Arial" w:cs="Arial" w:eastAsia="Arial" w:hint="default"/>
          <w:sz w:val="18"/>
          <w:szCs w:val="18"/>
        </w:rPr>
        <w:t>”)</w:t>
      </w:r>
    </w:p>
    <w:p>
      <w:pPr>
        <w:spacing w:line="232" w:lineRule="auto" w:before="0"/>
        <w:ind w:left="305" w:right="0" w:firstLine="0"/>
        <w:jc w:val="both"/>
        <w:rPr>
          <w:rFonts w:ascii="黑体" w:hAnsi="黑体" w:cs="黑体" w:eastAsia="黑体" w:hint="default"/>
          <w:sz w:val="18"/>
          <w:szCs w:val="18"/>
        </w:rPr>
      </w:pPr>
      <w:r>
        <w:rPr/>
        <w:br w:type="column"/>
      </w:r>
      <w:r>
        <w:rPr>
          <w:rFonts w:ascii="黑体" w:hAnsi="黑体" w:cs="黑体" w:eastAsia="黑体" w:hint="default"/>
          <w:sz w:val="18"/>
          <w:szCs w:val="18"/>
        </w:rPr>
        <w:t>硬件</w:t>
      </w:r>
      <w:r>
        <w:rPr>
          <w:rFonts w:ascii="Arial" w:hAnsi="Arial" w:cs="Arial" w:eastAsia="Arial" w:hint="default"/>
          <w:sz w:val="18"/>
          <w:szCs w:val="18"/>
        </w:rPr>
        <w:t>/</w:t>
      </w:r>
      <w:r>
        <w:rPr>
          <w:rFonts w:ascii="黑体" w:hAnsi="黑体" w:cs="黑体" w:eastAsia="黑体" w:hint="default"/>
          <w:sz w:val="18"/>
          <w:szCs w:val="18"/>
        </w:rPr>
        <w:t>技术 咨询及电 子行业</w:t>
      </w:r>
    </w:p>
    <w:p>
      <w:pPr>
        <w:spacing w:line="232" w:lineRule="exact" w:before="10"/>
        <w:ind w:left="305" w:right="7403" w:firstLine="0"/>
        <w:jc w:val="left"/>
        <w:rPr>
          <w:rFonts w:ascii="黑体" w:hAnsi="黑体" w:cs="黑体" w:eastAsia="黑体" w:hint="default"/>
          <w:sz w:val="18"/>
          <w:szCs w:val="18"/>
        </w:rPr>
      </w:pPr>
      <w:r>
        <w:rPr>
          <w:spacing w:val="-2"/>
        </w:rPr>
        <w:br w:type="column"/>
      </w:r>
      <w:r>
        <w:rPr>
          <w:rFonts w:ascii="黑体" w:hAnsi="黑体" w:cs="黑体" w:eastAsia="黑体" w:hint="default"/>
          <w:spacing w:val="-2"/>
          <w:sz w:val="18"/>
          <w:szCs w:val="18"/>
        </w:rPr>
        <w:t>备的技术开发、技术咨询、技术</w:t>
      </w:r>
      <w:r>
        <w:rPr>
          <w:rFonts w:ascii="黑体" w:hAnsi="黑体" w:cs="黑体" w:eastAsia="黑体" w:hint="default"/>
          <w:sz w:val="18"/>
          <w:szCs w:val="18"/>
        </w:rPr>
        <w:t> </w:t>
      </w:r>
      <w:r>
        <w:rPr>
          <w:rFonts w:ascii="黑体" w:hAnsi="黑体" w:cs="黑体" w:eastAsia="黑体" w:hint="default"/>
          <w:spacing w:val="-2"/>
          <w:sz w:val="18"/>
          <w:szCs w:val="18"/>
        </w:rPr>
        <w:t>转让、技术服务、技术培训；电</w:t>
      </w:r>
    </w:p>
    <w:p>
      <w:pPr>
        <w:spacing w:line="232" w:lineRule="exact" w:before="2"/>
        <w:ind w:left="305" w:right="7403" w:firstLine="0"/>
        <w:jc w:val="left"/>
        <w:rPr>
          <w:rFonts w:ascii="黑体" w:hAnsi="黑体" w:cs="黑体" w:eastAsia="黑体" w:hint="default"/>
          <w:sz w:val="18"/>
          <w:szCs w:val="18"/>
        </w:rPr>
      </w:pPr>
      <w:r>
        <w:rPr>
          <w:rFonts w:ascii="黑体" w:hAnsi="黑体" w:cs="黑体" w:eastAsia="黑体" w:hint="default"/>
          <w:spacing w:val="-2"/>
          <w:sz w:val="18"/>
          <w:szCs w:val="18"/>
        </w:rPr>
        <w:t>子计算机软硬件及外部设备、计</w:t>
      </w:r>
      <w:r>
        <w:rPr>
          <w:rFonts w:ascii="黑体" w:hAnsi="黑体" w:cs="黑体" w:eastAsia="黑体" w:hint="default"/>
          <w:spacing w:val="-88"/>
          <w:sz w:val="18"/>
          <w:szCs w:val="18"/>
        </w:rPr>
        <w:t> </w:t>
      </w:r>
      <w:r>
        <w:rPr>
          <w:rFonts w:ascii="黑体" w:hAnsi="黑体" w:cs="黑体" w:eastAsia="黑体" w:hint="default"/>
          <w:spacing w:val="-88"/>
          <w:sz w:val="18"/>
          <w:szCs w:val="18"/>
        </w:rPr>
      </w:r>
      <w:r>
        <w:rPr>
          <w:rFonts w:ascii="黑体" w:hAnsi="黑体" w:cs="黑体" w:eastAsia="黑体" w:hint="default"/>
          <w:spacing w:val="-2"/>
          <w:sz w:val="18"/>
          <w:szCs w:val="18"/>
        </w:rPr>
        <w:t>算机耗材、打印纸销售；企业管</w:t>
      </w:r>
    </w:p>
    <w:p>
      <w:pPr>
        <w:spacing w:line="213" w:lineRule="exact" w:before="0"/>
        <w:ind w:left="305" w:right="7403" w:firstLine="0"/>
        <w:jc w:val="left"/>
        <w:rPr>
          <w:rFonts w:ascii="黑体" w:hAnsi="黑体" w:cs="黑体" w:eastAsia="黑体" w:hint="default"/>
          <w:sz w:val="18"/>
          <w:szCs w:val="18"/>
        </w:rPr>
      </w:pPr>
      <w:r>
        <w:rPr>
          <w:rFonts w:ascii="黑体" w:hAnsi="黑体" w:cs="黑体" w:eastAsia="黑体" w:hint="default"/>
          <w:sz w:val="18"/>
          <w:szCs w:val="18"/>
        </w:rPr>
        <w:t>理咨询；数据库服务</w:t>
      </w:r>
    </w:p>
    <w:p>
      <w:pPr>
        <w:spacing w:after="0" w:line="213" w:lineRule="exact"/>
        <w:jc w:val="left"/>
        <w:rPr>
          <w:rFonts w:ascii="黑体" w:hAnsi="黑体" w:cs="黑体" w:eastAsia="黑体" w:hint="default"/>
          <w:sz w:val="18"/>
          <w:szCs w:val="18"/>
        </w:rPr>
        <w:sectPr>
          <w:type w:val="continuous"/>
          <w:pgSz w:w="16840" w:h="11910" w:orient="landscape"/>
          <w:pgMar w:top="900" w:bottom="280" w:left="600" w:right="460"/>
          <w:cols w:num="3" w:equalWidth="0">
            <w:col w:w="2113" w:space="1532"/>
            <w:col w:w="1076" w:space="839"/>
            <w:col w:w="10220"/>
          </w:cols>
        </w:sectPr>
      </w:pPr>
    </w:p>
    <w:p>
      <w:pPr>
        <w:spacing w:line="240" w:lineRule="auto" w:before="10"/>
        <w:rPr>
          <w:rFonts w:ascii="黑体" w:hAnsi="黑体" w:cs="黑体" w:eastAsia="黑体" w:hint="default"/>
          <w:sz w:val="11"/>
          <w:szCs w:val="11"/>
        </w:rPr>
      </w:pPr>
    </w:p>
    <w:p>
      <w:pPr>
        <w:spacing w:after="0" w:line="240" w:lineRule="auto"/>
        <w:rPr>
          <w:rFonts w:ascii="黑体" w:hAnsi="黑体" w:cs="黑体" w:eastAsia="黑体" w:hint="default"/>
          <w:sz w:val="11"/>
          <w:szCs w:val="11"/>
        </w:rPr>
        <w:sectPr>
          <w:type w:val="continuous"/>
          <w:pgSz w:w="16840" w:h="11910" w:orient="landscape"/>
          <w:pgMar w:top="900" w:bottom="280" w:left="600" w:right="460"/>
        </w:sectPr>
      </w:pPr>
    </w:p>
    <w:p>
      <w:pPr>
        <w:spacing w:before="50"/>
        <w:ind w:left="138" w:right="-20" w:firstLine="0"/>
        <w:jc w:val="left"/>
        <w:rPr>
          <w:rFonts w:ascii="黑体" w:hAnsi="黑体" w:cs="黑体" w:eastAsia="黑体" w:hint="default"/>
          <w:sz w:val="18"/>
          <w:szCs w:val="18"/>
        </w:rPr>
      </w:pPr>
      <w:r>
        <w:rPr>
          <w:rFonts w:ascii="黑体" w:hAnsi="黑体" w:cs="黑体" w:eastAsia="黑体" w:hint="default"/>
          <w:sz w:val="18"/>
          <w:szCs w:val="18"/>
        </w:rPr>
        <w:t>大连用友软件有限</w:t>
      </w:r>
    </w:p>
    <w:p>
      <w:pPr>
        <w:spacing w:before="40"/>
        <w:ind w:left="134" w:right="-17" w:firstLine="0"/>
        <w:jc w:val="left"/>
        <w:rPr>
          <w:rFonts w:ascii="Arial" w:hAnsi="Arial" w:cs="Arial" w:eastAsia="Arial" w:hint="default"/>
          <w:sz w:val="18"/>
          <w:szCs w:val="18"/>
        </w:rPr>
      </w:pPr>
      <w:r>
        <w:rPr/>
        <w:br w:type="column"/>
      </w:r>
      <w:r>
        <w:rPr>
          <w:rFonts w:ascii="黑体" w:hAnsi="黑体" w:cs="黑体" w:eastAsia="黑体" w:hint="default"/>
          <w:position w:val="1"/>
          <w:sz w:val="18"/>
          <w:szCs w:val="18"/>
        </w:rPr>
        <w:t>有限责任 </w:t>
      </w:r>
      <w:r>
        <w:rPr>
          <w:rFonts w:ascii="黑体" w:hAnsi="黑体" w:cs="黑体" w:eastAsia="黑体" w:hint="default"/>
          <w:sz w:val="18"/>
          <w:szCs w:val="18"/>
        </w:rPr>
        <w:t>大连市  郭新平</w:t>
      </w:r>
      <w:r>
        <w:rPr>
          <w:rFonts w:ascii="黑体" w:hAnsi="黑体" w:cs="黑体" w:eastAsia="黑体" w:hint="default"/>
          <w:spacing w:val="33"/>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tabs>
          <w:tab w:pos="6403" w:val="left" w:leader="none"/>
          <w:tab w:pos="7283" w:val="left" w:leader="none"/>
          <w:tab w:pos="8299" w:val="left" w:leader="none"/>
          <w:tab w:pos="9288" w:val="left" w:leader="none"/>
          <w:tab w:pos="10705" w:val="left" w:leader="none"/>
        </w:tabs>
        <w:spacing w:before="50"/>
        <w:ind w:left="138"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3,000,000</w:t>
      </w:r>
      <w:r>
        <w:rPr>
          <w:rFonts w:ascii="Arial" w:hAnsi="Arial" w:cs="Arial" w:eastAsia="Arial" w:hint="default"/>
          <w:position w:val="1"/>
          <w:sz w:val="18"/>
          <w:szCs w:val="18"/>
        </w:rPr>
        <w:t> </w:t>
      </w:r>
      <w:r>
        <w:rPr>
          <w:rFonts w:ascii="黑体" w:hAnsi="黑体" w:cs="黑体" w:eastAsia="黑体" w:hint="default"/>
          <w:spacing w:val="-2"/>
          <w:sz w:val="18"/>
          <w:szCs w:val="18"/>
        </w:rPr>
        <w:t>电子计算机软件、硬件的技术开</w:t>
      </w:r>
      <w:r>
        <w:rPr>
          <w:rFonts w:ascii="黑体" w:hAnsi="黑体" w:cs="黑体" w:eastAsia="黑体" w:hint="default"/>
          <w:sz w:val="18"/>
          <w:szCs w:val="18"/>
        </w:rPr>
        <w:t> </w:t>
      </w:r>
      <w:r>
        <w:rPr>
          <w:rFonts w:ascii="Arial" w:hAnsi="Arial" w:cs="Arial" w:eastAsia="Arial" w:hint="default"/>
          <w:spacing w:val="-1"/>
          <w:position w:val="1"/>
          <w:sz w:val="18"/>
          <w:szCs w:val="18"/>
        </w:rPr>
        <w:t>77728787-2</w:t>
      </w:r>
      <w:r>
        <w:rPr>
          <w:rFonts w:ascii="Arial" w:hAnsi="Arial" w:cs="Arial" w:eastAsia="Arial" w:hint="default"/>
          <w:position w:val="1"/>
          <w:sz w:val="18"/>
          <w:szCs w:val="18"/>
        </w:rPr>
        <w:t>  </w:t>
      </w:r>
      <w:r>
        <w:rPr>
          <w:rFonts w:ascii="Arial" w:hAnsi="Arial" w:cs="Arial" w:eastAsia="Arial" w:hint="default"/>
          <w:spacing w:val="12"/>
          <w:position w:val="1"/>
          <w:sz w:val="18"/>
          <w:szCs w:val="18"/>
        </w:rPr>
        <w:t> </w:t>
      </w:r>
      <w:r>
        <w:rPr>
          <w:rFonts w:ascii="Arial" w:hAnsi="Arial" w:cs="Arial" w:eastAsia="Arial" w:hint="default"/>
          <w:spacing w:val="-1"/>
          <w:position w:val="1"/>
          <w:sz w:val="18"/>
          <w:szCs w:val="18"/>
        </w:rPr>
        <w:t>3,000,000</w:t>
        <w:tab/>
      </w:r>
      <w:r>
        <w:rPr>
          <w:rFonts w:ascii="Arial" w:hAnsi="Arial" w:cs="Arial" w:eastAsia="Arial" w:hint="default"/>
          <w:position w:val="1"/>
          <w:sz w:val="18"/>
          <w:szCs w:val="18"/>
        </w:rPr>
        <w:t>-  </w:t>
      </w:r>
      <w:r>
        <w:rPr>
          <w:rFonts w:ascii="Arial" w:hAnsi="Arial" w:cs="Arial" w:eastAsia="Arial" w:hint="default"/>
          <w:spacing w:val="40"/>
          <w:position w:val="1"/>
          <w:sz w:val="18"/>
          <w:szCs w:val="18"/>
        </w:rPr>
        <w:t> </w:t>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460"/>
          <w:cols w:num="3" w:equalWidth="0">
            <w:col w:w="1579" w:space="40"/>
            <w:col w:w="3101" w:space="151"/>
            <w:col w:w="10909"/>
          </w:cols>
        </w:sectPr>
      </w:pPr>
    </w:p>
    <w:p>
      <w:pPr>
        <w:spacing w:line="234" w:lineRule="exact" w:before="7"/>
        <w:ind w:left="306" w:right="-20" w:firstLine="0"/>
        <w:jc w:val="left"/>
        <w:rPr>
          <w:rFonts w:ascii="Arial" w:hAnsi="Arial" w:cs="Arial" w:eastAsia="Arial" w:hint="default"/>
          <w:sz w:val="18"/>
          <w:szCs w:val="18"/>
        </w:rPr>
      </w:pPr>
      <w:r>
        <w:rPr>
          <w:rFonts w:ascii="黑体" w:hAnsi="黑体" w:cs="黑体" w:eastAsia="黑体" w:hint="default"/>
          <w:sz w:val="18"/>
          <w:szCs w:val="18"/>
        </w:rPr>
        <w:t>公司</w:t>
      </w:r>
      <w:r>
        <w:rPr>
          <w:rFonts w:ascii="Arial" w:hAnsi="Arial" w:cs="Arial" w:eastAsia="Arial" w:hint="default"/>
          <w:sz w:val="18"/>
          <w:szCs w:val="18"/>
        </w:rPr>
        <w:t>(</w:t>
      </w:r>
      <w:r>
        <w:rPr>
          <w:rFonts w:ascii="黑体" w:hAnsi="黑体" w:cs="黑体" w:eastAsia="黑体" w:hint="default"/>
          <w:sz w:val="18"/>
          <w:szCs w:val="18"/>
        </w:rPr>
        <w:t>以下简称</w:t>
      </w:r>
      <w:r>
        <w:rPr>
          <w:rFonts w:ascii="Arial" w:hAnsi="Arial" w:cs="Arial" w:eastAsia="Arial" w:hint="default"/>
          <w:sz w:val="18"/>
          <w:szCs w:val="18"/>
        </w:rPr>
        <w:t>“</w:t>
      </w:r>
      <w:r>
        <w:rPr>
          <w:rFonts w:ascii="黑体" w:hAnsi="黑体" w:cs="黑体" w:eastAsia="黑体" w:hint="default"/>
          <w:sz w:val="18"/>
          <w:szCs w:val="18"/>
        </w:rPr>
        <w:t>大</w:t>
      </w:r>
      <w:r>
        <w:rPr>
          <w:rFonts w:ascii="黑体" w:hAnsi="黑体" w:cs="黑体" w:eastAsia="黑体" w:hint="default"/>
          <w:spacing w:val="-23"/>
          <w:sz w:val="18"/>
          <w:szCs w:val="18"/>
        </w:rPr>
        <w:t> </w:t>
      </w:r>
      <w:r>
        <w:rPr>
          <w:rFonts w:ascii="黑体" w:hAnsi="黑体" w:cs="黑体" w:eastAsia="黑体" w:hint="default"/>
          <w:position w:val="1"/>
          <w:sz w:val="18"/>
          <w:szCs w:val="18"/>
        </w:rPr>
        <w:t>公司</w:t>
      </w:r>
      <w:r>
        <w:rPr>
          <w:rFonts w:ascii="黑体" w:hAnsi="黑体" w:cs="黑体" w:eastAsia="黑体" w:hint="default"/>
          <w:position w:val="1"/>
          <w:sz w:val="18"/>
          <w:szCs w:val="18"/>
        </w:rPr>
        <w:t> </w:t>
      </w:r>
      <w:r>
        <w:rPr>
          <w:rFonts w:ascii="黑体" w:hAnsi="黑体" w:cs="黑体" w:eastAsia="黑体" w:hint="default"/>
          <w:sz w:val="18"/>
          <w:szCs w:val="18"/>
        </w:rPr>
        <w:t>连用友</w:t>
      </w:r>
      <w:r>
        <w:rPr>
          <w:rFonts w:ascii="Arial" w:hAnsi="Arial" w:cs="Arial" w:eastAsia="Arial" w:hint="default"/>
          <w:sz w:val="18"/>
          <w:szCs w:val="18"/>
        </w:rPr>
        <w:t>”)</w:t>
      </w:r>
    </w:p>
    <w:p>
      <w:pPr>
        <w:spacing w:line="232" w:lineRule="auto" w:before="0"/>
        <w:ind w:left="306" w:right="0" w:firstLine="0"/>
        <w:jc w:val="both"/>
        <w:rPr>
          <w:rFonts w:ascii="黑体" w:hAnsi="黑体" w:cs="黑体" w:eastAsia="黑体" w:hint="default"/>
          <w:sz w:val="18"/>
          <w:szCs w:val="18"/>
        </w:rPr>
      </w:pPr>
      <w:r>
        <w:rPr/>
        <w:br w:type="column"/>
      </w:r>
      <w:r>
        <w:rPr>
          <w:rFonts w:ascii="黑体" w:hAnsi="黑体" w:cs="黑体" w:eastAsia="黑体" w:hint="default"/>
          <w:sz w:val="18"/>
          <w:szCs w:val="18"/>
        </w:rPr>
        <w:t>硬件</w:t>
      </w:r>
      <w:r>
        <w:rPr>
          <w:rFonts w:ascii="Arial" w:hAnsi="Arial" w:cs="Arial" w:eastAsia="Arial" w:hint="default"/>
          <w:sz w:val="18"/>
          <w:szCs w:val="18"/>
        </w:rPr>
        <w:t>/</w:t>
      </w:r>
      <w:r>
        <w:rPr>
          <w:rFonts w:ascii="黑体" w:hAnsi="黑体" w:cs="黑体" w:eastAsia="黑体" w:hint="default"/>
          <w:sz w:val="18"/>
          <w:szCs w:val="18"/>
        </w:rPr>
        <w:t>技术 咨询及电 子行业</w:t>
      </w:r>
    </w:p>
    <w:p>
      <w:pPr>
        <w:spacing w:line="219" w:lineRule="exact" w:before="0"/>
        <w:ind w:left="306" w:right="0" w:firstLine="0"/>
        <w:jc w:val="both"/>
        <w:rPr>
          <w:rFonts w:ascii="黑体" w:hAnsi="黑体" w:cs="黑体" w:eastAsia="黑体" w:hint="default"/>
          <w:sz w:val="18"/>
          <w:szCs w:val="18"/>
        </w:rPr>
      </w:pPr>
      <w:r>
        <w:rPr/>
        <w:br w:type="column"/>
      </w:r>
      <w:r>
        <w:rPr>
          <w:rFonts w:ascii="黑体" w:hAnsi="黑体" w:cs="黑体" w:eastAsia="黑体" w:hint="default"/>
          <w:sz w:val="18"/>
          <w:szCs w:val="18"/>
        </w:rPr>
        <w:t>发、技术咨询、技术转让、技术</w:t>
      </w:r>
    </w:p>
    <w:p>
      <w:pPr>
        <w:spacing w:line="237" w:lineRule="auto" w:before="1"/>
        <w:ind w:left="306" w:right="7417" w:firstLine="0"/>
        <w:jc w:val="both"/>
        <w:rPr>
          <w:rFonts w:ascii="黑体" w:hAnsi="黑体" w:cs="黑体" w:eastAsia="黑体" w:hint="default"/>
          <w:sz w:val="18"/>
          <w:szCs w:val="18"/>
        </w:rPr>
      </w:pPr>
      <w:r>
        <w:rPr>
          <w:rFonts w:ascii="黑体" w:hAnsi="黑体" w:cs="黑体" w:eastAsia="黑体" w:hint="default"/>
          <w:spacing w:val="-2"/>
          <w:sz w:val="18"/>
          <w:szCs w:val="18"/>
        </w:rPr>
        <w:t>服务；企业管理咨询；电子计算</w:t>
      </w:r>
      <w:r>
        <w:rPr>
          <w:rFonts w:ascii="黑体" w:hAnsi="黑体" w:cs="黑体" w:eastAsia="黑体" w:hint="default"/>
          <w:spacing w:val="-88"/>
          <w:sz w:val="18"/>
          <w:szCs w:val="18"/>
        </w:rPr>
        <w:t> </w:t>
      </w:r>
      <w:r>
        <w:rPr>
          <w:rFonts w:ascii="黑体" w:hAnsi="黑体" w:cs="黑体" w:eastAsia="黑体" w:hint="default"/>
          <w:spacing w:val="-88"/>
          <w:sz w:val="18"/>
          <w:szCs w:val="18"/>
        </w:rPr>
      </w:r>
      <w:r>
        <w:rPr>
          <w:rFonts w:ascii="黑体" w:hAnsi="黑体" w:cs="黑体" w:eastAsia="黑体" w:hint="default"/>
          <w:spacing w:val="-2"/>
          <w:sz w:val="18"/>
          <w:szCs w:val="18"/>
        </w:rPr>
        <w:t>机软硬件及外围设备、打印纸的</w:t>
      </w:r>
      <w:r>
        <w:rPr>
          <w:rFonts w:ascii="黑体" w:hAnsi="黑体" w:cs="黑体" w:eastAsia="黑体" w:hint="default"/>
          <w:spacing w:val="-88"/>
          <w:sz w:val="18"/>
          <w:szCs w:val="18"/>
        </w:rPr>
        <w:t> </w:t>
      </w:r>
      <w:r>
        <w:rPr>
          <w:rFonts w:ascii="黑体" w:hAnsi="黑体" w:cs="黑体" w:eastAsia="黑体" w:hint="default"/>
          <w:spacing w:val="-88"/>
          <w:sz w:val="18"/>
          <w:szCs w:val="18"/>
        </w:rPr>
      </w:r>
      <w:r>
        <w:rPr>
          <w:rFonts w:ascii="黑体" w:hAnsi="黑体" w:cs="黑体" w:eastAsia="黑体" w:hint="default"/>
          <w:sz w:val="18"/>
          <w:szCs w:val="18"/>
        </w:rPr>
        <w:t>销售</w:t>
      </w:r>
    </w:p>
    <w:p>
      <w:pPr>
        <w:spacing w:after="0" w:line="237" w:lineRule="auto"/>
        <w:jc w:val="both"/>
        <w:rPr>
          <w:rFonts w:ascii="黑体" w:hAnsi="黑体" w:cs="黑体" w:eastAsia="黑体" w:hint="default"/>
          <w:sz w:val="18"/>
          <w:szCs w:val="18"/>
        </w:rPr>
        <w:sectPr>
          <w:type w:val="continuous"/>
          <w:pgSz w:w="16840" w:h="11910" w:orient="landscape"/>
          <w:pgMar w:top="900" w:bottom="280" w:left="600" w:right="460"/>
          <w:cols w:num="3" w:equalWidth="0">
            <w:col w:w="2114" w:space="1529"/>
            <w:col w:w="1077" w:space="838"/>
            <w:col w:w="10222"/>
          </w:cols>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16"/>
          <w:szCs w:val="16"/>
        </w:rPr>
      </w:pPr>
    </w:p>
    <w:p>
      <w:pPr>
        <w:spacing w:before="38"/>
        <w:ind w:left="107" w:right="10391" w:firstLine="0"/>
        <w:jc w:val="left"/>
        <w:rPr>
          <w:rFonts w:ascii="黑体" w:hAnsi="黑体" w:cs="黑体" w:eastAsia="黑体" w:hint="default"/>
          <w:sz w:val="20"/>
          <w:szCs w:val="20"/>
        </w:rPr>
      </w:pPr>
      <w:r>
        <w:rPr>
          <w:rFonts w:ascii="黑体" w:hAnsi="黑体" w:cs="黑体" w:eastAsia="黑体" w:hint="default"/>
          <w:b/>
          <w:bCs/>
          <w:sz w:val="20"/>
          <w:szCs w:val="20"/>
        </w:rPr>
        <w:t>四、合并财务报表的合并范围（续）</w:t>
      </w:r>
      <w:r>
        <w:rPr>
          <w:rFonts w:ascii="黑体" w:hAnsi="黑体" w:cs="黑体" w:eastAsia="黑体" w:hint="default"/>
          <w:sz w:val="20"/>
          <w:szCs w:val="20"/>
        </w:rPr>
      </w:r>
    </w:p>
    <w:p>
      <w:pPr>
        <w:spacing w:line="355" w:lineRule="auto" w:before="135"/>
        <w:ind w:left="107" w:right="10391" w:firstLine="62"/>
        <w:jc w:val="left"/>
        <w:rPr>
          <w:rFonts w:ascii="黑体" w:hAnsi="黑体" w:cs="黑体" w:eastAsia="黑体" w:hint="default"/>
          <w:sz w:val="20"/>
          <w:szCs w:val="20"/>
        </w:rPr>
      </w:pPr>
      <w:r>
        <w:rPr>
          <w:rFonts w:ascii="Arial" w:hAnsi="Arial" w:cs="Arial" w:eastAsia="Arial" w:hint="default"/>
          <w:b/>
          <w:bCs/>
          <w:sz w:val="20"/>
          <w:szCs w:val="20"/>
        </w:rPr>
        <w:t>1.</w:t>
      </w:r>
      <w:r>
        <w:rPr>
          <w:rFonts w:ascii="Arial" w:hAnsi="Arial" w:cs="Arial" w:eastAsia="Arial" w:hint="default"/>
          <w:b/>
          <w:bCs/>
          <w:spacing w:val="31"/>
          <w:sz w:val="20"/>
          <w:szCs w:val="20"/>
        </w:rPr>
        <w:t> </w:t>
      </w:r>
      <w:r>
        <w:rPr>
          <w:rFonts w:ascii="黑体" w:hAnsi="黑体" w:cs="黑体" w:eastAsia="黑体" w:hint="default"/>
          <w:b/>
          <w:bCs/>
          <w:sz w:val="20"/>
          <w:szCs w:val="20"/>
        </w:rPr>
        <w:t>子公司情况（续）</w:t>
      </w:r>
      <w:r>
        <w:rPr>
          <w:rFonts w:ascii="黑体" w:hAnsi="黑体" w:cs="黑体" w:eastAsia="黑体" w:hint="default"/>
          <w:b/>
          <w:bCs/>
          <w:w w:val="99"/>
          <w:sz w:val="20"/>
          <w:szCs w:val="20"/>
        </w:rPr>
        <w:t> </w:t>
      </w:r>
      <w:r>
        <w:rPr>
          <w:rFonts w:ascii="黑体" w:hAnsi="黑体" w:cs="黑体" w:eastAsia="黑体" w:hint="default"/>
          <w:sz w:val="20"/>
          <w:szCs w:val="20"/>
        </w:rPr>
        <w:t>本集团重要子公司的情况如下（续）：</w:t>
      </w:r>
      <w:r>
        <w:rPr>
          <w:rFonts w:ascii="黑体" w:hAnsi="黑体" w:cs="黑体" w:eastAsia="黑体" w:hint="default"/>
          <w:w w:val="100"/>
          <w:sz w:val="20"/>
          <w:szCs w:val="20"/>
        </w:rPr>
        <w:t> </w:t>
      </w:r>
      <w:r>
        <w:rPr>
          <w:rFonts w:ascii="黑体" w:hAnsi="黑体" w:cs="黑体" w:eastAsia="黑体" w:hint="default"/>
          <w:spacing w:val="-1"/>
          <w:sz w:val="20"/>
          <w:szCs w:val="20"/>
        </w:rPr>
        <w:t>通过设立或投资等方式取得的子公司（续）</w:t>
      </w:r>
    </w:p>
    <w:p>
      <w:pPr>
        <w:tabs>
          <w:tab w:pos="4262" w:val="left" w:leader="none"/>
        </w:tabs>
        <w:spacing w:before="34"/>
        <w:ind w:left="0" w:right="133" w:firstLine="0"/>
        <w:jc w:val="right"/>
        <w:rPr>
          <w:rFonts w:ascii="黑体" w:hAnsi="黑体" w:cs="黑体" w:eastAsia="黑体" w:hint="default"/>
          <w:sz w:val="18"/>
          <w:szCs w:val="18"/>
        </w:rPr>
      </w:pPr>
      <w:r>
        <w:rPr>
          <w:rFonts w:ascii="黑体" w:hAnsi="黑体" w:cs="黑体" w:eastAsia="黑体" w:hint="default"/>
          <w:sz w:val="18"/>
          <w:szCs w:val="18"/>
        </w:rPr>
        <w:t>实质上构成</w:t>
        <w:tab/>
        <w:t>少数股东权益</w:t>
      </w:r>
    </w:p>
    <w:p>
      <w:pPr>
        <w:tabs>
          <w:tab w:pos="1789" w:val="left" w:leader="none"/>
          <w:tab w:pos="2569" w:val="left" w:leader="none"/>
          <w:tab w:pos="3278" w:val="left" w:leader="none"/>
          <w:tab w:pos="3985" w:val="left" w:leader="none"/>
          <w:tab w:pos="5125" w:val="left" w:leader="none"/>
          <w:tab w:pos="6641" w:val="left" w:leader="none"/>
          <w:tab w:pos="8517" w:val="left" w:leader="none"/>
          <w:tab w:pos="8876" w:val="left" w:leader="none"/>
          <w:tab w:pos="9509" w:val="left" w:leader="none"/>
          <w:tab w:pos="9689" w:val="left" w:leader="none"/>
          <w:tab w:pos="11429" w:val="left" w:leader="none"/>
          <w:tab w:pos="12137" w:val="left" w:leader="none"/>
          <w:tab w:pos="12989" w:val="left" w:leader="none"/>
          <w:tab w:pos="13620" w:val="left" w:leader="none"/>
          <w:tab w:pos="13980" w:val="left" w:leader="none"/>
          <w:tab w:pos="14583" w:val="left" w:leader="none"/>
        </w:tabs>
        <w:spacing w:line="280" w:lineRule="auto" w:before="38"/>
        <w:ind w:left="138" w:right="133" w:firstLine="1651"/>
        <w:jc w:val="right"/>
        <w:rPr>
          <w:rFonts w:ascii="黑体" w:hAnsi="黑体" w:cs="黑体" w:eastAsia="黑体" w:hint="default"/>
          <w:sz w:val="18"/>
          <w:szCs w:val="18"/>
        </w:rPr>
      </w:pPr>
      <w:r>
        <w:rPr>
          <w:rFonts w:ascii="黑体" w:hAnsi="黑体" w:cs="黑体" w:eastAsia="黑体" w:hint="default"/>
          <w:sz w:val="18"/>
          <w:szCs w:val="18"/>
        </w:rPr>
        <w:t>子公司</w:t>
        <w:tab/>
        <w:tab/>
        <w:t>法人</w:t>
        <w:tab/>
        <w:tab/>
        <w:tab/>
        <w:tab/>
        <w:t>组织机构</w:t>
        <w:tab/>
        <w:t>年末实际</w:t>
      </w:r>
      <w:r>
        <w:rPr>
          <w:rFonts w:ascii="黑体" w:hAnsi="黑体" w:cs="黑体" w:eastAsia="黑体" w:hint="default"/>
          <w:spacing w:val="2"/>
          <w:sz w:val="18"/>
          <w:szCs w:val="18"/>
        </w:rPr>
        <w:t> </w:t>
      </w:r>
      <w:r>
        <w:rPr>
          <w:rFonts w:ascii="黑体" w:hAnsi="黑体" w:cs="黑体" w:eastAsia="黑体" w:hint="default"/>
          <w:sz w:val="18"/>
          <w:szCs w:val="18"/>
        </w:rPr>
        <w:t>净投资的其</w:t>
        <w:tab/>
        <w:t>持股</w:t>
        <w:tab/>
        <w:t>表决</w:t>
        <w:tab/>
        <w:t>是否</w:t>
        <w:tab/>
        <w:t>少数股东</w:t>
      </w:r>
      <w:r>
        <w:rPr>
          <w:rFonts w:ascii="黑体" w:hAnsi="黑体" w:cs="黑体" w:eastAsia="黑体" w:hint="default"/>
          <w:spacing w:val="-27"/>
          <w:sz w:val="18"/>
          <w:szCs w:val="18"/>
        </w:rPr>
        <w:t> </w:t>
      </w:r>
      <w:r>
        <w:rPr>
          <w:rFonts w:ascii="黑体" w:hAnsi="黑体" w:cs="黑体" w:eastAsia="黑体" w:hint="default"/>
          <w:sz w:val="18"/>
          <w:szCs w:val="18"/>
        </w:rPr>
        <w:t>中用于冲减少数</w:t>
      </w:r>
      <w:r>
        <w:rPr>
          <w:rFonts w:ascii="黑体" w:hAnsi="黑体" w:cs="黑体" w:eastAsia="黑体" w:hint="default"/>
          <w:sz w:val="18"/>
          <w:szCs w:val="18"/>
        </w:rPr>
        <w:t> 被投资单位名称</w:t>
        <w:tab/>
        <w:t>类型</w:t>
        <w:tab/>
        <w:t>注册地</w:t>
      </w:r>
      <w:r>
        <w:rPr>
          <w:rFonts w:ascii="黑体" w:hAnsi="黑体" w:cs="黑体" w:eastAsia="黑体" w:hint="default"/>
          <w:spacing w:val="77"/>
          <w:sz w:val="18"/>
          <w:szCs w:val="18"/>
        </w:rPr>
        <w:t> </w:t>
      </w:r>
      <w:r>
        <w:rPr>
          <w:rFonts w:ascii="黑体" w:hAnsi="黑体" w:cs="黑体" w:eastAsia="黑体" w:hint="default"/>
          <w:sz w:val="18"/>
          <w:szCs w:val="18"/>
        </w:rPr>
        <w:t>代表</w:t>
        <w:tab/>
        <w:t>业务性质</w:t>
        <w:tab/>
        <w:t>注册资本</w:t>
        <w:tab/>
        <w:t>经营范围</w:t>
        <w:tab/>
        <w:tab/>
        <w:t>代码</w:t>
        <w:tab/>
        <w:tab/>
        <w:t>出资额</w:t>
      </w:r>
      <w:r>
        <w:rPr>
          <w:rFonts w:ascii="黑体" w:hAnsi="黑体" w:cs="黑体" w:eastAsia="黑体" w:hint="default"/>
          <w:spacing w:val="2"/>
          <w:sz w:val="18"/>
          <w:szCs w:val="18"/>
        </w:rPr>
        <w:t> </w:t>
      </w:r>
      <w:r>
        <w:rPr>
          <w:rFonts w:ascii="黑体" w:hAnsi="黑体" w:cs="黑体" w:eastAsia="黑体" w:hint="default"/>
          <w:sz w:val="18"/>
          <w:szCs w:val="18"/>
        </w:rPr>
        <w:t>他项目余额</w:t>
        <w:tab/>
        <w:t>比例  权比例</w:t>
      </w:r>
      <w:r>
        <w:rPr>
          <w:rFonts w:ascii="黑体" w:hAnsi="黑体" w:cs="黑体" w:eastAsia="黑体" w:hint="default"/>
          <w:spacing w:val="28"/>
          <w:sz w:val="18"/>
          <w:szCs w:val="18"/>
        </w:rPr>
        <w:t> </w:t>
      </w:r>
      <w:r>
        <w:rPr>
          <w:rFonts w:ascii="黑体" w:hAnsi="黑体" w:cs="黑体" w:eastAsia="黑体" w:hint="default"/>
          <w:sz w:val="18"/>
          <w:szCs w:val="18"/>
        </w:rPr>
        <w:t>合并报表</w:t>
        <w:tab/>
        <w:tab/>
        <w:t>权益</w:t>
        <w:tab/>
        <w:t>股东损益金额</w:t>
      </w:r>
    </w:p>
    <w:p>
      <w:pPr>
        <w:tabs>
          <w:tab w:pos="707" w:val="left" w:leader="none"/>
          <w:tab w:pos="3783" w:val="left" w:leader="none"/>
        </w:tabs>
        <w:spacing w:before="16"/>
        <w:ind w:left="0" w:right="105" w:firstLine="0"/>
        <w:jc w:val="right"/>
        <w:rPr>
          <w:rFonts w:ascii="Arial" w:hAnsi="Arial" w:cs="Arial" w:eastAsia="Arial" w:hint="default"/>
          <w:sz w:val="18"/>
          <w:szCs w:val="18"/>
        </w:rPr>
      </w:pPr>
      <w:r>
        <w:rPr>
          <w:rFonts w:ascii="Arial" w:hAnsi="Arial" w:cs="Arial" w:eastAsia="Arial" w:hint="default"/>
          <w:spacing w:val="-1"/>
          <w:sz w:val="18"/>
          <w:szCs w:val="18"/>
        </w:rPr>
        <w:t>(%)</w:t>
        <w:tab/>
        <w:t>(%)</w:t>
        <w:tab/>
        <w:t>(</w:t>
      </w:r>
      <w:r>
        <w:rPr>
          <w:rFonts w:ascii="黑体" w:hAnsi="黑体" w:cs="黑体" w:eastAsia="黑体" w:hint="default"/>
          <w:spacing w:val="-1"/>
          <w:sz w:val="18"/>
          <w:szCs w:val="18"/>
        </w:rPr>
        <w:t>注</w:t>
      </w:r>
      <w:r>
        <w:rPr>
          <w:rFonts w:ascii="Arial" w:hAnsi="Arial" w:cs="Arial" w:eastAsia="Arial" w:hint="default"/>
          <w:spacing w:val="-1"/>
          <w:sz w:val="18"/>
          <w:szCs w:val="18"/>
        </w:rPr>
        <w:t>8)</w:t>
      </w:r>
      <w:r>
        <w:rPr>
          <w:rFonts w:ascii="Arial" w:hAnsi="Arial" w:cs="Arial" w:eastAsia="Arial" w:hint="default"/>
          <w:sz w:val="18"/>
          <w:szCs w:val="18"/>
        </w:rPr>
      </w:r>
    </w:p>
    <w:p>
      <w:pPr>
        <w:spacing w:line="240" w:lineRule="auto" w:before="11"/>
        <w:rPr>
          <w:rFonts w:ascii="Arial" w:hAnsi="Arial" w:cs="Arial" w:eastAsia="Arial" w:hint="default"/>
          <w:sz w:val="8"/>
          <w:szCs w:val="8"/>
        </w:rPr>
      </w:pPr>
    </w:p>
    <w:p>
      <w:pPr>
        <w:spacing w:after="0" w:line="240" w:lineRule="auto"/>
        <w:rPr>
          <w:rFonts w:ascii="Arial" w:hAnsi="Arial" w:cs="Arial" w:eastAsia="Arial" w:hint="default"/>
          <w:sz w:val="8"/>
          <w:szCs w:val="8"/>
        </w:rPr>
        <w:sectPr>
          <w:pgSz w:w="16840" w:h="11910" w:orient="landscape"/>
          <w:pgMar w:header="958" w:footer="496" w:top="2380" w:bottom="680" w:left="600" w:right="440"/>
        </w:sectPr>
      </w:pPr>
    </w:p>
    <w:p>
      <w:pPr>
        <w:spacing w:before="40"/>
        <w:ind w:left="138" w:right="-16" w:firstLine="0"/>
        <w:jc w:val="left"/>
        <w:rPr>
          <w:rFonts w:ascii="Arial" w:hAnsi="Arial" w:cs="Arial" w:eastAsia="Arial" w:hint="default"/>
          <w:sz w:val="18"/>
          <w:szCs w:val="18"/>
        </w:rPr>
      </w:pPr>
      <w:r>
        <w:rPr>
          <w:rFonts w:ascii="黑体" w:hAnsi="黑体" w:cs="黑体" w:eastAsia="黑体" w:hint="default"/>
          <w:sz w:val="18"/>
          <w:szCs w:val="18"/>
        </w:rPr>
        <w:t>广西用友软件有限公 </w:t>
      </w:r>
      <w:r>
        <w:rPr>
          <w:rFonts w:ascii="黑体" w:hAnsi="黑体" w:cs="黑体" w:eastAsia="黑体" w:hint="default"/>
          <w:position w:val="1"/>
          <w:sz w:val="18"/>
          <w:szCs w:val="18"/>
        </w:rPr>
        <w:t>有限责任 </w:t>
      </w:r>
      <w:r>
        <w:rPr>
          <w:rFonts w:ascii="黑体" w:hAnsi="黑体" w:cs="黑体" w:eastAsia="黑体" w:hint="default"/>
          <w:sz w:val="18"/>
          <w:szCs w:val="18"/>
        </w:rPr>
        <w:t>南宁市  郭新平</w:t>
      </w:r>
      <w:r>
        <w:rPr>
          <w:rFonts w:ascii="黑体" w:hAnsi="黑体" w:cs="黑体" w:eastAsia="黑体" w:hint="default"/>
          <w:spacing w:val="-27"/>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spacing w:before="50"/>
        <w:ind w:left="138" w:right="-13" w:firstLine="0"/>
        <w:jc w:val="left"/>
        <w:rPr>
          <w:rFonts w:ascii="黑体" w:hAnsi="黑体" w:cs="黑体" w:eastAsia="黑体" w:hint="default"/>
          <w:sz w:val="18"/>
          <w:szCs w:val="18"/>
        </w:rPr>
      </w:pPr>
      <w:r>
        <w:rPr/>
        <w:br w:type="column"/>
      </w:r>
      <w:r>
        <w:rPr>
          <w:rFonts w:ascii="Arial" w:hAnsi="Arial" w:cs="Arial" w:eastAsia="Arial" w:hint="default"/>
          <w:position w:val="1"/>
          <w:sz w:val="18"/>
          <w:szCs w:val="18"/>
        </w:rPr>
        <w:t>3,000,000</w:t>
      </w:r>
      <w:r>
        <w:rPr>
          <w:rFonts w:ascii="Arial" w:hAnsi="Arial" w:cs="Arial" w:eastAsia="Arial" w:hint="default"/>
          <w:spacing w:val="-4"/>
          <w:position w:val="1"/>
          <w:sz w:val="18"/>
          <w:szCs w:val="18"/>
        </w:rPr>
        <w:t> </w:t>
      </w:r>
      <w:r>
        <w:rPr>
          <w:rFonts w:ascii="黑体" w:hAnsi="黑体" w:cs="黑体" w:eastAsia="黑体" w:hint="default"/>
          <w:sz w:val="18"/>
          <w:szCs w:val="18"/>
        </w:rPr>
        <w:t>计算机软件、硬件及外部设</w:t>
      </w:r>
    </w:p>
    <w:p>
      <w:pPr>
        <w:tabs>
          <w:tab w:pos="3021" w:val="left" w:leader="none"/>
          <w:tab w:pos="3350" w:val="left" w:leader="none"/>
          <w:tab w:pos="4058" w:val="left" w:leader="none"/>
          <w:tab w:pos="5030" w:val="left" w:leader="none"/>
          <w:tab w:pos="6141" w:val="left" w:leader="none"/>
          <w:tab w:pos="7465" w:val="left" w:leader="none"/>
        </w:tabs>
        <w:spacing w:before="50"/>
        <w:ind w:left="138"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77912610-8</w:t>
      </w:r>
      <w:r>
        <w:rPr>
          <w:rFonts w:ascii="Arial" w:hAnsi="Arial" w:cs="Arial" w:eastAsia="Arial" w:hint="default"/>
          <w:position w:val="1"/>
          <w:sz w:val="18"/>
          <w:szCs w:val="18"/>
        </w:rPr>
        <w:t>  </w:t>
      </w:r>
      <w:r>
        <w:rPr>
          <w:rFonts w:ascii="Arial" w:hAnsi="Arial" w:cs="Arial" w:eastAsia="Arial" w:hint="default"/>
          <w:spacing w:val="48"/>
          <w:position w:val="1"/>
          <w:sz w:val="18"/>
          <w:szCs w:val="18"/>
        </w:rPr>
        <w:t> </w:t>
      </w:r>
      <w:r>
        <w:rPr>
          <w:rFonts w:ascii="Arial" w:hAnsi="Arial" w:cs="Arial" w:eastAsia="Arial" w:hint="default"/>
          <w:spacing w:val="-1"/>
          <w:position w:val="1"/>
          <w:sz w:val="18"/>
          <w:szCs w:val="18"/>
        </w:rPr>
        <w:t>3,000,000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440"/>
          <w:cols w:num="3" w:equalWidth="0">
            <w:col w:w="4756" w:space="152"/>
            <w:col w:w="3153" w:space="77"/>
            <w:col w:w="7662"/>
          </w:cols>
        </w:sectPr>
      </w:pPr>
    </w:p>
    <w:p>
      <w:pPr>
        <w:spacing w:line="232" w:lineRule="exact" w:before="10"/>
        <w:ind w:left="306" w:right="-20" w:firstLine="0"/>
        <w:jc w:val="left"/>
        <w:rPr>
          <w:rFonts w:ascii="Arial" w:hAnsi="Arial" w:cs="Arial" w:eastAsia="Arial" w:hint="default"/>
          <w:sz w:val="18"/>
          <w:szCs w:val="18"/>
        </w:rPr>
      </w:pPr>
      <w:r>
        <w:rPr>
          <w:rFonts w:ascii="黑体" w:hAnsi="黑体" w:cs="黑体" w:eastAsia="黑体" w:hint="default"/>
          <w:sz w:val="18"/>
          <w:szCs w:val="18"/>
        </w:rPr>
        <w:t>司</w:t>
      </w:r>
      <w:r>
        <w:rPr>
          <w:rFonts w:ascii="Arial" w:hAnsi="Arial" w:cs="Arial" w:eastAsia="Arial" w:hint="default"/>
          <w:sz w:val="18"/>
          <w:szCs w:val="18"/>
        </w:rPr>
        <w:t>(</w:t>
      </w:r>
      <w:r>
        <w:rPr>
          <w:rFonts w:ascii="黑体" w:hAnsi="黑体" w:cs="黑体" w:eastAsia="黑体" w:hint="default"/>
          <w:sz w:val="18"/>
          <w:szCs w:val="18"/>
        </w:rPr>
        <w:t>以下简称</w:t>
      </w:r>
      <w:r>
        <w:rPr>
          <w:rFonts w:ascii="Arial" w:hAnsi="Arial" w:cs="Arial" w:eastAsia="Arial" w:hint="default"/>
          <w:sz w:val="18"/>
          <w:szCs w:val="18"/>
        </w:rPr>
        <w:t>“</w:t>
      </w:r>
      <w:r>
        <w:rPr>
          <w:rFonts w:ascii="黑体" w:hAnsi="黑体" w:cs="黑体" w:eastAsia="黑体" w:hint="default"/>
          <w:sz w:val="18"/>
          <w:szCs w:val="18"/>
        </w:rPr>
        <w:t>广西</w:t>
      </w:r>
      <w:r>
        <w:rPr>
          <w:rFonts w:ascii="黑体" w:hAnsi="黑体" w:cs="黑体" w:eastAsia="黑体" w:hint="default"/>
          <w:spacing w:val="13"/>
          <w:sz w:val="18"/>
          <w:szCs w:val="18"/>
        </w:rPr>
        <w:t> </w:t>
      </w:r>
      <w:r>
        <w:rPr>
          <w:rFonts w:ascii="黑体" w:hAnsi="黑体" w:cs="黑体" w:eastAsia="黑体" w:hint="default"/>
          <w:position w:val="1"/>
          <w:sz w:val="18"/>
          <w:szCs w:val="18"/>
        </w:rPr>
        <w:t>公司</w:t>
      </w:r>
      <w:r>
        <w:rPr>
          <w:rFonts w:ascii="黑体" w:hAnsi="黑体" w:cs="黑体" w:eastAsia="黑体" w:hint="default"/>
          <w:position w:val="1"/>
          <w:sz w:val="18"/>
          <w:szCs w:val="18"/>
        </w:rPr>
        <w:t> </w:t>
      </w:r>
      <w:r>
        <w:rPr>
          <w:rFonts w:ascii="黑体" w:hAnsi="黑体" w:cs="黑体" w:eastAsia="黑体" w:hint="default"/>
          <w:sz w:val="18"/>
          <w:szCs w:val="18"/>
        </w:rPr>
        <w:t>用友</w:t>
      </w:r>
      <w:r>
        <w:rPr>
          <w:rFonts w:ascii="Arial" w:hAnsi="Arial" w:cs="Arial" w:eastAsia="Arial" w:hint="default"/>
          <w:sz w:val="18"/>
          <w:szCs w:val="18"/>
        </w:rPr>
        <w:t>”)</w:t>
      </w:r>
    </w:p>
    <w:p>
      <w:pPr>
        <w:spacing w:line="232" w:lineRule="auto" w:before="0"/>
        <w:ind w:left="306" w:right="0" w:firstLine="0"/>
        <w:jc w:val="both"/>
        <w:rPr>
          <w:rFonts w:ascii="黑体" w:hAnsi="黑体" w:cs="黑体" w:eastAsia="黑体" w:hint="default"/>
          <w:sz w:val="18"/>
          <w:szCs w:val="18"/>
        </w:rPr>
      </w:pPr>
      <w:r>
        <w:rPr/>
        <w:br w:type="column"/>
      </w:r>
      <w:r>
        <w:rPr>
          <w:rFonts w:ascii="黑体" w:hAnsi="黑体" w:cs="黑体" w:eastAsia="黑体" w:hint="default"/>
          <w:sz w:val="18"/>
          <w:szCs w:val="18"/>
        </w:rPr>
        <w:t>硬件</w:t>
      </w:r>
      <w:r>
        <w:rPr>
          <w:rFonts w:ascii="Arial" w:hAnsi="Arial" w:cs="Arial" w:eastAsia="Arial" w:hint="default"/>
          <w:sz w:val="18"/>
          <w:szCs w:val="18"/>
        </w:rPr>
        <w:t>/</w:t>
      </w:r>
      <w:r>
        <w:rPr>
          <w:rFonts w:ascii="黑体" w:hAnsi="黑体" w:cs="黑体" w:eastAsia="黑体" w:hint="default"/>
          <w:sz w:val="18"/>
          <w:szCs w:val="18"/>
        </w:rPr>
        <w:t>咨询 及电子行 业</w:t>
      </w:r>
    </w:p>
    <w:p>
      <w:pPr>
        <w:spacing w:line="232" w:lineRule="exact" w:before="10"/>
        <w:ind w:left="306" w:right="7719" w:firstLine="0"/>
        <w:jc w:val="left"/>
        <w:rPr>
          <w:rFonts w:ascii="黑体" w:hAnsi="黑体" w:cs="黑体" w:eastAsia="黑体" w:hint="default"/>
          <w:sz w:val="18"/>
          <w:szCs w:val="18"/>
        </w:rPr>
      </w:pPr>
      <w:r>
        <w:rPr/>
        <w:br w:type="column"/>
      </w:r>
      <w:r>
        <w:rPr>
          <w:rFonts w:ascii="黑体" w:hAnsi="黑体" w:cs="黑体" w:eastAsia="黑体" w:hint="default"/>
          <w:sz w:val="18"/>
          <w:szCs w:val="18"/>
        </w:rPr>
        <w:t>备的技术开发、技术咨询、 技术转让、技术服务；数据</w:t>
      </w:r>
    </w:p>
    <w:p>
      <w:pPr>
        <w:spacing w:line="232" w:lineRule="exact" w:before="2"/>
        <w:ind w:left="306" w:right="7719" w:firstLine="0"/>
        <w:jc w:val="left"/>
        <w:rPr>
          <w:rFonts w:ascii="黑体" w:hAnsi="黑体" w:cs="黑体" w:eastAsia="黑体" w:hint="default"/>
          <w:sz w:val="18"/>
          <w:szCs w:val="18"/>
        </w:rPr>
      </w:pPr>
      <w:r>
        <w:rPr>
          <w:rFonts w:ascii="黑体" w:hAnsi="黑体" w:cs="黑体" w:eastAsia="黑体" w:hint="default"/>
          <w:sz w:val="18"/>
          <w:szCs w:val="18"/>
        </w:rPr>
        <w:t>库服务；企业管理咨询；计 算机硬件及外部设备、打印</w:t>
      </w:r>
    </w:p>
    <w:p>
      <w:pPr>
        <w:spacing w:line="232" w:lineRule="exact" w:before="2"/>
        <w:ind w:left="306" w:right="7719" w:firstLine="0"/>
        <w:jc w:val="left"/>
        <w:rPr>
          <w:rFonts w:ascii="黑体" w:hAnsi="黑体" w:cs="黑体" w:eastAsia="黑体" w:hint="default"/>
          <w:sz w:val="18"/>
          <w:szCs w:val="18"/>
        </w:rPr>
      </w:pPr>
      <w:r>
        <w:rPr>
          <w:rFonts w:ascii="黑体" w:hAnsi="黑体" w:cs="黑体" w:eastAsia="黑体" w:hint="default"/>
          <w:sz w:val="18"/>
          <w:szCs w:val="18"/>
        </w:rPr>
        <w:t>纸及耗材的销售；企业管理 培训（除职业技能培训）。</w:t>
      </w:r>
    </w:p>
    <w:p>
      <w:pPr>
        <w:spacing w:after="0" w:line="232" w:lineRule="exact"/>
        <w:jc w:val="left"/>
        <w:rPr>
          <w:rFonts w:ascii="黑体" w:hAnsi="黑体" w:cs="黑体" w:eastAsia="黑体" w:hint="default"/>
          <w:sz w:val="18"/>
          <w:szCs w:val="18"/>
        </w:rPr>
        <w:sectPr>
          <w:type w:val="continuous"/>
          <w:pgSz w:w="16840" w:h="11910" w:orient="landscape"/>
          <w:pgMar w:top="900" w:bottom="280" w:left="600" w:right="440"/>
          <w:cols w:num="3" w:equalWidth="0">
            <w:col w:w="2150" w:space="1529"/>
            <w:col w:w="1077" w:space="838"/>
            <w:col w:w="10206"/>
          </w:cols>
        </w:sectPr>
      </w:pPr>
    </w:p>
    <w:p>
      <w:pPr>
        <w:spacing w:before="105"/>
        <w:ind w:left="137" w:right="-17" w:firstLine="0"/>
        <w:jc w:val="left"/>
        <w:rPr>
          <w:rFonts w:ascii="Arial" w:hAnsi="Arial" w:cs="Arial" w:eastAsia="Arial" w:hint="default"/>
          <w:sz w:val="18"/>
          <w:szCs w:val="18"/>
        </w:rPr>
      </w:pPr>
      <w:r>
        <w:rPr>
          <w:rFonts w:ascii="黑体" w:hAnsi="黑体" w:cs="黑体" w:eastAsia="黑体" w:hint="default"/>
          <w:sz w:val="18"/>
          <w:szCs w:val="18"/>
        </w:rPr>
        <w:t>厦门用友烟草软件有 </w:t>
      </w:r>
      <w:r>
        <w:rPr>
          <w:rFonts w:ascii="黑体" w:hAnsi="黑体" w:cs="黑体" w:eastAsia="黑体" w:hint="default"/>
          <w:position w:val="1"/>
          <w:sz w:val="18"/>
          <w:szCs w:val="18"/>
        </w:rPr>
        <w:t>有限责任 </w:t>
      </w:r>
      <w:r>
        <w:rPr>
          <w:rFonts w:ascii="黑体" w:hAnsi="黑体" w:cs="黑体" w:eastAsia="黑体" w:hint="default"/>
          <w:sz w:val="18"/>
          <w:szCs w:val="18"/>
        </w:rPr>
        <w:t>厦门市  王文京</w:t>
      </w:r>
      <w:r>
        <w:rPr>
          <w:rFonts w:ascii="黑体" w:hAnsi="黑体" w:cs="黑体" w:eastAsia="黑体" w:hint="default"/>
          <w:spacing w:val="-26"/>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spacing w:before="115"/>
        <w:ind w:left="137" w:right="-12" w:firstLine="0"/>
        <w:jc w:val="left"/>
        <w:rPr>
          <w:rFonts w:ascii="黑体" w:hAnsi="黑体" w:cs="黑体" w:eastAsia="黑体" w:hint="default"/>
          <w:sz w:val="18"/>
          <w:szCs w:val="18"/>
        </w:rPr>
      </w:pPr>
      <w:r>
        <w:rPr/>
        <w:br w:type="column"/>
      </w:r>
      <w:r>
        <w:rPr>
          <w:rFonts w:ascii="Arial" w:hAnsi="Arial" w:cs="Arial" w:eastAsia="Arial" w:hint="default"/>
          <w:position w:val="1"/>
          <w:sz w:val="18"/>
          <w:szCs w:val="18"/>
        </w:rPr>
        <w:t>20,000,000</w:t>
      </w:r>
      <w:r>
        <w:rPr>
          <w:rFonts w:ascii="Arial" w:hAnsi="Arial" w:cs="Arial" w:eastAsia="Arial" w:hint="default"/>
          <w:spacing w:val="-3"/>
          <w:position w:val="1"/>
          <w:sz w:val="18"/>
          <w:szCs w:val="18"/>
        </w:rPr>
        <w:t> </w:t>
      </w:r>
      <w:r>
        <w:rPr>
          <w:rFonts w:ascii="黑体" w:hAnsi="黑体" w:cs="黑体" w:eastAsia="黑体" w:hint="default"/>
          <w:sz w:val="18"/>
          <w:szCs w:val="18"/>
        </w:rPr>
        <w:t>烟草软件及其它相关软件开</w:t>
      </w:r>
    </w:p>
    <w:p>
      <w:pPr>
        <w:tabs>
          <w:tab w:pos="3021" w:val="left" w:leader="none"/>
          <w:tab w:pos="3449" w:val="left" w:leader="none"/>
          <w:tab w:pos="4157" w:val="left" w:leader="none"/>
          <w:tab w:pos="5030" w:val="left" w:leader="none"/>
          <w:tab w:pos="7464" w:val="left" w:leader="none"/>
        </w:tabs>
        <w:spacing w:before="115"/>
        <w:ind w:left="137"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77601754-7</w:t>
      </w:r>
      <w:r>
        <w:rPr>
          <w:rFonts w:ascii="Arial" w:hAnsi="Arial" w:cs="Arial" w:eastAsia="Arial" w:hint="default"/>
          <w:spacing w:val="48"/>
          <w:position w:val="1"/>
          <w:sz w:val="18"/>
          <w:szCs w:val="18"/>
        </w:rPr>
        <w:t> </w:t>
      </w:r>
      <w:r>
        <w:rPr>
          <w:rFonts w:ascii="Arial" w:hAnsi="Arial" w:cs="Arial" w:eastAsia="Arial" w:hint="default"/>
          <w:spacing w:val="-1"/>
          <w:position w:val="1"/>
          <w:sz w:val="18"/>
          <w:szCs w:val="18"/>
        </w:rPr>
        <w:t>15,200,000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76</w:t>
        <w:tab/>
        <w:t>76</w:t>
        <w:tab/>
      </w:r>
      <w:r>
        <w:rPr>
          <w:rFonts w:ascii="黑体" w:hAnsi="黑体" w:cs="黑体" w:eastAsia="黑体" w:hint="default"/>
          <w:sz w:val="18"/>
          <w:szCs w:val="18"/>
        </w:rPr>
        <w:t>是</w:t>
      </w:r>
      <w:r>
        <w:rPr>
          <w:rFonts w:ascii="黑体" w:hAnsi="黑体" w:cs="黑体" w:eastAsia="黑体" w:hint="default"/>
          <w:spacing w:val="3"/>
          <w:sz w:val="18"/>
          <w:szCs w:val="18"/>
        </w:rPr>
        <w:t> </w:t>
      </w:r>
      <w:r>
        <w:rPr>
          <w:rFonts w:ascii="Arial" w:hAnsi="Arial" w:cs="Arial" w:eastAsia="Arial" w:hint="default"/>
          <w:spacing w:val="-1"/>
          <w:position w:val="1"/>
          <w:sz w:val="18"/>
          <w:szCs w:val="18"/>
        </w:rPr>
        <w:t>11,936,730</w:t>
        <w:tab/>
      </w:r>
      <w:r>
        <w:rPr>
          <w:rFonts w:ascii="Arial" w:hAnsi="Arial" w:cs="Arial" w:eastAsia="Arial" w:hint="default"/>
          <w:position w:val="1"/>
          <w:sz w:val="18"/>
          <w:szCs w:val="18"/>
        </w:rPr>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440"/>
          <w:cols w:num="3" w:equalWidth="0">
            <w:col w:w="4755" w:space="53"/>
            <w:col w:w="3254" w:space="78"/>
            <w:col w:w="7660"/>
          </w:cols>
        </w:sectPr>
      </w:pPr>
    </w:p>
    <w:p>
      <w:pPr>
        <w:spacing w:line="234" w:lineRule="exact" w:before="7"/>
        <w:ind w:left="305" w:right="-20" w:firstLine="0"/>
        <w:jc w:val="left"/>
        <w:rPr>
          <w:rFonts w:ascii="Arial" w:hAnsi="Arial" w:cs="Arial" w:eastAsia="Arial" w:hint="default"/>
          <w:sz w:val="18"/>
          <w:szCs w:val="18"/>
        </w:rPr>
      </w:pPr>
      <w:r>
        <w:rPr>
          <w:rFonts w:ascii="黑体" w:hAnsi="黑体" w:cs="黑体" w:eastAsia="黑体" w:hint="default"/>
          <w:sz w:val="18"/>
          <w:szCs w:val="18"/>
        </w:rPr>
        <w:t>限责任公司</w:t>
      </w:r>
      <w:r>
        <w:rPr>
          <w:rFonts w:ascii="Arial" w:hAnsi="Arial" w:cs="Arial" w:eastAsia="Arial" w:hint="default"/>
          <w:sz w:val="18"/>
          <w:szCs w:val="18"/>
        </w:rPr>
        <w:t>(</w:t>
      </w:r>
      <w:r>
        <w:rPr>
          <w:rFonts w:ascii="黑体" w:hAnsi="黑体" w:cs="黑体" w:eastAsia="黑体" w:hint="default"/>
          <w:sz w:val="18"/>
          <w:szCs w:val="18"/>
        </w:rPr>
        <w:t>以下</w:t>
      </w:r>
      <w:r>
        <w:rPr>
          <w:rFonts w:ascii="黑体" w:hAnsi="黑体" w:cs="黑体" w:eastAsia="黑体" w:hint="default"/>
          <w:spacing w:val="73"/>
          <w:sz w:val="18"/>
          <w:szCs w:val="18"/>
        </w:rPr>
        <w:t> </w:t>
      </w:r>
      <w:r>
        <w:rPr>
          <w:rFonts w:ascii="黑体" w:hAnsi="黑体" w:cs="黑体" w:eastAsia="黑体" w:hint="default"/>
          <w:position w:val="1"/>
          <w:sz w:val="18"/>
          <w:szCs w:val="18"/>
        </w:rPr>
        <w:t>公司</w:t>
      </w:r>
      <w:r>
        <w:rPr>
          <w:rFonts w:ascii="黑体" w:hAnsi="黑体" w:cs="黑体" w:eastAsia="黑体" w:hint="default"/>
          <w:position w:val="1"/>
          <w:sz w:val="18"/>
          <w:szCs w:val="18"/>
        </w:rPr>
        <w:t> </w:t>
      </w:r>
      <w:r>
        <w:rPr>
          <w:rFonts w:ascii="黑体" w:hAnsi="黑体" w:cs="黑体" w:eastAsia="黑体" w:hint="default"/>
          <w:sz w:val="18"/>
          <w:szCs w:val="18"/>
        </w:rPr>
        <w:t>简称</w:t>
      </w:r>
      <w:r>
        <w:rPr>
          <w:rFonts w:ascii="Arial" w:hAnsi="Arial" w:cs="Arial" w:eastAsia="Arial" w:hint="default"/>
          <w:sz w:val="18"/>
          <w:szCs w:val="18"/>
        </w:rPr>
        <w:t>“</w:t>
      </w:r>
      <w:r>
        <w:rPr>
          <w:rFonts w:ascii="黑体" w:hAnsi="黑体" w:cs="黑体" w:eastAsia="黑体" w:hint="default"/>
          <w:sz w:val="18"/>
          <w:szCs w:val="18"/>
        </w:rPr>
        <w:t>用友烟草</w:t>
      </w:r>
      <w:r>
        <w:rPr>
          <w:rFonts w:ascii="Arial" w:hAnsi="Arial" w:cs="Arial" w:eastAsia="Arial" w:hint="default"/>
          <w:sz w:val="18"/>
          <w:szCs w:val="18"/>
        </w:rPr>
        <w:t>”)</w:t>
      </w:r>
    </w:p>
    <w:p>
      <w:pPr>
        <w:spacing w:line="234" w:lineRule="exact" w:before="7"/>
        <w:ind w:left="305" w:right="-19" w:firstLine="0"/>
        <w:jc w:val="left"/>
        <w:rPr>
          <w:rFonts w:ascii="黑体" w:hAnsi="黑体" w:cs="黑体" w:eastAsia="黑体" w:hint="default"/>
          <w:sz w:val="18"/>
          <w:szCs w:val="18"/>
        </w:rPr>
      </w:pPr>
      <w:r>
        <w:rPr/>
        <w:br w:type="column"/>
      </w:r>
      <w:r>
        <w:rPr>
          <w:rFonts w:ascii="黑体" w:hAnsi="黑体" w:cs="黑体" w:eastAsia="黑体" w:hint="default"/>
          <w:sz w:val="18"/>
          <w:szCs w:val="18"/>
        </w:rPr>
        <w:t>硬件</w:t>
      </w:r>
      <w:r>
        <w:rPr>
          <w:rFonts w:ascii="Arial" w:hAnsi="Arial" w:cs="Arial" w:eastAsia="Arial" w:hint="default"/>
          <w:sz w:val="18"/>
          <w:szCs w:val="18"/>
        </w:rPr>
        <w:t>/</w:t>
      </w:r>
      <w:r>
        <w:rPr>
          <w:rFonts w:ascii="黑体" w:hAnsi="黑体" w:cs="黑体" w:eastAsia="黑体" w:hint="default"/>
          <w:sz w:val="18"/>
          <w:szCs w:val="18"/>
        </w:rPr>
        <w:t>电子 行业</w:t>
      </w:r>
    </w:p>
    <w:p>
      <w:pPr>
        <w:spacing w:line="234" w:lineRule="exact" w:before="7"/>
        <w:ind w:left="305" w:right="7539" w:firstLine="0"/>
        <w:jc w:val="left"/>
        <w:rPr>
          <w:rFonts w:ascii="黑体" w:hAnsi="黑体" w:cs="黑体" w:eastAsia="黑体" w:hint="default"/>
          <w:sz w:val="18"/>
          <w:szCs w:val="18"/>
        </w:rPr>
      </w:pPr>
      <w:r>
        <w:rPr/>
        <w:br w:type="column"/>
      </w:r>
      <w:r>
        <w:rPr>
          <w:rFonts w:ascii="黑体" w:hAnsi="黑体" w:cs="黑体" w:eastAsia="黑体" w:hint="default"/>
          <w:sz w:val="18"/>
          <w:szCs w:val="18"/>
        </w:rPr>
        <w:t>发设计</w:t>
      </w:r>
      <w:r>
        <w:rPr>
          <w:rFonts w:ascii="Arial" w:hAnsi="Arial" w:cs="Arial" w:eastAsia="Arial" w:hint="default"/>
          <w:sz w:val="18"/>
          <w:szCs w:val="18"/>
        </w:rPr>
        <w:t>,</w:t>
      </w:r>
      <w:r>
        <w:rPr>
          <w:rFonts w:ascii="黑体" w:hAnsi="黑体" w:cs="黑体" w:eastAsia="黑体" w:hint="default"/>
          <w:sz w:val="18"/>
          <w:szCs w:val="18"/>
        </w:rPr>
        <w:t>硬件制造</w:t>
      </w:r>
      <w:r>
        <w:rPr>
          <w:rFonts w:ascii="Arial" w:hAnsi="Arial" w:cs="Arial" w:eastAsia="Arial" w:hint="default"/>
          <w:sz w:val="18"/>
          <w:szCs w:val="18"/>
        </w:rPr>
        <w:t>,</w:t>
      </w:r>
      <w:r>
        <w:rPr>
          <w:rFonts w:ascii="黑体" w:hAnsi="黑体" w:cs="黑体" w:eastAsia="黑体" w:hint="default"/>
          <w:sz w:val="18"/>
          <w:szCs w:val="18"/>
        </w:rPr>
        <w:t>销售</w:t>
      </w:r>
      <w:r>
        <w:rPr>
          <w:rFonts w:ascii="Arial" w:hAnsi="Arial" w:cs="Arial" w:eastAsia="Arial" w:hint="default"/>
          <w:sz w:val="18"/>
          <w:szCs w:val="18"/>
        </w:rPr>
        <w:t>,</w:t>
      </w:r>
      <w:r>
        <w:rPr>
          <w:rFonts w:ascii="黑体" w:hAnsi="黑体" w:cs="黑体" w:eastAsia="黑体" w:hint="default"/>
          <w:sz w:val="18"/>
          <w:szCs w:val="18"/>
        </w:rPr>
        <w:t>并提 供烟草行业信息化咨询服务。</w:t>
      </w:r>
    </w:p>
    <w:p>
      <w:pPr>
        <w:spacing w:after="0" w:line="234" w:lineRule="exact"/>
        <w:jc w:val="left"/>
        <w:rPr>
          <w:rFonts w:ascii="黑体" w:hAnsi="黑体" w:cs="黑体" w:eastAsia="黑体" w:hint="default"/>
          <w:sz w:val="18"/>
          <w:szCs w:val="18"/>
        </w:rPr>
        <w:sectPr>
          <w:type w:val="continuous"/>
          <w:pgSz w:w="16840" w:h="11910" w:orient="landscape"/>
          <w:pgMar w:top="900" w:bottom="280" w:left="600" w:right="440"/>
          <w:cols w:num="3" w:equalWidth="0">
            <w:col w:w="2149" w:space="1530"/>
            <w:col w:w="1077" w:space="840"/>
            <w:col w:w="10204"/>
          </w:cols>
        </w:sectPr>
      </w:pPr>
    </w:p>
    <w:p>
      <w:pPr>
        <w:spacing w:line="240" w:lineRule="auto" w:before="7"/>
        <w:rPr>
          <w:rFonts w:ascii="黑体" w:hAnsi="黑体" w:cs="黑体" w:eastAsia="黑体" w:hint="default"/>
          <w:sz w:val="12"/>
          <w:szCs w:val="12"/>
        </w:rPr>
      </w:pPr>
    </w:p>
    <w:p>
      <w:pPr>
        <w:spacing w:after="0" w:line="240" w:lineRule="auto"/>
        <w:rPr>
          <w:rFonts w:ascii="黑体" w:hAnsi="黑体" w:cs="黑体" w:eastAsia="黑体" w:hint="default"/>
          <w:sz w:val="12"/>
          <w:szCs w:val="12"/>
        </w:rPr>
        <w:sectPr>
          <w:type w:val="continuous"/>
          <w:pgSz w:w="16840" w:h="11910" w:orient="landscape"/>
          <w:pgMar w:top="900" w:bottom="280" w:left="600" w:right="440"/>
        </w:sectPr>
      </w:pPr>
    </w:p>
    <w:p>
      <w:pPr>
        <w:spacing w:before="40"/>
        <w:ind w:left="139" w:right="-17" w:firstLine="0"/>
        <w:jc w:val="left"/>
        <w:rPr>
          <w:rFonts w:ascii="Arial" w:hAnsi="Arial" w:cs="Arial" w:eastAsia="Arial" w:hint="default"/>
          <w:sz w:val="18"/>
          <w:szCs w:val="18"/>
        </w:rPr>
      </w:pPr>
      <w:r>
        <w:rPr>
          <w:rFonts w:ascii="黑体" w:hAnsi="黑体" w:cs="黑体" w:eastAsia="黑体" w:hint="default"/>
          <w:sz w:val="18"/>
          <w:szCs w:val="18"/>
        </w:rPr>
        <w:t>深圳用友软件有限公 </w:t>
      </w:r>
      <w:r>
        <w:rPr>
          <w:rFonts w:ascii="黑体" w:hAnsi="黑体" w:cs="黑体" w:eastAsia="黑体" w:hint="default"/>
          <w:position w:val="1"/>
          <w:sz w:val="18"/>
          <w:szCs w:val="18"/>
        </w:rPr>
        <w:t>有限责任 </w:t>
      </w:r>
      <w:r>
        <w:rPr>
          <w:rFonts w:ascii="黑体" w:hAnsi="黑体" w:cs="黑体" w:eastAsia="黑体" w:hint="default"/>
          <w:sz w:val="18"/>
          <w:szCs w:val="18"/>
        </w:rPr>
        <w:t>深圳市  王文京</w:t>
      </w:r>
      <w:r>
        <w:rPr>
          <w:rFonts w:ascii="黑体" w:hAnsi="黑体" w:cs="黑体" w:eastAsia="黑体" w:hint="default"/>
          <w:spacing w:val="-27"/>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spacing w:before="50"/>
        <w:ind w:left="139" w:right="-13" w:firstLine="0"/>
        <w:jc w:val="left"/>
        <w:rPr>
          <w:rFonts w:ascii="黑体" w:hAnsi="黑体" w:cs="黑体" w:eastAsia="黑体" w:hint="default"/>
          <w:sz w:val="18"/>
          <w:szCs w:val="18"/>
        </w:rPr>
      </w:pPr>
      <w:r>
        <w:rPr/>
        <w:br w:type="column"/>
      </w:r>
      <w:r>
        <w:rPr>
          <w:rFonts w:ascii="Arial" w:hAnsi="Arial" w:cs="Arial" w:eastAsia="Arial" w:hint="default"/>
          <w:position w:val="1"/>
          <w:sz w:val="18"/>
          <w:szCs w:val="18"/>
        </w:rPr>
        <w:t>5,000,000</w:t>
      </w:r>
      <w:r>
        <w:rPr>
          <w:rFonts w:ascii="Arial" w:hAnsi="Arial" w:cs="Arial" w:eastAsia="Arial" w:hint="default"/>
          <w:spacing w:val="-4"/>
          <w:position w:val="1"/>
          <w:sz w:val="18"/>
          <w:szCs w:val="18"/>
        </w:rPr>
        <w:t> </w:t>
      </w:r>
      <w:r>
        <w:rPr>
          <w:rFonts w:ascii="黑体" w:hAnsi="黑体" w:cs="黑体" w:eastAsia="黑体" w:hint="default"/>
          <w:sz w:val="18"/>
          <w:szCs w:val="18"/>
        </w:rPr>
        <w:t>计算机软件硬件及外部设备</w:t>
      </w:r>
    </w:p>
    <w:p>
      <w:pPr>
        <w:tabs>
          <w:tab w:pos="3022" w:val="left" w:leader="none"/>
          <w:tab w:pos="3351" w:val="left" w:leader="none"/>
          <w:tab w:pos="4059" w:val="left" w:leader="none"/>
          <w:tab w:pos="5031" w:val="left" w:leader="none"/>
          <w:tab w:pos="6142" w:val="left" w:leader="none"/>
          <w:tab w:pos="7466" w:val="left" w:leader="none"/>
        </w:tabs>
        <w:spacing w:before="50"/>
        <w:ind w:left="139"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79541796-8</w:t>
      </w:r>
      <w:r>
        <w:rPr>
          <w:rFonts w:ascii="Arial" w:hAnsi="Arial" w:cs="Arial" w:eastAsia="Arial" w:hint="default"/>
          <w:position w:val="1"/>
          <w:sz w:val="18"/>
          <w:szCs w:val="18"/>
        </w:rPr>
        <w:t>  </w:t>
      </w:r>
      <w:r>
        <w:rPr>
          <w:rFonts w:ascii="Arial" w:hAnsi="Arial" w:cs="Arial" w:eastAsia="Arial" w:hint="default"/>
          <w:spacing w:val="48"/>
          <w:position w:val="1"/>
          <w:sz w:val="18"/>
          <w:szCs w:val="18"/>
        </w:rPr>
        <w:t> </w:t>
      </w:r>
      <w:r>
        <w:rPr>
          <w:rFonts w:ascii="Arial" w:hAnsi="Arial" w:cs="Arial" w:eastAsia="Arial" w:hint="default"/>
          <w:spacing w:val="-1"/>
          <w:position w:val="1"/>
          <w:sz w:val="18"/>
          <w:szCs w:val="18"/>
        </w:rPr>
        <w:t>5,000,000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440"/>
          <w:cols w:num="3" w:equalWidth="0">
            <w:col w:w="4756" w:space="151"/>
            <w:col w:w="3154" w:space="76"/>
            <w:col w:w="7663"/>
          </w:cols>
        </w:sectPr>
      </w:pPr>
    </w:p>
    <w:p>
      <w:pPr>
        <w:spacing w:line="232" w:lineRule="exact" w:before="10"/>
        <w:ind w:left="306" w:right="-18" w:firstLine="0"/>
        <w:jc w:val="left"/>
        <w:rPr>
          <w:rFonts w:ascii="Arial" w:hAnsi="Arial" w:cs="Arial" w:eastAsia="Arial" w:hint="default"/>
          <w:sz w:val="18"/>
          <w:szCs w:val="18"/>
        </w:rPr>
      </w:pPr>
      <w:r>
        <w:rPr>
          <w:rFonts w:ascii="黑体" w:hAnsi="黑体" w:cs="黑体" w:eastAsia="黑体" w:hint="default"/>
          <w:spacing w:val="-5"/>
          <w:sz w:val="18"/>
          <w:szCs w:val="18"/>
        </w:rPr>
        <w:t>司（以下简称</w:t>
      </w:r>
      <w:r>
        <w:rPr>
          <w:rFonts w:ascii="Arial" w:hAnsi="Arial" w:cs="Arial" w:eastAsia="Arial" w:hint="default"/>
          <w:spacing w:val="-5"/>
          <w:sz w:val="18"/>
          <w:szCs w:val="18"/>
        </w:rPr>
        <w:t>“</w:t>
      </w:r>
      <w:r>
        <w:rPr>
          <w:rFonts w:ascii="黑体" w:hAnsi="黑体" w:cs="黑体" w:eastAsia="黑体" w:hint="default"/>
          <w:spacing w:val="-5"/>
          <w:sz w:val="18"/>
          <w:szCs w:val="18"/>
        </w:rPr>
        <w:t>深圳</w:t>
      </w:r>
      <w:r>
        <w:rPr>
          <w:rFonts w:ascii="黑体" w:hAnsi="黑体" w:cs="黑体" w:eastAsia="黑体" w:hint="default"/>
          <w:spacing w:val="-63"/>
          <w:sz w:val="18"/>
          <w:szCs w:val="18"/>
        </w:rPr>
        <w:t> </w:t>
      </w:r>
      <w:r>
        <w:rPr>
          <w:rFonts w:ascii="黑体" w:hAnsi="黑体" w:cs="黑体" w:eastAsia="黑体" w:hint="default"/>
          <w:position w:val="1"/>
          <w:sz w:val="18"/>
          <w:szCs w:val="18"/>
        </w:rPr>
        <w:t>公司</w:t>
      </w:r>
      <w:r>
        <w:rPr>
          <w:rFonts w:ascii="黑体" w:hAnsi="黑体" w:cs="黑体" w:eastAsia="黑体" w:hint="default"/>
          <w:position w:val="1"/>
          <w:sz w:val="18"/>
          <w:szCs w:val="18"/>
        </w:rPr>
        <w:t> </w:t>
      </w:r>
      <w:r>
        <w:rPr>
          <w:rFonts w:ascii="黑体" w:hAnsi="黑体" w:cs="黑体" w:eastAsia="黑体" w:hint="default"/>
          <w:sz w:val="18"/>
          <w:szCs w:val="18"/>
        </w:rPr>
        <w:t>用友</w:t>
      </w:r>
      <w:r>
        <w:rPr>
          <w:rFonts w:ascii="Arial" w:hAnsi="Arial" w:cs="Arial" w:eastAsia="Arial" w:hint="default"/>
          <w:sz w:val="18"/>
          <w:szCs w:val="18"/>
        </w:rPr>
        <w:t>”)</w:t>
      </w:r>
    </w:p>
    <w:p>
      <w:pPr>
        <w:spacing w:line="232" w:lineRule="exact" w:before="10"/>
        <w:ind w:left="306" w:right="-19" w:firstLine="0"/>
        <w:jc w:val="left"/>
        <w:rPr>
          <w:rFonts w:ascii="黑体" w:hAnsi="黑体" w:cs="黑体" w:eastAsia="黑体" w:hint="default"/>
          <w:sz w:val="18"/>
          <w:szCs w:val="18"/>
        </w:rPr>
      </w:pPr>
      <w:r>
        <w:rPr/>
        <w:br w:type="column"/>
      </w:r>
      <w:r>
        <w:rPr>
          <w:rFonts w:ascii="黑体" w:hAnsi="黑体" w:cs="黑体" w:eastAsia="黑体" w:hint="default"/>
          <w:sz w:val="18"/>
          <w:szCs w:val="18"/>
        </w:rPr>
        <w:t>硬件</w:t>
      </w:r>
      <w:r>
        <w:rPr>
          <w:rFonts w:ascii="Arial" w:hAnsi="Arial" w:cs="Arial" w:eastAsia="Arial" w:hint="default"/>
          <w:sz w:val="18"/>
          <w:szCs w:val="18"/>
        </w:rPr>
        <w:t>/</w:t>
      </w:r>
      <w:r>
        <w:rPr>
          <w:rFonts w:ascii="黑体" w:hAnsi="黑体" w:cs="黑体" w:eastAsia="黑体" w:hint="default"/>
          <w:sz w:val="18"/>
          <w:szCs w:val="18"/>
        </w:rPr>
        <w:t>耗材、 电子行业</w:t>
      </w:r>
    </w:p>
    <w:p>
      <w:pPr>
        <w:spacing w:line="232" w:lineRule="exact" w:before="10"/>
        <w:ind w:left="306" w:right="7719" w:firstLine="0"/>
        <w:jc w:val="left"/>
        <w:rPr>
          <w:rFonts w:ascii="黑体" w:hAnsi="黑体" w:cs="黑体" w:eastAsia="黑体" w:hint="default"/>
          <w:sz w:val="18"/>
          <w:szCs w:val="18"/>
        </w:rPr>
      </w:pPr>
      <w:r>
        <w:rPr/>
        <w:br w:type="column"/>
      </w:r>
      <w:r>
        <w:rPr>
          <w:rFonts w:ascii="黑体" w:hAnsi="黑体" w:cs="黑体" w:eastAsia="黑体" w:hint="default"/>
          <w:sz w:val="18"/>
          <w:szCs w:val="18"/>
        </w:rPr>
        <w:t>的技术开发、技术咨询及购 销；打印纸、计算机耗材的</w:t>
      </w:r>
    </w:p>
    <w:p>
      <w:pPr>
        <w:spacing w:line="213" w:lineRule="exact" w:before="0"/>
        <w:ind w:left="306" w:right="7719" w:firstLine="0"/>
        <w:jc w:val="left"/>
        <w:rPr>
          <w:rFonts w:ascii="黑体" w:hAnsi="黑体" w:cs="黑体" w:eastAsia="黑体" w:hint="default"/>
          <w:sz w:val="18"/>
          <w:szCs w:val="18"/>
        </w:rPr>
      </w:pPr>
      <w:r>
        <w:rPr>
          <w:rFonts w:ascii="黑体" w:hAnsi="黑体" w:cs="黑体" w:eastAsia="黑体" w:hint="default"/>
          <w:sz w:val="18"/>
          <w:szCs w:val="18"/>
        </w:rPr>
        <w:t>购销；企业管理咨询</w:t>
      </w:r>
    </w:p>
    <w:p>
      <w:pPr>
        <w:spacing w:after="0" w:line="213" w:lineRule="exact"/>
        <w:jc w:val="left"/>
        <w:rPr>
          <w:rFonts w:ascii="黑体" w:hAnsi="黑体" w:cs="黑体" w:eastAsia="黑体" w:hint="default"/>
          <w:sz w:val="18"/>
          <w:szCs w:val="18"/>
        </w:rPr>
        <w:sectPr>
          <w:type w:val="continuous"/>
          <w:pgSz w:w="16840" w:h="11910" w:orient="landscape"/>
          <w:pgMar w:top="900" w:bottom="280" w:left="600" w:right="440"/>
          <w:cols w:num="3" w:equalWidth="0">
            <w:col w:w="2151" w:space="1528"/>
            <w:col w:w="1258" w:space="657"/>
            <w:col w:w="10206"/>
          </w:cols>
        </w:sectPr>
      </w:pPr>
    </w:p>
    <w:p>
      <w:pPr>
        <w:spacing w:line="240" w:lineRule="auto" w:before="2"/>
        <w:rPr>
          <w:rFonts w:ascii="黑体" w:hAnsi="黑体" w:cs="黑体" w:eastAsia="黑体" w:hint="default"/>
          <w:sz w:val="9"/>
          <w:szCs w:val="9"/>
        </w:rPr>
      </w:pPr>
    </w:p>
    <w:p>
      <w:pPr>
        <w:spacing w:after="0" w:line="240" w:lineRule="auto"/>
        <w:rPr>
          <w:rFonts w:ascii="黑体" w:hAnsi="黑体" w:cs="黑体" w:eastAsia="黑体" w:hint="default"/>
          <w:sz w:val="9"/>
          <w:szCs w:val="9"/>
        </w:rPr>
        <w:sectPr>
          <w:type w:val="continuous"/>
          <w:pgSz w:w="16840" w:h="11910" w:orient="landscape"/>
          <w:pgMar w:top="900" w:bottom="280" w:left="600" w:right="440"/>
        </w:sectPr>
      </w:pPr>
    </w:p>
    <w:p>
      <w:pPr>
        <w:spacing w:before="50"/>
        <w:ind w:left="138" w:right="-20" w:firstLine="0"/>
        <w:jc w:val="left"/>
        <w:rPr>
          <w:rFonts w:ascii="黑体" w:hAnsi="黑体" w:cs="黑体" w:eastAsia="黑体" w:hint="default"/>
          <w:sz w:val="18"/>
          <w:szCs w:val="18"/>
        </w:rPr>
      </w:pPr>
      <w:r>
        <w:rPr>
          <w:rFonts w:ascii="黑体" w:hAnsi="黑体" w:cs="黑体" w:eastAsia="黑体" w:hint="default"/>
          <w:sz w:val="18"/>
          <w:szCs w:val="18"/>
        </w:rPr>
        <w:t>苏州用友软件有限</w:t>
      </w:r>
    </w:p>
    <w:p>
      <w:pPr>
        <w:tabs>
          <w:tab w:pos="3395" w:val="left" w:leader="none"/>
        </w:tabs>
        <w:spacing w:before="40"/>
        <w:ind w:left="138" w:right="-5" w:firstLine="0"/>
        <w:jc w:val="left"/>
        <w:rPr>
          <w:rFonts w:ascii="黑体" w:hAnsi="黑体" w:cs="黑体" w:eastAsia="黑体" w:hint="default"/>
          <w:sz w:val="18"/>
          <w:szCs w:val="18"/>
        </w:rPr>
      </w:pPr>
      <w:r>
        <w:rPr/>
        <w:br w:type="column"/>
      </w:r>
      <w:r>
        <w:rPr>
          <w:rFonts w:ascii="黑体" w:hAnsi="黑体" w:cs="黑体" w:eastAsia="黑体" w:hint="default"/>
          <w:position w:val="1"/>
          <w:sz w:val="18"/>
          <w:szCs w:val="18"/>
        </w:rPr>
        <w:t>有限责任 </w:t>
      </w:r>
      <w:r>
        <w:rPr>
          <w:rFonts w:ascii="黑体" w:hAnsi="黑体" w:cs="黑体" w:eastAsia="黑体" w:hint="default"/>
          <w:sz w:val="18"/>
          <w:szCs w:val="18"/>
        </w:rPr>
        <w:t>苏州市  郭新平</w:t>
      </w:r>
      <w:r>
        <w:rPr>
          <w:rFonts w:ascii="黑体" w:hAnsi="黑体" w:cs="黑体" w:eastAsia="黑体" w:hint="default"/>
          <w:spacing w:val="33"/>
          <w:sz w:val="18"/>
          <w:szCs w:val="18"/>
        </w:rPr>
        <w:t> </w:t>
      </w:r>
      <w:r>
        <w:rPr>
          <w:rFonts w:ascii="黑体" w:hAnsi="黑体" w:cs="黑体" w:eastAsia="黑体" w:hint="default"/>
          <w:sz w:val="18"/>
          <w:szCs w:val="18"/>
        </w:rPr>
        <w:t>软件行业</w:t>
        <w:tab/>
      </w:r>
      <w:r>
        <w:rPr>
          <w:rFonts w:ascii="Arial" w:hAnsi="Arial" w:cs="Arial" w:eastAsia="Arial" w:hint="default"/>
          <w:position w:val="1"/>
          <w:sz w:val="18"/>
          <w:szCs w:val="18"/>
        </w:rPr>
        <w:t>3,000,000</w:t>
      </w:r>
      <w:r>
        <w:rPr>
          <w:rFonts w:ascii="Arial" w:hAnsi="Arial" w:cs="Arial" w:eastAsia="Arial" w:hint="default"/>
          <w:spacing w:val="-3"/>
          <w:position w:val="1"/>
          <w:sz w:val="18"/>
          <w:szCs w:val="18"/>
        </w:rPr>
        <w:t> </w:t>
      </w:r>
      <w:r>
        <w:rPr>
          <w:rFonts w:ascii="黑体" w:hAnsi="黑体" w:cs="黑体" w:eastAsia="黑体" w:hint="default"/>
          <w:spacing w:val="3"/>
          <w:sz w:val="18"/>
          <w:szCs w:val="18"/>
        </w:rPr>
        <w:t>电子计算机软件、硬件及外</w:t>
      </w:r>
      <w:r>
        <w:rPr>
          <w:rFonts w:ascii="黑体" w:hAnsi="黑体" w:cs="黑体" w:eastAsia="黑体" w:hint="default"/>
          <w:sz w:val="18"/>
          <w:szCs w:val="18"/>
        </w:rPr>
      </w:r>
    </w:p>
    <w:p>
      <w:pPr>
        <w:tabs>
          <w:tab w:pos="3014" w:val="left" w:leader="none"/>
          <w:tab w:pos="3343" w:val="left" w:leader="none"/>
          <w:tab w:pos="4051" w:val="left" w:leader="none"/>
          <w:tab w:pos="5023" w:val="left" w:leader="none"/>
          <w:tab w:pos="6134" w:val="left" w:leader="none"/>
          <w:tab w:pos="7458" w:val="left" w:leader="none"/>
        </w:tabs>
        <w:spacing w:before="50"/>
        <w:ind w:left="131"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78907802-3</w:t>
      </w:r>
      <w:r>
        <w:rPr>
          <w:rFonts w:ascii="Arial" w:hAnsi="Arial" w:cs="Arial" w:eastAsia="Arial" w:hint="default"/>
          <w:position w:val="1"/>
          <w:sz w:val="18"/>
          <w:szCs w:val="18"/>
        </w:rPr>
        <w:t>  </w:t>
      </w:r>
      <w:r>
        <w:rPr>
          <w:rFonts w:ascii="Arial" w:hAnsi="Arial" w:cs="Arial" w:eastAsia="Arial" w:hint="default"/>
          <w:spacing w:val="48"/>
          <w:position w:val="1"/>
          <w:sz w:val="18"/>
          <w:szCs w:val="18"/>
        </w:rPr>
        <w:t> </w:t>
      </w:r>
      <w:r>
        <w:rPr>
          <w:rFonts w:ascii="Arial" w:hAnsi="Arial" w:cs="Arial" w:eastAsia="Arial" w:hint="default"/>
          <w:spacing w:val="-1"/>
          <w:position w:val="1"/>
          <w:sz w:val="18"/>
          <w:szCs w:val="18"/>
        </w:rPr>
        <w:t>3,000,000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440"/>
          <w:cols w:num="3" w:equalWidth="0">
            <w:col w:w="1579" w:space="72"/>
            <w:col w:w="6455" w:space="40"/>
            <w:col w:w="7654"/>
          </w:cols>
        </w:sectPr>
      </w:pPr>
    </w:p>
    <w:p>
      <w:pPr>
        <w:spacing w:line="234" w:lineRule="exact" w:before="17"/>
        <w:ind w:left="307" w:right="-18" w:firstLine="0"/>
        <w:jc w:val="left"/>
        <w:rPr>
          <w:rFonts w:ascii="黑体" w:hAnsi="黑体" w:cs="黑体" w:eastAsia="黑体" w:hint="default"/>
          <w:sz w:val="18"/>
          <w:szCs w:val="18"/>
        </w:rPr>
      </w:pPr>
      <w:r>
        <w:rPr>
          <w:rFonts w:ascii="黑体" w:hAnsi="黑体" w:cs="黑体" w:eastAsia="黑体" w:hint="default"/>
          <w:spacing w:val="-9"/>
          <w:sz w:val="18"/>
          <w:szCs w:val="18"/>
        </w:rPr>
        <w:t>公司（以下简称</w:t>
      </w:r>
      <w:r>
        <w:rPr>
          <w:rFonts w:ascii="Arial" w:hAnsi="Arial" w:cs="Arial" w:eastAsia="Arial" w:hint="default"/>
          <w:spacing w:val="-9"/>
          <w:sz w:val="18"/>
          <w:szCs w:val="18"/>
        </w:rPr>
        <w:t>“</w:t>
      </w:r>
      <w:r>
        <w:rPr>
          <w:rFonts w:ascii="黑体" w:hAnsi="黑体" w:cs="黑体" w:eastAsia="黑体" w:hint="default"/>
          <w:spacing w:val="-9"/>
          <w:sz w:val="18"/>
          <w:szCs w:val="18"/>
        </w:rPr>
        <w:t>苏</w:t>
      </w:r>
      <w:r>
        <w:rPr>
          <w:rFonts w:ascii="黑体" w:hAnsi="黑体" w:cs="黑体" w:eastAsia="黑体" w:hint="default"/>
          <w:spacing w:val="-29"/>
          <w:sz w:val="18"/>
          <w:szCs w:val="18"/>
        </w:rPr>
        <w:t> </w:t>
      </w:r>
      <w:r>
        <w:rPr>
          <w:rFonts w:ascii="黑体" w:hAnsi="黑体" w:cs="黑体" w:eastAsia="黑体" w:hint="default"/>
          <w:position w:val="1"/>
          <w:sz w:val="18"/>
          <w:szCs w:val="18"/>
        </w:rPr>
        <w:t>公司</w:t>
      </w:r>
      <w:r>
        <w:rPr>
          <w:rFonts w:ascii="黑体" w:hAnsi="黑体" w:cs="黑体" w:eastAsia="黑体" w:hint="default"/>
          <w:position w:val="1"/>
          <w:sz w:val="18"/>
          <w:szCs w:val="18"/>
        </w:rPr>
        <w:t> </w:t>
      </w:r>
      <w:r>
        <w:rPr>
          <w:rFonts w:ascii="黑体" w:hAnsi="黑体" w:cs="黑体" w:eastAsia="黑体" w:hint="default"/>
          <w:sz w:val="18"/>
          <w:szCs w:val="18"/>
        </w:rPr>
        <w:t>州用友</w:t>
      </w:r>
      <w:r>
        <w:rPr>
          <w:rFonts w:ascii="Arial" w:hAnsi="Arial" w:cs="Arial" w:eastAsia="Arial" w:hint="default"/>
          <w:sz w:val="18"/>
          <w:szCs w:val="18"/>
        </w:rPr>
        <w:t>”</w:t>
      </w:r>
      <w:r>
        <w:rPr>
          <w:rFonts w:ascii="黑体" w:hAnsi="黑体" w:cs="黑体" w:eastAsia="黑体" w:hint="default"/>
          <w:sz w:val="18"/>
          <w:szCs w:val="18"/>
        </w:rPr>
        <w:t>）</w:t>
      </w:r>
    </w:p>
    <w:p>
      <w:pPr>
        <w:spacing w:line="237" w:lineRule="auto" w:before="0"/>
        <w:ind w:left="307" w:right="7592" w:firstLine="0"/>
        <w:jc w:val="left"/>
        <w:rPr>
          <w:rFonts w:ascii="黑体" w:hAnsi="黑体" w:cs="黑体" w:eastAsia="黑体" w:hint="default"/>
          <w:sz w:val="18"/>
          <w:szCs w:val="18"/>
        </w:rPr>
      </w:pPr>
      <w:r>
        <w:rPr>
          <w:spacing w:val="3"/>
        </w:rPr>
        <w:br w:type="column"/>
      </w:r>
      <w:r>
        <w:rPr>
          <w:rFonts w:ascii="黑体" w:hAnsi="黑体" w:cs="黑体" w:eastAsia="黑体" w:hint="default"/>
          <w:spacing w:val="3"/>
          <w:sz w:val="18"/>
          <w:szCs w:val="18"/>
        </w:rPr>
        <w:t>部设备的技术开发、咨询、 </w:t>
      </w:r>
      <w:r>
        <w:rPr>
          <w:rFonts w:ascii="黑体" w:hAnsi="黑体" w:cs="黑体" w:eastAsia="黑体" w:hint="default"/>
          <w:spacing w:val="-4"/>
          <w:sz w:val="18"/>
          <w:szCs w:val="18"/>
        </w:rPr>
        <w:t>转让、服务；企业管理咨询，</w:t>
      </w:r>
      <w:r>
        <w:rPr>
          <w:rFonts w:ascii="黑体" w:hAnsi="黑体" w:cs="黑体" w:eastAsia="黑体" w:hint="default"/>
          <w:spacing w:val="-86"/>
          <w:sz w:val="18"/>
          <w:szCs w:val="18"/>
        </w:rPr>
        <w:t> </w:t>
      </w:r>
      <w:r>
        <w:rPr>
          <w:rFonts w:ascii="黑体" w:hAnsi="黑体" w:cs="黑体" w:eastAsia="黑体" w:hint="default"/>
          <w:spacing w:val="-86"/>
          <w:sz w:val="18"/>
          <w:szCs w:val="18"/>
        </w:rPr>
      </w:r>
      <w:r>
        <w:rPr>
          <w:rFonts w:ascii="黑体" w:hAnsi="黑体" w:cs="黑体" w:eastAsia="黑体" w:hint="default"/>
          <w:spacing w:val="3"/>
          <w:sz w:val="18"/>
          <w:szCs w:val="18"/>
        </w:rPr>
        <w:t>计算机数据库服务；销售；</w:t>
      </w:r>
      <w:r>
        <w:rPr>
          <w:rFonts w:ascii="黑体" w:hAnsi="黑体" w:cs="黑体" w:eastAsia="黑体" w:hint="default"/>
          <w:spacing w:val="3"/>
          <w:sz w:val="18"/>
          <w:szCs w:val="18"/>
        </w:rPr>
        <w:t> 打印纸、计算机软硬件及外 </w:t>
      </w:r>
      <w:r>
        <w:rPr>
          <w:rFonts w:ascii="黑体" w:hAnsi="黑体" w:cs="黑体" w:eastAsia="黑体" w:hint="default"/>
          <w:sz w:val="18"/>
          <w:szCs w:val="18"/>
        </w:rPr>
        <w:t>部设备及其耗材</w:t>
      </w:r>
    </w:p>
    <w:p>
      <w:pPr>
        <w:spacing w:after="0" w:line="237" w:lineRule="auto"/>
        <w:jc w:val="left"/>
        <w:rPr>
          <w:rFonts w:ascii="黑体" w:hAnsi="黑体" w:cs="黑体" w:eastAsia="黑体" w:hint="default"/>
          <w:sz w:val="18"/>
          <w:szCs w:val="18"/>
        </w:rPr>
        <w:sectPr>
          <w:type w:val="continuous"/>
          <w:pgSz w:w="16840" w:h="11910" w:orient="landscape"/>
          <w:pgMar w:top="900" w:bottom="280" w:left="600" w:right="440"/>
          <w:cols w:num="2" w:equalWidth="0">
            <w:col w:w="2150" w:space="3443"/>
            <w:col w:w="10207"/>
          </w:cols>
        </w:sectPr>
      </w:pPr>
    </w:p>
    <w:p>
      <w:pPr>
        <w:spacing w:line="240" w:lineRule="auto" w:before="0"/>
        <w:rPr>
          <w:rFonts w:ascii="黑体" w:hAnsi="黑体" w:cs="黑体" w:eastAsia="黑体" w:hint="default"/>
          <w:sz w:val="20"/>
          <w:szCs w:val="20"/>
        </w:rPr>
      </w:pPr>
    </w:p>
    <w:p>
      <w:pPr>
        <w:spacing w:before="178"/>
        <w:ind w:left="107" w:right="10391" w:firstLine="0"/>
        <w:jc w:val="left"/>
        <w:rPr>
          <w:rFonts w:ascii="黑体" w:hAnsi="黑体" w:cs="黑体" w:eastAsia="黑体" w:hint="default"/>
          <w:sz w:val="20"/>
          <w:szCs w:val="20"/>
        </w:rPr>
      </w:pPr>
      <w:r>
        <w:rPr>
          <w:rFonts w:ascii="黑体" w:hAnsi="黑体" w:cs="黑体" w:eastAsia="黑体" w:hint="default"/>
          <w:b/>
          <w:bCs/>
          <w:sz w:val="20"/>
          <w:szCs w:val="20"/>
        </w:rPr>
        <w:t>四、合并财务报表的合并范围（续）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spacing w:line="398" w:lineRule="auto" w:before="0"/>
        <w:ind w:left="107" w:right="10391" w:firstLine="62"/>
        <w:jc w:val="left"/>
        <w:rPr>
          <w:rFonts w:ascii="黑体" w:hAnsi="黑体" w:cs="黑体" w:eastAsia="黑体" w:hint="default"/>
          <w:sz w:val="20"/>
          <w:szCs w:val="20"/>
        </w:rPr>
      </w:pPr>
      <w:r>
        <w:rPr>
          <w:rFonts w:ascii="Arial" w:hAnsi="Arial" w:cs="Arial" w:eastAsia="Arial" w:hint="default"/>
          <w:b/>
          <w:bCs/>
          <w:sz w:val="20"/>
          <w:szCs w:val="20"/>
        </w:rPr>
        <w:t>1.</w:t>
      </w:r>
      <w:r>
        <w:rPr>
          <w:rFonts w:ascii="Arial" w:hAnsi="Arial" w:cs="Arial" w:eastAsia="Arial" w:hint="default"/>
          <w:b/>
          <w:bCs/>
          <w:spacing w:val="31"/>
          <w:sz w:val="20"/>
          <w:szCs w:val="20"/>
        </w:rPr>
        <w:t> </w:t>
      </w:r>
      <w:r>
        <w:rPr>
          <w:rFonts w:ascii="黑体" w:hAnsi="黑体" w:cs="黑体" w:eastAsia="黑体" w:hint="default"/>
          <w:b/>
          <w:bCs/>
          <w:sz w:val="20"/>
          <w:szCs w:val="20"/>
        </w:rPr>
        <w:t>子公司情况（续）</w:t>
      </w:r>
      <w:r>
        <w:rPr>
          <w:rFonts w:ascii="黑体" w:hAnsi="黑体" w:cs="黑体" w:eastAsia="黑体" w:hint="default"/>
          <w:b/>
          <w:bCs/>
          <w:w w:val="99"/>
          <w:sz w:val="20"/>
          <w:szCs w:val="20"/>
        </w:rPr>
        <w:t> </w:t>
      </w:r>
      <w:r>
        <w:rPr>
          <w:rFonts w:ascii="黑体" w:hAnsi="黑体" w:cs="黑体" w:eastAsia="黑体" w:hint="default"/>
          <w:sz w:val="20"/>
          <w:szCs w:val="20"/>
        </w:rPr>
        <w:t>本集团重要子公司的情况如下（续）：</w:t>
      </w:r>
      <w:r>
        <w:rPr>
          <w:rFonts w:ascii="黑体" w:hAnsi="黑体" w:cs="黑体" w:eastAsia="黑体" w:hint="default"/>
          <w:w w:val="100"/>
          <w:sz w:val="20"/>
          <w:szCs w:val="20"/>
        </w:rPr>
        <w:t> </w:t>
      </w:r>
      <w:r>
        <w:rPr>
          <w:rFonts w:ascii="黑体" w:hAnsi="黑体" w:cs="黑体" w:eastAsia="黑体" w:hint="default"/>
          <w:spacing w:val="-1"/>
          <w:sz w:val="20"/>
          <w:szCs w:val="20"/>
        </w:rPr>
        <w:t>通过设立或投资等方式取得的子公司（续）</w:t>
      </w:r>
    </w:p>
    <w:p>
      <w:pPr>
        <w:tabs>
          <w:tab w:pos="4214" w:val="left" w:leader="none"/>
        </w:tabs>
        <w:spacing w:line="234" w:lineRule="exact" w:before="0"/>
        <w:ind w:left="0" w:right="139" w:firstLine="0"/>
        <w:jc w:val="right"/>
        <w:rPr>
          <w:rFonts w:ascii="黑体" w:hAnsi="黑体" w:cs="黑体" w:eastAsia="黑体" w:hint="default"/>
          <w:sz w:val="18"/>
          <w:szCs w:val="18"/>
        </w:rPr>
      </w:pPr>
      <w:r>
        <w:rPr>
          <w:rFonts w:ascii="黑体" w:hAnsi="黑体" w:cs="黑体" w:eastAsia="黑体" w:hint="default"/>
          <w:sz w:val="18"/>
          <w:szCs w:val="18"/>
        </w:rPr>
        <w:t>实质上构成</w:t>
        <w:tab/>
        <w:t>少数股东权益</w:t>
      </w:r>
    </w:p>
    <w:p>
      <w:pPr>
        <w:tabs>
          <w:tab w:pos="1753" w:val="left" w:leader="none"/>
          <w:tab w:pos="2533" w:val="left" w:leader="none"/>
          <w:tab w:pos="3242" w:val="left" w:leader="none"/>
          <w:tab w:pos="3949" w:val="left" w:leader="none"/>
          <w:tab w:pos="5089" w:val="left" w:leader="none"/>
          <w:tab w:pos="6644" w:val="left" w:leader="none"/>
          <w:tab w:pos="8559" w:val="left" w:leader="none"/>
          <w:tab w:pos="8918" w:val="left" w:leader="none"/>
          <w:tab w:pos="9551" w:val="left" w:leader="none"/>
          <w:tab w:pos="9731" w:val="left" w:leader="none"/>
          <w:tab w:pos="11532" w:val="left" w:leader="none"/>
          <w:tab w:pos="12204" w:val="left" w:leader="none"/>
          <w:tab w:pos="13059" w:val="left" w:leader="none"/>
          <w:tab w:pos="13843" w:val="left" w:leader="none"/>
          <w:tab w:pos="14577" w:val="left" w:leader="none"/>
        </w:tabs>
        <w:spacing w:line="280" w:lineRule="auto" w:before="38"/>
        <w:ind w:left="138" w:right="139" w:firstLine="1615"/>
        <w:jc w:val="right"/>
        <w:rPr>
          <w:rFonts w:ascii="黑体" w:hAnsi="黑体" w:cs="黑体" w:eastAsia="黑体" w:hint="default"/>
          <w:sz w:val="18"/>
          <w:szCs w:val="18"/>
        </w:rPr>
      </w:pPr>
      <w:r>
        <w:rPr>
          <w:rFonts w:ascii="黑体" w:hAnsi="黑体" w:cs="黑体" w:eastAsia="黑体" w:hint="default"/>
          <w:sz w:val="18"/>
          <w:szCs w:val="18"/>
        </w:rPr>
        <w:t>子公司</w:t>
        <w:tab/>
        <w:tab/>
        <w:t>法人</w:t>
        <w:tab/>
        <w:tab/>
        <w:tab/>
        <w:tab/>
        <w:t>组织机构</w:t>
        <w:tab/>
        <w:t>年末实际</w:t>
      </w:r>
      <w:r>
        <w:rPr>
          <w:rFonts w:ascii="黑体" w:hAnsi="黑体" w:cs="黑体" w:eastAsia="黑体" w:hint="default"/>
          <w:spacing w:val="2"/>
          <w:sz w:val="18"/>
          <w:szCs w:val="18"/>
        </w:rPr>
        <w:t> </w:t>
      </w:r>
      <w:r>
        <w:rPr>
          <w:rFonts w:ascii="黑体" w:hAnsi="黑体" w:cs="黑体" w:eastAsia="黑体" w:hint="default"/>
          <w:sz w:val="18"/>
          <w:szCs w:val="18"/>
        </w:rPr>
        <w:t>净投资的其</w:t>
        <w:tab/>
        <w:t>持股</w:t>
        <w:tab/>
        <w:t>表决</w:t>
        <w:tab/>
        <w:t>是否 少数股东</w:t>
      </w:r>
      <w:r>
        <w:rPr>
          <w:rFonts w:ascii="黑体" w:hAnsi="黑体" w:cs="黑体" w:eastAsia="黑体" w:hint="default"/>
          <w:spacing w:val="78"/>
          <w:sz w:val="18"/>
          <w:szCs w:val="18"/>
        </w:rPr>
        <w:t> </w:t>
      </w:r>
      <w:r>
        <w:rPr>
          <w:rFonts w:ascii="黑体" w:hAnsi="黑体" w:cs="黑体" w:eastAsia="黑体" w:hint="default"/>
          <w:sz w:val="18"/>
          <w:szCs w:val="18"/>
        </w:rPr>
        <w:t>中用于冲减少数</w:t>
      </w:r>
      <w:r>
        <w:rPr>
          <w:rFonts w:ascii="黑体" w:hAnsi="黑体" w:cs="黑体" w:eastAsia="黑体" w:hint="default"/>
          <w:sz w:val="18"/>
          <w:szCs w:val="18"/>
        </w:rPr>
        <w:t> 被投资单位名称</w:t>
        <w:tab/>
        <w:t>类型</w:t>
        <w:tab/>
        <w:t>注册地</w:t>
      </w:r>
      <w:r>
        <w:rPr>
          <w:rFonts w:ascii="黑体" w:hAnsi="黑体" w:cs="黑体" w:eastAsia="黑体" w:hint="default"/>
          <w:spacing w:val="77"/>
          <w:sz w:val="18"/>
          <w:szCs w:val="18"/>
        </w:rPr>
        <w:t> </w:t>
      </w:r>
      <w:r>
        <w:rPr>
          <w:rFonts w:ascii="黑体" w:hAnsi="黑体" w:cs="黑体" w:eastAsia="黑体" w:hint="default"/>
          <w:sz w:val="18"/>
          <w:szCs w:val="18"/>
        </w:rPr>
        <w:t>代表</w:t>
        <w:tab/>
        <w:t>业务性质</w:t>
        <w:tab/>
        <w:t>注册资本</w:t>
        <w:tab/>
        <w:t>经营范围</w:t>
        <w:tab/>
        <w:tab/>
        <w:t>代码</w:t>
        <w:tab/>
        <w:tab/>
        <w:t>出资额</w:t>
      </w:r>
      <w:r>
        <w:rPr>
          <w:rFonts w:ascii="黑体" w:hAnsi="黑体" w:cs="黑体" w:eastAsia="黑体" w:hint="default"/>
          <w:spacing w:val="2"/>
          <w:sz w:val="18"/>
          <w:szCs w:val="18"/>
        </w:rPr>
        <w:t> </w:t>
      </w:r>
      <w:r>
        <w:rPr>
          <w:rFonts w:ascii="黑体" w:hAnsi="黑体" w:cs="黑体" w:eastAsia="黑体" w:hint="default"/>
          <w:sz w:val="18"/>
          <w:szCs w:val="18"/>
        </w:rPr>
        <w:t>他项目余额</w:t>
        <w:tab/>
        <w:t>比例 权比例</w:t>
      </w:r>
      <w:r>
        <w:rPr>
          <w:rFonts w:ascii="黑体" w:hAnsi="黑体" w:cs="黑体" w:eastAsia="黑体" w:hint="default"/>
          <w:spacing w:val="85"/>
          <w:sz w:val="18"/>
          <w:szCs w:val="18"/>
        </w:rPr>
        <w:t> </w:t>
      </w:r>
      <w:r>
        <w:rPr>
          <w:rFonts w:ascii="黑体" w:hAnsi="黑体" w:cs="黑体" w:eastAsia="黑体" w:hint="default"/>
          <w:sz w:val="18"/>
          <w:szCs w:val="18"/>
        </w:rPr>
        <w:t>合并报表</w:t>
        <w:tab/>
        <w:t>权益</w:t>
        <w:tab/>
        <w:t>股东损益金额</w:t>
      </w:r>
    </w:p>
    <w:p>
      <w:pPr>
        <w:tabs>
          <w:tab w:pos="671" w:val="left" w:leader="none"/>
          <w:tab w:pos="3673" w:val="left" w:leader="none"/>
        </w:tabs>
        <w:spacing w:before="16"/>
        <w:ind w:left="0" w:right="113" w:firstLine="0"/>
        <w:jc w:val="right"/>
        <w:rPr>
          <w:rFonts w:ascii="Arial" w:hAnsi="Arial" w:cs="Arial" w:eastAsia="Arial" w:hint="default"/>
          <w:sz w:val="18"/>
          <w:szCs w:val="18"/>
        </w:rPr>
      </w:pPr>
      <w:r>
        <w:rPr>
          <w:rFonts w:ascii="Arial" w:hAnsi="Arial" w:cs="Arial" w:eastAsia="Arial" w:hint="default"/>
          <w:spacing w:val="-1"/>
          <w:sz w:val="18"/>
          <w:szCs w:val="18"/>
        </w:rPr>
        <w:t>(%)</w:t>
        <w:tab/>
        <w:t>(%)</w:t>
        <w:tab/>
        <w:t>(</w:t>
      </w:r>
      <w:r>
        <w:rPr>
          <w:rFonts w:ascii="黑体" w:hAnsi="黑体" w:cs="黑体" w:eastAsia="黑体" w:hint="default"/>
          <w:spacing w:val="-1"/>
          <w:sz w:val="18"/>
          <w:szCs w:val="18"/>
        </w:rPr>
        <w:t>注</w:t>
      </w:r>
      <w:r>
        <w:rPr>
          <w:rFonts w:ascii="Arial" w:hAnsi="Arial" w:cs="Arial" w:eastAsia="Arial" w:hint="default"/>
          <w:spacing w:val="-1"/>
          <w:sz w:val="18"/>
          <w:szCs w:val="18"/>
        </w:rPr>
        <w:t>8)</w:t>
      </w:r>
      <w:r>
        <w:rPr>
          <w:rFonts w:ascii="Arial" w:hAnsi="Arial" w:cs="Arial" w:eastAsia="Arial" w:hint="default"/>
          <w:sz w:val="18"/>
          <w:szCs w:val="18"/>
        </w:rPr>
      </w:r>
    </w:p>
    <w:p>
      <w:pPr>
        <w:spacing w:line="240" w:lineRule="auto" w:before="9"/>
        <w:rPr>
          <w:rFonts w:ascii="Arial" w:hAnsi="Arial" w:cs="Arial" w:eastAsia="Arial" w:hint="default"/>
          <w:sz w:val="12"/>
          <w:szCs w:val="12"/>
        </w:rPr>
      </w:pPr>
    </w:p>
    <w:p>
      <w:pPr>
        <w:spacing w:after="0" w:line="240" w:lineRule="auto"/>
        <w:rPr>
          <w:rFonts w:ascii="Arial" w:hAnsi="Arial" w:cs="Arial" w:eastAsia="Arial" w:hint="default"/>
          <w:sz w:val="12"/>
          <w:szCs w:val="12"/>
        </w:rPr>
        <w:sectPr>
          <w:pgSz w:w="16840" w:h="11910" w:orient="landscape"/>
          <w:pgMar w:header="958" w:footer="496" w:top="2380" w:bottom="680" w:left="600" w:right="440"/>
        </w:sectPr>
      </w:pPr>
    </w:p>
    <w:p>
      <w:pPr>
        <w:spacing w:before="50"/>
        <w:ind w:left="138" w:right="-20" w:firstLine="0"/>
        <w:jc w:val="left"/>
        <w:rPr>
          <w:rFonts w:ascii="黑体" w:hAnsi="黑体" w:cs="黑体" w:eastAsia="黑体" w:hint="default"/>
          <w:sz w:val="18"/>
          <w:szCs w:val="18"/>
        </w:rPr>
      </w:pPr>
      <w:r>
        <w:rPr>
          <w:rFonts w:ascii="黑体" w:hAnsi="黑体" w:cs="黑体" w:eastAsia="黑体" w:hint="default"/>
          <w:sz w:val="18"/>
          <w:szCs w:val="18"/>
        </w:rPr>
        <w:t>山东用友软件技术</w:t>
      </w:r>
    </w:p>
    <w:p>
      <w:pPr>
        <w:spacing w:before="40"/>
        <w:ind w:left="135" w:right="-17" w:firstLine="0"/>
        <w:jc w:val="left"/>
        <w:rPr>
          <w:rFonts w:ascii="Arial" w:hAnsi="Arial" w:cs="Arial" w:eastAsia="Arial" w:hint="default"/>
          <w:sz w:val="18"/>
          <w:szCs w:val="18"/>
        </w:rPr>
      </w:pPr>
      <w:r>
        <w:rPr/>
        <w:br w:type="column"/>
      </w:r>
      <w:r>
        <w:rPr>
          <w:rFonts w:ascii="黑体" w:hAnsi="黑体" w:cs="黑体" w:eastAsia="黑体" w:hint="default"/>
          <w:position w:val="1"/>
          <w:sz w:val="18"/>
          <w:szCs w:val="18"/>
        </w:rPr>
        <w:t>有限责任 </w:t>
      </w:r>
      <w:r>
        <w:rPr>
          <w:rFonts w:ascii="黑体" w:hAnsi="黑体" w:cs="黑体" w:eastAsia="黑体" w:hint="default"/>
          <w:sz w:val="18"/>
          <w:szCs w:val="18"/>
        </w:rPr>
        <w:t>济南市  郭新平</w:t>
      </w:r>
      <w:r>
        <w:rPr>
          <w:rFonts w:ascii="黑体" w:hAnsi="黑体" w:cs="黑体" w:eastAsia="黑体" w:hint="default"/>
          <w:spacing w:val="33"/>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spacing w:before="50"/>
        <w:ind w:left="138" w:right="-12" w:firstLine="0"/>
        <w:jc w:val="left"/>
        <w:rPr>
          <w:rFonts w:ascii="黑体" w:hAnsi="黑体" w:cs="黑体" w:eastAsia="黑体" w:hint="default"/>
          <w:sz w:val="18"/>
          <w:szCs w:val="18"/>
        </w:rPr>
      </w:pPr>
      <w:r>
        <w:rPr/>
        <w:br w:type="column"/>
      </w:r>
      <w:r>
        <w:rPr>
          <w:rFonts w:ascii="Arial" w:hAnsi="Arial" w:cs="Arial" w:eastAsia="Arial" w:hint="default"/>
          <w:position w:val="1"/>
          <w:sz w:val="18"/>
          <w:szCs w:val="18"/>
        </w:rPr>
        <w:t>5,000,000</w:t>
      </w:r>
      <w:r>
        <w:rPr>
          <w:rFonts w:ascii="Arial" w:hAnsi="Arial" w:cs="Arial" w:eastAsia="Arial" w:hint="default"/>
          <w:spacing w:val="1"/>
          <w:position w:val="1"/>
          <w:sz w:val="18"/>
          <w:szCs w:val="18"/>
        </w:rPr>
        <w:t> </w:t>
      </w:r>
      <w:r>
        <w:rPr>
          <w:rFonts w:ascii="黑体" w:hAnsi="黑体" w:cs="黑体" w:eastAsia="黑体" w:hint="default"/>
          <w:spacing w:val="-5"/>
          <w:sz w:val="18"/>
          <w:szCs w:val="18"/>
        </w:rPr>
        <w:t>计算机软、硬件及外部设备的</w:t>
      </w:r>
    </w:p>
    <w:p>
      <w:pPr>
        <w:tabs>
          <w:tab w:pos="3017" w:val="left" w:leader="none"/>
          <w:tab w:pos="3407" w:val="left" w:leader="none"/>
          <w:tab w:pos="4079" w:val="left" w:leader="none"/>
          <w:tab w:pos="5053" w:val="left" w:leader="none"/>
          <w:tab w:pos="5958" w:val="left" w:leader="none"/>
          <w:tab w:pos="7413" w:val="left" w:leader="none"/>
        </w:tabs>
        <w:spacing w:before="50"/>
        <w:ind w:left="133"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79531918-8</w:t>
      </w:r>
      <w:r>
        <w:rPr>
          <w:rFonts w:ascii="Arial" w:hAnsi="Arial" w:cs="Arial" w:eastAsia="Arial" w:hint="default"/>
          <w:position w:val="1"/>
          <w:sz w:val="18"/>
          <w:szCs w:val="18"/>
        </w:rPr>
        <w:t>  </w:t>
      </w:r>
      <w:r>
        <w:rPr>
          <w:rFonts w:ascii="Arial" w:hAnsi="Arial" w:cs="Arial" w:eastAsia="Arial" w:hint="default"/>
          <w:spacing w:val="48"/>
          <w:position w:val="1"/>
          <w:sz w:val="18"/>
          <w:szCs w:val="18"/>
        </w:rPr>
        <w:t> </w:t>
      </w:r>
      <w:r>
        <w:rPr>
          <w:rFonts w:ascii="Arial" w:hAnsi="Arial" w:cs="Arial" w:eastAsia="Arial" w:hint="default"/>
          <w:spacing w:val="-1"/>
          <w:position w:val="1"/>
          <w:sz w:val="18"/>
          <w:szCs w:val="18"/>
        </w:rPr>
        <w:t>5,000,000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440"/>
          <w:cols w:num="4" w:equalWidth="0">
            <w:col w:w="1579" w:space="40"/>
            <w:col w:w="3101" w:space="152"/>
            <w:col w:w="3273" w:space="40"/>
            <w:col w:w="7615"/>
          </w:cols>
        </w:sectPr>
      </w:pPr>
    </w:p>
    <w:p>
      <w:pPr>
        <w:spacing w:line="234" w:lineRule="exact" w:before="7"/>
        <w:ind w:left="318" w:right="0" w:hanging="13"/>
        <w:jc w:val="left"/>
        <w:rPr>
          <w:rFonts w:ascii="黑体" w:hAnsi="黑体" w:cs="黑体" w:eastAsia="黑体" w:hint="default"/>
          <w:sz w:val="18"/>
          <w:szCs w:val="18"/>
        </w:rPr>
      </w:pPr>
      <w:r>
        <w:rPr>
          <w:rFonts w:ascii="黑体" w:hAnsi="黑体" w:cs="黑体" w:eastAsia="黑体" w:hint="default"/>
          <w:sz w:val="18"/>
          <w:szCs w:val="18"/>
        </w:rPr>
        <w:t>有限公司（以下</w:t>
      </w:r>
      <w:r>
        <w:rPr>
          <w:rFonts w:ascii="黑体" w:hAnsi="黑体" w:cs="黑体" w:eastAsia="黑体" w:hint="default"/>
          <w:spacing w:val="7"/>
          <w:sz w:val="18"/>
          <w:szCs w:val="18"/>
        </w:rPr>
        <w:t> </w:t>
      </w:r>
      <w:r>
        <w:rPr>
          <w:rFonts w:ascii="黑体" w:hAnsi="黑体" w:cs="黑体" w:eastAsia="黑体" w:hint="default"/>
          <w:position w:val="1"/>
          <w:sz w:val="18"/>
          <w:szCs w:val="18"/>
        </w:rPr>
        <w:t>公司</w:t>
      </w:r>
      <w:r>
        <w:rPr>
          <w:rFonts w:ascii="黑体" w:hAnsi="黑体" w:cs="黑体" w:eastAsia="黑体" w:hint="default"/>
          <w:position w:val="1"/>
          <w:sz w:val="18"/>
          <w:szCs w:val="18"/>
        </w:rPr>
        <w:t> </w:t>
      </w:r>
      <w:r>
        <w:rPr>
          <w:rFonts w:ascii="黑体" w:hAnsi="黑体" w:cs="黑体" w:eastAsia="黑体" w:hint="default"/>
          <w:sz w:val="18"/>
          <w:szCs w:val="18"/>
        </w:rPr>
        <w:t>简称</w:t>
      </w:r>
      <w:r>
        <w:rPr>
          <w:rFonts w:ascii="Arial" w:hAnsi="Arial" w:cs="Arial" w:eastAsia="Arial" w:hint="default"/>
          <w:sz w:val="18"/>
          <w:szCs w:val="18"/>
        </w:rPr>
        <w:t>“</w:t>
      </w:r>
      <w:r>
        <w:rPr>
          <w:rFonts w:ascii="黑体" w:hAnsi="黑体" w:cs="黑体" w:eastAsia="黑体" w:hint="default"/>
          <w:sz w:val="18"/>
          <w:szCs w:val="18"/>
        </w:rPr>
        <w:t>山东用友</w:t>
      </w:r>
      <w:r>
        <w:rPr>
          <w:rFonts w:ascii="Arial" w:hAnsi="Arial" w:cs="Arial" w:eastAsia="Arial" w:hint="default"/>
          <w:sz w:val="18"/>
          <w:szCs w:val="18"/>
        </w:rPr>
        <w:t>”</w:t>
      </w:r>
      <w:r>
        <w:rPr>
          <w:rFonts w:ascii="黑体" w:hAnsi="黑体" w:cs="黑体" w:eastAsia="黑体" w:hint="default"/>
          <w:sz w:val="18"/>
          <w:szCs w:val="18"/>
        </w:rPr>
        <w:t>）</w:t>
      </w:r>
    </w:p>
    <w:p>
      <w:pPr>
        <w:spacing w:line="232" w:lineRule="auto" w:before="0"/>
        <w:ind w:left="306" w:right="0" w:firstLine="0"/>
        <w:jc w:val="both"/>
        <w:rPr>
          <w:rFonts w:ascii="黑体" w:hAnsi="黑体" w:cs="黑体" w:eastAsia="黑体" w:hint="default"/>
          <w:sz w:val="18"/>
          <w:szCs w:val="18"/>
        </w:rPr>
      </w:pPr>
      <w:r>
        <w:rPr/>
        <w:br w:type="column"/>
      </w:r>
      <w:r>
        <w:rPr>
          <w:rFonts w:ascii="黑体" w:hAnsi="黑体" w:cs="黑体" w:eastAsia="黑体" w:hint="default"/>
          <w:sz w:val="18"/>
          <w:szCs w:val="18"/>
        </w:rPr>
        <w:t>硬件</w:t>
      </w:r>
      <w:r>
        <w:rPr>
          <w:rFonts w:ascii="Arial" w:hAnsi="Arial" w:cs="Arial" w:eastAsia="Arial" w:hint="default"/>
          <w:sz w:val="18"/>
          <w:szCs w:val="18"/>
        </w:rPr>
        <w:t>/</w:t>
      </w:r>
      <w:r>
        <w:rPr>
          <w:rFonts w:ascii="黑体" w:hAnsi="黑体" w:cs="黑体" w:eastAsia="黑体" w:hint="default"/>
          <w:sz w:val="18"/>
          <w:szCs w:val="18"/>
        </w:rPr>
        <w:t>耗材、 技术咨询、 电子行业</w:t>
      </w:r>
    </w:p>
    <w:p>
      <w:pPr>
        <w:spacing w:line="219" w:lineRule="exact" w:before="0"/>
        <w:ind w:left="306" w:right="0" w:firstLine="0"/>
        <w:jc w:val="both"/>
        <w:rPr>
          <w:rFonts w:ascii="黑体" w:hAnsi="黑体" w:cs="黑体" w:eastAsia="黑体" w:hint="default"/>
          <w:sz w:val="18"/>
          <w:szCs w:val="18"/>
        </w:rPr>
      </w:pPr>
      <w:r>
        <w:rPr>
          <w:spacing w:val="-5"/>
        </w:rPr>
        <w:br w:type="column"/>
      </w:r>
      <w:r>
        <w:rPr>
          <w:rFonts w:ascii="黑体" w:hAnsi="黑体" w:cs="黑体" w:eastAsia="黑体" w:hint="default"/>
          <w:spacing w:val="-5"/>
          <w:sz w:val="18"/>
          <w:szCs w:val="18"/>
        </w:rPr>
        <w:t>技术开发、咨询服务；技术转</w:t>
      </w:r>
    </w:p>
    <w:p>
      <w:pPr>
        <w:spacing w:line="237" w:lineRule="auto" w:before="1"/>
        <w:ind w:left="306" w:right="7593" w:firstLine="0"/>
        <w:jc w:val="both"/>
        <w:rPr>
          <w:rFonts w:ascii="黑体" w:hAnsi="黑体" w:cs="黑体" w:eastAsia="黑体" w:hint="default"/>
          <w:sz w:val="18"/>
          <w:szCs w:val="18"/>
        </w:rPr>
      </w:pPr>
      <w:r>
        <w:rPr>
          <w:rFonts w:ascii="黑体" w:hAnsi="黑体" w:cs="黑体" w:eastAsia="黑体" w:hint="default"/>
          <w:sz w:val="18"/>
          <w:szCs w:val="18"/>
        </w:rPr>
        <w:t>让，技术培训及数据库服务； 企业管理咨询；进出口业务； 计算机软、硬件及外部设备、 耗材、打印纸销售</w:t>
      </w:r>
    </w:p>
    <w:p>
      <w:pPr>
        <w:spacing w:after="0" w:line="237" w:lineRule="auto"/>
        <w:jc w:val="both"/>
        <w:rPr>
          <w:rFonts w:ascii="黑体" w:hAnsi="黑体" w:cs="黑体" w:eastAsia="黑体" w:hint="default"/>
          <w:sz w:val="18"/>
          <w:szCs w:val="18"/>
        </w:rPr>
        <w:sectPr>
          <w:type w:val="continuous"/>
          <w:pgSz w:w="16840" w:h="11910" w:orient="landscape"/>
          <w:pgMar w:top="900" w:bottom="280" w:left="600" w:right="440"/>
          <w:cols w:num="3" w:equalWidth="0">
            <w:col w:w="2114" w:space="1529"/>
            <w:col w:w="1257" w:space="658"/>
            <w:col w:w="10242"/>
          </w:cols>
        </w:sectPr>
      </w:pPr>
    </w:p>
    <w:p>
      <w:pPr>
        <w:spacing w:line="240" w:lineRule="auto" w:before="11"/>
        <w:rPr>
          <w:rFonts w:ascii="黑体" w:hAnsi="黑体" w:cs="黑体" w:eastAsia="黑体" w:hint="default"/>
          <w:sz w:val="11"/>
          <w:szCs w:val="11"/>
        </w:rPr>
      </w:pPr>
    </w:p>
    <w:p>
      <w:pPr>
        <w:spacing w:after="0" w:line="240" w:lineRule="auto"/>
        <w:rPr>
          <w:rFonts w:ascii="黑体" w:hAnsi="黑体" w:cs="黑体" w:eastAsia="黑体" w:hint="default"/>
          <w:sz w:val="11"/>
          <w:szCs w:val="11"/>
        </w:rPr>
        <w:sectPr>
          <w:type w:val="continuous"/>
          <w:pgSz w:w="16840" w:h="11910" w:orient="landscape"/>
          <w:pgMar w:top="900" w:bottom="280" w:left="600" w:right="440"/>
        </w:sectPr>
      </w:pPr>
    </w:p>
    <w:p>
      <w:pPr>
        <w:spacing w:before="50"/>
        <w:ind w:left="137" w:right="-20" w:firstLine="0"/>
        <w:jc w:val="left"/>
        <w:rPr>
          <w:rFonts w:ascii="黑体" w:hAnsi="黑体" w:cs="黑体" w:eastAsia="黑体" w:hint="default"/>
          <w:sz w:val="18"/>
          <w:szCs w:val="18"/>
        </w:rPr>
      </w:pPr>
      <w:r>
        <w:rPr>
          <w:rFonts w:ascii="黑体" w:hAnsi="黑体" w:cs="黑体" w:eastAsia="黑体" w:hint="default"/>
          <w:sz w:val="18"/>
          <w:szCs w:val="18"/>
        </w:rPr>
        <w:t>江西用友软件有限</w:t>
      </w:r>
    </w:p>
    <w:p>
      <w:pPr>
        <w:spacing w:before="40"/>
        <w:ind w:left="135" w:right="-17" w:firstLine="0"/>
        <w:jc w:val="left"/>
        <w:rPr>
          <w:rFonts w:ascii="Arial" w:hAnsi="Arial" w:cs="Arial" w:eastAsia="Arial" w:hint="default"/>
          <w:sz w:val="18"/>
          <w:szCs w:val="18"/>
        </w:rPr>
      </w:pPr>
      <w:r>
        <w:rPr/>
        <w:br w:type="column"/>
      </w:r>
      <w:r>
        <w:rPr>
          <w:rFonts w:ascii="黑体" w:hAnsi="黑体" w:cs="黑体" w:eastAsia="黑体" w:hint="default"/>
          <w:position w:val="1"/>
          <w:sz w:val="18"/>
          <w:szCs w:val="18"/>
        </w:rPr>
        <w:t>有限责任 </w:t>
      </w:r>
      <w:r>
        <w:rPr>
          <w:rFonts w:ascii="黑体" w:hAnsi="黑体" w:cs="黑体" w:eastAsia="黑体" w:hint="default"/>
          <w:sz w:val="18"/>
          <w:szCs w:val="18"/>
        </w:rPr>
        <w:t>南昌市  王文京</w:t>
      </w:r>
      <w:r>
        <w:rPr>
          <w:rFonts w:ascii="黑体" w:hAnsi="黑体" w:cs="黑体" w:eastAsia="黑体" w:hint="default"/>
          <w:spacing w:val="33"/>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spacing w:before="51"/>
        <w:ind w:left="137" w:right="-12" w:firstLine="0"/>
        <w:jc w:val="left"/>
        <w:rPr>
          <w:rFonts w:ascii="黑体" w:hAnsi="黑体" w:cs="黑体" w:eastAsia="黑体" w:hint="default"/>
          <w:sz w:val="18"/>
          <w:szCs w:val="18"/>
        </w:rPr>
      </w:pPr>
      <w:r>
        <w:rPr/>
        <w:br w:type="column"/>
      </w:r>
      <w:r>
        <w:rPr>
          <w:rFonts w:ascii="Arial" w:hAnsi="Arial" w:cs="Arial" w:eastAsia="Arial" w:hint="default"/>
          <w:position w:val="1"/>
          <w:sz w:val="18"/>
          <w:szCs w:val="18"/>
        </w:rPr>
        <w:t>20,000,000</w:t>
      </w:r>
      <w:r>
        <w:rPr>
          <w:rFonts w:ascii="Arial" w:hAnsi="Arial" w:cs="Arial" w:eastAsia="Arial" w:hint="default"/>
          <w:spacing w:val="2"/>
          <w:position w:val="1"/>
          <w:sz w:val="18"/>
          <w:szCs w:val="18"/>
        </w:rPr>
        <w:t> </w:t>
      </w:r>
      <w:r>
        <w:rPr>
          <w:rFonts w:ascii="黑体" w:hAnsi="黑体" w:cs="黑体" w:eastAsia="黑体" w:hint="default"/>
          <w:spacing w:val="-5"/>
          <w:sz w:val="18"/>
          <w:szCs w:val="18"/>
        </w:rPr>
        <w:t>计算机软、硬件及外部设备的</w:t>
      </w:r>
    </w:p>
    <w:p>
      <w:pPr>
        <w:tabs>
          <w:tab w:pos="3017" w:val="left" w:leader="none"/>
          <w:tab w:pos="3407" w:val="left" w:leader="none"/>
          <w:tab w:pos="4079" w:val="left" w:leader="none"/>
          <w:tab w:pos="5053" w:val="left" w:leader="none"/>
          <w:tab w:pos="5958" w:val="left" w:leader="none"/>
          <w:tab w:pos="7413" w:val="left" w:leader="none"/>
        </w:tabs>
        <w:spacing w:before="50"/>
        <w:ind w:left="133"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67497181-5</w:t>
      </w:r>
      <w:r>
        <w:rPr>
          <w:rFonts w:ascii="Arial" w:hAnsi="Arial" w:cs="Arial" w:eastAsia="Arial" w:hint="default"/>
          <w:spacing w:val="48"/>
          <w:position w:val="1"/>
          <w:sz w:val="18"/>
          <w:szCs w:val="18"/>
        </w:rPr>
        <w:t> </w:t>
      </w:r>
      <w:r>
        <w:rPr>
          <w:rFonts w:ascii="Arial" w:hAnsi="Arial" w:cs="Arial" w:eastAsia="Arial" w:hint="default"/>
          <w:spacing w:val="-1"/>
          <w:position w:val="1"/>
          <w:sz w:val="18"/>
          <w:szCs w:val="18"/>
        </w:rPr>
        <w:t>20,000,000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440"/>
          <w:cols w:num="4" w:equalWidth="0">
            <w:col w:w="1578" w:space="40"/>
            <w:col w:w="3101" w:space="53"/>
            <w:col w:w="3374" w:space="40"/>
            <w:col w:w="7614"/>
          </w:cols>
        </w:sectPr>
      </w:pPr>
    </w:p>
    <w:p>
      <w:pPr>
        <w:spacing w:line="220" w:lineRule="exact" w:before="0"/>
        <w:ind w:left="305" w:right="-19" w:firstLine="0"/>
        <w:jc w:val="left"/>
        <w:rPr>
          <w:rFonts w:ascii="黑体" w:hAnsi="黑体" w:cs="黑体" w:eastAsia="黑体" w:hint="default"/>
          <w:sz w:val="18"/>
          <w:szCs w:val="18"/>
        </w:rPr>
      </w:pPr>
      <w:r>
        <w:rPr>
          <w:rFonts w:ascii="黑体" w:hAnsi="黑体" w:cs="黑体" w:eastAsia="黑体" w:hint="default"/>
          <w:sz w:val="18"/>
          <w:szCs w:val="18"/>
        </w:rPr>
        <w:t>公司（以下简称 </w:t>
      </w:r>
      <w:r>
        <w:rPr>
          <w:rFonts w:ascii="黑体" w:hAnsi="黑体" w:cs="黑体" w:eastAsia="黑体" w:hint="default"/>
          <w:spacing w:val="7"/>
          <w:sz w:val="18"/>
          <w:szCs w:val="18"/>
        </w:rPr>
        <w:t> </w:t>
      </w:r>
      <w:r>
        <w:rPr>
          <w:rFonts w:ascii="黑体" w:hAnsi="黑体" w:cs="黑体" w:eastAsia="黑体" w:hint="default"/>
          <w:position w:val="1"/>
          <w:sz w:val="18"/>
          <w:szCs w:val="18"/>
        </w:rPr>
        <w:t>公司</w:t>
      </w:r>
      <w:r>
        <w:rPr>
          <w:rFonts w:ascii="黑体" w:hAnsi="黑体" w:cs="黑体" w:eastAsia="黑体" w:hint="default"/>
          <w:sz w:val="18"/>
          <w:szCs w:val="18"/>
        </w:rPr>
      </w:r>
    </w:p>
    <w:p>
      <w:pPr>
        <w:spacing w:line="247" w:lineRule="exact" w:before="0"/>
        <w:ind w:left="318" w:right="-19" w:firstLine="0"/>
        <w:jc w:val="left"/>
        <w:rPr>
          <w:rFonts w:ascii="黑体" w:hAnsi="黑体" w:cs="黑体" w:eastAsia="黑体" w:hint="default"/>
          <w:sz w:val="18"/>
          <w:szCs w:val="18"/>
        </w:rPr>
      </w:pPr>
      <w:r>
        <w:rPr>
          <w:rFonts w:ascii="Arial" w:hAnsi="Arial" w:cs="Arial" w:eastAsia="Arial" w:hint="default"/>
          <w:sz w:val="18"/>
          <w:szCs w:val="18"/>
        </w:rPr>
        <w:t>“</w:t>
      </w:r>
      <w:r>
        <w:rPr>
          <w:rFonts w:ascii="黑体" w:hAnsi="黑体" w:cs="黑体" w:eastAsia="黑体" w:hint="default"/>
          <w:sz w:val="18"/>
          <w:szCs w:val="18"/>
        </w:rPr>
        <w:t>江西用友</w:t>
      </w:r>
      <w:r>
        <w:rPr>
          <w:rFonts w:ascii="Arial" w:hAnsi="Arial" w:cs="Arial" w:eastAsia="Arial" w:hint="default"/>
          <w:sz w:val="18"/>
          <w:szCs w:val="18"/>
        </w:rPr>
        <w:t>”</w:t>
      </w:r>
      <w:r>
        <w:rPr>
          <w:rFonts w:ascii="黑体" w:hAnsi="黑体" w:cs="黑体" w:eastAsia="黑体" w:hint="default"/>
          <w:sz w:val="18"/>
          <w:szCs w:val="18"/>
        </w:rPr>
        <w:t>）</w:t>
      </w:r>
    </w:p>
    <w:p>
      <w:pPr>
        <w:spacing w:line="232" w:lineRule="exact" w:before="11"/>
        <w:ind w:left="307" w:right="-18" w:hanging="2"/>
        <w:jc w:val="left"/>
        <w:rPr>
          <w:rFonts w:ascii="黑体" w:hAnsi="黑体" w:cs="黑体" w:eastAsia="黑体" w:hint="default"/>
          <w:sz w:val="18"/>
          <w:szCs w:val="18"/>
        </w:rPr>
      </w:pPr>
      <w:r>
        <w:rPr/>
        <w:br w:type="column"/>
      </w:r>
      <w:r>
        <w:rPr>
          <w:rFonts w:ascii="黑体" w:hAnsi="黑体" w:cs="黑体" w:eastAsia="黑体" w:hint="default"/>
          <w:sz w:val="18"/>
          <w:szCs w:val="18"/>
        </w:rPr>
        <w:t>硬件</w:t>
      </w:r>
      <w:r>
        <w:rPr>
          <w:rFonts w:ascii="Arial" w:hAnsi="Arial" w:cs="Arial" w:eastAsia="Arial" w:hint="default"/>
          <w:sz w:val="18"/>
          <w:szCs w:val="18"/>
        </w:rPr>
        <w:t>/</w:t>
      </w:r>
      <w:r>
        <w:rPr>
          <w:rFonts w:ascii="黑体" w:hAnsi="黑体" w:cs="黑体" w:eastAsia="黑体" w:hint="default"/>
          <w:sz w:val="18"/>
          <w:szCs w:val="18"/>
        </w:rPr>
        <w:t>耗材、 电子行业</w:t>
      </w:r>
    </w:p>
    <w:p>
      <w:pPr>
        <w:spacing w:line="232" w:lineRule="exact" w:before="10"/>
        <w:ind w:left="305" w:right="7549" w:firstLine="0"/>
        <w:jc w:val="left"/>
        <w:rPr>
          <w:rFonts w:ascii="黑体" w:hAnsi="黑体" w:cs="黑体" w:eastAsia="黑体" w:hint="default"/>
          <w:sz w:val="18"/>
          <w:szCs w:val="18"/>
        </w:rPr>
      </w:pPr>
      <w:r>
        <w:rPr>
          <w:spacing w:val="-5"/>
        </w:rPr>
        <w:br w:type="column"/>
      </w:r>
      <w:r>
        <w:rPr>
          <w:rFonts w:ascii="黑体" w:hAnsi="黑体" w:cs="黑体" w:eastAsia="黑体" w:hint="default"/>
          <w:spacing w:val="-5"/>
          <w:sz w:val="18"/>
          <w:szCs w:val="18"/>
        </w:rPr>
        <w:t>技术开发、技术咨询、技术转</w:t>
      </w:r>
      <w:r>
        <w:rPr>
          <w:rFonts w:ascii="黑体" w:hAnsi="黑体" w:cs="黑体" w:eastAsia="黑体" w:hint="default"/>
          <w:spacing w:val="-87"/>
          <w:sz w:val="18"/>
          <w:szCs w:val="18"/>
        </w:rPr>
        <w:t> </w:t>
      </w:r>
      <w:r>
        <w:rPr>
          <w:rFonts w:ascii="黑体" w:hAnsi="黑体" w:cs="黑体" w:eastAsia="黑体" w:hint="default"/>
          <w:spacing w:val="-87"/>
          <w:sz w:val="18"/>
          <w:szCs w:val="18"/>
        </w:rPr>
      </w:r>
      <w:r>
        <w:rPr>
          <w:rFonts w:ascii="黑体" w:hAnsi="黑体" w:cs="黑体" w:eastAsia="黑体" w:hint="default"/>
          <w:spacing w:val="-11"/>
          <w:sz w:val="18"/>
          <w:szCs w:val="18"/>
        </w:rPr>
        <w:t>让、技术服务；企业管理咨询；</w:t>
      </w:r>
    </w:p>
    <w:p>
      <w:pPr>
        <w:spacing w:line="232" w:lineRule="exact" w:before="2"/>
        <w:ind w:left="305" w:right="7635" w:firstLine="0"/>
        <w:jc w:val="left"/>
        <w:rPr>
          <w:rFonts w:ascii="黑体" w:hAnsi="黑体" w:cs="黑体" w:eastAsia="黑体" w:hint="default"/>
          <w:sz w:val="18"/>
          <w:szCs w:val="18"/>
        </w:rPr>
      </w:pPr>
      <w:r>
        <w:rPr>
          <w:rFonts w:ascii="黑体" w:hAnsi="黑体" w:cs="黑体" w:eastAsia="黑体" w:hint="default"/>
          <w:spacing w:val="-5"/>
          <w:sz w:val="18"/>
          <w:szCs w:val="18"/>
        </w:rPr>
        <w:t>数据库服务；系统集成；计算</w:t>
      </w:r>
      <w:r>
        <w:rPr>
          <w:rFonts w:ascii="黑体" w:hAnsi="黑体" w:cs="黑体" w:eastAsia="黑体" w:hint="default"/>
          <w:spacing w:val="-87"/>
          <w:sz w:val="18"/>
          <w:szCs w:val="18"/>
        </w:rPr>
        <w:t> </w:t>
      </w:r>
      <w:r>
        <w:rPr>
          <w:rFonts w:ascii="黑体" w:hAnsi="黑体" w:cs="黑体" w:eastAsia="黑体" w:hint="default"/>
          <w:spacing w:val="-87"/>
          <w:sz w:val="18"/>
          <w:szCs w:val="18"/>
        </w:rPr>
      </w:r>
      <w:r>
        <w:rPr>
          <w:rFonts w:ascii="黑体" w:hAnsi="黑体" w:cs="黑体" w:eastAsia="黑体" w:hint="default"/>
          <w:spacing w:val="10"/>
          <w:sz w:val="18"/>
          <w:szCs w:val="18"/>
        </w:rPr>
        <w:t>机软硬件及外部设备、打印</w:t>
      </w:r>
      <w:r>
        <w:rPr>
          <w:rFonts w:ascii="黑体" w:hAnsi="黑体" w:cs="黑体" w:eastAsia="黑体" w:hint="default"/>
          <w:sz w:val="18"/>
          <w:szCs w:val="18"/>
        </w:rPr>
      </w:r>
    </w:p>
    <w:p>
      <w:pPr>
        <w:spacing w:line="213" w:lineRule="exact" w:before="0"/>
        <w:ind w:left="305" w:right="7549" w:firstLine="0"/>
        <w:jc w:val="left"/>
        <w:rPr>
          <w:rFonts w:ascii="黑体" w:hAnsi="黑体" w:cs="黑体" w:eastAsia="黑体" w:hint="default"/>
          <w:sz w:val="18"/>
          <w:szCs w:val="18"/>
        </w:rPr>
      </w:pPr>
      <w:r>
        <w:rPr>
          <w:rFonts w:ascii="黑体" w:hAnsi="黑体" w:cs="黑体" w:eastAsia="黑体" w:hint="default"/>
          <w:sz w:val="18"/>
          <w:szCs w:val="18"/>
        </w:rPr>
        <w:t>纸、计算机耗材销售</w:t>
      </w:r>
    </w:p>
    <w:p>
      <w:pPr>
        <w:spacing w:after="0" w:line="213" w:lineRule="exact"/>
        <w:jc w:val="left"/>
        <w:rPr>
          <w:rFonts w:ascii="黑体" w:hAnsi="黑体" w:cs="黑体" w:eastAsia="黑体" w:hint="default"/>
          <w:sz w:val="18"/>
          <w:szCs w:val="18"/>
        </w:rPr>
        <w:sectPr>
          <w:type w:val="continuous"/>
          <w:pgSz w:w="16840" w:h="11910" w:orient="landscape"/>
          <w:pgMar w:top="900" w:bottom="280" w:left="600" w:right="440"/>
          <w:cols w:num="3" w:equalWidth="0">
            <w:col w:w="2114" w:space="1529"/>
            <w:col w:w="1258" w:space="658"/>
            <w:col w:w="10241"/>
          </w:cols>
        </w:sectPr>
      </w:pPr>
    </w:p>
    <w:p>
      <w:pPr>
        <w:spacing w:line="240" w:lineRule="auto" w:before="10"/>
        <w:rPr>
          <w:rFonts w:ascii="黑体" w:hAnsi="黑体" w:cs="黑体" w:eastAsia="黑体" w:hint="default"/>
          <w:sz w:val="11"/>
          <w:szCs w:val="11"/>
        </w:rPr>
      </w:pPr>
    </w:p>
    <w:p>
      <w:pPr>
        <w:spacing w:after="0" w:line="240" w:lineRule="auto"/>
        <w:rPr>
          <w:rFonts w:ascii="黑体" w:hAnsi="黑体" w:cs="黑体" w:eastAsia="黑体" w:hint="default"/>
          <w:sz w:val="11"/>
          <w:szCs w:val="11"/>
        </w:rPr>
        <w:sectPr>
          <w:type w:val="continuous"/>
          <w:pgSz w:w="16840" w:h="11910" w:orient="landscape"/>
          <w:pgMar w:top="900" w:bottom="280" w:left="600" w:right="440"/>
        </w:sectPr>
      </w:pPr>
    </w:p>
    <w:p>
      <w:pPr>
        <w:spacing w:before="50"/>
        <w:ind w:left="138" w:right="-20" w:firstLine="0"/>
        <w:jc w:val="left"/>
        <w:rPr>
          <w:rFonts w:ascii="黑体" w:hAnsi="黑体" w:cs="黑体" w:eastAsia="黑体" w:hint="default"/>
          <w:sz w:val="18"/>
          <w:szCs w:val="18"/>
        </w:rPr>
      </w:pPr>
      <w:r>
        <w:rPr>
          <w:rFonts w:ascii="黑体" w:hAnsi="黑体" w:cs="黑体" w:eastAsia="黑体" w:hint="default"/>
          <w:sz w:val="18"/>
          <w:szCs w:val="18"/>
        </w:rPr>
        <w:t>湖南用友软件有限</w:t>
      </w:r>
    </w:p>
    <w:p>
      <w:pPr>
        <w:spacing w:before="40"/>
        <w:ind w:left="135" w:right="-17" w:firstLine="0"/>
        <w:jc w:val="left"/>
        <w:rPr>
          <w:rFonts w:ascii="Arial" w:hAnsi="Arial" w:cs="Arial" w:eastAsia="Arial" w:hint="default"/>
          <w:sz w:val="18"/>
          <w:szCs w:val="18"/>
        </w:rPr>
      </w:pPr>
      <w:r>
        <w:rPr/>
        <w:br w:type="column"/>
      </w:r>
      <w:r>
        <w:rPr>
          <w:rFonts w:ascii="黑体" w:hAnsi="黑体" w:cs="黑体" w:eastAsia="黑体" w:hint="default"/>
          <w:position w:val="1"/>
          <w:sz w:val="18"/>
          <w:szCs w:val="18"/>
        </w:rPr>
        <w:t>有限责任 </w:t>
      </w:r>
      <w:r>
        <w:rPr>
          <w:rFonts w:ascii="黑体" w:hAnsi="黑体" w:cs="黑体" w:eastAsia="黑体" w:hint="default"/>
          <w:sz w:val="18"/>
          <w:szCs w:val="18"/>
        </w:rPr>
        <w:t>长沙市  何景霄</w:t>
      </w:r>
      <w:r>
        <w:rPr>
          <w:rFonts w:ascii="黑体" w:hAnsi="黑体" w:cs="黑体" w:eastAsia="黑体" w:hint="default"/>
          <w:spacing w:val="33"/>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spacing w:before="50"/>
        <w:ind w:left="138" w:right="-3" w:firstLine="0"/>
        <w:jc w:val="left"/>
        <w:rPr>
          <w:rFonts w:ascii="黑体" w:hAnsi="黑体" w:cs="黑体" w:eastAsia="黑体" w:hint="default"/>
          <w:sz w:val="18"/>
          <w:szCs w:val="18"/>
        </w:rPr>
      </w:pPr>
      <w:r>
        <w:rPr/>
        <w:br w:type="column"/>
      </w:r>
      <w:r>
        <w:rPr>
          <w:rFonts w:ascii="Arial" w:hAnsi="Arial" w:cs="Arial" w:eastAsia="Arial" w:hint="default"/>
          <w:position w:val="1"/>
          <w:sz w:val="18"/>
          <w:szCs w:val="18"/>
        </w:rPr>
        <w:t>3,000,000</w:t>
      </w:r>
      <w:r>
        <w:rPr>
          <w:rFonts w:ascii="Arial" w:hAnsi="Arial" w:cs="Arial" w:eastAsia="Arial" w:hint="default"/>
          <w:spacing w:val="-2"/>
          <w:position w:val="1"/>
          <w:sz w:val="18"/>
          <w:szCs w:val="18"/>
        </w:rPr>
        <w:t> </w:t>
      </w:r>
      <w:r>
        <w:rPr>
          <w:rFonts w:ascii="黑体" w:hAnsi="黑体" w:cs="黑体" w:eastAsia="黑体" w:hint="default"/>
          <w:spacing w:val="10"/>
          <w:sz w:val="18"/>
          <w:szCs w:val="18"/>
        </w:rPr>
        <w:t>计算机软、硬件及配件的开</w:t>
      </w:r>
      <w:r>
        <w:rPr>
          <w:rFonts w:ascii="黑体" w:hAnsi="黑体" w:cs="黑体" w:eastAsia="黑体" w:hint="default"/>
          <w:sz w:val="18"/>
          <w:szCs w:val="18"/>
        </w:rPr>
      </w:r>
    </w:p>
    <w:p>
      <w:pPr>
        <w:tabs>
          <w:tab w:pos="3006" w:val="left" w:leader="none"/>
          <w:tab w:pos="3396" w:val="left" w:leader="none"/>
          <w:tab w:pos="4068" w:val="left" w:leader="none"/>
          <w:tab w:pos="5043" w:val="left" w:leader="none"/>
          <w:tab w:pos="5947" w:val="left" w:leader="none"/>
          <w:tab w:pos="7402" w:val="left" w:leader="none"/>
        </w:tabs>
        <w:spacing w:before="50"/>
        <w:ind w:left="123"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68030653-9</w:t>
      </w:r>
      <w:r>
        <w:rPr>
          <w:rFonts w:ascii="Arial" w:hAnsi="Arial" w:cs="Arial" w:eastAsia="Arial" w:hint="default"/>
          <w:position w:val="1"/>
          <w:sz w:val="18"/>
          <w:szCs w:val="18"/>
        </w:rPr>
        <w:t>  </w:t>
      </w:r>
      <w:r>
        <w:rPr>
          <w:rFonts w:ascii="Arial" w:hAnsi="Arial" w:cs="Arial" w:eastAsia="Arial" w:hint="default"/>
          <w:spacing w:val="48"/>
          <w:position w:val="1"/>
          <w:sz w:val="18"/>
          <w:szCs w:val="18"/>
        </w:rPr>
        <w:t> </w:t>
      </w:r>
      <w:r>
        <w:rPr>
          <w:rFonts w:ascii="Arial" w:hAnsi="Arial" w:cs="Arial" w:eastAsia="Arial" w:hint="default"/>
          <w:spacing w:val="-1"/>
          <w:position w:val="1"/>
          <w:sz w:val="18"/>
          <w:szCs w:val="18"/>
        </w:rPr>
        <w:t>3,000,000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440"/>
          <w:cols w:num="4" w:equalWidth="0">
            <w:col w:w="1579" w:space="40"/>
            <w:col w:w="3101" w:space="151"/>
            <w:col w:w="3285" w:space="40"/>
            <w:col w:w="7604"/>
          </w:cols>
        </w:sectPr>
      </w:pPr>
    </w:p>
    <w:p>
      <w:pPr>
        <w:spacing w:line="219" w:lineRule="exact" w:before="0"/>
        <w:ind w:left="306" w:right="-20" w:firstLine="0"/>
        <w:jc w:val="left"/>
        <w:rPr>
          <w:rFonts w:ascii="黑体" w:hAnsi="黑体" w:cs="黑体" w:eastAsia="黑体" w:hint="default"/>
          <w:sz w:val="18"/>
          <w:szCs w:val="18"/>
        </w:rPr>
      </w:pPr>
      <w:r>
        <w:rPr>
          <w:rFonts w:ascii="黑体" w:hAnsi="黑体" w:cs="黑体" w:eastAsia="黑体" w:hint="default"/>
          <w:sz w:val="18"/>
          <w:szCs w:val="18"/>
        </w:rPr>
        <w:t>公司（以下简称 </w:t>
      </w:r>
      <w:r>
        <w:rPr>
          <w:rFonts w:ascii="黑体" w:hAnsi="黑体" w:cs="黑体" w:eastAsia="黑体" w:hint="default"/>
          <w:spacing w:val="7"/>
          <w:sz w:val="18"/>
          <w:szCs w:val="18"/>
        </w:rPr>
        <w:t> </w:t>
      </w:r>
      <w:r>
        <w:rPr>
          <w:rFonts w:ascii="黑体" w:hAnsi="黑体" w:cs="黑体" w:eastAsia="黑体" w:hint="default"/>
          <w:position w:val="1"/>
          <w:sz w:val="18"/>
          <w:szCs w:val="18"/>
        </w:rPr>
        <w:t>公司</w:t>
      </w:r>
      <w:r>
        <w:rPr>
          <w:rFonts w:ascii="黑体" w:hAnsi="黑体" w:cs="黑体" w:eastAsia="黑体" w:hint="default"/>
          <w:sz w:val="18"/>
          <w:szCs w:val="18"/>
        </w:rPr>
      </w:r>
    </w:p>
    <w:p>
      <w:pPr>
        <w:spacing w:line="248" w:lineRule="exact" w:before="0"/>
        <w:ind w:left="318" w:right="-20" w:firstLine="0"/>
        <w:jc w:val="left"/>
        <w:rPr>
          <w:rFonts w:ascii="黑体" w:hAnsi="黑体" w:cs="黑体" w:eastAsia="黑体" w:hint="default"/>
          <w:sz w:val="18"/>
          <w:szCs w:val="18"/>
        </w:rPr>
      </w:pPr>
      <w:r>
        <w:rPr>
          <w:rFonts w:ascii="Arial" w:hAnsi="Arial" w:cs="Arial" w:eastAsia="Arial" w:hint="default"/>
          <w:sz w:val="18"/>
          <w:szCs w:val="18"/>
        </w:rPr>
        <w:t>“</w:t>
      </w:r>
      <w:r>
        <w:rPr>
          <w:rFonts w:ascii="黑体" w:hAnsi="黑体" w:cs="黑体" w:eastAsia="黑体" w:hint="default"/>
          <w:sz w:val="18"/>
          <w:szCs w:val="18"/>
        </w:rPr>
        <w:t>湖南用友</w:t>
      </w:r>
      <w:r>
        <w:rPr>
          <w:rFonts w:ascii="Arial" w:hAnsi="Arial" w:cs="Arial" w:eastAsia="Arial" w:hint="default"/>
          <w:sz w:val="18"/>
          <w:szCs w:val="18"/>
        </w:rPr>
        <w:t>”</w:t>
      </w:r>
      <w:r>
        <w:rPr>
          <w:rFonts w:ascii="黑体" w:hAnsi="黑体" w:cs="黑体" w:eastAsia="黑体" w:hint="default"/>
          <w:sz w:val="18"/>
          <w:szCs w:val="18"/>
        </w:rPr>
        <w:t>）</w:t>
      </w:r>
    </w:p>
    <w:p>
      <w:pPr>
        <w:spacing w:line="234" w:lineRule="exact" w:before="7"/>
        <w:ind w:left="306" w:right="-19" w:firstLine="0"/>
        <w:jc w:val="left"/>
        <w:rPr>
          <w:rFonts w:ascii="黑体" w:hAnsi="黑体" w:cs="黑体" w:eastAsia="黑体" w:hint="default"/>
          <w:sz w:val="18"/>
          <w:szCs w:val="18"/>
        </w:rPr>
      </w:pPr>
      <w:r>
        <w:rPr/>
        <w:br w:type="column"/>
      </w:r>
      <w:r>
        <w:rPr>
          <w:rFonts w:ascii="黑体" w:hAnsi="黑体" w:cs="黑体" w:eastAsia="黑体" w:hint="default"/>
          <w:sz w:val="18"/>
          <w:szCs w:val="18"/>
        </w:rPr>
        <w:t>硬件</w:t>
      </w:r>
      <w:r>
        <w:rPr>
          <w:rFonts w:ascii="Arial" w:hAnsi="Arial" w:cs="Arial" w:eastAsia="Arial" w:hint="default"/>
          <w:sz w:val="18"/>
          <w:szCs w:val="18"/>
        </w:rPr>
        <w:t>/</w:t>
      </w:r>
      <w:r>
        <w:rPr>
          <w:rFonts w:ascii="黑体" w:hAnsi="黑体" w:cs="黑体" w:eastAsia="黑体" w:hint="default"/>
          <w:sz w:val="18"/>
          <w:szCs w:val="18"/>
        </w:rPr>
        <w:t>咨询 行业</w:t>
      </w:r>
    </w:p>
    <w:p>
      <w:pPr>
        <w:spacing w:line="234" w:lineRule="exact" w:before="7"/>
        <w:ind w:left="306" w:right="7640" w:hanging="1"/>
        <w:jc w:val="left"/>
        <w:rPr>
          <w:rFonts w:ascii="黑体" w:hAnsi="黑体" w:cs="黑体" w:eastAsia="黑体" w:hint="default"/>
          <w:sz w:val="18"/>
          <w:szCs w:val="18"/>
        </w:rPr>
      </w:pPr>
      <w:r>
        <w:rPr/>
        <w:br w:type="column"/>
      </w:r>
      <w:r>
        <w:rPr>
          <w:rFonts w:ascii="黑体" w:hAnsi="黑体" w:cs="黑体" w:eastAsia="黑体" w:hint="default"/>
          <w:sz w:val="18"/>
          <w:szCs w:val="18"/>
        </w:rPr>
        <w:t>发</w:t>
      </w:r>
      <w:r>
        <w:rPr>
          <w:rFonts w:ascii="Arial" w:hAnsi="Arial" w:cs="Arial" w:eastAsia="Arial" w:hint="default"/>
          <w:sz w:val="18"/>
          <w:szCs w:val="18"/>
        </w:rPr>
        <w:t>,</w:t>
      </w:r>
      <w:r>
        <w:rPr>
          <w:rFonts w:ascii="黑体" w:hAnsi="黑体" w:cs="黑体" w:eastAsia="黑体" w:hint="default"/>
          <w:sz w:val="18"/>
          <w:szCs w:val="18"/>
        </w:rPr>
        <w:t>技术咨询</w:t>
      </w:r>
      <w:r>
        <w:rPr>
          <w:rFonts w:ascii="Arial" w:hAnsi="Arial" w:cs="Arial" w:eastAsia="Arial" w:hint="default"/>
          <w:sz w:val="18"/>
          <w:szCs w:val="18"/>
        </w:rPr>
        <w:t>,</w:t>
      </w:r>
      <w:r>
        <w:rPr>
          <w:rFonts w:ascii="黑体" w:hAnsi="黑体" w:cs="黑体" w:eastAsia="黑体" w:hint="default"/>
          <w:sz w:val="18"/>
          <w:szCs w:val="18"/>
        </w:rPr>
        <w:t>技术转让及销售</w:t>
      </w:r>
      <w:r>
        <w:rPr>
          <w:rFonts w:ascii="黑体" w:hAnsi="黑体" w:cs="黑体" w:eastAsia="黑体" w:hint="default"/>
          <w:spacing w:val="-74"/>
          <w:sz w:val="18"/>
          <w:szCs w:val="18"/>
        </w:rPr>
        <w:t> </w:t>
      </w:r>
      <w:r>
        <w:rPr>
          <w:rFonts w:ascii="黑体" w:hAnsi="黑体" w:cs="黑体" w:eastAsia="黑体" w:hint="default"/>
          <w:spacing w:val="-74"/>
          <w:sz w:val="18"/>
          <w:szCs w:val="18"/>
        </w:rPr>
      </w:r>
      <w:r>
        <w:rPr>
          <w:rFonts w:ascii="黑体" w:hAnsi="黑体" w:cs="黑体" w:eastAsia="黑体" w:hint="default"/>
          <w:sz w:val="18"/>
          <w:szCs w:val="18"/>
        </w:rPr>
        <w:t>数据库服务</w:t>
      </w:r>
      <w:r>
        <w:rPr>
          <w:rFonts w:ascii="Arial" w:hAnsi="Arial" w:cs="Arial" w:eastAsia="Arial" w:hint="default"/>
          <w:sz w:val="18"/>
          <w:szCs w:val="18"/>
        </w:rPr>
        <w:t>,</w:t>
      </w:r>
      <w:r>
        <w:rPr>
          <w:rFonts w:ascii="黑体" w:hAnsi="黑体" w:cs="黑体" w:eastAsia="黑体" w:hint="default"/>
          <w:sz w:val="18"/>
          <w:szCs w:val="18"/>
        </w:rPr>
        <w:t>企业管理咨询。</w:t>
      </w:r>
    </w:p>
    <w:p>
      <w:pPr>
        <w:spacing w:after="0" w:line="234" w:lineRule="exact"/>
        <w:jc w:val="left"/>
        <w:rPr>
          <w:rFonts w:ascii="黑体" w:hAnsi="黑体" w:cs="黑体" w:eastAsia="黑体" w:hint="default"/>
          <w:sz w:val="18"/>
          <w:szCs w:val="18"/>
        </w:rPr>
        <w:sectPr>
          <w:type w:val="continuous"/>
          <w:pgSz w:w="16840" w:h="11910" w:orient="landscape"/>
          <w:pgMar w:top="900" w:bottom="280" w:left="600" w:right="440"/>
          <w:cols w:num="3" w:equalWidth="0">
            <w:col w:w="2114" w:space="1529"/>
            <w:col w:w="1078" w:space="838"/>
            <w:col w:w="10241"/>
          </w:cols>
        </w:sectPr>
      </w:pPr>
    </w:p>
    <w:p>
      <w:pPr>
        <w:spacing w:line="240" w:lineRule="auto" w:before="2"/>
        <w:rPr>
          <w:rFonts w:ascii="黑体" w:hAnsi="黑体" w:cs="黑体" w:eastAsia="黑体" w:hint="default"/>
          <w:sz w:val="10"/>
          <w:szCs w:val="10"/>
        </w:rPr>
      </w:pPr>
    </w:p>
    <w:p>
      <w:pPr>
        <w:spacing w:after="0" w:line="240" w:lineRule="auto"/>
        <w:rPr>
          <w:rFonts w:ascii="黑体" w:hAnsi="黑体" w:cs="黑体" w:eastAsia="黑体" w:hint="default"/>
          <w:sz w:val="10"/>
          <w:szCs w:val="10"/>
        </w:rPr>
        <w:sectPr>
          <w:type w:val="continuous"/>
          <w:pgSz w:w="16840" w:h="11910" w:orient="landscape"/>
          <w:pgMar w:top="900" w:bottom="280" w:left="600" w:right="440"/>
        </w:sectPr>
      </w:pPr>
    </w:p>
    <w:p>
      <w:pPr>
        <w:spacing w:before="50"/>
        <w:ind w:left="138" w:right="-20" w:firstLine="0"/>
        <w:jc w:val="left"/>
        <w:rPr>
          <w:rFonts w:ascii="黑体" w:hAnsi="黑体" w:cs="黑体" w:eastAsia="黑体" w:hint="default"/>
          <w:sz w:val="18"/>
          <w:szCs w:val="18"/>
        </w:rPr>
      </w:pPr>
      <w:r>
        <w:rPr>
          <w:rFonts w:ascii="黑体" w:hAnsi="黑体" w:cs="黑体" w:eastAsia="黑体" w:hint="default"/>
          <w:sz w:val="18"/>
          <w:szCs w:val="18"/>
        </w:rPr>
        <w:t>内蒙古用友软件有</w:t>
      </w:r>
    </w:p>
    <w:p>
      <w:pPr>
        <w:spacing w:before="40"/>
        <w:ind w:left="135" w:right="-19" w:firstLine="0"/>
        <w:jc w:val="left"/>
        <w:rPr>
          <w:rFonts w:ascii="黑体" w:hAnsi="黑体" w:cs="黑体" w:eastAsia="黑体" w:hint="default"/>
          <w:sz w:val="18"/>
          <w:szCs w:val="18"/>
        </w:rPr>
      </w:pPr>
      <w:r>
        <w:rPr/>
        <w:br w:type="column"/>
      </w:r>
      <w:r>
        <w:rPr>
          <w:rFonts w:ascii="黑体" w:hAnsi="黑体" w:cs="黑体" w:eastAsia="黑体" w:hint="default"/>
          <w:position w:val="1"/>
          <w:sz w:val="18"/>
          <w:szCs w:val="18"/>
        </w:rPr>
        <w:t>有限责任</w:t>
      </w:r>
      <w:r>
        <w:rPr>
          <w:rFonts w:ascii="黑体" w:hAnsi="黑体" w:cs="黑体" w:eastAsia="黑体" w:hint="default"/>
          <w:spacing w:val="-31"/>
          <w:position w:val="1"/>
          <w:sz w:val="18"/>
          <w:szCs w:val="18"/>
        </w:rPr>
        <w:t> </w:t>
      </w:r>
      <w:r>
        <w:rPr>
          <w:rFonts w:ascii="黑体" w:hAnsi="黑体" w:cs="黑体" w:eastAsia="黑体" w:hint="default"/>
          <w:sz w:val="18"/>
          <w:szCs w:val="18"/>
        </w:rPr>
        <w:t>呼和浩</w:t>
      </w:r>
    </w:p>
    <w:p>
      <w:pPr>
        <w:spacing w:before="50"/>
        <w:ind w:left="127" w:right="-19" w:firstLine="0"/>
        <w:jc w:val="left"/>
        <w:rPr>
          <w:rFonts w:ascii="Arial" w:hAnsi="Arial" w:cs="Arial" w:eastAsia="Arial" w:hint="default"/>
          <w:sz w:val="18"/>
          <w:szCs w:val="18"/>
        </w:rPr>
      </w:pPr>
      <w:r>
        <w:rPr/>
        <w:br w:type="column"/>
      </w:r>
      <w:r>
        <w:rPr>
          <w:rFonts w:ascii="黑体" w:hAnsi="黑体" w:cs="黑体" w:eastAsia="黑体" w:hint="default"/>
          <w:sz w:val="18"/>
          <w:szCs w:val="18"/>
        </w:rPr>
        <w:t>何景霄</w:t>
      </w:r>
      <w:r>
        <w:rPr>
          <w:rFonts w:ascii="黑体" w:hAnsi="黑体" w:cs="黑体" w:eastAsia="黑体" w:hint="default"/>
          <w:spacing w:val="77"/>
          <w:sz w:val="18"/>
          <w:szCs w:val="18"/>
        </w:rPr>
        <w:t> </w:t>
      </w:r>
      <w:r>
        <w:rPr>
          <w:rFonts w:ascii="黑体" w:hAnsi="黑体" w:cs="黑体" w:eastAsia="黑体" w:hint="default"/>
          <w:sz w:val="18"/>
          <w:szCs w:val="18"/>
        </w:rPr>
        <w:t>计算机软</w:t>
      </w:r>
      <w:r>
        <w:rPr>
          <w:rFonts w:ascii="Arial" w:hAnsi="Arial" w:cs="Arial" w:eastAsia="Arial" w:hint="default"/>
          <w:sz w:val="18"/>
          <w:szCs w:val="18"/>
        </w:rPr>
        <w:t>/</w:t>
      </w:r>
    </w:p>
    <w:p>
      <w:pPr>
        <w:spacing w:before="50"/>
        <w:ind w:left="138" w:right="-11" w:firstLine="0"/>
        <w:jc w:val="left"/>
        <w:rPr>
          <w:rFonts w:ascii="黑体" w:hAnsi="黑体" w:cs="黑体" w:eastAsia="黑体" w:hint="default"/>
          <w:sz w:val="18"/>
          <w:szCs w:val="18"/>
        </w:rPr>
      </w:pPr>
      <w:r>
        <w:rPr/>
        <w:br w:type="column"/>
      </w:r>
      <w:r>
        <w:rPr>
          <w:rFonts w:ascii="Arial" w:hAnsi="Arial" w:cs="Arial" w:eastAsia="Arial" w:hint="default"/>
          <w:position w:val="1"/>
          <w:sz w:val="18"/>
          <w:szCs w:val="18"/>
        </w:rPr>
        <w:t>3,000,000</w:t>
      </w:r>
      <w:r>
        <w:rPr>
          <w:rFonts w:ascii="Arial" w:hAnsi="Arial" w:cs="Arial" w:eastAsia="Arial" w:hint="default"/>
          <w:spacing w:val="-1"/>
          <w:position w:val="1"/>
          <w:sz w:val="18"/>
          <w:szCs w:val="18"/>
        </w:rPr>
        <w:t> </w:t>
      </w:r>
      <w:r>
        <w:rPr>
          <w:rFonts w:ascii="黑体" w:hAnsi="黑体" w:cs="黑体" w:eastAsia="黑体" w:hint="default"/>
          <w:spacing w:val="-5"/>
          <w:sz w:val="18"/>
          <w:szCs w:val="18"/>
        </w:rPr>
        <w:t>软件业；计算机服务业；计算</w:t>
      </w:r>
    </w:p>
    <w:p>
      <w:pPr>
        <w:tabs>
          <w:tab w:pos="3017" w:val="left" w:leader="none"/>
          <w:tab w:pos="3407" w:val="left" w:leader="none"/>
          <w:tab w:pos="4079" w:val="left" w:leader="none"/>
          <w:tab w:pos="5053" w:val="left" w:leader="none"/>
          <w:tab w:pos="5958" w:val="left" w:leader="none"/>
          <w:tab w:pos="7413" w:val="left" w:leader="none"/>
        </w:tabs>
        <w:spacing w:before="50"/>
        <w:ind w:left="134"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68342444-2</w:t>
      </w:r>
      <w:r>
        <w:rPr>
          <w:rFonts w:ascii="Arial" w:hAnsi="Arial" w:cs="Arial" w:eastAsia="Arial" w:hint="default"/>
          <w:position w:val="1"/>
          <w:sz w:val="18"/>
          <w:szCs w:val="18"/>
        </w:rPr>
        <w:t>  </w:t>
      </w:r>
      <w:r>
        <w:rPr>
          <w:rFonts w:ascii="Arial" w:hAnsi="Arial" w:cs="Arial" w:eastAsia="Arial" w:hint="default"/>
          <w:spacing w:val="48"/>
          <w:position w:val="1"/>
          <w:sz w:val="18"/>
          <w:szCs w:val="18"/>
        </w:rPr>
        <w:t> </w:t>
      </w:r>
      <w:r>
        <w:rPr>
          <w:rFonts w:ascii="Arial" w:hAnsi="Arial" w:cs="Arial" w:eastAsia="Arial" w:hint="default"/>
          <w:spacing w:val="-1"/>
          <w:position w:val="1"/>
          <w:sz w:val="18"/>
          <w:szCs w:val="18"/>
        </w:rPr>
        <w:t>3,000,000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440"/>
          <w:cols w:num="5" w:equalWidth="0">
            <w:col w:w="1579" w:space="40"/>
            <w:col w:w="1456" w:space="40"/>
            <w:col w:w="1606" w:space="152"/>
            <w:col w:w="3273" w:space="40"/>
            <w:col w:w="7614"/>
          </w:cols>
        </w:sectPr>
      </w:pPr>
    </w:p>
    <w:p>
      <w:pPr>
        <w:tabs>
          <w:tab w:pos="2533" w:val="left" w:leader="none"/>
        </w:tabs>
        <w:spacing w:line="226" w:lineRule="exact" w:before="0"/>
        <w:ind w:left="306" w:right="-20" w:firstLine="0"/>
        <w:jc w:val="left"/>
        <w:rPr>
          <w:rFonts w:ascii="黑体" w:hAnsi="黑体" w:cs="黑体" w:eastAsia="黑体" w:hint="default"/>
          <w:sz w:val="18"/>
          <w:szCs w:val="18"/>
        </w:rPr>
      </w:pPr>
      <w:r>
        <w:rPr>
          <w:rFonts w:ascii="黑体" w:hAnsi="黑体" w:cs="黑体" w:eastAsia="黑体" w:hint="default"/>
          <w:sz w:val="18"/>
          <w:szCs w:val="18"/>
        </w:rPr>
        <w:t>限公司</w:t>
      </w:r>
      <w:r>
        <w:rPr>
          <w:rFonts w:ascii="Arial" w:hAnsi="Arial" w:cs="Arial" w:eastAsia="Arial" w:hint="default"/>
          <w:sz w:val="18"/>
          <w:szCs w:val="18"/>
        </w:rPr>
        <w:t>(</w:t>
      </w:r>
      <w:r>
        <w:rPr>
          <w:rFonts w:ascii="黑体" w:hAnsi="黑体" w:cs="黑体" w:eastAsia="黑体" w:hint="default"/>
          <w:sz w:val="18"/>
          <w:szCs w:val="18"/>
        </w:rPr>
        <w:t>以下简称</w:t>
      </w:r>
      <w:r>
        <w:rPr>
          <w:rFonts w:ascii="黑体" w:hAnsi="黑体" w:cs="黑体" w:eastAsia="黑体" w:hint="default"/>
          <w:spacing w:val="37"/>
          <w:sz w:val="18"/>
          <w:szCs w:val="18"/>
        </w:rPr>
        <w:t> </w:t>
      </w:r>
      <w:r>
        <w:rPr>
          <w:rFonts w:ascii="黑体" w:hAnsi="黑体" w:cs="黑体" w:eastAsia="黑体" w:hint="default"/>
          <w:position w:val="1"/>
          <w:sz w:val="18"/>
          <w:szCs w:val="18"/>
        </w:rPr>
        <w:t>公司</w:t>
        <w:tab/>
      </w:r>
      <w:r>
        <w:rPr>
          <w:rFonts w:ascii="黑体" w:hAnsi="黑体" w:cs="黑体" w:eastAsia="黑体" w:hint="default"/>
          <w:sz w:val="18"/>
          <w:szCs w:val="18"/>
        </w:rPr>
        <w:t>特市</w:t>
      </w:r>
    </w:p>
    <w:p>
      <w:pPr>
        <w:spacing w:line="241" w:lineRule="exact" w:before="0"/>
        <w:ind w:left="306" w:right="-20" w:firstLine="0"/>
        <w:jc w:val="left"/>
        <w:rPr>
          <w:rFonts w:ascii="Arial" w:hAnsi="Arial" w:cs="Arial" w:eastAsia="Arial" w:hint="default"/>
          <w:sz w:val="18"/>
          <w:szCs w:val="18"/>
        </w:rPr>
      </w:pPr>
      <w:r>
        <w:rPr>
          <w:rFonts w:ascii="Arial" w:hAnsi="Arial" w:cs="Arial" w:eastAsia="Arial" w:hint="default"/>
          <w:sz w:val="18"/>
          <w:szCs w:val="18"/>
        </w:rPr>
        <w:t>“</w:t>
      </w:r>
      <w:r>
        <w:rPr>
          <w:rFonts w:ascii="黑体" w:hAnsi="黑体" w:cs="黑体" w:eastAsia="黑体" w:hint="default"/>
          <w:sz w:val="18"/>
          <w:szCs w:val="18"/>
        </w:rPr>
        <w:t>内蒙古用友</w:t>
      </w:r>
      <w:r>
        <w:rPr>
          <w:rFonts w:ascii="Arial" w:hAnsi="Arial" w:cs="Arial" w:eastAsia="Arial" w:hint="default"/>
          <w:sz w:val="18"/>
          <w:szCs w:val="18"/>
        </w:rPr>
        <w:t>”)</w:t>
      </w:r>
    </w:p>
    <w:p>
      <w:pPr>
        <w:spacing w:line="234" w:lineRule="exact" w:before="7"/>
        <w:ind w:left="306" w:right="-20" w:firstLine="0"/>
        <w:jc w:val="left"/>
        <w:rPr>
          <w:rFonts w:ascii="黑体" w:hAnsi="黑体" w:cs="黑体" w:eastAsia="黑体" w:hint="default"/>
          <w:sz w:val="18"/>
          <w:szCs w:val="18"/>
        </w:rPr>
      </w:pPr>
      <w:r>
        <w:rPr/>
        <w:br w:type="column"/>
      </w:r>
      <w:r>
        <w:rPr>
          <w:rFonts w:ascii="黑体" w:hAnsi="黑体" w:cs="黑体" w:eastAsia="黑体" w:hint="default"/>
          <w:sz w:val="18"/>
          <w:szCs w:val="18"/>
        </w:rPr>
        <w:t>硬件</w:t>
      </w:r>
      <w:r>
        <w:rPr>
          <w:rFonts w:ascii="Arial" w:hAnsi="Arial" w:cs="Arial" w:eastAsia="Arial" w:hint="default"/>
          <w:sz w:val="18"/>
          <w:szCs w:val="18"/>
        </w:rPr>
        <w:t>/</w:t>
      </w:r>
      <w:r>
        <w:rPr>
          <w:rFonts w:ascii="黑体" w:hAnsi="黑体" w:cs="黑体" w:eastAsia="黑体" w:hint="default"/>
          <w:sz w:val="18"/>
          <w:szCs w:val="18"/>
        </w:rPr>
        <w:t>咨询 行业</w:t>
      </w:r>
    </w:p>
    <w:p>
      <w:pPr>
        <w:spacing w:line="234" w:lineRule="exact" w:before="7"/>
        <w:ind w:left="306" w:right="7640" w:firstLine="0"/>
        <w:jc w:val="left"/>
        <w:rPr>
          <w:rFonts w:ascii="黑体" w:hAnsi="黑体" w:cs="黑体" w:eastAsia="黑体" w:hint="default"/>
          <w:sz w:val="18"/>
          <w:szCs w:val="18"/>
        </w:rPr>
      </w:pPr>
      <w:r>
        <w:rPr>
          <w:spacing w:val="-5"/>
        </w:rPr>
        <w:br w:type="column"/>
      </w:r>
      <w:r>
        <w:rPr>
          <w:rFonts w:ascii="黑体" w:hAnsi="黑体" w:cs="黑体" w:eastAsia="黑体" w:hint="default"/>
          <w:spacing w:val="-5"/>
          <w:sz w:val="18"/>
          <w:szCs w:val="18"/>
        </w:rPr>
        <w:t>机、软件及辅助设备销售；企</w:t>
      </w:r>
      <w:r>
        <w:rPr>
          <w:rFonts w:ascii="黑体" w:hAnsi="黑体" w:cs="黑体" w:eastAsia="黑体" w:hint="default"/>
          <w:spacing w:val="-87"/>
          <w:sz w:val="18"/>
          <w:szCs w:val="18"/>
        </w:rPr>
        <w:t> </w:t>
      </w:r>
      <w:r>
        <w:rPr>
          <w:rFonts w:ascii="黑体" w:hAnsi="黑体" w:cs="黑体" w:eastAsia="黑体" w:hint="default"/>
          <w:spacing w:val="-87"/>
          <w:sz w:val="18"/>
          <w:szCs w:val="18"/>
        </w:rPr>
      </w:r>
      <w:r>
        <w:rPr>
          <w:rFonts w:ascii="黑体" w:hAnsi="黑体" w:cs="黑体" w:eastAsia="黑体" w:hint="default"/>
          <w:sz w:val="18"/>
          <w:szCs w:val="18"/>
        </w:rPr>
        <w:t>业管理咨询。</w:t>
      </w:r>
    </w:p>
    <w:p>
      <w:pPr>
        <w:spacing w:after="0" w:line="234" w:lineRule="exact"/>
        <w:jc w:val="left"/>
        <w:rPr>
          <w:rFonts w:ascii="黑体" w:hAnsi="黑体" w:cs="黑体" w:eastAsia="黑体" w:hint="default"/>
          <w:sz w:val="18"/>
          <w:szCs w:val="18"/>
        </w:rPr>
        <w:sectPr>
          <w:type w:val="continuous"/>
          <w:pgSz w:w="16840" w:h="11910" w:orient="landscape"/>
          <w:pgMar w:top="900" w:bottom="280" w:left="600" w:right="440"/>
          <w:cols w:num="3" w:equalWidth="0">
            <w:col w:w="2894" w:space="749"/>
            <w:col w:w="1077" w:space="838"/>
            <w:col w:w="10242"/>
          </w:cols>
        </w:sectPr>
      </w:pP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27"/>
          <w:szCs w:val="27"/>
        </w:rPr>
      </w:pPr>
    </w:p>
    <w:p>
      <w:pPr>
        <w:spacing w:before="38"/>
        <w:ind w:left="107" w:right="10431" w:firstLine="0"/>
        <w:jc w:val="left"/>
        <w:rPr>
          <w:rFonts w:ascii="黑体" w:hAnsi="黑体" w:cs="黑体" w:eastAsia="黑体" w:hint="default"/>
          <w:sz w:val="20"/>
          <w:szCs w:val="20"/>
        </w:rPr>
      </w:pPr>
      <w:r>
        <w:rPr>
          <w:rFonts w:ascii="黑体" w:hAnsi="黑体" w:cs="黑体" w:eastAsia="黑体" w:hint="default"/>
          <w:b/>
          <w:bCs/>
          <w:sz w:val="20"/>
          <w:szCs w:val="20"/>
        </w:rPr>
        <w:t>四、合并财务报表的合并范围（续）</w:t>
      </w:r>
      <w:r>
        <w:rPr>
          <w:rFonts w:ascii="黑体" w:hAnsi="黑体" w:cs="黑体" w:eastAsia="黑体" w:hint="default"/>
          <w:sz w:val="20"/>
          <w:szCs w:val="20"/>
        </w:rPr>
      </w:r>
    </w:p>
    <w:p>
      <w:pPr>
        <w:spacing w:line="240" w:lineRule="auto" w:before="12"/>
        <w:rPr>
          <w:rFonts w:ascii="黑体" w:hAnsi="黑体" w:cs="黑体" w:eastAsia="黑体" w:hint="default"/>
          <w:b/>
          <w:bCs/>
          <w:sz w:val="13"/>
          <w:szCs w:val="13"/>
        </w:rPr>
      </w:pPr>
    </w:p>
    <w:p>
      <w:pPr>
        <w:spacing w:line="398" w:lineRule="auto" w:before="0"/>
        <w:ind w:left="107" w:right="10431" w:firstLine="62"/>
        <w:jc w:val="left"/>
        <w:rPr>
          <w:rFonts w:ascii="黑体" w:hAnsi="黑体" w:cs="黑体" w:eastAsia="黑体" w:hint="default"/>
          <w:sz w:val="20"/>
          <w:szCs w:val="20"/>
        </w:rPr>
      </w:pPr>
      <w:r>
        <w:rPr>
          <w:rFonts w:ascii="Arial" w:hAnsi="Arial" w:cs="Arial" w:eastAsia="Arial" w:hint="default"/>
          <w:b/>
          <w:bCs/>
          <w:sz w:val="20"/>
          <w:szCs w:val="20"/>
        </w:rPr>
        <w:t>1.</w:t>
      </w:r>
      <w:r>
        <w:rPr>
          <w:rFonts w:ascii="Arial" w:hAnsi="Arial" w:cs="Arial" w:eastAsia="Arial" w:hint="default"/>
          <w:b/>
          <w:bCs/>
          <w:spacing w:val="31"/>
          <w:sz w:val="20"/>
          <w:szCs w:val="20"/>
        </w:rPr>
        <w:t> </w:t>
      </w:r>
      <w:r>
        <w:rPr>
          <w:rFonts w:ascii="黑体" w:hAnsi="黑体" w:cs="黑体" w:eastAsia="黑体" w:hint="default"/>
          <w:b/>
          <w:bCs/>
          <w:sz w:val="20"/>
          <w:szCs w:val="20"/>
        </w:rPr>
        <w:t>子公司情况（续）</w:t>
      </w:r>
      <w:r>
        <w:rPr>
          <w:rFonts w:ascii="黑体" w:hAnsi="黑体" w:cs="黑体" w:eastAsia="黑体" w:hint="default"/>
          <w:b/>
          <w:bCs/>
          <w:w w:val="99"/>
          <w:sz w:val="20"/>
          <w:szCs w:val="20"/>
        </w:rPr>
        <w:t> </w:t>
      </w:r>
      <w:r>
        <w:rPr>
          <w:rFonts w:ascii="黑体" w:hAnsi="黑体" w:cs="黑体" w:eastAsia="黑体" w:hint="default"/>
          <w:sz w:val="20"/>
          <w:szCs w:val="20"/>
        </w:rPr>
        <w:t>本集团重要子公司的情况如下（续）：</w:t>
      </w:r>
      <w:r>
        <w:rPr>
          <w:rFonts w:ascii="黑体" w:hAnsi="黑体" w:cs="黑体" w:eastAsia="黑体" w:hint="default"/>
          <w:w w:val="100"/>
          <w:sz w:val="20"/>
          <w:szCs w:val="20"/>
        </w:rPr>
        <w:t> </w:t>
      </w:r>
      <w:r>
        <w:rPr>
          <w:rFonts w:ascii="黑体" w:hAnsi="黑体" w:cs="黑体" w:eastAsia="黑体" w:hint="default"/>
          <w:spacing w:val="-1"/>
          <w:sz w:val="20"/>
          <w:szCs w:val="20"/>
        </w:rPr>
        <w:t>通过设立或投资等方式取得的子公司（续）</w:t>
      </w:r>
    </w:p>
    <w:p>
      <w:pPr>
        <w:tabs>
          <w:tab w:pos="4215" w:val="left" w:leader="none"/>
        </w:tabs>
        <w:spacing w:line="234" w:lineRule="exact" w:before="0"/>
        <w:ind w:left="0" w:right="105" w:firstLine="0"/>
        <w:jc w:val="right"/>
        <w:rPr>
          <w:rFonts w:ascii="黑体" w:hAnsi="黑体" w:cs="黑体" w:eastAsia="黑体" w:hint="default"/>
          <w:sz w:val="18"/>
          <w:szCs w:val="18"/>
        </w:rPr>
      </w:pPr>
      <w:r>
        <w:rPr>
          <w:rFonts w:ascii="黑体" w:hAnsi="黑体" w:cs="黑体" w:eastAsia="黑体" w:hint="default"/>
          <w:sz w:val="18"/>
          <w:szCs w:val="18"/>
        </w:rPr>
        <w:t>实质上构成</w:t>
        <w:tab/>
        <w:t>少数股东权益</w:t>
      </w:r>
    </w:p>
    <w:p>
      <w:pPr>
        <w:tabs>
          <w:tab w:pos="1753" w:val="left" w:leader="none"/>
          <w:tab w:pos="2533" w:val="left" w:leader="none"/>
          <w:tab w:pos="3242" w:val="left" w:leader="none"/>
          <w:tab w:pos="3880" w:val="left" w:leader="none"/>
          <w:tab w:pos="5088" w:val="left" w:leader="none"/>
          <w:tab w:pos="6609" w:val="left" w:leader="none"/>
          <w:tab w:pos="8490" w:val="left" w:leader="none"/>
          <w:tab w:pos="8850" w:val="left" w:leader="none"/>
          <w:tab w:pos="9624" w:val="left" w:leader="none"/>
          <w:tab w:pos="9804" w:val="left" w:leader="none"/>
          <w:tab w:pos="11544" w:val="left" w:leader="none"/>
          <w:tab w:pos="12252" w:val="left" w:leader="none"/>
          <w:tab w:pos="13103" w:val="left" w:leader="none"/>
          <w:tab w:pos="13955" w:val="left" w:leader="none"/>
          <w:tab w:pos="14652" w:val="left" w:leader="none"/>
        </w:tabs>
        <w:spacing w:line="283" w:lineRule="auto" w:before="36"/>
        <w:ind w:left="138" w:right="105" w:firstLine="1615"/>
        <w:jc w:val="right"/>
        <w:rPr>
          <w:rFonts w:ascii="黑体" w:hAnsi="黑体" w:cs="黑体" w:eastAsia="黑体" w:hint="default"/>
          <w:sz w:val="18"/>
          <w:szCs w:val="18"/>
        </w:rPr>
      </w:pPr>
      <w:r>
        <w:rPr>
          <w:rFonts w:ascii="黑体" w:hAnsi="黑体" w:cs="黑体" w:eastAsia="黑体" w:hint="default"/>
          <w:sz w:val="18"/>
          <w:szCs w:val="18"/>
        </w:rPr>
        <w:t>子公司</w:t>
        <w:tab/>
        <w:tab/>
        <w:t>法人</w:t>
        <w:tab/>
        <w:tab/>
        <w:tab/>
        <w:tab/>
        <w:t>组织机构</w:t>
        <w:tab/>
        <w:t>年末实际</w:t>
      </w:r>
      <w:r>
        <w:rPr>
          <w:rFonts w:ascii="黑体" w:hAnsi="黑体" w:cs="黑体" w:eastAsia="黑体" w:hint="default"/>
          <w:spacing w:val="2"/>
          <w:sz w:val="18"/>
          <w:szCs w:val="18"/>
        </w:rPr>
        <w:t> </w:t>
      </w:r>
      <w:r>
        <w:rPr>
          <w:rFonts w:ascii="黑体" w:hAnsi="黑体" w:cs="黑体" w:eastAsia="黑体" w:hint="default"/>
          <w:sz w:val="18"/>
          <w:szCs w:val="18"/>
        </w:rPr>
        <w:t>净投资的其</w:t>
        <w:tab/>
        <w:t>持股</w:t>
        <w:tab/>
        <w:t>表决</w:t>
        <w:tab/>
        <w:t>是否 少数股东 </w:t>
      </w:r>
      <w:r>
        <w:rPr>
          <w:rFonts w:ascii="黑体" w:hAnsi="黑体" w:cs="黑体" w:eastAsia="黑体" w:hint="default"/>
          <w:spacing w:val="18"/>
          <w:sz w:val="18"/>
          <w:szCs w:val="18"/>
        </w:rPr>
        <w:t> </w:t>
      </w:r>
      <w:r>
        <w:rPr>
          <w:rFonts w:ascii="黑体" w:hAnsi="黑体" w:cs="黑体" w:eastAsia="黑体" w:hint="default"/>
          <w:sz w:val="18"/>
          <w:szCs w:val="18"/>
        </w:rPr>
        <w:t>中用于冲减少数</w:t>
      </w:r>
      <w:r>
        <w:rPr>
          <w:rFonts w:ascii="黑体" w:hAnsi="黑体" w:cs="黑体" w:eastAsia="黑体" w:hint="default"/>
          <w:sz w:val="18"/>
          <w:szCs w:val="18"/>
        </w:rPr>
        <w:t> 被投资单位名称</w:t>
        <w:tab/>
        <w:t>类型</w:t>
        <w:tab/>
        <w:t>注册地</w:t>
      </w:r>
      <w:r>
        <w:rPr>
          <w:rFonts w:ascii="黑体" w:hAnsi="黑体" w:cs="黑体" w:eastAsia="黑体" w:hint="default"/>
          <w:spacing w:val="77"/>
          <w:sz w:val="18"/>
          <w:szCs w:val="18"/>
        </w:rPr>
        <w:t> </w:t>
      </w:r>
      <w:r>
        <w:rPr>
          <w:rFonts w:ascii="黑体" w:hAnsi="黑体" w:cs="黑体" w:eastAsia="黑体" w:hint="default"/>
          <w:sz w:val="18"/>
          <w:szCs w:val="18"/>
        </w:rPr>
        <w:t>代表</w:t>
        <w:tab/>
        <w:t>业务性质</w:t>
        <w:tab/>
        <w:t>注册资本</w:t>
        <w:tab/>
        <w:t>经营范围</w:t>
        <w:tab/>
        <w:tab/>
        <w:t>代码</w:t>
        <w:tab/>
        <w:tab/>
        <w:t>出资额</w:t>
      </w:r>
      <w:r>
        <w:rPr>
          <w:rFonts w:ascii="黑体" w:hAnsi="黑体" w:cs="黑体" w:eastAsia="黑体" w:hint="default"/>
          <w:spacing w:val="2"/>
          <w:sz w:val="18"/>
          <w:szCs w:val="18"/>
        </w:rPr>
        <w:t> </w:t>
      </w:r>
      <w:r>
        <w:rPr>
          <w:rFonts w:ascii="黑体" w:hAnsi="黑体" w:cs="黑体" w:eastAsia="黑体" w:hint="default"/>
          <w:sz w:val="18"/>
          <w:szCs w:val="18"/>
        </w:rPr>
        <w:t>他项目余额</w:t>
        <w:tab/>
        <w:t>比例  权比例</w:t>
      </w:r>
      <w:r>
        <w:rPr>
          <w:rFonts w:ascii="黑体" w:hAnsi="黑体" w:cs="黑体" w:eastAsia="黑体" w:hint="default"/>
          <w:spacing w:val="27"/>
          <w:sz w:val="18"/>
          <w:szCs w:val="18"/>
        </w:rPr>
        <w:t> </w:t>
      </w:r>
      <w:r>
        <w:rPr>
          <w:rFonts w:ascii="黑体" w:hAnsi="黑体" w:cs="黑体" w:eastAsia="黑体" w:hint="default"/>
          <w:sz w:val="18"/>
          <w:szCs w:val="18"/>
        </w:rPr>
        <w:t>合并报表</w:t>
        <w:tab/>
        <w:t>权益</w:t>
        <w:tab/>
        <w:t>股东损益金额</w:t>
      </w:r>
    </w:p>
    <w:p>
      <w:pPr>
        <w:tabs>
          <w:tab w:pos="707" w:val="left" w:leader="none"/>
          <w:tab w:pos="3707" w:val="left" w:leader="none"/>
        </w:tabs>
        <w:spacing w:before="14"/>
        <w:ind w:left="0" w:right="105" w:firstLine="0"/>
        <w:jc w:val="right"/>
        <w:rPr>
          <w:rFonts w:ascii="Arial" w:hAnsi="Arial" w:cs="Arial" w:eastAsia="Arial" w:hint="default"/>
          <w:sz w:val="18"/>
          <w:szCs w:val="18"/>
        </w:rPr>
      </w:pPr>
      <w:r>
        <w:rPr>
          <w:rFonts w:ascii="Arial" w:hAnsi="Arial" w:cs="Arial" w:eastAsia="Arial" w:hint="default"/>
          <w:spacing w:val="-1"/>
          <w:sz w:val="18"/>
          <w:szCs w:val="18"/>
        </w:rPr>
        <w:t>(%)</w:t>
        <w:tab/>
        <w:t>(%)</w:t>
        <w:tab/>
        <w:t>(</w:t>
      </w:r>
      <w:r>
        <w:rPr>
          <w:rFonts w:ascii="黑体" w:hAnsi="黑体" w:cs="黑体" w:eastAsia="黑体" w:hint="default"/>
          <w:spacing w:val="-1"/>
          <w:sz w:val="18"/>
          <w:szCs w:val="18"/>
        </w:rPr>
        <w:t>注</w:t>
      </w:r>
      <w:r>
        <w:rPr>
          <w:rFonts w:ascii="Arial" w:hAnsi="Arial" w:cs="Arial" w:eastAsia="Arial" w:hint="default"/>
          <w:spacing w:val="-1"/>
          <w:sz w:val="18"/>
          <w:szCs w:val="18"/>
        </w:rPr>
        <w:t>8)</w:t>
      </w:r>
      <w:r>
        <w:rPr>
          <w:rFonts w:ascii="Arial" w:hAnsi="Arial" w:cs="Arial" w:eastAsia="Arial" w:hint="default"/>
          <w:sz w:val="18"/>
          <w:szCs w:val="18"/>
        </w:rPr>
      </w:r>
    </w:p>
    <w:p>
      <w:pPr>
        <w:spacing w:line="240" w:lineRule="auto" w:before="8"/>
        <w:rPr>
          <w:rFonts w:ascii="Arial" w:hAnsi="Arial" w:cs="Arial" w:eastAsia="Arial" w:hint="default"/>
          <w:sz w:val="12"/>
          <w:szCs w:val="12"/>
        </w:rPr>
      </w:pPr>
    </w:p>
    <w:p>
      <w:pPr>
        <w:spacing w:after="0" w:line="240" w:lineRule="auto"/>
        <w:rPr>
          <w:rFonts w:ascii="Arial" w:hAnsi="Arial" w:cs="Arial" w:eastAsia="Arial" w:hint="default"/>
          <w:sz w:val="12"/>
          <w:szCs w:val="12"/>
        </w:rPr>
        <w:sectPr>
          <w:pgSz w:w="16840" w:h="11910" w:orient="landscape"/>
          <w:pgMar w:header="958" w:footer="496" w:top="2380" w:bottom="680" w:left="600" w:right="400"/>
        </w:sectPr>
      </w:pPr>
    </w:p>
    <w:p>
      <w:pPr>
        <w:spacing w:before="50"/>
        <w:ind w:left="138" w:right="-20" w:firstLine="0"/>
        <w:jc w:val="left"/>
        <w:rPr>
          <w:rFonts w:ascii="黑体" w:hAnsi="黑体" w:cs="黑体" w:eastAsia="黑体" w:hint="default"/>
          <w:sz w:val="18"/>
          <w:szCs w:val="18"/>
        </w:rPr>
      </w:pPr>
      <w:r>
        <w:rPr>
          <w:rFonts w:ascii="黑体" w:hAnsi="黑体" w:cs="黑体" w:eastAsia="黑体" w:hint="default"/>
          <w:sz w:val="18"/>
          <w:szCs w:val="18"/>
        </w:rPr>
        <w:t>用友医疗卫生信息</w:t>
      </w:r>
    </w:p>
    <w:p>
      <w:pPr>
        <w:spacing w:before="40"/>
        <w:ind w:left="135" w:right="0" w:firstLine="0"/>
        <w:jc w:val="left"/>
        <w:rPr>
          <w:rFonts w:ascii="黑体" w:hAnsi="黑体" w:cs="黑体" w:eastAsia="黑体" w:hint="default"/>
          <w:sz w:val="18"/>
          <w:szCs w:val="18"/>
        </w:rPr>
      </w:pPr>
      <w:r>
        <w:rPr/>
        <w:br w:type="column"/>
      </w:r>
      <w:r>
        <w:rPr>
          <w:rFonts w:ascii="黑体" w:hAnsi="黑体" w:cs="黑体" w:eastAsia="黑体" w:hint="default"/>
          <w:position w:val="1"/>
          <w:sz w:val="18"/>
          <w:szCs w:val="18"/>
        </w:rPr>
        <w:t>有限责任 </w:t>
      </w:r>
      <w:r>
        <w:rPr>
          <w:rFonts w:ascii="黑体" w:hAnsi="黑体" w:cs="黑体" w:eastAsia="黑体" w:hint="default"/>
          <w:sz w:val="18"/>
          <w:szCs w:val="18"/>
        </w:rPr>
        <w:t>北京市 吴政平 </w:t>
      </w:r>
      <w:r>
        <w:rPr>
          <w:rFonts w:ascii="黑体" w:hAnsi="黑体" w:cs="黑体" w:eastAsia="黑体" w:hint="default"/>
          <w:spacing w:val="36"/>
          <w:sz w:val="18"/>
          <w:szCs w:val="18"/>
        </w:rPr>
        <w:t>计算机软 </w:t>
      </w:r>
      <w:r>
        <w:rPr>
          <w:rFonts w:ascii="Arial" w:hAnsi="Arial" w:cs="Arial" w:eastAsia="Arial" w:hint="default"/>
          <w:position w:val="1"/>
          <w:sz w:val="18"/>
          <w:szCs w:val="18"/>
        </w:rPr>
        <w:t>100,000,000</w:t>
      </w:r>
      <w:r>
        <w:rPr>
          <w:rFonts w:ascii="Arial" w:hAnsi="Arial" w:cs="Arial" w:eastAsia="Arial" w:hint="default"/>
          <w:spacing w:val="-14"/>
          <w:position w:val="1"/>
          <w:sz w:val="18"/>
          <w:szCs w:val="18"/>
        </w:rPr>
        <w:t> </w:t>
      </w:r>
      <w:r>
        <w:rPr>
          <w:rFonts w:ascii="黑体" w:hAnsi="黑体" w:cs="黑体" w:eastAsia="黑体" w:hint="default"/>
          <w:spacing w:val="4"/>
          <w:sz w:val="18"/>
          <w:szCs w:val="18"/>
        </w:rPr>
        <w:t>销售医疗软件；医疗软件的</w:t>
      </w:r>
      <w:r>
        <w:rPr>
          <w:rFonts w:ascii="黑体" w:hAnsi="黑体" w:cs="黑体" w:eastAsia="黑体" w:hint="default"/>
          <w:sz w:val="18"/>
          <w:szCs w:val="18"/>
        </w:rPr>
      </w:r>
    </w:p>
    <w:p>
      <w:pPr>
        <w:tabs>
          <w:tab w:pos="3154" w:val="left" w:leader="none"/>
          <w:tab w:pos="3482" w:val="left" w:leader="none"/>
          <w:tab w:pos="4191" w:val="left" w:leader="none"/>
          <w:tab w:pos="5161" w:val="left" w:leader="none"/>
          <w:tab w:pos="6133" w:val="left" w:leader="none"/>
          <w:tab w:pos="7551" w:val="left" w:leader="none"/>
        </w:tabs>
        <w:spacing w:before="50"/>
        <w:ind w:left="129"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69636697-4</w:t>
      </w:r>
      <w:r>
        <w:rPr>
          <w:rFonts w:ascii="Arial" w:hAnsi="Arial" w:cs="Arial" w:eastAsia="Arial" w:hint="default"/>
          <w:position w:val="1"/>
          <w:sz w:val="18"/>
          <w:szCs w:val="18"/>
        </w:rPr>
        <w:t> </w:t>
      </w:r>
      <w:r>
        <w:rPr>
          <w:rFonts w:ascii="Arial" w:hAnsi="Arial" w:cs="Arial" w:eastAsia="Arial" w:hint="default"/>
          <w:spacing w:val="40"/>
          <w:position w:val="1"/>
          <w:sz w:val="18"/>
          <w:szCs w:val="18"/>
        </w:rPr>
        <w:t> </w:t>
      </w:r>
      <w:r>
        <w:rPr>
          <w:rFonts w:ascii="Arial" w:hAnsi="Arial" w:cs="Arial" w:eastAsia="Arial" w:hint="default"/>
          <w:spacing w:val="-1"/>
          <w:position w:val="1"/>
          <w:sz w:val="18"/>
          <w:szCs w:val="18"/>
        </w:rPr>
        <w:t>100,000,000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400"/>
          <w:cols w:num="3" w:equalWidth="0">
            <w:col w:w="1579" w:space="40"/>
            <w:col w:w="6463" w:space="40"/>
            <w:col w:w="7718"/>
          </w:cols>
        </w:sectPr>
      </w:pPr>
    </w:p>
    <w:p>
      <w:pPr>
        <w:spacing w:line="232" w:lineRule="auto" w:before="0"/>
        <w:ind w:left="306" w:right="-18" w:firstLine="0"/>
        <w:jc w:val="left"/>
        <w:rPr>
          <w:rFonts w:ascii="黑体" w:hAnsi="黑体" w:cs="黑体" w:eastAsia="黑体" w:hint="default"/>
          <w:sz w:val="18"/>
          <w:szCs w:val="18"/>
        </w:rPr>
      </w:pPr>
      <w:r>
        <w:rPr>
          <w:rFonts w:ascii="黑体" w:hAnsi="黑体" w:cs="黑体" w:eastAsia="黑体" w:hint="default"/>
          <w:spacing w:val="-7"/>
          <w:sz w:val="18"/>
          <w:szCs w:val="18"/>
        </w:rPr>
        <w:t>系统有限公司（以</w:t>
      </w:r>
      <w:r>
        <w:rPr>
          <w:rFonts w:ascii="黑体" w:hAnsi="黑体" w:cs="黑体" w:eastAsia="黑体" w:hint="default"/>
          <w:spacing w:val="-29"/>
          <w:sz w:val="18"/>
          <w:szCs w:val="18"/>
        </w:rPr>
        <w:t> </w:t>
      </w:r>
      <w:r>
        <w:rPr>
          <w:rFonts w:ascii="黑体" w:hAnsi="黑体" w:cs="黑体" w:eastAsia="黑体" w:hint="default"/>
          <w:position w:val="1"/>
          <w:sz w:val="18"/>
          <w:szCs w:val="18"/>
        </w:rPr>
        <w:t>公司</w:t>
      </w:r>
      <w:r>
        <w:rPr>
          <w:rFonts w:ascii="黑体" w:hAnsi="黑体" w:cs="黑体" w:eastAsia="黑体" w:hint="default"/>
          <w:position w:val="1"/>
          <w:sz w:val="18"/>
          <w:szCs w:val="18"/>
        </w:rPr>
        <w:t> </w:t>
      </w:r>
      <w:r>
        <w:rPr>
          <w:rFonts w:ascii="黑体" w:hAnsi="黑体" w:cs="黑体" w:eastAsia="黑体" w:hint="default"/>
          <w:sz w:val="18"/>
          <w:szCs w:val="18"/>
        </w:rPr>
        <w:t>下简称</w:t>
      </w:r>
      <w:r>
        <w:rPr>
          <w:rFonts w:ascii="Arial" w:hAnsi="Arial" w:cs="Arial" w:eastAsia="Arial" w:hint="default"/>
          <w:sz w:val="18"/>
          <w:szCs w:val="18"/>
        </w:rPr>
        <w:t>“</w:t>
      </w:r>
      <w:r>
        <w:rPr>
          <w:rFonts w:ascii="黑体" w:hAnsi="黑体" w:cs="黑体" w:eastAsia="黑体" w:hint="default"/>
          <w:sz w:val="18"/>
          <w:szCs w:val="18"/>
        </w:rPr>
        <w:t>用友医 疗</w:t>
      </w:r>
      <w:r>
        <w:rPr>
          <w:rFonts w:ascii="Arial" w:hAnsi="Arial" w:cs="Arial" w:eastAsia="Arial" w:hint="default"/>
          <w:sz w:val="18"/>
          <w:szCs w:val="18"/>
        </w:rPr>
        <w:t>”</w:t>
      </w:r>
      <w:r>
        <w:rPr>
          <w:rFonts w:ascii="黑体" w:hAnsi="黑体" w:cs="黑体" w:eastAsia="黑体" w:hint="default"/>
          <w:sz w:val="18"/>
          <w:szCs w:val="18"/>
        </w:rPr>
        <w:t>）（注</w:t>
      </w:r>
      <w:r>
        <w:rPr>
          <w:rFonts w:ascii="黑体" w:hAnsi="黑体" w:cs="黑体" w:eastAsia="黑体" w:hint="default"/>
          <w:spacing w:val="-48"/>
          <w:sz w:val="18"/>
          <w:szCs w:val="18"/>
        </w:rPr>
        <w:t> </w:t>
      </w:r>
      <w:r>
        <w:rPr>
          <w:rFonts w:ascii="Arial" w:hAnsi="Arial" w:cs="Arial" w:eastAsia="Arial" w:hint="default"/>
          <w:sz w:val="18"/>
          <w:szCs w:val="18"/>
        </w:rPr>
        <w:t>1</w:t>
      </w:r>
      <w:r>
        <w:rPr>
          <w:rFonts w:ascii="黑体" w:hAnsi="黑体" w:cs="黑体" w:eastAsia="黑体" w:hint="default"/>
          <w:sz w:val="18"/>
          <w:szCs w:val="18"/>
        </w:rPr>
        <w:t>）</w:t>
      </w:r>
    </w:p>
    <w:p>
      <w:pPr>
        <w:spacing w:line="225" w:lineRule="auto" w:before="8"/>
        <w:ind w:left="306" w:right="0" w:firstLine="0"/>
        <w:jc w:val="both"/>
        <w:rPr>
          <w:rFonts w:ascii="黑体" w:hAnsi="黑体" w:cs="黑体" w:eastAsia="黑体" w:hint="default"/>
          <w:sz w:val="18"/>
          <w:szCs w:val="18"/>
        </w:rPr>
      </w:pPr>
      <w:r>
        <w:rPr/>
        <w:br w:type="column"/>
      </w:r>
      <w:r>
        <w:rPr>
          <w:rFonts w:ascii="黑体" w:hAnsi="黑体" w:cs="黑体" w:eastAsia="黑体" w:hint="default"/>
          <w:sz w:val="18"/>
          <w:szCs w:val="18"/>
        </w:rPr>
        <w:t>件</w:t>
      </w:r>
      <w:r>
        <w:rPr>
          <w:rFonts w:ascii="黑体" w:hAnsi="黑体" w:cs="黑体" w:eastAsia="黑体" w:hint="default"/>
          <w:spacing w:val="-67"/>
          <w:sz w:val="18"/>
          <w:szCs w:val="18"/>
        </w:rPr>
        <w:t> </w:t>
      </w:r>
      <w:r>
        <w:rPr>
          <w:rFonts w:ascii="Arial" w:hAnsi="Arial" w:cs="Arial" w:eastAsia="Arial" w:hint="default"/>
          <w:sz w:val="18"/>
          <w:szCs w:val="18"/>
        </w:rPr>
        <w:t>/</w:t>
      </w:r>
      <w:r>
        <w:rPr>
          <w:rFonts w:ascii="Arial" w:hAnsi="Arial" w:cs="Arial" w:eastAsia="Arial" w:hint="default"/>
          <w:spacing w:val="-26"/>
          <w:sz w:val="18"/>
          <w:szCs w:val="18"/>
        </w:rPr>
        <w:t> </w:t>
      </w:r>
      <w:r>
        <w:rPr>
          <w:rFonts w:ascii="黑体" w:hAnsi="黑体" w:cs="黑体" w:eastAsia="黑体" w:hint="default"/>
          <w:spacing w:val="16"/>
          <w:sz w:val="18"/>
          <w:szCs w:val="18"/>
        </w:rPr>
        <w:t>系统集</w:t>
      </w:r>
      <w:r>
        <w:rPr>
          <w:rFonts w:ascii="黑体" w:hAnsi="黑体" w:cs="黑体" w:eastAsia="黑体" w:hint="default"/>
          <w:spacing w:val="-66"/>
          <w:sz w:val="18"/>
          <w:szCs w:val="18"/>
        </w:rPr>
        <w:t> </w:t>
      </w:r>
      <w:r>
        <w:rPr>
          <w:rFonts w:ascii="黑体" w:hAnsi="黑体" w:cs="黑体" w:eastAsia="黑体" w:hint="default"/>
          <w:sz w:val="18"/>
          <w:szCs w:val="18"/>
        </w:rPr>
        <w:t>成</w:t>
      </w:r>
      <w:r>
        <w:rPr>
          <w:rFonts w:ascii="黑体" w:hAnsi="黑体" w:cs="黑体" w:eastAsia="黑体" w:hint="default"/>
          <w:spacing w:val="-67"/>
          <w:sz w:val="18"/>
          <w:szCs w:val="18"/>
        </w:rPr>
        <w:t> </w:t>
      </w:r>
      <w:r>
        <w:rPr>
          <w:rFonts w:ascii="Arial" w:hAnsi="Arial" w:cs="Arial" w:eastAsia="Arial" w:hint="default"/>
          <w:sz w:val="18"/>
          <w:szCs w:val="18"/>
        </w:rPr>
        <w:t>/</w:t>
      </w:r>
      <w:r>
        <w:rPr>
          <w:rFonts w:ascii="Arial" w:hAnsi="Arial" w:cs="Arial" w:eastAsia="Arial" w:hint="default"/>
          <w:spacing w:val="-26"/>
          <w:sz w:val="18"/>
          <w:szCs w:val="18"/>
        </w:rPr>
        <w:t> </w:t>
      </w:r>
      <w:r>
        <w:rPr>
          <w:rFonts w:ascii="黑体" w:hAnsi="黑体" w:cs="黑体" w:eastAsia="黑体" w:hint="default"/>
          <w:spacing w:val="16"/>
          <w:sz w:val="18"/>
          <w:szCs w:val="18"/>
        </w:rPr>
        <w:t>咨询行</w:t>
      </w:r>
      <w:r>
        <w:rPr>
          <w:rFonts w:ascii="黑体" w:hAnsi="黑体" w:cs="黑体" w:eastAsia="黑体" w:hint="default"/>
          <w:spacing w:val="-66"/>
          <w:sz w:val="18"/>
          <w:szCs w:val="18"/>
        </w:rPr>
        <w:t> </w:t>
      </w:r>
      <w:r>
        <w:rPr>
          <w:rFonts w:ascii="黑体" w:hAnsi="黑体" w:cs="黑体" w:eastAsia="黑体" w:hint="default"/>
          <w:sz w:val="18"/>
          <w:szCs w:val="18"/>
        </w:rPr>
        <w:t>业</w:t>
      </w:r>
    </w:p>
    <w:p>
      <w:pPr>
        <w:spacing w:line="231" w:lineRule="exact" w:before="0"/>
        <w:ind w:left="306" w:right="0" w:firstLine="0"/>
        <w:jc w:val="left"/>
        <w:rPr>
          <w:rFonts w:ascii="黑体" w:hAnsi="黑体" w:cs="黑体" w:eastAsia="黑体" w:hint="default"/>
          <w:sz w:val="18"/>
          <w:szCs w:val="18"/>
        </w:rPr>
      </w:pPr>
      <w:r>
        <w:rPr/>
        <w:br w:type="column"/>
      </w:r>
      <w:r>
        <w:rPr>
          <w:rFonts w:ascii="黑体" w:hAnsi="黑体" w:cs="黑体" w:eastAsia="黑体" w:hint="default"/>
          <w:sz w:val="18"/>
          <w:szCs w:val="18"/>
        </w:rPr>
        <w:t>技术培训、系统集成。</w:t>
      </w:r>
    </w:p>
    <w:p>
      <w:pPr>
        <w:spacing w:after="0" w:line="231" w:lineRule="exact"/>
        <w:jc w:val="left"/>
        <w:rPr>
          <w:rFonts w:ascii="黑体" w:hAnsi="黑体" w:cs="黑体" w:eastAsia="黑体" w:hint="default"/>
          <w:sz w:val="18"/>
          <w:szCs w:val="18"/>
        </w:rPr>
        <w:sectPr>
          <w:type w:val="continuous"/>
          <w:pgSz w:w="16840" w:h="11910" w:orient="landscape"/>
          <w:pgMar w:top="900" w:bottom="280" w:left="600" w:right="400"/>
          <w:cols w:num="3" w:equalWidth="0">
            <w:col w:w="2114" w:space="1459"/>
            <w:col w:w="1198" w:space="786"/>
            <w:col w:w="10283"/>
          </w:cols>
        </w:sectPr>
      </w:pPr>
    </w:p>
    <w:p>
      <w:pPr>
        <w:spacing w:line="240" w:lineRule="auto" w:before="2"/>
        <w:rPr>
          <w:rFonts w:ascii="黑体" w:hAnsi="黑体" w:cs="黑体" w:eastAsia="黑体" w:hint="default"/>
          <w:sz w:val="11"/>
          <w:szCs w:val="11"/>
        </w:rPr>
      </w:pPr>
    </w:p>
    <w:p>
      <w:pPr>
        <w:spacing w:after="0" w:line="240" w:lineRule="auto"/>
        <w:rPr>
          <w:rFonts w:ascii="黑体" w:hAnsi="黑体" w:cs="黑体" w:eastAsia="黑体" w:hint="default"/>
          <w:sz w:val="11"/>
          <w:szCs w:val="11"/>
        </w:rPr>
        <w:sectPr>
          <w:type w:val="continuous"/>
          <w:pgSz w:w="16840" w:h="11910" w:orient="landscape"/>
          <w:pgMar w:top="900" w:bottom="280" w:left="600" w:right="400"/>
        </w:sectPr>
      </w:pPr>
    </w:p>
    <w:p>
      <w:pPr>
        <w:spacing w:before="40"/>
        <w:ind w:left="137" w:right="-16" w:firstLine="0"/>
        <w:jc w:val="left"/>
        <w:rPr>
          <w:rFonts w:ascii="Arial" w:hAnsi="Arial" w:cs="Arial" w:eastAsia="Arial" w:hint="default"/>
          <w:sz w:val="18"/>
          <w:szCs w:val="18"/>
        </w:rPr>
      </w:pPr>
      <w:r>
        <w:rPr>
          <w:rFonts w:ascii="黑体" w:hAnsi="黑体" w:cs="黑体" w:eastAsia="黑体" w:hint="default"/>
          <w:sz w:val="18"/>
          <w:szCs w:val="18"/>
        </w:rPr>
        <w:t>用友</w:t>
      </w:r>
      <w:r>
        <w:rPr>
          <w:rFonts w:ascii="Arial" w:hAnsi="Arial" w:cs="Arial" w:eastAsia="Arial" w:hint="default"/>
          <w:sz w:val="18"/>
          <w:szCs w:val="18"/>
        </w:rPr>
        <w:t>(</w:t>
      </w:r>
      <w:r>
        <w:rPr>
          <w:rFonts w:ascii="黑体" w:hAnsi="黑体" w:cs="黑体" w:eastAsia="黑体" w:hint="default"/>
          <w:sz w:val="18"/>
          <w:szCs w:val="18"/>
        </w:rPr>
        <w:t>南昌</w:t>
      </w:r>
      <w:r>
        <w:rPr>
          <w:rFonts w:ascii="Arial" w:hAnsi="Arial" w:cs="Arial" w:eastAsia="Arial" w:hint="default"/>
          <w:sz w:val="18"/>
          <w:szCs w:val="18"/>
        </w:rPr>
        <w:t>)</w:t>
      </w:r>
      <w:r>
        <w:rPr>
          <w:rFonts w:ascii="黑体" w:hAnsi="黑体" w:cs="黑体" w:eastAsia="黑体" w:hint="default"/>
          <w:sz w:val="18"/>
          <w:szCs w:val="18"/>
        </w:rPr>
        <w:t>产业基地 </w:t>
      </w:r>
      <w:r>
        <w:rPr>
          <w:rFonts w:ascii="黑体" w:hAnsi="黑体" w:cs="黑体" w:eastAsia="黑体" w:hint="default"/>
          <w:position w:val="1"/>
          <w:sz w:val="18"/>
          <w:szCs w:val="18"/>
        </w:rPr>
        <w:t>有限责任 </w:t>
      </w:r>
      <w:r>
        <w:rPr>
          <w:rFonts w:ascii="黑体" w:hAnsi="黑体" w:cs="黑体" w:eastAsia="黑体" w:hint="default"/>
          <w:sz w:val="18"/>
          <w:szCs w:val="18"/>
        </w:rPr>
        <w:t>南昌市 郭新平 </w:t>
      </w:r>
      <w:r>
        <w:rPr>
          <w:rFonts w:ascii="黑体" w:hAnsi="黑体" w:cs="黑体" w:eastAsia="黑体" w:hint="default"/>
          <w:spacing w:val="18"/>
          <w:sz w:val="18"/>
          <w:szCs w:val="18"/>
        </w:rPr>
        <w:t>房地产业</w:t>
      </w:r>
      <w:r>
        <w:rPr>
          <w:rFonts w:ascii="黑体" w:hAnsi="黑体" w:cs="黑体" w:eastAsia="黑体" w:hint="default"/>
          <w:spacing w:val="-47"/>
          <w:sz w:val="18"/>
          <w:szCs w:val="18"/>
        </w:rPr>
        <w:t> </w:t>
      </w:r>
      <w:r>
        <w:rPr>
          <w:rFonts w:ascii="Arial" w:hAnsi="Arial" w:cs="Arial" w:eastAsia="Arial" w:hint="default"/>
          <w:sz w:val="18"/>
          <w:szCs w:val="18"/>
        </w:rPr>
        <w:t>/</w:t>
      </w:r>
    </w:p>
    <w:p>
      <w:pPr>
        <w:spacing w:before="50"/>
        <w:ind w:left="122" w:right="-3" w:firstLine="0"/>
        <w:jc w:val="left"/>
        <w:rPr>
          <w:rFonts w:ascii="黑体" w:hAnsi="黑体" w:cs="黑体" w:eastAsia="黑体" w:hint="default"/>
          <w:sz w:val="18"/>
          <w:szCs w:val="18"/>
        </w:rPr>
      </w:pPr>
      <w:r>
        <w:rPr/>
        <w:br w:type="column"/>
      </w:r>
      <w:r>
        <w:rPr>
          <w:rFonts w:ascii="Arial" w:hAnsi="Arial" w:cs="Arial" w:eastAsia="Arial" w:hint="default"/>
          <w:position w:val="1"/>
          <w:sz w:val="18"/>
          <w:szCs w:val="18"/>
        </w:rPr>
        <w:t>80,000,000</w:t>
      </w:r>
      <w:r>
        <w:rPr>
          <w:rFonts w:ascii="Arial" w:hAnsi="Arial" w:cs="Arial" w:eastAsia="Arial" w:hint="default"/>
          <w:spacing w:val="-3"/>
          <w:position w:val="1"/>
          <w:sz w:val="18"/>
          <w:szCs w:val="18"/>
        </w:rPr>
        <w:t> </w:t>
      </w:r>
      <w:r>
        <w:rPr>
          <w:rFonts w:ascii="黑体" w:hAnsi="黑体" w:cs="黑体" w:eastAsia="黑体" w:hint="default"/>
          <w:spacing w:val="4"/>
          <w:sz w:val="18"/>
          <w:szCs w:val="18"/>
        </w:rPr>
        <w:t>房地产开发、经营；实业投</w:t>
      </w:r>
      <w:r>
        <w:rPr>
          <w:rFonts w:ascii="黑体" w:hAnsi="黑体" w:cs="黑体" w:eastAsia="黑体" w:hint="default"/>
          <w:sz w:val="18"/>
          <w:szCs w:val="18"/>
        </w:rPr>
      </w:r>
    </w:p>
    <w:p>
      <w:pPr>
        <w:tabs>
          <w:tab w:pos="1323" w:val="left" w:leader="none"/>
          <w:tab w:pos="3154" w:val="left" w:leader="none"/>
          <w:tab w:pos="3482" w:val="left" w:leader="none"/>
          <w:tab w:pos="4191" w:val="left" w:leader="none"/>
          <w:tab w:pos="5161" w:val="left" w:leader="none"/>
          <w:tab w:pos="6133" w:val="left" w:leader="none"/>
          <w:tab w:pos="7551" w:val="left" w:leader="none"/>
        </w:tabs>
        <w:spacing w:before="50"/>
        <w:ind w:left="129"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69372542-5</w:t>
        <w:tab/>
        <w:t>80,000,000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w:t>
        <w:tab/>
      </w:r>
      <w:r>
        <w:rPr>
          <w:rFonts w:ascii="Arial" w:hAnsi="Arial" w:cs="Arial" w:eastAsia="Arial" w:hint="default"/>
          <w:position w:val="1"/>
          <w:sz w:val="18"/>
          <w:szCs w:val="18"/>
        </w:rPr>
        <w:t>-</w:t>
        <w:tab/>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00" w:right="400"/>
          <w:cols w:num="3" w:equalWidth="0">
            <w:col w:w="4747" w:space="40"/>
            <w:col w:w="3296" w:space="40"/>
            <w:col w:w="7717"/>
          </w:cols>
        </w:sectPr>
      </w:pPr>
    </w:p>
    <w:p>
      <w:pPr>
        <w:spacing w:line="232" w:lineRule="exact" w:before="10"/>
        <w:ind w:left="305" w:right="-17" w:firstLine="0"/>
        <w:jc w:val="left"/>
        <w:rPr>
          <w:rFonts w:ascii="黑体" w:hAnsi="黑体" w:cs="黑体" w:eastAsia="黑体" w:hint="default"/>
          <w:sz w:val="18"/>
          <w:szCs w:val="18"/>
        </w:rPr>
      </w:pPr>
      <w:r>
        <w:rPr>
          <w:rFonts w:ascii="黑体" w:hAnsi="黑体" w:cs="黑体" w:eastAsia="黑体" w:hint="default"/>
          <w:spacing w:val="-7"/>
          <w:sz w:val="18"/>
          <w:szCs w:val="18"/>
        </w:rPr>
        <w:t>发展有限公司（以</w:t>
      </w:r>
      <w:r>
        <w:rPr>
          <w:rFonts w:ascii="黑体" w:hAnsi="黑体" w:cs="黑体" w:eastAsia="黑体" w:hint="default"/>
          <w:spacing w:val="-28"/>
          <w:sz w:val="18"/>
          <w:szCs w:val="18"/>
        </w:rPr>
        <w:t> </w:t>
      </w:r>
      <w:r>
        <w:rPr>
          <w:rFonts w:ascii="黑体" w:hAnsi="黑体" w:cs="黑体" w:eastAsia="黑体" w:hint="default"/>
          <w:position w:val="1"/>
          <w:sz w:val="18"/>
          <w:szCs w:val="18"/>
        </w:rPr>
        <w:t>公司</w:t>
      </w:r>
      <w:r>
        <w:rPr>
          <w:rFonts w:ascii="黑体" w:hAnsi="黑体" w:cs="黑体" w:eastAsia="黑体" w:hint="default"/>
          <w:position w:val="1"/>
          <w:sz w:val="18"/>
          <w:szCs w:val="18"/>
        </w:rPr>
        <w:t> </w:t>
      </w:r>
      <w:r>
        <w:rPr>
          <w:rFonts w:ascii="黑体" w:hAnsi="黑体" w:cs="黑体" w:eastAsia="黑体" w:hint="default"/>
          <w:sz w:val="18"/>
          <w:szCs w:val="18"/>
        </w:rPr>
        <w:t>下简称</w:t>
      </w:r>
      <w:r>
        <w:rPr>
          <w:rFonts w:ascii="Arial" w:hAnsi="Arial" w:cs="Arial" w:eastAsia="Arial" w:hint="default"/>
          <w:sz w:val="18"/>
          <w:szCs w:val="18"/>
        </w:rPr>
        <w:t>“</w:t>
      </w:r>
      <w:r>
        <w:rPr>
          <w:rFonts w:ascii="黑体" w:hAnsi="黑体" w:cs="黑体" w:eastAsia="黑体" w:hint="default"/>
          <w:sz w:val="18"/>
          <w:szCs w:val="18"/>
        </w:rPr>
        <w:t>用友</w:t>
      </w:r>
      <w:r>
        <w:rPr>
          <w:rFonts w:ascii="Arial" w:hAnsi="Arial" w:cs="Arial" w:eastAsia="Arial" w:hint="default"/>
          <w:sz w:val="18"/>
          <w:szCs w:val="18"/>
        </w:rPr>
        <w:t>(</w:t>
      </w:r>
      <w:r>
        <w:rPr>
          <w:rFonts w:ascii="黑体" w:hAnsi="黑体" w:cs="黑体" w:eastAsia="黑体" w:hint="default"/>
          <w:sz w:val="18"/>
          <w:szCs w:val="18"/>
        </w:rPr>
        <w:t>南</w:t>
      </w:r>
    </w:p>
    <w:p>
      <w:pPr>
        <w:spacing w:line="226" w:lineRule="exact" w:before="0"/>
        <w:ind w:left="305" w:right="-17" w:firstLine="0"/>
        <w:jc w:val="left"/>
        <w:rPr>
          <w:rFonts w:ascii="黑体" w:hAnsi="黑体" w:cs="黑体" w:eastAsia="黑体" w:hint="default"/>
          <w:sz w:val="18"/>
          <w:szCs w:val="18"/>
        </w:rPr>
      </w:pPr>
      <w:r>
        <w:rPr>
          <w:rFonts w:ascii="黑体" w:hAnsi="黑体" w:cs="黑体" w:eastAsia="黑体" w:hint="default"/>
          <w:sz w:val="18"/>
          <w:szCs w:val="18"/>
        </w:rPr>
        <w:t>昌</w:t>
      </w:r>
      <w:r>
        <w:rPr>
          <w:rFonts w:ascii="Arial" w:hAnsi="Arial" w:cs="Arial" w:eastAsia="Arial" w:hint="default"/>
          <w:sz w:val="18"/>
          <w:szCs w:val="18"/>
        </w:rPr>
        <w:t>)”</w:t>
      </w:r>
      <w:r>
        <w:rPr>
          <w:rFonts w:ascii="黑体" w:hAnsi="黑体" w:cs="黑体" w:eastAsia="黑体" w:hint="default"/>
          <w:sz w:val="18"/>
          <w:szCs w:val="18"/>
        </w:rPr>
        <w:t>）（注</w:t>
      </w:r>
      <w:r>
        <w:rPr>
          <w:rFonts w:ascii="黑体" w:hAnsi="黑体" w:cs="黑体" w:eastAsia="黑体" w:hint="default"/>
          <w:spacing w:val="-47"/>
          <w:sz w:val="18"/>
          <w:szCs w:val="18"/>
        </w:rPr>
        <w:t> </w:t>
      </w:r>
      <w:r>
        <w:rPr>
          <w:rFonts w:ascii="Arial" w:hAnsi="Arial" w:cs="Arial" w:eastAsia="Arial" w:hint="default"/>
          <w:sz w:val="18"/>
          <w:szCs w:val="18"/>
        </w:rPr>
        <w:t>2</w:t>
      </w:r>
      <w:r>
        <w:rPr>
          <w:rFonts w:ascii="黑体" w:hAnsi="黑体" w:cs="黑体" w:eastAsia="黑体" w:hint="default"/>
          <w:sz w:val="18"/>
          <w:szCs w:val="18"/>
        </w:rPr>
        <w:t>）</w:t>
      </w:r>
    </w:p>
    <w:p>
      <w:pPr>
        <w:spacing w:line="235" w:lineRule="auto" w:before="0"/>
        <w:ind w:left="305" w:right="0" w:firstLine="0"/>
        <w:jc w:val="both"/>
        <w:rPr>
          <w:rFonts w:ascii="黑体" w:hAnsi="黑体" w:cs="黑体" w:eastAsia="黑体" w:hint="default"/>
          <w:sz w:val="18"/>
          <w:szCs w:val="18"/>
        </w:rPr>
      </w:pPr>
      <w:r>
        <w:rPr>
          <w:spacing w:val="36"/>
        </w:rPr>
        <w:br w:type="column"/>
      </w:r>
      <w:r>
        <w:rPr>
          <w:rFonts w:ascii="黑体" w:hAnsi="黑体" w:cs="黑体" w:eastAsia="黑体" w:hint="default"/>
          <w:spacing w:val="36"/>
          <w:sz w:val="18"/>
          <w:szCs w:val="18"/>
        </w:rPr>
        <w:t>金融投资</w:t>
      </w:r>
      <w:r>
        <w:rPr>
          <w:rFonts w:ascii="黑体" w:hAnsi="黑体" w:cs="黑体" w:eastAsia="黑体" w:hint="default"/>
          <w:spacing w:val="-88"/>
          <w:sz w:val="18"/>
          <w:szCs w:val="18"/>
        </w:rPr>
        <w:t> </w:t>
      </w:r>
      <w:r>
        <w:rPr>
          <w:rFonts w:ascii="黑体" w:hAnsi="黑体" w:cs="黑体" w:eastAsia="黑体" w:hint="default"/>
          <w:sz w:val="18"/>
          <w:szCs w:val="18"/>
        </w:rPr>
        <w:t>业</w:t>
      </w:r>
      <w:r>
        <w:rPr>
          <w:rFonts w:ascii="黑体" w:hAnsi="黑体" w:cs="黑体" w:eastAsia="黑体" w:hint="default"/>
          <w:spacing w:val="-67"/>
          <w:sz w:val="18"/>
          <w:szCs w:val="18"/>
        </w:rPr>
        <w:t> </w:t>
      </w:r>
      <w:r>
        <w:rPr>
          <w:rFonts w:ascii="Arial" w:hAnsi="Arial" w:cs="Arial" w:eastAsia="Arial" w:hint="default"/>
          <w:sz w:val="18"/>
          <w:szCs w:val="18"/>
        </w:rPr>
        <w:t>/</w:t>
      </w:r>
      <w:r>
        <w:rPr>
          <w:rFonts w:ascii="Arial" w:hAnsi="Arial" w:cs="Arial" w:eastAsia="Arial" w:hint="default"/>
          <w:spacing w:val="-26"/>
          <w:sz w:val="18"/>
          <w:szCs w:val="18"/>
        </w:rPr>
        <w:t> </w:t>
      </w:r>
      <w:r>
        <w:rPr>
          <w:rFonts w:ascii="黑体" w:hAnsi="黑体" w:cs="黑体" w:eastAsia="黑体" w:hint="default"/>
          <w:spacing w:val="16"/>
          <w:sz w:val="18"/>
          <w:szCs w:val="18"/>
        </w:rPr>
        <w:t>计算机</w:t>
      </w:r>
      <w:r>
        <w:rPr>
          <w:rFonts w:ascii="黑体" w:hAnsi="黑体" w:cs="黑体" w:eastAsia="黑体" w:hint="default"/>
          <w:spacing w:val="-66"/>
          <w:sz w:val="18"/>
          <w:szCs w:val="18"/>
        </w:rPr>
        <w:t> </w:t>
      </w:r>
      <w:r>
        <w:rPr>
          <w:rFonts w:ascii="黑体" w:hAnsi="黑体" w:cs="黑体" w:eastAsia="黑体" w:hint="default"/>
          <w:spacing w:val="-7"/>
          <w:sz w:val="18"/>
          <w:szCs w:val="18"/>
        </w:rPr>
        <w:t>软、硬件和</w:t>
      </w:r>
      <w:r>
        <w:rPr>
          <w:rFonts w:ascii="黑体" w:hAnsi="黑体" w:cs="黑体" w:eastAsia="黑体" w:hint="default"/>
          <w:spacing w:val="-88"/>
          <w:sz w:val="18"/>
          <w:szCs w:val="18"/>
        </w:rPr>
        <w:t> </w:t>
      </w:r>
      <w:r>
        <w:rPr>
          <w:rFonts w:ascii="黑体" w:hAnsi="黑体" w:cs="黑体" w:eastAsia="黑体" w:hint="default"/>
          <w:spacing w:val="-88"/>
          <w:sz w:val="18"/>
          <w:szCs w:val="18"/>
        </w:rPr>
      </w:r>
      <w:r>
        <w:rPr>
          <w:rFonts w:ascii="黑体" w:hAnsi="黑体" w:cs="黑体" w:eastAsia="黑体" w:hint="default"/>
          <w:spacing w:val="-7"/>
          <w:sz w:val="18"/>
          <w:szCs w:val="18"/>
        </w:rPr>
        <w:t>耗材、电子</w:t>
      </w:r>
      <w:r>
        <w:rPr>
          <w:rFonts w:ascii="黑体" w:hAnsi="黑体" w:cs="黑体" w:eastAsia="黑体" w:hint="default"/>
          <w:spacing w:val="-88"/>
          <w:sz w:val="18"/>
          <w:szCs w:val="18"/>
        </w:rPr>
        <w:t> </w:t>
      </w:r>
      <w:r>
        <w:rPr>
          <w:rFonts w:ascii="黑体" w:hAnsi="黑体" w:cs="黑体" w:eastAsia="黑体" w:hint="default"/>
          <w:spacing w:val="-88"/>
          <w:sz w:val="18"/>
          <w:szCs w:val="18"/>
        </w:rPr>
      </w:r>
      <w:r>
        <w:rPr>
          <w:rFonts w:ascii="黑体" w:hAnsi="黑体" w:cs="黑体" w:eastAsia="黑体" w:hint="default"/>
          <w:sz w:val="18"/>
          <w:szCs w:val="18"/>
        </w:rPr>
        <w:t>行业</w:t>
      </w:r>
    </w:p>
    <w:p>
      <w:pPr>
        <w:spacing w:line="232" w:lineRule="exact" w:before="10"/>
        <w:ind w:left="305" w:right="7748" w:firstLine="0"/>
        <w:jc w:val="left"/>
        <w:rPr>
          <w:rFonts w:ascii="黑体" w:hAnsi="黑体" w:cs="黑体" w:eastAsia="黑体" w:hint="default"/>
          <w:sz w:val="18"/>
          <w:szCs w:val="18"/>
        </w:rPr>
      </w:pPr>
      <w:r>
        <w:rPr>
          <w:spacing w:val="4"/>
        </w:rPr>
        <w:br w:type="column"/>
      </w:r>
      <w:r>
        <w:rPr>
          <w:rFonts w:ascii="黑体" w:hAnsi="黑体" w:cs="黑体" w:eastAsia="黑体" w:hint="default"/>
          <w:spacing w:val="4"/>
          <w:sz w:val="18"/>
          <w:szCs w:val="18"/>
        </w:rPr>
        <w:t>资（金融、期货、保险证券 除外）；自有房租赁；物业</w:t>
      </w:r>
      <w:r>
        <w:rPr>
          <w:rFonts w:ascii="黑体" w:hAnsi="黑体" w:cs="黑体" w:eastAsia="黑体" w:hint="default"/>
          <w:sz w:val="18"/>
          <w:szCs w:val="18"/>
        </w:rPr>
      </w:r>
    </w:p>
    <w:p>
      <w:pPr>
        <w:spacing w:line="232" w:lineRule="exact" w:before="2"/>
        <w:ind w:left="305" w:right="7748" w:firstLine="0"/>
        <w:jc w:val="left"/>
        <w:rPr>
          <w:rFonts w:ascii="黑体" w:hAnsi="黑体" w:cs="黑体" w:eastAsia="黑体" w:hint="default"/>
          <w:sz w:val="18"/>
          <w:szCs w:val="18"/>
        </w:rPr>
      </w:pPr>
      <w:r>
        <w:rPr>
          <w:rFonts w:ascii="黑体" w:hAnsi="黑体" w:cs="黑体" w:eastAsia="黑体" w:hint="default"/>
          <w:spacing w:val="4"/>
          <w:sz w:val="18"/>
          <w:szCs w:val="18"/>
        </w:rPr>
        <w:t>管理；电子计算机软件、硬 件及外部设备的技术开发、</w:t>
      </w:r>
      <w:r>
        <w:rPr>
          <w:rFonts w:ascii="黑体" w:hAnsi="黑体" w:cs="黑体" w:eastAsia="黑体" w:hint="default"/>
          <w:sz w:val="18"/>
          <w:szCs w:val="18"/>
        </w:rPr>
      </w:r>
    </w:p>
    <w:p>
      <w:pPr>
        <w:spacing w:line="212" w:lineRule="exact" w:before="0"/>
        <w:ind w:left="305" w:right="7668" w:firstLine="0"/>
        <w:jc w:val="left"/>
        <w:rPr>
          <w:rFonts w:ascii="黑体" w:hAnsi="黑体" w:cs="黑体" w:eastAsia="黑体" w:hint="default"/>
          <w:sz w:val="18"/>
          <w:szCs w:val="18"/>
        </w:rPr>
      </w:pPr>
      <w:r>
        <w:rPr>
          <w:rFonts w:ascii="黑体" w:hAnsi="黑体" w:cs="黑体" w:eastAsia="黑体" w:hint="default"/>
          <w:spacing w:val="4"/>
          <w:sz w:val="18"/>
          <w:szCs w:val="18"/>
        </w:rPr>
        <w:t>技术咨询、技术转让、技术</w:t>
      </w:r>
      <w:r>
        <w:rPr>
          <w:rFonts w:ascii="黑体" w:hAnsi="黑体" w:cs="黑体" w:eastAsia="黑体" w:hint="default"/>
          <w:sz w:val="18"/>
          <w:szCs w:val="18"/>
        </w:rPr>
      </w:r>
    </w:p>
    <w:p>
      <w:pPr>
        <w:spacing w:line="237" w:lineRule="auto" w:before="1"/>
        <w:ind w:left="305" w:right="7668" w:firstLine="0"/>
        <w:jc w:val="left"/>
        <w:rPr>
          <w:rFonts w:ascii="黑体" w:hAnsi="黑体" w:cs="黑体" w:eastAsia="黑体" w:hint="default"/>
          <w:sz w:val="18"/>
          <w:szCs w:val="18"/>
        </w:rPr>
      </w:pPr>
      <w:r>
        <w:rPr>
          <w:rFonts w:ascii="黑体" w:hAnsi="黑体" w:cs="黑体" w:eastAsia="黑体" w:hint="default"/>
          <w:spacing w:val="4"/>
          <w:sz w:val="18"/>
          <w:szCs w:val="18"/>
        </w:rPr>
        <w:t>服务、技术培训；企业管理 </w:t>
      </w:r>
      <w:r>
        <w:rPr>
          <w:rFonts w:ascii="黑体" w:hAnsi="黑体" w:cs="黑体" w:eastAsia="黑体" w:hint="default"/>
          <w:spacing w:val="-4"/>
          <w:sz w:val="18"/>
          <w:szCs w:val="18"/>
        </w:rPr>
        <w:t>咨询；数据库服务；打印纸、</w:t>
      </w:r>
      <w:r>
        <w:rPr>
          <w:rFonts w:ascii="黑体" w:hAnsi="黑体" w:cs="黑体" w:eastAsia="黑体" w:hint="default"/>
          <w:spacing w:val="-78"/>
          <w:sz w:val="18"/>
          <w:szCs w:val="18"/>
        </w:rPr>
        <w:t> </w:t>
      </w:r>
      <w:r>
        <w:rPr>
          <w:rFonts w:ascii="黑体" w:hAnsi="黑体" w:cs="黑体" w:eastAsia="黑体" w:hint="default"/>
          <w:spacing w:val="-78"/>
          <w:sz w:val="18"/>
          <w:szCs w:val="18"/>
        </w:rPr>
      </w:r>
      <w:r>
        <w:rPr>
          <w:rFonts w:ascii="黑体" w:hAnsi="黑体" w:cs="黑体" w:eastAsia="黑体" w:hint="default"/>
          <w:spacing w:val="4"/>
          <w:sz w:val="18"/>
          <w:szCs w:val="18"/>
        </w:rPr>
        <w:t>计算机耗材、电子计算机软</w:t>
      </w:r>
      <w:r>
        <w:rPr>
          <w:rFonts w:ascii="黑体" w:hAnsi="黑体" w:cs="黑体" w:eastAsia="黑体" w:hint="default"/>
          <w:spacing w:val="4"/>
          <w:sz w:val="18"/>
          <w:szCs w:val="18"/>
        </w:rPr>
        <w:t> 硬件及外部设备销售；系统 集成（以上项目国家有专项 规定的凭许可证、资质证或 </w:t>
      </w:r>
      <w:r>
        <w:rPr>
          <w:rFonts w:ascii="黑体" w:hAnsi="黑体" w:cs="黑体" w:eastAsia="黑体" w:hint="default"/>
          <w:sz w:val="18"/>
          <w:szCs w:val="18"/>
        </w:rPr>
        <w:t>其他批准文件经营）</w:t>
      </w:r>
    </w:p>
    <w:p>
      <w:pPr>
        <w:spacing w:after="0" w:line="237" w:lineRule="auto"/>
        <w:jc w:val="left"/>
        <w:rPr>
          <w:rFonts w:ascii="黑体" w:hAnsi="黑体" w:cs="黑体" w:eastAsia="黑体" w:hint="default"/>
          <w:sz w:val="18"/>
          <w:szCs w:val="18"/>
        </w:rPr>
        <w:sectPr>
          <w:type w:val="continuous"/>
          <w:pgSz w:w="16840" w:h="11910" w:orient="landscape"/>
          <w:pgMar w:top="900" w:bottom="280" w:left="600" w:right="400"/>
          <w:cols w:num="3" w:equalWidth="0">
            <w:col w:w="2115" w:space="1460"/>
            <w:col w:w="1223" w:space="761"/>
            <w:col w:w="10281"/>
          </w:cols>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7"/>
          <w:szCs w:val="17"/>
        </w:rPr>
      </w:pPr>
    </w:p>
    <w:p>
      <w:pPr>
        <w:tabs>
          <w:tab w:pos="582" w:val="left" w:leader="none"/>
        </w:tabs>
        <w:spacing w:line="424" w:lineRule="auto" w:before="38"/>
        <w:ind w:left="115" w:right="12636" w:firstLine="0"/>
        <w:jc w:val="left"/>
        <w:rPr>
          <w:rFonts w:ascii="黑体" w:hAnsi="黑体" w:cs="黑体" w:eastAsia="黑体" w:hint="default"/>
          <w:sz w:val="20"/>
          <w:szCs w:val="20"/>
        </w:rPr>
      </w:pPr>
      <w:r>
        <w:rPr>
          <w:rFonts w:ascii="黑体" w:hAnsi="黑体" w:cs="黑体" w:eastAsia="黑体" w:hint="default"/>
          <w:b/>
          <w:bCs/>
          <w:sz w:val="20"/>
          <w:szCs w:val="20"/>
        </w:rPr>
        <w:t>四、合并财务报表的合并范围</w:t>
      </w:r>
      <w:r>
        <w:rPr>
          <w:rFonts w:ascii="Arial" w:hAnsi="Arial" w:cs="Arial" w:eastAsia="Arial" w:hint="default"/>
          <w:b/>
          <w:bCs/>
          <w:sz w:val="20"/>
          <w:szCs w:val="20"/>
        </w:rPr>
        <w:t>(</w:t>
      </w:r>
      <w:r>
        <w:rPr>
          <w:rFonts w:ascii="黑体" w:hAnsi="黑体" w:cs="黑体" w:eastAsia="黑体" w:hint="default"/>
          <w:b/>
          <w:bCs/>
          <w:sz w:val="20"/>
          <w:szCs w:val="20"/>
        </w:rPr>
        <w:t>续</w:t>
      </w:r>
      <w:r>
        <w:rPr>
          <w:rFonts w:ascii="Arial" w:hAnsi="Arial" w:cs="Arial" w:eastAsia="Arial" w:hint="default"/>
          <w:b/>
          <w:bCs/>
          <w:sz w:val="20"/>
          <w:szCs w:val="20"/>
        </w:rPr>
        <w:t>)</w:t>
      </w:r>
      <w:r>
        <w:rPr>
          <w:rFonts w:ascii="Arial" w:hAnsi="Arial" w:cs="Arial" w:eastAsia="Arial" w:hint="default"/>
          <w:b/>
          <w:bCs/>
          <w:w w:val="100"/>
          <w:sz w:val="20"/>
          <w:szCs w:val="20"/>
        </w:rPr>
        <w:t> </w:t>
      </w:r>
      <w:r>
        <w:rPr>
          <w:rFonts w:ascii="Arial" w:hAnsi="Arial" w:cs="Arial" w:eastAsia="Arial" w:hint="default"/>
          <w:b/>
          <w:bCs/>
          <w:spacing w:val="-1"/>
          <w:sz w:val="20"/>
          <w:szCs w:val="20"/>
        </w:rPr>
        <w:t>1.</w:t>
        <w:tab/>
      </w:r>
      <w:r>
        <w:rPr>
          <w:rFonts w:ascii="黑体" w:hAnsi="黑体" w:cs="黑体" w:eastAsia="黑体" w:hint="default"/>
          <w:b/>
          <w:bCs/>
          <w:sz w:val="20"/>
          <w:szCs w:val="20"/>
        </w:rPr>
        <w:t>子公司情况（续）</w:t>
      </w:r>
      <w:r>
        <w:rPr>
          <w:rFonts w:ascii="黑体" w:hAnsi="黑体" w:cs="黑体" w:eastAsia="黑体" w:hint="default"/>
          <w:sz w:val="20"/>
          <w:szCs w:val="20"/>
        </w:rPr>
      </w:r>
    </w:p>
    <w:p>
      <w:pPr>
        <w:pStyle w:val="BodyText"/>
        <w:spacing w:line="240" w:lineRule="auto" w:before="41"/>
        <w:ind w:left="115" w:right="8432"/>
        <w:jc w:val="left"/>
      </w:pPr>
      <w:r>
        <w:rPr/>
        <w:t>本集团重要子公司的情况如下（续）：</w:t>
      </w:r>
    </w:p>
    <w:p>
      <w:pPr>
        <w:spacing w:line="240" w:lineRule="auto" w:before="6"/>
        <w:rPr>
          <w:rFonts w:ascii="黑体" w:hAnsi="黑体" w:cs="黑体" w:eastAsia="黑体" w:hint="default"/>
          <w:sz w:val="17"/>
          <w:szCs w:val="17"/>
        </w:rPr>
      </w:pPr>
    </w:p>
    <w:p>
      <w:pPr>
        <w:pStyle w:val="BodyText"/>
        <w:spacing w:line="240" w:lineRule="auto"/>
        <w:ind w:left="115" w:right="8432"/>
        <w:jc w:val="left"/>
      </w:pPr>
      <w:r>
        <w:rPr/>
        <w:t>非同一控制下企业合并取得的子公司</w:t>
      </w:r>
    </w:p>
    <w:p>
      <w:pPr>
        <w:tabs>
          <w:tab w:pos="4282" w:val="left" w:leader="none"/>
        </w:tabs>
        <w:spacing w:before="130"/>
        <w:ind w:left="0" w:right="148" w:firstLine="0"/>
        <w:jc w:val="right"/>
        <w:rPr>
          <w:rFonts w:ascii="黑体" w:hAnsi="黑体" w:cs="黑体" w:eastAsia="黑体" w:hint="default"/>
          <w:sz w:val="18"/>
          <w:szCs w:val="18"/>
        </w:rPr>
      </w:pPr>
      <w:r>
        <w:rPr>
          <w:rFonts w:ascii="黑体" w:hAnsi="黑体" w:cs="黑体" w:eastAsia="黑体" w:hint="default"/>
          <w:sz w:val="18"/>
          <w:szCs w:val="18"/>
        </w:rPr>
        <w:t>实质上构成</w:t>
        <w:tab/>
        <w:t>少数股东权益</w:t>
      </w:r>
    </w:p>
    <w:p>
      <w:pPr>
        <w:tabs>
          <w:tab w:pos="1714" w:val="left" w:leader="none"/>
          <w:tab w:pos="2494" w:val="left" w:leader="none"/>
          <w:tab w:pos="3131" w:val="left" w:leader="none"/>
          <w:tab w:pos="3738" w:val="left" w:leader="none"/>
          <w:tab w:pos="4919" w:val="left" w:leader="none"/>
          <w:tab w:pos="6434" w:val="left" w:leader="none"/>
          <w:tab w:pos="8239" w:val="left" w:leader="none"/>
          <w:tab w:pos="8599" w:val="left" w:leader="none"/>
          <w:tab w:pos="9373" w:val="left" w:leader="none"/>
          <w:tab w:pos="9553" w:val="left" w:leader="none"/>
          <w:tab w:pos="11292" w:val="left" w:leader="none"/>
          <w:tab w:pos="12001" w:val="left" w:leader="none"/>
          <w:tab w:pos="12853" w:val="left" w:leader="none"/>
          <w:tab w:pos="13485" w:val="left" w:leader="none"/>
          <w:tab w:pos="13845" w:val="left" w:leader="none"/>
          <w:tab w:pos="14469" w:val="left" w:leader="none"/>
        </w:tabs>
        <w:spacing w:line="280" w:lineRule="auto" w:before="38"/>
        <w:ind w:left="112" w:right="148" w:firstLine="1602"/>
        <w:jc w:val="right"/>
        <w:rPr>
          <w:rFonts w:ascii="黑体" w:hAnsi="黑体" w:cs="黑体" w:eastAsia="黑体" w:hint="default"/>
          <w:sz w:val="18"/>
          <w:szCs w:val="18"/>
        </w:rPr>
      </w:pPr>
      <w:r>
        <w:rPr>
          <w:rFonts w:ascii="黑体" w:hAnsi="黑体" w:cs="黑体" w:eastAsia="黑体" w:hint="default"/>
          <w:sz w:val="18"/>
          <w:szCs w:val="18"/>
        </w:rPr>
        <w:t>子公司</w:t>
        <w:tab/>
        <w:tab/>
        <w:t>法人</w:t>
        <w:tab/>
        <w:tab/>
        <w:tab/>
        <w:tab/>
        <w:t>组织机构</w:t>
        <w:tab/>
        <w:t>年末实际</w:t>
      </w:r>
      <w:r>
        <w:rPr>
          <w:rFonts w:ascii="黑体" w:hAnsi="黑体" w:cs="黑体" w:eastAsia="黑体" w:hint="default"/>
          <w:spacing w:val="2"/>
          <w:sz w:val="18"/>
          <w:szCs w:val="18"/>
        </w:rPr>
        <w:t> </w:t>
      </w:r>
      <w:r>
        <w:rPr>
          <w:rFonts w:ascii="黑体" w:hAnsi="黑体" w:cs="黑体" w:eastAsia="黑体" w:hint="default"/>
          <w:sz w:val="18"/>
          <w:szCs w:val="18"/>
        </w:rPr>
        <w:t>净投资的其</w:t>
        <w:tab/>
        <w:t>持股</w:t>
        <w:tab/>
        <w:t>表决</w:t>
        <w:tab/>
        <w:t>是否</w:t>
        <w:tab/>
        <w:t>少数股东</w:t>
      </w:r>
      <w:r>
        <w:rPr>
          <w:rFonts w:ascii="黑体" w:hAnsi="黑体" w:cs="黑体" w:eastAsia="黑体" w:hint="default"/>
          <w:spacing w:val="-6"/>
          <w:sz w:val="18"/>
          <w:szCs w:val="18"/>
        </w:rPr>
        <w:t> </w:t>
      </w:r>
      <w:r>
        <w:rPr>
          <w:rFonts w:ascii="黑体" w:hAnsi="黑体" w:cs="黑体" w:eastAsia="黑体" w:hint="default"/>
          <w:sz w:val="18"/>
          <w:szCs w:val="18"/>
        </w:rPr>
        <w:t>中用于冲减少数</w:t>
      </w:r>
      <w:r>
        <w:rPr>
          <w:rFonts w:ascii="黑体" w:hAnsi="黑体" w:cs="黑体" w:eastAsia="黑体" w:hint="default"/>
          <w:sz w:val="18"/>
          <w:szCs w:val="18"/>
        </w:rPr>
        <w:t> 被投资单位名称</w:t>
        <w:tab/>
        <w:t>类型</w:t>
        <w:tab/>
        <w:t>注册地</w:t>
      </w:r>
      <w:r>
        <w:rPr>
          <w:rFonts w:ascii="黑体" w:hAnsi="黑体" w:cs="黑体" w:eastAsia="黑体" w:hint="default"/>
          <w:spacing w:val="7"/>
          <w:sz w:val="18"/>
          <w:szCs w:val="18"/>
        </w:rPr>
        <w:t> </w:t>
      </w:r>
      <w:r>
        <w:rPr>
          <w:rFonts w:ascii="黑体" w:hAnsi="黑体" w:cs="黑体" w:eastAsia="黑体" w:hint="default"/>
          <w:sz w:val="18"/>
          <w:szCs w:val="18"/>
        </w:rPr>
        <w:t>代表</w:t>
        <w:tab/>
        <w:t>业务性质</w:t>
        <w:tab/>
        <w:t>注册资本</w:t>
        <w:tab/>
        <w:t>经营范围</w:t>
        <w:tab/>
        <w:tab/>
        <w:t>代码</w:t>
        <w:tab/>
        <w:tab/>
        <w:t>出资额</w:t>
      </w:r>
      <w:r>
        <w:rPr>
          <w:rFonts w:ascii="黑体" w:hAnsi="黑体" w:cs="黑体" w:eastAsia="黑体" w:hint="default"/>
          <w:spacing w:val="2"/>
          <w:sz w:val="18"/>
          <w:szCs w:val="18"/>
        </w:rPr>
        <w:t> </w:t>
      </w:r>
      <w:r>
        <w:rPr>
          <w:rFonts w:ascii="黑体" w:hAnsi="黑体" w:cs="黑体" w:eastAsia="黑体" w:hint="default"/>
          <w:sz w:val="18"/>
          <w:szCs w:val="18"/>
        </w:rPr>
        <w:t>他项目余额</w:t>
        <w:tab/>
        <w:t>比例  权比例</w:t>
      </w:r>
      <w:r>
        <w:rPr>
          <w:rFonts w:ascii="黑体" w:hAnsi="黑体" w:cs="黑体" w:eastAsia="黑体" w:hint="default"/>
          <w:spacing w:val="30"/>
          <w:sz w:val="18"/>
          <w:szCs w:val="18"/>
        </w:rPr>
        <w:t> </w:t>
      </w:r>
      <w:r>
        <w:rPr>
          <w:rFonts w:ascii="黑体" w:hAnsi="黑体" w:cs="黑体" w:eastAsia="黑体" w:hint="default"/>
          <w:sz w:val="18"/>
          <w:szCs w:val="18"/>
        </w:rPr>
        <w:t>合并报表</w:t>
        <w:tab/>
        <w:tab/>
        <w:t>权益</w:t>
        <w:tab/>
        <w:t>股东损益金额</w:t>
      </w:r>
    </w:p>
    <w:p>
      <w:pPr>
        <w:tabs>
          <w:tab w:pos="708" w:val="left" w:leader="none"/>
          <w:tab w:pos="3805" w:val="left" w:leader="none"/>
        </w:tabs>
        <w:spacing w:before="16"/>
        <w:ind w:left="0" w:right="120" w:firstLine="0"/>
        <w:jc w:val="right"/>
        <w:rPr>
          <w:rFonts w:ascii="Arial" w:hAnsi="Arial" w:cs="Arial" w:eastAsia="Arial" w:hint="default"/>
          <w:sz w:val="18"/>
          <w:szCs w:val="18"/>
        </w:rPr>
      </w:pPr>
      <w:r>
        <w:rPr>
          <w:rFonts w:ascii="Arial" w:hAnsi="Arial" w:cs="Arial" w:eastAsia="Arial" w:hint="default"/>
          <w:spacing w:val="-1"/>
          <w:sz w:val="18"/>
          <w:szCs w:val="18"/>
        </w:rPr>
        <w:t>(%)</w:t>
        <w:tab/>
        <w:t>(%)</w:t>
        <w:tab/>
        <w:t>(</w:t>
      </w:r>
      <w:r>
        <w:rPr>
          <w:rFonts w:ascii="黑体" w:hAnsi="黑体" w:cs="黑体" w:eastAsia="黑体" w:hint="default"/>
          <w:spacing w:val="-1"/>
          <w:sz w:val="18"/>
          <w:szCs w:val="18"/>
        </w:rPr>
        <w:t>注</w:t>
      </w:r>
      <w:r>
        <w:rPr>
          <w:rFonts w:ascii="Arial" w:hAnsi="Arial" w:cs="Arial" w:eastAsia="Arial" w:hint="default"/>
          <w:spacing w:val="-1"/>
          <w:sz w:val="18"/>
          <w:szCs w:val="18"/>
        </w:rPr>
        <w:t>8)</w:t>
      </w:r>
      <w:r>
        <w:rPr>
          <w:rFonts w:ascii="Arial" w:hAnsi="Arial" w:cs="Arial" w:eastAsia="Arial" w:hint="default"/>
          <w:sz w:val="18"/>
          <w:szCs w:val="18"/>
        </w:rPr>
      </w:r>
    </w:p>
    <w:p>
      <w:pPr>
        <w:spacing w:line="240" w:lineRule="auto" w:before="9"/>
        <w:rPr>
          <w:rFonts w:ascii="Arial" w:hAnsi="Arial" w:cs="Arial" w:eastAsia="Arial" w:hint="default"/>
          <w:sz w:val="12"/>
          <w:szCs w:val="12"/>
        </w:rPr>
      </w:pPr>
    </w:p>
    <w:p>
      <w:pPr>
        <w:spacing w:after="0" w:line="240" w:lineRule="auto"/>
        <w:rPr>
          <w:rFonts w:ascii="Arial" w:hAnsi="Arial" w:cs="Arial" w:eastAsia="Arial" w:hint="default"/>
          <w:sz w:val="12"/>
          <w:szCs w:val="12"/>
        </w:rPr>
        <w:sectPr>
          <w:pgSz w:w="16840" w:h="11910" w:orient="landscape"/>
          <w:pgMar w:header="958" w:footer="496" w:top="2380" w:bottom="680" w:left="640" w:right="500"/>
        </w:sectPr>
      </w:pPr>
    </w:p>
    <w:p>
      <w:pPr>
        <w:spacing w:before="50"/>
        <w:ind w:left="112" w:right="-20" w:firstLine="0"/>
        <w:jc w:val="left"/>
        <w:rPr>
          <w:rFonts w:ascii="黑体" w:hAnsi="黑体" w:cs="黑体" w:eastAsia="黑体" w:hint="default"/>
          <w:sz w:val="18"/>
          <w:szCs w:val="18"/>
        </w:rPr>
      </w:pPr>
      <w:r>
        <w:rPr>
          <w:rFonts w:ascii="黑体" w:hAnsi="黑体" w:cs="黑体" w:eastAsia="黑体" w:hint="default"/>
          <w:sz w:val="18"/>
          <w:szCs w:val="18"/>
        </w:rPr>
        <w:t>北京方正春元科技</w:t>
      </w:r>
    </w:p>
    <w:p>
      <w:pPr>
        <w:spacing w:before="40"/>
        <w:ind w:left="112" w:right="-19" w:firstLine="0"/>
        <w:jc w:val="left"/>
        <w:rPr>
          <w:rFonts w:ascii="黑体" w:hAnsi="黑体" w:cs="黑体" w:eastAsia="黑体" w:hint="default"/>
          <w:sz w:val="18"/>
          <w:szCs w:val="18"/>
        </w:rPr>
      </w:pPr>
      <w:r>
        <w:rPr/>
        <w:br w:type="column"/>
      </w:r>
      <w:r>
        <w:rPr>
          <w:rFonts w:ascii="黑体" w:hAnsi="黑体" w:cs="黑体" w:eastAsia="黑体" w:hint="default"/>
          <w:position w:val="1"/>
          <w:sz w:val="18"/>
          <w:szCs w:val="18"/>
        </w:rPr>
        <w:t>有限责任 </w:t>
      </w:r>
      <w:r>
        <w:rPr>
          <w:rFonts w:ascii="黑体" w:hAnsi="黑体" w:cs="黑体" w:eastAsia="黑体" w:hint="default"/>
          <w:sz w:val="18"/>
          <w:szCs w:val="18"/>
        </w:rPr>
        <w:t>北京市 吴政平</w:t>
      </w:r>
      <w:r>
        <w:rPr>
          <w:rFonts w:ascii="黑体" w:hAnsi="黑体" w:cs="黑体" w:eastAsia="黑体" w:hint="default"/>
          <w:spacing w:val="-47"/>
          <w:sz w:val="18"/>
          <w:szCs w:val="18"/>
        </w:rPr>
        <w:t> </w:t>
      </w:r>
      <w:r>
        <w:rPr>
          <w:rFonts w:ascii="黑体" w:hAnsi="黑体" w:cs="黑体" w:eastAsia="黑体" w:hint="default"/>
          <w:sz w:val="18"/>
          <w:szCs w:val="18"/>
        </w:rPr>
        <w:t>计算机软、</w:t>
      </w:r>
    </w:p>
    <w:p>
      <w:pPr>
        <w:tabs>
          <w:tab w:pos="6347" w:val="left" w:leader="none"/>
          <w:tab w:pos="6675" w:val="left" w:leader="none"/>
          <w:tab w:pos="7384" w:val="left" w:leader="none"/>
          <w:tab w:pos="8354" w:val="left" w:leader="none"/>
          <w:tab w:pos="10810" w:val="left" w:leader="none"/>
        </w:tabs>
        <w:spacing w:before="50"/>
        <w:ind w:left="60"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11,078,600</w:t>
      </w:r>
      <w:r>
        <w:rPr>
          <w:rFonts w:ascii="Arial" w:hAnsi="Arial" w:cs="Arial" w:eastAsia="Arial" w:hint="default"/>
          <w:spacing w:val="9"/>
          <w:position w:val="1"/>
          <w:sz w:val="18"/>
          <w:szCs w:val="18"/>
        </w:rPr>
        <w:t> </w:t>
      </w:r>
      <w:r>
        <w:rPr>
          <w:rFonts w:ascii="黑体" w:hAnsi="黑体" w:cs="黑体" w:eastAsia="黑体" w:hint="default"/>
          <w:spacing w:val="15"/>
          <w:sz w:val="18"/>
          <w:szCs w:val="18"/>
        </w:rPr>
        <w:t>计算机软</w:t>
      </w:r>
      <w:r>
        <w:rPr>
          <w:rFonts w:ascii="黑体" w:hAnsi="黑体" w:cs="黑体" w:eastAsia="黑体" w:hint="default"/>
          <w:spacing w:val="-67"/>
          <w:sz w:val="18"/>
          <w:szCs w:val="18"/>
        </w:rPr>
        <w:t> </w:t>
      </w:r>
      <w:r>
        <w:rPr>
          <w:rFonts w:ascii="黑体" w:hAnsi="黑体" w:cs="黑体" w:eastAsia="黑体" w:hint="default"/>
          <w:spacing w:val="10"/>
          <w:sz w:val="18"/>
          <w:szCs w:val="18"/>
        </w:rPr>
        <w:t>件技</w:t>
      </w:r>
      <w:r>
        <w:rPr>
          <w:rFonts w:ascii="黑体" w:hAnsi="黑体" w:cs="黑体" w:eastAsia="黑体" w:hint="default"/>
          <w:spacing w:val="-67"/>
          <w:sz w:val="18"/>
          <w:szCs w:val="18"/>
        </w:rPr>
        <w:t> </w:t>
      </w:r>
      <w:r>
        <w:rPr>
          <w:rFonts w:ascii="黑体" w:hAnsi="黑体" w:cs="黑体" w:eastAsia="黑体" w:hint="default"/>
          <w:spacing w:val="16"/>
          <w:sz w:val="18"/>
          <w:szCs w:val="18"/>
        </w:rPr>
        <w:t>术开发及销</w:t>
      </w:r>
      <w:r>
        <w:rPr>
          <w:rFonts w:ascii="黑体" w:hAnsi="黑体" w:cs="黑体" w:eastAsia="黑体" w:hint="default"/>
          <w:spacing w:val="20"/>
          <w:sz w:val="18"/>
          <w:szCs w:val="18"/>
        </w:rPr>
        <w:t> </w:t>
      </w:r>
      <w:r>
        <w:rPr>
          <w:rFonts w:ascii="Arial" w:hAnsi="Arial" w:cs="Arial" w:eastAsia="Arial" w:hint="default"/>
          <w:spacing w:val="-1"/>
          <w:position w:val="1"/>
          <w:sz w:val="18"/>
          <w:szCs w:val="18"/>
        </w:rPr>
        <w:t>80207108-9</w:t>
      </w:r>
      <w:r>
        <w:rPr>
          <w:rFonts w:ascii="Arial" w:hAnsi="Arial" w:cs="Arial" w:eastAsia="Arial" w:hint="default"/>
          <w:position w:val="1"/>
          <w:sz w:val="18"/>
          <w:szCs w:val="18"/>
        </w:rPr>
        <w:t> </w:t>
      </w:r>
      <w:r>
        <w:rPr>
          <w:rFonts w:ascii="Arial" w:hAnsi="Arial" w:cs="Arial" w:eastAsia="Arial" w:hint="default"/>
          <w:spacing w:val="41"/>
          <w:position w:val="1"/>
          <w:sz w:val="18"/>
          <w:szCs w:val="18"/>
        </w:rPr>
        <w:t> </w:t>
      </w:r>
      <w:r>
        <w:rPr>
          <w:rFonts w:ascii="Arial" w:hAnsi="Arial" w:cs="Arial" w:eastAsia="Arial" w:hint="default"/>
          <w:spacing w:val="-1"/>
          <w:position w:val="1"/>
          <w:sz w:val="18"/>
          <w:szCs w:val="18"/>
        </w:rPr>
        <w:t>381,680,000</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100</w:t>
        <w:tab/>
        <w:t>100</w:t>
        <w:tab/>
      </w:r>
      <w:r>
        <w:rPr>
          <w:rFonts w:ascii="黑体" w:hAnsi="黑体" w:cs="黑体" w:eastAsia="黑体" w:hint="default"/>
          <w:sz w:val="18"/>
          <w:szCs w:val="18"/>
        </w:rPr>
        <w:t>是 </w:t>
      </w:r>
      <w:r>
        <w:rPr>
          <w:rFonts w:ascii="黑体" w:hAnsi="黑体" w:cs="黑体" w:eastAsia="黑体" w:hint="default"/>
          <w:spacing w:val="13"/>
          <w:sz w:val="18"/>
          <w:szCs w:val="18"/>
        </w:rPr>
        <w:t> </w:t>
      </w:r>
      <w:r>
        <w:rPr>
          <w:rFonts w:ascii="Arial" w:hAnsi="Arial" w:cs="Arial" w:eastAsia="Arial" w:hint="default"/>
          <w:spacing w:val="-1"/>
          <w:position w:val="1"/>
          <w:sz w:val="18"/>
          <w:szCs w:val="18"/>
        </w:rPr>
        <w:t>1,061,715</w:t>
        <w:tab/>
      </w:r>
      <w:r>
        <w:rPr>
          <w:rFonts w:ascii="Arial" w:hAnsi="Arial" w:cs="Arial" w:eastAsia="Arial" w:hint="default"/>
          <w:position w:val="1"/>
          <w:sz w:val="18"/>
          <w:szCs w:val="18"/>
        </w:rPr>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40" w:right="500"/>
          <w:cols w:num="3" w:equalWidth="0">
            <w:col w:w="1553" w:space="49"/>
            <w:col w:w="3037" w:space="40"/>
            <w:col w:w="11021"/>
          </w:cols>
        </w:sectPr>
      </w:pPr>
    </w:p>
    <w:p>
      <w:pPr>
        <w:spacing w:line="225" w:lineRule="auto" w:before="0"/>
        <w:ind w:left="294" w:right="-19" w:firstLine="0"/>
        <w:jc w:val="left"/>
        <w:rPr>
          <w:rFonts w:ascii="黑体" w:hAnsi="黑体" w:cs="黑体" w:eastAsia="黑体" w:hint="default"/>
          <w:sz w:val="18"/>
          <w:szCs w:val="18"/>
        </w:rPr>
      </w:pPr>
      <w:r>
        <w:rPr>
          <w:rFonts w:ascii="黑体" w:hAnsi="黑体" w:cs="黑体" w:eastAsia="黑体" w:hint="default"/>
          <w:sz w:val="18"/>
          <w:szCs w:val="18"/>
        </w:rPr>
        <w:t>发展有限公司</w:t>
      </w:r>
      <w:r>
        <w:rPr>
          <w:rFonts w:ascii="Arial" w:hAnsi="Arial" w:cs="Arial" w:eastAsia="Arial" w:hint="default"/>
          <w:sz w:val="18"/>
          <w:szCs w:val="18"/>
        </w:rPr>
        <w:t>(</w:t>
      </w:r>
      <w:r>
        <w:rPr>
          <w:rFonts w:ascii="黑体" w:hAnsi="黑体" w:cs="黑体" w:eastAsia="黑体" w:hint="default"/>
          <w:sz w:val="18"/>
          <w:szCs w:val="18"/>
        </w:rPr>
        <w:t>以</w:t>
      </w:r>
      <w:r>
        <w:rPr>
          <w:rFonts w:ascii="黑体" w:hAnsi="黑体" w:cs="黑体" w:eastAsia="黑体" w:hint="default"/>
          <w:spacing w:val="9"/>
          <w:sz w:val="18"/>
          <w:szCs w:val="18"/>
        </w:rPr>
        <w:t> </w:t>
      </w:r>
      <w:r>
        <w:rPr>
          <w:rFonts w:ascii="黑体" w:hAnsi="黑体" w:cs="黑体" w:eastAsia="黑体" w:hint="default"/>
          <w:position w:val="1"/>
          <w:sz w:val="18"/>
          <w:szCs w:val="18"/>
        </w:rPr>
        <w:t>公司</w:t>
      </w:r>
      <w:r>
        <w:rPr>
          <w:rFonts w:ascii="黑体" w:hAnsi="黑体" w:cs="黑体" w:eastAsia="黑体" w:hint="default"/>
          <w:position w:val="1"/>
          <w:sz w:val="18"/>
          <w:szCs w:val="18"/>
        </w:rPr>
        <w:t> </w:t>
      </w:r>
      <w:r>
        <w:rPr>
          <w:rFonts w:ascii="黑体" w:hAnsi="黑体" w:cs="黑体" w:eastAsia="黑体" w:hint="default"/>
          <w:sz w:val="18"/>
          <w:szCs w:val="18"/>
        </w:rPr>
        <w:t>下简称</w:t>
      </w:r>
      <w:r>
        <w:rPr>
          <w:rFonts w:ascii="Arial" w:hAnsi="Arial" w:cs="Arial" w:eastAsia="Arial" w:hint="default"/>
          <w:sz w:val="18"/>
          <w:szCs w:val="18"/>
        </w:rPr>
        <w:t>“</w:t>
      </w:r>
      <w:r>
        <w:rPr>
          <w:rFonts w:ascii="黑体" w:hAnsi="黑体" w:cs="黑体" w:eastAsia="黑体" w:hint="default"/>
          <w:sz w:val="18"/>
          <w:szCs w:val="18"/>
        </w:rPr>
        <w:t>方正春 元</w:t>
      </w:r>
      <w:r>
        <w:rPr>
          <w:rFonts w:ascii="Arial" w:hAnsi="Arial" w:cs="Arial" w:eastAsia="Arial" w:hint="default"/>
          <w:sz w:val="18"/>
          <w:szCs w:val="18"/>
        </w:rPr>
        <w:t>”)</w:t>
      </w:r>
      <w:r>
        <w:rPr>
          <w:rFonts w:ascii="黑体" w:hAnsi="黑体" w:cs="黑体" w:eastAsia="黑体" w:hint="default"/>
          <w:sz w:val="18"/>
          <w:szCs w:val="18"/>
        </w:rPr>
        <w:t>（注</w:t>
      </w:r>
      <w:r>
        <w:rPr>
          <w:rFonts w:ascii="黑体" w:hAnsi="黑体" w:cs="黑体" w:eastAsia="黑体" w:hint="default"/>
          <w:spacing w:val="-48"/>
          <w:sz w:val="18"/>
          <w:szCs w:val="18"/>
        </w:rPr>
        <w:t> </w:t>
      </w:r>
      <w:r>
        <w:rPr>
          <w:rFonts w:ascii="Arial" w:hAnsi="Arial" w:cs="Arial" w:eastAsia="Arial" w:hint="default"/>
          <w:sz w:val="18"/>
          <w:szCs w:val="18"/>
        </w:rPr>
        <w:t>3</w:t>
      </w:r>
      <w:r>
        <w:rPr>
          <w:rFonts w:ascii="黑体" w:hAnsi="黑体" w:cs="黑体" w:eastAsia="黑体" w:hint="default"/>
          <w:sz w:val="18"/>
          <w:szCs w:val="18"/>
        </w:rPr>
        <w:t>）</w:t>
      </w:r>
    </w:p>
    <w:p>
      <w:pPr>
        <w:spacing w:line="234" w:lineRule="exact" w:before="17"/>
        <w:ind w:left="294" w:right="-19" w:firstLine="0"/>
        <w:jc w:val="left"/>
        <w:rPr>
          <w:rFonts w:ascii="黑体" w:hAnsi="黑体" w:cs="黑体" w:eastAsia="黑体" w:hint="default"/>
          <w:sz w:val="18"/>
          <w:szCs w:val="18"/>
        </w:rPr>
      </w:pPr>
      <w:r>
        <w:rPr/>
        <w:br w:type="column"/>
      </w:r>
      <w:r>
        <w:rPr>
          <w:rFonts w:ascii="黑体" w:hAnsi="黑体" w:cs="黑体" w:eastAsia="黑体" w:hint="default"/>
          <w:sz w:val="18"/>
          <w:szCs w:val="18"/>
        </w:rPr>
        <w:t>硬件</w:t>
      </w:r>
      <w:r>
        <w:rPr>
          <w:rFonts w:ascii="Arial" w:hAnsi="Arial" w:cs="Arial" w:eastAsia="Arial" w:hint="default"/>
          <w:sz w:val="18"/>
          <w:szCs w:val="18"/>
        </w:rPr>
        <w:t>/</w:t>
      </w:r>
      <w:r>
        <w:rPr>
          <w:rFonts w:ascii="黑体" w:hAnsi="黑体" w:cs="黑体" w:eastAsia="黑体" w:hint="default"/>
          <w:sz w:val="18"/>
          <w:szCs w:val="18"/>
        </w:rPr>
        <w:t>系统 集成行业</w:t>
      </w:r>
    </w:p>
    <w:p>
      <w:pPr>
        <w:spacing w:line="237" w:lineRule="auto" w:before="0"/>
        <w:ind w:left="294" w:right="0" w:firstLine="0"/>
        <w:jc w:val="both"/>
        <w:rPr>
          <w:rFonts w:ascii="黑体" w:hAnsi="黑体" w:cs="黑体" w:eastAsia="黑体" w:hint="default"/>
          <w:sz w:val="18"/>
          <w:szCs w:val="18"/>
        </w:rPr>
      </w:pPr>
      <w:r>
        <w:rPr>
          <w:spacing w:val="3"/>
        </w:rPr>
        <w:br w:type="column"/>
      </w:r>
      <w:r>
        <w:rPr>
          <w:rFonts w:ascii="黑体" w:hAnsi="黑体" w:cs="黑体" w:eastAsia="黑体" w:hint="default"/>
          <w:spacing w:val="3"/>
          <w:sz w:val="18"/>
          <w:szCs w:val="18"/>
        </w:rPr>
        <w:t>售，网络系统工程设计，技 术安装服务，技术咨询和技 </w:t>
      </w:r>
      <w:r>
        <w:rPr>
          <w:rFonts w:ascii="黑体" w:hAnsi="黑体" w:cs="黑体" w:eastAsia="黑体" w:hint="default"/>
          <w:sz w:val="18"/>
          <w:szCs w:val="18"/>
        </w:rPr>
        <w:t>术转让等。</w:t>
      </w:r>
    </w:p>
    <w:p>
      <w:pPr>
        <w:spacing w:line="216" w:lineRule="exact" w:before="0"/>
        <w:ind w:left="294" w:right="0" w:firstLine="0"/>
        <w:jc w:val="left"/>
        <w:rPr>
          <w:rFonts w:ascii="Arial" w:hAnsi="Arial" w:cs="Arial" w:eastAsia="Arial" w:hint="default"/>
          <w:sz w:val="18"/>
          <w:szCs w:val="18"/>
        </w:rPr>
      </w:pPr>
      <w:r>
        <w:rPr/>
        <w:br w:type="column"/>
      </w:r>
      <w:r>
        <w:rPr>
          <w:rFonts w:ascii="Arial" w:hAnsi="Arial" w:cs="Arial" w:eastAsia="Arial" w:hint="default"/>
          <w:sz w:val="18"/>
          <w:szCs w:val="18"/>
        </w:rPr>
        <w:t>(</w:t>
      </w:r>
      <w:r>
        <w:rPr>
          <w:rFonts w:ascii="黑体" w:hAnsi="黑体" w:cs="黑体" w:eastAsia="黑体" w:hint="default"/>
          <w:sz w:val="18"/>
          <w:szCs w:val="18"/>
        </w:rPr>
        <w:t>注</w:t>
      </w:r>
      <w:r>
        <w:rPr>
          <w:rFonts w:ascii="黑体" w:hAnsi="黑体" w:cs="黑体" w:eastAsia="黑体" w:hint="default"/>
          <w:spacing w:val="-49"/>
          <w:sz w:val="18"/>
          <w:szCs w:val="18"/>
        </w:rPr>
        <w:t> </w:t>
      </w:r>
      <w:r>
        <w:rPr>
          <w:rFonts w:ascii="Arial" w:hAnsi="Arial" w:cs="Arial" w:eastAsia="Arial" w:hint="default"/>
          <w:sz w:val="18"/>
          <w:szCs w:val="18"/>
        </w:rPr>
        <w:t>7)</w:t>
      </w:r>
    </w:p>
    <w:p>
      <w:pPr>
        <w:spacing w:after="0" w:line="216" w:lineRule="exact"/>
        <w:jc w:val="left"/>
        <w:rPr>
          <w:rFonts w:ascii="Arial" w:hAnsi="Arial" w:cs="Arial" w:eastAsia="Arial" w:hint="default"/>
          <w:sz w:val="18"/>
          <w:szCs w:val="18"/>
        </w:rPr>
        <w:sectPr>
          <w:type w:val="continuous"/>
          <w:pgSz w:w="16840" w:h="11910" w:orient="landscape"/>
          <w:pgMar w:top="900" w:bottom="280" w:left="640" w:right="500"/>
          <w:cols w:num="4" w:equalWidth="0">
            <w:col w:w="2075" w:space="1369"/>
            <w:col w:w="1066" w:space="892"/>
            <w:col w:w="2498" w:space="5567"/>
            <w:col w:w="2233"/>
          </w:cols>
        </w:sectPr>
      </w:pPr>
    </w:p>
    <w:p>
      <w:pPr>
        <w:spacing w:line="240" w:lineRule="auto" w:before="5"/>
        <w:rPr>
          <w:rFonts w:ascii="Arial" w:hAnsi="Arial" w:cs="Arial" w:eastAsia="Arial" w:hint="default"/>
          <w:sz w:val="18"/>
          <w:szCs w:val="18"/>
        </w:rPr>
      </w:pPr>
    </w:p>
    <w:p>
      <w:pPr>
        <w:spacing w:after="0" w:line="240" w:lineRule="auto"/>
        <w:rPr>
          <w:rFonts w:ascii="Arial" w:hAnsi="Arial" w:cs="Arial" w:eastAsia="Arial" w:hint="default"/>
          <w:sz w:val="18"/>
          <w:szCs w:val="18"/>
        </w:rPr>
        <w:sectPr>
          <w:type w:val="continuous"/>
          <w:pgSz w:w="16840" w:h="11910" w:orient="landscape"/>
          <w:pgMar w:top="900" w:bottom="280" w:left="640" w:right="500"/>
        </w:sectPr>
      </w:pPr>
    </w:p>
    <w:p>
      <w:pPr>
        <w:spacing w:before="50"/>
        <w:ind w:left="112" w:right="-20" w:firstLine="0"/>
        <w:jc w:val="left"/>
        <w:rPr>
          <w:rFonts w:ascii="黑体" w:hAnsi="黑体" w:cs="黑体" w:eastAsia="黑体" w:hint="default"/>
          <w:sz w:val="18"/>
          <w:szCs w:val="18"/>
        </w:rPr>
      </w:pPr>
      <w:r>
        <w:rPr>
          <w:rFonts w:ascii="黑体" w:hAnsi="黑体" w:cs="黑体" w:eastAsia="黑体" w:hint="default"/>
          <w:sz w:val="18"/>
          <w:szCs w:val="18"/>
        </w:rPr>
        <w:t>用友审计软件有限</w:t>
      </w:r>
    </w:p>
    <w:p>
      <w:pPr>
        <w:spacing w:before="40"/>
        <w:ind w:left="112" w:right="-19" w:firstLine="0"/>
        <w:jc w:val="left"/>
        <w:rPr>
          <w:rFonts w:ascii="黑体" w:hAnsi="黑体" w:cs="黑体" w:eastAsia="黑体" w:hint="default"/>
          <w:sz w:val="18"/>
          <w:szCs w:val="18"/>
        </w:rPr>
      </w:pPr>
      <w:r>
        <w:rPr/>
        <w:br w:type="column"/>
      </w:r>
      <w:r>
        <w:rPr>
          <w:rFonts w:ascii="黑体" w:hAnsi="黑体" w:cs="黑体" w:eastAsia="黑体" w:hint="default"/>
          <w:position w:val="1"/>
          <w:sz w:val="18"/>
          <w:szCs w:val="18"/>
        </w:rPr>
        <w:t>有限责任 </w:t>
      </w:r>
      <w:r>
        <w:rPr>
          <w:rFonts w:ascii="黑体" w:hAnsi="黑体" w:cs="黑体" w:eastAsia="黑体" w:hint="default"/>
          <w:sz w:val="18"/>
          <w:szCs w:val="18"/>
        </w:rPr>
        <w:t>北京市 郭新平</w:t>
      </w:r>
      <w:r>
        <w:rPr>
          <w:rFonts w:ascii="黑体" w:hAnsi="黑体" w:cs="黑体" w:eastAsia="黑体" w:hint="default"/>
          <w:spacing w:val="-47"/>
          <w:sz w:val="18"/>
          <w:szCs w:val="18"/>
        </w:rPr>
        <w:t> </w:t>
      </w:r>
      <w:r>
        <w:rPr>
          <w:rFonts w:ascii="黑体" w:hAnsi="黑体" w:cs="黑体" w:eastAsia="黑体" w:hint="default"/>
          <w:sz w:val="18"/>
          <w:szCs w:val="18"/>
        </w:rPr>
        <w:t>计算机软、</w:t>
      </w:r>
    </w:p>
    <w:p>
      <w:pPr>
        <w:tabs>
          <w:tab w:pos="4515" w:val="left" w:leader="none"/>
          <w:tab w:pos="6347" w:val="left" w:leader="none"/>
          <w:tab w:pos="6774" w:val="left" w:leader="none"/>
          <w:tab w:pos="7483" w:val="left" w:leader="none"/>
          <w:tab w:pos="8354" w:val="left" w:leader="none"/>
          <w:tab w:pos="10810" w:val="left" w:leader="none"/>
        </w:tabs>
        <w:spacing w:before="50"/>
        <w:ind w:left="60" w:right="0" w:firstLine="0"/>
        <w:jc w:val="left"/>
        <w:rPr>
          <w:rFonts w:ascii="Arial" w:hAnsi="Arial" w:cs="Arial" w:eastAsia="Arial" w:hint="default"/>
          <w:sz w:val="18"/>
          <w:szCs w:val="18"/>
        </w:rPr>
      </w:pPr>
      <w:r>
        <w:rPr>
          <w:spacing w:val="-1"/>
        </w:rPr>
        <w:br w:type="column"/>
      </w:r>
      <w:r>
        <w:rPr>
          <w:rFonts w:ascii="Arial" w:hAnsi="Arial" w:cs="Arial" w:eastAsia="Arial" w:hint="default"/>
          <w:spacing w:val="-1"/>
          <w:position w:val="1"/>
          <w:sz w:val="18"/>
          <w:szCs w:val="18"/>
        </w:rPr>
        <w:t>10,000,000</w:t>
      </w:r>
      <w:r>
        <w:rPr>
          <w:rFonts w:ascii="Arial" w:hAnsi="Arial" w:cs="Arial" w:eastAsia="Arial" w:hint="default"/>
          <w:spacing w:val="10"/>
          <w:position w:val="1"/>
          <w:sz w:val="18"/>
          <w:szCs w:val="18"/>
        </w:rPr>
        <w:t> </w:t>
      </w:r>
      <w:r>
        <w:rPr>
          <w:rFonts w:ascii="黑体" w:hAnsi="黑体" w:cs="黑体" w:eastAsia="黑体" w:hint="default"/>
          <w:spacing w:val="15"/>
          <w:sz w:val="18"/>
          <w:szCs w:val="18"/>
        </w:rPr>
        <w:t>计算机软</w:t>
      </w:r>
      <w:r>
        <w:rPr>
          <w:rFonts w:ascii="黑体" w:hAnsi="黑体" w:cs="黑体" w:eastAsia="黑体" w:hint="default"/>
          <w:spacing w:val="-67"/>
          <w:sz w:val="18"/>
          <w:szCs w:val="18"/>
        </w:rPr>
        <w:t> </w:t>
      </w:r>
      <w:r>
        <w:rPr>
          <w:rFonts w:ascii="黑体" w:hAnsi="黑体" w:cs="黑体" w:eastAsia="黑体" w:hint="default"/>
          <w:spacing w:val="10"/>
          <w:sz w:val="18"/>
          <w:szCs w:val="18"/>
        </w:rPr>
        <w:t>件技</w:t>
      </w:r>
      <w:r>
        <w:rPr>
          <w:rFonts w:ascii="黑体" w:hAnsi="黑体" w:cs="黑体" w:eastAsia="黑体" w:hint="default"/>
          <w:spacing w:val="-67"/>
          <w:sz w:val="18"/>
          <w:szCs w:val="18"/>
        </w:rPr>
        <w:t> </w:t>
      </w:r>
      <w:r>
        <w:rPr>
          <w:rFonts w:ascii="黑体" w:hAnsi="黑体" w:cs="黑体" w:eastAsia="黑体" w:hint="default"/>
          <w:spacing w:val="16"/>
          <w:sz w:val="18"/>
          <w:szCs w:val="18"/>
        </w:rPr>
        <w:t>术开发及销</w:t>
      </w:r>
      <w:r>
        <w:rPr>
          <w:rFonts w:ascii="黑体" w:hAnsi="黑体" w:cs="黑体" w:eastAsia="黑体" w:hint="default"/>
          <w:spacing w:val="22"/>
          <w:sz w:val="18"/>
          <w:szCs w:val="18"/>
        </w:rPr>
        <w:t> </w:t>
      </w:r>
      <w:r>
        <w:rPr>
          <w:rFonts w:ascii="Arial" w:hAnsi="Arial" w:cs="Arial" w:eastAsia="Arial" w:hint="default"/>
          <w:spacing w:val="-1"/>
          <w:position w:val="1"/>
          <w:sz w:val="18"/>
          <w:szCs w:val="18"/>
        </w:rPr>
        <w:t>78616762-9</w:t>
        <w:tab/>
        <w:t>13,685,542</w:t>
        <w:tab/>
      </w:r>
      <w:r>
        <w:rPr>
          <w:rFonts w:ascii="Arial" w:hAnsi="Arial" w:cs="Arial" w:eastAsia="Arial" w:hint="default"/>
          <w:position w:val="1"/>
          <w:sz w:val="18"/>
          <w:szCs w:val="18"/>
        </w:rPr>
        <w:t>-</w:t>
        <w:tab/>
      </w:r>
      <w:r>
        <w:rPr>
          <w:rFonts w:ascii="Arial" w:hAnsi="Arial" w:cs="Arial" w:eastAsia="Arial" w:hint="default"/>
          <w:spacing w:val="-1"/>
          <w:position w:val="1"/>
          <w:sz w:val="18"/>
          <w:szCs w:val="18"/>
        </w:rPr>
        <w:t>82</w:t>
        <w:tab/>
        <w:t>82</w:t>
        <w:tab/>
      </w:r>
      <w:r>
        <w:rPr>
          <w:rFonts w:ascii="黑体" w:hAnsi="黑体" w:cs="黑体" w:eastAsia="黑体" w:hint="default"/>
          <w:sz w:val="18"/>
          <w:szCs w:val="18"/>
        </w:rPr>
        <w:t>是 </w:t>
      </w:r>
      <w:r>
        <w:rPr>
          <w:rFonts w:ascii="黑体" w:hAnsi="黑体" w:cs="黑体" w:eastAsia="黑体" w:hint="default"/>
          <w:spacing w:val="13"/>
          <w:sz w:val="18"/>
          <w:szCs w:val="18"/>
        </w:rPr>
        <w:t> </w:t>
      </w:r>
      <w:r>
        <w:rPr>
          <w:rFonts w:ascii="Arial" w:hAnsi="Arial" w:cs="Arial" w:eastAsia="Arial" w:hint="default"/>
          <w:spacing w:val="-1"/>
          <w:position w:val="1"/>
          <w:sz w:val="18"/>
          <w:szCs w:val="18"/>
        </w:rPr>
        <w:t>3,241,232</w:t>
        <w:tab/>
      </w:r>
      <w:r>
        <w:rPr>
          <w:rFonts w:ascii="Arial" w:hAnsi="Arial" w:cs="Arial" w:eastAsia="Arial" w:hint="default"/>
          <w:position w:val="1"/>
          <w:sz w:val="18"/>
          <w:szCs w:val="18"/>
        </w:rPr>
        <w:t>-</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16840" w:h="11910" w:orient="landscape"/>
          <w:pgMar w:top="900" w:bottom="280" w:left="640" w:right="500"/>
          <w:cols w:num="3" w:equalWidth="0">
            <w:col w:w="1553" w:space="50"/>
            <w:col w:w="3037" w:space="40"/>
            <w:col w:w="11020"/>
          </w:cols>
        </w:sectPr>
      </w:pPr>
    </w:p>
    <w:p>
      <w:pPr>
        <w:spacing w:line="229" w:lineRule="exact" w:before="0"/>
        <w:ind w:left="294" w:right="-19" w:firstLine="0"/>
        <w:jc w:val="left"/>
        <w:rPr>
          <w:rFonts w:ascii="黑体" w:hAnsi="黑体" w:cs="黑体" w:eastAsia="黑体" w:hint="default"/>
          <w:sz w:val="18"/>
          <w:szCs w:val="18"/>
        </w:rPr>
      </w:pPr>
      <w:r>
        <w:rPr>
          <w:rFonts w:ascii="黑体" w:hAnsi="黑体" w:cs="黑体" w:eastAsia="黑体" w:hint="default"/>
          <w:sz w:val="18"/>
          <w:szCs w:val="18"/>
        </w:rPr>
        <w:t>公司（以下简称</w:t>
      </w:r>
      <w:r>
        <w:rPr>
          <w:rFonts w:ascii="黑体" w:hAnsi="黑体" w:cs="黑体" w:eastAsia="黑体" w:hint="default"/>
          <w:spacing w:val="69"/>
          <w:sz w:val="18"/>
          <w:szCs w:val="18"/>
        </w:rPr>
        <w:t> </w:t>
      </w:r>
      <w:r>
        <w:rPr>
          <w:rFonts w:ascii="黑体" w:hAnsi="黑体" w:cs="黑体" w:eastAsia="黑体" w:hint="default"/>
          <w:position w:val="1"/>
          <w:sz w:val="18"/>
          <w:szCs w:val="18"/>
        </w:rPr>
        <w:t>公司</w:t>
      </w:r>
      <w:r>
        <w:rPr>
          <w:rFonts w:ascii="黑体" w:hAnsi="黑体" w:cs="黑体" w:eastAsia="黑体" w:hint="default"/>
          <w:sz w:val="18"/>
          <w:szCs w:val="18"/>
        </w:rPr>
      </w:r>
    </w:p>
    <w:p>
      <w:pPr>
        <w:spacing w:line="240" w:lineRule="exact" w:before="0"/>
        <w:ind w:left="294" w:right="-19" w:firstLine="0"/>
        <w:jc w:val="left"/>
        <w:rPr>
          <w:rFonts w:ascii="黑体" w:hAnsi="黑体" w:cs="黑体" w:eastAsia="黑体" w:hint="default"/>
          <w:sz w:val="18"/>
          <w:szCs w:val="18"/>
        </w:rPr>
      </w:pPr>
      <w:r>
        <w:rPr>
          <w:rFonts w:ascii="Arial" w:hAnsi="Arial" w:cs="Arial" w:eastAsia="Arial" w:hint="default"/>
          <w:sz w:val="18"/>
          <w:szCs w:val="18"/>
        </w:rPr>
        <w:t>“</w:t>
      </w:r>
      <w:r>
        <w:rPr>
          <w:rFonts w:ascii="黑体" w:hAnsi="黑体" w:cs="黑体" w:eastAsia="黑体" w:hint="default"/>
          <w:sz w:val="18"/>
          <w:szCs w:val="18"/>
        </w:rPr>
        <w:t>用友审计</w:t>
      </w:r>
      <w:r>
        <w:rPr>
          <w:rFonts w:ascii="Arial" w:hAnsi="Arial" w:cs="Arial" w:eastAsia="Arial" w:hint="default"/>
          <w:sz w:val="18"/>
          <w:szCs w:val="18"/>
        </w:rPr>
        <w:t>”</w:t>
      </w:r>
      <w:r>
        <w:rPr>
          <w:rFonts w:ascii="黑体" w:hAnsi="黑体" w:cs="黑体" w:eastAsia="黑体" w:hint="default"/>
          <w:sz w:val="18"/>
          <w:szCs w:val="18"/>
        </w:rPr>
        <w:t>）</w:t>
      </w:r>
    </w:p>
    <w:p>
      <w:pPr>
        <w:spacing w:line="241" w:lineRule="exact" w:before="0"/>
        <w:ind w:left="201" w:right="-19" w:firstLine="0"/>
        <w:jc w:val="left"/>
        <w:rPr>
          <w:rFonts w:ascii="黑体" w:hAnsi="黑体" w:cs="黑体" w:eastAsia="黑体" w:hint="default"/>
          <w:sz w:val="18"/>
          <w:szCs w:val="18"/>
        </w:rPr>
      </w:pPr>
      <w:r>
        <w:rPr>
          <w:rFonts w:ascii="黑体" w:hAnsi="黑体" w:cs="黑体" w:eastAsia="黑体" w:hint="default"/>
          <w:sz w:val="18"/>
          <w:szCs w:val="18"/>
        </w:rPr>
        <w:t>（注</w:t>
      </w:r>
      <w:r>
        <w:rPr>
          <w:rFonts w:ascii="黑体" w:hAnsi="黑体" w:cs="黑体" w:eastAsia="黑体" w:hint="default"/>
          <w:spacing w:val="-48"/>
          <w:sz w:val="18"/>
          <w:szCs w:val="18"/>
        </w:rPr>
        <w:t> </w:t>
      </w:r>
      <w:r>
        <w:rPr>
          <w:rFonts w:ascii="Arial" w:hAnsi="Arial" w:cs="Arial" w:eastAsia="Arial" w:hint="default"/>
          <w:sz w:val="18"/>
          <w:szCs w:val="18"/>
        </w:rPr>
        <w:t>4</w:t>
      </w:r>
      <w:r>
        <w:rPr>
          <w:rFonts w:ascii="黑体" w:hAnsi="黑体" w:cs="黑体" w:eastAsia="黑体" w:hint="default"/>
          <w:sz w:val="18"/>
          <w:szCs w:val="18"/>
        </w:rPr>
        <w:t>）</w:t>
      </w:r>
    </w:p>
    <w:p>
      <w:pPr>
        <w:spacing w:line="234" w:lineRule="exact" w:before="17"/>
        <w:ind w:left="201" w:right="-19" w:firstLine="0"/>
        <w:jc w:val="left"/>
        <w:rPr>
          <w:rFonts w:ascii="黑体" w:hAnsi="黑体" w:cs="黑体" w:eastAsia="黑体" w:hint="default"/>
          <w:sz w:val="18"/>
          <w:szCs w:val="18"/>
        </w:rPr>
      </w:pPr>
      <w:r>
        <w:rPr/>
        <w:br w:type="column"/>
      </w:r>
      <w:r>
        <w:rPr>
          <w:rFonts w:ascii="黑体" w:hAnsi="黑体" w:cs="黑体" w:eastAsia="黑体" w:hint="default"/>
          <w:sz w:val="18"/>
          <w:szCs w:val="18"/>
        </w:rPr>
        <w:t>硬件</w:t>
      </w:r>
      <w:r>
        <w:rPr>
          <w:rFonts w:ascii="Arial" w:hAnsi="Arial" w:cs="Arial" w:eastAsia="Arial" w:hint="default"/>
          <w:sz w:val="18"/>
          <w:szCs w:val="18"/>
        </w:rPr>
        <w:t>/</w:t>
      </w:r>
      <w:r>
        <w:rPr>
          <w:rFonts w:ascii="黑体" w:hAnsi="黑体" w:cs="黑体" w:eastAsia="黑体" w:hint="default"/>
          <w:sz w:val="18"/>
          <w:szCs w:val="18"/>
        </w:rPr>
        <w:t>系统 集成行业</w:t>
      </w:r>
    </w:p>
    <w:p>
      <w:pPr>
        <w:spacing w:line="237" w:lineRule="auto" w:before="0"/>
        <w:ind w:left="201" w:right="7799" w:firstLine="0"/>
        <w:jc w:val="both"/>
        <w:rPr>
          <w:rFonts w:ascii="黑体" w:hAnsi="黑体" w:cs="黑体" w:eastAsia="黑体" w:hint="default"/>
          <w:sz w:val="18"/>
          <w:szCs w:val="18"/>
        </w:rPr>
      </w:pPr>
      <w:r>
        <w:rPr>
          <w:spacing w:val="3"/>
        </w:rPr>
        <w:br w:type="column"/>
      </w:r>
      <w:r>
        <w:rPr>
          <w:rFonts w:ascii="黑体" w:hAnsi="黑体" w:cs="黑体" w:eastAsia="黑体" w:hint="default"/>
          <w:spacing w:val="3"/>
          <w:sz w:val="18"/>
          <w:szCs w:val="18"/>
        </w:rPr>
        <w:t>售，网络系统工程设计，技 术安装服务，技术咨询和技 </w:t>
      </w:r>
      <w:r>
        <w:rPr>
          <w:rFonts w:ascii="黑体" w:hAnsi="黑体" w:cs="黑体" w:eastAsia="黑体" w:hint="default"/>
          <w:sz w:val="18"/>
          <w:szCs w:val="18"/>
        </w:rPr>
        <w:t>术转让等。</w:t>
      </w:r>
    </w:p>
    <w:p>
      <w:pPr>
        <w:spacing w:after="0" w:line="237" w:lineRule="auto"/>
        <w:jc w:val="both"/>
        <w:rPr>
          <w:rFonts w:ascii="黑体" w:hAnsi="黑体" w:cs="黑体" w:eastAsia="黑体" w:hint="default"/>
          <w:sz w:val="18"/>
          <w:szCs w:val="18"/>
        </w:rPr>
        <w:sectPr>
          <w:type w:val="continuous"/>
          <w:pgSz w:w="16840" w:h="11910" w:orient="landscape"/>
          <w:pgMar w:top="900" w:bottom="280" w:left="640" w:right="500"/>
          <w:cols w:num="3" w:equalWidth="0">
            <w:col w:w="2075" w:space="1462"/>
            <w:col w:w="973" w:space="984"/>
            <w:col w:w="10206"/>
          </w:cols>
        </w:sectPr>
      </w:pPr>
    </w:p>
    <w:p>
      <w:pPr>
        <w:spacing w:line="240" w:lineRule="auto" w:before="7"/>
        <w:rPr>
          <w:rFonts w:ascii="黑体" w:hAnsi="黑体" w:cs="黑体" w:eastAsia="黑体" w:hint="default"/>
          <w:sz w:val="25"/>
          <w:szCs w:val="25"/>
        </w:rPr>
      </w:pPr>
    </w:p>
    <w:p>
      <w:pPr>
        <w:tabs>
          <w:tab w:pos="823" w:val="left" w:leader="none"/>
        </w:tabs>
        <w:spacing w:before="38"/>
        <w:ind w:left="121" w:right="3538" w:firstLine="0"/>
        <w:jc w:val="left"/>
        <w:rPr>
          <w:rFonts w:ascii="黑体" w:hAnsi="黑体" w:cs="黑体" w:eastAsia="黑体" w:hint="default"/>
          <w:sz w:val="20"/>
          <w:szCs w:val="20"/>
        </w:rPr>
      </w:pPr>
      <w:r>
        <w:rPr>
          <w:rFonts w:ascii="黑体" w:hAnsi="黑体" w:cs="黑体" w:eastAsia="黑体" w:hint="default"/>
          <w:b/>
          <w:bCs/>
          <w:sz w:val="20"/>
          <w:szCs w:val="20"/>
        </w:rPr>
        <w:t>四、</w:t>
        <w:tab/>
        <w:t>合并财务报表的合并范围（续）</w:t>
      </w:r>
      <w:r>
        <w:rPr>
          <w:rFonts w:ascii="黑体" w:hAnsi="黑体" w:cs="黑体" w:eastAsia="黑体" w:hint="default"/>
          <w:sz w:val="20"/>
          <w:szCs w:val="20"/>
        </w:rPr>
      </w:r>
    </w:p>
    <w:p>
      <w:pPr>
        <w:spacing w:line="240" w:lineRule="auto" w:before="4"/>
        <w:rPr>
          <w:rFonts w:ascii="黑体" w:hAnsi="黑体" w:cs="黑体" w:eastAsia="黑体" w:hint="default"/>
          <w:b/>
          <w:bCs/>
          <w:sz w:val="17"/>
          <w:szCs w:val="17"/>
        </w:rPr>
      </w:pPr>
    </w:p>
    <w:p>
      <w:pPr>
        <w:pStyle w:val="BodyText"/>
        <w:tabs>
          <w:tab w:pos="810" w:val="left" w:leader="none"/>
        </w:tabs>
        <w:spacing w:line="513" w:lineRule="auto"/>
        <w:ind w:left="835" w:right="3538" w:hanging="715"/>
        <w:jc w:val="left"/>
      </w:pPr>
      <w:r>
        <w:rPr>
          <w:rFonts w:ascii="Arial" w:hAnsi="Arial" w:cs="Arial" w:eastAsia="Arial" w:hint="default"/>
          <w:b/>
          <w:bCs/>
          <w:spacing w:val="-1"/>
        </w:rPr>
        <w:t>1.</w:t>
        <w:tab/>
      </w:r>
      <w:r>
        <w:rPr>
          <w:rFonts w:ascii="黑体" w:hAnsi="黑体" w:cs="黑体" w:eastAsia="黑体" w:hint="default"/>
          <w:b/>
          <w:bCs/>
        </w:rPr>
        <w:t>子公司情况（续）</w:t>
      </w:r>
      <w:r>
        <w:rPr>
          <w:rFonts w:ascii="黑体" w:hAnsi="黑体" w:cs="黑体" w:eastAsia="黑体" w:hint="default"/>
          <w:b/>
          <w:bCs/>
          <w:w w:val="99"/>
        </w:rPr>
        <w:t> </w:t>
      </w:r>
      <w:r>
        <w:rPr>
          <w:spacing w:val="-1"/>
        </w:rPr>
        <w:t>注</w:t>
      </w:r>
      <w:r>
        <w:rPr>
          <w:rFonts w:ascii="Arial" w:hAnsi="Arial" w:cs="Arial" w:eastAsia="Arial" w:hint="default"/>
          <w:spacing w:val="-1"/>
        </w:rPr>
        <w:t>1</w:t>
      </w:r>
      <w:r>
        <w:rPr>
          <w:spacing w:val="-1"/>
        </w:rPr>
        <w:t>：本公司于</w:t>
      </w:r>
      <w:r>
        <w:rPr>
          <w:rFonts w:ascii="Arial" w:hAnsi="Arial" w:cs="Arial" w:eastAsia="Arial" w:hint="default"/>
          <w:spacing w:val="-1"/>
        </w:rPr>
        <w:t>2009</w:t>
      </w:r>
      <w:r>
        <w:rPr>
          <w:spacing w:val="-1"/>
        </w:rPr>
        <w:t>年</w:t>
      </w:r>
      <w:r>
        <w:rPr>
          <w:rFonts w:ascii="Arial" w:hAnsi="Arial" w:cs="Arial" w:eastAsia="Arial" w:hint="default"/>
          <w:spacing w:val="-1"/>
        </w:rPr>
        <w:t>9</w:t>
      </w:r>
      <w:r>
        <w:rPr>
          <w:spacing w:val="-1"/>
        </w:rPr>
        <w:t>月出资成立的全资子公司。</w:t>
      </w:r>
      <w:r>
        <w:rPr>
          <w:w w:val="100"/>
        </w:rPr>
        <w:t> </w:t>
      </w:r>
      <w:r>
        <w:rPr>
          <w:spacing w:val="-1"/>
        </w:rPr>
        <w:t>注</w:t>
      </w:r>
      <w:r>
        <w:rPr>
          <w:rFonts w:ascii="Arial" w:hAnsi="Arial" w:cs="Arial" w:eastAsia="Arial" w:hint="default"/>
          <w:spacing w:val="-1"/>
        </w:rPr>
        <w:t>2</w:t>
      </w:r>
      <w:r>
        <w:rPr>
          <w:spacing w:val="-1"/>
        </w:rPr>
        <w:t>：本公司于</w:t>
      </w:r>
      <w:r>
        <w:rPr>
          <w:rFonts w:ascii="Arial" w:hAnsi="Arial" w:cs="Arial" w:eastAsia="Arial" w:hint="default"/>
          <w:spacing w:val="-1"/>
        </w:rPr>
        <w:t>2009</w:t>
      </w:r>
      <w:r>
        <w:rPr>
          <w:spacing w:val="-1"/>
        </w:rPr>
        <w:t>年</w:t>
      </w:r>
      <w:r>
        <w:rPr>
          <w:rFonts w:ascii="Arial" w:hAnsi="Arial" w:cs="Arial" w:eastAsia="Arial" w:hint="default"/>
          <w:spacing w:val="-1"/>
        </w:rPr>
        <w:t>8</w:t>
      </w:r>
      <w:r>
        <w:rPr>
          <w:spacing w:val="-1"/>
        </w:rPr>
        <w:t>月出资成立的全资子公司。</w:t>
      </w:r>
    </w:p>
    <w:p>
      <w:pPr>
        <w:pStyle w:val="BodyText"/>
        <w:spacing w:line="240" w:lineRule="auto" w:before="69"/>
        <w:ind w:left="836" w:right="0"/>
        <w:jc w:val="left"/>
      </w:pPr>
      <w:r>
        <w:rPr/>
        <w:t>注</w:t>
      </w:r>
      <w:r>
        <w:rPr>
          <w:rFonts w:ascii="Arial" w:hAnsi="Arial" w:cs="Arial" w:eastAsia="Arial" w:hint="default"/>
        </w:rPr>
        <w:t>3</w:t>
      </w:r>
      <w:r>
        <w:rPr/>
        <w:t>：本公司于</w:t>
      </w:r>
      <w:r>
        <w:rPr>
          <w:rFonts w:ascii="Arial" w:hAnsi="Arial" w:cs="Arial" w:eastAsia="Arial" w:hint="default"/>
        </w:rPr>
        <w:t>2009</w:t>
      </w:r>
      <w:r>
        <w:rPr/>
        <w:t>年</w:t>
      </w:r>
      <w:r>
        <w:rPr>
          <w:rFonts w:ascii="Arial" w:hAnsi="Arial" w:cs="Arial" w:eastAsia="Arial" w:hint="default"/>
        </w:rPr>
        <w:t>11</w:t>
      </w:r>
      <w:r>
        <w:rPr/>
        <w:t>月收购方正春元</w:t>
      </w:r>
      <w:r>
        <w:rPr>
          <w:rFonts w:ascii="Arial" w:hAnsi="Arial" w:cs="Arial" w:eastAsia="Arial" w:hint="default"/>
        </w:rPr>
        <w:t>15%</w:t>
      </w:r>
      <w:r>
        <w:rPr/>
        <w:t>的股份使其成为本公司的全资子公司。</w:t>
      </w:r>
    </w:p>
    <w:p>
      <w:pPr>
        <w:spacing w:line="240" w:lineRule="auto" w:before="10"/>
        <w:rPr>
          <w:rFonts w:ascii="黑体" w:hAnsi="黑体" w:cs="黑体" w:eastAsia="黑体" w:hint="default"/>
          <w:sz w:val="24"/>
          <w:szCs w:val="24"/>
        </w:rPr>
      </w:pPr>
    </w:p>
    <w:p>
      <w:pPr>
        <w:pStyle w:val="BodyText"/>
        <w:spacing w:line="261" w:lineRule="auto"/>
        <w:ind w:left="1325" w:right="181" w:hanging="489"/>
        <w:jc w:val="both"/>
      </w:pPr>
      <w:r>
        <w:rPr>
          <w:spacing w:val="-3"/>
        </w:rPr>
        <w:t>注</w:t>
      </w:r>
      <w:r>
        <w:rPr>
          <w:rFonts w:ascii="Arial" w:hAnsi="Arial" w:cs="Arial" w:eastAsia="Arial" w:hint="default"/>
          <w:spacing w:val="-3"/>
        </w:rPr>
        <w:t>4</w:t>
      </w:r>
      <w:r>
        <w:rPr>
          <w:spacing w:val="-3"/>
        </w:rPr>
        <w:t>：本公司于</w:t>
      </w:r>
      <w:r>
        <w:rPr>
          <w:rFonts w:ascii="Arial" w:hAnsi="Arial" w:cs="Arial" w:eastAsia="Arial" w:hint="default"/>
          <w:spacing w:val="-3"/>
        </w:rPr>
        <w:t>2009</w:t>
      </w:r>
      <w:r>
        <w:rPr>
          <w:spacing w:val="-3"/>
        </w:rPr>
        <w:t>年</w:t>
      </w:r>
      <w:r>
        <w:rPr>
          <w:rFonts w:ascii="Arial" w:hAnsi="Arial" w:cs="Arial" w:eastAsia="Arial" w:hint="default"/>
          <w:spacing w:val="-3"/>
        </w:rPr>
        <w:t>4</w:t>
      </w:r>
      <w:r>
        <w:rPr>
          <w:spacing w:val="-3"/>
        </w:rPr>
        <w:t>月收购用友审计原自然人股东</w:t>
      </w:r>
      <w:r>
        <w:rPr>
          <w:rFonts w:ascii="Arial" w:hAnsi="Arial" w:cs="Arial" w:eastAsia="Arial" w:hint="default"/>
          <w:spacing w:val="-3"/>
        </w:rPr>
        <w:t>17%</w:t>
      </w:r>
      <w:r>
        <w:rPr>
          <w:spacing w:val="-3"/>
        </w:rPr>
        <w:t>的股份，从而本公司对用友审计</w:t>
      </w:r>
      <w:r>
        <w:rPr>
          <w:spacing w:val="-60"/>
        </w:rPr>
        <w:t> </w:t>
      </w:r>
      <w:r>
        <w:rPr>
          <w:spacing w:val="-60"/>
        </w:rPr>
      </w:r>
      <w:r>
        <w:rPr>
          <w:spacing w:val="-1"/>
        </w:rPr>
        <w:t>的持股比例从</w:t>
      </w:r>
      <w:r>
        <w:rPr>
          <w:rFonts w:ascii="Arial" w:hAnsi="Arial" w:cs="Arial" w:eastAsia="Arial" w:hint="default"/>
          <w:spacing w:val="-1"/>
        </w:rPr>
        <w:t>33.2%</w:t>
      </w:r>
      <w:r>
        <w:rPr>
          <w:spacing w:val="-1"/>
        </w:rPr>
        <w:t>上升至</w:t>
      </w:r>
      <w:r>
        <w:rPr>
          <w:rFonts w:ascii="Arial" w:hAnsi="Arial" w:cs="Arial" w:eastAsia="Arial" w:hint="default"/>
          <w:spacing w:val="-1"/>
        </w:rPr>
        <w:t>50.2%</w:t>
      </w:r>
      <w:r>
        <w:rPr>
          <w:spacing w:val="-1"/>
        </w:rPr>
        <w:t>，使得用友审计从本公司的联营企业变为子公司；</w:t>
      </w:r>
      <w:r>
        <w:rPr>
          <w:w w:val="100"/>
        </w:rPr>
        <w:t> </w:t>
      </w:r>
      <w:r>
        <w:rPr/>
        <w:t>后本公司又于</w:t>
      </w:r>
      <w:r>
        <w:rPr>
          <w:rFonts w:ascii="Arial" w:hAnsi="Arial" w:cs="Arial" w:eastAsia="Arial" w:hint="default"/>
        </w:rPr>
        <w:t>2009</w:t>
      </w:r>
      <w:r>
        <w:rPr/>
        <w:t>年</w:t>
      </w:r>
      <w:r>
        <w:rPr>
          <w:rFonts w:ascii="Arial" w:hAnsi="Arial" w:cs="Arial" w:eastAsia="Arial" w:hint="default"/>
        </w:rPr>
        <w:t>7</w:t>
      </w:r>
      <w:r>
        <w:rPr/>
        <w:t>月</w:t>
      </w:r>
      <w:r>
        <w:rPr>
          <w:rFonts w:ascii="Arial" w:hAnsi="Arial" w:cs="Arial" w:eastAsia="Arial" w:hint="default"/>
        </w:rPr>
        <w:t>11</w:t>
      </w:r>
      <w:r>
        <w:rPr/>
        <w:t>日对其增资，使得持股比例从</w:t>
      </w:r>
      <w:r>
        <w:rPr>
          <w:rFonts w:ascii="Arial" w:hAnsi="Arial" w:cs="Arial" w:eastAsia="Arial" w:hint="default"/>
        </w:rPr>
        <w:t>50.2%</w:t>
      </w:r>
      <w:r>
        <w:rPr/>
        <w:t>上升至</w:t>
      </w:r>
      <w:r>
        <w:rPr>
          <w:rFonts w:ascii="Arial" w:hAnsi="Arial" w:cs="Arial" w:eastAsia="Arial" w:hint="default"/>
        </w:rPr>
        <w:t>82%</w:t>
      </w:r>
      <w:r>
        <w:rPr/>
        <w:t>。</w:t>
      </w:r>
    </w:p>
    <w:p>
      <w:pPr>
        <w:pStyle w:val="BodyText"/>
        <w:spacing w:line="600" w:lineRule="exact" w:before="57"/>
        <w:ind w:left="835" w:right="0"/>
        <w:jc w:val="left"/>
      </w:pPr>
      <w:r>
        <w:rPr/>
        <w:t>注</w:t>
      </w:r>
      <w:r>
        <w:rPr>
          <w:rFonts w:ascii="Arial" w:hAnsi="Arial" w:cs="Arial" w:eastAsia="Arial" w:hint="default"/>
        </w:rPr>
        <w:t>5</w:t>
      </w:r>
      <w:r>
        <w:rPr/>
        <w:t>：原名为深圳市用友科技软件有限公司，</w:t>
      </w:r>
      <w:r>
        <w:rPr>
          <w:rFonts w:ascii="Arial" w:hAnsi="Arial" w:cs="Arial" w:eastAsia="Arial" w:hint="default"/>
        </w:rPr>
        <w:t>2009</w:t>
      </w:r>
      <w:r>
        <w:rPr/>
        <w:t>年更名为深圳市灏麓梵科技有限公司。</w:t>
      </w:r>
      <w:r>
        <w:rPr>
          <w:w w:val="100"/>
        </w:rPr>
        <w:t> </w:t>
      </w:r>
      <w:r>
        <w:rPr/>
        <w:t>注</w:t>
      </w:r>
      <w:r>
        <w:rPr>
          <w:rFonts w:ascii="Arial" w:hAnsi="Arial" w:cs="Arial" w:eastAsia="Arial" w:hint="default"/>
        </w:rPr>
        <w:t>6</w:t>
      </w:r>
      <w:r>
        <w:rPr/>
        <w:t>：此少数股东权益为武汉用友之少数股东所分担武汉用友之累计亏损超过少数股东在</w:t>
      </w:r>
    </w:p>
    <w:p>
      <w:pPr>
        <w:pStyle w:val="BodyText"/>
        <w:spacing w:line="208" w:lineRule="exact"/>
        <w:ind w:left="1325" w:right="0"/>
        <w:jc w:val="left"/>
      </w:pPr>
      <w:r>
        <w:rPr/>
        <w:t>武汉用友其他所有者权益中所享有份额后的余额。</w:t>
      </w:r>
    </w:p>
    <w:p>
      <w:pPr>
        <w:pStyle w:val="BodyText"/>
        <w:spacing w:line="530" w:lineRule="atLeast" w:before="84"/>
        <w:ind w:left="835" w:right="0"/>
        <w:jc w:val="left"/>
      </w:pPr>
      <w:r>
        <w:rPr/>
        <w:t>注</w:t>
      </w:r>
      <w:r>
        <w:rPr>
          <w:rFonts w:ascii="Arial" w:hAnsi="Arial" w:cs="Arial" w:eastAsia="Arial" w:hint="default"/>
        </w:rPr>
        <w:t>7</w:t>
      </w:r>
      <w:r>
        <w:rPr/>
        <w:t>：此少数股东权益为方正春元之子公司的少数股东所享有之权益。</w:t>
      </w:r>
      <w:r>
        <w:rPr>
          <w:w w:val="100"/>
        </w:rPr>
        <w:t> </w:t>
      </w:r>
      <w:r>
        <w:rPr/>
        <w:t>注</w:t>
      </w:r>
      <w:r>
        <w:rPr>
          <w:rFonts w:ascii="Arial" w:hAnsi="Arial" w:cs="Arial" w:eastAsia="Arial" w:hint="default"/>
        </w:rPr>
        <w:t>8</w:t>
      </w:r>
      <w:r>
        <w:rPr/>
        <w:t>：除特别注明外，从本公司股东权益冲减子公司少数股东分担的本年度亏损超过少数</w:t>
      </w:r>
    </w:p>
    <w:p>
      <w:pPr>
        <w:pStyle w:val="BodyText"/>
        <w:spacing w:line="240" w:lineRule="auto" w:before="24"/>
        <w:ind w:left="1325" w:right="0"/>
        <w:jc w:val="left"/>
      </w:pPr>
      <w:r>
        <w:rPr/>
        <w:t>股东在该子公司年初所有者权益中所享有分额后的余额为零。</w:t>
      </w:r>
    </w:p>
    <w:p>
      <w:pPr>
        <w:spacing w:line="240" w:lineRule="auto" w:before="13"/>
        <w:rPr>
          <w:rFonts w:ascii="黑体" w:hAnsi="黑体" w:cs="黑体" w:eastAsia="黑体" w:hint="default"/>
          <w:sz w:val="18"/>
          <w:szCs w:val="18"/>
        </w:rPr>
      </w:pPr>
    </w:p>
    <w:p>
      <w:pPr>
        <w:tabs>
          <w:tab w:pos="841" w:val="left" w:leader="none"/>
        </w:tabs>
        <w:spacing w:before="0"/>
        <w:ind w:left="121" w:right="3538" w:firstLine="0"/>
        <w:jc w:val="left"/>
        <w:rPr>
          <w:rFonts w:ascii="黑体" w:hAnsi="黑体" w:cs="黑体" w:eastAsia="黑体" w:hint="default"/>
          <w:sz w:val="20"/>
          <w:szCs w:val="20"/>
        </w:rPr>
      </w:pPr>
      <w:r>
        <w:rPr>
          <w:rFonts w:ascii="Arial" w:hAnsi="Arial" w:cs="Arial" w:eastAsia="Arial" w:hint="default"/>
          <w:b/>
          <w:bCs/>
          <w:spacing w:val="-1"/>
          <w:sz w:val="20"/>
          <w:szCs w:val="20"/>
        </w:rPr>
        <w:t>2.</w:t>
        <w:tab/>
      </w:r>
      <w:r>
        <w:rPr>
          <w:rFonts w:ascii="黑体" w:hAnsi="黑体" w:cs="黑体" w:eastAsia="黑体" w:hint="default"/>
          <w:b/>
          <w:bCs/>
          <w:sz w:val="20"/>
          <w:szCs w:val="20"/>
        </w:rPr>
        <w:t>合并范围变更</w:t>
      </w:r>
      <w:r>
        <w:rPr>
          <w:rFonts w:ascii="黑体" w:hAnsi="黑体" w:cs="黑体" w:eastAsia="黑体" w:hint="default"/>
          <w:sz w:val="20"/>
          <w:szCs w:val="20"/>
        </w:rPr>
      </w:r>
    </w:p>
    <w:p>
      <w:pPr>
        <w:spacing w:line="240" w:lineRule="auto" w:before="3"/>
        <w:rPr>
          <w:rFonts w:ascii="黑体" w:hAnsi="黑体" w:cs="黑体" w:eastAsia="黑体" w:hint="default"/>
          <w:b/>
          <w:bCs/>
          <w:sz w:val="23"/>
          <w:szCs w:val="23"/>
        </w:rPr>
      </w:pPr>
    </w:p>
    <w:p>
      <w:pPr>
        <w:pStyle w:val="BodyText"/>
        <w:spacing w:line="261" w:lineRule="auto"/>
        <w:ind w:left="835" w:right="0"/>
        <w:jc w:val="left"/>
      </w:pPr>
      <w:r>
        <w:rPr/>
        <w:t>除本年新设立的子公司，以及附注四、</w:t>
      </w:r>
      <w:r>
        <w:rPr>
          <w:rFonts w:ascii="Arial" w:hAnsi="Arial" w:cs="Arial" w:eastAsia="Arial" w:hint="default"/>
        </w:rPr>
        <w:t>1</w:t>
      </w:r>
      <w:r>
        <w:rPr/>
        <w:t>中的注释说明外，合并财务报表范围与上年度一</w:t>
      </w:r>
      <w:r>
        <w:rPr>
          <w:spacing w:val="-31"/>
        </w:rPr>
        <w:t> </w:t>
      </w:r>
      <w:r>
        <w:rPr>
          <w:spacing w:val="-31"/>
        </w:rPr>
      </w:r>
      <w:r>
        <w:rPr/>
        <w:t>致。</w:t>
      </w:r>
    </w:p>
    <w:p>
      <w:pPr>
        <w:spacing w:line="240" w:lineRule="auto" w:before="12"/>
        <w:rPr>
          <w:rFonts w:ascii="黑体" w:hAnsi="黑体" w:cs="黑体" w:eastAsia="黑体" w:hint="default"/>
          <w:sz w:val="22"/>
          <w:szCs w:val="22"/>
        </w:rPr>
      </w:pPr>
    </w:p>
    <w:p>
      <w:pPr>
        <w:tabs>
          <w:tab w:pos="841" w:val="left" w:leader="none"/>
        </w:tabs>
        <w:spacing w:before="0"/>
        <w:ind w:left="121" w:right="0" w:firstLine="0"/>
        <w:jc w:val="left"/>
        <w:rPr>
          <w:rFonts w:ascii="黑体" w:hAnsi="黑体" w:cs="黑体" w:eastAsia="黑体" w:hint="default"/>
          <w:sz w:val="20"/>
          <w:szCs w:val="20"/>
        </w:rPr>
      </w:pPr>
      <w:r>
        <w:rPr>
          <w:rFonts w:ascii="Arial" w:hAnsi="Arial" w:cs="Arial" w:eastAsia="Arial" w:hint="default"/>
          <w:b/>
          <w:bCs/>
          <w:spacing w:val="-1"/>
          <w:sz w:val="20"/>
          <w:szCs w:val="20"/>
        </w:rPr>
        <w:t>3.</w:t>
        <w:tab/>
      </w:r>
      <w:r>
        <w:rPr>
          <w:rFonts w:ascii="黑体" w:hAnsi="黑体" w:cs="黑体" w:eastAsia="黑体" w:hint="default"/>
          <w:b/>
          <w:bCs/>
          <w:sz w:val="20"/>
          <w:szCs w:val="20"/>
        </w:rPr>
        <w:t>本年度新纳入合并范围的主体和不再纳入合并范围的主体</w:t>
      </w:r>
      <w:r>
        <w:rPr>
          <w:rFonts w:ascii="黑体" w:hAnsi="黑体" w:cs="黑体" w:eastAsia="黑体" w:hint="default"/>
          <w:sz w:val="20"/>
          <w:szCs w:val="20"/>
        </w:rPr>
      </w:r>
    </w:p>
    <w:p>
      <w:pPr>
        <w:spacing w:line="240" w:lineRule="auto" w:before="3"/>
        <w:rPr>
          <w:rFonts w:ascii="黑体" w:hAnsi="黑体" w:cs="黑体" w:eastAsia="黑体" w:hint="default"/>
          <w:b/>
          <w:bCs/>
          <w:sz w:val="20"/>
          <w:szCs w:val="20"/>
        </w:rPr>
      </w:pPr>
    </w:p>
    <w:tbl>
      <w:tblPr>
        <w:tblW w:w="0" w:type="auto"/>
        <w:jc w:val="left"/>
        <w:tblInd w:w="795" w:type="dxa"/>
        <w:tblLayout w:type="fixed"/>
        <w:tblCellMar>
          <w:top w:w="0" w:type="dxa"/>
          <w:left w:w="0" w:type="dxa"/>
          <w:bottom w:w="0" w:type="dxa"/>
          <w:right w:w="0" w:type="dxa"/>
        </w:tblCellMar>
        <w:tblLook w:val="01E0"/>
      </w:tblPr>
      <w:tblGrid>
        <w:gridCol w:w="3895"/>
        <w:gridCol w:w="2348"/>
        <w:gridCol w:w="1689"/>
      </w:tblGrid>
      <w:tr>
        <w:trPr>
          <w:trHeight w:val="847" w:hRule="exact"/>
        </w:trPr>
        <w:tc>
          <w:tcPr>
            <w:tcW w:w="389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9"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年，新纳入合并范围的子公司如下：</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
              <w:ind w:right="0"/>
              <w:jc w:val="left"/>
              <w:rPr>
                <w:rFonts w:ascii="黑体" w:hAnsi="黑体" w:cs="黑体" w:eastAsia="黑体" w:hint="default"/>
                <w:b/>
                <w:bCs/>
                <w:sz w:val="22"/>
                <w:szCs w:val="22"/>
              </w:rPr>
            </w:pPr>
          </w:p>
          <w:p>
            <w:pPr>
              <w:pStyle w:val="TableParagraph"/>
              <w:spacing w:line="240" w:lineRule="auto"/>
              <w:ind w:right="395"/>
              <w:jc w:val="right"/>
              <w:rPr>
                <w:rFonts w:ascii="黑体" w:hAnsi="黑体" w:cs="黑体" w:eastAsia="黑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黑体" w:hAnsi="黑体" w:cs="黑体" w:eastAsia="黑体" w:hint="default"/>
                <w:sz w:val="20"/>
                <w:szCs w:val="20"/>
              </w:rPr>
              <w:t>年</w:t>
            </w:r>
            <w:r>
              <w:rPr>
                <w:rFonts w:ascii="黑体" w:hAnsi="黑体" w:cs="黑体" w:eastAsia="黑体" w:hint="default"/>
                <w:spacing w:val="-52"/>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黑体" w:hAnsi="黑体" w:cs="黑体" w:eastAsia="黑体" w:hint="default"/>
                <w:sz w:val="20"/>
                <w:szCs w:val="20"/>
              </w:rPr>
              <w:t>日</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
              <w:ind w:right="0"/>
              <w:jc w:val="left"/>
              <w:rPr>
                <w:rFonts w:ascii="黑体" w:hAnsi="黑体" w:cs="黑体" w:eastAsia="黑体" w:hint="default"/>
                <w:b/>
                <w:bCs/>
                <w:sz w:val="22"/>
                <w:szCs w:val="22"/>
              </w:rPr>
            </w:pPr>
          </w:p>
          <w:p>
            <w:pPr>
              <w:pStyle w:val="TableParagraph"/>
              <w:spacing w:line="240" w:lineRule="auto"/>
              <w:ind w:right="100"/>
              <w:jc w:val="right"/>
              <w:rPr>
                <w:rFonts w:ascii="黑体" w:hAnsi="黑体" w:cs="黑体" w:eastAsia="黑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黑体" w:hAnsi="黑体" w:cs="黑体" w:eastAsia="黑体" w:hint="default"/>
                <w:sz w:val="20"/>
                <w:szCs w:val="20"/>
              </w:rPr>
              <w:t>年度</w:t>
            </w:r>
          </w:p>
        </w:tc>
      </w:tr>
      <w:tr>
        <w:trPr>
          <w:trHeight w:val="374" w:hRule="exact"/>
        </w:trPr>
        <w:tc>
          <w:tcPr>
            <w:tcW w:w="3895" w:type="dxa"/>
            <w:tcBorders>
              <w:top w:val="nil" w:sz="6" w:space="0" w:color="auto"/>
              <w:left w:val="nil" w:sz="6" w:space="0" w:color="auto"/>
              <w:bottom w:val="nil" w:sz="6" w:space="0" w:color="auto"/>
              <w:right w:val="nil" w:sz="6" w:space="0" w:color="auto"/>
            </w:tcBorders>
          </w:tcPr>
          <w:p>
            <w:pPr/>
          </w:p>
        </w:tc>
        <w:tc>
          <w:tcPr>
            <w:tcW w:w="2348" w:type="dxa"/>
            <w:tcBorders>
              <w:top w:val="nil" w:sz="6" w:space="0" w:color="auto"/>
              <w:left w:val="nil" w:sz="6" w:space="0" w:color="auto"/>
              <w:bottom w:val="nil" w:sz="6" w:space="0" w:color="auto"/>
              <w:right w:val="nil" w:sz="6" w:space="0" w:color="auto"/>
            </w:tcBorders>
          </w:tcPr>
          <w:p>
            <w:pPr>
              <w:pStyle w:val="TableParagraph"/>
              <w:spacing w:line="225" w:lineRule="exact"/>
              <w:ind w:right="395"/>
              <w:jc w:val="right"/>
              <w:rPr>
                <w:rFonts w:ascii="黑体" w:hAnsi="黑体" w:cs="黑体" w:eastAsia="黑体" w:hint="default"/>
                <w:sz w:val="20"/>
                <w:szCs w:val="20"/>
              </w:rPr>
            </w:pPr>
            <w:r>
              <w:rPr>
                <w:rFonts w:ascii="黑体" w:hAnsi="黑体" w:cs="黑体" w:eastAsia="黑体" w:hint="default"/>
                <w:sz w:val="20"/>
                <w:szCs w:val="20"/>
              </w:rPr>
              <w:t>净资产</w:t>
            </w:r>
          </w:p>
        </w:tc>
        <w:tc>
          <w:tcPr>
            <w:tcW w:w="1689" w:type="dxa"/>
            <w:tcBorders>
              <w:top w:val="nil" w:sz="6" w:space="0" w:color="auto"/>
              <w:left w:val="nil" w:sz="6" w:space="0" w:color="auto"/>
              <w:bottom w:val="nil" w:sz="6" w:space="0" w:color="auto"/>
              <w:right w:val="nil" w:sz="6" w:space="0" w:color="auto"/>
            </w:tcBorders>
          </w:tcPr>
          <w:p>
            <w:pPr>
              <w:pStyle w:val="TableParagraph"/>
              <w:spacing w:line="239" w:lineRule="exact"/>
              <w:ind w:right="99"/>
              <w:jc w:val="right"/>
              <w:rPr>
                <w:rFonts w:ascii="Arial" w:hAnsi="Arial" w:cs="Arial" w:eastAsia="Arial" w:hint="default"/>
                <w:sz w:val="20"/>
                <w:szCs w:val="20"/>
              </w:rPr>
            </w:pPr>
            <w:r>
              <w:rPr>
                <w:rFonts w:ascii="黑体" w:hAnsi="黑体" w:cs="黑体" w:eastAsia="黑体" w:hint="default"/>
                <w:spacing w:val="-1"/>
                <w:sz w:val="20"/>
                <w:szCs w:val="20"/>
              </w:rPr>
              <w:t>净利润</w:t>
            </w:r>
            <w:r>
              <w:rPr>
                <w:rFonts w:ascii="Arial" w:hAnsi="Arial" w:cs="Arial" w:eastAsia="Arial" w:hint="default"/>
                <w:spacing w:val="-1"/>
                <w:sz w:val="20"/>
                <w:szCs w:val="20"/>
              </w:rPr>
              <w:t>/(</w:t>
            </w:r>
            <w:r>
              <w:rPr>
                <w:rFonts w:ascii="黑体" w:hAnsi="黑体" w:cs="黑体" w:eastAsia="黑体" w:hint="default"/>
                <w:spacing w:val="-1"/>
                <w:sz w:val="20"/>
                <w:szCs w:val="20"/>
              </w:rPr>
              <w:t>亏损</w:t>
            </w:r>
            <w:r>
              <w:rPr>
                <w:rFonts w:ascii="Arial" w:hAnsi="Arial" w:cs="Arial" w:eastAsia="Arial" w:hint="default"/>
                <w:spacing w:val="-1"/>
                <w:sz w:val="20"/>
                <w:szCs w:val="20"/>
              </w:rPr>
              <w:t>)</w:t>
            </w:r>
          </w:p>
        </w:tc>
      </w:tr>
      <w:tr>
        <w:trPr>
          <w:trHeight w:val="380" w:hRule="exact"/>
        </w:trPr>
        <w:tc>
          <w:tcPr>
            <w:tcW w:w="3895" w:type="dxa"/>
            <w:tcBorders>
              <w:top w:val="nil" w:sz="6" w:space="0" w:color="auto"/>
              <w:left w:val="nil" w:sz="6" w:space="0" w:color="auto"/>
              <w:bottom w:val="nil" w:sz="6" w:space="0" w:color="auto"/>
              <w:right w:val="nil" w:sz="6" w:space="0" w:color="auto"/>
            </w:tcBorders>
          </w:tcPr>
          <w:p>
            <w:pPr>
              <w:pStyle w:val="TableParagraph"/>
              <w:spacing w:line="240" w:lineRule="auto" w:before="78"/>
              <w:ind w:left="35" w:right="0"/>
              <w:jc w:val="left"/>
              <w:rPr>
                <w:rFonts w:ascii="黑体" w:hAnsi="黑体" w:cs="黑体" w:eastAsia="黑体" w:hint="default"/>
                <w:sz w:val="20"/>
                <w:szCs w:val="20"/>
              </w:rPr>
            </w:pPr>
            <w:r>
              <w:rPr>
                <w:rFonts w:ascii="黑体" w:hAnsi="黑体" w:cs="黑体" w:eastAsia="黑体" w:hint="default"/>
                <w:sz w:val="20"/>
                <w:szCs w:val="20"/>
              </w:rPr>
              <w:t>用友医疗</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95"/>
              <w:jc w:val="right"/>
              <w:rPr>
                <w:rFonts w:ascii="Arial" w:hAnsi="Arial" w:cs="Arial" w:eastAsia="Arial" w:hint="default"/>
                <w:sz w:val="20"/>
                <w:szCs w:val="20"/>
              </w:rPr>
            </w:pPr>
            <w:r>
              <w:rPr>
                <w:rFonts w:ascii="Arial"/>
                <w:spacing w:val="-1"/>
                <w:sz w:val="20"/>
              </w:rPr>
              <w:t>98,501,894</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3"/>
              <w:jc w:val="right"/>
              <w:rPr>
                <w:rFonts w:ascii="Arial" w:hAnsi="Arial" w:cs="Arial" w:eastAsia="Arial" w:hint="default"/>
                <w:sz w:val="20"/>
                <w:szCs w:val="20"/>
              </w:rPr>
            </w:pPr>
            <w:r>
              <w:rPr>
                <w:rFonts w:ascii="Arial"/>
                <w:spacing w:val="-1"/>
                <w:sz w:val="20"/>
              </w:rPr>
              <w:t>(1,498,106)</w:t>
            </w:r>
          </w:p>
        </w:tc>
      </w:tr>
      <w:tr>
        <w:trPr>
          <w:trHeight w:val="259" w:hRule="exact"/>
        </w:trPr>
        <w:tc>
          <w:tcPr>
            <w:tcW w:w="3895" w:type="dxa"/>
            <w:tcBorders>
              <w:top w:val="nil" w:sz="6" w:space="0" w:color="auto"/>
              <w:left w:val="nil" w:sz="6" w:space="0" w:color="auto"/>
              <w:bottom w:val="nil" w:sz="6" w:space="0" w:color="auto"/>
              <w:right w:val="nil" w:sz="6" w:space="0" w:color="auto"/>
            </w:tcBorders>
          </w:tcPr>
          <w:p>
            <w:pPr>
              <w:pStyle w:val="TableParagraph"/>
              <w:spacing w:line="233" w:lineRule="exact"/>
              <w:ind w:left="35" w:right="0"/>
              <w:jc w:val="left"/>
              <w:rPr>
                <w:rFonts w:ascii="Arial" w:hAnsi="Arial" w:cs="Arial" w:eastAsia="Arial" w:hint="default"/>
                <w:sz w:val="20"/>
                <w:szCs w:val="20"/>
              </w:rPr>
            </w:pPr>
            <w:r>
              <w:rPr>
                <w:rFonts w:ascii="黑体" w:hAnsi="黑体" w:cs="黑体" w:eastAsia="黑体" w:hint="default"/>
                <w:sz w:val="20"/>
                <w:szCs w:val="20"/>
              </w:rPr>
              <w:t>用友</w:t>
            </w:r>
            <w:r>
              <w:rPr>
                <w:rFonts w:ascii="Arial" w:hAnsi="Arial" w:cs="Arial" w:eastAsia="Arial" w:hint="default"/>
                <w:sz w:val="20"/>
                <w:szCs w:val="20"/>
              </w:rPr>
              <w:t>(</w:t>
            </w:r>
            <w:r>
              <w:rPr>
                <w:rFonts w:ascii="黑体" w:hAnsi="黑体" w:cs="黑体" w:eastAsia="黑体" w:hint="default"/>
                <w:sz w:val="20"/>
                <w:szCs w:val="20"/>
              </w:rPr>
              <w:t>南昌</w:t>
            </w:r>
            <w:r>
              <w:rPr>
                <w:rFonts w:ascii="Arial" w:hAnsi="Arial" w:cs="Arial" w:eastAsia="Arial" w:hint="default"/>
                <w:sz w:val="20"/>
                <w:szCs w:val="20"/>
              </w:rPr>
              <w:t>)</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95"/>
              <w:jc w:val="right"/>
              <w:rPr>
                <w:rFonts w:ascii="Arial" w:hAnsi="Arial" w:cs="Arial" w:eastAsia="Arial" w:hint="default"/>
                <w:sz w:val="20"/>
                <w:szCs w:val="20"/>
              </w:rPr>
            </w:pPr>
            <w:r>
              <w:rPr>
                <w:rFonts w:ascii="Arial"/>
                <w:spacing w:val="-1"/>
                <w:sz w:val="20"/>
              </w:rPr>
              <w:t>80,038,673</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Arial" w:hAnsi="Arial" w:cs="Arial" w:eastAsia="Arial" w:hint="default"/>
                <w:sz w:val="20"/>
                <w:szCs w:val="20"/>
              </w:rPr>
            </w:pPr>
            <w:r>
              <w:rPr>
                <w:rFonts w:ascii="Arial"/>
                <w:sz w:val="20"/>
              </w:rPr>
              <w:t>38,673</w:t>
            </w:r>
          </w:p>
        </w:tc>
      </w:tr>
      <w:tr>
        <w:trPr>
          <w:trHeight w:val="341" w:hRule="exact"/>
        </w:trPr>
        <w:tc>
          <w:tcPr>
            <w:tcW w:w="3895" w:type="dxa"/>
            <w:tcBorders>
              <w:top w:val="nil" w:sz="6" w:space="0" w:color="auto"/>
              <w:left w:val="nil" w:sz="6" w:space="0" w:color="auto"/>
              <w:bottom w:val="nil" w:sz="6" w:space="0" w:color="auto"/>
              <w:right w:val="nil" w:sz="6" w:space="0" w:color="auto"/>
            </w:tcBorders>
          </w:tcPr>
          <w:p>
            <w:pPr>
              <w:pStyle w:val="TableParagraph"/>
              <w:spacing w:line="219"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用友审计</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95"/>
              <w:jc w:val="right"/>
              <w:rPr>
                <w:rFonts w:ascii="Arial" w:hAnsi="Arial" w:cs="Arial" w:eastAsia="Arial" w:hint="default"/>
                <w:sz w:val="20"/>
                <w:szCs w:val="20"/>
              </w:rPr>
            </w:pPr>
            <w:r>
              <w:rPr>
                <w:rFonts w:ascii="Arial"/>
                <w:spacing w:val="-1"/>
                <w:sz w:val="20"/>
              </w:rPr>
              <w:t>18,008,392</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Arial" w:hAnsi="Arial" w:cs="Arial" w:eastAsia="Arial" w:hint="default"/>
                <w:sz w:val="20"/>
                <w:szCs w:val="20"/>
              </w:rPr>
            </w:pPr>
            <w:r>
              <w:rPr>
                <w:rFonts w:ascii="Arial"/>
                <w:spacing w:val="-1"/>
                <w:sz w:val="20"/>
              </w:rPr>
              <w:t>3,170,753</w:t>
            </w:r>
          </w:p>
        </w:tc>
      </w:tr>
    </w:tbl>
    <w:p>
      <w:pPr>
        <w:spacing w:line="240" w:lineRule="auto" w:before="11"/>
        <w:rPr>
          <w:rFonts w:ascii="黑体" w:hAnsi="黑体" w:cs="黑体" w:eastAsia="黑体" w:hint="default"/>
          <w:b/>
          <w:bCs/>
          <w:sz w:val="11"/>
          <w:szCs w:val="11"/>
        </w:rPr>
      </w:pPr>
    </w:p>
    <w:p>
      <w:pPr>
        <w:pStyle w:val="BodyText"/>
        <w:spacing w:line="261" w:lineRule="auto" w:before="38"/>
        <w:ind w:left="835" w:right="0"/>
        <w:jc w:val="left"/>
      </w:pPr>
      <w:r>
        <w:rPr>
          <w:rFonts w:ascii="Arial" w:hAnsi="Arial" w:cs="Arial" w:eastAsia="Arial" w:hint="default"/>
          <w:spacing w:val="-2"/>
        </w:rPr>
        <w:t>2009</w:t>
      </w:r>
      <w:r>
        <w:rPr>
          <w:spacing w:val="-2"/>
        </w:rPr>
        <w:t>年，所有子公司、特殊目的主体、通过受托经营或租赁等方式形成控制权的经营实体</w:t>
      </w:r>
      <w:r>
        <w:rPr>
          <w:spacing w:val="-84"/>
        </w:rPr>
        <w:t> </w:t>
      </w:r>
      <w:r>
        <w:rPr>
          <w:spacing w:val="-84"/>
        </w:rPr>
      </w:r>
      <w:r>
        <w:rPr/>
        <w:t>已纳入合并范围。</w:t>
      </w:r>
    </w:p>
    <w:p>
      <w:pPr>
        <w:spacing w:after="0" w:line="261" w:lineRule="auto"/>
        <w:jc w:val="left"/>
        <w:sectPr>
          <w:headerReference w:type="default" r:id="rId51"/>
          <w:footerReference w:type="default" r:id="rId52"/>
          <w:pgSz w:w="11910" w:h="16840"/>
          <w:pgMar w:header="958" w:footer="830" w:top="2380" w:bottom="1020" w:left="1580" w:right="1480"/>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7"/>
          <w:szCs w:val="17"/>
        </w:rPr>
      </w:pPr>
    </w:p>
    <w:p>
      <w:pPr>
        <w:tabs>
          <w:tab w:pos="823" w:val="left" w:leader="none"/>
        </w:tabs>
        <w:spacing w:before="38"/>
        <w:ind w:left="121" w:right="0" w:firstLine="0"/>
        <w:jc w:val="left"/>
        <w:rPr>
          <w:rFonts w:ascii="黑体" w:hAnsi="黑体" w:cs="黑体" w:eastAsia="黑体" w:hint="default"/>
          <w:sz w:val="20"/>
          <w:szCs w:val="20"/>
        </w:rPr>
      </w:pPr>
      <w:r>
        <w:rPr>
          <w:rFonts w:ascii="黑体" w:hAnsi="黑体" w:cs="黑体" w:eastAsia="黑体" w:hint="default"/>
          <w:b/>
          <w:bCs/>
          <w:sz w:val="20"/>
          <w:szCs w:val="20"/>
        </w:rPr>
        <w:t>四、</w:t>
        <w:tab/>
        <w:t>合并财务报表的合并范围（续）</w:t>
      </w:r>
      <w:r>
        <w:rPr>
          <w:rFonts w:ascii="黑体" w:hAnsi="黑体" w:cs="黑体" w:eastAsia="黑体" w:hint="default"/>
          <w:sz w:val="20"/>
          <w:szCs w:val="20"/>
        </w:rPr>
      </w:r>
    </w:p>
    <w:p>
      <w:pPr>
        <w:spacing w:line="240" w:lineRule="auto" w:before="10"/>
        <w:rPr>
          <w:rFonts w:ascii="黑体" w:hAnsi="黑体" w:cs="黑体" w:eastAsia="黑体" w:hint="default"/>
          <w:b/>
          <w:bCs/>
          <w:sz w:val="22"/>
          <w:szCs w:val="22"/>
        </w:rPr>
      </w:pPr>
    </w:p>
    <w:p>
      <w:pPr>
        <w:tabs>
          <w:tab w:pos="830" w:val="left" w:leader="none"/>
        </w:tabs>
        <w:spacing w:before="0"/>
        <w:ind w:left="121" w:right="0" w:firstLine="0"/>
        <w:jc w:val="left"/>
        <w:rPr>
          <w:rFonts w:ascii="黑体" w:hAnsi="黑体" w:cs="黑体" w:eastAsia="黑体" w:hint="default"/>
          <w:sz w:val="20"/>
          <w:szCs w:val="20"/>
        </w:rPr>
      </w:pPr>
      <w:r>
        <w:rPr>
          <w:rFonts w:ascii="Arial" w:hAnsi="Arial" w:cs="Arial" w:eastAsia="Arial" w:hint="default"/>
          <w:b/>
          <w:bCs/>
          <w:spacing w:val="-1"/>
          <w:sz w:val="20"/>
          <w:szCs w:val="20"/>
        </w:rPr>
        <w:t>4.</w:t>
        <w:tab/>
      </w:r>
      <w:r>
        <w:rPr>
          <w:rFonts w:ascii="黑体" w:hAnsi="黑体" w:cs="黑体" w:eastAsia="黑体" w:hint="default"/>
          <w:b/>
          <w:bCs/>
          <w:sz w:val="20"/>
          <w:szCs w:val="20"/>
        </w:rPr>
        <w:t>本年度发生的非同一控制下企业合并</w:t>
      </w:r>
      <w:r>
        <w:rPr>
          <w:rFonts w:ascii="黑体" w:hAnsi="黑体" w:cs="黑体" w:eastAsia="黑体" w:hint="default"/>
          <w:sz w:val="20"/>
          <w:szCs w:val="20"/>
        </w:rPr>
      </w:r>
    </w:p>
    <w:p>
      <w:pPr>
        <w:spacing w:line="240" w:lineRule="auto" w:before="3"/>
        <w:rPr>
          <w:rFonts w:ascii="黑体" w:hAnsi="黑体" w:cs="黑体" w:eastAsia="黑体" w:hint="default"/>
          <w:b/>
          <w:bCs/>
          <w:sz w:val="23"/>
          <w:szCs w:val="23"/>
        </w:rPr>
      </w:pPr>
    </w:p>
    <w:p>
      <w:pPr>
        <w:pStyle w:val="BodyText"/>
        <w:spacing w:line="261" w:lineRule="auto"/>
        <w:ind w:left="835" w:right="131"/>
        <w:jc w:val="both"/>
      </w:pPr>
      <w:r>
        <w:rPr/>
        <w:t>本公司于</w:t>
      </w:r>
      <w:r>
        <w:rPr>
          <w:rFonts w:ascii="Arial" w:hAnsi="Arial" w:cs="Arial" w:eastAsia="Arial" w:hint="default"/>
        </w:rPr>
        <w:t>2009</w:t>
      </w:r>
      <w:r>
        <w:rPr/>
        <w:t>年</w:t>
      </w:r>
      <w:r>
        <w:rPr>
          <w:rFonts w:ascii="Arial" w:hAnsi="Arial" w:cs="Arial" w:eastAsia="Arial" w:hint="default"/>
        </w:rPr>
        <w:t>4</w:t>
      </w:r>
      <w:r>
        <w:rPr/>
        <w:t>月</w:t>
      </w:r>
      <w:r>
        <w:rPr>
          <w:rFonts w:ascii="Arial" w:hAnsi="Arial" w:cs="Arial" w:eastAsia="Arial" w:hint="default"/>
        </w:rPr>
        <w:t>29</w:t>
      </w:r>
      <w:r>
        <w:rPr/>
        <w:t>日协议收购原持有</w:t>
      </w:r>
      <w:r>
        <w:rPr>
          <w:rFonts w:ascii="Arial" w:hAnsi="Arial" w:cs="Arial" w:eastAsia="Arial" w:hint="default"/>
        </w:rPr>
        <w:t>33.2%</w:t>
      </w:r>
      <w:r>
        <w:rPr/>
        <w:t>股权的联营公司用友审计的</w:t>
      </w:r>
      <w:r>
        <w:rPr>
          <w:rFonts w:ascii="Arial" w:hAnsi="Arial" w:cs="Arial" w:eastAsia="Arial" w:hint="default"/>
        </w:rPr>
        <w:t>17%</w:t>
      </w:r>
      <w:r>
        <w:rPr/>
        <w:t>股权，收</w:t>
      </w:r>
      <w:r>
        <w:rPr>
          <w:spacing w:val="-64"/>
        </w:rPr>
        <w:t> </w:t>
      </w:r>
      <w:r>
        <w:rPr>
          <w:spacing w:val="-3"/>
        </w:rPr>
        <w:t>购价为现金人民币</w:t>
      </w:r>
      <w:r>
        <w:rPr>
          <w:rFonts w:ascii="Arial" w:hAnsi="Arial" w:cs="Arial" w:eastAsia="Arial" w:hint="default"/>
          <w:spacing w:val="-3"/>
        </w:rPr>
        <w:t>1,100,000</w:t>
      </w:r>
      <w:r>
        <w:rPr>
          <w:spacing w:val="-3"/>
        </w:rPr>
        <w:t>元。收购后，本公司对用友审计的持股比例上升至</w:t>
      </w:r>
      <w:r>
        <w:rPr>
          <w:rFonts w:ascii="Arial" w:hAnsi="Arial" w:cs="Arial" w:eastAsia="Arial" w:hint="default"/>
          <w:spacing w:val="-3"/>
        </w:rPr>
        <w:t>50.2%</w:t>
      </w:r>
      <w:r>
        <w:rPr>
          <w:spacing w:val="-3"/>
        </w:rPr>
        <w:t>，用</w:t>
      </w:r>
      <w:r>
        <w:rPr>
          <w:spacing w:val="-69"/>
        </w:rPr>
        <w:t> </w:t>
      </w:r>
      <w:r>
        <w:rPr/>
        <w:t>友审计由本公司的联营企业变更为本公司的子公司，投资成本合计现金人民币</w:t>
      </w:r>
      <w:r>
        <w:rPr>
          <w:rFonts w:ascii="Arial" w:hAnsi="Arial" w:cs="Arial" w:eastAsia="Arial" w:hint="default"/>
        </w:rPr>
        <w:t>2,300,000</w:t>
      </w:r>
      <w:r>
        <w:rPr>
          <w:rFonts w:ascii="Arial" w:hAnsi="Arial" w:cs="Arial" w:eastAsia="Arial" w:hint="default"/>
          <w:spacing w:val="31"/>
        </w:rPr>
        <w:t> </w:t>
      </w:r>
      <w:r>
        <w:rPr>
          <w:spacing w:val="-3"/>
        </w:rPr>
        <w:t>元，其中包括本次合并成本人民币</w:t>
      </w:r>
      <w:r>
        <w:rPr>
          <w:rFonts w:ascii="Arial" w:hAnsi="Arial" w:cs="Arial" w:eastAsia="Arial" w:hint="default"/>
          <w:spacing w:val="-3"/>
        </w:rPr>
        <w:t>1,100,000</w:t>
      </w:r>
      <w:r>
        <w:rPr>
          <w:spacing w:val="-3"/>
        </w:rPr>
        <w:t>元。此次收购业经北京中评瑞资产评估事务所</w:t>
      </w:r>
      <w:r>
        <w:rPr>
          <w:spacing w:val="-77"/>
        </w:rPr>
        <w:t> </w:t>
      </w:r>
      <w:r>
        <w:rPr>
          <w:spacing w:val="-77"/>
        </w:rPr>
      </w:r>
      <w:r>
        <w:rPr/>
        <w:t>有限公司进行评估，并于</w:t>
      </w:r>
      <w:r>
        <w:rPr>
          <w:rFonts w:ascii="Arial" w:hAnsi="Arial" w:cs="Arial" w:eastAsia="Arial" w:hint="default"/>
        </w:rPr>
        <w:t>2010</w:t>
      </w:r>
      <w:r>
        <w:rPr/>
        <w:t>年</w:t>
      </w:r>
      <w:r>
        <w:rPr>
          <w:rFonts w:ascii="Arial" w:hAnsi="Arial" w:cs="Arial" w:eastAsia="Arial" w:hint="default"/>
        </w:rPr>
        <w:t>1</w:t>
      </w:r>
      <w:r>
        <w:rPr/>
        <w:t>月</w:t>
      </w:r>
      <w:r>
        <w:rPr>
          <w:rFonts w:ascii="Arial" w:hAnsi="Arial" w:cs="Arial" w:eastAsia="Arial" w:hint="default"/>
        </w:rPr>
        <w:t>18</w:t>
      </w:r>
      <w:r>
        <w:rPr/>
        <w:t>日出具了中评瑞评字</w:t>
      </w:r>
      <w:r>
        <w:rPr>
          <w:rFonts w:ascii="Arial" w:hAnsi="Arial" w:cs="Arial" w:eastAsia="Arial" w:hint="default"/>
        </w:rPr>
        <w:t>[2010]02</w:t>
      </w:r>
      <w:r>
        <w:rPr/>
        <w:t>号资产评估报告书。</w:t>
      </w:r>
      <w:r>
        <w:rPr>
          <w:spacing w:val="-76"/>
        </w:rPr>
        <w:t> </w:t>
      </w:r>
      <w:r>
        <w:rPr>
          <w:spacing w:val="-76"/>
        </w:rPr>
      </w:r>
      <w:r>
        <w:rPr/>
        <w:t>根据该评估报告确定本次收购股权的公允价值为人民币</w:t>
      </w:r>
      <w:r>
        <w:rPr>
          <w:rFonts w:ascii="Arial" w:hAnsi="Arial" w:cs="Arial" w:eastAsia="Arial" w:hint="default"/>
        </w:rPr>
        <w:t>650,546</w:t>
      </w:r>
      <w:r>
        <w:rPr/>
        <w:t>元，因购买而产生的商誉</w:t>
      </w:r>
      <w:r>
        <w:rPr>
          <w:spacing w:val="-39"/>
        </w:rPr>
        <w:t> </w:t>
      </w:r>
      <w:r>
        <w:rPr>
          <w:spacing w:val="-39"/>
        </w:rPr>
      </w:r>
      <w:r>
        <w:rPr/>
        <w:t>为人民币</w:t>
      </w:r>
      <w:r>
        <w:rPr>
          <w:rFonts w:ascii="Arial" w:hAnsi="Arial" w:cs="Arial" w:eastAsia="Arial" w:hint="default"/>
        </w:rPr>
        <w:t>449,454</w:t>
      </w:r>
      <w:r>
        <w:rPr/>
        <w:t>元。</w:t>
      </w:r>
    </w:p>
    <w:p>
      <w:pPr>
        <w:spacing w:line="240" w:lineRule="auto" w:before="3"/>
        <w:rPr>
          <w:rFonts w:ascii="黑体" w:hAnsi="黑体" w:cs="黑体" w:eastAsia="黑体" w:hint="default"/>
          <w:sz w:val="23"/>
          <w:szCs w:val="23"/>
        </w:rPr>
      </w:pPr>
    </w:p>
    <w:p>
      <w:pPr>
        <w:pStyle w:val="BodyText"/>
        <w:spacing w:line="240" w:lineRule="auto"/>
        <w:ind w:left="835" w:right="0"/>
        <w:jc w:val="both"/>
      </w:pPr>
      <w:r>
        <w:rPr/>
        <w:t>用友审计的可辨认资产和负债于购买日的公允价值和账面价值如下：</w:t>
      </w:r>
    </w:p>
    <w:p>
      <w:pPr>
        <w:spacing w:line="240" w:lineRule="auto" w:before="4"/>
        <w:rPr>
          <w:rFonts w:ascii="黑体" w:hAnsi="黑体" w:cs="黑体" w:eastAsia="黑体" w:hint="default"/>
          <w:sz w:val="21"/>
          <w:szCs w:val="21"/>
        </w:rPr>
      </w:pPr>
    </w:p>
    <w:tbl>
      <w:tblPr>
        <w:tblW w:w="0" w:type="auto"/>
        <w:jc w:val="left"/>
        <w:tblInd w:w="805" w:type="dxa"/>
        <w:tblLayout w:type="fixed"/>
        <w:tblCellMar>
          <w:top w:w="0" w:type="dxa"/>
          <w:left w:w="0" w:type="dxa"/>
          <w:bottom w:w="0" w:type="dxa"/>
          <w:right w:w="0" w:type="dxa"/>
        </w:tblCellMar>
        <w:tblLook w:val="01E0"/>
      </w:tblPr>
      <w:tblGrid>
        <w:gridCol w:w="3181"/>
        <w:gridCol w:w="2940"/>
        <w:gridCol w:w="1698"/>
      </w:tblGrid>
      <w:tr>
        <w:trPr>
          <w:trHeight w:val="717" w:hRule="exact"/>
        </w:trPr>
        <w:tc>
          <w:tcPr>
            <w:tcW w:w="3181" w:type="dxa"/>
            <w:tcBorders>
              <w:top w:val="nil" w:sz="6" w:space="0" w:color="auto"/>
              <w:left w:val="nil" w:sz="6" w:space="0" w:color="auto"/>
              <w:bottom w:val="nil" w:sz="6" w:space="0" w:color="auto"/>
              <w:right w:val="nil" w:sz="6" w:space="0" w:color="auto"/>
            </w:tcBorders>
          </w:tcPr>
          <w:p>
            <w:pPr/>
          </w:p>
        </w:tc>
        <w:tc>
          <w:tcPr>
            <w:tcW w:w="2940" w:type="dxa"/>
            <w:tcBorders>
              <w:top w:val="nil" w:sz="6" w:space="0" w:color="auto"/>
              <w:left w:val="nil" w:sz="6" w:space="0" w:color="auto"/>
              <w:bottom w:val="nil" w:sz="6" w:space="0" w:color="auto"/>
              <w:right w:val="nil" w:sz="6" w:space="0" w:color="auto"/>
            </w:tcBorders>
          </w:tcPr>
          <w:p>
            <w:pPr>
              <w:pStyle w:val="TableParagraph"/>
              <w:spacing w:line="268" w:lineRule="exact" w:before="38"/>
              <w:ind w:left="1277"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r>
              <w:rPr>
                <w:rFonts w:ascii="Arial" w:hAnsi="Arial" w:cs="Arial" w:eastAsia="Arial" w:hint="default"/>
                <w:sz w:val="20"/>
                <w:szCs w:val="20"/>
              </w:rPr>
              <w:t>4</w:t>
            </w:r>
            <w:r>
              <w:rPr>
                <w:rFonts w:ascii="黑体" w:hAnsi="黑体" w:cs="黑体" w:eastAsia="黑体" w:hint="default"/>
                <w:sz w:val="20"/>
                <w:szCs w:val="20"/>
              </w:rPr>
              <w:t>月</w:t>
            </w:r>
            <w:r>
              <w:rPr>
                <w:rFonts w:ascii="Arial" w:hAnsi="Arial" w:cs="Arial" w:eastAsia="Arial" w:hint="default"/>
                <w:sz w:val="20"/>
                <w:szCs w:val="20"/>
              </w:rPr>
              <w:t>29</w:t>
            </w:r>
            <w:r>
              <w:rPr>
                <w:rFonts w:ascii="黑体" w:hAnsi="黑体" w:cs="黑体" w:eastAsia="黑体" w:hint="default"/>
                <w:sz w:val="20"/>
                <w:szCs w:val="20"/>
              </w:rPr>
              <w:t>日</w:t>
            </w:r>
          </w:p>
          <w:p>
            <w:pPr>
              <w:pStyle w:val="TableParagraph"/>
              <w:spacing w:line="253" w:lineRule="exact"/>
              <w:ind w:left="1854" w:right="0"/>
              <w:jc w:val="left"/>
              <w:rPr>
                <w:rFonts w:ascii="黑体" w:hAnsi="黑体" w:cs="黑体" w:eastAsia="黑体" w:hint="default"/>
                <w:sz w:val="20"/>
                <w:szCs w:val="20"/>
              </w:rPr>
            </w:pPr>
            <w:r>
              <w:rPr>
                <w:rFonts w:ascii="黑体" w:hAnsi="黑体" w:cs="黑体" w:eastAsia="黑体" w:hint="default"/>
                <w:sz w:val="20"/>
                <w:szCs w:val="20"/>
              </w:rPr>
              <w:t>公允价值</w:t>
            </w:r>
          </w:p>
        </w:tc>
        <w:tc>
          <w:tcPr>
            <w:tcW w:w="1698" w:type="dxa"/>
            <w:tcBorders>
              <w:top w:val="nil" w:sz="6" w:space="0" w:color="auto"/>
              <w:left w:val="nil" w:sz="6" w:space="0" w:color="auto"/>
              <w:bottom w:val="nil" w:sz="6" w:space="0" w:color="auto"/>
              <w:right w:val="nil" w:sz="6" w:space="0" w:color="auto"/>
            </w:tcBorders>
          </w:tcPr>
          <w:p>
            <w:pPr>
              <w:pStyle w:val="TableParagraph"/>
              <w:spacing w:line="268" w:lineRule="exact" w:before="38"/>
              <w:ind w:left="283"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r>
              <w:rPr>
                <w:rFonts w:ascii="Arial" w:hAnsi="Arial" w:cs="Arial" w:eastAsia="Arial" w:hint="default"/>
                <w:sz w:val="20"/>
                <w:szCs w:val="20"/>
              </w:rPr>
              <w:t>4</w:t>
            </w:r>
            <w:r>
              <w:rPr>
                <w:rFonts w:ascii="黑体" w:hAnsi="黑体" w:cs="黑体" w:eastAsia="黑体" w:hint="default"/>
                <w:sz w:val="20"/>
                <w:szCs w:val="20"/>
              </w:rPr>
              <w:t>月</w:t>
            </w:r>
            <w:r>
              <w:rPr>
                <w:rFonts w:ascii="Arial" w:hAnsi="Arial" w:cs="Arial" w:eastAsia="Arial" w:hint="default"/>
                <w:sz w:val="20"/>
                <w:szCs w:val="20"/>
              </w:rPr>
              <w:t>29</w:t>
            </w:r>
            <w:r>
              <w:rPr>
                <w:rFonts w:ascii="黑体" w:hAnsi="黑体" w:cs="黑体" w:eastAsia="黑体" w:hint="default"/>
                <w:sz w:val="20"/>
                <w:szCs w:val="20"/>
              </w:rPr>
              <w:t>日</w:t>
            </w:r>
          </w:p>
          <w:p>
            <w:pPr>
              <w:pStyle w:val="TableParagraph"/>
              <w:spacing w:line="253" w:lineRule="exact"/>
              <w:ind w:left="861" w:right="0"/>
              <w:jc w:val="left"/>
              <w:rPr>
                <w:rFonts w:ascii="黑体" w:hAnsi="黑体" w:cs="黑体" w:eastAsia="黑体" w:hint="default"/>
                <w:sz w:val="20"/>
                <w:szCs w:val="20"/>
              </w:rPr>
            </w:pPr>
            <w:r>
              <w:rPr>
                <w:rFonts w:ascii="黑体" w:hAnsi="黑体" w:cs="黑体" w:eastAsia="黑体" w:hint="default"/>
                <w:sz w:val="20"/>
                <w:szCs w:val="20"/>
              </w:rPr>
              <w:t>账面价值</w:t>
            </w:r>
          </w:p>
        </w:tc>
      </w:tr>
      <w:tr>
        <w:trPr>
          <w:trHeight w:val="391"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96"/>
              <w:ind w:left="35" w:right="0"/>
              <w:jc w:val="left"/>
              <w:rPr>
                <w:rFonts w:ascii="黑体" w:hAnsi="黑体" w:cs="黑体" w:eastAsia="黑体" w:hint="default"/>
                <w:sz w:val="20"/>
                <w:szCs w:val="20"/>
              </w:rPr>
            </w:pPr>
            <w:r>
              <w:rPr>
                <w:rFonts w:ascii="黑体" w:hAnsi="黑体" w:cs="黑体" w:eastAsia="黑体" w:hint="default"/>
                <w:sz w:val="20"/>
                <w:szCs w:val="20"/>
              </w:rPr>
              <w:t>货币资金</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282"/>
              <w:jc w:val="right"/>
              <w:rPr>
                <w:rFonts w:ascii="Arial" w:hAnsi="Arial" w:cs="Arial" w:eastAsia="Arial" w:hint="default"/>
                <w:sz w:val="20"/>
                <w:szCs w:val="20"/>
              </w:rPr>
            </w:pPr>
            <w:r>
              <w:rPr>
                <w:rFonts w:ascii="Arial"/>
                <w:spacing w:val="-1"/>
                <w:sz w:val="20"/>
              </w:rPr>
              <w:t>517,155</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33"/>
              <w:jc w:val="right"/>
              <w:rPr>
                <w:rFonts w:ascii="Arial" w:hAnsi="Arial" w:cs="Arial" w:eastAsia="Arial" w:hint="default"/>
                <w:sz w:val="20"/>
                <w:szCs w:val="20"/>
              </w:rPr>
            </w:pPr>
            <w:r>
              <w:rPr>
                <w:rFonts w:ascii="Arial"/>
                <w:spacing w:val="-1"/>
                <w:sz w:val="20"/>
              </w:rPr>
              <w:t>517,155</w:t>
            </w:r>
          </w:p>
        </w:tc>
      </w:tr>
      <w:tr>
        <w:trPr>
          <w:trHeight w:val="259"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应收账款净额</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1"/>
              <w:jc w:val="right"/>
              <w:rPr>
                <w:rFonts w:ascii="Arial" w:hAnsi="Arial" w:cs="Arial" w:eastAsia="Arial" w:hint="default"/>
                <w:sz w:val="20"/>
                <w:szCs w:val="20"/>
              </w:rPr>
            </w:pPr>
            <w:r>
              <w:rPr>
                <w:rFonts w:ascii="Arial"/>
                <w:spacing w:val="-1"/>
                <w:sz w:val="20"/>
              </w:rPr>
              <w:t>2,257,600</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2,257,600</w:t>
            </w:r>
          </w:p>
        </w:tc>
      </w:tr>
      <w:tr>
        <w:trPr>
          <w:trHeight w:val="260"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其他应收账款净额</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2"/>
              <w:jc w:val="right"/>
              <w:rPr>
                <w:rFonts w:ascii="Arial" w:hAnsi="Arial" w:cs="Arial" w:eastAsia="Arial" w:hint="default"/>
                <w:sz w:val="20"/>
                <w:szCs w:val="20"/>
              </w:rPr>
            </w:pPr>
            <w:r>
              <w:rPr>
                <w:rFonts w:ascii="Arial"/>
                <w:spacing w:val="-1"/>
                <w:sz w:val="20"/>
              </w:rPr>
              <w:t>524,051</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524,051</w:t>
            </w:r>
          </w:p>
        </w:tc>
      </w:tr>
      <w:tr>
        <w:trPr>
          <w:trHeight w:val="260"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27" w:lineRule="exact"/>
              <w:ind w:left="35" w:right="0"/>
              <w:jc w:val="left"/>
              <w:rPr>
                <w:rFonts w:ascii="黑体" w:hAnsi="黑体" w:cs="黑体" w:eastAsia="黑体" w:hint="default"/>
                <w:sz w:val="20"/>
                <w:szCs w:val="20"/>
              </w:rPr>
            </w:pPr>
            <w:r>
              <w:rPr>
                <w:rFonts w:ascii="黑体" w:hAnsi="黑体" w:cs="黑体" w:eastAsia="黑体" w:hint="default"/>
                <w:sz w:val="20"/>
                <w:szCs w:val="20"/>
              </w:rPr>
              <w:t>存货</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2"/>
              <w:jc w:val="right"/>
              <w:rPr>
                <w:rFonts w:ascii="Arial" w:hAnsi="Arial" w:cs="Arial" w:eastAsia="Arial" w:hint="default"/>
                <w:sz w:val="20"/>
                <w:szCs w:val="20"/>
              </w:rPr>
            </w:pPr>
            <w:r>
              <w:rPr>
                <w:rFonts w:ascii="Arial"/>
                <w:spacing w:val="-1"/>
                <w:sz w:val="20"/>
              </w:rPr>
              <w:t>107,443</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63,723</w:t>
            </w:r>
          </w:p>
        </w:tc>
      </w:tr>
      <w:tr>
        <w:trPr>
          <w:trHeight w:val="259"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固定资产</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2"/>
              <w:jc w:val="right"/>
              <w:rPr>
                <w:rFonts w:ascii="Arial" w:hAnsi="Arial" w:cs="Arial" w:eastAsia="Arial" w:hint="default"/>
                <w:sz w:val="20"/>
                <w:szCs w:val="20"/>
              </w:rPr>
            </w:pPr>
            <w:r>
              <w:rPr>
                <w:rFonts w:ascii="Arial"/>
                <w:spacing w:val="-1"/>
                <w:sz w:val="20"/>
              </w:rPr>
              <w:t>185,372</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204,762</w:t>
            </w:r>
          </w:p>
        </w:tc>
      </w:tr>
      <w:tr>
        <w:trPr>
          <w:trHeight w:val="387"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exact"/>
              <w:ind w:left="35" w:right="0"/>
              <w:jc w:val="left"/>
              <w:rPr>
                <w:rFonts w:ascii="黑体" w:hAnsi="黑体" w:cs="黑体" w:eastAsia="黑体" w:hint="default"/>
                <w:sz w:val="20"/>
                <w:szCs w:val="20"/>
              </w:rPr>
            </w:pPr>
            <w:r>
              <w:rPr>
                <w:rFonts w:ascii="黑体" w:hAnsi="黑体" w:cs="黑体" w:eastAsia="黑体" w:hint="default"/>
                <w:sz w:val="20"/>
                <w:szCs w:val="20"/>
              </w:rPr>
              <w:t>无形资产</w:t>
            </w:r>
            <w:r>
              <w:rPr>
                <w:rFonts w:ascii="Arial" w:hAnsi="Arial" w:cs="Arial" w:eastAsia="Arial" w:hint="default"/>
                <w:sz w:val="20"/>
                <w:szCs w:val="20"/>
              </w:rPr>
              <w:t>-</w:t>
            </w:r>
            <w:r>
              <w:rPr>
                <w:rFonts w:ascii="黑体" w:hAnsi="黑体" w:cs="黑体" w:eastAsia="黑体" w:hint="default"/>
                <w:sz w:val="20"/>
                <w:szCs w:val="20"/>
              </w:rPr>
              <w:t>软件著作权</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1"/>
              <w:jc w:val="right"/>
              <w:rPr>
                <w:rFonts w:ascii="Arial" w:hAnsi="Arial" w:cs="Arial" w:eastAsia="Arial" w:hint="default"/>
                <w:sz w:val="20"/>
                <w:szCs w:val="20"/>
              </w:rPr>
            </w:pPr>
            <w:r>
              <w:rPr>
                <w:rFonts w:ascii="Arial"/>
                <w:spacing w:val="-1"/>
                <w:sz w:val="20"/>
              </w:rPr>
              <w:t>6,175,600</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3,343,234</w:t>
            </w:r>
          </w:p>
        </w:tc>
      </w:tr>
      <w:tr>
        <w:trPr>
          <w:trHeight w:val="386"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黑体" w:hAnsi="黑体" w:cs="黑体" w:eastAsia="黑体" w:hint="default"/>
                <w:sz w:val="20"/>
                <w:szCs w:val="20"/>
              </w:rPr>
            </w:pPr>
            <w:r>
              <w:rPr>
                <w:rFonts w:ascii="黑体" w:hAnsi="黑体" w:cs="黑体" w:eastAsia="黑体" w:hint="default"/>
                <w:sz w:val="20"/>
                <w:szCs w:val="20"/>
              </w:rPr>
              <w:t>应付账款</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281"/>
              <w:jc w:val="right"/>
              <w:rPr>
                <w:rFonts w:ascii="Arial" w:hAnsi="Arial" w:cs="Arial" w:eastAsia="Arial" w:hint="default"/>
                <w:sz w:val="20"/>
                <w:szCs w:val="20"/>
              </w:rPr>
            </w:pPr>
            <w:r>
              <w:rPr>
                <w:rFonts w:ascii="Arial"/>
                <w:spacing w:val="-1"/>
                <w:sz w:val="20"/>
              </w:rPr>
              <w:t>1,907,018</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
              <w:jc w:val="right"/>
              <w:rPr>
                <w:rFonts w:ascii="Arial" w:hAnsi="Arial" w:cs="Arial" w:eastAsia="Arial" w:hint="default"/>
                <w:sz w:val="20"/>
                <w:szCs w:val="20"/>
              </w:rPr>
            </w:pPr>
            <w:r>
              <w:rPr>
                <w:rFonts w:ascii="Arial"/>
                <w:spacing w:val="-1"/>
                <w:sz w:val="20"/>
              </w:rPr>
              <w:t>1,907,018</w:t>
            </w:r>
          </w:p>
        </w:tc>
      </w:tr>
      <w:tr>
        <w:trPr>
          <w:trHeight w:val="260"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27" w:lineRule="exact"/>
              <w:ind w:left="35" w:right="0"/>
              <w:jc w:val="left"/>
              <w:rPr>
                <w:rFonts w:ascii="黑体" w:hAnsi="黑体" w:cs="黑体" w:eastAsia="黑体" w:hint="default"/>
                <w:sz w:val="20"/>
                <w:szCs w:val="20"/>
              </w:rPr>
            </w:pPr>
            <w:r>
              <w:rPr>
                <w:rFonts w:ascii="黑体" w:hAnsi="黑体" w:cs="黑体" w:eastAsia="黑体" w:hint="default"/>
                <w:sz w:val="20"/>
                <w:szCs w:val="20"/>
              </w:rPr>
              <w:t>预付账款</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2"/>
              <w:jc w:val="right"/>
              <w:rPr>
                <w:rFonts w:ascii="Arial" w:hAnsi="Arial" w:cs="Arial" w:eastAsia="Arial" w:hint="default"/>
                <w:sz w:val="20"/>
                <w:szCs w:val="20"/>
              </w:rPr>
            </w:pPr>
            <w:r>
              <w:rPr>
                <w:rFonts w:ascii="Arial"/>
                <w:spacing w:val="-1"/>
                <w:sz w:val="20"/>
              </w:rPr>
              <w:t>659,010</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659,010</w:t>
            </w:r>
          </w:p>
        </w:tc>
      </w:tr>
      <w:tr>
        <w:trPr>
          <w:trHeight w:val="259"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其他应付款</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1"/>
              <w:jc w:val="right"/>
              <w:rPr>
                <w:rFonts w:ascii="Arial" w:hAnsi="Arial" w:cs="Arial" w:eastAsia="Arial" w:hint="default"/>
                <w:sz w:val="20"/>
                <w:szCs w:val="20"/>
              </w:rPr>
            </w:pPr>
            <w:r>
              <w:rPr>
                <w:rFonts w:ascii="Arial"/>
                <w:spacing w:val="-1"/>
                <w:sz w:val="20"/>
              </w:rPr>
              <w:t>2,567,500</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2,567,500</w:t>
            </w:r>
          </w:p>
        </w:tc>
      </w:tr>
      <w:tr>
        <w:trPr>
          <w:trHeight w:val="259"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应交税金</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2"/>
              <w:jc w:val="right"/>
              <w:rPr>
                <w:rFonts w:ascii="Arial" w:hAnsi="Arial" w:cs="Arial" w:eastAsia="Arial" w:hint="default"/>
                <w:sz w:val="20"/>
                <w:szCs w:val="20"/>
              </w:rPr>
            </w:pPr>
            <w:r>
              <w:rPr>
                <w:rFonts w:ascii="Arial"/>
                <w:spacing w:val="-1"/>
                <w:sz w:val="20"/>
              </w:rPr>
              <w:t>547,290</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547,290</w:t>
            </w:r>
          </w:p>
        </w:tc>
      </w:tr>
      <w:tr>
        <w:trPr>
          <w:trHeight w:val="259"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其他未交款</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1"/>
              <w:jc w:val="right"/>
              <w:rPr>
                <w:rFonts w:ascii="Arial" w:hAnsi="Arial" w:cs="Arial" w:eastAsia="Arial" w:hint="default"/>
                <w:sz w:val="20"/>
                <w:szCs w:val="20"/>
              </w:rPr>
            </w:pPr>
            <w:r>
              <w:rPr>
                <w:rFonts w:ascii="Arial"/>
                <w:sz w:val="20"/>
              </w:rPr>
              <w:t>14,659</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14,659</w:t>
            </w:r>
          </w:p>
        </w:tc>
      </w:tr>
      <w:tr>
        <w:trPr>
          <w:trHeight w:val="390"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其他长期负债</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3"/>
                <w:sz w:val="20"/>
                <w:u w:val="single" w:color="000000"/>
              </w:rPr>
              <w:t> </w:t>
            </w:r>
            <w:r>
              <w:rPr>
                <w:rFonts w:ascii="Arial"/>
                <w:sz w:val="20"/>
                <w:u w:val="single" w:color="000000"/>
              </w:rPr>
              <w:t>245,000</w:t>
            </w:r>
            <w:r>
              <w:rPr>
                <w:rFonts w:ascii="Arial"/>
                <w:sz w:val="20"/>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245,000</w:t>
            </w:r>
            <w:r>
              <w:rPr>
                <w:rFonts w:ascii="Arial"/>
                <w:sz w:val="20"/>
              </w:rPr>
            </w:r>
          </w:p>
        </w:tc>
      </w:tr>
      <w:tr>
        <w:trPr>
          <w:trHeight w:val="509" w:hRule="exact"/>
        </w:trPr>
        <w:tc>
          <w:tcPr>
            <w:tcW w:w="3181" w:type="dxa"/>
            <w:tcBorders>
              <w:top w:val="nil" w:sz="6" w:space="0" w:color="auto"/>
              <w:left w:val="nil" w:sz="6" w:space="0" w:color="auto"/>
              <w:bottom w:val="nil" w:sz="6" w:space="0" w:color="auto"/>
              <w:right w:val="nil" w:sz="6" w:space="0" w:color="auto"/>
            </w:tcBorders>
          </w:tcPr>
          <w:p>
            <w:pP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282"/>
              <w:jc w:val="right"/>
              <w:rPr>
                <w:rFonts w:ascii="Arial" w:hAnsi="Arial" w:cs="Arial" w:eastAsia="Arial" w:hint="default"/>
                <w:sz w:val="20"/>
                <w:szCs w:val="20"/>
              </w:rPr>
            </w:pPr>
            <w:r>
              <w:rPr>
                <w:rFonts w:ascii="Arial"/>
                <w:spacing w:val="-1"/>
                <w:sz w:val="20"/>
              </w:rPr>
              <w:t>3,826,744</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23"/>
                <w:sz w:val="20"/>
                <w:u w:val="thick" w:color="000000"/>
              </w:rPr>
              <w:t> </w:t>
            </w:r>
            <w:r>
              <w:rPr>
                <w:rFonts w:ascii="Arial"/>
                <w:sz w:val="20"/>
                <w:u w:val="thick" w:color="000000"/>
              </w:rPr>
              <w:t>970,048</w:t>
            </w:r>
            <w:r>
              <w:rPr>
                <w:rFonts w:ascii="Arial"/>
                <w:sz w:val="20"/>
              </w:rPr>
            </w:r>
          </w:p>
        </w:tc>
      </w:tr>
      <w:tr>
        <w:trPr>
          <w:trHeight w:val="516"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黑体" w:hAnsi="黑体" w:cs="黑体" w:eastAsia="黑体" w:hint="default"/>
                <w:sz w:val="20"/>
                <w:szCs w:val="20"/>
              </w:rPr>
            </w:pPr>
            <w:r>
              <w:rPr>
                <w:rFonts w:ascii="黑体" w:hAnsi="黑体" w:cs="黑体" w:eastAsia="黑体" w:hint="default"/>
                <w:sz w:val="20"/>
                <w:szCs w:val="20"/>
              </w:rPr>
              <w:t>少数股东权益</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82"/>
              <w:jc w:val="right"/>
              <w:rPr>
                <w:rFonts w:ascii="Arial" w:hAnsi="Arial" w:cs="Arial" w:eastAsia="Arial" w:hint="default"/>
                <w:sz w:val="20"/>
                <w:szCs w:val="20"/>
              </w:rPr>
            </w:pPr>
            <w:r>
              <w:rPr>
                <w:rFonts w:ascii="Arial"/>
                <w:w w:val="100"/>
                <w:sz w:val="20"/>
              </w:rPr>
            </w:r>
            <w:r>
              <w:rPr>
                <w:rFonts w:ascii="Arial"/>
                <w:spacing w:val="-1"/>
                <w:sz w:val="20"/>
                <w:u w:val="single" w:color="000000"/>
              </w:rPr>
              <w:t>1,976,198</w:t>
            </w:r>
            <w:r>
              <w:rPr>
                <w:rFonts w:ascii="Arial"/>
                <w:spacing w:val="-1"/>
                <w:sz w:val="20"/>
              </w:rPr>
            </w:r>
          </w:p>
        </w:tc>
        <w:tc>
          <w:tcPr>
            <w:tcW w:w="1698" w:type="dxa"/>
            <w:tcBorders>
              <w:top w:val="nil" w:sz="6" w:space="0" w:color="auto"/>
              <w:left w:val="nil" w:sz="6" w:space="0" w:color="auto"/>
              <w:bottom w:val="nil" w:sz="6" w:space="0" w:color="auto"/>
              <w:right w:val="nil" w:sz="6" w:space="0" w:color="auto"/>
            </w:tcBorders>
          </w:tcPr>
          <w:p>
            <w:pPr/>
          </w:p>
        </w:tc>
      </w:tr>
      <w:tr>
        <w:trPr>
          <w:trHeight w:val="508" w:hRule="exact"/>
        </w:trPr>
        <w:tc>
          <w:tcPr>
            <w:tcW w:w="3181" w:type="dxa"/>
            <w:tcBorders>
              <w:top w:val="nil" w:sz="6" w:space="0" w:color="auto"/>
              <w:left w:val="nil" w:sz="6" w:space="0" w:color="auto"/>
              <w:bottom w:val="nil" w:sz="6" w:space="0" w:color="auto"/>
              <w:right w:val="nil" w:sz="6" w:space="0" w:color="auto"/>
            </w:tcBorders>
          </w:tcPr>
          <w:p>
            <w:pP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282"/>
              <w:jc w:val="right"/>
              <w:rPr>
                <w:rFonts w:ascii="Arial" w:hAnsi="Arial" w:cs="Arial" w:eastAsia="Arial" w:hint="default"/>
                <w:sz w:val="20"/>
                <w:szCs w:val="20"/>
              </w:rPr>
            </w:pPr>
            <w:r>
              <w:rPr>
                <w:rFonts w:ascii="Arial"/>
                <w:spacing w:val="-1"/>
                <w:sz w:val="20"/>
              </w:rPr>
              <w:t>1,850,546</w:t>
            </w:r>
          </w:p>
        </w:tc>
        <w:tc>
          <w:tcPr>
            <w:tcW w:w="1698" w:type="dxa"/>
            <w:tcBorders>
              <w:top w:val="nil" w:sz="6" w:space="0" w:color="auto"/>
              <w:left w:val="nil" w:sz="6" w:space="0" w:color="auto"/>
              <w:bottom w:val="nil" w:sz="6" w:space="0" w:color="auto"/>
              <w:right w:val="nil" w:sz="6" w:space="0" w:color="auto"/>
            </w:tcBorders>
          </w:tcPr>
          <w:p>
            <w:pPr/>
          </w:p>
        </w:tc>
      </w:tr>
      <w:tr>
        <w:trPr>
          <w:trHeight w:val="514"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黑体" w:hAnsi="黑体" w:cs="黑体" w:eastAsia="黑体" w:hint="default"/>
                <w:sz w:val="20"/>
                <w:szCs w:val="20"/>
              </w:rPr>
            </w:pPr>
            <w:r>
              <w:rPr>
                <w:rFonts w:ascii="黑体" w:hAnsi="黑体" w:cs="黑体" w:eastAsia="黑体" w:hint="default"/>
                <w:sz w:val="20"/>
                <w:szCs w:val="20"/>
              </w:rPr>
              <w:t>购买产生的商誉</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82"/>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3"/>
                <w:sz w:val="20"/>
                <w:u w:val="single" w:color="000000"/>
              </w:rPr>
              <w:t> </w:t>
            </w:r>
            <w:r>
              <w:rPr>
                <w:rFonts w:ascii="Arial"/>
                <w:spacing w:val="-1"/>
                <w:sz w:val="20"/>
                <w:u w:val="single" w:color="000000"/>
              </w:rPr>
              <w:t>449,454</w:t>
            </w:r>
            <w:r>
              <w:rPr>
                <w:rFonts w:ascii="Arial"/>
                <w:spacing w:val="-1"/>
                <w:sz w:val="20"/>
              </w:rPr>
            </w:r>
          </w:p>
        </w:tc>
        <w:tc>
          <w:tcPr>
            <w:tcW w:w="1698" w:type="dxa"/>
            <w:tcBorders>
              <w:top w:val="nil" w:sz="6" w:space="0" w:color="auto"/>
              <w:left w:val="nil" w:sz="6" w:space="0" w:color="auto"/>
              <w:bottom w:val="nil" w:sz="6" w:space="0" w:color="auto"/>
              <w:right w:val="nil" w:sz="6" w:space="0" w:color="auto"/>
            </w:tcBorders>
          </w:tcPr>
          <w:p>
            <w:pPr/>
          </w:p>
        </w:tc>
      </w:tr>
      <w:tr>
        <w:trPr>
          <w:trHeight w:val="461"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5" w:right="0"/>
              <w:jc w:val="left"/>
              <w:rPr>
                <w:rFonts w:ascii="黑体" w:hAnsi="黑体" w:cs="黑体" w:eastAsia="黑体" w:hint="default"/>
                <w:sz w:val="20"/>
                <w:szCs w:val="20"/>
              </w:rPr>
            </w:pPr>
            <w:r>
              <w:rPr>
                <w:rFonts w:ascii="黑体" w:hAnsi="黑体" w:cs="黑体" w:eastAsia="黑体" w:hint="default"/>
                <w:sz w:val="20"/>
                <w:szCs w:val="20"/>
              </w:rPr>
              <w:t>合并成本</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82"/>
              <w:jc w:val="right"/>
              <w:rPr>
                <w:rFonts w:ascii="Arial" w:hAnsi="Arial" w:cs="Arial" w:eastAsia="Arial" w:hint="default"/>
                <w:sz w:val="20"/>
                <w:szCs w:val="20"/>
              </w:rPr>
            </w:pPr>
            <w:r>
              <w:rPr>
                <w:rFonts w:ascii="Arial"/>
                <w:w w:val="100"/>
                <w:sz w:val="20"/>
              </w:rPr>
            </w:r>
            <w:r>
              <w:rPr>
                <w:rFonts w:ascii="Arial"/>
                <w:spacing w:val="-1"/>
                <w:sz w:val="20"/>
                <w:u w:val="thick" w:color="000000"/>
              </w:rPr>
              <w:t>2,300,000</w:t>
            </w:r>
            <w:r>
              <w:rPr>
                <w:rFonts w:ascii="Arial"/>
                <w:spacing w:val="-1"/>
                <w:sz w:val="20"/>
              </w:rPr>
            </w:r>
          </w:p>
        </w:tc>
        <w:tc>
          <w:tcPr>
            <w:tcW w:w="1698" w:type="dxa"/>
            <w:tcBorders>
              <w:top w:val="nil" w:sz="6" w:space="0" w:color="auto"/>
              <w:left w:val="nil" w:sz="6" w:space="0" w:color="auto"/>
              <w:bottom w:val="nil" w:sz="6" w:space="0" w:color="auto"/>
              <w:right w:val="nil" w:sz="6" w:space="0" w:color="auto"/>
            </w:tcBorders>
          </w:tcPr>
          <w:p>
            <w:pPr/>
          </w:p>
        </w:tc>
      </w:tr>
    </w:tbl>
    <w:p>
      <w:pPr>
        <w:spacing w:after="0"/>
        <w:sectPr>
          <w:footerReference w:type="default" r:id="rId53"/>
          <w:pgSz w:w="11910" w:h="16840"/>
          <w:pgMar w:footer="469" w:header="958" w:top="2380" w:bottom="660" w:left="1580" w:right="1560"/>
          <w:pgNumType w:start="54"/>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7"/>
          <w:szCs w:val="17"/>
        </w:rPr>
      </w:pPr>
    </w:p>
    <w:p>
      <w:pPr>
        <w:tabs>
          <w:tab w:pos="843" w:val="left" w:leader="none"/>
        </w:tabs>
        <w:spacing w:before="38"/>
        <w:ind w:left="141" w:right="2405" w:firstLine="0"/>
        <w:jc w:val="left"/>
        <w:rPr>
          <w:rFonts w:ascii="黑体" w:hAnsi="黑体" w:cs="黑体" w:eastAsia="黑体" w:hint="default"/>
          <w:sz w:val="20"/>
          <w:szCs w:val="20"/>
        </w:rPr>
      </w:pPr>
      <w:r>
        <w:rPr>
          <w:rFonts w:ascii="黑体" w:hAnsi="黑体" w:cs="黑体" w:eastAsia="黑体" w:hint="default"/>
          <w:b/>
          <w:bCs/>
          <w:sz w:val="20"/>
          <w:szCs w:val="20"/>
        </w:rPr>
        <w:t>四、</w:t>
        <w:tab/>
        <w:t>合并财务报表的合并范围（续）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50" w:val="left" w:leader="none"/>
        </w:tabs>
        <w:spacing w:line="424" w:lineRule="auto" w:before="0"/>
        <w:ind w:left="855" w:right="2405" w:hanging="714"/>
        <w:jc w:val="left"/>
        <w:rPr>
          <w:rFonts w:ascii="黑体" w:hAnsi="黑体" w:cs="黑体" w:eastAsia="黑体" w:hint="default"/>
          <w:sz w:val="20"/>
          <w:szCs w:val="20"/>
        </w:rPr>
      </w:pPr>
      <w:r>
        <w:rPr>
          <w:rFonts w:ascii="Arial" w:hAnsi="Arial" w:cs="Arial" w:eastAsia="Arial" w:hint="default"/>
          <w:b/>
          <w:bCs/>
          <w:spacing w:val="-1"/>
          <w:sz w:val="20"/>
          <w:szCs w:val="20"/>
        </w:rPr>
        <w:t>4.</w:t>
        <w:tab/>
      </w:r>
      <w:r>
        <w:rPr>
          <w:rFonts w:ascii="黑体" w:hAnsi="黑体" w:cs="黑体" w:eastAsia="黑体" w:hint="default"/>
          <w:b/>
          <w:bCs/>
          <w:sz w:val="20"/>
          <w:szCs w:val="20"/>
        </w:rPr>
        <w:t>本年度发生的非同一控制下企业合并（续）</w:t>
      </w:r>
      <w:r>
        <w:rPr>
          <w:rFonts w:ascii="黑体" w:hAnsi="黑体" w:cs="黑体" w:eastAsia="黑体" w:hint="default"/>
          <w:b/>
          <w:bCs/>
          <w:w w:val="99"/>
          <w:sz w:val="20"/>
          <w:szCs w:val="20"/>
        </w:rPr>
        <w:t> </w:t>
      </w:r>
      <w:r>
        <w:rPr>
          <w:rFonts w:ascii="黑体" w:hAnsi="黑体" w:cs="黑体" w:eastAsia="黑体" w:hint="default"/>
          <w:spacing w:val="-1"/>
          <w:sz w:val="20"/>
          <w:szCs w:val="20"/>
        </w:rPr>
        <w:t>用友审计自购买日起至本年末的经营成果和现金流量列示如下：</w:t>
      </w:r>
    </w:p>
    <w:p>
      <w:pPr>
        <w:pStyle w:val="BodyText"/>
        <w:spacing w:line="268" w:lineRule="exact" w:before="73"/>
        <w:ind w:left="0" w:right="215"/>
        <w:jc w:val="right"/>
      </w:pPr>
      <w:r>
        <w:rPr>
          <w:rFonts w:ascii="Arial" w:hAnsi="Arial" w:cs="Arial" w:eastAsia="Arial" w:hint="default"/>
          <w:spacing w:val="-1"/>
        </w:rPr>
        <w:t>2009</w:t>
      </w:r>
      <w:r>
        <w:rPr>
          <w:spacing w:val="-1"/>
        </w:rPr>
        <w:t>年</w:t>
      </w:r>
      <w:r>
        <w:rPr>
          <w:rFonts w:ascii="Arial" w:hAnsi="Arial" w:cs="Arial" w:eastAsia="Arial" w:hint="default"/>
          <w:spacing w:val="-1"/>
        </w:rPr>
        <w:t>4</w:t>
      </w:r>
      <w:r>
        <w:rPr>
          <w:spacing w:val="-1"/>
        </w:rPr>
        <w:t>月</w:t>
      </w:r>
      <w:r>
        <w:rPr>
          <w:rFonts w:ascii="Arial" w:hAnsi="Arial" w:cs="Arial" w:eastAsia="Arial" w:hint="default"/>
          <w:spacing w:val="-1"/>
        </w:rPr>
        <w:t>29</w:t>
      </w:r>
      <w:r>
        <w:rPr>
          <w:spacing w:val="-1"/>
        </w:rPr>
        <w:t>日至</w:t>
      </w:r>
    </w:p>
    <w:p>
      <w:pPr>
        <w:pStyle w:val="BodyText"/>
        <w:spacing w:line="262" w:lineRule="exact"/>
        <w:ind w:left="0" w:right="215"/>
        <w:jc w:val="right"/>
      </w:pP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日期间</w:t>
      </w:r>
    </w:p>
    <w:p>
      <w:pPr>
        <w:pStyle w:val="BodyText"/>
        <w:tabs>
          <w:tab w:pos="6874" w:val="left" w:leader="none"/>
        </w:tabs>
        <w:spacing w:line="266" w:lineRule="exact"/>
        <w:ind w:left="0" w:right="230"/>
        <w:jc w:val="right"/>
        <w:rPr>
          <w:rFonts w:ascii="Arial" w:hAnsi="Arial" w:cs="Arial" w:eastAsia="Arial" w:hint="default"/>
        </w:rPr>
      </w:pPr>
      <w:r>
        <w:rPr>
          <w:position w:val="1"/>
        </w:rPr>
        <w:t>营业收入</w:t>
        <w:tab/>
      </w:r>
      <w:r>
        <w:rPr>
          <w:rFonts w:ascii="Arial" w:hAnsi="Arial" w:cs="Arial" w:eastAsia="Arial" w:hint="default"/>
          <w:spacing w:val="-1"/>
        </w:rPr>
        <w:t>9,314,750</w:t>
      </w:r>
    </w:p>
    <w:p>
      <w:pPr>
        <w:pStyle w:val="BodyText"/>
        <w:tabs>
          <w:tab w:pos="6874" w:val="left" w:leader="none"/>
        </w:tabs>
        <w:spacing w:line="259" w:lineRule="exact"/>
        <w:ind w:left="0" w:right="230"/>
        <w:jc w:val="right"/>
        <w:rPr>
          <w:rFonts w:ascii="Arial" w:hAnsi="Arial" w:cs="Arial" w:eastAsia="Arial" w:hint="default"/>
        </w:rPr>
      </w:pPr>
      <w:r>
        <w:rPr>
          <w:position w:val="1"/>
        </w:rPr>
        <w:t>净利润</w:t>
        <w:tab/>
      </w:r>
      <w:r>
        <w:rPr>
          <w:rFonts w:ascii="Arial" w:hAnsi="Arial" w:cs="Arial" w:eastAsia="Arial" w:hint="default"/>
          <w:spacing w:val="-1"/>
        </w:rPr>
        <w:t>3,170,757</w:t>
      </w:r>
    </w:p>
    <w:p>
      <w:pPr>
        <w:pStyle w:val="BodyText"/>
        <w:tabs>
          <w:tab w:pos="6763" w:val="left" w:leader="none"/>
        </w:tabs>
        <w:spacing w:line="273" w:lineRule="exact"/>
        <w:ind w:left="0" w:right="231"/>
        <w:jc w:val="right"/>
        <w:rPr>
          <w:rFonts w:ascii="Arial" w:hAnsi="Arial" w:cs="Arial" w:eastAsia="Arial" w:hint="default"/>
        </w:rPr>
      </w:pPr>
      <w:r>
        <w:rPr>
          <w:spacing w:val="-1"/>
          <w:position w:val="1"/>
        </w:rPr>
        <w:t>现金流量净额</w:t>
        <w:tab/>
      </w:r>
      <w:r>
        <w:rPr>
          <w:rFonts w:ascii="Arial" w:hAnsi="Arial" w:cs="Arial" w:eastAsia="Arial" w:hint="default"/>
          <w:spacing w:val="-1"/>
        </w:rPr>
        <w:t>10,070,751</w:t>
      </w:r>
    </w:p>
    <w:p>
      <w:pPr>
        <w:spacing w:line="240" w:lineRule="auto" w:before="4"/>
        <w:rPr>
          <w:rFonts w:ascii="Arial" w:hAnsi="Arial" w:cs="Arial" w:eastAsia="Arial" w:hint="default"/>
          <w:sz w:val="17"/>
          <w:szCs w:val="17"/>
        </w:rPr>
      </w:pPr>
    </w:p>
    <w:p>
      <w:pPr>
        <w:tabs>
          <w:tab w:pos="854" w:val="left" w:leader="none"/>
        </w:tabs>
        <w:spacing w:before="0"/>
        <w:ind w:left="141" w:right="2405" w:firstLine="0"/>
        <w:jc w:val="left"/>
        <w:rPr>
          <w:rFonts w:ascii="黑体" w:hAnsi="黑体" w:cs="黑体" w:eastAsia="黑体" w:hint="default"/>
          <w:sz w:val="20"/>
          <w:szCs w:val="20"/>
        </w:rPr>
      </w:pPr>
      <w:r>
        <w:rPr>
          <w:rFonts w:ascii="Arial" w:hAnsi="Arial" w:cs="Arial" w:eastAsia="Arial" w:hint="default"/>
          <w:b/>
          <w:bCs/>
          <w:w w:val="95"/>
          <w:sz w:val="20"/>
          <w:szCs w:val="20"/>
        </w:rPr>
        <w:t>5</w:t>
      </w:r>
      <w:r>
        <w:rPr>
          <w:rFonts w:ascii="黑体" w:hAnsi="黑体" w:cs="黑体" w:eastAsia="黑体" w:hint="default"/>
          <w:b/>
          <w:bCs/>
          <w:w w:val="95"/>
          <w:sz w:val="20"/>
          <w:szCs w:val="20"/>
        </w:rPr>
        <w:t>．</w:t>
        <w:tab/>
      </w:r>
      <w:r>
        <w:rPr>
          <w:rFonts w:ascii="黑体" w:hAnsi="黑体" w:cs="黑体" w:eastAsia="黑体" w:hint="default"/>
          <w:b/>
          <w:bCs/>
          <w:sz w:val="20"/>
          <w:szCs w:val="20"/>
        </w:rPr>
        <w:t>本年度发生的非同一控制下收购其他公司的资产和业务</w:t>
      </w:r>
      <w:r>
        <w:rPr>
          <w:rFonts w:ascii="黑体" w:hAnsi="黑体" w:cs="黑体" w:eastAsia="黑体" w:hint="default"/>
          <w:sz w:val="20"/>
          <w:szCs w:val="20"/>
        </w:rPr>
      </w:r>
    </w:p>
    <w:p>
      <w:pPr>
        <w:spacing w:line="240" w:lineRule="auto" w:before="4"/>
        <w:rPr>
          <w:rFonts w:ascii="黑体" w:hAnsi="黑体" w:cs="黑体" w:eastAsia="黑体" w:hint="default"/>
          <w:b/>
          <w:bCs/>
          <w:sz w:val="18"/>
          <w:szCs w:val="18"/>
        </w:rPr>
      </w:pPr>
    </w:p>
    <w:p>
      <w:pPr>
        <w:pStyle w:val="BodyText"/>
        <w:spacing w:line="260" w:lineRule="exact"/>
        <w:ind w:left="851" w:right="211" w:hanging="715"/>
        <w:jc w:val="both"/>
      </w:pPr>
      <w:r>
        <w:rPr>
          <w:rFonts w:ascii="Arial" w:hAnsi="Arial" w:cs="Arial" w:eastAsia="Arial" w:hint="default"/>
        </w:rPr>
        <w:t>(1)</w:t>
      </w:r>
      <w:r>
        <w:rPr>
          <w:rFonts w:ascii="Arial" w:hAnsi="Arial" w:cs="Arial" w:eastAsia="Arial" w:hint="default"/>
          <w:spacing w:val="35"/>
        </w:rPr>
        <w:t> </w:t>
      </w:r>
      <w:r>
        <w:rPr/>
        <w:t>本公司于</w:t>
      </w:r>
      <w:r>
        <w:rPr>
          <w:rFonts w:ascii="Arial" w:hAnsi="Arial" w:cs="Arial" w:eastAsia="Arial" w:hint="default"/>
        </w:rPr>
        <w:t>2009</w:t>
      </w:r>
      <w:r>
        <w:rPr/>
        <w:t>年</w:t>
      </w:r>
      <w:r>
        <w:rPr>
          <w:rFonts w:ascii="Arial" w:hAnsi="Arial" w:cs="Arial" w:eastAsia="Arial" w:hint="default"/>
        </w:rPr>
        <w:t>5</w:t>
      </w:r>
      <w:r>
        <w:rPr/>
        <w:t>月</w:t>
      </w:r>
      <w:r>
        <w:rPr>
          <w:rFonts w:ascii="Arial" w:hAnsi="Arial" w:cs="Arial" w:eastAsia="Arial" w:hint="default"/>
        </w:rPr>
        <w:t>26</w:t>
      </w:r>
      <w:r>
        <w:rPr/>
        <w:t>日协议收购重庆迈特科技有限责任公司（以下简称</w:t>
      </w:r>
      <w:r>
        <w:rPr>
          <w:rFonts w:ascii="Arial" w:hAnsi="Arial" w:cs="Arial" w:eastAsia="Arial" w:hint="default"/>
        </w:rPr>
        <w:t>“</w:t>
      </w:r>
      <w:r>
        <w:rPr/>
        <w:t>重庆迈特</w:t>
      </w:r>
      <w:r>
        <w:rPr>
          <w:rFonts w:ascii="Arial" w:hAnsi="Arial" w:cs="Arial" w:eastAsia="Arial" w:hint="default"/>
        </w:rPr>
        <w:t>”</w:t>
      </w:r>
      <w:r>
        <w:rPr/>
        <w:t>）的</w:t>
      </w:r>
      <w:r>
        <w:rPr>
          <w:spacing w:val="-97"/>
        </w:rPr>
        <w:t> </w:t>
      </w:r>
      <w:r>
        <w:rPr>
          <w:spacing w:val="-3"/>
        </w:rPr>
        <w:t>资产和业务，收购价为现金人民币</w:t>
      </w:r>
      <w:r>
        <w:rPr>
          <w:rFonts w:ascii="Arial" w:hAnsi="Arial" w:cs="Arial" w:eastAsia="Arial" w:hint="default"/>
          <w:spacing w:val="-3"/>
        </w:rPr>
        <w:t>6,980,000</w:t>
      </w:r>
      <w:r>
        <w:rPr>
          <w:spacing w:val="-3"/>
        </w:rPr>
        <w:t>元。此次收购业经中和资产评估有限公司进行</w:t>
      </w:r>
      <w:r>
        <w:rPr>
          <w:w w:val="100"/>
        </w:rPr>
        <w:t> </w:t>
      </w:r>
      <w:r>
        <w:rPr>
          <w:spacing w:val="-1"/>
        </w:rPr>
        <w:t>评估，并于</w:t>
      </w:r>
      <w:r>
        <w:rPr>
          <w:rFonts w:ascii="Arial" w:hAnsi="Arial" w:cs="Arial" w:eastAsia="Arial" w:hint="default"/>
          <w:spacing w:val="-1"/>
        </w:rPr>
        <w:t>2010</w:t>
      </w:r>
      <w:r>
        <w:rPr>
          <w:spacing w:val="-1"/>
        </w:rPr>
        <w:t>年</w:t>
      </w:r>
      <w:r>
        <w:rPr>
          <w:rFonts w:ascii="Arial" w:hAnsi="Arial" w:cs="Arial" w:eastAsia="Arial" w:hint="default"/>
          <w:spacing w:val="-1"/>
        </w:rPr>
        <w:t>1</w:t>
      </w:r>
      <w:r>
        <w:rPr>
          <w:spacing w:val="-1"/>
        </w:rPr>
        <w:t>月</w:t>
      </w:r>
      <w:r>
        <w:rPr>
          <w:rFonts w:ascii="Arial" w:hAnsi="Arial" w:cs="Arial" w:eastAsia="Arial" w:hint="default"/>
          <w:spacing w:val="-1"/>
        </w:rPr>
        <w:t>22</w:t>
      </w:r>
      <w:r>
        <w:rPr>
          <w:spacing w:val="-1"/>
        </w:rPr>
        <w:t>日出具了中和评报字（</w:t>
      </w:r>
      <w:r>
        <w:rPr>
          <w:rFonts w:ascii="Arial" w:hAnsi="Arial" w:cs="Arial" w:eastAsia="Arial" w:hint="default"/>
          <w:spacing w:val="-1"/>
        </w:rPr>
        <w:t>2009</w:t>
      </w:r>
      <w:r>
        <w:rPr>
          <w:spacing w:val="-1"/>
        </w:rPr>
        <w:t>）第</w:t>
      </w:r>
      <w:r>
        <w:rPr>
          <w:rFonts w:ascii="Arial" w:hAnsi="Arial" w:cs="Arial" w:eastAsia="Arial" w:hint="default"/>
          <w:spacing w:val="-1"/>
        </w:rPr>
        <w:t>V1147</w:t>
      </w:r>
      <w:r>
        <w:rPr>
          <w:spacing w:val="-1"/>
        </w:rPr>
        <w:t>号资产评估报告书。该评</w:t>
      </w:r>
      <w:r>
        <w:rPr>
          <w:w w:val="100"/>
        </w:rPr>
        <w:t> </w:t>
      </w:r>
      <w:r>
        <w:rPr>
          <w:spacing w:val="4"/>
        </w:rPr>
        <w:t>估报告以</w:t>
      </w:r>
      <w:r>
        <w:rPr>
          <w:rFonts w:ascii="Arial" w:hAnsi="Arial" w:cs="Arial" w:eastAsia="Arial" w:hint="default"/>
          <w:spacing w:val="4"/>
        </w:rPr>
        <w:t>2009</w:t>
      </w:r>
      <w:r>
        <w:rPr>
          <w:spacing w:val="4"/>
        </w:rPr>
        <w:t>年</w:t>
      </w:r>
      <w:r>
        <w:rPr>
          <w:rFonts w:ascii="Arial" w:hAnsi="Arial" w:cs="Arial" w:eastAsia="Arial" w:hint="default"/>
          <w:spacing w:val="4"/>
        </w:rPr>
        <w:t>6</w:t>
      </w:r>
      <w:r>
        <w:rPr>
          <w:spacing w:val="4"/>
        </w:rPr>
        <w:t>月</w:t>
      </w:r>
      <w:r>
        <w:rPr>
          <w:rFonts w:ascii="Arial" w:hAnsi="Arial" w:cs="Arial" w:eastAsia="Arial" w:hint="default"/>
          <w:spacing w:val="4"/>
        </w:rPr>
        <w:t>30</w:t>
      </w:r>
      <w:r>
        <w:rPr>
          <w:spacing w:val="4"/>
        </w:rPr>
        <w:t>日为评估基准日，确定本次收购资产和业务的公允价值为人民币</w:t>
      </w:r>
      <w:r>
        <w:rPr>
          <w:w w:val="100"/>
        </w:rPr>
        <w:t> </w:t>
      </w:r>
      <w:r>
        <w:rPr>
          <w:rFonts w:ascii="Arial" w:hAnsi="Arial" w:cs="Arial" w:eastAsia="Arial" w:hint="default"/>
        </w:rPr>
        <w:t>1,270,600</w:t>
      </w:r>
      <w:r>
        <w:rPr/>
        <w:t>元，因购买而产生的商誉为人民币</w:t>
      </w:r>
      <w:r>
        <w:rPr>
          <w:rFonts w:ascii="Arial" w:hAnsi="Arial" w:cs="Arial" w:eastAsia="Arial" w:hint="default"/>
        </w:rPr>
        <w:t>5,709,400</w:t>
      </w:r>
      <w:r>
        <w:rPr/>
        <w:t>元。</w:t>
      </w:r>
    </w:p>
    <w:p>
      <w:pPr>
        <w:spacing w:line="240" w:lineRule="auto" w:before="8"/>
        <w:rPr>
          <w:rFonts w:ascii="黑体" w:hAnsi="黑体" w:cs="黑体" w:eastAsia="黑体" w:hint="default"/>
          <w:sz w:val="15"/>
          <w:szCs w:val="15"/>
        </w:rPr>
      </w:pPr>
    </w:p>
    <w:p>
      <w:pPr>
        <w:pStyle w:val="BodyText"/>
        <w:spacing w:line="240" w:lineRule="auto"/>
        <w:ind w:left="856" w:right="2405"/>
        <w:jc w:val="left"/>
      </w:pPr>
      <w:r>
        <w:rPr/>
        <w:t>重庆迈特的可辨认资产于购买日的公允价值和账面价值如下：</w:t>
      </w:r>
    </w:p>
    <w:p>
      <w:pPr>
        <w:spacing w:line="240" w:lineRule="auto" w:before="6"/>
        <w:rPr>
          <w:rFonts w:ascii="黑体" w:hAnsi="黑体" w:cs="黑体" w:eastAsia="黑体" w:hint="default"/>
          <w:sz w:val="14"/>
          <w:szCs w:val="14"/>
        </w:rPr>
      </w:pPr>
    </w:p>
    <w:tbl>
      <w:tblPr>
        <w:tblW w:w="0" w:type="auto"/>
        <w:jc w:val="left"/>
        <w:tblInd w:w="812" w:type="dxa"/>
        <w:tblLayout w:type="fixed"/>
        <w:tblCellMar>
          <w:top w:w="0" w:type="dxa"/>
          <w:left w:w="0" w:type="dxa"/>
          <w:bottom w:w="0" w:type="dxa"/>
          <w:right w:w="0" w:type="dxa"/>
        </w:tblCellMar>
        <w:tblLook w:val="01E0"/>
      </w:tblPr>
      <w:tblGrid>
        <w:gridCol w:w="3347"/>
        <w:gridCol w:w="2965"/>
        <w:gridCol w:w="1557"/>
      </w:tblGrid>
      <w:tr>
        <w:trPr>
          <w:trHeight w:val="717" w:hRule="exact"/>
        </w:trPr>
        <w:tc>
          <w:tcPr>
            <w:tcW w:w="3347" w:type="dxa"/>
            <w:tcBorders>
              <w:top w:val="nil" w:sz="6" w:space="0" w:color="auto"/>
              <w:left w:val="nil" w:sz="6" w:space="0" w:color="auto"/>
              <w:bottom w:val="nil" w:sz="6" w:space="0" w:color="auto"/>
              <w:right w:val="nil" w:sz="6" w:space="0" w:color="auto"/>
            </w:tcBorders>
          </w:tcPr>
          <w:p>
            <w:pPr/>
          </w:p>
        </w:tc>
        <w:tc>
          <w:tcPr>
            <w:tcW w:w="2965" w:type="dxa"/>
            <w:tcBorders>
              <w:top w:val="nil" w:sz="6" w:space="0" w:color="auto"/>
              <w:left w:val="nil" w:sz="6" w:space="0" w:color="auto"/>
              <w:bottom w:val="nil" w:sz="6" w:space="0" w:color="auto"/>
              <w:right w:val="nil" w:sz="6" w:space="0" w:color="auto"/>
            </w:tcBorders>
          </w:tcPr>
          <w:p>
            <w:pPr>
              <w:pStyle w:val="TableParagraph"/>
              <w:spacing w:line="268" w:lineRule="exact" w:before="38"/>
              <w:ind w:right="141"/>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6</w:t>
            </w:r>
            <w:r>
              <w:rPr>
                <w:rFonts w:ascii="黑体" w:hAnsi="黑体" w:cs="黑体" w:eastAsia="黑体" w:hint="default"/>
                <w:spacing w:val="-1"/>
                <w:sz w:val="20"/>
                <w:szCs w:val="20"/>
              </w:rPr>
              <w:t>月</w:t>
            </w:r>
            <w:r>
              <w:rPr>
                <w:rFonts w:ascii="Arial" w:hAnsi="Arial" w:cs="Arial" w:eastAsia="Arial" w:hint="default"/>
                <w:spacing w:val="-1"/>
                <w:sz w:val="20"/>
                <w:szCs w:val="20"/>
              </w:rPr>
              <w:t>30</w:t>
            </w:r>
            <w:r>
              <w:rPr>
                <w:rFonts w:ascii="黑体" w:hAnsi="黑体" w:cs="黑体" w:eastAsia="黑体" w:hint="default"/>
                <w:spacing w:val="-1"/>
                <w:sz w:val="20"/>
                <w:szCs w:val="20"/>
              </w:rPr>
              <w:t>日</w:t>
            </w:r>
          </w:p>
          <w:p>
            <w:pPr>
              <w:pStyle w:val="TableParagraph"/>
              <w:spacing w:line="253" w:lineRule="exact"/>
              <w:ind w:right="141"/>
              <w:jc w:val="right"/>
              <w:rPr>
                <w:rFonts w:ascii="黑体" w:hAnsi="黑体" w:cs="黑体" w:eastAsia="黑体" w:hint="default"/>
                <w:sz w:val="20"/>
                <w:szCs w:val="20"/>
              </w:rPr>
            </w:pPr>
            <w:r>
              <w:rPr>
                <w:rFonts w:ascii="黑体" w:hAnsi="黑体" w:cs="黑体" w:eastAsia="黑体" w:hint="default"/>
                <w:sz w:val="20"/>
                <w:szCs w:val="20"/>
              </w:rPr>
              <w:t>公允价值</w:t>
            </w:r>
          </w:p>
        </w:tc>
        <w:tc>
          <w:tcPr>
            <w:tcW w:w="1557" w:type="dxa"/>
            <w:tcBorders>
              <w:top w:val="nil" w:sz="6" w:space="0" w:color="auto"/>
              <w:left w:val="nil" w:sz="6" w:space="0" w:color="auto"/>
              <w:bottom w:val="nil" w:sz="6" w:space="0" w:color="auto"/>
              <w:right w:val="nil" w:sz="6" w:space="0" w:color="auto"/>
            </w:tcBorders>
          </w:tcPr>
          <w:p>
            <w:pPr>
              <w:pStyle w:val="TableParagraph"/>
              <w:spacing w:line="268" w:lineRule="exact" w:before="38"/>
              <w:ind w:left="143"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r>
              <w:rPr>
                <w:rFonts w:ascii="Arial" w:hAnsi="Arial" w:cs="Arial" w:eastAsia="Arial" w:hint="default"/>
                <w:sz w:val="20"/>
                <w:szCs w:val="20"/>
              </w:rPr>
              <w:t>6</w:t>
            </w:r>
            <w:r>
              <w:rPr>
                <w:rFonts w:ascii="黑体" w:hAnsi="黑体" w:cs="黑体" w:eastAsia="黑体" w:hint="default"/>
                <w:sz w:val="20"/>
                <w:szCs w:val="20"/>
              </w:rPr>
              <w:t>月</w:t>
            </w:r>
            <w:r>
              <w:rPr>
                <w:rFonts w:ascii="Arial" w:hAnsi="Arial" w:cs="Arial" w:eastAsia="Arial" w:hint="default"/>
                <w:sz w:val="20"/>
                <w:szCs w:val="20"/>
              </w:rPr>
              <w:t>30</w:t>
            </w:r>
            <w:r>
              <w:rPr>
                <w:rFonts w:ascii="黑体" w:hAnsi="黑体" w:cs="黑体" w:eastAsia="黑体" w:hint="default"/>
                <w:sz w:val="20"/>
                <w:szCs w:val="20"/>
              </w:rPr>
              <w:t>日</w:t>
            </w:r>
          </w:p>
          <w:p>
            <w:pPr>
              <w:pStyle w:val="TableParagraph"/>
              <w:spacing w:line="253" w:lineRule="exact"/>
              <w:ind w:left="720" w:right="0"/>
              <w:jc w:val="left"/>
              <w:rPr>
                <w:rFonts w:ascii="黑体" w:hAnsi="黑体" w:cs="黑体" w:eastAsia="黑体" w:hint="default"/>
                <w:sz w:val="20"/>
                <w:szCs w:val="20"/>
              </w:rPr>
            </w:pPr>
            <w:r>
              <w:rPr>
                <w:rFonts w:ascii="黑体" w:hAnsi="黑体" w:cs="黑体" w:eastAsia="黑体" w:hint="default"/>
                <w:sz w:val="20"/>
                <w:szCs w:val="20"/>
              </w:rPr>
              <w:t>账面价值</w:t>
            </w:r>
          </w:p>
        </w:tc>
      </w:tr>
      <w:tr>
        <w:trPr>
          <w:trHeight w:val="391" w:hRule="exact"/>
        </w:trPr>
        <w:tc>
          <w:tcPr>
            <w:tcW w:w="3347" w:type="dxa"/>
            <w:tcBorders>
              <w:top w:val="nil" w:sz="6" w:space="0" w:color="auto"/>
              <w:left w:val="nil" w:sz="6" w:space="0" w:color="auto"/>
              <w:bottom w:val="nil" w:sz="6" w:space="0" w:color="auto"/>
              <w:right w:val="nil" w:sz="6" w:space="0" w:color="auto"/>
            </w:tcBorders>
          </w:tcPr>
          <w:p>
            <w:pPr>
              <w:pStyle w:val="TableParagraph"/>
              <w:spacing w:line="240" w:lineRule="auto" w:before="96"/>
              <w:ind w:left="36" w:right="0"/>
              <w:jc w:val="left"/>
              <w:rPr>
                <w:rFonts w:ascii="黑体" w:hAnsi="黑体" w:cs="黑体" w:eastAsia="黑体" w:hint="default"/>
                <w:sz w:val="20"/>
                <w:szCs w:val="20"/>
              </w:rPr>
            </w:pPr>
            <w:r>
              <w:rPr>
                <w:rFonts w:ascii="黑体" w:hAnsi="黑体" w:cs="黑体" w:eastAsia="黑体" w:hint="default"/>
                <w:sz w:val="20"/>
                <w:szCs w:val="20"/>
              </w:rPr>
              <w:t>应收账款</w:t>
            </w:r>
          </w:p>
        </w:tc>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41"/>
              <w:jc w:val="right"/>
              <w:rPr>
                <w:rFonts w:ascii="Arial" w:hAnsi="Arial" w:cs="Arial" w:eastAsia="Arial" w:hint="default"/>
                <w:sz w:val="20"/>
                <w:szCs w:val="20"/>
              </w:rPr>
            </w:pPr>
            <w:r>
              <w:rPr>
                <w:rFonts w:ascii="Arial"/>
                <w:sz w:val="20"/>
              </w:rPr>
              <w:t>80,600</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33"/>
              <w:jc w:val="right"/>
              <w:rPr>
                <w:rFonts w:ascii="Arial" w:hAnsi="Arial" w:cs="Arial" w:eastAsia="Arial" w:hint="default"/>
                <w:sz w:val="20"/>
                <w:szCs w:val="20"/>
              </w:rPr>
            </w:pPr>
            <w:r>
              <w:rPr>
                <w:rFonts w:ascii="Arial"/>
                <w:spacing w:val="-1"/>
                <w:sz w:val="20"/>
              </w:rPr>
              <w:t>229,100</w:t>
            </w:r>
          </w:p>
        </w:tc>
      </w:tr>
      <w:tr>
        <w:trPr>
          <w:trHeight w:val="259" w:hRule="exact"/>
        </w:trPr>
        <w:tc>
          <w:tcPr>
            <w:tcW w:w="3347" w:type="dxa"/>
            <w:tcBorders>
              <w:top w:val="nil" w:sz="6" w:space="0" w:color="auto"/>
              <w:left w:val="nil" w:sz="6" w:space="0" w:color="auto"/>
              <w:bottom w:val="nil" w:sz="6" w:space="0" w:color="auto"/>
              <w:right w:val="nil" w:sz="6" w:space="0" w:color="auto"/>
            </w:tcBorders>
          </w:tcPr>
          <w:p>
            <w:pPr>
              <w:pStyle w:val="TableParagraph"/>
              <w:spacing w:line="226" w:lineRule="exact"/>
              <w:ind w:left="36" w:right="0"/>
              <w:jc w:val="left"/>
              <w:rPr>
                <w:rFonts w:ascii="黑体" w:hAnsi="黑体" w:cs="黑体" w:eastAsia="黑体" w:hint="default"/>
                <w:sz w:val="20"/>
                <w:szCs w:val="20"/>
              </w:rPr>
            </w:pPr>
            <w:r>
              <w:rPr>
                <w:rFonts w:ascii="黑体" w:hAnsi="黑体" w:cs="黑体" w:eastAsia="黑体" w:hint="default"/>
                <w:sz w:val="20"/>
                <w:szCs w:val="20"/>
              </w:rPr>
              <w:t>固定资产</w:t>
            </w:r>
          </w:p>
        </w:tc>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1"/>
              <w:jc w:val="right"/>
              <w:rPr>
                <w:rFonts w:ascii="Arial" w:hAnsi="Arial" w:cs="Arial" w:eastAsia="Arial" w:hint="default"/>
                <w:sz w:val="20"/>
                <w:szCs w:val="20"/>
              </w:rPr>
            </w:pPr>
            <w:r>
              <w:rPr>
                <w:rFonts w:ascii="Arial"/>
                <w:spacing w:val="-1"/>
                <w:sz w:val="20"/>
              </w:rPr>
              <w:t>200,000</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w:t>
            </w:r>
          </w:p>
        </w:tc>
      </w:tr>
      <w:tr>
        <w:trPr>
          <w:trHeight w:val="262" w:hRule="exact"/>
        </w:trPr>
        <w:tc>
          <w:tcPr>
            <w:tcW w:w="3347" w:type="dxa"/>
            <w:tcBorders>
              <w:top w:val="nil" w:sz="6" w:space="0" w:color="auto"/>
              <w:left w:val="nil" w:sz="6" w:space="0" w:color="auto"/>
              <w:bottom w:val="nil" w:sz="6" w:space="0" w:color="auto"/>
              <w:right w:val="nil" w:sz="6" w:space="0" w:color="auto"/>
            </w:tcBorders>
          </w:tcPr>
          <w:p>
            <w:pPr>
              <w:pStyle w:val="TableParagraph"/>
              <w:spacing w:line="240" w:lineRule="exact"/>
              <w:ind w:left="36" w:right="0"/>
              <w:jc w:val="left"/>
              <w:rPr>
                <w:rFonts w:ascii="黑体" w:hAnsi="黑体" w:cs="黑体" w:eastAsia="黑体" w:hint="default"/>
                <w:sz w:val="20"/>
                <w:szCs w:val="20"/>
              </w:rPr>
            </w:pPr>
            <w:r>
              <w:rPr>
                <w:rFonts w:ascii="黑体" w:hAnsi="黑体" w:cs="黑体" w:eastAsia="黑体" w:hint="default"/>
                <w:sz w:val="20"/>
                <w:szCs w:val="20"/>
              </w:rPr>
              <w:t>无形资产</w:t>
            </w:r>
            <w:r>
              <w:rPr>
                <w:rFonts w:ascii="Arial" w:hAnsi="Arial" w:cs="Arial" w:eastAsia="Arial" w:hint="default"/>
                <w:sz w:val="20"/>
                <w:szCs w:val="20"/>
              </w:rPr>
              <w:t>-</w:t>
            </w:r>
            <w:r>
              <w:rPr>
                <w:rFonts w:ascii="黑体" w:hAnsi="黑体" w:cs="黑体" w:eastAsia="黑体" w:hint="default"/>
                <w:sz w:val="20"/>
                <w:szCs w:val="20"/>
              </w:rPr>
              <w:t>软件著作权</w:t>
            </w:r>
          </w:p>
        </w:tc>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2"/>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990,000</w:t>
            </w:r>
            <w:r>
              <w:rPr>
                <w:rFonts w:ascii="Arial"/>
                <w:sz w:val="20"/>
              </w:rPr>
            </w:r>
          </w:p>
        </w:tc>
        <w:tc>
          <w:tcPr>
            <w:tcW w:w="1557" w:type="dxa"/>
            <w:tcBorders>
              <w:top w:val="nil" w:sz="6" w:space="0" w:color="auto"/>
              <w:left w:val="nil" w:sz="6" w:space="0" w:color="auto"/>
              <w:bottom w:val="nil" w:sz="6" w:space="0" w:color="auto"/>
              <w:right w:val="nil" w:sz="6" w:space="0" w:color="auto"/>
            </w:tcBorders>
          </w:tcPr>
          <w:p>
            <w:pPr>
              <w:pStyle w:val="TableParagraph"/>
              <w:tabs>
                <w:tab w:pos="679" w:val="left" w:leader="none"/>
              </w:tabs>
              <w:spacing w:line="240" w:lineRule="auto" w:before="8"/>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253" w:hRule="exact"/>
        </w:trPr>
        <w:tc>
          <w:tcPr>
            <w:tcW w:w="3347" w:type="dxa"/>
            <w:tcBorders>
              <w:top w:val="nil" w:sz="6" w:space="0" w:color="auto"/>
              <w:left w:val="nil" w:sz="6" w:space="0" w:color="auto"/>
              <w:bottom w:val="nil" w:sz="6" w:space="0" w:color="auto"/>
              <w:right w:val="nil" w:sz="6" w:space="0" w:color="auto"/>
            </w:tcBorders>
          </w:tcPr>
          <w:p>
            <w:pPr/>
          </w:p>
        </w:tc>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42"/>
              <w:jc w:val="right"/>
              <w:rPr>
                <w:rFonts w:ascii="Arial" w:hAnsi="Arial" w:cs="Arial" w:eastAsia="Arial" w:hint="default"/>
                <w:sz w:val="20"/>
                <w:szCs w:val="20"/>
              </w:rPr>
            </w:pPr>
            <w:r>
              <w:rPr>
                <w:rFonts w:ascii="Arial"/>
                <w:spacing w:val="-1"/>
                <w:sz w:val="20"/>
              </w:rPr>
              <w:t>1,270,600</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4"/>
              <w:jc w:val="right"/>
              <w:rPr>
                <w:rFonts w:ascii="Arial" w:hAnsi="Arial" w:cs="Arial" w:eastAsia="Arial" w:hint="default"/>
                <w:sz w:val="20"/>
                <w:szCs w:val="20"/>
              </w:rPr>
            </w:pPr>
            <w:r>
              <w:rPr>
                <w:rFonts w:ascii="Arial"/>
                <w:w w:val="100"/>
                <w:sz w:val="20"/>
              </w:rPr>
            </w:r>
            <w:r>
              <w:rPr>
                <w:rFonts w:ascii="Arial"/>
                <w:spacing w:val="-1"/>
                <w:sz w:val="20"/>
                <w:u w:val="thick" w:color="000000"/>
              </w:rPr>
              <w:t>229,100</w:t>
            </w:r>
            <w:r>
              <w:rPr>
                <w:rFonts w:ascii="Arial"/>
                <w:spacing w:val="-1"/>
                <w:sz w:val="20"/>
              </w:rPr>
            </w:r>
          </w:p>
        </w:tc>
      </w:tr>
      <w:tr>
        <w:trPr>
          <w:trHeight w:val="259" w:hRule="exact"/>
        </w:trPr>
        <w:tc>
          <w:tcPr>
            <w:tcW w:w="3347" w:type="dxa"/>
            <w:tcBorders>
              <w:top w:val="nil" w:sz="6" w:space="0" w:color="auto"/>
              <w:left w:val="nil" w:sz="6" w:space="0" w:color="auto"/>
              <w:bottom w:val="nil" w:sz="6" w:space="0" w:color="auto"/>
              <w:right w:val="nil" w:sz="6" w:space="0" w:color="auto"/>
            </w:tcBorders>
          </w:tcPr>
          <w:p>
            <w:pPr>
              <w:pStyle w:val="TableParagraph"/>
              <w:spacing w:line="225" w:lineRule="exact"/>
              <w:ind w:left="35" w:right="0"/>
              <w:jc w:val="left"/>
              <w:rPr>
                <w:rFonts w:ascii="黑体" w:hAnsi="黑体" w:cs="黑体" w:eastAsia="黑体" w:hint="default"/>
                <w:sz w:val="20"/>
                <w:szCs w:val="20"/>
              </w:rPr>
            </w:pPr>
            <w:r>
              <w:rPr>
                <w:rFonts w:ascii="黑体" w:hAnsi="黑体" w:cs="黑体" w:eastAsia="黑体" w:hint="default"/>
                <w:sz w:val="20"/>
                <w:szCs w:val="20"/>
              </w:rPr>
              <w:t>购买产生的商誉</w:t>
            </w:r>
          </w:p>
        </w:tc>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42"/>
              <w:jc w:val="right"/>
              <w:rPr>
                <w:rFonts w:ascii="Arial" w:hAnsi="Arial" w:cs="Arial" w:eastAsia="Arial" w:hint="default"/>
                <w:sz w:val="20"/>
                <w:szCs w:val="20"/>
              </w:rPr>
            </w:pPr>
            <w:r>
              <w:rPr>
                <w:rFonts w:ascii="Arial"/>
                <w:w w:val="100"/>
                <w:sz w:val="20"/>
              </w:rPr>
            </w:r>
            <w:r>
              <w:rPr>
                <w:rFonts w:ascii="Arial"/>
                <w:spacing w:val="-1"/>
                <w:sz w:val="20"/>
                <w:u w:val="single" w:color="000000"/>
              </w:rPr>
              <w:t>5,709,400</w:t>
            </w:r>
            <w:r>
              <w:rPr>
                <w:rFonts w:ascii="Arial"/>
                <w:spacing w:val="-1"/>
                <w:sz w:val="20"/>
              </w:rPr>
            </w:r>
          </w:p>
        </w:tc>
        <w:tc>
          <w:tcPr>
            <w:tcW w:w="1557" w:type="dxa"/>
            <w:tcBorders>
              <w:top w:val="nil" w:sz="6" w:space="0" w:color="auto"/>
              <w:left w:val="nil" w:sz="6" w:space="0" w:color="auto"/>
              <w:bottom w:val="nil" w:sz="6" w:space="0" w:color="auto"/>
              <w:right w:val="nil" w:sz="6" w:space="0" w:color="auto"/>
            </w:tcBorders>
          </w:tcPr>
          <w:p>
            <w:pPr/>
          </w:p>
        </w:tc>
      </w:tr>
      <w:tr>
        <w:trPr>
          <w:trHeight w:val="334" w:hRule="exact"/>
        </w:trPr>
        <w:tc>
          <w:tcPr>
            <w:tcW w:w="3347" w:type="dxa"/>
            <w:tcBorders>
              <w:top w:val="nil" w:sz="6" w:space="0" w:color="auto"/>
              <w:left w:val="nil" w:sz="6" w:space="0" w:color="auto"/>
              <w:bottom w:val="nil" w:sz="6" w:space="0" w:color="auto"/>
              <w:right w:val="nil" w:sz="6" w:space="0" w:color="auto"/>
            </w:tcBorders>
          </w:tcPr>
          <w:p>
            <w:pPr>
              <w:pStyle w:val="TableParagraph"/>
              <w:spacing w:line="227" w:lineRule="exact"/>
              <w:ind w:left="35" w:right="0"/>
              <w:jc w:val="left"/>
              <w:rPr>
                <w:rFonts w:ascii="黑体" w:hAnsi="黑体" w:cs="黑体" w:eastAsia="黑体" w:hint="default"/>
                <w:sz w:val="20"/>
                <w:szCs w:val="20"/>
              </w:rPr>
            </w:pPr>
            <w:r>
              <w:rPr>
                <w:rFonts w:ascii="黑体" w:hAnsi="黑体" w:cs="黑体" w:eastAsia="黑体" w:hint="default"/>
                <w:sz w:val="20"/>
                <w:szCs w:val="20"/>
              </w:rPr>
              <w:t>合并成本</w:t>
            </w:r>
          </w:p>
        </w:tc>
        <w:tc>
          <w:tcPr>
            <w:tcW w:w="29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2"/>
              <w:jc w:val="right"/>
              <w:rPr>
                <w:rFonts w:ascii="Arial" w:hAnsi="Arial" w:cs="Arial" w:eastAsia="Arial" w:hint="default"/>
                <w:sz w:val="20"/>
                <w:szCs w:val="20"/>
              </w:rPr>
            </w:pPr>
            <w:r>
              <w:rPr>
                <w:rFonts w:ascii="Arial"/>
                <w:w w:val="100"/>
                <w:sz w:val="20"/>
              </w:rPr>
            </w:r>
            <w:r>
              <w:rPr>
                <w:rFonts w:ascii="Arial"/>
                <w:spacing w:val="-1"/>
                <w:sz w:val="20"/>
                <w:u w:val="thick" w:color="000000"/>
              </w:rPr>
              <w:t>6,980,000</w:t>
            </w:r>
            <w:r>
              <w:rPr>
                <w:rFonts w:ascii="Arial"/>
                <w:spacing w:val="-1"/>
                <w:sz w:val="20"/>
              </w:rPr>
            </w:r>
          </w:p>
        </w:tc>
        <w:tc>
          <w:tcPr>
            <w:tcW w:w="1557" w:type="dxa"/>
            <w:tcBorders>
              <w:top w:val="nil" w:sz="6" w:space="0" w:color="auto"/>
              <w:left w:val="nil" w:sz="6" w:space="0" w:color="auto"/>
              <w:bottom w:val="nil" w:sz="6" w:space="0" w:color="auto"/>
              <w:right w:val="nil" w:sz="6" w:space="0" w:color="auto"/>
            </w:tcBorders>
          </w:tcPr>
          <w:p>
            <w:pPr/>
          </w:p>
        </w:tc>
      </w:tr>
    </w:tbl>
    <w:p>
      <w:pPr>
        <w:spacing w:line="240" w:lineRule="auto" w:before="2"/>
        <w:rPr>
          <w:rFonts w:ascii="黑体" w:hAnsi="黑体" w:cs="黑体" w:eastAsia="黑体" w:hint="default"/>
          <w:sz w:val="6"/>
          <w:szCs w:val="6"/>
        </w:rPr>
      </w:pPr>
    </w:p>
    <w:p>
      <w:pPr>
        <w:pStyle w:val="BodyText"/>
        <w:tabs>
          <w:tab w:pos="850" w:val="left" w:leader="none"/>
        </w:tabs>
        <w:spacing w:line="225" w:lineRule="auto" w:before="52"/>
        <w:ind w:left="851" w:right="113" w:hanging="715"/>
        <w:jc w:val="left"/>
      </w:pPr>
      <w:r>
        <w:rPr>
          <w:rFonts w:ascii="Arial" w:hAnsi="Arial" w:cs="Arial" w:eastAsia="Arial" w:hint="default"/>
        </w:rPr>
        <w:t>(2)</w:t>
        <w:tab/>
      </w:r>
      <w:r>
        <w:rPr/>
        <w:t>本公司于</w:t>
      </w:r>
      <w:r>
        <w:rPr>
          <w:rFonts w:ascii="Arial" w:hAnsi="Arial" w:cs="Arial" w:eastAsia="Arial" w:hint="default"/>
        </w:rPr>
        <w:t>2009</w:t>
      </w:r>
      <w:r>
        <w:rPr/>
        <w:t>年</w:t>
      </w:r>
      <w:r>
        <w:rPr>
          <w:rFonts w:ascii="Arial" w:hAnsi="Arial" w:cs="Arial" w:eastAsia="Arial" w:hint="default"/>
        </w:rPr>
        <w:t>9</w:t>
      </w:r>
      <w:r>
        <w:rPr/>
        <w:t>月</w:t>
      </w:r>
      <w:r>
        <w:rPr>
          <w:rFonts w:ascii="Arial" w:hAnsi="Arial" w:cs="Arial" w:eastAsia="Arial" w:hint="default"/>
        </w:rPr>
        <w:t>24</w:t>
      </w:r>
      <w:r>
        <w:rPr/>
        <w:t>日协议收购上海恒聚网络科技有限公司及上海哈久网络科技有限公</w:t>
      </w:r>
      <w:r>
        <w:rPr>
          <w:spacing w:val="-86"/>
        </w:rPr>
        <w:t> </w:t>
      </w:r>
      <w:r>
        <w:rPr>
          <w:spacing w:val="-86"/>
        </w:rPr>
      </w:r>
      <w:r>
        <w:rPr/>
        <w:t>司（以下简称</w:t>
      </w:r>
      <w:r>
        <w:rPr>
          <w:rFonts w:ascii="Arial" w:hAnsi="Arial" w:cs="Arial" w:eastAsia="Arial" w:hint="default"/>
        </w:rPr>
        <w:t>“</w:t>
      </w:r>
      <w:r>
        <w:rPr/>
        <w:t>上海恒聚哈久</w:t>
      </w:r>
      <w:r>
        <w:rPr>
          <w:rFonts w:ascii="Arial" w:hAnsi="Arial" w:cs="Arial" w:eastAsia="Arial" w:hint="default"/>
        </w:rPr>
        <w:t>”</w:t>
      </w:r>
      <w:r>
        <w:rPr/>
        <w:t>）的资产和业务，收购价为现金人民币</w:t>
      </w:r>
      <w:r>
        <w:rPr>
          <w:rFonts w:ascii="Arial" w:hAnsi="Arial" w:cs="Arial" w:eastAsia="Arial" w:hint="default"/>
        </w:rPr>
        <w:t>19,800,000</w:t>
      </w:r>
      <w:r>
        <w:rPr/>
        <w:t>元。此次</w:t>
      </w:r>
      <w:r>
        <w:rPr>
          <w:spacing w:val="1"/>
          <w:w w:val="100"/>
        </w:rPr>
        <w:t> </w:t>
      </w:r>
      <w:r>
        <w:rPr>
          <w:spacing w:val="-4"/>
        </w:rPr>
        <w:t>收购业经中和资产评估有限公司进行评估，并于</w:t>
      </w:r>
      <w:r>
        <w:rPr>
          <w:rFonts w:ascii="Arial" w:hAnsi="Arial" w:cs="Arial" w:eastAsia="Arial" w:hint="default"/>
          <w:spacing w:val="-4"/>
        </w:rPr>
        <w:t>2010</w:t>
      </w:r>
      <w:r>
        <w:rPr>
          <w:spacing w:val="-4"/>
        </w:rPr>
        <w:t>年</w:t>
      </w:r>
      <w:r>
        <w:rPr>
          <w:rFonts w:ascii="Arial" w:hAnsi="Arial" w:cs="Arial" w:eastAsia="Arial" w:hint="default"/>
          <w:spacing w:val="-4"/>
        </w:rPr>
        <w:t>1</w:t>
      </w:r>
      <w:r>
        <w:rPr>
          <w:spacing w:val="-4"/>
        </w:rPr>
        <w:t>月</w:t>
      </w:r>
      <w:r>
        <w:rPr>
          <w:rFonts w:ascii="Arial" w:hAnsi="Arial" w:cs="Arial" w:eastAsia="Arial" w:hint="default"/>
          <w:spacing w:val="-4"/>
        </w:rPr>
        <w:t>21</w:t>
      </w:r>
      <w:r>
        <w:rPr>
          <w:spacing w:val="-4"/>
        </w:rPr>
        <w:t>日出具了中和评报字（</w:t>
      </w:r>
      <w:r>
        <w:rPr>
          <w:rFonts w:ascii="Arial" w:hAnsi="Arial" w:cs="Arial" w:eastAsia="Arial" w:hint="default"/>
          <w:spacing w:val="-4"/>
        </w:rPr>
        <w:t>2009</w:t>
      </w:r>
      <w:r>
        <w:rPr>
          <w:spacing w:val="-4"/>
        </w:rPr>
        <w:t>）</w:t>
      </w:r>
      <w:r>
        <w:rPr>
          <w:w w:val="100"/>
        </w:rPr>
        <w:t> </w:t>
      </w:r>
      <w:r>
        <w:rPr/>
        <w:t>第</w:t>
      </w:r>
      <w:r>
        <w:rPr>
          <w:rFonts w:ascii="Arial" w:hAnsi="Arial" w:cs="Arial" w:eastAsia="Arial" w:hint="default"/>
        </w:rPr>
        <w:t>V1148</w:t>
      </w:r>
      <w:r>
        <w:rPr/>
        <w:t>号资产评估报告书。该评估报告以</w:t>
      </w:r>
      <w:r>
        <w:rPr>
          <w:rFonts w:ascii="Arial" w:hAnsi="Arial" w:cs="Arial" w:eastAsia="Arial" w:hint="default"/>
        </w:rPr>
        <w:t>2009</w:t>
      </w:r>
      <w:r>
        <w:rPr/>
        <w:t>年</w:t>
      </w:r>
      <w:r>
        <w:rPr>
          <w:rFonts w:ascii="Arial" w:hAnsi="Arial" w:cs="Arial" w:eastAsia="Arial" w:hint="default"/>
        </w:rPr>
        <w:t>9</w:t>
      </w:r>
      <w:r>
        <w:rPr/>
        <w:t>月</w:t>
      </w:r>
      <w:r>
        <w:rPr>
          <w:rFonts w:ascii="Arial" w:hAnsi="Arial" w:cs="Arial" w:eastAsia="Arial" w:hint="default"/>
        </w:rPr>
        <w:t>30</w:t>
      </w:r>
      <w:r>
        <w:rPr/>
        <w:t>日为评估基准日，确定本次收购</w:t>
      </w:r>
      <w:r>
        <w:rPr>
          <w:w w:val="100"/>
        </w:rPr>
        <w:t> </w:t>
      </w:r>
      <w:r>
        <w:rPr/>
        <w:t>资产和业务的公允价值为人民币</w:t>
      </w:r>
      <w:r>
        <w:rPr>
          <w:rFonts w:ascii="Arial" w:hAnsi="Arial" w:cs="Arial" w:eastAsia="Arial" w:hint="default"/>
        </w:rPr>
        <w:t>1,481,007</w:t>
      </w:r>
      <w:r>
        <w:rPr/>
        <w:t>元，因购买而产生的商誉为人民币</w:t>
      </w:r>
      <w:r>
        <w:rPr>
          <w:rFonts w:ascii="Arial" w:hAnsi="Arial" w:cs="Arial" w:eastAsia="Arial" w:hint="default"/>
        </w:rPr>
        <w:t>18,318,993</w:t>
      </w:r>
      <w:r>
        <w:rPr>
          <w:rFonts w:ascii="Arial" w:hAnsi="Arial" w:cs="Arial" w:eastAsia="Arial" w:hint="default"/>
          <w:w w:val="100"/>
        </w:rPr>
        <w:t> </w:t>
      </w:r>
      <w:r>
        <w:rPr/>
        <w:t>元。</w:t>
      </w:r>
    </w:p>
    <w:p>
      <w:pPr>
        <w:spacing w:line="240" w:lineRule="auto" w:before="7"/>
        <w:rPr>
          <w:rFonts w:ascii="黑体" w:hAnsi="黑体" w:cs="黑体" w:eastAsia="黑体" w:hint="default"/>
          <w:sz w:val="17"/>
          <w:szCs w:val="17"/>
        </w:rPr>
      </w:pPr>
    </w:p>
    <w:p>
      <w:pPr>
        <w:pStyle w:val="BodyText"/>
        <w:spacing w:line="240" w:lineRule="auto"/>
        <w:ind w:left="856" w:right="113"/>
        <w:jc w:val="left"/>
      </w:pPr>
      <w:r>
        <w:rPr/>
        <w:t>上海恒聚哈久的可辨认资产于购买日的公允价值和账面价值如下：</w:t>
      </w:r>
    </w:p>
    <w:p>
      <w:pPr>
        <w:spacing w:line="240" w:lineRule="auto" w:before="6"/>
        <w:rPr>
          <w:rFonts w:ascii="黑体" w:hAnsi="黑体" w:cs="黑体" w:eastAsia="黑体" w:hint="default"/>
          <w:sz w:val="14"/>
          <w:szCs w:val="14"/>
        </w:rPr>
      </w:pPr>
    </w:p>
    <w:tbl>
      <w:tblPr>
        <w:tblW w:w="0" w:type="auto"/>
        <w:jc w:val="left"/>
        <w:tblInd w:w="839" w:type="dxa"/>
        <w:tblLayout w:type="fixed"/>
        <w:tblCellMar>
          <w:top w:w="0" w:type="dxa"/>
          <w:left w:w="0" w:type="dxa"/>
          <w:bottom w:w="0" w:type="dxa"/>
          <w:right w:w="0" w:type="dxa"/>
        </w:tblCellMar>
        <w:tblLook w:val="01E0"/>
      </w:tblPr>
      <w:tblGrid>
        <w:gridCol w:w="3333"/>
        <w:gridCol w:w="2951"/>
        <w:gridCol w:w="1557"/>
      </w:tblGrid>
      <w:tr>
        <w:trPr>
          <w:trHeight w:val="704" w:hRule="exact"/>
        </w:trPr>
        <w:tc>
          <w:tcPr>
            <w:tcW w:w="3333" w:type="dxa"/>
            <w:tcBorders>
              <w:top w:val="nil" w:sz="6" w:space="0" w:color="auto"/>
              <w:left w:val="nil" w:sz="6" w:space="0" w:color="auto"/>
              <w:bottom w:val="nil" w:sz="6" w:space="0" w:color="auto"/>
              <w:right w:val="nil" w:sz="6" w:space="0" w:color="auto"/>
            </w:tcBorders>
          </w:tcPr>
          <w:p>
            <w:pPr/>
          </w:p>
        </w:tc>
        <w:tc>
          <w:tcPr>
            <w:tcW w:w="2951" w:type="dxa"/>
            <w:tcBorders>
              <w:top w:val="nil" w:sz="6" w:space="0" w:color="auto"/>
              <w:left w:val="nil" w:sz="6" w:space="0" w:color="auto"/>
              <w:bottom w:val="nil" w:sz="6" w:space="0" w:color="auto"/>
              <w:right w:val="nil" w:sz="6" w:space="0" w:color="auto"/>
            </w:tcBorders>
          </w:tcPr>
          <w:p>
            <w:pPr>
              <w:pStyle w:val="TableParagraph"/>
              <w:spacing w:line="268" w:lineRule="exact" w:before="38"/>
              <w:ind w:right="141"/>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9</w:t>
            </w:r>
            <w:r>
              <w:rPr>
                <w:rFonts w:ascii="黑体" w:hAnsi="黑体" w:cs="黑体" w:eastAsia="黑体" w:hint="default"/>
                <w:spacing w:val="-1"/>
                <w:sz w:val="20"/>
                <w:szCs w:val="20"/>
              </w:rPr>
              <w:t>月</w:t>
            </w:r>
            <w:r>
              <w:rPr>
                <w:rFonts w:ascii="Arial" w:hAnsi="Arial" w:cs="Arial" w:eastAsia="Arial" w:hint="default"/>
                <w:spacing w:val="-1"/>
                <w:sz w:val="20"/>
                <w:szCs w:val="20"/>
              </w:rPr>
              <w:t>30</w:t>
            </w:r>
            <w:r>
              <w:rPr>
                <w:rFonts w:ascii="黑体" w:hAnsi="黑体" w:cs="黑体" w:eastAsia="黑体" w:hint="default"/>
                <w:spacing w:val="-1"/>
                <w:sz w:val="20"/>
                <w:szCs w:val="20"/>
              </w:rPr>
              <w:t>日</w:t>
            </w:r>
          </w:p>
          <w:p>
            <w:pPr>
              <w:pStyle w:val="TableParagraph"/>
              <w:spacing w:line="253" w:lineRule="exact"/>
              <w:ind w:right="141"/>
              <w:jc w:val="right"/>
              <w:rPr>
                <w:rFonts w:ascii="黑体" w:hAnsi="黑体" w:cs="黑体" w:eastAsia="黑体" w:hint="default"/>
                <w:sz w:val="20"/>
                <w:szCs w:val="20"/>
              </w:rPr>
            </w:pPr>
            <w:r>
              <w:rPr>
                <w:rFonts w:ascii="黑体" w:hAnsi="黑体" w:cs="黑体" w:eastAsia="黑体" w:hint="default"/>
                <w:sz w:val="20"/>
                <w:szCs w:val="20"/>
              </w:rPr>
              <w:t>公允价值</w:t>
            </w:r>
          </w:p>
        </w:tc>
        <w:tc>
          <w:tcPr>
            <w:tcW w:w="1557" w:type="dxa"/>
            <w:tcBorders>
              <w:top w:val="nil" w:sz="6" w:space="0" w:color="auto"/>
              <w:left w:val="nil" w:sz="6" w:space="0" w:color="auto"/>
              <w:bottom w:val="nil" w:sz="6" w:space="0" w:color="auto"/>
              <w:right w:val="nil" w:sz="6" w:space="0" w:color="auto"/>
            </w:tcBorders>
          </w:tcPr>
          <w:p>
            <w:pPr>
              <w:pStyle w:val="TableParagraph"/>
              <w:spacing w:line="268" w:lineRule="exact" w:before="38"/>
              <w:ind w:left="143"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r>
              <w:rPr>
                <w:rFonts w:ascii="Arial" w:hAnsi="Arial" w:cs="Arial" w:eastAsia="Arial" w:hint="default"/>
                <w:sz w:val="20"/>
                <w:szCs w:val="20"/>
              </w:rPr>
              <w:t>9</w:t>
            </w:r>
            <w:r>
              <w:rPr>
                <w:rFonts w:ascii="黑体" w:hAnsi="黑体" w:cs="黑体" w:eastAsia="黑体" w:hint="default"/>
                <w:sz w:val="20"/>
                <w:szCs w:val="20"/>
              </w:rPr>
              <w:t>月</w:t>
            </w:r>
            <w:r>
              <w:rPr>
                <w:rFonts w:ascii="Arial" w:hAnsi="Arial" w:cs="Arial" w:eastAsia="Arial" w:hint="default"/>
                <w:sz w:val="20"/>
                <w:szCs w:val="20"/>
              </w:rPr>
              <w:t>30</w:t>
            </w:r>
            <w:r>
              <w:rPr>
                <w:rFonts w:ascii="黑体" w:hAnsi="黑体" w:cs="黑体" w:eastAsia="黑体" w:hint="default"/>
                <w:sz w:val="20"/>
                <w:szCs w:val="20"/>
              </w:rPr>
              <w:t>日</w:t>
            </w:r>
          </w:p>
          <w:p>
            <w:pPr>
              <w:pStyle w:val="TableParagraph"/>
              <w:spacing w:line="253" w:lineRule="exact"/>
              <w:ind w:left="720" w:right="0"/>
              <w:jc w:val="left"/>
              <w:rPr>
                <w:rFonts w:ascii="黑体" w:hAnsi="黑体" w:cs="黑体" w:eastAsia="黑体" w:hint="default"/>
                <w:sz w:val="20"/>
                <w:szCs w:val="20"/>
              </w:rPr>
            </w:pPr>
            <w:r>
              <w:rPr>
                <w:rFonts w:ascii="黑体" w:hAnsi="黑体" w:cs="黑体" w:eastAsia="黑体" w:hint="default"/>
                <w:sz w:val="20"/>
                <w:szCs w:val="20"/>
              </w:rPr>
              <w:t>账面价值</w:t>
            </w:r>
          </w:p>
        </w:tc>
      </w:tr>
      <w:tr>
        <w:trPr>
          <w:trHeight w:val="378" w:hRule="exact"/>
        </w:trPr>
        <w:tc>
          <w:tcPr>
            <w:tcW w:w="3333"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黑体" w:hAnsi="黑体" w:cs="黑体" w:eastAsia="黑体" w:hint="default"/>
                <w:sz w:val="20"/>
                <w:szCs w:val="20"/>
              </w:rPr>
            </w:pPr>
            <w:r>
              <w:rPr>
                <w:rFonts w:ascii="黑体" w:hAnsi="黑体" w:cs="黑体" w:eastAsia="黑体" w:hint="default"/>
                <w:sz w:val="20"/>
                <w:szCs w:val="20"/>
              </w:rPr>
              <w:t>固定资产</w:t>
            </w:r>
          </w:p>
        </w:tc>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41"/>
              <w:jc w:val="right"/>
              <w:rPr>
                <w:rFonts w:ascii="Arial" w:hAnsi="Arial" w:cs="Arial" w:eastAsia="Arial" w:hint="default"/>
                <w:sz w:val="20"/>
                <w:szCs w:val="20"/>
              </w:rPr>
            </w:pPr>
            <w:r>
              <w:rPr>
                <w:rFonts w:ascii="Arial"/>
                <w:spacing w:val="-1"/>
                <w:sz w:val="20"/>
              </w:rPr>
              <w:t>116,832</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33"/>
              <w:jc w:val="right"/>
              <w:rPr>
                <w:rFonts w:ascii="Arial" w:hAnsi="Arial" w:cs="Arial" w:eastAsia="Arial" w:hint="default"/>
                <w:sz w:val="20"/>
                <w:szCs w:val="20"/>
              </w:rPr>
            </w:pPr>
            <w:r>
              <w:rPr>
                <w:rFonts w:ascii="Arial"/>
                <w:spacing w:val="-1"/>
                <w:sz w:val="20"/>
              </w:rPr>
              <w:t>427,893</w:t>
            </w:r>
          </w:p>
        </w:tc>
      </w:tr>
      <w:tr>
        <w:trPr>
          <w:trHeight w:val="249" w:hRule="exact"/>
        </w:trPr>
        <w:tc>
          <w:tcPr>
            <w:tcW w:w="3333" w:type="dxa"/>
            <w:tcBorders>
              <w:top w:val="nil" w:sz="6" w:space="0" w:color="auto"/>
              <w:left w:val="nil" w:sz="6" w:space="0" w:color="auto"/>
              <w:bottom w:val="nil" w:sz="6" w:space="0" w:color="auto"/>
              <w:right w:val="nil" w:sz="6" w:space="0" w:color="auto"/>
            </w:tcBorders>
          </w:tcPr>
          <w:p>
            <w:pPr>
              <w:pStyle w:val="TableParagraph"/>
              <w:spacing w:line="240" w:lineRule="exact"/>
              <w:ind w:left="35" w:right="0"/>
              <w:jc w:val="left"/>
              <w:rPr>
                <w:rFonts w:ascii="黑体" w:hAnsi="黑体" w:cs="黑体" w:eastAsia="黑体" w:hint="default"/>
                <w:sz w:val="20"/>
                <w:szCs w:val="20"/>
              </w:rPr>
            </w:pPr>
            <w:r>
              <w:rPr>
                <w:rFonts w:ascii="黑体" w:hAnsi="黑体" w:cs="黑体" w:eastAsia="黑体" w:hint="default"/>
                <w:sz w:val="20"/>
                <w:szCs w:val="20"/>
              </w:rPr>
              <w:t>无形资产</w:t>
            </w:r>
            <w:r>
              <w:rPr>
                <w:rFonts w:ascii="Arial" w:hAnsi="Arial" w:cs="Arial" w:eastAsia="Arial" w:hint="default"/>
                <w:sz w:val="20"/>
                <w:szCs w:val="20"/>
              </w:rPr>
              <w:t>-</w:t>
            </w:r>
            <w:r>
              <w:rPr>
                <w:rFonts w:ascii="黑体" w:hAnsi="黑体" w:cs="黑体" w:eastAsia="黑体" w:hint="default"/>
                <w:sz w:val="20"/>
                <w:szCs w:val="20"/>
              </w:rPr>
              <w:t>软件著作权</w:t>
            </w:r>
          </w:p>
        </w:tc>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1"/>
                <w:sz w:val="20"/>
                <w:u w:val="single" w:color="000000"/>
              </w:rPr>
              <w:t> </w:t>
            </w:r>
            <w:r>
              <w:rPr>
                <w:rFonts w:ascii="Arial"/>
                <w:sz w:val="20"/>
                <w:u w:val="single" w:color="000000"/>
              </w:rPr>
              <w:t>1,364,175</w:t>
            </w:r>
            <w:r>
              <w:rPr>
                <w:rFonts w:ascii="Arial"/>
                <w:sz w:val="20"/>
              </w:rPr>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7"/>
                <w:sz w:val="20"/>
                <w:u w:val="single" w:color="000000"/>
              </w:rPr>
              <w:t> </w:t>
            </w:r>
            <w:r>
              <w:rPr>
                <w:rFonts w:ascii="Arial"/>
                <w:sz w:val="20"/>
                <w:u w:val="single" w:color="000000"/>
              </w:rPr>
              <w:t>4,220</w:t>
            </w:r>
            <w:r>
              <w:rPr>
                <w:rFonts w:ascii="Arial"/>
                <w:sz w:val="20"/>
              </w:rPr>
            </w:r>
          </w:p>
        </w:tc>
      </w:tr>
      <w:tr>
        <w:trPr>
          <w:trHeight w:val="241" w:hRule="exact"/>
        </w:trPr>
        <w:tc>
          <w:tcPr>
            <w:tcW w:w="3333" w:type="dxa"/>
            <w:tcBorders>
              <w:top w:val="nil" w:sz="6" w:space="0" w:color="auto"/>
              <w:left w:val="nil" w:sz="6" w:space="0" w:color="auto"/>
              <w:bottom w:val="nil" w:sz="6" w:space="0" w:color="auto"/>
              <w:right w:val="nil" w:sz="6" w:space="0" w:color="auto"/>
            </w:tcBorders>
          </w:tcPr>
          <w:p>
            <w:pPr/>
          </w:p>
        </w:tc>
        <w:tc>
          <w:tcPr>
            <w:tcW w:w="2951" w:type="dxa"/>
            <w:tcBorders>
              <w:top w:val="nil" w:sz="6" w:space="0" w:color="auto"/>
              <w:left w:val="nil" w:sz="6" w:space="0" w:color="auto"/>
              <w:bottom w:val="nil" w:sz="6" w:space="0" w:color="auto"/>
              <w:right w:val="nil" w:sz="6" w:space="0" w:color="auto"/>
            </w:tcBorders>
          </w:tcPr>
          <w:p>
            <w:pPr>
              <w:pStyle w:val="TableParagraph"/>
              <w:spacing w:line="220" w:lineRule="exact"/>
              <w:ind w:right="142"/>
              <w:jc w:val="right"/>
              <w:rPr>
                <w:rFonts w:ascii="Arial" w:hAnsi="Arial" w:cs="Arial" w:eastAsia="Arial" w:hint="default"/>
                <w:sz w:val="20"/>
                <w:szCs w:val="20"/>
              </w:rPr>
            </w:pPr>
            <w:r>
              <w:rPr>
                <w:rFonts w:ascii="Arial"/>
                <w:sz w:val="20"/>
              </w:rPr>
              <w:t>1,481,007</w:t>
            </w:r>
          </w:p>
        </w:tc>
        <w:tc>
          <w:tcPr>
            <w:tcW w:w="1557" w:type="dxa"/>
            <w:tcBorders>
              <w:top w:val="nil" w:sz="6" w:space="0" w:color="auto"/>
              <w:left w:val="nil" w:sz="6" w:space="0" w:color="auto"/>
              <w:bottom w:val="nil" w:sz="6" w:space="0" w:color="auto"/>
              <w:right w:val="nil" w:sz="6" w:space="0" w:color="auto"/>
            </w:tcBorders>
          </w:tcPr>
          <w:p>
            <w:pPr>
              <w:pStyle w:val="TableParagraph"/>
              <w:spacing w:line="220" w:lineRule="exact"/>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432,113</w:t>
            </w:r>
            <w:r>
              <w:rPr>
                <w:rFonts w:ascii="Arial"/>
                <w:spacing w:val="-1"/>
                <w:sz w:val="20"/>
              </w:rPr>
            </w:r>
          </w:p>
        </w:tc>
      </w:tr>
      <w:tr>
        <w:trPr>
          <w:trHeight w:val="269" w:hRule="exact"/>
        </w:trPr>
        <w:tc>
          <w:tcPr>
            <w:tcW w:w="3333"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购买产生的商誉</w:t>
            </w:r>
          </w:p>
        </w:tc>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2"/>
              <w:jc w:val="right"/>
              <w:rPr>
                <w:rFonts w:ascii="Arial" w:hAnsi="Arial" w:cs="Arial" w:eastAsia="Arial" w:hint="default"/>
                <w:sz w:val="20"/>
                <w:szCs w:val="20"/>
              </w:rPr>
            </w:pPr>
            <w:r>
              <w:rPr>
                <w:rFonts w:ascii="Arial"/>
                <w:w w:val="100"/>
                <w:sz w:val="20"/>
              </w:rPr>
            </w:r>
            <w:r>
              <w:rPr>
                <w:rFonts w:ascii="Arial"/>
                <w:spacing w:val="-1"/>
                <w:sz w:val="20"/>
                <w:u w:val="single" w:color="000000"/>
              </w:rPr>
              <w:t>18,318,993</w:t>
            </w:r>
            <w:r>
              <w:rPr>
                <w:rFonts w:ascii="Arial"/>
                <w:spacing w:val="-1"/>
                <w:sz w:val="20"/>
              </w:rPr>
            </w:r>
          </w:p>
        </w:tc>
        <w:tc>
          <w:tcPr>
            <w:tcW w:w="1557" w:type="dxa"/>
            <w:tcBorders>
              <w:top w:val="nil" w:sz="6" w:space="0" w:color="auto"/>
              <w:left w:val="nil" w:sz="6" w:space="0" w:color="auto"/>
              <w:bottom w:val="nil" w:sz="6" w:space="0" w:color="auto"/>
              <w:right w:val="nil" w:sz="6" w:space="0" w:color="auto"/>
            </w:tcBorders>
          </w:tcPr>
          <w:p>
            <w:pPr/>
          </w:p>
        </w:tc>
      </w:tr>
      <w:tr>
        <w:trPr>
          <w:trHeight w:val="345" w:hRule="exact"/>
        </w:trPr>
        <w:tc>
          <w:tcPr>
            <w:tcW w:w="3333" w:type="dxa"/>
            <w:tcBorders>
              <w:top w:val="nil" w:sz="6" w:space="0" w:color="auto"/>
              <w:left w:val="nil" w:sz="6" w:space="0" w:color="auto"/>
              <w:bottom w:val="nil" w:sz="6" w:space="0" w:color="auto"/>
              <w:right w:val="nil" w:sz="6" w:space="0" w:color="auto"/>
            </w:tcBorders>
          </w:tcPr>
          <w:p>
            <w:pPr>
              <w:pStyle w:val="TableParagraph"/>
              <w:spacing w:line="236" w:lineRule="exact"/>
              <w:ind w:left="35" w:right="0"/>
              <w:jc w:val="left"/>
              <w:rPr>
                <w:rFonts w:ascii="黑体" w:hAnsi="黑体" w:cs="黑体" w:eastAsia="黑体" w:hint="default"/>
                <w:sz w:val="20"/>
                <w:szCs w:val="20"/>
              </w:rPr>
            </w:pPr>
            <w:r>
              <w:rPr>
                <w:rFonts w:ascii="黑体" w:hAnsi="黑体" w:cs="黑体" w:eastAsia="黑体" w:hint="default"/>
                <w:sz w:val="20"/>
                <w:szCs w:val="20"/>
              </w:rPr>
              <w:t>合并成本</w:t>
            </w:r>
          </w:p>
        </w:tc>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2"/>
              <w:jc w:val="right"/>
              <w:rPr>
                <w:rFonts w:ascii="Arial" w:hAnsi="Arial" w:cs="Arial" w:eastAsia="Arial" w:hint="default"/>
                <w:sz w:val="20"/>
                <w:szCs w:val="20"/>
              </w:rPr>
            </w:pPr>
            <w:r>
              <w:rPr>
                <w:rFonts w:ascii="Arial"/>
                <w:w w:val="100"/>
                <w:sz w:val="20"/>
              </w:rPr>
            </w:r>
            <w:r>
              <w:rPr>
                <w:rFonts w:ascii="Arial"/>
                <w:spacing w:val="-1"/>
                <w:sz w:val="20"/>
                <w:u w:val="thick" w:color="000000"/>
              </w:rPr>
              <w:t>19,800,000</w:t>
            </w:r>
            <w:r>
              <w:rPr>
                <w:rFonts w:ascii="Arial"/>
                <w:spacing w:val="-1"/>
                <w:sz w:val="20"/>
              </w:rPr>
            </w:r>
          </w:p>
        </w:tc>
        <w:tc>
          <w:tcPr>
            <w:tcW w:w="1557"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958" w:footer="469" w:top="2380" w:bottom="660" w:left="1560" w:right="1480"/>
        </w:sectPr>
      </w:pPr>
    </w:p>
    <w:p>
      <w:pPr>
        <w:spacing w:line="240" w:lineRule="auto" w:before="7"/>
        <w:rPr>
          <w:rFonts w:ascii="黑体" w:hAnsi="黑体" w:cs="黑体" w:eastAsia="黑体" w:hint="default"/>
          <w:sz w:val="25"/>
          <w:szCs w:val="25"/>
        </w:rPr>
      </w:pPr>
    </w:p>
    <w:p>
      <w:pPr>
        <w:tabs>
          <w:tab w:pos="843" w:val="left" w:leader="none"/>
        </w:tabs>
        <w:spacing w:before="38"/>
        <w:ind w:left="141" w:right="112" w:firstLine="0"/>
        <w:jc w:val="left"/>
        <w:rPr>
          <w:rFonts w:ascii="黑体" w:hAnsi="黑体" w:cs="黑体" w:eastAsia="黑体" w:hint="default"/>
          <w:sz w:val="20"/>
          <w:szCs w:val="20"/>
        </w:rPr>
      </w:pPr>
      <w:r>
        <w:rPr>
          <w:rFonts w:ascii="黑体" w:hAnsi="黑体" w:cs="黑体" w:eastAsia="黑体" w:hint="default"/>
          <w:b/>
          <w:bCs/>
          <w:sz w:val="20"/>
          <w:szCs w:val="20"/>
        </w:rPr>
        <w:t>四、</w:t>
        <w:tab/>
        <w:t>合并财务报表的合并范围（续）</w:t>
      </w:r>
      <w:r>
        <w:rPr>
          <w:rFonts w:ascii="黑体" w:hAnsi="黑体" w:cs="黑体" w:eastAsia="黑体" w:hint="default"/>
          <w:sz w:val="20"/>
          <w:szCs w:val="20"/>
        </w:rPr>
      </w:r>
    </w:p>
    <w:p>
      <w:pPr>
        <w:spacing w:line="240" w:lineRule="auto" w:before="4"/>
        <w:rPr>
          <w:rFonts w:ascii="黑体" w:hAnsi="黑体" w:cs="黑体" w:eastAsia="黑体" w:hint="default"/>
          <w:b/>
          <w:bCs/>
          <w:sz w:val="17"/>
          <w:szCs w:val="17"/>
        </w:rPr>
      </w:pPr>
    </w:p>
    <w:p>
      <w:pPr>
        <w:tabs>
          <w:tab w:pos="850" w:val="left" w:leader="none"/>
        </w:tabs>
        <w:spacing w:before="0"/>
        <w:ind w:left="141" w:right="112" w:firstLine="0"/>
        <w:jc w:val="left"/>
        <w:rPr>
          <w:rFonts w:ascii="黑体" w:hAnsi="黑体" w:cs="黑体" w:eastAsia="黑体" w:hint="default"/>
          <w:sz w:val="20"/>
          <w:szCs w:val="20"/>
        </w:rPr>
      </w:pPr>
      <w:r>
        <w:rPr>
          <w:rFonts w:ascii="Arial" w:hAnsi="Arial" w:cs="Arial" w:eastAsia="Arial" w:hint="default"/>
          <w:b/>
          <w:bCs/>
          <w:spacing w:val="-1"/>
          <w:sz w:val="20"/>
          <w:szCs w:val="20"/>
        </w:rPr>
        <w:t>5.</w:t>
        <w:tab/>
      </w:r>
      <w:r>
        <w:rPr>
          <w:rFonts w:ascii="黑体" w:hAnsi="黑体" w:cs="黑体" w:eastAsia="黑体" w:hint="default"/>
          <w:b/>
          <w:bCs/>
          <w:sz w:val="20"/>
          <w:szCs w:val="20"/>
        </w:rPr>
        <w:t>本年度发生的非同一控制下收购其他公司的资产及业务（续）</w:t>
      </w:r>
      <w:r>
        <w:rPr>
          <w:rFonts w:ascii="黑体" w:hAnsi="黑体" w:cs="黑体" w:eastAsia="黑体" w:hint="default"/>
          <w:sz w:val="20"/>
          <w:szCs w:val="20"/>
        </w:rPr>
      </w:r>
    </w:p>
    <w:p>
      <w:pPr>
        <w:spacing w:line="240" w:lineRule="auto" w:before="9"/>
        <w:rPr>
          <w:rFonts w:ascii="黑体" w:hAnsi="黑体" w:cs="黑体" w:eastAsia="黑体" w:hint="default"/>
          <w:b/>
          <w:bCs/>
          <w:sz w:val="23"/>
          <w:szCs w:val="23"/>
        </w:rPr>
      </w:pPr>
    </w:p>
    <w:p>
      <w:pPr>
        <w:pStyle w:val="BodyText"/>
        <w:spacing w:line="260" w:lineRule="exact"/>
        <w:ind w:left="850" w:right="133" w:hanging="715"/>
        <w:jc w:val="both"/>
      </w:pPr>
      <w:r>
        <w:rPr>
          <w:rFonts w:ascii="Arial" w:hAnsi="Arial" w:cs="Arial" w:eastAsia="Arial" w:hint="default"/>
        </w:rPr>
        <w:t>(3)</w:t>
      </w:r>
      <w:r>
        <w:rPr>
          <w:rFonts w:ascii="Arial" w:hAnsi="Arial" w:cs="Arial" w:eastAsia="Arial" w:hint="default"/>
          <w:spacing w:val="33"/>
        </w:rPr>
        <w:t> </w:t>
      </w:r>
      <w:r>
        <w:rPr/>
        <w:t>本公司于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28</w:t>
      </w:r>
      <w:r>
        <w:rPr/>
        <w:t>日协议收购北京时空超越科技有限公司（以下简称</w:t>
      </w:r>
      <w:r>
        <w:rPr>
          <w:rFonts w:ascii="Arial" w:hAnsi="Arial" w:cs="Arial" w:eastAsia="Arial" w:hint="default"/>
        </w:rPr>
        <w:t>“</w:t>
      </w:r>
      <w:r>
        <w:rPr/>
        <w:t>时空超越</w:t>
      </w:r>
      <w:r>
        <w:rPr>
          <w:rFonts w:ascii="Arial" w:hAnsi="Arial" w:cs="Arial" w:eastAsia="Arial" w:hint="default"/>
        </w:rPr>
        <w:t>”</w:t>
      </w:r>
      <w:r>
        <w:rPr/>
        <w:t>）的</w:t>
      </w:r>
      <w:r>
        <w:rPr>
          <w:spacing w:val="-14"/>
          <w:w w:val="100"/>
        </w:rPr>
        <w:t> </w:t>
      </w:r>
      <w:r>
        <w:rPr>
          <w:spacing w:val="-1"/>
        </w:rPr>
        <w:t>资产和业务，收购价为现金人民币</w:t>
      </w:r>
      <w:r>
        <w:rPr>
          <w:rFonts w:ascii="Arial" w:hAnsi="Arial" w:cs="Arial" w:eastAsia="Arial" w:hint="default"/>
          <w:spacing w:val="-1"/>
        </w:rPr>
        <w:t>43,000,000</w:t>
      </w:r>
      <w:r>
        <w:rPr>
          <w:spacing w:val="-1"/>
        </w:rPr>
        <w:t>元。此次收购业经中和资产评估有限公司进</w:t>
      </w:r>
      <w:r>
        <w:rPr>
          <w:w w:val="100"/>
        </w:rPr>
        <w:t> </w:t>
      </w:r>
      <w:r>
        <w:rPr>
          <w:spacing w:val="-1"/>
        </w:rPr>
        <w:t>行评估，并于</w:t>
      </w:r>
      <w:r>
        <w:rPr>
          <w:rFonts w:ascii="Arial" w:hAnsi="Arial" w:cs="Arial" w:eastAsia="Arial" w:hint="default"/>
          <w:spacing w:val="-1"/>
        </w:rPr>
        <w:t>2010</w:t>
      </w:r>
      <w:r>
        <w:rPr>
          <w:spacing w:val="-1"/>
        </w:rPr>
        <w:t>年</w:t>
      </w:r>
      <w:r>
        <w:rPr>
          <w:rFonts w:ascii="Arial" w:hAnsi="Arial" w:cs="Arial" w:eastAsia="Arial" w:hint="default"/>
          <w:spacing w:val="-1"/>
        </w:rPr>
        <w:t>1</w:t>
      </w:r>
      <w:r>
        <w:rPr>
          <w:spacing w:val="-1"/>
        </w:rPr>
        <w:t>月</w:t>
      </w:r>
      <w:r>
        <w:rPr>
          <w:rFonts w:ascii="Arial" w:hAnsi="Arial" w:cs="Arial" w:eastAsia="Arial" w:hint="default"/>
          <w:spacing w:val="-1"/>
        </w:rPr>
        <w:t>31</w:t>
      </w:r>
      <w:r>
        <w:rPr>
          <w:spacing w:val="-1"/>
        </w:rPr>
        <w:t>日出具了中和评报字（</w:t>
      </w:r>
      <w:r>
        <w:rPr>
          <w:rFonts w:ascii="Arial" w:hAnsi="Arial" w:cs="Arial" w:eastAsia="Arial" w:hint="default"/>
          <w:spacing w:val="-1"/>
        </w:rPr>
        <w:t>2010</w:t>
      </w:r>
      <w:r>
        <w:rPr>
          <w:spacing w:val="-1"/>
        </w:rPr>
        <w:t>）第</w:t>
      </w:r>
      <w:r>
        <w:rPr>
          <w:rFonts w:ascii="Arial" w:hAnsi="Arial" w:cs="Arial" w:eastAsia="Arial" w:hint="default"/>
          <w:spacing w:val="-1"/>
        </w:rPr>
        <w:t>V1017</w:t>
      </w:r>
      <w:r>
        <w:rPr>
          <w:spacing w:val="-1"/>
        </w:rPr>
        <w:t>号资产评估报告书。该</w:t>
      </w:r>
      <w:r>
        <w:rPr>
          <w:w w:val="100"/>
        </w:rPr>
        <w:t> </w:t>
      </w:r>
      <w:r>
        <w:rPr>
          <w:spacing w:val="-3"/>
          <w:w w:val="100"/>
        </w:rPr>
        <w:t>评估报告以</w:t>
      </w:r>
      <w:r>
        <w:rPr>
          <w:rFonts w:ascii="Arial" w:hAnsi="Arial" w:cs="Arial" w:eastAsia="Arial" w:hint="default"/>
          <w:spacing w:val="-3"/>
          <w:w w:val="100"/>
        </w:rPr>
        <w:t>2009</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日为评估基准日，确定本次收购资产和业务的公允价值为人民币</w:t>
      </w:r>
      <w:r>
        <w:rPr>
          <w:w w:val="100"/>
        </w:rPr>
        <w:t> </w:t>
      </w:r>
      <w:r>
        <w:rPr>
          <w:rFonts w:ascii="Arial" w:hAnsi="Arial" w:cs="Arial" w:eastAsia="Arial" w:hint="default"/>
        </w:rPr>
        <w:t>7,002,482</w:t>
      </w:r>
      <w:r>
        <w:rPr/>
        <w:t>元，因购买而产生的商誉为人民币</w:t>
      </w:r>
      <w:r>
        <w:rPr>
          <w:rFonts w:ascii="Arial" w:hAnsi="Arial" w:cs="Arial" w:eastAsia="Arial" w:hint="default"/>
        </w:rPr>
        <w:t>35,997,518</w:t>
      </w:r>
      <w:r>
        <w:rPr/>
        <w:t>元。</w:t>
      </w:r>
    </w:p>
    <w:p>
      <w:pPr>
        <w:spacing w:line="240" w:lineRule="auto" w:before="2"/>
        <w:rPr>
          <w:rFonts w:ascii="黑体" w:hAnsi="黑体" w:cs="黑体" w:eastAsia="黑体" w:hint="default"/>
          <w:sz w:val="17"/>
          <w:szCs w:val="17"/>
        </w:rPr>
      </w:pPr>
    </w:p>
    <w:p>
      <w:pPr>
        <w:pStyle w:val="BodyText"/>
        <w:spacing w:line="240" w:lineRule="auto"/>
        <w:ind w:left="856" w:right="112"/>
        <w:jc w:val="left"/>
      </w:pPr>
      <w:r>
        <w:rPr/>
        <w:t>时空超越的可辨认资产于购买日的公允价值和账面价值如下：</w:t>
      </w:r>
    </w:p>
    <w:p>
      <w:pPr>
        <w:spacing w:line="240" w:lineRule="auto" w:before="12"/>
        <w:rPr>
          <w:rFonts w:ascii="黑体" w:hAnsi="黑体" w:cs="黑体" w:eastAsia="黑体" w:hint="default"/>
          <w:sz w:val="22"/>
          <w:szCs w:val="22"/>
        </w:rPr>
      </w:pPr>
    </w:p>
    <w:tbl>
      <w:tblPr>
        <w:tblW w:w="0" w:type="auto"/>
        <w:jc w:val="left"/>
        <w:tblInd w:w="839" w:type="dxa"/>
        <w:tblLayout w:type="fixed"/>
        <w:tblCellMar>
          <w:top w:w="0" w:type="dxa"/>
          <w:left w:w="0" w:type="dxa"/>
          <w:bottom w:w="0" w:type="dxa"/>
          <w:right w:w="0" w:type="dxa"/>
        </w:tblCellMar>
        <w:tblLook w:val="01E0"/>
      </w:tblPr>
      <w:tblGrid>
        <w:gridCol w:w="3189"/>
        <w:gridCol w:w="2952"/>
        <w:gridCol w:w="1702"/>
      </w:tblGrid>
      <w:tr>
        <w:trPr>
          <w:trHeight w:val="800" w:hRule="exact"/>
        </w:trPr>
        <w:tc>
          <w:tcPr>
            <w:tcW w:w="3189" w:type="dxa"/>
            <w:tcBorders>
              <w:top w:val="nil" w:sz="6" w:space="0" w:color="auto"/>
              <w:left w:val="nil" w:sz="6" w:space="0" w:color="auto"/>
              <w:bottom w:val="nil" w:sz="6" w:space="0" w:color="auto"/>
              <w:right w:val="nil" w:sz="6" w:space="0" w:color="auto"/>
            </w:tcBorders>
          </w:tcPr>
          <w:p>
            <w:pP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4"/>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p>
            <w:pPr>
              <w:pStyle w:val="TableParagraph"/>
              <w:spacing w:line="240" w:lineRule="auto" w:before="24"/>
              <w:ind w:right="174"/>
              <w:jc w:val="right"/>
              <w:rPr>
                <w:rFonts w:ascii="黑体" w:hAnsi="黑体" w:cs="黑体" w:eastAsia="黑体" w:hint="default"/>
                <w:sz w:val="20"/>
                <w:szCs w:val="20"/>
              </w:rPr>
            </w:pPr>
            <w:r>
              <w:rPr>
                <w:rFonts w:ascii="黑体" w:hAnsi="黑体" w:cs="黑体" w:eastAsia="黑体" w:hint="default"/>
                <w:sz w:val="20"/>
                <w:szCs w:val="20"/>
              </w:rPr>
              <w:t>公允价值</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6"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p>
            <w:pPr>
              <w:pStyle w:val="TableParagraph"/>
              <w:spacing w:line="240" w:lineRule="auto" w:before="24"/>
              <w:ind w:left="865" w:right="0"/>
              <w:jc w:val="left"/>
              <w:rPr>
                <w:rFonts w:ascii="黑体" w:hAnsi="黑体" w:cs="黑体" w:eastAsia="黑体" w:hint="default"/>
                <w:sz w:val="20"/>
                <w:szCs w:val="20"/>
              </w:rPr>
            </w:pPr>
            <w:r>
              <w:rPr>
                <w:rFonts w:ascii="黑体" w:hAnsi="黑体" w:cs="黑体" w:eastAsia="黑体" w:hint="default"/>
                <w:sz w:val="20"/>
                <w:szCs w:val="20"/>
              </w:rPr>
              <w:t>账面价值</w:t>
            </w:r>
          </w:p>
        </w:tc>
      </w:tr>
      <w:tr>
        <w:trPr>
          <w:trHeight w:val="454" w:hRule="exact"/>
        </w:trPr>
        <w:tc>
          <w:tcPr>
            <w:tcW w:w="3189"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36" w:right="0"/>
              <w:jc w:val="left"/>
              <w:rPr>
                <w:rFonts w:ascii="黑体" w:hAnsi="黑体" w:cs="黑体" w:eastAsia="黑体" w:hint="default"/>
                <w:sz w:val="20"/>
                <w:szCs w:val="20"/>
              </w:rPr>
            </w:pPr>
            <w:r>
              <w:rPr>
                <w:rFonts w:ascii="黑体" w:hAnsi="黑体" w:cs="黑体" w:eastAsia="黑体" w:hint="default"/>
                <w:sz w:val="20"/>
                <w:szCs w:val="20"/>
              </w:rPr>
              <w:t>固定资产</w:t>
            </w: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4"/>
                <w:szCs w:val="14"/>
              </w:rPr>
            </w:pPr>
          </w:p>
          <w:p>
            <w:pPr>
              <w:pStyle w:val="TableParagraph"/>
              <w:spacing w:line="240" w:lineRule="auto"/>
              <w:ind w:right="174"/>
              <w:jc w:val="right"/>
              <w:rPr>
                <w:rFonts w:ascii="Arial" w:hAnsi="Arial" w:cs="Arial" w:eastAsia="Arial" w:hint="default"/>
                <w:sz w:val="20"/>
                <w:szCs w:val="20"/>
              </w:rPr>
            </w:pPr>
            <w:r>
              <w:rPr>
                <w:rFonts w:ascii="Arial"/>
                <w:spacing w:val="-1"/>
                <w:sz w:val="20"/>
              </w:rPr>
              <w:t>356,292</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4"/>
                <w:szCs w:val="14"/>
              </w:rPr>
            </w:pPr>
          </w:p>
          <w:p>
            <w:pPr>
              <w:pStyle w:val="TableParagraph"/>
              <w:spacing w:line="240" w:lineRule="auto"/>
              <w:ind w:right="33"/>
              <w:jc w:val="right"/>
              <w:rPr>
                <w:rFonts w:ascii="Arial" w:hAnsi="Arial" w:cs="Arial" w:eastAsia="Arial" w:hint="default"/>
                <w:sz w:val="20"/>
                <w:szCs w:val="20"/>
              </w:rPr>
            </w:pPr>
            <w:r>
              <w:rPr>
                <w:rFonts w:ascii="Arial"/>
                <w:spacing w:val="-1"/>
                <w:sz w:val="20"/>
              </w:rPr>
              <w:t>451,327</w:t>
            </w:r>
          </w:p>
        </w:tc>
      </w:tr>
      <w:tr>
        <w:trPr>
          <w:trHeight w:val="305" w:hRule="exact"/>
        </w:trPr>
        <w:tc>
          <w:tcPr>
            <w:tcW w:w="3189" w:type="dxa"/>
            <w:tcBorders>
              <w:top w:val="nil" w:sz="6" w:space="0" w:color="auto"/>
              <w:left w:val="nil" w:sz="6" w:space="0" w:color="auto"/>
              <w:bottom w:val="nil" w:sz="6" w:space="0" w:color="auto"/>
              <w:right w:val="nil" w:sz="6" w:space="0" w:color="auto"/>
            </w:tcBorders>
          </w:tcPr>
          <w:p>
            <w:pPr>
              <w:pStyle w:val="TableParagraph"/>
              <w:spacing w:line="260" w:lineRule="exact"/>
              <w:ind w:left="36" w:right="0"/>
              <w:jc w:val="left"/>
              <w:rPr>
                <w:rFonts w:ascii="黑体" w:hAnsi="黑体" w:cs="黑体" w:eastAsia="黑体" w:hint="default"/>
                <w:sz w:val="20"/>
                <w:szCs w:val="20"/>
              </w:rPr>
            </w:pPr>
            <w:r>
              <w:rPr>
                <w:rFonts w:ascii="黑体" w:hAnsi="黑体" w:cs="黑体" w:eastAsia="黑体" w:hint="default"/>
                <w:sz w:val="20"/>
                <w:szCs w:val="20"/>
              </w:rPr>
              <w:t>无形资产</w:t>
            </w:r>
            <w:r>
              <w:rPr>
                <w:rFonts w:ascii="Arial" w:hAnsi="Arial" w:cs="Arial" w:eastAsia="Arial" w:hint="default"/>
                <w:sz w:val="20"/>
                <w:szCs w:val="20"/>
              </w:rPr>
              <w:t>-</w:t>
            </w:r>
            <w:r>
              <w:rPr>
                <w:rFonts w:ascii="黑体" w:hAnsi="黑体" w:cs="黑体" w:eastAsia="黑体" w:hint="default"/>
                <w:sz w:val="20"/>
                <w:szCs w:val="20"/>
              </w:rPr>
              <w:t>软件著作权</w:t>
            </w: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1"/>
                <w:sz w:val="20"/>
                <w:u w:val="single" w:color="000000"/>
              </w:rPr>
              <w:t> </w:t>
            </w:r>
            <w:r>
              <w:rPr>
                <w:rFonts w:ascii="Arial"/>
                <w:sz w:val="20"/>
                <w:u w:val="single" w:color="000000"/>
              </w:rPr>
              <w:t>6,646,190</w:t>
            </w:r>
            <w:r>
              <w:rPr>
                <w:rFonts w:ascii="Arial"/>
                <w:sz w:val="20"/>
              </w:rPr>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4"/>
              <w:jc w:val="right"/>
              <w:rPr>
                <w:rFonts w:ascii="Arial" w:hAnsi="Arial" w:cs="Arial" w:eastAsia="Arial" w:hint="default"/>
                <w:sz w:val="20"/>
                <w:szCs w:val="20"/>
              </w:rPr>
            </w:pPr>
            <w:r>
              <w:rPr>
                <w:rFonts w:ascii="Arial"/>
                <w:w w:val="100"/>
                <w:sz w:val="20"/>
              </w:rPr>
            </w:r>
            <w:r>
              <w:rPr>
                <w:rFonts w:ascii="Arial"/>
                <w:spacing w:val="-1"/>
                <w:sz w:val="20"/>
                <w:u w:val="single" w:color="000000"/>
              </w:rPr>
              <w:t>3,360,658</w:t>
            </w:r>
            <w:r>
              <w:rPr>
                <w:rFonts w:ascii="Arial"/>
                <w:spacing w:val="-1"/>
                <w:sz w:val="20"/>
              </w:rPr>
            </w:r>
          </w:p>
        </w:tc>
      </w:tr>
      <w:tr>
        <w:trPr>
          <w:trHeight w:val="296" w:hRule="exact"/>
        </w:trPr>
        <w:tc>
          <w:tcPr>
            <w:tcW w:w="3189" w:type="dxa"/>
            <w:tcBorders>
              <w:top w:val="nil" w:sz="6" w:space="0" w:color="auto"/>
              <w:left w:val="nil" w:sz="6" w:space="0" w:color="auto"/>
              <w:bottom w:val="nil" w:sz="6" w:space="0" w:color="auto"/>
              <w:right w:val="nil" w:sz="6" w:space="0" w:color="auto"/>
            </w:tcBorders>
          </w:tcPr>
          <w:p>
            <w:pP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5"/>
              <w:jc w:val="right"/>
              <w:rPr>
                <w:rFonts w:ascii="Arial" w:hAnsi="Arial" w:cs="Arial" w:eastAsia="Arial" w:hint="default"/>
                <w:sz w:val="20"/>
                <w:szCs w:val="20"/>
              </w:rPr>
            </w:pPr>
            <w:r>
              <w:rPr>
                <w:rFonts w:ascii="Arial"/>
                <w:sz w:val="20"/>
              </w:rPr>
              <w:t>7,002,482</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
              <w:jc w:val="right"/>
              <w:rPr>
                <w:rFonts w:ascii="Arial" w:hAnsi="Arial" w:cs="Arial" w:eastAsia="Arial" w:hint="default"/>
                <w:sz w:val="20"/>
                <w:szCs w:val="20"/>
              </w:rPr>
            </w:pPr>
            <w:r>
              <w:rPr>
                <w:rFonts w:ascii="Arial"/>
                <w:w w:val="100"/>
                <w:sz w:val="20"/>
              </w:rPr>
            </w:r>
            <w:r>
              <w:rPr>
                <w:rFonts w:ascii="Arial"/>
                <w:spacing w:val="-1"/>
                <w:sz w:val="20"/>
                <w:u w:val="thick" w:color="000000"/>
              </w:rPr>
              <w:t>3,811,985</w:t>
            </w:r>
            <w:r>
              <w:rPr>
                <w:rFonts w:ascii="Arial"/>
                <w:spacing w:val="-1"/>
                <w:sz w:val="20"/>
              </w:rPr>
            </w:r>
          </w:p>
        </w:tc>
      </w:tr>
      <w:tr>
        <w:trPr>
          <w:trHeight w:val="300" w:hRule="exact"/>
        </w:trPr>
        <w:tc>
          <w:tcPr>
            <w:tcW w:w="3189"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黑体" w:hAnsi="黑体" w:cs="黑体" w:eastAsia="黑体" w:hint="default"/>
                <w:sz w:val="20"/>
                <w:szCs w:val="20"/>
              </w:rPr>
            </w:pPr>
            <w:r>
              <w:rPr>
                <w:rFonts w:ascii="黑体" w:hAnsi="黑体" w:cs="黑体" w:eastAsia="黑体" w:hint="default"/>
                <w:sz w:val="20"/>
                <w:szCs w:val="20"/>
              </w:rPr>
              <w:t>购买产生的商誉</w:t>
            </w: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5"/>
              <w:jc w:val="right"/>
              <w:rPr>
                <w:rFonts w:ascii="Arial" w:hAnsi="Arial" w:cs="Arial" w:eastAsia="Arial" w:hint="default"/>
                <w:sz w:val="20"/>
                <w:szCs w:val="20"/>
              </w:rPr>
            </w:pPr>
            <w:r>
              <w:rPr>
                <w:rFonts w:ascii="Arial"/>
                <w:w w:val="100"/>
                <w:sz w:val="20"/>
              </w:rPr>
            </w:r>
            <w:r>
              <w:rPr>
                <w:rFonts w:ascii="Arial"/>
                <w:spacing w:val="-1"/>
                <w:sz w:val="20"/>
                <w:u w:val="single" w:color="000000"/>
              </w:rPr>
              <w:t>35,997,518</w:t>
            </w:r>
            <w:r>
              <w:rPr>
                <w:rFonts w:ascii="Arial"/>
                <w:spacing w:val="-1"/>
                <w:sz w:val="20"/>
              </w:rPr>
            </w:r>
          </w:p>
        </w:tc>
        <w:tc>
          <w:tcPr>
            <w:tcW w:w="1702" w:type="dxa"/>
            <w:tcBorders>
              <w:top w:val="nil" w:sz="6" w:space="0" w:color="auto"/>
              <w:left w:val="nil" w:sz="6" w:space="0" w:color="auto"/>
              <w:bottom w:val="nil" w:sz="6" w:space="0" w:color="auto"/>
              <w:right w:val="nil" w:sz="6" w:space="0" w:color="auto"/>
            </w:tcBorders>
          </w:tcPr>
          <w:p>
            <w:pPr/>
          </w:p>
        </w:tc>
      </w:tr>
      <w:tr>
        <w:trPr>
          <w:trHeight w:val="355" w:hRule="exact"/>
        </w:trPr>
        <w:tc>
          <w:tcPr>
            <w:tcW w:w="3189"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黑体" w:hAnsi="黑体" w:cs="黑体" w:eastAsia="黑体" w:hint="default"/>
                <w:sz w:val="20"/>
                <w:szCs w:val="20"/>
              </w:rPr>
            </w:pPr>
            <w:r>
              <w:rPr>
                <w:rFonts w:ascii="黑体" w:hAnsi="黑体" w:cs="黑体" w:eastAsia="黑体" w:hint="default"/>
                <w:sz w:val="20"/>
                <w:szCs w:val="20"/>
              </w:rPr>
              <w:t>合并成本</w:t>
            </w: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5"/>
              <w:jc w:val="right"/>
              <w:rPr>
                <w:rFonts w:ascii="Arial" w:hAnsi="Arial" w:cs="Arial" w:eastAsia="Arial" w:hint="default"/>
                <w:sz w:val="20"/>
                <w:szCs w:val="20"/>
              </w:rPr>
            </w:pPr>
            <w:r>
              <w:rPr>
                <w:rFonts w:ascii="Arial"/>
                <w:w w:val="100"/>
                <w:sz w:val="20"/>
              </w:rPr>
            </w:r>
            <w:r>
              <w:rPr>
                <w:rFonts w:ascii="Arial"/>
                <w:spacing w:val="-1"/>
                <w:sz w:val="20"/>
                <w:u w:val="thick" w:color="000000"/>
              </w:rPr>
              <w:t>43,000,000</w:t>
            </w:r>
            <w:r>
              <w:rPr>
                <w:rFonts w:ascii="Arial"/>
                <w:spacing w:val="-1"/>
                <w:sz w:val="20"/>
              </w:rPr>
            </w:r>
          </w:p>
        </w:tc>
        <w:tc>
          <w:tcPr>
            <w:tcW w:w="1702"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黑体" w:hAnsi="黑体" w:cs="黑体" w:eastAsia="黑体" w:hint="default"/>
          <w:sz w:val="13"/>
          <w:szCs w:val="13"/>
        </w:rPr>
      </w:pPr>
    </w:p>
    <w:p>
      <w:pPr>
        <w:pStyle w:val="BodyText"/>
        <w:spacing w:line="225" w:lineRule="auto" w:before="52"/>
        <w:ind w:left="850" w:right="131" w:hanging="715"/>
        <w:jc w:val="both"/>
      </w:pPr>
      <w:r>
        <w:rPr>
          <w:rFonts w:ascii="Arial" w:hAnsi="Arial" w:cs="Arial" w:eastAsia="Arial" w:hint="default"/>
        </w:rPr>
        <w:t>(4) </w:t>
      </w:r>
      <w:r>
        <w:rPr/>
        <w:t>本公司之子公司用友华表于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16</w:t>
      </w:r>
      <w:r>
        <w:rPr/>
        <w:t>日协议收购广州尚南科技有限公司（以下简称</w:t>
      </w:r>
      <w:r>
        <w:rPr>
          <w:spacing w:val="-95"/>
        </w:rPr>
        <w:t> </w:t>
      </w:r>
      <w:r>
        <w:rPr>
          <w:spacing w:val="-95"/>
        </w:rPr>
      </w:r>
      <w:r>
        <w:rPr>
          <w:rFonts w:ascii="Arial" w:hAnsi="Arial" w:cs="Arial" w:eastAsia="Arial" w:hint="default"/>
        </w:rPr>
        <w:t>“</w:t>
      </w:r>
      <w:r>
        <w:rPr/>
        <w:t>广州尚南</w:t>
      </w:r>
      <w:r>
        <w:rPr>
          <w:rFonts w:ascii="Arial" w:hAnsi="Arial" w:cs="Arial" w:eastAsia="Arial" w:hint="default"/>
        </w:rPr>
        <w:t>”</w:t>
      </w:r>
      <w:r>
        <w:rPr/>
        <w:t>）的资产和业务，收购价为现金人民币</w:t>
      </w:r>
      <w:r>
        <w:rPr>
          <w:rFonts w:ascii="Arial" w:hAnsi="Arial" w:cs="Arial" w:eastAsia="Arial" w:hint="default"/>
        </w:rPr>
        <w:t>30,000,000</w:t>
      </w:r>
      <w:r>
        <w:rPr/>
        <w:t>元。此次收购业经中和资产</w:t>
      </w:r>
      <w:r>
        <w:rPr>
          <w:spacing w:val="1"/>
          <w:w w:val="100"/>
        </w:rPr>
        <w:t> </w:t>
      </w:r>
      <w:r>
        <w:rPr>
          <w:spacing w:val="-3"/>
        </w:rPr>
        <w:t>评估有限公司进行评估，并于</w:t>
      </w:r>
      <w:r>
        <w:rPr>
          <w:rFonts w:ascii="Arial" w:hAnsi="Arial" w:cs="Arial" w:eastAsia="Arial" w:hint="default"/>
          <w:spacing w:val="-3"/>
        </w:rPr>
        <w:t>2010</w:t>
      </w:r>
      <w:r>
        <w:rPr>
          <w:spacing w:val="-3"/>
        </w:rPr>
        <w:t>年</w:t>
      </w:r>
      <w:r>
        <w:rPr>
          <w:rFonts w:ascii="Arial" w:hAnsi="Arial" w:cs="Arial" w:eastAsia="Arial" w:hint="default"/>
          <w:spacing w:val="-3"/>
        </w:rPr>
        <w:t>2</w:t>
      </w:r>
      <w:r>
        <w:rPr>
          <w:spacing w:val="-3"/>
        </w:rPr>
        <w:t>月</w:t>
      </w:r>
      <w:r>
        <w:rPr>
          <w:rFonts w:ascii="Arial" w:hAnsi="Arial" w:cs="Arial" w:eastAsia="Arial" w:hint="default"/>
          <w:spacing w:val="-3"/>
        </w:rPr>
        <w:t>9</w:t>
      </w:r>
      <w:r>
        <w:rPr>
          <w:spacing w:val="-3"/>
        </w:rPr>
        <w:t>日出具了中和评报字（</w:t>
      </w:r>
      <w:r>
        <w:rPr>
          <w:rFonts w:ascii="Arial" w:hAnsi="Arial" w:cs="Arial" w:eastAsia="Arial" w:hint="default"/>
          <w:spacing w:val="-3"/>
        </w:rPr>
        <w:t>2010</w:t>
      </w:r>
      <w:r>
        <w:rPr>
          <w:spacing w:val="-3"/>
        </w:rPr>
        <w:t>）第</w:t>
      </w:r>
      <w:r>
        <w:rPr>
          <w:rFonts w:ascii="Arial" w:hAnsi="Arial" w:cs="Arial" w:eastAsia="Arial" w:hint="default"/>
          <w:spacing w:val="-3"/>
        </w:rPr>
        <w:t>V1014</w:t>
      </w:r>
      <w:r>
        <w:rPr>
          <w:spacing w:val="-3"/>
        </w:rPr>
        <w:t>号资产评</w:t>
      </w:r>
      <w:r>
        <w:rPr>
          <w:w w:val="100"/>
        </w:rPr>
        <w:t> </w:t>
      </w:r>
      <w:r>
        <w:rPr>
          <w:spacing w:val="-3"/>
        </w:rPr>
        <w:t>估报告书。该评估报告以</w:t>
      </w:r>
      <w:r>
        <w:rPr>
          <w:rFonts w:ascii="Arial" w:hAnsi="Arial" w:cs="Arial" w:eastAsia="Arial" w:hint="default"/>
          <w:spacing w:val="-3"/>
        </w:rPr>
        <w:t>2009</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日为评估基准日，确定本次收购资产和业务的公允</w:t>
      </w:r>
      <w:r>
        <w:rPr>
          <w:w w:val="100"/>
        </w:rPr>
        <w:t> </w:t>
      </w:r>
      <w:r>
        <w:rPr/>
        <w:t>价值为人民币</w:t>
      </w:r>
      <w:r>
        <w:rPr>
          <w:rFonts w:ascii="Arial" w:hAnsi="Arial" w:cs="Arial" w:eastAsia="Arial" w:hint="default"/>
        </w:rPr>
        <w:t>1,444,287</w:t>
      </w:r>
      <w:r>
        <w:rPr/>
        <w:t>元，因购买而产生的商誉为人民币</w:t>
      </w:r>
      <w:r>
        <w:rPr>
          <w:rFonts w:ascii="Arial" w:hAnsi="Arial" w:cs="Arial" w:eastAsia="Arial" w:hint="default"/>
        </w:rPr>
        <w:t>28,555,713</w:t>
      </w:r>
      <w:r>
        <w:rPr/>
        <w:t>元。</w:t>
      </w:r>
    </w:p>
    <w:p>
      <w:pPr>
        <w:spacing w:line="240" w:lineRule="auto" w:before="13"/>
        <w:rPr>
          <w:rFonts w:ascii="黑体" w:hAnsi="黑体" w:cs="黑体" w:eastAsia="黑体" w:hint="default"/>
          <w:sz w:val="17"/>
          <w:szCs w:val="17"/>
        </w:rPr>
      </w:pPr>
    </w:p>
    <w:p>
      <w:pPr>
        <w:pStyle w:val="BodyText"/>
        <w:spacing w:line="240" w:lineRule="auto"/>
        <w:ind w:left="855" w:right="112"/>
        <w:jc w:val="left"/>
      </w:pPr>
      <w:r>
        <w:rPr/>
        <w:t>广州尚南的可辨认资产于购买日的公允价值和账面价值如下：</w:t>
      </w:r>
    </w:p>
    <w:p>
      <w:pPr>
        <w:spacing w:line="240" w:lineRule="auto" w:before="12"/>
        <w:rPr>
          <w:rFonts w:ascii="黑体" w:hAnsi="黑体" w:cs="黑体" w:eastAsia="黑体" w:hint="default"/>
          <w:sz w:val="22"/>
          <w:szCs w:val="22"/>
        </w:rPr>
      </w:pPr>
    </w:p>
    <w:tbl>
      <w:tblPr>
        <w:tblW w:w="0" w:type="auto"/>
        <w:jc w:val="left"/>
        <w:tblInd w:w="812" w:type="dxa"/>
        <w:tblLayout w:type="fixed"/>
        <w:tblCellMar>
          <w:top w:w="0" w:type="dxa"/>
          <w:left w:w="0" w:type="dxa"/>
          <w:bottom w:w="0" w:type="dxa"/>
          <w:right w:w="0" w:type="dxa"/>
        </w:tblCellMar>
        <w:tblLook w:val="01E0"/>
      </w:tblPr>
      <w:tblGrid>
        <w:gridCol w:w="3203"/>
        <w:gridCol w:w="2966"/>
        <w:gridCol w:w="1702"/>
      </w:tblGrid>
      <w:tr>
        <w:trPr>
          <w:trHeight w:val="804" w:hRule="exact"/>
        </w:trPr>
        <w:tc>
          <w:tcPr>
            <w:tcW w:w="3203" w:type="dxa"/>
            <w:tcBorders>
              <w:top w:val="nil" w:sz="6" w:space="0" w:color="auto"/>
              <w:left w:val="nil" w:sz="6" w:space="0" w:color="auto"/>
              <w:bottom w:val="nil" w:sz="6" w:space="0" w:color="auto"/>
              <w:right w:val="nil" w:sz="6" w:space="0" w:color="auto"/>
            </w:tcBorders>
          </w:tcPr>
          <w:p>
            <w:pPr/>
          </w:p>
        </w:tc>
        <w:tc>
          <w:tcPr>
            <w:tcW w:w="296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4"/>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p>
            <w:pPr>
              <w:pStyle w:val="TableParagraph"/>
              <w:spacing w:line="240" w:lineRule="auto" w:before="24"/>
              <w:ind w:right="174"/>
              <w:jc w:val="right"/>
              <w:rPr>
                <w:rFonts w:ascii="黑体" w:hAnsi="黑体" w:cs="黑体" w:eastAsia="黑体" w:hint="default"/>
                <w:sz w:val="20"/>
                <w:szCs w:val="20"/>
              </w:rPr>
            </w:pPr>
            <w:r>
              <w:rPr>
                <w:rFonts w:ascii="黑体" w:hAnsi="黑体" w:cs="黑体" w:eastAsia="黑体" w:hint="default"/>
                <w:sz w:val="20"/>
                <w:szCs w:val="20"/>
              </w:rPr>
              <w:t>公允价值</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6"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p>
            <w:pPr>
              <w:pStyle w:val="TableParagraph"/>
              <w:spacing w:line="240" w:lineRule="auto" w:before="24"/>
              <w:ind w:left="865" w:right="0"/>
              <w:jc w:val="left"/>
              <w:rPr>
                <w:rFonts w:ascii="黑体" w:hAnsi="黑体" w:cs="黑体" w:eastAsia="黑体" w:hint="default"/>
                <w:sz w:val="20"/>
                <w:szCs w:val="20"/>
              </w:rPr>
            </w:pPr>
            <w:r>
              <w:rPr>
                <w:rFonts w:ascii="黑体" w:hAnsi="黑体" w:cs="黑体" w:eastAsia="黑体" w:hint="default"/>
                <w:sz w:val="20"/>
                <w:szCs w:val="20"/>
              </w:rPr>
              <w:t>账面价值</w:t>
            </w:r>
          </w:p>
        </w:tc>
      </w:tr>
      <w:tr>
        <w:trPr>
          <w:trHeight w:val="454" w:hRule="exact"/>
        </w:trPr>
        <w:tc>
          <w:tcPr>
            <w:tcW w:w="3203"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35" w:right="0"/>
              <w:jc w:val="left"/>
              <w:rPr>
                <w:rFonts w:ascii="黑体" w:hAnsi="黑体" w:cs="黑体" w:eastAsia="黑体" w:hint="default"/>
                <w:sz w:val="20"/>
                <w:szCs w:val="20"/>
              </w:rPr>
            </w:pPr>
            <w:r>
              <w:rPr>
                <w:rFonts w:ascii="黑体" w:hAnsi="黑体" w:cs="黑体" w:eastAsia="黑体" w:hint="default"/>
                <w:sz w:val="20"/>
                <w:szCs w:val="20"/>
              </w:rPr>
              <w:t>应收账款</w:t>
            </w:r>
          </w:p>
        </w:tc>
        <w:tc>
          <w:tcPr>
            <w:tcW w:w="2966" w:type="dxa"/>
            <w:tcBorders>
              <w:top w:val="nil" w:sz="6" w:space="0" w:color="auto"/>
              <w:left w:val="nil" w:sz="6" w:space="0" w:color="auto"/>
              <w:bottom w:val="nil" w:sz="6" w:space="0" w:color="auto"/>
              <w:right w:val="nil" w:sz="6" w:space="0" w:color="auto"/>
            </w:tcBorders>
          </w:tcPr>
          <w:p>
            <w:pPr>
              <w:pStyle w:val="TableParagraph"/>
              <w:spacing w:line="240" w:lineRule="auto" w:before="179"/>
              <w:ind w:right="174"/>
              <w:jc w:val="right"/>
              <w:rPr>
                <w:rFonts w:ascii="Arial" w:hAnsi="Arial" w:cs="Arial" w:eastAsia="Arial" w:hint="default"/>
                <w:sz w:val="20"/>
                <w:szCs w:val="20"/>
              </w:rPr>
            </w:pPr>
            <w:r>
              <w:rPr>
                <w:rFonts w:ascii="Arial"/>
                <w:spacing w:val="-1"/>
                <w:sz w:val="20"/>
              </w:rPr>
              <w:t>225,430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179"/>
              <w:ind w:right="33"/>
              <w:jc w:val="right"/>
              <w:rPr>
                <w:rFonts w:ascii="Arial" w:hAnsi="Arial" w:cs="Arial" w:eastAsia="Arial" w:hint="default"/>
                <w:sz w:val="20"/>
                <w:szCs w:val="20"/>
              </w:rPr>
            </w:pPr>
            <w:r>
              <w:rPr>
                <w:rFonts w:ascii="Arial"/>
                <w:spacing w:val="-1"/>
                <w:sz w:val="20"/>
              </w:rPr>
              <w:t>225,430</w:t>
            </w:r>
          </w:p>
        </w:tc>
      </w:tr>
      <w:tr>
        <w:trPr>
          <w:trHeight w:val="300" w:hRule="exact"/>
        </w:trPr>
        <w:tc>
          <w:tcPr>
            <w:tcW w:w="3203" w:type="dxa"/>
            <w:tcBorders>
              <w:top w:val="nil" w:sz="6" w:space="0" w:color="auto"/>
              <w:left w:val="nil" w:sz="6" w:space="0" w:color="auto"/>
              <w:bottom w:val="nil" w:sz="6" w:space="0" w:color="auto"/>
              <w:right w:val="nil" w:sz="6" w:space="0" w:color="auto"/>
            </w:tcBorders>
          </w:tcPr>
          <w:p>
            <w:pPr>
              <w:pStyle w:val="TableParagraph"/>
              <w:spacing w:line="249" w:lineRule="exact"/>
              <w:ind w:left="35" w:right="0"/>
              <w:jc w:val="left"/>
              <w:rPr>
                <w:rFonts w:ascii="黑体" w:hAnsi="黑体" w:cs="黑体" w:eastAsia="黑体" w:hint="default"/>
                <w:sz w:val="20"/>
                <w:szCs w:val="20"/>
              </w:rPr>
            </w:pPr>
            <w:r>
              <w:rPr>
                <w:rFonts w:ascii="黑体" w:hAnsi="黑体" w:cs="黑体" w:eastAsia="黑体" w:hint="default"/>
                <w:sz w:val="20"/>
                <w:szCs w:val="20"/>
              </w:rPr>
              <w:t>固定资产</w:t>
            </w:r>
          </w:p>
        </w:tc>
        <w:tc>
          <w:tcPr>
            <w:tcW w:w="296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74"/>
              <w:jc w:val="right"/>
              <w:rPr>
                <w:rFonts w:ascii="Arial" w:hAnsi="Arial" w:cs="Arial" w:eastAsia="Arial" w:hint="default"/>
                <w:sz w:val="20"/>
                <w:szCs w:val="20"/>
              </w:rPr>
            </w:pPr>
            <w:r>
              <w:rPr>
                <w:rFonts w:ascii="Arial"/>
                <w:sz w:val="20"/>
              </w:rPr>
              <w:t>26,068</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3"/>
              <w:jc w:val="right"/>
              <w:rPr>
                <w:rFonts w:ascii="Arial" w:hAnsi="Arial" w:cs="Arial" w:eastAsia="Arial" w:hint="default"/>
                <w:sz w:val="20"/>
                <w:szCs w:val="20"/>
              </w:rPr>
            </w:pPr>
            <w:r>
              <w:rPr>
                <w:rFonts w:ascii="Arial"/>
                <w:spacing w:val="-1"/>
                <w:sz w:val="20"/>
              </w:rPr>
              <w:t>101,316</w:t>
            </w:r>
          </w:p>
        </w:tc>
      </w:tr>
      <w:tr>
        <w:trPr>
          <w:trHeight w:val="304" w:hRule="exact"/>
        </w:trPr>
        <w:tc>
          <w:tcPr>
            <w:tcW w:w="3203" w:type="dxa"/>
            <w:tcBorders>
              <w:top w:val="nil" w:sz="6" w:space="0" w:color="auto"/>
              <w:left w:val="nil" w:sz="6" w:space="0" w:color="auto"/>
              <w:bottom w:val="nil" w:sz="6" w:space="0" w:color="auto"/>
              <w:right w:val="nil" w:sz="6" w:space="0" w:color="auto"/>
            </w:tcBorders>
          </w:tcPr>
          <w:p>
            <w:pPr>
              <w:pStyle w:val="TableParagraph"/>
              <w:spacing w:line="264" w:lineRule="exact"/>
              <w:ind w:left="35" w:right="0"/>
              <w:jc w:val="left"/>
              <w:rPr>
                <w:rFonts w:ascii="黑体" w:hAnsi="黑体" w:cs="黑体" w:eastAsia="黑体" w:hint="default"/>
                <w:sz w:val="20"/>
                <w:szCs w:val="20"/>
              </w:rPr>
            </w:pPr>
            <w:r>
              <w:rPr>
                <w:rFonts w:ascii="黑体" w:hAnsi="黑体" w:cs="黑体" w:eastAsia="黑体" w:hint="default"/>
                <w:sz w:val="20"/>
                <w:szCs w:val="20"/>
              </w:rPr>
              <w:t>无形资产</w:t>
            </w:r>
            <w:r>
              <w:rPr>
                <w:rFonts w:ascii="Arial" w:hAnsi="Arial" w:cs="Arial" w:eastAsia="Arial" w:hint="default"/>
                <w:sz w:val="20"/>
                <w:szCs w:val="20"/>
              </w:rPr>
              <w:t>-</w:t>
            </w:r>
            <w:r>
              <w:rPr>
                <w:rFonts w:ascii="黑体" w:hAnsi="黑体" w:cs="黑体" w:eastAsia="黑体" w:hint="default"/>
                <w:sz w:val="20"/>
                <w:szCs w:val="20"/>
              </w:rPr>
              <w:t>软件著作权</w:t>
            </w:r>
          </w:p>
        </w:tc>
        <w:tc>
          <w:tcPr>
            <w:tcW w:w="296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7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7"/>
                <w:sz w:val="20"/>
                <w:u w:val="single" w:color="000000"/>
              </w:rPr>
              <w:t> </w:t>
            </w:r>
            <w:r>
              <w:rPr>
                <w:rFonts w:ascii="Arial"/>
                <w:spacing w:val="-1"/>
                <w:sz w:val="20"/>
                <w:u w:val="single" w:color="000000"/>
              </w:rPr>
              <w:t>1,192,789</w:t>
            </w:r>
            <w:r>
              <w:rPr>
                <w:rFonts w:ascii="Arial"/>
                <w:spacing w:val="-1"/>
                <w:sz w:val="20"/>
              </w:rPr>
            </w:r>
          </w:p>
        </w:tc>
        <w:tc>
          <w:tcPr>
            <w:tcW w:w="1702" w:type="dxa"/>
            <w:tcBorders>
              <w:top w:val="nil" w:sz="6" w:space="0" w:color="auto"/>
              <w:left w:val="nil" w:sz="6" w:space="0" w:color="auto"/>
              <w:bottom w:val="nil" w:sz="6" w:space="0" w:color="auto"/>
              <w:right w:val="nil" w:sz="6" w:space="0" w:color="auto"/>
            </w:tcBorders>
          </w:tcPr>
          <w:p>
            <w:pPr>
              <w:pStyle w:val="TableParagraph"/>
              <w:tabs>
                <w:tab w:pos="658" w:val="left" w:leader="none"/>
              </w:tabs>
              <w:spacing w:line="240" w:lineRule="auto" w:before="2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296" w:hRule="exact"/>
        </w:trPr>
        <w:tc>
          <w:tcPr>
            <w:tcW w:w="3203" w:type="dxa"/>
            <w:tcBorders>
              <w:top w:val="nil" w:sz="6" w:space="0" w:color="auto"/>
              <w:left w:val="nil" w:sz="6" w:space="0" w:color="auto"/>
              <w:bottom w:val="nil" w:sz="6" w:space="0" w:color="auto"/>
              <w:right w:val="nil" w:sz="6" w:space="0" w:color="auto"/>
            </w:tcBorders>
          </w:tcPr>
          <w:p>
            <w:pPr/>
          </w:p>
        </w:tc>
        <w:tc>
          <w:tcPr>
            <w:tcW w:w="296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74"/>
              <w:jc w:val="right"/>
              <w:rPr>
                <w:rFonts w:ascii="Arial" w:hAnsi="Arial" w:cs="Arial" w:eastAsia="Arial" w:hint="default"/>
                <w:sz w:val="20"/>
                <w:szCs w:val="20"/>
              </w:rPr>
            </w:pPr>
            <w:r>
              <w:rPr>
                <w:rFonts w:ascii="Arial"/>
                <w:spacing w:val="-1"/>
                <w:sz w:val="20"/>
              </w:rPr>
              <w:t>1,444,287</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326,746</w:t>
            </w:r>
            <w:r>
              <w:rPr>
                <w:rFonts w:ascii="Arial"/>
                <w:spacing w:val="-1"/>
                <w:sz w:val="20"/>
              </w:rPr>
            </w:r>
          </w:p>
        </w:tc>
      </w:tr>
      <w:tr>
        <w:trPr>
          <w:trHeight w:val="300" w:hRule="exact"/>
        </w:trPr>
        <w:tc>
          <w:tcPr>
            <w:tcW w:w="3203" w:type="dxa"/>
            <w:tcBorders>
              <w:top w:val="nil" w:sz="6" w:space="0" w:color="auto"/>
              <w:left w:val="nil" w:sz="6" w:space="0" w:color="auto"/>
              <w:bottom w:val="nil" w:sz="6" w:space="0" w:color="auto"/>
              <w:right w:val="nil" w:sz="6" w:space="0" w:color="auto"/>
            </w:tcBorders>
          </w:tcPr>
          <w:p>
            <w:pPr>
              <w:pStyle w:val="TableParagraph"/>
              <w:spacing w:line="249" w:lineRule="exact"/>
              <w:ind w:left="35" w:right="0"/>
              <w:jc w:val="left"/>
              <w:rPr>
                <w:rFonts w:ascii="黑体" w:hAnsi="黑体" w:cs="黑体" w:eastAsia="黑体" w:hint="default"/>
                <w:sz w:val="20"/>
                <w:szCs w:val="20"/>
              </w:rPr>
            </w:pPr>
            <w:r>
              <w:rPr>
                <w:rFonts w:ascii="黑体" w:hAnsi="黑体" w:cs="黑体" w:eastAsia="黑体" w:hint="default"/>
                <w:sz w:val="20"/>
                <w:szCs w:val="20"/>
              </w:rPr>
              <w:t>购买产生的商誉</w:t>
            </w:r>
          </w:p>
        </w:tc>
        <w:tc>
          <w:tcPr>
            <w:tcW w:w="296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75"/>
              <w:jc w:val="right"/>
              <w:rPr>
                <w:rFonts w:ascii="Arial" w:hAnsi="Arial" w:cs="Arial" w:eastAsia="Arial" w:hint="default"/>
                <w:sz w:val="20"/>
                <w:szCs w:val="20"/>
              </w:rPr>
            </w:pPr>
            <w:r>
              <w:rPr>
                <w:rFonts w:ascii="Arial"/>
                <w:w w:val="100"/>
                <w:sz w:val="20"/>
              </w:rPr>
            </w:r>
            <w:r>
              <w:rPr>
                <w:rFonts w:ascii="Arial"/>
                <w:spacing w:val="-1"/>
                <w:sz w:val="20"/>
                <w:u w:val="single" w:color="000000"/>
              </w:rPr>
              <w:t>28,555,713</w:t>
            </w:r>
            <w:r>
              <w:rPr>
                <w:rFonts w:ascii="Arial"/>
                <w:spacing w:val="-1"/>
                <w:sz w:val="20"/>
              </w:rPr>
            </w:r>
          </w:p>
        </w:tc>
        <w:tc>
          <w:tcPr>
            <w:tcW w:w="1702" w:type="dxa"/>
            <w:tcBorders>
              <w:top w:val="nil" w:sz="6" w:space="0" w:color="auto"/>
              <w:left w:val="nil" w:sz="6" w:space="0" w:color="auto"/>
              <w:bottom w:val="nil" w:sz="6" w:space="0" w:color="auto"/>
              <w:right w:val="nil" w:sz="6" w:space="0" w:color="auto"/>
            </w:tcBorders>
          </w:tcPr>
          <w:p>
            <w:pPr/>
          </w:p>
        </w:tc>
      </w:tr>
      <w:tr>
        <w:trPr>
          <w:trHeight w:val="351" w:hRule="exact"/>
        </w:trPr>
        <w:tc>
          <w:tcPr>
            <w:tcW w:w="3203" w:type="dxa"/>
            <w:tcBorders>
              <w:top w:val="nil" w:sz="6" w:space="0" w:color="auto"/>
              <w:left w:val="nil" w:sz="6" w:space="0" w:color="auto"/>
              <w:bottom w:val="nil" w:sz="6" w:space="0" w:color="auto"/>
              <w:right w:val="nil" w:sz="6" w:space="0" w:color="auto"/>
            </w:tcBorders>
          </w:tcPr>
          <w:p>
            <w:pPr>
              <w:pStyle w:val="TableParagraph"/>
              <w:spacing w:line="249" w:lineRule="exact"/>
              <w:ind w:left="35" w:right="0"/>
              <w:jc w:val="left"/>
              <w:rPr>
                <w:rFonts w:ascii="黑体" w:hAnsi="黑体" w:cs="黑体" w:eastAsia="黑体" w:hint="default"/>
                <w:sz w:val="20"/>
                <w:szCs w:val="20"/>
              </w:rPr>
            </w:pPr>
            <w:r>
              <w:rPr>
                <w:rFonts w:ascii="黑体" w:hAnsi="黑体" w:cs="黑体" w:eastAsia="黑体" w:hint="default"/>
                <w:sz w:val="20"/>
                <w:szCs w:val="20"/>
              </w:rPr>
              <w:t>合并成本</w:t>
            </w:r>
          </w:p>
        </w:tc>
        <w:tc>
          <w:tcPr>
            <w:tcW w:w="296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75"/>
              <w:jc w:val="right"/>
              <w:rPr>
                <w:rFonts w:ascii="Arial" w:hAnsi="Arial" w:cs="Arial" w:eastAsia="Arial" w:hint="default"/>
                <w:sz w:val="20"/>
                <w:szCs w:val="20"/>
              </w:rPr>
            </w:pPr>
            <w:r>
              <w:rPr>
                <w:rFonts w:ascii="Arial"/>
                <w:w w:val="100"/>
                <w:sz w:val="20"/>
              </w:rPr>
            </w:r>
            <w:r>
              <w:rPr>
                <w:rFonts w:ascii="Arial"/>
                <w:spacing w:val="-1"/>
                <w:sz w:val="20"/>
                <w:u w:val="thick" w:color="000000"/>
              </w:rPr>
              <w:t>30,000,000</w:t>
            </w:r>
            <w:r>
              <w:rPr>
                <w:rFonts w:ascii="Arial"/>
                <w:spacing w:val="-1"/>
                <w:sz w:val="20"/>
              </w:rPr>
            </w:r>
          </w:p>
        </w:tc>
        <w:tc>
          <w:tcPr>
            <w:tcW w:w="1702"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958" w:footer="469" w:top="2380" w:bottom="660" w:left="1560" w:right="156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43" w:val="left" w:leader="none"/>
        </w:tabs>
        <w:spacing w:before="38"/>
        <w:ind w:left="141" w:right="112" w:firstLine="0"/>
        <w:jc w:val="left"/>
        <w:rPr>
          <w:rFonts w:ascii="黑体" w:hAnsi="黑体" w:cs="黑体" w:eastAsia="黑体" w:hint="default"/>
          <w:sz w:val="20"/>
          <w:szCs w:val="20"/>
        </w:rPr>
      </w:pPr>
      <w:r>
        <w:rPr>
          <w:rFonts w:ascii="黑体" w:hAnsi="黑体" w:cs="黑体" w:eastAsia="黑体" w:hint="default"/>
          <w:b/>
          <w:bCs/>
          <w:sz w:val="20"/>
          <w:szCs w:val="20"/>
        </w:rPr>
        <w:t>四、</w:t>
        <w:tab/>
        <w:t>合并财务报表的合并范围（续）</w:t>
      </w:r>
      <w:r>
        <w:rPr>
          <w:rFonts w:ascii="黑体" w:hAnsi="黑体" w:cs="黑体" w:eastAsia="黑体" w:hint="default"/>
          <w:sz w:val="20"/>
          <w:szCs w:val="20"/>
        </w:rPr>
      </w:r>
    </w:p>
    <w:p>
      <w:pPr>
        <w:spacing w:line="240" w:lineRule="auto" w:before="6"/>
        <w:rPr>
          <w:rFonts w:ascii="黑体" w:hAnsi="黑体" w:cs="黑体" w:eastAsia="黑体" w:hint="default"/>
          <w:b/>
          <w:bCs/>
          <w:sz w:val="17"/>
          <w:szCs w:val="17"/>
        </w:rPr>
      </w:pPr>
    </w:p>
    <w:p>
      <w:pPr>
        <w:tabs>
          <w:tab w:pos="850" w:val="left" w:leader="none"/>
        </w:tabs>
        <w:spacing w:before="0"/>
        <w:ind w:left="141" w:right="112" w:firstLine="0"/>
        <w:jc w:val="left"/>
        <w:rPr>
          <w:rFonts w:ascii="黑体" w:hAnsi="黑体" w:cs="黑体" w:eastAsia="黑体" w:hint="default"/>
          <w:sz w:val="20"/>
          <w:szCs w:val="20"/>
        </w:rPr>
      </w:pPr>
      <w:r>
        <w:rPr>
          <w:rFonts w:ascii="Arial" w:hAnsi="Arial" w:cs="Arial" w:eastAsia="Arial" w:hint="default"/>
          <w:b/>
          <w:bCs/>
          <w:spacing w:val="-1"/>
          <w:sz w:val="20"/>
          <w:szCs w:val="20"/>
        </w:rPr>
        <w:t>5.</w:t>
        <w:tab/>
      </w:r>
      <w:r>
        <w:rPr>
          <w:rFonts w:ascii="黑体" w:hAnsi="黑体" w:cs="黑体" w:eastAsia="黑体" w:hint="default"/>
          <w:b/>
          <w:bCs/>
          <w:sz w:val="20"/>
          <w:szCs w:val="20"/>
        </w:rPr>
        <w:t>本年度发生的非同一控制下收购其他公司的资产及业务（续）</w:t>
      </w:r>
      <w:r>
        <w:rPr>
          <w:rFonts w:ascii="黑体" w:hAnsi="黑体" w:cs="黑体" w:eastAsia="黑体" w:hint="default"/>
          <w:sz w:val="20"/>
          <w:szCs w:val="20"/>
        </w:rPr>
      </w:r>
    </w:p>
    <w:p>
      <w:pPr>
        <w:spacing w:line="240" w:lineRule="auto" w:before="9"/>
        <w:rPr>
          <w:rFonts w:ascii="黑体" w:hAnsi="黑体" w:cs="黑体" w:eastAsia="黑体" w:hint="default"/>
          <w:b/>
          <w:bCs/>
          <w:sz w:val="22"/>
          <w:szCs w:val="22"/>
        </w:rPr>
      </w:pPr>
    </w:p>
    <w:p>
      <w:pPr>
        <w:pStyle w:val="BodyText"/>
        <w:spacing w:line="225" w:lineRule="auto"/>
        <w:ind w:left="850" w:right="130" w:hanging="715"/>
        <w:jc w:val="both"/>
      </w:pPr>
      <w:r>
        <w:rPr>
          <w:rFonts w:ascii="Arial" w:hAnsi="Arial" w:cs="Arial" w:eastAsia="Arial" w:hint="default"/>
        </w:rPr>
        <w:t>(5) </w:t>
      </w:r>
      <w:r>
        <w:rPr/>
        <w:t>本公司之子公司用友医疗于</w:t>
      </w:r>
      <w:r>
        <w:rPr>
          <w:rFonts w:ascii="Arial" w:hAnsi="Arial" w:cs="Arial" w:eastAsia="Arial" w:hint="default"/>
        </w:rPr>
        <w:t>2009</w:t>
      </w:r>
      <w:r>
        <w:rPr/>
        <w:t>年</w:t>
      </w:r>
      <w:r>
        <w:rPr>
          <w:rFonts w:ascii="Arial" w:hAnsi="Arial" w:cs="Arial" w:eastAsia="Arial" w:hint="default"/>
        </w:rPr>
        <w:t>11</w:t>
      </w:r>
      <w:r>
        <w:rPr/>
        <w:t>月</w:t>
      </w:r>
      <w:r>
        <w:rPr>
          <w:rFonts w:ascii="Arial" w:hAnsi="Arial" w:cs="Arial" w:eastAsia="Arial" w:hint="default"/>
        </w:rPr>
        <w:t>26</w:t>
      </w:r>
      <w:r>
        <w:rPr/>
        <w:t>日协议收购广州安易医疗软件有限公司与江门</w:t>
      </w:r>
      <w:r>
        <w:rPr>
          <w:spacing w:val="-95"/>
        </w:rPr>
        <w:t> </w:t>
      </w:r>
      <w:r>
        <w:rPr>
          <w:spacing w:val="-95"/>
        </w:rPr>
      </w:r>
      <w:r>
        <w:rPr/>
        <w:t>安易医疗软件有限公司（以下简称</w:t>
      </w:r>
      <w:r>
        <w:rPr>
          <w:rFonts w:ascii="Arial" w:hAnsi="Arial" w:cs="Arial" w:eastAsia="Arial" w:hint="default"/>
        </w:rPr>
        <w:t>“</w:t>
      </w:r>
      <w:r>
        <w:rPr/>
        <w:t>广州安易及江门安易</w:t>
      </w:r>
      <w:r>
        <w:rPr>
          <w:rFonts w:ascii="Arial" w:hAnsi="Arial" w:cs="Arial" w:eastAsia="Arial" w:hint="default"/>
        </w:rPr>
        <w:t>”</w:t>
      </w:r>
      <w:r>
        <w:rPr/>
        <w:t>）的资产和业务，收购价现金人</w:t>
      </w:r>
      <w:r>
        <w:rPr>
          <w:spacing w:val="1"/>
          <w:w w:val="100"/>
        </w:rPr>
        <w:t> </w:t>
      </w:r>
      <w:r>
        <w:rPr>
          <w:spacing w:val="-3"/>
        </w:rPr>
        <w:t>民币</w:t>
      </w:r>
      <w:r>
        <w:rPr>
          <w:rFonts w:ascii="Arial" w:hAnsi="Arial" w:cs="Arial" w:eastAsia="Arial" w:hint="default"/>
          <w:spacing w:val="-3"/>
        </w:rPr>
        <w:t>18,000,000</w:t>
      </w:r>
      <w:r>
        <w:rPr>
          <w:spacing w:val="-3"/>
        </w:rPr>
        <w:t>元。此次收购业经中和资产评估有限公司进行评估，并于</w:t>
      </w:r>
      <w:r>
        <w:rPr>
          <w:rFonts w:ascii="Arial" w:hAnsi="Arial" w:cs="Arial" w:eastAsia="Arial" w:hint="default"/>
          <w:spacing w:val="-3"/>
        </w:rPr>
        <w:t>2010</w:t>
      </w:r>
      <w:r>
        <w:rPr>
          <w:spacing w:val="-3"/>
        </w:rPr>
        <w:t>年</w:t>
      </w:r>
      <w:r>
        <w:rPr>
          <w:rFonts w:ascii="Arial" w:hAnsi="Arial" w:cs="Arial" w:eastAsia="Arial" w:hint="default"/>
          <w:spacing w:val="-3"/>
        </w:rPr>
        <w:t>2</w:t>
      </w:r>
      <w:r>
        <w:rPr>
          <w:spacing w:val="-3"/>
        </w:rPr>
        <w:t>月</w:t>
      </w:r>
      <w:r>
        <w:rPr>
          <w:rFonts w:ascii="Arial" w:hAnsi="Arial" w:cs="Arial" w:eastAsia="Arial" w:hint="default"/>
          <w:spacing w:val="-3"/>
        </w:rPr>
        <w:t>8</w:t>
      </w:r>
      <w:r>
        <w:rPr>
          <w:spacing w:val="-3"/>
        </w:rPr>
        <w:t>日出</w:t>
      </w:r>
      <w:r>
        <w:rPr>
          <w:w w:val="100"/>
        </w:rPr>
        <w:t> </w:t>
      </w:r>
      <w:r>
        <w:rPr/>
        <w:t>具了中和评报字（</w:t>
      </w:r>
      <w:r>
        <w:rPr>
          <w:rFonts w:ascii="Arial" w:hAnsi="Arial" w:cs="Arial" w:eastAsia="Arial" w:hint="default"/>
        </w:rPr>
        <w:t>2010</w:t>
      </w:r>
      <w:r>
        <w:rPr/>
        <w:t>）第</w:t>
      </w:r>
      <w:r>
        <w:rPr>
          <w:rFonts w:ascii="Arial" w:hAnsi="Arial" w:cs="Arial" w:eastAsia="Arial" w:hint="default"/>
        </w:rPr>
        <w:t>V1016</w:t>
      </w:r>
      <w:r>
        <w:rPr/>
        <w:t>号资产评估报告书。该评估报告以</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10</w:t>
      </w:r>
      <w:r>
        <w:rPr/>
        <w:t>日为</w:t>
      </w:r>
      <w:r>
        <w:rPr>
          <w:spacing w:val="2"/>
          <w:w w:val="100"/>
        </w:rPr>
        <w:t> </w:t>
      </w:r>
      <w:r>
        <w:rPr>
          <w:spacing w:val="-3"/>
        </w:rPr>
        <w:t>评估基准日，确定本次收购资产和业务的公允价值为人民币</w:t>
      </w:r>
      <w:r>
        <w:rPr>
          <w:rFonts w:ascii="Arial" w:hAnsi="Arial" w:cs="Arial" w:eastAsia="Arial" w:hint="default"/>
          <w:spacing w:val="-3"/>
        </w:rPr>
        <w:t>3,192,042</w:t>
      </w:r>
      <w:r>
        <w:rPr>
          <w:spacing w:val="-3"/>
        </w:rPr>
        <w:t>元，因购买而产生的</w:t>
      </w:r>
      <w:r>
        <w:rPr>
          <w:w w:val="100"/>
        </w:rPr>
        <w:t> </w:t>
      </w:r>
      <w:r>
        <w:rPr/>
        <w:t>商誉为人民币</w:t>
      </w:r>
      <w:r>
        <w:rPr>
          <w:rFonts w:ascii="Arial" w:hAnsi="Arial" w:cs="Arial" w:eastAsia="Arial" w:hint="default"/>
        </w:rPr>
        <w:t>14,807,958</w:t>
      </w:r>
      <w:r>
        <w:rPr/>
        <w:t>元。</w:t>
      </w:r>
    </w:p>
    <w:p>
      <w:pPr>
        <w:spacing w:line="240" w:lineRule="auto" w:before="1"/>
        <w:rPr>
          <w:rFonts w:ascii="黑体" w:hAnsi="黑体" w:cs="黑体" w:eastAsia="黑体" w:hint="default"/>
          <w:sz w:val="18"/>
          <w:szCs w:val="18"/>
        </w:rPr>
      </w:pPr>
    </w:p>
    <w:p>
      <w:pPr>
        <w:pStyle w:val="BodyText"/>
        <w:spacing w:line="240" w:lineRule="auto"/>
        <w:ind w:left="855" w:right="112"/>
        <w:jc w:val="left"/>
      </w:pPr>
      <w:r>
        <w:rPr/>
        <w:t>广州安易及江门安易的可辨认资产于购买日的公允价值和账面价值如下：</w:t>
      </w:r>
    </w:p>
    <w:p>
      <w:pPr>
        <w:spacing w:line="240" w:lineRule="auto" w:before="12"/>
        <w:rPr>
          <w:rFonts w:ascii="黑体" w:hAnsi="黑体" w:cs="黑体" w:eastAsia="黑体" w:hint="default"/>
          <w:sz w:val="22"/>
          <w:szCs w:val="22"/>
        </w:rPr>
      </w:pPr>
    </w:p>
    <w:tbl>
      <w:tblPr>
        <w:tblW w:w="0" w:type="auto"/>
        <w:jc w:val="left"/>
        <w:tblInd w:w="839" w:type="dxa"/>
        <w:tblLayout w:type="fixed"/>
        <w:tblCellMar>
          <w:top w:w="0" w:type="dxa"/>
          <w:left w:w="0" w:type="dxa"/>
          <w:bottom w:w="0" w:type="dxa"/>
          <w:right w:w="0" w:type="dxa"/>
        </w:tblCellMar>
        <w:tblLook w:val="01E0"/>
      </w:tblPr>
      <w:tblGrid>
        <w:gridCol w:w="3189"/>
        <w:gridCol w:w="2952"/>
        <w:gridCol w:w="1702"/>
      </w:tblGrid>
      <w:tr>
        <w:trPr>
          <w:trHeight w:val="800" w:hRule="exact"/>
        </w:trPr>
        <w:tc>
          <w:tcPr>
            <w:tcW w:w="3189" w:type="dxa"/>
            <w:tcBorders>
              <w:top w:val="nil" w:sz="6" w:space="0" w:color="auto"/>
              <w:left w:val="nil" w:sz="6" w:space="0" w:color="auto"/>
              <w:bottom w:val="nil" w:sz="6" w:space="0" w:color="auto"/>
              <w:right w:val="nil" w:sz="6" w:space="0" w:color="auto"/>
            </w:tcBorders>
          </w:tcPr>
          <w:p>
            <w:pP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4"/>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10</w:t>
            </w:r>
            <w:r>
              <w:rPr>
                <w:rFonts w:ascii="黑体" w:hAnsi="黑体" w:cs="黑体" w:eastAsia="黑体" w:hint="default"/>
                <w:spacing w:val="-1"/>
                <w:sz w:val="20"/>
                <w:szCs w:val="20"/>
              </w:rPr>
              <w:t>日</w:t>
            </w:r>
          </w:p>
          <w:p>
            <w:pPr>
              <w:pStyle w:val="TableParagraph"/>
              <w:spacing w:line="240" w:lineRule="auto" w:before="24"/>
              <w:ind w:right="174"/>
              <w:jc w:val="right"/>
              <w:rPr>
                <w:rFonts w:ascii="黑体" w:hAnsi="黑体" w:cs="黑体" w:eastAsia="黑体" w:hint="default"/>
                <w:sz w:val="20"/>
                <w:szCs w:val="20"/>
              </w:rPr>
            </w:pPr>
            <w:r>
              <w:rPr>
                <w:rFonts w:ascii="黑体" w:hAnsi="黑体" w:cs="黑体" w:eastAsia="黑体" w:hint="default"/>
                <w:sz w:val="20"/>
                <w:szCs w:val="20"/>
              </w:rPr>
              <w:t>公允价值</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6"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10</w:t>
            </w:r>
            <w:r>
              <w:rPr>
                <w:rFonts w:ascii="黑体" w:hAnsi="黑体" w:cs="黑体" w:eastAsia="黑体" w:hint="default"/>
                <w:sz w:val="20"/>
                <w:szCs w:val="20"/>
              </w:rPr>
              <w:t>日</w:t>
            </w:r>
          </w:p>
          <w:p>
            <w:pPr>
              <w:pStyle w:val="TableParagraph"/>
              <w:spacing w:line="240" w:lineRule="auto" w:before="24"/>
              <w:ind w:left="865" w:right="0"/>
              <w:jc w:val="left"/>
              <w:rPr>
                <w:rFonts w:ascii="黑体" w:hAnsi="黑体" w:cs="黑体" w:eastAsia="黑体" w:hint="default"/>
                <w:sz w:val="20"/>
                <w:szCs w:val="20"/>
              </w:rPr>
            </w:pPr>
            <w:r>
              <w:rPr>
                <w:rFonts w:ascii="黑体" w:hAnsi="黑体" w:cs="黑体" w:eastAsia="黑体" w:hint="default"/>
                <w:sz w:val="20"/>
                <w:szCs w:val="20"/>
              </w:rPr>
              <w:t>账面价值</w:t>
            </w:r>
          </w:p>
        </w:tc>
      </w:tr>
      <w:tr>
        <w:trPr>
          <w:trHeight w:val="454" w:hRule="exact"/>
        </w:trPr>
        <w:tc>
          <w:tcPr>
            <w:tcW w:w="3189"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36" w:right="0"/>
              <w:jc w:val="left"/>
              <w:rPr>
                <w:rFonts w:ascii="黑体" w:hAnsi="黑体" w:cs="黑体" w:eastAsia="黑体" w:hint="default"/>
                <w:sz w:val="20"/>
                <w:szCs w:val="20"/>
              </w:rPr>
            </w:pPr>
            <w:r>
              <w:rPr>
                <w:rFonts w:ascii="黑体" w:hAnsi="黑体" w:cs="黑体" w:eastAsia="黑体" w:hint="default"/>
                <w:sz w:val="20"/>
                <w:szCs w:val="20"/>
              </w:rPr>
              <w:t>固定资产</w:t>
            </w: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4"/>
                <w:szCs w:val="14"/>
              </w:rPr>
            </w:pPr>
          </w:p>
          <w:p>
            <w:pPr>
              <w:pStyle w:val="TableParagraph"/>
              <w:spacing w:line="240" w:lineRule="auto"/>
              <w:ind w:right="174"/>
              <w:jc w:val="right"/>
              <w:rPr>
                <w:rFonts w:ascii="Arial" w:hAnsi="Arial" w:cs="Arial" w:eastAsia="Arial" w:hint="default"/>
                <w:sz w:val="20"/>
                <w:szCs w:val="20"/>
              </w:rPr>
            </w:pPr>
            <w:r>
              <w:rPr>
                <w:rFonts w:ascii="Arial"/>
                <w:spacing w:val="-1"/>
                <w:sz w:val="20"/>
              </w:rPr>
              <w:t>128,777</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4"/>
                <w:szCs w:val="14"/>
              </w:rPr>
            </w:pPr>
          </w:p>
          <w:p>
            <w:pPr>
              <w:pStyle w:val="TableParagraph"/>
              <w:spacing w:line="240" w:lineRule="auto"/>
              <w:ind w:right="33"/>
              <w:jc w:val="right"/>
              <w:rPr>
                <w:rFonts w:ascii="Arial" w:hAnsi="Arial" w:cs="Arial" w:eastAsia="Arial" w:hint="default"/>
                <w:sz w:val="20"/>
                <w:szCs w:val="20"/>
              </w:rPr>
            </w:pPr>
            <w:r>
              <w:rPr>
                <w:rFonts w:ascii="Arial"/>
                <w:spacing w:val="-1"/>
                <w:sz w:val="20"/>
              </w:rPr>
              <w:t>144,974</w:t>
            </w:r>
          </w:p>
        </w:tc>
      </w:tr>
      <w:tr>
        <w:trPr>
          <w:trHeight w:val="305" w:hRule="exact"/>
        </w:trPr>
        <w:tc>
          <w:tcPr>
            <w:tcW w:w="3189" w:type="dxa"/>
            <w:tcBorders>
              <w:top w:val="nil" w:sz="6" w:space="0" w:color="auto"/>
              <w:left w:val="nil" w:sz="6" w:space="0" w:color="auto"/>
              <w:bottom w:val="nil" w:sz="6" w:space="0" w:color="auto"/>
              <w:right w:val="nil" w:sz="6" w:space="0" w:color="auto"/>
            </w:tcBorders>
          </w:tcPr>
          <w:p>
            <w:pPr>
              <w:pStyle w:val="TableParagraph"/>
              <w:spacing w:line="260" w:lineRule="exact"/>
              <w:ind w:left="36" w:right="0"/>
              <w:jc w:val="left"/>
              <w:rPr>
                <w:rFonts w:ascii="黑体" w:hAnsi="黑体" w:cs="黑体" w:eastAsia="黑体" w:hint="default"/>
                <w:sz w:val="20"/>
                <w:szCs w:val="20"/>
              </w:rPr>
            </w:pPr>
            <w:r>
              <w:rPr>
                <w:rFonts w:ascii="黑体" w:hAnsi="黑体" w:cs="黑体" w:eastAsia="黑体" w:hint="default"/>
                <w:sz w:val="20"/>
                <w:szCs w:val="20"/>
              </w:rPr>
              <w:t>无形资产</w:t>
            </w:r>
            <w:r>
              <w:rPr>
                <w:rFonts w:ascii="Arial" w:hAnsi="Arial" w:cs="Arial" w:eastAsia="Arial" w:hint="default"/>
                <w:sz w:val="20"/>
                <w:szCs w:val="20"/>
              </w:rPr>
              <w:t>-</w:t>
            </w:r>
            <w:r>
              <w:rPr>
                <w:rFonts w:ascii="黑体" w:hAnsi="黑体" w:cs="黑体" w:eastAsia="黑体" w:hint="default"/>
                <w:sz w:val="20"/>
                <w:szCs w:val="20"/>
              </w:rPr>
              <w:t>软件著作权</w:t>
            </w: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1"/>
                <w:sz w:val="20"/>
                <w:u w:val="single" w:color="000000"/>
              </w:rPr>
              <w:t> </w:t>
            </w:r>
            <w:r>
              <w:rPr>
                <w:rFonts w:ascii="Arial"/>
                <w:sz w:val="20"/>
                <w:u w:val="single" w:color="000000"/>
              </w:rPr>
              <w:t>3,063,265</w:t>
            </w:r>
            <w:r>
              <w:rPr>
                <w:rFonts w:ascii="Arial"/>
                <w:sz w:val="20"/>
              </w:rPr>
            </w:r>
          </w:p>
        </w:tc>
        <w:tc>
          <w:tcPr>
            <w:tcW w:w="1702" w:type="dxa"/>
            <w:tcBorders>
              <w:top w:val="nil" w:sz="6" w:space="0" w:color="auto"/>
              <w:left w:val="nil" w:sz="6" w:space="0" w:color="auto"/>
              <w:bottom w:val="nil" w:sz="6" w:space="0" w:color="auto"/>
              <w:right w:val="nil" w:sz="6" w:space="0" w:color="auto"/>
            </w:tcBorders>
          </w:tcPr>
          <w:p>
            <w:pPr>
              <w:pStyle w:val="TableParagraph"/>
              <w:tabs>
                <w:tab w:pos="639" w:val="left" w:leader="none"/>
              </w:tabs>
              <w:spacing w:line="240" w:lineRule="auto" w:before="29"/>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296" w:hRule="exact"/>
        </w:trPr>
        <w:tc>
          <w:tcPr>
            <w:tcW w:w="3189" w:type="dxa"/>
            <w:tcBorders>
              <w:top w:val="nil" w:sz="6" w:space="0" w:color="auto"/>
              <w:left w:val="nil" w:sz="6" w:space="0" w:color="auto"/>
              <w:bottom w:val="nil" w:sz="6" w:space="0" w:color="auto"/>
              <w:right w:val="nil" w:sz="6" w:space="0" w:color="auto"/>
            </w:tcBorders>
          </w:tcPr>
          <w:p>
            <w:pP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5"/>
              <w:jc w:val="right"/>
              <w:rPr>
                <w:rFonts w:ascii="Arial" w:hAnsi="Arial" w:cs="Arial" w:eastAsia="Arial" w:hint="default"/>
                <w:sz w:val="20"/>
                <w:szCs w:val="20"/>
              </w:rPr>
            </w:pPr>
            <w:r>
              <w:rPr>
                <w:rFonts w:ascii="Arial"/>
                <w:sz w:val="20"/>
              </w:rPr>
              <w:t>3,192,042</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
              <w:jc w:val="right"/>
              <w:rPr>
                <w:rFonts w:ascii="Arial" w:hAnsi="Arial" w:cs="Arial" w:eastAsia="Arial" w:hint="default"/>
                <w:sz w:val="20"/>
                <w:szCs w:val="20"/>
              </w:rPr>
            </w:pPr>
            <w:r>
              <w:rPr>
                <w:rFonts w:ascii="Arial"/>
                <w:w w:val="100"/>
                <w:sz w:val="20"/>
              </w:rPr>
            </w:r>
            <w:r>
              <w:rPr>
                <w:rFonts w:ascii="Arial"/>
                <w:spacing w:val="-1"/>
                <w:sz w:val="20"/>
                <w:u w:val="thick" w:color="000000"/>
              </w:rPr>
              <w:t>144,974</w:t>
            </w:r>
            <w:r>
              <w:rPr>
                <w:rFonts w:ascii="Arial"/>
                <w:spacing w:val="-1"/>
                <w:sz w:val="20"/>
              </w:rPr>
            </w:r>
          </w:p>
        </w:tc>
      </w:tr>
      <w:tr>
        <w:trPr>
          <w:trHeight w:val="300" w:hRule="exact"/>
        </w:trPr>
        <w:tc>
          <w:tcPr>
            <w:tcW w:w="3189"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黑体" w:hAnsi="黑体" w:cs="黑体" w:eastAsia="黑体" w:hint="default"/>
                <w:sz w:val="20"/>
                <w:szCs w:val="20"/>
              </w:rPr>
            </w:pPr>
            <w:r>
              <w:rPr>
                <w:rFonts w:ascii="黑体" w:hAnsi="黑体" w:cs="黑体" w:eastAsia="黑体" w:hint="default"/>
                <w:sz w:val="20"/>
                <w:szCs w:val="20"/>
              </w:rPr>
              <w:t>购买产生的商誉</w:t>
            </w: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5"/>
              <w:jc w:val="right"/>
              <w:rPr>
                <w:rFonts w:ascii="Arial" w:hAnsi="Arial" w:cs="Arial" w:eastAsia="Arial" w:hint="default"/>
                <w:sz w:val="20"/>
                <w:szCs w:val="20"/>
              </w:rPr>
            </w:pPr>
            <w:r>
              <w:rPr>
                <w:rFonts w:ascii="Arial"/>
                <w:w w:val="100"/>
                <w:sz w:val="20"/>
              </w:rPr>
            </w:r>
            <w:r>
              <w:rPr>
                <w:rFonts w:ascii="Arial"/>
                <w:spacing w:val="-1"/>
                <w:sz w:val="20"/>
                <w:u w:val="single" w:color="000000"/>
              </w:rPr>
              <w:t>14,807,958</w:t>
            </w:r>
            <w:r>
              <w:rPr>
                <w:rFonts w:ascii="Arial"/>
                <w:spacing w:val="-1"/>
                <w:sz w:val="20"/>
              </w:rPr>
            </w:r>
          </w:p>
        </w:tc>
        <w:tc>
          <w:tcPr>
            <w:tcW w:w="1702" w:type="dxa"/>
            <w:tcBorders>
              <w:top w:val="nil" w:sz="6" w:space="0" w:color="auto"/>
              <w:left w:val="nil" w:sz="6" w:space="0" w:color="auto"/>
              <w:bottom w:val="nil" w:sz="6" w:space="0" w:color="auto"/>
              <w:right w:val="nil" w:sz="6" w:space="0" w:color="auto"/>
            </w:tcBorders>
          </w:tcPr>
          <w:p>
            <w:pPr/>
          </w:p>
        </w:tc>
      </w:tr>
      <w:tr>
        <w:trPr>
          <w:trHeight w:val="355" w:hRule="exact"/>
        </w:trPr>
        <w:tc>
          <w:tcPr>
            <w:tcW w:w="3189"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黑体" w:hAnsi="黑体" w:cs="黑体" w:eastAsia="黑体" w:hint="default"/>
                <w:sz w:val="20"/>
                <w:szCs w:val="20"/>
              </w:rPr>
            </w:pPr>
            <w:r>
              <w:rPr>
                <w:rFonts w:ascii="黑体" w:hAnsi="黑体" w:cs="黑体" w:eastAsia="黑体" w:hint="default"/>
                <w:sz w:val="20"/>
                <w:szCs w:val="20"/>
              </w:rPr>
              <w:t>合并成本</w:t>
            </w: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5"/>
              <w:jc w:val="right"/>
              <w:rPr>
                <w:rFonts w:ascii="Arial" w:hAnsi="Arial" w:cs="Arial" w:eastAsia="Arial" w:hint="default"/>
                <w:sz w:val="20"/>
                <w:szCs w:val="20"/>
              </w:rPr>
            </w:pPr>
            <w:r>
              <w:rPr>
                <w:rFonts w:ascii="Arial"/>
                <w:w w:val="100"/>
                <w:sz w:val="20"/>
              </w:rPr>
            </w:r>
            <w:r>
              <w:rPr>
                <w:rFonts w:ascii="Arial"/>
                <w:spacing w:val="-1"/>
                <w:sz w:val="20"/>
                <w:u w:val="thick" w:color="000000"/>
              </w:rPr>
              <w:t>18,000,000</w:t>
            </w:r>
            <w:r>
              <w:rPr>
                <w:rFonts w:ascii="Arial"/>
                <w:spacing w:val="-1"/>
                <w:sz w:val="20"/>
              </w:rPr>
            </w:r>
          </w:p>
        </w:tc>
        <w:tc>
          <w:tcPr>
            <w:tcW w:w="1702"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黑体" w:hAnsi="黑体" w:cs="黑体" w:eastAsia="黑体" w:hint="default"/>
          <w:sz w:val="13"/>
          <w:szCs w:val="13"/>
        </w:rPr>
      </w:pPr>
    </w:p>
    <w:p>
      <w:pPr>
        <w:pStyle w:val="BodyText"/>
        <w:spacing w:line="260" w:lineRule="exact" w:before="64"/>
        <w:ind w:left="850" w:right="133" w:hanging="715"/>
        <w:jc w:val="both"/>
      </w:pPr>
      <w:r>
        <w:rPr>
          <w:rFonts w:ascii="Arial" w:hAnsi="Arial" w:cs="Arial" w:eastAsia="Arial" w:hint="default"/>
          <w:w w:val="100"/>
        </w:rPr>
        <w:t>(6)</w:t>
      </w:r>
      <w:r>
        <w:rPr>
          <w:rFonts w:ascii="Arial" w:hAnsi="Arial" w:cs="Arial" w:eastAsia="Arial" w:hint="default"/>
          <w:spacing w:val="30"/>
          <w:w w:val="100"/>
        </w:rPr>
        <w:t> </w:t>
      </w:r>
      <w:r>
        <w:rPr>
          <w:spacing w:val="-3"/>
          <w:w w:val="100"/>
        </w:rPr>
        <w:t>本公司之子公司用友医疗于</w:t>
      </w:r>
      <w:r>
        <w:rPr>
          <w:rFonts w:ascii="Arial" w:hAnsi="Arial" w:cs="Arial" w:eastAsia="Arial" w:hint="default"/>
          <w:spacing w:val="-3"/>
          <w:w w:val="100"/>
        </w:rPr>
        <w:t>2009</w:t>
      </w:r>
      <w:r>
        <w:rPr>
          <w:spacing w:val="-3"/>
          <w:w w:val="100"/>
        </w:rPr>
        <w:t>年</w:t>
      </w:r>
      <w:r>
        <w:rPr>
          <w:rFonts w:ascii="Arial" w:hAnsi="Arial" w:cs="Arial" w:eastAsia="Arial" w:hint="default"/>
          <w:spacing w:val="-3"/>
          <w:w w:val="100"/>
        </w:rPr>
        <w:t>10</w:t>
      </w:r>
      <w:r>
        <w:rPr>
          <w:spacing w:val="-3"/>
          <w:w w:val="100"/>
        </w:rPr>
        <w:t>月</w:t>
      </w:r>
      <w:r>
        <w:rPr>
          <w:rFonts w:ascii="Arial" w:hAnsi="Arial" w:cs="Arial" w:eastAsia="Arial" w:hint="default"/>
          <w:spacing w:val="-3"/>
          <w:w w:val="100"/>
        </w:rPr>
        <w:t>28</w:t>
      </w:r>
      <w:r>
        <w:rPr>
          <w:spacing w:val="-3"/>
          <w:w w:val="100"/>
        </w:rPr>
        <w:t>日协议收购北京用友医院管理软件有限公司（以</w:t>
      </w:r>
      <w:r>
        <w:rPr>
          <w:spacing w:val="-2"/>
          <w:w w:val="100"/>
        </w:rPr>
        <w:t> </w:t>
      </w:r>
      <w:r>
        <w:rPr>
          <w:spacing w:val="-2"/>
        </w:rPr>
        <w:t>下简称</w:t>
      </w:r>
      <w:r>
        <w:rPr>
          <w:rFonts w:ascii="Arial" w:hAnsi="Arial" w:cs="Arial" w:eastAsia="Arial" w:hint="default"/>
          <w:spacing w:val="-2"/>
        </w:rPr>
        <w:t>“</w:t>
      </w:r>
      <w:r>
        <w:rPr>
          <w:spacing w:val="-2"/>
        </w:rPr>
        <w:t>用友医院</w:t>
      </w:r>
      <w:r>
        <w:rPr>
          <w:rFonts w:ascii="Arial" w:hAnsi="Arial" w:cs="Arial" w:eastAsia="Arial" w:hint="default"/>
          <w:spacing w:val="-2"/>
        </w:rPr>
        <w:t>”</w:t>
      </w:r>
      <w:r>
        <w:rPr>
          <w:spacing w:val="-2"/>
        </w:rPr>
        <w:t>）的资产和业务，收购价现金人民币</w:t>
      </w:r>
      <w:r>
        <w:rPr>
          <w:rFonts w:ascii="Arial" w:hAnsi="Arial" w:cs="Arial" w:eastAsia="Arial" w:hint="default"/>
          <w:spacing w:val="-2"/>
        </w:rPr>
        <w:t>9,000,000</w:t>
      </w:r>
      <w:r>
        <w:rPr>
          <w:spacing w:val="-2"/>
        </w:rPr>
        <w:t>元。此次收购业经中和资</w:t>
      </w:r>
      <w:r>
        <w:rPr>
          <w:w w:val="100"/>
        </w:rPr>
        <w:t> </w:t>
      </w:r>
      <w:r>
        <w:rPr>
          <w:spacing w:val="-3"/>
        </w:rPr>
        <w:t>产评估有限公司进行评估，并于</w:t>
      </w:r>
      <w:r>
        <w:rPr>
          <w:rFonts w:ascii="Arial" w:hAnsi="Arial" w:cs="Arial" w:eastAsia="Arial" w:hint="default"/>
          <w:spacing w:val="-3"/>
        </w:rPr>
        <w:t>2010</w:t>
      </w:r>
      <w:r>
        <w:rPr>
          <w:spacing w:val="-3"/>
        </w:rPr>
        <w:t>年</w:t>
      </w:r>
      <w:r>
        <w:rPr>
          <w:rFonts w:ascii="Arial" w:hAnsi="Arial" w:cs="Arial" w:eastAsia="Arial" w:hint="default"/>
          <w:spacing w:val="-3"/>
        </w:rPr>
        <w:t>2</w:t>
      </w:r>
      <w:r>
        <w:rPr>
          <w:spacing w:val="-3"/>
        </w:rPr>
        <w:t>月</w:t>
      </w:r>
      <w:r>
        <w:rPr>
          <w:rFonts w:ascii="Arial" w:hAnsi="Arial" w:cs="Arial" w:eastAsia="Arial" w:hint="default"/>
          <w:spacing w:val="-3"/>
        </w:rPr>
        <w:t>8</w:t>
      </w:r>
      <w:r>
        <w:rPr>
          <w:spacing w:val="-3"/>
        </w:rPr>
        <w:t>日出具了中和评报字（</w:t>
      </w:r>
      <w:r>
        <w:rPr>
          <w:rFonts w:ascii="Arial" w:hAnsi="Arial" w:cs="Arial" w:eastAsia="Arial" w:hint="default"/>
          <w:spacing w:val="-3"/>
        </w:rPr>
        <w:t>2010</w:t>
      </w:r>
      <w:r>
        <w:rPr>
          <w:spacing w:val="-3"/>
        </w:rPr>
        <w:t>）第</w:t>
      </w:r>
      <w:r>
        <w:rPr>
          <w:rFonts w:ascii="Arial" w:hAnsi="Arial" w:cs="Arial" w:eastAsia="Arial" w:hint="default"/>
          <w:spacing w:val="-3"/>
        </w:rPr>
        <w:t>V1015</w:t>
      </w:r>
      <w:r>
        <w:rPr>
          <w:spacing w:val="-3"/>
        </w:rPr>
        <w:t>号资产</w:t>
      </w:r>
      <w:r>
        <w:rPr>
          <w:w w:val="100"/>
        </w:rPr>
        <w:t> </w:t>
      </w:r>
      <w:r>
        <w:rPr>
          <w:spacing w:val="-3"/>
        </w:rPr>
        <w:t>评估报告书。该评估报告以</w:t>
      </w:r>
      <w:r>
        <w:rPr>
          <w:rFonts w:ascii="Arial" w:hAnsi="Arial" w:cs="Arial" w:eastAsia="Arial" w:hint="default"/>
          <w:spacing w:val="-3"/>
        </w:rPr>
        <w:t>2009</w:t>
      </w:r>
      <w:r>
        <w:rPr>
          <w:spacing w:val="-3"/>
        </w:rPr>
        <w:t>年</w:t>
      </w:r>
      <w:r>
        <w:rPr>
          <w:rFonts w:ascii="Arial" w:hAnsi="Arial" w:cs="Arial" w:eastAsia="Arial" w:hint="default"/>
          <w:spacing w:val="-3"/>
        </w:rPr>
        <w:t>10</w:t>
      </w:r>
      <w:r>
        <w:rPr>
          <w:spacing w:val="-3"/>
        </w:rPr>
        <w:t>月</w:t>
      </w:r>
      <w:r>
        <w:rPr>
          <w:rFonts w:ascii="Arial" w:hAnsi="Arial" w:cs="Arial" w:eastAsia="Arial" w:hint="default"/>
          <w:spacing w:val="-3"/>
        </w:rPr>
        <w:t>31</w:t>
      </w:r>
      <w:r>
        <w:rPr>
          <w:spacing w:val="-3"/>
        </w:rPr>
        <w:t>日为评估基准日，确定本次收购资产和业务的公</w:t>
      </w:r>
      <w:r>
        <w:rPr>
          <w:w w:val="100"/>
        </w:rPr>
        <w:t> </w:t>
      </w:r>
      <w:r>
        <w:rPr/>
        <w:t>允价值为人民币</w:t>
      </w:r>
      <w:r>
        <w:rPr>
          <w:rFonts w:ascii="Arial" w:hAnsi="Arial" w:cs="Arial" w:eastAsia="Arial" w:hint="default"/>
        </w:rPr>
        <w:t>1,397,352</w:t>
      </w:r>
      <w:r>
        <w:rPr/>
        <w:t>元，因购买而产生的商誉为人民币</w:t>
      </w:r>
      <w:r>
        <w:rPr>
          <w:rFonts w:ascii="Arial" w:hAnsi="Arial" w:cs="Arial" w:eastAsia="Arial" w:hint="default"/>
        </w:rPr>
        <w:t>7,602,648</w:t>
      </w:r>
      <w:r>
        <w:rPr/>
        <w:t>元。</w:t>
      </w:r>
    </w:p>
    <w:p>
      <w:pPr>
        <w:spacing w:line="240" w:lineRule="auto" w:before="2"/>
        <w:rPr>
          <w:rFonts w:ascii="黑体" w:hAnsi="黑体" w:cs="黑体" w:eastAsia="黑体" w:hint="default"/>
          <w:sz w:val="17"/>
          <w:szCs w:val="17"/>
        </w:rPr>
      </w:pPr>
    </w:p>
    <w:p>
      <w:pPr>
        <w:pStyle w:val="BodyText"/>
        <w:spacing w:line="240" w:lineRule="auto"/>
        <w:ind w:left="855" w:right="112"/>
        <w:jc w:val="left"/>
      </w:pPr>
      <w:r>
        <w:rPr/>
        <w:t>用友医院的可辨认资产于购买日的公允价值和账面价值如下：</w:t>
      </w:r>
    </w:p>
    <w:p>
      <w:pPr>
        <w:spacing w:line="240" w:lineRule="auto" w:before="12"/>
        <w:rPr>
          <w:rFonts w:ascii="黑体" w:hAnsi="黑体" w:cs="黑体" w:eastAsia="黑体" w:hint="default"/>
          <w:sz w:val="22"/>
          <w:szCs w:val="22"/>
        </w:rPr>
      </w:pPr>
    </w:p>
    <w:tbl>
      <w:tblPr>
        <w:tblW w:w="0" w:type="auto"/>
        <w:jc w:val="left"/>
        <w:tblInd w:w="839" w:type="dxa"/>
        <w:tblLayout w:type="fixed"/>
        <w:tblCellMar>
          <w:top w:w="0" w:type="dxa"/>
          <w:left w:w="0" w:type="dxa"/>
          <w:bottom w:w="0" w:type="dxa"/>
          <w:right w:w="0" w:type="dxa"/>
        </w:tblCellMar>
        <w:tblLook w:val="01E0"/>
      </w:tblPr>
      <w:tblGrid>
        <w:gridCol w:w="3189"/>
        <w:gridCol w:w="2952"/>
        <w:gridCol w:w="1702"/>
      </w:tblGrid>
      <w:tr>
        <w:trPr>
          <w:trHeight w:val="800" w:hRule="exact"/>
        </w:trPr>
        <w:tc>
          <w:tcPr>
            <w:tcW w:w="3189" w:type="dxa"/>
            <w:tcBorders>
              <w:top w:val="nil" w:sz="6" w:space="0" w:color="auto"/>
              <w:left w:val="nil" w:sz="6" w:space="0" w:color="auto"/>
              <w:bottom w:val="nil" w:sz="6" w:space="0" w:color="auto"/>
              <w:right w:val="nil" w:sz="6" w:space="0" w:color="auto"/>
            </w:tcBorders>
          </w:tcPr>
          <w:p>
            <w:pP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4"/>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10</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p>
            <w:pPr>
              <w:pStyle w:val="TableParagraph"/>
              <w:spacing w:line="240" w:lineRule="auto" w:before="24"/>
              <w:ind w:right="174"/>
              <w:jc w:val="right"/>
              <w:rPr>
                <w:rFonts w:ascii="黑体" w:hAnsi="黑体" w:cs="黑体" w:eastAsia="黑体" w:hint="default"/>
                <w:sz w:val="20"/>
                <w:szCs w:val="20"/>
              </w:rPr>
            </w:pPr>
            <w:r>
              <w:rPr>
                <w:rFonts w:ascii="黑体" w:hAnsi="黑体" w:cs="黑体" w:eastAsia="黑体" w:hint="default"/>
                <w:sz w:val="20"/>
                <w:szCs w:val="20"/>
              </w:rPr>
              <w:t>公允价值</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6"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r>
              <w:rPr>
                <w:rFonts w:ascii="Arial" w:hAnsi="Arial" w:cs="Arial" w:eastAsia="Arial" w:hint="default"/>
                <w:sz w:val="20"/>
                <w:szCs w:val="20"/>
              </w:rPr>
              <w:t>10</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p>
            <w:pPr>
              <w:pStyle w:val="TableParagraph"/>
              <w:spacing w:line="240" w:lineRule="auto" w:before="24"/>
              <w:ind w:left="865" w:right="0"/>
              <w:jc w:val="left"/>
              <w:rPr>
                <w:rFonts w:ascii="黑体" w:hAnsi="黑体" w:cs="黑体" w:eastAsia="黑体" w:hint="default"/>
                <w:sz w:val="20"/>
                <w:szCs w:val="20"/>
              </w:rPr>
            </w:pPr>
            <w:r>
              <w:rPr>
                <w:rFonts w:ascii="黑体" w:hAnsi="黑体" w:cs="黑体" w:eastAsia="黑体" w:hint="default"/>
                <w:sz w:val="20"/>
                <w:szCs w:val="20"/>
              </w:rPr>
              <w:t>账面价值</w:t>
            </w:r>
          </w:p>
        </w:tc>
      </w:tr>
      <w:tr>
        <w:trPr>
          <w:trHeight w:val="454" w:hRule="exact"/>
        </w:trPr>
        <w:tc>
          <w:tcPr>
            <w:tcW w:w="3189"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35" w:right="0"/>
              <w:jc w:val="left"/>
              <w:rPr>
                <w:rFonts w:ascii="黑体" w:hAnsi="黑体" w:cs="黑体" w:eastAsia="黑体" w:hint="default"/>
                <w:sz w:val="20"/>
                <w:szCs w:val="20"/>
              </w:rPr>
            </w:pPr>
            <w:r>
              <w:rPr>
                <w:rFonts w:ascii="黑体" w:hAnsi="黑体" w:cs="黑体" w:eastAsia="黑体" w:hint="default"/>
                <w:sz w:val="20"/>
                <w:szCs w:val="20"/>
              </w:rPr>
              <w:t>固定资产</w:t>
            </w: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4"/>
                <w:szCs w:val="14"/>
              </w:rPr>
            </w:pPr>
          </w:p>
          <w:p>
            <w:pPr>
              <w:pStyle w:val="TableParagraph"/>
              <w:spacing w:line="240" w:lineRule="auto"/>
              <w:ind w:right="174"/>
              <w:jc w:val="right"/>
              <w:rPr>
                <w:rFonts w:ascii="Arial" w:hAnsi="Arial" w:cs="Arial" w:eastAsia="Arial" w:hint="default"/>
                <w:sz w:val="20"/>
                <w:szCs w:val="20"/>
              </w:rPr>
            </w:pPr>
            <w:r>
              <w:rPr>
                <w:rFonts w:ascii="Arial"/>
                <w:spacing w:val="-1"/>
                <w:sz w:val="20"/>
              </w:rPr>
              <w:t>193,495</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4"/>
                <w:szCs w:val="14"/>
              </w:rPr>
            </w:pPr>
          </w:p>
          <w:p>
            <w:pPr>
              <w:pStyle w:val="TableParagraph"/>
              <w:spacing w:line="240" w:lineRule="auto"/>
              <w:ind w:right="33"/>
              <w:jc w:val="right"/>
              <w:rPr>
                <w:rFonts w:ascii="Arial" w:hAnsi="Arial" w:cs="Arial" w:eastAsia="Arial" w:hint="default"/>
                <w:sz w:val="20"/>
                <w:szCs w:val="20"/>
              </w:rPr>
            </w:pPr>
            <w:r>
              <w:rPr>
                <w:rFonts w:ascii="Arial"/>
                <w:spacing w:val="-1"/>
                <w:sz w:val="20"/>
              </w:rPr>
              <w:t>217,608</w:t>
            </w:r>
          </w:p>
        </w:tc>
      </w:tr>
      <w:tr>
        <w:trPr>
          <w:trHeight w:val="305" w:hRule="exact"/>
        </w:trPr>
        <w:tc>
          <w:tcPr>
            <w:tcW w:w="3189" w:type="dxa"/>
            <w:tcBorders>
              <w:top w:val="nil" w:sz="6" w:space="0" w:color="auto"/>
              <w:left w:val="nil" w:sz="6" w:space="0" w:color="auto"/>
              <w:bottom w:val="nil" w:sz="6" w:space="0" w:color="auto"/>
              <w:right w:val="nil" w:sz="6" w:space="0" w:color="auto"/>
            </w:tcBorders>
          </w:tcPr>
          <w:p>
            <w:pPr>
              <w:pStyle w:val="TableParagraph"/>
              <w:spacing w:line="260" w:lineRule="exact"/>
              <w:ind w:left="35" w:right="0"/>
              <w:jc w:val="left"/>
              <w:rPr>
                <w:rFonts w:ascii="黑体" w:hAnsi="黑体" w:cs="黑体" w:eastAsia="黑体" w:hint="default"/>
                <w:sz w:val="20"/>
                <w:szCs w:val="20"/>
              </w:rPr>
            </w:pPr>
            <w:r>
              <w:rPr>
                <w:rFonts w:ascii="黑体" w:hAnsi="黑体" w:cs="黑体" w:eastAsia="黑体" w:hint="default"/>
                <w:sz w:val="20"/>
                <w:szCs w:val="20"/>
              </w:rPr>
              <w:t>无形资产</w:t>
            </w:r>
            <w:r>
              <w:rPr>
                <w:rFonts w:ascii="Arial" w:hAnsi="Arial" w:cs="Arial" w:eastAsia="Arial" w:hint="default"/>
                <w:sz w:val="20"/>
                <w:szCs w:val="20"/>
              </w:rPr>
              <w:t>-</w:t>
            </w:r>
            <w:r>
              <w:rPr>
                <w:rFonts w:ascii="黑体" w:hAnsi="黑体" w:cs="黑体" w:eastAsia="黑体" w:hint="default"/>
                <w:sz w:val="20"/>
                <w:szCs w:val="20"/>
              </w:rPr>
              <w:t>软件著作权</w:t>
            </w: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4"/>
              <w:jc w:val="right"/>
              <w:rPr>
                <w:rFonts w:ascii="Arial" w:hAnsi="Arial" w:cs="Arial" w:eastAsia="Arial" w:hint="default"/>
                <w:sz w:val="20"/>
                <w:szCs w:val="20"/>
              </w:rPr>
            </w:pPr>
            <w:r>
              <w:rPr>
                <w:rFonts w:ascii="Arial"/>
                <w:w w:val="100"/>
                <w:sz w:val="20"/>
              </w:rPr>
            </w:r>
            <w:r>
              <w:rPr>
                <w:rFonts w:ascii="Arial"/>
                <w:spacing w:val="-1"/>
                <w:sz w:val="20"/>
                <w:u w:val="single" w:color="000000"/>
              </w:rPr>
              <w:t>1,203,857</w:t>
            </w:r>
            <w:r>
              <w:rPr>
                <w:rFonts w:ascii="Arial"/>
                <w:spacing w:val="-1"/>
                <w:sz w:val="20"/>
              </w:rPr>
            </w:r>
          </w:p>
        </w:tc>
        <w:tc>
          <w:tcPr>
            <w:tcW w:w="1702" w:type="dxa"/>
            <w:tcBorders>
              <w:top w:val="nil" w:sz="6" w:space="0" w:color="auto"/>
              <w:left w:val="nil" w:sz="6" w:space="0" w:color="auto"/>
              <w:bottom w:val="nil" w:sz="6" w:space="0" w:color="auto"/>
              <w:right w:val="nil" w:sz="6" w:space="0" w:color="auto"/>
            </w:tcBorders>
          </w:tcPr>
          <w:p>
            <w:pPr>
              <w:pStyle w:val="TableParagraph"/>
              <w:tabs>
                <w:tab w:pos="658" w:val="left" w:leader="none"/>
              </w:tabs>
              <w:spacing w:line="240" w:lineRule="auto" w:before="29"/>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296" w:hRule="exact"/>
        </w:trPr>
        <w:tc>
          <w:tcPr>
            <w:tcW w:w="3189" w:type="dxa"/>
            <w:tcBorders>
              <w:top w:val="nil" w:sz="6" w:space="0" w:color="auto"/>
              <w:left w:val="nil" w:sz="6" w:space="0" w:color="auto"/>
              <w:bottom w:val="nil" w:sz="6" w:space="0" w:color="auto"/>
              <w:right w:val="nil" w:sz="6" w:space="0" w:color="auto"/>
            </w:tcBorders>
          </w:tcPr>
          <w:p>
            <w:pP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4"/>
              <w:jc w:val="right"/>
              <w:rPr>
                <w:rFonts w:ascii="Arial" w:hAnsi="Arial" w:cs="Arial" w:eastAsia="Arial" w:hint="default"/>
                <w:sz w:val="20"/>
                <w:szCs w:val="20"/>
              </w:rPr>
            </w:pPr>
            <w:r>
              <w:rPr>
                <w:rFonts w:ascii="Arial"/>
                <w:spacing w:val="-1"/>
                <w:sz w:val="20"/>
              </w:rPr>
              <w:t>1,397,352</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217,608</w:t>
            </w:r>
            <w:r>
              <w:rPr>
                <w:rFonts w:ascii="Arial"/>
                <w:spacing w:val="-1"/>
                <w:sz w:val="20"/>
              </w:rPr>
            </w:r>
          </w:p>
        </w:tc>
      </w:tr>
      <w:tr>
        <w:trPr>
          <w:trHeight w:val="300" w:hRule="exact"/>
        </w:trPr>
        <w:tc>
          <w:tcPr>
            <w:tcW w:w="3189"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黑体" w:hAnsi="黑体" w:cs="黑体" w:eastAsia="黑体" w:hint="default"/>
                <w:sz w:val="20"/>
                <w:szCs w:val="20"/>
              </w:rPr>
            </w:pPr>
            <w:r>
              <w:rPr>
                <w:rFonts w:ascii="黑体" w:hAnsi="黑体" w:cs="黑体" w:eastAsia="黑体" w:hint="default"/>
                <w:sz w:val="20"/>
                <w:szCs w:val="20"/>
              </w:rPr>
              <w:t>购买产生的商誉</w:t>
            </w: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5"/>
              <w:jc w:val="right"/>
              <w:rPr>
                <w:rFonts w:ascii="Arial" w:hAnsi="Arial" w:cs="Arial" w:eastAsia="Arial" w:hint="default"/>
                <w:sz w:val="20"/>
                <w:szCs w:val="20"/>
              </w:rPr>
            </w:pPr>
            <w:r>
              <w:rPr>
                <w:rFonts w:ascii="Arial"/>
                <w:w w:val="100"/>
                <w:sz w:val="20"/>
              </w:rPr>
            </w:r>
            <w:r>
              <w:rPr>
                <w:rFonts w:ascii="Arial"/>
                <w:spacing w:val="-1"/>
                <w:sz w:val="20"/>
                <w:u w:val="single" w:color="000000"/>
              </w:rPr>
              <w:t>7,602,648</w:t>
            </w:r>
            <w:r>
              <w:rPr>
                <w:rFonts w:ascii="Arial"/>
                <w:spacing w:val="-1"/>
                <w:sz w:val="20"/>
              </w:rPr>
            </w:r>
          </w:p>
        </w:tc>
        <w:tc>
          <w:tcPr>
            <w:tcW w:w="1702" w:type="dxa"/>
            <w:tcBorders>
              <w:top w:val="nil" w:sz="6" w:space="0" w:color="auto"/>
              <w:left w:val="nil" w:sz="6" w:space="0" w:color="auto"/>
              <w:bottom w:val="nil" w:sz="6" w:space="0" w:color="auto"/>
              <w:right w:val="nil" w:sz="6" w:space="0" w:color="auto"/>
            </w:tcBorders>
          </w:tcPr>
          <w:p>
            <w:pPr/>
          </w:p>
        </w:tc>
      </w:tr>
      <w:tr>
        <w:trPr>
          <w:trHeight w:val="355" w:hRule="exact"/>
        </w:trPr>
        <w:tc>
          <w:tcPr>
            <w:tcW w:w="3189"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黑体" w:hAnsi="黑体" w:cs="黑体" w:eastAsia="黑体" w:hint="default"/>
                <w:sz w:val="20"/>
                <w:szCs w:val="20"/>
              </w:rPr>
            </w:pPr>
            <w:r>
              <w:rPr>
                <w:rFonts w:ascii="黑体" w:hAnsi="黑体" w:cs="黑体" w:eastAsia="黑体" w:hint="default"/>
                <w:sz w:val="20"/>
                <w:szCs w:val="20"/>
              </w:rPr>
              <w:t>合并成本</w:t>
            </w:r>
          </w:p>
        </w:tc>
        <w:tc>
          <w:tcPr>
            <w:tcW w:w="295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5"/>
              <w:jc w:val="right"/>
              <w:rPr>
                <w:rFonts w:ascii="Arial" w:hAnsi="Arial" w:cs="Arial" w:eastAsia="Arial" w:hint="default"/>
                <w:sz w:val="20"/>
                <w:szCs w:val="20"/>
              </w:rPr>
            </w:pPr>
            <w:r>
              <w:rPr>
                <w:rFonts w:ascii="Arial"/>
                <w:w w:val="100"/>
                <w:sz w:val="20"/>
              </w:rPr>
            </w:r>
            <w:r>
              <w:rPr>
                <w:rFonts w:ascii="Arial"/>
                <w:spacing w:val="-1"/>
                <w:sz w:val="20"/>
                <w:u w:val="thick" w:color="000000"/>
              </w:rPr>
              <w:t>9,000,000</w:t>
            </w:r>
            <w:r>
              <w:rPr>
                <w:rFonts w:ascii="Arial"/>
                <w:spacing w:val="-1"/>
                <w:sz w:val="20"/>
              </w:rPr>
            </w:r>
          </w:p>
        </w:tc>
        <w:tc>
          <w:tcPr>
            <w:tcW w:w="1702" w:type="dxa"/>
            <w:tcBorders>
              <w:top w:val="nil" w:sz="6" w:space="0" w:color="auto"/>
              <w:left w:val="nil" w:sz="6" w:space="0" w:color="auto"/>
              <w:bottom w:val="nil" w:sz="6" w:space="0" w:color="auto"/>
              <w:right w:val="nil" w:sz="6" w:space="0" w:color="auto"/>
            </w:tcBorders>
          </w:tcPr>
          <w:p>
            <w:pPr/>
          </w:p>
        </w:tc>
      </w:tr>
    </w:tbl>
    <w:p>
      <w:pPr>
        <w:spacing w:line="240" w:lineRule="auto" w:before="8"/>
        <w:rPr>
          <w:rFonts w:ascii="黑体" w:hAnsi="黑体" w:cs="黑体" w:eastAsia="黑体" w:hint="default"/>
          <w:sz w:val="14"/>
          <w:szCs w:val="14"/>
        </w:rPr>
      </w:pPr>
    </w:p>
    <w:p>
      <w:pPr>
        <w:pStyle w:val="BodyText"/>
        <w:spacing w:line="268" w:lineRule="auto" w:before="38"/>
        <w:ind w:left="855" w:right="128"/>
        <w:jc w:val="both"/>
      </w:pPr>
      <w:r>
        <w:rPr>
          <w:spacing w:val="-1"/>
        </w:rPr>
        <w:t>以上因收购用友审计股权和收购重庆迈特、上海恒聚哈久、时空超越、广州尚南、广州安</w:t>
      </w:r>
      <w:r>
        <w:rPr>
          <w:spacing w:val="-81"/>
        </w:rPr>
        <w:t> </w:t>
      </w:r>
      <w:r>
        <w:rPr>
          <w:spacing w:val="-81"/>
        </w:rPr>
      </w:r>
      <w:r>
        <w:rPr>
          <w:spacing w:val="3"/>
        </w:rPr>
        <w:t>易及江门安易以及用友医院资产及业务的收购活动增加的固定资产和无形资产分别合计</w:t>
      </w:r>
      <w:r>
        <w:rPr>
          <w:spacing w:val="-48"/>
        </w:rPr>
        <w:t> </w:t>
      </w:r>
      <w:r>
        <w:rPr>
          <w:spacing w:val="-48"/>
        </w:rPr>
      </w:r>
      <w:r>
        <w:rPr>
          <w:spacing w:val="-3"/>
          <w:w w:val="100"/>
        </w:rPr>
        <w:t>为人民币</w:t>
      </w:r>
      <w:r>
        <w:rPr>
          <w:rFonts w:ascii="Arial" w:hAnsi="Arial" w:cs="Arial" w:eastAsia="Arial" w:hint="default"/>
          <w:spacing w:val="-3"/>
          <w:w w:val="100"/>
        </w:rPr>
        <w:t>1,206,836</w:t>
      </w:r>
      <w:r>
        <w:rPr>
          <w:spacing w:val="-3"/>
          <w:w w:val="100"/>
        </w:rPr>
        <w:t>元和人民币</w:t>
      </w:r>
      <w:r>
        <w:rPr>
          <w:rFonts w:ascii="Arial" w:hAnsi="Arial" w:cs="Arial" w:eastAsia="Arial" w:hint="default"/>
          <w:spacing w:val="-3"/>
          <w:w w:val="100"/>
        </w:rPr>
        <w:t>20,635,876</w:t>
      </w:r>
      <w:r>
        <w:rPr>
          <w:spacing w:val="-3"/>
          <w:w w:val="100"/>
        </w:rPr>
        <w:t>元。其他资产及业务的收购活动增加的固定资产</w:t>
      </w:r>
      <w:r>
        <w:rPr>
          <w:spacing w:val="-81"/>
          <w:w w:val="100"/>
        </w:rPr>
        <w:t> </w:t>
      </w:r>
      <w:r>
        <w:rPr>
          <w:spacing w:val="-81"/>
          <w:w w:val="100"/>
        </w:rPr>
      </w:r>
      <w:r>
        <w:rPr>
          <w:spacing w:val="15"/>
        </w:rPr>
        <w:t>合计为人民币</w:t>
      </w:r>
      <w:r>
        <w:rPr>
          <w:spacing w:val="-64"/>
        </w:rPr>
        <w:t> </w:t>
      </w:r>
      <w:r>
        <w:rPr>
          <w:rFonts w:ascii="Arial" w:hAnsi="Arial" w:cs="Arial" w:eastAsia="Arial" w:hint="default"/>
        </w:rPr>
        <w:t>426,895</w:t>
      </w:r>
      <w:r>
        <w:rPr>
          <w:rFonts w:ascii="Arial" w:hAnsi="Arial" w:cs="Arial" w:eastAsia="Arial" w:hint="default"/>
          <w:spacing w:val="-19"/>
        </w:rPr>
        <w:t> </w:t>
      </w:r>
      <w:r>
        <w:rPr>
          <w:spacing w:val="18"/>
        </w:rPr>
        <w:t>元。因收购所增加的固定资产和无形资产分别共计为人民币</w:t>
      </w:r>
      <w:r>
        <w:rPr>
          <w:spacing w:val="-77"/>
        </w:rPr>
        <w:t> </w:t>
      </w:r>
      <w:r>
        <w:rPr>
          <w:spacing w:val="-77"/>
        </w:rPr>
      </w:r>
      <w:r>
        <w:rPr>
          <w:rFonts w:ascii="Arial" w:hAnsi="Arial" w:cs="Arial" w:eastAsia="Arial" w:hint="default"/>
        </w:rPr>
        <w:t>1,633,731</w:t>
      </w:r>
      <w:r>
        <w:rPr/>
        <w:t>元和人民币</w:t>
      </w:r>
      <w:r>
        <w:rPr>
          <w:rFonts w:ascii="Arial" w:hAnsi="Arial" w:cs="Arial" w:eastAsia="Arial" w:hint="default"/>
        </w:rPr>
        <w:t>20,635,876</w:t>
      </w:r>
      <w:r>
        <w:rPr/>
        <w:t>元。</w:t>
      </w:r>
    </w:p>
    <w:p>
      <w:pPr>
        <w:spacing w:after="0" w:line="268" w:lineRule="auto"/>
        <w:jc w:val="both"/>
        <w:sectPr>
          <w:pgSz w:w="11910" w:h="16840"/>
          <w:pgMar w:header="958" w:footer="469" w:top="2380" w:bottom="660" w:left="1560" w:right="156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2"/>
          <w:szCs w:val="22"/>
        </w:rPr>
      </w:pPr>
    </w:p>
    <w:tbl>
      <w:tblPr>
        <w:tblW w:w="0" w:type="auto"/>
        <w:jc w:val="left"/>
        <w:tblInd w:w="106" w:type="dxa"/>
        <w:tblLayout w:type="fixed"/>
        <w:tblCellMar>
          <w:top w:w="0" w:type="dxa"/>
          <w:left w:w="0" w:type="dxa"/>
          <w:bottom w:w="0" w:type="dxa"/>
          <w:right w:w="0" w:type="dxa"/>
        </w:tblCellMar>
        <w:tblLook w:val="01E0"/>
      </w:tblPr>
      <w:tblGrid>
        <w:gridCol w:w="588"/>
        <w:gridCol w:w="4550"/>
        <w:gridCol w:w="252"/>
        <w:gridCol w:w="3186"/>
      </w:tblGrid>
      <w:tr>
        <w:trPr>
          <w:trHeight w:val="1044" w:hRule="exact"/>
        </w:trPr>
        <w:tc>
          <w:tcPr>
            <w:tcW w:w="58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四、</w:t>
            </w:r>
            <w:r>
              <w:rPr>
                <w:rFonts w:ascii="黑体" w:hAnsi="黑体" w:cs="黑体" w:eastAsia="黑体" w:hint="default"/>
                <w:sz w:val="20"/>
                <w:szCs w:val="20"/>
              </w:rPr>
            </w:r>
          </w:p>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35" w:right="0"/>
              <w:jc w:val="left"/>
              <w:rPr>
                <w:rFonts w:ascii="黑体" w:hAnsi="黑体" w:cs="黑体" w:eastAsia="黑体" w:hint="default"/>
                <w:sz w:val="20"/>
                <w:szCs w:val="20"/>
              </w:rPr>
            </w:pPr>
            <w:r>
              <w:rPr>
                <w:rFonts w:ascii="Arial" w:hAnsi="Arial" w:cs="Arial" w:eastAsia="Arial" w:hint="default"/>
                <w:b/>
                <w:bCs/>
                <w:sz w:val="20"/>
                <w:szCs w:val="20"/>
              </w:rPr>
              <w:t>6</w:t>
            </w:r>
            <w:r>
              <w:rPr>
                <w:rFonts w:ascii="黑体" w:hAnsi="黑体" w:cs="黑体" w:eastAsia="黑体" w:hint="default"/>
                <w:b/>
                <w:bCs/>
                <w:sz w:val="20"/>
                <w:szCs w:val="20"/>
              </w:rPr>
              <w:t>．</w:t>
            </w:r>
            <w:r>
              <w:rPr>
                <w:rFonts w:ascii="黑体" w:hAnsi="黑体" w:cs="黑体" w:eastAsia="黑体" w:hint="default"/>
                <w:sz w:val="20"/>
                <w:szCs w:val="20"/>
              </w:rPr>
            </w:r>
          </w:p>
        </w:tc>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49" w:right="0"/>
              <w:jc w:val="left"/>
              <w:rPr>
                <w:rFonts w:ascii="黑体" w:hAnsi="黑体" w:cs="黑体" w:eastAsia="黑体" w:hint="default"/>
                <w:sz w:val="20"/>
                <w:szCs w:val="20"/>
              </w:rPr>
            </w:pPr>
            <w:r>
              <w:rPr>
                <w:rFonts w:ascii="黑体" w:hAnsi="黑体" w:cs="黑体" w:eastAsia="黑体" w:hint="default"/>
                <w:b/>
                <w:bCs/>
                <w:sz w:val="20"/>
                <w:szCs w:val="20"/>
              </w:rPr>
              <w:t>合并财务报表的合并范围（续）</w:t>
            </w:r>
            <w:r>
              <w:rPr>
                <w:rFonts w:ascii="黑体" w:hAnsi="黑体" w:cs="黑体" w:eastAsia="黑体" w:hint="default"/>
                <w:sz w:val="20"/>
                <w:szCs w:val="20"/>
              </w:rPr>
            </w:r>
          </w:p>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81" w:right="0"/>
              <w:jc w:val="left"/>
              <w:rPr>
                <w:rFonts w:ascii="黑体" w:hAnsi="黑体" w:cs="黑体" w:eastAsia="黑体" w:hint="default"/>
                <w:sz w:val="20"/>
                <w:szCs w:val="20"/>
              </w:rPr>
            </w:pPr>
            <w:r>
              <w:rPr>
                <w:rFonts w:ascii="黑体" w:hAnsi="黑体" w:cs="黑体" w:eastAsia="黑体" w:hint="default"/>
                <w:b/>
                <w:bCs/>
                <w:sz w:val="20"/>
                <w:szCs w:val="20"/>
              </w:rPr>
              <w:t>本集团境外经营实体主要报表项目的折算汇率</w:t>
            </w:r>
            <w:r>
              <w:rPr>
                <w:rFonts w:ascii="黑体" w:hAnsi="黑体" w:cs="黑体" w:eastAsia="黑体" w:hint="default"/>
                <w:sz w:val="20"/>
                <w:szCs w:val="20"/>
              </w:rPr>
            </w:r>
          </w:p>
        </w:tc>
        <w:tc>
          <w:tcPr>
            <w:tcW w:w="3438" w:type="dxa"/>
            <w:gridSpan w:val="2"/>
            <w:tcBorders>
              <w:top w:val="nil" w:sz="6" w:space="0" w:color="auto"/>
              <w:left w:val="nil" w:sz="6" w:space="0" w:color="auto"/>
              <w:bottom w:val="nil" w:sz="6" w:space="0" w:color="auto"/>
              <w:right w:val="nil" w:sz="6" w:space="0" w:color="auto"/>
            </w:tcBorders>
          </w:tcPr>
          <w:p>
            <w:pPr/>
          </w:p>
        </w:tc>
      </w:tr>
      <w:tr>
        <w:trPr>
          <w:trHeight w:val="411"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single" w:sz="4" w:space="0" w:color="000000"/>
              <w:right w:val="nil" w:sz="6" w:space="0" w:color="auto"/>
            </w:tcBorders>
          </w:tcPr>
          <w:p>
            <w:pPr>
              <w:pStyle w:val="TableParagraph"/>
              <w:spacing w:line="240" w:lineRule="auto" w:before="115"/>
              <w:ind w:right="594"/>
              <w:jc w:val="right"/>
              <w:rPr>
                <w:rFonts w:ascii="黑体" w:hAnsi="黑体" w:cs="黑体" w:eastAsia="黑体" w:hint="default"/>
                <w:sz w:val="20"/>
                <w:szCs w:val="20"/>
              </w:rPr>
            </w:pPr>
            <w:r>
              <w:rPr>
                <w:rFonts w:ascii="黑体" w:hAnsi="黑体" w:cs="黑体" w:eastAsia="黑体" w:hint="default"/>
                <w:sz w:val="20"/>
                <w:szCs w:val="20"/>
              </w:rPr>
              <w:t>平均汇率</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single" w:sz="4" w:space="0" w:color="000000"/>
              <w:right w:val="nil" w:sz="6" w:space="0" w:color="auto"/>
            </w:tcBorders>
          </w:tcPr>
          <w:p>
            <w:pPr>
              <w:pStyle w:val="TableParagraph"/>
              <w:spacing w:line="240" w:lineRule="auto" w:before="115"/>
              <w:ind w:left="1772" w:right="0"/>
              <w:jc w:val="left"/>
              <w:rPr>
                <w:rFonts w:ascii="黑体" w:hAnsi="黑体" w:cs="黑体" w:eastAsia="黑体" w:hint="default"/>
                <w:sz w:val="20"/>
                <w:szCs w:val="20"/>
              </w:rPr>
            </w:pPr>
            <w:r>
              <w:rPr>
                <w:rFonts w:ascii="黑体" w:hAnsi="黑体" w:cs="黑体" w:eastAsia="黑体" w:hint="default"/>
                <w:sz w:val="20"/>
                <w:szCs w:val="20"/>
              </w:rPr>
              <w:t>年末汇率</w:t>
            </w:r>
          </w:p>
        </w:tc>
      </w:tr>
      <w:tr>
        <w:trPr>
          <w:trHeight w:val="397"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single" w:sz="4" w:space="0" w:color="000000"/>
              <w:left w:val="nil" w:sz="6" w:space="0" w:color="auto"/>
              <w:bottom w:val="nil" w:sz="6" w:space="0" w:color="auto"/>
              <w:right w:val="nil" w:sz="6" w:space="0" w:color="auto"/>
            </w:tcBorders>
          </w:tcPr>
          <w:p>
            <w:pPr>
              <w:pStyle w:val="TableParagraph"/>
              <w:tabs>
                <w:tab w:pos="1210" w:val="left" w:leader="none"/>
              </w:tabs>
              <w:spacing w:line="244" w:lineRule="exact"/>
              <w:ind w:right="24"/>
              <w:jc w:val="right"/>
              <w:rPr>
                <w:rFonts w:ascii="黑体" w:hAnsi="黑体" w:cs="黑体" w:eastAsia="黑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黑体" w:hAnsi="黑体" w:cs="黑体" w:eastAsia="黑体" w:hint="default"/>
                <w:sz w:val="20"/>
                <w:szCs w:val="20"/>
              </w:rPr>
              <w:t>年</w:t>
              <w:tab/>
            </w:r>
            <w:r>
              <w:rPr>
                <w:rFonts w:ascii="Arial" w:hAnsi="Arial" w:cs="Arial" w:eastAsia="Arial" w:hint="default"/>
                <w:sz w:val="20"/>
                <w:szCs w:val="20"/>
              </w:rPr>
              <w:t>2008</w:t>
            </w:r>
            <w:r>
              <w:rPr>
                <w:rFonts w:ascii="Arial" w:hAnsi="Arial" w:cs="Arial" w:eastAsia="Arial" w:hint="default"/>
                <w:spacing w:val="-6"/>
                <w:sz w:val="20"/>
                <w:szCs w:val="20"/>
              </w:rPr>
              <w:t> </w:t>
            </w:r>
            <w:r>
              <w:rPr>
                <w:rFonts w:ascii="黑体" w:hAnsi="黑体" w:cs="黑体" w:eastAsia="黑体" w:hint="default"/>
                <w:sz w:val="20"/>
                <w:szCs w:val="20"/>
              </w:rPr>
              <w:t>年</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single" w:sz="4" w:space="0" w:color="000000"/>
              <w:left w:val="nil" w:sz="6" w:space="0" w:color="auto"/>
              <w:bottom w:val="nil" w:sz="6" w:space="0" w:color="auto"/>
              <w:right w:val="nil" w:sz="6" w:space="0" w:color="auto"/>
            </w:tcBorders>
          </w:tcPr>
          <w:p>
            <w:pPr>
              <w:pStyle w:val="TableParagraph"/>
              <w:tabs>
                <w:tab w:pos="1219" w:val="left" w:leader="none"/>
              </w:tabs>
              <w:spacing w:line="244" w:lineRule="exact"/>
              <w:ind w:right="41"/>
              <w:jc w:val="right"/>
              <w:rPr>
                <w:rFonts w:ascii="黑体" w:hAnsi="黑体" w:cs="黑体" w:eastAsia="黑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黑体" w:hAnsi="黑体" w:cs="黑体" w:eastAsia="黑体" w:hint="default"/>
                <w:sz w:val="20"/>
                <w:szCs w:val="20"/>
              </w:rPr>
              <w:t>年</w:t>
              <w:tab/>
            </w:r>
            <w:r>
              <w:rPr>
                <w:rFonts w:ascii="Arial" w:hAnsi="Arial" w:cs="Arial" w:eastAsia="Arial" w:hint="default"/>
                <w:sz w:val="20"/>
                <w:szCs w:val="20"/>
              </w:rPr>
              <w:t>2008</w:t>
            </w:r>
            <w:r>
              <w:rPr>
                <w:rFonts w:ascii="Arial" w:hAnsi="Arial" w:cs="Arial" w:eastAsia="Arial" w:hint="default"/>
                <w:spacing w:val="-6"/>
                <w:sz w:val="20"/>
                <w:szCs w:val="20"/>
              </w:rPr>
              <w:t> </w:t>
            </w:r>
            <w:r>
              <w:rPr>
                <w:rFonts w:ascii="黑体" w:hAnsi="黑体" w:cs="黑体" w:eastAsia="黑体" w:hint="default"/>
                <w:sz w:val="20"/>
                <w:szCs w:val="20"/>
              </w:rPr>
              <w:t>年</w:t>
            </w:r>
          </w:p>
        </w:tc>
      </w:tr>
      <w:tr>
        <w:trPr>
          <w:trHeight w:val="394"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tabs>
                <w:tab w:pos="2527" w:val="left" w:leader="none"/>
                <w:tab w:pos="3738" w:val="left" w:leader="none"/>
              </w:tabs>
              <w:spacing w:line="240" w:lineRule="auto" w:before="93"/>
              <w:ind w:right="24"/>
              <w:jc w:val="right"/>
              <w:rPr>
                <w:rFonts w:ascii="Arial" w:hAnsi="Arial" w:cs="Arial" w:eastAsia="Arial" w:hint="default"/>
                <w:sz w:val="20"/>
                <w:szCs w:val="20"/>
              </w:rPr>
            </w:pPr>
            <w:r>
              <w:rPr>
                <w:rFonts w:ascii="黑体" w:hAnsi="黑体" w:cs="黑体" w:eastAsia="黑体" w:hint="default"/>
                <w:position w:val="1"/>
                <w:sz w:val="20"/>
                <w:szCs w:val="20"/>
              </w:rPr>
              <w:t>美元</w:t>
              <w:tab/>
            </w:r>
            <w:r>
              <w:rPr>
                <w:rFonts w:ascii="Arial" w:hAnsi="Arial" w:cs="Arial" w:eastAsia="Arial" w:hint="default"/>
                <w:sz w:val="20"/>
                <w:szCs w:val="20"/>
              </w:rPr>
              <w:t>6.8314</w:t>
              <w:tab/>
              <w:t>6.9253</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1227" w:val="left" w:leader="none"/>
              </w:tabs>
              <w:spacing w:line="240" w:lineRule="auto" w:before="149"/>
              <w:ind w:right="60"/>
              <w:jc w:val="right"/>
              <w:rPr>
                <w:rFonts w:ascii="Arial" w:hAnsi="Arial" w:cs="Arial" w:eastAsia="Arial" w:hint="default"/>
                <w:sz w:val="20"/>
                <w:szCs w:val="20"/>
              </w:rPr>
            </w:pPr>
            <w:r>
              <w:rPr>
                <w:rFonts w:ascii="Arial"/>
                <w:sz w:val="20"/>
              </w:rPr>
              <w:t>6.8282</w:t>
              <w:tab/>
              <w:t>6.8346</w:t>
            </w:r>
          </w:p>
        </w:tc>
      </w:tr>
      <w:tr>
        <w:trPr>
          <w:trHeight w:val="260"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tabs>
                <w:tab w:pos="2527" w:val="left" w:leader="none"/>
                <w:tab w:pos="4351" w:val="right" w:leader="none"/>
              </w:tabs>
              <w:spacing w:line="246" w:lineRule="exact"/>
              <w:ind w:right="24"/>
              <w:jc w:val="right"/>
              <w:rPr>
                <w:rFonts w:ascii="Arial" w:hAnsi="Arial" w:cs="Arial" w:eastAsia="Arial" w:hint="default"/>
                <w:sz w:val="20"/>
                <w:szCs w:val="20"/>
              </w:rPr>
            </w:pPr>
            <w:r>
              <w:rPr>
                <w:rFonts w:ascii="黑体" w:hAnsi="黑体" w:cs="黑体" w:eastAsia="黑体" w:hint="default"/>
                <w:position w:val="1"/>
                <w:sz w:val="20"/>
                <w:szCs w:val="20"/>
              </w:rPr>
              <w:t>日元</w:t>
              <w:tab/>
            </w:r>
            <w:r>
              <w:rPr>
                <w:rFonts w:ascii="Arial" w:hAnsi="Arial" w:cs="Arial" w:eastAsia="Arial" w:hint="default"/>
                <w:sz w:val="20"/>
                <w:szCs w:val="20"/>
              </w:rPr>
              <w:t>0.0731</w:t>
              <w:tab/>
              <w:t>0.0675</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1227" w:val="left" w:leader="none"/>
              </w:tabs>
              <w:spacing w:line="240" w:lineRule="auto" w:before="15"/>
              <w:ind w:right="60"/>
              <w:jc w:val="right"/>
              <w:rPr>
                <w:rFonts w:ascii="Arial" w:hAnsi="Arial" w:cs="Arial" w:eastAsia="Arial" w:hint="default"/>
                <w:sz w:val="20"/>
                <w:szCs w:val="20"/>
              </w:rPr>
            </w:pPr>
            <w:r>
              <w:rPr>
                <w:rFonts w:ascii="Arial"/>
                <w:sz w:val="20"/>
              </w:rPr>
              <w:t>0.0738</w:t>
              <w:tab/>
              <w:t>0.0757</w:t>
            </w:r>
          </w:p>
        </w:tc>
      </w:tr>
      <w:tr>
        <w:trPr>
          <w:trHeight w:val="259"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tabs>
                <w:tab w:pos="2527" w:val="left" w:leader="none"/>
                <w:tab w:pos="3738" w:val="left" w:leader="none"/>
              </w:tabs>
              <w:spacing w:line="245" w:lineRule="exact"/>
              <w:ind w:right="24"/>
              <w:jc w:val="right"/>
              <w:rPr>
                <w:rFonts w:ascii="Arial" w:hAnsi="Arial" w:cs="Arial" w:eastAsia="Arial" w:hint="default"/>
                <w:sz w:val="20"/>
                <w:szCs w:val="20"/>
              </w:rPr>
            </w:pPr>
            <w:r>
              <w:rPr>
                <w:rFonts w:ascii="黑体" w:hAnsi="黑体" w:cs="黑体" w:eastAsia="黑体" w:hint="default"/>
                <w:position w:val="1"/>
                <w:sz w:val="20"/>
                <w:szCs w:val="20"/>
              </w:rPr>
              <w:t>港币</w:t>
              <w:tab/>
            </w:r>
            <w:r>
              <w:rPr>
                <w:rFonts w:ascii="Arial" w:hAnsi="Arial" w:cs="Arial" w:eastAsia="Arial" w:hint="default"/>
                <w:sz w:val="20"/>
                <w:szCs w:val="20"/>
              </w:rPr>
              <w:t>0.8812</w:t>
              <w:tab/>
              <w:t>0.8912</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1227" w:val="left" w:leader="none"/>
              </w:tabs>
              <w:spacing w:line="240" w:lineRule="auto" w:before="15"/>
              <w:ind w:right="60"/>
              <w:jc w:val="right"/>
              <w:rPr>
                <w:rFonts w:ascii="Arial" w:hAnsi="Arial" w:cs="Arial" w:eastAsia="Arial" w:hint="default"/>
                <w:sz w:val="20"/>
                <w:szCs w:val="20"/>
              </w:rPr>
            </w:pPr>
            <w:r>
              <w:rPr>
                <w:rFonts w:ascii="Arial"/>
                <w:sz w:val="20"/>
              </w:rPr>
              <w:t>0.8805</w:t>
              <w:tab/>
              <w:t>0.8819</w:t>
            </w:r>
          </w:p>
        </w:tc>
      </w:tr>
      <w:tr>
        <w:trPr>
          <w:trHeight w:val="558"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tabs>
                <w:tab w:pos="2527" w:val="left" w:leader="none"/>
                <w:tab w:pos="3738" w:val="left" w:leader="none"/>
              </w:tabs>
              <w:spacing w:line="245" w:lineRule="exact"/>
              <w:ind w:right="24"/>
              <w:jc w:val="right"/>
              <w:rPr>
                <w:rFonts w:ascii="Arial" w:hAnsi="Arial" w:cs="Arial" w:eastAsia="Arial" w:hint="default"/>
                <w:sz w:val="20"/>
                <w:szCs w:val="20"/>
              </w:rPr>
            </w:pPr>
            <w:r>
              <w:rPr>
                <w:rFonts w:ascii="黑体" w:hAnsi="黑体" w:cs="黑体" w:eastAsia="黑体" w:hint="default"/>
                <w:position w:val="1"/>
                <w:sz w:val="20"/>
                <w:szCs w:val="20"/>
              </w:rPr>
              <w:t>新加坡元</w:t>
              <w:tab/>
            </w:r>
            <w:r>
              <w:rPr>
                <w:rFonts w:ascii="Arial" w:hAnsi="Arial" w:cs="Arial" w:eastAsia="Arial" w:hint="default"/>
                <w:sz w:val="20"/>
                <w:szCs w:val="20"/>
              </w:rPr>
              <w:t>4.7090</w:t>
              <w:tab/>
              <w:t>4.9164</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1227" w:val="left" w:leader="none"/>
              </w:tabs>
              <w:spacing w:line="240" w:lineRule="auto" w:before="15"/>
              <w:ind w:right="60"/>
              <w:jc w:val="right"/>
              <w:rPr>
                <w:rFonts w:ascii="Arial" w:hAnsi="Arial" w:cs="Arial" w:eastAsia="Arial" w:hint="default"/>
                <w:sz w:val="20"/>
                <w:szCs w:val="20"/>
              </w:rPr>
            </w:pPr>
            <w:r>
              <w:rPr>
                <w:rFonts w:ascii="Arial"/>
                <w:sz w:val="20"/>
              </w:rPr>
              <w:t>4.9283</w:t>
              <w:tab/>
              <w:t>4.7530</w:t>
            </w:r>
          </w:p>
        </w:tc>
      </w:tr>
      <w:tr>
        <w:trPr>
          <w:trHeight w:val="697" w:hRule="exact"/>
        </w:trPr>
        <w:tc>
          <w:tcPr>
            <w:tcW w:w="5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b/>
                <w:bCs/>
                <w:sz w:val="20"/>
                <w:szCs w:val="20"/>
              </w:rPr>
              <w:t>五、</w:t>
            </w:r>
            <w:r>
              <w:rPr>
                <w:rFonts w:ascii="黑体" w:hAnsi="黑体" w:cs="黑体" w:eastAsia="黑体" w:hint="default"/>
                <w:sz w:val="20"/>
                <w:szCs w:val="20"/>
              </w:rPr>
            </w:r>
          </w:p>
        </w:tc>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left="149" w:right="0"/>
              <w:jc w:val="left"/>
              <w:rPr>
                <w:rFonts w:ascii="黑体" w:hAnsi="黑体" w:cs="黑体" w:eastAsia="黑体" w:hint="default"/>
                <w:sz w:val="20"/>
                <w:szCs w:val="20"/>
              </w:rPr>
            </w:pPr>
            <w:r>
              <w:rPr>
                <w:rFonts w:ascii="黑体" w:hAnsi="黑体" w:cs="黑体" w:eastAsia="黑体" w:hint="default"/>
                <w:b/>
                <w:bCs/>
                <w:sz w:val="20"/>
                <w:szCs w:val="20"/>
              </w:rPr>
              <w:t>合并财务报表主要项目注释</w:t>
            </w:r>
            <w:r>
              <w:rPr>
                <w:rFonts w:ascii="黑体" w:hAnsi="黑体" w:cs="黑体" w:eastAsia="黑体" w:hint="default"/>
                <w:sz w:val="20"/>
                <w:szCs w:val="20"/>
              </w:rPr>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
        </w:tc>
      </w:tr>
      <w:tr>
        <w:trPr>
          <w:trHeight w:val="615" w:hRule="exact"/>
        </w:trPr>
        <w:tc>
          <w:tcPr>
            <w:tcW w:w="588"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5" w:right="0"/>
              <w:jc w:val="left"/>
              <w:rPr>
                <w:rFonts w:ascii="黑体" w:hAnsi="黑体" w:cs="黑体" w:eastAsia="黑体" w:hint="default"/>
                <w:sz w:val="20"/>
                <w:szCs w:val="20"/>
              </w:rPr>
            </w:pPr>
            <w:r>
              <w:rPr>
                <w:rFonts w:ascii="Arial" w:hAnsi="Arial" w:cs="Arial" w:eastAsia="Arial" w:hint="default"/>
                <w:b/>
                <w:bCs/>
                <w:sz w:val="20"/>
                <w:szCs w:val="20"/>
              </w:rPr>
              <w:t>1</w:t>
            </w:r>
            <w:r>
              <w:rPr>
                <w:rFonts w:ascii="黑体" w:hAnsi="黑体" w:cs="黑体" w:eastAsia="黑体" w:hint="default"/>
                <w:b/>
                <w:bCs/>
                <w:sz w:val="20"/>
                <w:szCs w:val="20"/>
              </w:rPr>
              <w:t>．</w:t>
            </w:r>
            <w:r>
              <w:rPr>
                <w:rFonts w:ascii="黑体" w:hAnsi="黑体" w:cs="黑体" w:eastAsia="黑体" w:hint="default"/>
                <w:sz w:val="20"/>
                <w:szCs w:val="20"/>
              </w:rPr>
            </w:r>
          </w:p>
        </w:tc>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167" w:right="0"/>
              <w:jc w:val="left"/>
              <w:rPr>
                <w:rFonts w:ascii="黑体" w:hAnsi="黑体" w:cs="黑体" w:eastAsia="黑体" w:hint="default"/>
                <w:sz w:val="20"/>
                <w:szCs w:val="20"/>
              </w:rPr>
            </w:pPr>
            <w:r>
              <w:rPr>
                <w:rFonts w:ascii="黑体" w:hAnsi="黑体" w:cs="黑体" w:eastAsia="黑体" w:hint="default"/>
                <w:b/>
                <w:bCs/>
                <w:sz w:val="20"/>
                <w:szCs w:val="20"/>
              </w:rPr>
              <w:t>货币资金</w:t>
            </w:r>
            <w:r>
              <w:rPr>
                <w:rFonts w:ascii="黑体" w:hAnsi="黑体" w:cs="黑体" w:eastAsia="黑体" w:hint="default"/>
                <w:sz w:val="20"/>
                <w:szCs w:val="20"/>
              </w:rPr>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
        </w:tc>
      </w:tr>
      <w:tr>
        <w:trPr>
          <w:trHeight w:val="417"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single" w:sz="4"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2232" w:right="0"/>
              <w:jc w:val="left"/>
              <w:rPr>
                <w:rFonts w:ascii="黑体" w:hAnsi="黑体" w:cs="黑体" w:eastAsia="黑体" w:hint="default"/>
                <w:sz w:val="16"/>
                <w:szCs w:val="16"/>
              </w:rPr>
            </w:pPr>
            <w:r>
              <w:rPr>
                <w:rFonts w:ascii="Arial" w:hAnsi="Arial" w:cs="Arial" w:eastAsia="Arial" w:hint="default"/>
                <w:sz w:val="16"/>
                <w:szCs w:val="16"/>
              </w:rPr>
              <w:t>2009</w:t>
            </w:r>
            <w:r>
              <w:rPr>
                <w:rFonts w:ascii="Arial" w:hAnsi="Arial" w:cs="Arial" w:eastAsia="Arial" w:hint="default"/>
                <w:spacing w:val="-5"/>
                <w:sz w:val="16"/>
                <w:szCs w:val="16"/>
              </w:rPr>
              <w:t> </w:t>
            </w:r>
            <w:r>
              <w:rPr>
                <w:rFonts w:ascii="黑体" w:hAnsi="黑体" w:cs="黑体" w:eastAsia="黑体" w:hint="default"/>
                <w:sz w:val="16"/>
                <w:szCs w:val="16"/>
              </w:rPr>
              <w:t>年</w:t>
            </w:r>
            <w:r>
              <w:rPr>
                <w:rFonts w:ascii="黑体" w:hAnsi="黑体" w:cs="黑体" w:eastAsia="黑体" w:hint="default"/>
                <w:spacing w:val="-42"/>
                <w:sz w:val="16"/>
                <w:szCs w:val="16"/>
              </w:rPr>
              <w:t> </w:t>
            </w:r>
            <w:r>
              <w:rPr>
                <w:rFonts w:ascii="Arial" w:hAnsi="Arial" w:cs="Arial" w:eastAsia="Arial" w:hint="default"/>
                <w:sz w:val="16"/>
                <w:szCs w:val="16"/>
              </w:rPr>
              <w:t>12</w:t>
            </w:r>
            <w:r>
              <w:rPr>
                <w:rFonts w:ascii="Arial" w:hAnsi="Arial" w:cs="Arial" w:eastAsia="Arial" w:hint="default"/>
                <w:spacing w:val="-5"/>
                <w:sz w:val="16"/>
                <w:szCs w:val="16"/>
              </w:rPr>
              <w:t> </w:t>
            </w:r>
            <w:r>
              <w:rPr>
                <w:rFonts w:ascii="黑体" w:hAnsi="黑体" w:cs="黑体" w:eastAsia="黑体" w:hint="default"/>
                <w:sz w:val="16"/>
                <w:szCs w:val="16"/>
              </w:rPr>
              <w:t>月</w:t>
            </w:r>
            <w:r>
              <w:rPr>
                <w:rFonts w:ascii="黑体" w:hAnsi="黑体" w:cs="黑体" w:eastAsia="黑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黑体" w:hAnsi="黑体" w:cs="黑体" w:eastAsia="黑体" w:hint="default"/>
                <w:sz w:val="16"/>
                <w:szCs w:val="16"/>
              </w:rPr>
              <w:t>日</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single" w:sz="4"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40" w:lineRule="auto"/>
              <w:ind w:left="891" w:right="0"/>
              <w:jc w:val="left"/>
              <w:rPr>
                <w:rFonts w:ascii="黑体" w:hAnsi="黑体" w:cs="黑体" w:eastAsia="黑体" w:hint="default"/>
                <w:sz w:val="16"/>
                <w:szCs w:val="16"/>
              </w:rPr>
            </w:pPr>
            <w:r>
              <w:rPr>
                <w:rFonts w:ascii="Arial" w:hAnsi="Arial" w:cs="Arial" w:eastAsia="Arial" w:hint="default"/>
                <w:sz w:val="16"/>
                <w:szCs w:val="16"/>
              </w:rPr>
              <w:t>2008</w:t>
            </w:r>
            <w:r>
              <w:rPr>
                <w:rFonts w:ascii="Arial" w:hAnsi="Arial" w:cs="Arial" w:eastAsia="Arial" w:hint="default"/>
                <w:spacing w:val="-5"/>
                <w:sz w:val="16"/>
                <w:szCs w:val="16"/>
              </w:rPr>
              <w:t> </w:t>
            </w:r>
            <w:r>
              <w:rPr>
                <w:rFonts w:ascii="黑体" w:hAnsi="黑体" w:cs="黑体" w:eastAsia="黑体" w:hint="default"/>
                <w:sz w:val="16"/>
                <w:szCs w:val="16"/>
              </w:rPr>
              <w:t>年</w:t>
            </w:r>
            <w:r>
              <w:rPr>
                <w:rFonts w:ascii="黑体" w:hAnsi="黑体" w:cs="黑体" w:eastAsia="黑体" w:hint="default"/>
                <w:spacing w:val="-42"/>
                <w:sz w:val="16"/>
                <w:szCs w:val="16"/>
              </w:rPr>
              <w:t> </w:t>
            </w:r>
            <w:r>
              <w:rPr>
                <w:rFonts w:ascii="Arial" w:hAnsi="Arial" w:cs="Arial" w:eastAsia="Arial" w:hint="default"/>
                <w:sz w:val="16"/>
                <w:szCs w:val="16"/>
              </w:rPr>
              <w:t>12</w:t>
            </w:r>
            <w:r>
              <w:rPr>
                <w:rFonts w:ascii="Arial" w:hAnsi="Arial" w:cs="Arial" w:eastAsia="Arial" w:hint="default"/>
                <w:spacing w:val="-5"/>
                <w:sz w:val="16"/>
                <w:szCs w:val="16"/>
              </w:rPr>
              <w:t> </w:t>
            </w:r>
            <w:r>
              <w:rPr>
                <w:rFonts w:ascii="黑体" w:hAnsi="黑体" w:cs="黑体" w:eastAsia="黑体" w:hint="default"/>
                <w:sz w:val="16"/>
                <w:szCs w:val="16"/>
              </w:rPr>
              <w:t>月</w:t>
            </w:r>
            <w:r>
              <w:rPr>
                <w:rFonts w:ascii="黑体" w:hAnsi="黑体" w:cs="黑体" w:eastAsia="黑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黑体" w:hAnsi="黑体" w:cs="黑体" w:eastAsia="黑体" w:hint="default"/>
                <w:sz w:val="16"/>
                <w:szCs w:val="16"/>
              </w:rPr>
              <w:t>日</w:t>
            </w:r>
          </w:p>
        </w:tc>
      </w:tr>
      <w:tr>
        <w:trPr>
          <w:trHeight w:val="270"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single" w:sz="4" w:space="0" w:color="000000"/>
              <w:left w:val="nil" w:sz="6" w:space="0" w:color="auto"/>
              <w:bottom w:val="nil" w:sz="6" w:space="0" w:color="auto"/>
              <w:right w:val="nil" w:sz="6" w:space="0" w:color="auto"/>
            </w:tcBorders>
          </w:tcPr>
          <w:p>
            <w:pPr>
              <w:pStyle w:val="TableParagraph"/>
              <w:tabs>
                <w:tab w:pos="759" w:val="left" w:leader="none"/>
                <w:tab w:pos="1451" w:val="left" w:leader="none"/>
              </w:tabs>
              <w:spacing w:line="227" w:lineRule="exact"/>
              <w:ind w:right="0"/>
              <w:jc w:val="right"/>
              <w:rPr>
                <w:rFonts w:ascii="黑体" w:hAnsi="黑体" w:cs="黑体" w:eastAsia="黑体" w:hint="default"/>
                <w:sz w:val="18"/>
                <w:szCs w:val="18"/>
              </w:rPr>
            </w:pPr>
            <w:r>
              <w:rPr>
                <w:rFonts w:ascii="黑体" w:hAnsi="黑体" w:cs="黑体" w:eastAsia="黑体" w:hint="default"/>
                <w:sz w:val="18"/>
                <w:szCs w:val="18"/>
              </w:rPr>
              <w:t>原币</w:t>
              <w:tab/>
              <w:t>汇率</w:t>
              <w:tab/>
              <w:t>折合人民币</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single" w:sz="4" w:space="0" w:color="000000"/>
              <w:left w:val="nil" w:sz="6" w:space="0" w:color="auto"/>
              <w:bottom w:val="nil" w:sz="6" w:space="0" w:color="auto"/>
              <w:right w:val="nil" w:sz="6" w:space="0" w:color="auto"/>
            </w:tcBorders>
          </w:tcPr>
          <w:p>
            <w:pPr>
              <w:pStyle w:val="TableParagraph"/>
              <w:tabs>
                <w:tab w:pos="757" w:val="left" w:leader="none"/>
                <w:tab w:pos="1435" w:val="left" w:leader="none"/>
              </w:tabs>
              <w:spacing w:line="227" w:lineRule="exact"/>
              <w:ind w:right="33"/>
              <w:jc w:val="right"/>
              <w:rPr>
                <w:rFonts w:ascii="黑体" w:hAnsi="黑体" w:cs="黑体" w:eastAsia="黑体" w:hint="default"/>
                <w:sz w:val="18"/>
                <w:szCs w:val="18"/>
              </w:rPr>
            </w:pPr>
            <w:r>
              <w:rPr>
                <w:rFonts w:ascii="黑体" w:hAnsi="黑体" w:cs="黑体" w:eastAsia="黑体" w:hint="default"/>
                <w:sz w:val="18"/>
                <w:szCs w:val="18"/>
              </w:rPr>
              <w:t>原币</w:t>
              <w:tab/>
              <w:t>汇率</w:t>
              <w:tab/>
              <w:t>折合人民币</w:t>
            </w:r>
          </w:p>
        </w:tc>
      </w:tr>
      <w:tr>
        <w:trPr>
          <w:trHeight w:val="255"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spacing w:line="218" w:lineRule="exact"/>
              <w:ind w:left="172" w:right="0"/>
              <w:jc w:val="left"/>
              <w:rPr>
                <w:rFonts w:ascii="黑体" w:hAnsi="黑体" w:cs="黑体" w:eastAsia="黑体" w:hint="default"/>
                <w:sz w:val="18"/>
                <w:szCs w:val="18"/>
              </w:rPr>
            </w:pPr>
            <w:r>
              <w:rPr>
                <w:rFonts w:ascii="黑体" w:hAnsi="黑体" w:cs="黑体" w:eastAsia="黑体" w:hint="default"/>
                <w:sz w:val="18"/>
                <w:szCs w:val="18"/>
              </w:rPr>
              <w:t>现金</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
        </w:tc>
      </w:tr>
      <w:tr>
        <w:trPr>
          <w:trHeight w:val="266"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tabs>
                <w:tab w:pos="1586" w:val="left" w:leader="none"/>
                <w:tab w:pos="2595" w:val="left" w:leader="none"/>
                <w:tab w:pos="3578" w:val="left" w:leader="none"/>
              </w:tabs>
              <w:spacing w:line="243" w:lineRule="exact"/>
              <w:ind w:right="0"/>
              <w:jc w:val="right"/>
              <w:rPr>
                <w:rFonts w:ascii="Arial" w:hAnsi="Arial" w:cs="Arial" w:eastAsia="Arial" w:hint="default"/>
                <w:sz w:val="18"/>
                <w:szCs w:val="18"/>
              </w:rPr>
            </w:pPr>
            <w:r>
              <w:rPr>
                <w:rFonts w:ascii="Arial" w:hAnsi="Arial" w:cs="Arial" w:eastAsia="Arial" w:hint="default"/>
                <w:position w:val="1"/>
                <w:sz w:val="18"/>
                <w:szCs w:val="18"/>
              </w:rPr>
              <w:t>—</w:t>
            </w:r>
            <w:r>
              <w:rPr>
                <w:rFonts w:ascii="黑体" w:hAnsi="黑体" w:cs="黑体" w:eastAsia="黑体" w:hint="default"/>
                <w:position w:val="1"/>
                <w:sz w:val="18"/>
                <w:szCs w:val="18"/>
              </w:rPr>
              <w:t>人民币</w:t>
              <w:tab/>
            </w:r>
            <w:r>
              <w:rPr>
                <w:rFonts w:ascii="Arial" w:hAnsi="Arial" w:cs="Arial" w:eastAsia="Arial" w:hint="default"/>
                <w:spacing w:val="-1"/>
                <w:sz w:val="18"/>
                <w:szCs w:val="18"/>
              </w:rPr>
              <w:t>2,260,516</w:t>
              <w:tab/>
              <w:t>1.0000</w:t>
              <w:tab/>
              <w:t>2,260,516</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1007" w:val="left" w:leader="none"/>
                <w:tab w:pos="1975" w:val="left" w:leader="none"/>
              </w:tabs>
              <w:spacing w:line="240" w:lineRule="auto" w:before="36"/>
              <w:ind w:right="33"/>
              <w:jc w:val="right"/>
              <w:rPr>
                <w:rFonts w:ascii="Arial" w:hAnsi="Arial" w:cs="Arial" w:eastAsia="Arial" w:hint="default"/>
                <w:sz w:val="18"/>
                <w:szCs w:val="18"/>
              </w:rPr>
            </w:pPr>
            <w:r>
              <w:rPr>
                <w:rFonts w:ascii="Arial"/>
                <w:spacing w:val="-1"/>
                <w:sz w:val="18"/>
              </w:rPr>
              <w:t>2,283,424</w:t>
              <w:tab/>
              <w:t>1.0000</w:t>
              <w:tab/>
              <w:t>2,283,424</w:t>
            </w:r>
          </w:p>
        </w:tc>
      </w:tr>
      <w:tr>
        <w:trPr>
          <w:trHeight w:val="255"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tabs>
                <w:tab w:pos="1936" w:val="left" w:leader="none"/>
                <w:tab w:pos="2595" w:val="left" w:leader="none"/>
                <w:tab w:pos="3928" w:val="left" w:leader="none"/>
              </w:tabs>
              <w:spacing w:line="233" w:lineRule="exact"/>
              <w:ind w:right="1"/>
              <w:jc w:val="right"/>
              <w:rPr>
                <w:rFonts w:ascii="Arial" w:hAnsi="Arial" w:cs="Arial" w:eastAsia="Arial" w:hint="default"/>
                <w:sz w:val="18"/>
                <w:szCs w:val="18"/>
              </w:rPr>
            </w:pPr>
            <w:r>
              <w:rPr>
                <w:rFonts w:ascii="Arial" w:hAnsi="Arial" w:cs="Arial" w:eastAsia="Arial" w:hint="default"/>
                <w:position w:val="1"/>
                <w:sz w:val="18"/>
                <w:szCs w:val="18"/>
              </w:rPr>
              <w:t>—</w:t>
            </w:r>
            <w:r>
              <w:rPr>
                <w:rFonts w:ascii="黑体" w:hAnsi="黑体" w:cs="黑体" w:eastAsia="黑体" w:hint="default"/>
                <w:position w:val="1"/>
                <w:sz w:val="18"/>
                <w:szCs w:val="18"/>
              </w:rPr>
              <w:t>新币</w:t>
              <w:tab/>
            </w:r>
            <w:r>
              <w:rPr>
                <w:rFonts w:ascii="Arial" w:hAnsi="Arial" w:cs="Arial" w:eastAsia="Arial" w:hint="default"/>
                <w:spacing w:val="-1"/>
                <w:sz w:val="18"/>
                <w:szCs w:val="18"/>
              </w:rPr>
              <w:t>1,724</w:t>
              <w:tab/>
              <w:t>4.9283</w:t>
              <w:tab/>
            </w:r>
            <w:r>
              <w:rPr>
                <w:rFonts w:ascii="Arial" w:hAnsi="Arial" w:cs="Arial" w:eastAsia="Arial" w:hint="default"/>
                <w:spacing w:val="-1"/>
                <w:w w:val="95"/>
                <w:sz w:val="18"/>
                <w:szCs w:val="18"/>
              </w:rPr>
              <w:t>8,496</w:t>
            </w:r>
            <w:r>
              <w:rPr>
                <w:rFonts w:ascii="Arial" w:hAnsi="Arial" w:cs="Arial" w:eastAsia="Arial" w:hint="default"/>
                <w:sz w:val="18"/>
                <w:szCs w:val="18"/>
              </w:rPr>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656" w:val="left" w:leader="none"/>
                <w:tab w:pos="1974" w:val="left" w:leader="none"/>
              </w:tabs>
              <w:spacing w:line="240" w:lineRule="auto" w:before="26"/>
              <w:ind w:right="34"/>
              <w:jc w:val="right"/>
              <w:rPr>
                <w:rFonts w:ascii="Arial" w:hAnsi="Arial" w:cs="Arial" w:eastAsia="Arial" w:hint="default"/>
                <w:sz w:val="18"/>
                <w:szCs w:val="18"/>
              </w:rPr>
            </w:pPr>
            <w:r>
              <w:rPr>
                <w:rFonts w:ascii="Arial"/>
                <w:spacing w:val="-1"/>
                <w:sz w:val="18"/>
              </w:rPr>
              <w:t>1,724</w:t>
              <w:tab/>
              <w:t>4.7530</w:t>
              <w:tab/>
            </w:r>
            <w:r>
              <w:rPr>
                <w:rFonts w:ascii="Arial"/>
                <w:spacing w:val="-1"/>
                <w:w w:val="95"/>
                <w:sz w:val="18"/>
              </w:rPr>
              <w:t>8,194</w:t>
            </w:r>
            <w:r>
              <w:rPr>
                <w:rFonts w:ascii="Arial"/>
                <w:sz w:val="18"/>
              </w:rPr>
            </w:r>
          </w:p>
        </w:tc>
      </w:tr>
      <w:tr>
        <w:trPr>
          <w:trHeight w:val="255"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tabs>
                <w:tab w:pos="1736" w:val="left" w:leader="none"/>
                <w:tab w:pos="2595" w:val="left" w:leader="none"/>
                <w:tab w:pos="3728" w:val="left" w:leader="none"/>
              </w:tabs>
              <w:spacing w:line="232" w:lineRule="exact"/>
              <w:ind w:right="0"/>
              <w:jc w:val="right"/>
              <w:rPr>
                <w:rFonts w:ascii="Arial" w:hAnsi="Arial" w:cs="Arial" w:eastAsia="Arial" w:hint="default"/>
                <w:sz w:val="18"/>
                <w:szCs w:val="18"/>
              </w:rPr>
            </w:pPr>
            <w:r>
              <w:rPr>
                <w:rFonts w:ascii="Arial" w:hAnsi="Arial" w:cs="Arial" w:eastAsia="Arial" w:hint="default"/>
                <w:position w:val="1"/>
                <w:sz w:val="18"/>
                <w:szCs w:val="18"/>
              </w:rPr>
              <w:t>—</w:t>
            </w:r>
            <w:r>
              <w:rPr>
                <w:rFonts w:ascii="黑体" w:hAnsi="黑体" w:cs="黑体" w:eastAsia="黑体" w:hint="default"/>
                <w:position w:val="1"/>
                <w:sz w:val="18"/>
                <w:szCs w:val="18"/>
              </w:rPr>
              <w:t>港币</w:t>
              <w:tab/>
            </w:r>
            <w:r>
              <w:rPr>
                <w:rFonts w:ascii="Arial" w:hAnsi="Arial" w:cs="Arial" w:eastAsia="Arial" w:hint="default"/>
                <w:spacing w:val="-1"/>
                <w:sz w:val="18"/>
                <w:szCs w:val="18"/>
              </w:rPr>
              <w:t>118,771</w:t>
              <w:tab/>
              <w:t>0.8805</w:t>
              <w:tab/>
              <w:t>104,578</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756" w:val="left" w:leader="none"/>
                <w:tab w:pos="1974" w:val="left" w:leader="none"/>
              </w:tabs>
              <w:spacing w:line="240" w:lineRule="auto" w:before="25"/>
              <w:ind w:right="33"/>
              <w:jc w:val="right"/>
              <w:rPr>
                <w:rFonts w:ascii="Arial" w:hAnsi="Arial" w:cs="Arial" w:eastAsia="Arial" w:hint="default"/>
                <w:sz w:val="18"/>
                <w:szCs w:val="18"/>
              </w:rPr>
            </w:pPr>
            <w:r>
              <w:rPr>
                <w:rFonts w:ascii="Arial"/>
                <w:spacing w:val="-1"/>
                <w:sz w:val="18"/>
              </w:rPr>
              <w:t>14,944</w:t>
              <w:tab/>
              <w:t>0.8819</w:t>
              <w:tab/>
              <w:t>13,179</w:t>
            </w:r>
          </w:p>
        </w:tc>
      </w:tr>
      <w:tr>
        <w:trPr>
          <w:trHeight w:val="266"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tabs>
                <w:tab w:pos="1936" w:val="left" w:leader="none"/>
                <w:tab w:pos="2595" w:val="left" w:leader="none"/>
                <w:tab w:pos="4077" w:val="left" w:leader="none"/>
              </w:tabs>
              <w:spacing w:line="233" w:lineRule="exact"/>
              <w:ind w:right="0"/>
              <w:jc w:val="right"/>
              <w:rPr>
                <w:rFonts w:ascii="Arial" w:hAnsi="Arial" w:cs="Arial" w:eastAsia="Arial" w:hint="default"/>
                <w:sz w:val="18"/>
                <w:szCs w:val="18"/>
              </w:rPr>
            </w:pPr>
            <w:r>
              <w:rPr>
                <w:rFonts w:ascii="Arial" w:hAnsi="Arial" w:cs="Arial" w:eastAsia="Arial" w:hint="default"/>
                <w:position w:val="1"/>
                <w:sz w:val="18"/>
                <w:szCs w:val="18"/>
              </w:rPr>
              <w:t>—</w:t>
            </w:r>
            <w:r>
              <w:rPr>
                <w:rFonts w:ascii="黑体" w:hAnsi="黑体" w:cs="黑体" w:eastAsia="黑体" w:hint="default"/>
                <w:position w:val="1"/>
                <w:sz w:val="18"/>
                <w:szCs w:val="18"/>
              </w:rPr>
              <w:t>日元</w:t>
              <w:tab/>
            </w:r>
            <w:r>
              <w:rPr>
                <w:rFonts w:ascii="Arial" w:hAnsi="Arial" w:cs="Arial" w:eastAsia="Arial" w:hint="default"/>
                <w:spacing w:val="-1"/>
                <w:sz w:val="18"/>
                <w:szCs w:val="18"/>
              </w:rPr>
              <w:t>8,461</w:t>
              <w:tab/>
              <w:t>0.0738</w:t>
            </w:r>
            <w:r>
              <w:rPr>
                <w:rFonts w:ascii="Arial" w:hAnsi="Arial" w:cs="Arial" w:eastAsia="Arial" w:hint="default"/>
                <w:spacing w:val="-1"/>
                <w:sz w:val="18"/>
                <w:szCs w:val="18"/>
                <w:u w:val="single" w:color="000000"/>
              </w:rPr>
              <w:t> </w:t>
              <w:tab/>
              <w:t>624</w:t>
            </w:r>
            <w:r>
              <w:rPr>
                <w:rFonts w:ascii="Arial" w:hAnsi="Arial" w:cs="Arial" w:eastAsia="Arial" w:hint="default"/>
                <w:spacing w:val="-1"/>
                <w:sz w:val="18"/>
                <w:szCs w:val="18"/>
              </w:rPr>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656" w:val="left" w:leader="none"/>
                <w:tab w:pos="2125" w:val="left" w:leader="none"/>
              </w:tabs>
              <w:spacing w:line="240" w:lineRule="auto" w:before="26"/>
              <w:ind w:right="33"/>
              <w:jc w:val="right"/>
              <w:rPr>
                <w:rFonts w:ascii="Arial" w:hAnsi="Arial" w:cs="Arial" w:eastAsia="Arial" w:hint="default"/>
                <w:sz w:val="18"/>
                <w:szCs w:val="18"/>
              </w:rPr>
            </w:pPr>
            <w:r>
              <w:rPr>
                <w:rFonts w:ascii="Arial"/>
                <w:spacing w:val="-1"/>
                <w:sz w:val="18"/>
              </w:rPr>
              <w:t>3,521</w:t>
              <w:tab/>
              <w:t>0.0757</w:t>
            </w:r>
            <w:r>
              <w:rPr>
                <w:rFonts w:ascii="Arial"/>
                <w:spacing w:val="-1"/>
                <w:sz w:val="18"/>
                <w:u w:val="single" w:color="000000"/>
              </w:rPr>
              <w:t> </w:t>
              <w:tab/>
            </w:r>
            <w:r>
              <w:rPr>
                <w:rFonts w:ascii="Arial"/>
                <w:spacing w:val="-1"/>
                <w:w w:val="95"/>
                <w:sz w:val="18"/>
                <w:u w:val="single" w:color="000000"/>
              </w:rPr>
              <w:t>267</w:t>
            </w:r>
            <w:r>
              <w:rPr>
                <w:rFonts w:ascii="Arial"/>
                <w:spacing w:val="-1"/>
                <w:w w:val="95"/>
                <w:sz w:val="18"/>
              </w:rPr>
            </w:r>
            <w:r>
              <w:rPr>
                <w:rFonts w:ascii="Arial"/>
                <w:sz w:val="18"/>
              </w:rPr>
            </w:r>
          </w:p>
        </w:tc>
      </w:tr>
      <w:tr>
        <w:trPr>
          <w:trHeight w:val="244"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tabs>
                <w:tab w:pos="360" w:val="left" w:leader="none"/>
              </w:tabs>
              <w:spacing w:line="240" w:lineRule="auto" w:before="14"/>
              <w:ind w:right="1"/>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2,374,214</w:t>
            </w:r>
            <w:r>
              <w:rPr>
                <w:rFonts w:ascii="Arial"/>
                <w:spacing w:val="-1"/>
                <w:sz w:val="18"/>
              </w:rPr>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360" w:val="left" w:leader="none"/>
              </w:tabs>
              <w:spacing w:line="240" w:lineRule="auto" w:before="14"/>
              <w:ind w:right="3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2,305,064</w:t>
            </w:r>
            <w:r>
              <w:rPr>
                <w:rFonts w:ascii="Arial"/>
                <w:spacing w:val="-1"/>
                <w:sz w:val="18"/>
              </w:rPr>
            </w:r>
          </w:p>
        </w:tc>
      </w:tr>
      <w:tr>
        <w:trPr>
          <w:trHeight w:val="244"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spacing w:line="207" w:lineRule="exact"/>
              <w:ind w:left="172" w:right="0"/>
              <w:jc w:val="left"/>
              <w:rPr>
                <w:rFonts w:ascii="黑体" w:hAnsi="黑体" w:cs="黑体" w:eastAsia="黑体" w:hint="default"/>
                <w:sz w:val="18"/>
                <w:szCs w:val="18"/>
              </w:rPr>
            </w:pPr>
            <w:r>
              <w:rPr>
                <w:rFonts w:ascii="黑体" w:hAnsi="黑体" w:cs="黑体" w:eastAsia="黑体" w:hint="default"/>
                <w:sz w:val="18"/>
                <w:szCs w:val="18"/>
              </w:rPr>
              <w:t>银行存款</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
        </w:tc>
      </w:tr>
      <w:tr>
        <w:trPr>
          <w:trHeight w:val="266"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tabs>
                <w:tab w:pos="1234" w:val="left" w:leader="none"/>
                <w:tab w:pos="2595" w:val="left" w:leader="none"/>
              </w:tabs>
              <w:spacing w:line="243" w:lineRule="exact"/>
              <w:ind w:right="0"/>
              <w:jc w:val="right"/>
              <w:rPr>
                <w:rFonts w:ascii="Arial" w:hAnsi="Arial" w:cs="Arial" w:eastAsia="Arial" w:hint="default"/>
                <w:sz w:val="18"/>
                <w:szCs w:val="18"/>
              </w:rPr>
            </w:pPr>
            <w:r>
              <w:rPr>
                <w:rFonts w:ascii="Arial" w:hAnsi="Arial" w:cs="Arial" w:eastAsia="Arial" w:hint="default"/>
                <w:position w:val="1"/>
                <w:sz w:val="18"/>
                <w:szCs w:val="18"/>
              </w:rPr>
              <w:t>—</w:t>
            </w:r>
            <w:r>
              <w:rPr>
                <w:rFonts w:ascii="黑体" w:hAnsi="黑体" w:cs="黑体" w:eastAsia="黑体" w:hint="default"/>
                <w:position w:val="1"/>
                <w:sz w:val="18"/>
                <w:szCs w:val="18"/>
              </w:rPr>
              <w:t>人民币</w:t>
              <w:tab/>
            </w:r>
            <w:r>
              <w:rPr>
                <w:rFonts w:ascii="Arial" w:hAnsi="Arial" w:cs="Arial" w:eastAsia="Arial" w:hint="default"/>
                <w:spacing w:val="-1"/>
                <w:sz w:val="18"/>
                <w:szCs w:val="18"/>
              </w:rPr>
              <w:t>1,590,110,689</w:t>
              <w:tab/>
              <w:t>1.0000</w:t>
            </w:r>
            <w:r>
              <w:rPr>
                <w:rFonts w:ascii="Arial" w:hAnsi="Arial" w:cs="Arial" w:eastAsia="Arial" w:hint="default"/>
                <w:spacing w:val="36"/>
                <w:sz w:val="18"/>
                <w:szCs w:val="18"/>
              </w:rPr>
              <w:t> </w:t>
            </w:r>
            <w:r>
              <w:rPr>
                <w:rFonts w:ascii="Arial" w:hAnsi="Arial" w:cs="Arial" w:eastAsia="Arial" w:hint="default"/>
                <w:spacing w:val="-1"/>
                <w:sz w:val="18"/>
                <w:szCs w:val="18"/>
              </w:rPr>
              <w:t>1,590,110,689</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1358" w:val="left" w:leader="none"/>
              </w:tabs>
              <w:spacing w:line="240" w:lineRule="auto" w:before="36"/>
              <w:ind w:right="34"/>
              <w:jc w:val="right"/>
              <w:rPr>
                <w:rFonts w:ascii="Arial" w:hAnsi="Arial" w:cs="Arial" w:eastAsia="Arial" w:hint="default"/>
                <w:sz w:val="18"/>
                <w:szCs w:val="18"/>
              </w:rPr>
            </w:pPr>
            <w:r>
              <w:rPr>
                <w:rFonts w:ascii="Arial"/>
                <w:spacing w:val="-1"/>
                <w:sz w:val="18"/>
              </w:rPr>
              <w:t>1,014,591,496</w:t>
              <w:tab/>
              <w:t>1.0000</w:t>
            </w:r>
            <w:r>
              <w:rPr>
                <w:rFonts w:ascii="Arial"/>
                <w:spacing w:val="20"/>
                <w:sz w:val="18"/>
              </w:rPr>
              <w:t> </w:t>
            </w:r>
            <w:r>
              <w:rPr>
                <w:rFonts w:ascii="Arial"/>
                <w:spacing w:val="-1"/>
                <w:sz w:val="18"/>
              </w:rPr>
              <w:t>1,014,591,496</w:t>
            </w:r>
          </w:p>
        </w:tc>
      </w:tr>
      <w:tr>
        <w:trPr>
          <w:trHeight w:val="255"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tabs>
                <w:tab w:pos="1586" w:val="left" w:leader="none"/>
                <w:tab w:pos="2595" w:val="left" w:leader="none"/>
                <w:tab w:pos="3476" w:val="left" w:leader="none"/>
              </w:tabs>
              <w:spacing w:line="233" w:lineRule="exact"/>
              <w:ind w:right="0"/>
              <w:jc w:val="right"/>
              <w:rPr>
                <w:rFonts w:ascii="Arial" w:hAnsi="Arial" w:cs="Arial" w:eastAsia="Arial" w:hint="default"/>
                <w:sz w:val="18"/>
                <w:szCs w:val="18"/>
              </w:rPr>
            </w:pPr>
            <w:r>
              <w:rPr>
                <w:rFonts w:ascii="Arial" w:hAnsi="Arial" w:cs="Arial" w:eastAsia="Arial" w:hint="default"/>
                <w:position w:val="1"/>
                <w:sz w:val="18"/>
                <w:szCs w:val="18"/>
              </w:rPr>
              <w:t>—</w:t>
            </w:r>
            <w:r>
              <w:rPr>
                <w:rFonts w:ascii="黑体" w:hAnsi="黑体" w:cs="黑体" w:eastAsia="黑体" w:hint="default"/>
                <w:position w:val="1"/>
                <w:sz w:val="18"/>
                <w:szCs w:val="18"/>
              </w:rPr>
              <w:t>美元</w:t>
              <w:tab/>
            </w:r>
            <w:r>
              <w:rPr>
                <w:rFonts w:ascii="Arial" w:hAnsi="Arial" w:cs="Arial" w:eastAsia="Arial" w:hint="default"/>
                <w:spacing w:val="-1"/>
                <w:sz w:val="18"/>
                <w:szCs w:val="18"/>
              </w:rPr>
              <w:t>2,587,140</w:t>
              <w:tab/>
              <w:t>6.8282</w:t>
              <w:tab/>
              <w:t>17,665,509</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856" w:val="left" w:leader="none"/>
                <w:tab w:pos="1824" w:val="left" w:leader="none"/>
              </w:tabs>
              <w:spacing w:line="240" w:lineRule="auto" w:before="26"/>
              <w:ind w:right="33"/>
              <w:jc w:val="right"/>
              <w:rPr>
                <w:rFonts w:ascii="Arial" w:hAnsi="Arial" w:cs="Arial" w:eastAsia="Arial" w:hint="default"/>
                <w:sz w:val="18"/>
                <w:szCs w:val="18"/>
              </w:rPr>
            </w:pPr>
            <w:r>
              <w:rPr>
                <w:rFonts w:ascii="Arial"/>
                <w:spacing w:val="-1"/>
                <w:sz w:val="18"/>
              </w:rPr>
              <w:t>695,337</w:t>
              <w:tab/>
              <w:t>6.8346</w:t>
              <w:tab/>
              <w:t>4,752,350</w:t>
            </w:r>
          </w:p>
        </w:tc>
      </w:tr>
      <w:tr>
        <w:trPr>
          <w:trHeight w:val="255"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tabs>
                <w:tab w:pos="1586" w:val="left" w:leader="none"/>
                <w:tab w:pos="2595" w:val="left" w:leader="none"/>
                <w:tab w:pos="3727" w:val="left" w:leader="none"/>
              </w:tabs>
              <w:spacing w:line="232" w:lineRule="exact"/>
              <w:ind w:right="1"/>
              <w:jc w:val="right"/>
              <w:rPr>
                <w:rFonts w:ascii="Arial" w:hAnsi="Arial" w:cs="Arial" w:eastAsia="Arial" w:hint="default"/>
                <w:sz w:val="18"/>
                <w:szCs w:val="18"/>
              </w:rPr>
            </w:pPr>
            <w:r>
              <w:rPr>
                <w:rFonts w:ascii="Arial" w:hAnsi="Arial" w:cs="Arial" w:eastAsia="Arial" w:hint="default"/>
                <w:position w:val="1"/>
                <w:sz w:val="18"/>
                <w:szCs w:val="18"/>
              </w:rPr>
              <w:t>—</w:t>
            </w:r>
            <w:r>
              <w:rPr>
                <w:rFonts w:ascii="黑体" w:hAnsi="黑体" w:cs="黑体" w:eastAsia="黑体" w:hint="default"/>
                <w:position w:val="1"/>
                <w:sz w:val="18"/>
                <w:szCs w:val="18"/>
              </w:rPr>
              <w:t>日元</w:t>
              <w:tab/>
            </w:r>
            <w:r>
              <w:rPr>
                <w:rFonts w:ascii="Arial" w:hAnsi="Arial" w:cs="Arial" w:eastAsia="Arial" w:hint="default"/>
                <w:spacing w:val="-1"/>
                <w:sz w:val="18"/>
                <w:szCs w:val="18"/>
              </w:rPr>
              <w:t>3,179,727</w:t>
              <w:tab/>
              <w:t>0.0738</w:t>
              <w:tab/>
              <w:t>234,664</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1007" w:val="left" w:leader="none"/>
                <w:tab w:pos="2125" w:val="left" w:leader="none"/>
              </w:tabs>
              <w:spacing w:line="240" w:lineRule="auto" w:before="25"/>
              <w:ind w:right="33"/>
              <w:jc w:val="right"/>
              <w:rPr>
                <w:rFonts w:ascii="Arial" w:hAnsi="Arial" w:cs="Arial" w:eastAsia="Arial" w:hint="default"/>
                <w:sz w:val="18"/>
                <w:szCs w:val="18"/>
              </w:rPr>
            </w:pPr>
            <w:r>
              <w:rPr>
                <w:rFonts w:ascii="Arial"/>
                <w:spacing w:val="-1"/>
                <w:sz w:val="18"/>
              </w:rPr>
              <w:t>1,794,611</w:t>
              <w:tab/>
              <w:t>0.0757</w:t>
              <w:tab/>
              <w:t>135,852</w:t>
            </w:r>
          </w:p>
        </w:tc>
      </w:tr>
      <w:tr>
        <w:trPr>
          <w:trHeight w:val="255"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tabs>
                <w:tab w:pos="1586" w:val="left" w:leader="none"/>
                <w:tab w:pos="2595" w:val="left" w:leader="none"/>
                <w:tab w:pos="3578" w:val="left" w:leader="none"/>
              </w:tabs>
              <w:spacing w:line="233" w:lineRule="exact"/>
              <w:ind w:right="1"/>
              <w:jc w:val="right"/>
              <w:rPr>
                <w:rFonts w:ascii="Arial" w:hAnsi="Arial" w:cs="Arial" w:eastAsia="Arial" w:hint="default"/>
                <w:sz w:val="18"/>
                <w:szCs w:val="18"/>
              </w:rPr>
            </w:pPr>
            <w:r>
              <w:rPr>
                <w:rFonts w:ascii="Arial" w:hAnsi="Arial" w:cs="Arial" w:eastAsia="Arial" w:hint="default"/>
                <w:position w:val="1"/>
                <w:sz w:val="18"/>
                <w:szCs w:val="18"/>
              </w:rPr>
              <w:t>—</w:t>
            </w:r>
            <w:r>
              <w:rPr>
                <w:rFonts w:ascii="黑体" w:hAnsi="黑体" w:cs="黑体" w:eastAsia="黑体" w:hint="default"/>
                <w:position w:val="1"/>
                <w:sz w:val="18"/>
                <w:szCs w:val="18"/>
              </w:rPr>
              <w:t>港币</w:t>
              <w:tab/>
            </w:r>
            <w:r>
              <w:rPr>
                <w:rFonts w:ascii="Arial" w:hAnsi="Arial" w:cs="Arial" w:eastAsia="Arial" w:hint="default"/>
                <w:spacing w:val="-1"/>
                <w:sz w:val="18"/>
                <w:szCs w:val="18"/>
              </w:rPr>
              <w:t>5,737,847</w:t>
              <w:tab/>
              <w:t>0.8805</w:t>
              <w:tab/>
              <w:t>5,052,174</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1007" w:val="left" w:leader="none"/>
                <w:tab w:pos="1975" w:val="left" w:leader="none"/>
              </w:tabs>
              <w:spacing w:line="240" w:lineRule="auto" w:before="26"/>
              <w:ind w:right="33"/>
              <w:jc w:val="right"/>
              <w:rPr>
                <w:rFonts w:ascii="Arial" w:hAnsi="Arial" w:cs="Arial" w:eastAsia="Arial" w:hint="default"/>
                <w:sz w:val="18"/>
                <w:szCs w:val="18"/>
              </w:rPr>
            </w:pPr>
            <w:r>
              <w:rPr>
                <w:rFonts w:ascii="Arial"/>
                <w:spacing w:val="-1"/>
                <w:sz w:val="18"/>
              </w:rPr>
              <w:t>1,740,298</w:t>
              <w:tab/>
              <w:t>0.8819</w:t>
              <w:tab/>
              <w:t>1,534,769</w:t>
            </w:r>
          </w:p>
        </w:tc>
      </w:tr>
      <w:tr>
        <w:trPr>
          <w:trHeight w:val="266"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tabs>
                <w:tab w:pos="1936" w:val="left" w:leader="none"/>
                <w:tab w:pos="2595" w:val="left" w:leader="none"/>
                <w:tab w:pos="3828" w:val="left" w:leader="none"/>
              </w:tabs>
              <w:spacing w:line="232" w:lineRule="exact"/>
              <w:ind w:right="1"/>
              <w:jc w:val="right"/>
              <w:rPr>
                <w:rFonts w:ascii="Arial" w:hAnsi="Arial" w:cs="Arial" w:eastAsia="Arial" w:hint="default"/>
                <w:sz w:val="18"/>
                <w:szCs w:val="18"/>
              </w:rPr>
            </w:pPr>
            <w:r>
              <w:rPr>
                <w:rFonts w:ascii="Arial" w:hAnsi="Arial" w:cs="Arial" w:eastAsia="Arial" w:hint="default"/>
                <w:position w:val="1"/>
                <w:sz w:val="18"/>
                <w:szCs w:val="18"/>
              </w:rPr>
              <w:t>—</w:t>
            </w:r>
            <w:r>
              <w:rPr>
                <w:rFonts w:ascii="黑体" w:hAnsi="黑体" w:cs="黑体" w:eastAsia="黑体" w:hint="default"/>
                <w:position w:val="1"/>
                <w:sz w:val="18"/>
                <w:szCs w:val="18"/>
              </w:rPr>
              <w:t>新币</w:t>
              <w:tab/>
            </w:r>
            <w:r>
              <w:rPr>
                <w:rFonts w:ascii="Arial" w:hAnsi="Arial" w:cs="Arial" w:eastAsia="Arial" w:hint="default"/>
                <w:spacing w:val="-1"/>
                <w:sz w:val="18"/>
                <w:szCs w:val="18"/>
              </w:rPr>
              <w:t>9,370</w:t>
              <w:tab/>
              <w:t>4.9283</w:t>
            </w:r>
            <w:r>
              <w:rPr>
                <w:rFonts w:ascii="Arial" w:hAnsi="Arial" w:cs="Arial" w:eastAsia="Arial" w:hint="default"/>
                <w:spacing w:val="-1"/>
                <w:sz w:val="18"/>
                <w:szCs w:val="18"/>
                <w:u w:val="single" w:color="000000"/>
              </w:rPr>
              <w:t> </w:t>
              <w:tab/>
            </w:r>
            <w:r>
              <w:rPr>
                <w:rFonts w:ascii="Arial" w:hAnsi="Arial" w:cs="Arial" w:eastAsia="Arial" w:hint="default"/>
                <w:spacing w:val="-1"/>
                <w:w w:val="95"/>
                <w:sz w:val="18"/>
                <w:szCs w:val="18"/>
                <w:u w:val="single" w:color="000000"/>
              </w:rPr>
              <w:t>46,178</w:t>
            </w:r>
            <w:r>
              <w:rPr>
                <w:rFonts w:ascii="Arial" w:hAnsi="Arial" w:cs="Arial" w:eastAsia="Arial" w:hint="default"/>
                <w:spacing w:val="-1"/>
                <w:w w:val="95"/>
                <w:sz w:val="18"/>
                <w:szCs w:val="18"/>
              </w:rPr>
            </w:r>
            <w:r>
              <w:rPr>
                <w:rFonts w:ascii="Arial" w:hAnsi="Arial" w:cs="Arial" w:eastAsia="Arial" w:hint="default"/>
                <w:sz w:val="18"/>
                <w:szCs w:val="18"/>
              </w:rPr>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656" w:val="left" w:leader="none"/>
                <w:tab w:pos="1872" w:val="left" w:leader="none"/>
              </w:tabs>
              <w:spacing w:line="240" w:lineRule="auto" w:before="25"/>
              <w:ind w:right="34"/>
              <w:jc w:val="right"/>
              <w:rPr>
                <w:rFonts w:ascii="Arial" w:hAnsi="Arial" w:cs="Arial" w:eastAsia="Arial" w:hint="default"/>
                <w:sz w:val="18"/>
                <w:szCs w:val="18"/>
              </w:rPr>
            </w:pPr>
            <w:r>
              <w:rPr>
                <w:rFonts w:ascii="Arial"/>
                <w:spacing w:val="-1"/>
                <w:sz w:val="18"/>
              </w:rPr>
              <w:t>9,475</w:t>
              <w:tab/>
              <w:t>4.7530</w:t>
            </w:r>
            <w:r>
              <w:rPr>
                <w:rFonts w:ascii="Arial"/>
                <w:spacing w:val="-1"/>
                <w:sz w:val="18"/>
                <w:u w:val="single" w:color="000000"/>
              </w:rPr>
              <w:t> </w:t>
              <w:tab/>
              <w:t>45,035</w:t>
            </w:r>
            <w:r>
              <w:rPr>
                <w:rFonts w:ascii="Arial"/>
                <w:spacing w:val="-1"/>
                <w:sz w:val="18"/>
              </w:rPr>
            </w:r>
          </w:p>
        </w:tc>
      </w:tr>
      <w:tr>
        <w:trPr>
          <w:trHeight w:val="244"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
              <w:jc w:val="right"/>
              <w:rPr>
                <w:rFonts w:ascii="Arial" w:hAnsi="Arial" w:cs="Arial" w:eastAsia="Arial" w:hint="default"/>
                <w:sz w:val="18"/>
                <w:szCs w:val="18"/>
              </w:rPr>
            </w:pPr>
            <w:r>
              <w:rPr>
                <w:rFonts w:ascii="Arial"/>
                <w:w w:val="99"/>
                <w:sz w:val="18"/>
              </w:rPr>
            </w:r>
            <w:r>
              <w:rPr>
                <w:rFonts w:ascii="Arial"/>
                <w:spacing w:val="-1"/>
                <w:sz w:val="18"/>
                <w:u w:val="single" w:color="000000"/>
              </w:rPr>
              <w:t>1,613,109,214</w:t>
            </w:r>
            <w:r>
              <w:rPr>
                <w:rFonts w:ascii="Arial"/>
                <w:spacing w:val="-1"/>
                <w:sz w:val="18"/>
              </w:rPr>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w w:val="99"/>
                <w:sz w:val="18"/>
              </w:rPr>
            </w:r>
            <w:r>
              <w:rPr>
                <w:rFonts w:ascii="Arial"/>
                <w:spacing w:val="-1"/>
                <w:sz w:val="18"/>
                <w:u w:val="single" w:color="000000"/>
              </w:rPr>
              <w:t>1,021,059,502</w:t>
            </w:r>
            <w:r>
              <w:rPr>
                <w:rFonts w:ascii="Arial"/>
                <w:spacing w:val="-1"/>
                <w:sz w:val="18"/>
              </w:rPr>
            </w:r>
          </w:p>
        </w:tc>
      </w:tr>
      <w:tr>
        <w:trPr>
          <w:trHeight w:val="244"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spacing w:line="206" w:lineRule="exact"/>
              <w:ind w:left="172" w:right="0"/>
              <w:jc w:val="left"/>
              <w:rPr>
                <w:rFonts w:ascii="黑体" w:hAnsi="黑体" w:cs="黑体" w:eastAsia="黑体" w:hint="default"/>
                <w:sz w:val="18"/>
                <w:szCs w:val="18"/>
              </w:rPr>
            </w:pPr>
            <w:r>
              <w:rPr>
                <w:rFonts w:ascii="黑体" w:hAnsi="黑体" w:cs="黑体" w:eastAsia="黑体" w:hint="default"/>
                <w:sz w:val="18"/>
                <w:szCs w:val="18"/>
              </w:rPr>
              <w:t>其他货币资金</w:t>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
        </w:tc>
      </w:tr>
      <w:tr>
        <w:trPr>
          <w:trHeight w:val="405"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tabs>
                <w:tab w:pos="1586" w:val="left" w:leader="none"/>
                <w:tab w:pos="2595" w:val="left" w:leader="none"/>
                <w:tab w:pos="3576" w:val="left" w:leader="none"/>
              </w:tabs>
              <w:spacing w:line="244" w:lineRule="exact"/>
              <w:ind w:right="1"/>
              <w:jc w:val="right"/>
              <w:rPr>
                <w:rFonts w:ascii="Arial" w:hAnsi="Arial" w:cs="Arial" w:eastAsia="Arial" w:hint="default"/>
                <w:sz w:val="18"/>
                <w:szCs w:val="18"/>
              </w:rPr>
            </w:pPr>
            <w:r>
              <w:rPr>
                <w:rFonts w:ascii="Arial" w:hAnsi="Arial" w:cs="Arial" w:eastAsia="Arial" w:hint="default"/>
                <w:position w:val="1"/>
                <w:sz w:val="18"/>
                <w:szCs w:val="18"/>
              </w:rPr>
              <w:t>—</w:t>
            </w:r>
            <w:r>
              <w:rPr>
                <w:rFonts w:ascii="黑体" w:hAnsi="黑体" w:cs="黑体" w:eastAsia="黑体" w:hint="default"/>
                <w:position w:val="1"/>
                <w:sz w:val="18"/>
                <w:szCs w:val="18"/>
              </w:rPr>
              <w:t>人民币</w:t>
              <w:tab/>
            </w:r>
            <w:r>
              <w:rPr>
                <w:rFonts w:ascii="Arial" w:hAnsi="Arial" w:cs="Arial" w:eastAsia="Arial" w:hint="default"/>
                <w:spacing w:val="-1"/>
                <w:sz w:val="18"/>
                <w:szCs w:val="18"/>
              </w:rPr>
              <w:t>9,654,036</w:t>
              <w:tab/>
              <w:t>1.0000</w:t>
            </w:r>
            <w:r>
              <w:rPr>
                <w:rFonts w:ascii="Arial" w:hAnsi="Arial" w:cs="Arial" w:eastAsia="Arial" w:hint="default"/>
                <w:spacing w:val="-1"/>
                <w:sz w:val="18"/>
                <w:szCs w:val="18"/>
                <w:u w:val="single" w:color="000000"/>
              </w:rPr>
              <w:t> </w:t>
              <w:tab/>
              <w:t>9,654,036</w:t>
            </w:r>
            <w:r>
              <w:rPr>
                <w:rFonts w:ascii="Arial" w:hAnsi="Arial" w:cs="Arial" w:eastAsia="Arial" w:hint="default"/>
                <w:spacing w:val="-1"/>
                <w:sz w:val="18"/>
                <w:szCs w:val="18"/>
              </w:rPr>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1106" w:val="left" w:leader="none"/>
                <w:tab w:pos="1972" w:val="left" w:leader="none"/>
              </w:tabs>
              <w:spacing w:line="240" w:lineRule="auto" w:before="37"/>
              <w:ind w:right="35"/>
              <w:jc w:val="right"/>
              <w:rPr>
                <w:rFonts w:ascii="Arial" w:hAnsi="Arial" w:cs="Arial" w:eastAsia="Arial" w:hint="default"/>
                <w:sz w:val="18"/>
                <w:szCs w:val="18"/>
              </w:rPr>
            </w:pPr>
            <w:r>
              <w:rPr>
                <w:rFonts w:ascii="Arial"/>
                <w:spacing w:val="-1"/>
                <w:sz w:val="18"/>
              </w:rPr>
              <w:t>61,773,645</w:t>
              <w:tab/>
              <w:t>1.0000</w:t>
            </w:r>
            <w:r>
              <w:rPr>
                <w:rFonts w:ascii="Arial"/>
                <w:spacing w:val="-1"/>
                <w:sz w:val="18"/>
                <w:u w:val="single" w:color="000000"/>
              </w:rPr>
              <w:t> </w:t>
              <w:tab/>
              <w:t>61,773,645</w:t>
            </w:r>
            <w:r>
              <w:rPr>
                <w:rFonts w:ascii="Arial"/>
                <w:spacing w:val="-1"/>
                <w:sz w:val="18"/>
              </w:rPr>
            </w:r>
          </w:p>
        </w:tc>
      </w:tr>
      <w:tr>
        <w:trPr>
          <w:trHeight w:val="445" w:hRule="exact"/>
        </w:trPr>
        <w:tc>
          <w:tcPr>
            <w:tcW w:w="588" w:type="dxa"/>
            <w:tcBorders>
              <w:top w:val="nil" w:sz="6" w:space="0" w:color="auto"/>
              <w:left w:val="nil" w:sz="6" w:space="0" w:color="auto"/>
              <w:bottom w:val="nil" w:sz="6" w:space="0" w:color="auto"/>
              <w:right w:val="nil" w:sz="6" w:space="0" w:color="auto"/>
            </w:tcBorders>
          </w:tcPr>
          <w:p>
            <w:pPr/>
          </w:p>
        </w:tc>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
              <w:jc w:val="right"/>
              <w:rPr>
                <w:rFonts w:ascii="Arial" w:hAnsi="Arial" w:cs="Arial" w:eastAsia="Arial" w:hint="default"/>
                <w:sz w:val="18"/>
                <w:szCs w:val="18"/>
              </w:rPr>
            </w:pPr>
            <w:r>
              <w:rPr>
                <w:rFonts w:ascii="Arial"/>
                <w:w w:val="99"/>
                <w:sz w:val="18"/>
              </w:rPr>
            </w:r>
            <w:r>
              <w:rPr>
                <w:rFonts w:ascii="Arial"/>
                <w:spacing w:val="-1"/>
                <w:sz w:val="18"/>
                <w:u w:val="thick" w:color="000000"/>
              </w:rPr>
              <w:t>1,625,137,464</w:t>
            </w:r>
            <w:r>
              <w:rPr>
                <w:rFonts w:ascii="Arial"/>
                <w:spacing w:val="-1"/>
                <w:sz w:val="18"/>
              </w:rPr>
            </w:r>
          </w:p>
        </w:tc>
        <w:tc>
          <w:tcPr>
            <w:tcW w:w="252"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33"/>
              <w:jc w:val="right"/>
              <w:rPr>
                <w:rFonts w:ascii="Arial" w:hAnsi="Arial" w:cs="Arial" w:eastAsia="Arial" w:hint="default"/>
                <w:sz w:val="18"/>
                <w:szCs w:val="18"/>
              </w:rPr>
            </w:pPr>
            <w:r>
              <w:rPr>
                <w:rFonts w:ascii="Arial"/>
                <w:w w:val="99"/>
                <w:sz w:val="18"/>
              </w:rPr>
            </w:r>
            <w:r>
              <w:rPr>
                <w:rFonts w:ascii="Arial"/>
                <w:spacing w:val="-1"/>
                <w:sz w:val="18"/>
                <w:u w:val="thick" w:color="000000"/>
              </w:rPr>
              <w:t>1,085,138,211</w:t>
            </w:r>
            <w:r>
              <w:rPr>
                <w:rFonts w:ascii="Arial"/>
                <w:spacing w:val="-1"/>
                <w:sz w:val="18"/>
              </w:rPr>
            </w:r>
          </w:p>
        </w:tc>
      </w:tr>
    </w:tbl>
    <w:p>
      <w:pPr>
        <w:spacing w:after="0" w:line="240" w:lineRule="auto"/>
        <w:jc w:val="right"/>
        <w:rPr>
          <w:rFonts w:ascii="Arial" w:hAnsi="Arial" w:cs="Arial" w:eastAsia="Arial" w:hint="default"/>
          <w:sz w:val="18"/>
          <w:szCs w:val="18"/>
        </w:rPr>
        <w:sectPr>
          <w:pgSz w:w="11910" w:h="16840"/>
          <w:pgMar w:header="958" w:footer="469" w:top="2380" w:bottom="660" w:left="1560" w:right="15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tabs>
          <w:tab w:pos="843" w:val="left" w:leader="none"/>
        </w:tabs>
        <w:spacing w:before="163"/>
        <w:ind w:left="141"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1"/>
        <w:rPr>
          <w:rFonts w:ascii="黑体" w:hAnsi="黑体" w:cs="黑体" w:eastAsia="黑体" w:hint="default"/>
          <w:b/>
          <w:bCs/>
          <w:sz w:val="25"/>
          <w:szCs w:val="25"/>
        </w:rPr>
      </w:pPr>
    </w:p>
    <w:p>
      <w:pPr>
        <w:tabs>
          <w:tab w:pos="861" w:val="left" w:leader="none"/>
        </w:tabs>
        <w:spacing w:before="0"/>
        <w:ind w:left="141" w:right="0" w:firstLine="0"/>
        <w:jc w:val="left"/>
        <w:rPr>
          <w:rFonts w:ascii="黑体" w:hAnsi="黑体" w:cs="黑体" w:eastAsia="黑体" w:hint="default"/>
          <w:sz w:val="20"/>
          <w:szCs w:val="20"/>
        </w:rPr>
      </w:pPr>
      <w:r>
        <w:rPr>
          <w:rFonts w:ascii="Arial" w:hAnsi="Arial" w:cs="Arial" w:eastAsia="Arial" w:hint="default"/>
          <w:b/>
          <w:bCs/>
          <w:spacing w:val="-1"/>
          <w:sz w:val="20"/>
          <w:szCs w:val="20"/>
        </w:rPr>
        <w:t>1.</w:t>
        <w:tab/>
      </w:r>
      <w:r>
        <w:rPr>
          <w:rFonts w:ascii="黑体" w:hAnsi="黑体" w:cs="黑体" w:eastAsia="黑体" w:hint="default"/>
          <w:b/>
          <w:bCs/>
          <w:sz w:val="20"/>
          <w:szCs w:val="20"/>
        </w:rPr>
        <w:t>货币资金（续）</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61" w:lineRule="auto"/>
        <w:ind w:left="855" w:right="112" w:hanging="1"/>
        <w:jc w:val="both"/>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日，本集团的所有权受到限制的货币资金为人民币</w:t>
      </w:r>
      <w:r>
        <w:rPr>
          <w:rFonts w:ascii="Arial" w:hAnsi="Arial" w:cs="Arial" w:eastAsia="Arial" w:hint="default"/>
        </w:rPr>
        <w:t>9,654,036</w:t>
      </w:r>
      <w:r>
        <w:rPr/>
        <w:t>元，系本集</w:t>
      </w:r>
      <w:r>
        <w:rPr>
          <w:spacing w:val="-90"/>
        </w:rPr>
        <w:t> </w:t>
      </w:r>
      <w:r>
        <w:rPr>
          <w:spacing w:val="-90"/>
        </w:rPr>
      </w:r>
      <w:r>
        <w:rPr/>
        <w:t>团于中国建设银行股份有限公司开立的履约保函资金账户于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日仍处于履约</w:t>
      </w:r>
      <w:r>
        <w:rPr>
          <w:spacing w:val="-15"/>
        </w:rPr>
        <w:t> </w:t>
      </w:r>
      <w:r>
        <w:rPr>
          <w:spacing w:val="-3"/>
          <w:w w:val="100"/>
        </w:rPr>
        <w:t>期间的货币资金余额人民币</w:t>
      </w:r>
      <w:r>
        <w:rPr>
          <w:rFonts w:ascii="Arial" w:hAnsi="Arial" w:cs="Arial" w:eastAsia="Arial" w:hint="default"/>
          <w:spacing w:val="-3"/>
          <w:w w:val="100"/>
        </w:rPr>
        <w:t>5,130,711</w:t>
      </w:r>
      <w:r>
        <w:rPr>
          <w:spacing w:val="-3"/>
          <w:w w:val="100"/>
        </w:rPr>
        <w:t>元，于中国民生银行股份有限公司开立的履约保函资</w:t>
      </w:r>
      <w:r>
        <w:rPr>
          <w:w w:val="100"/>
        </w:rPr>
        <w:t> </w:t>
      </w:r>
      <w:r>
        <w:rPr>
          <w:spacing w:val="-1"/>
        </w:rPr>
        <w:t>金账户于</w:t>
      </w: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日仍处于履约期间的货币资金余额人民币</w:t>
      </w:r>
      <w:r>
        <w:rPr>
          <w:rFonts w:ascii="Arial" w:hAnsi="Arial" w:cs="Arial" w:eastAsia="Arial" w:hint="default"/>
          <w:spacing w:val="-1"/>
        </w:rPr>
        <w:t>148,800</w:t>
      </w:r>
      <w:r>
        <w:rPr>
          <w:spacing w:val="-1"/>
        </w:rPr>
        <w:t>元，于中国银行</w:t>
      </w:r>
      <w:r>
        <w:rPr>
          <w:spacing w:val="-86"/>
        </w:rPr>
        <w:t> </w:t>
      </w:r>
      <w:r>
        <w:rPr>
          <w:spacing w:val="-86"/>
        </w:rPr>
      </w:r>
      <w:r>
        <w:rPr/>
        <w:t>股份有限公司开立的履约保函资金账户于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日仍处于履约期间的货币资金余</w:t>
      </w:r>
      <w:r>
        <w:rPr>
          <w:spacing w:val="-16"/>
        </w:rPr>
        <w:t> </w:t>
      </w:r>
      <w:r>
        <w:rPr/>
        <w:t>额人民币</w:t>
      </w:r>
      <w:r>
        <w:rPr>
          <w:rFonts w:ascii="Arial" w:hAnsi="Arial" w:cs="Arial" w:eastAsia="Arial" w:hint="default"/>
        </w:rPr>
        <w:t>1,722,114</w:t>
      </w:r>
      <w:r>
        <w:rPr/>
        <w:t>元，于招商银行有限公司开立的履约保函资金账户于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w:t>
      </w:r>
      <w:r>
        <w:rPr>
          <w:spacing w:val="-91"/>
        </w:rPr>
        <w:t> </w:t>
      </w:r>
      <w:r>
        <w:rPr>
          <w:spacing w:val="-2"/>
        </w:rPr>
        <w:t>仍处于履约期间的货币资金余额人民币</w:t>
      </w:r>
      <w:r>
        <w:rPr>
          <w:rFonts w:ascii="Arial" w:hAnsi="Arial" w:cs="Arial" w:eastAsia="Arial" w:hint="default"/>
          <w:spacing w:val="-2"/>
        </w:rPr>
        <w:t>85,000</w:t>
      </w:r>
      <w:r>
        <w:rPr>
          <w:spacing w:val="-2"/>
        </w:rPr>
        <w:t>元，以及于中信银行股份有限公司开具银行</w:t>
      </w:r>
      <w:r>
        <w:rPr>
          <w:spacing w:val="-47"/>
        </w:rPr>
        <w:t> </w:t>
      </w:r>
      <w:r>
        <w:rPr>
          <w:spacing w:val="-47"/>
        </w:rPr>
      </w:r>
      <w:r>
        <w:rPr/>
        <w:t>承兑汇票所开立的保证金账户于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日的货币资金余额人民币</w:t>
      </w:r>
      <w:r>
        <w:rPr>
          <w:rFonts w:ascii="Arial" w:hAnsi="Arial" w:cs="Arial" w:eastAsia="Arial" w:hint="default"/>
        </w:rPr>
        <w:t>2,567,411</w:t>
      </w:r>
      <w:r>
        <w:rPr/>
        <w:t>元。</w:t>
      </w:r>
    </w:p>
    <w:p>
      <w:pPr>
        <w:spacing w:line="240" w:lineRule="auto" w:before="3"/>
        <w:rPr>
          <w:rFonts w:ascii="黑体" w:hAnsi="黑体" w:cs="黑体" w:eastAsia="黑体" w:hint="default"/>
          <w:sz w:val="23"/>
          <w:szCs w:val="23"/>
        </w:rPr>
      </w:pPr>
    </w:p>
    <w:p>
      <w:pPr>
        <w:pStyle w:val="BodyText"/>
        <w:spacing w:line="261" w:lineRule="auto"/>
        <w:ind w:left="856" w:right="111" w:hanging="1"/>
        <w:jc w:val="both"/>
      </w:pPr>
      <w:r>
        <w:rPr/>
        <w:t>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日，本集团的所有权受到限制的货币资金为人民币</w:t>
      </w:r>
      <w:r>
        <w:rPr>
          <w:rFonts w:ascii="Arial" w:hAnsi="Arial" w:cs="Arial" w:eastAsia="Arial" w:hint="default"/>
        </w:rPr>
        <w:t>8,829,449</w:t>
      </w:r>
      <w:r>
        <w:rPr/>
        <w:t>元，系本集</w:t>
      </w:r>
      <w:r>
        <w:rPr>
          <w:spacing w:val="-90"/>
        </w:rPr>
        <w:t> </w:t>
      </w:r>
      <w:r>
        <w:rPr>
          <w:spacing w:val="-90"/>
        </w:rPr>
      </w:r>
      <w:r>
        <w:rPr/>
        <w:t>团于中国建设银行股份有限公司开立的履约保函资金账户于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日仍处于履约</w:t>
      </w:r>
      <w:r>
        <w:rPr>
          <w:spacing w:val="-15"/>
        </w:rPr>
        <w:t> </w:t>
      </w:r>
      <w:r>
        <w:rPr/>
        <w:t>期间的货币资金余额人民币</w:t>
      </w:r>
      <w:r>
        <w:rPr>
          <w:rFonts w:ascii="Arial" w:hAnsi="Arial" w:cs="Arial" w:eastAsia="Arial" w:hint="default"/>
        </w:rPr>
        <w:t>8,829,449</w:t>
      </w:r>
      <w:r>
        <w:rPr/>
        <w:t>元。</w:t>
      </w:r>
    </w:p>
    <w:p>
      <w:pPr>
        <w:spacing w:line="240" w:lineRule="auto" w:before="3"/>
        <w:rPr>
          <w:rFonts w:ascii="黑体" w:hAnsi="黑体" w:cs="黑体" w:eastAsia="黑体" w:hint="default"/>
          <w:sz w:val="23"/>
          <w:szCs w:val="23"/>
        </w:rPr>
      </w:pPr>
    </w:p>
    <w:p>
      <w:pPr>
        <w:pStyle w:val="BodyText"/>
        <w:spacing w:line="240" w:lineRule="auto"/>
        <w:ind w:left="856" w:right="0"/>
        <w:jc w:val="both"/>
        <w:rPr>
          <w:rFonts w:ascii="Arial" w:hAnsi="Arial" w:cs="Arial" w:eastAsia="Arial" w:hint="default"/>
        </w:rPr>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w:t>
      </w:r>
      <w:r>
        <w:rPr>
          <w:rFonts w:ascii="Arial" w:hAnsi="Arial" w:cs="Arial" w:eastAsia="Arial" w:hint="default"/>
        </w:rPr>
        <w:t>,</w:t>
      </w:r>
      <w:r>
        <w:rPr/>
        <w:t>本集团存放于境外的货币资金为人民币</w:t>
      </w:r>
      <w:r>
        <w:rPr>
          <w:rFonts w:ascii="Arial" w:hAnsi="Arial" w:cs="Arial" w:eastAsia="Arial" w:hint="default"/>
        </w:rPr>
        <w:t>23,112,049</w:t>
      </w:r>
      <w:r>
        <w:rPr/>
        <w:t>元（</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p>
    <w:p>
      <w:pPr>
        <w:pStyle w:val="BodyText"/>
        <w:spacing w:line="240" w:lineRule="auto" w:before="24"/>
        <w:ind w:left="855" w:right="0"/>
        <w:jc w:val="both"/>
      </w:pPr>
      <w:r>
        <w:rPr/>
        <w:t>日：人民币</w:t>
      </w:r>
      <w:r>
        <w:rPr>
          <w:rFonts w:ascii="Arial" w:hAnsi="Arial" w:cs="Arial" w:eastAsia="Arial" w:hint="default"/>
        </w:rPr>
        <w:t>6,489,646</w:t>
      </w:r>
      <w:r>
        <w:rPr/>
        <w:t>元）。</w:t>
      </w:r>
    </w:p>
    <w:p>
      <w:pPr>
        <w:spacing w:line="240" w:lineRule="auto" w:before="10"/>
        <w:rPr>
          <w:rFonts w:ascii="黑体" w:hAnsi="黑体" w:cs="黑体" w:eastAsia="黑体" w:hint="default"/>
          <w:sz w:val="24"/>
          <w:szCs w:val="24"/>
        </w:rPr>
      </w:pPr>
    </w:p>
    <w:p>
      <w:pPr>
        <w:pStyle w:val="BodyText"/>
        <w:spacing w:line="261" w:lineRule="auto"/>
        <w:ind w:left="855" w:right="113" w:hanging="1"/>
        <w:jc w:val="both"/>
      </w:pPr>
      <w:r>
        <w:rPr/>
        <w:t>银行活期存款按照银行活期存款利率取得利息收入。短期定期存款的存款期分为</w:t>
      </w:r>
      <w:r>
        <w:rPr>
          <w:rFonts w:ascii="Arial" w:hAnsi="Arial" w:cs="Arial" w:eastAsia="Arial" w:hint="default"/>
        </w:rPr>
        <w:t>1</w:t>
      </w:r>
      <w:r>
        <w:rPr/>
        <w:t>天至</w:t>
      </w:r>
      <w:r>
        <w:rPr>
          <w:rFonts w:ascii="Arial" w:hAnsi="Arial" w:cs="Arial" w:eastAsia="Arial" w:hint="default"/>
        </w:rPr>
        <w:t>12</w:t>
      </w:r>
      <w:r>
        <w:rPr>
          <w:rFonts w:ascii="Arial" w:hAnsi="Arial" w:cs="Arial" w:eastAsia="Arial" w:hint="default"/>
          <w:spacing w:val="-7"/>
        </w:rPr>
        <w:t> </w:t>
      </w:r>
      <w:r>
        <w:rPr/>
        <w:t>个月不等，依本集团的现金需求而定，并按照相应的银行定期存款利率取得利息收入。</w:t>
      </w:r>
    </w:p>
    <w:p>
      <w:pPr>
        <w:spacing w:line="240" w:lineRule="auto" w:before="6"/>
        <w:rPr>
          <w:rFonts w:ascii="黑体" w:hAnsi="黑体" w:cs="黑体" w:eastAsia="黑体" w:hint="default"/>
          <w:sz w:val="24"/>
          <w:szCs w:val="24"/>
        </w:rPr>
      </w:pPr>
    </w:p>
    <w:p>
      <w:pPr>
        <w:tabs>
          <w:tab w:pos="861" w:val="left" w:leader="none"/>
        </w:tabs>
        <w:spacing w:before="0"/>
        <w:ind w:left="141" w:right="0" w:firstLine="0"/>
        <w:jc w:val="left"/>
        <w:rPr>
          <w:rFonts w:ascii="黑体" w:hAnsi="黑体" w:cs="黑体" w:eastAsia="黑体" w:hint="default"/>
          <w:sz w:val="20"/>
          <w:szCs w:val="20"/>
        </w:rPr>
      </w:pPr>
      <w:r>
        <w:rPr>
          <w:rFonts w:ascii="Arial" w:hAnsi="Arial" w:cs="Arial" w:eastAsia="Arial" w:hint="default"/>
          <w:b/>
          <w:bCs/>
          <w:w w:val="95"/>
          <w:sz w:val="20"/>
          <w:szCs w:val="20"/>
        </w:rPr>
        <w:t>2</w:t>
      </w:r>
      <w:r>
        <w:rPr>
          <w:rFonts w:ascii="黑体" w:hAnsi="黑体" w:cs="黑体" w:eastAsia="黑体" w:hint="default"/>
          <w:b/>
          <w:bCs/>
          <w:w w:val="95"/>
          <w:sz w:val="20"/>
          <w:szCs w:val="20"/>
        </w:rPr>
        <w:t>．</w:t>
        <w:tab/>
      </w:r>
      <w:r>
        <w:rPr>
          <w:rFonts w:ascii="黑体" w:hAnsi="黑体" w:cs="黑体" w:eastAsia="黑体" w:hint="default"/>
          <w:b/>
          <w:bCs/>
          <w:sz w:val="20"/>
          <w:szCs w:val="20"/>
        </w:rPr>
        <w:t>交易性金融资产</w:t>
      </w:r>
      <w:r>
        <w:rPr>
          <w:rFonts w:ascii="黑体" w:hAnsi="黑体" w:cs="黑体" w:eastAsia="黑体" w:hint="default"/>
          <w:sz w:val="20"/>
          <w:szCs w:val="20"/>
        </w:rPr>
      </w:r>
    </w:p>
    <w:p>
      <w:pPr>
        <w:spacing w:line="240" w:lineRule="auto" w:before="5"/>
        <w:rPr>
          <w:rFonts w:ascii="黑体" w:hAnsi="黑体" w:cs="黑体" w:eastAsia="黑体" w:hint="default"/>
          <w:b/>
          <w:bCs/>
          <w:sz w:val="23"/>
          <w:szCs w:val="23"/>
        </w:rPr>
      </w:pPr>
    </w:p>
    <w:p>
      <w:pPr>
        <w:pStyle w:val="BodyText"/>
        <w:tabs>
          <w:tab w:pos="7922" w:val="left" w:leader="none"/>
        </w:tabs>
        <w:spacing w:line="268" w:lineRule="exact"/>
        <w:ind w:left="5538" w:right="0"/>
        <w:jc w:val="left"/>
      </w:pPr>
      <w:r>
        <w:rPr>
          <w:rFonts w:ascii="Arial" w:hAnsi="Arial" w:cs="Arial" w:eastAsia="Arial" w:hint="default"/>
        </w:rPr>
        <w:t>2009</w:t>
      </w:r>
      <w:r>
        <w:rPr>
          <w:rFonts w:ascii="Arial" w:hAnsi="Arial" w:cs="Arial" w:eastAsia="Arial" w:hint="default"/>
          <w:spacing w:val="-6"/>
        </w:rPr>
        <w:t> </w:t>
      </w:r>
      <w:r>
        <w:rPr/>
        <w:t>年</w:t>
        <w:tab/>
      </w:r>
      <w:r>
        <w:rPr>
          <w:rFonts w:ascii="Arial" w:hAnsi="Arial" w:cs="Arial" w:eastAsia="Arial" w:hint="default"/>
        </w:rPr>
        <w:t>2008</w:t>
      </w:r>
      <w:r>
        <w:rPr>
          <w:rFonts w:ascii="Arial" w:hAnsi="Arial" w:cs="Arial" w:eastAsia="Arial" w:hint="default"/>
          <w:spacing w:val="-6"/>
        </w:rPr>
        <w:t> </w:t>
      </w:r>
      <w:r>
        <w:rPr/>
        <w:t>年</w:t>
      </w:r>
    </w:p>
    <w:p>
      <w:pPr>
        <w:pStyle w:val="BodyText"/>
        <w:tabs>
          <w:tab w:pos="7636" w:val="left" w:leader="none"/>
        </w:tabs>
        <w:spacing w:line="268" w:lineRule="exact"/>
        <w:ind w:left="5251" w:right="0"/>
        <w:jc w:val="left"/>
      </w:pP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6"/>
        </w:rPr>
        <w:t> </w:t>
      </w:r>
      <w:r>
        <w:rPr/>
        <w:t>日</w:t>
        <w:tab/>
      </w: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6"/>
        </w:rPr>
        <w:t> </w:t>
      </w:r>
      <w:r>
        <w:rPr/>
        <w:t>日</w:t>
      </w:r>
    </w:p>
    <w:p>
      <w:pPr>
        <w:spacing w:line="240" w:lineRule="auto" w:before="5"/>
        <w:rPr>
          <w:rFonts w:ascii="黑体" w:hAnsi="黑体" w:cs="黑体" w:eastAsia="黑体" w:hint="default"/>
          <w:sz w:val="18"/>
          <w:szCs w:val="18"/>
        </w:rPr>
      </w:pPr>
    </w:p>
    <w:p>
      <w:pPr>
        <w:pStyle w:val="BodyText"/>
        <w:tabs>
          <w:tab w:pos="5267" w:val="left" w:leader="none"/>
          <w:tab w:pos="6166" w:val="left" w:leader="none"/>
          <w:tab w:pos="7616" w:val="left" w:leader="none"/>
        </w:tabs>
        <w:spacing w:line="240" w:lineRule="auto"/>
        <w:ind w:left="880" w:right="0"/>
        <w:jc w:val="both"/>
        <w:rPr>
          <w:rFonts w:ascii="Arial" w:hAnsi="Arial" w:cs="Arial" w:eastAsia="Arial" w:hint="default"/>
        </w:rPr>
      </w:pPr>
      <w:r>
        <w:rPr>
          <w:spacing w:val="-1"/>
          <w:position w:val="1"/>
        </w:rPr>
        <w:t>交易性权益工具投资</w:t>
        <w:tab/>
      </w:r>
      <w:r>
        <w:rPr>
          <w:rFonts w:ascii="Arial" w:hAnsi="Arial" w:cs="Arial" w:eastAsia="Arial" w:hint="default"/>
          <w:spacing w:val="-1"/>
        </w:rPr>
      </w:r>
      <w:r>
        <w:rPr>
          <w:rFonts w:ascii="Arial" w:hAnsi="Arial" w:cs="Arial" w:eastAsia="Arial" w:hint="default"/>
          <w:spacing w:val="-1"/>
          <w:u w:val="thick" w:color="000000"/>
        </w:rPr>
        <w:t> </w:t>
        <w:tab/>
      </w:r>
      <w:r>
        <w:rPr>
          <w:rFonts w:ascii="Arial" w:hAnsi="Arial" w:cs="Arial" w:eastAsia="Arial" w:hint="default"/>
          <w:u w:val="thick" w:color="000000"/>
        </w:rPr>
        <w:t>-</w:t>
      </w:r>
      <w:r>
        <w:rPr>
          <w:rFonts w:ascii="Arial" w:hAnsi="Arial" w:cs="Arial" w:eastAsia="Arial" w:hint="default"/>
        </w:rPr>
        <w:tab/>
      </w:r>
      <w:r>
        <w:rPr>
          <w:rFonts w:ascii="Arial" w:hAnsi="Arial" w:cs="Arial" w:eastAsia="Arial" w:hint="default"/>
          <w:spacing w:val="-1"/>
          <w:u w:val="thick" w:color="000000"/>
        </w:rPr>
        <w:t>60,503,942</w:t>
      </w:r>
      <w:r>
        <w:rPr>
          <w:rFonts w:ascii="Arial" w:hAnsi="Arial" w:cs="Arial" w:eastAsia="Arial" w:hint="default"/>
          <w:spacing w:val="-1"/>
        </w:rPr>
      </w:r>
    </w:p>
    <w:p>
      <w:pPr>
        <w:spacing w:line="240" w:lineRule="auto" w:before="9"/>
        <w:rPr>
          <w:rFonts w:ascii="Arial" w:hAnsi="Arial" w:cs="Arial" w:eastAsia="Arial" w:hint="default"/>
          <w:sz w:val="21"/>
          <w:szCs w:val="21"/>
        </w:rPr>
      </w:pPr>
    </w:p>
    <w:p>
      <w:pPr>
        <w:tabs>
          <w:tab w:pos="889" w:val="left" w:leader="none"/>
        </w:tabs>
        <w:spacing w:before="38"/>
        <w:ind w:left="141" w:right="0" w:firstLine="0"/>
        <w:jc w:val="left"/>
        <w:rPr>
          <w:rFonts w:ascii="黑体" w:hAnsi="黑体" w:cs="黑体" w:eastAsia="黑体" w:hint="default"/>
          <w:sz w:val="20"/>
          <w:szCs w:val="20"/>
        </w:rPr>
      </w:pPr>
      <w:r>
        <w:rPr>
          <w:rFonts w:ascii="Arial" w:hAnsi="Arial" w:cs="Arial" w:eastAsia="Arial" w:hint="default"/>
          <w:b/>
          <w:bCs/>
          <w:spacing w:val="-1"/>
          <w:sz w:val="20"/>
          <w:szCs w:val="20"/>
        </w:rPr>
        <w:t>3.</w:t>
        <w:tab/>
      </w:r>
      <w:r>
        <w:rPr>
          <w:rFonts w:ascii="黑体" w:hAnsi="黑体" w:cs="黑体" w:eastAsia="黑体" w:hint="default"/>
          <w:b/>
          <w:bCs/>
          <w:spacing w:val="1"/>
          <w:sz w:val="20"/>
          <w:szCs w:val="20"/>
        </w:rPr>
        <w:t>应收票据</w:t>
      </w:r>
      <w:r>
        <w:rPr>
          <w:rFonts w:ascii="黑体" w:hAnsi="黑体" w:cs="黑体" w:eastAsia="黑体" w:hint="default"/>
          <w:sz w:val="20"/>
          <w:szCs w:val="20"/>
        </w:rPr>
      </w:r>
    </w:p>
    <w:p>
      <w:pPr>
        <w:spacing w:line="240" w:lineRule="auto" w:before="1"/>
        <w:rPr>
          <w:rFonts w:ascii="黑体" w:hAnsi="黑体" w:cs="黑体" w:eastAsia="黑体" w:hint="default"/>
          <w:b/>
          <w:bCs/>
          <w:sz w:val="15"/>
          <w:szCs w:val="15"/>
        </w:rPr>
      </w:pPr>
    </w:p>
    <w:p>
      <w:pPr>
        <w:pStyle w:val="BodyText"/>
        <w:tabs>
          <w:tab w:pos="7919" w:val="left" w:leader="none"/>
        </w:tabs>
        <w:spacing w:line="268" w:lineRule="exact" w:before="38"/>
        <w:ind w:left="5538" w:right="0"/>
        <w:jc w:val="left"/>
      </w:pPr>
      <w:r>
        <w:rPr>
          <w:rFonts w:ascii="Arial" w:hAnsi="Arial" w:cs="Arial" w:eastAsia="Arial" w:hint="default"/>
        </w:rPr>
        <w:t>2009</w:t>
      </w:r>
      <w:r>
        <w:rPr>
          <w:rFonts w:ascii="Arial" w:hAnsi="Arial" w:cs="Arial" w:eastAsia="Arial" w:hint="default"/>
          <w:spacing w:val="-6"/>
        </w:rPr>
        <w:t> </w:t>
      </w:r>
      <w:r>
        <w:rPr/>
        <w:t>年</w:t>
        <w:tab/>
      </w:r>
      <w:r>
        <w:rPr>
          <w:rFonts w:ascii="Arial" w:hAnsi="Arial" w:cs="Arial" w:eastAsia="Arial" w:hint="default"/>
        </w:rPr>
        <w:t>2008</w:t>
      </w:r>
      <w:r>
        <w:rPr>
          <w:rFonts w:ascii="Arial" w:hAnsi="Arial" w:cs="Arial" w:eastAsia="Arial" w:hint="default"/>
          <w:spacing w:val="-6"/>
        </w:rPr>
        <w:t> </w:t>
      </w:r>
      <w:r>
        <w:rPr/>
        <w:t>年</w:t>
      </w:r>
    </w:p>
    <w:p>
      <w:pPr>
        <w:pStyle w:val="BodyText"/>
        <w:tabs>
          <w:tab w:pos="7634" w:val="left" w:leader="none"/>
        </w:tabs>
        <w:spacing w:line="268" w:lineRule="exact"/>
        <w:ind w:left="5251" w:right="0"/>
        <w:jc w:val="left"/>
      </w:pP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6"/>
        </w:rPr>
        <w:t> </w:t>
      </w:r>
      <w:r>
        <w:rPr/>
        <w:t>日</w:t>
        <w:tab/>
      </w: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6"/>
        </w:rPr>
        <w:t> </w:t>
      </w:r>
      <w:r>
        <w:rPr/>
        <w:t>日</w:t>
      </w:r>
    </w:p>
    <w:p>
      <w:pPr>
        <w:spacing w:line="240" w:lineRule="auto" w:before="6"/>
        <w:rPr>
          <w:rFonts w:ascii="黑体" w:hAnsi="黑体" w:cs="黑体" w:eastAsia="黑体" w:hint="default"/>
          <w:sz w:val="18"/>
          <w:szCs w:val="18"/>
        </w:rPr>
      </w:pPr>
    </w:p>
    <w:p>
      <w:pPr>
        <w:pStyle w:val="BodyText"/>
        <w:tabs>
          <w:tab w:pos="5245" w:val="left" w:leader="none"/>
          <w:tab w:pos="7739" w:val="left" w:leader="none"/>
        </w:tabs>
        <w:spacing w:line="240" w:lineRule="auto"/>
        <w:ind w:left="897" w:right="0"/>
        <w:jc w:val="left"/>
        <w:rPr>
          <w:rFonts w:ascii="Arial" w:hAnsi="Arial" w:cs="Arial" w:eastAsia="Arial" w:hint="default"/>
        </w:rPr>
      </w:pPr>
      <w:r>
        <w:rPr>
          <w:spacing w:val="-1"/>
          <w:position w:val="1"/>
        </w:rPr>
        <w:t>银行承兑汇票</w:t>
        <w:tab/>
      </w:r>
      <w:r>
        <w:rPr>
          <w:rFonts w:ascii="Arial" w:hAnsi="Arial" w:cs="Arial" w:eastAsia="Arial" w:hint="default"/>
          <w:spacing w:val="-1"/>
        </w:rPr>
      </w:r>
      <w:r>
        <w:rPr>
          <w:rFonts w:ascii="Arial" w:hAnsi="Arial" w:cs="Arial" w:eastAsia="Arial" w:hint="default"/>
          <w:spacing w:val="-1"/>
          <w:u w:val="thick" w:color="000000"/>
        </w:rPr>
        <w:t>22,756,000</w:t>
      </w:r>
      <w:r>
        <w:rPr>
          <w:rFonts w:ascii="Arial" w:hAnsi="Arial" w:cs="Arial" w:eastAsia="Arial" w:hint="default"/>
          <w:spacing w:val="-1"/>
        </w:rPr>
        <w:tab/>
      </w:r>
      <w:r>
        <w:rPr>
          <w:rFonts w:ascii="Arial" w:hAnsi="Arial" w:cs="Arial" w:eastAsia="Arial" w:hint="default"/>
          <w:spacing w:val="-1"/>
          <w:u w:val="thick" w:color="000000"/>
        </w:rPr>
        <w:t>2,353,314</w:t>
      </w:r>
      <w:r>
        <w:rPr>
          <w:rFonts w:ascii="Arial" w:hAnsi="Arial" w:cs="Arial" w:eastAsia="Arial" w:hint="default"/>
          <w:spacing w:val="-1"/>
        </w:rPr>
      </w:r>
    </w:p>
    <w:p>
      <w:pPr>
        <w:spacing w:line="240" w:lineRule="auto" w:before="9"/>
        <w:rPr>
          <w:rFonts w:ascii="Arial" w:hAnsi="Arial" w:cs="Arial" w:eastAsia="Arial" w:hint="default"/>
          <w:sz w:val="21"/>
          <w:szCs w:val="21"/>
        </w:rPr>
      </w:pPr>
    </w:p>
    <w:p>
      <w:pPr>
        <w:pStyle w:val="BodyText"/>
        <w:spacing w:line="261" w:lineRule="auto" w:before="38"/>
        <w:ind w:left="855" w:right="0" w:hanging="1"/>
        <w:jc w:val="left"/>
      </w:pPr>
      <w:r>
        <w:rPr>
          <w:spacing w:val="2"/>
        </w:rPr>
        <w:t>于</w:t>
      </w:r>
      <w:r>
        <w:rPr>
          <w:rFonts w:ascii="Arial" w:hAnsi="Arial" w:cs="Arial" w:eastAsia="Arial" w:hint="default"/>
          <w:spacing w:val="2"/>
        </w:rPr>
        <w:t>2009</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日，本账户余额中无已贴现取得的短期借款的应收票据</w:t>
      </w:r>
      <w:r>
        <w:rPr>
          <w:rFonts w:ascii="Arial" w:hAnsi="Arial" w:cs="Arial" w:eastAsia="Arial" w:hint="default"/>
          <w:spacing w:val="2"/>
        </w:rPr>
        <w:t>(2008</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rFonts w:ascii="Arial" w:hAnsi="Arial" w:cs="Arial" w:eastAsia="Arial" w:hint="default"/>
          <w:spacing w:val="-31"/>
        </w:rPr>
        <w:t> </w:t>
      </w:r>
      <w:r>
        <w:rPr/>
        <w:t>日：无</w:t>
      </w:r>
      <w:r>
        <w:rPr>
          <w:rFonts w:ascii="Arial" w:hAnsi="Arial" w:cs="Arial" w:eastAsia="Arial" w:hint="default"/>
        </w:rPr>
        <w:t>)</w:t>
      </w:r>
      <w:r>
        <w:rPr/>
        <w:t>；亦无已质押的应收票据</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r>
        <w:rPr>
          <w:rFonts w:ascii="Arial" w:hAnsi="Arial" w:cs="Arial" w:eastAsia="Arial" w:hint="default"/>
        </w:rPr>
        <w:t>)</w:t>
      </w:r>
      <w:r>
        <w:rPr/>
        <w:t>。</w:t>
      </w:r>
    </w:p>
    <w:p>
      <w:pPr>
        <w:spacing w:after="0" w:line="261" w:lineRule="auto"/>
        <w:jc w:val="left"/>
        <w:sectPr>
          <w:pgSz w:w="11910" w:h="16840"/>
          <w:pgMar w:header="958" w:footer="469" w:top="2380" w:bottom="660" w:left="1560" w:right="1580"/>
        </w:sectPr>
      </w:pP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24"/>
          <w:szCs w:val="24"/>
        </w:rPr>
      </w:pPr>
    </w:p>
    <w:p>
      <w:pPr>
        <w:tabs>
          <w:tab w:pos="843" w:val="left" w:leader="none"/>
        </w:tabs>
        <w:spacing w:before="38"/>
        <w:ind w:left="141"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4"/>
        <w:rPr>
          <w:rFonts w:ascii="黑体" w:hAnsi="黑体" w:cs="黑体" w:eastAsia="黑体" w:hint="default"/>
          <w:b/>
          <w:bCs/>
          <w:sz w:val="24"/>
          <w:szCs w:val="24"/>
        </w:rPr>
      </w:pPr>
    </w:p>
    <w:p>
      <w:pPr>
        <w:pStyle w:val="BodyText"/>
        <w:tabs>
          <w:tab w:pos="874" w:val="left" w:leader="none"/>
        </w:tabs>
        <w:spacing w:line="513" w:lineRule="auto"/>
        <w:ind w:left="855" w:right="883" w:hanging="729"/>
        <w:jc w:val="left"/>
      </w:pPr>
      <w:r>
        <w:rPr>
          <w:rFonts w:ascii="Arial" w:hAnsi="Arial" w:cs="Arial" w:eastAsia="Arial" w:hint="default"/>
          <w:b/>
          <w:bCs/>
          <w:spacing w:val="-1"/>
        </w:rPr>
        <w:t>4.</w:t>
        <w:tab/>
        <w:tab/>
      </w:r>
      <w:r>
        <w:rPr>
          <w:rFonts w:ascii="黑体" w:hAnsi="黑体" w:cs="黑体" w:eastAsia="黑体" w:hint="default"/>
          <w:b/>
          <w:bCs/>
          <w:spacing w:val="1"/>
        </w:rPr>
        <w:t>应收账款</w:t>
      </w:r>
      <w:r>
        <w:rPr>
          <w:rFonts w:ascii="黑体" w:hAnsi="黑体" w:cs="黑体" w:eastAsia="黑体" w:hint="default"/>
          <w:b/>
          <w:bCs/>
          <w:spacing w:val="1"/>
          <w:w w:val="99"/>
        </w:rPr>
        <w:t> </w:t>
      </w:r>
      <w:r>
        <w:rPr>
          <w:spacing w:val="-1"/>
        </w:rPr>
        <w:t>应收账款信用期通常为</w:t>
      </w:r>
      <w:r>
        <w:rPr>
          <w:rFonts w:ascii="Arial" w:hAnsi="Arial" w:cs="Arial" w:eastAsia="Arial" w:hint="default"/>
          <w:spacing w:val="-1"/>
        </w:rPr>
        <w:t>1</w:t>
      </w:r>
      <w:r>
        <w:rPr>
          <w:spacing w:val="-1"/>
        </w:rPr>
        <w:t>个月，主要客户可以延长至</w:t>
      </w:r>
      <w:r>
        <w:rPr>
          <w:rFonts w:ascii="Arial" w:hAnsi="Arial" w:cs="Arial" w:eastAsia="Arial" w:hint="default"/>
          <w:spacing w:val="-1"/>
        </w:rPr>
        <w:t>3</w:t>
      </w:r>
      <w:r>
        <w:rPr>
          <w:spacing w:val="-1"/>
        </w:rPr>
        <w:t>个月。应收账款并不计息。</w:t>
      </w:r>
      <w:r>
        <w:rPr>
          <w:w w:val="100"/>
        </w:rPr>
        <w:t> </w:t>
      </w:r>
      <w:r>
        <w:rPr/>
        <w:t>应收账款的账龄分析如下：</w:t>
      </w:r>
    </w:p>
    <w:p>
      <w:pPr>
        <w:pStyle w:val="BodyText"/>
        <w:tabs>
          <w:tab w:pos="1671" w:val="left" w:leader="none"/>
        </w:tabs>
        <w:spacing w:line="268" w:lineRule="exact" w:before="92"/>
        <w:ind w:left="0" w:right="108"/>
        <w:jc w:val="right"/>
      </w:pPr>
      <w:r>
        <w:rPr>
          <w:rFonts w:ascii="Arial" w:hAnsi="Arial" w:cs="Arial" w:eastAsia="Arial" w:hint="default"/>
        </w:rPr>
        <w:t>2009</w:t>
      </w:r>
      <w:r>
        <w:rPr>
          <w:rFonts w:ascii="Arial" w:hAnsi="Arial" w:cs="Arial" w:eastAsia="Arial" w:hint="default"/>
          <w:spacing w:val="-6"/>
        </w:rPr>
        <w:t> </w:t>
      </w:r>
      <w:r>
        <w:rPr/>
        <w:t>年</w:t>
        <w:tab/>
      </w:r>
      <w:r>
        <w:rPr>
          <w:rFonts w:ascii="Arial" w:hAnsi="Arial" w:cs="Arial" w:eastAsia="Arial" w:hint="default"/>
        </w:rPr>
        <w:t>2008</w:t>
      </w:r>
      <w:r>
        <w:rPr>
          <w:rFonts w:ascii="Arial" w:hAnsi="Arial" w:cs="Arial" w:eastAsia="Arial" w:hint="default"/>
          <w:spacing w:val="-6"/>
        </w:rPr>
        <w:t> </w:t>
      </w:r>
      <w:r>
        <w:rPr/>
        <w:t>年</w:t>
      </w:r>
    </w:p>
    <w:p>
      <w:pPr>
        <w:pStyle w:val="BodyText"/>
        <w:tabs>
          <w:tab w:pos="1671" w:val="left" w:leader="none"/>
        </w:tabs>
        <w:spacing w:line="268" w:lineRule="exact"/>
        <w:ind w:left="0" w:right="108"/>
        <w:jc w:val="right"/>
      </w:pP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6"/>
        </w:rPr>
        <w:t> </w:t>
      </w:r>
      <w:r>
        <w:rPr/>
        <w:t>日</w:t>
        <w:tab/>
      </w: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6"/>
        </w:rPr>
        <w:t> </w:t>
      </w:r>
      <w:r>
        <w:rPr/>
        <w:t>日</w:t>
      </w:r>
    </w:p>
    <w:p>
      <w:pPr>
        <w:spacing w:line="240" w:lineRule="auto" w:before="4"/>
        <w:rPr>
          <w:rFonts w:ascii="黑体" w:hAnsi="黑体" w:cs="黑体" w:eastAsia="黑体" w:hint="default"/>
          <w:sz w:val="18"/>
          <w:szCs w:val="18"/>
        </w:rPr>
      </w:pPr>
    </w:p>
    <w:p>
      <w:pPr>
        <w:pStyle w:val="BodyText"/>
        <w:tabs>
          <w:tab w:pos="5025" w:val="left" w:leader="none"/>
          <w:tab w:pos="6670" w:val="left" w:leader="none"/>
        </w:tabs>
        <w:spacing w:line="273" w:lineRule="exact"/>
        <w:ind w:left="0" w:right="106"/>
        <w:jc w:val="right"/>
        <w:rPr>
          <w:rFonts w:ascii="Arial" w:hAnsi="Arial" w:cs="Arial" w:eastAsia="Arial" w:hint="default"/>
        </w:rPr>
      </w:pPr>
      <w:r>
        <w:rPr>
          <w:rFonts w:ascii="Arial" w:hAnsi="Arial" w:cs="Arial" w:eastAsia="Arial" w:hint="default"/>
          <w:position w:val="1"/>
        </w:rPr>
        <w:t>1</w:t>
      </w:r>
      <w:r>
        <w:rPr>
          <w:rFonts w:ascii="Arial" w:hAnsi="Arial" w:cs="Arial" w:eastAsia="Arial" w:hint="default"/>
          <w:spacing w:val="-4"/>
          <w:position w:val="1"/>
        </w:rPr>
        <w:t> </w:t>
      </w:r>
      <w:r>
        <w:rPr>
          <w:spacing w:val="-1"/>
          <w:position w:val="1"/>
        </w:rPr>
        <w:t>年以内</w:t>
        <w:tab/>
      </w:r>
      <w:r>
        <w:rPr>
          <w:rFonts w:ascii="Arial" w:hAnsi="Arial" w:cs="Arial" w:eastAsia="Arial" w:hint="default"/>
          <w:spacing w:val="-1"/>
        </w:rPr>
        <w:t>481,134,592</w:t>
        <w:tab/>
        <w:t>255,990,953</w:t>
      </w:r>
    </w:p>
    <w:p>
      <w:pPr>
        <w:pStyle w:val="BodyText"/>
        <w:tabs>
          <w:tab w:pos="5135" w:val="left" w:leader="none"/>
          <w:tab w:pos="6780" w:val="left" w:leader="none"/>
        </w:tabs>
        <w:spacing w:line="260" w:lineRule="exact"/>
        <w:ind w:left="0" w:right="108"/>
        <w:jc w:val="right"/>
        <w:rPr>
          <w:rFonts w:ascii="Arial" w:hAnsi="Arial" w:cs="Arial" w:eastAsia="Arial" w:hint="default"/>
        </w:rPr>
      </w:pPr>
      <w:r>
        <w:rPr>
          <w:rFonts w:ascii="Arial" w:hAnsi="Arial" w:cs="Arial" w:eastAsia="Arial" w:hint="default"/>
          <w:position w:val="1"/>
        </w:rPr>
        <w:t>1</w:t>
      </w:r>
      <w:r>
        <w:rPr>
          <w:rFonts w:ascii="Arial" w:hAnsi="Arial" w:cs="Arial" w:eastAsia="Arial" w:hint="default"/>
          <w:spacing w:val="-6"/>
          <w:position w:val="1"/>
        </w:rPr>
        <w:t> </w:t>
      </w:r>
      <w:r>
        <w:rPr>
          <w:spacing w:val="-1"/>
          <w:position w:val="1"/>
        </w:rPr>
        <w:t>年至</w:t>
      </w:r>
      <w:r>
        <w:rPr>
          <w:spacing w:val="-50"/>
          <w:position w:val="1"/>
        </w:rPr>
        <w:t> </w:t>
      </w:r>
      <w:r>
        <w:rPr>
          <w:rFonts w:ascii="Arial" w:hAnsi="Arial" w:cs="Arial" w:eastAsia="Arial" w:hint="default"/>
          <w:position w:val="1"/>
        </w:rPr>
        <w:t>2</w:t>
      </w:r>
      <w:r>
        <w:rPr>
          <w:rFonts w:ascii="Arial" w:hAnsi="Arial" w:cs="Arial" w:eastAsia="Arial" w:hint="default"/>
          <w:spacing w:val="-7"/>
          <w:position w:val="1"/>
        </w:rPr>
        <w:t> </w:t>
      </w:r>
      <w:r>
        <w:rPr>
          <w:position w:val="1"/>
        </w:rPr>
        <w:t>年</w:t>
        <w:tab/>
      </w:r>
      <w:r>
        <w:rPr>
          <w:rFonts w:ascii="Arial" w:hAnsi="Arial" w:cs="Arial" w:eastAsia="Arial" w:hint="default"/>
          <w:spacing w:val="-1"/>
        </w:rPr>
        <w:t>27,418,276</w:t>
        <w:tab/>
        <w:t>22,556,081</w:t>
      </w:r>
    </w:p>
    <w:p>
      <w:pPr>
        <w:pStyle w:val="BodyText"/>
        <w:tabs>
          <w:tab w:pos="5247" w:val="left" w:leader="none"/>
          <w:tab w:pos="6893" w:val="left" w:leader="none"/>
        </w:tabs>
        <w:spacing w:line="260" w:lineRule="exact"/>
        <w:ind w:left="0" w:right="108"/>
        <w:jc w:val="right"/>
        <w:rPr>
          <w:rFonts w:ascii="Arial" w:hAnsi="Arial" w:cs="Arial" w:eastAsia="Arial" w:hint="default"/>
        </w:rPr>
      </w:pPr>
      <w:r>
        <w:rPr>
          <w:rFonts w:ascii="Arial" w:hAnsi="Arial" w:cs="Arial" w:eastAsia="Arial" w:hint="default"/>
          <w:position w:val="1"/>
        </w:rPr>
        <w:t>2</w:t>
      </w:r>
      <w:r>
        <w:rPr>
          <w:rFonts w:ascii="Arial" w:hAnsi="Arial" w:cs="Arial" w:eastAsia="Arial" w:hint="default"/>
          <w:spacing w:val="-6"/>
          <w:position w:val="1"/>
        </w:rPr>
        <w:t> </w:t>
      </w:r>
      <w:r>
        <w:rPr>
          <w:spacing w:val="-1"/>
          <w:position w:val="1"/>
        </w:rPr>
        <w:t>年至</w:t>
      </w:r>
      <w:r>
        <w:rPr>
          <w:spacing w:val="-50"/>
          <w:position w:val="1"/>
        </w:rPr>
        <w:t> </w:t>
      </w:r>
      <w:r>
        <w:rPr>
          <w:rFonts w:ascii="Arial" w:hAnsi="Arial" w:cs="Arial" w:eastAsia="Arial" w:hint="default"/>
          <w:position w:val="1"/>
        </w:rPr>
        <w:t>3</w:t>
      </w:r>
      <w:r>
        <w:rPr>
          <w:rFonts w:ascii="Arial" w:hAnsi="Arial" w:cs="Arial" w:eastAsia="Arial" w:hint="default"/>
          <w:spacing w:val="-7"/>
          <w:position w:val="1"/>
        </w:rPr>
        <w:t> </w:t>
      </w:r>
      <w:r>
        <w:rPr>
          <w:position w:val="1"/>
        </w:rPr>
        <w:t>年</w:t>
        <w:tab/>
      </w:r>
      <w:r>
        <w:rPr>
          <w:rFonts w:ascii="Arial" w:hAnsi="Arial" w:cs="Arial" w:eastAsia="Arial" w:hint="default"/>
          <w:spacing w:val="-1"/>
        </w:rPr>
        <w:t>9,468,965</w:t>
        <w:tab/>
        <w:t>8,305,447</w:t>
      </w:r>
    </w:p>
    <w:p>
      <w:pPr>
        <w:pStyle w:val="BodyText"/>
        <w:tabs>
          <w:tab w:pos="5037" w:val="left" w:leader="none"/>
          <w:tab w:pos="6682" w:val="left" w:leader="none"/>
        </w:tabs>
        <w:spacing w:line="273" w:lineRule="exact"/>
        <w:ind w:left="0" w:right="106"/>
        <w:jc w:val="right"/>
        <w:rPr>
          <w:rFonts w:ascii="Arial" w:hAnsi="Arial" w:cs="Arial" w:eastAsia="Arial" w:hint="default"/>
        </w:rPr>
      </w:pPr>
      <w:r>
        <w:rPr>
          <w:rFonts w:ascii="Arial" w:hAnsi="Arial" w:cs="Arial" w:eastAsia="Arial" w:hint="default"/>
          <w:position w:val="1"/>
        </w:rPr>
        <w:t>3</w:t>
      </w:r>
      <w:r>
        <w:rPr>
          <w:rFonts w:ascii="Arial" w:hAnsi="Arial" w:cs="Arial" w:eastAsia="Arial" w:hint="default"/>
          <w:spacing w:val="-4"/>
          <w:position w:val="1"/>
        </w:rPr>
        <w:t> </w:t>
      </w:r>
      <w:r>
        <w:rPr>
          <w:spacing w:val="-1"/>
          <w:position w:val="1"/>
        </w:rPr>
        <w:t>年以上</w:t>
        <w:tab/>
      </w:r>
      <w:r>
        <w:rPr>
          <w:rFonts w:ascii="Arial" w:hAnsi="Arial" w:cs="Arial" w:eastAsia="Arial" w:hint="default"/>
          <w:spacing w:val="-1"/>
        </w:rPr>
      </w:r>
      <w:r>
        <w:rPr>
          <w:rFonts w:ascii="Arial" w:hAnsi="Arial" w:cs="Arial" w:eastAsia="Arial" w:hint="default"/>
          <w:spacing w:val="-1"/>
          <w:u w:val="single" w:color="000000"/>
        </w:rPr>
        <w:t> 21,120,884</w:t>
      </w:r>
      <w:r>
        <w:rPr>
          <w:rFonts w:ascii="Arial" w:hAnsi="Arial" w:cs="Arial" w:eastAsia="Arial" w:hint="default"/>
          <w:spacing w:val="-1"/>
        </w:rPr>
        <w:tab/>
      </w:r>
      <w:r>
        <w:rPr>
          <w:rFonts w:ascii="Arial" w:hAnsi="Arial" w:cs="Arial" w:eastAsia="Arial" w:hint="default"/>
          <w:spacing w:val="-1"/>
          <w:u w:val="single" w:color="000000"/>
        </w:rPr>
        <w:t> 14,319,676</w:t>
      </w:r>
      <w:r>
        <w:rPr>
          <w:rFonts w:ascii="Arial" w:hAnsi="Arial" w:cs="Arial" w:eastAsia="Arial" w:hint="default"/>
          <w:spacing w:val="-1"/>
        </w:rPr>
      </w:r>
    </w:p>
    <w:p>
      <w:pPr>
        <w:pStyle w:val="BodyText"/>
        <w:tabs>
          <w:tab w:pos="1645" w:val="left" w:leader="none"/>
        </w:tabs>
        <w:spacing w:line="240" w:lineRule="auto" w:before="25"/>
        <w:ind w:left="0" w:right="106"/>
        <w:jc w:val="right"/>
        <w:rPr>
          <w:rFonts w:ascii="Arial" w:hAnsi="Arial" w:cs="Arial" w:eastAsia="Arial" w:hint="default"/>
        </w:rPr>
      </w:pPr>
      <w:r>
        <w:rPr>
          <w:rFonts w:ascii="Arial"/>
          <w:spacing w:val="-1"/>
        </w:rPr>
        <w:t>539,142,717</w:t>
        <w:tab/>
        <w:t>301,172,157</w:t>
      </w:r>
    </w:p>
    <w:p>
      <w:pPr>
        <w:spacing w:line="240" w:lineRule="auto" w:before="9"/>
        <w:rPr>
          <w:rFonts w:ascii="Arial" w:hAnsi="Arial" w:cs="Arial" w:eastAsia="Arial" w:hint="default"/>
          <w:sz w:val="19"/>
          <w:szCs w:val="19"/>
        </w:rPr>
      </w:pPr>
    </w:p>
    <w:p>
      <w:pPr>
        <w:pStyle w:val="BodyText"/>
        <w:tabs>
          <w:tab w:pos="5011" w:val="left" w:leader="none"/>
          <w:tab w:pos="6682" w:val="left" w:leader="none"/>
        </w:tabs>
        <w:spacing w:line="240" w:lineRule="auto"/>
        <w:ind w:left="0" w:right="106"/>
        <w:jc w:val="right"/>
        <w:rPr>
          <w:rFonts w:ascii="Arial" w:hAnsi="Arial" w:cs="Arial" w:eastAsia="Arial" w:hint="default"/>
        </w:rPr>
      </w:pPr>
      <w:r>
        <w:rPr>
          <w:spacing w:val="-1"/>
          <w:position w:val="1"/>
        </w:rPr>
        <w:t>减：应收账款坏账准备</w:t>
        <w:tab/>
      </w:r>
      <w:r>
        <w:rPr>
          <w:rFonts w:ascii="Arial" w:hAnsi="Arial" w:cs="Arial" w:eastAsia="Arial" w:hint="default"/>
          <w:spacing w:val="-1"/>
        </w:rPr>
      </w:r>
      <w:r>
        <w:rPr>
          <w:rFonts w:ascii="Arial" w:hAnsi="Arial" w:cs="Arial" w:eastAsia="Arial" w:hint="default"/>
          <w:spacing w:val="-1"/>
          <w:u w:val="single" w:color="000000"/>
        </w:rPr>
        <w:t> 28,258,739</w:t>
      </w:r>
      <w:r>
        <w:rPr>
          <w:rFonts w:ascii="Arial" w:hAnsi="Arial" w:cs="Arial" w:eastAsia="Arial" w:hint="default"/>
          <w:spacing w:val="-1"/>
        </w:rPr>
        <w:tab/>
      </w:r>
      <w:r>
        <w:rPr>
          <w:rFonts w:ascii="Arial" w:hAnsi="Arial" w:cs="Arial" w:eastAsia="Arial" w:hint="default"/>
          <w:spacing w:val="-1"/>
          <w:u w:val="single" w:color="000000"/>
        </w:rPr>
        <w:t> 22,828,766</w:t>
      </w:r>
      <w:r>
        <w:rPr>
          <w:rFonts w:ascii="Arial" w:hAnsi="Arial" w:cs="Arial" w:eastAsia="Arial" w:hint="default"/>
          <w:spacing w:val="-1"/>
        </w:rPr>
      </w:r>
    </w:p>
    <w:p>
      <w:pPr>
        <w:spacing w:line="240" w:lineRule="auto" w:before="11"/>
        <w:rPr>
          <w:rFonts w:ascii="Arial" w:hAnsi="Arial" w:cs="Arial" w:eastAsia="Arial" w:hint="default"/>
          <w:sz w:val="17"/>
          <w:szCs w:val="17"/>
        </w:rPr>
      </w:pPr>
    </w:p>
    <w:p>
      <w:pPr>
        <w:pStyle w:val="BodyText"/>
        <w:tabs>
          <w:tab w:pos="1671" w:val="left" w:leader="none"/>
        </w:tabs>
        <w:spacing w:line="240" w:lineRule="auto" w:before="74"/>
        <w:ind w:left="0" w:right="106"/>
        <w:jc w:val="right"/>
        <w:rPr>
          <w:rFonts w:ascii="Arial" w:hAnsi="Arial" w:cs="Arial" w:eastAsia="Arial" w:hint="default"/>
        </w:rPr>
      </w:pPr>
      <w:r>
        <w:rPr>
          <w:rFonts w:ascii="Arial"/>
          <w:w w:val="100"/>
        </w:rPr>
      </w:r>
      <w:r>
        <w:rPr>
          <w:rFonts w:ascii="Arial"/>
          <w:spacing w:val="-1"/>
          <w:u w:val="thick" w:color="000000"/>
        </w:rPr>
        <w:t>510,883,978</w:t>
      </w:r>
      <w:r>
        <w:rPr>
          <w:rFonts w:ascii="Arial"/>
          <w:spacing w:val="-1"/>
        </w:rPr>
        <w:tab/>
      </w:r>
      <w:r>
        <w:rPr>
          <w:rFonts w:ascii="Arial"/>
          <w:spacing w:val="-1"/>
          <w:u w:val="thick" w:color="000000"/>
        </w:rPr>
        <w:t>278,343,391</w:t>
      </w:r>
      <w:r>
        <w:rPr>
          <w:rFonts w:ascii="Arial"/>
          <w:spacing w:val="-1"/>
        </w:rPr>
      </w:r>
    </w:p>
    <w:p>
      <w:pPr>
        <w:spacing w:line="240" w:lineRule="auto" w:before="7"/>
        <w:rPr>
          <w:rFonts w:ascii="Arial" w:hAnsi="Arial" w:cs="Arial" w:eastAsia="Arial" w:hint="default"/>
          <w:sz w:val="15"/>
          <w:szCs w:val="15"/>
        </w:rPr>
      </w:pPr>
    </w:p>
    <w:p>
      <w:pPr>
        <w:pStyle w:val="BodyText"/>
        <w:spacing w:line="240" w:lineRule="auto" w:before="38"/>
        <w:ind w:left="855" w:right="0"/>
        <w:jc w:val="left"/>
      </w:pPr>
      <w:r>
        <w:rPr/>
        <w:t>应收账款坏账准备的变动如下：</w:t>
      </w:r>
    </w:p>
    <w:p>
      <w:pPr>
        <w:spacing w:line="240" w:lineRule="auto" w:before="4"/>
        <w:rPr>
          <w:rFonts w:ascii="黑体" w:hAnsi="黑体" w:cs="黑体" w:eastAsia="黑体" w:hint="default"/>
          <w:sz w:val="24"/>
          <w:szCs w:val="24"/>
        </w:rPr>
      </w:pPr>
    </w:p>
    <w:p>
      <w:pPr>
        <w:pStyle w:val="BodyText"/>
        <w:tabs>
          <w:tab w:pos="3304" w:val="left" w:leader="none"/>
          <w:tab w:pos="5984" w:val="left" w:leader="none"/>
          <w:tab w:pos="7856" w:val="left" w:leader="none"/>
        </w:tabs>
        <w:spacing w:line="240" w:lineRule="auto"/>
        <w:ind w:left="2170" w:right="0"/>
        <w:jc w:val="left"/>
      </w:pPr>
      <w:r>
        <w:rPr/>
        <w:t>年初余额</w:t>
        <w:tab/>
        <w:t>本年计提</w:t>
      </w:r>
      <w:r>
        <w:rPr>
          <w:spacing w:val="96"/>
        </w:rPr>
        <w:t> </w:t>
      </w:r>
      <w:r>
        <w:rPr/>
        <w:t>收购增加</w:t>
        <w:tab/>
        <w:t>本年减少</w:t>
        <w:tab/>
        <w:t>年末余额</w:t>
      </w:r>
    </w:p>
    <w:p>
      <w:pPr>
        <w:pStyle w:val="BodyText"/>
        <w:tabs>
          <w:tab w:pos="1010" w:val="left" w:leader="none"/>
        </w:tabs>
        <w:spacing w:line="240" w:lineRule="auto" w:before="2"/>
        <w:ind w:left="0" w:right="1377"/>
        <w:jc w:val="right"/>
      </w:pPr>
      <w:r>
        <w:rPr/>
        <w:pict>
          <v:group style="position:absolute;margin-left:346.980011pt;margin-top:1.586453pt;width:100.05pt;height:.1pt;mso-position-horizontal-relative:page;mso-position-vertical-relative:paragraph;z-index:-1132408" coordorigin="6940,32" coordsize="2001,2">
            <v:shape style="position:absolute;left:6940;top:32;width:2001;height:2" coordorigin="6940,32" coordsize="2001,0" path="m6940,32l8940,32e" filled="false" stroked="true" strokeweight=".48pt" strokecolor="#000000">
              <v:path arrowok="t"/>
            </v:shape>
            <w10:wrap type="none"/>
          </v:group>
        </w:pict>
      </w:r>
      <w:r>
        <w:rPr/>
        <w:t>转回</w:t>
        <w:tab/>
        <w:t>转销</w:t>
      </w:r>
    </w:p>
    <w:p>
      <w:pPr>
        <w:spacing w:line="240" w:lineRule="auto" w:before="0"/>
        <w:rPr>
          <w:rFonts w:ascii="黑体" w:hAnsi="黑体" w:cs="黑体" w:eastAsia="黑体" w:hint="default"/>
          <w:sz w:val="16"/>
          <w:szCs w:val="16"/>
        </w:rPr>
      </w:pPr>
    </w:p>
    <w:p>
      <w:pPr>
        <w:pStyle w:val="BodyText"/>
        <w:tabs>
          <w:tab w:pos="1970" w:val="left" w:leader="none"/>
          <w:tab w:pos="3215" w:val="left" w:leader="none"/>
          <w:tab w:pos="4395" w:val="left" w:leader="none"/>
          <w:tab w:pos="5033" w:val="left" w:leader="none"/>
          <w:tab w:pos="5483" w:val="left" w:leader="none"/>
          <w:tab w:pos="6638" w:val="left" w:leader="none"/>
          <w:tab w:pos="7317" w:val="left" w:leader="none"/>
          <w:tab w:pos="7655" w:val="left" w:leader="none"/>
        </w:tabs>
        <w:spacing w:line="240" w:lineRule="auto" w:before="39"/>
        <w:ind w:left="847" w:right="0"/>
        <w:jc w:val="left"/>
        <w:rPr>
          <w:rFonts w:ascii="Arial" w:hAnsi="Arial" w:cs="Arial" w:eastAsia="Arial" w:hint="default"/>
        </w:rPr>
      </w:pPr>
      <w:r>
        <w:rPr>
          <w:rFonts w:ascii="Arial" w:hAnsi="Arial" w:cs="Arial" w:eastAsia="Arial" w:hint="default"/>
          <w:spacing w:val="-1"/>
          <w:position w:val="1"/>
        </w:rPr>
        <w:t>2009</w:t>
      </w:r>
      <w:r>
        <w:rPr>
          <w:spacing w:val="-1"/>
          <w:position w:val="1"/>
        </w:rPr>
        <w:t>年</w:t>
        <w:tab/>
      </w:r>
      <w:r>
        <w:rPr>
          <w:rFonts w:ascii="Arial" w:hAnsi="Arial" w:cs="Arial" w:eastAsia="Arial" w:hint="default"/>
          <w:spacing w:val="-1"/>
        </w:rPr>
      </w:r>
      <w:r>
        <w:rPr>
          <w:rFonts w:ascii="Arial" w:hAnsi="Arial" w:cs="Arial" w:eastAsia="Arial" w:hint="default"/>
          <w:spacing w:val="-1"/>
          <w:u w:val="thick" w:color="000000"/>
        </w:rPr>
        <w:t>22,828,766</w:t>
      </w:r>
      <w:r>
        <w:rPr>
          <w:rFonts w:ascii="Arial" w:hAnsi="Arial" w:cs="Arial" w:eastAsia="Arial" w:hint="default"/>
          <w:spacing w:val="-1"/>
        </w:rPr>
        <w:tab/>
      </w:r>
      <w:r>
        <w:rPr>
          <w:rFonts w:ascii="Arial" w:hAnsi="Arial" w:cs="Arial" w:eastAsia="Arial" w:hint="default"/>
          <w:spacing w:val="-1"/>
          <w:u w:val="thick" w:color="000000"/>
        </w:rPr>
        <w:t>8,587,988</w:t>
      </w:r>
      <w:r>
        <w:rPr>
          <w:rFonts w:ascii="Arial" w:hAnsi="Arial" w:cs="Arial" w:eastAsia="Arial" w:hint="default"/>
          <w:spacing w:val="-1"/>
        </w:rPr>
        <w:tab/>
      </w:r>
      <w:r>
        <w:rPr>
          <w:rFonts w:ascii="Arial" w:hAnsi="Arial" w:cs="Arial" w:eastAsia="Arial" w:hint="default"/>
          <w:spacing w:val="-1"/>
          <w:u w:val="double" w:color="000000"/>
        </w:rPr>
        <w:t> </w:t>
        <w:tab/>
      </w:r>
      <w:r>
        <w:rPr>
          <w:rFonts w:ascii="Arial" w:hAnsi="Arial" w:cs="Arial" w:eastAsia="Arial" w:hint="default"/>
          <w:u w:val="double" w:color="000000"/>
        </w:rPr>
        <w:t>-</w:t>
      </w:r>
      <w:r>
        <w:rPr>
          <w:rFonts w:ascii="Arial" w:hAnsi="Arial" w:cs="Arial" w:eastAsia="Arial" w:hint="default"/>
        </w:rPr>
        <w:tab/>
      </w:r>
      <w:r>
        <w:rPr>
          <w:rFonts w:ascii="Arial" w:hAnsi="Arial" w:cs="Arial" w:eastAsia="Arial" w:hint="default"/>
          <w:spacing w:val="-1"/>
          <w:u w:val="thick" w:color="000000"/>
        </w:rPr>
        <w:t>3,158,015</w:t>
      </w:r>
      <w:r>
        <w:rPr>
          <w:rFonts w:ascii="Arial" w:hAnsi="Arial" w:cs="Arial" w:eastAsia="Arial" w:hint="default"/>
          <w:spacing w:val="-1"/>
        </w:rPr>
        <w:tab/>
      </w:r>
      <w:r>
        <w:rPr>
          <w:rFonts w:ascii="Arial" w:hAnsi="Arial" w:cs="Arial" w:eastAsia="Arial" w:hint="default"/>
          <w:spacing w:val="-1"/>
          <w:u w:val="double" w:color="000000"/>
        </w:rPr>
        <w:t> </w:t>
        <w:tab/>
      </w:r>
      <w:r>
        <w:rPr>
          <w:rFonts w:ascii="Arial" w:hAnsi="Arial" w:cs="Arial" w:eastAsia="Arial" w:hint="default"/>
          <w:u w:val="double" w:color="000000"/>
        </w:rPr>
        <w:t>-</w:t>
      </w:r>
      <w:r>
        <w:rPr>
          <w:rFonts w:ascii="Arial" w:hAnsi="Arial" w:cs="Arial" w:eastAsia="Arial" w:hint="default"/>
        </w:rPr>
        <w:tab/>
      </w:r>
      <w:r>
        <w:rPr>
          <w:rFonts w:ascii="Arial" w:hAnsi="Arial" w:cs="Arial" w:eastAsia="Arial" w:hint="default"/>
          <w:spacing w:val="-1"/>
          <w:u w:val="thick" w:color="000000"/>
        </w:rPr>
        <w:t>28,258,739</w:t>
      </w:r>
      <w:r>
        <w:rPr>
          <w:rFonts w:ascii="Arial" w:hAnsi="Arial" w:cs="Arial" w:eastAsia="Arial" w:hint="default"/>
          <w:spacing w:val="-1"/>
        </w:rPr>
      </w:r>
    </w:p>
    <w:p>
      <w:pPr>
        <w:spacing w:line="240" w:lineRule="auto" w:before="1"/>
        <w:rPr>
          <w:rFonts w:ascii="Arial" w:hAnsi="Arial" w:cs="Arial" w:eastAsia="Arial" w:hint="default"/>
          <w:sz w:val="16"/>
          <w:szCs w:val="16"/>
        </w:rPr>
      </w:pPr>
    </w:p>
    <w:p>
      <w:pPr>
        <w:pStyle w:val="BodyText"/>
        <w:tabs>
          <w:tab w:pos="1970" w:val="left" w:leader="none"/>
          <w:tab w:pos="3215" w:val="left" w:leader="none"/>
          <w:tab w:pos="4377" w:val="left" w:leader="none"/>
          <w:tab w:pos="5507" w:val="left" w:leader="none"/>
          <w:tab w:pos="6307" w:val="left" w:leader="none"/>
          <w:tab w:pos="6661" w:val="left" w:leader="none"/>
          <w:tab w:pos="7655" w:val="left" w:leader="none"/>
        </w:tabs>
        <w:spacing w:line="240" w:lineRule="auto" w:before="39"/>
        <w:ind w:left="847" w:right="0"/>
        <w:jc w:val="left"/>
        <w:rPr>
          <w:rFonts w:ascii="Arial" w:hAnsi="Arial" w:cs="Arial" w:eastAsia="Arial" w:hint="default"/>
        </w:rPr>
      </w:pPr>
      <w:r>
        <w:rPr>
          <w:rFonts w:ascii="Arial" w:hAnsi="Arial" w:cs="Arial" w:eastAsia="Arial" w:hint="default"/>
          <w:spacing w:val="-1"/>
          <w:position w:val="1"/>
        </w:rPr>
        <w:t>2008</w:t>
      </w:r>
      <w:r>
        <w:rPr>
          <w:spacing w:val="-1"/>
          <w:position w:val="1"/>
        </w:rPr>
        <w:t>年</w:t>
        <w:tab/>
      </w:r>
      <w:r>
        <w:rPr>
          <w:rFonts w:ascii="Arial" w:hAnsi="Arial" w:cs="Arial" w:eastAsia="Arial" w:hint="default"/>
          <w:spacing w:val="-1"/>
        </w:rPr>
      </w:r>
      <w:r>
        <w:rPr>
          <w:rFonts w:ascii="Arial" w:hAnsi="Arial" w:cs="Arial" w:eastAsia="Arial" w:hint="default"/>
          <w:spacing w:val="-1"/>
          <w:u w:val="thick" w:color="000000"/>
        </w:rPr>
        <w:t>16,710,068</w:t>
      </w:r>
      <w:r>
        <w:rPr>
          <w:rFonts w:ascii="Arial" w:hAnsi="Arial" w:cs="Arial" w:eastAsia="Arial" w:hint="default"/>
          <w:spacing w:val="-1"/>
        </w:rPr>
        <w:tab/>
      </w:r>
      <w:r>
        <w:rPr>
          <w:rFonts w:ascii="Arial" w:hAnsi="Arial" w:cs="Arial" w:eastAsia="Arial" w:hint="default"/>
          <w:spacing w:val="-1"/>
          <w:u w:val="thick" w:color="000000"/>
        </w:rPr>
        <w:t>6,705,754</w:t>
      </w:r>
      <w:r>
        <w:rPr>
          <w:rFonts w:ascii="Arial" w:hAnsi="Arial" w:cs="Arial" w:eastAsia="Arial" w:hint="default"/>
          <w:spacing w:val="-1"/>
        </w:rPr>
        <w:tab/>
      </w:r>
      <w:r>
        <w:rPr>
          <w:rFonts w:ascii="Arial" w:hAnsi="Arial" w:cs="Arial" w:eastAsia="Arial" w:hint="default"/>
          <w:spacing w:val="-1"/>
          <w:u w:val="thick" w:color="000000"/>
        </w:rPr>
        <w:t>187,800</w:t>
      </w:r>
      <w:r>
        <w:rPr>
          <w:rFonts w:ascii="Arial" w:hAnsi="Arial" w:cs="Arial" w:eastAsia="Arial" w:hint="default"/>
          <w:spacing w:val="-1"/>
        </w:rPr>
        <w:tab/>
      </w:r>
      <w:r>
        <w:rPr>
          <w:rFonts w:ascii="Arial" w:hAnsi="Arial" w:cs="Arial" w:eastAsia="Arial" w:hint="default"/>
          <w:spacing w:val="-1"/>
          <w:u w:val="thick" w:color="000000"/>
        </w:rPr>
        <w:t> </w:t>
        <w:tab/>
      </w:r>
      <w:r>
        <w:rPr>
          <w:rFonts w:ascii="Arial" w:hAnsi="Arial" w:cs="Arial" w:eastAsia="Arial" w:hint="default"/>
          <w:u w:val="thick" w:color="000000"/>
        </w:rPr>
        <w:t>-</w:t>
      </w:r>
      <w:r>
        <w:rPr>
          <w:rFonts w:ascii="Arial" w:hAnsi="Arial" w:cs="Arial" w:eastAsia="Arial" w:hint="default"/>
        </w:rPr>
        <w:tab/>
      </w:r>
      <w:r>
        <w:rPr>
          <w:rFonts w:ascii="Arial" w:hAnsi="Arial" w:cs="Arial" w:eastAsia="Arial" w:hint="default"/>
          <w:spacing w:val="-1"/>
          <w:u w:val="thick" w:color="000000"/>
        </w:rPr>
        <w:t>774,856</w:t>
      </w:r>
      <w:r>
        <w:rPr>
          <w:rFonts w:ascii="Arial" w:hAnsi="Arial" w:cs="Arial" w:eastAsia="Arial" w:hint="default"/>
          <w:spacing w:val="-1"/>
        </w:rPr>
        <w:tab/>
      </w:r>
      <w:r>
        <w:rPr>
          <w:rFonts w:ascii="Arial" w:hAnsi="Arial" w:cs="Arial" w:eastAsia="Arial" w:hint="default"/>
          <w:spacing w:val="-1"/>
          <w:u w:val="thick" w:color="000000"/>
        </w:rPr>
        <w:t>22,828,766</w:t>
      </w:r>
      <w:r>
        <w:rPr>
          <w:rFonts w:ascii="Arial" w:hAnsi="Arial" w:cs="Arial" w:eastAsia="Arial" w:hint="default"/>
          <w:spacing w:val="-1"/>
        </w:rPr>
      </w:r>
    </w:p>
    <w:p>
      <w:pPr>
        <w:spacing w:line="240" w:lineRule="auto" w:before="4"/>
        <w:rPr>
          <w:rFonts w:ascii="Arial" w:hAnsi="Arial" w:cs="Arial" w:eastAsia="Arial" w:hint="default"/>
          <w:sz w:val="23"/>
          <w:szCs w:val="23"/>
        </w:rPr>
      </w:pPr>
    </w:p>
    <w:p>
      <w:pPr>
        <w:tabs>
          <w:tab w:pos="6382" w:val="left" w:leader="none"/>
        </w:tabs>
        <w:spacing w:before="50"/>
        <w:ind w:left="2856" w:right="0" w:firstLine="0"/>
        <w:jc w:val="left"/>
        <w:rPr>
          <w:rFonts w:ascii="黑体" w:hAnsi="黑体" w:cs="黑体" w:eastAsia="黑体" w:hint="default"/>
          <w:sz w:val="16"/>
          <w:szCs w:val="16"/>
        </w:rPr>
      </w:pPr>
      <w:r>
        <w:rPr>
          <w:rFonts w:ascii="Arial" w:hAnsi="Arial" w:cs="Arial" w:eastAsia="Arial" w:hint="default"/>
          <w:w w:val="95"/>
          <w:sz w:val="16"/>
          <w:szCs w:val="16"/>
        </w:rPr>
        <w:t>2009</w:t>
      </w:r>
      <w:r>
        <w:rPr>
          <w:rFonts w:ascii="黑体" w:hAnsi="黑体" w:cs="黑体" w:eastAsia="黑体" w:hint="default"/>
          <w:w w:val="95"/>
          <w:sz w:val="16"/>
          <w:szCs w:val="16"/>
        </w:rPr>
        <w:t>年</w:t>
      </w:r>
      <w:r>
        <w:rPr>
          <w:rFonts w:ascii="Arial" w:hAnsi="Arial" w:cs="Arial" w:eastAsia="Arial" w:hint="default"/>
          <w:w w:val="95"/>
          <w:sz w:val="16"/>
          <w:szCs w:val="16"/>
        </w:rPr>
        <w:t>12</w:t>
      </w:r>
      <w:r>
        <w:rPr>
          <w:rFonts w:ascii="黑体" w:hAnsi="黑体" w:cs="黑体" w:eastAsia="黑体" w:hint="default"/>
          <w:w w:val="95"/>
          <w:sz w:val="16"/>
          <w:szCs w:val="16"/>
        </w:rPr>
        <w:t>月</w:t>
      </w:r>
      <w:r>
        <w:rPr>
          <w:rFonts w:ascii="Arial" w:hAnsi="Arial" w:cs="Arial" w:eastAsia="Arial" w:hint="default"/>
          <w:w w:val="95"/>
          <w:sz w:val="16"/>
          <w:szCs w:val="16"/>
        </w:rPr>
        <w:t>31</w:t>
      </w:r>
      <w:r>
        <w:rPr>
          <w:rFonts w:ascii="黑体" w:hAnsi="黑体" w:cs="黑体" w:eastAsia="黑体" w:hint="default"/>
          <w:w w:val="95"/>
          <w:sz w:val="16"/>
          <w:szCs w:val="16"/>
        </w:rPr>
        <w:t>日</w:t>
        <w:tab/>
      </w:r>
      <w:r>
        <w:rPr>
          <w:rFonts w:ascii="Arial" w:hAnsi="Arial" w:cs="Arial" w:eastAsia="Arial" w:hint="default"/>
          <w:sz w:val="16"/>
          <w:szCs w:val="16"/>
        </w:rPr>
        <w:t>2008</w:t>
      </w:r>
      <w:r>
        <w:rPr>
          <w:rFonts w:ascii="黑体" w:hAnsi="黑体" w:cs="黑体" w:eastAsia="黑体" w:hint="default"/>
          <w:sz w:val="16"/>
          <w:szCs w:val="16"/>
        </w:rPr>
        <w:t>年</w:t>
      </w:r>
      <w:r>
        <w:rPr>
          <w:rFonts w:ascii="Arial" w:hAnsi="Arial" w:cs="Arial" w:eastAsia="Arial" w:hint="default"/>
          <w:sz w:val="16"/>
          <w:szCs w:val="16"/>
        </w:rPr>
        <w:t>12</w:t>
      </w:r>
      <w:r>
        <w:rPr>
          <w:rFonts w:ascii="黑体" w:hAnsi="黑体" w:cs="黑体" w:eastAsia="黑体" w:hint="default"/>
          <w:sz w:val="16"/>
          <w:szCs w:val="16"/>
        </w:rPr>
        <w:t>月</w:t>
      </w:r>
      <w:r>
        <w:rPr>
          <w:rFonts w:ascii="Arial" w:hAnsi="Arial" w:cs="Arial" w:eastAsia="Arial" w:hint="default"/>
          <w:sz w:val="16"/>
          <w:szCs w:val="16"/>
        </w:rPr>
        <w:t>31</w:t>
      </w:r>
      <w:r>
        <w:rPr>
          <w:rFonts w:ascii="黑体" w:hAnsi="黑体" w:cs="黑体" w:eastAsia="黑体" w:hint="default"/>
          <w:sz w:val="16"/>
          <w:szCs w:val="16"/>
        </w:rPr>
        <w:t>日</w:t>
      </w:r>
    </w:p>
    <w:p>
      <w:pPr>
        <w:tabs>
          <w:tab w:pos="5330" w:val="left" w:leader="none"/>
        </w:tabs>
        <w:spacing w:line="20" w:lineRule="exact"/>
        <w:ind w:left="1813" w:right="0" w:firstLine="0"/>
        <w:rPr>
          <w:rFonts w:ascii="黑体" w:hAnsi="黑体" w:cs="黑体" w:eastAsia="黑体" w:hint="default"/>
          <w:sz w:val="2"/>
          <w:szCs w:val="2"/>
        </w:rPr>
      </w:pPr>
      <w:r>
        <w:rPr>
          <w:rFonts w:ascii="黑体"/>
          <w:sz w:val="2"/>
        </w:rPr>
        <w:pict>
          <v:group style="width:164.6pt;height:.5pt;mso-position-horizontal-relative:char;mso-position-vertical-relative:line" coordorigin="0,0" coordsize="3292,10">
            <v:group style="position:absolute;left:5;top:5;width:3282;height:2" coordorigin="5,5" coordsize="3282,2">
              <v:shape style="position:absolute;left:5;top:5;width:3282;height:2" coordorigin="5,5" coordsize="3282,0" path="m5,5l3287,5e" filled="false" stroked="true" strokeweight=".48pt" strokecolor="#000000">
                <v:path arrowok="t"/>
              </v:shape>
            </v:group>
          </v:group>
        </w:pict>
      </w:r>
      <w:r>
        <w:rPr>
          <w:rFonts w:ascii="黑体"/>
          <w:sz w:val="2"/>
        </w:rPr>
      </w:r>
      <w:r>
        <w:rPr>
          <w:rFonts w:ascii="黑体"/>
          <w:sz w:val="2"/>
        </w:rPr>
        <w:tab/>
      </w:r>
      <w:r>
        <w:rPr>
          <w:rFonts w:ascii="黑体"/>
          <w:sz w:val="2"/>
        </w:rPr>
        <w:pict>
          <v:group style="width:165.75pt;height:.5pt;mso-position-horizontal-relative:char;mso-position-vertical-relative:line" coordorigin="0,0" coordsize="3315,10">
            <v:group style="position:absolute;left:5;top:5;width:3305;height:2" coordorigin="5,5" coordsize="3305,2">
              <v:shape style="position:absolute;left:5;top:5;width:3305;height:2" coordorigin="5,5" coordsize="3305,0" path="m5,5l3310,5e" filled="false" stroked="true" strokeweight=".48pt" strokecolor="#000000">
                <v:path arrowok="t"/>
              </v:shape>
            </v:group>
          </v:group>
        </w:pict>
      </w:r>
      <w:r>
        <w:rPr>
          <w:rFonts w:ascii="黑体"/>
          <w:sz w:val="2"/>
        </w:rPr>
      </w:r>
    </w:p>
    <w:p>
      <w:pPr>
        <w:tabs>
          <w:tab w:pos="3061" w:val="left" w:leader="none"/>
          <w:tab w:pos="4074" w:val="left" w:leader="none"/>
          <w:tab w:pos="4234" w:val="left" w:leader="none"/>
          <w:tab w:pos="4456" w:val="left" w:leader="none"/>
          <w:tab w:pos="6058" w:val="left" w:leader="none"/>
          <w:tab w:pos="6332" w:val="left" w:leader="none"/>
          <w:tab w:pos="6652" w:val="left" w:leader="none"/>
          <w:tab w:pos="7615" w:val="left" w:leader="none"/>
          <w:tab w:pos="7998" w:val="left" w:leader="none"/>
        </w:tabs>
        <w:spacing w:line="312" w:lineRule="auto" w:before="24"/>
        <w:ind w:left="2520" w:right="125" w:firstLine="224"/>
        <w:jc w:val="right"/>
        <w:rPr>
          <w:rFonts w:ascii="Arial" w:hAnsi="Arial" w:cs="Arial" w:eastAsia="Arial" w:hint="default"/>
          <w:sz w:val="16"/>
          <w:szCs w:val="16"/>
        </w:rPr>
      </w:pPr>
      <w:r>
        <w:rPr>
          <w:rFonts w:ascii="黑体" w:hAnsi="黑体" w:cs="黑体" w:eastAsia="黑体" w:hint="default"/>
          <w:w w:val="95"/>
          <w:sz w:val="16"/>
          <w:szCs w:val="16"/>
        </w:rPr>
        <w:t>账面金额</w:t>
        <w:tab/>
        <w:tab/>
        <w:tab/>
        <w:t>坏账准备</w:t>
        <w:tab/>
        <w:tab/>
        <w:t>账面金额</w:t>
        <w:tab/>
        <w:tab/>
        <w:t>坏账准备</w:t>
      </w:r>
      <w:r>
        <w:rPr>
          <w:rFonts w:ascii="黑体" w:hAnsi="黑体" w:cs="黑体" w:eastAsia="黑体" w:hint="default"/>
          <w:w w:val="99"/>
          <w:sz w:val="16"/>
          <w:szCs w:val="16"/>
        </w:rPr>
        <w:t> </w:t>
      </w:r>
      <w:r>
        <w:rPr>
          <w:rFonts w:ascii="黑体" w:hAnsi="黑体" w:cs="黑体" w:eastAsia="黑体" w:hint="default"/>
          <w:w w:val="95"/>
          <w:sz w:val="16"/>
          <w:szCs w:val="16"/>
        </w:rPr>
        <w:t>金额</w:t>
        <w:tab/>
        <w:t>比例</w:t>
        <w:tab/>
      </w:r>
      <w:r>
        <w:rPr>
          <w:rFonts w:ascii="黑体" w:hAnsi="黑体" w:cs="黑体" w:eastAsia="黑体" w:hint="default"/>
          <w:sz w:val="16"/>
          <w:szCs w:val="16"/>
        </w:rPr>
        <w:t>金额</w:t>
      </w:r>
      <w:r>
        <w:rPr>
          <w:rFonts w:ascii="黑体" w:hAnsi="黑体" w:cs="黑体" w:eastAsia="黑体" w:hint="default"/>
          <w:spacing w:val="-20"/>
          <w:sz w:val="16"/>
          <w:szCs w:val="16"/>
        </w:rPr>
        <w:t> </w:t>
      </w:r>
      <w:r>
        <w:rPr>
          <w:rFonts w:ascii="黑体" w:hAnsi="黑体" w:cs="黑体" w:eastAsia="黑体" w:hint="default"/>
          <w:sz w:val="16"/>
          <w:szCs w:val="16"/>
        </w:rPr>
        <w:t>计提比例</w:t>
        <w:tab/>
      </w:r>
      <w:r>
        <w:rPr>
          <w:rFonts w:ascii="黑体" w:hAnsi="黑体" w:cs="黑体" w:eastAsia="黑体" w:hint="default"/>
          <w:w w:val="95"/>
          <w:sz w:val="16"/>
          <w:szCs w:val="16"/>
        </w:rPr>
        <w:t>金额</w:t>
        <w:tab/>
        <w:t>比例</w:t>
        <w:tab/>
      </w:r>
      <w:r>
        <w:rPr>
          <w:rFonts w:ascii="黑体" w:hAnsi="黑体" w:cs="黑体" w:eastAsia="黑体" w:hint="default"/>
          <w:sz w:val="16"/>
          <w:szCs w:val="16"/>
        </w:rPr>
        <w:t>金额</w:t>
      </w:r>
      <w:r>
        <w:rPr>
          <w:rFonts w:ascii="黑体" w:hAnsi="黑体" w:cs="黑体" w:eastAsia="黑体" w:hint="default"/>
          <w:spacing w:val="-21"/>
          <w:sz w:val="16"/>
          <w:szCs w:val="16"/>
        </w:rPr>
        <w:t> </w:t>
      </w:r>
      <w:r>
        <w:rPr>
          <w:rFonts w:ascii="黑体" w:hAnsi="黑体" w:cs="黑体" w:eastAsia="黑体" w:hint="default"/>
          <w:sz w:val="16"/>
          <w:szCs w:val="16"/>
        </w:rPr>
        <w:t>计提比例</w:t>
      </w:r>
      <w:r>
        <w:rPr>
          <w:rFonts w:ascii="黑体" w:hAnsi="黑体" w:cs="黑体" w:eastAsia="黑体" w:hint="default"/>
          <w:w w:val="99"/>
          <w:sz w:val="16"/>
          <w:szCs w:val="16"/>
        </w:rPr>
        <w:t> </w:t>
      </w:r>
      <w:r>
        <w:rPr>
          <w:rFonts w:ascii="Arial" w:hAnsi="Arial" w:cs="Arial" w:eastAsia="Arial" w:hint="default"/>
          <w:spacing w:val="-1"/>
          <w:sz w:val="16"/>
          <w:szCs w:val="16"/>
        </w:rPr>
        <w:t>(%)</w:t>
        <w:tab/>
        <w:tab/>
        <w:tab/>
        <w:t>(%)</w:t>
        <w:tab/>
        <w:t>(%)</w:t>
        <w:tab/>
        <w:tab/>
      </w:r>
      <w:r>
        <w:rPr>
          <w:rFonts w:ascii="Arial" w:hAnsi="Arial" w:cs="Arial" w:eastAsia="Arial" w:hint="default"/>
          <w:spacing w:val="-1"/>
          <w:w w:val="95"/>
          <w:sz w:val="16"/>
          <w:szCs w:val="16"/>
        </w:rPr>
        <w:t>(%)</w:t>
      </w:r>
      <w:r>
        <w:rPr>
          <w:rFonts w:ascii="Arial" w:hAnsi="Arial" w:cs="Arial" w:eastAsia="Arial" w:hint="default"/>
          <w:sz w:val="16"/>
          <w:szCs w:val="16"/>
        </w:rPr>
      </w:r>
    </w:p>
    <w:p>
      <w:pPr>
        <w:tabs>
          <w:tab w:pos="3187" w:val="left" w:leader="none"/>
          <w:tab w:pos="3799" w:val="left" w:leader="none"/>
          <w:tab w:pos="4990" w:val="left" w:leader="none"/>
          <w:tab w:pos="5561" w:val="left" w:leader="none"/>
          <w:tab w:pos="6777" w:val="left" w:leader="none"/>
          <w:tab w:pos="7340" w:val="left" w:leader="none"/>
          <w:tab w:pos="8435" w:val="left" w:leader="none"/>
        </w:tabs>
        <w:spacing w:line="218" w:lineRule="exact" w:before="92"/>
        <w:ind w:left="871" w:right="0" w:firstLine="0"/>
        <w:jc w:val="left"/>
        <w:rPr>
          <w:rFonts w:ascii="Arial" w:hAnsi="Arial" w:cs="Arial" w:eastAsia="Arial" w:hint="default"/>
          <w:sz w:val="16"/>
          <w:szCs w:val="16"/>
        </w:rPr>
      </w:pPr>
      <w:r>
        <w:rPr>
          <w:rFonts w:ascii="黑体" w:hAnsi="黑体" w:cs="黑体" w:eastAsia="黑体" w:hint="default"/>
          <w:position w:val="1"/>
          <w:sz w:val="16"/>
          <w:szCs w:val="16"/>
        </w:rPr>
        <w:t>单项金额重大</w:t>
      </w:r>
      <w:r>
        <w:rPr>
          <w:rFonts w:ascii="黑体" w:hAnsi="黑体" w:cs="黑体" w:eastAsia="黑体" w:hint="default"/>
          <w:spacing w:val="21"/>
          <w:position w:val="1"/>
          <w:sz w:val="16"/>
          <w:szCs w:val="16"/>
        </w:rPr>
        <w:t> </w:t>
      </w:r>
      <w:r>
        <w:rPr>
          <w:rFonts w:ascii="Arial" w:hAnsi="Arial" w:cs="Arial" w:eastAsia="Arial" w:hint="default"/>
          <w:sz w:val="16"/>
          <w:szCs w:val="16"/>
        </w:rPr>
        <w:t>117,479,039</w:t>
        <w:tab/>
      </w:r>
      <w:r>
        <w:rPr>
          <w:rFonts w:ascii="Arial" w:hAnsi="Arial" w:cs="Arial" w:eastAsia="Arial" w:hint="default"/>
          <w:w w:val="95"/>
          <w:sz w:val="16"/>
          <w:szCs w:val="16"/>
        </w:rPr>
        <w:t>22</w:t>
        <w:tab/>
        <w:t>630,000</w:t>
        <w:tab/>
        <w:t>1</w:t>
        <w:tab/>
        <w:t>64,659,797</w:t>
        <w:tab/>
        <w:t>21</w:t>
        <w:tab/>
        <w:t>137,615</w:t>
        <w:tab/>
      </w:r>
      <w:r>
        <w:rPr>
          <w:rFonts w:ascii="Arial" w:hAnsi="Arial" w:cs="Arial" w:eastAsia="Arial" w:hint="default"/>
          <w:sz w:val="16"/>
          <w:szCs w:val="16"/>
        </w:rPr>
        <w:t>&lt;1</w:t>
      </w:r>
    </w:p>
    <w:p>
      <w:pPr>
        <w:spacing w:line="208" w:lineRule="exact" w:before="8"/>
        <w:ind w:left="996" w:right="6948" w:hanging="125"/>
        <w:jc w:val="left"/>
        <w:rPr>
          <w:rFonts w:ascii="黑体" w:hAnsi="黑体" w:cs="黑体" w:eastAsia="黑体" w:hint="default"/>
          <w:sz w:val="16"/>
          <w:szCs w:val="16"/>
        </w:rPr>
      </w:pPr>
      <w:r>
        <w:rPr/>
        <w:pict>
          <v:shape style="position:absolute;margin-left:173.031616pt;margin-top:44.380108pt;width:337.7pt;height:49pt;mso-position-horizontal-relative:page;mso-position-vertical-relative:paragraph;z-index:16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65"/>
                    <w:gridCol w:w="504"/>
                    <w:gridCol w:w="1176"/>
                    <w:gridCol w:w="631"/>
                    <w:gridCol w:w="1244"/>
                    <w:gridCol w:w="508"/>
                    <w:gridCol w:w="1150"/>
                    <w:gridCol w:w="477"/>
                  </w:tblGrid>
                  <w:tr>
                    <w:trPr>
                      <w:trHeight w:val="260" w:hRule="exact"/>
                    </w:trPr>
                    <w:tc>
                      <w:tcPr>
                        <w:tcW w:w="1065" w:type="dxa"/>
                        <w:tcBorders>
                          <w:top w:val="nil" w:sz="6" w:space="0" w:color="auto"/>
                          <w:left w:val="nil" w:sz="6" w:space="0" w:color="auto"/>
                          <w:bottom w:val="nil" w:sz="6" w:space="0" w:color="auto"/>
                          <w:right w:val="nil" w:sz="6" w:space="0" w:color="auto"/>
                        </w:tcBorders>
                      </w:tcPr>
                      <w:p>
                        <w:pPr>
                          <w:pStyle w:val="TableParagraph"/>
                          <w:spacing w:line="163" w:lineRule="exact"/>
                          <w:ind w:right="139"/>
                          <w:jc w:val="right"/>
                          <w:rPr>
                            <w:rFonts w:ascii="Arial" w:hAnsi="Arial" w:cs="Arial" w:eastAsia="Arial" w:hint="default"/>
                            <w:sz w:val="16"/>
                            <w:szCs w:val="16"/>
                          </w:rPr>
                        </w:pPr>
                        <w:r>
                          <w:rPr>
                            <w:rFonts w:ascii="Arial"/>
                            <w:w w:val="95"/>
                            <w:sz w:val="16"/>
                          </w:rPr>
                          <w:t>58,008,125</w:t>
                        </w:r>
                        <w:r>
                          <w:rPr>
                            <w:rFonts w:ascii="Arial"/>
                            <w:sz w:val="16"/>
                          </w:rPr>
                        </w:r>
                      </w:p>
                    </w:tc>
                    <w:tc>
                      <w:tcPr>
                        <w:tcW w:w="504" w:type="dxa"/>
                        <w:tcBorders>
                          <w:top w:val="nil" w:sz="6" w:space="0" w:color="auto"/>
                          <w:left w:val="nil" w:sz="6" w:space="0" w:color="auto"/>
                          <w:bottom w:val="nil" w:sz="6" w:space="0" w:color="auto"/>
                          <w:right w:val="nil" w:sz="6" w:space="0" w:color="auto"/>
                        </w:tcBorders>
                      </w:tcPr>
                      <w:p>
                        <w:pPr>
                          <w:pStyle w:val="TableParagraph"/>
                          <w:spacing w:line="163" w:lineRule="exact"/>
                          <w:ind w:left="117" w:right="0"/>
                          <w:jc w:val="center"/>
                          <w:rPr>
                            <w:rFonts w:ascii="Arial" w:hAnsi="Arial" w:cs="Arial" w:eastAsia="Arial" w:hint="default"/>
                            <w:sz w:val="16"/>
                            <w:szCs w:val="16"/>
                          </w:rPr>
                        </w:pPr>
                        <w:r>
                          <w:rPr>
                            <w:rFonts w:ascii="Arial"/>
                            <w:sz w:val="16"/>
                          </w:rPr>
                          <w:t>11</w:t>
                        </w:r>
                      </w:p>
                    </w:tc>
                    <w:tc>
                      <w:tcPr>
                        <w:tcW w:w="1176" w:type="dxa"/>
                        <w:tcBorders>
                          <w:top w:val="nil" w:sz="6" w:space="0" w:color="auto"/>
                          <w:left w:val="nil" w:sz="6" w:space="0" w:color="auto"/>
                          <w:bottom w:val="nil" w:sz="6" w:space="0" w:color="auto"/>
                          <w:right w:val="nil" w:sz="6" w:space="0" w:color="auto"/>
                        </w:tcBorders>
                      </w:tcPr>
                      <w:p>
                        <w:pPr>
                          <w:pStyle w:val="TableParagraph"/>
                          <w:spacing w:line="163" w:lineRule="exact"/>
                          <w:ind w:left="108" w:right="0"/>
                          <w:jc w:val="left"/>
                          <w:rPr>
                            <w:rFonts w:ascii="Arial" w:hAnsi="Arial" w:cs="Arial" w:eastAsia="Arial" w:hint="default"/>
                            <w:sz w:val="16"/>
                            <w:szCs w:val="16"/>
                          </w:rPr>
                        </w:pPr>
                        <w:r>
                          <w:rPr>
                            <w:rFonts w:ascii="Arial"/>
                            <w:sz w:val="16"/>
                          </w:rPr>
                          <w:t>27,076,214</w:t>
                        </w:r>
                      </w:p>
                    </w:tc>
                    <w:tc>
                      <w:tcPr>
                        <w:tcW w:w="631" w:type="dxa"/>
                        <w:tcBorders>
                          <w:top w:val="nil" w:sz="6" w:space="0" w:color="auto"/>
                          <w:left w:val="nil" w:sz="6" w:space="0" w:color="auto"/>
                          <w:bottom w:val="nil" w:sz="6" w:space="0" w:color="auto"/>
                          <w:right w:val="nil" w:sz="6" w:space="0" w:color="auto"/>
                        </w:tcBorders>
                      </w:tcPr>
                      <w:p>
                        <w:pPr>
                          <w:pStyle w:val="TableParagraph"/>
                          <w:spacing w:line="163" w:lineRule="exact"/>
                          <w:ind w:right="194"/>
                          <w:jc w:val="right"/>
                          <w:rPr>
                            <w:rFonts w:ascii="Arial" w:hAnsi="Arial" w:cs="Arial" w:eastAsia="Arial" w:hint="default"/>
                            <w:sz w:val="16"/>
                            <w:szCs w:val="16"/>
                          </w:rPr>
                        </w:pPr>
                        <w:r>
                          <w:rPr>
                            <w:rFonts w:ascii="Arial"/>
                            <w:w w:val="95"/>
                            <w:sz w:val="16"/>
                          </w:rPr>
                          <w:t>47</w:t>
                        </w:r>
                        <w:r>
                          <w:rPr>
                            <w:rFonts w:ascii="Arial"/>
                            <w:sz w:val="16"/>
                          </w:rPr>
                        </w:r>
                      </w:p>
                    </w:tc>
                    <w:tc>
                      <w:tcPr>
                        <w:tcW w:w="1244" w:type="dxa"/>
                        <w:tcBorders>
                          <w:top w:val="nil" w:sz="6" w:space="0" w:color="auto"/>
                          <w:left w:val="nil" w:sz="6" w:space="0" w:color="auto"/>
                          <w:bottom w:val="nil" w:sz="6" w:space="0" w:color="auto"/>
                          <w:right w:val="nil" w:sz="6" w:space="0" w:color="auto"/>
                        </w:tcBorders>
                      </w:tcPr>
                      <w:p>
                        <w:pPr>
                          <w:pStyle w:val="TableParagraph"/>
                          <w:spacing w:line="163" w:lineRule="exact"/>
                          <w:ind w:right="156"/>
                          <w:jc w:val="right"/>
                          <w:rPr>
                            <w:rFonts w:ascii="Arial" w:hAnsi="Arial" w:cs="Arial" w:eastAsia="Arial" w:hint="default"/>
                            <w:sz w:val="16"/>
                            <w:szCs w:val="16"/>
                          </w:rPr>
                        </w:pPr>
                        <w:r>
                          <w:rPr>
                            <w:rFonts w:ascii="Arial"/>
                            <w:w w:val="95"/>
                            <w:sz w:val="16"/>
                          </w:rPr>
                          <w:t>28,616,031</w:t>
                        </w:r>
                        <w:r>
                          <w:rPr>
                            <w:rFonts w:ascii="Arial"/>
                            <w:sz w:val="16"/>
                          </w:rPr>
                        </w:r>
                      </w:p>
                    </w:tc>
                    <w:tc>
                      <w:tcPr>
                        <w:tcW w:w="508" w:type="dxa"/>
                        <w:tcBorders>
                          <w:top w:val="nil" w:sz="6" w:space="0" w:color="auto"/>
                          <w:left w:val="nil" w:sz="6" w:space="0" w:color="auto"/>
                          <w:bottom w:val="nil" w:sz="6" w:space="0" w:color="auto"/>
                          <w:right w:val="nil" w:sz="6" w:space="0" w:color="auto"/>
                        </w:tcBorders>
                      </w:tcPr>
                      <w:p>
                        <w:pPr>
                          <w:pStyle w:val="TableParagraph"/>
                          <w:spacing w:line="163" w:lineRule="exact"/>
                          <w:ind w:right="70"/>
                          <w:jc w:val="right"/>
                          <w:rPr>
                            <w:rFonts w:ascii="Arial" w:hAnsi="Arial" w:cs="Arial" w:eastAsia="Arial" w:hint="default"/>
                            <w:sz w:val="16"/>
                            <w:szCs w:val="16"/>
                          </w:rPr>
                        </w:pPr>
                        <w:r>
                          <w:rPr>
                            <w:rFonts w:ascii="Arial"/>
                            <w:w w:val="95"/>
                            <w:sz w:val="16"/>
                          </w:rPr>
                          <w:t>10</w:t>
                        </w:r>
                        <w:r>
                          <w:rPr>
                            <w:rFonts w:ascii="Arial"/>
                            <w:sz w:val="16"/>
                          </w:rPr>
                        </w:r>
                      </w:p>
                    </w:tc>
                    <w:tc>
                      <w:tcPr>
                        <w:tcW w:w="1150" w:type="dxa"/>
                        <w:tcBorders>
                          <w:top w:val="nil" w:sz="6" w:space="0" w:color="auto"/>
                          <w:left w:val="nil" w:sz="6" w:space="0" w:color="auto"/>
                          <w:bottom w:val="nil" w:sz="6" w:space="0" w:color="auto"/>
                          <w:right w:val="nil" w:sz="6" w:space="0" w:color="auto"/>
                        </w:tcBorders>
                      </w:tcPr>
                      <w:p>
                        <w:pPr>
                          <w:pStyle w:val="TableParagraph"/>
                          <w:spacing w:line="163" w:lineRule="exact"/>
                          <w:ind w:left="90" w:right="0"/>
                          <w:jc w:val="left"/>
                          <w:rPr>
                            <w:rFonts w:ascii="Arial" w:hAnsi="Arial" w:cs="Arial" w:eastAsia="Arial" w:hint="default"/>
                            <w:sz w:val="16"/>
                            <w:szCs w:val="16"/>
                          </w:rPr>
                        </w:pPr>
                        <w:r>
                          <w:rPr>
                            <w:rFonts w:ascii="Arial"/>
                            <w:sz w:val="16"/>
                          </w:rPr>
                          <w:t>22,573,531</w:t>
                        </w:r>
                      </w:p>
                    </w:tc>
                    <w:tc>
                      <w:tcPr>
                        <w:tcW w:w="477" w:type="dxa"/>
                        <w:tcBorders>
                          <w:top w:val="nil" w:sz="6" w:space="0" w:color="auto"/>
                          <w:left w:val="nil" w:sz="6" w:space="0" w:color="auto"/>
                          <w:bottom w:val="nil" w:sz="6" w:space="0" w:color="auto"/>
                          <w:right w:val="nil" w:sz="6" w:space="0" w:color="auto"/>
                        </w:tcBorders>
                      </w:tcPr>
                      <w:p>
                        <w:pPr>
                          <w:pStyle w:val="TableParagraph"/>
                          <w:spacing w:line="163" w:lineRule="exact"/>
                          <w:ind w:right="34"/>
                          <w:jc w:val="right"/>
                          <w:rPr>
                            <w:rFonts w:ascii="Arial" w:hAnsi="Arial" w:cs="Arial" w:eastAsia="Arial" w:hint="default"/>
                            <w:sz w:val="16"/>
                            <w:szCs w:val="16"/>
                          </w:rPr>
                        </w:pPr>
                        <w:r>
                          <w:rPr>
                            <w:rFonts w:ascii="Arial"/>
                            <w:w w:val="95"/>
                            <w:sz w:val="16"/>
                          </w:rPr>
                          <w:t>79</w:t>
                        </w:r>
                        <w:r>
                          <w:rPr>
                            <w:rFonts w:ascii="Arial"/>
                            <w:sz w:val="16"/>
                          </w:rPr>
                        </w:r>
                      </w:p>
                    </w:tc>
                  </w:tr>
                  <w:tr>
                    <w:trPr>
                      <w:trHeight w:val="360" w:hRule="exact"/>
                    </w:trPr>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9"/>
                          <w:jc w:val="right"/>
                          <w:rPr>
                            <w:rFonts w:ascii="Arial" w:hAnsi="Arial" w:cs="Arial" w:eastAsia="Arial" w:hint="default"/>
                            <w:sz w:val="16"/>
                            <w:szCs w:val="16"/>
                          </w:rPr>
                        </w:pPr>
                        <w:r>
                          <w:rPr>
                            <w:rFonts w:ascii="Arial"/>
                            <w:w w:val="99"/>
                            <w:sz w:val="16"/>
                          </w:rPr>
                        </w:r>
                        <w:r>
                          <w:rPr>
                            <w:rFonts w:ascii="Arial"/>
                            <w:w w:val="95"/>
                            <w:sz w:val="16"/>
                            <w:u w:val="single" w:color="000000"/>
                          </w:rPr>
                          <w:t>363,655,553</w:t>
                        </w:r>
                        <w:r>
                          <w:rPr>
                            <w:rFonts w:ascii="Arial"/>
                            <w:w w:val="95"/>
                            <w:sz w:val="16"/>
                          </w:rPr>
                        </w:r>
                        <w:r>
                          <w:rPr>
                            <w:rFonts w:ascii="Arial"/>
                            <w:sz w:val="16"/>
                          </w:rPr>
                        </w:r>
                      </w:p>
                    </w:tc>
                    <w:tc>
                      <w:tcPr>
                        <w:tcW w:w="50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7" w:right="0"/>
                          <w:jc w:val="center"/>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pacing w:val="-9"/>
                            <w:sz w:val="16"/>
                            <w:u w:val="single" w:color="000000"/>
                          </w:rPr>
                          <w:t> </w:t>
                        </w:r>
                        <w:r>
                          <w:rPr>
                            <w:rFonts w:ascii="Arial"/>
                            <w:sz w:val="16"/>
                            <w:u w:val="single" w:color="000000"/>
                          </w:rPr>
                          <w:t>67</w:t>
                        </w:r>
                        <w:r>
                          <w:rPr>
                            <w:rFonts w:ascii="Arial"/>
                            <w:sz w:val="16"/>
                          </w:rPr>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9"/>
                          <w:ind w:left="88" w:right="0"/>
                          <w:jc w:val="lef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19"/>
                            <w:sz w:val="16"/>
                            <w:u w:val="single" w:color="000000"/>
                          </w:rPr>
                          <w:t> </w:t>
                        </w:r>
                        <w:r>
                          <w:rPr>
                            <w:rFonts w:ascii="Arial"/>
                            <w:sz w:val="16"/>
                            <w:u w:val="single" w:color="000000"/>
                          </w:rPr>
                          <w:t>552,525</w:t>
                        </w:r>
                        <w:r>
                          <w:rPr>
                            <w:rFonts w:ascii="Arial"/>
                            <w:sz w:val="16"/>
                          </w:rPr>
                        </w:r>
                      </w:p>
                    </w:tc>
                    <w:tc>
                      <w:tcPr>
                        <w:tcW w:w="63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4"/>
                          <w:jc w:val="right"/>
                          <w:rPr>
                            <w:rFonts w:ascii="Arial" w:hAnsi="Arial" w:cs="Arial" w:eastAsia="Arial" w:hint="default"/>
                            <w:sz w:val="16"/>
                            <w:szCs w:val="16"/>
                          </w:rPr>
                        </w:pPr>
                        <w:r>
                          <w:rPr>
                            <w:rFonts w:ascii="Arial"/>
                            <w:w w:val="95"/>
                            <w:sz w:val="16"/>
                          </w:rPr>
                          <w:t>&lt;1</w:t>
                        </w:r>
                        <w:r>
                          <w:rPr>
                            <w:rFonts w:ascii="Arial"/>
                            <w:sz w:val="16"/>
                          </w:rPr>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56"/>
                          <w:jc w:val="right"/>
                          <w:rPr>
                            <w:rFonts w:ascii="Arial" w:hAnsi="Arial" w:cs="Arial" w:eastAsia="Arial" w:hint="default"/>
                            <w:sz w:val="16"/>
                            <w:szCs w:val="16"/>
                          </w:rPr>
                        </w:pPr>
                        <w:r>
                          <w:rPr>
                            <w:rFonts w:ascii="Arial"/>
                            <w:w w:val="99"/>
                            <w:sz w:val="16"/>
                          </w:rPr>
                        </w:r>
                        <w:r>
                          <w:rPr>
                            <w:rFonts w:ascii="Arial"/>
                            <w:w w:val="95"/>
                            <w:sz w:val="16"/>
                            <w:u w:val="single" w:color="000000"/>
                          </w:rPr>
                          <w:t>207,896,329</w:t>
                        </w:r>
                        <w:r>
                          <w:rPr>
                            <w:rFonts w:ascii="Arial"/>
                            <w:w w:val="95"/>
                            <w:sz w:val="16"/>
                          </w:rPr>
                        </w:r>
                        <w:r>
                          <w:rPr>
                            <w:rFonts w:ascii="Arial"/>
                            <w:sz w:val="16"/>
                          </w:rPr>
                        </w:r>
                      </w:p>
                    </w:tc>
                    <w:tc>
                      <w:tcPr>
                        <w:tcW w:w="50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70"/>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pacing w:val="10"/>
                            <w:sz w:val="16"/>
                            <w:u w:val="single" w:color="000000"/>
                          </w:rPr>
                          <w:t> </w:t>
                        </w:r>
                        <w:r>
                          <w:rPr>
                            <w:rFonts w:ascii="Arial"/>
                            <w:w w:val="95"/>
                            <w:sz w:val="16"/>
                            <w:u w:val="single" w:color="000000"/>
                          </w:rPr>
                          <w:t>69</w:t>
                        </w:r>
                        <w:r>
                          <w:rPr>
                            <w:rFonts w:ascii="Arial"/>
                            <w:w w:val="95"/>
                            <w:sz w:val="16"/>
                          </w:rPr>
                        </w:r>
                        <w:r>
                          <w:rPr>
                            <w:rFonts w:ascii="Arial"/>
                            <w:sz w:val="16"/>
                          </w:rPr>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72" w:right="0"/>
                          <w:jc w:val="lef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19"/>
                            <w:sz w:val="16"/>
                            <w:u w:val="single" w:color="000000"/>
                          </w:rPr>
                          <w:t> </w:t>
                        </w:r>
                        <w:r>
                          <w:rPr>
                            <w:rFonts w:ascii="Arial"/>
                            <w:sz w:val="16"/>
                            <w:u w:val="single" w:color="000000"/>
                          </w:rPr>
                          <w:t>117,620</w:t>
                        </w:r>
                        <w:r>
                          <w:rPr>
                            <w:rFonts w:ascii="Arial"/>
                            <w:sz w:val="16"/>
                          </w:rPr>
                        </w:r>
                      </w:p>
                    </w:tc>
                    <w:tc>
                      <w:tcPr>
                        <w:tcW w:w="47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4"/>
                          <w:jc w:val="right"/>
                          <w:rPr>
                            <w:rFonts w:ascii="Arial" w:hAnsi="Arial" w:cs="Arial" w:eastAsia="Arial" w:hint="default"/>
                            <w:sz w:val="16"/>
                            <w:szCs w:val="16"/>
                          </w:rPr>
                        </w:pPr>
                        <w:r>
                          <w:rPr>
                            <w:rFonts w:ascii="Arial"/>
                            <w:w w:val="95"/>
                            <w:sz w:val="16"/>
                          </w:rPr>
                          <w:t>&lt;1</w:t>
                        </w:r>
                        <w:r>
                          <w:rPr>
                            <w:rFonts w:ascii="Arial"/>
                            <w:sz w:val="16"/>
                          </w:rPr>
                        </w:r>
                      </w:p>
                    </w:tc>
                  </w:tr>
                  <w:tr>
                    <w:trPr>
                      <w:trHeight w:val="360" w:hRule="exact"/>
                    </w:trPr>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9"/>
                          <w:jc w:val="right"/>
                          <w:rPr>
                            <w:rFonts w:ascii="Arial" w:hAnsi="Arial" w:cs="Arial" w:eastAsia="Arial" w:hint="default"/>
                            <w:sz w:val="16"/>
                            <w:szCs w:val="16"/>
                          </w:rPr>
                        </w:pPr>
                        <w:r>
                          <w:rPr>
                            <w:rFonts w:ascii="Arial"/>
                            <w:w w:val="99"/>
                            <w:sz w:val="16"/>
                          </w:rPr>
                        </w:r>
                        <w:r>
                          <w:rPr>
                            <w:rFonts w:ascii="Arial"/>
                            <w:w w:val="95"/>
                            <w:sz w:val="16"/>
                            <w:u w:val="thick" w:color="000000"/>
                          </w:rPr>
                          <w:t>539,142,717</w:t>
                        </w:r>
                        <w:r>
                          <w:rPr>
                            <w:rFonts w:ascii="Arial"/>
                            <w:w w:val="95"/>
                            <w:sz w:val="16"/>
                          </w:rPr>
                        </w:r>
                        <w:r>
                          <w:rPr>
                            <w:rFonts w:ascii="Arial"/>
                            <w:sz w:val="16"/>
                          </w:rPr>
                        </w:r>
                      </w:p>
                    </w:tc>
                    <w:tc>
                      <w:tcPr>
                        <w:tcW w:w="50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9" w:right="0"/>
                          <w:jc w:val="center"/>
                          <w:rPr>
                            <w:rFonts w:ascii="Arial" w:hAnsi="Arial" w:cs="Arial" w:eastAsia="Arial" w:hint="default"/>
                            <w:sz w:val="16"/>
                            <w:szCs w:val="16"/>
                          </w:rPr>
                        </w:pPr>
                        <w:r>
                          <w:rPr>
                            <w:rFonts w:ascii="Arial"/>
                            <w:w w:val="99"/>
                            <w:sz w:val="16"/>
                          </w:rPr>
                        </w:r>
                        <w:r>
                          <w:rPr>
                            <w:rFonts w:ascii="Arial"/>
                            <w:sz w:val="16"/>
                            <w:u w:val="thick" w:color="000000"/>
                          </w:rPr>
                          <w:t>100</w:t>
                        </w:r>
                        <w:r>
                          <w:rPr>
                            <w:rFonts w:ascii="Arial"/>
                            <w:sz w:val="16"/>
                          </w:rPr>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4" w:right="0"/>
                          <w:jc w:val="left"/>
                          <w:rPr>
                            <w:rFonts w:ascii="Arial" w:hAnsi="Arial" w:cs="Arial" w:eastAsia="Arial" w:hint="default"/>
                            <w:sz w:val="16"/>
                            <w:szCs w:val="16"/>
                          </w:rPr>
                        </w:pPr>
                        <w:r>
                          <w:rPr>
                            <w:rFonts w:ascii="Arial"/>
                            <w:w w:val="99"/>
                            <w:sz w:val="16"/>
                          </w:rPr>
                        </w:r>
                        <w:r>
                          <w:rPr>
                            <w:rFonts w:ascii="Arial"/>
                            <w:sz w:val="16"/>
                            <w:u w:val="thick" w:color="000000"/>
                          </w:rPr>
                          <w:t>28,258,739</w:t>
                        </w:r>
                        <w:r>
                          <w:rPr>
                            <w:rFonts w:ascii="Arial"/>
                            <w:sz w:val="16"/>
                          </w:rPr>
                        </w:r>
                      </w:p>
                    </w:tc>
                    <w:tc>
                      <w:tcPr>
                        <w:tcW w:w="631"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56"/>
                          <w:jc w:val="right"/>
                          <w:rPr>
                            <w:rFonts w:ascii="Arial" w:hAnsi="Arial" w:cs="Arial" w:eastAsia="Arial" w:hint="default"/>
                            <w:sz w:val="16"/>
                            <w:szCs w:val="16"/>
                          </w:rPr>
                        </w:pPr>
                        <w:r>
                          <w:rPr>
                            <w:rFonts w:ascii="Arial"/>
                            <w:w w:val="99"/>
                            <w:sz w:val="16"/>
                          </w:rPr>
                        </w:r>
                        <w:r>
                          <w:rPr>
                            <w:rFonts w:ascii="Arial"/>
                            <w:w w:val="95"/>
                            <w:sz w:val="16"/>
                            <w:u w:val="thick" w:color="000000"/>
                          </w:rPr>
                          <w:t>301,172,157</w:t>
                        </w:r>
                        <w:r>
                          <w:rPr>
                            <w:rFonts w:ascii="Arial"/>
                            <w:w w:val="95"/>
                            <w:sz w:val="16"/>
                          </w:rPr>
                        </w:r>
                        <w:r>
                          <w:rPr>
                            <w:rFonts w:ascii="Arial"/>
                            <w:sz w:val="16"/>
                          </w:rPr>
                        </w:r>
                      </w:p>
                    </w:tc>
                    <w:tc>
                      <w:tcPr>
                        <w:tcW w:w="50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70"/>
                          <w:jc w:val="right"/>
                          <w:rPr>
                            <w:rFonts w:ascii="Arial" w:hAnsi="Arial" w:cs="Arial" w:eastAsia="Arial" w:hint="default"/>
                            <w:sz w:val="16"/>
                            <w:szCs w:val="16"/>
                          </w:rPr>
                        </w:pPr>
                        <w:r>
                          <w:rPr>
                            <w:rFonts w:ascii="Arial"/>
                            <w:w w:val="99"/>
                            <w:sz w:val="16"/>
                          </w:rPr>
                        </w:r>
                        <w:r>
                          <w:rPr>
                            <w:rFonts w:ascii="Arial"/>
                            <w:w w:val="95"/>
                            <w:sz w:val="16"/>
                            <w:u w:val="thick" w:color="000000"/>
                          </w:rPr>
                          <w:t>100</w:t>
                        </w:r>
                        <w:r>
                          <w:rPr>
                            <w:rFonts w:ascii="Arial"/>
                            <w:w w:val="95"/>
                            <w:sz w:val="16"/>
                          </w:rPr>
                        </w:r>
                        <w:r>
                          <w:rPr>
                            <w:rFonts w:ascii="Arial"/>
                            <w:sz w:val="16"/>
                          </w:rPr>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91" w:right="0"/>
                          <w:jc w:val="left"/>
                          <w:rPr>
                            <w:rFonts w:ascii="Arial" w:hAnsi="Arial" w:cs="Arial" w:eastAsia="Arial" w:hint="default"/>
                            <w:sz w:val="16"/>
                            <w:szCs w:val="16"/>
                          </w:rPr>
                        </w:pPr>
                        <w:r>
                          <w:rPr>
                            <w:rFonts w:ascii="Arial"/>
                            <w:w w:val="99"/>
                            <w:sz w:val="16"/>
                          </w:rPr>
                        </w:r>
                        <w:r>
                          <w:rPr>
                            <w:rFonts w:ascii="Arial"/>
                            <w:sz w:val="16"/>
                            <w:u w:val="thick" w:color="000000"/>
                          </w:rPr>
                          <w:t>22,828,766</w:t>
                        </w:r>
                        <w:r>
                          <w:rPr>
                            <w:rFonts w:ascii="Arial"/>
                            <w:sz w:val="16"/>
                          </w:rPr>
                        </w:r>
                      </w:p>
                    </w:tc>
                    <w:tc>
                      <w:tcPr>
                        <w:tcW w:w="477"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黑体" w:hAnsi="黑体" w:cs="黑体" w:eastAsia="黑体" w:hint="default"/>
          <w:sz w:val="16"/>
          <w:szCs w:val="16"/>
        </w:rPr>
        <w:t>单项金额不</w:t>
      </w:r>
      <w:r>
        <w:rPr>
          <w:rFonts w:ascii="黑体" w:hAnsi="黑体" w:cs="黑体" w:eastAsia="黑体" w:hint="default"/>
          <w:w w:val="99"/>
          <w:sz w:val="16"/>
          <w:szCs w:val="16"/>
        </w:rPr>
        <w:t> </w:t>
      </w:r>
      <w:r>
        <w:rPr>
          <w:rFonts w:ascii="黑体" w:hAnsi="黑体" w:cs="黑体" w:eastAsia="黑体" w:hint="default"/>
          <w:sz w:val="16"/>
          <w:szCs w:val="16"/>
        </w:rPr>
        <w:t>重大但按信</w:t>
      </w:r>
      <w:r>
        <w:rPr>
          <w:rFonts w:ascii="黑体" w:hAnsi="黑体" w:cs="黑体" w:eastAsia="黑体" w:hint="default"/>
          <w:w w:val="99"/>
          <w:sz w:val="16"/>
          <w:szCs w:val="16"/>
        </w:rPr>
        <w:t> </w:t>
      </w:r>
      <w:r>
        <w:rPr>
          <w:rFonts w:ascii="黑体" w:hAnsi="黑体" w:cs="黑体" w:eastAsia="黑体" w:hint="default"/>
          <w:sz w:val="16"/>
          <w:szCs w:val="16"/>
        </w:rPr>
        <w:t>用风险特征</w:t>
      </w:r>
      <w:r>
        <w:rPr>
          <w:rFonts w:ascii="黑体" w:hAnsi="黑体" w:cs="黑体" w:eastAsia="黑体" w:hint="default"/>
          <w:w w:val="99"/>
          <w:sz w:val="16"/>
          <w:szCs w:val="16"/>
        </w:rPr>
        <w:t> </w:t>
      </w:r>
      <w:r>
        <w:rPr>
          <w:rFonts w:ascii="黑体" w:hAnsi="黑体" w:cs="黑体" w:eastAsia="黑体" w:hint="default"/>
          <w:sz w:val="16"/>
          <w:szCs w:val="16"/>
        </w:rPr>
        <w:t>组合后风险</w:t>
      </w:r>
      <w:r>
        <w:rPr>
          <w:rFonts w:ascii="黑体" w:hAnsi="黑体" w:cs="黑体" w:eastAsia="黑体" w:hint="default"/>
          <w:w w:val="99"/>
          <w:sz w:val="16"/>
          <w:szCs w:val="16"/>
        </w:rPr>
        <w:t> </w:t>
      </w:r>
      <w:r>
        <w:rPr>
          <w:rFonts w:ascii="黑体" w:hAnsi="黑体" w:cs="黑体" w:eastAsia="黑体" w:hint="default"/>
          <w:sz w:val="16"/>
          <w:szCs w:val="16"/>
        </w:rPr>
        <w:t>较大</w:t>
      </w:r>
    </w:p>
    <w:p>
      <w:pPr>
        <w:spacing w:before="131"/>
        <w:ind w:left="871" w:right="0" w:firstLine="0"/>
        <w:jc w:val="left"/>
        <w:rPr>
          <w:rFonts w:ascii="黑体" w:hAnsi="黑体" w:cs="黑体" w:eastAsia="黑体" w:hint="default"/>
          <w:sz w:val="16"/>
          <w:szCs w:val="16"/>
        </w:rPr>
      </w:pPr>
      <w:r>
        <w:rPr>
          <w:rFonts w:ascii="黑体" w:hAnsi="黑体" w:cs="黑体" w:eastAsia="黑体" w:hint="default"/>
          <w:sz w:val="16"/>
          <w:szCs w:val="16"/>
        </w:rPr>
        <w:t>其他不重大</w:t>
      </w:r>
    </w:p>
    <w:p>
      <w:pPr>
        <w:spacing w:after="0"/>
        <w:jc w:val="left"/>
        <w:rPr>
          <w:rFonts w:ascii="黑体" w:hAnsi="黑体" w:cs="黑体" w:eastAsia="黑体" w:hint="default"/>
          <w:sz w:val="16"/>
          <w:szCs w:val="16"/>
        </w:rPr>
        <w:sectPr>
          <w:pgSz w:w="11910" w:h="16840"/>
          <w:pgMar w:header="958" w:footer="469" w:top="2380" w:bottom="660" w:left="1560" w:right="1580"/>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7"/>
          <w:szCs w:val="17"/>
        </w:rPr>
      </w:pPr>
    </w:p>
    <w:p>
      <w:pPr>
        <w:tabs>
          <w:tab w:pos="843" w:val="left" w:leader="none"/>
        </w:tabs>
        <w:spacing w:before="38"/>
        <w:ind w:left="141" w:right="112"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1"/>
        <w:rPr>
          <w:rFonts w:ascii="黑体" w:hAnsi="黑体" w:cs="黑体" w:eastAsia="黑体" w:hint="default"/>
          <w:b/>
          <w:bCs/>
          <w:sz w:val="13"/>
          <w:szCs w:val="13"/>
        </w:rPr>
      </w:pPr>
    </w:p>
    <w:p>
      <w:pPr>
        <w:tabs>
          <w:tab w:pos="850" w:val="left" w:leader="none"/>
        </w:tabs>
        <w:spacing w:before="0"/>
        <w:ind w:left="141" w:right="112" w:firstLine="0"/>
        <w:jc w:val="left"/>
        <w:rPr>
          <w:rFonts w:ascii="黑体" w:hAnsi="黑体" w:cs="黑体" w:eastAsia="黑体" w:hint="default"/>
          <w:sz w:val="20"/>
          <w:szCs w:val="20"/>
        </w:rPr>
      </w:pPr>
      <w:r>
        <w:rPr>
          <w:rFonts w:ascii="Arial" w:hAnsi="Arial" w:cs="Arial" w:eastAsia="Arial" w:hint="default"/>
          <w:b/>
          <w:bCs/>
          <w:spacing w:val="-1"/>
          <w:sz w:val="20"/>
          <w:szCs w:val="20"/>
        </w:rPr>
        <w:t>4.</w:t>
        <w:tab/>
      </w:r>
      <w:r>
        <w:rPr>
          <w:rFonts w:ascii="黑体" w:hAnsi="黑体" w:cs="黑体" w:eastAsia="黑体" w:hint="default"/>
          <w:b/>
          <w:bCs/>
          <w:sz w:val="20"/>
          <w:szCs w:val="20"/>
        </w:rPr>
        <w:t>应收账款（续）</w:t>
      </w:r>
      <w:r>
        <w:rPr>
          <w:rFonts w:ascii="黑体" w:hAnsi="黑体" w:cs="黑体" w:eastAsia="黑体" w:hint="default"/>
          <w:sz w:val="20"/>
          <w:szCs w:val="20"/>
        </w:rPr>
      </w:r>
    </w:p>
    <w:p>
      <w:pPr>
        <w:spacing w:line="240" w:lineRule="auto" w:before="12"/>
        <w:rPr>
          <w:rFonts w:ascii="黑体" w:hAnsi="黑体" w:cs="黑体" w:eastAsia="黑体" w:hint="default"/>
          <w:b/>
          <w:bCs/>
          <w:sz w:val="13"/>
          <w:szCs w:val="13"/>
        </w:rPr>
      </w:pPr>
    </w:p>
    <w:p>
      <w:pPr>
        <w:pStyle w:val="BodyText"/>
        <w:spacing w:line="230" w:lineRule="exact"/>
        <w:ind w:left="855" w:right="134" w:hanging="1"/>
        <w:jc w:val="left"/>
      </w:pPr>
      <w:r>
        <w:rPr>
          <w:spacing w:val="-3"/>
          <w:w w:val="100"/>
        </w:rPr>
        <w:t>于</w:t>
      </w:r>
      <w:r>
        <w:rPr>
          <w:rFonts w:ascii="Arial" w:hAnsi="Arial" w:cs="Arial" w:eastAsia="Arial" w:hint="default"/>
          <w:spacing w:val="-3"/>
          <w:w w:val="100"/>
        </w:rPr>
        <w:t>2009</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日，单项金额重大或虽不重大但单独进行减值测试的应收账款坏账计提准</w:t>
      </w:r>
      <w:r>
        <w:rPr>
          <w:spacing w:val="-97"/>
          <w:w w:val="100"/>
        </w:rPr>
        <w:t> </w:t>
      </w:r>
      <w:r>
        <w:rPr>
          <w:spacing w:val="-97"/>
          <w:w w:val="100"/>
        </w:rPr>
      </w:r>
      <w:r>
        <w:rPr/>
        <w:t>备如下：</w:t>
      </w:r>
    </w:p>
    <w:p>
      <w:pPr>
        <w:spacing w:line="240" w:lineRule="auto" w:before="10"/>
        <w:rPr>
          <w:rFonts w:ascii="黑体" w:hAnsi="黑体" w:cs="黑体" w:eastAsia="黑体" w:hint="default"/>
          <w:sz w:val="12"/>
          <w:szCs w:val="12"/>
        </w:rPr>
      </w:pPr>
    </w:p>
    <w:tbl>
      <w:tblPr>
        <w:tblW w:w="0" w:type="auto"/>
        <w:jc w:val="left"/>
        <w:tblInd w:w="815" w:type="dxa"/>
        <w:tblLayout w:type="fixed"/>
        <w:tblCellMar>
          <w:top w:w="0" w:type="dxa"/>
          <w:left w:w="0" w:type="dxa"/>
          <w:bottom w:w="0" w:type="dxa"/>
          <w:right w:w="0" w:type="dxa"/>
        </w:tblCellMar>
        <w:tblLook w:val="01E0"/>
      </w:tblPr>
      <w:tblGrid>
        <w:gridCol w:w="2398"/>
        <w:gridCol w:w="1409"/>
        <w:gridCol w:w="1192"/>
        <w:gridCol w:w="1296"/>
        <w:gridCol w:w="1570"/>
      </w:tblGrid>
      <w:tr>
        <w:trPr>
          <w:trHeight w:val="570" w:hRule="exact"/>
        </w:trPr>
        <w:tc>
          <w:tcPr>
            <w:tcW w:w="2398" w:type="dxa"/>
            <w:vMerge w:val="restart"/>
            <w:tcBorders>
              <w:top w:val="nil" w:sz="6" w:space="0" w:color="auto"/>
              <w:left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1"/>
              <w:jc w:val="right"/>
              <w:rPr>
                <w:rFonts w:ascii="黑体" w:hAnsi="黑体" w:cs="黑体" w:eastAsia="黑体" w:hint="default"/>
                <w:sz w:val="20"/>
                <w:szCs w:val="20"/>
              </w:rPr>
            </w:pPr>
            <w:r>
              <w:rPr>
                <w:rFonts w:ascii="黑体" w:hAnsi="黑体" w:cs="黑体" w:eastAsia="黑体" w:hint="default"/>
                <w:sz w:val="20"/>
                <w:szCs w:val="20"/>
              </w:rPr>
              <w:t>账面余额</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6" w:right="0"/>
              <w:jc w:val="center"/>
              <w:rPr>
                <w:rFonts w:ascii="黑体" w:hAnsi="黑体" w:cs="黑体" w:eastAsia="黑体" w:hint="default"/>
                <w:sz w:val="20"/>
                <w:szCs w:val="20"/>
              </w:rPr>
            </w:pPr>
            <w:r>
              <w:rPr>
                <w:rFonts w:ascii="黑体" w:hAnsi="黑体" w:cs="黑体" w:eastAsia="黑体" w:hint="default"/>
                <w:sz w:val="20"/>
                <w:szCs w:val="20"/>
              </w:rPr>
              <w:t>坏账准备</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7"/>
              <w:jc w:val="right"/>
              <w:rPr>
                <w:rFonts w:ascii="Arial" w:hAnsi="Arial" w:cs="Arial" w:eastAsia="Arial" w:hint="default"/>
                <w:sz w:val="20"/>
                <w:szCs w:val="20"/>
              </w:rPr>
            </w:pPr>
            <w:r>
              <w:rPr>
                <w:rFonts w:ascii="黑体" w:hAnsi="黑体" w:cs="黑体" w:eastAsia="黑体" w:hint="default"/>
                <w:spacing w:val="-1"/>
                <w:sz w:val="20"/>
                <w:szCs w:val="20"/>
              </w:rPr>
              <w:t>计提比例</w:t>
            </w:r>
            <w:r>
              <w:rPr>
                <w:rFonts w:ascii="Arial" w:hAnsi="Arial" w:cs="Arial" w:eastAsia="Arial" w:hint="default"/>
                <w:spacing w:val="-1"/>
                <w:sz w:val="20"/>
                <w:szCs w:val="20"/>
              </w:rPr>
              <w:t>(%)</w:t>
            </w:r>
          </w:p>
        </w:tc>
        <w:tc>
          <w:tcPr>
            <w:tcW w:w="1570" w:type="dxa"/>
            <w:tcBorders>
              <w:top w:val="nil" w:sz="6" w:space="0" w:color="auto"/>
              <w:left w:val="nil" w:sz="6" w:space="0" w:color="auto"/>
              <w:bottom w:val="nil" w:sz="6" w:space="0" w:color="auto"/>
              <w:right w:val="nil" w:sz="6" w:space="0" w:color="auto"/>
            </w:tcBorders>
          </w:tcPr>
          <w:p>
            <w:pPr>
              <w:pStyle w:val="TableParagraph"/>
              <w:spacing w:line="256" w:lineRule="exact" w:before="38"/>
              <w:ind w:right="51"/>
              <w:jc w:val="right"/>
              <w:rPr>
                <w:rFonts w:ascii="黑体" w:hAnsi="黑体" w:cs="黑体" w:eastAsia="黑体" w:hint="default"/>
                <w:sz w:val="20"/>
                <w:szCs w:val="20"/>
              </w:rPr>
            </w:pPr>
            <w:r>
              <w:rPr>
                <w:rFonts w:ascii="黑体" w:hAnsi="黑体" w:cs="黑体" w:eastAsia="黑体" w:hint="default"/>
                <w:sz w:val="20"/>
                <w:szCs w:val="20"/>
              </w:rPr>
              <w:t>理由</w:t>
            </w:r>
          </w:p>
          <w:p>
            <w:pPr>
              <w:pStyle w:val="TableParagraph"/>
              <w:spacing w:line="270" w:lineRule="exact"/>
              <w:ind w:right="34"/>
              <w:jc w:val="right"/>
              <w:rPr>
                <w:rFonts w:ascii="黑体" w:hAnsi="黑体" w:cs="黑体" w:eastAsia="黑体" w:hint="default"/>
                <w:sz w:val="20"/>
                <w:szCs w:val="20"/>
              </w:rPr>
            </w:pPr>
            <w:r>
              <w:rPr>
                <w:rFonts w:ascii="Arial" w:hAnsi="Arial" w:cs="Arial" w:eastAsia="Arial" w:hint="default"/>
                <w:sz w:val="20"/>
                <w:szCs w:val="20"/>
              </w:rPr>
              <w:t>2008</w:t>
            </w:r>
            <w:r>
              <w:rPr>
                <w:rFonts w:ascii="Arial" w:hAnsi="Arial" w:cs="Arial" w:eastAsia="Arial" w:hint="default"/>
                <w:spacing w:val="-9"/>
                <w:sz w:val="20"/>
                <w:szCs w:val="20"/>
              </w:rPr>
              <w:t> </w:t>
            </w:r>
            <w:r>
              <w:rPr>
                <w:rFonts w:ascii="黑体" w:hAnsi="黑体" w:cs="黑体" w:eastAsia="黑体" w:hint="default"/>
                <w:sz w:val="20"/>
                <w:szCs w:val="20"/>
              </w:rPr>
              <w:t>年以前发出</w:t>
            </w:r>
          </w:p>
        </w:tc>
      </w:tr>
      <w:tr>
        <w:trPr>
          <w:trHeight w:val="225" w:hRule="exact"/>
        </w:trPr>
        <w:tc>
          <w:tcPr>
            <w:tcW w:w="2398" w:type="dxa"/>
            <w:vMerge/>
            <w:tcBorders>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10" w:lineRule="exact"/>
              <w:ind w:right="34"/>
              <w:jc w:val="right"/>
              <w:rPr>
                <w:rFonts w:ascii="黑体" w:hAnsi="黑体" w:cs="黑体" w:eastAsia="黑体" w:hint="default"/>
                <w:sz w:val="20"/>
                <w:szCs w:val="20"/>
              </w:rPr>
            </w:pPr>
            <w:r>
              <w:rPr>
                <w:rFonts w:ascii="黑体" w:hAnsi="黑体" w:cs="黑体" w:eastAsia="黑体" w:hint="default"/>
                <w:spacing w:val="-1"/>
                <w:sz w:val="20"/>
                <w:szCs w:val="20"/>
              </w:rPr>
              <w:t>软件的逾期货款</w:t>
            </w:r>
          </w:p>
        </w:tc>
      </w:tr>
      <w:tr>
        <w:trPr>
          <w:trHeight w:val="247" w:hRule="exact"/>
        </w:trPr>
        <w:tc>
          <w:tcPr>
            <w:tcW w:w="2398" w:type="dxa"/>
            <w:tcBorders>
              <w:top w:val="nil" w:sz="6" w:space="0" w:color="auto"/>
              <w:left w:val="nil" w:sz="6" w:space="0" w:color="auto"/>
              <w:bottom w:val="nil" w:sz="6" w:space="0" w:color="auto"/>
              <w:right w:val="nil" w:sz="6" w:space="0" w:color="auto"/>
            </w:tcBorders>
          </w:tcPr>
          <w:p>
            <w:pPr>
              <w:pStyle w:val="TableParagraph"/>
              <w:spacing w:line="215" w:lineRule="exact"/>
              <w:ind w:left="35" w:right="0"/>
              <w:jc w:val="left"/>
              <w:rPr>
                <w:rFonts w:ascii="黑体" w:hAnsi="黑体" w:cs="黑体" w:eastAsia="黑体" w:hint="default"/>
                <w:sz w:val="20"/>
                <w:szCs w:val="20"/>
              </w:rPr>
            </w:pPr>
            <w:r>
              <w:rPr>
                <w:rFonts w:ascii="黑体" w:hAnsi="黑体" w:cs="黑体" w:eastAsia="黑体" w:hint="default"/>
                <w:sz w:val="20"/>
                <w:szCs w:val="20"/>
              </w:rPr>
              <w:t>中国机械工业集团公司</w:t>
            </w:r>
          </w:p>
        </w:tc>
        <w:tc>
          <w:tcPr>
            <w:tcW w:w="1409" w:type="dxa"/>
            <w:tcBorders>
              <w:top w:val="nil" w:sz="6" w:space="0" w:color="auto"/>
              <w:left w:val="nil" w:sz="6" w:space="0" w:color="auto"/>
              <w:bottom w:val="nil" w:sz="6" w:space="0" w:color="auto"/>
              <w:right w:val="nil" w:sz="6" w:space="0" w:color="auto"/>
            </w:tcBorders>
          </w:tcPr>
          <w:p>
            <w:pPr>
              <w:pStyle w:val="TableParagraph"/>
              <w:spacing w:line="229" w:lineRule="exact"/>
              <w:ind w:right="155"/>
              <w:jc w:val="right"/>
              <w:rPr>
                <w:rFonts w:ascii="Arial" w:hAnsi="Arial" w:cs="Arial" w:eastAsia="Arial" w:hint="default"/>
                <w:sz w:val="20"/>
                <w:szCs w:val="20"/>
              </w:rPr>
            </w:pPr>
            <w:r>
              <w:rPr>
                <w:rFonts w:ascii="Arial"/>
                <w:spacing w:val="-1"/>
                <w:sz w:val="20"/>
              </w:rPr>
              <w:t>1,410,600</w:t>
            </w:r>
          </w:p>
        </w:tc>
        <w:tc>
          <w:tcPr>
            <w:tcW w:w="1192" w:type="dxa"/>
            <w:tcBorders>
              <w:top w:val="nil" w:sz="6" w:space="0" w:color="auto"/>
              <w:left w:val="nil" w:sz="6" w:space="0" w:color="auto"/>
              <w:bottom w:val="nil" w:sz="6" w:space="0" w:color="auto"/>
              <w:right w:val="nil" w:sz="6" w:space="0" w:color="auto"/>
            </w:tcBorders>
          </w:tcPr>
          <w:p>
            <w:pPr>
              <w:pStyle w:val="TableParagraph"/>
              <w:spacing w:line="229" w:lineRule="exact"/>
              <w:ind w:left="180" w:right="0"/>
              <w:jc w:val="center"/>
              <w:rPr>
                <w:rFonts w:ascii="Arial" w:hAnsi="Arial" w:cs="Arial" w:eastAsia="Arial" w:hint="default"/>
                <w:sz w:val="20"/>
                <w:szCs w:val="20"/>
              </w:rPr>
            </w:pPr>
            <w:r>
              <w:rPr>
                <w:rFonts w:ascii="Arial"/>
                <w:sz w:val="20"/>
              </w:rPr>
              <w:t>630,000</w:t>
            </w:r>
          </w:p>
        </w:tc>
        <w:tc>
          <w:tcPr>
            <w:tcW w:w="1296" w:type="dxa"/>
            <w:tcBorders>
              <w:top w:val="nil" w:sz="6" w:space="0" w:color="auto"/>
              <w:left w:val="nil" w:sz="6" w:space="0" w:color="auto"/>
              <w:bottom w:val="nil" w:sz="6" w:space="0" w:color="auto"/>
              <w:right w:val="nil" w:sz="6" w:space="0" w:color="auto"/>
            </w:tcBorders>
          </w:tcPr>
          <w:p>
            <w:pPr>
              <w:pStyle w:val="TableParagraph"/>
              <w:spacing w:line="229" w:lineRule="exact"/>
              <w:ind w:right="56"/>
              <w:jc w:val="right"/>
              <w:rPr>
                <w:rFonts w:ascii="Arial" w:hAnsi="Arial" w:cs="Arial" w:eastAsia="Arial" w:hint="default"/>
                <w:sz w:val="20"/>
                <w:szCs w:val="20"/>
              </w:rPr>
            </w:pPr>
            <w:r>
              <w:rPr>
                <w:rFonts w:ascii="Arial"/>
                <w:sz w:val="20"/>
              </w:rPr>
              <w:t>45</w:t>
            </w:r>
          </w:p>
        </w:tc>
        <w:tc>
          <w:tcPr>
            <w:tcW w:w="1570" w:type="dxa"/>
            <w:tcBorders>
              <w:top w:val="nil" w:sz="6" w:space="0" w:color="auto"/>
              <w:left w:val="nil" w:sz="6" w:space="0" w:color="auto"/>
              <w:bottom w:val="nil" w:sz="6" w:space="0" w:color="auto"/>
              <w:right w:val="nil" w:sz="6" w:space="0" w:color="auto"/>
            </w:tcBorders>
          </w:tcPr>
          <w:p>
            <w:pPr>
              <w:pStyle w:val="TableParagraph"/>
              <w:spacing w:line="216" w:lineRule="exact"/>
              <w:ind w:right="34"/>
              <w:jc w:val="right"/>
              <w:rPr>
                <w:rFonts w:ascii="黑体" w:hAnsi="黑体" w:cs="黑体" w:eastAsia="黑体" w:hint="default"/>
                <w:sz w:val="20"/>
                <w:szCs w:val="20"/>
              </w:rPr>
            </w:pPr>
            <w:r>
              <w:rPr>
                <w:rFonts w:ascii="黑体" w:hAnsi="黑体" w:cs="黑体" w:eastAsia="黑体" w:hint="default"/>
                <w:sz w:val="20"/>
                <w:szCs w:val="20"/>
              </w:rPr>
              <w:t>尚未收回</w:t>
            </w:r>
          </w:p>
        </w:tc>
      </w:tr>
      <w:tr>
        <w:trPr>
          <w:trHeight w:val="260" w:hRule="exact"/>
        </w:trPr>
        <w:tc>
          <w:tcPr>
            <w:tcW w:w="2398"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55"/>
              <w:jc w:val="right"/>
              <w:rPr>
                <w:rFonts w:ascii="Arial" w:hAnsi="Arial" w:cs="Arial" w:eastAsia="Arial" w:hint="default"/>
                <w:sz w:val="20"/>
                <w:szCs w:val="20"/>
              </w:rPr>
            </w:pPr>
            <w:r>
              <w:rPr>
                <w:rFonts w:ascii="Arial"/>
                <w:w w:val="100"/>
                <w:sz w:val="20"/>
              </w:rPr>
            </w:r>
            <w:r>
              <w:rPr>
                <w:rFonts w:ascii="Arial"/>
                <w:spacing w:val="-1"/>
                <w:sz w:val="20"/>
                <w:u w:val="single" w:color="000000"/>
              </w:rPr>
              <w:t>1,038,158</w:t>
            </w:r>
            <w:r>
              <w:rPr>
                <w:rFonts w:ascii="Arial"/>
                <w:spacing w:val="-1"/>
                <w:sz w:val="20"/>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7"/>
              <w:ind w:left="179" w:right="0"/>
              <w:jc w:val="center"/>
              <w:rPr>
                <w:rFonts w:ascii="Arial" w:hAnsi="Arial" w:cs="Arial" w:eastAsia="Arial" w:hint="default"/>
                <w:sz w:val="20"/>
                <w:szCs w:val="20"/>
              </w:rPr>
            </w:pPr>
            <w:r>
              <w:rPr>
                <w:rFonts w:ascii="Arial"/>
                <w:w w:val="100"/>
                <w:sz w:val="20"/>
              </w:rPr>
            </w:r>
            <w:r>
              <w:rPr>
                <w:rFonts w:ascii="Arial"/>
                <w:sz w:val="20"/>
                <w:u w:val="single" w:color="000000"/>
              </w:rPr>
              <w:t>552,525</w:t>
            </w:r>
            <w:r>
              <w:rPr>
                <w:rFonts w:ascii="Arial"/>
                <w:sz w:val="20"/>
              </w:rPr>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56"/>
              <w:jc w:val="right"/>
              <w:rPr>
                <w:rFonts w:ascii="Arial" w:hAnsi="Arial" w:cs="Arial" w:eastAsia="Arial" w:hint="default"/>
                <w:sz w:val="20"/>
                <w:szCs w:val="20"/>
              </w:rPr>
            </w:pPr>
            <w:r>
              <w:rPr>
                <w:rFonts w:ascii="Arial"/>
                <w:sz w:val="20"/>
              </w:rPr>
              <w:t>53</w:t>
            </w:r>
          </w:p>
        </w:tc>
        <w:tc>
          <w:tcPr>
            <w:tcW w:w="1570" w:type="dxa"/>
            <w:tcBorders>
              <w:top w:val="nil" w:sz="6" w:space="0" w:color="auto"/>
              <w:left w:val="nil" w:sz="6" w:space="0" w:color="auto"/>
              <w:bottom w:val="nil" w:sz="6" w:space="0" w:color="auto"/>
              <w:right w:val="nil" w:sz="6" w:space="0" w:color="auto"/>
            </w:tcBorders>
          </w:tcPr>
          <w:p>
            <w:pPr/>
          </w:p>
        </w:tc>
      </w:tr>
      <w:tr>
        <w:trPr>
          <w:trHeight w:val="328" w:hRule="exact"/>
        </w:trPr>
        <w:tc>
          <w:tcPr>
            <w:tcW w:w="2398"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55"/>
              <w:jc w:val="right"/>
              <w:rPr>
                <w:rFonts w:ascii="Arial" w:hAnsi="Arial" w:cs="Arial" w:eastAsia="Arial" w:hint="default"/>
                <w:sz w:val="20"/>
                <w:szCs w:val="20"/>
              </w:rPr>
            </w:pPr>
            <w:r>
              <w:rPr>
                <w:rFonts w:ascii="Arial"/>
                <w:w w:val="100"/>
                <w:sz w:val="20"/>
              </w:rPr>
            </w:r>
            <w:r>
              <w:rPr>
                <w:rFonts w:ascii="Arial"/>
                <w:spacing w:val="-1"/>
                <w:sz w:val="20"/>
                <w:u w:val="thick" w:color="000000"/>
              </w:rPr>
              <w:t>2,448,758</w:t>
            </w:r>
            <w:r>
              <w:rPr>
                <w:rFonts w:ascii="Arial"/>
                <w:spacing w:val="-1"/>
                <w:sz w:val="20"/>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2"/>
              <w:ind w:left="12" w:right="0"/>
              <w:jc w:val="center"/>
              <w:rPr>
                <w:rFonts w:ascii="Arial" w:hAnsi="Arial" w:cs="Arial" w:eastAsia="Arial" w:hint="default"/>
                <w:sz w:val="20"/>
                <w:szCs w:val="20"/>
              </w:rPr>
            </w:pPr>
            <w:r>
              <w:rPr>
                <w:rFonts w:ascii="Arial"/>
                <w:w w:val="100"/>
                <w:sz w:val="20"/>
              </w:rPr>
            </w:r>
            <w:r>
              <w:rPr>
                <w:rFonts w:ascii="Arial"/>
                <w:sz w:val="20"/>
                <w:u w:val="thick" w:color="000000"/>
              </w:rPr>
              <w:t>1,182,525</w:t>
            </w:r>
            <w:r>
              <w:rPr>
                <w:rFonts w:ascii="Arial"/>
                <w:sz w:val="20"/>
              </w:rPr>
            </w:r>
          </w:p>
        </w:tc>
        <w:tc>
          <w:tcPr>
            <w:tcW w:w="1296"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
        </w:tc>
      </w:tr>
    </w:tbl>
    <w:p>
      <w:pPr>
        <w:pStyle w:val="BodyText"/>
        <w:spacing w:line="230" w:lineRule="exact" w:before="117"/>
        <w:ind w:left="855" w:right="134" w:hanging="1"/>
        <w:jc w:val="left"/>
      </w:pPr>
      <w:r>
        <w:rPr>
          <w:spacing w:val="-3"/>
          <w:w w:val="100"/>
        </w:rPr>
        <w:t>于</w:t>
      </w:r>
      <w:r>
        <w:rPr>
          <w:rFonts w:ascii="Arial" w:hAnsi="Arial" w:cs="Arial" w:eastAsia="Arial" w:hint="default"/>
          <w:spacing w:val="-3"/>
          <w:w w:val="100"/>
        </w:rPr>
        <w:t>2008</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日，单项金额重大或虽不重大但单独进行减值测试的应收账款坏账计提准</w:t>
      </w:r>
      <w:r>
        <w:rPr>
          <w:spacing w:val="-97"/>
          <w:w w:val="100"/>
        </w:rPr>
        <w:t> </w:t>
      </w:r>
      <w:r>
        <w:rPr>
          <w:spacing w:val="-97"/>
          <w:w w:val="100"/>
        </w:rPr>
      </w:r>
      <w:r>
        <w:rPr/>
        <w:t>备如下：</w:t>
      </w:r>
    </w:p>
    <w:p>
      <w:pPr>
        <w:spacing w:line="240" w:lineRule="auto" w:before="11"/>
        <w:rPr>
          <w:rFonts w:ascii="黑体" w:hAnsi="黑体" w:cs="黑体" w:eastAsia="黑体" w:hint="default"/>
          <w:sz w:val="10"/>
          <w:szCs w:val="10"/>
        </w:rPr>
      </w:pPr>
    </w:p>
    <w:tbl>
      <w:tblPr>
        <w:tblW w:w="0" w:type="auto"/>
        <w:jc w:val="left"/>
        <w:tblInd w:w="816" w:type="dxa"/>
        <w:tblLayout w:type="fixed"/>
        <w:tblCellMar>
          <w:top w:w="0" w:type="dxa"/>
          <w:left w:w="0" w:type="dxa"/>
          <w:bottom w:w="0" w:type="dxa"/>
          <w:right w:w="0" w:type="dxa"/>
        </w:tblCellMar>
        <w:tblLook w:val="01E0"/>
      </w:tblPr>
      <w:tblGrid>
        <w:gridCol w:w="1998"/>
        <w:gridCol w:w="1849"/>
        <w:gridCol w:w="1152"/>
        <w:gridCol w:w="1351"/>
        <w:gridCol w:w="1514"/>
      </w:tblGrid>
      <w:tr>
        <w:trPr>
          <w:trHeight w:val="566" w:hRule="exact"/>
        </w:trPr>
        <w:tc>
          <w:tcPr>
            <w:tcW w:w="1998"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3"/>
              <w:jc w:val="right"/>
              <w:rPr>
                <w:rFonts w:ascii="黑体" w:hAnsi="黑体" w:cs="黑体" w:eastAsia="黑体" w:hint="default"/>
                <w:sz w:val="20"/>
                <w:szCs w:val="20"/>
              </w:rPr>
            </w:pPr>
            <w:r>
              <w:rPr>
                <w:rFonts w:ascii="黑体" w:hAnsi="黑体" w:cs="黑体" w:eastAsia="黑体" w:hint="default"/>
                <w:sz w:val="20"/>
                <w:szCs w:val="20"/>
              </w:rPr>
              <w:t>账面余额</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3" w:right="0"/>
              <w:jc w:val="center"/>
              <w:rPr>
                <w:rFonts w:ascii="黑体" w:hAnsi="黑体" w:cs="黑体" w:eastAsia="黑体" w:hint="default"/>
                <w:sz w:val="20"/>
                <w:szCs w:val="20"/>
              </w:rPr>
            </w:pPr>
            <w:r>
              <w:rPr>
                <w:rFonts w:ascii="黑体" w:hAnsi="黑体" w:cs="黑体" w:eastAsia="黑体" w:hint="default"/>
                <w:sz w:val="20"/>
                <w:szCs w:val="20"/>
              </w:rPr>
              <w:t>坏账准备</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2"/>
              <w:jc w:val="right"/>
              <w:rPr>
                <w:rFonts w:ascii="Arial" w:hAnsi="Arial" w:cs="Arial" w:eastAsia="Arial" w:hint="default"/>
                <w:sz w:val="20"/>
                <w:szCs w:val="20"/>
              </w:rPr>
            </w:pPr>
            <w:r>
              <w:rPr>
                <w:rFonts w:ascii="黑体" w:hAnsi="黑体" w:cs="黑体" w:eastAsia="黑体" w:hint="default"/>
                <w:spacing w:val="-1"/>
                <w:sz w:val="20"/>
                <w:szCs w:val="20"/>
              </w:rPr>
              <w:t>计提比例</w:t>
            </w:r>
            <w:r>
              <w:rPr>
                <w:rFonts w:ascii="Arial" w:hAnsi="Arial" w:cs="Arial" w:eastAsia="Arial" w:hint="default"/>
                <w:spacing w:val="-1"/>
                <w:sz w:val="20"/>
                <w:szCs w:val="20"/>
              </w:rPr>
              <w:t>(%)</w:t>
            </w:r>
          </w:p>
        </w:tc>
        <w:tc>
          <w:tcPr>
            <w:tcW w:w="1514" w:type="dxa"/>
            <w:tcBorders>
              <w:top w:val="nil" w:sz="6" w:space="0" w:color="auto"/>
              <w:left w:val="nil" w:sz="6" w:space="0" w:color="auto"/>
              <w:bottom w:val="nil" w:sz="6" w:space="0" w:color="auto"/>
              <w:right w:val="nil" w:sz="6" w:space="0" w:color="auto"/>
            </w:tcBorders>
          </w:tcPr>
          <w:p>
            <w:pPr>
              <w:pStyle w:val="TableParagraph"/>
              <w:spacing w:line="250" w:lineRule="exact" w:before="72"/>
              <w:ind w:left="78" w:right="33" w:firstLine="991"/>
              <w:jc w:val="left"/>
              <w:rPr>
                <w:rFonts w:ascii="黑体" w:hAnsi="黑体" w:cs="黑体" w:eastAsia="黑体" w:hint="default"/>
                <w:sz w:val="20"/>
                <w:szCs w:val="20"/>
              </w:rPr>
            </w:pPr>
            <w:r>
              <w:rPr>
                <w:rFonts w:ascii="黑体" w:hAnsi="黑体" w:cs="黑体" w:eastAsia="黑体" w:hint="default"/>
                <w:sz w:val="20"/>
                <w:szCs w:val="20"/>
              </w:rPr>
              <w:t>理由</w:t>
            </w:r>
            <w:r>
              <w:rPr>
                <w:rFonts w:ascii="黑体" w:hAnsi="黑体" w:cs="黑体" w:eastAsia="黑体" w:hint="default"/>
                <w:w w:val="100"/>
                <w:sz w:val="20"/>
                <w:szCs w:val="20"/>
              </w:rPr>
              <w:t> </w:t>
            </w:r>
            <w:r>
              <w:rPr>
                <w:rFonts w:ascii="黑体" w:hAnsi="黑体" w:cs="黑体" w:eastAsia="黑体" w:hint="default"/>
                <w:spacing w:val="-1"/>
                <w:sz w:val="20"/>
                <w:szCs w:val="20"/>
              </w:rPr>
              <w:t>收回款项存在很</w:t>
            </w:r>
          </w:p>
        </w:tc>
      </w:tr>
      <w:tr>
        <w:trPr>
          <w:trHeight w:val="235" w:hRule="exact"/>
        </w:trPr>
        <w:tc>
          <w:tcPr>
            <w:tcW w:w="1998" w:type="dxa"/>
            <w:tcBorders>
              <w:top w:val="nil" w:sz="6" w:space="0" w:color="auto"/>
              <w:left w:val="nil" w:sz="6" w:space="0" w:color="auto"/>
              <w:bottom w:val="nil" w:sz="6" w:space="0" w:color="auto"/>
              <w:right w:val="nil" w:sz="6" w:space="0" w:color="auto"/>
            </w:tcBorders>
          </w:tcPr>
          <w:p>
            <w:pPr>
              <w:pStyle w:val="TableParagraph"/>
              <w:spacing w:line="216" w:lineRule="exact"/>
              <w:ind w:left="35" w:right="0"/>
              <w:jc w:val="left"/>
              <w:rPr>
                <w:rFonts w:ascii="黑体" w:hAnsi="黑体" w:cs="黑体" w:eastAsia="黑体" w:hint="default"/>
                <w:sz w:val="20"/>
                <w:szCs w:val="20"/>
              </w:rPr>
            </w:pPr>
            <w:r>
              <w:rPr>
                <w:rFonts w:ascii="黑体" w:hAnsi="黑体" w:cs="黑体" w:eastAsia="黑体" w:hint="default"/>
                <w:sz w:val="20"/>
                <w:szCs w:val="20"/>
              </w:rPr>
              <w:t>新乡市财政局</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ind w:right="195"/>
              <w:jc w:val="right"/>
              <w:rPr>
                <w:rFonts w:ascii="Arial" w:hAnsi="Arial" w:cs="Arial" w:eastAsia="Arial" w:hint="default"/>
                <w:sz w:val="20"/>
                <w:szCs w:val="20"/>
              </w:rPr>
            </w:pPr>
            <w:r>
              <w:rPr>
                <w:rFonts w:ascii="Arial"/>
                <w:spacing w:val="-1"/>
                <w:sz w:val="20"/>
              </w:rPr>
              <w:t>266,000</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ind w:left="140" w:right="0"/>
              <w:jc w:val="center"/>
              <w:rPr>
                <w:rFonts w:ascii="Arial" w:hAnsi="Arial" w:cs="Arial" w:eastAsia="Arial" w:hint="default"/>
                <w:sz w:val="20"/>
                <w:szCs w:val="20"/>
              </w:rPr>
            </w:pPr>
            <w:r>
              <w:rPr>
                <w:rFonts w:ascii="Arial"/>
                <w:sz w:val="20"/>
              </w:rPr>
              <w:t>137,615</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ind w:right="76"/>
              <w:jc w:val="right"/>
              <w:rPr>
                <w:rFonts w:ascii="Arial" w:hAnsi="Arial" w:cs="Arial" w:eastAsia="Arial" w:hint="default"/>
                <w:sz w:val="20"/>
                <w:szCs w:val="20"/>
              </w:rPr>
            </w:pPr>
            <w:r>
              <w:rPr>
                <w:rFonts w:ascii="Arial"/>
                <w:sz w:val="20"/>
              </w:rPr>
              <w:t>52</w:t>
            </w:r>
          </w:p>
        </w:tc>
        <w:tc>
          <w:tcPr>
            <w:tcW w:w="1514" w:type="dxa"/>
            <w:tcBorders>
              <w:top w:val="nil" w:sz="6" w:space="0" w:color="auto"/>
              <w:left w:val="nil" w:sz="6" w:space="0" w:color="auto"/>
              <w:bottom w:val="nil" w:sz="6" w:space="0" w:color="auto"/>
              <w:right w:val="nil" w:sz="6" w:space="0" w:color="auto"/>
            </w:tcBorders>
          </w:tcPr>
          <w:p>
            <w:pPr>
              <w:pStyle w:val="TableParagraph"/>
              <w:spacing w:line="215" w:lineRule="exact"/>
              <w:ind w:left="478" w:right="0"/>
              <w:jc w:val="left"/>
              <w:rPr>
                <w:rFonts w:ascii="黑体" w:hAnsi="黑体" w:cs="黑体" w:eastAsia="黑体" w:hint="default"/>
                <w:sz w:val="20"/>
                <w:szCs w:val="20"/>
              </w:rPr>
            </w:pPr>
            <w:r>
              <w:rPr>
                <w:rFonts w:ascii="黑体" w:hAnsi="黑体" w:cs="黑体" w:eastAsia="黑体" w:hint="default"/>
                <w:sz w:val="20"/>
                <w:szCs w:val="20"/>
              </w:rPr>
              <w:t>大不确定性</w:t>
            </w:r>
          </w:p>
        </w:tc>
      </w:tr>
      <w:tr>
        <w:trPr>
          <w:trHeight w:val="235" w:hRule="exact"/>
        </w:trPr>
        <w:tc>
          <w:tcPr>
            <w:tcW w:w="1998"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1849" w:type="dxa"/>
            <w:tcBorders>
              <w:top w:val="nil" w:sz="6" w:space="0" w:color="auto"/>
              <w:left w:val="nil" w:sz="6" w:space="0" w:color="auto"/>
              <w:bottom w:val="nil" w:sz="6" w:space="0" w:color="auto"/>
              <w:right w:val="nil" w:sz="6" w:space="0" w:color="auto"/>
            </w:tcBorders>
          </w:tcPr>
          <w:p>
            <w:pPr>
              <w:pStyle w:val="TableParagraph"/>
              <w:spacing w:line="224" w:lineRule="exact"/>
              <w:ind w:right="194"/>
              <w:jc w:val="right"/>
              <w:rPr>
                <w:rFonts w:ascii="Arial" w:hAnsi="Arial" w:cs="Arial" w:eastAsia="Arial" w:hint="default"/>
                <w:sz w:val="20"/>
                <w:szCs w:val="20"/>
              </w:rPr>
            </w:pPr>
            <w:r>
              <w:rPr>
                <w:rFonts w:ascii="Arial"/>
                <w:w w:val="100"/>
                <w:sz w:val="20"/>
              </w:rPr>
            </w:r>
            <w:r>
              <w:rPr>
                <w:rFonts w:ascii="Arial"/>
                <w:spacing w:val="-1"/>
                <w:sz w:val="20"/>
                <w:u w:val="single" w:color="000000"/>
              </w:rPr>
              <w:t>1,531,220</w:t>
            </w:r>
            <w:r>
              <w:rPr>
                <w:rFonts w:ascii="Arial"/>
                <w:spacing w:val="-1"/>
                <w:sz w:val="20"/>
              </w:rPr>
            </w:r>
          </w:p>
        </w:tc>
        <w:tc>
          <w:tcPr>
            <w:tcW w:w="1152" w:type="dxa"/>
            <w:tcBorders>
              <w:top w:val="nil" w:sz="6" w:space="0" w:color="auto"/>
              <w:left w:val="nil" w:sz="6" w:space="0" w:color="auto"/>
              <w:bottom w:val="nil" w:sz="6" w:space="0" w:color="auto"/>
              <w:right w:val="nil" w:sz="6" w:space="0" w:color="auto"/>
            </w:tcBorders>
          </w:tcPr>
          <w:p>
            <w:pPr>
              <w:pStyle w:val="TableParagraph"/>
              <w:spacing w:line="224" w:lineRule="exact"/>
              <w:ind w:left="139" w:right="0"/>
              <w:jc w:val="center"/>
              <w:rPr>
                <w:rFonts w:ascii="Arial" w:hAnsi="Arial" w:cs="Arial" w:eastAsia="Arial" w:hint="default"/>
                <w:sz w:val="20"/>
                <w:szCs w:val="20"/>
              </w:rPr>
            </w:pPr>
            <w:r>
              <w:rPr>
                <w:rFonts w:ascii="Arial"/>
                <w:w w:val="100"/>
                <w:sz w:val="20"/>
              </w:rPr>
            </w:r>
            <w:r>
              <w:rPr>
                <w:rFonts w:ascii="Arial"/>
                <w:sz w:val="20"/>
                <w:u w:val="single" w:color="000000"/>
              </w:rPr>
              <w:t>117,620</w:t>
            </w:r>
            <w:r>
              <w:rPr>
                <w:rFonts w:ascii="Arial"/>
                <w:sz w:val="20"/>
              </w:rPr>
            </w:r>
          </w:p>
        </w:tc>
        <w:tc>
          <w:tcPr>
            <w:tcW w:w="1351" w:type="dxa"/>
            <w:tcBorders>
              <w:top w:val="nil" w:sz="6" w:space="0" w:color="auto"/>
              <w:left w:val="nil" w:sz="6" w:space="0" w:color="auto"/>
              <w:bottom w:val="nil" w:sz="6" w:space="0" w:color="auto"/>
              <w:right w:val="nil" w:sz="6" w:space="0" w:color="auto"/>
            </w:tcBorders>
          </w:tcPr>
          <w:p>
            <w:pPr>
              <w:pStyle w:val="TableParagraph"/>
              <w:spacing w:line="224" w:lineRule="exact"/>
              <w:ind w:right="76"/>
              <w:jc w:val="right"/>
              <w:rPr>
                <w:rFonts w:ascii="Arial" w:hAnsi="Arial" w:cs="Arial" w:eastAsia="Arial" w:hint="default"/>
                <w:sz w:val="20"/>
                <w:szCs w:val="20"/>
              </w:rPr>
            </w:pPr>
            <w:r>
              <w:rPr>
                <w:rFonts w:ascii="Arial"/>
                <w:w w:val="100"/>
                <w:sz w:val="20"/>
              </w:rPr>
              <w:t>8</w:t>
            </w:r>
          </w:p>
        </w:tc>
        <w:tc>
          <w:tcPr>
            <w:tcW w:w="1514" w:type="dxa"/>
            <w:tcBorders>
              <w:top w:val="nil" w:sz="6" w:space="0" w:color="auto"/>
              <w:left w:val="nil" w:sz="6" w:space="0" w:color="auto"/>
              <w:bottom w:val="nil" w:sz="6" w:space="0" w:color="auto"/>
              <w:right w:val="nil" w:sz="6" w:space="0" w:color="auto"/>
            </w:tcBorders>
          </w:tcPr>
          <w:p>
            <w:pPr/>
          </w:p>
        </w:tc>
      </w:tr>
      <w:tr>
        <w:trPr>
          <w:trHeight w:val="315" w:hRule="exact"/>
        </w:trPr>
        <w:tc>
          <w:tcPr>
            <w:tcW w:w="1998"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20" w:lineRule="exact"/>
              <w:ind w:right="195"/>
              <w:jc w:val="right"/>
              <w:rPr>
                <w:rFonts w:ascii="Arial" w:hAnsi="Arial" w:cs="Arial" w:eastAsia="Arial" w:hint="default"/>
                <w:sz w:val="20"/>
                <w:szCs w:val="20"/>
              </w:rPr>
            </w:pPr>
            <w:r>
              <w:rPr>
                <w:rFonts w:ascii="Arial"/>
                <w:w w:val="100"/>
                <w:sz w:val="20"/>
              </w:rPr>
            </w:r>
            <w:r>
              <w:rPr>
                <w:rFonts w:ascii="Arial"/>
                <w:spacing w:val="-1"/>
                <w:sz w:val="20"/>
                <w:u w:val="thick" w:color="000000"/>
              </w:rPr>
              <w:t>1,797,220</w:t>
            </w:r>
            <w:r>
              <w:rPr>
                <w:rFonts w:ascii="Arial"/>
                <w:spacing w:val="-1"/>
                <w:sz w:val="20"/>
              </w:rPr>
            </w:r>
          </w:p>
        </w:tc>
        <w:tc>
          <w:tcPr>
            <w:tcW w:w="1152" w:type="dxa"/>
            <w:tcBorders>
              <w:top w:val="nil" w:sz="6" w:space="0" w:color="auto"/>
              <w:left w:val="nil" w:sz="6" w:space="0" w:color="auto"/>
              <w:bottom w:val="nil" w:sz="6" w:space="0" w:color="auto"/>
              <w:right w:val="nil" w:sz="6" w:space="0" w:color="auto"/>
            </w:tcBorders>
          </w:tcPr>
          <w:p>
            <w:pPr>
              <w:pStyle w:val="TableParagraph"/>
              <w:spacing w:line="220" w:lineRule="exact"/>
              <w:ind w:left="139" w:right="0"/>
              <w:jc w:val="center"/>
              <w:rPr>
                <w:rFonts w:ascii="Arial" w:hAnsi="Arial" w:cs="Arial" w:eastAsia="Arial" w:hint="default"/>
                <w:sz w:val="20"/>
                <w:szCs w:val="20"/>
              </w:rPr>
            </w:pPr>
            <w:r>
              <w:rPr>
                <w:rFonts w:ascii="Arial"/>
                <w:w w:val="100"/>
                <w:sz w:val="20"/>
              </w:rPr>
            </w:r>
            <w:r>
              <w:rPr>
                <w:rFonts w:ascii="Arial"/>
                <w:sz w:val="20"/>
                <w:u w:val="thick" w:color="000000"/>
              </w:rPr>
              <w:t>255,235</w:t>
            </w:r>
            <w:r>
              <w:rPr>
                <w:rFonts w:ascii="Arial"/>
                <w:sz w:val="20"/>
              </w:rPr>
            </w:r>
          </w:p>
        </w:tc>
        <w:tc>
          <w:tcPr>
            <w:tcW w:w="1351"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r>
    </w:tbl>
    <w:p>
      <w:pPr>
        <w:pStyle w:val="BodyText"/>
        <w:spacing w:line="230" w:lineRule="exact" w:before="117"/>
        <w:ind w:left="855" w:right="112"/>
        <w:jc w:val="left"/>
      </w:pPr>
      <w:r>
        <w:rPr>
          <w:spacing w:val="2"/>
        </w:rPr>
        <w:t>单项金额不重大但按信用风险特征组合后该组合的风险较大的应收账款如下</w:t>
      </w:r>
      <w:r>
        <w:rPr>
          <w:rFonts w:ascii="Arial" w:hAnsi="Arial" w:cs="Arial" w:eastAsia="Arial" w:hint="default"/>
          <w:spacing w:val="2"/>
        </w:rPr>
        <w:t>(</w:t>
      </w:r>
      <w:r>
        <w:rPr>
          <w:spacing w:val="2"/>
        </w:rPr>
        <w:t>仅适用于信</w:t>
      </w:r>
      <w:r>
        <w:rPr>
          <w:spacing w:val="-72"/>
        </w:rPr>
        <w:t> </w:t>
      </w:r>
      <w:r>
        <w:rPr>
          <w:spacing w:val="-72"/>
        </w:rPr>
      </w:r>
      <w:r>
        <w:rPr/>
        <w:t>用风险特征组合确定为账龄的情况</w:t>
      </w:r>
      <w:r>
        <w:rPr>
          <w:rFonts w:ascii="Arial" w:hAnsi="Arial" w:cs="Arial" w:eastAsia="Arial" w:hint="default"/>
        </w:rPr>
        <w:t>)</w:t>
      </w:r>
      <w:r>
        <w:rPr/>
        <w:t>：</w:t>
      </w:r>
    </w:p>
    <w:p>
      <w:pPr>
        <w:spacing w:line="240" w:lineRule="auto" w:before="0"/>
        <w:rPr>
          <w:rFonts w:ascii="黑体" w:hAnsi="黑体" w:cs="黑体" w:eastAsia="黑体" w:hint="default"/>
          <w:sz w:val="19"/>
          <w:szCs w:val="19"/>
        </w:rPr>
      </w:pPr>
    </w:p>
    <w:p>
      <w:pPr>
        <w:tabs>
          <w:tab w:pos="2643" w:val="left" w:leader="none"/>
          <w:tab w:pos="4271" w:val="left" w:leader="none"/>
          <w:tab w:pos="4985" w:val="left" w:leader="none"/>
          <w:tab w:pos="5260" w:val="left" w:leader="none"/>
          <w:tab w:pos="5978" w:val="left" w:leader="none"/>
          <w:tab w:pos="6175" w:val="left" w:leader="none"/>
          <w:tab w:pos="7924" w:val="left" w:leader="none"/>
          <w:tab w:pos="8627" w:val="left" w:leader="none"/>
        </w:tabs>
        <w:spacing w:line="256" w:lineRule="auto" w:before="0"/>
        <w:ind w:left="2570" w:right="137" w:hanging="717"/>
        <w:jc w:val="left"/>
        <w:rPr>
          <w:rFonts w:ascii="黑体" w:hAnsi="黑体" w:cs="黑体" w:eastAsia="黑体" w:hint="default"/>
          <w:sz w:val="18"/>
          <w:szCs w:val="18"/>
        </w:rPr>
      </w:pPr>
      <w:r>
        <w:rPr>
          <w:rFonts w:ascii="Arial" w:hAnsi="Arial" w:cs="Arial" w:eastAsia="Arial" w:hint="default"/>
          <w:w w:val="100"/>
          <w:sz w:val="18"/>
          <w:szCs w:val="18"/>
        </w:rPr>
      </w:r>
      <w:r>
        <w:rPr>
          <w:rFonts w:ascii="Arial" w:hAnsi="Arial" w:cs="Arial" w:eastAsia="Arial" w:hint="default"/>
          <w:w w:val="100"/>
          <w:sz w:val="18"/>
          <w:szCs w:val="18"/>
          <w:u w:val="single" w:color="000000"/>
        </w:rPr>
        <w:t> </w:t>
      </w:r>
      <w:r>
        <w:rPr>
          <w:rFonts w:ascii="Arial" w:hAnsi="Arial" w:cs="Arial" w:eastAsia="Arial" w:hint="default"/>
          <w:sz w:val="18"/>
          <w:szCs w:val="18"/>
          <w:u w:val="single" w:color="000000"/>
        </w:rPr>
        <w:tab/>
        <w:tab/>
        <w:t>2009</w:t>
      </w:r>
      <w:r>
        <w:rPr>
          <w:rFonts w:ascii="Arial" w:hAnsi="Arial" w:cs="Arial" w:eastAsia="Arial" w:hint="default"/>
          <w:spacing w:val="-6"/>
          <w:sz w:val="18"/>
          <w:szCs w:val="18"/>
          <w:u w:val="single" w:color="000000"/>
        </w:rPr>
        <w:t> </w:t>
      </w:r>
      <w:r>
        <w:rPr>
          <w:rFonts w:ascii="黑体" w:hAnsi="黑体" w:cs="黑体" w:eastAsia="黑体" w:hint="default"/>
          <w:sz w:val="18"/>
          <w:szCs w:val="18"/>
          <w:u w:val="single" w:color="000000"/>
        </w:rPr>
        <w:t>年</w:t>
      </w:r>
      <w:r>
        <w:rPr>
          <w:rFonts w:ascii="黑体" w:hAnsi="黑体" w:cs="黑体" w:eastAsia="黑体" w:hint="default"/>
          <w:spacing w:val="-47"/>
          <w:sz w:val="18"/>
          <w:szCs w:val="18"/>
          <w:u w:val="single" w:color="000000"/>
        </w:rPr>
        <w:t> </w:t>
      </w:r>
      <w:r>
        <w:rPr>
          <w:rFonts w:ascii="Arial" w:hAnsi="Arial" w:cs="Arial" w:eastAsia="Arial" w:hint="default"/>
          <w:sz w:val="18"/>
          <w:szCs w:val="18"/>
          <w:u w:val="single" w:color="000000"/>
        </w:rPr>
        <w:t>12</w:t>
      </w:r>
      <w:r>
        <w:rPr>
          <w:rFonts w:ascii="Arial" w:hAnsi="Arial" w:cs="Arial" w:eastAsia="Arial" w:hint="default"/>
          <w:spacing w:val="-8"/>
          <w:sz w:val="18"/>
          <w:szCs w:val="18"/>
          <w:u w:val="single" w:color="000000"/>
        </w:rPr>
        <w:t> </w:t>
      </w:r>
      <w:r>
        <w:rPr>
          <w:rFonts w:ascii="黑体" w:hAnsi="黑体" w:cs="黑体" w:eastAsia="黑体" w:hint="default"/>
          <w:sz w:val="18"/>
          <w:szCs w:val="18"/>
          <w:u w:val="single" w:color="000000"/>
        </w:rPr>
        <w:t>月</w:t>
      </w:r>
      <w:r>
        <w:rPr>
          <w:rFonts w:ascii="黑体" w:hAnsi="黑体" w:cs="黑体" w:eastAsia="黑体" w:hint="default"/>
          <w:spacing w:val="-46"/>
          <w:sz w:val="18"/>
          <w:szCs w:val="18"/>
          <w:u w:val="single" w:color="000000"/>
        </w:rPr>
        <w:t> </w:t>
      </w:r>
      <w:r>
        <w:rPr>
          <w:rFonts w:ascii="Arial" w:hAnsi="Arial" w:cs="Arial" w:eastAsia="Arial" w:hint="default"/>
          <w:sz w:val="18"/>
          <w:szCs w:val="18"/>
          <w:u w:val="single" w:color="000000"/>
        </w:rPr>
        <w:t>31</w:t>
      </w:r>
      <w:r>
        <w:rPr>
          <w:rFonts w:ascii="Arial" w:hAnsi="Arial" w:cs="Arial" w:eastAsia="Arial" w:hint="default"/>
          <w:spacing w:val="-8"/>
          <w:sz w:val="18"/>
          <w:szCs w:val="18"/>
          <w:u w:val="single" w:color="000000"/>
        </w:rPr>
        <w:t> </w:t>
      </w:r>
      <w:r>
        <w:rPr>
          <w:rFonts w:ascii="黑体" w:hAnsi="黑体" w:cs="黑体" w:eastAsia="黑体" w:hint="default"/>
          <w:sz w:val="18"/>
          <w:szCs w:val="18"/>
          <w:u w:val="single" w:color="000000"/>
        </w:rPr>
        <w:t>日</w:t>
        <w:tab/>
        <w:tab/>
      </w:r>
      <w:r>
        <w:rPr>
          <w:rFonts w:ascii="黑体" w:hAnsi="黑体" w:cs="黑体" w:eastAsia="黑体" w:hint="default"/>
          <w:sz w:val="18"/>
          <w:szCs w:val="18"/>
        </w:rPr>
        <w:tab/>
      </w:r>
      <w:r>
        <w:rPr>
          <w:rFonts w:ascii="Arial" w:hAnsi="Arial" w:cs="Arial" w:eastAsia="Arial" w:hint="default"/>
          <w:w w:val="100"/>
          <w:sz w:val="18"/>
          <w:szCs w:val="18"/>
        </w:rPr>
      </w:r>
      <w:r>
        <w:rPr>
          <w:rFonts w:ascii="Arial" w:hAnsi="Arial" w:cs="Arial" w:eastAsia="Arial" w:hint="default"/>
          <w:w w:val="100"/>
          <w:sz w:val="18"/>
          <w:szCs w:val="18"/>
          <w:u w:val="single" w:color="000000"/>
        </w:rPr>
        <w:t> </w:t>
      </w:r>
      <w:r>
        <w:rPr>
          <w:rFonts w:ascii="Arial" w:hAnsi="Arial" w:cs="Arial" w:eastAsia="Arial" w:hint="default"/>
          <w:sz w:val="18"/>
          <w:szCs w:val="18"/>
          <w:u w:val="single" w:color="000000"/>
        </w:rPr>
        <w:tab/>
        <w:tab/>
        <w:t> 2008</w:t>
      </w:r>
      <w:r>
        <w:rPr>
          <w:rFonts w:ascii="Arial" w:hAnsi="Arial" w:cs="Arial" w:eastAsia="Arial" w:hint="default"/>
          <w:spacing w:val="-6"/>
          <w:sz w:val="18"/>
          <w:szCs w:val="18"/>
          <w:u w:val="single" w:color="000000"/>
        </w:rPr>
        <w:t> </w:t>
      </w:r>
      <w:r>
        <w:rPr>
          <w:rFonts w:ascii="黑体" w:hAnsi="黑体" w:cs="黑体" w:eastAsia="黑体" w:hint="default"/>
          <w:sz w:val="18"/>
          <w:szCs w:val="18"/>
          <w:u w:val="single" w:color="000000"/>
        </w:rPr>
        <w:t>年</w:t>
      </w:r>
      <w:r>
        <w:rPr>
          <w:rFonts w:ascii="黑体" w:hAnsi="黑体" w:cs="黑体" w:eastAsia="黑体" w:hint="default"/>
          <w:spacing w:val="-47"/>
          <w:sz w:val="18"/>
          <w:szCs w:val="18"/>
          <w:u w:val="single" w:color="000000"/>
        </w:rPr>
        <w:t> </w:t>
      </w:r>
      <w:r>
        <w:rPr>
          <w:rFonts w:ascii="Arial" w:hAnsi="Arial" w:cs="Arial" w:eastAsia="Arial" w:hint="default"/>
          <w:sz w:val="18"/>
          <w:szCs w:val="18"/>
          <w:u w:val="single" w:color="000000"/>
        </w:rPr>
        <w:t>12</w:t>
      </w:r>
      <w:r>
        <w:rPr>
          <w:rFonts w:ascii="Arial" w:hAnsi="Arial" w:cs="Arial" w:eastAsia="Arial" w:hint="default"/>
          <w:spacing w:val="-8"/>
          <w:sz w:val="18"/>
          <w:szCs w:val="18"/>
          <w:u w:val="single" w:color="000000"/>
        </w:rPr>
        <w:t> </w:t>
      </w:r>
      <w:r>
        <w:rPr>
          <w:rFonts w:ascii="黑体" w:hAnsi="黑体" w:cs="黑体" w:eastAsia="黑体" w:hint="default"/>
          <w:sz w:val="18"/>
          <w:szCs w:val="18"/>
          <w:u w:val="single" w:color="000000"/>
        </w:rPr>
        <w:t>月</w:t>
      </w:r>
      <w:r>
        <w:rPr>
          <w:rFonts w:ascii="黑体" w:hAnsi="黑体" w:cs="黑体" w:eastAsia="黑体" w:hint="default"/>
          <w:spacing w:val="-46"/>
          <w:sz w:val="18"/>
          <w:szCs w:val="18"/>
          <w:u w:val="single" w:color="000000"/>
        </w:rPr>
        <w:t> </w:t>
      </w:r>
      <w:r>
        <w:rPr>
          <w:rFonts w:ascii="Arial" w:hAnsi="Arial" w:cs="Arial" w:eastAsia="Arial" w:hint="default"/>
          <w:sz w:val="18"/>
          <w:szCs w:val="18"/>
          <w:u w:val="single" w:color="000000"/>
        </w:rPr>
        <w:t>31</w:t>
      </w:r>
      <w:r>
        <w:rPr>
          <w:rFonts w:ascii="Arial" w:hAnsi="Arial" w:cs="Arial" w:eastAsia="Arial" w:hint="default"/>
          <w:spacing w:val="-8"/>
          <w:sz w:val="18"/>
          <w:szCs w:val="18"/>
          <w:u w:val="single" w:color="000000"/>
        </w:rPr>
        <w:t> </w:t>
      </w:r>
      <w:r>
        <w:rPr>
          <w:rFonts w:ascii="黑体" w:hAnsi="黑体" w:cs="黑体" w:eastAsia="黑体" w:hint="default"/>
          <w:sz w:val="18"/>
          <w:szCs w:val="18"/>
          <w:u w:val="single" w:color="000000"/>
        </w:rPr>
        <w:t>日</w:t>
        <w:tab/>
        <w:tab/>
      </w:r>
      <w:r>
        <w:rPr>
          <w:rFonts w:ascii="黑体" w:hAnsi="黑体" w:cs="黑体" w:eastAsia="黑体" w:hint="default"/>
          <w:sz w:val="18"/>
          <w:szCs w:val="18"/>
        </w:rPr>
      </w:r>
      <w:r>
        <w:rPr>
          <w:rFonts w:ascii="黑体" w:hAnsi="黑体" w:cs="黑体" w:eastAsia="黑体" w:hint="default"/>
          <w:sz w:val="18"/>
          <w:szCs w:val="18"/>
        </w:rPr>
        <w:t>账面余额</w:t>
        <w:tab/>
        <w:t>坏账准备</w:t>
        <w:tab/>
        <w:tab/>
        <w:t> 账面余额</w:t>
        <w:tab/>
        <w:t>坏账准备</w:t>
      </w:r>
    </w:p>
    <w:p>
      <w:pPr>
        <w:spacing w:line="240" w:lineRule="auto" w:before="1"/>
        <w:rPr>
          <w:rFonts w:ascii="黑体" w:hAnsi="黑体" w:cs="黑体" w:eastAsia="黑体" w:hint="default"/>
          <w:sz w:val="2"/>
          <w:szCs w:val="2"/>
        </w:rPr>
      </w:pPr>
    </w:p>
    <w:tbl>
      <w:tblPr>
        <w:tblW w:w="0" w:type="auto"/>
        <w:jc w:val="left"/>
        <w:tblInd w:w="815" w:type="dxa"/>
        <w:tblLayout w:type="fixed"/>
        <w:tblCellMar>
          <w:top w:w="0" w:type="dxa"/>
          <w:left w:w="0" w:type="dxa"/>
          <w:bottom w:w="0" w:type="dxa"/>
          <w:right w:w="0" w:type="dxa"/>
        </w:tblCellMar>
        <w:tblLook w:val="01E0"/>
      </w:tblPr>
      <w:tblGrid>
        <w:gridCol w:w="882"/>
        <w:gridCol w:w="1148"/>
        <w:gridCol w:w="583"/>
        <w:gridCol w:w="1121"/>
        <w:gridCol w:w="582"/>
        <w:gridCol w:w="1124"/>
        <w:gridCol w:w="685"/>
        <w:gridCol w:w="1244"/>
        <w:gridCol w:w="499"/>
      </w:tblGrid>
      <w:tr>
        <w:trPr>
          <w:trHeight w:val="516" w:hRule="exact"/>
        </w:trPr>
        <w:tc>
          <w:tcPr>
            <w:tcW w:w="882" w:type="dxa"/>
            <w:vMerge w:val="restart"/>
            <w:tcBorders>
              <w:top w:val="nil" w:sz="6" w:space="0" w:color="auto"/>
              <w:left w:val="nil" w:sz="6" w:space="0" w:color="auto"/>
              <w:right w:val="nil" w:sz="6" w:space="0" w:color="auto"/>
            </w:tcBorders>
          </w:tcPr>
          <w:p>
            <w:pPr/>
          </w:p>
        </w:tc>
        <w:tc>
          <w:tcPr>
            <w:tcW w:w="1148" w:type="dxa"/>
            <w:tcBorders>
              <w:top w:val="nil" w:sz="6" w:space="0" w:color="auto"/>
              <w:left w:val="nil" w:sz="6" w:space="0" w:color="auto"/>
              <w:bottom w:val="nil" w:sz="6" w:space="0" w:color="auto"/>
              <w:right w:val="nil" w:sz="6" w:space="0" w:color="auto"/>
            </w:tcBorders>
          </w:tcPr>
          <w:p>
            <w:pPr>
              <w:pStyle w:val="TableParagraph"/>
              <w:spacing w:line="214" w:lineRule="exact"/>
              <w:ind w:right="82"/>
              <w:jc w:val="right"/>
              <w:rPr>
                <w:rFonts w:ascii="黑体" w:hAnsi="黑体" w:cs="黑体" w:eastAsia="黑体" w:hint="default"/>
                <w:sz w:val="18"/>
                <w:szCs w:val="18"/>
              </w:rPr>
            </w:pPr>
            <w:r>
              <w:rPr>
                <w:rFonts w:ascii="黑体" w:hAnsi="黑体" w:cs="黑体" w:eastAsia="黑体" w:hint="default"/>
                <w:sz w:val="18"/>
                <w:szCs w:val="18"/>
              </w:rPr>
              <w:t>金额</w:t>
            </w:r>
          </w:p>
        </w:tc>
        <w:tc>
          <w:tcPr>
            <w:tcW w:w="583" w:type="dxa"/>
            <w:tcBorders>
              <w:top w:val="nil" w:sz="6" w:space="0" w:color="auto"/>
              <w:left w:val="nil" w:sz="6" w:space="0" w:color="auto"/>
              <w:bottom w:val="nil" w:sz="6" w:space="0" w:color="auto"/>
              <w:right w:val="nil" w:sz="6" w:space="0" w:color="auto"/>
            </w:tcBorders>
          </w:tcPr>
          <w:p>
            <w:pPr>
              <w:pStyle w:val="TableParagraph"/>
              <w:spacing w:line="214" w:lineRule="exact"/>
              <w:ind w:left="164" w:right="0" w:hanging="81"/>
              <w:jc w:val="left"/>
              <w:rPr>
                <w:rFonts w:ascii="黑体" w:hAnsi="黑体" w:cs="黑体" w:eastAsia="黑体" w:hint="default"/>
                <w:sz w:val="18"/>
                <w:szCs w:val="18"/>
              </w:rPr>
            </w:pPr>
            <w:r>
              <w:rPr>
                <w:rFonts w:ascii="黑体" w:hAnsi="黑体" w:cs="黑体" w:eastAsia="黑体" w:hint="default"/>
                <w:sz w:val="18"/>
                <w:szCs w:val="18"/>
              </w:rPr>
              <w:t>比例</w:t>
            </w:r>
          </w:p>
          <w:p>
            <w:pPr>
              <w:pStyle w:val="TableParagraph"/>
              <w:spacing w:line="240" w:lineRule="auto" w:before="61"/>
              <w:ind w:left="164" w:right="0"/>
              <w:jc w:val="left"/>
              <w:rPr>
                <w:rFonts w:ascii="Arial" w:hAnsi="Arial" w:cs="Arial" w:eastAsia="Arial" w:hint="default"/>
                <w:sz w:val="18"/>
                <w:szCs w:val="18"/>
              </w:rPr>
            </w:pPr>
            <w:r>
              <w:rPr>
                <w:rFonts w:ascii="Arial"/>
                <w:sz w:val="18"/>
              </w:rPr>
              <w:t>(%)</w:t>
            </w:r>
          </w:p>
        </w:tc>
        <w:tc>
          <w:tcPr>
            <w:tcW w:w="1121" w:type="dxa"/>
            <w:tcBorders>
              <w:top w:val="nil" w:sz="6" w:space="0" w:color="auto"/>
              <w:left w:val="nil" w:sz="6" w:space="0" w:color="auto"/>
              <w:bottom w:val="nil" w:sz="6" w:space="0" w:color="auto"/>
              <w:right w:val="nil" w:sz="6" w:space="0" w:color="auto"/>
            </w:tcBorders>
          </w:tcPr>
          <w:p>
            <w:pPr>
              <w:pStyle w:val="TableParagraph"/>
              <w:spacing w:line="214" w:lineRule="exact"/>
              <w:ind w:right="80"/>
              <w:jc w:val="right"/>
              <w:rPr>
                <w:rFonts w:ascii="黑体" w:hAnsi="黑体" w:cs="黑体" w:eastAsia="黑体" w:hint="default"/>
                <w:sz w:val="18"/>
                <w:szCs w:val="18"/>
              </w:rPr>
            </w:pPr>
            <w:r>
              <w:rPr>
                <w:rFonts w:ascii="黑体" w:hAnsi="黑体" w:cs="黑体" w:eastAsia="黑体" w:hint="default"/>
                <w:sz w:val="18"/>
                <w:szCs w:val="18"/>
              </w:rPr>
              <w:t>金额</w:t>
            </w:r>
          </w:p>
        </w:tc>
        <w:tc>
          <w:tcPr>
            <w:tcW w:w="582" w:type="dxa"/>
            <w:tcBorders>
              <w:top w:val="nil" w:sz="6" w:space="0" w:color="auto"/>
              <w:left w:val="nil" w:sz="6" w:space="0" w:color="auto"/>
              <w:bottom w:val="nil" w:sz="6" w:space="0" w:color="auto"/>
              <w:right w:val="nil" w:sz="6" w:space="0" w:color="auto"/>
            </w:tcBorders>
          </w:tcPr>
          <w:p>
            <w:pPr>
              <w:pStyle w:val="TableParagraph"/>
              <w:spacing w:line="214" w:lineRule="exact"/>
              <w:ind w:left="82" w:right="0"/>
              <w:jc w:val="left"/>
              <w:rPr>
                <w:rFonts w:ascii="黑体" w:hAnsi="黑体" w:cs="黑体" w:eastAsia="黑体" w:hint="default"/>
                <w:sz w:val="18"/>
                <w:szCs w:val="18"/>
              </w:rPr>
            </w:pPr>
            <w:r>
              <w:rPr>
                <w:rFonts w:ascii="黑体" w:hAnsi="黑体" w:cs="黑体" w:eastAsia="黑体" w:hint="default"/>
                <w:sz w:val="18"/>
                <w:szCs w:val="18"/>
              </w:rPr>
              <w:t>计提</w:t>
            </w:r>
          </w:p>
          <w:p>
            <w:pPr>
              <w:pStyle w:val="TableParagraph"/>
              <w:spacing w:line="240" w:lineRule="auto" w:before="20"/>
              <w:ind w:left="82" w:right="0"/>
              <w:jc w:val="left"/>
              <w:rPr>
                <w:rFonts w:ascii="黑体" w:hAnsi="黑体" w:cs="黑体" w:eastAsia="黑体" w:hint="default"/>
                <w:sz w:val="18"/>
                <w:szCs w:val="18"/>
              </w:rPr>
            </w:pPr>
            <w:r>
              <w:rPr>
                <w:rFonts w:ascii="黑体" w:hAnsi="黑体" w:cs="黑体" w:eastAsia="黑体" w:hint="default"/>
                <w:sz w:val="18"/>
                <w:szCs w:val="18"/>
              </w:rPr>
              <w:t>比例</w:t>
            </w:r>
          </w:p>
        </w:tc>
        <w:tc>
          <w:tcPr>
            <w:tcW w:w="1124" w:type="dxa"/>
            <w:tcBorders>
              <w:top w:val="nil" w:sz="6" w:space="0" w:color="auto"/>
              <w:left w:val="nil" w:sz="6" w:space="0" w:color="auto"/>
              <w:bottom w:val="nil" w:sz="6" w:space="0" w:color="auto"/>
              <w:right w:val="nil" w:sz="6" w:space="0" w:color="auto"/>
            </w:tcBorders>
          </w:tcPr>
          <w:p>
            <w:pPr>
              <w:pStyle w:val="TableParagraph"/>
              <w:spacing w:line="214" w:lineRule="exact"/>
              <w:ind w:right="82"/>
              <w:jc w:val="right"/>
              <w:rPr>
                <w:rFonts w:ascii="黑体" w:hAnsi="黑体" w:cs="黑体" w:eastAsia="黑体" w:hint="default"/>
                <w:sz w:val="18"/>
                <w:szCs w:val="18"/>
              </w:rPr>
            </w:pPr>
            <w:r>
              <w:rPr>
                <w:rFonts w:ascii="黑体" w:hAnsi="黑体" w:cs="黑体" w:eastAsia="黑体" w:hint="default"/>
                <w:sz w:val="18"/>
                <w:szCs w:val="18"/>
              </w:rPr>
              <w:t>金额</w:t>
            </w:r>
          </w:p>
        </w:tc>
        <w:tc>
          <w:tcPr>
            <w:tcW w:w="685" w:type="dxa"/>
            <w:tcBorders>
              <w:top w:val="nil" w:sz="6" w:space="0" w:color="auto"/>
              <w:left w:val="nil" w:sz="6" w:space="0" w:color="auto"/>
              <w:bottom w:val="nil" w:sz="6" w:space="0" w:color="auto"/>
              <w:right w:val="nil" w:sz="6" w:space="0" w:color="auto"/>
            </w:tcBorders>
          </w:tcPr>
          <w:p>
            <w:pPr>
              <w:pStyle w:val="TableParagraph"/>
              <w:spacing w:line="214" w:lineRule="exact"/>
              <w:ind w:left="164" w:right="0" w:hanging="81"/>
              <w:jc w:val="left"/>
              <w:rPr>
                <w:rFonts w:ascii="黑体" w:hAnsi="黑体" w:cs="黑体" w:eastAsia="黑体" w:hint="default"/>
                <w:sz w:val="18"/>
                <w:szCs w:val="18"/>
              </w:rPr>
            </w:pPr>
            <w:r>
              <w:rPr>
                <w:rFonts w:ascii="黑体" w:hAnsi="黑体" w:cs="黑体" w:eastAsia="黑体" w:hint="default"/>
                <w:sz w:val="18"/>
                <w:szCs w:val="18"/>
              </w:rPr>
              <w:t>比例</w:t>
            </w:r>
          </w:p>
          <w:p>
            <w:pPr>
              <w:pStyle w:val="TableParagraph"/>
              <w:spacing w:line="240" w:lineRule="auto" w:before="61"/>
              <w:ind w:left="164" w:right="0"/>
              <w:jc w:val="left"/>
              <w:rPr>
                <w:rFonts w:ascii="Arial" w:hAnsi="Arial" w:cs="Arial" w:eastAsia="Arial" w:hint="default"/>
                <w:sz w:val="18"/>
                <w:szCs w:val="18"/>
              </w:rPr>
            </w:pPr>
            <w:r>
              <w:rPr>
                <w:rFonts w:ascii="Arial"/>
                <w:sz w:val="18"/>
              </w:rPr>
              <w:t>(%)</w:t>
            </w:r>
          </w:p>
        </w:tc>
        <w:tc>
          <w:tcPr>
            <w:tcW w:w="1244" w:type="dxa"/>
            <w:tcBorders>
              <w:top w:val="nil" w:sz="6" w:space="0" w:color="auto"/>
              <w:left w:val="nil" w:sz="6" w:space="0" w:color="auto"/>
              <w:bottom w:val="nil" w:sz="6" w:space="0" w:color="auto"/>
              <w:right w:val="nil" w:sz="6" w:space="0" w:color="auto"/>
            </w:tcBorders>
          </w:tcPr>
          <w:p>
            <w:pPr>
              <w:pStyle w:val="TableParagraph"/>
              <w:spacing w:line="214" w:lineRule="exact"/>
              <w:ind w:right="101"/>
              <w:jc w:val="right"/>
              <w:rPr>
                <w:rFonts w:ascii="黑体" w:hAnsi="黑体" w:cs="黑体" w:eastAsia="黑体" w:hint="default"/>
                <w:sz w:val="18"/>
                <w:szCs w:val="18"/>
              </w:rPr>
            </w:pPr>
            <w:r>
              <w:rPr>
                <w:rFonts w:ascii="黑体" w:hAnsi="黑体" w:cs="黑体" w:eastAsia="黑体" w:hint="default"/>
                <w:sz w:val="18"/>
                <w:szCs w:val="18"/>
              </w:rPr>
              <w:t>金额</w:t>
            </w:r>
          </w:p>
        </w:tc>
        <w:tc>
          <w:tcPr>
            <w:tcW w:w="499" w:type="dxa"/>
            <w:tcBorders>
              <w:top w:val="nil" w:sz="6" w:space="0" w:color="auto"/>
              <w:left w:val="nil" w:sz="6" w:space="0" w:color="auto"/>
              <w:bottom w:val="nil" w:sz="6" w:space="0" w:color="auto"/>
              <w:right w:val="nil" w:sz="6" w:space="0" w:color="auto"/>
            </w:tcBorders>
          </w:tcPr>
          <w:p>
            <w:pPr>
              <w:pStyle w:val="TableParagraph"/>
              <w:spacing w:line="214" w:lineRule="exact"/>
              <w:ind w:left="103" w:right="0"/>
              <w:jc w:val="left"/>
              <w:rPr>
                <w:rFonts w:ascii="黑体" w:hAnsi="黑体" w:cs="黑体" w:eastAsia="黑体" w:hint="default"/>
                <w:sz w:val="18"/>
                <w:szCs w:val="18"/>
              </w:rPr>
            </w:pPr>
            <w:r>
              <w:rPr>
                <w:rFonts w:ascii="黑体" w:hAnsi="黑体" w:cs="黑体" w:eastAsia="黑体" w:hint="default"/>
                <w:sz w:val="18"/>
                <w:szCs w:val="18"/>
              </w:rPr>
              <w:t>计提</w:t>
            </w:r>
          </w:p>
          <w:p>
            <w:pPr>
              <w:pStyle w:val="TableParagraph"/>
              <w:spacing w:line="240" w:lineRule="auto" w:before="20"/>
              <w:ind w:left="103" w:right="0"/>
              <w:jc w:val="left"/>
              <w:rPr>
                <w:rFonts w:ascii="黑体" w:hAnsi="黑体" w:cs="黑体" w:eastAsia="黑体" w:hint="default"/>
                <w:sz w:val="18"/>
                <w:szCs w:val="18"/>
              </w:rPr>
            </w:pPr>
            <w:r>
              <w:rPr>
                <w:rFonts w:ascii="黑体" w:hAnsi="黑体" w:cs="黑体" w:eastAsia="黑体" w:hint="default"/>
                <w:sz w:val="18"/>
                <w:szCs w:val="18"/>
              </w:rPr>
              <w:t>比例</w:t>
            </w:r>
          </w:p>
        </w:tc>
      </w:tr>
      <w:tr>
        <w:trPr>
          <w:trHeight w:val="251" w:hRule="exact"/>
        </w:trPr>
        <w:tc>
          <w:tcPr>
            <w:tcW w:w="882" w:type="dxa"/>
            <w:vMerge/>
            <w:tcBorders>
              <w:left w:val="nil" w:sz="6" w:space="0" w:color="auto"/>
              <w:bottom w:val="nil" w:sz="6" w:space="0" w:color="auto"/>
              <w:right w:val="nil" w:sz="6" w:space="0" w:color="auto"/>
            </w:tcBorders>
          </w:tcPr>
          <w:p>
            <w:pPr/>
          </w:p>
        </w:tc>
        <w:tc>
          <w:tcPr>
            <w:tcW w:w="1148" w:type="dxa"/>
            <w:tcBorders>
              <w:top w:val="nil" w:sz="6" w:space="0" w:color="auto"/>
              <w:left w:val="nil" w:sz="6" w:space="0" w:color="auto"/>
              <w:bottom w:val="nil" w:sz="6" w:space="0" w:color="auto"/>
              <w:right w:val="nil" w:sz="6" w:space="0" w:color="auto"/>
            </w:tcBorders>
          </w:tcPr>
          <w:p>
            <w:pPr/>
          </w:p>
        </w:tc>
        <w:tc>
          <w:tcPr>
            <w:tcW w:w="583" w:type="dxa"/>
            <w:tcBorders>
              <w:top w:val="nil" w:sz="6" w:space="0" w:color="auto"/>
              <w:left w:val="nil" w:sz="6" w:space="0" w:color="auto"/>
              <w:bottom w:val="nil" w:sz="6" w:space="0" w:color="auto"/>
              <w:right w:val="nil" w:sz="6" w:space="0" w:color="auto"/>
            </w:tcBorders>
          </w:tcPr>
          <w:p>
            <w:pPr/>
          </w:p>
        </w:tc>
        <w:tc>
          <w:tcPr>
            <w:tcW w:w="1121" w:type="dxa"/>
            <w:tcBorders>
              <w:top w:val="nil" w:sz="6" w:space="0" w:color="auto"/>
              <w:left w:val="nil" w:sz="6" w:space="0" w:color="auto"/>
              <w:bottom w:val="nil" w:sz="6" w:space="0" w:color="auto"/>
              <w:right w:val="nil" w:sz="6" w:space="0" w:color="auto"/>
            </w:tcBorders>
          </w:tcPr>
          <w:p>
            <w:pPr/>
          </w:p>
        </w:tc>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2" w:right="0"/>
              <w:jc w:val="center"/>
              <w:rPr>
                <w:rFonts w:ascii="Arial" w:hAnsi="Arial" w:cs="Arial" w:eastAsia="Arial" w:hint="default"/>
                <w:sz w:val="18"/>
                <w:szCs w:val="18"/>
              </w:rPr>
            </w:pPr>
            <w:r>
              <w:rPr>
                <w:rFonts w:ascii="Arial"/>
                <w:sz w:val="18"/>
              </w:rPr>
              <w:t>(%)</w:t>
            </w:r>
          </w:p>
        </w:tc>
        <w:tc>
          <w:tcPr>
            <w:tcW w:w="1124" w:type="dxa"/>
            <w:tcBorders>
              <w:top w:val="nil" w:sz="6" w:space="0" w:color="auto"/>
              <w:left w:val="nil" w:sz="6" w:space="0" w:color="auto"/>
              <w:bottom w:val="nil" w:sz="6" w:space="0" w:color="auto"/>
              <w:right w:val="nil" w:sz="6" w:space="0" w:color="auto"/>
            </w:tcBorders>
          </w:tcPr>
          <w:p>
            <w:pPr/>
          </w:p>
        </w:tc>
        <w:tc>
          <w:tcPr>
            <w:tcW w:w="685"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
        </w:tc>
        <w:tc>
          <w:tcPr>
            <w:tcW w:w="49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4"/>
              <w:jc w:val="right"/>
              <w:rPr>
                <w:rFonts w:ascii="Arial" w:hAnsi="Arial" w:cs="Arial" w:eastAsia="Arial" w:hint="default"/>
                <w:sz w:val="18"/>
                <w:szCs w:val="18"/>
              </w:rPr>
            </w:pPr>
            <w:r>
              <w:rPr>
                <w:rFonts w:ascii="Arial"/>
                <w:spacing w:val="-1"/>
                <w:sz w:val="18"/>
              </w:rPr>
              <w:t>(%)</w:t>
            </w:r>
            <w:r>
              <w:rPr>
                <w:rFonts w:ascii="Arial"/>
                <w:sz w:val="18"/>
              </w:rPr>
            </w:r>
          </w:p>
        </w:tc>
      </w:tr>
      <w:tr>
        <w:trPr>
          <w:trHeight w:val="255"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18"/>
                <w:szCs w:val="18"/>
              </w:rPr>
            </w:pPr>
            <w:r>
              <w:rPr>
                <w:rFonts w:ascii="Arial" w:hAnsi="Arial" w:cs="Arial" w:eastAsia="Arial" w:hint="default"/>
                <w:sz w:val="18"/>
                <w:szCs w:val="18"/>
              </w:rPr>
              <w:t>1-2</w:t>
            </w:r>
            <w:r>
              <w:rPr>
                <w:rFonts w:ascii="Arial" w:hAnsi="Arial" w:cs="Arial" w:eastAsia="Arial" w:hint="default"/>
                <w:spacing w:val="-9"/>
                <w:sz w:val="18"/>
                <w:szCs w:val="18"/>
              </w:rPr>
              <w:t> </w:t>
            </w:r>
            <w:r>
              <w:rPr>
                <w:rFonts w:ascii="黑体" w:hAnsi="黑体" w:cs="黑体" w:eastAsia="黑体" w:hint="default"/>
                <w:sz w:val="18"/>
                <w:szCs w:val="18"/>
              </w:rPr>
              <w:t>年</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82"/>
              <w:jc w:val="right"/>
              <w:rPr>
                <w:rFonts w:ascii="Arial" w:hAnsi="Arial" w:cs="Arial" w:eastAsia="Arial" w:hint="default"/>
                <w:sz w:val="18"/>
                <w:szCs w:val="18"/>
              </w:rPr>
            </w:pPr>
            <w:r>
              <w:rPr>
                <w:rFonts w:ascii="Arial"/>
                <w:spacing w:val="-1"/>
                <w:sz w:val="18"/>
              </w:rPr>
              <w:t>27,418,276</w:t>
            </w:r>
          </w:p>
        </w:tc>
        <w:tc>
          <w:tcPr>
            <w:tcW w:w="58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6"/>
              <w:jc w:val="right"/>
              <w:rPr>
                <w:rFonts w:ascii="Arial" w:hAnsi="Arial" w:cs="Arial" w:eastAsia="Arial" w:hint="default"/>
                <w:sz w:val="18"/>
                <w:szCs w:val="18"/>
              </w:rPr>
            </w:pPr>
            <w:r>
              <w:rPr>
                <w:rFonts w:ascii="Arial"/>
                <w:spacing w:val="-1"/>
                <w:sz w:val="18"/>
              </w:rPr>
              <w:t>48</w:t>
            </w: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80"/>
              <w:jc w:val="right"/>
              <w:rPr>
                <w:rFonts w:ascii="Arial" w:hAnsi="Arial" w:cs="Arial" w:eastAsia="Arial" w:hint="default"/>
                <w:sz w:val="18"/>
                <w:szCs w:val="18"/>
              </w:rPr>
            </w:pPr>
            <w:r>
              <w:rPr>
                <w:rFonts w:ascii="Arial"/>
                <w:spacing w:val="-1"/>
                <w:sz w:val="18"/>
              </w:rPr>
              <w:t>4,325,170</w:t>
            </w:r>
          </w:p>
        </w:tc>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02" w:right="0"/>
              <w:jc w:val="center"/>
              <w:rPr>
                <w:rFonts w:ascii="Arial" w:hAnsi="Arial" w:cs="Arial" w:eastAsia="Arial" w:hint="default"/>
                <w:sz w:val="18"/>
                <w:szCs w:val="18"/>
              </w:rPr>
            </w:pPr>
            <w:r>
              <w:rPr>
                <w:rFonts w:ascii="Arial"/>
                <w:sz w:val="18"/>
              </w:rPr>
              <w:t>16</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82"/>
              <w:jc w:val="right"/>
              <w:rPr>
                <w:rFonts w:ascii="Arial" w:hAnsi="Arial" w:cs="Arial" w:eastAsia="Arial" w:hint="default"/>
                <w:sz w:val="18"/>
                <w:szCs w:val="18"/>
              </w:rPr>
            </w:pPr>
            <w:r>
              <w:rPr>
                <w:rFonts w:ascii="Arial"/>
                <w:spacing w:val="-1"/>
                <w:sz w:val="18"/>
              </w:rPr>
              <w:t>5,990,907</w:t>
            </w:r>
          </w:p>
        </w:tc>
        <w:tc>
          <w:tcPr>
            <w:tcW w:w="68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37"/>
              <w:jc w:val="right"/>
              <w:rPr>
                <w:rFonts w:ascii="Arial" w:hAnsi="Arial" w:cs="Arial" w:eastAsia="Arial" w:hint="default"/>
                <w:sz w:val="18"/>
                <w:szCs w:val="18"/>
              </w:rPr>
            </w:pPr>
            <w:r>
              <w:rPr>
                <w:rFonts w:ascii="Arial"/>
                <w:spacing w:val="-1"/>
                <w:sz w:val="18"/>
              </w:rPr>
              <w:t>21</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1"/>
              <w:jc w:val="right"/>
              <w:rPr>
                <w:rFonts w:ascii="Arial" w:hAnsi="Arial" w:cs="Arial" w:eastAsia="Arial" w:hint="default"/>
                <w:sz w:val="18"/>
                <w:szCs w:val="18"/>
              </w:rPr>
            </w:pPr>
            <w:r>
              <w:rPr>
                <w:rFonts w:ascii="Arial"/>
                <w:spacing w:val="-1"/>
                <w:sz w:val="18"/>
              </w:rPr>
              <w:t>3,761,138</w:t>
            </w:r>
          </w:p>
        </w:tc>
        <w:tc>
          <w:tcPr>
            <w:tcW w:w="49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3"/>
              <w:jc w:val="right"/>
              <w:rPr>
                <w:rFonts w:ascii="Arial" w:hAnsi="Arial" w:cs="Arial" w:eastAsia="Arial" w:hint="default"/>
                <w:sz w:val="18"/>
                <w:szCs w:val="18"/>
              </w:rPr>
            </w:pPr>
            <w:r>
              <w:rPr>
                <w:rFonts w:ascii="Arial"/>
                <w:spacing w:val="-1"/>
                <w:sz w:val="18"/>
              </w:rPr>
              <w:t>63</w:t>
            </w:r>
          </w:p>
        </w:tc>
      </w:tr>
      <w:tr>
        <w:trPr>
          <w:trHeight w:val="255"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18"/>
                <w:szCs w:val="18"/>
              </w:rPr>
            </w:pPr>
            <w:r>
              <w:rPr>
                <w:rFonts w:ascii="Arial" w:hAnsi="Arial" w:cs="Arial" w:eastAsia="Arial" w:hint="default"/>
                <w:sz w:val="18"/>
                <w:szCs w:val="18"/>
              </w:rPr>
              <w:t>2-3</w:t>
            </w:r>
            <w:r>
              <w:rPr>
                <w:rFonts w:ascii="Arial" w:hAnsi="Arial" w:cs="Arial" w:eastAsia="Arial" w:hint="default"/>
                <w:spacing w:val="-9"/>
                <w:sz w:val="18"/>
                <w:szCs w:val="18"/>
              </w:rPr>
              <w:t> </w:t>
            </w:r>
            <w:r>
              <w:rPr>
                <w:rFonts w:ascii="黑体" w:hAnsi="黑体" w:cs="黑体" w:eastAsia="黑体" w:hint="default"/>
                <w:sz w:val="18"/>
                <w:szCs w:val="18"/>
              </w:rPr>
              <w:t>年</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81"/>
              <w:jc w:val="right"/>
              <w:rPr>
                <w:rFonts w:ascii="Arial" w:hAnsi="Arial" w:cs="Arial" w:eastAsia="Arial" w:hint="default"/>
                <w:sz w:val="18"/>
                <w:szCs w:val="18"/>
              </w:rPr>
            </w:pPr>
            <w:r>
              <w:rPr>
                <w:rFonts w:ascii="Arial"/>
                <w:spacing w:val="-1"/>
                <w:sz w:val="18"/>
              </w:rPr>
              <w:t>9,468,965</w:t>
            </w:r>
          </w:p>
        </w:tc>
        <w:tc>
          <w:tcPr>
            <w:tcW w:w="58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6"/>
              <w:jc w:val="right"/>
              <w:rPr>
                <w:rFonts w:ascii="Arial" w:hAnsi="Arial" w:cs="Arial" w:eastAsia="Arial" w:hint="default"/>
                <w:sz w:val="18"/>
                <w:szCs w:val="18"/>
              </w:rPr>
            </w:pPr>
            <w:r>
              <w:rPr>
                <w:rFonts w:ascii="Arial"/>
                <w:spacing w:val="-1"/>
                <w:sz w:val="18"/>
              </w:rPr>
              <w:t>16</w:t>
            </w: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80"/>
              <w:jc w:val="right"/>
              <w:rPr>
                <w:rFonts w:ascii="Arial" w:hAnsi="Arial" w:cs="Arial" w:eastAsia="Arial" w:hint="default"/>
                <w:sz w:val="18"/>
                <w:szCs w:val="18"/>
              </w:rPr>
            </w:pPr>
            <w:r>
              <w:rPr>
                <w:rFonts w:ascii="Arial"/>
                <w:spacing w:val="-1"/>
                <w:sz w:val="18"/>
              </w:rPr>
              <w:t>2,919,060</w:t>
            </w:r>
          </w:p>
        </w:tc>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02" w:right="0"/>
              <w:jc w:val="center"/>
              <w:rPr>
                <w:rFonts w:ascii="Arial" w:hAnsi="Arial" w:cs="Arial" w:eastAsia="Arial" w:hint="default"/>
                <w:sz w:val="18"/>
                <w:szCs w:val="18"/>
              </w:rPr>
            </w:pPr>
            <w:r>
              <w:rPr>
                <w:rFonts w:ascii="Arial"/>
                <w:sz w:val="18"/>
              </w:rPr>
              <w:t>31</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82"/>
              <w:jc w:val="right"/>
              <w:rPr>
                <w:rFonts w:ascii="Arial" w:hAnsi="Arial" w:cs="Arial" w:eastAsia="Arial" w:hint="default"/>
                <w:sz w:val="18"/>
                <w:szCs w:val="18"/>
              </w:rPr>
            </w:pPr>
            <w:r>
              <w:rPr>
                <w:rFonts w:ascii="Arial"/>
                <w:spacing w:val="-1"/>
                <w:sz w:val="18"/>
              </w:rPr>
              <w:t>8,305,447</w:t>
            </w:r>
          </w:p>
        </w:tc>
        <w:tc>
          <w:tcPr>
            <w:tcW w:w="68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38"/>
              <w:jc w:val="right"/>
              <w:rPr>
                <w:rFonts w:ascii="Arial" w:hAnsi="Arial" w:cs="Arial" w:eastAsia="Arial" w:hint="default"/>
                <w:sz w:val="18"/>
                <w:szCs w:val="18"/>
              </w:rPr>
            </w:pPr>
            <w:r>
              <w:rPr>
                <w:rFonts w:ascii="Arial"/>
                <w:spacing w:val="-1"/>
                <w:sz w:val="18"/>
              </w:rPr>
              <w:t>29</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1"/>
              <w:jc w:val="right"/>
              <w:rPr>
                <w:rFonts w:ascii="Arial" w:hAnsi="Arial" w:cs="Arial" w:eastAsia="Arial" w:hint="default"/>
                <w:sz w:val="18"/>
                <w:szCs w:val="18"/>
              </w:rPr>
            </w:pPr>
            <w:r>
              <w:rPr>
                <w:rFonts w:ascii="Arial"/>
                <w:spacing w:val="-1"/>
                <w:sz w:val="18"/>
              </w:rPr>
              <w:t>4,500,524</w:t>
            </w:r>
          </w:p>
        </w:tc>
        <w:tc>
          <w:tcPr>
            <w:tcW w:w="49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3"/>
              <w:jc w:val="right"/>
              <w:rPr>
                <w:rFonts w:ascii="Arial" w:hAnsi="Arial" w:cs="Arial" w:eastAsia="Arial" w:hint="default"/>
                <w:sz w:val="18"/>
                <w:szCs w:val="18"/>
              </w:rPr>
            </w:pPr>
            <w:r>
              <w:rPr>
                <w:rFonts w:ascii="Arial"/>
                <w:spacing w:val="-1"/>
                <w:sz w:val="18"/>
              </w:rPr>
              <w:t>54</w:t>
            </w:r>
          </w:p>
        </w:tc>
      </w:tr>
      <w:tr>
        <w:trPr>
          <w:trHeight w:val="260"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18"/>
                <w:szCs w:val="18"/>
              </w:rPr>
            </w:pPr>
            <w:r>
              <w:rPr>
                <w:rFonts w:ascii="Arial" w:hAnsi="Arial" w:cs="Arial" w:eastAsia="Arial" w:hint="default"/>
                <w:sz w:val="18"/>
                <w:szCs w:val="18"/>
              </w:rPr>
              <w:t>3</w:t>
            </w:r>
            <w:r>
              <w:rPr>
                <w:rFonts w:ascii="Arial" w:hAnsi="Arial" w:cs="Arial" w:eastAsia="Arial" w:hint="default"/>
                <w:spacing w:val="-8"/>
                <w:sz w:val="18"/>
                <w:szCs w:val="18"/>
              </w:rPr>
              <w:t> </w:t>
            </w:r>
            <w:r>
              <w:rPr>
                <w:rFonts w:ascii="黑体" w:hAnsi="黑体" w:cs="黑体" w:eastAsia="黑体" w:hint="default"/>
                <w:sz w:val="18"/>
                <w:szCs w:val="18"/>
              </w:rPr>
              <w:t>年以上</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82"/>
              <w:jc w:val="right"/>
              <w:rPr>
                <w:rFonts w:ascii="Arial" w:hAnsi="Arial" w:cs="Arial" w:eastAsia="Arial" w:hint="default"/>
                <w:sz w:val="18"/>
                <w:szCs w:val="18"/>
              </w:rPr>
            </w:pPr>
            <w:r>
              <w:rPr>
                <w:rFonts w:ascii="Arial"/>
                <w:w w:val="99"/>
                <w:sz w:val="18"/>
              </w:rPr>
            </w:r>
            <w:r>
              <w:rPr>
                <w:rFonts w:ascii="Arial"/>
                <w:spacing w:val="-1"/>
                <w:sz w:val="18"/>
                <w:u w:val="single" w:color="000000"/>
              </w:rPr>
              <w:t>21,120,884</w:t>
            </w:r>
            <w:r>
              <w:rPr>
                <w:rFonts w:ascii="Arial"/>
                <w:spacing w:val="-1"/>
                <w:sz w:val="18"/>
              </w:rPr>
            </w:r>
          </w:p>
        </w:tc>
        <w:tc>
          <w:tcPr>
            <w:tcW w:w="58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6"/>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w w:val="95"/>
                <w:sz w:val="18"/>
                <w:u w:val="single" w:color="000000"/>
              </w:rPr>
              <w:t>36</w:t>
            </w:r>
            <w:r>
              <w:rPr>
                <w:rFonts w:ascii="Arial"/>
                <w:spacing w:val="-1"/>
                <w:w w:val="95"/>
                <w:sz w:val="18"/>
              </w:rPr>
            </w:r>
            <w:r>
              <w:rPr>
                <w:rFonts w:ascii="Arial"/>
                <w:sz w:val="18"/>
              </w:rPr>
            </w: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80"/>
              <w:jc w:val="right"/>
              <w:rPr>
                <w:rFonts w:ascii="Arial" w:hAnsi="Arial" w:cs="Arial" w:eastAsia="Arial" w:hint="default"/>
                <w:sz w:val="18"/>
                <w:szCs w:val="18"/>
              </w:rPr>
            </w:pPr>
            <w:r>
              <w:rPr>
                <w:rFonts w:ascii="Arial"/>
                <w:w w:val="99"/>
                <w:sz w:val="18"/>
              </w:rPr>
            </w:r>
            <w:r>
              <w:rPr>
                <w:rFonts w:ascii="Arial"/>
                <w:spacing w:val="-1"/>
                <w:sz w:val="18"/>
                <w:u w:val="single" w:color="000000"/>
              </w:rPr>
              <w:t>19,831,984</w:t>
            </w:r>
            <w:r>
              <w:rPr>
                <w:rFonts w:ascii="Arial"/>
                <w:spacing w:val="-1"/>
                <w:sz w:val="18"/>
              </w:rPr>
            </w:r>
          </w:p>
        </w:tc>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04" w:right="0"/>
              <w:jc w:val="center"/>
              <w:rPr>
                <w:rFonts w:ascii="Arial" w:hAnsi="Arial" w:cs="Arial" w:eastAsia="Arial" w:hint="default"/>
                <w:sz w:val="18"/>
                <w:szCs w:val="18"/>
              </w:rPr>
            </w:pPr>
            <w:r>
              <w:rPr>
                <w:rFonts w:ascii="Arial"/>
                <w:sz w:val="18"/>
              </w:rPr>
              <w:t>94</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82"/>
              <w:jc w:val="right"/>
              <w:rPr>
                <w:rFonts w:ascii="Arial" w:hAnsi="Arial" w:cs="Arial" w:eastAsia="Arial" w:hint="default"/>
                <w:sz w:val="18"/>
                <w:szCs w:val="18"/>
              </w:rPr>
            </w:pPr>
            <w:r>
              <w:rPr>
                <w:rFonts w:ascii="Arial"/>
                <w:w w:val="99"/>
                <w:sz w:val="18"/>
              </w:rPr>
            </w:r>
            <w:r>
              <w:rPr>
                <w:rFonts w:ascii="Arial"/>
                <w:spacing w:val="-1"/>
                <w:sz w:val="18"/>
                <w:u w:val="single" w:color="000000"/>
              </w:rPr>
              <w:t>14,319,677</w:t>
            </w:r>
            <w:r>
              <w:rPr>
                <w:rFonts w:ascii="Arial"/>
                <w:spacing w:val="-1"/>
                <w:sz w:val="18"/>
              </w:rPr>
            </w:r>
          </w:p>
        </w:tc>
        <w:tc>
          <w:tcPr>
            <w:tcW w:w="68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38"/>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1"/>
                <w:sz w:val="18"/>
                <w:u w:val="single" w:color="000000"/>
              </w:rPr>
              <w:t> </w:t>
            </w:r>
            <w:r>
              <w:rPr>
                <w:rFonts w:ascii="Arial"/>
                <w:spacing w:val="-1"/>
                <w:w w:val="95"/>
                <w:sz w:val="18"/>
                <w:u w:val="single" w:color="000000"/>
              </w:rPr>
              <w:t>50</w:t>
            </w:r>
            <w:r>
              <w:rPr>
                <w:rFonts w:ascii="Arial"/>
                <w:spacing w:val="-1"/>
                <w:w w:val="95"/>
                <w:sz w:val="18"/>
              </w:rPr>
            </w:r>
            <w:r>
              <w:rPr>
                <w:rFonts w:ascii="Arial"/>
                <w:sz w:val="18"/>
              </w:rPr>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1"/>
              <w:jc w:val="right"/>
              <w:rPr>
                <w:rFonts w:ascii="Arial" w:hAnsi="Arial" w:cs="Arial" w:eastAsia="Arial" w:hint="default"/>
                <w:sz w:val="18"/>
                <w:szCs w:val="18"/>
              </w:rPr>
            </w:pPr>
            <w:r>
              <w:rPr>
                <w:rFonts w:ascii="Arial"/>
                <w:w w:val="99"/>
                <w:sz w:val="18"/>
              </w:rPr>
            </w:r>
            <w:r>
              <w:rPr>
                <w:rFonts w:ascii="Arial"/>
                <w:spacing w:val="-1"/>
                <w:sz w:val="18"/>
                <w:u w:val="single" w:color="000000"/>
              </w:rPr>
              <w:t>14,311,869</w:t>
            </w:r>
            <w:r>
              <w:rPr>
                <w:rFonts w:ascii="Arial"/>
                <w:spacing w:val="-1"/>
                <w:sz w:val="18"/>
              </w:rPr>
            </w:r>
          </w:p>
        </w:tc>
        <w:tc>
          <w:tcPr>
            <w:tcW w:w="49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3"/>
              <w:jc w:val="right"/>
              <w:rPr>
                <w:rFonts w:ascii="Arial" w:hAnsi="Arial" w:cs="Arial" w:eastAsia="Arial" w:hint="default"/>
                <w:sz w:val="18"/>
                <w:szCs w:val="18"/>
              </w:rPr>
            </w:pPr>
            <w:r>
              <w:rPr>
                <w:rFonts w:ascii="Arial"/>
                <w:spacing w:val="-1"/>
                <w:w w:val="95"/>
                <w:sz w:val="18"/>
              </w:rPr>
              <w:t>100</w:t>
            </w:r>
            <w:r>
              <w:rPr>
                <w:rFonts w:ascii="Arial"/>
                <w:sz w:val="18"/>
              </w:rPr>
            </w:r>
          </w:p>
        </w:tc>
      </w:tr>
      <w:tr>
        <w:trPr>
          <w:trHeight w:val="317" w:hRule="exact"/>
        </w:trPr>
        <w:tc>
          <w:tcPr>
            <w:tcW w:w="882" w:type="dxa"/>
            <w:tcBorders>
              <w:top w:val="nil" w:sz="6" w:space="0" w:color="auto"/>
              <w:left w:val="nil" w:sz="6" w:space="0" w:color="auto"/>
              <w:bottom w:val="nil" w:sz="6" w:space="0" w:color="auto"/>
              <w:right w:val="nil" w:sz="6" w:space="0" w:color="auto"/>
            </w:tcBorders>
          </w:tcPr>
          <w:p>
            <w:pP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2"/>
              <w:jc w:val="right"/>
              <w:rPr>
                <w:rFonts w:ascii="Arial" w:hAnsi="Arial" w:cs="Arial" w:eastAsia="Arial" w:hint="default"/>
                <w:sz w:val="18"/>
                <w:szCs w:val="18"/>
              </w:rPr>
            </w:pPr>
            <w:r>
              <w:rPr>
                <w:rFonts w:ascii="Arial"/>
                <w:w w:val="99"/>
                <w:sz w:val="18"/>
              </w:rPr>
            </w:r>
            <w:r>
              <w:rPr>
                <w:rFonts w:ascii="Arial"/>
                <w:spacing w:val="-1"/>
                <w:sz w:val="18"/>
                <w:u w:val="thick" w:color="000000"/>
              </w:rPr>
              <w:t>58,008,125</w:t>
            </w:r>
            <w:r>
              <w:rPr>
                <w:rFonts w:ascii="Arial"/>
                <w:spacing w:val="-1"/>
                <w:sz w:val="18"/>
              </w:rPr>
            </w:r>
          </w:p>
        </w:tc>
        <w:tc>
          <w:tcPr>
            <w:tcW w:w="58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36"/>
              <w:jc w:val="right"/>
              <w:rPr>
                <w:rFonts w:ascii="Arial" w:hAnsi="Arial" w:cs="Arial" w:eastAsia="Arial" w:hint="default"/>
                <w:sz w:val="18"/>
                <w:szCs w:val="18"/>
              </w:rPr>
            </w:pPr>
            <w:r>
              <w:rPr>
                <w:rFonts w:ascii="Arial"/>
                <w:w w:val="99"/>
                <w:sz w:val="18"/>
              </w:rPr>
            </w:r>
            <w:r>
              <w:rPr>
                <w:rFonts w:ascii="Arial"/>
                <w:spacing w:val="-1"/>
                <w:w w:val="95"/>
                <w:sz w:val="18"/>
                <w:u w:val="thick" w:color="000000"/>
              </w:rPr>
              <w:t>100</w:t>
            </w:r>
            <w:r>
              <w:rPr>
                <w:rFonts w:ascii="Arial"/>
                <w:spacing w:val="-1"/>
                <w:w w:val="95"/>
                <w:sz w:val="18"/>
              </w:rPr>
            </w:r>
            <w:r>
              <w:rPr>
                <w:rFonts w:ascii="Arial"/>
                <w:sz w:val="18"/>
              </w:rPr>
            </w: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0"/>
              <w:jc w:val="right"/>
              <w:rPr>
                <w:rFonts w:ascii="Arial" w:hAnsi="Arial" w:cs="Arial" w:eastAsia="Arial" w:hint="default"/>
                <w:sz w:val="18"/>
                <w:szCs w:val="18"/>
              </w:rPr>
            </w:pPr>
            <w:r>
              <w:rPr>
                <w:rFonts w:ascii="Arial"/>
                <w:w w:val="99"/>
                <w:sz w:val="18"/>
              </w:rPr>
            </w:r>
            <w:r>
              <w:rPr>
                <w:rFonts w:ascii="Arial"/>
                <w:spacing w:val="-1"/>
                <w:sz w:val="18"/>
                <w:u w:val="thick" w:color="000000"/>
              </w:rPr>
              <w:t>27,076,214</w:t>
            </w:r>
            <w:r>
              <w:rPr>
                <w:rFonts w:ascii="Arial"/>
                <w:spacing w:val="-1"/>
                <w:sz w:val="18"/>
              </w:rPr>
            </w:r>
          </w:p>
        </w:tc>
        <w:tc>
          <w:tcPr>
            <w:tcW w:w="582" w:type="dxa"/>
            <w:tcBorders>
              <w:top w:val="nil" w:sz="6" w:space="0" w:color="auto"/>
              <w:left w:val="nil" w:sz="6" w:space="0" w:color="auto"/>
              <w:bottom w:val="nil" w:sz="6" w:space="0" w:color="auto"/>
              <w:right w:val="nil" w:sz="6" w:space="0" w:color="auto"/>
            </w:tcBorders>
          </w:tcPr>
          <w:p>
            <w:pP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2"/>
              <w:jc w:val="right"/>
              <w:rPr>
                <w:rFonts w:ascii="Arial" w:hAnsi="Arial" w:cs="Arial" w:eastAsia="Arial" w:hint="default"/>
                <w:sz w:val="18"/>
                <w:szCs w:val="18"/>
              </w:rPr>
            </w:pPr>
            <w:r>
              <w:rPr>
                <w:rFonts w:ascii="Arial"/>
                <w:w w:val="99"/>
                <w:sz w:val="18"/>
              </w:rPr>
            </w:r>
            <w:r>
              <w:rPr>
                <w:rFonts w:ascii="Arial"/>
                <w:spacing w:val="-1"/>
                <w:sz w:val="18"/>
                <w:u w:val="thick" w:color="000000"/>
              </w:rPr>
              <w:t>28,616,031</w:t>
            </w:r>
            <w:r>
              <w:rPr>
                <w:rFonts w:ascii="Arial"/>
                <w:spacing w:val="-1"/>
                <w:sz w:val="18"/>
              </w:rPr>
            </w:r>
          </w:p>
        </w:tc>
        <w:tc>
          <w:tcPr>
            <w:tcW w:w="68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38"/>
              <w:jc w:val="right"/>
              <w:rPr>
                <w:rFonts w:ascii="Arial" w:hAnsi="Arial" w:cs="Arial" w:eastAsia="Arial" w:hint="default"/>
                <w:sz w:val="18"/>
                <w:szCs w:val="18"/>
              </w:rPr>
            </w:pPr>
            <w:r>
              <w:rPr>
                <w:rFonts w:ascii="Arial"/>
                <w:w w:val="99"/>
                <w:sz w:val="18"/>
              </w:rPr>
            </w:r>
            <w:r>
              <w:rPr>
                <w:rFonts w:ascii="Arial"/>
                <w:spacing w:val="-1"/>
                <w:w w:val="95"/>
                <w:sz w:val="18"/>
                <w:u w:val="thick" w:color="000000"/>
              </w:rPr>
              <w:t>100</w:t>
            </w:r>
            <w:r>
              <w:rPr>
                <w:rFonts w:ascii="Arial"/>
                <w:spacing w:val="-1"/>
                <w:w w:val="95"/>
                <w:sz w:val="18"/>
              </w:rPr>
            </w:r>
            <w:r>
              <w:rPr>
                <w:rFonts w:ascii="Arial"/>
                <w:sz w:val="18"/>
              </w:rPr>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1"/>
              <w:jc w:val="right"/>
              <w:rPr>
                <w:rFonts w:ascii="Arial" w:hAnsi="Arial" w:cs="Arial" w:eastAsia="Arial" w:hint="default"/>
                <w:sz w:val="18"/>
                <w:szCs w:val="18"/>
              </w:rPr>
            </w:pPr>
            <w:r>
              <w:rPr>
                <w:rFonts w:ascii="Arial"/>
                <w:w w:val="99"/>
                <w:sz w:val="18"/>
              </w:rPr>
            </w:r>
            <w:r>
              <w:rPr>
                <w:rFonts w:ascii="Arial"/>
                <w:spacing w:val="-1"/>
                <w:sz w:val="18"/>
                <w:u w:val="thick" w:color="000000"/>
              </w:rPr>
              <w:t>22,573,531</w:t>
            </w:r>
            <w:r>
              <w:rPr>
                <w:rFonts w:ascii="Arial"/>
                <w:spacing w:val="-1"/>
                <w:sz w:val="18"/>
              </w:rPr>
            </w:r>
          </w:p>
        </w:tc>
        <w:tc>
          <w:tcPr>
            <w:tcW w:w="499" w:type="dxa"/>
            <w:tcBorders>
              <w:top w:val="nil" w:sz="6" w:space="0" w:color="auto"/>
              <w:left w:val="nil" w:sz="6" w:space="0" w:color="auto"/>
              <w:bottom w:val="nil" w:sz="6" w:space="0" w:color="auto"/>
              <w:right w:val="nil" w:sz="6" w:space="0" w:color="auto"/>
            </w:tcBorders>
          </w:tcPr>
          <w:p>
            <w:pPr/>
          </w:p>
        </w:tc>
      </w:tr>
    </w:tbl>
    <w:p>
      <w:pPr>
        <w:pStyle w:val="BodyText"/>
        <w:spacing w:line="253" w:lineRule="exact" w:before="72"/>
        <w:ind w:left="855" w:right="0"/>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日，本账户余额中无持有本公司</w:t>
      </w:r>
      <w:r>
        <w:rPr>
          <w:rFonts w:ascii="Arial" w:hAnsi="Arial" w:cs="Arial" w:eastAsia="Arial" w:hint="default"/>
        </w:rPr>
        <w:t>5%</w:t>
      </w:r>
      <w:r>
        <w:rPr/>
        <w:t>或以上表决权股份的股东单位的欠款</w:t>
      </w:r>
    </w:p>
    <w:p>
      <w:pPr>
        <w:pStyle w:val="BodyText"/>
        <w:spacing w:line="253" w:lineRule="exact"/>
        <w:ind w:left="855" w:right="112"/>
        <w:jc w:val="left"/>
      </w:pP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r>
        <w:rPr>
          <w:rFonts w:ascii="Arial" w:hAnsi="Arial" w:cs="Arial" w:eastAsia="Arial" w:hint="default"/>
        </w:rPr>
        <w:t>)</w:t>
      </w:r>
      <w:r>
        <w:rPr/>
        <w:t>。</w:t>
      </w:r>
    </w:p>
    <w:p>
      <w:pPr>
        <w:spacing w:line="240" w:lineRule="auto" w:before="2"/>
        <w:rPr>
          <w:rFonts w:ascii="黑体" w:hAnsi="黑体" w:cs="黑体" w:eastAsia="黑体" w:hint="default"/>
          <w:sz w:val="14"/>
          <w:szCs w:val="14"/>
        </w:rPr>
      </w:pPr>
    </w:p>
    <w:p>
      <w:pPr>
        <w:pStyle w:val="BodyText"/>
        <w:spacing w:line="240" w:lineRule="auto"/>
        <w:ind w:left="855" w:right="112"/>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日，应收账款金额前五名如下：</w:t>
      </w:r>
    </w:p>
    <w:p>
      <w:pPr>
        <w:spacing w:line="240" w:lineRule="auto" w:before="0"/>
        <w:rPr>
          <w:rFonts w:ascii="黑体" w:hAnsi="黑体" w:cs="黑体" w:eastAsia="黑体" w:hint="default"/>
          <w:sz w:val="13"/>
          <w:szCs w:val="13"/>
        </w:rPr>
      </w:pPr>
    </w:p>
    <w:tbl>
      <w:tblPr>
        <w:tblW w:w="0" w:type="auto"/>
        <w:jc w:val="left"/>
        <w:tblInd w:w="816" w:type="dxa"/>
        <w:tblLayout w:type="fixed"/>
        <w:tblCellMar>
          <w:top w:w="0" w:type="dxa"/>
          <w:left w:w="0" w:type="dxa"/>
          <w:bottom w:w="0" w:type="dxa"/>
          <w:right w:w="0" w:type="dxa"/>
        </w:tblCellMar>
        <w:tblLook w:val="01E0"/>
      </w:tblPr>
      <w:tblGrid>
        <w:gridCol w:w="2443"/>
        <w:gridCol w:w="1366"/>
        <w:gridCol w:w="1422"/>
        <w:gridCol w:w="1098"/>
        <w:gridCol w:w="1515"/>
      </w:tblGrid>
      <w:tr>
        <w:trPr>
          <w:trHeight w:val="584" w:hRule="exact"/>
        </w:trPr>
        <w:tc>
          <w:tcPr>
            <w:tcW w:w="2443"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1"/>
              <w:jc w:val="right"/>
              <w:rPr>
                <w:rFonts w:ascii="黑体" w:hAnsi="黑体" w:cs="黑体" w:eastAsia="黑体" w:hint="default"/>
                <w:sz w:val="20"/>
                <w:szCs w:val="20"/>
              </w:rPr>
            </w:pPr>
            <w:r>
              <w:rPr>
                <w:rFonts w:ascii="黑体" w:hAnsi="黑体" w:cs="黑体" w:eastAsia="黑体" w:hint="default"/>
                <w:spacing w:val="-1"/>
                <w:sz w:val="20"/>
                <w:szCs w:val="20"/>
              </w:rPr>
              <w:t>与本集团关系</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54"/>
              <w:jc w:val="right"/>
              <w:rPr>
                <w:rFonts w:ascii="黑体" w:hAnsi="黑体" w:cs="黑体" w:eastAsia="黑体" w:hint="default"/>
                <w:sz w:val="20"/>
                <w:szCs w:val="20"/>
              </w:rPr>
            </w:pPr>
            <w:r>
              <w:rPr>
                <w:rFonts w:ascii="黑体" w:hAnsi="黑体" w:cs="黑体" w:eastAsia="黑体" w:hint="default"/>
                <w:sz w:val="20"/>
                <w:szCs w:val="20"/>
              </w:rPr>
              <w:t>金额</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7"/>
              <w:jc w:val="right"/>
              <w:rPr>
                <w:rFonts w:ascii="黑体" w:hAnsi="黑体" w:cs="黑体" w:eastAsia="黑体" w:hint="default"/>
                <w:sz w:val="20"/>
                <w:szCs w:val="20"/>
              </w:rPr>
            </w:pPr>
            <w:r>
              <w:rPr>
                <w:rFonts w:ascii="黑体" w:hAnsi="黑体" w:cs="黑体" w:eastAsia="黑体" w:hint="default"/>
                <w:sz w:val="20"/>
                <w:szCs w:val="20"/>
              </w:rPr>
              <w:t>账龄</w:t>
            </w:r>
          </w:p>
        </w:tc>
        <w:tc>
          <w:tcPr>
            <w:tcW w:w="1515" w:type="dxa"/>
            <w:tcBorders>
              <w:top w:val="nil" w:sz="6" w:space="0" w:color="auto"/>
              <w:left w:val="nil" w:sz="6" w:space="0" w:color="auto"/>
              <w:bottom w:val="nil" w:sz="6" w:space="0" w:color="auto"/>
              <w:right w:val="nil" w:sz="6" w:space="0" w:color="auto"/>
            </w:tcBorders>
          </w:tcPr>
          <w:p>
            <w:pPr>
              <w:pStyle w:val="TableParagraph"/>
              <w:spacing w:line="258" w:lineRule="exact" w:before="38"/>
              <w:ind w:left="79" w:right="0"/>
              <w:jc w:val="left"/>
              <w:rPr>
                <w:rFonts w:ascii="黑体" w:hAnsi="黑体" w:cs="黑体" w:eastAsia="黑体" w:hint="default"/>
                <w:sz w:val="20"/>
                <w:szCs w:val="20"/>
              </w:rPr>
            </w:pPr>
            <w:r>
              <w:rPr>
                <w:rFonts w:ascii="黑体" w:hAnsi="黑体" w:cs="黑体" w:eastAsia="黑体" w:hint="default"/>
                <w:sz w:val="20"/>
                <w:szCs w:val="20"/>
              </w:rPr>
              <w:t>占应收账款总额</w:t>
            </w:r>
          </w:p>
          <w:p>
            <w:pPr>
              <w:pStyle w:val="TableParagraph"/>
              <w:spacing w:line="272" w:lineRule="exact"/>
              <w:ind w:left="567" w:right="0"/>
              <w:jc w:val="left"/>
              <w:rPr>
                <w:rFonts w:ascii="Arial" w:hAnsi="Arial" w:cs="Arial" w:eastAsia="Arial" w:hint="default"/>
                <w:sz w:val="20"/>
                <w:szCs w:val="20"/>
              </w:rPr>
            </w:pPr>
            <w:r>
              <w:rPr>
                <w:rFonts w:ascii="黑体" w:hAnsi="黑体" w:cs="黑体" w:eastAsia="黑体" w:hint="default"/>
                <w:sz w:val="20"/>
                <w:szCs w:val="20"/>
              </w:rPr>
              <w:t>的比例</w:t>
            </w:r>
            <w:r>
              <w:rPr>
                <w:rFonts w:ascii="Arial" w:hAnsi="Arial" w:cs="Arial" w:eastAsia="Arial" w:hint="default"/>
                <w:sz w:val="20"/>
                <w:szCs w:val="20"/>
              </w:rPr>
              <w:t>(%)</w:t>
            </w:r>
          </w:p>
        </w:tc>
      </w:tr>
      <w:tr>
        <w:trPr>
          <w:trHeight w:val="236" w:hRule="exact"/>
        </w:trPr>
        <w:tc>
          <w:tcPr>
            <w:tcW w:w="2443" w:type="dxa"/>
            <w:tcBorders>
              <w:top w:val="nil" w:sz="6" w:space="0" w:color="auto"/>
              <w:left w:val="nil" w:sz="6" w:space="0" w:color="auto"/>
              <w:bottom w:val="nil" w:sz="6" w:space="0" w:color="auto"/>
              <w:right w:val="nil" w:sz="6" w:space="0" w:color="auto"/>
            </w:tcBorders>
          </w:tcPr>
          <w:p>
            <w:pPr>
              <w:pStyle w:val="TableParagraph"/>
              <w:spacing w:line="221" w:lineRule="exact"/>
              <w:ind w:left="35" w:right="0"/>
              <w:jc w:val="left"/>
              <w:rPr>
                <w:rFonts w:ascii="黑体" w:hAnsi="黑体" w:cs="黑体" w:eastAsia="黑体" w:hint="default"/>
                <w:sz w:val="20"/>
                <w:szCs w:val="20"/>
              </w:rPr>
            </w:pPr>
            <w:r>
              <w:rPr>
                <w:rFonts w:ascii="黑体" w:hAnsi="黑体" w:cs="黑体" w:eastAsia="黑体" w:hint="default"/>
                <w:sz w:val="20"/>
                <w:szCs w:val="20"/>
              </w:rPr>
              <w:t>北京方正奥德计算机系统</w:t>
            </w:r>
          </w:p>
        </w:tc>
        <w:tc>
          <w:tcPr>
            <w:tcW w:w="1366" w:type="dxa"/>
            <w:tcBorders>
              <w:top w:val="nil" w:sz="6" w:space="0" w:color="auto"/>
              <w:left w:val="nil" w:sz="6" w:space="0" w:color="auto"/>
              <w:bottom w:val="nil" w:sz="6" w:space="0" w:color="auto"/>
              <w:right w:val="nil" w:sz="6" w:space="0" w:color="auto"/>
            </w:tcBorders>
          </w:tcPr>
          <w:p>
            <w:pPr/>
          </w:p>
        </w:tc>
        <w:tc>
          <w:tcPr>
            <w:tcW w:w="1422" w:type="dxa"/>
            <w:tcBorders>
              <w:top w:val="nil" w:sz="6" w:space="0" w:color="auto"/>
              <w:left w:val="nil" w:sz="6" w:space="0" w:color="auto"/>
              <w:bottom w:val="nil" w:sz="6" w:space="0" w:color="auto"/>
              <w:right w:val="nil" w:sz="6" w:space="0" w:color="auto"/>
            </w:tcBorders>
          </w:tcPr>
          <w:p>
            <w:pPr/>
          </w:p>
        </w:tc>
        <w:tc>
          <w:tcPr>
            <w:tcW w:w="1098"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r>
      <w:tr>
        <w:trPr>
          <w:trHeight w:val="247" w:hRule="exact"/>
        </w:trPr>
        <w:tc>
          <w:tcPr>
            <w:tcW w:w="2443" w:type="dxa"/>
            <w:tcBorders>
              <w:top w:val="nil" w:sz="6" w:space="0" w:color="auto"/>
              <w:left w:val="nil" w:sz="6" w:space="0" w:color="auto"/>
              <w:bottom w:val="nil" w:sz="6" w:space="0" w:color="auto"/>
              <w:right w:val="nil" w:sz="6" w:space="0" w:color="auto"/>
            </w:tcBorders>
          </w:tcPr>
          <w:p>
            <w:pPr>
              <w:pStyle w:val="TableParagraph"/>
              <w:spacing w:line="215" w:lineRule="exact"/>
              <w:ind w:left="234" w:right="0"/>
              <w:jc w:val="left"/>
              <w:rPr>
                <w:rFonts w:ascii="黑体" w:hAnsi="黑体" w:cs="黑体" w:eastAsia="黑体" w:hint="default"/>
                <w:sz w:val="20"/>
                <w:szCs w:val="20"/>
              </w:rPr>
            </w:pPr>
            <w:r>
              <w:rPr>
                <w:rFonts w:ascii="黑体" w:hAnsi="黑体" w:cs="黑体" w:eastAsia="黑体" w:hint="default"/>
                <w:sz w:val="20"/>
                <w:szCs w:val="20"/>
              </w:rPr>
              <w:t>有限公司</w:t>
            </w:r>
          </w:p>
        </w:tc>
        <w:tc>
          <w:tcPr>
            <w:tcW w:w="1366" w:type="dxa"/>
            <w:tcBorders>
              <w:top w:val="nil" w:sz="6" w:space="0" w:color="auto"/>
              <w:left w:val="nil" w:sz="6" w:space="0" w:color="auto"/>
              <w:bottom w:val="nil" w:sz="6" w:space="0" w:color="auto"/>
              <w:right w:val="nil" w:sz="6" w:space="0" w:color="auto"/>
            </w:tcBorders>
          </w:tcPr>
          <w:p>
            <w:pPr>
              <w:pStyle w:val="TableParagraph"/>
              <w:spacing w:line="215" w:lineRule="exact"/>
              <w:ind w:right="162"/>
              <w:jc w:val="right"/>
              <w:rPr>
                <w:rFonts w:ascii="黑体" w:hAnsi="黑体" w:cs="黑体" w:eastAsia="黑体" w:hint="default"/>
                <w:sz w:val="20"/>
                <w:szCs w:val="20"/>
              </w:rPr>
            </w:pPr>
            <w:r>
              <w:rPr>
                <w:rFonts w:ascii="黑体" w:hAnsi="黑体" w:cs="黑体" w:eastAsia="黑体" w:hint="default"/>
                <w:sz w:val="20"/>
                <w:szCs w:val="20"/>
              </w:rPr>
              <w:t>非关联方</w:t>
            </w:r>
          </w:p>
        </w:tc>
        <w:tc>
          <w:tcPr>
            <w:tcW w:w="1422" w:type="dxa"/>
            <w:tcBorders>
              <w:top w:val="nil" w:sz="6" w:space="0" w:color="auto"/>
              <w:left w:val="nil" w:sz="6" w:space="0" w:color="auto"/>
              <w:bottom w:val="nil" w:sz="6" w:space="0" w:color="auto"/>
              <w:right w:val="nil" w:sz="6" w:space="0" w:color="auto"/>
            </w:tcBorders>
          </w:tcPr>
          <w:p>
            <w:pPr>
              <w:pStyle w:val="TableParagraph"/>
              <w:spacing w:line="230" w:lineRule="exact"/>
              <w:ind w:right="254"/>
              <w:jc w:val="right"/>
              <w:rPr>
                <w:rFonts w:ascii="Arial" w:hAnsi="Arial" w:cs="Arial" w:eastAsia="Arial" w:hint="default"/>
                <w:sz w:val="20"/>
                <w:szCs w:val="20"/>
              </w:rPr>
            </w:pPr>
            <w:r>
              <w:rPr>
                <w:rFonts w:ascii="Arial"/>
                <w:spacing w:val="-1"/>
                <w:sz w:val="20"/>
              </w:rPr>
              <w:t>29,171,391</w:t>
            </w:r>
          </w:p>
        </w:tc>
        <w:tc>
          <w:tcPr>
            <w:tcW w:w="1098" w:type="dxa"/>
            <w:tcBorders>
              <w:top w:val="nil" w:sz="6" w:space="0" w:color="auto"/>
              <w:left w:val="nil" w:sz="6" w:space="0" w:color="auto"/>
              <w:bottom w:val="nil" w:sz="6" w:space="0" w:color="auto"/>
              <w:right w:val="nil" w:sz="6" w:space="0" w:color="auto"/>
            </w:tcBorders>
          </w:tcPr>
          <w:p>
            <w:pPr>
              <w:pStyle w:val="TableParagraph"/>
              <w:spacing w:line="230" w:lineRule="exact"/>
              <w:ind w:right="77"/>
              <w:jc w:val="right"/>
              <w:rPr>
                <w:rFonts w:ascii="黑体" w:hAnsi="黑体" w:cs="黑体" w:eastAsia="黑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黑体" w:hAnsi="黑体" w:cs="黑体" w:eastAsia="黑体" w:hint="default"/>
                <w:sz w:val="20"/>
                <w:szCs w:val="20"/>
              </w:rPr>
              <w:t>年以内</w:t>
            </w:r>
          </w:p>
        </w:tc>
        <w:tc>
          <w:tcPr>
            <w:tcW w:w="1515" w:type="dxa"/>
            <w:tcBorders>
              <w:top w:val="nil" w:sz="6" w:space="0" w:color="auto"/>
              <w:left w:val="nil" w:sz="6" w:space="0" w:color="auto"/>
              <w:bottom w:val="nil" w:sz="6" w:space="0" w:color="auto"/>
              <w:right w:val="nil" w:sz="6" w:space="0" w:color="auto"/>
            </w:tcBorders>
          </w:tcPr>
          <w:p>
            <w:pPr>
              <w:pStyle w:val="TableParagraph"/>
              <w:spacing w:line="230" w:lineRule="exact"/>
              <w:ind w:right="33"/>
              <w:jc w:val="right"/>
              <w:rPr>
                <w:rFonts w:ascii="Arial" w:hAnsi="Arial" w:cs="Arial" w:eastAsia="Arial" w:hint="default"/>
                <w:sz w:val="20"/>
                <w:szCs w:val="20"/>
              </w:rPr>
            </w:pPr>
            <w:r>
              <w:rPr>
                <w:rFonts w:ascii="Arial"/>
                <w:w w:val="100"/>
                <w:sz w:val="20"/>
              </w:rPr>
              <w:t>5</w:t>
            </w:r>
          </w:p>
        </w:tc>
      </w:tr>
      <w:tr>
        <w:trPr>
          <w:trHeight w:val="255" w:hRule="exact"/>
        </w:trPr>
        <w:tc>
          <w:tcPr>
            <w:tcW w:w="2443" w:type="dxa"/>
            <w:tcBorders>
              <w:top w:val="nil" w:sz="6" w:space="0" w:color="auto"/>
              <w:left w:val="nil" w:sz="6" w:space="0" w:color="auto"/>
              <w:bottom w:val="nil" w:sz="6" w:space="0" w:color="auto"/>
              <w:right w:val="nil" w:sz="6" w:space="0" w:color="auto"/>
            </w:tcBorders>
          </w:tcPr>
          <w:p>
            <w:pPr>
              <w:pStyle w:val="TableParagraph"/>
              <w:spacing w:line="222" w:lineRule="exact"/>
              <w:ind w:left="35" w:right="0"/>
              <w:jc w:val="left"/>
              <w:rPr>
                <w:rFonts w:ascii="黑体" w:hAnsi="黑体" w:cs="黑体" w:eastAsia="黑体" w:hint="default"/>
                <w:sz w:val="20"/>
                <w:szCs w:val="20"/>
              </w:rPr>
            </w:pPr>
            <w:r>
              <w:rPr>
                <w:rFonts w:ascii="黑体" w:hAnsi="黑体" w:cs="黑体" w:eastAsia="黑体" w:hint="default"/>
                <w:sz w:val="20"/>
                <w:szCs w:val="20"/>
              </w:rPr>
              <w:t>吉林省财政厅财税信息中心</w:t>
            </w:r>
          </w:p>
        </w:tc>
        <w:tc>
          <w:tcPr>
            <w:tcW w:w="1366" w:type="dxa"/>
            <w:tcBorders>
              <w:top w:val="nil" w:sz="6" w:space="0" w:color="auto"/>
              <w:left w:val="nil" w:sz="6" w:space="0" w:color="auto"/>
              <w:bottom w:val="nil" w:sz="6" w:space="0" w:color="auto"/>
              <w:right w:val="nil" w:sz="6" w:space="0" w:color="auto"/>
            </w:tcBorders>
          </w:tcPr>
          <w:p>
            <w:pPr>
              <w:pStyle w:val="TableParagraph"/>
              <w:spacing w:line="222" w:lineRule="exact"/>
              <w:ind w:right="162"/>
              <w:jc w:val="right"/>
              <w:rPr>
                <w:rFonts w:ascii="黑体" w:hAnsi="黑体" w:cs="黑体" w:eastAsia="黑体" w:hint="default"/>
                <w:sz w:val="20"/>
                <w:szCs w:val="20"/>
              </w:rPr>
            </w:pPr>
            <w:r>
              <w:rPr>
                <w:rFonts w:ascii="黑体" w:hAnsi="黑体" w:cs="黑体" w:eastAsia="黑体" w:hint="default"/>
                <w:sz w:val="20"/>
                <w:szCs w:val="20"/>
              </w:rPr>
              <w:t>非关联方</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54"/>
              <w:jc w:val="right"/>
              <w:rPr>
                <w:rFonts w:ascii="Arial" w:hAnsi="Arial" w:cs="Arial" w:eastAsia="Arial" w:hint="default"/>
                <w:sz w:val="20"/>
                <w:szCs w:val="20"/>
              </w:rPr>
            </w:pPr>
            <w:r>
              <w:rPr>
                <w:rFonts w:ascii="Arial"/>
                <w:spacing w:val="-1"/>
                <w:sz w:val="20"/>
              </w:rPr>
              <w:t>17,667,000</w:t>
            </w:r>
          </w:p>
        </w:tc>
        <w:tc>
          <w:tcPr>
            <w:tcW w:w="1098" w:type="dxa"/>
            <w:tcBorders>
              <w:top w:val="nil" w:sz="6" w:space="0" w:color="auto"/>
              <w:left w:val="nil" w:sz="6" w:space="0" w:color="auto"/>
              <w:bottom w:val="nil" w:sz="6" w:space="0" w:color="auto"/>
              <w:right w:val="nil" w:sz="6" w:space="0" w:color="auto"/>
            </w:tcBorders>
          </w:tcPr>
          <w:p>
            <w:pPr>
              <w:pStyle w:val="TableParagraph"/>
              <w:spacing w:line="237" w:lineRule="exact"/>
              <w:ind w:right="77"/>
              <w:jc w:val="right"/>
              <w:rPr>
                <w:rFonts w:ascii="黑体" w:hAnsi="黑体" w:cs="黑体" w:eastAsia="黑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黑体" w:hAnsi="黑体" w:cs="黑体" w:eastAsia="黑体" w:hint="default"/>
                <w:sz w:val="20"/>
                <w:szCs w:val="20"/>
              </w:rPr>
              <w:t>年以内</w:t>
            </w:r>
          </w:p>
        </w:tc>
        <w:tc>
          <w:tcPr>
            <w:tcW w:w="151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Arial" w:hAnsi="Arial" w:cs="Arial" w:eastAsia="Arial" w:hint="default"/>
                <w:sz w:val="20"/>
                <w:szCs w:val="20"/>
              </w:rPr>
            </w:pPr>
            <w:r>
              <w:rPr>
                <w:rFonts w:ascii="Arial"/>
                <w:w w:val="100"/>
                <w:sz w:val="20"/>
              </w:rPr>
              <w:t>3</w:t>
            </w:r>
          </w:p>
        </w:tc>
      </w:tr>
      <w:tr>
        <w:trPr>
          <w:trHeight w:val="255" w:hRule="exact"/>
        </w:trPr>
        <w:tc>
          <w:tcPr>
            <w:tcW w:w="2443"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国家知识产权局专利局</w:t>
            </w:r>
          </w:p>
        </w:tc>
        <w:tc>
          <w:tcPr>
            <w:tcW w:w="1366" w:type="dxa"/>
            <w:tcBorders>
              <w:top w:val="nil" w:sz="6" w:space="0" w:color="auto"/>
              <w:left w:val="nil" w:sz="6" w:space="0" w:color="auto"/>
              <w:bottom w:val="nil" w:sz="6" w:space="0" w:color="auto"/>
              <w:right w:val="nil" w:sz="6" w:space="0" w:color="auto"/>
            </w:tcBorders>
          </w:tcPr>
          <w:p>
            <w:pPr>
              <w:pStyle w:val="TableParagraph"/>
              <w:spacing w:line="223" w:lineRule="exact"/>
              <w:ind w:right="162"/>
              <w:jc w:val="right"/>
              <w:rPr>
                <w:rFonts w:ascii="黑体" w:hAnsi="黑体" w:cs="黑体" w:eastAsia="黑体" w:hint="default"/>
                <w:sz w:val="20"/>
                <w:szCs w:val="20"/>
              </w:rPr>
            </w:pPr>
            <w:r>
              <w:rPr>
                <w:rFonts w:ascii="黑体" w:hAnsi="黑体" w:cs="黑体" w:eastAsia="黑体" w:hint="default"/>
                <w:sz w:val="20"/>
                <w:szCs w:val="20"/>
              </w:rPr>
              <w:t>非关联方</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54"/>
              <w:jc w:val="right"/>
              <w:rPr>
                <w:rFonts w:ascii="Arial" w:hAnsi="Arial" w:cs="Arial" w:eastAsia="Arial" w:hint="default"/>
                <w:sz w:val="20"/>
                <w:szCs w:val="20"/>
              </w:rPr>
            </w:pPr>
            <w:r>
              <w:rPr>
                <w:rFonts w:ascii="Arial"/>
                <w:spacing w:val="-1"/>
                <w:sz w:val="20"/>
              </w:rPr>
              <w:t>14,810,753</w:t>
            </w:r>
          </w:p>
        </w:tc>
        <w:tc>
          <w:tcPr>
            <w:tcW w:w="1098" w:type="dxa"/>
            <w:tcBorders>
              <w:top w:val="nil" w:sz="6" w:space="0" w:color="auto"/>
              <w:left w:val="nil" w:sz="6" w:space="0" w:color="auto"/>
              <w:bottom w:val="nil" w:sz="6" w:space="0" w:color="auto"/>
              <w:right w:val="nil" w:sz="6" w:space="0" w:color="auto"/>
            </w:tcBorders>
          </w:tcPr>
          <w:p>
            <w:pPr>
              <w:pStyle w:val="TableParagraph"/>
              <w:spacing w:line="237" w:lineRule="exact"/>
              <w:ind w:right="77"/>
              <w:jc w:val="right"/>
              <w:rPr>
                <w:rFonts w:ascii="黑体" w:hAnsi="黑体" w:cs="黑体" w:eastAsia="黑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黑体" w:hAnsi="黑体" w:cs="黑体" w:eastAsia="黑体" w:hint="default"/>
                <w:sz w:val="20"/>
                <w:szCs w:val="20"/>
              </w:rPr>
              <w:t>年以内</w:t>
            </w:r>
          </w:p>
        </w:tc>
        <w:tc>
          <w:tcPr>
            <w:tcW w:w="151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w w:val="100"/>
                <w:sz w:val="20"/>
              </w:rPr>
              <w:t>3</w:t>
            </w:r>
          </w:p>
        </w:tc>
      </w:tr>
      <w:tr>
        <w:trPr>
          <w:trHeight w:val="453" w:hRule="exact"/>
        </w:trPr>
        <w:tc>
          <w:tcPr>
            <w:tcW w:w="2443" w:type="dxa"/>
            <w:tcBorders>
              <w:top w:val="nil" w:sz="6" w:space="0" w:color="auto"/>
              <w:left w:val="nil" w:sz="6" w:space="0" w:color="auto"/>
              <w:bottom w:val="nil" w:sz="6" w:space="0" w:color="auto"/>
              <w:right w:val="nil" w:sz="6" w:space="0" w:color="auto"/>
            </w:tcBorders>
          </w:tcPr>
          <w:p>
            <w:pPr>
              <w:pStyle w:val="TableParagraph"/>
              <w:spacing w:line="230" w:lineRule="exact" w:before="10"/>
              <w:ind w:left="39" w:right="1" w:hanging="5"/>
              <w:jc w:val="left"/>
              <w:rPr>
                <w:rFonts w:ascii="黑体" w:hAnsi="黑体" w:cs="黑体" w:eastAsia="黑体" w:hint="default"/>
                <w:sz w:val="20"/>
                <w:szCs w:val="20"/>
              </w:rPr>
            </w:pPr>
            <w:r>
              <w:rPr>
                <w:rFonts w:ascii="黑体" w:hAnsi="黑体" w:cs="黑体" w:eastAsia="黑体" w:hint="default"/>
                <w:sz w:val="20"/>
                <w:szCs w:val="20"/>
              </w:rPr>
              <w:t>中国邮政速递物流公司</w:t>
            </w:r>
            <w:r>
              <w:rPr>
                <w:rFonts w:ascii="黑体" w:hAnsi="黑体" w:cs="黑体" w:eastAsia="黑体" w:hint="default"/>
                <w:w w:val="100"/>
                <w:sz w:val="20"/>
                <w:szCs w:val="20"/>
              </w:rPr>
              <w:t> </w:t>
            </w:r>
            <w:r>
              <w:rPr>
                <w:rFonts w:ascii="黑体" w:hAnsi="黑体" w:cs="黑体" w:eastAsia="黑体" w:hint="default"/>
                <w:spacing w:val="-1"/>
                <w:sz w:val="20"/>
                <w:szCs w:val="20"/>
              </w:rPr>
              <w:t>中国建筑第五工程局有限公</w:t>
            </w:r>
          </w:p>
        </w:tc>
        <w:tc>
          <w:tcPr>
            <w:tcW w:w="1366" w:type="dxa"/>
            <w:tcBorders>
              <w:top w:val="nil" w:sz="6" w:space="0" w:color="auto"/>
              <w:left w:val="nil" w:sz="6" w:space="0" w:color="auto"/>
              <w:bottom w:val="nil" w:sz="6" w:space="0" w:color="auto"/>
              <w:right w:val="nil" w:sz="6" w:space="0" w:color="auto"/>
            </w:tcBorders>
          </w:tcPr>
          <w:p>
            <w:pPr>
              <w:pStyle w:val="TableParagraph"/>
              <w:spacing w:line="222" w:lineRule="exact"/>
              <w:ind w:right="162"/>
              <w:jc w:val="right"/>
              <w:rPr>
                <w:rFonts w:ascii="黑体" w:hAnsi="黑体" w:cs="黑体" w:eastAsia="黑体" w:hint="default"/>
                <w:sz w:val="20"/>
                <w:szCs w:val="20"/>
              </w:rPr>
            </w:pPr>
            <w:r>
              <w:rPr>
                <w:rFonts w:ascii="黑体" w:hAnsi="黑体" w:cs="黑体" w:eastAsia="黑体" w:hint="default"/>
                <w:sz w:val="20"/>
                <w:szCs w:val="20"/>
              </w:rPr>
              <w:t>非关联方</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54"/>
              <w:jc w:val="right"/>
              <w:rPr>
                <w:rFonts w:ascii="Arial" w:hAnsi="Arial" w:cs="Arial" w:eastAsia="Arial" w:hint="default"/>
                <w:sz w:val="20"/>
                <w:szCs w:val="20"/>
              </w:rPr>
            </w:pPr>
            <w:r>
              <w:rPr>
                <w:rFonts w:ascii="Arial"/>
                <w:spacing w:val="-1"/>
                <w:sz w:val="20"/>
              </w:rPr>
              <w:t>3,500,000</w:t>
            </w:r>
          </w:p>
        </w:tc>
        <w:tc>
          <w:tcPr>
            <w:tcW w:w="1098" w:type="dxa"/>
            <w:tcBorders>
              <w:top w:val="nil" w:sz="6" w:space="0" w:color="auto"/>
              <w:left w:val="nil" w:sz="6" w:space="0" w:color="auto"/>
              <w:bottom w:val="nil" w:sz="6" w:space="0" w:color="auto"/>
              <w:right w:val="nil" w:sz="6" w:space="0" w:color="auto"/>
            </w:tcBorders>
          </w:tcPr>
          <w:p>
            <w:pPr>
              <w:pStyle w:val="TableParagraph"/>
              <w:spacing w:line="237" w:lineRule="exact"/>
              <w:ind w:right="77"/>
              <w:jc w:val="right"/>
              <w:rPr>
                <w:rFonts w:ascii="黑体" w:hAnsi="黑体" w:cs="黑体" w:eastAsia="黑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黑体" w:hAnsi="黑体" w:cs="黑体" w:eastAsia="黑体" w:hint="default"/>
                <w:sz w:val="20"/>
                <w:szCs w:val="20"/>
              </w:rPr>
              <w:t>年以内</w:t>
            </w:r>
          </w:p>
        </w:tc>
        <w:tc>
          <w:tcPr>
            <w:tcW w:w="151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Arial" w:hAnsi="Arial" w:cs="Arial" w:eastAsia="Arial" w:hint="default"/>
                <w:sz w:val="20"/>
                <w:szCs w:val="20"/>
              </w:rPr>
            </w:pPr>
            <w:r>
              <w:rPr>
                <w:rFonts w:ascii="Arial"/>
                <w:w w:val="100"/>
                <w:sz w:val="20"/>
              </w:rPr>
              <w:t>1</w:t>
            </w:r>
          </w:p>
        </w:tc>
      </w:tr>
    </w:tbl>
    <w:p>
      <w:pPr>
        <w:pStyle w:val="BodyText"/>
        <w:tabs>
          <w:tab w:pos="3659" w:val="left" w:leader="none"/>
          <w:tab w:pos="4798" w:val="left" w:leader="none"/>
          <w:tab w:pos="6303" w:val="left" w:leader="none"/>
          <w:tab w:pos="8413" w:val="left" w:leader="none"/>
        </w:tabs>
        <w:spacing w:line="245" w:lineRule="exact"/>
        <w:ind w:left="4788" w:right="112" w:hanging="3737"/>
        <w:jc w:val="left"/>
        <w:rPr>
          <w:rFonts w:ascii="Arial" w:hAnsi="Arial" w:cs="Arial" w:eastAsia="Arial" w:hint="default"/>
        </w:rPr>
      </w:pPr>
      <w:r>
        <w:rPr/>
        <w:t>司</w:t>
        <w:tab/>
        <w:t>非关联方</w:t>
        <w:tab/>
      </w:r>
      <w:r>
        <w:rPr>
          <w:rFonts w:ascii="Arial" w:hAnsi="Arial" w:cs="Arial" w:eastAsia="Arial" w:hint="default"/>
        </w:rPr>
      </w:r>
      <w:r>
        <w:rPr>
          <w:rFonts w:ascii="Arial" w:hAnsi="Arial" w:cs="Arial" w:eastAsia="Arial" w:hint="default"/>
          <w:u w:val="single" w:color="000000"/>
        </w:rPr>
        <w:t> 3,215,000</w:t>
      </w:r>
      <w:r>
        <w:rPr>
          <w:rFonts w:ascii="Arial" w:hAnsi="Arial" w:cs="Arial" w:eastAsia="Arial" w:hint="default"/>
        </w:rPr>
        <w:tab/>
        <w:t>1</w:t>
      </w:r>
      <w:r>
        <w:rPr>
          <w:rFonts w:ascii="Arial" w:hAnsi="Arial" w:cs="Arial" w:eastAsia="Arial" w:hint="default"/>
          <w:spacing w:val="-7"/>
        </w:rPr>
        <w:t> </w:t>
      </w:r>
      <w:r>
        <w:rPr/>
        <w:t>年以内</w:t>
        <w:tab/>
      </w:r>
      <w:r>
        <w:rPr>
          <w:rFonts w:ascii="Arial" w:hAnsi="Arial" w:cs="Arial" w:eastAsia="Arial" w:hint="default"/>
        </w:rPr>
      </w:r>
      <w:r>
        <w:rPr>
          <w:rFonts w:ascii="Arial" w:hAnsi="Arial" w:cs="Arial" w:eastAsia="Arial" w:hint="default"/>
          <w:u w:val="single" w:color="000000"/>
        </w:rPr>
        <w:t> 1</w:t>
      </w:r>
      <w:r>
        <w:rPr>
          <w:rFonts w:ascii="Arial" w:hAnsi="Arial" w:cs="Arial" w:eastAsia="Arial" w:hint="default"/>
        </w:rPr>
      </w:r>
    </w:p>
    <w:p>
      <w:pPr>
        <w:pStyle w:val="BodyText"/>
        <w:tabs>
          <w:tab w:pos="8401" w:val="left" w:leader="none"/>
        </w:tabs>
        <w:spacing w:line="240" w:lineRule="auto" w:before="24"/>
        <w:ind w:left="4788" w:right="112"/>
        <w:jc w:val="left"/>
        <w:rPr>
          <w:rFonts w:ascii="Arial" w:hAnsi="Arial" w:cs="Arial" w:eastAsia="Arial" w:hint="default"/>
        </w:rPr>
      </w:pPr>
      <w:r>
        <w:rPr>
          <w:rFonts w:ascii="Arial"/>
          <w:w w:val="100"/>
        </w:rPr>
      </w:r>
      <w:r>
        <w:rPr>
          <w:rFonts w:ascii="Arial"/>
          <w:spacing w:val="-1"/>
          <w:u w:val="thick" w:color="000000"/>
        </w:rPr>
        <w:t>68,364,144</w:t>
      </w:r>
      <w:r>
        <w:rPr>
          <w:rFonts w:ascii="Arial"/>
          <w:spacing w:val="-1"/>
        </w:rPr>
        <w:tab/>
      </w:r>
      <w:r>
        <w:rPr>
          <w:rFonts w:ascii="Arial"/>
          <w:u w:val="thick" w:color="000000"/>
        </w:rPr>
        <w:t>13</w:t>
      </w:r>
      <w:r>
        <w:rPr>
          <w:rFonts w:ascii="Arial"/>
        </w:rPr>
      </w:r>
    </w:p>
    <w:p>
      <w:pPr>
        <w:spacing w:after="0" w:line="240" w:lineRule="auto"/>
        <w:jc w:val="left"/>
        <w:rPr>
          <w:rFonts w:ascii="Arial" w:hAnsi="Arial" w:cs="Arial" w:eastAsia="Arial" w:hint="default"/>
        </w:rPr>
        <w:sectPr>
          <w:pgSz w:w="11910" w:h="16840"/>
          <w:pgMar w:header="958" w:footer="469" w:top="2380" w:bottom="660" w:left="1560" w:right="1560"/>
        </w:sect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9"/>
          <w:szCs w:val="29"/>
        </w:rPr>
      </w:pPr>
    </w:p>
    <w:tbl>
      <w:tblPr>
        <w:tblW w:w="0" w:type="auto"/>
        <w:jc w:val="left"/>
        <w:tblInd w:w="106" w:type="dxa"/>
        <w:tblLayout w:type="fixed"/>
        <w:tblCellMar>
          <w:top w:w="0" w:type="dxa"/>
          <w:left w:w="0" w:type="dxa"/>
          <w:bottom w:w="0" w:type="dxa"/>
          <w:right w:w="0" w:type="dxa"/>
        </w:tblCellMar>
        <w:tblLook w:val="01E0"/>
      </w:tblPr>
      <w:tblGrid>
        <w:gridCol w:w="588"/>
        <w:gridCol w:w="5215"/>
        <w:gridCol w:w="1099"/>
        <w:gridCol w:w="1657"/>
      </w:tblGrid>
      <w:tr>
        <w:trPr>
          <w:trHeight w:val="939" w:hRule="exact"/>
        </w:trPr>
        <w:tc>
          <w:tcPr>
            <w:tcW w:w="58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五、</w:t>
            </w:r>
            <w:r>
              <w:rPr>
                <w:rFonts w:ascii="黑体" w:hAnsi="黑体" w:cs="黑体" w:eastAsia="黑体" w:hint="default"/>
                <w:sz w:val="20"/>
                <w:szCs w:val="20"/>
              </w:rPr>
            </w:r>
          </w:p>
          <w:p>
            <w:pPr>
              <w:pStyle w:val="TableParagraph"/>
              <w:spacing w:line="240" w:lineRule="auto" w:before="8"/>
              <w:ind w:right="0"/>
              <w:jc w:val="left"/>
              <w:rPr>
                <w:rFonts w:ascii="Arial" w:hAnsi="Arial" w:cs="Arial" w:eastAsia="Arial" w:hint="default"/>
                <w:sz w:val="23"/>
                <w:szCs w:val="23"/>
              </w:rPr>
            </w:pPr>
          </w:p>
          <w:p>
            <w:pPr>
              <w:pStyle w:val="TableParagraph"/>
              <w:spacing w:line="240" w:lineRule="auto"/>
              <w:ind w:left="35" w:right="0"/>
              <w:jc w:val="left"/>
              <w:rPr>
                <w:rFonts w:ascii="Arial" w:hAnsi="Arial" w:cs="Arial" w:eastAsia="Arial" w:hint="default"/>
                <w:sz w:val="20"/>
                <w:szCs w:val="20"/>
              </w:rPr>
            </w:pPr>
            <w:r>
              <w:rPr>
                <w:rFonts w:ascii="Arial"/>
                <w:b/>
                <w:sz w:val="20"/>
              </w:rPr>
              <w:t>4.</w:t>
            </w:r>
            <w:r>
              <w:rPr>
                <w:rFonts w:ascii="Arial"/>
                <w:sz w:val="20"/>
              </w:rPr>
            </w:r>
          </w:p>
        </w:tc>
        <w:tc>
          <w:tcPr>
            <w:tcW w:w="521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49" w:right="0"/>
              <w:jc w:val="left"/>
              <w:rPr>
                <w:rFonts w:ascii="黑体" w:hAnsi="黑体" w:cs="黑体" w:eastAsia="黑体" w:hint="default"/>
                <w:sz w:val="20"/>
                <w:szCs w:val="20"/>
              </w:rPr>
            </w:pPr>
            <w:r>
              <w:rPr>
                <w:rFonts w:ascii="黑体" w:hAnsi="黑体" w:cs="黑体" w:eastAsia="黑体" w:hint="default"/>
                <w:b/>
                <w:bCs/>
                <w:sz w:val="20"/>
                <w:szCs w:val="20"/>
              </w:rPr>
              <w:t>合并财务报表主要项目注释（续）</w:t>
            </w:r>
            <w:r>
              <w:rPr>
                <w:rFonts w:ascii="黑体" w:hAnsi="黑体" w:cs="黑体" w:eastAsia="黑体" w:hint="default"/>
                <w:sz w:val="20"/>
                <w:szCs w:val="20"/>
              </w:rPr>
            </w:r>
          </w:p>
          <w:p>
            <w:pPr>
              <w:pStyle w:val="TableParagraph"/>
              <w:spacing w:line="240" w:lineRule="auto" w:before="10"/>
              <w:ind w:right="0"/>
              <w:jc w:val="left"/>
              <w:rPr>
                <w:rFonts w:ascii="Arial" w:hAnsi="Arial" w:cs="Arial" w:eastAsia="Arial" w:hint="default"/>
                <w:sz w:val="19"/>
                <w:szCs w:val="19"/>
              </w:rPr>
            </w:pPr>
          </w:p>
          <w:p>
            <w:pPr>
              <w:pStyle w:val="TableParagraph"/>
              <w:spacing w:line="240" w:lineRule="auto"/>
              <w:ind w:left="194" w:right="0"/>
              <w:jc w:val="left"/>
              <w:rPr>
                <w:rFonts w:ascii="黑体" w:hAnsi="黑体" w:cs="黑体" w:eastAsia="黑体" w:hint="default"/>
                <w:sz w:val="20"/>
                <w:szCs w:val="20"/>
              </w:rPr>
            </w:pPr>
            <w:r>
              <w:rPr>
                <w:rFonts w:ascii="黑体" w:hAnsi="黑体" w:cs="黑体" w:eastAsia="黑体" w:hint="default"/>
                <w:b/>
                <w:bCs/>
                <w:sz w:val="20"/>
                <w:szCs w:val="20"/>
              </w:rPr>
              <w:t>应收账款（续）</w:t>
            </w:r>
            <w:r>
              <w:rPr>
                <w:rFonts w:ascii="黑体" w:hAnsi="黑体" w:cs="黑体" w:eastAsia="黑体" w:hint="default"/>
                <w:sz w:val="20"/>
                <w:szCs w:val="20"/>
              </w:rPr>
            </w:r>
          </w:p>
        </w:tc>
        <w:tc>
          <w:tcPr>
            <w:tcW w:w="2757" w:type="dxa"/>
            <w:gridSpan w:val="2"/>
            <w:vMerge w:val="restart"/>
            <w:tcBorders>
              <w:top w:val="nil" w:sz="6" w:space="0" w:color="auto"/>
              <w:left w:val="nil" w:sz="6" w:space="0" w:color="auto"/>
              <w:right w:val="nil" w:sz="6" w:space="0" w:color="auto"/>
            </w:tcBorders>
          </w:tcPr>
          <w:p>
            <w:pPr/>
          </w:p>
        </w:tc>
      </w:tr>
      <w:tr>
        <w:trPr>
          <w:trHeight w:val="490" w:hRule="exact"/>
        </w:trPr>
        <w:tc>
          <w:tcPr>
            <w:tcW w:w="588" w:type="dxa"/>
            <w:tcBorders>
              <w:top w:val="nil" w:sz="6" w:space="0" w:color="auto"/>
              <w:left w:val="nil" w:sz="6" w:space="0" w:color="auto"/>
              <w:bottom w:val="nil" w:sz="6" w:space="0" w:color="auto"/>
              <w:right w:val="nil" w:sz="6" w:space="0" w:color="auto"/>
            </w:tcBorders>
          </w:tcPr>
          <w:p>
            <w:pPr/>
          </w:p>
        </w:tc>
        <w:tc>
          <w:tcPr>
            <w:tcW w:w="5215"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61" w:right="0"/>
              <w:jc w:val="left"/>
              <w:rPr>
                <w:rFonts w:ascii="黑体" w:hAnsi="黑体" w:cs="黑体" w:eastAsia="黑体" w:hint="default"/>
                <w:sz w:val="20"/>
                <w:szCs w:val="20"/>
              </w:rPr>
            </w:pPr>
            <w:r>
              <w:rPr>
                <w:rFonts w:ascii="黑体" w:hAnsi="黑体" w:cs="黑体" w:eastAsia="黑体" w:hint="default"/>
                <w:sz w:val="20"/>
                <w:szCs w:val="20"/>
              </w:rPr>
              <w:t>于</w:t>
            </w:r>
            <w:r>
              <w:rPr>
                <w:rFonts w:ascii="Arial" w:hAnsi="Arial" w:cs="Arial" w:eastAsia="Arial" w:hint="default"/>
                <w:sz w:val="20"/>
                <w:szCs w:val="20"/>
              </w:rPr>
              <w:t>2008</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日，应收账款金额前五名如下：</w:t>
            </w:r>
          </w:p>
        </w:tc>
        <w:tc>
          <w:tcPr>
            <w:tcW w:w="2757" w:type="dxa"/>
            <w:gridSpan w:val="2"/>
            <w:vMerge/>
            <w:tcBorders>
              <w:left w:val="nil" w:sz="6" w:space="0" w:color="auto"/>
              <w:bottom w:val="nil" w:sz="6" w:space="0" w:color="auto"/>
              <w:right w:val="nil" w:sz="6" w:space="0" w:color="auto"/>
            </w:tcBorders>
          </w:tcPr>
          <w:p>
            <w:pPr/>
          </w:p>
        </w:tc>
      </w:tr>
      <w:tr>
        <w:trPr>
          <w:trHeight w:val="370" w:hRule="exact"/>
        </w:trPr>
        <w:tc>
          <w:tcPr>
            <w:tcW w:w="588" w:type="dxa"/>
            <w:tcBorders>
              <w:top w:val="nil" w:sz="6" w:space="0" w:color="auto"/>
              <w:left w:val="nil" w:sz="6" w:space="0" w:color="auto"/>
              <w:bottom w:val="nil" w:sz="6" w:space="0" w:color="auto"/>
              <w:right w:val="nil" w:sz="6" w:space="0" w:color="auto"/>
            </w:tcBorders>
          </w:tcPr>
          <w:p>
            <w:pPr/>
          </w:p>
        </w:tc>
        <w:tc>
          <w:tcPr>
            <w:tcW w:w="5215" w:type="dxa"/>
            <w:tcBorders>
              <w:top w:val="nil" w:sz="6" w:space="0" w:color="auto"/>
              <w:left w:val="nil" w:sz="6" w:space="0" w:color="auto"/>
              <w:bottom w:val="nil" w:sz="6" w:space="0" w:color="auto"/>
              <w:right w:val="nil" w:sz="6" w:space="0" w:color="auto"/>
            </w:tcBorders>
          </w:tcPr>
          <w:p>
            <w:pPr>
              <w:pStyle w:val="TableParagraph"/>
              <w:tabs>
                <w:tab w:pos="2073" w:val="left" w:leader="none"/>
              </w:tabs>
              <w:spacing w:line="240" w:lineRule="auto" w:before="79"/>
              <w:ind w:right="113"/>
              <w:jc w:val="right"/>
              <w:rPr>
                <w:rFonts w:ascii="黑体" w:hAnsi="黑体" w:cs="黑体" w:eastAsia="黑体" w:hint="default"/>
                <w:sz w:val="20"/>
                <w:szCs w:val="20"/>
              </w:rPr>
            </w:pPr>
            <w:r>
              <w:rPr>
                <w:rFonts w:ascii="黑体" w:hAnsi="黑体" w:cs="黑体" w:eastAsia="黑体" w:hint="default"/>
                <w:spacing w:val="-1"/>
                <w:sz w:val="20"/>
                <w:szCs w:val="20"/>
              </w:rPr>
              <w:t>与本集团关系</w:t>
              <w:tab/>
            </w:r>
            <w:r>
              <w:rPr>
                <w:rFonts w:ascii="黑体" w:hAnsi="黑体" w:cs="黑体" w:eastAsia="黑体" w:hint="default"/>
                <w:sz w:val="20"/>
                <w:szCs w:val="20"/>
              </w:rPr>
              <w:t>金额</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20"/>
              <w:jc w:val="right"/>
              <w:rPr>
                <w:rFonts w:ascii="黑体" w:hAnsi="黑体" w:cs="黑体" w:eastAsia="黑体" w:hint="default"/>
                <w:sz w:val="20"/>
                <w:szCs w:val="20"/>
              </w:rPr>
            </w:pPr>
            <w:r>
              <w:rPr>
                <w:rFonts w:ascii="黑体" w:hAnsi="黑体" w:cs="黑体" w:eastAsia="黑体" w:hint="default"/>
                <w:sz w:val="20"/>
                <w:szCs w:val="20"/>
              </w:rPr>
              <w:t>账龄</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黑体" w:hAnsi="黑体" w:cs="黑体" w:eastAsia="黑体" w:hint="default"/>
                <w:sz w:val="20"/>
                <w:szCs w:val="20"/>
              </w:rPr>
            </w:pPr>
            <w:r>
              <w:rPr>
                <w:rFonts w:ascii="黑体" w:hAnsi="黑体" w:cs="黑体" w:eastAsia="黑体" w:hint="default"/>
                <w:spacing w:val="-1"/>
                <w:sz w:val="20"/>
                <w:szCs w:val="20"/>
              </w:rPr>
              <w:t>占应收账款总额</w:t>
            </w:r>
          </w:p>
        </w:tc>
      </w:tr>
      <w:tr>
        <w:trPr>
          <w:trHeight w:val="265" w:hRule="exact"/>
        </w:trPr>
        <w:tc>
          <w:tcPr>
            <w:tcW w:w="588" w:type="dxa"/>
            <w:tcBorders>
              <w:top w:val="nil" w:sz="6" w:space="0" w:color="auto"/>
              <w:left w:val="nil" w:sz="6" w:space="0" w:color="auto"/>
              <w:bottom w:val="nil" w:sz="6" w:space="0" w:color="auto"/>
              <w:right w:val="nil" w:sz="6" w:space="0" w:color="auto"/>
            </w:tcBorders>
          </w:tcPr>
          <w:p>
            <w:pPr/>
          </w:p>
        </w:tc>
        <w:tc>
          <w:tcPr>
            <w:tcW w:w="5215"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1657" w:type="dxa"/>
            <w:tcBorders>
              <w:top w:val="nil" w:sz="6" w:space="0" w:color="auto"/>
              <w:left w:val="nil" w:sz="6" w:space="0" w:color="auto"/>
              <w:bottom w:val="nil" w:sz="6" w:space="0" w:color="auto"/>
              <w:right w:val="nil" w:sz="6" w:space="0" w:color="auto"/>
            </w:tcBorders>
          </w:tcPr>
          <w:p>
            <w:pPr>
              <w:pStyle w:val="TableParagraph"/>
              <w:spacing w:line="244" w:lineRule="exact"/>
              <w:ind w:right="33"/>
              <w:jc w:val="right"/>
              <w:rPr>
                <w:rFonts w:ascii="Arial" w:hAnsi="Arial" w:cs="Arial" w:eastAsia="Arial" w:hint="default"/>
                <w:sz w:val="20"/>
                <w:szCs w:val="20"/>
              </w:rPr>
            </w:pPr>
            <w:r>
              <w:rPr>
                <w:rFonts w:ascii="黑体" w:hAnsi="黑体" w:cs="黑体" w:eastAsia="黑体" w:hint="default"/>
                <w:spacing w:val="-1"/>
                <w:sz w:val="20"/>
                <w:szCs w:val="20"/>
              </w:rPr>
              <w:t>的比例</w:t>
            </w:r>
            <w:r>
              <w:rPr>
                <w:rFonts w:ascii="Arial" w:hAnsi="Arial" w:cs="Arial" w:eastAsia="Arial" w:hint="default"/>
                <w:spacing w:val="-1"/>
                <w:sz w:val="20"/>
                <w:szCs w:val="20"/>
              </w:rPr>
              <w:t>(%)</w:t>
            </w:r>
          </w:p>
        </w:tc>
      </w:tr>
      <w:tr>
        <w:trPr>
          <w:trHeight w:val="267" w:hRule="exact"/>
        </w:trPr>
        <w:tc>
          <w:tcPr>
            <w:tcW w:w="588" w:type="dxa"/>
            <w:tcBorders>
              <w:top w:val="nil" w:sz="6" w:space="0" w:color="auto"/>
              <w:left w:val="nil" w:sz="6" w:space="0" w:color="auto"/>
              <w:bottom w:val="nil" w:sz="6" w:space="0" w:color="auto"/>
              <w:right w:val="nil" w:sz="6" w:space="0" w:color="auto"/>
            </w:tcBorders>
          </w:tcPr>
          <w:p>
            <w:pPr/>
          </w:p>
        </w:tc>
        <w:tc>
          <w:tcPr>
            <w:tcW w:w="5215" w:type="dxa"/>
            <w:tcBorders>
              <w:top w:val="nil" w:sz="6" w:space="0" w:color="auto"/>
              <w:left w:val="nil" w:sz="6" w:space="0" w:color="auto"/>
              <w:bottom w:val="nil" w:sz="6" w:space="0" w:color="auto"/>
              <w:right w:val="nil" w:sz="6" w:space="0" w:color="auto"/>
            </w:tcBorders>
          </w:tcPr>
          <w:p>
            <w:pPr>
              <w:pStyle w:val="TableParagraph"/>
              <w:tabs>
                <w:tab w:pos="2834" w:val="left" w:leader="none"/>
                <w:tab w:pos="4019" w:val="left" w:leader="none"/>
              </w:tabs>
              <w:spacing w:line="253" w:lineRule="exact"/>
              <w:ind w:right="113"/>
              <w:jc w:val="right"/>
              <w:rPr>
                <w:rFonts w:ascii="Arial" w:hAnsi="Arial" w:cs="Arial" w:eastAsia="Arial" w:hint="default"/>
                <w:sz w:val="20"/>
                <w:szCs w:val="20"/>
              </w:rPr>
            </w:pPr>
            <w:r>
              <w:rPr>
                <w:rFonts w:ascii="黑体" w:hAnsi="黑体" w:cs="黑体" w:eastAsia="黑体" w:hint="default"/>
                <w:spacing w:val="-1"/>
                <w:position w:val="1"/>
                <w:sz w:val="20"/>
                <w:szCs w:val="20"/>
              </w:rPr>
              <w:t>北京市财政局</w:t>
              <w:tab/>
            </w:r>
            <w:r>
              <w:rPr>
                <w:rFonts w:ascii="黑体" w:hAnsi="黑体" w:cs="黑体" w:eastAsia="黑体" w:hint="default"/>
                <w:position w:val="1"/>
                <w:sz w:val="20"/>
                <w:szCs w:val="20"/>
              </w:rPr>
              <w:t>非关联方</w:t>
              <w:tab/>
            </w:r>
            <w:r>
              <w:rPr>
                <w:rFonts w:ascii="Arial" w:hAnsi="Arial" w:cs="Arial" w:eastAsia="Arial" w:hint="default"/>
                <w:spacing w:val="-1"/>
                <w:sz w:val="20"/>
                <w:szCs w:val="20"/>
              </w:rPr>
              <w:t>5,937,970</w:t>
            </w:r>
          </w:p>
        </w:tc>
        <w:tc>
          <w:tcPr>
            <w:tcW w:w="1099" w:type="dxa"/>
            <w:tcBorders>
              <w:top w:val="nil" w:sz="6" w:space="0" w:color="auto"/>
              <w:left w:val="nil" w:sz="6" w:space="0" w:color="auto"/>
              <w:bottom w:val="nil" w:sz="6" w:space="0" w:color="auto"/>
              <w:right w:val="nil" w:sz="6" w:space="0" w:color="auto"/>
            </w:tcBorders>
          </w:tcPr>
          <w:p>
            <w:pPr>
              <w:pStyle w:val="TableParagraph"/>
              <w:spacing w:line="241" w:lineRule="exact"/>
              <w:ind w:right="220"/>
              <w:jc w:val="right"/>
              <w:rPr>
                <w:rFonts w:ascii="黑体" w:hAnsi="黑体" w:cs="黑体" w:eastAsia="黑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黑体" w:hAnsi="黑体" w:cs="黑体" w:eastAsia="黑体" w:hint="default"/>
                <w:sz w:val="20"/>
                <w:szCs w:val="20"/>
              </w:rPr>
              <w:t>年以内</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Arial" w:hAnsi="Arial" w:cs="Arial" w:eastAsia="Arial" w:hint="default"/>
                <w:sz w:val="20"/>
                <w:szCs w:val="20"/>
              </w:rPr>
            </w:pPr>
            <w:r>
              <w:rPr>
                <w:rFonts w:ascii="Arial"/>
                <w:w w:val="100"/>
                <w:sz w:val="20"/>
              </w:rPr>
              <w:t>2</w:t>
            </w:r>
          </w:p>
        </w:tc>
      </w:tr>
      <w:tr>
        <w:trPr>
          <w:trHeight w:val="259" w:hRule="exact"/>
        </w:trPr>
        <w:tc>
          <w:tcPr>
            <w:tcW w:w="588" w:type="dxa"/>
            <w:tcBorders>
              <w:top w:val="nil" w:sz="6" w:space="0" w:color="auto"/>
              <w:left w:val="nil" w:sz="6" w:space="0" w:color="auto"/>
              <w:bottom w:val="nil" w:sz="6" w:space="0" w:color="auto"/>
              <w:right w:val="nil" w:sz="6" w:space="0" w:color="auto"/>
            </w:tcBorders>
          </w:tcPr>
          <w:p>
            <w:pPr/>
          </w:p>
        </w:tc>
        <w:tc>
          <w:tcPr>
            <w:tcW w:w="5215" w:type="dxa"/>
            <w:tcBorders>
              <w:top w:val="nil" w:sz="6" w:space="0" w:color="auto"/>
              <w:left w:val="nil" w:sz="6" w:space="0" w:color="auto"/>
              <w:bottom w:val="nil" w:sz="6" w:space="0" w:color="auto"/>
              <w:right w:val="nil" w:sz="6" w:space="0" w:color="auto"/>
            </w:tcBorders>
          </w:tcPr>
          <w:p>
            <w:pPr>
              <w:pStyle w:val="TableParagraph"/>
              <w:tabs>
                <w:tab w:pos="2834" w:val="left" w:leader="none"/>
                <w:tab w:pos="4019" w:val="left" w:leader="none"/>
              </w:tabs>
              <w:spacing w:line="245" w:lineRule="exact"/>
              <w:ind w:right="113"/>
              <w:jc w:val="right"/>
              <w:rPr>
                <w:rFonts w:ascii="Arial" w:hAnsi="Arial" w:cs="Arial" w:eastAsia="Arial" w:hint="default"/>
                <w:sz w:val="20"/>
                <w:szCs w:val="20"/>
              </w:rPr>
            </w:pPr>
            <w:r>
              <w:rPr>
                <w:rFonts w:ascii="黑体" w:hAnsi="黑体" w:cs="黑体" w:eastAsia="黑体" w:hint="default"/>
                <w:spacing w:val="-1"/>
                <w:position w:val="1"/>
                <w:sz w:val="20"/>
                <w:szCs w:val="20"/>
              </w:rPr>
              <w:t>中国网络通信集团公司</w:t>
              <w:tab/>
            </w:r>
            <w:r>
              <w:rPr>
                <w:rFonts w:ascii="黑体" w:hAnsi="黑体" w:cs="黑体" w:eastAsia="黑体" w:hint="default"/>
                <w:position w:val="1"/>
                <w:sz w:val="20"/>
                <w:szCs w:val="20"/>
              </w:rPr>
              <w:t>非关联方</w:t>
              <w:tab/>
            </w:r>
            <w:r>
              <w:rPr>
                <w:rFonts w:ascii="Arial" w:hAnsi="Arial" w:cs="Arial" w:eastAsia="Arial" w:hint="default"/>
                <w:spacing w:val="-1"/>
                <w:sz w:val="20"/>
                <w:szCs w:val="20"/>
              </w:rPr>
              <w:t>5,141,250</w:t>
            </w:r>
          </w:p>
        </w:tc>
        <w:tc>
          <w:tcPr>
            <w:tcW w:w="1099" w:type="dxa"/>
            <w:tcBorders>
              <w:top w:val="nil" w:sz="6" w:space="0" w:color="auto"/>
              <w:left w:val="nil" w:sz="6" w:space="0" w:color="auto"/>
              <w:bottom w:val="nil" w:sz="6" w:space="0" w:color="auto"/>
              <w:right w:val="nil" w:sz="6" w:space="0" w:color="auto"/>
            </w:tcBorders>
          </w:tcPr>
          <w:p>
            <w:pPr>
              <w:pStyle w:val="TableParagraph"/>
              <w:spacing w:line="233" w:lineRule="exact"/>
              <w:ind w:right="219"/>
              <w:jc w:val="right"/>
              <w:rPr>
                <w:rFonts w:ascii="黑体" w:hAnsi="黑体" w:cs="黑体" w:eastAsia="黑体" w:hint="default"/>
                <w:sz w:val="20"/>
                <w:szCs w:val="20"/>
              </w:rPr>
            </w:pPr>
            <w:r>
              <w:rPr>
                <w:rFonts w:ascii="Arial" w:hAnsi="Arial" w:cs="Arial" w:eastAsia="Arial" w:hint="default"/>
                <w:sz w:val="20"/>
                <w:szCs w:val="20"/>
              </w:rPr>
              <w:t>1-2</w:t>
            </w:r>
            <w:r>
              <w:rPr>
                <w:rFonts w:ascii="Arial" w:hAnsi="Arial" w:cs="Arial" w:eastAsia="Arial" w:hint="default"/>
                <w:spacing w:val="-7"/>
                <w:sz w:val="20"/>
                <w:szCs w:val="20"/>
              </w:rPr>
              <w:t> </w:t>
            </w:r>
            <w:r>
              <w:rPr>
                <w:rFonts w:ascii="黑体" w:hAnsi="黑体" w:cs="黑体" w:eastAsia="黑体" w:hint="default"/>
                <w:sz w:val="20"/>
                <w:szCs w:val="20"/>
              </w:rPr>
              <w:t>年</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t>2</w:t>
            </w:r>
          </w:p>
        </w:tc>
      </w:tr>
      <w:tr>
        <w:trPr>
          <w:trHeight w:val="259" w:hRule="exact"/>
        </w:trPr>
        <w:tc>
          <w:tcPr>
            <w:tcW w:w="588" w:type="dxa"/>
            <w:tcBorders>
              <w:top w:val="nil" w:sz="6" w:space="0" w:color="auto"/>
              <w:left w:val="nil" w:sz="6" w:space="0" w:color="auto"/>
              <w:bottom w:val="nil" w:sz="6" w:space="0" w:color="auto"/>
              <w:right w:val="nil" w:sz="6" w:space="0" w:color="auto"/>
            </w:tcBorders>
          </w:tcPr>
          <w:p>
            <w:pPr/>
          </w:p>
        </w:tc>
        <w:tc>
          <w:tcPr>
            <w:tcW w:w="5215" w:type="dxa"/>
            <w:tcBorders>
              <w:top w:val="nil" w:sz="6" w:space="0" w:color="auto"/>
              <w:left w:val="nil" w:sz="6" w:space="0" w:color="auto"/>
              <w:bottom w:val="nil" w:sz="6" w:space="0" w:color="auto"/>
              <w:right w:val="nil" w:sz="6" w:space="0" w:color="auto"/>
            </w:tcBorders>
          </w:tcPr>
          <w:p>
            <w:pPr>
              <w:pStyle w:val="TableParagraph"/>
              <w:tabs>
                <w:tab w:pos="2834" w:val="left" w:leader="none"/>
                <w:tab w:pos="4019" w:val="left" w:leader="none"/>
              </w:tabs>
              <w:spacing w:line="245" w:lineRule="exact"/>
              <w:ind w:right="114"/>
              <w:jc w:val="right"/>
              <w:rPr>
                <w:rFonts w:ascii="Arial" w:hAnsi="Arial" w:cs="Arial" w:eastAsia="Arial" w:hint="default"/>
                <w:sz w:val="20"/>
                <w:szCs w:val="20"/>
              </w:rPr>
            </w:pPr>
            <w:r>
              <w:rPr>
                <w:rFonts w:ascii="黑体" w:hAnsi="黑体" w:cs="黑体" w:eastAsia="黑体" w:hint="default"/>
                <w:spacing w:val="-1"/>
                <w:position w:val="1"/>
                <w:sz w:val="20"/>
                <w:szCs w:val="20"/>
              </w:rPr>
              <w:t>南京电子技术研究所</w:t>
              <w:tab/>
            </w:r>
            <w:r>
              <w:rPr>
                <w:rFonts w:ascii="黑体" w:hAnsi="黑体" w:cs="黑体" w:eastAsia="黑体" w:hint="default"/>
                <w:position w:val="1"/>
                <w:sz w:val="20"/>
                <w:szCs w:val="20"/>
              </w:rPr>
              <w:t>非关联方</w:t>
              <w:tab/>
            </w:r>
            <w:r>
              <w:rPr>
                <w:rFonts w:ascii="Arial" w:hAnsi="Arial" w:cs="Arial" w:eastAsia="Arial" w:hint="default"/>
                <w:spacing w:val="-1"/>
                <w:sz w:val="20"/>
                <w:szCs w:val="20"/>
              </w:rPr>
              <w:t>3,485,000</w:t>
            </w:r>
          </w:p>
        </w:tc>
        <w:tc>
          <w:tcPr>
            <w:tcW w:w="1099" w:type="dxa"/>
            <w:tcBorders>
              <w:top w:val="nil" w:sz="6" w:space="0" w:color="auto"/>
              <w:left w:val="nil" w:sz="6" w:space="0" w:color="auto"/>
              <w:bottom w:val="nil" w:sz="6" w:space="0" w:color="auto"/>
              <w:right w:val="nil" w:sz="6" w:space="0" w:color="auto"/>
            </w:tcBorders>
          </w:tcPr>
          <w:p>
            <w:pPr>
              <w:pStyle w:val="TableParagraph"/>
              <w:spacing w:line="233" w:lineRule="exact"/>
              <w:ind w:right="219"/>
              <w:jc w:val="right"/>
              <w:rPr>
                <w:rFonts w:ascii="黑体" w:hAnsi="黑体" w:cs="黑体" w:eastAsia="黑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黑体" w:hAnsi="黑体" w:cs="黑体" w:eastAsia="黑体" w:hint="default"/>
                <w:sz w:val="20"/>
                <w:szCs w:val="20"/>
              </w:rPr>
              <w:t>年以内</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t>1</w:t>
            </w:r>
          </w:p>
        </w:tc>
      </w:tr>
      <w:tr>
        <w:trPr>
          <w:trHeight w:val="260" w:hRule="exact"/>
        </w:trPr>
        <w:tc>
          <w:tcPr>
            <w:tcW w:w="588" w:type="dxa"/>
            <w:tcBorders>
              <w:top w:val="nil" w:sz="6" w:space="0" w:color="auto"/>
              <w:left w:val="nil" w:sz="6" w:space="0" w:color="auto"/>
              <w:bottom w:val="nil" w:sz="6" w:space="0" w:color="auto"/>
              <w:right w:val="nil" w:sz="6" w:space="0" w:color="auto"/>
            </w:tcBorders>
          </w:tcPr>
          <w:p>
            <w:pPr/>
          </w:p>
        </w:tc>
        <w:tc>
          <w:tcPr>
            <w:tcW w:w="5215" w:type="dxa"/>
            <w:tcBorders>
              <w:top w:val="nil" w:sz="6" w:space="0" w:color="auto"/>
              <w:left w:val="nil" w:sz="6" w:space="0" w:color="auto"/>
              <w:bottom w:val="nil" w:sz="6" w:space="0" w:color="auto"/>
              <w:right w:val="nil" w:sz="6" w:space="0" w:color="auto"/>
            </w:tcBorders>
          </w:tcPr>
          <w:p>
            <w:pPr>
              <w:pStyle w:val="TableParagraph"/>
              <w:tabs>
                <w:tab w:pos="2834" w:val="left" w:leader="none"/>
                <w:tab w:pos="4019" w:val="left" w:leader="none"/>
              </w:tabs>
              <w:spacing w:line="245" w:lineRule="exact"/>
              <w:ind w:right="114"/>
              <w:jc w:val="right"/>
              <w:rPr>
                <w:rFonts w:ascii="Arial" w:hAnsi="Arial" w:cs="Arial" w:eastAsia="Arial" w:hint="default"/>
                <w:sz w:val="20"/>
                <w:szCs w:val="20"/>
              </w:rPr>
            </w:pPr>
            <w:r>
              <w:rPr>
                <w:rFonts w:ascii="黑体" w:hAnsi="黑体" w:cs="黑体" w:eastAsia="黑体" w:hint="default"/>
                <w:spacing w:val="-1"/>
                <w:position w:val="1"/>
                <w:sz w:val="20"/>
                <w:szCs w:val="20"/>
              </w:rPr>
              <w:t>上海元祖梦果子有限公司</w:t>
              <w:tab/>
            </w:r>
            <w:r>
              <w:rPr>
                <w:rFonts w:ascii="黑体" w:hAnsi="黑体" w:cs="黑体" w:eastAsia="黑体" w:hint="default"/>
                <w:position w:val="1"/>
                <w:sz w:val="20"/>
                <w:szCs w:val="20"/>
              </w:rPr>
              <w:t>非关联方</w:t>
              <w:tab/>
            </w:r>
            <w:r>
              <w:rPr>
                <w:rFonts w:ascii="Arial" w:hAnsi="Arial" w:cs="Arial" w:eastAsia="Arial" w:hint="default"/>
                <w:spacing w:val="-1"/>
                <w:sz w:val="20"/>
                <w:szCs w:val="20"/>
              </w:rPr>
              <w:t>3,301,640</w:t>
            </w:r>
          </w:p>
        </w:tc>
        <w:tc>
          <w:tcPr>
            <w:tcW w:w="1099" w:type="dxa"/>
            <w:tcBorders>
              <w:top w:val="nil" w:sz="6" w:space="0" w:color="auto"/>
              <w:left w:val="nil" w:sz="6" w:space="0" w:color="auto"/>
              <w:bottom w:val="nil" w:sz="6" w:space="0" w:color="auto"/>
              <w:right w:val="nil" w:sz="6" w:space="0" w:color="auto"/>
            </w:tcBorders>
          </w:tcPr>
          <w:p>
            <w:pPr>
              <w:pStyle w:val="TableParagraph"/>
              <w:spacing w:line="233" w:lineRule="exact"/>
              <w:ind w:right="219"/>
              <w:jc w:val="right"/>
              <w:rPr>
                <w:rFonts w:ascii="黑体" w:hAnsi="黑体" w:cs="黑体" w:eastAsia="黑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黑体" w:hAnsi="黑体" w:cs="黑体" w:eastAsia="黑体" w:hint="default"/>
                <w:sz w:val="20"/>
                <w:szCs w:val="20"/>
              </w:rPr>
              <w:t>年以内</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t>1</w:t>
            </w:r>
          </w:p>
        </w:tc>
      </w:tr>
      <w:tr>
        <w:trPr>
          <w:trHeight w:val="269" w:hRule="exact"/>
        </w:trPr>
        <w:tc>
          <w:tcPr>
            <w:tcW w:w="588" w:type="dxa"/>
            <w:tcBorders>
              <w:top w:val="nil" w:sz="6" w:space="0" w:color="auto"/>
              <w:left w:val="nil" w:sz="6" w:space="0" w:color="auto"/>
              <w:bottom w:val="nil" w:sz="6" w:space="0" w:color="auto"/>
              <w:right w:val="nil" w:sz="6" w:space="0" w:color="auto"/>
            </w:tcBorders>
          </w:tcPr>
          <w:p>
            <w:pPr/>
          </w:p>
        </w:tc>
        <w:tc>
          <w:tcPr>
            <w:tcW w:w="5215" w:type="dxa"/>
            <w:tcBorders>
              <w:top w:val="nil" w:sz="6" w:space="0" w:color="auto"/>
              <w:left w:val="nil" w:sz="6" w:space="0" w:color="auto"/>
              <w:bottom w:val="nil" w:sz="6" w:space="0" w:color="auto"/>
              <w:right w:val="nil" w:sz="6" w:space="0" w:color="auto"/>
            </w:tcBorders>
          </w:tcPr>
          <w:p>
            <w:pPr>
              <w:pStyle w:val="TableParagraph"/>
              <w:tabs>
                <w:tab w:pos="2834" w:val="left" w:leader="none"/>
                <w:tab w:pos="3918" w:val="left" w:leader="none"/>
              </w:tabs>
              <w:spacing w:line="246" w:lineRule="exact"/>
              <w:ind w:right="114"/>
              <w:jc w:val="right"/>
              <w:rPr>
                <w:rFonts w:ascii="Arial" w:hAnsi="Arial" w:cs="Arial" w:eastAsia="Arial" w:hint="default"/>
                <w:sz w:val="20"/>
                <w:szCs w:val="20"/>
              </w:rPr>
            </w:pPr>
            <w:r>
              <w:rPr>
                <w:rFonts w:ascii="黑体" w:hAnsi="黑体" w:cs="黑体" w:eastAsia="黑体" w:hint="default"/>
                <w:spacing w:val="-1"/>
                <w:position w:val="1"/>
                <w:sz w:val="20"/>
                <w:szCs w:val="20"/>
              </w:rPr>
              <w:t>欧莱雅（中国）有限公司</w:t>
              <w:tab/>
            </w:r>
            <w:r>
              <w:rPr>
                <w:rFonts w:ascii="黑体" w:hAnsi="黑体" w:cs="黑体" w:eastAsia="黑体" w:hint="default"/>
                <w:position w:val="1"/>
                <w:sz w:val="20"/>
                <w:szCs w:val="20"/>
              </w:rPr>
              <w:t>非关联方</w:t>
              <w:tab/>
            </w:r>
            <w:r>
              <w:rPr>
                <w:rFonts w:ascii="Arial" w:hAnsi="Arial" w:cs="Arial" w:eastAsia="Arial" w:hint="default"/>
                <w:sz w:val="20"/>
                <w:szCs w:val="20"/>
              </w:rPr>
            </w:r>
            <w:r>
              <w:rPr>
                <w:rFonts w:ascii="Arial" w:hAnsi="Arial" w:cs="Arial" w:eastAsia="Arial" w:hint="default"/>
                <w:sz w:val="20"/>
                <w:szCs w:val="20"/>
                <w:u w:val="single" w:color="000000"/>
              </w:rPr>
              <w:t> 2,595,000</w:t>
            </w:r>
            <w:r>
              <w:rPr>
                <w:rFonts w:ascii="Arial" w:hAnsi="Arial" w:cs="Arial" w:eastAsia="Arial" w:hint="default"/>
                <w:sz w:val="20"/>
                <w:szCs w:val="20"/>
              </w:rPr>
            </w:r>
          </w:p>
        </w:tc>
        <w:tc>
          <w:tcPr>
            <w:tcW w:w="1099" w:type="dxa"/>
            <w:tcBorders>
              <w:top w:val="nil" w:sz="6" w:space="0" w:color="auto"/>
              <w:left w:val="nil" w:sz="6" w:space="0" w:color="auto"/>
              <w:bottom w:val="nil" w:sz="6" w:space="0" w:color="auto"/>
              <w:right w:val="nil" w:sz="6" w:space="0" w:color="auto"/>
            </w:tcBorders>
          </w:tcPr>
          <w:p>
            <w:pPr>
              <w:pStyle w:val="TableParagraph"/>
              <w:spacing w:line="234" w:lineRule="exact"/>
              <w:ind w:right="220"/>
              <w:jc w:val="right"/>
              <w:rPr>
                <w:rFonts w:ascii="黑体" w:hAnsi="黑体" w:cs="黑体" w:eastAsia="黑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黑体" w:hAnsi="黑体" w:cs="黑体" w:eastAsia="黑体" w:hint="default"/>
                <w:sz w:val="20"/>
                <w:szCs w:val="20"/>
              </w:rPr>
              <w:t>年以内</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Arial" w:hAnsi="Arial" w:cs="Arial" w:eastAsia="Arial" w:hint="default"/>
                <w:sz w:val="20"/>
                <w:szCs w:val="20"/>
              </w:rPr>
            </w:pPr>
            <w:r>
              <w:rPr>
                <w:rFonts w:ascii="Arial"/>
                <w:w w:val="100"/>
                <w:sz w:val="20"/>
              </w:rPr>
            </w:r>
            <w:r>
              <w:rPr>
                <w:rFonts w:ascii="Arial"/>
                <w:w w:val="100"/>
                <w:sz w:val="20"/>
                <w:u w:val="single" w:color="000000"/>
              </w:rPr>
              <w:t>1</w:t>
            </w:r>
            <w:r>
              <w:rPr>
                <w:rFonts w:ascii="Arial"/>
                <w:w w:val="100"/>
                <w:sz w:val="20"/>
              </w:rPr>
            </w:r>
          </w:p>
        </w:tc>
      </w:tr>
      <w:tr>
        <w:trPr>
          <w:trHeight w:val="328" w:hRule="exact"/>
        </w:trPr>
        <w:tc>
          <w:tcPr>
            <w:tcW w:w="588" w:type="dxa"/>
            <w:tcBorders>
              <w:top w:val="nil" w:sz="6" w:space="0" w:color="auto"/>
              <w:left w:val="nil" w:sz="6" w:space="0" w:color="auto"/>
              <w:bottom w:val="nil" w:sz="6" w:space="0" w:color="auto"/>
              <w:right w:val="nil" w:sz="6" w:space="0" w:color="auto"/>
            </w:tcBorders>
          </w:tcPr>
          <w:p>
            <w:pPr/>
          </w:p>
        </w:tc>
        <w:tc>
          <w:tcPr>
            <w:tcW w:w="52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13"/>
              <w:jc w:val="right"/>
              <w:rPr>
                <w:rFonts w:ascii="Arial" w:hAnsi="Arial" w:cs="Arial" w:eastAsia="Arial" w:hint="default"/>
                <w:sz w:val="20"/>
                <w:szCs w:val="20"/>
              </w:rPr>
            </w:pPr>
            <w:r>
              <w:rPr>
                <w:rFonts w:ascii="Arial"/>
                <w:w w:val="100"/>
                <w:sz w:val="20"/>
              </w:rPr>
            </w:r>
            <w:r>
              <w:rPr>
                <w:rFonts w:ascii="Arial"/>
                <w:spacing w:val="-1"/>
                <w:sz w:val="20"/>
                <w:u w:val="thick" w:color="000000"/>
              </w:rPr>
              <w:t>20,460,860</w:t>
            </w:r>
            <w:r>
              <w:rPr>
                <w:rFonts w:ascii="Arial"/>
                <w:spacing w:val="-1"/>
                <w:sz w:val="20"/>
              </w:rPr>
            </w:r>
          </w:p>
        </w:tc>
        <w:tc>
          <w:tcPr>
            <w:tcW w:w="1099" w:type="dxa"/>
            <w:tcBorders>
              <w:top w:val="nil" w:sz="6" w:space="0" w:color="auto"/>
              <w:left w:val="nil" w:sz="6" w:space="0" w:color="auto"/>
              <w:bottom w:val="nil" w:sz="6" w:space="0" w:color="auto"/>
              <w:right w:val="nil" w:sz="6" w:space="0" w:color="auto"/>
            </w:tcBorders>
          </w:tcPr>
          <w:p>
            <w:pP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w w:val="100"/>
                <w:sz w:val="20"/>
                <w:u w:val="thick" w:color="000000"/>
              </w:rPr>
              <w:t>7</w:t>
            </w:r>
            <w:r>
              <w:rPr>
                <w:rFonts w:ascii="Arial"/>
                <w:w w:val="100"/>
                <w:sz w:val="20"/>
              </w:rPr>
            </w:r>
          </w:p>
        </w:tc>
      </w:tr>
    </w:tbl>
    <w:p>
      <w:pPr>
        <w:spacing w:line="240" w:lineRule="auto" w:before="6"/>
        <w:rPr>
          <w:rFonts w:ascii="Arial" w:hAnsi="Arial" w:cs="Arial" w:eastAsia="Arial" w:hint="default"/>
          <w:sz w:val="5"/>
          <w:szCs w:val="5"/>
        </w:rPr>
      </w:pPr>
    </w:p>
    <w:p>
      <w:pPr>
        <w:pStyle w:val="BodyText"/>
        <w:spacing w:line="240" w:lineRule="auto" w:before="38"/>
        <w:ind w:left="855" w:right="0"/>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日，应收关联方账款如下：</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15"/>
          <w:szCs w:val="15"/>
        </w:rPr>
      </w:pPr>
    </w:p>
    <w:p>
      <w:pPr>
        <w:pStyle w:val="BodyText"/>
        <w:spacing w:line="240" w:lineRule="auto"/>
        <w:ind w:left="850" w:right="0"/>
        <w:jc w:val="left"/>
      </w:pPr>
      <w:r>
        <w:rPr/>
        <w:pict>
          <v:shape style="position:absolute;margin-left:307.015228pt;margin-top:-27.842985pt;width:205.3pt;height:46.35pt;mso-position-horizontal-relative:page;mso-position-vertical-relative:paragraph;z-index:16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25"/>
                    <w:gridCol w:w="1024"/>
                    <w:gridCol w:w="1658"/>
                  </w:tblGrid>
                  <w:tr>
                    <w:trPr>
                      <w:trHeight w:val="593" w:hRule="exact"/>
                    </w:trPr>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6"/>
                          <w:jc w:val="right"/>
                          <w:rPr>
                            <w:rFonts w:ascii="黑体" w:hAnsi="黑体" w:cs="黑体" w:eastAsia="黑体" w:hint="default"/>
                            <w:sz w:val="20"/>
                            <w:szCs w:val="20"/>
                          </w:rPr>
                        </w:pPr>
                        <w:r>
                          <w:rPr>
                            <w:rFonts w:ascii="黑体" w:hAnsi="黑体" w:cs="黑体" w:eastAsia="黑体" w:hint="default"/>
                            <w:spacing w:val="-1"/>
                            <w:sz w:val="20"/>
                            <w:szCs w:val="20"/>
                          </w:rPr>
                          <w:t>与本集团关系</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20"/>
                          <w:jc w:val="right"/>
                          <w:rPr>
                            <w:rFonts w:ascii="黑体" w:hAnsi="黑体" w:cs="黑体" w:eastAsia="黑体" w:hint="default"/>
                            <w:sz w:val="20"/>
                            <w:szCs w:val="20"/>
                          </w:rPr>
                        </w:pPr>
                        <w:r>
                          <w:rPr>
                            <w:rFonts w:ascii="黑体" w:hAnsi="黑体" w:cs="黑体" w:eastAsia="黑体" w:hint="default"/>
                            <w:sz w:val="20"/>
                            <w:szCs w:val="20"/>
                          </w:rPr>
                          <w:t>金额</w:t>
                        </w:r>
                      </w:p>
                    </w:tc>
                    <w:tc>
                      <w:tcPr>
                        <w:tcW w:w="1658" w:type="dxa"/>
                        <w:tcBorders>
                          <w:top w:val="nil" w:sz="6" w:space="0" w:color="auto"/>
                          <w:left w:val="nil" w:sz="6" w:space="0" w:color="auto"/>
                          <w:bottom w:val="nil" w:sz="6" w:space="0" w:color="auto"/>
                          <w:right w:val="nil" w:sz="6" w:space="0" w:color="auto"/>
                        </w:tcBorders>
                      </w:tcPr>
                      <w:p>
                        <w:pPr>
                          <w:pStyle w:val="TableParagraph"/>
                          <w:spacing w:line="260" w:lineRule="exact" w:before="38"/>
                          <w:ind w:left="222" w:right="0"/>
                          <w:jc w:val="left"/>
                          <w:rPr>
                            <w:rFonts w:ascii="黑体" w:hAnsi="黑体" w:cs="黑体" w:eastAsia="黑体" w:hint="default"/>
                            <w:sz w:val="20"/>
                            <w:szCs w:val="20"/>
                          </w:rPr>
                        </w:pPr>
                        <w:r>
                          <w:rPr>
                            <w:rFonts w:ascii="黑体" w:hAnsi="黑体" w:cs="黑体" w:eastAsia="黑体" w:hint="default"/>
                            <w:sz w:val="20"/>
                            <w:szCs w:val="20"/>
                          </w:rPr>
                          <w:t>占应收账款总额</w:t>
                        </w:r>
                      </w:p>
                      <w:p>
                        <w:pPr>
                          <w:pStyle w:val="TableParagraph"/>
                          <w:spacing w:line="275" w:lineRule="exact"/>
                          <w:ind w:left="710" w:right="0"/>
                          <w:jc w:val="left"/>
                          <w:rPr>
                            <w:rFonts w:ascii="Arial" w:hAnsi="Arial" w:cs="Arial" w:eastAsia="Arial" w:hint="default"/>
                            <w:sz w:val="20"/>
                            <w:szCs w:val="20"/>
                          </w:rPr>
                        </w:pPr>
                        <w:r>
                          <w:rPr>
                            <w:rFonts w:ascii="黑体" w:hAnsi="黑体" w:cs="黑体" w:eastAsia="黑体" w:hint="default"/>
                            <w:sz w:val="20"/>
                            <w:szCs w:val="20"/>
                          </w:rPr>
                          <w:t>的比例</w:t>
                        </w:r>
                        <w:r>
                          <w:rPr>
                            <w:rFonts w:ascii="Arial" w:hAnsi="Arial" w:cs="Arial" w:eastAsia="Arial" w:hint="default"/>
                            <w:sz w:val="20"/>
                            <w:szCs w:val="20"/>
                          </w:rPr>
                          <w:t>(%)</w:t>
                        </w:r>
                      </w:p>
                    </w:tc>
                  </w:tr>
                  <w:tr>
                    <w:trPr>
                      <w:trHeight w:val="333" w:hRule="exact"/>
                    </w:trPr>
                    <w:tc>
                      <w:tcPr>
                        <w:tcW w:w="1425" w:type="dxa"/>
                        <w:tcBorders>
                          <w:top w:val="nil" w:sz="6" w:space="0" w:color="auto"/>
                          <w:left w:val="nil" w:sz="6" w:space="0" w:color="auto"/>
                          <w:bottom w:val="nil" w:sz="6" w:space="0" w:color="auto"/>
                          <w:right w:val="nil" w:sz="6" w:space="0" w:color="auto"/>
                        </w:tcBorders>
                      </w:tcPr>
                      <w:p>
                        <w:pPr>
                          <w:pStyle w:val="TableParagraph"/>
                          <w:spacing w:line="225" w:lineRule="exact"/>
                          <w:ind w:right="187"/>
                          <w:jc w:val="right"/>
                          <w:rPr>
                            <w:rFonts w:ascii="黑体" w:hAnsi="黑体" w:cs="黑体" w:eastAsia="黑体" w:hint="default"/>
                            <w:sz w:val="20"/>
                            <w:szCs w:val="20"/>
                          </w:rPr>
                        </w:pPr>
                        <w:r>
                          <w:rPr>
                            <w:rFonts w:ascii="黑体" w:hAnsi="黑体" w:cs="黑体" w:eastAsia="黑体" w:hint="default"/>
                            <w:sz w:val="20"/>
                            <w:szCs w:val="20"/>
                          </w:rPr>
                          <w:t>联营企业</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20"/>
                          <w:jc w:val="right"/>
                          <w:rPr>
                            <w:rFonts w:ascii="Arial" w:hAnsi="Arial" w:cs="Arial" w:eastAsia="Arial" w:hint="default"/>
                            <w:sz w:val="20"/>
                            <w:szCs w:val="20"/>
                          </w:rPr>
                        </w:pPr>
                        <w:r>
                          <w:rPr>
                            <w:rFonts w:ascii="Arial"/>
                            <w:w w:val="100"/>
                            <w:sz w:val="20"/>
                          </w:rPr>
                        </w:r>
                        <w:r>
                          <w:rPr>
                            <w:rFonts w:ascii="Arial"/>
                            <w:sz w:val="20"/>
                            <w:u w:val="thick" w:color="000000"/>
                          </w:rPr>
                          <w:t>47,000</w:t>
                        </w:r>
                        <w:r>
                          <w:rPr>
                            <w:rFonts w:ascii="Arial"/>
                            <w:sz w:val="20"/>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w w:val="100"/>
                            <w:sz w:val="20"/>
                          </w:rPr>
                        </w:r>
                        <w:r>
                          <w:rPr>
                            <w:rFonts w:ascii="Arial"/>
                            <w:sz w:val="20"/>
                            <w:u w:val="thick" w:color="000000"/>
                          </w:rPr>
                          <w:t>&lt;1</w:t>
                        </w:r>
                        <w:r>
                          <w:rPr>
                            <w:rFonts w:ascii="Arial"/>
                            <w:sz w:val="20"/>
                          </w:rPr>
                        </w:r>
                      </w:p>
                    </w:tc>
                  </w:tr>
                </w:tbl>
                <w:p>
                  <w:pPr/>
                </w:p>
              </w:txbxContent>
            </v:textbox>
            <w10:wrap type="none"/>
          </v:shape>
        </w:pict>
      </w:r>
      <w:r>
        <w:rPr/>
        <w:t>用友致远</w:t>
      </w:r>
    </w:p>
    <w:p>
      <w:pPr>
        <w:spacing w:line="240" w:lineRule="auto" w:before="1"/>
        <w:rPr>
          <w:rFonts w:ascii="黑体" w:hAnsi="黑体" w:cs="黑体" w:eastAsia="黑体" w:hint="default"/>
          <w:sz w:val="16"/>
          <w:szCs w:val="16"/>
        </w:rPr>
      </w:pPr>
    </w:p>
    <w:p>
      <w:pPr>
        <w:pStyle w:val="BodyText"/>
        <w:spacing w:line="240" w:lineRule="auto" w:before="38"/>
        <w:ind w:left="855" w:right="0"/>
        <w:jc w:val="left"/>
      </w:pPr>
      <w:r>
        <w:rPr/>
        <w:t>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日，本账户余额中无应收关联方账款。</w:t>
      </w:r>
    </w:p>
    <w:p>
      <w:pPr>
        <w:spacing w:line="240" w:lineRule="auto" w:before="3"/>
        <w:rPr>
          <w:rFonts w:ascii="黑体" w:hAnsi="黑体" w:cs="黑体" w:eastAsia="黑体" w:hint="default"/>
          <w:sz w:val="23"/>
          <w:szCs w:val="23"/>
        </w:rPr>
      </w:pPr>
    </w:p>
    <w:p>
      <w:pPr>
        <w:tabs>
          <w:tab w:pos="861" w:val="left" w:leader="none"/>
        </w:tabs>
        <w:spacing w:line="424" w:lineRule="auto" w:before="0"/>
        <w:ind w:left="855" w:right="5545" w:hanging="729"/>
        <w:jc w:val="left"/>
        <w:rPr>
          <w:rFonts w:ascii="黑体" w:hAnsi="黑体" w:cs="黑体" w:eastAsia="黑体" w:hint="default"/>
          <w:sz w:val="20"/>
          <w:szCs w:val="20"/>
        </w:rPr>
      </w:pPr>
      <w:r>
        <w:rPr>
          <w:rFonts w:ascii="Arial" w:hAnsi="Arial" w:cs="Arial" w:eastAsia="Arial" w:hint="default"/>
          <w:b/>
          <w:bCs/>
          <w:spacing w:val="-1"/>
          <w:sz w:val="20"/>
          <w:szCs w:val="20"/>
        </w:rPr>
        <w:t>5.</w:t>
        <w:tab/>
        <w:tab/>
      </w:r>
      <w:r>
        <w:rPr>
          <w:rFonts w:ascii="黑体" w:hAnsi="黑体" w:cs="黑体" w:eastAsia="黑体" w:hint="default"/>
          <w:b/>
          <w:bCs/>
          <w:sz w:val="20"/>
          <w:szCs w:val="20"/>
        </w:rPr>
        <w:t>预付款项</w:t>
      </w:r>
      <w:r>
        <w:rPr>
          <w:rFonts w:ascii="黑体" w:hAnsi="黑体" w:cs="黑体" w:eastAsia="黑体" w:hint="default"/>
          <w:b/>
          <w:bCs/>
          <w:w w:val="99"/>
          <w:sz w:val="20"/>
          <w:szCs w:val="20"/>
        </w:rPr>
        <w:t> </w:t>
      </w:r>
      <w:r>
        <w:rPr>
          <w:rFonts w:ascii="黑体" w:hAnsi="黑体" w:cs="黑体" w:eastAsia="黑体" w:hint="default"/>
          <w:sz w:val="20"/>
          <w:szCs w:val="20"/>
        </w:rPr>
        <w:t>预付款项的账龄分析如下：</w:t>
      </w:r>
    </w:p>
    <w:p>
      <w:pPr>
        <w:pStyle w:val="BodyText"/>
        <w:tabs>
          <w:tab w:pos="7155" w:val="left" w:leader="none"/>
        </w:tabs>
        <w:spacing w:line="240" w:lineRule="auto" w:before="86"/>
        <w:ind w:left="4316" w:right="0"/>
        <w:jc w:val="left"/>
      </w:pP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tab/>
      </w:r>
      <w:r>
        <w:rPr>
          <w:rFonts w:ascii="Arial" w:hAnsi="Arial" w:cs="Arial" w:eastAsia="Arial" w:hint="default"/>
          <w:spacing w:val="-1"/>
        </w:rPr>
        <w:t>2008</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r>
    </w:p>
    <w:tbl>
      <w:tblPr>
        <w:tblW w:w="0" w:type="auto"/>
        <w:jc w:val="left"/>
        <w:tblInd w:w="815" w:type="dxa"/>
        <w:tblLayout w:type="fixed"/>
        <w:tblCellMar>
          <w:top w:w="0" w:type="dxa"/>
          <w:left w:w="0" w:type="dxa"/>
          <w:bottom w:w="0" w:type="dxa"/>
          <w:right w:w="0" w:type="dxa"/>
        </w:tblCellMar>
        <w:tblLook w:val="01E0"/>
      </w:tblPr>
      <w:tblGrid>
        <w:gridCol w:w="3005"/>
        <w:gridCol w:w="1290"/>
        <w:gridCol w:w="693"/>
        <w:gridCol w:w="896"/>
        <w:gridCol w:w="1300"/>
        <w:gridCol w:w="675"/>
      </w:tblGrid>
      <w:tr>
        <w:trPr>
          <w:trHeight w:val="682" w:hRule="exact"/>
        </w:trPr>
        <w:tc>
          <w:tcPr>
            <w:tcW w:w="3005" w:type="dxa"/>
            <w:tcBorders>
              <w:top w:val="nil" w:sz="6" w:space="0" w:color="auto"/>
              <w:left w:val="nil" w:sz="6" w:space="0" w:color="auto"/>
              <w:bottom w:val="nil" w:sz="6" w:space="0" w:color="auto"/>
              <w:right w:val="nil" w:sz="6" w:space="0" w:color="auto"/>
            </w:tcBorders>
          </w:tcPr>
          <w:p>
            <w:pPr/>
          </w:p>
        </w:tc>
        <w:tc>
          <w:tcPr>
            <w:tcW w:w="1290" w:type="dxa"/>
            <w:tcBorders>
              <w:top w:val="single" w:sz="4" w:space="0" w:color="000000"/>
              <w:left w:val="nil" w:sz="6" w:space="0" w:color="auto"/>
              <w:bottom w:val="nil" w:sz="6" w:space="0" w:color="auto"/>
              <w:right w:val="nil" w:sz="6" w:space="0" w:color="auto"/>
            </w:tcBorders>
          </w:tcPr>
          <w:p>
            <w:pPr>
              <w:pStyle w:val="TableParagraph"/>
              <w:spacing w:line="240" w:lineRule="exact"/>
              <w:ind w:left="620" w:right="0"/>
              <w:jc w:val="left"/>
              <w:rPr>
                <w:rFonts w:ascii="黑体" w:hAnsi="黑体" w:cs="黑体" w:eastAsia="黑体" w:hint="default"/>
                <w:sz w:val="20"/>
                <w:szCs w:val="20"/>
              </w:rPr>
            </w:pPr>
            <w:r>
              <w:rPr>
                <w:rFonts w:ascii="黑体" w:hAnsi="黑体" w:cs="黑体" w:eastAsia="黑体" w:hint="default"/>
                <w:sz w:val="20"/>
                <w:szCs w:val="20"/>
              </w:rPr>
              <w:t>账面</w:t>
            </w:r>
          </w:p>
          <w:p>
            <w:pPr>
              <w:pStyle w:val="TableParagraph"/>
              <w:spacing w:line="240" w:lineRule="auto" w:before="6"/>
              <w:ind w:left="620" w:right="0"/>
              <w:jc w:val="left"/>
              <w:rPr>
                <w:rFonts w:ascii="黑体" w:hAnsi="黑体" w:cs="黑体" w:eastAsia="黑体" w:hint="default"/>
                <w:sz w:val="20"/>
                <w:szCs w:val="20"/>
              </w:rPr>
            </w:pPr>
            <w:r>
              <w:rPr>
                <w:rFonts w:ascii="黑体" w:hAnsi="黑体" w:cs="黑体" w:eastAsia="黑体" w:hint="default"/>
                <w:sz w:val="20"/>
                <w:szCs w:val="20"/>
              </w:rPr>
              <w:t>余额</w:t>
            </w:r>
          </w:p>
        </w:tc>
        <w:tc>
          <w:tcPr>
            <w:tcW w:w="693" w:type="dxa"/>
            <w:tcBorders>
              <w:top w:val="single" w:sz="4" w:space="0" w:color="000000"/>
              <w:left w:val="nil" w:sz="6" w:space="0" w:color="auto"/>
              <w:bottom w:val="nil" w:sz="6" w:space="0" w:color="auto"/>
              <w:right w:val="nil" w:sz="6" w:space="0" w:color="auto"/>
            </w:tcBorders>
          </w:tcPr>
          <w:p>
            <w:pPr>
              <w:pStyle w:val="TableParagraph"/>
              <w:spacing w:line="240" w:lineRule="exact"/>
              <w:ind w:right="21"/>
              <w:jc w:val="right"/>
              <w:rPr>
                <w:rFonts w:ascii="黑体" w:hAnsi="黑体" w:cs="黑体" w:eastAsia="黑体" w:hint="default"/>
                <w:sz w:val="20"/>
                <w:szCs w:val="20"/>
              </w:rPr>
            </w:pPr>
            <w:r>
              <w:rPr>
                <w:rFonts w:ascii="黑体" w:hAnsi="黑体" w:cs="黑体" w:eastAsia="黑体" w:hint="default"/>
                <w:sz w:val="20"/>
                <w:szCs w:val="20"/>
              </w:rPr>
              <w:t>比例</w:t>
            </w:r>
          </w:p>
          <w:p>
            <w:pPr>
              <w:pStyle w:val="TableParagraph"/>
              <w:spacing w:line="240" w:lineRule="auto" w:before="49"/>
              <w:ind w:right="21"/>
              <w:jc w:val="right"/>
              <w:rPr>
                <w:rFonts w:ascii="Arial" w:hAnsi="Arial" w:cs="Arial" w:eastAsia="Arial" w:hint="default"/>
                <w:sz w:val="20"/>
                <w:szCs w:val="20"/>
              </w:rPr>
            </w:pPr>
            <w:r>
              <w:rPr>
                <w:rFonts w:ascii="Arial"/>
                <w:w w:val="100"/>
                <w:sz w:val="20"/>
              </w:rPr>
              <w:t>%</w:t>
            </w:r>
          </w:p>
        </w:tc>
        <w:tc>
          <w:tcPr>
            <w:tcW w:w="896" w:type="dxa"/>
            <w:tcBorders>
              <w:top w:val="nil" w:sz="6" w:space="0" w:color="auto"/>
              <w:left w:val="nil" w:sz="6" w:space="0" w:color="auto"/>
              <w:bottom w:val="nil" w:sz="6" w:space="0" w:color="auto"/>
              <w:right w:val="nil" w:sz="6" w:space="0" w:color="auto"/>
            </w:tcBorders>
          </w:tcPr>
          <w:p>
            <w:pPr/>
          </w:p>
        </w:tc>
        <w:tc>
          <w:tcPr>
            <w:tcW w:w="1300" w:type="dxa"/>
            <w:tcBorders>
              <w:top w:val="single" w:sz="4" w:space="0" w:color="000000"/>
              <w:left w:val="nil" w:sz="6" w:space="0" w:color="auto"/>
              <w:bottom w:val="nil" w:sz="6" w:space="0" w:color="auto"/>
              <w:right w:val="nil" w:sz="6" w:space="0" w:color="auto"/>
            </w:tcBorders>
          </w:tcPr>
          <w:p>
            <w:pPr>
              <w:pStyle w:val="TableParagraph"/>
              <w:spacing w:line="240" w:lineRule="exact"/>
              <w:ind w:left="651" w:right="0"/>
              <w:jc w:val="left"/>
              <w:rPr>
                <w:rFonts w:ascii="黑体" w:hAnsi="黑体" w:cs="黑体" w:eastAsia="黑体" w:hint="default"/>
                <w:sz w:val="20"/>
                <w:szCs w:val="20"/>
              </w:rPr>
            </w:pPr>
            <w:r>
              <w:rPr>
                <w:rFonts w:ascii="黑体" w:hAnsi="黑体" w:cs="黑体" w:eastAsia="黑体" w:hint="default"/>
                <w:sz w:val="20"/>
                <w:szCs w:val="20"/>
              </w:rPr>
              <w:t>账面</w:t>
            </w:r>
          </w:p>
          <w:p>
            <w:pPr>
              <w:pStyle w:val="TableParagraph"/>
              <w:spacing w:line="240" w:lineRule="auto" w:before="6"/>
              <w:ind w:left="651" w:right="0"/>
              <w:jc w:val="left"/>
              <w:rPr>
                <w:rFonts w:ascii="黑体" w:hAnsi="黑体" w:cs="黑体" w:eastAsia="黑体" w:hint="default"/>
                <w:sz w:val="20"/>
                <w:szCs w:val="20"/>
              </w:rPr>
            </w:pPr>
            <w:r>
              <w:rPr>
                <w:rFonts w:ascii="黑体" w:hAnsi="黑体" w:cs="黑体" w:eastAsia="黑体" w:hint="default"/>
                <w:sz w:val="20"/>
                <w:szCs w:val="20"/>
              </w:rPr>
              <w:t>余额</w:t>
            </w:r>
          </w:p>
        </w:tc>
        <w:tc>
          <w:tcPr>
            <w:tcW w:w="675" w:type="dxa"/>
            <w:tcBorders>
              <w:top w:val="single" w:sz="4" w:space="0" w:color="000000"/>
              <w:left w:val="nil" w:sz="6" w:space="0" w:color="auto"/>
              <w:bottom w:val="nil" w:sz="6" w:space="0" w:color="auto"/>
              <w:right w:val="nil" w:sz="6" w:space="0" w:color="auto"/>
            </w:tcBorders>
          </w:tcPr>
          <w:p>
            <w:pPr>
              <w:pStyle w:val="TableParagraph"/>
              <w:spacing w:line="240" w:lineRule="exact"/>
              <w:ind w:right="25"/>
              <w:jc w:val="right"/>
              <w:rPr>
                <w:rFonts w:ascii="黑体" w:hAnsi="黑体" w:cs="黑体" w:eastAsia="黑体" w:hint="default"/>
                <w:sz w:val="20"/>
                <w:szCs w:val="20"/>
              </w:rPr>
            </w:pPr>
            <w:r>
              <w:rPr>
                <w:rFonts w:ascii="黑体" w:hAnsi="黑体" w:cs="黑体" w:eastAsia="黑体" w:hint="default"/>
                <w:sz w:val="20"/>
                <w:szCs w:val="20"/>
              </w:rPr>
              <w:t>比例</w:t>
            </w:r>
          </w:p>
          <w:p>
            <w:pPr>
              <w:pStyle w:val="TableParagraph"/>
              <w:spacing w:line="240" w:lineRule="auto" w:before="49"/>
              <w:ind w:right="25"/>
              <w:jc w:val="right"/>
              <w:rPr>
                <w:rFonts w:ascii="Arial" w:hAnsi="Arial" w:cs="Arial" w:eastAsia="Arial" w:hint="default"/>
                <w:sz w:val="20"/>
                <w:szCs w:val="20"/>
              </w:rPr>
            </w:pPr>
            <w:r>
              <w:rPr>
                <w:rFonts w:ascii="Arial"/>
                <w:w w:val="100"/>
                <w:sz w:val="20"/>
              </w:rPr>
              <w:t>%</w:t>
            </w:r>
          </w:p>
        </w:tc>
      </w:tr>
      <w:tr>
        <w:trPr>
          <w:trHeight w:val="400" w:hRule="exact"/>
        </w:trPr>
        <w:tc>
          <w:tcPr>
            <w:tcW w:w="3005"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35"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年以内</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266"/>
              <w:jc w:val="right"/>
              <w:rPr>
                <w:rFonts w:ascii="Arial" w:hAnsi="Arial" w:cs="Arial" w:eastAsia="Arial" w:hint="default"/>
                <w:sz w:val="20"/>
                <w:szCs w:val="20"/>
              </w:rPr>
            </w:pPr>
            <w:r>
              <w:rPr>
                <w:rFonts w:ascii="Arial"/>
                <w:spacing w:val="-1"/>
                <w:sz w:val="20"/>
              </w:rPr>
              <w:t>2,243,535</w:t>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22"/>
              <w:jc w:val="right"/>
              <w:rPr>
                <w:rFonts w:ascii="Arial" w:hAnsi="Arial" w:cs="Arial" w:eastAsia="Arial" w:hint="default"/>
                <w:sz w:val="20"/>
                <w:szCs w:val="20"/>
              </w:rPr>
            </w:pPr>
            <w:r>
              <w:rPr>
                <w:rFonts w:ascii="Arial"/>
                <w:sz w:val="20"/>
              </w:rPr>
              <w:t>97</w:t>
            </w:r>
          </w:p>
        </w:tc>
        <w:tc>
          <w:tcPr>
            <w:tcW w:w="896" w:type="dxa"/>
            <w:tcBorders>
              <w:top w:val="nil" w:sz="6" w:space="0" w:color="auto"/>
              <w:left w:val="nil" w:sz="6" w:space="0" w:color="auto"/>
              <w:bottom w:val="nil" w:sz="6" w:space="0" w:color="auto"/>
              <w:right w:val="nil" w:sz="6" w:space="0" w:color="auto"/>
            </w:tcBorders>
          </w:tcPr>
          <w:p>
            <w:pPr/>
          </w:p>
        </w:tc>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245"/>
              <w:jc w:val="right"/>
              <w:rPr>
                <w:rFonts w:ascii="Arial" w:hAnsi="Arial" w:cs="Arial" w:eastAsia="Arial" w:hint="default"/>
                <w:sz w:val="20"/>
                <w:szCs w:val="20"/>
              </w:rPr>
            </w:pPr>
            <w:r>
              <w:rPr>
                <w:rFonts w:ascii="Arial"/>
                <w:spacing w:val="-1"/>
                <w:sz w:val="20"/>
              </w:rPr>
              <w:t>2,430,520</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25"/>
              <w:jc w:val="right"/>
              <w:rPr>
                <w:rFonts w:ascii="Arial" w:hAnsi="Arial" w:cs="Arial" w:eastAsia="Arial" w:hint="default"/>
                <w:sz w:val="20"/>
                <w:szCs w:val="20"/>
              </w:rPr>
            </w:pPr>
            <w:r>
              <w:rPr>
                <w:rFonts w:ascii="Arial"/>
                <w:sz w:val="20"/>
              </w:rPr>
              <w:t>77</w:t>
            </w:r>
          </w:p>
        </w:tc>
      </w:tr>
      <w:tr>
        <w:trPr>
          <w:trHeight w:val="268" w:hRule="exact"/>
        </w:trPr>
        <w:tc>
          <w:tcPr>
            <w:tcW w:w="3005" w:type="dxa"/>
            <w:tcBorders>
              <w:top w:val="nil" w:sz="6" w:space="0" w:color="auto"/>
              <w:left w:val="nil" w:sz="6" w:space="0" w:color="auto"/>
              <w:bottom w:val="nil" w:sz="6" w:space="0" w:color="auto"/>
              <w:right w:val="nil" w:sz="6" w:space="0" w:color="auto"/>
            </w:tcBorders>
          </w:tcPr>
          <w:p>
            <w:pPr>
              <w:pStyle w:val="TableParagraph"/>
              <w:spacing w:line="244" w:lineRule="exact"/>
              <w:ind w:left="35"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年至</w:t>
            </w:r>
            <w:r>
              <w:rPr>
                <w:rFonts w:ascii="Arial" w:hAnsi="Arial" w:cs="Arial" w:eastAsia="Arial" w:hint="default"/>
                <w:sz w:val="20"/>
                <w:szCs w:val="20"/>
              </w:rPr>
              <w:t>2</w:t>
            </w:r>
            <w:r>
              <w:rPr>
                <w:rFonts w:ascii="黑体" w:hAnsi="黑体" w:cs="黑体" w:eastAsia="黑体" w:hint="default"/>
                <w:sz w:val="20"/>
                <w:szCs w:val="20"/>
              </w:rPr>
              <w:t>年</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66"/>
              <w:jc w:val="right"/>
              <w:rPr>
                <w:rFonts w:ascii="Arial" w:hAnsi="Arial" w:cs="Arial" w:eastAsia="Arial" w:hint="default"/>
                <w:sz w:val="20"/>
                <w:szCs w:val="20"/>
              </w:rPr>
            </w:pPr>
            <w:r>
              <w:rPr>
                <w:rFonts w:ascii="Arial"/>
                <w:sz w:val="20"/>
              </w:rPr>
              <w:t>29,376</w:t>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2"/>
              <w:jc w:val="right"/>
              <w:rPr>
                <w:rFonts w:ascii="Arial" w:hAnsi="Arial" w:cs="Arial" w:eastAsia="Arial" w:hint="default"/>
                <w:sz w:val="20"/>
                <w:szCs w:val="20"/>
              </w:rPr>
            </w:pPr>
            <w:r>
              <w:rPr>
                <w:rFonts w:ascii="Arial"/>
                <w:w w:val="100"/>
                <w:sz w:val="20"/>
              </w:rPr>
              <w:t>1</w:t>
            </w:r>
          </w:p>
        </w:tc>
        <w:tc>
          <w:tcPr>
            <w:tcW w:w="896" w:type="dxa"/>
            <w:tcBorders>
              <w:top w:val="nil" w:sz="6" w:space="0" w:color="auto"/>
              <w:left w:val="nil" w:sz="6" w:space="0" w:color="auto"/>
              <w:bottom w:val="nil" w:sz="6" w:space="0" w:color="auto"/>
              <w:right w:val="nil" w:sz="6" w:space="0" w:color="auto"/>
            </w:tcBorders>
          </w:tcPr>
          <w:p>
            <w:pPr/>
          </w:p>
        </w:tc>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45"/>
              <w:jc w:val="right"/>
              <w:rPr>
                <w:rFonts w:ascii="Arial" w:hAnsi="Arial" w:cs="Arial" w:eastAsia="Arial" w:hint="default"/>
                <w:sz w:val="20"/>
                <w:szCs w:val="20"/>
              </w:rPr>
            </w:pPr>
            <w:r>
              <w:rPr>
                <w:rFonts w:ascii="Arial"/>
                <w:sz w:val="20"/>
              </w:rPr>
              <w:t>50,036</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6"/>
              <w:jc w:val="right"/>
              <w:rPr>
                <w:rFonts w:ascii="Arial" w:hAnsi="Arial" w:cs="Arial" w:eastAsia="Arial" w:hint="default"/>
                <w:sz w:val="20"/>
                <w:szCs w:val="20"/>
              </w:rPr>
            </w:pPr>
            <w:r>
              <w:rPr>
                <w:rFonts w:ascii="Arial"/>
                <w:w w:val="100"/>
                <w:sz w:val="20"/>
              </w:rPr>
              <w:t>2</w:t>
            </w:r>
          </w:p>
        </w:tc>
      </w:tr>
      <w:tr>
        <w:trPr>
          <w:trHeight w:val="268" w:hRule="exact"/>
        </w:trPr>
        <w:tc>
          <w:tcPr>
            <w:tcW w:w="3005" w:type="dxa"/>
            <w:tcBorders>
              <w:top w:val="nil" w:sz="6" w:space="0" w:color="auto"/>
              <w:left w:val="nil" w:sz="6" w:space="0" w:color="auto"/>
              <w:bottom w:val="nil" w:sz="6" w:space="0" w:color="auto"/>
              <w:right w:val="nil" w:sz="6" w:space="0" w:color="auto"/>
            </w:tcBorders>
          </w:tcPr>
          <w:p>
            <w:pPr>
              <w:pStyle w:val="TableParagraph"/>
              <w:spacing w:line="244" w:lineRule="exact"/>
              <w:ind w:left="35" w:right="0"/>
              <w:jc w:val="left"/>
              <w:rPr>
                <w:rFonts w:ascii="黑体" w:hAnsi="黑体" w:cs="黑体" w:eastAsia="黑体" w:hint="default"/>
                <w:sz w:val="20"/>
                <w:szCs w:val="20"/>
              </w:rPr>
            </w:pPr>
            <w:r>
              <w:rPr>
                <w:rFonts w:ascii="Arial" w:hAnsi="Arial" w:cs="Arial" w:eastAsia="Arial" w:hint="default"/>
                <w:sz w:val="20"/>
                <w:szCs w:val="20"/>
              </w:rPr>
              <w:t>2</w:t>
            </w:r>
            <w:r>
              <w:rPr>
                <w:rFonts w:ascii="黑体" w:hAnsi="黑体" w:cs="黑体" w:eastAsia="黑体" w:hint="default"/>
                <w:sz w:val="20"/>
                <w:szCs w:val="20"/>
              </w:rPr>
              <w:t>年至</w:t>
            </w:r>
            <w:r>
              <w:rPr>
                <w:rFonts w:ascii="Arial" w:hAnsi="Arial" w:cs="Arial" w:eastAsia="Arial" w:hint="default"/>
                <w:sz w:val="20"/>
                <w:szCs w:val="20"/>
              </w:rPr>
              <w:t>3</w:t>
            </w:r>
            <w:r>
              <w:rPr>
                <w:rFonts w:ascii="黑体" w:hAnsi="黑体" w:cs="黑体" w:eastAsia="黑体" w:hint="default"/>
                <w:sz w:val="20"/>
                <w:szCs w:val="20"/>
              </w:rPr>
              <w:t>年</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6"/>
              <w:jc w:val="right"/>
              <w:rPr>
                <w:rFonts w:ascii="Arial" w:hAnsi="Arial" w:cs="Arial" w:eastAsia="Arial" w:hint="default"/>
                <w:sz w:val="20"/>
                <w:szCs w:val="20"/>
              </w:rPr>
            </w:pPr>
            <w:r>
              <w:rPr>
                <w:rFonts w:ascii="Arial"/>
                <w:sz w:val="20"/>
              </w:rPr>
              <w:t>22,280</w:t>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2"/>
              <w:jc w:val="right"/>
              <w:rPr>
                <w:rFonts w:ascii="Arial" w:hAnsi="Arial" w:cs="Arial" w:eastAsia="Arial" w:hint="default"/>
                <w:sz w:val="20"/>
                <w:szCs w:val="20"/>
              </w:rPr>
            </w:pPr>
            <w:r>
              <w:rPr>
                <w:rFonts w:ascii="Arial"/>
                <w:w w:val="100"/>
                <w:sz w:val="20"/>
              </w:rPr>
              <w:t>1</w:t>
            </w:r>
          </w:p>
        </w:tc>
        <w:tc>
          <w:tcPr>
            <w:tcW w:w="896" w:type="dxa"/>
            <w:tcBorders>
              <w:top w:val="nil" w:sz="6" w:space="0" w:color="auto"/>
              <w:left w:val="nil" w:sz="6" w:space="0" w:color="auto"/>
              <w:bottom w:val="nil" w:sz="6" w:space="0" w:color="auto"/>
              <w:right w:val="nil" w:sz="6" w:space="0" w:color="auto"/>
            </w:tcBorders>
          </w:tcPr>
          <w:p>
            <w:pPr/>
          </w:p>
        </w:tc>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5"/>
              <w:jc w:val="right"/>
              <w:rPr>
                <w:rFonts w:ascii="Arial" w:hAnsi="Arial" w:cs="Arial" w:eastAsia="Arial" w:hint="default"/>
                <w:sz w:val="20"/>
                <w:szCs w:val="20"/>
              </w:rPr>
            </w:pPr>
            <w:r>
              <w:rPr>
                <w:rFonts w:ascii="Arial"/>
                <w:spacing w:val="-1"/>
                <w:sz w:val="20"/>
              </w:rPr>
              <w:t>538,599</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
              <w:jc w:val="right"/>
              <w:rPr>
                <w:rFonts w:ascii="Arial" w:hAnsi="Arial" w:cs="Arial" w:eastAsia="Arial" w:hint="default"/>
                <w:sz w:val="20"/>
                <w:szCs w:val="20"/>
              </w:rPr>
            </w:pPr>
            <w:r>
              <w:rPr>
                <w:rFonts w:ascii="Arial"/>
                <w:sz w:val="20"/>
              </w:rPr>
              <w:t>17</w:t>
            </w:r>
          </w:p>
        </w:tc>
      </w:tr>
      <w:tr>
        <w:trPr>
          <w:trHeight w:val="407" w:hRule="exact"/>
        </w:trPr>
        <w:tc>
          <w:tcPr>
            <w:tcW w:w="3005" w:type="dxa"/>
            <w:tcBorders>
              <w:top w:val="nil" w:sz="6" w:space="0" w:color="auto"/>
              <w:left w:val="nil" w:sz="6" w:space="0" w:color="auto"/>
              <w:bottom w:val="nil" w:sz="6" w:space="0" w:color="auto"/>
              <w:right w:val="nil" w:sz="6" w:space="0" w:color="auto"/>
            </w:tcBorders>
          </w:tcPr>
          <w:p>
            <w:pPr>
              <w:pStyle w:val="TableParagraph"/>
              <w:spacing w:line="244" w:lineRule="exact"/>
              <w:ind w:left="35" w:right="0"/>
              <w:jc w:val="left"/>
              <w:rPr>
                <w:rFonts w:ascii="黑体" w:hAnsi="黑体" w:cs="黑体" w:eastAsia="黑体" w:hint="default"/>
                <w:sz w:val="20"/>
                <w:szCs w:val="20"/>
              </w:rPr>
            </w:pPr>
            <w:r>
              <w:rPr>
                <w:rFonts w:ascii="Arial" w:hAnsi="Arial" w:cs="Arial" w:eastAsia="Arial" w:hint="default"/>
                <w:sz w:val="20"/>
                <w:szCs w:val="20"/>
              </w:rPr>
              <w:t>3</w:t>
            </w:r>
            <w:r>
              <w:rPr>
                <w:rFonts w:ascii="黑体" w:hAnsi="黑体" w:cs="黑体" w:eastAsia="黑体" w:hint="default"/>
                <w:sz w:val="20"/>
                <w:szCs w:val="20"/>
              </w:rPr>
              <w:t>年以上</w:t>
            </w:r>
          </w:p>
        </w:tc>
        <w:tc>
          <w:tcPr>
            <w:tcW w:w="1290"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12"/>
              <w:ind w:right="26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19,815</w:t>
            </w:r>
            <w:r>
              <w:rPr>
                <w:rFonts w:ascii="Arial"/>
                <w:sz w:val="20"/>
              </w:rPr>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2"/>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1</w:t>
            </w:r>
            <w:r>
              <w:rPr>
                <w:rFonts w:ascii="Arial"/>
                <w:sz w:val="20"/>
              </w:rPr>
            </w:r>
          </w:p>
        </w:tc>
        <w:tc>
          <w:tcPr>
            <w:tcW w:w="896" w:type="dxa"/>
            <w:tcBorders>
              <w:top w:val="nil" w:sz="6" w:space="0" w:color="auto"/>
              <w:left w:val="nil" w:sz="6" w:space="0" w:color="auto"/>
              <w:bottom w:val="nil" w:sz="6" w:space="0" w:color="auto"/>
              <w:right w:val="nil" w:sz="6" w:space="0" w:color="auto"/>
            </w:tcBorders>
          </w:tcPr>
          <w:p>
            <w:pPr/>
          </w:p>
        </w:tc>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128,455</w:t>
            </w:r>
            <w:r>
              <w:rPr>
                <w:rFonts w:ascii="Arial"/>
                <w:sz w:val="20"/>
              </w:rPr>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4</w:t>
            </w:r>
            <w:r>
              <w:rPr>
                <w:rFonts w:ascii="Arial"/>
                <w:sz w:val="20"/>
              </w:rPr>
            </w:r>
          </w:p>
        </w:tc>
      </w:tr>
      <w:tr>
        <w:trPr>
          <w:trHeight w:val="468" w:hRule="exact"/>
        </w:trPr>
        <w:tc>
          <w:tcPr>
            <w:tcW w:w="3005" w:type="dxa"/>
            <w:tcBorders>
              <w:top w:val="nil" w:sz="6" w:space="0" w:color="auto"/>
              <w:left w:val="nil" w:sz="6" w:space="0" w:color="auto"/>
              <w:bottom w:val="nil" w:sz="6" w:space="0" w:color="auto"/>
              <w:right w:val="nil" w:sz="6" w:space="0" w:color="auto"/>
            </w:tcBorders>
          </w:tcPr>
          <w:p>
            <w:pP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266"/>
              <w:jc w:val="right"/>
              <w:rPr>
                <w:rFonts w:ascii="Arial" w:hAnsi="Arial" w:cs="Arial" w:eastAsia="Arial" w:hint="default"/>
                <w:sz w:val="20"/>
                <w:szCs w:val="20"/>
              </w:rPr>
            </w:pPr>
            <w:r>
              <w:rPr>
                <w:rFonts w:ascii="Arial"/>
                <w:w w:val="100"/>
                <w:sz w:val="20"/>
              </w:rPr>
            </w:r>
            <w:r>
              <w:rPr>
                <w:rFonts w:ascii="Arial"/>
                <w:spacing w:val="-1"/>
                <w:sz w:val="20"/>
                <w:u w:val="thick" w:color="000000"/>
              </w:rPr>
              <w:t>2,315,006</w:t>
            </w:r>
            <w:r>
              <w:rPr>
                <w:rFonts w:ascii="Arial"/>
                <w:spacing w:val="-1"/>
                <w:sz w:val="20"/>
              </w:rPr>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22"/>
              <w:jc w:val="right"/>
              <w:rPr>
                <w:rFonts w:ascii="Arial" w:hAnsi="Arial" w:cs="Arial" w:eastAsia="Arial" w:hint="default"/>
                <w:sz w:val="20"/>
                <w:szCs w:val="20"/>
              </w:rPr>
            </w:pPr>
            <w:r>
              <w:rPr>
                <w:rFonts w:ascii="Arial"/>
                <w:w w:val="100"/>
                <w:sz w:val="20"/>
              </w:rPr>
            </w:r>
            <w:r>
              <w:rPr>
                <w:rFonts w:ascii="Arial"/>
                <w:sz w:val="20"/>
                <w:u w:val="thick" w:color="000000"/>
              </w:rPr>
              <w:t>100</w:t>
            </w:r>
            <w:r>
              <w:rPr>
                <w:rFonts w:ascii="Arial"/>
                <w:sz w:val="20"/>
              </w:rPr>
            </w:r>
          </w:p>
        </w:tc>
        <w:tc>
          <w:tcPr>
            <w:tcW w:w="896" w:type="dxa"/>
            <w:tcBorders>
              <w:top w:val="nil" w:sz="6" w:space="0" w:color="auto"/>
              <w:left w:val="nil" w:sz="6" w:space="0" w:color="auto"/>
              <w:bottom w:val="nil" w:sz="6" w:space="0" w:color="auto"/>
              <w:right w:val="nil" w:sz="6" w:space="0" w:color="auto"/>
            </w:tcBorders>
          </w:tcPr>
          <w:p>
            <w:pPr/>
          </w:p>
        </w:tc>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245"/>
              <w:jc w:val="right"/>
              <w:rPr>
                <w:rFonts w:ascii="Arial" w:hAnsi="Arial" w:cs="Arial" w:eastAsia="Arial" w:hint="default"/>
                <w:sz w:val="20"/>
                <w:szCs w:val="20"/>
              </w:rPr>
            </w:pPr>
            <w:r>
              <w:rPr>
                <w:rFonts w:ascii="Arial"/>
                <w:w w:val="100"/>
                <w:sz w:val="20"/>
              </w:rPr>
            </w:r>
            <w:r>
              <w:rPr>
                <w:rFonts w:ascii="Arial"/>
                <w:spacing w:val="-1"/>
                <w:sz w:val="20"/>
                <w:u w:val="thick" w:color="000000"/>
              </w:rPr>
              <w:t>3,147,610</w:t>
            </w:r>
            <w:r>
              <w:rPr>
                <w:rFonts w:ascii="Arial"/>
                <w:spacing w:val="-1"/>
                <w:sz w:val="20"/>
              </w:rPr>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25"/>
              <w:jc w:val="right"/>
              <w:rPr>
                <w:rFonts w:ascii="Arial" w:hAnsi="Arial" w:cs="Arial" w:eastAsia="Arial" w:hint="default"/>
                <w:sz w:val="20"/>
                <w:szCs w:val="20"/>
              </w:rPr>
            </w:pPr>
            <w:r>
              <w:rPr>
                <w:rFonts w:ascii="Arial"/>
                <w:w w:val="100"/>
                <w:sz w:val="20"/>
              </w:rPr>
            </w:r>
            <w:r>
              <w:rPr>
                <w:rFonts w:ascii="Arial"/>
                <w:sz w:val="20"/>
                <w:u w:val="thick" w:color="000000"/>
              </w:rPr>
              <w:t>100</w:t>
            </w:r>
            <w:r>
              <w:rPr>
                <w:rFonts w:ascii="Arial"/>
                <w:sz w:val="20"/>
              </w:rPr>
            </w:r>
          </w:p>
        </w:tc>
      </w:tr>
    </w:tbl>
    <w:p>
      <w:pPr>
        <w:spacing w:line="240" w:lineRule="auto" w:before="3"/>
        <w:rPr>
          <w:rFonts w:ascii="黑体" w:hAnsi="黑体" w:cs="黑体" w:eastAsia="黑体" w:hint="default"/>
          <w:sz w:val="7"/>
          <w:szCs w:val="7"/>
        </w:rPr>
      </w:pPr>
    </w:p>
    <w:p>
      <w:pPr>
        <w:pStyle w:val="BodyText"/>
        <w:spacing w:line="240" w:lineRule="auto" w:before="38"/>
        <w:ind w:left="855" w:right="0"/>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日，重大预付款项金额如下：</w:t>
      </w:r>
    </w:p>
    <w:p>
      <w:pPr>
        <w:spacing w:line="240" w:lineRule="auto" w:before="0"/>
        <w:rPr>
          <w:rFonts w:ascii="黑体" w:hAnsi="黑体" w:cs="黑体" w:eastAsia="黑体" w:hint="default"/>
          <w:sz w:val="13"/>
          <w:szCs w:val="13"/>
        </w:rPr>
      </w:pPr>
    </w:p>
    <w:tbl>
      <w:tblPr>
        <w:tblW w:w="0" w:type="auto"/>
        <w:jc w:val="left"/>
        <w:tblInd w:w="816" w:type="dxa"/>
        <w:tblLayout w:type="fixed"/>
        <w:tblCellMar>
          <w:top w:w="0" w:type="dxa"/>
          <w:left w:w="0" w:type="dxa"/>
          <w:bottom w:w="0" w:type="dxa"/>
          <w:right w:w="0" w:type="dxa"/>
        </w:tblCellMar>
        <w:tblLook w:val="01E0"/>
      </w:tblPr>
      <w:tblGrid>
        <w:gridCol w:w="2611"/>
        <w:gridCol w:w="1427"/>
        <w:gridCol w:w="1043"/>
        <w:gridCol w:w="1228"/>
        <w:gridCol w:w="1558"/>
      </w:tblGrid>
      <w:tr>
        <w:trPr>
          <w:trHeight w:val="584" w:hRule="exact"/>
        </w:trPr>
        <w:tc>
          <w:tcPr>
            <w:tcW w:w="2611" w:type="dxa"/>
            <w:tcBorders>
              <w:top w:val="nil" w:sz="6" w:space="0" w:color="auto"/>
              <w:left w:val="nil" w:sz="6" w:space="0" w:color="auto"/>
              <w:bottom w:val="nil" w:sz="6" w:space="0" w:color="auto"/>
              <w:right w:val="nil" w:sz="6" w:space="0" w:color="auto"/>
            </w:tcBorders>
          </w:tcPr>
          <w:p>
            <w:pP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9"/>
              <w:jc w:val="right"/>
              <w:rPr>
                <w:rFonts w:ascii="黑体" w:hAnsi="黑体" w:cs="黑体" w:eastAsia="黑体" w:hint="default"/>
                <w:sz w:val="20"/>
                <w:szCs w:val="20"/>
              </w:rPr>
            </w:pPr>
            <w:r>
              <w:rPr>
                <w:rFonts w:ascii="黑体" w:hAnsi="黑体" w:cs="黑体" w:eastAsia="黑体" w:hint="default"/>
                <w:spacing w:val="-1"/>
                <w:sz w:val="20"/>
                <w:szCs w:val="20"/>
              </w:rPr>
              <w:t>与本集团关系</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2"/>
              <w:jc w:val="right"/>
              <w:rPr>
                <w:rFonts w:ascii="黑体" w:hAnsi="黑体" w:cs="黑体" w:eastAsia="黑体" w:hint="default"/>
                <w:sz w:val="20"/>
                <w:szCs w:val="20"/>
              </w:rPr>
            </w:pPr>
            <w:r>
              <w:rPr>
                <w:rFonts w:ascii="黑体" w:hAnsi="黑体" w:cs="黑体" w:eastAsia="黑体" w:hint="default"/>
                <w:sz w:val="20"/>
                <w:szCs w:val="20"/>
              </w:rPr>
              <w:t>金额</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8"/>
              <w:jc w:val="right"/>
              <w:rPr>
                <w:rFonts w:ascii="黑体" w:hAnsi="黑体" w:cs="黑体" w:eastAsia="黑体" w:hint="default"/>
                <w:sz w:val="20"/>
                <w:szCs w:val="20"/>
              </w:rPr>
            </w:pPr>
            <w:r>
              <w:rPr>
                <w:rFonts w:ascii="黑体" w:hAnsi="黑体" w:cs="黑体" w:eastAsia="黑体" w:hint="default"/>
                <w:sz w:val="20"/>
                <w:szCs w:val="20"/>
              </w:rPr>
              <w:t>预付时间</w:t>
            </w:r>
          </w:p>
        </w:tc>
        <w:tc>
          <w:tcPr>
            <w:tcW w:w="1558" w:type="dxa"/>
            <w:tcBorders>
              <w:top w:val="nil" w:sz="6" w:space="0" w:color="auto"/>
              <w:left w:val="nil" w:sz="6" w:space="0" w:color="auto"/>
              <w:bottom w:val="nil" w:sz="6" w:space="0" w:color="auto"/>
              <w:right w:val="nil" w:sz="6" w:space="0" w:color="auto"/>
            </w:tcBorders>
          </w:tcPr>
          <w:p>
            <w:pPr>
              <w:pStyle w:val="TableParagraph"/>
              <w:spacing w:line="254" w:lineRule="exact" w:before="69"/>
              <w:ind w:left="321" w:right="33" w:firstLine="179"/>
              <w:jc w:val="left"/>
              <w:rPr>
                <w:rFonts w:ascii="黑体" w:hAnsi="黑体" w:cs="黑体" w:eastAsia="黑体" w:hint="default"/>
                <w:sz w:val="20"/>
                <w:szCs w:val="20"/>
              </w:rPr>
            </w:pPr>
            <w:r>
              <w:rPr>
                <w:rFonts w:ascii="黑体" w:hAnsi="黑体" w:cs="黑体" w:eastAsia="黑体" w:hint="default"/>
                <w:sz w:val="20"/>
                <w:szCs w:val="20"/>
              </w:rPr>
              <w:t>未结算原因</w:t>
            </w:r>
            <w:r>
              <w:rPr>
                <w:rFonts w:ascii="黑体" w:hAnsi="黑体" w:cs="黑体" w:eastAsia="黑体" w:hint="default"/>
                <w:w w:val="100"/>
                <w:sz w:val="20"/>
                <w:szCs w:val="20"/>
              </w:rPr>
              <w:t> </w:t>
            </w:r>
            <w:r>
              <w:rPr>
                <w:rFonts w:ascii="黑体" w:hAnsi="黑体" w:cs="黑体" w:eastAsia="黑体" w:hint="default"/>
                <w:sz w:val="20"/>
                <w:szCs w:val="20"/>
              </w:rPr>
              <w:t>未到合同约定</w:t>
            </w:r>
          </w:p>
        </w:tc>
      </w:tr>
      <w:tr>
        <w:trPr>
          <w:trHeight w:val="520" w:hRule="exact"/>
        </w:trPr>
        <w:tc>
          <w:tcPr>
            <w:tcW w:w="2611" w:type="dxa"/>
            <w:tcBorders>
              <w:top w:val="nil" w:sz="6" w:space="0" w:color="auto"/>
              <w:left w:val="nil" w:sz="6" w:space="0" w:color="auto"/>
              <w:bottom w:val="nil" w:sz="6" w:space="0" w:color="auto"/>
              <w:right w:val="nil" w:sz="6" w:space="0" w:color="auto"/>
            </w:tcBorders>
          </w:tcPr>
          <w:p>
            <w:pPr>
              <w:pStyle w:val="TableParagraph"/>
              <w:spacing w:line="229" w:lineRule="exact"/>
              <w:ind w:left="35" w:right="0"/>
              <w:jc w:val="left"/>
              <w:rPr>
                <w:rFonts w:ascii="黑体" w:hAnsi="黑体" w:cs="黑体" w:eastAsia="黑体" w:hint="default"/>
                <w:sz w:val="20"/>
                <w:szCs w:val="20"/>
              </w:rPr>
            </w:pPr>
            <w:r>
              <w:rPr>
                <w:rFonts w:ascii="黑体" w:hAnsi="黑体" w:cs="黑体" w:eastAsia="黑体" w:hint="default"/>
                <w:sz w:val="20"/>
                <w:szCs w:val="20"/>
              </w:rPr>
              <w:t>长沙佳瑛科技有限公司</w:t>
            </w:r>
          </w:p>
          <w:p>
            <w:pPr>
              <w:pStyle w:val="TableParagraph"/>
              <w:spacing w:line="261" w:lineRule="exact"/>
              <w:ind w:left="35" w:right="0"/>
              <w:jc w:val="left"/>
              <w:rPr>
                <w:rFonts w:ascii="黑体" w:hAnsi="黑体" w:cs="黑体" w:eastAsia="黑体" w:hint="default"/>
                <w:sz w:val="20"/>
                <w:szCs w:val="20"/>
              </w:rPr>
            </w:pPr>
            <w:r>
              <w:rPr>
                <w:rFonts w:ascii="黑体" w:hAnsi="黑体" w:cs="黑体" w:eastAsia="黑体" w:hint="default"/>
                <w:sz w:val="20"/>
                <w:szCs w:val="20"/>
              </w:rPr>
              <w:t>北京花园桥雷克萨斯汽车销</w:t>
            </w:r>
          </w:p>
        </w:tc>
        <w:tc>
          <w:tcPr>
            <w:tcW w:w="1427" w:type="dxa"/>
            <w:tcBorders>
              <w:top w:val="nil" w:sz="6" w:space="0" w:color="auto"/>
              <w:left w:val="nil" w:sz="6" w:space="0" w:color="auto"/>
              <w:bottom w:val="nil" w:sz="6" w:space="0" w:color="auto"/>
              <w:right w:val="nil" w:sz="6" w:space="0" w:color="auto"/>
            </w:tcBorders>
          </w:tcPr>
          <w:p>
            <w:pPr>
              <w:pStyle w:val="TableParagraph"/>
              <w:spacing w:line="230" w:lineRule="exact"/>
              <w:ind w:right="31"/>
              <w:jc w:val="right"/>
              <w:rPr>
                <w:rFonts w:ascii="黑体" w:hAnsi="黑体" w:cs="黑体" w:eastAsia="黑体" w:hint="default"/>
                <w:sz w:val="20"/>
                <w:szCs w:val="20"/>
              </w:rPr>
            </w:pPr>
            <w:r>
              <w:rPr>
                <w:rFonts w:ascii="黑体" w:hAnsi="黑体" w:cs="黑体" w:eastAsia="黑体" w:hint="default"/>
                <w:sz w:val="20"/>
                <w:szCs w:val="20"/>
              </w:rPr>
              <w:t>非关联方</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84"/>
              <w:jc w:val="right"/>
              <w:rPr>
                <w:rFonts w:ascii="Arial" w:hAnsi="Arial" w:cs="Arial" w:eastAsia="Arial" w:hint="default"/>
                <w:sz w:val="20"/>
                <w:szCs w:val="20"/>
              </w:rPr>
            </w:pPr>
            <w:r>
              <w:rPr>
                <w:rFonts w:ascii="Arial"/>
                <w:spacing w:val="-1"/>
                <w:sz w:val="20"/>
              </w:rPr>
              <w:t>741,051</w:t>
            </w:r>
          </w:p>
        </w:tc>
        <w:tc>
          <w:tcPr>
            <w:tcW w:w="1228" w:type="dxa"/>
            <w:tcBorders>
              <w:top w:val="nil" w:sz="6" w:space="0" w:color="auto"/>
              <w:left w:val="nil" w:sz="6" w:space="0" w:color="auto"/>
              <w:bottom w:val="nil" w:sz="6" w:space="0" w:color="auto"/>
              <w:right w:val="nil" w:sz="6" w:space="0" w:color="auto"/>
            </w:tcBorders>
          </w:tcPr>
          <w:p>
            <w:pPr>
              <w:pStyle w:val="TableParagraph"/>
              <w:spacing w:line="244" w:lineRule="exact"/>
              <w:ind w:right="319"/>
              <w:jc w:val="righ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年以内</w:t>
            </w:r>
          </w:p>
        </w:tc>
        <w:tc>
          <w:tcPr>
            <w:tcW w:w="1558" w:type="dxa"/>
            <w:tcBorders>
              <w:top w:val="nil" w:sz="6" w:space="0" w:color="auto"/>
              <w:left w:val="nil" w:sz="6" w:space="0" w:color="auto"/>
              <w:bottom w:val="nil" w:sz="6" w:space="0" w:color="auto"/>
              <w:right w:val="nil" w:sz="6" w:space="0" w:color="auto"/>
            </w:tcBorders>
          </w:tcPr>
          <w:p>
            <w:pPr>
              <w:pStyle w:val="TableParagraph"/>
              <w:spacing w:line="229" w:lineRule="exact"/>
              <w:ind w:left="321" w:right="0" w:firstLine="398"/>
              <w:jc w:val="left"/>
              <w:rPr>
                <w:rFonts w:ascii="黑体" w:hAnsi="黑体" w:cs="黑体" w:eastAsia="黑体" w:hint="default"/>
                <w:sz w:val="20"/>
                <w:szCs w:val="20"/>
              </w:rPr>
            </w:pPr>
            <w:r>
              <w:rPr>
                <w:rFonts w:ascii="黑体" w:hAnsi="黑体" w:cs="黑体" w:eastAsia="黑体" w:hint="default"/>
                <w:sz w:val="20"/>
                <w:szCs w:val="20"/>
              </w:rPr>
              <w:t>结算时间</w:t>
            </w:r>
          </w:p>
          <w:p>
            <w:pPr>
              <w:pStyle w:val="TableParagraph"/>
              <w:spacing w:line="261" w:lineRule="exact"/>
              <w:ind w:left="321" w:right="0"/>
              <w:jc w:val="left"/>
              <w:rPr>
                <w:rFonts w:ascii="黑体" w:hAnsi="黑体" w:cs="黑体" w:eastAsia="黑体" w:hint="default"/>
                <w:sz w:val="20"/>
                <w:szCs w:val="20"/>
              </w:rPr>
            </w:pPr>
            <w:r>
              <w:rPr>
                <w:rFonts w:ascii="黑体" w:hAnsi="黑体" w:cs="黑体" w:eastAsia="黑体" w:hint="default"/>
                <w:sz w:val="20"/>
                <w:szCs w:val="20"/>
              </w:rPr>
              <w:t>未到合同约定</w:t>
            </w:r>
          </w:p>
        </w:tc>
      </w:tr>
      <w:tr>
        <w:trPr>
          <w:trHeight w:val="265" w:hRule="exact"/>
        </w:trPr>
        <w:tc>
          <w:tcPr>
            <w:tcW w:w="2611" w:type="dxa"/>
            <w:tcBorders>
              <w:top w:val="nil" w:sz="6" w:space="0" w:color="auto"/>
              <w:left w:val="nil" w:sz="6" w:space="0" w:color="auto"/>
              <w:bottom w:val="nil" w:sz="6" w:space="0" w:color="auto"/>
              <w:right w:val="nil" w:sz="6" w:space="0" w:color="auto"/>
            </w:tcBorders>
          </w:tcPr>
          <w:p>
            <w:pPr>
              <w:pStyle w:val="TableParagraph"/>
              <w:spacing w:line="230" w:lineRule="exact"/>
              <w:ind w:left="222" w:right="0"/>
              <w:jc w:val="left"/>
              <w:rPr>
                <w:rFonts w:ascii="黑体" w:hAnsi="黑体" w:cs="黑体" w:eastAsia="黑体" w:hint="default"/>
                <w:sz w:val="20"/>
                <w:szCs w:val="20"/>
              </w:rPr>
            </w:pPr>
            <w:r>
              <w:rPr>
                <w:rFonts w:ascii="黑体" w:hAnsi="黑体" w:cs="黑体" w:eastAsia="黑体" w:hint="default"/>
                <w:sz w:val="20"/>
                <w:szCs w:val="20"/>
              </w:rPr>
              <w:t>售服务有限公司</w:t>
            </w:r>
          </w:p>
        </w:tc>
        <w:tc>
          <w:tcPr>
            <w:tcW w:w="1427" w:type="dxa"/>
            <w:tcBorders>
              <w:top w:val="nil" w:sz="6" w:space="0" w:color="auto"/>
              <w:left w:val="nil" w:sz="6" w:space="0" w:color="auto"/>
              <w:bottom w:val="nil" w:sz="6" w:space="0" w:color="auto"/>
              <w:right w:val="nil" w:sz="6" w:space="0" w:color="auto"/>
            </w:tcBorders>
          </w:tcPr>
          <w:p>
            <w:pPr>
              <w:pStyle w:val="TableParagraph"/>
              <w:spacing w:line="230" w:lineRule="exact"/>
              <w:ind w:right="31"/>
              <w:jc w:val="right"/>
              <w:rPr>
                <w:rFonts w:ascii="黑体" w:hAnsi="黑体" w:cs="黑体" w:eastAsia="黑体" w:hint="default"/>
                <w:sz w:val="20"/>
                <w:szCs w:val="20"/>
              </w:rPr>
            </w:pPr>
            <w:r>
              <w:rPr>
                <w:rFonts w:ascii="黑体" w:hAnsi="黑体" w:cs="黑体" w:eastAsia="黑体" w:hint="default"/>
                <w:sz w:val="20"/>
                <w:szCs w:val="20"/>
              </w:rPr>
              <w:t>非关联方</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8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3"/>
                <w:sz w:val="20"/>
                <w:u w:val="single" w:color="000000"/>
              </w:rPr>
              <w:t> </w:t>
            </w:r>
            <w:r>
              <w:rPr>
                <w:rFonts w:ascii="Arial"/>
                <w:sz w:val="20"/>
                <w:u w:val="single" w:color="000000"/>
              </w:rPr>
              <w:t>641,250</w:t>
            </w:r>
            <w:r>
              <w:rPr>
                <w:rFonts w:ascii="Arial"/>
                <w:sz w:val="20"/>
              </w:rPr>
            </w:r>
          </w:p>
        </w:tc>
        <w:tc>
          <w:tcPr>
            <w:tcW w:w="1228" w:type="dxa"/>
            <w:tcBorders>
              <w:top w:val="nil" w:sz="6" w:space="0" w:color="auto"/>
              <w:left w:val="nil" w:sz="6" w:space="0" w:color="auto"/>
              <w:bottom w:val="nil" w:sz="6" w:space="0" w:color="auto"/>
              <w:right w:val="nil" w:sz="6" w:space="0" w:color="auto"/>
            </w:tcBorders>
          </w:tcPr>
          <w:p>
            <w:pPr>
              <w:pStyle w:val="TableParagraph"/>
              <w:spacing w:line="244" w:lineRule="exact"/>
              <w:ind w:right="319"/>
              <w:jc w:val="righ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年以内</w:t>
            </w:r>
          </w:p>
        </w:tc>
        <w:tc>
          <w:tcPr>
            <w:tcW w:w="1558" w:type="dxa"/>
            <w:tcBorders>
              <w:top w:val="nil" w:sz="6" w:space="0" w:color="auto"/>
              <w:left w:val="nil" w:sz="6" w:space="0" w:color="auto"/>
              <w:bottom w:val="nil" w:sz="6" w:space="0" w:color="auto"/>
              <w:right w:val="nil" w:sz="6" w:space="0" w:color="auto"/>
            </w:tcBorders>
          </w:tcPr>
          <w:p>
            <w:pPr>
              <w:pStyle w:val="TableParagraph"/>
              <w:spacing w:line="230" w:lineRule="exact"/>
              <w:ind w:left="719" w:right="0"/>
              <w:jc w:val="left"/>
              <w:rPr>
                <w:rFonts w:ascii="黑体" w:hAnsi="黑体" w:cs="黑体" w:eastAsia="黑体" w:hint="default"/>
                <w:sz w:val="20"/>
                <w:szCs w:val="20"/>
              </w:rPr>
            </w:pPr>
            <w:r>
              <w:rPr>
                <w:rFonts w:ascii="黑体" w:hAnsi="黑体" w:cs="黑体" w:eastAsia="黑体" w:hint="default"/>
                <w:sz w:val="20"/>
                <w:szCs w:val="20"/>
              </w:rPr>
              <w:t>结算时间</w:t>
            </w:r>
          </w:p>
        </w:tc>
      </w:tr>
      <w:tr>
        <w:trPr>
          <w:trHeight w:val="327" w:hRule="exact"/>
        </w:trPr>
        <w:tc>
          <w:tcPr>
            <w:tcW w:w="2611" w:type="dxa"/>
            <w:tcBorders>
              <w:top w:val="nil" w:sz="6" w:space="0" w:color="auto"/>
              <w:left w:val="nil" w:sz="6" w:space="0" w:color="auto"/>
              <w:bottom w:val="nil" w:sz="6" w:space="0" w:color="auto"/>
              <w:right w:val="nil" w:sz="6" w:space="0" w:color="auto"/>
            </w:tcBorders>
          </w:tcPr>
          <w:p>
            <w:pPr/>
          </w:p>
        </w:tc>
        <w:tc>
          <w:tcPr>
            <w:tcW w:w="1427" w:type="dxa"/>
            <w:tcBorders>
              <w:top w:val="nil" w:sz="6" w:space="0" w:color="auto"/>
              <w:left w:val="nil" w:sz="6" w:space="0" w:color="auto"/>
              <w:bottom w:val="nil" w:sz="6" w:space="0" w:color="auto"/>
              <w:right w:val="nil" w:sz="6" w:space="0" w:color="auto"/>
            </w:tcBorders>
          </w:tcPr>
          <w:p>
            <w:pP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84"/>
              <w:jc w:val="right"/>
              <w:rPr>
                <w:rFonts w:ascii="Arial" w:hAnsi="Arial" w:cs="Arial" w:eastAsia="Arial" w:hint="default"/>
                <w:sz w:val="20"/>
                <w:szCs w:val="20"/>
              </w:rPr>
            </w:pPr>
            <w:r>
              <w:rPr>
                <w:rFonts w:ascii="Arial"/>
                <w:w w:val="100"/>
                <w:sz w:val="20"/>
              </w:rPr>
            </w:r>
            <w:r>
              <w:rPr>
                <w:rFonts w:ascii="Arial"/>
                <w:spacing w:val="-1"/>
                <w:sz w:val="20"/>
                <w:u w:val="thick" w:color="000000"/>
              </w:rPr>
              <w:t>1,382,301</w:t>
            </w:r>
            <w:r>
              <w:rPr>
                <w:rFonts w:ascii="Arial"/>
                <w:spacing w:val="-1"/>
                <w:sz w:val="20"/>
              </w:rPr>
            </w:r>
          </w:p>
        </w:tc>
        <w:tc>
          <w:tcPr>
            <w:tcW w:w="1228"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958" w:footer="469" w:top="2380" w:bottom="660" w:left="1560" w:right="1540"/>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7"/>
          <w:szCs w:val="17"/>
        </w:rPr>
      </w:pPr>
    </w:p>
    <w:p>
      <w:pPr>
        <w:tabs>
          <w:tab w:pos="843" w:val="left" w:leader="none"/>
        </w:tabs>
        <w:spacing w:before="38"/>
        <w:ind w:left="141" w:right="112"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3"/>
        <w:rPr>
          <w:rFonts w:ascii="黑体" w:hAnsi="黑体" w:cs="黑体" w:eastAsia="黑体" w:hint="default"/>
          <w:b/>
          <w:bCs/>
          <w:sz w:val="18"/>
          <w:szCs w:val="18"/>
        </w:rPr>
      </w:pPr>
    </w:p>
    <w:p>
      <w:pPr>
        <w:tabs>
          <w:tab w:pos="861" w:val="left" w:leader="none"/>
        </w:tabs>
        <w:spacing w:line="460" w:lineRule="auto" w:before="0"/>
        <w:ind w:left="855" w:right="3835" w:hanging="715"/>
        <w:jc w:val="left"/>
        <w:rPr>
          <w:rFonts w:ascii="黑体" w:hAnsi="黑体" w:cs="黑体" w:eastAsia="黑体" w:hint="default"/>
          <w:sz w:val="20"/>
          <w:szCs w:val="20"/>
        </w:rPr>
      </w:pPr>
      <w:r>
        <w:rPr>
          <w:rFonts w:ascii="Arial" w:hAnsi="Arial" w:cs="Arial" w:eastAsia="Arial" w:hint="default"/>
          <w:b/>
          <w:bCs/>
          <w:spacing w:val="-1"/>
          <w:sz w:val="20"/>
          <w:szCs w:val="20"/>
        </w:rPr>
        <w:t>5.</w:t>
        <w:tab/>
        <w:tab/>
      </w:r>
      <w:r>
        <w:rPr>
          <w:rFonts w:ascii="黑体" w:hAnsi="黑体" w:cs="黑体" w:eastAsia="黑体" w:hint="default"/>
          <w:b/>
          <w:bCs/>
          <w:sz w:val="20"/>
          <w:szCs w:val="20"/>
        </w:rPr>
        <w:t>预付款项（续）</w:t>
      </w:r>
      <w:r>
        <w:rPr>
          <w:rFonts w:ascii="黑体" w:hAnsi="黑体" w:cs="黑体" w:eastAsia="黑体" w:hint="default"/>
          <w:b/>
          <w:bCs/>
          <w:w w:val="99"/>
          <w:sz w:val="20"/>
          <w:szCs w:val="20"/>
        </w:rPr>
        <w:t> </w:t>
      </w:r>
      <w:r>
        <w:rPr>
          <w:rFonts w:ascii="黑体" w:hAnsi="黑体" w:cs="黑体" w:eastAsia="黑体" w:hint="default"/>
          <w:spacing w:val="-1"/>
          <w:sz w:val="20"/>
          <w:szCs w:val="20"/>
        </w:rPr>
        <w:t>于</w:t>
      </w:r>
      <w:r>
        <w:rPr>
          <w:rFonts w:ascii="Arial" w:hAnsi="Arial" w:cs="Arial" w:eastAsia="Arial" w:hint="default"/>
          <w:spacing w:val="-1"/>
          <w:sz w:val="20"/>
          <w:szCs w:val="20"/>
        </w:rPr>
        <w:t>2008</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日，重大预付款项金额如下：</w:t>
      </w:r>
    </w:p>
    <w:p>
      <w:pPr>
        <w:spacing w:line="240" w:lineRule="auto" w:before="1"/>
        <w:rPr>
          <w:rFonts w:ascii="黑体" w:hAnsi="黑体" w:cs="黑体" w:eastAsia="黑体" w:hint="default"/>
          <w:sz w:val="24"/>
          <w:szCs w:val="24"/>
        </w:rPr>
      </w:pPr>
    </w:p>
    <w:p>
      <w:pPr>
        <w:pStyle w:val="BodyText"/>
        <w:spacing w:line="260" w:lineRule="exact" w:before="64"/>
        <w:ind w:left="1051" w:right="5514" w:hanging="201"/>
        <w:jc w:val="left"/>
      </w:pPr>
      <w:r>
        <w:rPr/>
        <w:pict>
          <v:shape style="position:absolute;margin-left:255.964584pt;margin-top:-12.786414pt;width:256.05pt;height:84.9pt;mso-position-horizontal-relative:page;mso-position-vertical-relative:paragraph;z-index:17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66"/>
                    <w:gridCol w:w="1182"/>
                    <w:gridCol w:w="1059"/>
                    <w:gridCol w:w="1514"/>
                  </w:tblGrid>
                  <w:tr>
                    <w:trPr>
                      <w:trHeight w:val="849" w:hRule="exact"/>
                    </w:trPr>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sz w:val="20"/>
                            <w:szCs w:val="20"/>
                          </w:rPr>
                          <w:t>与本集团关系</w:t>
                        </w:r>
                      </w:p>
                      <w:p>
                        <w:pPr>
                          <w:pStyle w:val="TableParagraph"/>
                          <w:spacing w:line="240" w:lineRule="auto" w:before="4"/>
                          <w:ind w:right="0"/>
                          <w:jc w:val="left"/>
                          <w:rPr>
                            <w:rFonts w:ascii="黑体" w:hAnsi="黑体" w:cs="黑体" w:eastAsia="黑体" w:hint="default"/>
                            <w:sz w:val="19"/>
                            <w:szCs w:val="19"/>
                          </w:rPr>
                        </w:pPr>
                      </w:p>
                      <w:p>
                        <w:pPr>
                          <w:pStyle w:val="TableParagraph"/>
                          <w:spacing w:line="240" w:lineRule="auto"/>
                          <w:ind w:left="459" w:right="0"/>
                          <w:jc w:val="left"/>
                          <w:rPr>
                            <w:rFonts w:ascii="黑体" w:hAnsi="黑体" w:cs="黑体" w:eastAsia="黑体" w:hint="default"/>
                            <w:sz w:val="20"/>
                            <w:szCs w:val="20"/>
                          </w:rPr>
                        </w:pPr>
                        <w:r>
                          <w:rPr>
                            <w:rFonts w:ascii="黑体" w:hAnsi="黑体" w:cs="黑体" w:eastAsia="黑体" w:hint="default"/>
                            <w:sz w:val="20"/>
                            <w:szCs w:val="20"/>
                          </w:rPr>
                          <w:t>非关联方</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8" w:right="0" w:firstLine="463"/>
                          <w:jc w:val="left"/>
                          <w:rPr>
                            <w:rFonts w:ascii="黑体" w:hAnsi="黑体" w:cs="黑体" w:eastAsia="黑体" w:hint="default"/>
                            <w:sz w:val="20"/>
                            <w:szCs w:val="20"/>
                          </w:rPr>
                        </w:pPr>
                        <w:r>
                          <w:rPr>
                            <w:rFonts w:ascii="黑体" w:hAnsi="黑体" w:cs="黑体" w:eastAsia="黑体" w:hint="default"/>
                            <w:sz w:val="20"/>
                            <w:szCs w:val="20"/>
                          </w:rPr>
                          <w:t>金额</w:t>
                        </w:r>
                      </w:p>
                      <w:p>
                        <w:pPr>
                          <w:pStyle w:val="TableParagraph"/>
                          <w:spacing w:line="240" w:lineRule="auto" w:before="10"/>
                          <w:ind w:right="0"/>
                          <w:jc w:val="left"/>
                          <w:rPr>
                            <w:rFonts w:ascii="黑体" w:hAnsi="黑体" w:cs="黑体" w:eastAsia="黑体" w:hint="default"/>
                            <w:sz w:val="22"/>
                            <w:szCs w:val="22"/>
                          </w:rPr>
                        </w:pPr>
                      </w:p>
                      <w:p>
                        <w:pPr>
                          <w:pStyle w:val="TableParagraph"/>
                          <w:spacing w:line="240" w:lineRule="auto"/>
                          <w:ind w:left="138" w:right="0"/>
                          <w:jc w:val="left"/>
                          <w:rPr>
                            <w:rFonts w:ascii="Arial" w:hAnsi="Arial" w:cs="Arial" w:eastAsia="Arial" w:hint="default"/>
                            <w:sz w:val="20"/>
                            <w:szCs w:val="20"/>
                          </w:rPr>
                        </w:pPr>
                        <w:r>
                          <w:rPr>
                            <w:rFonts w:ascii="Arial"/>
                            <w:sz w:val="20"/>
                          </w:rPr>
                          <w:t>1,230,750</w:t>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68" w:right="0" w:hanging="116"/>
                          <w:jc w:val="left"/>
                          <w:rPr>
                            <w:rFonts w:ascii="黑体" w:hAnsi="黑体" w:cs="黑体" w:eastAsia="黑体" w:hint="default"/>
                            <w:sz w:val="20"/>
                            <w:szCs w:val="20"/>
                          </w:rPr>
                        </w:pPr>
                        <w:r>
                          <w:rPr>
                            <w:rFonts w:ascii="黑体" w:hAnsi="黑体" w:cs="黑体" w:eastAsia="黑体" w:hint="default"/>
                            <w:sz w:val="20"/>
                            <w:szCs w:val="20"/>
                          </w:rPr>
                          <w:t>预付时间</w:t>
                        </w:r>
                      </w:p>
                      <w:p>
                        <w:pPr>
                          <w:pStyle w:val="TableParagraph"/>
                          <w:spacing w:line="240" w:lineRule="auto" w:before="4"/>
                          <w:ind w:right="0"/>
                          <w:jc w:val="left"/>
                          <w:rPr>
                            <w:rFonts w:ascii="黑体" w:hAnsi="黑体" w:cs="黑体" w:eastAsia="黑体" w:hint="default"/>
                            <w:sz w:val="19"/>
                            <w:szCs w:val="19"/>
                          </w:rPr>
                        </w:pPr>
                      </w:p>
                      <w:p>
                        <w:pPr>
                          <w:pStyle w:val="TableParagraph"/>
                          <w:spacing w:line="240" w:lineRule="auto"/>
                          <w:ind w:left="268"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年以内</w:t>
                        </w:r>
                      </w:p>
                    </w:tc>
                    <w:tc>
                      <w:tcPr>
                        <w:tcW w:w="1514" w:type="dxa"/>
                        <w:tcBorders>
                          <w:top w:val="nil" w:sz="6" w:space="0" w:color="auto"/>
                          <w:left w:val="nil" w:sz="6" w:space="0" w:color="auto"/>
                          <w:bottom w:val="nil" w:sz="6" w:space="0" w:color="auto"/>
                          <w:right w:val="nil" w:sz="6" w:space="0" w:color="auto"/>
                        </w:tcBorders>
                      </w:tcPr>
                      <w:p>
                        <w:pPr>
                          <w:pStyle w:val="TableParagraph"/>
                          <w:spacing w:line="256" w:lineRule="exact" w:before="67"/>
                          <w:ind w:left="78" w:right="33" w:firstLine="374"/>
                          <w:jc w:val="left"/>
                          <w:rPr>
                            <w:rFonts w:ascii="黑体" w:hAnsi="黑体" w:cs="黑体" w:eastAsia="黑体" w:hint="default"/>
                            <w:sz w:val="20"/>
                            <w:szCs w:val="20"/>
                          </w:rPr>
                        </w:pPr>
                        <w:r>
                          <w:rPr>
                            <w:rFonts w:ascii="黑体" w:hAnsi="黑体" w:cs="黑体" w:eastAsia="黑体" w:hint="default"/>
                            <w:sz w:val="20"/>
                            <w:szCs w:val="20"/>
                          </w:rPr>
                          <w:t>未结算原因</w:t>
                        </w:r>
                        <w:r>
                          <w:rPr>
                            <w:rFonts w:ascii="黑体" w:hAnsi="黑体" w:cs="黑体" w:eastAsia="黑体" w:hint="default"/>
                            <w:w w:val="100"/>
                            <w:sz w:val="20"/>
                            <w:szCs w:val="20"/>
                          </w:rPr>
                          <w:t> </w:t>
                        </w:r>
                        <w:r>
                          <w:rPr>
                            <w:rFonts w:ascii="黑体" w:hAnsi="黑体" w:cs="黑体" w:eastAsia="黑体" w:hint="default"/>
                            <w:spacing w:val="-1"/>
                            <w:sz w:val="20"/>
                            <w:szCs w:val="20"/>
                          </w:rPr>
                          <w:t>未到合同约定结</w:t>
                        </w:r>
                      </w:p>
                      <w:p>
                        <w:pPr>
                          <w:pStyle w:val="TableParagraph"/>
                          <w:spacing w:line="236" w:lineRule="exact"/>
                          <w:ind w:left="877" w:right="0"/>
                          <w:jc w:val="left"/>
                          <w:rPr>
                            <w:rFonts w:ascii="黑体" w:hAnsi="黑体" w:cs="黑体" w:eastAsia="黑体" w:hint="default"/>
                            <w:sz w:val="20"/>
                            <w:szCs w:val="20"/>
                          </w:rPr>
                        </w:pPr>
                        <w:r>
                          <w:rPr>
                            <w:rFonts w:ascii="黑体" w:hAnsi="黑体" w:cs="黑体" w:eastAsia="黑体" w:hint="default"/>
                            <w:sz w:val="20"/>
                            <w:szCs w:val="20"/>
                          </w:rPr>
                          <w:t>算时间</w:t>
                        </w:r>
                      </w:p>
                    </w:tc>
                  </w:tr>
                  <w:tr>
                    <w:trPr>
                      <w:trHeight w:val="255" w:hRule="exact"/>
                    </w:trPr>
                    <w:tc>
                      <w:tcPr>
                        <w:tcW w:w="136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
                    </w:tc>
                    <w:tc>
                      <w:tcPr>
                        <w:tcW w:w="105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Style w:val="TableParagraph"/>
                          <w:spacing w:line="226" w:lineRule="exact"/>
                          <w:ind w:right="33"/>
                          <w:jc w:val="right"/>
                          <w:rPr>
                            <w:rFonts w:ascii="黑体" w:hAnsi="黑体" w:cs="黑体" w:eastAsia="黑体" w:hint="default"/>
                            <w:sz w:val="20"/>
                            <w:szCs w:val="20"/>
                          </w:rPr>
                        </w:pPr>
                        <w:r>
                          <w:rPr>
                            <w:rFonts w:ascii="黑体" w:hAnsi="黑体" w:cs="黑体" w:eastAsia="黑体" w:hint="default"/>
                            <w:spacing w:val="-1"/>
                            <w:sz w:val="20"/>
                            <w:szCs w:val="20"/>
                          </w:rPr>
                          <w:t>未到合同约定结</w:t>
                        </w:r>
                      </w:p>
                    </w:tc>
                  </w:tr>
                  <w:tr>
                    <w:trPr>
                      <w:trHeight w:val="266" w:hRule="exact"/>
                    </w:trPr>
                    <w:tc>
                      <w:tcPr>
                        <w:tcW w:w="1366" w:type="dxa"/>
                        <w:tcBorders>
                          <w:top w:val="nil" w:sz="6" w:space="0" w:color="auto"/>
                          <w:left w:val="nil" w:sz="6" w:space="0" w:color="auto"/>
                          <w:bottom w:val="nil" w:sz="6" w:space="0" w:color="auto"/>
                          <w:right w:val="nil" w:sz="6" w:space="0" w:color="auto"/>
                        </w:tcBorders>
                      </w:tcPr>
                      <w:p>
                        <w:pPr>
                          <w:pStyle w:val="TableParagraph"/>
                          <w:spacing w:line="230" w:lineRule="exact"/>
                          <w:ind w:left="459" w:right="0"/>
                          <w:jc w:val="left"/>
                          <w:rPr>
                            <w:rFonts w:ascii="黑体" w:hAnsi="黑体" w:cs="黑体" w:eastAsia="黑体" w:hint="default"/>
                            <w:sz w:val="20"/>
                            <w:szCs w:val="20"/>
                          </w:rPr>
                        </w:pPr>
                        <w:r>
                          <w:rPr>
                            <w:rFonts w:ascii="黑体" w:hAnsi="黑体" w:cs="黑体" w:eastAsia="黑体" w:hint="default"/>
                            <w:sz w:val="20"/>
                            <w:szCs w:val="20"/>
                          </w:rPr>
                          <w:t>非关联方</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4"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3"/>
                            <w:sz w:val="20"/>
                            <w:u w:val="single" w:color="000000"/>
                          </w:rPr>
                          <w:t> </w:t>
                        </w:r>
                        <w:r>
                          <w:rPr>
                            <w:rFonts w:ascii="Arial"/>
                            <w:sz w:val="20"/>
                            <w:u w:val="single" w:color="000000"/>
                          </w:rPr>
                          <w:t>850,000</w:t>
                        </w:r>
                        <w:r>
                          <w:rPr>
                            <w:rFonts w:ascii="Arial"/>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4" w:lineRule="exact"/>
                          <w:ind w:left="267"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年以内</w:t>
                        </w:r>
                      </w:p>
                    </w:tc>
                    <w:tc>
                      <w:tcPr>
                        <w:tcW w:w="1514" w:type="dxa"/>
                        <w:tcBorders>
                          <w:top w:val="nil" w:sz="6" w:space="0" w:color="auto"/>
                          <w:left w:val="nil" w:sz="6" w:space="0" w:color="auto"/>
                          <w:bottom w:val="nil" w:sz="6" w:space="0" w:color="auto"/>
                          <w:right w:val="nil" w:sz="6" w:space="0" w:color="auto"/>
                        </w:tcBorders>
                      </w:tcPr>
                      <w:p>
                        <w:pPr>
                          <w:pStyle w:val="TableParagraph"/>
                          <w:spacing w:line="230" w:lineRule="exact"/>
                          <w:ind w:right="33"/>
                          <w:jc w:val="right"/>
                          <w:rPr>
                            <w:rFonts w:ascii="黑体" w:hAnsi="黑体" w:cs="黑体" w:eastAsia="黑体" w:hint="default"/>
                            <w:sz w:val="20"/>
                            <w:szCs w:val="20"/>
                          </w:rPr>
                        </w:pPr>
                        <w:r>
                          <w:rPr>
                            <w:rFonts w:ascii="黑体" w:hAnsi="黑体" w:cs="黑体" w:eastAsia="黑体" w:hint="default"/>
                            <w:sz w:val="20"/>
                            <w:szCs w:val="20"/>
                          </w:rPr>
                          <w:t>算时间</w:t>
                        </w:r>
                      </w:p>
                    </w:tc>
                  </w:tr>
                  <w:tr>
                    <w:trPr>
                      <w:trHeight w:val="328" w:hRule="exact"/>
                    </w:trPr>
                    <w:tc>
                      <w:tcPr>
                        <w:tcW w:w="1366"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2"/>
                          <w:ind w:left="137" w:right="0"/>
                          <w:jc w:val="left"/>
                          <w:rPr>
                            <w:rFonts w:ascii="Arial" w:hAnsi="Arial" w:cs="Arial" w:eastAsia="Arial" w:hint="default"/>
                            <w:sz w:val="20"/>
                            <w:szCs w:val="20"/>
                          </w:rPr>
                        </w:pPr>
                        <w:r>
                          <w:rPr>
                            <w:rFonts w:ascii="Arial"/>
                            <w:w w:val="100"/>
                            <w:sz w:val="20"/>
                          </w:rPr>
                        </w:r>
                        <w:r>
                          <w:rPr>
                            <w:rFonts w:ascii="Arial"/>
                            <w:sz w:val="20"/>
                            <w:u w:val="thick" w:color="000000"/>
                          </w:rPr>
                          <w:t>2,080,750</w:t>
                        </w:r>
                        <w:r>
                          <w:rPr>
                            <w:rFonts w:ascii="Arial"/>
                            <w:sz w:val="20"/>
                          </w:rPr>
                        </w:r>
                      </w:p>
                    </w:tc>
                    <w:tc>
                      <w:tcPr>
                        <w:tcW w:w="105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t>北京悦航数字媒体广告有限</w:t>
      </w:r>
      <w:r>
        <w:rPr>
          <w:w w:val="100"/>
        </w:rPr>
        <w:t> </w:t>
      </w:r>
      <w:r>
        <w:rPr/>
        <w:t>公司</w:t>
      </w:r>
    </w:p>
    <w:p>
      <w:pPr>
        <w:spacing w:line="240" w:lineRule="auto" w:before="11"/>
        <w:rPr>
          <w:rFonts w:ascii="黑体" w:hAnsi="黑体" w:cs="黑体" w:eastAsia="黑体" w:hint="default"/>
          <w:sz w:val="14"/>
          <w:szCs w:val="14"/>
        </w:rPr>
      </w:pPr>
    </w:p>
    <w:p>
      <w:pPr>
        <w:pStyle w:val="BodyText"/>
        <w:spacing w:line="240" w:lineRule="auto" w:before="38"/>
        <w:ind w:left="851" w:right="112"/>
        <w:jc w:val="left"/>
      </w:pPr>
      <w:r>
        <w:rPr/>
        <w:t>北京高技术创业服务中心</w:t>
      </w:r>
    </w:p>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20"/>
          <w:szCs w:val="20"/>
        </w:rPr>
      </w:pPr>
    </w:p>
    <w:p>
      <w:pPr>
        <w:pStyle w:val="BodyText"/>
        <w:spacing w:line="240" w:lineRule="auto" w:before="38"/>
        <w:ind w:left="855" w:right="0"/>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日，本账户余额中无持有本公司</w:t>
      </w:r>
      <w:r>
        <w:rPr>
          <w:rFonts w:ascii="Arial" w:hAnsi="Arial" w:cs="Arial" w:eastAsia="Arial" w:hint="default"/>
        </w:rPr>
        <w:t>5%</w:t>
      </w:r>
      <w:r>
        <w:rPr/>
        <w:t>或以上表决权股份的股东单位的欠款</w:t>
      </w:r>
    </w:p>
    <w:p>
      <w:pPr>
        <w:pStyle w:val="BodyText"/>
        <w:spacing w:line="240" w:lineRule="auto" w:before="24"/>
        <w:ind w:left="855" w:right="112"/>
        <w:jc w:val="left"/>
      </w:pP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r>
        <w:rPr>
          <w:rFonts w:ascii="Arial" w:hAnsi="Arial" w:cs="Arial" w:eastAsia="Arial" w:hint="default"/>
        </w:rPr>
        <w:t>)</w:t>
      </w:r>
      <w:r>
        <w:rPr/>
        <w:t>。</w:t>
      </w:r>
    </w:p>
    <w:p>
      <w:pPr>
        <w:spacing w:line="240" w:lineRule="auto" w:before="3"/>
        <w:rPr>
          <w:rFonts w:ascii="黑体" w:hAnsi="黑体" w:cs="黑体" w:eastAsia="黑体" w:hint="default"/>
          <w:sz w:val="20"/>
          <w:szCs w:val="20"/>
        </w:rPr>
      </w:pPr>
    </w:p>
    <w:tbl>
      <w:tblPr>
        <w:tblW w:w="0" w:type="auto"/>
        <w:jc w:val="left"/>
        <w:tblInd w:w="106" w:type="dxa"/>
        <w:tblLayout w:type="fixed"/>
        <w:tblCellMar>
          <w:top w:w="0" w:type="dxa"/>
          <w:left w:w="0" w:type="dxa"/>
          <w:bottom w:w="0" w:type="dxa"/>
          <w:right w:w="0" w:type="dxa"/>
        </w:tblCellMar>
        <w:tblLook w:val="01E0"/>
      </w:tblPr>
      <w:tblGrid>
        <w:gridCol w:w="4333"/>
        <w:gridCol w:w="3114"/>
        <w:gridCol w:w="1128"/>
      </w:tblGrid>
      <w:tr>
        <w:trPr>
          <w:trHeight w:val="1070" w:hRule="exact"/>
        </w:trPr>
        <w:tc>
          <w:tcPr>
            <w:tcW w:w="4333" w:type="dxa"/>
            <w:tcBorders>
              <w:top w:val="nil" w:sz="6" w:space="0" w:color="auto"/>
              <w:left w:val="nil" w:sz="6" w:space="0" w:color="auto"/>
              <w:bottom w:val="nil" w:sz="6" w:space="0" w:color="auto"/>
              <w:right w:val="nil" w:sz="6" w:space="0" w:color="auto"/>
            </w:tcBorders>
          </w:tcPr>
          <w:p>
            <w:pPr>
              <w:pStyle w:val="TableParagraph"/>
              <w:tabs>
                <w:tab w:pos="754" w:val="left" w:leader="none"/>
              </w:tabs>
              <w:spacing w:line="240" w:lineRule="auto" w:before="38"/>
              <w:ind w:left="35" w:right="0"/>
              <w:jc w:val="left"/>
              <w:rPr>
                <w:rFonts w:ascii="黑体" w:hAnsi="黑体" w:cs="黑体" w:eastAsia="黑体" w:hint="default"/>
                <w:sz w:val="20"/>
                <w:szCs w:val="20"/>
              </w:rPr>
            </w:pPr>
            <w:r>
              <w:rPr>
                <w:rFonts w:ascii="Arial" w:hAnsi="Arial" w:cs="Arial" w:eastAsia="Arial" w:hint="default"/>
                <w:b/>
                <w:bCs/>
                <w:spacing w:val="-1"/>
                <w:sz w:val="20"/>
                <w:szCs w:val="20"/>
              </w:rPr>
              <w:t>6.</w:t>
              <w:tab/>
            </w:r>
            <w:r>
              <w:rPr>
                <w:rFonts w:ascii="黑体" w:hAnsi="黑体" w:cs="黑体" w:eastAsia="黑体" w:hint="default"/>
                <w:b/>
                <w:bCs/>
                <w:sz w:val="20"/>
                <w:szCs w:val="20"/>
              </w:rPr>
              <w:t>其他应收款</w:t>
            </w:r>
            <w:r>
              <w:rPr>
                <w:rFonts w:ascii="黑体" w:hAnsi="黑体" w:cs="黑体" w:eastAsia="黑体" w:hint="default"/>
                <w:sz w:val="20"/>
                <w:szCs w:val="20"/>
              </w:rPr>
            </w:r>
          </w:p>
          <w:p>
            <w:pPr>
              <w:pStyle w:val="TableParagraph"/>
              <w:spacing w:line="240" w:lineRule="auto" w:before="3"/>
              <w:ind w:right="0"/>
              <w:jc w:val="left"/>
              <w:rPr>
                <w:rFonts w:ascii="黑体" w:hAnsi="黑体" w:cs="黑体" w:eastAsia="黑体" w:hint="default"/>
                <w:sz w:val="23"/>
                <w:szCs w:val="23"/>
              </w:rPr>
            </w:pPr>
          </w:p>
          <w:p>
            <w:pPr>
              <w:pStyle w:val="TableParagraph"/>
              <w:spacing w:line="240" w:lineRule="auto"/>
              <w:ind w:left="749" w:right="0"/>
              <w:jc w:val="left"/>
              <w:rPr>
                <w:rFonts w:ascii="黑体" w:hAnsi="黑体" w:cs="黑体" w:eastAsia="黑体" w:hint="default"/>
                <w:sz w:val="20"/>
                <w:szCs w:val="20"/>
              </w:rPr>
            </w:pPr>
            <w:r>
              <w:rPr>
                <w:rFonts w:ascii="黑体" w:hAnsi="黑体" w:cs="黑体" w:eastAsia="黑体" w:hint="default"/>
                <w:sz w:val="20"/>
                <w:szCs w:val="20"/>
              </w:rPr>
              <w:t>其他应收款的账龄分析如下：</w:t>
            </w:r>
          </w:p>
        </w:tc>
        <w:tc>
          <w:tcPr>
            <w:tcW w:w="4242" w:type="dxa"/>
            <w:gridSpan w:val="2"/>
            <w:tcBorders>
              <w:top w:val="nil" w:sz="6" w:space="0" w:color="auto"/>
              <w:left w:val="nil" w:sz="6" w:space="0" w:color="auto"/>
              <w:bottom w:val="nil" w:sz="6" w:space="0" w:color="auto"/>
              <w:right w:val="nil" w:sz="6" w:space="0" w:color="auto"/>
            </w:tcBorders>
          </w:tcPr>
          <w:p>
            <w:pPr/>
          </w:p>
        </w:tc>
      </w:tr>
      <w:tr>
        <w:trPr>
          <w:trHeight w:val="805" w:hRule="exact"/>
        </w:trPr>
        <w:tc>
          <w:tcPr>
            <w:tcW w:w="4333" w:type="dxa"/>
            <w:tcBorders>
              <w:top w:val="nil" w:sz="6" w:space="0" w:color="auto"/>
              <w:left w:val="nil" w:sz="6" w:space="0" w:color="auto"/>
              <w:bottom w:val="nil" w:sz="6" w:space="0" w:color="auto"/>
              <w:right w:val="nil" w:sz="6" w:space="0" w:color="auto"/>
            </w:tcBorders>
          </w:tcPr>
          <w:p>
            <w:pPr/>
          </w:p>
        </w:tc>
        <w:tc>
          <w:tcPr>
            <w:tcW w:w="3114" w:type="dxa"/>
            <w:tcBorders>
              <w:top w:val="nil" w:sz="6" w:space="0" w:color="auto"/>
              <w:left w:val="nil" w:sz="6" w:space="0" w:color="auto"/>
              <w:bottom w:val="nil" w:sz="6" w:space="0" w:color="auto"/>
              <w:right w:val="nil" w:sz="6" w:space="0" w:color="auto"/>
            </w:tcBorders>
          </w:tcPr>
          <w:p>
            <w:pPr>
              <w:pStyle w:val="TableParagraph"/>
              <w:spacing w:line="266" w:lineRule="exact" w:before="128"/>
              <w:ind w:left="1999"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p>
            <w:pPr>
              <w:pStyle w:val="TableParagraph"/>
              <w:spacing w:line="266" w:lineRule="exact"/>
              <w:ind w:left="1799" w:right="0"/>
              <w:jc w:val="left"/>
              <w:rPr>
                <w:rFonts w:ascii="黑体" w:hAnsi="黑体" w:cs="黑体" w:eastAsia="黑体" w:hint="default"/>
                <w:sz w:val="20"/>
                <w:szCs w:val="20"/>
              </w:rPr>
            </w:pP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tc>
        <w:tc>
          <w:tcPr>
            <w:tcW w:w="1128" w:type="dxa"/>
            <w:tcBorders>
              <w:top w:val="nil" w:sz="6" w:space="0" w:color="auto"/>
              <w:left w:val="nil" w:sz="6" w:space="0" w:color="auto"/>
              <w:bottom w:val="nil" w:sz="6" w:space="0" w:color="auto"/>
              <w:right w:val="nil" w:sz="6" w:space="0" w:color="auto"/>
            </w:tcBorders>
          </w:tcPr>
          <w:p>
            <w:pPr>
              <w:pStyle w:val="TableParagraph"/>
              <w:spacing w:line="266" w:lineRule="exact" w:before="128"/>
              <w:ind w:left="443"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p>
            <w:pPr>
              <w:pStyle w:val="TableParagraph"/>
              <w:spacing w:line="266" w:lineRule="exact"/>
              <w:ind w:left="243" w:right="0"/>
              <w:jc w:val="left"/>
              <w:rPr>
                <w:rFonts w:ascii="黑体" w:hAnsi="黑体" w:cs="黑体" w:eastAsia="黑体" w:hint="default"/>
                <w:sz w:val="20"/>
                <w:szCs w:val="20"/>
              </w:rPr>
            </w:pP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tc>
      </w:tr>
      <w:tr>
        <w:trPr>
          <w:trHeight w:val="384" w:hRule="exact"/>
        </w:trPr>
        <w:tc>
          <w:tcPr>
            <w:tcW w:w="4333" w:type="dxa"/>
            <w:tcBorders>
              <w:top w:val="nil" w:sz="6" w:space="0" w:color="auto"/>
              <w:left w:val="nil" w:sz="6" w:space="0" w:color="auto"/>
              <w:bottom w:val="nil" w:sz="6" w:space="0" w:color="auto"/>
              <w:right w:val="nil" w:sz="6" w:space="0" w:color="auto"/>
            </w:tcBorders>
          </w:tcPr>
          <w:p>
            <w:pPr>
              <w:pStyle w:val="TableParagraph"/>
              <w:spacing w:line="240" w:lineRule="auto" w:before="89"/>
              <w:ind w:left="744"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年以内</w:t>
            </w:r>
          </w:p>
        </w:tc>
        <w:tc>
          <w:tcPr>
            <w:tcW w:w="3114"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1646" w:right="0"/>
              <w:jc w:val="left"/>
              <w:rPr>
                <w:rFonts w:ascii="Arial" w:hAnsi="Arial" w:cs="Arial" w:eastAsia="Arial" w:hint="default"/>
                <w:sz w:val="20"/>
                <w:szCs w:val="20"/>
              </w:rPr>
            </w:pPr>
            <w:r>
              <w:rPr>
                <w:rFonts w:ascii="Arial"/>
                <w:sz w:val="20"/>
              </w:rPr>
              <w:t>24,946,470</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33"/>
              <w:jc w:val="right"/>
              <w:rPr>
                <w:rFonts w:ascii="Arial" w:hAnsi="Arial" w:cs="Arial" w:eastAsia="Arial" w:hint="default"/>
                <w:sz w:val="20"/>
                <w:szCs w:val="20"/>
              </w:rPr>
            </w:pPr>
            <w:r>
              <w:rPr>
                <w:rFonts w:ascii="Arial"/>
                <w:spacing w:val="-1"/>
                <w:sz w:val="20"/>
              </w:rPr>
              <w:t>72,403,254</w:t>
            </w:r>
          </w:p>
        </w:tc>
      </w:tr>
      <w:tr>
        <w:trPr>
          <w:trHeight w:val="259" w:hRule="exact"/>
        </w:trPr>
        <w:tc>
          <w:tcPr>
            <w:tcW w:w="4333" w:type="dxa"/>
            <w:tcBorders>
              <w:top w:val="nil" w:sz="6" w:space="0" w:color="auto"/>
              <w:left w:val="nil" w:sz="6" w:space="0" w:color="auto"/>
              <w:bottom w:val="nil" w:sz="6" w:space="0" w:color="auto"/>
              <w:right w:val="nil" w:sz="6" w:space="0" w:color="auto"/>
            </w:tcBorders>
          </w:tcPr>
          <w:p>
            <w:pPr>
              <w:pStyle w:val="TableParagraph"/>
              <w:spacing w:line="240" w:lineRule="exact"/>
              <w:ind w:left="744"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年至</w:t>
            </w:r>
            <w:r>
              <w:rPr>
                <w:rFonts w:ascii="Arial" w:hAnsi="Arial" w:cs="Arial" w:eastAsia="Arial" w:hint="default"/>
                <w:sz w:val="20"/>
                <w:szCs w:val="20"/>
              </w:rPr>
              <w:t>2</w:t>
            </w:r>
            <w:r>
              <w:rPr>
                <w:rFonts w:ascii="黑体" w:hAnsi="黑体" w:cs="黑体" w:eastAsia="黑体" w:hint="default"/>
                <w:sz w:val="20"/>
                <w:szCs w:val="20"/>
              </w:rPr>
              <w:t>年</w:t>
            </w:r>
          </w:p>
        </w:tc>
        <w:tc>
          <w:tcPr>
            <w:tcW w:w="3114" w:type="dxa"/>
            <w:tcBorders>
              <w:top w:val="nil" w:sz="6" w:space="0" w:color="auto"/>
              <w:left w:val="nil" w:sz="6" w:space="0" w:color="auto"/>
              <w:bottom w:val="nil" w:sz="6" w:space="0" w:color="auto"/>
              <w:right w:val="nil" w:sz="6" w:space="0" w:color="auto"/>
            </w:tcBorders>
          </w:tcPr>
          <w:p>
            <w:pPr>
              <w:pStyle w:val="TableParagraph"/>
              <w:spacing w:line="240" w:lineRule="auto" w:before="7"/>
              <w:ind w:left="1757" w:right="0"/>
              <w:jc w:val="left"/>
              <w:rPr>
                <w:rFonts w:ascii="Arial" w:hAnsi="Arial" w:cs="Arial" w:eastAsia="Arial" w:hint="default"/>
                <w:sz w:val="20"/>
                <w:szCs w:val="20"/>
              </w:rPr>
            </w:pPr>
            <w:r>
              <w:rPr>
                <w:rFonts w:ascii="Arial"/>
                <w:sz w:val="20"/>
              </w:rPr>
              <w:t>7,039,747</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spacing w:val="-1"/>
                <w:sz w:val="20"/>
              </w:rPr>
              <w:t>6,699,076</w:t>
            </w:r>
          </w:p>
        </w:tc>
      </w:tr>
      <w:tr>
        <w:trPr>
          <w:trHeight w:val="259" w:hRule="exact"/>
        </w:trPr>
        <w:tc>
          <w:tcPr>
            <w:tcW w:w="4333" w:type="dxa"/>
            <w:tcBorders>
              <w:top w:val="nil" w:sz="6" w:space="0" w:color="auto"/>
              <w:left w:val="nil" w:sz="6" w:space="0" w:color="auto"/>
              <w:bottom w:val="nil" w:sz="6" w:space="0" w:color="auto"/>
              <w:right w:val="nil" w:sz="6" w:space="0" w:color="auto"/>
            </w:tcBorders>
          </w:tcPr>
          <w:p>
            <w:pPr>
              <w:pStyle w:val="TableParagraph"/>
              <w:spacing w:line="240" w:lineRule="exact"/>
              <w:ind w:left="744" w:right="0"/>
              <w:jc w:val="left"/>
              <w:rPr>
                <w:rFonts w:ascii="黑体" w:hAnsi="黑体" w:cs="黑体" w:eastAsia="黑体" w:hint="default"/>
                <w:sz w:val="20"/>
                <w:szCs w:val="20"/>
              </w:rPr>
            </w:pPr>
            <w:r>
              <w:rPr>
                <w:rFonts w:ascii="Arial" w:hAnsi="Arial" w:cs="Arial" w:eastAsia="Arial" w:hint="default"/>
                <w:sz w:val="20"/>
                <w:szCs w:val="20"/>
              </w:rPr>
              <w:t>2</w:t>
            </w:r>
            <w:r>
              <w:rPr>
                <w:rFonts w:ascii="黑体" w:hAnsi="黑体" w:cs="黑体" w:eastAsia="黑体" w:hint="default"/>
                <w:sz w:val="20"/>
                <w:szCs w:val="20"/>
              </w:rPr>
              <w:t>年至</w:t>
            </w:r>
            <w:r>
              <w:rPr>
                <w:rFonts w:ascii="Arial" w:hAnsi="Arial" w:cs="Arial" w:eastAsia="Arial" w:hint="default"/>
                <w:sz w:val="20"/>
                <w:szCs w:val="20"/>
              </w:rPr>
              <w:t>3</w:t>
            </w:r>
            <w:r>
              <w:rPr>
                <w:rFonts w:ascii="黑体" w:hAnsi="黑体" w:cs="黑体" w:eastAsia="黑体" w:hint="default"/>
                <w:sz w:val="20"/>
                <w:szCs w:val="20"/>
              </w:rPr>
              <w:t>年</w:t>
            </w:r>
          </w:p>
        </w:tc>
        <w:tc>
          <w:tcPr>
            <w:tcW w:w="3114" w:type="dxa"/>
            <w:tcBorders>
              <w:top w:val="nil" w:sz="6" w:space="0" w:color="auto"/>
              <w:left w:val="nil" w:sz="6" w:space="0" w:color="auto"/>
              <w:bottom w:val="nil" w:sz="6" w:space="0" w:color="auto"/>
              <w:right w:val="nil" w:sz="6" w:space="0" w:color="auto"/>
            </w:tcBorders>
          </w:tcPr>
          <w:p>
            <w:pPr>
              <w:pStyle w:val="TableParagraph"/>
              <w:spacing w:line="240" w:lineRule="auto" w:before="7"/>
              <w:ind w:left="1757" w:right="0"/>
              <w:jc w:val="left"/>
              <w:rPr>
                <w:rFonts w:ascii="Arial" w:hAnsi="Arial" w:cs="Arial" w:eastAsia="Arial" w:hint="default"/>
                <w:sz w:val="20"/>
                <w:szCs w:val="20"/>
              </w:rPr>
            </w:pPr>
            <w:r>
              <w:rPr>
                <w:rFonts w:ascii="Arial"/>
                <w:sz w:val="20"/>
              </w:rPr>
              <w:t>4,909,794</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spacing w:val="-1"/>
                <w:sz w:val="20"/>
              </w:rPr>
              <w:t>4,491,753</w:t>
            </w:r>
          </w:p>
        </w:tc>
      </w:tr>
      <w:tr>
        <w:trPr>
          <w:trHeight w:val="261" w:hRule="exact"/>
        </w:trPr>
        <w:tc>
          <w:tcPr>
            <w:tcW w:w="4333" w:type="dxa"/>
            <w:tcBorders>
              <w:top w:val="nil" w:sz="6" w:space="0" w:color="auto"/>
              <w:left w:val="nil" w:sz="6" w:space="0" w:color="auto"/>
              <w:bottom w:val="nil" w:sz="6" w:space="0" w:color="auto"/>
              <w:right w:val="nil" w:sz="6" w:space="0" w:color="auto"/>
            </w:tcBorders>
          </w:tcPr>
          <w:p>
            <w:pPr>
              <w:pStyle w:val="TableParagraph"/>
              <w:spacing w:line="240" w:lineRule="exact"/>
              <w:ind w:left="744" w:right="0"/>
              <w:jc w:val="left"/>
              <w:rPr>
                <w:rFonts w:ascii="黑体" w:hAnsi="黑体" w:cs="黑体" w:eastAsia="黑体" w:hint="default"/>
                <w:sz w:val="20"/>
                <w:szCs w:val="20"/>
              </w:rPr>
            </w:pPr>
            <w:r>
              <w:rPr>
                <w:rFonts w:ascii="Arial" w:hAnsi="Arial" w:cs="Arial" w:eastAsia="Arial" w:hint="default"/>
                <w:sz w:val="20"/>
                <w:szCs w:val="20"/>
              </w:rPr>
              <w:t>3</w:t>
            </w:r>
            <w:r>
              <w:rPr>
                <w:rFonts w:ascii="黑体" w:hAnsi="黑体" w:cs="黑体" w:eastAsia="黑体" w:hint="default"/>
                <w:sz w:val="20"/>
                <w:szCs w:val="20"/>
              </w:rPr>
              <w:t>年以上</w:t>
            </w:r>
          </w:p>
        </w:tc>
        <w:tc>
          <w:tcPr>
            <w:tcW w:w="3114" w:type="dxa"/>
            <w:tcBorders>
              <w:top w:val="nil" w:sz="6" w:space="0" w:color="auto"/>
              <w:left w:val="nil" w:sz="6" w:space="0" w:color="auto"/>
              <w:bottom w:val="nil" w:sz="6" w:space="0" w:color="auto"/>
              <w:right w:val="nil" w:sz="6" w:space="0" w:color="auto"/>
            </w:tcBorders>
          </w:tcPr>
          <w:p>
            <w:pPr>
              <w:pStyle w:val="TableParagraph"/>
              <w:spacing w:line="240" w:lineRule="auto" w:before="7"/>
              <w:ind w:left="1656"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5,236,406</w:t>
            </w:r>
            <w:r>
              <w:rPr>
                <w:rFonts w:ascii="Arial"/>
                <w:sz w:val="20"/>
              </w:rPr>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5,782,486</w:t>
            </w:r>
            <w:r>
              <w:rPr>
                <w:rFonts w:ascii="Arial"/>
                <w:sz w:val="20"/>
              </w:rPr>
            </w:r>
          </w:p>
        </w:tc>
      </w:tr>
      <w:tr>
        <w:trPr>
          <w:trHeight w:val="380" w:hRule="exact"/>
        </w:trPr>
        <w:tc>
          <w:tcPr>
            <w:tcW w:w="4333" w:type="dxa"/>
            <w:tcBorders>
              <w:top w:val="nil" w:sz="6" w:space="0" w:color="auto"/>
              <w:left w:val="nil" w:sz="6" w:space="0" w:color="auto"/>
              <w:bottom w:val="nil" w:sz="6" w:space="0" w:color="auto"/>
              <w:right w:val="nil" w:sz="6" w:space="0" w:color="auto"/>
            </w:tcBorders>
          </w:tcPr>
          <w:p>
            <w:pPr/>
          </w:p>
        </w:tc>
        <w:tc>
          <w:tcPr>
            <w:tcW w:w="3114" w:type="dxa"/>
            <w:tcBorders>
              <w:top w:val="nil" w:sz="6" w:space="0" w:color="auto"/>
              <w:left w:val="nil" w:sz="6" w:space="0" w:color="auto"/>
              <w:bottom w:val="nil" w:sz="6" w:space="0" w:color="auto"/>
              <w:right w:val="nil" w:sz="6" w:space="0" w:color="auto"/>
            </w:tcBorders>
          </w:tcPr>
          <w:p>
            <w:pPr>
              <w:pStyle w:val="TableParagraph"/>
              <w:spacing w:line="240" w:lineRule="auto" w:before="2"/>
              <w:ind w:left="1645" w:right="0"/>
              <w:jc w:val="left"/>
              <w:rPr>
                <w:rFonts w:ascii="Arial" w:hAnsi="Arial" w:cs="Arial" w:eastAsia="Arial" w:hint="default"/>
                <w:sz w:val="20"/>
                <w:szCs w:val="20"/>
              </w:rPr>
            </w:pPr>
            <w:r>
              <w:rPr>
                <w:rFonts w:ascii="Arial"/>
                <w:sz w:val="20"/>
              </w:rPr>
              <w:t>42,132,417</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spacing w:val="-1"/>
                <w:sz w:val="20"/>
              </w:rPr>
              <w:t>89,376,569</w:t>
            </w:r>
          </w:p>
        </w:tc>
      </w:tr>
      <w:tr>
        <w:trPr>
          <w:trHeight w:val="516" w:hRule="exact"/>
        </w:trPr>
        <w:tc>
          <w:tcPr>
            <w:tcW w:w="433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44" w:right="0"/>
              <w:jc w:val="left"/>
              <w:rPr>
                <w:rFonts w:ascii="黑体" w:hAnsi="黑体" w:cs="黑体" w:eastAsia="黑体" w:hint="default"/>
                <w:sz w:val="20"/>
                <w:szCs w:val="20"/>
              </w:rPr>
            </w:pPr>
            <w:r>
              <w:rPr>
                <w:rFonts w:ascii="黑体" w:hAnsi="黑体" w:cs="黑体" w:eastAsia="黑体" w:hint="default"/>
                <w:sz w:val="20"/>
                <w:szCs w:val="20"/>
              </w:rPr>
              <w:t>减：其他应收款坏账准备</w:t>
            </w:r>
          </w:p>
        </w:tc>
        <w:tc>
          <w:tcPr>
            <w:tcW w:w="3114"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656"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3,061,156</w:t>
            </w:r>
            <w:r>
              <w:rPr>
                <w:rFonts w:ascii="Arial"/>
                <w:sz w:val="20"/>
              </w:rPr>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5,502,359</w:t>
            </w:r>
            <w:r>
              <w:rPr>
                <w:rFonts w:ascii="Arial"/>
                <w:sz w:val="20"/>
              </w:rPr>
            </w:r>
          </w:p>
        </w:tc>
      </w:tr>
      <w:tr>
        <w:trPr>
          <w:trHeight w:val="506" w:hRule="exact"/>
        </w:trPr>
        <w:tc>
          <w:tcPr>
            <w:tcW w:w="4333" w:type="dxa"/>
            <w:tcBorders>
              <w:top w:val="nil" w:sz="6" w:space="0" w:color="auto"/>
              <w:left w:val="nil" w:sz="6" w:space="0" w:color="auto"/>
              <w:bottom w:val="nil" w:sz="6" w:space="0" w:color="auto"/>
              <w:right w:val="nil" w:sz="6" w:space="0" w:color="auto"/>
            </w:tcBorders>
          </w:tcPr>
          <w:p>
            <w:pPr/>
          </w:p>
        </w:tc>
        <w:tc>
          <w:tcPr>
            <w:tcW w:w="3114"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1645" w:right="0"/>
              <w:jc w:val="left"/>
              <w:rPr>
                <w:rFonts w:ascii="Arial" w:hAnsi="Arial" w:cs="Arial" w:eastAsia="Arial" w:hint="default"/>
                <w:sz w:val="20"/>
                <w:szCs w:val="20"/>
              </w:rPr>
            </w:pPr>
            <w:r>
              <w:rPr>
                <w:rFonts w:ascii="Arial"/>
                <w:w w:val="100"/>
                <w:sz w:val="20"/>
              </w:rPr>
            </w:r>
            <w:r>
              <w:rPr>
                <w:rFonts w:ascii="Arial"/>
                <w:sz w:val="20"/>
                <w:u w:val="thick" w:color="000000"/>
              </w:rPr>
              <w:t>39,071,261</w:t>
            </w:r>
            <w:r>
              <w:rPr>
                <w:rFonts w:ascii="Arial"/>
                <w:sz w:val="20"/>
              </w:rPr>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4"/>
              <w:jc w:val="right"/>
              <w:rPr>
                <w:rFonts w:ascii="Arial" w:hAnsi="Arial" w:cs="Arial" w:eastAsia="Arial" w:hint="default"/>
                <w:sz w:val="20"/>
                <w:szCs w:val="20"/>
              </w:rPr>
            </w:pPr>
            <w:r>
              <w:rPr>
                <w:rFonts w:ascii="Arial"/>
                <w:w w:val="100"/>
                <w:sz w:val="20"/>
              </w:rPr>
            </w:r>
            <w:r>
              <w:rPr>
                <w:rFonts w:ascii="Arial"/>
                <w:spacing w:val="-1"/>
                <w:sz w:val="20"/>
                <w:u w:val="thick" w:color="000000"/>
              </w:rPr>
              <w:t>83,874,210</w:t>
            </w:r>
            <w:r>
              <w:rPr>
                <w:rFonts w:ascii="Arial"/>
                <w:spacing w:val="-1"/>
                <w:sz w:val="20"/>
              </w:rPr>
            </w:r>
          </w:p>
        </w:tc>
      </w:tr>
      <w:tr>
        <w:trPr>
          <w:trHeight w:val="493" w:hRule="exact"/>
        </w:trPr>
        <w:tc>
          <w:tcPr>
            <w:tcW w:w="4333" w:type="dxa"/>
            <w:tcBorders>
              <w:top w:val="nil" w:sz="6" w:space="0" w:color="auto"/>
              <w:left w:val="nil" w:sz="6" w:space="0" w:color="auto"/>
              <w:bottom w:val="nil" w:sz="6" w:space="0" w:color="auto"/>
              <w:right w:val="nil" w:sz="6" w:space="0" w:color="auto"/>
            </w:tcBorders>
          </w:tcPr>
          <w:p>
            <w:pPr>
              <w:pStyle w:val="TableParagraph"/>
              <w:spacing w:line="240" w:lineRule="auto" w:before="89"/>
              <w:ind w:left="748" w:right="0"/>
              <w:jc w:val="left"/>
              <w:rPr>
                <w:rFonts w:ascii="黑体" w:hAnsi="黑体" w:cs="黑体" w:eastAsia="黑体" w:hint="default"/>
                <w:sz w:val="20"/>
                <w:szCs w:val="20"/>
              </w:rPr>
            </w:pPr>
            <w:r>
              <w:rPr>
                <w:rFonts w:ascii="黑体" w:hAnsi="黑体" w:cs="黑体" w:eastAsia="黑体" w:hint="default"/>
                <w:sz w:val="20"/>
                <w:szCs w:val="20"/>
              </w:rPr>
              <w:t>其他应收款坏账准备的变动如下：</w:t>
            </w:r>
          </w:p>
        </w:tc>
        <w:tc>
          <w:tcPr>
            <w:tcW w:w="3114"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r>
      <w:tr>
        <w:trPr>
          <w:trHeight w:val="374" w:hRule="exact"/>
        </w:trPr>
        <w:tc>
          <w:tcPr>
            <w:tcW w:w="4333" w:type="dxa"/>
            <w:tcBorders>
              <w:top w:val="nil" w:sz="6" w:space="0" w:color="auto"/>
              <w:left w:val="nil" w:sz="6" w:space="0" w:color="auto"/>
              <w:bottom w:val="nil" w:sz="6" w:space="0" w:color="auto"/>
              <w:right w:val="nil" w:sz="6" w:space="0" w:color="auto"/>
            </w:tcBorders>
          </w:tcPr>
          <w:p>
            <w:pPr>
              <w:pStyle w:val="TableParagraph"/>
              <w:tabs>
                <w:tab w:pos="1238" w:val="left" w:leader="none"/>
              </w:tabs>
              <w:spacing w:line="240" w:lineRule="auto" w:before="81"/>
              <w:ind w:right="125"/>
              <w:jc w:val="right"/>
              <w:rPr>
                <w:rFonts w:ascii="黑体" w:hAnsi="黑体" w:cs="黑体" w:eastAsia="黑体" w:hint="default"/>
                <w:sz w:val="20"/>
                <w:szCs w:val="20"/>
              </w:rPr>
            </w:pPr>
            <w:r>
              <w:rPr>
                <w:rFonts w:ascii="黑体" w:hAnsi="黑体" w:cs="黑体" w:eastAsia="黑体" w:hint="default"/>
                <w:sz w:val="20"/>
                <w:szCs w:val="20"/>
              </w:rPr>
              <w:t>年初余额</w:t>
              <w:tab/>
              <w:t>本年计提</w:t>
            </w:r>
          </w:p>
        </w:tc>
        <w:tc>
          <w:tcPr>
            <w:tcW w:w="3114" w:type="dxa"/>
            <w:tcBorders>
              <w:top w:val="nil" w:sz="6" w:space="0" w:color="auto"/>
              <w:left w:val="nil" w:sz="6" w:space="0" w:color="auto"/>
              <w:bottom w:val="single" w:sz="4" w:space="0" w:color="000000"/>
              <w:right w:val="nil" w:sz="6" w:space="0" w:color="auto"/>
            </w:tcBorders>
          </w:tcPr>
          <w:p>
            <w:pPr>
              <w:pStyle w:val="TableParagraph"/>
              <w:tabs>
                <w:tab w:pos="1578" w:val="left" w:leader="none"/>
              </w:tabs>
              <w:spacing w:line="240" w:lineRule="auto" w:before="81"/>
              <w:ind w:left="127" w:right="0"/>
              <w:jc w:val="left"/>
              <w:rPr>
                <w:rFonts w:ascii="黑体" w:hAnsi="黑体" w:cs="黑体" w:eastAsia="黑体" w:hint="default"/>
                <w:sz w:val="20"/>
                <w:szCs w:val="20"/>
              </w:rPr>
            </w:pPr>
            <w:r>
              <w:rPr>
                <w:rFonts w:ascii="黑体" w:hAnsi="黑体" w:cs="黑体" w:eastAsia="黑体" w:hint="default"/>
                <w:sz w:val="20"/>
                <w:szCs w:val="20"/>
              </w:rPr>
              <w:t>收购增加</w:t>
              <w:tab/>
              <w:t>本年减少</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4"/>
              <w:jc w:val="right"/>
              <w:rPr>
                <w:rFonts w:ascii="黑体" w:hAnsi="黑体" w:cs="黑体" w:eastAsia="黑体" w:hint="default"/>
                <w:sz w:val="20"/>
                <w:szCs w:val="20"/>
              </w:rPr>
            </w:pPr>
            <w:r>
              <w:rPr>
                <w:rFonts w:ascii="黑体" w:hAnsi="黑体" w:cs="黑体" w:eastAsia="黑体" w:hint="default"/>
                <w:sz w:val="20"/>
                <w:szCs w:val="20"/>
              </w:rPr>
              <w:t>年末余额</w:t>
            </w:r>
          </w:p>
        </w:tc>
      </w:tr>
      <w:tr>
        <w:trPr>
          <w:trHeight w:val="387" w:hRule="exact"/>
        </w:trPr>
        <w:tc>
          <w:tcPr>
            <w:tcW w:w="4333" w:type="dxa"/>
            <w:tcBorders>
              <w:top w:val="nil" w:sz="6" w:space="0" w:color="auto"/>
              <w:left w:val="nil" w:sz="6" w:space="0" w:color="auto"/>
              <w:bottom w:val="nil" w:sz="6" w:space="0" w:color="auto"/>
              <w:right w:val="nil" w:sz="6" w:space="0" w:color="auto"/>
            </w:tcBorders>
          </w:tcPr>
          <w:p>
            <w:pPr/>
          </w:p>
        </w:tc>
        <w:tc>
          <w:tcPr>
            <w:tcW w:w="3114" w:type="dxa"/>
            <w:tcBorders>
              <w:top w:val="single" w:sz="4" w:space="0" w:color="000000"/>
              <w:left w:val="nil" w:sz="6" w:space="0" w:color="auto"/>
              <w:bottom w:val="nil" w:sz="6" w:space="0" w:color="auto"/>
              <w:right w:val="nil" w:sz="6" w:space="0" w:color="auto"/>
            </w:tcBorders>
          </w:tcPr>
          <w:p>
            <w:pPr>
              <w:pStyle w:val="TableParagraph"/>
              <w:tabs>
                <w:tab w:pos="1064" w:val="left" w:leader="none"/>
              </w:tabs>
              <w:spacing w:line="227" w:lineRule="exact"/>
              <w:ind w:right="88"/>
              <w:jc w:val="right"/>
              <w:rPr>
                <w:rFonts w:ascii="黑体" w:hAnsi="黑体" w:cs="黑体" w:eastAsia="黑体" w:hint="default"/>
                <w:sz w:val="20"/>
                <w:szCs w:val="20"/>
              </w:rPr>
            </w:pPr>
            <w:r>
              <w:rPr>
                <w:rFonts w:ascii="黑体" w:hAnsi="黑体" w:cs="黑体" w:eastAsia="黑体" w:hint="default"/>
                <w:sz w:val="20"/>
                <w:szCs w:val="20"/>
              </w:rPr>
              <w:t>转回</w:t>
              <w:tab/>
              <w:t>转销</w:t>
            </w:r>
          </w:p>
        </w:tc>
        <w:tc>
          <w:tcPr>
            <w:tcW w:w="1128" w:type="dxa"/>
            <w:tcBorders>
              <w:top w:val="nil" w:sz="6" w:space="0" w:color="auto"/>
              <w:left w:val="nil" w:sz="6" w:space="0" w:color="auto"/>
              <w:bottom w:val="nil" w:sz="6" w:space="0" w:color="auto"/>
              <w:right w:val="nil" w:sz="6" w:space="0" w:color="auto"/>
            </w:tcBorders>
          </w:tcPr>
          <w:p>
            <w:pPr/>
          </w:p>
        </w:tc>
      </w:tr>
      <w:tr>
        <w:trPr>
          <w:trHeight w:val="521" w:hRule="exact"/>
        </w:trPr>
        <w:tc>
          <w:tcPr>
            <w:tcW w:w="4333" w:type="dxa"/>
            <w:tcBorders>
              <w:top w:val="nil" w:sz="6" w:space="0" w:color="auto"/>
              <w:left w:val="nil" w:sz="6" w:space="0" w:color="auto"/>
              <w:bottom w:val="nil" w:sz="6" w:space="0" w:color="auto"/>
              <w:right w:val="nil" w:sz="6" w:space="0" w:color="auto"/>
            </w:tcBorders>
          </w:tcPr>
          <w:p>
            <w:pPr>
              <w:pStyle w:val="TableParagraph"/>
              <w:tabs>
                <w:tab w:pos="1292" w:val="left" w:leader="none"/>
                <w:tab w:pos="2530" w:val="left" w:leader="none"/>
              </w:tabs>
              <w:spacing w:line="240" w:lineRule="auto" w:before="95"/>
              <w:ind w:right="156"/>
              <w:jc w:val="right"/>
              <w:rPr>
                <w:rFonts w:ascii="Arial" w:hAnsi="Arial" w:cs="Arial" w:eastAsia="Arial" w:hint="default"/>
                <w:sz w:val="20"/>
                <w:szCs w:val="20"/>
              </w:rPr>
            </w:pPr>
            <w:r>
              <w:rPr>
                <w:rFonts w:ascii="Arial" w:hAnsi="Arial" w:cs="Arial" w:eastAsia="Arial" w:hint="default"/>
                <w:spacing w:val="-1"/>
                <w:position w:val="1"/>
                <w:sz w:val="20"/>
                <w:szCs w:val="20"/>
              </w:rPr>
              <w:t>2009</w:t>
            </w:r>
            <w:r>
              <w:rPr>
                <w:rFonts w:ascii="黑体" w:hAnsi="黑体" w:cs="黑体" w:eastAsia="黑体" w:hint="default"/>
                <w:spacing w:val="-1"/>
                <w:position w:val="1"/>
                <w:sz w:val="20"/>
                <w:szCs w:val="20"/>
              </w:rPr>
              <w:t>年</w:t>
              <w:tab/>
            </w:r>
            <w:r>
              <w:rPr>
                <w:rFonts w:ascii="Arial" w:hAnsi="Arial" w:cs="Arial" w:eastAsia="Arial" w:hint="default"/>
                <w:spacing w:val="-1"/>
                <w:sz w:val="20"/>
                <w:szCs w:val="20"/>
              </w:rPr>
            </w:r>
            <w:r>
              <w:rPr>
                <w:rFonts w:ascii="Arial" w:hAnsi="Arial" w:cs="Arial" w:eastAsia="Arial" w:hint="default"/>
                <w:spacing w:val="-1"/>
                <w:sz w:val="20"/>
                <w:szCs w:val="20"/>
                <w:u w:val="thick" w:color="000000"/>
              </w:rPr>
              <w:t>5,502,359</w:t>
            </w:r>
            <w:r>
              <w:rPr>
                <w:rFonts w:ascii="Arial" w:hAnsi="Arial" w:cs="Arial" w:eastAsia="Arial" w:hint="default"/>
                <w:spacing w:val="-1"/>
                <w:sz w:val="20"/>
                <w:szCs w:val="20"/>
              </w:rPr>
              <w:tab/>
            </w:r>
            <w:r>
              <w:rPr>
                <w:rFonts w:ascii="Arial" w:hAnsi="Arial" w:cs="Arial" w:eastAsia="Arial" w:hint="default"/>
                <w:spacing w:val="-1"/>
                <w:sz w:val="20"/>
                <w:szCs w:val="20"/>
                <w:u w:val="thick" w:color="000000"/>
              </w:rPr>
              <w:t>2,689,100</w:t>
            </w:r>
            <w:r>
              <w:rPr>
                <w:rFonts w:ascii="Arial" w:hAnsi="Arial" w:cs="Arial" w:eastAsia="Arial" w:hint="default"/>
                <w:spacing w:val="-1"/>
                <w:sz w:val="20"/>
                <w:szCs w:val="20"/>
              </w:rPr>
            </w:r>
          </w:p>
        </w:tc>
        <w:tc>
          <w:tcPr>
            <w:tcW w:w="3114" w:type="dxa"/>
            <w:tcBorders>
              <w:top w:val="nil" w:sz="6" w:space="0" w:color="auto"/>
              <w:left w:val="nil" w:sz="6" w:space="0" w:color="auto"/>
              <w:bottom w:val="nil" w:sz="6" w:space="0" w:color="auto"/>
              <w:right w:val="nil" w:sz="6" w:space="0" w:color="auto"/>
            </w:tcBorders>
          </w:tcPr>
          <w:p>
            <w:pPr>
              <w:pStyle w:val="TableParagraph"/>
              <w:tabs>
                <w:tab w:pos="568" w:val="left" w:leader="none"/>
              </w:tabs>
              <w:spacing w:line="240" w:lineRule="auto" w:before="151"/>
              <w:ind w:right="116"/>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  </w:t>
            </w:r>
            <w:r>
              <w:rPr>
                <w:rFonts w:ascii="Arial"/>
                <w:sz w:val="20"/>
              </w:rPr>
            </w:r>
            <w:r>
              <w:rPr>
                <w:rFonts w:ascii="Arial"/>
                <w:sz w:val="20"/>
                <w:u w:val="thick" w:color="000000"/>
              </w:rPr>
              <w:t>3,302,965  </w:t>
            </w:r>
            <w:r>
              <w:rPr>
                <w:rFonts w:ascii="Arial"/>
                <w:spacing w:val="22"/>
                <w:sz w:val="20"/>
                <w:u w:val="thick" w:color="000000"/>
              </w:rPr>
              <w:t> </w:t>
            </w:r>
            <w:r>
              <w:rPr>
                <w:rFonts w:ascii="Arial"/>
                <w:spacing w:val="22"/>
                <w:sz w:val="20"/>
              </w:rPr>
            </w:r>
            <w:r>
              <w:rPr>
                <w:rFonts w:ascii="Arial"/>
                <w:sz w:val="20"/>
                <w:u w:val="thick" w:color="000000"/>
              </w:rPr>
              <w:t>1,827,338</w:t>
            </w:r>
            <w:r>
              <w:rPr>
                <w:rFonts w:ascii="Arial"/>
                <w:sz w:val="20"/>
              </w:rPr>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9"/>
              <w:jc w:val="right"/>
              <w:rPr>
                <w:rFonts w:ascii="Arial" w:hAnsi="Arial" w:cs="Arial" w:eastAsia="Arial" w:hint="default"/>
                <w:sz w:val="20"/>
                <w:szCs w:val="20"/>
              </w:rPr>
            </w:pPr>
            <w:r>
              <w:rPr>
                <w:rFonts w:ascii="Arial"/>
                <w:w w:val="100"/>
                <w:sz w:val="20"/>
              </w:rPr>
            </w:r>
            <w:r>
              <w:rPr>
                <w:rFonts w:ascii="Arial"/>
                <w:spacing w:val="-1"/>
                <w:sz w:val="20"/>
                <w:u w:val="thick" w:color="000000"/>
              </w:rPr>
              <w:t>3,061,156</w:t>
            </w:r>
            <w:r>
              <w:rPr>
                <w:rFonts w:ascii="Arial"/>
                <w:spacing w:val="-1"/>
                <w:sz w:val="20"/>
              </w:rPr>
            </w:r>
          </w:p>
        </w:tc>
      </w:tr>
      <w:tr>
        <w:trPr>
          <w:trHeight w:val="466" w:hRule="exact"/>
        </w:trPr>
        <w:tc>
          <w:tcPr>
            <w:tcW w:w="4333" w:type="dxa"/>
            <w:tcBorders>
              <w:top w:val="nil" w:sz="6" w:space="0" w:color="auto"/>
              <w:left w:val="nil" w:sz="6" w:space="0" w:color="auto"/>
              <w:bottom w:val="nil" w:sz="6" w:space="0" w:color="auto"/>
              <w:right w:val="nil" w:sz="6" w:space="0" w:color="auto"/>
            </w:tcBorders>
          </w:tcPr>
          <w:p>
            <w:pPr>
              <w:pStyle w:val="TableParagraph"/>
              <w:tabs>
                <w:tab w:pos="1292" w:val="left" w:leader="none"/>
                <w:tab w:pos="2497" w:val="left" w:leader="none"/>
              </w:tabs>
              <w:spacing w:line="240" w:lineRule="auto" w:before="84"/>
              <w:ind w:right="155"/>
              <w:jc w:val="right"/>
              <w:rPr>
                <w:rFonts w:ascii="Arial" w:hAnsi="Arial" w:cs="Arial" w:eastAsia="Arial" w:hint="default"/>
                <w:sz w:val="20"/>
                <w:szCs w:val="20"/>
              </w:rPr>
            </w:pPr>
            <w:r>
              <w:rPr>
                <w:rFonts w:ascii="Arial" w:hAnsi="Arial" w:cs="Arial" w:eastAsia="Arial" w:hint="default"/>
                <w:spacing w:val="-1"/>
                <w:position w:val="1"/>
                <w:sz w:val="20"/>
                <w:szCs w:val="20"/>
              </w:rPr>
              <w:t>2008</w:t>
            </w:r>
            <w:r>
              <w:rPr>
                <w:rFonts w:ascii="黑体" w:hAnsi="黑体" w:cs="黑体" w:eastAsia="黑体" w:hint="default"/>
                <w:spacing w:val="-1"/>
                <w:position w:val="1"/>
                <w:sz w:val="20"/>
                <w:szCs w:val="20"/>
              </w:rPr>
              <w:t>年</w:t>
              <w:tab/>
            </w:r>
            <w:r>
              <w:rPr>
                <w:rFonts w:ascii="Arial" w:hAnsi="Arial" w:cs="Arial" w:eastAsia="Arial" w:hint="default"/>
                <w:spacing w:val="-1"/>
                <w:sz w:val="20"/>
                <w:szCs w:val="20"/>
              </w:rPr>
            </w:r>
            <w:r>
              <w:rPr>
                <w:rFonts w:ascii="Arial" w:hAnsi="Arial" w:cs="Arial" w:eastAsia="Arial" w:hint="default"/>
                <w:spacing w:val="-1"/>
                <w:sz w:val="20"/>
                <w:szCs w:val="20"/>
                <w:u w:val="thick" w:color="000000"/>
              </w:rPr>
              <w:t>5,285,021</w:t>
            </w:r>
            <w:r>
              <w:rPr>
                <w:rFonts w:ascii="Arial" w:hAnsi="Arial" w:cs="Arial" w:eastAsia="Arial" w:hint="default"/>
                <w:spacing w:val="-1"/>
                <w:sz w:val="20"/>
                <w:szCs w:val="20"/>
              </w:rPr>
              <w:tab/>
            </w:r>
            <w:r>
              <w:rPr>
                <w:rFonts w:ascii="Arial" w:hAnsi="Arial" w:cs="Arial" w:eastAsia="Arial" w:hint="default"/>
                <w:spacing w:val="-1"/>
                <w:sz w:val="20"/>
                <w:szCs w:val="20"/>
                <w:u w:val="thick" w:color="000000"/>
              </w:rPr>
              <w:t> </w:t>
            </w:r>
            <w:r>
              <w:rPr>
                <w:rFonts w:ascii="Arial" w:hAnsi="Arial" w:cs="Arial" w:eastAsia="Arial" w:hint="default"/>
                <w:sz w:val="20"/>
                <w:szCs w:val="20"/>
                <w:u w:val="thick" w:color="000000"/>
              </w:rPr>
              <w:t>412,338</w:t>
            </w:r>
            <w:r>
              <w:rPr>
                <w:rFonts w:ascii="Arial" w:hAnsi="Arial" w:cs="Arial" w:eastAsia="Arial" w:hint="default"/>
                <w:sz w:val="20"/>
                <w:szCs w:val="20"/>
              </w:rPr>
            </w:r>
          </w:p>
        </w:tc>
        <w:tc>
          <w:tcPr>
            <w:tcW w:w="3114"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116"/>
              <w:jc w:val="right"/>
              <w:rPr>
                <w:rFonts w:ascii="Arial" w:hAnsi="Arial" w:cs="Arial" w:eastAsia="Arial" w:hint="default"/>
                <w:sz w:val="20"/>
                <w:szCs w:val="20"/>
              </w:rPr>
            </w:pPr>
            <w:r>
              <w:rPr>
                <w:rFonts w:ascii="Arial"/>
                <w:w w:val="100"/>
                <w:sz w:val="20"/>
              </w:rPr>
            </w:r>
            <w:r>
              <w:rPr>
                <w:rFonts w:ascii="Arial"/>
                <w:sz w:val="20"/>
                <w:u w:val="thick" w:color="000000"/>
              </w:rPr>
              <w:t>20,000      </w:t>
            </w:r>
            <w:r>
              <w:rPr>
                <w:rFonts w:ascii="Arial"/>
                <w:sz w:val="20"/>
              </w:rPr>
            </w:r>
            <w:r>
              <w:rPr>
                <w:rFonts w:ascii="Arial"/>
                <w:sz w:val="20"/>
                <w:u w:val="thick" w:color="000000"/>
              </w:rPr>
              <w:t> 115,000    </w:t>
            </w:r>
            <w:r>
              <w:rPr>
                <w:rFonts w:ascii="Arial"/>
                <w:spacing w:val="37"/>
                <w:sz w:val="20"/>
                <w:u w:val="thick" w:color="000000"/>
              </w:rPr>
              <w:t> </w:t>
            </w:r>
            <w:r>
              <w:rPr>
                <w:rFonts w:ascii="Arial"/>
                <w:spacing w:val="37"/>
                <w:sz w:val="20"/>
              </w:rPr>
            </w:r>
            <w:r>
              <w:rPr>
                <w:rFonts w:ascii="Arial"/>
                <w:spacing w:val="37"/>
                <w:sz w:val="20"/>
                <w:u w:val="thick" w:color="000000"/>
              </w:rPr>
              <w:t> </w:t>
            </w:r>
            <w:r>
              <w:rPr>
                <w:rFonts w:ascii="Arial"/>
                <w:sz w:val="20"/>
                <w:u w:val="thick" w:color="000000"/>
              </w:rPr>
              <w:t>100,000</w:t>
            </w:r>
            <w:r>
              <w:rPr>
                <w:rFonts w:ascii="Arial"/>
                <w:sz w:val="20"/>
              </w:rPr>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39"/>
              <w:jc w:val="right"/>
              <w:rPr>
                <w:rFonts w:ascii="Arial" w:hAnsi="Arial" w:cs="Arial" w:eastAsia="Arial" w:hint="default"/>
                <w:sz w:val="20"/>
                <w:szCs w:val="20"/>
              </w:rPr>
            </w:pPr>
            <w:r>
              <w:rPr>
                <w:rFonts w:ascii="Arial"/>
                <w:w w:val="100"/>
                <w:sz w:val="20"/>
              </w:rPr>
            </w:r>
            <w:r>
              <w:rPr>
                <w:rFonts w:ascii="Arial"/>
                <w:spacing w:val="-1"/>
                <w:sz w:val="20"/>
                <w:u w:val="thick" w:color="000000"/>
              </w:rPr>
              <w:t>5,502,359</w:t>
            </w:r>
            <w:r>
              <w:rPr>
                <w:rFonts w:ascii="Arial"/>
                <w:spacing w:val="-1"/>
                <w:sz w:val="20"/>
              </w:rPr>
            </w:r>
          </w:p>
        </w:tc>
      </w:tr>
    </w:tbl>
    <w:p>
      <w:pPr>
        <w:spacing w:after="0" w:line="240" w:lineRule="auto"/>
        <w:jc w:val="right"/>
        <w:rPr>
          <w:rFonts w:ascii="Arial" w:hAnsi="Arial" w:cs="Arial" w:eastAsia="Arial" w:hint="default"/>
          <w:sz w:val="20"/>
          <w:szCs w:val="20"/>
        </w:rPr>
        <w:sectPr>
          <w:pgSz w:w="11910" w:h="16840"/>
          <w:pgMar w:header="958" w:footer="469" w:top="2380" w:bottom="660" w:left="1560" w:right="156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tbl>
      <w:tblPr>
        <w:tblW w:w="0" w:type="auto"/>
        <w:jc w:val="left"/>
        <w:tblInd w:w="106" w:type="dxa"/>
        <w:tblLayout w:type="fixed"/>
        <w:tblCellMar>
          <w:top w:w="0" w:type="dxa"/>
          <w:left w:w="0" w:type="dxa"/>
          <w:bottom w:w="0" w:type="dxa"/>
          <w:right w:w="0" w:type="dxa"/>
        </w:tblCellMar>
        <w:tblLook w:val="01E0"/>
      </w:tblPr>
      <w:tblGrid>
        <w:gridCol w:w="557"/>
        <w:gridCol w:w="4392"/>
        <w:gridCol w:w="216"/>
        <w:gridCol w:w="3411"/>
      </w:tblGrid>
      <w:tr>
        <w:trPr>
          <w:trHeight w:val="1011" w:hRule="exact"/>
        </w:trPr>
        <w:tc>
          <w:tcPr>
            <w:tcW w:w="55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五、</w:t>
            </w:r>
            <w:r>
              <w:rPr>
                <w:rFonts w:ascii="黑体" w:hAnsi="黑体" w:cs="黑体" w:eastAsia="黑体" w:hint="default"/>
                <w:sz w:val="20"/>
                <w:szCs w:val="20"/>
              </w:rPr>
            </w:r>
          </w:p>
          <w:p>
            <w:pPr>
              <w:pStyle w:val="TableParagraph"/>
              <w:spacing w:line="240" w:lineRule="auto" w:before="5"/>
              <w:ind w:right="0"/>
              <w:jc w:val="left"/>
              <w:rPr>
                <w:rFonts w:ascii="黑体" w:hAnsi="黑体" w:cs="黑体" w:eastAsia="黑体" w:hint="default"/>
                <w:sz w:val="22"/>
                <w:szCs w:val="22"/>
              </w:rPr>
            </w:pPr>
          </w:p>
          <w:p>
            <w:pPr>
              <w:pStyle w:val="TableParagraph"/>
              <w:spacing w:line="240" w:lineRule="auto"/>
              <w:ind w:left="35" w:right="0"/>
              <w:jc w:val="left"/>
              <w:rPr>
                <w:rFonts w:ascii="Arial" w:hAnsi="Arial" w:cs="Arial" w:eastAsia="Arial" w:hint="default"/>
                <w:sz w:val="20"/>
                <w:szCs w:val="20"/>
              </w:rPr>
            </w:pPr>
            <w:r>
              <w:rPr>
                <w:rFonts w:ascii="Arial"/>
                <w:b/>
                <w:sz w:val="20"/>
              </w:rPr>
              <w:t>6.</w:t>
            </w:r>
            <w:r>
              <w:rPr>
                <w:rFonts w:ascii="Arial"/>
                <w:sz w:val="20"/>
              </w:rPr>
            </w:r>
          </w:p>
        </w:tc>
        <w:tc>
          <w:tcPr>
            <w:tcW w:w="4392" w:type="dxa"/>
            <w:tcBorders>
              <w:top w:val="nil" w:sz="6" w:space="0" w:color="auto"/>
              <w:left w:val="nil" w:sz="6" w:space="0" w:color="auto"/>
              <w:bottom w:val="nil" w:sz="6" w:space="0" w:color="auto"/>
              <w:right w:val="nil" w:sz="6" w:space="0" w:color="auto"/>
            </w:tcBorders>
          </w:tcPr>
          <w:p>
            <w:pPr>
              <w:pStyle w:val="TableParagraph"/>
              <w:spacing w:line="468" w:lineRule="auto" w:before="38"/>
              <w:ind w:left="118" w:right="1197" w:firstLine="61"/>
              <w:jc w:val="left"/>
              <w:rPr>
                <w:rFonts w:ascii="黑体" w:hAnsi="黑体" w:cs="黑体" w:eastAsia="黑体" w:hint="default"/>
                <w:sz w:val="20"/>
                <w:szCs w:val="20"/>
              </w:rPr>
            </w:pPr>
            <w:r>
              <w:rPr>
                <w:rFonts w:ascii="黑体" w:hAnsi="黑体" w:cs="黑体" w:eastAsia="黑体" w:hint="default"/>
                <w:b/>
                <w:bCs/>
                <w:sz w:val="20"/>
                <w:szCs w:val="20"/>
              </w:rPr>
              <w:t>合并财务报表主要项目注释（续）</w:t>
            </w:r>
            <w:r>
              <w:rPr>
                <w:rFonts w:ascii="黑体" w:hAnsi="黑体" w:cs="黑体" w:eastAsia="黑体" w:hint="default"/>
                <w:b/>
                <w:bCs/>
                <w:w w:val="99"/>
                <w:sz w:val="20"/>
                <w:szCs w:val="20"/>
              </w:rPr>
              <w:t> </w:t>
            </w:r>
            <w:r>
              <w:rPr>
                <w:rFonts w:ascii="黑体" w:hAnsi="黑体" w:cs="黑体" w:eastAsia="黑体" w:hint="default"/>
                <w:b/>
                <w:bCs/>
                <w:sz w:val="20"/>
                <w:szCs w:val="20"/>
              </w:rPr>
              <w:t>其他应收款（续）</w:t>
            </w:r>
            <w:r>
              <w:rPr>
                <w:rFonts w:ascii="黑体" w:hAnsi="黑体" w:cs="黑体" w:eastAsia="黑体" w:hint="default"/>
                <w:sz w:val="20"/>
                <w:szCs w:val="20"/>
              </w:rPr>
            </w:r>
          </w:p>
        </w:tc>
        <w:tc>
          <w:tcPr>
            <w:tcW w:w="3627" w:type="dxa"/>
            <w:gridSpan w:val="2"/>
            <w:tcBorders>
              <w:top w:val="nil" w:sz="6" w:space="0" w:color="auto"/>
              <w:left w:val="nil" w:sz="6" w:space="0" w:color="auto"/>
              <w:bottom w:val="nil" w:sz="6" w:space="0" w:color="auto"/>
              <w:right w:val="nil" w:sz="6" w:space="0" w:color="auto"/>
            </w:tcBorders>
          </w:tcPr>
          <w:p>
            <w:pPr/>
          </w:p>
        </w:tc>
      </w:tr>
      <w:tr>
        <w:trPr>
          <w:trHeight w:val="412" w:hRule="exact"/>
        </w:trPr>
        <w:tc>
          <w:tcPr>
            <w:tcW w:w="557" w:type="dxa"/>
            <w:tcBorders>
              <w:top w:val="nil" w:sz="6" w:space="0" w:color="auto"/>
              <w:left w:val="nil" w:sz="6" w:space="0" w:color="auto"/>
              <w:bottom w:val="nil" w:sz="6" w:space="0" w:color="auto"/>
              <w:right w:val="nil" w:sz="6" w:space="0" w:color="auto"/>
            </w:tcBorders>
          </w:tcPr>
          <w:p>
            <w:pPr/>
          </w:p>
        </w:tc>
        <w:tc>
          <w:tcPr>
            <w:tcW w:w="4392" w:type="dxa"/>
            <w:tcBorders>
              <w:top w:val="nil" w:sz="6" w:space="0" w:color="auto"/>
              <w:left w:val="nil" w:sz="6" w:space="0" w:color="auto"/>
              <w:bottom w:val="single" w:sz="4" w:space="0" w:color="000000"/>
              <w:right w:val="nil" w:sz="6" w:space="0" w:color="auto"/>
            </w:tcBorders>
          </w:tcPr>
          <w:p>
            <w:pPr>
              <w:pStyle w:val="TableParagraph"/>
              <w:spacing w:line="240" w:lineRule="auto" w:before="136"/>
              <w:ind w:left="2139" w:right="0"/>
              <w:jc w:val="left"/>
              <w:rPr>
                <w:rFonts w:ascii="黑体" w:hAnsi="黑体" w:cs="黑体" w:eastAsia="黑体" w:hint="default"/>
                <w:sz w:val="18"/>
                <w:szCs w:val="18"/>
              </w:rPr>
            </w:pPr>
            <w:r>
              <w:rPr>
                <w:rFonts w:ascii="Arial" w:hAnsi="Arial" w:cs="Arial" w:eastAsia="Arial" w:hint="default"/>
                <w:sz w:val="18"/>
                <w:szCs w:val="18"/>
              </w:rPr>
              <w:t>2009</w:t>
            </w:r>
            <w:r>
              <w:rPr>
                <w:rFonts w:ascii="黑体" w:hAnsi="黑体" w:cs="黑体" w:eastAsia="黑体" w:hint="default"/>
                <w:sz w:val="18"/>
                <w:szCs w:val="18"/>
              </w:rPr>
              <w:t>年</w:t>
            </w:r>
            <w:r>
              <w:rPr>
                <w:rFonts w:ascii="Arial" w:hAnsi="Arial" w:cs="Arial" w:eastAsia="Arial" w:hint="default"/>
                <w:sz w:val="18"/>
                <w:szCs w:val="18"/>
              </w:rPr>
              <w:t>12</w:t>
            </w:r>
            <w:r>
              <w:rPr>
                <w:rFonts w:ascii="黑体" w:hAnsi="黑体" w:cs="黑体" w:eastAsia="黑体" w:hint="default"/>
                <w:sz w:val="18"/>
                <w:szCs w:val="18"/>
              </w:rPr>
              <w:t>月</w:t>
            </w:r>
            <w:r>
              <w:rPr>
                <w:rFonts w:ascii="Arial" w:hAnsi="Arial" w:cs="Arial" w:eastAsia="Arial" w:hint="default"/>
                <w:sz w:val="18"/>
                <w:szCs w:val="18"/>
              </w:rPr>
              <w:t>31</w:t>
            </w:r>
            <w:r>
              <w:rPr>
                <w:rFonts w:ascii="黑体" w:hAnsi="黑体" w:cs="黑体" w:eastAsia="黑体" w:hint="default"/>
                <w:sz w:val="18"/>
                <w:szCs w:val="18"/>
              </w:rPr>
              <w:t>日</w:t>
            </w:r>
          </w:p>
        </w:tc>
        <w:tc>
          <w:tcPr>
            <w:tcW w:w="216"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single" w:sz="4" w:space="0" w:color="000000"/>
              <w:right w:val="nil" w:sz="6" w:space="0" w:color="auto"/>
            </w:tcBorders>
          </w:tcPr>
          <w:p>
            <w:pPr>
              <w:pStyle w:val="TableParagraph"/>
              <w:spacing w:line="240" w:lineRule="auto" w:before="136"/>
              <w:ind w:left="999" w:right="0"/>
              <w:jc w:val="left"/>
              <w:rPr>
                <w:rFonts w:ascii="黑体" w:hAnsi="黑体" w:cs="黑体" w:eastAsia="黑体" w:hint="default"/>
                <w:sz w:val="18"/>
                <w:szCs w:val="18"/>
              </w:rPr>
            </w:pPr>
            <w:r>
              <w:rPr>
                <w:rFonts w:ascii="Arial" w:hAnsi="Arial" w:cs="Arial" w:eastAsia="Arial" w:hint="default"/>
                <w:sz w:val="18"/>
                <w:szCs w:val="18"/>
              </w:rPr>
              <w:t>2008</w:t>
            </w:r>
            <w:r>
              <w:rPr>
                <w:rFonts w:ascii="黑体" w:hAnsi="黑体" w:cs="黑体" w:eastAsia="黑体" w:hint="default"/>
                <w:sz w:val="18"/>
                <w:szCs w:val="18"/>
              </w:rPr>
              <w:t>年</w:t>
            </w:r>
            <w:r>
              <w:rPr>
                <w:rFonts w:ascii="Arial" w:hAnsi="Arial" w:cs="Arial" w:eastAsia="Arial" w:hint="default"/>
                <w:sz w:val="18"/>
                <w:szCs w:val="18"/>
              </w:rPr>
              <w:t>12</w:t>
            </w:r>
            <w:r>
              <w:rPr>
                <w:rFonts w:ascii="黑体" w:hAnsi="黑体" w:cs="黑体" w:eastAsia="黑体" w:hint="default"/>
                <w:sz w:val="18"/>
                <w:szCs w:val="18"/>
              </w:rPr>
              <w:t>月</w:t>
            </w:r>
            <w:r>
              <w:rPr>
                <w:rFonts w:ascii="Arial" w:hAnsi="Arial" w:cs="Arial" w:eastAsia="Arial" w:hint="default"/>
                <w:sz w:val="18"/>
                <w:szCs w:val="18"/>
              </w:rPr>
              <w:t>31</w:t>
            </w:r>
            <w:r>
              <w:rPr>
                <w:rFonts w:ascii="黑体" w:hAnsi="黑体" w:cs="黑体" w:eastAsia="黑体" w:hint="default"/>
                <w:sz w:val="18"/>
                <w:szCs w:val="18"/>
              </w:rPr>
              <w:t>日</w:t>
            </w:r>
          </w:p>
        </w:tc>
      </w:tr>
      <w:tr>
        <w:trPr>
          <w:trHeight w:val="252" w:hRule="exact"/>
        </w:trPr>
        <w:tc>
          <w:tcPr>
            <w:tcW w:w="557" w:type="dxa"/>
            <w:tcBorders>
              <w:top w:val="nil" w:sz="6" w:space="0" w:color="auto"/>
              <w:left w:val="nil" w:sz="6" w:space="0" w:color="auto"/>
              <w:bottom w:val="nil" w:sz="6" w:space="0" w:color="auto"/>
              <w:right w:val="nil" w:sz="6" w:space="0" w:color="auto"/>
            </w:tcBorders>
          </w:tcPr>
          <w:p>
            <w:pPr/>
          </w:p>
        </w:tc>
        <w:tc>
          <w:tcPr>
            <w:tcW w:w="4392" w:type="dxa"/>
            <w:tcBorders>
              <w:top w:val="single" w:sz="4" w:space="0" w:color="000000"/>
              <w:left w:val="nil" w:sz="6" w:space="0" w:color="auto"/>
              <w:bottom w:val="nil" w:sz="6" w:space="0" w:color="auto"/>
              <w:right w:val="nil" w:sz="6" w:space="0" w:color="auto"/>
            </w:tcBorders>
          </w:tcPr>
          <w:p>
            <w:pPr>
              <w:pStyle w:val="TableParagraph"/>
              <w:tabs>
                <w:tab w:pos="1695" w:val="left" w:leader="none"/>
              </w:tabs>
              <w:spacing w:line="221" w:lineRule="exact"/>
              <w:ind w:right="22"/>
              <w:jc w:val="right"/>
              <w:rPr>
                <w:rFonts w:ascii="黑体" w:hAnsi="黑体" w:cs="黑体" w:eastAsia="黑体" w:hint="default"/>
                <w:sz w:val="18"/>
                <w:szCs w:val="18"/>
              </w:rPr>
            </w:pPr>
            <w:r>
              <w:rPr>
                <w:rFonts w:ascii="黑体" w:hAnsi="黑体" w:cs="黑体" w:eastAsia="黑体" w:hint="default"/>
                <w:sz w:val="18"/>
                <w:szCs w:val="18"/>
              </w:rPr>
              <w:t>账面金额</w:t>
              <w:tab/>
              <w:t>坏账准备</w:t>
            </w:r>
          </w:p>
        </w:tc>
        <w:tc>
          <w:tcPr>
            <w:tcW w:w="216" w:type="dxa"/>
            <w:tcBorders>
              <w:top w:val="nil" w:sz="6" w:space="0" w:color="auto"/>
              <w:left w:val="nil" w:sz="6" w:space="0" w:color="auto"/>
              <w:bottom w:val="nil" w:sz="6" w:space="0" w:color="auto"/>
              <w:right w:val="nil" w:sz="6" w:space="0" w:color="auto"/>
            </w:tcBorders>
          </w:tcPr>
          <w:p>
            <w:pPr/>
          </w:p>
        </w:tc>
        <w:tc>
          <w:tcPr>
            <w:tcW w:w="3411" w:type="dxa"/>
            <w:tcBorders>
              <w:top w:val="single" w:sz="4" w:space="0" w:color="000000"/>
              <w:left w:val="nil" w:sz="6" w:space="0" w:color="auto"/>
              <w:bottom w:val="nil" w:sz="6" w:space="0" w:color="auto"/>
              <w:right w:val="nil" w:sz="6" w:space="0" w:color="auto"/>
            </w:tcBorders>
          </w:tcPr>
          <w:p>
            <w:pPr>
              <w:pStyle w:val="TableParagraph"/>
              <w:tabs>
                <w:tab w:pos="1892" w:val="left" w:leader="none"/>
              </w:tabs>
              <w:spacing w:line="221" w:lineRule="exact"/>
              <w:ind w:right="59"/>
              <w:jc w:val="right"/>
              <w:rPr>
                <w:rFonts w:ascii="黑体" w:hAnsi="黑体" w:cs="黑体" w:eastAsia="黑体" w:hint="default"/>
                <w:sz w:val="18"/>
                <w:szCs w:val="18"/>
              </w:rPr>
            </w:pPr>
            <w:r>
              <w:rPr>
                <w:rFonts w:ascii="黑体" w:hAnsi="黑体" w:cs="黑体" w:eastAsia="黑体" w:hint="default"/>
                <w:sz w:val="18"/>
                <w:szCs w:val="18"/>
              </w:rPr>
              <w:t>账面金额</w:t>
              <w:tab/>
              <w:t>坏账准备</w:t>
            </w:r>
          </w:p>
        </w:tc>
      </w:tr>
      <w:tr>
        <w:trPr>
          <w:trHeight w:val="233" w:hRule="exact"/>
        </w:trPr>
        <w:tc>
          <w:tcPr>
            <w:tcW w:w="557" w:type="dxa"/>
            <w:tcBorders>
              <w:top w:val="nil" w:sz="6" w:space="0" w:color="auto"/>
              <w:left w:val="nil" w:sz="6" w:space="0" w:color="auto"/>
              <w:bottom w:val="nil" w:sz="6" w:space="0" w:color="auto"/>
              <w:right w:val="nil" w:sz="6" w:space="0" w:color="auto"/>
            </w:tcBorders>
          </w:tcPr>
          <w:p>
            <w:pPr/>
          </w:p>
        </w:tc>
        <w:tc>
          <w:tcPr>
            <w:tcW w:w="4392" w:type="dxa"/>
            <w:tcBorders>
              <w:top w:val="nil" w:sz="6" w:space="0" w:color="auto"/>
              <w:left w:val="nil" w:sz="6" w:space="0" w:color="auto"/>
              <w:bottom w:val="nil" w:sz="6" w:space="0" w:color="auto"/>
              <w:right w:val="nil" w:sz="6" w:space="0" w:color="auto"/>
            </w:tcBorders>
          </w:tcPr>
          <w:p>
            <w:pPr>
              <w:pStyle w:val="TableParagraph"/>
              <w:spacing w:line="206" w:lineRule="exact"/>
              <w:ind w:right="23"/>
              <w:jc w:val="right"/>
              <w:rPr>
                <w:rFonts w:ascii="黑体" w:hAnsi="黑体" w:cs="黑体" w:eastAsia="黑体" w:hint="default"/>
                <w:sz w:val="18"/>
                <w:szCs w:val="18"/>
              </w:rPr>
            </w:pPr>
            <w:r>
              <w:rPr>
                <w:rFonts w:ascii="黑体" w:hAnsi="黑体" w:cs="黑体" w:eastAsia="黑体" w:hint="default"/>
                <w:sz w:val="18"/>
                <w:szCs w:val="18"/>
              </w:rPr>
              <w:t>计提</w:t>
            </w:r>
          </w:p>
        </w:tc>
        <w:tc>
          <w:tcPr>
            <w:tcW w:w="216"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Style w:val="TableParagraph"/>
              <w:spacing w:line="206" w:lineRule="exact"/>
              <w:ind w:right="59"/>
              <w:jc w:val="right"/>
              <w:rPr>
                <w:rFonts w:ascii="黑体" w:hAnsi="黑体" w:cs="黑体" w:eastAsia="黑体" w:hint="default"/>
                <w:sz w:val="18"/>
                <w:szCs w:val="18"/>
              </w:rPr>
            </w:pPr>
            <w:r>
              <w:rPr>
                <w:rFonts w:ascii="黑体" w:hAnsi="黑体" w:cs="黑体" w:eastAsia="黑体" w:hint="default"/>
                <w:sz w:val="18"/>
                <w:szCs w:val="18"/>
              </w:rPr>
              <w:t>计提</w:t>
            </w:r>
          </w:p>
        </w:tc>
      </w:tr>
      <w:tr>
        <w:trPr>
          <w:trHeight w:val="249" w:hRule="exact"/>
        </w:trPr>
        <w:tc>
          <w:tcPr>
            <w:tcW w:w="557" w:type="dxa"/>
            <w:tcBorders>
              <w:top w:val="nil" w:sz="6" w:space="0" w:color="auto"/>
              <w:left w:val="nil" w:sz="6" w:space="0" w:color="auto"/>
              <w:bottom w:val="nil" w:sz="6" w:space="0" w:color="auto"/>
              <w:right w:val="nil" w:sz="6" w:space="0" w:color="auto"/>
            </w:tcBorders>
          </w:tcPr>
          <w:p>
            <w:pPr/>
          </w:p>
        </w:tc>
        <w:tc>
          <w:tcPr>
            <w:tcW w:w="4392" w:type="dxa"/>
            <w:tcBorders>
              <w:top w:val="nil" w:sz="6" w:space="0" w:color="auto"/>
              <w:left w:val="nil" w:sz="6" w:space="0" w:color="auto"/>
              <w:bottom w:val="nil" w:sz="6" w:space="0" w:color="auto"/>
              <w:right w:val="nil" w:sz="6" w:space="0" w:color="auto"/>
            </w:tcBorders>
          </w:tcPr>
          <w:p>
            <w:pPr>
              <w:pStyle w:val="TableParagraph"/>
              <w:tabs>
                <w:tab w:pos="1630" w:val="left" w:leader="none"/>
              </w:tabs>
              <w:spacing w:line="207" w:lineRule="exact"/>
              <w:ind w:right="23"/>
              <w:jc w:val="right"/>
              <w:rPr>
                <w:rFonts w:ascii="黑体" w:hAnsi="黑体" w:cs="黑体" w:eastAsia="黑体" w:hint="default"/>
                <w:sz w:val="18"/>
                <w:szCs w:val="18"/>
              </w:rPr>
            </w:pPr>
            <w:r>
              <w:rPr>
                <w:rFonts w:ascii="黑体" w:hAnsi="黑体" w:cs="黑体" w:eastAsia="黑体" w:hint="default"/>
                <w:sz w:val="18"/>
                <w:szCs w:val="18"/>
              </w:rPr>
              <w:t>金额</w:t>
            </w:r>
            <w:r>
              <w:rPr>
                <w:rFonts w:ascii="黑体" w:hAnsi="黑体" w:cs="黑体" w:eastAsia="黑体" w:hint="default"/>
                <w:spacing w:val="44"/>
                <w:sz w:val="18"/>
                <w:szCs w:val="18"/>
              </w:rPr>
              <w:t> </w:t>
            </w:r>
            <w:r>
              <w:rPr>
                <w:rFonts w:ascii="黑体" w:hAnsi="黑体" w:cs="黑体" w:eastAsia="黑体" w:hint="default"/>
                <w:sz w:val="18"/>
                <w:szCs w:val="18"/>
              </w:rPr>
              <w:t>比例</w:t>
              <w:tab/>
              <w:t>金额 </w:t>
            </w:r>
            <w:r>
              <w:rPr>
                <w:rFonts w:ascii="黑体" w:hAnsi="黑体" w:cs="黑体" w:eastAsia="黑体" w:hint="default"/>
                <w:spacing w:val="19"/>
                <w:sz w:val="18"/>
                <w:szCs w:val="18"/>
              </w:rPr>
              <w:t> </w:t>
            </w:r>
            <w:r>
              <w:rPr>
                <w:rFonts w:ascii="黑体" w:hAnsi="黑体" w:cs="黑体" w:eastAsia="黑体" w:hint="default"/>
                <w:sz w:val="18"/>
                <w:szCs w:val="18"/>
              </w:rPr>
              <w:t>比例</w:t>
            </w:r>
          </w:p>
        </w:tc>
        <w:tc>
          <w:tcPr>
            <w:tcW w:w="216"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Style w:val="TableParagraph"/>
              <w:tabs>
                <w:tab w:pos="1736" w:val="left" w:leader="none"/>
                <w:tab w:pos="2428" w:val="left" w:leader="none"/>
              </w:tabs>
              <w:spacing w:line="207" w:lineRule="exact"/>
              <w:ind w:right="59"/>
              <w:jc w:val="right"/>
              <w:rPr>
                <w:rFonts w:ascii="黑体" w:hAnsi="黑体" w:cs="黑体" w:eastAsia="黑体" w:hint="default"/>
                <w:sz w:val="18"/>
                <w:szCs w:val="18"/>
              </w:rPr>
            </w:pPr>
            <w:r>
              <w:rPr>
                <w:rFonts w:ascii="黑体" w:hAnsi="黑体" w:cs="黑体" w:eastAsia="黑体" w:hint="default"/>
                <w:sz w:val="18"/>
                <w:szCs w:val="18"/>
              </w:rPr>
              <w:t>金额</w:t>
            </w:r>
            <w:r>
              <w:rPr>
                <w:rFonts w:ascii="黑体" w:hAnsi="黑体" w:cs="黑体" w:eastAsia="黑体" w:hint="default"/>
                <w:spacing w:val="86"/>
                <w:sz w:val="18"/>
                <w:szCs w:val="18"/>
              </w:rPr>
              <w:t> </w:t>
            </w:r>
            <w:r>
              <w:rPr>
                <w:rFonts w:ascii="黑体" w:hAnsi="黑体" w:cs="黑体" w:eastAsia="黑体" w:hint="default"/>
                <w:sz w:val="18"/>
                <w:szCs w:val="18"/>
              </w:rPr>
              <w:t>比例</w:t>
              <w:tab/>
              <w:t>金额</w:t>
              <w:tab/>
              <w:t>比例</w:t>
            </w:r>
          </w:p>
        </w:tc>
      </w:tr>
      <w:tr>
        <w:trPr>
          <w:trHeight w:val="247" w:hRule="exact"/>
        </w:trPr>
        <w:tc>
          <w:tcPr>
            <w:tcW w:w="557" w:type="dxa"/>
            <w:tcBorders>
              <w:top w:val="nil" w:sz="6" w:space="0" w:color="auto"/>
              <w:left w:val="nil" w:sz="6" w:space="0" w:color="auto"/>
              <w:bottom w:val="nil" w:sz="6" w:space="0" w:color="auto"/>
              <w:right w:val="nil" w:sz="6" w:space="0" w:color="auto"/>
            </w:tcBorders>
          </w:tcPr>
          <w:p>
            <w:pPr/>
          </w:p>
        </w:tc>
        <w:tc>
          <w:tcPr>
            <w:tcW w:w="4392" w:type="dxa"/>
            <w:tcBorders>
              <w:top w:val="nil" w:sz="6" w:space="0" w:color="auto"/>
              <w:left w:val="nil" w:sz="6" w:space="0" w:color="auto"/>
              <w:bottom w:val="nil" w:sz="6" w:space="0" w:color="auto"/>
              <w:right w:val="nil" w:sz="6" w:space="0" w:color="auto"/>
            </w:tcBorders>
          </w:tcPr>
          <w:p>
            <w:pPr>
              <w:pStyle w:val="TableParagraph"/>
              <w:tabs>
                <w:tab w:pos="1694" w:val="left" w:leader="none"/>
              </w:tabs>
              <w:spacing w:line="240" w:lineRule="auto" w:before="19"/>
              <w:ind w:right="0"/>
              <w:jc w:val="right"/>
              <w:rPr>
                <w:rFonts w:ascii="Arial" w:hAnsi="Arial" w:cs="Arial" w:eastAsia="Arial" w:hint="default"/>
                <w:sz w:val="18"/>
                <w:szCs w:val="18"/>
              </w:rPr>
            </w:pPr>
            <w:r>
              <w:rPr>
                <w:rFonts w:ascii="Arial"/>
                <w:spacing w:val="-1"/>
                <w:sz w:val="18"/>
              </w:rPr>
              <w:t>(%)</w:t>
              <w:tab/>
              <w:t>(%)</w:t>
            </w:r>
          </w:p>
        </w:tc>
        <w:tc>
          <w:tcPr>
            <w:tcW w:w="216"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Style w:val="TableParagraph"/>
              <w:tabs>
                <w:tab w:pos="1893" w:val="left" w:leader="none"/>
              </w:tabs>
              <w:spacing w:line="240" w:lineRule="auto" w:before="19"/>
              <w:ind w:right="33"/>
              <w:jc w:val="right"/>
              <w:rPr>
                <w:rFonts w:ascii="Arial" w:hAnsi="Arial" w:cs="Arial" w:eastAsia="Arial" w:hint="default"/>
                <w:sz w:val="18"/>
                <w:szCs w:val="18"/>
              </w:rPr>
            </w:pPr>
            <w:r>
              <w:rPr>
                <w:rFonts w:ascii="Arial"/>
                <w:spacing w:val="-1"/>
                <w:sz w:val="18"/>
              </w:rPr>
              <w:t>(%)</w:t>
              <w:tab/>
              <w:t>(%)</w:t>
            </w:r>
          </w:p>
        </w:tc>
      </w:tr>
      <w:tr>
        <w:trPr>
          <w:trHeight w:val="465" w:hRule="exact"/>
        </w:trPr>
        <w:tc>
          <w:tcPr>
            <w:tcW w:w="557" w:type="dxa"/>
            <w:tcBorders>
              <w:top w:val="nil" w:sz="6" w:space="0" w:color="auto"/>
              <w:left w:val="nil" w:sz="6" w:space="0" w:color="auto"/>
              <w:bottom w:val="nil" w:sz="6" w:space="0" w:color="auto"/>
              <w:right w:val="nil" w:sz="6" w:space="0" w:color="auto"/>
            </w:tcBorders>
          </w:tcPr>
          <w:p>
            <w:pPr/>
          </w:p>
        </w:tc>
        <w:tc>
          <w:tcPr>
            <w:tcW w:w="4392" w:type="dxa"/>
            <w:tcBorders>
              <w:top w:val="nil" w:sz="6" w:space="0" w:color="auto"/>
              <w:left w:val="nil" w:sz="6" w:space="0" w:color="auto"/>
              <w:bottom w:val="nil" w:sz="6" w:space="0" w:color="auto"/>
              <w:right w:val="nil" w:sz="6" w:space="0" w:color="auto"/>
            </w:tcBorders>
          </w:tcPr>
          <w:p>
            <w:pPr>
              <w:pStyle w:val="TableParagraph"/>
              <w:tabs>
                <w:tab w:pos="2471" w:val="left" w:leader="none"/>
                <w:tab w:pos="3747" w:val="left" w:leader="none"/>
                <w:tab w:pos="4306" w:val="left" w:leader="none"/>
              </w:tabs>
              <w:spacing w:line="217" w:lineRule="exact"/>
              <w:ind w:left="187" w:right="0"/>
              <w:jc w:val="left"/>
              <w:rPr>
                <w:rFonts w:ascii="Arial" w:hAnsi="Arial" w:cs="Arial" w:eastAsia="Arial" w:hint="default"/>
                <w:sz w:val="18"/>
                <w:szCs w:val="18"/>
              </w:rPr>
            </w:pPr>
            <w:r>
              <w:rPr>
                <w:rFonts w:ascii="黑体" w:hAnsi="黑体" w:cs="黑体" w:eastAsia="黑体" w:hint="default"/>
                <w:position w:val="1"/>
                <w:sz w:val="18"/>
                <w:szCs w:val="18"/>
              </w:rPr>
              <w:t>单项金额重大</w:t>
            </w:r>
            <w:r>
              <w:rPr>
                <w:rFonts w:ascii="黑体" w:hAnsi="黑体" w:cs="黑体" w:eastAsia="黑体" w:hint="default"/>
                <w:spacing w:val="21"/>
                <w:position w:val="1"/>
                <w:sz w:val="18"/>
                <w:szCs w:val="18"/>
              </w:rPr>
              <w:t> </w:t>
            </w:r>
            <w:r>
              <w:rPr>
                <w:rFonts w:ascii="Arial" w:hAnsi="Arial" w:cs="Arial" w:eastAsia="Arial" w:hint="default"/>
                <w:spacing w:val="-1"/>
                <w:sz w:val="18"/>
                <w:szCs w:val="18"/>
              </w:rPr>
              <w:t>7,057,973</w:t>
              <w:tab/>
              <w:t>17</w:t>
              <w:tab/>
            </w:r>
            <w:r>
              <w:rPr>
                <w:rFonts w:ascii="Arial" w:hAnsi="Arial" w:cs="Arial" w:eastAsia="Arial" w:hint="default"/>
                <w:sz w:val="18"/>
                <w:szCs w:val="18"/>
              </w:rPr>
              <w:t>-</w:t>
              <w:tab/>
              <w:t>-</w:t>
            </w:r>
          </w:p>
          <w:p>
            <w:pPr>
              <w:pStyle w:val="TableParagraph"/>
              <w:spacing w:line="222" w:lineRule="exact"/>
              <w:ind w:left="187" w:right="0"/>
              <w:jc w:val="left"/>
              <w:rPr>
                <w:rFonts w:ascii="黑体" w:hAnsi="黑体" w:cs="黑体" w:eastAsia="黑体" w:hint="default"/>
                <w:sz w:val="18"/>
                <w:szCs w:val="18"/>
              </w:rPr>
            </w:pPr>
            <w:r>
              <w:rPr>
                <w:rFonts w:ascii="黑体" w:hAnsi="黑体" w:cs="黑体" w:eastAsia="黑体" w:hint="default"/>
                <w:sz w:val="18"/>
                <w:szCs w:val="18"/>
              </w:rPr>
              <w:t>单项金额不重</w:t>
            </w:r>
          </w:p>
        </w:tc>
        <w:tc>
          <w:tcPr>
            <w:tcW w:w="216"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Style w:val="TableParagraph"/>
              <w:tabs>
                <w:tab w:pos="1257" w:val="left" w:leader="none"/>
                <w:tab w:pos="1857" w:val="left" w:leader="none"/>
                <w:tab w:pos="3248" w:val="left" w:leader="none"/>
              </w:tabs>
              <w:spacing w:line="240" w:lineRule="auto" w:before="24"/>
              <w:ind w:left="20" w:right="0"/>
              <w:jc w:val="left"/>
              <w:rPr>
                <w:rFonts w:ascii="Arial" w:hAnsi="Arial" w:cs="Arial" w:eastAsia="Arial" w:hint="default"/>
                <w:sz w:val="18"/>
                <w:szCs w:val="18"/>
              </w:rPr>
            </w:pPr>
            <w:r>
              <w:rPr>
                <w:rFonts w:ascii="Arial"/>
                <w:spacing w:val="-1"/>
                <w:sz w:val="18"/>
              </w:rPr>
              <w:t>41,383,592</w:t>
              <w:tab/>
              <w:t>46</w:t>
              <w:tab/>
              <w:t>1,500,000</w:t>
              <w:tab/>
            </w:r>
            <w:r>
              <w:rPr>
                <w:rFonts w:ascii="Arial"/>
                <w:sz w:val="18"/>
              </w:rPr>
              <w:t>4</w:t>
            </w:r>
          </w:p>
        </w:tc>
      </w:tr>
      <w:tr>
        <w:trPr>
          <w:trHeight w:val="233" w:hRule="exact"/>
        </w:trPr>
        <w:tc>
          <w:tcPr>
            <w:tcW w:w="557" w:type="dxa"/>
            <w:tcBorders>
              <w:top w:val="nil" w:sz="6" w:space="0" w:color="auto"/>
              <w:left w:val="nil" w:sz="6" w:space="0" w:color="auto"/>
              <w:bottom w:val="nil" w:sz="6" w:space="0" w:color="auto"/>
              <w:right w:val="nil" w:sz="6" w:space="0" w:color="auto"/>
            </w:tcBorders>
          </w:tcPr>
          <w:p>
            <w:pPr/>
          </w:p>
        </w:tc>
        <w:tc>
          <w:tcPr>
            <w:tcW w:w="4392" w:type="dxa"/>
            <w:tcBorders>
              <w:top w:val="nil" w:sz="6" w:space="0" w:color="auto"/>
              <w:left w:val="nil" w:sz="6" w:space="0" w:color="auto"/>
              <w:bottom w:val="nil" w:sz="6" w:space="0" w:color="auto"/>
              <w:right w:val="nil" w:sz="6" w:space="0" w:color="auto"/>
            </w:tcBorders>
          </w:tcPr>
          <w:p>
            <w:pPr>
              <w:pStyle w:val="TableParagraph"/>
              <w:spacing w:line="206" w:lineRule="exact"/>
              <w:ind w:left="295" w:right="0"/>
              <w:jc w:val="left"/>
              <w:rPr>
                <w:rFonts w:ascii="黑体" w:hAnsi="黑体" w:cs="黑体" w:eastAsia="黑体" w:hint="default"/>
                <w:sz w:val="18"/>
                <w:szCs w:val="18"/>
              </w:rPr>
            </w:pPr>
            <w:r>
              <w:rPr>
                <w:rFonts w:ascii="黑体" w:hAnsi="黑体" w:cs="黑体" w:eastAsia="黑体" w:hint="default"/>
                <w:spacing w:val="14"/>
                <w:sz w:val="18"/>
                <w:szCs w:val="18"/>
              </w:rPr>
              <w:t>大但按信用</w:t>
            </w:r>
            <w:r>
              <w:rPr>
                <w:rFonts w:ascii="黑体" w:hAnsi="黑体" w:cs="黑体" w:eastAsia="黑体" w:hint="default"/>
                <w:spacing w:val="-71"/>
                <w:sz w:val="18"/>
                <w:szCs w:val="18"/>
              </w:rPr>
              <w:t> </w:t>
            </w:r>
            <w:r>
              <w:rPr>
                <w:rFonts w:ascii="黑体" w:hAnsi="黑体" w:cs="黑体" w:eastAsia="黑体" w:hint="default"/>
                <w:sz w:val="18"/>
                <w:szCs w:val="18"/>
              </w:rPr>
            </w:r>
          </w:p>
        </w:tc>
        <w:tc>
          <w:tcPr>
            <w:tcW w:w="216"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
        </w:tc>
      </w:tr>
      <w:tr>
        <w:trPr>
          <w:trHeight w:val="233" w:hRule="exact"/>
        </w:trPr>
        <w:tc>
          <w:tcPr>
            <w:tcW w:w="557" w:type="dxa"/>
            <w:tcBorders>
              <w:top w:val="nil" w:sz="6" w:space="0" w:color="auto"/>
              <w:left w:val="nil" w:sz="6" w:space="0" w:color="auto"/>
              <w:bottom w:val="nil" w:sz="6" w:space="0" w:color="auto"/>
              <w:right w:val="nil" w:sz="6" w:space="0" w:color="auto"/>
            </w:tcBorders>
          </w:tcPr>
          <w:p>
            <w:pPr/>
          </w:p>
        </w:tc>
        <w:tc>
          <w:tcPr>
            <w:tcW w:w="4392" w:type="dxa"/>
            <w:tcBorders>
              <w:top w:val="nil" w:sz="6" w:space="0" w:color="auto"/>
              <w:left w:val="nil" w:sz="6" w:space="0" w:color="auto"/>
              <w:bottom w:val="nil" w:sz="6" w:space="0" w:color="auto"/>
              <w:right w:val="nil" w:sz="6" w:space="0" w:color="auto"/>
            </w:tcBorders>
          </w:tcPr>
          <w:p>
            <w:pPr>
              <w:pStyle w:val="TableParagraph"/>
              <w:spacing w:line="207" w:lineRule="exact"/>
              <w:ind w:left="295" w:right="0"/>
              <w:jc w:val="left"/>
              <w:rPr>
                <w:rFonts w:ascii="黑体" w:hAnsi="黑体" w:cs="黑体" w:eastAsia="黑体" w:hint="default"/>
                <w:sz w:val="18"/>
                <w:szCs w:val="18"/>
              </w:rPr>
            </w:pPr>
            <w:r>
              <w:rPr>
                <w:rFonts w:ascii="黑体" w:hAnsi="黑体" w:cs="黑体" w:eastAsia="黑体" w:hint="default"/>
                <w:spacing w:val="14"/>
                <w:sz w:val="18"/>
                <w:szCs w:val="18"/>
              </w:rPr>
              <w:t>风险特征组</w:t>
            </w:r>
            <w:r>
              <w:rPr>
                <w:rFonts w:ascii="黑体" w:hAnsi="黑体" w:cs="黑体" w:eastAsia="黑体" w:hint="default"/>
                <w:spacing w:val="-71"/>
                <w:sz w:val="18"/>
                <w:szCs w:val="18"/>
              </w:rPr>
              <w:t> </w:t>
            </w:r>
            <w:r>
              <w:rPr>
                <w:rFonts w:ascii="黑体" w:hAnsi="黑体" w:cs="黑体" w:eastAsia="黑体" w:hint="default"/>
                <w:sz w:val="18"/>
                <w:szCs w:val="18"/>
              </w:rPr>
            </w:r>
          </w:p>
        </w:tc>
        <w:tc>
          <w:tcPr>
            <w:tcW w:w="216"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
        </w:tc>
      </w:tr>
      <w:tr>
        <w:trPr>
          <w:trHeight w:val="233" w:hRule="exact"/>
        </w:trPr>
        <w:tc>
          <w:tcPr>
            <w:tcW w:w="557" w:type="dxa"/>
            <w:tcBorders>
              <w:top w:val="nil" w:sz="6" w:space="0" w:color="auto"/>
              <w:left w:val="nil" w:sz="6" w:space="0" w:color="auto"/>
              <w:bottom w:val="nil" w:sz="6" w:space="0" w:color="auto"/>
              <w:right w:val="nil" w:sz="6" w:space="0" w:color="auto"/>
            </w:tcBorders>
          </w:tcPr>
          <w:p>
            <w:pPr/>
          </w:p>
        </w:tc>
        <w:tc>
          <w:tcPr>
            <w:tcW w:w="4392" w:type="dxa"/>
            <w:tcBorders>
              <w:top w:val="nil" w:sz="6" w:space="0" w:color="auto"/>
              <w:left w:val="nil" w:sz="6" w:space="0" w:color="auto"/>
              <w:bottom w:val="nil" w:sz="6" w:space="0" w:color="auto"/>
              <w:right w:val="nil" w:sz="6" w:space="0" w:color="auto"/>
            </w:tcBorders>
          </w:tcPr>
          <w:p>
            <w:pPr>
              <w:pStyle w:val="TableParagraph"/>
              <w:spacing w:line="206" w:lineRule="exact"/>
              <w:ind w:left="295" w:right="0"/>
              <w:jc w:val="left"/>
              <w:rPr>
                <w:rFonts w:ascii="黑体" w:hAnsi="黑体" w:cs="黑体" w:eastAsia="黑体" w:hint="default"/>
                <w:sz w:val="18"/>
                <w:szCs w:val="18"/>
              </w:rPr>
            </w:pPr>
            <w:r>
              <w:rPr>
                <w:rFonts w:ascii="黑体" w:hAnsi="黑体" w:cs="黑体" w:eastAsia="黑体" w:hint="default"/>
                <w:spacing w:val="14"/>
                <w:sz w:val="18"/>
                <w:szCs w:val="18"/>
              </w:rPr>
              <w:t>合后风险较</w:t>
            </w:r>
            <w:r>
              <w:rPr>
                <w:rFonts w:ascii="黑体" w:hAnsi="黑体" w:cs="黑体" w:eastAsia="黑体" w:hint="default"/>
                <w:spacing w:val="-71"/>
                <w:sz w:val="18"/>
                <w:szCs w:val="18"/>
              </w:rPr>
              <w:t> </w:t>
            </w:r>
            <w:r>
              <w:rPr>
                <w:rFonts w:ascii="黑体" w:hAnsi="黑体" w:cs="黑体" w:eastAsia="黑体" w:hint="default"/>
                <w:sz w:val="18"/>
                <w:szCs w:val="18"/>
              </w:rPr>
            </w:r>
          </w:p>
        </w:tc>
        <w:tc>
          <w:tcPr>
            <w:tcW w:w="216"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
        </w:tc>
      </w:tr>
      <w:tr>
        <w:trPr>
          <w:trHeight w:val="255" w:hRule="exact"/>
        </w:trPr>
        <w:tc>
          <w:tcPr>
            <w:tcW w:w="557" w:type="dxa"/>
            <w:tcBorders>
              <w:top w:val="nil" w:sz="6" w:space="0" w:color="auto"/>
              <w:left w:val="nil" w:sz="6" w:space="0" w:color="auto"/>
              <w:bottom w:val="nil" w:sz="6" w:space="0" w:color="auto"/>
              <w:right w:val="nil" w:sz="6" w:space="0" w:color="auto"/>
            </w:tcBorders>
          </w:tcPr>
          <w:p>
            <w:pPr/>
          </w:p>
        </w:tc>
        <w:tc>
          <w:tcPr>
            <w:tcW w:w="4392" w:type="dxa"/>
            <w:tcBorders>
              <w:top w:val="nil" w:sz="6" w:space="0" w:color="auto"/>
              <w:left w:val="nil" w:sz="6" w:space="0" w:color="auto"/>
              <w:bottom w:val="nil" w:sz="6" w:space="0" w:color="auto"/>
              <w:right w:val="nil" w:sz="6" w:space="0" w:color="auto"/>
            </w:tcBorders>
          </w:tcPr>
          <w:p>
            <w:pPr>
              <w:pStyle w:val="TableParagraph"/>
              <w:tabs>
                <w:tab w:pos="981" w:val="left" w:leader="none"/>
                <w:tab w:pos="2176" w:val="left" w:leader="none"/>
                <w:tab w:pos="2713" w:val="left" w:leader="none"/>
                <w:tab w:pos="3871" w:val="left" w:leader="none"/>
              </w:tabs>
              <w:spacing w:line="233" w:lineRule="exact"/>
              <w:ind w:right="23"/>
              <w:jc w:val="right"/>
              <w:rPr>
                <w:rFonts w:ascii="Arial" w:hAnsi="Arial" w:cs="Arial" w:eastAsia="Arial" w:hint="default"/>
                <w:sz w:val="18"/>
                <w:szCs w:val="18"/>
              </w:rPr>
            </w:pPr>
            <w:r>
              <w:rPr>
                <w:rFonts w:ascii="黑体" w:hAnsi="黑体" w:cs="黑体" w:eastAsia="黑体" w:hint="default"/>
                <w:position w:val="1"/>
                <w:sz w:val="18"/>
                <w:szCs w:val="18"/>
              </w:rPr>
              <w:t>大</w:t>
              <w:tab/>
            </w:r>
            <w:r>
              <w:rPr>
                <w:rFonts w:ascii="Arial" w:hAnsi="Arial" w:cs="Arial" w:eastAsia="Arial" w:hint="default"/>
                <w:spacing w:val="-1"/>
                <w:sz w:val="18"/>
                <w:szCs w:val="18"/>
              </w:rPr>
              <w:t>17,185,947</w:t>
              <w:tab/>
              <w:t>41</w:t>
              <w:tab/>
              <w:t>2,983,177</w:t>
              <w:tab/>
              <w:t>17</w:t>
            </w:r>
          </w:p>
        </w:tc>
        <w:tc>
          <w:tcPr>
            <w:tcW w:w="216"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Style w:val="TableParagraph"/>
              <w:tabs>
                <w:tab w:pos="1256" w:val="left" w:leader="none"/>
                <w:tab w:pos="1856" w:val="left" w:leader="none"/>
                <w:tab w:pos="3147" w:val="left" w:leader="none"/>
              </w:tabs>
              <w:spacing w:line="240" w:lineRule="auto" w:before="26"/>
              <w:ind w:left="20" w:right="0"/>
              <w:jc w:val="left"/>
              <w:rPr>
                <w:rFonts w:ascii="Arial" w:hAnsi="Arial" w:cs="Arial" w:eastAsia="Arial" w:hint="default"/>
                <w:sz w:val="18"/>
                <w:szCs w:val="18"/>
              </w:rPr>
            </w:pPr>
            <w:r>
              <w:rPr>
                <w:rFonts w:ascii="Arial"/>
                <w:spacing w:val="-1"/>
                <w:sz w:val="18"/>
              </w:rPr>
              <w:t>13,426,993</w:t>
              <w:tab/>
              <w:t>15</w:t>
              <w:tab/>
              <w:t>3,582,959</w:t>
              <w:tab/>
              <w:t>27</w:t>
            </w:r>
            <w:r>
              <w:rPr>
                <w:rFonts w:ascii="Arial"/>
                <w:sz w:val="18"/>
              </w:rPr>
            </w:r>
          </w:p>
        </w:tc>
      </w:tr>
      <w:tr>
        <w:trPr>
          <w:trHeight w:val="393" w:hRule="exact"/>
        </w:trPr>
        <w:tc>
          <w:tcPr>
            <w:tcW w:w="557" w:type="dxa"/>
            <w:tcBorders>
              <w:top w:val="nil" w:sz="6" w:space="0" w:color="auto"/>
              <w:left w:val="nil" w:sz="6" w:space="0" w:color="auto"/>
              <w:bottom w:val="nil" w:sz="6" w:space="0" w:color="auto"/>
              <w:right w:val="nil" w:sz="6" w:space="0" w:color="auto"/>
            </w:tcBorders>
          </w:tcPr>
          <w:p>
            <w:pPr/>
          </w:p>
        </w:tc>
        <w:tc>
          <w:tcPr>
            <w:tcW w:w="4392" w:type="dxa"/>
            <w:tcBorders>
              <w:top w:val="nil" w:sz="6" w:space="0" w:color="auto"/>
              <w:left w:val="nil" w:sz="6" w:space="0" w:color="auto"/>
              <w:bottom w:val="nil" w:sz="6" w:space="0" w:color="auto"/>
              <w:right w:val="nil" w:sz="6" w:space="0" w:color="auto"/>
            </w:tcBorders>
          </w:tcPr>
          <w:p>
            <w:pPr>
              <w:pStyle w:val="TableParagraph"/>
              <w:tabs>
                <w:tab w:pos="2194" w:val="left" w:leader="none"/>
                <w:tab w:pos="2800" w:val="left" w:leader="none"/>
                <w:tab w:pos="3071" w:val="left" w:leader="none"/>
                <w:tab w:pos="3974" w:val="left" w:leader="none"/>
              </w:tabs>
              <w:spacing w:line="232" w:lineRule="exact"/>
              <w:ind w:right="22"/>
              <w:jc w:val="right"/>
              <w:rPr>
                <w:rFonts w:ascii="Arial" w:hAnsi="Arial" w:cs="Arial" w:eastAsia="Arial" w:hint="default"/>
                <w:sz w:val="18"/>
                <w:szCs w:val="18"/>
              </w:rPr>
            </w:pPr>
            <w:r>
              <w:rPr>
                <w:rFonts w:ascii="黑体" w:hAnsi="黑体" w:cs="黑体" w:eastAsia="黑体" w:hint="default"/>
                <w:position w:val="1"/>
                <w:sz w:val="18"/>
                <w:szCs w:val="18"/>
              </w:rPr>
              <w:t>其他不重大 </w:t>
            </w:r>
            <w:r>
              <w:rPr>
                <w:rFonts w:ascii="黑体" w:hAnsi="黑体" w:cs="黑体" w:eastAsia="黑体" w:hint="default"/>
                <w:spacing w:val="11"/>
                <w:position w:val="1"/>
                <w:sz w:val="18"/>
                <w:szCs w:val="18"/>
              </w:rPr>
              <w:t> </w:t>
            </w:r>
            <w:r>
              <w:rPr>
                <w:rFonts w:ascii="Arial" w:hAnsi="Arial" w:cs="Arial" w:eastAsia="Arial" w:hint="default"/>
                <w:spacing w:val="11"/>
                <w:sz w:val="18"/>
                <w:szCs w:val="18"/>
              </w:rPr>
            </w:r>
            <w:r>
              <w:rPr>
                <w:rFonts w:ascii="Arial" w:hAnsi="Arial" w:cs="Arial" w:eastAsia="Arial" w:hint="default"/>
                <w:spacing w:val="-1"/>
                <w:sz w:val="18"/>
                <w:szCs w:val="18"/>
                <w:u w:val="single" w:color="000000"/>
              </w:rPr>
              <w:t>17,888,497</w:t>
            </w:r>
            <w:r>
              <w:rPr>
                <w:rFonts w:ascii="Arial" w:hAnsi="Arial" w:cs="Arial" w:eastAsia="Arial" w:hint="default"/>
                <w:spacing w:val="-1"/>
                <w:sz w:val="18"/>
                <w:szCs w:val="18"/>
              </w:rPr>
              <w:tab/>
            </w:r>
            <w:r>
              <w:rPr>
                <w:rFonts w:ascii="Arial" w:hAnsi="Arial" w:cs="Arial" w:eastAsia="Arial" w:hint="default"/>
                <w:spacing w:val="-1"/>
                <w:sz w:val="18"/>
                <w:szCs w:val="18"/>
                <w:u w:val="single" w:color="000000"/>
              </w:rPr>
              <w:t> 42</w:t>
            </w:r>
            <w:r>
              <w:rPr>
                <w:rFonts w:ascii="Arial" w:hAnsi="Arial" w:cs="Arial" w:eastAsia="Arial" w:hint="default"/>
                <w:spacing w:val="-1"/>
                <w:sz w:val="18"/>
                <w:szCs w:val="18"/>
              </w:rPr>
              <w:tab/>
            </w:r>
            <w:r>
              <w:rPr>
                <w:rFonts w:ascii="Arial" w:hAnsi="Arial" w:cs="Arial" w:eastAsia="Arial" w:hint="default"/>
                <w:spacing w:val="-1"/>
                <w:sz w:val="18"/>
                <w:szCs w:val="18"/>
                <w:u w:val="single" w:color="000000"/>
              </w:rPr>
              <w:t> </w:t>
              <w:tab/>
              <w:t>77,979</w:t>
            </w:r>
            <w:r>
              <w:rPr>
                <w:rFonts w:ascii="Arial" w:hAnsi="Arial" w:cs="Arial" w:eastAsia="Arial" w:hint="default"/>
                <w:spacing w:val="-1"/>
                <w:sz w:val="18"/>
                <w:szCs w:val="18"/>
              </w:rPr>
              <w:tab/>
            </w:r>
            <w:r>
              <w:rPr>
                <w:rFonts w:ascii="Arial" w:hAnsi="Arial" w:cs="Arial" w:eastAsia="Arial" w:hint="default"/>
                <w:w w:val="95"/>
                <w:sz w:val="18"/>
                <w:szCs w:val="18"/>
              </w:rPr>
              <w:t>&lt;1</w:t>
            </w:r>
            <w:r>
              <w:rPr>
                <w:rFonts w:ascii="Arial" w:hAnsi="Arial" w:cs="Arial" w:eastAsia="Arial" w:hint="default"/>
                <w:sz w:val="18"/>
                <w:szCs w:val="18"/>
              </w:rPr>
            </w:r>
          </w:p>
        </w:tc>
        <w:tc>
          <w:tcPr>
            <w:tcW w:w="216"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Style w:val="TableParagraph"/>
              <w:tabs>
                <w:tab w:pos="1167" w:val="left" w:leader="none"/>
                <w:tab w:pos="1827" w:val="left" w:leader="none"/>
                <w:tab w:pos="3249" w:val="left" w:leader="none"/>
              </w:tabs>
              <w:spacing w:line="240" w:lineRule="auto" w:before="25"/>
              <w:ind w:left="20" w:right="0"/>
              <w:jc w:val="left"/>
              <w:rPr>
                <w:rFonts w:ascii="Arial" w:hAnsi="Arial" w:cs="Arial" w:eastAsia="Arial" w:hint="default"/>
                <w:sz w:val="18"/>
                <w:szCs w:val="18"/>
              </w:rPr>
            </w:pPr>
            <w:r>
              <w:rPr>
                <w:rFonts w:ascii="Arial"/>
                <w:w w:val="99"/>
                <w:sz w:val="18"/>
              </w:rPr>
            </w:r>
            <w:r>
              <w:rPr>
                <w:rFonts w:ascii="Arial"/>
                <w:spacing w:val="-1"/>
                <w:sz w:val="18"/>
                <w:u w:val="single" w:color="000000"/>
              </w:rPr>
              <w:t>34,565,984</w:t>
            </w:r>
            <w:r>
              <w:rPr>
                <w:rFonts w:ascii="Arial"/>
                <w:spacing w:val="-1"/>
                <w:sz w:val="18"/>
              </w:rPr>
              <w:tab/>
            </w:r>
            <w:r>
              <w:rPr>
                <w:rFonts w:ascii="Arial"/>
                <w:spacing w:val="-1"/>
                <w:sz w:val="18"/>
                <w:u w:val="single" w:color="000000"/>
              </w:rPr>
              <w:t> 39</w:t>
            </w:r>
            <w:r>
              <w:rPr>
                <w:rFonts w:ascii="Arial"/>
                <w:spacing w:val="-1"/>
                <w:sz w:val="18"/>
              </w:rPr>
              <w:tab/>
            </w:r>
            <w:r>
              <w:rPr>
                <w:rFonts w:ascii="Arial"/>
                <w:spacing w:val="-1"/>
                <w:sz w:val="18"/>
                <w:u w:val="single" w:color="000000"/>
              </w:rPr>
              <w:t> 419,400</w:t>
            </w:r>
            <w:r>
              <w:rPr>
                <w:rFonts w:ascii="Arial"/>
                <w:spacing w:val="-1"/>
                <w:sz w:val="18"/>
              </w:rPr>
              <w:tab/>
            </w:r>
            <w:r>
              <w:rPr>
                <w:rFonts w:ascii="Arial"/>
                <w:sz w:val="18"/>
              </w:rPr>
              <w:t>1</w:t>
            </w:r>
          </w:p>
        </w:tc>
      </w:tr>
      <w:tr>
        <w:trPr>
          <w:trHeight w:val="445" w:hRule="exact"/>
        </w:trPr>
        <w:tc>
          <w:tcPr>
            <w:tcW w:w="557" w:type="dxa"/>
            <w:tcBorders>
              <w:top w:val="nil" w:sz="6" w:space="0" w:color="auto"/>
              <w:left w:val="nil" w:sz="6" w:space="0" w:color="auto"/>
              <w:bottom w:val="nil" w:sz="6" w:space="0" w:color="auto"/>
              <w:right w:val="nil" w:sz="6" w:space="0" w:color="auto"/>
            </w:tcBorders>
          </w:tcPr>
          <w:p>
            <w:pPr/>
          </w:p>
        </w:tc>
        <w:tc>
          <w:tcPr>
            <w:tcW w:w="4392" w:type="dxa"/>
            <w:tcBorders>
              <w:top w:val="nil" w:sz="6" w:space="0" w:color="auto"/>
              <w:left w:val="nil" w:sz="6" w:space="0" w:color="auto"/>
              <w:bottom w:val="nil" w:sz="6" w:space="0" w:color="auto"/>
              <w:right w:val="nil" w:sz="6" w:space="0" w:color="auto"/>
            </w:tcBorders>
          </w:tcPr>
          <w:p>
            <w:pPr>
              <w:pStyle w:val="TableParagraph"/>
              <w:tabs>
                <w:tab w:pos="3002" w:val="left" w:leader="none"/>
              </w:tabs>
              <w:spacing w:line="240" w:lineRule="auto" w:before="142"/>
              <w:ind w:left="1270" w:right="0"/>
              <w:jc w:val="left"/>
              <w:rPr>
                <w:rFonts w:ascii="Arial" w:hAnsi="Arial" w:cs="Arial" w:eastAsia="Arial" w:hint="default"/>
                <w:sz w:val="18"/>
                <w:szCs w:val="18"/>
              </w:rPr>
            </w:pPr>
            <w:r>
              <w:rPr>
                <w:rFonts w:ascii="Arial"/>
                <w:w w:val="99"/>
                <w:sz w:val="18"/>
              </w:rPr>
            </w:r>
            <w:r>
              <w:rPr>
                <w:rFonts w:ascii="Arial"/>
                <w:sz w:val="18"/>
                <w:u w:val="thick" w:color="000000"/>
              </w:rPr>
              <w:t>42,132,417  </w:t>
            </w:r>
            <w:r>
              <w:rPr>
                <w:rFonts w:ascii="Arial"/>
                <w:spacing w:val="35"/>
                <w:sz w:val="18"/>
                <w:u w:val="thick" w:color="000000"/>
              </w:rPr>
              <w:t> </w:t>
            </w:r>
            <w:r>
              <w:rPr>
                <w:rFonts w:ascii="Arial"/>
                <w:spacing w:val="35"/>
                <w:sz w:val="18"/>
              </w:rPr>
            </w:r>
            <w:r>
              <w:rPr>
                <w:rFonts w:ascii="Arial"/>
                <w:sz w:val="18"/>
                <w:u w:val="thick" w:color="000000"/>
              </w:rPr>
              <w:t>100</w:t>
            </w:r>
            <w:r>
              <w:rPr>
                <w:rFonts w:ascii="Arial"/>
                <w:sz w:val="18"/>
              </w:rPr>
              <w:tab/>
            </w:r>
            <w:r>
              <w:rPr>
                <w:rFonts w:ascii="Arial"/>
                <w:sz w:val="18"/>
                <w:u w:val="thick" w:color="000000"/>
              </w:rPr>
              <w:t>3,061,156</w:t>
            </w:r>
            <w:r>
              <w:rPr>
                <w:rFonts w:ascii="Arial"/>
                <w:sz w:val="18"/>
              </w:rPr>
            </w:r>
          </w:p>
        </w:tc>
        <w:tc>
          <w:tcPr>
            <w:tcW w:w="216"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Style w:val="TableParagraph"/>
              <w:tabs>
                <w:tab w:pos="1151" w:val="left" w:leader="none"/>
                <w:tab w:pos="1851" w:val="left" w:leader="none"/>
              </w:tabs>
              <w:spacing w:line="240" w:lineRule="auto" w:before="142"/>
              <w:ind w:left="14" w:right="0"/>
              <w:jc w:val="left"/>
              <w:rPr>
                <w:rFonts w:ascii="Arial" w:hAnsi="Arial" w:cs="Arial" w:eastAsia="Arial" w:hint="default"/>
                <w:sz w:val="18"/>
                <w:szCs w:val="18"/>
              </w:rPr>
            </w:pPr>
            <w:r>
              <w:rPr>
                <w:rFonts w:ascii="Arial"/>
                <w:w w:val="99"/>
                <w:sz w:val="18"/>
              </w:rPr>
            </w:r>
            <w:r>
              <w:rPr>
                <w:rFonts w:ascii="Arial"/>
                <w:spacing w:val="-1"/>
                <w:sz w:val="18"/>
                <w:u w:val="thick" w:color="000000"/>
              </w:rPr>
              <w:t>89,376,569</w:t>
            </w:r>
            <w:r>
              <w:rPr>
                <w:rFonts w:ascii="Arial"/>
                <w:spacing w:val="-1"/>
                <w:sz w:val="18"/>
              </w:rPr>
              <w:tab/>
            </w:r>
            <w:r>
              <w:rPr>
                <w:rFonts w:ascii="Arial"/>
                <w:spacing w:val="-1"/>
                <w:sz w:val="18"/>
                <w:u w:val="thick" w:color="000000"/>
              </w:rPr>
              <w:t>100</w:t>
            </w:r>
            <w:r>
              <w:rPr>
                <w:rFonts w:ascii="Arial"/>
                <w:spacing w:val="-1"/>
                <w:sz w:val="18"/>
              </w:rPr>
              <w:tab/>
            </w:r>
            <w:r>
              <w:rPr>
                <w:rFonts w:ascii="Arial"/>
                <w:spacing w:val="-1"/>
                <w:sz w:val="18"/>
                <w:u w:val="thick" w:color="000000"/>
              </w:rPr>
              <w:t>5,502,359</w:t>
            </w:r>
            <w:r>
              <w:rPr>
                <w:rFonts w:ascii="Arial"/>
                <w:spacing w:val="-1"/>
                <w:sz w:val="18"/>
              </w:rPr>
            </w:r>
          </w:p>
        </w:tc>
      </w:tr>
    </w:tbl>
    <w:p>
      <w:pPr>
        <w:pStyle w:val="BodyText"/>
        <w:spacing w:line="261" w:lineRule="auto" w:before="98"/>
        <w:ind w:left="855" w:right="154" w:hanging="1"/>
        <w:jc w:val="left"/>
      </w:pPr>
      <w:r>
        <w:rPr>
          <w:spacing w:val="-3"/>
          <w:w w:val="100"/>
        </w:rPr>
        <w:t>于</w:t>
      </w:r>
      <w:r>
        <w:rPr>
          <w:rFonts w:ascii="Arial" w:hAnsi="Arial" w:cs="Arial" w:eastAsia="Arial" w:hint="default"/>
          <w:spacing w:val="-3"/>
          <w:w w:val="100"/>
        </w:rPr>
        <w:t>2009</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日，单项金额重大或虽不重大但单独进行减值测试的其他应收款计提坏账</w:t>
      </w:r>
      <w:r>
        <w:rPr>
          <w:spacing w:val="-97"/>
          <w:w w:val="100"/>
        </w:rPr>
        <w:t> </w:t>
      </w:r>
      <w:r>
        <w:rPr>
          <w:spacing w:val="-97"/>
          <w:w w:val="100"/>
        </w:rPr>
      </w:r>
      <w:r>
        <w:rPr/>
        <w:t>准备如下：</w:t>
      </w: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5"/>
          <w:szCs w:val="15"/>
        </w:rPr>
      </w:pPr>
    </w:p>
    <w:p>
      <w:pPr>
        <w:pStyle w:val="BodyText"/>
        <w:spacing w:line="240" w:lineRule="auto" w:before="38"/>
        <w:ind w:left="813" w:right="0"/>
        <w:jc w:val="left"/>
      </w:pPr>
      <w:r>
        <w:rPr/>
        <w:pict>
          <v:shape style="position:absolute;margin-left:259.802246pt;margin-top:-11.554238pt;width:251.8pt;height:31.75pt;mso-position-horizontal-relative:page;mso-position-vertical-relative:paragraph;z-index:17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95"/>
                    <w:gridCol w:w="1097"/>
                    <w:gridCol w:w="1883"/>
                    <w:gridCol w:w="1061"/>
                  </w:tblGrid>
                  <w:tr>
                    <w:trPr>
                      <w:trHeight w:val="322" w:hRule="exact"/>
                    </w:trPr>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6"/>
                          <w:jc w:val="right"/>
                          <w:rPr>
                            <w:rFonts w:ascii="黑体" w:hAnsi="黑体" w:cs="黑体" w:eastAsia="黑体" w:hint="default"/>
                            <w:sz w:val="20"/>
                            <w:szCs w:val="20"/>
                          </w:rPr>
                        </w:pPr>
                        <w:r>
                          <w:rPr>
                            <w:rFonts w:ascii="黑体" w:hAnsi="黑体" w:cs="黑体" w:eastAsia="黑体" w:hint="default"/>
                            <w:sz w:val="20"/>
                            <w:szCs w:val="20"/>
                          </w:rPr>
                          <w:t>账面余额</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4"/>
                          <w:jc w:val="right"/>
                          <w:rPr>
                            <w:rFonts w:ascii="黑体" w:hAnsi="黑体" w:cs="黑体" w:eastAsia="黑体" w:hint="default"/>
                            <w:sz w:val="20"/>
                            <w:szCs w:val="20"/>
                          </w:rPr>
                        </w:pPr>
                        <w:r>
                          <w:rPr>
                            <w:rFonts w:ascii="黑体" w:hAnsi="黑体" w:cs="黑体" w:eastAsia="黑体" w:hint="default"/>
                            <w:sz w:val="20"/>
                            <w:szCs w:val="20"/>
                          </w:rPr>
                          <w:t>坏账准备</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30"/>
                          <w:jc w:val="right"/>
                          <w:rPr>
                            <w:rFonts w:ascii="Arial" w:hAnsi="Arial" w:cs="Arial" w:eastAsia="Arial" w:hint="default"/>
                            <w:sz w:val="20"/>
                            <w:szCs w:val="20"/>
                          </w:rPr>
                        </w:pPr>
                        <w:r>
                          <w:rPr>
                            <w:rFonts w:ascii="黑体" w:hAnsi="黑体" w:cs="黑体" w:eastAsia="黑体" w:hint="default"/>
                            <w:spacing w:val="-1"/>
                            <w:sz w:val="20"/>
                            <w:szCs w:val="20"/>
                          </w:rPr>
                          <w:t>计提比例</w:t>
                        </w:r>
                        <w:r>
                          <w:rPr>
                            <w:rFonts w:ascii="Arial" w:hAnsi="Arial" w:cs="Arial" w:eastAsia="Arial" w:hint="default"/>
                            <w:spacing w:val="-1"/>
                            <w:sz w:val="20"/>
                            <w:szCs w:val="20"/>
                          </w:rPr>
                          <w:t>(%)</w:t>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24" w:right="0"/>
                          <w:jc w:val="left"/>
                          <w:rPr>
                            <w:rFonts w:ascii="黑体" w:hAnsi="黑体" w:cs="黑体" w:eastAsia="黑体" w:hint="default"/>
                            <w:sz w:val="20"/>
                            <w:szCs w:val="20"/>
                          </w:rPr>
                        </w:pPr>
                        <w:r>
                          <w:rPr>
                            <w:rFonts w:ascii="黑体" w:hAnsi="黑体" w:cs="黑体" w:eastAsia="黑体" w:hint="default"/>
                            <w:sz w:val="20"/>
                            <w:szCs w:val="20"/>
                          </w:rPr>
                          <w:t>理由</w:t>
                        </w:r>
                      </w:p>
                    </w:tc>
                  </w:tr>
                  <w:tr>
                    <w:trPr>
                      <w:trHeight w:val="313" w:hRule="exact"/>
                    </w:trPr>
                    <w:tc>
                      <w:tcPr>
                        <w:tcW w:w="995" w:type="dxa"/>
                        <w:tcBorders>
                          <w:top w:val="nil" w:sz="6" w:space="0" w:color="auto"/>
                          <w:left w:val="nil" w:sz="6" w:space="0" w:color="auto"/>
                          <w:bottom w:val="nil" w:sz="6" w:space="0" w:color="auto"/>
                          <w:right w:val="nil" w:sz="6" w:space="0" w:color="auto"/>
                        </w:tcBorders>
                      </w:tcPr>
                      <w:p>
                        <w:pPr>
                          <w:pStyle w:val="TableParagraph"/>
                          <w:spacing w:line="217" w:lineRule="exact"/>
                          <w:ind w:right="146"/>
                          <w:jc w:val="right"/>
                          <w:rPr>
                            <w:rFonts w:ascii="Arial" w:hAnsi="Arial" w:cs="Arial" w:eastAsia="Arial" w:hint="default"/>
                            <w:sz w:val="20"/>
                            <w:szCs w:val="20"/>
                          </w:rPr>
                        </w:pPr>
                        <w:r>
                          <w:rPr>
                            <w:rFonts w:ascii="Arial"/>
                            <w:w w:val="100"/>
                            <w:sz w:val="20"/>
                          </w:rPr>
                        </w:r>
                        <w:r>
                          <w:rPr>
                            <w:rFonts w:ascii="Arial"/>
                            <w:spacing w:val="-1"/>
                            <w:sz w:val="20"/>
                            <w:u w:val="thick" w:color="000000"/>
                          </w:rPr>
                          <w:t>322,752</w:t>
                        </w:r>
                        <w:r>
                          <w:rPr>
                            <w:rFonts w:ascii="Arial"/>
                            <w:spacing w:val="-1"/>
                            <w:sz w:val="20"/>
                          </w:rPr>
                        </w:r>
                      </w:p>
                    </w:tc>
                    <w:tc>
                      <w:tcPr>
                        <w:tcW w:w="1097" w:type="dxa"/>
                        <w:tcBorders>
                          <w:top w:val="nil" w:sz="6" w:space="0" w:color="auto"/>
                          <w:left w:val="nil" w:sz="6" w:space="0" w:color="auto"/>
                          <w:bottom w:val="nil" w:sz="6" w:space="0" w:color="auto"/>
                          <w:right w:val="nil" w:sz="6" w:space="0" w:color="auto"/>
                        </w:tcBorders>
                      </w:tcPr>
                      <w:p>
                        <w:pPr>
                          <w:pStyle w:val="TableParagraph"/>
                          <w:spacing w:line="217" w:lineRule="exact"/>
                          <w:ind w:right="136"/>
                          <w:jc w:val="right"/>
                          <w:rPr>
                            <w:rFonts w:ascii="Arial" w:hAnsi="Arial" w:cs="Arial" w:eastAsia="Arial" w:hint="default"/>
                            <w:sz w:val="20"/>
                            <w:szCs w:val="20"/>
                          </w:rPr>
                        </w:pPr>
                        <w:r>
                          <w:rPr>
                            <w:rFonts w:ascii="Arial"/>
                            <w:w w:val="100"/>
                            <w:sz w:val="20"/>
                          </w:rPr>
                        </w:r>
                        <w:r>
                          <w:rPr>
                            <w:rFonts w:ascii="Arial"/>
                            <w:sz w:val="20"/>
                            <w:u w:val="thick" w:color="000000"/>
                          </w:rPr>
                          <w:t>77,979</w:t>
                        </w:r>
                        <w:r>
                          <w:rPr>
                            <w:rFonts w:ascii="Arial"/>
                            <w:sz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17" w:lineRule="exact"/>
                          <w:ind w:right="622"/>
                          <w:jc w:val="right"/>
                          <w:rPr>
                            <w:rFonts w:ascii="Arial" w:hAnsi="Arial" w:cs="Arial" w:eastAsia="Arial" w:hint="default"/>
                            <w:sz w:val="20"/>
                            <w:szCs w:val="20"/>
                          </w:rPr>
                        </w:pPr>
                        <w:r>
                          <w:rPr>
                            <w:rFonts w:ascii="Arial"/>
                            <w:sz w:val="20"/>
                          </w:rPr>
                          <w:t>24</w:t>
                        </w:r>
                      </w:p>
                    </w:tc>
                    <w:tc>
                      <w:tcPr>
                        <w:tcW w:w="1061"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t>其他</w:t>
      </w:r>
    </w:p>
    <w:p>
      <w:pPr>
        <w:spacing w:line="240" w:lineRule="auto" w:before="11"/>
        <w:rPr>
          <w:rFonts w:ascii="黑体" w:hAnsi="黑体" w:cs="黑体" w:eastAsia="黑体" w:hint="default"/>
          <w:sz w:val="13"/>
          <w:szCs w:val="13"/>
        </w:rPr>
      </w:pPr>
    </w:p>
    <w:p>
      <w:pPr>
        <w:pStyle w:val="BodyText"/>
        <w:spacing w:line="261" w:lineRule="auto" w:before="38"/>
        <w:ind w:left="855" w:right="154" w:hanging="1"/>
        <w:jc w:val="left"/>
      </w:pPr>
      <w:r>
        <w:rPr>
          <w:spacing w:val="-3"/>
          <w:w w:val="100"/>
        </w:rPr>
        <w:t>于</w:t>
      </w:r>
      <w:r>
        <w:rPr>
          <w:rFonts w:ascii="Arial" w:hAnsi="Arial" w:cs="Arial" w:eastAsia="Arial" w:hint="default"/>
          <w:spacing w:val="-3"/>
          <w:w w:val="100"/>
        </w:rPr>
        <w:t>2008</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日，单项金额重大或虽不重大但单独进行减值测试的其他应收款坏账计提</w:t>
      </w:r>
      <w:r>
        <w:rPr>
          <w:spacing w:val="-97"/>
          <w:w w:val="100"/>
        </w:rPr>
        <w:t> </w:t>
      </w:r>
      <w:r>
        <w:rPr>
          <w:spacing w:val="-97"/>
          <w:w w:val="100"/>
        </w:rPr>
      </w:r>
      <w:r>
        <w:rPr/>
        <w:t>准备如下：</w:t>
      </w:r>
    </w:p>
    <w:p>
      <w:pPr>
        <w:spacing w:line="240" w:lineRule="auto" w:before="12"/>
        <w:rPr>
          <w:rFonts w:ascii="黑体" w:hAnsi="黑体" w:cs="黑体" w:eastAsia="黑体" w:hint="default"/>
          <w:sz w:val="10"/>
          <w:szCs w:val="10"/>
        </w:rPr>
      </w:pPr>
    </w:p>
    <w:tbl>
      <w:tblPr>
        <w:tblW w:w="0" w:type="auto"/>
        <w:jc w:val="left"/>
        <w:tblInd w:w="815" w:type="dxa"/>
        <w:tblLayout w:type="fixed"/>
        <w:tblCellMar>
          <w:top w:w="0" w:type="dxa"/>
          <w:left w:w="0" w:type="dxa"/>
          <w:bottom w:w="0" w:type="dxa"/>
          <w:right w:w="0" w:type="dxa"/>
        </w:tblCellMar>
        <w:tblLook w:val="01E0"/>
      </w:tblPr>
      <w:tblGrid>
        <w:gridCol w:w="2322"/>
        <w:gridCol w:w="1476"/>
        <w:gridCol w:w="1154"/>
        <w:gridCol w:w="2918"/>
      </w:tblGrid>
      <w:tr>
        <w:trPr>
          <w:trHeight w:val="585" w:hRule="exact"/>
        </w:trPr>
        <w:tc>
          <w:tcPr>
            <w:tcW w:w="232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22"/>
                <w:szCs w:val="22"/>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北京联成互动软件技</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9"/>
              <w:jc w:val="right"/>
              <w:rPr>
                <w:rFonts w:ascii="黑体" w:hAnsi="黑体" w:cs="黑体" w:eastAsia="黑体" w:hint="default"/>
                <w:sz w:val="20"/>
                <w:szCs w:val="20"/>
              </w:rPr>
            </w:pPr>
            <w:r>
              <w:rPr>
                <w:rFonts w:ascii="黑体" w:hAnsi="黑体" w:cs="黑体" w:eastAsia="黑体" w:hint="default"/>
                <w:sz w:val="20"/>
                <w:szCs w:val="20"/>
              </w:rPr>
              <w:t>账面余额</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7" w:right="0"/>
              <w:jc w:val="center"/>
              <w:rPr>
                <w:rFonts w:ascii="黑体" w:hAnsi="黑体" w:cs="黑体" w:eastAsia="黑体" w:hint="default"/>
                <w:sz w:val="20"/>
                <w:szCs w:val="20"/>
              </w:rPr>
            </w:pPr>
            <w:r>
              <w:rPr>
                <w:rFonts w:ascii="黑体" w:hAnsi="黑体" w:cs="黑体" w:eastAsia="黑体" w:hint="default"/>
                <w:sz w:val="20"/>
                <w:szCs w:val="20"/>
              </w:rPr>
              <w:t>坏账准备</w:t>
            </w:r>
          </w:p>
        </w:tc>
        <w:tc>
          <w:tcPr>
            <w:tcW w:w="2918" w:type="dxa"/>
            <w:tcBorders>
              <w:top w:val="nil" w:sz="6" w:space="0" w:color="auto"/>
              <w:left w:val="nil" w:sz="6" w:space="0" w:color="auto"/>
              <w:bottom w:val="nil" w:sz="6" w:space="0" w:color="auto"/>
              <w:right w:val="nil" w:sz="6" w:space="0" w:color="auto"/>
            </w:tcBorders>
          </w:tcPr>
          <w:p>
            <w:pPr>
              <w:pStyle w:val="TableParagraph"/>
              <w:tabs>
                <w:tab w:pos="2375" w:val="left" w:leader="none"/>
              </w:tabs>
              <w:spacing w:line="240" w:lineRule="auto" w:before="38"/>
              <w:ind w:right="41"/>
              <w:jc w:val="right"/>
              <w:rPr>
                <w:rFonts w:ascii="黑体" w:hAnsi="黑体" w:cs="黑体" w:eastAsia="黑体" w:hint="default"/>
                <w:sz w:val="20"/>
                <w:szCs w:val="20"/>
              </w:rPr>
            </w:pPr>
            <w:r>
              <w:rPr>
                <w:rFonts w:ascii="黑体" w:hAnsi="黑体" w:cs="黑体" w:eastAsia="黑体" w:hint="default"/>
                <w:spacing w:val="-1"/>
                <w:sz w:val="20"/>
                <w:szCs w:val="20"/>
              </w:rPr>
              <w:t>计提比例</w:t>
            </w:r>
            <w:r>
              <w:rPr>
                <w:rFonts w:ascii="Arial" w:hAnsi="Arial" w:cs="Arial" w:eastAsia="Arial" w:hint="default"/>
                <w:spacing w:val="-1"/>
                <w:sz w:val="20"/>
                <w:szCs w:val="20"/>
              </w:rPr>
              <w:t>(%)</w:t>
              <w:tab/>
            </w:r>
            <w:r>
              <w:rPr>
                <w:rFonts w:ascii="黑体" w:hAnsi="黑体" w:cs="黑体" w:eastAsia="黑体" w:hint="default"/>
                <w:sz w:val="20"/>
                <w:szCs w:val="20"/>
              </w:rPr>
              <w:t>理由</w:t>
            </w:r>
          </w:p>
        </w:tc>
      </w:tr>
      <w:tr>
        <w:trPr>
          <w:trHeight w:val="259" w:hRule="exact"/>
        </w:trPr>
        <w:tc>
          <w:tcPr>
            <w:tcW w:w="2322" w:type="dxa"/>
            <w:tcBorders>
              <w:top w:val="nil" w:sz="6" w:space="0" w:color="auto"/>
              <w:left w:val="nil" w:sz="6" w:space="0" w:color="auto"/>
              <w:bottom w:val="nil" w:sz="6" w:space="0" w:color="auto"/>
              <w:right w:val="nil" w:sz="6" w:space="0" w:color="auto"/>
            </w:tcBorders>
          </w:tcPr>
          <w:p>
            <w:pPr>
              <w:pStyle w:val="TableParagraph"/>
              <w:spacing w:line="230" w:lineRule="exact"/>
              <w:ind w:left="238" w:right="0"/>
              <w:jc w:val="left"/>
              <w:rPr>
                <w:rFonts w:ascii="黑体" w:hAnsi="黑体" w:cs="黑体" w:eastAsia="黑体" w:hint="default"/>
                <w:sz w:val="20"/>
                <w:szCs w:val="20"/>
              </w:rPr>
            </w:pPr>
            <w:r>
              <w:rPr>
                <w:rFonts w:ascii="黑体" w:hAnsi="黑体" w:cs="黑体" w:eastAsia="黑体" w:hint="default"/>
                <w:sz w:val="20"/>
                <w:szCs w:val="20"/>
              </w:rPr>
              <w:t>术有限责任公司</w:t>
            </w:r>
          </w:p>
        </w:tc>
        <w:tc>
          <w:tcPr>
            <w:tcW w:w="147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
        </w:tc>
        <w:tc>
          <w:tcPr>
            <w:tcW w:w="2918" w:type="dxa"/>
            <w:tcBorders>
              <w:top w:val="nil" w:sz="6" w:space="0" w:color="auto"/>
              <w:left w:val="nil" w:sz="6" w:space="0" w:color="auto"/>
              <w:bottom w:val="nil" w:sz="6" w:space="0" w:color="auto"/>
              <w:right w:val="nil" w:sz="6" w:space="0" w:color="auto"/>
            </w:tcBorders>
          </w:tcPr>
          <w:p>
            <w:pPr/>
          </w:p>
        </w:tc>
      </w:tr>
      <w:tr>
        <w:trPr>
          <w:trHeight w:val="263" w:hRule="exact"/>
        </w:trPr>
        <w:tc>
          <w:tcPr>
            <w:tcW w:w="2322" w:type="dxa"/>
            <w:tcBorders>
              <w:top w:val="nil" w:sz="6" w:space="0" w:color="auto"/>
              <w:left w:val="nil" w:sz="6" w:space="0" w:color="auto"/>
              <w:bottom w:val="nil" w:sz="6" w:space="0" w:color="auto"/>
              <w:right w:val="nil" w:sz="6" w:space="0" w:color="auto"/>
            </w:tcBorders>
          </w:tcPr>
          <w:p>
            <w:pPr>
              <w:pStyle w:val="TableParagraph"/>
              <w:spacing w:line="244" w:lineRule="exact"/>
              <w:ind w:left="35" w:right="0"/>
              <w:jc w:val="left"/>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以下简称</w:t>
            </w:r>
            <w:r>
              <w:rPr>
                <w:rFonts w:ascii="Arial" w:hAnsi="Arial" w:cs="Arial" w:eastAsia="Arial" w:hint="default"/>
                <w:sz w:val="20"/>
                <w:szCs w:val="20"/>
              </w:rPr>
              <w:t>“</w:t>
            </w:r>
            <w:r>
              <w:rPr>
                <w:rFonts w:ascii="黑体" w:hAnsi="黑体" w:cs="黑体" w:eastAsia="黑体" w:hint="default"/>
                <w:sz w:val="20"/>
                <w:szCs w:val="20"/>
              </w:rPr>
              <w:t>联成互动</w:t>
            </w:r>
            <w:r>
              <w:rPr>
                <w:rFonts w:ascii="Arial" w:hAnsi="Arial" w:cs="Arial" w:eastAsia="Arial" w:hint="default"/>
                <w:sz w:val="20"/>
                <w:szCs w:val="20"/>
              </w:rPr>
              <w:t>”)</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30"/>
              <w:jc w:val="right"/>
              <w:rPr>
                <w:rFonts w:ascii="Arial" w:hAnsi="Arial" w:cs="Arial" w:eastAsia="Arial" w:hint="default"/>
                <w:sz w:val="20"/>
                <w:szCs w:val="20"/>
              </w:rPr>
            </w:pPr>
            <w:r>
              <w:rPr>
                <w:rFonts w:ascii="Arial"/>
                <w:spacing w:val="-1"/>
                <w:sz w:val="20"/>
              </w:rPr>
              <w:t>1,500,000</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67" w:right="0"/>
              <w:jc w:val="center"/>
              <w:rPr>
                <w:rFonts w:ascii="Arial" w:hAnsi="Arial" w:cs="Arial" w:eastAsia="Arial" w:hint="default"/>
                <w:sz w:val="20"/>
                <w:szCs w:val="20"/>
              </w:rPr>
            </w:pPr>
            <w:r>
              <w:rPr>
                <w:rFonts w:ascii="Arial"/>
                <w:sz w:val="20"/>
              </w:rPr>
              <w:t>1,500,000</w:t>
            </w:r>
          </w:p>
        </w:tc>
        <w:tc>
          <w:tcPr>
            <w:tcW w:w="2918" w:type="dxa"/>
            <w:tcBorders>
              <w:top w:val="nil" w:sz="6" w:space="0" w:color="auto"/>
              <w:left w:val="nil" w:sz="6" w:space="0" w:color="auto"/>
              <w:bottom w:val="nil" w:sz="6" w:space="0" w:color="auto"/>
              <w:right w:val="nil" w:sz="6" w:space="0" w:color="auto"/>
            </w:tcBorders>
          </w:tcPr>
          <w:p>
            <w:pPr>
              <w:pStyle w:val="TableParagraph"/>
              <w:spacing w:line="244" w:lineRule="exact"/>
              <w:ind w:right="33"/>
              <w:jc w:val="right"/>
              <w:rPr>
                <w:rFonts w:ascii="黑体" w:hAnsi="黑体" w:cs="黑体" w:eastAsia="黑体" w:hint="default"/>
                <w:sz w:val="20"/>
                <w:szCs w:val="20"/>
              </w:rPr>
            </w:pPr>
            <w:r>
              <w:rPr>
                <w:rFonts w:ascii="Arial" w:hAnsi="Arial" w:cs="Arial" w:eastAsia="Arial" w:hint="default"/>
                <w:sz w:val="20"/>
                <w:szCs w:val="20"/>
              </w:rPr>
              <w:t>100</w:t>
            </w:r>
            <w:r>
              <w:rPr>
                <w:rFonts w:ascii="Arial" w:hAnsi="Arial" w:cs="Arial" w:eastAsia="Arial" w:hint="default"/>
                <w:spacing w:val="7"/>
                <w:sz w:val="20"/>
                <w:szCs w:val="20"/>
              </w:rPr>
              <w:t> </w:t>
            </w:r>
            <w:r>
              <w:rPr>
                <w:rFonts w:ascii="黑体" w:hAnsi="黑体" w:cs="黑体" w:eastAsia="黑体" w:hint="default"/>
                <w:sz w:val="20"/>
                <w:szCs w:val="20"/>
              </w:rPr>
              <w:t>已被吊销营业执照</w:t>
            </w:r>
          </w:p>
        </w:tc>
      </w:tr>
      <w:tr>
        <w:trPr>
          <w:trHeight w:val="248" w:hRule="exact"/>
        </w:trPr>
        <w:tc>
          <w:tcPr>
            <w:tcW w:w="2322" w:type="dxa"/>
            <w:tcBorders>
              <w:top w:val="nil" w:sz="6" w:space="0" w:color="auto"/>
              <w:left w:val="nil" w:sz="6" w:space="0" w:color="auto"/>
              <w:bottom w:val="nil" w:sz="6" w:space="0" w:color="auto"/>
              <w:right w:val="nil" w:sz="6" w:space="0" w:color="auto"/>
            </w:tcBorders>
          </w:tcPr>
          <w:p>
            <w:pPr>
              <w:pStyle w:val="TableParagraph"/>
              <w:spacing w:line="225" w:lineRule="exact"/>
              <w:ind w:left="35"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3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419,400</w:t>
            </w:r>
            <w:r>
              <w:rPr>
                <w:rFonts w:ascii="Arial"/>
                <w:sz w:val="20"/>
              </w:rPr>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7"/>
              <w:ind w:left="34" w:right="0"/>
              <w:jc w:val="center"/>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419,400</w:t>
            </w:r>
            <w:r>
              <w:rPr>
                <w:rFonts w:ascii="Arial"/>
                <w:sz w:val="20"/>
              </w:rPr>
            </w:r>
          </w:p>
        </w:tc>
        <w:tc>
          <w:tcPr>
            <w:tcW w:w="2918" w:type="dxa"/>
            <w:tcBorders>
              <w:top w:val="nil" w:sz="6" w:space="0" w:color="auto"/>
              <w:left w:val="nil" w:sz="6" w:space="0" w:color="auto"/>
              <w:bottom w:val="nil" w:sz="6" w:space="0" w:color="auto"/>
              <w:right w:val="nil" w:sz="6" w:space="0" w:color="auto"/>
            </w:tcBorders>
          </w:tcPr>
          <w:p>
            <w:pPr>
              <w:pStyle w:val="TableParagraph"/>
              <w:spacing w:line="240" w:lineRule="auto" w:before="7"/>
              <w:ind w:left="883" w:right="0"/>
              <w:jc w:val="left"/>
              <w:rPr>
                <w:rFonts w:ascii="Arial" w:hAnsi="Arial" w:cs="Arial" w:eastAsia="Arial" w:hint="default"/>
                <w:sz w:val="20"/>
                <w:szCs w:val="20"/>
              </w:rPr>
            </w:pPr>
            <w:r>
              <w:rPr>
                <w:rFonts w:ascii="Arial"/>
                <w:sz w:val="20"/>
              </w:rPr>
              <w:t>100</w:t>
            </w:r>
          </w:p>
        </w:tc>
      </w:tr>
      <w:tr>
        <w:trPr>
          <w:trHeight w:val="315" w:hRule="exact"/>
        </w:trPr>
        <w:tc>
          <w:tcPr>
            <w:tcW w:w="2322"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Style w:val="TableParagraph"/>
              <w:spacing w:line="220" w:lineRule="exact"/>
              <w:ind w:right="130"/>
              <w:jc w:val="right"/>
              <w:rPr>
                <w:rFonts w:ascii="Arial" w:hAnsi="Arial" w:cs="Arial" w:eastAsia="Arial" w:hint="default"/>
                <w:sz w:val="20"/>
                <w:szCs w:val="20"/>
              </w:rPr>
            </w:pPr>
            <w:r>
              <w:rPr>
                <w:rFonts w:ascii="Arial"/>
                <w:w w:val="100"/>
                <w:sz w:val="20"/>
              </w:rPr>
            </w:r>
            <w:r>
              <w:rPr>
                <w:rFonts w:ascii="Arial"/>
                <w:spacing w:val="-1"/>
                <w:sz w:val="20"/>
                <w:u w:val="thick" w:color="000000"/>
              </w:rPr>
              <w:t>1,919,400</w:t>
            </w:r>
            <w:r>
              <w:rPr>
                <w:rFonts w:ascii="Arial"/>
                <w:spacing w:val="-1"/>
                <w:sz w:val="20"/>
              </w:rPr>
            </w:r>
          </w:p>
        </w:tc>
        <w:tc>
          <w:tcPr>
            <w:tcW w:w="1154" w:type="dxa"/>
            <w:tcBorders>
              <w:top w:val="nil" w:sz="6" w:space="0" w:color="auto"/>
              <w:left w:val="nil" w:sz="6" w:space="0" w:color="auto"/>
              <w:bottom w:val="nil" w:sz="6" w:space="0" w:color="auto"/>
              <w:right w:val="nil" w:sz="6" w:space="0" w:color="auto"/>
            </w:tcBorders>
          </w:tcPr>
          <w:p>
            <w:pPr>
              <w:pStyle w:val="TableParagraph"/>
              <w:spacing w:line="220" w:lineRule="exact"/>
              <w:ind w:left="67" w:right="0"/>
              <w:jc w:val="center"/>
              <w:rPr>
                <w:rFonts w:ascii="Arial" w:hAnsi="Arial" w:cs="Arial" w:eastAsia="Arial" w:hint="default"/>
                <w:sz w:val="20"/>
                <w:szCs w:val="20"/>
              </w:rPr>
            </w:pPr>
            <w:r>
              <w:rPr>
                <w:rFonts w:ascii="Arial"/>
                <w:w w:val="100"/>
                <w:sz w:val="20"/>
              </w:rPr>
            </w:r>
            <w:r>
              <w:rPr>
                <w:rFonts w:ascii="Arial"/>
                <w:sz w:val="20"/>
                <w:u w:val="thick" w:color="000000"/>
              </w:rPr>
              <w:t>1,919,400</w:t>
            </w:r>
            <w:r>
              <w:rPr>
                <w:rFonts w:ascii="Arial"/>
                <w:sz w:val="20"/>
              </w:rPr>
            </w:r>
          </w:p>
        </w:tc>
        <w:tc>
          <w:tcPr>
            <w:tcW w:w="2918" w:type="dxa"/>
            <w:tcBorders>
              <w:top w:val="nil" w:sz="6" w:space="0" w:color="auto"/>
              <w:left w:val="nil" w:sz="6" w:space="0" w:color="auto"/>
              <w:bottom w:val="nil" w:sz="6" w:space="0" w:color="auto"/>
              <w:right w:val="nil" w:sz="6" w:space="0" w:color="auto"/>
            </w:tcBorders>
          </w:tcPr>
          <w:p>
            <w:pPr/>
          </w:p>
        </w:tc>
      </w:tr>
    </w:tbl>
    <w:p>
      <w:pPr>
        <w:spacing w:line="240" w:lineRule="auto" w:before="11"/>
        <w:rPr>
          <w:rFonts w:ascii="黑体" w:hAnsi="黑体" w:cs="黑体" w:eastAsia="黑体" w:hint="default"/>
          <w:sz w:val="5"/>
          <w:szCs w:val="5"/>
        </w:rPr>
      </w:pPr>
    </w:p>
    <w:p>
      <w:pPr>
        <w:pStyle w:val="BodyText"/>
        <w:spacing w:line="261" w:lineRule="auto" w:before="38"/>
        <w:ind w:left="855" w:right="0"/>
        <w:jc w:val="left"/>
      </w:pPr>
      <w:r>
        <w:rPr>
          <w:spacing w:val="2"/>
        </w:rPr>
        <w:t>单项金额不重大但按信用风险特征组合后该组合的风险较大的应收账款如下</w:t>
      </w:r>
      <w:r>
        <w:rPr>
          <w:rFonts w:ascii="Arial" w:hAnsi="Arial" w:cs="Arial" w:eastAsia="Arial" w:hint="default"/>
          <w:spacing w:val="2"/>
        </w:rPr>
        <w:t>(</w:t>
      </w:r>
      <w:r>
        <w:rPr>
          <w:spacing w:val="2"/>
        </w:rPr>
        <w:t>仅适用于信</w:t>
      </w:r>
      <w:r>
        <w:rPr>
          <w:spacing w:val="-72"/>
        </w:rPr>
        <w:t> </w:t>
      </w:r>
      <w:r>
        <w:rPr>
          <w:spacing w:val="-72"/>
        </w:rPr>
      </w:r>
      <w:r>
        <w:rPr/>
        <w:t>用风险特征组合确定为账龄的情况</w:t>
      </w:r>
      <w:r>
        <w:rPr>
          <w:rFonts w:ascii="Arial" w:hAnsi="Arial" w:cs="Arial" w:eastAsia="Arial" w:hint="default"/>
        </w:rPr>
        <w:t>)</w:t>
      </w:r>
      <w:r>
        <w:rPr/>
        <w:t>：</w:t>
      </w:r>
    </w:p>
    <w:p>
      <w:pPr>
        <w:spacing w:line="240" w:lineRule="auto" w:before="5"/>
        <w:rPr>
          <w:rFonts w:ascii="黑体" w:hAnsi="黑体" w:cs="黑体" w:eastAsia="黑体" w:hint="default"/>
          <w:sz w:val="16"/>
          <w:szCs w:val="16"/>
        </w:rPr>
      </w:pPr>
    </w:p>
    <w:p>
      <w:pPr>
        <w:tabs>
          <w:tab w:pos="6662" w:val="left" w:leader="none"/>
        </w:tabs>
        <w:spacing w:before="0"/>
        <w:ind w:left="3158" w:right="0" w:firstLine="0"/>
        <w:jc w:val="left"/>
        <w:rPr>
          <w:rFonts w:ascii="黑体" w:hAnsi="黑体" w:cs="黑体" w:eastAsia="黑体" w:hint="default"/>
          <w:sz w:val="18"/>
          <w:szCs w:val="18"/>
        </w:rPr>
      </w:pPr>
      <w:r>
        <w:rPr>
          <w:rFonts w:ascii="Arial" w:hAnsi="Arial" w:cs="Arial" w:eastAsia="Arial" w:hint="default"/>
          <w:sz w:val="18"/>
          <w:szCs w:val="18"/>
        </w:rPr>
        <w:t>2009</w:t>
      </w:r>
      <w:r>
        <w:rPr>
          <w:rFonts w:ascii="Arial" w:hAnsi="Arial" w:cs="Arial" w:eastAsia="Arial" w:hint="default"/>
          <w:spacing w:val="-9"/>
          <w:sz w:val="18"/>
          <w:szCs w:val="18"/>
        </w:rPr>
        <w:t> </w:t>
      </w:r>
      <w:r>
        <w:rPr>
          <w:rFonts w:ascii="黑体" w:hAnsi="黑体" w:cs="黑体" w:eastAsia="黑体" w:hint="default"/>
          <w:sz w:val="18"/>
          <w:szCs w:val="18"/>
        </w:rPr>
        <w:t>年</w:t>
        <w:tab/>
      </w:r>
      <w:r>
        <w:rPr>
          <w:rFonts w:ascii="Arial" w:hAnsi="Arial" w:cs="Arial" w:eastAsia="Arial" w:hint="default"/>
          <w:sz w:val="18"/>
          <w:szCs w:val="18"/>
        </w:rPr>
        <w:t>2008</w:t>
      </w:r>
      <w:r>
        <w:rPr>
          <w:rFonts w:ascii="Arial" w:hAnsi="Arial" w:cs="Arial" w:eastAsia="Arial" w:hint="default"/>
          <w:spacing w:val="-10"/>
          <w:sz w:val="18"/>
          <w:szCs w:val="18"/>
        </w:rPr>
        <w:t> </w:t>
      </w:r>
      <w:r>
        <w:rPr>
          <w:rFonts w:ascii="黑体" w:hAnsi="黑体" w:cs="黑体" w:eastAsia="黑体" w:hint="default"/>
          <w:sz w:val="18"/>
          <w:szCs w:val="18"/>
        </w:rPr>
        <w:t>年</w:t>
      </w:r>
    </w:p>
    <w:p>
      <w:pPr>
        <w:tabs>
          <w:tab w:pos="4303" w:val="left" w:leader="none"/>
          <w:tab w:pos="6038" w:val="left" w:leader="none"/>
          <w:tab w:pos="7927" w:val="left" w:leader="none"/>
        </w:tabs>
        <w:spacing w:before="6"/>
        <w:ind w:left="2653" w:right="0" w:firstLine="0"/>
        <w:jc w:val="left"/>
        <w:rPr>
          <w:rFonts w:ascii="黑体" w:hAnsi="黑体" w:cs="黑体" w:eastAsia="黑体" w:hint="default"/>
          <w:sz w:val="18"/>
          <w:szCs w:val="18"/>
        </w:rPr>
      </w:pPr>
      <w:r>
        <w:rPr>
          <w:rFonts w:ascii="黑体" w:hAnsi="黑体" w:cs="黑体" w:eastAsia="黑体" w:hint="default"/>
          <w:sz w:val="18"/>
          <w:szCs w:val="18"/>
        </w:rPr>
        <w:t>账面余额</w:t>
        <w:tab/>
        <w:t>坏账准备</w:t>
        <w:tab/>
        <w:t>账面余额</w:t>
        <w:tab/>
        <w:t>坏账准备</w:t>
      </w:r>
    </w:p>
    <w:p>
      <w:pPr>
        <w:tabs>
          <w:tab w:pos="8287" w:val="left" w:leader="none"/>
        </w:tabs>
        <w:spacing w:before="20"/>
        <w:ind w:left="4661" w:right="0" w:firstLine="0"/>
        <w:jc w:val="left"/>
        <w:rPr>
          <w:rFonts w:ascii="黑体" w:hAnsi="黑体" w:cs="黑体" w:eastAsia="黑体" w:hint="default"/>
          <w:sz w:val="18"/>
          <w:szCs w:val="18"/>
        </w:rPr>
      </w:pPr>
      <w:r>
        <w:rPr>
          <w:rFonts w:ascii="黑体" w:hAnsi="黑体" w:cs="黑体" w:eastAsia="黑体" w:hint="default"/>
          <w:sz w:val="18"/>
          <w:szCs w:val="18"/>
        </w:rPr>
        <w:t>计提</w:t>
        <w:tab/>
        <w:t>计提</w:t>
      </w:r>
    </w:p>
    <w:p>
      <w:pPr>
        <w:spacing w:line="240" w:lineRule="auto" w:before="1"/>
        <w:rPr>
          <w:rFonts w:ascii="黑体" w:hAnsi="黑体" w:cs="黑体" w:eastAsia="黑体" w:hint="default"/>
          <w:sz w:val="3"/>
          <w:szCs w:val="3"/>
        </w:rPr>
      </w:pPr>
    </w:p>
    <w:tbl>
      <w:tblPr>
        <w:tblW w:w="0" w:type="auto"/>
        <w:jc w:val="left"/>
        <w:tblInd w:w="816" w:type="dxa"/>
        <w:tblLayout w:type="fixed"/>
        <w:tblCellMar>
          <w:top w:w="0" w:type="dxa"/>
          <w:left w:w="0" w:type="dxa"/>
          <w:bottom w:w="0" w:type="dxa"/>
          <w:right w:w="0" w:type="dxa"/>
        </w:tblCellMar>
        <w:tblLook w:val="01E0"/>
      </w:tblPr>
      <w:tblGrid>
        <w:gridCol w:w="915"/>
        <w:gridCol w:w="1189"/>
        <w:gridCol w:w="606"/>
        <w:gridCol w:w="1044"/>
        <w:gridCol w:w="597"/>
        <w:gridCol w:w="1139"/>
        <w:gridCol w:w="652"/>
        <w:gridCol w:w="1165"/>
        <w:gridCol w:w="561"/>
      </w:tblGrid>
      <w:tr>
        <w:trPr>
          <w:trHeight w:val="646" w:hRule="exact"/>
        </w:trPr>
        <w:tc>
          <w:tcPr>
            <w:tcW w:w="915" w:type="dxa"/>
            <w:tcBorders>
              <w:top w:val="nil" w:sz="6" w:space="0" w:color="auto"/>
              <w:left w:val="nil" w:sz="6" w:space="0" w:color="auto"/>
              <w:bottom w:val="nil" w:sz="6" w:space="0" w:color="auto"/>
              <w:right w:val="nil" w:sz="6" w:space="0" w:color="auto"/>
            </w:tcBorders>
          </w:tcPr>
          <w:p>
            <w:pPr/>
          </w:p>
        </w:tc>
        <w:tc>
          <w:tcPr>
            <w:tcW w:w="1189" w:type="dxa"/>
            <w:tcBorders>
              <w:top w:val="nil" w:sz="6" w:space="0" w:color="auto"/>
              <w:left w:val="nil" w:sz="6" w:space="0" w:color="auto"/>
              <w:bottom w:val="nil" w:sz="6" w:space="0" w:color="auto"/>
              <w:right w:val="nil" w:sz="6" w:space="0" w:color="auto"/>
            </w:tcBorders>
          </w:tcPr>
          <w:p>
            <w:pPr>
              <w:pStyle w:val="TableParagraph"/>
              <w:spacing w:line="215" w:lineRule="exact"/>
              <w:ind w:right="90"/>
              <w:jc w:val="right"/>
              <w:rPr>
                <w:rFonts w:ascii="黑体" w:hAnsi="黑体" w:cs="黑体" w:eastAsia="黑体" w:hint="default"/>
                <w:sz w:val="18"/>
                <w:szCs w:val="18"/>
              </w:rPr>
            </w:pPr>
            <w:r>
              <w:rPr>
                <w:rFonts w:ascii="黑体" w:hAnsi="黑体" w:cs="黑体" w:eastAsia="黑体" w:hint="default"/>
                <w:sz w:val="18"/>
                <w:szCs w:val="18"/>
              </w:rPr>
              <w:t>金额</w:t>
            </w:r>
          </w:p>
        </w:tc>
        <w:tc>
          <w:tcPr>
            <w:tcW w:w="606" w:type="dxa"/>
            <w:tcBorders>
              <w:top w:val="nil" w:sz="6" w:space="0" w:color="auto"/>
              <w:left w:val="nil" w:sz="6" w:space="0" w:color="auto"/>
              <w:bottom w:val="nil" w:sz="6" w:space="0" w:color="auto"/>
              <w:right w:val="nil" w:sz="6" w:space="0" w:color="auto"/>
            </w:tcBorders>
          </w:tcPr>
          <w:p>
            <w:pPr>
              <w:pStyle w:val="TableParagraph"/>
              <w:spacing w:line="215" w:lineRule="exact"/>
              <w:ind w:left="172" w:right="0" w:hanging="81"/>
              <w:jc w:val="left"/>
              <w:rPr>
                <w:rFonts w:ascii="黑体" w:hAnsi="黑体" w:cs="黑体" w:eastAsia="黑体" w:hint="default"/>
                <w:sz w:val="18"/>
                <w:szCs w:val="18"/>
              </w:rPr>
            </w:pPr>
            <w:r>
              <w:rPr>
                <w:rFonts w:ascii="黑体" w:hAnsi="黑体" w:cs="黑体" w:eastAsia="黑体" w:hint="default"/>
                <w:sz w:val="18"/>
                <w:szCs w:val="18"/>
              </w:rPr>
              <w:t>比例</w:t>
            </w:r>
          </w:p>
          <w:p>
            <w:pPr>
              <w:pStyle w:val="TableParagraph"/>
              <w:spacing w:line="240" w:lineRule="auto" w:before="74"/>
              <w:ind w:left="172" w:right="0"/>
              <w:jc w:val="left"/>
              <w:rPr>
                <w:rFonts w:ascii="Arial" w:hAnsi="Arial" w:cs="Arial" w:eastAsia="Arial" w:hint="default"/>
                <w:sz w:val="18"/>
                <w:szCs w:val="18"/>
              </w:rPr>
            </w:pPr>
            <w:r>
              <w:rPr>
                <w:rFonts w:ascii="Arial"/>
                <w:sz w:val="18"/>
              </w:rPr>
              <w:t>(%)</w:t>
            </w:r>
          </w:p>
        </w:tc>
        <w:tc>
          <w:tcPr>
            <w:tcW w:w="1044" w:type="dxa"/>
            <w:tcBorders>
              <w:top w:val="nil" w:sz="6" w:space="0" w:color="auto"/>
              <w:left w:val="nil" w:sz="6" w:space="0" w:color="auto"/>
              <w:bottom w:val="nil" w:sz="6" w:space="0" w:color="auto"/>
              <w:right w:val="nil" w:sz="6" w:space="0" w:color="auto"/>
            </w:tcBorders>
          </w:tcPr>
          <w:p>
            <w:pPr>
              <w:pStyle w:val="TableParagraph"/>
              <w:spacing w:line="215" w:lineRule="exact"/>
              <w:ind w:right="89"/>
              <w:jc w:val="right"/>
              <w:rPr>
                <w:rFonts w:ascii="黑体" w:hAnsi="黑体" w:cs="黑体" w:eastAsia="黑体" w:hint="default"/>
                <w:sz w:val="18"/>
                <w:szCs w:val="18"/>
              </w:rPr>
            </w:pPr>
            <w:r>
              <w:rPr>
                <w:rFonts w:ascii="黑体" w:hAnsi="黑体" w:cs="黑体" w:eastAsia="黑体" w:hint="default"/>
                <w:sz w:val="18"/>
                <w:szCs w:val="18"/>
              </w:rPr>
              <w:t>金额</w:t>
            </w:r>
          </w:p>
        </w:tc>
        <w:tc>
          <w:tcPr>
            <w:tcW w:w="597" w:type="dxa"/>
            <w:tcBorders>
              <w:top w:val="nil" w:sz="6" w:space="0" w:color="auto"/>
              <w:left w:val="nil" w:sz="6" w:space="0" w:color="auto"/>
              <w:bottom w:val="nil" w:sz="6" w:space="0" w:color="auto"/>
              <w:right w:val="nil" w:sz="6" w:space="0" w:color="auto"/>
            </w:tcBorders>
          </w:tcPr>
          <w:p>
            <w:pPr>
              <w:pStyle w:val="TableParagraph"/>
              <w:spacing w:line="215" w:lineRule="exact"/>
              <w:ind w:left="171" w:right="0" w:hanging="81"/>
              <w:jc w:val="left"/>
              <w:rPr>
                <w:rFonts w:ascii="黑体" w:hAnsi="黑体" w:cs="黑体" w:eastAsia="黑体" w:hint="default"/>
                <w:sz w:val="18"/>
                <w:szCs w:val="18"/>
              </w:rPr>
            </w:pPr>
            <w:r>
              <w:rPr>
                <w:rFonts w:ascii="黑体" w:hAnsi="黑体" w:cs="黑体" w:eastAsia="黑体" w:hint="default"/>
                <w:sz w:val="18"/>
                <w:szCs w:val="18"/>
              </w:rPr>
              <w:t>比例</w:t>
            </w:r>
          </w:p>
          <w:p>
            <w:pPr>
              <w:pStyle w:val="TableParagraph"/>
              <w:spacing w:line="240" w:lineRule="auto" w:before="74"/>
              <w:ind w:left="171" w:right="0"/>
              <w:jc w:val="left"/>
              <w:rPr>
                <w:rFonts w:ascii="Arial" w:hAnsi="Arial" w:cs="Arial" w:eastAsia="Arial" w:hint="default"/>
                <w:sz w:val="18"/>
                <w:szCs w:val="18"/>
              </w:rPr>
            </w:pPr>
            <w:r>
              <w:rPr>
                <w:rFonts w:ascii="Arial"/>
                <w:sz w:val="18"/>
              </w:rPr>
              <w:t>(%)</w:t>
            </w:r>
          </w:p>
        </w:tc>
        <w:tc>
          <w:tcPr>
            <w:tcW w:w="1139" w:type="dxa"/>
            <w:tcBorders>
              <w:top w:val="nil" w:sz="6" w:space="0" w:color="auto"/>
              <w:left w:val="nil" w:sz="6" w:space="0" w:color="auto"/>
              <w:bottom w:val="nil" w:sz="6" w:space="0" w:color="auto"/>
              <w:right w:val="nil" w:sz="6" w:space="0" w:color="auto"/>
            </w:tcBorders>
          </w:tcPr>
          <w:p>
            <w:pPr>
              <w:pStyle w:val="TableParagraph"/>
              <w:spacing w:line="215" w:lineRule="exact"/>
              <w:ind w:right="90"/>
              <w:jc w:val="right"/>
              <w:rPr>
                <w:rFonts w:ascii="黑体" w:hAnsi="黑体" w:cs="黑体" w:eastAsia="黑体" w:hint="default"/>
                <w:sz w:val="18"/>
                <w:szCs w:val="18"/>
              </w:rPr>
            </w:pPr>
            <w:r>
              <w:rPr>
                <w:rFonts w:ascii="黑体" w:hAnsi="黑体" w:cs="黑体" w:eastAsia="黑体" w:hint="default"/>
                <w:sz w:val="18"/>
                <w:szCs w:val="18"/>
              </w:rPr>
              <w:t>金额</w:t>
            </w:r>
          </w:p>
        </w:tc>
        <w:tc>
          <w:tcPr>
            <w:tcW w:w="652" w:type="dxa"/>
            <w:tcBorders>
              <w:top w:val="nil" w:sz="6" w:space="0" w:color="auto"/>
              <w:left w:val="nil" w:sz="6" w:space="0" w:color="auto"/>
              <w:bottom w:val="nil" w:sz="6" w:space="0" w:color="auto"/>
              <w:right w:val="nil" w:sz="6" w:space="0" w:color="auto"/>
            </w:tcBorders>
          </w:tcPr>
          <w:p>
            <w:pPr>
              <w:pStyle w:val="TableParagraph"/>
              <w:spacing w:line="215" w:lineRule="exact"/>
              <w:ind w:left="172" w:right="0" w:hanging="81"/>
              <w:jc w:val="left"/>
              <w:rPr>
                <w:rFonts w:ascii="黑体" w:hAnsi="黑体" w:cs="黑体" w:eastAsia="黑体" w:hint="default"/>
                <w:sz w:val="18"/>
                <w:szCs w:val="18"/>
              </w:rPr>
            </w:pPr>
            <w:r>
              <w:rPr>
                <w:rFonts w:ascii="黑体" w:hAnsi="黑体" w:cs="黑体" w:eastAsia="黑体" w:hint="default"/>
                <w:sz w:val="18"/>
                <w:szCs w:val="18"/>
              </w:rPr>
              <w:t>比例</w:t>
            </w:r>
          </w:p>
          <w:p>
            <w:pPr>
              <w:pStyle w:val="TableParagraph"/>
              <w:spacing w:line="240" w:lineRule="auto" w:before="74"/>
              <w:ind w:left="172" w:right="0"/>
              <w:jc w:val="left"/>
              <w:rPr>
                <w:rFonts w:ascii="Arial" w:hAnsi="Arial" w:cs="Arial" w:eastAsia="Arial" w:hint="default"/>
                <w:sz w:val="18"/>
                <w:szCs w:val="18"/>
              </w:rPr>
            </w:pPr>
            <w:r>
              <w:rPr>
                <w:rFonts w:ascii="Arial"/>
                <w:sz w:val="18"/>
              </w:rPr>
              <w:t>(%)</w:t>
            </w:r>
          </w:p>
        </w:tc>
        <w:tc>
          <w:tcPr>
            <w:tcW w:w="1165" w:type="dxa"/>
            <w:tcBorders>
              <w:top w:val="nil" w:sz="6" w:space="0" w:color="auto"/>
              <w:left w:val="nil" w:sz="6" w:space="0" w:color="auto"/>
              <w:bottom w:val="nil" w:sz="6" w:space="0" w:color="auto"/>
              <w:right w:val="nil" w:sz="6" w:space="0" w:color="auto"/>
            </w:tcBorders>
          </w:tcPr>
          <w:p>
            <w:pPr>
              <w:pStyle w:val="TableParagraph"/>
              <w:spacing w:line="215" w:lineRule="exact"/>
              <w:ind w:right="163"/>
              <w:jc w:val="right"/>
              <w:rPr>
                <w:rFonts w:ascii="黑体" w:hAnsi="黑体" w:cs="黑体" w:eastAsia="黑体" w:hint="default"/>
                <w:sz w:val="18"/>
                <w:szCs w:val="18"/>
              </w:rPr>
            </w:pPr>
            <w:r>
              <w:rPr>
                <w:rFonts w:ascii="黑体" w:hAnsi="黑体" w:cs="黑体" w:eastAsia="黑体" w:hint="default"/>
                <w:sz w:val="18"/>
                <w:szCs w:val="18"/>
              </w:rPr>
              <w:t>金额</w:t>
            </w:r>
          </w:p>
        </w:tc>
        <w:tc>
          <w:tcPr>
            <w:tcW w:w="561" w:type="dxa"/>
            <w:tcBorders>
              <w:top w:val="nil" w:sz="6" w:space="0" w:color="auto"/>
              <w:left w:val="nil" w:sz="6" w:space="0" w:color="auto"/>
              <w:bottom w:val="nil" w:sz="6" w:space="0" w:color="auto"/>
              <w:right w:val="nil" w:sz="6" w:space="0" w:color="auto"/>
            </w:tcBorders>
          </w:tcPr>
          <w:p>
            <w:pPr>
              <w:pStyle w:val="TableParagraph"/>
              <w:spacing w:line="215" w:lineRule="exact"/>
              <w:ind w:left="245" w:right="0" w:hanging="81"/>
              <w:jc w:val="left"/>
              <w:rPr>
                <w:rFonts w:ascii="黑体" w:hAnsi="黑体" w:cs="黑体" w:eastAsia="黑体" w:hint="default"/>
                <w:sz w:val="18"/>
                <w:szCs w:val="18"/>
              </w:rPr>
            </w:pPr>
            <w:r>
              <w:rPr>
                <w:rFonts w:ascii="黑体" w:hAnsi="黑体" w:cs="黑体" w:eastAsia="黑体" w:hint="default"/>
                <w:sz w:val="18"/>
                <w:szCs w:val="18"/>
              </w:rPr>
              <w:t>比例</w:t>
            </w:r>
          </w:p>
          <w:p>
            <w:pPr>
              <w:pStyle w:val="TableParagraph"/>
              <w:spacing w:line="240" w:lineRule="auto" w:before="74"/>
              <w:ind w:left="245" w:right="0"/>
              <w:jc w:val="left"/>
              <w:rPr>
                <w:rFonts w:ascii="Arial" w:hAnsi="Arial" w:cs="Arial" w:eastAsia="Arial" w:hint="default"/>
                <w:sz w:val="18"/>
                <w:szCs w:val="18"/>
              </w:rPr>
            </w:pPr>
            <w:r>
              <w:rPr>
                <w:rFonts w:ascii="Arial"/>
                <w:sz w:val="18"/>
              </w:rPr>
              <w:t>(%)</w:t>
            </w:r>
          </w:p>
        </w:tc>
      </w:tr>
      <w:tr>
        <w:trPr>
          <w:trHeight w:val="382" w:hRule="exact"/>
        </w:trPr>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98"/>
              <w:ind w:left="35" w:right="0"/>
              <w:jc w:val="left"/>
              <w:rPr>
                <w:rFonts w:ascii="黑体" w:hAnsi="黑体" w:cs="黑体" w:eastAsia="黑体" w:hint="default"/>
                <w:sz w:val="18"/>
                <w:szCs w:val="18"/>
              </w:rPr>
            </w:pPr>
            <w:r>
              <w:rPr>
                <w:rFonts w:ascii="Arial" w:hAnsi="Arial" w:cs="Arial" w:eastAsia="Arial" w:hint="default"/>
                <w:sz w:val="18"/>
                <w:szCs w:val="18"/>
              </w:rPr>
              <w:t>1-2</w:t>
            </w:r>
            <w:r>
              <w:rPr>
                <w:rFonts w:ascii="Arial" w:hAnsi="Arial" w:cs="Arial" w:eastAsia="Arial" w:hint="default"/>
                <w:spacing w:val="-9"/>
                <w:sz w:val="18"/>
                <w:szCs w:val="18"/>
              </w:rPr>
              <w:t> </w:t>
            </w:r>
            <w:r>
              <w:rPr>
                <w:rFonts w:ascii="黑体" w:hAnsi="黑体" w:cs="黑体" w:eastAsia="黑体" w:hint="default"/>
                <w:sz w:val="18"/>
                <w:szCs w:val="18"/>
              </w:rPr>
              <w:t>年</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153"/>
              <w:ind w:right="90"/>
              <w:jc w:val="right"/>
              <w:rPr>
                <w:rFonts w:ascii="Arial" w:hAnsi="Arial" w:cs="Arial" w:eastAsia="Arial" w:hint="default"/>
                <w:sz w:val="18"/>
                <w:szCs w:val="18"/>
              </w:rPr>
            </w:pPr>
            <w:r>
              <w:rPr>
                <w:rFonts w:ascii="Arial"/>
                <w:spacing w:val="-1"/>
                <w:sz w:val="18"/>
              </w:rPr>
              <w:t>7,039,747</w:t>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before="153"/>
              <w:ind w:left="98" w:right="0"/>
              <w:jc w:val="center"/>
              <w:rPr>
                <w:rFonts w:ascii="Arial" w:hAnsi="Arial" w:cs="Arial" w:eastAsia="Arial" w:hint="default"/>
                <w:sz w:val="18"/>
                <w:szCs w:val="18"/>
              </w:rPr>
            </w:pPr>
            <w:r>
              <w:rPr>
                <w:rFonts w:ascii="Arial"/>
                <w:sz w:val="18"/>
              </w:rPr>
              <w:t>41</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53"/>
              <w:ind w:right="89"/>
              <w:jc w:val="right"/>
              <w:rPr>
                <w:rFonts w:ascii="Arial" w:hAnsi="Arial" w:cs="Arial" w:eastAsia="Arial" w:hint="default"/>
                <w:sz w:val="18"/>
                <w:szCs w:val="18"/>
              </w:rPr>
            </w:pPr>
            <w:r>
              <w:rPr>
                <w:rFonts w:ascii="Arial"/>
                <w:spacing w:val="-1"/>
                <w:sz w:val="18"/>
              </w:rPr>
              <w:t>465,212</w:t>
            </w:r>
          </w:p>
        </w:tc>
        <w:tc>
          <w:tcPr>
            <w:tcW w:w="597" w:type="dxa"/>
            <w:tcBorders>
              <w:top w:val="nil" w:sz="6" w:space="0" w:color="auto"/>
              <w:left w:val="nil" w:sz="6" w:space="0" w:color="auto"/>
              <w:bottom w:val="nil" w:sz="6" w:space="0" w:color="auto"/>
              <w:right w:val="nil" w:sz="6" w:space="0" w:color="auto"/>
            </w:tcBorders>
          </w:tcPr>
          <w:p>
            <w:pPr>
              <w:pStyle w:val="TableParagraph"/>
              <w:spacing w:line="240" w:lineRule="auto" w:before="153"/>
              <w:ind w:right="143"/>
              <w:jc w:val="right"/>
              <w:rPr>
                <w:rFonts w:ascii="Arial" w:hAnsi="Arial" w:cs="Arial" w:eastAsia="Arial" w:hint="default"/>
                <w:sz w:val="18"/>
                <w:szCs w:val="18"/>
              </w:rPr>
            </w:pPr>
            <w:r>
              <w:rPr>
                <w:rFonts w:ascii="Arial"/>
                <w:w w:val="99"/>
                <w:sz w:val="18"/>
              </w:rPr>
              <w:t>7</w:t>
            </w:r>
            <w:r>
              <w:rPr>
                <w:rFonts w:ascii="Arial"/>
                <w:sz w:val="18"/>
              </w:rPr>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53"/>
              <w:ind w:right="90"/>
              <w:jc w:val="right"/>
              <w:rPr>
                <w:rFonts w:ascii="Arial" w:hAnsi="Arial" w:cs="Arial" w:eastAsia="Arial" w:hint="default"/>
                <w:sz w:val="18"/>
                <w:szCs w:val="18"/>
              </w:rPr>
            </w:pPr>
            <w:r>
              <w:rPr>
                <w:rFonts w:ascii="Arial"/>
                <w:spacing w:val="-1"/>
                <w:sz w:val="18"/>
              </w:rPr>
              <w:t>4,652,754</w:t>
            </w:r>
          </w:p>
        </w:tc>
        <w:tc>
          <w:tcPr>
            <w:tcW w:w="652" w:type="dxa"/>
            <w:tcBorders>
              <w:top w:val="nil" w:sz="6" w:space="0" w:color="auto"/>
              <w:left w:val="nil" w:sz="6" w:space="0" w:color="auto"/>
              <w:bottom w:val="nil" w:sz="6" w:space="0" w:color="auto"/>
              <w:right w:val="nil" w:sz="6" w:space="0" w:color="auto"/>
            </w:tcBorders>
          </w:tcPr>
          <w:p>
            <w:pPr>
              <w:pStyle w:val="TableParagraph"/>
              <w:spacing w:line="240" w:lineRule="auto" w:before="153"/>
              <w:ind w:left="53" w:right="0"/>
              <w:jc w:val="center"/>
              <w:rPr>
                <w:rFonts w:ascii="Arial" w:hAnsi="Arial" w:cs="Arial" w:eastAsia="Arial" w:hint="default"/>
                <w:sz w:val="18"/>
                <w:szCs w:val="18"/>
              </w:rPr>
            </w:pPr>
            <w:r>
              <w:rPr>
                <w:rFonts w:ascii="Arial"/>
                <w:sz w:val="18"/>
              </w:rPr>
              <w:t>35</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53"/>
              <w:ind w:right="163"/>
              <w:jc w:val="right"/>
              <w:rPr>
                <w:rFonts w:ascii="Arial" w:hAnsi="Arial" w:cs="Arial" w:eastAsia="Arial" w:hint="default"/>
                <w:sz w:val="18"/>
                <w:szCs w:val="18"/>
              </w:rPr>
            </w:pPr>
            <w:r>
              <w:rPr>
                <w:rFonts w:ascii="Arial"/>
                <w:spacing w:val="-1"/>
                <w:sz w:val="18"/>
              </w:rPr>
              <w:t>1,474,465</w:t>
            </w:r>
          </w:p>
        </w:tc>
        <w:tc>
          <w:tcPr>
            <w:tcW w:w="561" w:type="dxa"/>
            <w:tcBorders>
              <w:top w:val="nil" w:sz="6" w:space="0" w:color="auto"/>
              <w:left w:val="nil" w:sz="6" w:space="0" w:color="auto"/>
              <w:bottom w:val="nil" w:sz="6" w:space="0" w:color="auto"/>
              <w:right w:val="nil" w:sz="6" w:space="0" w:color="auto"/>
            </w:tcBorders>
          </w:tcPr>
          <w:p>
            <w:pPr>
              <w:pStyle w:val="TableParagraph"/>
              <w:spacing w:line="240" w:lineRule="auto" w:before="153"/>
              <w:ind w:right="33"/>
              <w:jc w:val="right"/>
              <w:rPr>
                <w:rFonts w:ascii="Arial" w:hAnsi="Arial" w:cs="Arial" w:eastAsia="Arial" w:hint="default"/>
                <w:sz w:val="18"/>
                <w:szCs w:val="18"/>
              </w:rPr>
            </w:pPr>
            <w:r>
              <w:rPr>
                <w:rFonts w:ascii="Arial"/>
                <w:spacing w:val="-1"/>
                <w:sz w:val="18"/>
              </w:rPr>
              <w:t>32</w:t>
            </w:r>
          </w:p>
        </w:tc>
      </w:tr>
      <w:tr>
        <w:trPr>
          <w:trHeight w:val="255" w:hRule="exact"/>
        </w:trPr>
        <w:tc>
          <w:tcPr>
            <w:tcW w:w="915" w:type="dxa"/>
            <w:tcBorders>
              <w:top w:val="nil" w:sz="6" w:space="0" w:color="auto"/>
              <w:left w:val="nil" w:sz="6" w:space="0" w:color="auto"/>
              <w:bottom w:val="nil" w:sz="6" w:space="0" w:color="auto"/>
              <w:right w:val="nil" w:sz="6" w:space="0" w:color="auto"/>
            </w:tcBorders>
          </w:tcPr>
          <w:p>
            <w:pPr>
              <w:pStyle w:val="TableParagraph"/>
              <w:spacing w:line="219" w:lineRule="exact"/>
              <w:ind w:left="35" w:right="0"/>
              <w:jc w:val="left"/>
              <w:rPr>
                <w:rFonts w:ascii="黑体" w:hAnsi="黑体" w:cs="黑体" w:eastAsia="黑体" w:hint="default"/>
                <w:sz w:val="18"/>
                <w:szCs w:val="18"/>
              </w:rPr>
            </w:pPr>
            <w:r>
              <w:rPr>
                <w:rFonts w:ascii="Arial" w:hAnsi="Arial" w:cs="Arial" w:eastAsia="Arial" w:hint="default"/>
                <w:sz w:val="18"/>
                <w:szCs w:val="18"/>
              </w:rPr>
              <w:t>2-3</w:t>
            </w:r>
            <w:r>
              <w:rPr>
                <w:rFonts w:ascii="Arial" w:hAnsi="Arial" w:cs="Arial" w:eastAsia="Arial" w:hint="default"/>
                <w:spacing w:val="-9"/>
                <w:sz w:val="18"/>
                <w:szCs w:val="18"/>
              </w:rPr>
              <w:t> </w:t>
            </w:r>
            <w:r>
              <w:rPr>
                <w:rFonts w:ascii="黑体" w:hAnsi="黑体" w:cs="黑体" w:eastAsia="黑体" w:hint="default"/>
                <w:sz w:val="18"/>
                <w:szCs w:val="18"/>
              </w:rPr>
              <w:t>年</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0"/>
              <w:jc w:val="right"/>
              <w:rPr>
                <w:rFonts w:ascii="Arial" w:hAnsi="Arial" w:cs="Arial" w:eastAsia="Arial" w:hint="default"/>
                <w:sz w:val="18"/>
                <w:szCs w:val="18"/>
              </w:rPr>
            </w:pPr>
            <w:r>
              <w:rPr>
                <w:rFonts w:ascii="Arial"/>
                <w:spacing w:val="-1"/>
                <w:sz w:val="18"/>
              </w:rPr>
              <w:t>4,909,794</w:t>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99" w:right="0"/>
              <w:jc w:val="center"/>
              <w:rPr>
                <w:rFonts w:ascii="Arial" w:hAnsi="Arial" w:cs="Arial" w:eastAsia="Arial" w:hint="default"/>
                <w:sz w:val="18"/>
                <w:szCs w:val="18"/>
              </w:rPr>
            </w:pPr>
            <w:r>
              <w:rPr>
                <w:rFonts w:ascii="Arial"/>
                <w:sz w:val="18"/>
              </w:rPr>
              <w:t>29</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89"/>
              <w:jc w:val="right"/>
              <w:rPr>
                <w:rFonts w:ascii="Arial" w:hAnsi="Arial" w:cs="Arial" w:eastAsia="Arial" w:hint="default"/>
                <w:sz w:val="18"/>
                <w:szCs w:val="18"/>
              </w:rPr>
            </w:pPr>
            <w:r>
              <w:rPr>
                <w:rFonts w:ascii="Arial"/>
                <w:spacing w:val="-1"/>
                <w:sz w:val="18"/>
              </w:rPr>
              <w:t>90,128</w:t>
            </w:r>
          </w:p>
        </w:tc>
        <w:tc>
          <w:tcPr>
            <w:tcW w:w="59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43"/>
              <w:jc w:val="right"/>
              <w:rPr>
                <w:rFonts w:ascii="Arial" w:hAnsi="Arial" w:cs="Arial" w:eastAsia="Arial" w:hint="default"/>
                <w:sz w:val="18"/>
                <w:szCs w:val="18"/>
              </w:rPr>
            </w:pPr>
            <w:r>
              <w:rPr>
                <w:rFonts w:ascii="Arial"/>
                <w:w w:val="99"/>
                <w:sz w:val="18"/>
              </w:rPr>
              <w:t>2</w:t>
            </w:r>
            <w:r>
              <w:rPr>
                <w:rFonts w:ascii="Arial"/>
                <w:sz w:val="18"/>
              </w:rPr>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0"/>
              <w:jc w:val="right"/>
              <w:rPr>
                <w:rFonts w:ascii="Arial" w:hAnsi="Arial" w:cs="Arial" w:eastAsia="Arial" w:hint="default"/>
                <w:sz w:val="18"/>
                <w:szCs w:val="18"/>
              </w:rPr>
            </w:pPr>
            <w:r>
              <w:rPr>
                <w:rFonts w:ascii="Arial"/>
                <w:spacing w:val="-1"/>
                <w:sz w:val="18"/>
              </w:rPr>
              <w:t>4,491,753</w:t>
            </w:r>
          </w:p>
        </w:tc>
        <w:tc>
          <w:tcPr>
            <w:tcW w:w="65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53" w:right="0"/>
              <w:jc w:val="center"/>
              <w:rPr>
                <w:rFonts w:ascii="Arial" w:hAnsi="Arial" w:cs="Arial" w:eastAsia="Arial" w:hint="default"/>
                <w:sz w:val="18"/>
                <w:szCs w:val="18"/>
              </w:rPr>
            </w:pPr>
            <w:r>
              <w:rPr>
                <w:rFonts w:ascii="Arial"/>
                <w:sz w:val="18"/>
              </w:rPr>
              <w:t>33</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63"/>
              <w:jc w:val="right"/>
              <w:rPr>
                <w:rFonts w:ascii="Arial" w:hAnsi="Arial" w:cs="Arial" w:eastAsia="Arial" w:hint="default"/>
                <w:sz w:val="18"/>
                <w:szCs w:val="18"/>
              </w:rPr>
            </w:pPr>
            <w:r>
              <w:rPr>
                <w:rFonts w:ascii="Arial"/>
                <w:spacing w:val="-1"/>
                <w:sz w:val="18"/>
              </w:rPr>
              <w:t>80,000</w:t>
            </w:r>
          </w:p>
        </w:tc>
        <w:tc>
          <w:tcPr>
            <w:tcW w:w="56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3"/>
              <w:jc w:val="right"/>
              <w:rPr>
                <w:rFonts w:ascii="Arial" w:hAnsi="Arial" w:cs="Arial" w:eastAsia="Arial" w:hint="default"/>
                <w:sz w:val="18"/>
                <w:szCs w:val="18"/>
              </w:rPr>
            </w:pPr>
            <w:r>
              <w:rPr>
                <w:rFonts w:ascii="Arial"/>
                <w:w w:val="99"/>
                <w:sz w:val="18"/>
              </w:rPr>
              <w:t>2</w:t>
            </w:r>
            <w:r>
              <w:rPr>
                <w:rFonts w:ascii="Arial"/>
                <w:sz w:val="18"/>
              </w:rPr>
            </w:r>
          </w:p>
        </w:tc>
      </w:tr>
      <w:tr>
        <w:trPr>
          <w:trHeight w:val="266" w:hRule="exact"/>
        </w:trPr>
        <w:tc>
          <w:tcPr>
            <w:tcW w:w="915" w:type="dxa"/>
            <w:tcBorders>
              <w:top w:val="nil" w:sz="6" w:space="0" w:color="auto"/>
              <w:left w:val="nil" w:sz="6" w:space="0" w:color="auto"/>
              <w:bottom w:val="nil" w:sz="6" w:space="0" w:color="auto"/>
              <w:right w:val="nil" w:sz="6" w:space="0" w:color="auto"/>
            </w:tcBorders>
          </w:tcPr>
          <w:p>
            <w:pPr>
              <w:pStyle w:val="TableParagraph"/>
              <w:spacing w:line="220" w:lineRule="exact"/>
              <w:ind w:left="35" w:right="0"/>
              <w:jc w:val="left"/>
              <w:rPr>
                <w:rFonts w:ascii="黑体" w:hAnsi="黑体" w:cs="黑体" w:eastAsia="黑体" w:hint="default"/>
                <w:sz w:val="18"/>
                <w:szCs w:val="18"/>
              </w:rPr>
            </w:pPr>
            <w:r>
              <w:rPr>
                <w:rFonts w:ascii="Arial" w:hAnsi="Arial" w:cs="Arial" w:eastAsia="Arial" w:hint="default"/>
                <w:sz w:val="18"/>
                <w:szCs w:val="18"/>
              </w:rPr>
              <w:t>3</w:t>
            </w:r>
            <w:r>
              <w:rPr>
                <w:rFonts w:ascii="Arial" w:hAnsi="Arial" w:cs="Arial" w:eastAsia="Arial" w:hint="default"/>
                <w:spacing w:val="-8"/>
                <w:sz w:val="18"/>
                <w:szCs w:val="18"/>
              </w:rPr>
              <w:t> </w:t>
            </w:r>
            <w:r>
              <w:rPr>
                <w:rFonts w:ascii="黑体" w:hAnsi="黑体" w:cs="黑体" w:eastAsia="黑体" w:hint="default"/>
                <w:sz w:val="18"/>
                <w:szCs w:val="18"/>
              </w:rPr>
              <w:t>年以上</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sz w:val="18"/>
                <w:u w:val="single" w:color="000000"/>
              </w:rPr>
              <w:t>5,236,406</w:t>
            </w:r>
            <w:r>
              <w:rPr>
                <w:rFonts w:ascii="Arial"/>
                <w:spacing w:val="-1"/>
                <w:sz w:val="18"/>
              </w:rPr>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9"/>
              <w:jc w:val="center"/>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9"/>
                <w:sz w:val="18"/>
                <w:u w:val="single" w:color="000000"/>
              </w:rPr>
              <w:t> </w:t>
            </w:r>
            <w:r>
              <w:rPr>
                <w:rFonts w:ascii="Arial"/>
                <w:sz w:val="18"/>
                <w:u w:val="single" w:color="000000"/>
              </w:rPr>
              <w:t>30</w:t>
            </w:r>
            <w:r>
              <w:rPr>
                <w:rFonts w:ascii="Arial"/>
                <w:sz w:val="18"/>
              </w:rPr>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89"/>
              <w:jc w:val="right"/>
              <w:rPr>
                <w:rFonts w:ascii="Arial" w:hAnsi="Arial" w:cs="Arial" w:eastAsia="Arial" w:hint="default"/>
                <w:sz w:val="18"/>
                <w:szCs w:val="18"/>
              </w:rPr>
            </w:pPr>
            <w:r>
              <w:rPr>
                <w:rFonts w:ascii="Arial"/>
                <w:w w:val="99"/>
                <w:sz w:val="18"/>
              </w:rPr>
            </w:r>
            <w:r>
              <w:rPr>
                <w:rFonts w:ascii="Arial"/>
                <w:spacing w:val="-1"/>
                <w:sz w:val="18"/>
                <w:u w:val="single" w:color="000000"/>
              </w:rPr>
              <w:t>2,427,837</w:t>
            </w:r>
            <w:r>
              <w:rPr>
                <w:rFonts w:ascii="Arial"/>
                <w:spacing w:val="-1"/>
                <w:sz w:val="18"/>
              </w:rPr>
            </w:r>
          </w:p>
        </w:tc>
        <w:tc>
          <w:tcPr>
            <w:tcW w:w="59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43"/>
              <w:jc w:val="right"/>
              <w:rPr>
                <w:rFonts w:ascii="Arial" w:hAnsi="Arial" w:cs="Arial" w:eastAsia="Arial" w:hint="default"/>
                <w:sz w:val="18"/>
                <w:szCs w:val="18"/>
              </w:rPr>
            </w:pPr>
            <w:r>
              <w:rPr>
                <w:rFonts w:ascii="Arial"/>
                <w:spacing w:val="-1"/>
                <w:w w:val="95"/>
                <w:sz w:val="18"/>
              </w:rPr>
              <w:t>46</w:t>
            </w:r>
            <w:r>
              <w:rPr>
                <w:rFonts w:ascii="Arial"/>
                <w:sz w:val="18"/>
              </w:rPr>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1"/>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sz w:val="18"/>
                <w:u w:val="single" w:color="000000"/>
              </w:rPr>
              <w:t>4,282,486</w:t>
            </w:r>
            <w:r>
              <w:rPr>
                <w:rFonts w:ascii="Arial"/>
                <w:spacing w:val="-1"/>
                <w:sz w:val="18"/>
              </w:rPr>
            </w:r>
          </w:p>
        </w:tc>
        <w:tc>
          <w:tcPr>
            <w:tcW w:w="65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65"/>
              <w:jc w:val="center"/>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9"/>
                <w:sz w:val="18"/>
                <w:u w:val="single" w:color="000000"/>
              </w:rPr>
              <w:t> </w:t>
            </w:r>
            <w:r>
              <w:rPr>
                <w:rFonts w:ascii="Arial"/>
                <w:sz w:val="18"/>
                <w:u w:val="single" w:color="000000"/>
              </w:rPr>
              <w:t>32</w:t>
            </w:r>
            <w:r>
              <w:rPr>
                <w:rFonts w:ascii="Arial"/>
                <w:sz w:val="18"/>
              </w:rPr>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63"/>
              <w:jc w:val="right"/>
              <w:rPr>
                <w:rFonts w:ascii="Arial" w:hAnsi="Arial" w:cs="Arial" w:eastAsia="Arial" w:hint="default"/>
                <w:sz w:val="18"/>
                <w:szCs w:val="18"/>
              </w:rPr>
            </w:pPr>
            <w:r>
              <w:rPr>
                <w:rFonts w:ascii="Arial"/>
                <w:w w:val="99"/>
                <w:sz w:val="18"/>
              </w:rPr>
            </w:r>
            <w:r>
              <w:rPr>
                <w:rFonts w:ascii="Arial"/>
                <w:spacing w:val="-1"/>
                <w:sz w:val="18"/>
                <w:u w:val="single" w:color="000000"/>
              </w:rPr>
              <w:t>2,028,494</w:t>
            </w:r>
            <w:r>
              <w:rPr>
                <w:rFonts w:ascii="Arial"/>
                <w:spacing w:val="-1"/>
                <w:sz w:val="18"/>
              </w:rPr>
            </w:r>
          </w:p>
        </w:tc>
        <w:tc>
          <w:tcPr>
            <w:tcW w:w="56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3"/>
              <w:jc w:val="right"/>
              <w:rPr>
                <w:rFonts w:ascii="Arial" w:hAnsi="Arial" w:cs="Arial" w:eastAsia="Arial" w:hint="default"/>
                <w:sz w:val="18"/>
                <w:szCs w:val="18"/>
              </w:rPr>
            </w:pPr>
            <w:r>
              <w:rPr>
                <w:rFonts w:ascii="Arial"/>
                <w:spacing w:val="-1"/>
                <w:w w:val="95"/>
                <w:sz w:val="18"/>
              </w:rPr>
              <w:t>47</w:t>
            </w:r>
            <w:r>
              <w:rPr>
                <w:rFonts w:ascii="Arial"/>
                <w:sz w:val="18"/>
              </w:rPr>
            </w:r>
          </w:p>
        </w:tc>
      </w:tr>
      <w:tr>
        <w:trPr>
          <w:trHeight w:val="317" w:hRule="exact"/>
        </w:trPr>
        <w:tc>
          <w:tcPr>
            <w:tcW w:w="915" w:type="dxa"/>
            <w:tcBorders>
              <w:top w:val="nil" w:sz="6" w:space="0" w:color="auto"/>
              <w:left w:val="nil" w:sz="6" w:space="0" w:color="auto"/>
              <w:bottom w:val="nil" w:sz="6" w:space="0" w:color="auto"/>
              <w:right w:val="nil" w:sz="6" w:space="0" w:color="auto"/>
            </w:tcBorders>
          </w:tcPr>
          <w:p>
            <w:pP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91"/>
              <w:jc w:val="right"/>
              <w:rPr>
                <w:rFonts w:ascii="Arial" w:hAnsi="Arial" w:cs="Arial" w:eastAsia="Arial" w:hint="default"/>
                <w:sz w:val="18"/>
                <w:szCs w:val="18"/>
              </w:rPr>
            </w:pPr>
            <w:r>
              <w:rPr>
                <w:rFonts w:ascii="Arial"/>
                <w:w w:val="99"/>
                <w:sz w:val="18"/>
              </w:rPr>
            </w:r>
            <w:r>
              <w:rPr>
                <w:rFonts w:ascii="Arial"/>
                <w:spacing w:val="-1"/>
                <w:sz w:val="18"/>
                <w:u w:val="thick" w:color="000000"/>
              </w:rPr>
              <w:t>17,185,947</w:t>
            </w:r>
            <w:r>
              <w:rPr>
                <w:rFonts w:ascii="Arial"/>
                <w:spacing w:val="-1"/>
                <w:sz w:val="18"/>
              </w:rPr>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
              <w:jc w:val="center"/>
              <w:rPr>
                <w:rFonts w:ascii="Arial" w:hAnsi="Arial" w:cs="Arial" w:eastAsia="Arial" w:hint="default"/>
                <w:sz w:val="18"/>
                <w:szCs w:val="18"/>
              </w:rPr>
            </w:pPr>
            <w:r>
              <w:rPr>
                <w:rFonts w:ascii="Arial"/>
                <w:w w:val="99"/>
                <w:sz w:val="18"/>
              </w:rPr>
            </w:r>
            <w:r>
              <w:rPr>
                <w:rFonts w:ascii="Arial"/>
                <w:sz w:val="18"/>
                <w:u w:val="thick" w:color="000000"/>
              </w:rPr>
              <w:t>100</w:t>
            </w:r>
            <w:r>
              <w:rPr>
                <w:rFonts w:ascii="Arial"/>
                <w:sz w:val="18"/>
              </w:rPr>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9"/>
              <w:jc w:val="right"/>
              <w:rPr>
                <w:rFonts w:ascii="Arial" w:hAnsi="Arial" w:cs="Arial" w:eastAsia="Arial" w:hint="default"/>
                <w:sz w:val="18"/>
                <w:szCs w:val="18"/>
              </w:rPr>
            </w:pPr>
            <w:r>
              <w:rPr>
                <w:rFonts w:ascii="Arial"/>
                <w:w w:val="99"/>
                <w:sz w:val="18"/>
              </w:rPr>
            </w:r>
            <w:r>
              <w:rPr>
                <w:rFonts w:ascii="Arial"/>
                <w:spacing w:val="-1"/>
                <w:sz w:val="18"/>
                <w:u w:val="thick" w:color="000000"/>
              </w:rPr>
              <w:t>2,983,177</w:t>
            </w:r>
            <w:r>
              <w:rPr>
                <w:rFonts w:ascii="Arial"/>
                <w:spacing w:val="-1"/>
                <w:sz w:val="18"/>
              </w:rPr>
            </w:r>
          </w:p>
        </w:tc>
        <w:tc>
          <w:tcPr>
            <w:tcW w:w="597"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91"/>
              <w:jc w:val="right"/>
              <w:rPr>
                <w:rFonts w:ascii="Arial" w:hAnsi="Arial" w:cs="Arial" w:eastAsia="Arial" w:hint="default"/>
                <w:sz w:val="18"/>
                <w:szCs w:val="18"/>
              </w:rPr>
            </w:pPr>
            <w:r>
              <w:rPr>
                <w:rFonts w:ascii="Arial"/>
                <w:w w:val="99"/>
                <w:sz w:val="18"/>
              </w:rPr>
            </w:r>
            <w:r>
              <w:rPr>
                <w:rFonts w:ascii="Arial"/>
                <w:spacing w:val="-1"/>
                <w:sz w:val="18"/>
                <w:u w:val="thick" w:color="000000"/>
              </w:rPr>
              <w:t>13,426,993</w:t>
            </w:r>
            <w:r>
              <w:rPr>
                <w:rFonts w:ascii="Arial"/>
                <w:spacing w:val="-1"/>
                <w:sz w:val="18"/>
              </w:rPr>
            </w:r>
          </w:p>
        </w:tc>
        <w:tc>
          <w:tcPr>
            <w:tcW w:w="65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5"/>
              <w:jc w:val="center"/>
              <w:rPr>
                <w:rFonts w:ascii="Arial" w:hAnsi="Arial" w:cs="Arial" w:eastAsia="Arial" w:hint="default"/>
                <w:sz w:val="18"/>
                <w:szCs w:val="18"/>
              </w:rPr>
            </w:pPr>
            <w:r>
              <w:rPr>
                <w:rFonts w:ascii="Arial"/>
                <w:w w:val="99"/>
                <w:sz w:val="18"/>
              </w:rPr>
            </w:r>
            <w:r>
              <w:rPr>
                <w:rFonts w:ascii="Arial"/>
                <w:sz w:val="18"/>
                <w:u w:val="thick" w:color="000000"/>
              </w:rPr>
              <w:t>100</w:t>
            </w:r>
            <w:r>
              <w:rPr>
                <w:rFonts w:ascii="Arial"/>
                <w:sz w:val="18"/>
              </w:rPr>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63"/>
              <w:jc w:val="right"/>
              <w:rPr>
                <w:rFonts w:ascii="Arial" w:hAnsi="Arial" w:cs="Arial" w:eastAsia="Arial" w:hint="default"/>
                <w:sz w:val="18"/>
                <w:szCs w:val="18"/>
              </w:rPr>
            </w:pPr>
            <w:r>
              <w:rPr>
                <w:rFonts w:ascii="Arial"/>
                <w:w w:val="99"/>
                <w:sz w:val="18"/>
              </w:rPr>
            </w:r>
            <w:r>
              <w:rPr>
                <w:rFonts w:ascii="Arial"/>
                <w:spacing w:val="-1"/>
                <w:sz w:val="18"/>
                <w:u w:val="thick" w:color="000000"/>
              </w:rPr>
              <w:t>3,582,959</w:t>
            </w:r>
            <w:r>
              <w:rPr>
                <w:rFonts w:ascii="Arial"/>
                <w:spacing w:val="-1"/>
                <w:sz w:val="18"/>
              </w:rPr>
            </w:r>
          </w:p>
        </w:tc>
        <w:tc>
          <w:tcPr>
            <w:tcW w:w="561"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958" w:footer="469" w:top="2380" w:bottom="660" w:left="1560" w:right="1540"/>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7"/>
          <w:szCs w:val="17"/>
        </w:rPr>
      </w:pPr>
    </w:p>
    <w:p>
      <w:pPr>
        <w:tabs>
          <w:tab w:pos="843" w:val="left" w:leader="none"/>
        </w:tabs>
        <w:spacing w:before="38"/>
        <w:ind w:left="141" w:right="112"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61" w:val="left" w:leader="none"/>
        </w:tabs>
        <w:spacing w:line="424" w:lineRule="auto" w:before="0"/>
        <w:ind w:left="855" w:right="3436" w:hanging="715"/>
        <w:jc w:val="left"/>
        <w:rPr>
          <w:rFonts w:ascii="黑体" w:hAnsi="黑体" w:cs="黑体" w:eastAsia="黑体" w:hint="default"/>
          <w:sz w:val="20"/>
          <w:szCs w:val="20"/>
        </w:rPr>
      </w:pPr>
      <w:r>
        <w:rPr>
          <w:rFonts w:ascii="Arial" w:hAnsi="Arial" w:cs="Arial" w:eastAsia="Arial" w:hint="default"/>
          <w:b/>
          <w:bCs/>
          <w:spacing w:val="-1"/>
          <w:sz w:val="20"/>
          <w:szCs w:val="20"/>
        </w:rPr>
        <w:t>6.</w:t>
        <w:tab/>
        <w:tab/>
      </w:r>
      <w:r>
        <w:rPr>
          <w:rFonts w:ascii="黑体" w:hAnsi="黑体" w:cs="黑体" w:eastAsia="黑体" w:hint="default"/>
          <w:b/>
          <w:bCs/>
          <w:sz w:val="20"/>
          <w:szCs w:val="20"/>
        </w:rPr>
        <w:t>其他应收款（续）</w:t>
      </w:r>
      <w:r>
        <w:rPr>
          <w:rFonts w:ascii="黑体" w:hAnsi="黑体" w:cs="黑体" w:eastAsia="黑体" w:hint="default"/>
          <w:b/>
          <w:bCs/>
          <w:w w:val="99"/>
          <w:sz w:val="20"/>
          <w:szCs w:val="20"/>
        </w:rPr>
        <w:t> </w:t>
      </w:r>
      <w:r>
        <w:rPr>
          <w:rFonts w:ascii="黑体" w:hAnsi="黑体" w:cs="黑体" w:eastAsia="黑体" w:hint="default"/>
          <w:spacing w:val="-1"/>
          <w:sz w:val="20"/>
          <w:szCs w:val="20"/>
        </w:rPr>
        <w:t>于</w:t>
      </w: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日，其他应收款金额前五名如下：</w:t>
      </w:r>
    </w:p>
    <w:p>
      <w:pPr>
        <w:pStyle w:val="BodyText"/>
        <w:tabs>
          <w:tab w:pos="1933" w:val="left" w:leader="none"/>
          <w:tab w:pos="2773" w:val="left" w:leader="none"/>
        </w:tabs>
        <w:spacing w:line="261" w:lineRule="exact" w:before="40"/>
        <w:ind w:left="0" w:right="167"/>
        <w:jc w:val="right"/>
      </w:pPr>
      <w:r>
        <w:rPr>
          <w:spacing w:val="-1"/>
        </w:rPr>
        <w:t>与本集团关系</w:t>
        <w:tab/>
      </w:r>
      <w:r>
        <w:rPr/>
        <w:t>金额</w:t>
        <w:tab/>
        <w:t>账龄 </w:t>
      </w:r>
      <w:r>
        <w:rPr>
          <w:spacing w:val="1"/>
        </w:rPr>
        <w:t> </w:t>
      </w:r>
      <w:r>
        <w:rPr>
          <w:spacing w:val="-1"/>
        </w:rPr>
        <w:t>占其他应收款</w:t>
      </w:r>
    </w:p>
    <w:p>
      <w:pPr>
        <w:pStyle w:val="BodyText"/>
        <w:spacing w:line="275" w:lineRule="exact"/>
        <w:ind w:left="0" w:right="169"/>
        <w:jc w:val="right"/>
        <w:rPr>
          <w:rFonts w:ascii="Arial" w:hAnsi="Arial" w:cs="Arial" w:eastAsia="Arial" w:hint="default"/>
        </w:rPr>
      </w:pPr>
      <w:r>
        <w:rPr>
          <w:spacing w:val="-1"/>
        </w:rPr>
        <w:t>总额的比例</w:t>
      </w:r>
      <w:r>
        <w:rPr>
          <w:rFonts w:ascii="Arial" w:hAnsi="Arial" w:cs="Arial" w:eastAsia="Arial" w:hint="default"/>
          <w:spacing w:val="-1"/>
        </w:rPr>
        <w:t>(%)</w:t>
      </w:r>
      <w:r>
        <w:rPr>
          <w:rFonts w:ascii="Arial" w:hAnsi="Arial" w:cs="Arial" w:eastAsia="Arial" w:hint="default"/>
        </w:rPr>
      </w:r>
    </w:p>
    <w:p>
      <w:pPr>
        <w:spacing w:line="240" w:lineRule="auto" w:before="4"/>
        <w:rPr>
          <w:rFonts w:ascii="Arial" w:hAnsi="Arial" w:cs="Arial" w:eastAsia="Arial" w:hint="default"/>
          <w:sz w:val="17"/>
          <w:szCs w:val="17"/>
        </w:rPr>
      </w:pPr>
    </w:p>
    <w:tbl>
      <w:tblPr>
        <w:tblW w:w="0" w:type="auto"/>
        <w:jc w:val="left"/>
        <w:tblInd w:w="815" w:type="dxa"/>
        <w:tblLayout w:type="fixed"/>
        <w:tblCellMar>
          <w:top w:w="0" w:type="dxa"/>
          <w:left w:w="0" w:type="dxa"/>
          <w:bottom w:w="0" w:type="dxa"/>
          <w:right w:w="0" w:type="dxa"/>
        </w:tblCellMar>
        <w:tblLook w:val="01E0"/>
      </w:tblPr>
      <w:tblGrid>
        <w:gridCol w:w="3334"/>
        <w:gridCol w:w="1201"/>
        <w:gridCol w:w="1093"/>
        <w:gridCol w:w="1362"/>
        <w:gridCol w:w="844"/>
      </w:tblGrid>
      <w:tr>
        <w:trPr>
          <w:trHeight w:val="334" w:hRule="exact"/>
        </w:trPr>
        <w:tc>
          <w:tcPr>
            <w:tcW w:w="333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8" w:right="0"/>
              <w:jc w:val="left"/>
              <w:rPr>
                <w:rFonts w:ascii="黑体" w:hAnsi="黑体" w:cs="黑体" w:eastAsia="黑体" w:hint="default"/>
                <w:sz w:val="20"/>
                <w:szCs w:val="20"/>
              </w:rPr>
            </w:pPr>
            <w:r>
              <w:rPr>
                <w:rFonts w:ascii="黑体" w:hAnsi="黑体" w:cs="黑体" w:eastAsia="黑体" w:hint="default"/>
                <w:sz w:val="20"/>
                <w:szCs w:val="20"/>
              </w:rPr>
              <w:t>北京方正奥德计算机系统有限公司</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2"/>
              <w:jc w:val="right"/>
              <w:rPr>
                <w:rFonts w:ascii="黑体" w:hAnsi="黑体" w:cs="黑体" w:eastAsia="黑体" w:hint="default"/>
                <w:sz w:val="20"/>
                <w:szCs w:val="20"/>
              </w:rPr>
            </w:pPr>
            <w:r>
              <w:rPr>
                <w:rFonts w:ascii="黑体" w:hAnsi="黑体" w:cs="黑体" w:eastAsia="黑体" w:hint="default"/>
                <w:sz w:val="20"/>
                <w:szCs w:val="20"/>
              </w:rPr>
              <w:t>非关联方</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1"/>
              <w:jc w:val="right"/>
              <w:rPr>
                <w:rFonts w:ascii="Arial" w:hAnsi="Arial" w:cs="Arial" w:eastAsia="Arial" w:hint="default"/>
                <w:sz w:val="20"/>
                <w:szCs w:val="20"/>
              </w:rPr>
            </w:pPr>
            <w:r>
              <w:rPr>
                <w:rFonts w:ascii="Arial"/>
                <w:spacing w:val="-1"/>
                <w:sz w:val="20"/>
              </w:rPr>
              <w:t>1,379,958</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3"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年以内</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Arial" w:hAnsi="Arial" w:cs="Arial" w:eastAsia="Arial" w:hint="default"/>
                <w:sz w:val="20"/>
                <w:szCs w:val="20"/>
              </w:rPr>
            </w:pPr>
            <w:r>
              <w:rPr>
                <w:rFonts w:ascii="Arial"/>
                <w:w w:val="100"/>
                <w:sz w:val="20"/>
              </w:rPr>
              <w:t>3</w:t>
            </w:r>
          </w:p>
        </w:tc>
      </w:tr>
      <w:tr>
        <w:trPr>
          <w:trHeight w:val="259" w:hRule="exact"/>
        </w:trPr>
        <w:tc>
          <w:tcPr>
            <w:tcW w:w="3334" w:type="dxa"/>
            <w:tcBorders>
              <w:top w:val="nil" w:sz="6" w:space="0" w:color="auto"/>
              <w:left w:val="nil" w:sz="6" w:space="0" w:color="auto"/>
              <w:bottom w:val="nil" w:sz="6" w:space="0" w:color="auto"/>
              <w:right w:val="nil" w:sz="6" w:space="0" w:color="auto"/>
            </w:tcBorders>
          </w:tcPr>
          <w:p>
            <w:pPr>
              <w:pStyle w:val="TableParagraph"/>
              <w:spacing w:line="225" w:lineRule="exact"/>
              <w:ind w:left="38" w:right="0"/>
              <w:jc w:val="left"/>
              <w:rPr>
                <w:rFonts w:ascii="黑体" w:hAnsi="黑体" w:cs="黑体" w:eastAsia="黑体" w:hint="default"/>
                <w:sz w:val="20"/>
                <w:szCs w:val="20"/>
              </w:rPr>
            </w:pPr>
            <w:r>
              <w:rPr>
                <w:rFonts w:ascii="黑体" w:hAnsi="黑体" w:cs="黑体" w:eastAsia="黑体" w:hint="default"/>
                <w:sz w:val="20"/>
                <w:szCs w:val="20"/>
              </w:rPr>
              <w:t>中国民用航空总局清算中心</w:t>
            </w:r>
          </w:p>
        </w:tc>
        <w:tc>
          <w:tcPr>
            <w:tcW w:w="1201" w:type="dxa"/>
            <w:tcBorders>
              <w:top w:val="nil" w:sz="6" w:space="0" w:color="auto"/>
              <w:left w:val="nil" w:sz="6" w:space="0" w:color="auto"/>
              <w:bottom w:val="nil" w:sz="6" w:space="0" w:color="auto"/>
              <w:right w:val="nil" w:sz="6" w:space="0" w:color="auto"/>
            </w:tcBorders>
          </w:tcPr>
          <w:p>
            <w:pPr>
              <w:pStyle w:val="TableParagraph"/>
              <w:spacing w:line="225" w:lineRule="exact"/>
              <w:ind w:right="102"/>
              <w:jc w:val="right"/>
              <w:rPr>
                <w:rFonts w:ascii="黑体" w:hAnsi="黑体" w:cs="黑体" w:eastAsia="黑体" w:hint="default"/>
                <w:sz w:val="20"/>
                <w:szCs w:val="20"/>
              </w:rPr>
            </w:pPr>
            <w:r>
              <w:rPr>
                <w:rFonts w:ascii="黑体" w:hAnsi="黑体" w:cs="黑体" w:eastAsia="黑体" w:hint="default"/>
                <w:sz w:val="20"/>
                <w:szCs w:val="20"/>
              </w:rPr>
              <w:t>非关联方</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1"/>
              <w:jc w:val="right"/>
              <w:rPr>
                <w:rFonts w:ascii="Arial" w:hAnsi="Arial" w:cs="Arial" w:eastAsia="Arial" w:hint="default"/>
                <w:sz w:val="20"/>
                <w:szCs w:val="20"/>
              </w:rPr>
            </w:pPr>
            <w:r>
              <w:rPr>
                <w:rFonts w:ascii="Arial"/>
                <w:spacing w:val="-1"/>
                <w:sz w:val="20"/>
              </w:rPr>
              <w:t>1,000,000</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exact"/>
              <w:ind w:left="63"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年以内</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w w:val="100"/>
                <w:sz w:val="20"/>
              </w:rPr>
              <w:t>2</w:t>
            </w:r>
          </w:p>
        </w:tc>
      </w:tr>
      <w:tr>
        <w:trPr>
          <w:trHeight w:val="260" w:hRule="exact"/>
        </w:trPr>
        <w:tc>
          <w:tcPr>
            <w:tcW w:w="3334" w:type="dxa"/>
            <w:tcBorders>
              <w:top w:val="nil" w:sz="6" w:space="0" w:color="auto"/>
              <w:left w:val="nil" w:sz="6" w:space="0" w:color="auto"/>
              <w:bottom w:val="nil" w:sz="6" w:space="0" w:color="auto"/>
              <w:right w:val="nil" w:sz="6" w:space="0" w:color="auto"/>
            </w:tcBorders>
          </w:tcPr>
          <w:p>
            <w:pPr>
              <w:pStyle w:val="TableParagraph"/>
              <w:spacing w:line="225" w:lineRule="exact"/>
              <w:ind w:left="38" w:right="0"/>
              <w:jc w:val="left"/>
              <w:rPr>
                <w:rFonts w:ascii="黑体" w:hAnsi="黑体" w:cs="黑体" w:eastAsia="黑体" w:hint="default"/>
                <w:sz w:val="20"/>
                <w:szCs w:val="20"/>
              </w:rPr>
            </w:pPr>
            <w:r>
              <w:rPr>
                <w:rFonts w:ascii="黑体" w:hAnsi="黑体" w:cs="黑体" w:eastAsia="黑体" w:hint="default"/>
                <w:sz w:val="20"/>
                <w:szCs w:val="20"/>
              </w:rPr>
              <w:t>天津农村合作银行</w:t>
            </w:r>
          </w:p>
        </w:tc>
        <w:tc>
          <w:tcPr>
            <w:tcW w:w="1201" w:type="dxa"/>
            <w:tcBorders>
              <w:top w:val="nil" w:sz="6" w:space="0" w:color="auto"/>
              <w:left w:val="nil" w:sz="6" w:space="0" w:color="auto"/>
              <w:bottom w:val="nil" w:sz="6" w:space="0" w:color="auto"/>
              <w:right w:val="nil" w:sz="6" w:space="0" w:color="auto"/>
            </w:tcBorders>
          </w:tcPr>
          <w:p>
            <w:pPr>
              <w:pStyle w:val="TableParagraph"/>
              <w:spacing w:line="225" w:lineRule="exact"/>
              <w:ind w:right="102"/>
              <w:jc w:val="right"/>
              <w:rPr>
                <w:rFonts w:ascii="黑体" w:hAnsi="黑体" w:cs="黑体" w:eastAsia="黑体" w:hint="default"/>
                <w:sz w:val="20"/>
                <w:szCs w:val="20"/>
              </w:rPr>
            </w:pPr>
            <w:r>
              <w:rPr>
                <w:rFonts w:ascii="黑体" w:hAnsi="黑体" w:cs="黑体" w:eastAsia="黑体" w:hint="default"/>
                <w:sz w:val="20"/>
                <w:szCs w:val="20"/>
              </w:rPr>
              <w:t>非关联方</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1"/>
              <w:jc w:val="right"/>
              <w:rPr>
                <w:rFonts w:ascii="Arial" w:hAnsi="Arial" w:cs="Arial" w:eastAsia="Arial" w:hint="default"/>
                <w:sz w:val="20"/>
                <w:szCs w:val="20"/>
              </w:rPr>
            </w:pPr>
            <w:r>
              <w:rPr>
                <w:rFonts w:ascii="Arial"/>
                <w:spacing w:val="-1"/>
                <w:sz w:val="20"/>
              </w:rPr>
              <w:t>689,325</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exact"/>
              <w:ind w:left="63"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年以内</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w w:val="100"/>
                <w:sz w:val="20"/>
              </w:rPr>
              <w:t>2</w:t>
            </w:r>
          </w:p>
        </w:tc>
      </w:tr>
      <w:tr>
        <w:trPr>
          <w:trHeight w:val="260" w:hRule="exact"/>
        </w:trPr>
        <w:tc>
          <w:tcPr>
            <w:tcW w:w="3334"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上海交大产业投资管理有限公司</w:t>
            </w:r>
          </w:p>
        </w:tc>
        <w:tc>
          <w:tcPr>
            <w:tcW w:w="1201" w:type="dxa"/>
            <w:tcBorders>
              <w:top w:val="nil" w:sz="6" w:space="0" w:color="auto"/>
              <w:left w:val="nil" w:sz="6" w:space="0" w:color="auto"/>
              <w:bottom w:val="nil" w:sz="6" w:space="0" w:color="auto"/>
              <w:right w:val="nil" w:sz="6" w:space="0" w:color="auto"/>
            </w:tcBorders>
          </w:tcPr>
          <w:p>
            <w:pPr>
              <w:pStyle w:val="TableParagraph"/>
              <w:spacing w:line="226" w:lineRule="exact"/>
              <w:ind w:right="103"/>
              <w:jc w:val="right"/>
              <w:rPr>
                <w:rFonts w:ascii="黑体" w:hAnsi="黑体" w:cs="黑体" w:eastAsia="黑体" w:hint="default"/>
                <w:sz w:val="20"/>
                <w:szCs w:val="20"/>
              </w:rPr>
            </w:pPr>
            <w:r>
              <w:rPr>
                <w:rFonts w:ascii="黑体" w:hAnsi="黑体" w:cs="黑体" w:eastAsia="黑体" w:hint="default"/>
                <w:sz w:val="20"/>
                <w:szCs w:val="20"/>
              </w:rPr>
              <w:t>非关联方</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1"/>
              <w:jc w:val="right"/>
              <w:rPr>
                <w:rFonts w:ascii="Arial" w:hAnsi="Arial" w:cs="Arial" w:eastAsia="Arial" w:hint="default"/>
                <w:sz w:val="20"/>
                <w:szCs w:val="20"/>
              </w:rPr>
            </w:pPr>
            <w:r>
              <w:rPr>
                <w:rFonts w:ascii="Arial"/>
                <w:spacing w:val="-1"/>
                <w:sz w:val="20"/>
              </w:rPr>
              <w:t>664,349</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exact"/>
              <w:ind w:left="63" w:right="0"/>
              <w:jc w:val="left"/>
              <w:rPr>
                <w:rFonts w:ascii="黑体" w:hAnsi="黑体" w:cs="黑体" w:eastAsia="黑体" w:hint="default"/>
                <w:sz w:val="20"/>
                <w:szCs w:val="20"/>
              </w:rPr>
            </w:pPr>
            <w:r>
              <w:rPr>
                <w:rFonts w:ascii="Arial" w:hAnsi="Arial" w:cs="Arial" w:eastAsia="Arial" w:hint="default"/>
                <w:sz w:val="20"/>
                <w:szCs w:val="20"/>
              </w:rPr>
              <w:t>3</w:t>
            </w:r>
            <w:r>
              <w:rPr>
                <w:rFonts w:ascii="黑体" w:hAnsi="黑体" w:cs="黑体" w:eastAsia="黑体" w:hint="default"/>
                <w:sz w:val="20"/>
                <w:szCs w:val="20"/>
              </w:rPr>
              <w:t>年以上</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2</w:t>
            </w:r>
          </w:p>
        </w:tc>
      </w:tr>
      <w:tr>
        <w:trPr>
          <w:trHeight w:val="262" w:hRule="exact"/>
        </w:trPr>
        <w:tc>
          <w:tcPr>
            <w:tcW w:w="3334" w:type="dxa"/>
            <w:tcBorders>
              <w:top w:val="nil" w:sz="6" w:space="0" w:color="auto"/>
              <w:left w:val="nil" w:sz="6" w:space="0" w:color="auto"/>
              <w:bottom w:val="nil" w:sz="6" w:space="0" w:color="auto"/>
              <w:right w:val="nil" w:sz="6" w:space="0" w:color="auto"/>
            </w:tcBorders>
          </w:tcPr>
          <w:p>
            <w:pPr>
              <w:pStyle w:val="TableParagraph"/>
              <w:spacing w:line="225" w:lineRule="exact"/>
              <w:ind w:left="38" w:right="0"/>
              <w:jc w:val="left"/>
              <w:rPr>
                <w:rFonts w:ascii="黑体" w:hAnsi="黑体" w:cs="黑体" w:eastAsia="黑体" w:hint="default"/>
                <w:sz w:val="20"/>
                <w:szCs w:val="20"/>
              </w:rPr>
            </w:pPr>
            <w:r>
              <w:rPr>
                <w:rFonts w:ascii="黑体" w:hAnsi="黑体" w:cs="黑体" w:eastAsia="黑体" w:hint="default"/>
                <w:sz w:val="20"/>
                <w:szCs w:val="20"/>
              </w:rPr>
              <w:t>北京北航科技园建设发展有限公司</w:t>
            </w:r>
          </w:p>
        </w:tc>
        <w:tc>
          <w:tcPr>
            <w:tcW w:w="1201" w:type="dxa"/>
            <w:tcBorders>
              <w:top w:val="nil" w:sz="6" w:space="0" w:color="auto"/>
              <w:left w:val="nil" w:sz="6" w:space="0" w:color="auto"/>
              <w:bottom w:val="nil" w:sz="6" w:space="0" w:color="auto"/>
              <w:right w:val="nil" w:sz="6" w:space="0" w:color="auto"/>
            </w:tcBorders>
          </w:tcPr>
          <w:p>
            <w:pPr>
              <w:pStyle w:val="TableParagraph"/>
              <w:spacing w:line="225" w:lineRule="exact"/>
              <w:ind w:right="103"/>
              <w:jc w:val="right"/>
              <w:rPr>
                <w:rFonts w:ascii="黑体" w:hAnsi="黑体" w:cs="黑体" w:eastAsia="黑体" w:hint="default"/>
                <w:sz w:val="20"/>
                <w:szCs w:val="20"/>
              </w:rPr>
            </w:pPr>
            <w:r>
              <w:rPr>
                <w:rFonts w:ascii="黑体" w:hAnsi="黑体" w:cs="黑体" w:eastAsia="黑体" w:hint="default"/>
                <w:sz w:val="20"/>
                <w:szCs w:val="20"/>
              </w:rPr>
              <w:t>非关联方</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620,356</w:t>
            </w:r>
            <w:r>
              <w:rPr>
                <w:rFonts w:ascii="Arial"/>
                <w:sz w:val="20"/>
              </w:rPr>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exact"/>
              <w:ind w:left="63"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年以内</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1</w:t>
            </w:r>
            <w:r>
              <w:rPr>
                <w:rFonts w:ascii="Arial"/>
                <w:sz w:val="20"/>
              </w:rPr>
            </w:r>
          </w:p>
        </w:tc>
      </w:tr>
      <w:tr>
        <w:trPr>
          <w:trHeight w:val="327" w:hRule="exact"/>
        </w:trPr>
        <w:tc>
          <w:tcPr>
            <w:tcW w:w="3334"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61"/>
              <w:jc w:val="right"/>
              <w:rPr>
                <w:rFonts w:ascii="Arial" w:hAnsi="Arial" w:cs="Arial" w:eastAsia="Arial" w:hint="default"/>
                <w:sz w:val="20"/>
                <w:szCs w:val="20"/>
              </w:rPr>
            </w:pPr>
            <w:r>
              <w:rPr>
                <w:rFonts w:ascii="Arial"/>
                <w:w w:val="100"/>
                <w:sz w:val="20"/>
              </w:rPr>
            </w:r>
            <w:r>
              <w:rPr>
                <w:rFonts w:ascii="Arial"/>
                <w:spacing w:val="-1"/>
                <w:sz w:val="20"/>
                <w:u w:val="thick" w:color="000000"/>
              </w:rPr>
              <w:t>4,353,988</w:t>
            </w:r>
            <w:r>
              <w:rPr>
                <w:rFonts w:ascii="Arial"/>
                <w:spacing w:val="-1"/>
                <w:sz w:val="20"/>
              </w:rPr>
            </w:r>
          </w:p>
        </w:tc>
        <w:tc>
          <w:tcPr>
            <w:tcW w:w="1362"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3"/>
              <w:jc w:val="right"/>
              <w:rPr>
                <w:rFonts w:ascii="Arial" w:hAnsi="Arial" w:cs="Arial" w:eastAsia="Arial" w:hint="default"/>
                <w:sz w:val="20"/>
                <w:szCs w:val="20"/>
              </w:rPr>
            </w:pPr>
            <w:r>
              <w:rPr>
                <w:rFonts w:ascii="Arial"/>
                <w:w w:val="100"/>
                <w:sz w:val="20"/>
              </w:rPr>
            </w:r>
            <w:r>
              <w:rPr>
                <w:rFonts w:ascii="Arial"/>
                <w:sz w:val="20"/>
                <w:u w:val="thick" w:color="000000"/>
              </w:rPr>
              <w:t>10</w:t>
            </w:r>
            <w:r>
              <w:rPr>
                <w:rFonts w:ascii="Arial"/>
                <w:sz w:val="20"/>
              </w:rPr>
            </w:r>
          </w:p>
        </w:tc>
      </w:tr>
    </w:tbl>
    <w:p>
      <w:pPr>
        <w:spacing w:line="240" w:lineRule="auto" w:before="11"/>
        <w:rPr>
          <w:rFonts w:ascii="Arial" w:hAnsi="Arial" w:cs="Arial" w:eastAsia="Arial" w:hint="default"/>
          <w:sz w:val="6"/>
          <w:szCs w:val="6"/>
        </w:rPr>
      </w:pPr>
    </w:p>
    <w:p>
      <w:pPr>
        <w:pStyle w:val="BodyText"/>
        <w:spacing w:line="240" w:lineRule="auto" w:before="38"/>
        <w:ind w:left="855" w:right="112"/>
        <w:jc w:val="left"/>
      </w:pPr>
      <w:r>
        <w:rPr/>
        <w:t>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日，其他应收款金额前五名如下：</w:t>
      </w:r>
    </w:p>
    <w:p>
      <w:pPr>
        <w:spacing w:line="240" w:lineRule="auto" w:before="4"/>
        <w:rPr>
          <w:rFonts w:ascii="黑体" w:hAnsi="黑体" w:cs="黑体" w:eastAsia="黑体" w:hint="default"/>
          <w:sz w:val="16"/>
          <w:szCs w:val="16"/>
        </w:rPr>
      </w:pPr>
    </w:p>
    <w:p>
      <w:pPr>
        <w:pStyle w:val="BodyText"/>
        <w:tabs>
          <w:tab w:pos="5978" w:val="left" w:leader="none"/>
          <w:tab w:pos="6829" w:val="left" w:leader="none"/>
          <w:tab w:pos="7447" w:val="left" w:leader="none"/>
        </w:tabs>
        <w:spacing w:line="258" w:lineRule="exact"/>
        <w:ind w:left="4045" w:right="0"/>
        <w:jc w:val="left"/>
      </w:pPr>
      <w:r>
        <w:rPr>
          <w:spacing w:val="-1"/>
        </w:rPr>
        <w:t>与本集团关系</w:t>
        <w:tab/>
      </w:r>
      <w:r>
        <w:rPr/>
        <w:t>金额</w:t>
        <w:tab/>
        <w:t>账龄</w:t>
        <w:tab/>
      </w:r>
      <w:r>
        <w:rPr>
          <w:spacing w:val="-1"/>
        </w:rPr>
        <w:t>占其他应收款</w:t>
      </w:r>
    </w:p>
    <w:p>
      <w:pPr>
        <w:pStyle w:val="BodyText"/>
        <w:spacing w:line="272" w:lineRule="exact"/>
        <w:ind w:left="854" w:right="0" w:firstLine="6481"/>
        <w:jc w:val="left"/>
        <w:rPr>
          <w:rFonts w:ascii="Arial" w:hAnsi="Arial" w:cs="Arial" w:eastAsia="Arial" w:hint="default"/>
        </w:rPr>
      </w:pPr>
      <w:r>
        <w:rPr/>
        <w:t>总额的比例</w:t>
      </w:r>
      <w:r>
        <w:rPr>
          <w:rFonts w:ascii="Arial" w:hAnsi="Arial" w:cs="Arial" w:eastAsia="Arial" w:hint="default"/>
        </w:rPr>
        <w:t>(%)</w:t>
      </w:r>
    </w:p>
    <w:p>
      <w:pPr>
        <w:pStyle w:val="BodyText"/>
        <w:tabs>
          <w:tab w:pos="4443" w:val="left" w:leader="none"/>
          <w:tab w:pos="8647" w:val="right" w:leader="none"/>
        </w:tabs>
        <w:spacing w:line="266" w:lineRule="exact" w:before="223"/>
        <w:ind w:left="854" w:right="0"/>
        <w:jc w:val="left"/>
        <w:rPr>
          <w:rFonts w:ascii="Arial" w:hAnsi="Arial" w:cs="Arial" w:eastAsia="Arial" w:hint="default"/>
        </w:rPr>
      </w:pPr>
      <w:r>
        <w:rPr>
          <w:spacing w:val="-1"/>
        </w:rPr>
        <w:t>北京数码视讯科技股份有限公司</w:t>
        <w:tab/>
      </w:r>
      <w:r>
        <w:rPr/>
        <w:t>非关联方 </w:t>
      </w:r>
      <w:r>
        <w:rPr>
          <w:rFonts w:ascii="Arial" w:hAnsi="Arial" w:cs="Arial" w:eastAsia="Arial" w:hint="default"/>
          <w:spacing w:val="-1"/>
        </w:rPr>
        <w:t>22,556,000</w:t>
      </w:r>
      <w:r>
        <w:rPr>
          <w:rFonts w:ascii="Arial" w:hAnsi="Arial" w:cs="Arial" w:eastAsia="Arial" w:hint="default"/>
        </w:rPr>
        <w:t>  </w:t>
      </w:r>
      <w:r>
        <w:rPr>
          <w:rFonts w:ascii="Arial" w:hAnsi="Arial" w:cs="Arial" w:eastAsia="Arial" w:hint="default"/>
          <w:spacing w:val="4"/>
        </w:rPr>
        <w:t> </w:t>
      </w:r>
      <w:r>
        <w:rPr>
          <w:rFonts w:ascii="Arial" w:hAnsi="Arial" w:cs="Arial" w:eastAsia="Arial" w:hint="default"/>
        </w:rPr>
        <w:t>1</w:t>
      </w:r>
      <w:r>
        <w:rPr/>
        <w:t>年以内</w:t>
      </w:r>
      <w:r>
        <w:rPr>
          <w:rFonts w:ascii="Arial" w:hAnsi="Arial" w:cs="Arial" w:eastAsia="Arial" w:hint="default"/>
        </w:rPr>
        <w:tab/>
        <w:t>25</w:t>
      </w:r>
    </w:p>
    <w:p>
      <w:pPr>
        <w:pStyle w:val="BodyText"/>
        <w:tabs>
          <w:tab w:pos="4443" w:val="left" w:leader="none"/>
          <w:tab w:pos="8647" w:val="right" w:leader="none"/>
        </w:tabs>
        <w:spacing w:line="255" w:lineRule="exact"/>
        <w:ind w:left="854" w:right="0"/>
        <w:jc w:val="left"/>
        <w:rPr>
          <w:rFonts w:ascii="Arial" w:hAnsi="Arial" w:cs="Arial" w:eastAsia="Arial" w:hint="default"/>
        </w:rPr>
      </w:pPr>
      <w:r>
        <w:rPr/>
        <w:t>邵凯</w:t>
        <w:tab/>
        <w:t>公司高管 </w:t>
      </w:r>
      <w:r>
        <w:rPr>
          <w:rFonts w:ascii="Arial" w:hAnsi="Arial" w:cs="Arial" w:eastAsia="Arial" w:hint="default"/>
        </w:rPr>
        <w:t>10,000,000  </w:t>
      </w:r>
      <w:r>
        <w:rPr>
          <w:rFonts w:ascii="Arial" w:hAnsi="Arial" w:cs="Arial" w:eastAsia="Arial" w:hint="default"/>
          <w:spacing w:val="2"/>
        </w:rPr>
        <w:t> </w:t>
      </w:r>
      <w:r>
        <w:rPr>
          <w:rFonts w:ascii="Arial" w:hAnsi="Arial" w:cs="Arial" w:eastAsia="Arial" w:hint="default"/>
        </w:rPr>
        <w:t>1</w:t>
      </w:r>
      <w:r>
        <w:rPr/>
        <w:t>年以内</w:t>
      </w:r>
      <w:r>
        <w:rPr>
          <w:rFonts w:ascii="Arial" w:hAnsi="Arial" w:cs="Arial" w:eastAsia="Arial" w:hint="default"/>
        </w:rPr>
        <w:tab/>
        <w:t>11</w:t>
      </w:r>
    </w:p>
    <w:p>
      <w:pPr>
        <w:pStyle w:val="BodyText"/>
        <w:tabs>
          <w:tab w:pos="4443" w:val="left" w:leader="none"/>
          <w:tab w:pos="5488" w:val="left" w:leader="none"/>
          <w:tab w:pos="6739" w:val="left" w:leader="none"/>
          <w:tab w:pos="8647" w:val="right" w:leader="none"/>
        </w:tabs>
        <w:spacing w:line="265" w:lineRule="exact"/>
        <w:ind w:left="854" w:right="0"/>
        <w:jc w:val="left"/>
        <w:rPr>
          <w:rFonts w:ascii="Arial" w:hAnsi="Arial" w:cs="Arial" w:eastAsia="Arial" w:hint="default"/>
        </w:rPr>
      </w:pPr>
      <w:r>
        <w:rPr/>
        <w:t>用友审计</w:t>
        <w:tab/>
        <w:t>联营企业</w:t>
        <w:tab/>
      </w:r>
      <w:r>
        <w:rPr>
          <w:rFonts w:ascii="Arial" w:hAnsi="Arial" w:cs="Arial" w:eastAsia="Arial" w:hint="default"/>
          <w:spacing w:val="-1"/>
        </w:rPr>
        <w:t>1,500,000</w:t>
        <w:tab/>
      </w:r>
      <w:r>
        <w:rPr>
          <w:rFonts w:ascii="Arial" w:hAnsi="Arial" w:cs="Arial" w:eastAsia="Arial" w:hint="default"/>
        </w:rPr>
        <w:t>2-3</w:t>
      </w:r>
      <w:r>
        <w:rPr/>
        <w:t>年</w:t>
      </w:r>
      <w:r>
        <w:rPr>
          <w:rFonts w:ascii="Arial" w:hAnsi="Arial" w:cs="Arial" w:eastAsia="Arial" w:hint="default"/>
        </w:rPr>
        <w:tab/>
        <w:t>2</w:t>
      </w:r>
    </w:p>
    <w:p>
      <w:pPr>
        <w:spacing w:after="0" w:line="265" w:lineRule="exact"/>
        <w:jc w:val="left"/>
        <w:rPr>
          <w:rFonts w:ascii="Arial" w:hAnsi="Arial" w:cs="Arial" w:eastAsia="Arial" w:hint="default"/>
        </w:rPr>
        <w:sectPr>
          <w:pgSz w:w="11910" w:h="16840"/>
          <w:pgMar w:header="958" w:footer="469" w:top="2380" w:bottom="660" w:left="1560" w:right="1560"/>
        </w:sectPr>
      </w:pPr>
    </w:p>
    <w:p>
      <w:pPr>
        <w:pStyle w:val="BodyText"/>
        <w:spacing w:line="201" w:lineRule="exact"/>
        <w:ind w:left="854" w:right="-5"/>
        <w:jc w:val="left"/>
      </w:pPr>
      <w:r>
        <w:rPr>
          <w:spacing w:val="-1"/>
        </w:rPr>
        <w:t>北京用友移动商务科技有限公司</w:t>
      </w:r>
    </w:p>
    <w:p>
      <w:pPr>
        <w:pStyle w:val="BodyText"/>
        <w:spacing w:line="250" w:lineRule="exact"/>
        <w:ind w:left="1038" w:right="-5"/>
        <w:jc w:val="left"/>
        <w:rPr>
          <w:rFonts w:ascii="Arial" w:hAnsi="Arial" w:cs="Arial" w:eastAsia="Arial" w:hint="default"/>
        </w:rPr>
      </w:pPr>
      <w:r>
        <w:rPr>
          <w:rFonts w:ascii="Arial" w:hAnsi="Arial" w:cs="Arial" w:eastAsia="Arial" w:hint="default"/>
        </w:rPr>
        <w:t>(</w:t>
      </w:r>
      <w:r>
        <w:rPr/>
        <w:t>以下简称</w:t>
      </w:r>
      <w:r>
        <w:rPr>
          <w:rFonts w:ascii="Arial" w:hAnsi="Arial" w:cs="Arial" w:eastAsia="Arial" w:hint="default"/>
        </w:rPr>
        <w:t>“</w:t>
      </w:r>
      <w:r>
        <w:rPr/>
        <w:t>用友移动</w:t>
      </w:r>
      <w:r>
        <w:rPr>
          <w:rFonts w:ascii="Arial" w:hAnsi="Arial" w:cs="Arial" w:eastAsia="Arial" w:hint="default"/>
        </w:rPr>
        <w:t>”)</w:t>
      </w:r>
    </w:p>
    <w:p>
      <w:pPr>
        <w:pStyle w:val="BodyText"/>
        <w:spacing w:line="251" w:lineRule="exact"/>
        <w:ind w:left="854" w:right="-5"/>
        <w:jc w:val="left"/>
      </w:pPr>
      <w:r>
        <w:rPr/>
        <w:t>许翔</w:t>
      </w:r>
    </w:p>
    <w:p>
      <w:pPr>
        <w:pStyle w:val="BodyText"/>
        <w:spacing w:line="201" w:lineRule="exact"/>
        <w:ind w:left="349" w:right="0"/>
        <w:jc w:val="left"/>
      </w:pPr>
      <w:r>
        <w:rPr/>
        <w:br w:type="column"/>
      </w:r>
      <w:r>
        <w:rPr/>
        <w:t>与本公司同受</w:t>
      </w:r>
    </w:p>
    <w:p>
      <w:pPr>
        <w:pStyle w:val="BodyText"/>
        <w:tabs>
          <w:tab w:pos="1793" w:val="left" w:leader="none"/>
          <w:tab w:pos="3044" w:val="left" w:leader="none"/>
          <w:tab w:pos="4951" w:val="right" w:leader="none"/>
        </w:tabs>
        <w:spacing w:line="260" w:lineRule="exact"/>
        <w:ind w:left="149" w:right="0"/>
        <w:jc w:val="left"/>
        <w:rPr>
          <w:rFonts w:ascii="Arial" w:hAnsi="Arial" w:cs="Arial" w:eastAsia="Arial" w:hint="default"/>
        </w:rPr>
      </w:pPr>
      <w:r>
        <w:rPr/>
        <w:pict>
          <v:shape style="position:absolute;margin-left:298.44812pt;margin-top:14.738748pt;width:213.7pt;height:28.55pt;mso-position-horizontal-relative:page;mso-position-vertical-relative:paragraph;z-index:17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92"/>
                    <w:gridCol w:w="1148"/>
                    <w:gridCol w:w="1379"/>
                    <w:gridCol w:w="855"/>
                  </w:tblGrid>
                  <w:tr>
                    <w:trPr>
                      <w:trHeight w:val="245" w:hRule="exact"/>
                    </w:trPr>
                    <w:tc>
                      <w:tcPr>
                        <w:tcW w:w="892"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黑体" w:hAnsi="黑体" w:cs="黑体" w:eastAsia="黑体" w:hint="default"/>
                            <w:sz w:val="20"/>
                            <w:szCs w:val="20"/>
                          </w:rPr>
                        </w:pPr>
                        <w:r>
                          <w:rPr>
                            <w:rFonts w:ascii="黑体" w:hAnsi="黑体" w:cs="黑体" w:eastAsia="黑体" w:hint="default"/>
                            <w:sz w:val="20"/>
                            <w:szCs w:val="20"/>
                          </w:rPr>
                          <w:t>公司员工</w:t>
                        </w:r>
                      </w:p>
                    </w:tc>
                    <w:tc>
                      <w:tcPr>
                        <w:tcW w:w="1148" w:type="dxa"/>
                        <w:tcBorders>
                          <w:top w:val="nil" w:sz="6" w:space="0" w:color="auto"/>
                          <w:left w:val="nil" w:sz="6" w:space="0" w:color="auto"/>
                          <w:bottom w:val="nil" w:sz="6" w:space="0" w:color="auto"/>
                          <w:right w:val="nil" w:sz="6" w:space="0" w:color="auto"/>
                        </w:tcBorders>
                      </w:tcPr>
                      <w:p>
                        <w:pPr>
                          <w:pStyle w:val="TableParagraph"/>
                          <w:tabs>
                            <w:tab w:pos="354" w:val="left" w:leader="none"/>
                          </w:tabs>
                          <w:spacing w:line="225" w:lineRule="exact"/>
                          <w:ind w:left="55"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842,741</w:t>
                        </w:r>
                        <w:r>
                          <w:rPr>
                            <w:rFonts w:ascii="Arial"/>
                            <w:sz w:val="20"/>
                          </w:rPr>
                        </w:r>
                      </w:p>
                    </w:tc>
                    <w:tc>
                      <w:tcPr>
                        <w:tcW w:w="1379" w:type="dxa"/>
                        <w:tcBorders>
                          <w:top w:val="nil" w:sz="6" w:space="0" w:color="auto"/>
                          <w:left w:val="nil" w:sz="6" w:space="0" w:color="auto"/>
                          <w:bottom w:val="nil" w:sz="6" w:space="0" w:color="auto"/>
                          <w:right w:val="nil" w:sz="6" w:space="0" w:color="auto"/>
                        </w:tcBorders>
                      </w:tcPr>
                      <w:p>
                        <w:pPr>
                          <w:pStyle w:val="TableParagraph"/>
                          <w:spacing w:line="220" w:lineRule="exact"/>
                          <w:ind w:left="68"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年以内</w:t>
                        </w:r>
                      </w:p>
                    </w:tc>
                    <w:tc>
                      <w:tcPr>
                        <w:tcW w:w="855" w:type="dxa"/>
                        <w:tcBorders>
                          <w:top w:val="nil" w:sz="6" w:space="0" w:color="auto"/>
                          <w:left w:val="nil" w:sz="6" w:space="0" w:color="auto"/>
                          <w:bottom w:val="nil" w:sz="6" w:space="0" w:color="auto"/>
                          <w:right w:val="nil" w:sz="6" w:space="0" w:color="auto"/>
                        </w:tcBorders>
                      </w:tcPr>
                      <w:p>
                        <w:pPr>
                          <w:pStyle w:val="TableParagraph"/>
                          <w:spacing w:line="219" w:lineRule="exact"/>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1</w:t>
                        </w:r>
                        <w:r>
                          <w:rPr>
                            <w:rFonts w:ascii="Arial"/>
                            <w:sz w:val="20"/>
                          </w:rPr>
                        </w:r>
                      </w:p>
                    </w:tc>
                  </w:tr>
                  <w:tr>
                    <w:trPr>
                      <w:trHeight w:val="325" w:hRule="exact"/>
                    </w:trPr>
                    <w:tc>
                      <w:tcPr>
                        <w:tcW w:w="892" w:type="dxa"/>
                        <w:tcBorders>
                          <w:top w:val="nil" w:sz="6" w:space="0" w:color="auto"/>
                          <w:left w:val="nil" w:sz="6" w:space="0" w:color="auto"/>
                          <w:bottom w:val="nil" w:sz="6" w:space="0" w:color="auto"/>
                          <w:right w:val="nil" w:sz="6" w:space="0" w:color="auto"/>
                        </w:tcBorders>
                      </w:tcPr>
                      <w:p>
                        <w:pPr/>
                      </w:p>
                    </w:tc>
                    <w:tc>
                      <w:tcPr>
                        <w:tcW w:w="1148" w:type="dxa"/>
                        <w:tcBorders>
                          <w:top w:val="nil" w:sz="6" w:space="0" w:color="auto"/>
                          <w:left w:val="nil" w:sz="6" w:space="0" w:color="auto"/>
                          <w:bottom w:val="nil" w:sz="6" w:space="0" w:color="auto"/>
                          <w:right w:val="nil" w:sz="6" w:space="0" w:color="auto"/>
                        </w:tcBorders>
                      </w:tcPr>
                      <w:p>
                        <w:pPr>
                          <w:pStyle w:val="TableParagraph"/>
                          <w:spacing w:line="229" w:lineRule="exact"/>
                          <w:ind w:left="76" w:right="0"/>
                          <w:jc w:val="left"/>
                          <w:rPr>
                            <w:rFonts w:ascii="Arial" w:hAnsi="Arial" w:cs="Arial" w:eastAsia="Arial" w:hint="default"/>
                            <w:sz w:val="20"/>
                            <w:szCs w:val="20"/>
                          </w:rPr>
                        </w:pPr>
                        <w:r>
                          <w:rPr>
                            <w:rFonts w:ascii="Arial"/>
                            <w:w w:val="100"/>
                            <w:sz w:val="20"/>
                          </w:rPr>
                        </w:r>
                        <w:r>
                          <w:rPr>
                            <w:rFonts w:ascii="Arial"/>
                            <w:sz w:val="20"/>
                            <w:u w:val="thick" w:color="000000"/>
                          </w:rPr>
                          <w:t>35,964,616</w:t>
                        </w:r>
                        <w:r>
                          <w:rPr>
                            <w:rFonts w:ascii="Arial"/>
                            <w:sz w:val="20"/>
                          </w:rPr>
                        </w:r>
                      </w:p>
                    </w:tc>
                    <w:tc>
                      <w:tcPr>
                        <w:tcW w:w="1379" w:type="dxa"/>
                        <w:tcBorders>
                          <w:top w:val="nil" w:sz="6" w:space="0" w:color="auto"/>
                          <w:left w:val="nil" w:sz="6" w:space="0" w:color="auto"/>
                          <w:bottom w:val="nil" w:sz="6" w:space="0" w:color="auto"/>
                          <w:right w:val="nil" w:sz="6" w:space="0" w:color="auto"/>
                        </w:tcBorders>
                      </w:tcPr>
                      <w:p>
                        <w:pPr/>
                      </w:p>
                    </w:tc>
                    <w:tc>
                      <w:tcPr>
                        <w:tcW w:w="855" w:type="dxa"/>
                        <w:tcBorders>
                          <w:top w:val="nil" w:sz="6" w:space="0" w:color="auto"/>
                          <w:left w:val="nil" w:sz="6" w:space="0" w:color="auto"/>
                          <w:bottom w:val="nil" w:sz="6" w:space="0" w:color="auto"/>
                          <w:right w:val="nil" w:sz="6" w:space="0" w:color="auto"/>
                        </w:tcBorders>
                      </w:tcPr>
                      <w:p>
                        <w:pPr>
                          <w:pStyle w:val="TableParagraph"/>
                          <w:spacing w:line="229" w:lineRule="exact"/>
                          <w:ind w:right="33"/>
                          <w:jc w:val="right"/>
                          <w:rPr>
                            <w:rFonts w:ascii="Arial" w:hAnsi="Arial" w:cs="Arial" w:eastAsia="Arial" w:hint="default"/>
                            <w:sz w:val="20"/>
                            <w:szCs w:val="20"/>
                          </w:rPr>
                        </w:pPr>
                        <w:r>
                          <w:rPr>
                            <w:rFonts w:ascii="Arial"/>
                            <w:w w:val="100"/>
                            <w:sz w:val="20"/>
                          </w:rPr>
                        </w:r>
                        <w:r>
                          <w:rPr>
                            <w:rFonts w:ascii="Arial"/>
                            <w:sz w:val="20"/>
                            <w:u w:val="thick" w:color="000000"/>
                          </w:rPr>
                          <w:t>40</w:t>
                        </w:r>
                        <w:r>
                          <w:rPr>
                            <w:rFonts w:ascii="Arial"/>
                            <w:sz w:val="20"/>
                          </w:rPr>
                        </w:r>
                      </w:p>
                    </w:tc>
                  </w:tr>
                </w:tbl>
                <w:p>
                  <w:pPr/>
                </w:p>
              </w:txbxContent>
            </v:textbox>
            <w10:wrap type="none"/>
          </v:shape>
        </w:pict>
      </w:r>
      <w:r>
        <w:rPr>
          <w:spacing w:val="-1"/>
        </w:rPr>
        <w:t>用友研究所控制</w:t>
        <w:tab/>
      </w:r>
      <w:r>
        <w:rPr>
          <w:rFonts w:ascii="Arial" w:hAnsi="Arial" w:cs="Arial" w:eastAsia="Arial" w:hint="default"/>
          <w:spacing w:val="-1"/>
        </w:rPr>
        <w:t>1,065,875</w:t>
        <w:tab/>
      </w:r>
      <w:r>
        <w:rPr>
          <w:rFonts w:ascii="Arial" w:hAnsi="Arial" w:cs="Arial" w:eastAsia="Arial" w:hint="default"/>
        </w:rPr>
        <w:t>1-2</w:t>
      </w:r>
      <w:r>
        <w:rPr/>
        <w:t>年</w:t>
      </w:r>
      <w:r>
        <w:rPr>
          <w:rFonts w:ascii="Arial" w:hAnsi="Arial" w:cs="Arial" w:eastAsia="Arial" w:hint="default"/>
        </w:rPr>
        <w:tab/>
        <w:t>1</w:t>
      </w:r>
    </w:p>
    <w:p>
      <w:pPr>
        <w:spacing w:after="0" w:line="260" w:lineRule="exact"/>
        <w:jc w:val="left"/>
        <w:rPr>
          <w:rFonts w:ascii="Arial" w:hAnsi="Arial" w:cs="Arial" w:eastAsia="Arial" w:hint="default"/>
        </w:rPr>
        <w:sectPr>
          <w:type w:val="continuous"/>
          <w:pgSz w:w="11910" w:h="16840"/>
          <w:pgMar w:top="900" w:bottom="280" w:left="1560" w:right="1560"/>
          <w:cols w:num="2" w:equalWidth="0">
            <w:col w:w="3656" w:space="40"/>
            <w:col w:w="5094"/>
          </w:cols>
        </w:sectPr>
      </w:pPr>
    </w:p>
    <w:p>
      <w:pPr>
        <w:pStyle w:val="BodyText"/>
        <w:spacing w:line="261" w:lineRule="auto" w:before="579"/>
        <w:ind w:left="855" w:right="112"/>
        <w:jc w:val="left"/>
      </w:pPr>
      <w:r>
        <w:rPr>
          <w:spacing w:val="-3"/>
        </w:rPr>
        <w:t>于</w:t>
      </w:r>
      <w:r>
        <w:rPr>
          <w:rFonts w:ascii="Arial" w:hAnsi="Arial" w:cs="Arial" w:eastAsia="Arial" w:hint="default"/>
          <w:spacing w:val="-3"/>
        </w:rPr>
        <w:t>2009</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日，本集团中无持有本公司</w:t>
      </w:r>
      <w:r>
        <w:rPr>
          <w:rFonts w:ascii="Arial" w:hAnsi="Arial" w:cs="Arial" w:eastAsia="Arial" w:hint="default"/>
          <w:spacing w:val="-3"/>
        </w:rPr>
        <w:t>5%</w:t>
      </w:r>
      <w:r>
        <w:rPr>
          <w:spacing w:val="-3"/>
        </w:rPr>
        <w:t>（含</w:t>
      </w:r>
      <w:r>
        <w:rPr>
          <w:rFonts w:ascii="Arial" w:hAnsi="Arial" w:cs="Arial" w:eastAsia="Arial" w:hint="default"/>
          <w:spacing w:val="-3"/>
        </w:rPr>
        <w:t>5%</w:t>
      </w:r>
      <w:r>
        <w:rPr>
          <w:spacing w:val="-3"/>
        </w:rPr>
        <w:t>）以上表决权股份的股东单位的其</w:t>
      </w:r>
      <w:r>
        <w:rPr>
          <w:spacing w:val="-58"/>
        </w:rPr>
        <w:t> </w:t>
      </w:r>
      <w:r>
        <w:rPr>
          <w:spacing w:val="-58"/>
        </w:rPr>
      </w:r>
      <w:r>
        <w:rPr/>
        <w:t>他应收款（</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p>
    <w:p>
      <w:pPr>
        <w:pStyle w:val="BodyText"/>
        <w:spacing w:line="240" w:lineRule="auto" w:before="234"/>
        <w:ind w:left="855" w:right="112"/>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日，其他应收关联方款项如下：</w:t>
      </w:r>
    </w:p>
    <w:p>
      <w:pPr>
        <w:spacing w:line="240" w:lineRule="auto" w:before="11"/>
        <w:rPr>
          <w:rFonts w:ascii="黑体" w:hAnsi="黑体" w:cs="黑体" w:eastAsia="黑体" w:hint="default"/>
          <w:sz w:val="14"/>
          <w:szCs w:val="14"/>
        </w:rPr>
      </w:pPr>
    </w:p>
    <w:tbl>
      <w:tblPr>
        <w:tblW w:w="0" w:type="auto"/>
        <w:jc w:val="left"/>
        <w:tblInd w:w="819" w:type="dxa"/>
        <w:tblLayout w:type="fixed"/>
        <w:tblCellMar>
          <w:top w:w="0" w:type="dxa"/>
          <w:left w:w="0" w:type="dxa"/>
          <w:bottom w:w="0" w:type="dxa"/>
          <w:right w:w="0" w:type="dxa"/>
        </w:tblCellMar>
        <w:tblLook w:val="01E0"/>
      </w:tblPr>
      <w:tblGrid>
        <w:gridCol w:w="1926"/>
        <w:gridCol w:w="2756"/>
        <w:gridCol w:w="1347"/>
        <w:gridCol w:w="1826"/>
      </w:tblGrid>
      <w:tr>
        <w:trPr>
          <w:trHeight w:val="722" w:hRule="exact"/>
        </w:trPr>
        <w:tc>
          <w:tcPr>
            <w:tcW w:w="1926" w:type="dxa"/>
            <w:tcBorders>
              <w:top w:val="nil" w:sz="6" w:space="0" w:color="auto"/>
              <w:left w:val="nil" w:sz="6" w:space="0" w:color="auto"/>
              <w:bottom w:val="nil" w:sz="6" w:space="0" w:color="auto"/>
              <w:right w:val="nil" w:sz="6" w:space="0" w:color="auto"/>
            </w:tcBorders>
          </w:tcPr>
          <w:p>
            <w:pPr/>
          </w:p>
        </w:tc>
        <w:tc>
          <w:tcPr>
            <w:tcW w:w="275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3"/>
              <w:jc w:val="right"/>
              <w:rPr>
                <w:rFonts w:ascii="黑体" w:hAnsi="黑体" w:cs="黑体" w:eastAsia="黑体" w:hint="default"/>
                <w:sz w:val="20"/>
                <w:szCs w:val="20"/>
              </w:rPr>
            </w:pPr>
            <w:r>
              <w:rPr>
                <w:rFonts w:ascii="黑体" w:hAnsi="黑体" w:cs="黑体" w:eastAsia="黑体" w:hint="default"/>
                <w:spacing w:val="-1"/>
                <w:sz w:val="20"/>
                <w:szCs w:val="20"/>
              </w:rPr>
              <w:t>与本集团关系</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76"/>
              <w:jc w:val="right"/>
              <w:rPr>
                <w:rFonts w:ascii="黑体" w:hAnsi="黑体" w:cs="黑体" w:eastAsia="黑体" w:hint="default"/>
                <w:sz w:val="20"/>
                <w:szCs w:val="20"/>
              </w:rPr>
            </w:pPr>
            <w:r>
              <w:rPr>
                <w:rFonts w:ascii="黑体" w:hAnsi="黑体" w:cs="黑体" w:eastAsia="黑体" w:hint="default"/>
                <w:sz w:val="20"/>
                <w:szCs w:val="20"/>
              </w:rPr>
              <w:t>金额</w:t>
            </w:r>
          </w:p>
        </w:tc>
        <w:tc>
          <w:tcPr>
            <w:tcW w:w="182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77" w:right="34" w:firstLine="111"/>
              <w:jc w:val="left"/>
              <w:rPr>
                <w:rFonts w:ascii="Arial" w:hAnsi="Arial" w:cs="Arial" w:eastAsia="Arial" w:hint="default"/>
                <w:sz w:val="20"/>
                <w:szCs w:val="20"/>
              </w:rPr>
            </w:pPr>
            <w:r>
              <w:rPr>
                <w:rFonts w:ascii="黑体" w:hAnsi="黑体" w:cs="黑体" w:eastAsia="黑体" w:hint="default"/>
                <w:sz w:val="20"/>
                <w:szCs w:val="20"/>
              </w:rPr>
              <w:t>占其他应收款</w:t>
            </w:r>
            <w:r>
              <w:rPr>
                <w:rFonts w:ascii="黑体" w:hAnsi="黑体" w:cs="黑体" w:eastAsia="黑体" w:hint="default"/>
                <w:w w:val="100"/>
                <w:sz w:val="20"/>
                <w:szCs w:val="20"/>
              </w:rPr>
              <w:t> </w:t>
            </w:r>
            <w:r>
              <w:rPr>
                <w:rFonts w:ascii="黑体" w:hAnsi="黑体" w:cs="黑体" w:eastAsia="黑体" w:hint="default"/>
                <w:spacing w:val="-1"/>
                <w:sz w:val="20"/>
                <w:szCs w:val="20"/>
              </w:rPr>
              <w:t>总额的比例</w:t>
            </w:r>
            <w:r>
              <w:rPr>
                <w:rFonts w:ascii="Arial" w:hAnsi="Arial" w:cs="Arial" w:eastAsia="Arial" w:hint="default"/>
                <w:spacing w:val="-1"/>
                <w:sz w:val="20"/>
                <w:szCs w:val="20"/>
              </w:rPr>
              <w:t>(%)</w:t>
            </w:r>
            <w:r>
              <w:rPr>
                <w:rFonts w:ascii="Arial" w:hAnsi="Arial" w:cs="Arial" w:eastAsia="Arial" w:hint="default"/>
                <w:sz w:val="20"/>
                <w:szCs w:val="20"/>
              </w:rPr>
            </w:r>
          </w:p>
        </w:tc>
      </w:tr>
      <w:tr>
        <w:trPr>
          <w:trHeight w:val="609" w:hRule="exact"/>
        </w:trPr>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2756" w:type="dxa"/>
            <w:tcBorders>
              <w:top w:val="nil" w:sz="6" w:space="0" w:color="auto"/>
              <w:left w:val="nil" w:sz="6" w:space="0" w:color="auto"/>
              <w:bottom w:val="nil" w:sz="6" w:space="0" w:color="auto"/>
              <w:right w:val="nil" w:sz="6" w:space="0" w:color="auto"/>
            </w:tcBorders>
          </w:tcPr>
          <w:p>
            <w:pPr>
              <w:pStyle w:val="TableParagraph"/>
              <w:spacing w:line="224" w:lineRule="exact" w:before="145"/>
              <w:ind w:left="1299" w:right="253" w:firstLine="388"/>
              <w:jc w:val="left"/>
              <w:rPr>
                <w:rFonts w:ascii="黑体" w:hAnsi="黑体" w:cs="黑体" w:eastAsia="黑体" w:hint="default"/>
                <w:sz w:val="20"/>
                <w:szCs w:val="20"/>
              </w:rPr>
            </w:pPr>
            <w:r>
              <w:rPr>
                <w:rFonts w:ascii="黑体" w:hAnsi="黑体" w:cs="黑体" w:eastAsia="黑体" w:hint="default"/>
                <w:sz w:val="20"/>
                <w:szCs w:val="20"/>
              </w:rPr>
              <w:t>联营企业</w:t>
            </w:r>
            <w:r>
              <w:rPr>
                <w:rFonts w:ascii="黑体" w:hAnsi="黑体" w:cs="黑体" w:eastAsia="黑体" w:hint="default"/>
                <w:w w:val="100"/>
                <w:sz w:val="20"/>
                <w:szCs w:val="20"/>
              </w:rPr>
              <w:t> </w:t>
            </w:r>
            <w:r>
              <w:rPr>
                <w:rFonts w:ascii="黑体" w:hAnsi="黑体" w:cs="黑体" w:eastAsia="黑体" w:hint="default"/>
                <w:sz w:val="20"/>
                <w:szCs w:val="20"/>
              </w:rPr>
              <w:t>与本公司同受</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475"/>
              <w:jc w:val="right"/>
              <w:rPr>
                <w:rFonts w:ascii="Arial" w:hAnsi="Arial" w:cs="Arial" w:eastAsia="Arial" w:hint="default"/>
                <w:sz w:val="20"/>
                <w:szCs w:val="20"/>
              </w:rPr>
            </w:pPr>
            <w:r>
              <w:rPr>
                <w:rFonts w:ascii="Arial"/>
                <w:sz w:val="20"/>
              </w:rPr>
              <w:t>12,083</w:t>
            </w:r>
          </w:p>
        </w:tc>
        <w:tc>
          <w:tcPr>
            <w:tcW w:w="1826"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
              <w:jc w:val="right"/>
              <w:rPr>
                <w:rFonts w:ascii="Arial" w:hAnsi="Arial" w:cs="Arial" w:eastAsia="Arial" w:hint="default"/>
                <w:sz w:val="20"/>
                <w:szCs w:val="20"/>
              </w:rPr>
            </w:pPr>
            <w:r>
              <w:rPr>
                <w:rFonts w:ascii="Arial"/>
                <w:sz w:val="20"/>
              </w:rPr>
              <w:t>&lt;1</w:t>
            </w:r>
          </w:p>
        </w:tc>
      </w:tr>
      <w:tr>
        <w:trPr>
          <w:trHeight w:val="269" w:hRule="exact"/>
        </w:trPr>
        <w:tc>
          <w:tcPr>
            <w:tcW w:w="1926" w:type="dxa"/>
            <w:tcBorders>
              <w:top w:val="nil" w:sz="6" w:space="0" w:color="auto"/>
              <w:left w:val="nil" w:sz="6" w:space="0" w:color="auto"/>
              <w:bottom w:val="nil" w:sz="6" w:space="0" w:color="auto"/>
              <w:right w:val="nil" w:sz="6" w:space="0" w:color="auto"/>
            </w:tcBorders>
          </w:tcPr>
          <w:p>
            <w:pPr>
              <w:pStyle w:val="TableParagraph"/>
              <w:spacing w:line="233"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用友移动</w:t>
            </w:r>
          </w:p>
        </w:tc>
        <w:tc>
          <w:tcPr>
            <w:tcW w:w="2756" w:type="dxa"/>
            <w:tcBorders>
              <w:top w:val="nil" w:sz="6" w:space="0" w:color="auto"/>
              <w:left w:val="nil" w:sz="6" w:space="0" w:color="auto"/>
              <w:bottom w:val="nil" w:sz="6" w:space="0" w:color="auto"/>
              <w:right w:val="nil" w:sz="6" w:space="0" w:color="auto"/>
            </w:tcBorders>
          </w:tcPr>
          <w:p>
            <w:pPr>
              <w:pStyle w:val="TableParagraph"/>
              <w:spacing w:line="233" w:lineRule="exact"/>
              <w:ind w:right="264"/>
              <w:jc w:val="right"/>
              <w:rPr>
                <w:rFonts w:ascii="黑体" w:hAnsi="黑体" w:cs="黑体" w:eastAsia="黑体" w:hint="default"/>
                <w:sz w:val="20"/>
                <w:szCs w:val="20"/>
              </w:rPr>
            </w:pPr>
            <w:r>
              <w:rPr>
                <w:rFonts w:ascii="黑体" w:hAnsi="黑体" w:cs="黑体" w:eastAsia="黑体" w:hint="default"/>
                <w:spacing w:val="-1"/>
                <w:sz w:val="20"/>
                <w:szCs w:val="20"/>
              </w:rPr>
              <w:t>用友研究所控制</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76"/>
              <w:jc w:val="right"/>
              <w:rPr>
                <w:rFonts w:ascii="Arial" w:hAnsi="Arial" w:cs="Arial" w:eastAsia="Arial" w:hint="default"/>
                <w:sz w:val="20"/>
                <w:szCs w:val="20"/>
              </w:rPr>
            </w:pPr>
            <w:r>
              <w:rPr>
                <w:rFonts w:ascii="Arial"/>
                <w:w w:val="100"/>
                <w:sz w:val="20"/>
              </w:rPr>
            </w:r>
            <w:r>
              <w:rPr>
                <w:rFonts w:ascii="Arial"/>
                <w:sz w:val="20"/>
                <w:u w:val="single" w:color="000000"/>
              </w:rPr>
              <w:t>39,078</w:t>
            </w:r>
            <w:r>
              <w:rPr>
                <w:rFonts w:ascii="Arial"/>
                <w:sz w:val="20"/>
              </w:rPr>
            </w:r>
          </w:p>
        </w:tc>
        <w:tc>
          <w:tcPr>
            <w:tcW w:w="182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Arial" w:hAnsi="Arial" w:cs="Arial" w:eastAsia="Arial" w:hint="default"/>
                <w:sz w:val="20"/>
                <w:szCs w:val="20"/>
              </w:rPr>
            </w:pPr>
            <w:r>
              <w:rPr>
                <w:rFonts w:ascii="Arial"/>
                <w:w w:val="100"/>
                <w:sz w:val="20"/>
              </w:rPr>
            </w:r>
            <w:r>
              <w:rPr>
                <w:rFonts w:ascii="Arial"/>
                <w:sz w:val="20"/>
                <w:u w:val="single" w:color="000000"/>
              </w:rPr>
              <w:t>&lt;1</w:t>
            </w:r>
            <w:r>
              <w:rPr>
                <w:rFonts w:ascii="Arial"/>
                <w:sz w:val="20"/>
              </w:rPr>
            </w:r>
          </w:p>
        </w:tc>
      </w:tr>
      <w:tr>
        <w:trPr>
          <w:trHeight w:val="328" w:hRule="exact"/>
        </w:trPr>
        <w:tc>
          <w:tcPr>
            <w:tcW w:w="1926" w:type="dxa"/>
            <w:tcBorders>
              <w:top w:val="nil" w:sz="6" w:space="0" w:color="auto"/>
              <w:left w:val="nil" w:sz="6" w:space="0" w:color="auto"/>
              <w:bottom w:val="nil" w:sz="6" w:space="0" w:color="auto"/>
              <w:right w:val="nil" w:sz="6" w:space="0" w:color="auto"/>
            </w:tcBorders>
          </w:tcPr>
          <w:p>
            <w:pPr/>
          </w:p>
        </w:tc>
        <w:tc>
          <w:tcPr>
            <w:tcW w:w="2756"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476"/>
              <w:jc w:val="right"/>
              <w:rPr>
                <w:rFonts w:ascii="Arial" w:hAnsi="Arial" w:cs="Arial" w:eastAsia="Arial" w:hint="default"/>
                <w:sz w:val="20"/>
                <w:szCs w:val="20"/>
              </w:rPr>
            </w:pPr>
            <w:r>
              <w:rPr>
                <w:rFonts w:ascii="Arial"/>
                <w:w w:val="100"/>
                <w:sz w:val="20"/>
              </w:rPr>
            </w:r>
            <w:r>
              <w:rPr>
                <w:rFonts w:ascii="Arial"/>
                <w:sz w:val="20"/>
                <w:u w:val="thick" w:color="000000"/>
              </w:rPr>
              <w:t>51,161</w:t>
            </w:r>
            <w:r>
              <w:rPr>
                <w:rFonts w:ascii="Arial"/>
                <w:sz w:val="20"/>
              </w:rPr>
            </w:r>
          </w:p>
        </w:tc>
        <w:tc>
          <w:tcPr>
            <w:tcW w:w="182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4"/>
              <w:jc w:val="right"/>
              <w:rPr>
                <w:rFonts w:ascii="Arial" w:hAnsi="Arial" w:cs="Arial" w:eastAsia="Arial" w:hint="default"/>
                <w:sz w:val="20"/>
                <w:szCs w:val="20"/>
              </w:rPr>
            </w:pPr>
            <w:r>
              <w:rPr>
                <w:rFonts w:ascii="Arial"/>
                <w:w w:val="100"/>
                <w:sz w:val="20"/>
              </w:rPr>
            </w:r>
            <w:r>
              <w:rPr>
                <w:rFonts w:ascii="Arial"/>
                <w:sz w:val="20"/>
                <w:u w:val="thick" w:color="000000"/>
              </w:rPr>
              <w:t>&lt;1</w:t>
            </w:r>
            <w:r>
              <w:rPr>
                <w:rFonts w:ascii="Arial"/>
                <w:sz w:val="20"/>
              </w:rPr>
            </w:r>
          </w:p>
        </w:tc>
      </w:tr>
    </w:tbl>
    <w:p>
      <w:pPr>
        <w:spacing w:after="0" w:line="240" w:lineRule="auto"/>
        <w:jc w:val="right"/>
        <w:rPr>
          <w:rFonts w:ascii="Arial" w:hAnsi="Arial" w:cs="Arial" w:eastAsia="Arial" w:hint="default"/>
          <w:sz w:val="20"/>
          <w:szCs w:val="20"/>
        </w:rPr>
        <w:sectPr>
          <w:type w:val="continuous"/>
          <w:pgSz w:w="11910" w:h="16840"/>
          <w:pgMar w:top="900" w:bottom="280" w:left="1560" w:right="156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43" w:val="left" w:leader="none"/>
        </w:tabs>
        <w:spacing w:before="38"/>
        <w:ind w:left="141" w:right="112"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61" w:val="left" w:leader="none"/>
        </w:tabs>
        <w:spacing w:line="424" w:lineRule="auto" w:before="0"/>
        <w:ind w:left="855" w:right="3635" w:hanging="715"/>
        <w:jc w:val="left"/>
        <w:rPr>
          <w:rFonts w:ascii="黑体" w:hAnsi="黑体" w:cs="黑体" w:eastAsia="黑体" w:hint="default"/>
          <w:sz w:val="20"/>
          <w:szCs w:val="20"/>
        </w:rPr>
      </w:pPr>
      <w:r>
        <w:rPr>
          <w:rFonts w:ascii="Arial" w:hAnsi="Arial" w:cs="Arial" w:eastAsia="Arial" w:hint="default"/>
          <w:b/>
          <w:bCs/>
          <w:spacing w:val="-1"/>
          <w:sz w:val="20"/>
          <w:szCs w:val="20"/>
        </w:rPr>
        <w:t>6.</w:t>
        <w:tab/>
        <w:tab/>
      </w:r>
      <w:r>
        <w:rPr>
          <w:rFonts w:ascii="黑体" w:hAnsi="黑体" w:cs="黑体" w:eastAsia="黑体" w:hint="default"/>
          <w:b/>
          <w:bCs/>
          <w:sz w:val="20"/>
          <w:szCs w:val="20"/>
        </w:rPr>
        <w:t>其他应收款（续）</w:t>
      </w:r>
      <w:r>
        <w:rPr>
          <w:rFonts w:ascii="黑体" w:hAnsi="黑体" w:cs="黑体" w:eastAsia="黑体" w:hint="default"/>
          <w:b/>
          <w:bCs/>
          <w:w w:val="99"/>
          <w:sz w:val="20"/>
          <w:szCs w:val="20"/>
        </w:rPr>
        <w:t> </w:t>
      </w:r>
      <w:r>
        <w:rPr>
          <w:rFonts w:ascii="黑体" w:hAnsi="黑体" w:cs="黑体" w:eastAsia="黑体" w:hint="default"/>
          <w:spacing w:val="-1"/>
          <w:sz w:val="20"/>
          <w:szCs w:val="20"/>
        </w:rPr>
        <w:t>于</w:t>
      </w:r>
      <w:r>
        <w:rPr>
          <w:rFonts w:ascii="Arial" w:hAnsi="Arial" w:cs="Arial" w:eastAsia="Arial" w:hint="default"/>
          <w:spacing w:val="-1"/>
          <w:sz w:val="20"/>
          <w:szCs w:val="20"/>
        </w:rPr>
        <w:t>2008</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日，其他应收关联方款项如下：</w:t>
      </w:r>
    </w:p>
    <w:tbl>
      <w:tblPr>
        <w:tblW w:w="0" w:type="auto"/>
        <w:jc w:val="left"/>
        <w:tblInd w:w="106" w:type="dxa"/>
        <w:tblLayout w:type="fixed"/>
        <w:tblCellMar>
          <w:top w:w="0" w:type="dxa"/>
          <w:left w:w="0" w:type="dxa"/>
          <w:bottom w:w="0" w:type="dxa"/>
          <w:right w:w="0" w:type="dxa"/>
        </w:tblCellMar>
        <w:tblLook w:val="01E0"/>
      </w:tblPr>
      <w:tblGrid>
        <w:gridCol w:w="2428"/>
        <w:gridCol w:w="2594"/>
        <w:gridCol w:w="1758"/>
        <w:gridCol w:w="1788"/>
      </w:tblGrid>
      <w:tr>
        <w:trPr>
          <w:trHeight w:val="714" w:hRule="exact"/>
        </w:trPr>
        <w:tc>
          <w:tcPr>
            <w:tcW w:w="2428" w:type="dxa"/>
            <w:tcBorders>
              <w:top w:val="nil" w:sz="6" w:space="0" w:color="auto"/>
              <w:left w:val="nil" w:sz="6" w:space="0" w:color="auto"/>
              <w:bottom w:val="nil" w:sz="6" w:space="0" w:color="auto"/>
              <w:right w:val="nil" w:sz="6" w:space="0" w:color="auto"/>
            </w:tcBorders>
          </w:tcPr>
          <w:p>
            <w:pPr/>
          </w:p>
        </w:tc>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313"/>
              <w:jc w:val="right"/>
              <w:rPr>
                <w:rFonts w:ascii="黑体" w:hAnsi="黑体" w:cs="黑体" w:eastAsia="黑体" w:hint="default"/>
                <w:sz w:val="20"/>
                <w:szCs w:val="20"/>
              </w:rPr>
            </w:pPr>
            <w:r>
              <w:rPr>
                <w:rFonts w:ascii="黑体" w:hAnsi="黑体" w:cs="黑体" w:eastAsia="黑体" w:hint="default"/>
                <w:spacing w:val="-1"/>
                <w:sz w:val="20"/>
                <w:szCs w:val="20"/>
              </w:rPr>
              <w:t>与本集团关系</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438"/>
              <w:jc w:val="right"/>
              <w:rPr>
                <w:rFonts w:ascii="黑体" w:hAnsi="黑体" w:cs="黑体" w:eastAsia="黑体" w:hint="default"/>
                <w:sz w:val="20"/>
                <w:szCs w:val="20"/>
              </w:rPr>
            </w:pPr>
            <w:r>
              <w:rPr>
                <w:rFonts w:ascii="黑体" w:hAnsi="黑体" w:cs="黑体" w:eastAsia="黑体" w:hint="default"/>
                <w:sz w:val="20"/>
                <w:szCs w:val="20"/>
              </w:rPr>
              <w:t>金额</w:t>
            </w:r>
          </w:p>
        </w:tc>
        <w:tc>
          <w:tcPr>
            <w:tcW w:w="1788" w:type="dxa"/>
            <w:tcBorders>
              <w:top w:val="nil" w:sz="6" w:space="0" w:color="auto"/>
              <w:left w:val="nil" w:sz="6" w:space="0" w:color="auto"/>
              <w:bottom w:val="nil" w:sz="6" w:space="0" w:color="auto"/>
              <w:right w:val="nil" w:sz="6" w:space="0" w:color="auto"/>
            </w:tcBorders>
          </w:tcPr>
          <w:p>
            <w:pPr>
              <w:pStyle w:val="TableParagraph"/>
              <w:spacing w:line="254" w:lineRule="exact" w:before="61"/>
              <w:ind w:left="439" w:right="33" w:firstLine="111"/>
              <w:jc w:val="left"/>
              <w:rPr>
                <w:rFonts w:ascii="Arial" w:hAnsi="Arial" w:cs="Arial" w:eastAsia="Arial" w:hint="default"/>
                <w:sz w:val="20"/>
                <w:szCs w:val="20"/>
              </w:rPr>
            </w:pPr>
            <w:r>
              <w:rPr>
                <w:rFonts w:ascii="黑体" w:hAnsi="黑体" w:cs="黑体" w:eastAsia="黑体" w:hint="default"/>
                <w:sz w:val="20"/>
                <w:szCs w:val="20"/>
              </w:rPr>
              <w:t>占其他应收款</w:t>
            </w:r>
            <w:r>
              <w:rPr>
                <w:rFonts w:ascii="黑体" w:hAnsi="黑体" w:cs="黑体" w:eastAsia="黑体" w:hint="default"/>
                <w:w w:val="100"/>
                <w:sz w:val="20"/>
                <w:szCs w:val="20"/>
              </w:rPr>
              <w:t> </w:t>
            </w:r>
            <w:r>
              <w:rPr>
                <w:rFonts w:ascii="黑体" w:hAnsi="黑体" w:cs="黑体" w:eastAsia="黑体" w:hint="default"/>
                <w:spacing w:val="-1"/>
                <w:sz w:val="20"/>
                <w:szCs w:val="20"/>
              </w:rPr>
              <w:t>总额的比例</w:t>
            </w:r>
            <w:r>
              <w:rPr>
                <w:rFonts w:ascii="Arial" w:hAnsi="Arial" w:cs="Arial" w:eastAsia="Arial" w:hint="default"/>
                <w:spacing w:val="-1"/>
                <w:sz w:val="20"/>
                <w:szCs w:val="20"/>
              </w:rPr>
              <w:t>(%)</w:t>
            </w:r>
            <w:r>
              <w:rPr>
                <w:rFonts w:ascii="Arial" w:hAnsi="Arial" w:cs="Arial" w:eastAsia="Arial" w:hint="default"/>
                <w:sz w:val="20"/>
                <w:szCs w:val="20"/>
              </w:rPr>
            </w:r>
          </w:p>
        </w:tc>
      </w:tr>
      <w:tr>
        <w:trPr>
          <w:trHeight w:val="383" w:hRule="exact"/>
        </w:trPr>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748" w:right="0"/>
              <w:jc w:val="left"/>
              <w:rPr>
                <w:rFonts w:ascii="黑体" w:hAnsi="黑体" w:cs="黑体" w:eastAsia="黑体" w:hint="default"/>
                <w:sz w:val="20"/>
                <w:szCs w:val="20"/>
              </w:rPr>
            </w:pPr>
            <w:r>
              <w:rPr>
                <w:rFonts w:ascii="黑体" w:hAnsi="黑体" w:cs="黑体" w:eastAsia="黑体" w:hint="default"/>
                <w:sz w:val="20"/>
                <w:szCs w:val="20"/>
              </w:rPr>
              <w:t>邵凯</w:t>
            </w:r>
          </w:p>
        </w:tc>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14"/>
              <w:jc w:val="right"/>
              <w:rPr>
                <w:rFonts w:ascii="黑体" w:hAnsi="黑体" w:cs="黑体" w:eastAsia="黑体" w:hint="default"/>
                <w:sz w:val="20"/>
                <w:szCs w:val="20"/>
              </w:rPr>
            </w:pPr>
            <w:r>
              <w:rPr>
                <w:rFonts w:ascii="黑体" w:hAnsi="黑体" w:cs="黑体" w:eastAsia="黑体" w:hint="default"/>
                <w:sz w:val="20"/>
                <w:szCs w:val="20"/>
              </w:rPr>
              <w:t>公司高管</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440"/>
              <w:jc w:val="right"/>
              <w:rPr>
                <w:rFonts w:ascii="Arial" w:hAnsi="Arial" w:cs="Arial" w:eastAsia="Arial" w:hint="default"/>
                <w:sz w:val="20"/>
                <w:szCs w:val="20"/>
              </w:rPr>
            </w:pPr>
            <w:r>
              <w:rPr>
                <w:rFonts w:ascii="Arial"/>
                <w:spacing w:val="-1"/>
                <w:sz w:val="20"/>
              </w:rPr>
              <w:t>10,000,000</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4"/>
              <w:jc w:val="right"/>
              <w:rPr>
                <w:rFonts w:ascii="Arial" w:hAnsi="Arial" w:cs="Arial" w:eastAsia="Arial" w:hint="default"/>
                <w:sz w:val="20"/>
                <w:szCs w:val="20"/>
              </w:rPr>
            </w:pPr>
            <w:r>
              <w:rPr>
                <w:rFonts w:ascii="Arial"/>
                <w:sz w:val="20"/>
              </w:rPr>
              <w:t>11</w:t>
            </w:r>
          </w:p>
        </w:tc>
      </w:tr>
      <w:tr>
        <w:trPr>
          <w:trHeight w:val="468" w:hRule="exact"/>
        </w:trPr>
        <w:tc>
          <w:tcPr>
            <w:tcW w:w="2428" w:type="dxa"/>
            <w:tcBorders>
              <w:top w:val="nil" w:sz="6" w:space="0" w:color="auto"/>
              <w:left w:val="nil" w:sz="6" w:space="0" w:color="auto"/>
              <w:bottom w:val="nil" w:sz="6" w:space="0" w:color="auto"/>
              <w:right w:val="nil" w:sz="6" w:space="0" w:color="auto"/>
            </w:tcBorders>
          </w:tcPr>
          <w:p>
            <w:pPr>
              <w:pStyle w:val="TableParagraph"/>
              <w:spacing w:line="216" w:lineRule="exact"/>
              <w:ind w:right="875"/>
              <w:jc w:val="right"/>
              <w:rPr>
                <w:rFonts w:ascii="黑体" w:hAnsi="黑体" w:cs="黑体" w:eastAsia="黑体" w:hint="default"/>
                <w:sz w:val="20"/>
                <w:szCs w:val="20"/>
              </w:rPr>
            </w:pPr>
            <w:r>
              <w:rPr>
                <w:rFonts w:ascii="黑体" w:hAnsi="黑体" w:cs="黑体" w:eastAsia="黑体" w:hint="default"/>
                <w:sz w:val="20"/>
                <w:szCs w:val="20"/>
              </w:rPr>
              <w:t>用友审计</w:t>
            </w:r>
          </w:p>
        </w:tc>
        <w:tc>
          <w:tcPr>
            <w:tcW w:w="2594" w:type="dxa"/>
            <w:tcBorders>
              <w:top w:val="nil" w:sz="6" w:space="0" w:color="auto"/>
              <w:left w:val="nil" w:sz="6" w:space="0" w:color="auto"/>
              <w:bottom w:val="nil" w:sz="6" w:space="0" w:color="auto"/>
              <w:right w:val="nil" w:sz="6" w:space="0" w:color="auto"/>
            </w:tcBorders>
          </w:tcPr>
          <w:p>
            <w:pPr>
              <w:pStyle w:val="TableParagraph"/>
              <w:spacing w:line="230" w:lineRule="exact" w:before="3"/>
              <w:ind w:left="1077" w:right="313" w:firstLine="398"/>
              <w:jc w:val="left"/>
              <w:rPr>
                <w:rFonts w:ascii="黑体" w:hAnsi="黑体" w:cs="黑体" w:eastAsia="黑体" w:hint="default"/>
                <w:sz w:val="20"/>
                <w:szCs w:val="20"/>
              </w:rPr>
            </w:pPr>
            <w:r>
              <w:rPr>
                <w:rFonts w:ascii="黑体" w:hAnsi="黑体" w:cs="黑体" w:eastAsia="黑体" w:hint="default"/>
                <w:sz w:val="20"/>
                <w:szCs w:val="20"/>
              </w:rPr>
              <w:t>联营企业</w:t>
            </w:r>
            <w:r>
              <w:rPr>
                <w:rFonts w:ascii="黑体" w:hAnsi="黑体" w:cs="黑体" w:eastAsia="黑体" w:hint="default"/>
                <w:w w:val="100"/>
                <w:sz w:val="20"/>
                <w:szCs w:val="20"/>
              </w:rPr>
              <w:t> </w:t>
            </w:r>
            <w:r>
              <w:rPr>
                <w:rFonts w:ascii="黑体" w:hAnsi="黑体" w:cs="黑体" w:eastAsia="黑体" w:hint="default"/>
                <w:sz w:val="20"/>
                <w:szCs w:val="20"/>
              </w:rPr>
              <w:t>与本公司同受</w:t>
            </w:r>
          </w:p>
        </w:tc>
        <w:tc>
          <w:tcPr>
            <w:tcW w:w="1758" w:type="dxa"/>
            <w:tcBorders>
              <w:top w:val="nil" w:sz="6" w:space="0" w:color="auto"/>
              <w:left w:val="nil" w:sz="6" w:space="0" w:color="auto"/>
              <w:bottom w:val="nil" w:sz="6" w:space="0" w:color="auto"/>
              <w:right w:val="nil" w:sz="6" w:space="0" w:color="auto"/>
            </w:tcBorders>
          </w:tcPr>
          <w:p>
            <w:pPr>
              <w:pStyle w:val="TableParagraph"/>
              <w:spacing w:line="229" w:lineRule="exact"/>
              <w:ind w:right="438"/>
              <w:jc w:val="right"/>
              <w:rPr>
                <w:rFonts w:ascii="Arial" w:hAnsi="Arial" w:cs="Arial" w:eastAsia="Arial" w:hint="default"/>
                <w:sz w:val="20"/>
                <w:szCs w:val="20"/>
              </w:rPr>
            </w:pPr>
            <w:r>
              <w:rPr>
                <w:rFonts w:ascii="Arial"/>
                <w:spacing w:val="-1"/>
                <w:sz w:val="20"/>
              </w:rPr>
              <w:t>1,500,000</w:t>
            </w:r>
          </w:p>
        </w:tc>
        <w:tc>
          <w:tcPr>
            <w:tcW w:w="1788" w:type="dxa"/>
            <w:tcBorders>
              <w:top w:val="nil" w:sz="6" w:space="0" w:color="auto"/>
              <w:left w:val="nil" w:sz="6" w:space="0" w:color="auto"/>
              <w:bottom w:val="nil" w:sz="6" w:space="0" w:color="auto"/>
              <w:right w:val="nil" w:sz="6" w:space="0" w:color="auto"/>
            </w:tcBorders>
          </w:tcPr>
          <w:p>
            <w:pPr>
              <w:pStyle w:val="TableParagraph"/>
              <w:spacing w:line="229" w:lineRule="exact"/>
              <w:ind w:right="35"/>
              <w:jc w:val="right"/>
              <w:rPr>
                <w:rFonts w:ascii="Arial" w:hAnsi="Arial" w:cs="Arial" w:eastAsia="Arial" w:hint="default"/>
                <w:sz w:val="20"/>
                <w:szCs w:val="20"/>
              </w:rPr>
            </w:pPr>
            <w:r>
              <w:rPr>
                <w:rFonts w:ascii="Arial"/>
                <w:w w:val="100"/>
                <w:sz w:val="20"/>
              </w:rPr>
              <w:t>2</w:t>
            </w:r>
          </w:p>
        </w:tc>
      </w:tr>
      <w:tr>
        <w:trPr>
          <w:trHeight w:val="247" w:hRule="exact"/>
        </w:trPr>
        <w:tc>
          <w:tcPr>
            <w:tcW w:w="2428" w:type="dxa"/>
            <w:tcBorders>
              <w:top w:val="nil" w:sz="6" w:space="0" w:color="auto"/>
              <w:left w:val="nil" w:sz="6" w:space="0" w:color="auto"/>
              <w:bottom w:val="nil" w:sz="6" w:space="0" w:color="auto"/>
              <w:right w:val="nil" w:sz="6" w:space="0" w:color="auto"/>
            </w:tcBorders>
          </w:tcPr>
          <w:p>
            <w:pPr>
              <w:pStyle w:val="TableParagraph"/>
              <w:spacing w:line="207" w:lineRule="exact"/>
              <w:ind w:right="875"/>
              <w:jc w:val="right"/>
              <w:rPr>
                <w:rFonts w:ascii="黑体" w:hAnsi="黑体" w:cs="黑体" w:eastAsia="黑体" w:hint="default"/>
                <w:sz w:val="20"/>
                <w:szCs w:val="20"/>
              </w:rPr>
            </w:pPr>
            <w:r>
              <w:rPr>
                <w:rFonts w:ascii="黑体" w:hAnsi="黑体" w:cs="黑体" w:eastAsia="黑体" w:hint="default"/>
                <w:sz w:val="20"/>
                <w:szCs w:val="20"/>
              </w:rPr>
              <w:t>用友移动</w:t>
            </w:r>
          </w:p>
        </w:tc>
        <w:tc>
          <w:tcPr>
            <w:tcW w:w="2594" w:type="dxa"/>
            <w:tcBorders>
              <w:top w:val="nil" w:sz="6" w:space="0" w:color="auto"/>
              <w:left w:val="nil" w:sz="6" w:space="0" w:color="auto"/>
              <w:bottom w:val="nil" w:sz="6" w:space="0" w:color="auto"/>
              <w:right w:val="nil" w:sz="6" w:space="0" w:color="auto"/>
            </w:tcBorders>
          </w:tcPr>
          <w:p>
            <w:pPr>
              <w:pStyle w:val="TableParagraph"/>
              <w:spacing w:line="207" w:lineRule="exact"/>
              <w:ind w:right="314"/>
              <w:jc w:val="right"/>
              <w:rPr>
                <w:rFonts w:ascii="黑体" w:hAnsi="黑体" w:cs="黑体" w:eastAsia="黑体" w:hint="default"/>
                <w:sz w:val="20"/>
                <w:szCs w:val="20"/>
              </w:rPr>
            </w:pPr>
            <w:r>
              <w:rPr>
                <w:rFonts w:ascii="黑体" w:hAnsi="黑体" w:cs="黑体" w:eastAsia="黑体" w:hint="default"/>
                <w:spacing w:val="-1"/>
                <w:sz w:val="20"/>
                <w:szCs w:val="20"/>
              </w:rPr>
              <w:t>用友研究所控制</w:t>
            </w:r>
          </w:p>
        </w:tc>
        <w:tc>
          <w:tcPr>
            <w:tcW w:w="1758" w:type="dxa"/>
            <w:tcBorders>
              <w:top w:val="nil" w:sz="6" w:space="0" w:color="auto"/>
              <w:left w:val="nil" w:sz="6" w:space="0" w:color="auto"/>
              <w:bottom w:val="nil" w:sz="6" w:space="0" w:color="auto"/>
              <w:right w:val="nil" w:sz="6" w:space="0" w:color="auto"/>
            </w:tcBorders>
          </w:tcPr>
          <w:p>
            <w:pPr>
              <w:pStyle w:val="TableParagraph"/>
              <w:spacing w:line="221" w:lineRule="exact"/>
              <w:ind w:right="438"/>
              <w:jc w:val="right"/>
              <w:rPr>
                <w:rFonts w:ascii="Arial" w:hAnsi="Arial" w:cs="Arial" w:eastAsia="Arial" w:hint="default"/>
                <w:sz w:val="20"/>
                <w:szCs w:val="20"/>
              </w:rPr>
            </w:pPr>
            <w:r>
              <w:rPr>
                <w:rFonts w:ascii="Arial"/>
                <w:spacing w:val="-1"/>
                <w:sz w:val="20"/>
              </w:rPr>
              <w:t>1,065,875</w:t>
            </w:r>
          </w:p>
        </w:tc>
        <w:tc>
          <w:tcPr>
            <w:tcW w:w="1788" w:type="dxa"/>
            <w:tcBorders>
              <w:top w:val="nil" w:sz="6" w:space="0" w:color="auto"/>
              <w:left w:val="nil" w:sz="6" w:space="0" w:color="auto"/>
              <w:bottom w:val="nil" w:sz="6" w:space="0" w:color="auto"/>
              <w:right w:val="nil" w:sz="6" w:space="0" w:color="auto"/>
            </w:tcBorders>
          </w:tcPr>
          <w:p>
            <w:pPr>
              <w:pStyle w:val="TableParagraph"/>
              <w:spacing w:line="221" w:lineRule="exact"/>
              <w:ind w:right="33"/>
              <w:jc w:val="right"/>
              <w:rPr>
                <w:rFonts w:ascii="Arial" w:hAnsi="Arial" w:cs="Arial" w:eastAsia="Arial" w:hint="default"/>
                <w:sz w:val="20"/>
                <w:szCs w:val="20"/>
              </w:rPr>
            </w:pPr>
            <w:r>
              <w:rPr>
                <w:rFonts w:ascii="Arial"/>
                <w:w w:val="100"/>
                <w:sz w:val="20"/>
              </w:rPr>
              <w:t>1</w:t>
            </w:r>
          </w:p>
        </w:tc>
      </w:tr>
      <w:tr>
        <w:trPr>
          <w:trHeight w:val="260" w:hRule="exact"/>
        </w:trPr>
        <w:tc>
          <w:tcPr>
            <w:tcW w:w="2428" w:type="dxa"/>
            <w:tcBorders>
              <w:top w:val="nil" w:sz="6" w:space="0" w:color="auto"/>
              <w:left w:val="nil" w:sz="6" w:space="0" w:color="auto"/>
              <w:bottom w:val="nil" w:sz="6" w:space="0" w:color="auto"/>
              <w:right w:val="nil" w:sz="6" w:space="0" w:color="auto"/>
            </w:tcBorders>
          </w:tcPr>
          <w:p>
            <w:pPr>
              <w:pStyle w:val="TableParagraph"/>
              <w:spacing w:line="216" w:lineRule="exact"/>
              <w:ind w:right="875"/>
              <w:jc w:val="right"/>
              <w:rPr>
                <w:rFonts w:ascii="黑体" w:hAnsi="黑体" w:cs="黑体" w:eastAsia="黑体" w:hint="default"/>
                <w:sz w:val="20"/>
                <w:szCs w:val="20"/>
              </w:rPr>
            </w:pPr>
            <w:r>
              <w:rPr>
                <w:rFonts w:ascii="黑体" w:hAnsi="黑体" w:cs="黑体" w:eastAsia="黑体" w:hint="default"/>
                <w:sz w:val="20"/>
                <w:szCs w:val="20"/>
              </w:rPr>
              <w:t>用友致远</w:t>
            </w:r>
          </w:p>
        </w:tc>
        <w:tc>
          <w:tcPr>
            <w:tcW w:w="2594" w:type="dxa"/>
            <w:tcBorders>
              <w:top w:val="nil" w:sz="6" w:space="0" w:color="auto"/>
              <w:left w:val="nil" w:sz="6" w:space="0" w:color="auto"/>
              <w:bottom w:val="nil" w:sz="6" w:space="0" w:color="auto"/>
              <w:right w:val="nil" w:sz="6" w:space="0" w:color="auto"/>
            </w:tcBorders>
          </w:tcPr>
          <w:p>
            <w:pPr>
              <w:pStyle w:val="TableParagraph"/>
              <w:spacing w:line="216" w:lineRule="exact"/>
              <w:ind w:right="314"/>
              <w:jc w:val="right"/>
              <w:rPr>
                <w:rFonts w:ascii="黑体" w:hAnsi="黑体" w:cs="黑体" w:eastAsia="黑体" w:hint="default"/>
                <w:sz w:val="20"/>
                <w:szCs w:val="20"/>
              </w:rPr>
            </w:pPr>
            <w:r>
              <w:rPr>
                <w:rFonts w:ascii="黑体" w:hAnsi="黑体" w:cs="黑体" w:eastAsia="黑体" w:hint="default"/>
                <w:sz w:val="20"/>
                <w:szCs w:val="20"/>
              </w:rPr>
              <w:t>联营企业</w:t>
            </w:r>
          </w:p>
        </w:tc>
        <w:tc>
          <w:tcPr>
            <w:tcW w:w="1758" w:type="dxa"/>
            <w:tcBorders>
              <w:top w:val="nil" w:sz="6" w:space="0" w:color="auto"/>
              <w:left w:val="nil" w:sz="6" w:space="0" w:color="auto"/>
              <w:bottom w:val="nil" w:sz="6" w:space="0" w:color="auto"/>
              <w:right w:val="nil" w:sz="6" w:space="0" w:color="auto"/>
            </w:tcBorders>
          </w:tcPr>
          <w:p>
            <w:pPr>
              <w:pStyle w:val="TableParagraph"/>
              <w:tabs>
                <w:tab w:pos="500" w:val="left" w:leader="none"/>
              </w:tabs>
              <w:spacing w:line="229" w:lineRule="exact"/>
              <w:ind w:right="43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9,000</w:t>
            </w:r>
            <w:r>
              <w:rPr>
                <w:rFonts w:ascii="Arial"/>
                <w:sz w:val="20"/>
              </w:rPr>
            </w:r>
          </w:p>
        </w:tc>
        <w:tc>
          <w:tcPr>
            <w:tcW w:w="1788" w:type="dxa"/>
            <w:tcBorders>
              <w:top w:val="nil" w:sz="6" w:space="0" w:color="auto"/>
              <w:left w:val="nil" w:sz="6" w:space="0" w:color="auto"/>
              <w:bottom w:val="nil" w:sz="6" w:space="0" w:color="auto"/>
              <w:right w:val="nil" w:sz="6" w:space="0" w:color="auto"/>
            </w:tcBorders>
          </w:tcPr>
          <w:p>
            <w:pPr>
              <w:pStyle w:val="TableParagraph"/>
              <w:spacing w:line="229" w:lineRule="exact"/>
              <w:ind w:right="34"/>
              <w:jc w:val="right"/>
              <w:rPr>
                <w:rFonts w:ascii="Arial" w:hAnsi="Arial" w:cs="Arial" w:eastAsia="Arial" w:hint="default"/>
                <w:sz w:val="20"/>
                <w:szCs w:val="20"/>
              </w:rPr>
            </w:pPr>
            <w:r>
              <w:rPr>
                <w:rFonts w:ascii="Arial"/>
                <w:w w:val="100"/>
                <w:sz w:val="20"/>
              </w:rPr>
            </w:r>
            <w:r>
              <w:rPr>
                <w:rFonts w:ascii="Arial"/>
                <w:sz w:val="20"/>
                <w:u w:val="single" w:color="000000"/>
              </w:rPr>
              <w:t>&lt;1</w:t>
            </w:r>
            <w:r>
              <w:rPr>
                <w:rFonts w:ascii="Arial"/>
                <w:sz w:val="20"/>
              </w:rPr>
            </w:r>
          </w:p>
        </w:tc>
      </w:tr>
      <w:tr>
        <w:trPr>
          <w:trHeight w:val="371" w:hRule="exact"/>
        </w:trPr>
        <w:tc>
          <w:tcPr>
            <w:tcW w:w="2428" w:type="dxa"/>
            <w:tcBorders>
              <w:top w:val="nil" w:sz="6" w:space="0" w:color="auto"/>
              <w:left w:val="nil" w:sz="6" w:space="0" w:color="auto"/>
              <w:bottom w:val="nil" w:sz="6" w:space="0" w:color="auto"/>
              <w:right w:val="nil" w:sz="6" w:space="0" w:color="auto"/>
            </w:tcBorders>
          </w:tcPr>
          <w:p>
            <w:pPr/>
          </w:p>
        </w:tc>
        <w:tc>
          <w:tcPr>
            <w:tcW w:w="2594" w:type="dxa"/>
            <w:tcBorders>
              <w:top w:val="nil" w:sz="6" w:space="0" w:color="auto"/>
              <w:left w:val="nil" w:sz="6" w:space="0" w:color="auto"/>
              <w:bottom w:val="nil" w:sz="6" w:space="0" w:color="auto"/>
              <w:right w:val="nil" w:sz="6" w:space="0" w:color="auto"/>
            </w:tcBorders>
          </w:tcPr>
          <w:p>
            <w:pPr/>
          </w:p>
        </w:tc>
        <w:tc>
          <w:tcPr>
            <w:tcW w:w="1758" w:type="dxa"/>
            <w:tcBorders>
              <w:top w:val="nil" w:sz="6" w:space="0" w:color="auto"/>
              <w:left w:val="nil" w:sz="6" w:space="0" w:color="auto"/>
              <w:bottom w:val="nil" w:sz="6" w:space="0" w:color="auto"/>
              <w:right w:val="nil" w:sz="6" w:space="0" w:color="auto"/>
            </w:tcBorders>
          </w:tcPr>
          <w:p>
            <w:pPr>
              <w:pStyle w:val="TableParagraph"/>
              <w:spacing w:line="224" w:lineRule="exact"/>
              <w:ind w:right="439"/>
              <w:jc w:val="right"/>
              <w:rPr>
                <w:rFonts w:ascii="Arial" w:hAnsi="Arial" w:cs="Arial" w:eastAsia="Arial" w:hint="default"/>
                <w:sz w:val="20"/>
                <w:szCs w:val="20"/>
              </w:rPr>
            </w:pPr>
            <w:r>
              <w:rPr>
                <w:rFonts w:ascii="Arial"/>
                <w:w w:val="100"/>
                <w:sz w:val="20"/>
              </w:rPr>
            </w:r>
            <w:r>
              <w:rPr>
                <w:rFonts w:ascii="Arial"/>
                <w:spacing w:val="-1"/>
                <w:sz w:val="20"/>
                <w:u w:val="thick" w:color="000000"/>
              </w:rPr>
              <w:t>12,574,875</w:t>
            </w:r>
            <w:r>
              <w:rPr>
                <w:rFonts w:ascii="Arial"/>
                <w:spacing w:val="-1"/>
                <w:sz w:val="20"/>
              </w:rPr>
            </w:r>
          </w:p>
        </w:tc>
        <w:tc>
          <w:tcPr>
            <w:tcW w:w="1788" w:type="dxa"/>
            <w:tcBorders>
              <w:top w:val="nil" w:sz="6" w:space="0" w:color="auto"/>
              <w:left w:val="nil" w:sz="6" w:space="0" w:color="auto"/>
              <w:bottom w:val="nil" w:sz="6" w:space="0" w:color="auto"/>
              <w:right w:val="nil" w:sz="6" w:space="0" w:color="auto"/>
            </w:tcBorders>
          </w:tcPr>
          <w:p>
            <w:pPr>
              <w:pStyle w:val="TableParagraph"/>
              <w:spacing w:line="224" w:lineRule="exact"/>
              <w:ind w:right="34"/>
              <w:jc w:val="right"/>
              <w:rPr>
                <w:rFonts w:ascii="Arial" w:hAnsi="Arial" w:cs="Arial" w:eastAsia="Arial" w:hint="default"/>
                <w:sz w:val="20"/>
                <w:szCs w:val="20"/>
              </w:rPr>
            </w:pPr>
            <w:r>
              <w:rPr>
                <w:rFonts w:ascii="Arial"/>
                <w:w w:val="100"/>
                <w:sz w:val="20"/>
              </w:rPr>
            </w:r>
            <w:r>
              <w:rPr>
                <w:rFonts w:ascii="Arial"/>
                <w:sz w:val="20"/>
                <w:u w:val="thick" w:color="000000"/>
              </w:rPr>
              <w:t>14</w:t>
            </w:r>
            <w:r>
              <w:rPr>
                <w:rFonts w:ascii="Arial"/>
                <w:sz w:val="20"/>
              </w:rPr>
            </w:r>
          </w:p>
        </w:tc>
      </w:tr>
      <w:tr>
        <w:trPr>
          <w:trHeight w:val="452" w:hRule="exact"/>
        </w:trPr>
        <w:tc>
          <w:tcPr>
            <w:tcW w:w="2428" w:type="dxa"/>
            <w:tcBorders>
              <w:top w:val="nil" w:sz="6" w:space="0" w:color="auto"/>
              <w:left w:val="nil" w:sz="6" w:space="0" w:color="auto"/>
              <w:bottom w:val="nil" w:sz="6" w:space="0" w:color="auto"/>
              <w:right w:val="nil" w:sz="6" w:space="0" w:color="auto"/>
            </w:tcBorders>
          </w:tcPr>
          <w:p>
            <w:pPr>
              <w:pStyle w:val="TableParagraph"/>
              <w:tabs>
                <w:tab w:pos="754" w:val="left" w:leader="none"/>
              </w:tabs>
              <w:spacing w:line="240" w:lineRule="auto" w:before="74"/>
              <w:ind w:left="35" w:right="0"/>
              <w:jc w:val="left"/>
              <w:rPr>
                <w:rFonts w:ascii="黑体" w:hAnsi="黑体" w:cs="黑体" w:eastAsia="黑体" w:hint="default"/>
                <w:sz w:val="20"/>
                <w:szCs w:val="20"/>
              </w:rPr>
            </w:pPr>
            <w:r>
              <w:rPr>
                <w:rFonts w:ascii="Arial" w:hAnsi="Arial" w:cs="Arial" w:eastAsia="Arial" w:hint="default"/>
                <w:b/>
                <w:bCs/>
                <w:spacing w:val="-1"/>
                <w:sz w:val="20"/>
                <w:szCs w:val="20"/>
              </w:rPr>
              <w:t>7.</w:t>
              <w:tab/>
            </w:r>
            <w:r>
              <w:rPr>
                <w:rFonts w:ascii="黑体" w:hAnsi="黑体" w:cs="黑体" w:eastAsia="黑体" w:hint="default"/>
                <w:b/>
                <w:bCs/>
                <w:spacing w:val="1"/>
                <w:sz w:val="20"/>
                <w:szCs w:val="20"/>
              </w:rPr>
              <w:t>存货</w:t>
            </w:r>
            <w:r>
              <w:rPr>
                <w:rFonts w:ascii="黑体" w:hAnsi="黑体" w:cs="黑体" w:eastAsia="黑体" w:hint="default"/>
                <w:sz w:val="20"/>
                <w:szCs w:val="20"/>
              </w:rPr>
            </w:r>
          </w:p>
        </w:tc>
        <w:tc>
          <w:tcPr>
            <w:tcW w:w="2594" w:type="dxa"/>
            <w:tcBorders>
              <w:top w:val="nil" w:sz="6" w:space="0" w:color="auto"/>
              <w:left w:val="nil" w:sz="6" w:space="0" w:color="auto"/>
              <w:bottom w:val="nil" w:sz="6" w:space="0" w:color="auto"/>
              <w:right w:val="nil" w:sz="6" w:space="0" w:color="auto"/>
            </w:tcBorders>
          </w:tcPr>
          <w:p>
            <w:pPr/>
          </w:p>
        </w:tc>
        <w:tc>
          <w:tcPr>
            <w:tcW w:w="1758"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r>
    </w:tbl>
    <w:p>
      <w:pPr>
        <w:spacing w:line="240" w:lineRule="auto" w:before="6"/>
        <w:rPr>
          <w:rFonts w:ascii="黑体" w:hAnsi="黑体" w:cs="黑体" w:eastAsia="黑体" w:hint="default"/>
          <w:sz w:val="12"/>
          <w:szCs w:val="12"/>
        </w:rPr>
      </w:pPr>
    </w:p>
    <w:p>
      <w:pPr>
        <w:pStyle w:val="BodyText"/>
        <w:spacing w:line="261" w:lineRule="auto" w:before="38"/>
        <w:ind w:left="855" w:right="112" w:hanging="1"/>
        <w:jc w:val="left"/>
      </w:pPr>
      <w:r>
        <w:rPr>
          <w:spacing w:val="-3"/>
          <w:w w:val="100"/>
        </w:rPr>
        <w:t>本集团于</w:t>
      </w:r>
      <w:r>
        <w:rPr>
          <w:rFonts w:ascii="Arial" w:hAnsi="Arial" w:cs="Arial" w:eastAsia="Arial" w:hint="default"/>
          <w:spacing w:val="-3"/>
          <w:w w:val="100"/>
        </w:rPr>
        <w:t>2009</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日的存货中不存在因遭受毁损、全部或部分陈旧过时或销售价格低</w:t>
      </w:r>
      <w:r>
        <w:rPr>
          <w:spacing w:val="-94"/>
          <w:w w:val="100"/>
        </w:rPr>
        <w:t> </w:t>
      </w:r>
      <w:r>
        <w:rPr>
          <w:spacing w:val="-94"/>
          <w:w w:val="100"/>
        </w:rPr>
      </w:r>
      <w:r>
        <w:rPr/>
        <w:t>于成本等原因，而使存货成本高于其可变现净值的情况，故不需计提存货跌价准备。</w:t>
      </w:r>
    </w:p>
    <w:p>
      <w:pPr>
        <w:spacing w:line="240" w:lineRule="auto" w:before="1"/>
        <w:rPr>
          <w:rFonts w:ascii="黑体" w:hAnsi="黑体" w:cs="黑体" w:eastAsia="黑体" w:hint="default"/>
          <w:sz w:val="22"/>
          <w:szCs w:val="22"/>
        </w:rPr>
      </w:pPr>
    </w:p>
    <w:p>
      <w:pPr>
        <w:pStyle w:val="BodyText"/>
        <w:tabs>
          <w:tab w:pos="6183" w:val="left" w:leader="none"/>
        </w:tabs>
        <w:spacing w:line="240" w:lineRule="auto"/>
        <w:ind w:left="2838" w:right="112"/>
        <w:jc w:val="left"/>
      </w:pP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tab/>
      </w:r>
      <w:r>
        <w:rPr>
          <w:rFonts w:ascii="Arial" w:hAnsi="Arial" w:cs="Arial" w:eastAsia="Arial" w:hint="default"/>
          <w:spacing w:val="-1"/>
        </w:rPr>
        <w:t>2008</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r>
    </w:p>
    <w:p>
      <w:pPr>
        <w:spacing w:line="240" w:lineRule="auto" w:before="8"/>
        <w:rPr>
          <w:rFonts w:ascii="黑体" w:hAnsi="黑体" w:cs="黑体" w:eastAsia="黑体" w:hint="default"/>
          <w:sz w:val="2"/>
          <w:szCs w:val="2"/>
        </w:rPr>
      </w:pPr>
    </w:p>
    <w:tbl>
      <w:tblPr>
        <w:tblW w:w="0" w:type="auto"/>
        <w:jc w:val="left"/>
        <w:tblInd w:w="819" w:type="dxa"/>
        <w:tblLayout w:type="fixed"/>
        <w:tblCellMar>
          <w:top w:w="0" w:type="dxa"/>
          <w:left w:w="0" w:type="dxa"/>
          <w:bottom w:w="0" w:type="dxa"/>
          <w:right w:w="0" w:type="dxa"/>
        </w:tblCellMar>
        <w:tblLook w:val="01E0"/>
      </w:tblPr>
      <w:tblGrid>
        <w:gridCol w:w="1049"/>
        <w:gridCol w:w="1277"/>
        <w:gridCol w:w="996"/>
        <w:gridCol w:w="1190"/>
        <w:gridCol w:w="1215"/>
        <w:gridCol w:w="1024"/>
        <w:gridCol w:w="1104"/>
      </w:tblGrid>
      <w:tr>
        <w:trPr>
          <w:trHeight w:val="748" w:hRule="exact"/>
        </w:trPr>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0"/>
              <w:ind w:right="0"/>
              <w:jc w:val="left"/>
              <w:rPr>
                <w:rFonts w:ascii="黑体" w:hAnsi="黑体" w:cs="黑体" w:eastAsia="黑体" w:hint="default"/>
                <w:sz w:val="14"/>
                <w:szCs w:val="14"/>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原材料</w:t>
            </w:r>
          </w:p>
        </w:tc>
        <w:tc>
          <w:tcPr>
            <w:tcW w:w="1277" w:type="dxa"/>
            <w:tcBorders>
              <w:top w:val="nil" w:sz="6" w:space="0" w:color="auto"/>
              <w:left w:val="nil" w:sz="6" w:space="0" w:color="auto"/>
              <w:bottom w:val="nil" w:sz="6" w:space="0" w:color="auto"/>
              <w:right w:val="nil" w:sz="6" w:space="0" w:color="auto"/>
            </w:tcBorders>
          </w:tcPr>
          <w:p>
            <w:pPr>
              <w:pStyle w:val="TableParagraph"/>
              <w:spacing w:line="207" w:lineRule="exact"/>
              <w:ind w:left="490" w:right="0" w:hanging="79"/>
              <w:jc w:val="left"/>
              <w:rPr>
                <w:rFonts w:ascii="黑体" w:hAnsi="黑体" w:cs="黑体" w:eastAsia="黑体" w:hint="default"/>
                <w:sz w:val="20"/>
                <w:szCs w:val="20"/>
              </w:rPr>
            </w:pPr>
            <w:r>
              <w:rPr>
                <w:rFonts w:ascii="黑体" w:hAnsi="黑体" w:cs="黑体" w:eastAsia="黑体" w:hint="default"/>
                <w:sz w:val="20"/>
                <w:szCs w:val="20"/>
              </w:rPr>
              <w:t>账面余额</w:t>
            </w:r>
          </w:p>
          <w:p>
            <w:pPr>
              <w:pStyle w:val="TableParagraph"/>
              <w:spacing w:line="240" w:lineRule="auto" w:before="5"/>
              <w:ind w:right="0"/>
              <w:jc w:val="left"/>
              <w:rPr>
                <w:rFonts w:ascii="黑体" w:hAnsi="黑体" w:cs="黑体" w:eastAsia="黑体" w:hint="default"/>
                <w:sz w:val="22"/>
                <w:szCs w:val="22"/>
              </w:rPr>
            </w:pPr>
          </w:p>
          <w:p>
            <w:pPr>
              <w:pStyle w:val="TableParagraph"/>
              <w:spacing w:line="240" w:lineRule="auto"/>
              <w:ind w:left="490" w:right="0"/>
              <w:jc w:val="left"/>
              <w:rPr>
                <w:rFonts w:ascii="Arial" w:hAnsi="Arial" w:cs="Arial" w:eastAsia="Arial" w:hint="default"/>
                <w:sz w:val="20"/>
                <w:szCs w:val="20"/>
              </w:rPr>
            </w:pPr>
            <w:r>
              <w:rPr>
                <w:rFonts w:ascii="Arial"/>
                <w:sz w:val="20"/>
              </w:rPr>
              <w:t>299,518</w:t>
            </w:r>
          </w:p>
        </w:tc>
        <w:tc>
          <w:tcPr>
            <w:tcW w:w="996" w:type="dxa"/>
            <w:tcBorders>
              <w:top w:val="nil" w:sz="6" w:space="0" w:color="auto"/>
              <w:left w:val="nil" w:sz="6" w:space="0" w:color="auto"/>
              <w:bottom w:val="nil" w:sz="6" w:space="0" w:color="auto"/>
              <w:right w:val="nil" w:sz="6" w:space="0" w:color="auto"/>
            </w:tcBorders>
          </w:tcPr>
          <w:p>
            <w:pPr>
              <w:pStyle w:val="TableParagraph"/>
              <w:spacing w:line="207" w:lineRule="exact"/>
              <w:ind w:right="64"/>
              <w:jc w:val="right"/>
              <w:rPr>
                <w:rFonts w:ascii="黑体" w:hAnsi="黑体" w:cs="黑体" w:eastAsia="黑体" w:hint="default"/>
                <w:sz w:val="20"/>
                <w:szCs w:val="20"/>
              </w:rPr>
            </w:pPr>
            <w:r>
              <w:rPr>
                <w:rFonts w:ascii="黑体" w:hAnsi="黑体" w:cs="黑体" w:eastAsia="黑体" w:hint="default"/>
                <w:sz w:val="20"/>
                <w:szCs w:val="20"/>
              </w:rPr>
              <w:t>跌价准备</w:t>
            </w:r>
          </w:p>
          <w:p>
            <w:pPr>
              <w:pStyle w:val="TableParagraph"/>
              <w:spacing w:line="240" w:lineRule="auto" w:before="5"/>
              <w:ind w:right="0"/>
              <w:jc w:val="left"/>
              <w:rPr>
                <w:rFonts w:ascii="黑体" w:hAnsi="黑体" w:cs="黑体" w:eastAsia="黑体" w:hint="default"/>
                <w:sz w:val="22"/>
                <w:szCs w:val="22"/>
              </w:rPr>
            </w:pPr>
          </w:p>
          <w:p>
            <w:pPr>
              <w:pStyle w:val="TableParagraph"/>
              <w:spacing w:line="240" w:lineRule="auto"/>
              <w:ind w:right="64"/>
              <w:jc w:val="right"/>
              <w:rPr>
                <w:rFonts w:ascii="Arial" w:hAnsi="Arial" w:cs="Arial" w:eastAsia="Arial" w:hint="default"/>
                <w:sz w:val="20"/>
                <w:szCs w:val="20"/>
              </w:rPr>
            </w:pPr>
            <w:r>
              <w:rPr>
                <w:rFonts w:ascii="Arial"/>
                <w:w w:val="100"/>
                <w:sz w:val="20"/>
              </w:rPr>
              <w:t>-</w:t>
            </w:r>
          </w:p>
        </w:tc>
        <w:tc>
          <w:tcPr>
            <w:tcW w:w="1190" w:type="dxa"/>
            <w:tcBorders>
              <w:top w:val="nil" w:sz="6" w:space="0" w:color="auto"/>
              <w:left w:val="nil" w:sz="6" w:space="0" w:color="auto"/>
              <w:bottom w:val="nil" w:sz="6" w:space="0" w:color="auto"/>
              <w:right w:val="nil" w:sz="6" w:space="0" w:color="auto"/>
            </w:tcBorders>
          </w:tcPr>
          <w:p>
            <w:pPr>
              <w:pStyle w:val="TableParagraph"/>
              <w:spacing w:line="207" w:lineRule="exact"/>
              <w:ind w:left="345" w:right="0" w:hanging="78"/>
              <w:jc w:val="left"/>
              <w:rPr>
                <w:rFonts w:ascii="黑体" w:hAnsi="黑体" w:cs="黑体" w:eastAsia="黑体" w:hint="default"/>
                <w:sz w:val="20"/>
                <w:szCs w:val="20"/>
              </w:rPr>
            </w:pPr>
            <w:r>
              <w:rPr>
                <w:rFonts w:ascii="黑体" w:hAnsi="黑体" w:cs="黑体" w:eastAsia="黑体" w:hint="default"/>
                <w:sz w:val="20"/>
                <w:szCs w:val="20"/>
              </w:rPr>
              <w:t>账面价值</w:t>
            </w:r>
          </w:p>
          <w:p>
            <w:pPr>
              <w:pStyle w:val="TableParagraph"/>
              <w:spacing w:line="240" w:lineRule="auto" w:before="5"/>
              <w:ind w:right="0"/>
              <w:jc w:val="left"/>
              <w:rPr>
                <w:rFonts w:ascii="黑体" w:hAnsi="黑体" w:cs="黑体" w:eastAsia="黑体" w:hint="default"/>
                <w:sz w:val="22"/>
                <w:szCs w:val="22"/>
              </w:rPr>
            </w:pPr>
          </w:p>
          <w:p>
            <w:pPr>
              <w:pStyle w:val="TableParagraph"/>
              <w:spacing w:line="240" w:lineRule="auto"/>
              <w:ind w:left="345" w:right="0"/>
              <w:jc w:val="left"/>
              <w:rPr>
                <w:rFonts w:ascii="Arial" w:hAnsi="Arial" w:cs="Arial" w:eastAsia="Arial" w:hint="default"/>
                <w:sz w:val="20"/>
                <w:szCs w:val="20"/>
              </w:rPr>
            </w:pPr>
            <w:r>
              <w:rPr>
                <w:rFonts w:ascii="Arial"/>
                <w:sz w:val="20"/>
              </w:rPr>
              <w:t>299,518</w:t>
            </w:r>
          </w:p>
        </w:tc>
        <w:tc>
          <w:tcPr>
            <w:tcW w:w="1215" w:type="dxa"/>
            <w:tcBorders>
              <w:top w:val="nil" w:sz="6" w:space="0" w:color="auto"/>
              <w:left w:val="nil" w:sz="6" w:space="0" w:color="auto"/>
              <w:bottom w:val="nil" w:sz="6" w:space="0" w:color="auto"/>
              <w:right w:val="nil" w:sz="6" w:space="0" w:color="auto"/>
            </w:tcBorders>
          </w:tcPr>
          <w:p>
            <w:pPr>
              <w:pStyle w:val="TableParagraph"/>
              <w:spacing w:line="207" w:lineRule="exact"/>
              <w:ind w:left="400" w:right="0" w:hanging="78"/>
              <w:jc w:val="left"/>
              <w:rPr>
                <w:rFonts w:ascii="黑体" w:hAnsi="黑体" w:cs="黑体" w:eastAsia="黑体" w:hint="default"/>
                <w:sz w:val="20"/>
                <w:szCs w:val="20"/>
              </w:rPr>
            </w:pPr>
            <w:r>
              <w:rPr>
                <w:rFonts w:ascii="黑体" w:hAnsi="黑体" w:cs="黑体" w:eastAsia="黑体" w:hint="default"/>
                <w:sz w:val="20"/>
                <w:szCs w:val="20"/>
              </w:rPr>
              <w:t>账面余额</w:t>
            </w:r>
          </w:p>
          <w:p>
            <w:pPr>
              <w:pStyle w:val="TableParagraph"/>
              <w:spacing w:line="240" w:lineRule="auto" w:before="5"/>
              <w:ind w:right="0"/>
              <w:jc w:val="left"/>
              <w:rPr>
                <w:rFonts w:ascii="黑体" w:hAnsi="黑体" w:cs="黑体" w:eastAsia="黑体" w:hint="default"/>
                <w:sz w:val="22"/>
                <w:szCs w:val="22"/>
              </w:rPr>
            </w:pPr>
          </w:p>
          <w:p>
            <w:pPr>
              <w:pStyle w:val="TableParagraph"/>
              <w:spacing w:line="240" w:lineRule="auto"/>
              <w:ind w:left="400" w:right="0"/>
              <w:jc w:val="left"/>
              <w:rPr>
                <w:rFonts w:ascii="Arial" w:hAnsi="Arial" w:cs="Arial" w:eastAsia="Arial" w:hint="default"/>
                <w:sz w:val="20"/>
                <w:szCs w:val="20"/>
              </w:rPr>
            </w:pPr>
            <w:r>
              <w:rPr>
                <w:rFonts w:ascii="Arial"/>
                <w:sz w:val="20"/>
              </w:rPr>
              <w:t>338,389</w:t>
            </w:r>
          </w:p>
        </w:tc>
        <w:tc>
          <w:tcPr>
            <w:tcW w:w="1024" w:type="dxa"/>
            <w:tcBorders>
              <w:top w:val="nil" w:sz="6" w:space="0" w:color="auto"/>
              <w:left w:val="nil" w:sz="6" w:space="0" w:color="auto"/>
              <w:bottom w:val="nil" w:sz="6" w:space="0" w:color="auto"/>
              <w:right w:val="nil" w:sz="6" w:space="0" w:color="auto"/>
            </w:tcBorders>
          </w:tcPr>
          <w:p>
            <w:pPr>
              <w:pStyle w:val="TableParagraph"/>
              <w:spacing w:line="207" w:lineRule="exact"/>
              <w:ind w:right="64"/>
              <w:jc w:val="right"/>
              <w:rPr>
                <w:rFonts w:ascii="黑体" w:hAnsi="黑体" w:cs="黑体" w:eastAsia="黑体" w:hint="default"/>
                <w:sz w:val="20"/>
                <w:szCs w:val="20"/>
              </w:rPr>
            </w:pPr>
            <w:r>
              <w:rPr>
                <w:rFonts w:ascii="黑体" w:hAnsi="黑体" w:cs="黑体" w:eastAsia="黑体" w:hint="default"/>
                <w:sz w:val="20"/>
                <w:szCs w:val="20"/>
              </w:rPr>
              <w:t>跌价准备</w:t>
            </w:r>
          </w:p>
          <w:p>
            <w:pPr>
              <w:pStyle w:val="TableParagraph"/>
              <w:spacing w:line="240" w:lineRule="auto" w:before="5"/>
              <w:ind w:right="0"/>
              <w:jc w:val="left"/>
              <w:rPr>
                <w:rFonts w:ascii="黑体" w:hAnsi="黑体" w:cs="黑体" w:eastAsia="黑体" w:hint="default"/>
                <w:sz w:val="22"/>
                <w:szCs w:val="22"/>
              </w:rPr>
            </w:pPr>
          </w:p>
          <w:p>
            <w:pPr>
              <w:pStyle w:val="TableParagraph"/>
              <w:spacing w:line="240" w:lineRule="auto"/>
              <w:ind w:right="65"/>
              <w:jc w:val="right"/>
              <w:rPr>
                <w:rFonts w:ascii="Arial" w:hAnsi="Arial" w:cs="Arial" w:eastAsia="Arial" w:hint="default"/>
                <w:sz w:val="20"/>
                <w:szCs w:val="20"/>
              </w:rPr>
            </w:pPr>
            <w:r>
              <w:rPr>
                <w:rFonts w:ascii="Arial"/>
                <w:w w:val="100"/>
                <w:sz w:val="20"/>
              </w:rPr>
              <w:t>-</w:t>
            </w:r>
          </w:p>
        </w:tc>
        <w:tc>
          <w:tcPr>
            <w:tcW w:w="1104" w:type="dxa"/>
            <w:tcBorders>
              <w:top w:val="nil" w:sz="6" w:space="0" w:color="auto"/>
              <w:left w:val="nil" w:sz="6" w:space="0" w:color="auto"/>
              <w:bottom w:val="nil" w:sz="6" w:space="0" w:color="auto"/>
              <w:right w:val="nil" w:sz="6" w:space="0" w:color="auto"/>
            </w:tcBorders>
          </w:tcPr>
          <w:p>
            <w:pPr>
              <w:pStyle w:val="TableParagraph"/>
              <w:spacing w:line="207" w:lineRule="exact"/>
              <w:ind w:left="344" w:right="0" w:hanging="78"/>
              <w:jc w:val="left"/>
              <w:rPr>
                <w:rFonts w:ascii="黑体" w:hAnsi="黑体" w:cs="黑体" w:eastAsia="黑体" w:hint="default"/>
                <w:sz w:val="20"/>
                <w:szCs w:val="20"/>
              </w:rPr>
            </w:pPr>
            <w:r>
              <w:rPr>
                <w:rFonts w:ascii="黑体" w:hAnsi="黑体" w:cs="黑体" w:eastAsia="黑体" w:hint="default"/>
                <w:sz w:val="20"/>
                <w:szCs w:val="20"/>
              </w:rPr>
              <w:t>账面价值</w:t>
            </w:r>
          </w:p>
          <w:p>
            <w:pPr>
              <w:pStyle w:val="TableParagraph"/>
              <w:spacing w:line="240" w:lineRule="auto" w:before="5"/>
              <w:ind w:right="0"/>
              <w:jc w:val="left"/>
              <w:rPr>
                <w:rFonts w:ascii="黑体" w:hAnsi="黑体" w:cs="黑体" w:eastAsia="黑体" w:hint="default"/>
                <w:sz w:val="22"/>
                <w:szCs w:val="22"/>
              </w:rPr>
            </w:pPr>
          </w:p>
          <w:p>
            <w:pPr>
              <w:pStyle w:val="TableParagraph"/>
              <w:spacing w:line="240" w:lineRule="auto"/>
              <w:ind w:left="344" w:right="0"/>
              <w:jc w:val="left"/>
              <w:rPr>
                <w:rFonts w:ascii="Arial" w:hAnsi="Arial" w:cs="Arial" w:eastAsia="Arial" w:hint="default"/>
                <w:sz w:val="20"/>
                <w:szCs w:val="20"/>
              </w:rPr>
            </w:pPr>
            <w:r>
              <w:rPr>
                <w:rFonts w:ascii="Arial"/>
                <w:sz w:val="20"/>
              </w:rPr>
              <w:t>338,389</w:t>
            </w:r>
          </w:p>
        </w:tc>
      </w:tr>
      <w:tr>
        <w:trPr>
          <w:trHeight w:val="382" w:hRule="exact"/>
        </w:trPr>
        <w:tc>
          <w:tcPr>
            <w:tcW w:w="1049"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库存商品</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0"/>
              <w:jc w:val="right"/>
              <w:rPr>
                <w:rFonts w:ascii="Arial" w:hAnsi="Arial" w:cs="Arial" w:eastAsia="Arial" w:hint="default"/>
                <w:sz w:val="20"/>
                <w:szCs w:val="20"/>
              </w:rPr>
            </w:pPr>
            <w:r>
              <w:rPr>
                <w:rFonts w:ascii="Arial"/>
                <w:w w:val="100"/>
                <w:sz w:val="20"/>
              </w:rPr>
            </w:r>
            <w:r>
              <w:rPr>
                <w:rFonts w:ascii="Arial"/>
                <w:spacing w:val="-1"/>
                <w:sz w:val="20"/>
                <w:u w:val="single" w:color="000000"/>
              </w:rPr>
              <w:t>11,406,378</w:t>
            </w:r>
            <w:r>
              <w:rPr>
                <w:rFonts w:ascii="Arial"/>
                <w:spacing w:val="-1"/>
                <w:sz w:val="20"/>
              </w:rPr>
            </w:r>
          </w:p>
        </w:tc>
        <w:tc>
          <w:tcPr>
            <w:tcW w:w="996"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6"/>
              <w:ind w:right="2"/>
              <w:jc w:val="center"/>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54"/>
              <w:jc w:val="center"/>
              <w:rPr>
                <w:rFonts w:ascii="Arial" w:hAnsi="Arial" w:cs="Arial" w:eastAsia="Arial" w:hint="default"/>
                <w:sz w:val="20"/>
                <w:szCs w:val="20"/>
              </w:rPr>
            </w:pPr>
            <w:r>
              <w:rPr>
                <w:rFonts w:ascii="Arial"/>
                <w:w w:val="100"/>
                <w:sz w:val="20"/>
              </w:rPr>
            </w:r>
            <w:r>
              <w:rPr>
                <w:rFonts w:ascii="Arial"/>
                <w:sz w:val="20"/>
                <w:u w:val="single" w:color="000000"/>
              </w:rPr>
              <w:t>11,406,378</w:t>
            </w:r>
            <w:r>
              <w:rPr>
                <w:rFonts w:ascii="Arial"/>
                <w:sz w:val="20"/>
              </w:rPr>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9"/>
              <w:jc w:val="right"/>
              <w:rPr>
                <w:rFonts w:ascii="Arial" w:hAnsi="Arial" w:cs="Arial" w:eastAsia="Arial" w:hint="default"/>
                <w:sz w:val="20"/>
                <w:szCs w:val="20"/>
              </w:rPr>
            </w:pPr>
            <w:r>
              <w:rPr>
                <w:rFonts w:ascii="Arial"/>
                <w:w w:val="100"/>
                <w:sz w:val="20"/>
              </w:rPr>
            </w:r>
            <w:r>
              <w:rPr>
                <w:rFonts w:ascii="Arial"/>
                <w:spacing w:val="-1"/>
                <w:sz w:val="20"/>
                <w:u w:val="single" w:color="000000"/>
              </w:rPr>
              <w:t>14,138,532</w:t>
            </w:r>
            <w:r>
              <w:rPr>
                <w:rFonts w:ascii="Arial"/>
                <w:spacing w:val="-1"/>
                <w:sz w:val="20"/>
              </w:rPr>
            </w:r>
          </w:p>
        </w:tc>
        <w:tc>
          <w:tcPr>
            <w:tcW w:w="1024" w:type="dxa"/>
            <w:tcBorders>
              <w:top w:val="nil" w:sz="6" w:space="0" w:color="auto"/>
              <w:left w:val="nil" w:sz="6" w:space="0" w:color="auto"/>
              <w:bottom w:val="nil" w:sz="6" w:space="0" w:color="auto"/>
              <w:right w:val="nil" w:sz="6" w:space="0" w:color="auto"/>
            </w:tcBorders>
          </w:tcPr>
          <w:p>
            <w:pPr>
              <w:pStyle w:val="TableParagraph"/>
              <w:tabs>
                <w:tab w:pos="823" w:val="left" w:leader="none"/>
              </w:tabs>
              <w:spacing w:line="240" w:lineRule="auto" w:before="6"/>
              <w:ind w:left="23" w:right="0"/>
              <w:jc w:val="center"/>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6"/>
              <w:ind w:left="30" w:right="0"/>
              <w:jc w:val="center"/>
              <w:rPr>
                <w:rFonts w:ascii="Arial" w:hAnsi="Arial" w:cs="Arial" w:eastAsia="Arial" w:hint="default"/>
                <w:sz w:val="20"/>
                <w:szCs w:val="20"/>
              </w:rPr>
            </w:pPr>
            <w:r>
              <w:rPr>
                <w:rFonts w:ascii="Arial"/>
                <w:w w:val="100"/>
                <w:sz w:val="20"/>
              </w:rPr>
            </w:r>
            <w:r>
              <w:rPr>
                <w:rFonts w:ascii="Arial"/>
                <w:sz w:val="20"/>
                <w:u w:val="single" w:color="000000"/>
              </w:rPr>
              <w:t>14,138,532</w:t>
            </w:r>
            <w:r>
              <w:rPr>
                <w:rFonts w:ascii="Arial"/>
                <w:sz w:val="20"/>
              </w:rPr>
            </w:r>
          </w:p>
        </w:tc>
      </w:tr>
      <w:tr>
        <w:trPr>
          <w:trHeight w:val="460" w:hRule="exact"/>
        </w:trPr>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61"/>
              <w:jc w:val="right"/>
              <w:rPr>
                <w:rFonts w:ascii="Arial" w:hAnsi="Arial" w:cs="Arial" w:eastAsia="Arial" w:hint="default"/>
                <w:sz w:val="20"/>
                <w:szCs w:val="20"/>
              </w:rPr>
            </w:pPr>
            <w:r>
              <w:rPr>
                <w:rFonts w:ascii="Arial"/>
                <w:w w:val="100"/>
                <w:sz w:val="20"/>
              </w:rPr>
            </w:r>
            <w:r>
              <w:rPr>
                <w:rFonts w:ascii="Arial"/>
                <w:spacing w:val="-1"/>
                <w:sz w:val="20"/>
                <w:u w:val="thick" w:color="000000"/>
              </w:rPr>
              <w:t>11,705,896</w:t>
            </w:r>
            <w:r>
              <w:rPr>
                <w:rFonts w:ascii="Arial"/>
                <w:spacing w:val="-1"/>
                <w:sz w:val="20"/>
              </w:rPr>
            </w:r>
          </w:p>
        </w:tc>
        <w:tc>
          <w:tcPr>
            <w:tcW w:w="996"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134"/>
              <w:ind w:right="2"/>
              <w:jc w:val="center"/>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4"/>
              <w:jc w:val="center"/>
              <w:rPr>
                <w:rFonts w:ascii="Arial" w:hAnsi="Arial" w:cs="Arial" w:eastAsia="Arial" w:hint="default"/>
                <w:sz w:val="20"/>
                <w:szCs w:val="20"/>
              </w:rPr>
            </w:pPr>
            <w:r>
              <w:rPr>
                <w:rFonts w:ascii="Arial"/>
                <w:w w:val="100"/>
                <w:sz w:val="20"/>
              </w:rPr>
            </w:r>
            <w:r>
              <w:rPr>
                <w:rFonts w:ascii="Arial"/>
                <w:sz w:val="20"/>
                <w:u w:val="thick" w:color="000000"/>
              </w:rPr>
              <w:t>11,705,896</w:t>
            </w:r>
            <w:r>
              <w:rPr>
                <w:rFonts w:ascii="Arial"/>
                <w:sz w:val="20"/>
              </w:rPr>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89"/>
              <w:jc w:val="right"/>
              <w:rPr>
                <w:rFonts w:ascii="Arial" w:hAnsi="Arial" w:cs="Arial" w:eastAsia="Arial" w:hint="default"/>
                <w:sz w:val="20"/>
                <w:szCs w:val="20"/>
              </w:rPr>
            </w:pPr>
            <w:r>
              <w:rPr>
                <w:rFonts w:ascii="Arial"/>
                <w:w w:val="100"/>
                <w:sz w:val="20"/>
              </w:rPr>
            </w:r>
            <w:r>
              <w:rPr>
                <w:rFonts w:ascii="Arial"/>
                <w:spacing w:val="-1"/>
                <w:sz w:val="20"/>
                <w:u w:val="thick" w:color="000000"/>
              </w:rPr>
              <w:t>14,476,921</w:t>
            </w:r>
            <w:r>
              <w:rPr>
                <w:rFonts w:ascii="Arial"/>
                <w:spacing w:val="-1"/>
                <w:sz w:val="20"/>
              </w:rPr>
            </w:r>
          </w:p>
        </w:tc>
        <w:tc>
          <w:tcPr>
            <w:tcW w:w="1024" w:type="dxa"/>
            <w:tcBorders>
              <w:top w:val="nil" w:sz="6" w:space="0" w:color="auto"/>
              <w:left w:val="nil" w:sz="6" w:space="0" w:color="auto"/>
              <w:bottom w:val="nil" w:sz="6" w:space="0" w:color="auto"/>
              <w:right w:val="nil" w:sz="6" w:space="0" w:color="auto"/>
            </w:tcBorders>
          </w:tcPr>
          <w:p>
            <w:pPr>
              <w:pStyle w:val="TableParagraph"/>
              <w:tabs>
                <w:tab w:pos="823" w:val="left" w:leader="none"/>
              </w:tabs>
              <w:spacing w:line="240" w:lineRule="auto" w:before="134"/>
              <w:ind w:left="23" w:right="0"/>
              <w:jc w:val="center"/>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0" w:right="0"/>
              <w:jc w:val="center"/>
              <w:rPr>
                <w:rFonts w:ascii="Arial" w:hAnsi="Arial" w:cs="Arial" w:eastAsia="Arial" w:hint="default"/>
                <w:sz w:val="20"/>
                <w:szCs w:val="20"/>
              </w:rPr>
            </w:pPr>
            <w:r>
              <w:rPr>
                <w:rFonts w:ascii="Arial"/>
                <w:w w:val="100"/>
                <w:sz w:val="20"/>
              </w:rPr>
            </w:r>
            <w:r>
              <w:rPr>
                <w:rFonts w:ascii="Arial"/>
                <w:sz w:val="20"/>
                <w:u w:val="thick" w:color="000000"/>
              </w:rPr>
              <w:t>14,476,921</w:t>
            </w:r>
            <w:r>
              <w:rPr>
                <w:rFonts w:ascii="Arial"/>
                <w:sz w:val="20"/>
              </w:rPr>
            </w:r>
          </w:p>
        </w:tc>
      </w:tr>
    </w:tbl>
    <w:p>
      <w:pPr>
        <w:spacing w:line="240" w:lineRule="auto" w:before="8"/>
        <w:rPr>
          <w:rFonts w:ascii="黑体" w:hAnsi="黑体" w:cs="黑体" w:eastAsia="黑体" w:hint="default"/>
          <w:sz w:val="13"/>
          <w:szCs w:val="13"/>
        </w:rPr>
      </w:pPr>
    </w:p>
    <w:p>
      <w:pPr>
        <w:pStyle w:val="BodyText"/>
        <w:spacing w:line="240" w:lineRule="auto" w:before="38"/>
        <w:ind w:left="855" w:right="112"/>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日无存货所有权受到限制（</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p>
    <w:p>
      <w:pPr>
        <w:spacing w:line="240" w:lineRule="auto" w:before="3"/>
        <w:rPr>
          <w:rFonts w:ascii="黑体" w:hAnsi="黑体" w:cs="黑体" w:eastAsia="黑体" w:hint="default"/>
          <w:sz w:val="23"/>
          <w:szCs w:val="23"/>
        </w:rPr>
      </w:pPr>
    </w:p>
    <w:p>
      <w:pPr>
        <w:tabs>
          <w:tab w:pos="861" w:val="left" w:leader="none"/>
        </w:tabs>
        <w:spacing w:before="0"/>
        <w:ind w:left="141" w:right="112" w:firstLine="0"/>
        <w:jc w:val="left"/>
        <w:rPr>
          <w:rFonts w:ascii="黑体" w:hAnsi="黑体" w:cs="黑体" w:eastAsia="黑体" w:hint="default"/>
          <w:sz w:val="20"/>
          <w:szCs w:val="20"/>
        </w:rPr>
      </w:pPr>
      <w:r>
        <w:rPr>
          <w:rFonts w:ascii="Arial" w:hAnsi="Arial" w:cs="Arial" w:eastAsia="Arial" w:hint="default"/>
          <w:b/>
          <w:bCs/>
          <w:spacing w:val="-1"/>
          <w:sz w:val="20"/>
          <w:szCs w:val="20"/>
        </w:rPr>
        <w:t>8.</w:t>
        <w:tab/>
      </w:r>
      <w:r>
        <w:rPr>
          <w:rFonts w:ascii="黑体" w:hAnsi="黑体" w:cs="黑体" w:eastAsia="黑体" w:hint="default"/>
          <w:b/>
          <w:bCs/>
          <w:sz w:val="20"/>
          <w:szCs w:val="20"/>
        </w:rPr>
        <w:t>其他流动资产</w:t>
      </w:r>
      <w:r>
        <w:rPr>
          <w:rFonts w:ascii="黑体" w:hAnsi="黑体" w:cs="黑体" w:eastAsia="黑体" w:hint="default"/>
          <w:sz w:val="20"/>
          <w:szCs w:val="20"/>
        </w:rPr>
      </w:r>
    </w:p>
    <w:p>
      <w:pPr>
        <w:spacing w:line="240" w:lineRule="auto" w:before="1"/>
        <w:rPr>
          <w:rFonts w:ascii="黑体" w:hAnsi="黑体" w:cs="黑体" w:eastAsia="黑体" w:hint="default"/>
          <w:b/>
          <w:bCs/>
          <w:sz w:val="21"/>
          <w:szCs w:val="21"/>
        </w:rPr>
      </w:pPr>
    </w:p>
    <w:p>
      <w:pPr>
        <w:pStyle w:val="BodyText"/>
        <w:tabs>
          <w:tab w:pos="8002" w:val="left" w:leader="none"/>
        </w:tabs>
        <w:spacing w:line="268" w:lineRule="exact"/>
        <w:ind w:left="5796" w:right="0"/>
        <w:jc w:val="left"/>
      </w:pPr>
      <w:r>
        <w:rPr>
          <w:rFonts w:ascii="Arial" w:hAnsi="Arial" w:cs="Arial" w:eastAsia="Arial" w:hint="default"/>
          <w:spacing w:val="-1"/>
        </w:rPr>
        <w:t>2009</w:t>
      </w:r>
      <w:r>
        <w:rPr>
          <w:spacing w:val="-1"/>
        </w:rPr>
        <w:t>年</w:t>
        <w:tab/>
      </w:r>
      <w:r>
        <w:rPr>
          <w:rFonts w:ascii="Arial" w:hAnsi="Arial" w:cs="Arial" w:eastAsia="Arial" w:hint="default"/>
          <w:spacing w:val="-1"/>
        </w:rPr>
        <w:t>2008</w:t>
      </w:r>
      <w:r>
        <w:rPr>
          <w:spacing w:val="-1"/>
        </w:rPr>
        <w:t>年</w:t>
      </w:r>
    </w:p>
    <w:p>
      <w:pPr>
        <w:pStyle w:val="BodyText"/>
        <w:tabs>
          <w:tab w:pos="7802" w:val="left" w:leader="none"/>
        </w:tabs>
        <w:spacing w:line="268" w:lineRule="exact"/>
        <w:ind w:left="5596" w:right="0"/>
        <w:jc w:val="left"/>
      </w:pP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tab/>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r>
    </w:p>
    <w:p>
      <w:pPr>
        <w:spacing w:line="240" w:lineRule="auto" w:before="6"/>
        <w:rPr>
          <w:rFonts w:ascii="黑体" w:hAnsi="黑体" w:cs="黑体" w:eastAsia="黑体" w:hint="default"/>
          <w:sz w:val="18"/>
          <w:szCs w:val="18"/>
        </w:rPr>
      </w:pPr>
    </w:p>
    <w:p>
      <w:pPr>
        <w:pStyle w:val="BodyText"/>
        <w:tabs>
          <w:tab w:pos="5551" w:val="left" w:leader="none"/>
          <w:tab w:pos="7758" w:val="left" w:leader="none"/>
        </w:tabs>
        <w:spacing w:line="268" w:lineRule="exact"/>
        <w:ind w:left="864" w:right="0"/>
        <w:jc w:val="left"/>
        <w:rPr>
          <w:rFonts w:ascii="Arial" w:hAnsi="Arial" w:cs="Arial" w:eastAsia="Arial" w:hint="default"/>
        </w:rPr>
      </w:pPr>
      <w:r>
        <w:rPr>
          <w:spacing w:val="-1"/>
        </w:rPr>
        <w:t>待摊房租费用</w:t>
        <w:tab/>
      </w:r>
      <w:r>
        <w:rPr>
          <w:rFonts w:ascii="Arial" w:hAnsi="Arial" w:cs="Arial" w:eastAsia="Arial" w:hint="default"/>
          <w:spacing w:val="-1"/>
        </w:rPr>
        <w:t>2,702,327</w:t>
        <w:tab/>
        <w:t>1,153,737</w:t>
      </w:r>
    </w:p>
    <w:p>
      <w:pPr>
        <w:pStyle w:val="BodyText"/>
        <w:tabs>
          <w:tab w:pos="5517" w:val="left" w:leader="none"/>
          <w:tab w:pos="7724" w:val="left" w:leader="none"/>
        </w:tabs>
        <w:spacing w:line="268" w:lineRule="exact"/>
        <w:ind w:left="864" w:right="112"/>
        <w:jc w:val="left"/>
        <w:rPr>
          <w:rFonts w:ascii="Arial" w:hAnsi="Arial" w:cs="Arial" w:eastAsia="Arial" w:hint="default"/>
        </w:rPr>
      </w:pPr>
      <w:r>
        <w:rPr>
          <w:spacing w:val="-1"/>
        </w:rPr>
        <w:t>其他待摊费用</w:t>
        <w:tab/>
      </w:r>
      <w:r>
        <w:rPr>
          <w:rFonts w:ascii="Arial" w:hAnsi="Arial" w:cs="Arial" w:eastAsia="Arial" w:hint="default"/>
          <w:spacing w:val="-1"/>
        </w:rPr>
      </w:r>
      <w:r>
        <w:rPr>
          <w:rFonts w:ascii="Arial" w:hAnsi="Arial" w:cs="Arial" w:eastAsia="Arial" w:hint="default"/>
          <w:spacing w:val="-1"/>
          <w:u w:val="single" w:color="000000"/>
        </w:rPr>
        <w:t> </w:t>
      </w:r>
      <w:r>
        <w:rPr>
          <w:rFonts w:ascii="Arial" w:hAnsi="Arial" w:cs="Arial" w:eastAsia="Arial" w:hint="default"/>
          <w:u w:val="single" w:color="000000"/>
        </w:rPr>
        <w:t>592,104</w:t>
      </w:r>
      <w:r>
        <w:rPr>
          <w:rFonts w:ascii="Arial" w:hAnsi="Arial" w:cs="Arial" w:eastAsia="Arial" w:hint="default"/>
        </w:rPr>
        <w:tab/>
      </w:r>
      <w:r>
        <w:rPr>
          <w:rFonts w:ascii="Arial" w:hAnsi="Arial" w:cs="Arial" w:eastAsia="Arial" w:hint="default"/>
          <w:u w:val="single" w:color="000000"/>
        </w:rPr>
        <w:t> 118,804</w:t>
      </w:r>
      <w:r>
        <w:rPr>
          <w:rFonts w:ascii="Arial" w:hAnsi="Arial" w:cs="Arial" w:eastAsia="Arial" w:hint="default"/>
        </w:rPr>
      </w:r>
    </w:p>
    <w:p>
      <w:pPr>
        <w:spacing w:line="240" w:lineRule="auto" w:before="6"/>
        <w:rPr>
          <w:rFonts w:ascii="Arial" w:hAnsi="Arial" w:cs="Arial" w:eastAsia="Arial" w:hint="default"/>
          <w:sz w:val="18"/>
          <w:szCs w:val="18"/>
        </w:rPr>
      </w:pPr>
    </w:p>
    <w:p>
      <w:pPr>
        <w:pStyle w:val="BodyText"/>
        <w:tabs>
          <w:tab w:pos="7757" w:val="left" w:leader="none"/>
        </w:tabs>
        <w:spacing w:line="240" w:lineRule="auto" w:before="74"/>
        <w:ind w:left="5551" w:right="0"/>
        <w:jc w:val="left"/>
        <w:rPr>
          <w:rFonts w:ascii="Arial" w:hAnsi="Arial" w:cs="Arial" w:eastAsia="Arial" w:hint="default"/>
        </w:rPr>
      </w:pPr>
      <w:r>
        <w:rPr>
          <w:rFonts w:ascii="Arial"/>
          <w:w w:val="100"/>
        </w:rPr>
      </w:r>
      <w:r>
        <w:rPr>
          <w:rFonts w:ascii="Arial"/>
          <w:spacing w:val="-1"/>
          <w:u w:val="thick" w:color="000000"/>
        </w:rPr>
        <w:t>3,294,431</w:t>
      </w:r>
      <w:r>
        <w:rPr>
          <w:rFonts w:ascii="Arial"/>
          <w:spacing w:val="-1"/>
        </w:rPr>
        <w:tab/>
      </w:r>
      <w:r>
        <w:rPr>
          <w:rFonts w:ascii="Arial"/>
          <w:spacing w:val="-1"/>
          <w:u w:val="thick" w:color="000000"/>
        </w:rPr>
        <w:t>1,272,541</w:t>
      </w:r>
      <w:r>
        <w:rPr>
          <w:rFonts w:ascii="Arial"/>
          <w:spacing w:val="-1"/>
        </w:rPr>
      </w:r>
    </w:p>
    <w:p>
      <w:pPr>
        <w:spacing w:after="0" w:line="240" w:lineRule="auto"/>
        <w:jc w:val="left"/>
        <w:rPr>
          <w:rFonts w:ascii="Arial" w:hAnsi="Arial" w:cs="Arial" w:eastAsia="Arial" w:hint="default"/>
        </w:rPr>
        <w:sectPr>
          <w:pgSz w:w="11910" w:h="16840"/>
          <w:pgMar w:header="958" w:footer="469" w:top="2380" w:bottom="660" w:left="1560" w:right="1560"/>
        </w:sect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9"/>
          <w:szCs w:val="29"/>
        </w:rPr>
      </w:pPr>
    </w:p>
    <w:p>
      <w:pPr>
        <w:tabs>
          <w:tab w:pos="843" w:val="left" w:leader="none"/>
        </w:tabs>
        <w:spacing w:before="38"/>
        <w:ind w:left="141"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54" w:val="left" w:leader="none"/>
        </w:tabs>
        <w:spacing w:before="0"/>
        <w:ind w:left="141" w:right="0" w:firstLine="0"/>
        <w:jc w:val="left"/>
        <w:rPr>
          <w:rFonts w:ascii="黑体" w:hAnsi="黑体" w:cs="黑体" w:eastAsia="黑体" w:hint="default"/>
          <w:sz w:val="20"/>
          <w:szCs w:val="20"/>
        </w:rPr>
      </w:pPr>
      <w:r>
        <w:rPr>
          <w:rFonts w:ascii="Arial" w:hAnsi="Arial" w:cs="Arial" w:eastAsia="Arial" w:hint="default"/>
          <w:b/>
          <w:bCs/>
          <w:w w:val="95"/>
          <w:sz w:val="20"/>
          <w:szCs w:val="20"/>
        </w:rPr>
        <w:t>9</w:t>
      </w:r>
      <w:r>
        <w:rPr>
          <w:rFonts w:ascii="黑体" w:hAnsi="黑体" w:cs="黑体" w:eastAsia="黑体" w:hint="default"/>
          <w:b/>
          <w:bCs/>
          <w:w w:val="95"/>
          <w:sz w:val="20"/>
          <w:szCs w:val="20"/>
        </w:rPr>
        <w:t>．</w:t>
        <w:tab/>
      </w:r>
      <w:r>
        <w:rPr>
          <w:rFonts w:ascii="黑体" w:hAnsi="黑体" w:cs="黑体" w:eastAsia="黑体" w:hint="default"/>
          <w:b/>
          <w:bCs/>
          <w:sz w:val="20"/>
          <w:szCs w:val="20"/>
        </w:rPr>
        <w:t>可供出售金融资产</w:t>
      </w:r>
      <w:r>
        <w:rPr>
          <w:rFonts w:ascii="黑体" w:hAnsi="黑体" w:cs="黑体" w:eastAsia="黑体" w:hint="default"/>
          <w:sz w:val="20"/>
          <w:szCs w:val="20"/>
        </w:rPr>
      </w:r>
    </w:p>
    <w:p>
      <w:pPr>
        <w:spacing w:line="240" w:lineRule="auto" w:before="7"/>
        <w:rPr>
          <w:rFonts w:ascii="黑体" w:hAnsi="黑体" w:cs="黑体" w:eastAsia="黑体" w:hint="default"/>
          <w:b/>
          <w:bCs/>
          <w:sz w:val="16"/>
          <w:szCs w:val="16"/>
        </w:rPr>
      </w:pPr>
    </w:p>
    <w:p>
      <w:pPr>
        <w:pStyle w:val="BodyText"/>
        <w:tabs>
          <w:tab w:pos="7134" w:val="left" w:leader="none"/>
        </w:tabs>
        <w:spacing w:line="272" w:lineRule="exact"/>
        <w:ind w:left="5035" w:right="0"/>
        <w:jc w:val="left"/>
      </w:pP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tab/>
      </w:r>
      <w:r>
        <w:rPr>
          <w:rFonts w:ascii="Arial" w:hAnsi="Arial" w:cs="Arial" w:eastAsia="Arial" w:hint="default"/>
          <w:spacing w:val="-1"/>
        </w:rPr>
        <w:t>2008</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r>
    </w:p>
    <w:p>
      <w:pPr>
        <w:pStyle w:val="BodyText"/>
        <w:tabs>
          <w:tab w:pos="5458" w:val="left" w:leader="none"/>
          <w:tab w:pos="6457" w:val="left" w:leader="none"/>
          <w:tab w:pos="7511" w:val="left" w:leader="none"/>
        </w:tabs>
        <w:spacing w:line="272" w:lineRule="exact"/>
        <w:ind w:left="847" w:right="0"/>
        <w:jc w:val="left"/>
        <w:rPr>
          <w:rFonts w:ascii="Arial" w:hAnsi="Arial" w:cs="Arial" w:eastAsia="Arial" w:hint="default"/>
        </w:rPr>
      </w:pPr>
      <w:r>
        <w:rPr>
          <w:spacing w:val="-1"/>
        </w:rPr>
        <w:t>可供出售权益工具</w:t>
        <w:tab/>
      </w:r>
      <w:r>
        <w:rPr>
          <w:rFonts w:ascii="Arial" w:hAnsi="Arial" w:cs="Arial" w:eastAsia="Arial" w:hint="default"/>
          <w:spacing w:val="-1"/>
        </w:rPr>
      </w:r>
      <w:r>
        <w:rPr>
          <w:rFonts w:ascii="Arial" w:hAnsi="Arial" w:cs="Arial" w:eastAsia="Arial" w:hint="default"/>
          <w:spacing w:val="-1"/>
          <w:u w:val="thick" w:color="000000"/>
        </w:rPr>
        <w:t> </w:t>
        <w:tab/>
      </w:r>
      <w:r>
        <w:rPr>
          <w:rFonts w:ascii="Arial" w:hAnsi="Arial" w:cs="Arial" w:eastAsia="Arial" w:hint="default"/>
          <w:u w:val="thick" w:color="000000"/>
        </w:rPr>
        <w:t>-</w:t>
      </w:r>
      <w:r>
        <w:rPr>
          <w:rFonts w:ascii="Arial" w:hAnsi="Arial" w:cs="Arial" w:eastAsia="Arial" w:hint="default"/>
        </w:rPr>
        <w:tab/>
      </w:r>
      <w:r>
        <w:rPr>
          <w:rFonts w:ascii="Arial" w:hAnsi="Arial" w:cs="Arial" w:eastAsia="Arial" w:hint="default"/>
          <w:spacing w:val="-1"/>
          <w:u w:val="thick" w:color="000000"/>
        </w:rPr>
        <w:t>276,210,000</w:t>
      </w:r>
      <w:r>
        <w:rPr>
          <w:rFonts w:ascii="Arial" w:hAnsi="Arial" w:cs="Arial" w:eastAsia="Arial" w:hint="default"/>
          <w:spacing w:val="-1"/>
        </w:rPr>
      </w:r>
    </w:p>
    <w:p>
      <w:pPr>
        <w:spacing w:line="240" w:lineRule="auto" w:before="8"/>
        <w:rPr>
          <w:rFonts w:ascii="Arial" w:hAnsi="Arial" w:cs="Arial" w:eastAsia="Arial" w:hint="default"/>
          <w:sz w:val="23"/>
          <w:szCs w:val="23"/>
        </w:rPr>
      </w:pPr>
    </w:p>
    <w:p>
      <w:pPr>
        <w:pStyle w:val="BodyText"/>
        <w:spacing w:line="261" w:lineRule="auto" w:before="38"/>
        <w:ind w:left="855" w:right="114"/>
        <w:jc w:val="both"/>
      </w:pPr>
      <w:r>
        <w:rPr/>
        <w:t>本公司于</w:t>
      </w:r>
      <w:r>
        <w:rPr>
          <w:rFonts w:ascii="Arial" w:hAnsi="Arial" w:cs="Arial" w:eastAsia="Arial" w:hint="default"/>
        </w:rPr>
        <w:t>2003</w:t>
      </w:r>
      <w:r>
        <w:rPr/>
        <w:t>年向北京银行股份有限公司（以下简称</w:t>
      </w:r>
      <w:r>
        <w:rPr>
          <w:rFonts w:ascii="Arial" w:hAnsi="Arial" w:cs="Arial" w:eastAsia="Arial" w:hint="default"/>
        </w:rPr>
        <w:t>“</w:t>
      </w:r>
      <w:r>
        <w:rPr/>
        <w:t>北京银行</w:t>
      </w:r>
      <w:r>
        <w:rPr>
          <w:rFonts w:ascii="Arial" w:hAnsi="Arial" w:cs="Arial" w:eastAsia="Arial" w:hint="default"/>
        </w:rPr>
        <w:t>”</w:t>
      </w:r>
      <w:r>
        <w:rPr/>
        <w:t>）投资人民币</w:t>
      </w:r>
      <w:r>
        <w:rPr>
          <w:rFonts w:ascii="Arial" w:hAnsi="Arial" w:cs="Arial" w:eastAsia="Arial" w:hint="default"/>
        </w:rPr>
        <w:t>85,000,000</w:t>
      </w:r>
      <w:r>
        <w:rPr>
          <w:rFonts w:ascii="Arial" w:hAnsi="Arial" w:cs="Arial" w:eastAsia="Arial" w:hint="default"/>
          <w:spacing w:val="-46"/>
        </w:rPr>
        <w:t> </w:t>
      </w:r>
      <w:r>
        <w:rPr>
          <w:rFonts w:ascii="Arial" w:hAnsi="Arial" w:cs="Arial" w:eastAsia="Arial" w:hint="default"/>
          <w:spacing w:val="-46"/>
        </w:rPr>
      </w:r>
      <w:r>
        <w:rPr>
          <w:spacing w:val="-1"/>
        </w:rPr>
        <w:t>元，取得共计</w:t>
      </w:r>
      <w:r>
        <w:rPr>
          <w:rFonts w:ascii="Arial" w:hAnsi="Arial" w:cs="Arial" w:eastAsia="Arial" w:hint="default"/>
          <w:spacing w:val="-1"/>
        </w:rPr>
        <w:t>55,125,000</w:t>
      </w:r>
      <w:r>
        <w:rPr>
          <w:spacing w:val="-1"/>
        </w:rPr>
        <w:t>股份。北京银行于</w:t>
      </w:r>
      <w:r>
        <w:rPr>
          <w:rFonts w:ascii="Arial" w:hAnsi="Arial" w:cs="Arial" w:eastAsia="Arial" w:hint="default"/>
          <w:spacing w:val="-1"/>
        </w:rPr>
        <w:t>2007</w:t>
      </w:r>
      <w:r>
        <w:rPr>
          <w:spacing w:val="-1"/>
        </w:rPr>
        <w:t>年</w:t>
      </w:r>
      <w:r>
        <w:rPr>
          <w:rFonts w:ascii="Arial" w:hAnsi="Arial" w:cs="Arial" w:eastAsia="Arial" w:hint="default"/>
          <w:spacing w:val="-1"/>
        </w:rPr>
        <w:t>9</w:t>
      </w:r>
      <w:r>
        <w:rPr>
          <w:spacing w:val="-1"/>
        </w:rPr>
        <w:t>月</w:t>
      </w:r>
      <w:r>
        <w:rPr>
          <w:rFonts w:ascii="Arial" w:hAnsi="Arial" w:cs="Arial" w:eastAsia="Arial" w:hint="default"/>
          <w:spacing w:val="-1"/>
        </w:rPr>
        <w:t>19</w:t>
      </w:r>
      <w:r>
        <w:rPr>
          <w:spacing w:val="-1"/>
        </w:rPr>
        <w:t>日在上海证券交易所上市，发行</w:t>
      </w:r>
      <w:r>
        <w:rPr>
          <w:spacing w:val="-53"/>
        </w:rPr>
        <w:t> </w:t>
      </w:r>
      <w:r>
        <w:rPr>
          <w:spacing w:val="-53"/>
        </w:rPr>
      </w:r>
      <w:r>
        <w:rPr/>
        <w:t>数量为</w:t>
      </w:r>
      <w:r>
        <w:rPr>
          <w:rFonts w:ascii="Arial" w:hAnsi="Arial" w:cs="Arial" w:eastAsia="Arial" w:hint="default"/>
        </w:rPr>
        <w:t>1,200,000,000</w:t>
      </w:r>
      <w:r>
        <w:rPr/>
        <w:t>股，每股发行价格为人民币</w:t>
      </w:r>
      <w:r>
        <w:rPr>
          <w:rFonts w:ascii="Arial" w:hAnsi="Arial" w:cs="Arial" w:eastAsia="Arial" w:hint="default"/>
        </w:rPr>
        <w:t>12.5</w:t>
      </w:r>
      <w:r>
        <w:rPr/>
        <w:t>元。</w:t>
      </w:r>
    </w:p>
    <w:p>
      <w:pPr>
        <w:spacing w:line="240" w:lineRule="auto" w:before="3"/>
        <w:rPr>
          <w:rFonts w:ascii="黑体" w:hAnsi="黑体" w:cs="黑体" w:eastAsia="黑体" w:hint="default"/>
          <w:sz w:val="23"/>
          <w:szCs w:val="23"/>
        </w:rPr>
      </w:pPr>
    </w:p>
    <w:p>
      <w:pPr>
        <w:pStyle w:val="BodyText"/>
        <w:spacing w:line="261" w:lineRule="auto"/>
        <w:ind w:left="855" w:right="110" w:hanging="1"/>
        <w:jc w:val="both"/>
      </w:pPr>
      <w:r>
        <w:rPr>
          <w:rFonts w:ascii="Arial" w:hAnsi="Arial" w:cs="Arial" w:eastAsia="Arial" w:hint="default"/>
          <w:spacing w:val="-3"/>
          <w:w w:val="100"/>
        </w:rPr>
        <w:t>2008</w:t>
      </w:r>
      <w:r>
        <w:rPr>
          <w:spacing w:val="-3"/>
          <w:w w:val="100"/>
        </w:rPr>
        <w:t>年</w:t>
      </w:r>
      <w:r>
        <w:rPr>
          <w:rFonts w:ascii="Arial" w:hAnsi="Arial" w:cs="Arial" w:eastAsia="Arial" w:hint="default"/>
          <w:spacing w:val="-3"/>
          <w:w w:val="100"/>
        </w:rPr>
        <w:t>9</w:t>
      </w:r>
      <w:r>
        <w:rPr>
          <w:spacing w:val="-3"/>
          <w:w w:val="100"/>
        </w:rPr>
        <w:t>月</w:t>
      </w:r>
      <w:r>
        <w:rPr>
          <w:rFonts w:ascii="Arial" w:hAnsi="Arial" w:cs="Arial" w:eastAsia="Arial" w:hint="default"/>
          <w:spacing w:val="-3"/>
          <w:w w:val="100"/>
        </w:rPr>
        <w:t>19</w:t>
      </w:r>
      <w:r>
        <w:rPr>
          <w:spacing w:val="-3"/>
          <w:w w:val="100"/>
        </w:rPr>
        <w:t>日</w:t>
      </w:r>
      <w:r>
        <w:rPr>
          <w:rFonts w:ascii="Arial" w:hAnsi="Arial" w:cs="Arial" w:eastAsia="Arial" w:hint="default"/>
          <w:spacing w:val="-3"/>
          <w:w w:val="100"/>
        </w:rPr>
        <w:t>,</w:t>
      </w:r>
      <w:r>
        <w:rPr>
          <w:spacing w:val="-3"/>
          <w:w w:val="100"/>
        </w:rPr>
        <w:t>本公司持有的北京银行股票限售期满并可以上市流通。本公司于</w:t>
      </w:r>
      <w:r>
        <w:rPr>
          <w:rFonts w:ascii="Arial" w:hAnsi="Arial" w:cs="Arial" w:eastAsia="Arial" w:hint="default"/>
          <w:spacing w:val="-3"/>
          <w:w w:val="100"/>
        </w:rPr>
        <w:t>2008</w:t>
      </w:r>
      <w:r>
        <w:rPr>
          <w:spacing w:val="-3"/>
          <w:w w:val="100"/>
        </w:rPr>
        <w:t>年度</w:t>
      </w:r>
      <w:r>
        <w:rPr>
          <w:spacing w:val="-82"/>
          <w:w w:val="100"/>
        </w:rPr>
        <w:t> </w:t>
      </w:r>
      <w:r>
        <w:rPr/>
        <w:t>内处置了北京银行股票共</w:t>
      </w:r>
      <w:r>
        <w:rPr>
          <w:rFonts w:ascii="Arial" w:hAnsi="Arial" w:cs="Arial" w:eastAsia="Arial" w:hint="default"/>
        </w:rPr>
        <w:t>24,125,000</w:t>
      </w:r>
      <w:r>
        <w:rPr/>
        <w:t>股</w:t>
      </w:r>
      <w:r>
        <w:rPr>
          <w:rFonts w:ascii="Arial" w:hAnsi="Arial" w:cs="Arial" w:eastAsia="Arial" w:hint="default"/>
        </w:rPr>
        <w:t>,</w:t>
      </w:r>
      <w:r>
        <w:rPr/>
        <w:t>处置时所收回的现金人民币</w:t>
      </w:r>
      <w:r>
        <w:rPr>
          <w:rFonts w:ascii="Arial" w:hAnsi="Arial" w:cs="Arial" w:eastAsia="Arial" w:hint="default"/>
        </w:rPr>
        <w:t>220,104,082</w:t>
      </w:r>
      <w:r>
        <w:rPr/>
        <w:t>元与处置</w:t>
      </w:r>
      <w:r>
        <w:rPr>
          <w:spacing w:val="-80"/>
        </w:rPr>
        <w:t> </w:t>
      </w:r>
      <w:r>
        <w:rPr>
          <w:spacing w:val="-80"/>
        </w:rPr>
      </w:r>
      <w:r>
        <w:rPr/>
        <w:t>部分所对应的初始投资成本人民币</w:t>
      </w:r>
      <w:r>
        <w:rPr>
          <w:rFonts w:ascii="Arial" w:hAnsi="Arial" w:cs="Arial" w:eastAsia="Arial" w:hint="default"/>
        </w:rPr>
        <w:t>37,199,546</w:t>
      </w:r>
      <w:r>
        <w:rPr/>
        <w:t>元的差额</w:t>
      </w:r>
      <w:r>
        <w:rPr>
          <w:rFonts w:ascii="Arial" w:hAnsi="Arial" w:cs="Arial" w:eastAsia="Arial" w:hint="default"/>
        </w:rPr>
        <w:t>,</w:t>
      </w:r>
      <w:r>
        <w:rPr/>
        <w:t>计人民币</w:t>
      </w:r>
      <w:r>
        <w:rPr>
          <w:rFonts w:ascii="Arial" w:hAnsi="Arial" w:cs="Arial" w:eastAsia="Arial" w:hint="default"/>
        </w:rPr>
        <w:t>182,904,536</w:t>
      </w:r>
      <w:r>
        <w:rPr/>
        <w:t>元计入投资</w:t>
      </w:r>
      <w:r>
        <w:rPr>
          <w:spacing w:val="-92"/>
        </w:rPr>
        <w:t> </w:t>
      </w:r>
      <w:r>
        <w:rPr>
          <w:spacing w:val="-92"/>
        </w:rPr>
      </w:r>
      <w:r>
        <w:rPr/>
        <w:t>收益科目。另收到北京银行于</w:t>
      </w:r>
      <w:r>
        <w:rPr>
          <w:rFonts w:ascii="Arial" w:hAnsi="Arial" w:cs="Arial" w:eastAsia="Arial" w:hint="default"/>
        </w:rPr>
        <w:t>2008</w:t>
      </w:r>
      <w:r>
        <w:rPr/>
        <w:t>年</w:t>
      </w:r>
      <w:r>
        <w:rPr>
          <w:rFonts w:ascii="Arial" w:hAnsi="Arial" w:cs="Arial" w:eastAsia="Arial" w:hint="default"/>
        </w:rPr>
        <w:t>7</w:t>
      </w:r>
      <w:r>
        <w:rPr/>
        <w:t>月</w:t>
      </w:r>
      <w:r>
        <w:rPr>
          <w:rFonts w:ascii="Arial" w:hAnsi="Arial" w:cs="Arial" w:eastAsia="Arial" w:hint="default"/>
        </w:rPr>
        <w:t>28</w:t>
      </w:r>
      <w:r>
        <w:rPr/>
        <w:t>日派发的现金红利人民币</w:t>
      </w:r>
      <w:r>
        <w:rPr>
          <w:rFonts w:ascii="Arial" w:hAnsi="Arial" w:cs="Arial" w:eastAsia="Arial" w:hint="default"/>
        </w:rPr>
        <w:t>6,615,001</w:t>
      </w:r>
      <w:r>
        <w:rPr/>
        <w:t>元。截至</w:t>
      </w:r>
      <w:r>
        <w:rPr>
          <w:spacing w:val="-1"/>
        </w:rPr>
        <w:t> </w:t>
      </w:r>
      <w:r>
        <w:rPr>
          <w:rFonts w:ascii="Arial" w:hAnsi="Arial" w:cs="Arial" w:eastAsia="Arial" w:hint="default"/>
          <w:spacing w:val="5"/>
        </w:rPr>
        <w:t>2008</w:t>
      </w:r>
      <w:r>
        <w:rPr>
          <w:spacing w:val="5"/>
        </w:rPr>
        <w:t>年</w:t>
      </w:r>
      <w:r>
        <w:rPr>
          <w:rFonts w:ascii="Arial" w:hAnsi="Arial" w:cs="Arial" w:eastAsia="Arial" w:hint="default"/>
          <w:spacing w:val="5"/>
        </w:rPr>
        <w:t>12</w:t>
      </w:r>
      <w:r>
        <w:rPr>
          <w:spacing w:val="5"/>
        </w:rPr>
        <w:t>月</w:t>
      </w:r>
      <w:r>
        <w:rPr>
          <w:rFonts w:ascii="Arial" w:hAnsi="Arial" w:cs="Arial" w:eastAsia="Arial" w:hint="default"/>
          <w:spacing w:val="5"/>
        </w:rPr>
        <w:t>31</w:t>
      </w:r>
      <w:r>
        <w:rPr>
          <w:spacing w:val="5"/>
        </w:rPr>
        <w:t>日，本公司因持有和处置部分北京银行股份共获得投资收益共计人民币</w:t>
      </w:r>
    </w:p>
    <w:p>
      <w:pPr>
        <w:pStyle w:val="BodyText"/>
        <w:spacing w:line="261" w:lineRule="auto" w:before="4"/>
        <w:ind w:left="855" w:right="110" w:firstLine="1"/>
        <w:jc w:val="both"/>
      </w:pPr>
      <w:r>
        <w:rPr>
          <w:rFonts w:ascii="Arial" w:hAnsi="Arial" w:cs="Arial" w:eastAsia="Arial" w:hint="default"/>
        </w:rPr>
        <w:t>189,519,537</w:t>
      </w:r>
      <w:r>
        <w:rPr/>
        <w:t>元。因处置及公允价值变动所转回的应纳税暂时性差异</w:t>
      </w:r>
      <w:r>
        <w:rPr>
          <w:rFonts w:ascii="Arial" w:hAnsi="Arial" w:cs="Arial" w:eastAsia="Arial" w:hint="default"/>
        </w:rPr>
        <w:t>,</w:t>
      </w:r>
      <w:r>
        <w:rPr/>
        <w:t>按</w:t>
      </w:r>
      <w:r>
        <w:rPr>
          <w:rFonts w:ascii="Arial" w:hAnsi="Arial" w:cs="Arial" w:eastAsia="Arial" w:hint="default"/>
        </w:rPr>
        <w:t>10%</w:t>
      </w:r>
      <w:r>
        <w:rPr/>
        <w:t>的税率计算递</w:t>
      </w:r>
      <w:r>
        <w:rPr>
          <w:spacing w:val="-82"/>
        </w:rPr>
        <w:t> </w:t>
      </w:r>
      <w:r>
        <w:rPr>
          <w:spacing w:val="-82"/>
        </w:rPr>
      </w:r>
      <w:r>
        <w:rPr>
          <w:spacing w:val="2"/>
        </w:rPr>
        <w:t>延所得税</w:t>
      </w:r>
      <w:r>
        <w:rPr>
          <w:rFonts w:ascii="Arial" w:hAnsi="Arial" w:cs="Arial" w:eastAsia="Arial" w:hint="default"/>
          <w:spacing w:val="2"/>
        </w:rPr>
        <w:t>,</w:t>
      </w:r>
      <w:r>
        <w:rPr>
          <w:spacing w:val="2"/>
        </w:rPr>
        <w:t>计人民币</w:t>
      </w:r>
      <w:r>
        <w:rPr>
          <w:rFonts w:ascii="Arial" w:hAnsi="Arial" w:cs="Arial" w:eastAsia="Arial" w:hint="default"/>
          <w:spacing w:val="2"/>
        </w:rPr>
        <w:t>64,058,370</w:t>
      </w:r>
      <w:r>
        <w:rPr>
          <w:spacing w:val="2"/>
        </w:rPr>
        <w:t>元。截至</w:t>
      </w:r>
      <w:r>
        <w:rPr>
          <w:rFonts w:ascii="Arial" w:hAnsi="Arial" w:cs="Arial" w:eastAsia="Arial" w:hint="default"/>
          <w:spacing w:val="2"/>
        </w:rPr>
        <w:t>2008</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w:t>
      </w:r>
      <w:r>
        <w:rPr>
          <w:rFonts w:ascii="Arial" w:hAnsi="Arial" w:cs="Arial" w:eastAsia="Arial" w:hint="default"/>
          <w:spacing w:val="2"/>
        </w:rPr>
        <w:t>,</w:t>
      </w:r>
      <w:r>
        <w:rPr>
          <w:spacing w:val="2"/>
        </w:rPr>
        <w:t>北京银行当日收盘价为人民币</w:t>
      </w:r>
      <w:r>
        <w:rPr>
          <w:spacing w:val="-26"/>
        </w:rPr>
        <w:t> </w:t>
      </w:r>
      <w:r>
        <w:rPr>
          <w:spacing w:val="-26"/>
        </w:rPr>
      </w:r>
      <w:r>
        <w:rPr>
          <w:rFonts w:ascii="Arial" w:hAnsi="Arial" w:cs="Arial" w:eastAsia="Arial" w:hint="default"/>
        </w:rPr>
        <w:t>8.910</w:t>
      </w:r>
      <w:r>
        <w:rPr/>
        <w:t>元</w:t>
      </w:r>
      <w:r>
        <w:rPr>
          <w:rFonts w:ascii="Arial" w:hAnsi="Arial" w:cs="Arial" w:eastAsia="Arial" w:hint="default"/>
        </w:rPr>
        <w:t>/</w:t>
      </w:r>
      <w:r>
        <w:rPr/>
        <w:t>股。本公司所持其余北京银行股份计</w:t>
      </w:r>
      <w:r>
        <w:rPr>
          <w:rFonts w:ascii="Arial" w:hAnsi="Arial" w:cs="Arial" w:eastAsia="Arial" w:hint="default"/>
        </w:rPr>
        <w:t>31,000,000</w:t>
      </w:r>
      <w:r>
        <w:rPr/>
        <w:t>股按当日收盘价格计算的公允价</w:t>
      </w:r>
      <w:r>
        <w:rPr>
          <w:spacing w:val="-77"/>
        </w:rPr>
        <w:t> </w:t>
      </w:r>
      <w:r>
        <w:rPr>
          <w:spacing w:val="-77"/>
        </w:rPr>
      </w:r>
      <w:r>
        <w:rPr>
          <w:spacing w:val="2"/>
        </w:rPr>
        <w:t>值为人民币</w:t>
      </w:r>
      <w:r>
        <w:rPr>
          <w:rFonts w:ascii="Arial" w:hAnsi="Arial" w:cs="Arial" w:eastAsia="Arial" w:hint="default"/>
          <w:spacing w:val="2"/>
        </w:rPr>
        <w:t>276,210,000</w:t>
      </w:r>
      <w:r>
        <w:rPr>
          <w:spacing w:val="2"/>
        </w:rPr>
        <w:t>元</w:t>
      </w:r>
      <w:r>
        <w:rPr>
          <w:rFonts w:ascii="Arial" w:hAnsi="Arial" w:cs="Arial" w:eastAsia="Arial" w:hint="default"/>
          <w:spacing w:val="2"/>
        </w:rPr>
        <w:t>,</w:t>
      </w:r>
      <w:r>
        <w:rPr>
          <w:spacing w:val="2"/>
        </w:rPr>
        <w:t>记入可供出售金额资产科目</w:t>
      </w:r>
      <w:r>
        <w:rPr>
          <w:rFonts w:ascii="Arial" w:hAnsi="Arial" w:cs="Arial" w:eastAsia="Arial" w:hint="default"/>
          <w:spacing w:val="2"/>
        </w:rPr>
        <w:t>,</w:t>
      </w:r>
      <w:r>
        <w:rPr>
          <w:spacing w:val="2"/>
        </w:rPr>
        <w:t>公允价值与其初始投资成本人民</w:t>
      </w:r>
      <w:r>
        <w:rPr>
          <w:spacing w:val="-56"/>
        </w:rPr>
        <w:t> </w:t>
      </w:r>
      <w:r>
        <w:rPr>
          <w:spacing w:val="-56"/>
        </w:rPr>
      </w:r>
      <w:r>
        <w:rPr>
          <w:spacing w:val="-2"/>
        </w:rPr>
        <w:t>币</w:t>
      </w:r>
      <w:r>
        <w:rPr>
          <w:rFonts w:ascii="Arial" w:hAnsi="Arial" w:cs="Arial" w:eastAsia="Arial" w:hint="default"/>
          <w:spacing w:val="-2"/>
        </w:rPr>
        <w:t>47,800,453</w:t>
      </w:r>
      <w:r>
        <w:rPr>
          <w:spacing w:val="-2"/>
        </w:rPr>
        <w:t>元的差额为人民币</w:t>
      </w:r>
      <w:r>
        <w:rPr>
          <w:rFonts w:ascii="Arial" w:hAnsi="Arial" w:cs="Arial" w:eastAsia="Arial" w:hint="default"/>
          <w:spacing w:val="-2"/>
        </w:rPr>
        <w:t>228,409,547</w:t>
      </w:r>
      <w:r>
        <w:rPr>
          <w:spacing w:val="-2"/>
        </w:rPr>
        <w:t>元</w:t>
      </w:r>
      <w:r>
        <w:rPr>
          <w:rFonts w:ascii="Arial" w:hAnsi="Arial" w:cs="Arial" w:eastAsia="Arial" w:hint="default"/>
          <w:spacing w:val="-2"/>
        </w:rPr>
        <w:t>,</w:t>
      </w:r>
      <w:r>
        <w:rPr>
          <w:spacing w:val="-2"/>
        </w:rPr>
        <w:t>据此调整资本公积金科目。另外</w:t>
      </w:r>
      <w:r>
        <w:rPr>
          <w:rFonts w:ascii="Arial" w:hAnsi="Arial" w:cs="Arial" w:eastAsia="Arial" w:hint="default"/>
          <w:spacing w:val="-2"/>
        </w:rPr>
        <w:t>,</w:t>
      </w:r>
      <w:r>
        <w:rPr>
          <w:spacing w:val="-2"/>
        </w:rPr>
        <w:t>对此部分</w:t>
      </w:r>
      <w:r>
        <w:rPr>
          <w:spacing w:val="-41"/>
        </w:rPr>
        <w:t> </w:t>
      </w:r>
      <w:r>
        <w:rPr>
          <w:spacing w:val="-41"/>
        </w:rPr>
      </w:r>
      <w:r>
        <w:rPr>
          <w:spacing w:val="2"/>
        </w:rPr>
        <w:t>因公允价值与初始投资成本之间的差额</w:t>
      </w:r>
      <w:r>
        <w:rPr>
          <w:rFonts w:ascii="Arial" w:hAnsi="Arial" w:cs="Arial" w:eastAsia="Arial" w:hint="default"/>
          <w:spacing w:val="2"/>
        </w:rPr>
        <w:t>,</w:t>
      </w:r>
      <w:r>
        <w:rPr>
          <w:spacing w:val="2"/>
        </w:rPr>
        <w:t>本公司已考虑其于未来期间出售形成的投资收益</w:t>
      </w:r>
      <w:r>
        <w:rPr>
          <w:spacing w:val="-60"/>
        </w:rPr>
        <w:t> </w:t>
      </w:r>
      <w:r>
        <w:rPr>
          <w:spacing w:val="-60"/>
        </w:rPr>
      </w:r>
      <w:r>
        <w:rPr>
          <w:spacing w:val="4"/>
        </w:rPr>
        <w:t>所带来的应纳税暂时性差异</w:t>
      </w:r>
      <w:r>
        <w:rPr>
          <w:rFonts w:ascii="Arial" w:hAnsi="Arial" w:cs="Arial" w:eastAsia="Arial" w:hint="default"/>
          <w:spacing w:val="4"/>
        </w:rPr>
        <w:t>,</w:t>
      </w:r>
      <w:r>
        <w:rPr>
          <w:spacing w:val="4"/>
        </w:rPr>
        <w:t>按</w:t>
      </w:r>
      <w:r>
        <w:rPr>
          <w:rFonts w:ascii="Arial" w:hAnsi="Arial" w:cs="Arial" w:eastAsia="Arial" w:hint="default"/>
          <w:spacing w:val="4"/>
        </w:rPr>
        <w:t>10%</w:t>
      </w:r>
      <w:r>
        <w:rPr>
          <w:spacing w:val="4"/>
        </w:rPr>
        <w:t>的税率计算的递延所得税负债</w:t>
      </w:r>
      <w:r>
        <w:rPr>
          <w:rFonts w:ascii="Arial" w:hAnsi="Arial" w:cs="Arial" w:eastAsia="Arial" w:hint="default"/>
          <w:spacing w:val="4"/>
        </w:rPr>
        <w:t>,</w:t>
      </w:r>
      <w:r>
        <w:rPr>
          <w:spacing w:val="4"/>
        </w:rPr>
        <w:t>计人民币</w:t>
      </w:r>
      <w:r>
        <w:rPr>
          <w:rFonts w:ascii="Arial" w:hAnsi="Arial" w:cs="Arial" w:eastAsia="Arial" w:hint="default"/>
          <w:spacing w:val="4"/>
        </w:rPr>
        <w:t>22,840,955</w:t>
      </w:r>
      <w:r>
        <w:rPr>
          <w:rFonts w:ascii="Arial" w:hAnsi="Arial" w:cs="Arial" w:eastAsia="Arial" w:hint="default"/>
          <w:spacing w:val="21"/>
        </w:rPr>
        <w:t> </w:t>
      </w:r>
      <w:r>
        <w:rPr>
          <w:rFonts w:ascii="Arial" w:hAnsi="Arial" w:cs="Arial" w:eastAsia="Arial" w:hint="default"/>
          <w:spacing w:val="21"/>
        </w:rPr>
      </w:r>
      <w:r>
        <w:rPr/>
        <w:t>元。上述事项对</w:t>
      </w:r>
      <w:r>
        <w:rPr>
          <w:rFonts w:ascii="Arial" w:hAnsi="Arial" w:cs="Arial" w:eastAsia="Arial" w:hint="default"/>
        </w:rPr>
        <w:t>2008</w:t>
      </w:r>
      <w:r>
        <w:rPr/>
        <w:t>年度资本公积科目的净影响计人民币</w:t>
      </w:r>
      <w:r>
        <w:rPr>
          <w:rFonts w:ascii="Arial" w:hAnsi="Arial" w:cs="Arial" w:eastAsia="Arial" w:hint="default"/>
        </w:rPr>
        <w:t>576,525,333</w:t>
      </w:r>
      <w:r>
        <w:rPr/>
        <w:t>元。参见附注五、</w:t>
      </w:r>
      <w:r>
        <w:rPr>
          <w:spacing w:val="-72"/>
        </w:rPr>
        <w:t> </w:t>
      </w:r>
      <w:r>
        <w:rPr>
          <w:spacing w:val="-72"/>
        </w:rPr>
      </w:r>
      <w:r>
        <w:rPr>
          <w:rFonts w:ascii="Arial" w:hAnsi="Arial" w:cs="Arial" w:eastAsia="Arial" w:hint="default"/>
        </w:rPr>
        <w:t>29</w:t>
      </w:r>
      <w:r>
        <w:rPr/>
        <w:t>、注</w:t>
      </w:r>
      <w:r>
        <w:rPr>
          <w:rFonts w:ascii="Arial" w:hAnsi="Arial" w:cs="Arial" w:eastAsia="Arial" w:hint="default"/>
        </w:rPr>
        <w:t>2</w:t>
      </w:r>
      <w:r>
        <w:rPr/>
        <w:t>。</w:t>
      </w:r>
    </w:p>
    <w:p>
      <w:pPr>
        <w:spacing w:line="240" w:lineRule="auto" w:before="3"/>
        <w:rPr>
          <w:rFonts w:ascii="黑体" w:hAnsi="黑体" w:cs="黑体" w:eastAsia="黑体" w:hint="default"/>
          <w:sz w:val="23"/>
          <w:szCs w:val="23"/>
        </w:rPr>
      </w:pPr>
    </w:p>
    <w:p>
      <w:pPr>
        <w:pStyle w:val="BodyText"/>
        <w:spacing w:line="261" w:lineRule="auto"/>
        <w:ind w:left="855" w:right="112" w:hanging="1"/>
        <w:jc w:val="both"/>
      </w:pPr>
      <w:r>
        <w:rPr/>
        <w:t>本公司于</w:t>
      </w:r>
      <w:r>
        <w:rPr>
          <w:rFonts w:ascii="Arial" w:hAnsi="Arial" w:cs="Arial" w:eastAsia="Arial" w:hint="default"/>
        </w:rPr>
        <w:t>2009</w:t>
      </w:r>
      <w:r>
        <w:rPr/>
        <w:t>年</w:t>
      </w:r>
      <w:r>
        <w:rPr>
          <w:rFonts w:ascii="Arial" w:hAnsi="Arial" w:cs="Arial" w:eastAsia="Arial" w:hint="default"/>
        </w:rPr>
        <w:t>1</w:t>
      </w:r>
      <w:r>
        <w:rPr/>
        <w:t>月</w:t>
      </w:r>
      <w:r>
        <w:rPr>
          <w:rFonts w:ascii="Arial" w:hAnsi="Arial" w:cs="Arial" w:eastAsia="Arial" w:hint="default"/>
        </w:rPr>
        <w:t>16</w:t>
      </w:r>
      <w:r>
        <w:rPr/>
        <w:t>日及</w:t>
      </w:r>
      <w:r>
        <w:rPr>
          <w:rFonts w:ascii="Arial" w:hAnsi="Arial" w:cs="Arial" w:eastAsia="Arial" w:hint="default"/>
        </w:rPr>
        <w:t>1</w:t>
      </w:r>
      <w:r>
        <w:rPr/>
        <w:t>月</w:t>
      </w:r>
      <w:r>
        <w:rPr>
          <w:rFonts w:ascii="Arial" w:hAnsi="Arial" w:cs="Arial" w:eastAsia="Arial" w:hint="default"/>
        </w:rPr>
        <w:t>19</w:t>
      </w:r>
      <w:r>
        <w:rPr/>
        <w:t>日分别处置了北京银行股票</w:t>
      </w:r>
      <w:r>
        <w:rPr>
          <w:rFonts w:ascii="Arial" w:hAnsi="Arial" w:cs="Arial" w:eastAsia="Arial" w:hint="default"/>
        </w:rPr>
        <w:t>17,294,671</w:t>
      </w:r>
      <w:r>
        <w:rPr/>
        <w:t>股和</w:t>
      </w:r>
      <w:r>
        <w:rPr>
          <w:rFonts w:ascii="Arial" w:hAnsi="Arial" w:cs="Arial" w:eastAsia="Arial" w:hint="default"/>
        </w:rPr>
        <w:t>13,705,329 </w:t>
      </w:r>
      <w:r>
        <w:rPr/>
        <w:t>股，共计</w:t>
      </w:r>
      <w:r>
        <w:rPr>
          <w:rFonts w:ascii="Arial" w:hAnsi="Arial" w:cs="Arial" w:eastAsia="Arial" w:hint="default"/>
        </w:rPr>
        <w:t>31,000,000</w:t>
      </w:r>
      <w:r>
        <w:rPr/>
        <w:t>股。上述两次处置时共收回的现金人民币</w:t>
      </w:r>
      <w:r>
        <w:rPr>
          <w:rFonts w:ascii="Arial" w:hAnsi="Arial" w:cs="Arial" w:eastAsia="Arial" w:hint="default"/>
        </w:rPr>
        <w:t>315,070,145</w:t>
      </w:r>
      <w:r>
        <w:rPr/>
        <w:t>元，与处置部</w:t>
      </w:r>
      <w:r>
        <w:rPr>
          <w:spacing w:val="-35"/>
        </w:rPr>
        <w:t> </w:t>
      </w:r>
      <w:r>
        <w:rPr>
          <w:spacing w:val="-35"/>
        </w:rPr>
      </w:r>
      <w:r>
        <w:rPr/>
        <w:t>分所对应的初始投资成本人民币</w:t>
      </w:r>
      <w:r>
        <w:rPr>
          <w:rFonts w:ascii="Arial" w:hAnsi="Arial" w:cs="Arial" w:eastAsia="Arial" w:hint="default"/>
        </w:rPr>
        <w:t>47,800,453</w:t>
      </w:r>
      <w:r>
        <w:rPr/>
        <w:t>元的差额</w:t>
      </w:r>
      <w:r>
        <w:rPr>
          <w:rFonts w:ascii="Arial" w:hAnsi="Arial" w:cs="Arial" w:eastAsia="Arial" w:hint="default"/>
        </w:rPr>
        <w:t>,</w:t>
      </w:r>
      <w:r>
        <w:rPr/>
        <w:t>计人民币</w:t>
      </w:r>
      <w:r>
        <w:rPr>
          <w:rFonts w:ascii="Arial" w:hAnsi="Arial" w:cs="Arial" w:eastAsia="Arial" w:hint="default"/>
        </w:rPr>
        <w:t>267,269,692</w:t>
      </w:r>
      <w:r>
        <w:rPr/>
        <w:t>元计入投资收</w:t>
      </w:r>
      <w:r>
        <w:rPr>
          <w:spacing w:val="-92"/>
        </w:rPr>
        <w:t> </w:t>
      </w:r>
      <w:r>
        <w:rPr>
          <w:spacing w:val="-92"/>
        </w:rPr>
      </w:r>
      <w:r>
        <w:rPr>
          <w:spacing w:val="14"/>
        </w:rPr>
        <w:t>益科目。</w:t>
      </w:r>
      <w:r>
        <w:rPr>
          <w:spacing w:val="-74"/>
        </w:rPr>
        <w:t> </w:t>
      </w:r>
      <w:r>
        <w:rPr>
          <w:spacing w:val="17"/>
        </w:rPr>
        <w:t>因处置转回上述股票</w:t>
      </w:r>
      <w:r>
        <w:rPr>
          <w:spacing w:val="-74"/>
        </w:rPr>
        <w:t> </w:t>
      </w:r>
      <w:r>
        <w:rPr>
          <w:rFonts w:ascii="Arial" w:hAnsi="Arial" w:cs="Arial" w:eastAsia="Arial" w:hint="default"/>
        </w:rPr>
        <w:t>2008</w:t>
      </w:r>
      <w:r>
        <w:rPr>
          <w:rFonts w:ascii="Arial" w:hAnsi="Arial" w:cs="Arial" w:eastAsia="Arial" w:hint="default"/>
          <w:spacing w:val="-30"/>
        </w:rPr>
        <w:t> </w:t>
      </w:r>
      <w:r>
        <w:rPr/>
        <w:t>年</w:t>
      </w:r>
      <w:r>
        <w:rPr>
          <w:spacing w:val="-74"/>
        </w:rPr>
        <w:t> </w:t>
      </w:r>
      <w:r>
        <w:rPr>
          <w:rFonts w:ascii="Arial" w:hAnsi="Arial" w:cs="Arial" w:eastAsia="Arial" w:hint="default"/>
        </w:rPr>
        <w:t>12</w:t>
      </w:r>
      <w:r>
        <w:rPr>
          <w:rFonts w:ascii="Arial" w:hAnsi="Arial" w:cs="Arial" w:eastAsia="Arial" w:hint="default"/>
          <w:spacing w:val="-29"/>
        </w:rPr>
        <w:t> </w:t>
      </w:r>
      <w:r>
        <w:rPr/>
        <w:t>月</w:t>
      </w:r>
      <w:r>
        <w:rPr>
          <w:spacing w:val="-76"/>
        </w:rPr>
        <w:t> </w:t>
      </w:r>
      <w:r>
        <w:rPr>
          <w:rFonts w:ascii="Arial" w:hAnsi="Arial" w:cs="Arial" w:eastAsia="Arial" w:hint="default"/>
        </w:rPr>
        <w:t>31</w:t>
      </w:r>
      <w:r>
        <w:rPr>
          <w:rFonts w:ascii="Arial" w:hAnsi="Arial" w:cs="Arial" w:eastAsia="Arial" w:hint="default"/>
          <w:spacing w:val="-30"/>
        </w:rPr>
        <w:t> </w:t>
      </w:r>
      <w:r>
        <w:rPr>
          <w:spacing w:val="18"/>
        </w:rPr>
        <w:t>日公允价值与其初始投资成本人民币</w:t>
      </w:r>
      <w:r>
        <w:rPr>
          <w:spacing w:val="-95"/>
        </w:rPr>
        <w:t> </w:t>
      </w:r>
      <w:r>
        <w:rPr>
          <w:spacing w:val="-95"/>
        </w:rPr>
      </w:r>
      <w:r>
        <w:rPr>
          <w:rFonts w:ascii="Arial" w:hAnsi="Arial" w:cs="Arial" w:eastAsia="Arial" w:hint="default"/>
        </w:rPr>
        <w:t>47,800,453</w:t>
      </w:r>
      <w:r>
        <w:rPr/>
        <w:t>元的差额人民币</w:t>
      </w:r>
      <w:r>
        <w:rPr>
          <w:rFonts w:ascii="Arial" w:hAnsi="Arial" w:cs="Arial" w:eastAsia="Arial" w:hint="default"/>
        </w:rPr>
        <w:t>228,409,547</w:t>
      </w:r>
      <w:r>
        <w:rPr/>
        <w:t>元对应的资本公积，按</w:t>
      </w:r>
      <w:r>
        <w:rPr>
          <w:rFonts w:ascii="Arial" w:hAnsi="Arial" w:cs="Arial" w:eastAsia="Arial" w:hint="default"/>
        </w:rPr>
        <w:t>10%</w:t>
      </w:r>
      <w:r>
        <w:rPr/>
        <w:t>的税率计算出的递延</w:t>
      </w:r>
      <w:r>
        <w:rPr>
          <w:spacing w:val="-42"/>
        </w:rPr>
        <w:t> </w:t>
      </w:r>
      <w:r>
        <w:rPr>
          <w:spacing w:val="-2"/>
        </w:rPr>
        <w:t>所得税负债人民币</w:t>
      </w:r>
      <w:r>
        <w:rPr>
          <w:rFonts w:ascii="Arial" w:hAnsi="Arial" w:cs="Arial" w:eastAsia="Arial" w:hint="default"/>
          <w:spacing w:val="-2"/>
        </w:rPr>
        <w:t>22,840,955</w:t>
      </w:r>
      <w:r>
        <w:rPr>
          <w:spacing w:val="-2"/>
        </w:rPr>
        <w:t>元，亦全部转回。上述事项对</w:t>
      </w:r>
      <w:r>
        <w:rPr>
          <w:rFonts w:ascii="Arial" w:hAnsi="Arial" w:cs="Arial" w:eastAsia="Arial" w:hint="default"/>
          <w:spacing w:val="-2"/>
        </w:rPr>
        <w:t>2009</w:t>
      </w:r>
      <w:r>
        <w:rPr>
          <w:spacing w:val="-2"/>
        </w:rPr>
        <w:t>年度资本公积的净影响为</w:t>
      </w:r>
      <w:r>
        <w:rPr>
          <w:spacing w:val="-79"/>
        </w:rPr>
        <w:t> </w:t>
      </w:r>
      <w:r>
        <w:rPr>
          <w:spacing w:val="-79"/>
        </w:rPr>
      </w:r>
      <w:r>
        <w:rPr/>
        <w:t>负人民币</w:t>
      </w:r>
      <w:r>
        <w:rPr>
          <w:rFonts w:ascii="Arial" w:hAnsi="Arial" w:cs="Arial" w:eastAsia="Arial" w:hint="default"/>
        </w:rPr>
        <w:t>205,568,592</w:t>
      </w:r>
      <w:r>
        <w:rPr/>
        <w:t>元，参见附注五、</w:t>
      </w:r>
      <w:r>
        <w:rPr>
          <w:rFonts w:ascii="Arial" w:hAnsi="Arial" w:cs="Arial" w:eastAsia="Arial" w:hint="default"/>
        </w:rPr>
        <w:t>29</w:t>
      </w:r>
      <w:r>
        <w:rPr/>
        <w:t>、注</w:t>
      </w:r>
      <w:r>
        <w:rPr>
          <w:rFonts w:ascii="Arial" w:hAnsi="Arial" w:cs="Arial" w:eastAsia="Arial" w:hint="default"/>
        </w:rPr>
        <w:t>2</w:t>
      </w:r>
      <w:r>
        <w:rPr/>
        <w:t>。截至</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日，本公司所持有</w:t>
      </w:r>
      <w:r>
        <w:rPr>
          <w:spacing w:val="-55"/>
        </w:rPr>
        <w:t> </w:t>
      </w:r>
      <w:r>
        <w:rPr/>
        <w:t>的北京银行股票已全部售出，与北京银行股票相关的金融资产及资本公积的余额为零。</w:t>
      </w:r>
    </w:p>
    <w:p>
      <w:pPr>
        <w:spacing w:after="0" w:line="261" w:lineRule="auto"/>
        <w:jc w:val="both"/>
        <w:sectPr>
          <w:pgSz w:w="11910" w:h="16840"/>
          <w:pgMar w:header="958" w:footer="469" w:top="2380" w:bottom="660" w:left="1560" w:right="158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43" w:val="left" w:leader="none"/>
        </w:tabs>
        <w:spacing w:before="38"/>
        <w:ind w:left="141" w:right="3538"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0"/>
        <w:rPr>
          <w:rFonts w:ascii="黑体" w:hAnsi="黑体" w:cs="黑体" w:eastAsia="黑体" w:hint="default"/>
          <w:b/>
          <w:bCs/>
          <w:sz w:val="22"/>
          <w:szCs w:val="22"/>
        </w:rPr>
      </w:pPr>
    </w:p>
    <w:p>
      <w:pPr>
        <w:tabs>
          <w:tab w:pos="848" w:val="left" w:leader="none"/>
        </w:tabs>
        <w:spacing w:before="0"/>
        <w:ind w:left="141" w:right="3538" w:firstLine="0"/>
        <w:jc w:val="left"/>
        <w:rPr>
          <w:rFonts w:ascii="黑体" w:hAnsi="黑体" w:cs="黑体" w:eastAsia="黑体" w:hint="default"/>
          <w:sz w:val="20"/>
          <w:szCs w:val="20"/>
        </w:rPr>
      </w:pPr>
      <w:r>
        <w:rPr>
          <w:rFonts w:ascii="Arial" w:hAnsi="Arial" w:cs="Arial" w:eastAsia="Arial" w:hint="default"/>
          <w:b/>
          <w:bCs/>
          <w:spacing w:val="-1"/>
          <w:sz w:val="20"/>
          <w:szCs w:val="20"/>
        </w:rPr>
        <w:t>10.</w:t>
        <w:tab/>
      </w:r>
      <w:r>
        <w:rPr>
          <w:rFonts w:ascii="黑体" w:hAnsi="黑体" w:cs="黑体" w:eastAsia="黑体" w:hint="default"/>
          <w:b/>
          <w:bCs/>
          <w:sz w:val="20"/>
          <w:szCs w:val="20"/>
        </w:rPr>
        <w:t>对合营企业和联营企业投资</w:t>
      </w:r>
      <w:r>
        <w:rPr>
          <w:rFonts w:ascii="黑体" w:hAnsi="黑体" w:cs="黑体" w:eastAsia="黑体" w:hint="default"/>
          <w:sz w:val="20"/>
          <w:szCs w:val="20"/>
        </w:rPr>
      </w:r>
    </w:p>
    <w:p>
      <w:pPr>
        <w:spacing w:line="240" w:lineRule="auto" w:before="4"/>
        <w:rPr>
          <w:rFonts w:ascii="黑体" w:hAnsi="黑体" w:cs="黑体" w:eastAsia="黑体" w:hint="default"/>
          <w:b/>
          <w:bCs/>
          <w:sz w:val="23"/>
          <w:szCs w:val="23"/>
        </w:rPr>
      </w:pPr>
    </w:p>
    <w:p>
      <w:pPr>
        <w:pStyle w:val="BodyText"/>
        <w:spacing w:line="240" w:lineRule="auto"/>
        <w:ind w:left="850" w:right="3538"/>
        <w:jc w:val="left"/>
      </w:pPr>
      <w:r>
        <w:rPr>
          <w:rFonts w:ascii="Arial" w:hAnsi="Arial" w:cs="Arial" w:eastAsia="Arial" w:hint="default"/>
        </w:rPr>
        <w:t>2009</w:t>
      </w:r>
      <w:r>
        <w:rPr/>
        <w:t>年</w:t>
      </w:r>
    </w:p>
    <w:p>
      <w:pPr>
        <w:spacing w:line="240" w:lineRule="auto" w:before="6"/>
        <w:rPr>
          <w:rFonts w:ascii="黑体" w:hAnsi="黑体" w:cs="黑体" w:eastAsia="黑体" w:hint="default"/>
          <w:sz w:val="20"/>
          <w:szCs w:val="20"/>
        </w:rPr>
      </w:pPr>
    </w:p>
    <w:p>
      <w:pPr>
        <w:pStyle w:val="BodyText"/>
        <w:tabs>
          <w:tab w:pos="5978" w:val="left" w:leader="none"/>
          <w:tab w:pos="7850" w:val="left" w:leader="none"/>
        </w:tabs>
        <w:spacing w:line="240" w:lineRule="auto"/>
        <w:ind w:left="2694" w:right="0"/>
        <w:jc w:val="left"/>
      </w:pPr>
      <w:r>
        <w:rPr/>
        <w:t>企业类型  注册地</w:t>
      </w:r>
      <w:r>
        <w:rPr>
          <w:spacing w:val="1"/>
        </w:rPr>
        <w:t> </w:t>
      </w:r>
      <w:r>
        <w:rPr/>
        <w:t>法人代表</w:t>
        <w:tab/>
        <w:t>业务性质</w:t>
        <w:tab/>
        <w:t>注册资本</w:t>
      </w:r>
    </w:p>
    <w:p>
      <w:pPr>
        <w:spacing w:line="240" w:lineRule="auto" w:before="0"/>
        <w:rPr>
          <w:rFonts w:ascii="黑体" w:hAnsi="黑体" w:cs="黑体" w:eastAsia="黑体" w:hint="default"/>
          <w:sz w:val="16"/>
          <w:szCs w:val="16"/>
        </w:rPr>
      </w:pPr>
    </w:p>
    <w:p>
      <w:pPr>
        <w:pStyle w:val="BodyText"/>
        <w:tabs>
          <w:tab w:pos="5244" w:val="left" w:leader="none"/>
          <w:tab w:pos="7761" w:val="left" w:leader="none"/>
        </w:tabs>
        <w:spacing w:line="240" w:lineRule="auto" w:before="39"/>
        <w:ind w:left="800" w:right="0"/>
        <w:jc w:val="left"/>
        <w:rPr>
          <w:rFonts w:ascii="Arial" w:hAnsi="Arial" w:cs="Arial" w:eastAsia="Arial" w:hint="default"/>
        </w:rPr>
      </w:pPr>
      <w:r>
        <w:rPr/>
        <w:t>北京用友致远软件技 联营企业  北京市</w:t>
      </w:r>
      <w:r>
        <w:rPr>
          <w:spacing w:val="-8"/>
        </w:rPr>
        <w:t> </w:t>
      </w:r>
      <w:r>
        <w:rPr/>
        <w:t>徐石</w:t>
        <w:tab/>
      </w:r>
      <w:r>
        <w:rPr>
          <w:spacing w:val="5"/>
        </w:rPr>
        <w:t>软件开发，软件销售；系</w:t>
        <w:tab/>
      </w:r>
      <w:r>
        <w:rPr>
          <w:rFonts w:ascii="Arial" w:hAnsi="Arial" w:cs="Arial" w:eastAsia="Arial" w:hint="default"/>
        </w:rPr>
        <w:t>5,384,600</w:t>
      </w:r>
    </w:p>
    <w:p>
      <w:pPr>
        <w:spacing w:after="0" w:line="240" w:lineRule="auto"/>
        <w:jc w:val="left"/>
        <w:rPr>
          <w:rFonts w:ascii="Arial" w:hAnsi="Arial" w:cs="Arial" w:eastAsia="Arial" w:hint="default"/>
        </w:rPr>
        <w:sectPr>
          <w:pgSz w:w="11910" w:h="16840"/>
          <w:pgMar w:header="958" w:footer="469" w:top="2380" w:bottom="660" w:left="1560" w:right="1500"/>
        </w:sectPr>
      </w:pPr>
    </w:p>
    <w:p>
      <w:pPr>
        <w:pStyle w:val="BodyText"/>
        <w:spacing w:line="230" w:lineRule="exact" w:before="2"/>
        <w:ind w:left="981" w:right="-10"/>
        <w:jc w:val="left"/>
        <w:rPr>
          <w:rFonts w:ascii="Arial" w:hAnsi="Arial" w:cs="Arial" w:eastAsia="Arial" w:hint="default"/>
        </w:rPr>
      </w:pPr>
      <w:r>
        <w:rPr>
          <w:spacing w:val="-1"/>
        </w:rPr>
        <w:t>术有限公司</w:t>
      </w:r>
      <w:r>
        <w:rPr>
          <w:rFonts w:ascii="Arial" w:hAnsi="Arial" w:cs="Arial" w:eastAsia="Arial" w:hint="default"/>
          <w:spacing w:val="-1"/>
        </w:rPr>
        <w:t>(</w:t>
      </w:r>
      <w:r>
        <w:rPr>
          <w:spacing w:val="-1"/>
        </w:rPr>
        <w:t>以下简</w:t>
      </w:r>
      <w:r>
        <w:rPr>
          <w:spacing w:val="-91"/>
        </w:rPr>
        <w:t> </w:t>
      </w:r>
      <w:r>
        <w:rPr/>
        <w:t>称</w:t>
      </w:r>
      <w:r>
        <w:rPr>
          <w:rFonts w:ascii="Arial" w:hAnsi="Arial" w:cs="Arial" w:eastAsia="Arial" w:hint="default"/>
        </w:rPr>
        <w:t>“</w:t>
      </w:r>
      <w:r>
        <w:rPr/>
        <w:t>用友致远</w:t>
      </w:r>
      <w:r>
        <w:rPr>
          <w:rFonts w:ascii="Arial" w:hAnsi="Arial" w:cs="Arial" w:eastAsia="Arial" w:hint="default"/>
        </w:rPr>
        <w:t>”)</w:t>
      </w:r>
    </w:p>
    <w:p>
      <w:pPr>
        <w:pStyle w:val="BodyText"/>
        <w:spacing w:line="230" w:lineRule="exact" w:before="3"/>
        <w:ind w:left="981" w:right="1227"/>
        <w:jc w:val="left"/>
      </w:pPr>
      <w:r>
        <w:rPr>
          <w:spacing w:val="-4"/>
        </w:rPr>
        <w:br w:type="column"/>
      </w:r>
      <w:r>
        <w:rPr>
          <w:spacing w:val="-4"/>
        </w:rPr>
        <w:t>统集成；软件维护、咨询、</w:t>
      </w:r>
      <w:r>
        <w:rPr>
          <w:spacing w:val="-87"/>
        </w:rPr>
        <w:t> </w:t>
      </w:r>
      <w:r>
        <w:rPr>
          <w:spacing w:val="-87"/>
        </w:rPr>
      </w:r>
      <w:r>
        <w:rPr/>
        <w:t>培训、技术培训。</w:t>
      </w:r>
    </w:p>
    <w:p>
      <w:pPr>
        <w:spacing w:after="0" w:line="230" w:lineRule="exact"/>
        <w:jc w:val="left"/>
        <w:sectPr>
          <w:type w:val="continuous"/>
          <w:pgSz w:w="11910" w:h="16840"/>
          <w:pgMar w:top="900" w:bottom="280" w:left="1560" w:right="1500"/>
          <w:cols w:num="2" w:equalWidth="0">
            <w:col w:w="2650" w:space="1614"/>
            <w:col w:w="4586"/>
          </w:cols>
        </w:sectPr>
      </w:pPr>
    </w:p>
    <w:p>
      <w:pPr>
        <w:spacing w:line="240" w:lineRule="auto" w:before="9"/>
        <w:rPr>
          <w:rFonts w:ascii="黑体" w:hAnsi="黑体" w:cs="黑体" w:eastAsia="黑体" w:hint="default"/>
          <w:sz w:val="12"/>
          <w:szCs w:val="12"/>
        </w:rPr>
      </w:pPr>
    </w:p>
    <w:p>
      <w:pPr>
        <w:pStyle w:val="BodyText"/>
        <w:tabs>
          <w:tab w:pos="5244" w:val="left" w:leader="none"/>
          <w:tab w:pos="7928" w:val="left" w:leader="none"/>
        </w:tabs>
        <w:spacing w:line="240" w:lineRule="auto" w:before="39"/>
        <w:ind w:left="800" w:right="0"/>
        <w:jc w:val="left"/>
        <w:rPr>
          <w:rFonts w:ascii="Arial" w:hAnsi="Arial" w:cs="Arial" w:eastAsia="Arial" w:hint="default"/>
        </w:rPr>
      </w:pPr>
      <w:r>
        <w:rPr/>
        <w:t>北京用友商用表单技 联营企业  北京市</w:t>
      </w:r>
      <w:r>
        <w:rPr>
          <w:spacing w:val="-8"/>
        </w:rPr>
        <w:t> </w:t>
      </w:r>
      <w:r>
        <w:rPr/>
        <w:t>王力</w:t>
        <w:tab/>
      </w:r>
      <w:r>
        <w:rPr>
          <w:spacing w:val="5"/>
        </w:rPr>
        <w:t>软件开发、软件销售、系</w:t>
        <w:tab/>
      </w:r>
      <w:r>
        <w:rPr>
          <w:rFonts w:ascii="Arial" w:hAnsi="Arial" w:cs="Arial" w:eastAsia="Arial" w:hint="default"/>
        </w:rPr>
        <w:t>500,000</w:t>
      </w:r>
    </w:p>
    <w:p>
      <w:pPr>
        <w:spacing w:after="0" w:line="240" w:lineRule="auto"/>
        <w:jc w:val="left"/>
        <w:rPr>
          <w:rFonts w:ascii="Arial" w:hAnsi="Arial" w:cs="Arial" w:eastAsia="Arial" w:hint="default"/>
        </w:rPr>
        <w:sectPr>
          <w:type w:val="continuous"/>
          <w:pgSz w:w="11910" w:h="16840"/>
          <w:pgMar w:top="900" w:bottom="280" w:left="1560" w:right="1500"/>
        </w:sectPr>
      </w:pPr>
    </w:p>
    <w:p>
      <w:pPr>
        <w:pStyle w:val="BodyText"/>
        <w:spacing w:line="230" w:lineRule="exact" w:before="4"/>
        <w:ind w:left="981" w:right="-10"/>
        <w:jc w:val="left"/>
        <w:rPr>
          <w:rFonts w:ascii="Arial" w:hAnsi="Arial" w:cs="Arial" w:eastAsia="Arial" w:hint="default"/>
        </w:rPr>
      </w:pPr>
      <w:r>
        <w:rPr>
          <w:spacing w:val="-1"/>
        </w:rPr>
        <w:t>术有限公司</w:t>
      </w:r>
      <w:r>
        <w:rPr>
          <w:rFonts w:ascii="Arial" w:hAnsi="Arial" w:cs="Arial" w:eastAsia="Arial" w:hint="default"/>
          <w:spacing w:val="-1"/>
        </w:rPr>
        <w:t>(</w:t>
      </w:r>
      <w:r>
        <w:rPr>
          <w:spacing w:val="-1"/>
        </w:rPr>
        <w:t>以下简</w:t>
      </w:r>
      <w:r>
        <w:rPr>
          <w:spacing w:val="-91"/>
        </w:rPr>
        <w:t> </w:t>
      </w:r>
      <w:r>
        <w:rPr/>
        <w:t>称</w:t>
      </w:r>
      <w:r>
        <w:rPr>
          <w:rFonts w:ascii="Arial" w:hAnsi="Arial" w:cs="Arial" w:eastAsia="Arial" w:hint="default"/>
        </w:rPr>
        <w:t>“</w:t>
      </w:r>
      <w:r>
        <w:rPr/>
        <w:t>用友商用表单</w:t>
      </w:r>
      <w:r>
        <w:rPr>
          <w:rFonts w:ascii="Arial" w:hAnsi="Arial" w:cs="Arial" w:eastAsia="Arial" w:hint="default"/>
        </w:rPr>
        <w:t>”)</w:t>
      </w:r>
    </w:p>
    <w:p>
      <w:pPr>
        <w:pStyle w:val="BodyText"/>
        <w:spacing w:line="230" w:lineRule="exact" w:before="4"/>
        <w:ind w:left="981" w:right="1228"/>
        <w:jc w:val="both"/>
      </w:pPr>
      <w:r>
        <w:rPr>
          <w:spacing w:val="-4"/>
        </w:rPr>
        <w:br w:type="column"/>
      </w:r>
      <w:r>
        <w:rPr>
          <w:spacing w:val="-4"/>
        </w:rPr>
        <w:t>统集成、软件维护、咨询、</w:t>
      </w:r>
      <w:r>
        <w:rPr>
          <w:spacing w:val="-87"/>
        </w:rPr>
        <w:t> </w:t>
      </w:r>
      <w:r>
        <w:rPr>
          <w:spacing w:val="-87"/>
        </w:rPr>
      </w:r>
      <w:r>
        <w:rPr>
          <w:spacing w:val="-4"/>
        </w:rPr>
        <w:t>培训；销售打印纸、磁盘、</w:t>
      </w:r>
    </w:p>
    <w:p>
      <w:pPr>
        <w:pStyle w:val="BodyText"/>
        <w:spacing w:line="197" w:lineRule="exact"/>
        <w:ind w:left="981" w:right="0"/>
        <w:jc w:val="both"/>
      </w:pPr>
      <w:r>
        <w:rPr>
          <w:spacing w:val="6"/>
        </w:rPr>
        <w:t>计算机专用账页、账夹、</w:t>
      </w:r>
      <w:r>
        <w:rPr/>
      </w:r>
    </w:p>
    <w:p>
      <w:pPr>
        <w:pStyle w:val="BodyText"/>
        <w:spacing w:line="211" w:lineRule="auto" w:before="12"/>
        <w:ind w:left="981" w:right="1322"/>
        <w:jc w:val="both"/>
      </w:pPr>
      <w:r>
        <w:rPr>
          <w:spacing w:val="6"/>
        </w:rPr>
        <w:t>计算机及外围设备；计算</w:t>
      </w:r>
      <w:r>
        <w:rPr>
          <w:spacing w:val="-92"/>
        </w:rPr>
        <w:t> </w:t>
      </w:r>
      <w:r>
        <w:rPr>
          <w:spacing w:val="-92"/>
        </w:rPr>
      </w:r>
      <w:r>
        <w:rPr>
          <w:spacing w:val="6"/>
        </w:rPr>
        <w:t>机软件制作；计算机技术</w:t>
      </w:r>
      <w:r>
        <w:rPr>
          <w:spacing w:val="-92"/>
        </w:rPr>
        <w:t> </w:t>
      </w:r>
      <w:r>
        <w:rPr>
          <w:spacing w:val="-92"/>
        </w:rPr>
      </w:r>
      <w:r>
        <w:rPr/>
        <w:t>服务、技术培训。</w:t>
      </w:r>
    </w:p>
    <w:p>
      <w:pPr>
        <w:spacing w:after="0" w:line="211" w:lineRule="auto"/>
        <w:jc w:val="both"/>
        <w:sectPr>
          <w:type w:val="continuous"/>
          <w:pgSz w:w="11910" w:h="16840"/>
          <w:pgMar w:top="900" w:bottom="280" w:left="1560" w:right="1500"/>
          <w:cols w:num="2" w:equalWidth="0">
            <w:col w:w="2650" w:space="1614"/>
            <w:col w:w="4586"/>
          </w:cols>
        </w:sectPr>
      </w:pPr>
    </w:p>
    <w:p>
      <w:pPr>
        <w:spacing w:line="240" w:lineRule="auto" w:before="4"/>
        <w:rPr>
          <w:rFonts w:ascii="黑体" w:hAnsi="黑体" w:cs="黑体" w:eastAsia="黑体" w:hint="default"/>
          <w:sz w:val="14"/>
          <w:szCs w:val="14"/>
        </w:rPr>
      </w:pPr>
    </w:p>
    <w:p>
      <w:pPr>
        <w:pStyle w:val="BodyText"/>
        <w:tabs>
          <w:tab w:pos="5244" w:val="left" w:leader="none"/>
          <w:tab w:pos="7928" w:val="left" w:leader="none"/>
        </w:tabs>
        <w:spacing w:line="240" w:lineRule="auto" w:before="39"/>
        <w:ind w:left="800" w:right="0"/>
        <w:jc w:val="left"/>
        <w:rPr>
          <w:rFonts w:ascii="Arial" w:hAnsi="Arial" w:cs="Arial" w:eastAsia="Arial" w:hint="default"/>
        </w:rPr>
      </w:pPr>
      <w:r>
        <w:rPr/>
        <w:t>北京西玛永泰商用表 联营企业  北京市</w:t>
      </w:r>
      <w:r>
        <w:rPr>
          <w:spacing w:val="-8"/>
        </w:rPr>
        <w:t> </w:t>
      </w:r>
      <w:r>
        <w:rPr/>
        <w:t>王力</w:t>
        <w:tab/>
      </w:r>
      <w:r>
        <w:rPr>
          <w:spacing w:val="5"/>
        </w:rPr>
        <w:t>软件开发、软件销售、系</w:t>
        <w:tab/>
      </w:r>
      <w:r>
        <w:rPr>
          <w:rFonts w:ascii="Arial" w:hAnsi="Arial" w:cs="Arial" w:eastAsia="Arial" w:hint="default"/>
        </w:rPr>
        <w:t>500,000</w:t>
      </w:r>
    </w:p>
    <w:p>
      <w:pPr>
        <w:spacing w:after="0" w:line="240" w:lineRule="auto"/>
        <w:jc w:val="left"/>
        <w:rPr>
          <w:rFonts w:ascii="Arial" w:hAnsi="Arial" w:cs="Arial" w:eastAsia="Arial" w:hint="default"/>
        </w:rPr>
        <w:sectPr>
          <w:type w:val="continuous"/>
          <w:pgSz w:w="11910" w:h="16840"/>
          <w:pgMar w:top="900" w:bottom="280" w:left="1560" w:right="1500"/>
        </w:sectPr>
      </w:pPr>
    </w:p>
    <w:p>
      <w:pPr>
        <w:pStyle w:val="BodyText"/>
        <w:spacing w:line="230" w:lineRule="exact" w:before="4"/>
        <w:ind w:left="981" w:right="-10"/>
        <w:jc w:val="left"/>
        <w:rPr>
          <w:rFonts w:ascii="Arial" w:hAnsi="Arial" w:cs="Arial" w:eastAsia="Arial" w:hint="default"/>
        </w:rPr>
      </w:pPr>
      <w:r>
        <w:rPr>
          <w:spacing w:val="-1"/>
        </w:rPr>
        <w:t>单技术有限公司</w:t>
      </w:r>
      <w:r>
        <w:rPr>
          <w:rFonts w:ascii="Arial" w:hAnsi="Arial" w:cs="Arial" w:eastAsia="Arial" w:hint="default"/>
          <w:spacing w:val="-1"/>
        </w:rPr>
        <w:t>(</w:t>
      </w:r>
      <w:r>
        <w:rPr>
          <w:spacing w:val="-1"/>
        </w:rPr>
        <w:t>以</w:t>
      </w:r>
      <w:r>
        <w:rPr>
          <w:spacing w:val="-92"/>
        </w:rPr>
        <w:t> </w:t>
      </w:r>
      <w:r>
        <w:rPr/>
        <w:t>下简称</w:t>
      </w:r>
      <w:r>
        <w:rPr>
          <w:rFonts w:ascii="Arial" w:hAnsi="Arial" w:cs="Arial" w:eastAsia="Arial" w:hint="default"/>
        </w:rPr>
        <w:t>“</w:t>
      </w:r>
      <w:r>
        <w:rPr/>
        <w:t>西玛永泰</w:t>
      </w:r>
      <w:r>
        <w:rPr>
          <w:rFonts w:ascii="Arial" w:hAnsi="Arial" w:cs="Arial" w:eastAsia="Arial" w:hint="default"/>
        </w:rPr>
        <w:t>”)</w:t>
      </w:r>
    </w:p>
    <w:p>
      <w:pPr>
        <w:pStyle w:val="BodyText"/>
        <w:spacing w:line="201" w:lineRule="exact"/>
        <w:ind w:left="981" w:right="0"/>
        <w:jc w:val="left"/>
      </w:pPr>
      <w:r>
        <w:rPr>
          <w:spacing w:val="-4"/>
        </w:rPr>
        <w:br w:type="column"/>
      </w:r>
      <w:r>
        <w:rPr>
          <w:spacing w:val="-4"/>
        </w:rPr>
        <w:t>统集成、软件维护、咨询、</w:t>
      </w:r>
    </w:p>
    <w:p>
      <w:pPr>
        <w:pStyle w:val="BodyText"/>
        <w:spacing w:line="211" w:lineRule="auto" w:before="12"/>
        <w:ind w:left="981" w:right="1227"/>
        <w:jc w:val="left"/>
      </w:pPr>
      <w:r>
        <w:rPr>
          <w:spacing w:val="-4"/>
        </w:rPr>
        <w:t>培训；销售打印纸、磁盘、</w:t>
      </w:r>
      <w:r>
        <w:rPr>
          <w:spacing w:val="-86"/>
        </w:rPr>
        <w:t> </w:t>
      </w:r>
      <w:r>
        <w:rPr>
          <w:spacing w:val="-86"/>
        </w:rPr>
      </w:r>
      <w:r>
        <w:rPr>
          <w:spacing w:val="6"/>
        </w:rPr>
        <w:t>计算机专用账页、账夹、</w:t>
      </w:r>
      <w:r>
        <w:rPr>
          <w:spacing w:val="-92"/>
        </w:rPr>
        <w:t> </w:t>
      </w:r>
      <w:r>
        <w:rPr>
          <w:spacing w:val="-92"/>
        </w:rPr>
      </w:r>
      <w:r>
        <w:rPr>
          <w:spacing w:val="6"/>
        </w:rPr>
        <w:t>计算机及外围设备；计算</w:t>
      </w:r>
      <w:r>
        <w:rPr>
          <w:spacing w:val="-92"/>
        </w:rPr>
        <w:t> </w:t>
      </w:r>
      <w:r>
        <w:rPr>
          <w:spacing w:val="-92"/>
        </w:rPr>
      </w:r>
      <w:r>
        <w:rPr>
          <w:spacing w:val="6"/>
        </w:rPr>
        <w:t>机软件制作；计算机技术</w:t>
      </w:r>
      <w:r>
        <w:rPr>
          <w:spacing w:val="-92"/>
        </w:rPr>
        <w:t> </w:t>
      </w:r>
      <w:r>
        <w:rPr>
          <w:spacing w:val="-92"/>
        </w:rPr>
      </w:r>
      <w:r>
        <w:rPr/>
        <w:t>服务、技术培训。</w:t>
      </w:r>
    </w:p>
    <w:p>
      <w:pPr>
        <w:spacing w:after="0" w:line="211" w:lineRule="auto"/>
        <w:jc w:val="left"/>
        <w:sectPr>
          <w:type w:val="continuous"/>
          <w:pgSz w:w="11910" w:h="16840"/>
          <w:pgMar w:top="900" w:bottom="280" w:left="1560" w:right="1500"/>
          <w:cols w:num="2" w:equalWidth="0">
            <w:col w:w="2650" w:space="1614"/>
            <w:col w:w="4586"/>
          </w:cols>
        </w:sectPr>
      </w:pPr>
    </w:p>
    <w:p>
      <w:pPr>
        <w:spacing w:line="240" w:lineRule="auto" w:before="10"/>
        <w:rPr>
          <w:rFonts w:ascii="黑体" w:hAnsi="黑体" w:cs="黑体" w:eastAsia="黑体" w:hint="default"/>
          <w:sz w:val="20"/>
          <w:szCs w:val="20"/>
        </w:rPr>
      </w:pPr>
    </w:p>
    <w:p>
      <w:pPr>
        <w:pStyle w:val="BodyText"/>
        <w:tabs>
          <w:tab w:pos="3998" w:val="left" w:leader="none"/>
          <w:tab w:pos="4198" w:val="left" w:leader="none"/>
          <w:tab w:pos="5212" w:val="left" w:leader="none"/>
          <w:tab w:pos="5612" w:val="left" w:leader="none"/>
          <w:tab w:pos="6684" w:val="left" w:leader="none"/>
          <w:tab w:pos="6885" w:val="left" w:leader="none"/>
          <w:tab w:pos="8070" w:val="left" w:leader="none"/>
        </w:tabs>
        <w:spacing w:line="260" w:lineRule="exact" w:before="64"/>
        <w:ind w:left="2924" w:right="170" w:hanging="201"/>
        <w:jc w:val="left"/>
      </w:pPr>
      <w:r>
        <w:rPr/>
        <w:t>资产总额</w:t>
        <w:tab/>
        <w:t>负债总额</w:t>
        <w:tab/>
      </w:r>
      <w:r>
        <w:rPr>
          <w:spacing w:val="-1"/>
        </w:rPr>
        <w:t>净资产总额</w:t>
        <w:tab/>
      </w:r>
      <w:r>
        <w:rPr/>
        <w:t>营业收入</w:t>
        <w:tab/>
        <w:t>净利润</w:t>
      </w:r>
      <w:r>
        <w:rPr>
          <w:w w:val="100"/>
        </w:rPr>
        <w:t> </w:t>
      </w:r>
      <w:r>
        <w:rPr/>
        <w:t>年末数</w:t>
        <w:tab/>
        <w:tab/>
        <w:t>年末数</w:t>
        <w:tab/>
        <w:tab/>
        <w:t>年末数</w:t>
        <w:tab/>
        <w:tab/>
        <w:t>本年数</w:t>
        <w:tab/>
        <w:t>本年数</w:t>
      </w:r>
    </w:p>
    <w:p>
      <w:pPr>
        <w:spacing w:line="240" w:lineRule="auto" w:before="9"/>
        <w:rPr>
          <w:rFonts w:ascii="黑体" w:hAnsi="黑体" w:cs="黑体" w:eastAsia="黑体" w:hint="default"/>
          <w:sz w:val="17"/>
          <w:szCs w:val="17"/>
        </w:rPr>
      </w:pPr>
    </w:p>
    <w:p>
      <w:pPr>
        <w:pStyle w:val="BodyText"/>
        <w:tabs>
          <w:tab w:pos="2523" w:val="left" w:leader="none"/>
          <w:tab w:pos="3797" w:val="left" w:leader="none"/>
          <w:tab w:pos="5211" w:val="left" w:leader="none"/>
          <w:tab w:pos="6484" w:val="left" w:leader="none"/>
        </w:tabs>
        <w:spacing w:line="273" w:lineRule="exact"/>
        <w:ind w:left="770" w:right="0"/>
        <w:jc w:val="left"/>
        <w:rPr>
          <w:rFonts w:ascii="Arial" w:hAnsi="Arial" w:cs="Arial" w:eastAsia="Arial" w:hint="default"/>
        </w:rPr>
      </w:pPr>
      <w:r>
        <w:rPr>
          <w:position w:val="1"/>
        </w:rPr>
        <w:t>用友致远</w:t>
        <w:tab/>
      </w:r>
      <w:r>
        <w:rPr>
          <w:rFonts w:ascii="Arial" w:hAnsi="Arial" w:cs="Arial" w:eastAsia="Arial" w:hint="default"/>
          <w:spacing w:val="-1"/>
        </w:rPr>
        <w:t>69,754,726</w:t>
        <w:tab/>
        <w:t>11,562,304</w:t>
        <w:tab/>
        <w:t>58,192,422</w:t>
        <w:tab/>
        <w:t>64,340,122</w:t>
      </w:r>
      <w:r>
        <w:rPr>
          <w:rFonts w:ascii="Arial" w:hAnsi="Arial" w:cs="Arial" w:eastAsia="Arial" w:hint="default"/>
        </w:rPr>
        <w:t>  </w:t>
      </w:r>
      <w:r>
        <w:rPr>
          <w:rFonts w:ascii="Arial" w:hAnsi="Arial" w:cs="Arial" w:eastAsia="Arial" w:hint="default"/>
          <w:spacing w:val="22"/>
        </w:rPr>
        <w:t> </w:t>
      </w:r>
      <w:r>
        <w:rPr>
          <w:rFonts w:ascii="Arial" w:hAnsi="Arial" w:cs="Arial" w:eastAsia="Arial" w:hint="default"/>
          <w:spacing w:val="-1"/>
        </w:rPr>
        <w:t>14,425,396</w:t>
      </w:r>
    </w:p>
    <w:p>
      <w:pPr>
        <w:pStyle w:val="BodyText"/>
        <w:tabs>
          <w:tab w:pos="2523" w:val="left" w:leader="none"/>
          <w:tab w:pos="3797" w:val="left" w:leader="none"/>
          <w:tab w:pos="5211" w:val="left" w:leader="none"/>
          <w:tab w:pos="6484" w:val="left" w:leader="none"/>
          <w:tab w:pos="7781" w:val="left" w:leader="none"/>
        </w:tabs>
        <w:spacing w:line="259" w:lineRule="exact"/>
        <w:ind w:left="770" w:right="0"/>
        <w:jc w:val="left"/>
        <w:rPr>
          <w:rFonts w:ascii="Arial" w:hAnsi="Arial" w:cs="Arial" w:eastAsia="Arial" w:hint="default"/>
        </w:rPr>
      </w:pPr>
      <w:r>
        <w:rPr>
          <w:spacing w:val="-1"/>
          <w:position w:val="1"/>
        </w:rPr>
        <w:t>用友商用表单</w:t>
        <w:tab/>
      </w:r>
      <w:r>
        <w:rPr>
          <w:rFonts w:ascii="Arial" w:hAnsi="Arial" w:cs="Arial" w:eastAsia="Arial" w:hint="default"/>
          <w:spacing w:val="-1"/>
        </w:rPr>
        <w:t>22,616,548</w:t>
        <w:tab/>
        <w:t>10,322,600</w:t>
        <w:tab/>
        <w:t>12,293,948</w:t>
        <w:tab/>
        <w:t>34,468,933</w:t>
        <w:tab/>
        <w:t>4,089,193</w:t>
      </w:r>
    </w:p>
    <w:p>
      <w:pPr>
        <w:pStyle w:val="BodyText"/>
        <w:tabs>
          <w:tab w:pos="2634" w:val="left" w:leader="none"/>
          <w:tab w:pos="4186" w:val="left" w:leader="none"/>
          <w:tab w:pos="5323" w:val="left" w:leader="none"/>
          <w:tab w:pos="6985" w:val="left" w:leader="none"/>
          <w:tab w:pos="8059" w:val="left" w:leader="none"/>
        </w:tabs>
        <w:spacing w:line="273" w:lineRule="exact"/>
        <w:ind w:left="770" w:right="0"/>
        <w:jc w:val="left"/>
        <w:rPr>
          <w:rFonts w:ascii="Arial" w:hAnsi="Arial" w:cs="Arial" w:eastAsia="Arial" w:hint="default"/>
        </w:rPr>
      </w:pPr>
      <w:r>
        <w:rPr>
          <w:position w:val="1"/>
        </w:rPr>
        <w:t>西玛永泰</w:t>
        <w:tab/>
      </w:r>
      <w:r>
        <w:rPr>
          <w:rFonts w:ascii="Arial" w:hAnsi="Arial" w:cs="Arial" w:eastAsia="Arial" w:hint="default"/>
          <w:spacing w:val="-1"/>
        </w:rPr>
        <w:t>2,315,068</w:t>
        <w:tab/>
      </w:r>
      <w:r>
        <w:rPr>
          <w:rFonts w:ascii="Arial" w:hAnsi="Arial" w:cs="Arial" w:eastAsia="Arial" w:hint="default"/>
        </w:rPr>
        <w:t>67,956</w:t>
        <w:tab/>
      </w:r>
      <w:r>
        <w:rPr>
          <w:rFonts w:ascii="Arial" w:hAnsi="Arial" w:cs="Arial" w:eastAsia="Arial" w:hint="default"/>
          <w:spacing w:val="-1"/>
        </w:rPr>
        <w:t>2,247,112</w:t>
        <w:tab/>
      </w:r>
      <w:r>
        <w:rPr>
          <w:rFonts w:ascii="Arial" w:hAnsi="Arial" w:cs="Arial" w:eastAsia="Arial" w:hint="default"/>
        </w:rPr>
        <w:t>1,563</w:t>
      </w:r>
      <w:r>
        <w:rPr>
          <w:rFonts w:ascii="Arial" w:hAnsi="Arial" w:cs="Arial" w:eastAsia="Arial" w:hint="default"/>
          <w:spacing w:val="51"/>
        </w:rPr>
        <w:t> </w:t>
      </w:r>
      <w:r>
        <w:rPr>
          <w:rFonts w:ascii="Arial" w:hAnsi="Arial" w:cs="Arial" w:eastAsia="Arial" w:hint="default"/>
        </w:rPr>
        <w:t>(</w:t>
        <w:tab/>
        <w:t>99,630)</w:t>
      </w:r>
    </w:p>
    <w:p>
      <w:pPr>
        <w:spacing w:after="0" w:line="273" w:lineRule="exact"/>
        <w:jc w:val="left"/>
        <w:rPr>
          <w:rFonts w:ascii="Arial" w:hAnsi="Arial" w:cs="Arial" w:eastAsia="Arial" w:hint="default"/>
        </w:rPr>
        <w:sectPr>
          <w:type w:val="continuous"/>
          <w:pgSz w:w="11910" w:h="16840"/>
          <w:pgMar w:top="900" w:bottom="280" w:left="1560" w:right="1500"/>
        </w:sect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9"/>
          <w:szCs w:val="29"/>
        </w:rPr>
      </w:pPr>
    </w:p>
    <w:p>
      <w:pPr>
        <w:tabs>
          <w:tab w:pos="784" w:val="left" w:leader="none"/>
        </w:tabs>
        <w:spacing w:before="38"/>
        <w:ind w:left="141" w:right="114"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0"/>
        <w:rPr>
          <w:rFonts w:ascii="黑体" w:hAnsi="黑体" w:cs="黑体" w:eastAsia="黑体" w:hint="default"/>
          <w:b/>
          <w:bCs/>
          <w:sz w:val="22"/>
          <w:szCs w:val="22"/>
        </w:rPr>
      </w:pPr>
    </w:p>
    <w:p>
      <w:pPr>
        <w:tabs>
          <w:tab w:pos="784" w:val="left" w:leader="none"/>
        </w:tabs>
        <w:spacing w:before="0"/>
        <w:ind w:left="141" w:right="114" w:firstLine="0"/>
        <w:jc w:val="left"/>
        <w:rPr>
          <w:rFonts w:ascii="黑体" w:hAnsi="黑体" w:cs="黑体" w:eastAsia="黑体" w:hint="default"/>
          <w:sz w:val="20"/>
          <w:szCs w:val="20"/>
        </w:rPr>
      </w:pPr>
      <w:r>
        <w:rPr>
          <w:rFonts w:ascii="Arial" w:hAnsi="Arial" w:cs="Arial" w:eastAsia="Arial" w:hint="default"/>
          <w:b/>
          <w:bCs/>
          <w:spacing w:val="-1"/>
          <w:sz w:val="20"/>
          <w:szCs w:val="20"/>
        </w:rPr>
        <w:t>10.</w:t>
        <w:tab/>
      </w:r>
      <w:r>
        <w:rPr>
          <w:rFonts w:ascii="黑体" w:hAnsi="黑体" w:cs="黑体" w:eastAsia="黑体" w:hint="default"/>
          <w:b/>
          <w:bCs/>
          <w:sz w:val="20"/>
          <w:szCs w:val="20"/>
        </w:rPr>
        <w:t>对合营企业和联营企业投资（续）</w:t>
      </w:r>
      <w:r>
        <w:rPr>
          <w:rFonts w:ascii="黑体" w:hAnsi="黑体" w:cs="黑体" w:eastAsia="黑体" w:hint="default"/>
          <w:sz w:val="20"/>
          <w:szCs w:val="20"/>
        </w:rPr>
      </w:r>
    </w:p>
    <w:p>
      <w:pPr>
        <w:spacing w:line="240" w:lineRule="auto" w:before="10"/>
        <w:rPr>
          <w:rFonts w:ascii="黑体" w:hAnsi="黑体" w:cs="黑体" w:eastAsia="黑体" w:hint="default"/>
          <w:b/>
          <w:bCs/>
          <w:sz w:val="21"/>
          <w:szCs w:val="21"/>
        </w:rPr>
      </w:pPr>
    </w:p>
    <w:p>
      <w:pPr>
        <w:pStyle w:val="BodyText"/>
        <w:spacing w:line="240" w:lineRule="auto"/>
        <w:ind w:left="786" w:right="114"/>
        <w:jc w:val="left"/>
      </w:pPr>
      <w:r>
        <w:rPr>
          <w:rFonts w:ascii="Arial" w:hAnsi="Arial" w:cs="Arial" w:eastAsia="Arial" w:hint="default"/>
        </w:rPr>
        <w:t>2008</w:t>
      </w:r>
      <w:r>
        <w:rPr/>
        <w:t>年</w:t>
      </w:r>
    </w:p>
    <w:p>
      <w:pPr>
        <w:spacing w:line="240" w:lineRule="auto" w:before="12"/>
        <w:rPr>
          <w:rFonts w:ascii="黑体" w:hAnsi="黑体" w:cs="黑体" w:eastAsia="黑体" w:hint="default"/>
          <w:sz w:val="18"/>
          <w:szCs w:val="18"/>
        </w:rPr>
      </w:pPr>
    </w:p>
    <w:p>
      <w:pPr>
        <w:pStyle w:val="BodyText"/>
        <w:tabs>
          <w:tab w:pos="4124" w:val="left" w:leader="none"/>
          <w:tab w:pos="5795" w:val="left" w:leader="none"/>
          <w:tab w:pos="7840" w:val="left" w:leader="none"/>
        </w:tabs>
        <w:spacing w:line="240" w:lineRule="auto"/>
        <w:ind w:left="2424" w:right="114"/>
        <w:jc w:val="left"/>
      </w:pPr>
      <w:r>
        <w:rPr/>
        <w:t>企业类型</w:t>
      </w:r>
      <w:r>
        <w:rPr>
          <w:spacing w:val="-49"/>
        </w:rPr>
        <w:t> </w:t>
      </w:r>
      <w:r>
        <w:rPr/>
        <w:t>注册地</w:t>
        <w:tab/>
        <w:t>法人代表</w:t>
        <w:tab/>
        <w:t>业务性质</w:t>
        <w:tab/>
        <w:t>注册资本</w:t>
      </w:r>
    </w:p>
    <w:p>
      <w:pPr>
        <w:spacing w:line="240" w:lineRule="auto" w:before="0"/>
        <w:rPr>
          <w:rFonts w:ascii="黑体" w:hAnsi="黑体" w:cs="黑体" w:eastAsia="黑体" w:hint="default"/>
          <w:sz w:val="16"/>
          <w:szCs w:val="16"/>
        </w:rPr>
      </w:pPr>
    </w:p>
    <w:p>
      <w:pPr>
        <w:spacing w:after="0" w:line="240" w:lineRule="auto"/>
        <w:rPr>
          <w:rFonts w:ascii="黑体" w:hAnsi="黑体" w:cs="黑体" w:eastAsia="黑体" w:hint="default"/>
          <w:sz w:val="16"/>
          <w:szCs w:val="16"/>
        </w:rPr>
        <w:sectPr>
          <w:pgSz w:w="11910" w:h="16840"/>
          <w:pgMar w:header="958" w:footer="469" w:top="2380" w:bottom="660" w:left="1560" w:right="1520"/>
        </w:sectPr>
      </w:pPr>
    </w:p>
    <w:p>
      <w:pPr>
        <w:pStyle w:val="BodyText"/>
        <w:tabs>
          <w:tab w:pos="2423" w:val="left" w:leader="none"/>
          <w:tab w:pos="4124" w:val="left" w:leader="none"/>
          <w:tab w:pos="4960" w:val="left" w:leader="none"/>
        </w:tabs>
        <w:spacing w:line="245" w:lineRule="exact" w:before="38"/>
        <w:ind w:left="800" w:right="-5"/>
        <w:jc w:val="left"/>
      </w:pPr>
      <w:r>
        <w:rPr/>
        <w:t>用友致远</w:t>
        <w:tab/>
        <w:t>联营企业</w:t>
      </w:r>
      <w:r>
        <w:rPr>
          <w:spacing w:val="-49"/>
        </w:rPr>
        <w:t> </w:t>
      </w:r>
      <w:r>
        <w:rPr/>
        <w:t>北京市</w:t>
        <w:tab/>
        <w:t>徐石</w:t>
        <w:tab/>
      </w:r>
      <w:r>
        <w:rPr>
          <w:spacing w:val="5"/>
        </w:rPr>
        <w:t>软件开发，软件销售；系统</w:t>
      </w:r>
    </w:p>
    <w:p>
      <w:pPr>
        <w:pStyle w:val="BodyText"/>
        <w:spacing w:line="230" w:lineRule="exact" w:before="33"/>
        <w:ind w:left="4960" w:right="-5"/>
        <w:jc w:val="left"/>
      </w:pPr>
      <w:r>
        <w:rPr>
          <w:spacing w:val="5"/>
        </w:rPr>
        <w:t>集成；软件维护、咨询、培</w:t>
      </w:r>
      <w:r>
        <w:rPr>
          <w:spacing w:val="-87"/>
        </w:rPr>
        <w:t> </w:t>
      </w:r>
      <w:r>
        <w:rPr>
          <w:spacing w:val="-87"/>
        </w:rPr>
      </w:r>
      <w:r>
        <w:rPr/>
        <w:t>训、技术培训。</w:t>
      </w:r>
    </w:p>
    <w:p>
      <w:pPr>
        <w:pStyle w:val="BodyText"/>
        <w:spacing w:line="240" w:lineRule="auto" w:before="83"/>
        <w:ind w:left="276" w:right="0"/>
        <w:jc w:val="left"/>
        <w:rPr>
          <w:rFonts w:ascii="Arial" w:hAnsi="Arial" w:cs="Arial" w:eastAsia="Arial" w:hint="default"/>
        </w:rPr>
      </w:pPr>
      <w:r>
        <w:rPr/>
        <w:br w:type="column"/>
      </w:r>
      <w:r>
        <w:rPr>
          <w:rFonts w:ascii="Arial"/>
        </w:rPr>
        <w:t>5,000,000</w:t>
      </w:r>
    </w:p>
    <w:p>
      <w:pPr>
        <w:spacing w:after="0" w:line="240" w:lineRule="auto"/>
        <w:jc w:val="left"/>
        <w:rPr>
          <w:rFonts w:ascii="Arial" w:hAnsi="Arial" w:cs="Arial" w:eastAsia="Arial" w:hint="default"/>
        </w:rPr>
        <w:sectPr>
          <w:type w:val="continuous"/>
          <w:pgSz w:w="11910" w:h="16840"/>
          <w:pgMar w:top="900" w:bottom="280" w:left="1560" w:right="1520"/>
          <w:cols w:num="2" w:equalWidth="0">
            <w:col w:w="7436" w:space="40"/>
            <w:col w:w="1354"/>
          </w:cols>
        </w:sectPr>
      </w:pPr>
    </w:p>
    <w:p>
      <w:pPr>
        <w:spacing w:line="240" w:lineRule="auto" w:before="6"/>
        <w:rPr>
          <w:rFonts w:ascii="Arial" w:hAnsi="Arial" w:cs="Arial" w:eastAsia="Arial" w:hint="default"/>
          <w:sz w:val="14"/>
          <w:szCs w:val="14"/>
        </w:rPr>
      </w:pPr>
    </w:p>
    <w:p>
      <w:pPr>
        <w:spacing w:after="0" w:line="240" w:lineRule="auto"/>
        <w:rPr>
          <w:rFonts w:ascii="Arial" w:hAnsi="Arial" w:cs="Arial" w:eastAsia="Arial" w:hint="default"/>
          <w:sz w:val="14"/>
          <w:szCs w:val="14"/>
        </w:rPr>
        <w:sectPr>
          <w:type w:val="continuous"/>
          <w:pgSz w:w="11910" w:h="16840"/>
          <w:pgMar w:top="900" w:bottom="280" w:left="1560" w:right="1520"/>
        </w:sectPr>
      </w:pPr>
    </w:p>
    <w:p>
      <w:pPr>
        <w:pStyle w:val="BodyText"/>
        <w:tabs>
          <w:tab w:pos="2423" w:val="left" w:leader="none"/>
          <w:tab w:pos="4123" w:val="left" w:leader="none"/>
          <w:tab w:pos="4960" w:val="left" w:leader="none"/>
        </w:tabs>
        <w:spacing w:line="246" w:lineRule="exact" w:before="38"/>
        <w:ind w:left="800" w:right="-6"/>
        <w:jc w:val="left"/>
      </w:pPr>
      <w:r>
        <w:rPr>
          <w:spacing w:val="-1"/>
        </w:rPr>
        <w:t>用友商用表单</w:t>
        <w:tab/>
      </w:r>
      <w:r>
        <w:rPr/>
        <w:t>联营企业</w:t>
      </w:r>
      <w:r>
        <w:rPr>
          <w:spacing w:val="-49"/>
        </w:rPr>
        <w:t> </w:t>
      </w:r>
      <w:r>
        <w:rPr/>
        <w:t>北京市</w:t>
        <w:tab/>
        <w:t>王力</w:t>
        <w:tab/>
      </w:r>
      <w:r>
        <w:rPr>
          <w:spacing w:val="5"/>
        </w:rPr>
        <w:t>软件开发、软件销售、系统</w:t>
      </w:r>
    </w:p>
    <w:p>
      <w:pPr>
        <w:pStyle w:val="BodyText"/>
        <w:spacing w:line="211" w:lineRule="auto" w:before="12"/>
        <w:ind w:left="4960" w:right="0"/>
        <w:jc w:val="both"/>
      </w:pPr>
      <w:r>
        <w:rPr>
          <w:spacing w:val="5"/>
        </w:rPr>
        <w:t>集成、软件维护、咨询、培</w:t>
      </w:r>
      <w:r>
        <w:rPr>
          <w:spacing w:val="-87"/>
        </w:rPr>
        <w:t> </w:t>
      </w:r>
      <w:r>
        <w:rPr>
          <w:spacing w:val="-87"/>
        </w:rPr>
      </w:r>
      <w:r>
        <w:rPr>
          <w:spacing w:val="5"/>
        </w:rPr>
        <w:t>训；销售打印纸、磁盘、计</w:t>
      </w:r>
      <w:r>
        <w:rPr>
          <w:spacing w:val="-87"/>
        </w:rPr>
        <w:t> </w:t>
      </w:r>
      <w:r>
        <w:rPr>
          <w:spacing w:val="-87"/>
        </w:rPr>
      </w:r>
      <w:r>
        <w:rPr>
          <w:spacing w:val="5"/>
        </w:rPr>
        <w:t>算机专用账页、账夹、计算</w:t>
      </w:r>
      <w:r>
        <w:rPr>
          <w:spacing w:val="-87"/>
        </w:rPr>
        <w:t> </w:t>
      </w:r>
      <w:r>
        <w:rPr>
          <w:spacing w:val="-87"/>
        </w:rPr>
      </w:r>
      <w:r>
        <w:rPr>
          <w:spacing w:val="5"/>
        </w:rPr>
        <w:t>机及外围设备；计算机软件</w:t>
      </w:r>
      <w:r>
        <w:rPr>
          <w:spacing w:val="-87"/>
        </w:rPr>
        <w:t> </w:t>
      </w:r>
      <w:r>
        <w:rPr>
          <w:spacing w:val="-87"/>
        </w:rPr>
      </w:r>
      <w:r>
        <w:rPr>
          <w:spacing w:val="5"/>
        </w:rPr>
        <w:t>制作；计算机技术服务、技</w:t>
      </w:r>
      <w:r>
        <w:rPr>
          <w:spacing w:val="-87"/>
        </w:rPr>
        <w:t> </w:t>
      </w:r>
      <w:r>
        <w:rPr>
          <w:spacing w:val="-87"/>
        </w:rPr>
      </w:r>
      <w:r>
        <w:rPr/>
        <w:t>术培训。</w:t>
      </w:r>
    </w:p>
    <w:p>
      <w:pPr>
        <w:pStyle w:val="BodyText"/>
        <w:spacing w:line="240" w:lineRule="auto" w:before="84"/>
        <w:ind w:left="443" w:right="0"/>
        <w:jc w:val="left"/>
        <w:rPr>
          <w:rFonts w:ascii="Arial" w:hAnsi="Arial" w:cs="Arial" w:eastAsia="Arial" w:hint="default"/>
        </w:rPr>
      </w:pPr>
      <w:r>
        <w:rPr/>
        <w:br w:type="column"/>
      </w:r>
      <w:r>
        <w:rPr>
          <w:rFonts w:ascii="Arial"/>
        </w:rPr>
        <w:t>500,000</w:t>
      </w:r>
    </w:p>
    <w:p>
      <w:pPr>
        <w:spacing w:after="0" w:line="240" w:lineRule="auto"/>
        <w:jc w:val="left"/>
        <w:rPr>
          <w:rFonts w:ascii="Arial" w:hAnsi="Arial" w:cs="Arial" w:eastAsia="Arial" w:hint="default"/>
        </w:rPr>
        <w:sectPr>
          <w:type w:val="continuous"/>
          <w:pgSz w:w="11910" w:h="16840"/>
          <w:pgMar w:top="900" w:bottom="280" w:left="1560" w:right="1520"/>
          <w:cols w:num="2" w:equalWidth="0">
            <w:col w:w="7435" w:space="40"/>
            <w:col w:w="1355"/>
          </w:cols>
        </w:sectPr>
      </w:pPr>
    </w:p>
    <w:p>
      <w:pPr>
        <w:spacing w:line="240" w:lineRule="auto" w:before="4"/>
        <w:rPr>
          <w:rFonts w:ascii="Arial" w:hAnsi="Arial" w:cs="Arial" w:eastAsia="Arial" w:hint="default"/>
          <w:sz w:val="16"/>
          <w:szCs w:val="16"/>
        </w:rPr>
      </w:pPr>
    </w:p>
    <w:p>
      <w:pPr>
        <w:spacing w:after="0" w:line="240" w:lineRule="auto"/>
        <w:rPr>
          <w:rFonts w:ascii="Arial" w:hAnsi="Arial" w:cs="Arial" w:eastAsia="Arial" w:hint="default"/>
          <w:sz w:val="16"/>
          <w:szCs w:val="16"/>
        </w:rPr>
        <w:sectPr>
          <w:type w:val="continuous"/>
          <w:pgSz w:w="11910" w:h="16840"/>
          <w:pgMar w:top="900" w:bottom="280" w:left="1560" w:right="1520"/>
        </w:sectPr>
      </w:pPr>
    </w:p>
    <w:p>
      <w:pPr>
        <w:pStyle w:val="BodyText"/>
        <w:tabs>
          <w:tab w:pos="2423" w:val="left" w:leader="none"/>
          <w:tab w:pos="4123" w:val="left" w:leader="none"/>
          <w:tab w:pos="4960" w:val="left" w:leader="none"/>
        </w:tabs>
        <w:spacing w:line="246" w:lineRule="exact" w:before="38"/>
        <w:ind w:left="800" w:right="-6"/>
        <w:jc w:val="left"/>
      </w:pPr>
      <w:r>
        <w:rPr/>
        <w:t>西玛永泰</w:t>
        <w:tab/>
        <w:t>联营企业</w:t>
      </w:r>
      <w:r>
        <w:rPr>
          <w:spacing w:val="-49"/>
        </w:rPr>
        <w:t> </w:t>
      </w:r>
      <w:r>
        <w:rPr/>
        <w:t>北京市</w:t>
        <w:tab/>
        <w:t>王力</w:t>
        <w:tab/>
      </w:r>
      <w:r>
        <w:rPr>
          <w:spacing w:val="5"/>
        </w:rPr>
        <w:t>软件开发、软件销售、系统</w:t>
      </w:r>
    </w:p>
    <w:p>
      <w:pPr>
        <w:pStyle w:val="BodyText"/>
        <w:spacing w:line="211" w:lineRule="auto" w:before="12"/>
        <w:ind w:left="4960" w:right="0"/>
        <w:jc w:val="both"/>
      </w:pPr>
      <w:r>
        <w:rPr>
          <w:spacing w:val="5"/>
        </w:rPr>
        <w:t>集成、软件维护、咨询、培</w:t>
      </w:r>
      <w:r>
        <w:rPr>
          <w:spacing w:val="-87"/>
        </w:rPr>
        <w:t> </w:t>
      </w:r>
      <w:r>
        <w:rPr>
          <w:spacing w:val="-87"/>
        </w:rPr>
      </w:r>
      <w:r>
        <w:rPr>
          <w:spacing w:val="5"/>
        </w:rPr>
        <w:t>训；销售打印纸、磁盘、计</w:t>
      </w:r>
      <w:r>
        <w:rPr>
          <w:spacing w:val="-87"/>
        </w:rPr>
        <w:t> </w:t>
      </w:r>
      <w:r>
        <w:rPr>
          <w:spacing w:val="-87"/>
        </w:rPr>
      </w:r>
      <w:r>
        <w:rPr>
          <w:spacing w:val="5"/>
        </w:rPr>
        <w:t>算机专用账页、账夹、计算</w:t>
      </w:r>
      <w:r>
        <w:rPr>
          <w:spacing w:val="-87"/>
        </w:rPr>
        <w:t> </w:t>
      </w:r>
      <w:r>
        <w:rPr>
          <w:spacing w:val="-87"/>
        </w:rPr>
      </w:r>
      <w:r>
        <w:rPr>
          <w:spacing w:val="5"/>
        </w:rPr>
        <w:t>机及外围设备；计算机软件</w:t>
      </w:r>
      <w:r>
        <w:rPr>
          <w:spacing w:val="-87"/>
        </w:rPr>
        <w:t> </w:t>
      </w:r>
      <w:r>
        <w:rPr>
          <w:spacing w:val="-87"/>
        </w:rPr>
      </w:r>
      <w:r>
        <w:rPr>
          <w:spacing w:val="5"/>
        </w:rPr>
        <w:t>制作；计算机技术服务、技</w:t>
      </w:r>
      <w:r>
        <w:rPr>
          <w:spacing w:val="-87"/>
        </w:rPr>
        <w:t> </w:t>
      </w:r>
      <w:r>
        <w:rPr>
          <w:spacing w:val="-87"/>
        </w:rPr>
      </w:r>
      <w:r>
        <w:rPr/>
        <w:t>术培训。</w:t>
      </w:r>
    </w:p>
    <w:p>
      <w:pPr>
        <w:pStyle w:val="BodyText"/>
        <w:spacing w:line="240" w:lineRule="auto" w:before="84"/>
        <w:ind w:left="443" w:right="0"/>
        <w:jc w:val="left"/>
        <w:rPr>
          <w:rFonts w:ascii="Arial" w:hAnsi="Arial" w:cs="Arial" w:eastAsia="Arial" w:hint="default"/>
        </w:rPr>
      </w:pPr>
      <w:r>
        <w:rPr/>
        <w:br w:type="column"/>
      </w:r>
      <w:r>
        <w:rPr>
          <w:rFonts w:ascii="Arial"/>
        </w:rPr>
        <w:t>500,000</w:t>
      </w:r>
    </w:p>
    <w:p>
      <w:pPr>
        <w:spacing w:after="0" w:line="240" w:lineRule="auto"/>
        <w:jc w:val="left"/>
        <w:rPr>
          <w:rFonts w:ascii="Arial" w:hAnsi="Arial" w:cs="Arial" w:eastAsia="Arial" w:hint="default"/>
        </w:rPr>
        <w:sectPr>
          <w:type w:val="continuous"/>
          <w:pgSz w:w="11910" w:h="16840"/>
          <w:pgMar w:top="900" w:bottom="280" w:left="1560" w:right="1520"/>
          <w:cols w:num="2" w:equalWidth="0">
            <w:col w:w="7435" w:space="40"/>
            <w:col w:w="1355"/>
          </w:cols>
        </w:sectPr>
      </w:pPr>
    </w:p>
    <w:p>
      <w:pPr>
        <w:spacing w:line="240" w:lineRule="auto" w:before="5"/>
        <w:rPr>
          <w:rFonts w:ascii="Arial" w:hAnsi="Arial" w:cs="Arial" w:eastAsia="Arial" w:hint="default"/>
          <w:sz w:val="16"/>
          <w:szCs w:val="16"/>
        </w:rPr>
      </w:pPr>
    </w:p>
    <w:p>
      <w:pPr>
        <w:spacing w:after="0" w:line="240" w:lineRule="auto"/>
        <w:rPr>
          <w:rFonts w:ascii="Arial" w:hAnsi="Arial" w:cs="Arial" w:eastAsia="Arial" w:hint="default"/>
          <w:sz w:val="16"/>
          <w:szCs w:val="16"/>
        </w:rPr>
        <w:sectPr>
          <w:type w:val="continuous"/>
          <w:pgSz w:w="11910" w:h="16840"/>
          <w:pgMar w:top="900" w:bottom="280" w:left="1560" w:right="1520"/>
        </w:sectPr>
      </w:pPr>
    </w:p>
    <w:p>
      <w:pPr>
        <w:pStyle w:val="BodyText"/>
        <w:tabs>
          <w:tab w:pos="2423" w:val="left" w:leader="none"/>
          <w:tab w:pos="4123" w:val="left" w:leader="none"/>
          <w:tab w:pos="4960" w:val="left" w:leader="none"/>
        </w:tabs>
        <w:spacing w:line="245" w:lineRule="exact" w:before="38"/>
        <w:ind w:left="800" w:right="-6"/>
        <w:jc w:val="left"/>
      </w:pPr>
      <w:r>
        <w:rPr/>
        <w:t>用友审计</w:t>
        <w:tab/>
        <w:t>联营企业</w:t>
      </w:r>
      <w:r>
        <w:rPr>
          <w:spacing w:val="-49"/>
        </w:rPr>
        <w:t> </w:t>
      </w:r>
      <w:r>
        <w:rPr/>
        <w:t>北京市</w:t>
        <w:tab/>
        <w:t>郭新平</w:t>
        <w:tab/>
      </w:r>
      <w:r>
        <w:rPr>
          <w:spacing w:val="5"/>
        </w:rPr>
        <w:t>审计及稽查软件的研发、生</w:t>
      </w:r>
    </w:p>
    <w:p>
      <w:pPr>
        <w:pStyle w:val="BodyText"/>
        <w:spacing w:line="230" w:lineRule="exact" w:before="33"/>
        <w:ind w:left="4960" w:right="-6"/>
        <w:jc w:val="left"/>
      </w:pPr>
      <w:r>
        <w:rPr>
          <w:spacing w:val="5"/>
        </w:rPr>
        <w:t>产及销售，以及相关的软件</w:t>
      </w:r>
      <w:r>
        <w:rPr>
          <w:spacing w:val="-87"/>
        </w:rPr>
        <w:t> </w:t>
      </w:r>
      <w:r>
        <w:rPr>
          <w:spacing w:val="-87"/>
        </w:rPr>
      </w:r>
      <w:r>
        <w:rPr/>
        <w:t>技术维护、咨询、培训。</w:t>
      </w:r>
    </w:p>
    <w:p>
      <w:pPr>
        <w:pStyle w:val="BodyText"/>
        <w:spacing w:line="240" w:lineRule="auto" w:before="83"/>
        <w:ind w:left="276" w:right="0"/>
        <w:jc w:val="left"/>
        <w:rPr>
          <w:rFonts w:ascii="Arial" w:hAnsi="Arial" w:cs="Arial" w:eastAsia="Arial" w:hint="default"/>
        </w:rPr>
      </w:pPr>
      <w:r>
        <w:rPr/>
        <w:br w:type="column"/>
      </w:r>
      <w:r>
        <w:rPr>
          <w:rFonts w:ascii="Arial"/>
        </w:rPr>
        <w:t>3,614,458</w:t>
      </w:r>
    </w:p>
    <w:p>
      <w:pPr>
        <w:spacing w:after="0" w:line="240" w:lineRule="auto"/>
        <w:jc w:val="left"/>
        <w:rPr>
          <w:rFonts w:ascii="Arial" w:hAnsi="Arial" w:cs="Arial" w:eastAsia="Arial" w:hint="default"/>
        </w:rPr>
        <w:sectPr>
          <w:type w:val="continuous"/>
          <w:pgSz w:w="11910" w:h="16840"/>
          <w:pgMar w:top="900" w:bottom="280" w:left="1560" w:right="1520"/>
          <w:cols w:num="2" w:equalWidth="0">
            <w:col w:w="7435" w:space="40"/>
            <w:col w:w="1355"/>
          </w:cols>
        </w:sectPr>
      </w:pPr>
    </w:p>
    <w:p>
      <w:pPr>
        <w:spacing w:line="240" w:lineRule="auto" w:before="6"/>
        <w:rPr>
          <w:rFonts w:ascii="Arial" w:hAnsi="Arial" w:cs="Arial" w:eastAsia="Arial" w:hint="default"/>
          <w:sz w:val="14"/>
          <w:szCs w:val="14"/>
        </w:rPr>
      </w:pPr>
    </w:p>
    <w:p>
      <w:pPr>
        <w:pStyle w:val="BodyText"/>
        <w:tabs>
          <w:tab w:pos="4123" w:val="left" w:leader="none"/>
          <w:tab w:pos="4960" w:val="left" w:leader="none"/>
          <w:tab w:pos="7751" w:val="left" w:leader="none"/>
        </w:tabs>
        <w:spacing w:line="240" w:lineRule="auto" w:before="39"/>
        <w:ind w:left="800" w:right="114"/>
        <w:jc w:val="left"/>
        <w:rPr>
          <w:rFonts w:ascii="Arial" w:hAnsi="Arial" w:cs="Arial" w:eastAsia="Arial" w:hint="default"/>
        </w:rPr>
      </w:pPr>
      <w:r>
        <w:rPr/>
        <w:t>上海春元信息技术联营企业</w:t>
      </w:r>
      <w:r>
        <w:rPr>
          <w:spacing w:val="-27"/>
        </w:rPr>
        <w:t> </w:t>
      </w:r>
      <w:r>
        <w:rPr/>
        <w:t>上海市</w:t>
        <w:tab/>
        <w:t>张奇</w:t>
        <w:tab/>
      </w:r>
      <w:r>
        <w:rPr>
          <w:spacing w:val="5"/>
        </w:rPr>
        <w:t>计算机软件和硬件开发与制</w:t>
        <w:tab/>
      </w:r>
      <w:r>
        <w:rPr>
          <w:rFonts w:ascii="Arial" w:hAnsi="Arial" w:cs="Arial" w:eastAsia="Arial" w:hint="default"/>
        </w:rPr>
        <w:t>1,000,000</w:t>
      </w:r>
    </w:p>
    <w:p>
      <w:pPr>
        <w:spacing w:after="0" w:line="240" w:lineRule="auto"/>
        <w:jc w:val="left"/>
        <w:rPr>
          <w:rFonts w:ascii="Arial" w:hAnsi="Arial" w:cs="Arial" w:eastAsia="Arial" w:hint="default"/>
        </w:rPr>
        <w:sectPr>
          <w:type w:val="continuous"/>
          <w:pgSz w:w="11910" w:h="16840"/>
          <w:pgMar w:top="900" w:bottom="280" w:left="1560" w:right="1520"/>
        </w:sectPr>
      </w:pPr>
    </w:p>
    <w:p>
      <w:pPr>
        <w:pStyle w:val="BodyText"/>
        <w:spacing w:line="230" w:lineRule="exact" w:before="4"/>
        <w:ind w:left="893" w:right="-11"/>
        <w:jc w:val="left"/>
        <w:rPr>
          <w:rFonts w:ascii="Arial" w:hAnsi="Arial" w:cs="Arial" w:eastAsia="Arial" w:hint="default"/>
        </w:rPr>
      </w:pPr>
      <w:r>
        <w:rPr>
          <w:spacing w:val="-1"/>
        </w:rPr>
        <w:t>有限公司</w:t>
      </w:r>
      <w:r>
        <w:rPr>
          <w:rFonts w:ascii="Arial" w:hAnsi="Arial" w:cs="Arial" w:eastAsia="Arial" w:hint="default"/>
          <w:spacing w:val="-1"/>
        </w:rPr>
        <w:t>(</w:t>
      </w:r>
      <w:r>
        <w:rPr>
          <w:spacing w:val="-1"/>
        </w:rPr>
        <w:t>以下简</w:t>
      </w:r>
      <w:r>
        <w:rPr>
          <w:spacing w:val="-94"/>
        </w:rPr>
        <w:t> </w:t>
      </w:r>
      <w:r>
        <w:rPr>
          <w:spacing w:val="-94"/>
        </w:rPr>
      </w:r>
      <w:r>
        <w:rPr/>
        <w:t>称</w:t>
      </w:r>
      <w:r>
        <w:rPr>
          <w:rFonts w:ascii="Arial" w:hAnsi="Arial" w:cs="Arial" w:eastAsia="Arial" w:hint="default"/>
        </w:rPr>
        <w:t>“</w:t>
      </w:r>
      <w:r>
        <w:rPr/>
        <w:t>上海春元</w:t>
      </w:r>
      <w:r>
        <w:rPr>
          <w:rFonts w:ascii="Arial" w:hAnsi="Arial" w:cs="Arial" w:eastAsia="Arial" w:hint="default"/>
        </w:rPr>
        <w:t>”)</w:t>
      </w:r>
    </w:p>
    <w:p>
      <w:pPr>
        <w:pStyle w:val="BodyText"/>
        <w:spacing w:line="230" w:lineRule="exact" w:before="4"/>
        <w:ind w:left="893" w:right="1384"/>
        <w:jc w:val="left"/>
      </w:pPr>
      <w:r>
        <w:rPr>
          <w:spacing w:val="5"/>
        </w:rPr>
        <w:br w:type="column"/>
      </w:r>
      <w:r>
        <w:rPr>
          <w:spacing w:val="5"/>
        </w:rPr>
        <w:t>作、销售，电子通信设备的</w:t>
      </w:r>
      <w:r>
        <w:rPr>
          <w:spacing w:val="-87"/>
        </w:rPr>
        <w:t> </w:t>
      </w:r>
      <w:r>
        <w:rPr>
          <w:spacing w:val="-87"/>
        </w:rPr>
      </w:r>
      <w:r>
        <w:rPr>
          <w:spacing w:val="5"/>
        </w:rPr>
        <w:t>销售和维护，提供技术咨询</w:t>
      </w:r>
    </w:p>
    <w:p>
      <w:pPr>
        <w:pStyle w:val="BodyText"/>
        <w:spacing w:line="213" w:lineRule="exact"/>
        <w:ind w:left="893" w:right="1384"/>
        <w:jc w:val="left"/>
      </w:pPr>
      <w:r>
        <w:rPr/>
        <w:t>和技术服务。</w:t>
      </w:r>
    </w:p>
    <w:p>
      <w:pPr>
        <w:spacing w:after="0" w:line="213" w:lineRule="exact"/>
        <w:jc w:val="left"/>
        <w:sectPr>
          <w:type w:val="continuous"/>
          <w:pgSz w:w="11910" w:h="16840"/>
          <w:pgMar w:top="900" w:bottom="280" w:left="1560" w:right="1520"/>
          <w:cols w:num="2" w:equalWidth="0">
            <w:col w:w="2362" w:space="1705"/>
            <w:col w:w="4763"/>
          </w:cols>
        </w:sectPr>
      </w:pPr>
    </w:p>
    <w:p>
      <w:pPr>
        <w:spacing w:line="240" w:lineRule="auto" w:before="13"/>
        <w:rPr>
          <w:rFonts w:ascii="黑体" w:hAnsi="黑体" w:cs="黑体" w:eastAsia="黑体" w:hint="default"/>
          <w:sz w:val="13"/>
          <w:szCs w:val="13"/>
        </w:rPr>
      </w:pPr>
    </w:p>
    <w:p>
      <w:pPr>
        <w:pStyle w:val="BodyText"/>
        <w:tabs>
          <w:tab w:pos="4124" w:val="left" w:leader="none"/>
          <w:tab w:pos="4960" w:val="left" w:leader="none"/>
          <w:tab w:pos="7918" w:val="left" w:leader="none"/>
        </w:tabs>
        <w:spacing w:line="240" w:lineRule="auto" w:before="39"/>
        <w:ind w:left="800" w:right="114"/>
        <w:jc w:val="left"/>
        <w:rPr>
          <w:rFonts w:ascii="Arial" w:hAnsi="Arial" w:cs="Arial" w:eastAsia="Arial" w:hint="default"/>
        </w:rPr>
      </w:pPr>
      <w:r>
        <w:rPr/>
        <w:t>武汉青和诚信科技联营企业</w:t>
      </w:r>
      <w:r>
        <w:rPr>
          <w:spacing w:val="-27"/>
        </w:rPr>
        <w:t> </w:t>
      </w:r>
      <w:r>
        <w:rPr/>
        <w:t>武汉市</w:t>
        <w:tab/>
        <w:t>周宗伟</w:t>
        <w:tab/>
      </w:r>
      <w:r>
        <w:rPr>
          <w:spacing w:val="5"/>
        </w:rPr>
        <w:t>计算机软件的开发和销售；</w:t>
        <w:tab/>
      </w:r>
      <w:r>
        <w:rPr>
          <w:rFonts w:ascii="Arial" w:hAnsi="Arial" w:cs="Arial" w:eastAsia="Arial" w:hint="default"/>
        </w:rPr>
        <w:t>500,000</w:t>
      </w:r>
    </w:p>
    <w:p>
      <w:pPr>
        <w:spacing w:after="0" w:line="240" w:lineRule="auto"/>
        <w:jc w:val="left"/>
        <w:rPr>
          <w:rFonts w:ascii="Arial" w:hAnsi="Arial" w:cs="Arial" w:eastAsia="Arial" w:hint="default"/>
        </w:rPr>
        <w:sectPr>
          <w:type w:val="continuous"/>
          <w:pgSz w:w="11910" w:h="16840"/>
          <w:pgMar w:top="900" w:bottom="280" w:left="1560" w:right="1520"/>
        </w:sectPr>
      </w:pPr>
    </w:p>
    <w:p>
      <w:pPr>
        <w:pStyle w:val="BodyText"/>
        <w:spacing w:line="230" w:lineRule="exact" w:before="4"/>
        <w:ind w:left="893" w:right="-11"/>
        <w:jc w:val="left"/>
        <w:rPr>
          <w:rFonts w:ascii="Arial" w:hAnsi="Arial" w:cs="Arial" w:eastAsia="Arial" w:hint="default"/>
        </w:rPr>
      </w:pPr>
      <w:r>
        <w:rPr>
          <w:spacing w:val="-1"/>
        </w:rPr>
        <w:t>有限公司</w:t>
      </w:r>
      <w:r>
        <w:rPr>
          <w:rFonts w:ascii="Arial" w:hAnsi="Arial" w:cs="Arial" w:eastAsia="Arial" w:hint="default"/>
          <w:spacing w:val="-1"/>
        </w:rPr>
        <w:t>(</w:t>
      </w:r>
      <w:r>
        <w:rPr>
          <w:spacing w:val="-1"/>
        </w:rPr>
        <w:t>以下简</w:t>
      </w:r>
      <w:r>
        <w:rPr>
          <w:spacing w:val="-94"/>
        </w:rPr>
        <w:t> </w:t>
      </w:r>
      <w:r>
        <w:rPr>
          <w:spacing w:val="-94"/>
        </w:rPr>
      </w:r>
      <w:r>
        <w:rPr/>
        <w:t>称</w:t>
      </w:r>
      <w:r>
        <w:rPr>
          <w:rFonts w:ascii="Arial" w:hAnsi="Arial" w:cs="Arial" w:eastAsia="Arial" w:hint="default"/>
        </w:rPr>
        <w:t>“</w:t>
      </w:r>
      <w:r>
        <w:rPr/>
        <w:t>武汉青和</w:t>
      </w:r>
      <w:r>
        <w:rPr>
          <w:rFonts w:ascii="Arial" w:hAnsi="Arial" w:cs="Arial" w:eastAsia="Arial" w:hint="default"/>
        </w:rPr>
        <w:t>”)</w:t>
      </w:r>
    </w:p>
    <w:p>
      <w:pPr>
        <w:pStyle w:val="BodyText"/>
        <w:spacing w:line="230" w:lineRule="exact" w:before="4"/>
        <w:ind w:left="893" w:right="1384"/>
        <w:jc w:val="left"/>
      </w:pPr>
      <w:r>
        <w:rPr>
          <w:spacing w:val="5"/>
        </w:rPr>
        <w:br w:type="column"/>
      </w:r>
      <w:r>
        <w:rPr>
          <w:spacing w:val="5"/>
        </w:rPr>
        <w:t>网络工程维护及计算机技术</w:t>
      </w:r>
      <w:r>
        <w:rPr>
          <w:spacing w:val="-87"/>
        </w:rPr>
        <w:t> </w:t>
      </w:r>
      <w:r>
        <w:rPr>
          <w:spacing w:val="-87"/>
        </w:rPr>
      </w:r>
      <w:r>
        <w:rPr/>
        <w:t>咨询和售后服务。</w:t>
      </w:r>
    </w:p>
    <w:p>
      <w:pPr>
        <w:spacing w:after="0" w:line="230" w:lineRule="exact"/>
        <w:jc w:val="left"/>
        <w:sectPr>
          <w:type w:val="continuous"/>
          <w:pgSz w:w="11910" w:h="16840"/>
          <w:pgMar w:top="900" w:bottom="280" w:left="1560" w:right="1520"/>
          <w:cols w:num="2" w:equalWidth="0">
            <w:col w:w="2362" w:space="1705"/>
            <w:col w:w="4763"/>
          </w:cols>
        </w:sectPr>
      </w:pPr>
    </w:p>
    <w:p>
      <w:pPr>
        <w:spacing w:line="240" w:lineRule="auto" w:before="1"/>
        <w:rPr>
          <w:rFonts w:ascii="黑体" w:hAnsi="黑体" w:cs="黑体" w:eastAsia="黑体" w:hint="default"/>
          <w:sz w:val="19"/>
          <w:szCs w:val="19"/>
        </w:rPr>
      </w:pPr>
    </w:p>
    <w:p>
      <w:pPr>
        <w:pStyle w:val="BodyText"/>
        <w:tabs>
          <w:tab w:pos="4160" w:val="left" w:leader="none"/>
          <w:tab w:pos="4360" w:val="left" w:leader="none"/>
          <w:tab w:pos="5220" w:val="left" w:leader="none"/>
          <w:tab w:pos="5620" w:val="left" w:leader="none"/>
          <w:tab w:pos="6636" w:val="left" w:leader="none"/>
          <w:tab w:pos="6837" w:val="left" w:leader="none"/>
          <w:tab w:pos="8057" w:val="left" w:leader="none"/>
        </w:tabs>
        <w:spacing w:line="260" w:lineRule="exact" w:before="64"/>
        <w:ind w:left="3093" w:right="162" w:hanging="201"/>
        <w:jc w:val="left"/>
      </w:pPr>
      <w:r>
        <w:rPr/>
        <w:t>资产总额</w:t>
        <w:tab/>
        <w:t>负债总额</w:t>
        <w:tab/>
      </w:r>
      <w:r>
        <w:rPr>
          <w:spacing w:val="-1"/>
        </w:rPr>
        <w:t>净资产总额</w:t>
        <w:tab/>
      </w:r>
      <w:r>
        <w:rPr/>
        <w:t>营业收入</w:t>
      </w:r>
      <w:r>
        <w:rPr>
          <w:spacing w:val="-59"/>
        </w:rPr>
        <w:t> </w:t>
      </w:r>
      <w:r>
        <w:rPr>
          <w:spacing w:val="-1"/>
        </w:rPr>
        <w:t>净利润</w:t>
      </w:r>
      <w:r>
        <w:rPr>
          <w:rFonts w:ascii="Arial" w:hAnsi="Arial" w:cs="Arial" w:eastAsia="Arial" w:hint="default"/>
          <w:spacing w:val="-1"/>
        </w:rPr>
        <w:t>/(</w:t>
      </w:r>
      <w:r>
        <w:rPr>
          <w:spacing w:val="-1"/>
        </w:rPr>
        <w:t>亏损</w:t>
      </w:r>
      <w:r>
        <w:rPr>
          <w:rFonts w:ascii="Arial" w:hAnsi="Arial" w:cs="Arial" w:eastAsia="Arial" w:hint="default"/>
          <w:spacing w:val="-1"/>
        </w:rPr>
        <w:t>)</w:t>
      </w:r>
      <w:r>
        <w:rPr>
          <w:rFonts w:ascii="Arial" w:hAnsi="Arial" w:cs="Arial" w:eastAsia="Arial" w:hint="default"/>
          <w:w w:val="100"/>
        </w:rPr>
        <w:t> </w:t>
      </w:r>
      <w:r>
        <w:rPr/>
        <w:t>年末数</w:t>
        <w:tab/>
        <w:tab/>
        <w:t>年末数</w:t>
        <w:tab/>
        <w:tab/>
        <w:t>年末数</w:t>
        <w:tab/>
        <w:tab/>
        <w:t>本年数</w:t>
        <w:tab/>
        <w:t>本年数</w:t>
      </w:r>
    </w:p>
    <w:p>
      <w:pPr>
        <w:spacing w:line="240" w:lineRule="auto" w:before="6"/>
        <w:rPr>
          <w:rFonts w:ascii="黑体" w:hAnsi="黑体" w:cs="黑体" w:eastAsia="黑体" w:hint="default"/>
          <w:sz w:val="25"/>
          <w:szCs w:val="25"/>
        </w:rPr>
      </w:pPr>
    </w:p>
    <w:p>
      <w:pPr>
        <w:pStyle w:val="BodyText"/>
        <w:tabs>
          <w:tab w:pos="2693" w:val="left" w:leader="none"/>
          <w:tab w:pos="4071" w:val="left" w:leader="none"/>
          <w:tab w:pos="5220" w:val="left" w:leader="none"/>
          <w:tab w:pos="6436" w:val="left" w:leader="none"/>
          <w:tab w:pos="7656" w:val="left" w:leader="none"/>
        </w:tabs>
        <w:spacing w:line="240" w:lineRule="auto"/>
        <w:ind w:left="770" w:right="114"/>
        <w:jc w:val="left"/>
        <w:rPr>
          <w:rFonts w:ascii="Arial" w:hAnsi="Arial" w:cs="Arial" w:eastAsia="Arial" w:hint="default"/>
        </w:rPr>
      </w:pPr>
      <w:r>
        <w:rPr>
          <w:position w:val="1"/>
        </w:rPr>
        <w:t>用友致远</w:t>
        <w:tab/>
      </w:r>
      <w:r>
        <w:rPr>
          <w:rFonts w:ascii="Arial" w:hAnsi="Arial" w:cs="Arial" w:eastAsia="Arial" w:hint="default"/>
          <w:spacing w:val="-1"/>
        </w:rPr>
        <w:t>40,184,876</w:t>
        <w:tab/>
        <w:t>6,533,420</w:t>
        <w:tab/>
        <w:t>33,651,456</w:t>
        <w:tab/>
        <w:t>47,441,002</w:t>
        <w:tab/>
        <w:t>10,748,476</w:t>
      </w:r>
    </w:p>
    <w:p>
      <w:pPr>
        <w:pStyle w:val="BodyText"/>
        <w:tabs>
          <w:tab w:pos="2693" w:val="left" w:leader="none"/>
          <w:tab w:pos="4071" w:val="left" w:leader="none"/>
          <w:tab w:pos="5331" w:val="left" w:leader="none"/>
          <w:tab w:pos="6436" w:val="left" w:leader="none"/>
          <w:tab w:pos="7768" w:val="left" w:leader="none"/>
        </w:tabs>
        <w:spacing w:line="240" w:lineRule="auto" w:before="74"/>
        <w:ind w:left="770" w:right="114"/>
        <w:jc w:val="left"/>
        <w:rPr>
          <w:rFonts w:ascii="Arial" w:hAnsi="Arial" w:cs="Arial" w:eastAsia="Arial" w:hint="default"/>
        </w:rPr>
      </w:pPr>
      <w:r>
        <w:rPr>
          <w:spacing w:val="-1"/>
          <w:position w:val="1"/>
        </w:rPr>
        <w:t>用友商用表单</w:t>
        <w:tab/>
      </w:r>
      <w:r>
        <w:rPr>
          <w:rFonts w:ascii="Arial" w:hAnsi="Arial" w:cs="Arial" w:eastAsia="Arial" w:hint="default"/>
          <w:spacing w:val="-1"/>
        </w:rPr>
        <w:t>16,120,403</w:t>
        <w:tab/>
        <w:t>9,059,894</w:t>
        <w:tab/>
        <w:t>7,060,509</w:t>
        <w:tab/>
        <w:t>32,580,945</w:t>
        <w:tab/>
        <w:t>3,150,063</w:t>
      </w:r>
    </w:p>
    <w:p>
      <w:pPr>
        <w:pStyle w:val="BodyText"/>
        <w:tabs>
          <w:tab w:pos="2804" w:val="left" w:leader="none"/>
          <w:tab w:pos="4348" w:val="left" w:leader="none"/>
          <w:tab w:pos="5331" w:val="left" w:leader="none"/>
          <w:tab w:pos="7104" w:val="left" w:leader="none"/>
          <w:tab w:pos="7932" w:val="left" w:leader="none"/>
        </w:tabs>
        <w:spacing w:line="240" w:lineRule="auto" w:before="74"/>
        <w:ind w:left="770" w:right="0"/>
        <w:jc w:val="left"/>
        <w:rPr>
          <w:rFonts w:ascii="Arial" w:hAnsi="Arial" w:cs="Arial" w:eastAsia="Arial" w:hint="default"/>
        </w:rPr>
      </w:pPr>
      <w:r>
        <w:rPr>
          <w:position w:val="1"/>
        </w:rPr>
        <w:t>西玛永泰</w:t>
        <w:tab/>
      </w:r>
      <w:r>
        <w:rPr>
          <w:rFonts w:ascii="Arial" w:hAnsi="Arial" w:cs="Arial" w:eastAsia="Arial" w:hint="default"/>
          <w:spacing w:val="-1"/>
        </w:rPr>
        <w:t>2,402,261</w:t>
        <w:tab/>
      </w:r>
      <w:r>
        <w:rPr>
          <w:rFonts w:ascii="Arial" w:hAnsi="Arial" w:cs="Arial" w:eastAsia="Arial" w:hint="default"/>
        </w:rPr>
        <w:t>83,969</w:t>
        <w:tab/>
      </w:r>
      <w:r>
        <w:rPr>
          <w:rFonts w:ascii="Arial" w:hAnsi="Arial" w:cs="Arial" w:eastAsia="Arial" w:hint="default"/>
          <w:spacing w:val="-1"/>
        </w:rPr>
        <w:t>2,318,292</w:t>
        <w:tab/>
      </w:r>
      <w:r>
        <w:rPr>
          <w:rFonts w:ascii="Arial" w:hAnsi="Arial" w:cs="Arial" w:eastAsia="Arial" w:hint="default"/>
        </w:rPr>
        <w:t>234 </w:t>
      </w:r>
      <w:r>
        <w:rPr>
          <w:rFonts w:ascii="Arial" w:hAnsi="Arial" w:cs="Arial" w:eastAsia="Arial" w:hint="default"/>
          <w:spacing w:val="17"/>
        </w:rPr>
        <w:t> </w:t>
      </w:r>
      <w:r>
        <w:rPr>
          <w:rFonts w:ascii="Arial" w:hAnsi="Arial" w:cs="Arial" w:eastAsia="Arial" w:hint="default"/>
        </w:rPr>
        <w:t>(</w:t>
        <w:tab/>
      </w:r>
      <w:r>
        <w:rPr>
          <w:rFonts w:ascii="Arial" w:hAnsi="Arial" w:cs="Arial" w:eastAsia="Arial" w:hint="default"/>
          <w:spacing w:val="-1"/>
        </w:rPr>
        <w:t>485,946)</w:t>
      </w:r>
    </w:p>
    <w:p>
      <w:pPr>
        <w:pStyle w:val="BodyText"/>
        <w:tabs>
          <w:tab w:pos="2804" w:val="left" w:leader="none"/>
          <w:tab w:pos="4071" w:val="left" w:leader="none"/>
          <w:tab w:pos="5331" w:val="left" w:leader="none"/>
          <w:tab w:pos="6548" w:val="left" w:leader="none"/>
        </w:tabs>
        <w:spacing w:line="240" w:lineRule="auto" w:before="74"/>
        <w:ind w:left="770" w:right="0"/>
        <w:jc w:val="left"/>
        <w:rPr>
          <w:rFonts w:ascii="Arial" w:hAnsi="Arial" w:cs="Arial" w:eastAsia="Arial" w:hint="default"/>
        </w:rPr>
      </w:pPr>
      <w:r>
        <w:rPr>
          <w:position w:val="1"/>
        </w:rPr>
        <w:t>用友审计</w:t>
        <w:tab/>
      </w:r>
      <w:r>
        <w:rPr>
          <w:rFonts w:ascii="Arial" w:hAnsi="Arial" w:cs="Arial" w:eastAsia="Arial" w:hint="default"/>
          <w:spacing w:val="-1"/>
        </w:rPr>
        <w:t>5,097,381</w:t>
        <w:tab/>
        <w:t>3,456,534</w:t>
        <w:tab/>
        <w:t>1,640,847</w:t>
        <w:tab/>
        <w:t>9,135,950</w:t>
      </w:r>
      <w:r>
        <w:rPr>
          <w:rFonts w:ascii="Arial" w:hAnsi="Arial" w:cs="Arial" w:eastAsia="Arial" w:hint="default"/>
        </w:rPr>
        <w:t>   (</w:t>
      </w:r>
      <w:r>
        <w:rPr>
          <w:rFonts w:ascii="Arial" w:hAnsi="Arial" w:cs="Arial" w:eastAsia="Arial" w:hint="default"/>
          <w:spacing w:val="52"/>
        </w:rPr>
        <w:t> </w:t>
      </w:r>
      <w:r>
        <w:rPr>
          <w:rFonts w:ascii="Arial" w:hAnsi="Arial" w:cs="Arial" w:eastAsia="Arial" w:hint="default"/>
          <w:spacing w:val="-1"/>
        </w:rPr>
        <w:t>2,142,732)</w:t>
      </w:r>
    </w:p>
    <w:p>
      <w:pPr>
        <w:pStyle w:val="BodyText"/>
        <w:tabs>
          <w:tab w:pos="2971" w:val="left" w:leader="none"/>
          <w:tab w:pos="4894" w:val="left" w:leader="none"/>
          <w:tab w:pos="5498" w:val="left" w:leader="none"/>
          <w:tab w:pos="6715" w:val="left" w:leader="none"/>
          <w:tab w:pos="7932" w:val="left" w:leader="none"/>
        </w:tabs>
        <w:spacing w:line="240" w:lineRule="auto" w:before="74"/>
        <w:ind w:left="770" w:right="0"/>
        <w:jc w:val="left"/>
        <w:rPr>
          <w:rFonts w:ascii="Arial" w:hAnsi="Arial" w:cs="Arial" w:eastAsia="Arial" w:hint="default"/>
        </w:rPr>
      </w:pPr>
      <w:r>
        <w:rPr>
          <w:position w:val="1"/>
        </w:rPr>
        <w:t>上海春元</w:t>
        <w:tab/>
      </w:r>
      <w:r>
        <w:rPr>
          <w:rFonts w:ascii="Arial" w:hAnsi="Arial" w:cs="Arial" w:eastAsia="Arial" w:hint="default"/>
          <w:spacing w:val="-1"/>
        </w:rPr>
        <w:t>578,844</w:t>
        <w:tab/>
      </w:r>
      <w:r>
        <w:rPr>
          <w:rFonts w:ascii="Arial" w:hAnsi="Arial" w:cs="Arial" w:eastAsia="Arial" w:hint="default"/>
        </w:rPr>
        <w:t>-</w:t>
        <w:tab/>
      </w:r>
      <w:r>
        <w:rPr>
          <w:rFonts w:ascii="Arial" w:hAnsi="Arial" w:cs="Arial" w:eastAsia="Arial" w:hint="default"/>
          <w:spacing w:val="-1"/>
        </w:rPr>
        <w:t>578,844</w:t>
        <w:tab/>
        <w:t>100,000</w:t>
      </w:r>
      <w:r>
        <w:rPr>
          <w:rFonts w:ascii="Arial" w:hAnsi="Arial" w:cs="Arial" w:eastAsia="Arial" w:hint="default"/>
        </w:rPr>
        <w:t> </w:t>
      </w:r>
      <w:r>
        <w:rPr>
          <w:rFonts w:ascii="Arial" w:hAnsi="Arial" w:cs="Arial" w:eastAsia="Arial" w:hint="default"/>
          <w:spacing w:val="23"/>
        </w:rPr>
        <w:t> </w:t>
      </w:r>
      <w:r>
        <w:rPr>
          <w:rFonts w:ascii="Arial" w:hAnsi="Arial" w:cs="Arial" w:eastAsia="Arial" w:hint="default"/>
        </w:rPr>
        <w:t>(</w:t>
        <w:tab/>
      </w:r>
      <w:r>
        <w:rPr>
          <w:rFonts w:ascii="Arial" w:hAnsi="Arial" w:cs="Arial" w:eastAsia="Arial" w:hint="default"/>
          <w:spacing w:val="-1"/>
        </w:rPr>
        <w:t>303,881)</w:t>
      </w:r>
    </w:p>
    <w:p>
      <w:pPr>
        <w:pStyle w:val="BodyText"/>
        <w:tabs>
          <w:tab w:pos="2804" w:val="left" w:leader="none"/>
          <w:tab w:pos="4238" w:val="left" w:leader="none"/>
          <w:tab w:pos="5498" w:val="left" w:leader="none"/>
          <w:tab w:pos="6547" w:val="left" w:leader="none"/>
          <w:tab w:pos="7935" w:val="left" w:leader="none"/>
        </w:tabs>
        <w:spacing w:line="240" w:lineRule="auto" w:before="74"/>
        <w:ind w:left="770" w:right="114"/>
        <w:jc w:val="left"/>
        <w:rPr>
          <w:rFonts w:ascii="Arial" w:hAnsi="Arial" w:cs="Arial" w:eastAsia="Arial" w:hint="default"/>
        </w:rPr>
      </w:pPr>
      <w:r>
        <w:rPr>
          <w:position w:val="1"/>
        </w:rPr>
        <w:t>武汉青和</w:t>
        <w:tab/>
      </w:r>
      <w:r>
        <w:rPr>
          <w:rFonts w:ascii="Arial" w:hAnsi="Arial" w:cs="Arial" w:eastAsia="Arial" w:hint="default"/>
          <w:spacing w:val="-1"/>
        </w:rPr>
        <w:t>1,176,119</w:t>
        <w:tab/>
        <w:t>493,767</w:t>
        <w:tab/>
        <w:t>682,352</w:t>
        <w:tab/>
        <w:t>1,735,390</w:t>
        <w:tab/>
        <w:t>457,579</w:t>
      </w:r>
    </w:p>
    <w:p>
      <w:pPr>
        <w:spacing w:after="0" w:line="240" w:lineRule="auto"/>
        <w:jc w:val="left"/>
        <w:rPr>
          <w:rFonts w:ascii="Arial" w:hAnsi="Arial" w:cs="Arial" w:eastAsia="Arial" w:hint="default"/>
        </w:rPr>
        <w:sectPr>
          <w:type w:val="continuous"/>
          <w:pgSz w:w="11910" w:h="16840"/>
          <w:pgMar w:top="900" w:bottom="280" w:left="1560" w:right="1520"/>
        </w:sectPr>
      </w:pPr>
    </w:p>
    <w:p>
      <w:pPr>
        <w:spacing w:line="240" w:lineRule="auto" w:before="9"/>
        <w:rPr>
          <w:rFonts w:ascii="Arial" w:hAnsi="Arial" w:cs="Arial" w:eastAsia="Arial" w:hint="default"/>
          <w:sz w:val="21"/>
          <w:szCs w:val="21"/>
        </w:rPr>
      </w:pPr>
    </w:p>
    <w:p>
      <w:pPr>
        <w:tabs>
          <w:tab w:pos="815" w:val="left" w:leader="none"/>
        </w:tabs>
        <w:spacing w:before="38"/>
        <w:ind w:left="113"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5"/>
          <w:szCs w:val="15"/>
        </w:rPr>
      </w:pPr>
    </w:p>
    <w:p>
      <w:pPr>
        <w:tabs>
          <w:tab w:pos="833" w:val="left" w:leader="none"/>
        </w:tabs>
        <w:spacing w:before="0"/>
        <w:ind w:left="113" w:right="0" w:firstLine="0"/>
        <w:jc w:val="left"/>
        <w:rPr>
          <w:rFonts w:ascii="黑体" w:hAnsi="黑体" w:cs="黑体" w:eastAsia="黑体" w:hint="default"/>
          <w:sz w:val="20"/>
          <w:szCs w:val="20"/>
        </w:rPr>
      </w:pPr>
      <w:r>
        <w:rPr>
          <w:rFonts w:ascii="Arial" w:hAnsi="Arial" w:cs="Arial" w:eastAsia="Arial" w:hint="default"/>
          <w:b/>
          <w:bCs/>
          <w:spacing w:val="-1"/>
          <w:sz w:val="20"/>
          <w:szCs w:val="20"/>
        </w:rPr>
        <w:t>11.</w:t>
        <w:tab/>
      </w:r>
      <w:r>
        <w:rPr>
          <w:rFonts w:ascii="黑体" w:hAnsi="黑体" w:cs="黑体" w:eastAsia="黑体" w:hint="default"/>
          <w:b/>
          <w:bCs/>
          <w:sz w:val="20"/>
          <w:szCs w:val="20"/>
        </w:rPr>
        <w:t>长期股权投资</w:t>
      </w:r>
      <w:r>
        <w:rPr>
          <w:rFonts w:ascii="黑体" w:hAnsi="黑体" w:cs="黑体" w:eastAsia="黑体" w:hint="default"/>
          <w:sz w:val="20"/>
          <w:szCs w:val="20"/>
        </w:rPr>
      </w:r>
    </w:p>
    <w:p>
      <w:pPr>
        <w:spacing w:line="240" w:lineRule="auto" w:before="2"/>
        <w:rPr>
          <w:rFonts w:ascii="黑体" w:hAnsi="黑体" w:cs="黑体" w:eastAsia="黑体" w:hint="default"/>
          <w:b/>
          <w:bCs/>
          <w:sz w:val="14"/>
          <w:szCs w:val="14"/>
        </w:rPr>
      </w:pPr>
    </w:p>
    <w:p>
      <w:pPr>
        <w:pStyle w:val="BodyText"/>
        <w:spacing w:line="240" w:lineRule="auto"/>
        <w:ind w:left="113" w:right="0"/>
        <w:jc w:val="left"/>
      </w:pPr>
      <w:r>
        <w:rPr>
          <w:rFonts w:ascii="Arial" w:hAnsi="Arial" w:cs="Arial" w:eastAsia="Arial" w:hint="default"/>
        </w:rPr>
        <w:t>2009</w:t>
      </w:r>
      <w:r>
        <w:rPr/>
        <w:t>年</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14"/>
          <w:szCs w:val="14"/>
        </w:rPr>
      </w:pPr>
    </w:p>
    <w:p>
      <w:pPr>
        <w:spacing w:line="261" w:lineRule="auto" w:before="0"/>
        <w:ind w:left="296" w:right="13504" w:hanging="182"/>
        <w:jc w:val="left"/>
        <w:rPr>
          <w:rFonts w:ascii="黑体" w:hAnsi="黑体" w:cs="黑体" w:eastAsia="黑体" w:hint="default"/>
          <w:sz w:val="18"/>
          <w:szCs w:val="18"/>
        </w:rPr>
      </w:pPr>
      <w:r>
        <w:rPr/>
        <w:pict>
          <v:shape style="position:absolute;margin-left:220.7836pt;margin-top:-27.719641pt;width:569.8pt;height:135.15pt;mso-position-horizontal-relative:page;mso-position-vertical-relative:paragraph;z-index:17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74"/>
                    <w:gridCol w:w="1373"/>
                    <w:gridCol w:w="1553"/>
                    <w:gridCol w:w="1363"/>
                    <w:gridCol w:w="1045"/>
                    <w:gridCol w:w="1315"/>
                    <w:gridCol w:w="1010"/>
                    <w:gridCol w:w="1451"/>
                    <w:gridCol w:w="912"/>
                  </w:tblGrid>
                  <w:tr>
                    <w:trPr>
                      <w:trHeight w:val="845" w:hRule="exact"/>
                    </w:trPr>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56"/>
                          <w:jc w:val="right"/>
                          <w:rPr>
                            <w:rFonts w:ascii="黑体" w:hAnsi="黑体" w:cs="黑体" w:eastAsia="黑体" w:hint="default"/>
                            <w:sz w:val="18"/>
                            <w:szCs w:val="18"/>
                          </w:rPr>
                        </w:pPr>
                        <w:r>
                          <w:rPr>
                            <w:rFonts w:ascii="黑体" w:hAnsi="黑体" w:cs="黑体" w:eastAsia="黑体" w:hint="default"/>
                            <w:sz w:val="18"/>
                            <w:szCs w:val="18"/>
                          </w:rPr>
                          <w:t>初始投资成本</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12"/>
                          <w:jc w:val="right"/>
                          <w:rPr>
                            <w:rFonts w:ascii="黑体" w:hAnsi="黑体" w:cs="黑体" w:eastAsia="黑体" w:hint="default"/>
                            <w:sz w:val="18"/>
                            <w:szCs w:val="18"/>
                          </w:rPr>
                        </w:pPr>
                        <w:r>
                          <w:rPr>
                            <w:rFonts w:ascii="黑体" w:hAnsi="黑体" w:cs="黑体" w:eastAsia="黑体" w:hint="default"/>
                            <w:sz w:val="18"/>
                            <w:szCs w:val="18"/>
                          </w:rPr>
                          <w:t>年初数</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48"/>
                          <w:jc w:val="right"/>
                          <w:rPr>
                            <w:rFonts w:ascii="黑体" w:hAnsi="黑体" w:cs="黑体" w:eastAsia="黑体" w:hint="default"/>
                            <w:sz w:val="18"/>
                            <w:szCs w:val="18"/>
                          </w:rPr>
                        </w:pPr>
                        <w:r>
                          <w:rPr>
                            <w:rFonts w:ascii="黑体" w:hAnsi="黑体" w:cs="黑体" w:eastAsia="黑体" w:hint="default"/>
                            <w:sz w:val="18"/>
                            <w:szCs w:val="18"/>
                          </w:rPr>
                          <w:t>本年增减</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53"/>
                          <w:jc w:val="right"/>
                          <w:rPr>
                            <w:rFonts w:ascii="黑体" w:hAnsi="黑体" w:cs="黑体" w:eastAsia="黑体" w:hint="default"/>
                            <w:sz w:val="18"/>
                            <w:szCs w:val="18"/>
                          </w:rPr>
                        </w:pPr>
                        <w:r>
                          <w:rPr>
                            <w:rFonts w:ascii="黑体" w:hAnsi="黑体" w:cs="黑体" w:eastAsia="黑体" w:hint="default"/>
                            <w:sz w:val="18"/>
                            <w:szCs w:val="18"/>
                          </w:rPr>
                          <w:t>年末数</w:t>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5" w:right="0"/>
                          <w:jc w:val="left"/>
                          <w:rPr>
                            <w:rFonts w:ascii="黑体" w:hAnsi="黑体" w:cs="黑体" w:eastAsia="黑体" w:hint="default"/>
                            <w:sz w:val="18"/>
                            <w:szCs w:val="18"/>
                          </w:rPr>
                        </w:pPr>
                        <w:r>
                          <w:rPr>
                            <w:rFonts w:ascii="黑体" w:hAnsi="黑体" w:cs="黑体" w:eastAsia="黑体" w:hint="default"/>
                            <w:sz w:val="18"/>
                            <w:szCs w:val="18"/>
                          </w:rPr>
                          <w:t>持股比例</w:t>
                        </w:r>
                      </w:p>
                      <w:p>
                        <w:pPr>
                          <w:pStyle w:val="TableParagraph"/>
                          <w:spacing w:line="240" w:lineRule="auto" w:before="60"/>
                          <w:ind w:left="595" w:right="0"/>
                          <w:jc w:val="left"/>
                          <w:rPr>
                            <w:rFonts w:ascii="Arial" w:hAnsi="Arial" w:cs="Arial" w:eastAsia="Arial" w:hint="default"/>
                            <w:sz w:val="18"/>
                            <w:szCs w:val="18"/>
                          </w:rPr>
                        </w:pPr>
                        <w:r>
                          <w:rPr>
                            <w:rFonts w:ascii="Arial"/>
                            <w:sz w:val="18"/>
                          </w:rPr>
                          <w:t>(%)</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69" w:right="0"/>
                          <w:jc w:val="left"/>
                          <w:rPr>
                            <w:rFonts w:ascii="黑体" w:hAnsi="黑体" w:cs="黑体" w:eastAsia="黑体" w:hint="default"/>
                            <w:sz w:val="18"/>
                            <w:szCs w:val="18"/>
                          </w:rPr>
                        </w:pPr>
                        <w:r>
                          <w:rPr>
                            <w:rFonts w:ascii="黑体" w:hAnsi="黑体" w:cs="黑体" w:eastAsia="黑体" w:hint="default"/>
                            <w:sz w:val="18"/>
                            <w:szCs w:val="18"/>
                          </w:rPr>
                          <w:t>表决权比例</w:t>
                        </w:r>
                      </w:p>
                      <w:p>
                        <w:pPr>
                          <w:pStyle w:val="TableParagraph"/>
                          <w:spacing w:line="240" w:lineRule="auto" w:before="60"/>
                          <w:ind w:left="789" w:right="0"/>
                          <w:jc w:val="left"/>
                          <w:rPr>
                            <w:rFonts w:ascii="Arial" w:hAnsi="Arial" w:cs="Arial" w:eastAsia="Arial" w:hint="default"/>
                            <w:sz w:val="18"/>
                            <w:szCs w:val="18"/>
                          </w:rPr>
                        </w:pPr>
                        <w:r>
                          <w:rPr>
                            <w:rFonts w:ascii="Arial"/>
                            <w:sz w:val="18"/>
                          </w:rPr>
                          <w:t>(%)</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2"/>
                          <w:jc w:val="right"/>
                          <w:rPr>
                            <w:rFonts w:ascii="黑体" w:hAnsi="黑体" w:cs="黑体" w:eastAsia="黑体" w:hint="default"/>
                            <w:sz w:val="18"/>
                            <w:szCs w:val="18"/>
                          </w:rPr>
                        </w:pPr>
                        <w:r>
                          <w:rPr>
                            <w:rFonts w:ascii="黑体" w:hAnsi="黑体" w:cs="黑体" w:eastAsia="黑体" w:hint="default"/>
                            <w:sz w:val="18"/>
                            <w:szCs w:val="18"/>
                          </w:rPr>
                          <w:t>减值准备</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4" w:right="0"/>
                          <w:jc w:val="left"/>
                          <w:rPr>
                            <w:rFonts w:ascii="Arial" w:hAnsi="Arial" w:cs="Arial" w:eastAsia="Arial" w:hint="default"/>
                            <w:sz w:val="18"/>
                            <w:szCs w:val="18"/>
                          </w:rPr>
                        </w:pPr>
                        <w:r>
                          <w:rPr>
                            <w:rFonts w:ascii="黑体" w:hAnsi="黑体" w:cs="黑体" w:eastAsia="黑体" w:hint="default"/>
                            <w:sz w:val="18"/>
                            <w:szCs w:val="18"/>
                          </w:rPr>
                          <w:t>本年计提</w:t>
                        </w:r>
                        <w:r>
                          <w:rPr>
                            <w:rFonts w:ascii="Arial" w:hAnsi="Arial" w:cs="Arial" w:eastAsia="Arial" w:hint="default"/>
                            <w:sz w:val="18"/>
                            <w:szCs w:val="18"/>
                          </w:rPr>
                          <w:t>/(</w:t>
                        </w:r>
                        <w:r>
                          <w:rPr>
                            <w:rFonts w:ascii="黑体" w:hAnsi="黑体" w:cs="黑体" w:eastAsia="黑体" w:hint="default"/>
                            <w:sz w:val="18"/>
                            <w:szCs w:val="18"/>
                          </w:rPr>
                          <w:t>转销</w:t>
                        </w:r>
                        <w:r>
                          <w:rPr>
                            <w:rFonts w:ascii="Arial" w:hAnsi="Arial" w:cs="Arial" w:eastAsia="Arial" w:hint="default"/>
                            <w:sz w:val="18"/>
                            <w:szCs w:val="18"/>
                          </w:rPr>
                          <w:t>)</w:t>
                        </w:r>
                      </w:p>
                      <w:p>
                        <w:pPr>
                          <w:pStyle w:val="TableParagraph"/>
                          <w:spacing w:line="240" w:lineRule="auto" w:before="6"/>
                          <w:ind w:left="574" w:right="0"/>
                          <w:jc w:val="left"/>
                          <w:rPr>
                            <w:rFonts w:ascii="黑体" w:hAnsi="黑体" w:cs="黑体" w:eastAsia="黑体" w:hint="default"/>
                            <w:sz w:val="18"/>
                            <w:szCs w:val="18"/>
                          </w:rPr>
                        </w:pPr>
                        <w:r>
                          <w:rPr>
                            <w:rFonts w:ascii="黑体" w:hAnsi="黑体" w:cs="黑体" w:eastAsia="黑体" w:hint="default"/>
                            <w:sz w:val="18"/>
                            <w:szCs w:val="18"/>
                          </w:rPr>
                          <w:t>减值准备</w:t>
                        </w:r>
                      </w:p>
                    </w:tc>
                    <w:tc>
                      <w:tcPr>
                        <w:tcW w:w="912" w:type="dxa"/>
                        <w:tcBorders>
                          <w:top w:val="nil" w:sz="6" w:space="0" w:color="auto"/>
                          <w:left w:val="nil" w:sz="6" w:space="0" w:color="auto"/>
                          <w:bottom w:val="nil" w:sz="6" w:space="0" w:color="auto"/>
                          <w:right w:val="nil" w:sz="6" w:space="0" w:color="auto"/>
                        </w:tcBorders>
                      </w:tcPr>
                      <w:p>
                        <w:pPr>
                          <w:pStyle w:val="TableParagraph"/>
                          <w:spacing w:line="259" w:lineRule="auto" w:before="44"/>
                          <w:ind w:left="156" w:right="33" w:firstLine="360"/>
                          <w:jc w:val="left"/>
                          <w:rPr>
                            <w:rFonts w:ascii="黑体" w:hAnsi="黑体" w:cs="黑体" w:eastAsia="黑体" w:hint="default"/>
                            <w:sz w:val="18"/>
                            <w:szCs w:val="18"/>
                          </w:rPr>
                        </w:pPr>
                        <w:r>
                          <w:rPr>
                            <w:rFonts w:ascii="黑体" w:hAnsi="黑体" w:cs="黑体" w:eastAsia="黑体" w:hint="default"/>
                            <w:sz w:val="18"/>
                            <w:szCs w:val="18"/>
                          </w:rPr>
                          <w:t>本年 现金红利</w:t>
                        </w:r>
                      </w:p>
                    </w:tc>
                  </w:tr>
                  <w:tr>
                    <w:trPr>
                      <w:trHeight w:val="519" w:hRule="exact"/>
                    </w:trPr>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1"/>
                            <w:szCs w:val="21"/>
                          </w:rPr>
                        </w:pPr>
                      </w:p>
                      <w:p>
                        <w:pPr>
                          <w:pStyle w:val="TableParagraph"/>
                          <w:spacing w:line="240" w:lineRule="auto"/>
                          <w:ind w:right="256"/>
                          <w:jc w:val="right"/>
                          <w:rPr>
                            <w:rFonts w:ascii="Arial" w:hAnsi="Arial" w:cs="Arial" w:eastAsia="Arial" w:hint="default"/>
                            <w:sz w:val="18"/>
                            <w:szCs w:val="18"/>
                          </w:rPr>
                        </w:pPr>
                        <w:r>
                          <w:rPr>
                            <w:rFonts w:ascii="Arial"/>
                            <w:spacing w:val="-1"/>
                            <w:sz w:val="18"/>
                          </w:rPr>
                          <w:t>1,500,000</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1"/>
                            <w:szCs w:val="21"/>
                          </w:rPr>
                        </w:pPr>
                      </w:p>
                      <w:p>
                        <w:pPr>
                          <w:pStyle w:val="TableParagraph"/>
                          <w:spacing w:line="240" w:lineRule="auto"/>
                          <w:ind w:right="212"/>
                          <w:jc w:val="right"/>
                          <w:rPr>
                            <w:rFonts w:ascii="Arial" w:hAnsi="Arial" w:cs="Arial" w:eastAsia="Arial" w:hint="default"/>
                            <w:sz w:val="18"/>
                            <w:szCs w:val="18"/>
                          </w:rPr>
                        </w:pPr>
                        <w:r>
                          <w:rPr>
                            <w:rFonts w:ascii="Arial"/>
                            <w:spacing w:val="-1"/>
                            <w:sz w:val="18"/>
                          </w:rPr>
                          <w:t>10,059,881</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1"/>
                            <w:szCs w:val="21"/>
                          </w:rPr>
                        </w:pPr>
                      </w:p>
                      <w:p>
                        <w:pPr>
                          <w:pStyle w:val="TableParagraph"/>
                          <w:spacing w:line="240" w:lineRule="auto"/>
                          <w:ind w:right="348"/>
                          <w:jc w:val="right"/>
                          <w:rPr>
                            <w:rFonts w:ascii="Arial" w:hAnsi="Arial" w:cs="Arial" w:eastAsia="Arial" w:hint="default"/>
                            <w:sz w:val="18"/>
                            <w:szCs w:val="18"/>
                          </w:rPr>
                        </w:pPr>
                        <w:r>
                          <w:rPr>
                            <w:rFonts w:ascii="Arial"/>
                            <w:spacing w:val="-1"/>
                            <w:sz w:val="18"/>
                          </w:rPr>
                          <w:t>17,780,129</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1"/>
                            <w:szCs w:val="21"/>
                          </w:rPr>
                        </w:pPr>
                      </w:p>
                      <w:p>
                        <w:pPr>
                          <w:pStyle w:val="TableParagraph"/>
                          <w:spacing w:line="240" w:lineRule="auto"/>
                          <w:ind w:right="153"/>
                          <w:jc w:val="right"/>
                          <w:rPr>
                            <w:rFonts w:ascii="Arial" w:hAnsi="Arial" w:cs="Arial" w:eastAsia="Arial" w:hint="default"/>
                            <w:sz w:val="18"/>
                            <w:szCs w:val="18"/>
                          </w:rPr>
                        </w:pPr>
                        <w:r>
                          <w:rPr>
                            <w:rFonts w:ascii="Arial"/>
                            <w:spacing w:val="-1"/>
                            <w:sz w:val="18"/>
                          </w:rPr>
                          <w:t>27,840,010</w:t>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1"/>
                            <w:szCs w:val="21"/>
                          </w:rPr>
                        </w:pPr>
                      </w:p>
                      <w:p>
                        <w:pPr>
                          <w:pStyle w:val="TableParagraph"/>
                          <w:spacing w:line="240" w:lineRule="auto"/>
                          <w:ind w:right="168"/>
                          <w:jc w:val="right"/>
                          <w:rPr>
                            <w:rFonts w:ascii="Arial" w:hAnsi="Arial" w:cs="Arial" w:eastAsia="Arial" w:hint="default"/>
                            <w:sz w:val="18"/>
                            <w:szCs w:val="18"/>
                          </w:rPr>
                        </w:pPr>
                        <w:r>
                          <w:rPr>
                            <w:rFonts w:ascii="Arial"/>
                            <w:spacing w:val="-1"/>
                            <w:w w:val="95"/>
                            <w:sz w:val="18"/>
                          </w:rPr>
                          <w:t>35.00</w:t>
                        </w:r>
                        <w:r>
                          <w:rPr>
                            <w:rFonts w:ascii="Arial"/>
                            <w:sz w:val="18"/>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1"/>
                            <w:szCs w:val="21"/>
                          </w:rPr>
                        </w:pPr>
                      </w:p>
                      <w:p>
                        <w:pPr>
                          <w:pStyle w:val="TableParagraph"/>
                          <w:spacing w:line="240" w:lineRule="auto"/>
                          <w:ind w:right="244"/>
                          <w:jc w:val="right"/>
                          <w:rPr>
                            <w:rFonts w:ascii="Arial" w:hAnsi="Arial" w:cs="Arial" w:eastAsia="Arial" w:hint="default"/>
                            <w:sz w:val="18"/>
                            <w:szCs w:val="18"/>
                          </w:rPr>
                        </w:pPr>
                        <w:r>
                          <w:rPr>
                            <w:rFonts w:ascii="Arial"/>
                            <w:spacing w:val="-1"/>
                            <w:w w:val="95"/>
                            <w:sz w:val="18"/>
                          </w:rPr>
                          <w:t>35.00</w:t>
                        </w:r>
                        <w:r>
                          <w:rPr>
                            <w:rFonts w:ascii="Arial"/>
                            <w:sz w:val="18"/>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1"/>
                            <w:szCs w:val="21"/>
                          </w:rPr>
                        </w:pPr>
                      </w:p>
                      <w:p>
                        <w:pPr>
                          <w:pStyle w:val="TableParagraph"/>
                          <w:spacing w:line="240" w:lineRule="auto"/>
                          <w:ind w:right="43"/>
                          <w:jc w:val="right"/>
                          <w:rPr>
                            <w:rFonts w:ascii="Arial" w:hAnsi="Arial" w:cs="Arial" w:eastAsia="Arial" w:hint="default"/>
                            <w:sz w:val="18"/>
                            <w:szCs w:val="18"/>
                          </w:rPr>
                        </w:pPr>
                        <w:r>
                          <w:rPr>
                            <w:rFonts w:ascii="Arial"/>
                            <w:w w:val="99"/>
                            <w:sz w:val="18"/>
                          </w:rPr>
                          <w:t>-</w:t>
                        </w:r>
                        <w:r>
                          <w:rPr>
                            <w:rFonts w:ascii="Arial"/>
                            <w:sz w:val="18"/>
                          </w:rPr>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1"/>
                            <w:szCs w:val="21"/>
                          </w:rPr>
                        </w:pPr>
                      </w:p>
                      <w:p>
                        <w:pPr>
                          <w:pStyle w:val="TableParagraph"/>
                          <w:spacing w:line="240" w:lineRule="auto"/>
                          <w:ind w:right="201"/>
                          <w:jc w:val="right"/>
                          <w:rPr>
                            <w:rFonts w:ascii="Arial" w:hAnsi="Arial" w:cs="Arial" w:eastAsia="Arial" w:hint="default"/>
                            <w:sz w:val="18"/>
                            <w:szCs w:val="18"/>
                          </w:rPr>
                        </w:pPr>
                        <w:r>
                          <w:rPr>
                            <w:rFonts w:ascii="Arial"/>
                            <w:w w:val="99"/>
                            <w:sz w:val="18"/>
                          </w:rPr>
                          <w:t>-</w:t>
                        </w:r>
                        <w:r>
                          <w:rPr>
                            <w:rFonts w:ascii="Arial"/>
                            <w:sz w:val="18"/>
                          </w:rPr>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1"/>
                            <w:szCs w:val="21"/>
                          </w:rPr>
                        </w:pPr>
                      </w:p>
                      <w:p>
                        <w:pPr>
                          <w:pStyle w:val="TableParagraph"/>
                          <w:spacing w:line="240" w:lineRule="auto"/>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55"/>
                          <w:jc w:val="right"/>
                          <w:rPr>
                            <w:rFonts w:ascii="Arial" w:hAnsi="Arial" w:cs="Arial" w:eastAsia="Arial" w:hint="default"/>
                            <w:sz w:val="18"/>
                            <w:szCs w:val="18"/>
                          </w:rPr>
                        </w:pPr>
                        <w:r>
                          <w:rPr>
                            <w:rFonts w:ascii="Arial"/>
                            <w:spacing w:val="-1"/>
                            <w:sz w:val="18"/>
                          </w:rPr>
                          <w:t>200,000</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11"/>
                          <w:jc w:val="right"/>
                          <w:rPr>
                            <w:rFonts w:ascii="Arial" w:hAnsi="Arial" w:cs="Arial" w:eastAsia="Arial" w:hint="default"/>
                            <w:sz w:val="18"/>
                            <w:szCs w:val="18"/>
                          </w:rPr>
                        </w:pPr>
                        <w:r>
                          <w:rPr>
                            <w:rFonts w:ascii="Arial"/>
                            <w:spacing w:val="-1"/>
                            <w:sz w:val="18"/>
                          </w:rPr>
                          <w:t>3,905,398</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48"/>
                          <w:jc w:val="right"/>
                          <w:rPr>
                            <w:rFonts w:ascii="Arial" w:hAnsi="Arial" w:cs="Arial" w:eastAsia="Arial" w:hint="default"/>
                            <w:sz w:val="18"/>
                            <w:szCs w:val="18"/>
                          </w:rPr>
                        </w:pPr>
                        <w:r>
                          <w:rPr>
                            <w:rFonts w:ascii="Arial"/>
                            <w:spacing w:val="-1"/>
                            <w:sz w:val="18"/>
                          </w:rPr>
                          <w:t>1,635,677</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54"/>
                          <w:jc w:val="right"/>
                          <w:rPr>
                            <w:rFonts w:ascii="Arial" w:hAnsi="Arial" w:cs="Arial" w:eastAsia="Arial" w:hint="default"/>
                            <w:sz w:val="18"/>
                            <w:szCs w:val="18"/>
                          </w:rPr>
                        </w:pPr>
                        <w:r>
                          <w:rPr>
                            <w:rFonts w:ascii="Arial"/>
                            <w:spacing w:val="-1"/>
                            <w:sz w:val="18"/>
                          </w:rPr>
                          <w:t>5,541,075</w:t>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68"/>
                          <w:jc w:val="right"/>
                          <w:rPr>
                            <w:rFonts w:ascii="Arial" w:hAnsi="Arial" w:cs="Arial" w:eastAsia="Arial" w:hint="default"/>
                            <w:sz w:val="18"/>
                            <w:szCs w:val="18"/>
                          </w:rPr>
                        </w:pPr>
                        <w:r>
                          <w:rPr>
                            <w:rFonts w:ascii="Arial"/>
                            <w:spacing w:val="-1"/>
                            <w:w w:val="95"/>
                            <w:sz w:val="18"/>
                          </w:rPr>
                          <w:t>40.00</w:t>
                        </w:r>
                        <w:r>
                          <w:rPr>
                            <w:rFonts w:ascii="Arial"/>
                            <w:sz w:val="18"/>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44"/>
                          <w:jc w:val="right"/>
                          <w:rPr>
                            <w:rFonts w:ascii="Arial" w:hAnsi="Arial" w:cs="Arial" w:eastAsia="Arial" w:hint="default"/>
                            <w:sz w:val="18"/>
                            <w:szCs w:val="18"/>
                          </w:rPr>
                        </w:pPr>
                        <w:r>
                          <w:rPr>
                            <w:rFonts w:ascii="Arial"/>
                            <w:spacing w:val="-1"/>
                            <w:w w:val="95"/>
                            <w:sz w:val="18"/>
                          </w:rPr>
                          <w:t>40.00</w:t>
                        </w:r>
                        <w:r>
                          <w:rPr>
                            <w:rFonts w:ascii="Arial"/>
                            <w:sz w:val="18"/>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3"/>
                          <w:jc w:val="right"/>
                          <w:rPr>
                            <w:rFonts w:ascii="Arial" w:hAnsi="Arial" w:cs="Arial" w:eastAsia="Arial" w:hint="default"/>
                            <w:sz w:val="18"/>
                            <w:szCs w:val="18"/>
                          </w:rPr>
                        </w:pPr>
                        <w:r>
                          <w:rPr>
                            <w:rFonts w:ascii="Arial"/>
                            <w:w w:val="99"/>
                            <w:sz w:val="18"/>
                          </w:rPr>
                          <w:t>-</w:t>
                        </w:r>
                        <w:r>
                          <w:rPr>
                            <w:rFonts w:ascii="Arial"/>
                            <w:sz w:val="18"/>
                          </w:rPr>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0"/>
                          <w:jc w:val="right"/>
                          <w:rPr>
                            <w:rFonts w:ascii="Arial" w:hAnsi="Arial" w:cs="Arial" w:eastAsia="Arial" w:hint="default"/>
                            <w:sz w:val="18"/>
                            <w:szCs w:val="18"/>
                          </w:rPr>
                        </w:pPr>
                        <w:r>
                          <w:rPr>
                            <w:rFonts w:ascii="Arial"/>
                            <w:w w:val="99"/>
                            <w:sz w:val="18"/>
                          </w:rPr>
                          <w:t>-</w:t>
                        </w:r>
                        <w:r>
                          <w:rPr>
                            <w:rFonts w:ascii="Arial"/>
                            <w:sz w:val="18"/>
                          </w:rPr>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56"/>
                          <w:jc w:val="right"/>
                          <w:rPr>
                            <w:rFonts w:ascii="Arial" w:hAnsi="Arial" w:cs="Arial" w:eastAsia="Arial" w:hint="default"/>
                            <w:sz w:val="18"/>
                            <w:szCs w:val="18"/>
                          </w:rPr>
                        </w:pPr>
                        <w:r>
                          <w:rPr>
                            <w:rFonts w:ascii="Arial"/>
                            <w:spacing w:val="-1"/>
                            <w:sz w:val="18"/>
                          </w:rPr>
                          <w:t>200,000</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2"/>
                          <w:jc w:val="right"/>
                          <w:rPr>
                            <w:rFonts w:ascii="Arial" w:hAnsi="Arial" w:cs="Arial" w:eastAsia="Arial" w:hint="default"/>
                            <w:sz w:val="18"/>
                            <w:szCs w:val="18"/>
                          </w:rPr>
                        </w:pPr>
                        <w:r>
                          <w:rPr>
                            <w:rFonts w:ascii="Arial"/>
                            <w:spacing w:val="-1"/>
                            <w:sz w:val="18"/>
                          </w:rPr>
                          <w:t>927,319</w:t>
                        </w:r>
                      </w:p>
                    </w:tc>
                    <w:tc>
                      <w:tcPr>
                        <w:tcW w:w="1553" w:type="dxa"/>
                        <w:tcBorders>
                          <w:top w:val="nil" w:sz="6" w:space="0" w:color="auto"/>
                          <w:left w:val="nil" w:sz="6" w:space="0" w:color="auto"/>
                          <w:bottom w:val="nil" w:sz="6" w:space="0" w:color="auto"/>
                          <w:right w:val="nil" w:sz="6" w:space="0" w:color="auto"/>
                        </w:tcBorders>
                      </w:tcPr>
                      <w:p>
                        <w:pPr>
                          <w:pStyle w:val="TableParagraph"/>
                          <w:tabs>
                            <w:tab w:pos="439" w:val="left" w:leader="none"/>
                          </w:tabs>
                          <w:spacing w:line="240" w:lineRule="auto" w:before="15"/>
                          <w:ind w:right="304"/>
                          <w:jc w:val="right"/>
                          <w:rPr>
                            <w:rFonts w:ascii="Arial" w:hAnsi="Arial" w:cs="Arial" w:eastAsia="Arial" w:hint="default"/>
                            <w:sz w:val="18"/>
                            <w:szCs w:val="18"/>
                          </w:rPr>
                        </w:pPr>
                        <w:r>
                          <w:rPr>
                            <w:rFonts w:ascii="Arial"/>
                            <w:sz w:val="18"/>
                          </w:rPr>
                          <w:t>(</w:t>
                          <w:tab/>
                        </w:r>
                        <w:r>
                          <w:rPr>
                            <w:rFonts w:ascii="Arial"/>
                            <w:spacing w:val="-3"/>
                            <w:w w:val="95"/>
                            <w:sz w:val="18"/>
                          </w:rPr>
                          <w:t>39,852)</w:t>
                        </w:r>
                        <w:r>
                          <w:rPr>
                            <w:rFonts w:ascii="Arial"/>
                            <w:spacing w:val="-3"/>
                            <w:sz w:val="18"/>
                          </w:rPr>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3"/>
                          <w:jc w:val="right"/>
                          <w:rPr>
                            <w:rFonts w:ascii="Arial" w:hAnsi="Arial" w:cs="Arial" w:eastAsia="Arial" w:hint="default"/>
                            <w:sz w:val="18"/>
                            <w:szCs w:val="18"/>
                          </w:rPr>
                        </w:pPr>
                        <w:r>
                          <w:rPr>
                            <w:rFonts w:ascii="Arial"/>
                            <w:spacing w:val="-1"/>
                            <w:sz w:val="18"/>
                          </w:rPr>
                          <w:t>887,467</w:t>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7"/>
                          <w:jc w:val="right"/>
                          <w:rPr>
                            <w:rFonts w:ascii="Arial" w:hAnsi="Arial" w:cs="Arial" w:eastAsia="Arial" w:hint="default"/>
                            <w:sz w:val="18"/>
                            <w:szCs w:val="18"/>
                          </w:rPr>
                        </w:pPr>
                        <w:r>
                          <w:rPr>
                            <w:rFonts w:ascii="Arial"/>
                            <w:spacing w:val="-1"/>
                            <w:w w:val="95"/>
                            <w:sz w:val="18"/>
                          </w:rPr>
                          <w:t>40.00</w:t>
                        </w:r>
                        <w:r>
                          <w:rPr>
                            <w:rFonts w:ascii="Arial"/>
                            <w:sz w:val="18"/>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3"/>
                          <w:jc w:val="right"/>
                          <w:rPr>
                            <w:rFonts w:ascii="Arial" w:hAnsi="Arial" w:cs="Arial" w:eastAsia="Arial" w:hint="default"/>
                            <w:sz w:val="18"/>
                            <w:szCs w:val="18"/>
                          </w:rPr>
                        </w:pPr>
                        <w:r>
                          <w:rPr>
                            <w:rFonts w:ascii="Arial"/>
                            <w:spacing w:val="-1"/>
                            <w:w w:val="95"/>
                            <w:sz w:val="18"/>
                          </w:rPr>
                          <w:t>40.00</w:t>
                        </w:r>
                        <w:r>
                          <w:rPr>
                            <w:rFonts w:ascii="Arial"/>
                            <w:sz w:val="18"/>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3"/>
                          <w:jc w:val="right"/>
                          <w:rPr>
                            <w:rFonts w:ascii="Arial" w:hAnsi="Arial" w:cs="Arial" w:eastAsia="Arial" w:hint="default"/>
                            <w:sz w:val="18"/>
                            <w:szCs w:val="18"/>
                          </w:rPr>
                        </w:pPr>
                        <w:r>
                          <w:rPr>
                            <w:rFonts w:ascii="Arial"/>
                            <w:w w:val="99"/>
                            <w:sz w:val="18"/>
                          </w:rPr>
                          <w:t>-</w:t>
                        </w:r>
                        <w:r>
                          <w:rPr>
                            <w:rFonts w:ascii="Arial"/>
                            <w:sz w:val="18"/>
                          </w:rPr>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0"/>
                          <w:jc w:val="right"/>
                          <w:rPr>
                            <w:rFonts w:ascii="Arial" w:hAnsi="Arial" w:cs="Arial" w:eastAsia="Arial" w:hint="default"/>
                            <w:sz w:val="18"/>
                            <w:szCs w:val="18"/>
                          </w:rPr>
                        </w:pPr>
                        <w:r>
                          <w:rPr>
                            <w:rFonts w:ascii="Arial"/>
                            <w:w w:val="99"/>
                            <w:sz w:val="18"/>
                          </w:rPr>
                          <w:t>-</w:t>
                        </w:r>
                        <w:r>
                          <w:rPr>
                            <w:rFonts w:ascii="Arial"/>
                            <w:sz w:val="18"/>
                          </w:rPr>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56"/>
                          <w:jc w:val="right"/>
                          <w:rPr>
                            <w:rFonts w:ascii="Arial" w:hAnsi="Arial" w:cs="Arial" w:eastAsia="Arial" w:hint="default"/>
                            <w:sz w:val="18"/>
                            <w:szCs w:val="18"/>
                          </w:rPr>
                        </w:pPr>
                        <w:r>
                          <w:rPr>
                            <w:rFonts w:ascii="Arial"/>
                            <w:spacing w:val="-1"/>
                            <w:sz w:val="18"/>
                          </w:rPr>
                          <w:t>1,200,000</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13"/>
                          <w:jc w:val="right"/>
                          <w:rPr>
                            <w:rFonts w:ascii="Arial" w:hAnsi="Arial" w:cs="Arial" w:eastAsia="Arial" w:hint="default"/>
                            <w:sz w:val="18"/>
                            <w:szCs w:val="18"/>
                          </w:rPr>
                        </w:pPr>
                        <w:r>
                          <w:rPr>
                            <w:rFonts w:ascii="Arial"/>
                            <w:spacing w:val="-1"/>
                            <w:sz w:val="18"/>
                          </w:rPr>
                          <w:t>135,765</w:t>
                        </w:r>
                      </w:p>
                    </w:tc>
                    <w:tc>
                      <w:tcPr>
                        <w:tcW w:w="1553" w:type="dxa"/>
                        <w:tcBorders>
                          <w:top w:val="nil" w:sz="6" w:space="0" w:color="auto"/>
                          <w:left w:val="nil" w:sz="6" w:space="0" w:color="auto"/>
                          <w:bottom w:val="nil" w:sz="6" w:space="0" w:color="auto"/>
                          <w:right w:val="nil" w:sz="6" w:space="0" w:color="auto"/>
                        </w:tcBorders>
                      </w:tcPr>
                      <w:p>
                        <w:pPr>
                          <w:pStyle w:val="TableParagraph"/>
                          <w:tabs>
                            <w:tab w:pos="330" w:val="left" w:leader="none"/>
                          </w:tabs>
                          <w:spacing w:line="240" w:lineRule="auto" w:before="14"/>
                          <w:ind w:right="305"/>
                          <w:jc w:val="right"/>
                          <w:rPr>
                            <w:rFonts w:ascii="Arial" w:hAnsi="Arial" w:cs="Arial" w:eastAsia="Arial" w:hint="default"/>
                            <w:sz w:val="18"/>
                            <w:szCs w:val="18"/>
                          </w:rPr>
                        </w:pPr>
                        <w:r>
                          <w:rPr>
                            <w:rFonts w:ascii="Arial"/>
                            <w:sz w:val="18"/>
                          </w:rPr>
                          <w:t>(</w:t>
                          <w:tab/>
                        </w:r>
                        <w:r>
                          <w:rPr>
                            <w:rFonts w:ascii="Arial"/>
                            <w:spacing w:val="-3"/>
                            <w:sz w:val="18"/>
                          </w:rPr>
                          <w:t>135,765)</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54"/>
                          <w:jc w:val="right"/>
                          <w:rPr>
                            <w:rFonts w:ascii="Arial" w:hAnsi="Arial" w:cs="Arial" w:eastAsia="Arial" w:hint="default"/>
                            <w:sz w:val="18"/>
                            <w:szCs w:val="18"/>
                          </w:rPr>
                        </w:pPr>
                        <w:r>
                          <w:rPr>
                            <w:rFonts w:ascii="Arial"/>
                            <w:w w:val="99"/>
                            <w:sz w:val="18"/>
                          </w:rPr>
                          <w:t>-</w:t>
                        </w:r>
                        <w:r>
                          <w:rPr>
                            <w:rFonts w:ascii="Arial"/>
                            <w:sz w:val="18"/>
                          </w:rPr>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68"/>
                          <w:jc w:val="right"/>
                          <w:rPr>
                            <w:rFonts w:ascii="Arial" w:hAnsi="Arial" w:cs="Arial" w:eastAsia="Arial" w:hint="default"/>
                            <w:sz w:val="18"/>
                            <w:szCs w:val="18"/>
                          </w:rPr>
                        </w:pPr>
                        <w:r>
                          <w:rPr>
                            <w:rFonts w:ascii="Arial"/>
                            <w:w w:val="99"/>
                            <w:sz w:val="18"/>
                          </w:rPr>
                          <w:t>-</w:t>
                        </w:r>
                        <w:r>
                          <w:rPr>
                            <w:rFonts w:ascii="Arial"/>
                            <w:sz w:val="18"/>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43"/>
                          <w:jc w:val="right"/>
                          <w:rPr>
                            <w:rFonts w:ascii="Arial" w:hAnsi="Arial" w:cs="Arial" w:eastAsia="Arial" w:hint="default"/>
                            <w:sz w:val="18"/>
                            <w:szCs w:val="18"/>
                          </w:rPr>
                        </w:pPr>
                        <w:r>
                          <w:rPr>
                            <w:rFonts w:ascii="Arial"/>
                            <w:w w:val="99"/>
                            <w:sz w:val="18"/>
                          </w:rPr>
                          <w:t>-</w:t>
                        </w:r>
                        <w:r>
                          <w:rPr>
                            <w:rFonts w:ascii="Arial"/>
                            <w:sz w:val="18"/>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2"/>
                          <w:jc w:val="right"/>
                          <w:rPr>
                            <w:rFonts w:ascii="Arial" w:hAnsi="Arial" w:cs="Arial" w:eastAsia="Arial" w:hint="default"/>
                            <w:sz w:val="18"/>
                            <w:szCs w:val="18"/>
                          </w:rPr>
                        </w:pPr>
                        <w:r>
                          <w:rPr>
                            <w:rFonts w:ascii="Arial"/>
                            <w:w w:val="99"/>
                            <w:sz w:val="18"/>
                          </w:rPr>
                          <w:t>-</w:t>
                        </w:r>
                        <w:r>
                          <w:rPr>
                            <w:rFonts w:ascii="Arial"/>
                            <w:sz w:val="18"/>
                          </w:rPr>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0"/>
                          <w:jc w:val="right"/>
                          <w:rPr>
                            <w:rFonts w:ascii="Arial" w:hAnsi="Arial" w:cs="Arial" w:eastAsia="Arial" w:hint="default"/>
                            <w:sz w:val="18"/>
                            <w:szCs w:val="18"/>
                          </w:rPr>
                        </w:pPr>
                        <w:r>
                          <w:rPr>
                            <w:rFonts w:ascii="Arial"/>
                            <w:w w:val="99"/>
                            <w:sz w:val="18"/>
                          </w:rPr>
                          <w:t>-</w:t>
                        </w:r>
                        <w:r>
                          <w:rPr>
                            <w:rFonts w:ascii="Arial"/>
                            <w:sz w:val="18"/>
                          </w:rPr>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56"/>
                          <w:jc w:val="right"/>
                          <w:rPr>
                            <w:rFonts w:ascii="Arial" w:hAnsi="Arial" w:cs="Arial" w:eastAsia="Arial" w:hint="default"/>
                            <w:sz w:val="18"/>
                            <w:szCs w:val="18"/>
                          </w:rPr>
                        </w:pPr>
                        <w:r>
                          <w:rPr>
                            <w:rFonts w:ascii="Arial"/>
                            <w:spacing w:val="-1"/>
                            <w:sz w:val="18"/>
                          </w:rPr>
                          <w:t>400,000</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1"/>
                          <w:jc w:val="right"/>
                          <w:rPr>
                            <w:rFonts w:ascii="Arial" w:hAnsi="Arial" w:cs="Arial" w:eastAsia="Arial" w:hint="default"/>
                            <w:sz w:val="18"/>
                            <w:szCs w:val="18"/>
                          </w:rPr>
                        </w:pPr>
                        <w:r>
                          <w:rPr>
                            <w:rFonts w:ascii="Arial"/>
                            <w:spacing w:val="-1"/>
                            <w:sz w:val="18"/>
                          </w:rPr>
                          <w:t>227,394</w:t>
                        </w:r>
                      </w:p>
                    </w:tc>
                    <w:tc>
                      <w:tcPr>
                        <w:tcW w:w="1553" w:type="dxa"/>
                        <w:tcBorders>
                          <w:top w:val="nil" w:sz="6" w:space="0" w:color="auto"/>
                          <w:left w:val="nil" w:sz="6" w:space="0" w:color="auto"/>
                          <w:bottom w:val="nil" w:sz="6" w:space="0" w:color="auto"/>
                          <w:right w:val="nil" w:sz="6" w:space="0" w:color="auto"/>
                        </w:tcBorders>
                      </w:tcPr>
                      <w:p>
                        <w:pPr>
                          <w:pStyle w:val="TableParagraph"/>
                          <w:tabs>
                            <w:tab w:pos="330" w:val="left" w:leader="none"/>
                          </w:tabs>
                          <w:spacing w:line="240" w:lineRule="auto" w:before="15"/>
                          <w:ind w:right="305"/>
                          <w:jc w:val="right"/>
                          <w:rPr>
                            <w:rFonts w:ascii="Arial" w:hAnsi="Arial" w:cs="Arial" w:eastAsia="Arial" w:hint="default"/>
                            <w:sz w:val="18"/>
                            <w:szCs w:val="18"/>
                          </w:rPr>
                        </w:pPr>
                        <w:r>
                          <w:rPr>
                            <w:rFonts w:ascii="Arial"/>
                            <w:sz w:val="18"/>
                          </w:rPr>
                          <w:t>(</w:t>
                          <w:tab/>
                        </w:r>
                        <w:r>
                          <w:rPr>
                            <w:rFonts w:ascii="Arial"/>
                            <w:spacing w:val="-3"/>
                            <w:sz w:val="18"/>
                          </w:rPr>
                          <w:t>227,394)</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4"/>
                          <w:jc w:val="right"/>
                          <w:rPr>
                            <w:rFonts w:ascii="Arial" w:hAnsi="Arial" w:cs="Arial" w:eastAsia="Arial" w:hint="default"/>
                            <w:sz w:val="18"/>
                            <w:szCs w:val="18"/>
                          </w:rPr>
                        </w:pPr>
                        <w:r>
                          <w:rPr>
                            <w:rFonts w:ascii="Arial"/>
                            <w:w w:val="99"/>
                            <w:sz w:val="18"/>
                          </w:rPr>
                          <w:t>-</w:t>
                        </w:r>
                        <w:r>
                          <w:rPr>
                            <w:rFonts w:ascii="Arial"/>
                            <w:sz w:val="18"/>
                          </w:rPr>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8"/>
                          <w:jc w:val="right"/>
                          <w:rPr>
                            <w:rFonts w:ascii="Arial" w:hAnsi="Arial" w:cs="Arial" w:eastAsia="Arial" w:hint="default"/>
                            <w:sz w:val="18"/>
                            <w:szCs w:val="18"/>
                          </w:rPr>
                        </w:pPr>
                        <w:r>
                          <w:rPr>
                            <w:rFonts w:ascii="Arial"/>
                            <w:w w:val="99"/>
                            <w:sz w:val="18"/>
                          </w:rPr>
                          <w:t>-</w:t>
                        </w:r>
                        <w:r>
                          <w:rPr>
                            <w:rFonts w:ascii="Arial"/>
                            <w:sz w:val="18"/>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4"/>
                          <w:jc w:val="right"/>
                          <w:rPr>
                            <w:rFonts w:ascii="Arial" w:hAnsi="Arial" w:cs="Arial" w:eastAsia="Arial" w:hint="default"/>
                            <w:sz w:val="18"/>
                            <w:szCs w:val="18"/>
                          </w:rPr>
                        </w:pPr>
                        <w:r>
                          <w:rPr>
                            <w:rFonts w:ascii="Arial"/>
                            <w:w w:val="99"/>
                            <w:sz w:val="18"/>
                          </w:rPr>
                          <w:t>-</w:t>
                        </w:r>
                        <w:r>
                          <w:rPr>
                            <w:rFonts w:ascii="Arial"/>
                            <w:sz w:val="18"/>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3"/>
                          <w:jc w:val="right"/>
                          <w:rPr>
                            <w:rFonts w:ascii="Arial" w:hAnsi="Arial" w:cs="Arial" w:eastAsia="Arial" w:hint="default"/>
                            <w:sz w:val="18"/>
                            <w:szCs w:val="18"/>
                          </w:rPr>
                        </w:pPr>
                        <w:r>
                          <w:rPr>
                            <w:rFonts w:ascii="Arial"/>
                            <w:w w:val="99"/>
                            <w:sz w:val="18"/>
                          </w:rPr>
                          <w:t>-</w:t>
                        </w:r>
                        <w:r>
                          <w:rPr>
                            <w:rFonts w:ascii="Arial"/>
                            <w:sz w:val="18"/>
                          </w:rPr>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0"/>
                          <w:jc w:val="right"/>
                          <w:rPr>
                            <w:rFonts w:ascii="Arial" w:hAnsi="Arial" w:cs="Arial" w:eastAsia="Arial" w:hint="default"/>
                            <w:sz w:val="18"/>
                            <w:szCs w:val="18"/>
                          </w:rPr>
                        </w:pPr>
                        <w:r>
                          <w:rPr>
                            <w:rFonts w:ascii="Arial"/>
                            <w:w w:val="99"/>
                            <w:sz w:val="18"/>
                          </w:rPr>
                          <w:t>-</w:t>
                        </w:r>
                        <w:r>
                          <w:rPr>
                            <w:rFonts w:ascii="Arial"/>
                            <w:sz w:val="18"/>
                          </w:rPr>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317" w:hRule="exact"/>
                    </w:trPr>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56"/>
                          <w:jc w:val="right"/>
                          <w:rPr>
                            <w:rFonts w:ascii="Arial" w:hAnsi="Arial" w:cs="Arial" w:eastAsia="Arial" w:hint="default"/>
                            <w:sz w:val="18"/>
                            <w:szCs w:val="18"/>
                          </w:rPr>
                        </w:pPr>
                        <w:r>
                          <w:rPr>
                            <w:rFonts w:ascii="Arial"/>
                            <w:spacing w:val="-1"/>
                            <w:sz w:val="18"/>
                          </w:rPr>
                          <w:t>100,000</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11"/>
                          <w:jc w:val="right"/>
                          <w:rPr>
                            <w:rFonts w:ascii="Arial" w:hAnsi="Arial" w:cs="Arial" w:eastAsia="Arial" w:hint="default"/>
                            <w:sz w:val="18"/>
                            <w:szCs w:val="18"/>
                          </w:rPr>
                        </w:pPr>
                        <w:r>
                          <w:rPr>
                            <w:rFonts w:ascii="Arial"/>
                            <w:spacing w:val="-1"/>
                            <w:sz w:val="18"/>
                          </w:rPr>
                          <w:t>136,471</w:t>
                        </w:r>
                      </w:p>
                    </w:tc>
                    <w:tc>
                      <w:tcPr>
                        <w:tcW w:w="1553" w:type="dxa"/>
                        <w:tcBorders>
                          <w:top w:val="nil" w:sz="6" w:space="0" w:color="auto"/>
                          <w:left w:val="nil" w:sz="6" w:space="0" w:color="auto"/>
                          <w:bottom w:val="nil" w:sz="6" w:space="0" w:color="auto"/>
                          <w:right w:val="nil" w:sz="6" w:space="0" w:color="auto"/>
                        </w:tcBorders>
                      </w:tcPr>
                      <w:p>
                        <w:pPr>
                          <w:pStyle w:val="TableParagraph"/>
                          <w:tabs>
                            <w:tab w:pos="330" w:val="left" w:leader="none"/>
                          </w:tabs>
                          <w:spacing w:line="240" w:lineRule="auto" w:before="14"/>
                          <w:ind w:right="305"/>
                          <w:jc w:val="right"/>
                          <w:rPr>
                            <w:rFonts w:ascii="Arial" w:hAnsi="Arial" w:cs="Arial" w:eastAsia="Arial" w:hint="default"/>
                            <w:sz w:val="18"/>
                            <w:szCs w:val="18"/>
                          </w:rPr>
                        </w:pPr>
                        <w:r>
                          <w:rPr>
                            <w:rFonts w:ascii="Arial"/>
                            <w:sz w:val="18"/>
                          </w:rPr>
                          <w:t>(</w:t>
                          <w:tab/>
                        </w:r>
                        <w:r>
                          <w:rPr>
                            <w:rFonts w:ascii="Arial"/>
                            <w:spacing w:val="-3"/>
                            <w:sz w:val="18"/>
                          </w:rPr>
                          <w:t>136,471)</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54"/>
                          <w:jc w:val="right"/>
                          <w:rPr>
                            <w:rFonts w:ascii="Arial" w:hAnsi="Arial" w:cs="Arial" w:eastAsia="Arial" w:hint="default"/>
                            <w:sz w:val="18"/>
                            <w:szCs w:val="18"/>
                          </w:rPr>
                        </w:pPr>
                        <w:r>
                          <w:rPr>
                            <w:rFonts w:ascii="Arial"/>
                            <w:w w:val="99"/>
                            <w:sz w:val="18"/>
                          </w:rPr>
                          <w:t>-</w:t>
                        </w:r>
                        <w:r>
                          <w:rPr>
                            <w:rFonts w:ascii="Arial"/>
                            <w:sz w:val="18"/>
                          </w:rPr>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68"/>
                          <w:jc w:val="right"/>
                          <w:rPr>
                            <w:rFonts w:ascii="Arial" w:hAnsi="Arial" w:cs="Arial" w:eastAsia="Arial" w:hint="default"/>
                            <w:sz w:val="18"/>
                            <w:szCs w:val="18"/>
                          </w:rPr>
                        </w:pPr>
                        <w:r>
                          <w:rPr>
                            <w:rFonts w:ascii="Arial"/>
                            <w:w w:val="99"/>
                            <w:sz w:val="18"/>
                          </w:rPr>
                          <w:t>-</w:t>
                        </w:r>
                        <w:r>
                          <w:rPr>
                            <w:rFonts w:ascii="Arial"/>
                            <w:sz w:val="18"/>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44"/>
                          <w:jc w:val="right"/>
                          <w:rPr>
                            <w:rFonts w:ascii="Arial" w:hAnsi="Arial" w:cs="Arial" w:eastAsia="Arial" w:hint="default"/>
                            <w:sz w:val="18"/>
                            <w:szCs w:val="18"/>
                          </w:rPr>
                        </w:pPr>
                        <w:r>
                          <w:rPr>
                            <w:rFonts w:ascii="Arial"/>
                            <w:w w:val="99"/>
                            <w:sz w:val="18"/>
                          </w:rPr>
                          <w:t>-</w:t>
                        </w:r>
                        <w:r>
                          <w:rPr>
                            <w:rFonts w:ascii="Arial"/>
                            <w:sz w:val="18"/>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3"/>
                          <w:jc w:val="right"/>
                          <w:rPr>
                            <w:rFonts w:ascii="Arial" w:hAnsi="Arial" w:cs="Arial" w:eastAsia="Arial" w:hint="default"/>
                            <w:sz w:val="18"/>
                            <w:szCs w:val="18"/>
                          </w:rPr>
                        </w:pPr>
                        <w:r>
                          <w:rPr>
                            <w:rFonts w:ascii="Arial"/>
                            <w:w w:val="99"/>
                            <w:sz w:val="18"/>
                          </w:rPr>
                          <w:t>-</w:t>
                        </w:r>
                        <w:r>
                          <w:rPr>
                            <w:rFonts w:ascii="Arial"/>
                            <w:sz w:val="18"/>
                          </w:rPr>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0"/>
                          <w:jc w:val="right"/>
                          <w:rPr>
                            <w:rFonts w:ascii="Arial" w:hAnsi="Arial" w:cs="Arial" w:eastAsia="Arial" w:hint="default"/>
                            <w:sz w:val="18"/>
                            <w:szCs w:val="18"/>
                          </w:rPr>
                        </w:pPr>
                        <w:r>
                          <w:rPr>
                            <w:rFonts w:ascii="Arial"/>
                            <w:w w:val="99"/>
                            <w:sz w:val="18"/>
                          </w:rPr>
                          <w:t>-</w:t>
                        </w:r>
                        <w:r>
                          <w:rPr>
                            <w:rFonts w:ascii="Arial"/>
                            <w:sz w:val="18"/>
                          </w:rPr>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Arial" w:hAnsi="Arial" w:cs="Arial" w:eastAsia="Arial" w:hint="default"/>
                            <w:sz w:val="18"/>
                            <w:szCs w:val="18"/>
                          </w:rPr>
                        </w:pPr>
                        <w:r>
                          <w:rPr>
                            <w:rFonts w:ascii="Arial"/>
                            <w:w w:val="99"/>
                            <w:sz w:val="18"/>
                          </w:rPr>
                          <w:t>-</w:t>
                        </w:r>
                        <w:r>
                          <w:rPr>
                            <w:rFonts w:ascii="Arial"/>
                            <w:sz w:val="18"/>
                          </w:rPr>
                        </w:r>
                      </w:p>
                    </w:tc>
                  </w:tr>
                </w:tbl>
                <w:p>
                  <w:pPr/>
                </w:p>
              </w:txbxContent>
            </v:textbox>
            <w10:wrap type="none"/>
          </v:shape>
        </w:pict>
      </w:r>
      <w:r>
        <w:rPr>
          <w:rFonts w:ascii="黑体" w:hAnsi="黑体" w:cs="黑体" w:eastAsia="黑体" w:hint="default"/>
          <w:sz w:val="18"/>
          <w:szCs w:val="18"/>
        </w:rPr>
        <w:t>权益法： 联营企业 用友致远 用友商用表单 西玛永泰</w:t>
      </w:r>
    </w:p>
    <w:p>
      <w:pPr>
        <w:spacing w:line="247" w:lineRule="auto" w:before="3"/>
        <w:ind w:left="296" w:right="13196" w:hanging="1"/>
        <w:jc w:val="both"/>
        <w:rPr>
          <w:rFonts w:ascii="黑体" w:hAnsi="黑体" w:cs="黑体" w:eastAsia="黑体" w:hint="default"/>
          <w:sz w:val="18"/>
          <w:szCs w:val="18"/>
        </w:rPr>
      </w:pPr>
      <w:r>
        <w:rPr>
          <w:rFonts w:ascii="黑体" w:hAnsi="黑体" w:cs="黑体" w:eastAsia="黑体" w:hint="default"/>
          <w:sz w:val="18"/>
          <w:szCs w:val="18"/>
        </w:rPr>
        <w:t>用友审计（注</w:t>
      </w:r>
      <w:r>
        <w:rPr>
          <w:rFonts w:ascii="黑体" w:hAnsi="黑体" w:cs="黑体" w:eastAsia="黑体" w:hint="default"/>
          <w:spacing w:val="-47"/>
          <w:sz w:val="18"/>
          <w:szCs w:val="18"/>
        </w:rPr>
        <w:t> </w:t>
      </w:r>
      <w:r>
        <w:rPr>
          <w:rFonts w:ascii="Arial" w:hAnsi="Arial" w:cs="Arial" w:eastAsia="Arial" w:hint="default"/>
          <w:sz w:val="18"/>
          <w:szCs w:val="18"/>
        </w:rPr>
        <w:t>1</w:t>
      </w:r>
      <w:r>
        <w:rPr>
          <w:rFonts w:ascii="黑体" w:hAnsi="黑体" w:cs="黑体" w:eastAsia="黑体" w:hint="default"/>
          <w:sz w:val="18"/>
          <w:szCs w:val="18"/>
        </w:rPr>
        <w:t>） 上海春元（注</w:t>
      </w:r>
      <w:r>
        <w:rPr>
          <w:rFonts w:ascii="黑体" w:hAnsi="黑体" w:cs="黑体" w:eastAsia="黑体" w:hint="default"/>
          <w:spacing w:val="-47"/>
          <w:sz w:val="18"/>
          <w:szCs w:val="18"/>
        </w:rPr>
        <w:t> </w:t>
      </w:r>
      <w:r>
        <w:rPr>
          <w:rFonts w:ascii="Arial" w:hAnsi="Arial" w:cs="Arial" w:eastAsia="Arial" w:hint="default"/>
          <w:sz w:val="18"/>
          <w:szCs w:val="18"/>
        </w:rPr>
        <w:t>2</w:t>
      </w:r>
      <w:r>
        <w:rPr>
          <w:rFonts w:ascii="黑体" w:hAnsi="黑体" w:cs="黑体" w:eastAsia="黑体" w:hint="default"/>
          <w:sz w:val="18"/>
          <w:szCs w:val="18"/>
        </w:rPr>
        <w:t>） 武汉青和（注</w:t>
      </w:r>
      <w:r>
        <w:rPr>
          <w:rFonts w:ascii="黑体" w:hAnsi="黑体" w:cs="黑体" w:eastAsia="黑体" w:hint="default"/>
          <w:spacing w:val="-47"/>
          <w:sz w:val="18"/>
          <w:szCs w:val="18"/>
        </w:rPr>
        <w:t> </w:t>
      </w:r>
      <w:r>
        <w:rPr>
          <w:rFonts w:ascii="Arial" w:hAnsi="Arial" w:cs="Arial" w:eastAsia="Arial" w:hint="default"/>
          <w:sz w:val="18"/>
          <w:szCs w:val="18"/>
        </w:rPr>
        <w:t>2</w:t>
      </w:r>
      <w:r>
        <w:rPr>
          <w:rFonts w:ascii="黑体" w:hAnsi="黑体" w:cs="黑体" w:eastAsia="黑体" w:hint="default"/>
          <w:sz w:val="18"/>
          <w:szCs w:val="18"/>
        </w:rPr>
        <w:t>）</w:t>
      </w: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15"/>
          <w:szCs w:val="15"/>
        </w:rPr>
      </w:pPr>
    </w:p>
    <w:p>
      <w:pPr>
        <w:spacing w:before="44"/>
        <w:ind w:left="115" w:right="0" w:firstLine="0"/>
        <w:jc w:val="left"/>
        <w:rPr>
          <w:rFonts w:ascii="黑体" w:hAnsi="黑体" w:cs="黑体" w:eastAsia="黑体" w:hint="default"/>
          <w:sz w:val="18"/>
          <w:szCs w:val="18"/>
        </w:rPr>
      </w:pPr>
      <w:r>
        <w:rPr>
          <w:rFonts w:ascii="黑体" w:hAnsi="黑体" w:cs="黑体" w:eastAsia="黑体" w:hint="default"/>
          <w:sz w:val="18"/>
          <w:szCs w:val="18"/>
        </w:rPr>
        <w:t>成本法：</w:t>
      </w:r>
    </w:p>
    <w:p>
      <w:pPr>
        <w:spacing w:line="240" w:lineRule="auto" w:before="1"/>
        <w:rPr>
          <w:rFonts w:ascii="黑体" w:hAnsi="黑体" w:cs="黑体" w:eastAsia="黑体" w:hint="default"/>
          <w:sz w:val="3"/>
          <w:szCs w:val="3"/>
        </w:rPr>
      </w:pPr>
    </w:p>
    <w:tbl>
      <w:tblPr>
        <w:tblW w:w="0" w:type="auto"/>
        <w:jc w:val="left"/>
        <w:tblInd w:w="261" w:type="dxa"/>
        <w:tblLayout w:type="fixed"/>
        <w:tblCellMar>
          <w:top w:w="0" w:type="dxa"/>
          <w:left w:w="0" w:type="dxa"/>
          <w:bottom w:w="0" w:type="dxa"/>
          <w:right w:w="0" w:type="dxa"/>
        </w:tblCellMar>
        <w:tblLook w:val="01E0"/>
      </w:tblPr>
      <w:tblGrid>
        <w:gridCol w:w="3003"/>
        <w:gridCol w:w="1556"/>
        <w:gridCol w:w="1322"/>
        <w:gridCol w:w="1603"/>
        <w:gridCol w:w="1448"/>
        <w:gridCol w:w="1135"/>
        <w:gridCol w:w="1050"/>
        <w:gridCol w:w="1200"/>
        <w:gridCol w:w="1630"/>
        <w:gridCol w:w="582"/>
      </w:tblGrid>
      <w:tr>
        <w:trPr>
          <w:trHeight w:val="266"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14" w:lineRule="exact"/>
              <w:ind w:left="35" w:right="0"/>
              <w:jc w:val="left"/>
              <w:rPr>
                <w:rFonts w:ascii="黑体" w:hAnsi="黑体" w:cs="黑体" w:eastAsia="黑体" w:hint="default"/>
                <w:sz w:val="18"/>
                <w:szCs w:val="18"/>
              </w:rPr>
            </w:pPr>
            <w:r>
              <w:rPr>
                <w:rFonts w:ascii="黑体" w:hAnsi="黑体" w:cs="黑体" w:eastAsia="黑体" w:hint="default"/>
                <w:sz w:val="18"/>
                <w:szCs w:val="18"/>
              </w:rPr>
              <w:t>联成互动</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06"/>
              <w:jc w:val="right"/>
              <w:rPr>
                <w:rFonts w:ascii="Arial" w:hAnsi="Arial" w:cs="Arial" w:eastAsia="Arial" w:hint="default"/>
                <w:sz w:val="18"/>
                <w:szCs w:val="18"/>
              </w:rPr>
            </w:pPr>
            <w:r>
              <w:rPr>
                <w:rFonts w:ascii="Arial"/>
                <w:spacing w:val="-1"/>
                <w:sz w:val="18"/>
              </w:rPr>
              <w:t>5,330,000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11"/>
              <w:jc w:val="right"/>
              <w:rPr>
                <w:rFonts w:ascii="Arial" w:hAnsi="Arial" w:cs="Arial" w:eastAsia="Arial" w:hint="default"/>
                <w:sz w:val="18"/>
                <w:szCs w:val="18"/>
              </w:rPr>
            </w:pPr>
            <w:r>
              <w:rPr>
                <w:rFonts w:ascii="Arial"/>
                <w:spacing w:val="-1"/>
                <w:sz w:val="18"/>
              </w:rPr>
              <w:t>5,330,000</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55"/>
              <w:jc w:val="right"/>
              <w:rPr>
                <w:rFonts w:ascii="Arial" w:hAnsi="Arial" w:cs="Arial" w:eastAsia="Arial" w:hint="default"/>
                <w:sz w:val="18"/>
                <w:szCs w:val="18"/>
              </w:rPr>
            </w:pPr>
            <w:r>
              <w:rPr>
                <w:rFonts w:ascii="Arial"/>
                <w:sz w:val="18"/>
              </w:rPr>
              <w:t>( </w:t>
            </w:r>
            <w:r>
              <w:rPr>
                <w:rFonts w:ascii="Arial"/>
                <w:spacing w:val="24"/>
                <w:sz w:val="18"/>
              </w:rPr>
              <w:t> </w:t>
            </w:r>
            <w:r>
              <w:rPr>
                <w:rFonts w:ascii="Arial"/>
                <w:spacing w:val="-3"/>
                <w:sz w:val="18"/>
              </w:rPr>
              <w:t>5,330,000)</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9"/>
              <w:jc w:val="right"/>
              <w:rPr>
                <w:rFonts w:ascii="Arial" w:hAnsi="Arial" w:cs="Arial" w:eastAsia="Arial" w:hint="default"/>
                <w:sz w:val="18"/>
                <w:szCs w:val="18"/>
              </w:rPr>
            </w:pPr>
            <w:r>
              <w:rPr>
                <w:rFonts w:ascii="Arial"/>
                <w:w w:val="99"/>
                <w:sz w:val="18"/>
              </w:rPr>
              <w:t>-</w:t>
            </w:r>
            <w:r>
              <w:rPr>
                <w:rFonts w:ascii="Arial"/>
                <w:sz w:val="18"/>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93"/>
              <w:jc w:val="right"/>
              <w:rPr>
                <w:rFonts w:ascii="Arial" w:hAnsi="Arial" w:cs="Arial" w:eastAsia="Arial" w:hint="default"/>
                <w:sz w:val="18"/>
                <w:szCs w:val="18"/>
              </w:rPr>
            </w:pPr>
            <w:r>
              <w:rPr>
                <w:rFonts w:ascii="Arial"/>
                <w:spacing w:val="-1"/>
                <w:w w:val="95"/>
                <w:sz w:val="18"/>
              </w:rPr>
              <w:t>19.80</w:t>
            </w:r>
            <w:r>
              <w:rPr>
                <w:rFonts w:ascii="Arial"/>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03"/>
              <w:jc w:val="right"/>
              <w:rPr>
                <w:rFonts w:ascii="Arial" w:hAnsi="Arial" w:cs="Arial" w:eastAsia="Arial" w:hint="default"/>
                <w:sz w:val="18"/>
                <w:szCs w:val="18"/>
              </w:rPr>
            </w:pPr>
            <w:r>
              <w:rPr>
                <w:rFonts w:ascii="Arial"/>
                <w:spacing w:val="-1"/>
                <w:w w:val="95"/>
                <w:sz w:val="18"/>
              </w:rPr>
              <w:t>19.80</w:t>
            </w:r>
            <w:r>
              <w:rPr>
                <w:rFonts w:ascii="Arial"/>
                <w:sz w:val="18"/>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92"/>
              <w:jc w:val="right"/>
              <w:rPr>
                <w:rFonts w:ascii="Arial" w:hAnsi="Arial" w:cs="Arial" w:eastAsia="Arial" w:hint="default"/>
                <w:sz w:val="18"/>
                <w:szCs w:val="18"/>
              </w:rPr>
            </w:pPr>
            <w:r>
              <w:rPr>
                <w:rFonts w:ascii="Arial"/>
                <w:w w:val="99"/>
                <w:sz w:val="18"/>
              </w:rPr>
              <w:t>-</w:t>
            </w:r>
            <w:r>
              <w:rPr>
                <w:rFonts w:ascii="Arial"/>
                <w:sz w:val="18"/>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84"/>
              <w:jc w:val="right"/>
              <w:rPr>
                <w:rFonts w:ascii="Arial" w:hAnsi="Arial" w:cs="Arial" w:eastAsia="Arial" w:hint="default"/>
                <w:sz w:val="18"/>
                <w:szCs w:val="18"/>
              </w:rPr>
            </w:pPr>
            <w:r>
              <w:rPr>
                <w:rFonts w:ascii="Arial"/>
                <w:spacing w:val="-1"/>
                <w:sz w:val="18"/>
              </w:rPr>
              <w:t>(5,330,000)</w:t>
            </w:r>
            <w:r>
              <w:rPr>
                <w:rFonts w:ascii="Arial"/>
                <w:sz w:val="18"/>
              </w:rPr>
            </w:r>
          </w:p>
        </w:tc>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04" w:lineRule="exact"/>
              <w:ind w:left="35" w:right="0"/>
              <w:jc w:val="left"/>
              <w:rPr>
                <w:rFonts w:ascii="黑体" w:hAnsi="黑体" w:cs="黑体" w:eastAsia="黑体" w:hint="default"/>
                <w:sz w:val="18"/>
                <w:szCs w:val="18"/>
              </w:rPr>
            </w:pPr>
            <w:r>
              <w:rPr>
                <w:rFonts w:ascii="黑体" w:hAnsi="黑体" w:cs="黑体" w:eastAsia="黑体" w:hint="default"/>
                <w:sz w:val="18"/>
                <w:szCs w:val="18"/>
              </w:rPr>
              <w:t>深圳市硕旺管理咨询有限公司</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06"/>
              <w:jc w:val="right"/>
              <w:rPr>
                <w:rFonts w:ascii="Arial" w:hAnsi="Arial" w:cs="Arial" w:eastAsia="Arial" w:hint="default"/>
                <w:sz w:val="18"/>
                <w:szCs w:val="18"/>
              </w:rPr>
            </w:pPr>
            <w:r>
              <w:rPr>
                <w:rFonts w:ascii="Arial"/>
                <w:spacing w:val="-1"/>
                <w:sz w:val="18"/>
              </w:rPr>
              <w:t>250,000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1"/>
              <w:jc w:val="right"/>
              <w:rPr>
                <w:rFonts w:ascii="Arial" w:hAnsi="Arial" w:cs="Arial" w:eastAsia="Arial" w:hint="default"/>
                <w:sz w:val="18"/>
                <w:szCs w:val="18"/>
              </w:rPr>
            </w:pPr>
            <w:r>
              <w:rPr>
                <w:rFonts w:ascii="Arial"/>
                <w:spacing w:val="-1"/>
                <w:sz w:val="18"/>
              </w:rPr>
              <w:t>250,000</w:t>
            </w:r>
          </w:p>
        </w:tc>
        <w:tc>
          <w:tcPr>
            <w:tcW w:w="1603" w:type="dxa"/>
            <w:tcBorders>
              <w:top w:val="nil" w:sz="6" w:space="0" w:color="auto"/>
              <w:left w:val="nil" w:sz="6" w:space="0" w:color="auto"/>
              <w:bottom w:val="nil" w:sz="6" w:space="0" w:color="auto"/>
              <w:right w:val="nil" w:sz="6" w:space="0" w:color="auto"/>
            </w:tcBorders>
          </w:tcPr>
          <w:p>
            <w:pPr>
              <w:pStyle w:val="TableParagraph"/>
              <w:tabs>
                <w:tab w:pos="330" w:val="left" w:leader="none"/>
              </w:tabs>
              <w:spacing w:line="240" w:lineRule="auto" w:before="29"/>
              <w:ind w:right="354"/>
              <w:jc w:val="right"/>
              <w:rPr>
                <w:rFonts w:ascii="Arial" w:hAnsi="Arial" w:cs="Arial" w:eastAsia="Arial" w:hint="default"/>
                <w:sz w:val="18"/>
                <w:szCs w:val="18"/>
              </w:rPr>
            </w:pPr>
            <w:r>
              <w:rPr>
                <w:rFonts w:ascii="Arial"/>
                <w:sz w:val="18"/>
              </w:rPr>
              <w:t>(</w:t>
              <w:tab/>
            </w:r>
            <w:r>
              <w:rPr>
                <w:rFonts w:ascii="Arial"/>
                <w:spacing w:val="-3"/>
                <w:sz w:val="18"/>
              </w:rPr>
              <w:t>250,000)</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88"/>
              <w:jc w:val="right"/>
              <w:rPr>
                <w:rFonts w:ascii="Arial" w:hAnsi="Arial" w:cs="Arial" w:eastAsia="Arial" w:hint="default"/>
                <w:sz w:val="18"/>
                <w:szCs w:val="18"/>
              </w:rPr>
            </w:pPr>
            <w:r>
              <w:rPr>
                <w:rFonts w:ascii="Arial"/>
                <w:w w:val="99"/>
                <w:sz w:val="18"/>
              </w:rPr>
              <w:t>-</w:t>
            </w:r>
            <w:r>
              <w:rPr>
                <w:rFonts w:ascii="Arial"/>
                <w:sz w:val="18"/>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94"/>
              <w:jc w:val="right"/>
              <w:rPr>
                <w:rFonts w:ascii="Arial" w:hAnsi="Arial" w:cs="Arial" w:eastAsia="Arial" w:hint="default"/>
                <w:sz w:val="18"/>
                <w:szCs w:val="18"/>
              </w:rPr>
            </w:pPr>
            <w:r>
              <w:rPr>
                <w:rFonts w:ascii="Arial"/>
                <w:spacing w:val="-1"/>
                <w:w w:val="95"/>
                <w:sz w:val="18"/>
              </w:rPr>
              <w:t>5.00</w:t>
            </w:r>
            <w:r>
              <w:rPr>
                <w:rFonts w:ascii="Arial"/>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3"/>
              <w:jc w:val="right"/>
              <w:rPr>
                <w:rFonts w:ascii="Arial" w:hAnsi="Arial" w:cs="Arial" w:eastAsia="Arial" w:hint="default"/>
                <w:sz w:val="18"/>
                <w:szCs w:val="18"/>
              </w:rPr>
            </w:pPr>
            <w:r>
              <w:rPr>
                <w:rFonts w:ascii="Arial"/>
                <w:spacing w:val="-1"/>
                <w:w w:val="95"/>
                <w:sz w:val="18"/>
              </w:rPr>
              <w:t>5.00</w:t>
            </w:r>
            <w:r>
              <w:rPr>
                <w:rFonts w:ascii="Arial"/>
                <w:sz w:val="18"/>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3"/>
              <w:jc w:val="right"/>
              <w:rPr>
                <w:rFonts w:ascii="Arial" w:hAnsi="Arial" w:cs="Arial" w:eastAsia="Arial" w:hint="default"/>
                <w:sz w:val="18"/>
                <w:szCs w:val="18"/>
              </w:rPr>
            </w:pPr>
            <w:r>
              <w:rPr>
                <w:rFonts w:ascii="Arial"/>
                <w:w w:val="99"/>
                <w:sz w:val="18"/>
              </w:rPr>
              <w:t>-</w:t>
            </w:r>
            <w:r>
              <w:rPr>
                <w:rFonts w:ascii="Arial"/>
                <w:sz w:val="18"/>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484"/>
              <w:jc w:val="right"/>
              <w:rPr>
                <w:rFonts w:ascii="Arial" w:hAnsi="Arial" w:cs="Arial" w:eastAsia="Arial" w:hint="default"/>
                <w:sz w:val="18"/>
                <w:szCs w:val="18"/>
              </w:rPr>
            </w:pPr>
            <w:r>
              <w:rPr>
                <w:rFonts w:ascii="Arial"/>
                <w:sz w:val="18"/>
              </w:rPr>
              <w:t>(  </w:t>
            </w:r>
            <w:r>
              <w:rPr>
                <w:rFonts w:ascii="Arial"/>
                <w:spacing w:val="21"/>
                <w:sz w:val="18"/>
              </w:rPr>
              <w:t> </w:t>
            </w:r>
            <w:r>
              <w:rPr>
                <w:rFonts w:ascii="Arial"/>
                <w:sz w:val="18"/>
              </w:rPr>
              <w:t>250,000)</w:t>
            </w:r>
          </w:p>
        </w:tc>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03" w:lineRule="exact"/>
              <w:ind w:left="35" w:right="0"/>
              <w:jc w:val="left"/>
              <w:rPr>
                <w:rFonts w:ascii="黑体" w:hAnsi="黑体" w:cs="黑体" w:eastAsia="黑体" w:hint="default"/>
                <w:sz w:val="18"/>
                <w:szCs w:val="18"/>
              </w:rPr>
            </w:pPr>
            <w:r>
              <w:rPr>
                <w:rFonts w:ascii="黑体" w:hAnsi="黑体" w:cs="黑体" w:eastAsia="黑体" w:hint="default"/>
                <w:sz w:val="18"/>
                <w:szCs w:val="18"/>
              </w:rPr>
              <w:t>北京汉普管理咨询有限公司</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06"/>
              <w:jc w:val="right"/>
              <w:rPr>
                <w:rFonts w:ascii="Arial" w:hAnsi="Arial" w:cs="Arial" w:eastAsia="Arial" w:hint="default"/>
                <w:sz w:val="18"/>
                <w:szCs w:val="18"/>
              </w:rPr>
            </w:pPr>
            <w:r>
              <w:rPr>
                <w:rFonts w:ascii="Arial"/>
                <w:spacing w:val="-1"/>
                <w:sz w:val="18"/>
              </w:rPr>
              <w:t>700,000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12"/>
              <w:jc w:val="right"/>
              <w:rPr>
                <w:rFonts w:ascii="Arial" w:hAnsi="Arial" w:cs="Arial" w:eastAsia="Arial" w:hint="default"/>
                <w:sz w:val="18"/>
                <w:szCs w:val="18"/>
              </w:rPr>
            </w:pPr>
            <w:r>
              <w:rPr>
                <w:rFonts w:ascii="Arial"/>
                <w:spacing w:val="-1"/>
                <w:sz w:val="18"/>
              </w:rPr>
              <w:t>700,000</w:t>
            </w:r>
          </w:p>
        </w:tc>
        <w:tc>
          <w:tcPr>
            <w:tcW w:w="1603" w:type="dxa"/>
            <w:tcBorders>
              <w:top w:val="nil" w:sz="6" w:space="0" w:color="auto"/>
              <w:left w:val="nil" w:sz="6" w:space="0" w:color="auto"/>
              <w:bottom w:val="nil" w:sz="6" w:space="0" w:color="auto"/>
              <w:right w:val="nil" w:sz="6" w:space="0" w:color="auto"/>
            </w:tcBorders>
          </w:tcPr>
          <w:p>
            <w:pPr>
              <w:pStyle w:val="TableParagraph"/>
              <w:tabs>
                <w:tab w:pos="330" w:val="left" w:leader="none"/>
              </w:tabs>
              <w:spacing w:line="240" w:lineRule="auto" w:before="28"/>
              <w:ind w:right="355"/>
              <w:jc w:val="right"/>
              <w:rPr>
                <w:rFonts w:ascii="Arial" w:hAnsi="Arial" w:cs="Arial" w:eastAsia="Arial" w:hint="default"/>
                <w:sz w:val="18"/>
                <w:szCs w:val="18"/>
              </w:rPr>
            </w:pPr>
            <w:r>
              <w:rPr>
                <w:rFonts w:ascii="Arial"/>
                <w:sz w:val="18"/>
              </w:rPr>
              <w:t>(</w:t>
              <w:tab/>
            </w:r>
            <w:r>
              <w:rPr>
                <w:rFonts w:ascii="Arial"/>
                <w:spacing w:val="-3"/>
                <w:sz w:val="18"/>
              </w:rPr>
              <w:t>700,000)</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9"/>
              <w:jc w:val="right"/>
              <w:rPr>
                <w:rFonts w:ascii="Arial" w:hAnsi="Arial" w:cs="Arial" w:eastAsia="Arial" w:hint="default"/>
                <w:sz w:val="18"/>
                <w:szCs w:val="18"/>
              </w:rPr>
            </w:pPr>
            <w:r>
              <w:rPr>
                <w:rFonts w:ascii="Arial"/>
                <w:w w:val="99"/>
                <w:sz w:val="18"/>
              </w:rPr>
              <w:t>-</w:t>
            </w:r>
            <w:r>
              <w:rPr>
                <w:rFonts w:ascii="Arial"/>
                <w:sz w:val="18"/>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93"/>
              <w:jc w:val="right"/>
              <w:rPr>
                <w:rFonts w:ascii="Arial" w:hAnsi="Arial" w:cs="Arial" w:eastAsia="Arial" w:hint="default"/>
                <w:sz w:val="18"/>
                <w:szCs w:val="18"/>
              </w:rPr>
            </w:pPr>
            <w:r>
              <w:rPr>
                <w:rFonts w:ascii="Arial"/>
                <w:spacing w:val="-1"/>
                <w:w w:val="95"/>
                <w:sz w:val="18"/>
              </w:rPr>
              <w:t>20.00</w:t>
            </w:r>
            <w:r>
              <w:rPr>
                <w:rFonts w:ascii="Arial"/>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04"/>
              <w:jc w:val="right"/>
              <w:rPr>
                <w:rFonts w:ascii="Arial" w:hAnsi="Arial" w:cs="Arial" w:eastAsia="Arial" w:hint="default"/>
                <w:sz w:val="18"/>
                <w:szCs w:val="18"/>
              </w:rPr>
            </w:pPr>
            <w:r>
              <w:rPr>
                <w:rFonts w:ascii="Arial"/>
                <w:spacing w:val="-1"/>
                <w:w w:val="95"/>
                <w:sz w:val="18"/>
              </w:rPr>
              <w:t>20.00</w:t>
            </w:r>
            <w:r>
              <w:rPr>
                <w:rFonts w:ascii="Arial"/>
                <w:sz w:val="18"/>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93"/>
              <w:jc w:val="right"/>
              <w:rPr>
                <w:rFonts w:ascii="Arial" w:hAnsi="Arial" w:cs="Arial" w:eastAsia="Arial" w:hint="default"/>
                <w:sz w:val="18"/>
                <w:szCs w:val="18"/>
              </w:rPr>
            </w:pPr>
            <w:r>
              <w:rPr>
                <w:rFonts w:ascii="Arial"/>
                <w:w w:val="99"/>
                <w:sz w:val="18"/>
              </w:rPr>
              <w:t>-</w:t>
            </w:r>
            <w:r>
              <w:rPr>
                <w:rFonts w:ascii="Arial"/>
                <w:sz w:val="18"/>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84"/>
              <w:jc w:val="right"/>
              <w:rPr>
                <w:rFonts w:ascii="Arial" w:hAnsi="Arial" w:cs="Arial" w:eastAsia="Arial" w:hint="default"/>
                <w:sz w:val="18"/>
                <w:szCs w:val="18"/>
              </w:rPr>
            </w:pPr>
            <w:r>
              <w:rPr>
                <w:rFonts w:ascii="Arial"/>
                <w:sz w:val="18"/>
              </w:rPr>
              <w:t>(  </w:t>
            </w:r>
            <w:r>
              <w:rPr>
                <w:rFonts w:ascii="Arial"/>
                <w:spacing w:val="22"/>
                <w:sz w:val="18"/>
              </w:rPr>
              <w:t> </w:t>
            </w:r>
            <w:r>
              <w:rPr>
                <w:rFonts w:ascii="Arial"/>
                <w:sz w:val="18"/>
              </w:rPr>
              <w:t>700,000)</w:t>
            </w:r>
          </w:p>
        </w:tc>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04" w:lineRule="exact"/>
              <w:ind w:left="35" w:right="0"/>
              <w:jc w:val="left"/>
              <w:rPr>
                <w:rFonts w:ascii="黑体" w:hAnsi="黑体" w:cs="黑体" w:eastAsia="黑体" w:hint="default"/>
                <w:sz w:val="18"/>
                <w:szCs w:val="18"/>
              </w:rPr>
            </w:pPr>
            <w:r>
              <w:rPr>
                <w:rFonts w:ascii="黑体" w:hAnsi="黑体" w:cs="黑体" w:eastAsia="黑体" w:hint="default"/>
                <w:sz w:val="18"/>
                <w:szCs w:val="18"/>
              </w:rPr>
              <w:t>西安用友财务软件有限责任公司</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06"/>
              <w:jc w:val="right"/>
              <w:rPr>
                <w:rFonts w:ascii="Arial" w:hAnsi="Arial" w:cs="Arial" w:eastAsia="Arial" w:hint="default"/>
                <w:sz w:val="18"/>
                <w:szCs w:val="18"/>
              </w:rPr>
            </w:pPr>
            <w:r>
              <w:rPr>
                <w:rFonts w:ascii="Arial"/>
                <w:spacing w:val="-1"/>
                <w:sz w:val="18"/>
              </w:rPr>
              <w:t>90,000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2"/>
              <w:jc w:val="right"/>
              <w:rPr>
                <w:rFonts w:ascii="Arial" w:hAnsi="Arial" w:cs="Arial" w:eastAsia="Arial" w:hint="default"/>
                <w:sz w:val="18"/>
                <w:szCs w:val="18"/>
              </w:rPr>
            </w:pPr>
            <w:r>
              <w:rPr>
                <w:rFonts w:ascii="Arial"/>
                <w:spacing w:val="-1"/>
                <w:sz w:val="18"/>
              </w:rPr>
              <w:t>90,000</w:t>
            </w:r>
          </w:p>
        </w:tc>
        <w:tc>
          <w:tcPr>
            <w:tcW w:w="1603" w:type="dxa"/>
            <w:tcBorders>
              <w:top w:val="nil" w:sz="6" w:space="0" w:color="auto"/>
              <w:left w:val="nil" w:sz="6" w:space="0" w:color="auto"/>
              <w:bottom w:val="nil" w:sz="6" w:space="0" w:color="auto"/>
              <w:right w:val="nil" w:sz="6" w:space="0" w:color="auto"/>
            </w:tcBorders>
          </w:tcPr>
          <w:p>
            <w:pPr>
              <w:pStyle w:val="TableParagraph"/>
              <w:tabs>
                <w:tab w:pos="440" w:val="left" w:leader="none"/>
              </w:tabs>
              <w:spacing w:line="240" w:lineRule="auto" w:before="29"/>
              <w:ind w:right="355"/>
              <w:jc w:val="right"/>
              <w:rPr>
                <w:rFonts w:ascii="Arial" w:hAnsi="Arial" w:cs="Arial" w:eastAsia="Arial" w:hint="default"/>
                <w:sz w:val="18"/>
                <w:szCs w:val="18"/>
              </w:rPr>
            </w:pPr>
            <w:r>
              <w:rPr>
                <w:rFonts w:ascii="Arial"/>
                <w:sz w:val="18"/>
              </w:rPr>
              <w:t>(</w:t>
              <w:tab/>
            </w:r>
            <w:r>
              <w:rPr>
                <w:rFonts w:ascii="Arial"/>
                <w:spacing w:val="-4"/>
                <w:sz w:val="18"/>
              </w:rPr>
              <w:t>90,000)</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9"/>
              <w:jc w:val="right"/>
              <w:rPr>
                <w:rFonts w:ascii="Arial" w:hAnsi="Arial" w:cs="Arial" w:eastAsia="Arial" w:hint="default"/>
                <w:sz w:val="18"/>
                <w:szCs w:val="18"/>
              </w:rPr>
            </w:pPr>
            <w:r>
              <w:rPr>
                <w:rFonts w:ascii="Arial"/>
                <w:w w:val="99"/>
                <w:sz w:val="18"/>
              </w:rPr>
              <w:t>-</w:t>
            </w:r>
            <w:r>
              <w:rPr>
                <w:rFonts w:ascii="Arial"/>
                <w:sz w:val="18"/>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93"/>
              <w:jc w:val="right"/>
              <w:rPr>
                <w:rFonts w:ascii="Arial" w:hAnsi="Arial" w:cs="Arial" w:eastAsia="Arial" w:hint="default"/>
                <w:sz w:val="18"/>
                <w:szCs w:val="18"/>
              </w:rPr>
            </w:pPr>
            <w:r>
              <w:rPr>
                <w:rFonts w:ascii="Arial"/>
                <w:spacing w:val="-1"/>
                <w:w w:val="95"/>
                <w:sz w:val="18"/>
              </w:rPr>
              <w:t>18.00</w:t>
            </w:r>
            <w:r>
              <w:rPr>
                <w:rFonts w:ascii="Arial"/>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04"/>
              <w:jc w:val="right"/>
              <w:rPr>
                <w:rFonts w:ascii="Arial" w:hAnsi="Arial" w:cs="Arial" w:eastAsia="Arial" w:hint="default"/>
                <w:sz w:val="18"/>
                <w:szCs w:val="18"/>
              </w:rPr>
            </w:pPr>
            <w:r>
              <w:rPr>
                <w:rFonts w:ascii="Arial"/>
                <w:spacing w:val="-1"/>
                <w:w w:val="95"/>
                <w:sz w:val="18"/>
              </w:rPr>
              <w:t>18.00</w:t>
            </w:r>
            <w:r>
              <w:rPr>
                <w:rFonts w:ascii="Arial"/>
                <w:sz w:val="18"/>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93"/>
              <w:jc w:val="right"/>
              <w:rPr>
                <w:rFonts w:ascii="Arial" w:hAnsi="Arial" w:cs="Arial" w:eastAsia="Arial" w:hint="default"/>
                <w:sz w:val="18"/>
                <w:szCs w:val="18"/>
              </w:rPr>
            </w:pPr>
            <w:r>
              <w:rPr>
                <w:rFonts w:ascii="Arial"/>
                <w:w w:val="99"/>
                <w:sz w:val="18"/>
              </w:rPr>
              <w:t>-</w:t>
            </w:r>
            <w:r>
              <w:rPr>
                <w:rFonts w:ascii="Arial"/>
                <w:sz w:val="18"/>
              </w:rPr>
            </w:r>
          </w:p>
        </w:tc>
        <w:tc>
          <w:tcPr>
            <w:tcW w:w="1630" w:type="dxa"/>
            <w:tcBorders>
              <w:top w:val="nil" w:sz="6" w:space="0" w:color="auto"/>
              <w:left w:val="nil" w:sz="6" w:space="0" w:color="auto"/>
              <w:bottom w:val="nil" w:sz="6" w:space="0" w:color="auto"/>
              <w:right w:val="nil" w:sz="6" w:space="0" w:color="auto"/>
            </w:tcBorders>
          </w:tcPr>
          <w:p>
            <w:pPr>
              <w:pStyle w:val="TableParagraph"/>
              <w:tabs>
                <w:tab w:pos="330" w:val="left" w:leader="none"/>
              </w:tabs>
              <w:spacing w:line="240" w:lineRule="auto" w:before="28"/>
              <w:ind w:right="485"/>
              <w:jc w:val="right"/>
              <w:rPr>
                <w:rFonts w:ascii="Arial" w:hAnsi="Arial" w:cs="Arial" w:eastAsia="Arial" w:hint="default"/>
                <w:sz w:val="18"/>
                <w:szCs w:val="18"/>
              </w:rPr>
            </w:pPr>
            <w:r>
              <w:rPr>
                <w:rFonts w:ascii="Arial"/>
                <w:sz w:val="18"/>
              </w:rPr>
              <w:t>(</w:t>
              <w:tab/>
            </w:r>
            <w:r>
              <w:rPr>
                <w:rFonts w:ascii="Arial"/>
                <w:spacing w:val="-1"/>
                <w:sz w:val="18"/>
              </w:rPr>
              <w:t>90,000)</w:t>
            </w:r>
            <w:r>
              <w:rPr>
                <w:rFonts w:ascii="Arial"/>
                <w:sz w:val="18"/>
              </w:rPr>
            </w:r>
          </w:p>
        </w:tc>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03" w:lineRule="exact"/>
              <w:ind w:left="35" w:right="0"/>
              <w:jc w:val="left"/>
              <w:rPr>
                <w:rFonts w:ascii="黑体" w:hAnsi="黑体" w:cs="黑体" w:eastAsia="黑体" w:hint="default"/>
                <w:sz w:val="18"/>
                <w:szCs w:val="18"/>
              </w:rPr>
            </w:pPr>
            <w:r>
              <w:rPr>
                <w:rFonts w:ascii="黑体" w:hAnsi="黑体" w:cs="黑体" w:eastAsia="黑体" w:hint="default"/>
                <w:sz w:val="18"/>
                <w:szCs w:val="18"/>
              </w:rPr>
              <w:t>汕头市用友软件有限公司</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06"/>
              <w:jc w:val="right"/>
              <w:rPr>
                <w:rFonts w:ascii="Arial" w:hAnsi="Arial" w:cs="Arial" w:eastAsia="Arial" w:hint="default"/>
                <w:sz w:val="18"/>
                <w:szCs w:val="18"/>
              </w:rPr>
            </w:pPr>
            <w:r>
              <w:rPr>
                <w:rFonts w:ascii="Arial"/>
                <w:spacing w:val="-1"/>
                <w:sz w:val="18"/>
              </w:rPr>
              <w:t>60,000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12"/>
              <w:jc w:val="right"/>
              <w:rPr>
                <w:rFonts w:ascii="Arial" w:hAnsi="Arial" w:cs="Arial" w:eastAsia="Arial" w:hint="default"/>
                <w:sz w:val="18"/>
                <w:szCs w:val="18"/>
              </w:rPr>
            </w:pPr>
            <w:r>
              <w:rPr>
                <w:rFonts w:ascii="Arial"/>
                <w:spacing w:val="-1"/>
                <w:sz w:val="18"/>
              </w:rPr>
              <w:t>60,000</w:t>
            </w:r>
          </w:p>
        </w:tc>
        <w:tc>
          <w:tcPr>
            <w:tcW w:w="1603" w:type="dxa"/>
            <w:tcBorders>
              <w:top w:val="nil" w:sz="6" w:space="0" w:color="auto"/>
              <w:left w:val="nil" w:sz="6" w:space="0" w:color="auto"/>
              <w:bottom w:val="nil" w:sz="6" w:space="0" w:color="auto"/>
              <w:right w:val="nil" w:sz="6" w:space="0" w:color="auto"/>
            </w:tcBorders>
          </w:tcPr>
          <w:p>
            <w:pPr>
              <w:pStyle w:val="TableParagraph"/>
              <w:tabs>
                <w:tab w:pos="440" w:val="left" w:leader="none"/>
              </w:tabs>
              <w:spacing w:line="240" w:lineRule="auto" w:before="28"/>
              <w:ind w:right="355"/>
              <w:jc w:val="right"/>
              <w:rPr>
                <w:rFonts w:ascii="Arial" w:hAnsi="Arial" w:cs="Arial" w:eastAsia="Arial" w:hint="default"/>
                <w:sz w:val="18"/>
                <w:szCs w:val="18"/>
              </w:rPr>
            </w:pPr>
            <w:r>
              <w:rPr>
                <w:rFonts w:ascii="Arial"/>
                <w:sz w:val="18"/>
              </w:rPr>
              <w:t>(</w:t>
              <w:tab/>
            </w:r>
            <w:r>
              <w:rPr>
                <w:rFonts w:ascii="Arial"/>
                <w:spacing w:val="-4"/>
                <w:sz w:val="18"/>
              </w:rPr>
              <w:t>60,000)</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9"/>
              <w:jc w:val="right"/>
              <w:rPr>
                <w:rFonts w:ascii="Arial" w:hAnsi="Arial" w:cs="Arial" w:eastAsia="Arial" w:hint="default"/>
                <w:sz w:val="18"/>
                <w:szCs w:val="18"/>
              </w:rPr>
            </w:pPr>
            <w:r>
              <w:rPr>
                <w:rFonts w:ascii="Arial"/>
                <w:w w:val="99"/>
                <w:sz w:val="18"/>
              </w:rPr>
              <w:t>-</w:t>
            </w:r>
            <w:r>
              <w:rPr>
                <w:rFonts w:ascii="Arial"/>
                <w:sz w:val="18"/>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93"/>
              <w:jc w:val="right"/>
              <w:rPr>
                <w:rFonts w:ascii="Arial" w:hAnsi="Arial" w:cs="Arial" w:eastAsia="Arial" w:hint="default"/>
                <w:sz w:val="18"/>
                <w:szCs w:val="18"/>
              </w:rPr>
            </w:pPr>
            <w:r>
              <w:rPr>
                <w:rFonts w:ascii="Arial"/>
                <w:spacing w:val="-1"/>
                <w:w w:val="95"/>
                <w:sz w:val="18"/>
              </w:rPr>
              <w:t>20.00</w:t>
            </w:r>
            <w:r>
              <w:rPr>
                <w:rFonts w:ascii="Arial"/>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04"/>
              <w:jc w:val="right"/>
              <w:rPr>
                <w:rFonts w:ascii="Arial" w:hAnsi="Arial" w:cs="Arial" w:eastAsia="Arial" w:hint="default"/>
                <w:sz w:val="18"/>
                <w:szCs w:val="18"/>
              </w:rPr>
            </w:pPr>
            <w:r>
              <w:rPr>
                <w:rFonts w:ascii="Arial"/>
                <w:spacing w:val="-1"/>
                <w:w w:val="95"/>
                <w:sz w:val="18"/>
              </w:rPr>
              <w:t>20.00</w:t>
            </w:r>
            <w:r>
              <w:rPr>
                <w:rFonts w:ascii="Arial"/>
                <w:sz w:val="18"/>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93"/>
              <w:jc w:val="right"/>
              <w:rPr>
                <w:rFonts w:ascii="Arial" w:hAnsi="Arial" w:cs="Arial" w:eastAsia="Arial" w:hint="default"/>
                <w:sz w:val="18"/>
                <w:szCs w:val="18"/>
              </w:rPr>
            </w:pPr>
            <w:r>
              <w:rPr>
                <w:rFonts w:ascii="Arial"/>
                <w:w w:val="99"/>
                <w:sz w:val="18"/>
              </w:rPr>
              <w:t>-</w:t>
            </w:r>
            <w:r>
              <w:rPr>
                <w:rFonts w:ascii="Arial"/>
                <w:sz w:val="18"/>
              </w:rPr>
            </w:r>
          </w:p>
        </w:tc>
        <w:tc>
          <w:tcPr>
            <w:tcW w:w="1630" w:type="dxa"/>
            <w:tcBorders>
              <w:top w:val="nil" w:sz="6" w:space="0" w:color="auto"/>
              <w:left w:val="nil" w:sz="6" w:space="0" w:color="auto"/>
              <w:bottom w:val="nil" w:sz="6" w:space="0" w:color="auto"/>
              <w:right w:val="nil" w:sz="6" w:space="0" w:color="auto"/>
            </w:tcBorders>
          </w:tcPr>
          <w:p>
            <w:pPr>
              <w:pStyle w:val="TableParagraph"/>
              <w:tabs>
                <w:tab w:pos="330" w:val="left" w:leader="none"/>
              </w:tabs>
              <w:spacing w:line="240" w:lineRule="auto" w:before="28"/>
              <w:ind w:right="485"/>
              <w:jc w:val="right"/>
              <w:rPr>
                <w:rFonts w:ascii="Arial" w:hAnsi="Arial" w:cs="Arial" w:eastAsia="Arial" w:hint="default"/>
                <w:sz w:val="18"/>
                <w:szCs w:val="18"/>
              </w:rPr>
            </w:pPr>
            <w:r>
              <w:rPr>
                <w:rFonts w:ascii="Arial"/>
                <w:sz w:val="18"/>
              </w:rPr>
              <w:t>(</w:t>
              <w:tab/>
            </w:r>
            <w:r>
              <w:rPr>
                <w:rFonts w:ascii="Arial"/>
                <w:spacing w:val="-1"/>
                <w:sz w:val="18"/>
              </w:rPr>
              <w:t>60,000)</w:t>
            </w:r>
            <w:r>
              <w:rPr>
                <w:rFonts w:ascii="Arial"/>
                <w:sz w:val="18"/>
              </w:rPr>
            </w:r>
          </w:p>
        </w:tc>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04" w:lineRule="exact"/>
              <w:ind w:left="35" w:right="0"/>
              <w:jc w:val="left"/>
              <w:rPr>
                <w:rFonts w:ascii="黑体" w:hAnsi="黑体" w:cs="黑体" w:eastAsia="黑体" w:hint="default"/>
                <w:sz w:val="18"/>
                <w:szCs w:val="18"/>
              </w:rPr>
            </w:pPr>
            <w:r>
              <w:rPr>
                <w:rFonts w:ascii="黑体" w:hAnsi="黑体" w:cs="黑体" w:eastAsia="黑体" w:hint="default"/>
                <w:sz w:val="18"/>
                <w:szCs w:val="18"/>
              </w:rPr>
              <w:t>杭州优智软件有限公司</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06"/>
              <w:jc w:val="right"/>
              <w:rPr>
                <w:rFonts w:ascii="Arial" w:hAnsi="Arial" w:cs="Arial" w:eastAsia="Arial" w:hint="default"/>
                <w:sz w:val="18"/>
                <w:szCs w:val="18"/>
              </w:rPr>
            </w:pPr>
            <w:r>
              <w:rPr>
                <w:rFonts w:ascii="Arial"/>
                <w:spacing w:val="-1"/>
                <w:sz w:val="18"/>
              </w:rPr>
              <w:t>2,000,000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2"/>
              <w:jc w:val="right"/>
              <w:rPr>
                <w:rFonts w:ascii="Arial" w:hAnsi="Arial" w:cs="Arial" w:eastAsia="Arial" w:hint="default"/>
                <w:sz w:val="18"/>
                <w:szCs w:val="18"/>
              </w:rPr>
            </w:pPr>
            <w:r>
              <w:rPr>
                <w:rFonts w:ascii="Arial"/>
                <w:spacing w:val="-1"/>
                <w:sz w:val="18"/>
              </w:rPr>
              <w:t>2,000,000</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98"/>
              <w:jc w:val="right"/>
              <w:rPr>
                <w:rFonts w:ascii="Arial" w:hAnsi="Arial" w:cs="Arial" w:eastAsia="Arial" w:hint="default"/>
                <w:sz w:val="18"/>
                <w:szCs w:val="18"/>
              </w:rPr>
            </w:pPr>
            <w:r>
              <w:rPr>
                <w:rFonts w:ascii="Arial"/>
                <w:w w:val="99"/>
                <w:sz w:val="18"/>
              </w:rPr>
              <w:t>-</w:t>
            </w:r>
            <w:r>
              <w:rPr>
                <w:rFonts w:ascii="Arial"/>
                <w:sz w:val="18"/>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88"/>
              <w:jc w:val="right"/>
              <w:rPr>
                <w:rFonts w:ascii="Arial" w:hAnsi="Arial" w:cs="Arial" w:eastAsia="Arial" w:hint="default"/>
                <w:sz w:val="18"/>
                <w:szCs w:val="18"/>
              </w:rPr>
            </w:pPr>
            <w:r>
              <w:rPr>
                <w:rFonts w:ascii="Arial"/>
                <w:spacing w:val="-1"/>
                <w:sz w:val="18"/>
              </w:rPr>
              <w:t>2,000,000</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92"/>
              <w:jc w:val="right"/>
              <w:rPr>
                <w:rFonts w:ascii="Arial" w:hAnsi="Arial" w:cs="Arial" w:eastAsia="Arial" w:hint="default"/>
                <w:sz w:val="18"/>
                <w:szCs w:val="18"/>
              </w:rPr>
            </w:pPr>
            <w:r>
              <w:rPr>
                <w:rFonts w:ascii="Arial"/>
                <w:spacing w:val="-1"/>
                <w:w w:val="95"/>
                <w:sz w:val="18"/>
              </w:rPr>
              <w:t>19.80</w:t>
            </w:r>
            <w:r>
              <w:rPr>
                <w:rFonts w:ascii="Arial"/>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3"/>
              <w:jc w:val="right"/>
              <w:rPr>
                <w:rFonts w:ascii="Arial" w:hAnsi="Arial" w:cs="Arial" w:eastAsia="Arial" w:hint="default"/>
                <w:sz w:val="18"/>
                <w:szCs w:val="18"/>
              </w:rPr>
            </w:pPr>
            <w:r>
              <w:rPr>
                <w:rFonts w:ascii="Arial"/>
                <w:spacing w:val="-1"/>
                <w:w w:val="95"/>
                <w:sz w:val="18"/>
              </w:rPr>
              <w:t>19.80</w:t>
            </w:r>
            <w:r>
              <w:rPr>
                <w:rFonts w:ascii="Arial"/>
                <w:sz w:val="18"/>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2"/>
              <w:jc w:val="right"/>
              <w:rPr>
                <w:rFonts w:ascii="Arial" w:hAnsi="Arial" w:cs="Arial" w:eastAsia="Arial" w:hint="default"/>
                <w:sz w:val="18"/>
                <w:szCs w:val="18"/>
              </w:rPr>
            </w:pPr>
            <w:r>
              <w:rPr>
                <w:rFonts w:ascii="Arial"/>
                <w:spacing w:val="-1"/>
                <w:sz w:val="18"/>
              </w:rPr>
              <w:t>2,000,000</w:t>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530"/>
              <w:jc w:val="right"/>
              <w:rPr>
                <w:rFonts w:ascii="Arial" w:hAnsi="Arial" w:cs="Arial" w:eastAsia="Arial" w:hint="default"/>
                <w:sz w:val="18"/>
                <w:szCs w:val="18"/>
              </w:rPr>
            </w:pPr>
            <w:r>
              <w:rPr>
                <w:rFonts w:ascii="Arial"/>
                <w:w w:val="99"/>
                <w:sz w:val="18"/>
              </w:rPr>
              <w:t>-</w:t>
            </w:r>
            <w:r>
              <w:rPr>
                <w:rFonts w:ascii="Arial"/>
                <w:sz w:val="18"/>
              </w:rPr>
            </w:r>
          </w:p>
        </w:tc>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03" w:lineRule="exact"/>
              <w:ind w:left="35" w:right="0"/>
              <w:jc w:val="left"/>
              <w:rPr>
                <w:rFonts w:ascii="黑体" w:hAnsi="黑体" w:cs="黑体" w:eastAsia="黑体" w:hint="default"/>
                <w:sz w:val="18"/>
                <w:szCs w:val="18"/>
              </w:rPr>
            </w:pPr>
            <w:r>
              <w:rPr>
                <w:rFonts w:ascii="黑体" w:hAnsi="黑体" w:cs="黑体" w:eastAsia="黑体" w:hint="default"/>
                <w:sz w:val="18"/>
                <w:szCs w:val="18"/>
              </w:rPr>
              <w:t>北京贯能管理技术服务有限公司</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06"/>
              <w:jc w:val="right"/>
              <w:rPr>
                <w:rFonts w:ascii="Arial" w:hAnsi="Arial" w:cs="Arial" w:eastAsia="Arial" w:hint="default"/>
                <w:sz w:val="18"/>
                <w:szCs w:val="18"/>
              </w:rPr>
            </w:pPr>
            <w:r>
              <w:rPr>
                <w:rFonts w:ascii="Arial"/>
                <w:spacing w:val="-1"/>
                <w:sz w:val="18"/>
              </w:rPr>
              <w:t>4,000,000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12"/>
              <w:jc w:val="right"/>
              <w:rPr>
                <w:rFonts w:ascii="Arial" w:hAnsi="Arial" w:cs="Arial" w:eastAsia="Arial" w:hint="default"/>
                <w:sz w:val="18"/>
                <w:szCs w:val="18"/>
              </w:rPr>
            </w:pPr>
            <w:r>
              <w:rPr>
                <w:rFonts w:ascii="Arial"/>
                <w:spacing w:val="-1"/>
                <w:sz w:val="18"/>
              </w:rPr>
              <w:t>4,000,000</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98"/>
              <w:jc w:val="right"/>
              <w:rPr>
                <w:rFonts w:ascii="Arial" w:hAnsi="Arial" w:cs="Arial" w:eastAsia="Arial" w:hint="default"/>
                <w:sz w:val="18"/>
                <w:szCs w:val="18"/>
              </w:rPr>
            </w:pPr>
            <w:r>
              <w:rPr>
                <w:rFonts w:ascii="Arial"/>
                <w:w w:val="99"/>
                <w:sz w:val="18"/>
              </w:rPr>
              <w:t>-</w:t>
            </w:r>
            <w:r>
              <w:rPr>
                <w:rFonts w:ascii="Arial"/>
                <w:sz w:val="18"/>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8"/>
              <w:jc w:val="right"/>
              <w:rPr>
                <w:rFonts w:ascii="Arial" w:hAnsi="Arial" w:cs="Arial" w:eastAsia="Arial" w:hint="default"/>
                <w:sz w:val="18"/>
                <w:szCs w:val="18"/>
              </w:rPr>
            </w:pPr>
            <w:r>
              <w:rPr>
                <w:rFonts w:ascii="Arial"/>
                <w:spacing w:val="-1"/>
                <w:sz w:val="18"/>
              </w:rPr>
              <w:t>4,000,000</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92"/>
              <w:jc w:val="right"/>
              <w:rPr>
                <w:rFonts w:ascii="Arial" w:hAnsi="Arial" w:cs="Arial" w:eastAsia="Arial" w:hint="default"/>
                <w:sz w:val="18"/>
                <w:szCs w:val="18"/>
              </w:rPr>
            </w:pPr>
            <w:r>
              <w:rPr>
                <w:rFonts w:ascii="Arial"/>
                <w:spacing w:val="-1"/>
                <w:w w:val="95"/>
                <w:sz w:val="18"/>
              </w:rPr>
              <w:t>19.90</w:t>
            </w:r>
            <w:r>
              <w:rPr>
                <w:rFonts w:ascii="Arial"/>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03"/>
              <w:jc w:val="right"/>
              <w:rPr>
                <w:rFonts w:ascii="Arial" w:hAnsi="Arial" w:cs="Arial" w:eastAsia="Arial" w:hint="default"/>
                <w:sz w:val="18"/>
                <w:szCs w:val="18"/>
              </w:rPr>
            </w:pPr>
            <w:r>
              <w:rPr>
                <w:rFonts w:ascii="Arial"/>
                <w:spacing w:val="-1"/>
                <w:w w:val="95"/>
                <w:sz w:val="18"/>
              </w:rPr>
              <w:t>19.90</w:t>
            </w:r>
            <w:r>
              <w:rPr>
                <w:rFonts w:ascii="Arial"/>
                <w:sz w:val="18"/>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92"/>
              <w:jc w:val="right"/>
              <w:rPr>
                <w:rFonts w:ascii="Arial" w:hAnsi="Arial" w:cs="Arial" w:eastAsia="Arial" w:hint="default"/>
                <w:sz w:val="18"/>
                <w:szCs w:val="18"/>
              </w:rPr>
            </w:pPr>
            <w:r>
              <w:rPr>
                <w:rFonts w:ascii="Arial"/>
                <w:spacing w:val="-1"/>
                <w:sz w:val="18"/>
              </w:rPr>
              <w:t>4,000,000</w:t>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30"/>
              <w:jc w:val="right"/>
              <w:rPr>
                <w:rFonts w:ascii="Arial" w:hAnsi="Arial" w:cs="Arial" w:eastAsia="Arial" w:hint="default"/>
                <w:sz w:val="18"/>
                <w:szCs w:val="18"/>
              </w:rPr>
            </w:pPr>
            <w:r>
              <w:rPr>
                <w:rFonts w:ascii="Arial"/>
                <w:w w:val="99"/>
                <w:sz w:val="18"/>
              </w:rPr>
              <w:t>-</w:t>
            </w:r>
            <w:r>
              <w:rPr>
                <w:rFonts w:ascii="Arial"/>
                <w:sz w:val="18"/>
              </w:rPr>
            </w:r>
          </w:p>
        </w:tc>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04" w:lineRule="exact"/>
              <w:ind w:left="35" w:right="0"/>
              <w:jc w:val="left"/>
              <w:rPr>
                <w:rFonts w:ascii="黑体" w:hAnsi="黑体" w:cs="黑体" w:eastAsia="黑体" w:hint="default"/>
                <w:sz w:val="18"/>
                <w:szCs w:val="18"/>
              </w:rPr>
            </w:pPr>
            <w:r>
              <w:rPr>
                <w:rFonts w:ascii="黑体" w:hAnsi="黑体" w:cs="黑体" w:eastAsia="黑体" w:hint="default"/>
                <w:sz w:val="18"/>
                <w:szCs w:val="18"/>
              </w:rPr>
              <w:t>中投信用担保有限公司</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06"/>
              <w:jc w:val="right"/>
              <w:rPr>
                <w:rFonts w:ascii="Arial" w:hAnsi="Arial" w:cs="Arial" w:eastAsia="Arial" w:hint="default"/>
                <w:sz w:val="18"/>
                <w:szCs w:val="18"/>
              </w:rPr>
            </w:pPr>
            <w:r>
              <w:rPr>
                <w:rFonts w:ascii="Arial"/>
                <w:spacing w:val="-1"/>
                <w:sz w:val="18"/>
              </w:rPr>
              <w:t>5,000,000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1"/>
              <w:jc w:val="right"/>
              <w:rPr>
                <w:rFonts w:ascii="Arial" w:hAnsi="Arial" w:cs="Arial" w:eastAsia="Arial" w:hint="default"/>
                <w:sz w:val="18"/>
                <w:szCs w:val="18"/>
              </w:rPr>
            </w:pPr>
            <w:r>
              <w:rPr>
                <w:rFonts w:ascii="Arial"/>
                <w:spacing w:val="-1"/>
                <w:sz w:val="18"/>
              </w:rPr>
              <w:t>5,000,000</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98"/>
              <w:jc w:val="right"/>
              <w:rPr>
                <w:rFonts w:ascii="Arial" w:hAnsi="Arial" w:cs="Arial" w:eastAsia="Arial" w:hint="default"/>
                <w:sz w:val="18"/>
                <w:szCs w:val="18"/>
              </w:rPr>
            </w:pPr>
            <w:r>
              <w:rPr>
                <w:rFonts w:ascii="Arial"/>
                <w:w w:val="99"/>
                <w:sz w:val="18"/>
              </w:rPr>
              <w:t>-</w:t>
            </w:r>
            <w:r>
              <w:rPr>
                <w:rFonts w:ascii="Arial"/>
                <w:sz w:val="18"/>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88"/>
              <w:jc w:val="right"/>
              <w:rPr>
                <w:rFonts w:ascii="Arial" w:hAnsi="Arial" w:cs="Arial" w:eastAsia="Arial" w:hint="default"/>
                <w:sz w:val="18"/>
                <w:szCs w:val="18"/>
              </w:rPr>
            </w:pPr>
            <w:r>
              <w:rPr>
                <w:rFonts w:ascii="Arial"/>
                <w:spacing w:val="-1"/>
                <w:sz w:val="18"/>
              </w:rPr>
              <w:t>5,000,000</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92"/>
              <w:jc w:val="right"/>
              <w:rPr>
                <w:rFonts w:ascii="Arial" w:hAnsi="Arial" w:cs="Arial" w:eastAsia="Arial" w:hint="default"/>
                <w:sz w:val="18"/>
                <w:szCs w:val="18"/>
              </w:rPr>
            </w:pPr>
            <w:r>
              <w:rPr>
                <w:rFonts w:ascii="Arial"/>
                <w:spacing w:val="-1"/>
                <w:w w:val="95"/>
                <w:sz w:val="18"/>
              </w:rPr>
              <w:t>0.50</w:t>
            </w:r>
            <w:r>
              <w:rPr>
                <w:rFonts w:ascii="Arial"/>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3"/>
              <w:jc w:val="right"/>
              <w:rPr>
                <w:rFonts w:ascii="Arial" w:hAnsi="Arial" w:cs="Arial" w:eastAsia="Arial" w:hint="default"/>
                <w:sz w:val="18"/>
                <w:szCs w:val="18"/>
              </w:rPr>
            </w:pPr>
            <w:r>
              <w:rPr>
                <w:rFonts w:ascii="Arial"/>
                <w:spacing w:val="-1"/>
                <w:w w:val="95"/>
                <w:sz w:val="18"/>
              </w:rPr>
              <w:t>0.50</w:t>
            </w:r>
            <w:r>
              <w:rPr>
                <w:rFonts w:ascii="Arial"/>
                <w:sz w:val="18"/>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2"/>
              <w:jc w:val="right"/>
              <w:rPr>
                <w:rFonts w:ascii="Arial" w:hAnsi="Arial" w:cs="Arial" w:eastAsia="Arial" w:hint="default"/>
                <w:sz w:val="18"/>
                <w:szCs w:val="18"/>
              </w:rPr>
            </w:pPr>
            <w:r>
              <w:rPr>
                <w:rFonts w:ascii="Arial"/>
                <w:w w:val="99"/>
                <w:sz w:val="18"/>
              </w:rPr>
              <w:t>-</w:t>
            </w:r>
            <w:r>
              <w:rPr>
                <w:rFonts w:ascii="Arial"/>
                <w:sz w:val="18"/>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529"/>
              <w:jc w:val="right"/>
              <w:rPr>
                <w:rFonts w:ascii="Arial" w:hAnsi="Arial" w:cs="Arial" w:eastAsia="Arial" w:hint="default"/>
                <w:sz w:val="18"/>
                <w:szCs w:val="18"/>
              </w:rPr>
            </w:pPr>
            <w:r>
              <w:rPr>
                <w:rFonts w:ascii="Arial"/>
                <w:w w:val="99"/>
                <w:sz w:val="18"/>
              </w:rPr>
              <w:t>-</w:t>
            </w:r>
            <w:r>
              <w:rPr>
                <w:rFonts w:ascii="Arial"/>
                <w:sz w:val="18"/>
              </w:rPr>
            </w:r>
          </w:p>
        </w:tc>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03" w:lineRule="exact"/>
              <w:ind w:left="35" w:right="0"/>
              <w:jc w:val="left"/>
              <w:rPr>
                <w:rFonts w:ascii="黑体" w:hAnsi="黑体" w:cs="黑体" w:eastAsia="黑体" w:hint="default"/>
                <w:sz w:val="18"/>
                <w:szCs w:val="18"/>
              </w:rPr>
            </w:pPr>
            <w:r>
              <w:rPr>
                <w:rFonts w:ascii="黑体" w:hAnsi="黑体" w:cs="黑体" w:eastAsia="黑体" w:hint="default"/>
                <w:sz w:val="18"/>
                <w:szCs w:val="18"/>
              </w:rPr>
              <w:t>北京用友医院管理软件有限公司</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06"/>
              <w:jc w:val="right"/>
              <w:rPr>
                <w:rFonts w:ascii="Arial" w:hAnsi="Arial" w:cs="Arial" w:eastAsia="Arial" w:hint="default"/>
                <w:sz w:val="18"/>
                <w:szCs w:val="18"/>
              </w:rPr>
            </w:pPr>
            <w:r>
              <w:rPr>
                <w:rFonts w:ascii="Arial"/>
                <w:spacing w:val="-1"/>
                <w:sz w:val="18"/>
              </w:rPr>
              <w:t>445,831</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12"/>
              <w:jc w:val="right"/>
              <w:rPr>
                <w:rFonts w:ascii="Arial" w:hAnsi="Arial" w:cs="Arial" w:eastAsia="Arial" w:hint="default"/>
                <w:sz w:val="18"/>
                <w:szCs w:val="18"/>
              </w:rPr>
            </w:pPr>
            <w:r>
              <w:rPr>
                <w:rFonts w:ascii="Arial"/>
                <w:spacing w:val="-1"/>
                <w:sz w:val="18"/>
              </w:rPr>
              <w:t>445,831</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98"/>
              <w:jc w:val="right"/>
              <w:rPr>
                <w:rFonts w:ascii="Arial" w:hAnsi="Arial" w:cs="Arial" w:eastAsia="Arial" w:hint="default"/>
                <w:sz w:val="18"/>
                <w:szCs w:val="18"/>
              </w:rPr>
            </w:pPr>
            <w:r>
              <w:rPr>
                <w:rFonts w:ascii="Arial"/>
                <w:w w:val="99"/>
                <w:sz w:val="18"/>
              </w:rPr>
              <w:t>-</w:t>
            </w:r>
            <w:r>
              <w:rPr>
                <w:rFonts w:ascii="Arial"/>
                <w:sz w:val="18"/>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9"/>
              <w:jc w:val="right"/>
              <w:rPr>
                <w:rFonts w:ascii="Arial" w:hAnsi="Arial" w:cs="Arial" w:eastAsia="Arial" w:hint="default"/>
                <w:sz w:val="18"/>
                <w:szCs w:val="18"/>
              </w:rPr>
            </w:pPr>
            <w:r>
              <w:rPr>
                <w:rFonts w:ascii="Arial"/>
                <w:spacing w:val="-1"/>
                <w:sz w:val="18"/>
              </w:rPr>
              <w:t>445,831</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93"/>
              <w:jc w:val="right"/>
              <w:rPr>
                <w:rFonts w:ascii="Arial" w:hAnsi="Arial" w:cs="Arial" w:eastAsia="Arial" w:hint="default"/>
                <w:sz w:val="18"/>
                <w:szCs w:val="18"/>
              </w:rPr>
            </w:pPr>
            <w:r>
              <w:rPr>
                <w:rFonts w:ascii="Arial"/>
                <w:spacing w:val="-1"/>
                <w:w w:val="95"/>
                <w:sz w:val="18"/>
              </w:rPr>
              <w:t>20.00</w:t>
            </w:r>
            <w:r>
              <w:rPr>
                <w:rFonts w:ascii="Arial"/>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04"/>
              <w:jc w:val="right"/>
              <w:rPr>
                <w:rFonts w:ascii="Arial" w:hAnsi="Arial" w:cs="Arial" w:eastAsia="Arial" w:hint="default"/>
                <w:sz w:val="18"/>
                <w:szCs w:val="18"/>
              </w:rPr>
            </w:pPr>
            <w:r>
              <w:rPr>
                <w:rFonts w:ascii="Arial"/>
                <w:spacing w:val="-1"/>
                <w:w w:val="95"/>
                <w:sz w:val="18"/>
              </w:rPr>
              <w:t>20.00</w:t>
            </w:r>
            <w:r>
              <w:rPr>
                <w:rFonts w:ascii="Arial"/>
                <w:sz w:val="18"/>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93"/>
              <w:jc w:val="right"/>
              <w:rPr>
                <w:rFonts w:ascii="Arial" w:hAnsi="Arial" w:cs="Arial" w:eastAsia="Arial" w:hint="default"/>
                <w:sz w:val="18"/>
                <w:szCs w:val="18"/>
              </w:rPr>
            </w:pPr>
            <w:r>
              <w:rPr>
                <w:rFonts w:ascii="Arial"/>
                <w:w w:val="99"/>
                <w:sz w:val="18"/>
              </w:rPr>
              <w:t>-</w:t>
            </w:r>
            <w:r>
              <w:rPr>
                <w:rFonts w:ascii="Arial"/>
                <w:sz w:val="18"/>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30"/>
              <w:jc w:val="right"/>
              <w:rPr>
                <w:rFonts w:ascii="Arial" w:hAnsi="Arial" w:cs="Arial" w:eastAsia="Arial" w:hint="default"/>
                <w:sz w:val="18"/>
                <w:szCs w:val="18"/>
              </w:rPr>
            </w:pPr>
            <w:r>
              <w:rPr>
                <w:rFonts w:ascii="Arial"/>
                <w:w w:val="99"/>
                <w:sz w:val="18"/>
              </w:rPr>
              <w:t>-</w:t>
            </w:r>
            <w:r>
              <w:rPr>
                <w:rFonts w:ascii="Arial"/>
                <w:sz w:val="18"/>
              </w:rPr>
            </w:r>
          </w:p>
        </w:tc>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332" w:hRule="exact"/>
        </w:trPr>
        <w:tc>
          <w:tcPr>
            <w:tcW w:w="3003" w:type="dxa"/>
            <w:tcBorders>
              <w:top w:val="nil" w:sz="6" w:space="0" w:color="auto"/>
              <w:left w:val="nil" w:sz="6" w:space="0" w:color="auto"/>
              <w:bottom w:val="nil" w:sz="6" w:space="0" w:color="auto"/>
              <w:right w:val="nil" w:sz="6" w:space="0" w:color="auto"/>
            </w:tcBorders>
          </w:tcPr>
          <w:p>
            <w:pPr>
              <w:pStyle w:val="TableParagraph"/>
              <w:spacing w:line="217" w:lineRule="exact"/>
              <w:ind w:left="35" w:right="0"/>
              <w:jc w:val="left"/>
              <w:rPr>
                <w:rFonts w:ascii="黑体" w:hAnsi="黑体" w:cs="黑体" w:eastAsia="黑体" w:hint="default"/>
                <w:sz w:val="18"/>
                <w:szCs w:val="18"/>
              </w:rPr>
            </w:pPr>
            <w:r>
              <w:rPr>
                <w:rFonts w:ascii="黑体" w:hAnsi="黑体" w:cs="黑体" w:eastAsia="黑体" w:hint="default"/>
                <w:sz w:val="18"/>
                <w:szCs w:val="18"/>
              </w:rPr>
              <w:t>北京瑞友科技有限公司（注</w:t>
            </w:r>
            <w:r>
              <w:rPr>
                <w:rFonts w:ascii="Arial" w:hAnsi="Arial" w:cs="Arial" w:eastAsia="Arial" w:hint="default"/>
                <w:sz w:val="18"/>
                <w:szCs w:val="18"/>
              </w:rPr>
              <w:t>3</w:t>
            </w:r>
            <w:r>
              <w:rPr>
                <w:rFonts w:ascii="黑体" w:hAnsi="黑体" w:cs="黑体" w:eastAsia="黑体" w:hint="default"/>
                <w:sz w:val="18"/>
                <w:szCs w:val="18"/>
              </w:rPr>
              <w:t>）</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07"/>
              <w:jc w:val="right"/>
              <w:rPr>
                <w:rFonts w:ascii="Arial" w:hAnsi="Arial" w:cs="Arial" w:eastAsia="Arial" w:hint="default"/>
                <w:sz w:val="18"/>
                <w:szCs w:val="18"/>
              </w:rPr>
            </w:pPr>
            <w:r>
              <w:rPr>
                <w:rFonts w:ascii="Arial"/>
                <w:spacing w:val="-1"/>
                <w:sz w:val="18"/>
              </w:rPr>
              <w:t>4,615,766</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2"/>
              <w:jc w:val="right"/>
              <w:rPr>
                <w:rFonts w:ascii="Arial" w:hAnsi="Arial" w:cs="Arial" w:eastAsia="Arial" w:hint="default"/>
                <w:sz w:val="18"/>
                <w:szCs w:val="18"/>
              </w:rPr>
            </w:pPr>
            <w:r>
              <w:rPr>
                <w:rFonts w:ascii="Arial"/>
                <w:spacing w:val="-1"/>
                <w:sz w:val="18"/>
              </w:rPr>
              <w:t>4,615,766</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99"/>
              <w:jc w:val="right"/>
              <w:rPr>
                <w:rFonts w:ascii="Arial" w:hAnsi="Arial" w:cs="Arial" w:eastAsia="Arial" w:hint="default"/>
                <w:sz w:val="18"/>
                <w:szCs w:val="18"/>
              </w:rPr>
            </w:pPr>
            <w:r>
              <w:rPr>
                <w:rFonts w:ascii="Arial"/>
                <w:w w:val="99"/>
                <w:sz w:val="18"/>
              </w:rPr>
              <w:t>-</w:t>
            </w:r>
            <w:r>
              <w:rPr>
                <w:rFonts w:ascii="Arial"/>
                <w:sz w:val="18"/>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88"/>
              <w:jc w:val="right"/>
              <w:rPr>
                <w:rFonts w:ascii="Arial" w:hAnsi="Arial" w:cs="Arial" w:eastAsia="Arial" w:hint="default"/>
                <w:sz w:val="18"/>
                <w:szCs w:val="18"/>
              </w:rPr>
            </w:pPr>
            <w:r>
              <w:rPr>
                <w:rFonts w:ascii="Arial"/>
                <w:spacing w:val="-1"/>
                <w:sz w:val="18"/>
              </w:rPr>
              <w:t>4,615,766</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93"/>
              <w:jc w:val="right"/>
              <w:rPr>
                <w:rFonts w:ascii="Arial" w:hAnsi="Arial" w:cs="Arial" w:eastAsia="Arial" w:hint="default"/>
                <w:sz w:val="18"/>
                <w:szCs w:val="18"/>
              </w:rPr>
            </w:pPr>
            <w:r>
              <w:rPr>
                <w:rFonts w:ascii="Arial"/>
                <w:spacing w:val="-1"/>
                <w:w w:val="95"/>
                <w:sz w:val="18"/>
              </w:rPr>
              <w:t>18.73</w:t>
            </w:r>
            <w:r>
              <w:rPr>
                <w:rFonts w:ascii="Arial"/>
                <w:sz w:val="18"/>
              </w:rPr>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4"/>
              <w:jc w:val="right"/>
              <w:rPr>
                <w:rFonts w:ascii="Arial" w:hAnsi="Arial" w:cs="Arial" w:eastAsia="Arial" w:hint="default"/>
                <w:sz w:val="18"/>
                <w:szCs w:val="18"/>
              </w:rPr>
            </w:pPr>
            <w:r>
              <w:rPr>
                <w:rFonts w:ascii="Arial"/>
                <w:spacing w:val="-1"/>
                <w:w w:val="95"/>
                <w:sz w:val="18"/>
              </w:rPr>
              <w:t>18.73</w:t>
            </w:r>
            <w:r>
              <w:rPr>
                <w:rFonts w:ascii="Arial"/>
                <w:sz w:val="18"/>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3"/>
              <w:jc w:val="right"/>
              <w:rPr>
                <w:rFonts w:ascii="Arial" w:hAnsi="Arial" w:cs="Arial" w:eastAsia="Arial" w:hint="default"/>
                <w:sz w:val="18"/>
                <w:szCs w:val="18"/>
              </w:rPr>
            </w:pPr>
            <w:r>
              <w:rPr>
                <w:rFonts w:ascii="Arial"/>
                <w:w w:val="99"/>
                <w:sz w:val="18"/>
              </w:rPr>
              <w:t>-</w:t>
            </w:r>
            <w:r>
              <w:rPr>
                <w:rFonts w:ascii="Arial"/>
                <w:sz w:val="18"/>
              </w:rPr>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530"/>
              <w:jc w:val="right"/>
              <w:rPr>
                <w:rFonts w:ascii="Arial" w:hAnsi="Arial" w:cs="Arial" w:eastAsia="Arial" w:hint="default"/>
                <w:sz w:val="18"/>
                <w:szCs w:val="18"/>
              </w:rPr>
            </w:pPr>
            <w:r>
              <w:rPr>
                <w:rFonts w:ascii="Arial"/>
                <w:w w:val="99"/>
                <w:sz w:val="18"/>
              </w:rPr>
              <w:t>-</w:t>
            </w:r>
            <w:r>
              <w:rPr>
                <w:rFonts w:ascii="Arial"/>
                <w:sz w:val="18"/>
              </w:rPr>
            </w:r>
          </w:p>
        </w:tc>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Arial" w:hAnsi="Arial" w:cs="Arial" w:eastAsia="Arial" w:hint="default"/>
                <w:sz w:val="18"/>
                <w:szCs w:val="18"/>
              </w:rPr>
            </w:pPr>
            <w:r>
              <w:rPr>
                <w:rFonts w:ascii="Arial"/>
                <w:w w:val="99"/>
                <w:sz w:val="18"/>
              </w:rPr>
              <w:t>-</w:t>
            </w:r>
            <w:r>
              <w:rPr>
                <w:rFonts w:ascii="Arial"/>
                <w:sz w:val="18"/>
              </w:rPr>
            </w:r>
          </w:p>
        </w:tc>
      </w:tr>
    </w:tbl>
    <w:p>
      <w:pPr>
        <w:spacing w:after="0" w:line="240" w:lineRule="auto"/>
        <w:jc w:val="right"/>
        <w:rPr>
          <w:rFonts w:ascii="Arial" w:hAnsi="Arial" w:cs="Arial" w:eastAsia="Arial" w:hint="default"/>
          <w:sz w:val="18"/>
          <w:szCs w:val="18"/>
        </w:rPr>
        <w:sectPr>
          <w:headerReference w:type="default" r:id="rId54"/>
          <w:footerReference w:type="default" r:id="rId55"/>
          <w:pgSz w:w="16840" w:h="11910" w:orient="landscape"/>
          <w:pgMar w:header="958" w:footer="784" w:top="2380" w:bottom="980" w:left="1020" w:right="920"/>
          <w:pgNumType w:start="70"/>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6"/>
          <w:szCs w:val="16"/>
        </w:rPr>
      </w:pPr>
    </w:p>
    <w:p>
      <w:pPr>
        <w:tabs>
          <w:tab w:pos="716" w:val="left" w:leader="none"/>
        </w:tabs>
        <w:spacing w:before="38"/>
        <w:ind w:left="113"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4"/>
        <w:rPr>
          <w:rFonts w:ascii="黑体" w:hAnsi="黑体" w:cs="黑体" w:eastAsia="黑体" w:hint="default"/>
          <w:b/>
          <w:bCs/>
          <w:sz w:val="15"/>
          <w:szCs w:val="15"/>
        </w:rPr>
      </w:pPr>
    </w:p>
    <w:p>
      <w:pPr>
        <w:tabs>
          <w:tab w:pos="694" w:val="left" w:leader="none"/>
        </w:tabs>
        <w:spacing w:before="0"/>
        <w:ind w:left="113" w:right="0" w:firstLine="0"/>
        <w:jc w:val="left"/>
        <w:rPr>
          <w:rFonts w:ascii="黑体" w:hAnsi="黑体" w:cs="黑体" w:eastAsia="黑体" w:hint="default"/>
          <w:sz w:val="20"/>
          <w:szCs w:val="20"/>
        </w:rPr>
      </w:pPr>
      <w:r>
        <w:rPr>
          <w:rFonts w:ascii="Arial" w:hAnsi="Arial" w:cs="Arial" w:eastAsia="Arial" w:hint="default"/>
          <w:b/>
          <w:bCs/>
          <w:spacing w:val="-1"/>
          <w:sz w:val="20"/>
          <w:szCs w:val="20"/>
        </w:rPr>
        <w:t>11.</w:t>
        <w:tab/>
      </w:r>
      <w:r>
        <w:rPr>
          <w:rFonts w:ascii="黑体" w:hAnsi="黑体" w:cs="黑体" w:eastAsia="黑体" w:hint="default"/>
          <w:b/>
          <w:bCs/>
          <w:sz w:val="20"/>
          <w:szCs w:val="20"/>
        </w:rPr>
        <w:t>长期股权投资（续）</w:t>
      </w:r>
      <w:r>
        <w:rPr>
          <w:rFonts w:ascii="黑体" w:hAnsi="黑体" w:cs="黑体" w:eastAsia="黑体" w:hint="default"/>
          <w:sz w:val="20"/>
          <w:szCs w:val="20"/>
        </w:rPr>
      </w:r>
    </w:p>
    <w:p>
      <w:pPr>
        <w:spacing w:line="240" w:lineRule="auto" w:before="2"/>
        <w:rPr>
          <w:rFonts w:ascii="黑体" w:hAnsi="黑体" w:cs="黑体" w:eastAsia="黑体" w:hint="default"/>
          <w:b/>
          <w:bCs/>
          <w:sz w:val="14"/>
          <w:szCs w:val="14"/>
        </w:rPr>
      </w:pPr>
    </w:p>
    <w:p>
      <w:pPr>
        <w:pStyle w:val="BodyText"/>
        <w:spacing w:line="240" w:lineRule="auto"/>
        <w:ind w:left="663" w:right="12872"/>
        <w:jc w:val="center"/>
      </w:pPr>
      <w:r>
        <w:rPr>
          <w:rFonts w:ascii="Arial" w:hAnsi="Arial" w:cs="Arial" w:eastAsia="Arial" w:hint="default"/>
        </w:rPr>
        <w:t>2009</w:t>
      </w:r>
      <w:r>
        <w:rPr/>
        <w:t>年（续）</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18"/>
          <w:szCs w:val="18"/>
        </w:rPr>
      </w:pPr>
    </w:p>
    <w:p>
      <w:pPr>
        <w:spacing w:line="228" w:lineRule="exact" w:before="0"/>
        <w:ind w:left="863" w:right="11657" w:hanging="182"/>
        <w:jc w:val="left"/>
        <w:rPr>
          <w:rFonts w:ascii="Arial" w:hAnsi="Arial" w:cs="Arial" w:eastAsia="Arial" w:hint="default"/>
          <w:sz w:val="18"/>
          <w:szCs w:val="18"/>
        </w:rPr>
      </w:pPr>
      <w:r>
        <w:rPr/>
        <w:pict>
          <v:shape style="position:absolute;margin-left:234.877594pt;margin-top:-29.417372pt;width:547.550pt;height:32.25pt;mso-position-horizontal-relative:page;mso-position-vertical-relative:paragraph;z-index:18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83"/>
                    <w:gridCol w:w="1186"/>
                    <w:gridCol w:w="1437"/>
                    <w:gridCol w:w="1134"/>
                    <w:gridCol w:w="1044"/>
                    <w:gridCol w:w="1304"/>
                    <w:gridCol w:w="2418"/>
                    <w:gridCol w:w="945"/>
                  </w:tblGrid>
                  <w:tr>
                    <w:trPr>
                      <w:trHeight w:val="322" w:hRule="exact"/>
                    </w:trPr>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黑体" w:hAnsi="黑体" w:cs="黑体" w:eastAsia="黑体" w:hint="default"/>
                            <w:sz w:val="18"/>
                            <w:szCs w:val="18"/>
                          </w:rPr>
                        </w:pPr>
                        <w:r>
                          <w:rPr>
                            <w:rFonts w:ascii="黑体" w:hAnsi="黑体" w:cs="黑体" w:eastAsia="黑体" w:hint="default"/>
                            <w:sz w:val="18"/>
                            <w:szCs w:val="18"/>
                          </w:rPr>
                          <w:t>初始投资成本</w:t>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67" w:right="0"/>
                          <w:jc w:val="left"/>
                          <w:rPr>
                            <w:rFonts w:ascii="黑体" w:hAnsi="黑体" w:cs="黑体" w:eastAsia="黑体" w:hint="default"/>
                            <w:sz w:val="18"/>
                            <w:szCs w:val="18"/>
                          </w:rPr>
                        </w:pPr>
                        <w:r>
                          <w:rPr>
                            <w:rFonts w:ascii="黑体" w:hAnsi="黑体" w:cs="黑体" w:eastAsia="黑体" w:hint="default"/>
                            <w:sz w:val="18"/>
                            <w:szCs w:val="18"/>
                          </w:rPr>
                          <w:t>年初数</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78" w:right="0"/>
                          <w:jc w:val="left"/>
                          <w:rPr>
                            <w:rFonts w:ascii="黑体" w:hAnsi="黑体" w:cs="黑体" w:eastAsia="黑体" w:hint="default"/>
                            <w:sz w:val="18"/>
                            <w:szCs w:val="18"/>
                          </w:rPr>
                        </w:pPr>
                        <w:r>
                          <w:rPr>
                            <w:rFonts w:ascii="黑体" w:hAnsi="黑体" w:cs="黑体" w:eastAsia="黑体" w:hint="default"/>
                            <w:sz w:val="18"/>
                            <w:szCs w:val="18"/>
                          </w:rPr>
                          <w:t>本年增减</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38" w:right="0"/>
                          <w:jc w:val="left"/>
                          <w:rPr>
                            <w:rFonts w:ascii="黑体" w:hAnsi="黑体" w:cs="黑体" w:eastAsia="黑体" w:hint="default"/>
                            <w:sz w:val="18"/>
                            <w:szCs w:val="18"/>
                          </w:rPr>
                        </w:pPr>
                        <w:r>
                          <w:rPr>
                            <w:rFonts w:ascii="黑体" w:hAnsi="黑体" w:cs="黑体" w:eastAsia="黑体" w:hint="default"/>
                            <w:sz w:val="18"/>
                            <w:szCs w:val="18"/>
                          </w:rPr>
                          <w:t>年末数</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6"/>
                          <w:jc w:val="right"/>
                          <w:rPr>
                            <w:rFonts w:ascii="黑体" w:hAnsi="黑体" w:cs="黑体" w:eastAsia="黑体" w:hint="default"/>
                            <w:sz w:val="18"/>
                            <w:szCs w:val="18"/>
                          </w:rPr>
                        </w:pPr>
                        <w:r>
                          <w:rPr>
                            <w:rFonts w:ascii="黑体" w:hAnsi="黑体" w:cs="黑体" w:eastAsia="黑体" w:hint="default"/>
                            <w:sz w:val="18"/>
                            <w:szCs w:val="18"/>
                          </w:rPr>
                          <w:t>持股比例</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3"/>
                          <w:jc w:val="right"/>
                          <w:rPr>
                            <w:rFonts w:ascii="黑体" w:hAnsi="黑体" w:cs="黑体" w:eastAsia="黑体" w:hint="default"/>
                            <w:sz w:val="18"/>
                            <w:szCs w:val="18"/>
                          </w:rPr>
                        </w:pPr>
                        <w:r>
                          <w:rPr>
                            <w:rFonts w:ascii="黑体" w:hAnsi="黑体" w:cs="黑体" w:eastAsia="黑体" w:hint="default"/>
                            <w:sz w:val="18"/>
                            <w:szCs w:val="18"/>
                          </w:rPr>
                          <w:t>表决权比例</w:t>
                        </w:r>
                      </w:p>
                    </w:tc>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7"/>
                          <w:jc w:val="right"/>
                          <w:rPr>
                            <w:rFonts w:ascii="Arial" w:hAnsi="Arial" w:cs="Arial" w:eastAsia="Arial" w:hint="default"/>
                            <w:sz w:val="18"/>
                            <w:szCs w:val="18"/>
                          </w:rPr>
                        </w:pPr>
                        <w:r>
                          <w:rPr>
                            <w:rFonts w:ascii="黑体" w:hAnsi="黑体" w:cs="黑体" w:eastAsia="黑体" w:hint="default"/>
                            <w:sz w:val="18"/>
                            <w:szCs w:val="18"/>
                          </w:rPr>
                          <w:t>减值准备</w:t>
                        </w:r>
                        <w:r>
                          <w:rPr>
                            <w:rFonts w:ascii="黑体" w:hAnsi="黑体" w:cs="黑体" w:eastAsia="黑体" w:hint="default"/>
                            <w:spacing w:val="-69"/>
                            <w:sz w:val="18"/>
                            <w:szCs w:val="18"/>
                          </w:rPr>
                          <w:t> </w:t>
                        </w:r>
                        <w:r>
                          <w:rPr>
                            <w:rFonts w:ascii="黑体" w:hAnsi="黑体" w:cs="黑体" w:eastAsia="黑体" w:hint="default"/>
                            <w:sz w:val="18"/>
                            <w:szCs w:val="18"/>
                          </w:rPr>
                          <w:t>本年计提</w:t>
                        </w:r>
                        <w:r>
                          <w:rPr>
                            <w:rFonts w:ascii="Arial" w:hAnsi="Arial" w:cs="Arial" w:eastAsia="Arial" w:hint="default"/>
                            <w:sz w:val="18"/>
                            <w:szCs w:val="18"/>
                          </w:rPr>
                          <w:t>/(</w:t>
                        </w:r>
                        <w:r>
                          <w:rPr>
                            <w:rFonts w:ascii="黑体" w:hAnsi="黑体" w:cs="黑体" w:eastAsia="黑体" w:hint="default"/>
                            <w:sz w:val="18"/>
                            <w:szCs w:val="18"/>
                          </w:rPr>
                          <w:t>转销</w:t>
                        </w:r>
                        <w:r>
                          <w:rPr>
                            <w:rFonts w:ascii="Arial" w:hAnsi="Arial" w:cs="Arial" w:eastAsia="Arial" w:hint="default"/>
                            <w:sz w:val="18"/>
                            <w:szCs w:val="18"/>
                          </w:rPr>
                          <w:t>)</w:t>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黑体" w:hAnsi="黑体" w:cs="黑体" w:eastAsia="黑体" w:hint="default"/>
                            <w:sz w:val="18"/>
                            <w:szCs w:val="18"/>
                          </w:rPr>
                        </w:pPr>
                        <w:r>
                          <w:rPr>
                            <w:rFonts w:ascii="黑体" w:hAnsi="黑体" w:cs="黑体" w:eastAsia="黑体" w:hint="default"/>
                            <w:sz w:val="18"/>
                            <w:szCs w:val="18"/>
                          </w:rPr>
                          <w:t>本年</w:t>
                        </w:r>
                      </w:p>
                    </w:tc>
                  </w:tr>
                  <w:tr>
                    <w:trPr>
                      <w:trHeight w:val="322" w:hRule="exact"/>
                    </w:trPr>
                    <w:tc>
                      <w:tcPr>
                        <w:tcW w:w="1483" w:type="dxa"/>
                        <w:tcBorders>
                          <w:top w:val="nil" w:sz="6" w:space="0" w:color="auto"/>
                          <w:left w:val="nil" w:sz="6" w:space="0" w:color="auto"/>
                          <w:bottom w:val="nil" w:sz="6" w:space="0" w:color="auto"/>
                          <w:right w:val="nil" w:sz="6" w:space="0" w:color="auto"/>
                        </w:tcBorders>
                      </w:tcPr>
                      <w:p>
                        <w:pPr/>
                      </w:p>
                    </w:tc>
                    <w:tc>
                      <w:tcPr>
                        <w:tcW w:w="1186" w:type="dxa"/>
                        <w:tcBorders>
                          <w:top w:val="nil" w:sz="6" w:space="0" w:color="auto"/>
                          <w:left w:val="nil" w:sz="6" w:space="0" w:color="auto"/>
                          <w:bottom w:val="nil" w:sz="6" w:space="0" w:color="auto"/>
                          <w:right w:val="nil" w:sz="6" w:space="0" w:color="auto"/>
                        </w:tcBorders>
                      </w:tcPr>
                      <w:p>
                        <w:pPr/>
                      </w:p>
                    </w:tc>
                    <w:tc>
                      <w:tcPr>
                        <w:tcW w:w="1437"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67"/>
                          <w:jc w:val="right"/>
                          <w:rPr>
                            <w:rFonts w:ascii="Arial" w:hAnsi="Arial" w:cs="Arial" w:eastAsia="Arial" w:hint="default"/>
                            <w:sz w:val="18"/>
                            <w:szCs w:val="18"/>
                          </w:rPr>
                        </w:pPr>
                        <w:r>
                          <w:rPr>
                            <w:rFonts w:ascii="Arial"/>
                            <w:spacing w:val="-1"/>
                            <w:w w:val="95"/>
                            <w:sz w:val="18"/>
                          </w:rPr>
                          <w:t>(%)</w:t>
                        </w:r>
                        <w:r>
                          <w:rPr>
                            <w:rFonts w:ascii="Arial"/>
                            <w:sz w:val="18"/>
                          </w:rPr>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33"/>
                          <w:jc w:val="right"/>
                          <w:rPr>
                            <w:rFonts w:ascii="Arial" w:hAnsi="Arial" w:cs="Arial" w:eastAsia="Arial" w:hint="default"/>
                            <w:sz w:val="18"/>
                            <w:szCs w:val="18"/>
                          </w:rPr>
                        </w:pPr>
                        <w:r>
                          <w:rPr>
                            <w:rFonts w:ascii="Arial"/>
                            <w:spacing w:val="-1"/>
                            <w:sz w:val="18"/>
                          </w:rPr>
                          <w:t>(%)</w:t>
                        </w:r>
                        <w:r>
                          <w:rPr>
                            <w:rFonts w:ascii="Arial"/>
                            <w:sz w:val="18"/>
                          </w:rPr>
                        </w:r>
                      </w:p>
                    </w:tc>
                    <w:tc>
                      <w:tcPr>
                        <w:tcW w:w="2418" w:type="dxa"/>
                        <w:tcBorders>
                          <w:top w:val="nil" w:sz="6" w:space="0" w:color="auto"/>
                          <w:left w:val="nil" w:sz="6" w:space="0" w:color="auto"/>
                          <w:bottom w:val="nil" w:sz="6" w:space="0" w:color="auto"/>
                          <w:right w:val="nil" w:sz="6" w:space="0" w:color="auto"/>
                        </w:tcBorders>
                      </w:tcPr>
                      <w:p>
                        <w:pPr>
                          <w:pStyle w:val="TableParagraph"/>
                          <w:spacing w:line="213" w:lineRule="exact"/>
                          <w:ind w:right="187"/>
                          <w:jc w:val="right"/>
                          <w:rPr>
                            <w:rFonts w:ascii="黑体" w:hAnsi="黑体" w:cs="黑体" w:eastAsia="黑体" w:hint="default"/>
                            <w:sz w:val="18"/>
                            <w:szCs w:val="18"/>
                          </w:rPr>
                        </w:pPr>
                        <w:r>
                          <w:rPr>
                            <w:rFonts w:ascii="黑体" w:hAnsi="黑体" w:cs="黑体" w:eastAsia="黑体" w:hint="default"/>
                            <w:sz w:val="18"/>
                            <w:szCs w:val="18"/>
                          </w:rPr>
                          <w:t>减值准备</w:t>
                        </w:r>
                      </w:p>
                    </w:tc>
                    <w:tc>
                      <w:tcPr>
                        <w:tcW w:w="945" w:type="dxa"/>
                        <w:tcBorders>
                          <w:top w:val="nil" w:sz="6" w:space="0" w:color="auto"/>
                          <w:left w:val="nil" w:sz="6" w:space="0" w:color="auto"/>
                          <w:bottom w:val="nil" w:sz="6" w:space="0" w:color="auto"/>
                          <w:right w:val="nil" w:sz="6" w:space="0" w:color="auto"/>
                        </w:tcBorders>
                      </w:tcPr>
                      <w:p>
                        <w:pPr>
                          <w:pStyle w:val="TableParagraph"/>
                          <w:spacing w:line="213" w:lineRule="exact"/>
                          <w:ind w:right="33"/>
                          <w:jc w:val="right"/>
                          <w:rPr>
                            <w:rFonts w:ascii="黑体" w:hAnsi="黑体" w:cs="黑体" w:eastAsia="黑体" w:hint="default"/>
                            <w:sz w:val="18"/>
                            <w:szCs w:val="18"/>
                          </w:rPr>
                        </w:pPr>
                        <w:r>
                          <w:rPr>
                            <w:rFonts w:ascii="黑体" w:hAnsi="黑体" w:cs="黑体" w:eastAsia="黑体" w:hint="default"/>
                            <w:sz w:val="18"/>
                            <w:szCs w:val="18"/>
                          </w:rPr>
                          <w:t>现金红利</w:t>
                        </w:r>
                      </w:p>
                    </w:tc>
                  </w:tr>
                </w:tbl>
                <w:p>
                  <w:pPr/>
                </w:p>
              </w:txbxContent>
            </v:textbox>
            <w10:wrap type="none"/>
          </v:shape>
        </w:pict>
      </w:r>
      <w:r>
        <w:rPr>
          <w:rFonts w:ascii="黑体" w:hAnsi="黑体" w:cs="黑体" w:eastAsia="黑体" w:hint="default"/>
          <w:sz w:val="18"/>
          <w:szCs w:val="18"/>
        </w:rPr>
        <w:t>成本法</w:t>
      </w:r>
      <w:r>
        <w:rPr>
          <w:rFonts w:ascii="Arial" w:hAnsi="Arial" w:cs="Arial" w:eastAsia="Arial" w:hint="default"/>
          <w:sz w:val="18"/>
          <w:szCs w:val="18"/>
        </w:rPr>
        <w:t>(</w:t>
      </w:r>
      <w:r>
        <w:rPr>
          <w:rFonts w:ascii="黑体" w:hAnsi="黑体" w:cs="黑体" w:eastAsia="黑体" w:hint="default"/>
          <w:sz w:val="18"/>
          <w:szCs w:val="18"/>
        </w:rPr>
        <w:t>续</w:t>
      </w:r>
      <w:r>
        <w:rPr>
          <w:rFonts w:ascii="Arial" w:hAnsi="Arial" w:cs="Arial" w:eastAsia="Arial" w:hint="default"/>
          <w:sz w:val="18"/>
          <w:szCs w:val="18"/>
        </w:rPr>
        <w:t>)</w:t>
      </w:r>
      <w:r>
        <w:rPr>
          <w:rFonts w:ascii="黑体" w:hAnsi="黑体" w:cs="黑体" w:eastAsia="黑体" w:hint="default"/>
          <w:sz w:val="18"/>
          <w:szCs w:val="18"/>
        </w:rPr>
        <w:t>： 中企永联数据交换技术</w:t>
      </w:r>
      <w:r>
        <w:rPr>
          <w:rFonts w:ascii="Arial" w:hAnsi="Arial" w:cs="Arial" w:eastAsia="Arial" w:hint="default"/>
          <w:sz w:val="18"/>
          <w:szCs w:val="18"/>
        </w:rPr>
        <w:t>(</w:t>
      </w:r>
      <w:r>
        <w:rPr>
          <w:rFonts w:ascii="黑体" w:hAnsi="黑体" w:cs="黑体" w:eastAsia="黑体" w:hint="default"/>
          <w:sz w:val="18"/>
          <w:szCs w:val="18"/>
        </w:rPr>
        <w:t>北京</w:t>
      </w:r>
      <w:r>
        <w:rPr>
          <w:rFonts w:ascii="Arial" w:hAnsi="Arial" w:cs="Arial" w:eastAsia="Arial" w:hint="default"/>
          <w:sz w:val="18"/>
          <w:szCs w:val="18"/>
        </w:rPr>
        <w:t>)</w:t>
      </w:r>
    </w:p>
    <w:p>
      <w:pPr>
        <w:tabs>
          <w:tab w:pos="3993" w:val="left" w:leader="none"/>
          <w:tab w:pos="5268" w:val="left" w:leader="none"/>
          <w:tab w:pos="7283" w:val="left" w:leader="none"/>
          <w:tab w:pos="7961" w:val="left" w:leader="none"/>
          <w:tab w:pos="9343" w:val="left" w:leader="none"/>
          <w:tab w:pos="10580" w:val="left" w:leader="none"/>
          <w:tab w:pos="12159" w:val="left" w:leader="none"/>
          <w:tab w:pos="13432" w:val="left" w:leader="none"/>
          <w:tab w:pos="14532" w:val="left" w:leader="none"/>
        </w:tabs>
        <w:spacing w:line="246" w:lineRule="exact" w:before="0"/>
        <w:ind w:left="1043" w:right="0" w:firstLine="0"/>
        <w:jc w:val="left"/>
        <w:rPr>
          <w:rFonts w:ascii="Arial" w:hAnsi="Arial" w:cs="Arial" w:eastAsia="Arial" w:hint="default"/>
          <w:sz w:val="18"/>
          <w:szCs w:val="18"/>
        </w:rPr>
      </w:pPr>
      <w:r>
        <w:rPr>
          <w:rFonts w:ascii="黑体" w:hAnsi="黑体" w:cs="黑体" w:eastAsia="黑体" w:hint="default"/>
          <w:position w:val="2"/>
          <w:sz w:val="18"/>
          <w:szCs w:val="18"/>
        </w:rPr>
        <w:t>有限公司</w:t>
        <w:tab/>
      </w:r>
      <w:r>
        <w:rPr>
          <w:rFonts w:ascii="Arial" w:hAnsi="Arial" w:cs="Arial" w:eastAsia="Arial" w:hint="default"/>
          <w:spacing w:val="-1"/>
          <w:sz w:val="18"/>
          <w:szCs w:val="18"/>
        </w:rPr>
        <w:t>2,500,000</w:t>
        <w:tab/>
        <w:t>2,500,000</w:t>
        <w:tab/>
      </w:r>
      <w:r>
        <w:rPr>
          <w:rFonts w:ascii="Arial" w:hAnsi="Arial" w:cs="Arial" w:eastAsia="Arial" w:hint="default"/>
          <w:sz w:val="18"/>
          <w:szCs w:val="18"/>
        </w:rPr>
        <w:t>-</w:t>
        <w:tab/>
      </w:r>
      <w:r>
        <w:rPr>
          <w:rFonts w:ascii="Arial" w:hAnsi="Arial" w:cs="Arial" w:eastAsia="Arial" w:hint="default"/>
          <w:spacing w:val="-1"/>
          <w:sz w:val="18"/>
          <w:szCs w:val="18"/>
        </w:rPr>
        <w:t>2,500,000</w:t>
        <w:tab/>
        <w:t>19.81</w:t>
        <w:tab/>
        <w:t>19.81</w:t>
        <w:tab/>
      </w:r>
      <w:r>
        <w:rPr>
          <w:rFonts w:ascii="Arial" w:hAnsi="Arial" w:cs="Arial" w:eastAsia="Arial" w:hint="default"/>
          <w:sz w:val="18"/>
          <w:szCs w:val="18"/>
        </w:rPr>
        <w:t>-</w:t>
        <w:tab/>
        <w:t>-</w:t>
        <w:tab/>
        <w:t>-</w:t>
      </w:r>
    </w:p>
    <w:p>
      <w:pPr>
        <w:spacing w:line="240" w:lineRule="auto" w:before="2"/>
        <w:rPr>
          <w:rFonts w:ascii="Arial" w:hAnsi="Arial" w:cs="Arial" w:eastAsia="Arial" w:hint="default"/>
          <w:sz w:val="3"/>
          <w:szCs w:val="3"/>
        </w:rPr>
      </w:pPr>
    </w:p>
    <w:tbl>
      <w:tblPr>
        <w:tblW w:w="0" w:type="auto"/>
        <w:jc w:val="left"/>
        <w:tblInd w:w="828" w:type="dxa"/>
        <w:tblLayout w:type="fixed"/>
        <w:tblCellMar>
          <w:top w:w="0" w:type="dxa"/>
          <w:left w:w="0" w:type="dxa"/>
          <w:bottom w:w="0" w:type="dxa"/>
          <w:right w:w="0" w:type="dxa"/>
        </w:tblCellMar>
        <w:tblLook w:val="01E0"/>
      </w:tblPr>
      <w:tblGrid>
        <w:gridCol w:w="2800"/>
        <w:gridCol w:w="1343"/>
        <w:gridCol w:w="1246"/>
        <w:gridCol w:w="1378"/>
        <w:gridCol w:w="1458"/>
        <w:gridCol w:w="1134"/>
        <w:gridCol w:w="1114"/>
        <w:gridCol w:w="1122"/>
        <w:gridCol w:w="1311"/>
        <w:gridCol w:w="895"/>
      </w:tblGrid>
      <w:tr>
        <w:trPr>
          <w:trHeight w:val="238"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186" w:lineRule="exact"/>
              <w:ind w:left="35" w:right="0"/>
              <w:jc w:val="left"/>
              <w:rPr>
                <w:rFonts w:ascii="黑体" w:hAnsi="黑体" w:cs="黑体" w:eastAsia="黑体" w:hint="default"/>
                <w:sz w:val="18"/>
                <w:szCs w:val="18"/>
              </w:rPr>
            </w:pPr>
            <w:r>
              <w:rPr>
                <w:rFonts w:ascii="黑体" w:hAnsi="黑体" w:cs="黑体" w:eastAsia="黑体" w:hint="default"/>
                <w:sz w:val="18"/>
                <w:szCs w:val="18"/>
              </w:rPr>
              <w:t>中科方德软件有限公司</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6"/>
              <w:jc w:val="right"/>
              <w:rPr>
                <w:rFonts w:ascii="Arial" w:hAnsi="Arial" w:cs="Arial" w:eastAsia="Arial" w:hint="default"/>
                <w:sz w:val="18"/>
                <w:szCs w:val="18"/>
              </w:rPr>
            </w:pPr>
            <w:r>
              <w:rPr>
                <w:rFonts w:ascii="Arial"/>
                <w:spacing w:val="-1"/>
                <w:sz w:val="18"/>
              </w:rPr>
              <w:t>2,000,000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47"/>
              <w:jc w:val="right"/>
              <w:rPr>
                <w:rFonts w:ascii="Arial" w:hAnsi="Arial" w:cs="Arial" w:eastAsia="Arial" w:hint="default"/>
                <w:sz w:val="18"/>
                <w:szCs w:val="18"/>
              </w:rPr>
            </w:pPr>
            <w:r>
              <w:rPr>
                <w:rFonts w:ascii="Arial"/>
                <w:spacing w:val="-1"/>
                <w:sz w:val="18"/>
              </w:rPr>
              <w:t>2,000,000</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49"/>
              <w:jc w:val="right"/>
              <w:rPr>
                <w:rFonts w:ascii="Arial" w:hAnsi="Arial" w:cs="Arial" w:eastAsia="Arial" w:hint="default"/>
                <w:sz w:val="18"/>
                <w:szCs w:val="18"/>
              </w:rPr>
            </w:pPr>
            <w:r>
              <w:rPr>
                <w:rFonts w:ascii="Arial"/>
                <w:w w:val="99"/>
                <w:sz w:val="18"/>
              </w:rPr>
              <w:t>-</w:t>
            </w:r>
            <w:r>
              <w:rPr>
                <w:rFonts w:ascii="Arial"/>
                <w:sz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88"/>
              <w:jc w:val="right"/>
              <w:rPr>
                <w:rFonts w:ascii="Arial" w:hAnsi="Arial" w:cs="Arial" w:eastAsia="Arial" w:hint="default"/>
                <w:sz w:val="18"/>
                <w:szCs w:val="18"/>
              </w:rPr>
            </w:pPr>
            <w:r>
              <w:rPr>
                <w:rFonts w:ascii="Arial"/>
                <w:spacing w:val="-1"/>
                <w:sz w:val="18"/>
              </w:rPr>
              <w:t>2,000,000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92"/>
              <w:jc w:val="right"/>
              <w:rPr>
                <w:rFonts w:ascii="Arial" w:hAnsi="Arial" w:cs="Arial" w:eastAsia="Arial" w:hint="default"/>
                <w:sz w:val="18"/>
                <w:szCs w:val="18"/>
              </w:rPr>
            </w:pPr>
            <w:r>
              <w:rPr>
                <w:rFonts w:ascii="Arial"/>
                <w:spacing w:val="-1"/>
                <w:w w:val="95"/>
                <w:sz w:val="18"/>
              </w:rPr>
              <w:t>3.85</w:t>
            </w:r>
            <w:r>
              <w:rPr>
                <w:rFonts w:ascii="Arial"/>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69"/>
              <w:jc w:val="right"/>
              <w:rPr>
                <w:rFonts w:ascii="Arial" w:hAnsi="Arial" w:cs="Arial" w:eastAsia="Arial" w:hint="default"/>
                <w:sz w:val="18"/>
                <w:szCs w:val="18"/>
              </w:rPr>
            </w:pPr>
            <w:r>
              <w:rPr>
                <w:rFonts w:ascii="Arial"/>
                <w:spacing w:val="-1"/>
                <w:w w:val="95"/>
                <w:sz w:val="18"/>
              </w:rPr>
              <w:t>3.85</w:t>
            </w:r>
            <w:r>
              <w:rPr>
                <w:rFonts w:ascii="Arial"/>
                <w:sz w:val="18"/>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00"/>
              <w:jc w:val="right"/>
              <w:rPr>
                <w:rFonts w:ascii="Arial" w:hAnsi="Arial" w:cs="Arial" w:eastAsia="Arial" w:hint="default"/>
                <w:sz w:val="18"/>
                <w:szCs w:val="18"/>
              </w:rPr>
            </w:pPr>
            <w:r>
              <w:rPr>
                <w:rFonts w:ascii="Arial"/>
                <w:w w:val="99"/>
                <w:sz w:val="18"/>
              </w:rPr>
              <w:t>-</w:t>
            </w:r>
            <w:r>
              <w:rPr>
                <w:rFonts w:ascii="Arial"/>
                <w:sz w:val="18"/>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38"/>
              <w:jc w:val="right"/>
              <w:rPr>
                <w:rFonts w:ascii="Arial" w:hAnsi="Arial" w:cs="Arial" w:eastAsia="Arial" w:hint="default"/>
                <w:sz w:val="18"/>
                <w:szCs w:val="18"/>
              </w:rPr>
            </w:pPr>
            <w:r>
              <w:rPr>
                <w:rFonts w:ascii="Arial"/>
                <w:w w:val="99"/>
                <w:sz w:val="18"/>
              </w:rPr>
              <w:t>-</w:t>
            </w:r>
            <w:r>
              <w:rPr>
                <w:rFonts w:ascii="Arial"/>
                <w:sz w:val="18"/>
              </w:rPr>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Arial" w:hAnsi="Arial" w:cs="Arial" w:eastAsia="Arial" w:hint="default"/>
                <w:sz w:val="18"/>
                <w:szCs w:val="18"/>
              </w:rPr>
            </w:pPr>
            <w:r>
              <w:rPr>
                <w:rFonts w:ascii="Arial"/>
                <w:spacing w:val="-1"/>
                <w:sz w:val="18"/>
              </w:rPr>
              <w:t>200,000</w:t>
            </w:r>
          </w:p>
        </w:tc>
      </w:tr>
      <w:tr>
        <w:trPr>
          <w:trHeight w:val="255"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204" w:lineRule="exact"/>
              <w:ind w:left="35" w:right="0"/>
              <w:jc w:val="left"/>
              <w:rPr>
                <w:rFonts w:ascii="黑体" w:hAnsi="黑体" w:cs="黑体" w:eastAsia="黑体" w:hint="default"/>
                <w:sz w:val="18"/>
                <w:szCs w:val="18"/>
              </w:rPr>
            </w:pPr>
            <w:r>
              <w:rPr>
                <w:rFonts w:ascii="黑体" w:hAnsi="黑体" w:cs="黑体" w:eastAsia="黑体" w:hint="default"/>
                <w:sz w:val="18"/>
                <w:szCs w:val="18"/>
              </w:rPr>
              <w:t>深圳市新希元软件技术有限公司</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5"/>
              <w:jc w:val="right"/>
              <w:rPr>
                <w:rFonts w:ascii="Arial" w:hAnsi="Arial" w:cs="Arial" w:eastAsia="Arial" w:hint="default"/>
                <w:sz w:val="18"/>
                <w:szCs w:val="18"/>
              </w:rPr>
            </w:pPr>
            <w:r>
              <w:rPr>
                <w:rFonts w:ascii="Arial"/>
                <w:spacing w:val="-1"/>
                <w:sz w:val="18"/>
              </w:rPr>
              <w:t>5,000,000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6"/>
              <w:jc w:val="right"/>
              <w:rPr>
                <w:rFonts w:ascii="Arial" w:hAnsi="Arial" w:cs="Arial" w:eastAsia="Arial" w:hint="default"/>
                <w:sz w:val="18"/>
                <w:szCs w:val="18"/>
              </w:rPr>
            </w:pPr>
            <w:r>
              <w:rPr>
                <w:rFonts w:ascii="Arial"/>
                <w:w w:val="99"/>
                <w:sz w:val="18"/>
              </w:rPr>
              <w:t>-</w:t>
            </w:r>
            <w:r>
              <w:rPr>
                <w:rFonts w:ascii="Arial"/>
                <w:sz w:val="18"/>
              </w:rPr>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47"/>
              <w:jc w:val="right"/>
              <w:rPr>
                <w:rFonts w:ascii="Arial" w:hAnsi="Arial" w:cs="Arial" w:eastAsia="Arial" w:hint="default"/>
                <w:sz w:val="18"/>
                <w:szCs w:val="18"/>
              </w:rPr>
            </w:pPr>
            <w:r>
              <w:rPr>
                <w:rFonts w:ascii="Arial"/>
                <w:spacing w:val="-1"/>
                <w:sz w:val="18"/>
              </w:rPr>
              <w:t>5,000,000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88"/>
              <w:jc w:val="right"/>
              <w:rPr>
                <w:rFonts w:ascii="Arial" w:hAnsi="Arial" w:cs="Arial" w:eastAsia="Arial" w:hint="default"/>
                <w:sz w:val="18"/>
                <w:szCs w:val="18"/>
              </w:rPr>
            </w:pPr>
            <w:r>
              <w:rPr>
                <w:rFonts w:ascii="Arial"/>
                <w:spacing w:val="-1"/>
                <w:sz w:val="18"/>
              </w:rPr>
              <w:t>5,000,000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92"/>
              <w:jc w:val="right"/>
              <w:rPr>
                <w:rFonts w:ascii="Arial" w:hAnsi="Arial" w:cs="Arial" w:eastAsia="Arial" w:hint="default"/>
                <w:sz w:val="18"/>
                <w:szCs w:val="18"/>
              </w:rPr>
            </w:pPr>
            <w:r>
              <w:rPr>
                <w:rFonts w:ascii="Arial"/>
                <w:spacing w:val="-1"/>
                <w:w w:val="95"/>
                <w:sz w:val="18"/>
              </w:rPr>
              <w:t>19.80</w:t>
            </w:r>
            <w:r>
              <w:rPr>
                <w:rFonts w:ascii="Arial"/>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69"/>
              <w:jc w:val="right"/>
              <w:rPr>
                <w:rFonts w:ascii="Arial" w:hAnsi="Arial" w:cs="Arial" w:eastAsia="Arial" w:hint="default"/>
                <w:sz w:val="18"/>
                <w:szCs w:val="18"/>
              </w:rPr>
            </w:pPr>
            <w:r>
              <w:rPr>
                <w:rFonts w:ascii="Arial"/>
                <w:spacing w:val="-1"/>
                <w:w w:val="95"/>
                <w:sz w:val="18"/>
              </w:rPr>
              <w:t>19.80</w:t>
            </w:r>
            <w:r>
              <w:rPr>
                <w:rFonts w:ascii="Arial"/>
                <w:sz w:val="18"/>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0"/>
              <w:jc w:val="right"/>
              <w:rPr>
                <w:rFonts w:ascii="Arial" w:hAnsi="Arial" w:cs="Arial" w:eastAsia="Arial" w:hint="default"/>
                <w:sz w:val="18"/>
                <w:szCs w:val="18"/>
              </w:rPr>
            </w:pPr>
            <w:r>
              <w:rPr>
                <w:rFonts w:ascii="Arial"/>
                <w:w w:val="99"/>
                <w:sz w:val="18"/>
              </w:rPr>
              <w:t>-</w:t>
            </w:r>
            <w:r>
              <w:rPr>
                <w:rFonts w:ascii="Arial"/>
                <w:sz w:val="18"/>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7"/>
              <w:jc w:val="right"/>
              <w:rPr>
                <w:rFonts w:ascii="Arial" w:hAnsi="Arial" w:cs="Arial" w:eastAsia="Arial" w:hint="default"/>
                <w:sz w:val="18"/>
                <w:szCs w:val="18"/>
              </w:rPr>
            </w:pPr>
            <w:r>
              <w:rPr>
                <w:rFonts w:ascii="Arial"/>
                <w:w w:val="99"/>
                <w:sz w:val="18"/>
              </w:rPr>
              <w:t>-</w:t>
            </w:r>
            <w:r>
              <w:rPr>
                <w:rFonts w:ascii="Arial"/>
                <w:sz w:val="18"/>
              </w:rPr>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203" w:lineRule="exact"/>
              <w:ind w:left="35" w:right="0"/>
              <w:jc w:val="left"/>
              <w:rPr>
                <w:rFonts w:ascii="黑体" w:hAnsi="黑体" w:cs="黑体" w:eastAsia="黑体" w:hint="default"/>
                <w:sz w:val="18"/>
                <w:szCs w:val="18"/>
              </w:rPr>
            </w:pPr>
            <w:r>
              <w:rPr>
                <w:rFonts w:ascii="黑体" w:hAnsi="黑体" w:cs="黑体" w:eastAsia="黑体" w:hint="default"/>
                <w:sz w:val="18"/>
                <w:szCs w:val="18"/>
              </w:rPr>
              <w:t>北京用友天创咨询有限责任公司</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6"/>
              <w:jc w:val="right"/>
              <w:rPr>
                <w:rFonts w:ascii="Arial" w:hAnsi="Arial" w:cs="Arial" w:eastAsia="Arial" w:hint="default"/>
                <w:sz w:val="18"/>
                <w:szCs w:val="18"/>
              </w:rPr>
            </w:pPr>
            <w:r>
              <w:rPr>
                <w:rFonts w:ascii="Arial"/>
                <w:spacing w:val="-1"/>
                <w:sz w:val="18"/>
              </w:rPr>
              <w:t>594,000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6"/>
              <w:jc w:val="right"/>
              <w:rPr>
                <w:rFonts w:ascii="Arial" w:hAnsi="Arial" w:cs="Arial" w:eastAsia="Arial" w:hint="default"/>
                <w:sz w:val="18"/>
                <w:szCs w:val="18"/>
              </w:rPr>
            </w:pPr>
            <w:r>
              <w:rPr>
                <w:rFonts w:ascii="Arial"/>
                <w:spacing w:val="-1"/>
                <w:sz w:val="18"/>
              </w:rPr>
              <w:t>594,000</w:t>
            </w:r>
          </w:p>
        </w:tc>
        <w:tc>
          <w:tcPr>
            <w:tcW w:w="1378" w:type="dxa"/>
            <w:tcBorders>
              <w:top w:val="nil" w:sz="6" w:space="0" w:color="auto"/>
              <w:left w:val="nil" w:sz="6" w:space="0" w:color="auto"/>
              <w:bottom w:val="nil" w:sz="6" w:space="0" w:color="auto"/>
              <w:right w:val="nil" w:sz="6" w:space="0" w:color="auto"/>
            </w:tcBorders>
          </w:tcPr>
          <w:p>
            <w:pPr>
              <w:pStyle w:val="TableParagraph"/>
              <w:tabs>
                <w:tab w:pos="330" w:val="left" w:leader="none"/>
              </w:tabs>
              <w:spacing w:line="240" w:lineRule="auto" w:before="28"/>
              <w:ind w:right="205"/>
              <w:jc w:val="right"/>
              <w:rPr>
                <w:rFonts w:ascii="Arial" w:hAnsi="Arial" w:cs="Arial" w:eastAsia="Arial" w:hint="default"/>
                <w:sz w:val="18"/>
                <w:szCs w:val="18"/>
              </w:rPr>
            </w:pPr>
            <w:r>
              <w:rPr>
                <w:rFonts w:ascii="Arial"/>
                <w:sz w:val="18"/>
              </w:rPr>
              <w:t>(</w:t>
              <w:tab/>
            </w:r>
            <w:r>
              <w:rPr>
                <w:rFonts w:ascii="Arial"/>
                <w:spacing w:val="-3"/>
                <w:sz w:val="18"/>
              </w:rPr>
              <w:t>594,000)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9"/>
              <w:jc w:val="right"/>
              <w:rPr>
                <w:rFonts w:ascii="Arial" w:hAnsi="Arial" w:cs="Arial" w:eastAsia="Arial" w:hint="default"/>
                <w:sz w:val="18"/>
                <w:szCs w:val="18"/>
              </w:rPr>
            </w:pPr>
            <w:r>
              <w:rPr>
                <w:rFonts w:ascii="Arial"/>
                <w:w w:val="99"/>
                <w:sz w:val="18"/>
              </w:rPr>
              <w:t>-</w:t>
            </w:r>
            <w:r>
              <w:rPr>
                <w:rFonts w:ascii="Arial"/>
                <w:sz w:val="18"/>
              </w:rPr>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92"/>
              <w:jc w:val="right"/>
              <w:rPr>
                <w:rFonts w:ascii="Arial" w:hAnsi="Arial" w:cs="Arial" w:eastAsia="Arial" w:hint="default"/>
                <w:sz w:val="18"/>
                <w:szCs w:val="18"/>
              </w:rPr>
            </w:pPr>
            <w:r>
              <w:rPr>
                <w:rFonts w:ascii="Arial"/>
                <w:w w:val="99"/>
                <w:sz w:val="18"/>
              </w:rPr>
              <w:t>-</w:t>
            </w:r>
            <w:r>
              <w:rPr>
                <w:rFonts w:ascii="Arial"/>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69"/>
              <w:jc w:val="right"/>
              <w:rPr>
                <w:rFonts w:ascii="Arial" w:hAnsi="Arial" w:cs="Arial" w:eastAsia="Arial" w:hint="default"/>
                <w:sz w:val="18"/>
                <w:szCs w:val="18"/>
              </w:rPr>
            </w:pPr>
            <w:r>
              <w:rPr>
                <w:rFonts w:ascii="Arial"/>
                <w:w w:val="99"/>
                <w:sz w:val="18"/>
              </w:rPr>
              <w:t>-</w:t>
            </w:r>
            <w:r>
              <w:rPr>
                <w:rFonts w:ascii="Arial"/>
                <w:sz w:val="18"/>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00"/>
              <w:jc w:val="right"/>
              <w:rPr>
                <w:rFonts w:ascii="Arial" w:hAnsi="Arial" w:cs="Arial" w:eastAsia="Arial" w:hint="default"/>
                <w:sz w:val="18"/>
                <w:szCs w:val="18"/>
              </w:rPr>
            </w:pPr>
            <w:r>
              <w:rPr>
                <w:rFonts w:ascii="Arial"/>
                <w:w w:val="99"/>
                <w:sz w:val="18"/>
              </w:rPr>
              <w:t>-</w:t>
            </w:r>
            <w:r>
              <w:rPr>
                <w:rFonts w:ascii="Arial"/>
                <w:sz w:val="18"/>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37"/>
              <w:jc w:val="right"/>
              <w:rPr>
                <w:rFonts w:ascii="Arial" w:hAnsi="Arial" w:cs="Arial" w:eastAsia="Arial" w:hint="default"/>
                <w:sz w:val="18"/>
                <w:szCs w:val="18"/>
              </w:rPr>
            </w:pPr>
            <w:r>
              <w:rPr>
                <w:rFonts w:ascii="Arial"/>
                <w:w w:val="99"/>
                <w:sz w:val="18"/>
              </w:rPr>
              <w:t>-</w:t>
            </w:r>
            <w:r>
              <w:rPr>
                <w:rFonts w:ascii="Arial"/>
                <w:sz w:val="18"/>
              </w:rPr>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204" w:lineRule="exact"/>
              <w:ind w:left="35" w:right="0"/>
              <w:jc w:val="left"/>
              <w:rPr>
                <w:rFonts w:ascii="黑体" w:hAnsi="黑体" w:cs="黑体" w:eastAsia="黑体" w:hint="default"/>
                <w:sz w:val="18"/>
                <w:szCs w:val="18"/>
              </w:rPr>
            </w:pPr>
            <w:r>
              <w:rPr>
                <w:rFonts w:ascii="黑体" w:hAnsi="黑体" w:cs="黑体" w:eastAsia="黑体" w:hint="default"/>
                <w:sz w:val="18"/>
                <w:szCs w:val="18"/>
              </w:rPr>
              <w:t>青岛用友政务软件有限公司</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6"/>
              <w:jc w:val="right"/>
              <w:rPr>
                <w:rFonts w:ascii="Arial" w:hAnsi="Arial" w:cs="Arial" w:eastAsia="Arial" w:hint="default"/>
                <w:sz w:val="18"/>
                <w:szCs w:val="18"/>
              </w:rPr>
            </w:pPr>
            <w:r>
              <w:rPr>
                <w:rFonts w:ascii="Arial"/>
                <w:spacing w:val="-1"/>
                <w:sz w:val="18"/>
              </w:rPr>
              <w:t>1,000,000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7"/>
              <w:jc w:val="right"/>
              <w:rPr>
                <w:rFonts w:ascii="Arial" w:hAnsi="Arial" w:cs="Arial" w:eastAsia="Arial" w:hint="default"/>
                <w:sz w:val="18"/>
                <w:szCs w:val="18"/>
              </w:rPr>
            </w:pPr>
            <w:r>
              <w:rPr>
                <w:rFonts w:ascii="Arial"/>
                <w:spacing w:val="-1"/>
                <w:sz w:val="18"/>
              </w:rPr>
              <w:t>1,000,000</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49"/>
              <w:jc w:val="right"/>
              <w:rPr>
                <w:rFonts w:ascii="Arial" w:hAnsi="Arial" w:cs="Arial" w:eastAsia="Arial" w:hint="default"/>
                <w:sz w:val="18"/>
                <w:szCs w:val="18"/>
              </w:rPr>
            </w:pPr>
            <w:r>
              <w:rPr>
                <w:rFonts w:ascii="Arial"/>
                <w:w w:val="99"/>
                <w:sz w:val="18"/>
              </w:rPr>
              <w:t>-</w:t>
            </w:r>
            <w:r>
              <w:rPr>
                <w:rFonts w:ascii="Arial"/>
                <w:sz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88"/>
              <w:jc w:val="right"/>
              <w:rPr>
                <w:rFonts w:ascii="Arial" w:hAnsi="Arial" w:cs="Arial" w:eastAsia="Arial" w:hint="default"/>
                <w:sz w:val="18"/>
                <w:szCs w:val="18"/>
              </w:rPr>
            </w:pPr>
            <w:r>
              <w:rPr>
                <w:rFonts w:ascii="Arial"/>
                <w:spacing w:val="-1"/>
                <w:sz w:val="18"/>
              </w:rPr>
              <w:t>1,000,000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92"/>
              <w:jc w:val="right"/>
              <w:rPr>
                <w:rFonts w:ascii="Arial" w:hAnsi="Arial" w:cs="Arial" w:eastAsia="Arial" w:hint="default"/>
                <w:sz w:val="18"/>
                <w:szCs w:val="18"/>
              </w:rPr>
            </w:pPr>
            <w:r>
              <w:rPr>
                <w:rFonts w:ascii="Arial"/>
                <w:spacing w:val="-1"/>
                <w:w w:val="95"/>
                <w:sz w:val="18"/>
              </w:rPr>
              <w:t>20.00</w:t>
            </w:r>
            <w:r>
              <w:rPr>
                <w:rFonts w:ascii="Arial"/>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68"/>
              <w:jc w:val="right"/>
              <w:rPr>
                <w:rFonts w:ascii="Arial" w:hAnsi="Arial" w:cs="Arial" w:eastAsia="Arial" w:hint="default"/>
                <w:sz w:val="18"/>
                <w:szCs w:val="18"/>
              </w:rPr>
            </w:pPr>
            <w:r>
              <w:rPr>
                <w:rFonts w:ascii="Arial"/>
                <w:spacing w:val="-1"/>
                <w:w w:val="95"/>
                <w:sz w:val="18"/>
              </w:rPr>
              <w:t>20.00</w:t>
            </w:r>
            <w:r>
              <w:rPr>
                <w:rFonts w:ascii="Arial"/>
                <w:sz w:val="18"/>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0"/>
              <w:jc w:val="right"/>
              <w:rPr>
                <w:rFonts w:ascii="Arial" w:hAnsi="Arial" w:cs="Arial" w:eastAsia="Arial" w:hint="default"/>
                <w:sz w:val="18"/>
                <w:szCs w:val="18"/>
              </w:rPr>
            </w:pPr>
            <w:r>
              <w:rPr>
                <w:rFonts w:ascii="Arial"/>
                <w:w w:val="99"/>
                <w:sz w:val="18"/>
              </w:rPr>
              <w:t>-</w:t>
            </w:r>
            <w:r>
              <w:rPr>
                <w:rFonts w:ascii="Arial"/>
                <w:sz w:val="18"/>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7"/>
              <w:jc w:val="right"/>
              <w:rPr>
                <w:rFonts w:ascii="Arial" w:hAnsi="Arial" w:cs="Arial" w:eastAsia="Arial" w:hint="default"/>
                <w:sz w:val="18"/>
                <w:szCs w:val="18"/>
              </w:rPr>
            </w:pPr>
            <w:r>
              <w:rPr>
                <w:rFonts w:ascii="Arial"/>
                <w:w w:val="99"/>
                <w:sz w:val="18"/>
              </w:rPr>
              <w:t>-</w:t>
            </w:r>
            <w:r>
              <w:rPr>
                <w:rFonts w:ascii="Arial"/>
                <w:sz w:val="18"/>
              </w:rPr>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203" w:lineRule="exact"/>
              <w:ind w:left="35" w:right="0"/>
              <w:jc w:val="left"/>
              <w:rPr>
                <w:rFonts w:ascii="黑体" w:hAnsi="黑体" w:cs="黑体" w:eastAsia="黑体" w:hint="default"/>
                <w:sz w:val="18"/>
                <w:szCs w:val="18"/>
              </w:rPr>
            </w:pPr>
            <w:r>
              <w:rPr>
                <w:rFonts w:ascii="黑体" w:hAnsi="黑体" w:cs="黑体" w:eastAsia="黑体" w:hint="default"/>
                <w:sz w:val="18"/>
                <w:szCs w:val="18"/>
              </w:rPr>
              <w:t>山东用友政务软件有限公司</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5"/>
              <w:jc w:val="right"/>
              <w:rPr>
                <w:rFonts w:ascii="Arial" w:hAnsi="Arial" w:cs="Arial" w:eastAsia="Arial" w:hint="default"/>
                <w:sz w:val="18"/>
                <w:szCs w:val="18"/>
              </w:rPr>
            </w:pPr>
            <w:r>
              <w:rPr>
                <w:rFonts w:ascii="Arial"/>
                <w:spacing w:val="-1"/>
                <w:sz w:val="18"/>
              </w:rPr>
              <w:t>1,000,000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6"/>
              <w:jc w:val="right"/>
              <w:rPr>
                <w:rFonts w:ascii="Arial" w:hAnsi="Arial" w:cs="Arial" w:eastAsia="Arial" w:hint="default"/>
                <w:sz w:val="18"/>
                <w:szCs w:val="18"/>
              </w:rPr>
            </w:pPr>
            <w:r>
              <w:rPr>
                <w:rFonts w:ascii="Arial"/>
                <w:spacing w:val="-1"/>
                <w:sz w:val="18"/>
              </w:rPr>
              <w:t>1,000,000</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48"/>
              <w:jc w:val="right"/>
              <w:rPr>
                <w:rFonts w:ascii="Arial" w:hAnsi="Arial" w:cs="Arial" w:eastAsia="Arial" w:hint="default"/>
                <w:sz w:val="18"/>
                <w:szCs w:val="18"/>
              </w:rPr>
            </w:pPr>
            <w:r>
              <w:rPr>
                <w:rFonts w:ascii="Arial"/>
                <w:w w:val="99"/>
                <w:sz w:val="18"/>
              </w:rPr>
              <w:t>-</w:t>
            </w:r>
            <w:r>
              <w:rPr>
                <w:rFonts w:ascii="Arial"/>
                <w:sz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8"/>
              <w:jc w:val="right"/>
              <w:rPr>
                <w:rFonts w:ascii="Arial" w:hAnsi="Arial" w:cs="Arial" w:eastAsia="Arial" w:hint="default"/>
                <w:sz w:val="18"/>
                <w:szCs w:val="18"/>
              </w:rPr>
            </w:pPr>
            <w:r>
              <w:rPr>
                <w:rFonts w:ascii="Arial"/>
                <w:spacing w:val="-1"/>
                <w:sz w:val="18"/>
              </w:rPr>
              <w:t>1,000,000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91"/>
              <w:jc w:val="right"/>
              <w:rPr>
                <w:rFonts w:ascii="Arial" w:hAnsi="Arial" w:cs="Arial" w:eastAsia="Arial" w:hint="default"/>
                <w:sz w:val="18"/>
                <w:szCs w:val="18"/>
              </w:rPr>
            </w:pPr>
            <w:r>
              <w:rPr>
                <w:rFonts w:ascii="Arial"/>
                <w:spacing w:val="-1"/>
                <w:w w:val="95"/>
                <w:sz w:val="18"/>
              </w:rPr>
              <w:t>20.00</w:t>
            </w:r>
            <w:r>
              <w:rPr>
                <w:rFonts w:ascii="Arial"/>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68"/>
              <w:jc w:val="right"/>
              <w:rPr>
                <w:rFonts w:ascii="Arial" w:hAnsi="Arial" w:cs="Arial" w:eastAsia="Arial" w:hint="default"/>
                <w:sz w:val="18"/>
                <w:szCs w:val="18"/>
              </w:rPr>
            </w:pPr>
            <w:r>
              <w:rPr>
                <w:rFonts w:ascii="Arial"/>
                <w:spacing w:val="-1"/>
                <w:w w:val="95"/>
                <w:sz w:val="18"/>
              </w:rPr>
              <w:t>20.00</w:t>
            </w:r>
            <w:r>
              <w:rPr>
                <w:rFonts w:ascii="Arial"/>
                <w:sz w:val="18"/>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99"/>
              <w:jc w:val="right"/>
              <w:rPr>
                <w:rFonts w:ascii="Arial" w:hAnsi="Arial" w:cs="Arial" w:eastAsia="Arial" w:hint="default"/>
                <w:sz w:val="18"/>
                <w:szCs w:val="18"/>
              </w:rPr>
            </w:pPr>
            <w:r>
              <w:rPr>
                <w:rFonts w:ascii="Arial"/>
                <w:spacing w:val="-1"/>
                <w:sz w:val="18"/>
              </w:rPr>
              <w:t>818,586</w:t>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21" w:right="0"/>
              <w:jc w:val="left"/>
              <w:rPr>
                <w:rFonts w:ascii="Arial" w:hAnsi="Arial" w:cs="Arial" w:eastAsia="Arial" w:hint="default"/>
                <w:sz w:val="18"/>
                <w:szCs w:val="18"/>
              </w:rPr>
            </w:pPr>
            <w:r>
              <w:rPr>
                <w:rFonts w:ascii="Arial"/>
                <w:sz w:val="18"/>
              </w:rPr>
              <w:t>818,586</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204" w:lineRule="exact"/>
              <w:ind w:left="35" w:right="0"/>
              <w:jc w:val="left"/>
              <w:rPr>
                <w:rFonts w:ascii="黑体" w:hAnsi="黑体" w:cs="黑体" w:eastAsia="黑体" w:hint="default"/>
                <w:sz w:val="18"/>
                <w:szCs w:val="18"/>
              </w:rPr>
            </w:pPr>
            <w:r>
              <w:rPr>
                <w:rFonts w:ascii="黑体" w:hAnsi="黑体" w:cs="黑体" w:eastAsia="黑体" w:hint="default"/>
                <w:sz w:val="18"/>
                <w:szCs w:val="18"/>
              </w:rPr>
              <w:t>新疆用友政务软件有限公司</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6"/>
              <w:jc w:val="right"/>
              <w:rPr>
                <w:rFonts w:ascii="Arial" w:hAnsi="Arial" w:cs="Arial" w:eastAsia="Arial" w:hint="default"/>
                <w:sz w:val="18"/>
                <w:szCs w:val="18"/>
              </w:rPr>
            </w:pPr>
            <w:r>
              <w:rPr>
                <w:rFonts w:ascii="Arial"/>
                <w:spacing w:val="-1"/>
                <w:sz w:val="18"/>
              </w:rPr>
              <w:t>600,000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6"/>
              <w:jc w:val="right"/>
              <w:rPr>
                <w:rFonts w:ascii="Arial" w:hAnsi="Arial" w:cs="Arial" w:eastAsia="Arial" w:hint="default"/>
                <w:sz w:val="18"/>
                <w:szCs w:val="18"/>
              </w:rPr>
            </w:pPr>
            <w:r>
              <w:rPr>
                <w:rFonts w:ascii="Arial"/>
                <w:spacing w:val="-1"/>
                <w:sz w:val="18"/>
              </w:rPr>
              <w:t>600,000</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48"/>
              <w:jc w:val="right"/>
              <w:rPr>
                <w:rFonts w:ascii="Arial" w:hAnsi="Arial" w:cs="Arial" w:eastAsia="Arial" w:hint="default"/>
                <w:sz w:val="18"/>
                <w:szCs w:val="18"/>
              </w:rPr>
            </w:pPr>
            <w:r>
              <w:rPr>
                <w:rFonts w:ascii="Arial"/>
                <w:w w:val="99"/>
                <w:sz w:val="18"/>
              </w:rPr>
              <w:t>-</w:t>
            </w:r>
            <w:r>
              <w:rPr>
                <w:rFonts w:ascii="Arial"/>
                <w:sz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89"/>
              <w:jc w:val="right"/>
              <w:rPr>
                <w:rFonts w:ascii="Arial" w:hAnsi="Arial" w:cs="Arial" w:eastAsia="Arial" w:hint="default"/>
                <w:sz w:val="18"/>
                <w:szCs w:val="18"/>
              </w:rPr>
            </w:pPr>
            <w:r>
              <w:rPr>
                <w:rFonts w:ascii="Arial"/>
                <w:spacing w:val="-1"/>
                <w:sz w:val="18"/>
              </w:rPr>
              <w:t>600,000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92"/>
              <w:jc w:val="right"/>
              <w:rPr>
                <w:rFonts w:ascii="Arial" w:hAnsi="Arial" w:cs="Arial" w:eastAsia="Arial" w:hint="default"/>
                <w:sz w:val="18"/>
                <w:szCs w:val="18"/>
              </w:rPr>
            </w:pPr>
            <w:r>
              <w:rPr>
                <w:rFonts w:ascii="Arial"/>
                <w:spacing w:val="-1"/>
                <w:w w:val="95"/>
                <w:sz w:val="18"/>
              </w:rPr>
              <w:t>20.00</w:t>
            </w:r>
            <w:r>
              <w:rPr>
                <w:rFonts w:ascii="Arial"/>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69"/>
              <w:jc w:val="right"/>
              <w:rPr>
                <w:rFonts w:ascii="Arial" w:hAnsi="Arial" w:cs="Arial" w:eastAsia="Arial" w:hint="default"/>
                <w:sz w:val="18"/>
                <w:szCs w:val="18"/>
              </w:rPr>
            </w:pPr>
            <w:r>
              <w:rPr>
                <w:rFonts w:ascii="Arial"/>
                <w:spacing w:val="-1"/>
                <w:w w:val="95"/>
                <w:sz w:val="18"/>
              </w:rPr>
              <w:t>20.00</w:t>
            </w:r>
            <w:r>
              <w:rPr>
                <w:rFonts w:ascii="Arial"/>
                <w:sz w:val="18"/>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0"/>
              <w:jc w:val="right"/>
              <w:rPr>
                <w:rFonts w:ascii="Arial" w:hAnsi="Arial" w:cs="Arial" w:eastAsia="Arial" w:hint="default"/>
                <w:sz w:val="18"/>
                <w:szCs w:val="18"/>
              </w:rPr>
            </w:pPr>
            <w:r>
              <w:rPr>
                <w:rFonts w:ascii="Arial"/>
                <w:w w:val="99"/>
                <w:sz w:val="18"/>
              </w:rPr>
              <w:t>-</w:t>
            </w:r>
            <w:r>
              <w:rPr>
                <w:rFonts w:ascii="Arial"/>
                <w:sz w:val="18"/>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8"/>
              <w:jc w:val="right"/>
              <w:rPr>
                <w:rFonts w:ascii="Arial" w:hAnsi="Arial" w:cs="Arial" w:eastAsia="Arial" w:hint="default"/>
                <w:sz w:val="18"/>
                <w:szCs w:val="18"/>
              </w:rPr>
            </w:pPr>
            <w:r>
              <w:rPr>
                <w:rFonts w:ascii="Arial"/>
                <w:w w:val="99"/>
                <w:sz w:val="18"/>
              </w:rPr>
              <w:t>-</w:t>
            </w:r>
            <w:r>
              <w:rPr>
                <w:rFonts w:ascii="Arial"/>
                <w:sz w:val="18"/>
              </w:rPr>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4"/>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203" w:lineRule="exact"/>
              <w:ind w:left="35" w:right="0"/>
              <w:jc w:val="left"/>
              <w:rPr>
                <w:rFonts w:ascii="黑体" w:hAnsi="黑体" w:cs="黑体" w:eastAsia="黑体" w:hint="default"/>
                <w:sz w:val="18"/>
                <w:szCs w:val="18"/>
              </w:rPr>
            </w:pPr>
            <w:r>
              <w:rPr>
                <w:rFonts w:ascii="黑体" w:hAnsi="黑体" w:cs="黑体" w:eastAsia="黑体" w:hint="default"/>
                <w:sz w:val="18"/>
                <w:szCs w:val="18"/>
              </w:rPr>
              <w:t>郑州用友政务软件有限公司</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6"/>
              <w:jc w:val="right"/>
              <w:rPr>
                <w:rFonts w:ascii="Arial" w:hAnsi="Arial" w:cs="Arial" w:eastAsia="Arial" w:hint="default"/>
                <w:sz w:val="18"/>
                <w:szCs w:val="18"/>
              </w:rPr>
            </w:pPr>
            <w:r>
              <w:rPr>
                <w:rFonts w:ascii="Arial"/>
                <w:spacing w:val="-1"/>
                <w:sz w:val="18"/>
              </w:rPr>
              <w:t>400,000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6"/>
              <w:jc w:val="right"/>
              <w:rPr>
                <w:rFonts w:ascii="Arial" w:hAnsi="Arial" w:cs="Arial" w:eastAsia="Arial" w:hint="default"/>
                <w:sz w:val="18"/>
                <w:szCs w:val="18"/>
              </w:rPr>
            </w:pPr>
            <w:r>
              <w:rPr>
                <w:rFonts w:ascii="Arial"/>
                <w:spacing w:val="-1"/>
                <w:sz w:val="18"/>
              </w:rPr>
              <w:t>400,000</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48"/>
              <w:jc w:val="right"/>
              <w:rPr>
                <w:rFonts w:ascii="Arial" w:hAnsi="Arial" w:cs="Arial" w:eastAsia="Arial" w:hint="default"/>
                <w:sz w:val="18"/>
                <w:szCs w:val="18"/>
              </w:rPr>
            </w:pPr>
            <w:r>
              <w:rPr>
                <w:rFonts w:ascii="Arial"/>
                <w:w w:val="99"/>
                <w:sz w:val="18"/>
              </w:rPr>
              <w:t>-</w:t>
            </w:r>
            <w:r>
              <w:rPr>
                <w:rFonts w:ascii="Arial"/>
                <w:sz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9"/>
              <w:jc w:val="right"/>
              <w:rPr>
                <w:rFonts w:ascii="Arial" w:hAnsi="Arial" w:cs="Arial" w:eastAsia="Arial" w:hint="default"/>
                <w:sz w:val="18"/>
                <w:szCs w:val="18"/>
              </w:rPr>
            </w:pPr>
            <w:r>
              <w:rPr>
                <w:rFonts w:ascii="Arial"/>
                <w:spacing w:val="-1"/>
                <w:sz w:val="18"/>
              </w:rPr>
              <w:t>400,000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92"/>
              <w:jc w:val="right"/>
              <w:rPr>
                <w:rFonts w:ascii="Arial" w:hAnsi="Arial" w:cs="Arial" w:eastAsia="Arial" w:hint="default"/>
                <w:sz w:val="18"/>
                <w:szCs w:val="18"/>
              </w:rPr>
            </w:pPr>
            <w:r>
              <w:rPr>
                <w:rFonts w:ascii="Arial"/>
                <w:spacing w:val="-1"/>
                <w:w w:val="95"/>
                <w:sz w:val="18"/>
              </w:rPr>
              <w:t>20.00</w:t>
            </w:r>
            <w:r>
              <w:rPr>
                <w:rFonts w:ascii="Arial"/>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69"/>
              <w:jc w:val="right"/>
              <w:rPr>
                <w:rFonts w:ascii="Arial" w:hAnsi="Arial" w:cs="Arial" w:eastAsia="Arial" w:hint="default"/>
                <w:sz w:val="18"/>
                <w:szCs w:val="18"/>
              </w:rPr>
            </w:pPr>
            <w:r>
              <w:rPr>
                <w:rFonts w:ascii="Arial"/>
                <w:spacing w:val="-1"/>
                <w:w w:val="95"/>
                <w:sz w:val="18"/>
              </w:rPr>
              <w:t>20.00</w:t>
            </w:r>
            <w:r>
              <w:rPr>
                <w:rFonts w:ascii="Arial"/>
                <w:sz w:val="18"/>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00"/>
              <w:jc w:val="right"/>
              <w:rPr>
                <w:rFonts w:ascii="Arial" w:hAnsi="Arial" w:cs="Arial" w:eastAsia="Arial" w:hint="default"/>
                <w:sz w:val="18"/>
                <w:szCs w:val="18"/>
              </w:rPr>
            </w:pPr>
            <w:r>
              <w:rPr>
                <w:rFonts w:ascii="Arial"/>
                <w:w w:val="99"/>
                <w:sz w:val="18"/>
              </w:rPr>
              <w:t>-</w:t>
            </w:r>
            <w:r>
              <w:rPr>
                <w:rFonts w:ascii="Arial"/>
                <w:sz w:val="18"/>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38"/>
              <w:jc w:val="right"/>
              <w:rPr>
                <w:rFonts w:ascii="Arial" w:hAnsi="Arial" w:cs="Arial" w:eastAsia="Arial" w:hint="default"/>
                <w:sz w:val="18"/>
                <w:szCs w:val="18"/>
              </w:rPr>
            </w:pPr>
            <w:r>
              <w:rPr>
                <w:rFonts w:ascii="Arial"/>
                <w:w w:val="99"/>
                <w:sz w:val="18"/>
              </w:rPr>
              <w:t>-</w:t>
            </w:r>
            <w:r>
              <w:rPr>
                <w:rFonts w:ascii="Arial"/>
                <w:sz w:val="18"/>
              </w:rPr>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204" w:lineRule="exact"/>
              <w:ind w:left="35" w:right="0"/>
              <w:jc w:val="left"/>
              <w:rPr>
                <w:rFonts w:ascii="黑体" w:hAnsi="黑体" w:cs="黑体" w:eastAsia="黑体" w:hint="default"/>
                <w:sz w:val="18"/>
                <w:szCs w:val="18"/>
              </w:rPr>
            </w:pPr>
            <w:r>
              <w:rPr>
                <w:rFonts w:ascii="黑体" w:hAnsi="黑体" w:cs="黑体" w:eastAsia="黑体" w:hint="default"/>
                <w:sz w:val="18"/>
                <w:szCs w:val="18"/>
              </w:rPr>
              <w:t>石家庄用友政务软件有限公司</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6"/>
              <w:jc w:val="right"/>
              <w:rPr>
                <w:rFonts w:ascii="Arial" w:hAnsi="Arial" w:cs="Arial" w:eastAsia="Arial" w:hint="default"/>
                <w:sz w:val="18"/>
                <w:szCs w:val="18"/>
              </w:rPr>
            </w:pPr>
            <w:r>
              <w:rPr>
                <w:rFonts w:ascii="Arial"/>
                <w:spacing w:val="-1"/>
                <w:sz w:val="18"/>
              </w:rPr>
              <w:t>200,000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6"/>
              <w:jc w:val="right"/>
              <w:rPr>
                <w:rFonts w:ascii="Arial" w:hAnsi="Arial" w:cs="Arial" w:eastAsia="Arial" w:hint="default"/>
                <w:sz w:val="18"/>
                <w:szCs w:val="18"/>
              </w:rPr>
            </w:pPr>
            <w:r>
              <w:rPr>
                <w:rFonts w:ascii="Arial"/>
                <w:spacing w:val="-1"/>
                <w:sz w:val="18"/>
              </w:rPr>
              <w:t>200,000</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48"/>
              <w:jc w:val="right"/>
              <w:rPr>
                <w:rFonts w:ascii="Arial" w:hAnsi="Arial" w:cs="Arial" w:eastAsia="Arial" w:hint="default"/>
                <w:sz w:val="18"/>
                <w:szCs w:val="18"/>
              </w:rPr>
            </w:pPr>
            <w:r>
              <w:rPr>
                <w:rFonts w:ascii="Arial"/>
                <w:w w:val="99"/>
                <w:sz w:val="18"/>
              </w:rPr>
              <w:t>-</w:t>
            </w:r>
            <w:r>
              <w:rPr>
                <w:rFonts w:ascii="Arial"/>
                <w:sz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89"/>
              <w:jc w:val="right"/>
              <w:rPr>
                <w:rFonts w:ascii="Arial" w:hAnsi="Arial" w:cs="Arial" w:eastAsia="Arial" w:hint="default"/>
                <w:sz w:val="18"/>
                <w:szCs w:val="18"/>
              </w:rPr>
            </w:pPr>
            <w:r>
              <w:rPr>
                <w:rFonts w:ascii="Arial"/>
                <w:spacing w:val="-1"/>
                <w:sz w:val="18"/>
              </w:rPr>
              <w:t>200,000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92"/>
              <w:jc w:val="right"/>
              <w:rPr>
                <w:rFonts w:ascii="Arial" w:hAnsi="Arial" w:cs="Arial" w:eastAsia="Arial" w:hint="default"/>
                <w:sz w:val="18"/>
                <w:szCs w:val="18"/>
              </w:rPr>
            </w:pPr>
            <w:r>
              <w:rPr>
                <w:rFonts w:ascii="Arial"/>
                <w:spacing w:val="-1"/>
                <w:w w:val="95"/>
                <w:sz w:val="18"/>
              </w:rPr>
              <w:t>20.00</w:t>
            </w:r>
            <w:r>
              <w:rPr>
                <w:rFonts w:ascii="Arial"/>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69"/>
              <w:jc w:val="right"/>
              <w:rPr>
                <w:rFonts w:ascii="Arial" w:hAnsi="Arial" w:cs="Arial" w:eastAsia="Arial" w:hint="default"/>
                <w:sz w:val="18"/>
                <w:szCs w:val="18"/>
              </w:rPr>
            </w:pPr>
            <w:r>
              <w:rPr>
                <w:rFonts w:ascii="Arial"/>
                <w:spacing w:val="-1"/>
                <w:w w:val="95"/>
                <w:sz w:val="18"/>
              </w:rPr>
              <w:t>20.00</w:t>
            </w:r>
            <w:r>
              <w:rPr>
                <w:rFonts w:ascii="Arial"/>
                <w:sz w:val="18"/>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0"/>
              <w:jc w:val="right"/>
              <w:rPr>
                <w:rFonts w:ascii="Arial" w:hAnsi="Arial" w:cs="Arial" w:eastAsia="Arial" w:hint="default"/>
                <w:sz w:val="18"/>
                <w:szCs w:val="18"/>
              </w:rPr>
            </w:pPr>
            <w:r>
              <w:rPr>
                <w:rFonts w:ascii="Arial"/>
                <w:w w:val="99"/>
                <w:sz w:val="18"/>
              </w:rPr>
              <w:t>-</w:t>
            </w:r>
            <w:r>
              <w:rPr>
                <w:rFonts w:ascii="Arial"/>
                <w:sz w:val="18"/>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8"/>
              <w:jc w:val="right"/>
              <w:rPr>
                <w:rFonts w:ascii="Arial" w:hAnsi="Arial" w:cs="Arial" w:eastAsia="Arial" w:hint="default"/>
                <w:sz w:val="18"/>
                <w:szCs w:val="18"/>
              </w:rPr>
            </w:pPr>
            <w:r>
              <w:rPr>
                <w:rFonts w:ascii="Arial"/>
                <w:w w:val="99"/>
                <w:sz w:val="18"/>
              </w:rPr>
              <w:t>-</w:t>
            </w:r>
            <w:r>
              <w:rPr>
                <w:rFonts w:ascii="Arial"/>
                <w:sz w:val="18"/>
              </w:rPr>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4"/>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203" w:lineRule="exact"/>
              <w:ind w:left="35" w:right="0"/>
              <w:jc w:val="left"/>
              <w:rPr>
                <w:rFonts w:ascii="黑体" w:hAnsi="黑体" w:cs="黑体" w:eastAsia="黑体" w:hint="default"/>
                <w:sz w:val="18"/>
                <w:szCs w:val="18"/>
              </w:rPr>
            </w:pPr>
            <w:r>
              <w:rPr>
                <w:rFonts w:ascii="黑体" w:hAnsi="黑体" w:cs="黑体" w:eastAsia="黑体" w:hint="default"/>
                <w:sz w:val="18"/>
                <w:szCs w:val="18"/>
              </w:rPr>
              <w:t>安徽用友政务软件有限公司</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6"/>
              <w:jc w:val="right"/>
              <w:rPr>
                <w:rFonts w:ascii="Arial" w:hAnsi="Arial" w:cs="Arial" w:eastAsia="Arial" w:hint="default"/>
                <w:sz w:val="18"/>
                <w:szCs w:val="18"/>
              </w:rPr>
            </w:pPr>
            <w:r>
              <w:rPr>
                <w:rFonts w:ascii="Arial"/>
                <w:spacing w:val="-1"/>
                <w:sz w:val="18"/>
              </w:rPr>
              <w:t>200,000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6"/>
              <w:jc w:val="right"/>
              <w:rPr>
                <w:rFonts w:ascii="Arial" w:hAnsi="Arial" w:cs="Arial" w:eastAsia="Arial" w:hint="default"/>
                <w:sz w:val="18"/>
                <w:szCs w:val="18"/>
              </w:rPr>
            </w:pPr>
            <w:r>
              <w:rPr>
                <w:rFonts w:ascii="Arial"/>
                <w:spacing w:val="-1"/>
                <w:sz w:val="18"/>
              </w:rPr>
              <w:t>200,000</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48"/>
              <w:jc w:val="right"/>
              <w:rPr>
                <w:rFonts w:ascii="Arial" w:hAnsi="Arial" w:cs="Arial" w:eastAsia="Arial" w:hint="default"/>
                <w:sz w:val="18"/>
                <w:szCs w:val="18"/>
              </w:rPr>
            </w:pPr>
            <w:r>
              <w:rPr>
                <w:rFonts w:ascii="Arial"/>
                <w:w w:val="99"/>
                <w:sz w:val="18"/>
              </w:rPr>
              <w:t>-</w:t>
            </w:r>
            <w:r>
              <w:rPr>
                <w:rFonts w:ascii="Arial"/>
                <w:sz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9"/>
              <w:jc w:val="right"/>
              <w:rPr>
                <w:rFonts w:ascii="Arial" w:hAnsi="Arial" w:cs="Arial" w:eastAsia="Arial" w:hint="default"/>
                <w:sz w:val="18"/>
                <w:szCs w:val="18"/>
              </w:rPr>
            </w:pPr>
            <w:r>
              <w:rPr>
                <w:rFonts w:ascii="Arial"/>
                <w:spacing w:val="-1"/>
                <w:sz w:val="18"/>
              </w:rPr>
              <w:t>200,000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92"/>
              <w:jc w:val="right"/>
              <w:rPr>
                <w:rFonts w:ascii="Arial" w:hAnsi="Arial" w:cs="Arial" w:eastAsia="Arial" w:hint="default"/>
                <w:sz w:val="18"/>
                <w:szCs w:val="18"/>
              </w:rPr>
            </w:pPr>
            <w:r>
              <w:rPr>
                <w:rFonts w:ascii="Arial"/>
                <w:spacing w:val="-1"/>
                <w:w w:val="95"/>
                <w:sz w:val="18"/>
              </w:rPr>
              <w:t>20.00</w:t>
            </w:r>
            <w:r>
              <w:rPr>
                <w:rFonts w:ascii="Arial"/>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69"/>
              <w:jc w:val="right"/>
              <w:rPr>
                <w:rFonts w:ascii="Arial" w:hAnsi="Arial" w:cs="Arial" w:eastAsia="Arial" w:hint="default"/>
                <w:sz w:val="18"/>
                <w:szCs w:val="18"/>
              </w:rPr>
            </w:pPr>
            <w:r>
              <w:rPr>
                <w:rFonts w:ascii="Arial"/>
                <w:spacing w:val="-1"/>
                <w:w w:val="95"/>
                <w:sz w:val="18"/>
              </w:rPr>
              <w:t>20.00</w:t>
            </w:r>
            <w:r>
              <w:rPr>
                <w:rFonts w:ascii="Arial"/>
                <w:sz w:val="18"/>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00"/>
              <w:jc w:val="right"/>
              <w:rPr>
                <w:rFonts w:ascii="Arial" w:hAnsi="Arial" w:cs="Arial" w:eastAsia="Arial" w:hint="default"/>
                <w:sz w:val="18"/>
                <w:szCs w:val="18"/>
              </w:rPr>
            </w:pPr>
            <w:r>
              <w:rPr>
                <w:rFonts w:ascii="Arial"/>
                <w:w w:val="99"/>
                <w:sz w:val="18"/>
              </w:rPr>
              <w:t>-</w:t>
            </w:r>
            <w:r>
              <w:rPr>
                <w:rFonts w:ascii="Arial"/>
                <w:sz w:val="18"/>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38"/>
              <w:jc w:val="right"/>
              <w:rPr>
                <w:rFonts w:ascii="Arial" w:hAnsi="Arial" w:cs="Arial" w:eastAsia="Arial" w:hint="default"/>
                <w:sz w:val="18"/>
                <w:szCs w:val="18"/>
              </w:rPr>
            </w:pPr>
            <w:r>
              <w:rPr>
                <w:rFonts w:ascii="Arial"/>
                <w:w w:val="99"/>
                <w:sz w:val="18"/>
              </w:rPr>
              <w:t>-</w:t>
            </w:r>
            <w:r>
              <w:rPr>
                <w:rFonts w:ascii="Arial"/>
                <w:sz w:val="18"/>
              </w:rPr>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204" w:lineRule="exact"/>
              <w:ind w:left="35" w:right="0"/>
              <w:jc w:val="left"/>
              <w:rPr>
                <w:rFonts w:ascii="黑体" w:hAnsi="黑体" w:cs="黑体" w:eastAsia="黑体" w:hint="default"/>
                <w:sz w:val="18"/>
                <w:szCs w:val="18"/>
              </w:rPr>
            </w:pPr>
            <w:r>
              <w:rPr>
                <w:rFonts w:ascii="黑体" w:hAnsi="黑体" w:cs="黑体" w:eastAsia="黑体" w:hint="default"/>
                <w:sz w:val="18"/>
                <w:szCs w:val="18"/>
              </w:rPr>
              <w:t>太原用友政务软件有限公司</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6"/>
              <w:jc w:val="right"/>
              <w:rPr>
                <w:rFonts w:ascii="Arial" w:hAnsi="Arial" w:cs="Arial" w:eastAsia="Arial" w:hint="default"/>
                <w:sz w:val="18"/>
                <w:szCs w:val="18"/>
              </w:rPr>
            </w:pPr>
            <w:r>
              <w:rPr>
                <w:rFonts w:ascii="Arial"/>
                <w:spacing w:val="-1"/>
                <w:sz w:val="18"/>
              </w:rPr>
              <w:t>100,000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6"/>
              <w:jc w:val="right"/>
              <w:rPr>
                <w:rFonts w:ascii="Arial" w:hAnsi="Arial" w:cs="Arial" w:eastAsia="Arial" w:hint="default"/>
                <w:sz w:val="18"/>
                <w:szCs w:val="18"/>
              </w:rPr>
            </w:pPr>
            <w:r>
              <w:rPr>
                <w:rFonts w:ascii="Arial"/>
                <w:spacing w:val="-1"/>
                <w:sz w:val="18"/>
              </w:rPr>
              <w:t>100,000</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48"/>
              <w:jc w:val="right"/>
              <w:rPr>
                <w:rFonts w:ascii="Arial" w:hAnsi="Arial" w:cs="Arial" w:eastAsia="Arial" w:hint="default"/>
                <w:sz w:val="18"/>
                <w:szCs w:val="18"/>
              </w:rPr>
            </w:pPr>
            <w:r>
              <w:rPr>
                <w:rFonts w:ascii="Arial"/>
                <w:w w:val="99"/>
                <w:sz w:val="18"/>
              </w:rPr>
              <w:t>-</w:t>
            </w:r>
            <w:r>
              <w:rPr>
                <w:rFonts w:ascii="Arial"/>
                <w:sz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89"/>
              <w:jc w:val="right"/>
              <w:rPr>
                <w:rFonts w:ascii="Arial" w:hAnsi="Arial" w:cs="Arial" w:eastAsia="Arial" w:hint="default"/>
                <w:sz w:val="18"/>
                <w:szCs w:val="18"/>
              </w:rPr>
            </w:pPr>
            <w:r>
              <w:rPr>
                <w:rFonts w:ascii="Arial"/>
                <w:spacing w:val="-1"/>
                <w:sz w:val="18"/>
              </w:rPr>
              <w:t>100,000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92"/>
              <w:jc w:val="right"/>
              <w:rPr>
                <w:rFonts w:ascii="Arial" w:hAnsi="Arial" w:cs="Arial" w:eastAsia="Arial" w:hint="default"/>
                <w:sz w:val="18"/>
                <w:szCs w:val="18"/>
              </w:rPr>
            </w:pPr>
            <w:r>
              <w:rPr>
                <w:rFonts w:ascii="Arial"/>
                <w:spacing w:val="-1"/>
                <w:w w:val="95"/>
                <w:sz w:val="18"/>
              </w:rPr>
              <w:t>20.00</w:t>
            </w:r>
            <w:r>
              <w:rPr>
                <w:rFonts w:ascii="Arial"/>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69"/>
              <w:jc w:val="right"/>
              <w:rPr>
                <w:rFonts w:ascii="Arial" w:hAnsi="Arial" w:cs="Arial" w:eastAsia="Arial" w:hint="default"/>
                <w:sz w:val="18"/>
                <w:szCs w:val="18"/>
              </w:rPr>
            </w:pPr>
            <w:r>
              <w:rPr>
                <w:rFonts w:ascii="Arial"/>
                <w:spacing w:val="-1"/>
                <w:w w:val="95"/>
                <w:sz w:val="18"/>
              </w:rPr>
              <w:t>20.00</w:t>
            </w:r>
            <w:r>
              <w:rPr>
                <w:rFonts w:ascii="Arial"/>
                <w:sz w:val="18"/>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0"/>
              <w:jc w:val="right"/>
              <w:rPr>
                <w:rFonts w:ascii="Arial" w:hAnsi="Arial" w:cs="Arial" w:eastAsia="Arial" w:hint="default"/>
                <w:sz w:val="18"/>
                <w:szCs w:val="18"/>
              </w:rPr>
            </w:pPr>
            <w:r>
              <w:rPr>
                <w:rFonts w:ascii="Arial"/>
                <w:w w:val="99"/>
                <w:sz w:val="18"/>
              </w:rPr>
              <w:t>-</w:t>
            </w:r>
            <w:r>
              <w:rPr>
                <w:rFonts w:ascii="Arial"/>
                <w:sz w:val="18"/>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8"/>
              <w:jc w:val="right"/>
              <w:rPr>
                <w:rFonts w:ascii="Arial" w:hAnsi="Arial" w:cs="Arial" w:eastAsia="Arial" w:hint="default"/>
                <w:sz w:val="18"/>
                <w:szCs w:val="18"/>
              </w:rPr>
            </w:pPr>
            <w:r>
              <w:rPr>
                <w:rFonts w:ascii="Arial"/>
                <w:w w:val="99"/>
                <w:sz w:val="18"/>
              </w:rPr>
              <w:t>-</w:t>
            </w:r>
            <w:r>
              <w:rPr>
                <w:rFonts w:ascii="Arial"/>
                <w:sz w:val="18"/>
              </w:rPr>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4"/>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203" w:lineRule="exact"/>
              <w:ind w:left="35" w:right="0"/>
              <w:jc w:val="left"/>
              <w:rPr>
                <w:rFonts w:ascii="黑体" w:hAnsi="黑体" w:cs="黑体" w:eastAsia="黑体" w:hint="default"/>
                <w:sz w:val="18"/>
                <w:szCs w:val="18"/>
              </w:rPr>
            </w:pPr>
            <w:r>
              <w:rPr>
                <w:rFonts w:ascii="黑体" w:hAnsi="黑体" w:cs="黑体" w:eastAsia="黑体" w:hint="default"/>
                <w:sz w:val="18"/>
                <w:szCs w:val="18"/>
              </w:rPr>
              <w:t>哈尔滨用友政务软件有限公司</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6"/>
              <w:jc w:val="right"/>
              <w:rPr>
                <w:rFonts w:ascii="Arial" w:hAnsi="Arial" w:cs="Arial" w:eastAsia="Arial" w:hint="default"/>
                <w:sz w:val="18"/>
                <w:szCs w:val="18"/>
              </w:rPr>
            </w:pPr>
            <w:r>
              <w:rPr>
                <w:rFonts w:ascii="Arial"/>
                <w:spacing w:val="-1"/>
                <w:sz w:val="18"/>
              </w:rPr>
              <w:t>100,000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6"/>
              <w:jc w:val="right"/>
              <w:rPr>
                <w:rFonts w:ascii="Arial" w:hAnsi="Arial" w:cs="Arial" w:eastAsia="Arial" w:hint="default"/>
                <w:sz w:val="18"/>
                <w:szCs w:val="18"/>
              </w:rPr>
            </w:pPr>
            <w:r>
              <w:rPr>
                <w:rFonts w:ascii="Arial"/>
                <w:spacing w:val="-1"/>
                <w:sz w:val="18"/>
              </w:rPr>
              <w:t>100,000</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48"/>
              <w:jc w:val="right"/>
              <w:rPr>
                <w:rFonts w:ascii="Arial" w:hAnsi="Arial" w:cs="Arial" w:eastAsia="Arial" w:hint="default"/>
                <w:sz w:val="18"/>
                <w:szCs w:val="18"/>
              </w:rPr>
            </w:pPr>
            <w:r>
              <w:rPr>
                <w:rFonts w:ascii="Arial"/>
                <w:w w:val="99"/>
                <w:sz w:val="18"/>
              </w:rPr>
              <w:t>-</w:t>
            </w:r>
            <w:r>
              <w:rPr>
                <w:rFonts w:ascii="Arial"/>
                <w:sz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9"/>
              <w:jc w:val="right"/>
              <w:rPr>
                <w:rFonts w:ascii="Arial" w:hAnsi="Arial" w:cs="Arial" w:eastAsia="Arial" w:hint="default"/>
                <w:sz w:val="18"/>
                <w:szCs w:val="18"/>
              </w:rPr>
            </w:pPr>
            <w:r>
              <w:rPr>
                <w:rFonts w:ascii="Arial"/>
                <w:spacing w:val="-1"/>
                <w:sz w:val="18"/>
              </w:rPr>
              <w:t>100,000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92"/>
              <w:jc w:val="right"/>
              <w:rPr>
                <w:rFonts w:ascii="Arial" w:hAnsi="Arial" w:cs="Arial" w:eastAsia="Arial" w:hint="default"/>
                <w:sz w:val="18"/>
                <w:szCs w:val="18"/>
              </w:rPr>
            </w:pPr>
            <w:r>
              <w:rPr>
                <w:rFonts w:ascii="Arial"/>
                <w:spacing w:val="-1"/>
                <w:w w:val="95"/>
                <w:sz w:val="18"/>
              </w:rPr>
              <w:t>20.00</w:t>
            </w:r>
            <w:r>
              <w:rPr>
                <w:rFonts w:ascii="Arial"/>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69"/>
              <w:jc w:val="right"/>
              <w:rPr>
                <w:rFonts w:ascii="Arial" w:hAnsi="Arial" w:cs="Arial" w:eastAsia="Arial" w:hint="default"/>
                <w:sz w:val="18"/>
                <w:szCs w:val="18"/>
              </w:rPr>
            </w:pPr>
            <w:r>
              <w:rPr>
                <w:rFonts w:ascii="Arial"/>
                <w:spacing w:val="-1"/>
                <w:w w:val="95"/>
                <w:sz w:val="18"/>
              </w:rPr>
              <w:t>20.00</w:t>
            </w:r>
            <w:r>
              <w:rPr>
                <w:rFonts w:ascii="Arial"/>
                <w:sz w:val="18"/>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00"/>
              <w:jc w:val="right"/>
              <w:rPr>
                <w:rFonts w:ascii="Arial" w:hAnsi="Arial" w:cs="Arial" w:eastAsia="Arial" w:hint="default"/>
                <w:sz w:val="18"/>
                <w:szCs w:val="18"/>
              </w:rPr>
            </w:pPr>
            <w:r>
              <w:rPr>
                <w:rFonts w:ascii="Arial"/>
                <w:w w:val="99"/>
                <w:sz w:val="18"/>
              </w:rPr>
              <w:t>-</w:t>
            </w:r>
            <w:r>
              <w:rPr>
                <w:rFonts w:ascii="Arial"/>
                <w:sz w:val="18"/>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38"/>
              <w:jc w:val="right"/>
              <w:rPr>
                <w:rFonts w:ascii="Arial" w:hAnsi="Arial" w:cs="Arial" w:eastAsia="Arial" w:hint="default"/>
                <w:sz w:val="18"/>
                <w:szCs w:val="18"/>
              </w:rPr>
            </w:pPr>
            <w:r>
              <w:rPr>
                <w:rFonts w:ascii="Arial"/>
                <w:w w:val="99"/>
                <w:sz w:val="18"/>
              </w:rPr>
              <w:t>-</w:t>
            </w:r>
            <w:r>
              <w:rPr>
                <w:rFonts w:ascii="Arial"/>
                <w:sz w:val="18"/>
              </w:rPr>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204" w:lineRule="exact"/>
              <w:ind w:left="35" w:right="0"/>
              <w:jc w:val="left"/>
              <w:rPr>
                <w:rFonts w:ascii="黑体" w:hAnsi="黑体" w:cs="黑体" w:eastAsia="黑体" w:hint="default"/>
                <w:sz w:val="18"/>
                <w:szCs w:val="18"/>
              </w:rPr>
            </w:pPr>
            <w:r>
              <w:rPr>
                <w:rFonts w:ascii="黑体" w:hAnsi="黑体" w:cs="黑体" w:eastAsia="黑体" w:hint="default"/>
                <w:sz w:val="18"/>
                <w:szCs w:val="18"/>
              </w:rPr>
              <w:t>长春用友政务软件有限公司</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7"/>
              <w:jc w:val="right"/>
              <w:rPr>
                <w:rFonts w:ascii="Arial" w:hAnsi="Arial" w:cs="Arial" w:eastAsia="Arial" w:hint="default"/>
                <w:sz w:val="18"/>
                <w:szCs w:val="18"/>
              </w:rPr>
            </w:pPr>
            <w:r>
              <w:rPr>
                <w:rFonts w:ascii="Arial"/>
                <w:spacing w:val="-1"/>
                <w:sz w:val="18"/>
              </w:rPr>
              <w:t>200,000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6"/>
              <w:jc w:val="right"/>
              <w:rPr>
                <w:rFonts w:ascii="Arial" w:hAnsi="Arial" w:cs="Arial" w:eastAsia="Arial" w:hint="default"/>
                <w:sz w:val="18"/>
                <w:szCs w:val="18"/>
              </w:rPr>
            </w:pPr>
            <w:r>
              <w:rPr>
                <w:rFonts w:ascii="Arial"/>
                <w:spacing w:val="-1"/>
                <w:sz w:val="18"/>
              </w:rPr>
              <w:t>200,000</w:t>
            </w:r>
          </w:p>
        </w:tc>
        <w:tc>
          <w:tcPr>
            <w:tcW w:w="1378" w:type="dxa"/>
            <w:tcBorders>
              <w:top w:val="nil" w:sz="6" w:space="0" w:color="auto"/>
              <w:left w:val="nil" w:sz="6" w:space="0" w:color="auto"/>
              <w:bottom w:val="nil" w:sz="6" w:space="0" w:color="auto"/>
              <w:right w:val="nil" w:sz="6" w:space="0" w:color="auto"/>
            </w:tcBorders>
          </w:tcPr>
          <w:p>
            <w:pPr>
              <w:pStyle w:val="TableParagraph"/>
              <w:tabs>
                <w:tab w:pos="330" w:val="left" w:leader="none"/>
              </w:tabs>
              <w:spacing w:line="240" w:lineRule="auto" w:before="29"/>
              <w:ind w:right="205"/>
              <w:jc w:val="right"/>
              <w:rPr>
                <w:rFonts w:ascii="Arial" w:hAnsi="Arial" w:cs="Arial" w:eastAsia="Arial" w:hint="default"/>
                <w:sz w:val="18"/>
                <w:szCs w:val="18"/>
              </w:rPr>
            </w:pPr>
            <w:r>
              <w:rPr>
                <w:rFonts w:ascii="Arial"/>
                <w:sz w:val="18"/>
              </w:rPr>
              <w:t>(</w:t>
              <w:tab/>
            </w:r>
            <w:r>
              <w:rPr>
                <w:rFonts w:ascii="Arial"/>
                <w:spacing w:val="-3"/>
                <w:sz w:val="18"/>
              </w:rPr>
              <w:t>200,000)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89"/>
              <w:jc w:val="right"/>
              <w:rPr>
                <w:rFonts w:ascii="Arial" w:hAnsi="Arial" w:cs="Arial" w:eastAsia="Arial" w:hint="default"/>
                <w:sz w:val="18"/>
                <w:szCs w:val="18"/>
              </w:rPr>
            </w:pPr>
            <w:r>
              <w:rPr>
                <w:rFonts w:ascii="Arial"/>
                <w:w w:val="99"/>
                <w:sz w:val="18"/>
              </w:rPr>
              <w:t>-</w:t>
            </w:r>
            <w:r>
              <w:rPr>
                <w:rFonts w:ascii="Arial"/>
                <w:sz w:val="18"/>
              </w:rPr>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92"/>
              <w:jc w:val="right"/>
              <w:rPr>
                <w:rFonts w:ascii="Arial" w:hAnsi="Arial" w:cs="Arial" w:eastAsia="Arial" w:hint="default"/>
                <w:sz w:val="18"/>
                <w:szCs w:val="18"/>
              </w:rPr>
            </w:pPr>
            <w:r>
              <w:rPr>
                <w:rFonts w:ascii="Arial"/>
                <w:w w:val="99"/>
                <w:sz w:val="18"/>
              </w:rPr>
              <w:t>-</w:t>
            </w:r>
            <w:r>
              <w:rPr>
                <w:rFonts w:ascii="Arial"/>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68"/>
              <w:jc w:val="right"/>
              <w:rPr>
                <w:rFonts w:ascii="Arial" w:hAnsi="Arial" w:cs="Arial" w:eastAsia="Arial" w:hint="default"/>
                <w:sz w:val="18"/>
                <w:szCs w:val="18"/>
              </w:rPr>
            </w:pPr>
            <w:r>
              <w:rPr>
                <w:rFonts w:ascii="Arial"/>
                <w:w w:val="99"/>
                <w:sz w:val="18"/>
              </w:rPr>
              <w:t>-</w:t>
            </w:r>
            <w:r>
              <w:rPr>
                <w:rFonts w:ascii="Arial"/>
                <w:sz w:val="18"/>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0"/>
              <w:jc w:val="right"/>
              <w:rPr>
                <w:rFonts w:ascii="Arial" w:hAnsi="Arial" w:cs="Arial" w:eastAsia="Arial" w:hint="default"/>
                <w:sz w:val="18"/>
                <w:szCs w:val="18"/>
              </w:rPr>
            </w:pPr>
            <w:r>
              <w:rPr>
                <w:rFonts w:ascii="Arial"/>
                <w:w w:val="99"/>
                <w:sz w:val="18"/>
              </w:rPr>
              <w:t>-</w:t>
            </w:r>
            <w:r>
              <w:rPr>
                <w:rFonts w:ascii="Arial"/>
                <w:sz w:val="18"/>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7"/>
              <w:jc w:val="right"/>
              <w:rPr>
                <w:rFonts w:ascii="Arial" w:hAnsi="Arial" w:cs="Arial" w:eastAsia="Arial" w:hint="default"/>
                <w:sz w:val="18"/>
                <w:szCs w:val="18"/>
              </w:rPr>
            </w:pPr>
            <w:r>
              <w:rPr>
                <w:rFonts w:ascii="Arial"/>
                <w:w w:val="99"/>
                <w:sz w:val="18"/>
              </w:rPr>
              <w:t>-</w:t>
            </w:r>
            <w:r>
              <w:rPr>
                <w:rFonts w:ascii="Arial"/>
                <w:sz w:val="18"/>
              </w:rPr>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203" w:lineRule="exact"/>
              <w:ind w:left="35" w:right="0"/>
              <w:jc w:val="left"/>
              <w:rPr>
                <w:rFonts w:ascii="黑体" w:hAnsi="黑体" w:cs="黑体" w:eastAsia="黑体" w:hint="default"/>
                <w:sz w:val="18"/>
                <w:szCs w:val="18"/>
              </w:rPr>
            </w:pPr>
            <w:r>
              <w:rPr>
                <w:rFonts w:ascii="黑体" w:hAnsi="黑体" w:cs="黑体" w:eastAsia="黑体" w:hint="default"/>
                <w:sz w:val="18"/>
                <w:szCs w:val="18"/>
              </w:rPr>
              <w:t>福州用友政务软件有限公司</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7"/>
              <w:jc w:val="right"/>
              <w:rPr>
                <w:rFonts w:ascii="Arial" w:hAnsi="Arial" w:cs="Arial" w:eastAsia="Arial" w:hint="default"/>
                <w:sz w:val="18"/>
                <w:szCs w:val="18"/>
              </w:rPr>
            </w:pPr>
            <w:r>
              <w:rPr>
                <w:rFonts w:ascii="Arial"/>
                <w:spacing w:val="-1"/>
                <w:sz w:val="18"/>
              </w:rPr>
              <w:t>100,000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6"/>
              <w:jc w:val="right"/>
              <w:rPr>
                <w:rFonts w:ascii="Arial" w:hAnsi="Arial" w:cs="Arial" w:eastAsia="Arial" w:hint="default"/>
                <w:sz w:val="18"/>
                <w:szCs w:val="18"/>
              </w:rPr>
            </w:pPr>
            <w:r>
              <w:rPr>
                <w:rFonts w:ascii="Arial"/>
                <w:spacing w:val="-1"/>
                <w:sz w:val="18"/>
              </w:rPr>
              <w:t>100,000</w:t>
            </w:r>
          </w:p>
        </w:tc>
        <w:tc>
          <w:tcPr>
            <w:tcW w:w="1378" w:type="dxa"/>
            <w:tcBorders>
              <w:top w:val="nil" w:sz="6" w:space="0" w:color="auto"/>
              <w:left w:val="nil" w:sz="6" w:space="0" w:color="auto"/>
              <w:bottom w:val="nil" w:sz="6" w:space="0" w:color="auto"/>
              <w:right w:val="nil" w:sz="6" w:space="0" w:color="auto"/>
            </w:tcBorders>
          </w:tcPr>
          <w:p>
            <w:pPr>
              <w:pStyle w:val="TableParagraph"/>
              <w:tabs>
                <w:tab w:pos="330" w:val="left" w:leader="none"/>
              </w:tabs>
              <w:spacing w:line="240" w:lineRule="auto" w:before="28"/>
              <w:ind w:right="205"/>
              <w:jc w:val="right"/>
              <w:rPr>
                <w:rFonts w:ascii="Arial" w:hAnsi="Arial" w:cs="Arial" w:eastAsia="Arial" w:hint="default"/>
                <w:sz w:val="18"/>
                <w:szCs w:val="18"/>
              </w:rPr>
            </w:pPr>
            <w:r>
              <w:rPr>
                <w:rFonts w:ascii="Arial"/>
                <w:sz w:val="18"/>
              </w:rPr>
              <w:t>(</w:t>
              <w:tab/>
            </w:r>
            <w:r>
              <w:rPr>
                <w:rFonts w:ascii="Arial"/>
                <w:spacing w:val="-3"/>
                <w:sz w:val="18"/>
              </w:rPr>
              <w:t>100,000)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9"/>
              <w:jc w:val="right"/>
              <w:rPr>
                <w:rFonts w:ascii="Arial" w:hAnsi="Arial" w:cs="Arial" w:eastAsia="Arial" w:hint="default"/>
                <w:sz w:val="18"/>
                <w:szCs w:val="18"/>
              </w:rPr>
            </w:pPr>
            <w:r>
              <w:rPr>
                <w:rFonts w:ascii="Arial"/>
                <w:w w:val="99"/>
                <w:sz w:val="18"/>
              </w:rPr>
              <w:t>-</w:t>
            </w:r>
            <w:r>
              <w:rPr>
                <w:rFonts w:ascii="Arial"/>
                <w:sz w:val="18"/>
              </w:rPr>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92"/>
              <w:jc w:val="right"/>
              <w:rPr>
                <w:rFonts w:ascii="Arial" w:hAnsi="Arial" w:cs="Arial" w:eastAsia="Arial" w:hint="default"/>
                <w:sz w:val="18"/>
                <w:szCs w:val="18"/>
              </w:rPr>
            </w:pPr>
            <w:r>
              <w:rPr>
                <w:rFonts w:ascii="Arial"/>
                <w:w w:val="99"/>
                <w:sz w:val="18"/>
              </w:rPr>
              <w:t>-</w:t>
            </w:r>
            <w:r>
              <w:rPr>
                <w:rFonts w:ascii="Arial"/>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68"/>
              <w:jc w:val="right"/>
              <w:rPr>
                <w:rFonts w:ascii="Arial" w:hAnsi="Arial" w:cs="Arial" w:eastAsia="Arial" w:hint="default"/>
                <w:sz w:val="18"/>
                <w:szCs w:val="18"/>
              </w:rPr>
            </w:pPr>
            <w:r>
              <w:rPr>
                <w:rFonts w:ascii="Arial"/>
                <w:w w:val="99"/>
                <w:sz w:val="18"/>
              </w:rPr>
              <w:t>-</w:t>
            </w:r>
            <w:r>
              <w:rPr>
                <w:rFonts w:ascii="Arial"/>
                <w:sz w:val="18"/>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00"/>
              <w:jc w:val="right"/>
              <w:rPr>
                <w:rFonts w:ascii="Arial" w:hAnsi="Arial" w:cs="Arial" w:eastAsia="Arial" w:hint="default"/>
                <w:sz w:val="18"/>
                <w:szCs w:val="18"/>
              </w:rPr>
            </w:pPr>
            <w:r>
              <w:rPr>
                <w:rFonts w:ascii="Arial"/>
                <w:w w:val="99"/>
                <w:sz w:val="18"/>
              </w:rPr>
              <w:t>-</w:t>
            </w:r>
            <w:r>
              <w:rPr>
                <w:rFonts w:ascii="Arial"/>
                <w:sz w:val="18"/>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37"/>
              <w:jc w:val="right"/>
              <w:rPr>
                <w:rFonts w:ascii="Arial" w:hAnsi="Arial" w:cs="Arial" w:eastAsia="Arial" w:hint="default"/>
                <w:sz w:val="18"/>
                <w:szCs w:val="18"/>
              </w:rPr>
            </w:pPr>
            <w:r>
              <w:rPr>
                <w:rFonts w:ascii="Arial"/>
                <w:w w:val="99"/>
                <w:sz w:val="18"/>
              </w:rPr>
              <w:t>-</w:t>
            </w:r>
            <w:r>
              <w:rPr>
                <w:rFonts w:ascii="Arial"/>
                <w:sz w:val="18"/>
              </w:rPr>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69"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204" w:lineRule="exact"/>
              <w:ind w:left="35" w:right="0"/>
              <w:jc w:val="left"/>
              <w:rPr>
                <w:rFonts w:ascii="黑体" w:hAnsi="黑体" w:cs="黑体" w:eastAsia="黑体" w:hint="default"/>
                <w:sz w:val="18"/>
                <w:szCs w:val="18"/>
              </w:rPr>
            </w:pPr>
            <w:r>
              <w:rPr>
                <w:rFonts w:ascii="黑体" w:hAnsi="黑体" w:cs="黑体" w:eastAsia="黑体" w:hint="default"/>
                <w:sz w:val="18"/>
                <w:szCs w:val="18"/>
              </w:rPr>
              <w:t>内蒙古用友政务软件有限公司</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77"/>
              <w:jc w:val="right"/>
              <w:rPr>
                <w:rFonts w:ascii="Arial" w:hAnsi="Arial" w:cs="Arial" w:eastAsia="Arial" w:hint="default"/>
                <w:sz w:val="18"/>
                <w:szCs w:val="18"/>
              </w:rPr>
            </w:pPr>
            <w:r>
              <w:rPr>
                <w:rFonts w:ascii="Arial"/>
                <w:spacing w:val="-1"/>
                <w:sz w:val="18"/>
              </w:rPr>
              <w:t>100,000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6"/>
              <w:jc w:val="right"/>
              <w:rPr>
                <w:rFonts w:ascii="Arial" w:hAnsi="Arial" w:cs="Arial" w:eastAsia="Arial" w:hint="default"/>
                <w:sz w:val="18"/>
                <w:szCs w:val="18"/>
              </w:rPr>
            </w:pPr>
            <w:r>
              <w:rPr>
                <w:rFonts w:ascii="Arial"/>
                <w:spacing w:val="-1"/>
                <w:sz w:val="18"/>
              </w:rPr>
              <w:t>100,000</w:t>
            </w:r>
          </w:p>
        </w:tc>
        <w:tc>
          <w:tcPr>
            <w:tcW w:w="1378" w:type="dxa"/>
            <w:tcBorders>
              <w:top w:val="nil" w:sz="6" w:space="0" w:color="auto"/>
              <w:left w:val="nil" w:sz="6" w:space="0" w:color="auto"/>
              <w:bottom w:val="nil" w:sz="6" w:space="0" w:color="auto"/>
              <w:right w:val="nil" w:sz="6" w:space="0" w:color="auto"/>
            </w:tcBorders>
          </w:tcPr>
          <w:p>
            <w:pPr>
              <w:pStyle w:val="TableParagraph"/>
              <w:tabs>
                <w:tab w:pos="330" w:val="left" w:leader="none"/>
              </w:tabs>
              <w:spacing w:line="240" w:lineRule="auto" w:before="29"/>
              <w:ind w:right="205"/>
              <w:jc w:val="right"/>
              <w:rPr>
                <w:rFonts w:ascii="Arial" w:hAnsi="Arial" w:cs="Arial" w:eastAsia="Arial" w:hint="default"/>
                <w:sz w:val="18"/>
                <w:szCs w:val="18"/>
              </w:rPr>
            </w:pPr>
            <w:r>
              <w:rPr>
                <w:rFonts w:ascii="Arial"/>
                <w:sz w:val="18"/>
              </w:rPr>
              <w:t>(</w:t>
              <w:tab/>
            </w:r>
            <w:r>
              <w:rPr>
                <w:rFonts w:ascii="Arial"/>
                <w:spacing w:val="-3"/>
                <w:sz w:val="18"/>
              </w:rPr>
              <w:t>100,000)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89"/>
              <w:jc w:val="right"/>
              <w:rPr>
                <w:rFonts w:ascii="Arial" w:hAnsi="Arial" w:cs="Arial" w:eastAsia="Arial" w:hint="default"/>
                <w:sz w:val="18"/>
                <w:szCs w:val="18"/>
              </w:rPr>
            </w:pPr>
            <w:r>
              <w:rPr>
                <w:rFonts w:ascii="Arial"/>
                <w:w w:val="99"/>
                <w:sz w:val="18"/>
              </w:rPr>
              <w:t>-</w:t>
            </w:r>
            <w:r>
              <w:rPr>
                <w:rFonts w:ascii="Arial"/>
                <w:sz w:val="18"/>
              </w:rPr>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92"/>
              <w:jc w:val="right"/>
              <w:rPr>
                <w:rFonts w:ascii="Arial" w:hAnsi="Arial" w:cs="Arial" w:eastAsia="Arial" w:hint="default"/>
                <w:sz w:val="18"/>
                <w:szCs w:val="18"/>
              </w:rPr>
            </w:pPr>
            <w:r>
              <w:rPr>
                <w:rFonts w:ascii="Arial"/>
                <w:w w:val="99"/>
                <w:sz w:val="18"/>
              </w:rPr>
              <w:t>-</w:t>
            </w:r>
            <w:r>
              <w:rPr>
                <w:rFonts w:ascii="Arial"/>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68"/>
              <w:jc w:val="right"/>
              <w:rPr>
                <w:rFonts w:ascii="Arial" w:hAnsi="Arial" w:cs="Arial" w:eastAsia="Arial" w:hint="default"/>
                <w:sz w:val="18"/>
                <w:szCs w:val="18"/>
              </w:rPr>
            </w:pPr>
            <w:r>
              <w:rPr>
                <w:rFonts w:ascii="Arial"/>
                <w:w w:val="99"/>
                <w:sz w:val="18"/>
              </w:rPr>
              <w:t>-</w:t>
            </w:r>
            <w:r>
              <w:rPr>
                <w:rFonts w:ascii="Arial"/>
                <w:sz w:val="18"/>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0"/>
              <w:jc w:val="right"/>
              <w:rPr>
                <w:rFonts w:ascii="Arial" w:hAnsi="Arial" w:cs="Arial" w:eastAsia="Arial" w:hint="default"/>
                <w:sz w:val="18"/>
                <w:szCs w:val="18"/>
              </w:rPr>
            </w:pPr>
            <w:r>
              <w:rPr>
                <w:rFonts w:ascii="Arial"/>
                <w:w w:val="99"/>
                <w:sz w:val="18"/>
              </w:rPr>
              <w:t>-</w:t>
            </w:r>
            <w:r>
              <w:rPr>
                <w:rFonts w:ascii="Arial"/>
                <w:sz w:val="18"/>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7"/>
              <w:jc w:val="right"/>
              <w:rPr>
                <w:rFonts w:ascii="Arial" w:hAnsi="Arial" w:cs="Arial" w:eastAsia="Arial" w:hint="default"/>
                <w:sz w:val="18"/>
                <w:szCs w:val="18"/>
              </w:rPr>
            </w:pPr>
            <w:r>
              <w:rPr>
                <w:rFonts w:ascii="Arial"/>
                <w:w w:val="99"/>
                <w:sz w:val="18"/>
              </w:rPr>
              <w:t>-</w:t>
            </w:r>
            <w:r>
              <w:rPr>
                <w:rFonts w:ascii="Arial"/>
                <w:sz w:val="18"/>
              </w:rPr>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41"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190" w:lineRule="exact"/>
              <w:ind w:left="35" w:right="0"/>
              <w:jc w:val="left"/>
              <w:rPr>
                <w:rFonts w:ascii="黑体" w:hAnsi="黑体" w:cs="黑体" w:eastAsia="黑体" w:hint="default"/>
                <w:sz w:val="18"/>
                <w:szCs w:val="18"/>
              </w:rPr>
            </w:pPr>
            <w:r>
              <w:rPr>
                <w:rFonts w:ascii="黑体" w:hAnsi="黑体" w:cs="黑体" w:eastAsia="黑体" w:hint="default"/>
                <w:sz w:val="18"/>
                <w:szCs w:val="18"/>
              </w:rPr>
              <w:t>重庆用友政务软件有限公司</w:t>
            </w:r>
          </w:p>
        </w:tc>
        <w:tc>
          <w:tcPr>
            <w:tcW w:w="1343" w:type="dxa"/>
            <w:tcBorders>
              <w:top w:val="nil" w:sz="6" w:space="0" w:color="auto"/>
              <w:left w:val="nil" w:sz="6" w:space="0" w:color="auto"/>
              <w:bottom w:val="nil" w:sz="6" w:space="0" w:color="auto"/>
              <w:right w:val="nil" w:sz="6" w:space="0" w:color="auto"/>
            </w:tcBorders>
          </w:tcPr>
          <w:p>
            <w:pPr>
              <w:pStyle w:val="TableParagraph"/>
              <w:tabs>
                <w:tab w:pos="270" w:val="left" w:leader="none"/>
              </w:tabs>
              <w:spacing w:line="240" w:lineRule="auto" w:before="14"/>
              <w:ind w:right="17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100,000</w:t>
            </w:r>
            <w:r>
              <w:rPr>
                <w:rFonts w:ascii="Arial"/>
                <w:spacing w:val="-1"/>
                <w:sz w:val="18"/>
              </w:rPr>
            </w:r>
          </w:p>
        </w:tc>
        <w:tc>
          <w:tcPr>
            <w:tcW w:w="1246" w:type="dxa"/>
            <w:tcBorders>
              <w:top w:val="nil" w:sz="6" w:space="0" w:color="auto"/>
              <w:left w:val="nil" w:sz="6" w:space="0" w:color="auto"/>
              <w:bottom w:val="nil" w:sz="6" w:space="0" w:color="auto"/>
              <w:right w:val="nil" w:sz="6" w:space="0" w:color="auto"/>
            </w:tcBorders>
          </w:tcPr>
          <w:p>
            <w:pPr>
              <w:pStyle w:val="TableParagraph"/>
              <w:tabs>
                <w:tab w:pos="270" w:val="left" w:leader="none"/>
              </w:tabs>
              <w:spacing w:line="240" w:lineRule="auto" w:before="14"/>
              <w:ind w:right="146"/>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100,000</w:t>
            </w:r>
            <w:r>
              <w:rPr>
                <w:rFonts w:ascii="Arial"/>
                <w:spacing w:val="-1"/>
                <w:sz w:val="18"/>
              </w:rPr>
            </w:r>
          </w:p>
        </w:tc>
        <w:tc>
          <w:tcPr>
            <w:tcW w:w="1378" w:type="dxa"/>
            <w:tcBorders>
              <w:top w:val="nil" w:sz="6" w:space="0" w:color="auto"/>
              <w:left w:val="nil" w:sz="6" w:space="0" w:color="auto"/>
              <w:bottom w:val="nil" w:sz="6" w:space="0" w:color="auto"/>
              <w:right w:val="nil" w:sz="6" w:space="0" w:color="auto"/>
            </w:tcBorders>
          </w:tcPr>
          <w:p>
            <w:pPr>
              <w:pStyle w:val="TableParagraph"/>
              <w:tabs>
                <w:tab w:pos="329" w:val="left" w:leader="none"/>
              </w:tabs>
              <w:spacing w:line="240" w:lineRule="auto" w:before="14"/>
              <w:ind w:right="205"/>
              <w:jc w:val="right"/>
              <w:rPr>
                <w:rFonts w:ascii="Arial" w:hAnsi="Arial" w:cs="Arial" w:eastAsia="Arial" w:hint="default"/>
                <w:sz w:val="18"/>
                <w:szCs w:val="18"/>
              </w:rPr>
            </w:pPr>
            <w:r>
              <w:rPr>
                <w:rFonts w:ascii="Arial"/>
                <w:sz w:val="18"/>
              </w:rPr>
              <w:t>(</w:t>
            </w:r>
            <w:r>
              <w:rPr>
                <w:rFonts w:ascii="Arial"/>
                <w:sz w:val="18"/>
                <w:u w:val="single" w:color="000000"/>
              </w:rPr>
              <w:t> </w:t>
              <w:tab/>
            </w:r>
            <w:r>
              <w:rPr>
                <w:rFonts w:ascii="Arial"/>
                <w:spacing w:val="-3"/>
                <w:sz w:val="18"/>
                <w:u w:val="single" w:color="000000"/>
              </w:rPr>
              <w:t>100,000</w:t>
            </w:r>
            <w:r>
              <w:rPr>
                <w:rFonts w:ascii="Arial"/>
                <w:spacing w:val="-3"/>
                <w:sz w:val="18"/>
              </w:rPr>
              <w:t>)</w:t>
            </w:r>
          </w:p>
        </w:tc>
        <w:tc>
          <w:tcPr>
            <w:tcW w:w="1458" w:type="dxa"/>
            <w:tcBorders>
              <w:top w:val="nil" w:sz="6" w:space="0" w:color="auto"/>
              <w:left w:val="nil" w:sz="6" w:space="0" w:color="auto"/>
              <w:bottom w:val="nil" w:sz="6" w:space="0" w:color="auto"/>
              <w:right w:val="nil" w:sz="6" w:space="0" w:color="auto"/>
            </w:tcBorders>
          </w:tcPr>
          <w:p>
            <w:pPr>
              <w:pStyle w:val="TableParagraph"/>
              <w:tabs>
                <w:tab w:pos="900" w:val="left" w:leader="none"/>
              </w:tabs>
              <w:spacing w:line="240" w:lineRule="auto" w:before="14"/>
              <w:ind w:right="288"/>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3369" w:type="dxa"/>
            <w:gridSpan w:val="3"/>
            <w:tcBorders>
              <w:top w:val="nil" w:sz="6" w:space="0" w:color="auto"/>
              <w:left w:val="nil" w:sz="6" w:space="0" w:color="auto"/>
              <w:bottom w:val="nil" w:sz="6" w:space="0" w:color="auto"/>
              <w:right w:val="nil" w:sz="6" w:space="0" w:color="auto"/>
            </w:tcBorders>
          </w:tcPr>
          <w:p>
            <w:pPr>
              <w:pStyle w:val="TableParagraph"/>
              <w:tabs>
                <w:tab w:pos="1916" w:val="left" w:leader="none"/>
                <w:tab w:pos="2297" w:val="left" w:leader="none"/>
                <w:tab w:pos="3107" w:val="left" w:leader="none"/>
              </w:tabs>
              <w:spacing w:line="240" w:lineRule="auto" w:before="14"/>
              <w:ind w:left="679" w:right="0"/>
              <w:jc w:val="left"/>
              <w:rPr>
                <w:rFonts w:ascii="Arial" w:hAnsi="Arial" w:cs="Arial" w:eastAsia="Arial" w:hint="default"/>
                <w:sz w:val="18"/>
                <w:szCs w:val="18"/>
              </w:rPr>
            </w:pPr>
            <w:r>
              <w:rPr>
                <w:rFonts w:ascii="Arial"/>
                <w:sz w:val="18"/>
              </w:rPr>
              <w:t>-</w:t>
              <w:tab/>
              <w:t>-</w:t>
              <w:tab/>
            </w:r>
            <w:r>
              <w:rPr>
                <w:rFonts w:ascii="Arial"/>
                <w:sz w:val="18"/>
                <w:u w:val="single" w:color="000000"/>
              </w:rPr>
              <w:t> </w:t>
              <w:tab/>
              <w:t>-</w:t>
            </w:r>
            <w:r>
              <w:rPr>
                <w:rFonts w:ascii="Arial"/>
                <w:sz w:val="18"/>
              </w:rPr>
            </w:r>
          </w:p>
        </w:tc>
        <w:tc>
          <w:tcPr>
            <w:tcW w:w="1311" w:type="dxa"/>
            <w:tcBorders>
              <w:top w:val="nil" w:sz="6" w:space="0" w:color="auto"/>
              <w:left w:val="nil" w:sz="6" w:space="0" w:color="auto"/>
              <w:bottom w:val="nil" w:sz="6" w:space="0" w:color="auto"/>
              <w:right w:val="nil" w:sz="6" w:space="0" w:color="auto"/>
            </w:tcBorders>
          </w:tcPr>
          <w:p>
            <w:pPr>
              <w:pStyle w:val="TableParagraph"/>
              <w:tabs>
                <w:tab w:pos="1011" w:val="left" w:leader="none"/>
              </w:tabs>
              <w:spacing w:line="240" w:lineRule="auto" w:before="14"/>
              <w:ind w:left="201"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895" w:type="dxa"/>
            <w:tcBorders>
              <w:top w:val="nil" w:sz="6" w:space="0" w:color="auto"/>
              <w:left w:val="nil" w:sz="6" w:space="0" w:color="auto"/>
              <w:bottom w:val="nil" w:sz="6" w:space="0" w:color="auto"/>
              <w:right w:val="nil" w:sz="6" w:space="0" w:color="auto"/>
            </w:tcBorders>
          </w:tcPr>
          <w:p>
            <w:pPr>
              <w:pStyle w:val="TableParagraph"/>
              <w:tabs>
                <w:tab w:pos="630" w:val="left" w:leader="none"/>
              </w:tabs>
              <w:spacing w:line="240" w:lineRule="auto" w:before="14"/>
              <w:ind w:right="3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r>
      <w:tr>
        <w:trPr>
          <w:trHeight w:val="331"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203" w:lineRule="exact"/>
              <w:ind w:left="35" w:right="0"/>
              <w:jc w:val="left"/>
              <w:rPr>
                <w:rFonts w:ascii="黑体" w:hAnsi="黑体" w:cs="黑体" w:eastAsia="黑体" w:hint="default"/>
                <w:sz w:val="18"/>
                <w:szCs w:val="18"/>
              </w:rPr>
            </w:pPr>
            <w:r>
              <w:rPr>
                <w:rFonts w:ascii="黑体" w:hAnsi="黑体" w:cs="黑体" w:eastAsia="黑体" w:hint="default"/>
                <w:sz w:val="18"/>
                <w:szCs w:val="18"/>
              </w:rPr>
              <w:t>合计</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6"/>
              <w:jc w:val="right"/>
              <w:rPr>
                <w:rFonts w:ascii="Arial" w:hAnsi="Arial" w:cs="Arial" w:eastAsia="Arial" w:hint="default"/>
                <w:sz w:val="18"/>
                <w:szCs w:val="18"/>
              </w:rPr>
            </w:pPr>
            <w:r>
              <w:rPr>
                <w:rFonts w:ascii="Arial"/>
                <w:w w:val="99"/>
                <w:sz w:val="18"/>
              </w:rPr>
            </w:r>
            <w:r>
              <w:rPr>
                <w:rFonts w:ascii="Arial"/>
                <w:spacing w:val="-1"/>
                <w:sz w:val="18"/>
                <w:u w:val="thick" w:color="000000"/>
              </w:rPr>
              <w:t>40,285,597</w:t>
            </w:r>
            <w:r>
              <w:rPr>
                <w:rFonts w:ascii="Arial"/>
                <w:spacing w:val="-1"/>
                <w:sz w:val="18"/>
              </w:rPr>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7"/>
              <w:jc w:val="right"/>
              <w:rPr>
                <w:rFonts w:ascii="Arial" w:hAnsi="Arial" w:cs="Arial" w:eastAsia="Arial" w:hint="default"/>
                <w:sz w:val="18"/>
                <w:szCs w:val="18"/>
              </w:rPr>
            </w:pPr>
            <w:r>
              <w:rPr>
                <w:rFonts w:ascii="Arial"/>
                <w:w w:val="99"/>
                <w:sz w:val="18"/>
              </w:rPr>
            </w:r>
            <w:r>
              <w:rPr>
                <w:rFonts w:ascii="Arial"/>
                <w:spacing w:val="-1"/>
                <w:sz w:val="18"/>
                <w:u w:val="thick" w:color="000000"/>
              </w:rPr>
              <w:t>47,077,825</w:t>
            </w:r>
            <w:r>
              <w:rPr>
                <w:rFonts w:ascii="Arial"/>
                <w:spacing w:val="-1"/>
                <w:sz w:val="18"/>
              </w:rPr>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48"/>
              <w:jc w:val="right"/>
              <w:rPr>
                <w:rFonts w:ascii="Arial" w:hAnsi="Arial" w:cs="Arial" w:eastAsia="Arial" w:hint="default"/>
                <w:sz w:val="18"/>
                <w:szCs w:val="18"/>
              </w:rPr>
            </w:pPr>
            <w:r>
              <w:rPr>
                <w:rFonts w:ascii="Arial"/>
                <w:w w:val="99"/>
                <w:sz w:val="18"/>
              </w:rPr>
            </w:r>
            <w:r>
              <w:rPr>
                <w:rFonts w:ascii="Arial"/>
                <w:spacing w:val="-1"/>
                <w:sz w:val="18"/>
                <w:u w:val="thick" w:color="000000"/>
              </w:rPr>
              <w:t>16,352,324</w:t>
            </w:r>
            <w:r>
              <w:rPr>
                <w:rFonts w:ascii="Arial"/>
                <w:spacing w:val="-1"/>
                <w:sz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89"/>
              <w:jc w:val="right"/>
              <w:rPr>
                <w:rFonts w:ascii="Arial" w:hAnsi="Arial" w:cs="Arial" w:eastAsia="Arial" w:hint="default"/>
                <w:sz w:val="18"/>
                <w:szCs w:val="18"/>
              </w:rPr>
            </w:pPr>
            <w:r>
              <w:rPr>
                <w:rFonts w:ascii="Arial"/>
                <w:w w:val="99"/>
                <w:sz w:val="18"/>
              </w:rPr>
            </w:r>
            <w:r>
              <w:rPr>
                <w:rFonts w:ascii="Arial"/>
                <w:spacing w:val="-1"/>
                <w:sz w:val="18"/>
                <w:u w:val="thick" w:color="000000"/>
              </w:rPr>
              <w:t>63,430,149</w:t>
            </w:r>
            <w:r>
              <w:rPr>
                <w:rFonts w:ascii="Arial"/>
                <w:spacing w:val="-1"/>
                <w:sz w:val="18"/>
              </w:rPr>
            </w:r>
          </w:p>
        </w:tc>
        <w:tc>
          <w:tcPr>
            <w:tcW w:w="3369"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8"/>
              <w:ind w:right="199"/>
              <w:jc w:val="right"/>
              <w:rPr>
                <w:rFonts w:ascii="Arial" w:hAnsi="Arial" w:cs="Arial" w:eastAsia="Arial" w:hint="default"/>
                <w:sz w:val="18"/>
                <w:szCs w:val="18"/>
              </w:rPr>
            </w:pPr>
            <w:r>
              <w:rPr>
                <w:rFonts w:ascii="Arial"/>
                <w:w w:val="99"/>
                <w:sz w:val="18"/>
              </w:rPr>
            </w:r>
            <w:r>
              <w:rPr>
                <w:rFonts w:ascii="Arial"/>
                <w:spacing w:val="-1"/>
                <w:sz w:val="18"/>
                <w:u w:val="thick" w:color="000000"/>
              </w:rPr>
              <w:t>6,818,586</w:t>
            </w:r>
            <w:r>
              <w:rPr>
                <w:rFonts w:ascii="Arial"/>
                <w:spacing w:val="-1"/>
                <w:sz w:val="18"/>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7"/>
              <w:jc w:val="right"/>
              <w:rPr>
                <w:rFonts w:ascii="Arial" w:hAnsi="Arial" w:cs="Arial" w:eastAsia="Arial" w:hint="default"/>
                <w:sz w:val="18"/>
                <w:szCs w:val="18"/>
              </w:rPr>
            </w:pPr>
            <w:r>
              <w:rPr>
                <w:rFonts w:ascii="Arial"/>
                <w:spacing w:val="-1"/>
                <w:sz w:val="18"/>
              </w:rPr>
              <w:t>(</w:t>
            </w:r>
            <w:r>
              <w:rPr>
                <w:rFonts w:ascii="Arial"/>
                <w:spacing w:val="-1"/>
                <w:sz w:val="18"/>
                <w:u w:val="thick" w:color="000000"/>
              </w:rPr>
              <w:t>5,611,414</w:t>
            </w:r>
            <w:r>
              <w:rPr>
                <w:rFonts w:ascii="Arial"/>
                <w:spacing w:val="-1"/>
                <w:sz w:val="18"/>
              </w:rPr>
              <w:t>)</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Arial" w:hAnsi="Arial" w:cs="Arial" w:eastAsia="Arial" w:hint="default"/>
                <w:sz w:val="18"/>
                <w:szCs w:val="18"/>
              </w:rPr>
            </w:pPr>
            <w:r>
              <w:rPr>
                <w:rFonts w:ascii="Arial"/>
                <w:w w:val="99"/>
                <w:sz w:val="18"/>
              </w:rPr>
            </w:r>
            <w:r>
              <w:rPr>
                <w:rFonts w:ascii="Arial"/>
                <w:spacing w:val="-1"/>
                <w:sz w:val="18"/>
                <w:u w:val="thick" w:color="000000"/>
              </w:rPr>
              <w:t>200,000</w:t>
            </w:r>
            <w:r>
              <w:rPr>
                <w:rFonts w:ascii="Arial"/>
                <w:spacing w:val="-1"/>
                <w:sz w:val="18"/>
              </w:rPr>
            </w:r>
          </w:p>
        </w:tc>
      </w:tr>
    </w:tbl>
    <w:p>
      <w:pPr>
        <w:spacing w:line="400" w:lineRule="auto" w:before="52"/>
        <w:ind w:left="681" w:right="1978" w:firstLine="0"/>
        <w:jc w:val="left"/>
        <w:rPr>
          <w:rFonts w:ascii="黑体" w:hAnsi="黑体" w:cs="黑体" w:eastAsia="黑体" w:hint="default"/>
          <w:sz w:val="18"/>
          <w:szCs w:val="18"/>
        </w:rPr>
      </w:pPr>
      <w:r>
        <w:rPr>
          <w:rFonts w:ascii="黑体" w:hAnsi="黑体" w:cs="黑体" w:eastAsia="黑体" w:hint="default"/>
          <w:sz w:val="18"/>
          <w:szCs w:val="18"/>
        </w:rPr>
        <w:t>注</w:t>
      </w:r>
      <w:r>
        <w:rPr>
          <w:rFonts w:ascii="Arial" w:hAnsi="Arial" w:cs="Arial" w:eastAsia="Arial" w:hint="default"/>
          <w:sz w:val="18"/>
          <w:szCs w:val="18"/>
        </w:rPr>
        <w:t>1.</w:t>
      </w:r>
      <w:r>
        <w:rPr>
          <w:rFonts w:ascii="黑体" w:hAnsi="黑体" w:cs="黑体" w:eastAsia="黑体" w:hint="default"/>
          <w:sz w:val="18"/>
          <w:szCs w:val="18"/>
        </w:rPr>
        <w:t>参见附注四、</w:t>
      </w:r>
      <w:r>
        <w:rPr>
          <w:rFonts w:ascii="Arial" w:hAnsi="Arial" w:cs="Arial" w:eastAsia="Arial" w:hint="default"/>
          <w:sz w:val="18"/>
          <w:szCs w:val="18"/>
        </w:rPr>
        <w:t>1</w:t>
      </w:r>
      <w:r>
        <w:rPr>
          <w:rFonts w:ascii="黑体" w:hAnsi="黑体" w:cs="黑体" w:eastAsia="黑体" w:hint="default"/>
          <w:sz w:val="18"/>
          <w:szCs w:val="18"/>
        </w:rPr>
        <w:t>、注</w:t>
      </w:r>
      <w:r>
        <w:rPr>
          <w:rFonts w:ascii="Arial" w:hAnsi="Arial" w:cs="Arial" w:eastAsia="Arial" w:hint="default"/>
          <w:sz w:val="18"/>
          <w:szCs w:val="18"/>
        </w:rPr>
        <w:t>4</w:t>
      </w:r>
      <w:r>
        <w:rPr>
          <w:rFonts w:ascii="黑体" w:hAnsi="黑体" w:cs="黑体" w:eastAsia="黑体" w:hint="default"/>
          <w:sz w:val="18"/>
          <w:szCs w:val="18"/>
        </w:rPr>
        <w:t>。 </w:t>
      </w:r>
      <w:r>
        <w:rPr>
          <w:rFonts w:ascii="黑体" w:hAnsi="黑体" w:cs="黑体" w:eastAsia="黑体" w:hint="default"/>
          <w:spacing w:val="-1"/>
          <w:sz w:val="18"/>
          <w:szCs w:val="18"/>
        </w:rPr>
        <w:t>注</w:t>
      </w:r>
      <w:r>
        <w:rPr>
          <w:rFonts w:ascii="Arial" w:hAnsi="Arial" w:cs="Arial" w:eastAsia="Arial" w:hint="default"/>
          <w:spacing w:val="-1"/>
          <w:sz w:val="18"/>
          <w:szCs w:val="18"/>
        </w:rPr>
        <w:t>2.</w:t>
      </w:r>
      <w:r>
        <w:rPr>
          <w:rFonts w:ascii="黑体" w:hAnsi="黑体" w:cs="黑体" w:eastAsia="黑体" w:hint="default"/>
          <w:spacing w:val="-1"/>
          <w:sz w:val="18"/>
          <w:szCs w:val="18"/>
        </w:rPr>
        <w:t>本公司的子公司方正春元于</w:t>
      </w:r>
      <w:r>
        <w:rPr>
          <w:rFonts w:ascii="Arial" w:hAnsi="Arial" w:cs="Arial" w:eastAsia="Arial" w:hint="default"/>
          <w:spacing w:val="-1"/>
          <w:sz w:val="18"/>
          <w:szCs w:val="18"/>
        </w:rPr>
        <w:t>2009</w:t>
      </w:r>
      <w:r>
        <w:rPr>
          <w:rFonts w:ascii="黑体" w:hAnsi="黑体" w:cs="黑体" w:eastAsia="黑体" w:hint="default"/>
          <w:spacing w:val="-1"/>
          <w:sz w:val="18"/>
          <w:szCs w:val="18"/>
        </w:rPr>
        <w:t>年处置了上海春元（原持股比例为</w:t>
      </w:r>
      <w:r>
        <w:rPr>
          <w:rFonts w:ascii="Arial" w:hAnsi="Arial" w:cs="Arial" w:eastAsia="Arial" w:hint="default"/>
          <w:spacing w:val="-1"/>
          <w:sz w:val="18"/>
          <w:szCs w:val="18"/>
        </w:rPr>
        <w:t>40%</w:t>
      </w:r>
      <w:r>
        <w:rPr>
          <w:rFonts w:ascii="黑体" w:hAnsi="黑体" w:cs="黑体" w:eastAsia="黑体" w:hint="default"/>
          <w:spacing w:val="-1"/>
          <w:sz w:val="18"/>
          <w:szCs w:val="18"/>
        </w:rPr>
        <w:t>）和武汉青和（原持股比例为</w:t>
      </w:r>
      <w:r>
        <w:rPr>
          <w:rFonts w:ascii="Arial" w:hAnsi="Arial" w:cs="Arial" w:eastAsia="Arial" w:hint="default"/>
          <w:spacing w:val="-1"/>
          <w:sz w:val="18"/>
          <w:szCs w:val="18"/>
        </w:rPr>
        <w:t>20%</w:t>
      </w:r>
      <w:r>
        <w:rPr>
          <w:rFonts w:ascii="黑体" w:hAnsi="黑体" w:cs="黑体" w:eastAsia="黑体" w:hint="default"/>
          <w:spacing w:val="-1"/>
          <w:sz w:val="18"/>
          <w:szCs w:val="18"/>
        </w:rPr>
        <w:t>）两个联营企业。</w:t>
      </w:r>
    </w:p>
    <w:p>
      <w:pPr>
        <w:spacing w:after="0" w:line="400" w:lineRule="auto"/>
        <w:jc w:val="left"/>
        <w:rPr>
          <w:rFonts w:ascii="黑体" w:hAnsi="黑体" w:cs="黑体" w:eastAsia="黑体" w:hint="default"/>
          <w:sz w:val="18"/>
          <w:szCs w:val="18"/>
        </w:rPr>
        <w:sectPr>
          <w:pgSz w:w="16840" w:h="11910" w:orient="landscape"/>
          <w:pgMar w:header="958" w:footer="784" w:top="2380" w:bottom="980" w:left="1020" w:right="1000"/>
        </w:sectPr>
      </w:pPr>
    </w:p>
    <w:p>
      <w:pPr>
        <w:spacing w:before="60"/>
        <w:ind w:left="681" w:right="0" w:firstLine="0"/>
        <w:jc w:val="left"/>
        <w:rPr>
          <w:rFonts w:ascii="黑体" w:hAnsi="黑体" w:cs="黑体" w:eastAsia="黑体" w:hint="default"/>
          <w:sz w:val="18"/>
          <w:szCs w:val="18"/>
        </w:rPr>
      </w:pPr>
      <w:r>
        <w:rPr>
          <w:rFonts w:ascii="黑体" w:hAnsi="黑体" w:cs="黑体" w:eastAsia="黑体" w:hint="default"/>
          <w:sz w:val="18"/>
          <w:szCs w:val="18"/>
        </w:rPr>
        <w:t>注</w:t>
      </w:r>
      <w:r>
        <w:rPr>
          <w:rFonts w:ascii="Arial" w:hAnsi="Arial" w:cs="Arial" w:eastAsia="Arial" w:hint="default"/>
          <w:sz w:val="18"/>
          <w:szCs w:val="18"/>
        </w:rPr>
        <w:t>3.</w:t>
      </w:r>
      <w:r>
        <w:rPr>
          <w:rFonts w:ascii="黑体" w:hAnsi="黑体" w:cs="黑体" w:eastAsia="黑体" w:hint="default"/>
          <w:sz w:val="18"/>
          <w:szCs w:val="18"/>
        </w:rPr>
        <w:t>北京瑞友科技有限公司原名为北京用友工程有限公司。</w:t>
      </w:r>
    </w:p>
    <w:p>
      <w:pPr>
        <w:spacing w:line="240" w:lineRule="auto" w:before="8"/>
        <w:rPr>
          <w:rFonts w:ascii="黑体" w:hAnsi="黑体" w:cs="黑体" w:eastAsia="黑体" w:hint="default"/>
          <w:sz w:val="13"/>
          <w:szCs w:val="13"/>
        </w:rPr>
      </w:pPr>
    </w:p>
    <w:p>
      <w:pPr>
        <w:tabs>
          <w:tab w:pos="716" w:val="left" w:leader="none"/>
        </w:tabs>
        <w:spacing w:before="0"/>
        <w:ind w:left="113"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5"/>
          <w:szCs w:val="15"/>
        </w:rPr>
      </w:pPr>
    </w:p>
    <w:p>
      <w:pPr>
        <w:tabs>
          <w:tab w:pos="732" w:val="left" w:leader="none"/>
        </w:tabs>
        <w:spacing w:before="0"/>
        <w:ind w:left="113" w:right="0" w:firstLine="0"/>
        <w:jc w:val="left"/>
        <w:rPr>
          <w:rFonts w:ascii="黑体" w:hAnsi="黑体" w:cs="黑体" w:eastAsia="黑体" w:hint="default"/>
          <w:sz w:val="20"/>
          <w:szCs w:val="20"/>
        </w:rPr>
      </w:pPr>
      <w:r>
        <w:rPr>
          <w:rFonts w:ascii="Arial" w:hAnsi="Arial" w:cs="Arial" w:eastAsia="Arial" w:hint="default"/>
          <w:b/>
          <w:bCs/>
          <w:spacing w:val="-1"/>
          <w:sz w:val="20"/>
          <w:szCs w:val="20"/>
        </w:rPr>
        <w:t>11.</w:t>
        <w:tab/>
      </w:r>
      <w:r>
        <w:rPr>
          <w:rFonts w:ascii="黑体" w:hAnsi="黑体" w:cs="黑体" w:eastAsia="黑体" w:hint="default"/>
          <w:b/>
          <w:bCs/>
          <w:sz w:val="20"/>
          <w:szCs w:val="20"/>
        </w:rPr>
        <w:t>长期股权投资（续）</w:t>
      </w:r>
      <w:r>
        <w:rPr>
          <w:rFonts w:ascii="黑体" w:hAnsi="黑体" w:cs="黑体" w:eastAsia="黑体" w:hint="default"/>
          <w:sz w:val="20"/>
          <w:szCs w:val="20"/>
        </w:rPr>
      </w:r>
    </w:p>
    <w:p>
      <w:pPr>
        <w:pStyle w:val="BodyText"/>
        <w:spacing w:line="240" w:lineRule="auto" w:before="175"/>
        <w:ind w:left="758" w:right="0"/>
        <w:jc w:val="left"/>
      </w:pPr>
      <w:r>
        <w:rPr>
          <w:rFonts w:ascii="Arial" w:hAnsi="Arial" w:cs="Arial" w:eastAsia="Arial" w:hint="default"/>
        </w:rPr>
        <w:t>2008</w:t>
      </w:r>
      <w:r>
        <w:rPr/>
        <w:t>年</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14"/>
          <w:szCs w:val="14"/>
        </w:rPr>
      </w:pPr>
    </w:p>
    <w:p>
      <w:pPr>
        <w:spacing w:line="259" w:lineRule="auto" w:before="0"/>
        <w:ind w:left="753" w:right="13367" w:firstLine="0"/>
        <w:jc w:val="left"/>
        <w:rPr>
          <w:rFonts w:ascii="黑体" w:hAnsi="黑体" w:cs="黑体" w:eastAsia="黑体" w:hint="default"/>
          <w:sz w:val="18"/>
          <w:szCs w:val="18"/>
        </w:rPr>
      </w:pPr>
      <w:r>
        <w:rPr/>
        <w:pict>
          <v:shape style="position:absolute;margin-left:246.937607pt;margin-top:-27.722645pt;width:541.950pt;height:134.2pt;mso-position-horizontal-relative:page;mso-position-vertical-relative:paragraph;z-index:18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78"/>
                    <w:gridCol w:w="1239"/>
                    <w:gridCol w:w="1447"/>
                    <w:gridCol w:w="1419"/>
                    <w:gridCol w:w="1044"/>
                    <w:gridCol w:w="1153"/>
                    <w:gridCol w:w="936"/>
                    <w:gridCol w:w="1403"/>
                    <w:gridCol w:w="820"/>
                  </w:tblGrid>
                  <w:tr>
                    <w:trPr>
                      <w:trHeight w:val="836" w:hRule="exact"/>
                    </w:trPr>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61"/>
                          <w:jc w:val="right"/>
                          <w:rPr>
                            <w:rFonts w:ascii="黑体" w:hAnsi="黑体" w:cs="黑体" w:eastAsia="黑体" w:hint="default"/>
                            <w:sz w:val="18"/>
                            <w:szCs w:val="18"/>
                          </w:rPr>
                        </w:pPr>
                        <w:r>
                          <w:rPr>
                            <w:rFonts w:ascii="黑体" w:hAnsi="黑体" w:cs="黑体" w:eastAsia="黑体" w:hint="default"/>
                            <w:sz w:val="18"/>
                            <w:szCs w:val="18"/>
                          </w:rPr>
                          <w:t>初始投资成本</w:t>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75"/>
                          <w:jc w:val="right"/>
                          <w:rPr>
                            <w:rFonts w:ascii="黑体" w:hAnsi="黑体" w:cs="黑体" w:eastAsia="黑体" w:hint="default"/>
                            <w:sz w:val="18"/>
                            <w:szCs w:val="18"/>
                          </w:rPr>
                        </w:pPr>
                        <w:r>
                          <w:rPr>
                            <w:rFonts w:ascii="黑体" w:hAnsi="黑体" w:cs="黑体" w:eastAsia="黑体" w:hint="default"/>
                            <w:sz w:val="18"/>
                            <w:szCs w:val="18"/>
                          </w:rPr>
                          <w:t>年初数</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0"/>
                          <w:jc w:val="center"/>
                          <w:rPr>
                            <w:rFonts w:ascii="黑体" w:hAnsi="黑体" w:cs="黑体" w:eastAsia="黑体" w:hint="default"/>
                            <w:sz w:val="18"/>
                            <w:szCs w:val="18"/>
                          </w:rPr>
                        </w:pPr>
                        <w:r>
                          <w:rPr>
                            <w:rFonts w:ascii="黑体" w:hAnsi="黑体" w:cs="黑体" w:eastAsia="黑体" w:hint="default"/>
                            <w:sz w:val="18"/>
                            <w:szCs w:val="18"/>
                          </w:rPr>
                          <w:t>本年增减</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05"/>
                          <w:jc w:val="right"/>
                          <w:rPr>
                            <w:rFonts w:ascii="黑体" w:hAnsi="黑体" w:cs="黑体" w:eastAsia="黑体" w:hint="default"/>
                            <w:sz w:val="18"/>
                            <w:szCs w:val="18"/>
                          </w:rPr>
                        </w:pPr>
                        <w:r>
                          <w:rPr>
                            <w:rFonts w:ascii="黑体" w:hAnsi="黑体" w:cs="黑体" w:eastAsia="黑体" w:hint="default"/>
                            <w:sz w:val="18"/>
                            <w:szCs w:val="18"/>
                          </w:rPr>
                          <w:t>年末数</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06" w:right="0"/>
                          <w:jc w:val="left"/>
                          <w:rPr>
                            <w:rFonts w:ascii="黑体" w:hAnsi="黑体" w:cs="黑体" w:eastAsia="黑体" w:hint="default"/>
                            <w:sz w:val="18"/>
                            <w:szCs w:val="18"/>
                          </w:rPr>
                        </w:pPr>
                        <w:r>
                          <w:rPr>
                            <w:rFonts w:ascii="黑体" w:hAnsi="黑体" w:cs="黑体" w:eastAsia="黑体" w:hint="default"/>
                            <w:sz w:val="18"/>
                            <w:szCs w:val="18"/>
                          </w:rPr>
                          <w:t>持股比例</w:t>
                        </w:r>
                      </w:p>
                      <w:p>
                        <w:pPr>
                          <w:pStyle w:val="TableParagraph"/>
                          <w:spacing w:line="240" w:lineRule="auto" w:before="60"/>
                          <w:ind w:left="646" w:right="0"/>
                          <w:jc w:val="left"/>
                          <w:rPr>
                            <w:rFonts w:ascii="Arial" w:hAnsi="Arial" w:cs="Arial" w:eastAsia="Arial" w:hint="default"/>
                            <w:sz w:val="18"/>
                            <w:szCs w:val="18"/>
                          </w:rPr>
                        </w:pPr>
                        <w:r>
                          <w:rPr>
                            <w:rFonts w:ascii="Arial"/>
                            <w:sz w:val="18"/>
                          </w:rPr>
                          <w:t>(%)</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6" w:right="0"/>
                          <w:jc w:val="left"/>
                          <w:rPr>
                            <w:rFonts w:ascii="黑体" w:hAnsi="黑体" w:cs="黑体" w:eastAsia="黑体" w:hint="default"/>
                            <w:sz w:val="18"/>
                            <w:szCs w:val="18"/>
                          </w:rPr>
                        </w:pPr>
                        <w:r>
                          <w:rPr>
                            <w:rFonts w:ascii="黑体" w:hAnsi="黑体" w:cs="黑体" w:eastAsia="黑体" w:hint="default"/>
                            <w:sz w:val="18"/>
                            <w:szCs w:val="18"/>
                          </w:rPr>
                          <w:t>表决权比例</w:t>
                        </w:r>
                      </w:p>
                      <w:p>
                        <w:pPr>
                          <w:pStyle w:val="TableParagraph"/>
                          <w:spacing w:line="240" w:lineRule="auto" w:before="60"/>
                          <w:ind w:left="737" w:right="0"/>
                          <w:jc w:val="left"/>
                          <w:rPr>
                            <w:rFonts w:ascii="Arial" w:hAnsi="Arial" w:cs="Arial" w:eastAsia="Arial" w:hint="default"/>
                            <w:sz w:val="18"/>
                            <w:szCs w:val="18"/>
                          </w:rPr>
                        </w:pPr>
                        <w:r>
                          <w:rPr>
                            <w:rFonts w:ascii="Arial"/>
                            <w:sz w:val="18"/>
                          </w:rPr>
                          <w:t>(%)</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78"/>
                          <w:jc w:val="right"/>
                          <w:rPr>
                            <w:rFonts w:ascii="黑体" w:hAnsi="黑体" w:cs="黑体" w:eastAsia="黑体" w:hint="default"/>
                            <w:sz w:val="18"/>
                            <w:szCs w:val="18"/>
                          </w:rPr>
                        </w:pPr>
                        <w:r>
                          <w:rPr>
                            <w:rFonts w:ascii="黑体" w:hAnsi="黑体" w:cs="黑体" w:eastAsia="黑体" w:hint="default"/>
                            <w:spacing w:val="-1"/>
                            <w:sz w:val="18"/>
                            <w:szCs w:val="18"/>
                          </w:rPr>
                          <w:t>减值准备</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0" w:right="0"/>
                          <w:jc w:val="left"/>
                          <w:rPr>
                            <w:rFonts w:ascii="Arial" w:hAnsi="Arial" w:cs="Arial" w:eastAsia="Arial" w:hint="default"/>
                            <w:sz w:val="18"/>
                            <w:szCs w:val="18"/>
                          </w:rPr>
                        </w:pPr>
                        <w:r>
                          <w:rPr>
                            <w:rFonts w:ascii="黑体" w:hAnsi="黑体" w:cs="黑体" w:eastAsia="黑体" w:hint="default"/>
                            <w:sz w:val="18"/>
                            <w:szCs w:val="18"/>
                          </w:rPr>
                          <w:t>本年计提</w:t>
                        </w:r>
                        <w:r>
                          <w:rPr>
                            <w:rFonts w:ascii="Arial" w:hAnsi="Arial" w:cs="Arial" w:eastAsia="Arial" w:hint="default"/>
                            <w:sz w:val="18"/>
                            <w:szCs w:val="18"/>
                          </w:rPr>
                          <w:t>/(</w:t>
                        </w:r>
                        <w:r>
                          <w:rPr>
                            <w:rFonts w:ascii="黑体" w:hAnsi="黑体" w:cs="黑体" w:eastAsia="黑体" w:hint="default"/>
                            <w:sz w:val="18"/>
                            <w:szCs w:val="18"/>
                          </w:rPr>
                          <w:t>转销</w:t>
                        </w:r>
                        <w:r>
                          <w:rPr>
                            <w:rFonts w:ascii="Arial" w:hAnsi="Arial" w:cs="Arial" w:eastAsia="Arial" w:hint="default"/>
                            <w:sz w:val="18"/>
                            <w:szCs w:val="18"/>
                          </w:rPr>
                          <w:t>)</w:t>
                        </w:r>
                      </w:p>
                      <w:p>
                        <w:pPr>
                          <w:pStyle w:val="TableParagraph"/>
                          <w:spacing w:line="240" w:lineRule="auto" w:before="6"/>
                          <w:ind w:left="617" w:right="0"/>
                          <w:jc w:val="left"/>
                          <w:rPr>
                            <w:rFonts w:ascii="黑体" w:hAnsi="黑体" w:cs="黑体" w:eastAsia="黑体" w:hint="default"/>
                            <w:sz w:val="18"/>
                            <w:szCs w:val="18"/>
                          </w:rPr>
                        </w:pPr>
                        <w:r>
                          <w:rPr>
                            <w:rFonts w:ascii="黑体" w:hAnsi="黑体" w:cs="黑体" w:eastAsia="黑体" w:hint="default"/>
                            <w:sz w:val="18"/>
                            <w:szCs w:val="18"/>
                          </w:rPr>
                          <w:t>减值准备</w:t>
                        </w:r>
                      </w:p>
                    </w:tc>
                    <w:tc>
                      <w:tcPr>
                        <w:tcW w:w="820" w:type="dxa"/>
                        <w:tcBorders>
                          <w:top w:val="nil" w:sz="6" w:space="0" w:color="auto"/>
                          <w:left w:val="nil" w:sz="6" w:space="0" w:color="auto"/>
                          <w:bottom w:val="nil" w:sz="6" w:space="0" w:color="auto"/>
                          <w:right w:val="nil" w:sz="6" w:space="0" w:color="auto"/>
                        </w:tcBorders>
                      </w:tcPr>
                      <w:p>
                        <w:pPr>
                          <w:pStyle w:val="TableParagraph"/>
                          <w:spacing w:line="259" w:lineRule="auto" w:before="44"/>
                          <w:ind w:left="65" w:right="33" w:firstLine="359"/>
                          <w:jc w:val="left"/>
                          <w:rPr>
                            <w:rFonts w:ascii="黑体" w:hAnsi="黑体" w:cs="黑体" w:eastAsia="黑体" w:hint="default"/>
                            <w:sz w:val="18"/>
                            <w:szCs w:val="18"/>
                          </w:rPr>
                        </w:pPr>
                        <w:r>
                          <w:rPr>
                            <w:rFonts w:ascii="黑体" w:hAnsi="黑体" w:cs="黑体" w:eastAsia="黑体" w:hint="default"/>
                            <w:sz w:val="18"/>
                            <w:szCs w:val="18"/>
                          </w:rPr>
                          <w:t>本年 现金红利</w:t>
                        </w:r>
                      </w:p>
                    </w:tc>
                  </w:tr>
                  <w:tr>
                    <w:trPr>
                      <w:trHeight w:val="510" w:hRule="exact"/>
                    </w:trPr>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0"/>
                            <w:szCs w:val="20"/>
                          </w:rPr>
                        </w:pPr>
                      </w:p>
                      <w:p>
                        <w:pPr>
                          <w:pStyle w:val="TableParagraph"/>
                          <w:spacing w:line="240" w:lineRule="auto"/>
                          <w:ind w:right="260"/>
                          <w:jc w:val="right"/>
                          <w:rPr>
                            <w:rFonts w:ascii="Arial" w:hAnsi="Arial" w:cs="Arial" w:eastAsia="Arial" w:hint="default"/>
                            <w:sz w:val="18"/>
                            <w:szCs w:val="18"/>
                          </w:rPr>
                        </w:pPr>
                        <w:r>
                          <w:rPr>
                            <w:rFonts w:ascii="Arial"/>
                            <w:spacing w:val="-1"/>
                            <w:sz w:val="18"/>
                          </w:rPr>
                          <w:t>1,500,000</w:t>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0"/>
                            <w:szCs w:val="20"/>
                          </w:rPr>
                        </w:pPr>
                      </w:p>
                      <w:p>
                        <w:pPr>
                          <w:pStyle w:val="TableParagraph"/>
                          <w:spacing w:line="240" w:lineRule="auto"/>
                          <w:ind w:right="175"/>
                          <w:jc w:val="right"/>
                          <w:rPr>
                            <w:rFonts w:ascii="Arial" w:hAnsi="Arial" w:cs="Arial" w:eastAsia="Arial" w:hint="default"/>
                            <w:sz w:val="18"/>
                            <w:szCs w:val="18"/>
                          </w:rPr>
                        </w:pPr>
                        <w:r>
                          <w:rPr>
                            <w:rFonts w:ascii="Arial"/>
                            <w:spacing w:val="-1"/>
                            <w:sz w:val="18"/>
                          </w:rPr>
                          <w:t>6,835,339</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0"/>
                            <w:szCs w:val="20"/>
                          </w:rPr>
                        </w:pPr>
                      </w:p>
                      <w:p>
                        <w:pPr>
                          <w:pStyle w:val="TableParagraph"/>
                          <w:spacing w:line="240" w:lineRule="auto"/>
                          <w:ind w:right="110"/>
                          <w:jc w:val="center"/>
                          <w:rPr>
                            <w:rFonts w:ascii="Arial" w:hAnsi="Arial" w:cs="Arial" w:eastAsia="Arial" w:hint="default"/>
                            <w:sz w:val="18"/>
                            <w:szCs w:val="18"/>
                          </w:rPr>
                        </w:pPr>
                        <w:r>
                          <w:rPr>
                            <w:rFonts w:ascii="Arial"/>
                            <w:sz w:val="18"/>
                          </w:rPr>
                          <w:t>3,224,542</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0"/>
                            <w:szCs w:val="20"/>
                          </w:rPr>
                        </w:pPr>
                      </w:p>
                      <w:p>
                        <w:pPr>
                          <w:pStyle w:val="TableParagraph"/>
                          <w:spacing w:line="240" w:lineRule="auto"/>
                          <w:ind w:right="205"/>
                          <w:jc w:val="right"/>
                          <w:rPr>
                            <w:rFonts w:ascii="Arial" w:hAnsi="Arial" w:cs="Arial" w:eastAsia="Arial" w:hint="default"/>
                            <w:sz w:val="18"/>
                            <w:szCs w:val="18"/>
                          </w:rPr>
                        </w:pPr>
                        <w:r>
                          <w:rPr>
                            <w:rFonts w:ascii="Arial"/>
                            <w:spacing w:val="-1"/>
                            <w:sz w:val="18"/>
                          </w:rPr>
                          <w:t>10,059,881</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0"/>
                            <w:szCs w:val="20"/>
                          </w:rPr>
                        </w:pPr>
                      </w:p>
                      <w:p>
                        <w:pPr>
                          <w:pStyle w:val="TableParagraph"/>
                          <w:spacing w:line="240" w:lineRule="auto"/>
                          <w:ind w:right="114"/>
                          <w:jc w:val="right"/>
                          <w:rPr>
                            <w:rFonts w:ascii="Arial" w:hAnsi="Arial" w:cs="Arial" w:eastAsia="Arial" w:hint="default"/>
                            <w:sz w:val="18"/>
                            <w:szCs w:val="18"/>
                          </w:rPr>
                        </w:pPr>
                        <w:r>
                          <w:rPr>
                            <w:rFonts w:ascii="Arial"/>
                            <w:spacing w:val="-1"/>
                            <w:sz w:val="18"/>
                          </w:rPr>
                          <w:t>30.00</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0"/>
                            <w:szCs w:val="20"/>
                          </w:rPr>
                        </w:pPr>
                      </w:p>
                      <w:p>
                        <w:pPr>
                          <w:pStyle w:val="TableParagraph"/>
                          <w:spacing w:line="240" w:lineRule="auto"/>
                          <w:ind w:right="133"/>
                          <w:jc w:val="right"/>
                          <w:rPr>
                            <w:rFonts w:ascii="Arial" w:hAnsi="Arial" w:cs="Arial" w:eastAsia="Arial" w:hint="default"/>
                            <w:sz w:val="18"/>
                            <w:szCs w:val="18"/>
                          </w:rPr>
                        </w:pPr>
                        <w:r>
                          <w:rPr>
                            <w:rFonts w:ascii="Arial"/>
                            <w:spacing w:val="-1"/>
                            <w:sz w:val="18"/>
                          </w:rPr>
                          <w:t>30.00</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0"/>
                            <w:szCs w:val="20"/>
                          </w:rPr>
                        </w:pPr>
                      </w:p>
                      <w:p>
                        <w:pPr>
                          <w:pStyle w:val="TableParagraph"/>
                          <w:spacing w:line="240" w:lineRule="auto"/>
                          <w:ind w:right="78"/>
                          <w:jc w:val="right"/>
                          <w:rPr>
                            <w:rFonts w:ascii="Arial" w:hAnsi="Arial" w:cs="Arial" w:eastAsia="Arial" w:hint="default"/>
                            <w:sz w:val="18"/>
                            <w:szCs w:val="18"/>
                          </w:rPr>
                        </w:pPr>
                        <w:r>
                          <w:rPr>
                            <w:rFonts w:ascii="Arial"/>
                            <w:w w:val="99"/>
                            <w:sz w:val="18"/>
                          </w:rPr>
                          <w:t>-</w:t>
                        </w:r>
                        <w:r>
                          <w:rPr>
                            <w:rFonts w:ascii="Arial"/>
                            <w:sz w:val="18"/>
                          </w:rPr>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0"/>
                            <w:szCs w:val="20"/>
                          </w:rPr>
                        </w:pPr>
                      </w:p>
                      <w:p>
                        <w:pPr>
                          <w:pStyle w:val="TableParagraph"/>
                          <w:spacing w:line="240" w:lineRule="auto"/>
                          <w:ind w:right="63"/>
                          <w:jc w:val="right"/>
                          <w:rPr>
                            <w:rFonts w:ascii="Arial" w:hAnsi="Arial" w:cs="Arial" w:eastAsia="Arial" w:hint="default"/>
                            <w:sz w:val="18"/>
                            <w:szCs w:val="18"/>
                          </w:rPr>
                        </w:pPr>
                        <w:r>
                          <w:rPr>
                            <w:rFonts w:ascii="Arial"/>
                            <w:w w:val="99"/>
                            <w:sz w:val="18"/>
                          </w:rPr>
                          <w:t>-</w:t>
                        </w:r>
                        <w:r>
                          <w:rPr>
                            <w:rFonts w:ascii="Arial"/>
                            <w:sz w:val="18"/>
                          </w:rPr>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0"/>
                            <w:szCs w:val="20"/>
                          </w:rPr>
                        </w:pPr>
                      </w:p>
                      <w:p>
                        <w:pPr>
                          <w:pStyle w:val="TableParagraph"/>
                          <w:spacing w:line="240" w:lineRule="auto"/>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60"/>
                          <w:jc w:val="right"/>
                          <w:rPr>
                            <w:rFonts w:ascii="Arial" w:hAnsi="Arial" w:cs="Arial" w:eastAsia="Arial" w:hint="default"/>
                            <w:sz w:val="18"/>
                            <w:szCs w:val="18"/>
                          </w:rPr>
                        </w:pPr>
                        <w:r>
                          <w:rPr>
                            <w:rFonts w:ascii="Arial"/>
                            <w:spacing w:val="-1"/>
                            <w:sz w:val="18"/>
                          </w:rPr>
                          <w:t>200,000</w:t>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75"/>
                          <w:jc w:val="right"/>
                          <w:rPr>
                            <w:rFonts w:ascii="Arial" w:hAnsi="Arial" w:cs="Arial" w:eastAsia="Arial" w:hint="default"/>
                            <w:sz w:val="18"/>
                            <w:szCs w:val="18"/>
                          </w:rPr>
                        </w:pPr>
                        <w:r>
                          <w:rPr>
                            <w:rFonts w:ascii="Arial"/>
                            <w:spacing w:val="-1"/>
                            <w:sz w:val="18"/>
                          </w:rPr>
                          <w:t>2,645,373</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9"/>
                          <w:jc w:val="center"/>
                          <w:rPr>
                            <w:rFonts w:ascii="Arial" w:hAnsi="Arial" w:cs="Arial" w:eastAsia="Arial" w:hint="default"/>
                            <w:sz w:val="18"/>
                            <w:szCs w:val="18"/>
                          </w:rPr>
                        </w:pPr>
                        <w:r>
                          <w:rPr>
                            <w:rFonts w:ascii="Arial"/>
                            <w:sz w:val="18"/>
                          </w:rPr>
                          <w:t>1,260,025</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4"/>
                          <w:jc w:val="right"/>
                          <w:rPr>
                            <w:rFonts w:ascii="Arial" w:hAnsi="Arial" w:cs="Arial" w:eastAsia="Arial" w:hint="default"/>
                            <w:sz w:val="18"/>
                            <w:szCs w:val="18"/>
                          </w:rPr>
                        </w:pPr>
                        <w:r>
                          <w:rPr>
                            <w:rFonts w:ascii="Arial"/>
                            <w:spacing w:val="-1"/>
                            <w:sz w:val="18"/>
                          </w:rPr>
                          <w:t>3,905,398</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14"/>
                          <w:jc w:val="right"/>
                          <w:rPr>
                            <w:rFonts w:ascii="Arial" w:hAnsi="Arial" w:cs="Arial" w:eastAsia="Arial" w:hint="default"/>
                            <w:sz w:val="18"/>
                            <w:szCs w:val="18"/>
                          </w:rPr>
                        </w:pPr>
                        <w:r>
                          <w:rPr>
                            <w:rFonts w:ascii="Arial"/>
                            <w:spacing w:val="-1"/>
                            <w:sz w:val="18"/>
                          </w:rPr>
                          <w:t>40.00</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33"/>
                          <w:jc w:val="right"/>
                          <w:rPr>
                            <w:rFonts w:ascii="Arial" w:hAnsi="Arial" w:cs="Arial" w:eastAsia="Arial" w:hint="default"/>
                            <w:sz w:val="18"/>
                            <w:szCs w:val="18"/>
                          </w:rPr>
                        </w:pPr>
                        <w:r>
                          <w:rPr>
                            <w:rFonts w:ascii="Arial"/>
                            <w:spacing w:val="-1"/>
                            <w:sz w:val="18"/>
                          </w:rPr>
                          <w:t>40.00</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78"/>
                          <w:jc w:val="right"/>
                          <w:rPr>
                            <w:rFonts w:ascii="Arial" w:hAnsi="Arial" w:cs="Arial" w:eastAsia="Arial" w:hint="default"/>
                            <w:sz w:val="18"/>
                            <w:szCs w:val="18"/>
                          </w:rPr>
                        </w:pPr>
                        <w:r>
                          <w:rPr>
                            <w:rFonts w:ascii="Arial"/>
                            <w:w w:val="99"/>
                            <w:sz w:val="18"/>
                          </w:rPr>
                          <w:t>-</w:t>
                        </w:r>
                        <w:r>
                          <w:rPr>
                            <w:rFonts w:ascii="Arial"/>
                            <w:sz w:val="18"/>
                          </w:rPr>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3"/>
                          <w:jc w:val="right"/>
                          <w:rPr>
                            <w:rFonts w:ascii="Arial" w:hAnsi="Arial" w:cs="Arial" w:eastAsia="Arial" w:hint="default"/>
                            <w:sz w:val="18"/>
                            <w:szCs w:val="18"/>
                          </w:rPr>
                        </w:pPr>
                        <w:r>
                          <w:rPr>
                            <w:rFonts w:ascii="Arial"/>
                            <w:w w:val="99"/>
                            <w:sz w:val="18"/>
                          </w:rPr>
                          <w:t>-</w:t>
                        </w:r>
                        <w:r>
                          <w:rPr>
                            <w:rFonts w:ascii="Arial"/>
                            <w:sz w:val="18"/>
                          </w:rPr>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60"/>
                          <w:jc w:val="right"/>
                          <w:rPr>
                            <w:rFonts w:ascii="Arial" w:hAnsi="Arial" w:cs="Arial" w:eastAsia="Arial" w:hint="default"/>
                            <w:sz w:val="18"/>
                            <w:szCs w:val="18"/>
                          </w:rPr>
                        </w:pPr>
                        <w:r>
                          <w:rPr>
                            <w:rFonts w:ascii="Arial"/>
                            <w:spacing w:val="-1"/>
                            <w:sz w:val="18"/>
                          </w:rPr>
                          <w:t>200,000</w:t>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5"/>
                          <w:jc w:val="right"/>
                          <w:rPr>
                            <w:rFonts w:ascii="Arial" w:hAnsi="Arial" w:cs="Arial" w:eastAsia="Arial" w:hint="default"/>
                            <w:sz w:val="18"/>
                            <w:szCs w:val="18"/>
                          </w:rPr>
                        </w:pPr>
                        <w:r>
                          <w:rPr>
                            <w:rFonts w:ascii="Arial"/>
                            <w:spacing w:val="-1"/>
                            <w:sz w:val="18"/>
                          </w:rPr>
                          <w:t>1,121,697</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2"/>
                          <w:jc w:val="center"/>
                          <w:rPr>
                            <w:rFonts w:ascii="Arial" w:hAnsi="Arial" w:cs="Arial" w:eastAsia="Arial" w:hint="default"/>
                            <w:sz w:val="18"/>
                            <w:szCs w:val="18"/>
                          </w:rPr>
                        </w:pPr>
                        <w:r>
                          <w:rPr>
                            <w:rFonts w:ascii="Arial"/>
                            <w:sz w:val="18"/>
                          </w:rPr>
                          <w:t>(  </w:t>
                        </w:r>
                        <w:r>
                          <w:rPr>
                            <w:rFonts w:ascii="Arial"/>
                            <w:spacing w:val="31"/>
                            <w:sz w:val="18"/>
                          </w:rPr>
                          <w:t> </w:t>
                        </w:r>
                        <w:r>
                          <w:rPr>
                            <w:rFonts w:ascii="Arial"/>
                            <w:sz w:val="18"/>
                          </w:rPr>
                          <w:t>194,378)</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4"/>
                          <w:jc w:val="right"/>
                          <w:rPr>
                            <w:rFonts w:ascii="Arial" w:hAnsi="Arial" w:cs="Arial" w:eastAsia="Arial" w:hint="default"/>
                            <w:sz w:val="18"/>
                            <w:szCs w:val="18"/>
                          </w:rPr>
                        </w:pPr>
                        <w:r>
                          <w:rPr>
                            <w:rFonts w:ascii="Arial"/>
                            <w:spacing w:val="-1"/>
                            <w:sz w:val="18"/>
                          </w:rPr>
                          <w:t>927,319</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14"/>
                          <w:jc w:val="right"/>
                          <w:rPr>
                            <w:rFonts w:ascii="Arial" w:hAnsi="Arial" w:cs="Arial" w:eastAsia="Arial" w:hint="default"/>
                            <w:sz w:val="18"/>
                            <w:szCs w:val="18"/>
                          </w:rPr>
                        </w:pPr>
                        <w:r>
                          <w:rPr>
                            <w:rFonts w:ascii="Arial"/>
                            <w:spacing w:val="-1"/>
                            <w:sz w:val="18"/>
                          </w:rPr>
                          <w:t>40.00</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33"/>
                          <w:jc w:val="right"/>
                          <w:rPr>
                            <w:rFonts w:ascii="Arial" w:hAnsi="Arial" w:cs="Arial" w:eastAsia="Arial" w:hint="default"/>
                            <w:sz w:val="18"/>
                            <w:szCs w:val="18"/>
                          </w:rPr>
                        </w:pPr>
                        <w:r>
                          <w:rPr>
                            <w:rFonts w:ascii="Arial"/>
                            <w:spacing w:val="-1"/>
                            <w:sz w:val="18"/>
                          </w:rPr>
                          <w:t>40.00</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78"/>
                          <w:jc w:val="right"/>
                          <w:rPr>
                            <w:rFonts w:ascii="Arial" w:hAnsi="Arial" w:cs="Arial" w:eastAsia="Arial" w:hint="default"/>
                            <w:sz w:val="18"/>
                            <w:szCs w:val="18"/>
                          </w:rPr>
                        </w:pPr>
                        <w:r>
                          <w:rPr>
                            <w:rFonts w:ascii="Arial"/>
                            <w:w w:val="99"/>
                            <w:sz w:val="18"/>
                          </w:rPr>
                          <w:t>-</w:t>
                        </w:r>
                        <w:r>
                          <w:rPr>
                            <w:rFonts w:ascii="Arial"/>
                            <w:sz w:val="18"/>
                          </w:rPr>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3"/>
                          <w:jc w:val="right"/>
                          <w:rPr>
                            <w:rFonts w:ascii="Arial" w:hAnsi="Arial" w:cs="Arial" w:eastAsia="Arial" w:hint="default"/>
                            <w:sz w:val="18"/>
                            <w:szCs w:val="18"/>
                          </w:rPr>
                        </w:pPr>
                        <w:r>
                          <w:rPr>
                            <w:rFonts w:ascii="Arial"/>
                            <w:w w:val="99"/>
                            <w:sz w:val="18"/>
                          </w:rPr>
                          <w:t>-</w:t>
                        </w:r>
                        <w:r>
                          <w:rPr>
                            <w:rFonts w:ascii="Arial"/>
                            <w:sz w:val="18"/>
                          </w:rPr>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60"/>
                          <w:jc w:val="right"/>
                          <w:rPr>
                            <w:rFonts w:ascii="Arial" w:hAnsi="Arial" w:cs="Arial" w:eastAsia="Arial" w:hint="default"/>
                            <w:sz w:val="18"/>
                            <w:szCs w:val="18"/>
                          </w:rPr>
                        </w:pPr>
                        <w:r>
                          <w:rPr>
                            <w:rFonts w:ascii="Arial"/>
                            <w:spacing w:val="-1"/>
                            <w:sz w:val="18"/>
                          </w:rPr>
                          <w:t>1,200,000</w:t>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75"/>
                          <w:jc w:val="right"/>
                          <w:rPr>
                            <w:rFonts w:ascii="Arial" w:hAnsi="Arial" w:cs="Arial" w:eastAsia="Arial" w:hint="default"/>
                            <w:sz w:val="18"/>
                            <w:szCs w:val="18"/>
                          </w:rPr>
                        </w:pPr>
                        <w:r>
                          <w:rPr>
                            <w:rFonts w:ascii="Arial"/>
                            <w:spacing w:val="-1"/>
                            <w:sz w:val="18"/>
                          </w:rPr>
                          <w:t>847,152</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31"/>
                          <w:jc w:val="center"/>
                          <w:rPr>
                            <w:rFonts w:ascii="Arial" w:hAnsi="Arial" w:cs="Arial" w:eastAsia="Arial" w:hint="default"/>
                            <w:sz w:val="18"/>
                            <w:szCs w:val="18"/>
                          </w:rPr>
                        </w:pPr>
                        <w:r>
                          <w:rPr>
                            <w:rFonts w:ascii="Arial"/>
                            <w:sz w:val="18"/>
                          </w:rPr>
                          <w:t>(  </w:t>
                        </w:r>
                        <w:r>
                          <w:rPr>
                            <w:rFonts w:ascii="Arial"/>
                            <w:spacing w:val="31"/>
                            <w:sz w:val="18"/>
                          </w:rPr>
                          <w:t> </w:t>
                        </w:r>
                        <w:r>
                          <w:rPr>
                            <w:rFonts w:ascii="Arial"/>
                            <w:sz w:val="18"/>
                          </w:rPr>
                          <w:t>711,387)</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4"/>
                          <w:jc w:val="right"/>
                          <w:rPr>
                            <w:rFonts w:ascii="Arial" w:hAnsi="Arial" w:cs="Arial" w:eastAsia="Arial" w:hint="default"/>
                            <w:sz w:val="18"/>
                            <w:szCs w:val="18"/>
                          </w:rPr>
                        </w:pPr>
                        <w:r>
                          <w:rPr>
                            <w:rFonts w:ascii="Arial"/>
                            <w:spacing w:val="-1"/>
                            <w:sz w:val="18"/>
                          </w:rPr>
                          <w:t>135,765</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14"/>
                          <w:jc w:val="right"/>
                          <w:rPr>
                            <w:rFonts w:ascii="Arial" w:hAnsi="Arial" w:cs="Arial" w:eastAsia="Arial" w:hint="default"/>
                            <w:sz w:val="18"/>
                            <w:szCs w:val="18"/>
                          </w:rPr>
                        </w:pPr>
                        <w:r>
                          <w:rPr>
                            <w:rFonts w:ascii="Arial"/>
                            <w:spacing w:val="-1"/>
                            <w:sz w:val="18"/>
                          </w:rPr>
                          <w:t>33.20</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33"/>
                          <w:jc w:val="right"/>
                          <w:rPr>
                            <w:rFonts w:ascii="Arial" w:hAnsi="Arial" w:cs="Arial" w:eastAsia="Arial" w:hint="default"/>
                            <w:sz w:val="18"/>
                            <w:szCs w:val="18"/>
                          </w:rPr>
                        </w:pPr>
                        <w:r>
                          <w:rPr>
                            <w:rFonts w:ascii="Arial"/>
                            <w:spacing w:val="-1"/>
                            <w:sz w:val="18"/>
                          </w:rPr>
                          <w:t>33.20</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78"/>
                          <w:jc w:val="right"/>
                          <w:rPr>
                            <w:rFonts w:ascii="Arial" w:hAnsi="Arial" w:cs="Arial" w:eastAsia="Arial" w:hint="default"/>
                            <w:sz w:val="18"/>
                            <w:szCs w:val="18"/>
                          </w:rPr>
                        </w:pPr>
                        <w:r>
                          <w:rPr>
                            <w:rFonts w:ascii="Arial"/>
                            <w:w w:val="99"/>
                            <w:sz w:val="18"/>
                          </w:rPr>
                          <w:t>-</w:t>
                        </w:r>
                        <w:r>
                          <w:rPr>
                            <w:rFonts w:ascii="Arial"/>
                            <w:sz w:val="18"/>
                          </w:rPr>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3"/>
                          <w:jc w:val="right"/>
                          <w:rPr>
                            <w:rFonts w:ascii="Arial" w:hAnsi="Arial" w:cs="Arial" w:eastAsia="Arial" w:hint="default"/>
                            <w:sz w:val="18"/>
                            <w:szCs w:val="18"/>
                          </w:rPr>
                        </w:pPr>
                        <w:r>
                          <w:rPr>
                            <w:rFonts w:ascii="Arial"/>
                            <w:w w:val="99"/>
                            <w:sz w:val="18"/>
                          </w:rPr>
                          <w:t>-</w:t>
                        </w:r>
                        <w:r>
                          <w:rPr>
                            <w:rFonts w:ascii="Arial"/>
                            <w:sz w:val="18"/>
                          </w:rPr>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60"/>
                          <w:jc w:val="right"/>
                          <w:rPr>
                            <w:rFonts w:ascii="Arial" w:hAnsi="Arial" w:cs="Arial" w:eastAsia="Arial" w:hint="default"/>
                            <w:sz w:val="18"/>
                            <w:szCs w:val="18"/>
                          </w:rPr>
                        </w:pPr>
                        <w:r>
                          <w:rPr>
                            <w:rFonts w:ascii="Arial"/>
                            <w:spacing w:val="-1"/>
                            <w:sz w:val="18"/>
                          </w:rPr>
                          <w:t>400,000</w:t>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75"/>
                          <w:jc w:val="right"/>
                          <w:rPr>
                            <w:rFonts w:ascii="Arial" w:hAnsi="Arial" w:cs="Arial" w:eastAsia="Arial" w:hint="default"/>
                            <w:sz w:val="18"/>
                            <w:szCs w:val="18"/>
                          </w:rPr>
                        </w:pPr>
                        <w:r>
                          <w:rPr>
                            <w:rFonts w:ascii="Arial"/>
                            <w:w w:val="99"/>
                            <w:sz w:val="18"/>
                          </w:rPr>
                          <w:t>-</w:t>
                        </w:r>
                        <w:r>
                          <w:rPr>
                            <w:rFonts w:ascii="Arial"/>
                            <w:sz w:val="18"/>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8" w:right="0"/>
                          <w:jc w:val="center"/>
                          <w:rPr>
                            <w:rFonts w:ascii="Arial" w:hAnsi="Arial" w:cs="Arial" w:eastAsia="Arial" w:hint="default"/>
                            <w:sz w:val="18"/>
                            <w:szCs w:val="18"/>
                          </w:rPr>
                        </w:pPr>
                        <w:r>
                          <w:rPr>
                            <w:rFonts w:ascii="Arial"/>
                            <w:sz w:val="18"/>
                          </w:rPr>
                          <w:t>227,394</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4"/>
                          <w:jc w:val="right"/>
                          <w:rPr>
                            <w:rFonts w:ascii="Arial" w:hAnsi="Arial" w:cs="Arial" w:eastAsia="Arial" w:hint="default"/>
                            <w:sz w:val="18"/>
                            <w:szCs w:val="18"/>
                          </w:rPr>
                        </w:pPr>
                        <w:r>
                          <w:rPr>
                            <w:rFonts w:ascii="Arial"/>
                            <w:spacing w:val="-1"/>
                            <w:sz w:val="18"/>
                          </w:rPr>
                          <w:t>227,394</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14"/>
                          <w:jc w:val="right"/>
                          <w:rPr>
                            <w:rFonts w:ascii="Arial" w:hAnsi="Arial" w:cs="Arial" w:eastAsia="Arial" w:hint="default"/>
                            <w:sz w:val="18"/>
                            <w:szCs w:val="18"/>
                          </w:rPr>
                        </w:pPr>
                        <w:r>
                          <w:rPr>
                            <w:rFonts w:ascii="Arial"/>
                            <w:spacing w:val="-1"/>
                            <w:sz w:val="18"/>
                          </w:rPr>
                          <w:t>40.00</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33"/>
                          <w:jc w:val="right"/>
                          <w:rPr>
                            <w:rFonts w:ascii="Arial" w:hAnsi="Arial" w:cs="Arial" w:eastAsia="Arial" w:hint="default"/>
                            <w:sz w:val="18"/>
                            <w:szCs w:val="18"/>
                          </w:rPr>
                        </w:pPr>
                        <w:r>
                          <w:rPr>
                            <w:rFonts w:ascii="Arial"/>
                            <w:spacing w:val="-1"/>
                            <w:sz w:val="18"/>
                          </w:rPr>
                          <w:t>40.00</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78"/>
                          <w:jc w:val="right"/>
                          <w:rPr>
                            <w:rFonts w:ascii="Arial" w:hAnsi="Arial" w:cs="Arial" w:eastAsia="Arial" w:hint="default"/>
                            <w:sz w:val="18"/>
                            <w:szCs w:val="18"/>
                          </w:rPr>
                        </w:pPr>
                        <w:r>
                          <w:rPr>
                            <w:rFonts w:ascii="Arial"/>
                            <w:w w:val="99"/>
                            <w:sz w:val="18"/>
                          </w:rPr>
                          <w:t>-</w:t>
                        </w:r>
                        <w:r>
                          <w:rPr>
                            <w:rFonts w:ascii="Arial"/>
                            <w:sz w:val="18"/>
                          </w:rPr>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3"/>
                          <w:jc w:val="right"/>
                          <w:rPr>
                            <w:rFonts w:ascii="Arial" w:hAnsi="Arial" w:cs="Arial" w:eastAsia="Arial" w:hint="default"/>
                            <w:sz w:val="18"/>
                            <w:szCs w:val="18"/>
                          </w:rPr>
                        </w:pPr>
                        <w:r>
                          <w:rPr>
                            <w:rFonts w:ascii="Arial"/>
                            <w:w w:val="99"/>
                            <w:sz w:val="18"/>
                          </w:rPr>
                          <w:t>-</w:t>
                        </w:r>
                        <w:r>
                          <w:rPr>
                            <w:rFonts w:ascii="Arial"/>
                            <w:sz w:val="18"/>
                          </w:rPr>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317" w:hRule="exact"/>
                    </w:trPr>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60"/>
                          <w:jc w:val="right"/>
                          <w:rPr>
                            <w:rFonts w:ascii="Arial" w:hAnsi="Arial" w:cs="Arial" w:eastAsia="Arial" w:hint="default"/>
                            <w:sz w:val="18"/>
                            <w:szCs w:val="18"/>
                          </w:rPr>
                        </w:pPr>
                        <w:r>
                          <w:rPr>
                            <w:rFonts w:ascii="Arial"/>
                            <w:spacing w:val="-1"/>
                            <w:sz w:val="18"/>
                          </w:rPr>
                          <w:t>100,000</w:t>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75"/>
                          <w:jc w:val="right"/>
                          <w:rPr>
                            <w:rFonts w:ascii="Arial" w:hAnsi="Arial" w:cs="Arial" w:eastAsia="Arial" w:hint="default"/>
                            <w:sz w:val="18"/>
                            <w:szCs w:val="18"/>
                          </w:rPr>
                        </w:pPr>
                        <w:r>
                          <w:rPr>
                            <w:rFonts w:ascii="Arial"/>
                            <w:w w:val="99"/>
                            <w:sz w:val="18"/>
                          </w:rPr>
                          <w:t>-</w:t>
                        </w:r>
                        <w:r>
                          <w:rPr>
                            <w:rFonts w:ascii="Arial"/>
                            <w:sz w:val="18"/>
                          </w:rPr>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8" w:right="0"/>
                          <w:jc w:val="center"/>
                          <w:rPr>
                            <w:rFonts w:ascii="Arial" w:hAnsi="Arial" w:cs="Arial" w:eastAsia="Arial" w:hint="default"/>
                            <w:sz w:val="18"/>
                            <w:szCs w:val="18"/>
                          </w:rPr>
                        </w:pPr>
                        <w:r>
                          <w:rPr>
                            <w:rFonts w:ascii="Arial"/>
                            <w:sz w:val="18"/>
                          </w:rPr>
                          <w:t>136,471</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4"/>
                          <w:jc w:val="right"/>
                          <w:rPr>
                            <w:rFonts w:ascii="Arial" w:hAnsi="Arial" w:cs="Arial" w:eastAsia="Arial" w:hint="default"/>
                            <w:sz w:val="18"/>
                            <w:szCs w:val="18"/>
                          </w:rPr>
                        </w:pPr>
                        <w:r>
                          <w:rPr>
                            <w:rFonts w:ascii="Arial"/>
                            <w:spacing w:val="-1"/>
                            <w:sz w:val="18"/>
                          </w:rPr>
                          <w:t>136,471</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14"/>
                          <w:jc w:val="right"/>
                          <w:rPr>
                            <w:rFonts w:ascii="Arial" w:hAnsi="Arial" w:cs="Arial" w:eastAsia="Arial" w:hint="default"/>
                            <w:sz w:val="18"/>
                            <w:szCs w:val="18"/>
                          </w:rPr>
                        </w:pPr>
                        <w:r>
                          <w:rPr>
                            <w:rFonts w:ascii="Arial"/>
                            <w:spacing w:val="-1"/>
                            <w:sz w:val="18"/>
                          </w:rPr>
                          <w:t>20.00</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33"/>
                          <w:jc w:val="right"/>
                          <w:rPr>
                            <w:rFonts w:ascii="Arial" w:hAnsi="Arial" w:cs="Arial" w:eastAsia="Arial" w:hint="default"/>
                            <w:sz w:val="18"/>
                            <w:szCs w:val="18"/>
                          </w:rPr>
                        </w:pPr>
                        <w:r>
                          <w:rPr>
                            <w:rFonts w:ascii="Arial"/>
                            <w:spacing w:val="-1"/>
                            <w:sz w:val="18"/>
                          </w:rPr>
                          <w:t>20.00</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78"/>
                          <w:jc w:val="right"/>
                          <w:rPr>
                            <w:rFonts w:ascii="Arial" w:hAnsi="Arial" w:cs="Arial" w:eastAsia="Arial" w:hint="default"/>
                            <w:sz w:val="18"/>
                            <w:szCs w:val="18"/>
                          </w:rPr>
                        </w:pPr>
                        <w:r>
                          <w:rPr>
                            <w:rFonts w:ascii="Arial"/>
                            <w:w w:val="99"/>
                            <w:sz w:val="18"/>
                          </w:rPr>
                          <w:t>-</w:t>
                        </w:r>
                        <w:r>
                          <w:rPr>
                            <w:rFonts w:ascii="Arial"/>
                            <w:sz w:val="18"/>
                          </w:rPr>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3"/>
                          <w:jc w:val="right"/>
                          <w:rPr>
                            <w:rFonts w:ascii="Arial" w:hAnsi="Arial" w:cs="Arial" w:eastAsia="Arial" w:hint="default"/>
                            <w:sz w:val="18"/>
                            <w:szCs w:val="18"/>
                          </w:rPr>
                        </w:pPr>
                        <w:r>
                          <w:rPr>
                            <w:rFonts w:ascii="Arial"/>
                            <w:w w:val="99"/>
                            <w:sz w:val="18"/>
                          </w:rPr>
                          <w:t>-</w:t>
                        </w:r>
                        <w:r>
                          <w:rPr>
                            <w:rFonts w:ascii="Arial"/>
                            <w:sz w:val="18"/>
                          </w:rPr>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Arial" w:hAnsi="Arial" w:cs="Arial" w:eastAsia="Arial" w:hint="default"/>
                            <w:sz w:val="18"/>
                            <w:szCs w:val="18"/>
                          </w:rPr>
                        </w:pPr>
                        <w:r>
                          <w:rPr>
                            <w:rFonts w:ascii="Arial"/>
                            <w:w w:val="99"/>
                            <w:sz w:val="18"/>
                          </w:rPr>
                          <w:t>-</w:t>
                        </w:r>
                        <w:r>
                          <w:rPr>
                            <w:rFonts w:ascii="Arial"/>
                            <w:sz w:val="18"/>
                          </w:rPr>
                        </w:r>
                      </w:p>
                    </w:tc>
                  </w:tr>
                </w:tbl>
                <w:p>
                  <w:pPr/>
                </w:p>
              </w:txbxContent>
            </v:textbox>
            <w10:wrap type="none"/>
          </v:shape>
        </w:pict>
      </w:r>
      <w:r>
        <w:rPr>
          <w:rFonts w:ascii="黑体" w:hAnsi="黑体" w:cs="黑体" w:eastAsia="黑体" w:hint="default"/>
          <w:sz w:val="18"/>
          <w:szCs w:val="18"/>
        </w:rPr>
        <w:t>权益法： 联营企业</w:t>
      </w:r>
    </w:p>
    <w:p>
      <w:pPr>
        <w:spacing w:line="259" w:lineRule="auto" w:before="11"/>
        <w:ind w:left="935" w:right="12825" w:firstLine="13"/>
        <w:jc w:val="left"/>
        <w:rPr>
          <w:rFonts w:ascii="黑体" w:hAnsi="黑体" w:cs="黑体" w:eastAsia="黑体" w:hint="default"/>
          <w:sz w:val="18"/>
          <w:szCs w:val="18"/>
        </w:rPr>
      </w:pPr>
      <w:r>
        <w:rPr>
          <w:rFonts w:ascii="黑体" w:hAnsi="黑体" w:cs="黑体" w:eastAsia="黑体" w:hint="default"/>
          <w:sz w:val="18"/>
          <w:szCs w:val="18"/>
        </w:rPr>
        <w:t>用友致远 用友商用表单 西玛永泰 用友审计 上海春元 武汉青和</w:t>
      </w:r>
    </w:p>
    <w:p>
      <w:pPr>
        <w:spacing w:line="240" w:lineRule="auto" w:before="6"/>
        <w:rPr>
          <w:rFonts w:ascii="黑体" w:hAnsi="黑体" w:cs="黑体" w:eastAsia="黑体" w:hint="default"/>
          <w:sz w:val="16"/>
          <w:szCs w:val="16"/>
        </w:rPr>
      </w:pPr>
    </w:p>
    <w:p>
      <w:pPr>
        <w:spacing w:before="44"/>
        <w:ind w:left="753" w:right="0" w:firstLine="0"/>
        <w:jc w:val="left"/>
        <w:rPr>
          <w:rFonts w:ascii="黑体" w:hAnsi="黑体" w:cs="黑体" w:eastAsia="黑体" w:hint="default"/>
          <w:sz w:val="18"/>
          <w:szCs w:val="18"/>
        </w:rPr>
      </w:pPr>
      <w:r>
        <w:rPr>
          <w:rFonts w:ascii="黑体" w:hAnsi="黑体" w:cs="黑体" w:eastAsia="黑体" w:hint="default"/>
          <w:sz w:val="18"/>
          <w:szCs w:val="18"/>
        </w:rPr>
        <w:t>成本法：</w:t>
      </w:r>
    </w:p>
    <w:p>
      <w:pPr>
        <w:spacing w:line="240" w:lineRule="auto" w:before="1"/>
        <w:rPr>
          <w:rFonts w:ascii="黑体" w:hAnsi="黑体" w:cs="黑体" w:eastAsia="黑体" w:hint="default"/>
          <w:sz w:val="3"/>
          <w:szCs w:val="3"/>
        </w:rPr>
      </w:pPr>
    </w:p>
    <w:tbl>
      <w:tblPr>
        <w:tblW w:w="0" w:type="auto"/>
        <w:jc w:val="left"/>
        <w:tblInd w:w="894" w:type="dxa"/>
        <w:tblLayout w:type="fixed"/>
        <w:tblCellMar>
          <w:top w:w="0" w:type="dxa"/>
          <w:left w:w="0" w:type="dxa"/>
          <w:bottom w:w="0" w:type="dxa"/>
          <w:right w:w="0" w:type="dxa"/>
        </w:tblCellMar>
        <w:tblLook w:val="01E0"/>
      </w:tblPr>
      <w:tblGrid>
        <w:gridCol w:w="2947"/>
        <w:gridCol w:w="1455"/>
        <w:gridCol w:w="1654"/>
        <w:gridCol w:w="2586"/>
        <w:gridCol w:w="1134"/>
        <w:gridCol w:w="887"/>
        <w:gridCol w:w="1574"/>
        <w:gridCol w:w="1625"/>
      </w:tblGrid>
      <w:tr>
        <w:trPr>
          <w:trHeight w:val="254"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16" w:lineRule="exact"/>
              <w:ind w:left="35" w:right="0"/>
              <w:jc w:val="left"/>
              <w:rPr>
                <w:rFonts w:ascii="黑体" w:hAnsi="黑体" w:cs="黑体" w:eastAsia="黑体" w:hint="default"/>
                <w:sz w:val="18"/>
                <w:szCs w:val="18"/>
              </w:rPr>
            </w:pPr>
            <w:r>
              <w:rPr>
                <w:rFonts w:ascii="黑体" w:hAnsi="黑体" w:cs="黑体" w:eastAsia="黑体" w:hint="default"/>
                <w:sz w:val="18"/>
                <w:szCs w:val="18"/>
              </w:rPr>
              <w:t>北京联成互动软件技术有限公司</w:t>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60"/>
              <w:jc w:val="right"/>
              <w:rPr>
                <w:rFonts w:ascii="Arial" w:hAnsi="Arial" w:cs="Arial" w:eastAsia="Arial" w:hint="default"/>
                <w:sz w:val="18"/>
                <w:szCs w:val="18"/>
              </w:rPr>
            </w:pPr>
            <w:r>
              <w:rPr>
                <w:rFonts w:ascii="Arial"/>
                <w:spacing w:val="-1"/>
                <w:sz w:val="18"/>
              </w:rPr>
              <w:t>5,330,000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89"/>
              <w:jc w:val="right"/>
              <w:rPr>
                <w:rFonts w:ascii="Arial" w:hAnsi="Arial" w:cs="Arial" w:eastAsia="Arial" w:hint="default"/>
                <w:sz w:val="18"/>
                <w:szCs w:val="18"/>
              </w:rPr>
            </w:pPr>
            <w:r>
              <w:rPr>
                <w:rFonts w:ascii="Arial"/>
                <w:spacing w:val="-1"/>
                <w:sz w:val="18"/>
              </w:rPr>
              <w:t>5,330,000</w:t>
            </w:r>
          </w:p>
        </w:tc>
        <w:tc>
          <w:tcPr>
            <w:tcW w:w="2586" w:type="dxa"/>
            <w:tcBorders>
              <w:top w:val="nil" w:sz="6" w:space="0" w:color="auto"/>
              <w:left w:val="nil" w:sz="6" w:space="0" w:color="auto"/>
              <w:bottom w:val="nil" w:sz="6" w:space="0" w:color="auto"/>
              <w:right w:val="nil" w:sz="6" w:space="0" w:color="auto"/>
            </w:tcBorders>
          </w:tcPr>
          <w:p>
            <w:pPr>
              <w:pStyle w:val="TableParagraph"/>
              <w:tabs>
                <w:tab w:pos="851" w:val="left" w:leader="none"/>
              </w:tabs>
              <w:spacing w:line="240" w:lineRule="auto" w:before="15"/>
              <w:ind w:right="340"/>
              <w:jc w:val="right"/>
              <w:rPr>
                <w:rFonts w:ascii="Arial" w:hAnsi="Arial" w:cs="Arial" w:eastAsia="Arial" w:hint="default"/>
                <w:sz w:val="18"/>
                <w:szCs w:val="18"/>
              </w:rPr>
            </w:pPr>
            <w:r>
              <w:rPr>
                <w:rFonts w:ascii="Arial"/>
                <w:sz w:val="18"/>
              </w:rPr>
              <w:t>-</w:t>
              <w:tab/>
            </w:r>
            <w:r>
              <w:rPr>
                <w:rFonts w:ascii="Arial"/>
                <w:spacing w:val="-1"/>
                <w:sz w:val="18"/>
              </w:rPr>
              <w:t>5,330,000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center"/>
              <w:rPr>
                <w:rFonts w:ascii="Arial" w:hAnsi="Arial" w:cs="Arial" w:eastAsia="Arial" w:hint="default"/>
                <w:sz w:val="18"/>
                <w:szCs w:val="18"/>
              </w:rPr>
            </w:pPr>
            <w:r>
              <w:rPr>
                <w:rFonts w:ascii="Arial"/>
                <w:sz w:val="18"/>
              </w:rPr>
              <w:t>19.80</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3"/>
              <w:jc w:val="right"/>
              <w:rPr>
                <w:rFonts w:ascii="Arial" w:hAnsi="Arial" w:cs="Arial" w:eastAsia="Arial" w:hint="default"/>
                <w:sz w:val="18"/>
                <w:szCs w:val="18"/>
              </w:rPr>
            </w:pPr>
            <w:r>
              <w:rPr>
                <w:rFonts w:ascii="Arial"/>
                <w:spacing w:val="-1"/>
                <w:sz w:val="18"/>
              </w:rPr>
              <w:t>19.80</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76"/>
              <w:jc w:val="right"/>
              <w:rPr>
                <w:rFonts w:ascii="Arial" w:hAnsi="Arial" w:cs="Arial" w:eastAsia="Arial" w:hint="default"/>
                <w:sz w:val="18"/>
                <w:szCs w:val="18"/>
              </w:rPr>
            </w:pPr>
            <w:r>
              <w:rPr>
                <w:rFonts w:ascii="Arial"/>
                <w:spacing w:val="-1"/>
                <w:sz w:val="18"/>
              </w:rPr>
              <w:t>5,330,000</w:t>
            </w:r>
          </w:p>
        </w:tc>
        <w:tc>
          <w:tcPr>
            <w:tcW w:w="1625" w:type="dxa"/>
            <w:tcBorders>
              <w:top w:val="nil" w:sz="6" w:space="0" w:color="auto"/>
              <w:left w:val="nil" w:sz="6" w:space="0" w:color="auto"/>
              <w:bottom w:val="nil" w:sz="6" w:space="0" w:color="auto"/>
              <w:right w:val="nil" w:sz="6" w:space="0" w:color="auto"/>
            </w:tcBorders>
          </w:tcPr>
          <w:p>
            <w:pPr>
              <w:pStyle w:val="TableParagraph"/>
              <w:tabs>
                <w:tab w:pos="850" w:val="left" w:leader="none"/>
              </w:tabs>
              <w:spacing w:line="240" w:lineRule="auto" w:before="15"/>
              <w:ind w:right="33"/>
              <w:jc w:val="right"/>
              <w:rPr>
                <w:rFonts w:ascii="Arial" w:hAnsi="Arial" w:cs="Arial" w:eastAsia="Arial" w:hint="default"/>
                <w:sz w:val="18"/>
                <w:szCs w:val="18"/>
              </w:rPr>
            </w:pPr>
            <w:r>
              <w:rPr>
                <w:rFonts w:ascii="Arial"/>
                <w:sz w:val="18"/>
              </w:rPr>
              <w:t>-</w:t>
              <w:tab/>
            </w:r>
            <w:r>
              <w:rPr>
                <w:rFonts w:ascii="Arial"/>
                <w:w w:val="95"/>
                <w:sz w:val="18"/>
              </w:rPr>
              <w:t>-</w:t>
            </w:r>
            <w:r>
              <w:rPr>
                <w:rFonts w:ascii="Arial"/>
                <w:sz w:val="18"/>
              </w:rPr>
            </w:r>
          </w:p>
        </w:tc>
      </w:tr>
      <w:tr>
        <w:trPr>
          <w:trHeight w:val="255"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16" w:lineRule="exact"/>
              <w:ind w:left="35" w:right="0"/>
              <w:jc w:val="left"/>
              <w:rPr>
                <w:rFonts w:ascii="黑体" w:hAnsi="黑体" w:cs="黑体" w:eastAsia="黑体" w:hint="default"/>
                <w:sz w:val="18"/>
                <w:szCs w:val="18"/>
              </w:rPr>
            </w:pPr>
            <w:r>
              <w:rPr>
                <w:rFonts w:ascii="黑体" w:hAnsi="黑体" w:cs="黑体" w:eastAsia="黑体" w:hint="default"/>
                <w:sz w:val="18"/>
                <w:szCs w:val="18"/>
              </w:rPr>
              <w:t>深圳市硕旺管理咨询有限公司</w:t>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60"/>
              <w:jc w:val="right"/>
              <w:rPr>
                <w:rFonts w:ascii="Arial" w:hAnsi="Arial" w:cs="Arial" w:eastAsia="Arial" w:hint="default"/>
                <w:sz w:val="18"/>
                <w:szCs w:val="18"/>
              </w:rPr>
            </w:pPr>
            <w:r>
              <w:rPr>
                <w:rFonts w:ascii="Arial"/>
                <w:spacing w:val="-1"/>
                <w:sz w:val="18"/>
              </w:rPr>
              <w:t>250,000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90"/>
              <w:jc w:val="right"/>
              <w:rPr>
                <w:rFonts w:ascii="Arial" w:hAnsi="Arial" w:cs="Arial" w:eastAsia="Arial" w:hint="default"/>
                <w:sz w:val="18"/>
                <w:szCs w:val="18"/>
              </w:rPr>
            </w:pPr>
            <w:r>
              <w:rPr>
                <w:rFonts w:ascii="Arial"/>
                <w:spacing w:val="-1"/>
                <w:sz w:val="18"/>
              </w:rPr>
              <w:t>250,000</w:t>
            </w:r>
          </w:p>
        </w:tc>
        <w:tc>
          <w:tcPr>
            <w:tcW w:w="2586" w:type="dxa"/>
            <w:tcBorders>
              <w:top w:val="nil" w:sz="6" w:space="0" w:color="auto"/>
              <w:left w:val="nil" w:sz="6" w:space="0" w:color="auto"/>
              <w:bottom w:val="nil" w:sz="6" w:space="0" w:color="auto"/>
              <w:right w:val="nil" w:sz="6" w:space="0" w:color="auto"/>
            </w:tcBorders>
          </w:tcPr>
          <w:p>
            <w:pPr>
              <w:pStyle w:val="TableParagraph"/>
              <w:tabs>
                <w:tab w:pos="1001" w:val="left" w:leader="none"/>
              </w:tabs>
              <w:spacing w:line="240" w:lineRule="auto" w:before="15"/>
              <w:ind w:right="340"/>
              <w:jc w:val="right"/>
              <w:rPr>
                <w:rFonts w:ascii="Arial" w:hAnsi="Arial" w:cs="Arial" w:eastAsia="Arial" w:hint="default"/>
                <w:sz w:val="18"/>
                <w:szCs w:val="18"/>
              </w:rPr>
            </w:pPr>
            <w:r>
              <w:rPr>
                <w:rFonts w:ascii="Arial"/>
                <w:sz w:val="18"/>
              </w:rPr>
              <w:t>-</w:t>
              <w:tab/>
            </w:r>
            <w:r>
              <w:rPr>
                <w:rFonts w:ascii="Arial"/>
                <w:spacing w:val="-1"/>
                <w:sz w:val="18"/>
              </w:rPr>
              <w:t>250,000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9" w:right="0"/>
              <w:jc w:val="center"/>
              <w:rPr>
                <w:rFonts w:ascii="Arial" w:hAnsi="Arial" w:cs="Arial" w:eastAsia="Arial" w:hint="default"/>
                <w:sz w:val="18"/>
                <w:szCs w:val="18"/>
              </w:rPr>
            </w:pPr>
            <w:r>
              <w:rPr>
                <w:rFonts w:ascii="Arial"/>
                <w:sz w:val="18"/>
              </w:rPr>
              <w:t>5.00</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3"/>
              <w:jc w:val="right"/>
              <w:rPr>
                <w:rFonts w:ascii="Arial" w:hAnsi="Arial" w:cs="Arial" w:eastAsia="Arial" w:hint="default"/>
                <w:sz w:val="18"/>
                <w:szCs w:val="18"/>
              </w:rPr>
            </w:pPr>
            <w:r>
              <w:rPr>
                <w:rFonts w:ascii="Arial"/>
                <w:spacing w:val="-1"/>
                <w:sz w:val="18"/>
              </w:rPr>
              <w:t>5.00</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77"/>
              <w:jc w:val="right"/>
              <w:rPr>
                <w:rFonts w:ascii="Arial" w:hAnsi="Arial" w:cs="Arial" w:eastAsia="Arial" w:hint="default"/>
                <w:sz w:val="18"/>
                <w:szCs w:val="18"/>
              </w:rPr>
            </w:pPr>
            <w:r>
              <w:rPr>
                <w:rFonts w:ascii="Arial"/>
                <w:spacing w:val="-1"/>
                <w:sz w:val="18"/>
              </w:rPr>
              <w:t>250,000</w:t>
            </w:r>
          </w:p>
        </w:tc>
        <w:tc>
          <w:tcPr>
            <w:tcW w:w="1625" w:type="dxa"/>
            <w:tcBorders>
              <w:top w:val="nil" w:sz="6" w:space="0" w:color="auto"/>
              <w:left w:val="nil" w:sz="6" w:space="0" w:color="auto"/>
              <w:bottom w:val="nil" w:sz="6" w:space="0" w:color="auto"/>
              <w:right w:val="nil" w:sz="6" w:space="0" w:color="auto"/>
            </w:tcBorders>
          </w:tcPr>
          <w:p>
            <w:pPr>
              <w:pStyle w:val="TableParagraph"/>
              <w:tabs>
                <w:tab w:pos="850" w:val="left" w:leader="none"/>
              </w:tabs>
              <w:spacing w:line="240" w:lineRule="auto" w:before="15"/>
              <w:ind w:right="33"/>
              <w:jc w:val="right"/>
              <w:rPr>
                <w:rFonts w:ascii="Arial" w:hAnsi="Arial" w:cs="Arial" w:eastAsia="Arial" w:hint="default"/>
                <w:sz w:val="18"/>
                <w:szCs w:val="18"/>
              </w:rPr>
            </w:pPr>
            <w:r>
              <w:rPr>
                <w:rFonts w:ascii="Arial"/>
                <w:sz w:val="18"/>
              </w:rPr>
              <w:t>-</w:t>
              <w:tab/>
            </w:r>
            <w:r>
              <w:rPr>
                <w:rFonts w:ascii="Arial"/>
                <w:w w:val="95"/>
                <w:sz w:val="18"/>
              </w:rPr>
              <w:t>-</w:t>
            </w:r>
            <w:r>
              <w:rPr>
                <w:rFonts w:ascii="Arial"/>
                <w:sz w:val="18"/>
              </w:rPr>
            </w:r>
          </w:p>
        </w:tc>
      </w:tr>
      <w:tr>
        <w:trPr>
          <w:trHeight w:val="255"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16" w:lineRule="exact"/>
              <w:ind w:left="35" w:right="0"/>
              <w:jc w:val="left"/>
              <w:rPr>
                <w:rFonts w:ascii="黑体" w:hAnsi="黑体" w:cs="黑体" w:eastAsia="黑体" w:hint="default"/>
                <w:sz w:val="18"/>
                <w:szCs w:val="18"/>
              </w:rPr>
            </w:pPr>
            <w:r>
              <w:rPr>
                <w:rFonts w:ascii="黑体" w:hAnsi="黑体" w:cs="黑体" w:eastAsia="黑体" w:hint="default"/>
                <w:sz w:val="18"/>
                <w:szCs w:val="18"/>
              </w:rPr>
              <w:t>北京汉普管理咨询有限公司</w:t>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60"/>
              <w:jc w:val="right"/>
              <w:rPr>
                <w:rFonts w:ascii="Arial" w:hAnsi="Arial" w:cs="Arial" w:eastAsia="Arial" w:hint="default"/>
                <w:sz w:val="18"/>
                <w:szCs w:val="18"/>
              </w:rPr>
            </w:pPr>
            <w:r>
              <w:rPr>
                <w:rFonts w:ascii="Arial"/>
                <w:spacing w:val="-1"/>
                <w:sz w:val="18"/>
              </w:rPr>
              <w:t>700,000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90"/>
              <w:jc w:val="right"/>
              <w:rPr>
                <w:rFonts w:ascii="Arial" w:hAnsi="Arial" w:cs="Arial" w:eastAsia="Arial" w:hint="default"/>
                <w:sz w:val="18"/>
                <w:szCs w:val="18"/>
              </w:rPr>
            </w:pPr>
            <w:r>
              <w:rPr>
                <w:rFonts w:ascii="Arial"/>
                <w:spacing w:val="-1"/>
                <w:sz w:val="18"/>
              </w:rPr>
              <w:t>700,000</w:t>
            </w:r>
          </w:p>
        </w:tc>
        <w:tc>
          <w:tcPr>
            <w:tcW w:w="2586" w:type="dxa"/>
            <w:tcBorders>
              <w:top w:val="nil" w:sz="6" w:space="0" w:color="auto"/>
              <w:left w:val="nil" w:sz="6" w:space="0" w:color="auto"/>
              <w:bottom w:val="nil" w:sz="6" w:space="0" w:color="auto"/>
              <w:right w:val="nil" w:sz="6" w:space="0" w:color="auto"/>
            </w:tcBorders>
          </w:tcPr>
          <w:p>
            <w:pPr>
              <w:pStyle w:val="TableParagraph"/>
              <w:tabs>
                <w:tab w:pos="1001" w:val="left" w:leader="none"/>
              </w:tabs>
              <w:spacing w:line="240" w:lineRule="auto" w:before="16"/>
              <w:ind w:right="340"/>
              <w:jc w:val="right"/>
              <w:rPr>
                <w:rFonts w:ascii="Arial" w:hAnsi="Arial" w:cs="Arial" w:eastAsia="Arial" w:hint="default"/>
                <w:sz w:val="18"/>
                <w:szCs w:val="18"/>
              </w:rPr>
            </w:pPr>
            <w:r>
              <w:rPr>
                <w:rFonts w:ascii="Arial"/>
                <w:sz w:val="18"/>
              </w:rPr>
              <w:t>-</w:t>
              <w:tab/>
            </w:r>
            <w:r>
              <w:rPr>
                <w:rFonts w:ascii="Arial"/>
                <w:spacing w:val="-1"/>
                <w:sz w:val="18"/>
              </w:rPr>
              <w:t>700,000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0"/>
              <w:jc w:val="center"/>
              <w:rPr>
                <w:rFonts w:ascii="Arial" w:hAnsi="Arial" w:cs="Arial" w:eastAsia="Arial" w:hint="default"/>
                <w:sz w:val="18"/>
                <w:szCs w:val="18"/>
              </w:rPr>
            </w:pPr>
            <w:r>
              <w:rPr>
                <w:rFonts w:ascii="Arial"/>
                <w:sz w:val="18"/>
              </w:rPr>
              <w:t>20.00</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3"/>
              <w:jc w:val="right"/>
              <w:rPr>
                <w:rFonts w:ascii="Arial" w:hAnsi="Arial" w:cs="Arial" w:eastAsia="Arial" w:hint="default"/>
                <w:sz w:val="18"/>
                <w:szCs w:val="18"/>
              </w:rPr>
            </w:pPr>
            <w:r>
              <w:rPr>
                <w:rFonts w:ascii="Arial"/>
                <w:spacing w:val="-1"/>
                <w:sz w:val="18"/>
              </w:rPr>
              <w:t>20.00</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77"/>
              <w:jc w:val="right"/>
              <w:rPr>
                <w:rFonts w:ascii="Arial" w:hAnsi="Arial" w:cs="Arial" w:eastAsia="Arial" w:hint="default"/>
                <w:sz w:val="18"/>
                <w:szCs w:val="18"/>
              </w:rPr>
            </w:pPr>
            <w:r>
              <w:rPr>
                <w:rFonts w:ascii="Arial"/>
                <w:spacing w:val="-1"/>
                <w:sz w:val="18"/>
              </w:rPr>
              <w:t>700,000</w:t>
            </w:r>
          </w:p>
        </w:tc>
        <w:tc>
          <w:tcPr>
            <w:tcW w:w="1625" w:type="dxa"/>
            <w:tcBorders>
              <w:top w:val="nil" w:sz="6" w:space="0" w:color="auto"/>
              <w:left w:val="nil" w:sz="6" w:space="0" w:color="auto"/>
              <w:bottom w:val="nil" w:sz="6" w:space="0" w:color="auto"/>
              <w:right w:val="nil" w:sz="6" w:space="0" w:color="auto"/>
            </w:tcBorders>
          </w:tcPr>
          <w:p>
            <w:pPr>
              <w:pStyle w:val="TableParagraph"/>
              <w:tabs>
                <w:tab w:pos="850" w:val="left" w:leader="none"/>
              </w:tabs>
              <w:spacing w:line="240" w:lineRule="auto" w:before="16"/>
              <w:ind w:right="33"/>
              <w:jc w:val="right"/>
              <w:rPr>
                <w:rFonts w:ascii="Arial" w:hAnsi="Arial" w:cs="Arial" w:eastAsia="Arial" w:hint="default"/>
                <w:sz w:val="18"/>
                <w:szCs w:val="18"/>
              </w:rPr>
            </w:pPr>
            <w:r>
              <w:rPr>
                <w:rFonts w:ascii="Arial"/>
                <w:sz w:val="18"/>
              </w:rPr>
              <w:t>-</w:t>
              <w:tab/>
            </w:r>
            <w:r>
              <w:rPr>
                <w:rFonts w:ascii="Arial"/>
                <w:w w:val="95"/>
                <w:sz w:val="18"/>
              </w:rPr>
              <w:t>-</w:t>
            </w:r>
            <w:r>
              <w:rPr>
                <w:rFonts w:ascii="Arial"/>
                <w:sz w:val="18"/>
              </w:rPr>
            </w:r>
          </w:p>
        </w:tc>
      </w:tr>
      <w:tr>
        <w:trPr>
          <w:trHeight w:val="255"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16" w:lineRule="exact"/>
              <w:ind w:left="35" w:right="0"/>
              <w:jc w:val="left"/>
              <w:rPr>
                <w:rFonts w:ascii="黑体" w:hAnsi="黑体" w:cs="黑体" w:eastAsia="黑体" w:hint="default"/>
                <w:sz w:val="18"/>
                <w:szCs w:val="18"/>
              </w:rPr>
            </w:pPr>
            <w:r>
              <w:rPr>
                <w:rFonts w:ascii="黑体" w:hAnsi="黑体" w:cs="黑体" w:eastAsia="黑体" w:hint="default"/>
                <w:sz w:val="18"/>
                <w:szCs w:val="18"/>
              </w:rPr>
              <w:t>西安用友财务软件有限责任公司</w:t>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60"/>
              <w:jc w:val="right"/>
              <w:rPr>
                <w:rFonts w:ascii="Arial" w:hAnsi="Arial" w:cs="Arial" w:eastAsia="Arial" w:hint="default"/>
                <w:sz w:val="18"/>
                <w:szCs w:val="18"/>
              </w:rPr>
            </w:pPr>
            <w:r>
              <w:rPr>
                <w:rFonts w:ascii="Arial"/>
                <w:spacing w:val="-1"/>
                <w:sz w:val="18"/>
              </w:rPr>
              <w:t>90,000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89"/>
              <w:jc w:val="right"/>
              <w:rPr>
                <w:rFonts w:ascii="Arial" w:hAnsi="Arial" w:cs="Arial" w:eastAsia="Arial" w:hint="default"/>
                <w:sz w:val="18"/>
                <w:szCs w:val="18"/>
              </w:rPr>
            </w:pPr>
            <w:r>
              <w:rPr>
                <w:rFonts w:ascii="Arial"/>
                <w:spacing w:val="-1"/>
                <w:sz w:val="18"/>
              </w:rPr>
              <w:t>90,000</w:t>
            </w:r>
          </w:p>
        </w:tc>
        <w:tc>
          <w:tcPr>
            <w:tcW w:w="2586" w:type="dxa"/>
            <w:tcBorders>
              <w:top w:val="nil" w:sz="6" w:space="0" w:color="auto"/>
              <w:left w:val="nil" w:sz="6" w:space="0" w:color="auto"/>
              <w:bottom w:val="nil" w:sz="6" w:space="0" w:color="auto"/>
              <w:right w:val="nil" w:sz="6" w:space="0" w:color="auto"/>
            </w:tcBorders>
          </w:tcPr>
          <w:p>
            <w:pPr>
              <w:pStyle w:val="TableParagraph"/>
              <w:tabs>
                <w:tab w:pos="1101" w:val="left" w:leader="none"/>
              </w:tabs>
              <w:spacing w:line="240" w:lineRule="auto" w:before="15"/>
              <w:ind w:right="340"/>
              <w:jc w:val="right"/>
              <w:rPr>
                <w:rFonts w:ascii="Arial" w:hAnsi="Arial" w:cs="Arial" w:eastAsia="Arial" w:hint="default"/>
                <w:sz w:val="18"/>
                <w:szCs w:val="18"/>
              </w:rPr>
            </w:pPr>
            <w:r>
              <w:rPr>
                <w:rFonts w:ascii="Arial"/>
                <w:sz w:val="18"/>
              </w:rPr>
              <w:t>-</w:t>
              <w:tab/>
            </w:r>
            <w:r>
              <w:rPr>
                <w:rFonts w:ascii="Arial"/>
                <w:spacing w:val="-1"/>
                <w:sz w:val="18"/>
              </w:rPr>
              <w:t>90,000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center"/>
              <w:rPr>
                <w:rFonts w:ascii="Arial" w:hAnsi="Arial" w:cs="Arial" w:eastAsia="Arial" w:hint="default"/>
                <w:sz w:val="18"/>
                <w:szCs w:val="18"/>
              </w:rPr>
            </w:pPr>
            <w:r>
              <w:rPr>
                <w:rFonts w:ascii="Arial"/>
                <w:sz w:val="18"/>
              </w:rPr>
              <w:t>18.00</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3"/>
              <w:jc w:val="right"/>
              <w:rPr>
                <w:rFonts w:ascii="Arial" w:hAnsi="Arial" w:cs="Arial" w:eastAsia="Arial" w:hint="default"/>
                <w:sz w:val="18"/>
                <w:szCs w:val="18"/>
              </w:rPr>
            </w:pPr>
            <w:r>
              <w:rPr>
                <w:rFonts w:ascii="Arial"/>
                <w:spacing w:val="-1"/>
                <w:sz w:val="18"/>
              </w:rPr>
              <w:t>18.00</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77"/>
              <w:jc w:val="right"/>
              <w:rPr>
                <w:rFonts w:ascii="Arial" w:hAnsi="Arial" w:cs="Arial" w:eastAsia="Arial" w:hint="default"/>
                <w:sz w:val="18"/>
                <w:szCs w:val="18"/>
              </w:rPr>
            </w:pPr>
            <w:r>
              <w:rPr>
                <w:rFonts w:ascii="Arial"/>
                <w:spacing w:val="-1"/>
                <w:sz w:val="18"/>
              </w:rPr>
              <w:t>90,000</w:t>
            </w:r>
          </w:p>
        </w:tc>
        <w:tc>
          <w:tcPr>
            <w:tcW w:w="1625" w:type="dxa"/>
            <w:tcBorders>
              <w:top w:val="nil" w:sz="6" w:space="0" w:color="auto"/>
              <w:left w:val="nil" w:sz="6" w:space="0" w:color="auto"/>
              <w:bottom w:val="nil" w:sz="6" w:space="0" w:color="auto"/>
              <w:right w:val="nil" w:sz="6" w:space="0" w:color="auto"/>
            </w:tcBorders>
          </w:tcPr>
          <w:p>
            <w:pPr>
              <w:pStyle w:val="TableParagraph"/>
              <w:tabs>
                <w:tab w:pos="850" w:val="left" w:leader="none"/>
              </w:tabs>
              <w:spacing w:line="240" w:lineRule="auto" w:before="15"/>
              <w:ind w:right="33"/>
              <w:jc w:val="right"/>
              <w:rPr>
                <w:rFonts w:ascii="Arial" w:hAnsi="Arial" w:cs="Arial" w:eastAsia="Arial" w:hint="default"/>
                <w:sz w:val="18"/>
                <w:szCs w:val="18"/>
              </w:rPr>
            </w:pPr>
            <w:r>
              <w:rPr>
                <w:rFonts w:ascii="Arial"/>
                <w:sz w:val="18"/>
              </w:rPr>
              <w:t>-</w:t>
              <w:tab/>
            </w:r>
            <w:r>
              <w:rPr>
                <w:rFonts w:ascii="Arial"/>
                <w:w w:val="95"/>
                <w:sz w:val="18"/>
              </w:rPr>
              <w:t>-</w:t>
            </w:r>
            <w:r>
              <w:rPr>
                <w:rFonts w:ascii="Arial"/>
                <w:sz w:val="18"/>
              </w:rPr>
            </w:r>
          </w:p>
        </w:tc>
      </w:tr>
      <w:tr>
        <w:trPr>
          <w:trHeight w:val="255"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16" w:lineRule="exact"/>
              <w:ind w:left="35" w:right="0"/>
              <w:jc w:val="left"/>
              <w:rPr>
                <w:rFonts w:ascii="黑体" w:hAnsi="黑体" w:cs="黑体" w:eastAsia="黑体" w:hint="default"/>
                <w:sz w:val="18"/>
                <w:szCs w:val="18"/>
              </w:rPr>
            </w:pPr>
            <w:r>
              <w:rPr>
                <w:rFonts w:ascii="黑体" w:hAnsi="黑体" w:cs="黑体" w:eastAsia="黑体" w:hint="default"/>
                <w:sz w:val="18"/>
                <w:szCs w:val="18"/>
              </w:rPr>
              <w:t>汕头市用友软件有限公司</w:t>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60"/>
              <w:jc w:val="right"/>
              <w:rPr>
                <w:rFonts w:ascii="Arial" w:hAnsi="Arial" w:cs="Arial" w:eastAsia="Arial" w:hint="default"/>
                <w:sz w:val="18"/>
                <w:szCs w:val="18"/>
              </w:rPr>
            </w:pPr>
            <w:r>
              <w:rPr>
                <w:rFonts w:ascii="Arial"/>
                <w:spacing w:val="-1"/>
                <w:sz w:val="18"/>
              </w:rPr>
              <w:t>60,000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89"/>
              <w:jc w:val="right"/>
              <w:rPr>
                <w:rFonts w:ascii="Arial" w:hAnsi="Arial" w:cs="Arial" w:eastAsia="Arial" w:hint="default"/>
                <w:sz w:val="18"/>
                <w:szCs w:val="18"/>
              </w:rPr>
            </w:pPr>
            <w:r>
              <w:rPr>
                <w:rFonts w:ascii="Arial"/>
                <w:spacing w:val="-1"/>
                <w:sz w:val="18"/>
              </w:rPr>
              <w:t>60,000</w:t>
            </w:r>
          </w:p>
        </w:tc>
        <w:tc>
          <w:tcPr>
            <w:tcW w:w="2586" w:type="dxa"/>
            <w:tcBorders>
              <w:top w:val="nil" w:sz="6" w:space="0" w:color="auto"/>
              <w:left w:val="nil" w:sz="6" w:space="0" w:color="auto"/>
              <w:bottom w:val="nil" w:sz="6" w:space="0" w:color="auto"/>
              <w:right w:val="nil" w:sz="6" w:space="0" w:color="auto"/>
            </w:tcBorders>
          </w:tcPr>
          <w:p>
            <w:pPr>
              <w:pStyle w:val="TableParagraph"/>
              <w:tabs>
                <w:tab w:pos="1101" w:val="left" w:leader="none"/>
              </w:tabs>
              <w:spacing w:line="240" w:lineRule="auto" w:before="16"/>
              <w:ind w:right="340"/>
              <w:jc w:val="right"/>
              <w:rPr>
                <w:rFonts w:ascii="Arial" w:hAnsi="Arial" w:cs="Arial" w:eastAsia="Arial" w:hint="default"/>
                <w:sz w:val="18"/>
                <w:szCs w:val="18"/>
              </w:rPr>
            </w:pPr>
            <w:r>
              <w:rPr>
                <w:rFonts w:ascii="Arial"/>
                <w:sz w:val="18"/>
              </w:rPr>
              <w:t>-</w:t>
              <w:tab/>
            </w:r>
            <w:r>
              <w:rPr>
                <w:rFonts w:ascii="Arial"/>
                <w:spacing w:val="-1"/>
                <w:sz w:val="18"/>
              </w:rPr>
              <w:t>60,000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0"/>
              <w:jc w:val="center"/>
              <w:rPr>
                <w:rFonts w:ascii="Arial" w:hAnsi="Arial" w:cs="Arial" w:eastAsia="Arial" w:hint="default"/>
                <w:sz w:val="18"/>
                <w:szCs w:val="18"/>
              </w:rPr>
            </w:pPr>
            <w:r>
              <w:rPr>
                <w:rFonts w:ascii="Arial"/>
                <w:sz w:val="18"/>
              </w:rPr>
              <w:t>20.00</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3"/>
              <w:jc w:val="right"/>
              <w:rPr>
                <w:rFonts w:ascii="Arial" w:hAnsi="Arial" w:cs="Arial" w:eastAsia="Arial" w:hint="default"/>
                <w:sz w:val="18"/>
                <w:szCs w:val="18"/>
              </w:rPr>
            </w:pPr>
            <w:r>
              <w:rPr>
                <w:rFonts w:ascii="Arial"/>
                <w:spacing w:val="-1"/>
                <w:sz w:val="18"/>
              </w:rPr>
              <w:t>20.00</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77"/>
              <w:jc w:val="right"/>
              <w:rPr>
                <w:rFonts w:ascii="Arial" w:hAnsi="Arial" w:cs="Arial" w:eastAsia="Arial" w:hint="default"/>
                <w:sz w:val="18"/>
                <w:szCs w:val="18"/>
              </w:rPr>
            </w:pPr>
            <w:r>
              <w:rPr>
                <w:rFonts w:ascii="Arial"/>
                <w:spacing w:val="-1"/>
                <w:sz w:val="18"/>
              </w:rPr>
              <w:t>60,000</w:t>
            </w:r>
          </w:p>
        </w:tc>
        <w:tc>
          <w:tcPr>
            <w:tcW w:w="1625" w:type="dxa"/>
            <w:tcBorders>
              <w:top w:val="nil" w:sz="6" w:space="0" w:color="auto"/>
              <w:left w:val="nil" w:sz="6" w:space="0" w:color="auto"/>
              <w:bottom w:val="nil" w:sz="6" w:space="0" w:color="auto"/>
              <w:right w:val="nil" w:sz="6" w:space="0" w:color="auto"/>
            </w:tcBorders>
          </w:tcPr>
          <w:p>
            <w:pPr>
              <w:pStyle w:val="TableParagraph"/>
              <w:tabs>
                <w:tab w:pos="850" w:val="left" w:leader="none"/>
              </w:tabs>
              <w:spacing w:line="240" w:lineRule="auto" w:before="16"/>
              <w:ind w:right="33"/>
              <w:jc w:val="right"/>
              <w:rPr>
                <w:rFonts w:ascii="Arial" w:hAnsi="Arial" w:cs="Arial" w:eastAsia="Arial" w:hint="default"/>
                <w:sz w:val="18"/>
                <w:szCs w:val="18"/>
              </w:rPr>
            </w:pPr>
            <w:r>
              <w:rPr>
                <w:rFonts w:ascii="Arial"/>
                <w:sz w:val="18"/>
              </w:rPr>
              <w:t>-</w:t>
              <w:tab/>
            </w:r>
            <w:r>
              <w:rPr>
                <w:rFonts w:ascii="Arial"/>
                <w:w w:val="95"/>
                <w:sz w:val="18"/>
              </w:rPr>
              <w:t>-</w:t>
            </w:r>
            <w:r>
              <w:rPr>
                <w:rFonts w:ascii="Arial"/>
                <w:sz w:val="18"/>
              </w:rPr>
            </w:r>
          </w:p>
        </w:tc>
      </w:tr>
      <w:tr>
        <w:trPr>
          <w:trHeight w:val="255"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16" w:lineRule="exact"/>
              <w:ind w:left="35" w:right="0"/>
              <w:jc w:val="left"/>
              <w:rPr>
                <w:rFonts w:ascii="黑体" w:hAnsi="黑体" w:cs="黑体" w:eastAsia="黑体" w:hint="default"/>
                <w:sz w:val="18"/>
                <w:szCs w:val="18"/>
              </w:rPr>
            </w:pPr>
            <w:r>
              <w:rPr>
                <w:rFonts w:ascii="黑体" w:hAnsi="黑体" w:cs="黑体" w:eastAsia="黑体" w:hint="default"/>
                <w:sz w:val="18"/>
                <w:szCs w:val="18"/>
              </w:rPr>
              <w:t>杭州优智软件有限公司</w:t>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60"/>
              <w:jc w:val="right"/>
              <w:rPr>
                <w:rFonts w:ascii="Arial" w:hAnsi="Arial" w:cs="Arial" w:eastAsia="Arial" w:hint="default"/>
                <w:sz w:val="18"/>
                <w:szCs w:val="18"/>
              </w:rPr>
            </w:pPr>
            <w:r>
              <w:rPr>
                <w:rFonts w:ascii="Arial"/>
                <w:spacing w:val="-1"/>
                <w:sz w:val="18"/>
              </w:rPr>
              <w:t>2,000,000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89"/>
              <w:jc w:val="right"/>
              <w:rPr>
                <w:rFonts w:ascii="Arial" w:hAnsi="Arial" w:cs="Arial" w:eastAsia="Arial" w:hint="default"/>
                <w:sz w:val="18"/>
                <w:szCs w:val="18"/>
              </w:rPr>
            </w:pPr>
            <w:r>
              <w:rPr>
                <w:rFonts w:ascii="Arial"/>
                <w:spacing w:val="-1"/>
                <w:sz w:val="18"/>
              </w:rPr>
              <w:t>2,000,000</w:t>
            </w:r>
          </w:p>
        </w:tc>
        <w:tc>
          <w:tcPr>
            <w:tcW w:w="2586" w:type="dxa"/>
            <w:tcBorders>
              <w:top w:val="nil" w:sz="6" w:space="0" w:color="auto"/>
              <w:left w:val="nil" w:sz="6" w:space="0" w:color="auto"/>
              <w:bottom w:val="nil" w:sz="6" w:space="0" w:color="auto"/>
              <w:right w:val="nil" w:sz="6" w:space="0" w:color="auto"/>
            </w:tcBorders>
          </w:tcPr>
          <w:p>
            <w:pPr>
              <w:pStyle w:val="TableParagraph"/>
              <w:tabs>
                <w:tab w:pos="851" w:val="left" w:leader="none"/>
              </w:tabs>
              <w:spacing w:line="240" w:lineRule="auto" w:before="15"/>
              <w:ind w:right="340"/>
              <w:jc w:val="right"/>
              <w:rPr>
                <w:rFonts w:ascii="Arial" w:hAnsi="Arial" w:cs="Arial" w:eastAsia="Arial" w:hint="default"/>
                <w:sz w:val="18"/>
                <w:szCs w:val="18"/>
              </w:rPr>
            </w:pPr>
            <w:r>
              <w:rPr>
                <w:rFonts w:ascii="Arial"/>
                <w:sz w:val="18"/>
              </w:rPr>
              <w:t>-</w:t>
              <w:tab/>
            </w:r>
            <w:r>
              <w:rPr>
                <w:rFonts w:ascii="Arial"/>
                <w:spacing w:val="-1"/>
                <w:sz w:val="18"/>
              </w:rPr>
              <w:t>2,000,000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center"/>
              <w:rPr>
                <w:rFonts w:ascii="Arial" w:hAnsi="Arial" w:cs="Arial" w:eastAsia="Arial" w:hint="default"/>
                <w:sz w:val="18"/>
                <w:szCs w:val="18"/>
              </w:rPr>
            </w:pPr>
            <w:r>
              <w:rPr>
                <w:rFonts w:ascii="Arial"/>
                <w:sz w:val="18"/>
              </w:rPr>
              <w:t>19.80</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3"/>
              <w:jc w:val="right"/>
              <w:rPr>
                <w:rFonts w:ascii="Arial" w:hAnsi="Arial" w:cs="Arial" w:eastAsia="Arial" w:hint="default"/>
                <w:sz w:val="18"/>
                <w:szCs w:val="18"/>
              </w:rPr>
            </w:pPr>
            <w:r>
              <w:rPr>
                <w:rFonts w:ascii="Arial"/>
                <w:spacing w:val="-1"/>
                <w:sz w:val="18"/>
              </w:rPr>
              <w:t>19.80</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76"/>
              <w:jc w:val="right"/>
              <w:rPr>
                <w:rFonts w:ascii="Arial" w:hAnsi="Arial" w:cs="Arial" w:eastAsia="Arial" w:hint="default"/>
                <w:sz w:val="18"/>
                <w:szCs w:val="18"/>
              </w:rPr>
            </w:pPr>
            <w:r>
              <w:rPr>
                <w:rFonts w:ascii="Arial"/>
                <w:spacing w:val="-1"/>
                <w:sz w:val="18"/>
              </w:rPr>
              <w:t>2,000,000</w:t>
            </w:r>
          </w:p>
        </w:tc>
        <w:tc>
          <w:tcPr>
            <w:tcW w:w="1625" w:type="dxa"/>
            <w:tcBorders>
              <w:top w:val="nil" w:sz="6" w:space="0" w:color="auto"/>
              <w:left w:val="nil" w:sz="6" w:space="0" w:color="auto"/>
              <w:bottom w:val="nil" w:sz="6" w:space="0" w:color="auto"/>
              <w:right w:val="nil" w:sz="6" w:space="0" w:color="auto"/>
            </w:tcBorders>
          </w:tcPr>
          <w:p>
            <w:pPr>
              <w:pStyle w:val="TableParagraph"/>
              <w:tabs>
                <w:tab w:pos="850" w:val="left" w:leader="none"/>
              </w:tabs>
              <w:spacing w:line="240" w:lineRule="auto" w:before="15"/>
              <w:ind w:right="33"/>
              <w:jc w:val="right"/>
              <w:rPr>
                <w:rFonts w:ascii="Arial" w:hAnsi="Arial" w:cs="Arial" w:eastAsia="Arial" w:hint="default"/>
                <w:sz w:val="18"/>
                <w:szCs w:val="18"/>
              </w:rPr>
            </w:pPr>
            <w:r>
              <w:rPr>
                <w:rFonts w:ascii="Arial"/>
                <w:sz w:val="18"/>
              </w:rPr>
              <w:t>-</w:t>
              <w:tab/>
            </w:r>
            <w:r>
              <w:rPr>
                <w:rFonts w:ascii="Arial"/>
                <w:w w:val="95"/>
                <w:sz w:val="18"/>
              </w:rPr>
              <w:t>-</w:t>
            </w:r>
            <w:r>
              <w:rPr>
                <w:rFonts w:ascii="Arial"/>
                <w:sz w:val="18"/>
              </w:rPr>
            </w:r>
          </w:p>
        </w:tc>
      </w:tr>
      <w:tr>
        <w:trPr>
          <w:trHeight w:val="255"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16" w:lineRule="exact"/>
              <w:ind w:left="35" w:right="0"/>
              <w:jc w:val="left"/>
              <w:rPr>
                <w:rFonts w:ascii="黑体" w:hAnsi="黑体" w:cs="黑体" w:eastAsia="黑体" w:hint="default"/>
                <w:sz w:val="18"/>
                <w:szCs w:val="18"/>
              </w:rPr>
            </w:pPr>
            <w:r>
              <w:rPr>
                <w:rFonts w:ascii="黑体" w:hAnsi="黑体" w:cs="黑体" w:eastAsia="黑体" w:hint="default"/>
                <w:sz w:val="18"/>
                <w:szCs w:val="18"/>
              </w:rPr>
              <w:t>北京贯能管理技术服务有限公司</w:t>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60"/>
              <w:jc w:val="right"/>
              <w:rPr>
                <w:rFonts w:ascii="Arial" w:hAnsi="Arial" w:cs="Arial" w:eastAsia="Arial" w:hint="default"/>
                <w:sz w:val="18"/>
                <w:szCs w:val="18"/>
              </w:rPr>
            </w:pPr>
            <w:r>
              <w:rPr>
                <w:rFonts w:ascii="Arial"/>
                <w:spacing w:val="-1"/>
                <w:sz w:val="18"/>
              </w:rPr>
              <w:t>4,000,000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89"/>
              <w:jc w:val="right"/>
              <w:rPr>
                <w:rFonts w:ascii="Arial" w:hAnsi="Arial" w:cs="Arial" w:eastAsia="Arial" w:hint="default"/>
                <w:sz w:val="18"/>
                <w:szCs w:val="18"/>
              </w:rPr>
            </w:pPr>
            <w:r>
              <w:rPr>
                <w:rFonts w:ascii="Arial"/>
                <w:spacing w:val="-1"/>
                <w:sz w:val="18"/>
              </w:rPr>
              <w:t>4,000,000</w:t>
            </w:r>
          </w:p>
        </w:tc>
        <w:tc>
          <w:tcPr>
            <w:tcW w:w="2586" w:type="dxa"/>
            <w:tcBorders>
              <w:top w:val="nil" w:sz="6" w:space="0" w:color="auto"/>
              <w:left w:val="nil" w:sz="6" w:space="0" w:color="auto"/>
              <w:bottom w:val="nil" w:sz="6" w:space="0" w:color="auto"/>
              <w:right w:val="nil" w:sz="6" w:space="0" w:color="auto"/>
            </w:tcBorders>
          </w:tcPr>
          <w:p>
            <w:pPr>
              <w:pStyle w:val="TableParagraph"/>
              <w:tabs>
                <w:tab w:pos="851" w:val="left" w:leader="none"/>
              </w:tabs>
              <w:spacing w:line="240" w:lineRule="auto" w:before="16"/>
              <w:ind w:right="340"/>
              <w:jc w:val="right"/>
              <w:rPr>
                <w:rFonts w:ascii="Arial" w:hAnsi="Arial" w:cs="Arial" w:eastAsia="Arial" w:hint="default"/>
                <w:sz w:val="18"/>
                <w:szCs w:val="18"/>
              </w:rPr>
            </w:pPr>
            <w:r>
              <w:rPr>
                <w:rFonts w:ascii="Arial"/>
                <w:sz w:val="18"/>
              </w:rPr>
              <w:t>-</w:t>
              <w:tab/>
            </w:r>
            <w:r>
              <w:rPr>
                <w:rFonts w:ascii="Arial"/>
                <w:spacing w:val="-1"/>
                <w:sz w:val="18"/>
              </w:rPr>
              <w:t>4,000,000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0"/>
              <w:jc w:val="center"/>
              <w:rPr>
                <w:rFonts w:ascii="Arial" w:hAnsi="Arial" w:cs="Arial" w:eastAsia="Arial" w:hint="default"/>
                <w:sz w:val="18"/>
                <w:szCs w:val="18"/>
              </w:rPr>
            </w:pPr>
            <w:r>
              <w:rPr>
                <w:rFonts w:ascii="Arial"/>
                <w:sz w:val="18"/>
              </w:rPr>
              <w:t>19.90</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3"/>
              <w:jc w:val="right"/>
              <w:rPr>
                <w:rFonts w:ascii="Arial" w:hAnsi="Arial" w:cs="Arial" w:eastAsia="Arial" w:hint="default"/>
                <w:sz w:val="18"/>
                <w:szCs w:val="18"/>
              </w:rPr>
            </w:pPr>
            <w:r>
              <w:rPr>
                <w:rFonts w:ascii="Arial"/>
                <w:spacing w:val="-1"/>
                <w:sz w:val="18"/>
              </w:rPr>
              <w:t>19.90</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76"/>
              <w:jc w:val="right"/>
              <w:rPr>
                <w:rFonts w:ascii="Arial" w:hAnsi="Arial" w:cs="Arial" w:eastAsia="Arial" w:hint="default"/>
                <w:sz w:val="18"/>
                <w:szCs w:val="18"/>
              </w:rPr>
            </w:pPr>
            <w:r>
              <w:rPr>
                <w:rFonts w:ascii="Arial"/>
                <w:spacing w:val="-1"/>
                <w:sz w:val="18"/>
              </w:rPr>
              <w:t>4,000,000</w:t>
            </w:r>
          </w:p>
        </w:tc>
        <w:tc>
          <w:tcPr>
            <w:tcW w:w="1625" w:type="dxa"/>
            <w:tcBorders>
              <w:top w:val="nil" w:sz="6" w:space="0" w:color="auto"/>
              <w:left w:val="nil" w:sz="6" w:space="0" w:color="auto"/>
              <w:bottom w:val="nil" w:sz="6" w:space="0" w:color="auto"/>
              <w:right w:val="nil" w:sz="6" w:space="0" w:color="auto"/>
            </w:tcBorders>
          </w:tcPr>
          <w:p>
            <w:pPr>
              <w:pStyle w:val="TableParagraph"/>
              <w:tabs>
                <w:tab w:pos="850" w:val="left" w:leader="none"/>
              </w:tabs>
              <w:spacing w:line="240" w:lineRule="auto" w:before="16"/>
              <w:ind w:right="33"/>
              <w:jc w:val="right"/>
              <w:rPr>
                <w:rFonts w:ascii="Arial" w:hAnsi="Arial" w:cs="Arial" w:eastAsia="Arial" w:hint="default"/>
                <w:sz w:val="18"/>
                <w:szCs w:val="18"/>
              </w:rPr>
            </w:pPr>
            <w:r>
              <w:rPr>
                <w:rFonts w:ascii="Arial"/>
                <w:sz w:val="18"/>
              </w:rPr>
              <w:t>-</w:t>
              <w:tab/>
            </w:r>
            <w:r>
              <w:rPr>
                <w:rFonts w:ascii="Arial"/>
                <w:w w:val="95"/>
                <w:sz w:val="18"/>
              </w:rPr>
              <w:t>-</w:t>
            </w:r>
            <w:r>
              <w:rPr>
                <w:rFonts w:ascii="Arial"/>
                <w:sz w:val="18"/>
              </w:rPr>
            </w:r>
          </w:p>
        </w:tc>
      </w:tr>
      <w:tr>
        <w:trPr>
          <w:trHeight w:val="319"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16" w:lineRule="exact"/>
              <w:ind w:left="35" w:right="0"/>
              <w:jc w:val="left"/>
              <w:rPr>
                <w:rFonts w:ascii="黑体" w:hAnsi="黑体" w:cs="黑体" w:eastAsia="黑体" w:hint="default"/>
                <w:sz w:val="18"/>
                <w:szCs w:val="18"/>
              </w:rPr>
            </w:pPr>
            <w:r>
              <w:rPr>
                <w:rFonts w:ascii="黑体" w:hAnsi="黑体" w:cs="黑体" w:eastAsia="黑体" w:hint="default"/>
                <w:sz w:val="18"/>
                <w:szCs w:val="18"/>
              </w:rPr>
              <w:t>中投信用担保有限公司</w:t>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60"/>
              <w:jc w:val="right"/>
              <w:rPr>
                <w:rFonts w:ascii="Arial" w:hAnsi="Arial" w:cs="Arial" w:eastAsia="Arial" w:hint="default"/>
                <w:sz w:val="18"/>
                <w:szCs w:val="18"/>
              </w:rPr>
            </w:pPr>
            <w:r>
              <w:rPr>
                <w:rFonts w:ascii="Arial"/>
                <w:spacing w:val="-1"/>
                <w:sz w:val="18"/>
              </w:rPr>
              <w:t>5,000,000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89"/>
              <w:jc w:val="right"/>
              <w:rPr>
                <w:rFonts w:ascii="Arial" w:hAnsi="Arial" w:cs="Arial" w:eastAsia="Arial" w:hint="default"/>
                <w:sz w:val="18"/>
                <w:szCs w:val="18"/>
              </w:rPr>
            </w:pPr>
            <w:r>
              <w:rPr>
                <w:rFonts w:ascii="Arial"/>
                <w:spacing w:val="-1"/>
                <w:sz w:val="18"/>
              </w:rPr>
              <w:t>5,000,000</w:t>
            </w:r>
          </w:p>
        </w:tc>
        <w:tc>
          <w:tcPr>
            <w:tcW w:w="2586" w:type="dxa"/>
            <w:tcBorders>
              <w:top w:val="nil" w:sz="6" w:space="0" w:color="auto"/>
              <w:left w:val="nil" w:sz="6" w:space="0" w:color="auto"/>
              <w:bottom w:val="nil" w:sz="6" w:space="0" w:color="auto"/>
              <w:right w:val="nil" w:sz="6" w:space="0" w:color="auto"/>
            </w:tcBorders>
          </w:tcPr>
          <w:p>
            <w:pPr>
              <w:pStyle w:val="TableParagraph"/>
              <w:tabs>
                <w:tab w:pos="851" w:val="left" w:leader="none"/>
              </w:tabs>
              <w:spacing w:line="240" w:lineRule="auto" w:before="15"/>
              <w:ind w:right="340"/>
              <w:jc w:val="right"/>
              <w:rPr>
                <w:rFonts w:ascii="Arial" w:hAnsi="Arial" w:cs="Arial" w:eastAsia="Arial" w:hint="default"/>
                <w:sz w:val="18"/>
                <w:szCs w:val="18"/>
              </w:rPr>
            </w:pPr>
            <w:r>
              <w:rPr>
                <w:rFonts w:ascii="Arial"/>
                <w:sz w:val="18"/>
              </w:rPr>
              <w:t>-</w:t>
              <w:tab/>
            </w:r>
            <w:r>
              <w:rPr>
                <w:rFonts w:ascii="Arial"/>
                <w:spacing w:val="-1"/>
                <w:sz w:val="18"/>
              </w:rPr>
              <w:t>5,000,000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9" w:right="0"/>
              <w:jc w:val="center"/>
              <w:rPr>
                <w:rFonts w:ascii="Arial" w:hAnsi="Arial" w:cs="Arial" w:eastAsia="Arial" w:hint="default"/>
                <w:sz w:val="18"/>
                <w:szCs w:val="18"/>
              </w:rPr>
            </w:pPr>
            <w:r>
              <w:rPr>
                <w:rFonts w:ascii="Arial"/>
                <w:sz w:val="18"/>
              </w:rPr>
              <w:t>0.50</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3"/>
              <w:jc w:val="right"/>
              <w:rPr>
                <w:rFonts w:ascii="Arial" w:hAnsi="Arial" w:cs="Arial" w:eastAsia="Arial" w:hint="default"/>
                <w:sz w:val="18"/>
                <w:szCs w:val="18"/>
              </w:rPr>
            </w:pPr>
            <w:r>
              <w:rPr>
                <w:rFonts w:ascii="Arial"/>
                <w:spacing w:val="-1"/>
                <w:sz w:val="18"/>
              </w:rPr>
              <w:t>0.50</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77"/>
              <w:jc w:val="right"/>
              <w:rPr>
                <w:rFonts w:ascii="Arial" w:hAnsi="Arial" w:cs="Arial" w:eastAsia="Arial" w:hint="default"/>
                <w:sz w:val="18"/>
                <w:szCs w:val="18"/>
              </w:rPr>
            </w:pPr>
            <w:r>
              <w:rPr>
                <w:rFonts w:ascii="Arial"/>
                <w:w w:val="99"/>
                <w:sz w:val="18"/>
              </w:rPr>
              <w:t>-</w:t>
            </w:r>
            <w:r>
              <w:rPr>
                <w:rFonts w:ascii="Arial"/>
                <w:sz w:val="18"/>
              </w:rPr>
            </w:r>
          </w:p>
        </w:tc>
        <w:tc>
          <w:tcPr>
            <w:tcW w:w="1625" w:type="dxa"/>
            <w:tcBorders>
              <w:top w:val="nil" w:sz="6" w:space="0" w:color="auto"/>
              <w:left w:val="nil" w:sz="6" w:space="0" w:color="auto"/>
              <w:bottom w:val="nil" w:sz="6" w:space="0" w:color="auto"/>
              <w:right w:val="nil" w:sz="6" w:space="0" w:color="auto"/>
            </w:tcBorders>
          </w:tcPr>
          <w:p>
            <w:pPr>
              <w:pStyle w:val="TableParagraph"/>
              <w:tabs>
                <w:tab w:pos="850" w:val="left" w:leader="none"/>
              </w:tabs>
              <w:spacing w:line="240" w:lineRule="auto" w:before="15"/>
              <w:ind w:right="33"/>
              <w:jc w:val="right"/>
              <w:rPr>
                <w:rFonts w:ascii="Arial" w:hAnsi="Arial" w:cs="Arial" w:eastAsia="Arial" w:hint="default"/>
                <w:sz w:val="18"/>
                <w:szCs w:val="18"/>
              </w:rPr>
            </w:pPr>
            <w:r>
              <w:rPr>
                <w:rFonts w:ascii="Arial"/>
                <w:sz w:val="18"/>
              </w:rPr>
              <w:t>-</w:t>
              <w:tab/>
            </w:r>
            <w:r>
              <w:rPr>
                <w:rFonts w:ascii="Arial"/>
                <w:w w:val="95"/>
                <w:sz w:val="18"/>
              </w:rPr>
              <w:t>-</w:t>
            </w:r>
            <w:r>
              <w:rPr>
                <w:rFonts w:ascii="Arial"/>
                <w:sz w:val="18"/>
              </w:rPr>
            </w:r>
          </w:p>
        </w:tc>
      </w:tr>
    </w:tbl>
    <w:p>
      <w:pPr>
        <w:spacing w:after="0" w:line="240" w:lineRule="auto"/>
        <w:jc w:val="right"/>
        <w:rPr>
          <w:rFonts w:ascii="Arial" w:hAnsi="Arial" w:cs="Arial" w:eastAsia="Arial" w:hint="default"/>
          <w:sz w:val="18"/>
          <w:szCs w:val="18"/>
        </w:rPr>
        <w:sectPr>
          <w:pgSz w:w="16840" w:h="11910" w:orient="landscape"/>
          <w:pgMar w:header="958" w:footer="784" w:top="2380" w:bottom="980" w:left="1020" w:right="96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1"/>
          <w:szCs w:val="21"/>
        </w:rPr>
      </w:pPr>
    </w:p>
    <w:tbl>
      <w:tblPr>
        <w:tblW w:w="0" w:type="auto"/>
        <w:jc w:val="left"/>
        <w:tblInd w:w="118" w:type="dxa"/>
        <w:tblLayout w:type="fixed"/>
        <w:tblCellMar>
          <w:top w:w="0" w:type="dxa"/>
          <w:left w:w="0" w:type="dxa"/>
          <w:bottom w:w="0" w:type="dxa"/>
          <w:right w:w="0" w:type="dxa"/>
        </w:tblCellMar>
        <w:tblLook w:val="01E0"/>
      </w:tblPr>
      <w:tblGrid>
        <w:gridCol w:w="520"/>
        <w:gridCol w:w="3229"/>
        <w:gridCol w:w="1396"/>
        <w:gridCol w:w="1338"/>
        <w:gridCol w:w="1322"/>
        <w:gridCol w:w="1376"/>
        <w:gridCol w:w="1044"/>
        <w:gridCol w:w="1104"/>
        <w:gridCol w:w="1060"/>
        <w:gridCol w:w="1328"/>
        <w:gridCol w:w="821"/>
      </w:tblGrid>
      <w:tr>
        <w:trPr>
          <w:trHeight w:val="892" w:hRule="exact"/>
        </w:trPr>
        <w:tc>
          <w:tcPr>
            <w:tcW w:w="52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五、</w:t>
            </w:r>
            <w:r>
              <w:rPr>
                <w:rFonts w:ascii="黑体" w:hAnsi="黑体" w:cs="黑体" w:eastAsia="黑体" w:hint="default"/>
                <w:sz w:val="20"/>
                <w:szCs w:val="20"/>
              </w:rPr>
            </w:r>
          </w:p>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240" w:lineRule="auto"/>
              <w:ind w:left="35" w:right="0"/>
              <w:jc w:val="left"/>
              <w:rPr>
                <w:rFonts w:ascii="Arial" w:hAnsi="Arial" w:cs="Arial" w:eastAsia="Arial" w:hint="default"/>
                <w:sz w:val="20"/>
                <w:szCs w:val="20"/>
              </w:rPr>
            </w:pPr>
            <w:r>
              <w:rPr>
                <w:rFonts w:ascii="Arial"/>
                <w:b/>
                <w:sz w:val="20"/>
              </w:rPr>
              <w:t>11.</w:t>
            </w:r>
            <w:r>
              <w:rPr>
                <w:rFonts w:ascii="Arial"/>
                <w:sz w:val="20"/>
              </w:rPr>
            </w:r>
          </w:p>
        </w:tc>
        <w:tc>
          <w:tcPr>
            <w:tcW w:w="322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16" w:right="0"/>
              <w:jc w:val="left"/>
              <w:rPr>
                <w:rFonts w:ascii="黑体" w:hAnsi="黑体" w:cs="黑体" w:eastAsia="黑体" w:hint="default"/>
                <w:sz w:val="20"/>
                <w:szCs w:val="20"/>
              </w:rPr>
            </w:pPr>
            <w:r>
              <w:rPr>
                <w:rFonts w:ascii="黑体" w:hAnsi="黑体" w:cs="黑体" w:eastAsia="黑体" w:hint="default"/>
                <w:b/>
                <w:bCs/>
                <w:sz w:val="20"/>
                <w:szCs w:val="20"/>
              </w:rPr>
              <w:t>合并财务报表主要项目注释（续）</w:t>
            </w:r>
            <w:r>
              <w:rPr>
                <w:rFonts w:ascii="黑体" w:hAnsi="黑体" w:cs="黑体" w:eastAsia="黑体" w:hint="default"/>
                <w:sz w:val="20"/>
                <w:szCs w:val="20"/>
              </w:rPr>
            </w: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95" w:right="0"/>
              <w:jc w:val="left"/>
              <w:rPr>
                <w:rFonts w:ascii="黑体" w:hAnsi="黑体" w:cs="黑体" w:eastAsia="黑体" w:hint="default"/>
                <w:sz w:val="20"/>
                <w:szCs w:val="20"/>
              </w:rPr>
            </w:pPr>
            <w:r>
              <w:rPr>
                <w:rFonts w:ascii="黑体" w:hAnsi="黑体" w:cs="黑体" w:eastAsia="黑体" w:hint="default"/>
                <w:b/>
                <w:bCs/>
                <w:sz w:val="20"/>
                <w:szCs w:val="20"/>
              </w:rPr>
              <w:t>长期股权投资（续）</w:t>
            </w:r>
            <w:r>
              <w:rPr>
                <w:rFonts w:ascii="黑体" w:hAnsi="黑体" w:cs="黑体" w:eastAsia="黑体" w:hint="default"/>
                <w:sz w:val="20"/>
                <w:szCs w:val="20"/>
              </w:rPr>
            </w:r>
          </w:p>
        </w:tc>
        <w:tc>
          <w:tcPr>
            <w:tcW w:w="10789" w:type="dxa"/>
            <w:gridSpan w:val="9"/>
            <w:vMerge w:val="restart"/>
            <w:tcBorders>
              <w:top w:val="nil" w:sz="6" w:space="0" w:color="auto"/>
              <w:left w:val="nil" w:sz="6" w:space="0" w:color="auto"/>
              <w:right w:val="nil" w:sz="6" w:space="0" w:color="auto"/>
            </w:tcBorders>
          </w:tcPr>
          <w:p>
            <w:pPr/>
          </w:p>
        </w:tc>
      </w:tr>
      <w:tr>
        <w:trPr>
          <w:trHeight w:val="470"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2"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年（续）</w:t>
            </w:r>
          </w:p>
        </w:tc>
        <w:tc>
          <w:tcPr>
            <w:tcW w:w="10789" w:type="dxa"/>
            <w:gridSpan w:val="9"/>
            <w:vMerge/>
            <w:tcBorders>
              <w:left w:val="nil" w:sz="6" w:space="0" w:color="auto"/>
              <w:bottom w:val="nil" w:sz="6" w:space="0" w:color="auto"/>
              <w:right w:val="nil" w:sz="6" w:space="0" w:color="auto"/>
            </w:tcBorders>
          </w:tcPr>
          <w:p>
            <w:pPr/>
          </w:p>
        </w:tc>
      </w:tr>
      <w:tr>
        <w:trPr>
          <w:trHeight w:val="362"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14"/>
              <w:jc w:val="right"/>
              <w:rPr>
                <w:rFonts w:ascii="黑体" w:hAnsi="黑体" w:cs="黑体" w:eastAsia="黑体" w:hint="default"/>
                <w:sz w:val="18"/>
                <w:szCs w:val="18"/>
              </w:rPr>
            </w:pPr>
            <w:r>
              <w:rPr>
                <w:rFonts w:ascii="黑体" w:hAnsi="黑体" w:cs="黑体" w:eastAsia="黑体" w:hint="default"/>
                <w:sz w:val="18"/>
                <w:szCs w:val="18"/>
              </w:rPr>
              <w:t>初始投资成本</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01"/>
              <w:jc w:val="right"/>
              <w:rPr>
                <w:rFonts w:ascii="黑体" w:hAnsi="黑体" w:cs="黑体" w:eastAsia="黑体" w:hint="default"/>
                <w:sz w:val="18"/>
                <w:szCs w:val="18"/>
              </w:rPr>
            </w:pPr>
            <w:r>
              <w:rPr>
                <w:rFonts w:ascii="黑体" w:hAnsi="黑体" w:cs="黑体" w:eastAsia="黑体" w:hint="default"/>
                <w:sz w:val="18"/>
                <w:szCs w:val="18"/>
              </w:rPr>
              <w:t>年初数</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47"/>
              <w:jc w:val="right"/>
              <w:rPr>
                <w:rFonts w:ascii="黑体" w:hAnsi="黑体" w:cs="黑体" w:eastAsia="黑体" w:hint="default"/>
                <w:sz w:val="18"/>
                <w:szCs w:val="18"/>
              </w:rPr>
            </w:pPr>
            <w:r>
              <w:rPr>
                <w:rFonts w:ascii="黑体" w:hAnsi="黑体" w:cs="黑体" w:eastAsia="黑体" w:hint="default"/>
                <w:sz w:val="18"/>
                <w:szCs w:val="18"/>
              </w:rPr>
              <w:t>本年增减</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05"/>
              <w:jc w:val="right"/>
              <w:rPr>
                <w:rFonts w:ascii="黑体" w:hAnsi="黑体" w:cs="黑体" w:eastAsia="黑体" w:hint="default"/>
                <w:sz w:val="18"/>
                <w:szCs w:val="18"/>
              </w:rPr>
            </w:pPr>
            <w:r>
              <w:rPr>
                <w:rFonts w:ascii="黑体" w:hAnsi="黑体" w:cs="黑体" w:eastAsia="黑体" w:hint="default"/>
                <w:sz w:val="18"/>
                <w:szCs w:val="18"/>
              </w:rPr>
              <w:t>年末数</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15"/>
              <w:jc w:val="right"/>
              <w:rPr>
                <w:rFonts w:ascii="黑体" w:hAnsi="黑体" w:cs="黑体" w:eastAsia="黑体" w:hint="default"/>
                <w:sz w:val="18"/>
                <w:szCs w:val="18"/>
              </w:rPr>
            </w:pPr>
            <w:r>
              <w:rPr>
                <w:rFonts w:ascii="黑体" w:hAnsi="黑体" w:cs="黑体" w:eastAsia="黑体" w:hint="default"/>
                <w:sz w:val="18"/>
                <w:szCs w:val="18"/>
              </w:rPr>
              <w:t>持股比例</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85"/>
              <w:jc w:val="right"/>
              <w:rPr>
                <w:rFonts w:ascii="黑体" w:hAnsi="黑体" w:cs="黑体" w:eastAsia="黑体" w:hint="default"/>
                <w:sz w:val="18"/>
                <w:szCs w:val="18"/>
              </w:rPr>
            </w:pPr>
            <w:r>
              <w:rPr>
                <w:rFonts w:ascii="黑体" w:hAnsi="黑体" w:cs="黑体" w:eastAsia="黑体" w:hint="default"/>
                <w:sz w:val="18"/>
                <w:szCs w:val="18"/>
              </w:rPr>
              <w:t>表决权比例</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
              <w:jc w:val="right"/>
              <w:rPr>
                <w:rFonts w:ascii="黑体" w:hAnsi="黑体" w:cs="黑体" w:eastAsia="黑体" w:hint="default"/>
                <w:sz w:val="18"/>
                <w:szCs w:val="18"/>
              </w:rPr>
            </w:pPr>
            <w:r>
              <w:rPr>
                <w:rFonts w:ascii="黑体" w:hAnsi="黑体" w:cs="黑体" w:eastAsia="黑体" w:hint="default"/>
                <w:sz w:val="18"/>
                <w:szCs w:val="18"/>
              </w:rPr>
              <w:t>减值准备</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63"/>
              <w:jc w:val="right"/>
              <w:rPr>
                <w:rFonts w:ascii="Arial" w:hAnsi="Arial" w:cs="Arial" w:eastAsia="Arial" w:hint="default"/>
                <w:sz w:val="18"/>
                <w:szCs w:val="18"/>
              </w:rPr>
            </w:pPr>
            <w:r>
              <w:rPr>
                <w:rFonts w:ascii="黑体" w:hAnsi="黑体" w:cs="黑体" w:eastAsia="黑体" w:hint="default"/>
                <w:spacing w:val="-1"/>
                <w:sz w:val="18"/>
                <w:szCs w:val="18"/>
              </w:rPr>
              <w:t>本年计提</w:t>
            </w:r>
            <w:r>
              <w:rPr>
                <w:rFonts w:ascii="Arial" w:hAnsi="Arial" w:cs="Arial" w:eastAsia="Arial" w:hint="default"/>
                <w:spacing w:val="-1"/>
                <w:sz w:val="18"/>
                <w:szCs w:val="18"/>
              </w:rPr>
              <w:t>/(</w:t>
            </w:r>
            <w:r>
              <w:rPr>
                <w:rFonts w:ascii="黑体" w:hAnsi="黑体" w:cs="黑体" w:eastAsia="黑体" w:hint="default"/>
                <w:spacing w:val="-1"/>
                <w:sz w:val="18"/>
                <w:szCs w:val="18"/>
              </w:rPr>
              <w:t>转销</w:t>
            </w:r>
            <w:r>
              <w:rPr>
                <w:rFonts w:ascii="Arial" w:hAnsi="Arial" w:cs="Arial" w:eastAsia="Arial" w:hint="default"/>
                <w:spacing w:val="-1"/>
                <w:sz w:val="18"/>
                <w:szCs w:val="18"/>
              </w:rPr>
              <w:t>)</w:t>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黑体" w:hAnsi="黑体" w:cs="黑体" w:eastAsia="黑体" w:hint="default"/>
                <w:sz w:val="18"/>
                <w:szCs w:val="18"/>
              </w:rPr>
            </w:pPr>
            <w:r>
              <w:rPr>
                <w:rFonts w:ascii="黑体" w:hAnsi="黑体" w:cs="黑体" w:eastAsia="黑体" w:hint="default"/>
                <w:sz w:val="18"/>
                <w:szCs w:val="18"/>
              </w:rPr>
              <w:t>本年</w:t>
            </w:r>
          </w:p>
        </w:tc>
      </w:tr>
      <w:tr>
        <w:trPr>
          <w:trHeight w:val="258"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
        </w:tc>
        <w:tc>
          <w:tcPr>
            <w:tcW w:w="1396" w:type="dxa"/>
            <w:tcBorders>
              <w:top w:val="nil" w:sz="6" w:space="0" w:color="auto"/>
              <w:left w:val="nil" w:sz="6" w:space="0" w:color="auto"/>
              <w:bottom w:val="nil" w:sz="6" w:space="0" w:color="auto"/>
              <w:right w:val="nil" w:sz="6" w:space="0" w:color="auto"/>
            </w:tcBorders>
          </w:tcPr>
          <w:p>
            <w:pPr/>
          </w:p>
        </w:tc>
        <w:tc>
          <w:tcPr>
            <w:tcW w:w="1338" w:type="dxa"/>
            <w:tcBorders>
              <w:top w:val="nil" w:sz="6" w:space="0" w:color="auto"/>
              <w:left w:val="nil" w:sz="6" w:space="0" w:color="auto"/>
              <w:bottom w:val="nil" w:sz="6" w:space="0" w:color="auto"/>
              <w:right w:val="nil" w:sz="6" w:space="0" w:color="auto"/>
            </w:tcBorders>
          </w:tcPr>
          <w:p>
            <w:pPr/>
          </w:p>
        </w:tc>
        <w:tc>
          <w:tcPr>
            <w:tcW w:w="1322" w:type="dxa"/>
            <w:tcBorders>
              <w:top w:val="nil" w:sz="6" w:space="0" w:color="auto"/>
              <w:left w:val="nil" w:sz="6" w:space="0" w:color="auto"/>
              <w:bottom w:val="nil" w:sz="6" w:space="0" w:color="auto"/>
              <w:right w:val="nil" w:sz="6" w:space="0" w:color="auto"/>
            </w:tcBorders>
          </w:tcPr>
          <w:p>
            <w:pPr/>
          </w:p>
        </w:tc>
        <w:tc>
          <w:tcPr>
            <w:tcW w:w="1376"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5"/>
              <w:jc w:val="right"/>
              <w:rPr>
                <w:rFonts w:ascii="Arial" w:hAnsi="Arial" w:cs="Arial" w:eastAsia="Arial" w:hint="default"/>
                <w:sz w:val="18"/>
                <w:szCs w:val="18"/>
              </w:rPr>
            </w:pPr>
            <w:r>
              <w:rPr>
                <w:rFonts w:ascii="Arial"/>
                <w:spacing w:val="-1"/>
                <w:sz w:val="18"/>
              </w:rPr>
              <w:t>(%)</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85"/>
              <w:jc w:val="right"/>
              <w:rPr>
                <w:rFonts w:ascii="Arial" w:hAnsi="Arial" w:cs="Arial" w:eastAsia="Arial" w:hint="default"/>
                <w:sz w:val="18"/>
                <w:szCs w:val="18"/>
              </w:rPr>
            </w:pPr>
            <w:r>
              <w:rPr>
                <w:rFonts w:ascii="Arial"/>
                <w:spacing w:val="-1"/>
                <w:sz w:val="18"/>
              </w:rPr>
              <w:t>(%)</w:t>
            </w:r>
          </w:p>
        </w:tc>
        <w:tc>
          <w:tcPr>
            <w:tcW w:w="1060"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Style w:val="TableParagraph"/>
              <w:spacing w:line="213" w:lineRule="exact"/>
              <w:ind w:right="63"/>
              <w:jc w:val="right"/>
              <w:rPr>
                <w:rFonts w:ascii="黑体" w:hAnsi="黑体" w:cs="黑体" w:eastAsia="黑体" w:hint="default"/>
                <w:sz w:val="18"/>
                <w:szCs w:val="18"/>
              </w:rPr>
            </w:pPr>
            <w:r>
              <w:rPr>
                <w:rFonts w:ascii="黑体" w:hAnsi="黑体" w:cs="黑体" w:eastAsia="黑体" w:hint="default"/>
                <w:sz w:val="18"/>
                <w:szCs w:val="18"/>
              </w:rPr>
              <w:t>减值准备</w:t>
            </w:r>
          </w:p>
        </w:tc>
        <w:tc>
          <w:tcPr>
            <w:tcW w:w="821" w:type="dxa"/>
            <w:tcBorders>
              <w:top w:val="nil" w:sz="6" w:space="0" w:color="auto"/>
              <w:left w:val="nil" w:sz="6" w:space="0" w:color="auto"/>
              <w:bottom w:val="nil" w:sz="6" w:space="0" w:color="auto"/>
              <w:right w:val="nil" w:sz="6" w:space="0" w:color="auto"/>
            </w:tcBorders>
          </w:tcPr>
          <w:p>
            <w:pPr>
              <w:pStyle w:val="TableParagraph"/>
              <w:spacing w:line="213" w:lineRule="exact"/>
              <w:ind w:right="33"/>
              <w:jc w:val="right"/>
              <w:rPr>
                <w:rFonts w:ascii="黑体" w:hAnsi="黑体" w:cs="黑体" w:eastAsia="黑体" w:hint="default"/>
                <w:sz w:val="18"/>
                <w:szCs w:val="18"/>
              </w:rPr>
            </w:pPr>
            <w:r>
              <w:rPr>
                <w:rFonts w:ascii="黑体" w:hAnsi="黑体" w:cs="黑体" w:eastAsia="黑体" w:hint="default"/>
                <w:sz w:val="18"/>
                <w:szCs w:val="18"/>
              </w:rPr>
              <w:t>现金红利</w:t>
            </w:r>
          </w:p>
        </w:tc>
      </w:tr>
      <w:tr>
        <w:trPr>
          <w:trHeight w:val="258"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29" w:lineRule="exact"/>
              <w:ind w:left="112" w:right="0"/>
              <w:jc w:val="left"/>
              <w:rPr>
                <w:rFonts w:ascii="黑体" w:hAnsi="黑体" w:cs="黑体" w:eastAsia="黑体" w:hint="default"/>
                <w:sz w:val="18"/>
                <w:szCs w:val="18"/>
              </w:rPr>
            </w:pPr>
            <w:r>
              <w:rPr>
                <w:rFonts w:ascii="黑体" w:hAnsi="黑体" w:cs="黑体" w:eastAsia="黑体" w:hint="default"/>
                <w:sz w:val="18"/>
                <w:szCs w:val="18"/>
              </w:rPr>
              <w:t>成本法</w:t>
            </w:r>
            <w:r>
              <w:rPr>
                <w:rFonts w:ascii="Arial" w:hAnsi="Arial" w:cs="Arial" w:eastAsia="Arial" w:hint="default"/>
                <w:sz w:val="18"/>
                <w:szCs w:val="18"/>
              </w:rPr>
              <w:t>(</w:t>
            </w:r>
            <w:r>
              <w:rPr>
                <w:rFonts w:ascii="黑体" w:hAnsi="黑体" w:cs="黑体" w:eastAsia="黑体" w:hint="default"/>
                <w:sz w:val="18"/>
                <w:szCs w:val="18"/>
              </w:rPr>
              <w:t>续</w:t>
            </w:r>
            <w:r>
              <w:rPr>
                <w:rFonts w:ascii="Arial" w:hAnsi="Arial" w:cs="Arial" w:eastAsia="Arial" w:hint="default"/>
                <w:sz w:val="18"/>
                <w:szCs w:val="18"/>
              </w:rPr>
              <w:t>)</w:t>
            </w:r>
            <w:r>
              <w:rPr>
                <w:rFonts w:ascii="黑体" w:hAnsi="黑体" w:cs="黑体" w:eastAsia="黑体" w:hint="default"/>
                <w:sz w:val="18"/>
                <w:szCs w:val="18"/>
              </w:rPr>
              <w:t>：</w:t>
            </w:r>
          </w:p>
        </w:tc>
        <w:tc>
          <w:tcPr>
            <w:tcW w:w="1396" w:type="dxa"/>
            <w:tcBorders>
              <w:top w:val="nil" w:sz="6" w:space="0" w:color="auto"/>
              <w:left w:val="nil" w:sz="6" w:space="0" w:color="auto"/>
              <w:bottom w:val="nil" w:sz="6" w:space="0" w:color="auto"/>
              <w:right w:val="nil" w:sz="6" w:space="0" w:color="auto"/>
            </w:tcBorders>
          </w:tcPr>
          <w:p>
            <w:pPr/>
          </w:p>
        </w:tc>
        <w:tc>
          <w:tcPr>
            <w:tcW w:w="1338" w:type="dxa"/>
            <w:tcBorders>
              <w:top w:val="nil" w:sz="6" w:space="0" w:color="auto"/>
              <w:left w:val="nil" w:sz="6" w:space="0" w:color="auto"/>
              <w:bottom w:val="nil" w:sz="6" w:space="0" w:color="auto"/>
              <w:right w:val="nil" w:sz="6" w:space="0" w:color="auto"/>
            </w:tcBorders>
          </w:tcPr>
          <w:p>
            <w:pPr/>
          </w:p>
        </w:tc>
        <w:tc>
          <w:tcPr>
            <w:tcW w:w="1322" w:type="dxa"/>
            <w:tcBorders>
              <w:top w:val="nil" w:sz="6" w:space="0" w:color="auto"/>
              <w:left w:val="nil" w:sz="6" w:space="0" w:color="auto"/>
              <w:bottom w:val="nil" w:sz="6" w:space="0" w:color="auto"/>
              <w:right w:val="nil" w:sz="6" w:space="0" w:color="auto"/>
            </w:tcBorders>
          </w:tcPr>
          <w:p>
            <w:pPr/>
          </w:p>
        </w:tc>
        <w:tc>
          <w:tcPr>
            <w:tcW w:w="1376"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
        </w:tc>
        <w:tc>
          <w:tcPr>
            <w:tcW w:w="1104"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
        </w:tc>
        <w:tc>
          <w:tcPr>
            <w:tcW w:w="821" w:type="dxa"/>
            <w:tcBorders>
              <w:top w:val="nil" w:sz="6" w:space="0" w:color="auto"/>
              <w:left w:val="nil" w:sz="6" w:space="0" w:color="auto"/>
              <w:bottom w:val="nil" w:sz="6" w:space="0" w:color="auto"/>
              <w:right w:val="nil" w:sz="6" w:space="0" w:color="auto"/>
            </w:tcBorders>
          </w:tcPr>
          <w:p>
            <w:pPr/>
          </w:p>
        </w:tc>
      </w:tr>
      <w:tr>
        <w:trPr>
          <w:trHeight w:val="252"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13" w:lineRule="exact"/>
              <w:ind w:right="418"/>
              <w:jc w:val="right"/>
              <w:rPr>
                <w:rFonts w:ascii="黑体" w:hAnsi="黑体" w:cs="黑体" w:eastAsia="黑体" w:hint="default"/>
                <w:sz w:val="18"/>
                <w:szCs w:val="18"/>
              </w:rPr>
            </w:pPr>
            <w:r>
              <w:rPr>
                <w:rFonts w:ascii="黑体" w:hAnsi="黑体" w:cs="黑体" w:eastAsia="黑体" w:hint="default"/>
                <w:sz w:val="18"/>
                <w:szCs w:val="18"/>
              </w:rPr>
              <w:t>北京用友医院管理软件有限公司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4"/>
              <w:jc w:val="right"/>
              <w:rPr>
                <w:rFonts w:ascii="Arial" w:hAnsi="Arial" w:cs="Arial" w:eastAsia="Arial" w:hint="default"/>
                <w:sz w:val="18"/>
                <w:szCs w:val="18"/>
              </w:rPr>
            </w:pPr>
            <w:r>
              <w:rPr>
                <w:rFonts w:ascii="Arial"/>
                <w:spacing w:val="-1"/>
                <w:sz w:val="18"/>
              </w:rPr>
              <w:t>445,831</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01"/>
              <w:jc w:val="right"/>
              <w:rPr>
                <w:rFonts w:ascii="Arial" w:hAnsi="Arial" w:cs="Arial" w:eastAsia="Arial" w:hint="default"/>
                <w:sz w:val="18"/>
                <w:szCs w:val="18"/>
              </w:rPr>
            </w:pPr>
            <w:r>
              <w:rPr>
                <w:rFonts w:ascii="Arial"/>
                <w:spacing w:val="-1"/>
                <w:sz w:val="18"/>
              </w:rPr>
              <w:t>445,831</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7"/>
              <w:jc w:val="right"/>
              <w:rPr>
                <w:rFonts w:ascii="Arial" w:hAnsi="Arial" w:cs="Arial" w:eastAsia="Arial" w:hint="default"/>
                <w:sz w:val="18"/>
                <w:szCs w:val="18"/>
              </w:rPr>
            </w:pPr>
            <w:r>
              <w:rPr>
                <w:rFonts w:ascii="Arial"/>
                <w:w w:val="99"/>
                <w:sz w:val="18"/>
              </w:rPr>
              <w:t>-</w:t>
            </w:r>
            <w:r>
              <w:rPr>
                <w:rFonts w:ascii="Arial"/>
                <w:sz w:val="18"/>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04"/>
              <w:jc w:val="right"/>
              <w:rPr>
                <w:rFonts w:ascii="Arial" w:hAnsi="Arial" w:cs="Arial" w:eastAsia="Arial" w:hint="default"/>
                <w:sz w:val="18"/>
                <w:szCs w:val="18"/>
              </w:rPr>
            </w:pPr>
            <w:r>
              <w:rPr>
                <w:rFonts w:ascii="Arial"/>
                <w:spacing w:val="-1"/>
                <w:sz w:val="18"/>
              </w:rPr>
              <w:t>445,831</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4"/>
              <w:jc w:val="right"/>
              <w:rPr>
                <w:rFonts w:ascii="Arial" w:hAnsi="Arial" w:cs="Arial" w:eastAsia="Arial" w:hint="default"/>
                <w:sz w:val="18"/>
                <w:szCs w:val="18"/>
              </w:rPr>
            </w:pPr>
            <w:r>
              <w:rPr>
                <w:rFonts w:ascii="Arial"/>
                <w:spacing w:val="-1"/>
                <w:sz w:val="18"/>
              </w:rPr>
              <w:t>20.00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4"/>
              <w:jc w:val="right"/>
              <w:rPr>
                <w:rFonts w:ascii="Arial" w:hAnsi="Arial" w:cs="Arial" w:eastAsia="Arial" w:hint="default"/>
                <w:sz w:val="18"/>
                <w:szCs w:val="18"/>
              </w:rPr>
            </w:pPr>
            <w:r>
              <w:rPr>
                <w:rFonts w:ascii="Arial"/>
                <w:spacing w:val="-1"/>
                <w:sz w:val="18"/>
              </w:rPr>
              <w:t>20.00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
              <w:jc w:val="right"/>
              <w:rPr>
                <w:rFonts w:ascii="Arial" w:hAnsi="Arial" w:cs="Arial" w:eastAsia="Arial" w:hint="default"/>
                <w:sz w:val="18"/>
                <w:szCs w:val="18"/>
              </w:rPr>
            </w:pPr>
            <w:r>
              <w:rPr>
                <w:rFonts w:ascii="Arial"/>
                <w:w w:val="99"/>
                <w:sz w:val="18"/>
              </w:rPr>
              <w:t>-</w:t>
            </w:r>
            <w:r>
              <w:rPr>
                <w:rFonts w:ascii="Arial"/>
                <w:sz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3"/>
              <w:jc w:val="right"/>
              <w:rPr>
                <w:rFonts w:ascii="Arial" w:hAnsi="Arial" w:cs="Arial" w:eastAsia="Arial" w:hint="default"/>
                <w:sz w:val="18"/>
                <w:szCs w:val="18"/>
              </w:rPr>
            </w:pPr>
            <w:r>
              <w:rPr>
                <w:rFonts w:ascii="Arial"/>
                <w:w w:val="99"/>
                <w:sz w:val="18"/>
              </w:rPr>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722"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34" w:lineRule="exact" w:before="3"/>
              <w:ind w:left="288" w:right="418"/>
              <w:jc w:val="left"/>
              <w:rPr>
                <w:rFonts w:ascii="黑体" w:hAnsi="黑体" w:cs="黑体" w:eastAsia="黑体" w:hint="default"/>
                <w:sz w:val="18"/>
                <w:szCs w:val="18"/>
              </w:rPr>
            </w:pPr>
            <w:r>
              <w:rPr>
                <w:rFonts w:ascii="黑体" w:hAnsi="黑体" w:cs="黑体" w:eastAsia="黑体" w:hint="default"/>
                <w:sz w:val="18"/>
                <w:szCs w:val="18"/>
              </w:rPr>
              <w:t>北京瑞友科技有限公司 中企永联数据交换技术（北京）</w:t>
            </w:r>
          </w:p>
          <w:p>
            <w:pPr>
              <w:pStyle w:val="TableParagraph"/>
              <w:spacing w:line="211" w:lineRule="exact"/>
              <w:ind w:left="468" w:right="0"/>
              <w:jc w:val="left"/>
              <w:rPr>
                <w:rFonts w:ascii="黑体" w:hAnsi="黑体" w:cs="黑体" w:eastAsia="黑体" w:hint="default"/>
                <w:sz w:val="18"/>
                <w:szCs w:val="18"/>
              </w:rPr>
            </w:pPr>
            <w:r>
              <w:rPr>
                <w:rFonts w:ascii="黑体" w:hAnsi="黑体" w:cs="黑体" w:eastAsia="黑体" w:hint="default"/>
                <w:sz w:val="18"/>
                <w:szCs w:val="18"/>
              </w:rPr>
              <w:t>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80" w:right="0"/>
              <w:jc w:val="left"/>
              <w:rPr>
                <w:rFonts w:ascii="Arial" w:hAnsi="Arial" w:cs="Arial" w:eastAsia="Arial" w:hint="default"/>
                <w:sz w:val="18"/>
                <w:szCs w:val="18"/>
              </w:rPr>
            </w:pPr>
            <w:r>
              <w:rPr>
                <w:rFonts w:ascii="Arial"/>
                <w:sz w:val="18"/>
              </w:rPr>
              <w:t>4,615,766</w:t>
            </w: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380" w:right="0"/>
              <w:jc w:val="left"/>
              <w:rPr>
                <w:rFonts w:ascii="Arial" w:hAnsi="Arial" w:cs="Arial" w:eastAsia="Arial" w:hint="default"/>
                <w:sz w:val="18"/>
                <w:szCs w:val="18"/>
              </w:rPr>
            </w:pPr>
            <w:r>
              <w:rPr>
                <w:rFonts w:ascii="Arial"/>
                <w:sz w:val="18"/>
              </w:rPr>
              <w:t>2,500,000</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35" w:right="0"/>
              <w:jc w:val="left"/>
              <w:rPr>
                <w:rFonts w:ascii="Arial" w:hAnsi="Arial" w:cs="Arial" w:eastAsia="Arial" w:hint="default"/>
                <w:sz w:val="18"/>
                <w:szCs w:val="18"/>
              </w:rPr>
            </w:pPr>
            <w:r>
              <w:rPr>
                <w:rFonts w:ascii="Arial"/>
                <w:sz w:val="18"/>
              </w:rPr>
              <w:t>4,615,766</w:t>
            </w: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335" w:right="0"/>
              <w:jc w:val="left"/>
              <w:rPr>
                <w:rFonts w:ascii="Arial" w:hAnsi="Arial" w:cs="Arial" w:eastAsia="Arial" w:hint="default"/>
                <w:sz w:val="18"/>
                <w:szCs w:val="18"/>
              </w:rPr>
            </w:pPr>
            <w:r>
              <w:rPr>
                <w:rFonts w:ascii="Arial"/>
                <w:sz w:val="18"/>
              </w:rPr>
              <w:t>2,500,000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7"/>
              <w:jc w:val="right"/>
              <w:rPr>
                <w:rFonts w:ascii="Arial" w:hAnsi="Arial" w:cs="Arial" w:eastAsia="Arial" w:hint="default"/>
                <w:sz w:val="18"/>
                <w:szCs w:val="18"/>
              </w:rPr>
            </w:pPr>
            <w:r>
              <w:rPr>
                <w:rFonts w:ascii="Arial"/>
                <w:w w:val="99"/>
                <w:sz w:val="18"/>
              </w:rPr>
              <w:t>-</w:t>
            </w:r>
            <w:r>
              <w:rPr>
                <w:rFonts w:ascii="Arial"/>
                <w:sz w:val="18"/>
              </w:rPr>
            </w: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right="247"/>
              <w:jc w:val="right"/>
              <w:rPr>
                <w:rFonts w:ascii="Arial" w:hAnsi="Arial" w:cs="Arial" w:eastAsia="Arial" w:hint="default"/>
                <w:sz w:val="18"/>
                <w:szCs w:val="18"/>
              </w:rPr>
            </w:pPr>
            <w:r>
              <w:rPr>
                <w:rFonts w:ascii="Arial"/>
                <w:w w:val="99"/>
                <w:sz w:val="18"/>
              </w:rPr>
              <w:t>-</w:t>
            </w:r>
            <w:r>
              <w:rPr>
                <w:rFonts w:ascii="Arial"/>
                <w:sz w:val="18"/>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69" w:right="0"/>
              <w:jc w:val="left"/>
              <w:rPr>
                <w:rFonts w:ascii="Arial" w:hAnsi="Arial" w:cs="Arial" w:eastAsia="Arial" w:hint="default"/>
                <w:sz w:val="18"/>
                <w:szCs w:val="18"/>
              </w:rPr>
            </w:pPr>
            <w:r>
              <w:rPr>
                <w:rFonts w:ascii="Arial"/>
                <w:sz w:val="18"/>
              </w:rPr>
              <w:t>4,615,766</w:t>
            </w: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369" w:right="0"/>
              <w:jc w:val="left"/>
              <w:rPr>
                <w:rFonts w:ascii="Arial" w:hAnsi="Arial" w:cs="Arial" w:eastAsia="Arial" w:hint="default"/>
                <w:sz w:val="18"/>
                <w:szCs w:val="18"/>
              </w:rPr>
            </w:pPr>
            <w:r>
              <w:rPr>
                <w:rFonts w:ascii="Arial"/>
                <w:sz w:val="18"/>
              </w:rPr>
              <w:t>2,500,000</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77" w:right="0"/>
              <w:jc w:val="left"/>
              <w:rPr>
                <w:rFonts w:ascii="Arial" w:hAnsi="Arial" w:cs="Arial" w:eastAsia="Arial" w:hint="default"/>
                <w:sz w:val="18"/>
                <w:szCs w:val="18"/>
              </w:rPr>
            </w:pPr>
            <w:r>
              <w:rPr>
                <w:rFonts w:ascii="Arial"/>
                <w:sz w:val="18"/>
              </w:rPr>
              <w:t>18.73</w:t>
            </w: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477" w:right="0"/>
              <w:jc w:val="left"/>
              <w:rPr>
                <w:rFonts w:ascii="Arial" w:hAnsi="Arial" w:cs="Arial" w:eastAsia="Arial" w:hint="default"/>
                <w:sz w:val="18"/>
                <w:szCs w:val="18"/>
              </w:rPr>
            </w:pPr>
            <w:r>
              <w:rPr>
                <w:rFonts w:ascii="Arial"/>
                <w:sz w:val="18"/>
              </w:rPr>
              <w:t>19.81</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567" w:right="0"/>
              <w:jc w:val="left"/>
              <w:rPr>
                <w:rFonts w:ascii="Arial" w:hAnsi="Arial" w:cs="Arial" w:eastAsia="Arial" w:hint="default"/>
                <w:sz w:val="18"/>
                <w:szCs w:val="18"/>
              </w:rPr>
            </w:pPr>
            <w:r>
              <w:rPr>
                <w:rFonts w:ascii="Arial"/>
                <w:sz w:val="18"/>
              </w:rPr>
              <w:t>18.73</w:t>
            </w: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567" w:right="0"/>
              <w:jc w:val="left"/>
              <w:rPr>
                <w:rFonts w:ascii="Arial" w:hAnsi="Arial" w:cs="Arial" w:eastAsia="Arial" w:hint="default"/>
                <w:sz w:val="18"/>
                <w:szCs w:val="18"/>
              </w:rPr>
            </w:pPr>
            <w:r>
              <w:rPr>
                <w:rFonts w:ascii="Arial"/>
                <w:sz w:val="18"/>
              </w:rPr>
              <w:t>19.81</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
              <w:jc w:val="right"/>
              <w:rPr>
                <w:rFonts w:ascii="Arial" w:hAnsi="Arial" w:cs="Arial" w:eastAsia="Arial" w:hint="default"/>
                <w:sz w:val="18"/>
                <w:szCs w:val="18"/>
              </w:rPr>
            </w:pPr>
            <w:r>
              <w:rPr>
                <w:rFonts w:ascii="Arial"/>
                <w:w w:val="99"/>
                <w:sz w:val="18"/>
              </w:rPr>
              <w:t>-</w:t>
            </w:r>
            <w:r>
              <w:rPr>
                <w:rFonts w:ascii="Arial"/>
                <w:sz w:val="18"/>
              </w:rPr>
            </w: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right="10"/>
              <w:jc w:val="right"/>
              <w:rPr>
                <w:rFonts w:ascii="Arial" w:hAnsi="Arial" w:cs="Arial" w:eastAsia="Arial" w:hint="default"/>
                <w:sz w:val="18"/>
                <w:szCs w:val="18"/>
              </w:rPr>
            </w:pPr>
            <w:r>
              <w:rPr>
                <w:rFonts w:ascii="Arial"/>
                <w:w w:val="99"/>
                <w:sz w:val="18"/>
              </w:rPr>
              <w:t>-</w:t>
            </w:r>
            <w:r>
              <w:rPr>
                <w:rFonts w:ascii="Arial"/>
                <w:sz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3"/>
              <w:jc w:val="right"/>
              <w:rPr>
                <w:rFonts w:ascii="Arial" w:hAnsi="Arial" w:cs="Arial" w:eastAsia="Arial" w:hint="default"/>
                <w:sz w:val="18"/>
                <w:szCs w:val="18"/>
              </w:rPr>
            </w:pPr>
            <w:r>
              <w:rPr>
                <w:rFonts w:ascii="Arial"/>
                <w:w w:val="99"/>
                <w:sz w:val="18"/>
              </w:rPr>
              <w:t>-</w:t>
            </w:r>
            <w:r>
              <w:rPr>
                <w:rFonts w:ascii="Arial"/>
                <w:sz w:val="18"/>
              </w:rPr>
            </w: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right="63"/>
              <w:jc w:val="right"/>
              <w:rPr>
                <w:rFonts w:ascii="Arial" w:hAnsi="Arial" w:cs="Arial" w:eastAsia="Arial" w:hint="default"/>
                <w:sz w:val="18"/>
                <w:szCs w:val="18"/>
              </w:rPr>
            </w:pPr>
            <w:r>
              <w:rPr>
                <w:rFonts w:ascii="Arial"/>
                <w:w w:val="99"/>
                <w:sz w:val="18"/>
              </w:rPr>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w w:val="99"/>
                <w:sz w:val="18"/>
              </w:rPr>
              <w:t>-</w:t>
            </w:r>
            <w:r>
              <w:rPr>
                <w:rFonts w:ascii="Arial"/>
                <w:sz w:val="18"/>
              </w:rPr>
            </w: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16" w:lineRule="exact"/>
              <w:ind w:left="288" w:right="0"/>
              <w:jc w:val="left"/>
              <w:rPr>
                <w:rFonts w:ascii="黑体" w:hAnsi="黑体" w:cs="黑体" w:eastAsia="黑体" w:hint="default"/>
                <w:sz w:val="18"/>
                <w:szCs w:val="18"/>
              </w:rPr>
            </w:pPr>
            <w:r>
              <w:rPr>
                <w:rFonts w:ascii="黑体" w:hAnsi="黑体" w:cs="黑体" w:eastAsia="黑体" w:hint="default"/>
                <w:sz w:val="18"/>
                <w:szCs w:val="18"/>
              </w:rPr>
              <w:t>中科方德软件有限公司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3"/>
              <w:jc w:val="right"/>
              <w:rPr>
                <w:rFonts w:ascii="Arial" w:hAnsi="Arial" w:cs="Arial" w:eastAsia="Arial" w:hint="default"/>
                <w:sz w:val="18"/>
                <w:szCs w:val="18"/>
              </w:rPr>
            </w:pPr>
            <w:r>
              <w:rPr>
                <w:rFonts w:ascii="Arial"/>
                <w:spacing w:val="-1"/>
                <w:sz w:val="18"/>
              </w:rPr>
              <w:t>2,000,000</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0"/>
              <w:jc w:val="right"/>
              <w:rPr>
                <w:rFonts w:ascii="Arial" w:hAnsi="Arial" w:cs="Arial" w:eastAsia="Arial" w:hint="default"/>
                <w:sz w:val="18"/>
                <w:szCs w:val="18"/>
              </w:rPr>
            </w:pPr>
            <w:r>
              <w:rPr>
                <w:rFonts w:ascii="Arial"/>
                <w:spacing w:val="-1"/>
                <w:sz w:val="18"/>
              </w:rPr>
              <w:t>2,000,000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7"/>
              <w:jc w:val="right"/>
              <w:rPr>
                <w:rFonts w:ascii="Arial" w:hAnsi="Arial" w:cs="Arial" w:eastAsia="Arial" w:hint="default"/>
                <w:sz w:val="18"/>
                <w:szCs w:val="18"/>
              </w:rPr>
            </w:pPr>
            <w:r>
              <w:rPr>
                <w:rFonts w:ascii="Arial"/>
                <w:w w:val="99"/>
                <w:sz w:val="18"/>
              </w:rPr>
              <w:t>-</w:t>
            </w:r>
            <w:r>
              <w:rPr>
                <w:rFonts w:ascii="Arial"/>
                <w:sz w:val="18"/>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4"/>
              <w:jc w:val="right"/>
              <w:rPr>
                <w:rFonts w:ascii="Arial" w:hAnsi="Arial" w:cs="Arial" w:eastAsia="Arial" w:hint="default"/>
                <w:sz w:val="18"/>
                <w:szCs w:val="18"/>
              </w:rPr>
            </w:pPr>
            <w:r>
              <w:rPr>
                <w:rFonts w:ascii="Arial"/>
                <w:spacing w:val="-1"/>
                <w:sz w:val="18"/>
              </w:rPr>
              <w:t>2,000,000</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4"/>
              <w:jc w:val="right"/>
              <w:rPr>
                <w:rFonts w:ascii="Arial" w:hAnsi="Arial" w:cs="Arial" w:eastAsia="Arial" w:hint="default"/>
                <w:sz w:val="18"/>
                <w:szCs w:val="18"/>
              </w:rPr>
            </w:pPr>
            <w:r>
              <w:rPr>
                <w:rFonts w:ascii="Arial"/>
                <w:spacing w:val="-1"/>
                <w:sz w:val="18"/>
              </w:rPr>
              <w:t>3.85</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4"/>
              <w:jc w:val="right"/>
              <w:rPr>
                <w:rFonts w:ascii="Arial" w:hAnsi="Arial" w:cs="Arial" w:eastAsia="Arial" w:hint="default"/>
                <w:sz w:val="18"/>
                <w:szCs w:val="18"/>
              </w:rPr>
            </w:pPr>
            <w:r>
              <w:rPr>
                <w:rFonts w:ascii="Arial"/>
                <w:spacing w:val="-1"/>
                <w:sz w:val="18"/>
              </w:rPr>
              <w:t>3.85</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
              <w:jc w:val="right"/>
              <w:rPr>
                <w:rFonts w:ascii="Arial" w:hAnsi="Arial" w:cs="Arial" w:eastAsia="Arial" w:hint="default"/>
                <w:sz w:val="18"/>
                <w:szCs w:val="18"/>
              </w:rPr>
            </w:pPr>
            <w:r>
              <w:rPr>
                <w:rFonts w:ascii="Arial"/>
                <w:w w:val="99"/>
                <w:sz w:val="18"/>
              </w:rPr>
              <w:t>-</w:t>
            </w:r>
            <w:r>
              <w:rPr>
                <w:rFonts w:ascii="Arial"/>
                <w:sz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3"/>
              <w:jc w:val="right"/>
              <w:rPr>
                <w:rFonts w:ascii="Arial" w:hAnsi="Arial" w:cs="Arial" w:eastAsia="Arial" w:hint="default"/>
                <w:sz w:val="18"/>
                <w:szCs w:val="18"/>
              </w:rPr>
            </w:pPr>
            <w:r>
              <w:rPr>
                <w:rFonts w:ascii="Arial"/>
                <w:w w:val="99"/>
                <w:sz w:val="18"/>
              </w:rPr>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spacing w:val="-1"/>
                <w:sz w:val="18"/>
              </w:rPr>
              <w:t>183,460</w:t>
            </w:r>
          </w:p>
        </w:tc>
      </w:tr>
      <w:tr>
        <w:trPr>
          <w:trHeight w:val="255"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16" w:lineRule="exact"/>
              <w:ind w:right="418"/>
              <w:jc w:val="right"/>
              <w:rPr>
                <w:rFonts w:ascii="黑体" w:hAnsi="黑体" w:cs="黑体" w:eastAsia="黑体" w:hint="default"/>
                <w:sz w:val="18"/>
                <w:szCs w:val="18"/>
              </w:rPr>
            </w:pPr>
            <w:r>
              <w:rPr>
                <w:rFonts w:ascii="黑体" w:hAnsi="黑体" w:cs="黑体" w:eastAsia="黑体" w:hint="default"/>
                <w:sz w:val="18"/>
                <w:szCs w:val="18"/>
              </w:rPr>
              <w:t>北京用友天创咨询有限责任公司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13"/>
              <w:jc w:val="right"/>
              <w:rPr>
                <w:rFonts w:ascii="Arial" w:hAnsi="Arial" w:cs="Arial" w:eastAsia="Arial" w:hint="default"/>
                <w:sz w:val="18"/>
                <w:szCs w:val="18"/>
              </w:rPr>
            </w:pPr>
            <w:r>
              <w:rPr>
                <w:rFonts w:ascii="Arial"/>
                <w:spacing w:val="-1"/>
                <w:sz w:val="18"/>
              </w:rPr>
              <w:t>594,000</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0"/>
              <w:jc w:val="right"/>
              <w:rPr>
                <w:rFonts w:ascii="Arial" w:hAnsi="Arial" w:cs="Arial" w:eastAsia="Arial" w:hint="default"/>
                <w:sz w:val="18"/>
                <w:szCs w:val="18"/>
              </w:rPr>
            </w:pPr>
            <w:r>
              <w:rPr>
                <w:rFonts w:ascii="Arial"/>
                <w:spacing w:val="-1"/>
                <w:sz w:val="18"/>
              </w:rPr>
              <w:t>594,000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7"/>
              <w:jc w:val="right"/>
              <w:rPr>
                <w:rFonts w:ascii="Arial" w:hAnsi="Arial" w:cs="Arial" w:eastAsia="Arial" w:hint="default"/>
                <w:sz w:val="18"/>
                <w:szCs w:val="18"/>
              </w:rPr>
            </w:pPr>
            <w:r>
              <w:rPr>
                <w:rFonts w:ascii="Arial"/>
                <w:w w:val="99"/>
                <w:sz w:val="18"/>
              </w:rPr>
              <w:t>-</w:t>
            </w:r>
            <w:r>
              <w:rPr>
                <w:rFonts w:ascii="Arial"/>
                <w:sz w:val="18"/>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4"/>
              <w:jc w:val="right"/>
              <w:rPr>
                <w:rFonts w:ascii="Arial" w:hAnsi="Arial" w:cs="Arial" w:eastAsia="Arial" w:hint="default"/>
                <w:sz w:val="18"/>
                <w:szCs w:val="18"/>
              </w:rPr>
            </w:pPr>
            <w:r>
              <w:rPr>
                <w:rFonts w:ascii="Arial"/>
                <w:spacing w:val="-1"/>
                <w:sz w:val="18"/>
              </w:rPr>
              <w:t>594,000</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4"/>
              <w:jc w:val="right"/>
              <w:rPr>
                <w:rFonts w:ascii="Arial" w:hAnsi="Arial" w:cs="Arial" w:eastAsia="Arial" w:hint="default"/>
                <w:sz w:val="18"/>
                <w:szCs w:val="18"/>
              </w:rPr>
            </w:pPr>
            <w:r>
              <w:rPr>
                <w:rFonts w:ascii="Arial"/>
                <w:spacing w:val="-1"/>
                <w:sz w:val="18"/>
              </w:rPr>
              <w:t>19.80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84"/>
              <w:jc w:val="right"/>
              <w:rPr>
                <w:rFonts w:ascii="Arial" w:hAnsi="Arial" w:cs="Arial" w:eastAsia="Arial" w:hint="default"/>
                <w:sz w:val="18"/>
                <w:szCs w:val="18"/>
              </w:rPr>
            </w:pPr>
            <w:r>
              <w:rPr>
                <w:rFonts w:ascii="Arial"/>
                <w:spacing w:val="-1"/>
                <w:sz w:val="18"/>
              </w:rPr>
              <w:t>19.80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
              <w:jc w:val="right"/>
              <w:rPr>
                <w:rFonts w:ascii="Arial" w:hAnsi="Arial" w:cs="Arial" w:eastAsia="Arial" w:hint="default"/>
                <w:sz w:val="18"/>
                <w:szCs w:val="18"/>
              </w:rPr>
            </w:pPr>
            <w:r>
              <w:rPr>
                <w:rFonts w:ascii="Arial"/>
                <w:w w:val="99"/>
                <w:sz w:val="18"/>
              </w:rPr>
              <w:t>-</w:t>
            </w:r>
            <w:r>
              <w:rPr>
                <w:rFonts w:ascii="Arial"/>
                <w:sz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3"/>
              <w:jc w:val="right"/>
              <w:rPr>
                <w:rFonts w:ascii="Arial" w:hAnsi="Arial" w:cs="Arial" w:eastAsia="Arial" w:hint="default"/>
                <w:sz w:val="18"/>
                <w:szCs w:val="18"/>
              </w:rPr>
            </w:pPr>
            <w:r>
              <w:rPr>
                <w:rFonts w:ascii="Arial"/>
                <w:w w:val="99"/>
                <w:sz w:val="18"/>
              </w:rPr>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16" w:lineRule="exact"/>
              <w:ind w:left="288" w:right="0"/>
              <w:jc w:val="left"/>
              <w:rPr>
                <w:rFonts w:ascii="黑体" w:hAnsi="黑体" w:cs="黑体" w:eastAsia="黑体" w:hint="default"/>
                <w:sz w:val="18"/>
                <w:szCs w:val="18"/>
              </w:rPr>
            </w:pPr>
            <w:r>
              <w:rPr>
                <w:rFonts w:ascii="黑体" w:hAnsi="黑体" w:cs="黑体" w:eastAsia="黑体" w:hint="default"/>
                <w:sz w:val="18"/>
                <w:szCs w:val="18"/>
              </w:rPr>
              <w:t>青岛用友政务软件有限公司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3"/>
              <w:jc w:val="right"/>
              <w:rPr>
                <w:rFonts w:ascii="Arial" w:hAnsi="Arial" w:cs="Arial" w:eastAsia="Arial" w:hint="default"/>
                <w:sz w:val="18"/>
                <w:szCs w:val="18"/>
              </w:rPr>
            </w:pPr>
            <w:r>
              <w:rPr>
                <w:rFonts w:ascii="Arial"/>
                <w:spacing w:val="-1"/>
                <w:sz w:val="18"/>
              </w:rPr>
              <w:t>1,000,000</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0"/>
              <w:jc w:val="right"/>
              <w:rPr>
                <w:rFonts w:ascii="Arial" w:hAnsi="Arial" w:cs="Arial" w:eastAsia="Arial" w:hint="default"/>
                <w:sz w:val="18"/>
                <w:szCs w:val="18"/>
              </w:rPr>
            </w:pPr>
            <w:r>
              <w:rPr>
                <w:rFonts w:ascii="Arial"/>
                <w:spacing w:val="-1"/>
                <w:sz w:val="18"/>
              </w:rPr>
              <w:t>1,000,000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7"/>
              <w:jc w:val="right"/>
              <w:rPr>
                <w:rFonts w:ascii="Arial" w:hAnsi="Arial" w:cs="Arial" w:eastAsia="Arial" w:hint="default"/>
                <w:sz w:val="18"/>
                <w:szCs w:val="18"/>
              </w:rPr>
            </w:pPr>
            <w:r>
              <w:rPr>
                <w:rFonts w:ascii="Arial"/>
                <w:w w:val="99"/>
                <w:sz w:val="18"/>
              </w:rPr>
              <w:t>-</w:t>
            </w:r>
            <w:r>
              <w:rPr>
                <w:rFonts w:ascii="Arial"/>
                <w:sz w:val="18"/>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4"/>
              <w:jc w:val="right"/>
              <w:rPr>
                <w:rFonts w:ascii="Arial" w:hAnsi="Arial" w:cs="Arial" w:eastAsia="Arial" w:hint="default"/>
                <w:sz w:val="18"/>
                <w:szCs w:val="18"/>
              </w:rPr>
            </w:pPr>
            <w:r>
              <w:rPr>
                <w:rFonts w:ascii="Arial"/>
                <w:spacing w:val="-1"/>
                <w:sz w:val="18"/>
              </w:rPr>
              <w:t>1,000,000</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4"/>
              <w:jc w:val="right"/>
              <w:rPr>
                <w:rFonts w:ascii="Arial" w:hAnsi="Arial" w:cs="Arial" w:eastAsia="Arial" w:hint="default"/>
                <w:sz w:val="18"/>
                <w:szCs w:val="18"/>
              </w:rPr>
            </w:pPr>
            <w:r>
              <w:rPr>
                <w:rFonts w:ascii="Arial"/>
                <w:spacing w:val="-1"/>
                <w:sz w:val="18"/>
              </w:rPr>
              <w:t>20.00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4"/>
              <w:jc w:val="right"/>
              <w:rPr>
                <w:rFonts w:ascii="Arial" w:hAnsi="Arial" w:cs="Arial" w:eastAsia="Arial" w:hint="default"/>
                <w:sz w:val="18"/>
                <w:szCs w:val="18"/>
              </w:rPr>
            </w:pPr>
            <w:r>
              <w:rPr>
                <w:rFonts w:ascii="Arial"/>
                <w:spacing w:val="-1"/>
                <w:sz w:val="18"/>
              </w:rPr>
              <w:t>20.00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
              <w:jc w:val="right"/>
              <w:rPr>
                <w:rFonts w:ascii="Arial" w:hAnsi="Arial" w:cs="Arial" w:eastAsia="Arial" w:hint="default"/>
                <w:sz w:val="18"/>
                <w:szCs w:val="18"/>
              </w:rPr>
            </w:pPr>
            <w:r>
              <w:rPr>
                <w:rFonts w:ascii="Arial"/>
                <w:w w:val="99"/>
                <w:sz w:val="18"/>
              </w:rPr>
              <w:t>-</w:t>
            </w:r>
            <w:r>
              <w:rPr>
                <w:rFonts w:ascii="Arial"/>
                <w:sz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3"/>
              <w:jc w:val="right"/>
              <w:rPr>
                <w:rFonts w:ascii="Arial" w:hAnsi="Arial" w:cs="Arial" w:eastAsia="Arial" w:hint="default"/>
                <w:sz w:val="18"/>
                <w:szCs w:val="18"/>
              </w:rPr>
            </w:pPr>
            <w:r>
              <w:rPr>
                <w:rFonts w:ascii="Arial"/>
                <w:w w:val="99"/>
                <w:sz w:val="18"/>
              </w:rPr>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16" w:lineRule="exact"/>
              <w:ind w:left="288" w:right="0"/>
              <w:jc w:val="left"/>
              <w:rPr>
                <w:rFonts w:ascii="黑体" w:hAnsi="黑体" w:cs="黑体" w:eastAsia="黑体" w:hint="default"/>
                <w:sz w:val="18"/>
                <w:szCs w:val="18"/>
              </w:rPr>
            </w:pPr>
            <w:r>
              <w:rPr>
                <w:rFonts w:ascii="黑体" w:hAnsi="黑体" w:cs="黑体" w:eastAsia="黑体" w:hint="default"/>
                <w:sz w:val="18"/>
                <w:szCs w:val="18"/>
              </w:rPr>
              <w:t>山东用友政务软件有限公司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13"/>
              <w:jc w:val="right"/>
              <w:rPr>
                <w:rFonts w:ascii="Arial" w:hAnsi="Arial" w:cs="Arial" w:eastAsia="Arial" w:hint="default"/>
                <w:sz w:val="18"/>
                <w:szCs w:val="18"/>
              </w:rPr>
            </w:pPr>
            <w:r>
              <w:rPr>
                <w:rFonts w:ascii="Arial"/>
                <w:spacing w:val="-1"/>
                <w:sz w:val="18"/>
              </w:rPr>
              <w:t>1,000,000</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0"/>
              <w:jc w:val="right"/>
              <w:rPr>
                <w:rFonts w:ascii="Arial" w:hAnsi="Arial" w:cs="Arial" w:eastAsia="Arial" w:hint="default"/>
                <w:sz w:val="18"/>
                <w:szCs w:val="18"/>
              </w:rPr>
            </w:pPr>
            <w:r>
              <w:rPr>
                <w:rFonts w:ascii="Arial"/>
                <w:spacing w:val="-1"/>
                <w:sz w:val="18"/>
              </w:rPr>
              <w:t>1,000,000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7"/>
              <w:jc w:val="right"/>
              <w:rPr>
                <w:rFonts w:ascii="Arial" w:hAnsi="Arial" w:cs="Arial" w:eastAsia="Arial" w:hint="default"/>
                <w:sz w:val="18"/>
                <w:szCs w:val="18"/>
              </w:rPr>
            </w:pPr>
            <w:r>
              <w:rPr>
                <w:rFonts w:ascii="Arial"/>
                <w:w w:val="99"/>
                <w:sz w:val="18"/>
              </w:rPr>
              <w:t>-</w:t>
            </w:r>
            <w:r>
              <w:rPr>
                <w:rFonts w:ascii="Arial"/>
                <w:sz w:val="18"/>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4"/>
              <w:jc w:val="right"/>
              <w:rPr>
                <w:rFonts w:ascii="Arial" w:hAnsi="Arial" w:cs="Arial" w:eastAsia="Arial" w:hint="default"/>
                <w:sz w:val="18"/>
                <w:szCs w:val="18"/>
              </w:rPr>
            </w:pPr>
            <w:r>
              <w:rPr>
                <w:rFonts w:ascii="Arial"/>
                <w:spacing w:val="-1"/>
                <w:sz w:val="18"/>
              </w:rPr>
              <w:t>1,000,000</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4"/>
              <w:jc w:val="right"/>
              <w:rPr>
                <w:rFonts w:ascii="Arial" w:hAnsi="Arial" w:cs="Arial" w:eastAsia="Arial" w:hint="default"/>
                <w:sz w:val="18"/>
                <w:szCs w:val="18"/>
              </w:rPr>
            </w:pPr>
            <w:r>
              <w:rPr>
                <w:rFonts w:ascii="Arial"/>
                <w:spacing w:val="-1"/>
                <w:sz w:val="18"/>
              </w:rPr>
              <w:t>20.00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84"/>
              <w:jc w:val="right"/>
              <w:rPr>
                <w:rFonts w:ascii="Arial" w:hAnsi="Arial" w:cs="Arial" w:eastAsia="Arial" w:hint="default"/>
                <w:sz w:val="18"/>
                <w:szCs w:val="18"/>
              </w:rPr>
            </w:pPr>
            <w:r>
              <w:rPr>
                <w:rFonts w:ascii="Arial"/>
                <w:spacing w:val="-1"/>
                <w:sz w:val="18"/>
              </w:rPr>
              <w:t>20.00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
              <w:jc w:val="right"/>
              <w:rPr>
                <w:rFonts w:ascii="Arial" w:hAnsi="Arial" w:cs="Arial" w:eastAsia="Arial" w:hint="default"/>
                <w:sz w:val="18"/>
                <w:szCs w:val="18"/>
              </w:rPr>
            </w:pPr>
            <w:r>
              <w:rPr>
                <w:rFonts w:ascii="Arial"/>
                <w:w w:val="99"/>
                <w:sz w:val="18"/>
              </w:rPr>
              <w:t>-</w:t>
            </w:r>
            <w:r>
              <w:rPr>
                <w:rFonts w:ascii="Arial"/>
                <w:sz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3"/>
              <w:jc w:val="right"/>
              <w:rPr>
                <w:rFonts w:ascii="Arial" w:hAnsi="Arial" w:cs="Arial" w:eastAsia="Arial" w:hint="default"/>
                <w:sz w:val="18"/>
                <w:szCs w:val="18"/>
              </w:rPr>
            </w:pPr>
            <w:r>
              <w:rPr>
                <w:rFonts w:ascii="Arial"/>
                <w:w w:val="99"/>
                <w:sz w:val="18"/>
              </w:rPr>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16" w:lineRule="exact"/>
              <w:ind w:left="288" w:right="0"/>
              <w:jc w:val="left"/>
              <w:rPr>
                <w:rFonts w:ascii="黑体" w:hAnsi="黑体" w:cs="黑体" w:eastAsia="黑体" w:hint="default"/>
                <w:sz w:val="18"/>
                <w:szCs w:val="18"/>
              </w:rPr>
            </w:pPr>
            <w:r>
              <w:rPr>
                <w:rFonts w:ascii="黑体" w:hAnsi="黑体" w:cs="黑体" w:eastAsia="黑体" w:hint="default"/>
                <w:sz w:val="18"/>
                <w:szCs w:val="18"/>
              </w:rPr>
              <w:t>新疆用友政务软件有限公司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3"/>
              <w:jc w:val="right"/>
              <w:rPr>
                <w:rFonts w:ascii="Arial" w:hAnsi="Arial" w:cs="Arial" w:eastAsia="Arial" w:hint="default"/>
                <w:sz w:val="18"/>
                <w:szCs w:val="18"/>
              </w:rPr>
            </w:pPr>
            <w:r>
              <w:rPr>
                <w:rFonts w:ascii="Arial"/>
                <w:spacing w:val="-1"/>
                <w:sz w:val="18"/>
              </w:rPr>
              <w:t>600,000</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0"/>
              <w:jc w:val="right"/>
              <w:rPr>
                <w:rFonts w:ascii="Arial" w:hAnsi="Arial" w:cs="Arial" w:eastAsia="Arial" w:hint="default"/>
                <w:sz w:val="18"/>
                <w:szCs w:val="18"/>
              </w:rPr>
            </w:pPr>
            <w:r>
              <w:rPr>
                <w:rFonts w:ascii="Arial"/>
                <w:spacing w:val="-1"/>
                <w:sz w:val="18"/>
              </w:rPr>
              <w:t>600,000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7"/>
              <w:jc w:val="right"/>
              <w:rPr>
                <w:rFonts w:ascii="Arial" w:hAnsi="Arial" w:cs="Arial" w:eastAsia="Arial" w:hint="default"/>
                <w:sz w:val="18"/>
                <w:szCs w:val="18"/>
              </w:rPr>
            </w:pPr>
            <w:r>
              <w:rPr>
                <w:rFonts w:ascii="Arial"/>
                <w:w w:val="99"/>
                <w:sz w:val="18"/>
              </w:rPr>
              <w:t>-</w:t>
            </w:r>
            <w:r>
              <w:rPr>
                <w:rFonts w:ascii="Arial"/>
                <w:sz w:val="18"/>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4"/>
              <w:jc w:val="right"/>
              <w:rPr>
                <w:rFonts w:ascii="Arial" w:hAnsi="Arial" w:cs="Arial" w:eastAsia="Arial" w:hint="default"/>
                <w:sz w:val="18"/>
                <w:szCs w:val="18"/>
              </w:rPr>
            </w:pPr>
            <w:r>
              <w:rPr>
                <w:rFonts w:ascii="Arial"/>
                <w:spacing w:val="-1"/>
                <w:sz w:val="18"/>
              </w:rPr>
              <w:t>600,000</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4"/>
              <w:jc w:val="right"/>
              <w:rPr>
                <w:rFonts w:ascii="Arial" w:hAnsi="Arial" w:cs="Arial" w:eastAsia="Arial" w:hint="default"/>
                <w:sz w:val="18"/>
                <w:szCs w:val="18"/>
              </w:rPr>
            </w:pPr>
            <w:r>
              <w:rPr>
                <w:rFonts w:ascii="Arial"/>
                <w:spacing w:val="-1"/>
                <w:sz w:val="18"/>
              </w:rPr>
              <w:t>20.00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4"/>
              <w:jc w:val="right"/>
              <w:rPr>
                <w:rFonts w:ascii="Arial" w:hAnsi="Arial" w:cs="Arial" w:eastAsia="Arial" w:hint="default"/>
                <w:sz w:val="18"/>
                <w:szCs w:val="18"/>
              </w:rPr>
            </w:pPr>
            <w:r>
              <w:rPr>
                <w:rFonts w:ascii="Arial"/>
                <w:spacing w:val="-1"/>
                <w:sz w:val="18"/>
              </w:rPr>
              <w:t>20.00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
              <w:jc w:val="right"/>
              <w:rPr>
                <w:rFonts w:ascii="Arial" w:hAnsi="Arial" w:cs="Arial" w:eastAsia="Arial" w:hint="default"/>
                <w:sz w:val="18"/>
                <w:szCs w:val="18"/>
              </w:rPr>
            </w:pPr>
            <w:r>
              <w:rPr>
                <w:rFonts w:ascii="Arial"/>
                <w:w w:val="99"/>
                <w:sz w:val="18"/>
              </w:rPr>
              <w:t>-</w:t>
            </w:r>
            <w:r>
              <w:rPr>
                <w:rFonts w:ascii="Arial"/>
                <w:sz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3"/>
              <w:jc w:val="right"/>
              <w:rPr>
                <w:rFonts w:ascii="Arial" w:hAnsi="Arial" w:cs="Arial" w:eastAsia="Arial" w:hint="default"/>
                <w:sz w:val="18"/>
                <w:szCs w:val="18"/>
              </w:rPr>
            </w:pPr>
            <w:r>
              <w:rPr>
                <w:rFonts w:ascii="Arial"/>
                <w:w w:val="99"/>
                <w:sz w:val="18"/>
              </w:rPr>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16" w:lineRule="exact"/>
              <w:ind w:left="288" w:right="0"/>
              <w:jc w:val="left"/>
              <w:rPr>
                <w:rFonts w:ascii="黑体" w:hAnsi="黑体" w:cs="黑体" w:eastAsia="黑体" w:hint="default"/>
                <w:sz w:val="18"/>
                <w:szCs w:val="18"/>
              </w:rPr>
            </w:pPr>
            <w:r>
              <w:rPr>
                <w:rFonts w:ascii="黑体" w:hAnsi="黑体" w:cs="黑体" w:eastAsia="黑体" w:hint="default"/>
                <w:sz w:val="18"/>
                <w:szCs w:val="18"/>
              </w:rPr>
              <w:t>郑州用友政务软件有限公司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13"/>
              <w:jc w:val="right"/>
              <w:rPr>
                <w:rFonts w:ascii="Arial" w:hAnsi="Arial" w:cs="Arial" w:eastAsia="Arial" w:hint="default"/>
                <w:sz w:val="18"/>
                <w:szCs w:val="18"/>
              </w:rPr>
            </w:pPr>
            <w:r>
              <w:rPr>
                <w:rFonts w:ascii="Arial"/>
                <w:spacing w:val="-1"/>
                <w:sz w:val="18"/>
              </w:rPr>
              <w:t>400,000</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0"/>
              <w:jc w:val="right"/>
              <w:rPr>
                <w:rFonts w:ascii="Arial" w:hAnsi="Arial" w:cs="Arial" w:eastAsia="Arial" w:hint="default"/>
                <w:sz w:val="18"/>
                <w:szCs w:val="18"/>
              </w:rPr>
            </w:pPr>
            <w:r>
              <w:rPr>
                <w:rFonts w:ascii="Arial"/>
                <w:spacing w:val="-1"/>
                <w:sz w:val="18"/>
              </w:rPr>
              <w:t>400,000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7"/>
              <w:jc w:val="right"/>
              <w:rPr>
                <w:rFonts w:ascii="Arial" w:hAnsi="Arial" w:cs="Arial" w:eastAsia="Arial" w:hint="default"/>
                <w:sz w:val="18"/>
                <w:szCs w:val="18"/>
              </w:rPr>
            </w:pPr>
            <w:r>
              <w:rPr>
                <w:rFonts w:ascii="Arial"/>
                <w:w w:val="99"/>
                <w:sz w:val="18"/>
              </w:rPr>
              <w:t>-</w:t>
            </w:r>
            <w:r>
              <w:rPr>
                <w:rFonts w:ascii="Arial"/>
                <w:sz w:val="18"/>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4"/>
              <w:jc w:val="right"/>
              <w:rPr>
                <w:rFonts w:ascii="Arial" w:hAnsi="Arial" w:cs="Arial" w:eastAsia="Arial" w:hint="default"/>
                <w:sz w:val="18"/>
                <w:szCs w:val="18"/>
              </w:rPr>
            </w:pPr>
            <w:r>
              <w:rPr>
                <w:rFonts w:ascii="Arial"/>
                <w:spacing w:val="-1"/>
                <w:sz w:val="18"/>
              </w:rPr>
              <w:t>400,000</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4"/>
              <w:jc w:val="right"/>
              <w:rPr>
                <w:rFonts w:ascii="Arial" w:hAnsi="Arial" w:cs="Arial" w:eastAsia="Arial" w:hint="default"/>
                <w:sz w:val="18"/>
                <w:szCs w:val="18"/>
              </w:rPr>
            </w:pPr>
            <w:r>
              <w:rPr>
                <w:rFonts w:ascii="Arial"/>
                <w:spacing w:val="-1"/>
                <w:sz w:val="18"/>
              </w:rPr>
              <w:t>20.00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84"/>
              <w:jc w:val="right"/>
              <w:rPr>
                <w:rFonts w:ascii="Arial" w:hAnsi="Arial" w:cs="Arial" w:eastAsia="Arial" w:hint="default"/>
                <w:sz w:val="18"/>
                <w:szCs w:val="18"/>
              </w:rPr>
            </w:pPr>
            <w:r>
              <w:rPr>
                <w:rFonts w:ascii="Arial"/>
                <w:spacing w:val="-1"/>
                <w:sz w:val="18"/>
              </w:rPr>
              <w:t>20.00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
              <w:jc w:val="right"/>
              <w:rPr>
                <w:rFonts w:ascii="Arial" w:hAnsi="Arial" w:cs="Arial" w:eastAsia="Arial" w:hint="default"/>
                <w:sz w:val="18"/>
                <w:szCs w:val="18"/>
              </w:rPr>
            </w:pPr>
            <w:r>
              <w:rPr>
                <w:rFonts w:ascii="Arial"/>
                <w:w w:val="99"/>
                <w:sz w:val="18"/>
              </w:rPr>
              <w:t>-</w:t>
            </w:r>
            <w:r>
              <w:rPr>
                <w:rFonts w:ascii="Arial"/>
                <w:sz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3"/>
              <w:jc w:val="right"/>
              <w:rPr>
                <w:rFonts w:ascii="Arial" w:hAnsi="Arial" w:cs="Arial" w:eastAsia="Arial" w:hint="default"/>
                <w:sz w:val="18"/>
                <w:szCs w:val="18"/>
              </w:rPr>
            </w:pPr>
            <w:r>
              <w:rPr>
                <w:rFonts w:ascii="Arial"/>
                <w:w w:val="99"/>
                <w:sz w:val="18"/>
              </w:rPr>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16" w:lineRule="exact"/>
              <w:ind w:left="288" w:right="0"/>
              <w:jc w:val="left"/>
              <w:rPr>
                <w:rFonts w:ascii="黑体" w:hAnsi="黑体" w:cs="黑体" w:eastAsia="黑体" w:hint="default"/>
                <w:sz w:val="18"/>
                <w:szCs w:val="18"/>
              </w:rPr>
            </w:pPr>
            <w:r>
              <w:rPr>
                <w:rFonts w:ascii="黑体" w:hAnsi="黑体" w:cs="黑体" w:eastAsia="黑体" w:hint="default"/>
                <w:sz w:val="18"/>
                <w:szCs w:val="18"/>
              </w:rPr>
              <w:t>石家庄用友政务软件有限公司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3"/>
              <w:jc w:val="right"/>
              <w:rPr>
                <w:rFonts w:ascii="Arial" w:hAnsi="Arial" w:cs="Arial" w:eastAsia="Arial" w:hint="default"/>
                <w:sz w:val="18"/>
                <w:szCs w:val="18"/>
              </w:rPr>
            </w:pPr>
            <w:r>
              <w:rPr>
                <w:rFonts w:ascii="Arial"/>
                <w:spacing w:val="-1"/>
                <w:sz w:val="18"/>
              </w:rPr>
              <w:t>200,000</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0"/>
              <w:jc w:val="right"/>
              <w:rPr>
                <w:rFonts w:ascii="Arial" w:hAnsi="Arial" w:cs="Arial" w:eastAsia="Arial" w:hint="default"/>
                <w:sz w:val="18"/>
                <w:szCs w:val="18"/>
              </w:rPr>
            </w:pPr>
            <w:r>
              <w:rPr>
                <w:rFonts w:ascii="Arial"/>
                <w:spacing w:val="-1"/>
                <w:sz w:val="18"/>
              </w:rPr>
              <w:t>200,000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7"/>
              <w:jc w:val="right"/>
              <w:rPr>
                <w:rFonts w:ascii="Arial" w:hAnsi="Arial" w:cs="Arial" w:eastAsia="Arial" w:hint="default"/>
                <w:sz w:val="18"/>
                <w:szCs w:val="18"/>
              </w:rPr>
            </w:pPr>
            <w:r>
              <w:rPr>
                <w:rFonts w:ascii="Arial"/>
                <w:w w:val="99"/>
                <w:sz w:val="18"/>
              </w:rPr>
              <w:t>-</w:t>
            </w:r>
            <w:r>
              <w:rPr>
                <w:rFonts w:ascii="Arial"/>
                <w:sz w:val="18"/>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4"/>
              <w:jc w:val="right"/>
              <w:rPr>
                <w:rFonts w:ascii="Arial" w:hAnsi="Arial" w:cs="Arial" w:eastAsia="Arial" w:hint="default"/>
                <w:sz w:val="18"/>
                <w:szCs w:val="18"/>
              </w:rPr>
            </w:pPr>
            <w:r>
              <w:rPr>
                <w:rFonts w:ascii="Arial"/>
                <w:spacing w:val="-1"/>
                <w:sz w:val="18"/>
              </w:rPr>
              <w:t>200,000</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4"/>
              <w:jc w:val="right"/>
              <w:rPr>
                <w:rFonts w:ascii="Arial" w:hAnsi="Arial" w:cs="Arial" w:eastAsia="Arial" w:hint="default"/>
                <w:sz w:val="18"/>
                <w:szCs w:val="18"/>
              </w:rPr>
            </w:pPr>
            <w:r>
              <w:rPr>
                <w:rFonts w:ascii="Arial"/>
                <w:spacing w:val="-1"/>
                <w:sz w:val="18"/>
              </w:rPr>
              <w:t>20.00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4"/>
              <w:jc w:val="right"/>
              <w:rPr>
                <w:rFonts w:ascii="Arial" w:hAnsi="Arial" w:cs="Arial" w:eastAsia="Arial" w:hint="default"/>
                <w:sz w:val="18"/>
                <w:szCs w:val="18"/>
              </w:rPr>
            </w:pPr>
            <w:r>
              <w:rPr>
                <w:rFonts w:ascii="Arial"/>
                <w:spacing w:val="-1"/>
                <w:sz w:val="18"/>
              </w:rPr>
              <w:t>20.00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
              <w:jc w:val="right"/>
              <w:rPr>
                <w:rFonts w:ascii="Arial" w:hAnsi="Arial" w:cs="Arial" w:eastAsia="Arial" w:hint="default"/>
                <w:sz w:val="18"/>
                <w:szCs w:val="18"/>
              </w:rPr>
            </w:pPr>
            <w:r>
              <w:rPr>
                <w:rFonts w:ascii="Arial"/>
                <w:w w:val="99"/>
                <w:sz w:val="18"/>
              </w:rPr>
              <w:t>-</w:t>
            </w:r>
            <w:r>
              <w:rPr>
                <w:rFonts w:ascii="Arial"/>
                <w:sz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3"/>
              <w:jc w:val="right"/>
              <w:rPr>
                <w:rFonts w:ascii="Arial" w:hAnsi="Arial" w:cs="Arial" w:eastAsia="Arial" w:hint="default"/>
                <w:sz w:val="18"/>
                <w:szCs w:val="18"/>
              </w:rPr>
            </w:pPr>
            <w:r>
              <w:rPr>
                <w:rFonts w:ascii="Arial"/>
                <w:w w:val="99"/>
                <w:sz w:val="18"/>
              </w:rPr>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16" w:lineRule="exact"/>
              <w:ind w:left="288" w:right="0"/>
              <w:jc w:val="left"/>
              <w:rPr>
                <w:rFonts w:ascii="黑体" w:hAnsi="黑体" w:cs="黑体" w:eastAsia="黑体" w:hint="default"/>
                <w:sz w:val="18"/>
                <w:szCs w:val="18"/>
              </w:rPr>
            </w:pPr>
            <w:r>
              <w:rPr>
                <w:rFonts w:ascii="黑体" w:hAnsi="黑体" w:cs="黑体" w:eastAsia="黑体" w:hint="default"/>
                <w:sz w:val="18"/>
                <w:szCs w:val="18"/>
              </w:rPr>
              <w:t>安徽用友政务软件有限公司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13"/>
              <w:jc w:val="right"/>
              <w:rPr>
                <w:rFonts w:ascii="Arial" w:hAnsi="Arial" w:cs="Arial" w:eastAsia="Arial" w:hint="default"/>
                <w:sz w:val="18"/>
                <w:szCs w:val="18"/>
              </w:rPr>
            </w:pPr>
            <w:r>
              <w:rPr>
                <w:rFonts w:ascii="Arial"/>
                <w:spacing w:val="-1"/>
                <w:sz w:val="18"/>
              </w:rPr>
              <w:t>200,000</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0"/>
              <w:jc w:val="right"/>
              <w:rPr>
                <w:rFonts w:ascii="Arial" w:hAnsi="Arial" w:cs="Arial" w:eastAsia="Arial" w:hint="default"/>
                <w:sz w:val="18"/>
                <w:szCs w:val="18"/>
              </w:rPr>
            </w:pPr>
            <w:r>
              <w:rPr>
                <w:rFonts w:ascii="Arial"/>
                <w:spacing w:val="-1"/>
                <w:sz w:val="18"/>
              </w:rPr>
              <w:t>200,000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7"/>
              <w:jc w:val="right"/>
              <w:rPr>
                <w:rFonts w:ascii="Arial" w:hAnsi="Arial" w:cs="Arial" w:eastAsia="Arial" w:hint="default"/>
                <w:sz w:val="18"/>
                <w:szCs w:val="18"/>
              </w:rPr>
            </w:pPr>
            <w:r>
              <w:rPr>
                <w:rFonts w:ascii="Arial"/>
                <w:w w:val="99"/>
                <w:sz w:val="18"/>
              </w:rPr>
              <w:t>-</w:t>
            </w:r>
            <w:r>
              <w:rPr>
                <w:rFonts w:ascii="Arial"/>
                <w:sz w:val="18"/>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4"/>
              <w:jc w:val="right"/>
              <w:rPr>
                <w:rFonts w:ascii="Arial" w:hAnsi="Arial" w:cs="Arial" w:eastAsia="Arial" w:hint="default"/>
                <w:sz w:val="18"/>
                <w:szCs w:val="18"/>
              </w:rPr>
            </w:pPr>
            <w:r>
              <w:rPr>
                <w:rFonts w:ascii="Arial"/>
                <w:spacing w:val="-1"/>
                <w:sz w:val="18"/>
              </w:rPr>
              <w:t>200,000</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4"/>
              <w:jc w:val="right"/>
              <w:rPr>
                <w:rFonts w:ascii="Arial" w:hAnsi="Arial" w:cs="Arial" w:eastAsia="Arial" w:hint="default"/>
                <w:sz w:val="18"/>
                <w:szCs w:val="18"/>
              </w:rPr>
            </w:pPr>
            <w:r>
              <w:rPr>
                <w:rFonts w:ascii="Arial"/>
                <w:spacing w:val="-1"/>
                <w:sz w:val="18"/>
              </w:rPr>
              <w:t>20.00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84"/>
              <w:jc w:val="right"/>
              <w:rPr>
                <w:rFonts w:ascii="Arial" w:hAnsi="Arial" w:cs="Arial" w:eastAsia="Arial" w:hint="default"/>
                <w:sz w:val="18"/>
                <w:szCs w:val="18"/>
              </w:rPr>
            </w:pPr>
            <w:r>
              <w:rPr>
                <w:rFonts w:ascii="Arial"/>
                <w:spacing w:val="-1"/>
                <w:sz w:val="18"/>
              </w:rPr>
              <w:t>20.00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
              <w:jc w:val="right"/>
              <w:rPr>
                <w:rFonts w:ascii="Arial" w:hAnsi="Arial" w:cs="Arial" w:eastAsia="Arial" w:hint="default"/>
                <w:sz w:val="18"/>
                <w:szCs w:val="18"/>
              </w:rPr>
            </w:pPr>
            <w:r>
              <w:rPr>
                <w:rFonts w:ascii="Arial"/>
                <w:w w:val="99"/>
                <w:sz w:val="18"/>
              </w:rPr>
              <w:t>-</w:t>
            </w:r>
            <w:r>
              <w:rPr>
                <w:rFonts w:ascii="Arial"/>
                <w:sz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3"/>
              <w:jc w:val="right"/>
              <w:rPr>
                <w:rFonts w:ascii="Arial" w:hAnsi="Arial" w:cs="Arial" w:eastAsia="Arial" w:hint="default"/>
                <w:sz w:val="18"/>
                <w:szCs w:val="18"/>
              </w:rPr>
            </w:pPr>
            <w:r>
              <w:rPr>
                <w:rFonts w:ascii="Arial"/>
                <w:w w:val="99"/>
                <w:sz w:val="18"/>
              </w:rPr>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16" w:lineRule="exact"/>
              <w:ind w:left="288" w:right="0"/>
              <w:jc w:val="left"/>
              <w:rPr>
                <w:rFonts w:ascii="黑体" w:hAnsi="黑体" w:cs="黑体" w:eastAsia="黑体" w:hint="default"/>
                <w:sz w:val="18"/>
                <w:szCs w:val="18"/>
              </w:rPr>
            </w:pPr>
            <w:r>
              <w:rPr>
                <w:rFonts w:ascii="黑体" w:hAnsi="黑体" w:cs="黑体" w:eastAsia="黑体" w:hint="default"/>
                <w:sz w:val="18"/>
                <w:szCs w:val="18"/>
              </w:rPr>
              <w:t>太原用友政务软件有限公司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3"/>
              <w:jc w:val="right"/>
              <w:rPr>
                <w:rFonts w:ascii="Arial" w:hAnsi="Arial" w:cs="Arial" w:eastAsia="Arial" w:hint="default"/>
                <w:sz w:val="18"/>
                <w:szCs w:val="18"/>
              </w:rPr>
            </w:pPr>
            <w:r>
              <w:rPr>
                <w:rFonts w:ascii="Arial"/>
                <w:spacing w:val="-1"/>
                <w:sz w:val="18"/>
              </w:rPr>
              <w:t>100,000</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0"/>
              <w:jc w:val="right"/>
              <w:rPr>
                <w:rFonts w:ascii="Arial" w:hAnsi="Arial" w:cs="Arial" w:eastAsia="Arial" w:hint="default"/>
                <w:sz w:val="18"/>
                <w:szCs w:val="18"/>
              </w:rPr>
            </w:pPr>
            <w:r>
              <w:rPr>
                <w:rFonts w:ascii="Arial"/>
                <w:spacing w:val="-1"/>
                <w:sz w:val="18"/>
              </w:rPr>
              <w:t>100,000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7"/>
              <w:jc w:val="right"/>
              <w:rPr>
                <w:rFonts w:ascii="Arial" w:hAnsi="Arial" w:cs="Arial" w:eastAsia="Arial" w:hint="default"/>
                <w:sz w:val="18"/>
                <w:szCs w:val="18"/>
              </w:rPr>
            </w:pPr>
            <w:r>
              <w:rPr>
                <w:rFonts w:ascii="Arial"/>
                <w:w w:val="99"/>
                <w:sz w:val="18"/>
              </w:rPr>
              <w:t>-</w:t>
            </w:r>
            <w:r>
              <w:rPr>
                <w:rFonts w:ascii="Arial"/>
                <w:sz w:val="18"/>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4"/>
              <w:jc w:val="right"/>
              <w:rPr>
                <w:rFonts w:ascii="Arial" w:hAnsi="Arial" w:cs="Arial" w:eastAsia="Arial" w:hint="default"/>
                <w:sz w:val="18"/>
                <w:szCs w:val="18"/>
              </w:rPr>
            </w:pPr>
            <w:r>
              <w:rPr>
                <w:rFonts w:ascii="Arial"/>
                <w:spacing w:val="-1"/>
                <w:sz w:val="18"/>
              </w:rPr>
              <w:t>100,000</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4"/>
              <w:jc w:val="right"/>
              <w:rPr>
                <w:rFonts w:ascii="Arial" w:hAnsi="Arial" w:cs="Arial" w:eastAsia="Arial" w:hint="default"/>
                <w:sz w:val="18"/>
                <w:szCs w:val="18"/>
              </w:rPr>
            </w:pPr>
            <w:r>
              <w:rPr>
                <w:rFonts w:ascii="Arial"/>
                <w:spacing w:val="-1"/>
                <w:sz w:val="18"/>
              </w:rPr>
              <w:t>20.00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4"/>
              <w:jc w:val="right"/>
              <w:rPr>
                <w:rFonts w:ascii="Arial" w:hAnsi="Arial" w:cs="Arial" w:eastAsia="Arial" w:hint="default"/>
                <w:sz w:val="18"/>
                <w:szCs w:val="18"/>
              </w:rPr>
            </w:pPr>
            <w:r>
              <w:rPr>
                <w:rFonts w:ascii="Arial"/>
                <w:spacing w:val="-1"/>
                <w:sz w:val="18"/>
              </w:rPr>
              <w:t>20.00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
              <w:jc w:val="right"/>
              <w:rPr>
                <w:rFonts w:ascii="Arial" w:hAnsi="Arial" w:cs="Arial" w:eastAsia="Arial" w:hint="default"/>
                <w:sz w:val="18"/>
                <w:szCs w:val="18"/>
              </w:rPr>
            </w:pPr>
            <w:r>
              <w:rPr>
                <w:rFonts w:ascii="Arial"/>
                <w:w w:val="99"/>
                <w:sz w:val="18"/>
              </w:rPr>
              <w:t>-</w:t>
            </w:r>
            <w:r>
              <w:rPr>
                <w:rFonts w:ascii="Arial"/>
                <w:sz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3"/>
              <w:jc w:val="right"/>
              <w:rPr>
                <w:rFonts w:ascii="Arial" w:hAnsi="Arial" w:cs="Arial" w:eastAsia="Arial" w:hint="default"/>
                <w:sz w:val="18"/>
                <w:szCs w:val="18"/>
              </w:rPr>
            </w:pPr>
            <w:r>
              <w:rPr>
                <w:rFonts w:ascii="Arial"/>
                <w:w w:val="99"/>
                <w:sz w:val="18"/>
              </w:rPr>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16" w:lineRule="exact"/>
              <w:ind w:left="288" w:right="0"/>
              <w:jc w:val="left"/>
              <w:rPr>
                <w:rFonts w:ascii="黑体" w:hAnsi="黑体" w:cs="黑体" w:eastAsia="黑体" w:hint="default"/>
                <w:sz w:val="18"/>
                <w:szCs w:val="18"/>
              </w:rPr>
            </w:pPr>
            <w:r>
              <w:rPr>
                <w:rFonts w:ascii="黑体" w:hAnsi="黑体" w:cs="黑体" w:eastAsia="黑体" w:hint="default"/>
                <w:sz w:val="18"/>
                <w:szCs w:val="18"/>
              </w:rPr>
              <w:t>哈尔滨用友政务软件有限公司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13"/>
              <w:jc w:val="right"/>
              <w:rPr>
                <w:rFonts w:ascii="Arial" w:hAnsi="Arial" w:cs="Arial" w:eastAsia="Arial" w:hint="default"/>
                <w:sz w:val="18"/>
                <w:szCs w:val="18"/>
              </w:rPr>
            </w:pPr>
            <w:r>
              <w:rPr>
                <w:rFonts w:ascii="Arial"/>
                <w:spacing w:val="-1"/>
                <w:sz w:val="18"/>
              </w:rPr>
              <w:t>100,000</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0"/>
              <w:jc w:val="right"/>
              <w:rPr>
                <w:rFonts w:ascii="Arial" w:hAnsi="Arial" w:cs="Arial" w:eastAsia="Arial" w:hint="default"/>
                <w:sz w:val="18"/>
                <w:szCs w:val="18"/>
              </w:rPr>
            </w:pPr>
            <w:r>
              <w:rPr>
                <w:rFonts w:ascii="Arial"/>
                <w:spacing w:val="-1"/>
                <w:sz w:val="18"/>
              </w:rPr>
              <w:t>100,000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7"/>
              <w:jc w:val="right"/>
              <w:rPr>
                <w:rFonts w:ascii="Arial" w:hAnsi="Arial" w:cs="Arial" w:eastAsia="Arial" w:hint="default"/>
                <w:sz w:val="18"/>
                <w:szCs w:val="18"/>
              </w:rPr>
            </w:pPr>
            <w:r>
              <w:rPr>
                <w:rFonts w:ascii="Arial"/>
                <w:w w:val="99"/>
                <w:sz w:val="18"/>
              </w:rPr>
              <w:t>-</w:t>
            </w:r>
            <w:r>
              <w:rPr>
                <w:rFonts w:ascii="Arial"/>
                <w:sz w:val="18"/>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4"/>
              <w:jc w:val="right"/>
              <w:rPr>
                <w:rFonts w:ascii="Arial" w:hAnsi="Arial" w:cs="Arial" w:eastAsia="Arial" w:hint="default"/>
                <w:sz w:val="18"/>
                <w:szCs w:val="18"/>
              </w:rPr>
            </w:pPr>
            <w:r>
              <w:rPr>
                <w:rFonts w:ascii="Arial"/>
                <w:spacing w:val="-1"/>
                <w:sz w:val="18"/>
              </w:rPr>
              <w:t>100,000</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4"/>
              <w:jc w:val="right"/>
              <w:rPr>
                <w:rFonts w:ascii="Arial" w:hAnsi="Arial" w:cs="Arial" w:eastAsia="Arial" w:hint="default"/>
                <w:sz w:val="18"/>
                <w:szCs w:val="18"/>
              </w:rPr>
            </w:pPr>
            <w:r>
              <w:rPr>
                <w:rFonts w:ascii="Arial"/>
                <w:spacing w:val="-1"/>
                <w:sz w:val="18"/>
              </w:rPr>
              <w:t>20.00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84"/>
              <w:jc w:val="right"/>
              <w:rPr>
                <w:rFonts w:ascii="Arial" w:hAnsi="Arial" w:cs="Arial" w:eastAsia="Arial" w:hint="default"/>
                <w:sz w:val="18"/>
                <w:szCs w:val="18"/>
              </w:rPr>
            </w:pPr>
            <w:r>
              <w:rPr>
                <w:rFonts w:ascii="Arial"/>
                <w:spacing w:val="-1"/>
                <w:sz w:val="18"/>
              </w:rPr>
              <w:t>20.00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
              <w:jc w:val="right"/>
              <w:rPr>
                <w:rFonts w:ascii="Arial" w:hAnsi="Arial" w:cs="Arial" w:eastAsia="Arial" w:hint="default"/>
                <w:sz w:val="18"/>
                <w:szCs w:val="18"/>
              </w:rPr>
            </w:pPr>
            <w:r>
              <w:rPr>
                <w:rFonts w:ascii="Arial"/>
                <w:w w:val="99"/>
                <w:sz w:val="18"/>
              </w:rPr>
              <w:t>-</w:t>
            </w:r>
            <w:r>
              <w:rPr>
                <w:rFonts w:ascii="Arial"/>
                <w:sz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3"/>
              <w:jc w:val="right"/>
              <w:rPr>
                <w:rFonts w:ascii="Arial" w:hAnsi="Arial" w:cs="Arial" w:eastAsia="Arial" w:hint="default"/>
                <w:sz w:val="18"/>
                <w:szCs w:val="18"/>
              </w:rPr>
            </w:pPr>
            <w:r>
              <w:rPr>
                <w:rFonts w:ascii="Arial"/>
                <w:w w:val="99"/>
                <w:sz w:val="18"/>
              </w:rPr>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16" w:lineRule="exact"/>
              <w:ind w:left="288" w:right="0"/>
              <w:jc w:val="left"/>
              <w:rPr>
                <w:rFonts w:ascii="黑体" w:hAnsi="黑体" w:cs="黑体" w:eastAsia="黑体" w:hint="default"/>
                <w:sz w:val="18"/>
                <w:szCs w:val="18"/>
              </w:rPr>
            </w:pPr>
            <w:r>
              <w:rPr>
                <w:rFonts w:ascii="黑体" w:hAnsi="黑体" w:cs="黑体" w:eastAsia="黑体" w:hint="default"/>
                <w:sz w:val="18"/>
                <w:szCs w:val="18"/>
              </w:rPr>
              <w:t>长春用友政务软件有限公司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3"/>
              <w:jc w:val="right"/>
              <w:rPr>
                <w:rFonts w:ascii="Arial" w:hAnsi="Arial" w:cs="Arial" w:eastAsia="Arial" w:hint="default"/>
                <w:sz w:val="18"/>
                <w:szCs w:val="18"/>
              </w:rPr>
            </w:pPr>
            <w:r>
              <w:rPr>
                <w:rFonts w:ascii="Arial"/>
                <w:spacing w:val="-1"/>
                <w:sz w:val="18"/>
              </w:rPr>
              <w:t>200,000</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0"/>
              <w:jc w:val="right"/>
              <w:rPr>
                <w:rFonts w:ascii="Arial" w:hAnsi="Arial" w:cs="Arial" w:eastAsia="Arial" w:hint="default"/>
                <w:sz w:val="18"/>
                <w:szCs w:val="18"/>
              </w:rPr>
            </w:pPr>
            <w:r>
              <w:rPr>
                <w:rFonts w:ascii="Arial"/>
                <w:spacing w:val="-1"/>
                <w:sz w:val="18"/>
              </w:rPr>
              <w:t>200,000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7"/>
              <w:jc w:val="right"/>
              <w:rPr>
                <w:rFonts w:ascii="Arial" w:hAnsi="Arial" w:cs="Arial" w:eastAsia="Arial" w:hint="default"/>
                <w:sz w:val="18"/>
                <w:szCs w:val="18"/>
              </w:rPr>
            </w:pPr>
            <w:r>
              <w:rPr>
                <w:rFonts w:ascii="Arial"/>
                <w:w w:val="99"/>
                <w:sz w:val="18"/>
              </w:rPr>
              <w:t>-</w:t>
            </w:r>
            <w:r>
              <w:rPr>
                <w:rFonts w:ascii="Arial"/>
                <w:sz w:val="18"/>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4"/>
              <w:jc w:val="right"/>
              <w:rPr>
                <w:rFonts w:ascii="Arial" w:hAnsi="Arial" w:cs="Arial" w:eastAsia="Arial" w:hint="default"/>
                <w:sz w:val="18"/>
                <w:szCs w:val="18"/>
              </w:rPr>
            </w:pPr>
            <w:r>
              <w:rPr>
                <w:rFonts w:ascii="Arial"/>
                <w:spacing w:val="-1"/>
                <w:sz w:val="18"/>
              </w:rPr>
              <w:t>200,000</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5"/>
              <w:jc w:val="right"/>
              <w:rPr>
                <w:rFonts w:ascii="Arial" w:hAnsi="Arial" w:cs="Arial" w:eastAsia="Arial" w:hint="default"/>
                <w:sz w:val="18"/>
                <w:szCs w:val="18"/>
              </w:rPr>
            </w:pPr>
            <w:r>
              <w:rPr>
                <w:rFonts w:ascii="Arial"/>
                <w:w w:val="99"/>
                <w:sz w:val="18"/>
              </w:rPr>
              <w:t>-</w:t>
            </w:r>
            <w:r>
              <w:rPr>
                <w:rFonts w:ascii="Arial"/>
                <w:sz w:val="18"/>
              </w:rPr>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5"/>
              <w:jc w:val="right"/>
              <w:rPr>
                <w:rFonts w:ascii="Arial" w:hAnsi="Arial" w:cs="Arial" w:eastAsia="Arial" w:hint="default"/>
                <w:sz w:val="18"/>
                <w:szCs w:val="18"/>
              </w:rPr>
            </w:pPr>
            <w:r>
              <w:rPr>
                <w:rFonts w:ascii="Arial"/>
                <w:w w:val="99"/>
                <w:sz w:val="18"/>
              </w:rPr>
              <w:t>-</w:t>
            </w:r>
            <w:r>
              <w:rPr>
                <w:rFonts w:ascii="Arial"/>
                <w:sz w:val="18"/>
              </w:rPr>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
              <w:jc w:val="right"/>
              <w:rPr>
                <w:rFonts w:ascii="Arial" w:hAnsi="Arial" w:cs="Arial" w:eastAsia="Arial" w:hint="default"/>
                <w:sz w:val="18"/>
                <w:szCs w:val="18"/>
              </w:rPr>
            </w:pPr>
            <w:r>
              <w:rPr>
                <w:rFonts w:ascii="Arial"/>
                <w:w w:val="99"/>
                <w:sz w:val="18"/>
              </w:rPr>
              <w:t>-</w:t>
            </w:r>
            <w:r>
              <w:rPr>
                <w:rFonts w:ascii="Arial"/>
                <w:sz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3"/>
              <w:jc w:val="right"/>
              <w:rPr>
                <w:rFonts w:ascii="Arial" w:hAnsi="Arial" w:cs="Arial" w:eastAsia="Arial" w:hint="default"/>
                <w:sz w:val="18"/>
                <w:szCs w:val="18"/>
              </w:rPr>
            </w:pPr>
            <w:r>
              <w:rPr>
                <w:rFonts w:ascii="Arial"/>
                <w:w w:val="99"/>
                <w:sz w:val="18"/>
              </w:rPr>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16" w:lineRule="exact"/>
              <w:ind w:left="288" w:right="0"/>
              <w:jc w:val="left"/>
              <w:rPr>
                <w:rFonts w:ascii="黑体" w:hAnsi="黑体" w:cs="黑体" w:eastAsia="黑体" w:hint="default"/>
                <w:sz w:val="18"/>
                <w:szCs w:val="18"/>
              </w:rPr>
            </w:pPr>
            <w:r>
              <w:rPr>
                <w:rFonts w:ascii="黑体" w:hAnsi="黑体" w:cs="黑体" w:eastAsia="黑体" w:hint="default"/>
                <w:sz w:val="18"/>
                <w:szCs w:val="18"/>
              </w:rPr>
              <w:t>福州用友政务软件有限公司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13"/>
              <w:jc w:val="right"/>
              <w:rPr>
                <w:rFonts w:ascii="Arial" w:hAnsi="Arial" w:cs="Arial" w:eastAsia="Arial" w:hint="default"/>
                <w:sz w:val="18"/>
                <w:szCs w:val="18"/>
              </w:rPr>
            </w:pPr>
            <w:r>
              <w:rPr>
                <w:rFonts w:ascii="Arial"/>
                <w:spacing w:val="-1"/>
                <w:sz w:val="18"/>
              </w:rPr>
              <w:t>100,000</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0"/>
              <w:jc w:val="right"/>
              <w:rPr>
                <w:rFonts w:ascii="Arial" w:hAnsi="Arial" w:cs="Arial" w:eastAsia="Arial" w:hint="default"/>
                <w:sz w:val="18"/>
                <w:szCs w:val="18"/>
              </w:rPr>
            </w:pPr>
            <w:r>
              <w:rPr>
                <w:rFonts w:ascii="Arial"/>
                <w:spacing w:val="-1"/>
                <w:sz w:val="18"/>
              </w:rPr>
              <w:t>100,000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7"/>
              <w:jc w:val="right"/>
              <w:rPr>
                <w:rFonts w:ascii="Arial" w:hAnsi="Arial" w:cs="Arial" w:eastAsia="Arial" w:hint="default"/>
                <w:sz w:val="18"/>
                <w:szCs w:val="18"/>
              </w:rPr>
            </w:pPr>
            <w:r>
              <w:rPr>
                <w:rFonts w:ascii="Arial"/>
                <w:w w:val="99"/>
                <w:sz w:val="18"/>
              </w:rPr>
              <w:t>-</w:t>
            </w:r>
            <w:r>
              <w:rPr>
                <w:rFonts w:ascii="Arial"/>
                <w:sz w:val="18"/>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4"/>
              <w:jc w:val="right"/>
              <w:rPr>
                <w:rFonts w:ascii="Arial" w:hAnsi="Arial" w:cs="Arial" w:eastAsia="Arial" w:hint="default"/>
                <w:sz w:val="18"/>
                <w:szCs w:val="18"/>
              </w:rPr>
            </w:pPr>
            <w:r>
              <w:rPr>
                <w:rFonts w:ascii="Arial"/>
                <w:spacing w:val="-1"/>
                <w:sz w:val="18"/>
              </w:rPr>
              <w:t>100,000</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5"/>
              <w:jc w:val="right"/>
              <w:rPr>
                <w:rFonts w:ascii="Arial" w:hAnsi="Arial" w:cs="Arial" w:eastAsia="Arial" w:hint="default"/>
                <w:sz w:val="18"/>
                <w:szCs w:val="18"/>
              </w:rPr>
            </w:pPr>
            <w:r>
              <w:rPr>
                <w:rFonts w:ascii="Arial"/>
                <w:w w:val="99"/>
                <w:sz w:val="18"/>
              </w:rPr>
              <w:t>-</w:t>
            </w:r>
            <w:r>
              <w:rPr>
                <w:rFonts w:ascii="Arial"/>
                <w:sz w:val="18"/>
              </w:rPr>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85"/>
              <w:jc w:val="right"/>
              <w:rPr>
                <w:rFonts w:ascii="Arial" w:hAnsi="Arial" w:cs="Arial" w:eastAsia="Arial" w:hint="default"/>
                <w:sz w:val="18"/>
                <w:szCs w:val="18"/>
              </w:rPr>
            </w:pPr>
            <w:r>
              <w:rPr>
                <w:rFonts w:ascii="Arial"/>
                <w:w w:val="99"/>
                <w:sz w:val="18"/>
              </w:rPr>
              <w:t>-</w:t>
            </w:r>
            <w:r>
              <w:rPr>
                <w:rFonts w:ascii="Arial"/>
                <w:sz w:val="18"/>
              </w:rPr>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
              <w:jc w:val="right"/>
              <w:rPr>
                <w:rFonts w:ascii="Arial" w:hAnsi="Arial" w:cs="Arial" w:eastAsia="Arial" w:hint="default"/>
                <w:sz w:val="18"/>
                <w:szCs w:val="18"/>
              </w:rPr>
            </w:pPr>
            <w:r>
              <w:rPr>
                <w:rFonts w:ascii="Arial"/>
                <w:w w:val="99"/>
                <w:sz w:val="18"/>
              </w:rPr>
              <w:t>-</w:t>
            </w:r>
            <w:r>
              <w:rPr>
                <w:rFonts w:ascii="Arial"/>
                <w:sz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3"/>
              <w:jc w:val="right"/>
              <w:rPr>
                <w:rFonts w:ascii="Arial" w:hAnsi="Arial" w:cs="Arial" w:eastAsia="Arial" w:hint="default"/>
                <w:sz w:val="18"/>
                <w:szCs w:val="18"/>
              </w:rPr>
            </w:pPr>
            <w:r>
              <w:rPr>
                <w:rFonts w:ascii="Arial"/>
                <w:w w:val="99"/>
                <w:sz w:val="18"/>
              </w:rPr>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16" w:lineRule="exact"/>
              <w:ind w:left="288" w:right="0"/>
              <w:jc w:val="left"/>
              <w:rPr>
                <w:rFonts w:ascii="黑体" w:hAnsi="黑体" w:cs="黑体" w:eastAsia="黑体" w:hint="default"/>
                <w:sz w:val="18"/>
                <w:szCs w:val="18"/>
              </w:rPr>
            </w:pPr>
            <w:r>
              <w:rPr>
                <w:rFonts w:ascii="黑体" w:hAnsi="黑体" w:cs="黑体" w:eastAsia="黑体" w:hint="default"/>
                <w:sz w:val="18"/>
                <w:szCs w:val="18"/>
              </w:rPr>
              <w:t>内蒙古用友政务软件有限公司</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3"/>
              <w:jc w:val="right"/>
              <w:rPr>
                <w:rFonts w:ascii="Arial" w:hAnsi="Arial" w:cs="Arial" w:eastAsia="Arial" w:hint="default"/>
                <w:sz w:val="18"/>
                <w:szCs w:val="18"/>
              </w:rPr>
            </w:pPr>
            <w:r>
              <w:rPr>
                <w:rFonts w:ascii="Arial"/>
                <w:spacing w:val="-1"/>
                <w:sz w:val="18"/>
              </w:rPr>
              <w:t>100,000</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0"/>
              <w:jc w:val="right"/>
              <w:rPr>
                <w:rFonts w:ascii="Arial" w:hAnsi="Arial" w:cs="Arial" w:eastAsia="Arial" w:hint="default"/>
                <w:sz w:val="18"/>
                <w:szCs w:val="18"/>
              </w:rPr>
            </w:pPr>
            <w:r>
              <w:rPr>
                <w:rFonts w:ascii="Arial"/>
                <w:spacing w:val="-1"/>
                <w:sz w:val="18"/>
              </w:rPr>
              <w:t>100,000</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7"/>
              <w:jc w:val="right"/>
              <w:rPr>
                <w:rFonts w:ascii="Arial" w:hAnsi="Arial" w:cs="Arial" w:eastAsia="Arial" w:hint="default"/>
                <w:sz w:val="18"/>
                <w:szCs w:val="18"/>
              </w:rPr>
            </w:pPr>
            <w:r>
              <w:rPr>
                <w:rFonts w:ascii="Arial"/>
                <w:w w:val="99"/>
                <w:sz w:val="18"/>
              </w:rPr>
              <w:t>-</w:t>
            </w:r>
            <w:r>
              <w:rPr>
                <w:rFonts w:ascii="Arial"/>
                <w:sz w:val="18"/>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4"/>
              <w:jc w:val="right"/>
              <w:rPr>
                <w:rFonts w:ascii="Arial" w:hAnsi="Arial" w:cs="Arial" w:eastAsia="Arial" w:hint="default"/>
                <w:sz w:val="18"/>
                <w:szCs w:val="18"/>
              </w:rPr>
            </w:pPr>
            <w:r>
              <w:rPr>
                <w:rFonts w:ascii="Arial"/>
                <w:spacing w:val="-1"/>
                <w:sz w:val="18"/>
              </w:rPr>
              <w:t>100,000</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5"/>
              <w:jc w:val="right"/>
              <w:rPr>
                <w:rFonts w:ascii="Arial" w:hAnsi="Arial" w:cs="Arial" w:eastAsia="Arial" w:hint="default"/>
                <w:sz w:val="18"/>
                <w:szCs w:val="18"/>
              </w:rPr>
            </w:pPr>
            <w:r>
              <w:rPr>
                <w:rFonts w:ascii="Arial"/>
                <w:w w:val="99"/>
                <w:sz w:val="18"/>
              </w:rPr>
              <w:t>-</w:t>
            </w:r>
            <w:r>
              <w:rPr>
                <w:rFonts w:ascii="Arial"/>
                <w:sz w:val="18"/>
              </w:rPr>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5"/>
              <w:jc w:val="right"/>
              <w:rPr>
                <w:rFonts w:ascii="Arial" w:hAnsi="Arial" w:cs="Arial" w:eastAsia="Arial" w:hint="default"/>
                <w:sz w:val="18"/>
                <w:szCs w:val="18"/>
              </w:rPr>
            </w:pPr>
            <w:r>
              <w:rPr>
                <w:rFonts w:ascii="Arial"/>
                <w:w w:val="99"/>
                <w:sz w:val="18"/>
              </w:rPr>
              <w:t>-</w:t>
            </w:r>
            <w:r>
              <w:rPr>
                <w:rFonts w:ascii="Arial"/>
                <w:sz w:val="18"/>
              </w:rPr>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
              <w:jc w:val="right"/>
              <w:rPr>
                <w:rFonts w:ascii="Arial" w:hAnsi="Arial" w:cs="Arial" w:eastAsia="Arial" w:hint="default"/>
                <w:sz w:val="18"/>
                <w:szCs w:val="18"/>
              </w:rPr>
            </w:pPr>
            <w:r>
              <w:rPr>
                <w:rFonts w:ascii="Arial"/>
                <w:w w:val="99"/>
                <w:sz w:val="18"/>
              </w:rPr>
              <w:t>-</w:t>
            </w:r>
            <w:r>
              <w:rPr>
                <w:rFonts w:ascii="Arial"/>
                <w:sz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3"/>
              <w:jc w:val="right"/>
              <w:rPr>
                <w:rFonts w:ascii="Arial" w:hAnsi="Arial" w:cs="Arial" w:eastAsia="Arial" w:hint="default"/>
                <w:sz w:val="18"/>
                <w:szCs w:val="18"/>
              </w:rPr>
            </w:pPr>
            <w:r>
              <w:rPr>
                <w:rFonts w:ascii="Arial"/>
                <w:w w:val="99"/>
                <w:sz w:val="18"/>
              </w:rPr>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16" w:lineRule="exact"/>
              <w:ind w:left="288" w:right="0"/>
              <w:jc w:val="left"/>
              <w:rPr>
                <w:rFonts w:ascii="黑体" w:hAnsi="黑体" w:cs="黑体" w:eastAsia="黑体" w:hint="default"/>
                <w:sz w:val="18"/>
                <w:szCs w:val="18"/>
              </w:rPr>
            </w:pPr>
            <w:r>
              <w:rPr>
                <w:rFonts w:ascii="黑体" w:hAnsi="黑体" w:cs="黑体" w:eastAsia="黑体" w:hint="default"/>
                <w:sz w:val="18"/>
                <w:szCs w:val="18"/>
              </w:rPr>
              <w:t>重庆用友政务软件有限公司</w:t>
            </w:r>
          </w:p>
        </w:tc>
        <w:tc>
          <w:tcPr>
            <w:tcW w:w="1396" w:type="dxa"/>
            <w:tcBorders>
              <w:top w:val="nil" w:sz="6" w:space="0" w:color="auto"/>
              <w:left w:val="nil" w:sz="6" w:space="0" w:color="auto"/>
              <w:bottom w:val="nil" w:sz="6" w:space="0" w:color="auto"/>
              <w:right w:val="nil" w:sz="6" w:space="0" w:color="auto"/>
            </w:tcBorders>
          </w:tcPr>
          <w:p>
            <w:pPr>
              <w:pStyle w:val="TableParagraph"/>
              <w:tabs>
                <w:tab w:pos="270" w:val="left" w:leader="none"/>
              </w:tabs>
              <w:spacing w:line="240" w:lineRule="auto" w:before="16"/>
              <w:ind w:right="21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100,000</w:t>
            </w:r>
            <w:r>
              <w:rPr>
                <w:rFonts w:ascii="Arial"/>
                <w:spacing w:val="-1"/>
                <w:sz w:val="18"/>
              </w:rPr>
            </w:r>
          </w:p>
        </w:tc>
        <w:tc>
          <w:tcPr>
            <w:tcW w:w="1338" w:type="dxa"/>
            <w:tcBorders>
              <w:top w:val="nil" w:sz="6" w:space="0" w:color="auto"/>
              <w:left w:val="nil" w:sz="6" w:space="0" w:color="auto"/>
              <w:bottom w:val="nil" w:sz="6" w:space="0" w:color="auto"/>
              <w:right w:val="nil" w:sz="6" w:space="0" w:color="auto"/>
            </w:tcBorders>
          </w:tcPr>
          <w:p>
            <w:pPr>
              <w:pStyle w:val="TableParagraph"/>
              <w:tabs>
                <w:tab w:pos="270" w:val="left" w:leader="none"/>
              </w:tabs>
              <w:spacing w:line="240" w:lineRule="auto" w:before="16"/>
              <w:ind w:right="20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100,000</w:t>
            </w:r>
            <w:r>
              <w:rPr>
                <w:rFonts w:ascii="Arial"/>
                <w:spacing w:val="-1"/>
                <w:sz w:val="18"/>
              </w:rPr>
            </w:r>
          </w:p>
        </w:tc>
        <w:tc>
          <w:tcPr>
            <w:tcW w:w="1322" w:type="dxa"/>
            <w:tcBorders>
              <w:top w:val="nil" w:sz="6" w:space="0" w:color="auto"/>
              <w:left w:val="nil" w:sz="6" w:space="0" w:color="auto"/>
              <w:bottom w:val="nil" w:sz="6" w:space="0" w:color="auto"/>
              <w:right w:val="nil" w:sz="6" w:space="0" w:color="auto"/>
            </w:tcBorders>
          </w:tcPr>
          <w:p>
            <w:pPr>
              <w:pStyle w:val="TableParagraph"/>
              <w:tabs>
                <w:tab w:pos="809" w:val="left" w:leader="none"/>
              </w:tabs>
              <w:spacing w:line="240" w:lineRule="auto" w:before="16"/>
              <w:ind w:right="247"/>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376" w:type="dxa"/>
            <w:tcBorders>
              <w:top w:val="nil" w:sz="6" w:space="0" w:color="auto"/>
              <w:left w:val="nil" w:sz="6" w:space="0" w:color="auto"/>
              <w:bottom w:val="nil" w:sz="6" w:space="0" w:color="auto"/>
              <w:right w:val="nil" w:sz="6" w:space="0" w:color="auto"/>
            </w:tcBorders>
          </w:tcPr>
          <w:p>
            <w:pPr>
              <w:pStyle w:val="TableParagraph"/>
              <w:tabs>
                <w:tab w:pos="270" w:val="left" w:leader="none"/>
              </w:tabs>
              <w:spacing w:line="240" w:lineRule="auto" w:before="16"/>
              <w:ind w:right="20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100,000</w:t>
            </w:r>
            <w:r>
              <w:rPr>
                <w:rFonts w:ascii="Arial"/>
                <w:spacing w:val="-1"/>
                <w:sz w:val="18"/>
              </w:rPr>
            </w:r>
          </w:p>
        </w:tc>
        <w:tc>
          <w:tcPr>
            <w:tcW w:w="1044" w:type="dxa"/>
            <w:tcBorders>
              <w:top w:val="nil" w:sz="6" w:space="0" w:color="auto"/>
              <w:left w:val="nil" w:sz="6" w:space="0" w:color="auto"/>
              <w:bottom w:val="nil" w:sz="6" w:space="0" w:color="auto"/>
              <w:right w:val="nil" w:sz="6" w:space="0" w:color="auto"/>
            </w:tcBorders>
          </w:tcPr>
          <w:p>
            <w:pPr>
              <w:pStyle w:val="TableParagraph"/>
              <w:tabs>
                <w:tab w:pos="449" w:val="left" w:leader="none"/>
              </w:tabs>
              <w:spacing w:line="240" w:lineRule="auto" w:before="16"/>
              <w:ind w:right="11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104" w:type="dxa"/>
            <w:tcBorders>
              <w:top w:val="nil" w:sz="6" w:space="0" w:color="auto"/>
              <w:left w:val="nil" w:sz="6" w:space="0" w:color="auto"/>
              <w:bottom w:val="nil" w:sz="6" w:space="0" w:color="auto"/>
              <w:right w:val="nil" w:sz="6" w:space="0" w:color="auto"/>
            </w:tcBorders>
          </w:tcPr>
          <w:p>
            <w:pPr>
              <w:pStyle w:val="TableParagraph"/>
              <w:tabs>
                <w:tab w:pos="449" w:val="left" w:leader="none"/>
              </w:tabs>
              <w:spacing w:line="240" w:lineRule="auto" w:before="16"/>
              <w:ind w:right="8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060"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16"/>
              <w:ind w:right="1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328" w:type="dxa"/>
            <w:tcBorders>
              <w:top w:val="nil" w:sz="6" w:space="0" w:color="auto"/>
              <w:left w:val="nil" w:sz="6" w:space="0" w:color="auto"/>
              <w:bottom w:val="nil" w:sz="6" w:space="0" w:color="auto"/>
              <w:right w:val="nil" w:sz="6" w:space="0" w:color="auto"/>
            </w:tcBorders>
          </w:tcPr>
          <w:p>
            <w:pPr>
              <w:pStyle w:val="TableParagraph"/>
              <w:tabs>
                <w:tab w:pos="719" w:val="left" w:leader="none"/>
              </w:tabs>
              <w:spacing w:line="240" w:lineRule="auto" w:before="16"/>
              <w:ind w:right="6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tabs>
                <w:tab w:pos="629" w:val="left" w:leader="none"/>
              </w:tabs>
              <w:spacing w:line="240" w:lineRule="auto" w:before="16"/>
              <w:ind w:right="3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w w:val="95"/>
                <w:sz w:val="18"/>
                <w:u w:val="single" w:color="000000"/>
              </w:rPr>
              <w:t>-</w:t>
            </w:r>
            <w:r>
              <w:rPr>
                <w:rFonts w:ascii="Arial"/>
                <w:w w:val="95"/>
                <w:sz w:val="18"/>
              </w:rPr>
            </w:r>
          </w:p>
        </w:tc>
      </w:tr>
      <w:tr>
        <w:trPr>
          <w:trHeight w:val="319" w:hRule="exact"/>
        </w:trPr>
        <w:tc>
          <w:tcPr>
            <w:tcW w:w="520" w:type="dxa"/>
            <w:tcBorders>
              <w:top w:val="nil" w:sz="6" w:space="0" w:color="auto"/>
              <w:left w:val="nil" w:sz="6" w:space="0" w:color="auto"/>
              <w:bottom w:val="nil" w:sz="6" w:space="0" w:color="auto"/>
              <w:right w:val="nil" w:sz="6" w:space="0" w:color="auto"/>
            </w:tcBorders>
          </w:tcPr>
          <w:p>
            <w:pPr/>
          </w:p>
        </w:tc>
        <w:tc>
          <w:tcPr>
            <w:tcW w:w="3229" w:type="dxa"/>
            <w:tcBorders>
              <w:top w:val="nil" w:sz="6" w:space="0" w:color="auto"/>
              <w:left w:val="nil" w:sz="6" w:space="0" w:color="auto"/>
              <w:bottom w:val="nil" w:sz="6" w:space="0" w:color="auto"/>
              <w:right w:val="nil" w:sz="6" w:space="0" w:color="auto"/>
            </w:tcBorders>
          </w:tcPr>
          <w:p>
            <w:pPr>
              <w:pStyle w:val="TableParagraph"/>
              <w:spacing w:line="216" w:lineRule="exact"/>
              <w:ind w:left="288" w:right="0"/>
              <w:jc w:val="left"/>
              <w:rPr>
                <w:rFonts w:ascii="黑体" w:hAnsi="黑体" w:cs="黑体" w:eastAsia="黑体" w:hint="default"/>
                <w:sz w:val="18"/>
                <w:szCs w:val="18"/>
              </w:rPr>
            </w:pPr>
            <w:r>
              <w:rPr>
                <w:rFonts w:ascii="黑体" w:hAnsi="黑体" w:cs="黑体" w:eastAsia="黑体" w:hint="default"/>
                <w:sz w:val="18"/>
                <w:szCs w:val="18"/>
              </w:rPr>
              <w:t>合计</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4"/>
              <w:jc w:val="right"/>
              <w:rPr>
                <w:rFonts w:ascii="Arial" w:hAnsi="Arial" w:cs="Arial" w:eastAsia="Arial" w:hint="default"/>
                <w:sz w:val="18"/>
                <w:szCs w:val="18"/>
              </w:rPr>
            </w:pPr>
            <w:r>
              <w:rPr>
                <w:rFonts w:ascii="Arial"/>
                <w:w w:val="99"/>
                <w:sz w:val="18"/>
              </w:rPr>
            </w:r>
            <w:r>
              <w:rPr>
                <w:rFonts w:ascii="Arial"/>
                <w:spacing w:val="-1"/>
                <w:sz w:val="18"/>
                <w:u w:val="thick" w:color="000000"/>
              </w:rPr>
              <w:t>35,285,597</w:t>
            </w:r>
            <w:r>
              <w:rPr>
                <w:rFonts w:ascii="Arial"/>
                <w:spacing w:val="-1"/>
                <w:sz w:val="18"/>
              </w:rPr>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0"/>
              <w:jc w:val="right"/>
              <w:rPr>
                <w:rFonts w:ascii="Arial" w:hAnsi="Arial" w:cs="Arial" w:eastAsia="Arial" w:hint="default"/>
                <w:sz w:val="18"/>
                <w:szCs w:val="18"/>
              </w:rPr>
            </w:pPr>
            <w:r>
              <w:rPr>
                <w:rFonts w:ascii="Arial"/>
                <w:w w:val="99"/>
                <w:sz w:val="18"/>
              </w:rPr>
            </w:r>
            <w:r>
              <w:rPr>
                <w:rFonts w:ascii="Arial"/>
                <w:spacing w:val="-1"/>
                <w:sz w:val="18"/>
                <w:u w:val="thick" w:color="000000"/>
              </w:rPr>
              <w:t>43,135,158</w:t>
            </w:r>
            <w:r>
              <w:rPr>
                <w:rFonts w:ascii="Arial"/>
                <w:spacing w:val="-1"/>
                <w:sz w:val="18"/>
              </w:rPr>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7"/>
              <w:jc w:val="right"/>
              <w:rPr>
                <w:rFonts w:ascii="Arial" w:hAnsi="Arial" w:cs="Arial" w:eastAsia="Arial" w:hint="default"/>
                <w:sz w:val="18"/>
                <w:szCs w:val="18"/>
              </w:rPr>
            </w:pPr>
            <w:r>
              <w:rPr>
                <w:rFonts w:ascii="Arial"/>
                <w:w w:val="99"/>
                <w:sz w:val="18"/>
              </w:rPr>
            </w:r>
            <w:r>
              <w:rPr>
                <w:rFonts w:ascii="Arial"/>
                <w:spacing w:val="-1"/>
                <w:sz w:val="18"/>
                <w:u w:val="thick" w:color="000000"/>
              </w:rPr>
              <w:t>3,942,667</w:t>
            </w:r>
            <w:r>
              <w:rPr>
                <w:rFonts w:ascii="Arial"/>
                <w:spacing w:val="-1"/>
                <w:sz w:val="18"/>
              </w:rPr>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4"/>
              <w:jc w:val="right"/>
              <w:rPr>
                <w:rFonts w:ascii="Arial" w:hAnsi="Arial" w:cs="Arial" w:eastAsia="Arial" w:hint="default"/>
                <w:sz w:val="18"/>
                <w:szCs w:val="18"/>
              </w:rPr>
            </w:pPr>
            <w:r>
              <w:rPr>
                <w:rFonts w:ascii="Arial"/>
                <w:w w:val="99"/>
                <w:sz w:val="18"/>
              </w:rPr>
            </w:r>
            <w:r>
              <w:rPr>
                <w:rFonts w:ascii="Arial"/>
                <w:spacing w:val="-1"/>
                <w:sz w:val="18"/>
                <w:u w:val="thick" w:color="000000"/>
              </w:rPr>
              <w:t>47,077,825</w:t>
            </w:r>
            <w:r>
              <w:rPr>
                <w:rFonts w:ascii="Arial"/>
                <w:spacing w:val="-1"/>
                <w:sz w:val="18"/>
              </w:rPr>
            </w:r>
          </w:p>
        </w:tc>
        <w:tc>
          <w:tcPr>
            <w:tcW w:w="1044" w:type="dxa"/>
            <w:tcBorders>
              <w:top w:val="nil" w:sz="6" w:space="0" w:color="auto"/>
              <w:left w:val="nil" w:sz="6" w:space="0" w:color="auto"/>
              <w:bottom w:val="nil" w:sz="6" w:space="0" w:color="auto"/>
              <w:right w:val="nil" w:sz="6" w:space="0" w:color="auto"/>
            </w:tcBorders>
          </w:tcPr>
          <w:p>
            <w:pPr/>
          </w:p>
        </w:tc>
        <w:tc>
          <w:tcPr>
            <w:tcW w:w="1104"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
              <w:jc w:val="right"/>
              <w:rPr>
                <w:rFonts w:ascii="Arial" w:hAnsi="Arial" w:cs="Arial" w:eastAsia="Arial" w:hint="default"/>
                <w:sz w:val="18"/>
                <w:szCs w:val="18"/>
              </w:rPr>
            </w:pPr>
            <w:r>
              <w:rPr>
                <w:rFonts w:ascii="Arial"/>
                <w:w w:val="99"/>
                <w:sz w:val="18"/>
              </w:rPr>
            </w:r>
            <w:r>
              <w:rPr>
                <w:rFonts w:ascii="Arial"/>
                <w:spacing w:val="-1"/>
                <w:sz w:val="18"/>
                <w:u w:val="thick" w:color="000000"/>
              </w:rPr>
              <w:t>12,430,000</w:t>
            </w:r>
            <w:r>
              <w:rPr>
                <w:rFonts w:ascii="Arial"/>
                <w:spacing w:val="-1"/>
                <w:sz w:val="18"/>
              </w:rPr>
            </w:r>
          </w:p>
        </w:tc>
        <w:tc>
          <w:tcPr>
            <w:tcW w:w="1328" w:type="dxa"/>
            <w:tcBorders>
              <w:top w:val="nil" w:sz="6" w:space="0" w:color="auto"/>
              <w:left w:val="nil" w:sz="6" w:space="0" w:color="auto"/>
              <w:bottom w:val="nil" w:sz="6" w:space="0" w:color="auto"/>
              <w:right w:val="nil" w:sz="6" w:space="0" w:color="auto"/>
            </w:tcBorders>
          </w:tcPr>
          <w:p>
            <w:pPr>
              <w:pStyle w:val="TableParagraph"/>
              <w:tabs>
                <w:tab w:pos="719" w:val="left" w:leader="none"/>
              </w:tabs>
              <w:spacing w:line="240" w:lineRule="auto" w:before="15"/>
              <w:ind w:right="63"/>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z w:val="18"/>
                <w:u w:val="thick" w:color="000000"/>
              </w:rPr>
              <w:tab/>
              <w:t>-</w:t>
            </w:r>
            <w:r>
              <w:rPr>
                <w:rFonts w:ascii="Arial"/>
                <w:sz w:val="18"/>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w w:val="99"/>
                <w:sz w:val="18"/>
              </w:rPr>
            </w:r>
            <w:r>
              <w:rPr>
                <w:rFonts w:ascii="Arial"/>
                <w:spacing w:val="-1"/>
                <w:sz w:val="18"/>
                <w:u w:val="thick" w:color="000000"/>
              </w:rPr>
              <w:t>183,460</w:t>
            </w:r>
            <w:r>
              <w:rPr>
                <w:rFonts w:ascii="Arial"/>
                <w:spacing w:val="-1"/>
                <w:sz w:val="18"/>
              </w:rPr>
            </w:r>
          </w:p>
        </w:tc>
      </w:tr>
    </w:tbl>
    <w:p>
      <w:pPr>
        <w:spacing w:after="0" w:line="240" w:lineRule="auto"/>
        <w:jc w:val="right"/>
        <w:rPr>
          <w:rFonts w:ascii="Arial" w:hAnsi="Arial" w:cs="Arial" w:eastAsia="Arial" w:hint="default"/>
          <w:sz w:val="18"/>
          <w:szCs w:val="18"/>
        </w:rPr>
        <w:sectPr>
          <w:pgSz w:w="16840" w:h="11910" w:orient="landscape"/>
          <w:pgMar w:header="958" w:footer="784" w:top="2380" w:bottom="980" w:left="980" w:right="1040"/>
        </w:sectPr>
      </w:pPr>
    </w:p>
    <w:p>
      <w:pPr>
        <w:spacing w:line="240" w:lineRule="auto" w:before="11"/>
        <w:rPr>
          <w:rFonts w:ascii="Times New Roman" w:hAnsi="Times New Roman" w:cs="Times New Roman" w:eastAsia="Times New Roman" w:hint="default"/>
          <w:sz w:val="28"/>
          <w:szCs w:val="28"/>
        </w:rPr>
      </w:pPr>
    </w:p>
    <w:p>
      <w:pPr>
        <w:tabs>
          <w:tab w:pos="843" w:val="left" w:leader="none"/>
        </w:tabs>
        <w:spacing w:before="38"/>
        <w:ind w:left="141"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0"/>
        <w:rPr>
          <w:rFonts w:ascii="黑体" w:hAnsi="黑体" w:cs="黑体" w:eastAsia="黑体" w:hint="default"/>
          <w:b/>
          <w:bCs/>
          <w:sz w:val="19"/>
          <w:szCs w:val="19"/>
        </w:rPr>
      </w:pPr>
    </w:p>
    <w:tbl>
      <w:tblPr>
        <w:tblW w:w="0" w:type="auto"/>
        <w:jc w:val="left"/>
        <w:tblInd w:w="106" w:type="dxa"/>
        <w:tblLayout w:type="fixed"/>
        <w:tblCellMar>
          <w:top w:w="0" w:type="dxa"/>
          <w:left w:w="0" w:type="dxa"/>
          <w:bottom w:w="0" w:type="dxa"/>
          <w:right w:w="0" w:type="dxa"/>
        </w:tblCellMar>
        <w:tblLook w:val="01E0"/>
      </w:tblPr>
      <w:tblGrid>
        <w:gridCol w:w="599"/>
        <w:gridCol w:w="1469"/>
        <w:gridCol w:w="1301"/>
        <w:gridCol w:w="1053"/>
        <w:gridCol w:w="1129"/>
        <w:gridCol w:w="1192"/>
        <w:gridCol w:w="1365"/>
        <w:gridCol w:w="1178"/>
      </w:tblGrid>
      <w:tr>
        <w:trPr>
          <w:trHeight w:val="1081" w:hRule="exact"/>
        </w:trPr>
        <w:tc>
          <w:tcPr>
            <w:tcW w:w="59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Arial" w:hAnsi="Arial" w:cs="Arial" w:eastAsia="Arial" w:hint="default"/>
                <w:b/>
                <w:bCs/>
                <w:sz w:val="20"/>
                <w:szCs w:val="20"/>
              </w:rPr>
              <w:t>12</w:t>
            </w:r>
            <w:r>
              <w:rPr>
                <w:rFonts w:ascii="黑体" w:hAnsi="黑体" w:cs="黑体" w:eastAsia="黑体" w:hint="default"/>
                <w:b/>
                <w:bCs/>
                <w:sz w:val="20"/>
                <w:szCs w:val="20"/>
              </w:rPr>
              <w:t>．</w:t>
            </w:r>
            <w:r>
              <w:rPr>
                <w:rFonts w:ascii="黑体" w:hAnsi="黑体" w:cs="黑体" w:eastAsia="黑体" w:hint="default"/>
                <w:sz w:val="20"/>
                <w:szCs w:val="20"/>
              </w:rPr>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40" w:right="0"/>
              <w:jc w:val="left"/>
              <w:rPr>
                <w:rFonts w:ascii="黑体" w:hAnsi="黑体" w:cs="黑体" w:eastAsia="黑体" w:hint="default"/>
                <w:sz w:val="20"/>
                <w:szCs w:val="20"/>
              </w:rPr>
            </w:pPr>
            <w:r>
              <w:rPr>
                <w:rFonts w:ascii="黑体" w:hAnsi="黑体" w:cs="黑体" w:eastAsia="黑体" w:hint="default"/>
                <w:b/>
                <w:bCs/>
                <w:sz w:val="20"/>
                <w:szCs w:val="20"/>
              </w:rPr>
              <w:t>固定资产</w:t>
            </w:r>
            <w:r>
              <w:rPr>
                <w:rFonts w:ascii="黑体" w:hAnsi="黑体" w:cs="黑体" w:eastAsia="黑体" w:hint="default"/>
                <w:sz w:val="20"/>
                <w:szCs w:val="20"/>
              </w:rPr>
            </w:r>
          </w:p>
          <w:p>
            <w:pPr>
              <w:pStyle w:val="TableParagraph"/>
              <w:spacing w:line="240" w:lineRule="auto" w:before="4"/>
              <w:ind w:right="0"/>
              <w:jc w:val="left"/>
              <w:rPr>
                <w:rFonts w:ascii="黑体" w:hAnsi="黑体" w:cs="黑体" w:eastAsia="黑体" w:hint="default"/>
                <w:b/>
                <w:bCs/>
                <w:sz w:val="24"/>
                <w:szCs w:val="24"/>
              </w:rPr>
            </w:pPr>
          </w:p>
          <w:p>
            <w:pPr>
              <w:pStyle w:val="TableParagraph"/>
              <w:spacing w:line="240" w:lineRule="auto"/>
              <w:ind w:left="150"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7218" w:type="dxa"/>
            <w:gridSpan w:val="6"/>
            <w:tcBorders>
              <w:top w:val="nil" w:sz="6" w:space="0" w:color="auto"/>
              <w:left w:val="nil" w:sz="6" w:space="0" w:color="auto"/>
              <w:bottom w:val="nil" w:sz="6" w:space="0" w:color="auto"/>
              <w:right w:val="nil" w:sz="6" w:space="0" w:color="auto"/>
            </w:tcBorders>
          </w:tcPr>
          <w:p>
            <w:pPr/>
          </w:p>
        </w:tc>
      </w:tr>
      <w:tr>
        <w:trPr>
          <w:trHeight w:val="412"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26"/>
              <w:jc w:val="right"/>
              <w:rPr>
                <w:rFonts w:ascii="黑体" w:hAnsi="黑体" w:cs="黑体" w:eastAsia="黑体" w:hint="default"/>
                <w:sz w:val="18"/>
                <w:szCs w:val="18"/>
              </w:rPr>
            </w:pPr>
            <w:r>
              <w:rPr>
                <w:rFonts w:ascii="黑体" w:hAnsi="黑体" w:cs="黑体" w:eastAsia="黑体" w:hint="default"/>
                <w:sz w:val="18"/>
                <w:szCs w:val="18"/>
              </w:rPr>
              <w:t>年初数</w:t>
            </w:r>
          </w:p>
        </w:tc>
        <w:tc>
          <w:tcPr>
            <w:tcW w:w="1053" w:type="dxa"/>
            <w:tcBorders>
              <w:top w:val="nil" w:sz="6" w:space="0" w:color="auto"/>
              <w:left w:val="nil" w:sz="6" w:space="0" w:color="auto"/>
              <w:bottom w:val="single" w:sz="4" w:space="0" w:color="000000"/>
              <w:right w:val="nil" w:sz="6" w:space="0" w:color="auto"/>
            </w:tcBorders>
          </w:tcPr>
          <w:p>
            <w:pPr/>
          </w:p>
        </w:tc>
        <w:tc>
          <w:tcPr>
            <w:tcW w:w="1129" w:type="dxa"/>
            <w:tcBorders>
              <w:top w:val="nil" w:sz="6" w:space="0" w:color="auto"/>
              <w:left w:val="nil" w:sz="6" w:space="0" w:color="auto"/>
              <w:bottom w:val="single" w:sz="4" w:space="0" w:color="000000"/>
              <w:right w:val="nil" w:sz="6" w:space="0" w:color="auto"/>
            </w:tcBorders>
          </w:tcPr>
          <w:p>
            <w:pPr>
              <w:pStyle w:val="TableParagraph"/>
              <w:spacing w:line="240" w:lineRule="auto" w:before="136"/>
              <w:ind w:left="211" w:right="0"/>
              <w:jc w:val="left"/>
              <w:rPr>
                <w:rFonts w:ascii="黑体" w:hAnsi="黑体" w:cs="黑体" w:eastAsia="黑体" w:hint="default"/>
                <w:sz w:val="18"/>
                <w:szCs w:val="18"/>
              </w:rPr>
            </w:pPr>
            <w:r>
              <w:rPr>
                <w:rFonts w:ascii="黑体" w:hAnsi="黑体" w:cs="黑体" w:eastAsia="黑体" w:hint="default"/>
                <w:sz w:val="18"/>
                <w:szCs w:val="18"/>
              </w:rPr>
              <w:t>本年增加</w:t>
            </w:r>
          </w:p>
        </w:tc>
        <w:tc>
          <w:tcPr>
            <w:tcW w:w="1192" w:type="dxa"/>
            <w:tcBorders>
              <w:top w:val="nil" w:sz="6" w:space="0" w:color="auto"/>
              <w:left w:val="nil" w:sz="6" w:space="0" w:color="auto"/>
              <w:bottom w:val="single" w:sz="4" w:space="0" w:color="000000"/>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29"/>
              <w:jc w:val="right"/>
              <w:rPr>
                <w:rFonts w:ascii="黑体" w:hAnsi="黑体" w:cs="黑体" w:eastAsia="黑体" w:hint="default"/>
                <w:sz w:val="18"/>
                <w:szCs w:val="18"/>
              </w:rPr>
            </w:pPr>
            <w:r>
              <w:rPr>
                <w:rFonts w:ascii="黑体" w:hAnsi="黑体" w:cs="黑体" w:eastAsia="黑体" w:hint="default"/>
                <w:sz w:val="18"/>
                <w:szCs w:val="18"/>
              </w:rPr>
              <w:t>本年减少</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3"/>
              <w:jc w:val="right"/>
              <w:rPr>
                <w:rFonts w:ascii="黑体" w:hAnsi="黑体" w:cs="黑体" w:eastAsia="黑体" w:hint="default"/>
                <w:sz w:val="18"/>
                <w:szCs w:val="18"/>
              </w:rPr>
            </w:pPr>
            <w:r>
              <w:rPr>
                <w:rFonts w:ascii="黑体" w:hAnsi="黑体" w:cs="黑体" w:eastAsia="黑体" w:hint="default"/>
                <w:sz w:val="18"/>
                <w:szCs w:val="18"/>
              </w:rPr>
              <w:t>年末数</w:t>
            </w:r>
          </w:p>
        </w:tc>
      </w:tr>
      <w:tr>
        <w:trPr>
          <w:trHeight w:val="263"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
        </w:tc>
        <w:tc>
          <w:tcPr>
            <w:tcW w:w="1053" w:type="dxa"/>
            <w:tcBorders>
              <w:top w:val="single" w:sz="4" w:space="0" w:color="000000"/>
              <w:left w:val="nil" w:sz="6" w:space="0" w:color="auto"/>
              <w:bottom w:val="nil" w:sz="6" w:space="0" w:color="auto"/>
              <w:right w:val="nil" w:sz="6" w:space="0" w:color="auto"/>
            </w:tcBorders>
          </w:tcPr>
          <w:p>
            <w:pPr>
              <w:pStyle w:val="TableParagraph"/>
              <w:spacing w:line="221" w:lineRule="exact"/>
              <w:ind w:right="129"/>
              <w:jc w:val="right"/>
              <w:rPr>
                <w:rFonts w:ascii="黑体" w:hAnsi="黑体" w:cs="黑体" w:eastAsia="黑体" w:hint="default"/>
                <w:sz w:val="18"/>
                <w:szCs w:val="18"/>
              </w:rPr>
            </w:pPr>
            <w:r>
              <w:rPr>
                <w:rFonts w:ascii="黑体" w:hAnsi="黑体" w:cs="黑体" w:eastAsia="黑体" w:hint="default"/>
                <w:sz w:val="18"/>
                <w:szCs w:val="18"/>
              </w:rPr>
              <w:t>收购</w:t>
            </w:r>
          </w:p>
        </w:tc>
        <w:tc>
          <w:tcPr>
            <w:tcW w:w="1129" w:type="dxa"/>
            <w:tcBorders>
              <w:top w:val="single" w:sz="4" w:space="0" w:color="000000"/>
              <w:left w:val="nil" w:sz="6" w:space="0" w:color="auto"/>
              <w:bottom w:val="nil" w:sz="6" w:space="0" w:color="auto"/>
              <w:right w:val="nil" w:sz="6" w:space="0" w:color="auto"/>
            </w:tcBorders>
          </w:tcPr>
          <w:p>
            <w:pPr>
              <w:pStyle w:val="TableParagraph"/>
              <w:spacing w:line="221" w:lineRule="exact"/>
              <w:ind w:right="123"/>
              <w:jc w:val="right"/>
              <w:rPr>
                <w:rFonts w:ascii="黑体" w:hAnsi="黑体" w:cs="黑体" w:eastAsia="黑体" w:hint="default"/>
                <w:sz w:val="18"/>
                <w:szCs w:val="18"/>
              </w:rPr>
            </w:pPr>
            <w:r>
              <w:rPr>
                <w:rFonts w:ascii="黑体" w:hAnsi="黑体" w:cs="黑体" w:eastAsia="黑体" w:hint="default"/>
                <w:sz w:val="18"/>
                <w:szCs w:val="18"/>
              </w:rPr>
              <w:t>在建工程</w:t>
            </w:r>
          </w:p>
        </w:tc>
        <w:tc>
          <w:tcPr>
            <w:tcW w:w="1192" w:type="dxa"/>
            <w:tcBorders>
              <w:top w:val="single" w:sz="4" w:space="0" w:color="000000"/>
              <w:left w:val="nil" w:sz="6" w:space="0" w:color="auto"/>
              <w:bottom w:val="nil" w:sz="6" w:space="0" w:color="auto"/>
              <w:right w:val="nil" w:sz="6" w:space="0" w:color="auto"/>
            </w:tcBorders>
          </w:tcPr>
          <w:p>
            <w:pPr>
              <w:pStyle w:val="TableParagraph"/>
              <w:spacing w:line="221" w:lineRule="exact"/>
              <w:ind w:right="41"/>
              <w:jc w:val="right"/>
              <w:rPr>
                <w:rFonts w:ascii="黑体" w:hAnsi="黑体" w:cs="黑体" w:eastAsia="黑体" w:hint="default"/>
                <w:sz w:val="18"/>
                <w:szCs w:val="18"/>
              </w:rPr>
            </w:pPr>
            <w:r>
              <w:rPr>
                <w:rFonts w:ascii="黑体" w:hAnsi="黑体" w:cs="黑体" w:eastAsia="黑体" w:hint="default"/>
                <w:sz w:val="18"/>
                <w:szCs w:val="18"/>
              </w:rPr>
              <w:t>其他增加</w:t>
            </w:r>
          </w:p>
        </w:tc>
        <w:tc>
          <w:tcPr>
            <w:tcW w:w="1365" w:type="dxa"/>
            <w:tcBorders>
              <w:top w:val="nil" w:sz="6" w:space="0" w:color="auto"/>
              <w:left w:val="nil" w:sz="6" w:space="0" w:color="auto"/>
              <w:bottom w:val="nil" w:sz="6" w:space="0" w:color="auto"/>
              <w:right w:val="nil" w:sz="6" w:space="0" w:color="auto"/>
            </w:tcBorders>
          </w:tcPr>
          <w:p>
            <w:pPr/>
          </w:p>
        </w:tc>
        <w:tc>
          <w:tcPr>
            <w:tcW w:w="1178" w:type="dxa"/>
            <w:tcBorders>
              <w:top w:val="nil" w:sz="6" w:space="0" w:color="auto"/>
              <w:left w:val="nil" w:sz="6" w:space="0" w:color="auto"/>
              <w:bottom w:val="nil" w:sz="6" w:space="0" w:color="auto"/>
              <w:right w:val="nil" w:sz="6" w:space="0" w:color="auto"/>
            </w:tcBorders>
          </w:tcPr>
          <w:p>
            <w:pPr/>
          </w:p>
        </w:tc>
      </w:tr>
      <w:tr>
        <w:trPr>
          <w:trHeight w:val="255"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c>
          <w:tcPr>
            <w:tcW w:w="1129" w:type="dxa"/>
            <w:tcBorders>
              <w:top w:val="nil" w:sz="6" w:space="0" w:color="auto"/>
              <w:left w:val="nil" w:sz="6" w:space="0" w:color="auto"/>
              <w:bottom w:val="nil" w:sz="6" w:space="0" w:color="auto"/>
              <w:right w:val="nil" w:sz="6" w:space="0" w:color="auto"/>
            </w:tcBorders>
          </w:tcPr>
          <w:p>
            <w:pPr>
              <w:pStyle w:val="TableParagraph"/>
              <w:spacing w:line="218" w:lineRule="exact"/>
              <w:ind w:right="125"/>
              <w:jc w:val="right"/>
              <w:rPr>
                <w:rFonts w:ascii="黑体" w:hAnsi="黑体" w:cs="黑体" w:eastAsia="黑体" w:hint="default"/>
                <w:sz w:val="18"/>
                <w:szCs w:val="18"/>
              </w:rPr>
            </w:pPr>
            <w:r>
              <w:rPr>
                <w:rFonts w:ascii="黑体" w:hAnsi="黑体" w:cs="黑体" w:eastAsia="黑体" w:hint="default"/>
                <w:sz w:val="18"/>
                <w:szCs w:val="18"/>
              </w:rPr>
              <w:t>转入增加</w:t>
            </w:r>
          </w:p>
        </w:tc>
        <w:tc>
          <w:tcPr>
            <w:tcW w:w="1192" w:type="dxa"/>
            <w:tcBorders>
              <w:top w:val="nil" w:sz="6" w:space="0" w:color="auto"/>
              <w:left w:val="nil" w:sz="6" w:space="0" w:color="auto"/>
              <w:bottom w:val="nil" w:sz="6" w:space="0" w:color="auto"/>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
        </w:tc>
        <w:tc>
          <w:tcPr>
            <w:tcW w:w="1178" w:type="dxa"/>
            <w:tcBorders>
              <w:top w:val="nil" w:sz="6" w:space="0" w:color="auto"/>
              <w:left w:val="nil" w:sz="6" w:space="0" w:color="auto"/>
              <w:bottom w:val="nil" w:sz="6" w:space="0" w:color="auto"/>
              <w:right w:val="nil" w:sz="6" w:space="0" w:color="auto"/>
            </w:tcBorders>
          </w:tcPr>
          <w:p>
            <w:pPr/>
          </w:p>
        </w:tc>
      </w:tr>
      <w:tr>
        <w:trPr>
          <w:trHeight w:val="255"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7" w:lineRule="exact"/>
              <w:ind w:left="145" w:right="0"/>
              <w:jc w:val="left"/>
              <w:rPr>
                <w:rFonts w:ascii="黑体" w:hAnsi="黑体" w:cs="黑体" w:eastAsia="黑体" w:hint="default"/>
                <w:sz w:val="18"/>
                <w:szCs w:val="18"/>
              </w:rPr>
            </w:pPr>
            <w:r>
              <w:rPr>
                <w:rFonts w:ascii="黑体" w:hAnsi="黑体" w:cs="黑体" w:eastAsia="黑体" w:hint="default"/>
                <w:sz w:val="18"/>
                <w:szCs w:val="18"/>
              </w:rPr>
              <w:t>原价</w:t>
            </w:r>
          </w:p>
        </w:tc>
        <w:tc>
          <w:tcPr>
            <w:tcW w:w="1301"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c>
          <w:tcPr>
            <w:tcW w:w="1129"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
        </w:tc>
        <w:tc>
          <w:tcPr>
            <w:tcW w:w="1178" w:type="dxa"/>
            <w:tcBorders>
              <w:top w:val="nil" w:sz="6" w:space="0" w:color="auto"/>
              <w:left w:val="nil" w:sz="6" w:space="0" w:color="auto"/>
              <w:bottom w:val="nil" w:sz="6" w:space="0" w:color="auto"/>
              <w:right w:val="nil" w:sz="6" w:space="0" w:color="auto"/>
            </w:tcBorders>
          </w:tcPr>
          <w:p>
            <w:pPr/>
          </w:p>
        </w:tc>
      </w:tr>
      <w:tr>
        <w:trPr>
          <w:trHeight w:val="259"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8" w:lineRule="exact"/>
              <w:ind w:left="145" w:right="0"/>
              <w:jc w:val="left"/>
              <w:rPr>
                <w:rFonts w:ascii="黑体" w:hAnsi="黑体" w:cs="黑体" w:eastAsia="黑体" w:hint="default"/>
                <w:sz w:val="18"/>
                <w:szCs w:val="18"/>
              </w:rPr>
            </w:pPr>
            <w:r>
              <w:rPr>
                <w:rFonts w:ascii="黑体" w:hAnsi="黑体" w:cs="黑体" w:eastAsia="黑体" w:hint="default"/>
                <w:sz w:val="18"/>
                <w:szCs w:val="18"/>
              </w:rPr>
              <w:t>房屋及建筑物</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6"/>
              <w:jc w:val="right"/>
              <w:rPr>
                <w:rFonts w:ascii="Arial" w:hAnsi="Arial" w:cs="Arial" w:eastAsia="Arial" w:hint="default"/>
                <w:sz w:val="18"/>
                <w:szCs w:val="18"/>
              </w:rPr>
            </w:pPr>
            <w:r>
              <w:rPr>
                <w:rFonts w:ascii="Arial"/>
                <w:spacing w:val="-1"/>
                <w:sz w:val="18"/>
              </w:rPr>
              <w:t>372,530,152</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3"/>
              <w:jc w:val="right"/>
              <w:rPr>
                <w:rFonts w:ascii="Arial" w:hAnsi="Arial" w:cs="Arial" w:eastAsia="Arial" w:hint="default"/>
                <w:sz w:val="18"/>
                <w:szCs w:val="18"/>
              </w:rPr>
            </w:pPr>
            <w:r>
              <w:rPr>
                <w:rFonts w:ascii="Arial"/>
                <w:w w:val="99"/>
                <w:sz w:val="18"/>
              </w:rPr>
              <w:t>-</w:t>
            </w:r>
            <w:r>
              <w:rPr>
                <w:rFonts w:ascii="Arial"/>
                <w:sz w:val="18"/>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6"/>
              <w:jc w:val="right"/>
              <w:rPr>
                <w:rFonts w:ascii="Arial" w:hAnsi="Arial" w:cs="Arial" w:eastAsia="Arial" w:hint="default"/>
                <w:sz w:val="18"/>
                <w:szCs w:val="18"/>
              </w:rPr>
            </w:pPr>
            <w:r>
              <w:rPr>
                <w:rFonts w:ascii="Arial"/>
                <w:spacing w:val="-1"/>
                <w:sz w:val="18"/>
              </w:rPr>
              <w:t>2,283,966</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3"/>
              <w:jc w:val="right"/>
              <w:rPr>
                <w:rFonts w:ascii="Arial" w:hAnsi="Arial" w:cs="Arial" w:eastAsia="Arial" w:hint="default"/>
                <w:sz w:val="18"/>
                <w:szCs w:val="18"/>
              </w:rPr>
            </w:pPr>
            <w:r>
              <w:rPr>
                <w:rFonts w:ascii="Arial"/>
                <w:spacing w:val="-1"/>
                <w:sz w:val="18"/>
              </w:rPr>
              <w:t>572,789</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1"/>
              <w:jc w:val="right"/>
              <w:rPr>
                <w:rFonts w:ascii="Arial" w:hAnsi="Arial" w:cs="Arial" w:eastAsia="Arial" w:hint="default"/>
                <w:sz w:val="18"/>
                <w:szCs w:val="18"/>
              </w:rPr>
            </w:pPr>
            <w:r>
              <w:rPr>
                <w:rFonts w:ascii="Arial"/>
                <w:spacing w:val="-1"/>
                <w:sz w:val="18"/>
              </w:rPr>
              <w:t>683,787</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
              <w:jc w:val="right"/>
              <w:rPr>
                <w:rFonts w:ascii="Arial" w:hAnsi="Arial" w:cs="Arial" w:eastAsia="Arial" w:hint="default"/>
                <w:sz w:val="18"/>
                <w:szCs w:val="18"/>
              </w:rPr>
            </w:pPr>
            <w:r>
              <w:rPr>
                <w:rFonts w:ascii="Arial"/>
                <w:spacing w:val="-1"/>
                <w:sz w:val="18"/>
              </w:rPr>
              <w:t>374,703,120</w:t>
            </w:r>
          </w:p>
        </w:tc>
      </w:tr>
      <w:tr>
        <w:trPr>
          <w:trHeight w:val="255"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3" w:lineRule="exact"/>
              <w:ind w:left="145" w:right="0"/>
              <w:jc w:val="left"/>
              <w:rPr>
                <w:rFonts w:ascii="黑体" w:hAnsi="黑体" w:cs="黑体" w:eastAsia="黑体" w:hint="default"/>
                <w:sz w:val="18"/>
                <w:szCs w:val="18"/>
              </w:rPr>
            </w:pPr>
            <w:r>
              <w:rPr>
                <w:rFonts w:ascii="黑体" w:hAnsi="黑体" w:cs="黑体" w:eastAsia="黑体" w:hint="default"/>
                <w:sz w:val="18"/>
                <w:szCs w:val="18"/>
              </w:rPr>
              <w:t>机器设备</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6"/>
              <w:jc w:val="right"/>
              <w:rPr>
                <w:rFonts w:ascii="Arial" w:hAnsi="Arial" w:cs="Arial" w:eastAsia="Arial" w:hint="default"/>
                <w:sz w:val="18"/>
                <w:szCs w:val="18"/>
              </w:rPr>
            </w:pPr>
            <w:r>
              <w:rPr>
                <w:rFonts w:ascii="Arial"/>
                <w:spacing w:val="-1"/>
                <w:sz w:val="18"/>
              </w:rPr>
              <w:t>69,769,952</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3"/>
              <w:jc w:val="right"/>
              <w:rPr>
                <w:rFonts w:ascii="Arial" w:hAnsi="Arial" w:cs="Arial" w:eastAsia="Arial" w:hint="default"/>
                <w:sz w:val="18"/>
                <w:szCs w:val="18"/>
              </w:rPr>
            </w:pPr>
            <w:r>
              <w:rPr>
                <w:rFonts w:ascii="Arial"/>
                <w:w w:val="99"/>
                <w:sz w:val="18"/>
              </w:rPr>
              <w:t>-</w:t>
            </w:r>
            <w:r>
              <w:rPr>
                <w:rFonts w:ascii="Arial"/>
                <w:sz w:val="18"/>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26"/>
              <w:jc w:val="right"/>
              <w:rPr>
                <w:rFonts w:ascii="Arial" w:hAnsi="Arial" w:cs="Arial" w:eastAsia="Arial" w:hint="default"/>
                <w:sz w:val="18"/>
                <w:szCs w:val="18"/>
              </w:rPr>
            </w:pPr>
            <w:r>
              <w:rPr>
                <w:rFonts w:ascii="Arial"/>
                <w:w w:val="99"/>
                <w:sz w:val="18"/>
              </w:rPr>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4"/>
              <w:jc w:val="right"/>
              <w:rPr>
                <w:rFonts w:ascii="Arial" w:hAnsi="Arial" w:cs="Arial" w:eastAsia="Arial" w:hint="default"/>
                <w:sz w:val="18"/>
                <w:szCs w:val="18"/>
              </w:rPr>
            </w:pPr>
            <w:r>
              <w:rPr>
                <w:rFonts w:ascii="Arial"/>
                <w:spacing w:val="-1"/>
                <w:w w:val="95"/>
                <w:sz w:val="18"/>
              </w:rPr>
              <w:t>3,500</w:t>
            </w:r>
            <w:r>
              <w:rPr>
                <w:rFonts w:ascii="Arial"/>
                <w:sz w:val="18"/>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2"/>
              <w:jc w:val="right"/>
              <w:rPr>
                <w:rFonts w:ascii="Arial" w:hAnsi="Arial" w:cs="Arial" w:eastAsia="Arial" w:hint="default"/>
                <w:sz w:val="18"/>
                <w:szCs w:val="18"/>
              </w:rPr>
            </w:pPr>
            <w:r>
              <w:rPr>
                <w:rFonts w:ascii="Arial"/>
                <w:w w:val="99"/>
                <w:sz w:val="18"/>
              </w:rPr>
              <w:t>-</w:t>
            </w:r>
            <w:r>
              <w:rPr>
                <w:rFonts w:ascii="Arial"/>
                <w:sz w:val="18"/>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6"/>
              <w:jc w:val="right"/>
              <w:rPr>
                <w:rFonts w:ascii="Arial" w:hAnsi="Arial" w:cs="Arial" w:eastAsia="Arial" w:hint="default"/>
                <w:sz w:val="18"/>
                <w:szCs w:val="18"/>
              </w:rPr>
            </w:pPr>
            <w:r>
              <w:rPr>
                <w:rFonts w:ascii="Arial"/>
                <w:spacing w:val="-1"/>
                <w:sz w:val="18"/>
              </w:rPr>
              <w:t>69,773,452</w:t>
            </w:r>
          </w:p>
        </w:tc>
      </w:tr>
      <w:tr>
        <w:trPr>
          <w:trHeight w:val="255"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3" w:lineRule="exact"/>
              <w:ind w:left="145" w:right="0"/>
              <w:jc w:val="left"/>
              <w:rPr>
                <w:rFonts w:ascii="黑体" w:hAnsi="黑体" w:cs="黑体" w:eastAsia="黑体" w:hint="default"/>
                <w:sz w:val="18"/>
                <w:szCs w:val="18"/>
              </w:rPr>
            </w:pPr>
            <w:r>
              <w:rPr>
                <w:rFonts w:ascii="黑体" w:hAnsi="黑体" w:cs="黑体" w:eastAsia="黑体" w:hint="default"/>
                <w:sz w:val="18"/>
                <w:szCs w:val="18"/>
              </w:rPr>
              <w:t>运输工具</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26"/>
              <w:jc w:val="right"/>
              <w:rPr>
                <w:rFonts w:ascii="Arial" w:hAnsi="Arial" w:cs="Arial" w:eastAsia="Arial" w:hint="default"/>
                <w:sz w:val="18"/>
                <w:szCs w:val="18"/>
              </w:rPr>
            </w:pPr>
            <w:r>
              <w:rPr>
                <w:rFonts w:ascii="Arial"/>
                <w:spacing w:val="-1"/>
                <w:sz w:val="18"/>
              </w:rPr>
              <w:t>34,326,496</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3"/>
              <w:jc w:val="right"/>
              <w:rPr>
                <w:rFonts w:ascii="Arial" w:hAnsi="Arial" w:cs="Arial" w:eastAsia="Arial" w:hint="default"/>
                <w:sz w:val="18"/>
                <w:szCs w:val="18"/>
              </w:rPr>
            </w:pPr>
            <w:r>
              <w:rPr>
                <w:rFonts w:ascii="Arial"/>
                <w:spacing w:val="-1"/>
                <w:sz w:val="18"/>
              </w:rPr>
              <w:t>121,403</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28"/>
              <w:jc w:val="right"/>
              <w:rPr>
                <w:rFonts w:ascii="Arial" w:hAnsi="Arial" w:cs="Arial" w:eastAsia="Arial" w:hint="default"/>
                <w:sz w:val="18"/>
                <w:szCs w:val="18"/>
              </w:rPr>
            </w:pPr>
            <w:r>
              <w:rPr>
                <w:rFonts w:ascii="Arial"/>
                <w:w w:val="99"/>
                <w:sz w:val="18"/>
              </w:rPr>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43"/>
              <w:jc w:val="right"/>
              <w:rPr>
                <w:rFonts w:ascii="Arial" w:hAnsi="Arial" w:cs="Arial" w:eastAsia="Arial" w:hint="default"/>
                <w:sz w:val="18"/>
                <w:szCs w:val="18"/>
              </w:rPr>
            </w:pPr>
            <w:r>
              <w:rPr>
                <w:rFonts w:ascii="Arial"/>
                <w:spacing w:val="-1"/>
                <w:sz w:val="18"/>
              </w:rPr>
              <w:t>7,047,531</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1"/>
              <w:jc w:val="right"/>
              <w:rPr>
                <w:rFonts w:ascii="Arial" w:hAnsi="Arial" w:cs="Arial" w:eastAsia="Arial" w:hint="default"/>
                <w:sz w:val="18"/>
                <w:szCs w:val="18"/>
              </w:rPr>
            </w:pPr>
            <w:r>
              <w:rPr>
                <w:rFonts w:ascii="Arial"/>
                <w:spacing w:val="-1"/>
                <w:sz w:val="18"/>
              </w:rPr>
              <w:t>1,721,311</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5"/>
              <w:jc w:val="right"/>
              <w:rPr>
                <w:rFonts w:ascii="Arial" w:hAnsi="Arial" w:cs="Arial" w:eastAsia="Arial" w:hint="default"/>
                <w:sz w:val="18"/>
                <w:szCs w:val="18"/>
              </w:rPr>
            </w:pPr>
            <w:r>
              <w:rPr>
                <w:rFonts w:ascii="Arial"/>
                <w:spacing w:val="-1"/>
                <w:sz w:val="18"/>
              </w:rPr>
              <w:t>39,774,119</w:t>
            </w:r>
          </w:p>
        </w:tc>
      </w:tr>
      <w:tr>
        <w:trPr>
          <w:trHeight w:val="260"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3" w:lineRule="exact"/>
              <w:ind w:left="145" w:right="0"/>
              <w:jc w:val="left"/>
              <w:rPr>
                <w:rFonts w:ascii="黑体" w:hAnsi="黑体" w:cs="黑体" w:eastAsia="黑体" w:hint="default"/>
                <w:sz w:val="18"/>
                <w:szCs w:val="18"/>
              </w:rPr>
            </w:pPr>
            <w:r>
              <w:rPr>
                <w:rFonts w:ascii="黑体" w:hAnsi="黑体" w:cs="黑体" w:eastAsia="黑体" w:hint="default"/>
                <w:sz w:val="18"/>
                <w:szCs w:val="18"/>
              </w:rPr>
              <w:t>办公及电子设备</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5"/>
              <w:jc w:val="right"/>
              <w:rPr>
                <w:rFonts w:ascii="Arial" w:hAnsi="Arial" w:cs="Arial" w:eastAsia="Arial" w:hint="default"/>
                <w:sz w:val="18"/>
                <w:szCs w:val="18"/>
              </w:rPr>
            </w:pPr>
            <w:r>
              <w:rPr>
                <w:rFonts w:ascii="Arial"/>
                <w:w w:val="99"/>
                <w:sz w:val="18"/>
              </w:rPr>
            </w:r>
            <w:r>
              <w:rPr>
                <w:rFonts w:ascii="Arial"/>
                <w:spacing w:val="-1"/>
                <w:sz w:val="18"/>
                <w:u w:val="single" w:color="000000"/>
              </w:rPr>
              <w:t>168,511,343</w:t>
            </w:r>
            <w:r>
              <w:rPr>
                <w:rFonts w:ascii="Arial"/>
                <w:spacing w:val="-1"/>
                <w:sz w:val="18"/>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2"/>
              <w:jc w:val="right"/>
              <w:rPr>
                <w:rFonts w:ascii="Arial" w:hAnsi="Arial" w:cs="Arial" w:eastAsia="Arial" w:hint="default"/>
                <w:sz w:val="18"/>
                <w:szCs w:val="18"/>
              </w:rPr>
            </w:pPr>
            <w:r>
              <w:rPr>
                <w:rFonts w:ascii="Arial"/>
                <w:w w:val="99"/>
                <w:sz w:val="18"/>
              </w:rPr>
            </w:r>
            <w:r>
              <w:rPr>
                <w:rFonts w:ascii="Arial"/>
                <w:spacing w:val="-1"/>
                <w:sz w:val="18"/>
                <w:u w:val="single" w:color="000000"/>
              </w:rPr>
              <w:t>1,512,328</w:t>
            </w:r>
            <w:r>
              <w:rPr>
                <w:rFonts w:ascii="Arial"/>
                <w:spacing w:val="-1"/>
                <w:sz w:val="18"/>
              </w:rPr>
            </w:r>
          </w:p>
        </w:tc>
        <w:tc>
          <w:tcPr>
            <w:tcW w:w="1129" w:type="dxa"/>
            <w:tcBorders>
              <w:top w:val="nil" w:sz="6" w:space="0" w:color="auto"/>
              <w:left w:val="nil" w:sz="6" w:space="0" w:color="auto"/>
              <w:bottom w:val="nil" w:sz="6" w:space="0" w:color="auto"/>
              <w:right w:val="nil" w:sz="6" w:space="0" w:color="auto"/>
            </w:tcBorders>
          </w:tcPr>
          <w:p>
            <w:pPr>
              <w:pStyle w:val="TableParagraph"/>
              <w:tabs>
                <w:tab w:pos="810" w:val="left" w:leader="none"/>
              </w:tabs>
              <w:spacing w:line="240" w:lineRule="auto" w:before="18"/>
              <w:ind w:right="12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3"/>
              <w:jc w:val="right"/>
              <w:rPr>
                <w:rFonts w:ascii="Arial" w:hAnsi="Arial" w:cs="Arial" w:eastAsia="Arial" w:hint="default"/>
                <w:sz w:val="18"/>
                <w:szCs w:val="18"/>
              </w:rPr>
            </w:pPr>
            <w:r>
              <w:rPr>
                <w:rFonts w:ascii="Arial"/>
                <w:w w:val="99"/>
                <w:sz w:val="18"/>
              </w:rPr>
            </w:r>
            <w:r>
              <w:rPr>
                <w:rFonts w:ascii="Arial"/>
                <w:spacing w:val="-1"/>
                <w:sz w:val="18"/>
                <w:u w:val="single" w:color="000000"/>
              </w:rPr>
              <w:t>30,497,295</w:t>
            </w:r>
            <w:r>
              <w:rPr>
                <w:rFonts w:ascii="Arial"/>
                <w:spacing w:val="-1"/>
                <w:sz w:val="18"/>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1"/>
              <w:jc w:val="right"/>
              <w:rPr>
                <w:rFonts w:ascii="Arial" w:hAnsi="Arial" w:cs="Arial" w:eastAsia="Arial" w:hint="default"/>
                <w:sz w:val="18"/>
                <w:szCs w:val="18"/>
              </w:rPr>
            </w:pPr>
            <w:r>
              <w:rPr>
                <w:rFonts w:ascii="Arial"/>
                <w:w w:val="99"/>
                <w:sz w:val="18"/>
              </w:rPr>
            </w:r>
            <w:r>
              <w:rPr>
                <w:rFonts w:ascii="Arial"/>
                <w:spacing w:val="-1"/>
                <w:sz w:val="18"/>
                <w:u w:val="single" w:color="000000"/>
              </w:rPr>
              <w:t>14,725,003</w:t>
            </w:r>
            <w:r>
              <w:rPr>
                <w:rFonts w:ascii="Arial"/>
                <w:spacing w:val="-1"/>
                <w:sz w:val="18"/>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4"/>
              <w:jc w:val="right"/>
              <w:rPr>
                <w:rFonts w:ascii="Arial" w:hAnsi="Arial" w:cs="Arial" w:eastAsia="Arial" w:hint="default"/>
                <w:sz w:val="18"/>
                <w:szCs w:val="18"/>
              </w:rPr>
            </w:pPr>
            <w:r>
              <w:rPr>
                <w:rFonts w:ascii="Arial"/>
                <w:w w:val="99"/>
                <w:sz w:val="18"/>
              </w:rPr>
            </w:r>
            <w:r>
              <w:rPr>
                <w:rFonts w:ascii="Arial"/>
                <w:spacing w:val="-1"/>
                <w:sz w:val="18"/>
                <w:u w:val="single" w:color="000000"/>
              </w:rPr>
              <w:t>185,795,963</w:t>
            </w:r>
            <w:r>
              <w:rPr>
                <w:rFonts w:ascii="Arial"/>
                <w:spacing w:val="-1"/>
                <w:sz w:val="18"/>
              </w:rPr>
            </w:r>
          </w:p>
        </w:tc>
      </w:tr>
      <w:tr>
        <w:trPr>
          <w:trHeight w:val="378"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5"/>
              <w:jc w:val="right"/>
              <w:rPr>
                <w:rFonts w:ascii="Arial" w:hAnsi="Arial" w:cs="Arial" w:eastAsia="Arial" w:hint="default"/>
                <w:sz w:val="18"/>
                <w:szCs w:val="18"/>
              </w:rPr>
            </w:pPr>
            <w:r>
              <w:rPr>
                <w:rFonts w:ascii="Arial"/>
                <w:w w:val="99"/>
                <w:sz w:val="18"/>
              </w:rPr>
            </w:r>
            <w:r>
              <w:rPr>
                <w:rFonts w:ascii="Arial"/>
                <w:spacing w:val="-1"/>
                <w:sz w:val="18"/>
                <w:u w:val="thick" w:color="000000"/>
              </w:rPr>
              <w:t>645,137,943</w:t>
            </w:r>
            <w:r>
              <w:rPr>
                <w:rFonts w:ascii="Arial"/>
                <w:spacing w:val="-1"/>
                <w:sz w:val="18"/>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2"/>
              <w:jc w:val="right"/>
              <w:rPr>
                <w:rFonts w:ascii="Arial" w:hAnsi="Arial" w:cs="Arial" w:eastAsia="Arial" w:hint="default"/>
                <w:sz w:val="18"/>
                <w:szCs w:val="18"/>
              </w:rPr>
            </w:pPr>
            <w:r>
              <w:rPr>
                <w:rFonts w:ascii="Arial"/>
                <w:w w:val="99"/>
                <w:sz w:val="18"/>
              </w:rPr>
            </w:r>
            <w:r>
              <w:rPr>
                <w:rFonts w:ascii="Arial"/>
                <w:spacing w:val="-1"/>
                <w:sz w:val="18"/>
                <w:u w:val="thick" w:color="000000"/>
              </w:rPr>
              <w:t>1,633,731</w:t>
            </w:r>
            <w:r>
              <w:rPr>
                <w:rFonts w:ascii="Arial"/>
                <w:spacing w:val="-1"/>
                <w:sz w:val="18"/>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5"/>
              <w:jc w:val="right"/>
              <w:rPr>
                <w:rFonts w:ascii="Arial" w:hAnsi="Arial" w:cs="Arial" w:eastAsia="Arial" w:hint="default"/>
                <w:sz w:val="18"/>
                <w:szCs w:val="18"/>
              </w:rPr>
            </w:pPr>
            <w:r>
              <w:rPr>
                <w:rFonts w:ascii="Arial"/>
                <w:w w:val="99"/>
                <w:sz w:val="18"/>
              </w:rPr>
            </w:r>
            <w:r>
              <w:rPr>
                <w:rFonts w:ascii="Arial"/>
                <w:spacing w:val="-1"/>
                <w:sz w:val="18"/>
                <w:u w:val="thick" w:color="000000"/>
              </w:rPr>
              <w:t>2,283,966</w:t>
            </w:r>
            <w:r>
              <w:rPr>
                <w:rFonts w:ascii="Arial"/>
                <w:spacing w:val="-1"/>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3"/>
              <w:jc w:val="right"/>
              <w:rPr>
                <w:rFonts w:ascii="Arial" w:hAnsi="Arial" w:cs="Arial" w:eastAsia="Arial" w:hint="default"/>
                <w:sz w:val="18"/>
                <w:szCs w:val="18"/>
              </w:rPr>
            </w:pPr>
            <w:r>
              <w:rPr>
                <w:rFonts w:ascii="Arial"/>
                <w:w w:val="99"/>
                <w:sz w:val="18"/>
              </w:rPr>
            </w:r>
            <w:r>
              <w:rPr>
                <w:rFonts w:ascii="Arial"/>
                <w:spacing w:val="-1"/>
                <w:sz w:val="18"/>
                <w:u w:val="thick" w:color="000000"/>
              </w:rPr>
              <w:t>38,121,115</w:t>
            </w:r>
            <w:r>
              <w:rPr>
                <w:rFonts w:ascii="Arial"/>
                <w:spacing w:val="-1"/>
                <w:sz w:val="18"/>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1"/>
              <w:jc w:val="right"/>
              <w:rPr>
                <w:rFonts w:ascii="Arial" w:hAnsi="Arial" w:cs="Arial" w:eastAsia="Arial" w:hint="default"/>
                <w:sz w:val="18"/>
                <w:szCs w:val="18"/>
              </w:rPr>
            </w:pPr>
            <w:r>
              <w:rPr>
                <w:rFonts w:ascii="Arial"/>
                <w:w w:val="99"/>
                <w:sz w:val="18"/>
              </w:rPr>
            </w:r>
            <w:r>
              <w:rPr>
                <w:rFonts w:ascii="Arial"/>
                <w:spacing w:val="-1"/>
                <w:sz w:val="18"/>
                <w:u w:val="thick" w:color="000000"/>
              </w:rPr>
              <w:t>17,130,101</w:t>
            </w:r>
            <w:r>
              <w:rPr>
                <w:rFonts w:ascii="Arial"/>
                <w:spacing w:val="-1"/>
                <w:sz w:val="18"/>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Arial" w:hAnsi="Arial" w:cs="Arial" w:eastAsia="Arial" w:hint="default"/>
                <w:sz w:val="18"/>
                <w:szCs w:val="18"/>
              </w:rPr>
            </w:pPr>
            <w:r>
              <w:rPr>
                <w:rFonts w:ascii="Arial"/>
                <w:w w:val="99"/>
                <w:sz w:val="18"/>
              </w:rPr>
            </w:r>
            <w:r>
              <w:rPr>
                <w:rFonts w:ascii="Arial"/>
                <w:spacing w:val="-1"/>
                <w:sz w:val="18"/>
                <w:u w:val="thick" w:color="000000"/>
              </w:rPr>
              <w:t>670,046,654</w:t>
            </w:r>
            <w:r>
              <w:rPr>
                <w:rFonts w:ascii="Arial"/>
                <w:spacing w:val="-1"/>
                <w:sz w:val="18"/>
              </w:rPr>
            </w:r>
          </w:p>
        </w:tc>
      </w:tr>
      <w:tr>
        <w:trPr>
          <w:trHeight w:val="378"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45" w:right="0"/>
              <w:jc w:val="left"/>
              <w:rPr>
                <w:rFonts w:ascii="黑体" w:hAnsi="黑体" w:cs="黑体" w:eastAsia="黑体" w:hint="default"/>
                <w:sz w:val="18"/>
                <w:szCs w:val="18"/>
              </w:rPr>
            </w:pPr>
            <w:r>
              <w:rPr>
                <w:rFonts w:ascii="黑体" w:hAnsi="黑体" w:cs="黑体" w:eastAsia="黑体" w:hint="default"/>
                <w:sz w:val="18"/>
                <w:szCs w:val="18"/>
              </w:rPr>
              <w:t>累计折旧</w:t>
            </w:r>
          </w:p>
        </w:tc>
        <w:tc>
          <w:tcPr>
            <w:tcW w:w="1301"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c>
          <w:tcPr>
            <w:tcW w:w="1129"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
        </w:tc>
        <w:tc>
          <w:tcPr>
            <w:tcW w:w="1178" w:type="dxa"/>
            <w:tcBorders>
              <w:top w:val="nil" w:sz="6" w:space="0" w:color="auto"/>
              <w:left w:val="nil" w:sz="6" w:space="0" w:color="auto"/>
              <w:bottom w:val="nil" w:sz="6" w:space="0" w:color="auto"/>
              <w:right w:val="nil" w:sz="6" w:space="0" w:color="auto"/>
            </w:tcBorders>
          </w:tcPr>
          <w:p>
            <w:pPr/>
          </w:p>
        </w:tc>
      </w:tr>
      <w:tr>
        <w:trPr>
          <w:trHeight w:val="259"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7" w:lineRule="exact"/>
              <w:ind w:left="145" w:right="0"/>
              <w:jc w:val="left"/>
              <w:rPr>
                <w:rFonts w:ascii="黑体" w:hAnsi="黑体" w:cs="黑体" w:eastAsia="黑体" w:hint="default"/>
                <w:sz w:val="18"/>
                <w:szCs w:val="18"/>
              </w:rPr>
            </w:pPr>
            <w:r>
              <w:rPr>
                <w:rFonts w:ascii="黑体" w:hAnsi="黑体" w:cs="黑体" w:eastAsia="黑体" w:hint="default"/>
                <w:sz w:val="18"/>
                <w:szCs w:val="18"/>
              </w:rPr>
              <w:t>房屋及建筑物</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5"/>
              <w:jc w:val="right"/>
              <w:rPr>
                <w:rFonts w:ascii="Arial" w:hAnsi="Arial" w:cs="Arial" w:eastAsia="Arial" w:hint="default"/>
                <w:sz w:val="18"/>
                <w:szCs w:val="18"/>
              </w:rPr>
            </w:pPr>
            <w:r>
              <w:rPr>
                <w:rFonts w:ascii="Arial"/>
                <w:spacing w:val="-1"/>
                <w:sz w:val="18"/>
              </w:rPr>
              <w:t>13,734,033</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3"/>
              <w:jc w:val="right"/>
              <w:rPr>
                <w:rFonts w:ascii="Arial" w:hAnsi="Arial" w:cs="Arial" w:eastAsia="Arial" w:hint="default"/>
                <w:sz w:val="18"/>
                <w:szCs w:val="18"/>
              </w:rPr>
            </w:pPr>
            <w:r>
              <w:rPr>
                <w:rFonts w:ascii="Arial"/>
                <w:w w:val="99"/>
                <w:sz w:val="18"/>
              </w:rPr>
              <w:t>-</w:t>
            </w:r>
            <w:r>
              <w:rPr>
                <w:rFonts w:ascii="Arial"/>
                <w:sz w:val="18"/>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6"/>
              <w:jc w:val="right"/>
              <w:rPr>
                <w:rFonts w:ascii="Arial" w:hAnsi="Arial" w:cs="Arial" w:eastAsia="Arial" w:hint="default"/>
                <w:sz w:val="18"/>
                <w:szCs w:val="18"/>
              </w:rPr>
            </w:pPr>
            <w:r>
              <w:rPr>
                <w:rFonts w:ascii="Arial"/>
                <w:w w:val="99"/>
                <w:sz w:val="18"/>
              </w:rPr>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3"/>
              <w:jc w:val="right"/>
              <w:rPr>
                <w:rFonts w:ascii="Arial" w:hAnsi="Arial" w:cs="Arial" w:eastAsia="Arial" w:hint="default"/>
                <w:sz w:val="18"/>
                <w:szCs w:val="18"/>
              </w:rPr>
            </w:pPr>
            <w:r>
              <w:rPr>
                <w:rFonts w:ascii="Arial"/>
                <w:spacing w:val="-1"/>
                <w:sz w:val="18"/>
              </w:rPr>
              <w:t>8,733,461</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1"/>
              <w:jc w:val="right"/>
              <w:rPr>
                <w:rFonts w:ascii="Arial" w:hAnsi="Arial" w:cs="Arial" w:eastAsia="Arial" w:hint="default"/>
                <w:sz w:val="18"/>
                <w:szCs w:val="18"/>
              </w:rPr>
            </w:pPr>
            <w:r>
              <w:rPr>
                <w:rFonts w:ascii="Arial"/>
                <w:spacing w:val="-1"/>
                <w:sz w:val="18"/>
              </w:rPr>
              <w:t>44,660</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5"/>
              <w:jc w:val="right"/>
              <w:rPr>
                <w:rFonts w:ascii="Arial" w:hAnsi="Arial" w:cs="Arial" w:eastAsia="Arial" w:hint="default"/>
                <w:sz w:val="18"/>
                <w:szCs w:val="18"/>
              </w:rPr>
            </w:pPr>
            <w:r>
              <w:rPr>
                <w:rFonts w:ascii="Arial"/>
                <w:spacing w:val="-1"/>
                <w:sz w:val="18"/>
              </w:rPr>
              <w:t>22,422,834</w:t>
            </w:r>
          </w:p>
        </w:tc>
      </w:tr>
      <w:tr>
        <w:trPr>
          <w:trHeight w:val="255"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3" w:lineRule="exact"/>
              <w:ind w:left="145" w:right="0"/>
              <w:jc w:val="left"/>
              <w:rPr>
                <w:rFonts w:ascii="黑体" w:hAnsi="黑体" w:cs="黑体" w:eastAsia="黑体" w:hint="default"/>
                <w:sz w:val="18"/>
                <w:szCs w:val="18"/>
              </w:rPr>
            </w:pPr>
            <w:r>
              <w:rPr>
                <w:rFonts w:ascii="黑体" w:hAnsi="黑体" w:cs="黑体" w:eastAsia="黑体" w:hint="default"/>
                <w:sz w:val="18"/>
                <w:szCs w:val="18"/>
              </w:rPr>
              <w:t>机器设备</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25"/>
              <w:jc w:val="right"/>
              <w:rPr>
                <w:rFonts w:ascii="Arial" w:hAnsi="Arial" w:cs="Arial" w:eastAsia="Arial" w:hint="default"/>
                <w:sz w:val="18"/>
                <w:szCs w:val="18"/>
              </w:rPr>
            </w:pPr>
            <w:r>
              <w:rPr>
                <w:rFonts w:ascii="Arial"/>
                <w:spacing w:val="-1"/>
                <w:sz w:val="18"/>
              </w:rPr>
              <w:t>9,957,403</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3"/>
              <w:jc w:val="right"/>
              <w:rPr>
                <w:rFonts w:ascii="Arial" w:hAnsi="Arial" w:cs="Arial" w:eastAsia="Arial" w:hint="default"/>
                <w:sz w:val="18"/>
                <w:szCs w:val="18"/>
              </w:rPr>
            </w:pPr>
            <w:r>
              <w:rPr>
                <w:rFonts w:ascii="Arial"/>
                <w:w w:val="99"/>
                <w:sz w:val="18"/>
              </w:rPr>
              <w:t>-</w:t>
            </w:r>
            <w:r>
              <w:rPr>
                <w:rFonts w:ascii="Arial"/>
                <w:sz w:val="18"/>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26"/>
              <w:jc w:val="right"/>
              <w:rPr>
                <w:rFonts w:ascii="Arial" w:hAnsi="Arial" w:cs="Arial" w:eastAsia="Arial" w:hint="default"/>
                <w:sz w:val="18"/>
                <w:szCs w:val="18"/>
              </w:rPr>
            </w:pPr>
            <w:r>
              <w:rPr>
                <w:rFonts w:ascii="Arial"/>
                <w:w w:val="99"/>
                <w:sz w:val="18"/>
              </w:rPr>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43"/>
              <w:jc w:val="right"/>
              <w:rPr>
                <w:rFonts w:ascii="Arial" w:hAnsi="Arial" w:cs="Arial" w:eastAsia="Arial" w:hint="default"/>
                <w:sz w:val="18"/>
                <w:szCs w:val="18"/>
              </w:rPr>
            </w:pPr>
            <w:r>
              <w:rPr>
                <w:rFonts w:ascii="Arial"/>
                <w:spacing w:val="-1"/>
                <w:sz w:val="18"/>
              </w:rPr>
              <w:t>2,410,342</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1"/>
              <w:jc w:val="right"/>
              <w:rPr>
                <w:rFonts w:ascii="Arial" w:hAnsi="Arial" w:cs="Arial" w:eastAsia="Arial" w:hint="default"/>
                <w:sz w:val="18"/>
                <w:szCs w:val="18"/>
              </w:rPr>
            </w:pPr>
            <w:r>
              <w:rPr>
                <w:rFonts w:ascii="Arial"/>
                <w:w w:val="99"/>
                <w:sz w:val="18"/>
              </w:rPr>
              <w:t>-</w:t>
            </w:r>
            <w:r>
              <w:rPr>
                <w:rFonts w:ascii="Arial"/>
                <w:sz w:val="18"/>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5"/>
              <w:jc w:val="right"/>
              <w:rPr>
                <w:rFonts w:ascii="Arial" w:hAnsi="Arial" w:cs="Arial" w:eastAsia="Arial" w:hint="default"/>
                <w:sz w:val="18"/>
                <w:szCs w:val="18"/>
              </w:rPr>
            </w:pPr>
            <w:r>
              <w:rPr>
                <w:rFonts w:ascii="Arial"/>
                <w:spacing w:val="-1"/>
                <w:sz w:val="18"/>
              </w:rPr>
              <w:t>12,367,745</w:t>
            </w:r>
          </w:p>
        </w:tc>
      </w:tr>
      <w:tr>
        <w:trPr>
          <w:trHeight w:val="255"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3" w:lineRule="exact"/>
              <w:ind w:left="145" w:right="0"/>
              <w:jc w:val="left"/>
              <w:rPr>
                <w:rFonts w:ascii="黑体" w:hAnsi="黑体" w:cs="黑体" w:eastAsia="黑体" w:hint="default"/>
                <w:sz w:val="18"/>
                <w:szCs w:val="18"/>
              </w:rPr>
            </w:pPr>
            <w:r>
              <w:rPr>
                <w:rFonts w:ascii="黑体" w:hAnsi="黑体" w:cs="黑体" w:eastAsia="黑体" w:hint="default"/>
                <w:sz w:val="18"/>
                <w:szCs w:val="18"/>
              </w:rPr>
              <w:t>运输工具</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5"/>
              <w:jc w:val="right"/>
              <w:rPr>
                <w:rFonts w:ascii="Arial" w:hAnsi="Arial" w:cs="Arial" w:eastAsia="Arial" w:hint="default"/>
                <w:sz w:val="18"/>
                <w:szCs w:val="18"/>
              </w:rPr>
            </w:pPr>
            <w:r>
              <w:rPr>
                <w:rFonts w:ascii="Arial"/>
                <w:spacing w:val="-1"/>
                <w:sz w:val="18"/>
              </w:rPr>
              <w:t>19,391,898</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3"/>
              <w:jc w:val="right"/>
              <w:rPr>
                <w:rFonts w:ascii="Arial" w:hAnsi="Arial" w:cs="Arial" w:eastAsia="Arial" w:hint="default"/>
                <w:sz w:val="18"/>
                <w:szCs w:val="18"/>
              </w:rPr>
            </w:pPr>
            <w:r>
              <w:rPr>
                <w:rFonts w:ascii="Arial"/>
                <w:w w:val="99"/>
                <w:sz w:val="18"/>
              </w:rPr>
              <w:t>-</w:t>
            </w:r>
            <w:r>
              <w:rPr>
                <w:rFonts w:ascii="Arial"/>
                <w:sz w:val="18"/>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26"/>
              <w:jc w:val="right"/>
              <w:rPr>
                <w:rFonts w:ascii="Arial" w:hAnsi="Arial" w:cs="Arial" w:eastAsia="Arial" w:hint="default"/>
                <w:sz w:val="18"/>
                <w:szCs w:val="18"/>
              </w:rPr>
            </w:pPr>
            <w:r>
              <w:rPr>
                <w:rFonts w:ascii="Arial"/>
                <w:w w:val="99"/>
                <w:sz w:val="18"/>
              </w:rPr>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3"/>
              <w:jc w:val="right"/>
              <w:rPr>
                <w:rFonts w:ascii="Arial" w:hAnsi="Arial" w:cs="Arial" w:eastAsia="Arial" w:hint="default"/>
                <w:sz w:val="18"/>
                <w:szCs w:val="18"/>
              </w:rPr>
            </w:pPr>
            <w:r>
              <w:rPr>
                <w:rFonts w:ascii="Arial"/>
                <w:spacing w:val="-1"/>
                <w:sz w:val="18"/>
              </w:rPr>
              <w:t>4,374,995</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1"/>
              <w:jc w:val="right"/>
              <w:rPr>
                <w:rFonts w:ascii="Arial" w:hAnsi="Arial" w:cs="Arial" w:eastAsia="Arial" w:hint="default"/>
                <w:sz w:val="18"/>
                <w:szCs w:val="18"/>
              </w:rPr>
            </w:pPr>
            <w:r>
              <w:rPr>
                <w:rFonts w:ascii="Arial"/>
                <w:spacing w:val="-1"/>
                <w:sz w:val="18"/>
              </w:rPr>
              <w:t>1,242,661</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
              <w:jc w:val="right"/>
              <w:rPr>
                <w:rFonts w:ascii="Arial" w:hAnsi="Arial" w:cs="Arial" w:eastAsia="Arial" w:hint="default"/>
                <w:sz w:val="18"/>
                <w:szCs w:val="18"/>
              </w:rPr>
            </w:pPr>
            <w:r>
              <w:rPr>
                <w:rFonts w:ascii="Arial"/>
                <w:spacing w:val="-1"/>
                <w:sz w:val="18"/>
              </w:rPr>
              <w:t>22,524,232</w:t>
            </w:r>
          </w:p>
        </w:tc>
      </w:tr>
      <w:tr>
        <w:trPr>
          <w:trHeight w:val="274"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3" w:lineRule="exact"/>
              <w:ind w:left="145" w:right="0"/>
              <w:jc w:val="left"/>
              <w:rPr>
                <w:rFonts w:ascii="黑体" w:hAnsi="黑体" w:cs="黑体" w:eastAsia="黑体" w:hint="default"/>
                <w:sz w:val="18"/>
                <w:szCs w:val="18"/>
              </w:rPr>
            </w:pPr>
            <w:r>
              <w:rPr>
                <w:rFonts w:ascii="黑体" w:hAnsi="黑体" w:cs="黑体" w:eastAsia="黑体" w:hint="default"/>
                <w:sz w:val="18"/>
                <w:szCs w:val="18"/>
              </w:rPr>
              <w:t>办公及电子设备</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26"/>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1"/>
                <w:sz w:val="18"/>
                <w:u w:val="single" w:color="000000"/>
              </w:rPr>
              <w:t> </w:t>
            </w:r>
            <w:r>
              <w:rPr>
                <w:rFonts w:ascii="Arial"/>
                <w:spacing w:val="-1"/>
                <w:sz w:val="18"/>
                <w:u w:val="single" w:color="000000"/>
              </w:rPr>
              <w:t>91,508,903</w:t>
            </w:r>
            <w:r>
              <w:rPr>
                <w:rFonts w:ascii="Arial"/>
                <w:spacing w:val="-1"/>
                <w:sz w:val="18"/>
              </w:rPr>
            </w:r>
          </w:p>
        </w:tc>
        <w:tc>
          <w:tcPr>
            <w:tcW w:w="1053" w:type="dxa"/>
            <w:tcBorders>
              <w:top w:val="nil" w:sz="6" w:space="0" w:color="auto"/>
              <w:left w:val="nil" w:sz="6" w:space="0" w:color="auto"/>
              <w:bottom w:val="nil" w:sz="6" w:space="0" w:color="auto"/>
              <w:right w:val="nil" w:sz="6" w:space="0" w:color="auto"/>
            </w:tcBorders>
          </w:tcPr>
          <w:p>
            <w:pPr>
              <w:pStyle w:val="TableParagraph"/>
              <w:tabs>
                <w:tab w:pos="810" w:val="left" w:leader="none"/>
              </w:tabs>
              <w:spacing w:line="240" w:lineRule="auto" w:before="19"/>
              <w:ind w:right="132"/>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129" w:type="dxa"/>
            <w:tcBorders>
              <w:top w:val="nil" w:sz="6" w:space="0" w:color="auto"/>
              <w:left w:val="nil" w:sz="6" w:space="0" w:color="auto"/>
              <w:bottom w:val="nil" w:sz="6" w:space="0" w:color="auto"/>
              <w:right w:val="nil" w:sz="6" w:space="0" w:color="auto"/>
            </w:tcBorders>
          </w:tcPr>
          <w:p>
            <w:pPr>
              <w:pStyle w:val="TableParagraph"/>
              <w:tabs>
                <w:tab w:pos="810" w:val="left" w:leader="none"/>
              </w:tabs>
              <w:spacing w:line="240" w:lineRule="auto" w:before="19"/>
              <w:ind w:right="12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43"/>
              <w:jc w:val="right"/>
              <w:rPr>
                <w:rFonts w:ascii="Arial" w:hAnsi="Arial" w:cs="Arial" w:eastAsia="Arial" w:hint="default"/>
                <w:sz w:val="18"/>
                <w:szCs w:val="18"/>
              </w:rPr>
            </w:pPr>
            <w:r>
              <w:rPr>
                <w:rFonts w:ascii="Arial"/>
                <w:w w:val="99"/>
                <w:sz w:val="18"/>
              </w:rPr>
            </w:r>
            <w:r>
              <w:rPr>
                <w:rFonts w:ascii="Arial"/>
                <w:spacing w:val="-1"/>
                <w:sz w:val="18"/>
                <w:u w:val="single" w:color="000000"/>
              </w:rPr>
              <w:t>28,215,332</w:t>
            </w:r>
            <w:r>
              <w:rPr>
                <w:rFonts w:ascii="Arial"/>
                <w:spacing w:val="-1"/>
                <w:sz w:val="18"/>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1"/>
              <w:jc w:val="right"/>
              <w:rPr>
                <w:rFonts w:ascii="Arial" w:hAnsi="Arial" w:cs="Arial" w:eastAsia="Arial" w:hint="default"/>
                <w:sz w:val="18"/>
                <w:szCs w:val="18"/>
              </w:rPr>
            </w:pPr>
            <w:r>
              <w:rPr>
                <w:rFonts w:ascii="Arial"/>
                <w:w w:val="99"/>
                <w:sz w:val="18"/>
              </w:rPr>
            </w:r>
            <w:r>
              <w:rPr>
                <w:rFonts w:ascii="Arial"/>
                <w:spacing w:val="-1"/>
                <w:sz w:val="18"/>
                <w:u w:val="single" w:color="000000"/>
              </w:rPr>
              <w:t>13,081,360</w:t>
            </w:r>
            <w:r>
              <w:rPr>
                <w:rFonts w:ascii="Arial"/>
                <w:spacing w:val="-1"/>
                <w:sz w:val="18"/>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4"/>
              <w:jc w:val="right"/>
              <w:rPr>
                <w:rFonts w:ascii="Arial" w:hAnsi="Arial" w:cs="Arial" w:eastAsia="Arial" w:hint="default"/>
                <w:sz w:val="18"/>
                <w:szCs w:val="18"/>
              </w:rPr>
            </w:pPr>
            <w:r>
              <w:rPr>
                <w:rFonts w:ascii="Arial"/>
                <w:w w:val="99"/>
                <w:sz w:val="18"/>
              </w:rPr>
            </w:r>
            <w:r>
              <w:rPr>
                <w:rFonts w:ascii="Arial"/>
                <w:spacing w:val="-1"/>
                <w:sz w:val="18"/>
                <w:u w:val="single" w:color="000000"/>
              </w:rPr>
              <w:t>106,642,875</w:t>
            </w:r>
            <w:r>
              <w:rPr>
                <w:rFonts w:ascii="Arial"/>
                <w:spacing w:val="-1"/>
                <w:sz w:val="18"/>
              </w:rPr>
            </w:r>
          </w:p>
        </w:tc>
      </w:tr>
      <w:tr>
        <w:trPr>
          <w:trHeight w:val="392"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25"/>
              <w:jc w:val="right"/>
              <w:rPr>
                <w:rFonts w:ascii="Arial" w:hAnsi="Arial" w:cs="Arial" w:eastAsia="Arial" w:hint="default"/>
                <w:sz w:val="18"/>
                <w:szCs w:val="18"/>
              </w:rPr>
            </w:pPr>
            <w:r>
              <w:rPr>
                <w:rFonts w:ascii="Arial"/>
                <w:w w:val="99"/>
                <w:sz w:val="18"/>
              </w:rPr>
            </w:r>
            <w:r>
              <w:rPr>
                <w:rFonts w:ascii="Arial"/>
                <w:spacing w:val="-1"/>
                <w:sz w:val="18"/>
                <w:u w:val="thick" w:color="000000"/>
              </w:rPr>
              <w:t>134,592,237</w:t>
            </w:r>
            <w:r>
              <w:rPr>
                <w:rFonts w:ascii="Arial"/>
                <w:spacing w:val="-1"/>
                <w:sz w:val="18"/>
              </w:rPr>
            </w:r>
          </w:p>
        </w:tc>
        <w:tc>
          <w:tcPr>
            <w:tcW w:w="1053" w:type="dxa"/>
            <w:tcBorders>
              <w:top w:val="nil" w:sz="6" w:space="0" w:color="auto"/>
              <w:left w:val="nil" w:sz="6" w:space="0" w:color="auto"/>
              <w:bottom w:val="nil" w:sz="6" w:space="0" w:color="auto"/>
              <w:right w:val="nil" w:sz="6" w:space="0" w:color="auto"/>
            </w:tcBorders>
          </w:tcPr>
          <w:p>
            <w:pPr>
              <w:pStyle w:val="TableParagraph"/>
              <w:tabs>
                <w:tab w:pos="810" w:val="left" w:leader="none"/>
              </w:tabs>
              <w:spacing w:line="240" w:lineRule="auto" w:before="28"/>
              <w:ind w:right="132"/>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z w:val="18"/>
                <w:u w:val="thick" w:color="000000"/>
              </w:rPr>
              <w:tab/>
              <w:t>-</w:t>
            </w:r>
            <w:r>
              <w:rPr>
                <w:rFonts w:ascii="Arial"/>
                <w:sz w:val="18"/>
              </w:rPr>
            </w:r>
          </w:p>
        </w:tc>
        <w:tc>
          <w:tcPr>
            <w:tcW w:w="1129" w:type="dxa"/>
            <w:tcBorders>
              <w:top w:val="nil" w:sz="6" w:space="0" w:color="auto"/>
              <w:left w:val="nil" w:sz="6" w:space="0" w:color="auto"/>
              <w:bottom w:val="nil" w:sz="6" w:space="0" w:color="auto"/>
              <w:right w:val="nil" w:sz="6" w:space="0" w:color="auto"/>
            </w:tcBorders>
          </w:tcPr>
          <w:p>
            <w:pPr>
              <w:pStyle w:val="TableParagraph"/>
              <w:tabs>
                <w:tab w:pos="810" w:val="left" w:leader="none"/>
              </w:tabs>
              <w:spacing w:line="240" w:lineRule="auto" w:before="28"/>
              <w:ind w:right="125"/>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z w:val="18"/>
                <w:u w:val="thick" w:color="000000"/>
              </w:rPr>
              <w:tab/>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3"/>
              <w:jc w:val="right"/>
              <w:rPr>
                <w:rFonts w:ascii="Arial" w:hAnsi="Arial" w:cs="Arial" w:eastAsia="Arial" w:hint="default"/>
                <w:sz w:val="18"/>
                <w:szCs w:val="18"/>
              </w:rPr>
            </w:pPr>
            <w:r>
              <w:rPr>
                <w:rFonts w:ascii="Arial"/>
                <w:w w:val="99"/>
                <w:sz w:val="18"/>
              </w:rPr>
            </w:r>
            <w:r>
              <w:rPr>
                <w:rFonts w:ascii="Arial"/>
                <w:spacing w:val="-1"/>
                <w:sz w:val="18"/>
                <w:u w:val="thick" w:color="000000"/>
              </w:rPr>
              <w:t>43,734,130</w:t>
            </w:r>
            <w:r>
              <w:rPr>
                <w:rFonts w:ascii="Arial"/>
                <w:spacing w:val="-1"/>
                <w:sz w:val="18"/>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31"/>
              <w:jc w:val="right"/>
              <w:rPr>
                <w:rFonts w:ascii="Arial" w:hAnsi="Arial" w:cs="Arial" w:eastAsia="Arial" w:hint="default"/>
                <w:sz w:val="18"/>
                <w:szCs w:val="18"/>
              </w:rPr>
            </w:pPr>
            <w:r>
              <w:rPr>
                <w:rFonts w:ascii="Arial"/>
                <w:w w:val="99"/>
                <w:sz w:val="18"/>
              </w:rPr>
            </w:r>
            <w:r>
              <w:rPr>
                <w:rFonts w:ascii="Arial"/>
                <w:spacing w:val="-1"/>
                <w:sz w:val="18"/>
                <w:u w:val="thick" w:color="000000"/>
              </w:rPr>
              <w:t>14,368,681</w:t>
            </w:r>
            <w:r>
              <w:rPr>
                <w:rFonts w:ascii="Arial"/>
                <w:spacing w:val="-1"/>
                <w:sz w:val="18"/>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Arial" w:hAnsi="Arial" w:cs="Arial" w:eastAsia="Arial" w:hint="default"/>
                <w:sz w:val="18"/>
                <w:szCs w:val="18"/>
              </w:rPr>
            </w:pPr>
            <w:r>
              <w:rPr>
                <w:rFonts w:ascii="Arial"/>
                <w:w w:val="99"/>
                <w:sz w:val="18"/>
              </w:rPr>
            </w:r>
            <w:r>
              <w:rPr>
                <w:rFonts w:ascii="Arial"/>
                <w:spacing w:val="-1"/>
                <w:sz w:val="18"/>
                <w:u w:val="thick" w:color="000000"/>
              </w:rPr>
              <w:t>163,957,686</w:t>
            </w:r>
            <w:r>
              <w:rPr>
                <w:rFonts w:ascii="Arial"/>
                <w:spacing w:val="-1"/>
                <w:sz w:val="18"/>
              </w:rPr>
            </w:r>
          </w:p>
        </w:tc>
      </w:tr>
      <w:tr>
        <w:trPr>
          <w:trHeight w:val="378"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45" w:right="0"/>
              <w:jc w:val="left"/>
              <w:rPr>
                <w:rFonts w:ascii="黑体" w:hAnsi="黑体" w:cs="黑体" w:eastAsia="黑体" w:hint="default"/>
                <w:sz w:val="18"/>
                <w:szCs w:val="18"/>
              </w:rPr>
            </w:pPr>
            <w:r>
              <w:rPr>
                <w:rFonts w:ascii="黑体" w:hAnsi="黑体" w:cs="黑体" w:eastAsia="黑体" w:hint="default"/>
                <w:sz w:val="18"/>
                <w:szCs w:val="18"/>
              </w:rPr>
              <w:t>账面净值</w:t>
            </w:r>
          </w:p>
        </w:tc>
        <w:tc>
          <w:tcPr>
            <w:tcW w:w="1301"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c>
          <w:tcPr>
            <w:tcW w:w="1129"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
        </w:tc>
        <w:tc>
          <w:tcPr>
            <w:tcW w:w="1178" w:type="dxa"/>
            <w:tcBorders>
              <w:top w:val="nil" w:sz="6" w:space="0" w:color="auto"/>
              <w:left w:val="nil" w:sz="6" w:space="0" w:color="auto"/>
              <w:bottom w:val="nil" w:sz="6" w:space="0" w:color="auto"/>
              <w:right w:val="nil" w:sz="6" w:space="0" w:color="auto"/>
            </w:tcBorders>
          </w:tcPr>
          <w:p>
            <w:pPr/>
          </w:p>
        </w:tc>
      </w:tr>
      <w:tr>
        <w:trPr>
          <w:trHeight w:val="259"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8" w:lineRule="exact"/>
              <w:ind w:left="145" w:right="0"/>
              <w:jc w:val="left"/>
              <w:rPr>
                <w:rFonts w:ascii="黑体" w:hAnsi="黑体" w:cs="黑体" w:eastAsia="黑体" w:hint="default"/>
                <w:sz w:val="18"/>
                <w:szCs w:val="18"/>
              </w:rPr>
            </w:pPr>
            <w:r>
              <w:rPr>
                <w:rFonts w:ascii="黑体" w:hAnsi="黑体" w:cs="黑体" w:eastAsia="黑体" w:hint="default"/>
                <w:sz w:val="18"/>
                <w:szCs w:val="18"/>
              </w:rPr>
              <w:t>房屋及建筑物</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5"/>
              <w:jc w:val="right"/>
              <w:rPr>
                <w:rFonts w:ascii="Arial" w:hAnsi="Arial" w:cs="Arial" w:eastAsia="Arial" w:hint="default"/>
                <w:sz w:val="18"/>
                <w:szCs w:val="18"/>
              </w:rPr>
            </w:pPr>
            <w:r>
              <w:rPr>
                <w:rFonts w:ascii="Arial"/>
                <w:spacing w:val="-1"/>
                <w:sz w:val="18"/>
              </w:rPr>
              <w:t>358,796,119</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3"/>
              <w:jc w:val="right"/>
              <w:rPr>
                <w:rFonts w:ascii="Arial" w:hAnsi="Arial" w:cs="Arial" w:eastAsia="Arial" w:hint="default"/>
                <w:sz w:val="18"/>
                <w:szCs w:val="18"/>
              </w:rPr>
            </w:pPr>
            <w:r>
              <w:rPr>
                <w:rFonts w:ascii="Arial"/>
                <w:w w:val="99"/>
                <w:sz w:val="18"/>
              </w:rPr>
              <w:t>-</w:t>
            </w:r>
            <w:r>
              <w:rPr>
                <w:rFonts w:ascii="Arial"/>
                <w:sz w:val="18"/>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7"/>
              <w:jc w:val="right"/>
              <w:rPr>
                <w:rFonts w:ascii="Arial" w:hAnsi="Arial" w:cs="Arial" w:eastAsia="Arial" w:hint="default"/>
                <w:sz w:val="18"/>
                <w:szCs w:val="18"/>
              </w:rPr>
            </w:pPr>
            <w:r>
              <w:rPr>
                <w:rFonts w:ascii="Arial"/>
                <w:spacing w:val="-1"/>
                <w:sz w:val="18"/>
              </w:rPr>
              <w:t>2,283,966</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0"/>
              <w:jc w:val="right"/>
              <w:rPr>
                <w:rFonts w:ascii="Arial" w:hAnsi="Arial" w:cs="Arial" w:eastAsia="Arial" w:hint="default"/>
                <w:sz w:val="18"/>
                <w:szCs w:val="18"/>
              </w:rPr>
            </w:pPr>
            <w:r>
              <w:rPr>
                <w:rFonts w:ascii="Arial"/>
                <w:sz w:val="18"/>
              </w:rPr>
              <w:t>(  </w:t>
            </w:r>
            <w:r>
              <w:rPr>
                <w:rFonts w:ascii="Arial"/>
                <w:spacing w:val="18"/>
                <w:sz w:val="18"/>
              </w:rPr>
              <w:t> </w:t>
            </w:r>
            <w:r>
              <w:rPr>
                <w:rFonts w:ascii="Arial"/>
                <w:spacing w:val="-3"/>
                <w:sz w:val="18"/>
              </w:rPr>
              <w:t>8,160,672)</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1"/>
              <w:jc w:val="right"/>
              <w:rPr>
                <w:rFonts w:ascii="Arial" w:hAnsi="Arial" w:cs="Arial" w:eastAsia="Arial" w:hint="default"/>
                <w:sz w:val="18"/>
                <w:szCs w:val="18"/>
              </w:rPr>
            </w:pPr>
            <w:r>
              <w:rPr>
                <w:rFonts w:ascii="Arial"/>
                <w:spacing w:val="-1"/>
                <w:sz w:val="18"/>
              </w:rPr>
              <w:t>639,127</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5"/>
              <w:jc w:val="right"/>
              <w:rPr>
                <w:rFonts w:ascii="Arial" w:hAnsi="Arial" w:cs="Arial" w:eastAsia="Arial" w:hint="default"/>
                <w:sz w:val="18"/>
                <w:szCs w:val="18"/>
              </w:rPr>
            </w:pPr>
            <w:r>
              <w:rPr>
                <w:rFonts w:ascii="Arial"/>
                <w:spacing w:val="-1"/>
                <w:sz w:val="18"/>
              </w:rPr>
              <w:t>352,280,286</w:t>
            </w:r>
          </w:p>
        </w:tc>
      </w:tr>
      <w:tr>
        <w:trPr>
          <w:trHeight w:val="255"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3" w:lineRule="exact"/>
              <w:ind w:left="145" w:right="0"/>
              <w:jc w:val="left"/>
              <w:rPr>
                <w:rFonts w:ascii="黑体" w:hAnsi="黑体" w:cs="黑体" w:eastAsia="黑体" w:hint="default"/>
                <w:sz w:val="18"/>
                <w:szCs w:val="18"/>
              </w:rPr>
            </w:pPr>
            <w:r>
              <w:rPr>
                <w:rFonts w:ascii="黑体" w:hAnsi="黑体" w:cs="黑体" w:eastAsia="黑体" w:hint="default"/>
                <w:sz w:val="18"/>
                <w:szCs w:val="18"/>
              </w:rPr>
              <w:t>机器设备</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6"/>
              <w:jc w:val="right"/>
              <w:rPr>
                <w:rFonts w:ascii="Arial" w:hAnsi="Arial" w:cs="Arial" w:eastAsia="Arial" w:hint="default"/>
                <w:sz w:val="18"/>
                <w:szCs w:val="18"/>
              </w:rPr>
            </w:pPr>
            <w:r>
              <w:rPr>
                <w:rFonts w:ascii="Arial"/>
                <w:spacing w:val="-1"/>
                <w:sz w:val="18"/>
              </w:rPr>
              <w:t>59,812,549</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3"/>
              <w:jc w:val="right"/>
              <w:rPr>
                <w:rFonts w:ascii="Arial" w:hAnsi="Arial" w:cs="Arial" w:eastAsia="Arial" w:hint="default"/>
                <w:sz w:val="18"/>
                <w:szCs w:val="18"/>
              </w:rPr>
            </w:pPr>
            <w:r>
              <w:rPr>
                <w:rFonts w:ascii="Arial"/>
                <w:w w:val="99"/>
                <w:sz w:val="18"/>
              </w:rPr>
              <w:t>-</w:t>
            </w:r>
            <w:r>
              <w:rPr>
                <w:rFonts w:ascii="Arial"/>
                <w:sz w:val="18"/>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26"/>
              <w:jc w:val="right"/>
              <w:rPr>
                <w:rFonts w:ascii="Arial" w:hAnsi="Arial" w:cs="Arial" w:eastAsia="Arial" w:hint="default"/>
                <w:sz w:val="18"/>
                <w:szCs w:val="18"/>
              </w:rPr>
            </w:pPr>
            <w:r>
              <w:rPr>
                <w:rFonts w:ascii="Arial"/>
                <w:w w:val="99"/>
                <w:sz w:val="18"/>
              </w:rPr>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0"/>
              <w:jc w:val="right"/>
              <w:rPr>
                <w:rFonts w:ascii="Arial" w:hAnsi="Arial" w:cs="Arial" w:eastAsia="Arial" w:hint="default"/>
                <w:sz w:val="18"/>
                <w:szCs w:val="18"/>
              </w:rPr>
            </w:pPr>
            <w:r>
              <w:rPr>
                <w:rFonts w:ascii="Arial"/>
                <w:sz w:val="18"/>
              </w:rPr>
              <w:t>(  </w:t>
            </w:r>
            <w:r>
              <w:rPr>
                <w:rFonts w:ascii="Arial"/>
                <w:spacing w:val="18"/>
                <w:sz w:val="18"/>
              </w:rPr>
              <w:t> </w:t>
            </w:r>
            <w:r>
              <w:rPr>
                <w:rFonts w:ascii="Arial"/>
                <w:spacing w:val="-3"/>
                <w:sz w:val="18"/>
              </w:rPr>
              <w:t>2,406,842)</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2"/>
              <w:jc w:val="right"/>
              <w:rPr>
                <w:rFonts w:ascii="Arial" w:hAnsi="Arial" w:cs="Arial" w:eastAsia="Arial" w:hint="default"/>
                <w:sz w:val="18"/>
                <w:szCs w:val="18"/>
              </w:rPr>
            </w:pPr>
            <w:r>
              <w:rPr>
                <w:rFonts w:ascii="Arial"/>
                <w:w w:val="99"/>
                <w:sz w:val="18"/>
              </w:rPr>
              <w:t>-</w:t>
            </w:r>
            <w:r>
              <w:rPr>
                <w:rFonts w:ascii="Arial"/>
                <w:sz w:val="18"/>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
              <w:jc w:val="right"/>
              <w:rPr>
                <w:rFonts w:ascii="Arial" w:hAnsi="Arial" w:cs="Arial" w:eastAsia="Arial" w:hint="default"/>
                <w:sz w:val="18"/>
                <w:szCs w:val="18"/>
              </w:rPr>
            </w:pPr>
            <w:r>
              <w:rPr>
                <w:rFonts w:ascii="Arial"/>
                <w:spacing w:val="-1"/>
                <w:sz w:val="18"/>
              </w:rPr>
              <w:t>57,405,707</w:t>
            </w:r>
          </w:p>
        </w:tc>
      </w:tr>
      <w:tr>
        <w:trPr>
          <w:trHeight w:val="255"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3" w:lineRule="exact"/>
              <w:ind w:left="145" w:right="0"/>
              <w:jc w:val="left"/>
              <w:rPr>
                <w:rFonts w:ascii="黑体" w:hAnsi="黑体" w:cs="黑体" w:eastAsia="黑体" w:hint="default"/>
                <w:sz w:val="18"/>
                <w:szCs w:val="18"/>
              </w:rPr>
            </w:pPr>
            <w:r>
              <w:rPr>
                <w:rFonts w:ascii="黑体" w:hAnsi="黑体" w:cs="黑体" w:eastAsia="黑体" w:hint="default"/>
                <w:sz w:val="18"/>
                <w:szCs w:val="18"/>
              </w:rPr>
              <w:t>运输工具</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26"/>
              <w:jc w:val="right"/>
              <w:rPr>
                <w:rFonts w:ascii="Arial" w:hAnsi="Arial" w:cs="Arial" w:eastAsia="Arial" w:hint="default"/>
                <w:sz w:val="18"/>
                <w:szCs w:val="18"/>
              </w:rPr>
            </w:pPr>
            <w:r>
              <w:rPr>
                <w:rFonts w:ascii="Arial"/>
                <w:spacing w:val="-1"/>
                <w:sz w:val="18"/>
              </w:rPr>
              <w:t>14,934,598</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3"/>
              <w:jc w:val="right"/>
              <w:rPr>
                <w:rFonts w:ascii="Arial" w:hAnsi="Arial" w:cs="Arial" w:eastAsia="Arial" w:hint="default"/>
                <w:sz w:val="18"/>
                <w:szCs w:val="18"/>
              </w:rPr>
            </w:pPr>
            <w:r>
              <w:rPr>
                <w:rFonts w:ascii="Arial"/>
                <w:spacing w:val="-1"/>
                <w:sz w:val="18"/>
              </w:rPr>
              <w:t>121,403</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26"/>
              <w:jc w:val="right"/>
              <w:rPr>
                <w:rFonts w:ascii="Arial" w:hAnsi="Arial" w:cs="Arial" w:eastAsia="Arial" w:hint="default"/>
                <w:sz w:val="18"/>
                <w:szCs w:val="18"/>
              </w:rPr>
            </w:pPr>
            <w:r>
              <w:rPr>
                <w:rFonts w:ascii="Arial"/>
                <w:w w:val="99"/>
                <w:sz w:val="18"/>
              </w:rPr>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43"/>
              <w:jc w:val="right"/>
              <w:rPr>
                <w:rFonts w:ascii="Arial" w:hAnsi="Arial" w:cs="Arial" w:eastAsia="Arial" w:hint="default"/>
                <w:sz w:val="18"/>
                <w:szCs w:val="18"/>
              </w:rPr>
            </w:pPr>
            <w:r>
              <w:rPr>
                <w:rFonts w:ascii="Arial"/>
                <w:spacing w:val="-1"/>
                <w:sz w:val="18"/>
              </w:rPr>
              <w:t>2,672,536</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1"/>
              <w:jc w:val="right"/>
              <w:rPr>
                <w:rFonts w:ascii="Arial" w:hAnsi="Arial" w:cs="Arial" w:eastAsia="Arial" w:hint="default"/>
                <w:sz w:val="18"/>
                <w:szCs w:val="18"/>
              </w:rPr>
            </w:pPr>
            <w:r>
              <w:rPr>
                <w:rFonts w:ascii="Arial"/>
                <w:spacing w:val="-1"/>
                <w:sz w:val="18"/>
              </w:rPr>
              <w:t>478,650</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5"/>
              <w:jc w:val="right"/>
              <w:rPr>
                <w:rFonts w:ascii="Arial" w:hAnsi="Arial" w:cs="Arial" w:eastAsia="Arial" w:hint="default"/>
                <w:sz w:val="18"/>
                <w:szCs w:val="18"/>
              </w:rPr>
            </w:pPr>
            <w:r>
              <w:rPr>
                <w:rFonts w:ascii="Arial"/>
                <w:spacing w:val="-1"/>
                <w:sz w:val="18"/>
              </w:rPr>
              <w:t>17,249,887</w:t>
            </w:r>
          </w:p>
        </w:tc>
      </w:tr>
      <w:tr>
        <w:trPr>
          <w:trHeight w:val="259"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3" w:lineRule="exact"/>
              <w:ind w:left="145" w:right="0"/>
              <w:jc w:val="left"/>
              <w:rPr>
                <w:rFonts w:ascii="黑体" w:hAnsi="黑体" w:cs="黑体" w:eastAsia="黑体" w:hint="default"/>
                <w:sz w:val="18"/>
                <w:szCs w:val="18"/>
              </w:rPr>
            </w:pPr>
            <w:r>
              <w:rPr>
                <w:rFonts w:ascii="黑体" w:hAnsi="黑体" w:cs="黑体" w:eastAsia="黑体" w:hint="default"/>
                <w:sz w:val="18"/>
                <w:szCs w:val="18"/>
              </w:rPr>
              <w:t>办公及电子设备</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6"/>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sz w:val="18"/>
                <w:u w:val="single" w:color="000000"/>
              </w:rPr>
              <w:t>77,002,440</w:t>
            </w:r>
            <w:r>
              <w:rPr>
                <w:rFonts w:ascii="Arial"/>
                <w:spacing w:val="-1"/>
                <w:sz w:val="18"/>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2"/>
              <w:jc w:val="right"/>
              <w:rPr>
                <w:rFonts w:ascii="Arial" w:hAnsi="Arial" w:cs="Arial" w:eastAsia="Arial" w:hint="default"/>
                <w:sz w:val="18"/>
                <w:szCs w:val="18"/>
              </w:rPr>
            </w:pPr>
            <w:r>
              <w:rPr>
                <w:rFonts w:ascii="Arial"/>
                <w:w w:val="99"/>
                <w:sz w:val="18"/>
              </w:rPr>
            </w:r>
            <w:r>
              <w:rPr>
                <w:rFonts w:ascii="Arial"/>
                <w:spacing w:val="-1"/>
                <w:sz w:val="18"/>
                <w:u w:val="single" w:color="000000"/>
              </w:rPr>
              <w:t>1,512,328</w:t>
            </w:r>
            <w:r>
              <w:rPr>
                <w:rFonts w:ascii="Arial"/>
                <w:spacing w:val="-1"/>
                <w:sz w:val="18"/>
              </w:rPr>
            </w:r>
          </w:p>
        </w:tc>
        <w:tc>
          <w:tcPr>
            <w:tcW w:w="1129" w:type="dxa"/>
            <w:tcBorders>
              <w:top w:val="nil" w:sz="6" w:space="0" w:color="auto"/>
              <w:left w:val="nil" w:sz="6" w:space="0" w:color="auto"/>
              <w:bottom w:val="nil" w:sz="6" w:space="0" w:color="auto"/>
              <w:right w:val="nil" w:sz="6" w:space="0" w:color="auto"/>
            </w:tcBorders>
          </w:tcPr>
          <w:p>
            <w:pPr>
              <w:pStyle w:val="TableParagraph"/>
              <w:tabs>
                <w:tab w:pos="810" w:val="left" w:leader="none"/>
              </w:tabs>
              <w:spacing w:line="240" w:lineRule="auto" w:before="18"/>
              <w:ind w:right="12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10"/>
                <w:sz w:val="18"/>
                <w:u w:val="single" w:color="000000"/>
              </w:rPr>
              <w:t> </w:t>
            </w:r>
            <w:r>
              <w:rPr>
                <w:rFonts w:ascii="Arial"/>
                <w:spacing w:val="-1"/>
                <w:sz w:val="18"/>
                <w:u w:val="single" w:color="000000"/>
              </w:rPr>
              <w:t>2,281,963</w:t>
            </w:r>
            <w:r>
              <w:rPr>
                <w:rFonts w:ascii="Arial"/>
                <w:spacing w:val="-1"/>
                <w:sz w:val="18"/>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1"/>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sz w:val="18"/>
                <w:u w:val="single" w:color="000000"/>
              </w:rPr>
              <w:t>1,643,643</w:t>
            </w:r>
            <w:r>
              <w:rPr>
                <w:rFonts w:ascii="Arial"/>
                <w:spacing w:val="-1"/>
                <w:sz w:val="18"/>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sz w:val="18"/>
                <w:u w:val="single" w:color="000000"/>
              </w:rPr>
              <w:t>79,153,088</w:t>
            </w:r>
            <w:r>
              <w:rPr>
                <w:rFonts w:ascii="Arial"/>
                <w:spacing w:val="-1"/>
                <w:sz w:val="18"/>
              </w:rPr>
            </w:r>
          </w:p>
        </w:tc>
      </w:tr>
      <w:tr>
        <w:trPr>
          <w:trHeight w:val="378"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5"/>
              <w:jc w:val="right"/>
              <w:rPr>
                <w:rFonts w:ascii="Arial" w:hAnsi="Arial" w:cs="Arial" w:eastAsia="Arial" w:hint="default"/>
                <w:sz w:val="18"/>
                <w:szCs w:val="18"/>
              </w:rPr>
            </w:pPr>
            <w:r>
              <w:rPr>
                <w:rFonts w:ascii="Arial"/>
                <w:w w:val="99"/>
                <w:sz w:val="18"/>
              </w:rPr>
            </w:r>
            <w:r>
              <w:rPr>
                <w:rFonts w:ascii="Arial"/>
                <w:spacing w:val="-1"/>
                <w:sz w:val="18"/>
                <w:u w:val="thick" w:color="000000"/>
              </w:rPr>
              <w:t>510,545,706</w:t>
            </w:r>
            <w:r>
              <w:rPr>
                <w:rFonts w:ascii="Arial"/>
                <w:spacing w:val="-1"/>
                <w:sz w:val="18"/>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2"/>
              <w:jc w:val="right"/>
              <w:rPr>
                <w:rFonts w:ascii="Arial" w:hAnsi="Arial" w:cs="Arial" w:eastAsia="Arial" w:hint="default"/>
                <w:sz w:val="18"/>
                <w:szCs w:val="18"/>
              </w:rPr>
            </w:pPr>
            <w:r>
              <w:rPr>
                <w:rFonts w:ascii="Arial"/>
                <w:w w:val="99"/>
                <w:sz w:val="18"/>
              </w:rPr>
            </w:r>
            <w:r>
              <w:rPr>
                <w:rFonts w:ascii="Arial"/>
                <w:spacing w:val="-1"/>
                <w:sz w:val="18"/>
                <w:u w:val="thick" w:color="000000"/>
              </w:rPr>
              <w:t>1,633,731</w:t>
            </w:r>
            <w:r>
              <w:rPr>
                <w:rFonts w:ascii="Arial"/>
                <w:spacing w:val="-1"/>
                <w:sz w:val="18"/>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5"/>
              <w:jc w:val="right"/>
              <w:rPr>
                <w:rFonts w:ascii="Arial" w:hAnsi="Arial" w:cs="Arial" w:eastAsia="Arial" w:hint="default"/>
                <w:sz w:val="18"/>
                <w:szCs w:val="18"/>
              </w:rPr>
            </w:pPr>
            <w:r>
              <w:rPr>
                <w:rFonts w:ascii="Arial"/>
                <w:w w:val="99"/>
                <w:sz w:val="18"/>
              </w:rPr>
            </w:r>
            <w:r>
              <w:rPr>
                <w:rFonts w:ascii="Arial"/>
                <w:spacing w:val="-1"/>
                <w:sz w:val="18"/>
                <w:u w:val="thick" w:color="000000"/>
              </w:rPr>
              <w:t>2,283,966</w:t>
            </w:r>
            <w:r>
              <w:rPr>
                <w:rFonts w:ascii="Arial"/>
                <w:spacing w:val="-1"/>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right"/>
              <w:rPr>
                <w:rFonts w:ascii="Arial" w:hAnsi="Arial" w:cs="Arial" w:eastAsia="Arial" w:hint="default"/>
                <w:sz w:val="18"/>
                <w:szCs w:val="18"/>
              </w:rPr>
            </w:pPr>
            <w:r>
              <w:rPr>
                <w:rFonts w:ascii="Arial"/>
                <w:sz w:val="18"/>
              </w:rPr>
              <w:t>(  </w:t>
            </w:r>
            <w:r>
              <w:rPr>
                <w:rFonts w:ascii="Arial"/>
                <w:spacing w:val="17"/>
                <w:sz w:val="18"/>
              </w:rPr>
              <w:t> </w:t>
            </w:r>
            <w:r>
              <w:rPr>
                <w:rFonts w:ascii="Arial"/>
                <w:spacing w:val="17"/>
                <w:sz w:val="18"/>
                <w:u w:val="thick" w:color="000000"/>
              </w:rPr>
              <w:t> </w:t>
            </w:r>
            <w:r>
              <w:rPr>
                <w:rFonts w:ascii="Arial"/>
                <w:spacing w:val="-3"/>
                <w:sz w:val="18"/>
                <w:u w:val="thick" w:color="000000"/>
              </w:rPr>
              <w:t>5,613,015</w:t>
            </w:r>
            <w:r>
              <w:rPr>
                <w:rFonts w:ascii="Arial"/>
                <w:spacing w:val="-3"/>
                <w:sz w:val="18"/>
              </w:rPr>
              <w:t>)</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1"/>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pacing w:val="-11"/>
                <w:sz w:val="18"/>
                <w:u w:val="thick" w:color="000000"/>
              </w:rPr>
              <w:t> </w:t>
            </w:r>
            <w:r>
              <w:rPr>
                <w:rFonts w:ascii="Arial"/>
                <w:spacing w:val="-1"/>
                <w:sz w:val="18"/>
                <w:u w:val="thick" w:color="000000"/>
              </w:rPr>
              <w:t>2,761,420</w:t>
            </w:r>
            <w:r>
              <w:rPr>
                <w:rFonts w:ascii="Arial"/>
                <w:spacing w:val="-1"/>
                <w:sz w:val="18"/>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Arial" w:hAnsi="Arial" w:cs="Arial" w:eastAsia="Arial" w:hint="default"/>
                <w:sz w:val="18"/>
                <w:szCs w:val="18"/>
              </w:rPr>
            </w:pPr>
            <w:r>
              <w:rPr>
                <w:rFonts w:ascii="Arial"/>
                <w:w w:val="99"/>
                <w:sz w:val="18"/>
              </w:rPr>
            </w:r>
            <w:r>
              <w:rPr>
                <w:rFonts w:ascii="Arial"/>
                <w:spacing w:val="-1"/>
                <w:sz w:val="18"/>
                <w:u w:val="thick" w:color="000000"/>
              </w:rPr>
              <w:t>506,088,968</w:t>
            </w:r>
            <w:r>
              <w:rPr>
                <w:rFonts w:ascii="Arial"/>
                <w:spacing w:val="-1"/>
                <w:sz w:val="18"/>
              </w:rPr>
            </w:r>
          </w:p>
        </w:tc>
      </w:tr>
      <w:tr>
        <w:trPr>
          <w:trHeight w:val="378"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45" w:right="0"/>
              <w:jc w:val="left"/>
              <w:rPr>
                <w:rFonts w:ascii="黑体" w:hAnsi="黑体" w:cs="黑体" w:eastAsia="黑体" w:hint="default"/>
                <w:sz w:val="18"/>
                <w:szCs w:val="18"/>
              </w:rPr>
            </w:pPr>
            <w:r>
              <w:rPr>
                <w:rFonts w:ascii="黑体" w:hAnsi="黑体" w:cs="黑体" w:eastAsia="黑体" w:hint="default"/>
                <w:sz w:val="18"/>
                <w:szCs w:val="18"/>
              </w:rPr>
              <w:t>减值准备</w:t>
            </w:r>
          </w:p>
        </w:tc>
        <w:tc>
          <w:tcPr>
            <w:tcW w:w="1301"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c>
          <w:tcPr>
            <w:tcW w:w="1129"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
        </w:tc>
        <w:tc>
          <w:tcPr>
            <w:tcW w:w="1178" w:type="dxa"/>
            <w:tcBorders>
              <w:top w:val="nil" w:sz="6" w:space="0" w:color="auto"/>
              <w:left w:val="nil" w:sz="6" w:space="0" w:color="auto"/>
              <w:bottom w:val="nil" w:sz="6" w:space="0" w:color="auto"/>
              <w:right w:val="nil" w:sz="6" w:space="0" w:color="auto"/>
            </w:tcBorders>
          </w:tcPr>
          <w:p>
            <w:pPr/>
          </w:p>
        </w:tc>
      </w:tr>
      <w:tr>
        <w:trPr>
          <w:trHeight w:val="259"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7" w:lineRule="exact"/>
              <w:ind w:left="145" w:right="0"/>
              <w:jc w:val="left"/>
              <w:rPr>
                <w:rFonts w:ascii="黑体" w:hAnsi="黑体" w:cs="黑体" w:eastAsia="黑体" w:hint="default"/>
                <w:sz w:val="18"/>
                <w:szCs w:val="18"/>
              </w:rPr>
            </w:pPr>
            <w:r>
              <w:rPr>
                <w:rFonts w:ascii="黑体" w:hAnsi="黑体" w:cs="黑体" w:eastAsia="黑体" w:hint="default"/>
                <w:sz w:val="18"/>
                <w:szCs w:val="18"/>
              </w:rPr>
              <w:t>房屋及建筑物</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6"/>
              <w:jc w:val="right"/>
              <w:rPr>
                <w:rFonts w:ascii="Arial" w:hAnsi="Arial" w:cs="Arial" w:eastAsia="Arial" w:hint="default"/>
                <w:sz w:val="18"/>
                <w:szCs w:val="18"/>
              </w:rPr>
            </w:pPr>
            <w:r>
              <w:rPr>
                <w:rFonts w:ascii="Arial"/>
                <w:w w:val="99"/>
                <w:sz w:val="18"/>
              </w:rPr>
              <w:t>-</w:t>
            </w:r>
            <w:r>
              <w:rPr>
                <w:rFonts w:ascii="Arial"/>
                <w:sz w:val="18"/>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2"/>
              <w:jc w:val="right"/>
              <w:rPr>
                <w:rFonts w:ascii="Arial" w:hAnsi="Arial" w:cs="Arial" w:eastAsia="Arial" w:hint="default"/>
                <w:sz w:val="18"/>
                <w:szCs w:val="18"/>
              </w:rPr>
            </w:pPr>
            <w:r>
              <w:rPr>
                <w:rFonts w:ascii="Arial"/>
                <w:w w:val="99"/>
                <w:sz w:val="18"/>
              </w:rPr>
              <w:t>-</w:t>
            </w:r>
            <w:r>
              <w:rPr>
                <w:rFonts w:ascii="Arial"/>
                <w:sz w:val="18"/>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7"/>
              <w:jc w:val="right"/>
              <w:rPr>
                <w:rFonts w:ascii="Arial" w:hAnsi="Arial" w:cs="Arial" w:eastAsia="Arial" w:hint="default"/>
                <w:sz w:val="18"/>
                <w:szCs w:val="18"/>
              </w:rPr>
            </w:pPr>
            <w:r>
              <w:rPr>
                <w:rFonts w:ascii="Arial"/>
                <w:w w:val="99"/>
                <w:sz w:val="18"/>
              </w:rPr>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3"/>
              <w:jc w:val="right"/>
              <w:rPr>
                <w:rFonts w:ascii="Arial" w:hAnsi="Arial" w:cs="Arial" w:eastAsia="Arial" w:hint="default"/>
                <w:sz w:val="18"/>
                <w:szCs w:val="18"/>
              </w:rPr>
            </w:pPr>
            <w:r>
              <w:rPr>
                <w:rFonts w:ascii="Arial"/>
                <w:w w:val="99"/>
                <w:sz w:val="18"/>
              </w:rPr>
              <w:t>-</w:t>
            </w:r>
            <w:r>
              <w:rPr>
                <w:rFonts w:ascii="Arial"/>
                <w:sz w:val="18"/>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1"/>
              <w:jc w:val="right"/>
              <w:rPr>
                <w:rFonts w:ascii="Arial" w:hAnsi="Arial" w:cs="Arial" w:eastAsia="Arial" w:hint="default"/>
                <w:sz w:val="18"/>
                <w:szCs w:val="18"/>
              </w:rPr>
            </w:pPr>
            <w:r>
              <w:rPr>
                <w:rFonts w:ascii="Arial"/>
                <w:w w:val="99"/>
                <w:sz w:val="18"/>
              </w:rPr>
              <w:t>-</w:t>
            </w:r>
            <w:r>
              <w:rPr>
                <w:rFonts w:ascii="Arial"/>
                <w:sz w:val="18"/>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5"/>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3" w:lineRule="exact"/>
              <w:ind w:left="145" w:right="0"/>
              <w:jc w:val="left"/>
              <w:rPr>
                <w:rFonts w:ascii="黑体" w:hAnsi="黑体" w:cs="黑体" w:eastAsia="黑体" w:hint="default"/>
                <w:sz w:val="18"/>
                <w:szCs w:val="18"/>
              </w:rPr>
            </w:pPr>
            <w:r>
              <w:rPr>
                <w:rFonts w:ascii="黑体" w:hAnsi="黑体" w:cs="黑体" w:eastAsia="黑体" w:hint="default"/>
                <w:sz w:val="18"/>
                <w:szCs w:val="18"/>
              </w:rPr>
              <w:t>机器设备</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26"/>
              <w:jc w:val="right"/>
              <w:rPr>
                <w:rFonts w:ascii="Arial" w:hAnsi="Arial" w:cs="Arial" w:eastAsia="Arial" w:hint="default"/>
                <w:sz w:val="18"/>
                <w:szCs w:val="18"/>
              </w:rPr>
            </w:pPr>
            <w:r>
              <w:rPr>
                <w:rFonts w:ascii="Arial"/>
                <w:w w:val="99"/>
                <w:sz w:val="18"/>
              </w:rPr>
              <w:t>-</w:t>
            </w:r>
            <w:r>
              <w:rPr>
                <w:rFonts w:ascii="Arial"/>
                <w:sz w:val="18"/>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2"/>
              <w:jc w:val="right"/>
              <w:rPr>
                <w:rFonts w:ascii="Arial" w:hAnsi="Arial" w:cs="Arial" w:eastAsia="Arial" w:hint="default"/>
                <w:sz w:val="18"/>
                <w:szCs w:val="18"/>
              </w:rPr>
            </w:pPr>
            <w:r>
              <w:rPr>
                <w:rFonts w:ascii="Arial"/>
                <w:w w:val="99"/>
                <w:sz w:val="18"/>
              </w:rPr>
              <w:t>-</w:t>
            </w:r>
            <w:r>
              <w:rPr>
                <w:rFonts w:ascii="Arial"/>
                <w:sz w:val="18"/>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27"/>
              <w:jc w:val="right"/>
              <w:rPr>
                <w:rFonts w:ascii="Arial" w:hAnsi="Arial" w:cs="Arial" w:eastAsia="Arial" w:hint="default"/>
                <w:sz w:val="18"/>
                <w:szCs w:val="18"/>
              </w:rPr>
            </w:pPr>
            <w:r>
              <w:rPr>
                <w:rFonts w:ascii="Arial"/>
                <w:w w:val="99"/>
                <w:sz w:val="18"/>
              </w:rPr>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43"/>
              <w:jc w:val="right"/>
              <w:rPr>
                <w:rFonts w:ascii="Arial" w:hAnsi="Arial" w:cs="Arial" w:eastAsia="Arial" w:hint="default"/>
                <w:sz w:val="18"/>
                <w:szCs w:val="18"/>
              </w:rPr>
            </w:pPr>
            <w:r>
              <w:rPr>
                <w:rFonts w:ascii="Arial"/>
                <w:w w:val="99"/>
                <w:sz w:val="18"/>
              </w:rPr>
              <w:t>-</w:t>
            </w:r>
            <w:r>
              <w:rPr>
                <w:rFonts w:ascii="Arial"/>
                <w:sz w:val="18"/>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1"/>
              <w:jc w:val="right"/>
              <w:rPr>
                <w:rFonts w:ascii="Arial" w:hAnsi="Arial" w:cs="Arial" w:eastAsia="Arial" w:hint="default"/>
                <w:sz w:val="18"/>
                <w:szCs w:val="18"/>
              </w:rPr>
            </w:pPr>
            <w:r>
              <w:rPr>
                <w:rFonts w:ascii="Arial"/>
                <w:w w:val="99"/>
                <w:sz w:val="18"/>
              </w:rPr>
              <w:t>-</w:t>
            </w:r>
            <w:r>
              <w:rPr>
                <w:rFonts w:ascii="Arial"/>
                <w:sz w:val="18"/>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5"/>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3" w:lineRule="exact"/>
              <w:ind w:left="145" w:right="0"/>
              <w:jc w:val="left"/>
              <w:rPr>
                <w:rFonts w:ascii="黑体" w:hAnsi="黑体" w:cs="黑体" w:eastAsia="黑体" w:hint="default"/>
                <w:sz w:val="18"/>
                <w:szCs w:val="18"/>
              </w:rPr>
            </w:pPr>
            <w:r>
              <w:rPr>
                <w:rFonts w:ascii="黑体" w:hAnsi="黑体" w:cs="黑体" w:eastAsia="黑体" w:hint="default"/>
                <w:sz w:val="18"/>
                <w:szCs w:val="18"/>
              </w:rPr>
              <w:t>运输工具</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6"/>
              <w:jc w:val="right"/>
              <w:rPr>
                <w:rFonts w:ascii="Arial" w:hAnsi="Arial" w:cs="Arial" w:eastAsia="Arial" w:hint="default"/>
                <w:sz w:val="18"/>
                <w:szCs w:val="18"/>
              </w:rPr>
            </w:pPr>
            <w:r>
              <w:rPr>
                <w:rFonts w:ascii="Arial"/>
                <w:w w:val="99"/>
                <w:sz w:val="18"/>
              </w:rPr>
              <w:t>-</w:t>
            </w:r>
            <w:r>
              <w:rPr>
                <w:rFonts w:ascii="Arial"/>
                <w:sz w:val="18"/>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2"/>
              <w:jc w:val="right"/>
              <w:rPr>
                <w:rFonts w:ascii="Arial" w:hAnsi="Arial" w:cs="Arial" w:eastAsia="Arial" w:hint="default"/>
                <w:sz w:val="18"/>
                <w:szCs w:val="18"/>
              </w:rPr>
            </w:pPr>
            <w:r>
              <w:rPr>
                <w:rFonts w:ascii="Arial"/>
                <w:w w:val="99"/>
                <w:sz w:val="18"/>
              </w:rPr>
              <w:t>-</w:t>
            </w:r>
            <w:r>
              <w:rPr>
                <w:rFonts w:ascii="Arial"/>
                <w:sz w:val="18"/>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27"/>
              <w:jc w:val="right"/>
              <w:rPr>
                <w:rFonts w:ascii="Arial" w:hAnsi="Arial" w:cs="Arial" w:eastAsia="Arial" w:hint="default"/>
                <w:sz w:val="18"/>
                <w:szCs w:val="18"/>
              </w:rPr>
            </w:pPr>
            <w:r>
              <w:rPr>
                <w:rFonts w:ascii="Arial"/>
                <w:w w:val="99"/>
                <w:sz w:val="18"/>
              </w:rPr>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3"/>
              <w:jc w:val="right"/>
              <w:rPr>
                <w:rFonts w:ascii="Arial" w:hAnsi="Arial" w:cs="Arial" w:eastAsia="Arial" w:hint="default"/>
                <w:sz w:val="18"/>
                <w:szCs w:val="18"/>
              </w:rPr>
            </w:pPr>
            <w:r>
              <w:rPr>
                <w:rFonts w:ascii="Arial"/>
                <w:w w:val="99"/>
                <w:sz w:val="18"/>
              </w:rPr>
              <w:t>-</w:t>
            </w:r>
            <w:r>
              <w:rPr>
                <w:rFonts w:ascii="Arial"/>
                <w:sz w:val="18"/>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1"/>
              <w:jc w:val="right"/>
              <w:rPr>
                <w:rFonts w:ascii="Arial" w:hAnsi="Arial" w:cs="Arial" w:eastAsia="Arial" w:hint="default"/>
                <w:sz w:val="18"/>
                <w:szCs w:val="18"/>
              </w:rPr>
            </w:pPr>
            <w:r>
              <w:rPr>
                <w:rFonts w:ascii="Arial"/>
                <w:w w:val="99"/>
                <w:sz w:val="18"/>
              </w:rPr>
              <w:t>-</w:t>
            </w:r>
            <w:r>
              <w:rPr>
                <w:rFonts w:ascii="Arial"/>
                <w:sz w:val="18"/>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
              <w:jc w:val="right"/>
              <w:rPr>
                <w:rFonts w:ascii="Arial" w:hAnsi="Arial" w:cs="Arial" w:eastAsia="Arial" w:hint="default"/>
                <w:sz w:val="18"/>
                <w:szCs w:val="18"/>
              </w:rPr>
            </w:pPr>
            <w:r>
              <w:rPr>
                <w:rFonts w:ascii="Arial"/>
                <w:w w:val="99"/>
                <w:sz w:val="18"/>
              </w:rPr>
              <w:t>-</w:t>
            </w:r>
            <w:r>
              <w:rPr>
                <w:rFonts w:ascii="Arial"/>
                <w:sz w:val="18"/>
              </w:rPr>
            </w:r>
          </w:p>
        </w:tc>
      </w:tr>
      <w:tr>
        <w:trPr>
          <w:trHeight w:val="260"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3" w:lineRule="exact"/>
              <w:ind w:left="145" w:right="0"/>
              <w:jc w:val="left"/>
              <w:rPr>
                <w:rFonts w:ascii="黑体" w:hAnsi="黑体" w:cs="黑体" w:eastAsia="黑体" w:hint="default"/>
                <w:sz w:val="18"/>
                <w:szCs w:val="18"/>
              </w:rPr>
            </w:pPr>
            <w:r>
              <w:rPr>
                <w:rFonts w:ascii="黑体" w:hAnsi="黑体" w:cs="黑体" w:eastAsia="黑体" w:hint="default"/>
                <w:sz w:val="18"/>
                <w:szCs w:val="18"/>
              </w:rPr>
              <w:t>办公及电子设备</w:t>
            </w:r>
          </w:p>
        </w:tc>
        <w:tc>
          <w:tcPr>
            <w:tcW w:w="1301" w:type="dxa"/>
            <w:tcBorders>
              <w:top w:val="nil" w:sz="6" w:space="0" w:color="auto"/>
              <w:left w:val="nil" w:sz="6" w:space="0" w:color="auto"/>
              <w:bottom w:val="nil" w:sz="6" w:space="0" w:color="auto"/>
              <w:right w:val="nil" w:sz="6" w:space="0" w:color="auto"/>
            </w:tcBorders>
          </w:tcPr>
          <w:p>
            <w:pPr>
              <w:pStyle w:val="TableParagraph"/>
              <w:tabs>
                <w:tab w:pos="360" w:val="left" w:leader="none"/>
              </w:tabs>
              <w:spacing w:line="240" w:lineRule="auto" w:before="19"/>
              <w:ind w:right="22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245,343</w:t>
            </w:r>
            <w:r>
              <w:rPr>
                <w:rFonts w:ascii="Arial"/>
                <w:spacing w:val="-1"/>
                <w:sz w:val="18"/>
              </w:rPr>
            </w:r>
          </w:p>
        </w:tc>
        <w:tc>
          <w:tcPr>
            <w:tcW w:w="1053" w:type="dxa"/>
            <w:tcBorders>
              <w:top w:val="nil" w:sz="6" w:space="0" w:color="auto"/>
              <w:left w:val="nil" w:sz="6" w:space="0" w:color="auto"/>
              <w:bottom w:val="nil" w:sz="6" w:space="0" w:color="auto"/>
              <w:right w:val="nil" w:sz="6" w:space="0" w:color="auto"/>
            </w:tcBorders>
          </w:tcPr>
          <w:p>
            <w:pPr>
              <w:pStyle w:val="TableParagraph"/>
              <w:tabs>
                <w:tab w:pos="720" w:val="left" w:leader="none"/>
              </w:tabs>
              <w:spacing w:line="240" w:lineRule="auto" w:before="19"/>
              <w:ind w:right="132"/>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129" w:type="dxa"/>
            <w:tcBorders>
              <w:top w:val="nil" w:sz="6" w:space="0" w:color="auto"/>
              <w:left w:val="nil" w:sz="6" w:space="0" w:color="auto"/>
              <w:bottom w:val="nil" w:sz="6" w:space="0" w:color="auto"/>
              <w:right w:val="nil" w:sz="6" w:space="0" w:color="auto"/>
            </w:tcBorders>
          </w:tcPr>
          <w:p>
            <w:pPr>
              <w:pStyle w:val="TableParagraph"/>
              <w:tabs>
                <w:tab w:pos="810" w:val="left" w:leader="none"/>
              </w:tabs>
              <w:spacing w:line="240" w:lineRule="auto" w:before="19"/>
              <w:ind w:right="12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tabs>
                <w:tab w:pos="900" w:val="left" w:leader="none"/>
              </w:tabs>
              <w:spacing w:line="240" w:lineRule="auto" w:before="19"/>
              <w:ind w:right="4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365" w:type="dxa"/>
            <w:tcBorders>
              <w:top w:val="nil" w:sz="6" w:space="0" w:color="auto"/>
              <w:left w:val="nil" w:sz="6" w:space="0" w:color="auto"/>
              <w:bottom w:val="nil" w:sz="6" w:space="0" w:color="auto"/>
              <w:right w:val="nil" w:sz="6" w:space="0" w:color="auto"/>
            </w:tcBorders>
          </w:tcPr>
          <w:p>
            <w:pPr>
              <w:pStyle w:val="TableParagraph"/>
              <w:tabs>
                <w:tab w:pos="880" w:val="left" w:leader="none"/>
              </w:tabs>
              <w:spacing w:line="240" w:lineRule="auto" w:before="19"/>
              <w:ind w:right="131"/>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178" w:type="dxa"/>
            <w:tcBorders>
              <w:top w:val="nil" w:sz="6" w:space="0" w:color="auto"/>
              <w:left w:val="nil" w:sz="6" w:space="0" w:color="auto"/>
              <w:bottom w:val="nil" w:sz="6" w:space="0" w:color="auto"/>
              <w:right w:val="nil" w:sz="6" w:space="0" w:color="auto"/>
            </w:tcBorders>
          </w:tcPr>
          <w:p>
            <w:pPr>
              <w:pStyle w:val="TableParagraph"/>
              <w:tabs>
                <w:tab w:pos="360" w:val="left" w:leader="none"/>
              </w:tabs>
              <w:spacing w:line="240" w:lineRule="auto" w:before="19"/>
              <w:ind w:right="3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245,343</w:t>
            </w:r>
            <w:r>
              <w:rPr>
                <w:rFonts w:ascii="Arial"/>
                <w:spacing w:val="-1"/>
                <w:sz w:val="18"/>
              </w:rPr>
            </w:r>
          </w:p>
        </w:tc>
      </w:tr>
      <w:tr>
        <w:trPr>
          <w:trHeight w:val="378"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Style w:val="TableParagraph"/>
              <w:tabs>
                <w:tab w:pos="360" w:val="left" w:leader="none"/>
              </w:tabs>
              <w:spacing w:line="240" w:lineRule="auto" w:before="14"/>
              <w:ind w:right="225"/>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z w:val="18"/>
                <w:u w:val="thick" w:color="000000"/>
              </w:rPr>
              <w:tab/>
            </w:r>
            <w:r>
              <w:rPr>
                <w:rFonts w:ascii="Arial"/>
                <w:spacing w:val="-1"/>
                <w:sz w:val="18"/>
                <w:u w:val="thick" w:color="000000"/>
              </w:rPr>
              <w:t>245,343</w:t>
            </w:r>
            <w:r>
              <w:rPr>
                <w:rFonts w:ascii="Arial"/>
                <w:spacing w:val="-1"/>
                <w:sz w:val="18"/>
              </w:rPr>
            </w:r>
          </w:p>
        </w:tc>
        <w:tc>
          <w:tcPr>
            <w:tcW w:w="1053" w:type="dxa"/>
            <w:tcBorders>
              <w:top w:val="nil" w:sz="6" w:space="0" w:color="auto"/>
              <w:left w:val="nil" w:sz="6" w:space="0" w:color="auto"/>
              <w:bottom w:val="nil" w:sz="6" w:space="0" w:color="auto"/>
              <w:right w:val="nil" w:sz="6" w:space="0" w:color="auto"/>
            </w:tcBorders>
          </w:tcPr>
          <w:p>
            <w:pPr>
              <w:pStyle w:val="TableParagraph"/>
              <w:tabs>
                <w:tab w:pos="720" w:val="left" w:leader="none"/>
              </w:tabs>
              <w:spacing w:line="240" w:lineRule="auto" w:before="14"/>
              <w:ind w:right="132"/>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z w:val="18"/>
                <w:u w:val="thick" w:color="000000"/>
              </w:rPr>
              <w:tab/>
              <w:t>-</w:t>
            </w:r>
            <w:r>
              <w:rPr>
                <w:rFonts w:ascii="Arial"/>
                <w:sz w:val="18"/>
              </w:rPr>
            </w:r>
          </w:p>
        </w:tc>
        <w:tc>
          <w:tcPr>
            <w:tcW w:w="1129" w:type="dxa"/>
            <w:tcBorders>
              <w:top w:val="nil" w:sz="6" w:space="0" w:color="auto"/>
              <w:left w:val="nil" w:sz="6" w:space="0" w:color="auto"/>
              <w:bottom w:val="nil" w:sz="6" w:space="0" w:color="auto"/>
              <w:right w:val="nil" w:sz="6" w:space="0" w:color="auto"/>
            </w:tcBorders>
          </w:tcPr>
          <w:p>
            <w:pPr>
              <w:pStyle w:val="TableParagraph"/>
              <w:tabs>
                <w:tab w:pos="810" w:val="left" w:leader="none"/>
              </w:tabs>
              <w:spacing w:line="240" w:lineRule="auto" w:before="14"/>
              <w:ind w:right="125"/>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z w:val="18"/>
                <w:u w:val="thick" w:color="000000"/>
              </w:rPr>
              <w:tab/>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tabs>
                <w:tab w:pos="900" w:val="left" w:leader="none"/>
              </w:tabs>
              <w:spacing w:line="240" w:lineRule="auto" w:before="14"/>
              <w:ind w:right="43"/>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z w:val="18"/>
                <w:u w:val="thick" w:color="000000"/>
              </w:rPr>
              <w:tab/>
              <w:t>-</w:t>
            </w:r>
            <w:r>
              <w:rPr>
                <w:rFonts w:ascii="Arial"/>
                <w:sz w:val="18"/>
              </w:rPr>
            </w:r>
          </w:p>
        </w:tc>
        <w:tc>
          <w:tcPr>
            <w:tcW w:w="1365" w:type="dxa"/>
            <w:tcBorders>
              <w:top w:val="nil" w:sz="6" w:space="0" w:color="auto"/>
              <w:left w:val="nil" w:sz="6" w:space="0" w:color="auto"/>
              <w:bottom w:val="nil" w:sz="6" w:space="0" w:color="auto"/>
              <w:right w:val="nil" w:sz="6" w:space="0" w:color="auto"/>
            </w:tcBorders>
          </w:tcPr>
          <w:p>
            <w:pPr>
              <w:pStyle w:val="TableParagraph"/>
              <w:tabs>
                <w:tab w:pos="880" w:val="left" w:leader="none"/>
              </w:tabs>
              <w:spacing w:line="240" w:lineRule="auto" w:before="14"/>
              <w:ind w:right="131"/>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z w:val="18"/>
                <w:u w:val="thick" w:color="000000"/>
              </w:rPr>
              <w:tab/>
              <w:t>-</w:t>
            </w:r>
            <w:r>
              <w:rPr>
                <w:rFonts w:ascii="Arial"/>
                <w:sz w:val="18"/>
              </w:rPr>
            </w:r>
          </w:p>
        </w:tc>
        <w:tc>
          <w:tcPr>
            <w:tcW w:w="1178" w:type="dxa"/>
            <w:tcBorders>
              <w:top w:val="nil" w:sz="6" w:space="0" w:color="auto"/>
              <w:left w:val="nil" w:sz="6" w:space="0" w:color="auto"/>
              <w:bottom w:val="nil" w:sz="6" w:space="0" w:color="auto"/>
              <w:right w:val="nil" w:sz="6" w:space="0" w:color="auto"/>
            </w:tcBorders>
          </w:tcPr>
          <w:p>
            <w:pPr>
              <w:pStyle w:val="TableParagraph"/>
              <w:tabs>
                <w:tab w:pos="360" w:val="left" w:leader="none"/>
              </w:tabs>
              <w:spacing w:line="240" w:lineRule="auto" w:before="14"/>
              <w:ind w:right="34"/>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z w:val="18"/>
                <w:u w:val="thick" w:color="000000"/>
              </w:rPr>
              <w:tab/>
            </w:r>
            <w:r>
              <w:rPr>
                <w:rFonts w:ascii="Arial"/>
                <w:spacing w:val="-1"/>
                <w:sz w:val="18"/>
                <w:u w:val="thick" w:color="000000"/>
              </w:rPr>
              <w:t>245,343</w:t>
            </w:r>
            <w:r>
              <w:rPr>
                <w:rFonts w:ascii="Arial"/>
                <w:spacing w:val="-1"/>
                <w:sz w:val="18"/>
              </w:rPr>
            </w:r>
          </w:p>
        </w:tc>
      </w:tr>
      <w:tr>
        <w:trPr>
          <w:trHeight w:val="378"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45" w:right="0"/>
              <w:jc w:val="left"/>
              <w:rPr>
                <w:rFonts w:ascii="黑体" w:hAnsi="黑体" w:cs="黑体" w:eastAsia="黑体" w:hint="default"/>
                <w:sz w:val="18"/>
                <w:szCs w:val="18"/>
              </w:rPr>
            </w:pPr>
            <w:r>
              <w:rPr>
                <w:rFonts w:ascii="黑体" w:hAnsi="黑体" w:cs="黑体" w:eastAsia="黑体" w:hint="default"/>
                <w:sz w:val="18"/>
                <w:szCs w:val="18"/>
              </w:rPr>
              <w:t>账面价值</w:t>
            </w:r>
          </w:p>
        </w:tc>
        <w:tc>
          <w:tcPr>
            <w:tcW w:w="1301"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c>
          <w:tcPr>
            <w:tcW w:w="1129"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
        </w:tc>
        <w:tc>
          <w:tcPr>
            <w:tcW w:w="1178" w:type="dxa"/>
            <w:tcBorders>
              <w:top w:val="nil" w:sz="6" w:space="0" w:color="auto"/>
              <w:left w:val="nil" w:sz="6" w:space="0" w:color="auto"/>
              <w:bottom w:val="nil" w:sz="6" w:space="0" w:color="auto"/>
              <w:right w:val="nil" w:sz="6" w:space="0" w:color="auto"/>
            </w:tcBorders>
          </w:tcPr>
          <w:p>
            <w:pPr/>
          </w:p>
        </w:tc>
      </w:tr>
      <w:tr>
        <w:trPr>
          <w:trHeight w:val="269"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8" w:lineRule="exact"/>
              <w:ind w:left="145" w:right="0"/>
              <w:jc w:val="left"/>
              <w:rPr>
                <w:rFonts w:ascii="黑体" w:hAnsi="黑体" w:cs="黑体" w:eastAsia="黑体" w:hint="default"/>
                <w:sz w:val="18"/>
                <w:szCs w:val="18"/>
              </w:rPr>
            </w:pPr>
            <w:r>
              <w:rPr>
                <w:rFonts w:ascii="黑体" w:hAnsi="黑体" w:cs="黑体" w:eastAsia="黑体" w:hint="default"/>
                <w:sz w:val="18"/>
                <w:szCs w:val="18"/>
              </w:rPr>
              <w:t>房屋及建筑物</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5"/>
              <w:jc w:val="right"/>
              <w:rPr>
                <w:rFonts w:ascii="Arial" w:hAnsi="Arial" w:cs="Arial" w:eastAsia="Arial" w:hint="default"/>
                <w:sz w:val="18"/>
                <w:szCs w:val="18"/>
              </w:rPr>
            </w:pPr>
            <w:r>
              <w:rPr>
                <w:rFonts w:ascii="Arial"/>
                <w:spacing w:val="-1"/>
                <w:sz w:val="18"/>
              </w:rPr>
              <w:t>358,796,119</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3"/>
              <w:jc w:val="right"/>
              <w:rPr>
                <w:rFonts w:ascii="Arial" w:hAnsi="Arial" w:cs="Arial" w:eastAsia="Arial" w:hint="default"/>
                <w:sz w:val="18"/>
                <w:szCs w:val="18"/>
              </w:rPr>
            </w:pPr>
            <w:r>
              <w:rPr>
                <w:rFonts w:ascii="Arial"/>
                <w:w w:val="99"/>
                <w:sz w:val="18"/>
              </w:rPr>
              <w:t>-</w:t>
            </w:r>
            <w:r>
              <w:rPr>
                <w:rFonts w:ascii="Arial"/>
                <w:sz w:val="18"/>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7"/>
              <w:jc w:val="right"/>
              <w:rPr>
                <w:rFonts w:ascii="Arial" w:hAnsi="Arial" w:cs="Arial" w:eastAsia="Arial" w:hint="default"/>
                <w:sz w:val="18"/>
                <w:szCs w:val="18"/>
              </w:rPr>
            </w:pPr>
            <w:r>
              <w:rPr>
                <w:rFonts w:ascii="Arial"/>
                <w:spacing w:val="-1"/>
                <w:sz w:val="18"/>
              </w:rPr>
              <w:t>2,283,966</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0"/>
              <w:jc w:val="right"/>
              <w:rPr>
                <w:rFonts w:ascii="Arial" w:hAnsi="Arial" w:cs="Arial" w:eastAsia="Arial" w:hint="default"/>
                <w:sz w:val="18"/>
                <w:szCs w:val="18"/>
              </w:rPr>
            </w:pPr>
            <w:r>
              <w:rPr>
                <w:rFonts w:ascii="Arial"/>
                <w:position w:val="2"/>
                <w:sz w:val="18"/>
              </w:rPr>
              <w:t>(  </w:t>
            </w:r>
            <w:r>
              <w:rPr>
                <w:rFonts w:ascii="Arial"/>
                <w:spacing w:val="18"/>
                <w:position w:val="2"/>
                <w:sz w:val="18"/>
              </w:rPr>
              <w:t> </w:t>
            </w:r>
            <w:r>
              <w:rPr>
                <w:rFonts w:ascii="Arial"/>
                <w:spacing w:val="-3"/>
                <w:position w:val="2"/>
                <w:sz w:val="18"/>
              </w:rPr>
              <w:t>8,160,672</w:t>
            </w:r>
            <w:r>
              <w:rPr>
                <w:rFonts w:ascii="Arial"/>
                <w:spacing w:val="-3"/>
                <w:sz w:val="18"/>
              </w:rPr>
              <w:t>)</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1"/>
              <w:jc w:val="right"/>
              <w:rPr>
                <w:rFonts w:ascii="Arial" w:hAnsi="Arial" w:cs="Arial" w:eastAsia="Arial" w:hint="default"/>
                <w:sz w:val="18"/>
                <w:szCs w:val="18"/>
              </w:rPr>
            </w:pPr>
            <w:r>
              <w:rPr>
                <w:rFonts w:ascii="Arial"/>
                <w:spacing w:val="-1"/>
                <w:sz w:val="18"/>
              </w:rPr>
              <w:t>639,127</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
              <w:jc w:val="right"/>
              <w:rPr>
                <w:rFonts w:ascii="Arial" w:hAnsi="Arial" w:cs="Arial" w:eastAsia="Arial" w:hint="default"/>
                <w:sz w:val="18"/>
                <w:szCs w:val="18"/>
              </w:rPr>
            </w:pPr>
            <w:r>
              <w:rPr>
                <w:rFonts w:ascii="Arial"/>
                <w:spacing w:val="-1"/>
                <w:sz w:val="18"/>
              </w:rPr>
              <w:t>352,280,286</w:t>
            </w:r>
          </w:p>
        </w:tc>
      </w:tr>
      <w:tr>
        <w:trPr>
          <w:trHeight w:val="255"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03" w:lineRule="exact"/>
              <w:ind w:left="145" w:right="0"/>
              <w:jc w:val="left"/>
              <w:rPr>
                <w:rFonts w:ascii="黑体" w:hAnsi="黑体" w:cs="黑体" w:eastAsia="黑体" w:hint="default"/>
                <w:sz w:val="18"/>
                <w:szCs w:val="18"/>
              </w:rPr>
            </w:pPr>
            <w:r>
              <w:rPr>
                <w:rFonts w:ascii="黑体" w:hAnsi="黑体" w:cs="黑体" w:eastAsia="黑体" w:hint="default"/>
                <w:sz w:val="18"/>
                <w:szCs w:val="18"/>
              </w:rPr>
              <w:t>机器设备</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26"/>
              <w:jc w:val="right"/>
              <w:rPr>
                <w:rFonts w:ascii="Arial" w:hAnsi="Arial" w:cs="Arial" w:eastAsia="Arial" w:hint="default"/>
                <w:sz w:val="18"/>
                <w:szCs w:val="18"/>
              </w:rPr>
            </w:pPr>
            <w:r>
              <w:rPr>
                <w:rFonts w:ascii="Arial"/>
                <w:spacing w:val="-1"/>
                <w:sz w:val="18"/>
              </w:rPr>
              <w:t>59,812,549</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33"/>
              <w:jc w:val="right"/>
              <w:rPr>
                <w:rFonts w:ascii="Arial" w:hAnsi="Arial" w:cs="Arial" w:eastAsia="Arial" w:hint="default"/>
                <w:sz w:val="18"/>
                <w:szCs w:val="18"/>
              </w:rPr>
            </w:pPr>
            <w:r>
              <w:rPr>
                <w:rFonts w:ascii="Arial"/>
                <w:w w:val="99"/>
                <w:sz w:val="18"/>
              </w:rPr>
              <w:t>-</w:t>
            </w:r>
            <w:r>
              <w:rPr>
                <w:rFonts w:ascii="Arial"/>
                <w:sz w:val="18"/>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26"/>
              <w:jc w:val="right"/>
              <w:rPr>
                <w:rFonts w:ascii="Arial" w:hAnsi="Arial" w:cs="Arial" w:eastAsia="Arial" w:hint="default"/>
                <w:sz w:val="18"/>
                <w:szCs w:val="18"/>
              </w:rPr>
            </w:pPr>
            <w:r>
              <w:rPr>
                <w:rFonts w:ascii="Arial"/>
                <w:w w:val="99"/>
                <w:sz w:val="18"/>
              </w:rPr>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right"/>
              <w:rPr>
                <w:rFonts w:ascii="Arial" w:hAnsi="Arial" w:cs="Arial" w:eastAsia="Arial" w:hint="default"/>
                <w:sz w:val="18"/>
                <w:szCs w:val="18"/>
              </w:rPr>
            </w:pPr>
            <w:r>
              <w:rPr>
                <w:rFonts w:ascii="Arial"/>
                <w:position w:val="2"/>
                <w:sz w:val="18"/>
              </w:rPr>
              <w:t>(  </w:t>
            </w:r>
            <w:r>
              <w:rPr>
                <w:rFonts w:ascii="Arial"/>
                <w:spacing w:val="18"/>
                <w:position w:val="2"/>
                <w:sz w:val="18"/>
              </w:rPr>
              <w:t> </w:t>
            </w:r>
            <w:r>
              <w:rPr>
                <w:rFonts w:ascii="Arial"/>
                <w:spacing w:val="-3"/>
                <w:position w:val="2"/>
                <w:sz w:val="18"/>
              </w:rPr>
              <w:t>2,406,842</w:t>
            </w:r>
            <w:r>
              <w:rPr>
                <w:rFonts w:ascii="Arial"/>
                <w:spacing w:val="-3"/>
                <w:sz w:val="18"/>
              </w:rPr>
              <w:t>)</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31"/>
              <w:jc w:val="right"/>
              <w:rPr>
                <w:rFonts w:ascii="Arial" w:hAnsi="Arial" w:cs="Arial" w:eastAsia="Arial" w:hint="default"/>
                <w:sz w:val="18"/>
                <w:szCs w:val="18"/>
              </w:rPr>
            </w:pPr>
            <w:r>
              <w:rPr>
                <w:rFonts w:ascii="Arial"/>
                <w:w w:val="99"/>
                <w:sz w:val="18"/>
              </w:rPr>
              <w:t>-</w:t>
            </w:r>
            <w:r>
              <w:rPr>
                <w:rFonts w:ascii="Arial"/>
                <w:sz w:val="18"/>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5"/>
              <w:jc w:val="right"/>
              <w:rPr>
                <w:rFonts w:ascii="Arial" w:hAnsi="Arial" w:cs="Arial" w:eastAsia="Arial" w:hint="default"/>
                <w:sz w:val="18"/>
                <w:szCs w:val="18"/>
              </w:rPr>
            </w:pPr>
            <w:r>
              <w:rPr>
                <w:rFonts w:ascii="Arial"/>
                <w:spacing w:val="-1"/>
                <w:sz w:val="18"/>
              </w:rPr>
              <w:t>57,405,707</w:t>
            </w:r>
          </w:p>
        </w:tc>
      </w:tr>
      <w:tr>
        <w:trPr>
          <w:trHeight w:val="245"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04" w:lineRule="exact"/>
              <w:ind w:left="145" w:right="0"/>
              <w:jc w:val="left"/>
              <w:rPr>
                <w:rFonts w:ascii="黑体" w:hAnsi="黑体" w:cs="黑体" w:eastAsia="黑体" w:hint="default"/>
                <w:sz w:val="18"/>
                <w:szCs w:val="18"/>
              </w:rPr>
            </w:pPr>
            <w:r>
              <w:rPr>
                <w:rFonts w:ascii="黑体" w:hAnsi="黑体" w:cs="黑体" w:eastAsia="黑体" w:hint="default"/>
                <w:sz w:val="18"/>
                <w:szCs w:val="18"/>
              </w:rPr>
              <w:t>运输工具</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26"/>
              <w:jc w:val="right"/>
              <w:rPr>
                <w:rFonts w:ascii="Arial" w:hAnsi="Arial" w:cs="Arial" w:eastAsia="Arial" w:hint="default"/>
                <w:sz w:val="18"/>
                <w:szCs w:val="18"/>
              </w:rPr>
            </w:pPr>
            <w:r>
              <w:rPr>
                <w:rFonts w:ascii="Arial"/>
                <w:spacing w:val="-1"/>
                <w:sz w:val="18"/>
              </w:rPr>
              <w:t>14,934,598</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33"/>
              <w:jc w:val="right"/>
              <w:rPr>
                <w:rFonts w:ascii="Arial" w:hAnsi="Arial" w:cs="Arial" w:eastAsia="Arial" w:hint="default"/>
                <w:sz w:val="18"/>
                <w:szCs w:val="18"/>
              </w:rPr>
            </w:pPr>
            <w:r>
              <w:rPr>
                <w:rFonts w:ascii="Arial"/>
                <w:spacing w:val="-1"/>
                <w:sz w:val="18"/>
              </w:rPr>
              <w:t>121,403</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26"/>
              <w:jc w:val="right"/>
              <w:rPr>
                <w:rFonts w:ascii="Arial" w:hAnsi="Arial" w:cs="Arial" w:eastAsia="Arial" w:hint="default"/>
                <w:sz w:val="18"/>
                <w:szCs w:val="18"/>
              </w:rPr>
            </w:pPr>
            <w:r>
              <w:rPr>
                <w:rFonts w:ascii="Arial"/>
                <w:w w:val="99"/>
                <w:sz w:val="18"/>
              </w:rPr>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3"/>
              <w:jc w:val="right"/>
              <w:rPr>
                <w:rFonts w:ascii="Arial" w:hAnsi="Arial" w:cs="Arial" w:eastAsia="Arial" w:hint="default"/>
                <w:sz w:val="18"/>
                <w:szCs w:val="18"/>
              </w:rPr>
            </w:pPr>
            <w:r>
              <w:rPr>
                <w:rFonts w:ascii="Arial"/>
                <w:spacing w:val="-1"/>
                <w:sz w:val="18"/>
              </w:rPr>
              <w:t>2,672,536</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31"/>
              <w:jc w:val="right"/>
              <w:rPr>
                <w:rFonts w:ascii="Arial" w:hAnsi="Arial" w:cs="Arial" w:eastAsia="Arial" w:hint="default"/>
                <w:sz w:val="18"/>
                <w:szCs w:val="18"/>
              </w:rPr>
            </w:pPr>
            <w:r>
              <w:rPr>
                <w:rFonts w:ascii="Arial"/>
                <w:spacing w:val="-1"/>
                <w:sz w:val="18"/>
              </w:rPr>
              <w:t>478,650</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5"/>
              <w:jc w:val="right"/>
              <w:rPr>
                <w:rFonts w:ascii="Arial" w:hAnsi="Arial" w:cs="Arial" w:eastAsia="Arial" w:hint="default"/>
                <w:sz w:val="18"/>
                <w:szCs w:val="18"/>
              </w:rPr>
            </w:pPr>
            <w:r>
              <w:rPr>
                <w:rFonts w:ascii="Arial"/>
                <w:spacing w:val="-1"/>
                <w:sz w:val="18"/>
              </w:rPr>
              <w:t>17,249,887</w:t>
            </w:r>
          </w:p>
        </w:tc>
      </w:tr>
      <w:tr>
        <w:trPr>
          <w:trHeight w:val="259"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3" w:lineRule="exact"/>
              <w:ind w:left="145" w:right="0"/>
              <w:jc w:val="left"/>
              <w:rPr>
                <w:rFonts w:ascii="黑体" w:hAnsi="黑体" w:cs="黑体" w:eastAsia="黑体" w:hint="default"/>
                <w:sz w:val="18"/>
                <w:szCs w:val="18"/>
              </w:rPr>
            </w:pPr>
            <w:r>
              <w:rPr>
                <w:rFonts w:ascii="黑体" w:hAnsi="黑体" w:cs="黑体" w:eastAsia="黑体" w:hint="default"/>
                <w:sz w:val="18"/>
                <w:szCs w:val="18"/>
              </w:rPr>
              <w:t>办公及电子设备</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6"/>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sz w:val="18"/>
                <w:u w:val="single" w:color="000000"/>
              </w:rPr>
              <w:t>76,757,097</w:t>
            </w:r>
            <w:r>
              <w:rPr>
                <w:rFonts w:ascii="Arial"/>
                <w:spacing w:val="-1"/>
                <w:sz w:val="18"/>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2"/>
              <w:jc w:val="right"/>
              <w:rPr>
                <w:rFonts w:ascii="Arial" w:hAnsi="Arial" w:cs="Arial" w:eastAsia="Arial" w:hint="default"/>
                <w:sz w:val="18"/>
                <w:szCs w:val="18"/>
              </w:rPr>
            </w:pPr>
            <w:r>
              <w:rPr>
                <w:rFonts w:ascii="Arial"/>
                <w:w w:val="99"/>
                <w:sz w:val="18"/>
              </w:rPr>
            </w:r>
            <w:r>
              <w:rPr>
                <w:rFonts w:ascii="Arial"/>
                <w:spacing w:val="-1"/>
                <w:sz w:val="18"/>
                <w:u w:val="single" w:color="000000"/>
              </w:rPr>
              <w:t>1,512,328</w:t>
            </w:r>
            <w:r>
              <w:rPr>
                <w:rFonts w:ascii="Arial"/>
                <w:spacing w:val="-1"/>
                <w:sz w:val="18"/>
              </w:rPr>
            </w:r>
          </w:p>
        </w:tc>
        <w:tc>
          <w:tcPr>
            <w:tcW w:w="1129" w:type="dxa"/>
            <w:tcBorders>
              <w:top w:val="nil" w:sz="6" w:space="0" w:color="auto"/>
              <w:left w:val="nil" w:sz="6" w:space="0" w:color="auto"/>
              <w:bottom w:val="nil" w:sz="6" w:space="0" w:color="auto"/>
              <w:right w:val="nil" w:sz="6" w:space="0" w:color="auto"/>
            </w:tcBorders>
          </w:tcPr>
          <w:p>
            <w:pPr>
              <w:pStyle w:val="TableParagraph"/>
              <w:tabs>
                <w:tab w:pos="810" w:val="left" w:leader="none"/>
              </w:tabs>
              <w:spacing w:line="240" w:lineRule="auto" w:before="18"/>
              <w:ind w:right="12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10"/>
                <w:sz w:val="18"/>
                <w:u w:val="single" w:color="000000"/>
              </w:rPr>
              <w:t> </w:t>
            </w:r>
            <w:r>
              <w:rPr>
                <w:rFonts w:ascii="Arial"/>
                <w:spacing w:val="-1"/>
                <w:sz w:val="18"/>
                <w:u w:val="single" w:color="000000"/>
              </w:rPr>
              <w:t>2,281,963</w:t>
            </w:r>
            <w:r>
              <w:rPr>
                <w:rFonts w:ascii="Arial"/>
                <w:spacing w:val="-1"/>
                <w:sz w:val="18"/>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1"/>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sz w:val="18"/>
                <w:u w:val="single" w:color="000000"/>
              </w:rPr>
              <w:t>1,643,643</w:t>
            </w:r>
            <w:r>
              <w:rPr>
                <w:rFonts w:ascii="Arial"/>
                <w:spacing w:val="-1"/>
                <w:sz w:val="18"/>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sz w:val="18"/>
                <w:u w:val="single" w:color="000000"/>
              </w:rPr>
              <w:t>78,907,745</w:t>
            </w:r>
            <w:r>
              <w:rPr>
                <w:rFonts w:ascii="Arial"/>
                <w:spacing w:val="-1"/>
                <w:sz w:val="18"/>
              </w:rPr>
            </w:r>
          </w:p>
        </w:tc>
      </w:tr>
      <w:tr>
        <w:trPr>
          <w:trHeight w:val="337" w:hRule="exact"/>
        </w:trPr>
        <w:tc>
          <w:tcPr>
            <w:tcW w:w="5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5"/>
              <w:jc w:val="right"/>
              <w:rPr>
                <w:rFonts w:ascii="Arial" w:hAnsi="Arial" w:cs="Arial" w:eastAsia="Arial" w:hint="default"/>
                <w:sz w:val="18"/>
                <w:szCs w:val="18"/>
              </w:rPr>
            </w:pPr>
            <w:r>
              <w:rPr>
                <w:rFonts w:ascii="Arial"/>
                <w:w w:val="99"/>
                <w:sz w:val="18"/>
              </w:rPr>
            </w:r>
            <w:r>
              <w:rPr>
                <w:rFonts w:ascii="Arial"/>
                <w:spacing w:val="-1"/>
                <w:sz w:val="18"/>
                <w:u w:val="thick" w:color="000000"/>
              </w:rPr>
              <w:t>510,300,363</w:t>
            </w:r>
            <w:r>
              <w:rPr>
                <w:rFonts w:ascii="Arial"/>
                <w:spacing w:val="-1"/>
                <w:sz w:val="18"/>
              </w:rPr>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2"/>
              <w:jc w:val="right"/>
              <w:rPr>
                <w:rFonts w:ascii="Arial" w:hAnsi="Arial" w:cs="Arial" w:eastAsia="Arial" w:hint="default"/>
                <w:sz w:val="18"/>
                <w:szCs w:val="18"/>
              </w:rPr>
            </w:pPr>
            <w:r>
              <w:rPr>
                <w:rFonts w:ascii="Arial"/>
                <w:w w:val="99"/>
                <w:sz w:val="18"/>
              </w:rPr>
            </w:r>
            <w:r>
              <w:rPr>
                <w:rFonts w:ascii="Arial"/>
                <w:spacing w:val="-1"/>
                <w:sz w:val="18"/>
                <w:u w:val="thick" w:color="000000"/>
              </w:rPr>
              <w:t>1,633,731</w:t>
            </w:r>
            <w:r>
              <w:rPr>
                <w:rFonts w:ascii="Arial"/>
                <w:spacing w:val="-1"/>
                <w:sz w:val="18"/>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5"/>
              <w:jc w:val="right"/>
              <w:rPr>
                <w:rFonts w:ascii="Arial" w:hAnsi="Arial" w:cs="Arial" w:eastAsia="Arial" w:hint="default"/>
                <w:sz w:val="18"/>
                <w:szCs w:val="18"/>
              </w:rPr>
            </w:pPr>
            <w:r>
              <w:rPr>
                <w:rFonts w:ascii="Arial"/>
                <w:w w:val="99"/>
                <w:sz w:val="18"/>
              </w:rPr>
            </w:r>
            <w:r>
              <w:rPr>
                <w:rFonts w:ascii="Arial"/>
                <w:spacing w:val="-1"/>
                <w:sz w:val="18"/>
                <w:u w:val="thick" w:color="000000"/>
              </w:rPr>
              <w:t>2,283,966</w:t>
            </w:r>
            <w:r>
              <w:rPr>
                <w:rFonts w:ascii="Arial"/>
                <w:spacing w:val="-1"/>
                <w:sz w:val="18"/>
              </w:rPr>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18"/>
                <w:szCs w:val="18"/>
              </w:rPr>
            </w:pPr>
            <w:r>
              <w:rPr>
                <w:rFonts w:ascii="Arial"/>
                <w:position w:val="2"/>
                <w:sz w:val="18"/>
              </w:rPr>
              <w:t>(  </w:t>
            </w:r>
            <w:r>
              <w:rPr>
                <w:rFonts w:ascii="Arial"/>
                <w:spacing w:val="17"/>
                <w:position w:val="2"/>
                <w:sz w:val="18"/>
              </w:rPr>
              <w:t> </w:t>
            </w:r>
            <w:r>
              <w:rPr>
                <w:rFonts w:ascii="Arial"/>
                <w:spacing w:val="17"/>
                <w:position w:val="2"/>
                <w:sz w:val="18"/>
                <w:u w:val="thick" w:color="000000"/>
              </w:rPr>
              <w:t> </w:t>
            </w:r>
            <w:r>
              <w:rPr>
                <w:rFonts w:ascii="Arial"/>
                <w:spacing w:val="-3"/>
                <w:position w:val="2"/>
                <w:sz w:val="18"/>
                <w:u w:val="thick" w:color="000000"/>
              </w:rPr>
              <w:t>5,613,015</w:t>
            </w:r>
            <w:r>
              <w:rPr>
                <w:rFonts w:ascii="Arial"/>
                <w:spacing w:val="-3"/>
                <w:position w:val="2"/>
                <w:sz w:val="18"/>
              </w:rPr>
            </w:r>
            <w:r>
              <w:rPr>
                <w:rFonts w:ascii="Arial"/>
                <w:spacing w:val="-3"/>
                <w:sz w:val="18"/>
              </w:rPr>
              <w:t>)</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31"/>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pacing w:val="-11"/>
                <w:sz w:val="18"/>
                <w:u w:val="thick" w:color="000000"/>
              </w:rPr>
              <w:t> </w:t>
            </w:r>
            <w:r>
              <w:rPr>
                <w:rFonts w:ascii="Arial"/>
                <w:spacing w:val="-1"/>
                <w:sz w:val="18"/>
                <w:u w:val="thick" w:color="000000"/>
              </w:rPr>
              <w:t>2,761,420</w:t>
            </w:r>
            <w:r>
              <w:rPr>
                <w:rFonts w:ascii="Arial"/>
                <w:spacing w:val="-1"/>
                <w:sz w:val="18"/>
              </w:rPr>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Arial" w:hAnsi="Arial" w:cs="Arial" w:eastAsia="Arial" w:hint="default"/>
                <w:sz w:val="18"/>
                <w:szCs w:val="18"/>
              </w:rPr>
            </w:pPr>
            <w:r>
              <w:rPr>
                <w:rFonts w:ascii="Arial"/>
                <w:w w:val="99"/>
                <w:sz w:val="18"/>
              </w:rPr>
            </w:r>
            <w:r>
              <w:rPr>
                <w:rFonts w:ascii="Arial"/>
                <w:spacing w:val="-1"/>
                <w:sz w:val="18"/>
                <w:u w:val="thick" w:color="000000"/>
              </w:rPr>
              <w:t>505,843,625</w:t>
            </w:r>
            <w:r>
              <w:rPr>
                <w:rFonts w:ascii="Arial"/>
                <w:spacing w:val="-1"/>
                <w:sz w:val="18"/>
              </w:rPr>
            </w:r>
          </w:p>
        </w:tc>
      </w:tr>
    </w:tbl>
    <w:p>
      <w:pPr>
        <w:spacing w:after="0" w:line="240" w:lineRule="auto"/>
        <w:jc w:val="right"/>
        <w:rPr>
          <w:rFonts w:ascii="Arial" w:hAnsi="Arial" w:cs="Arial" w:eastAsia="Arial" w:hint="default"/>
          <w:sz w:val="18"/>
          <w:szCs w:val="18"/>
        </w:rPr>
        <w:sectPr>
          <w:headerReference w:type="default" r:id="rId56"/>
          <w:footerReference w:type="default" r:id="rId57"/>
          <w:pgSz w:w="11910" w:h="16840"/>
          <w:pgMar w:header="958" w:footer="830" w:top="2540" w:bottom="1020" w:left="1560" w:right="840"/>
        </w:sectPr>
      </w:pPr>
    </w:p>
    <w:p>
      <w:pPr>
        <w:spacing w:line="240" w:lineRule="auto" w:before="0"/>
        <w:rPr>
          <w:rFonts w:ascii="黑体" w:hAnsi="黑体" w:cs="黑体" w:eastAsia="黑体" w:hint="default"/>
          <w:b/>
          <w:bCs/>
          <w:sz w:val="20"/>
          <w:szCs w:val="20"/>
        </w:rPr>
      </w:pPr>
    </w:p>
    <w:p>
      <w:pPr>
        <w:spacing w:line="240" w:lineRule="auto" w:before="9"/>
        <w:rPr>
          <w:rFonts w:ascii="黑体" w:hAnsi="黑体" w:cs="黑体" w:eastAsia="黑体" w:hint="default"/>
          <w:b/>
          <w:bCs/>
          <w:sz w:val="17"/>
          <w:szCs w:val="17"/>
        </w:rPr>
      </w:pPr>
    </w:p>
    <w:p>
      <w:pPr>
        <w:tabs>
          <w:tab w:pos="823" w:val="left" w:leader="none"/>
        </w:tabs>
        <w:spacing w:before="38"/>
        <w:ind w:left="121" w:right="112"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1"/>
        <w:rPr>
          <w:rFonts w:ascii="黑体" w:hAnsi="黑体" w:cs="黑体" w:eastAsia="黑体" w:hint="default"/>
          <w:b/>
          <w:bCs/>
          <w:sz w:val="22"/>
          <w:szCs w:val="22"/>
        </w:rPr>
      </w:pPr>
    </w:p>
    <w:p>
      <w:pPr>
        <w:tabs>
          <w:tab w:pos="845" w:val="left" w:leader="none"/>
        </w:tabs>
        <w:spacing w:before="0"/>
        <w:ind w:left="121" w:right="112" w:firstLine="0"/>
        <w:jc w:val="left"/>
        <w:rPr>
          <w:rFonts w:ascii="黑体" w:hAnsi="黑体" w:cs="黑体" w:eastAsia="黑体" w:hint="default"/>
          <w:sz w:val="20"/>
          <w:szCs w:val="20"/>
        </w:rPr>
      </w:pPr>
      <w:r>
        <w:rPr>
          <w:rFonts w:ascii="Arial" w:hAnsi="Arial" w:cs="Arial" w:eastAsia="Arial" w:hint="default"/>
          <w:b/>
          <w:bCs/>
          <w:sz w:val="20"/>
          <w:szCs w:val="20"/>
        </w:rPr>
        <w:t>12</w:t>
      </w:r>
      <w:r>
        <w:rPr>
          <w:rFonts w:ascii="黑体" w:hAnsi="黑体" w:cs="黑体" w:eastAsia="黑体" w:hint="default"/>
          <w:b/>
          <w:bCs/>
          <w:sz w:val="20"/>
          <w:szCs w:val="20"/>
        </w:rPr>
        <w:t>．</w:t>
        <w:tab/>
        <w:t>固定资产（续）</w:t>
      </w:r>
      <w:r>
        <w:rPr>
          <w:rFonts w:ascii="黑体" w:hAnsi="黑体" w:cs="黑体" w:eastAsia="黑体" w:hint="default"/>
          <w:sz w:val="20"/>
          <w:szCs w:val="20"/>
        </w:rPr>
      </w:r>
    </w:p>
    <w:p>
      <w:pPr>
        <w:spacing w:line="240" w:lineRule="auto" w:before="3"/>
        <w:rPr>
          <w:rFonts w:ascii="黑体" w:hAnsi="黑体" w:cs="黑体" w:eastAsia="黑体" w:hint="default"/>
          <w:b/>
          <w:bCs/>
          <w:sz w:val="23"/>
          <w:szCs w:val="23"/>
        </w:rPr>
      </w:pPr>
    </w:p>
    <w:p>
      <w:pPr>
        <w:pStyle w:val="BodyText"/>
        <w:spacing w:line="240" w:lineRule="auto"/>
        <w:ind w:left="817" w:right="7282"/>
        <w:jc w:val="center"/>
      </w:pPr>
      <w:r>
        <w:rPr>
          <w:rFonts w:ascii="Arial" w:hAnsi="Arial" w:cs="Arial" w:eastAsia="Arial" w:hint="default"/>
        </w:rPr>
        <w:t>2008</w:t>
      </w:r>
      <w:r>
        <w:rPr/>
        <w:t>年</w:t>
      </w:r>
    </w:p>
    <w:p>
      <w:pPr>
        <w:spacing w:line="240" w:lineRule="auto" w:before="4"/>
        <w:rPr>
          <w:rFonts w:ascii="黑体" w:hAnsi="黑体" w:cs="黑体" w:eastAsia="黑体" w:hint="default"/>
          <w:sz w:val="21"/>
          <w:szCs w:val="21"/>
        </w:rPr>
      </w:pPr>
    </w:p>
    <w:tbl>
      <w:tblPr>
        <w:tblW w:w="0" w:type="auto"/>
        <w:jc w:val="left"/>
        <w:tblInd w:w="795" w:type="dxa"/>
        <w:tblLayout w:type="fixed"/>
        <w:tblCellMar>
          <w:top w:w="0" w:type="dxa"/>
          <w:left w:w="0" w:type="dxa"/>
          <w:bottom w:w="0" w:type="dxa"/>
          <w:right w:w="0" w:type="dxa"/>
        </w:tblCellMar>
        <w:tblLook w:val="01E0"/>
      </w:tblPr>
      <w:tblGrid>
        <w:gridCol w:w="1417"/>
        <w:gridCol w:w="1400"/>
        <w:gridCol w:w="2395"/>
        <w:gridCol w:w="1387"/>
        <w:gridCol w:w="1271"/>
      </w:tblGrid>
      <w:tr>
        <w:trPr>
          <w:trHeight w:val="318" w:hRule="exact"/>
        </w:trPr>
        <w:tc>
          <w:tcPr>
            <w:tcW w:w="1417" w:type="dxa"/>
            <w:vMerge w:val="restart"/>
            <w:tcBorders>
              <w:top w:val="nil" w:sz="6" w:space="0" w:color="auto"/>
              <w:left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26"/>
              <w:jc w:val="right"/>
              <w:rPr>
                <w:rFonts w:ascii="黑体" w:hAnsi="黑体" w:cs="黑体" w:eastAsia="黑体" w:hint="default"/>
                <w:sz w:val="18"/>
                <w:szCs w:val="18"/>
              </w:rPr>
            </w:pPr>
            <w:r>
              <w:rPr>
                <w:rFonts w:ascii="黑体" w:hAnsi="黑体" w:cs="黑体" w:eastAsia="黑体" w:hint="default"/>
                <w:sz w:val="18"/>
                <w:szCs w:val="18"/>
              </w:rPr>
              <w:t>年初数</w:t>
            </w:r>
          </w:p>
        </w:tc>
        <w:tc>
          <w:tcPr>
            <w:tcW w:w="239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676" w:right="0"/>
              <w:jc w:val="left"/>
              <w:rPr>
                <w:rFonts w:ascii="黑体" w:hAnsi="黑体" w:cs="黑体" w:eastAsia="黑体" w:hint="default"/>
                <w:sz w:val="18"/>
                <w:szCs w:val="18"/>
              </w:rPr>
            </w:pPr>
            <w:r>
              <w:rPr>
                <w:rFonts w:ascii="黑体" w:hAnsi="黑体" w:cs="黑体" w:eastAsia="黑体" w:hint="default"/>
                <w:sz w:val="18"/>
                <w:szCs w:val="18"/>
              </w:rPr>
              <w:t>本年增加</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10"/>
              <w:jc w:val="right"/>
              <w:rPr>
                <w:rFonts w:ascii="黑体" w:hAnsi="黑体" w:cs="黑体" w:eastAsia="黑体" w:hint="default"/>
                <w:sz w:val="18"/>
                <w:szCs w:val="18"/>
              </w:rPr>
            </w:pPr>
            <w:r>
              <w:rPr>
                <w:rFonts w:ascii="黑体" w:hAnsi="黑体" w:cs="黑体" w:eastAsia="黑体" w:hint="default"/>
                <w:sz w:val="18"/>
                <w:szCs w:val="18"/>
              </w:rPr>
              <w:t>本年减少</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黑体" w:hAnsi="黑体" w:cs="黑体" w:eastAsia="黑体" w:hint="default"/>
                <w:sz w:val="18"/>
                <w:szCs w:val="18"/>
              </w:rPr>
            </w:pPr>
            <w:r>
              <w:rPr>
                <w:rFonts w:ascii="黑体" w:hAnsi="黑体" w:cs="黑体" w:eastAsia="黑体" w:hint="default"/>
                <w:sz w:val="18"/>
                <w:szCs w:val="18"/>
              </w:rPr>
              <w:t>年末数</w:t>
            </w:r>
          </w:p>
        </w:tc>
      </w:tr>
      <w:tr>
        <w:trPr>
          <w:trHeight w:val="391" w:hRule="exact"/>
        </w:trPr>
        <w:tc>
          <w:tcPr>
            <w:tcW w:w="1417" w:type="dxa"/>
            <w:vMerge/>
            <w:tcBorders>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
        </w:tc>
        <w:tc>
          <w:tcPr>
            <w:tcW w:w="2395" w:type="dxa"/>
            <w:tcBorders>
              <w:top w:val="single" w:sz="4" w:space="0" w:color="000000"/>
              <w:left w:val="nil" w:sz="6" w:space="0" w:color="auto"/>
              <w:bottom w:val="nil" w:sz="6" w:space="0" w:color="auto"/>
              <w:right w:val="nil" w:sz="6" w:space="0" w:color="auto"/>
            </w:tcBorders>
          </w:tcPr>
          <w:p>
            <w:pPr>
              <w:pStyle w:val="TableParagraph"/>
              <w:tabs>
                <w:tab w:pos="1433" w:val="left" w:leader="none"/>
              </w:tabs>
              <w:spacing w:line="221" w:lineRule="exact"/>
              <w:ind w:left="514" w:right="0"/>
              <w:jc w:val="left"/>
              <w:rPr>
                <w:rFonts w:ascii="黑体" w:hAnsi="黑体" w:cs="黑体" w:eastAsia="黑体" w:hint="default"/>
                <w:sz w:val="18"/>
                <w:szCs w:val="18"/>
              </w:rPr>
            </w:pPr>
            <w:r>
              <w:rPr>
                <w:rFonts w:ascii="黑体" w:hAnsi="黑体" w:cs="黑体" w:eastAsia="黑体" w:hint="default"/>
                <w:sz w:val="18"/>
                <w:szCs w:val="18"/>
              </w:rPr>
              <w:t>收购</w:t>
              <w:tab/>
              <w:t>其他增加</w:t>
            </w:r>
          </w:p>
        </w:tc>
        <w:tc>
          <w:tcPr>
            <w:tcW w:w="1387" w:type="dxa"/>
            <w:tcBorders>
              <w:top w:val="nil" w:sz="6" w:space="0" w:color="auto"/>
              <w:left w:val="nil" w:sz="6" w:space="0" w:color="auto"/>
              <w:bottom w:val="nil" w:sz="6" w:space="0" w:color="auto"/>
              <w:right w:val="nil" w:sz="6" w:space="0" w:color="auto"/>
            </w:tcBorders>
          </w:tcPr>
          <w:p>
            <w:pPr/>
          </w:p>
        </w:tc>
        <w:tc>
          <w:tcPr>
            <w:tcW w:w="1271" w:type="dxa"/>
            <w:tcBorders>
              <w:top w:val="nil" w:sz="6" w:space="0" w:color="auto"/>
              <w:left w:val="nil" w:sz="6" w:space="0" w:color="auto"/>
              <w:bottom w:val="nil" w:sz="6" w:space="0" w:color="auto"/>
              <w:right w:val="nil" w:sz="6" w:space="0" w:color="auto"/>
            </w:tcBorders>
          </w:tcPr>
          <w:p>
            <w:pPr/>
          </w:p>
        </w:tc>
      </w:tr>
      <w:tr>
        <w:trPr>
          <w:trHeight w:val="642"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59" w:lineRule="auto" w:before="110"/>
              <w:ind w:left="35" w:right="300"/>
              <w:jc w:val="left"/>
              <w:rPr>
                <w:rFonts w:ascii="黑体" w:hAnsi="黑体" w:cs="黑体" w:eastAsia="黑体" w:hint="default"/>
                <w:sz w:val="18"/>
                <w:szCs w:val="18"/>
              </w:rPr>
            </w:pPr>
            <w:r>
              <w:rPr>
                <w:rFonts w:ascii="黑体" w:hAnsi="黑体" w:cs="黑体" w:eastAsia="黑体" w:hint="default"/>
                <w:sz w:val="18"/>
                <w:szCs w:val="18"/>
              </w:rPr>
              <w:t>原价 房屋及建筑物</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3"/>
                <w:szCs w:val="13"/>
              </w:rPr>
            </w:pPr>
          </w:p>
          <w:p>
            <w:pPr>
              <w:pStyle w:val="TableParagraph"/>
              <w:spacing w:line="240" w:lineRule="auto"/>
              <w:ind w:right="225"/>
              <w:jc w:val="right"/>
              <w:rPr>
                <w:rFonts w:ascii="Arial" w:hAnsi="Arial" w:cs="Arial" w:eastAsia="Arial" w:hint="default"/>
                <w:sz w:val="18"/>
                <w:szCs w:val="18"/>
              </w:rPr>
            </w:pPr>
            <w:r>
              <w:rPr>
                <w:rFonts w:ascii="Arial"/>
                <w:spacing w:val="-1"/>
                <w:sz w:val="18"/>
              </w:rPr>
              <w:t>556,500,261</w:t>
            </w:r>
          </w:p>
        </w:tc>
        <w:tc>
          <w:tcPr>
            <w:tcW w:w="23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3"/>
                <w:szCs w:val="13"/>
              </w:rPr>
            </w:pPr>
          </w:p>
          <w:p>
            <w:pPr>
              <w:pStyle w:val="TableParagraph"/>
              <w:tabs>
                <w:tab w:pos="1277" w:val="left" w:leader="none"/>
              </w:tabs>
              <w:spacing w:line="240" w:lineRule="auto"/>
              <w:ind w:right="242"/>
              <w:jc w:val="right"/>
              <w:rPr>
                <w:rFonts w:ascii="Arial" w:hAnsi="Arial" w:cs="Arial" w:eastAsia="Arial" w:hint="default"/>
                <w:sz w:val="18"/>
                <w:szCs w:val="18"/>
              </w:rPr>
            </w:pPr>
            <w:r>
              <w:rPr>
                <w:rFonts w:ascii="Arial"/>
                <w:sz w:val="18"/>
              </w:rPr>
              <w:t>-</w:t>
              <w:tab/>
            </w:r>
            <w:r>
              <w:rPr>
                <w:rFonts w:ascii="Arial"/>
                <w:w w:val="95"/>
                <w:sz w:val="18"/>
              </w:rPr>
              <w:t>-</w:t>
            </w:r>
            <w:r>
              <w:rPr>
                <w:rFonts w:ascii="Arial"/>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3"/>
                <w:szCs w:val="13"/>
              </w:rPr>
            </w:pPr>
          </w:p>
          <w:p>
            <w:pPr>
              <w:pStyle w:val="TableParagraph"/>
              <w:spacing w:line="240" w:lineRule="auto"/>
              <w:ind w:right="213"/>
              <w:jc w:val="right"/>
              <w:rPr>
                <w:rFonts w:ascii="Arial" w:hAnsi="Arial" w:cs="Arial" w:eastAsia="Arial" w:hint="default"/>
                <w:sz w:val="18"/>
                <w:szCs w:val="18"/>
              </w:rPr>
            </w:pPr>
            <w:r>
              <w:rPr>
                <w:rFonts w:ascii="Arial"/>
                <w:spacing w:val="-1"/>
                <w:sz w:val="18"/>
              </w:rPr>
              <w:t>183,970,109</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3"/>
                <w:szCs w:val="13"/>
              </w:rPr>
            </w:pPr>
          </w:p>
          <w:p>
            <w:pPr>
              <w:pStyle w:val="TableParagraph"/>
              <w:spacing w:line="240" w:lineRule="auto"/>
              <w:ind w:right="37"/>
              <w:jc w:val="right"/>
              <w:rPr>
                <w:rFonts w:ascii="Arial" w:hAnsi="Arial" w:cs="Arial" w:eastAsia="Arial" w:hint="default"/>
                <w:sz w:val="18"/>
                <w:szCs w:val="18"/>
              </w:rPr>
            </w:pPr>
            <w:r>
              <w:rPr>
                <w:rFonts w:ascii="Arial"/>
                <w:spacing w:val="-1"/>
                <w:sz w:val="18"/>
              </w:rPr>
              <w:t>372,530,152</w:t>
            </w:r>
          </w:p>
        </w:tc>
      </w:tr>
      <w:tr>
        <w:trPr>
          <w:trHeight w:val="255"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3" w:lineRule="exact"/>
              <w:ind w:left="35" w:right="0"/>
              <w:jc w:val="left"/>
              <w:rPr>
                <w:rFonts w:ascii="黑体" w:hAnsi="黑体" w:cs="黑体" w:eastAsia="黑体" w:hint="default"/>
                <w:sz w:val="18"/>
                <w:szCs w:val="18"/>
              </w:rPr>
            </w:pPr>
            <w:r>
              <w:rPr>
                <w:rFonts w:ascii="黑体" w:hAnsi="黑体" w:cs="黑体" w:eastAsia="黑体" w:hint="default"/>
                <w:sz w:val="18"/>
                <w:szCs w:val="18"/>
              </w:rPr>
              <w:t>机器设备</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26"/>
              <w:jc w:val="right"/>
              <w:rPr>
                <w:rFonts w:ascii="Arial" w:hAnsi="Arial" w:cs="Arial" w:eastAsia="Arial" w:hint="default"/>
                <w:sz w:val="18"/>
                <w:szCs w:val="18"/>
              </w:rPr>
            </w:pPr>
            <w:r>
              <w:rPr>
                <w:rFonts w:ascii="Arial"/>
                <w:spacing w:val="-1"/>
                <w:sz w:val="18"/>
              </w:rPr>
              <w:t>46,788,088</w:t>
            </w:r>
          </w:p>
        </w:tc>
        <w:tc>
          <w:tcPr>
            <w:tcW w:w="2395" w:type="dxa"/>
            <w:tcBorders>
              <w:top w:val="nil" w:sz="6" w:space="0" w:color="auto"/>
              <w:left w:val="nil" w:sz="6" w:space="0" w:color="auto"/>
              <w:bottom w:val="nil" w:sz="6" w:space="0" w:color="auto"/>
              <w:right w:val="nil" w:sz="6" w:space="0" w:color="auto"/>
            </w:tcBorders>
          </w:tcPr>
          <w:p>
            <w:pPr>
              <w:pStyle w:val="TableParagraph"/>
              <w:tabs>
                <w:tab w:pos="437" w:val="left" w:leader="none"/>
              </w:tabs>
              <w:spacing w:line="240" w:lineRule="auto" w:before="19"/>
              <w:ind w:right="243"/>
              <w:jc w:val="right"/>
              <w:rPr>
                <w:rFonts w:ascii="Arial" w:hAnsi="Arial" w:cs="Arial" w:eastAsia="Arial" w:hint="default"/>
                <w:sz w:val="18"/>
                <w:szCs w:val="18"/>
              </w:rPr>
            </w:pPr>
            <w:r>
              <w:rPr>
                <w:rFonts w:ascii="Arial"/>
                <w:sz w:val="18"/>
              </w:rPr>
              <w:t>-</w:t>
              <w:tab/>
            </w:r>
            <w:r>
              <w:rPr>
                <w:rFonts w:ascii="Arial"/>
                <w:spacing w:val="-1"/>
                <w:sz w:val="18"/>
              </w:rPr>
              <w:t>38,911,655</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4"/>
              <w:jc w:val="right"/>
              <w:rPr>
                <w:rFonts w:ascii="Arial" w:hAnsi="Arial" w:cs="Arial" w:eastAsia="Arial" w:hint="default"/>
                <w:sz w:val="18"/>
                <w:szCs w:val="18"/>
              </w:rPr>
            </w:pPr>
            <w:r>
              <w:rPr>
                <w:rFonts w:ascii="Arial"/>
                <w:spacing w:val="-1"/>
                <w:sz w:val="18"/>
              </w:rPr>
              <w:t>15,929,791</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7"/>
              <w:jc w:val="right"/>
              <w:rPr>
                <w:rFonts w:ascii="Arial" w:hAnsi="Arial" w:cs="Arial" w:eastAsia="Arial" w:hint="default"/>
                <w:sz w:val="18"/>
                <w:szCs w:val="18"/>
              </w:rPr>
            </w:pPr>
            <w:r>
              <w:rPr>
                <w:rFonts w:ascii="Arial"/>
                <w:spacing w:val="-1"/>
                <w:sz w:val="18"/>
              </w:rPr>
              <w:t>69,769,952</w:t>
            </w:r>
          </w:p>
        </w:tc>
      </w:tr>
      <w:tr>
        <w:trPr>
          <w:trHeight w:val="255"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3" w:lineRule="exact"/>
              <w:ind w:left="35" w:right="0"/>
              <w:jc w:val="left"/>
              <w:rPr>
                <w:rFonts w:ascii="黑体" w:hAnsi="黑体" w:cs="黑体" w:eastAsia="黑体" w:hint="default"/>
                <w:sz w:val="18"/>
                <w:szCs w:val="18"/>
              </w:rPr>
            </w:pPr>
            <w:r>
              <w:rPr>
                <w:rFonts w:ascii="黑体" w:hAnsi="黑体" w:cs="黑体" w:eastAsia="黑体" w:hint="default"/>
                <w:sz w:val="18"/>
                <w:szCs w:val="18"/>
              </w:rPr>
              <w:t>运输工具</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5"/>
              <w:jc w:val="right"/>
              <w:rPr>
                <w:rFonts w:ascii="Arial" w:hAnsi="Arial" w:cs="Arial" w:eastAsia="Arial" w:hint="default"/>
                <w:sz w:val="18"/>
                <w:szCs w:val="18"/>
              </w:rPr>
            </w:pPr>
            <w:r>
              <w:rPr>
                <w:rFonts w:ascii="Arial"/>
                <w:spacing w:val="-1"/>
                <w:sz w:val="18"/>
              </w:rPr>
              <w:t>30,119,616</w:t>
            </w:r>
          </w:p>
        </w:tc>
        <w:tc>
          <w:tcPr>
            <w:tcW w:w="2395" w:type="dxa"/>
            <w:tcBorders>
              <w:top w:val="nil" w:sz="6" w:space="0" w:color="auto"/>
              <w:left w:val="nil" w:sz="6" w:space="0" w:color="auto"/>
              <w:bottom w:val="nil" w:sz="6" w:space="0" w:color="auto"/>
              <w:right w:val="nil" w:sz="6" w:space="0" w:color="auto"/>
            </w:tcBorders>
          </w:tcPr>
          <w:p>
            <w:pPr>
              <w:pStyle w:val="TableParagraph"/>
              <w:tabs>
                <w:tab w:pos="1350" w:val="left" w:leader="none"/>
              </w:tabs>
              <w:spacing w:line="240" w:lineRule="auto" w:before="18"/>
              <w:ind w:left="72" w:right="0"/>
              <w:jc w:val="left"/>
              <w:rPr>
                <w:rFonts w:ascii="Arial" w:hAnsi="Arial" w:cs="Arial" w:eastAsia="Arial" w:hint="default"/>
                <w:sz w:val="18"/>
                <w:szCs w:val="18"/>
              </w:rPr>
            </w:pPr>
            <w:r>
              <w:rPr>
                <w:rFonts w:ascii="Arial"/>
                <w:spacing w:val="-1"/>
                <w:sz w:val="18"/>
              </w:rPr>
              <w:t>1,620,229</w:t>
              <w:tab/>
              <w:t>4,632,889</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14"/>
              <w:jc w:val="right"/>
              <w:rPr>
                <w:rFonts w:ascii="Arial" w:hAnsi="Arial" w:cs="Arial" w:eastAsia="Arial" w:hint="default"/>
                <w:sz w:val="18"/>
                <w:szCs w:val="18"/>
              </w:rPr>
            </w:pPr>
            <w:r>
              <w:rPr>
                <w:rFonts w:ascii="Arial"/>
                <w:spacing w:val="-1"/>
                <w:sz w:val="18"/>
              </w:rPr>
              <w:t>2,046,238</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7"/>
              <w:jc w:val="right"/>
              <w:rPr>
                <w:rFonts w:ascii="Arial" w:hAnsi="Arial" w:cs="Arial" w:eastAsia="Arial" w:hint="default"/>
                <w:sz w:val="18"/>
                <w:szCs w:val="18"/>
              </w:rPr>
            </w:pPr>
            <w:r>
              <w:rPr>
                <w:rFonts w:ascii="Arial"/>
                <w:spacing w:val="-1"/>
                <w:sz w:val="18"/>
              </w:rPr>
              <w:t>34,326,496</w:t>
            </w:r>
          </w:p>
        </w:tc>
      </w:tr>
      <w:tr>
        <w:trPr>
          <w:trHeight w:val="260"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3" w:lineRule="exact"/>
              <w:ind w:left="35" w:right="0"/>
              <w:jc w:val="left"/>
              <w:rPr>
                <w:rFonts w:ascii="黑体" w:hAnsi="黑体" w:cs="黑体" w:eastAsia="黑体" w:hint="default"/>
                <w:sz w:val="18"/>
                <w:szCs w:val="18"/>
              </w:rPr>
            </w:pPr>
            <w:r>
              <w:rPr>
                <w:rFonts w:ascii="黑体" w:hAnsi="黑体" w:cs="黑体" w:eastAsia="黑体" w:hint="default"/>
                <w:sz w:val="18"/>
                <w:szCs w:val="18"/>
              </w:rPr>
              <w:t>办公及电子设备</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25"/>
              <w:jc w:val="right"/>
              <w:rPr>
                <w:rFonts w:ascii="Arial" w:hAnsi="Arial" w:cs="Arial" w:eastAsia="Arial" w:hint="default"/>
                <w:sz w:val="18"/>
                <w:szCs w:val="18"/>
              </w:rPr>
            </w:pPr>
            <w:r>
              <w:rPr>
                <w:rFonts w:ascii="Arial"/>
                <w:w w:val="99"/>
                <w:sz w:val="18"/>
              </w:rPr>
            </w:r>
            <w:r>
              <w:rPr>
                <w:rFonts w:ascii="Arial"/>
                <w:spacing w:val="-1"/>
                <w:sz w:val="18"/>
                <w:u w:val="single" w:color="000000"/>
              </w:rPr>
              <w:t>171,630,680</w:t>
            </w:r>
            <w:r>
              <w:rPr>
                <w:rFonts w:ascii="Arial"/>
                <w:spacing w:val="-1"/>
                <w:sz w:val="18"/>
              </w:rPr>
            </w:r>
          </w:p>
        </w:tc>
        <w:tc>
          <w:tcPr>
            <w:tcW w:w="2395" w:type="dxa"/>
            <w:tcBorders>
              <w:top w:val="nil" w:sz="6" w:space="0" w:color="auto"/>
              <w:left w:val="nil" w:sz="6" w:space="0" w:color="auto"/>
              <w:bottom w:val="nil" w:sz="6" w:space="0" w:color="auto"/>
              <w:right w:val="nil" w:sz="6" w:space="0" w:color="auto"/>
            </w:tcBorders>
          </w:tcPr>
          <w:p>
            <w:pPr>
              <w:pStyle w:val="TableParagraph"/>
              <w:tabs>
                <w:tab w:pos="1250" w:val="left" w:leader="none"/>
              </w:tabs>
              <w:spacing w:line="240" w:lineRule="auto" w:before="19"/>
              <w:ind w:left="73" w:right="0"/>
              <w:jc w:val="left"/>
              <w:rPr>
                <w:rFonts w:ascii="Arial" w:hAnsi="Arial" w:cs="Arial" w:eastAsia="Arial" w:hint="default"/>
                <w:sz w:val="18"/>
                <w:szCs w:val="18"/>
              </w:rPr>
            </w:pPr>
            <w:r>
              <w:rPr>
                <w:rFonts w:ascii="Arial"/>
                <w:w w:val="99"/>
                <w:sz w:val="18"/>
              </w:rPr>
            </w:r>
            <w:r>
              <w:rPr>
                <w:rFonts w:ascii="Arial"/>
                <w:spacing w:val="-1"/>
                <w:sz w:val="18"/>
                <w:u w:val="single" w:color="000000"/>
              </w:rPr>
              <w:t>1,926,127</w:t>
            </w:r>
            <w:r>
              <w:rPr>
                <w:rFonts w:ascii="Arial"/>
                <w:spacing w:val="-1"/>
                <w:sz w:val="18"/>
              </w:rPr>
              <w:tab/>
            </w:r>
            <w:r>
              <w:rPr>
                <w:rFonts w:ascii="Arial"/>
                <w:spacing w:val="-1"/>
                <w:sz w:val="18"/>
                <w:u w:val="single" w:color="000000"/>
              </w:rPr>
              <w:t>34,437,863</w:t>
            </w:r>
            <w:r>
              <w:rPr>
                <w:rFonts w:ascii="Arial"/>
                <w:spacing w:val="-1"/>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sz w:val="18"/>
                <w:u w:val="single" w:color="000000"/>
              </w:rPr>
              <w:t>39,483,327</w:t>
            </w:r>
            <w:r>
              <w:rPr>
                <w:rFonts w:ascii="Arial"/>
                <w:spacing w:val="-1"/>
                <w:sz w:val="18"/>
              </w:rPr>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6"/>
              <w:jc w:val="right"/>
              <w:rPr>
                <w:rFonts w:ascii="Arial" w:hAnsi="Arial" w:cs="Arial" w:eastAsia="Arial" w:hint="default"/>
                <w:sz w:val="18"/>
                <w:szCs w:val="18"/>
              </w:rPr>
            </w:pPr>
            <w:r>
              <w:rPr>
                <w:rFonts w:ascii="Arial"/>
                <w:w w:val="99"/>
                <w:sz w:val="18"/>
              </w:rPr>
            </w:r>
            <w:r>
              <w:rPr>
                <w:rFonts w:ascii="Arial"/>
                <w:spacing w:val="-1"/>
                <w:sz w:val="18"/>
                <w:u w:val="single" w:color="000000"/>
              </w:rPr>
              <w:t>168,511,343</w:t>
            </w:r>
            <w:r>
              <w:rPr>
                <w:rFonts w:ascii="Arial"/>
                <w:spacing w:val="-1"/>
                <w:sz w:val="18"/>
              </w:rPr>
            </w:r>
          </w:p>
        </w:tc>
      </w:tr>
      <w:tr>
        <w:trPr>
          <w:trHeight w:val="378" w:hRule="exact"/>
        </w:trPr>
        <w:tc>
          <w:tcPr>
            <w:tcW w:w="1417"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25"/>
              <w:jc w:val="right"/>
              <w:rPr>
                <w:rFonts w:ascii="Arial" w:hAnsi="Arial" w:cs="Arial" w:eastAsia="Arial" w:hint="default"/>
                <w:sz w:val="18"/>
                <w:szCs w:val="18"/>
              </w:rPr>
            </w:pPr>
            <w:r>
              <w:rPr>
                <w:rFonts w:ascii="Arial"/>
                <w:w w:val="99"/>
                <w:sz w:val="18"/>
              </w:rPr>
            </w:r>
            <w:r>
              <w:rPr>
                <w:rFonts w:ascii="Arial"/>
                <w:spacing w:val="-1"/>
                <w:sz w:val="18"/>
                <w:u w:val="thick" w:color="000000"/>
              </w:rPr>
              <w:t>805,038,645</w:t>
            </w:r>
            <w:r>
              <w:rPr>
                <w:rFonts w:ascii="Arial"/>
                <w:spacing w:val="-1"/>
                <w:sz w:val="18"/>
              </w:rPr>
            </w:r>
          </w:p>
        </w:tc>
        <w:tc>
          <w:tcPr>
            <w:tcW w:w="2395" w:type="dxa"/>
            <w:tcBorders>
              <w:top w:val="nil" w:sz="6" w:space="0" w:color="auto"/>
              <w:left w:val="nil" w:sz="6" w:space="0" w:color="auto"/>
              <w:bottom w:val="nil" w:sz="6" w:space="0" w:color="auto"/>
              <w:right w:val="nil" w:sz="6" w:space="0" w:color="auto"/>
            </w:tcBorders>
          </w:tcPr>
          <w:p>
            <w:pPr>
              <w:pStyle w:val="TableParagraph"/>
              <w:tabs>
                <w:tab w:pos="1250" w:val="left" w:leader="none"/>
              </w:tabs>
              <w:spacing w:line="240" w:lineRule="auto" w:before="14"/>
              <w:ind w:left="73" w:right="0"/>
              <w:jc w:val="left"/>
              <w:rPr>
                <w:rFonts w:ascii="Arial" w:hAnsi="Arial" w:cs="Arial" w:eastAsia="Arial" w:hint="default"/>
                <w:sz w:val="18"/>
                <w:szCs w:val="18"/>
              </w:rPr>
            </w:pPr>
            <w:r>
              <w:rPr>
                <w:rFonts w:ascii="Arial"/>
                <w:w w:val="99"/>
                <w:sz w:val="18"/>
              </w:rPr>
            </w:r>
            <w:r>
              <w:rPr>
                <w:rFonts w:ascii="Arial"/>
                <w:spacing w:val="-1"/>
                <w:sz w:val="18"/>
                <w:u w:val="thick" w:color="000000"/>
              </w:rPr>
              <w:t>3,546,356</w:t>
            </w:r>
            <w:r>
              <w:rPr>
                <w:rFonts w:ascii="Arial"/>
                <w:spacing w:val="-1"/>
                <w:sz w:val="18"/>
              </w:rPr>
              <w:tab/>
            </w:r>
            <w:r>
              <w:rPr>
                <w:rFonts w:ascii="Arial"/>
                <w:spacing w:val="-1"/>
                <w:sz w:val="18"/>
                <w:u w:val="thick" w:color="000000"/>
              </w:rPr>
              <w:t>77,982,407</w:t>
            </w:r>
            <w:r>
              <w:rPr>
                <w:rFonts w:ascii="Arial"/>
                <w:spacing w:val="-1"/>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13"/>
              <w:jc w:val="right"/>
              <w:rPr>
                <w:rFonts w:ascii="Arial" w:hAnsi="Arial" w:cs="Arial" w:eastAsia="Arial" w:hint="default"/>
                <w:sz w:val="18"/>
                <w:szCs w:val="18"/>
              </w:rPr>
            </w:pPr>
            <w:r>
              <w:rPr>
                <w:rFonts w:ascii="Arial"/>
                <w:w w:val="99"/>
                <w:sz w:val="18"/>
              </w:rPr>
            </w:r>
            <w:r>
              <w:rPr>
                <w:rFonts w:ascii="Arial"/>
                <w:spacing w:val="-1"/>
                <w:sz w:val="18"/>
                <w:u w:val="thick" w:color="000000"/>
              </w:rPr>
              <w:t>241,429,465</w:t>
            </w:r>
            <w:r>
              <w:rPr>
                <w:rFonts w:ascii="Arial"/>
                <w:spacing w:val="-1"/>
                <w:sz w:val="18"/>
              </w:rPr>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6"/>
              <w:jc w:val="right"/>
              <w:rPr>
                <w:rFonts w:ascii="Arial" w:hAnsi="Arial" w:cs="Arial" w:eastAsia="Arial" w:hint="default"/>
                <w:sz w:val="18"/>
                <w:szCs w:val="18"/>
              </w:rPr>
            </w:pPr>
            <w:r>
              <w:rPr>
                <w:rFonts w:ascii="Arial"/>
                <w:w w:val="99"/>
                <w:sz w:val="18"/>
              </w:rPr>
            </w:r>
            <w:r>
              <w:rPr>
                <w:rFonts w:ascii="Arial"/>
                <w:spacing w:val="-1"/>
                <w:sz w:val="18"/>
                <w:u w:val="thick" w:color="000000"/>
              </w:rPr>
              <w:t>645,137,943</w:t>
            </w:r>
            <w:r>
              <w:rPr>
                <w:rFonts w:ascii="Arial"/>
                <w:spacing w:val="-1"/>
                <w:sz w:val="18"/>
              </w:rPr>
            </w:r>
          </w:p>
        </w:tc>
      </w:tr>
      <w:tr>
        <w:trPr>
          <w:trHeight w:val="378"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5" w:right="0"/>
              <w:jc w:val="left"/>
              <w:rPr>
                <w:rFonts w:ascii="黑体" w:hAnsi="黑体" w:cs="黑体" w:eastAsia="黑体" w:hint="default"/>
                <w:sz w:val="18"/>
                <w:szCs w:val="18"/>
              </w:rPr>
            </w:pPr>
            <w:r>
              <w:rPr>
                <w:rFonts w:ascii="黑体" w:hAnsi="黑体" w:cs="黑体" w:eastAsia="黑体" w:hint="default"/>
                <w:sz w:val="18"/>
                <w:szCs w:val="18"/>
              </w:rPr>
              <w:t>累计折旧</w:t>
            </w:r>
          </w:p>
        </w:tc>
        <w:tc>
          <w:tcPr>
            <w:tcW w:w="1400" w:type="dxa"/>
            <w:tcBorders>
              <w:top w:val="nil" w:sz="6" w:space="0" w:color="auto"/>
              <w:left w:val="nil" w:sz="6" w:space="0" w:color="auto"/>
              <w:bottom w:val="nil" w:sz="6" w:space="0" w:color="auto"/>
              <w:right w:val="nil" w:sz="6" w:space="0" w:color="auto"/>
            </w:tcBorders>
          </w:tcPr>
          <w:p>
            <w:pPr/>
          </w:p>
        </w:tc>
        <w:tc>
          <w:tcPr>
            <w:tcW w:w="239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
        </w:tc>
        <w:tc>
          <w:tcPr>
            <w:tcW w:w="1271" w:type="dxa"/>
            <w:tcBorders>
              <w:top w:val="nil" w:sz="6" w:space="0" w:color="auto"/>
              <w:left w:val="nil" w:sz="6" w:space="0" w:color="auto"/>
              <w:bottom w:val="nil" w:sz="6" w:space="0" w:color="auto"/>
              <w:right w:val="nil" w:sz="6" w:space="0" w:color="auto"/>
            </w:tcBorders>
          </w:tcPr>
          <w:p>
            <w:pPr/>
          </w:p>
        </w:tc>
      </w:tr>
      <w:tr>
        <w:trPr>
          <w:trHeight w:val="259"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8" w:lineRule="exact"/>
              <w:ind w:left="35" w:right="0"/>
              <w:jc w:val="left"/>
              <w:rPr>
                <w:rFonts w:ascii="黑体" w:hAnsi="黑体" w:cs="黑体" w:eastAsia="黑体" w:hint="default"/>
                <w:sz w:val="18"/>
                <w:szCs w:val="18"/>
              </w:rPr>
            </w:pPr>
            <w:r>
              <w:rPr>
                <w:rFonts w:ascii="黑体" w:hAnsi="黑体" w:cs="黑体" w:eastAsia="黑体" w:hint="default"/>
                <w:sz w:val="18"/>
                <w:szCs w:val="18"/>
              </w:rPr>
              <w:t>房屋及建筑物</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5"/>
              <w:jc w:val="right"/>
              <w:rPr>
                <w:rFonts w:ascii="Arial" w:hAnsi="Arial" w:cs="Arial" w:eastAsia="Arial" w:hint="default"/>
                <w:sz w:val="18"/>
                <w:szCs w:val="18"/>
              </w:rPr>
            </w:pPr>
            <w:r>
              <w:rPr>
                <w:rFonts w:ascii="Arial"/>
                <w:spacing w:val="-1"/>
                <w:sz w:val="18"/>
              </w:rPr>
              <w:t>21,243,392</w:t>
            </w:r>
          </w:p>
        </w:tc>
        <w:tc>
          <w:tcPr>
            <w:tcW w:w="2395" w:type="dxa"/>
            <w:tcBorders>
              <w:top w:val="nil" w:sz="6" w:space="0" w:color="auto"/>
              <w:left w:val="nil" w:sz="6" w:space="0" w:color="auto"/>
              <w:bottom w:val="nil" w:sz="6" w:space="0" w:color="auto"/>
              <w:right w:val="nil" w:sz="6" w:space="0" w:color="auto"/>
            </w:tcBorders>
          </w:tcPr>
          <w:p>
            <w:pPr>
              <w:pStyle w:val="TableParagraph"/>
              <w:tabs>
                <w:tab w:pos="538" w:val="left" w:leader="none"/>
              </w:tabs>
              <w:spacing w:line="240" w:lineRule="auto" w:before="23"/>
              <w:ind w:right="242"/>
              <w:jc w:val="right"/>
              <w:rPr>
                <w:rFonts w:ascii="Arial" w:hAnsi="Arial" w:cs="Arial" w:eastAsia="Arial" w:hint="default"/>
                <w:sz w:val="18"/>
                <w:szCs w:val="18"/>
              </w:rPr>
            </w:pPr>
            <w:r>
              <w:rPr>
                <w:rFonts w:ascii="Arial"/>
                <w:sz w:val="18"/>
              </w:rPr>
              <w:t>-</w:t>
              <w:tab/>
            </w:r>
            <w:r>
              <w:rPr>
                <w:rFonts w:ascii="Arial"/>
                <w:spacing w:val="-1"/>
                <w:sz w:val="18"/>
              </w:rPr>
              <w:t>2,980,661</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14"/>
              <w:jc w:val="right"/>
              <w:rPr>
                <w:rFonts w:ascii="Arial" w:hAnsi="Arial" w:cs="Arial" w:eastAsia="Arial" w:hint="default"/>
                <w:sz w:val="18"/>
                <w:szCs w:val="18"/>
              </w:rPr>
            </w:pPr>
            <w:r>
              <w:rPr>
                <w:rFonts w:ascii="Arial"/>
                <w:spacing w:val="-1"/>
                <w:sz w:val="18"/>
              </w:rPr>
              <w:t>10,490,020</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
              <w:jc w:val="right"/>
              <w:rPr>
                <w:rFonts w:ascii="Arial" w:hAnsi="Arial" w:cs="Arial" w:eastAsia="Arial" w:hint="default"/>
                <w:sz w:val="18"/>
                <w:szCs w:val="18"/>
              </w:rPr>
            </w:pPr>
            <w:r>
              <w:rPr>
                <w:rFonts w:ascii="Arial"/>
                <w:spacing w:val="-1"/>
                <w:sz w:val="18"/>
              </w:rPr>
              <w:t>13,734,033</w:t>
            </w:r>
          </w:p>
        </w:tc>
      </w:tr>
      <w:tr>
        <w:trPr>
          <w:trHeight w:val="255"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3" w:lineRule="exact"/>
              <w:ind w:left="35" w:right="0"/>
              <w:jc w:val="left"/>
              <w:rPr>
                <w:rFonts w:ascii="黑体" w:hAnsi="黑体" w:cs="黑体" w:eastAsia="黑体" w:hint="default"/>
                <w:sz w:val="18"/>
                <w:szCs w:val="18"/>
              </w:rPr>
            </w:pPr>
            <w:r>
              <w:rPr>
                <w:rFonts w:ascii="黑体" w:hAnsi="黑体" w:cs="黑体" w:eastAsia="黑体" w:hint="default"/>
                <w:sz w:val="18"/>
                <w:szCs w:val="18"/>
              </w:rPr>
              <w:t>机器设备</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5"/>
              <w:jc w:val="right"/>
              <w:rPr>
                <w:rFonts w:ascii="Arial" w:hAnsi="Arial" w:cs="Arial" w:eastAsia="Arial" w:hint="default"/>
                <w:sz w:val="18"/>
                <w:szCs w:val="18"/>
              </w:rPr>
            </w:pPr>
            <w:r>
              <w:rPr>
                <w:rFonts w:ascii="Arial"/>
                <w:spacing w:val="-1"/>
                <w:sz w:val="18"/>
              </w:rPr>
              <w:t>15,756,838</w:t>
            </w:r>
          </w:p>
        </w:tc>
        <w:tc>
          <w:tcPr>
            <w:tcW w:w="2395" w:type="dxa"/>
            <w:tcBorders>
              <w:top w:val="nil" w:sz="6" w:space="0" w:color="auto"/>
              <w:left w:val="nil" w:sz="6" w:space="0" w:color="auto"/>
              <w:bottom w:val="nil" w:sz="6" w:space="0" w:color="auto"/>
              <w:right w:val="nil" w:sz="6" w:space="0" w:color="auto"/>
            </w:tcBorders>
          </w:tcPr>
          <w:p>
            <w:pPr>
              <w:pStyle w:val="TableParagraph"/>
              <w:tabs>
                <w:tab w:pos="538" w:val="left" w:leader="none"/>
              </w:tabs>
              <w:spacing w:line="240" w:lineRule="auto" w:before="18"/>
              <w:ind w:right="242"/>
              <w:jc w:val="right"/>
              <w:rPr>
                <w:rFonts w:ascii="Arial" w:hAnsi="Arial" w:cs="Arial" w:eastAsia="Arial" w:hint="default"/>
                <w:sz w:val="18"/>
                <w:szCs w:val="18"/>
              </w:rPr>
            </w:pPr>
            <w:r>
              <w:rPr>
                <w:rFonts w:ascii="Arial"/>
                <w:sz w:val="18"/>
              </w:rPr>
              <w:t>-</w:t>
              <w:tab/>
            </w:r>
            <w:r>
              <w:rPr>
                <w:rFonts w:ascii="Arial"/>
                <w:spacing w:val="-1"/>
                <w:sz w:val="18"/>
              </w:rPr>
              <w:t>8,586,484</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13"/>
              <w:jc w:val="right"/>
              <w:rPr>
                <w:rFonts w:ascii="Arial" w:hAnsi="Arial" w:cs="Arial" w:eastAsia="Arial" w:hint="default"/>
                <w:sz w:val="18"/>
                <w:szCs w:val="18"/>
              </w:rPr>
            </w:pPr>
            <w:r>
              <w:rPr>
                <w:rFonts w:ascii="Arial"/>
                <w:spacing w:val="-1"/>
                <w:sz w:val="18"/>
              </w:rPr>
              <w:t>14,385,919</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8"/>
              <w:jc w:val="right"/>
              <w:rPr>
                <w:rFonts w:ascii="Arial" w:hAnsi="Arial" w:cs="Arial" w:eastAsia="Arial" w:hint="default"/>
                <w:sz w:val="18"/>
                <w:szCs w:val="18"/>
              </w:rPr>
            </w:pPr>
            <w:r>
              <w:rPr>
                <w:rFonts w:ascii="Arial"/>
                <w:spacing w:val="-1"/>
                <w:sz w:val="18"/>
              </w:rPr>
              <w:t>9,957,403</w:t>
            </w:r>
          </w:p>
        </w:tc>
      </w:tr>
      <w:tr>
        <w:trPr>
          <w:trHeight w:val="255"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3" w:lineRule="exact"/>
              <w:ind w:left="35" w:right="0"/>
              <w:jc w:val="left"/>
              <w:rPr>
                <w:rFonts w:ascii="黑体" w:hAnsi="黑体" w:cs="黑体" w:eastAsia="黑体" w:hint="default"/>
                <w:sz w:val="18"/>
                <w:szCs w:val="18"/>
              </w:rPr>
            </w:pPr>
            <w:r>
              <w:rPr>
                <w:rFonts w:ascii="黑体" w:hAnsi="黑体" w:cs="黑体" w:eastAsia="黑体" w:hint="default"/>
                <w:sz w:val="18"/>
                <w:szCs w:val="18"/>
              </w:rPr>
              <w:t>运输工具</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25"/>
              <w:jc w:val="right"/>
              <w:rPr>
                <w:rFonts w:ascii="Arial" w:hAnsi="Arial" w:cs="Arial" w:eastAsia="Arial" w:hint="default"/>
                <w:sz w:val="18"/>
                <w:szCs w:val="18"/>
              </w:rPr>
            </w:pPr>
            <w:r>
              <w:rPr>
                <w:rFonts w:ascii="Arial"/>
                <w:spacing w:val="-1"/>
                <w:sz w:val="18"/>
              </w:rPr>
              <w:t>16,810,473</w:t>
            </w:r>
          </w:p>
        </w:tc>
        <w:tc>
          <w:tcPr>
            <w:tcW w:w="2395" w:type="dxa"/>
            <w:tcBorders>
              <w:top w:val="nil" w:sz="6" w:space="0" w:color="auto"/>
              <w:left w:val="nil" w:sz="6" w:space="0" w:color="auto"/>
              <w:bottom w:val="nil" w:sz="6" w:space="0" w:color="auto"/>
              <w:right w:val="nil" w:sz="6" w:space="0" w:color="auto"/>
            </w:tcBorders>
          </w:tcPr>
          <w:p>
            <w:pPr>
              <w:pStyle w:val="TableParagraph"/>
              <w:tabs>
                <w:tab w:pos="538" w:val="left" w:leader="none"/>
              </w:tabs>
              <w:spacing w:line="240" w:lineRule="auto" w:before="19"/>
              <w:ind w:right="242"/>
              <w:jc w:val="right"/>
              <w:rPr>
                <w:rFonts w:ascii="Arial" w:hAnsi="Arial" w:cs="Arial" w:eastAsia="Arial" w:hint="default"/>
                <w:sz w:val="18"/>
                <w:szCs w:val="18"/>
              </w:rPr>
            </w:pPr>
            <w:r>
              <w:rPr>
                <w:rFonts w:ascii="Arial"/>
                <w:sz w:val="18"/>
              </w:rPr>
              <w:t>-</w:t>
              <w:tab/>
            </w:r>
            <w:r>
              <w:rPr>
                <w:rFonts w:ascii="Arial"/>
                <w:spacing w:val="-1"/>
                <w:sz w:val="18"/>
              </w:rPr>
              <w:t>4,350,313</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4"/>
              <w:jc w:val="right"/>
              <w:rPr>
                <w:rFonts w:ascii="Arial" w:hAnsi="Arial" w:cs="Arial" w:eastAsia="Arial" w:hint="default"/>
                <w:sz w:val="18"/>
                <w:szCs w:val="18"/>
              </w:rPr>
            </w:pPr>
            <w:r>
              <w:rPr>
                <w:rFonts w:ascii="Arial"/>
                <w:spacing w:val="-1"/>
                <w:sz w:val="18"/>
              </w:rPr>
              <w:t>1,768,888</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7"/>
              <w:jc w:val="right"/>
              <w:rPr>
                <w:rFonts w:ascii="Arial" w:hAnsi="Arial" w:cs="Arial" w:eastAsia="Arial" w:hint="default"/>
                <w:sz w:val="18"/>
                <w:szCs w:val="18"/>
              </w:rPr>
            </w:pPr>
            <w:r>
              <w:rPr>
                <w:rFonts w:ascii="Arial"/>
                <w:spacing w:val="-1"/>
                <w:sz w:val="18"/>
              </w:rPr>
              <w:t>19,391,898</w:t>
            </w:r>
          </w:p>
        </w:tc>
      </w:tr>
      <w:tr>
        <w:trPr>
          <w:trHeight w:val="274"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3" w:lineRule="exact"/>
              <w:ind w:left="35" w:right="0"/>
              <w:jc w:val="left"/>
              <w:rPr>
                <w:rFonts w:ascii="黑体" w:hAnsi="黑体" w:cs="黑体" w:eastAsia="黑体" w:hint="default"/>
                <w:sz w:val="18"/>
                <w:szCs w:val="18"/>
              </w:rPr>
            </w:pPr>
            <w:r>
              <w:rPr>
                <w:rFonts w:ascii="黑体" w:hAnsi="黑体" w:cs="黑体" w:eastAsia="黑体" w:hint="default"/>
                <w:sz w:val="18"/>
                <w:szCs w:val="18"/>
              </w:rPr>
              <w:t>办公及电子设备</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6"/>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1"/>
                <w:sz w:val="18"/>
                <w:u w:val="single" w:color="000000"/>
              </w:rPr>
              <w:t> </w:t>
            </w:r>
            <w:r>
              <w:rPr>
                <w:rFonts w:ascii="Arial"/>
                <w:spacing w:val="-1"/>
                <w:sz w:val="18"/>
                <w:u w:val="single" w:color="000000"/>
              </w:rPr>
              <w:t>98,577,662</w:t>
            </w:r>
            <w:r>
              <w:rPr>
                <w:rFonts w:ascii="Arial"/>
                <w:spacing w:val="-1"/>
                <w:sz w:val="18"/>
              </w:rPr>
            </w:r>
          </w:p>
        </w:tc>
        <w:tc>
          <w:tcPr>
            <w:tcW w:w="2395" w:type="dxa"/>
            <w:tcBorders>
              <w:top w:val="nil" w:sz="6" w:space="0" w:color="auto"/>
              <w:left w:val="nil" w:sz="6" w:space="0" w:color="auto"/>
              <w:bottom w:val="nil" w:sz="6" w:space="0" w:color="auto"/>
              <w:right w:val="nil" w:sz="6" w:space="0" w:color="auto"/>
            </w:tcBorders>
          </w:tcPr>
          <w:p>
            <w:pPr>
              <w:pStyle w:val="TableParagraph"/>
              <w:tabs>
                <w:tab w:pos="812" w:val="left" w:leader="none"/>
                <w:tab w:pos="1250" w:val="left" w:leader="none"/>
              </w:tabs>
              <w:spacing w:line="240" w:lineRule="auto" w:before="18"/>
              <w:ind w:left="32"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tab/>
            </w:r>
            <w:r>
              <w:rPr>
                <w:rFonts w:ascii="Arial"/>
                <w:sz w:val="18"/>
                <w:u w:val="single" w:color="000000"/>
              </w:rPr>
              <w:t>25,874,351</w:t>
            </w:r>
            <w:r>
              <w:rPr>
                <w:rFonts w:ascii="Arial"/>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1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sz w:val="18"/>
                <w:u w:val="single" w:color="000000"/>
              </w:rPr>
              <w:t>32,943,110</w:t>
            </w:r>
            <w:r>
              <w:rPr>
                <w:rFonts w:ascii="Arial"/>
                <w:spacing w:val="-1"/>
                <w:sz w:val="18"/>
              </w:rPr>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6"/>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9"/>
                <w:sz w:val="18"/>
                <w:u w:val="single" w:color="000000"/>
              </w:rPr>
              <w:t> </w:t>
            </w:r>
            <w:r>
              <w:rPr>
                <w:rFonts w:ascii="Arial"/>
                <w:spacing w:val="-1"/>
                <w:sz w:val="18"/>
                <w:u w:val="single" w:color="000000"/>
              </w:rPr>
              <w:t>91,508,903</w:t>
            </w:r>
            <w:r>
              <w:rPr>
                <w:rFonts w:ascii="Arial"/>
                <w:spacing w:val="-1"/>
                <w:sz w:val="18"/>
              </w:rPr>
            </w:r>
          </w:p>
        </w:tc>
      </w:tr>
      <w:tr>
        <w:trPr>
          <w:trHeight w:val="393" w:hRule="exact"/>
        </w:trPr>
        <w:tc>
          <w:tcPr>
            <w:tcW w:w="1417"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25"/>
              <w:jc w:val="right"/>
              <w:rPr>
                <w:rFonts w:ascii="Arial" w:hAnsi="Arial" w:cs="Arial" w:eastAsia="Arial" w:hint="default"/>
                <w:sz w:val="18"/>
                <w:szCs w:val="18"/>
              </w:rPr>
            </w:pPr>
            <w:r>
              <w:rPr>
                <w:rFonts w:ascii="Arial"/>
                <w:w w:val="99"/>
                <w:sz w:val="18"/>
              </w:rPr>
            </w:r>
            <w:r>
              <w:rPr>
                <w:rFonts w:ascii="Arial"/>
                <w:spacing w:val="-1"/>
                <w:sz w:val="18"/>
                <w:u w:val="thick" w:color="000000"/>
              </w:rPr>
              <w:t>152,388,365</w:t>
            </w:r>
            <w:r>
              <w:rPr>
                <w:rFonts w:ascii="Arial"/>
                <w:spacing w:val="-1"/>
                <w:sz w:val="18"/>
              </w:rPr>
            </w:r>
          </w:p>
        </w:tc>
        <w:tc>
          <w:tcPr>
            <w:tcW w:w="2395" w:type="dxa"/>
            <w:tcBorders>
              <w:top w:val="nil" w:sz="6" w:space="0" w:color="auto"/>
              <w:left w:val="nil" w:sz="6" w:space="0" w:color="auto"/>
              <w:bottom w:val="nil" w:sz="6" w:space="0" w:color="auto"/>
              <w:right w:val="nil" w:sz="6" w:space="0" w:color="auto"/>
            </w:tcBorders>
          </w:tcPr>
          <w:p>
            <w:pPr>
              <w:pStyle w:val="TableParagraph"/>
              <w:tabs>
                <w:tab w:pos="812" w:val="left" w:leader="none"/>
                <w:tab w:pos="1250" w:val="left" w:leader="none"/>
              </w:tabs>
              <w:spacing w:line="240" w:lineRule="auto" w:before="29"/>
              <w:ind w:left="32" w:right="0"/>
              <w:jc w:val="lef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z w:val="18"/>
                <w:u w:val="thick" w:color="000000"/>
              </w:rPr>
              <w:tab/>
              <w:t>-</w:t>
            </w:r>
            <w:r>
              <w:rPr>
                <w:rFonts w:ascii="Arial"/>
                <w:sz w:val="18"/>
              </w:rPr>
              <w:tab/>
            </w:r>
            <w:r>
              <w:rPr>
                <w:rFonts w:ascii="Arial"/>
                <w:sz w:val="18"/>
                <w:u w:val="thick" w:color="000000"/>
              </w:rPr>
              <w:t>41,791,809</w:t>
            </w:r>
            <w:r>
              <w:rPr>
                <w:rFonts w:ascii="Arial"/>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4"/>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pacing w:val="-10"/>
                <w:sz w:val="18"/>
                <w:u w:val="thick" w:color="000000"/>
              </w:rPr>
              <w:t> </w:t>
            </w:r>
            <w:r>
              <w:rPr>
                <w:rFonts w:ascii="Arial"/>
                <w:spacing w:val="-1"/>
                <w:sz w:val="18"/>
                <w:u w:val="thick" w:color="000000"/>
              </w:rPr>
              <w:t>59,587,937</w:t>
            </w:r>
            <w:r>
              <w:rPr>
                <w:rFonts w:ascii="Arial"/>
                <w:spacing w:val="-1"/>
                <w:sz w:val="18"/>
              </w:rPr>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6"/>
              <w:jc w:val="right"/>
              <w:rPr>
                <w:rFonts w:ascii="Arial" w:hAnsi="Arial" w:cs="Arial" w:eastAsia="Arial" w:hint="default"/>
                <w:sz w:val="18"/>
                <w:szCs w:val="18"/>
              </w:rPr>
            </w:pPr>
            <w:r>
              <w:rPr>
                <w:rFonts w:ascii="Arial"/>
                <w:w w:val="99"/>
                <w:sz w:val="18"/>
              </w:rPr>
            </w:r>
            <w:r>
              <w:rPr>
                <w:rFonts w:ascii="Arial"/>
                <w:spacing w:val="-1"/>
                <w:sz w:val="18"/>
                <w:u w:val="thick" w:color="000000"/>
              </w:rPr>
              <w:t>134,592,237</w:t>
            </w:r>
            <w:r>
              <w:rPr>
                <w:rFonts w:ascii="Arial"/>
                <w:spacing w:val="-1"/>
                <w:sz w:val="18"/>
              </w:rPr>
            </w:r>
          </w:p>
        </w:tc>
      </w:tr>
      <w:tr>
        <w:trPr>
          <w:trHeight w:val="637"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59" w:lineRule="auto" w:before="105"/>
              <w:ind w:left="35" w:right="300"/>
              <w:jc w:val="left"/>
              <w:rPr>
                <w:rFonts w:ascii="黑体" w:hAnsi="黑体" w:cs="黑体" w:eastAsia="黑体" w:hint="default"/>
                <w:sz w:val="18"/>
                <w:szCs w:val="18"/>
              </w:rPr>
            </w:pPr>
            <w:r>
              <w:rPr>
                <w:rFonts w:ascii="黑体" w:hAnsi="黑体" w:cs="黑体" w:eastAsia="黑体" w:hint="default"/>
                <w:sz w:val="18"/>
                <w:szCs w:val="18"/>
              </w:rPr>
              <w:t>账面净值 房屋及建筑物</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8"/>
              <w:ind w:right="0"/>
              <w:jc w:val="left"/>
              <w:rPr>
                <w:rFonts w:ascii="黑体" w:hAnsi="黑体" w:cs="黑体" w:eastAsia="黑体" w:hint="default"/>
                <w:sz w:val="12"/>
                <w:szCs w:val="12"/>
              </w:rPr>
            </w:pPr>
          </w:p>
          <w:p>
            <w:pPr>
              <w:pStyle w:val="TableParagraph"/>
              <w:spacing w:line="240" w:lineRule="auto"/>
              <w:ind w:right="225"/>
              <w:jc w:val="right"/>
              <w:rPr>
                <w:rFonts w:ascii="Arial" w:hAnsi="Arial" w:cs="Arial" w:eastAsia="Arial" w:hint="default"/>
                <w:sz w:val="18"/>
                <w:szCs w:val="18"/>
              </w:rPr>
            </w:pPr>
            <w:r>
              <w:rPr>
                <w:rFonts w:ascii="Arial"/>
                <w:spacing w:val="-1"/>
                <w:sz w:val="18"/>
              </w:rPr>
              <w:t>535,256,869</w:t>
            </w:r>
          </w:p>
        </w:tc>
        <w:tc>
          <w:tcPr>
            <w:tcW w:w="23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8"/>
              <w:ind w:right="0"/>
              <w:jc w:val="left"/>
              <w:rPr>
                <w:rFonts w:ascii="黑体" w:hAnsi="黑体" w:cs="黑体" w:eastAsia="黑体" w:hint="default"/>
                <w:sz w:val="12"/>
                <w:szCs w:val="12"/>
              </w:rPr>
            </w:pPr>
          </w:p>
          <w:p>
            <w:pPr>
              <w:pStyle w:val="TableParagraph"/>
              <w:tabs>
                <w:tab w:pos="298" w:val="left" w:leader="none"/>
              </w:tabs>
              <w:spacing w:line="240" w:lineRule="auto"/>
              <w:ind w:right="118"/>
              <w:jc w:val="right"/>
              <w:rPr>
                <w:rFonts w:ascii="Arial" w:hAnsi="Arial" w:cs="Arial" w:eastAsia="Arial" w:hint="default"/>
                <w:sz w:val="18"/>
                <w:szCs w:val="18"/>
              </w:rPr>
            </w:pPr>
            <w:r>
              <w:rPr>
                <w:rFonts w:ascii="Arial"/>
                <w:sz w:val="18"/>
              </w:rPr>
              <w:t>-</w:t>
              <w:tab/>
              <w:t>(   2,980,661</w:t>
            </w:r>
            <w:r>
              <w:rPr>
                <w:rFonts w:ascii="Arial"/>
                <w:spacing w:val="34"/>
                <w:sz w:val="18"/>
              </w:rPr>
              <w:t> </w:t>
            </w:r>
            <w:r>
              <w:rPr>
                <w:rFonts w:ascii="Arial"/>
                <w:sz w:val="18"/>
              </w:rPr>
              <w:t>)</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8"/>
              <w:ind w:right="0"/>
              <w:jc w:val="left"/>
              <w:rPr>
                <w:rFonts w:ascii="黑体" w:hAnsi="黑体" w:cs="黑体" w:eastAsia="黑体" w:hint="default"/>
                <w:sz w:val="12"/>
                <w:szCs w:val="12"/>
              </w:rPr>
            </w:pPr>
          </w:p>
          <w:p>
            <w:pPr>
              <w:pStyle w:val="TableParagraph"/>
              <w:spacing w:line="240" w:lineRule="auto"/>
              <w:ind w:right="213"/>
              <w:jc w:val="right"/>
              <w:rPr>
                <w:rFonts w:ascii="Arial" w:hAnsi="Arial" w:cs="Arial" w:eastAsia="Arial" w:hint="default"/>
                <w:sz w:val="18"/>
                <w:szCs w:val="18"/>
              </w:rPr>
            </w:pPr>
            <w:r>
              <w:rPr>
                <w:rFonts w:ascii="Arial"/>
                <w:spacing w:val="-1"/>
                <w:sz w:val="18"/>
              </w:rPr>
              <w:t>173,480,089</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8"/>
              <w:ind w:right="0"/>
              <w:jc w:val="left"/>
              <w:rPr>
                <w:rFonts w:ascii="黑体" w:hAnsi="黑体" w:cs="黑体" w:eastAsia="黑体" w:hint="default"/>
                <w:sz w:val="12"/>
                <w:szCs w:val="12"/>
              </w:rPr>
            </w:pPr>
          </w:p>
          <w:p>
            <w:pPr>
              <w:pStyle w:val="TableParagraph"/>
              <w:spacing w:line="240" w:lineRule="auto"/>
              <w:ind w:right="36"/>
              <w:jc w:val="right"/>
              <w:rPr>
                <w:rFonts w:ascii="Arial" w:hAnsi="Arial" w:cs="Arial" w:eastAsia="Arial" w:hint="default"/>
                <w:sz w:val="18"/>
                <w:szCs w:val="18"/>
              </w:rPr>
            </w:pPr>
            <w:r>
              <w:rPr>
                <w:rFonts w:ascii="Arial"/>
                <w:spacing w:val="-1"/>
                <w:sz w:val="18"/>
              </w:rPr>
              <w:t>358,796,119</w:t>
            </w:r>
          </w:p>
        </w:tc>
      </w:tr>
      <w:tr>
        <w:trPr>
          <w:trHeight w:val="255"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3" w:lineRule="exact"/>
              <w:ind w:left="35" w:right="0"/>
              <w:jc w:val="left"/>
              <w:rPr>
                <w:rFonts w:ascii="黑体" w:hAnsi="黑体" w:cs="黑体" w:eastAsia="黑体" w:hint="default"/>
                <w:sz w:val="18"/>
                <w:szCs w:val="18"/>
              </w:rPr>
            </w:pPr>
            <w:r>
              <w:rPr>
                <w:rFonts w:ascii="黑体" w:hAnsi="黑体" w:cs="黑体" w:eastAsia="黑体" w:hint="default"/>
                <w:sz w:val="18"/>
                <w:szCs w:val="18"/>
              </w:rPr>
              <w:t>机器设备</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26"/>
              <w:jc w:val="right"/>
              <w:rPr>
                <w:rFonts w:ascii="Arial" w:hAnsi="Arial" w:cs="Arial" w:eastAsia="Arial" w:hint="default"/>
                <w:sz w:val="18"/>
                <w:szCs w:val="18"/>
              </w:rPr>
            </w:pPr>
            <w:r>
              <w:rPr>
                <w:rFonts w:ascii="Arial"/>
                <w:spacing w:val="-1"/>
                <w:sz w:val="18"/>
              </w:rPr>
              <w:t>31,031,250</w:t>
            </w:r>
          </w:p>
        </w:tc>
        <w:tc>
          <w:tcPr>
            <w:tcW w:w="2395" w:type="dxa"/>
            <w:tcBorders>
              <w:top w:val="nil" w:sz="6" w:space="0" w:color="auto"/>
              <w:left w:val="nil" w:sz="6" w:space="0" w:color="auto"/>
              <w:bottom w:val="nil" w:sz="6" w:space="0" w:color="auto"/>
              <w:right w:val="nil" w:sz="6" w:space="0" w:color="auto"/>
            </w:tcBorders>
          </w:tcPr>
          <w:p>
            <w:pPr>
              <w:pStyle w:val="TableParagraph"/>
              <w:tabs>
                <w:tab w:pos="437" w:val="left" w:leader="none"/>
              </w:tabs>
              <w:spacing w:line="240" w:lineRule="auto" w:before="19"/>
              <w:ind w:right="241"/>
              <w:jc w:val="right"/>
              <w:rPr>
                <w:rFonts w:ascii="Arial" w:hAnsi="Arial" w:cs="Arial" w:eastAsia="Arial" w:hint="default"/>
                <w:sz w:val="18"/>
                <w:szCs w:val="18"/>
              </w:rPr>
            </w:pPr>
            <w:r>
              <w:rPr>
                <w:rFonts w:ascii="Arial"/>
                <w:sz w:val="18"/>
              </w:rPr>
              <w:t>-</w:t>
              <w:tab/>
            </w:r>
            <w:r>
              <w:rPr>
                <w:rFonts w:ascii="Arial"/>
                <w:spacing w:val="-1"/>
                <w:sz w:val="18"/>
              </w:rPr>
              <w:t>30,325,171</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4"/>
              <w:jc w:val="right"/>
              <w:rPr>
                <w:rFonts w:ascii="Arial" w:hAnsi="Arial" w:cs="Arial" w:eastAsia="Arial" w:hint="default"/>
                <w:sz w:val="18"/>
                <w:szCs w:val="18"/>
              </w:rPr>
            </w:pPr>
            <w:r>
              <w:rPr>
                <w:rFonts w:ascii="Arial"/>
                <w:spacing w:val="-1"/>
                <w:sz w:val="18"/>
              </w:rPr>
              <w:t>1,543,872</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7"/>
              <w:jc w:val="right"/>
              <w:rPr>
                <w:rFonts w:ascii="Arial" w:hAnsi="Arial" w:cs="Arial" w:eastAsia="Arial" w:hint="default"/>
                <w:sz w:val="18"/>
                <w:szCs w:val="18"/>
              </w:rPr>
            </w:pPr>
            <w:r>
              <w:rPr>
                <w:rFonts w:ascii="Arial"/>
                <w:spacing w:val="-1"/>
                <w:sz w:val="18"/>
              </w:rPr>
              <w:t>59,812,549</w:t>
            </w:r>
          </w:p>
        </w:tc>
      </w:tr>
      <w:tr>
        <w:trPr>
          <w:trHeight w:val="255"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3" w:lineRule="exact"/>
              <w:ind w:left="35" w:right="0"/>
              <w:jc w:val="left"/>
              <w:rPr>
                <w:rFonts w:ascii="黑体" w:hAnsi="黑体" w:cs="黑体" w:eastAsia="黑体" w:hint="default"/>
                <w:sz w:val="18"/>
                <w:szCs w:val="18"/>
              </w:rPr>
            </w:pPr>
            <w:r>
              <w:rPr>
                <w:rFonts w:ascii="黑体" w:hAnsi="黑体" w:cs="黑体" w:eastAsia="黑体" w:hint="default"/>
                <w:sz w:val="18"/>
                <w:szCs w:val="18"/>
              </w:rPr>
              <w:t>运输工具</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6"/>
              <w:jc w:val="right"/>
              <w:rPr>
                <w:rFonts w:ascii="Arial" w:hAnsi="Arial" w:cs="Arial" w:eastAsia="Arial" w:hint="default"/>
                <w:sz w:val="18"/>
                <w:szCs w:val="18"/>
              </w:rPr>
            </w:pPr>
            <w:r>
              <w:rPr>
                <w:rFonts w:ascii="Arial"/>
                <w:spacing w:val="-1"/>
                <w:sz w:val="18"/>
              </w:rPr>
              <w:t>13,309,143</w:t>
            </w:r>
          </w:p>
        </w:tc>
        <w:tc>
          <w:tcPr>
            <w:tcW w:w="2395" w:type="dxa"/>
            <w:tcBorders>
              <w:top w:val="nil" w:sz="6" w:space="0" w:color="auto"/>
              <w:left w:val="nil" w:sz="6" w:space="0" w:color="auto"/>
              <w:bottom w:val="nil" w:sz="6" w:space="0" w:color="auto"/>
              <w:right w:val="nil" w:sz="6" w:space="0" w:color="auto"/>
            </w:tcBorders>
          </w:tcPr>
          <w:p>
            <w:pPr>
              <w:pStyle w:val="TableParagraph"/>
              <w:tabs>
                <w:tab w:pos="1499" w:val="left" w:leader="none"/>
              </w:tabs>
              <w:spacing w:line="240" w:lineRule="auto" w:before="18"/>
              <w:ind w:left="72" w:right="0"/>
              <w:jc w:val="left"/>
              <w:rPr>
                <w:rFonts w:ascii="Arial" w:hAnsi="Arial" w:cs="Arial" w:eastAsia="Arial" w:hint="default"/>
                <w:sz w:val="18"/>
                <w:szCs w:val="18"/>
              </w:rPr>
            </w:pPr>
            <w:r>
              <w:rPr>
                <w:rFonts w:ascii="Arial"/>
                <w:spacing w:val="-1"/>
                <w:sz w:val="18"/>
              </w:rPr>
              <w:t>1,620,229</w:t>
              <w:tab/>
              <w:t>282,576</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13"/>
              <w:jc w:val="right"/>
              <w:rPr>
                <w:rFonts w:ascii="Arial" w:hAnsi="Arial" w:cs="Arial" w:eastAsia="Arial" w:hint="default"/>
                <w:sz w:val="18"/>
                <w:szCs w:val="18"/>
              </w:rPr>
            </w:pPr>
            <w:r>
              <w:rPr>
                <w:rFonts w:ascii="Arial"/>
                <w:spacing w:val="-1"/>
                <w:sz w:val="18"/>
              </w:rPr>
              <w:t>277,350</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7"/>
              <w:jc w:val="right"/>
              <w:rPr>
                <w:rFonts w:ascii="Arial" w:hAnsi="Arial" w:cs="Arial" w:eastAsia="Arial" w:hint="default"/>
                <w:sz w:val="18"/>
                <w:szCs w:val="18"/>
              </w:rPr>
            </w:pPr>
            <w:r>
              <w:rPr>
                <w:rFonts w:ascii="Arial"/>
                <w:spacing w:val="-1"/>
                <w:sz w:val="18"/>
              </w:rPr>
              <w:t>14,934,598</w:t>
            </w:r>
          </w:p>
        </w:tc>
      </w:tr>
      <w:tr>
        <w:trPr>
          <w:trHeight w:val="260"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3" w:lineRule="exact"/>
              <w:ind w:left="35" w:right="0"/>
              <w:jc w:val="left"/>
              <w:rPr>
                <w:rFonts w:ascii="黑体" w:hAnsi="黑体" w:cs="黑体" w:eastAsia="黑体" w:hint="default"/>
                <w:sz w:val="18"/>
                <w:szCs w:val="18"/>
              </w:rPr>
            </w:pPr>
            <w:r>
              <w:rPr>
                <w:rFonts w:ascii="黑体" w:hAnsi="黑体" w:cs="黑体" w:eastAsia="黑体" w:hint="default"/>
                <w:sz w:val="18"/>
                <w:szCs w:val="18"/>
              </w:rPr>
              <w:t>办公及电子设备</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26"/>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1"/>
                <w:sz w:val="18"/>
                <w:u w:val="single" w:color="000000"/>
              </w:rPr>
              <w:t> </w:t>
            </w:r>
            <w:r>
              <w:rPr>
                <w:rFonts w:ascii="Arial"/>
                <w:spacing w:val="-1"/>
                <w:sz w:val="18"/>
                <w:u w:val="single" w:color="000000"/>
              </w:rPr>
              <w:t>73,053,018</w:t>
            </w:r>
            <w:r>
              <w:rPr>
                <w:rFonts w:ascii="Arial"/>
                <w:spacing w:val="-1"/>
                <w:sz w:val="18"/>
              </w:rPr>
            </w:r>
          </w:p>
        </w:tc>
        <w:tc>
          <w:tcPr>
            <w:tcW w:w="2395" w:type="dxa"/>
            <w:tcBorders>
              <w:top w:val="nil" w:sz="6" w:space="0" w:color="auto"/>
              <w:left w:val="nil" w:sz="6" w:space="0" w:color="auto"/>
              <w:bottom w:val="nil" w:sz="6" w:space="0" w:color="auto"/>
              <w:right w:val="nil" w:sz="6" w:space="0" w:color="auto"/>
            </w:tcBorders>
          </w:tcPr>
          <w:p>
            <w:pPr>
              <w:pStyle w:val="TableParagraph"/>
              <w:tabs>
                <w:tab w:pos="1261" w:val="left" w:leader="none"/>
              </w:tabs>
              <w:spacing w:line="240" w:lineRule="auto" w:before="19"/>
              <w:ind w:left="73" w:right="0"/>
              <w:jc w:val="left"/>
              <w:rPr>
                <w:rFonts w:ascii="Arial" w:hAnsi="Arial" w:cs="Arial" w:eastAsia="Arial" w:hint="default"/>
                <w:sz w:val="18"/>
                <w:szCs w:val="18"/>
              </w:rPr>
            </w:pPr>
            <w:r>
              <w:rPr>
                <w:rFonts w:ascii="Arial"/>
                <w:w w:val="99"/>
                <w:sz w:val="18"/>
              </w:rPr>
            </w:r>
            <w:r>
              <w:rPr>
                <w:rFonts w:ascii="Arial"/>
                <w:spacing w:val="-1"/>
                <w:sz w:val="18"/>
                <w:u w:val="single" w:color="000000"/>
              </w:rPr>
              <w:t>1,926,127</w:t>
            </w:r>
            <w:r>
              <w:rPr>
                <w:rFonts w:ascii="Arial"/>
                <w:spacing w:val="-1"/>
                <w:sz w:val="18"/>
              </w:rPr>
              <w:tab/>
            </w:r>
            <w:r>
              <w:rPr>
                <w:rFonts w:ascii="Arial"/>
                <w:spacing w:val="-1"/>
                <w:sz w:val="18"/>
                <w:u w:val="single" w:color="000000"/>
              </w:rPr>
              <w:t> 8,563,512</w:t>
            </w:r>
            <w:r>
              <w:rPr>
                <w:rFonts w:ascii="Arial"/>
                <w:spacing w:val="-1"/>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0"/>
                <w:sz w:val="18"/>
                <w:u w:val="single" w:color="000000"/>
              </w:rPr>
              <w:t> </w:t>
            </w:r>
            <w:r>
              <w:rPr>
                <w:rFonts w:ascii="Arial"/>
                <w:spacing w:val="-1"/>
                <w:sz w:val="18"/>
                <w:u w:val="single" w:color="000000"/>
              </w:rPr>
              <w:t>6,540,217</w:t>
            </w:r>
            <w:r>
              <w:rPr>
                <w:rFonts w:ascii="Arial"/>
                <w:spacing w:val="-1"/>
                <w:sz w:val="18"/>
              </w:rPr>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6"/>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9"/>
                <w:sz w:val="18"/>
                <w:u w:val="single" w:color="000000"/>
              </w:rPr>
              <w:t> </w:t>
            </w:r>
            <w:r>
              <w:rPr>
                <w:rFonts w:ascii="Arial"/>
                <w:spacing w:val="-1"/>
                <w:sz w:val="18"/>
                <w:u w:val="single" w:color="000000"/>
              </w:rPr>
              <w:t>77,002,440</w:t>
            </w:r>
            <w:r>
              <w:rPr>
                <w:rFonts w:ascii="Arial"/>
                <w:spacing w:val="-1"/>
                <w:sz w:val="18"/>
              </w:rPr>
            </w:r>
          </w:p>
        </w:tc>
      </w:tr>
      <w:tr>
        <w:trPr>
          <w:trHeight w:val="378" w:hRule="exact"/>
        </w:trPr>
        <w:tc>
          <w:tcPr>
            <w:tcW w:w="1417"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25"/>
              <w:jc w:val="right"/>
              <w:rPr>
                <w:rFonts w:ascii="Arial" w:hAnsi="Arial" w:cs="Arial" w:eastAsia="Arial" w:hint="default"/>
                <w:sz w:val="18"/>
                <w:szCs w:val="18"/>
              </w:rPr>
            </w:pPr>
            <w:r>
              <w:rPr>
                <w:rFonts w:ascii="Arial"/>
                <w:w w:val="99"/>
                <w:sz w:val="18"/>
              </w:rPr>
            </w:r>
            <w:r>
              <w:rPr>
                <w:rFonts w:ascii="Arial"/>
                <w:spacing w:val="-1"/>
                <w:sz w:val="18"/>
                <w:u w:val="thick" w:color="000000"/>
              </w:rPr>
              <w:t>652,650,280</w:t>
            </w:r>
            <w:r>
              <w:rPr>
                <w:rFonts w:ascii="Arial"/>
                <w:spacing w:val="-1"/>
                <w:sz w:val="18"/>
              </w:rPr>
            </w:r>
          </w:p>
        </w:tc>
        <w:tc>
          <w:tcPr>
            <w:tcW w:w="2395" w:type="dxa"/>
            <w:tcBorders>
              <w:top w:val="nil" w:sz="6" w:space="0" w:color="auto"/>
              <w:left w:val="nil" w:sz="6" w:space="0" w:color="auto"/>
              <w:bottom w:val="nil" w:sz="6" w:space="0" w:color="auto"/>
              <w:right w:val="nil" w:sz="6" w:space="0" w:color="auto"/>
            </w:tcBorders>
          </w:tcPr>
          <w:p>
            <w:pPr>
              <w:pStyle w:val="TableParagraph"/>
              <w:tabs>
                <w:tab w:pos="1250" w:val="left" w:leader="none"/>
              </w:tabs>
              <w:spacing w:line="240" w:lineRule="auto" w:before="14"/>
              <w:ind w:left="73" w:right="0"/>
              <w:jc w:val="left"/>
              <w:rPr>
                <w:rFonts w:ascii="Arial" w:hAnsi="Arial" w:cs="Arial" w:eastAsia="Arial" w:hint="default"/>
                <w:sz w:val="18"/>
                <w:szCs w:val="18"/>
              </w:rPr>
            </w:pPr>
            <w:r>
              <w:rPr>
                <w:rFonts w:ascii="Arial"/>
                <w:w w:val="99"/>
                <w:sz w:val="18"/>
              </w:rPr>
            </w:r>
            <w:r>
              <w:rPr>
                <w:rFonts w:ascii="Arial"/>
                <w:spacing w:val="-1"/>
                <w:sz w:val="18"/>
                <w:u w:val="thick" w:color="000000"/>
              </w:rPr>
              <w:t>3,546,356</w:t>
            </w:r>
            <w:r>
              <w:rPr>
                <w:rFonts w:ascii="Arial"/>
                <w:spacing w:val="-1"/>
                <w:sz w:val="18"/>
              </w:rPr>
              <w:tab/>
            </w:r>
            <w:r>
              <w:rPr>
                <w:rFonts w:ascii="Arial"/>
                <w:spacing w:val="-1"/>
                <w:sz w:val="18"/>
                <w:u w:val="thick" w:color="000000"/>
              </w:rPr>
              <w:t>36,190,598</w:t>
            </w:r>
            <w:r>
              <w:rPr>
                <w:rFonts w:ascii="Arial"/>
                <w:spacing w:val="-1"/>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13"/>
              <w:jc w:val="right"/>
              <w:rPr>
                <w:rFonts w:ascii="Arial" w:hAnsi="Arial" w:cs="Arial" w:eastAsia="Arial" w:hint="default"/>
                <w:sz w:val="18"/>
                <w:szCs w:val="18"/>
              </w:rPr>
            </w:pPr>
            <w:r>
              <w:rPr>
                <w:rFonts w:ascii="Arial"/>
                <w:w w:val="99"/>
                <w:sz w:val="18"/>
              </w:rPr>
            </w:r>
            <w:r>
              <w:rPr>
                <w:rFonts w:ascii="Arial"/>
                <w:spacing w:val="-1"/>
                <w:sz w:val="18"/>
                <w:u w:val="thick" w:color="000000"/>
              </w:rPr>
              <w:t>181,841,528</w:t>
            </w:r>
            <w:r>
              <w:rPr>
                <w:rFonts w:ascii="Arial"/>
                <w:spacing w:val="-1"/>
                <w:sz w:val="18"/>
              </w:rPr>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6"/>
              <w:jc w:val="right"/>
              <w:rPr>
                <w:rFonts w:ascii="Arial" w:hAnsi="Arial" w:cs="Arial" w:eastAsia="Arial" w:hint="default"/>
                <w:sz w:val="18"/>
                <w:szCs w:val="18"/>
              </w:rPr>
            </w:pPr>
            <w:r>
              <w:rPr>
                <w:rFonts w:ascii="Arial"/>
                <w:w w:val="99"/>
                <w:sz w:val="18"/>
              </w:rPr>
            </w:r>
            <w:r>
              <w:rPr>
                <w:rFonts w:ascii="Arial"/>
                <w:spacing w:val="-1"/>
                <w:sz w:val="18"/>
                <w:u w:val="thick" w:color="000000"/>
              </w:rPr>
              <w:t>510,545,706</w:t>
            </w:r>
            <w:r>
              <w:rPr>
                <w:rFonts w:ascii="Arial"/>
                <w:spacing w:val="-1"/>
                <w:sz w:val="18"/>
              </w:rPr>
            </w:r>
          </w:p>
        </w:tc>
      </w:tr>
      <w:tr>
        <w:trPr>
          <w:trHeight w:val="378"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5" w:right="0"/>
              <w:jc w:val="left"/>
              <w:rPr>
                <w:rFonts w:ascii="黑体" w:hAnsi="黑体" w:cs="黑体" w:eastAsia="黑体" w:hint="default"/>
                <w:sz w:val="18"/>
                <w:szCs w:val="18"/>
              </w:rPr>
            </w:pPr>
            <w:r>
              <w:rPr>
                <w:rFonts w:ascii="黑体" w:hAnsi="黑体" w:cs="黑体" w:eastAsia="黑体" w:hint="default"/>
                <w:sz w:val="18"/>
                <w:szCs w:val="18"/>
              </w:rPr>
              <w:t>减值准备</w:t>
            </w:r>
          </w:p>
        </w:tc>
        <w:tc>
          <w:tcPr>
            <w:tcW w:w="1400" w:type="dxa"/>
            <w:tcBorders>
              <w:top w:val="nil" w:sz="6" w:space="0" w:color="auto"/>
              <w:left w:val="nil" w:sz="6" w:space="0" w:color="auto"/>
              <w:bottom w:val="nil" w:sz="6" w:space="0" w:color="auto"/>
              <w:right w:val="nil" w:sz="6" w:space="0" w:color="auto"/>
            </w:tcBorders>
          </w:tcPr>
          <w:p>
            <w:pPr/>
          </w:p>
        </w:tc>
        <w:tc>
          <w:tcPr>
            <w:tcW w:w="239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
        </w:tc>
        <w:tc>
          <w:tcPr>
            <w:tcW w:w="1271" w:type="dxa"/>
            <w:tcBorders>
              <w:top w:val="nil" w:sz="6" w:space="0" w:color="auto"/>
              <w:left w:val="nil" w:sz="6" w:space="0" w:color="auto"/>
              <w:bottom w:val="nil" w:sz="6" w:space="0" w:color="auto"/>
              <w:right w:val="nil" w:sz="6" w:space="0" w:color="auto"/>
            </w:tcBorders>
          </w:tcPr>
          <w:p>
            <w:pPr/>
          </w:p>
        </w:tc>
      </w:tr>
      <w:tr>
        <w:trPr>
          <w:trHeight w:val="259"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8" w:lineRule="exact"/>
              <w:ind w:left="35" w:right="0"/>
              <w:jc w:val="left"/>
              <w:rPr>
                <w:rFonts w:ascii="黑体" w:hAnsi="黑体" w:cs="黑体" w:eastAsia="黑体" w:hint="default"/>
                <w:sz w:val="18"/>
                <w:szCs w:val="18"/>
              </w:rPr>
            </w:pPr>
            <w:r>
              <w:rPr>
                <w:rFonts w:ascii="黑体" w:hAnsi="黑体" w:cs="黑体" w:eastAsia="黑体" w:hint="default"/>
                <w:sz w:val="18"/>
                <w:szCs w:val="18"/>
              </w:rPr>
              <w:t>房屋及建筑物</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6"/>
              <w:jc w:val="right"/>
              <w:rPr>
                <w:rFonts w:ascii="Arial" w:hAnsi="Arial" w:cs="Arial" w:eastAsia="Arial" w:hint="default"/>
                <w:sz w:val="18"/>
                <w:szCs w:val="18"/>
              </w:rPr>
            </w:pPr>
            <w:r>
              <w:rPr>
                <w:rFonts w:ascii="Arial"/>
                <w:w w:val="99"/>
                <w:sz w:val="18"/>
              </w:rPr>
              <w:t>-</w:t>
            </w:r>
            <w:r>
              <w:rPr>
                <w:rFonts w:ascii="Arial"/>
                <w:sz w:val="18"/>
              </w:rPr>
            </w:r>
          </w:p>
        </w:tc>
        <w:tc>
          <w:tcPr>
            <w:tcW w:w="2395" w:type="dxa"/>
            <w:tcBorders>
              <w:top w:val="nil" w:sz="6" w:space="0" w:color="auto"/>
              <w:left w:val="nil" w:sz="6" w:space="0" w:color="auto"/>
              <w:bottom w:val="nil" w:sz="6" w:space="0" w:color="auto"/>
              <w:right w:val="nil" w:sz="6" w:space="0" w:color="auto"/>
            </w:tcBorders>
          </w:tcPr>
          <w:p>
            <w:pPr>
              <w:pStyle w:val="TableParagraph"/>
              <w:tabs>
                <w:tab w:pos="1277" w:val="left" w:leader="none"/>
              </w:tabs>
              <w:spacing w:line="240" w:lineRule="auto" w:before="23"/>
              <w:ind w:right="242"/>
              <w:jc w:val="right"/>
              <w:rPr>
                <w:rFonts w:ascii="Arial" w:hAnsi="Arial" w:cs="Arial" w:eastAsia="Arial" w:hint="default"/>
                <w:sz w:val="18"/>
                <w:szCs w:val="18"/>
              </w:rPr>
            </w:pPr>
            <w:r>
              <w:rPr>
                <w:rFonts w:ascii="Arial"/>
                <w:sz w:val="18"/>
              </w:rPr>
              <w:t>-</w:t>
              <w:tab/>
            </w:r>
            <w:r>
              <w:rPr>
                <w:rFonts w:ascii="Arial"/>
                <w:w w:val="95"/>
                <w:sz w:val="18"/>
              </w:rPr>
              <w:t>-</w:t>
            </w:r>
            <w:r>
              <w:rPr>
                <w:rFonts w:ascii="Arial"/>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13"/>
              <w:jc w:val="right"/>
              <w:rPr>
                <w:rFonts w:ascii="Arial" w:hAnsi="Arial" w:cs="Arial" w:eastAsia="Arial" w:hint="default"/>
                <w:sz w:val="18"/>
                <w:szCs w:val="18"/>
              </w:rPr>
            </w:pPr>
            <w:r>
              <w:rPr>
                <w:rFonts w:ascii="Arial"/>
                <w:w w:val="99"/>
                <w:sz w:val="18"/>
              </w:rPr>
              <w:t>-</w:t>
            </w:r>
            <w:r>
              <w:rPr>
                <w:rFonts w:ascii="Arial"/>
                <w:sz w:val="18"/>
              </w:rPr>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6"/>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3" w:lineRule="exact"/>
              <w:ind w:left="35" w:right="0"/>
              <w:jc w:val="left"/>
              <w:rPr>
                <w:rFonts w:ascii="黑体" w:hAnsi="黑体" w:cs="黑体" w:eastAsia="黑体" w:hint="default"/>
                <w:sz w:val="18"/>
                <w:szCs w:val="18"/>
              </w:rPr>
            </w:pPr>
            <w:r>
              <w:rPr>
                <w:rFonts w:ascii="黑体" w:hAnsi="黑体" w:cs="黑体" w:eastAsia="黑体" w:hint="default"/>
                <w:sz w:val="18"/>
                <w:szCs w:val="18"/>
              </w:rPr>
              <w:t>机器设备</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6"/>
              <w:jc w:val="right"/>
              <w:rPr>
                <w:rFonts w:ascii="Arial" w:hAnsi="Arial" w:cs="Arial" w:eastAsia="Arial" w:hint="default"/>
                <w:sz w:val="18"/>
                <w:szCs w:val="18"/>
              </w:rPr>
            </w:pPr>
            <w:r>
              <w:rPr>
                <w:rFonts w:ascii="Arial"/>
                <w:w w:val="99"/>
                <w:sz w:val="18"/>
              </w:rPr>
              <w:t>-</w:t>
            </w:r>
            <w:r>
              <w:rPr>
                <w:rFonts w:ascii="Arial"/>
                <w:sz w:val="18"/>
              </w:rPr>
            </w:r>
          </w:p>
        </w:tc>
        <w:tc>
          <w:tcPr>
            <w:tcW w:w="2395" w:type="dxa"/>
            <w:tcBorders>
              <w:top w:val="nil" w:sz="6" w:space="0" w:color="auto"/>
              <w:left w:val="nil" w:sz="6" w:space="0" w:color="auto"/>
              <w:bottom w:val="nil" w:sz="6" w:space="0" w:color="auto"/>
              <w:right w:val="nil" w:sz="6" w:space="0" w:color="auto"/>
            </w:tcBorders>
          </w:tcPr>
          <w:p>
            <w:pPr>
              <w:pStyle w:val="TableParagraph"/>
              <w:tabs>
                <w:tab w:pos="1277" w:val="left" w:leader="none"/>
              </w:tabs>
              <w:spacing w:line="240" w:lineRule="auto" w:before="18"/>
              <w:ind w:right="242"/>
              <w:jc w:val="right"/>
              <w:rPr>
                <w:rFonts w:ascii="Arial" w:hAnsi="Arial" w:cs="Arial" w:eastAsia="Arial" w:hint="default"/>
                <w:sz w:val="18"/>
                <w:szCs w:val="18"/>
              </w:rPr>
            </w:pPr>
            <w:r>
              <w:rPr>
                <w:rFonts w:ascii="Arial"/>
                <w:sz w:val="18"/>
              </w:rPr>
              <w:t>-</w:t>
              <w:tab/>
            </w:r>
            <w:r>
              <w:rPr>
                <w:rFonts w:ascii="Arial"/>
                <w:w w:val="95"/>
                <w:sz w:val="18"/>
              </w:rPr>
              <w:t>-</w:t>
            </w:r>
            <w:r>
              <w:rPr>
                <w:rFonts w:ascii="Arial"/>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13"/>
              <w:jc w:val="right"/>
              <w:rPr>
                <w:rFonts w:ascii="Arial" w:hAnsi="Arial" w:cs="Arial" w:eastAsia="Arial" w:hint="default"/>
                <w:sz w:val="18"/>
                <w:szCs w:val="18"/>
              </w:rPr>
            </w:pPr>
            <w:r>
              <w:rPr>
                <w:rFonts w:ascii="Arial"/>
                <w:w w:val="99"/>
                <w:sz w:val="18"/>
              </w:rPr>
              <w:t>-</w:t>
            </w:r>
            <w:r>
              <w:rPr>
                <w:rFonts w:ascii="Arial"/>
                <w:sz w:val="18"/>
              </w:rPr>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6"/>
              <w:jc w:val="right"/>
              <w:rPr>
                <w:rFonts w:ascii="Arial" w:hAnsi="Arial" w:cs="Arial" w:eastAsia="Arial" w:hint="default"/>
                <w:sz w:val="18"/>
                <w:szCs w:val="18"/>
              </w:rPr>
            </w:pPr>
            <w:r>
              <w:rPr>
                <w:rFonts w:ascii="Arial"/>
                <w:w w:val="99"/>
                <w:sz w:val="18"/>
              </w:rPr>
              <w:t>-</w:t>
            </w:r>
            <w:r>
              <w:rPr>
                <w:rFonts w:ascii="Arial"/>
                <w:sz w:val="18"/>
              </w:rPr>
            </w:r>
          </w:p>
        </w:tc>
      </w:tr>
      <w:tr>
        <w:trPr>
          <w:trHeight w:val="255"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3" w:lineRule="exact"/>
              <w:ind w:left="35" w:right="0"/>
              <w:jc w:val="left"/>
              <w:rPr>
                <w:rFonts w:ascii="黑体" w:hAnsi="黑体" w:cs="黑体" w:eastAsia="黑体" w:hint="default"/>
                <w:sz w:val="18"/>
                <w:szCs w:val="18"/>
              </w:rPr>
            </w:pPr>
            <w:r>
              <w:rPr>
                <w:rFonts w:ascii="黑体" w:hAnsi="黑体" w:cs="黑体" w:eastAsia="黑体" w:hint="default"/>
                <w:sz w:val="18"/>
                <w:szCs w:val="18"/>
              </w:rPr>
              <w:t>运输工具</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26"/>
              <w:jc w:val="right"/>
              <w:rPr>
                <w:rFonts w:ascii="Arial" w:hAnsi="Arial" w:cs="Arial" w:eastAsia="Arial" w:hint="default"/>
                <w:sz w:val="18"/>
                <w:szCs w:val="18"/>
              </w:rPr>
            </w:pPr>
            <w:r>
              <w:rPr>
                <w:rFonts w:ascii="Arial"/>
                <w:w w:val="99"/>
                <w:sz w:val="18"/>
              </w:rPr>
              <w:t>-</w:t>
            </w:r>
            <w:r>
              <w:rPr>
                <w:rFonts w:ascii="Arial"/>
                <w:sz w:val="18"/>
              </w:rPr>
            </w:r>
          </w:p>
        </w:tc>
        <w:tc>
          <w:tcPr>
            <w:tcW w:w="2395" w:type="dxa"/>
            <w:tcBorders>
              <w:top w:val="nil" w:sz="6" w:space="0" w:color="auto"/>
              <w:left w:val="nil" w:sz="6" w:space="0" w:color="auto"/>
              <w:bottom w:val="nil" w:sz="6" w:space="0" w:color="auto"/>
              <w:right w:val="nil" w:sz="6" w:space="0" w:color="auto"/>
            </w:tcBorders>
          </w:tcPr>
          <w:p>
            <w:pPr>
              <w:pStyle w:val="TableParagraph"/>
              <w:tabs>
                <w:tab w:pos="1277" w:val="left" w:leader="none"/>
              </w:tabs>
              <w:spacing w:line="240" w:lineRule="auto" w:before="19"/>
              <w:ind w:right="242"/>
              <w:jc w:val="right"/>
              <w:rPr>
                <w:rFonts w:ascii="Arial" w:hAnsi="Arial" w:cs="Arial" w:eastAsia="Arial" w:hint="default"/>
                <w:sz w:val="18"/>
                <w:szCs w:val="18"/>
              </w:rPr>
            </w:pPr>
            <w:r>
              <w:rPr>
                <w:rFonts w:ascii="Arial"/>
                <w:sz w:val="18"/>
              </w:rPr>
              <w:t>-</w:t>
              <w:tab/>
            </w:r>
            <w:r>
              <w:rPr>
                <w:rFonts w:ascii="Arial"/>
                <w:w w:val="95"/>
                <w:sz w:val="18"/>
              </w:rPr>
              <w:t>-</w:t>
            </w:r>
            <w:r>
              <w:rPr>
                <w:rFonts w:ascii="Arial"/>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3"/>
              <w:jc w:val="right"/>
              <w:rPr>
                <w:rFonts w:ascii="Arial" w:hAnsi="Arial" w:cs="Arial" w:eastAsia="Arial" w:hint="default"/>
                <w:sz w:val="18"/>
                <w:szCs w:val="18"/>
              </w:rPr>
            </w:pPr>
            <w:r>
              <w:rPr>
                <w:rFonts w:ascii="Arial"/>
                <w:w w:val="99"/>
                <w:sz w:val="18"/>
              </w:rPr>
              <w:t>-</w:t>
            </w:r>
            <w:r>
              <w:rPr>
                <w:rFonts w:ascii="Arial"/>
                <w:sz w:val="18"/>
              </w:rPr>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6"/>
              <w:jc w:val="right"/>
              <w:rPr>
                <w:rFonts w:ascii="Arial" w:hAnsi="Arial" w:cs="Arial" w:eastAsia="Arial" w:hint="default"/>
                <w:sz w:val="18"/>
                <w:szCs w:val="18"/>
              </w:rPr>
            </w:pPr>
            <w:r>
              <w:rPr>
                <w:rFonts w:ascii="Arial"/>
                <w:w w:val="99"/>
                <w:sz w:val="18"/>
              </w:rPr>
              <w:t>-</w:t>
            </w:r>
            <w:r>
              <w:rPr>
                <w:rFonts w:ascii="Arial"/>
                <w:sz w:val="18"/>
              </w:rPr>
            </w:r>
          </w:p>
        </w:tc>
      </w:tr>
      <w:tr>
        <w:trPr>
          <w:trHeight w:val="260"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3" w:lineRule="exact"/>
              <w:ind w:left="35" w:right="0"/>
              <w:jc w:val="left"/>
              <w:rPr>
                <w:rFonts w:ascii="黑体" w:hAnsi="黑体" w:cs="黑体" w:eastAsia="黑体" w:hint="default"/>
                <w:sz w:val="18"/>
                <w:szCs w:val="18"/>
              </w:rPr>
            </w:pPr>
            <w:r>
              <w:rPr>
                <w:rFonts w:ascii="黑体" w:hAnsi="黑体" w:cs="黑体" w:eastAsia="黑体" w:hint="default"/>
                <w:sz w:val="18"/>
                <w:szCs w:val="18"/>
              </w:rPr>
              <w:t>办公及电子设备</w:t>
            </w:r>
          </w:p>
        </w:tc>
        <w:tc>
          <w:tcPr>
            <w:tcW w:w="1400" w:type="dxa"/>
            <w:tcBorders>
              <w:top w:val="nil" w:sz="6" w:space="0" w:color="auto"/>
              <w:left w:val="nil" w:sz="6" w:space="0" w:color="auto"/>
              <w:bottom w:val="nil" w:sz="6" w:space="0" w:color="auto"/>
              <w:right w:val="nil" w:sz="6" w:space="0" w:color="auto"/>
            </w:tcBorders>
          </w:tcPr>
          <w:p>
            <w:pPr>
              <w:pStyle w:val="TableParagraph"/>
              <w:tabs>
                <w:tab w:pos="990" w:val="left" w:leader="none"/>
              </w:tabs>
              <w:spacing w:line="240" w:lineRule="auto" w:before="18"/>
              <w:ind w:right="22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2395" w:type="dxa"/>
            <w:tcBorders>
              <w:top w:val="nil" w:sz="6" w:space="0" w:color="auto"/>
              <w:left w:val="nil" w:sz="6" w:space="0" w:color="auto"/>
              <w:bottom w:val="nil" w:sz="6" w:space="0" w:color="auto"/>
              <w:right w:val="nil" w:sz="6" w:space="0" w:color="auto"/>
            </w:tcBorders>
          </w:tcPr>
          <w:p>
            <w:pPr>
              <w:pStyle w:val="TableParagraph"/>
              <w:tabs>
                <w:tab w:pos="1190" w:val="left" w:leader="none"/>
                <w:tab w:pos="2090" w:val="left" w:leader="none"/>
              </w:tabs>
              <w:spacing w:line="240" w:lineRule="auto" w:before="18"/>
              <w:ind w:left="43"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0"/>
                <w:sz w:val="18"/>
                <w:u w:val="single" w:color="000000"/>
              </w:rPr>
              <w:t> </w:t>
            </w:r>
            <w:r>
              <w:rPr>
                <w:rFonts w:ascii="Arial"/>
                <w:spacing w:val="-1"/>
                <w:sz w:val="18"/>
                <w:u w:val="single" w:color="000000"/>
              </w:rPr>
              <w:t>245,343</w:t>
            </w:r>
            <w:r>
              <w:rPr>
                <w:rFonts w:ascii="Arial"/>
                <w:spacing w:val="-1"/>
                <w:sz w:val="18"/>
              </w:rPr>
              <w:tab/>
            </w:r>
            <w:r>
              <w:rPr>
                <w:rFonts w:ascii="Arial"/>
                <w:spacing w:val="-1"/>
                <w:sz w:val="18"/>
                <w:u w:val="single" w:color="000000"/>
              </w:rPr>
              <w:t> </w:t>
              <w:tab/>
            </w:r>
            <w:r>
              <w:rPr>
                <w:rFonts w:ascii="Arial"/>
                <w:sz w:val="18"/>
                <w:u w:val="single" w:color="000000"/>
              </w:rPr>
              <w:t>-</w:t>
            </w:r>
            <w:r>
              <w:rPr>
                <w:rFonts w:ascii="Arial"/>
                <w:sz w:val="18"/>
              </w:rPr>
            </w:r>
          </w:p>
        </w:tc>
        <w:tc>
          <w:tcPr>
            <w:tcW w:w="1387" w:type="dxa"/>
            <w:tcBorders>
              <w:top w:val="nil" w:sz="6" w:space="0" w:color="auto"/>
              <w:left w:val="nil" w:sz="6" w:space="0" w:color="auto"/>
              <w:bottom w:val="nil" w:sz="6" w:space="0" w:color="auto"/>
              <w:right w:val="nil" w:sz="6" w:space="0" w:color="auto"/>
            </w:tcBorders>
          </w:tcPr>
          <w:p>
            <w:pPr>
              <w:pStyle w:val="TableParagraph"/>
              <w:tabs>
                <w:tab w:pos="990" w:val="left" w:leader="none"/>
              </w:tabs>
              <w:spacing w:line="240" w:lineRule="auto" w:before="18"/>
              <w:ind w:right="21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271" w:type="dxa"/>
            <w:tcBorders>
              <w:top w:val="nil" w:sz="6" w:space="0" w:color="auto"/>
              <w:left w:val="nil" w:sz="6" w:space="0" w:color="auto"/>
              <w:bottom w:val="nil" w:sz="6" w:space="0" w:color="auto"/>
              <w:right w:val="nil" w:sz="6" w:space="0" w:color="auto"/>
            </w:tcBorders>
          </w:tcPr>
          <w:p>
            <w:pPr>
              <w:pStyle w:val="TableParagraph"/>
              <w:tabs>
                <w:tab w:pos="360" w:val="left" w:leader="none"/>
              </w:tabs>
              <w:spacing w:line="240" w:lineRule="auto" w:before="18"/>
              <w:ind w:right="36"/>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245,343</w:t>
            </w:r>
            <w:r>
              <w:rPr>
                <w:rFonts w:ascii="Arial"/>
                <w:spacing w:val="-1"/>
                <w:sz w:val="18"/>
              </w:rPr>
            </w:r>
          </w:p>
        </w:tc>
      </w:tr>
      <w:tr>
        <w:trPr>
          <w:trHeight w:val="378" w:hRule="exact"/>
        </w:trPr>
        <w:tc>
          <w:tcPr>
            <w:tcW w:w="1417"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Style w:val="TableParagraph"/>
              <w:tabs>
                <w:tab w:pos="990" w:val="left" w:leader="none"/>
              </w:tabs>
              <w:spacing w:line="240" w:lineRule="auto" w:before="15"/>
              <w:ind w:right="225"/>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z w:val="18"/>
                <w:u w:val="thick" w:color="000000"/>
              </w:rPr>
              <w:tab/>
              <w:t>-</w:t>
            </w:r>
            <w:r>
              <w:rPr>
                <w:rFonts w:ascii="Arial"/>
                <w:sz w:val="18"/>
              </w:rPr>
            </w:r>
          </w:p>
        </w:tc>
        <w:tc>
          <w:tcPr>
            <w:tcW w:w="2395" w:type="dxa"/>
            <w:tcBorders>
              <w:top w:val="nil" w:sz="6" w:space="0" w:color="auto"/>
              <w:left w:val="nil" w:sz="6" w:space="0" w:color="auto"/>
              <w:bottom w:val="nil" w:sz="6" w:space="0" w:color="auto"/>
              <w:right w:val="nil" w:sz="6" w:space="0" w:color="auto"/>
            </w:tcBorders>
          </w:tcPr>
          <w:p>
            <w:pPr>
              <w:pStyle w:val="TableParagraph"/>
              <w:tabs>
                <w:tab w:pos="1190" w:val="left" w:leader="none"/>
                <w:tab w:pos="2090" w:val="left" w:leader="none"/>
              </w:tabs>
              <w:spacing w:line="240" w:lineRule="auto" w:before="15"/>
              <w:ind w:left="43" w:right="0"/>
              <w:jc w:val="lef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z w:val="18"/>
                <w:u w:val="thick" w:color="000000"/>
              </w:rPr>
              <w:t>  </w:t>
            </w:r>
            <w:r>
              <w:rPr>
                <w:rFonts w:ascii="Arial"/>
                <w:spacing w:val="-20"/>
                <w:sz w:val="18"/>
                <w:u w:val="thick" w:color="000000"/>
              </w:rPr>
              <w:t> </w:t>
            </w:r>
            <w:r>
              <w:rPr>
                <w:rFonts w:ascii="Arial"/>
                <w:spacing w:val="-1"/>
                <w:sz w:val="18"/>
                <w:u w:val="thick" w:color="000000"/>
              </w:rPr>
              <w:t>245,343</w:t>
            </w:r>
            <w:r>
              <w:rPr>
                <w:rFonts w:ascii="Arial"/>
                <w:spacing w:val="-1"/>
                <w:sz w:val="18"/>
              </w:rPr>
              <w:tab/>
            </w:r>
            <w:r>
              <w:rPr>
                <w:rFonts w:ascii="Arial"/>
                <w:spacing w:val="-1"/>
                <w:sz w:val="18"/>
                <w:u w:val="thick" w:color="000000"/>
              </w:rPr>
              <w:t> </w:t>
              <w:tab/>
            </w:r>
            <w:r>
              <w:rPr>
                <w:rFonts w:ascii="Arial"/>
                <w:sz w:val="18"/>
                <w:u w:val="thick" w:color="000000"/>
              </w:rPr>
              <w:t>-</w:t>
            </w:r>
            <w:r>
              <w:rPr>
                <w:rFonts w:ascii="Arial"/>
                <w:sz w:val="18"/>
              </w:rPr>
            </w:r>
          </w:p>
        </w:tc>
        <w:tc>
          <w:tcPr>
            <w:tcW w:w="1387" w:type="dxa"/>
            <w:tcBorders>
              <w:top w:val="nil" w:sz="6" w:space="0" w:color="auto"/>
              <w:left w:val="nil" w:sz="6" w:space="0" w:color="auto"/>
              <w:bottom w:val="nil" w:sz="6" w:space="0" w:color="auto"/>
              <w:right w:val="nil" w:sz="6" w:space="0" w:color="auto"/>
            </w:tcBorders>
          </w:tcPr>
          <w:p>
            <w:pPr>
              <w:pStyle w:val="TableParagraph"/>
              <w:tabs>
                <w:tab w:pos="990" w:val="left" w:leader="none"/>
              </w:tabs>
              <w:spacing w:line="240" w:lineRule="auto" w:before="15"/>
              <w:ind w:right="213"/>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z w:val="18"/>
                <w:u w:val="thick" w:color="000000"/>
              </w:rPr>
              <w:tab/>
              <w:t>-</w:t>
            </w:r>
            <w:r>
              <w:rPr>
                <w:rFonts w:ascii="Arial"/>
                <w:sz w:val="18"/>
              </w:rPr>
            </w:r>
          </w:p>
        </w:tc>
        <w:tc>
          <w:tcPr>
            <w:tcW w:w="1271" w:type="dxa"/>
            <w:tcBorders>
              <w:top w:val="nil" w:sz="6" w:space="0" w:color="auto"/>
              <w:left w:val="nil" w:sz="6" w:space="0" w:color="auto"/>
              <w:bottom w:val="nil" w:sz="6" w:space="0" w:color="auto"/>
              <w:right w:val="nil" w:sz="6" w:space="0" w:color="auto"/>
            </w:tcBorders>
          </w:tcPr>
          <w:p>
            <w:pPr>
              <w:pStyle w:val="TableParagraph"/>
              <w:tabs>
                <w:tab w:pos="360" w:val="left" w:leader="none"/>
              </w:tabs>
              <w:spacing w:line="240" w:lineRule="auto" w:before="15"/>
              <w:ind w:right="36"/>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z w:val="18"/>
                <w:u w:val="thick" w:color="000000"/>
              </w:rPr>
              <w:tab/>
            </w:r>
            <w:r>
              <w:rPr>
                <w:rFonts w:ascii="Arial"/>
                <w:spacing w:val="-1"/>
                <w:sz w:val="18"/>
                <w:u w:val="thick" w:color="000000"/>
              </w:rPr>
              <w:t>245,343</w:t>
            </w:r>
            <w:r>
              <w:rPr>
                <w:rFonts w:ascii="Arial"/>
                <w:spacing w:val="-1"/>
                <w:sz w:val="18"/>
              </w:rPr>
            </w:r>
          </w:p>
        </w:tc>
      </w:tr>
      <w:tr>
        <w:trPr>
          <w:trHeight w:val="378"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5" w:right="0"/>
              <w:jc w:val="left"/>
              <w:rPr>
                <w:rFonts w:ascii="黑体" w:hAnsi="黑体" w:cs="黑体" w:eastAsia="黑体" w:hint="default"/>
                <w:sz w:val="18"/>
                <w:szCs w:val="18"/>
              </w:rPr>
            </w:pPr>
            <w:r>
              <w:rPr>
                <w:rFonts w:ascii="黑体" w:hAnsi="黑体" w:cs="黑体" w:eastAsia="黑体" w:hint="default"/>
                <w:sz w:val="18"/>
                <w:szCs w:val="18"/>
              </w:rPr>
              <w:t>账面价值</w:t>
            </w:r>
          </w:p>
        </w:tc>
        <w:tc>
          <w:tcPr>
            <w:tcW w:w="1400" w:type="dxa"/>
            <w:tcBorders>
              <w:top w:val="nil" w:sz="6" w:space="0" w:color="auto"/>
              <w:left w:val="nil" w:sz="6" w:space="0" w:color="auto"/>
              <w:bottom w:val="nil" w:sz="6" w:space="0" w:color="auto"/>
              <w:right w:val="nil" w:sz="6" w:space="0" w:color="auto"/>
            </w:tcBorders>
          </w:tcPr>
          <w:p>
            <w:pPr/>
          </w:p>
        </w:tc>
        <w:tc>
          <w:tcPr>
            <w:tcW w:w="239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
        </w:tc>
        <w:tc>
          <w:tcPr>
            <w:tcW w:w="1271" w:type="dxa"/>
            <w:tcBorders>
              <w:top w:val="nil" w:sz="6" w:space="0" w:color="auto"/>
              <w:left w:val="nil" w:sz="6" w:space="0" w:color="auto"/>
              <w:bottom w:val="nil" w:sz="6" w:space="0" w:color="auto"/>
              <w:right w:val="nil" w:sz="6" w:space="0" w:color="auto"/>
            </w:tcBorders>
          </w:tcPr>
          <w:p>
            <w:pPr/>
          </w:p>
        </w:tc>
      </w:tr>
      <w:tr>
        <w:trPr>
          <w:trHeight w:val="259"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7" w:lineRule="exact"/>
              <w:ind w:left="35" w:right="0"/>
              <w:jc w:val="left"/>
              <w:rPr>
                <w:rFonts w:ascii="黑体" w:hAnsi="黑体" w:cs="黑体" w:eastAsia="黑体" w:hint="default"/>
                <w:sz w:val="18"/>
                <w:szCs w:val="18"/>
              </w:rPr>
            </w:pPr>
            <w:r>
              <w:rPr>
                <w:rFonts w:ascii="黑体" w:hAnsi="黑体" w:cs="黑体" w:eastAsia="黑体" w:hint="default"/>
                <w:sz w:val="18"/>
                <w:szCs w:val="18"/>
              </w:rPr>
              <w:t>房屋及建筑物</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5"/>
              <w:jc w:val="right"/>
              <w:rPr>
                <w:rFonts w:ascii="Arial" w:hAnsi="Arial" w:cs="Arial" w:eastAsia="Arial" w:hint="default"/>
                <w:sz w:val="18"/>
                <w:szCs w:val="18"/>
              </w:rPr>
            </w:pPr>
            <w:r>
              <w:rPr>
                <w:rFonts w:ascii="Arial"/>
                <w:spacing w:val="-1"/>
                <w:sz w:val="18"/>
              </w:rPr>
              <w:t>535,256,869</w:t>
            </w:r>
          </w:p>
        </w:tc>
        <w:tc>
          <w:tcPr>
            <w:tcW w:w="2395"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23"/>
              <w:ind w:right="118"/>
              <w:jc w:val="right"/>
              <w:rPr>
                <w:rFonts w:ascii="Arial" w:hAnsi="Arial" w:cs="Arial" w:eastAsia="Arial" w:hint="default"/>
                <w:sz w:val="18"/>
                <w:szCs w:val="18"/>
              </w:rPr>
            </w:pPr>
            <w:r>
              <w:rPr>
                <w:rFonts w:ascii="Arial"/>
                <w:sz w:val="18"/>
              </w:rPr>
              <w:t>-</w:t>
              <w:tab/>
              <w:t>(   2,980,661</w:t>
            </w:r>
            <w:r>
              <w:rPr>
                <w:rFonts w:ascii="Arial"/>
                <w:spacing w:val="34"/>
                <w:sz w:val="18"/>
              </w:rPr>
              <w:t> </w:t>
            </w:r>
            <w:r>
              <w:rPr>
                <w:rFonts w:ascii="Arial"/>
                <w:sz w:val="18"/>
              </w:rPr>
              <w:t>)</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13"/>
              <w:jc w:val="right"/>
              <w:rPr>
                <w:rFonts w:ascii="Arial" w:hAnsi="Arial" w:cs="Arial" w:eastAsia="Arial" w:hint="default"/>
                <w:sz w:val="18"/>
                <w:szCs w:val="18"/>
              </w:rPr>
            </w:pPr>
            <w:r>
              <w:rPr>
                <w:rFonts w:ascii="Arial"/>
                <w:spacing w:val="-1"/>
                <w:sz w:val="18"/>
              </w:rPr>
              <w:t>173,480,089</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6"/>
              <w:jc w:val="right"/>
              <w:rPr>
                <w:rFonts w:ascii="Arial" w:hAnsi="Arial" w:cs="Arial" w:eastAsia="Arial" w:hint="default"/>
                <w:sz w:val="18"/>
                <w:szCs w:val="18"/>
              </w:rPr>
            </w:pPr>
            <w:r>
              <w:rPr>
                <w:rFonts w:ascii="Arial"/>
                <w:spacing w:val="-1"/>
                <w:sz w:val="18"/>
              </w:rPr>
              <w:t>358,796,119</w:t>
            </w:r>
          </w:p>
        </w:tc>
      </w:tr>
      <w:tr>
        <w:trPr>
          <w:trHeight w:val="255"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3" w:lineRule="exact"/>
              <w:ind w:left="35" w:right="0"/>
              <w:jc w:val="left"/>
              <w:rPr>
                <w:rFonts w:ascii="黑体" w:hAnsi="黑体" w:cs="黑体" w:eastAsia="黑体" w:hint="default"/>
                <w:sz w:val="18"/>
                <w:szCs w:val="18"/>
              </w:rPr>
            </w:pPr>
            <w:r>
              <w:rPr>
                <w:rFonts w:ascii="黑体" w:hAnsi="黑体" w:cs="黑体" w:eastAsia="黑体" w:hint="default"/>
                <w:sz w:val="18"/>
                <w:szCs w:val="18"/>
              </w:rPr>
              <w:t>机器设备</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26"/>
              <w:jc w:val="right"/>
              <w:rPr>
                <w:rFonts w:ascii="Arial" w:hAnsi="Arial" w:cs="Arial" w:eastAsia="Arial" w:hint="default"/>
                <w:sz w:val="18"/>
                <w:szCs w:val="18"/>
              </w:rPr>
            </w:pPr>
            <w:r>
              <w:rPr>
                <w:rFonts w:ascii="Arial"/>
                <w:spacing w:val="-1"/>
                <w:sz w:val="18"/>
              </w:rPr>
              <w:t>31,031,250</w:t>
            </w:r>
          </w:p>
        </w:tc>
        <w:tc>
          <w:tcPr>
            <w:tcW w:w="2395" w:type="dxa"/>
            <w:tcBorders>
              <w:top w:val="nil" w:sz="6" w:space="0" w:color="auto"/>
              <w:left w:val="nil" w:sz="6" w:space="0" w:color="auto"/>
              <w:bottom w:val="nil" w:sz="6" w:space="0" w:color="auto"/>
              <w:right w:val="nil" w:sz="6" w:space="0" w:color="auto"/>
            </w:tcBorders>
          </w:tcPr>
          <w:p>
            <w:pPr>
              <w:pStyle w:val="TableParagraph"/>
              <w:tabs>
                <w:tab w:pos="437" w:val="left" w:leader="none"/>
              </w:tabs>
              <w:spacing w:line="240" w:lineRule="auto" w:before="19"/>
              <w:ind w:right="241"/>
              <w:jc w:val="right"/>
              <w:rPr>
                <w:rFonts w:ascii="Arial" w:hAnsi="Arial" w:cs="Arial" w:eastAsia="Arial" w:hint="default"/>
                <w:sz w:val="18"/>
                <w:szCs w:val="18"/>
              </w:rPr>
            </w:pPr>
            <w:r>
              <w:rPr>
                <w:rFonts w:ascii="Arial"/>
                <w:sz w:val="18"/>
              </w:rPr>
              <w:t>-</w:t>
              <w:tab/>
            </w:r>
            <w:r>
              <w:rPr>
                <w:rFonts w:ascii="Arial"/>
                <w:spacing w:val="-1"/>
                <w:sz w:val="18"/>
              </w:rPr>
              <w:t>30,325,171</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4"/>
              <w:jc w:val="right"/>
              <w:rPr>
                <w:rFonts w:ascii="Arial" w:hAnsi="Arial" w:cs="Arial" w:eastAsia="Arial" w:hint="default"/>
                <w:sz w:val="18"/>
                <w:szCs w:val="18"/>
              </w:rPr>
            </w:pPr>
            <w:r>
              <w:rPr>
                <w:rFonts w:ascii="Arial"/>
                <w:spacing w:val="-1"/>
                <w:sz w:val="18"/>
              </w:rPr>
              <w:t>1,543,872</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7"/>
              <w:jc w:val="right"/>
              <w:rPr>
                <w:rFonts w:ascii="Arial" w:hAnsi="Arial" w:cs="Arial" w:eastAsia="Arial" w:hint="default"/>
                <w:sz w:val="18"/>
                <w:szCs w:val="18"/>
              </w:rPr>
            </w:pPr>
            <w:r>
              <w:rPr>
                <w:rFonts w:ascii="Arial"/>
                <w:spacing w:val="-1"/>
                <w:sz w:val="18"/>
              </w:rPr>
              <w:t>59,812,549</w:t>
            </w:r>
          </w:p>
        </w:tc>
      </w:tr>
      <w:tr>
        <w:trPr>
          <w:trHeight w:val="255"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3" w:lineRule="exact"/>
              <w:ind w:left="35" w:right="0"/>
              <w:jc w:val="left"/>
              <w:rPr>
                <w:rFonts w:ascii="黑体" w:hAnsi="黑体" w:cs="黑体" w:eastAsia="黑体" w:hint="default"/>
                <w:sz w:val="18"/>
                <w:szCs w:val="18"/>
              </w:rPr>
            </w:pPr>
            <w:r>
              <w:rPr>
                <w:rFonts w:ascii="黑体" w:hAnsi="黑体" w:cs="黑体" w:eastAsia="黑体" w:hint="default"/>
                <w:sz w:val="18"/>
                <w:szCs w:val="18"/>
              </w:rPr>
              <w:t>运输工具</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6"/>
              <w:jc w:val="right"/>
              <w:rPr>
                <w:rFonts w:ascii="Arial" w:hAnsi="Arial" w:cs="Arial" w:eastAsia="Arial" w:hint="default"/>
                <w:sz w:val="18"/>
                <w:szCs w:val="18"/>
              </w:rPr>
            </w:pPr>
            <w:r>
              <w:rPr>
                <w:rFonts w:ascii="Arial"/>
                <w:spacing w:val="-1"/>
                <w:sz w:val="18"/>
              </w:rPr>
              <w:t>13,309,143</w:t>
            </w:r>
          </w:p>
        </w:tc>
        <w:tc>
          <w:tcPr>
            <w:tcW w:w="2395" w:type="dxa"/>
            <w:tcBorders>
              <w:top w:val="nil" w:sz="6" w:space="0" w:color="auto"/>
              <w:left w:val="nil" w:sz="6" w:space="0" w:color="auto"/>
              <w:bottom w:val="nil" w:sz="6" w:space="0" w:color="auto"/>
              <w:right w:val="nil" w:sz="6" w:space="0" w:color="auto"/>
            </w:tcBorders>
          </w:tcPr>
          <w:p>
            <w:pPr>
              <w:pStyle w:val="TableParagraph"/>
              <w:tabs>
                <w:tab w:pos="1499" w:val="left" w:leader="none"/>
              </w:tabs>
              <w:spacing w:line="240" w:lineRule="auto" w:before="18"/>
              <w:ind w:left="72" w:right="0"/>
              <w:jc w:val="left"/>
              <w:rPr>
                <w:rFonts w:ascii="Arial" w:hAnsi="Arial" w:cs="Arial" w:eastAsia="Arial" w:hint="default"/>
                <w:sz w:val="18"/>
                <w:szCs w:val="18"/>
              </w:rPr>
            </w:pPr>
            <w:r>
              <w:rPr>
                <w:rFonts w:ascii="Arial"/>
                <w:spacing w:val="-1"/>
                <w:sz w:val="18"/>
              </w:rPr>
              <w:t>1,620,229</w:t>
              <w:tab/>
              <w:t>282,576</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13"/>
              <w:jc w:val="right"/>
              <w:rPr>
                <w:rFonts w:ascii="Arial" w:hAnsi="Arial" w:cs="Arial" w:eastAsia="Arial" w:hint="default"/>
                <w:sz w:val="18"/>
                <w:szCs w:val="18"/>
              </w:rPr>
            </w:pPr>
            <w:r>
              <w:rPr>
                <w:rFonts w:ascii="Arial"/>
                <w:spacing w:val="-1"/>
                <w:sz w:val="18"/>
              </w:rPr>
              <w:t>277,350</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7"/>
              <w:jc w:val="right"/>
              <w:rPr>
                <w:rFonts w:ascii="Arial" w:hAnsi="Arial" w:cs="Arial" w:eastAsia="Arial" w:hint="default"/>
                <w:sz w:val="18"/>
                <w:szCs w:val="18"/>
              </w:rPr>
            </w:pPr>
            <w:r>
              <w:rPr>
                <w:rFonts w:ascii="Arial"/>
                <w:spacing w:val="-1"/>
                <w:sz w:val="18"/>
              </w:rPr>
              <w:t>14,934,598</w:t>
            </w:r>
          </w:p>
        </w:tc>
      </w:tr>
      <w:tr>
        <w:trPr>
          <w:trHeight w:val="260" w:hRule="exact"/>
        </w:trPr>
        <w:tc>
          <w:tcPr>
            <w:tcW w:w="1417" w:type="dxa"/>
            <w:tcBorders>
              <w:top w:val="nil" w:sz="6" w:space="0" w:color="auto"/>
              <w:left w:val="nil" w:sz="6" w:space="0" w:color="auto"/>
              <w:bottom w:val="nil" w:sz="6" w:space="0" w:color="auto"/>
              <w:right w:val="nil" w:sz="6" w:space="0" w:color="auto"/>
            </w:tcBorders>
          </w:tcPr>
          <w:p>
            <w:pPr>
              <w:pStyle w:val="TableParagraph"/>
              <w:spacing w:line="213" w:lineRule="exact"/>
              <w:ind w:left="35" w:right="0"/>
              <w:jc w:val="left"/>
              <w:rPr>
                <w:rFonts w:ascii="黑体" w:hAnsi="黑体" w:cs="黑体" w:eastAsia="黑体" w:hint="default"/>
                <w:sz w:val="18"/>
                <w:szCs w:val="18"/>
              </w:rPr>
            </w:pPr>
            <w:r>
              <w:rPr>
                <w:rFonts w:ascii="黑体" w:hAnsi="黑体" w:cs="黑体" w:eastAsia="黑体" w:hint="default"/>
                <w:sz w:val="18"/>
                <w:szCs w:val="18"/>
              </w:rPr>
              <w:t>办公及电子设备</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26"/>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1"/>
                <w:sz w:val="18"/>
                <w:u w:val="single" w:color="000000"/>
              </w:rPr>
              <w:t> </w:t>
            </w:r>
            <w:r>
              <w:rPr>
                <w:rFonts w:ascii="Arial"/>
                <w:spacing w:val="-1"/>
                <w:sz w:val="18"/>
                <w:u w:val="single" w:color="000000"/>
              </w:rPr>
              <w:t>73,053,018</w:t>
            </w:r>
            <w:r>
              <w:rPr>
                <w:rFonts w:ascii="Arial"/>
                <w:spacing w:val="-1"/>
                <w:sz w:val="18"/>
              </w:rPr>
            </w:r>
          </w:p>
        </w:tc>
        <w:tc>
          <w:tcPr>
            <w:tcW w:w="2395" w:type="dxa"/>
            <w:tcBorders>
              <w:top w:val="nil" w:sz="6" w:space="0" w:color="auto"/>
              <w:left w:val="nil" w:sz="6" w:space="0" w:color="auto"/>
              <w:bottom w:val="nil" w:sz="6" w:space="0" w:color="auto"/>
              <w:right w:val="nil" w:sz="6" w:space="0" w:color="auto"/>
            </w:tcBorders>
          </w:tcPr>
          <w:p>
            <w:pPr>
              <w:pStyle w:val="TableParagraph"/>
              <w:tabs>
                <w:tab w:pos="1261" w:val="left" w:leader="none"/>
              </w:tabs>
              <w:spacing w:line="240" w:lineRule="auto" w:before="19"/>
              <w:ind w:left="73" w:right="0"/>
              <w:jc w:val="left"/>
              <w:rPr>
                <w:rFonts w:ascii="Arial" w:hAnsi="Arial" w:cs="Arial" w:eastAsia="Arial" w:hint="default"/>
                <w:sz w:val="18"/>
                <w:szCs w:val="18"/>
              </w:rPr>
            </w:pPr>
            <w:r>
              <w:rPr>
                <w:rFonts w:ascii="Arial"/>
                <w:w w:val="99"/>
                <w:sz w:val="18"/>
              </w:rPr>
            </w:r>
            <w:r>
              <w:rPr>
                <w:rFonts w:ascii="Arial"/>
                <w:spacing w:val="-1"/>
                <w:sz w:val="18"/>
                <w:u w:val="single" w:color="000000"/>
              </w:rPr>
              <w:t>1,680,784</w:t>
            </w:r>
            <w:r>
              <w:rPr>
                <w:rFonts w:ascii="Arial"/>
                <w:spacing w:val="-1"/>
                <w:sz w:val="18"/>
              </w:rPr>
              <w:tab/>
            </w:r>
            <w:r>
              <w:rPr>
                <w:rFonts w:ascii="Arial"/>
                <w:spacing w:val="-1"/>
                <w:sz w:val="18"/>
                <w:u w:val="single" w:color="000000"/>
              </w:rPr>
              <w:t> 8,563,512</w:t>
            </w:r>
            <w:r>
              <w:rPr>
                <w:rFonts w:ascii="Arial"/>
                <w:spacing w:val="-1"/>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0"/>
                <w:sz w:val="18"/>
                <w:u w:val="single" w:color="000000"/>
              </w:rPr>
              <w:t> </w:t>
            </w:r>
            <w:r>
              <w:rPr>
                <w:rFonts w:ascii="Arial"/>
                <w:spacing w:val="-1"/>
                <w:sz w:val="18"/>
                <w:u w:val="single" w:color="000000"/>
              </w:rPr>
              <w:t>6,540,217</w:t>
            </w:r>
            <w:r>
              <w:rPr>
                <w:rFonts w:ascii="Arial"/>
                <w:spacing w:val="-1"/>
                <w:sz w:val="18"/>
              </w:rPr>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6"/>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sz w:val="18"/>
                <w:u w:val="single" w:color="000000"/>
              </w:rPr>
              <w:t>76,757,097</w:t>
            </w:r>
            <w:r>
              <w:rPr>
                <w:rFonts w:ascii="Arial"/>
                <w:spacing w:val="-1"/>
                <w:sz w:val="18"/>
              </w:rPr>
            </w:r>
          </w:p>
        </w:tc>
      </w:tr>
      <w:tr>
        <w:trPr>
          <w:trHeight w:val="317" w:hRule="exact"/>
        </w:trPr>
        <w:tc>
          <w:tcPr>
            <w:tcW w:w="1417"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25"/>
              <w:jc w:val="right"/>
              <w:rPr>
                <w:rFonts w:ascii="Arial" w:hAnsi="Arial" w:cs="Arial" w:eastAsia="Arial" w:hint="default"/>
                <w:sz w:val="18"/>
                <w:szCs w:val="18"/>
              </w:rPr>
            </w:pPr>
            <w:r>
              <w:rPr>
                <w:rFonts w:ascii="Arial"/>
                <w:w w:val="99"/>
                <w:sz w:val="18"/>
              </w:rPr>
            </w:r>
            <w:r>
              <w:rPr>
                <w:rFonts w:ascii="Arial"/>
                <w:spacing w:val="-1"/>
                <w:sz w:val="18"/>
                <w:u w:val="thick" w:color="000000"/>
              </w:rPr>
              <w:t>652,650,280</w:t>
            </w:r>
            <w:r>
              <w:rPr>
                <w:rFonts w:ascii="Arial"/>
                <w:spacing w:val="-1"/>
                <w:sz w:val="18"/>
              </w:rPr>
            </w:r>
          </w:p>
        </w:tc>
        <w:tc>
          <w:tcPr>
            <w:tcW w:w="2395" w:type="dxa"/>
            <w:tcBorders>
              <w:top w:val="nil" w:sz="6" w:space="0" w:color="auto"/>
              <w:left w:val="nil" w:sz="6" w:space="0" w:color="auto"/>
              <w:bottom w:val="nil" w:sz="6" w:space="0" w:color="auto"/>
              <w:right w:val="nil" w:sz="6" w:space="0" w:color="auto"/>
            </w:tcBorders>
          </w:tcPr>
          <w:p>
            <w:pPr>
              <w:pStyle w:val="TableParagraph"/>
              <w:tabs>
                <w:tab w:pos="1250" w:val="left" w:leader="none"/>
              </w:tabs>
              <w:spacing w:line="240" w:lineRule="auto" w:before="14"/>
              <w:ind w:left="73" w:right="0"/>
              <w:jc w:val="left"/>
              <w:rPr>
                <w:rFonts w:ascii="Arial" w:hAnsi="Arial" w:cs="Arial" w:eastAsia="Arial" w:hint="default"/>
                <w:sz w:val="18"/>
                <w:szCs w:val="18"/>
              </w:rPr>
            </w:pPr>
            <w:r>
              <w:rPr>
                <w:rFonts w:ascii="Arial"/>
                <w:w w:val="99"/>
                <w:sz w:val="18"/>
              </w:rPr>
            </w:r>
            <w:r>
              <w:rPr>
                <w:rFonts w:ascii="Arial"/>
                <w:spacing w:val="-1"/>
                <w:sz w:val="18"/>
                <w:u w:val="thick" w:color="000000"/>
              </w:rPr>
              <w:t>3,301,013</w:t>
            </w:r>
            <w:r>
              <w:rPr>
                <w:rFonts w:ascii="Arial"/>
                <w:spacing w:val="-1"/>
                <w:sz w:val="18"/>
              </w:rPr>
              <w:tab/>
            </w:r>
            <w:r>
              <w:rPr>
                <w:rFonts w:ascii="Arial"/>
                <w:spacing w:val="-1"/>
                <w:sz w:val="18"/>
                <w:u w:val="thick" w:color="000000"/>
              </w:rPr>
              <w:t>36,190,598</w:t>
            </w:r>
            <w:r>
              <w:rPr>
                <w:rFonts w:ascii="Arial"/>
                <w:spacing w:val="-1"/>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13"/>
              <w:jc w:val="right"/>
              <w:rPr>
                <w:rFonts w:ascii="Arial" w:hAnsi="Arial" w:cs="Arial" w:eastAsia="Arial" w:hint="default"/>
                <w:sz w:val="18"/>
                <w:szCs w:val="18"/>
              </w:rPr>
            </w:pPr>
            <w:r>
              <w:rPr>
                <w:rFonts w:ascii="Arial"/>
                <w:w w:val="99"/>
                <w:sz w:val="18"/>
              </w:rPr>
            </w:r>
            <w:r>
              <w:rPr>
                <w:rFonts w:ascii="Arial"/>
                <w:spacing w:val="-1"/>
                <w:sz w:val="18"/>
                <w:u w:val="thick" w:color="000000"/>
              </w:rPr>
              <w:t>181,841,528</w:t>
            </w:r>
            <w:r>
              <w:rPr>
                <w:rFonts w:ascii="Arial"/>
                <w:spacing w:val="-1"/>
                <w:sz w:val="18"/>
              </w:rPr>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6"/>
              <w:jc w:val="right"/>
              <w:rPr>
                <w:rFonts w:ascii="Arial" w:hAnsi="Arial" w:cs="Arial" w:eastAsia="Arial" w:hint="default"/>
                <w:sz w:val="18"/>
                <w:szCs w:val="18"/>
              </w:rPr>
            </w:pPr>
            <w:r>
              <w:rPr>
                <w:rFonts w:ascii="Arial"/>
                <w:w w:val="99"/>
                <w:sz w:val="18"/>
              </w:rPr>
            </w:r>
            <w:r>
              <w:rPr>
                <w:rFonts w:ascii="Arial"/>
                <w:spacing w:val="-1"/>
                <w:sz w:val="18"/>
                <w:u w:val="thick" w:color="000000"/>
              </w:rPr>
              <w:t>510,300,363</w:t>
            </w:r>
            <w:r>
              <w:rPr>
                <w:rFonts w:ascii="Arial"/>
                <w:spacing w:val="-1"/>
                <w:sz w:val="18"/>
              </w:rPr>
            </w:r>
          </w:p>
        </w:tc>
      </w:tr>
    </w:tbl>
    <w:p>
      <w:pPr>
        <w:spacing w:after="0" w:line="240" w:lineRule="auto"/>
        <w:jc w:val="right"/>
        <w:rPr>
          <w:rFonts w:ascii="Arial" w:hAnsi="Arial" w:cs="Arial" w:eastAsia="Arial" w:hint="default"/>
          <w:sz w:val="18"/>
          <w:szCs w:val="18"/>
        </w:rPr>
        <w:sectPr>
          <w:footerReference w:type="default" r:id="rId58"/>
          <w:pgSz w:w="11910" w:h="16840"/>
          <w:pgMar w:footer="462" w:header="958" w:top="2540" w:bottom="660" w:left="1580" w:right="1540"/>
          <w:pgNumType w:start="75"/>
        </w:sectPr>
      </w:pP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7"/>
          <w:szCs w:val="17"/>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05"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z w:val="20"/>
          <w:szCs w:val="20"/>
        </w:rPr>
        <w:t>12</w:t>
      </w:r>
      <w:r>
        <w:rPr>
          <w:rFonts w:ascii="黑体" w:hAnsi="黑体" w:cs="黑体" w:eastAsia="黑体" w:hint="default"/>
          <w:b/>
          <w:bCs/>
          <w:sz w:val="20"/>
          <w:szCs w:val="20"/>
        </w:rPr>
        <w:t>．</w:t>
        <w:tab/>
        <w:t>固定资产（续）</w:t>
      </w:r>
      <w:r>
        <w:rPr>
          <w:rFonts w:ascii="黑体" w:hAnsi="黑体" w:cs="黑体" w:eastAsia="黑体" w:hint="default"/>
          <w:sz w:val="20"/>
          <w:szCs w:val="20"/>
        </w:rPr>
      </w:r>
    </w:p>
    <w:p>
      <w:pPr>
        <w:spacing w:line="240" w:lineRule="auto" w:before="3"/>
        <w:rPr>
          <w:rFonts w:ascii="黑体" w:hAnsi="黑体" w:cs="黑体" w:eastAsia="黑体" w:hint="default"/>
          <w:b/>
          <w:bCs/>
          <w:sz w:val="23"/>
          <w:szCs w:val="23"/>
        </w:rPr>
      </w:pPr>
    </w:p>
    <w:p>
      <w:pPr>
        <w:pStyle w:val="BodyText"/>
        <w:spacing w:line="261" w:lineRule="auto"/>
        <w:ind w:right="692"/>
        <w:jc w:val="both"/>
      </w:pPr>
      <w:r>
        <w:rPr>
          <w:rFonts w:ascii="Arial" w:hAnsi="Arial" w:cs="Arial" w:eastAsia="Arial" w:hint="default"/>
          <w:spacing w:val="-4"/>
        </w:rPr>
        <w:t>2009</w:t>
      </w:r>
      <w:r>
        <w:rPr>
          <w:spacing w:val="-4"/>
        </w:rPr>
        <w:t>年，计提的折旧金额为人民币</w:t>
      </w:r>
      <w:r>
        <w:rPr>
          <w:rFonts w:ascii="Arial" w:hAnsi="Arial" w:cs="Arial" w:eastAsia="Arial" w:hint="default"/>
          <w:spacing w:val="-4"/>
        </w:rPr>
        <w:t>43,734,130</w:t>
      </w:r>
      <w:r>
        <w:rPr>
          <w:spacing w:val="-4"/>
        </w:rPr>
        <w:t>元（</w:t>
      </w:r>
      <w:r>
        <w:rPr>
          <w:rFonts w:ascii="Arial" w:hAnsi="Arial" w:cs="Arial" w:eastAsia="Arial" w:hint="default"/>
          <w:spacing w:val="-4"/>
        </w:rPr>
        <w:t>2008</w:t>
      </w:r>
      <w:r>
        <w:rPr>
          <w:spacing w:val="-4"/>
        </w:rPr>
        <w:t>年：人民币</w:t>
      </w:r>
      <w:r>
        <w:rPr>
          <w:rFonts w:ascii="Arial" w:hAnsi="Arial" w:cs="Arial" w:eastAsia="Arial" w:hint="default"/>
          <w:spacing w:val="-4"/>
        </w:rPr>
        <w:t>41,791,809</w:t>
      </w:r>
      <w:r>
        <w:rPr>
          <w:spacing w:val="-4"/>
        </w:rPr>
        <w:t>元）。</w:t>
      </w:r>
      <w:r>
        <w:rPr>
          <w:rFonts w:ascii="Arial" w:hAnsi="Arial" w:cs="Arial" w:eastAsia="Arial" w:hint="default"/>
          <w:spacing w:val="-4"/>
        </w:rPr>
        <w:t>2009</w:t>
      </w:r>
      <w:r>
        <w:rPr>
          <w:rFonts w:ascii="Arial" w:hAnsi="Arial" w:cs="Arial" w:eastAsia="Arial" w:hint="default"/>
          <w:spacing w:val="-3"/>
        </w:rPr>
        <w:t> </w:t>
      </w:r>
      <w:r>
        <w:rPr>
          <w:rFonts w:ascii="Arial" w:hAnsi="Arial" w:cs="Arial" w:eastAsia="Arial" w:hint="default"/>
          <w:spacing w:val="-3"/>
        </w:rPr>
      </w:r>
      <w:r>
        <w:rPr/>
        <w:t>年，由在建工程转入固定资产原值的金额为人民币</w:t>
      </w:r>
      <w:r>
        <w:rPr>
          <w:rFonts w:ascii="Arial" w:hAnsi="Arial" w:cs="Arial" w:eastAsia="Arial" w:hint="default"/>
        </w:rPr>
        <w:t>2,283,966</w:t>
      </w:r>
      <w:r>
        <w:rPr/>
        <w:t>元（</w:t>
      </w:r>
      <w:r>
        <w:rPr>
          <w:rFonts w:ascii="Arial" w:hAnsi="Arial" w:cs="Arial" w:eastAsia="Arial" w:hint="default"/>
        </w:rPr>
        <w:t>2008</w:t>
      </w:r>
      <w:r>
        <w:rPr/>
        <w:t>年由固定资产转入</w:t>
      </w:r>
      <w:r>
        <w:rPr>
          <w:spacing w:val="-50"/>
        </w:rPr>
        <w:t> </w:t>
      </w:r>
      <w:r>
        <w:rPr/>
        <w:t>在建工程账面价值：人民币</w:t>
      </w:r>
      <w:r>
        <w:rPr>
          <w:rFonts w:ascii="Arial" w:hAnsi="Arial" w:cs="Arial" w:eastAsia="Arial" w:hint="default"/>
        </w:rPr>
        <w:t>11,938,211</w:t>
      </w:r>
      <w:r>
        <w:rPr/>
        <w:t>元）。</w:t>
      </w:r>
    </w:p>
    <w:p>
      <w:pPr>
        <w:spacing w:line="240" w:lineRule="auto" w:before="3"/>
        <w:rPr>
          <w:rFonts w:ascii="黑体" w:hAnsi="黑体" w:cs="黑体" w:eastAsia="黑体" w:hint="default"/>
          <w:sz w:val="23"/>
          <w:szCs w:val="23"/>
        </w:rPr>
      </w:pPr>
    </w:p>
    <w:p>
      <w:pPr>
        <w:pStyle w:val="BodyText"/>
        <w:spacing w:line="268" w:lineRule="auto"/>
        <w:ind w:right="694" w:hanging="1"/>
        <w:jc w:val="both"/>
      </w:pPr>
      <w:r>
        <w:rPr>
          <w:spacing w:val="-3"/>
        </w:rPr>
        <w:t>本集团于</w:t>
      </w:r>
      <w:r>
        <w:rPr>
          <w:rFonts w:ascii="Arial" w:hAnsi="Arial" w:cs="Arial" w:eastAsia="Arial" w:hint="default"/>
          <w:spacing w:val="-3"/>
        </w:rPr>
        <w:t>2009</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日的固定资产中不存在由于市价持续下跌、或技术陈旧、损坏、长</w:t>
      </w:r>
      <w:r>
        <w:rPr>
          <w:spacing w:val="-78"/>
        </w:rPr>
        <w:t> </w:t>
      </w:r>
      <w:r>
        <w:rPr>
          <w:spacing w:val="-78"/>
        </w:rPr>
      </w:r>
      <w:r>
        <w:rPr>
          <w:spacing w:val="-1"/>
        </w:rPr>
        <w:t>期闲置等原因导致固定资产可收回金额低于账面价值的情况，故不需计提固定资产减值准</w:t>
      </w:r>
      <w:r>
        <w:rPr>
          <w:spacing w:val="-82"/>
        </w:rPr>
        <w:t> </w:t>
      </w:r>
      <w:r>
        <w:rPr>
          <w:spacing w:val="-82"/>
        </w:rPr>
      </w:r>
      <w:r>
        <w:rPr/>
        <w:t>备。</w:t>
      </w:r>
    </w:p>
    <w:p>
      <w:pPr>
        <w:spacing w:line="240" w:lineRule="auto" w:before="0"/>
        <w:rPr>
          <w:rFonts w:ascii="黑体" w:hAnsi="黑体" w:cs="黑体" w:eastAsia="黑体" w:hint="default"/>
          <w:sz w:val="24"/>
          <w:szCs w:val="24"/>
        </w:rPr>
      </w:pPr>
    </w:p>
    <w:p>
      <w:pPr>
        <w:pStyle w:val="BodyText"/>
        <w:spacing w:line="261" w:lineRule="auto"/>
        <w:ind w:left="816" w:right="694" w:hanging="1"/>
        <w:jc w:val="both"/>
        <w:rPr>
          <w:rFonts w:ascii="Arial" w:hAnsi="Arial" w:cs="Arial" w:eastAsia="Arial" w:hint="default"/>
        </w:rPr>
      </w:pPr>
      <w:r>
        <w:rPr>
          <w:spacing w:val="-3"/>
        </w:rPr>
        <w:t>于</w:t>
      </w:r>
      <w:r>
        <w:rPr>
          <w:rFonts w:ascii="Arial" w:hAnsi="Arial" w:cs="Arial" w:eastAsia="Arial" w:hint="default"/>
          <w:spacing w:val="-3"/>
        </w:rPr>
        <w:t>2009</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日，本集团没有重大暂时闲置及已退废和准备处置的固定资产，亦无所有</w:t>
      </w:r>
      <w:r>
        <w:rPr>
          <w:spacing w:val="-82"/>
        </w:rPr>
        <w:t> </w:t>
      </w:r>
      <w:r>
        <w:rPr>
          <w:spacing w:val="-82"/>
        </w:rPr>
      </w:r>
      <w:r>
        <w:rPr/>
        <w:t>权受到限制的固定资产。</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r>
        <w:rPr>
          <w:rFonts w:ascii="Arial" w:hAnsi="Arial" w:cs="Arial" w:eastAsia="Arial" w:hint="default"/>
        </w:rPr>
        <w:t>)</w:t>
      </w:r>
    </w:p>
    <w:p>
      <w:pPr>
        <w:spacing w:line="240" w:lineRule="auto" w:before="7"/>
        <w:rPr>
          <w:rFonts w:ascii="Arial" w:hAnsi="Arial" w:cs="Arial" w:eastAsia="Arial" w:hint="default"/>
          <w:sz w:val="18"/>
          <w:szCs w:val="18"/>
        </w:rPr>
      </w:pPr>
    </w:p>
    <w:p>
      <w:pPr>
        <w:tabs>
          <w:tab w:pos="825"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z w:val="20"/>
          <w:szCs w:val="20"/>
        </w:rPr>
        <w:t>13</w:t>
      </w:r>
      <w:r>
        <w:rPr>
          <w:rFonts w:ascii="黑体" w:hAnsi="黑体" w:cs="黑体" w:eastAsia="黑体" w:hint="default"/>
          <w:b/>
          <w:bCs/>
          <w:sz w:val="20"/>
          <w:szCs w:val="20"/>
        </w:rPr>
        <w:t>．</w:t>
        <w:tab/>
        <w:t>在建工程</w:t>
      </w:r>
      <w:r>
        <w:rPr>
          <w:rFonts w:ascii="黑体" w:hAnsi="黑体" w:cs="黑体" w:eastAsia="黑体" w:hint="default"/>
          <w:sz w:val="20"/>
          <w:szCs w:val="20"/>
        </w:rPr>
      </w:r>
    </w:p>
    <w:p>
      <w:pPr>
        <w:spacing w:line="240" w:lineRule="auto" w:before="8"/>
        <w:rPr>
          <w:rFonts w:ascii="黑体" w:hAnsi="黑体" w:cs="黑体" w:eastAsia="黑体" w:hint="default"/>
          <w:b/>
          <w:bCs/>
          <w:sz w:val="17"/>
          <w:szCs w:val="17"/>
        </w:rPr>
      </w:pPr>
    </w:p>
    <w:p>
      <w:pPr>
        <w:spacing w:after="0" w:line="240" w:lineRule="auto"/>
        <w:rPr>
          <w:rFonts w:ascii="黑体" w:hAnsi="黑体" w:cs="黑体" w:eastAsia="黑体" w:hint="default"/>
          <w:sz w:val="17"/>
          <w:szCs w:val="17"/>
        </w:rPr>
        <w:sectPr>
          <w:pgSz w:w="11910" w:h="16840"/>
          <w:pgMar w:header="958" w:footer="462" w:top="2540" w:bottom="660" w:left="1600" w:right="1000"/>
        </w:sectPr>
      </w:pPr>
    </w:p>
    <w:p>
      <w:pPr>
        <w:spacing w:line="240" w:lineRule="auto" w:before="0"/>
        <w:rPr>
          <w:rFonts w:ascii="黑体" w:hAnsi="黑体" w:cs="黑体" w:eastAsia="黑体" w:hint="default"/>
          <w:b/>
          <w:bCs/>
          <w:sz w:val="16"/>
          <w:szCs w:val="16"/>
        </w:rPr>
      </w:pPr>
    </w:p>
    <w:p>
      <w:pPr>
        <w:spacing w:line="240" w:lineRule="auto" w:before="0"/>
        <w:rPr>
          <w:rFonts w:ascii="黑体" w:hAnsi="黑体" w:cs="黑体" w:eastAsia="黑体" w:hint="default"/>
          <w:b/>
          <w:bCs/>
          <w:sz w:val="16"/>
          <w:szCs w:val="16"/>
        </w:rPr>
      </w:pPr>
    </w:p>
    <w:p>
      <w:pPr>
        <w:spacing w:before="117"/>
        <w:ind w:left="810" w:right="0" w:firstLine="0"/>
        <w:jc w:val="left"/>
        <w:rPr>
          <w:rFonts w:ascii="黑体" w:hAnsi="黑体" w:cs="黑体" w:eastAsia="黑体" w:hint="default"/>
          <w:sz w:val="16"/>
          <w:szCs w:val="16"/>
        </w:rPr>
      </w:pPr>
      <w:r>
        <w:rPr>
          <w:rFonts w:ascii="黑体" w:hAnsi="黑体" w:cs="黑体" w:eastAsia="黑体" w:hint="default"/>
          <w:w w:val="95"/>
          <w:sz w:val="16"/>
          <w:szCs w:val="16"/>
        </w:rPr>
        <w:t>用友软件园</w:t>
      </w:r>
      <w:r>
        <w:rPr>
          <w:rFonts w:ascii="黑体" w:hAnsi="黑体" w:cs="黑体" w:eastAsia="黑体" w:hint="default"/>
          <w:sz w:val="16"/>
          <w:szCs w:val="16"/>
        </w:rPr>
      </w:r>
    </w:p>
    <w:p>
      <w:pPr>
        <w:tabs>
          <w:tab w:pos="5579" w:val="left" w:leader="none"/>
        </w:tabs>
        <w:spacing w:before="50"/>
        <w:ind w:left="1890" w:right="0" w:firstLine="0"/>
        <w:jc w:val="left"/>
        <w:rPr>
          <w:rFonts w:ascii="黑体" w:hAnsi="黑体" w:cs="黑体" w:eastAsia="黑体" w:hint="default"/>
          <w:sz w:val="16"/>
          <w:szCs w:val="16"/>
        </w:rPr>
      </w:pPr>
      <w:r>
        <w:rPr>
          <w:w w:val="95"/>
        </w:rPr>
        <w:br w:type="column"/>
      </w:r>
      <w:r>
        <w:rPr>
          <w:rFonts w:ascii="Arial" w:hAnsi="Arial" w:cs="Arial" w:eastAsia="Arial" w:hint="default"/>
          <w:w w:val="95"/>
          <w:sz w:val="16"/>
          <w:szCs w:val="16"/>
        </w:rPr>
        <w:t>2009</w:t>
      </w:r>
      <w:r>
        <w:rPr>
          <w:rFonts w:ascii="黑体" w:hAnsi="黑体" w:cs="黑体" w:eastAsia="黑体" w:hint="default"/>
          <w:w w:val="95"/>
          <w:sz w:val="16"/>
          <w:szCs w:val="16"/>
        </w:rPr>
        <w:t>年</w:t>
        <w:tab/>
      </w:r>
      <w:r>
        <w:rPr>
          <w:rFonts w:ascii="Arial" w:hAnsi="Arial" w:cs="Arial" w:eastAsia="Arial" w:hint="default"/>
          <w:sz w:val="16"/>
          <w:szCs w:val="16"/>
        </w:rPr>
        <w:t>2008</w:t>
      </w:r>
      <w:r>
        <w:rPr>
          <w:rFonts w:ascii="黑体" w:hAnsi="黑体" w:cs="黑体" w:eastAsia="黑体" w:hint="default"/>
          <w:sz w:val="16"/>
          <w:szCs w:val="16"/>
        </w:rPr>
        <w:t>年</w:t>
      </w:r>
    </w:p>
    <w:p>
      <w:pPr>
        <w:tabs>
          <w:tab w:pos="4121" w:val="left" w:leader="none"/>
        </w:tabs>
        <w:spacing w:line="20" w:lineRule="exact"/>
        <w:ind w:left="371" w:right="0" w:firstLine="0"/>
        <w:rPr>
          <w:rFonts w:ascii="黑体" w:hAnsi="黑体" w:cs="黑体" w:eastAsia="黑体" w:hint="default"/>
          <w:sz w:val="2"/>
          <w:szCs w:val="2"/>
        </w:rPr>
      </w:pPr>
      <w:r>
        <w:rPr>
          <w:rFonts w:ascii="黑体"/>
          <w:sz w:val="2"/>
        </w:rPr>
        <w:pict>
          <v:group style="width:176.2pt;height:.5pt;mso-position-horizontal-relative:char;mso-position-vertical-relative:line" coordorigin="0,0" coordsize="3524,10">
            <v:group style="position:absolute;left:5;top:5;width:3514;height:2" coordorigin="5,5" coordsize="3514,2">
              <v:shape style="position:absolute;left:5;top:5;width:3514;height:2" coordorigin="5,5" coordsize="3514,0" path="m5,5l3518,5e" filled="false" stroked="true" strokeweight=".48pt" strokecolor="#000000">
                <v:path arrowok="t"/>
              </v:shape>
            </v:group>
          </v:group>
        </w:pict>
      </w:r>
      <w:r>
        <w:rPr>
          <w:rFonts w:ascii="黑体"/>
          <w:sz w:val="2"/>
        </w:rPr>
      </w:r>
      <w:r>
        <w:rPr>
          <w:rFonts w:ascii="黑体"/>
          <w:sz w:val="2"/>
        </w:rPr>
        <w:tab/>
      </w:r>
      <w:r>
        <w:rPr>
          <w:rFonts w:ascii="黑体"/>
          <w:sz w:val="2"/>
        </w:rPr>
        <w:pict>
          <v:group style="width:170pt;height:.5pt;mso-position-horizontal-relative:char;mso-position-vertical-relative:line" coordorigin="0,0" coordsize="3400,10">
            <v:group style="position:absolute;left:5;top:5;width:3390;height:2" coordorigin="5,5" coordsize="3390,2">
              <v:shape style="position:absolute;left:5;top:5;width:3390;height:2" coordorigin="5,5" coordsize="3390,0" path="m5,5l3395,5e" filled="false" stroked="true" strokeweight=".48pt" strokecolor="#000000">
                <v:path arrowok="t"/>
              </v:shape>
            </v:group>
          </v:group>
        </w:pict>
      </w:r>
      <w:r>
        <w:rPr>
          <w:rFonts w:ascii="黑体"/>
          <w:sz w:val="2"/>
        </w:rPr>
      </w:r>
    </w:p>
    <w:p>
      <w:pPr>
        <w:tabs>
          <w:tab w:pos="1874" w:val="left" w:leader="none"/>
          <w:tab w:pos="3261" w:val="left" w:leader="none"/>
          <w:tab w:pos="4409" w:val="left" w:leader="none"/>
          <w:tab w:pos="5524" w:val="left" w:leader="none"/>
          <w:tab w:pos="6886" w:val="left" w:leader="none"/>
        </w:tabs>
        <w:spacing w:before="37"/>
        <w:ind w:left="807" w:right="0" w:firstLine="0"/>
        <w:jc w:val="left"/>
        <w:rPr>
          <w:rFonts w:ascii="黑体" w:hAnsi="黑体" w:cs="黑体" w:eastAsia="黑体" w:hint="default"/>
          <w:sz w:val="16"/>
          <w:szCs w:val="16"/>
        </w:rPr>
      </w:pPr>
      <w:r>
        <w:rPr>
          <w:rFonts w:ascii="黑体" w:hAnsi="黑体" w:cs="黑体" w:eastAsia="黑体" w:hint="default"/>
          <w:w w:val="95"/>
          <w:sz w:val="16"/>
          <w:szCs w:val="16"/>
        </w:rPr>
        <w:t>账面余额</w:t>
        <w:tab/>
        <w:t>减值准备</w:t>
        <w:tab/>
        <w:t>账面价值</w:t>
        <w:tab/>
        <w:t>账面余额</w:t>
        <w:tab/>
        <w:t>减值准备</w:t>
        <w:tab/>
      </w:r>
      <w:r>
        <w:rPr>
          <w:rFonts w:ascii="黑体" w:hAnsi="黑体" w:cs="黑体" w:eastAsia="黑体" w:hint="default"/>
          <w:sz w:val="16"/>
          <w:szCs w:val="16"/>
        </w:rPr>
        <w:t>账面价值</w:t>
      </w:r>
    </w:p>
    <w:p>
      <w:pPr>
        <w:spacing w:after="0"/>
        <w:jc w:val="left"/>
        <w:rPr>
          <w:rFonts w:ascii="黑体" w:hAnsi="黑体" w:cs="黑体" w:eastAsia="黑体" w:hint="default"/>
          <w:sz w:val="16"/>
          <w:szCs w:val="16"/>
        </w:rPr>
        <w:sectPr>
          <w:type w:val="continuous"/>
          <w:pgSz w:w="11910" w:h="16840"/>
          <w:pgMar w:top="900" w:bottom="280" w:left="1600" w:right="1000"/>
          <w:cols w:num="2" w:equalWidth="0">
            <w:col w:w="1610" w:space="40"/>
            <w:col w:w="7660"/>
          </w:cols>
        </w:sectPr>
      </w:pPr>
    </w:p>
    <w:p>
      <w:pPr>
        <w:tabs>
          <w:tab w:pos="2207" w:val="left" w:leader="none"/>
          <w:tab w:pos="4109" w:val="left" w:leader="none"/>
          <w:tab w:pos="4660" w:val="left" w:leader="none"/>
          <w:tab w:pos="5897" w:val="left" w:leader="none"/>
          <w:tab w:pos="7758" w:val="left" w:leader="none"/>
          <w:tab w:pos="8374" w:val="left" w:leader="none"/>
        </w:tabs>
        <w:spacing w:before="0"/>
        <w:ind w:left="971" w:right="0" w:firstLine="0"/>
        <w:jc w:val="left"/>
        <w:rPr>
          <w:rFonts w:ascii="Arial" w:hAnsi="Arial" w:cs="Arial" w:eastAsia="Arial" w:hint="default"/>
          <w:sz w:val="16"/>
          <w:szCs w:val="16"/>
        </w:rPr>
      </w:pPr>
      <w:r>
        <w:rPr>
          <w:rFonts w:ascii="黑体" w:hAnsi="黑体" w:cs="黑体" w:eastAsia="黑体" w:hint="default"/>
          <w:w w:val="95"/>
          <w:position w:val="1"/>
          <w:sz w:val="16"/>
          <w:szCs w:val="16"/>
        </w:rPr>
        <w:t>项目二期工程</w:t>
        <w:tab/>
      </w:r>
      <w:r>
        <w:rPr>
          <w:rFonts w:ascii="Arial" w:hAnsi="Arial" w:cs="Arial" w:eastAsia="Arial" w:hint="default"/>
          <w:w w:val="95"/>
          <w:sz w:val="16"/>
          <w:szCs w:val="16"/>
        </w:rPr>
        <w:t>162,577,323</w:t>
        <w:tab/>
        <w:t>-</w:t>
        <w:tab/>
        <w:t>162,577,323</w:t>
        <w:tab/>
        <w:t>37,532,692</w:t>
        <w:tab/>
        <w:t>-</w:t>
        <w:tab/>
      </w:r>
      <w:r>
        <w:rPr>
          <w:rFonts w:ascii="Arial" w:hAnsi="Arial" w:cs="Arial" w:eastAsia="Arial" w:hint="default"/>
          <w:sz w:val="16"/>
          <w:szCs w:val="16"/>
        </w:rPr>
        <w:t>37,532,692</w:t>
      </w:r>
    </w:p>
    <w:p>
      <w:pPr>
        <w:spacing w:line="240" w:lineRule="auto" w:before="10"/>
        <w:rPr>
          <w:rFonts w:ascii="Arial" w:hAnsi="Arial" w:cs="Arial" w:eastAsia="Arial" w:hint="default"/>
          <w:sz w:val="18"/>
          <w:szCs w:val="18"/>
        </w:rPr>
      </w:pPr>
    </w:p>
    <w:p>
      <w:pPr>
        <w:pStyle w:val="BodyText"/>
        <w:spacing w:line="240" w:lineRule="auto"/>
        <w:ind w:right="0"/>
        <w:jc w:val="left"/>
      </w:pPr>
      <w:r>
        <w:rPr>
          <w:rFonts w:ascii="Arial" w:hAnsi="Arial" w:cs="Arial" w:eastAsia="Arial" w:hint="default"/>
        </w:rPr>
        <w:t>2009</w:t>
      </w:r>
      <w:r>
        <w:rPr/>
        <w:t>年</w:t>
      </w:r>
    </w:p>
    <w:p>
      <w:pPr>
        <w:spacing w:line="240" w:lineRule="auto" w:before="2"/>
        <w:rPr>
          <w:rFonts w:ascii="黑体" w:hAnsi="黑体" w:cs="黑体" w:eastAsia="黑体" w:hint="default"/>
          <w:sz w:val="19"/>
          <w:szCs w:val="19"/>
        </w:rPr>
      </w:pPr>
    </w:p>
    <w:p>
      <w:pPr>
        <w:tabs>
          <w:tab w:pos="8525" w:val="left" w:leader="none"/>
        </w:tabs>
        <w:spacing w:before="50"/>
        <w:ind w:left="4911" w:right="0" w:firstLine="0"/>
        <w:jc w:val="left"/>
        <w:rPr>
          <w:rFonts w:ascii="黑体" w:hAnsi="黑体" w:cs="黑体" w:eastAsia="黑体" w:hint="default"/>
          <w:sz w:val="16"/>
          <w:szCs w:val="16"/>
        </w:rPr>
      </w:pPr>
      <w:r>
        <w:rPr>
          <w:rFonts w:ascii="黑体" w:hAnsi="黑体" w:cs="黑体" w:eastAsia="黑体" w:hint="default"/>
          <w:w w:val="95"/>
          <w:sz w:val="16"/>
          <w:szCs w:val="16"/>
        </w:rPr>
        <w:t>转入固定</w:t>
        <w:tab/>
      </w:r>
      <w:r>
        <w:rPr>
          <w:rFonts w:ascii="黑体" w:hAnsi="黑体" w:cs="黑体" w:eastAsia="黑体" w:hint="default"/>
          <w:sz w:val="16"/>
          <w:szCs w:val="16"/>
        </w:rPr>
        <w:t>工程投入</w:t>
      </w:r>
    </w:p>
    <w:p>
      <w:pPr>
        <w:tabs>
          <w:tab w:pos="2164" w:val="left" w:leader="none"/>
          <w:tab w:pos="2944" w:val="left" w:leader="none"/>
          <w:tab w:pos="3991" w:val="left" w:leader="none"/>
          <w:tab w:pos="5230" w:val="left" w:leader="none"/>
          <w:tab w:pos="5831" w:val="left" w:leader="none"/>
          <w:tab w:pos="6959" w:val="left" w:leader="none"/>
          <w:tab w:pos="7674" w:val="left" w:leader="none"/>
        </w:tabs>
        <w:spacing w:line="208" w:lineRule="exact" w:before="0"/>
        <w:ind w:left="816" w:right="0" w:firstLine="0"/>
        <w:jc w:val="left"/>
        <w:rPr>
          <w:rFonts w:ascii="黑体" w:hAnsi="黑体" w:cs="黑体" w:eastAsia="黑体" w:hint="default"/>
          <w:sz w:val="16"/>
          <w:szCs w:val="16"/>
        </w:rPr>
      </w:pPr>
      <w:r>
        <w:rPr>
          <w:rFonts w:ascii="黑体" w:hAnsi="黑体" w:cs="黑体" w:eastAsia="黑体" w:hint="default"/>
          <w:w w:val="95"/>
          <w:sz w:val="16"/>
          <w:szCs w:val="16"/>
        </w:rPr>
        <w:t>工程项目名称</w:t>
        <w:tab/>
        <w:t>预算款</w:t>
        <w:tab/>
        <w:t>年初余额</w:t>
        <w:tab/>
        <w:t>本年增加</w:t>
        <w:tab/>
        <w:t>资产</w:t>
        <w:tab/>
        <w:t>其他减少</w:t>
        <w:tab/>
        <w:t>年末数</w:t>
        <w:tab/>
      </w:r>
      <w:r>
        <w:rPr>
          <w:rFonts w:ascii="黑体" w:hAnsi="黑体" w:cs="黑体" w:eastAsia="黑体" w:hint="default"/>
          <w:sz w:val="16"/>
          <w:szCs w:val="16"/>
        </w:rPr>
        <w:t>资金来源</w:t>
      </w:r>
      <w:r>
        <w:rPr>
          <w:rFonts w:ascii="黑体" w:hAnsi="黑体" w:cs="黑体" w:eastAsia="黑体" w:hint="default"/>
          <w:spacing w:val="-32"/>
          <w:sz w:val="16"/>
          <w:szCs w:val="16"/>
        </w:rPr>
        <w:t> </w:t>
      </w:r>
      <w:r>
        <w:rPr>
          <w:rFonts w:ascii="黑体" w:hAnsi="黑体" w:cs="黑体" w:eastAsia="黑体" w:hint="default"/>
          <w:sz w:val="16"/>
          <w:szCs w:val="16"/>
        </w:rPr>
        <w:t>占预算比例</w:t>
      </w:r>
    </w:p>
    <w:p>
      <w:pPr>
        <w:tabs>
          <w:tab w:pos="8916" w:val="left" w:leader="none"/>
        </w:tabs>
        <w:spacing w:line="214" w:lineRule="exact" w:before="46"/>
        <w:ind w:left="2057" w:right="0" w:firstLine="0"/>
        <w:jc w:val="left"/>
        <w:rPr>
          <w:rFonts w:ascii="Arial" w:hAnsi="Arial" w:cs="Arial" w:eastAsia="Arial" w:hint="default"/>
          <w:sz w:val="16"/>
          <w:szCs w:val="16"/>
        </w:rPr>
      </w:pPr>
      <w:r>
        <w:rPr>
          <w:rFonts w:ascii="Arial" w:hAnsi="Arial" w:cs="Arial" w:eastAsia="Arial" w:hint="default"/>
          <w:w w:val="95"/>
          <w:sz w:val="16"/>
          <w:szCs w:val="16"/>
        </w:rPr>
        <w:t>(</w:t>
      </w:r>
      <w:r>
        <w:rPr>
          <w:rFonts w:ascii="黑体" w:hAnsi="黑体" w:cs="黑体" w:eastAsia="黑体" w:hint="default"/>
          <w:w w:val="95"/>
          <w:sz w:val="16"/>
          <w:szCs w:val="16"/>
        </w:rPr>
        <w:t>百万元</w:t>
      </w:r>
      <w:r>
        <w:rPr>
          <w:rFonts w:ascii="Arial" w:hAnsi="Arial" w:cs="Arial" w:eastAsia="Arial" w:hint="default"/>
          <w:w w:val="95"/>
          <w:sz w:val="16"/>
          <w:szCs w:val="16"/>
        </w:rPr>
        <w:t>)</w:t>
        <w:tab/>
      </w:r>
      <w:r>
        <w:rPr>
          <w:rFonts w:ascii="Arial" w:hAnsi="Arial" w:cs="Arial" w:eastAsia="Arial" w:hint="default"/>
          <w:sz w:val="16"/>
          <w:szCs w:val="16"/>
        </w:rPr>
        <w:t>(%)</w:t>
      </w:r>
    </w:p>
    <w:p>
      <w:pPr>
        <w:spacing w:line="203" w:lineRule="exact" w:before="0"/>
        <w:ind w:left="816" w:right="0" w:firstLine="0"/>
        <w:jc w:val="left"/>
        <w:rPr>
          <w:rFonts w:ascii="黑体" w:hAnsi="黑体" w:cs="黑体" w:eastAsia="黑体" w:hint="default"/>
          <w:sz w:val="16"/>
          <w:szCs w:val="16"/>
        </w:rPr>
      </w:pPr>
      <w:r>
        <w:rPr>
          <w:rFonts w:ascii="黑体" w:hAnsi="黑体" w:cs="黑体" w:eastAsia="黑体" w:hint="default"/>
          <w:sz w:val="16"/>
          <w:szCs w:val="16"/>
        </w:rPr>
        <w:t>用友软件园项目</w:t>
      </w:r>
    </w:p>
    <w:p>
      <w:pPr>
        <w:tabs>
          <w:tab w:pos="2376" w:val="left" w:leader="none"/>
          <w:tab w:pos="4839" w:val="left" w:leader="none"/>
          <w:tab w:pos="6417" w:val="left" w:leader="none"/>
          <w:tab w:pos="7674" w:val="left" w:leader="none"/>
          <w:tab w:pos="9163" w:val="right" w:leader="none"/>
        </w:tabs>
        <w:spacing w:before="0"/>
        <w:ind w:left="952" w:right="0" w:firstLine="0"/>
        <w:jc w:val="left"/>
        <w:rPr>
          <w:rFonts w:ascii="Arial" w:hAnsi="Arial" w:cs="Arial" w:eastAsia="Arial" w:hint="default"/>
          <w:sz w:val="16"/>
          <w:szCs w:val="16"/>
        </w:rPr>
      </w:pPr>
      <w:r>
        <w:rPr>
          <w:rFonts w:ascii="黑体" w:hAnsi="黑体" w:cs="黑体" w:eastAsia="黑体" w:hint="default"/>
          <w:w w:val="95"/>
          <w:position w:val="2"/>
          <w:sz w:val="16"/>
          <w:szCs w:val="16"/>
        </w:rPr>
        <w:t>二期工程</w:t>
        <w:tab/>
      </w:r>
      <w:r>
        <w:rPr>
          <w:rFonts w:ascii="Arial" w:hAnsi="Arial" w:cs="Arial" w:eastAsia="Arial" w:hint="default"/>
          <w:position w:val="2"/>
          <w:sz w:val="16"/>
          <w:szCs w:val="16"/>
        </w:rPr>
        <w:t>730   </w:t>
      </w:r>
      <w:r>
        <w:rPr>
          <w:rFonts w:ascii="Arial" w:hAnsi="Arial" w:cs="Arial" w:eastAsia="Arial" w:hint="default"/>
          <w:sz w:val="16"/>
          <w:szCs w:val="16"/>
        </w:rPr>
        <w:t>37,532,692  </w:t>
      </w:r>
      <w:r>
        <w:rPr>
          <w:rFonts w:ascii="Arial" w:hAnsi="Arial" w:cs="Arial" w:eastAsia="Arial" w:hint="default"/>
          <w:spacing w:val="27"/>
          <w:sz w:val="16"/>
          <w:szCs w:val="16"/>
        </w:rPr>
        <w:t> </w:t>
      </w:r>
      <w:r>
        <w:rPr>
          <w:rFonts w:ascii="Arial" w:hAnsi="Arial" w:cs="Arial" w:eastAsia="Arial" w:hint="default"/>
          <w:sz w:val="16"/>
          <w:szCs w:val="16"/>
        </w:rPr>
        <w:t>127,328,597</w:t>
        <w:tab/>
      </w:r>
      <w:r>
        <w:rPr>
          <w:rFonts w:ascii="Arial" w:hAnsi="Arial" w:cs="Arial" w:eastAsia="Arial" w:hint="default"/>
          <w:w w:val="95"/>
          <w:position w:val="2"/>
          <w:sz w:val="16"/>
          <w:szCs w:val="16"/>
        </w:rPr>
        <w:t>2,283,966</w:t>
        <w:tab/>
      </w:r>
      <w:r>
        <w:rPr>
          <w:rFonts w:ascii="Arial" w:hAnsi="Arial" w:cs="Arial" w:eastAsia="Arial" w:hint="default"/>
          <w:sz w:val="16"/>
          <w:szCs w:val="16"/>
        </w:rPr>
        <w:t>-</w:t>
      </w:r>
      <w:r>
        <w:rPr>
          <w:rFonts w:ascii="Arial" w:hAnsi="Arial" w:cs="Arial" w:eastAsia="Arial" w:hint="default"/>
          <w:spacing w:val="32"/>
          <w:sz w:val="16"/>
          <w:szCs w:val="16"/>
        </w:rPr>
        <w:t> </w:t>
      </w:r>
      <w:r>
        <w:rPr>
          <w:rFonts w:ascii="Arial" w:hAnsi="Arial" w:cs="Arial" w:eastAsia="Arial" w:hint="default"/>
          <w:sz w:val="16"/>
          <w:szCs w:val="16"/>
        </w:rPr>
        <w:t>162,577,323</w:t>
        <w:tab/>
      </w:r>
      <w:r>
        <w:rPr>
          <w:rFonts w:ascii="黑体" w:hAnsi="黑体" w:cs="黑体" w:eastAsia="黑体" w:hint="default"/>
          <w:position w:val="2"/>
          <w:sz w:val="16"/>
          <w:szCs w:val="16"/>
        </w:rPr>
        <w:t>自筹资金</w:t>
      </w:r>
      <w:r>
        <w:rPr>
          <w:rFonts w:ascii="Arial" w:hAnsi="Arial" w:cs="Arial" w:eastAsia="Arial" w:hint="default"/>
          <w:position w:val="2"/>
          <w:sz w:val="16"/>
          <w:szCs w:val="16"/>
        </w:rPr>
        <w:tab/>
        <w:t>26</w:t>
      </w:r>
      <w:r>
        <w:rPr>
          <w:rFonts w:ascii="Arial" w:hAnsi="Arial" w:cs="Arial" w:eastAsia="Arial" w:hint="default"/>
          <w:sz w:val="16"/>
          <w:szCs w:val="16"/>
        </w:rPr>
      </w:r>
    </w:p>
    <w:p>
      <w:pPr>
        <w:pStyle w:val="BodyText"/>
        <w:spacing w:line="240" w:lineRule="auto" w:before="288"/>
        <w:ind w:right="0"/>
        <w:jc w:val="left"/>
      </w:pPr>
      <w:r>
        <w:rPr>
          <w:rFonts w:ascii="Arial" w:hAnsi="Arial" w:cs="Arial" w:eastAsia="Arial" w:hint="default"/>
        </w:rPr>
        <w:t>2008</w:t>
      </w:r>
      <w:r>
        <w:rPr/>
        <w:t>年</w:t>
      </w:r>
    </w:p>
    <w:p>
      <w:pPr>
        <w:tabs>
          <w:tab w:pos="8546" w:val="left" w:leader="none"/>
        </w:tabs>
        <w:spacing w:before="301"/>
        <w:ind w:left="4756" w:right="0" w:firstLine="0"/>
        <w:jc w:val="left"/>
        <w:rPr>
          <w:rFonts w:ascii="黑体" w:hAnsi="黑体" w:cs="黑体" w:eastAsia="黑体" w:hint="default"/>
          <w:sz w:val="16"/>
          <w:szCs w:val="16"/>
        </w:rPr>
      </w:pPr>
      <w:r>
        <w:rPr>
          <w:rFonts w:ascii="黑体" w:hAnsi="黑体" w:cs="黑体" w:eastAsia="黑体" w:hint="default"/>
          <w:w w:val="95"/>
          <w:sz w:val="16"/>
          <w:szCs w:val="16"/>
        </w:rPr>
        <w:t>自固定资产</w:t>
        <w:tab/>
      </w:r>
      <w:r>
        <w:rPr>
          <w:rFonts w:ascii="黑体" w:hAnsi="黑体" w:cs="黑体" w:eastAsia="黑体" w:hint="default"/>
          <w:sz w:val="16"/>
          <w:szCs w:val="16"/>
        </w:rPr>
        <w:t>工程投入</w:t>
      </w:r>
    </w:p>
    <w:p>
      <w:pPr>
        <w:tabs>
          <w:tab w:pos="2164" w:val="left" w:leader="none"/>
          <w:tab w:pos="2922" w:val="left" w:leader="none"/>
          <w:tab w:pos="3995" w:val="left" w:leader="none"/>
          <w:tab w:pos="5237" w:val="left" w:leader="none"/>
          <w:tab w:pos="5825" w:val="left" w:leader="none"/>
          <w:tab w:pos="6936" w:val="left" w:leader="none"/>
          <w:tab w:pos="7672" w:val="left" w:leader="none"/>
        </w:tabs>
        <w:spacing w:line="208" w:lineRule="exact" w:before="0"/>
        <w:ind w:left="816" w:right="0" w:firstLine="0"/>
        <w:jc w:val="left"/>
        <w:rPr>
          <w:rFonts w:ascii="黑体" w:hAnsi="黑体" w:cs="黑体" w:eastAsia="黑体" w:hint="default"/>
          <w:sz w:val="16"/>
          <w:szCs w:val="16"/>
        </w:rPr>
      </w:pPr>
      <w:r>
        <w:rPr>
          <w:rFonts w:ascii="黑体" w:hAnsi="黑体" w:cs="黑体" w:eastAsia="黑体" w:hint="default"/>
          <w:w w:val="95"/>
          <w:sz w:val="16"/>
          <w:szCs w:val="16"/>
        </w:rPr>
        <w:t>工程项目名称</w:t>
        <w:tab/>
        <w:t>预算款</w:t>
        <w:tab/>
        <w:t>年初余额</w:t>
        <w:tab/>
        <w:t>本年增加</w:t>
        <w:tab/>
        <w:t>转入</w:t>
        <w:tab/>
        <w:t>其他减少</w:t>
        <w:tab/>
        <w:t>年末数</w:t>
        <w:tab/>
      </w:r>
      <w:r>
        <w:rPr>
          <w:rFonts w:ascii="黑体" w:hAnsi="黑体" w:cs="黑体" w:eastAsia="黑体" w:hint="default"/>
          <w:sz w:val="16"/>
          <w:szCs w:val="16"/>
        </w:rPr>
        <w:t>资金来源</w:t>
      </w:r>
      <w:r>
        <w:rPr>
          <w:rFonts w:ascii="黑体" w:hAnsi="黑体" w:cs="黑体" w:eastAsia="黑体" w:hint="default"/>
          <w:spacing w:val="-8"/>
          <w:sz w:val="16"/>
          <w:szCs w:val="16"/>
        </w:rPr>
        <w:t> </w:t>
      </w:r>
      <w:r>
        <w:rPr>
          <w:rFonts w:ascii="黑体" w:hAnsi="黑体" w:cs="黑体" w:eastAsia="黑体" w:hint="default"/>
          <w:sz w:val="16"/>
          <w:szCs w:val="16"/>
        </w:rPr>
        <w:t>占预算比例</w:t>
      </w:r>
    </w:p>
    <w:p>
      <w:pPr>
        <w:tabs>
          <w:tab w:pos="8938" w:val="left" w:leader="none"/>
        </w:tabs>
        <w:spacing w:line="214" w:lineRule="exact" w:before="45"/>
        <w:ind w:left="2057" w:right="0" w:firstLine="0"/>
        <w:jc w:val="left"/>
        <w:rPr>
          <w:rFonts w:ascii="Arial" w:hAnsi="Arial" w:cs="Arial" w:eastAsia="Arial" w:hint="default"/>
          <w:sz w:val="16"/>
          <w:szCs w:val="16"/>
        </w:rPr>
      </w:pPr>
      <w:r>
        <w:rPr>
          <w:rFonts w:ascii="Arial" w:hAnsi="Arial" w:cs="Arial" w:eastAsia="Arial" w:hint="default"/>
          <w:w w:val="95"/>
          <w:sz w:val="16"/>
          <w:szCs w:val="16"/>
        </w:rPr>
        <w:t>(</w:t>
      </w:r>
      <w:r>
        <w:rPr>
          <w:rFonts w:ascii="黑体" w:hAnsi="黑体" w:cs="黑体" w:eastAsia="黑体" w:hint="default"/>
          <w:w w:val="95"/>
          <w:sz w:val="16"/>
          <w:szCs w:val="16"/>
        </w:rPr>
        <w:t>百万元</w:t>
      </w:r>
      <w:r>
        <w:rPr>
          <w:rFonts w:ascii="Arial" w:hAnsi="Arial" w:cs="Arial" w:eastAsia="Arial" w:hint="default"/>
          <w:w w:val="95"/>
          <w:sz w:val="16"/>
          <w:szCs w:val="16"/>
        </w:rPr>
        <w:t>)</w:t>
        <w:tab/>
      </w:r>
      <w:r>
        <w:rPr>
          <w:rFonts w:ascii="Arial" w:hAnsi="Arial" w:cs="Arial" w:eastAsia="Arial" w:hint="default"/>
          <w:sz w:val="16"/>
          <w:szCs w:val="16"/>
        </w:rPr>
        <w:t>(%)</w:t>
      </w:r>
    </w:p>
    <w:p>
      <w:pPr>
        <w:spacing w:line="203" w:lineRule="exact" w:before="0"/>
        <w:ind w:left="816" w:right="0" w:firstLine="0"/>
        <w:jc w:val="left"/>
        <w:rPr>
          <w:rFonts w:ascii="黑体" w:hAnsi="黑体" w:cs="黑体" w:eastAsia="黑体" w:hint="default"/>
          <w:sz w:val="16"/>
          <w:szCs w:val="16"/>
        </w:rPr>
      </w:pPr>
      <w:r>
        <w:rPr>
          <w:rFonts w:ascii="黑体" w:hAnsi="黑体" w:cs="黑体" w:eastAsia="黑体" w:hint="default"/>
          <w:sz w:val="16"/>
          <w:szCs w:val="16"/>
        </w:rPr>
        <w:t>用友软件园</w:t>
      </w:r>
    </w:p>
    <w:p>
      <w:pPr>
        <w:tabs>
          <w:tab w:pos="2376" w:val="left" w:leader="none"/>
          <w:tab w:pos="3833" w:val="left" w:leader="none"/>
          <w:tab w:pos="7672" w:val="left" w:leader="none"/>
          <w:tab w:pos="9185" w:val="right" w:leader="none"/>
        </w:tabs>
        <w:spacing w:before="0"/>
        <w:ind w:left="977" w:right="0" w:firstLine="0"/>
        <w:jc w:val="left"/>
        <w:rPr>
          <w:rFonts w:ascii="Arial" w:hAnsi="Arial" w:cs="Arial" w:eastAsia="Arial" w:hint="default"/>
          <w:sz w:val="16"/>
          <w:szCs w:val="16"/>
        </w:rPr>
      </w:pPr>
      <w:r>
        <w:rPr>
          <w:rFonts w:ascii="黑体" w:hAnsi="黑体" w:cs="黑体" w:eastAsia="黑体" w:hint="default"/>
          <w:w w:val="95"/>
          <w:position w:val="2"/>
          <w:sz w:val="16"/>
          <w:szCs w:val="16"/>
        </w:rPr>
        <w:t>项目二期工程</w:t>
        <w:tab/>
      </w:r>
      <w:r>
        <w:rPr>
          <w:rFonts w:ascii="Arial" w:hAnsi="Arial" w:cs="Arial" w:eastAsia="Arial" w:hint="default"/>
          <w:sz w:val="16"/>
          <w:szCs w:val="16"/>
        </w:rPr>
        <w:t>730 </w:t>
      </w:r>
      <w:r>
        <w:rPr>
          <w:rFonts w:ascii="Arial" w:hAnsi="Arial" w:cs="Arial" w:eastAsia="Arial" w:hint="default"/>
          <w:spacing w:val="26"/>
          <w:sz w:val="16"/>
          <w:szCs w:val="16"/>
        </w:rPr>
        <w:t> </w:t>
      </w:r>
      <w:r>
        <w:rPr>
          <w:rFonts w:ascii="Arial" w:hAnsi="Arial" w:cs="Arial" w:eastAsia="Arial" w:hint="default"/>
          <w:sz w:val="16"/>
          <w:szCs w:val="16"/>
        </w:rPr>
        <w:t>40,621,840</w:t>
        <w:tab/>
        <w:t>24,972,641   11,938,211  40,000,000  </w:t>
      </w:r>
      <w:r>
        <w:rPr>
          <w:rFonts w:ascii="Arial" w:hAnsi="Arial" w:cs="Arial" w:eastAsia="Arial" w:hint="default"/>
          <w:spacing w:val="19"/>
          <w:sz w:val="16"/>
          <w:szCs w:val="16"/>
        </w:rPr>
        <w:t> </w:t>
      </w:r>
      <w:r>
        <w:rPr>
          <w:rFonts w:ascii="Arial" w:hAnsi="Arial" w:cs="Arial" w:eastAsia="Arial" w:hint="default"/>
          <w:sz w:val="16"/>
          <w:szCs w:val="16"/>
        </w:rPr>
        <w:t>37,532,692</w:t>
        <w:tab/>
      </w:r>
      <w:r>
        <w:rPr>
          <w:rFonts w:ascii="黑体" w:hAnsi="黑体" w:cs="黑体" w:eastAsia="黑体" w:hint="default"/>
          <w:position w:val="2"/>
          <w:sz w:val="16"/>
          <w:szCs w:val="16"/>
        </w:rPr>
        <w:t>自筹资金</w:t>
      </w:r>
      <w:r>
        <w:rPr>
          <w:rFonts w:ascii="Arial" w:hAnsi="Arial" w:cs="Arial" w:eastAsia="Arial" w:hint="default"/>
          <w:position w:val="2"/>
          <w:sz w:val="16"/>
          <w:szCs w:val="16"/>
        </w:rPr>
        <w:tab/>
        <w:t>9</w:t>
      </w:r>
      <w:r>
        <w:rPr>
          <w:rFonts w:ascii="Arial" w:hAnsi="Arial" w:cs="Arial" w:eastAsia="Arial" w:hint="default"/>
          <w:sz w:val="16"/>
          <w:szCs w:val="16"/>
        </w:rPr>
      </w:r>
    </w:p>
    <w:p>
      <w:pPr>
        <w:pStyle w:val="BodyText"/>
        <w:spacing w:line="240" w:lineRule="auto" w:before="288"/>
        <w:ind w:right="0"/>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日，在建工程无计提减值准备的情况（</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p>
    <w:p>
      <w:pPr>
        <w:spacing w:after="0" w:line="240" w:lineRule="auto"/>
        <w:jc w:val="left"/>
        <w:sectPr>
          <w:type w:val="continuous"/>
          <w:pgSz w:w="11910" w:h="16840"/>
          <w:pgMar w:top="900" w:bottom="280" w:left="1600" w:right="1000"/>
        </w:sectPr>
      </w:pPr>
    </w:p>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18"/>
          <w:szCs w:val="18"/>
        </w:rPr>
      </w:pPr>
    </w:p>
    <w:p>
      <w:pPr>
        <w:tabs>
          <w:tab w:pos="803" w:val="left" w:leader="none"/>
        </w:tabs>
        <w:spacing w:before="0"/>
        <w:ind w:left="101" w:right="136"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8"/>
        <w:rPr>
          <w:rFonts w:ascii="黑体" w:hAnsi="黑体" w:cs="黑体" w:eastAsia="黑体" w:hint="default"/>
          <w:b/>
          <w:bCs/>
          <w:sz w:val="16"/>
          <w:szCs w:val="16"/>
        </w:rPr>
      </w:pPr>
    </w:p>
    <w:p>
      <w:pPr>
        <w:tabs>
          <w:tab w:pos="779" w:val="left" w:leader="none"/>
        </w:tabs>
        <w:spacing w:before="0"/>
        <w:ind w:left="101" w:right="136" w:firstLine="0"/>
        <w:jc w:val="left"/>
        <w:rPr>
          <w:rFonts w:ascii="黑体" w:hAnsi="黑体" w:cs="黑体" w:eastAsia="黑体" w:hint="default"/>
          <w:sz w:val="20"/>
          <w:szCs w:val="20"/>
        </w:rPr>
      </w:pPr>
      <w:r>
        <w:rPr>
          <w:rFonts w:ascii="Arial" w:hAnsi="Arial" w:cs="Arial" w:eastAsia="Arial" w:hint="default"/>
          <w:b/>
          <w:bCs/>
          <w:spacing w:val="-1"/>
          <w:sz w:val="20"/>
          <w:szCs w:val="20"/>
        </w:rPr>
        <w:t>14.</w:t>
        <w:tab/>
      </w:r>
      <w:r>
        <w:rPr>
          <w:rFonts w:ascii="黑体" w:hAnsi="黑体" w:cs="黑体" w:eastAsia="黑体" w:hint="default"/>
          <w:b/>
          <w:bCs/>
          <w:spacing w:val="1"/>
          <w:sz w:val="20"/>
          <w:szCs w:val="20"/>
        </w:rPr>
        <w:t>无形资产</w:t>
      </w:r>
      <w:r>
        <w:rPr>
          <w:rFonts w:ascii="黑体" w:hAnsi="黑体" w:cs="黑体" w:eastAsia="黑体" w:hint="default"/>
          <w:sz w:val="20"/>
          <w:szCs w:val="20"/>
        </w:rPr>
      </w:r>
    </w:p>
    <w:p>
      <w:pPr>
        <w:spacing w:line="240" w:lineRule="auto" w:before="10"/>
        <w:rPr>
          <w:rFonts w:ascii="黑体" w:hAnsi="黑体" w:cs="黑体" w:eastAsia="黑体" w:hint="default"/>
          <w:b/>
          <w:bCs/>
          <w:sz w:val="17"/>
          <w:szCs w:val="17"/>
        </w:rPr>
      </w:pPr>
    </w:p>
    <w:p>
      <w:pPr>
        <w:pStyle w:val="BodyText"/>
        <w:spacing w:line="240" w:lineRule="auto"/>
        <w:ind w:right="136"/>
        <w:jc w:val="left"/>
      </w:pPr>
      <w:r>
        <w:rPr>
          <w:rFonts w:ascii="Arial" w:hAnsi="Arial" w:cs="Arial" w:eastAsia="Arial" w:hint="default"/>
        </w:rPr>
        <w:t>2009</w:t>
      </w:r>
      <w:r>
        <w:rPr/>
        <w:t>年</w:t>
      </w:r>
    </w:p>
    <w:p>
      <w:pPr>
        <w:spacing w:line="240" w:lineRule="auto" w:before="7"/>
        <w:rPr>
          <w:rFonts w:ascii="黑体" w:hAnsi="黑体" w:cs="黑体" w:eastAsia="黑体" w:hint="default"/>
          <w:sz w:val="21"/>
          <w:szCs w:val="21"/>
        </w:rPr>
      </w:pPr>
    </w:p>
    <w:p>
      <w:pPr>
        <w:pStyle w:val="BodyText"/>
        <w:tabs>
          <w:tab w:pos="4147" w:val="left" w:leader="none"/>
          <w:tab w:pos="5030" w:val="left" w:leader="none"/>
          <w:tab w:pos="6658" w:val="left" w:leader="none"/>
          <w:tab w:pos="8344" w:val="left" w:leader="none"/>
        </w:tabs>
        <w:spacing w:line="247" w:lineRule="auto"/>
        <w:ind w:left="3700" w:right="136" w:hanging="1223"/>
        <w:jc w:val="left"/>
      </w:pPr>
      <w:r>
        <w:rPr/>
        <w:pict>
          <v:group style="position:absolute;margin-left:247.740005pt;margin-top:14.799509pt;width:123.25pt;height:.1pt;mso-position-horizontal-relative:page;mso-position-vertical-relative:paragraph;z-index:-1132144" coordorigin="4955,296" coordsize="2465,2">
            <v:shape style="position:absolute;left:4955;top:296;width:2465;height:2" coordorigin="4955,296" coordsize="2465,0" path="m4955,296l7420,296e" filled="false" stroked="true" strokeweight=".48pt" strokecolor="#000000">
              <v:path arrowok="t"/>
            </v:shape>
            <w10:wrap type="none"/>
          </v:group>
        </w:pict>
      </w:r>
      <w:r>
        <w:rPr/>
        <w:t>年初数</w:t>
        <w:tab/>
        <w:tab/>
        <w:t>本年增加</w:t>
        <w:tab/>
        <w:tab/>
        <w:t> 本年减少</w:t>
        <w:tab/>
        <w:t>年末数</w:t>
      </w:r>
      <w:r>
        <w:rPr>
          <w:spacing w:val="2"/>
        </w:rPr>
        <w:t> </w:t>
      </w:r>
      <w:r>
        <w:rPr>
          <w:spacing w:val="2"/>
        </w:rPr>
      </w:r>
      <w:r>
        <w:rPr/>
        <w:t>收购</w:t>
        <w:tab/>
        <w:tab/>
        <w:t>其他</w:t>
      </w:r>
    </w:p>
    <w:p>
      <w:pPr>
        <w:spacing w:line="240" w:lineRule="auto" w:before="10"/>
        <w:rPr>
          <w:rFonts w:ascii="黑体" w:hAnsi="黑体" w:cs="黑体" w:eastAsia="黑体" w:hint="default"/>
          <w:sz w:val="15"/>
          <w:szCs w:val="15"/>
        </w:rPr>
      </w:pPr>
    </w:p>
    <w:tbl>
      <w:tblPr>
        <w:tblW w:w="0" w:type="auto"/>
        <w:jc w:val="left"/>
        <w:tblInd w:w="775" w:type="dxa"/>
        <w:tblLayout w:type="fixed"/>
        <w:tblCellMar>
          <w:top w:w="0" w:type="dxa"/>
          <w:left w:w="0" w:type="dxa"/>
          <w:bottom w:w="0" w:type="dxa"/>
          <w:right w:w="0" w:type="dxa"/>
        </w:tblCellMar>
        <w:tblLook w:val="01E0"/>
      </w:tblPr>
      <w:tblGrid>
        <w:gridCol w:w="1119"/>
        <w:gridCol w:w="1365"/>
        <w:gridCol w:w="1340"/>
        <w:gridCol w:w="1808"/>
        <w:gridCol w:w="1240"/>
        <w:gridCol w:w="1335"/>
      </w:tblGrid>
      <w:tr>
        <w:trPr>
          <w:trHeight w:val="603"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5" w:right="69"/>
              <w:jc w:val="left"/>
              <w:rPr>
                <w:rFonts w:ascii="黑体" w:hAnsi="黑体" w:cs="黑体" w:eastAsia="黑体" w:hint="default"/>
                <w:sz w:val="20"/>
                <w:szCs w:val="20"/>
              </w:rPr>
            </w:pPr>
            <w:r>
              <w:rPr>
                <w:rFonts w:ascii="黑体" w:hAnsi="黑体" w:cs="黑体" w:eastAsia="黑体" w:hint="default"/>
                <w:sz w:val="20"/>
                <w:szCs w:val="20"/>
              </w:rPr>
              <w:t>原价</w:t>
            </w:r>
            <w:r>
              <w:rPr>
                <w:rFonts w:ascii="黑体" w:hAnsi="黑体" w:cs="黑体" w:eastAsia="黑体" w:hint="default"/>
                <w:w w:val="100"/>
                <w:sz w:val="20"/>
                <w:szCs w:val="20"/>
              </w:rPr>
              <w:t> </w:t>
            </w:r>
            <w:r>
              <w:rPr>
                <w:rFonts w:ascii="黑体" w:hAnsi="黑体" w:cs="黑体" w:eastAsia="黑体" w:hint="default"/>
                <w:sz w:val="20"/>
                <w:szCs w:val="20"/>
              </w:rPr>
              <w:t>土地使用权</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27"/>
                <w:szCs w:val="27"/>
              </w:rPr>
            </w:pPr>
          </w:p>
          <w:p>
            <w:pPr>
              <w:pStyle w:val="TableParagraph"/>
              <w:spacing w:line="240" w:lineRule="auto"/>
              <w:ind w:right="177"/>
              <w:jc w:val="right"/>
              <w:rPr>
                <w:rFonts w:ascii="Arial" w:hAnsi="Arial" w:cs="Arial" w:eastAsia="Arial" w:hint="default"/>
                <w:sz w:val="20"/>
                <w:szCs w:val="20"/>
              </w:rPr>
            </w:pPr>
            <w:r>
              <w:rPr>
                <w:rFonts w:ascii="Arial"/>
                <w:spacing w:val="-1"/>
                <w:sz w:val="20"/>
              </w:rPr>
              <w:t>285,333,043</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27"/>
                <w:szCs w:val="27"/>
              </w:rPr>
            </w:pPr>
          </w:p>
          <w:p>
            <w:pPr>
              <w:pStyle w:val="TableParagraph"/>
              <w:spacing w:line="240" w:lineRule="auto"/>
              <w:ind w:right="156"/>
              <w:jc w:val="right"/>
              <w:rPr>
                <w:rFonts w:ascii="Arial" w:hAnsi="Arial" w:cs="Arial" w:eastAsia="Arial" w:hint="default"/>
                <w:sz w:val="20"/>
                <w:szCs w:val="20"/>
              </w:rPr>
            </w:pPr>
            <w:r>
              <w:rPr>
                <w:rFonts w:ascii="Arial"/>
                <w:w w:val="100"/>
                <w:sz w:val="20"/>
              </w:rPr>
              <w:t>-</w:t>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27"/>
                <w:szCs w:val="27"/>
              </w:rPr>
            </w:pPr>
          </w:p>
          <w:p>
            <w:pPr>
              <w:pStyle w:val="TableParagraph"/>
              <w:spacing w:line="240" w:lineRule="auto"/>
              <w:ind w:left="336" w:right="0"/>
              <w:jc w:val="left"/>
              <w:rPr>
                <w:rFonts w:ascii="Arial" w:hAnsi="Arial" w:cs="Arial" w:eastAsia="Arial" w:hint="default"/>
                <w:sz w:val="20"/>
                <w:szCs w:val="20"/>
              </w:rPr>
            </w:pPr>
            <w:r>
              <w:rPr>
                <w:rFonts w:ascii="Arial"/>
                <w:sz w:val="20"/>
              </w:rPr>
              <w:t>8,629,627</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27"/>
                <w:szCs w:val="27"/>
              </w:rPr>
            </w:pPr>
          </w:p>
          <w:p>
            <w:pPr>
              <w:pStyle w:val="TableParagraph"/>
              <w:spacing w:line="240" w:lineRule="auto"/>
              <w:ind w:right="184"/>
              <w:jc w:val="right"/>
              <w:rPr>
                <w:rFonts w:ascii="Arial" w:hAnsi="Arial" w:cs="Arial" w:eastAsia="Arial" w:hint="default"/>
                <w:sz w:val="20"/>
                <w:szCs w:val="20"/>
              </w:rPr>
            </w:pPr>
            <w:r>
              <w:rPr>
                <w:rFonts w:ascii="Arial"/>
                <w:w w:val="100"/>
                <w:sz w:val="20"/>
              </w:rPr>
              <w:t>-</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27"/>
                <w:szCs w:val="27"/>
              </w:rPr>
            </w:pPr>
          </w:p>
          <w:p>
            <w:pPr>
              <w:pStyle w:val="TableParagraph"/>
              <w:spacing w:line="240" w:lineRule="auto"/>
              <w:ind w:right="33"/>
              <w:jc w:val="right"/>
              <w:rPr>
                <w:rFonts w:ascii="Arial" w:hAnsi="Arial" w:cs="Arial" w:eastAsia="Arial" w:hint="default"/>
                <w:sz w:val="20"/>
                <w:szCs w:val="20"/>
              </w:rPr>
            </w:pPr>
            <w:r>
              <w:rPr>
                <w:rFonts w:ascii="Arial"/>
                <w:spacing w:val="-1"/>
                <w:sz w:val="20"/>
              </w:rPr>
              <w:t>293,962,670</w:t>
            </w:r>
          </w:p>
        </w:tc>
      </w:tr>
      <w:tr>
        <w:trPr>
          <w:trHeight w:val="259"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软件使用权</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9"/>
              <w:jc w:val="right"/>
              <w:rPr>
                <w:rFonts w:ascii="Arial" w:hAnsi="Arial" w:cs="Arial" w:eastAsia="Arial" w:hint="default"/>
                <w:sz w:val="20"/>
                <w:szCs w:val="20"/>
              </w:rPr>
            </w:pPr>
            <w:r>
              <w:rPr>
                <w:rFonts w:ascii="Arial"/>
                <w:spacing w:val="-1"/>
                <w:sz w:val="20"/>
              </w:rPr>
              <w:t>26,240,556</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6"/>
              <w:jc w:val="right"/>
              <w:rPr>
                <w:rFonts w:ascii="Arial" w:hAnsi="Arial" w:cs="Arial" w:eastAsia="Arial" w:hint="default"/>
                <w:sz w:val="20"/>
                <w:szCs w:val="20"/>
              </w:rPr>
            </w:pPr>
            <w:r>
              <w:rPr>
                <w:rFonts w:ascii="Arial"/>
                <w:w w:val="100"/>
                <w:sz w:val="20"/>
              </w:rPr>
              <w:t>-</w:t>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59" w:right="0"/>
              <w:jc w:val="left"/>
              <w:rPr>
                <w:rFonts w:ascii="Arial" w:hAnsi="Arial" w:cs="Arial" w:eastAsia="Arial" w:hint="default"/>
                <w:sz w:val="20"/>
                <w:szCs w:val="20"/>
              </w:rPr>
            </w:pPr>
            <w:r>
              <w:rPr>
                <w:rFonts w:ascii="Arial"/>
                <w:w w:val="100"/>
                <w:sz w:val="20"/>
              </w:rPr>
              <w:t>-</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5"/>
              <w:jc w:val="right"/>
              <w:rPr>
                <w:rFonts w:ascii="Arial" w:hAnsi="Arial" w:cs="Arial" w:eastAsia="Arial" w:hint="default"/>
                <w:sz w:val="20"/>
                <w:szCs w:val="20"/>
              </w:rPr>
            </w:pPr>
            <w:r>
              <w:rPr>
                <w:rFonts w:ascii="Arial"/>
                <w:w w:val="100"/>
                <w:sz w:val="20"/>
              </w:rPr>
              <w:t>-</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5"/>
              <w:jc w:val="right"/>
              <w:rPr>
                <w:rFonts w:ascii="Arial" w:hAnsi="Arial" w:cs="Arial" w:eastAsia="Arial" w:hint="default"/>
                <w:sz w:val="20"/>
                <w:szCs w:val="20"/>
              </w:rPr>
            </w:pPr>
            <w:r>
              <w:rPr>
                <w:rFonts w:ascii="Arial"/>
                <w:spacing w:val="-1"/>
                <w:sz w:val="20"/>
              </w:rPr>
              <w:t>26,240,556</w:t>
            </w:r>
          </w:p>
        </w:tc>
      </w:tr>
      <w:tr>
        <w:trPr>
          <w:trHeight w:val="269"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软件著作权</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59,073,921</w:t>
            </w:r>
            <w:r>
              <w:rPr>
                <w:rFonts w:ascii="Arial"/>
                <w:spacing w:val="-1"/>
                <w:sz w:val="20"/>
              </w:rPr>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6"/>
              <w:jc w:val="right"/>
              <w:rPr>
                <w:rFonts w:ascii="Arial" w:hAnsi="Arial" w:cs="Arial" w:eastAsia="Arial" w:hint="default"/>
                <w:sz w:val="20"/>
                <w:szCs w:val="20"/>
              </w:rPr>
            </w:pPr>
            <w:r>
              <w:rPr>
                <w:rFonts w:ascii="Arial"/>
                <w:w w:val="100"/>
                <w:sz w:val="20"/>
              </w:rPr>
            </w:r>
            <w:r>
              <w:rPr>
                <w:rFonts w:ascii="Arial"/>
                <w:spacing w:val="-1"/>
                <w:sz w:val="20"/>
                <w:u w:val="single" w:color="000000"/>
              </w:rPr>
              <w:t>20,635,876</w:t>
            </w:r>
            <w:r>
              <w:rPr>
                <w:rFonts w:ascii="Arial"/>
                <w:spacing w:val="-1"/>
                <w:sz w:val="20"/>
              </w:rPr>
            </w:r>
          </w:p>
        </w:tc>
        <w:tc>
          <w:tcPr>
            <w:tcW w:w="1808" w:type="dxa"/>
            <w:tcBorders>
              <w:top w:val="nil" w:sz="6" w:space="0" w:color="auto"/>
              <w:left w:val="nil" w:sz="6" w:space="0" w:color="auto"/>
              <w:bottom w:val="nil" w:sz="6" w:space="0" w:color="auto"/>
              <w:right w:val="nil" w:sz="6" w:space="0" w:color="auto"/>
            </w:tcBorders>
          </w:tcPr>
          <w:p>
            <w:pPr>
              <w:pStyle w:val="TableParagraph"/>
              <w:tabs>
                <w:tab w:pos="1159" w:val="left" w:leader="none"/>
              </w:tabs>
              <w:spacing w:line="240" w:lineRule="auto" w:before="15"/>
              <w:ind w:left="260"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240"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15"/>
              <w:ind w:right="18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79,709,797</w:t>
            </w:r>
            <w:r>
              <w:rPr>
                <w:rFonts w:ascii="Arial"/>
                <w:spacing w:val="-1"/>
                <w:sz w:val="20"/>
              </w:rPr>
            </w:r>
          </w:p>
        </w:tc>
      </w:tr>
      <w:tr>
        <w:trPr>
          <w:trHeight w:val="372" w:hRule="exact"/>
        </w:trPr>
        <w:tc>
          <w:tcPr>
            <w:tcW w:w="1119" w:type="dxa"/>
            <w:tcBorders>
              <w:top w:val="nil" w:sz="6" w:space="0" w:color="auto"/>
              <w:left w:val="nil" w:sz="6" w:space="0" w:color="auto"/>
              <w:bottom w:val="nil" w:sz="6" w:space="0" w:color="auto"/>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77"/>
              <w:jc w:val="right"/>
              <w:rPr>
                <w:rFonts w:ascii="Arial" w:hAnsi="Arial" w:cs="Arial" w:eastAsia="Arial" w:hint="default"/>
                <w:sz w:val="20"/>
                <w:szCs w:val="20"/>
              </w:rPr>
            </w:pPr>
            <w:r>
              <w:rPr>
                <w:rFonts w:ascii="Arial"/>
                <w:w w:val="100"/>
                <w:sz w:val="20"/>
              </w:rPr>
            </w:r>
            <w:r>
              <w:rPr>
                <w:rFonts w:ascii="Arial"/>
                <w:spacing w:val="-1"/>
                <w:sz w:val="20"/>
                <w:u w:val="thick" w:color="000000"/>
              </w:rPr>
              <w:t>370,647,520</w:t>
            </w:r>
            <w:r>
              <w:rPr>
                <w:rFonts w:ascii="Arial"/>
                <w:spacing w:val="-1"/>
                <w:sz w:val="20"/>
              </w:rPr>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56"/>
              <w:jc w:val="right"/>
              <w:rPr>
                <w:rFonts w:ascii="Arial" w:hAnsi="Arial" w:cs="Arial" w:eastAsia="Arial" w:hint="default"/>
                <w:sz w:val="20"/>
                <w:szCs w:val="20"/>
              </w:rPr>
            </w:pPr>
            <w:r>
              <w:rPr>
                <w:rFonts w:ascii="Arial"/>
                <w:w w:val="100"/>
                <w:sz w:val="20"/>
              </w:rPr>
            </w:r>
            <w:r>
              <w:rPr>
                <w:rFonts w:ascii="Arial"/>
                <w:spacing w:val="-1"/>
                <w:sz w:val="20"/>
                <w:u w:val="thick" w:color="000000"/>
              </w:rPr>
              <w:t>20,635,876</w:t>
            </w:r>
            <w:r>
              <w:rPr>
                <w:rFonts w:ascii="Arial"/>
                <w:spacing w:val="-1"/>
                <w:sz w:val="20"/>
              </w:rPr>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35"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z w:val="20"/>
                <w:u w:val="thick" w:color="000000"/>
              </w:rPr>
              <w:t>8,629,627</w:t>
            </w:r>
            <w:r>
              <w:rPr>
                <w:rFonts w:ascii="Arial"/>
                <w:sz w:val="20"/>
              </w:rPr>
            </w:r>
          </w:p>
        </w:tc>
        <w:tc>
          <w:tcPr>
            <w:tcW w:w="1240"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2"/>
              <w:ind w:right="184"/>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399,913,023</w:t>
            </w:r>
            <w:r>
              <w:rPr>
                <w:rFonts w:ascii="Arial"/>
                <w:spacing w:val="-1"/>
                <w:sz w:val="20"/>
              </w:rPr>
            </w:r>
          </w:p>
        </w:tc>
      </w:tr>
      <w:tr>
        <w:trPr>
          <w:trHeight w:val="375"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黑体" w:hAnsi="黑体" w:cs="黑体" w:eastAsia="黑体" w:hint="default"/>
                <w:sz w:val="20"/>
                <w:szCs w:val="20"/>
              </w:rPr>
            </w:pPr>
            <w:r>
              <w:rPr>
                <w:rFonts w:ascii="黑体" w:hAnsi="黑体" w:cs="黑体" w:eastAsia="黑体" w:hint="default"/>
                <w:sz w:val="20"/>
                <w:szCs w:val="20"/>
              </w:rPr>
              <w:t>累计摊销</w:t>
            </w:r>
          </w:p>
        </w:tc>
        <w:tc>
          <w:tcPr>
            <w:tcW w:w="1365"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
        </w:tc>
        <w:tc>
          <w:tcPr>
            <w:tcW w:w="1808" w:type="dxa"/>
            <w:tcBorders>
              <w:top w:val="nil" w:sz="6" w:space="0" w:color="auto"/>
              <w:left w:val="nil" w:sz="6" w:space="0" w:color="auto"/>
              <w:bottom w:val="nil" w:sz="6" w:space="0" w:color="auto"/>
              <w:right w:val="nil" w:sz="6" w:space="0" w:color="auto"/>
            </w:tcBorders>
          </w:tcPr>
          <w:p>
            <w:pPr/>
          </w:p>
        </w:tc>
        <w:tc>
          <w:tcPr>
            <w:tcW w:w="1240" w:type="dxa"/>
            <w:tcBorders>
              <w:top w:val="nil" w:sz="6" w:space="0" w:color="auto"/>
              <w:left w:val="nil" w:sz="6" w:space="0" w:color="auto"/>
              <w:bottom w:val="nil" w:sz="6" w:space="0" w:color="auto"/>
              <w:right w:val="nil" w:sz="6" w:space="0" w:color="auto"/>
            </w:tcBorders>
          </w:tcPr>
          <w:p>
            <w:pPr/>
          </w:p>
        </w:tc>
        <w:tc>
          <w:tcPr>
            <w:tcW w:w="1335" w:type="dxa"/>
            <w:tcBorders>
              <w:top w:val="nil" w:sz="6" w:space="0" w:color="auto"/>
              <w:left w:val="nil" w:sz="6" w:space="0" w:color="auto"/>
              <w:bottom w:val="nil" w:sz="6" w:space="0" w:color="auto"/>
              <w:right w:val="nil" w:sz="6" w:space="0" w:color="auto"/>
            </w:tcBorders>
          </w:tcPr>
          <w:p>
            <w:pPr/>
          </w:p>
        </w:tc>
      </w:tr>
      <w:tr>
        <w:trPr>
          <w:trHeight w:val="271"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31" w:lineRule="exact"/>
              <w:ind w:left="45" w:right="0"/>
              <w:jc w:val="left"/>
              <w:rPr>
                <w:rFonts w:ascii="黑体" w:hAnsi="黑体" w:cs="黑体" w:eastAsia="黑体" w:hint="default"/>
                <w:sz w:val="20"/>
                <w:szCs w:val="20"/>
              </w:rPr>
            </w:pPr>
            <w:r>
              <w:rPr>
                <w:rFonts w:ascii="黑体" w:hAnsi="黑体" w:cs="黑体" w:eastAsia="黑体" w:hint="default"/>
                <w:sz w:val="20"/>
                <w:szCs w:val="20"/>
              </w:rPr>
              <w:t>土地使用权</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78"/>
              <w:jc w:val="right"/>
              <w:rPr>
                <w:rFonts w:ascii="Arial" w:hAnsi="Arial" w:cs="Arial" w:eastAsia="Arial" w:hint="default"/>
                <w:sz w:val="20"/>
                <w:szCs w:val="20"/>
              </w:rPr>
            </w:pPr>
            <w:r>
              <w:rPr>
                <w:rFonts w:ascii="Arial"/>
                <w:spacing w:val="-1"/>
                <w:sz w:val="20"/>
              </w:rPr>
              <w:t>11,207,029</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56"/>
              <w:jc w:val="right"/>
              <w:rPr>
                <w:rFonts w:ascii="Arial" w:hAnsi="Arial" w:cs="Arial" w:eastAsia="Arial" w:hint="default"/>
                <w:sz w:val="20"/>
                <w:szCs w:val="20"/>
              </w:rPr>
            </w:pPr>
            <w:r>
              <w:rPr>
                <w:rFonts w:ascii="Arial"/>
                <w:w w:val="100"/>
                <w:sz w:val="20"/>
              </w:rPr>
              <w:t>-</w:t>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36" w:right="0"/>
              <w:jc w:val="left"/>
              <w:rPr>
                <w:rFonts w:ascii="Arial" w:hAnsi="Arial" w:cs="Arial" w:eastAsia="Arial" w:hint="default"/>
                <w:sz w:val="20"/>
                <w:szCs w:val="20"/>
              </w:rPr>
            </w:pPr>
            <w:r>
              <w:rPr>
                <w:rFonts w:ascii="Arial"/>
                <w:sz w:val="20"/>
              </w:rPr>
              <w:t>6,420,728</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85"/>
              <w:jc w:val="right"/>
              <w:rPr>
                <w:rFonts w:ascii="Arial" w:hAnsi="Arial" w:cs="Arial" w:eastAsia="Arial" w:hint="default"/>
                <w:sz w:val="20"/>
                <w:szCs w:val="20"/>
              </w:rPr>
            </w:pPr>
            <w:r>
              <w:rPr>
                <w:rFonts w:ascii="Arial"/>
                <w:w w:val="100"/>
                <w:sz w:val="20"/>
              </w:rPr>
              <w:t>-</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4"/>
              <w:jc w:val="right"/>
              <w:rPr>
                <w:rFonts w:ascii="Arial" w:hAnsi="Arial" w:cs="Arial" w:eastAsia="Arial" w:hint="default"/>
                <w:sz w:val="20"/>
                <w:szCs w:val="20"/>
              </w:rPr>
            </w:pPr>
            <w:r>
              <w:rPr>
                <w:rFonts w:ascii="Arial"/>
                <w:spacing w:val="-1"/>
                <w:sz w:val="20"/>
              </w:rPr>
              <w:t>17,627,757</w:t>
            </w:r>
          </w:p>
        </w:tc>
      </w:tr>
      <w:tr>
        <w:trPr>
          <w:trHeight w:val="259"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软件使用权</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8"/>
              <w:jc w:val="right"/>
              <w:rPr>
                <w:rFonts w:ascii="Arial" w:hAnsi="Arial" w:cs="Arial" w:eastAsia="Arial" w:hint="default"/>
                <w:sz w:val="20"/>
                <w:szCs w:val="20"/>
              </w:rPr>
            </w:pPr>
            <w:r>
              <w:rPr>
                <w:rFonts w:ascii="Arial"/>
                <w:spacing w:val="-1"/>
                <w:sz w:val="20"/>
              </w:rPr>
              <w:t>14,846,589</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6"/>
              <w:jc w:val="right"/>
              <w:rPr>
                <w:rFonts w:ascii="Arial" w:hAnsi="Arial" w:cs="Arial" w:eastAsia="Arial" w:hint="default"/>
                <w:sz w:val="20"/>
                <w:szCs w:val="20"/>
              </w:rPr>
            </w:pPr>
            <w:r>
              <w:rPr>
                <w:rFonts w:ascii="Arial"/>
                <w:w w:val="100"/>
                <w:sz w:val="20"/>
              </w:rPr>
              <w:t>-</w:t>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36" w:right="0"/>
              <w:jc w:val="left"/>
              <w:rPr>
                <w:rFonts w:ascii="Arial" w:hAnsi="Arial" w:cs="Arial" w:eastAsia="Arial" w:hint="default"/>
                <w:sz w:val="20"/>
                <w:szCs w:val="20"/>
              </w:rPr>
            </w:pPr>
            <w:r>
              <w:rPr>
                <w:rFonts w:ascii="Arial"/>
                <w:sz w:val="20"/>
              </w:rPr>
              <w:t>2,645,898</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5"/>
              <w:jc w:val="right"/>
              <w:rPr>
                <w:rFonts w:ascii="Arial" w:hAnsi="Arial" w:cs="Arial" w:eastAsia="Arial" w:hint="default"/>
                <w:sz w:val="20"/>
                <w:szCs w:val="20"/>
              </w:rPr>
            </w:pPr>
            <w:r>
              <w:rPr>
                <w:rFonts w:ascii="Arial"/>
                <w:w w:val="100"/>
                <w:sz w:val="20"/>
              </w:rPr>
              <w:t>-</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Arial" w:hAnsi="Arial" w:cs="Arial" w:eastAsia="Arial" w:hint="default"/>
                <w:sz w:val="20"/>
                <w:szCs w:val="20"/>
              </w:rPr>
            </w:pPr>
            <w:r>
              <w:rPr>
                <w:rFonts w:ascii="Arial"/>
                <w:spacing w:val="-1"/>
                <w:sz w:val="20"/>
              </w:rPr>
              <w:t>17,492,487</w:t>
            </w:r>
          </w:p>
        </w:tc>
      </w:tr>
      <w:tr>
        <w:trPr>
          <w:trHeight w:val="260"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软件著作权</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15,221,223</w:t>
            </w:r>
            <w:r>
              <w:rPr>
                <w:rFonts w:ascii="Arial"/>
                <w:spacing w:val="-1"/>
                <w:sz w:val="20"/>
              </w:rPr>
            </w:r>
          </w:p>
        </w:tc>
        <w:tc>
          <w:tcPr>
            <w:tcW w:w="1340"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15"/>
              <w:ind w:right="15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35"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8,173,778</w:t>
            </w:r>
            <w:r>
              <w:rPr>
                <w:rFonts w:ascii="Arial"/>
                <w:sz w:val="20"/>
              </w:rPr>
            </w:r>
          </w:p>
        </w:tc>
        <w:tc>
          <w:tcPr>
            <w:tcW w:w="1240"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15"/>
              <w:ind w:right="18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23,395,001</w:t>
            </w:r>
            <w:r>
              <w:rPr>
                <w:rFonts w:ascii="Arial"/>
                <w:spacing w:val="-1"/>
                <w:sz w:val="20"/>
              </w:rPr>
            </w:r>
          </w:p>
        </w:tc>
      </w:tr>
      <w:tr>
        <w:trPr>
          <w:trHeight w:val="386" w:hRule="exact"/>
        </w:trPr>
        <w:tc>
          <w:tcPr>
            <w:tcW w:w="1119" w:type="dxa"/>
            <w:tcBorders>
              <w:top w:val="nil" w:sz="6" w:space="0" w:color="auto"/>
              <w:left w:val="nil" w:sz="6" w:space="0" w:color="auto"/>
              <w:bottom w:val="nil" w:sz="6" w:space="0" w:color="auto"/>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7"/>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pacing w:val="-1"/>
                <w:sz w:val="20"/>
                <w:u w:val="thick" w:color="000000"/>
              </w:rPr>
              <w:t>41,274,841</w:t>
            </w:r>
            <w:r>
              <w:rPr>
                <w:rFonts w:ascii="Arial"/>
                <w:spacing w:val="-1"/>
                <w:sz w:val="20"/>
              </w:rPr>
            </w:r>
          </w:p>
        </w:tc>
        <w:tc>
          <w:tcPr>
            <w:tcW w:w="1340"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15"/>
              <w:ind w:right="156"/>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808" w:type="dxa"/>
            <w:tcBorders>
              <w:top w:val="nil" w:sz="6" w:space="0" w:color="auto"/>
              <w:left w:val="nil" w:sz="6" w:space="0" w:color="auto"/>
              <w:bottom w:val="nil" w:sz="6" w:space="0" w:color="auto"/>
              <w:right w:val="nil" w:sz="6" w:space="0" w:color="auto"/>
            </w:tcBorders>
          </w:tcPr>
          <w:p>
            <w:pPr>
              <w:pStyle w:val="TableParagraph"/>
              <w:spacing w:line="246" w:lineRule="exact"/>
              <w:ind w:left="224" w:right="0"/>
              <w:jc w:val="left"/>
              <w:rPr>
                <w:rFonts w:ascii="Arial" w:hAnsi="Arial" w:cs="Arial" w:eastAsia="Arial" w:hint="default"/>
                <w:sz w:val="20"/>
                <w:szCs w:val="20"/>
              </w:rPr>
            </w:pPr>
            <w:r>
              <w:rPr>
                <w:rFonts w:ascii="Arial" w:hAnsi="Arial" w:cs="Arial" w:eastAsia="Arial" w:hint="default"/>
                <w:w w:val="100"/>
                <w:sz w:val="20"/>
                <w:szCs w:val="20"/>
              </w:rPr>
            </w:r>
            <w:r>
              <w:rPr>
                <w:rFonts w:ascii="Arial" w:hAnsi="Arial" w:cs="Arial" w:eastAsia="Arial" w:hint="default"/>
                <w:sz w:val="20"/>
                <w:szCs w:val="20"/>
                <w:u w:val="thick" w:color="000000"/>
              </w:rPr>
              <w:t>17,240,404</w:t>
            </w:r>
            <w:r>
              <w:rPr>
                <w:rFonts w:ascii="Arial" w:hAnsi="Arial" w:cs="Arial" w:eastAsia="Arial" w:hint="default"/>
                <w:sz w:val="20"/>
                <w:szCs w:val="20"/>
              </w:rPr>
            </w:r>
            <w:r>
              <w:rPr>
                <w:rFonts w:ascii="Arial" w:hAnsi="Arial" w:cs="Arial" w:eastAsia="Arial" w:hint="default"/>
                <w:position w:val="1"/>
                <w:sz w:val="20"/>
                <w:szCs w:val="20"/>
              </w:rPr>
              <w:t>(</w:t>
            </w:r>
            <w:r>
              <w:rPr>
                <w:rFonts w:ascii="黑体" w:hAnsi="黑体" w:cs="黑体" w:eastAsia="黑体" w:hint="default"/>
                <w:position w:val="1"/>
                <w:sz w:val="20"/>
                <w:szCs w:val="20"/>
              </w:rPr>
              <w:t>注</w:t>
            </w:r>
            <w:r>
              <w:rPr>
                <w:rFonts w:ascii="黑体" w:hAnsi="黑体" w:cs="黑体" w:eastAsia="黑体" w:hint="default"/>
                <w:spacing w:val="-61"/>
                <w:position w:val="1"/>
                <w:sz w:val="20"/>
                <w:szCs w:val="20"/>
              </w:rPr>
              <w:t> </w:t>
            </w:r>
            <w:r>
              <w:rPr>
                <w:rFonts w:ascii="Arial" w:hAnsi="Arial" w:cs="Arial" w:eastAsia="Arial" w:hint="default"/>
                <w:position w:val="1"/>
                <w:sz w:val="20"/>
                <w:szCs w:val="20"/>
              </w:rPr>
              <w:t>1)</w:t>
            </w:r>
            <w:r>
              <w:rPr>
                <w:rFonts w:ascii="Arial" w:hAnsi="Arial" w:cs="Arial" w:eastAsia="Arial" w:hint="default"/>
                <w:sz w:val="20"/>
                <w:szCs w:val="20"/>
              </w:rPr>
            </w:r>
          </w:p>
        </w:tc>
        <w:tc>
          <w:tcPr>
            <w:tcW w:w="1240"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15"/>
              <w:ind w:right="184"/>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pacing w:val="-1"/>
                <w:sz w:val="20"/>
                <w:u w:val="thick" w:color="000000"/>
              </w:rPr>
              <w:t>58,515,245</w:t>
            </w:r>
            <w:r>
              <w:rPr>
                <w:rFonts w:ascii="Arial"/>
                <w:spacing w:val="-1"/>
                <w:sz w:val="20"/>
              </w:rPr>
            </w:r>
          </w:p>
        </w:tc>
      </w:tr>
      <w:tr>
        <w:trPr>
          <w:trHeight w:val="375"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黑体" w:hAnsi="黑体" w:cs="黑体" w:eastAsia="黑体" w:hint="default"/>
                <w:sz w:val="20"/>
                <w:szCs w:val="20"/>
              </w:rPr>
            </w:pPr>
            <w:r>
              <w:rPr>
                <w:rFonts w:ascii="黑体" w:hAnsi="黑体" w:cs="黑体" w:eastAsia="黑体" w:hint="default"/>
                <w:sz w:val="20"/>
                <w:szCs w:val="20"/>
              </w:rPr>
              <w:t>账面净值</w:t>
            </w:r>
          </w:p>
        </w:tc>
        <w:tc>
          <w:tcPr>
            <w:tcW w:w="1365"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
        </w:tc>
        <w:tc>
          <w:tcPr>
            <w:tcW w:w="1808" w:type="dxa"/>
            <w:tcBorders>
              <w:top w:val="nil" w:sz="6" w:space="0" w:color="auto"/>
              <w:left w:val="nil" w:sz="6" w:space="0" w:color="auto"/>
              <w:bottom w:val="nil" w:sz="6" w:space="0" w:color="auto"/>
              <w:right w:val="nil" w:sz="6" w:space="0" w:color="auto"/>
            </w:tcBorders>
          </w:tcPr>
          <w:p>
            <w:pPr/>
          </w:p>
        </w:tc>
        <w:tc>
          <w:tcPr>
            <w:tcW w:w="1240" w:type="dxa"/>
            <w:tcBorders>
              <w:top w:val="nil" w:sz="6" w:space="0" w:color="auto"/>
              <w:left w:val="nil" w:sz="6" w:space="0" w:color="auto"/>
              <w:bottom w:val="nil" w:sz="6" w:space="0" w:color="auto"/>
              <w:right w:val="nil" w:sz="6" w:space="0" w:color="auto"/>
            </w:tcBorders>
          </w:tcPr>
          <w:p>
            <w:pPr/>
          </w:p>
        </w:tc>
        <w:tc>
          <w:tcPr>
            <w:tcW w:w="1335" w:type="dxa"/>
            <w:tcBorders>
              <w:top w:val="nil" w:sz="6" w:space="0" w:color="auto"/>
              <w:left w:val="nil" w:sz="6" w:space="0" w:color="auto"/>
              <w:bottom w:val="nil" w:sz="6" w:space="0" w:color="auto"/>
              <w:right w:val="nil" w:sz="6" w:space="0" w:color="auto"/>
            </w:tcBorders>
          </w:tcPr>
          <w:p>
            <w:pPr/>
          </w:p>
        </w:tc>
      </w:tr>
      <w:tr>
        <w:trPr>
          <w:trHeight w:val="272"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31" w:lineRule="exact"/>
              <w:ind w:left="45" w:right="0"/>
              <w:jc w:val="left"/>
              <w:rPr>
                <w:rFonts w:ascii="黑体" w:hAnsi="黑体" w:cs="黑体" w:eastAsia="黑体" w:hint="default"/>
                <w:sz w:val="20"/>
                <w:szCs w:val="20"/>
              </w:rPr>
            </w:pPr>
            <w:r>
              <w:rPr>
                <w:rFonts w:ascii="黑体" w:hAnsi="黑体" w:cs="黑体" w:eastAsia="黑体" w:hint="default"/>
                <w:sz w:val="20"/>
                <w:szCs w:val="20"/>
              </w:rPr>
              <w:t>土地使用权</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77"/>
              <w:jc w:val="right"/>
              <w:rPr>
                <w:rFonts w:ascii="Arial" w:hAnsi="Arial" w:cs="Arial" w:eastAsia="Arial" w:hint="default"/>
                <w:sz w:val="20"/>
                <w:szCs w:val="20"/>
              </w:rPr>
            </w:pPr>
            <w:r>
              <w:rPr>
                <w:rFonts w:ascii="Arial"/>
                <w:spacing w:val="-1"/>
                <w:sz w:val="20"/>
              </w:rPr>
              <w:t>274,126,014</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56"/>
              <w:jc w:val="right"/>
              <w:rPr>
                <w:rFonts w:ascii="Arial" w:hAnsi="Arial" w:cs="Arial" w:eastAsia="Arial" w:hint="default"/>
                <w:sz w:val="20"/>
                <w:szCs w:val="20"/>
              </w:rPr>
            </w:pPr>
            <w:r>
              <w:rPr>
                <w:rFonts w:ascii="Arial"/>
                <w:w w:val="100"/>
                <w:sz w:val="20"/>
              </w:rPr>
              <w:t>-</w:t>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36" w:right="0"/>
              <w:jc w:val="left"/>
              <w:rPr>
                <w:rFonts w:ascii="Arial" w:hAnsi="Arial" w:cs="Arial" w:eastAsia="Arial" w:hint="default"/>
                <w:sz w:val="20"/>
                <w:szCs w:val="20"/>
              </w:rPr>
            </w:pPr>
            <w:r>
              <w:rPr>
                <w:rFonts w:ascii="Arial"/>
                <w:sz w:val="20"/>
              </w:rPr>
              <w:t>2,208,899</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84"/>
              <w:jc w:val="right"/>
              <w:rPr>
                <w:rFonts w:ascii="Arial" w:hAnsi="Arial" w:cs="Arial" w:eastAsia="Arial" w:hint="default"/>
                <w:sz w:val="20"/>
                <w:szCs w:val="20"/>
              </w:rPr>
            </w:pPr>
            <w:r>
              <w:rPr>
                <w:rFonts w:ascii="Arial"/>
                <w:w w:val="100"/>
                <w:sz w:val="20"/>
              </w:rPr>
              <w:t>-</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3"/>
              <w:jc w:val="right"/>
              <w:rPr>
                <w:rFonts w:ascii="Arial" w:hAnsi="Arial" w:cs="Arial" w:eastAsia="Arial" w:hint="default"/>
                <w:sz w:val="20"/>
                <w:szCs w:val="20"/>
              </w:rPr>
            </w:pPr>
            <w:r>
              <w:rPr>
                <w:rFonts w:ascii="Arial"/>
                <w:spacing w:val="-1"/>
                <w:sz w:val="20"/>
              </w:rPr>
              <w:t>276,334,913</w:t>
            </w:r>
          </w:p>
        </w:tc>
      </w:tr>
      <w:tr>
        <w:trPr>
          <w:trHeight w:val="260"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软件使用权</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9"/>
              <w:jc w:val="right"/>
              <w:rPr>
                <w:rFonts w:ascii="Arial" w:hAnsi="Arial" w:cs="Arial" w:eastAsia="Arial" w:hint="default"/>
                <w:sz w:val="20"/>
                <w:szCs w:val="20"/>
              </w:rPr>
            </w:pPr>
            <w:r>
              <w:rPr>
                <w:rFonts w:ascii="Arial"/>
                <w:spacing w:val="-1"/>
                <w:sz w:val="20"/>
              </w:rPr>
              <w:t>11,393,967</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6"/>
              <w:jc w:val="right"/>
              <w:rPr>
                <w:rFonts w:ascii="Arial" w:hAnsi="Arial" w:cs="Arial" w:eastAsia="Arial" w:hint="default"/>
                <w:sz w:val="20"/>
                <w:szCs w:val="20"/>
              </w:rPr>
            </w:pPr>
            <w:r>
              <w:rPr>
                <w:rFonts w:ascii="Arial"/>
                <w:w w:val="100"/>
                <w:sz w:val="20"/>
              </w:rPr>
              <w:t>-</w:t>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58" w:right="0"/>
              <w:jc w:val="left"/>
              <w:rPr>
                <w:rFonts w:ascii="Arial" w:hAnsi="Arial" w:cs="Arial" w:eastAsia="Arial" w:hint="default"/>
                <w:sz w:val="20"/>
                <w:szCs w:val="20"/>
              </w:rPr>
            </w:pPr>
            <w:r>
              <w:rPr>
                <w:rFonts w:ascii="Arial"/>
                <w:sz w:val="20"/>
              </w:rPr>
              <w:t>(</w:t>
            </w:r>
            <w:r>
              <w:rPr>
                <w:rFonts w:ascii="Arial"/>
                <w:spacing w:val="54"/>
                <w:sz w:val="20"/>
              </w:rPr>
              <w:t> </w:t>
            </w:r>
            <w:r>
              <w:rPr>
                <w:rFonts w:ascii="Arial"/>
                <w:sz w:val="20"/>
              </w:rPr>
              <w:t>2,645,898)</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85"/>
              <w:jc w:val="right"/>
              <w:rPr>
                <w:rFonts w:ascii="Arial" w:hAnsi="Arial" w:cs="Arial" w:eastAsia="Arial" w:hint="default"/>
                <w:sz w:val="20"/>
                <w:szCs w:val="20"/>
              </w:rPr>
            </w:pPr>
            <w:r>
              <w:rPr>
                <w:rFonts w:ascii="Arial"/>
                <w:w w:val="100"/>
                <w:sz w:val="20"/>
              </w:rPr>
              <w:t>-</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4"/>
              <w:jc w:val="right"/>
              <w:rPr>
                <w:rFonts w:ascii="Arial" w:hAnsi="Arial" w:cs="Arial" w:eastAsia="Arial" w:hint="default"/>
                <w:sz w:val="20"/>
                <w:szCs w:val="20"/>
              </w:rPr>
            </w:pPr>
            <w:r>
              <w:rPr>
                <w:rFonts w:ascii="Arial"/>
                <w:spacing w:val="-1"/>
                <w:sz w:val="20"/>
              </w:rPr>
              <w:t>8,748,069</w:t>
            </w:r>
          </w:p>
        </w:tc>
      </w:tr>
      <w:tr>
        <w:trPr>
          <w:trHeight w:val="268"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软件著作权</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43,852,698</w:t>
            </w:r>
            <w:r>
              <w:rPr>
                <w:rFonts w:ascii="Arial"/>
                <w:spacing w:val="-1"/>
                <w:sz w:val="20"/>
              </w:rPr>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6"/>
              <w:jc w:val="right"/>
              <w:rPr>
                <w:rFonts w:ascii="Arial" w:hAnsi="Arial" w:cs="Arial" w:eastAsia="Arial" w:hint="default"/>
                <w:sz w:val="20"/>
                <w:szCs w:val="20"/>
              </w:rPr>
            </w:pPr>
            <w:r>
              <w:rPr>
                <w:rFonts w:ascii="Arial"/>
                <w:w w:val="100"/>
                <w:sz w:val="20"/>
              </w:rPr>
            </w:r>
            <w:r>
              <w:rPr>
                <w:rFonts w:ascii="Arial"/>
                <w:spacing w:val="-1"/>
                <w:sz w:val="20"/>
                <w:u w:val="single" w:color="000000"/>
              </w:rPr>
              <w:t>20,635,876</w:t>
            </w:r>
            <w:r>
              <w:rPr>
                <w:rFonts w:ascii="Arial"/>
                <w:spacing w:val="-1"/>
                <w:sz w:val="20"/>
              </w:rPr>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58" w:right="0"/>
              <w:jc w:val="left"/>
              <w:rPr>
                <w:rFonts w:ascii="Arial" w:hAnsi="Arial" w:cs="Arial" w:eastAsia="Arial" w:hint="default"/>
                <w:sz w:val="20"/>
                <w:szCs w:val="20"/>
              </w:rPr>
            </w:pPr>
            <w:r>
              <w:rPr>
                <w:rFonts w:ascii="Arial"/>
                <w:sz w:val="20"/>
              </w:rPr>
              <w:t>(</w:t>
            </w:r>
            <w:r>
              <w:rPr>
                <w:rFonts w:ascii="Arial"/>
                <w:spacing w:val="47"/>
                <w:sz w:val="20"/>
              </w:rPr>
              <w:t> </w:t>
            </w:r>
            <w:r>
              <w:rPr>
                <w:rFonts w:ascii="Arial"/>
                <w:spacing w:val="47"/>
                <w:sz w:val="20"/>
                <w:u w:val="single" w:color="000000"/>
              </w:rPr>
              <w:t> </w:t>
            </w:r>
            <w:r>
              <w:rPr>
                <w:rFonts w:ascii="Arial"/>
                <w:sz w:val="20"/>
                <w:u w:val="single" w:color="000000"/>
              </w:rPr>
              <w:t>8,173,778</w:t>
            </w:r>
            <w:r>
              <w:rPr>
                <w:rFonts w:ascii="Arial"/>
                <w:sz w:val="20"/>
              </w:rPr>
              <w:t>)</w:t>
            </w:r>
          </w:p>
        </w:tc>
        <w:tc>
          <w:tcPr>
            <w:tcW w:w="1240"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15"/>
              <w:ind w:right="18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56,314,796</w:t>
            </w:r>
            <w:r>
              <w:rPr>
                <w:rFonts w:ascii="Arial"/>
                <w:spacing w:val="-1"/>
                <w:sz w:val="20"/>
              </w:rPr>
            </w:r>
          </w:p>
        </w:tc>
      </w:tr>
      <w:tr>
        <w:trPr>
          <w:trHeight w:val="373" w:hRule="exact"/>
        </w:trPr>
        <w:tc>
          <w:tcPr>
            <w:tcW w:w="1119" w:type="dxa"/>
            <w:tcBorders>
              <w:top w:val="nil" w:sz="6" w:space="0" w:color="auto"/>
              <w:left w:val="nil" w:sz="6" w:space="0" w:color="auto"/>
              <w:bottom w:val="nil" w:sz="6" w:space="0" w:color="auto"/>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77"/>
              <w:jc w:val="right"/>
              <w:rPr>
                <w:rFonts w:ascii="Arial" w:hAnsi="Arial" w:cs="Arial" w:eastAsia="Arial" w:hint="default"/>
                <w:sz w:val="20"/>
                <w:szCs w:val="20"/>
              </w:rPr>
            </w:pPr>
            <w:r>
              <w:rPr>
                <w:rFonts w:ascii="Arial"/>
                <w:w w:val="100"/>
                <w:sz w:val="20"/>
              </w:rPr>
            </w:r>
            <w:r>
              <w:rPr>
                <w:rFonts w:ascii="Arial"/>
                <w:spacing w:val="-1"/>
                <w:sz w:val="20"/>
                <w:u w:val="thick" w:color="000000"/>
              </w:rPr>
              <w:t>329,372,679</w:t>
            </w:r>
            <w:r>
              <w:rPr>
                <w:rFonts w:ascii="Arial"/>
                <w:spacing w:val="-1"/>
                <w:sz w:val="20"/>
              </w:rPr>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56"/>
              <w:jc w:val="right"/>
              <w:rPr>
                <w:rFonts w:ascii="Arial" w:hAnsi="Arial" w:cs="Arial" w:eastAsia="Arial" w:hint="default"/>
                <w:sz w:val="20"/>
                <w:szCs w:val="20"/>
              </w:rPr>
            </w:pPr>
            <w:r>
              <w:rPr>
                <w:rFonts w:ascii="Arial"/>
                <w:w w:val="100"/>
                <w:sz w:val="20"/>
              </w:rPr>
            </w:r>
            <w:r>
              <w:rPr>
                <w:rFonts w:ascii="Arial"/>
                <w:spacing w:val="-1"/>
                <w:sz w:val="20"/>
                <w:u w:val="thick" w:color="000000"/>
              </w:rPr>
              <w:t>20,635,876</w:t>
            </w:r>
            <w:r>
              <w:rPr>
                <w:rFonts w:ascii="Arial"/>
                <w:spacing w:val="-1"/>
                <w:sz w:val="20"/>
              </w:rPr>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2"/>
              <w:ind w:left="158" w:right="0"/>
              <w:jc w:val="left"/>
              <w:rPr>
                <w:rFonts w:ascii="Arial" w:hAnsi="Arial" w:cs="Arial" w:eastAsia="Arial" w:hint="default"/>
                <w:sz w:val="20"/>
                <w:szCs w:val="20"/>
              </w:rPr>
            </w:pPr>
            <w:r>
              <w:rPr>
                <w:rFonts w:ascii="Arial"/>
                <w:sz w:val="20"/>
              </w:rPr>
              <w:t>(</w:t>
            </w:r>
            <w:r>
              <w:rPr>
                <w:rFonts w:ascii="Arial"/>
                <w:spacing w:val="47"/>
                <w:sz w:val="20"/>
              </w:rPr>
              <w:t> </w:t>
            </w:r>
            <w:r>
              <w:rPr>
                <w:rFonts w:ascii="Arial"/>
                <w:spacing w:val="47"/>
                <w:sz w:val="20"/>
                <w:u w:val="thick" w:color="000000"/>
              </w:rPr>
              <w:t> </w:t>
            </w:r>
            <w:r>
              <w:rPr>
                <w:rFonts w:ascii="Arial"/>
                <w:sz w:val="20"/>
                <w:u w:val="thick" w:color="000000"/>
              </w:rPr>
              <w:t>8,610,777</w:t>
            </w:r>
            <w:r>
              <w:rPr>
                <w:rFonts w:ascii="Arial"/>
                <w:sz w:val="20"/>
              </w:rPr>
              <w:t>)</w:t>
            </w:r>
          </w:p>
        </w:tc>
        <w:tc>
          <w:tcPr>
            <w:tcW w:w="1240"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2"/>
              <w:ind w:right="184"/>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341,397,778</w:t>
            </w:r>
            <w:r>
              <w:rPr>
                <w:rFonts w:ascii="Arial"/>
                <w:spacing w:val="-1"/>
                <w:sz w:val="20"/>
              </w:rPr>
            </w:r>
          </w:p>
        </w:tc>
      </w:tr>
      <w:tr>
        <w:trPr>
          <w:trHeight w:val="375"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黑体" w:hAnsi="黑体" w:cs="黑体" w:eastAsia="黑体" w:hint="default"/>
                <w:sz w:val="20"/>
                <w:szCs w:val="20"/>
              </w:rPr>
            </w:pPr>
            <w:r>
              <w:rPr>
                <w:rFonts w:ascii="黑体" w:hAnsi="黑体" w:cs="黑体" w:eastAsia="黑体" w:hint="default"/>
                <w:sz w:val="20"/>
                <w:szCs w:val="20"/>
              </w:rPr>
              <w:t>减值准备</w:t>
            </w:r>
          </w:p>
        </w:tc>
        <w:tc>
          <w:tcPr>
            <w:tcW w:w="1365"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
        </w:tc>
        <w:tc>
          <w:tcPr>
            <w:tcW w:w="1808" w:type="dxa"/>
            <w:tcBorders>
              <w:top w:val="nil" w:sz="6" w:space="0" w:color="auto"/>
              <w:left w:val="nil" w:sz="6" w:space="0" w:color="auto"/>
              <w:bottom w:val="nil" w:sz="6" w:space="0" w:color="auto"/>
              <w:right w:val="nil" w:sz="6" w:space="0" w:color="auto"/>
            </w:tcBorders>
          </w:tcPr>
          <w:p>
            <w:pPr/>
          </w:p>
        </w:tc>
        <w:tc>
          <w:tcPr>
            <w:tcW w:w="1240" w:type="dxa"/>
            <w:tcBorders>
              <w:top w:val="nil" w:sz="6" w:space="0" w:color="auto"/>
              <w:left w:val="nil" w:sz="6" w:space="0" w:color="auto"/>
              <w:bottom w:val="nil" w:sz="6" w:space="0" w:color="auto"/>
              <w:right w:val="nil" w:sz="6" w:space="0" w:color="auto"/>
            </w:tcBorders>
          </w:tcPr>
          <w:p>
            <w:pPr/>
          </w:p>
        </w:tc>
        <w:tc>
          <w:tcPr>
            <w:tcW w:w="1335" w:type="dxa"/>
            <w:tcBorders>
              <w:top w:val="nil" w:sz="6" w:space="0" w:color="auto"/>
              <w:left w:val="nil" w:sz="6" w:space="0" w:color="auto"/>
              <w:bottom w:val="nil" w:sz="6" w:space="0" w:color="auto"/>
              <w:right w:val="nil" w:sz="6" w:space="0" w:color="auto"/>
            </w:tcBorders>
          </w:tcPr>
          <w:p>
            <w:pPr/>
          </w:p>
        </w:tc>
      </w:tr>
      <w:tr>
        <w:trPr>
          <w:trHeight w:val="271"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31" w:lineRule="exact"/>
              <w:ind w:left="45" w:right="0"/>
              <w:jc w:val="left"/>
              <w:rPr>
                <w:rFonts w:ascii="黑体" w:hAnsi="黑体" w:cs="黑体" w:eastAsia="黑体" w:hint="default"/>
                <w:sz w:val="20"/>
                <w:szCs w:val="20"/>
              </w:rPr>
            </w:pPr>
            <w:r>
              <w:rPr>
                <w:rFonts w:ascii="黑体" w:hAnsi="黑体" w:cs="黑体" w:eastAsia="黑体" w:hint="default"/>
                <w:sz w:val="20"/>
                <w:szCs w:val="20"/>
              </w:rPr>
              <w:t>土地使用权</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79"/>
              <w:jc w:val="right"/>
              <w:rPr>
                <w:rFonts w:ascii="Arial" w:hAnsi="Arial" w:cs="Arial" w:eastAsia="Arial" w:hint="default"/>
                <w:sz w:val="20"/>
                <w:szCs w:val="20"/>
              </w:rPr>
            </w:pPr>
            <w:r>
              <w:rPr>
                <w:rFonts w:ascii="Arial"/>
                <w:w w:val="100"/>
                <w:sz w:val="20"/>
              </w:rPr>
              <w:t>-</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56"/>
              <w:jc w:val="right"/>
              <w:rPr>
                <w:rFonts w:ascii="Arial" w:hAnsi="Arial" w:cs="Arial" w:eastAsia="Arial" w:hint="default"/>
                <w:sz w:val="20"/>
                <w:szCs w:val="20"/>
              </w:rPr>
            </w:pPr>
            <w:r>
              <w:rPr>
                <w:rFonts w:ascii="Arial"/>
                <w:w w:val="100"/>
                <w:sz w:val="20"/>
              </w:rPr>
              <w:t>-</w:t>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159" w:right="0"/>
              <w:jc w:val="left"/>
              <w:rPr>
                <w:rFonts w:ascii="Arial" w:hAnsi="Arial" w:cs="Arial" w:eastAsia="Arial" w:hint="default"/>
                <w:sz w:val="20"/>
                <w:szCs w:val="20"/>
              </w:rPr>
            </w:pPr>
            <w:r>
              <w:rPr>
                <w:rFonts w:ascii="Arial"/>
                <w:w w:val="100"/>
                <w:sz w:val="20"/>
              </w:rPr>
              <w:t>-</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86"/>
              <w:jc w:val="right"/>
              <w:rPr>
                <w:rFonts w:ascii="Arial" w:hAnsi="Arial" w:cs="Arial" w:eastAsia="Arial" w:hint="default"/>
                <w:sz w:val="20"/>
                <w:szCs w:val="20"/>
              </w:rPr>
            </w:pPr>
            <w:r>
              <w:rPr>
                <w:rFonts w:ascii="Arial"/>
                <w:w w:val="100"/>
                <w:sz w:val="20"/>
              </w:rPr>
              <w:t>-</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4"/>
              <w:jc w:val="right"/>
              <w:rPr>
                <w:rFonts w:ascii="Arial" w:hAnsi="Arial" w:cs="Arial" w:eastAsia="Arial" w:hint="default"/>
                <w:sz w:val="20"/>
                <w:szCs w:val="20"/>
              </w:rPr>
            </w:pPr>
            <w:r>
              <w:rPr>
                <w:rFonts w:ascii="Arial"/>
                <w:w w:val="100"/>
                <w:sz w:val="20"/>
              </w:rPr>
              <w:t>-</w:t>
            </w:r>
          </w:p>
        </w:tc>
      </w:tr>
      <w:tr>
        <w:trPr>
          <w:trHeight w:val="259"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软件使用权</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8"/>
              <w:jc w:val="right"/>
              <w:rPr>
                <w:rFonts w:ascii="Arial" w:hAnsi="Arial" w:cs="Arial" w:eastAsia="Arial" w:hint="default"/>
                <w:sz w:val="20"/>
                <w:szCs w:val="20"/>
              </w:rPr>
            </w:pPr>
            <w:r>
              <w:rPr>
                <w:rFonts w:ascii="Arial"/>
                <w:spacing w:val="-1"/>
                <w:sz w:val="20"/>
              </w:rPr>
              <w:t>60,649</w:t>
            </w:r>
            <w:r>
              <w:rPr>
                <w:rFonts w:ascii="Arial"/>
                <w:sz w:val="20"/>
              </w:rPr>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6"/>
              <w:jc w:val="right"/>
              <w:rPr>
                <w:rFonts w:ascii="Arial" w:hAnsi="Arial" w:cs="Arial" w:eastAsia="Arial" w:hint="default"/>
                <w:sz w:val="20"/>
                <w:szCs w:val="20"/>
              </w:rPr>
            </w:pPr>
            <w:r>
              <w:rPr>
                <w:rFonts w:ascii="Arial"/>
                <w:w w:val="100"/>
                <w:sz w:val="20"/>
              </w:rPr>
              <w:t>-</w:t>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35" w:right="0"/>
              <w:jc w:val="left"/>
              <w:rPr>
                <w:rFonts w:ascii="Arial" w:hAnsi="Arial" w:cs="Arial" w:eastAsia="Arial" w:hint="default"/>
                <w:sz w:val="20"/>
                <w:szCs w:val="20"/>
              </w:rPr>
            </w:pPr>
            <w:r>
              <w:rPr>
                <w:rFonts w:ascii="Arial"/>
                <w:sz w:val="20"/>
              </w:rPr>
              <w:t>3,600,000</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5"/>
              <w:jc w:val="right"/>
              <w:rPr>
                <w:rFonts w:ascii="Arial" w:hAnsi="Arial" w:cs="Arial" w:eastAsia="Arial" w:hint="default"/>
                <w:sz w:val="20"/>
                <w:szCs w:val="20"/>
              </w:rPr>
            </w:pPr>
            <w:r>
              <w:rPr>
                <w:rFonts w:ascii="Arial"/>
                <w:w w:val="100"/>
                <w:sz w:val="20"/>
              </w:rPr>
              <w:t>-</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Arial" w:hAnsi="Arial" w:cs="Arial" w:eastAsia="Arial" w:hint="default"/>
                <w:sz w:val="20"/>
                <w:szCs w:val="20"/>
              </w:rPr>
            </w:pPr>
            <w:r>
              <w:rPr>
                <w:rFonts w:ascii="Arial"/>
                <w:spacing w:val="-1"/>
                <w:sz w:val="20"/>
              </w:rPr>
              <w:t>3,660,649</w:t>
            </w:r>
          </w:p>
        </w:tc>
      </w:tr>
      <w:tr>
        <w:trPr>
          <w:trHeight w:val="268"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软件著作权</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4,022,801</w:t>
            </w:r>
            <w:r>
              <w:rPr>
                <w:rFonts w:ascii="Arial"/>
                <w:sz w:val="20"/>
              </w:rPr>
            </w:r>
          </w:p>
        </w:tc>
        <w:tc>
          <w:tcPr>
            <w:tcW w:w="1340"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15"/>
              <w:ind w:right="15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808" w:type="dxa"/>
            <w:tcBorders>
              <w:top w:val="nil" w:sz="6" w:space="0" w:color="auto"/>
              <w:left w:val="nil" w:sz="6" w:space="0" w:color="auto"/>
              <w:bottom w:val="nil" w:sz="6" w:space="0" w:color="auto"/>
              <w:right w:val="nil" w:sz="6" w:space="0" w:color="auto"/>
            </w:tcBorders>
          </w:tcPr>
          <w:p>
            <w:pPr>
              <w:pStyle w:val="TableParagraph"/>
              <w:tabs>
                <w:tab w:pos="1159" w:val="left" w:leader="none"/>
              </w:tabs>
              <w:spacing w:line="240" w:lineRule="auto" w:before="15"/>
              <w:ind w:left="260"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240"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15"/>
              <w:ind w:right="18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4,022,801</w:t>
            </w:r>
            <w:r>
              <w:rPr>
                <w:rFonts w:ascii="Arial"/>
                <w:sz w:val="20"/>
              </w:rPr>
            </w:r>
          </w:p>
        </w:tc>
      </w:tr>
      <w:tr>
        <w:trPr>
          <w:trHeight w:val="373" w:hRule="exact"/>
        </w:trPr>
        <w:tc>
          <w:tcPr>
            <w:tcW w:w="1119" w:type="dxa"/>
            <w:tcBorders>
              <w:top w:val="nil" w:sz="6" w:space="0" w:color="auto"/>
              <w:left w:val="nil" w:sz="6" w:space="0" w:color="auto"/>
              <w:bottom w:val="nil" w:sz="6" w:space="0" w:color="auto"/>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77"/>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24"/>
                <w:sz w:val="20"/>
                <w:u w:val="thick" w:color="000000"/>
              </w:rPr>
              <w:t> </w:t>
            </w:r>
            <w:r>
              <w:rPr>
                <w:rFonts w:ascii="Arial"/>
                <w:sz w:val="20"/>
                <w:u w:val="thick" w:color="000000"/>
              </w:rPr>
              <w:t>4,083,450</w:t>
            </w:r>
            <w:r>
              <w:rPr>
                <w:rFonts w:ascii="Arial"/>
                <w:sz w:val="20"/>
              </w:rPr>
            </w:r>
          </w:p>
        </w:tc>
        <w:tc>
          <w:tcPr>
            <w:tcW w:w="1340"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2"/>
              <w:ind w:right="156"/>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35"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z w:val="20"/>
                <w:u w:val="thick" w:color="000000"/>
              </w:rPr>
              <w:t>3,600,000</w:t>
            </w:r>
            <w:r>
              <w:rPr>
                <w:rFonts w:ascii="Arial"/>
                <w:sz w:val="20"/>
              </w:rPr>
            </w:r>
          </w:p>
        </w:tc>
        <w:tc>
          <w:tcPr>
            <w:tcW w:w="1240"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2"/>
              <w:ind w:right="184"/>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24"/>
                <w:sz w:val="20"/>
                <w:u w:val="thick" w:color="000000"/>
              </w:rPr>
              <w:t> </w:t>
            </w:r>
            <w:r>
              <w:rPr>
                <w:rFonts w:ascii="Arial"/>
                <w:sz w:val="20"/>
                <w:u w:val="thick" w:color="000000"/>
              </w:rPr>
              <w:t>7,683,450</w:t>
            </w:r>
            <w:r>
              <w:rPr>
                <w:rFonts w:ascii="Arial"/>
                <w:sz w:val="20"/>
              </w:rPr>
            </w:r>
          </w:p>
        </w:tc>
      </w:tr>
      <w:tr>
        <w:trPr>
          <w:trHeight w:val="376"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45" w:right="0"/>
              <w:jc w:val="left"/>
              <w:rPr>
                <w:rFonts w:ascii="黑体" w:hAnsi="黑体" w:cs="黑体" w:eastAsia="黑体" w:hint="default"/>
                <w:sz w:val="20"/>
                <w:szCs w:val="20"/>
              </w:rPr>
            </w:pPr>
            <w:r>
              <w:rPr>
                <w:rFonts w:ascii="黑体" w:hAnsi="黑体" w:cs="黑体" w:eastAsia="黑体" w:hint="default"/>
                <w:sz w:val="20"/>
                <w:szCs w:val="20"/>
              </w:rPr>
              <w:t>账面价值</w:t>
            </w:r>
          </w:p>
        </w:tc>
        <w:tc>
          <w:tcPr>
            <w:tcW w:w="1365"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
        </w:tc>
        <w:tc>
          <w:tcPr>
            <w:tcW w:w="1808" w:type="dxa"/>
            <w:tcBorders>
              <w:top w:val="nil" w:sz="6" w:space="0" w:color="auto"/>
              <w:left w:val="nil" w:sz="6" w:space="0" w:color="auto"/>
              <w:bottom w:val="nil" w:sz="6" w:space="0" w:color="auto"/>
              <w:right w:val="nil" w:sz="6" w:space="0" w:color="auto"/>
            </w:tcBorders>
          </w:tcPr>
          <w:p>
            <w:pPr/>
          </w:p>
        </w:tc>
        <w:tc>
          <w:tcPr>
            <w:tcW w:w="1240" w:type="dxa"/>
            <w:tcBorders>
              <w:top w:val="nil" w:sz="6" w:space="0" w:color="auto"/>
              <w:left w:val="nil" w:sz="6" w:space="0" w:color="auto"/>
              <w:bottom w:val="nil" w:sz="6" w:space="0" w:color="auto"/>
              <w:right w:val="nil" w:sz="6" w:space="0" w:color="auto"/>
            </w:tcBorders>
          </w:tcPr>
          <w:p>
            <w:pPr/>
          </w:p>
        </w:tc>
        <w:tc>
          <w:tcPr>
            <w:tcW w:w="1335" w:type="dxa"/>
            <w:tcBorders>
              <w:top w:val="nil" w:sz="6" w:space="0" w:color="auto"/>
              <w:left w:val="nil" w:sz="6" w:space="0" w:color="auto"/>
              <w:bottom w:val="nil" w:sz="6" w:space="0" w:color="auto"/>
              <w:right w:val="nil" w:sz="6" w:space="0" w:color="auto"/>
            </w:tcBorders>
          </w:tcPr>
          <w:p>
            <w:pPr/>
          </w:p>
        </w:tc>
      </w:tr>
      <w:tr>
        <w:trPr>
          <w:trHeight w:val="272"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32" w:lineRule="exact"/>
              <w:ind w:left="45" w:right="0"/>
              <w:jc w:val="left"/>
              <w:rPr>
                <w:rFonts w:ascii="黑体" w:hAnsi="黑体" w:cs="黑体" w:eastAsia="黑体" w:hint="default"/>
                <w:sz w:val="20"/>
                <w:szCs w:val="20"/>
              </w:rPr>
            </w:pPr>
            <w:r>
              <w:rPr>
                <w:rFonts w:ascii="黑体" w:hAnsi="黑体" w:cs="黑体" w:eastAsia="黑体" w:hint="default"/>
                <w:sz w:val="20"/>
                <w:szCs w:val="20"/>
              </w:rPr>
              <w:t>土地使用权</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7"/>
              <w:jc w:val="right"/>
              <w:rPr>
                <w:rFonts w:ascii="Arial" w:hAnsi="Arial" w:cs="Arial" w:eastAsia="Arial" w:hint="default"/>
                <w:sz w:val="20"/>
                <w:szCs w:val="20"/>
              </w:rPr>
            </w:pPr>
            <w:r>
              <w:rPr>
                <w:rFonts w:ascii="Arial"/>
                <w:spacing w:val="-1"/>
                <w:sz w:val="20"/>
              </w:rPr>
              <w:t>274,126,014</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56"/>
              <w:jc w:val="right"/>
              <w:rPr>
                <w:rFonts w:ascii="Arial" w:hAnsi="Arial" w:cs="Arial" w:eastAsia="Arial" w:hint="default"/>
                <w:sz w:val="20"/>
                <w:szCs w:val="20"/>
              </w:rPr>
            </w:pPr>
            <w:r>
              <w:rPr>
                <w:rFonts w:ascii="Arial"/>
                <w:w w:val="100"/>
                <w:sz w:val="20"/>
              </w:rPr>
              <w:t>-</w:t>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36" w:right="0"/>
              <w:jc w:val="left"/>
              <w:rPr>
                <w:rFonts w:ascii="Arial" w:hAnsi="Arial" w:cs="Arial" w:eastAsia="Arial" w:hint="default"/>
                <w:sz w:val="20"/>
                <w:szCs w:val="20"/>
              </w:rPr>
            </w:pPr>
            <w:r>
              <w:rPr>
                <w:rFonts w:ascii="Arial"/>
                <w:sz w:val="20"/>
              </w:rPr>
              <w:t>2,208,899</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4"/>
              <w:jc w:val="right"/>
              <w:rPr>
                <w:rFonts w:ascii="Arial" w:hAnsi="Arial" w:cs="Arial" w:eastAsia="Arial" w:hint="default"/>
                <w:sz w:val="20"/>
                <w:szCs w:val="20"/>
              </w:rPr>
            </w:pPr>
            <w:r>
              <w:rPr>
                <w:rFonts w:ascii="Arial"/>
                <w:w w:val="100"/>
                <w:sz w:val="20"/>
              </w:rPr>
              <w:t>-</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Arial" w:hAnsi="Arial" w:cs="Arial" w:eastAsia="Arial" w:hint="default"/>
                <w:sz w:val="20"/>
                <w:szCs w:val="20"/>
              </w:rPr>
            </w:pPr>
            <w:r>
              <w:rPr>
                <w:rFonts w:ascii="Arial"/>
                <w:spacing w:val="-1"/>
                <w:sz w:val="20"/>
              </w:rPr>
              <w:t>276,334,913</w:t>
            </w:r>
          </w:p>
        </w:tc>
      </w:tr>
      <w:tr>
        <w:trPr>
          <w:trHeight w:val="259"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软件使用权</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9"/>
              <w:jc w:val="right"/>
              <w:rPr>
                <w:rFonts w:ascii="Arial" w:hAnsi="Arial" w:cs="Arial" w:eastAsia="Arial" w:hint="default"/>
                <w:sz w:val="20"/>
                <w:szCs w:val="20"/>
              </w:rPr>
            </w:pPr>
            <w:r>
              <w:rPr>
                <w:rFonts w:ascii="Arial"/>
                <w:spacing w:val="-1"/>
                <w:sz w:val="20"/>
              </w:rPr>
              <w:t>11,333,318</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6"/>
              <w:jc w:val="right"/>
              <w:rPr>
                <w:rFonts w:ascii="Arial" w:hAnsi="Arial" w:cs="Arial" w:eastAsia="Arial" w:hint="default"/>
                <w:sz w:val="20"/>
                <w:szCs w:val="20"/>
              </w:rPr>
            </w:pPr>
            <w:r>
              <w:rPr>
                <w:rFonts w:ascii="Arial"/>
                <w:w w:val="100"/>
                <w:sz w:val="20"/>
              </w:rPr>
              <w:t>-</w:t>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58" w:right="0"/>
              <w:jc w:val="left"/>
              <w:rPr>
                <w:rFonts w:ascii="Arial" w:hAnsi="Arial" w:cs="Arial" w:eastAsia="Arial" w:hint="default"/>
                <w:sz w:val="20"/>
                <w:szCs w:val="20"/>
              </w:rPr>
            </w:pPr>
            <w:r>
              <w:rPr>
                <w:rFonts w:ascii="Arial"/>
                <w:sz w:val="20"/>
              </w:rPr>
              <w:t>(</w:t>
            </w:r>
            <w:r>
              <w:rPr>
                <w:rFonts w:ascii="Arial"/>
                <w:spacing w:val="54"/>
                <w:sz w:val="20"/>
              </w:rPr>
              <w:t> </w:t>
            </w:r>
            <w:r>
              <w:rPr>
                <w:rFonts w:ascii="Arial"/>
                <w:sz w:val="20"/>
              </w:rPr>
              <w:t>6,245,898)</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5"/>
              <w:jc w:val="right"/>
              <w:rPr>
                <w:rFonts w:ascii="Arial" w:hAnsi="Arial" w:cs="Arial" w:eastAsia="Arial" w:hint="default"/>
                <w:sz w:val="20"/>
                <w:szCs w:val="20"/>
              </w:rPr>
            </w:pPr>
            <w:r>
              <w:rPr>
                <w:rFonts w:ascii="Arial"/>
                <w:w w:val="100"/>
                <w:sz w:val="20"/>
              </w:rPr>
              <w:t>-</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Arial" w:hAnsi="Arial" w:cs="Arial" w:eastAsia="Arial" w:hint="default"/>
                <w:sz w:val="20"/>
                <w:szCs w:val="20"/>
              </w:rPr>
            </w:pPr>
            <w:r>
              <w:rPr>
                <w:rFonts w:ascii="Arial"/>
                <w:spacing w:val="-1"/>
                <w:sz w:val="20"/>
              </w:rPr>
              <w:t>5,087,420</w:t>
            </w:r>
          </w:p>
        </w:tc>
      </w:tr>
      <w:tr>
        <w:trPr>
          <w:trHeight w:val="268"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软件著作权</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39,829,897</w:t>
            </w:r>
            <w:r>
              <w:rPr>
                <w:rFonts w:ascii="Arial"/>
                <w:spacing w:val="-1"/>
                <w:sz w:val="20"/>
              </w:rPr>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6"/>
              <w:jc w:val="right"/>
              <w:rPr>
                <w:rFonts w:ascii="Arial" w:hAnsi="Arial" w:cs="Arial" w:eastAsia="Arial" w:hint="default"/>
                <w:sz w:val="20"/>
                <w:szCs w:val="20"/>
              </w:rPr>
            </w:pPr>
            <w:r>
              <w:rPr>
                <w:rFonts w:ascii="Arial"/>
                <w:w w:val="100"/>
                <w:sz w:val="20"/>
              </w:rPr>
            </w:r>
            <w:r>
              <w:rPr>
                <w:rFonts w:ascii="Arial"/>
                <w:spacing w:val="-1"/>
                <w:sz w:val="20"/>
                <w:u w:val="single" w:color="000000"/>
              </w:rPr>
              <w:t>20,635,876</w:t>
            </w:r>
            <w:r>
              <w:rPr>
                <w:rFonts w:ascii="Arial"/>
                <w:spacing w:val="-1"/>
                <w:sz w:val="20"/>
              </w:rPr>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58" w:right="0"/>
              <w:jc w:val="left"/>
              <w:rPr>
                <w:rFonts w:ascii="Arial" w:hAnsi="Arial" w:cs="Arial" w:eastAsia="Arial" w:hint="default"/>
                <w:sz w:val="20"/>
                <w:szCs w:val="20"/>
              </w:rPr>
            </w:pPr>
            <w:r>
              <w:rPr>
                <w:rFonts w:ascii="Arial"/>
                <w:sz w:val="20"/>
              </w:rPr>
              <w:t>(</w:t>
            </w:r>
            <w:r>
              <w:rPr>
                <w:rFonts w:ascii="Arial"/>
                <w:spacing w:val="47"/>
                <w:sz w:val="20"/>
              </w:rPr>
              <w:t> </w:t>
            </w:r>
            <w:r>
              <w:rPr>
                <w:rFonts w:ascii="Arial"/>
                <w:spacing w:val="47"/>
                <w:sz w:val="20"/>
                <w:u w:val="single" w:color="000000"/>
              </w:rPr>
              <w:t> </w:t>
            </w:r>
            <w:r>
              <w:rPr>
                <w:rFonts w:ascii="Arial"/>
                <w:sz w:val="20"/>
                <w:u w:val="single" w:color="000000"/>
              </w:rPr>
              <w:t>8,173,778</w:t>
            </w:r>
            <w:r>
              <w:rPr>
                <w:rFonts w:ascii="Arial"/>
                <w:sz w:val="20"/>
              </w:rPr>
              <w:t>)</w:t>
            </w:r>
          </w:p>
        </w:tc>
        <w:tc>
          <w:tcPr>
            <w:tcW w:w="1240"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15"/>
              <w:ind w:right="18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52,291,995</w:t>
            </w:r>
            <w:r>
              <w:rPr>
                <w:rFonts w:ascii="Arial"/>
                <w:spacing w:val="-1"/>
                <w:sz w:val="20"/>
              </w:rPr>
            </w:r>
          </w:p>
        </w:tc>
      </w:tr>
      <w:tr>
        <w:trPr>
          <w:trHeight w:val="328" w:hRule="exact"/>
        </w:trPr>
        <w:tc>
          <w:tcPr>
            <w:tcW w:w="1119" w:type="dxa"/>
            <w:tcBorders>
              <w:top w:val="nil" w:sz="6" w:space="0" w:color="auto"/>
              <w:left w:val="nil" w:sz="6" w:space="0" w:color="auto"/>
              <w:bottom w:val="nil" w:sz="6" w:space="0" w:color="auto"/>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77"/>
              <w:jc w:val="right"/>
              <w:rPr>
                <w:rFonts w:ascii="Arial" w:hAnsi="Arial" w:cs="Arial" w:eastAsia="Arial" w:hint="default"/>
                <w:sz w:val="20"/>
                <w:szCs w:val="20"/>
              </w:rPr>
            </w:pPr>
            <w:r>
              <w:rPr>
                <w:rFonts w:ascii="Arial"/>
                <w:w w:val="100"/>
                <w:sz w:val="20"/>
              </w:rPr>
            </w:r>
            <w:r>
              <w:rPr>
                <w:rFonts w:ascii="Arial"/>
                <w:spacing w:val="-1"/>
                <w:sz w:val="20"/>
                <w:u w:val="thick" w:color="000000"/>
              </w:rPr>
              <w:t>325,289,229</w:t>
            </w:r>
            <w:r>
              <w:rPr>
                <w:rFonts w:ascii="Arial"/>
                <w:spacing w:val="-1"/>
                <w:sz w:val="20"/>
              </w:rPr>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56"/>
              <w:jc w:val="right"/>
              <w:rPr>
                <w:rFonts w:ascii="Arial" w:hAnsi="Arial" w:cs="Arial" w:eastAsia="Arial" w:hint="default"/>
                <w:sz w:val="20"/>
                <w:szCs w:val="20"/>
              </w:rPr>
            </w:pPr>
            <w:r>
              <w:rPr>
                <w:rFonts w:ascii="Arial"/>
                <w:w w:val="100"/>
                <w:sz w:val="20"/>
              </w:rPr>
            </w:r>
            <w:r>
              <w:rPr>
                <w:rFonts w:ascii="Arial"/>
                <w:spacing w:val="-1"/>
                <w:sz w:val="20"/>
                <w:u w:val="thick" w:color="000000"/>
              </w:rPr>
              <w:t>20,635,876</w:t>
            </w:r>
            <w:r>
              <w:rPr>
                <w:rFonts w:ascii="Arial"/>
                <w:spacing w:val="-1"/>
                <w:sz w:val="20"/>
              </w:rPr>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2"/>
              <w:ind w:left="158" w:right="0"/>
              <w:jc w:val="left"/>
              <w:rPr>
                <w:rFonts w:ascii="Arial" w:hAnsi="Arial" w:cs="Arial" w:eastAsia="Arial" w:hint="default"/>
                <w:sz w:val="20"/>
                <w:szCs w:val="20"/>
              </w:rPr>
            </w:pPr>
            <w:r>
              <w:rPr>
                <w:rFonts w:ascii="Arial"/>
                <w:sz w:val="20"/>
              </w:rPr>
              <w:t>(</w:t>
            </w:r>
            <w:r>
              <w:rPr>
                <w:rFonts w:ascii="Arial"/>
                <w:sz w:val="20"/>
                <w:u w:val="thick" w:color="000000"/>
              </w:rPr>
              <w:t>12,210,777</w:t>
            </w:r>
            <w:r>
              <w:rPr>
                <w:rFonts w:ascii="Arial"/>
                <w:sz w:val="20"/>
              </w:rPr>
              <w:t>)</w:t>
            </w:r>
          </w:p>
        </w:tc>
        <w:tc>
          <w:tcPr>
            <w:tcW w:w="1240"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2"/>
              <w:ind w:right="184"/>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333,714,328</w:t>
            </w:r>
            <w:r>
              <w:rPr>
                <w:rFonts w:ascii="Arial"/>
                <w:spacing w:val="-1"/>
                <w:sz w:val="20"/>
              </w:rPr>
            </w:r>
          </w:p>
        </w:tc>
      </w:tr>
    </w:tbl>
    <w:p>
      <w:pPr>
        <w:spacing w:after="0" w:line="240" w:lineRule="auto"/>
        <w:jc w:val="right"/>
        <w:rPr>
          <w:rFonts w:ascii="Arial" w:hAnsi="Arial" w:cs="Arial" w:eastAsia="Arial" w:hint="default"/>
          <w:sz w:val="20"/>
          <w:szCs w:val="20"/>
        </w:rPr>
        <w:sectPr>
          <w:pgSz w:w="11910" w:h="16840"/>
          <w:pgMar w:header="958" w:footer="462" w:top="2540" w:bottom="660" w:left="1600" w:right="1220"/>
        </w:sectPr>
      </w:pP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16"/>
          <w:szCs w:val="16"/>
        </w:rPr>
      </w:pPr>
    </w:p>
    <w:p>
      <w:pPr>
        <w:tabs>
          <w:tab w:pos="803" w:val="left" w:leader="none"/>
        </w:tabs>
        <w:spacing w:before="38"/>
        <w:ind w:left="101" w:right="147"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2"/>
        <w:rPr>
          <w:rFonts w:ascii="黑体" w:hAnsi="黑体" w:cs="黑体" w:eastAsia="黑体" w:hint="default"/>
          <w:b/>
          <w:bCs/>
          <w:sz w:val="20"/>
          <w:szCs w:val="20"/>
        </w:rPr>
      </w:pPr>
    </w:p>
    <w:p>
      <w:pPr>
        <w:tabs>
          <w:tab w:pos="779" w:val="left" w:leader="none"/>
        </w:tabs>
        <w:spacing w:before="0"/>
        <w:ind w:left="101" w:right="147" w:firstLine="0"/>
        <w:jc w:val="left"/>
        <w:rPr>
          <w:rFonts w:ascii="黑体" w:hAnsi="黑体" w:cs="黑体" w:eastAsia="黑体" w:hint="default"/>
          <w:sz w:val="20"/>
          <w:szCs w:val="20"/>
        </w:rPr>
      </w:pPr>
      <w:r>
        <w:rPr>
          <w:rFonts w:ascii="Arial" w:hAnsi="Arial" w:cs="Arial" w:eastAsia="Arial" w:hint="default"/>
          <w:b/>
          <w:bCs/>
          <w:spacing w:val="-1"/>
          <w:sz w:val="20"/>
          <w:szCs w:val="20"/>
        </w:rPr>
        <w:t>14.</w:t>
        <w:tab/>
      </w:r>
      <w:r>
        <w:rPr>
          <w:rFonts w:ascii="黑体" w:hAnsi="黑体" w:cs="黑体" w:eastAsia="黑体" w:hint="default"/>
          <w:b/>
          <w:bCs/>
          <w:sz w:val="20"/>
          <w:szCs w:val="20"/>
        </w:rPr>
        <w:t>无形资产（续）</w:t>
      </w:r>
      <w:r>
        <w:rPr>
          <w:rFonts w:ascii="黑体" w:hAnsi="黑体" w:cs="黑体" w:eastAsia="黑体" w:hint="default"/>
          <w:sz w:val="20"/>
          <w:szCs w:val="20"/>
        </w:rPr>
      </w:r>
    </w:p>
    <w:p>
      <w:pPr>
        <w:spacing w:line="240" w:lineRule="auto" w:before="12"/>
        <w:rPr>
          <w:rFonts w:ascii="黑体" w:hAnsi="黑体" w:cs="黑体" w:eastAsia="黑体" w:hint="default"/>
          <w:b/>
          <w:bCs/>
          <w:sz w:val="17"/>
          <w:szCs w:val="17"/>
        </w:rPr>
      </w:pPr>
    </w:p>
    <w:p>
      <w:pPr>
        <w:pStyle w:val="BodyText"/>
        <w:spacing w:line="240" w:lineRule="auto"/>
        <w:ind w:left="797" w:right="7662"/>
        <w:jc w:val="center"/>
      </w:pPr>
      <w:r>
        <w:rPr>
          <w:rFonts w:ascii="Arial" w:hAnsi="Arial" w:cs="Arial" w:eastAsia="Arial" w:hint="default"/>
        </w:rPr>
        <w:t>2008</w:t>
      </w:r>
      <w:r>
        <w:rPr/>
        <w:t>年</w:t>
      </w:r>
    </w:p>
    <w:p>
      <w:pPr>
        <w:spacing w:line="240" w:lineRule="auto" w:before="7"/>
        <w:rPr>
          <w:rFonts w:ascii="黑体" w:hAnsi="黑体" w:cs="黑体" w:eastAsia="黑体" w:hint="default"/>
          <w:sz w:val="21"/>
          <w:szCs w:val="21"/>
        </w:rPr>
      </w:pPr>
    </w:p>
    <w:p>
      <w:pPr>
        <w:pStyle w:val="BodyText"/>
        <w:tabs>
          <w:tab w:pos="4247" w:val="left" w:leader="none"/>
          <w:tab w:pos="5155" w:val="left" w:leader="none"/>
          <w:tab w:pos="6718" w:val="left" w:leader="none"/>
          <w:tab w:pos="8393" w:val="left" w:leader="none"/>
        </w:tabs>
        <w:spacing w:line="247" w:lineRule="auto"/>
        <w:ind w:left="3727" w:right="147" w:hanging="1251"/>
        <w:jc w:val="left"/>
      </w:pPr>
      <w:r>
        <w:rPr/>
        <w:pict>
          <v:group style="position:absolute;margin-left:247.5pt;margin-top:14.559528pt;width:129.3pt;height:.5pt;mso-position-horizontal-relative:page;mso-position-vertical-relative:paragraph;z-index:-1132120" coordorigin="4950,291" coordsize="2586,10">
            <v:group style="position:absolute;left:4955;top:296;width:1424;height:2" coordorigin="4955,296" coordsize="1424,2">
              <v:shape style="position:absolute;left:4955;top:296;width:1424;height:2" coordorigin="4955,296" coordsize="1424,0" path="m4955,296l6378,296e" filled="false" stroked="true" strokeweight=".48pt" strokecolor="#000000">
                <v:path arrowok="t"/>
              </v:shape>
            </v:group>
            <v:group style="position:absolute;left:6378;top:296;width:1154;height:2" coordorigin="6378,296" coordsize="1154,2">
              <v:shape style="position:absolute;left:6378;top:296;width:1154;height:2" coordorigin="6378,296" coordsize="1154,0" path="m6378,296l7531,296e" filled="false" stroked="true" strokeweight=".48pt" strokecolor="#000000">
                <v:path arrowok="t"/>
              </v:shape>
            </v:group>
            <w10:wrap type="none"/>
          </v:group>
        </w:pict>
      </w:r>
      <w:r>
        <w:rPr/>
        <w:t>年初数</w:t>
        <w:tab/>
        <w:tab/>
        <w:t>本年增加</w:t>
        <w:tab/>
        <w:tab/>
        <w:t> 本年减少</w:t>
        <w:tab/>
        <w:t>年末数</w:t>
      </w:r>
      <w:r>
        <w:rPr>
          <w:spacing w:val="2"/>
        </w:rPr>
        <w:t> </w:t>
      </w:r>
      <w:r>
        <w:rPr>
          <w:spacing w:val="2"/>
        </w:rPr>
      </w:r>
      <w:r>
        <w:rPr/>
        <w:t>收购</w:t>
        <w:tab/>
        <w:tab/>
        <w:t>其他</w:t>
      </w:r>
    </w:p>
    <w:p>
      <w:pPr>
        <w:spacing w:line="240" w:lineRule="auto" w:before="10"/>
        <w:rPr>
          <w:rFonts w:ascii="黑体" w:hAnsi="黑体" w:cs="黑体" w:eastAsia="黑体" w:hint="default"/>
          <w:sz w:val="15"/>
          <w:szCs w:val="15"/>
        </w:rPr>
      </w:pPr>
    </w:p>
    <w:tbl>
      <w:tblPr>
        <w:tblW w:w="0" w:type="auto"/>
        <w:jc w:val="left"/>
        <w:tblInd w:w="775" w:type="dxa"/>
        <w:tblLayout w:type="fixed"/>
        <w:tblCellMar>
          <w:top w:w="0" w:type="dxa"/>
          <w:left w:w="0" w:type="dxa"/>
          <w:bottom w:w="0" w:type="dxa"/>
          <w:right w:w="0" w:type="dxa"/>
        </w:tblCellMar>
        <w:tblLook w:val="01E0"/>
      </w:tblPr>
      <w:tblGrid>
        <w:gridCol w:w="1119"/>
        <w:gridCol w:w="1393"/>
        <w:gridCol w:w="1352"/>
        <w:gridCol w:w="1891"/>
        <w:gridCol w:w="1170"/>
        <w:gridCol w:w="1330"/>
      </w:tblGrid>
      <w:tr>
        <w:trPr>
          <w:trHeight w:val="602"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5" w:right="69"/>
              <w:jc w:val="left"/>
              <w:rPr>
                <w:rFonts w:ascii="黑体" w:hAnsi="黑体" w:cs="黑体" w:eastAsia="黑体" w:hint="default"/>
                <w:sz w:val="20"/>
                <w:szCs w:val="20"/>
              </w:rPr>
            </w:pPr>
            <w:r>
              <w:rPr>
                <w:rFonts w:ascii="黑体" w:hAnsi="黑体" w:cs="黑体" w:eastAsia="黑体" w:hint="default"/>
                <w:sz w:val="20"/>
                <w:szCs w:val="20"/>
              </w:rPr>
              <w:t>原价</w:t>
            </w:r>
            <w:r>
              <w:rPr>
                <w:rFonts w:ascii="黑体" w:hAnsi="黑体" w:cs="黑体" w:eastAsia="黑体" w:hint="default"/>
                <w:w w:val="100"/>
                <w:sz w:val="20"/>
                <w:szCs w:val="20"/>
              </w:rPr>
              <w:t> </w:t>
            </w:r>
            <w:r>
              <w:rPr>
                <w:rFonts w:ascii="黑体" w:hAnsi="黑体" w:cs="黑体" w:eastAsia="黑体" w:hint="default"/>
                <w:sz w:val="20"/>
                <w:szCs w:val="20"/>
              </w:rPr>
              <w:t>土地使用权</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7"/>
                <w:szCs w:val="27"/>
              </w:rPr>
            </w:pPr>
          </w:p>
          <w:p>
            <w:pPr>
              <w:pStyle w:val="TableParagraph"/>
              <w:spacing w:line="240" w:lineRule="auto"/>
              <w:ind w:right="206"/>
              <w:jc w:val="right"/>
              <w:rPr>
                <w:rFonts w:ascii="Arial" w:hAnsi="Arial" w:cs="Arial" w:eastAsia="Arial" w:hint="default"/>
                <w:sz w:val="20"/>
                <w:szCs w:val="20"/>
              </w:rPr>
            </w:pPr>
            <w:r>
              <w:rPr>
                <w:rFonts w:ascii="Arial"/>
                <w:spacing w:val="-1"/>
                <w:sz w:val="20"/>
              </w:rPr>
              <w:t>77,887,591</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7"/>
                <w:szCs w:val="27"/>
              </w:rPr>
            </w:pPr>
          </w:p>
          <w:p>
            <w:pPr>
              <w:pStyle w:val="TableParagraph"/>
              <w:spacing w:line="240" w:lineRule="auto"/>
              <w:ind w:right="140"/>
              <w:jc w:val="right"/>
              <w:rPr>
                <w:rFonts w:ascii="Arial" w:hAnsi="Arial" w:cs="Arial" w:eastAsia="Arial" w:hint="default"/>
                <w:sz w:val="20"/>
                <w:szCs w:val="20"/>
              </w:rPr>
            </w:pPr>
            <w:r>
              <w:rPr>
                <w:rFonts w:ascii="Arial"/>
                <w:w w:val="100"/>
                <w:sz w:val="20"/>
              </w:rPr>
              <w:t>-</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7"/>
                <w:szCs w:val="27"/>
              </w:rPr>
            </w:pPr>
          </w:p>
          <w:p>
            <w:pPr>
              <w:pStyle w:val="TableParagraph"/>
              <w:spacing w:line="240" w:lineRule="auto"/>
              <w:ind w:left="186" w:right="0"/>
              <w:jc w:val="left"/>
              <w:rPr>
                <w:rFonts w:ascii="Arial" w:hAnsi="Arial" w:cs="Arial" w:eastAsia="Arial" w:hint="default"/>
                <w:sz w:val="20"/>
                <w:szCs w:val="20"/>
              </w:rPr>
            </w:pPr>
            <w:r>
              <w:rPr>
                <w:rFonts w:ascii="Arial"/>
                <w:sz w:val="20"/>
              </w:rPr>
              <w:t>209,794,872</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7"/>
                <w:szCs w:val="27"/>
              </w:rPr>
            </w:pPr>
          </w:p>
          <w:p>
            <w:pPr>
              <w:pStyle w:val="TableParagraph"/>
              <w:spacing w:line="240" w:lineRule="auto"/>
              <w:ind w:right="180"/>
              <w:jc w:val="right"/>
              <w:rPr>
                <w:rFonts w:ascii="Arial" w:hAnsi="Arial" w:cs="Arial" w:eastAsia="Arial" w:hint="default"/>
                <w:sz w:val="20"/>
                <w:szCs w:val="20"/>
              </w:rPr>
            </w:pPr>
            <w:r>
              <w:rPr>
                <w:rFonts w:ascii="Arial"/>
                <w:spacing w:val="-1"/>
                <w:sz w:val="20"/>
              </w:rPr>
              <w:t>2,349,420</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7"/>
                <w:szCs w:val="27"/>
              </w:rPr>
            </w:pPr>
          </w:p>
          <w:p>
            <w:pPr>
              <w:pStyle w:val="TableParagraph"/>
              <w:spacing w:line="240" w:lineRule="auto"/>
              <w:ind w:right="33"/>
              <w:jc w:val="right"/>
              <w:rPr>
                <w:rFonts w:ascii="Arial" w:hAnsi="Arial" w:cs="Arial" w:eastAsia="Arial" w:hint="default"/>
                <w:sz w:val="20"/>
                <w:szCs w:val="20"/>
              </w:rPr>
            </w:pPr>
            <w:r>
              <w:rPr>
                <w:rFonts w:ascii="Arial"/>
                <w:spacing w:val="-1"/>
                <w:sz w:val="20"/>
              </w:rPr>
              <w:t>285,333,043</w:t>
            </w:r>
          </w:p>
        </w:tc>
      </w:tr>
      <w:tr>
        <w:trPr>
          <w:trHeight w:val="259"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软件使用权</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6"/>
              <w:jc w:val="right"/>
              <w:rPr>
                <w:rFonts w:ascii="Arial" w:hAnsi="Arial" w:cs="Arial" w:eastAsia="Arial" w:hint="default"/>
                <w:sz w:val="20"/>
                <w:szCs w:val="20"/>
              </w:rPr>
            </w:pPr>
            <w:r>
              <w:rPr>
                <w:rFonts w:ascii="Arial"/>
                <w:spacing w:val="-1"/>
                <w:sz w:val="20"/>
              </w:rPr>
              <w:t>26,000,000</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0"/>
              <w:jc w:val="right"/>
              <w:rPr>
                <w:rFonts w:ascii="Arial" w:hAnsi="Arial" w:cs="Arial" w:eastAsia="Arial" w:hint="default"/>
                <w:sz w:val="20"/>
                <w:szCs w:val="20"/>
              </w:rPr>
            </w:pPr>
            <w:r>
              <w:rPr>
                <w:rFonts w:ascii="Arial"/>
                <w:spacing w:val="-1"/>
                <w:sz w:val="20"/>
              </w:rPr>
              <w:t>240,556</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31" w:right="0"/>
              <w:jc w:val="left"/>
              <w:rPr>
                <w:rFonts w:ascii="Arial" w:hAnsi="Arial" w:cs="Arial" w:eastAsia="Arial" w:hint="default"/>
                <w:sz w:val="20"/>
                <w:szCs w:val="20"/>
              </w:rPr>
            </w:pPr>
            <w:r>
              <w:rPr>
                <w:rFonts w:ascii="Arial"/>
                <w:w w:val="100"/>
                <w:sz w:val="20"/>
              </w:rPr>
              <w:t>-</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9"/>
              <w:jc w:val="right"/>
              <w:rPr>
                <w:rFonts w:ascii="Arial" w:hAnsi="Arial" w:cs="Arial" w:eastAsia="Arial" w:hint="default"/>
                <w:sz w:val="20"/>
                <w:szCs w:val="20"/>
              </w:rPr>
            </w:pPr>
            <w:r>
              <w:rPr>
                <w:rFonts w:ascii="Arial"/>
                <w:w w:val="100"/>
                <w:sz w:val="20"/>
              </w:rPr>
              <w:t>-</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Arial" w:hAnsi="Arial" w:cs="Arial" w:eastAsia="Arial" w:hint="default"/>
                <w:sz w:val="20"/>
                <w:szCs w:val="20"/>
              </w:rPr>
            </w:pPr>
            <w:r>
              <w:rPr>
                <w:rFonts w:ascii="Arial"/>
                <w:spacing w:val="-1"/>
                <w:sz w:val="20"/>
              </w:rPr>
              <w:t>26,240,556</w:t>
            </w:r>
          </w:p>
        </w:tc>
      </w:tr>
      <w:tr>
        <w:trPr>
          <w:trHeight w:val="268"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软件著作权</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21,397,928</w:t>
            </w:r>
            <w:r>
              <w:rPr>
                <w:rFonts w:ascii="Arial"/>
                <w:spacing w:val="-1"/>
                <w:sz w:val="20"/>
              </w:rPr>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0"/>
              <w:jc w:val="right"/>
              <w:rPr>
                <w:rFonts w:ascii="Arial" w:hAnsi="Arial" w:cs="Arial" w:eastAsia="Arial" w:hint="default"/>
                <w:sz w:val="20"/>
                <w:szCs w:val="20"/>
              </w:rPr>
            </w:pPr>
            <w:r>
              <w:rPr>
                <w:rFonts w:ascii="Arial"/>
                <w:w w:val="100"/>
                <w:sz w:val="20"/>
              </w:rPr>
            </w:r>
            <w:r>
              <w:rPr>
                <w:rFonts w:ascii="Arial"/>
                <w:spacing w:val="-1"/>
                <w:sz w:val="20"/>
                <w:u w:val="single" w:color="000000"/>
              </w:rPr>
              <w:t>37,675,993</w:t>
            </w:r>
            <w:r>
              <w:rPr>
                <w:rFonts w:ascii="Arial"/>
                <w:spacing w:val="-1"/>
                <w:sz w:val="20"/>
              </w:rPr>
            </w:r>
          </w:p>
        </w:tc>
        <w:tc>
          <w:tcPr>
            <w:tcW w:w="1891" w:type="dxa"/>
            <w:tcBorders>
              <w:top w:val="nil" w:sz="6" w:space="0" w:color="auto"/>
              <w:left w:val="nil" w:sz="6" w:space="0" w:color="auto"/>
              <w:bottom w:val="nil" w:sz="6" w:space="0" w:color="auto"/>
              <w:right w:val="nil" w:sz="6" w:space="0" w:color="auto"/>
            </w:tcBorders>
          </w:tcPr>
          <w:p>
            <w:pPr>
              <w:pStyle w:val="TableParagraph"/>
              <w:tabs>
                <w:tab w:pos="1231" w:val="left" w:leader="none"/>
              </w:tabs>
              <w:spacing w:line="240" w:lineRule="auto" w:before="15"/>
              <w:ind w:left="212"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170"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15"/>
              <w:ind w:right="17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59,073,921</w:t>
            </w:r>
            <w:r>
              <w:rPr>
                <w:rFonts w:ascii="Arial"/>
                <w:spacing w:val="-1"/>
                <w:sz w:val="20"/>
              </w:rPr>
            </w:r>
          </w:p>
        </w:tc>
      </w:tr>
      <w:tr>
        <w:trPr>
          <w:trHeight w:val="373" w:hRule="exact"/>
        </w:trPr>
        <w:tc>
          <w:tcPr>
            <w:tcW w:w="1119" w:type="dxa"/>
            <w:tcBorders>
              <w:top w:val="nil" w:sz="6" w:space="0" w:color="auto"/>
              <w:left w:val="nil" w:sz="6" w:space="0" w:color="auto"/>
              <w:bottom w:val="nil" w:sz="6" w:space="0" w:color="auto"/>
              <w:right w:val="nil" w:sz="6" w:space="0" w:color="auto"/>
            </w:tcBorders>
          </w:tcPr>
          <w:p>
            <w:pP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05"/>
              <w:jc w:val="right"/>
              <w:rPr>
                <w:rFonts w:ascii="Arial" w:hAnsi="Arial" w:cs="Arial" w:eastAsia="Arial" w:hint="default"/>
                <w:sz w:val="20"/>
                <w:szCs w:val="20"/>
              </w:rPr>
            </w:pPr>
            <w:r>
              <w:rPr>
                <w:rFonts w:ascii="Arial"/>
                <w:w w:val="100"/>
                <w:sz w:val="20"/>
              </w:rPr>
            </w:r>
            <w:r>
              <w:rPr>
                <w:rFonts w:ascii="Arial"/>
                <w:spacing w:val="-1"/>
                <w:sz w:val="20"/>
                <w:u w:val="thick" w:color="000000"/>
              </w:rPr>
              <w:t>125,285,519</w:t>
            </w:r>
            <w:r>
              <w:rPr>
                <w:rFonts w:ascii="Arial"/>
                <w:spacing w:val="-1"/>
                <w:sz w:val="20"/>
              </w:rPr>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40"/>
              <w:jc w:val="right"/>
              <w:rPr>
                <w:rFonts w:ascii="Arial" w:hAnsi="Arial" w:cs="Arial" w:eastAsia="Arial" w:hint="default"/>
                <w:sz w:val="20"/>
                <w:szCs w:val="20"/>
              </w:rPr>
            </w:pPr>
            <w:r>
              <w:rPr>
                <w:rFonts w:ascii="Arial"/>
                <w:w w:val="100"/>
                <w:sz w:val="20"/>
              </w:rPr>
            </w:r>
            <w:r>
              <w:rPr>
                <w:rFonts w:ascii="Arial"/>
                <w:spacing w:val="-1"/>
                <w:sz w:val="20"/>
                <w:u w:val="thick" w:color="000000"/>
              </w:rPr>
              <w:t>37,916,549</w:t>
            </w:r>
            <w:r>
              <w:rPr>
                <w:rFonts w:ascii="Arial"/>
                <w:spacing w:val="-1"/>
                <w:sz w:val="20"/>
              </w:rPr>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2"/>
              <w:ind w:left="186" w:right="0"/>
              <w:jc w:val="left"/>
              <w:rPr>
                <w:rFonts w:ascii="Arial" w:hAnsi="Arial" w:cs="Arial" w:eastAsia="Arial" w:hint="default"/>
                <w:sz w:val="20"/>
                <w:szCs w:val="20"/>
              </w:rPr>
            </w:pPr>
            <w:r>
              <w:rPr>
                <w:rFonts w:ascii="Arial"/>
                <w:w w:val="100"/>
                <w:sz w:val="20"/>
              </w:rPr>
            </w:r>
            <w:r>
              <w:rPr>
                <w:rFonts w:ascii="Arial"/>
                <w:sz w:val="20"/>
                <w:u w:val="thick" w:color="000000"/>
              </w:rPr>
              <w:t>209,794,872</w:t>
            </w:r>
            <w:r>
              <w:rPr>
                <w:rFonts w:ascii="Arial"/>
                <w:sz w:val="20"/>
              </w:rPr>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79"/>
              <w:jc w:val="right"/>
              <w:rPr>
                <w:rFonts w:ascii="Arial" w:hAnsi="Arial" w:cs="Arial" w:eastAsia="Arial" w:hint="default"/>
                <w:sz w:val="20"/>
                <w:szCs w:val="20"/>
              </w:rPr>
            </w:pPr>
            <w:r>
              <w:rPr>
                <w:rFonts w:ascii="Arial"/>
                <w:w w:val="100"/>
                <w:sz w:val="20"/>
              </w:rPr>
            </w:r>
            <w:r>
              <w:rPr>
                <w:rFonts w:ascii="Arial"/>
                <w:spacing w:val="-1"/>
                <w:sz w:val="20"/>
                <w:u w:val="thick" w:color="000000"/>
              </w:rPr>
              <w:t>2,349,420</w:t>
            </w:r>
            <w:r>
              <w:rPr>
                <w:rFonts w:ascii="Arial"/>
                <w:spacing w:val="-1"/>
                <w:sz w:val="20"/>
              </w:rPr>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370,647,520</w:t>
            </w:r>
            <w:r>
              <w:rPr>
                <w:rFonts w:ascii="Arial"/>
                <w:spacing w:val="-1"/>
                <w:sz w:val="20"/>
              </w:rPr>
            </w:r>
          </w:p>
        </w:tc>
      </w:tr>
      <w:tr>
        <w:trPr>
          <w:trHeight w:val="376"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黑体" w:hAnsi="黑体" w:cs="黑体" w:eastAsia="黑体" w:hint="default"/>
                <w:sz w:val="20"/>
                <w:szCs w:val="20"/>
              </w:rPr>
            </w:pPr>
            <w:r>
              <w:rPr>
                <w:rFonts w:ascii="黑体" w:hAnsi="黑体" w:cs="黑体" w:eastAsia="黑体" w:hint="default"/>
                <w:sz w:val="20"/>
                <w:szCs w:val="20"/>
              </w:rPr>
              <w:t>累计摊销</w:t>
            </w:r>
          </w:p>
        </w:tc>
        <w:tc>
          <w:tcPr>
            <w:tcW w:w="1393" w:type="dxa"/>
            <w:tcBorders>
              <w:top w:val="nil" w:sz="6" w:space="0" w:color="auto"/>
              <w:left w:val="nil" w:sz="6" w:space="0" w:color="auto"/>
              <w:bottom w:val="nil" w:sz="6" w:space="0" w:color="auto"/>
              <w:right w:val="nil" w:sz="6" w:space="0" w:color="auto"/>
            </w:tcBorders>
          </w:tcPr>
          <w:p>
            <w:pPr/>
          </w:p>
        </w:tc>
        <w:tc>
          <w:tcPr>
            <w:tcW w:w="1352" w:type="dxa"/>
            <w:tcBorders>
              <w:top w:val="nil" w:sz="6" w:space="0" w:color="auto"/>
              <w:left w:val="nil" w:sz="6" w:space="0" w:color="auto"/>
              <w:bottom w:val="nil" w:sz="6" w:space="0" w:color="auto"/>
              <w:right w:val="nil" w:sz="6" w:space="0" w:color="auto"/>
            </w:tcBorders>
          </w:tcPr>
          <w:p>
            <w:pPr/>
          </w:p>
        </w:tc>
        <w:tc>
          <w:tcPr>
            <w:tcW w:w="1891"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
        </w:tc>
      </w:tr>
      <w:tr>
        <w:trPr>
          <w:trHeight w:val="272"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32" w:lineRule="exact"/>
              <w:ind w:left="45" w:right="0"/>
              <w:jc w:val="left"/>
              <w:rPr>
                <w:rFonts w:ascii="黑体" w:hAnsi="黑体" w:cs="黑体" w:eastAsia="黑体" w:hint="default"/>
                <w:sz w:val="20"/>
                <w:szCs w:val="20"/>
              </w:rPr>
            </w:pPr>
            <w:r>
              <w:rPr>
                <w:rFonts w:ascii="黑体" w:hAnsi="黑体" w:cs="黑体" w:eastAsia="黑体" w:hint="default"/>
                <w:sz w:val="20"/>
                <w:szCs w:val="20"/>
              </w:rPr>
              <w:t>土地使用权</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06"/>
              <w:jc w:val="right"/>
              <w:rPr>
                <w:rFonts w:ascii="Arial" w:hAnsi="Arial" w:cs="Arial" w:eastAsia="Arial" w:hint="default"/>
                <w:sz w:val="20"/>
                <w:szCs w:val="20"/>
              </w:rPr>
            </w:pPr>
            <w:r>
              <w:rPr>
                <w:rFonts w:ascii="Arial"/>
                <w:spacing w:val="-1"/>
                <w:sz w:val="20"/>
              </w:rPr>
              <w:t>738,199</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0"/>
              <w:jc w:val="right"/>
              <w:rPr>
                <w:rFonts w:ascii="Arial" w:hAnsi="Arial" w:cs="Arial" w:eastAsia="Arial" w:hint="default"/>
                <w:sz w:val="20"/>
                <w:szCs w:val="20"/>
              </w:rPr>
            </w:pPr>
            <w:r>
              <w:rPr>
                <w:rFonts w:ascii="Arial"/>
                <w:w w:val="100"/>
                <w:sz w:val="20"/>
              </w:rPr>
              <w:t>-</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96" w:right="0"/>
              <w:jc w:val="left"/>
              <w:rPr>
                <w:rFonts w:ascii="Arial" w:hAnsi="Arial" w:cs="Arial" w:eastAsia="Arial" w:hint="default"/>
                <w:sz w:val="20"/>
                <w:szCs w:val="20"/>
              </w:rPr>
            </w:pPr>
            <w:r>
              <w:rPr>
                <w:rFonts w:ascii="Arial"/>
                <w:sz w:val="20"/>
              </w:rPr>
              <w:t>11,067,932</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9"/>
              <w:jc w:val="right"/>
              <w:rPr>
                <w:rFonts w:ascii="Arial" w:hAnsi="Arial" w:cs="Arial" w:eastAsia="Arial" w:hint="default"/>
                <w:sz w:val="20"/>
                <w:szCs w:val="20"/>
              </w:rPr>
            </w:pPr>
            <w:r>
              <w:rPr>
                <w:rFonts w:ascii="Arial"/>
                <w:spacing w:val="-1"/>
                <w:sz w:val="20"/>
              </w:rPr>
              <w:t>599,102</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Arial" w:hAnsi="Arial" w:cs="Arial" w:eastAsia="Arial" w:hint="default"/>
                <w:sz w:val="20"/>
                <w:szCs w:val="20"/>
              </w:rPr>
            </w:pPr>
            <w:r>
              <w:rPr>
                <w:rFonts w:ascii="Arial"/>
                <w:spacing w:val="-1"/>
                <w:sz w:val="20"/>
              </w:rPr>
              <w:t>11,207,029</w:t>
            </w:r>
          </w:p>
        </w:tc>
      </w:tr>
      <w:tr>
        <w:trPr>
          <w:trHeight w:val="259"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软件使用权</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6"/>
              <w:jc w:val="right"/>
              <w:rPr>
                <w:rFonts w:ascii="Arial" w:hAnsi="Arial" w:cs="Arial" w:eastAsia="Arial" w:hint="default"/>
                <w:sz w:val="20"/>
                <w:szCs w:val="20"/>
              </w:rPr>
            </w:pPr>
            <w:r>
              <w:rPr>
                <w:rFonts w:ascii="Arial"/>
                <w:spacing w:val="-1"/>
                <w:sz w:val="20"/>
              </w:rPr>
              <w:t>12,200,000</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0"/>
              <w:jc w:val="right"/>
              <w:rPr>
                <w:rFonts w:ascii="Arial" w:hAnsi="Arial" w:cs="Arial" w:eastAsia="Arial" w:hint="default"/>
                <w:sz w:val="20"/>
                <w:szCs w:val="20"/>
              </w:rPr>
            </w:pPr>
            <w:r>
              <w:rPr>
                <w:rFonts w:ascii="Arial"/>
                <w:w w:val="100"/>
                <w:sz w:val="20"/>
              </w:rPr>
              <w:t>-</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08" w:right="0"/>
              <w:jc w:val="left"/>
              <w:rPr>
                <w:rFonts w:ascii="Arial" w:hAnsi="Arial" w:cs="Arial" w:eastAsia="Arial" w:hint="default"/>
                <w:sz w:val="20"/>
                <w:szCs w:val="20"/>
              </w:rPr>
            </w:pPr>
            <w:r>
              <w:rPr>
                <w:rFonts w:ascii="Arial"/>
                <w:sz w:val="20"/>
              </w:rPr>
              <w:t>2,646,589</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9"/>
              <w:jc w:val="right"/>
              <w:rPr>
                <w:rFonts w:ascii="Arial" w:hAnsi="Arial" w:cs="Arial" w:eastAsia="Arial" w:hint="default"/>
                <w:sz w:val="20"/>
                <w:szCs w:val="20"/>
              </w:rPr>
            </w:pPr>
            <w:r>
              <w:rPr>
                <w:rFonts w:ascii="Arial"/>
                <w:w w:val="100"/>
                <w:sz w:val="20"/>
              </w:rPr>
              <w:t>-</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Arial" w:hAnsi="Arial" w:cs="Arial" w:eastAsia="Arial" w:hint="default"/>
                <w:sz w:val="20"/>
                <w:szCs w:val="20"/>
              </w:rPr>
            </w:pPr>
            <w:r>
              <w:rPr>
                <w:rFonts w:ascii="Arial"/>
                <w:spacing w:val="-1"/>
                <w:sz w:val="20"/>
              </w:rPr>
              <w:t>14,846,589</w:t>
            </w:r>
          </w:p>
        </w:tc>
      </w:tr>
      <w:tr>
        <w:trPr>
          <w:trHeight w:val="259"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软件著作权</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11,542,784</w:t>
            </w:r>
            <w:r>
              <w:rPr>
                <w:rFonts w:ascii="Arial"/>
                <w:spacing w:val="-1"/>
                <w:sz w:val="20"/>
              </w:rPr>
            </w:r>
          </w:p>
        </w:tc>
        <w:tc>
          <w:tcPr>
            <w:tcW w:w="1352"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15"/>
              <w:ind w:right="14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09"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3,678,439</w:t>
            </w:r>
            <w:r>
              <w:rPr>
                <w:rFonts w:ascii="Arial"/>
                <w:sz w:val="20"/>
              </w:rPr>
            </w:r>
          </w:p>
        </w:tc>
        <w:tc>
          <w:tcPr>
            <w:tcW w:w="1170"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15"/>
              <w:ind w:right="17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15,221,223</w:t>
            </w:r>
            <w:r>
              <w:rPr>
                <w:rFonts w:ascii="Arial"/>
                <w:spacing w:val="-1"/>
                <w:sz w:val="20"/>
              </w:rPr>
            </w:r>
          </w:p>
        </w:tc>
      </w:tr>
      <w:tr>
        <w:trPr>
          <w:trHeight w:val="386" w:hRule="exact"/>
        </w:trPr>
        <w:tc>
          <w:tcPr>
            <w:tcW w:w="1119" w:type="dxa"/>
            <w:tcBorders>
              <w:top w:val="nil" w:sz="6" w:space="0" w:color="auto"/>
              <w:left w:val="nil" w:sz="6" w:space="0" w:color="auto"/>
              <w:bottom w:val="nil" w:sz="6" w:space="0" w:color="auto"/>
              <w:right w:val="nil" w:sz="6" w:space="0" w:color="auto"/>
            </w:tcBorders>
          </w:tcPr>
          <w:p>
            <w:pP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5"/>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pacing w:val="-1"/>
                <w:sz w:val="20"/>
                <w:u w:val="thick" w:color="000000"/>
              </w:rPr>
              <w:t>24,480,983</w:t>
            </w:r>
            <w:r>
              <w:rPr>
                <w:rFonts w:ascii="Arial"/>
                <w:spacing w:val="-1"/>
                <w:sz w:val="20"/>
              </w:rPr>
            </w:r>
          </w:p>
        </w:tc>
        <w:tc>
          <w:tcPr>
            <w:tcW w:w="1352"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15"/>
              <w:ind w:right="140"/>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891" w:type="dxa"/>
            <w:tcBorders>
              <w:top w:val="nil" w:sz="6" w:space="0" w:color="auto"/>
              <w:left w:val="nil" w:sz="6" w:space="0" w:color="auto"/>
              <w:bottom w:val="nil" w:sz="6" w:space="0" w:color="auto"/>
              <w:right w:val="nil" w:sz="6" w:space="0" w:color="auto"/>
            </w:tcBorders>
          </w:tcPr>
          <w:p>
            <w:pPr>
              <w:pStyle w:val="TableParagraph"/>
              <w:spacing w:line="245" w:lineRule="exact"/>
              <w:ind w:left="198" w:right="0"/>
              <w:jc w:val="left"/>
              <w:rPr>
                <w:rFonts w:ascii="Arial" w:hAnsi="Arial" w:cs="Arial" w:eastAsia="Arial" w:hint="default"/>
                <w:sz w:val="20"/>
                <w:szCs w:val="20"/>
              </w:rPr>
            </w:pPr>
            <w:r>
              <w:rPr>
                <w:rFonts w:ascii="Arial" w:hAnsi="Arial" w:cs="Arial" w:eastAsia="Arial" w:hint="default"/>
                <w:w w:val="100"/>
                <w:sz w:val="20"/>
                <w:szCs w:val="20"/>
              </w:rPr>
            </w:r>
            <w:r>
              <w:rPr>
                <w:rFonts w:ascii="Arial" w:hAnsi="Arial" w:cs="Arial" w:eastAsia="Arial" w:hint="default"/>
                <w:w w:val="100"/>
                <w:sz w:val="20"/>
                <w:szCs w:val="20"/>
                <w:u w:val="thick" w:color="000000"/>
              </w:rPr>
              <w:t> </w:t>
            </w:r>
            <w:r>
              <w:rPr>
                <w:rFonts w:ascii="Arial" w:hAnsi="Arial" w:cs="Arial" w:eastAsia="Arial" w:hint="default"/>
                <w:spacing w:val="-12"/>
                <w:sz w:val="20"/>
                <w:szCs w:val="20"/>
                <w:u w:val="thick" w:color="000000"/>
              </w:rPr>
              <w:t> </w:t>
            </w:r>
            <w:r>
              <w:rPr>
                <w:rFonts w:ascii="Arial" w:hAnsi="Arial" w:cs="Arial" w:eastAsia="Arial" w:hint="default"/>
                <w:sz w:val="20"/>
                <w:szCs w:val="20"/>
                <w:u w:val="thick" w:color="000000"/>
              </w:rPr>
              <w:t>17,392,960</w:t>
            </w:r>
            <w:r>
              <w:rPr>
                <w:rFonts w:ascii="Arial" w:hAnsi="Arial" w:cs="Arial" w:eastAsia="Arial" w:hint="default"/>
                <w:sz w:val="20"/>
                <w:szCs w:val="20"/>
              </w:rPr>
            </w:r>
            <w:r>
              <w:rPr>
                <w:rFonts w:ascii="Arial" w:hAnsi="Arial" w:cs="Arial" w:eastAsia="Arial" w:hint="default"/>
                <w:position w:val="1"/>
                <w:sz w:val="20"/>
                <w:szCs w:val="20"/>
              </w:rPr>
              <w:t>(</w:t>
            </w:r>
            <w:r>
              <w:rPr>
                <w:rFonts w:ascii="黑体" w:hAnsi="黑体" w:cs="黑体" w:eastAsia="黑体" w:hint="default"/>
                <w:position w:val="1"/>
                <w:sz w:val="20"/>
                <w:szCs w:val="20"/>
              </w:rPr>
              <w:t>注</w:t>
            </w:r>
            <w:r>
              <w:rPr>
                <w:rFonts w:ascii="黑体" w:hAnsi="黑体" w:cs="黑体" w:eastAsia="黑体" w:hint="default"/>
                <w:spacing w:val="-55"/>
                <w:position w:val="1"/>
                <w:sz w:val="20"/>
                <w:szCs w:val="20"/>
              </w:rPr>
              <w:t> </w:t>
            </w:r>
            <w:r>
              <w:rPr>
                <w:rFonts w:ascii="Arial" w:hAnsi="Arial" w:cs="Arial" w:eastAsia="Arial" w:hint="default"/>
                <w:position w:val="1"/>
                <w:sz w:val="20"/>
                <w:szCs w:val="20"/>
              </w:rPr>
              <w:t>1)</w:t>
            </w:r>
            <w:r>
              <w:rPr>
                <w:rFonts w:ascii="Arial" w:hAnsi="Arial" w:cs="Arial" w:eastAsia="Arial" w:hint="default"/>
                <w:sz w:val="20"/>
                <w:szCs w:val="20"/>
              </w:rPr>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9"/>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8"/>
                <w:sz w:val="20"/>
                <w:u w:val="thick" w:color="000000"/>
              </w:rPr>
              <w:t> </w:t>
            </w:r>
            <w:r>
              <w:rPr>
                <w:rFonts w:ascii="Arial"/>
                <w:sz w:val="20"/>
                <w:u w:val="thick" w:color="000000"/>
              </w:rPr>
              <w:t>599,102</w:t>
            </w:r>
            <w:r>
              <w:rPr>
                <w:rFonts w:ascii="Arial"/>
                <w:sz w:val="20"/>
              </w:rPr>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pacing w:val="-1"/>
                <w:sz w:val="20"/>
                <w:u w:val="thick" w:color="000000"/>
              </w:rPr>
              <w:t>41,274,841</w:t>
            </w:r>
            <w:r>
              <w:rPr>
                <w:rFonts w:ascii="Arial"/>
                <w:spacing w:val="-1"/>
                <w:sz w:val="20"/>
              </w:rPr>
            </w:r>
          </w:p>
        </w:tc>
      </w:tr>
      <w:tr>
        <w:trPr>
          <w:trHeight w:val="376"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黑体" w:hAnsi="黑体" w:cs="黑体" w:eastAsia="黑体" w:hint="default"/>
                <w:sz w:val="20"/>
                <w:szCs w:val="20"/>
              </w:rPr>
            </w:pPr>
            <w:r>
              <w:rPr>
                <w:rFonts w:ascii="黑体" w:hAnsi="黑体" w:cs="黑体" w:eastAsia="黑体" w:hint="default"/>
                <w:sz w:val="20"/>
                <w:szCs w:val="20"/>
              </w:rPr>
              <w:t>账面净值</w:t>
            </w:r>
          </w:p>
        </w:tc>
        <w:tc>
          <w:tcPr>
            <w:tcW w:w="1393" w:type="dxa"/>
            <w:tcBorders>
              <w:top w:val="nil" w:sz="6" w:space="0" w:color="auto"/>
              <w:left w:val="nil" w:sz="6" w:space="0" w:color="auto"/>
              <w:bottom w:val="nil" w:sz="6" w:space="0" w:color="auto"/>
              <w:right w:val="nil" w:sz="6" w:space="0" w:color="auto"/>
            </w:tcBorders>
          </w:tcPr>
          <w:p>
            <w:pPr/>
          </w:p>
        </w:tc>
        <w:tc>
          <w:tcPr>
            <w:tcW w:w="1352" w:type="dxa"/>
            <w:tcBorders>
              <w:top w:val="nil" w:sz="6" w:space="0" w:color="auto"/>
              <w:left w:val="nil" w:sz="6" w:space="0" w:color="auto"/>
              <w:bottom w:val="nil" w:sz="6" w:space="0" w:color="auto"/>
              <w:right w:val="nil" w:sz="6" w:space="0" w:color="auto"/>
            </w:tcBorders>
          </w:tcPr>
          <w:p>
            <w:pPr/>
          </w:p>
        </w:tc>
        <w:tc>
          <w:tcPr>
            <w:tcW w:w="1891"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
        </w:tc>
      </w:tr>
      <w:tr>
        <w:trPr>
          <w:trHeight w:val="271"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31" w:lineRule="exact"/>
              <w:ind w:left="45" w:right="0"/>
              <w:jc w:val="left"/>
              <w:rPr>
                <w:rFonts w:ascii="黑体" w:hAnsi="黑体" w:cs="黑体" w:eastAsia="黑体" w:hint="default"/>
                <w:sz w:val="20"/>
                <w:szCs w:val="20"/>
              </w:rPr>
            </w:pPr>
            <w:r>
              <w:rPr>
                <w:rFonts w:ascii="黑体" w:hAnsi="黑体" w:cs="黑体" w:eastAsia="黑体" w:hint="default"/>
                <w:sz w:val="20"/>
                <w:szCs w:val="20"/>
              </w:rPr>
              <w:t>土地使用权</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06"/>
              <w:jc w:val="right"/>
              <w:rPr>
                <w:rFonts w:ascii="Arial" w:hAnsi="Arial" w:cs="Arial" w:eastAsia="Arial" w:hint="default"/>
                <w:sz w:val="20"/>
                <w:szCs w:val="20"/>
              </w:rPr>
            </w:pPr>
            <w:r>
              <w:rPr>
                <w:rFonts w:ascii="Arial"/>
                <w:spacing w:val="-1"/>
                <w:sz w:val="20"/>
              </w:rPr>
              <w:t>77,149,392</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40"/>
              <w:jc w:val="right"/>
              <w:rPr>
                <w:rFonts w:ascii="Arial" w:hAnsi="Arial" w:cs="Arial" w:eastAsia="Arial" w:hint="default"/>
                <w:sz w:val="20"/>
                <w:szCs w:val="20"/>
              </w:rPr>
            </w:pPr>
            <w:r>
              <w:rPr>
                <w:rFonts w:ascii="Arial"/>
                <w:w w:val="100"/>
                <w:sz w:val="20"/>
              </w:rPr>
              <w:t>-</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86" w:right="0"/>
              <w:jc w:val="left"/>
              <w:rPr>
                <w:rFonts w:ascii="Arial" w:hAnsi="Arial" w:cs="Arial" w:eastAsia="Arial" w:hint="default"/>
                <w:sz w:val="20"/>
                <w:szCs w:val="20"/>
              </w:rPr>
            </w:pPr>
            <w:r>
              <w:rPr>
                <w:rFonts w:ascii="Arial"/>
                <w:sz w:val="20"/>
              </w:rPr>
              <w:t>198,726,940</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80"/>
              <w:jc w:val="right"/>
              <w:rPr>
                <w:rFonts w:ascii="Arial" w:hAnsi="Arial" w:cs="Arial" w:eastAsia="Arial" w:hint="default"/>
                <w:sz w:val="20"/>
                <w:szCs w:val="20"/>
              </w:rPr>
            </w:pPr>
            <w:r>
              <w:rPr>
                <w:rFonts w:ascii="Arial"/>
                <w:spacing w:val="-1"/>
                <w:sz w:val="20"/>
              </w:rPr>
              <w:t>1,750,318</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3"/>
              <w:jc w:val="right"/>
              <w:rPr>
                <w:rFonts w:ascii="Arial" w:hAnsi="Arial" w:cs="Arial" w:eastAsia="Arial" w:hint="default"/>
                <w:sz w:val="20"/>
                <w:szCs w:val="20"/>
              </w:rPr>
            </w:pPr>
            <w:r>
              <w:rPr>
                <w:rFonts w:ascii="Arial"/>
                <w:spacing w:val="-1"/>
                <w:sz w:val="20"/>
              </w:rPr>
              <w:t>274,126,014</w:t>
            </w:r>
          </w:p>
        </w:tc>
      </w:tr>
      <w:tr>
        <w:trPr>
          <w:trHeight w:val="259"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软件使用权</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6"/>
              <w:jc w:val="right"/>
              <w:rPr>
                <w:rFonts w:ascii="Arial" w:hAnsi="Arial" w:cs="Arial" w:eastAsia="Arial" w:hint="default"/>
                <w:sz w:val="20"/>
                <w:szCs w:val="20"/>
              </w:rPr>
            </w:pPr>
            <w:r>
              <w:rPr>
                <w:rFonts w:ascii="Arial"/>
                <w:spacing w:val="-1"/>
                <w:sz w:val="20"/>
              </w:rPr>
              <w:t>13,800,000</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0"/>
              <w:jc w:val="right"/>
              <w:rPr>
                <w:rFonts w:ascii="Arial" w:hAnsi="Arial" w:cs="Arial" w:eastAsia="Arial" w:hint="default"/>
                <w:sz w:val="20"/>
                <w:szCs w:val="20"/>
              </w:rPr>
            </w:pPr>
            <w:r>
              <w:rPr>
                <w:rFonts w:ascii="Arial"/>
                <w:spacing w:val="-1"/>
                <w:sz w:val="20"/>
              </w:rPr>
              <w:t>240,556</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41" w:right="0"/>
              <w:jc w:val="left"/>
              <w:rPr>
                <w:rFonts w:ascii="Arial" w:hAnsi="Arial" w:cs="Arial" w:eastAsia="Arial" w:hint="default"/>
                <w:sz w:val="20"/>
                <w:szCs w:val="20"/>
              </w:rPr>
            </w:pPr>
            <w:r>
              <w:rPr>
                <w:rFonts w:ascii="Arial"/>
                <w:sz w:val="20"/>
              </w:rPr>
              <w:t>(  </w:t>
            </w:r>
            <w:r>
              <w:rPr>
                <w:rFonts w:ascii="Arial"/>
                <w:spacing w:val="32"/>
                <w:sz w:val="20"/>
              </w:rPr>
              <w:t> </w:t>
            </w:r>
            <w:r>
              <w:rPr>
                <w:rFonts w:ascii="Arial"/>
                <w:sz w:val="20"/>
              </w:rPr>
              <w:t>2,646,589)</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9"/>
              <w:jc w:val="right"/>
              <w:rPr>
                <w:rFonts w:ascii="Arial" w:hAnsi="Arial" w:cs="Arial" w:eastAsia="Arial" w:hint="default"/>
                <w:sz w:val="20"/>
                <w:szCs w:val="20"/>
              </w:rPr>
            </w:pPr>
            <w:r>
              <w:rPr>
                <w:rFonts w:ascii="Arial"/>
                <w:w w:val="100"/>
                <w:sz w:val="20"/>
              </w:rPr>
              <w:t>-</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Arial" w:hAnsi="Arial" w:cs="Arial" w:eastAsia="Arial" w:hint="default"/>
                <w:sz w:val="20"/>
                <w:szCs w:val="20"/>
              </w:rPr>
            </w:pPr>
            <w:r>
              <w:rPr>
                <w:rFonts w:ascii="Arial"/>
                <w:spacing w:val="-1"/>
                <w:sz w:val="20"/>
              </w:rPr>
              <w:t>11,393,967</w:t>
            </w:r>
          </w:p>
        </w:tc>
      </w:tr>
      <w:tr>
        <w:trPr>
          <w:trHeight w:val="268"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软件著作权</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9,855,144</w:t>
            </w:r>
            <w:r>
              <w:rPr>
                <w:rFonts w:ascii="Arial"/>
                <w:sz w:val="20"/>
              </w:rPr>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0"/>
              <w:jc w:val="right"/>
              <w:rPr>
                <w:rFonts w:ascii="Arial" w:hAnsi="Arial" w:cs="Arial" w:eastAsia="Arial" w:hint="default"/>
                <w:sz w:val="20"/>
                <w:szCs w:val="20"/>
              </w:rPr>
            </w:pPr>
            <w:r>
              <w:rPr>
                <w:rFonts w:ascii="Arial"/>
                <w:w w:val="100"/>
                <w:sz w:val="20"/>
              </w:rPr>
            </w:r>
            <w:r>
              <w:rPr>
                <w:rFonts w:ascii="Arial"/>
                <w:spacing w:val="-1"/>
                <w:sz w:val="20"/>
                <w:u w:val="single" w:color="000000"/>
              </w:rPr>
              <w:t>37,675,993</w:t>
            </w:r>
            <w:r>
              <w:rPr>
                <w:rFonts w:ascii="Arial"/>
                <w:spacing w:val="-1"/>
                <w:sz w:val="20"/>
              </w:rPr>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41" w:right="0"/>
              <w:jc w:val="left"/>
              <w:rPr>
                <w:rFonts w:ascii="Arial" w:hAnsi="Arial" w:cs="Arial" w:eastAsia="Arial" w:hint="default"/>
                <w:sz w:val="20"/>
                <w:szCs w:val="20"/>
              </w:rPr>
            </w:pPr>
            <w:r>
              <w:rPr>
                <w:rFonts w:ascii="Arial"/>
                <w:sz w:val="20"/>
              </w:rPr>
              <w:t>(  </w:t>
            </w:r>
            <w:r>
              <w:rPr>
                <w:rFonts w:ascii="Arial"/>
                <w:spacing w:val="31"/>
                <w:sz w:val="20"/>
              </w:rPr>
              <w:t> </w:t>
            </w:r>
            <w:r>
              <w:rPr>
                <w:rFonts w:ascii="Arial"/>
                <w:spacing w:val="31"/>
                <w:sz w:val="20"/>
                <w:u w:val="single" w:color="000000"/>
              </w:rPr>
              <w:t> </w:t>
            </w:r>
            <w:r>
              <w:rPr>
                <w:rFonts w:ascii="Arial"/>
                <w:sz w:val="20"/>
                <w:u w:val="single" w:color="000000"/>
              </w:rPr>
              <w:t>3,678,439</w:t>
            </w:r>
            <w:r>
              <w:rPr>
                <w:rFonts w:ascii="Arial"/>
                <w:sz w:val="20"/>
              </w:rPr>
              <w:t>)</w:t>
            </w:r>
          </w:p>
        </w:tc>
        <w:tc>
          <w:tcPr>
            <w:tcW w:w="1170"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15"/>
              <w:ind w:right="17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43,852,698</w:t>
            </w:r>
            <w:r>
              <w:rPr>
                <w:rFonts w:ascii="Arial"/>
                <w:spacing w:val="-1"/>
                <w:sz w:val="20"/>
              </w:rPr>
            </w:r>
          </w:p>
        </w:tc>
      </w:tr>
      <w:tr>
        <w:trPr>
          <w:trHeight w:val="373" w:hRule="exact"/>
        </w:trPr>
        <w:tc>
          <w:tcPr>
            <w:tcW w:w="1119" w:type="dxa"/>
            <w:tcBorders>
              <w:top w:val="nil" w:sz="6" w:space="0" w:color="auto"/>
              <w:left w:val="nil" w:sz="6" w:space="0" w:color="auto"/>
              <w:bottom w:val="nil" w:sz="6" w:space="0" w:color="auto"/>
              <w:right w:val="nil" w:sz="6" w:space="0" w:color="auto"/>
            </w:tcBorders>
          </w:tcPr>
          <w:p>
            <w:pP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05"/>
              <w:jc w:val="right"/>
              <w:rPr>
                <w:rFonts w:ascii="Arial" w:hAnsi="Arial" w:cs="Arial" w:eastAsia="Arial" w:hint="default"/>
                <w:sz w:val="20"/>
                <w:szCs w:val="20"/>
              </w:rPr>
            </w:pPr>
            <w:r>
              <w:rPr>
                <w:rFonts w:ascii="Arial"/>
                <w:w w:val="100"/>
                <w:sz w:val="20"/>
              </w:rPr>
            </w:r>
            <w:r>
              <w:rPr>
                <w:rFonts w:ascii="Arial"/>
                <w:spacing w:val="-1"/>
                <w:sz w:val="20"/>
                <w:u w:val="thick" w:color="000000"/>
              </w:rPr>
              <w:t>100,804,536</w:t>
            </w:r>
            <w:r>
              <w:rPr>
                <w:rFonts w:ascii="Arial"/>
                <w:spacing w:val="-1"/>
                <w:sz w:val="20"/>
              </w:rPr>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40"/>
              <w:jc w:val="right"/>
              <w:rPr>
                <w:rFonts w:ascii="Arial" w:hAnsi="Arial" w:cs="Arial" w:eastAsia="Arial" w:hint="default"/>
                <w:sz w:val="20"/>
                <w:szCs w:val="20"/>
              </w:rPr>
            </w:pPr>
            <w:r>
              <w:rPr>
                <w:rFonts w:ascii="Arial"/>
                <w:w w:val="100"/>
                <w:sz w:val="20"/>
              </w:rPr>
            </w:r>
            <w:r>
              <w:rPr>
                <w:rFonts w:ascii="Arial"/>
                <w:spacing w:val="-1"/>
                <w:sz w:val="20"/>
                <w:u w:val="thick" w:color="000000"/>
              </w:rPr>
              <w:t>37,916,549</w:t>
            </w:r>
            <w:r>
              <w:rPr>
                <w:rFonts w:ascii="Arial"/>
                <w:spacing w:val="-1"/>
                <w:sz w:val="20"/>
              </w:rPr>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2"/>
              <w:ind w:left="186" w:right="0"/>
              <w:jc w:val="left"/>
              <w:rPr>
                <w:rFonts w:ascii="Arial" w:hAnsi="Arial" w:cs="Arial" w:eastAsia="Arial" w:hint="default"/>
                <w:sz w:val="20"/>
                <w:szCs w:val="20"/>
              </w:rPr>
            </w:pPr>
            <w:r>
              <w:rPr>
                <w:rFonts w:ascii="Arial"/>
                <w:w w:val="100"/>
                <w:sz w:val="20"/>
              </w:rPr>
            </w:r>
            <w:r>
              <w:rPr>
                <w:rFonts w:ascii="Arial"/>
                <w:sz w:val="20"/>
                <w:u w:val="thick" w:color="000000"/>
              </w:rPr>
              <w:t>192,401,912</w:t>
            </w:r>
            <w:r>
              <w:rPr>
                <w:rFonts w:ascii="Arial"/>
                <w:sz w:val="20"/>
              </w:rPr>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79"/>
              <w:jc w:val="right"/>
              <w:rPr>
                <w:rFonts w:ascii="Arial" w:hAnsi="Arial" w:cs="Arial" w:eastAsia="Arial" w:hint="default"/>
                <w:sz w:val="20"/>
                <w:szCs w:val="20"/>
              </w:rPr>
            </w:pPr>
            <w:r>
              <w:rPr>
                <w:rFonts w:ascii="Arial"/>
                <w:w w:val="100"/>
                <w:sz w:val="20"/>
              </w:rPr>
            </w:r>
            <w:r>
              <w:rPr>
                <w:rFonts w:ascii="Arial"/>
                <w:spacing w:val="-1"/>
                <w:sz w:val="20"/>
                <w:u w:val="thick" w:color="000000"/>
              </w:rPr>
              <w:t>1,750,318</w:t>
            </w:r>
            <w:r>
              <w:rPr>
                <w:rFonts w:ascii="Arial"/>
                <w:spacing w:val="-1"/>
                <w:sz w:val="20"/>
              </w:rPr>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329,372,679</w:t>
            </w:r>
            <w:r>
              <w:rPr>
                <w:rFonts w:ascii="Arial"/>
                <w:spacing w:val="-1"/>
                <w:sz w:val="20"/>
              </w:rPr>
            </w:r>
          </w:p>
        </w:tc>
      </w:tr>
      <w:tr>
        <w:trPr>
          <w:trHeight w:val="375"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黑体" w:hAnsi="黑体" w:cs="黑体" w:eastAsia="黑体" w:hint="default"/>
                <w:sz w:val="20"/>
                <w:szCs w:val="20"/>
              </w:rPr>
            </w:pPr>
            <w:r>
              <w:rPr>
                <w:rFonts w:ascii="黑体" w:hAnsi="黑体" w:cs="黑体" w:eastAsia="黑体" w:hint="default"/>
                <w:sz w:val="20"/>
                <w:szCs w:val="20"/>
              </w:rPr>
              <w:t>减值准备</w:t>
            </w:r>
          </w:p>
        </w:tc>
        <w:tc>
          <w:tcPr>
            <w:tcW w:w="1393" w:type="dxa"/>
            <w:tcBorders>
              <w:top w:val="nil" w:sz="6" w:space="0" w:color="auto"/>
              <w:left w:val="nil" w:sz="6" w:space="0" w:color="auto"/>
              <w:bottom w:val="nil" w:sz="6" w:space="0" w:color="auto"/>
              <w:right w:val="nil" w:sz="6" w:space="0" w:color="auto"/>
            </w:tcBorders>
          </w:tcPr>
          <w:p>
            <w:pPr/>
          </w:p>
        </w:tc>
        <w:tc>
          <w:tcPr>
            <w:tcW w:w="1352" w:type="dxa"/>
            <w:tcBorders>
              <w:top w:val="nil" w:sz="6" w:space="0" w:color="auto"/>
              <w:left w:val="nil" w:sz="6" w:space="0" w:color="auto"/>
              <w:bottom w:val="nil" w:sz="6" w:space="0" w:color="auto"/>
              <w:right w:val="nil" w:sz="6" w:space="0" w:color="auto"/>
            </w:tcBorders>
          </w:tcPr>
          <w:p>
            <w:pPr/>
          </w:p>
        </w:tc>
        <w:tc>
          <w:tcPr>
            <w:tcW w:w="1891"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
        </w:tc>
      </w:tr>
      <w:tr>
        <w:trPr>
          <w:trHeight w:val="272"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31" w:lineRule="exact"/>
              <w:ind w:left="45" w:right="0"/>
              <w:jc w:val="left"/>
              <w:rPr>
                <w:rFonts w:ascii="黑体" w:hAnsi="黑体" w:cs="黑体" w:eastAsia="黑体" w:hint="default"/>
                <w:sz w:val="20"/>
                <w:szCs w:val="20"/>
              </w:rPr>
            </w:pPr>
            <w:r>
              <w:rPr>
                <w:rFonts w:ascii="黑体" w:hAnsi="黑体" w:cs="黑体" w:eastAsia="黑体" w:hint="default"/>
                <w:sz w:val="20"/>
                <w:szCs w:val="20"/>
              </w:rPr>
              <w:t>土地使用权</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07"/>
              <w:jc w:val="right"/>
              <w:rPr>
                <w:rFonts w:ascii="Arial" w:hAnsi="Arial" w:cs="Arial" w:eastAsia="Arial" w:hint="default"/>
                <w:sz w:val="20"/>
                <w:szCs w:val="20"/>
              </w:rPr>
            </w:pPr>
            <w:r>
              <w:rPr>
                <w:rFonts w:ascii="Arial"/>
                <w:w w:val="100"/>
                <w:sz w:val="20"/>
              </w:rPr>
              <w:t>-</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41"/>
              <w:jc w:val="right"/>
              <w:rPr>
                <w:rFonts w:ascii="Arial" w:hAnsi="Arial" w:cs="Arial" w:eastAsia="Arial" w:hint="default"/>
                <w:sz w:val="20"/>
                <w:szCs w:val="20"/>
              </w:rPr>
            </w:pPr>
            <w:r>
              <w:rPr>
                <w:rFonts w:ascii="Arial"/>
                <w:w w:val="100"/>
                <w:sz w:val="20"/>
              </w:rPr>
              <w:t>-</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231" w:right="0"/>
              <w:jc w:val="left"/>
              <w:rPr>
                <w:rFonts w:ascii="Arial" w:hAnsi="Arial" w:cs="Arial" w:eastAsia="Arial" w:hint="default"/>
                <w:sz w:val="20"/>
                <w:szCs w:val="20"/>
              </w:rPr>
            </w:pPr>
            <w:r>
              <w:rPr>
                <w:rFonts w:ascii="Arial"/>
                <w:w w:val="100"/>
                <w:sz w:val="20"/>
              </w:rPr>
              <w:t>-</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80"/>
              <w:jc w:val="right"/>
              <w:rPr>
                <w:rFonts w:ascii="Arial" w:hAnsi="Arial" w:cs="Arial" w:eastAsia="Arial" w:hint="default"/>
                <w:sz w:val="20"/>
                <w:szCs w:val="20"/>
              </w:rPr>
            </w:pPr>
            <w:r>
              <w:rPr>
                <w:rFonts w:ascii="Arial"/>
                <w:w w:val="100"/>
                <w:sz w:val="20"/>
              </w:rPr>
              <w:t>-</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5"/>
              <w:jc w:val="right"/>
              <w:rPr>
                <w:rFonts w:ascii="Arial" w:hAnsi="Arial" w:cs="Arial" w:eastAsia="Arial" w:hint="default"/>
                <w:sz w:val="20"/>
                <w:szCs w:val="20"/>
              </w:rPr>
            </w:pPr>
            <w:r>
              <w:rPr>
                <w:rFonts w:ascii="Arial"/>
                <w:w w:val="100"/>
                <w:sz w:val="20"/>
              </w:rPr>
              <w:t>-</w:t>
            </w:r>
          </w:p>
        </w:tc>
      </w:tr>
      <w:tr>
        <w:trPr>
          <w:trHeight w:val="260"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软件使用权</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7"/>
              <w:jc w:val="right"/>
              <w:rPr>
                <w:rFonts w:ascii="Arial" w:hAnsi="Arial" w:cs="Arial" w:eastAsia="Arial" w:hint="default"/>
                <w:sz w:val="20"/>
                <w:szCs w:val="20"/>
              </w:rPr>
            </w:pPr>
            <w:r>
              <w:rPr>
                <w:rFonts w:ascii="Arial"/>
                <w:w w:val="100"/>
                <w:sz w:val="20"/>
              </w:rPr>
              <w:t>-</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9"/>
              <w:jc w:val="right"/>
              <w:rPr>
                <w:rFonts w:ascii="Arial" w:hAnsi="Arial" w:cs="Arial" w:eastAsia="Arial" w:hint="default"/>
                <w:sz w:val="20"/>
                <w:szCs w:val="20"/>
              </w:rPr>
            </w:pPr>
            <w:r>
              <w:rPr>
                <w:rFonts w:ascii="Arial"/>
                <w:sz w:val="20"/>
              </w:rPr>
              <w:t>60,649</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32" w:right="0"/>
              <w:jc w:val="left"/>
              <w:rPr>
                <w:rFonts w:ascii="Arial" w:hAnsi="Arial" w:cs="Arial" w:eastAsia="Arial" w:hint="default"/>
                <w:sz w:val="20"/>
                <w:szCs w:val="20"/>
              </w:rPr>
            </w:pPr>
            <w:r>
              <w:rPr>
                <w:rFonts w:ascii="Arial"/>
                <w:w w:val="100"/>
                <w:sz w:val="20"/>
              </w:rPr>
              <w:t>-</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9"/>
              <w:jc w:val="right"/>
              <w:rPr>
                <w:rFonts w:ascii="Arial" w:hAnsi="Arial" w:cs="Arial" w:eastAsia="Arial" w:hint="default"/>
                <w:sz w:val="20"/>
                <w:szCs w:val="20"/>
              </w:rPr>
            </w:pPr>
            <w:r>
              <w:rPr>
                <w:rFonts w:ascii="Arial"/>
                <w:w w:val="100"/>
                <w:sz w:val="20"/>
              </w:rPr>
              <w:t>-</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Arial" w:hAnsi="Arial" w:cs="Arial" w:eastAsia="Arial" w:hint="default"/>
                <w:sz w:val="20"/>
                <w:szCs w:val="20"/>
              </w:rPr>
            </w:pPr>
            <w:r>
              <w:rPr>
                <w:rFonts w:ascii="Arial"/>
                <w:sz w:val="20"/>
              </w:rPr>
              <w:t>60,649</w:t>
            </w:r>
          </w:p>
        </w:tc>
      </w:tr>
      <w:tr>
        <w:trPr>
          <w:trHeight w:val="268"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软件著作权</w:t>
            </w:r>
          </w:p>
        </w:tc>
        <w:tc>
          <w:tcPr>
            <w:tcW w:w="1393"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15"/>
              <w:ind w:right="20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4,022,801</w:t>
            </w:r>
            <w:r>
              <w:rPr>
                <w:rFonts w:ascii="Arial"/>
                <w:sz w:val="20"/>
              </w:rPr>
            </w:r>
          </w:p>
        </w:tc>
        <w:tc>
          <w:tcPr>
            <w:tcW w:w="1891" w:type="dxa"/>
            <w:tcBorders>
              <w:top w:val="nil" w:sz="6" w:space="0" w:color="auto"/>
              <w:left w:val="nil" w:sz="6" w:space="0" w:color="auto"/>
              <w:bottom w:val="nil" w:sz="6" w:space="0" w:color="auto"/>
              <w:right w:val="nil" w:sz="6" w:space="0" w:color="auto"/>
            </w:tcBorders>
          </w:tcPr>
          <w:p>
            <w:pPr>
              <w:pStyle w:val="TableParagraph"/>
              <w:tabs>
                <w:tab w:pos="1230" w:val="left" w:leader="none"/>
              </w:tabs>
              <w:spacing w:line="240" w:lineRule="auto" w:before="15"/>
              <w:ind w:left="231"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170"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15"/>
              <w:ind w:right="17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4,022,801</w:t>
            </w:r>
            <w:r>
              <w:rPr>
                <w:rFonts w:ascii="Arial"/>
                <w:sz w:val="20"/>
              </w:rPr>
            </w:r>
          </w:p>
        </w:tc>
      </w:tr>
      <w:tr>
        <w:trPr>
          <w:trHeight w:val="373" w:hRule="exact"/>
        </w:trPr>
        <w:tc>
          <w:tcPr>
            <w:tcW w:w="1119" w:type="dxa"/>
            <w:tcBorders>
              <w:top w:val="nil" w:sz="6" w:space="0" w:color="auto"/>
              <w:left w:val="nil" w:sz="6" w:space="0" w:color="auto"/>
              <w:bottom w:val="nil" w:sz="6" w:space="0" w:color="auto"/>
              <w:right w:val="nil" w:sz="6" w:space="0" w:color="auto"/>
            </w:tcBorders>
          </w:tcPr>
          <w:p>
            <w:pPr/>
          </w:p>
        </w:tc>
        <w:tc>
          <w:tcPr>
            <w:tcW w:w="1393"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2"/>
              <w:ind w:right="209"/>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40"/>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z w:val="20"/>
                <w:u w:val="thick" w:color="000000"/>
              </w:rPr>
              <w:t>4,083,450</w:t>
            </w:r>
            <w:r>
              <w:rPr>
                <w:rFonts w:ascii="Arial"/>
                <w:sz w:val="20"/>
              </w:rPr>
            </w:r>
          </w:p>
        </w:tc>
        <w:tc>
          <w:tcPr>
            <w:tcW w:w="1891" w:type="dxa"/>
            <w:tcBorders>
              <w:top w:val="nil" w:sz="6" w:space="0" w:color="auto"/>
              <w:left w:val="nil" w:sz="6" w:space="0" w:color="auto"/>
              <w:bottom w:val="nil" w:sz="6" w:space="0" w:color="auto"/>
              <w:right w:val="nil" w:sz="6" w:space="0" w:color="auto"/>
            </w:tcBorders>
          </w:tcPr>
          <w:p>
            <w:pPr>
              <w:pStyle w:val="TableParagraph"/>
              <w:tabs>
                <w:tab w:pos="1230" w:val="left" w:leader="none"/>
              </w:tabs>
              <w:spacing w:line="240" w:lineRule="auto" w:before="2"/>
              <w:ind w:left="231"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170"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2"/>
              <w:ind w:right="179"/>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24"/>
                <w:sz w:val="20"/>
                <w:u w:val="thick" w:color="000000"/>
              </w:rPr>
              <w:t> </w:t>
            </w:r>
            <w:r>
              <w:rPr>
                <w:rFonts w:ascii="Arial"/>
                <w:sz w:val="20"/>
                <w:u w:val="thick" w:color="000000"/>
              </w:rPr>
              <w:t>4,083,450</w:t>
            </w:r>
            <w:r>
              <w:rPr>
                <w:rFonts w:ascii="Arial"/>
                <w:sz w:val="20"/>
              </w:rPr>
            </w:r>
          </w:p>
        </w:tc>
      </w:tr>
      <w:tr>
        <w:trPr>
          <w:trHeight w:val="375"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83"/>
              <w:ind w:left="45" w:right="0"/>
              <w:jc w:val="left"/>
              <w:rPr>
                <w:rFonts w:ascii="黑体" w:hAnsi="黑体" w:cs="黑体" w:eastAsia="黑体" w:hint="default"/>
                <w:sz w:val="20"/>
                <w:szCs w:val="20"/>
              </w:rPr>
            </w:pPr>
            <w:r>
              <w:rPr>
                <w:rFonts w:ascii="黑体" w:hAnsi="黑体" w:cs="黑体" w:eastAsia="黑体" w:hint="default"/>
                <w:sz w:val="20"/>
                <w:szCs w:val="20"/>
              </w:rPr>
              <w:t>账面价值</w:t>
            </w:r>
          </w:p>
        </w:tc>
        <w:tc>
          <w:tcPr>
            <w:tcW w:w="1393" w:type="dxa"/>
            <w:tcBorders>
              <w:top w:val="nil" w:sz="6" w:space="0" w:color="auto"/>
              <w:left w:val="nil" w:sz="6" w:space="0" w:color="auto"/>
              <w:bottom w:val="nil" w:sz="6" w:space="0" w:color="auto"/>
              <w:right w:val="nil" w:sz="6" w:space="0" w:color="auto"/>
            </w:tcBorders>
          </w:tcPr>
          <w:p>
            <w:pPr/>
          </w:p>
        </w:tc>
        <w:tc>
          <w:tcPr>
            <w:tcW w:w="1352" w:type="dxa"/>
            <w:tcBorders>
              <w:top w:val="nil" w:sz="6" w:space="0" w:color="auto"/>
              <w:left w:val="nil" w:sz="6" w:space="0" w:color="auto"/>
              <w:bottom w:val="nil" w:sz="6" w:space="0" w:color="auto"/>
              <w:right w:val="nil" w:sz="6" w:space="0" w:color="auto"/>
            </w:tcBorders>
          </w:tcPr>
          <w:p>
            <w:pPr/>
          </w:p>
        </w:tc>
        <w:tc>
          <w:tcPr>
            <w:tcW w:w="1891"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
        </w:tc>
      </w:tr>
      <w:tr>
        <w:trPr>
          <w:trHeight w:val="271"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31" w:lineRule="exact"/>
              <w:ind w:left="45" w:right="0"/>
              <w:jc w:val="left"/>
              <w:rPr>
                <w:rFonts w:ascii="黑体" w:hAnsi="黑体" w:cs="黑体" w:eastAsia="黑体" w:hint="default"/>
                <w:sz w:val="20"/>
                <w:szCs w:val="20"/>
              </w:rPr>
            </w:pPr>
            <w:r>
              <w:rPr>
                <w:rFonts w:ascii="黑体" w:hAnsi="黑体" w:cs="黑体" w:eastAsia="黑体" w:hint="default"/>
                <w:sz w:val="20"/>
                <w:szCs w:val="20"/>
              </w:rPr>
              <w:t>土地使用权</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06"/>
              <w:jc w:val="right"/>
              <w:rPr>
                <w:rFonts w:ascii="Arial" w:hAnsi="Arial" w:cs="Arial" w:eastAsia="Arial" w:hint="default"/>
                <w:sz w:val="20"/>
                <w:szCs w:val="20"/>
              </w:rPr>
            </w:pPr>
            <w:r>
              <w:rPr>
                <w:rFonts w:ascii="Arial"/>
                <w:spacing w:val="-1"/>
                <w:sz w:val="20"/>
              </w:rPr>
              <w:t>77,149,392</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40"/>
              <w:jc w:val="right"/>
              <w:rPr>
                <w:rFonts w:ascii="Arial" w:hAnsi="Arial" w:cs="Arial" w:eastAsia="Arial" w:hint="default"/>
                <w:sz w:val="20"/>
                <w:szCs w:val="20"/>
              </w:rPr>
            </w:pPr>
            <w:r>
              <w:rPr>
                <w:rFonts w:ascii="Arial"/>
                <w:w w:val="100"/>
                <w:sz w:val="20"/>
              </w:rPr>
              <w:t>-</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86" w:right="0"/>
              <w:jc w:val="left"/>
              <w:rPr>
                <w:rFonts w:ascii="Arial" w:hAnsi="Arial" w:cs="Arial" w:eastAsia="Arial" w:hint="default"/>
                <w:sz w:val="20"/>
                <w:szCs w:val="20"/>
              </w:rPr>
            </w:pPr>
            <w:r>
              <w:rPr>
                <w:rFonts w:ascii="Arial"/>
                <w:sz w:val="20"/>
              </w:rPr>
              <w:t>198,726,940</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80"/>
              <w:jc w:val="right"/>
              <w:rPr>
                <w:rFonts w:ascii="Arial" w:hAnsi="Arial" w:cs="Arial" w:eastAsia="Arial" w:hint="default"/>
                <w:sz w:val="20"/>
                <w:szCs w:val="20"/>
              </w:rPr>
            </w:pPr>
            <w:r>
              <w:rPr>
                <w:rFonts w:ascii="Arial"/>
                <w:spacing w:val="-1"/>
                <w:sz w:val="20"/>
              </w:rPr>
              <w:t>1,750,318</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3"/>
              <w:jc w:val="right"/>
              <w:rPr>
                <w:rFonts w:ascii="Arial" w:hAnsi="Arial" w:cs="Arial" w:eastAsia="Arial" w:hint="default"/>
                <w:sz w:val="20"/>
                <w:szCs w:val="20"/>
              </w:rPr>
            </w:pPr>
            <w:r>
              <w:rPr>
                <w:rFonts w:ascii="Arial"/>
                <w:spacing w:val="-1"/>
                <w:sz w:val="20"/>
              </w:rPr>
              <w:t>274,126,014</w:t>
            </w:r>
          </w:p>
        </w:tc>
      </w:tr>
      <w:tr>
        <w:trPr>
          <w:trHeight w:val="259"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软件使用权</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6"/>
              <w:jc w:val="right"/>
              <w:rPr>
                <w:rFonts w:ascii="Arial" w:hAnsi="Arial" w:cs="Arial" w:eastAsia="Arial" w:hint="default"/>
                <w:sz w:val="20"/>
                <w:szCs w:val="20"/>
              </w:rPr>
            </w:pPr>
            <w:r>
              <w:rPr>
                <w:rFonts w:ascii="Arial"/>
                <w:spacing w:val="-1"/>
                <w:sz w:val="20"/>
              </w:rPr>
              <w:t>13,800,000</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0"/>
              <w:jc w:val="right"/>
              <w:rPr>
                <w:rFonts w:ascii="Arial" w:hAnsi="Arial" w:cs="Arial" w:eastAsia="Arial" w:hint="default"/>
                <w:sz w:val="20"/>
                <w:szCs w:val="20"/>
              </w:rPr>
            </w:pPr>
            <w:r>
              <w:rPr>
                <w:rFonts w:ascii="Arial"/>
                <w:spacing w:val="-1"/>
                <w:sz w:val="20"/>
              </w:rPr>
              <w:t>179,907</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41" w:right="0"/>
              <w:jc w:val="left"/>
              <w:rPr>
                <w:rFonts w:ascii="Arial" w:hAnsi="Arial" w:cs="Arial" w:eastAsia="Arial" w:hint="default"/>
                <w:sz w:val="20"/>
                <w:szCs w:val="20"/>
              </w:rPr>
            </w:pPr>
            <w:r>
              <w:rPr>
                <w:rFonts w:ascii="Arial"/>
                <w:sz w:val="20"/>
              </w:rPr>
              <w:t>(  </w:t>
            </w:r>
            <w:r>
              <w:rPr>
                <w:rFonts w:ascii="Arial"/>
                <w:spacing w:val="32"/>
                <w:sz w:val="20"/>
              </w:rPr>
              <w:t> </w:t>
            </w:r>
            <w:r>
              <w:rPr>
                <w:rFonts w:ascii="Arial"/>
                <w:sz w:val="20"/>
              </w:rPr>
              <w:t>2,646,589)</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0"/>
              <w:jc w:val="right"/>
              <w:rPr>
                <w:rFonts w:ascii="Arial" w:hAnsi="Arial" w:cs="Arial" w:eastAsia="Arial" w:hint="default"/>
                <w:sz w:val="20"/>
                <w:szCs w:val="20"/>
              </w:rPr>
            </w:pPr>
            <w:r>
              <w:rPr>
                <w:rFonts w:ascii="Arial"/>
                <w:w w:val="100"/>
                <w:sz w:val="20"/>
              </w:rPr>
              <w:t>-</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5"/>
              <w:jc w:val="right"/>
              <w:rPr>
                <w:rFonts w:ascii="Arial" w:hAnsi="Arial" w:cs="Arial" w:eastAsia="Arial" w:hint="default"/>
                <w:sz w:val="20"/>
                <w:szCs w:val="20"/>
              </w:rPr>
            </w:pPr>
            <w:r>
              <w:rPr>
                <w:rFonts w:ascii="Arial"/>
                <w:spacing w:val="-1"/>
                <w:sz w:val="20"/>
              </w:rPr>
              <w:t>11,333,318</w:t>
            </w:r>
          </w:p>
        </w:tc>
      </w:tr>
      <w:tr>
        <w:trPr>
          <w:trHeight w:val="268"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19" w:lineRule="exact"/>
              <w:ind w:left="45" w:right="0"/>
              <w:jc w:val="left"/>
              <w:rPr>
                <w:rFonts w:ascii="黑体" w:hAnsi="黑体" w:cs="黑体" w:eastAsia="黑体" w:hint="default"/>
                <w:sz w:val="20"/>
                <w:szCs w:val="20"/>
              </w:rPr>
            </w:pPr>
            <w:r>
              <w:rPr>
                <w:rFonts w:ascii="黑体" w:hAnsi="黑体" w:cs="黑体" w:eastAsia="黑体" w:hint="default"/>
                <w:sz w:val="20"/>
                <w:szCs w:val="20"/>
              </w:rPr>
              <w:t>软件著作权</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9,855,144</w:t>
            </w:r>
            <w:r>
              <w:rPr>
                <w:rFonts w:ascii="Arial"/>
                <w:sz w:val="20"/>
              </w:rPr>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0"/>
              <w:jc w:val="right"/>
              <w:rPr>
                <w:rFonts w:ascii="Arial" w:hAnsi="Arial" w:cs="Arial" w:eastAsia="Arial" w:hint="default"/>
                <w:sz w:val="20"/>
                <w:szCs w:val="20"/>
              </w:rPr>
            </w:pPr>
            <w:r>
              <w:rPr>
                <w:rFonts w:ascii="Arial"/>
                <w:w w:val="100"/>
                <w:sz w:val="20"/>
              </w:rPr>
            </w:r>
            <w:r>
              <w:rPr>
                <w:rFonts w:ascii="Arial"/>
                <w:spacing w:val="-1"/>
                <w:sz w:val="20"/>
                <w:u w:val="single" w:color="000000"/>
              </w:rPr>
              <w:t>33,653,192</w:t>
            </w:r>
            <w:r>
              <w:rPr>
                <w:rFonts w:ascii="Arial"/>
                <w:spacing w:val="-1"/>
                <w:sz w:val="20"/>
              </w:rPr>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41" w:right="0"/>
              <w:jc w:val="left"/>
              <w:rPr>
                <w:rFonts w:ascii="Arial" w:hAnsi="Arial" w:cs="Arial" w:eastAsia="Arial" w:hint="default"/>
                <w:sz w:val="20"/>
                <w:szCs w:val="20"/>
              </w:rPr>
            </w:pPr>
            <w:r>
              <w:rPr>
                <w:rFonts w:ascii="Arial"/>
                <w:sz w:val="20"/>
              </w:rPr>
              <w:t>(  </w:t>
            </w:r>
            <w:r>
              <w:rPr>
                <w:rFonts w:ascii="Arial"/>
                <w:spacing w:val="31"/>
                <w:sz w:val="20"/>
              </w:rPr>
              <w:t> </w:t>
            </w:r>
            <w:r>
              <w:rPr>
                <w:rFonts w:ascii="Arial"/>
                <w:spacing w:val="31"/>
                <w:sz w:val="20"/>
                <w:u w:val="single" w:color="000000"/>
              </w:rPr>
              <w:t> </w:t>
            </w:r>
            <w:r>
              <w:rPr>
                <w:rFonts w:ascii="Arial"/>
                <w:sz w:val="20"/>
                <w:u w:val="single" w:color="000000"/>
              </w:rPr>
              <w:t>3,678,439</w:t>
            </w:r>
            <w:r>
              <w:rPr>
                <w:rFonts w:ascii="Arial"/>
                <w:sz w:val="20"/>
              </w:rPr>
              <w:t>)</w:t>
            </w:r>
          </w:p>
        </w:tc>
        <w:tc>
          <w:tcPr>
            <w:tcW w:w="1170"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15"/>
              <w:ind w:right="17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39,829,897</w:t>
            </w:r>
            <w:r>
              <w:rPr>
                <w:rFonts w:ascii="Arial"/>
                <w:spacing w:val="-1"/>
                <w:sz w:val="20"/>
              </w:rPr>
            </w:r>
          </w:p>
        </w:tc>
      </w:tr>
      <w:tr>
        <w:trPr>
          <w:trHeight w:val="328" w:hRule="exact"/>
        </w:trPr>
        <w:tc>
          <w:tcPr>
            <w:tcW w:w="1119" w:type="dxa"/>
            <w:tcBorders>
              <w:top w:val="nil" w:sz="6" w:space="0" w:color="auto"/>
              <w:left w:val="nil" w:sz="6" w:space="0" w:color="auto"/>
              <w:bottom w:val="nil" w:sz="6" w:space="0" w:color="auto"/>
              <w:right w:val="nil" w:sz="6" w:space="0" w:color="auto"/>
            </w:tcBorders>
          </w:tcPr>
          <w:p>
            <w:pP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05"/>
              <w:jc w:val="right"/>
              <w:rPr>
                <w:rFonts w:ascii="Arial" w:hAnsi="Arial" w:cs="Arial" w:eastAsia="Arial" w:hint="default"/>
                <w:sz w:val="20"/>
                <w:szCs w:val="20"/>
              </w:rPr>
            </w:pPr>
            <w:r>
              <w:rPr>
                <w:rFonts w:ascii="Arial"/>
                <w:w w:val="100"/>
                <w:sz w:val="20"/>
              </w:rPr>
            </w:r>
            <w:r>
              <w:rPr>
                <w:rFonts w:ascii="Arial"/>
                <w:spacing w:val="-1"/>
                <w:sz w:val="20"/>
                <w:u w:val="thick" w:color="000000"/>
              </w:rPr>
              <w:t>100,804,536</w:t>
            </w:r>
            <w:r>
              <w:rPr>
                <w:rFonts w:ascii="Arial"/>
                <w:spacing w:val="-1"/>
                <w:sz w:val="20"/>
              </w:rPr>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40"/>
              <w:jc w:val="right"/>
              <w:rPr>
                <w:rFonts w:ascii="Arial" w:hAnsi="Arial" w:cs="Arial" w:eastAsia="Arial" w:hint="default"/>
                <w:sz w:val="20"/>
                <w:szCs w:val="20"/>
              </w:rPr>
            </w:pPr>
            <w:r>
              <w:rPr>
                <w:rFonts w:ascii="Arial"/>
                <w:w w:val="100"/>
                <w:sz w:val="20"/>
              </w:rPr>
            </w:r>
            <w:r>
              <w:rPr>
                <w:rFonts w:ascii="Arial"/>
                <w:spacing w:val="-1"/>
                <w:sz w:val="20"/>
                <w:u w:val="thick" w:color="000000"/>
              </w:rPr>
              <w:t>33,833,099</w:t>
            </w:r>
            <w:r>
              <w:rPr>
                <w:rFonts w:ascii="Arial"/>
                <w:spacing w:val="-1"/>
                <w:sz w:val="20"/>
              </w:rPr>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2"/>
              <w:ind w:left="186" w:right="0"/>
              <w:jc w:val="left"/>
              <w:rPr>
                <w:rFonts w:ascii="Arial" w:hAnsi="Arial" w:cs="Arial" w:eastAsia="Arial" w:hint="default"/>
                <w:sz w:val="20"/>
                <w:szCs w:val="20"/>
              </w:rPr>
            </w:pPr>
            <w:r>
              <w:rPr>
                <w:rFonts w:ascii="Arial"/>
                <w:w w:val="100"/>
                <w:sz w:val="20"/>
              </w:rPr>
            </w:r>
            <w:r>
              <w:rPr>
                <w:rFonts w:ascii="Arial"/>
                <w:sz w:val="20"/>
                <w:u w:val="thick" w:color="000000"/>
              </w:rPr>
              <w:t>192,401,912</w:t>
            </w:r>
            <w:r>
              <w:rPr>
                <w:rFonts w:ascii="Arial"/>
                <w:sz w:val="20"/>
              </w:rPr>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79"/>
              <w:jc w:val="right"/>
              <w:rPr>
                <w:rFonts w:ascii="Arial" w:hAnsi="Arial" w:cs="Arial" w:eastAsia="Arial" w:hint="default"/>
                <w:sz w:val="20"/>
                <w:szCs w:val="20"/>
              </w:rPr>
            </w:pPr>
            <w:r>
              <w:rPr>
                <w:rFonts w:ascii="Arial"/>
                <w:w w:val="100"/>
                <w:sz w:val="20"/>
              </w:rPr>
            </w:r>
            <w:r>
              <w:rPr>
                <w:rFonts w:ascii="Arial"/>
                <w:spacing w:val="-1"/>
                <w:sz w:val="20"/>
                <w:u w:val="thick" w:color="000000"/>
              </w:rPr>
              <w:t>1,750,318</w:t>
            </w:r>
            <w:r>
              <w:rPr>
                <w:rFonts w:ascii="Arial"/>
                <w:spacing w:val="-1"/>
                <w:sz w:val="20"/>
              </w:rPr>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325,289,229</w:t>
            </w:r>
            <w:r>
              <w:rPr>
                <w:rFonts w:ascii="Arial"/>
                <w:spacing w:val="-1"/>
                <w:sz w:val="20"/>
              </w:rPr>
            </w:r>
          </w:p>
        </w:tc>
      </w:tr>
    </w:tbl>
    <w:p>
      <w:pPr>
        <w:spacing w:line="240" w:lineRule="auto" w:before="11"/>
        <w:rPr>
          <w:rFonts w:ascii="黑体" w:hAnsi="黑体" w:cs="黑体" w:eastAsia="黑体" w:hint="default"/>
          <w:sz w:val="11"/>
          <w:szCs w:val="11"/>
        </w:rPr>
      </w:pPr>
    </w:p>
    <w:p>
      <w:pPr>
        <w:pStyle w:val="BodyText"/>
        <w:spacing w:line="261" w:lineRule="auto" w:before="38"/>
        <w:ind w:left="1233" w:right="534" w:hanging="424"/>
        <w:jc w:val="both"/>
      </w:pPr>
      <w:r>
        <w:rPr/>
        <w:t>注</w:t>
      </w:r>
      <w:r>
        <w:rPr>
          <w:rFonts w:ascii="Arial" w:hAnsi="Arial" w:cs="Arial" w:eastAsia="Arial" w:hint="default"/>
        </w:rPr>
        <w:t>1. 2009</w:t>
      </w:r>
      <w:r>
        <w:rPr/>
        <w:t>年无形资产摊销金额为人民币</w:t>
      </w:r>
      <w:r>
        <w:rPr>
          <w:rFonts w:ascii="Arial" w:hAnsi="Arial" w:cs="Arial" w:eastAsia="Arial" w:hint="default"/>
        </w:rPr>
        <w:t>17,240,404</w:t>
      </w:r>
      <w:r>
        <w:rPr/>
        <w:t>元，</w:t>
      </w:r>
      <w:r>
        <w:rPr>
          <w:rFonts w:ascii="Arial" w:hAnsi="Arial" w:cs="Arial" w:eastAsia="Arial" w:hint="default"/>
        </w:rPr>
        <w:t>2008</w:t>
      </w:r>
      <w:r>
        <w:rPr/>
        <w:t>年无形资产摊销金额为人民</w:t>
      </w:r>
      <w:r>
        <w:rPr>
          <w:spacing w:val="-84"/>
        </w:rPr>
        <w:t> </w:t>
      </w:r>
      <w:r>
        <w:rPr>
          <w:spacing w:val="-3"/>
        </w:rPr>
        <w:t>币</w:t>
      </w:r>
      <w:r>
        <w:rPr>
          <w:rFonts w:ascii="Arial" w:hAnsi="Arial" w:cs="Arial" w:eastAsia="Arial" w:hint="default"/>
          <w:spacing w:val="-3"/>
        </w:rPr>
        <w:t>15,594,120</w:t>
      </w:r>
      <w:r>
        <w:rPr>
          <w:spacing w:val="-3"/>
        </w:rPr>
        <w:t>元，</w:t>
      </w:r>
      <w:r>
        <w:rPr>
          <w:rFonts w:ascii="Arial" w:hAnsi="Arial" w:cs="Arial" w:eastAsia="Arial" w:hint="default"/>
          <w:spacing w:val="-3"/>
        </w:rPr>
        <w:t>2008</w:t>
      </w:r>
      <w:r>
        <w:rPr>
          <w:spacing w:val="-3"/>
        </w:rPr>
        <w:t>年的其他增加是由于将土地使用权从固定资产重分类至无形资</w:t>
      </w:r>
      <w:r>
        <w:rPr>
          <w:w w:val="100"/>
        </w:rPr>
        <w:t> </w:t>
      </w:r>
      <w:r>
        <w:rPr/>
        <w:t>产时，同时将已计提的累计折旧人民币</w:t>
      </w:r>
      <w:r>
        <w:rPr>
          <w:rFonts w:ascii="Arial" w:hAnsi="Arial" w:cs="Arial" w:eastAsia="Arial" w:hint="default"/>
        </w:rPr>
        <w:t>1,798,840</w:t>
      </w:r>
      <w:r>
        <w:rPr/>
        <w:t>元重分类入无形资产的累计摊销。</w:t>
      </w:r>
    </w:p>
    <w:p>
      <w:pPr>
        <w:spacing w:line="240" w:lineRule="auto" w:before="3"/>
        <w:rPr>
          <w:rFonts w:ascii="黑体" w:hAnsi="黑体" w:cs="黑体" w:eastAsia="黑体" w:hint="default"/>
          <w:sz w:val="23"/>
          <w:szCs w:val="23"/>
        </w:rPr>
      </w:pPr>
    </w:p>
    <w:p>
      <w:pPr>
        <w:pStyle w:val="BodyText"/>
        <w:spacing w:line="240" w:lineRule="auto"/>
        <w:ind w:right="147"/>
        <w:jc w:val="left"/>
      </w:pPr>
      <w:r>
        <w:rPr>
          <w:rFonts w:ascii="Arial" w:hAnsi="Arial" w:cs="Arial" w:eastAsia="Arial" w:hint="default"/>
          <w:spacing w:val="-3"/>
        </w:rPr>
        <w:t>2009</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日，本集团不存在无形资产所有权受到限制情况（</w:t>
      </w:r>
      <w:r>
        <w:rPr>
          <w:rFonts w:ascii="Arial" w:hAnsi="Arial" w:cs="Arial" w:eastAsia="Arial" w:hint="default"/>
          <w:spacing w:val="-3"/>
        </w:rPr>
        <w:t>2008</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日：无）。</w:t>
      </w:r>
    </w:p>
    <w:p>
      <w:pPr>
        <w:spacing w:after="0" w:line="240" w:lineRule="auto"/>
        <w:jc w:val="left"/>
        <w:sectPr>
          <w:pgSz w:w="11910" w:h="16840"/>
          <w:pgMar w:header="958" w:footer="462" w:top="2540" w:bottom="660" w:left="1600" w:right="116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
        <w:rPr>
          <w:rFonts w:ascii="黑体" w:hAnsi="黑体" w:cs="黑体" w:eastAsia="黑体" w:hint="default"/>
          <w:b/>
          <w:bCs/>
          <w:sz w:val="23"/>
          <w:szCs w:val="23"/>
        </w:rPr>
      </w:pPr>
    </w:p>
    <w:p>
      <w:pPr>
        <w:tabs>
          <w:tab w:pos="821" w:val="left" w:leader="none"/>
        </w:tabs>
        <w:spacing w:line="518" w:lineRule="auto" w:before="0"/>
        <w:ind w:left="815" w:right="5945" w:hanging="714"/>
        <w:jc w:val="left"/>
        <w:rPr>
          <w:rFonts w:ascii="黑体" w:hAnsi="黑体" w:cs="黑体" w:eastAsia="黑体" w:hint="default"/>
          <w:sz w:val="20"/>
          <w:szCs w:val="20"/>
        </w:rPr>
      </w:pPr>
      <w:r>
        <w:rPr>
          <w:rFonts w:ascii="Arial" w:hAnsi="Arial" w:cs="Arial" w:eastAsia="Arial" w:hint="default"/>
          <w:b/>
          <w:bCs/>
          <w:spacing w:val="-1"/>
          <w:sz w:val="20"/>
          <w:szCs w:val="20"/>
        </w:rPr>
        <w:t>14.</w:t>
        <w:tab/>
        <w:tab/>
      </w:r>
      <w:r>
        <w:rPr>
          <w:rFonts w:ascii="黑体" w:hAnsi="黑体" w:cs="黑体" w:eastAsia="黑体" w:hint="default"/>
          <w:b/>
          <w:bCs/>
          <w:sz w:val="20"/>
          <w:szCs w:val="20"/>
        </w:rPr>
        <w:t>无形资产（续）</w:t>
      </w:r>
      <w:r>
        <w:rPr>
          <w:rFonts w:ascii="黑体" w:hAnsi="黑体" w:cs="黑体" w:eastAsia="黑体" w:hint="default"/>
          <w:b/>
          <w:bCs/>
          <w:w w:val="99"/>
          <w:sz w:val="20"/>
          <w:szCs w:val="20"/>
        </w:rPr>
        <w:t> </w:t>
      </w:r>
      <w:r>
        <w:rPr>
          <w:rFonts w:ascii="黑体" w:hAnsi="黑体" w:cs="黑体" w:eastAsia="黑体" w:hint="default"/>
          <w:sz w:val="20"/>
          <w:szCs w:val="20"/>
        </w:rPr>
        <w:t>软件使用权主要包括：</w:t>
      </w:r>
    </w:p>
    <w:p>
      <w:pPr>
        <w:pStyle w:val="BodyText"/>
        <w:spacing w:line="261" w:lineRule="auto" w:before="106"/>
        <w:ind w:left="810" w:right="154" w:hanging="709"/>
        <w:jc w:val="both"/>
      </w:pPr>
      <w:r>
        <w:rPr>
          <w:rFonts w:ascii="Arial" w:hAnsi="Arial" w:cs="Arial" w:eastAsia="Arial" w:hint="default"/>
        </w:rPr>
        <w:t>(1) </w:t>
      </w:r>
      <w:r>
        <w:rPr>
          <w:spacing w:val="23"/>
        </w:rPr>
        <w:t>本公司从非关联方台湾汉康科技股份有限公司和上海汉康管理软件有限公司受让的</w:t>
      </w:r>
      <w:r>
        <w:rPr>
          <w:spacing w:val="-96"/>
        </w:rPr>
        <w:t> </w:t>
      </w:r>
      <w:r>
        <w:rPr>
          <w:spacing w:val="-96"/>
        </w:rPr>
      </w:r>
      <w:r>
        <w:rPr>
          <w:rFonts w:ascii="Arial" w:hAnsi="Arial" w:cs="Arial" w:eastAsia="Arial" w:hint="default"/>
          <w:spacing w:val="10"/>
        </w:rPr>
        <w:t>NetupERPP.Q</w:t>
      </w:r>
      <w:r>
        <w:rPr>
          <w:spacing w:val="10"/>
        </w:rPr>
        <w:t>系列软件产品的软件著作权的使用权。该软件技术转让费共计人民币</w:t>
      </w:r>
      <w:r>
        <w:rPr>
          <w:w w:val="100"/>
        </w:rPr>
        <w:t> </w:t>
      </w:r>
      <w:r>
        <w:rPr>
          <w:rFonts w:ascii="Arial" w:hAnsi="Arial" w:cs="Arial" w:eastAsia="Arial" w:hint="default"/>
          <w:spacing w:val="-3"/>
        </w:rPr>
        <w:t>20,000,000</w:t>
      </w:r>
      <w:r>
        <w:rPr>
          <w:spacing w:val="-3"/>
        </w:rPr>
        <w:t>元。根据该合同</w:t>
      </w:r>
      <w:r>
        <w:rPr>
          <w:rFonts w:ascii="Arial" w:hAnsi="Arial" w:cs="Arial" w:eastAsia="Arial" w:hint="default"/>
          <w:spacing w:val="-3"/>
        </w:rPr>
        <w:t>,</w:t>
      </w:r>
      <w:r>
        <w:rPr>
          <w:spacing w:val="-3"/>
        </w:rPr>
        <w:t>本公司有权使用上述软件技术、设备、开发、生产和销售基于</w:t>
      </w:r>
      <w:r>
        <w:rPr>
          <w:w w:val="100"/>
        </w:rPr>
        <w:t> </w:t>
      </w:r>
      <w:r>
        <w:rPr/>
        <w:t>该等软件的修改本和</w:t>
      </w:r>
      <w:r>
        <w:rPr>
          <w:rFonts w:ascii="Arial" w:hAnsi="Arial" w:cs="Arial" w:eastAsia="Arial" w:hint="default"/>
        </w:rPr>
        <w:t>/</w:t>
      </w:r>
      <w:r>
        <w:rPr/>
        <w:t>或合成软件。</w:t>
      </w:r>
    </w:p>
    <w:p>
      <w:pPr>
        <w:spacing w:line="240" w:lineRule="auto" w:before="3"/>
        <w:rPr>
          <w:rFonts w:ascii="黑体" w:hAnsi="黑体" w:cs="黑体" w:eastAsia="黑体" w:hint="default"/>
          <w:sz w:val="23"/>
          <w:szCs w:val="23"/>
        </w:rPr>
      </w:pPr>
    </w:p>
    <w:p>
      <w:pPr>
        <w:pStyle w:val="BodyText"/>
        <w:spacing w:line="261" w:lineRule="auto"/>
        <w:ind w:left="810" w:right="154" w:hanging="710"/>
        <w:jc w:val="both"/>
      </w:pPr>
      <w:r>
        <w:rPr>
          <w:rFonts w:ascii="Arial" w:hAnsi="Arial" w:cs="Arial" w:eastAsia="Arial" w:hint="default"/>
        </w:rPr>
        <w:t>(2)</w:t>
      </w:r>
      <w:r>
        <w:rPr>
          <w:rFonts w:ascii="Arial" w:hAnsi="Arial" w:cs="Arial" w:eastAsia="Arial" w:hint="default"/>
          <w:spacing w:val="48"/>
        </w:rPr>
        <w:t> </w:t>
      </w:r>
      <w:r>
        <w:rPr/>
        <w:t>根据用友烟草于</w:t>
      </w:r>
      <w:r>
        <w:rPr>
          <w:rFonts w:ascii="Arial" w:hAnsi="Arial" w:cs="Arial" w:eastAsia="Arial" w:hint="default"/>
        </w:rPr>
        <w:t>2005</w:t>
      </w:r>
      <w:r>
        <w:rPr/>
        <w:t>年</w:t>
      </w:r>
      <w:r>
        <w:rPr>
          <w:rFonts w:ascii="Arial" w:hAnsi="Arial" w:cs="Arial" w:eastAsia="Arial" w:hint="default"/>
        </w:rPr>
        <w:t>8</w:t>
      </w:r>
      <w:r>
        <w:rPr/>
        <w:t>月</w:t>
      </w:r>
      <w:r>
        <w:rPr>
          <w:rFonts w:ascii="Arial" w:hAnsi="Arial" w:cs="Arial" w:eastAsia="Arial" w:hint="default"/>
        </w:rPr>
        <w:t>18</w:t>
      </w:r>
      <w:r>
        <w:rPr/>
        <w:t>日与非关联方厦门海晟信息技术有限公司签订的《关于</w:t>
      </w:r>
      <w:r>
        <w:rPr>
          <w:rFonts w:ascii="Arial" w:hAnsi="Arial" w:cs="Arial" w:eastAsia="Arial" w:hint="default"/>
        </w:rPr>
        <w:t>“</w:t>
      </w:r>
      <w:r>
        <w:rPr/>
        <w:t>海晟</w:t>
      </w:r>
      <w:r>
        <w:rPr>
          <w:rFonts w:ascii="Arial" w:hAnsi="Arial" w:cs="Arial" w:eastAsia="Arial" w:hint="default"/>
        </w:rPr>
        <w:t>A6</w:t>
      </w:r>
      <w:r>
        <w:rPr>
          <w:rFonts w:ascii="Arial" w:hAnsi="Arial" w:cs="Arial" w:eastAsia="Arial" w:hint="default"/>
          <w:spacing w:val="-1"/>
          <w:w w:val="100"/>
        </w:rPr>
        <w:t> </w:t>
      </w:r>
      <w:r>
        <w:rPr>
          <w:spacing w:val="-2"/>
        </w:rPr>
        <w:t>软件</w:t>
      </w:r>
      <w:r>
        <w:rPr>
          <w:rFonts w:ascii="Arial" w:hAnsi="Arial" w:cs="Arial" w:eastAsia="Arial" w:hint="default"/>
          <w:spacing w:val="-2"/>
        </w:rPr>
        <w:t>”</w:t>
      </w:r>
      <w:r>
        <w:rPr>
          <w:spacing w:val="-2"/>
        </w:rPr>
        <w:t>技术及知识产权独占使用许可协议》，用友烟草受让</w:t>
      </w:r>
      <w:r>
        <w:rPr>
          <w:rFonts w:ascii="Arial" w:hAnsi="Arial" w:cs="Arial" w:eastAsia="Arial" w:hint="default"/>
          <w:spacing w:val="-2"/>
        </w:rPr>
        <w:t>“</w:t>
      </w:r>
      <w:r>
        <w:rPr>
          <w:spacing w:val="-2"/>
        </w:rPr>
        <w:t>海晟</w:t>
      </w:r>
      <w:r>
        <w:rPr>
          <w:rFonts w:ascii="Arial" w:hAnsi="Arial" w:cs="Arial" w:eastAsia="Arial" w:hint="default"/>
          <w:spacing w:val="-2"/>
        </w:rPr>
        <w:t>A6</w:t>
      </w:r>
      <w:r>
        <w:rPr>
          <w:spacing w:val="-2"/>
        </w:rPr>
        <w:t>软件</w:t>
      </w:r>
      <w:r>
        <w:rPr>
          <w:rFonts w:ascii="Arial" w:hAnsi="Arial" w:cs="Arial" w:eastAsia="Arial" w:hint="default"/>
          <w:spacing w:val="-2"/>
        </w:rPr>
        <w:t>”</w:t>
      </w:r>
      <w:r>
        <w:rPr>
          <w:spacing w:val="-2"/>
        </w:rPr>
        <w:t>技术及知识产权的</w:t>
      </w:r>
      <w:r>
        <w:rPr>
          <w:w w:val="100"/>
        </w:rPr>
        <w:t> </w:t>
      </w:r>
      <w:r>
        <w:rPr>
          <w:spacing w:val="-3"/>
        </w:rPr>
        <w:t>独占使用许可权，该独占使用许可权的转让费共计人民币</w:t>
      </w:r>
      <w:r>
        <w:rPr>
          <w:rFonts w:ascii="Arial" w:hAnsi="Arial" w:cs="Arial" w:eastAsia="Arial" w:hint="default"/>
          <w:spacing w:val="-3"/>
        </w:rPr>
        <w:t>6,000,000</w:t>
      </w:r>
      <w:r>
        <w:rPr>
          <w:spacing w:val="-3"/>
        </w:rPr>
        <w:t>元。根据该合同，用友</w:t>
      </w:r>
      <w:r>
        <w:rPr>
          <w:w w:val="100"/>
        </w:rPr>
        <w:t> </w:t>
      </w:r>
      <w:r>
        <w:rPr>
          <w:spacing w:val="-3"/>
        </w:rPr>
        <w:t>烟草有权独占此软件的使用许可权，使用期限直至其经营期限届满之日止。截至</w:t>
      </w:r>
      <w:r>
        <w:rPr>
          <w:rFonts w:ascii="Arial" w:hAnsi="Arial" w:cs="Arial" w:eastAsia="Arial" w:hint="default"/>
          <w:spacing w:val="-3"/>
        </w:rPr>
        <w:t>2009</w:t>
      </w:r>
      <w:r>
        <w:rPr>
          <w:spacing w:val="-3"/>
        </w:rPr>
        <w:t>年</w:t>
      </w:r>
      <w:r>
        <w:rPr>
          <w:rFonts w:ascii="Arial" w:hAnsi="Arial" w:cs="Arial" w:eastAsia="Arial" w:hint="default"/>
          <w:spacing w:val="-3"/>
        </w:rPr>
        <w:t>12</w:t>
      </w:r>
      <w:r>
        <w:rPr>
          <w:rFonts w:ascii="Arial" w:hAnsi="Arial" w:cs="Arial" w:eastAsia="Arial" w:hint="default"/>
          <w:spacing w:val="-2"/>
          <w:w w:val="100"/>
        </w:rPr>
        <w:t> </w:t>
      </w:r>
      <w:r>
        <w:rPr>
          <w:spacing w:val="-1"/>
        </w:rPr>
        <w:t>月</w:t>
      </w:r>
      <w:r>
        <w:rPr>
          <w:rFonts w:ascii="Arial" w:hAnsi="Arial" w:cs="Arial" w:eastAsia="Arial" w:hint="default"/>
          <w:spacing w:val="-1"/>
        </w:rPr>
        <w:t>31</w:t>
      </w:r>
      <w:r>
        <w:rPr>
          <w:spacing w:val="-1"/>
        </w:rPr>
        <w:t>日，该软件使用权累计摊销人民币</w:t>
      </w:r>
      <w:r>
        <w:rPr>
          <w:rFonts w:ascii="Arial" w:hAnsi="Arial" w:cs="Arial" w:eastAsia="Arial" w:hint="default"/>
          <w:spacing w:val="-1"/>
        </w:rPr>
        <w:t>2,400,000</w:t>
      </w:r>
      <w:r>
        <w:rPr>
          <w:spacing w:val="-1"/>
        </w:rPr>
        <w:t>元，账面价值计人民币</w:t>
      </w:r>
      <w:r>
        <w:rPr>
          <w:rFonts w:ascii="Arial" w:hAnsi="Arial" w:cs="Arial" w:eastAsia="Arial" w:hint="default"/>
          <w:spacing w:val="-1"/>
        </w:rPr>
        <w:t>3,600,000</w:t>
      </w:r>
      <w:r>
        <w:rPr>
          <w:spacing w:val="-1"/>
        </w:rPr>
        <w:t>元。自</w:t>
      </w:r>
      <w:r>
        <w:rPr>
          <w:w w:val="100"/>
        </w:rPr>
        <w:t> </w:t>
      </w:r>
      <w:r>
        <w:rPr>
          <w:rFonts w:ascii="Arial" w:hAnsi="Arial" w:cs="Arial" w:eastAsia="Arial" w:hint="default"/>
          <w:spacing w:val="-2"/>
        </w:rPr>
        <w:t>2009</w:t>
      </w:r>
      <w:r>
        <w:rPr>
          <w:spacing w:val="-2"/>
        </w:rPr>
        <w:t>年始用友烟草的主要客户开始使用该公司自主研发的烟草软件产品，且用友烟草计划</w:t>
      </w:r>
      <w:r>
        <w:rPr>
          <w:w w:val="100"/>
        </w:rPr>
        <w:t> </w:t>
      </w:r>
      <w:r>
        <w:rPr>
          <w:spacing w:val="-2"/>
        </w:rPr>
        <w:t>自</w:t>
      </w:r>
      <w:r>
        <w:rPr>
          <w:rFonts w:ascii="Arial" w:hAnsi="Arial" w:cs="Arial" w:eastAsia="Arial" w:hint="default"/>
          <w:spacing w:val="-2"/>
        </w:rPr>
        <w:t>2010</w:t>
      </w:r>
      <w:r>
        <w:rPr>
          <w:spacing w:val="-2"/>
        </w:rPr>
        <w:t>年停止销售</w:t>
      </w:r>
      <w:r>
        <w:rPr>
          <w:rFonts w:ascii="Arial" w:hAnsi="Arial" w:cs="Arial" w:eastAsia="Arial" w:hint="default"/>
          <w:spacing w:val="-2"/>
        </w:rPr>
        <w:t>“</w:t>
      </w:r>
      <w:r>
        <w:rPr>
          <w:spacing w:val="-2"/>
        </w:rPr>
        <w:t>海晟</w:t>
      </w:r>
      <w:r>
        <w:rPr>
          <w:rFonts w:ascii="Arial" w:hAnsi="Arial" w:cs="Arial" w:eastAsia="Arial" w:hint="default"/>
          <w:spacing w:val="-2"/>
        </w:rPr>
        <w:t>A6</w:t>
      </w:r>
      <w:r>
        <w:rPr>
          <w:spacing w:val="-2"/>
        </w:rPr>
        <w:t>软件</w:t>
      </w:r>
      <w:r>
        <w:rPr>
          <w:rFonts w:ascii="Arial" w:hAnsi="Arial" w:cs="Arial" w:eastAsia="Arial" w:hint="default"/>
          <w:spacing w:val="-2"/>
        </w:rPr>
        <w:t>”</w:t>
      </w:r>
      <w:r>
        <w:rPr>
          <w:spacing w:val="-2"/>
        </w:rPr>
        <w:t>产品，故于本年末本公司对该软件使用权的账面价值人民</w:t>
      </w:r>
      <w:r>
        <w:rPr>
          <w:w w:val="100"/>
        </w:rPr>
        <w:t> </w:t>
      </w:r>
      <w:r>
        <w:rPr/>
        <w:t>币</w:t>
      </w:r>
      <w:r>
        <w:rPr>
          <w:rFonts w:ascii="Arial" w:hAnsi="Arial" w:cs="Arial" w:eastAsia="Arial" w:hint="default"/>
        </w:rPr>
        <w:t>3,600,000</w:t>
      </w:r>
      <w:r>
        <w:rPr/>
        <w:t>元全额计提减值准备。</w:t>
      </w:r>
    </w:p>
    <w:p>
      <w:pPr>
        <w:spacing w:line="240" w:lineRule="auto" w:before="3"/>
        <w:rPr>
          <w:rFonts w:ascii="黑体" w:hAnsi="黑体" w:cs="黑体" w:eastAsia="黑体" w:hint="default"/>
          <w:sz w:val="23"/>
          <w:szCs w:val="23"/>
        </w:rPr>
      </w:pPr>
    </w:p>
    <w:p>
      <w:pPr>
        <w:pStyle w:val="BodyText"/>
        <w:spacing w:line="240" w:lineRule="auto"/>
        <w:ind w:right="0"/>
        <w:jc w:val="left"/>
      </w:pPr>
      <w:r>
        <w:rPr/>
        <w:t>软件著作权包括：</w:t>
      </w:r>
    </w:p>
    <w:p>
      <w:pPr>
        <w:spacing w:line="240" w:lineRule="auto" w:before="11"/>
        <w:rPr>
          <w:rFonts w:ascii="黑体" w:hAnsi="黑体" w:cs="黑体" w:eastAsia="黑体" w:hint="default"/>
          <w:sz w:val="25"/>
          <w:szCs w:val="25"/>
        </w:rPr>
      </w:pPr>
    </w:p>
    <w:p>
      <w:pPr>
        <w:pStyle w:val="BodyText"/>
        <w:spacing w:line="268" w:lineRule="auto"/>
        <w:ind w:left="810" w:right="154" w:hanging="710"/>
        <w:jc w:val="both"/>
      </w:pPr>
      <w:r>
        <w:rPr>
          <w:rFonts w:ascii="Arial" w:hAnsi="Arial" w:cs="Arial" w:eastAsia="Arial" w:hint="default"/>
        </w:rPr>
        <w:t>(1)</w:t>
      </w:r>
      <w:r>
        <w:rPr>
          <w:rFonts w:ascii="Arial" w:hAnsi="Arial" w:cs="Arial" w:eastAsia="Arial" w:hint="default"/>
          <w:spacing w:val="32"/>
        </w:rPr>
        <w:t> </w:t>
      </w:r>
      <w:r>
        <w:rPr/>
        <w:t>《华表》电子表格软件</w:t>
      </w:r>
      <w:r>
        <w:rPr>
          <w:rFonts w:ascii="Arial" w:hAnsi="Arial" w:cs="Arial" w:eastAsia="Arial" w:hint="default"/>
        </w:rPr>
        <w:t>V3.2</w:t>
      </w:r>
      <w:r>
        <w:rPr/>
        <w:t>，价值人民币</w:t>
      </w:r>
      <w:r>
        <w:rPr>
          <w:rFonts w:ascii="Arial" w:hAnsi="Arial" w:cs="Arial" w:eastAsia="Arial" w:hint="default"/>
        </w:rPr>
        <w:t>8,888,889</w:t>
      </w:r>
      <w:r>
        <w:rPr/>
        <w:t>元，乃用友华表向其股东之一唐爱平先生</w:t>
      </w:r>
      <w:r>
        <w:rPr>
          <w:w w:val="100"/>
        </w:rPr>
        <w:t> </w:t>
      </w:r>
      <w:r>
        <w:rPr>
          <w:spacing w:val="-1"/>
        </w:rPr>
        <w:t>处所购得的。根据用友华表及唐爱平先生双方所签订的《计算机软件著作权转让合同》规</w:t>
      </w:r>
      <w:r>
        <w:rPr>
          <w:w w:val="100"/>
        </w:rPr>
        <w:t> </w:t>
      </w:r>
      <w:r>
        <w:rPr/>
        <w:t>定，本公司享有该软件产品的使用权，使用许可权和获得报酬权。</w:t>
      </w:r>
    </w:p>
    <w:p>
      <w:pPr>
        <w:spacing w:line="240" w:lineRule="auto" w:before="0"/>
        <w:rPr>
          <w:rFonts w:ascii="黑体" w:hAnsi="黑体" w:cs="黑体" w:eastAsia="黑体" w:hint="default"/>
          <w:sz w:val="24"/>
          <w:szCs w:val="24"/>
        </w:rPr>
      </w:pPr>
    </w:p>
    <w:p>
      <w:pPr>
        <w:pStyle w:val="BodyText"/>
        <w:spacing w:line="261" w:lineRule="auto"/>
        <w:ind w:left="810" w:right="154" w:hanging="710"/>
        <w:jc w:val="both"/>
      </w:pPr>
      <w:r>
        <w:rPr>
          <w:rFonts w:ascii="Arial" w:hAnsi="Arial" w:cs="Arial" w:eastAsia="Arial" w:hint="default"/>
        </w:rPr>
        <w:t>(2) </w:t>
      </w:r>
      <w:r>
        <w:rPr>
          <w:spacing w:val="-3"/>
        </w:rPr>
        <w:t>新加坡益富士应用系统亚太私人有限公司于</w:t>
      </w:r>
      <w:r>
        <w:rPr>
          <w:rFonts w:ascii="Arial" w:hAnsi="Arial" w:cs="Arial" w:eastAsia="Arial" w:hint="default"/>
          <w:spacing w:val="-3"/>
        </w:rPr>
        <w:t>2002</w:t>
      </w:r>
      <w:r>
        <w:rPr>
          <w:spacing w:val="-3"/>
        </w:rPr>
        <w:t>年中向其持有</w:t>
      </w:r>
      <w:r>
        <w:rPr>
          <w:rFonts w:ascii="Arial" w:hAnsi="Arial" w:cs="Arial" w:eastAsia="Arial" w:hint="default"/>
          <w:spacing w:val="-3"/>
        </w:rPr>
        <w:t>25%</w:t>
      </w:r>
      <w:r>
        <w:rPr>
          <w:spacing w:val="-3"/>
        </w:rPr>
        <w:t>权益的用友艾福斯，投入</w:t>
      </w:r>
      <w:r>
        <w:rPr>
          <w:rFonts w:ascii="Arial" w:hAnsi="Arial" w:cs="Arial" w:eastAsia="Arial" w:hint="default"/>
          <w:spacing w:val="-3"/>
        </w:rPr>
        <w:t>1</w:t>
      </w:r>
      <w:r>
        <w:rPr>
          <w:rFonts w:ascii="Arial" w:hAnsi="Arial" w:cs="Arial" w:eastAsia="Arial" w:hint="default"/>
          <w:spacing w:val="-54"/>
        </w:rPr>
        <w:t> </w:t>
      </w:r>
      <w:r>
        <w:rPr/>
        <w:t>套</w:t>
      </w:r>
      <w:r>
        <w:rPr>
          <w:rFonts w:ascii="Arial" w:hAnsi="Arial" w:cs="Arial" w:eastAsia="Arial" w:hint="default"/>
        </w:rPr>
        <w:t>IFS</w:t>
      </w:r>
      <w:r>
        <w:rPr/>
        <w:t>应用系统技术软件，该套技术软件已向中华人民共和国海关进口货物报关进口，并</w:t>
      </w:r>
      <w:r>
        <w:rPr>
          <w:w w:val="100"/>
        </w:rPr>
        <w:t> </w:t>
      </w:r>
      <w:r>
        <w:rPr/>
        <w:t>且经中华人民共和国出入境检验检疫局出具了价值鉴定书，鉴定价值为</w:t>
      </w:r>
      <w:r>
        <w:rPr>
          <w:rFonts w:ascii="Arial" w:hAnsi="Arial" w:cs="Arial" w:eastAsia="Arial" w:hint="default"/>
        </w:rPr>
        <w:t>333,334</w:t>
      </w:r>
      <w:r>
        <w:rPr/>
        <w:t>美元（折</w:t>
      </w:r>
      <w:r>
        <w:rPr>
          <w:w w:val="100"/>
        </w:rPr>
        <w:t> </w:t>
      </w:r>
      <w:r>
        <w:rPr/>
        <w:t>合约为人民币</w:t>
      </w:r>
      <w:r>
        <w:rPr>
          <w:rFonts w:ascii="Arial" w:hAnsi="Arial" w:cs="Arial" w:eastAsia="Arial" w:hint="default"/>
        </w:rPr>
        <w:t>2,760,000</w:t>
      </w:r>
      <w:r>
        <w:rPr/>
        <w:t>元）。</w:t>
      </w:r>
    </w:p>
    <w:p>
      <w:pPr>
        <w:spacing w:line="240" w:lineRule="auto" w:before="3"/>
        <w:rPr>
          <w:rFonts w:ascii="黑体" w:hAnsi="黑体" w:cs="黑体" w:eastAsia="黑体" w:hint="default"/>
          <w:sz w:val="23"/>
          <w:szCs w:val="23"/>
        </w:rPr>
      </w:pPr>
    </w:p>
    <w:p>
      <w:pPr>
        <w:pStyle w:val="BodyText"/>
        <w:spacing w:line="268" w:lineRule="auto"/>
        <w:ind w:left="810" w:right="155" w:hanging="709"/>
        <w:jc w:val="both"/>
      </w:pPr>
      <w:r>
        <w:rPr>
          <w:rFonts w:ascii="Arial" w:hAnsi="Arial" w:cs="Arial" w:eastAsia="Arial" w:hint="default"/>
        </w:rPr>
        <w:t>(3)</w:t>
      </w:r>
      <w:r>
        <w:rPr>
          <w:rFonts w:ascii="Arial" w:hAnsi="Arial" w:cs="Arial" w:eastAsia="Arial" w:hint="default"/>
          <w:spacing w:val="29"/>
        </w:rPr>
        <w:t> </w:t>
      </w:r>
      <w:r>
        <w:rPr/>
        <w:t>本公司于</w:t>
      </w:r>
      <w:r>
        <w:rPr>
          <w:rFonts w:ascii="Arial" w:hAnsi="Arial" w:cs="Arial" w:eastAsia="Arial" w:hint="default"/>
        </w:rPr>
        <w:t>2002</w:t>
      </w:r>
      <w:r>
        <w:rPr/>
        <w:t>年</w:t>
      </w:r>
      <w:r>
        <w:rPr>
          <w:rFonts w:ascii="Arial" w:hAnsi="Arial" w:cs="Arial" w:eastAsia="Arial" w:hint="default"/>
        </w:rPr>
        <w:t>8</w:t>
      </w:r>
      <w:r>
        <w:rPr/>
        <w:t>月</w:t>
      </w:r>
      <w:r>
        <w:rPr>
          <w:rFonts w:ascii="Arial" w:hAnsi="Arial" w:cs="Arial" w:eastAsia="Arial" w:hint="default"/>
        </w:rPr>
        <w:t>26</w:t>
      </w:r>
      <w:r>
        <w:rPr/>
        <w:t>日与深圳市硕旺信息技术开发有限公司（以下简称</w:t>
      </w:r>
      <w:r>
        <w:rPr>
          <w:rFonts w:ascii="Arial" w:hAnsi="Arial" w:cs="Arial" w:eastAsia="Arial" w:hint="default"/>
        </w:rPr>
        <w:t>“</w:t>
      </w:r>
      <w:r>
        <w:rPr/>
        <w:t>硕旺信息</w:t>
      </w:r>
      <w:r>
        <w:rPr>
          <w:rFonts w:ascii="Arial" w:hAnsi="Arial" w:cs="Arial" w:eastAsia="Arial" w:hint="default"/>
        </w:rPr>
        <w:t>”</w:t>
      </w:r>
      <w:r>
        <w:rPr/>
        <w:t>）签订软</w:t>
      </w:r>
      <w:r>
        <w:rPr>
          <w:w w:val="100"/>
        </w:rPr>
        <w:t> </w:t>
      </w:r>
      <w:r>
        <w:rPr>
          <w:spacing w:val="-1"/>
        </w:rPr>
        <w:t>件著作权转让合同，向硕旺信息购得由其已开发的全部人力资源软件及相关软件和工具的</w:t>
      </w:r>
      <w:r>
        <w:rPr>
          <w:w w:val="100"/>
        </w:rPr>
        <w:t> </w:t>
      </w:r>
      <w:r>
        <w:rPr>
          <w:spacing w:val="-3"/>
        </w:rPr>
        <w:t>著作权等的知识产权，该些知识产权的全部转让价格总计为人民币</w:t>
      </w:r>
      <w:r>
        <w:rPr>
          <w:rFonts w:ascii="Arial" w:hAnsi="Arial" w:cs="Arial" w:eastAsia="Arial" w:hint="default"/>
          <w:spacing w:val="-3"/>
        </w:rPr>
        <w:t>7,750,000</w:t>
      </w:r>
      <w:r>
        <w:rPr>
          <w:spacing w:val="-3"/>
        </w:rPr>
        <w:t>元。根据上述</w:t>
      </w:r>
      <w:r>
        <w:rPr>
          <w:w w:val="100"/>
        </w:rPr>
        <w:t> </w:t>
      </w:r>
      <w:r>
        <w:rPr>
          <w:spacing w:val="-1"/>
        </w:rPr>
        <w:t>软件著作权转让合同，硕旺信息自合同签订之日起，不再对该等软件技术及相应的著作权</w:t>
      </w:r>
      <w:r>
        <w:rPr>
          <w:w w:val="100"/>
        </w:rPr>
        <w:t> </w:t>
      </w:r>
      <w:r>
        <w:rPr/>
        <w:t>享有任何权利。</w:t>
      </w:r>
    </w:p>
    <w:p>
      <w:pPr>
        <w:spacing w:line="240" w:lineRule="auto" w:before="0"/>
        <w:rPr>
          <w:rFonts w:ascii="黑体" w:hAnsi="黑体" w:cs="黑体" w:eastAsia="黑体" w:hint="default"/>
          <w:sz w:val="24"/>
          <w:szCs w:val="24"/>
        </w:rPr>
      </w:pPr>
    </w:p>
    <w:p>
      <w:pPr>
        <w:pStyle w:val="BodyText"/>
        <w:spacing w:line="261" w:lineRule="auto"/>
        <w:ind w:left="810" w:right="152" w:hanging="710"/>
        <w:jc w:val="both"/>
      </w:pPr>
      <w:r>
        <w:rPr>
          <w:rFonts w:ascii="Arial" w:hAnsi="Arial" w:cs="Arial" w:eastAsia="Arial" w:hint="default"/>
        </w:rPr>
        <w:t>(4) </w:t>
      </w:r>
      <w:r>
        <w:rPr/>
        <w:t>本公司于</w:t>
      </w:r>
      <w:r>
        <w:rPr>
          <w:rFonts w:ascii="Arial" w:hAnsi="Arial" w:cs="Arial" w:eastAsia="Arial" w:hint="default"/>
        </w:rPr>
        <w:t>2003</w:t>
      </w:r>
      <w:r>
        <w:rPr/>
        <w:t>年</w:t>
      </w:r>
      <w:r>
        <w:rPr>
          <w:rFonts w:ascii="Arial" w:hAnsi="Arial" w:cs="Arial" w:eastAsia="Arial" w:hint="default"/>
        </w:rPr>
        <w:t>11</w:t>
      </w:r>
      <w:r>
        <w:rPr/>
        <w:t>月</w:t>
      </w:r>
      <w:r>
        <w:rPr>
          <w:rFonts w:ascii="Arial" w:hAnsi="Arial" w:cs="Arial" w:eastAsia="Arial" w:hint="default"/>
        </w:rPr>
        <w:t>6</w:t>
      </w:r>
      <w:r>
        <w:rPr/>
        <w:t>日从非关联方丰富汇理软件公司购得由其开发的丰富汇理财务系统软</w:t>
      </w:r>
      <w:r>
        <w:rPr>
          <w:spacing w:val="-57"/>
        </w:rPr>
        <w:t> </w:t>
      </w:r>
      <w:r>
        <w:rPr>
          <w:spacing w:val="-3"/>
        </w:rPr>
        <w:t>件著作权，该软件技术转让价格为人民币</w:t>
      </w:r>
      <w:r>
        <w:rPr>
          <w:rFonts w:ascii="Arial" w:hAnsi="Arial" w:cs="Arial" w:eastAsia="Arial" w:hint="default"/>
          <w:spacing w:val="-3"/>
        </w:rPr>
        <w:t>2,000,000</w:t>
      </w:r>
      <w:r>
        <w:rPr>
          <w:spacing w:val="-3"/>
        </w:rPr>
        <w:t>元。相关软件著作权权属证书和软件产</w:t>
      </w:r>
      <w:r>
        <w:rPr>
          <w:w w:val="100"/>
        </w:rPr>
        <w:t> </w:t>
      </w:r>
      <w:r>
        <w:rPr/>
        <w:t>品登记手续已办理完成。</w:t>
      </w:r>
    </w:p>
    <w:p>
      <w:pPr>
        <w:spacing w:after="0" w:line="261" w:lineRule="auto"/>
        <w:jc w:val="both"/>
        <w:sectPr>
          <w:pgSz w:w="11910" w:h="16840"/>
          <w:pgMar w:header="958" w:footer="462" w:top="2540" w:bottom="660" w:left="1600" w:right="154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7"/>
        <w:rPr>
          <w:rFonts w:ascii="黑体" w:hAnsi="黑体" w:cs="黑体" w:eastAsia="黑体" w:hint="default"/>
          <w:b/>
          <w:bCs/>
          <w:sz w:val="21"/>
          <w:szCs w:val="21"/>
        </w:rPr>
      </w:pPr>
    </w:p>
    <w:p>
      <w:pPr>
        <w:tabs>
          <w:tab w:pos="810" w:val="left" w:leader="none"/>
        </w:tabs>
        <w:spacing w:line="518" w:lineRule="auto" w:before="0"/>
        <w:ind w:left="810" w:right="5750" w:hanging="710"/>
        <w:jc w:val="left"/>
        <w:rPr>
          <w:rFonts w:ascii="黑体" w:hAnsi="黑体" w:cs="黑体" w:eastAsia="黑体" w:hint="default"/>
          <w:sz w:val="20"/>
          <w:szCs w:val="20"/>
        </w:rPr>
      </w:pPr>
      <w:r>
        <w:rPr>
          <w:rFonts w:ascii="Arial" w:hAnsi="Arial" w:cs="Arial" w:eastAsia="Arial" w:hint="default"/>
          <w:b/>
          <w:bCs/>
          <w:spacing w:val="-1"/>
          <w:sz w:val="20"/>
          <w:szCs w:val="20"/>
        </w:rPr>
        <w:t>14.</w:t>
        <w:tab/>
      </w:r>
      <w:r>
        <w:rPr>
          <w:rFonts w:ascii="黑体" w:hAnsi="黑体" w:cs="黑体" w:eastAsia="黑体" w:hint="default"/>
          <w:b/>
          <w:bCs/>
          <w:sz w:val="20"/>
          <w:szCs w:val="20"/>
        </w:rPr>
        <w:t>无形资产（续）</w:t>
      </w:r>
      <w:r>
        <w:rPr>
          <w:rFonts w:ascii="黑体" w:hAnsi="黑体" w:cs="黑体" w:eastAsia="黑体" w:hint="default"/>
          <w:b/>
          <w:bCs/>
          <w:w w:val="99"/>
          <w:sz w:val="20"/>
          <w:szCs w:val="20"/>
        </w:rPr>
        <w:t> </w:t>
      </w:r>
      <w:r>
        <w:rPr>
          <w:rFonts w:ascii="黑体" w:hAnsi="黑体" w:cs="黑体" w:eastAsia="黑体" w:hint="default"/>
          <w:sz w:val="20"/>
          <w:szCs w:val="20"/>
        </w:rPr>
        <w:t>软件著作权包括（续）：</w:t>
      </w:r>
    </w:p>
    <w:p>
      <w:pPr>
        <w:pStyle w:val="BodyText"/>
        <w:spacing w:line="261" w:lineRule="auto" w:before="106"/>
        <w:ind w:left="811" w:right="154" w:hanging="710"/>
        <w:jc w:val="both"/>
      </w:pPr>
      <w:r>
        <w:rPr>
          <w:rFonts w:ascii="Arial" w:hAnsi="Arial" w:cs="Arial" w:eastAsia="Arial" w:hint="default"/>
        </w:rPr>
        <w:t>(5)</w:t>
      </w:r>
      <w:r>
        <w:rPr>
          <w:rFonts w:ascii="Arial" w:hAnsi="Arial" w:cs="Arial" w:eastAsia="Arial" w:hint="default"/>
          <w:spacing w:val="21"/>
        </w:rPr>
        <w:t> </w:t>
      </w:r>
      <w:r>
        <w:rPr/>
        <w:t>本公司于</w:t>
      </w:r>
      <w:r>
        <w:rPr>
          <w:rFonts w:ascii="Arial" w:hAnsi="Arial" w:cs="Arial" w:eastAsia="Arial" w:hint="default"/>
        </w:rPr>
        <w:t>2005</w:t>
      </w:r>
      <w:r>
        <w:rPr/>
        <w:t>年</w:t>
      </w:r>
      <w:r>
        <w:rPr>
          <w:rFonts w:ascii="Arial" w:hAnsi="Arial" w:cs="Arial" w:eastAsia="Arial" w:hint="default"/>
        </w:rPr>
        <w:t>3</w:t>
      </w:r>
      <w:r>
        <w:rPr/>
        <w:t>月</w:t>
      </w:r>
      <w:r>
        <w:rPr>
          <w:rFonts w:ascii="Arial" w:hAnsi="Arial" w:cs="Arial" w:eastAsia="Arial" w:hint="default"/>
        </w:rPr>
        <w:t>9</w:t>
      </w:r>
      <w:r>
        <w:rPr/>
        <w:t>日从用友华表购得由其开发的用友销售通软件著作权，该软件技术转让</w:t>
      </w:r>
      <w:r>
        <w:rPr>
          <w:w w:val="100"/>
        </w:rPr>
        <w:t> </w:t>
      </w:r>
      <w:r>
        <w:rPr>
          <w:spacing w:val="-3"/>
        </w:rPr>
        <w:t>价格为人民币</w:t>
      </w:r>
      <w:r>
        <w:rPr>
          <w:rFonts w:ascii="Arial" w:hAnsi="Arial" w:cs="Arial" w:eastAsia="Arial" w:hint="default"/>
          <w:spacing w:val="-3"/>
        </w:rPr>
        <w:t>1,700,000</w:t>
      </w:r>
      <w:r>
        <w:rPr>
          <w:spacing w:val="-3"/>
        </w:rPr>
        <w:t>元。相关软件著作权权属证书和软件产品登记手续已办理完毕。本</w:t>
      </w:r>
      <w:r>
        <w:rPr>
          <w:w w:val="100"/>
        </w:rPr>
        <w:t> </w:t>
      </w:r>
      <w:r>
        <w:rPr/>
        <w:t>公司于编制合并财务报表时，该项由本集团内部交易所形成的软件著作权需做抵消。</w:t>
      </w:r>
    </w:p>
    <w:p>
      <w:pPr>
        <w:spacing w:line="240" w:lineRule="auto" w:before="6"/>
        <w:rPr>
          <w:rFonts w:ascii="黑体" w:hAnsi="黑体" w:cs="黑体" w:eastAsia="黑体" w:hint="default"/>
          <w:sz w:val="24"/>
          <w:szCs w:val="24"/>
        </w:rPr>
      </w:pPr>
    </w:p>
    <w:p>
      <w:pPr>
        <w:pStyle w:val="BodyText"/>
        <w:spacing w:line="264" w:lineRule="auto"/>
        <w:ind w:left="811" w:right="150" w:hanging="710"/>
        <w:jc w:val="both"/>
      </w:pPr>
      <w:r>
        <w:rPr>
          <w:rFonts w:ascii="Arial" w:hAnsi="Arial" w:cs="Arial" w:eastAsia="Arial" w:hint="default"/>
          <w:w w:val="100"/>
        </w:rPr>
        <w:t>(6)</w:t>
      </w:r>
      <w:r>
        <w:rPr>
          <w:rFonts w:ascii="Arial" w:hAnsi="Arial" w:cs="Arial" w:eastAsia="Arial" w:hint="default"/>
          <w:spacing w:val="28"/>
          <w:w w:val="100"/>
        </w:rPr>
        <w:t> </w:t>
      </w:r>
      <w:r>
        <w:rPr>
          <w:spacing w:val="-3"/>
          <w:w w:val="100"/>
        </w:rPr>
        <w:t>本公司于</w:t>
      </w:r>
      <w:r>
        <w:rPr>
          <w:rFonts w:ascii="Arial" w:hAnsi="Arial" w:cs="Arial" w:eastAsia="Arial" w:hint="default"/>
          <w:spacing w:val="-3"/>
          <w:w w:val="100"/>
        </w:rPr>
        <w:t>2008</w:t>
      </w:r>
      <w:r>
        <w:rPr>
          <w:spacing w:val="-3"/>
          <w:w w:val="100"/>
        </w:rPr>
        <w:t>年</w:t>
      </w:r>
      <w:r>
        <w:rPr>
          <w:rFonts w:ascii="Arial" w:hAnsi="Arial" w:cs="Arial" w:eastAsia="Arial" w:hint="default"/>
          <w:spacing w:val="-3"/>
          <w:w w:val="100"/>
        </w:rPr>
        <w:t>10</w:t>
      </w:r>
      <w:r>
        <w:rPr>
          <w:spacing w:val="-3"/>
          <w:w w:val="100"/>
        </w:rPr>
        <w:t>月</w:t>
      </w:r>
      <w:r>
        <w:rPr>
          <w:rFonts w:ascii="Arial" w:hAnsi="Arial" w:cs="Arial" w:eastAsia="Arial" w:hint="default"/>
          <w:spacing w:val="-3"/>
          <w:w w:val="100"/>
        </w:rPr>
        <w:t>27</w:t>
      </w:r>
      <w:r>
        <w:rPr>
          <w:spacing w:val="-3"/>
          <w:w w:val="100"/>
        </w:rPr>
        <w:t>日协议收购方正春元</w:t>
      </w:r>
      <w:r>
        <w:rPr>
          <w:rFonts w:ascii="Arial" w:hAnsi="Arial" w:cs="Arial" w:eastAsia="Arial" w:hint="default"/>
          <w:spacing w:val="-3"/>
          <w:w w:val="100"/>
        </w:rPr>
        <w:t>100%</w:t>
      </w:r>
      <w:r>
        <w:rPr>
          <w:spacing w:val="-3"/>
          <w:w w:val="100"/>
        </w:rPr>
        <w:t>的股权，并于</w:t>
      </w:r>
      <w:r>
        <w:rPr>
          <w:rFonts w:ascii="Arial" w:hAnsi="Arial" w:cs="Arial" w:eastAsia="Arial" w:hint="default"/>
          <w:spacing w:val="-3"/>
          <w:w w:val="100"/>
        </w:rPr>
        <w:t>2008</w:t>
      </w:r>
      <w:r>
        <w:rPr>
          <w:spacing w:val="-3"/>
          <w:w w:val="100"/>
        </w:rPr>
        <w:t>年</w:t>
      </w:r>
      <w:r>
        <w:rPr>
          <w:rFonts w:ascii="Arial" w:hAnsi="Arial" w:cs="Arial" w:eastAsia="Arial" w:hint="default"/>
          <w:spacing w:val="-3"/>
          <w:w w:val="100"/>
        </w:rPr>
        <w:t>11</w:t>
      </w:r>
      <w:r>
        <w:rPr>
          <w:spacing w:val="-3"/>
          <w:w w:val="100"/>
        </w:rPr>
        <w:t>月</w:t>
      </w:r>
      <w:r>
        <w:rPr>
          <w:rFonts w:ascii="Arial" w:hAnsi="Arial" w:cs="Arial" w:eastAsia="Arial" w:hint="default"/>
          <w:spacing w:val="-3"/>
          <w:w w:val="100"/>
        </w:rPr>
        <w:t>7</w:t>
      </w:r>
      <w:r>
        <w:rPr>
          <w:spacing w:val="-3"/>
          <w:w w:val="100"/>
        </w:rPr>
        <w:t>日办理了股权并</w:t>
      </w:r>
      <w:r>
        <w:rPr>
          <w:spacing w:val="-97"/>
          <w:w w:val="100"/>
        </w:rPr>
        <w:t> </w:t>
      </w:r>
      <w:r>
        <w:rPr>
          <w:spacing w:val="-97"/>
          <w:w w:val="100"/>
        </w:rPr>
      </w:r>
      <w:r>
        <w:rPr>
          <w:spacing w:val="3"/>
        </w:rPr>
        <w:t>购框架协议中规定的财产权移交手续。此次收购业务业经中和资产评估有限公司进行评</w:t>
      </w:r>
      <w:r>
        <w:rPr>
          <w:w w:val="100"/>
        </w:rPr>
        <w:t> </w:t>
      </w:r>
      <w:r>
        <w:rPr>
          <w:spacing w:val="-3"/>
        </w:rPr>
        <w:t>估，并于</w:t>
      </w:r>
      <w:r>
        <w:rPr>
          <w:rFonts w:ascii="Arial" w:hAnsi="Arial" w:cs="Arial" w:eastAsia="Arial" w:hint="default"/>
          <w:spacing w:val="-3"/>
        </w:rPr>
        <w:t>2009</w:t>
      </w:r>
      <w:r>
        <w:rPr>
          <w:spacing w:val="-3"/>
        </w:rPr>
        <w:t>年</w:t>
      </w:r>
      <w:r>
        <w:rPr>
          <w:rFonts w:ascii="Arial" w:hAnsi="Arial" w:cs="Arial" w:eastAsia="Arial" w:hint="default"/>
          <w:spacing w:val="-3"/>
        </w:rPr>
        <w:t>1</w:t>
      </w:r>
      <w:r>
        <w:rPr>
          <w:spacing w:val="-3"/>
        </w:rPr>
        <w:t>月</w:t>
      </w:r>
      <w:r>
        <w:rPr>
          <w:rFonts w:ascii="Arial" w:hAnsi="Arial" w:cs="Arial" w:eastAsia="Arial" w:hint="default"/>
          <w:spacing w:val="-3"/>
        </w:rPr>
        <w:t>20</w:t>
      </w:r>
      <w:r>
        <w:rPr>
          <w:spacing w:val="-3"/>
        </w:rPr>
        <w:t>日出具了中和评报字</w:t>
      </w:r>
      <w:r>
        <w:rPr>
          <w:rFonts w:ascii="Arial" w:hAnsi="Arial" w:cs="Arial" w:eastAsia="Arial" w:hint="default"/>
          <w:spacing w:val="-3"/>
        </w:rPr>
        <w:t>[2008]</w:t>
      </w:r>
      <w:r>
        <w:rPr>
          <w:spacing w:val="-3"/>
        </w:rPr>
        <w:t>第</w:t>
      </w:r>
      <w:r>
        <w:rPr>
          <w:rFonts w:ascii="Arial" w:hAnsi="Arial" w:cs="Arial" w:eastAsia="Arial" w:hint="default"/>
          <w:spacing w:val="-3"/>
        </w:rPr>
        <w:t>V5017-1</w:t>
      </w:r>
      <w:r>
        <w:rPr>
          <w:spacing w:val="-3"/>
        </w:rPr>
        <w:t>号资产评估报告书。该报告书</w:t>
      </w:r>
      <w:r>
        <w:rPr>
          <w:w w:val="100"/>
        </w:rPr>
        <w:t> </w:t>
      </w:r>
      <w:r>
        <w:rPr>
          <w:spacing w:val="-2"/>
        </w:rPr>
        <w:t>以</w:t>
      </w:r>
      <w:r>
        <w:rPr>
          <w:rFonts w:ascii="Arial" w:hAnsi="Arial" w:cs="Arial" w:eastAsia="Arial" w:hint="default"/>
          <w:spacing w:val="-2"/>
        </w:rPr>
        <w:t>2008</w:t>
      </w:r>
      <w:r>
        <w:rPr>
          <w:spacing w:val="-2"/>
        </w:rPr>
        <w:t>年</w:t>
      </w:r>
      <w:r>
        <w:rPr>
          <w:rFonts w:ascii="Arial" w:hAnsi="Arial" w:cs="Arial" w:eastAsia="Arial" w:hint="default"/>
          <w:spacing w:val="-2"/>
        </w:rPr>
        <w:t>11</w:t>
      </w:r>
      <w:r>
        <w:rPr>
          <w:spacing w:val="-2"/>
        </w:rPr>
        <w:t>月</w:t>
      </w:r>
      <w:r>
        <w:rPr>
          <w:rFonts w:ascii="Arial" w:hAnsi="Arial" w:cs="Arial" w:eastAsia="Arial" w:hint="default"/>
          <w:spacing w:val="-2"/>
        </w:rPr>
        <w:t>7</w:t>
      </w:r>
      <w:r>
        <w:rPr>
          <w:spacing w:val="-2"/>
        </w:rPr>
        <w:t>日为评估基准日。根据该评估结果，方正春元现有的包括</w:t>
      </w:r>
      <w:r>
        <w:rPr>
          <w:rFonts w:ascii="Arial" w:hAnsi="Arial" w:cs="Arial" w:eastAsia="Arial" w:hint="default"/>
          <w:spacing w:val="-2"/>
        </w:rPr>
        <w:t>“</w:t>
      </w:r>
      <w:r>
        <w:rPr>
          <w:spacing w:val="-2"/>
        </w:rPr>
        <w:t>交办事项督办系</w:t>
      </w:r>
      <w:r>
        <w:rPr>
          <w:w w:val="100"/>
        </w:rPr>
        <w:t> </w:t>
      </w:r>
      <w:r>
        <w:rPr/>
        <w:t>统软件</w:t>
      </w:r>
      <w:r>
        <w:rPr>
          <w:rFonts w:ascii="Arial" w:hAnsi="Arial" w:cs="Arial" w:eastAsia="Arial" w:hint="default"/>
        </w:rPr>
        <w:t>V1.0.0”</w:t>
      </w:r>
      <w:r>
        <w:rPr/>
        <w:t>在内的</w:t>
      </w:r>
      <w:r>
        <w:rPr>
          <w:rFonts w:ascii="Arial" w:hAnsi="Arial" w:cs="Arial" w:eastAsia="Arial" w:hint="default"/>
        </w:rPr>
        <w:t>43</w:t>
      </w:r>
      <w:r>
        <w:rPr/>
        <w:t>项软件著作权原账面价值为零，而评估价值为人民币</w:t>
      </w:r>
      <w:r>
        <w:rPr>
          <w:rFonts w:ascii="Arial" w:hAnsi="Arial" w:cs="Arial" w:eastAsia="Arial" w:hint="default"/>
        </w:rPr>
        <w:t>11,335,500</w:t>
      </w:r>
      <w:r>
        <w:rPr>
          <w:rFonts w:ascii="Arial" w:hAnsi="Arial" w:cs="Arial" w:eastAsia="Arial" w:hint="default"/>
          <w:w w:val="100"/>
        </w:rPr>
        <w:t> </w:t>
      </w:r>
      <w:r>
        <w:rPr/>
        <w:t>元。方正春元另有</w:t>
      </w:r>
      <w:r>
        <w:rPr>
          <w:rFonts w:ascii="Arial" w:hAnsi="Arial" w:cs="Arial" w:eastAsia="Arial" w:hint="default"/>
        </w:rPr>
        <w:t>IS</w:t>
      </w:r>
      <w:r>
        <w:rPr/>
        <w:t>校园网软件系统及兴财通用财务系统</w:t>
      </w:r>
      <w:r>
        <w:rPr>
          <w:rFonts w:ascii="Arial" w:hAnsi="Arial" w:cs="Arial" w:eastAsia="Arial" w:hint="default"/>
        </w:rPr>
        <w:t>(V1.0)</w:t>
      </w:r>
      <w:r>
        <w:rPr/>
        <w:t>等</w:t>
      </w:r>
      <w:r>
        <w:rPr>
          <w:rFonts w:ascii="Arial" w:hAnsi="Arial" w:cs="Arial" w:eastAsia="Arial" w:hint="default"/>
        </w:rPr>
        <w:t>11</w:t>
      </w:r>
      <w:r>
        <w:rPr/>
        <w:t>个软件著作权，原账</w:t>
      </w:r>
      <w:r>
        <w:rPr>
          <w:spacing w:val="1"/>
          <w:w w:val="100"/>
        </w:rPr>
        <w:t> </w:t>
      </w:r>
      <w:r>
        <w:rPr/>
        <w:t>面价值为人民币</w:t>
      </w:r>
      <w:r>
        <w:rPr>
          <w:rFonts w:ascii="Arial" w:hAnsi="Arial" w:cs="Arial" w:eastAsia="Arial" w:hint="default"/>
        </w:rPr>
        <w:t>4,168,400</w:t>
      </w:r>
      <w:r>
        <w:rPr/>
        <w:t>元，已计提无形资产减值准备计人民币</w:t>
      </w:r>
      <w:r>
        <w:rPr>
          <w:rFonts w:ascii="Arial" w:hAnsi="Arial" w:cs="Arial" w:eastAsia="Arial" w:hint="default"/>
        </w:rPr>
        <w:t>4,022,801</w:t>
      </w:r>
      <w:r>
        <w:rPr/>
        <w:t>元。与评估基</w:t>
      </w:r>
      <w:r>
        <w:rPr>
          <w:w w:val="100"/>
        </w:rPr>
        <w:t> </w:t>
      </w:r>
      <w:r>
        <w:rPr/>
        <w:t>准日的评估价值一致。本公司已将上述软件著作权记入因收购所增加的无形资产核算。</w:t>
      </w:r>
    </w:p>
    <w:p>
      <w:pPr>
        <w:spacing w:line="240" w:lineRule="auto" w:before="4"/>
        <w:rPr>
          <w:rFonts w:ascii="黑体" w:hAnsi="黑体" w:cs="黑体" w:eastAsia="黑体" w:hint="default"/>
          <w:sz w:val="24"/>
          <w:szCs w:val="24"/>
        </w:rPr>
      </w:pPr>
    </w:p>
    <w:p>
      <w:pPr>
        <w:pStyle w:val="BodyText"/>
        <w:spacing w:line="261" w:lineRule="auto"/>
        <w:ind w:left="810" w:right="152" w:hanging="708"/>
        <w:jc w:val="both"/>
      </w:pPr>
      <w:r>
        <w:rPr>
          <w:rFonts w:ascii="Arial" w:hAnsi="Arial" w:cs="Arial" w:eastAsia="Arial" w:hint="default"/>
        </w:rPr>
        <w:t>(7)</w:t>
      </w:r>
      <w:r>
        <w:rPr>
          <w:rFonts w:ascii="Arial" w:hAnsi="Arial" w:cs="Arial" w:eastAsia="Arial" w:hint="default"/>
          <w:spacing w:val="42"/>
        </w:rPr>
        <w:t> </w:t>
      </w:r>
      <w:r>
        <w:rPr/>
        <w:t>本公司于</w:t>
      </w:r>
      <w:r>
        <w:rPr>
          <w:rFonts w:ascii="Arial" w:hAnsi="Arial" w:cs="Arial" w:eastAsia="Arial" w:hint="default"/>
        </w:rPr>
        <w:t>2008</w:t>
      </w:r>
      <w:r>
        <w:rPr/>
        <w:t>年</w:t>
      </w:r>
      <w:r>
        <w:rPr>
          <w:rFonts w:ascii="Arial" w:hAnsi="Arial" w:cs="Arial" w:eastAsia="Arial" w:hint="default"/>
        </w:rPr>
        <w:t>10</w:t>
      </w:r>
      <w:r>
        <w:rPr/>
        <w:t>月</w:t>
      </w:r>
      <w:r>
        <w:rPr>
          <w:rFonts w:ascii="Arial" w:hAnsi="Arial" w:cs="Arial" w:eastAsia="Arial" w:hint="default"/>
        </w:rPr>
        <w:t>30</w:t>
      </w:r>
      <w:r>
        <w:rPr/>
        <w:t>日协议收购特博深信息科技（北京）有限公司和特博深信息科技（上</w:t>
      </w:r>
      <w:r>
        <w:rPr>
          <w:spacing w:val="-1"/>
          <w:w w:val="100"/>
        </w:rPr>
        <w:t> </w:t>
      </w:r>
      <w:r>
        <w:rPr/>
        <w:t>海）有限公司（以下简称</w:t>
      </w:r>
      <w:r>
        <w:rPr>
          <w:rFonts w:ascii="Arial" w:hAnsi="Arial" w:cs="Arial" w:eastAsia="Arial" w:hint="default"/>
        </w:rPr>
        <w:t>“</w:t>
      </w:r>
      <w:r>
        <w:rPr/>
        <w:t>特博深</w:t>
      </w:r>
      <w:r>
        <w:rPr>
          <w:rFonts w:ascii="Arial" w:hAnsi="Arial" w:cs="Arial" w:eastAsia="Arial" w:hint="default"/>
        </w:rPr>
        <w:t>”</w:t>
      </w:r>
      <w:r>
        <w:rPr/>
        <w:t>）的资产和业务，其中包括</w:t>
      </w:r>
      <w:r>
        <w:rPr>
          <w:rFonts w:ascii="Arial" w:hAnsi="Arial" w:cs="Arial" w:eastAsia="Arial" w:hint="default"/>
        </w:rPr>
        <w:t>“TurboCRM</w:t>
      </w:r>
      <w:r>
        <w:rPr/>
        <w:t>客户关系管理软</w:t>
      </w:r>
      <w:r>
        <w:rPr>
          <w:w w:val="100"/>
        </w:rPr>
        <w:t> </w:t>
      </w:r>
      <w:r>
        <w:rPr>
          <w:spacing w:val="-2"/>
        </w:rPr>
        <w:t>件</w:t>
      </w:r>
      <w:r>
        <w:rPr>
          <w:rFonts w:ascii="Arial" w:hAnsi="Arial" w:cs="Arial" w:eastAsia="Arial" w:hint="default"/>
          <w:spacing w:val="-2"/>
        </w:rPr>
        <w:t>V1.0”</w:t>
      </w:r>
      <w:r>
        <w:rPr>
          <w:spacing w:val="-2"/>
        </w:rPr>
        <w:t>在内的</w:t>
      </w:r>
      <w:r>
        <w:rPr>
          <w:rFonts w:ascii="Arial" w:hAnsi="Arial" w:cs="Arial" w:eastAsia="Arial" w:hint="default"/>
          <w:spacing w:val="-2"/>
        </w:rPr>
        <w:t>6</w:t>
      </w:r>
      <w:r>
        <w:rPr>
          <w:spacing w:val="-2"/>
        </w:rPr>
        <w:t>项软件著作权。此次收购业经中和资产评估有限公司进行评估，并于</w:t>
      </w:r>
      <w:r>
        <w:rPr>
          <w:rFonts w:ascii="Arial" w:hAnsi="Arial" w:cs="Arial" w:eastAsia="Arial" w:hint="default"/>
          <w:spacing w:val="-2"/>
        </w:rPr>
        <w:t>2009</w:t>
      </w:r>
      <w:r>
        <w:rPr>
          <w:rFonts w:ascii="Arial" w:hAnsi="Arial" w:cs="Arial" w:eastAsia="Arial" w:hint="default"/>
          <w:w w:val="100"/>
        </w:rPr>
        <w:t> </w:t>
      </w:r>
      <w:r>
        <w:rPr/>
        <w:t>年</w:t>
      </w:r>
      <w:r>
        <w:rPr>
          <w:rFonts w:ascii="Arial" w:hAnsi="Arial" w:cs="Arial" w:eastAsia="Arial" w:hint="default"/>
        </w:rPr>
        <w:t>1</w:t>
      </w:r>
      <w:r>
        <w:rPr/>
        <w:t>月</w:t>
      </w:r>
      <w:r>
        <w:rPr>
          <w:rFonts w:ascii="Arial" w:hAnsi="Arial" w:cs="Arial" w:eastAsia="Arial" w:hint="default"/>
        </w:rPr>
        <w:t>10</w:t>
      </w:r>
      <w:r>
        <w:rPr/>
        <w:t>日出具了中和评报字</w:t>
      </w:r>
      <w:r>
        <w:rPr>
          <w:rFonts w:ascii="Arial" w:hAnsi="Arial" w:cs="Arial" w:eastAsia="Arial" w:hint="default"/>
        </w:rPr>
        <w:t>[2008]</w:t>
      </w:r>
      <w:r>
        <w:rPr/>
        <w:t>第</w:t>
      </w:r>
      <w:r>
        <w:rPr>
          <w:rFonts w:ascii="Arial" w:hAnsi="Arial" w:cs="Arial" w:eastAsia="Arial" w:hint="default"/>
        </w:rPr>
        <w:t>V5017-2</w:t>
      </w:r>
      <w:r>
        <w:rPr/>
        <w:t>号资产评估报告书。该报告书以</w:t>
      </w:r>
      <w:r>
        <w:rPr>
          <w:rFonts w:ascii="Arial" w:hAnsi="Arial" w:cs="Arial" w:eastAsia="Arial" w:hint="default"/>
        </w:rPr>
        <w:t>2008</w:t>
      </w:r>
      <w:r>
        <w:rPr/>
        <w:t>年</w:t>
      </w:r>
      <w:r>
        <w:rPr>
          <w:rFonts w:ascii="Arial" w:hAnsi="Arial" w:cs="Arial" w:eastAsia="Arial" w:hint="default"/>
        </w:rPr>
        <w:t>11</w:t>
      </w:r>
      <w:r>
        <w:rPr>
          <w:rFonts w:ascii="Arial" w:hAnsi="Arial" w:cs="Arial" w:eastAsia="Arial" w:hint="default"/>
          <w:spacing w:val="-2"/>
          <w:w w:val="100"/>
        </w:rPr>
        <w:t> </w:t>
      </w:r>
      <w:r>
        <w:rPr>
          <w:spacing w:val="-2"/>
        </w:rPr>
        <w:t>月</w:t>
      </w:r>
      <w:r>
        <w:rPr>
          <w:rFonts w:ascii="Arial" w:hAnsi="Arial" w:cs="Arial" w:eastAsia="Arial" w:hint="default"/>
          <w:spacing w:val="-2"/>
        </w:rPr>
        <w:t>5</w:t>
      </w:r>
      <w:r>
        <w:rPr>
          <w:spacing w:val="-2"/>
        </w:rPr>
        <w:t>日为评估基准日</w:t>
      </w:r>
      <w:r>
        <w:rPr>
          <w:rFonts w:ascii="Arial" w:hAnsi="Arial" w:cs="Arial" w:eastAsia="Arial" w:hint="default"/>
          <w:spacing w:val="-2"/>
        </w:rPr>
        <w:t>,</w:t>
      </w:r>
      <w:r>
        <w:rPr>
          <w:spacing w:val="-2"/>
        </w:rPr>
        <w:t>上述无形资产的评估价值为人民币</w:t>
      </w:r>
      <w:r>
        <w:rPr>
          <w:rFonts w:ascii="Arial" w:hAnsi="Arial" w:cs="Arial" w:eastAsia="Arial" w:hint="default"/>
          <w:spacing w:val="-2"/>
        </w:rPr>
        <w:t>6,400,000</w:t>
      </w:r>
      <w:r>
        <w:rPr>
          <w:spacing w:val="-2"/>
        </w:rPr>
        <w:t>元。相关软件著作权的转</w:t>
      </w:r>
      <w:r>
        <w:rPr>
          <w:w w:val="100"/>
        </w:rPr>
        <w:t> </w:t>
      </w:r>
      <w:r>
        <w:rPr/>
        <w:t>让登记手续已办理完成。</w:t>
      </w:r>
    </w:p>
    <w:p>
      <w:pPr>
        <w:spacing w:line="240" w:lineRule="auto" w:before="1"/>
        <w:rPr>
          <w:rFonts w:ascii="黑体" w:hAnsi="黑体" w:cs="黑体" w:eastAsia="黑体" w:hint="default"/>
          <w:sz w:val="29"/>
          <w:szCs w:val="29"/>
        </w:rPr>
      </w:pPr>
    </w:p>
    <w:p>
      <w:pPr>
        <w:pStyle w:val="BodyText"/>
        <w:spacing w:line="261" w:lineRule="auto"/>
        <w:ind w:left="810" w:right="154" w:hanging="710"/>
        <w:jc w:val="both"/>
      </w:pPr>
      <w:r>
        <w:rPr>
          <w:rFonts w:ascii="Arial" w:hAnsi="Arial" w:cs="Arial" w:eastAsia="Arial" w:hint="default"/>
        </w:rPr>
        <w:t>(8) </w:t>
      </w:r>
      <w:r>
        <w:rPr/>
        <w:t>本公司于</w:t>
      </w:r>
      <w:r>
        <w:rPr>
          <w:rFonts w:ascii="Arial" w:hAnsi="Arial" w:cs="Arial" w:eastAsia="Arial" w:hint="default"/>
        </w:rPr>
        <w:t>2007</w:t>
      </w:r>
      <w:r>
        <w:rPr/>
        <w:t>年</w:t>
      </w:r>
      <w:r>
        <w:rPr>
          <w:rFonts w:ascii="Arial" w:hAnsi="Arial" w:cs="Arial" w:eastAsia="Arial" w:hint="default"/>
        </w:rPr>
        <w:t>12</w:t>
      </w:r>
      <w:r>
        <w:rPr/>
        <w:t>月</w:t>
      </w:r>
      <w:r>
        <w:rPr>
          <w:rFonts w:ascii="Arial" w:hAnsi="Arial" w:cs="Arial" w:eastAsia="Arial" w:hint="default"/>
        </w:rPr>
        <w:t>29</w:t>
      </w:r>
      <w:r>
        <w:rPr/>
        <w:t>日协议收购上海天诺科技有限责任公司（以下简称</w:t>
      </w:r>
      <w:r>
        <w:rPr>
          <w:rFonts w:ascii="Arial" w:hAnsi="Arial" w:cs="Arial" w:eastAsia="Arial" w:hint="default"/>
        </w:rPr>
        <w:t>“</w:t>
      </w:r>
      <w:r>
        <w:rPr/>
        <w:t>上海天诺</w:t>
      </w:r>
      <w:r>
        <w:rPr>
          <w:rFonts w:ascii="Arial" w:hAnsi="Arial" w:cs="Arial" w:eastAsia="Arial" w:hint="default"/>
        </w:rPr>
        <w:t>”</w:t>
      </w:r>
      <w:r>
        <w:rPr/>
        <w:t>）和上</w:t>
      </w:r>
      <w:r>
        <w:rPr>
          <w:spacing w:val="-96"/>
        </w:rPr>
        <w:t> </w:t>
      </w:r>
      <w:r>
        <w:rPr>
          <w:spacing w:val="-1"/>
        </w:rPr>
        <w:t>海坛网软件有限公司（以下简称</w:t>
      </w:r>
      <w:r>
        <w:rPr>
          <w:rFonts w:ascii="Arial" w:hAnsi="Arial" w:cs="Arial" w:eastAsia="Arial" w:hint="default"/>
          <w:spacing w:val="-1"/>
        </w:rPr>
        <w:t>“</w:t>
      </w:r>
      <w:r>
        <w:rPr>
          <w:spacing w:val="-1"/>
        </w:rPr>
        <w:t>上海坛网</w:t>
      </w:r>
      <w:r>
        <w:rPr>
          <w:rFonts w:ascii="Arial" w:hAnsi="Arial" w:cs="Arial" w:eastAsia="Arial" w:hint="default"/>
          <w:spacing w:val="-1"/>
        </w:rPr>
        <w:t>”</w:t>
      </w:r>
      <w:r>
        <w:rPr>
          <w:spacing w:val="-1"/>
        </w:rPr>
        <w:t>）的资产和业务，其中包括</w:t>
      </w:r>
      <w:r>
        <w:rPr>
          <w:rFonts w:ascii="Arial" w:hAnsi="Arial" w:cs="Arial" w:eastAsia="Arial" w:hint="default"/>
          <w:spacing w:val="-1"/>
        </w:rPr>
        <w:t>“</w:t>
      </w:r>
      <w:r>
        <w:rPr>
          <w:spacing w:val="-1"/>
        </w:rPr>
        <w:t>天诺房产营销管理</w:t>
      </w:r>
      <w:r>
        <w:rPr>
          <w:w w:val="100"/>
        </w:rPr>
        <w:t> </w:t>
      </w:r>
      <w:r>
        <w:rPr>
          <w:spacing w:val="3"/>
        </w:rPr>
        <w:t>系统</w:t>
      </w:r>
      <w:r>
        <w:rPr>
          <w:rFonts w:ascii="Arial" w:hAnsi="Arial" w:cs="Arial" w:eastAsia="Arial" w:hint="default"/>
          <w:spacing w:val="3"/>
        </w:rPr>
        <w:t>V2.2”</w:t>
      </w:r>
      <w:r>
        <w:rPr>
          <w:spacing w:val="3"/>
        </w:rPr>
        <w:t>在内的</w:t>
      </w:r>
      <w:r>
        <w:rPr>
          <w:rFonts w:ascii="Arial" w:hAnsi="Arial" w:cs="Arial" w:eastAsia="Arial" w:hint="default"/>
          <w:spacing w:val="3"/>
        </w:rPr>
        <w:t>5</w:t>
      </w:r>
      <w:r>
        <w:rPr>
          <w:spacing w:val="3"/>
        </w:rPr>
        <w:t>项软件著作权。此次收购业经中和资产评估有限公司进行评估，并于</w:t>
      </w:r>
      <w:r>
        <w:rPr>
          <w:w w:val="100"/>
        </w:rPr>
        <w:t> </w:t>
      </w:r>
      <w:r>
        <w:rPr>
          <w:rFonts w:ascii="Arial" w:hAnsi="Arial" w:cs="Arial" w:eastAsia="Arial" w:hint="default"/>
        </w:rPr>
        <w:t>2009</w:t>
      </w:r>
      <w:r>
        <w:rPr/>
        <w:t>年</w:t>
      </w:r>
      <w:r>
        <w:rPr>
          <w:rFonts w:ascii="Arial" w:hAnsi="Arial" w:cs="Arial" w:eastAsia="Arial" w:hint="default"/>
        </w:rPr>
        <w:t>1</w:t>
      </w:r>
      <w:r>
        <w:rPr/>
        <w:t>月</w:t>
      </w:r>
      <w:r>
        <w:rPr>
          <w:rFonts w:ascii="Arial" w:hAnsi="Arial" w:cs="Arial" w:eastAsia="Arial" w:hint="default"/>
        </w:rPr>
        <w:t>10</w:t>
      </w:r>
      <w:r>
        <w:rPr/>
        <w:t>日出具了中和评报字</w:t>
      </w:r>
      <w:r>
        <w:rPr>
          <w:rFonts w:ascii="Arial" w:hAnsi="Arial" w:cs="Arial" w:eastAsia="Arial" w:hint="default"/>
        </w:rPr>
        <w:t>[2008]</w:t>
      </w:r>
      <w:r>
        <w:rPr/>
        <w:t>第</w:t>
      </w:r>
      <w:r>
        <w:rPr>
          <w:rFonts w:ascii="Arial" w:hAnsi="Arial" w:cs="Arial" w:eastAsia="Arial" w:hint="default"/>
        </w:rPr>
        <w:t>V5017-3</w:t>
      </w:r>
      <w:r>
        <w:rPr/>
        <w:t>号资产评估报告书。该报告书以</w:t>
      </w:r>
      <w:r>
        <w:rPr>
          <w:rFonts w:ascii="Arial" w:hAnsi="Arial" w:cs="Arial" w:eastAsia="Arial" w:hint="default"/>
        </w:rPr>
        <w:t>2008</w:t>
      </w:r>
      <w:r>
        <w:rPr>
          <w:rFonts w:ascii="Arial" w:hAnsi="Arial" w:cs="Arial" w:eastAsia="Arial" w:hint="default"/>
          <w:w w:val="100"/>
        </w:rPr>
        <w:t> </w:t>
      </w:r>
      <w:r>
        <w:rPr>
          <w:spacing w:val="-2"/>
        </w:rPr>
        <w:t>年</w:t>
      </w:r>
      <w:r>
        <w:rPr>
          <w:rFonts w:ascii="Arial" w:hAnsi="Arial" w:cs="Arial" w:eastAsia="Arial" w:hint="default"/>
          <w:spacing w:val="-2"/>
        </w:rPr>
        <w:t>1</w:t>
      </w:r>
      <w:r>
        <w:rPr>
          <w:spacing w:val="-2"/>
        </w:rPr>
        <w:t>月</w:t>
      </w:r>
      <w:r>
        <w:rPr>
          <w:rFonts w:ascii="Arial" w:hAnsi="Arial" w:cs="Arial" w:eastAsia="Arial" w:hint="default"/>
          <w:spacing w:val="-2"/>
        </w:rPr>
        <w:t>15</w:t>
      </w:r>
      <w:r>
        <w:rPr>
          <w:spacing w:val="-2"/>
        </w:rPr>
        <w:t>日资产交接日为评估基准日，上述无形资产的评估价值为人民币</w:t>
      </w:r>
      <w:r>
        <w:rPr>
          <w:rFonts w:ascii="Arial" w:hAnsi="Arial" w:cs="Arial" w:eastAsia="Arial" w:hint="default"/>
          <w:spacing w:val="-2"/>
        </w:rPr>
        <w:t>1,760,300</w:t>
      </w:r>
      <w:r>
        <w:rPr>
          <w:spacing w:val="-2"/>
        </w:rPr>
        <w:t>元。相</w:t>
      </w:r>
      <w:r>
        <w:rPr>
          <w:w w:val="100"/>
        </w:rPr>
        <w:t> </w:t>
      </w:r>
      <w:r>
        <w:rPr/>
        <w:t>关软件著作权的转让登记手续已办理完成。</w:t>
      </w:r>
    </w:p>
    <w:p>
      <w:pPr>
        <w:spacing w:line="240" w:lineRule="auto" w:before="1"/>
        <w:rPr>
          <w:rFonts w:ascii="黑体" w:hAnsi="黑体" w:cs="黑体" w:eastAsia="黑体" w:hint="default"/>
          <w:sz w:val="29"/>
          <w:szCs w:val="29"/>
        </w:rPr>
      </w:pPr>
    </w:p>
    <w:p>
      <w:pPr>
        <w:pStyle w:val="BodyText"/>
        <w:spacing w:line="261" w:lineRule="auto"/>
        <w:ind w:left="810" w:right="152" w:hanging="709"/>
        <w:jc w:val="both"/>
      </w:pPr>
      <w:r>
        <w:rPr>
          <w:rFonts w:ascii="Arial" w:hAnsi="Arial" w:cs="Arial" w:eastAsia="Arial" w:hint="default"/>
        </w:rPr>
        <w:t>(9)</w:t>
      </w:r>
      <w:r>
        <w:rPr>
          <w:rFonts w:ascii="Arial" w:hAnsi="Arial" w:cs="Arial" w:eastAsia="Arial" w:hint="default"/>
          <w:spacing w:val="47"/>
        </w:rPr>
        <w:t> </w:t>
      </w:r>
      <w:r>
        <w:rPr/>
        <w:t>本公司于</w:t>
      </w:r>
      <w:r>
        <w:rPr>
          <w:rFonts w:ascii="Arial" w:hAnsi="Arial" w:cs="Arial" w:eastAsia="Arial" w:hint="default"/>
        </w:rPr>
        <w:t>2008</w:t>
      </w:r>
      <w:r>
        <w:rPr/>
        <w:t>年</w:t>
      </w:r>
      <w:r>
        <w:rPr>
          <w:rFonts w:ascii="Arial" w:hAnsi="Arial" w:cs="Arial" w:eastAsia="Arial" w:hint="default"/>
        </w:rPr>
        <w:t>3</w:t>
      </w:r>
      <w:r>
        <w:rPr/>
        <w:t>月协议收购南京宏图天安软件系统有限公司（以下简称</w:t>
      </w:r>
      <w:r>
        <w:rPr>
          <w:rFonts w:ascii="Arial" w:hAnsi="Arial" w:cs="Arial" w:eastAsia="Arial" w:hint="default"/>
        </w:rPr>
        <w:t>“</w:t>
      </w:r>
      <w:r>
        <w:rPr/>
        <w:t>南京宏图天安</w:t>
      </w:r>
      <w:r>
        <w:rPr>
          <w:rFonts w:ascii="Arial" w:hAnsi="Arial" w:cs="Arial" w:eastAsia="Arial" w:hint="default"/>
        </w:rPr>
        <w:t>”</w:t>
      </w:r>
      <w:r>
        <w:rPr/>
        <w:t>）的</w:t>
      </w:r>
      <w:r>
        <w:rPr>
          <w:spacing w:val="-3"/>
          <w:w w:val="100"/>
        </w:rPr>
        <w:t> </w:t>
      </w:r>
      <w:r>
        <w:rPr>
          <w:spacing w:val="-2"/>
        </w:rPr>
        <w:t>资产和业务，其中包括</w:t>
      </w:r>
      <w:r>
        <w:rPr>
          <w:rFonts w:ascii="Arial" w:hAnsi="Arial" w:cs="Arial" w:eastAsia="Arial" w:hint="default"/>
          <w:spacing w:val="-2"/>
        </w:rPr>
        <w:t>“</w:t>
      </w:r>
      <w:r>
        <w:rPr>
          <w:spacing w:val="-2"/>
        </w:rPr>
        <w:t>宏图企业所得税汇算通软件</w:t>
      </w:r>
      <w:r>
        <w:rPr>
          <w:rFonts w:ascii="Arial" w:hAnsi="Arial" w:cs="Arial" w:eastAsia="Arial" w:hint="default"/>
          <w:spacing w:val="-2"/>
        </w:rPr>
        <w:t>”</w:t>
      </w:r>
      <w:r>
        <w:rPr>
          <w:spacing w:val="-2"/>
        </w:rPr>
        <w:t>在内的</w:t>
      </w:r>
      <w:r>
        <w:rPr>
          <w:rFonts w:ascii="Arial" w:hAnsi="Arial" w:cs="Arial" w:eastAsia="Arial" w:hint="default"/>
          <w:spacing w:val="-2"/>
        </w:rPr>
        <w:t>6</w:t>
      </w:r>
      <w:r>
        <w:rPr>
          <w:spacing w:val="-2"/>
        </w:rPr>
        <w:t>项软件著作权。此次收购业经</w:t>
      </w:r>
      <w:r>
        <w:rPr>
          <w:w w:val="100"/>
        </w:rPr>
        <w:t> </w:t>
      </w:r>
      <w:r>
        <w:rPr/>
        <w:t>江苏富华会计师事务所进行评估，并于</w:t>
      </w:r>
      <w:r>
        <w:rPr>
          <w:rFonts w:ascii="Arial" w:hAnsi="Arial" w:cs="Arial" w:eastAsia="Arial" w:hint="default"/>
        </w:rPr>
        <w:t>2008</w:t>
      </w:r>
      <w:r>
        <w:rPr/>
        <w:t>年</w:t>
      </w:r>
      <w:r>
        <w:rPr>
          <w:rFonts w:ascii="Arial" w:hAnsi="Arial" w:cs="Arial" w:eastAsia="Arial" w:hint="default"/>
        </w:rPr>
        <w:t>4</w:t>
      </w:r>
      <w:r>
        <w:rPr/>
        <w:t>月</w:t>
      </w:r>
      <w:r>
        <w:rPr>
          <w:rFonts w:ascii="Arial" w:hAnsi="Arial" w:cs="Arial" w:eastAsia="Arial" w:hint="default"/>
        </w:rPr>
        <w:t>23</w:t>
      </w:r>
      <w:r>
        <w:rPr/>
        <w:t>日出具了苏富会评报字</w:t>
      </w:r>
      <w:r>
        <w:rPr>
          <w:rFonts w:ascii="Arial" w:hAnsi="Arial" w:cs="Arial" w:eastAsia="Arial" w:hint="default"/>
        </w:rPr>
        <w:t>[2008]</w:t>
      </w:r>
      <w:r>
        <w:rPr/>
        <w:t>第</w:t>
      </w:r>
      <w:r>
        <w:rPr>
          <w:rFonts w:ascii="Arial" w:hAnsi="Arial" w:cs="Arial" w:eastAsia="Arial" w:hint="default"/>
        </w:rPr>
        <w:t>32</w:t>
      </w:r>
      <w:r>
        <w:rPr/>
        <w:t>号</w:t>
      </w:r>
      <w:r>
        <w:rPr>
          <w:w w:val="100"/>
        </w:rPr>
        <w:t> </w:t>
      </w:r>
      <w:r>
        <w:rPr/>
        <w:t>资产评估报告书。该报告书以</w:t>
      </w:r>
      <w:r>
        <w:rPr>
          <w:rFonts w:ascii="Arial" w:hAnsi="Arial" w:cs="Arial" w:eastAsia="Arial" w:hint="default"/>
        </w:rPr>
        <w:t>2008</w:t>
      </w:r>
      <w:r>
        <w:rPr/>
        <w:t>年</w:t>
      </w:r>
      <w:r>
        <w:rPr>
          <w:rFonts w:ascii="Arial" w:hAnsi="Arial" w:cs="Arial" w:eastAsia="Arial" w:hint="default"/>
        </w:rPr>
        <w:t>3</w:t>
      </w:r>
      <w:r>
        <w:rPr/>
        <w:t>月</w:t>
      </w:r>
      <w:r>
        <w:rPr>
          <w:rFonts w:ascii="Arial" w:hAnsi="Arial" w:cs="Arial" w:eastAsia="Arial" w:hint="default"/>
        </w:rPr>
        <w:t>31</w:t>
      </w:r>
      <w:r>
        <w:rPr/>
        <w:t>日资产交接日为评估基准日，上述无形资产的</w:t>
      </w:r>
      <w:r>
        <w:rPr>
          <w:w w:val="100"/>
        </w:rPr>
        <w:t> </w:t>
      </w:r>
      <w:r>
        <w:rPr/>
        <w:t>评估价值为人民币</w:t>
      </w:r>
      <w:r>
        <w:rPr>
          <w:rFonts w:ascii="Arial" w:hAnsi="Arial" w:cs="Arial" w:eastAsia="Arial" w:hint="default"/>
        </w:rPr>
        <w:t>8,800,000</w:t>
      </w:r>
      <w:r>
        <w:rPr/>
        <w:t>元。相关软件著作权的转让登记手续已办理完成。</w:t>
      </w:r>
    </w:p>
    <w:p>
      <w:pPr>
        <w:spacing w:after="0" w:line="261" w:lineRule="auto"/>
        <w:jc w:val="both"/>
        <w:sectPr>
          <w:pgSz w:w="11910" w:h="16840"/>
          <w:pgMar w:header="958" w:footer="462" w:top="2540" w:bottom="660" w:left="1600" w:right="1540"/>
        </w:sectPr>
      </w:pP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27"/>
          <w:szCs w:val="27"/>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0"/>
        <w:rPr>
          <w:rFonts w:ascii="黑体" w:hAnsi="黑体" w:cs="黑体" w:eastAsia="黑体" w:hint="default"/>
          <w:b/>
          <w:bCs/>
          <w:sz w:val="17"/>
          <w:szCs w:val="17"/>
        </w:rPr>
      </w:pPr>
    </w:p>
    <w:p>
      <w:pPr>
        <w:tabs>
          <w:tab w:pos="821" w:val="left" w:leader="none"/>
        </w:tabs>
        <w:spacing w:line="456" w:lineRule="auto" w:before="0"/>
        <w:ind w:left="815" w:right="5346" w:hanging="714"/>
        <w:jc w:val="left"/>
        <w:rPr>
          <w:rFonts w:ascii="黑体" w:hAnsi="黑体" w:cs="黑体" w:eastAsia="黑体" w:hint="default"/>
          <w:sz w:val="20"/>
          <w:szCs w:val="20"/>
        </w:rPr>
      </w:pPr>
      <w:r>
        <w:rPr>
          <w:rFonts w:ascii="Arial" w:hAnsi="Arial" w:cs="Arial" w:eastAsia="Arial" w:hint="default"/>
          <w:b/>
          <w:bCs/>
          <w:spacing w:val="-1"/>
          <w:sz w:val="20"/>
          <w:szCs w:val="20"/>
        </w:rPr>
        <w:t>14.</w:t>
        <w:tab/>
        <w:tab/>
      </w:r>
      <w:r>
        <w:rPr>
          <w:rFonts w:ascii="黑体" w:hAnsi="黑体" w:cs="黑体" w:eastAsia="黑体" w:hint="default"/>
          <w:b/>
          <w:bCs/>
          <w:sz w:val="20"/>
          <w:szCs w:val="20"/>
        </w:rPr>
        <w:t>无形资产（续）</w:t>
      </w:r>
      <w:r>
        <w:rPr>
          <w:rFonts w:ascii="黑体" w:hAnsi="黑体" w:cs="黑体" w:eastAsia="黑体" w:hint="default"/>
          <w:b/>
          <w:bCs/>
          <w:w w:val="99"/>
          <w:sz w:val="20"/>
          <w:szCs w:val="20"/>
        </w:rPr>
        <w:t> </w:t>
      </w:r>
      <w:r>
        <w:rPr>
          <w:rFonts w:ascii="黑体" w:hAnsi="黑体" w:cs="黑体" w:eastAsia="黑体" w:hint="default"/>
          <w:spacing w:val="-1"/>
          <w:sz w:val="20"/>
          <w:szCs w:val="20"/>
        </w:rPr>
        <w:t>软件著作权主要包括（续）：</w:t>
      </w:r>
    </w:p>
    <w:p>
      <w:pPr>
        <w:pStyle w:val="BodyText"/>
        <w:spacing w:line="261" w:lineRule="auto" w:before="87"/>
        <w:ind w:left="810" w:right="152" w:hanging="710"/>
        <w:jc w:val="both"/>
      </w:pPr>
      <w:r>
        <w:rPr>
          <w:rFonts w:ascii="Arial" w:hAnsi="Arial" w:cs="Arial" w:eastAsia="Arial" w:hint="default"/>
          <w:spacing w:val="-1"/>
          <w:w w:val="100"/>
        </w:rPr>
        <w:t>(10)</w:t>
      </w:r>
      <w:r>
        <w:rPr>
          <w:rFonts w:ascii="Arial" w:hAnsi="Arial" w:cs="Arial" w:eastAsia="Arial" w:hint="default"/>
          <w:spacing w:val="18"/>
          <w:w w:val="100"/>
        </w:rPr>
        <w:t> </w:t>
      </w:r>
      <w:r>
        <w:rPr>
          <w:spacing w:val="-3"/>
          <w:w w:val="100"/>
        </w:rPr>
        <w:t>本公司之子公司用友政务于</w:t>
      </w:r>
      <w:r>
        <w:rPr>
          <w:rFonts w:ascii="Arial" w:hAnsi="Arial" w:cs="Arial" w:eastAsia="Arial" w:hint="default"/>
          <w:spacing w:val="-3"/>
          <w:w w:val="100"/>
        </w:rPr>
        <w:t>2008</w:t>
      </w:r>
      <w:r>
        <w:rPr>
          <w:spacing w:val="-3"/>
          <w:w w:val="100"/>
        </w:rPr>
        <w:t>年</w:t>
      </w:r>
      <w:r>
        <w:rPr>
          <w:rFonts w:ascii="Arial" w:hAnsi="Arial" w:cs="Arial" w:eastAsia="Arial" w:hint="default"/>
          <w:spacing w:val="-3"/>
          <w:w w:val="100"/>
        </w:rPr>
        <w:t>8</w:t>
      </w:r>
      <w:r>
        <w:rPr>
          <w:spacing w:val="-3"/>
          <w:w w:val="100"/>
        </w:rPr>
        <w:t>月</w:t>
      </w:r>
      <w:r>
        <w:rPr>
          <w:rFonts w:ascii="Arial" w:hAnsi="Arial" w:cs="Arial" w:eastAsia="Arial" w:hint="default"/>
          <w:spacing w:val="-3"/>
          <w:w w:val="100"/>
        </w:rPr>
        <w:t>20</w:t>
      </w:r>
      <w:r>
        <w:rPr>
          <w:spacing w:val="-3"/>
          <w:w w:val="100"/>
        </w:rPr>
        <w:t>日协议收购四川省金财科技发展有限责任公司（以下</w:t>
      </w:r>
      <w:r>
        <w:rPr>
          <w:spacing w:val="-97"/>
          <w:w w:val="100"/>
        </w:rPr>
        <w:t> </w:t>
      </w:r>
      <w:r>
        <w:rPr>
          <w:spacing w:val="-97"/>
          <w:w w:val="100"/>
        </w:rPr>
      </w:r>
      <w:r>
        <w:rPr>
          <w:spacing w:val="-1"/>
        </w:rPr>
        <w:t>简称</w:t>
      </w:r>
      <w:r>
        <w:rPr>
          <w:rFonts w:ascii="Arial" w:hAnsi="Arial" w:cs="Arial" w:eastAsia="Arial" w:hint="default"/>
          <w:spacing w:val="-1"/>
        </w:rPr>
        <w:t>“</w:t>
      </w:r>
      <w:r>
        <w:rPr>
          <w:spacing w:val="-1"/>
        </w:rPr>
        <w:t>四川金财</w:t>
      </w:r>
      <w:r>
        <w:rPr>
          <w:rFonts w:ascii="Arial" w:hAnsi="Arial" w:cs="Arial" w:eastAsia="Arial" w:hint="default"/>
          <w:spacing w:val="-1"/>
        </w:rPr>
        <w:t>”</w:t>
      </w:r>
      <w:r>
        <w:rPr>
          <w:spacing w:val="-1"/>
        </w:rPr>
        <w:t>）的资产和业务，其中包括</w:t>
      </w:r>
      <w:r>
        <w:rPr>
          <w:rFonts w:ascii="Arial" w:hAnsi="Arial" w:cs="Arial" w:eastAsia="Arial" w:hint="default"/>
          <w:spacing w:val="-1"/>
        </w:rPr>
        <w:t>“</w:t>
      </w:r>
      <w:r>
        <w:rPr>
          <w:spacing w:val="-1"/>
        </w:rPr>
        <w:t>金财网络报表数据管理系统</w:t>
      </w:r>
      <w:r>
        <w:rPr>
          <w:rFonts w:ascii="Arial" w:hAnsi="Arial" w:cs="Arial" w:eastAsia="Arial" w:hint="default"/>
          <w:spacing w:val="-1"/>
        </w:rPr>
        <w:t>V1.0”</w:t>
      </w:r>
      <w:r>
        <w:rPr>
          <w:spacing w:val="-1"/>
        </w:rPr>
        <w:t>在内的</w:t>
      </w:r>
      <w:r>
        <w:rPr>
          <w:rFonts w:ascii="Arial" w:hAnsi="Arial" w:cs="Arial" w:eastAsia="Arial" w:hint="default"/>
          <w:spacing w:val="-1"/>
        </w:rPr>
        <w:t>6</w:t>
      </w:r>
      <w:r>
        <w:rPr>
          <w:spacing w:val="-1"/>
        </w:rPr>
        <w:t>项软</w:t>
      </w:r>
      <w:r>
        <w:rPr>
          <w:w w:val="100"/>
        </w:rPr>
        <w:t> </w:t>
      </w:r>
      <w:r>
        <w:rPr/>
        <w:t>件著作权。收购业经北京中评瑞资产评估事务所有限公司进行评估，并于</w:t>
      </w:r>
      <w:r>
        <w:rPr>
          <w:rFonts w:ascii="Arial" w:hAnsi="Arial" w:cs="Arial" w:eastAsia="Arial" w:hint="default"/>
        </w:rPr>
        <w:t>2008</w:t>
      </w:r>
      <w:r>
        <w:rPr/>
        <w:t>年</w:t>
      </w:r>
      <w:r>
        <w:rPr>
          <w:rFonts w:ascii="Arial" w:hAnsi="Arial" w:cs="Arial" w:eastAsia="Arial" w:hint="default"/>
        </w:rPr>
        <w:t>6</w:t>
      </w:r>
      <w:r>
        <w:rPr/>
        <w:t>月</w:t>
      </w:r>
      <w:r>
        <w:rPr>
          <w:rFonts w:ascii="Arial" w:hAnsi="Arial" w:cs="Arial" w:eastAsia="Arial" w:hint="default"/>
        </w:rPr>
        <w:t>30</w:t>
      </w:r>
      <w:r>
        <w:rPr/>
        <w:t>日</w:t>
      </w:r>
      <w:r>
        <w:rPr>
          <w:w w:val="100"/>
        </w:rPr>
        <w:t> </w:t>
      </w:r>
      <w:r>
        <w:rPr/>
        <w:t>出具了中评瑞评报字</w:t>
      </w:r>
      <w:r>
        <w:rPr>
          <w:rFonts w:ascii="Arial" w:hAnsi="Arial" w:cs="Arial" w:eastAsia="Arial" w:hint="default"/>
        </w:rPr>
        <w:t>[2008]</w:t>
      </w:r>
      <w:r>
        <w:rPr/>
        <w:t>第</w:t>
      </w:r>
      <w:r>
        <w:rPr>
          <w:rFonts w:ascii="Arial" w:hAnsi="Arial" w:cs="Arial" w:eastAsia="Arial" w:hint="default"/>
        </w:rPr>
        <w:t>19</w:t>
      </w:r>
      <w:r>
        <w:rPr/>
        <w:t>号资产评估报告书。该报告书以</w:t>
      </w:r>
      <w:r>
        <w:rPr>
          <w:rFonts w:ascii="Arial" w:hAnsi="Arial" w:cs="Arial" w:eastAsia="Arial" w:hint="default"/>
        </w:rPr>
        <w:t>2008</w:t>
      </w:r>
      <w:r>
        <w:rPr/>
        <w:t>年</w:t>
      </w:r>
      <w:r>
        <w:rPr>
          <w:rFonts w:ascii="Arial" w:hAnsi="Arial" w:cs="Arial" w:eastAsia="Arial" w:hint="default"/>
        </w:rPr>
        <w:t>3</w:t>
      </w:r>
      <w:r>
        <w:rPr/>
        <w:t>月</w:t>
      </w:r>
      <w:r>
        <w:rPr>
          <w:rFonts w:ascii="Arial" w:hAnsi="Arial" w:cs="Arial" w:eastAsia="Arial" w:hint="default"/>
        </w:rPr>
        <w:t>31</w:t>
      </w:r>
      <w:r>
        <w:rPr/>
        <w:t>日资产交接</w:t>
      </w:r>
      <w:r>
        <w:rPr>
          <w:w w:val="100"/>
        </w:rPr>
        <w:t> </w:t>
      </w:r>
      <w:r>
        <w:rPr>
          <w:spacing w:val="-3"/>
        </w:rPr>
        <w:t>日为评估基准日，上述无形资产的评估价值为人民币</w:t>
      </w:r>
      <w:r>
        <w:rPr>
          <w:rFonts w:ascii="Arial" w:hAnsi="Arial" w:cs="Arial" w:eastAsia="Arial" w:hint="default"/>
          <w:spacing w:val="-3"/>
        </w:rPr>
        <w:t>4,305,700</w:t>
      </w:r>
      <w:r>
        <w:rPr>
          <w:spacing w:val="-3"/>
        </w:rPr>
        <w:t>元。相关软件著作权的转让</w:t>
      </w:r>
      <w:r>
        <w:rPr>
          <w:w w:val="100"/>
        </w:rPr>
        <w:t> </w:t>
      </w:r>
      <w:r>
        <w:rPr/>
        <w:t>登记手续已办理完成。</w:t>
      </w:r>
    </w:p>
    <w:p>
      <w:pPr>
        <w:spacing w:line="240" w:lineRule="auto" w:before="2"/>
        <w:rPr>
          <w:rFonts w:ascii="黑体" w:hAnsi="黑体" w:cs="黑体" w:eastAsia="黑体" w:hint="default"/>
          <w:sz w:val="19"/>
          <w:szCs w:val="19"/>
        </w:rPr>
      </w:pPr>
    </w:p>
    <w:p>
      <w:pPr>
        <w:pStyle w:val="BodyText"/>
        <w:spacing w:line="261" w:lineRule="auto"/>
        <w:ind w:left="811" w:right="153" w:hanging="710"/>
        <w:jc w:val="both"/>
      </w:pPr>
      <w:r>
        <w:rPr>
          <w:rFonts w:ascii="Arial" w:hAnsi="Arial" w:cs="Arial" w:eastAsia="Arial" w:hint="default"/>
        </w:rPr>
        <w:t>(11)</w:t>
      </w:r>
      <w:r>
        <w:rPr>
          <w:rFonts w:ascii="Arial" w:hAnsi="Arial" w:cs="Arial" w:eastAsia="Arial" w:hint="default"/>
          <w:spacing w:val="44"/>
        </w:rPr>
        <w:t> </w:t>
      </w:r>
      <w:r>
        <w:rPr>
          <w:spacing w:val="-3"/>
        </w:rPr>
        <w:t>本公司收购用友审计增加了包括</w:t>
      </w:r>
      <w:r>
        <w:rPr>
          <w:rFonts w:ascii="Arial" w:hAnsi="Arial" w:cs="Arial" w:eastAsia="Arial" w:hint="default"/>
          <w:spacing w:val="-3"/>
        </w:rPr>
        <w:t>“</w:t>
      </w:r>
      <w:r>
        <w:rPr>
          <w:spacing w:val="-3"/>
        </w:rPr>
        <w:t>用友财政监督检查系统</w:t>
      </w:r>
      <w:r>
        <w:rPr>
          <w:rFonts w:ascii="Arial" w:hAnsi="Arial" w:cs="Arial" w:eastAsia="Arial" w:hint="default"/>
          <w:spacing w:val="-3"/>
        </w:rPr>
        <w:t>”</w:t>
      </w:r>
      <w:r>
        <w:rPr>
          <w:spacing w:val="-3"/>
        </w:rPr>
        <w:t>在内的</w:t>
      </w:r>
      <w:r>
        <w:rPr>
          <w:rFonts w:ascii="Arial" w:hAnsi="Arial" w:cs="Arial" w:eastAsia="Arial" w:hint="default"/>
          <w:spacing w:val="-3"/>
        </w:rPr>
        <w:t>10</w:t>
      </w:r>
      <w:r>
        <w:rPr>
          <w:spacing w:val="-3"/>
        </w:rPr>
        <w:t>项软件著作权，评估价值合</w:t>
      </w:r>
      <w:r>
        <w:rPr>
          <w:spacing w:val="-88"/>
        </w:rPr>
        <w:t> </w:t>
      </w:r>
      <w:r>
        <w:rPr>
          <w:spacing w:val="-88"/>
        </w:rPr>
      </w:r>
      <w:r>
        <w:rPr/>
        <w:t>计人民币</w:t>
      </w:r>
      <w:r>
        <w:rPr>
          <w:rFonts w:ascii="Arial" w:hAnsi="Arial" w:cs="Arial" w:eastAsia="Arial" w:hint="default"/>
        </w:rPr>
        <w:t>6,175,600</w:t>
      </w:r>
      <w:r>
        <w:rPr/>
        <w:t>元。详情参见附注四、</w:t>
      </w:r>
      <w:r>
        <w:rPr>
          <w:rFonts w:ascii="Arial" w:hAnsi="Arial" w:cs="Arial" w:eastAsia="Arial" w:hint="default"/>
        </w:rPr>
        <w:t>4</w:t>
      </w:r>
      <w:r>
        <w:rPr/>
        <w:t>。</w:t>
      </w:r>
    </w:p>
    <w:p>
      <w:pPr>
        <w:spacing w:line="240" w:lineRule="auto" w:before="4"/>
        <w:rPr>
          <w:rFonts w:ascii="黑体" w:hAnsi="黑体" w:cs="黑体" w:eastAsia="黑体" w:hint="default"/>
          <w:sz w:val="18"/>
          <w:szCs w:val="18"/>
        </w:rPr>
      </w:pPr>
    </w:p>
    <w:p>
      <w:pPr>
        <w:pStyle w:val="BodyText"/>
        <w:spacing w:line="260" w:lineRule="exact"/>
        <w:ind w:left="810" w:right="153" w:hanging="709"/>
        <w:jc w:val="both"/>
      </w:pPr>
      <w:r>
        <w:rPr>
          <w:rFonts w:ascii="Arial" w:hAnsi="Arial" w:cs="Arial" w:eastAsia="Arial" w:hint="default"/>
        </w:rPr>
        <w:t>(12)</w:t>
      </w:r>
      <w:r>
        <w:rPr>
          <w:rFonts w:ascii="Arial" w:hAnsi="Arial" w:cs="Arial" w:eastAsia="Arial" w:hint="default"/>
          <w:spacing w:val="17"/>
        </w:rPr>
        <w:t> </w:t>
      </w:r>
      <w:r>
        <w:rPr>
          <w:spacing w:val="-3"/>
        </w:rPr>
        <w:t>本公司收购重庆迈特取得包括</w:t>
      </w:r>
      <w:r>
        <w:rPr>
          <w:rFonts w:ascii="Arial" w:hAnsi="Arial" w:cs="Arial" w:eastAsia="Arial" w:hint="default"/>
          <w:spacing w:val="-3"/>
        </w:rPr>
        <w:t>“</w:t>
      </w:r>
      <w:r>
        <w:rPr>
          <w:spacing w:val="-3"/>
        </w:rPr>
        <w:t>迈特产品数据管理系统</w:t>
      </w:r>
      <w:r>
        <w:rPr>
          <w:rFonts w:ascii="Arial" w:hAnsi="Arial" w:cs="Arial" w:eastAsia="Arial" w:hint="default"/>
          <w:spacing w:val="-3"/>
        </w:rPr>
        <w:t>V3.8”</w:t>
      </w:r>
      <w:r>
        <w:rPr>
          <w:spacing w:val="-3"/>
        </w:rPr>
        <w:t>在内的</w:t>
      </w:r>
      <w:r>
        <w:rPr>
          <w:rFonts w:ascii="Arial" w:hAnsi="Arial" w:cs="Arial" w:eastAsia="Arial" w:hint="default"/>
          <w:spacing w:val="-3"/>
        </w:rPr>
        <w:t>7</w:t>
      </w:r>
      <w:r>
        <w:rPr>
          <w:spacing w:val="-3"/>
        </w:rPr>
        <w:t>项软件著作权。评估价</w:t>
      </w:r>
      <w:r>
        <w:rPr>
          <w:spacing w:val="-97"/>
        </w:rPr>
        <w:t> </w:t>
      </w:r>
      <w:r>
        <w:rPr>
          <w:spacing w:val="-97"/>
        </w:rPr>
      </w:r>
      <w:r>
        <w:rPr>
          <w:spacing w:val="-1"/>
        </w:rPr>
        <w:t>值合计人民币</w:t>
      </w:r>
      <w:r>
        <w:rPr>
          <w:rFonts w:ascii="Arial" w:hAnsi="Arial" w:cs="Arial" w:eastAsia="Arial" w:hint="default"/>
          <w:spacing w:val="-1"/>
        </w:rPr>
        <w:t>990,000</w:t>
      </w:r>
      <w:r>
        <w:rPr>
          <w:spacing w:val="-1"/>
        </w:rPr>
        <w:t>元。截至</w:t>
      </w: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日，相关软件著作权的转让登记手续已办理</w:t>
      </w:r>
      <w:r>
        <w:rPr>
          <w:w w:val="100"/>
        </w:rPr>
        <w:t> </w:t>
      </w:r>
      <w:r>
        <w:rPr/>
        <w:t>完成。详情参见附注四、</w:t>
      </w:r>
      <w:r>
        <w:rPr>
          <w:rFonts w:ascii="Arial" w:hAnsi="Arial" w:cs="Arial" w:eastAsia="Arial" w:hint="default"/>
        </w:rPr>
        <w:t>5</w:t>
      </w:r>
      <w:r>
        <w:rPr/>
        <w:t>。</w:t>
      </w:r>
    </w:p>
    <w:p>
      <w:pPr>
        <w:spacing w:line="240" w:lineRule="auto" w:before="2"/>
        <w:rPr>
          <w:rFonts w:ascii="黑体" w:hAnsi="黑体" w:cs="黑体" w:eastAsia="黑体" w:hint="default"/>
          <w:sz w:val="17"/>
          <w:szCs w:val="17"/>
        </w:rPr>
      </w:pPr>
    </w:p>
    <w:p>
      <w:pPr>
        <w:pStyle w:val="BodyText"/>
        <w:spacing w:line="261" w:lineRule="auto"/>
        <w:ind w:left="810" w:right="152" w:hanging="710"/>
        <w:jc w:val="both"/>
      </w:pPr>
      <w:r>
        <w:rPr>
          <w:rFonts w:ascii="Arial" w:hAnsi="Arial" w:cs="Arial" w:eastAsia="Arial" w:hint="default"/>
        </w:rPr>
        <w:t>(13) </w:t>
      </w:r>
      <w:r>
        <w:rPr/>
        <w:t>本公司收购上海恒聚哈久取得包括</w:t>
      </w:r>
      <w:r>
        <w:rPr>
          <w:rFonts w:ascii="Arial" w:hAnsi="Arial" w:cs="Arial" w:eastAsia="Arial" w:hint="default"/>
        </w:rPr>
        <w:t>“</w:t>
      </w:r>
      <w:r>
        <w:rPr/>
        <w:t>恒聚网站商务伴侣软件</w:t>
      </w:r>
      <w:r>
        <w:rPr>
          <w:rFonts w:ascii="Arial" w:hAnsi="Arial" w:cs="Arial" w:eastAsia="Arial" w:hint="default"/>
        </w:rPr>
        <w:t>V3”</w:t>
      </w:r>
      <w:r>
        <w:rPr/>
        <w:t>在内的</w:t>
      </w:r>
      <w:r>
        <w:rPr>
          <w:rFonts w:ascii="Arial" w:hAnsi="Arial" w:cs="Arial" w:eastAsia="Arial" w:hint="default"/>
        </w:rPr>
        <w:t>4</w:t>
      </w:r>
      <w:r>
        <w:rPr/>
        <w:t>项软件著作权，评</w:t>
      </w:r>
      <w:r>
        <w:rPr>
          <w:spacing w:val="-97"/>
        </w:rPr>
        <w:t> </w:t>
      </w:r>
      <w:r>
        <w:rPr>
          <w:spacing w:val="-97"/>
        </w:rPr>
      </w:r>
      <w:r>
        <w:rPr/>
        <w:t>估价值合计人民币</w:t>
      </w:r>
      <w:r>
        <w:rPr>
          <w:rFonts w:ascii="Arial" w:hAnsi="Arial" w:cs="Arial" w:eastAsia="Arial" w:hint="default"/>
        </w:rPr>
        <w:t>1,364,175</w:t>
      </w:r>
      <w:r>
        <w:rPr/>
        <w:t>元。截至</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日，相关软件著作权的转让登记手续</w:t>
      </w:r>
      <w:r>
        <w:rPr>
          <w:w w:val="100"/>
        </w:rPr>
        <w:t> </w:t>
      </w:r>
      <w:r>
        <w:rPr/>
        <w:t>已办理完成。详情参见附注四、</w:t>
      </w:r>
      <w:r>
        <w:rPr>
          <w:rFonts w:ascii="Arial" w:hAnsi="Arial" w:cs="Arial" w:eastAsia="Arial" w:hint="default"/>
        </w:rPr>
        <w:t>5</w:t>
      </w:r>
      <w:r>
        <w:rPr/>
        <w:t>。</w:t>
      </w:r>
    </w:p>
    <w:p>
      <w:pPr>
        <w:spacing w:line="240" w:lineRule="auto" w:before="11"/>
        <w:rPr>
          <w:rFonts w:ascii="黑体" w:hAnsi="黑体" w:cs="黑体" w:eastAsia="黑体" w:hint="default"/>
          <w:sz w:val="17"/>
          <w:szCs w:val="17"/>
        </w:rPr>
      </w:pPr>
    </w:p>
    <w:p>
      <w:pPr>
        <w:pStyle w:val="BodyText"/>
        <w:spacing w:line="261" w:lineRule="auto"/>
        <w:ind w:left="810" w:right="155" w:hanging="710"/>
        <w:jc w:val="both"/>
      </w:pPr>
      <w:r>
        <w:rPr>
          <w:rFonts w:ascii="Arial" w:hAnsi="Arial" w:cs="Arial" w:eastAsia="Arial" w:hint="default"/>
          <w:spacing w:val="-1"/>
          <w:w w:val="100"/>
        </w:rPr>
        <w:t>(14)</w:t>
      </w:r>
      <w:r>
        <w:rPr>
          <w:rFonts w:ascii="Arial" w:hAnsi="Arial" w:cs="Arial" w:eastAsia="Arial" w:hint="default"/>
          <w:spacing w:val="6"/>
          <w:w w:val="100"/>
        </w:rPr>
        <w:t> </w:t>
      </w:r>
      <w:r>
        <w:rPr>
          <w:spacing w:val="-3"/>
          <w:w w:val="100"/>
        </w:rPr>
        <w:t>本公司收购时空超越取得包括</w:t>
      </w:r>
      <w:r>
        <w:rPr>
          <w:rFonts w:ascii="Arial" w:hAnsi="Arial" w:cs="Arial" w:eastAsia="Arial" w:hint="default"/>
          <w:spacing w:val="-3"/>
          <w:w w:val="100"/>
        </w:rPr>
        <w:t>“</w:t>
      </w:r>
      <w:r>
        <w:rPr>
          <w:spacing w:val="-3"/>
          <w:w w:val="100"/>
        </w:rPr>
        <w:t>时空供应链管理软件</w:t>
      </w:r>
      <w:r>
        <w:rPr>
          <w:rFonts w:ascii="Arial" w:hAnsi="Arial" w:cs="Arial" w:eastAsia="Arial" w:hint="default"/>
          <w:spacing w:val="-3"/>
          <w:w w:val="100"/>
        </w:rPr>
        <w:t>V6.0”</w:t>
      </w:r>
      <w:r>
        <w:rPr>
          <w:spacing w:val="-3"/>
          <w:w w:val="100"/>
        </w:rPr>
        <w:t>在内的</w:t>
      </w:r>
      <w:r>
        <w:rPr>
          <w:rFonts w:ascii="Arial" w:hAnsi="Arial" w:cs="Arial" w:eastAsia="Arial" w:hint="default"/>
          <w:spacing w:val="-3"/>
          <w:w w:val="100"/>
        </w:rPr>
        <w:t>7</w:t>
      </w:r>
      <w:r>
        <w:rPr>
          <w:spacing w:val="-3"/>
          <w:w w:val="100"/>
        </w:rPr>
        <w:t>项软件著作权。评估价值</w:t>
      </w:r>
      <w:r>
        <w:rPr>
          <w:w w:val="100"/>
        </w:rPr>
        <w:t> </w:t>
      </w:r>
      <w:r>
        <w:rPr/>
        <w:t>为人民币</w:t>
      </w:r>
      <w:r>
        <w:rPr>
          <w:rFonts w:ascii="Arial" w:hAnsi="Arial" w:cs="Arial" w:eastAsia="Arial" w:hint="default"/>
        </w:rPr>
        <w:t>6,646,190</w:t>
      </w:r>
      <w:r>
        <w:rPr/>
        <w:t>元。截至</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日，相关软件著作权的转让登记手续正在办理</w:t>
      </w:r>
      <w:r>
        <w:rPr>
          <w:w w:val="100"/>
        </w:rPr>
        <w:t> </w:t>
      </w:r>
      <w:r>
        <w:rPr/>
        <w:t>过程中。详情参见附注四、</w:t>
      </w:r>
      <w:r>
        <w:rPr>
          <w:rFonts w:ascii="Arial" w:hAnsi="Arial" w:cs="Arial" w:eastAsia="Arial" w:hint="default"/>
        </w:rPr>
        <w:t>5</w:t>
      </w:r>
      <w:r>
        <w:rPr/>
        <w:t>。</w:t>
      </w:r>
    </w:p>
    <w:p>
      <w:pPr>
        <w:spacing w:line="240" w:lineRule="auto" w:before="12"/>
        <w:rPr>
          <w:rFonts w:ascii="黑体" w:hAnsi="黑体" w:cs="黑体" w:eastAsia="黑体" w:hint="default"/>
          <w:sz w:val="17"/>
          <w:szCs w:val="17"/>
        </w:rPr>
      </w:pPr>
    </w:p>
    <w:p>
      <w:pPr>
        <w:pStyle w:val="BodyText"/>
        <w:spacing w:line="261" w:lineRule="auto"/>
        <w:ind w:left="810" w:right="154" w:hanging="709"/>
        <w:jc w:val="both"/>
      </w:pPr>
      <w:r>
        <w:rPr>
          <w:rFonts w:ascii="Arial" w:hAnsi="Arial" w:cs="Arial" w:eastAsia="Arial" w:hint="default"/>
        </w:rPr>
        <w:t>(15)</w:t>
      </w:r>
      <w:r>
        <w:rPr>
          <w:rFonts w:ascii="Arial" w:hAnsi="Arial" w:cs="Arial" w:eastAsia="Arial" w:hint="default"/>
          <w:spacing w:val="31"/>
        </w:rPr>
        <w:t> </w:t>
      </w:r>
      <w:r>
        <w:rPr/>
        <w:t>本公司之子公司用友华表收购广州尚南取得包括</w:t>
      </w:r>
      <w:r>
        <w:rPr>
          <w:rFonts w:ascii="Arial" w:hAnsi="Arial" w:cs="Arial" w:eastAsia="Arial" w:hint="default"/>
        </w:rPr>
        <w:t>“</w:t>
      </w:r>
      <w:r>
        <w:rPr/>
        <w:t>蓝葵商业智能软件</w:t>
      </w:r>
      <w:r>
        <w:rPr>
          <w:rFonts w:ascii="Arial" w:hAnsi="Arial" w:cs="Arial" w:eastAsia="Arial" w:hint="default"/>
        </w:rPr>
        <w:t>BlueQuery</w:t>
      </w:r>
      <w:r>
        <w:rPr>
          <w:rFonts w:ascii="Arial" w:hAnsi="Arial" w:cs="Arial" w:eastAsia="Arial" w:hint="default"/>
          <w:spacing w:val="9"/>
        </w:rPr>
        <w:t> </w:t>
      </w:r>
      <w:r>
        <w:rPr>
          <w:rFonts w:ascii="Arial" w:hAnsi="Arial" w:cs="Arial" w:eastAsia="Arial" w:hint="default"/>
        </w:rPr>
        <w:t>Business</w:t>
      </w:r>
      <w:r>
        <w:rPr>
          <w:rFonts w:ascii="Arial" w:hAnsi="Arial" w:cs="Arial" w:eastAsia="Arial" w:hint="default"/>
          <w:spacing w:val="-48"/>
        </w:rPr>
        <w:t> </w:t>
      </w:r>
      <w:r>
        <w:rPr>
          <w:rFonts w:ascii="Arial" w:hAnsi="Arial" w:cs="Arial" w:eastAsia="Arial" w:hint="default"/>
          <w:spacing w:val="-48"/>
        </w:rPr>
      </w:r>
      <w:r>
        <w:rPr>
          <w:rFonts w:ascii="Arial" w:hAnsi="Arial" w:cs="Arial" w:eastAsia="Arial" w:hint="default"/>
        </w:rPr>
        <w:t>Intelligence</w:t>
      </w:r>
      <w:r>
        <w:rPr>
          <w:rFonts w:ascii="Arial" w:hAnsi="Arial" w:cs="Arial" w:eastAsia="Arial" w:hint="default"/>
          <w:spacing w:val="-9"/>
        </w:rPr>
        <w:t> </w:t>
      </w:r>
      <w:r>
        <w:rPr>
          <w:rFonts w:ascii="Arial" w:hAnsi="Arial" w:cs="Arial" w:eastAsia="Arial" w:hint="default"/>
        </w:rPr>
        <w:t>V2.0”</w:t>
      </w:r>
      <w:r>
        <w:rPr/>
        <w:t>在内的</w:t>
      </w:r>
      <w:r>
        <w:rPr>
          <w:rFonts w:ascii="Arial" w:hAnsi="Arial" w:cs="Arial" w:eastAsia="Arial" w:hint="default"/>
        </w:rPr>
        <w:t>8</w:t>
      </w:r>
      <w:r>
        <w:rPr/>
        <w:t>项软件著作权，评估价值合计人民币</w:t>
      </w:r>
      <w:r>
        <w:rPr>
          <w:rFonts w:ascii="Arial" w:hAnsi="Arial" w:cs="Arial" w:eastAsia="Arial" w:hint="default"/>
        </w:rPr>
        <w:t>1,192,789</w:t>
      </w:r>
      <w:r>
        <w:rPr/>
        <w:t>元。截至</w:t>
      </w:r>
      <w:r>
        <w:rPr>
          <w:rFonts w:ascii="Arial" w:hAnsi="Arial" w:cs="Arial" w:eastAsia="Arial" w:hint="default"/>
        </w:rPr>
        <w:t>2009</w:t>
      </w:r>
      <w:r>
        <w:rPr/>
        <w:t>年</w:t>
      </w:r>
      <w:r>
        <w:rPr>
          <w:w w:val="100"/>
        </w:rPr>
        <w:t> </w:t>
      </w:r>
      <w:r>
        <w:rPr>
          <w:rFonts w:ascii="Arial" w:hAnsi="Arial" w:cs="Arial" w:eastAsia="Arial" w:hint="default"/>
        </w:rPr>
        <w:t>12</w:t>
      </w:r>
      <w:r>
        <w:rPr/>
        <w:t>月</w:t>
      </w:r>
      <w:r>
        <w:rPr>
          <w:rFonts w:ascii="Arial" w:hAnsi="Arial" w:cs="Arial" w:eastAsia="Arial" w:hint="default"/>
        </w:rPr>
        <w:t>31</w:t>
      </w:r>
      <w:r>
        <w:rPr/>
        <w:t>日，相关软件著作权的转让登记手续正在办理过程中。详情参见附注四、</w:t>
      </w:r>
      <w:r>
        <w:rPr>
          <w:rFonts w:ascii="Arial" w:hAnsi="Arial" w:cs="Arial" w:eastAsia="Arial" w:hint="default"/>
        </w:rPr>
        <w:t>5</w:t>
      </w:r>
      <w:r>
        <w:rPr/>
        <w:t>。</w:t>
      </w:r>
    </w:p>
    <w:p>
      <w:pPr>
        <w:spacing w:line="240" w:lineRule="auto" w:before="12"/>
        <w:rPr>
          <w:rFonts w:ascii="黑体" w:hAnsi="黑体" w:cs="黑体" w:eastAsia="黑体" w:hint="default"/>
          <w:sz w:val="17"/>
          <w:szCs w:val="17"/>
        </w:rPr>
      </w:pPr>
    </w:p>
    <w:p>
      <w:pPr>
        <w:pStyle w:val="BodyText"/>
        <w:spacing w:line="261" w:lineRule="auto"/>
        <w:ind w:left="810" w:right="154" w:hanging="710"/>
        <w:jc w:val="both"/>
      </w:pPr>
      <w:r>
        <w:rPr>
          <w:rFonts w:ascii="Arial" w:hAnsi="Arial" w:cs="Arial" w:eastAsia="Arial" w:hint="default"/>
        </w:rPr>
        <w:t>(16)</w:t>
      </w:r>
      <w:r>
        <w:rPr>
          <w:rFonts w:ascii="Arial" w:hAnsi="Arial" w:cs="Arial" w:eastAsia="Arial" w:hint="default"/>
          <w:spacing w:val="10"/>
        </w:rPr>
        <w:t> </w:t>
      </w:r>
      <w:r>
        <w:rPr/>
        <w:t>本公司之子公司用友医疗收购广州安易及江门安易取得包括</w:t>
      </w:r>
      <w:r>
        <w:rPr>
          <w:rFonts w:ascii="Arial" w:hAnsi="Arial" w:cs="Arial" w:eastAsia="Arial" w:hint="default"/>
        </w:rPr>
        <w:t>“</w:t>
      </w:r>
      <w:r>
        <w:rPr/>
        <w:t>时空供应链管理软件</w:t>
      </w:r>
      <w:r>
        <w:rPr>
          <w:rFonts w:ascii="Arial" w:hAnsi="Arial" w:cs="Arial" w:eastAsia="Arial" w:hint="default"/>
        </w:rPr>
        <w:t>V6.0”</w:t>
      </w:r>
      <w:r>
        <w:rPr/>
        <w:t>在</w:t>
      </w:r>
      <w:r>
        <w:rPr>
          <w:w w:val="100"/>
        </w:rPr>
        <w:t> </w:t>
      </w:r>
      <w:r>
        <w:rPr>
          <w:spacing w:val="-3"/>
        </w:rPr>
        <w:t>内的</w:t>
      </w:r>
      <w:r>
        <w:rPr>
          <w:rFonts w:ascii="Arial" w:hAnsi="Arial" w:cs="Arial" w:eastAsia="Arial" w:hint="default"/>
          <w:spacing w:val="-3"/>
        </w:rPr>
        <w:t>8</w:t>
      </w:r>
      <w:r>
        <w:rPr>
          <w:spacing w:val="-3"/>
        </w:rPr>
        <w:t>项软件著作权，评估价值合计人民币</w:t>
      </w:r>
      <w:r>
        <w:rPr>
          <w:rFonts w:ascii="Arial" w:hAnsi="Arial" w:cs="Arial" w:eastAsia="Arial" w:hint="default"/>
          <w:spacing w:val="-3"/>
        </w:rPr>
        <w:t>3,063,265</w:t>
      </w:r>
      <w:r>
        <w:rPr>
          <w:spacing w:val="-3"/>
        </w:rPr>
        <w:t>元。截至</w:t>
      </w:r>
      <w:r>
        <w:rPr>
          <w:rFonts w:ascii="Arial" w:hAnsi="Arial" w:cs="Arial" w:eastAsia="Arial" w:hint="default"/>
          <w:spacing w:val="-3"/>
        </w:rPr>
        <w:t>2009</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日，相关软件</w:t>
      </w:r>
      <w:r>
        <w:rPr>
          <w:w w:val="100"/>
        </w:rPr>
        <w:t> </w:t>
      </w:r>
      <w:r>
        <w:rPr/>
        <w:t>著作权的转让登记手续正在办理过程中。详情参见附注四、</w:t>
      </w:r>
      <w:r>
        <w:rPr>
          <w:rFonts w:ascii="Arial" w:hAnsi="Arial" w:cs="Arial" w:eastAsia="Arial" w:hint="default"/>
        </w:rPr>
        <w:t>5</w:t>
      </w:r>
      <w:r>
        <w:rPr/>
        <w:t>。</w:t>
      </w:r>
    </w:p>
    <w:p>
      <w:pPr>
        <w:spacing w:line="240" w:lineRule="auto" w:before="11"/>
        <w:rPr>
          <w:rFonts w:ascii="黑体" w:hAnsi="黑体" w:cs="黑体" w:eastAsia="黑体" w:hint="default"/>
          <w:sz w:val="17"/>
          <w:szCs w:val="17"/>
        </w:rPr>
      </w:pPr>
    </w:p>
    <w:p>
      <w:pPr>
        <w:pStyle w:val="BodyText"/>
        <w:spacing w:line="261" w:lineRule="auto"/>
        <w:ind w:left="810" w:right="156" w:hanging="710"/>
        <w:jc w:val="both"/>
      </w:pPr>
      <w:r>
        <w:rPr>
          <w:rFonts w:ascii="Arial" w:hAnsi="Arial" w:cs="Arial" w:eastAsia="Arial" w:hint="default"/>
        </w:rPr>
        <w:t>(17)</w:t>
      </w:r>
      <w:r>
        <w:rPr>
          <w:rFonts w:ascii="Arial" w:hAnsi="Arial" w:cs="Arial" w:eastAsia="Arial" w:hint="default"/>
          <w:spacing w:val="20"/>
        </w:rPr>
        <w:t> </w:t>
      </w:r>
      <w:r>
        <w:rPr/>
        <w:t>本公司之子公司用友医疗收购用友医院取得包括</w:t>
      </w:r>
      <w:r>
        <w:rPr>
          <w:rFonts w:ascii="Arial" w:hAnsi="Arial" w:cs="Arial" w:eastAsia="Arial" w:hint="default"/>
        </w:rPr>
        <w:t>“</w:t>
      </w:r>
      <w:r>
        <w:rPr/>
        <w:t>用友医院管理信息系统</w:t>
      </w:r>
      <w:r>
        <w:rPr>
          <w:rFonts w:ascii="Arial" w:hAnsi="Arial" w:cs="Arial" w:eastAsia="Arial" w:hint="default"/>
        </w:rPr>
        <w:t>V3.5”</w:t>
      </w:r>
      <w:r>
        <w:rPr/>
        <w:t>在内的</w:t>
      </w:r>
      <w:r>
        <w:rPr>
          <w:rFonts w:ascii="Arial" w:hAnsi="Arial" w:cs="Arial" w:eastAsia="Arial" w:hint="default"/>
        </w:rPr>
        <w:t>4</w:t>
      </w:r>
      <w:r>
        <w:rPr/>
        <w:t>项</w:t>
      </w:r>
      <w:r>
        <w:rPr>
          <w:spacing w:val="-94"/>
        </w:rPr>
        <w:t> </w:t>
      </w:r>
      <w:r>
        <w:rPr/>
        <w:t>软件著作权，评估价值合计人民币</w:t>
      </w:r>
      <w:r>
        <w:rPr>
          <w:rFonts w:ascii="Arial" w:hAnsi="Arial" w:cs="Arial" w:eastAsia="Arial" w:hint="default"/>
        </w:rPr>
        <w:t>1,203,857</w:t>
      </w:r>
      <w:r>
        <w:rPr/>
        <w:t>元。截至</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日，相关软件著作权</w:t>
      </w:r>
      <w:r>
        <w:rPr>
          <w:w w:val="100"/>
        </w:rPr>
        <w:t> </w:t>
      </w:r>
      <w:r>
        <w:rPr/>
        <w:t>的转让登记手续已办理完成。详情参见附注四、</w:t>
      </w:r>
      <w:r>
        <w:rPr>
          <w:rFonts w:ascii="Arial" w:hAnsi="Arial" w:cs="Arial" w:eastAsia="Arial" w:hint="default"/>
        </w:rPr>
        <w:t>5</w:t>
      </w:r>
      <w:r>
        <w:rPr/>
        <w:t>。</w:t>
      </w:r>
    </w:p>
    <w:p>
      <w:pPr>
        <w:spacing w:after="0" w:line="261" w:lineRule="auto"/>
        <w:jc w:val="both"/>
        <w:sectPr>
          <w:pgSz w:w="11910" w:h="16840"/>
          <w:pgMar w:header="958" w:footer="462" w:top="2540" w:bottom="660" w:left="1600" w:right="1540"/>
        </w:sectPr>
      </w:pPr>
    </w:p>
    <w:p>
      <w:pPr>
        <w:spacing w:line="240" w:lineRule="auto" w:before="0"/>
        <w:rPr>
          <w:rFonts w:ascii="黑体" w:hAnsi="黑体" w:cs="黑体" w:eastAsia="黑体" w:hint="default"/>
          <w:sz w:val="20"/>
          <w:szCs w:val="20"/>
        </w:rPr>
      </w:pPr>
    </w:p>
    <w:p>
      <w:pPr>
        <w:spacing w:line="240" w:lineRule="auto" w:before="13"/>
        <w:rPr>
          <w:rFonts w:ascii="黑体" w:hAnsi="黑体" w:cs="黑体" w:eastAsia="黑体" w:hint="default"/>
          <w:sz w:val="19"/>
          <w:szCs w:val="19"/>
        </w:rPr>
      </w:pPr>
    </w:p>
    <w:p>
      <w:pPr>
        <w:tabs>
          <w:tab w:pos="803"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3"/>
        <w:rPr>
          <w:rFonts w:ascii="黑体" w:hAnsi="黑体" w:cs="黑体" w:eastAsia="黑体" w:hint="default"/>
          <w:b/>
          <w:bCs/>
          <w:sz w:val="18"/>
          <w:szCs w:val="18"/>
        </w:rPr>
      </w:pPr>
    </w:p>
    <w:p>
      <w:pPr>
        <w:tabs>
          <w:tab w:pos="821" w:val="left" w:leader="none"/>
        </w:tabs>
        <w:spacing w:line="460" w:lineRule="auto" w:before="0"/>
        <w:ind w:left="815" w:right="6005" w:hanging="714"/>
        <w:jc w:val="left"/>
        <w:rPr>
          <w:rFonts w:ascii="黑体" w:hAnsi="黑体" w:cs="黑体" w:eastAsia="黑体" w:hint="default"/>
          <w:sz w:val="20"/>
          <w:szCs w:val="20"/>
        </w:rPr>
      </w:pPr>
      <w:r>
        <w:rPr>
          <w:rFonts w:ascii="Arial" w:hAnsi="Arial" w:cs="Arial" w:eastAsia="Arial" w:hint="default"/>
          <w:b/>
          <w:bCs/>
          <w:spacing w:val="-1"/>
          <w:sz w:val="20"/>
          <w:szCs w:val="20"/>
        </w:rPr>
        <w:t>14.</w:t>
        <w:tab/>
        <w:tab/>
      </w:r>
      <w:r>
        <w:rPr>
          <w:rFonts w:ascii="黑体" w:hAnsi="黑体" w:cs="黑体" w:eastAsia="黑体" w:hint="default"/>
          <w:b/>
          <w:bCs/>
          <w:sz w:val="20"/>
          <w:szCs w:val="20"/>
        </w:rPr>
        <w:t>无形资产（续）</w:t>
      </w:r>
      <w:r>
        <w:rPr>
          <w:rFonts w:ascii="黑体" w:hAnsi="黑体" w:cs="黑体" w:eastAsia="黑体" w:hint="default"/>
          <w:b/>
          <w:bCs/>
          <w:w w:val="99"/>
          <w:sz w:val="20"/>
          <w:szCs w:val="20"/>
        </w:rPr>
        <w:t> </w:t>
      </w:r>
      <w:r>
        <w:rPr>
          <w:rFonts w:ascii="黑体" w:hAnsi="黑体" w:cs="黑体" w:eastAsia="黑体" w:hint="default"/>
          <w:sz w:val="20"/>
          <w:szCs w:val="20"/>
        </w:rPr>
        <w:t>土地使用权主要包括：</w:t>
      </w:r>
    </w:p>
    <w:p>
      <w:pPr>
        <w:pStyle w:val="BodyText"/>
        <w:spacing w:line="235" w:lineRule="auto" w:before="56"/>
        <w:ind w:left="810" w:right="113"/>
        <w:jc w:val="both"/>
      </w:pPr>
      <w:r>
        <w:rPr/>
        <w:t>土地使用权包括用友软件园一期的土地出让金及相关税费人民币</w:t>
      </w:r>
      <w:r>
        <w:rPr>
          <w:rFonts w:ascii="Arial" w:hAnsi="Arial" w:cs="Arial" w:eastAsia="Arial" w:hint="default"/>
        </w:rPr>
        <w:t>7,235,590</w:t>
      </w:r>
      <w:r>
        <w:rPr/>
        <w:t>元和开发建设</w:t>
      </w:r>
      <w:r>
        <w:rPr>
          <w:spacing w:val="-15"/>
        </w:rPr>
        <w:t> </w:t>
      </w:r>
      <w:r>
        <w:rPr>
          <w:spacing w:val="-15"/>
        </w:rPr>
      </w:r>
      <w:r>
        <w:rPr>
          <w:spacing w:val="21"/>
        </w:rPr>
        <w:t>费人民币</w:t>
      </w:r>
      <w:r>
        <w:rPr>
          <w:spacing w:val="-61"/>
        </w:rPr>
        <w:t> </w:t>
      </w:r>
      <w:r>
        <w:rPr>
          <w:rFonts w:ascii="Arial" w:hAnsi="Arial" w:cs="Arial" w:eastAsia="Arial" w:hint="default"/>
        </w:rPr>
        <w:t>100,987,500</w:t>
      </w:r>
      <w:r>
        <w:rPr>
          <w:rFonts w:ascii="Arial" w:hAnsi="Arial" w:cs="Arial" w:eastAsia="Arial" w:hint="default"/>
          <w:spacing w:val="-17"/>
        </w:rPr>
        <w:t> </w:t>
      </w:r>
      <w:r>
        <w:rPr/>
        <w:t>元</w:t>
      </w:r>
      <w:r>
        <w:rPr>
          <w:spacing w:val="-64"/>
        </w:rPr>
        <w:t> </w:t>
      </w:r>
      <w:r>
        <w:rPr>
          <w:spacing w:val="27"/>
        </w:rPr>
        <w:t>，以及用友软件园二期的土地出让金及相关税费人民币</w:t>
      </w:r>
      <w:r>
        <w:rPr>
          <w:spacing w:val="-66"/>
        </w:rPr>
        <w:t> </w:t>
      </w:r>
      <w:r>
        <w:rPr>
          <w:rFonts w:ascii="Arial" w:hAnsi="Arial" w:cs="Arial" w:eastAsia="Arial" w:hint="default"/>
        </w:rPr>
        <w:t>77,130,460</w:t>
      </w:r>
      <w:r>
        <w:rPr/>
        <w:t>元和开发建设费人民币</w:t>
      </w:r>
      <w:r>
        <w:rPr>
          <w:rFonts w:ascii="Arial" w:hAnsi="Arial" w:cs="Arial" w:eastAsia="Arial" w:hint="default"/>
        </w:rPr>
        <w:t>108,609,120</w:t>
      </w:r>
      <w:r>
        <w:rPr/>
        <w:t>元。截至</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日，本公司尚未支</w:t>
      </w:r>
      <w:r>
        <w:rPr>
          <w:w w:val="100"/>
        </w:rPr>
        <w:t> </w:t>
      </w:r>
      <w:r>
        <w:rPr/>
        <w:t>付的上述开发建设费共计人民币</w:t>
      </w:r>
      <w:r>
        <w:rPr>
          <w:rFonts w:ascii="Arial" w:hAnsi="Arial" w:cs="Arial" w:eastAsia="Arial" w:hint="default"/>
        </w:rPr>
        <w:t>89,596,620</w:t>
      </w:r>
      <w:r>
        <w:rPr/>
        <w:t>元。</w:t>
      </w:r>
    </w:p>
    <w:p>
      <w:pPr>
        <w:spacing w:line="240" w:lineRule="auto" w:before="9"/>
        <w:rPr>
          <w:rFonts w:ascii="黑体" w:hAnsi="黑体" w:cs="黑体" w:eastAsia="黑体" w:hint="default"/>
          <w:sz w:val="17"/>
          <w:szCs w:val="17"/>
        </w:rPr>
      </w:pPr>
    </w:p>
    <w:p>
      <w:pPr>
        <w:pStyle w:val="BodyText"/>
        <w:spacing w:line="261" w:lineRule="auto"/>
        <w:ind w:right="113"/>
        <w:jc w:val="left"/>
      </w:pPr>
      <w:r>
        <w:rPr>
          <w:spacing w:val="-4"/>
        </w:rPr>
        <w:t>本公司于</w:t>
      </w:r>
      <w:r>
        <w:rPr>
          <w:rFonts w:ascii="Arial" w:hAnsi="Arial" w:cs="Arial" w:eastAsia="Arial" w:hint="default"/>
          <w:spacing w:val="-4"/>
        </w:rPr>
        <w:t>2005</w:t>
      </w:r>
      <w:r>
        <w:rPr>
          <w:spacing w:val="-4"/>
        </w:rPr>
        <w:t>年</w:t>
      </w:r>
      <w:r>
        <w:rPr>
          <w:rFonts w:ascii="Arial" w:hAnsi="Arial" w:cs="Arial" w:eastAsia="Arial" w:hint="default"/>
          <w:spacing w:val="-4"/>
        </w:rPr>
        <w:t>6</w:t>
      </w:r>
      <w:r>
        <w:rPr>
          <w:spacing w:val="-4"/>
        </w:rPr>
        <w:t>月</w:t>
      </w:r>
      <w:r>
        <w:rPr>
          <w:rFonts w:ascii="Arial" w:hAnsi="Arial" w:cs="Arial" w:eastAsia="Arial" w:hint="default"/>
          <w:spacing w:val="-4"/>
        </w:rPr>
        <w:t>17</w:t>
      </w:r>
      <w:r>
        <w:rPr>
          <w:spacing w:val="-4"/>
        </w:rPr>
        <w:t>日与北京市国土资源局签署了京地出</w:t>
      </w:r>
      <w:r>
        <w:rPr>
          <w:rFonts w:ascii="Arial" w:hAnsi="Arial" w:cs="Arial" w:eastAsia="Arial" w:hint="default"/>
          <w:spacing w:val="-4"/>
        </w:rPr>
        <w:t>[</w:t>
      </w:r>
      <w:r>
        <w:rPr>
          <w:spacing w:val="-4"/>
        </w:rPr>
        <w:t>合</w:t>
      </w:r>
      <w:r>
        <w:rPr>
          <w:rFonts w:ascii="Arial" w:hAnsi="Arial" w:cs="Arial" w:eastAsia="Arial" w:hint="default"/>
          <w:spacing w:val="-4"/>
        </w:rPr>
        <w:t>]</w:t>
      </w:r>
      <w:r>
        <w:rPr>
          <w:spacing w:val="-4"/>
        </w:rPr>
        <w:t>字（</w:t>
      </w:r>
      <w:r>
        <w:rPr>
          <w:rFonts w:ascii="Arial" w:hAnsi="Arial" w:cs="Arial" w:eastAsia="Arial" w:hint="default"/>
          <w:spacing w:val="-4"/>
        </w:rPr>
        <w:t>2005</w:t>
      </w:r>
      <w:r>
        <w:rPr>
          <w:spacing w:val="-4"/>
        </w:rPr>
        <w:t>）第</w:t>
      </w:r>
      <w:r>
        <w:rPr>
          <w:rFonts w:ascii="Arial" w:hAnsi="Arial" w:cs="Arial" w:eastAsia="Arial" w:hint="default"/>
          <w:spacing w:val="-4"/>
        </w:rPr>
        <w:t>0312</w:t>
      </w:r>
      <w:r>
        <w:rPr>
          <w:spacing w:val="-4"/>
        </w:rPr>
        <w:t>、</w:t>
      </w:r>
      <w:r>
        <w:rPr>
          <w:rFonts w:ascii="Arial" w:hAnsi="Arial" w:cs="Arial" w:eastAsia="Arial" w:hint="default"/>
          <w:spacing w:val="-4"/>
        </w:rPr>
        <w:t>0313</w:t>
      </w:r>
      <w:r>
        <w:rPr>
          <w:spacing w:val="-4"/>
        </w:rPr>
        <w:t>、</w:t>
      </w:r>
      <w:r>
        <w:rPr>
          <w:spacing w:val="-48"/>
        </w:rPr>
        <w:t> </w:t>
      </w:r>
      <w:r>
        <w:rPr>
          <w:rFonts w:ascii="Arial" w:hAnsi="Arial" w:cs="Arial" w:eastAsia="Arial" w:hint="default"/>
          <w:spacing w:val="-3"/>
        </w:rPr>
        <w:t>0314</w:t>
      </w:r>
      <w:r>
        <w:rPr>
          <w:spacing w:val="-3"/>
        </w:rPr>
        <w:t>、</w:t>
      </w:r>
      <w:r>
        <w:rPr>
          <w:rFonts w:ascii="Arial" w:hAnsi="Arial" w:cs="Arial" w:eastAsia="Arial" w:hint="default"/>
          <w:spacing w:val="-3"/>
        </w:rPr>
        <w:t>0315</w:t>
      </w:r>
      <w:r>
        <w:rPr>
          <w:spacing w:val="-3"/>
        </w:rPr>
        <w:t>号国有土地使用权出让合同及补充协议，该些合同同意本公司以出让的方式取</w:t>
      </w:r>
      <w:r>
        <w:rPr>
          <w:spacing w:val="-79"/>
        </w:rPr>
        <w:t> </w:t>
      </w:r>
      <w:r>
        <w:rPr>
          <w:spacing w:val="-79"/>
        </w:rPr>
      </w:r>
      <w:r>
        <w:rPr>
          <w:spacing w:val="-4"/>
        </w:rPr>
        <w:t>得海淀区永丰产业基地</w:t>
      </w:r>
      <w:r>
        <w:rPr>
          <w:rFonts w:ascii="Arial" w:hAnsi="Arial" w:cs="Arial" w:eastAsia="Arial" w:hint="default"/>
          <w:spacing w:val="-4"/>
        </w:rPr>
        <w:t>III-19</w:t>
      </w:r>
      <w:r>
        <w:rPr>
          <w:spacing w:val="-4"/>
        </w:rPr>
        <w:t>地块</w:t>
      </w:r>
      <w:r>
        <w:rPr>
          <w:rFonts w:ascii="Arial" w:hAnsi="Arial" w:cs="Arial" w:eastAsia="Arial" w:hint="default"/>
          <w:spacing w:val="-4"/>
        </w:rPr>
        <w:t>(</w:t>
      </w:r>
      <w:r>
        <w:rPr>
          <w:spacing w:val="-4"/>
        </w:rPr>
        <w:t>约</w:t>
      </w:r>
      <w:r>
        <w:rPr>
          <w:rFonts w:ascii="Arial" w:hAnsi="Arial" w:cs="Arial" w:eastAsia="Arial" w:hint="default"/>
          <w:spacing w:val="-4"/>
        </w:rPr>
        <w:t>106.5</w:t>
      </w:r>
      <w:r>
        <w:rPr>
          <w:spacing w:val="-4"/>
        </w:rPr>
        <w:t>亩</w:t>
      </w:r>
      <w:r>
        <w:rPr>
          <w:rFonts w:ascii="Arial" w:hAnsi="Arial" w:cs="Arial" w:eastAsia="Arial" w:hint="default"/>
          <w:spacing w:val="-4"/>
        </w:rPr>
        <w:t>)</w:t>
      </w:r>
      <w:r>
        <w:rPr>
          <w:spacing w:val="-4"/>
        </w:rPr>
        <w:t>、</w:t>
      </w:r>
      <w:r>
        <w:rPr>
          <w:rFonts w:ascii="Arial" w:hAnsi="Arial" w:cs="Arial" w:eastAsia="Arial" w:hint="default"/>
          <w:spacing w:val="-4"/>
        </w:rPr>
        <w:t>III-13</w:t>
      </w:r>
      <w:r>
        <w:rPr>
          <w:spacing w:val="-4"/>
        </w:rPr>
        <w:t>地块</w:t>
      </w:r>
      <w:r>
        <w:rPr>
          <w:rFonts w:ascii="Arial" w:hAnsi="Arial" w:cs="Arial" w:eastAsia="Arial" w:hint="default"/>
          <w:spacing w:val="-4"/>
        </w:rPr>
        <w:t>(</w:t>
      </w:r>
      <w:r>
        <w:rPr>
          <w:spacing w:val="-4"/>
        </w:rPr>
        <w:t>约</w:t>
      </w:r>
      <w:r>
        <w:rPr>
          <w:rFonts w:ascii="Arial" w:hAnsi="Arial" w:cs="Arial" w:eastAsia="Arial" w:hint="default"/>
          <w:spacing w:val="-4"/>
        </w:rPr>
        <w:t>14.8</w:t>
      </w:r>
      <w:r>
        <w:rPr>
          <w:spacing w:val="-4"/>
        </w:rPr>
        <w:t>亩</w:t>
      </w:r>
      <w:r>
        <w:rPr>
          <w:rFonts w:ascii="Arial" w:hAnsi="Arial" w:cs="Arial" w:eastAsia="Arial" w:hint="default"/>
          <w:spacing w:val="-4"/>
        </w:rPr>
        <w:t>)</w:t>
      </w:r>
      <w:r>
        <w:rPr>
          <w:spacing w:val="-4"/>
        </w:rPr>
        <w:t>、</w:t>
      </w:r>
      <w:r>
        <w:rPr>
          <w:rFonts w:ascii="Arial" w:hAnsi="Arial" w:cs="Arial" w:eastAsia="Arial" w:hint="default"/>
          <w:spacing w:val="-4"/>
        </w:rPr>
        <w:t>III-17</w:t>
      </w:r>
      <w:r>
        <w:rPr>
          <w:spacing w:val="-4"/>
        </w:rPr>
        <w:t>地块</w:t>
      </w:r>
      <w:r>
        <w:rPr>
          <w:rFonts w:ascii="Arial" w:hAnsi="Arial" w:cs="Arial" w:eastAsia="Arial" w:hint="default"/>
          <w:spacing w:val="-4"/>
        </w:rPr>
        <w:t>(</w:t>
      </w:r>
      <w:r>
        <w:rPr>
          <w:spacing w:val="-4"/>
        </w:rPr>
        <w:t>约</w:t>
      </w:r>
      <w:r>
        <w:rPr>
          <w:rFonts w:ascii="Arial" w:hAnsi="Arial" w:cs="Arial" w:eastAsia="Arial" w:hint="default"/>
          <w:spacing w:val="-4"/>
        </w:rPr>
        <w:t>93.8</w:t>
      </w:r>
      <w:r>
        <w:rPr>
          <w:spacing w:val="-4"/>
        </w:rPr>
        <w:t>亩</w:t>
      </w:r>
      <w:r>
        <w:rPr>
          <w:rFonts w:ascii="Arial" w:hAnsi="Arial" w:cs="Arial" w:eastAsia="Arial" w:hint="default"/>
          <w:spacing w:val="-4"/>
        </w:rPr>
        <w:t>)</w:t>
      </w:r>
      <w:r>
        <w:rPr>
          <w:spacing w:val="-4"/>
        </w:rPr>
        <w:t>、</w:t>
      </w:r>
      <w:r>
        <w:rPr>
          <w:spacing w:val="-33"/>
        </w:rPr>
        <w:t> </w:t>
      </w:r>
      <w:r>
        <w:rPr>
          <w:rFonts w:ascii="Arial" w:hAnsi="Arial" w:cs="Arial" w:eastAsia="Arial" w:hint="default"/>
        </w:rPr>
        <w:t>III-18</w:t>
      </w:r>
      <w:r>
        <w:rPr/>
        <w:t>地块</w:t>
      </w:r>
      <w:r>
        <w:rPr>
          <w:rFonts w:ascii="Arial" w:hAnsi="Arial" w:cs="Arial" w:eastAsia="Arial" w:hint="default"/>
        </w:rPr>
        <w:t>(</w:t>
      </w:r>
      <w:r>
        <w:rPr/>
        <w:t>约</w:t>
      </w:r>
      <w:r>
        <w:rPr>
          <w:rFonts w:ascii="Arial" w:hAnsi="Arial" w:cs="Arial" w:eastAsia="Arial" w:hint="default"/>
        </w:rPr>
        <w:t>90.7</w:t>
      </w:r>
      <w:r>
        <w:rPr/>
        <w:t>亩</w:t>
      </w:r>
      <w:r>
        <w:rPr>
          <w:rFonts w:ascii="Arial" w:hAnsi="Arial" w:cs="Arial" w:eastAsia="Arial" w:hint="default"/>
        </w:rPr>
        <w:t>)50</w:t>
      </w:r>
      <w:r>
        <w:rPr/>
        <w:t>年使用权，该些协议同意本公司在</w:t>
      </w:r>
      <w:r>
        <w:rPr>
          <w:rFonts w:ascii="Arial" w:hAnsi="Arial" w:cs="Arial" w:eastAsia="Arial" w:hint="default"/>
        </w:rPr>
        <w:t>III-13</w:t>
      </w:r>
      <w:r>
        <w:rPr/>
        <w:t>、</w:t>
      </w:r>
      <w:r>
        <w:rPr>
          <w:rFonts w:ascii="Arial" w:hAnsi="Arial" w:cs="Arial" w:eastAsia="Arial" w:hint="default"/>
        </w:rPr>
        <w:t>III-17</w:t>
      </w:r>
      <w:r>
        <w:rPr/>
        <w:t>、</w:t>
      </w:r>
      <w:r>
        <w:rPr>
          <w:rFonts w:ascii="Arial" w:hAnsi="Arial" w:cs="Arial" w:eastAsia="Arial" w:hint="default"/>
        </w:rPr>
        <w:t>III-19</w:t>
      </w:r>
      <w:r>
        <w:rPr/>
        <w:t>地块在土地</w:t>
      </w:r>
      <w:r>
        <w:rPr>
          <w:spacing w:val="-98"/>
        </w:rPr>
        <w:t> </w:t>
      </w:r>
      <w:r>
        <w:rPr>
          <w:spacing w:val="-98"/>
        </w:rPr>
      </w:r>
      <w:r>
        <w:rPr>
          <w:spacing w:val="3"/>
        </w:rPr>
        <w:t>使用期限内在不被取消国家高技术产业发展项目的情况下，免予缴纳土地出让金；对于</w:t>
      </w:r>
      <w:r>
        <w:rPr>
          <w:spacing w:val="-48"/>
        </w:rPr>
        <w:t> </w:t>
      </w:r>
      <w:r>
        <w:rPr>
          <w:spacing w:val="-48"/>
        </w:rPr>
      </w:r>
      <w:r>
        <w:rPr>
          <w:rFonts w:ascii="Arial" w:hAnsi="Arial" w:cs="Arial" w:eastAsia="Arial" w:hint="default"/>
          <w:spacing w:val="-3"/>
        </w:rPr>
        <w:t>III-18</w:t>
      </w:r>
      <w:r>
        <w:rPr>
          <w:spacing w:val="-3"/>
        </w:rPr>
        <w:t>地块免缴土地出让金的</w:t>
      </w:r>
      <w:r>
        <w:rPr>
          <w:rFonts w:ascii="Arial" w:hAnsi="Arial" w:cs="Arial" w:eastAsia="Arial" w:hint="default"/>
          <w:spacing w:val="-3"/>
        </w:rPr>
        <w:t>30%</w:t>
      </w:r>
      <w:r>
        <w:rPr>
          <w:spacing w:val="-3"/>
        </w:rPr>
        <w:t>，按北京市土地出让金标准的</w:t>
      </w:r>
      <w:r>
        <w:rPr>
          <w:rFonts w:ascii="Arial" w:hAnsi="Arial" w:cs="Arial" w:eastAsia="Arial" w:hint="default"/>
          <w:spacing w:val="-3"/>
        </w:rPr>
        <w:t>70%</w:t>
      </w:r>
      <w:r>
        <w:rPr>
          <w:spacing w:val="-3"/>
        </w:rPr>
        <w:t>土地出让金及契税共计</w:t>
      </w:r>
      <w:r>
        <w:rPr>
          <w:spacing w:val="-43"/>
        </w:rPr>
        <w:t> </w:t>
      </w:r>
      <w:r>
        <w:rPr>
          <w:spacing w:val="-43"/>
        </w:rPr>
      </w:r>
      <w:r>
        <w:rPr/>
        <w:t>缴纳人民币</w:t>
      </w:r>
      <w:r>
        <w:rPr>
          <w:rFonts w:ascii="Arial" w:hAnsi="Arial" w:cs="Arial" w:eastAsia="Arial" w:hint="default"/>
        </w:rPr>
        <w:t>7,235,590</w:t>
      </w:r>
      <w:r>
        <w:rPr/>
        <w:t>元。本公司于</w:t>
      </w:r>
      <w:r>
        <w:rPr>
          <w:rFonts w:ascii="Arial" w:hAnsi="Arial" w:cs="Arial" w:eastAsia="Arial" w:hint="default"/>
        </w:rPr>
        <w:t>2005</w:t>
      </w:r>
      <w:r>
        <w:rPr/>
        <w:t>年</w:t>
      </w:r>
      <w:r>
        <w:rPr>
          <w:rFonts w:ascii="Arial" w:hAnsi="Arial" w:cs="Arial" w:eastAsia="Arial" w:hint="default"/>
        </w:rPr>
        <w:t>7</w:t>
      </w:r>
      <w:r>
        <w:rPr/>
        <w:t>月</w:t>
      </w:r>
      <w:r>
        <w:rPr>
          <w:rFonts w:ascii="Arial" w:hAnsi="Arial" w:cs="Arial" w:eastAsia="Arial" w:hint="default"/>
        </w:rPr>
        <w:t>21</w:t>
      </w:r>
      <w:r>
        <w:rPr/>
        <w:t>日缴纳了该土地出让金，并于</w:t>
      </w:r>
      <w:r>
        <w:rPr>
          <w:rFonts w:ascii="Arial" w:hAnsi="Arial" w:cs="Arial" w:eastAsia="Arial" w:hint="default"/>
        </w:rPr>
        <w:t>2006</w:t>
      </w:r>
      <w:r>
        <w:rPr/>
        <w:t>年</w:t>
      </w:r>
      <w:r>
        <w:rPr>
          <w:rFonts w:ascii="Arial" w:hAnsi="Arial" w:cs="Arial" w:eastAsia="Arial" w:hint="default"/>
        </w:rPr>
        <w:t>1</w:t>
      </w:r>
      <w:r>
        <w:rPr/>
        <w:t>月</w:t>
      </w:r>
      <w:r>
        <w:rPr>
          <w:w w:val="100"/>
        </w:rPr>
        <w:t> </w:t>
      </w:r>
      <w:r>
        <w:rPr>
          <w:rFonts w:ascii="Arial" w:hAnsi="Arial" w:cs="Arial" w:eastAsia="Arial" w:hint="default"/>
          <w:spacing w:val="-2"/>
        </w:rPr>
        <w:t>19</w:t>
      </w:r>
      <w:r>
        <w:rPr>
          <w:spacing w:val="-2"/>
        </w:rPr>
        <w:t>日取得了上述海淀区永丰产业基地</w:t>
      </w:r>
      <w:r>
        <w:rPr>
          <w:rFonts w:ascii="Arial" w:hAnsi="Arial" w:cs="Arial" w:eastAsia="Arial" w:hint="default"/>
          <w:spacing w:val="-2"/>
        </w:rPr>
        <w:t>III-19</w:t>
      </w:r>
      <w:r>
        <w:rPr>
          <w:spacing w:val="-2"/>
        </w:rPr>
        <w:t>地块、</w:t>
      </w:r>
      <w:r>
        <w:rPr>
          <w:rFonts w:ascii="Arial" w:hAnsi="Arial" w:cs="Arial" w:eastAsia="Arial" w:hint="default"/>
          <w:spacing w:val="-2"/>
        </w:rPr>
        <w:t>III-13</w:t>
      </w:r>
      <w:r>
        <w:rPr>
          <w:spacing w:val="-2"/>
        </w:rPr>
        <w:t>地块、</w:t>
      </w:r>
      <w:r>
        <w:rPr>
          <w:rFonts w:ascii="Arial" w:hAnsi="Arial" w:cs="Arial" w:eastAsia="Arial" w:hint="default"/>
          <w:spacing w:val="-2"/>
        </w:rPr>
        <w:t>III-17</w:t>
      </w:r>
      <w:r>
        <w:rPr>
          <w:spacing w:val="-2"/>
        </w:rPr>
        <w:t>地块、</w:t>
      </w:r>
      <w:r>
        <w:rPr>
          <w:rFonts w:ascii="Arial" w:hAnsi="Arial" w:cs="Arial" w:eastAsia="Arial" w:hint="default"/>
          <w:spacing w:val="-2"/>
        </w:rPr>
        <w:t>III-18</w:t>
      </w:r>
      <w:r>
        <w:rPr>
          <w:spacing w:val="-2"/>
        </w:rPr>
        <w:t>地块的土地</w:t>
      </w:r>
      <w:r>
        <w:rPr>
          <w:spacing w:val="-67"/>
        </w:rPr>
        <w:t> </w:t>
      </w:r>
      <w:r>
        <w:rPr>
          <w:spacing w:val="-67"/>
        </w:rPr>
      </w:r>
      <w:r>
        <w:rPr/>
        <w:t>使用证书。该土地使用证上注明的使用期限为截止</w:t>
      </w:r>
      <w:r>
        <w:rPr>
          <w:rFonts w:ascii="Arial" w:hAnsi="Arial" w:cs="Arial" w:eastAsia="Arial" w:hint="default"/>
        </w:rPr>
        <w:t>2055</w:t>
      </w:r>
      <w:r>
        <w:rPr/>
        <w:t>年</w:t>
      </w:r>
      <w:r>
        <w:rPr>
          <w:rFonts w:ascii="Arial" w:hAnsi="Arial" w:cs="Arial" w:eastAsia="Arial" w:hint="default"/>
        </w:rPr>
        <w:t>6</w:t>
      </w:r>
      <w:r>
        <w:rPr/>
        <w:t>月</w:t>
      </w:r>
      <w:r>
        <w:rPr>
          <w:rFonts w:ascii="Arial" w:hAnsi="Arial" w:cs="Arial" w:eastAsia="Arial" w:hint="default"/>
        </w:rPr>
        <w:t>17</w:t>
      </w:r>
      <w:r>
        <w:rPr/>
        <w:t>日。</w:t>
      </w:r>
    </w:p>
    <w:p>
      <w:pPr>
        <w:spacing w:line="240" w:lineRule="auto" w:before="2"/>
        <w:rPr>
          <w:rFonts w:ascii="黑体" w:hAnsi="黑体" w:cs="黑体" w:eastAsia="黑体" w:hint="default"/>
          <w:sz w:val="16"/>
          <w:szCs w:val="16"/>
        </w:rPr>
      </w:pPr>
    </w:p>
    <w:p>
      <w:pPr>
        <w:pStyle w:val="BodyText"/>
        <w:spacing w:line="261" w:lineRule="auto"/>
        <w:ind w:right="114"/>
        <w:jc w:val="left"/>
      </w:pPr>
      <w:r>
        <w:rPr>
          <w:spacing w:val="-3"/>
        </w:rPr>
        <w:t>本公司于</w:t>
      </w:r>
      <w:r>
        <w:rPr>
          <w:rFonts w:ascii="Arial" w:hAnsi="Arial" w:cs="Arial" w:eastAsia="Arial" w:hint="default"/>
          <w:spacing w:val="-3"/>
        </w:rPr>
        <w:t>2007</w:t>
      </w:r>
      <w:r>
        <w:rPr>
          <w:spacing w:val="-3"/>
        </w:rPr>
        <w:t>年</w:t>
      </w:r>
      <w:r>
        <w:rPr>
          <w:rFonts w:ascii="Arial" w:hAnsi="Arial" w:cs="Arial" w:eastAsia="Arial" w:hint="default"/>
          <w:spacing w:val="-3"/>
        </w:rPr>
        <w:t>6</w:t>
      </w:r>
      <w:r>
        <w:rPr>
          <w:spacing w:val="-3"/>
        </w:rPr>
        <w:t>月</w:t>
      </w:r>
      <w:r>
        <w:rPr>
          <w:rFonts w:ascii="Arial" w:hAnsi="Arial" w:cs="Arial" w:eastAsia="Arial" w:hint="default"/>
          <w:spacing w:val="-3"/>
        </w:rPr>
        <w:t>30</w:t>
      </w:r>
      <w:r>
        <w:rPr>
          <w:spacing w:val="-3"/>
        </w:rPr>
        <w:t>日与北京市国土资源局签署了京海地出</w:t>
      </w:r>
      <w:r>
        <w:rPr>
          <w:rFonts w:ascii="Arial" w:hAnsi="Arial" w:cs="Arial" w:eastAsia="Arial" w:hint="default"/>
          <w:spacing w:val="-3"/>
        </w:rPr>
        <w:t>[</w:t>
      </w:r>
      <w:r>
        <w:rPr>
          <w:spacing w:val="-3"/>
        </w:rPr>
        <w:t>合</w:t>
      </w:r>
      <w:r>
        <w:rPr>
          <w:rFonts w:ascii="Arial" w:hAnsi="Arial" w:cs="Arial" w:eastAsia="Arial" w:hint="default"/>
          <w:spacing w:val="-3"/>
        </w:rPr>
        <w:t>]</w:t>
      </w:r>
      <w:r>
        <w:rPr>
          <w:spacing w:val="-3"/>
        </w:rPr>
        <w:t>字（</w:t>
      </w:r>
      <w:r>
        <w:rPr>
          <w:rFonts w:ascii="Arial" w:hAnsi="Arial" w:cs="Arial" w:eastAsia="Arial" w:hint="default"/>
          <w:spacing w:val="-3"/>
        </w:rPr>
        <w:t>2007</w:t>
      </w:r>
      <w:r>
        <w:rPr>
          <w:spacing w:val="-3"/>
        </w:rPr>
        <w:t>）第</w:t>
      </w:r>
      <w:r>
        <w:rPr>
          <w:rFonts w:ascii="Arial" w:hAnsi="Arial" w:cs="Arial" w:eastAsia="Arial" w:hint="default"/>
          <w:spacing w:val="-3"/>
        </w:rPr>
        <w:t>011</w:t>
      </w:r>
      <w:r>
        <w:rPr>
          <w:spacing w:val="-3"/>
        </w:rPr>
        <w:t>、</w:t>
      </w:r>
      <w:r>
        <w:rPr>
          <w:rFonts w:ascii="Arial" w:hAnsi="Arial" w:cs="Arial" w:eastAsia="Arial" w:hint="default"/>
          <w:spacing w:val="-3"/>
        </w:rPr>
        <w:t>012</w:t>
      </w:r>
      <w:r>
        <w:rPr>
          <w:spacing w:val="-3"/>
        </w:rPr>
        <w:t>、</w:t>
      </w:r>
      <w:r>
        <w:rPr>
          <w:spacing w:val="-79"/>
        </w:rPr>
        <w:t> </w:t>
      </w:r>
      <w:r>
        <w:rPr>
          <w:rFonts w:ascii="Arial" w:hAnsi="Arial" w:cs="Arial" w:eastAsia="Arial" w:hint="default"/>
          <w:spacing w:val="-2"/>
        </w:rPr>
        <w:t>013</w:t>
      </w:r>
      <w:r>
        <w:rPr>
          <w:spacing w:val="-2"/>
        </w:rPr>
        <w:t>、</w:t>
      </w:r>
      <w:r>
        <w:rPr>
          <w:rFonts w:ascii="Arial" w:hAnsi="Arial" w:cs="Arial" w:eastAsia="Arial" w:hint="default"/>
          <w:spacing w:val="-2"/>
        </w:rPr>
        <w:t>014</w:t>
      </w:r>
      <w:r>
        <w:rPr>
          <w:spacing w:val="-2"/>
        </w:rPr>
        <w:t>、</w:t>
      </w:r>
      <w:r>
        <w:rPr>
          <w:rFonts w:ascii="Arial" w:hAnsi="Arial" w:cs="Arial" w:eastAsia="Arial" w:hint="default"/>
          <w:spacing w:val="-2"/>
        </w:rPr>
        <w:t>015</w:t>
      </w:r>
      <w:r>
        <w:rPr>
          <w:spacing w:val="-2"/>
        </w:rPr>
        <w:t>、</w:t>
      </w:r>
      <w:r>
        <w:rPr>
          <w:rFonts w:ascii="Arial" w:hAnsi="Arial" w:cs="Arial" w:eastAsia="Arial" w:hint="default"/>
          <w:spacing w:val="-2"/>
        </w:rPr>
        <w:t>016</w:t>
      </w:r>
      <w:r>
        <w:rPr>
          <w:spacing w:val="-2"/>
        </w:rPr>
        <w:t>、</w:t>
      </w:r>
      <w:r>
        <w:rPr>
          <w:rFonts w:ascii="Arial" w:hAnsi="Arial" w:cs="Arial" w:eastAsia="Arial" w:hint="default"/>
          <w:spacing w:val="-2"/>
        </w:rPr>
        <w:t>017</w:t>
      </w:r>
      <w:r>
        <w:rPr>
          <w:spacing w:val="-2"/>
        </w:rPr>
        <w:t>号国有土地使用权出让合同，并于</w:t>
      </w:r>
      <w:r>
        <w:rPr>
          <w:rFonts w:ascii="Arial" w:hAnsi="Arial" w:cs="Arial" w:eastAsia="Arial" w:hint="default"/>
          <w:spacing w:val="-2"/>
        </w:rPr>
        <w:t>2009</w:t>
      </w:r>
      <w:r>
        <w:rPr>
          <w:spacing w:val="-2"/>
        </w:rPr>
        <w:t>年</w:t>
      </w:r>
      <w:r>
        <w:rPr>
          <w:rFonts w:ascii="Arial" w:hAnsi="Arial" w:cs="Arial" w:eastAsia="Arial" w:hint="default"/>
          <w:spacing w:val="-2"/>
        </w:rPr>
        <w:t>9</w:t>
      </w:r>
      <w:r>
        <w:rPr>
          <w:spacing w:val="-2"/>
        </w:rPr>
        <w:t>月</w:t>
      </w:r>
      <w:r>
        <w:rPr>
          <w:rFonts w:ascii="Arial" w:hAnsi="Arial" w:cs="Arial" w:eastAsia="Arial" w:hint="default"/>
          <w:spacing w:val="-2"/>
        </w:rPr>
        <w:t>11</w:t>
      </w:r>
      <w:r>
        <w:rPr>
          <w:spacing w:val="-2"/>
        </w:rPr>
        <w:t>日与北京市国</w:t>
      </w:r>
      <w:r>
        <w:rPr>
          <w:spacing w:val="-74"/>
        </w:rPr>
        <w:t> </w:t>
      </w:r>
      <w:r>
        <w:rPr>
          <w:spacing w:val="-74"/>
        </w:rPr>
      </w:r>
      <w:r>
        <w:rPr/>
        <w:t>土资源局签署了京海地出</w:t>
      </w:r>
      <w:r>
        <w:rPr>
          <w:rFonts w:ascii="Arial" w:hAnsi="Arial" w:cs="Arial" w:eastAsia="Arial" w:hint="default"/>
        </w:rPr>
        <w:t>[</w:t>
      </w:r>
      <w:r>
        <w:rPr/>
        <w:t>合</w:t>
      </w:r>
      <w:r>
        <w:rPr>
          <w:rFonts w:ascii="Arial" w:hAnsi="Arial" w:cs="Arial" w:eastAsia="Arial" w:hint="default"/>
        </w:rPr>
        <w:t>]</w:t>
      </w:r>
      <w:r>
        <w:rPr/>
        <w:t>字（</w:t>
      </w:r>
      <w:r>
        <w:rPr>
          <w:rFonts w:ascii="Arial" w:hAnsi="Arial" w:cs="Arial" w:eastAsia="Arial" w:hint="default"/>
        </w:rPr>
        <w:t>2007</w:t>
      </w:r>
      <w:r>
        <w:rPr/>
        <w:t>）第</w:t>
      </w:r>
      <w:r>
        <w:rPr>
          <w:rFonts w:ascii="Arial" w:hAnsi="Arial" w:cs="Arial" w:eastAsia="Arial" w:hint="default"/>
        </w:rPr>
        <w:t>011</w:t>
      </w:r>
      <w:r>
        <w:rPr/>
        <w:t>、</w:t>
      </w:r>
      <w:r>
        <w:rPr>
          <w:rFonts w:ascii="Arial" w:hAnsi="Arial" w:cs="Arial" w:eastAsia="Arial" w:hint="default"/>
        </w:rPr>
        <w:t>012</w:t>
      </w:r>
      <w:r>
        <w:rPr/>
        <w:t>、</w:t>
      </w:r>
      <w:r>
        <w:rPr>
          <w:rFonts w:ascii="Arial" w:hAnsi="Arial" w:cs="Arial" w:eastAsia="Arial" w:hint="default"/>
        </w:rPr>
        <w:t>013</w:t>
      </w:r>
      <w:r>
        <w:rPr/>
        <w:t>、</w:t>
      </w:r>
      <w:r>
        <w:rPr>
          <w:rFonts w:ascii="Arial" w:hAnsi="Arial" w:cs="Arial" w:eastAsia="Arial" w:hint="default"/>
        </w:rPr>
        <w:t>014</w:t>
      </w:r>
      <w:r>
        <w:rPr/>
        <w:t>、</w:t>
      </w:r>
      <w:r>
        <w:rPr>
          <w:rFonts w:ascii="Arial" w:hAnsi="Arial" w:cs="Arial" w:eastAsia="Arial" w:hint="default"/>
        </w:rPr>
        <w:t>015</w:t>
      </w:r>
      <w:r>
        <w:rPr/>
        <w:t>、</w:t>
      </w:r>
      <w:r>
        <w:rPr>
          <w:rFonts w:ascii="Arial" w:hAnsi="Arial" w:cs="Arial" w:eastAsia="Arial" w:hint="default"/>
        </w:rPr>
        <w:t>016</w:t>
      </w:r>
      <w:r>
        <w:rPr/>
        <w:t>、</w:t>
      </w:r>
      <w:r>
        <w:rPr>
          <w:rFonts w:ascii="Arial" w:hAnsi="Arial" w:cs="Arial" w:eastAsia="Arial" w:hint="default"/>
        </w:rPr>
        <w:t>017</w:t>
      </w:r>
      <w:r>
        <w:rPr/>
        <w:t>号国</w:t>
      </w:r>
      <w:r>
        <w:rPr>
          <w:spacing w:val="-26"/>
        </w:rPr>
        <w:t> </w:t>
      </w:r>
      <w:r>
        <w:rPr/>
        <w:t>有土地使用权出让合同补充协议。该些合同同意本公司以出让的方式取得中关村永丰高新</w:t>
      </w:r>
      <w:r>
        <w:rPr>
          <w:w w:val="100"/>
        </w:rPr>
        <w:t> </w:t>
      </w:r>
      <w:r>
        <w:rPr/>
        <w:t>技术产业基地</w:t>
      </w:r>
      <w:r>
        <w:rPr>
          <w:rFonts w:ascii="Arial" w:hAnsi="Arial" w:cs="Arial" w:eastAsia="Arial" w:hint="default"/>
        </w:rPr>
        <w:t>III-10</w:t>
      </w:r>
      <w:r>
        <w:rPr/>
        <w:t>地块</w:t>
      </w:r>
      <w:r>
        <w:rPr>
          <w:rFonts w:ascii="Arial" w:hAnsi="Arial" w:cs="Arial" w:eastAsia="Arial" w:hint="default"/>
        </w:rPr>
        <w:t>(130,492</w:t>
      </w:r>
      <w:r>
        <w:rPr/>
        <w:t>平方米</w:t>
      </w:r>
      <w:r>
        <w:rPr>
          <w:rFonts w:ascii="Arial" w:hAnsi="Arial" w:cs="Arial" w:eastAsia="Arial" w:hint="default"/>
        </w:rPr>
        <w:t>)</w:t>
      </w:r>
      <w:r>
        <w:rPr/>
        <w:t>、</w:t>
      </w:r>
      <w:r>
        <w:rPr>
          <w:rFonts w:ascii="Arial" w:hAnsi="Arial" w:cs="Arial" w:eastAsia="Arial" w:hint="default"/>
        </w:rPr>
        <w:t>III-12</w:t>
      </w:r>
      <w:r>
        <w:rPr/>
        <w:t>地块</w:t>
      </w:r>
      <w:r>
        <w:rPr>
          <w:rFonts w:ascii="Arial" w:hAnsi="Arial" w:cs="Arial" w:eastAsia="Arial" w:hint="default"/>
        </w:rPr>
        <w:t>(26,494</w:t>
      </w:r>
      <w:r>
        <w:rPr/>
        <w:t>平方米</w:t>
      </w:r>
      <w:r>
        <w:rPr>
          <w:rFonts w:ascii="Arial" w:hAnsi="Arial" w:cs="Arial" w:eastAsia="Arial" w:hint="default"/>
        </w:rPr>
        <w:t>)</w:t>
      </w:r>
      <w:r>
        <w:rPr/>
        <w:t>、</w:t>
      </w:r>
      <w:r>
        <w:rPr>
          <w:rFonts w:ascii="Arial" w:hAnsi="Arial" w:cs="Arial" w:eastAsia="Arial" w:hint="default"/>
        </w:rPr>
        <w:t>III-14</w:t>
      </w:r>
      <w:r>
        <w:rPr/>
        <w:t>地块</w:t>
      </w:r>
      <w:r>
        <w:rPr>
          <w:rFonts w:ascii="Arial" w:hAnsi="Arial" w:cs="Arial" w:eastAsia="Arial" w:hint="default"/>
        </w:rPr>
        <w:t>(34,476</w:t>
      </w:r>
      <w:r>
        <w:rPr>
          <w:rFonts w:ascii="Arial" w:hAnsi="Arial" w:cs="Arial" w:eastAsia="Arial" w:hint="default"/>
          <w:spacing w:val="1"/>
        </w:rPr>
        <w:t> </w:t>
      </w:r>
      <w:r>
        <w:rPr>
          <w:rFonts w:ascii="Arial" w:hAnsi="Arial" w:cs="Arial" w:eastAsia="Arial" w:hint="default"/>
          <w:spacing w:val="1"/>
        </w:rPr>
      </w:r>
      <w:r>
        <w:rPr>
          <w:spacing w:val="-3"/>
        </w:rPr>
        <w:t>平方米</w:t>
      </w:r>
      <w:r>
        <w:rPr>
          <w:rFonts w:ascii="Arial" w:hAnsi="Arial" w:cs="Arial" w:eastAsia="Arial" w:hint="default"/>
          <w:spacing w:val="-3"/>
        </w:rPr>
        <w:t>)</w:t>
      </w:r>
      <w:r>
        <w:rPr>
          <w:spacing w:val="-3"/>
        </w:rPr>
        <w:t>、</w:t>
      </w:r>
      <w:r>
        <w:rPr>
          <w:rFonts w:ascii="Arial" w:hAnsi="Arial" w:cs="Arial" w:eastAsia="Arial" w:hint="default"/>
          <w:spacing w:val="-3"/>
        </w:rPr>
        <w:t>III-16</w:t>
      </w:r>
      <w:r>
        <w:rPr>
          <w:spacing w:val="-3"/>
        </w:rPr>
        <w:t>地块</w:t>
      </w:r>
      <w:r>
        <w:rPr>
          <w:rFonts w:ascii="Arial" w:hAnsi="Arial" w:cs="Arial" w:eastAsia="Arial" w:hint="default"/>
          <w:spacing w:val="-3"/>
        </w:rPr>
        <w:t>(17,568</w:t>
      </w:r>
      <w:r>
        <w:rPr>
          <w:spacing w:val="-3"/>
        </w:rPr>
        <w:t>平方米</w:t>
      </w:r>
      <w:r>
        <w:rPr>
          <w:rFonts w:ascii="Arial" w:hAnsi="Arial" w:cs="Arial" w:eastAsia="Arial" w:hint="default"/>
          <w:spacing w:val="-3"/>
        </w:rPr>
        <w:t>)</w:t>
      </w:r>
      <w:r>
        <w:rPr>
          <w:spacing w:val="-3"/>
        </w:rPr>
        <w:t>、</w:t>
      </w:r>
      <w:r>
        <w:rPr>
          <w:rFonts w:ascii="Arial" w:hAnsi="Arial" w:cs="Arial" w:eastAsia="Arial" w:hint="default"/>
          <w:spacing w:val="-3"/>
        </w:rPr>
        <w:t>III-20</w:t>
      </w:r>
      <w:r>
        <w:rPr>
          <w:spacing w:val="-3"/>
        </w:rPr>
        <w:t>地块</w:t>
      </w:r>
      <w:r>
        <w:rPr>
          <w:rFonts w:ascii="Arial" w:hAnsi="Arial" w:cs="Arial" w:eastAsia="Arial" w:hint="default"/>
          <w:spacing w:val="-3"/>
        </w:rPr>
        <w:t>(64,930</w:t>
      </w:r>
      <w:r>
        <w:rPr>
          <w:spacing w:val="-3"/>
        </w:rPr>
        <w:t>平方米</w:t>
      </w:r>
      <w:r>
        <w:rPr>
          <w:rFonts w:ascii="Arial" w:hAnsi="Arial" w:cs="Arial" w:eastAsia="Arial" w:hint="default"/>
          <w:spacing w:val="-3"/>
        </w:rPr>
        <w:t>)</w:t>
      </w:r>
      <w:r>
        <w:rPr>
          <w:spacing w:val="-3"/>
        </w:rPr>
        <w:t>、</w:t>
      </w:r>
      <w:r>
        <w:rPr>
          <w:rFonts w:ascii="Arial" w:hAnsi="Arial" w:cs="Arial" w:eastAsia="Arial" w:hint="default"/>
          <w:spacing w:val="-3"/>
        </w:rPr>
        <w:t>III-21</w:t>
      </w:r>
      <w:r>
        <w:rPr>
          <w:spacing w:val="-3"/>
        </w:rPr>
        <w:t>地块</w:t>
      </w:r>
      <w:r>
        <w:rPr>
          <w:rFonts w:ascii="Arial" w:hAnsi="Arial" w:cs="Arial" w:eastAsia="Arial" w:hint="default"/>
          <w:spacing w:val="-3"/>
        </w:rPr>
        <w:t>(68,227</w:t>
      </w:r>
      <w:r>
        <w:rPr>
          <w:spacing w:val="-3"/>
        </w:rPr>
        <w:t>平方米</w:t>
      </w:r>
      <w:r>
        <w:rPr>
          <w:rFonts w:ascii="Arial" w:hAnsi="Arial" w:cs="Arial" w:eastAsia="Arial" w:hint="default"/>
          <w:spacing w:val="-3"/>
        </w:rPr>
        <w:t>)</w:t>
      </w:r>
      <w:r>
        <w:rPr>
          <w:rFonts w:ascii="Arial" w:hAnsi="Arial" w:cs="Arial" w:eastAsia="Arial" w:hint="default"/>
          <w:spacing w:val="18"/>
        </w:rPr>
        <w:t> </w:t>
      </w:r>
      <w:r>
        <w:rPr/>
        <w:t>和</w:t>
      </w:r>
      <w:r>
        <w:rPr>
          <w:rFonts w:ascii="Arial" w:hAnsi="Arial" w:cs="Arial" w:eastAsia="Arial" w:hint="default"/>
        </w:rPr>
        <w:t>III-22</w:t>
      </w:r>
      <w:r>
        <w:rPr/>
        <w:t>地块</w:t>
      </w:r>
      <w:r>
        <w:rPr>
          <w:rFonts w:ascii="Arial" w:hAnsi="Arial" w:cs="Arial" w:eastAsia="Arial" w:hint="default"/>
        </w:rPr>
        <w:t>(101,246</w:t>
      </w:r>
      <w:r>
        <w:rPr/>
        <w:t>平方米</w:t>
      </w:r>
      <w:r>
        <w:rPr>
          <w:rFonts w:ascii="Arial" w:hAnsi="Arial" w:cs="Arial" w:eastAsia="Arial" w:hint="default"/>
        </w:rPr>
        <w:t>)50</w:t>
      </w:r>
      <w:r>
        <w:rPr/>
        <w:t>年使用权。本公司已全部交纳上述土地的土地出让金及契</w:t>
      </w:r>
      <w:r>
        <w:rPr>
          <w:spacing w:val="-54"/>
        </w:rPr>
        <w:t> </w:t>
      </w:r>
      <w:r>
        <w:rPr>
          <w:spacing w:val="-54"/>
        </w:rPr>
      </w:r>
      <w:r>
        <w:rPr/>
        <w:t>税共计人民币</w:t>
      </w:r>
      <w:r>
        <w:rPr>
          <w:rFonts w:ascii="Arial" w:hAnsi="Arial" w:cs="Arial" w:eastAsia="Arial" w:hint="default"/>
        </w:rPr>
        <w:t>77,130,460</w:t>
      </w:r>
      <w:r>
        <w:rPr/>
        <w:t>元。截至</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日，除</w:t>
      </w:r>
      <w:r>
        <w:rPr>
          <w:rFonts w:ascii="Arial" w:hAnsi="Arial" w:cs="Arial" w:eastAsia="Arial" w:hint="default"/>
        </w:rPr>
        <w:t>111-22</w:t>
      </w:r>
      <w:r>
        <w:rPr/>
        <w:t>地块的相关国有土地使用</w:t>
      </w:r>
      <w:r>
        <w:rPr>
          <w:spacing w:val="-43"/>
        </w:rPr>
        <w:t> </w:t>
      </w:r>
      <w:r>
        <w:rPr>
          <w:spacing w:val="-43"/>
        </w:rPr>
      </w:r>
      <w:r>
        <w:rPr/>
        <w:t>证正在办理外，本公司已取得全部上述</w:t>
      </w:r>
      <w:r>
        <w:rPr>
          <w:rFonts w:ascii="Arial" w:hAnsi="Arial" w:cs="Arial" w:eastAsia="Arial" w:hint="default"/>
        </w:rPr>
        <w:t>6</w:t>
      </w:r>
      <w:r>
        <w:rPr/>
        <w:t>个地块的国有土地使用证，相关权证号码为京海</w:t>
      </w:r>
      <w:r>
        <w:rPr>
          <w:spacing w:val="-31"/>
        </w:rPr>
        <w:t> </w:t>
      </w:r>
      <w:r>
        <w:rPr>
          <w:spacing w:val="-31"/>
        </w:rPr>
      </w:r>
      <w:r>
        <w:rPr>
          <w:spacing w:val="-2"/>
        </w:rPr>
        <w:t>国用</w:t>
      </w:r>
      <w:r>
        <w:rPr>
          <w:rFonts w:ascii="Arial" w:hAnsi="Arial" w:cs="Arial" w:eastAsia="Arial" w:hint="default"/>
          <w:spacing w:val="-2"/>
        </w:rPr>
        <w:t>(2007</w:t>
      </w:r>
      <w:r>
        <w:rPr>
          <w:spacing w:val="-2"/>
        </w:rPr>
        <w:t>出</w:t>
      </w:r>
      <w:r>
        <w:rPr>
          <w:rFonts w:ascii="Arial" w:hAnsi="Arial" w:cs="Arial" w:eastAsia="Arial" w:hint="default"/>
          <w:spacing w:val="-2"/>
        </w:rPr>
        <w:t>)</w:t>
      </w:r>
      <w:r>
        <w:rPr>
          <w:spacing w:val="-2"/>
        </w:rPr>
        <w:t>第</w:t>
      </w:r>
      <w:r>
        <w:rPr>
          <w:rFonts w:ascii="Arial" w:hAnsi="Arial" w:cs="Arial" w:eastAsia="Arial" w:hint="default"/>
          <w:spacing w:val="-2"/>
        </w:rPr>
        <w:t>4359</w:t>
      </w:r>
      <w:r>
        <w:rPr>
          <w:spacing w:val="-2"/>
        </w:rPr>
        <w:t>号、</w:t>
      </w:r>
      <w:r>
        <w:rPr>
          <w:rFonts w:ascii="Arial" w:hAnsi="Arial" w:cs="Arial" w:eastAsia="Arial" w:hint="default"/>
          <w:spacing w:val="-2"/>
        </w:rPr>
        <w:t>4360</w:t>
      </w:r>
      <w:r>
        <w:rPr>
          <w:spacing w:val="-2"/>
        </w:rPr>
        <w:t>号、</w:t>
      </w:r>
      <w:r>
        <w:rPr>
          <w:rFonts w:ascii="Arial" w:hAnsi="Arial" w:cs="Arial" w:eastAsia="Arial" w:hint="default"/>
          <w:spacing w:val="-2"/>
        </w:rPr>
        <w:t>4362</w:t>
      </w:r>
      <w:r>
        <w:rPr>
          <w:spacing w:val="-2"/>
        </w:rPr>
        <w:t>号、</w:t>
      </w:r>
      <w:r>
        <w:rPr>
          <w:rFonts w:ascii="Arial" w:hAnsi="Arial" w:cs="Arial" w:eastAsia="Arial" w:hint="default"/>
          <w:spacing w:val="-2"/>
        </w:rPr>
        <w:t>4361</w:t>
      </w:r>
      <w:r>
        <w:rPr>
          <w:spacing w:val="-2"/>
        </w:rPr>
        <w:t>号、</w:t>
      </w:r>
      <w:r>
        <w:rPr>
          <w:rFonts w:ascii="Arial" w:hAnsi="Arial" w:cs="Arial" w:eastAsia="Arial" w:hint="default"/>
          <w:spacing w:val="-2"/>
        </w:rPr>
        <w:t>4479</w:t>
      </w:r>
      <w:r>
        <w:rPr>
          <w:spacing w:val="-2"/>
        </w:rPr>
        <w:t>号以及</w:t>
      </w:r>
      <w:r>
        <w:rPr>
          <w:rFonts w:ascii="Arial" w:hAnsi="Arial" w:cs="Arial" w:eastAsia="Arial" w:hint="default"/>
          <w:spacing w:val="-2"/>
        </w:rPr>
        <w:t>4480</w:t>
      </w:r>
      <w:r>
        <w:rPr>
          <w:spacing w:val="-2"/>
        </w:rPr>
        <w:t>号。该土地使用证</w:t>
      </w:r>
      <w:r>
        <w:rPr>
          <w:spacing w:val="-66"/>
        </w:rPr>
        <w:t> </w:t>
      </w:r>
      <w:r>
        <w:rPr>
          <w:spacing w:val="-66"/>
        </w:rPr>
      </w:r>
      <w:r>
        <w:rPr/>
        <w:t>上注明的使用期限为截止</w:t>
      </w:r>
      <w:r>
        <w:rPr>
          <w:rFonts w:ascii="Arial" w:hAnsi="Arial" w:cs="Arial" w:eastAsia="Arial" w:hint="default"/>
        </w:rPr>
        <w:t>2057</w:t>
      </w:r>
      <w:r>
        <w:rPr/>
        <w:t>年</w:t>
      </w:r>
      <w:r>
        <w:rPr>
          <w:rFonts w:ascii="Arial" w:hAnsi="Arial" w:cs="Arial" w:eastAsia="Arial" w:hint="default"/>
        </w:rPr>
        <w:t>6</w:t>
      </w:r>
      <w:r>
        <w:rPr/>
        <w:t>月</w:t>
      </w:r>
      <w:r>
        <w:rPr>
          <w:rFonts w:ascii="Arial" w:hAnsi="Arial" w:cs="Arial" w:eastAsia="Arial" w:hint="default"/>
        </w:rPr>
        <w:t>29</w:t>
      </w:r>
      <w:r>
        <w:rPr/>
        <w:t>日。</w:t>
      </w:r>
    </w:p>
    <w:p>
      <w:pPr>
        <w:spacing w:line="240" w:lineRule="auto" w:before="1"/>
        <w:rPr>
          <w:rFonts w:ascii="黑体" w:hAnsi="黑体" w:cs="黑体" w:eastAsia="黑体" w:hint="default"/>
          <w:sz w:val="16"/>
          <w:szCs w:val="16"/>
        </w:rPr>
      </w:pPr>
    </w:p>
    <w:p>
      <w:pPr>
        <w:pStyle w:val="BodyText"/>
        <w:spacing w:line="240" w:lineRule="auto"/>
        <w:ind w:right="114"/>
        <w:jc w:val="left"/>
      </w:pPr>
      <w:r>
        <w:rPr>
          <w:spacing w:val="3"/>
        </w:rPr>
        <w:t>除上述土地出让金及契税外，根据本公司与非关联方中关村永丰产业基地发展有限公司</w:t>
      </w:r>
      <w:r>
        <w:rPr/>
      </w:r>
    </w:p>
    <w:p>
      <w:pPr>
        <w:pStyle w:val="BodyText"/>
        <w:spacing w:line="264" w:lineRule="auto" w:before="38"/>
        <w:ind w:right="114"/>
        <w:jc w:val="left"/>
      </w:pPr>
      <w:r>
        <w:rPr/>
        <w:t>（以下简称</w:t>
      </w:r>
      <w:r>
        <w:rPr>
          <w:rFonts w:ascii="Arial" w:hAnsi="Arial" w:cs="Arial" w:eastAsia="Arial" w:hint="default"/>
        </w:rPr>
        <w:t>“</w:t>
      </w:r>
      <w:r>
        <w:rPr/>
        <w:t>永丰基地</w:t>
      </w:r>
      <w:r>
        <w:rPr>
          <w:rFonts w:ascii="Arial" w:hAnsi="Arial" w:cs="Arial" w:eastAsia="Arial" w:hint="default"/>
        </w:rPr>
        <w:t>”</w:t>
      </w:r>
      <w:r>
        <w:rPr/>
        <w:t>）于</w:t>
      </w:r>
      <w:r>
        <w:rPr>
          <w:rFonts w:ascii="Arial" w:hAnsi="Arial" w:cs="Arial" w:eastAsia="Arial" w:hint="default"/>
        </w:rPr>
        <w:t>2002</w:t>
      </w:r>
      <w:r>
        <w:rPr/>
        <w:t>年</w:t>
      </w:r>
      <w:r>
        <w:rPr>
          <w:rFonts w:ascii="Arial" w:hAnsi="Arial" w:cs="Arial" w:eastAsia="Arial" w:hint="default"/>
        </w:rPr>
        <w:t>12</w:t>
      </w:r>
      <w:r>
        <w:rPr/>
        <w:t>月</w:t>
      </w:r>
      <w:r>
        <w:rPr>
          <w:rFonts w:ascii="Arial" w:hAnsi="Arial" w:cs="Arial" w:eastAsia="Arial" w:hint="default"/>
        </w:rPr>
        <w:t>27</w:t>
      </w:r>
      <w:r>
        <w:rPr/>
        <w:t>日签订的《土地开发建设协议书》，本公司委托</w:t>
      </w:r>
      <w:r>
        <w:rPr>
          <w:w w:val="100"/>
        </w:rPr>
        <w:t> </w:t>
      </w:r>
      <w:r>
        <w:rPr>
          <w:spacing w:val="-3"/>
        </w:rPr>
        <w:t>永丰基地开发建设位于北京中关村永丰产业基地</w:t>
      </w:r>
      <w:r>
        <w:rPr>
          <w:rFonts w:ascii="Arial" w:hAnsi="Arial" w:cs="Arial" w:eastAsia="Arial" w:hint="default"/>
          <w:spacing w:val="-3"/>
        </w:rPr>
        <w:t>III</w:t>
      </w:r>
      <w:r>
        <w:rPr>
          <w:spacing w:val="-3"/>
        </w:rPr>
        <w:t>区内用友软件园项目。建设用地共</w:t>
      </w:r>
      <w:r>
        <w:rPr>
          <w:rFonts w:ascii="Arial" w:hAnsi="Arial" w:cs="Arial" w:eastAsia="Arial" w:hint="default"/>
          <w:spacing w:val="-3"/>
        </w:rPr>
        <w:t>45.52</w:t>
      </w:r>
      <w:r>
        <w:rPr>
          <w:rFonts w:ascii="Arial" w:hAnsi="Arial" w:cs="Arial" w:eastAsia="Arial" w:hint="default"/>
          <w:spacing w:val="-10"/>
        </w:rPr>
        <w:t> </w:t>
      </w:r>
      <w:r>
        <w:rPr/>
        <w:t>公顷（即</w:t>
      </w:r>
      <w:r>
        <w:rPr>
          <w:rFonts w:ascii="Arial" w:hAnsi="Arial" w:cs="Arial" w:eastAsia="Arial" w:hint="default"/>
        </w:rPr>
        <w:t>682.8</w:t>
      </w:r>
      <w:r>
        <w:rPr/>
        <w:t>亩）。本建设项目已经北京市发展计划委员会《京计投资字［</w:t>
      </w:r>
      <w:r>
        <w:rPr>
          <w:rFonts w:ascii="Arial" w:hAnsi="Arial" w:cs="Arial" w:eastAsia="Arial" w:hint="default"/>
        </w:rPr>
        <w:t>2001</w:t>
      </w:r>
      <w:r>
        <w:rPr/>
        <w:t>］</w:t>
      </w:r>
      <w:r>
        <w:rPr>
          <w:rFonts w:ascii="Arial" w:hAnsi="Arial" w:cs="Arial" w:eastAsia="Arial" w:hint="default"/>
        </w:rPr>
        <w:t>157</w:t>
      </w:r>
      <w:r>
        <w:rPr>
          <w:rFonts w:ascii="Arial" w:hAnsi="Arial" w:cs="Arial" w:eastAsia="Arial" w:hint="default"/>
          <w:spacing w:val="36"/>
        </w:rPr>
        <w:t> </w:t>
      </w:r>
      <w:r>
        <w:rPr>
          <w:rFonts w:ascii="Arial" w:hAnsi="Arial" w:cs="Arial" w:eastAsia="Arial" w:hint="default"/>
          <w:spacing w:val="36"/>
        </w:rPr>
      </w:r>
      <w:r>
        <w:rPr>
          <w:spacing w:val="3"/>
        </w:rPr>
        <w:t>号关于进行永丰高新技术产业基地一级土地开发的批复》、北京市规划委员会《市规发</w:t>
      </w:r>
      <w:r>
        <w:rPr>
          <w:spacing w:val="-48"/>
        </w:rPr>
        <w:t> </w:t>
      </w:r>
      <w:r>
        <w:rPr>
          <w:rFonts w:ascii="Arial" w:hAnsi="Arial" w:cs="Arial" w:eastAsia="Arial" w:hint="default"/>
          <w:spacing w:val="-3"/>
          <w:w w:val="100"/>
        </w:rPr>
        <w:t>[2001]589</w:t>
      </w:r>
      <w:r>
        <w:rPr>
          <w:spacing w:val="-3"/>
          <w:w w:val="100"/>
        </w:rPr>
        <w:t>号关于中关村科技园区海淀园永丰产业基地控制性详细规划的批复》和北京市国</w:t>
      </w:r>
      <w:r>
        <w:rPr>
          <w:spacing w:val="-98"/>
          <w:w w:val="100"/>
        </w:rPr>
        <w:t> </w:t>
      </w:r>
      <w:r>
        <w:rPr>
          <w:spacing w:val="-98"/>
          <w:w w:val="100"/>
        </w:rPr>
      </w:r>
      <w:r>
        <w:rPr/>
        <w:t>土资源和房屋管理局《京国土房管征［</w:t>
      </w:r>
      <w:r>
        <w:rPr>
          <w:rFonts w:ascii="Arial" w:hAnsi="Arial" w:cs="Arial" w:eastAsia="Arial" w:hint="default"/>
        </w:rPr>
        <w:t>2002</w:t>
      </w:r>
      <w:r>
        <w:rPr/>
        <w:t>］</w:t>
      </w:r>
      <w:r>
        <w:rPr>
          <w:rFonts w:ascii="Arial" w:hAnsi="Arial" w:cs="Arial" w:eastAsia="Arial" w:hint="default"/>
        </w:rPr>
        <w:t>168</w:t>
      </w:r>
      <w:r>
        <w:rPr/>
        <w:t>号关于永丰产业基地进行前期准备工作</w:t>
      </w:r>
      <w:r>
        <w:rPr>
          <w:spacing w:val="-89"/>
        </w:rPr>
        <w:t> </w:t>
      </w:r>
      <w:r>
        <w:rPr>
          <w:spacing w:val="-89"/>
        </w:rPr>
      </w:r>
      <w:r>
        <w:rPr/>
        <w:t>的函》批准。按照《土地开发建设协议书》，用友软件园项目一期土地开发建设费为人民</w:t>
      </w:r>
      <w:r>
        <w:rPr>
          <w:w w:val="100"/>
        </w:rPr>
        <w:t> </w:t>
      </w:r>
      <w:r>
        <w:rPr/>
        <w:t>币</w:t>
      </w:r>
      <w:r>
        <w:rPr>
          <w:rFonts w:ascii="Arial" w:hAnsi="Arial" w:cs="Arial" w:eastAsia="Arial" w:hint="default"/>
        </w:rPr>
        <w:t>100,987,500</w:t>
      </w:r>
      <w:r>
        <w:rPr/>
        <w:t>元，二期土地开发建设费为人民币</w:t>
      </w:r>
      <w:r>
        <w:rPr>
          <w:rFonts w:ascii="Arial" w:hAnsi="Arial" w:cs="Arial" w:eastAsia="Arial" w:hint="default"/>
        </w:rPr>
        <w:t>69,712,500</w:t>
      </w:r>
      <w:r>
        <w:rPr/>
        <w:t>元，合计人民币</w:t>
      </w:r>
      <w:r>
        <w:rPr>
          <w:rFonts w:ascii="Arial" w:hAnsi="Arial" w:cs="Arial" w:eastAsia="Arial" w:hint="default"/>
        </w:rPr>
        <w:t>170,700,000</w:t>
      </w:r>
      <w:r>
        <w:rPr>
          <w:rFonts w:ascii="Arial" w:hAnsi="Arial" w:cs="Arial" w:eastAsia="Arial" w:hint="default"/>
          <w:w w:val="100"/>
        </w:rPr>
        <w:t> </w:t>
      </w:r>
      <w:r>
        <w:rPr>
          <w:spacing w:val="-8"/>
        </w:rPr>
        <w:t>元。根据</w:t>
      </w:r>
      <w:r>
        <w:rPr>
          <w:rFonts w:ascii="Arial" w:hAnsi="Arial" w:cs="Arial" w:eastAsia="Arial" w:hint="default"/>
          <w:spacing w:val="-8"/>
        </w:rPr>
        <w:t>2008</w:t>
      </w:r>
      <w:r>
        <w:rPr>
          <w:spacing w:val="-8"/>
        </w:rPr>
        <w:t>年</w:t>
      </w:r>
      <w:r>
        <w:rPr>
          <w:rFonts w:ascii="Arial" w:hAnsi="Arial" w:cs="Arial" w:eastAsia="Arial" w:hint="default"/>
          <w:spacing w:val="-8"/>
        </w:rPr>
        <w:t>6</w:t>
      </w:r>
      <w:r>
        <w:rPr>
          <w:spacing w:val="-8"/>
        </w:rPr>
        <w:t>月</w:t>
      </w:r>
      <w:r>
        <w:rPr>
          <w:rFonts w:ascii="Arial" w:hAnsi="Arial" w:cs="Arial" w:eastAsia="Arial" w:hint="default"/>
          <w:spacing w:val="-8"/>
        </w:rPr>
        <w:t>20</w:t>
      </w:r>
      <w:r>
        <w:rPr>
          <w:spacing w:val="-8"/>
        </w:rPr>
        <w:t>日，本公司与永丰基地签署的《关于土地开发建设费用的补充协议》，</w:t>
      </w:r>
      <w:r>
        <w:rPr>
          <w:spacing w:val="-47"/>
        </w:rPr>
        <w:t> </w:t>
      </w:r>
      <w:r>
        <w:rPr>
          <w:spacing w:val="-47"/>
        </w:rPr>
      </w:r>
      <w:r>
        <w:rPr/>
        <w:t>本公司向永丰基地追加用友软件园二期土地开发建设费用人民币</w:t>
      </w:r>
      <w:r>
        <w:rPr>
          <w:rFonts w:ascii="Arial" w:hAnsi="Arial" w:cs="Arial" w:eastAsia="Arial" w:hint="default"/>
        </w:rPr>
        <w:t>38,896,620</w:t>
      </w:r>
      <w:r>
        <w:rPr/>
        <w:t>元，追加后的</w:t>
      </w:r>
      <w:r>
        <w:rPr>
          <w:w w:val="100"/>
        </w:rPr>
        <w:t> </w:t>
      </w:r>
      <w:r>
        <w:rPr/>
        <w:t>土地开发建设费用总计为人民币</w:t>
      </w:r>
      <w:r>
        <w:rPr>
          <w:rFonts w:ascii="Arial" w:hAnsi="Arial" w:cs="Arial" w:eastAsia="Arial" w:hint="default"/>
        </w:rPr>
        <w:t>209,596,620</w:t>
      </w:r>
      <w:r>
        <w:rPr/>
        <w:t>元。</w:t>
      </w:r>
    </w:p>
    <w:p>
      <w:pPr>
        <w:spacing w:after="0" w:line="264" w:lineRule="auto"/>
        <w:jc w:val="left"/>
        <w:sectPr>
          <w:pgSz w:w="11910" w:h="16840"/>
          <w:pgMar w:header="958" w:footer="462" w:top="2540" w:bottom="660" w:left="1600" w:right="1480"/>
        </w:sectPr>
      </w:pPr>
    </w:p>
    <w:p>
      <w:pPr>
        <w:spacing w:line="240" w:lineRule="auto" w:before="6"/>
        <w:rPr>
          <w:rFonts w:ascii="黑体" w:hAnsi="黑体" w:cs="黑体" w:eastAsia="黑体" w:hint="default"/>
          <w:sz w:val="25"/>
          <w:szCs w:val="25"/>
        </w:rPr>
      </w:pPr>
    </w:p>
    <w:p>
      <w:pPr>
        <w:tabs>
          <w:tab w:pos="803"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3"/>
        <w:rPr>
          <w:rFonts w:ascii="黑体" w:hAnsi="黑体" w:cs="黑体" w:eastAsia="黑体" w:hint="default"/>
          <w:b/>
          <w:bCs/>
          <w:sz w:val="18"/>
          <w:szCs w:val="18"/>
        </w:rPr>
      </w:pPr>
    </w:p>
    <w:p>
      <w:pPr>
        <w:tabs>
          <w:tab w:pos="820" w:val="left" w:leader="none"/>
        </w:tabs>
        <w:spacing w:line="460" w:lineRule="auto" w:before="0"/>
        <w:ind w:left="815" w:right="5406" w:hanging="714"/>
        <w:jc w:val="left"/>
        <w:rPr>
          <w:rFonts w:ascii="黑体" w:hAnsi="黑体" w:cs="黑体" w:eastAsia="黑体" w:hint="default"/>
          <w:sz w:val="20"/>
          <w:szCs w:val="20"/>
        </w:rPr>
      </w:pPr>
      <w:r>
        <w:rPr>
          <w:rFonts w:ascii="Arial" w:hAnsi="Arial" w:cs="Arial" w:eastAsia="Arial" w:hint="default"/>
          <w:b/>
          <w:bCs/>
          <w:spacing w:val="-1"/>
          <w:sz w:val="20"/>
          <w:szCs w:val="20"/>
        </w:rPr>
        <w:t>14.</w:t>
        <w:tab/>
        <w:tab/>
      </w:r>
      <w:r>
        <w:rPr>
          <w:rFonts w:ascii="黑体" w:hAnsi="黑体" w:cs="黑体" w:eastAsia="黑体" w:hint="default"/>
          <w:b/>
          <w:bCs/>
          <w:sz w:val="20"/>
          <w:szCs w:val="20"/>
        </w:rPr>
        <w:t>无形资产（续）</w:t>
      </w:r>
      <w:r>
        <w:rPr>
          <w:rFonts w:ascii="黑体" w:hAnsi="黑体" w:cs="黑体" w:eastAsia="黑体" w:hint="default"/>
          <w:b/>
          <w:bCs/>
          <w:w w:val="99"/>
          <w:sz w:val="20"/>
          <w:szCs w:val="20"/>
        </w:rPr>
        <w:t> </w:t>
      </w:r>
      <w:r>
        <w:rPr>
          <w:rFonts w:ascii="黑体" w:hAnsi="黑体" w:cs="黑体" w:eastAsia="黑体" w:hint="default"/>
          <w:spacing w:val="-1"/>
          <w:sz w:val="20"/>
          <w:szCs w:val="20"/>
        </w:rPr>
        <w:t>土地使用权主要包括（续）：</w:t>
      </w:r>
    </w:p>
    <w:p>
      <w:pPr>
        <w:pStyle w:val="BodyText"/>
        <w:spacing w:line="261" w:lineRule="auto" w:before="83"/>
        <w:ind w:right="114" w:hanging="1"/>
        <w:jc w:val="left"/>
      </w:pPr>
      <w:r>
        <w:rPr>
          <w:spacing w:val="-1"/>
        </w:rPr>
        <w:t>截至</w:t>
      </w: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日，本公司已支付土地开发建设费共计人民币</w:t>
      </w:r>
      <w:r>
        <w:rPr>
          <w:rFonts w:ascii="Arial" w:hAnsi="Arial" w:cs="Arial" w:eastAsia="Arial" w:hint="default"/>
          <w:spacing w:val="-1"/>
        </w:rPr>
        <w:t>120,000,000</w:t>
      </w:r>
      <w:r>
        <w:rPr>
          <w:spacing w:val="-1"/>
        </w:rPr>
        <w:t>元，将尚未</w:t>
      </w:r>
      <w:r>
        <w:rPr>
          <w:spacing w:val="-72"/>
        </w:rPr>
        <w:t> </w:t>
      </w:r>
      <w:r>
        <w:rPr>
          <w:spacing w:val="-72"/>
        </w:rPr>
      </w:r>
      <w:r>
        <w:rPr/>
        <w:t>支付部分人民币</w:t>
      </w:r>
      <w:r>
        <w:rPr>
          <w:rFonts w:ascii="Arial" w:hAnsi="Arial" w:cs="Arial" w:eastAsia="Arial" w:hint="default"/>
        </w:rPr>
        <w:t>89,596,620</w:t>
      </w:r>
      <w:r>
        <w:rPr/>
        <w:t>元暂估计入其他应付款。</w:t>
      </w:r>
    </w:p>
    <w:p>
      <w:pPr>
        <w:spacing w:line="240" w:lineRule="auto" w:before="12"/>
        <w:rPr>
          <w:rFonts w:ascii="黑体" w:hAnsi="黑体" w:cs="黑体" w:eastAsia="黑体" w:hint="default"/>
          <w:sz w:val="17"/>
          <w:szCs w:val="17"/>
        </w:rPr>
      </w:pPr>
    </w:p>
    <w:p>
      <w:pPr>
        <w:pStyle w:val="BodyText"/>
        <w:spacing w:line="240" w:lineRule="auto"/>
        <w:ind w:right="114"/>
        <w:jc w:val="left"/>
        <w:rPr>
          <w:rFonts w:ascii="Arial" w:hAnsi="Arial" w:cs="Arial" w:eastAsia="Arial" w:hint="default"/>
        </w:rPr>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日，本集团无所有权受到限制的无形资产。</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r>
        <w:rPr>
          <w:rFonts w:ascii="Arial" w:hAnsi="Arial" w:cs="Arial" w:eastAsia="Arial" w:hint="default"/>
        </w:rPr>
        <w:t>)</w:t>
      </w:r>
    </w:p>
    <w:p>
      <w:pPr>
        <w:spacing w:line="240" w:lineRule="auto" w:before="3"/>
        <w:rPr>
          <w:rFonts w:ascii="Arial" w:hAnsi="Arial" w:cs="Arial" w:eastAsia="Arial" w:hint="default"/>
          <w:sz w:val="18"/>
          <w:szCs w:val="18"/>
        </w:rPr>
      </w:pPr>
    </w:p>
    <w:p>
      <w:pPr>
        <w:tabs>
          <w:tab w:pos="832" w:val="left" w:leader="none"/>
        </w:tabs>
        <w:spacing w:before="0"/>
        <w:ind w:left="101" w:right="114" w:firstLine="0"/>
        <w:jc w:val="left"/>
        <w:rPr>
          <w:rFonts w:ascii="黑体" w:hAnsi="黑体" w:cs="黑体" w:eastAsia="黑体" w:hint="default"/>
          <w:sz w:val="20"/>
          <w:szCs w:val="20"/>
        </w:rPr>
      </w:pPr>
      <w:r>
        <w:rPr>
          <w:rFonts w:ascii="Arial" w:hAnsi="Arial" w:cs="Arial" w:eastAsia="Arial" w:hint="default"/>
          <w:b/>
          <w:bCs/>
          <w:spacing w:val="-1"/>
          <w:sz w:val="20"/>
          <w:szCs w:val="20"/>
        </w:rPr>
        <w:t>15.</w:t>
        <w:tab/>
      </w:r>
      <w:r>
        <w:rPr>
          <w:rFonts w:ascii="黑体" w:hAnsi="黑体" w:cs="黑体" w:eastAsia="黑体" w:hint="default"/>
          <w:b/>
          <w:bCs/>
          <w:sz w:val="20"/>
          <w:szCs w:val="20"/>
        </w:rPr>
        <w:t>商誉</w:t>
      </w:r>
      <w:r>
        <w:rPr>
          <w:rFonts w:ascii="黑体" w:hAnsi="黑体" w:cs="黑体" w:eastAsia="黑体" w:hint="default"/>
          <w:sz w:val="20"/>
          <w:szCs w:val="20"/>
        </w:rPr>
      </w:r>
    </w:p>
    <w:p>
      <w:pPr>
        <w:spacing w:line="240" w:lineRule="auto" w:before="7"/>
        <w:rPr>
          <w:rFonts w:ascii="黑体" w:hAnsi="黑体" w:cs="黑体" w:eastAsia="黑体" w:hint="default"/>
          <w:b/>
          <w:bCs/>
          <w:sz w:val="17"/>
          <w:szCs w:val="17"/>
        </w:rPr>
      </w:pPr>
    </w:p>
    <w:p>
      <w:pPr>
        <w:pStyle w:val="BodyText"/>
        <w:spacing w:line="240" w:lineRule="auto"/>
        <w:ind w:right="114"/>
        <w:jc w:val="left"/>
      </w:pPr>
      <w:r>
        <w:rPr>
          <w:rFonts w:ascii="Arial" w:hAnsi="Arial" w:cs="Arial" w:eastAsia="Arial" w:hint="default"/>
        </w:rPr>
        <w:t>2009</w:t>
      </w:r>
      <w:r>
        <w:rPr/>
        <w:t>年</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16"/>
          <w:szCs w:val="16"/>
        </w:rPr>
      </w:pPr>
    </w:p>
    <w:p>
      <w:pPr>
        <w:pStyle w:val="BodyText"/>
        <w:spacing w:line="240" w:lineRule="auto"/>
        <w:ind w:left="997" w:right="114"/>
        <w:jc w:val="left"/>
      </w:pPr>
      <w:r>
        <w:rPr/>
        <w:pict>
          <v:shape style="position:absolute;margin-left:118.740677pt;margin-top:-105.679962pt;width:396.5pt;height:425.65pt;mso-position-horizontal-relative:page;mso-position-vertical-relative:paragraph;z-index:19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41"/>
                    <w:gridCol w:w="1222"/>
                    <w:gridCol w:w="1451"/>
                    <w:gridCol w:w="1242"/>
                    <w:gridCol w:w="1448"/>
                    <w:gridCol w:w="1125"/>
                  </w:tblGrid>
                  <w:tr>
                    <w:trPr>
                      <w:trHeight w:val="330" w:hRule="exact"/>
                    </w:trPr>
                    <w:tc>
                      <w:tcPr>
                        <w:tcW w:w="266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8"/>
                          <w:ind w:right="127"/>
                          <w:jc w:val="right"/>
                          <w:rPr>
                            <w:rFonts w:ascii="黑体" w:hAnsi="黑体" w:cs="黑体" w:eastAsia="黑体" w:hint="default"/>
                            <w:sz w:val="20"/>
                            <w:szCs w:val="20"/>
                          </w:rPr>
                        </w:pPr>
                        <w:r>
                          <w:rPr>
                            <w:rFonts w:ascii="黑体" w:hAnsi="黑体" w:cs="黑体" w:eastAsia="黑体" w:hint="default"/>
                            <w:sz w:val="20"/>
                            <w:szCs w:val="20"/>
                          </w:rPr>
                          <w:t>年初数</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2"/>
                          <w:jc w:val="right"/>
                          <w:rPr>
                            <w:rFonts w:ascii="黑体" w:hAnsi="黑体" w:cs="黑体" w:eastAsia="黑体" w:hint="default"/>
                            <w:sz w:val="20"/>
                            <w:szCs w:val="20"/>
                          </w:rPr>
                        </w:pPr>
                        <w:r>
                          <w:rPr>
                            <w:rFonts w:ascii="黑体" w:hAnsi="黑体" w:cs="黑体" w:eastAsia="黑体" w:hint="default"/>
                            <w:sz w:val="20"/>
                            <w:szCs w:val="20"/>
                          </w:rPr>
                          <w:t>本年增加</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5"/>
                          <w:jc w:val="right"/>
                          <w:rPr>
                            <w:rFonts w:ascii="黑体" w:hAnsi="黑体" w:cs="黑体" w:eastAsia="黑体" w:hint="default"/>
                            <w:sz w:val="20"/>
                            <w:szCs w:val="20"/>
                          </w:rPr>
                        </w:pPr>
                        <w:r>
                          <w:rPr>
                            <w:rFonts w:ascii="黑体" w:hAnsi="黑体" w:cs="黑体" w:eastAsia="黑体" w:hint="default"/>
                            <w:sz w:val="20"/>
                            <w:szCs w:val="20"/>
                          </w:rPr>
                          <w:t>本年减少</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4"/>
                          <w:jc w:val="right"/>
                          <w:rPr>
                            <w:rFonts w:ascii="黑体" w:hAnsi="黑体" w:cs="黑体" w:eastAsia="黑体" w:hint="default"/>
                            <w:sz w:val="20"/>
                            <w:szCs w:val="20"/>
                          </w:rPr>
                        </w:pPr>
                        <w:r>
                          <w:rPr>
                            <w:rFonts w:ascii="黑体" w:hAnsi="黑体" w:cs="黑体" w:eastAsia="黑体" w:hint="default"/>
                            <w:sz w:val="20"/>
                            <w:szCs w:val="20"/>
                          </w:rPr>
                          <w:t>年末数</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黑体" w:hAnsi="黑体" w:cs="黑体" w:eastAsia="黑体" w:hint="default"/>
                            <w:sz w:val="20"/>
                            <w:szCs w:val="20"/>
                          </w:rPr>
                        </w:pPr>
                        <w:r>
                          <w:rPr>
                            <w:rFonts w:ascii="黑体" w:hAnsi="黑体" w:cs="黑体" w:eastAsia="黑体" w:hint="default"/>
                            <w:sz w:val="20"/>
                            <w:szCs w:val="20"/>
                          </w:rPr>
                          <w:t>减值准备</w:t>
                        </w:r>
                      </w:p>
                    </w:tc>
                  </w:tr>
                  <w:tr>
                    <w:trPr>
                      <w:trHeight w:val="267" w:hRule="exact"/>
                    </w:trPr>
                    <w:tc>
                      <w:tcPr>
                        <w:tcW w:w="2663" w:type="dxa"/>
                        <w:gridSpan w:val="2"/>
                        <w:tcBorders>
                          <w:top w:val="nil" w:sz="6" w:space="0" w:color="auto"/>
                          <w:left w:val="nil" w:sz="6" w:space="0" w:color="auto"/>
                          <w:bottom w:val="nil" w:sz="6" w:space="0" w:color="auto"/>
                          <w:right w:val="nil" w:sz="6" w:space="0" w:color="auto"/>
                        </w:tcBorders>
                      </w:tcPr>
                      <w:p>
                        <w:pPr/>
                      </w:p>
                    </w:tc>
                    <w:tc>
                      <w:tcPr>
                        <w:tcW w:w="1451" w:type="dxa"/>
                        <w:tcBorders>
                          <w:top w:val="nil" w:sz="6" w:space="0" w:color="auto"/>
                          <w:left w:val="nil" w:sz="6" w:space="0" w:color="auto"/>
                          <w:bottom w:val="nil" w:sz="6" w:space="0" w:color="auto"/>
                          <w:right w:val="nil" w:sz="6" w:space="0" w:color="auto"/>
                        </w:tcBorders>
                      </w:tcPr>
                      <w:p>
                        <w:pPr>
                          <w:pStyle w:val="TableParagraph"/>
                          <w:spacing w:line="244" w:lineRule="exact"/>
                          <w:ind w:right="194"/>
                          <w:jc w:val="right"/>
                          <w:rPr>
                            <w:rFonts w:ascii="Arial" w:hAnsi="Arial" w:cs="Arial" w:eastAsia="Arial" w:hint="default"/>
                            <w:sz w:val="20"/>
                            <w:szCs w:val="20"/>
                          </w:rPr>
                        </w:pPr>
                        <w:r>
                          <w:rPr>
                            <w:rFonts w:ascii="Arial" w:hAnsi="Arial" w:cs="Arial" w:eastAsia="Arial" w:hint="default"/>
                            <w:spacing w:val="-1"/>
                            <w:sz w:val="20"/>
                            <w:szCs w:val="20"/>
                          </w:rPr>
                          <w:t>(</w:t>
                        </w:r>
                        <w:r>
                          <w:rPr>
                            <w:rFonts w:ascii="黑体" w:hAnsi="黑体" w:cs="黑体" w:eastAsia="黑体" w:hint="default"/>
                            <w:spacing w:val="-1"/>
                            <w:sz w:val="20"/>
                            <w:szCs w:val="20"/>
                          </w:rPr>
                          <w:t>注</w:t>
                        </w:r>
                        <w:r>
                          <w:rPr>
                            <w:rFonts w:ascii="Arial" w:hAnsi="Arial" w:cs="Arial" w:eastAsia="Arial" w:hint="default"/>
                            <w:spacing w:val="-1"/>
                            <w:sz w:val="20"/>
                            <w:szCs w:val="20"/>
                          </w:rPr>
                          <w:t>1)</w:t>
                        </w:r>
                        <w:r>
                          <w:rPr>
                            <w:rFonts w:ascii="Arial" w:hAnsi="Arial" w:cs="Arial" w:eastAsia="Arial" w:hint="default"/>
                            <w:sz w:val="20"/>
                            <w:szCs w:val="20"/>
                          </w:rPr>
                        </w:r>
                      </w:p>
                    </w:tc>
                    <w:tc>
                      <w:tcPr>
                        <w:tcW w:w="1242" w:type="dxa"/>
                        <w:tcBorders>
                          <w:top w:val="nil" w:sz="6" w:space="0" w:color="auto"/>
                          <w:left w:val="nil" w:sz="6" w:space="0" w:color="auto"/>
                          <w:bottom w:val="nil" w:sz="6" w:space="0" w:color="auto"/>
                          <w:right w:val="nil" w:sz="6" w:space="0" w:color="auto"/>
                        </w:tcBorders>
                      </w:tcPr>
                      <w:p>
                        <w:pPr>
                          <w:pStyle w:val="TableParagraph"/>
                          <w:spacing w:line="244" w:lineRule="exact"/>
                          <w:ind w:right="138"/>
                          <w:jc w:val="right"/>
                          <w:rPr>
                            <w:rFonts w:ascii="Arial" w:hAnsi="Arial" w:cs="Arial" w:eastAsia="Arial" w:hint="default"/>
                            <w:sz w:val="20"/>
                            <w:szCs w:val="20"/>
                          </w:rPr>
                        </w:pPr>
                        <w:r>
                          <w:rPr>
                            <w:rFonts w:ascii="Arial" w:hAnsi="Arial" w:cs="Arial" w:eastAsia="Arial" w:hint="default"/>
                            <w:spacing w:val="-1"/>
                            <w:sz w:val="20"/>
                            <w:szCs w:val="20"/>
                          </w:rPr>
                          <w:t>(</w:t>
                        </w:r>
                        <w:r>
                          <w:rPr>
                            <w:rFonts w:ascii="黑体" w:hAnsi="黑体" w:cs="黑体" w:eastAsia="黑体" w:hint="default"/>
                            <w:spacing w:val="-1"/>
                            <w:sz w:val="20"/>
                            <w:szCs w:val="20"/>
                          </w:rPr>
                          <w:t>注</w:t>
                        </w:r>
                        <w:r>
                          <w:rPr>
                            <w:rFonts w:ascii="Arial" w:hAnsi="Arial" w:cs="Arial" w:eastAsia="Arial" w:hint="default"/>
                            <w:spacing w:val="-1"/>
                            <w:sz w:val="20"/>
                            <w:szCs w:val="20"/>
                          </w:rPr>
                          <w:t>2)</w:t>
                        </w:r>
                        <w:r>
                          <w:rPr>
                            <w:rFonts w:ascii="Arial" w:hAnsi="Arial" w:cs="Arial" w:eastAsia="Arial" w:hint="default"/>
                            <w:sz w:val="20"/>
                            <w:szCs w:val="20"/>
                          </w:rPr>
                        </w:r>
                      </w:p>
                    </w:tc>
                    <w:tc>
                      <w:tcPr>
                        <w:tcW w:w="1448"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Style w:val="TableParagraph"/>
                          <w:spacing w:line="244" w:lineRule="exact"/>
                          <w:ind w:right="34"/>
                          <w:jc w:val="right"/>
                          <w:rPr>
                            <w:rFonts w:ascii="Arial" w:hAnsi="Arial" w:cs="Arial" w:eastAsia="Arial" w:hint="default"/>
                            <w:sz w:val="20"/>
                            <w:szCs w:val="20"/>
                          </w:rPr>
                        </w:pPr>
                        <w:r>
                          <w:rPr>
                            <w:rFonts w:ascii="Arial" w:hAnsi="Arial" w:cs="Arial" w:eastAsia="Arial" w:hint="default"/>
                            <w:spacing w:val="-1"/>
                            <w:sz w:val="20"/>
                            <w:szCs w:val="20"/>
                          </w:rPr>
                          <w:t>(</w:t>
                        </w:r>
                        <w:r>
                          <w:rPr>
                            <w:rFonts w:ascii="黑体" w:hAnsi="黑体" w:cs="黑体" w:eastAsia="黑体" w:hint="default"/>
                            <w:spacing w:val="-1"/>
                            <w:sz w:val="20"/>
                            <w:szCs w:val="20"/>
                          </w:rPr>
                          <w:t>注</w:t>
                        </w:r>
                        <w:r>
                          <w:rPr>
                            <w:rFonts w:ascii="Arial" w:hAnsi="Arial" w:cs="Arial" w:eastAsia="Arial" w:hint="default"/>
                            <w:spacing w:val="-1"/>
                            <w:sz w:val="20"/>
                            <w:szCs w:val="20"/>
                          </w:rPr>
                          <w:t>2)</w:t>
                        </w:r>
                        <w:r>
                          <w:rPr>
                            <w:rFonts w:ascii="Arial" w:hAnsi="Arial" w:cs="Arial" w:eastAsia="Arial" w:hint="default"/>
                            <w:sz w:val="20"/>
                            <w:szCs w:val="20"/>
                          </w:rPr>
                        </w:r>
                      </w:p>
                    </w:tc>
                  </w:tr>
                  <w:tr>
                    <w:trPr>
                      <w:trHeight w:val="259" w:hRule="exact"/>
                    </w:trPr>
                    <w:tc>
                      <w:tcPr>
                        <w:tcW w:w="2663" w:type="dxa"/>
                        <w:gridSpan w:val="2"/>
                        <w:tcBorders>
                          <w:top w:val="nil" w:sz="6" w:space="0" w:color="auto"/>
                          <w:left w:val="nil" w:sz="6" w:space="0" w:color="auto"/>
                          <w:bottom w:val="nil" w:sz="6" w:space="0" w:color="auto"/>
                          <w:right w:val="nil" w:sz="6" w:space="0" w:color="auto"/>
                        </w:tcBorders>
                      </w:tcPr>
                      <w:p>
                        <w:pPr>
                          <w:pStyle w:val="TableParagraph"/>
                          <w:tabs>
                            <w:tab w:pos="1530" w:val="left" w:leader="none"/>
                          </w:tabs>
                          <w:spacing w:line="236" w:lineRule="exact"/>
                          <w:ind w:left="35" w:right="0"/>
                          <w:jc w:val="left"/>
                          <w:rPr>
                            <w:rFonts w:ascii="Arial" w:hAnsi="Arial" w:cs="Arial" w:eastAsia="Arial" w:hint="default"/>
                            <w:sz w:val="20"/>
                            <w:szCs w:val="20"/>
                          </w:rPr>
                        </w:pPr>
                        <w:r>
                          <w:rPr>
                            <w:rFonts w:ascii="黑体" w:hAnsi="黑体" w:cs="黑体" w:eastAsia="黑体" w:hint="default"/>
                            <w:sz w:val="20"/>
                            <w:szCs w:val="20"/>
                          </w:rPr>
                          <w:t>特博深</w:t>
                          <w:tab/>
                        </w:r>
                        <w:r>
                          <w:rPr>
                            <w:rFonts w:ascii="Arial" w:hAnsi="Arial" w:cs="Arial" w:eastAsia="Arial" w:hint="default"/>
                            <w:sz w:val="20"/>
                            <w:szCs w:val="20"/>
                          </w:rPr>
                          <w:t>38,070,000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2"/>
                          <w:jc w:val="right"/>
                          <w:rPr>
                            <w:rFonts w:ascii="Arial" w:hAnsi="Arial" w:cs="Arial" w:eastAsia="Arial" w:hint="default"/>
                            <w:sz w:val="20"/>
                            <w:szCs w:val="20"/>
                          </w:rPr>
                        </w:pPr>
                        <w:r>
                          <w:rPr>
                            <w:rFonts w:ascii="Arial"/>
                            <w:w w:val="100"/>
                            <w:sz w:val="20"/>
                          </w:rPr>
                          <w:t>-</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35"/>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84"/>
                          <w:jc w:val="right"/>
                          <w:rPr>
                            <w:rFonts w:ascii="Arial" w:hAnsi="Arial" w:cs="Arial" w:eastAsia="Arial" w:hint="default"/>
                            <w:sz w:val="20"/>
                            <w:szCs w:val="20"/>
                          </w:rPr>
                        </w:pPr>
                        <w:r>
                          <w:rPr>
                            <w:rFonts w:ascii="Arial"/>
                            <w:spacing w:val="-1"/>
                            <w:sz w:val="20"/>
                          </w:rPr>
                          <w:t>38,070,000</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Arial" w:hAnsi="Arial" w:cs="Arial" w:eastAsia="Arial" w:hint="default"/>
                            <w:sz w:val="20"/>
                            <w:szCs w:val="20"/>
                          </w:rPr>
                        </w:pPr>
                        <w:r>
                          <w:rPr>
                            <w:rFonts w:ascii="Arial"/>
                            <w:w w:val="100"/>
                            <w:sz w:val="20"/>
                          </w:rPr>
                          <w:t>-</w:t>
                        </w:r>
                      </w:p>
                    </w:tc>
                  </w:tr>
                  <w:tr>
                    <w:trPr>
                      <w:trHeight w:val="259" w:hRule="exact"/>
                    </w:trPr>
                    <w:tc>
                      <w:tcPr>
                        <w:tcW w:w="2663" w:type="dxa"/>
                        <w:gridSpan w:val="2"/>
                        <w:tcBorders>
                          <w:top w:val="nil" w:sz="6" w:space="0" w:color="auto"/>
                          <w:left w:val="nil" w:sz="6" w:space="0" w:color="auto"/>
                          <w:bottom w:val="nil" w:sz="6" w:space="0" w:color="auto"/>
                          <w:right w:val="nil" w:sz="6" w:space="0" w:color="auto"/>
                        </w:tcBorders>
                      </w:tcPr>
                      <w:p>
                        <w:pPr>
                          <w:pStyle w:val="TableParagraph"/>
                          <w:tabs>
                            <w:tab w:pos="1530" w:val="left" w:leader="none"/>
                          </w:tabs>
                          <w:spacing w:line="237" w:lineRule="exact"/>
                          <w:ind w:left="35" w:right="0"/>
                          <w:jc w:val="left"/>
                          <w:rPr>
                            <w:rFonts w:ascii="Arial" w:hAnsi="Arial" w:cs="Arial" w:eastAsia="Arial" w:hint="default"/>
                            <w:sz w:val="20"/>
                            <w:szCs w:val="20"/>
                          </w:rPr>
                        </w:pPr>
                        <w:r>
                          <w:rPr>
                            <w:rFonts w:ascii="黑体" w:hAnsi="黑体" w:cs="黑体" w:eastAsia="黑体" w:hint="default"/>
                            <w:spacing w:val="-1"/>
                            <w:sz w:val="20"/>
                            <w:szCs w:val="20"/>
                          </w:rPr>
                          <w:t>上海天诺坛网</w:t>
                          <w:tab/>
                        </w:r>
                        <w:r>
                          <w:rPr>
                            <w:rFonts w:ascii="Arial" w:hAnsi="Arial" w:cs="Arial" w:eastAsia="Arial" w:hint="default"/>
                            <w:spacing w:val="-1"/>
                            <w:sz w:val="20"/>
                            <w:szCs w:val="20"/>
                          </w:rPr>
                          <w:t>12,659,937</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92"/>
                          <w:jc w:val="right"/>
                          <w:rPr>
                            <w:rFonts w:ascii="Arial" w:hAnsi="Arial" w:cs="Arial" w:eastAsia="Arial" w:hint="default"/>
                            <w:sz w:val="20"/>
                            <w:szCs w:val="20"/>
                          </w:rPr>
                        </w:pPr>
                        <w:r>
                          <w:rPr>
                            <w:rFonts w:ascii="Arial"/>
                            <w:w w:val="100"/>
                            <w:sz w:val="20"/>
                          </w:rPr>
                          <w:t>-</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5"/>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4"/>
                          <w:jc w:val="right"/>
                          <w:rPr>
                            <w:rFonts w:ascii="Arial" w:hAnsi="Arial" w:cs="Arial" w:eastAsia="Arial" w:hint="default"/>
                            <w:sz w:val="20"/>
                            <w:szCs w:val="20"/>
                          </w:rPr>
                        </w:pPr>
                        <w:r>
                          <w:rPr>
                            <w:rFonts w:ascii="Arial"/>
                            <w:spacing w:val="-1"/>
                            <w:sz w:val="20"/>
                          </w:rPr>
                          <w:t>12,659,937</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Arial" w:hAnsi="Arial" w:cs="Arial" w:eastAsia="Arial" w:hint="default"/>
                            <w:sz w:val="20"/>
                            <w:szCs w:val="20"/>
                          </w:rPr>
                        </w:pPr>
                        <w:r>
                          <w:rPr>
                            <w:rFonts w:ascii="Arial"/>
                            <w:w w:val="100"/>
                            <w:sz w:val="20"/>
                          </w:rPr>
                          <w:t>-</w:t>
                        </w:r>
                      </w:p>
                    </w:tc>
                  </w:tr>
                  <w:tr>
                    <w:trPr>
                      <w:trHeight w:val="259" w:hRule="exact"/>
                    </w:trPr>
                    <w:tc>
                      <w:tcPr>
                        <w:tcW w:w="2663" w:type="dxa"/>
                        <w:gridSpan w:val="2"/>
                        <w:tcBorders>
                          <w:top w:val="nil" w:sz="6" w:space="0" w:color="auto"/>
                          <w:left w:val="nil" w:sz="6" w:space="0" w:color="auto"/>
                          <w:bottom w:val="nil" w:sz="6" w:space="0" w:color="auto"/>
                          <w:right w:val="nil" w:sz="6" w:space="0" w:color="auto"/>
                        </w:tcBorders>
                      </w:tcPr>
                      <w:p>
                        <w:pPr>
                          <w:pStyle w:val="TableParagraph"/>
                          <w:tabs>
                            <w:tab w:pos="2465" w:val="left" w:leader="none"/>
                          </w:tabs>
                          <w:spacing w:line="237" w:lineRule="exact"/>
                          <w:ind w:left="35" w:right="0"/>
                          <w:jc w:val="left"/>
                          <w:rPr>
                            <w:rFonts w:ascii="Arial" w:hAnsi="Arial" w:cs="Arial" w:eastAsia="Arial" w:hint="default"/>
                            <w:sz w:val="20"/>
                            <w:szCs w:val="20"/>
                          </w:rPr>
                        </w:pPr>
                        <w:r>
                          <w:rPr>
                            <w:rFonts w:ascii="黑体" w:hAnsi="黑体" w:cs="黑体" w:eastAsia="黑体" w:hint="default"/>
                            <w:sz w:val="20"/>
                            <w:szCs w:val="20"/>
                          </w:rPr>
                          <w:t>重庆迈特</w:t>
                          <w:tab/>
                        </w:r>
                        <w:r>
                          <w:rPr>
                            <w:rFonts w:ascii="Arial" w:hAnsi="Arial" w:cs="Arial" w:eastAsia="Arial" w:hint="default"/>
                            <w:sz w:val="20"/>
                            <w:szCs w:val="20"/>
                          </w:rPr>
                          <w:t>-</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92"/>
                          <w:jc w:val="right"/>
                          <w:rPr>
                            <w:rFonts w:ascii="Arial" w:hAnsi="Arial" w:cs="Arial" w:eastAsia="Arial" w:hint="default"/>
                            <w:sz w:val="20"/>
                            <w:szCs w:val="20"/>
                          </w:rPr>
                        </w:pPr>
                        <w:r>
                          <w:rPr>
                            <w:rFonts w:ascii="Arial"/>
                            <w:spacing w:val="-1"/>
                            <w:sz w:val="20"/>
                          </w:rPr>
                          <w:t>5,709,400</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5"/>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4"/>
                          <w:jc w:val="right"/>
                          <w:rPr>
                            <w:rFonts w:ascii="Arial" w:hAnsi="Arial" w:cs="Arial" w:eastAsia="Arial" w:hint="default"/>
                            <w:sz w:val="20"/>
                            <w:szCs w:val="20"/>
                          </w:rPr>
                        </w:pPr>
                        <w:r>
                          <w:rPr>
                            <w:rFonts w:ascii="Arial"/>
                            <w:spacing w:val="-1"/>
                            <w:sz w:val="20"/>
                          </w:rPr>
                          <w:t>5,709,400</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Arial" w:hAnsi="Arial" w:cs="Arial" w:eastAsia="Arial" w:hint="default"/>
                            <w:sz w:val="20"/>
                            <w:szCs w:val="20"/>
                          </w:rPr>
                        </w:pPr>
                        <w:r>
                          <w:rPr>
                            <w:rFonts w:ascii="Arial"/>
                            <w:w w:val="100"/>
                            <w:sz w:val="20"/>
                          </w:rPr>
                          <w:t>-</w:t>
                        </w:r>
                      </w:p>
                    </w:tc>
                  </w:tr>
                  <w:tr>
                    <w:trPr>
                      <w:trHeight w:val="259" w:hRule="exact"/>
                    </w:trPr>
                    <w:tc>
                      <w:tcPr>
                        <w:tcW w:w="2663" w:type="dxa"/>
                        <w:gridSpan w:val="2"/>
                        <w:tcBorders>
                          <w:top w:val="nil" w:sz="6" w:space="0" w:color="auto"/>
                          <w:left w:val="nil" w:sz="6" w:space="0" w:color="auto"/>
                          <w:bottom w:val="nil" w:sz="6" w:space="0" w:color="auto"/>
                          <w:right w:val="nil" w:sz="6" w:space="0" w:color="auto"/>
                        </w:tcBorders>
                      </w:tcPr>
                      <w:p>
                        <w:pPr>
                          <w:pStyle w:val="TableParagraph"/>
                          <w:tabs>
                            <w:tab w:pos="2465" w:val="left" w:leader="none"/>
                          </w:tabs>
                          <w:spacing w:line="237" w:lineRule="exact"/>
                          <w:ind w:left="35" w:right="0"/>
                          <w:jc w:val="left"/>
                          <w:rPr>
                            <w:rFonts w:ascii="Arial" w:hAnsi="Arial" w:cs="Arial" w:eastAsia="Arial" w:hint="default"/>
                            <w:sz w:val="20"/>
                            <w:szCs w:val="20"/>
                          </w:rPr>
                        </w:pPr>
                        <w:r>
                          <w:rPr>
                            <w:rFonts w:ascii="黑体" w:hAnsi="黑体" w:cs="黑体" w:eastAsia="黑体" w:hint="default"/>
                            <w:spacing w:val="-1"/>
                            <w:sz w:val="20"/>
                            <w:szCs w:val="20"/>
                          </w:rPr>
                          <w:t>上海恒聚哈久</w:t>
                          <w:tab/>
                        </w:r>
                        <w:r>
                          <w:rPr>
                            <w:rFonts w:ascii="Arial" w:hAnsi="Arial" w:cs="Arial" w:eastAsia="Arial" w:hint="default"/>
                            <w:sz w:val="20"/>
                            <w:szCs w:val="20"/>
                          </w:rPr>
                          <w:t>-</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92"/>
                          <w:jc w:val="right"/>
                          <w:rPr>
                            <w:rFonts w:ascii="Arial" w:hAnsi="Arial" w:cs="Arial" w:eastAsia="Arial" w:hint="default"/>
                            <w:sz w:val="20"/>
                            <w:szCs w:val="20"/>
                          </w:rPr>
                        </w:pPr>
                        <w:r>
                          <w:rPr>
                            <w:rFonts w:ascii="Arial"/>
                            <w:spacing w:val="-1"/>
                            <w:sz w:val="20"/>
                          </w:rPr>
                          <w:t>18,318,993</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5"/>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4"/>
                          <w:jc w:val="right"/>
                          <w:rPr>
                            <w:rFonts w:ascii="Arial" w:hAnsi="Arial" w:cs="Arial" w:eastAsia="Arial" w:hint="default"/>
                            <w:sz w:val="20"/>
                            <w:szCs w:val="20"/>
                          </w:rPr>
                        </w:pPr>
                        <w:r>
                          <w:rPr>
                            <w:rFonts w:ascii="Arial"/>
                            <w:spacing w:val="-1"/>
                            <w:sz w:val="20"/>
                          </w:rPr>
                          <w:t>18,318,993</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Arial" w:hAnsi="Arial" w:cs="Arial" w:eastAsia="Arial" w:hint="default"/>
                            <w:sz w:val="20"/>
                            <w:szCs w:val="20"/>
                          </w:rPr>
                        </w:pPr>
                        <w:r>
                          <w:rPr>
                            <w:rFonts w:ascii="Arial"/>
                            <w:w w:val="100"/>
                            <w:sz w:val="20"/>
                          </w:rPr>
                          <w:t>-</w:t>
                        </w:r>
                      </w:p>
                    </w:tc>
                  </w:tr>
                  <w:tr>
                    <w:trPr>
                      <w:trHeight w:val="649" w:hRule="exact"/>
                    </w:trPr>
                    <w:tc>
                      <w:tcPr>
                        <w:tcW w:w="2663" w:type="dxa"/>
                        <w:gridSpan w:val="2"/>
                        <w:tcBorders>
                          <w:top w:val="nil" w:sz="6" w:space="0" w:color="auto"/>
                          <w:left w:val="nil" w:sz="6" w:space="0" w:color="auto"/>
                          <w:bottom w:val="nil" w:sz="6" w:space="0" w:color="auto"/>
                          <w:right w:val="nil" w:sz="6" w:space="0" w:color="auto"/>
                        </w:tcBorders>
                      </w:tcPr>
                      <w:p>
                        <w:pPr>
                          <w:pStyle w:val="TableParagraph"/>
                          <w:tabs>
                            <w:tab w:pos="2465" w:val="left" w:leader="none"/>
                          </w:tabs>
                          <w:spacing w:line="229" w:lineRule="exact"/>
                          <w:ind w:left="35" w:right="0"/>
                          <w:jc w:val="left"/>
                          <w:rPr>
                            <w:rFonts w:ascii="Arial" w:hAnsi="Arial" w:cs="Arial" w:eastAsia="Arial" w:hint="default"/>
                            <w:sz w:val="20"/>
                            <w:szCs w:val="20"/>
                          </w:rPr>
                        </w:pPr>
                        <w:r>
                          <w:rPr>
                            <w:rFonts w:ascii="黑体" w:hAnsi="黑体" w:cs="黑体" w:eastAsia="黑体" w:hint="default"/>
                            <w:sz w:val="20"/>
                            <w:szCs w:val="20"/>
                          </w:rPr>
                          <w:t>时空超越</w:t>
                          <w:tab/>
                        </w:r>
                        <w:r>
                          <w:rPr>
                            <w:rFonts w:ascii="Arial" w:hAnsi="Arial" w:cs="Arial" w:eastAsia="Arial" w:hint="default"/>
                            <w:sz w:val="20"/>
                            <w:szCs w:val="20"/>
                          </w:rPr>
                          <w:t>-</w:t>
                        </w:r>
                      </w:p>
                      <w:p>
                        <w:pPr>
                          <w:pStyle w:val="TableParagraph"/>
                          <w:spacing w:line="268" w:lineRule="exact"/>
                          <w:ind w:left="35" w:right="0"/>
                          <w:jc w:val="left"/>
                          <w:rPr>
                            <w:rFonts w:ascii="黑体" w:hAnsi="黑体" w:cs="黑体" w:eastAsia="黑体" w:hint="default"/>
                            <w:sz w:val="20"/>
                            <w:szCs w:val="20"/>
                          </w:rPr>
                        </w:pPr>
                        <w:r>
                          <w:rPr>
                            <w:rFonts w:ascii="黑体" w:hAnsi="黑体" w:cs="黑体" w:eastAsia="黑体" w:hint="default"/>
                            <w:sz w:val="20"/>
                            <w:szCs w:val="20"/>
                          </w:rPr>
                          <w:t>伟库</w:t>
                        </w:r>
                        <w:r>
                          <w:rPr>
                            <w:rFonts w:ascii="Arial" w:hAnsi="Arial" w:cs="Arial" w:eastAsia="Arial" w:hint="default"/>
                            <w:sz w:val="20"/>
                            <w:szCs w:val="20"/>
                          </w:rPr>
                          <w:t>(</w:t>
                        </w:r>
                        <w:r>
                          <w:rPr>
                            <w:rFonts w:ascii="黑体" w:hAnsi="黑体" w:cs="黑体" w:eastAsia="黑体" w:hint="default"/>
                            <w:sz w:val="20"/>
                            <w:szCs w:val="20"/>
                          </w:rPr>
                          <w:t>上海</w:t>
                        </w:r>
                        <w:r>
                          <w:rPr>
                            <w:rFonts w:ascii="Arial" w:hAnsi="Arial" w:cs="Arial" w:eastAsia="Arial" w:hint="default"/>
                            <w:sz w:val="20"/>
                            <w:szCs w:val="20"/>
                          </w:rPr>
                          <w:t>)</w:t>
                        </w:r>
                        <w:r>
                          <w:rPr>
                            <w:rFonts w:ascii="黑体" w:hAnsi="黑体" w:cs="黑体" w:eastAsia="黑体" w:hint="default"/>
                            <w:sz w:val="20"/>
                            <w:szCs w:val="20"/>
                          </w:rPr>
                          <w:t>网络</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92"/>
                          <w:jc w:val="right"/>
                          <w:rPr>
                            <w:rFonts w:ascii="Arial" w:hAnsi="Arial" w:cs="Arial" w:eastAsia="Arial" w:hint="default"/>
                            <w:sz w:val="20"/>
                            <w:szCs w:val="20"/>
                          </w:rPr>
                        </w:pPr>
                        <w:r>
                          <w:rPr>
                            <w:rFonts w:ascii="Arial"/>
                            <w:spacing w:val="-1"/>
                            <w:sz w:val="20"/>
                          </w:rPr>
                          <w:t>35,997,518</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5"/>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4"/>
                          <w:jc w:val="right"/>
                          <w:rPr>
                            <w:rFonts w:ascii="Arial" w:hAnsi="Arial" w:cs="Arial" w:eastAsia="Arial" w:hint="default"/>
                            <w:sz w:val="20"/>
                            <w:szCs w:val="20"/>
                          </w:rPr>
                        </w:pPr>
                        <w:r>
                          <w:rPr>
                            <w:rFonts w:ascii="Arial"/>
                            <w:spacing w:val="-1"/>
                            <w:sz w:val="20"/>
                          </w:rPr>
                          <w:t>35,997,518</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Arial" w:hAnsi="Arial" w:cs="Arial" w:eastAsia="Arial" w:hint="default"/>
                            <w:sz w:val="20"/>
                            <w:szCs w:val="20"/>
                          </w:rPr>
                        </w:pPr>
                        <w:r>
                          <w:rPr>
                            <w:rFonts w:ascii="Arial"/>
                            <w:w w:val="100"/>
                            <w:sz w:val="20"/>
                          </w:rPr>
                          <w:t>-</w:t>
                        </w:r>
                      </w:p>
                    </w:tc>
                  </w:tr>
                  <w:tr>
                    <w:trPr>
                      <w:trHeight w:val="649" w:hRule="exact"/>
                    </w:trPr>
                    <w:tc>
                      <w:tcPr>
                        <w:tcW w:w="2663" w:type="dxa"/>
                        <w:gridSpan w:val="2"/>
                        <w:tcBorders>
                          <w:top w:val="nil" w:sz="6" w:space="0" w:color="auto"/>
                          <w:left w:val="nil" w:sz="6" w:space="0" w:color="auto"/>
                          <w:bottom w:val="nil" w:sz="6" w:space="0" w:color="auto"/>
                          <w:right w:val="nil" w:sz="6" w:space="0" w:color="auto"/>
                        </w:tcBorders>
                      </w:tcPr>
                      <w:p>
                        <w:pPr>
                          <w:pStyle w:val="TableParagraph"/>
                          <w:spacing w:line="268" w:lineRule="exact" w:before="90"/>
                          <w:ind w:left="223" w:right="0"/>
                          <w:jc w:val="left"/>
                          <w:rPr>
                            <w:rFonts w:ascii="黑体" w:hAnsi="黑体" w:cs="黑体" w:eastAsia="黑体" w:hint="default"/>
                            <w:sz w:val="20"/>
                            <w:szCs w:val="20"/>
                          </w:rPr>
                        </w:pPr>
                        <w:r>
                          <w:rPr>
                            <w:rFonts w:ascii="Arial" w:hAnsi="Arial" w:cs="Arial" w:eastAsia="Arial" w:hint="default"/>
                            <w:sz w:val="20"/>
                            <w:szCs w:val="20"/>
                          </w:rPr>
                          <w:t>(</w:t>
                        </w:r>
                        <w:r>
                          <w:rPr>
                            <w:rFonts w:ascii="黑体" w:hAnsi="黑体" w:cs="黑体" w:eastAsia="黑体" w:hint="default"/>
                            <w:sz w:val="20"/>
                            <w:szCs w:val="20"/>
                          </w:rPr>
                          <w:t>以下简称</w:t>
                        </w:r>
                        <w:r>
                          <w:rPr>
                            <w:rFonts w:ascii="Arial" w:hAnsi="Arial" w:cs="Arial" w:eastAsia="Arial" w:hint="default"/>
                            <w:sz w:val="20"/>
                            <w:szCs w:val="20"/>
                          </w:rPr>
                          <w:t>“</w:t>
                        </w:r>
                        <w:r>
                          <w:rPr>
                            <w:rFonts w:ascii="黑体" w:hAnsi="黑体" w:cs="黑体" w:eastAsia="黑体" w:hint="default"/>
                            <w:sz w:val="20"/>
                            <w:szCs w:val="20"/>
                          </w:rPr>
                          <w:t>上</w:t>
                        </w:r>
                      </w:p>
                      <w:p>
                        <w:pPr>
                          <w:pStyle w:val="TableParagraph"/>
                          <w:tabs>
                            <w:tab w:pos="1641" w:val="left" w:leader="none"/>
                          </w:tabs>
                          <w:spacing w:line="268" w:lineRule="exact"/>
                          <w:ind w:left="222" w:right="0"/>
                          <w:jc w:val="left"/>
                          <w:rPr>
                            <w:rFonts w:ascii="Arial" w:hAnsi="Arial" w:cs="Arial" w:eastAsia="Arial" w:hint="default"/>
                            <w:sz w:val="20"/>
                            <w:szCs w:val="20"/>
                          </w:rPr>
                        </w:pPr>
                        <w:r>
                          <w:rPr>
                            <w:rFonts w:ascii="黑体" w:hAnsi="黑体" w:cs="黑体" w:eastAsia="黑体" w:hint="default"/>
                            <w:spacing w:val="-1"/>
                            <w:sz w:val="20"/>
                            <w:szCs w:val="20"/>
                          </w:rPr>
                          <w:t>海伟库</w:t>
                        </w:r>
                        <w:r>
                          <w:rPr>
                            <w:rFonts w:ascii="Arial" w:hAnsi="Arial" w:cs="Arial" w:eastAsia="Arial" w:hint="default"/>
                            <w:spacing w:val="-1"/>
                            <w:sz w:val="20"/>
                            <w:szCs w:val="20"/>
                          </w:rPr>
                          <w:t>”)</w:t>
                          <w:tab/>
                          <w:t>6,300,755</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32"/>
                          <w:ind w:right="194"/>
                          <w:jc w:val="right"/>
                          <w:rPr>
                            <w:rFonts w:ascii="Arial" w:hAnsi="Arial" w:cs="Arial" w:eastAsia="Arial" w:hint="default"/>
                            <w:sz w:val="20"/>
                            <w:szCs w:val="20"/>
                          </w:rPr>
                        </w:pPr>
                        <w:r>
                          <w:rPr>
                            <w:rFonts w:ascii="Arial"/>
                            <w:w w:val="100"/>
                            <w:sz w:val="20"/>
                          </w:rPr>
                          <w:t>-</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32"/>
                          <w:ind w:right="134"/>
                          <w:jc w:val="right"/>
                          <w:rPr>
                            <w:rFonts w:ascii="Arial" w:hAnsi="Arial" w:cs="Arial" w:eastAsia="Arial" w:hint="default"/>
                            <w:sz w:val="20"/>
                            <w:szCs w:val="20"/>
                          </w:rPr>
                        </w:pPr>
                        <w:r>
                          <w:rPr>
                            <w:rFonts w:ascii="Arial"/>
                            <w:spacing w:val="-1"/>
                            <w:sz w:val="20"/>
                          </w:rPr>
                          <w:t>6,300,755</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32"/>
                          <w:ind w:right="184"/>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32"/>
                          <w:ind w:right="33"/>
                          <w:jc w:val="right"/>
                          <w:rPr>
                            <w:rFonts w:ascii="Arial" w:hAnsi="Arial" w:cs="Arial" w:eastAsia="Arial" w:hint="default"/>
                            <w:sz w:val="20"/>
                            <w:szCs w:val="20"/>
                          </w:rPr>
                        </w:pPr>
                        <w:r>
                          <w:rPr>
                            <w:rFonts w:ascii="Arial"/>
                            <w:w w:val="100"/>
                            <w:sz w:val="20"/>
                          </w:rPr>
                          <w:t>-</w:t>
                        </w:r>
                      </w:p>
                    </w:tc>
                  </w:tr>
                  <w:tr>
                    <w:trPr>
                      <w:trHeight w:val="389" w:hRule="exact"/>
                    </w:trPr>
                    <w:tc>
                      <w:tcPr>
                        <w:tcW w:w="2663" w:type="dxa"/>
                        <w:gridSpan w:val="2"/>
                        <w:tcBorders>
                          <w:top w:val="nil" w:sz="6" w:space="0" w:color="auto"/>
                          <w:left w:val="nil" w:sz="6" w:space="0" w:color="auto"/>
                          <w:bottom w:val="nil" w:sz="6" w:space="0" w:color="auto"/>
                          <w:right w:val="nil" w:sz="6" w:space="0" w:color="auto"/>
                        </w:tcBorders>
                      </w:tcPr>
                      <w:p>
                        <w:pPr>
                          <w:pStyle w:val="TableParagraph"/>
                          <w:tabs>
                            <w:tab w:pos="2465" w:val="left" w:leader="none"/>
                          </w:tabs>
                          <w:spacing w:line="236" w:lineRule="exact"/>
                          <w:ind w:left="35" w:right="0"/>
                          <w:jc w:val="left"/>
                          <w:rPr>
                            <w:rFonts w:ascii="Arial" w:hAnsi="Arial" w:cs="Arial" w:eastAsia="Arial" w:hint="default"/>
                            <w:sz w:val="20"/>
                            <w:szCs w:val="20"/>
                          </w:rPr>
                        </w:pPr>
                        <w:r>
                          <w:rPr>
                            <w:rFonts w:ascii="黑体" w:hAnsi="黑体" w:cs="黑体" w:eastAsia="黑体" w:hint="default"/>
                            <w:sz w:val="20"/>
                            <w:szCs w:val="20"/>
                          </w:rPr>
                          <w:t>广州尚南</w:t>
                          <w:tab/>
                        </w:r>
                        <w:r>
                          <w:rPr>
                            <w:rFonts w:ascii="Arial" w:hAnsi="Arial" w:cs="Arial" w:eastAsia="Arial" w:hint="default"/>
                            <w:sz w:val="20"/>
                            <w:szCs w:val="20"/>
                          </w:rPr>
                          <w:t>-</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2"/>
                          <w:jc w:val="right"/>
                          <w:rPr>
                            <w:rFonts w:ascii="Arial" w:hAnsi="Arial" w:cs="Arial" w:eastAsia="Arial" w:hint="default"/>
                            <w:sz w:val="20"/>
                            <w:szCs w:val="20"/>
                          </w:rPr>
                        </w:pPr>
                        <w:r>
                          <w:rPr>
                            <w:rFonts w:ascii="Arial"/>
                            <w:spacing w:val="-1"/>
                            <w:sz w:val="20"/>
                          </w:rPr>
                          <w:t>28,555,713</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35"/>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84"/>
                          <w:jc w:val="right"/>
                          <w:rPr>
                            <w:rFonts w:ascii="Arial" w:hAnsi="Arial" w:cs="Arial" w:eastAsia="Arial" w:hint="default"/>
                            <w:sz w:val="20"/>
                            <w:szCs w:val="20"/>
                          </w:rPr>
                        </w:pPr>
                        <w:r>
                          <w:rPr>
                            <w:rFonts w:ascii="Arial"/>
                            <w:spacing w:val="-1"/>
                            <w:sz w:val="20"/>
                          </w:rPr>
                          <w:t>28,555,713</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Arial" w:hAnsi="Arial" w:cs="Arial" w:eastAsia="Arial" w:hint="default"/>
                            <w:sz w:val="20"/>
                            <w:szCs w:val="20"/>
                          </w:rPr>
                        </w:pPr>
                        <w:r>
                          <w:rPr>
                            <w:rFonts w:ascii="Arial"/>
                            <w:w w:val="100"/>
                            <w:sz w:val="20"/>
                          </w:rPr>
                          <w:t>-</w:t>
                        </w:r>
                      </w:p>
                    </w:tc>
                  </w:tr>
                  <w:tr>
                    <w:trPr>
                      <w:trHeight w:val="389" w:hRule="exact"/>
                    </w:trPr>
                    <w:tc>
                      <w:tcPr>
                        <w:tcW w:w="2663" w:type="dxa"/>
                        <w:gridSpan w:val="2"/>
                        <w:tcBorders>
                          <w:top w:val="nil" w:sz="6" w:space="0" w:color="auto"/>
                          <w:left w:val="nil" w:sz="6" w:space="0" w:color="auto"/>
                          <w:bottom w:val="nil" w:sz="6" w:space="0" w:color="auto"/>
                          <w:right w:val="nil" w:sz="6" w:space="0" w:color="auto"/>
                        </w:tcBorders>
                      </w:tcPr>
                      <w:p>
                        <w:pPr>
                          <w:pStyle w:val="TableParagraph"/>
                          <w:tabs>
                            <w:tab w:pos="2465" w:val="left" w:leader="none"/>
                          </w:tabs>
                          <w:spacing w:line="240" w:lineRule="auto" w:before="89"/>
                          <w:ind w:left="222" w:right="0"/>
                          <w:jc w:val="left"/>
                          <w:rPr>
                            <w:rFonts w:ascii="Arial" w:hAnsi="Arial" w:cs="Arial" w:eastAsia="Arial" w:hint="default"/>
                            <w:sz w:val="20"/>
                            <w:szCs w:val="20"/>
                          </w:rPr>
                        </w:pPr>
                        <w:r>
                          <w:rPr>
                            <w:rFonts w:ascii="黑体" w:hAnsi="黑体" w:cs="黑体" w:eastAsia="黑体" w:hint="default"/>
                            <w:sz w:val="20"/>
                            <w:szCs w:val="20"/>
                          </w:rPr>
                          <w:t>江门安易</w:t>
                          <w:tab/>
                        </w:r>
                        <w:r>
                          <w:rPr>
                            <w:rFonts w:ascii="Arial" w:hAnsi="Arial" w:cs="Arial" w:eastAsia="Arial" w:hint="default"/>
                            <w:sz w:val="20"/>
                            <w:szCs w:val="20"/>
                          </w:rPr>
                          <w:t>-</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92"/>
                          <w:jc w:val="right"/>
                          <w:rPr>
                            <w:rFonts w:ascii="Arial" w:hAnsi="Arial" w:cs="Arial" w:eastAsia="Arial" w:hint="default"/>
                            <w:sz w:val="20"/>
                            <w:szCs w:val="20"/>
                          </w:rPr>
                        </w:pPr>
                        <w:r>
                          <w:rPr>
                            <w:rFonts w:ascii="Arial"/>
                            <w:spacing w:val="-1"/>
                            <w:sz w:val="20"/>
                          </w:rPr>
                          <w:t>14,807,958</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35"/>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84"/>
                          <w:jc w:val="right"/>
                          <w:rPr>
                            <w:rFonts w:ascii="Arial" w:hAnsi="Arial" w:cs="Arial" w:eastAsia="Arial" w:hint="default"/>
                            <w:sz w:val="20"/>
                            <w:szCs w:val="20"/>
                          </w:rPr>
                        </w:pPr>
                        <w:r>
                          <w:rPr>
                            <w:rFonts w:ascii="Arial"/>
                            <w:spacing w:val="-1"/>
                            <w:sz w:val="20"/>
                          </w:rPr>
                          <w:t>14,807,958</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
                          <w:jc w:val="right"/>
                          <w:rPr>
                            <w:rFonts w:ascii="Arial" w:hAnsi="Arial" w:cs="Arial" w:eastAsia="Arial" w:hint="default"/>
                            <w:sz w:val="20"/>
                            <w:szCs w:val="20"/>
                          </w:rPr>
                        </w:pPr>
                        <w:r>
                          <w:rPr>
                            <w:rFonts w:ascii="Arial"/>
                            <w:w w:val="100"/>
                            <w:sz w:val="20"/>
                          </w:rPr>
                          <w:t>-</w:t>
                        </w:r>
                      </w:p>
                    </w:tc>
                  </w:tr>
                  <w:tr>
                    <w:trPr>
                      <w:trHeight w:val="259" w:hRule="exact"/>
                    </w:trPr>
                    <w:tc>
                      <w:tcPr>
                        <w:tcW w:w="2663" w:type="dxa"/>
                        <w:gridSpan w:val="2"/>
                        <w:tcBorders>
                          <w:top w:val="nil" w:sz="6" w:space="0" w:color="auto"/>
                          <w:left w:val="nil" w:sz="6" w:space="0" w:color="auto"/>
                          <w:bottom w:val="nil" w:sz="6" w:space="0" w:color="auto"/>
                          <w:right w:val="nil" w:sz="6" w:space="0" w:color="auto"/>
                        </w:tcBorders>
                      </w:tcPr>
                      <w:p>
                        <w:pPr>
                          <w:pStyle w:val="TableParagraph"/>
                          <w:tabs>
                            <w:tab w:pos="2465" w:val="left" w:leader="none"/>
                          </w:tabs>
                          <w:spacing w:line="237" w:lineRule="exact"/>
                          <w:ind w:left="35" w:right="0"/>
                          <w:jc w:val="left"/>
                          <w:rPr>
                            <w:rFonts w:ascii="Arial" w:hAnsi="Arial" w:cs="Arial" w:eastAsia="Arial" w:hint="default"/>
                            <w:sz w:val="20"/>
                            <w:szCs w:val="20"/>
                          </w:rPr>
                        </w:pPr>
                        <w:r>
                          <w:rPr>
                            <w:rFonts w:ascii="黑体" w:hAnsi="黑体" w:cs="黑体" w:eastAsia="黑体" w:hint="default"/>
                            <w:sz w:val="20"/>
                            <w:szCs w:val="20"/>
                          </w:rPr>
                          <w:t>用友医院</w:t>
                          <w:tab/>
                        </w:r>
                        <w:r>
                          <w:rPr>
                            <w:rFonts w:ascii="Arial" w:hAnsi="Arial" w:cs="Arial" w:eastAsia="Arial" w:hint="default"/>
                            <w:sz w:val="20"/>
                            <w:szCs w:val="20"/>
                          </w:rPr>
                          <w:t>-</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92"/>
                          <w:jc w:val="right"/>
                          <w:rPr>
                            <w:rFonts w:ascii="Arial" w:hAnsi="Arial" w:cs="Arial" w:eastAsia="Arial" w:hint="default"/>
                            <w:sz w:val="20"/>
                            <w:szCs w:val="20"/>
                          </w:rPr>
                        </w:pPr>
                        <w:r>
                          <w:rPr>
                            <w:rFonts w:ascii="Arial"/>
                            <w:spacing w:val="-1"/>
                            <w:sz w:val="20"/>
                          </w:rPr>
                          <w:t>7,602,648</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5"/>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4"/>
                          <w:jc w:val="right"/>
                          <w:rPr>
                            <w:rFonts w:ascii="Arial" w:hAnsi="Arial" w:cs="Arial" w:eastAsia="Arial" w:hint="default"/>
                            <w:sz w:val="20"/>
                            <w:szCs w:val="20"/>
                          </w:rPr>
                        </w:pPr>
                        <w:r>
                          <w:rPr>
                            <w:rFonts w:ascii="Arial"/>
                            <w:spacing w:val="-1"/>
                            <w:sz w:val="20"/>
                          </w:rPr>
                          <w:t>7,602,648</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Arial" w:hAnsi="Arial" w:cs="Arial" w:eastAsia="Arial" w:hint="default"/>
                            <w:sz w:val="20"/>
                            <w:szCs w:val="20"/>
                          </w:rPr>
                        </w:pPr>
                        <w:r>
                          <w:rPr>
                            <w:rFonts w:ascii="Arial"/>
                            <w:w w:val="100"/>
                            <w:sz w:val="20"/>
                          </w:rPr>
                          <w:t>-</w:t>
                        </w:r>
                      </w:p>
                    </w:tc>
                  </w:tr>
                  <w:tr>
                    <w:trPr>
                      <w:trHeight w:val="259" w:hRule="exact"/>
                    </w:trPr>
                    <w:tc>
                      <w:tcPr>
                        <w:tcW w:w="2663" w:type="dxa"/>
                        <w:gridSpan w:val="2"/>
                        <w:tcBorders>
                          <w:top w:val="nil" w:sz="6" w:space="0" w:color="auto"/>
                          <w:left w:val="nil" w:sz="6" w:space="0" w:color="auto"/>
                          <w:bottom w:val="nil" w:sz="6" w:space="0" w:color="auto"/>
                          <w:right w:val="nil" w:sz="6" w:space="0" w:color="auto"/>
                        </w:tcBorders>
                      </w:tcPr>
                      <w:p>
                        <w:pPr>
                          <w:pStyle w:val="TableParagraph"/>
                          <w:tabs>
                            <w:tab w:pos="1642" w:val="left" w:leader="none"/>
                          </w:tabs>
                          <w:spacing w:line="237" w:lineRule="exact"/>
                          <w:ind w:left="35" w:right="0"/>
                          <w:jc w:val="left"/>
                          <w:rPr>
                            <w:rFonts w:ascii="Arial" w:hAnsi="Arial" w:cs="Arial" w:eastAsia="Arial" w:hint="default"/>
                            <w:sz w:val="20"/>
                            <w:szCs w:val="20"/>
                          </w:rPr>
                        </w:pPr>
                        <w:r>
                          <w:rPr>
                            <w:rFonts w:ascii="黑体" w:hAnsi="黑体" w:cs="黑体" w:eastAsia="黑体" w:hint="default"/>
                            <w:sz w:val="20"/>
                            <w:szCs w:val="20"/>
                          </w:rPr>
                          <w:t>用友华表</w:t>
                          <w:tab/>
                        </w:r>
                        <w:r>
                          <w:rPr>
                            <w:rFonts w:ascii="Arial" w:hAnsi="Arial" w:cs="Arial" w:eastAsia="Arial" w:hint="default"/>
                            <w:sz w:val="20"/>
                            <w:szCs w:val="20"/>
                          </w:rPr>
                          <w:t>1,155,000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92"/>
                          <w:jc w:val="right"/>
                          <w:rPr>
                            <w:rFonts w:ascii="Arial" w:hAnsi="Arial" w:cs="Arial" w:eastAsia="Arial" w:hint="default"/>
                            <w:sz w:val="20"/>
                            <w:szCs w:val="20"/>
                          </w:rPr>
                        </w:pPr>
                        <w:r>
                          <w:rPr>
                            <w:rFonts w:ascii="Arial"/>
                            <w:w w:val="100"/>
                            <w:sz w:val="20"/>
                          </w:rPr>
                          <w:t>-</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5"/>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4"/>
                          <w:jc w:val="right"/>
                          <w:rPr>
                            <w:rFonts w:ascii="Arial" w:hAnsi="Arial" w:cs="Arial" w:eastAsia="Arial" w:hint="default"/>
                            <w:sz w:val="20"/>
                            <w:szCs w:val="20"/>
                          </w:rPr>
                        </w:pPr>
                        <w:r>
                          <w:rPr>
                            <w:rFonts w:ascii="Arial"/>
                            <w:spacing w:val="-1"/>
                            <w:sz w:val="20"/>
                          </w:rPr>
                          <w:t>1,155,000</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Arial" w:hAnsi="Arial" w:cs="Arial" w:eastAsia="Arial" w:hint="default"/>
                            <w:sz w:val="20"/>
                            <w:szCs w:val="20"/>
                          </w:rPr>
                        </w:pPr>
                        <w:r>
                          <w:rPr>
                            <w:rFonts w:ascii="Arial"/>
                            <w:spacing w:val="-1"/>
                            <w:sz w:val="20"/>
                          </w:rPr>
                          <w:t>382,200</w:t>
                        </w:r>
                      </w:p>
                    </w:tc>
                  </w:tr>
                  <w:tr>
                    <w:trPr>
                      <w:trHeight w:val="255" w:hRule="exact"/>
                    </w:trPr>
                    <w:tc>
                      <w:tcPr>
                        <w:tcW w:w="2663" w:type="dxa"/>
                        <w:gridSpan w:val="2"/>
                        <w:tcBorders>
                          <w:top w:val="nil" w:sz="6" w:space="0" w:color="auto"/>
                          <w:left w:val="nil" w:sz="6" w:space="0" w:color="auto"/>
                          <w:bottom w:val="nil" w:sz="6" w:space="0" w:color="auto"/>
                          <w:right w:val="nil" w:sz="6" w:space="0" w:color="auto"/>
                        </w:tcBorders>
                      </w:tcPr>
                      <w:p>
                        <w:pPr>
                          <w:pStyle w:val="TableParagraph"/>
                          <w:tabs>
                            <w:tab w:pos="1530" w:val="left" w:leader="none"/>
                          </w:tabs>
                          <w:spacing w:line="237" w:lineRule="exact"/>
                          <w:ind w:left="35" w:right="0"/>
                          <w:jc w:val="left"/>
                          <w:rPr>
                            <w:rFonts w:ascii="Arial" w:hAnsi="Arial" w:cs="Arial" w:eastAsia="Arial" w:hint="default"/>
                            <w:sz w:val="20"/>
                            <w:szCs w:val="20"/>
                          </w:rPr>
                        </w:pPr>
                        <w:r>
                          <w:rPr>
                            <w:rFonts w:ascii="黑体" w:hAnsi="黑体" w:cs="黑体" w:eastAsia="黑体" w:hint="default"/>
                            <w:sz w:val="20"/>
                            <w:szCs w:val="20"/>
                          </w:rPr>
                          <w:t>用友政务</w:t>
                          <w:tab/>
                        </w:r>
                        <w:r>
                          <w:rPr>
                            <w:rFonts w:ascii="Arial" w:hAnsi="Arial" w:cs="Arial" w:eastAsia="Arial" w:hint="default"/>
                            <w:sz w:val="20"/>
                            <w:szCs w:val="20"/>
                          </w:rPr>
                          <w:t>15,073,800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92"/>
                          <w:jc w:val="right"/>
                          <w:rPr>
                            <w:rFonts w:ascii="Arial" w:hAnsi="Arial" w:cs="Arial" w:eastAsia="Arial" w:hint="default"/>
                            <w:sz w:val="20"/>
                            <w:szCs w:val="20"/>
                          </w:rPr>
                        </w:pPr>
                        <w:r>
                          <w:rPr>
                            <w:rFonts w:ascii="Arial"/>
                            <w:w w:val="100"/>
                            <w:sz w:val="20"/>
                          </w:rPr>
                          <w:t>-</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5"/>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4"/>
                          <w:jc w:val="right"/>
                          <w:rPr>
                            <w:rFonts w:ascii="Arial" w:hAnsi="Arial" w:cs="Arial" w:eastAsia="Arial" w:hint="default"/>
                            <w:sz w:val="20"/>
                            <w:szCs w:val="20"/>
                          </w:rPr>
                        </w:pPr>
                        <w:r>
                          <w:rPr>
                            <w:rFonts w:ascii="Arial"/>
                            <w:spacing w:val="-1"/>
                            <w:sz w:val="20"/>
                          </w:rPr>
                          <w:t>15,073,800</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Arial" w:hAnsi="Arial" w:cs="Arial" w:eastAsia="Arial" w:hint="default"/>
                            <w:sz w:val="20"/>
                            <w:szCs w:val="20"/>
                          </w:rPr>
                        </w:pPr>
                        <w:r>
                          <w:rPr>
                            <w:rFonts w:ascii="Arial"/>
                            <w:w w:val="100"/>
                            <w:sz w:val="20"/>
                          </w:rPr>
                          <w:t>-</w:t>
                        </w:r>
                      </w:p>
                    </w:tc>
                  </w:tr>
                  <w:tr>
                    <w:trPr>
                      <w:trHeight w:val="259"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方正春元</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8"/>
                          <w:ind w:left="-21" w:right="126"/>
                          <w:jc w:val="right"/>
                          <w:rPr>
                            <w:rFonts w:ascii="Arial" w:hAnsi="Arial" w:cs="Arial" w:eastAsia="Arial" w:hint="default"/>
                            <w:sz w:val="20"/>
                            <w:szCs w:val="20"/>
                          </w:rPr>
                        </w:pPr>
                        <w:r>
                          <w:rPr>
                            <w:rFonts w:ascii="Arial"/>
                            <w:spacing w:val="-1"/>
                            <w:sz w:val="20"/>
                          </w:rPr>
                          <w:t>293,326,074</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3"/>
                          <w:jc w:val="right"/>
                          <w:rPr>
                            <w:rFonts w:ascii="Arial" w:hAnsi="Arial" w:cs="Arial" w:eastAsia="Arial" w:hint="default"/>
                            <w:sz w:val="20"/>
                            <w:szCs w:val="20"/>
                          </w:rPr>
                        </w:pPr>
                        <w:r>
                          <w:rPr>
                            <w:rFonts w:ascii="Arial"/>
                            <w:w w:val="100"/>
                            <w:sz w:val="20"/>
                          </w:rPr>
                          <w:t>-</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35"/>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83"/>
                          <w:jc w:val="right"/>
                          <w:rPr>
                            <w:rFonts w:ascii="Arial" w:hAnsi="Arial" w:cs="Arial" w:eastAsia="Arial" w:hint="default"/>
                            <w:sz w:val="20"/>
                            <w:szCs w:val="20"/>
                          </w:rPr>
                        </w:pPr>
                        <w:r>
                          <w:rPr>
                            <w:rFonts w:ascii="Arial"/>
                            <w:spacing w:val="-1"/>
                            <w:sz w:val="20"/>
                          </w:rPr>
                          <w:t>293,326,074</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w:t>
                        </w:r>
                      </w:p>
                    </w:tc>
                  </w:tr>
                  <w:tr>
                    <w:trPr>
                      <w:trHeight w:val="260"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1,555,425</w:t>
                        </w:r>
                        <w:r>
                          <w:rPr>
                            <w:rFonts w:ascii="Arial"/>
                            <w:sz w:val="20"/>
                          </w:rPr>
                        </w:r>
                      </w:p>
                    </w:tc>
                    <w:tc>
                      <w:tcPr>
                        <w:tcW w:w="1451"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8"/>
                          <w:ind w:right="192"/>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449,454</w:t>
                        </w:r>
                        <w:r>
                          <w:rPr>
                            <w:rFonts w:ascii="Arial"/>
                            <w:sz w:val="20"/>
                          </w:rPr>
                        </w:r>
                      </w:p>
                    </w:tc>
                    <w:tc>
                      <w:tcPr>
                        <w:tcW w:w="1242"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8"/>
                          <w:ind w:right="13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31,141</w:t>
                        </w:r>
                        <w:r>
                          <w:rPr>
                            <w:rFonts w:ascii="Arial"/>
                            <w:sz w:val="20"/>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8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1,973,738</w:t>
                        </w:r>
                        <w:r>
                          <w:rPr>
                            <w:rFonts w:ascii="Arial"/>
                            <w:sz w:val="20"/>
                          </w:rPr>
                        </w:r>
                      </w:p>
                    </w:tc>
                    <w:tc>
                      <w:tcPr>
                        <w:tcW w:w="1125" w:type="dxa"/>
                        <w:tcBorders>
                          <w:top w:val="nil" w:sz="6" w:space="0" w:color="auto"/>
                          <w:left w:val="nil" w:sz="6" w:space="0" w:color="auto"/>
                          <w:bottom w:val="nil" w:sz="6" w:space="0" w:color="auto"/>
                          <w:right w:val="nil" w:sz="6" w:space="0" w:color="auto"/>
                        </w:tcBorders>
                      </w:tcPr>
                      <w:p>
                        <w:pPr>
                          <w:pStyle w:val="TableParagraph"/>
                          <w:tabs>
                            <w:tab w:pos="638" w:val="left" w:leader="none"/>
                          </w:tabs>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385"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8"/>
                          <w:ind w:left="-21" w:right="126"/>
                          <w:jc w:val="right"/>
                          <w:rPr>
                            <w:rFonts w:ascii="Arial" w:hAnsi="Arial" w:cs="Arial" w:eastAsia="Arial" w:hint="default"/>
                            <w:sz w:val="20"/>
                            <w:szCs w:val="20"/>
                          </w:rPr>
                        </w:pPr>
                        <w:r>
                          <w:rPr>
                            <w:rFonts w:ascii="Arial"/>
                            <w:w w:val="100"/>
                            <w:sz w:val="20"/>
                          </w:rPr>
                        </w:r>
                        <w:r>
                          <w:rPr>
                            <w:rFonts w:ascii="Arial"/>
                            <w:spacing w:val="-1"/>
                            <w:sz w:val="20"/>
                            <w:u w:val="thick" w:color="000000"/>
                          </w:rPr>
                          <w:t>368,140,991</w:t>
                        </w:r>
                        <w:r>
                          <w:rPr>
                            <w:rFonts w:ascii="Arial"/>
                            <w:spacing w:val="-1"/>
                            <w:sz w:val="20"/>
                          </w:rPr>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1"/>
                          <w:jc w:val="right"/>
                          <w:rPr>
                            <w:rFonts w:ascii="Arial" w:hAnsi="Arial" w:cs="Arial" w:eastAsia="Arial" w:hint="default"/>
                            <w:sz w:val="20"/>
                            <w:szCs w:val="20"/>
                          </w:rPr>
                        </w:pPr>
                        <w:r>
                          <w:rPr>
                            <w:rFonts w:ascii="Arial"/>
                            <w:w w:val="100"/>
                            <w:sz w:val="20"/>
                          </w:rPr>
                        </w:r>
                        <w:r>
                          <w:rPr>
                            <w:rFonts w:ascii="Arial"/>
                            <w:spacing w:val="-1"/>
                            <w:sz w:val="20"/>
                            <w:u w:val="thick" w:color="000000"/>
                          </w:rPr>
                          <w:t>111,441,684</w:t>
                        </w:r>
                        <w:r>
                          <w:rPr>
                            <w:rFonts w:ascii="Arial"/>
                            <w:spacing w:val="-1"/>
                            <w:sz w:val="20"/>
                          </w:rPr>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35"/>
                          <w:jc w:val="right"/>
                          <w:rPr>
                            <w:rFonts w:ascii="Arial" w:hAnsi="Arial" w:cs="Arial" w:eastAsia="Arial" w:hint="default"/>
                            <w:sz w:val="20"/>
                            <w:szCs w:val="20"/>
                          </w:rPr>
                        </w:pPr>
                        <w:r>
                          <w:rPr>
                            <w:rFonts w:ascii="Arial"/>
                            <w:w w:val="100"/>
                            <w:sz w:val="20"/>
                          </w:rPr>
                        </w:r>
                        <w:r>
                          <w:rPr>
                            <w:rFonts w:ascii="Arial"/>
                            <w:spacing w:val="-1"/>
                            <w:sz w:val="20"/>
                            <w:u w:val="thick" w:color="000000"/>
                          </w:rPr>
                          <w:t>6,331,896</w:t>
                        </w:r>
                        <w:r>
                          <w:rPr>
                            <w:rFonts w:ascii="Arial"/>
                            <w:spacing w:val="-1"/>
                            <w:sz w:val="20"/>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83"/>
                          <w:jc w:val="right"/>
                          <w:rPr>
                            <w:rFonts w:ascii="Arial" w:hAnsi="Arial" w:cs="Arial" w:eastAsia="Arial" w:hint="default"/>
                            <w:sz w:val="20"/>
                            <w:szCs w:val="20"/>
                          </w:rPr>
                        </w:pPr>
                        <w:r>
                          <w:rPr>
                            <w:rFonts w:ascii="Arial"/>
                            <w:w w:val="100"/>
                            <w:sz w:val="20"/>
                          </w:rPr>
                        </w:r>
                        <w:r>
                          <w:rPr>
                            <w:rFonts w:ascii="Arial"/>
                            <w:spacing w:val="-1"/>
                            <w:sz w:val="20"/>
                            <w:u w:val="thick" w:color="000000"/>
                          </w:rPr>
                          <w:t>473,250,779</w:t>
                        </w:r>
                        <w:r>
                          <w:rPr>
                            <w:rFonts w:ascii="Arial"/>
                            <w:spacing w:val="-1"/>
                            <w:sz w:val="20"/>
                          </w:rPr>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382,200</w:t>
                        </w:r>
                        <w:r>
                          <w:rPr>
                            <w:rFonts w:ascii="Arial"/>
                            <w:spacing w:val="-1"/>
                            <w:sz w:val="20"/>
                          </w:rPr>
                        </w:r>
                      </w:p>
                    </w:tc>
                  </w:tr>
                  <w:tr>
                    <w:trPr>
                      <w:trHeight w:val="545"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40" w:lineRule="auto" w:before="89"/>
                          <w:ind w:left="40"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c>
                      <w:tcPr>
                        <w:tcW w:w="1222" w:type="dxa"/>
                        <w:tcBorders>
                          <w:top w:val="nil" w:sz="6" w:space="0" w:color="auto"/>
                          <w:left w:val="nil" w:sz="6" w:space="0" w:color="auto"/>
                          <w:bottom w:val="nil" w:sz="6" w:space="0" w:color="auto"/>
                          <w:right w:val="nil" w:sz="6" w:space="0" w:color="auto"/>
                        </w:tcBorders>
                      </w:tcPr>
                      <w:p>
                        <w:pPr/>
                      </w:p>
                    </w:tc>
                    <w:tc>
                      <w:tcPr>
                        <w:tcW w:w="1451"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nil" w:sz="6" w:space="0" w:color="auto"/>
                          <w:right w:val="nil" w:sz="6" w:space="0" w:color="auto"/>
                        </w:tcBorders>
                      </w:tcPr>
                      <w:p>
                        <w:pPr/>
                      </w:p>
                    </w:tc>
                    <w:tc>
                      <w:tcPr>
                        <w:tcW w:w="1448"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
                    </w:tc>
                  </w:tr>
                  <w:tr>
                    <w:trPr>
                      <w:trHeight w:val="415" w:hRule="exact"/>
                    </w:trPr>
                    <w:tc>
                      <w:tcPr>
                        <w:tcW w:w="1441" w:type="dxa"/>
                        <w:tcBorders>
                          <w:top w:val="nil" w:sz="6" w:space="0" w:color="auto"/>
                          <w:left w:val="nil" w:sz="6" w:space="0" w:color="auto"/>
                          <w:bottom w:val="nil" w:sz="6" w:space="0" w:color="auto"/>
                          <w:right w:val="nil" w:sz="6" w:space="0" w:color="auto"/>
                        </w:tcBorders>
                      </w:tcPr>
                      <w:p>
                        <w:pP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75"/>
                          <w:jc w:val="right"/>
                          <w:rPr>
                            <w:rFonts w:ascii="黑体" w:hAnsi="黑体" w:cs="黑体" w:eastAsia="黑体" w:hint="default"/>
                            <w:sz w:val="20"/>
                            <w:szCs w:val="20"/>
                          </w:rPr>
                        </w:pPr>
                        <w:r>
                          <w:rPr>
                            <w:rFonts w:ascii="黑体" w:hAnsi="黑体" w:cs="黑体" w:eastAsia="黑体" w:hint="default"/>
                            <w:sz w:val="20"/>
                            <w:szCs w:val="20"/>
                          </w:rPr>
                          <w:t>年初数</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06"/>
                          <w:jc w:val="right"/>
                          <w:rPr>
                            <w:rFonts w:ascii="黑体" w:hAnsi="黑体" w:cs="黑体" w:eastAsia="黑体" w:hint="default"/>
                            <w:sz w:val="20"/>
                            <w:szCs w:val="20"/>
                          </w:rPr>
                        </w:pPr>
                        <w:r>
                          <w:rPr>
                            <w:rFonts w:ascii="黑体" w:hAnsi="黑体" w:cs="黑体" w:eastAsia="黑体" w:hint="default"/>
                            <w:sz w:val="20"/>
                            <w:szCs w:val="20"/>
                          </w:rPr>
                          <w:t>本年增加</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66"/>
                          <w:jc w:val="right"/>
                          <w:rPr>
                            <w:rFonts w:ascii="黑体" w:hAnsi="黑体" w:cs="黑体" w:eastAsia="黑体" w:hint="default"/>
                            <w:sz w:val="20"/>
                            <w:szCs w:val="20"/>
                          </w:rPr>
                        </w:pPr>
                        <w:r>
                          <w:rPr>
                            <w:rFonts w:ascii="黑体" w:hAnsi="黑体" w:cs="黑体" w:eastAsia="黑体" w:hint="default"/>
                            <w:sz w:val="20"/>
                            <w:szCs w:val="20"/>
                          </w:rPr>
                          <w:t>本年减少</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96"/>
                          <w:jc w:val="right"/>
                          <w:rPr>
                            <w:rFonts w:ascii="黑体" w:hAnsi="黑体" w:cs="黑体" w:eastAsia="黑体" w:hint="default"/>
                            <w:sz w:val="20"/>
                            <w:szCs w:val="20"/>
                          </w:rPr>
                        </w:pPr>
                        <w:r>
                          <w:rPr>
                            <w:rFonts w:ascii="黑体" w:hAnsi="黑体" w:cs="黑体" w:eastAsia="黑体" w:hint="default"/>
                            <w:sz w:val="20"/>
                            <w:szCs w:val="20"/>
                          </w:rPr>
                          <w:t>年末数</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47"/>
                          <w:jc w:val="right"/>
                          <w:rPr>
                            <w:rFonts w:ascii="黑体" w:hAnsi="黑体" w:cs="黑体" w:eastAsia="黑体" w:hint="default"/>
                            <w:sz w:val="20"/>
                            <w:szCs w:val="20"/>
                          </w:rPr>
                        </w:pPr>
                        <w:r>
                          <w:rPr>
                            <w:rFonts w:ascii="黑体" w:hAnsi="黑体" w:cs="黑体" w:eastAsia="黑体" w:hint="default"/>
                            <w:sz w:val="20"/>
                            <w:szCs w:val="20"/>
                          </w:rPr>
                          <w:t>减值准备</w:t>
                        </w:r>
                      </w:p>
                    </w:tc>
                  </w:tr>
                  <w:tr>
                    <w:trPr>
                      <w:trHeight w:val="271"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30" w:lineRule="exact"/>
                          <w:ind w:left="36" w:right="0"/>
                          <w:jc w:val="left"/>
                          <w:rPr>
                            <w:rFonts w:ascii="黑体" w:hAnsi="黑体" w:cs="黑体" w:eastAsia="黑体" w:hint="default"/>
                            <w:sz w:val="20"/>
                            <w:szCs w:val="20"/>
                          </w:rPr>
                        </w:pPr>
                        <w:r>
                          <w:rPr>
                            <w:rFonts w:ascii="黑体" w:hAnsi="黑体" w:cs="黑体" w:eastAsia="黑体" w:hint="default"/>
                            <w:sz w:val="20"/>
                            <w:szCs w:val="20"/>
                          </w:rPr>
                          <w:t>特博深</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6"/>
                          <w:jc w:val="right"/>
                          <w:rPr>
                            <w:rFonts w:ascii="Arial" w:hAnsi="Arial" w:cs="Arial" w:eastAsia="Arial" w:hint="default"/>
                            <w:sz w:val="20"/>
                            <w:szCs w:val="20"/>
                          </w:rPr>
                        </w:pPr>
                        <w:r>
                          <w:rPr>
                            <w:rFonts w:ascii="Arial"/>
                            <w:w w:val="100"/>
                            <w:sz w:val="20"/>
                          </w:rPr>
                          <w:t>-</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06"/>
                          <w:jc w:val="right"/>
                          <w:rPr>
                            <w:rFonts w:ascii="Arial" w:hAnsi="Arial" w:cs="Arial" w:eastAsia="Arial" w:hint="default"/>
                            <w:sz w:val="20"/>
                            <w:szCs w:val="20"/>
                          </w:rPr>
                        </w:pPr>
                        <w:r>
                          <w:rPr>
                            <w:rFonts w:ascii="Arial"/>
                            <w:spacing w:val="-1"/>
                            <w:sz w:val="20"/>
                          </w:rPr>
                          <w:t>38,070,000</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66"/>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96"/>
                          <w:jc w:val="right"/>
                          <w:rPr>
                            <w:rFonts w:ascii="Arial" w:hAnsi="Arial" w:cs="Arial" w:eastAsia="Arial" w:hint="default"/>
                            <w:sz w:val="20"/>
                            <w:szCs w:val="20"/>
                          </w:rPr>
                        </w:pPr>
                        <w:r>
                          <w:rPr>
                            <w:rFonts w:ascii="Arial"/>
                            <w:spacing w:val="-1"/>
                            <w:sz w:val="20"/>
                          </w:rPr>
                          <w:t>38,070,000</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7"/>
                          <w:jc w:val="right"/>
                          <w:rPr>
                            <w:rFonts w:ascii="Arial" w:hAnsi="Arial" w:cs="Arial" w:eastAsia="Arial" w:hint="default"/>
                            <w:sz w:val="20"/>
                            <w:szCs w:val="20"/>
                          </w:rPr>
                        </w:pPr>
                        <w:r>
                          <w:rPr>
                            <w:rFonts w:ascii="Arial"/>
                            <w:w w:val="100"/>
                            <w:sz w:val="20"/>
                          </w:rPr>
                          <w:t>-</w:t>
                        </w:r>
                      </w:p>
                    </w:tc>
                  </w:tr>
                  <w:tr>
                    <w:trPr>
                      <w:trHeight w:val="260"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18" w:lineRule="exact"/>
                          <w:ind w:left="35" w:right="0"/>
                          <w:jc w:val="left"/>
                          <w:rPr>
                            <w:rFonts w:ascii="黑体" w:hAnsi="黑体" w:cs="黑体" w:eastAsia="黑体" w:hint="default"/>
                            <w:sz w:val="20"/>
                            <w:szCs w:val="20"/>
                          </w:rPr>
                        </w:pPr>
                        <w:r>
                          <w:rPr>
                            <w:rFonts w:ascii="黑体" w:hAnsi="黑体" w:cs="黑体" w:eastAsia="黑体" w:hint="default"/>
                            <w:sz w:val="20"/>
                            <w:szCs w:val="20"/>
                          </w:rPr>
                          <w:t>上海天诺坛网</w:t>
                        </w:r>
                      </w:p>
                    </w:tc>
                    <w:tc>
                      <w:tcPr>
                        <w:tcW w:w="1222" w:type="dxa"/>
                        <w:tcBorders>
                          <w:top w:val="nil" w:sz="6" w:space="0" w:color="auto"/>
                          <w:left w:val="nil" w:sz="6" w:space="0" w:color="auto"/>
                          <w:bottom w:val="nil" w:sz="6" w:space="0" w:color="auto"/>
                          <w:right w:val="nil" w:sz="6" w:space="0" w:color="auto"/>
                        </w:tcBorders>
                      </w:tcPr>
                      <w:p>
                        <w:pPr>
                          <w:pStyle w:val="TableParagraph"/>
                          <w:spacing w:line="229" w:lineRule="exact"/>
                          <w:ind w:right="176"/>
                          <w:jc w:val="right"/>
                          <w:rPr>
                            <w:rFonts w:ascii="Arial" w:hAnsi="Arial" w:cs="Arial" w:eastAsia="Arial" w:hint="default"/>
                            <w:sz w:val="20"/>
                            <w:szCs w:val="20"/>
                          </w:rPr>
                        </w:pPr>
                        <w:r>
                          <w:rPr>
                            <w:rFonts w:ascii="Arial"/>
                            <w:w w:val="100"/>
                            <w:sz w:val="20"/>
                          </w:rPr>
                          <w:t>-</w:t>
                        </w:r>
                      </w:p>
                    </w:tc>
                    <w:tc>
                      <w:tcPr>
                        <w:tcW w:w="1451" w:type="dxa"/>
                        <w:tcBorders>
                          <w:top w:val="nil" w:sz="6" w:space="0" w:color="auto"/>
                          <w:left w:val="nil" w:sz="6" w:space="0" w:color="auto"/>
                          <w:bottom w:val="nil" w:sz="6" w:space="0" w:color="auto"/>
                          <w:right w:val="nil" w:sz="6" w:space="0" w:color="auto"/>
                        </w:tcBorders>
                      </w:tcPr>
                      <w:p>
                        <w:pPr>
                          <w:pStyle w:val="TableParagraph"/>
                          <w:spacing w:line="229" w:lineRule="exact"/>
                          <w:ind w:right="206"/>
                          <w:jc w:val="right"/>
                          <w:rPr>
                            <w:rFonts w:ascii="Arial" w:hAnsi="Arial" w:cs="Arial" w:eastAsia="Arial" w:hint="default"/>
                            <w:sz w:val="20"/>
                            <w:szCs w:val="20"/>
                          </w:rPr>
                        </w:pPr>
                        <w:r>
                          <w:rPr>
                            <w:rFonts w:ascii="Arial"/>
                            <w:spacing w:val="-1"/>
                            <w:sz w:val="20"/>
                          </w:rPr>
                          <w:t>12,659,937</w:t>
                        </w:r>
                      </w:p>
                    </w:tc>
                    <w:tc>
                      <w:tcPr>
                        <w:tcW w:w="1242" w:type="dxa"/>
                        <w:tcBorders>
                          <w:top w:val="nil" w:sz="6" w:space="0" w:color="auto"/>
                          <w:left w:val="nil" w:sz="6" w:space="0" w:color="auto"/>
                          <w:bottom w:val="nil" w:sz="6" w:space="0" w:color="auto"/>
                          <w:right w:val="nil" w:sz="6" w:space="0" w:color="auto"/>
                        </w:tcBorders>
                      </w:tcPr>
                      <w:p>
                        <w:pPr>
                          <w:pStyle w:val="TableParagraph"/>
                          <w:spacing w:line="229" w:lineRule="exact"/>
                          <w:ind w:right="168"/>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96"/>
                          <w:jc w:val="right"/>
                          <w:rPr>
                            <w:rFonts w:ascii="Arial" w:hAnsi="Arial" w:cs="Arial" w:eastAsia="Arial" w:hint="default"/>
                            <w:sz w:val="20"/>
                            <w:szCs w:val="20"/>
                          </w:rPr>
                        </w:pPr>
                        <w:r>
                          <w:rPr>
                            <w:rFonts w:ascii="Arial"/>
                            <w:spacing w:val="-1"/>
                            <w:sz w:val="20"/>
                          </w:rPr>
                          <w:t>12,659,937</w:t>
                        </w:r>
                      </w:p>
                    </w:tc>
                    <w:tc>
                      <w:tcPr>
                        <w:tcW w:w="1125" w:type="dxa"/>
                        <w:tcBorders>
                          <w:top w:val="nil" w:sz="6" w:space="0" w:color="auto"/>
                          <w:left w:val="nil" w:sz="6" w:space="0" w:color="auto"/>
                          <w:bottom w:val="nil" w:sz="6" w:space="0" w:color="auto"/>
                          <w:right w:val="nil" w:sz="6" w:space="0" w:color="auto"/>
                        </w:tcBorders>
                      </w:tcPr>
                      <w:p>
                        <w:pPr>
                          <w:pStyle w:val="TableParagraph"/>
                          <w:spacing w:line="229" w:lineRule="exact"/>
                          <w:ind w:right="48"/>
                          <w:jc w:val="right"/>
                          <w:rPr>
                            <w:rFonts w:ascii="Arial" w:hAnsi="Arial" w:cs="Arial" w:eastAsia="Arial" w:hint="default"/>
                            <w:sz w:val="20"/>
                            <w:szCs w:val="20"/>
                          </w:rPr>
                        </w:pPr>
                        <w:r>
                          <w:rPr>
                            <w:rFonts w:ascii="Arial"/>
                            <w:w w:val="100"/>
                            <w:sz w:val="20"/>
                          </w:rPr>
                          <w:t>-</w:t>
                        </w:r>
                      </w:p>
                    </w:tc>
                  </w:tr>
                  <w:tr>
                    <w:trPr>
                      <w:trHeight w:val="260"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18" w:lineRule="exact"/>
                          <w:ind w:left="35" w:right="0"/>
                          <w:jc w:val="left"/>
                          <w:rPr>
                            <w:rFonts w:ascii="黑体" w:hAnsi="黑体" w:cs="黑体" w:eastAsia="黑体" w:hint="default"/>
                            <w:sz w:val="20"/>
                            <w:szCs w:val="20"/>
                          </w:rPr>
                        </w:pPr>
                        <w:r>
                          <w:rPr>
                            <w:rFonts w:ascii="黑体" w:hAnsi="黑体" w:cs="黑体" w:eastAsia="黑体" w:hint="default"/>
                            <w:sz w:val="20"/>
                            <w:szCs w:val="20"/>
                          </w:rPr>
                          <w:t>上海伟库</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ind w:right="177"/>
                          <w:jc w:val="right"/>
                          <w:rPr>
                            <w:rFonts w:ascii="Arial" w:hAnsi="Arial" w:cs="Arial" w:eastAsia="Arial" w:hint="default"/>
                            <w:sz w:val="20"/>
                            <w:szCs w:val="20"/>
                          </w:rPr>
                        </w:pPr>
                        <w:r>
                          <w:rPr>
                            <w:rFonts w:ascii="Arial"/>
                            <w:spacing w:val="-1"/>
                            <w:sz w:val="20"/>
                          </w:rPr>
                          <w:t>6,300,755</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ind w:right="207"/>
                          <w:jc w:val="right"/>
                          <w:rPr>
                            <w:rFonts w:ascii="Arial" w:hAnsi="Arial" w:cs="Arial" w:eastAsia="Arial" w:hint="default"/>
                            <w:sz w:val="20"/>
                            <w:szCs w:val="20"/>
                          </w:rPr>
                        </w:pPr>
                        <w:r>
                          <w:rPr>
                            <w:rFonts w:ascii="Arial"/>
                            <w:w w:val="100"/>
                            <w:sz w:val="20"/>
                          </w:rPr>
                          <w:t>-</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ind w:right="167"/>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96"/>
                          <w:jc w:val="right"/>
                          <w:rPr>
                            <w:rFonts w:ascii="Arial" w:hAnsi="Arial" w:cs="Arial" w:eastAsia="Arial" w:hint="default"/>
                            <w:sz w:val="20"/>
                            <w:szCs w:val="20"/>
                          </w:rPr>
                        </w:pPr>
                        <w:r>
                          <w:rPr>
                            <w:rFonts w:ascii="Arial"/>
                            <w:spacing w:val="-1"/>
                            <w:sz w:val="20"/>
                          </w:rPr>
                          <w:t>6,300,755</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9"/>
                          <w:jc w:val="right"/>
                          <w:rPr>
                            <w:rFonts w:ascii="Arial" w:hAnsi="Arial" w:cs="Arial" w:eastAsia="Arial" w:hint="default"/>
                            <w:sz w:val="20"/>
                            <w:szCs w:val="20"/>
                          </w:rPr>
                        </w:pPr>
                        <w:r>
                          <w:rPr>
                            <w:rFonts w:ascii="Arial"/>
                            <w:spacing w:val="-1"/>
                            <w:sz w:val="20"/>
                          </w:rPr>
                          <w:t>6,300,755</w:t>
                        </w:r>
                      </w:p>
                    </w:tc>
                  </w:tr>
                  <w:tr>
                    <w:trPr>
                      <w:trHeight w:val="259"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18"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用友华表</w:t>
                        </w:r>
                      </w:p>
                    </w:tc>
                    <w:tc>
                      <w:tcPr>
                        <w:tcW w:w="1222" w:type="dxa"/>
                        <w:tcBorders>
                          <w:top w:val="nil" w:sz="6" w:space="0" w:color="auto"/>
                          <w:left w:val="nil" w:sz="6" w:space="0" w:color="auto"/>
                          <w:bottom w:val="nil" w:sz="6" w:space="0" w:color="auto"/>
                          <w:right w:val="nil" w:sz="6" w:space="0" w:color="auto"/>
                        </w:tcBorders>
                      </w:tcPr>
                      <w:p>
                        <w:pPr>
                          <w:pStyle w:val="TableParagraph"/>
                          <w:spacing w:line="230" w:lineRule="exact"/>
                          <w:ind w:right="176"/>
                          <w:jc w:val="right"/>
                          <w:rPr>
                            <w:rFonts w:ascii="Arial" w:hAnsi="Arial" w:cs="Arial" w:eastAsia="Arial" w:hint="default"/>
                            <w:sz w:val="20"/>
                            <w:szCs w:val="20"/>
                          </w:rPr>
                        </w:pPr>
                        <w:r>
                          <w:rPr>
                            <w:rFonts w:ascii="Arial"/>
                            <w:spacing w:val="-1"/>
                            <w:sz w:val="20"/>
                          </w:rPr>
                          <w:t>1,155,000</w:t>
                        </w:r>
                      </w:p>
                    </w:tc>
                    <w:tc>
                      <w:tcPr>
                        <w:tcW w:w="1451" w:type="dxa"/>
                        <w:tcBorders>
                          <w:top w:val="nil" w:sz="6" w:space="0" w:color="auto"/>
                          <w:left w:val="nil" w:sz="6" w:space="0" w:color="auto"/>
                          <w:bottom w:val="nil" w:sz="6" w:space="0" w:color="auto"/>
                          <w:right w:val="nil" w:sz="6" w:space="0" w:color="auto"/>
                        </w:tcBorders>
                      </w:tcPr>
                      <w:p>
                        <w:pPr>
                          <w:pStyle w:val="TableParagraph"/>
                          <w:spacing w:line="230" w:lineRule="exact"/>
                          <w:ind w:right="207"/>
                          <w:jc w:val="right"/>
                          <w:rPr>
                            <w:rFonts w:ascii="Arial" w:hAnsi="Arial" w:cs="Arial" w:eastAsia="Arial" w:hint="default"/>
                            <w:sz w:val="20"/>
                            <w:szCs w:val="20"/>
                          </w:rPr>
                        </w:pPr>
                        <w:r>
                          <w:rPr>
                            <w:rFonts w:ascii="Arial"/>
                            <w:w w:val="100"/>
                            <w:sz w:val="20"/>
                          </w:rPr>
                          <w:t>-</w:t>
                        </w:r>
                      </w:p>
                    </w:tc>
                    <w:tc>
                      <w:tcPr>
                        <w:tcW w:w="1242" w:type="dxa"/>
                        <w:tcBorders>
                          <w:top w:val="nil" w:sz="6" w:space="0" w:color="auto"/>
                          <w:left w:val="nil" w:sz="6" w:space="0" w:color="auto"/>
                          <w:bottom w:val="nil" w:sz="6" w:space="0" w:color="auto"/>
                          <w:right w:val="nil" w:sz="6" w:space="0" w:color="auto"/>
                        </w:tcBorders>
                      </w:tcPr>
                      <w:p>
                        <w:pPr>
                          <w:pStyle w:val="TableParagraph"/>
                          <w:spacing w:line="230" w:lineRule="exact"/>
                          <w:ind w:right="167"/>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30" w:lineRule="exact"/>
                          <w:ind w:right="196"/>
                          <w:jc w:val="right"/>
                          <w:rPr>
                            <w:rFonts w:ascii="Arial" w:hAnsi="Arial" w:cs="Arial" w:eastAsia="Arial" w:hint="default"/>
                            <w:sz w:val="20"/>
                            <w:szCs w:val="20"/>
                          </w:rPr>
                        </w:pPr>
                        <w:r>
                          <w:rPr>
                            <w:rFonts w:ascii="Arial"/>
                            <w:spacing w:val="-1"/>
                            <w:sz w:val="20"/>
                          </w:rPr>
                          <w:t>1,155,000</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8"/>
                          <w:jc w:val="right"/>
                          <w:rPr>
                            <w:rFonts w:ascii="Arial" w:hAnsi="Arial" w:cs="Arial" w:eastAsia="Arial" w:hint="default"/>
                            <w:sz w:val="20"/>
                            <w:szCs w:val="20"/>
                          </w:rPr>
                        </w:pPr>
                        <w:r>
                          <w:rPr>
                            <w:rFonts w:ascii="Arial"/>
                            <w:spacing w:val="-1"/>
                            <w:sz w:val="20"/>
                          </w:rPr>
                          <w:t>382,200</w:t>
                        </w:r>
                      </w:p>
                    </w:tc>
                  </w:tr>
                  <w:tr>
                    <w:trPr>
                      <w:trHeight w:val="251"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18"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用友政务</w:t>
                        </w:r>
                      </w:p>
                    </w:tc>
                    <w:tc>
                      <w:tcPr>
                        <w:tcW w:w="1222" w:type="dxa"/>
                        <w:tcBorders>
                          <w:top w:val="nil" w:sz="6" w:space="0" w:color="auto"/>
                          <w:left w:val="nil" w:sz="6" w:space="0" w:color="auto"/>
                          <w:bottom w:val="nil" w:sz="6" w:space="0" w:color="auto"/>
                          <w:right w:val="nil" w:sz="6" w:space="0" w:color="auto"/>
                        </w:tcBorders>
                      </w:tcPr>
                      <w:p>
                        <w:pPr>
                          <w:pStyle w:val="TableParagraph"/>
                          <w:spacing w:line="230" w:lineRule="exact"/>
                          <w:ind w:right="176"/>
                          <w:jc w:val="right"/>
                          <w:rPr>
                            <w:rFonts w:ascii="Arial" w:hAnsi="Arial" w:cs="Arial" w:eastAsia="Arial" w:hint="default"/>
                            <w:sz w:val="20"/>
                            <w:szCs w:val="20"/>
                          </w:rPr>
                        </w:pPr>
                        <w:r>
                          <w:rPr>
                            <w:rFonts w:ascii="Arial"/>
                            <w:spacing w:val="-1"/>
                            <w:sz w:val="20"/>
                          </w:rPr>
                          <w:t>15,073,800</w:t>
                        </w:r>
                      </w:p>
                    </w:tc>
                    <w:tc>
                      <w:tcPr>
                        <w:tcW w:w="1451" w:type="dxa"/>
                        <w:tcBorders>
                          <w:top w:val="nil" w:sz="6" w:space="0" w:color="auto"/>
                          <w:left w:val="nil" w:sz="6" w:space="0" w:color="auto"/>
                          <w:bottom w:val="nil" w:sz="6" w:space="0" w:color="auto"/>
                          <w:right w:val="nil" w:sz="6" w:space="0" w:color="auto"/>
                        </w:tcBorders>
                      </w:tcPr>
                      <w:p>
                        <w:pPr>
                          <w:pStyle w:val="TableParagraph"/>
                          <w:spacing w:line="230" w:lineRule="exact"/>
                          <w:ind w:right="207"/>
                          <w:jc w:val="right"/>
                          <w:rPr>
                            <w:rFonts w:ascii="Arial" w:hAnsi="Arial" w:cs="Arial" w:eastAsia="Arial" w:hint="default"/>
                            <w:sz w:val="20"/>
                            <w:szCs w:val="20"/>
                          </w:rPr>
                        </w:pPr>
                        <w:r>
                          <w:rPr>
                            <w:rFonts w:ascii="Arial"/>
                            <w:w w:val="100"/>
                            <w:sz w:val="20"/>
                          </w:rPr>
                          <w:t>-</w:t>
                        </w:r>
                      </w:p>
                    </w:tc>
                    <w:tc>
                      <w:tcPr>
                        <w:tcW w:w="1242" w:type="dxa"/>
                        <w:tcBorders>
                          <w:top w:val="nil" w:sz="6" w:space="0" w:color="auto"/>
                          <w:left w:val="nil" w:sz="6" w:space="0" w:color="auto"/>
                          <w:bottom w:val="nil" w:sz="6" w:space="0" w:color="auto"/>
                          <w:right w:val="nil" w:sz="6" w:space="0" w:color="auto"/>
                        </w:tcBorders>
                      </w:tcPr>
                      <w:p>
                        <w:pPr>
                          <w:pStyle w:val="TableParagraph"/>
                          <w:spacing w:line="230" w:lineRule="exact"/>
                          <w:ind w:right="167"/>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30" w:lineRule="exact"/>
                          <w:ind w:right="198"/>
                          <w:jc w:val="right"/>
                          <w:rPr>
                            <w:rFonts w:ascii="Arial" w:hAnsi="Arial" w:cs="Arial" w:eastAsia="Arial" w:hint="default"/>
                            <w:sz w:val="20"/>
                            <w:szCs w:val="20"/>
                          </w:rPr>
                        </w:pPr>
                        <w:r>
                          <w:rPr>
                            <w:rFonts w:ascii="Arial"/>
                            <w:spacing w:val="-1"/>
                            <w:sz w:val="20"/>
                          </w:rPr>
                          <w:t>15,073,800</w:t>
                        </w:r>
                      </w:p>
                    </w:tc>
                    <w:tc>
                      <w:tcPr>
                        <w:tcW w:w="1125" w:type="dxa"/>
                        <w:tcBorders>
                          <w:top w:val="nil" w:sz="6" w:space="0" w:color="auto"/>
                          <w:left w:val="nil" w:sz="6" w:space="0" w:color="auto"/>
                          <w:bottom w:val="nil" w:sz="6" w:space="0" w:color="auto"/>
                          <w:right w:val="nil" w:sz="6" w:space="0" w:color="auto"/>
                        </w:tcBorders>
                      </w:tcPr>
                      <w:p>
                        <w:pPr>
                          <w:pStyle w:val="TableParagraph"/>
                          <w:spacing w:line="230" w:lineRule="exact"/>
                          <w:ind w:right="48"/>
                          <w:jc w:val="right"/>
                          <w:rPr>
                            <w:rFonts w:ascii="Arial" w:hAnsi="Arial" w:cs="Arial" w:eastAsia="Arial" w:hint="default"/>
                            <w:sz w:val="20"/>
                            <w:szCs w:val="20"/>
                          </w:rPr>
                        </w:pPr>
                        <w:r>
                          <w:rPr>
                            <w:rFonts w:ascii="Arial"/>
                            <w:w w:val="100"/>
                            <w:sz w:val="20"/>
                          </w:rPr>
                          <w:t>-</w:t>
                        </w:r>
                      </w:p>
                    </w:tc>
                  </w:tr>
                  <w:tr>
                    <w:trPr>
                      <w:trHeight w:val="268"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方正春元</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76"/>
                          <w:jc w:val="right"/>
                          <w:rPr>
                            <w:rFonts w:ascii="Arial" w:hAnsi="Arial" w:cs="Arial" w:eastAsia="Arial" w:hint="default"/>
                            <w:sz w:val="20"/>
                            <w:szCs w:val="20"/>
                          </w:rPr>
                        </w:pPr>
                        <w:r>
                          <w:rPr>
                            <w:rFonts w:ascii="Arial"/>
                            <w:w w:val="100"/>
                            <w:sz w:val="20"/>
                          </w:rPr>
                          <w:t>-</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06"/>
                          <w:jc w:val="right"/>
                          <w:rPr>
                            <w:rFonts w:ascii="Arial" w:hAnsi="Arial" w:cs="Arial" w:eastAsia="Arial" w:hint="default"/>
                            <w:sz w:val="20"/>
                            <w:szCs w:val="20"/>
                          </w:rPr>
                        </w:pPr>
                        <w:r>
                          <w:rPr>
                            <w:rFonts w:ascii="Arial"/>
                            <w:spacing w:val="-1"/>
                            <w:sz w:val="20"/>
                          </w:rPr>
                          <w:t>293,326,074</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67"/>
                          <w:jc w:val="right"/>
                          <w:rPr>
                            <w:rFonts w:ascii="Arial" w:hAnsi="Arial" w:cs="Arial" w:eastAsia="Arial" w:hint="default"/>
                            <w:sz w:val="20"/>
                            <w:szCs w:val="20"/>
                          </w:rPr>
                        </w:pPr>
                        <w:r>
                          <w:rPr>
                            <w:rFonts w:ascii="Arial"/>
                            <w:w w:val="100"/>
                            <w:sz w:val="20"/>
                          </w:rPr>
                          <w:t>-</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96"/>
                          <w:jc w:val="right"/>
                          <w:rPr>
                            <w:rFonts w:ascii="Arial" w:hAnsi="Arial" w:cs="Arial" w:eastAsia="Arial" w:hint="default"/>
                            <w:sz w:val="20"/>
                            <w:szCs w:val="20"/>
                          </w:rPr>
                        </w:pPr>
                        <w:r>
                          <w:rPr>
                            <w:rFonts w:ascii="Arial"/>
                            <w:spacing w:val="-1"/>
                            <w:sz w:val="20"/>
                          </w:rPr>
                          <w:t>293,326,074</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8"/>
                          <w:jc w:val="right"/>
                          <w:rPr>
                            <w:rFonts w:ascii="Arial" w:hAnsi="Arial" w:cs="Arial" w:eastAsia="Arial" w:hint="default"/>
                            <w:sz w:val="20"/>
                            <w:szCs w:val="20"/>
                          </w:rPr>
                        </w:pPr>
                        <w:r>
                          <w:rPr>
                            <w:rFonts w:ascii="Arial"/>
                            <w:w w:val="100"/>
                            <w:sz w:val="20"/>
                          </w:rPr>
                          <w:t>-</w:t>
                        </w:r>
                      </w:p>
                    </w:tc>
                  </w:tr>
                  <w:tr>
                    <w:trPr>
                      <w:trHeight w:val="253"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18" w:lineRule="exact"/>
                          <w:ind w:left="35"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1222" w:type="dxa"/>
                        <w:tcBorders>
                          <w:top w:val="nil" w:sz="6" w:space="0" w:color="auto"/>
                          <w:left w:val="nil" w:sz="6" w:space="0" w:color="auto"/>
                          <w:bottom w:val="nil" w:sz="6" w:space="0" w:color="auto"/>
                          <w:right w:val="nil" w:sz="6" w:space="0" w:color="auto"/>
                        </w:tcBorders>
                      </w:tcPr>
                      <w:p>
                        <w:pPr>
                          <w:pStyle w:val="TableParagraph"/>
                          <w:spacing w:line="229" w:lineRule="exact"/>
                          <w:ind w:right="17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3"/>
                            <w:sz w:val="20"/>
                            <w:u w:val="single" w:color="000000"/>
                          </w:rPr>
                          <w:t> </w:t>
                        </w:r>
                        <w:r>
                          <w:rPr>
                            <w:rFonts w:ascii="Arial"/>
                            <w:sz w:val="20"/>
                            <w:u w:val="single" w:color="000000"/>
                          </w:rPr>
                          <w:t>1,555,425</w:t>
                        </w:r>
                        <w:r>
                          <w:rPr>
                            <w:rFonts w:ascii="Arial"/>
                            <w:sz w:val="20"/>
                          </w:rPr>
                        </w:r>
                      </w:p>
                    </w:tc>
                    <w:tc>
                      <w:tcPr>
                        <w:tcW w:w="1451"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30" w:lineRule="exact"/>
                          <w:ind w:right="20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242"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30" w:lineRule="exact"/>
                          <w:ind w:right="16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448" w:type="dxa"/>
                        <w:tcBorders>
                          <w:top w:val="nil" w:sz="6" w:space="0" w:color="auto"/>
                          <w:left w:val="nil" w:sz="6" w:space="0" w:color="auto"/>
                          <w:bottom w:val="nil" w:sz="6" w:space="0" w:color="auto"/>
                          <w:right w:val="nil" w:sz="6" w:space="0" w:color="auto"/>
                        </w:tcBorders>
                      </w:tcPr>
                      <w:p>
                        <w:pPr>
                          <w:pStyle w:val="TableParagraph"/>
                          <w:spacing w:line="230" w:lineRule="exact"/>
                          <w:ind w:right="19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1,555,425</w:t>
                        </w:r>
                        <w:r>
                          <w:rPr>
                            <w:rFonts w:ascii="Arial"/>
                            <w:sz w:val="20"/>
                          </w:rPr>
                        </w:r>
                      </w:p>
                    </w:tc>
                    <w:tc>
                      <w:tcPr>
                        <w:tcW w:w="1125"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30" w:lineRule="exact"/>
                          <w:ind w:right="4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345" w:hRule="exact"/>
                    </w:trPr>
                    <w:tc>
                      <w:tcPr>
                        <w:tcW w:w="1441" w:type="dxa"/>
                        <w:tcBorders>
                          <w:top w:val="nil" w:sz="6" w:space="0" w:color="auto"/>
                          <w:left w:val="nil" w:sz="6" w:space="0" w:color="auto"/>
                          <w:bottom w:val="nil" w:sz="6" w:space="0" w:color="auto"/>
                          <w:right w:val="nil" w:sz="6" w:space="0" w:color="auto"/>
                        </w:tcBorders>
                      </w:tcPr>
                      <w:p>
                        <w:pP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77"/>
                          <w:jc w:val="right"/>
                          <w:rPr>
                            <w:rFonts w:ascii="Arial" w:hAnsi="Arial" w:cs="Arial" w:eastAsia="Arial" w:hint="default"/>
                            <w:sz w:val="20"/>
                            <w:szCs w:val="20"/>
                          </w:rPr>
                        </w:pPr>
                        <w:r>
                          <w:rPr>
                            <w:rFonts w:ascii="Arial"/>
                            <w:w w:val="100"/>
                            <w:sz w:val="20"/>
                          </w:rPr>
                        </w:r>
                        <w:r>
                          <w:rPr>
                            <w:rFonts w:ascii="Arial"/>
                            <w:spacing w:val="-1"/>
                            <w:sz w:val="20"/>
                            <w:u w:val="thick" w:color="000000"/>
                          </w:rPr>
                          <w:t>24,084,980</w:t>
                        </w:r>
                        <w:r>
                          <w:rPr>
                            <w:rFonts w:ascii="Arial"/>
                            <w:spacing w:val="-1"/>
                            <w:sz w:val="20"/>
                          </w:rPr>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05"/>
                          <w:jc w:val="right"/>
                          <w:rPr>
                            <w:rFonts w:ascii="Arial" w:hAnsi="Arial" w:cs="Arial" w:eastAsia="Arial" w:hint="default"/>
                            <w:sz w:val="20"/>
                            <w:szCs w:val="20"/>
                          </w:rPr>
                        </w:pPr>
                        <w:r>
                          <w:rPr>
                            <w:rFonts w:ascii="Arial"/>
                            <w:w w:val="100"/>
                            <w:sz w:val="20"/>
                          </w:rPr>
                        </w:r>
                        <w:r>
                          <w:rPr>
                            <w:rFonts w:ascii="Arial"/>
                            <w:spacing w:val="-1"/>
                            <w:sz w:val="20"/>
                            <w:u w:val="double" w:color="000000"/>
                          </w:rPr>
                          <w:t>344,056,011</w:t>
                        </w:r>
                        <w:r>
                          <w:rPr>
                            <w:rFonts w:ascii="Arial"/>
                            <w:spacing w:val="-1"/>
                            <w:sz w:val="20"/>
                          </w:rPr>
                        </w:r>
                      </w:p>
                    </w:tc>
                    <w:tc>
                      <w:tcPr>
                        <w:tcW w:w="1242"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2"/>
                          <w:ind w:right="166"/>
                          <w:jc w:val="right"/>
                          <w:rPr>
                            <w:rFonts w:ascii="Arial" w:hAnsi="Arial" w:cs="Arial" w:eastAsia="Arial" w:hint="default"/>
                            <w:sz w:val="20"/>
                            <w:szCs w:val="20"/>
                          </w:rPr>
                        </w:pPr>
                        <w:r>
                          <w:rPr>
                            <w:rFonts w:ascii="Arial"/>
                            <w:w w:val="100"/>
                            <w:sz w:val="20"/>
                          </w:rPr>
                        </w:r>
                        <w:r>
                          <w:rPr>
                            <w:rFonts w:ascii="Arial"/>
                            <w:w w:val="100"/>
                            <w:sz w:val="20"/>
                            <w:u w:val="double" w:color="000000"/>
                          </w:rPr>
                          <w:t> </w:t>
                        </w:r>
                        <w:r>
                          <w:rPr>
                            <w:rFonts w:ascii="Arial"/>
                            <w:sz w:val="20"/>
                            <w:u w:val="double" w:color="000000"/>
                          </w:rPr>
                          <w:tab/>
                          <w:t>-</w:t>
                        </w:r>
                        <w:r>
                          <w:rPr>
                            <w:rFonts w:ascii="Arial"/>
                            <w:sz w:val="20"/>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95"/>
                          <w:jc w:val="right"/>
                          <w:rPr>
                            <w:rFonts w:ascii="Arial" w:hAnsi="Arial" w:cs="Arial" w:eastAsia="Arial" w:hint="default"/>
                            <w:sz w:val="20"/>
                            <w:szCs w:val="20"/>
                          </w:rPr>
                        </w:pPr>
                        <w:r>
                          <w:rPr>
                            <w:rFonts w:ascii="Arial"/>
                            <w:w w:val="100"/>
                            <w:sz w:val="20"/>
                          </w:rPr>
                        </w:r>
                        <w:r>
                          <w:rPr>
                            <w:rFonts w:ascii="Arial"/>
                            <w:spacing w:val="-1"/>
                            <w:sz w:val="20"/>
                            <w:u w:val="double" w:color="000000"/>
                          </w:rPr>
                          <w:t>368,140,991</w:t>
                        </w:r>
                        <w:r>
                          <w:rPr>
                            <w:rFonts w:ascii="Arial"/>
                            <w:spacing w:val="-1"/>
                            <w:sz w:val="20"/>
                          </w:rPr>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47"/>
                          <w:jc w:val="right"/>
                          <w:rPr>
                            <w:rFonts w:ascii="Arial" w:hAnsi="Arial" w:cs="Arial" w:eastAsia="Arial" w:hint="default"/>
                            <w:sz w:val="20"/>
                            <w:szCs w:val="20"/>
                          </w:rPr>
                        </w:pPr>
                        <w:r>
                          <w:rPr>
                            <w:rFonts w:ascii="Arial"/>
                            <w:w w:val="100"/>
                            <w:sz w:val="20"/>
                          </w:rPr>
                        </w:r>
                        <w:r>
                          <w:rPr>
                            <w:rFonts w:ascii="Arial"/>
                            <w:spacing w:val="-1"/>
                            <w:sz w:val="20"/>
                            <w:u w:val="thick" w:color="000000"/>
                          </w:rPr>
                          <w:t>6,682,955</w:t>
                        </w:r>
                        <w:r>
                          <w:rPr>
                            <w:rFonts w:ascii="Arial"/>
                            <w:spacing w:val="-1"/>
                            <w:sz w:val="20"/>
                          </w:rPr>
                        </w:r>
                      </w:p>
                    </w:tc>
                  </w:tr>
                </w:tbl>
                <w:p>
                  <w:pPr/>
                </w:p>
              </w:txbxContent>
            </v:textbox>
            <w10:wrap type="none"/>
          </v:shape>
        </w:pict>
      </w:r>
      <w:r>
        <w:rPr/>
        <w:t>技术有限公司</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16"/>
          <w:szCs w:val="16"/>
        </w:rPr>
      </w:pPr>
    </w:p>
    <w:p>
      <w:pPr>
        <w:pStyle w:val="BodyText"/>
        <w:spacing w:line="240" w:lineRule="auto" w:before="38"/>
        <w:ind w:left="810" w:right="114"/>
        <w:jc w:val="left"/>
      </w:pPr>
      <w:r>
        <w:rPr/>
        <w:t>广州安易及</w:t>
      </w:r>
    </w:p>
    <w:p>
      <w:pPr>
        <w:spacing w:after="0" w:line="240" w:lineRule="auto"/>
        <w:jc w:val="left"/>
        <w:sectPr>
          <w:pgSz w:w="11910" w:h="16840"/>
          <w:pgMar w:header="958" w:footer="462" w:top="2540" w:bottom="660" w:left="1600" w:right="1480"/>
        </w:sectPr>
      </w:pPr>
    </w:p>
    <w:p>
      <w:pPr>
        <w:spacing w:line="240" w:lineRule="auto" w:before="0"/>
        <w:rPr>
          <w:rFonts w:ascii="黑体" w:hAnsi="黑体" w:cs="黑体" w:eastAsia="黑体" w:hint="default"/>
          <w:sz w:val="20"/>
          <w:szCs w:val="20"/>
        </w:rPr>
      </w:pPr>
    </w:p>
    <w:p>
      <w:pPr>
        <w:spacing w:line="240" w:lineRule="auto" w:before="13"/>
        <w:rPr>
          <w:rFonts w:ascii="黑体" w:hAnsi="黑体" w:cs="黑体" w:eastAsia="黑体" w:hint="default"/>
          <w:sz w:val="19"/>
          <w:szCs w:val="19"/>
        </w:rPr>
      </w:pPr>
    </w:p>
    <w:p>
      <w:pPr>
        <w:tabs>
          <w:tab w:pos="803"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8"/>
        <w:rPr>
          <w:rFonts w:ascii="黑体" w:hAnsi="黑体" w:cs="黑体" w:eastAsia="黑体" w:hint="default"/>
          <w:b/>
          <w:bCs/>
          <w:sz w:val="15"/>
          <w:szCs w:val="15"/>
        </w:rPr>
      </w:pPr>
    </w:p>
    <w:p>
      <w:pPr>
        <w:tabs>
          <w:tab w:pos="790" w:val="left" w:leader="none"/>
        </w:tabs>
        <w:spacing w:before="0"/>
        <w:ind w:left="101" w:right="114" w:firstLine="0"/>
        <w:jc w:val="left"/>
        <w:rPr>
          <w:rFonts w:ascii="黑体" w:hAnsi="黑体" w:cs="黑体" w:eastAsia="黑体" w:hint="default"/>
          <w:sz w:val="20"/>
          <w:szCs w:val="20"/>
        </w:rPr>
      </w:pPr>
      <w:r>
        <w:rPr>
          <w:rFonts w:ascii="Arial" w:hAnsi="Arial" w:cs="Arial" w:eastAsia="Arial" w:hint="default"/>
          <w:b/>
          <w:bCs/>
          <w:spacing w:val="-1"/>
          <w:sz w:val="20"/>
          <w:szCs w:val="20"/>
        </w:rPr>
        <w:t>15.</w:t>
        <w:tab/>
      </w:r>
      <w:r>
        <w:rPr>
          <w:rFonts w:ascii="黑体" w:hAnsi="黑体" w:cs="黑体" w:eastAsia="黑体" w:hint="default"/>
          <w:b/>
          <w:bCs/>
          <w:sz w:val="20"/>
          <w:szCs w:val="20"/>
        </w:rPr>
        <w:t>商誉（续）</w:t>
      </w:r>
      <w:r>
        <w:rPr>
          <w:rFonts w:ascii="黑体" w:hAnsi="黑体" w:cs="黑体" w:eastAsia="黑体" w:hint="default"/>
          <w:sz w:val="20"/>
          <w:szCs w:val="20"/>
        </w:rPr>
      </w:r>
    </w:p>
    <w:p>
      <w:pPr>
        <w:spacing w:line="240" w:lineRule="auto" w:before="0"/>
        <w:rPr>
          <w:rFonts w:ascii="黑体" w:hAnsi="黑体" w:cs="黑体" w:eastAsia="黑体" w:hint="default"/>
          <w:b/>
          <w:bCs/>
          <w:sz w:val="18"/>
          <w:szCs w:val="18"/>
        </w:rPr>
      </w:pPr>
    </w:p>
    <w:p>
      <w:pPr>
        <w:pStyle w:val="BodyText"/>
        <w:spacing w:line="260" w:lineRule="exact"/>
        <w:ind w:left="1377" w:right="214" w:hanging="567"/>
        <w:jc w:val="both"/>
      </w:pPr>
      <w:r>
        <w:rPr/>
        <w:t>注</w:t>
      </w:r>
      <w:r>
        <w:rPr>
          <w:rFonts w:ascii="Arial" w:hAnsi="Arial" w:cs="Arial" w:eastAsia="Arial" w:hint="default"/>
        </w:rPr>
        <w:t>1</w:t>
      </w:r>
      <w:r>
        <w:rPr/>
        <w:t>．</w:t>
      </w:r>
      <w:r>
        <w:rPr>
          <w:spacing w:val="-21"/>
        </w:rPr>
        <w:t> </w:t>
      </w:r>
      <w:r>
        <w:rPr/>
        <w:t>商誉的增加主要为本公司于本年内收购用友审计股权，收购重庆迈特、上海恒聚哈</w:t>
      </w:r>
      <w:r>
        <w:rPr>
          <w:w w:val="100"/>
        </w:rPr>
        <w:t> </w:t>
      </w:r>
      <w:r>
        <w:rPr/>
        <w:t>久、时空超越、广州尚南、广州安易及江门安易、用友医院等公司资产及业务，因</w:t>
      </w:r>
      <w:r>
        <w:rPr>
          <w:w w:val="100"/>
        </w:rPr>
        <w:t> </w:t>
      </w:r>
      <w:r>
        <w:rPr/>
        <w:t>收购对价高于所收购股权或资产公允价值所致。详情参见附注四、</w:t>
      </w:r>
      <w:r>
        <w:rPr>
          <w:rFonts w:ascii="Arial" w:hAnsi="Arial" w:cs="Arial" w:eastAsia="Arial" w:hint="default"/>
        </w:rPr>
        <w:t>4</w:t>
      </w:r>
      <w:r>
        <w:rPr/>
        <w:t>。</w:t>
      </w:r>
    </w:p>
    <w:p>
      <w:pPr>
        <w:spacing w:line="240" w:lineRule="auto" w:before="2"/>
        <w:rPr>
          <w:rFonts w:ascii="黑体" w:hAnsi="黑体" w:cs="黑体" w:eastAsia="黑体" w:hint="default"/>
          <w:sz w:val="20"/>
          <w:szCs w:val="20"/>
        </w:rPr>
      </w:pPr>
    </w:p>
    <w:p>
      <w:pPr>
        <w:pStyle w:val="BodyText"/>
        <w:spacing w:line="225" w:lineRule="auto"/>
        <w:ind w:left="1377" w:right="211" w:hanging="568"/>
        <w:jc w:val="both"/>
      </w:pPr>
      <w:r>
        <w:rPr/>
        <w:t>注</w:t>
      </w:r>
      <w:r>
        <w:rPr>
          <w:rFonts w:ascii="Arial" w:hAnsi="Arial" w:cs="Arial" w:eastAsia="Arial" w:hint="default"/>
        </w:rPr>
        <w:t>2</w:t>
      </w:r>
      <w:r>
        <w:rPr/>
        <w:t>． </w:t>
      </w:r>
      <w:r>
        <w:rPr>
          <w:spacing w:val="-3"/>
        </w:rPr>
        <w:t>于</w:t>
      </w:r>
      <w:r>
        <w:rPr>
          <w:rFonts w:ascii="Arial" w:hAnsi="Arial" w:cs="Arial" w:eastAsia="Arial" w:hint="default"/>
          <w:spacing w:val="-3"/>
        </w:rPr>
        <w:t>2009</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日，商誉减值准备主要为本公司对用友华表的长期股权投资产生的</w:t>
      </w:r>
      <w:r>
        <w:rPr>
          <w:spacing w:val="-95"/>
        </w:rPr>
        <w:t> </w:t>
      </w:r>
      <w:r>
        <w:rPr>
          <w:spacing w:val="-95"/>
        </w:rPr>
      </w:r>
      <w:r>
        <w:rPr>
          <w:spacing w:val="-1"/>
        </w:rPr>
        <w:t>商誉所计提的减值准备。商誉减值准备本年减少主要为上海伟库于</w:t>
      </w:r>
      <w:r>
        <w:rPr>
          <w:rFonts w:ascii="Arial" w:hAnsi="Arial" w:cs="Arial" w:eastAsia="Arial" w:hint="default"/>
          <w:spacing w:val="-1"/>
        </w:rPr>
        <w:t>2009</w:t>
      </w:r>
      <w:r>
        <w:rPr>
          <w:spacing w:val="-1"/>
        </w:rPr>
        <w:t>年完成工商</w:t>
      </w:r>
      <w:r>
        <w:rPr>
          <w:w w:val="100"/>
        </w:rPr>
        <w:t> </w:t>
      </w:r>
      <w:r>
        <w:rPr/>
        <w:t>注销登记手续，本公司于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日对上海伟库的商誉减值准备于</w:t>
      </w:r>
      <w:r>
        <w:rPr>
          <w:rFonts w:ascii="Arial" w:hAnsi="Arial" w:cs="Arial" w:eastAsia="Arial" w:hint="default"/>
        </w:rPr>
        <w:t>2009</w:t>
      </w:r>
      <w:r>
        <w:rPr/>
        <w:t>年转</w:t>
      </w:r>
      <w:r>
        <w:rPr>
          <w:spacing w:val="2"/>
          <w:w w:val="100"/>
        </w:rPr>
        <w:t> </w:t>
      </w:r>
      <w:r>
        <w:rPr/>
        <w:t>销。</w:t>
      </w:r>
    </w:p>
    <w:p>
      <w:pPr>
        <w:spacing w:line="240" w:lineRule="auto" w:before="5"/>
        <w:rPr>
          <w:rFonts w:ascii="黑体" w:hAnsi="黑体" w:cs="黑体" w:eastAsia="黑体" w:hint="default"/>
          <w:sz w:val="24"/>
          <w:szCs w:val="24"/>
        </w:rPr>
      </w:pPr>
    </w:p>
    <w:p>
      <w:pPr>
        <w:pStyle w:val="BodyText"/>
        <w:spacing w:line="240" w:lineRule="auto"/>
        <w:ind w:right="114"/>
        <w:jc w:val="left"/>
      </w:pPr>
      <w:r>
        <w:rPr/>
        <w:t>商誉的减值测试</w:t>
      </w:r>
    </w:p>
    <w:p>
      <w:pPr>
        <w:spacing w:line="240" w:lineRule="auto" w:before="6"/>
        <w:rPr>
          <w:rFonts w:ascii="黑体" w:hAnsi="黑体" w:cs="黑体" w:eastAsia="黑体" w:hint="default"/>
          <w:sz w:val="20"/>
          <w:szCs w:val="20"/>
        </w:rPr>
      </w:pPr>
    </w:p>
    <w:p>
      <w:pPr>
        <w:pStyle w:val="BodyText"/>
        <w:spacing w:line="276" w:lineRule="auto"/>
        <w:ind w:right="215"/>
        <w:jc w:val="both"/>
      </w:pPr>
      <w:r>
        <w:rPr>
          <w:spacing w:val="-1"/>
        </w:rPr>
        <w:t>企业合并取得的商誉主要为收购本公司之子公司用友政务、方正春元及用友审计所产生的</w:t>
      </w:r>
      <w:r>
        <w:rPr>
          <w:spacing w:val="-80"/>
        </w:rPr>
        <w:t> </w:t>
      </w:r>
      <w:r>
        <w:rPr>
          <w:spacing w:val="-80"/>
        </w:rPr>
      </w:r>
      <w:r>
        <w:rPr>
          <w:spacing w:val="-1"/>
        </w:rPr>
        <w:t>商誉。收购资产及业务取得的商誉主要为收购特博深、上海天诺坛网、重庆迈特、上海恒</w:t>
      </w:r>
      <w:r>
        <w:rPr>
          <w:spacing w:val="-80"/>
        </w:rPr>
        <w:t> </w:t>
      </w:r>
      <w:r>
        <w:rPr>
          <w:spacing w:val="-80"/>
        </w:rPr>
      </w:r>
      <w:r>
        <w:rPr>
          <w:spacing w:val="-1"/>
        </w:rPr>
        <w:t>聚哈久、时空超越、广州尚南、广州安易及江门安易、用友医院等公司的资产及业务所产</w:t>
      </w:r>
      <w:r>
        <w:rPr>
          <w:spacing w:val="-80"/>
        </w:rPr>
        <w:t> </w:t>
      </w:r>
      <w:r>
        <w:rPr>
          <w:spacing w:val="-80"/>
        </w:rPr>
      </w:r>
      <w:r>
        <w:rPr/>
        <w:t>生的商誉。</w:t>
      </w:r>
    </w:p>
    <w:p>
      <w:pPr>
        <w:pStyle w:val="BodyText"/>
        <w:spacing w:line="530" w:lineRule="exact" w:before="48"/>
        <w:ind w:left="816" w:right="114" w:hanging="1"/>
        <w:jc w:val="left"/>
      </w:pPr>
      <w:r>
        <w:rPr/>
        <w:t>本公司于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日对上述商誉执行了减值测试。</w:t>
      </w:r>
      <w:r>
        <w:rPr>
          <w:w w:val="100"/>
        </w:rPr>
        <w:t> </w:t>
      </w:r>
      <w:r>
        <w:rPr>
          <w:spacing w:val="-1"/>
        </w:rPr>
        <w:t>本公司对商誉相关资产组的可收回金额采用预计未来现金流量的现值，根据管理层批准的</w:t>
      </w:r>
    </w:p>
    <w:p>
      <w:pPr>
        <w:pStyle w:val="BodyText"/>
        <w:spacing w:line="236" w:lineRule="exact"/>
        <w:ind w:left="816" w:right="114"/>
        <w:jc w:val="left"/>
      </w:pPr>
      <w:r>
        <w:rPr>
          <w:rFonts w:ascii="Arial" w:hAnsi="Arial" w:cs="Arial" w:eastAsia="Arial" w:hint="default"/>
        </w:rPr>
        <w:t>5</w:t>
      </w:r>
      <w:r>
        <w:rPr/>
        <w:t>年期的财务预算基础上的现金流量预测来确定。现金流量预测所用的折现率是五年期国</w:t>
      </w:r>
    </w:p>
    <w:p>
      <w:pPr>
        <w:pStyle w:val="BodyText"/>
        <w:spacing w:line="268" w:lineRule="auto" w:before="24"/>
        <w:ind w:left="816" w:right="114"/>
        <w:jc w:val="left"/>
      </w:pPr>
      <w:r>
        <w:rPr>
          <w:spacing w:val="-3"/>
        </w:rPr>
        <w:t>债利率</w:t>
      </w:r>
      <w:r>
        <w:rPr>
          <w:rFonts w:ascii="Arial" w:hAnsi="Arial" w:cs="Arial" w:eastAsia="Arial" w:hint="default"/>
          <w:spacing w:val="-3"/>
        </w:rPr>
        <w:t>2.97%</w:t>
      </w:r>
      <w:r>
        <w:rPr>
          <w:spacing w:val="-3"/>
        </w:rPr>
        <w:t>加入</w:t>
      </w:r>
      <w:r>
        <w:rPr>
          <w:rFonts w:ascii="Arial" w:hAnsi="Arial" w:cs="Arial" w:eastAsia="Arial" w:hint="default"/>
          <w:spacing w:val="-3"/>
        </w:rPr>
        <w:t>CPI</w:t>
      </w:r>
      <w:r>
        <w:rPr>
          <w:spacing w:val="-3"/>
        </w:rPr>
        <w:t>增长率</w:t>
      </w:r>
      <w:r>
        <w:rPr>
          <w:rFonts w:ascii="Arial" w:hAnsi="Arial" w:cs="Arial" w:eastAsia="Arial" w:hint="default"/>
          <w:spacing w:val="-3"/>
        </w:rPr>
        <w:t>1.9%</w:t>
      </w:r>
      <w:r>
        <w:rPr>
          <w:spacing w:val="-3"/>
        </w:rPr>
        <w:t>的折现率</w:t>
      </w:r>
      <w:r>
        <w:rPr>
          <w:rFonts w:ascii="Arial" w:hAnsi="Arial" w:cs="Arial" w:eastAsia="Arial" w:hint="default"/>
          <w:spacing w:val="-3"/>
        </w:rPr>
        <w:t>4.87%(2008</w:t>
      </w:r>
      <w:r>
        <w:rPr>
          <w:spacing w:val="-3"/>
        </w:rPr>
        <w:t>年：</w:t>
      </w:r>
      <w:r>
        <w:rPr>
          <w:rFonts w:ascii="Arial" w:hAnsi="Arial" w:cs="Arial" w:eastAsia="Arial" w:hint="default"/>
          <w:spacing w:val="-3"/>
        </w:rPr>
        <w:t>11.43%</w:t>
      </w:r>
      <w:r>
        <w:rPr>
          <w:spacing w:val="-3"/>
        </w:rPr>
        <w:t>，即</w:t>
      </w:r>
      <w:r>
        <w:rPr>
          <w:rFonts w:ascii="Arial" w:hAnsi="Arial" w:cs="Arial" w:eastAsia="Arial" w:hint="default"/>
          <w:spacing w:val="-3"/>
        </w:rPr>
        <w:t>5.53%</w:t>
      </w:r>
      <w:r>
        <w:rPr>
          <w:spacing w:val="-3"/>
        </w:rPr>
        <w:t>加上</w:t>
      </w:r>
      <w:r>
        <w:rPr>
          <w:rFonts w:ascii="Arial" w:hAnsi="Arial" w:cs="Arial" w:eastAsia="Arial" w:hint="default"/>
          <w:spacing w:val="-3"/>
        </w:rPr>
        <w:t>5.9%)</w:t>
      </w:r>
      <w:r>
        <w:rPr>
          <w:spacing w:val="-3"/>
        </w:rPr>
        <w:t>。</w:t>
      </w:r>
      <w:r>
        <w:rPr>
          <w:spacing w:val="-57"/>
        </w:rPr>
        <w:t> </w:t>
      </w:r>
      <w:r>
        <w:rPr/>
        <w:t>管理层认为，尽管上述公司或业务所对应的市场需求和客户群体均在稳定增长，但五年以</w:t>
      </w:r>
      <w:r>
        <w:rPr>
          <w:w w:val="100"/>
        </w:rPr>
        <w:t> </w:t>
      </w:r>
      <w:r>
        <w:rPr>
          <w:spacing w:val="3"/>
        </w:rPr>
        <w:t>后增长速度可能会逐渐放缓，由此，管理层保守使用零增长率来推断五年以后现金流量</w:t>
      </w:r>
      <w:r>
        <w:rPr/>
      </w:r>
    </w:p>
    <w:p>
      <w:pPr>
        <w:pStyle w:val="BodyText"/>
        <w:spacing w:line="240" w:lineRule="auto" w:before="14"/>
        <w:ind w:left="816" w:right="114"/>
        <w:jc w:val="left"/>
      </w:pPr>
      <w:r>
        <w:rPr/>
        <w:t>（</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w:t>
      </w:r>
      <w:r>
        <w:rPr>
          <w:rFonts w:ascii="Arial" w:hAnsi="Arial" w:cs="Arial" w:eastAsia="Arial" w:hint="default"/>
        </w:rPr>
        <w:t>4.5%</w:t>
      </w:r>
      <w:r>
        <w:rPr/>
        <w:t>）。</w:t>
      </w:r>
    </w:p>
    <w:p>
      <w:pPr>
        <w:spacing w:line="240" w:lineRule="auto" w:before="4"/>
        <w:rPr>
          <w:rFonts w:ascii="黑体" w:hAnsi="黑体" w:cs="黑体" w:eastAsia="黑体" w:hint="default"/>
          <w:sz w:val="19"/>
          <w:szCs w:val="19"/>
        </w:rPr>
      </w:pPr>
    </w:p>
    <w:p>
      <w:pPr>
        <w:pStyle w:val="BodyText"/>
        <w:spacing w:line="261" w:lineRule="auto"/>
        <w:ind w:left="816" w:right="114" w:hanging="1"/>
        <w:jc w:val="left"/>
      </w:pPr>
      <w:r>
        <w:rPr>
          <w:spacing w:val="-3"/>
          <w:w w:val="100"/>
        </w:rPr>
        <w:t>计算相关资产组于</w:t>
      </w:r>
      <w:r>
        <w:rPr>
          <w:rFonts w:ascii="Arial" w:hAnsi="Arial" w:cs="Arial" w:eastAsia="Arial" w:hint="default"/>
          <w:spacing w:val="-3"/>
          <w:w w:val="100"/>
        </w:rPr>
        <w:t>2009</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日预计未来现金流量现值采用了关键假设。以下详述了管</w:t>
      </w:r>
      <w:r>
        <w:rPr>
          <w:spacing w:val="-95"/>
          <w:w w:val="100"/>
        </w:rPr>
        <w:t> </w:t>
      </w:r>
      <w:r>
        <w:rPr>
          <w:spacing w:val="-95"/>
          <w:w w:val="100"/>
        </w:rPr>
      </w:r>
      <w:r>
        <w:rPr/>
        <w:t>理层为进行商誉的减值测试，在确定现金流量预测时作出的关键假设：</w:t>
      </w:r>
    </w:p>
    <w:p>
      <w:pPr>
        <w:spacing w:line="240" w:lineRule="auto" w:before="2"/>
        <w:rPr>
          <w:rFonts w:ascii="黑体" w:hAnsi="黑体" w:cs="黑体" w:eastAsia="黑体" w:hint="default"/>
          <w:sz w:val="19"/>
          <w:szCs w:val="19"/>
        </w:rPr>
      </w:pPr>
    </w:p>
    <w:p>
      <w:pPr>
        <w:pStyle w:val="BodyText"/>
        <w:spacing w:line="261" w:lineRule="auto"/>
        <w:ind w:left="816" w:right="114"/>
        <w:jc w:val="left"/>
      </w:pPr>
      <w:r>
        <w:rPr/>
        <w:t>收入增长</w:t>
      </w:r>
      <w:r>
        <w:rPr>
          <w:spacing w:val="-26"/>
        </w:rPr>
        <w:t> </w:t>
      </w:r>
      <w:r>
        <w:rPr>
          <w:rFonts w:ascii="Arial" w:hAnsi="Arial" w:cs="Arial" w:eastAsia="Arial" w:hint="default"/>
          <w:spacing w:val="-3"/>
        </w:rPr>
        <w:t>—</w:t>
      </w:r>
      <w:r>
        <w:rPr>
          <w:spacing w:val="-3"/>
        </w:rPr>
        <w:t>确定基础是在预算年度前一年及历史上实现的收入增长率基础上，根据预计的</w:t>
      </w:r>
      <w:r>
        <w:rPr>
          <w:spacing w:val="-88"/>
        </w:rPr>
        <w:t> </w:t>
      </w:r>
      <w:r>
        <w:rPr>
          <w:spacing w:val="-88"/>
        </w:rPr>
      </w:r>
      <w:r>
        <w:rPr/>
        <w:t>市场需求及自身的业务发展及营销战略而保持相应的增长率。</w:t>
      </w:r>
    </w:p>
    <w:p>
      <w:pPr>
        <w:spacing w:line="240" w:lineRule="auto" w:before="2"/>
        <w:rPr>
          <w:rFonts w:ascii="黑体" w:hAnsi="黑体" w:cs="黑体" w:eastAsia="黑体" w:hint="default"/>
          <w:sz w:val="19"/>
          <w:szCs w:val="19"/>
        </w:rPr>
      </w:pPr>
    </w:p>
    <w:p>
      <w:pPr>
        <w:pStyle w:val="BodyText"/>
        <w:spacing w:line="261" w:lineRule="auto"/>
        <w:ind w:left="816" w:right="114"/>
        <w:jc w:val="left"/>
      </w:pPr>
      <w:r>
        <w:rPr/>
        <w:t>预算毛利</w:t>
      </w:r>
      <w:r>
        <w:rPr>
          <w:spacing w:val="-28"/>
        </w:rPr>
        <w:t> </w:t>
      </w:r>
      <w:r>
        <w:rPr>
          <w:rFonts w:ascii="Arial" w:hAnsi="Arial" w:cs="Arial" w:eastAsia="Arial" w:hint="default"/>
          <w:spacing w:val="-3"/>
        </w:rPr>
        <w:t>—</w:t>
      </w:r>
      <w:r>
        <w:rPr>
          <w:spacing w:val="-3"/>
        </w:rPr>
        <w:t>确定基础是在预算年度前一年实现的平均毛利率基础上，根据预计效率的提高</w:t>
      </w:r>
      <w:r>
        <w:rPr>
          <w:spacing w:val="-88"/>
        </w:rPr>
        <w:t> </w:t>
      </w:r>
      <w:r>
        <w:rPr>
          <w:spacing w:val="-88"/>
        </w:rPr>
      </w:r>
      <w:r>
        <w:rPr/>
        <w:t>及预计市场开发情况适当提高该平均毛利率。</w:t>
      </w:r>
    </w:p>
    <w:p>
      <w:pPr>
        <w:spacing w:line="240" w:lineRule="auto" w:before="1"/>
        <w:rPr>
          <w:rFonts w:ascii="黑体" w:hAnsi="黑体" w:cs="黑体" w:eastAsia="黑体" w:hint="default"/>
          <w:sz w:val="19"/>
          <w:szCs w:val="19"/>
        </w:rPr>
      </w:pPr>
    </w:p>
    <w:p>
      <w:pPr>
        <w:pStyle w:val="BodyText"/>
        <w:tabs>
          <w:tab w:pos="1662" w:val="left" w:leader="none"/>
        </w:tabs>
        <w:spacing w:line="523" w:lineRule="auto"/>
        <w:ind w:right="2958"/>
        <w:jc w:val="left"/>
      </w:pPr>
      <w:r>
        <w:rPr/>
        <w:t>折现率</w:t>
        <w:tab/>
      </w:r>
      <w:r>
        <w:rPr>
          <w:rFonts w:ascii="Arial" w:hAnsi="Arial" w:cs="Arial" w:eastAsia="Arial" w:hint="default"/>
          <w:spacing w:val="-1"/>
        </w:rPr>
        <w:t>—</w:t>
      </w:r>
      <w:r>
        <w:rPr>
          <w:spacing w:val="-1"/>
        </w:rPr>
        <w:t>采用的折现率是反映特定风险的税前折现率。</w:t>
      </w:r>
      <w:r>
        <w:rPr>
          <w:spacing w:val="-83"/>
        </w:rPr>
        <w:t> </w:t>
      </w:r>
      <w:r>
        <w:rPr>
          <w:spacing w:val="-83"/>
        </w:rPr>
      </w:r>
      <w:r>
        <w:rPr/>
        <w:t>分配至关键假设的金额与外部信息一致。</w:t>
      </w:r>
    </w:p>
    <w:p>
      <w:pPr>
        <w:spacing w:after="0" w:line="523" w:lineRule="auto"/>
        <w:jc w:val="left"/>
        <w:sectPr>
          <w:pgSz w:w="11910" w:h="16840"/>
          <w:pgMar w:header="958" w:footer="462" w:top="2540" w:bottom="660" w:left="1600" w:right="1480"/>
        </w:sectPr>
      </w:pP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16"/>
          <w:szCs w:val="16"/>
        </w:rPr>
      </w:pPr>
    </w:p>
    <w:p>
      <w:pPr>
        <w:tabs>
          <w:tab w:pos="843" w:val="left" w:leader="none"/>
        </w:tabs>
        <w:spacing w:before="38"/>
        <w:ind w:left="141"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9"/>
        <w:rPr>
          <w:rFonts w:ascii="黑体" w:hAnsi="黑体" w:cs="黑体" w:eastAsia="黑体" w:hint="default"/>
          <w:b/>
          <w:bCs/>
          <w:sz w:val="15"/>
          <w:szCs w:val="15"/>
        </w:rPr>
      </w:pPr>
    </w:p>
    <w:p>
      <w:pPr>
        <w:tabs>
          <w:tab w:pos="861" w:val="left" w:leader="none"/>
        </w:tabs>
        <w:spacing w:before="0"/>
        <w:ind w:left="141" w:right="0" w:firstLine="0"/>
        <w:jc w:val="left"/>
        <w:rPr>
          <w:rFonts w:ascii="黑体" w:hAnsi="黑体" w:cs="黑体" w:eastAsia="黑体" w:hint="default"/>
          <w:sz w:val="20"/>
          <w:szCs w:val="20"/>
        </w:rPr>
      </w:pPr>
      <w:r>
        <w:rPr>
          <w:rFonts w:ascii="Arial" w:hAnsi="Arial" w:cs="Arial" w:eastAsia="Arial" w:hint="default"/>
          <w:b/>
          <w:bCs/>
          <w:spacing w:val="-1"/>
          <w:sz w:val="20"/>
          <w:szCs w:val="20"/>
        </w:rPr>
        <w:t>16.</w:t>
        <w:tab/>
      </w:r>
      <w:r>
        <w:rPr>
          <w:rFonts w:ascii="黑体" w:hAnsi="黑体" w:cs="黑体" w:eastAsia="黑体" w:hint="default"/>
          <w:b/>
          <w:bCs/>
          <w:sz w:val="20"/>
          <w:szCs w:val="20"/>
        </w:rPr>
        <w:t>长期待摊费用</w:t>
      </w:r>
      <w:r>
        <w:rPr>
          <w:rFonts w:ascii="黑体" w:hAnsi="黑体" w:cs="黑体" w:eastAsia="黑体" w:hint="default"/>
          <w:sz w:val="20"/>
          <w:szCs w:val="20"/>
        </w:rPr>
      </w:r>
    </w:p>
    <w:p>
      <w:pPr>
        <w:spacing w:line="240" w:lineRule="auto" w:before="10"/>
        <w:rPr>
          <w:rFonts w:ascii="黑体" w:hAnsi="黑体" w:cs="黑体" w:eastAsia="黑体" w:hint="default"/>
          <w:b/>
          <w:bCs/>
          <w:sz w:val="14"/>
          <w:szCs w:val="14"/>
        </w:rPr>
      </w:pPr>
    </w:p>
    <w:tbl>
      <w:tblPr>
        <w:tblW w:w="0" w:type="auto"/>
        <w:jc w:val="left"/>
        <w:tblInd w:w="106" w:type="dxa"/>
        <w:tblLayout w:type="fixed"/>
        <w:tblCellMar>
          <w:top w:w="0" w:type="dxa"/>
          <w:left w:w="0" w:type="dxa"/>
          <w:bottom w:w="0" w:type="dxa"/>
          <w:right w:w="0" w:type="dxa"/>
        </w:tblCellMar>
        <w:tblLook w:val="01E0"/>
      </w:tblPr>
      <w:tblGrid>
        <w:gridCol w:w="4454"/>
        <w:gridCol w:w="1318"/>
        <w:gridCol w:w="1470"/>
        <w:gridCol w:w="1298"/>
      </w:tblGrid>
      <w:tr>
        <w:trPr>
          <w:trHeight w:val="1199" w:hRule="exact"/>
        </w:trPr>
        <w:tc>
          <w:tcPr>
            <w:tcW w:w="445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49"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p>
            <w:pPr>
              <w:pStyle w:val="TableParagraph"/>
              <w:spacing w:line="240" w:lineRule="auto"/>
              <w:ind w:right="0"/>
              <w:jc w:val="left"/>
              <w:rPr>
                <w:rFonts w:ascii="黑体" w:hAnsi="黑体" w:cs="黑体" w:eastAsia="黑体" w:hint="default"/>
                <w:b/>
                <w:bCs/>
                <w:sz w:val="20"/>
                <w:szCs w:val="20"/>
              </w:rPr>
            </w:pPr>
          </w:p>
          <w:p>
            <w:pPr>
              <w:pStyle w:val="TableParagraph"/>
              <w:tabs>
                <w:tab w:pos="3422" w:val="left" w:leader="none"/>
              </w:tabs>
              <w:spacing w:line="240" w:lineRule="auto" w:before="176"/>
              <w:ind w:left="2184" w:right="0"/>
              <w:jc w:val="left"/>
              <w:rPr>
                <w:rFonts w:ascii="黑体" w:hAnsi="黑体" w:cs="黑体" w:eastAsia="黑体" w:hint="default"/>
                <w:sz w:val="18"/>
                <w:szCs w:val="18"/>
              </w:rPr>
            </w:pPr>
            <w:r>
              <w:rPr>
                <w:rFonts w:ascii="黑体" w:hAnsi="黑体" w:cs="黑体" w:eastAsia="黑体" w:hint="default"/>
                <w:sz w:val="18"/>
                <w:szCs w:val="18"/>
              </w:rPr>
              <w:t>年初数</w:t>
              <w:tab/>
              <w:t>本年增加</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18"/>
                <w:szCs w:val="18"/>
              </w:rPr>
            </w:pPr>
          </w:p>
          <w:p>
            <w:pPr>
              <w:pStyle w:val="TableParagraph"/>
              <w:spacing w:line="240" w:lineRule="auto"/>
              <w:ind w:right="0"/>
              <w:jc w:val="left"/>
              <w:rPr>
                <w:rFonts w:ascii="黑体" w:hAnsi="黑体" w:cs="黑体" w:eastAsia="黑体" w:hint="default"/>
                <w:b/>
                <w:bCs/>
                <w:sz w:val="18"/>
                <w:szCs w:val="18"/>
              </w:rPr>
            </w:pPr>
          </w:p>
          <w:p>
            <w:pPr>
              <w:pStyle w:val="TableParagraph"/>
              <w:spacing w:line="240" w:lineRule="auto" w:before="7"/>
              <w:ind w:right="0"/>
              <w:jc w:val="left"/>
              <w:rPr>
                <w:rFonts w:ascii="黑体" w:hAnsi="黑体" w:cs="黑体" w:eastAsia="黑体" w:hint="default"/>
                <w:b/>
                <w:bCs/>
                <w:sz w:val="21"/>
                <w:szCs w:val="21"/>
              </w:rPr>
            </w:pPr>
          </w:p>
          <w:p>
            <w:pPr>
              <w:pStyle w:val="TableParagraph"/>
              <w:spacing w:line="240" w:lineRule="auto"/>
              <w:ind w:left="173" w:right="0"/>
              <w:jc w:val="center"/>
              <w:rPr>
                <w:rFonts w:ascii="黑体" w:hAnsi="黑体" w:cs="黑体" w:eastAsia="黑体" w:hint="default"/>
                <w:sz w:val="18"/>
                <w:szCs w:val="18"/>
              </w:rPr>
            </w:pPr>
            <w:r>
              <w:rPr>
                <w:rFonts w:ascii="黑体" w:hAnsi="黑体" w:cs="黑体" w:eastAsia="黑体" w:hint="default"/>
                <w:sz w:val="18"/>
                <w:szCs w:val="18"/>
              </w:rPr>
              <w:t>本年摊销</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18"/>
                <w:szCs w:val="18"/>
              </w:rPr>
            </w:pPr>
          </w:p>
          <w:p>
            <w:pPr>
              <w:pStyle w:val="TableParagraph"/>
              <w:spacing w:line="240" w:lineRule="auto"/>
              <w:ind w:right="0"/>
              <w:jc w:val="left"/>
              <w:rPr>
                <w:rFonts w:ascii="黑体" w:hAnsi="黑体" w:cs="黑体" w:eastAsia="黑体" w:hint="default"/>
                <w:b/>
                <w:bCs/>
                <w:sz w:val="18"/>
                <w:szCs w:val="18"/>
              </w:rPr>
            </w:pPr>
          </w:p>
          <w:p>
            <w:pPr>
              <w:pStyle w:val="TableParagraph"/>
              <w:spacing w:line="240" w:lineRule="auto" w:before="7"/>
              <w:ind w:right="0"/>
              <w:jc w:val="left"/>
              <w:rPr>
                <w:rFonts w:ascii="黑体" w:hAnsi="黑体" w:cs="黑体" w:eastAsia="黑体" w:hint="default"/>
                <w:b/>
                <w:bCs/>
                <w:sz w:val="21"/>
                <w:szCs w:val="21"/>
              </w:rPr>
            </w:pPr>
          </w:p>
          <w:p>
            <w:pPr>
              <w:pStyle w:val="TableParagraph"/>
              <w:spacing w:line="240" w:lineRule="auto"/>
              <w:ind w:right="262"/>
              <w:jc w:val="right"/>
              <w:rPr>
                <w:rFonts w:ascii="黑体" w:hAnsi="黑体" w:cs="黑体" w:eastAsia="黑体" w:hint="default"/>
                <w:sz w:val="18"/>
                <w:szCs w:val="18"/>
              </w:rPr>
            </w:pPr>
            <w:r>
              <w:rPr>
                <w:rFonts w:ascii="黑体" w:hAnsi="黑体" w:cs="黑体" w:eastAsia="黑体" w:hint="default"/>
                <w:sz w:val="18"/>
                <w:szCs w:val="18"/>
              </w:rPr>
              <w:t>其他减少</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18"/>
                <w:szCs w:val="18"/>
              </w:rPr>
            </w:pPr>
          </w:p>
          <w:p>
            <w:pPr>
              <w:pStyle w:val="TableParagraph"/>
              <w:spacing w:line="240" w:lineRule="auto"/>
              <w:ind w:right="0"/>
              <w:jc w:val="left"/>
              <w:rPr>
                <w:rFonts w:ascii="黑体" w:hAnsi="黑体" w:cs="黑体" w:eastAsia="黑体" w:hint="default"/>
                <w:b/>
                <w:bCs/>
                <w:sz w:val="18"/>
                <w:szCs w:val="18"/>
              </w:rPr>
            </w:pPr>
          </w:p>
          <w:p>
            <w:pPr>
              <w:pStyle w:val="TableParagraph"/>
              <w:spacing w:line="240" w:lineRule="auto" w:before="7"/>
              <w:ind w:right="0"/>
              <w:jc w:val="left"/>
              <w:rPr>
                <w:rFonts w:ascii="黑体" w:hAnsi="黑体" w:cs="黑体" w:eastAsia="黑体" w:hint="default"/>
                <w:b/>
                <w:bCs/>
                <w:sz w:val="21"/>
                <w:szCs w:val="21"/>
              </w:rPr>
            </w:pPr>
          </w:p>
          <w:p>
            <w:pPr>
              <w:pStyle w:val="TableParagraph"/>
              <w:spacing w:line="240" w:lineRule="auto"/>
              <w:ind w:right="40"/>
              <w:jc w:val="right"/>
              <w:rPr>
                <w:rFonts w:ascii="黑体" w:hAnsi="黑体" w:cs="黑体" w:eastAsia="黑体" w:hint="default"/>
                <w:sz w:val="18"/>
                <w:szCs w:val="18"/>
              </w:rPr>
            </w:pPr>
            <w:r>
              <w:rPr>
                <w:rFonts w:ascii="黑体" w:hAnsi="黑体" w:cs="黑体" w:eastAsia="黑体" w:hint="default"/>
                <w:sz w:val="18"/>
                <w:szCs w:val="18"/>
              </w:rPr>
              <w:t>年末数</w:t>
            </w:r>
          </w:p>
        </w:tc>
      </w:tr>
      <w:tr>
        <w:trPr>
          <w:trHeight w:val="455" w:hRule="exact"/>
        </w:trPr>
        <w:tc>
          <w:tcPr>
            <w:tcW w:w="4454" w:type="dxa"/>
            <w:tcBorders>
              <w:top w:val="nil" w:sz="6" w:space="0" w:color="auto"/>
              <w:left w:val="nil" w:sz="6" w:space="0" w:color="auto"/>
              <w:bottom w:val="nil" w:sz="6" w:space="0" w:color="auto"/>
              <w:right w:val="nil" w:sz="6" w:space="0" w:color="auto"/>
            </w:tcBorders>
          </w:tcPr>
          <w:p>
            <w:pPr>
              <w:pStyle w:val="TableParagraph"/>
              <w:tabs>
                <w:tab w:pos="1180" w:val="left" w:leader="none"/>
                <w:tab w:pos="2497" w:val="left" w:leader="none"/>
              </w:tabs>
              <w:spacing w:line="240" w:lineRule="auto" w:before="155"/>
              <w:ind w:right="308"/>
              <w:jc w:val="right"/>
              <w:rPr>
                <w:rFonts w:ascii="Arial" w:hAnsi="Arial" w:cs="Arial" w:eastAsia="Arial" w:hint="default"/>
                <w:sz w:val="18"/>
                <w:szCs w:val="18"/>
              </w:rPr>
            </w:pPr>
            <w:r>
              <w:rPr>
                <w:rFonts w:ascii="黑体" w:hAnsi="黑体" w:cs="黑体" w:eastAsia="黑体" w:hint="default"/>
                <w:sz w:val="18"/>
                <w:szCs w:val="18"/>
              </w:rPr>
              <w:t>装修费</w:t>
              <w:tab/>
            </w:r>
            <w:r>
              <w:rPr>
                <w:rFonts w:ascii="Arial" w:hAnsi="Arial" w:cs="Arial" w:eastAsia="Arial" w:hint="default"/>
                <w:spacing w:val="-1"/>
                <w:sz w:val="18"/>
                <w:szCs w:val="18"/>
              </w:rPr>
              <w:t>4,653,305</w:t>
              <w:tab/>
              <w:t>10,930,714</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b/>
                <w:bCs/>
                <w:sz w:val="15"/>
                <w:szCs w:val="15"/>
              </w:rPr>
            </w:pPr>
          </w:p>
          <w:p>
            <w:pPr>
              <w:pStyle w:val="TableParagraph"/>
              <w:spacing w:line="240" w:lineRule="auto"/>
              <w:ind w:left="94" w:right="0"/>
              <w:jc w:val="center"/>
              <w:rPr>
                <w:rFonts w:ascii="Arial" w:hAnsi="Arial" w:cs="Arial" w:eastAsia="Arial" w:hint="default"/>
                <w:sz w:val="18"/>
                <w:szCs w:val="18"/>
              </w:rPr>
            </w:pPr>
            <w:r>
              <w:rPr>
                <w:rFonts w:ascii="Arial"/>
                <w:sz w:val="18"/>
              </w:rPr>
              <w:t>3,011,008</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b/>
                <w:bCs/>
                <w:sz w:val="15"/>
                <w:szCs w:val="15"/>
              </w:rPr>
            </w:pPr>
          </w:p>
          <w:p>
            <w:pPr>
              <w:pStyle w:val="TableParagraph"/>
              <w:spacing w:line="240" w:lineRule="auto"/>
              <w:ind w:right="263"/>
              <w:jc w:val="right"/>
              <w:rPr>
                <w:rFonts w:ascii="Arial" w:hAnsi="Arial" w:cs="Arial" w:eastAsia="Arial" w:hint="default"/>
                <w:sz w:val="18"/>
                <w:szCs w:val="18"/>
              </w:rPr>
            </w:pPr>
            <w:r>
              <w:rPr>
                <w:rFonts w:ascii="Arial"/>
                <w:spacing w:val="-1"/>
                <w:sz w:val="18"/>
              </w:rPr>
              <w:t>196,795</w:t>
            </w:r>
            <w:r>
              <w:rPr>
                <w:rFonts w:ascii="Arial"/>
                <w:sz w:val="18"/>
              </w:rPr>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b/>
                <w:bCs/>
                <w:sz w:val="15"/>
                <w:szCs w:val="15"/>
              </w:rPr>
            </w:pPr>
          </w:p>
          <w:p>
            <w:pPr>
              <w:pStyle w:val="TableParagraph"/>
              <w:spacing w:line="240" w:lineRule="auto"/>
              <w:ind w:right="40"/>
              <w:jc w:val="right"/>
              <w:rPr>
                <w:rFonts w:ascii="Arial" w:hAnsi="Arial" w:cs="Arial" w:eastAsia="Arial" w:hint="default"/>
                <w:sz w:val="18"/>
                <w:szCs w:val="18"/>
              </w:rPr>
            </w:pPr>
            <w:r>
              <w:rPr>
                <w:rFonts w:ascii="Arial"/>
                <w:spacing w:val="-1"/>
                <w:sz w:val="18"/>
              </w:rPr>
              <w:t>12,376,216</w:t>
            </w:r>
          </w:p>
        </w:tc>
      </w:tr>
      <w:tr>
        <w:trPr>
          <w:trHeight w:val="305" w:hRule="exact"/>
        </w:trPr>
        <w:tc>
          <w:tcPr>
            <w:tcW w:w="4454" w:type="dxa"/>
            <w:tcBorders>
              <w:top w:val="nil" w:sz="6" w:space="0" w:color="auto"/>
              <w:left w:val="nil" w:sz="6" w:space="0" w:color="auto"/>
              <w:bottom w:val="nil" w:sz="6" w:space="0" w:color="auto"/>
              <w:right w:val="nil" w:sz="6" w:space="0" w:color="auto"/>
            </w:tcBorders>
          </w:tcPr>
          <w:p>
            <w:pPr>
              <w:pStyle w:val="TableParagraph"/>
              <w:tabs>
                <w:tab w:pos="1079" w:val="left" w:leader="none"/>
                <w:tab w:pos="2508" w:val="left" w:leader="none"/>
              </w:tabs>
              <w:spacing w:line="240" w:lineRule="auto"/>
              <w:ind w:right="308"/>
              <w:jc w:val="right"/>
              <w:rPr>
                <w:rFonts w:ascii="Arial" w:hAnsi="Arial" w:cs="Arial" w:eastAsia="Arial" w:hint="default"/>
                <w:sz w:val="18"/>
                <w:szCs w:val="18"/>
              </w:rPr>
            </w:pPr>
            <w:r>
              <w:rPr>
                <w:rFonts w:ascii="黑体" w:hAnsi="黑体" w:cs="黑体" w:eastAsia="黑体" w:hint="default"/>
                <w:sz w:val="18"/>
                <w:szCs w:val="18"/>
              </w:rPr>
              <w:t>其他</w:t>
              <w:tab/>
            </w:r>
            <w:r>
              <w:rPr>
                <w:rFonts w:ascii="Arial" w:hAnsi="Arial" w:cs="Arial" w:eastAsia="Arial" w:hint="default"/>
                <w:sz w:val="18"/>
                <w:szCs w:val="18"/>
              </w:rPr>
            </w:r>
            <w:r>
              <w:rPr>
                <w:rFonts w:ascii="Arial" w:hAnsi="Arial" w:cs="Arial" w:eastAsia="Arial" w:hint="default"/>
                <w:spacing w:val="-1"/>
                <w:sz w:val="18"/>
                <w:szCs w:val="18"/>
                <w:u w:val="single" w:color="000000"/>
              </w:rPr>
              <w:t>20,111,681</w:t>
            </w:r>
            <w:r>
              <w:rPr>
                <w:rFonts w:ascii="Arial" w:hAnsi="Arial" w:cs="Arial" w:eastAsia="Arial" w:hint="default"/>
                <w:spacing w:val="-1"/>
                <w:sz w:val="18"/>
                <w:szCs w:val="18"/>
              </w:rPr>
              <w:tab/>
            </w:r>
            <w:r>
              <w:rPr>
                <w:rFonts w:ascii="Arial" w:hAnsi="Arial" w:cs="Arial" w:eastAsia="Arial" w:hint="default"/>
                <w:spacing w:val="-1"/>
                <w:sz w:val="18"/>
                <w:szCs w:val="18"/>
                <w:u w:val="single" w:color="000000"/>
              </w:rPr>
              <w:t> 5,259,719</w:t>
            </w:r>
            <w:r>
              <w:rPr>
                <w:rFonts w:ascii="Arial" w:hAnsi="Arial" w:cs="Arial" w:eastAsia="Arial" w:hint="default"/>
                <w:spacing w:val="-1"/>
                <w:sz w:val="18"/>
                <w:szCs w:val="18"/>
              </w:rPr>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95" w:right="0"/>
              <w:jc w:val="center"/>
              <w:rPr>
                <w:rFonts w:ascii="Arial" w:hAnsi="Arial" w:cs="Arial" w:eastAsia="Arial" w:hint="default"/>
                <w:sz w:val="18"/>
                <w:szCs w:val="18"/>
              </w:rPr>
            </w:pPr>
            <w:r>
              <w:rPr>
                <w:rFonts w:ascii="Arial"/>
                <w:w w:val="99"/>
                <w:sz w:val="18"/>
              </w:rPr>
            </w:r>
            <w:r>
              <w:rPr>
                <w:rFonts w:ascii="Arial"/>
                <w:sz w:val="18"/>
                <w:u w:val="single" w:color="000000"/>
              </w:rPr>
              <w:t>4,145,664</w:t>
            </w:r>
            <w:r>
              <w:rPr>
                <w:rFonts w:ascii="Arial"/>
                <w:sz w:val="18"/>
              </w:rPr>
            </w:r>
          </w:p>
        </w:tc>
        <w:tc>
          <w:tcPr>
            <w:tcW w:w="1470" w:type="dxa"/>
            <w:tcBorders>
              <w:top w:val="nil" w:sz="6" w:space="0" w:color="auto"/>
              <w:left w:val="nil" w:sz="6" w:space="0" w:color="auto"/>
              <w:bottom w:val="nil" w:sz="6" w:space="0" w:color="auto"/>
              <w:right w:val="nil" w:sz="6" w:space="0" w:color="auto"/>
            </w:tcBorders>
          </w:tcPr>
          <w:p>
            <w:pPr>
              <w:pStyle w:val="TableParagraph"/>
              <w:tabs>
                <w:tab w:pos="630" w:val="left" w:leader="none"/>
              </w:tabs>
              <w:spacing w:line="240" w:lineRule="auto" w:before="42"/>
              <w:ind w:right="262"/>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40"/>
              <w:jc w:val="right"/>
              <w:rPr>
                <w:rFonts w:ascii="Arial" w:hAnsi="Arial" w:cs="Arial" w:eastAsia="Arial" w:hint="default"/>
                <w:sz w:val="18"/>
                <w:szCs w:val="18"/>
              </w:rPr>
            </w:pPr>
            <w:r>
              <w:rPr>
                <w:rFonts w:ascii="Arial"/>
                <w:w w:val="99"/>
                <w:sz w:val="18"/>
              </w:rPr>
            </w:r>
            <w:r>
              <w:rPr>
                <w:rFonts w:ascii="Arial"/>
                <w:spacing w:val="-1"/>
                <w:sz w:val="18"/>
                <w:u w:val="single" w:color="000000"/>
              </w:rPr>
              <w:t>21,225,736</w:t>
            </w:r>
            <w:r>
              <w:rPr>
                <w:rFonts w:ascii="Arial"/>
                <w:spacing w:val="-1"/>
                <w:sz w:val="18"/>
              </w:rPr>
            </w:r>
          </w:p>
        </w:tc>
      </w:tr>
      <w:tr>
        <w:trPr>
          <w:trHeight w:val="391" w:hRule="exact"/>
        </w:trPr>
        <w:tc>
          <w:tcPr>
            <w:tcW w:w="4454" w:type="dxa"/>
            <w:tcBorders>
              <w:top w:val="nil" w:sz="6" w:space="0" w:color="auto"/>
              <w:left w:val="nil" w:sz="6" w:space="0" w:color="auto"/>
              <w:bottom w:val="nil" w:sz="6" w:space="0" w:color="auto"/>
              <w:right w:val="nil" w:sz="6" w:space="0" w:color="auto"/>
            </w:tcBorders>
          </w:tcPr>
          <w:p>
            <w:pPr>
              <w:pStyle w:val="TableParagraph"/>
              <w:tabs>
                <w:tab w:pos="1418" w:val="left" w:leader="none"/>
              </w:tabs>
              <w:spacing w:line="240" w:lineRule="auto" w:before="37"/>
              <w:ind w:right="309"/>
              <w:jc w:val="right"/>
              <w:rPr>
                <w:rFonts w:ascii="Arial" w:hAnsi="Arial" w:cs="Arial" w:eastAsia="Arial" w:hint="default"/>
                <w:sz w:val="18"/>
                <w:szCs w:val="18"/>
              </w:rPr>
            </w:pPr>
            <w:r>
              <w:rPr>
                <w:rFonts w:ascii="Arial"/>
                <w:w w:val="99"/>
                <w:sz w:val="18"/>
              </w:rPr>
            </w:r>
            <w:r>
              <w:rPr>
                <w:rFonts w:ascii="Arial"/>
                <w:spacing w:val="-1"/>
                <w:sz w:val="18"/>
                <w:u w:val="thick" w:color="000000"/>
              </w:rPr>
              <w:t>24,764,986</w:t>
            </w:r>
            <w:r>
              <w:rPr>
                <w:rFonts w:ascii="Arial"/>
                <w:spacing w:val="-1"/>
                <w:sz w:val="18"/>
              </w:rPr>
              <w:tab/>
            </w:r>
            <w:r>
              <w:rPr>
                <w:rFonts w:ascii="Arial"/>
                <w:spacing w:val="-1"/>
                <w:sz w:val="18"/>
                <w:u w:val="thick" w:color="000000"/>
              </w:rPr>
              <w:t>16,190,433</w:t>
            </w:r>
            <w:r>
              <w:rPr>
                <w:rFonts w:ascii="Arial"/>
                <w:spacing w:val="-1"/>
                <w:sz w:val="18"/>
              </w:rPr>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95" w:right="0"/>
              <w:jc w:val="center"/>
              <w:rPr>
                <w:rFonts w:ascii="Arial" w:hAnsi="Arial" w:cs="Arial" w:eastAsia="Arial" w:hint="default"/>
                <w:sz w:val="18"/>
                <w:szCs w:val="18"/>
              </w:rPr>
            </w:pPr>
            <w:r>
              <w:rPr>
                <w:rFonts w:ascii="Arial"/>
                <w:w w:val="99"/>
                <w:sz w:val="18"/>
              </w:rPr>
            </w:r>
            <w:r>
              <w:rPr>
                <w:rFonts w:ascii="Arial"/>
                <w:sz w:val="18"/>
                <w:u w:val="thick" w:color="000000"/>
              </w:rPr>
              <w:t>7,156,672</w:t>
            </w:r>
            <w:r>
              <w:rPr>
                <w:rFonts w:ascii="Arial"/>
                <w:sz w:val="18"/>
              </w:rPr>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62"/>
              <w:jc w:val="right"/>
              <w:rPr>
                <w:rFonts w:ascii="Arial" w:hAnsi="Arial" w:cs="Arial" w:eastAsia="Arial" w:hint="default"/>
                <w:sz w:val="18"/>
                <w:szCs w:val="18"/>
              </w:rPr>
            </w:pPr>
            <w:r>
              <w:rPr>
                <w:rFonts w:ascii="Arial"/>
                <w:w w:val="99"/>
                <w:sz w:val="18"/>
              </w:rPr>
            </w:r>
            <w:r>
              <w:rPr>
                <w:rFonts w:ascii="Arial"/>
                <w:spacing w:val="-1"/>
                <w:sz w:val="18"/>
                <w:u w:val="thick" w:color="000000"/>
              </w:rPr>
              <w:t>196,795</w:t>
            </w:r>
            <w:r>
              <w:rPr>
                <w:rFonts w:ascii="Arial"/>
                <w:spacing w:val="-1"/>
                <w:sz w:val="18"/>
              </w:rPr>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40"/>
              <w:jc w:val="right"/>
              <w:rPr>
                <w:rFonts w:ascii="Arial" w:hAnsi="Arial" w:cs="Arial" w:eastAsia="Arial" w:hint="default"/>
                <w:sz w:val="18"/>
                <w:szCs w:val="18"/>
              </w:rPr>
            </w:pPr>
            <w:r>
              <w:rPr>
                <w:rFonts w:ascii="Arial"/>
                <w:w w:val="99"/>
                <w:sz w:val="18"/>
              </w:rPr>
            </w:r>
            <w:r>
              <w:rPr>
                <w:rFonts w:ascii="Arial"/>
                <w:spacing w:val="-1"/>
                <w:sz w:val="18"/>
                <w:u w:val="thick" w:color="000000"/>
              </w:rPr>
              <w:t>33,601,952</w:t>
            </w:r>
            <w:r>
              <w:rPr>
                <w:rFonts w:ascii="Arial"/>
                <w:spacing w:val="-1"/>
                <w:sz w:val="18"/>
              </w:rPr>
            </w:r>
          </w:p>
        </w:tc>
      </w:tr>
      <w:tr>
        <w:trPr>
          <w:trHeight w:val="609" w:hRule="exact"/>
        </w:trPr>
        <w:tc>
          <w:tcPr>
            <w:tcW w:w="445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748"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c>
          <w:tcPr>
            <w:tcW w:w="1318"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nil" w:sz="6" w:space="0" w:color="auto"/>
            </w:tcBorders>
          </w:tcPr>
          <w:p>
            <w:pPr/>
          </w:p>
        </w:tc>
      </w:tr>
      <w:tr>
        <w:trPr>
          <w:trHeight w:val="670" w:hRule="exact"/>
        </w:trPr>
        <w:tc>
          <w:tcPr>
            <w:tcW w:w="445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b/>
                <w:bCs/>
                <w:sz w:val="14"/>
                <w:szCs w:val="14"/>
              </w:rPr>
            </w:pPr>
          </w:p>
          <w:p>
            <w:pPr>
              <w:pStyle w:val="TableParagraph"/>
              <w:tabs>
                <w:tab w:pos="1238" w:val="left" w:leader="none"/>
              </w:tabs>
              <w:spacing w:line="240" w:lineRule="auto"/>
              <w:ind w:right="309"/>
              <w:jc w:val="right"/>
              <w:rPr>
                <w:rFonts w:ascii="黑体" w:hAnsi="黑体" w:cs="黑体" w:eastAsia="黑体" w:hint="default"/>
                <w:sz w:val="18"/>
                <w:szCs w:val="18"/>
              </w:rPr>
            </w:pPr>
            <w:r>
              <w:rPr>
                <w:rFonts w:ascii="黑体" w:hAnsi="黑体" w:cs="黑体" w:eastAsia="黑体" w:hint="default"/>
                <w:sz w:val="18"/>
                <w:szCs w:val="18"/>
              </w:rPr>
              <w:t>年初数</w:t>
              <w:tab/>
              <w:t>本年增加</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b/>
                <w:bCs/>
                <w:sz w:val="14"/>
                <w:szCs w:val="14"/>
              </w:rPr>
            </w:pPr>
          </w:p>
          <w:p>
            <w:pPr>
              <w:pStyle w:val="TableParagraph"/>
              <w:spacing w:line="240" w:lineRule="auto"/>
              <w:ind w:left="173" w:right="0"/>
              <w:jc w:val="center"/>
              <w:rPr>
                <w:rFonts w:ascii="黑体" w:hAnsi="黑体" w:cs="黑体" w:eastAsia="黑体" w:hint="default"/>
                <w:sz w:val="18"/>
                <w:szCs w:val="18"/>
              </w:rPr>
            </w:pPr>
            <w:r>
              <w:rPr>
                <w:rFonts w:ascii="黑体" w:hAnsi="黑体" w:cs="黑体" w:eastAsia="黑体" w:hint="default"/>
                <w:sz w:val="18"/>
                <w:szCs w:val="18"/>
              </w:rPr>
              <w:t>本年摊销</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b/>
                <w:bCs/>
                <w:sz w:val="14"/>
                <w:szCs w:val="14"/>
              </w:rPr>
            </w:pPr>
          </w:p>
          <w:p>
            <w:pPr>
              <w:pStyle w:val="TableParagraph"/>
              <w:spacing w:line="240" w:lineRule="auto"/>
              <w:ind w:right="262"/>
              <w:jc w:val="right"/>
              <w:rPr>
                <w:rFonts w:ascii="黑体" w:hAnsi="黑体" w:cs="黑体" w:eastAsia="黑体" w:hint="default"/>
                <w:sz w:val="18"/>
                <w:szCs w:val="18"/>
              </w:rPr>
            </w:pPr>
            <w:r>
              <w:rPr>
                <w:rFonts w:ascii="黑体" w:hAnsi="黑体" w:cs="黑体" w:eastAsia="黑体" w:hint="default"/>
                <w:sz w:val="18"/>
                <w:szCs w:val="18"/>
              </w:rPr>
              <w:t>其他减少</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b/>
                <w:bCs/>
                <w:sz w:val="14"/>
                <w:szCs w:val="14"/>
              </w:rPr>
            </w:pPr>
          </w:p>
          <w:p>
            <w:pPr>
              <w:pStyle w:val="TableParagraph"/>
              <w:spacing w:line="240" w:lineRule="auto"/>
              <w:ind w:right="40"/>
              <w:jc w:val="right"/>
              <w:rPr>
                <w:rFonts w:ascii="黑体" w:hAnsi="黑体" w:cs="黑体" w:eastAsia="黑体" w:hint="default"/>
                <w:sz w:val="18"/>
                <w:szCs w:val="18"/>
              </w:rPr>
            </w:pPr>
            <w:r>
              <w:rPr>
                <w:rFonts w:ascii="黑体" w:hAnsi="黑体" w:cs="黑体" w:eastAsia="黑体" w:hint="default"/>
                <w:sz w:val="18"/>
                <w:szCs w:val="18"/>
              </w:rPr>
              <w:t>年末数</w:t>
            </w:r>
          </w:p>
        </w:tc>
      </w:tr>
      <w:tr>
        <w:trPr>
          <w:trHeight w:val="524" w:hRule="exact"/>
        </w:trPr>
        <w:tc>
          <w:tcPr>
            <w:tcW w:w="445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b/>
                <w:bCs/>
                <w:sz w:val="14"/>
                <w:szCs w:val="14"/>
              </w:rPr>
            </w:pPr>
          </w:p>
          <w:p>
            <w:pPr>
              <w:pStyle w:val="TableParagraph"/>
              <w:tabs>
                <w:tab w:pos="1184" w:val="left" w:leader="none"/>
                <w:tab w:pos="2602" w:val="left" w:leader="none"/>
              </w:tabs>
              <w:spacing w:line="240" w:lineRule="auto"/>
              <w:ind w:right="304"/>
              <w:jc w:val="right"/>
              <w:rPr>
                <w:rFonts w:ascii="Arial" w:hAnsi="Arial" w:cs="Arial" w:eastAsia="Arial" w:hint="default"/>
                <w:sz w:val="18"/>
                <w:szCs w:val="18"/>
              </w:rPr>
            </w:pPr>
            <w:r>
              <w:rPr>
                <w:rFonts w:ascii="黑体" w:hAnsi="黑体" w:cs="黑体" w:eastAsia="黑体" w:hint="default"/>
                <w:position w:val="2"/>
                <w:sz w:val="18"/>
                <w:szCs w:val="18"/>
              </w:rPr>
              <w:t>装修费</w:t>
              <w:tab/>
            </w:r>
            <w:r>
              <w:rPr>
                <w:rFonts w:ascii="Arial" w:hAnsi="Arial" w:cs="Arial" w:eastAsia="Arial" w:hint="default"/>
                <w:spacing w:val="-1"/>
                <w:sz w:val="18"/>
                <w:szCs w:val="18"/>
              </w:rPr>
              <w:t>3,767,075</w:t>
              <w:tab/>
              <w:t>4,065,113</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b/>
                <w:bCs/>
                <w:sz w:val="18"/>
                <w:szCs w:val="18"/>
              </w:rPr>
            </w:pPr>
          </w:p>
          <w:p>
            <w:pPr>
              <w:pStyle w:val="TableParagraph"/>
              <w:spacing w:line="240" w:lineRule="auto"/>
              <w:ind w:left="102" w:right="0"/>
              <w:jc w:val="center"/>
              <w:rPr>
                <w:rFonts w:ascii="Arial" w:hAnsi="Arial" w:cs="Arial" w:eastAsia="Arial" w:hint="default"/>
                <w:sz w:val="18"/>
                <w:szCs w:val="18"/>
              </w:rPr>
            </w:pPr>
            <w:r>
              <w:rPr>
                <w:rFonts w:ascii="Arial"/>
                <w:sz w:val="18"/>
              </w:rPr>
              <w:t>3,178,883</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b/>
                <w:bCs/>
                <w:sz w:val="18"/>
                <w:szCs w:val="18"/>
              </w:rPr>
            </w:pPr>
          </w:p>
          <w:p>
            <w:pPr>
              <w:pStyle w:val="TableParagraph"/>
              <w:spacing w:line="240" w:lineRule="auto"/>
              <w:ind w:right="259"/>
              <w:jc w:val="right"/>
              <w:rPr>
                <w:rFonts w:ascii="Arial" w:hAnsi="Arial" w:cs="Arial" w:eastAsia="Arial" w:hint="default"/>
                <w:sz w:val="18"/>
                <w:szCs w:val="18"/>
              </w:rPr>
            </w:pPr>
            <w:r>
              <w:rPr>
                <w:rFonts w:ascii="Arial"/>
                <w:w w:val="99"/>
                <w:sz w:val="18"/>
              </w:rPr>
              <w:t>-</w:t>
            </w:r>
            <w:r>
              <w:rPr>
                <w:rFonts w:ascii="Arial"/>
                <w:sz w:val="18"/>
              </w:rPr>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b/>
                <w:bCs/>
                <w:sz w:val="18"/>
                <w:szCs w:val="18"/>
              </w:rPr>
            </w:pPr>
          </w:p>
          <w:p>
            <w:pPr>
              <w:pStyle w:val="TableParagraph"/>
              <w:spacing w:line="240" w:lineRule="auto"/>
              <w:ind w:right="47"/>
              <w:jc w:val="right"/>
              <w:rPr>
                <w:rFonts w:ascii="Arial" w:hAnsi="Arial" w:cs="Arial" w:eastAsia="Arial" w:hint="default"/>
                <w:sz w:val="18"/>
                <w:szCs w:val="18"/>
              </w:rPr>
            </w:pPr>
            <w:r>
              <w:rPr>
                <w:rFonts w:ascii="Arial"/>
                <w:spacing w:val="-1"/>
                <w:sz w:val="18"/>
              </w:rPr>
              <w:t>4,653,305</w:t>
            </w:r>
          </w:p>
        </w:tc>
      </w:tr>
      <w:tr>
        <w:trPr>
          <w:trHeight w:val="375" w:hRule="exact"/>
        </w:trPr>
        <w:tc>
          <w:tcPr>
            <w:tcW w:w="4454" w:type="dxa"/>
            <w:tcBorders>
              <w:top w:val="nil" w:sz="6" w:space="0" w:color="auto"/>
              <w:left w:val="nil" w:sz="6" w:space="0" w:color="auto"/>
              <w:bottom w:val="nil" w:sz="6" w:space="0" w:color="auto"/>
              <w:right w:val="nil" w:sz="6" w:space="0" w:color="auto"/>
            </w:tcBorders>
          </w:tcPr>
          <w:p>
            <w:pPr>
              <w:pStyle w:val="TableParagraph"/>
              <w:tabs>
                <w:tab w:pos="1083" w:val="left" w:leader="none"/>
                <w:tab w:pos="2602" w:val="left" w:leader="none"/>
              </w:tabs>
              <w:spacing w:line="240" w:lineRule="auto" w:before="20"/>
              <w:ind w:right="305"/>
              <w:jc w:val="right"/>
              <w:rPr>
                <w:rFonts w:ascii="Arial" w:hAnsi="Arial" w:cs="Arial" w:eastAsia="Arial" w:hint="default"/>
                <w:sz w:val="18"/>
                <w:szCs w:val="18"/>
              </w:rPr>
            </w:pPr>
            <w:r>
              <w:rPr>
                <w:rFonts w:ascii="黑体" w:hAnsi="黑体" w:cs="黑体" w:eastAsia="黑体" w:hint="default"/>
                <w:position w:val="2"/>
                <w:sz w:val="18"/>
                <w:szCs w:val="18"/>
              </w:rPr>
              <w:t>其他</w:t>
              <w:tab/>
            </w:r>
            <w:r>
              <w:rPr>
                <w:rFonts w:ascii="Arial" w:hAnsi="Arial" w:cs="Arial" w:eastAsia="Arial" w:hint="default"/>
                <w:sz w:val="18"/>
                <w:szCs w:val="18"/>
              </w:rPr>
            </w:r>
            <w:r>
              <w:rPr>
                <w:rFonts w:ascii="Arial" w:hAnsi="Arial" w:cs="Arial" w:eastAsia="Arial" w:hint="default"/>
                <w:spacing w:val="-1"/>
                <w:sz w:val="18"/>
                <w:szCs w:val="18"/>
                <w:u w:val="single" w:color="000000"/>
              </w:rPr>
              <w:t>20,653,432</w:t>
            </w:r>
            <w:r>
              <w:rPr>
                <w:rFonts w:ascii="Arial" w:hAnsi="Arial" w:cs="Arial" w:eastAsia="Arial" w:hint="default"/>
                <w:spacing w:val="-1"/>
                <w:sz w:val="18"/>
                <w:szCs w:val="18"/>
              </w:rPr>
              <w:tab/>
            </w:r>
            <w:r>
              <w:rPr>
                <w:rFonts w:ascii="Arial" w:hAnsi="Arial" w:cs="Arial" w:eastAsia="Arial" w:hint="default"/>
                <w:spacing w:val="-1"/>
                <w:sz w:val="18"/>
                <w:szCs w:val="18"/>
                <w:u w:val="single" w:color="000000"/>
              </w:rPr>
              <w:t>2,507,533</w:t>
            </w:r>
            <w:r>
              <w:rPr>
                <w:rFonts w:ascii="Arial" w:hAnsi="Arial" w:cs="Arial" w:eastAsia="Arial" w:hint="default"/>
                <w:spacing w:val="-1"/>
                <w:sz w:val="18"/>
                <w:szCs w:val="18"/>
              </w:rPr>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02" w:right="0"/>
              <w:jc w:val="center"/>
              <w:rPr>
                <w:rFonts w:ascii="Arial" w:hAnsi="Arial" w:cs="Arial" w:eastAsia="Arial" w:hint="default"/>
                <w:sz w:val="18"/>
                <w:szCs w:val="18"/>
              </w:rPr>
            </w:pPr>
            <w:r>
              <w:rPr>
                <w:rFonts w:ascii="Arial"/>
                <w:w w:val="99"/>
                <w:sz w:val="18"/>
              </w:rPr>
            </w:r>
            <w:r>
              <w:rPr>
                <w:rFonts w:ascii="Arial"/>
                <w:sz w:val="18"/>
                <w:u w:val="single" w:color="000000"/>
              </w:rPr>
              <w:t>3,049,284</w:t>
            </w:r>
            <w:r>
              <w:rPr>
                <w:rFonts w:ascii="Arial"/>
                <w:sz w:val="18"/>
              </w:rPr>
            </w:r>
          </w:p>
        </w:tc>
        <w:tc>
          <w:tcPr>
            <w:tcW w:w="1470" w:type="dxa"/>
            <w:tcBorders>
              <w:top w:val="nil" w:sz="6" w:space="0" w:color="auto"/>
              <w:left w:val="nil" w:sz="6" w:space="0" w:color="auto"/>
              <w:bottom w:val="nil" w:sz="6" w:space="0" w:color="auto"/>
              <w:right w:val="nil" w:sz="6" w:space="0" w:color="auto"/>
            </w:tcBorders>
          </w:tcPr>
          <w:p>
            <w:pPr>
              <w:pStyle w:val="TableParagraph"/>
              <w:tabs>
                <w:tab w:pos="630" w:val="left" w:leader="none"/>
              </w:tabs>
              <w:spacing w:line="240" w:lineRule="auto" w:before="82"/>
              <w:ind w:right="258"/>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Arial" w:hAnsi="Arial" w:cs="Arial" w:eastAsia="Arial" w:hint="default"/>
                <w:sz w:val="18"/>
                <w:szCs w:val="18"/>
              </w:rPr>
            </w:pPr>
            <w:r>
              <w:rPr>
                <w:rFonts w:ascii="Arial"/>
                <w:w w:val="99"/>
                <w:sz w:val="18"/>
              </w:rPr>
            </w:r>
            <w:r>
              <w:rPr>
                <w:rFonts w:ascii="Arial"/>
                <w:spacing w:val="-1"/>
                <w:sz w:val="18"/>
                <w:u w:val="single" w:color="000000"/>
              </w:rPr>
              <w:t>20,111,681</w:t>
            </w:r>
            <w:r>
              <w:rPr>
                <w:rFonts w:ascii="Arial"/>
                <w:spacing w:val="-1"/>
                <w:sz w:val="18"/>
              </w:rPr>
            </w:r>
          </w:p>
        </w:tc>
      </w:tr>
      <w:tr>
        <w:trPr>
          <w:trHeight w:val="395" w:hRule="exact"/>
        </w:trPr>
        <w:tc>
          <w:tcPr>
            <w:tcW w:w="4454" w:type="dxa"/>
            <w:tcBorders>
              <w:top w:val="nil" w:sz="6" w:space="0" w:color="auto"/>
              <w:left w:val="nil" w:sz="6" w:space="0" w:color="auto"/>
              <w:bottom w:val="nil" w:sz="6" w:space="0" w:color="auto"/>
              <w:right w:val="nil" w:sz="6" w:space="0" w:color="auto"/>
            </w:tcBorders>
          </w:tcPr>
          <w:p>
            <w:pPr>
              <w:pStyle w:val="TableParagraph"/>
              <w:tabs>
                <w:tab w:pos="1519" w:val="left" w:leader="none"/>
              </w:tabs>
              <w:spacing w:line="240" w:lineRule="auto" w:before="67"/>
              <w:ind w:right="305"/>
              <w:jc w:val="right"/>
              <w:rPr>
                <w:rFonts w:ascii="Arial" w:hAnsi="Arial" w:cs="Arial" w:eastAsia="Arial" w:hint="default"/>
                <w:sz w:val="18"/>
                <w:szCs w:val="18"/>
              </w:rPr>
            </w:pPr>
            <w:r>
              <w:rPr>
                <w:rFonts w:ascii="Arial"/>
                <w:w w:val="99"/>
                <w:sz w:val="18"/>
              </w:rPr>
            </w:r>
            <w:r>
              <w:rPr>
                <w:rFonts w:ascii="Arial"/>
                <w:spacing w:val="-1"/>
                <w:sz w:val="18"/>
                <w:u w:val="thick" w:color="000000"/>
              </w:rPr>
              <w:t>24,420,507</w:t>
            </w:r>
            <w:r>
              <w:rPr>
                <w:rFonts w:ascii="Arial"/>
                <w:spacing w:val="-1"/>
                <w:sz w:val="18"/>
              </w:rPr>
              <w:tab/>
            </w:r>
            <w:r>
              <w:rPr>
                <w:rFonts w:ascii="Arial"/>
                <w:spacing w:val="-1"/>
                <w:sz w:val="18"/>
                <w:u w:val="thick" w:color="000000"/>
              </w:rPr>
              <w:t>6,572,646</w:t>
            </w:r>
            <w:r>
              <w:rPr>
                <w:rFonts w:ascii="Arial"/>
                <w:spacing w:val="-1"/>
                <w:sz w:val="18"/>
              </w:rPr>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02" w:right="0"/>
              <w:jc w:val="center"/>
              <w:rPr>
                <w:rFonts w:ascii="Arial" w:hAnsi="Arial" w:cs="Arial" w:eastAsia="Arial" w:hint="default"/>
                <w:sz w:val="18"/>
                <w:szCs w:val="18"/>
              </w:rPr>
            </w:pPr>
            <w:r>
              <w:rPr>
                <w:rFonts w:ascii="Arial"/>
                <w:w w:val="99"/>
                <w:sz w:val="18"/>
              </w:rPr>
            </w:r>
            <w:r>
              <w:rPr>
                <w:rFonts w:ascii="Arial"/>
                <w:sz w:val="18"/>
                <w:u w:val="thick" w:color="000000"/>
              </w:rPr>
              <w:t>6,228,167</w:t>
            </w:r>
            <w:r>
              <w:rPr>
                <w:rFonts w:ascii="Arial"/>
                <w:sz w:val="18"/>
              </w:rPr>
            </w:r>
          </w:p>
        </w:tc>
        <w:tc>
          <w:tcPr>
            <w:tcW w:w="1470" w:type="dxa"/>
            <w:tcBorders>
              <w:top w:val="nil" w:sz="6" w:space="0" w:color="auto"/>
              <w:left w:val="nil" w:sz="6" w:space="0" w:color="auto"/>
              <w:bottom w:val="nil" w:sz="6" w:space="0" w:color="auto"/>
              <w:right w:val="nil" w:sz="6" w:space="0" w:color="auto"/>
            </w:tcBorders>
          </w:tcPr>
          <w:p>
            <w:pPr>
              <w:pStyle w:val="TableParagraph"/>
              <w:tabs>
                <w:tab w:pos="630" w:val="left" w:leader="none"/>
              </w:tabs>
              <w:spacing w:line="240" w:lineRule="auto" w:before="67"/>
              <w:ind w:right="258"/>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z w:val="18"/>
                <w:u w:val="thick" w:color="000000"/>
              </w:rPr>
              <w:tab/>
              <w:t>-</w:t>
            </w:r>
            <w:r>
              <w:rPr>
                <w:rFonts w:ascii="Arial"/>
                <w:sz w:val="18"/>
              </w:rPr>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Arial" w:hAnsi="Arial" w:cs="Arial" w:eastAsia="Arial" w:hint="default"/>
                <w:sz w:val="18"/>
                <w:szCs w:val="18"/>
              </w:rPr>
            </w:pPr>
            <w:r>
              <w:rPr>
                <w:rFonts w:ascii="Arial"/>
                <w:w w:val="99"/>
                <w:sz w:val="18"/>
              </w:rPr>
            </w:r>
            <w:r>
              <w:rPr>
                <w:rFonts w:ascii="Arial"/>
                <w:spacing w:val="-1"/>
                <w:sz w:val="18"/>
                <w:u w:val="thick" w:color="000000"/>
              </w:rPr>
              <w:t>24,764,986</w:t>
            </w:r>
            <w:r>
              <w:rPr>
                <w:rFonts w:ascii="Arial"/>
                <w:spacing w:val="-1"/>
                <w:sz w:val="18"/>
              </w:rPr>
            </w:r>
          </w:p>
        </w:tc>
      </w:tr>
      <w:tr>
        <w:trPr>
          <w:trHeight w:val="475" w:hRule="exact"/>
        </w:trPr>
        <w:tc>
          <w:tcPr>
            <w:tcW w:w="4454" w:type="dxa"/>
            <w:tcBorders>
              <w:top w:val="nil" w:sz="6" w:space="0" w:color="auto"/>
              <w:left w:val="nil" w:sz="6" w:space="0" w:color="auto"/>
              <w:bottom w:val="nil" w:sz="6" w:space="0" w:color="auto"/>
              <w:right w:val="nil" w:sz="6" w:space="0" w:color="auto"/>
            </w:tcBorders>
          </w:tcPr>
          <w:p>
            <w:pPr>
              <w:pStyle w:val="TableParagraph"/>
              <w:tabs>
                <w:tab w:pos="754" w:val="left" w:leader="none"/>
              </w:tabs>
              <w:spacing w:line="240" w:lineRule="auto" w:before="64"/>
              <w:ind w:left="35" w:right="0"/>
              <w:jc w:val="left"/>
              <w:rPr>
                <w:rFonts w:ascii="黑体" w:hAnsi="黑体" w:cs="黑体" w:eastAsia="黑体" w:hint="default"/>
                <w:sz w:val="20"/>
                <w:szCs w:val="20"/>
              </w:rPr>
            </w:pPr>
            <w:r>
              <w:rPr>
                <w:rFonts w:ascii="Arial" w:hAnsi="Arial" w:cs="Arial" w:eastAsia="Arial" w:hint="default"/>
                <w:b/>
                <w:bCs/>
                <w:spacing w:val="-1"/>
                <w:sz w:val="20"/>
                <w:szCs w:val="20"/>
              </w:rPr>
              <w:t>17.</w:t>
              <w:tab/>
            </w:r>
            <w:r>
              <w:rPr>
                <w:rFonts w:ascii="黑体" w:hAnsi="黑体" w:cs="黑体" w:eastAsia="黑体" w:hint="default"/>
                <w:b/>
                <w:bCs/>
                <w:sz w:val="20"/>
                <w:szCs w:val="20"/>
              </w:rPr>
              <w:t>递延所得税资产</w:t>
            </w:r>
            <w:r>
              <w:rPr>
                <w:rFonts w:ascii="Arial" w:hAnsi="Arial" w:cs="Arial" w:eastAsia="Arial" w:hint="default"/>
                <w:b/>
                <w:bCs/>
                <w:sz w:val="20"/>
                <w:szCs w:val="20"/>
              </w:rPr>
              <w:t>/</w:t>
            </w:r>
            <w:r>
              <w:rPr>
                <w:rFonts w:ascii="黑体" w:hAnsi="黑体" w:cs="黑体" w:eastAsia="黑体" w:hint="default"/>
                <w:b/>
                <w:bCs/>
                <w:sz w:val="20"/>
                <w:szCs w:val="20"/>
              </w:rPr>
              <w:t>负债</w:t>
            </w:r>
            <w:r>
              <w:rPr>
                <w:rFonts w:ascii="黑体" w:hAnsi="黑体" w:cs="黑体" w:eastAsia="黑体" w:hint="default"/>
                <w:sz w:val="20"/>
                <w:szCs w:val="20"/>
              </w:rPr>
            </w:r>
          </w:p>
        </w:tc>
        <w:tc>
          <w:tcPr>
            <w:tcW w:w="1318"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nil" w:sz="6" w:space="0" w:color="auto"/>
            </w:tcBorders>
          </w:tcPr>
          <w:p>
            <w:pPr/>
          </w:p>
        </w:tc>
      </w:tr>
      <w:tr>
        <w:trPr>
          <w:trHeight w:val="479" w:hRule="exact"/>
        </w:trPr>
        <w:tc>
          <w:tcPr>
            <w:tcW w:w="44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744" w:right="0"/>
              <w:jc w:val="left"/>
              <w:rPr>
                <w:rFonts w:ascii="黑体" w:hAnsi="黑体" w:cs="黑体" w:eastAsia="黑体" w:hint="default"/>
                <w:sz w:val="20"/>
                <w:szCs w:val="20"/>
              </w:rPr>
            </w:pPr>
            <w:r>
              <w:rPr>
                <w:rFonts w:ascii="黑体" w:hAnsi="黑体" w:cs="黑体" w:eastAsia="黑体" w:hint="default"/>
                <w:sz w:val="20"/>
                <w:szCs w:val="20"/>
              </w:rPr>
              <w:t>已确认的递延所得税资产和负债：</w:t>
            </w:r>
          </w:p>
        </w:tc>
        <w:tc>
          <w:tcPr>
            <w:tcW w:w="1318"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nil" w:sz="6" w:space="0" w:color="auto"/>
            </w:tcBorders>
          </w:tcPr>
          <w:p>
            <w:pPr/>
          </w:p>
        </w:tc>
      </w:tr>
      <w:tr>
        <w:trPr>
          <w:trHeight w:val="682" w:hRule="exact"/>
        </w:trPr>
        <w:tc>
          <w:tcPr>
            <w:tcW w:w="4454"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68" w:lineRule="exact" w:before="76"/>
              <w:ind w:left="564"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p>
            <w:pPr>
              <w:pStyle w:val="TableParagraph"/>
              <w:spacing w:line="268" w:lineRule="exact"/>
              <w:ind w:left="363" w:right="0"/>
              <w:jc w:val="left"/>
              <w:rPr>
                <w:rFonts w:ascii="黑体" w:hAnsi="黑体" w:cs="黑体" w:eastAsia="黑体" w:hint="default"/>
                <w:sz w:val="20"/>
                <w:szCs w:val="20"/>
              </w:rPr>
            </w:pP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tc>
        <w:tc>
          <w:tcPr>
            <w:tcW w:w="1298" w:type="dxa"/>
            <w:tcBorders>
              <w:top w:val="nil" w:sz="6" w:space="0" w:color="auto"/>
              <w:left w:val="nil" w:sz="6" w:space="0" w:color="auto"/>
              <w:bottom w:val="nil" w:sz="6" w:space="0" w:color="auto"/>
              <w:right w:val="nil" w:sz="6" w:space="0" w:color="auto"/>
            </w:tcBorders>
          </w:tcPr>
          <w:p>
            <w:pPr>
              <w:pStyle w:val="TableParagraph"/>
              <w:spacing w:line="268" w:lineRule="exact" w:before="76"/>
              <w:ind w:left="616"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p>
            <w:pPr>
              <w:pStyle w:val="TableParagraph"/>
              <w:spacing w:line="268" w:lineRule="exact"/>
              <w:ind w:left="415" w:right="0"/>
              <w:jc w:val="left"/>
              <w:rPr>
                <w:rFonts w:ascii="黑体" w:hAnsi="黑体" w:cs="黑体" w:eastAsia="黑体" w:hint="default"/>
                <w:sz w:val="20"/>
                <w:szCs w:val="20"/>
              </w:rPr>
            </w:pP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tc>
      </w:tr>
      <w:tr>
        <w:trPr>
          <w:trHeight w:val="305" w:hRule="exact"/>
        </w:trPr>
        <w:tc>
          <w:tcPr>
            <w:tcW w:w="445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755" w:right="0"/>
              <w:jc w:val="left"/>
              <w:rPr>
                <w:rFonts w:ascii="黑体" w:hAnsi="黑体" w:cs="黑体" w:eastAsia="黑体" w:hint="default"/>
                <w:sz w:val="20"/>
                <w:szCs w:val="20"/>
              </w:rPr>
            </w:pPr>
            <w:r>
              <w:rPr>
                <w:rFonts w:ascii="黑体" w:hAnsi="黑体" w:cs="黑体" w:eastAsia="黑体" w:hint="default"/>
                <w:sz w:val="20"/>
                <w:szCs w:val="20"/>
              </w:rPr>
              <w:t>递延所得税资产</w:t>
            </w:r>
          </w:p>
        </w:tc>
        <w:tc>
          <w:tcPr>
            <w:tcW w:w="1318"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nil" w:sz="6" w:space="0" w:color="auto"/>
            </w:tcBorders>
          </w:tcPr>
          <w:p>
            <w:pPr/>
          </w:p>
        </w:tc>
      </w:tr>
      <w:tr>
        <w:trPr>
          <w:trHeight w:val="263" w:hRule="exact"/>
        </w:trPr>
        <w:tc>
          <w:tcPr>
            <w:tcW w:w="4454" w:type="dxa"/>
            <w:tcBorders>
              <w:top w:val="nil" w:sz="6" w:space="0" w:color="auto"/>
              <w:left w:val="nil" w:sz="6" w:space="0" w:color="auto"/>
              <w:bottom w:val="nil" w:sz="6" w:space="0" w:color="auto"/>
              <w:right w:val="nil" w:sz="6" w:space="0" w:color="auto"/>
            </w:tcBorders>
          </w:tcPr>
          <w:p>
            <w:pPr>
              <w:pStyle w:val="TableParagraph"/>
              <w:spacing w:line="230" w:lineRule="exact"/>
              <w:ind w:left="917" w:right="0"/>
              <w:jc w:val="left"/>
              <w:rPr>
                <w:rFonts w:ascii="黑体" w:hAnsi="黑体" w:cs="黑体" w:eastAsia="黑体" w:hint="default"/>
                <w:sz w:val="20"/>
                <w:szCs w:val="20"/>
              </w:rPr>
            </w:pPr>
            <w:r>
              <w:rPr>
                <w:rFonts w:ascii="黑体" w:hAnsi="黑体" w:cs="黑体" w:eastAsia="黑体" w:hint="default"/>
                <w:sz w:val="20"/>
                <w:szCs w:val="20"/>
              </w:rPr>
              <w:t>交易性金融资产公允价值变动损失</w:t>
            </w:r>
          </w:p>
        </w:tc>
        <w:tc>
          <w:tcPr>
            <w:tcW w:w="1318"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58"/>
              <w:jc w:val="right"/>
              <w:rPr>
                <w:rFonts w:ascii="Arial" w:hAnsi="Arial" w:cs="Arial" w:eastAsia="Arial" w:hint="default"/>
                <w:sz w:val="20"/>
                <w:szCs w:val="20"/>
              </w:rPr>
            </w:pPr>
            <w:r>
              <w:rPr>
                <w:rFonts w:ascii="Arial"/>
                <w:w w:val="100"/>
                <w:sz w:val="20"/>
              </w:rPr>
              <w:t>-</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4"/>
              <w:jc w:val="right"/>
              <w:rPr>
                <w:rFonts w:ascii="Arial" w:hAnsi="Arial" w:cs="Arial" w:eastAsia="Arial" w:hint="default"/>
                <w:sz w:val="20"/>
                <w:szCs w:val="20"/>
              </w:rPr>
            </w:pPr>
            <w:r>
              <w:rPr>
                <w:rFonts w:ascii="Arial"/>
                <w:spacing w:val="-1"/>
                <w:sz w:val="20"/>
              </w:rPr>
              <w:t>7,989,486</w:t>
            </w:r>
          </w:p>
        </w:tc>
      </w:tr>
      <w:tr>
        <w:trPr>
          <w:trHeight w:val="259" w:hRule="exact"/>
        </w:trPr>
        <w:tc>
          <w:tcPr>
            <w:tcW w:w="4454" w:type="dxa"/>
            <w:tcBorders>
              <w:top w:val="nil" w:sz="6" w:space="0" w:color="auto"/>
              <w:left w:val="nil" w:sz="6" w:space="0" w:color="auto"/>
              <w:bottom w:val="nil" w:sz="6" w:space="0" w:color="auto"/>
              <w:right w:val="nil" w:sz="6" w:space="0" w:color="auto"/>
            </w:tcBorders>
          </w:tcPr>
          <w:p>
            <w:pPr>
              <w:pStyle w:val="TableParagraph"/>
              <w:spacing w:line="226" w:lineRule="exact"/>
              <w:ind w:left="917" w:right="0"/>
              <w:jc w:val="left"/>
              <w:rPr>
                <w:rFonts w:ascii="黑体" w:hAnsi="黑体" w:cs="黑体" w:eastAsia="黑体" w:hint="default"/>
                <w:sz w:val="20"/>
                <w:szCs w:val="20"/>
              </w:rPr>
            </w:pPr>
            <w:r>
              <w:rPr>
                <w:rFonts w:ascii="黑体" w:hAnsi="黑体" w:cs="黑体" w:eastAsia="黑体" w:hint="default"/>
                <w:sz w:val="20"/>
                <w:szCs w:val="20"/>
              </w:rPr>
              <w:t>内部未实现销售利润</w:t>
            </w:r>
          </w:p>
        </w:tc>
        <w:tc>
          <w:tcPr>
            <w:tcW w:w="1318"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57"/>
              <w:jc w:val="right"/>
              <w:rPr>
                <w:rFonts w:ascii="Arial" w:hAnsi="Arial" w:cs="Arial" w:eastAsia="Arial" w:hint="default"/>
                <w:sz w:val="20"/>
                <w:szCs w:val="20"/>
              </w:rPr>
            </w:pPr>
            <w:r>
              <w:rPr>
                <w:rFonts w:ascii="Arial"/>
                <w:spacing w:val="-1"/>
                <w:sz w:val="20"/>
              </w:rPr>
              <w:t>1,795,375</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1,183,154</w:t>
            </w:r>
          </w:p>
        </w:tc>
      </w:tr>
      <w:tr>
        <w:trPr>
          <w:trHeight w:val="259" w:hRule="exact"/>
        </w:trPr>
        <w:tc>
          <w:tcPr>
            <w:tcW w:w="4454" w:type="dxa"/>
            <w:tcBorders>
              <w:top w:val="nil" w:sz="6" w:space="0" w:color="auto"/>
              <w:left w:val="nil" w:sz="6" w:space="0" w:color="auto"/>
              <w:bottom w:val="nil" w:sz="6" w:space="0" w:color="auto"/>
              <w:right w:val="nil" w:sz="6" w:space="0" w:color="auto"/>
            </w:tcBorders>
          </w:tcPr>
          <w:p>
            <w:pPr>
              <w:pStyle w:val="TableParagraph"/>
              <w:spacing w:line="226" w:lineRule="exact"/>
              <w:ind w:left="917" w:right="0"/>
              <w:jc w:val="left"/>
              <w:rPr>
                <w:rFonts w:ascii="黑体" w:hAnsi="黑体" w:cs="黑体" w:eastAsia="黑体" w:hint="default"/>
                <w:sz w:val="20"/>
                <w:szCs w:val="20"/>
              </w:rPr>
            </w:pPr>
            <w:r>
              <w:rPr>
                <w:rFonts w:ascii="黑体" w:hAnsi="黑体" w:cs="黑体" w:eastAsia="黑体" w:hint="default"/>
                <w:sz w:val="20"/>
                <w:szCs w:val="20"/>
              </w:rPr>
              <w:t>预提费用</w:t>
            </w:r>
          </w:p>
        </w:tc>
        <w:tc>
          <w:tcPr>
            <w:tcW w:w="1318"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57"/>
              <w:jc w:val="right"/>
              <w:rPr>
                <w:rFonts w:ascii="Arial" w:hAnsi="Arial" w:cs="Arial" w:eastAsia="Arial" w:hint="default"/>
                <w:sz w:val="20"/>
                <w:szCs w:val="20"/>
              </w:rPr>
            </w:pPr>
            <w:r>
              <w:rPr>
                <w:rFonts w:ascii="Arial"/>
                <w:spacing w:val="-1"/>
                <w:sz w:val="20"/>
              </w:rPr>
              <w:t>880,371</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384,139</w:t>
            </w:r>
          </w:p>
        </w:tc>
      </w:tr>
      <w:tr>
        <w:trPr>
          <w:trHeight w:val="259" w:hRule="exact"/>
        </w:trPr>
        <w:tc>
          <w:tcPr>
            <w:tcW w:w="4454" w:type="dxa"/>
            <w:tcBorders>
              <w:top w:val="nil" w:sz="6" w:space="0" w:color="auto"/>
              <w:left w:val="nil" w:sz="6" w:space="0" w:color="auto"/>
              <w:bottom w:val="nil" w:sz="6" w:space="0" w:color="auto"/>
              <w:right w:val="nil" w:sz="6" w:space="0" w:color="auto"/>
            </w:tcBorders>
          </w:tcPr>
          <w:p>
            <w:pPr>
              <w:pStyle w:val="TableParagraph"/>
              <w:spacing w:line="226" w:lineRule="exact"/>
              <w:ind w:left="917" w:right="0"/>
              <w:jc w:val="left"/>
              <w:rPr>
                <w:rFonts w:ascii="黑体" w:hAnsi="黑体" w:cs="黑体" w:eastAsia="黑体" w:hint="default"/>
                <w:sz w:val="20"/>
                <w:szCs w:val="20"/>
              </w:rPr>
            </w:pPr>
            <w:r>
              <w:rPr>
                <w:rFonts w:ascii="黑体" w:hAnsi="黑体" w:cs="黑体" w:eastAsia="黑体" w:hint="default"/>
                <w:sz w:val="20"/>
                <w:szCs w:val="20"/>
              </w:rPr>
              <w:t>固定资产折旧差异</w:t>
            </w:r>
          </w:p>
        </w:tc>
        <w:tc>
          <w:tcPr>
            <w:tcW w:w="1318"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57"/>
              <w:jc w:val="right"/>
              <w:rPr>
                <w:rFonts w:ascii="Arial" w:hAnsi="Arial" w:cs="Arial" w:eastAsia="Arial" w:hint="default"/>
                <w:sz w:val="20"/>
                <w:szCs w:val="20"/>
              </w:rPr>
            </w:pPr>
            <w:r>
              <w:rPr>
                <w:rFonts w:ascii="Arial"/>
                <w:sz w:val="20"/>
              </w:rPr>
              <w:t>34,386</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228,249</w:t>
            </w:r>
          </w:p>
        </w:tc>
      </w:tr>
      <w:tr>
        <w:trPr>
          <w:trHeight w:val="259" w:hRule="exact"/>
        </w:trPr>
        <w:tc>
          <w:tcPr>
            <w:tcW w:w="4454" w:type="dxa"/>
            <w:tcBorders>
              <w:top w:val="nil" w:sz="6" w:space="0" w:color="auto"/>
              <w:left w:val="nil" w:sz="6" w:space="0" w:color="auto"/>
              <w:bottom w:val="nil" w:sz="6" w:space="0" w:color="auto"/>
              <w:right w:val="nil" w:sz="6" w:space="0" w:color="auto"/>
            </w:tcBorders>
          </w:tcPr>
          <w:p>
            <w:pPr>
              <w:pStyle w:val="TableParagraph"/>
              <w:spacing w:line="226" w:lineRule="exact"/>
              <w:ind w:left="917" w:right="0"/>
              <w:jc w:val="left"/>
              <w:rPr>
                <w:rFonts w:ascii="黑体" w:hAnsi="黑体" w:cs="黑体" w:eastAsia="黑体" w:hint="default"/>
                <w:sz w:val="20"/>
                <w:szCs w:val="20"/>
              </w:rPr>
            </w:pPr>
            <w:r>
              <w:rPr>
                <w:rFonts w:ascii="黑体" w:hAnsi="黑体" w:cs="黑体" w:eastAsia="黑体" w:hint="default"/>
                <w:sz w:val="20"/>
                <w:szCs w:val="20"/>
              </w:rPr>
              <w:t>资产减值准备</w:t>
            </w:r>
          </w:p>
        </w:tc>
        <w:tc>
          <w:tcPr>
            <w:tcW w:w="1318"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57"/>
              <w:jc w:val="right"/>
              <w:rPr>
                <w:rFonts w:ascii="Arial" w:hAnsi="Arial" w:cs="Arial" w:eastAsia="Arial" w:hint="default"/>
                <w:sz w:val="20"/>
                <w:szCs w:val="20"/>
              </w:rPr>
            </w:pPr>
            <w:r>
              <w:rPr>
                <w:rFonts w:ascii="Arial"/>
                <w:spacing w:val="-1"/>
                <w:sz w:val="20"/>
              </w:rPr>
              <w:t>792,879</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873,561</w:t>
            </w:r>
          </w:p>
        </w:tc>
      </w:tr>
      <w:tr>
        <w:trPr>
          <w:trHeight w:val="260" w:hRule="exact"/>
        </w:trPr>
        <w:tc>
          <w:tcPr>
            <w:tcW w:w="4454" w:type="dxa"/>
            <w:tcBorders>
              <w:top w:val="nil" w:sz="6" w:space="0" w:color="auto"/>
              <w:left w:val="nil" w:sz="6" w:space="0" w:color="auto"/>
              <w:bottom w:val="nil" w:sz="6" w:space="0" w:color="auto"/>
              <w:right w:val="nil" w:sz="6" w:space="0" w:color="auto"/>
            </w:tcBorders>
          </w:tcPr>
          <w:p>
            <w:pPr>
              <w:pStyle w:val="TableParagraph"/>
              <w:spacing w:line="226" w:lineRule="exact"/>
              <w:ind w:left="917" w:right="0"/>
              <w:jc w:val="left"/>
              <w:rPr>
                <w:rFonts w:ascii="黑体" w:hAnsi="黑体" w:cs="黑体" w:eastAsia="黑体" w:hint="default"/>
                <w:sz w:val="20"/>
                <w:szCs w:val="20"/>
              </w:rPr>
            </w:pPr>
            <w:r>
              <w:rPr>
                <w:rFonts w:ascii="黑体" w:hAnsi="黑体" w:cs="黑体" w:eastAsia="黑体" w:hint="default"/>
                <w:sz w:val="20"/>
                <w:szCs w:val="20"/>
              </w:rPr>
              <w:t>政府补助</w:t>
            </w:r>
          </w:p>
        </w:tc>
        <w:tc>
          <w:tcPr>
            <w:tcW w:w="1318"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57"/>
              <w:jc w:val="right"/>
              <w:rPr>
                <w:rFonts w:ascii="Arial" w:hAnsi="Arial" w:cs="Arial" w:eastAsia="Arial" w:hint="default"/>
                <w:sz w:val="20"/>
                <w:szCs w:val="20"/>
              </w:rPr>
            </w:pPr>
            <w:r>
              <w:rPr>
                <w:rFonts w:ascii="Arial"/>
                <w:spacing w:val="-1"/>
                <w:sz w:val="20"/>
              </w:rPr>
              <w:t>900,000</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w w:val="100"/>
                <w:sz w:val="20"/>
              </w:rPr>
              <w:t>-</w:t>
            </w:r>
          </w:p>
        </w:tc>
      </w:tr>
      <w:tr>
        <w:trPr>
          <w:trHeight w:val="262" w:hRule="exact"/>
        </w:trPr>
        <w:tc>
          <w:tcPr>
            <w:tcW w:w="4454" w:type="dxa"/>
            <w:tcBorders>
              <w:top w:val="nil" w:sz="6" w:space="0" w:color="auto"/>
              <w:left w:val="nil" w:sz="6" w:space="0" w:color="auto"/>
              <w:bottom w:val="nil" w:sz="6" w:space="0" w:color="auto"/>
              <w:right w:val="nil" w:sz="6" w:space="0" w:color="auto"/>
            </w:tcBorders>
          </w:tcPr>
          <w:p>
            <w:pPr>
              <w:pStyle w:val="TableParagraph"/>
              <w:spacing w:line="227" w:lineRule="exact"/>
              <w:ind w:left="917" w:right="0"/>
              <w:jc w:val="left"/>
              <w:rPr>
                <w:rFonts w:ascii="黑体" w:hAnsi="黑体" w:cs="黑体" w:eastAsia="黑体" w:hint="default"/>
                <w:sz w:val="20"/>
                <w:szCs w:val="20"/>
              </w:rPr>
            </w:pPr>
            <w:r>
              <w:rPr>
                <w:rFonts w:ascii="黑体" w:hAnsi="黑体" w:cs="黑体" w:eastAsia="黑体" w:hint="default"/>
                <w:sz w:val="20"/>
                <w:szCs w:val="20"/>
              </w:rPr>
              <w:t>未支付的应付职工薪酬</w:t>
            </w:r>
          </w:p>
        </w:tc>
        <w:tc>
          <w:tcPr>
            <w:tcW w:w="1318"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58"/>
              <w:jc w:val="right"/>
              <w:rPr>
                <w:rFonts w:ascii="Arial" w:hAnsi="Arial" w:cs="Arial" w:eastAsia="Arial" w:hint="default"/>
                <w:sz w:val="20"/>
                <w:szCs w:val="20"/>
              </w:rPr>
            </w:pPr>
            <w:r>
              <w:rPr>
                <w:rFonts w:ascii="Arial"/>
                <w:w w:val="100"/>
                <w:sz w:val="20"/>
              </w:rPr>
            </w:r>
            <w:r>
              <w:rPr>
                <w:rFonts w:ascii="Arial"/>
                <w:spacing w:val="-1"/>
                <w:sz w:val="20"/>
                <w:u w:val="single" w:color="000000"/>
              </w:rPr>
              <w:t>34,727,771</w:t>
            </w:r>
            <w:r>
              <w:rPr>
                <w:rFonts w:ascii="Arial"/>
                <w:spacing w:val="-1"/>
                <w:sz w:val="20"/>
              </w:rPr>
            </w:r>
          </w:p>
        </w:tc>
        <w:tc>
          <w:tcPr>
            <w:tcW w:w="1298" w:type="dxa"/>
            <w:tcBorders>
              <w:top w:val="nil" w:sz="6" w:space="0" w:color="auto"/>
              <w:left w:val="nil" w:sz="6" w:space="0" w:color="auto"/>
              <w:bottom w:val="nil" w:sz="6" w:space="0" w:color="auto"/>
              <w:right w:val="nil" w:sz="6" w:space="0" w:color="auto"/>
            </w:tcBorders>
          </w:tcPr>
          <w:p>
            <w:pPr>
              <w:pStyle w:val="TableParagraph"/>
              <w:tabs>
                <w:tab w:pos="919" w:val="left" w:leader="none"/>
              </w:tabs>
              <w:spacing w:line="240" w:lineRule="auto" w:before="9"/>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328" w:hRule="exact"/>
        </w:trPr>
        <w:tc>
          <w:tcPr>
            <w:tcW w:w="4454"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58"/>
              <w:jc w:val="right"/>
              <w:rPr>
                <w:rFonts w:ascii="Arial" w:hAnsi="Arial" w:cs="Arial" w:eastAsia="Arial" w:hint="default"/>
                <w:sz w:val="20"/>
                <w:szCs w:val="20"/>
              </w:rPr>
            </w:pPr>
            <w:r>
              <w:rPr>
                <w:rFonts w:ascii="Arial"/>
                <w:w w:val="100"/>
                <w:sz w:val="20"/>
              </w:rPr>
            </w:r>
            <w:r>
              <w:rPr>
                <w:rFonts w:ascii="Arial"/>
                <w:spacing w:val="-1"/>
                <w:sz w:val="20"/>
                <w:u w:val="thick" w:color="000000"/>
              </w:rPr>
              <w:t>39,130,782</w:t>
            </w:r>
            <w:r>
              <w:rPr>
                <w:rFonts w:ascii="Arial"/>
                <w:spacing w:val="-1"/>
                <w:sz w:val="20"/>
              </w:rPr>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4"/>
              <w:jc w:val="right"/>
              <w:rPr>
                <w:rFonts w:ascii="Arial" w:hAnsi="Arial" w:cs="Arial" w:eastAsia="Arial" w:hint="default"/>
                <w:sz w:val="20"/>
                <w:szCs w:val="20"/>
              </w:rPr>
            </w:pPr>
            <w:r>
              <w:rPr>
                <w:rFonts w:ascii="Arial"/>
                <w:w w:val="100"/>
                <w:sz w:val="20"/>
              </w:rPr>
            </w:r>
            <w:r>
              <w:rPr>
                <w:rFonts w:ascii="Arial"/>
                <w:spacing w:val="-1"/>
                <w:sz w:val="20"/>
                <w:u w:val="thick" w:color="000000"/>
              </w:rPr>
              <w:t>10,658,589</w:t>
            </w:r>
            <w:r>
              <w:rPr>
                <w:rFonts w:ascii="Arial"/>
                <w:spacing w:val="-1"/>
                <w:sz w:val="20"/>
              </w:rPr>
            </w:r>
          </w:p>
        </w:tc>
      </w:tr>
    </w:tbl>
    <w:p>
      <w:pPr>
        <w:spacing w:line="240" w:lineRule="auto" w:before="1"/>
        <w:rPr>
          <w:rFonts w:ascii="黑体" w:hAnsi="黑体" w:cs="黑体" w:eastAsia="黑体" w:hint="default"/>
          <w:b/>
          <w:bCs/>
          <w:sz w:val="8"/>
          <w:szCs w:val="8"/>
        </w:rPr>
      </w:pPr>
    </w:p>
    <w:p>
      <w:pPr>
        <w:pStyle w:val="BodyText"/>
        <w:spacing w:line="260" w:lineRule="exact" w:before="38"/>
        <w:ind w:left="861" w:right="0"/>
        <w:jc w:val="left"/>
      </w:pPr>
      <w:r>
        <w:rPr/>
        <w:t>递延所得税负债</w:t>
      </w:r>
    </w:p>
    <w:p>
      <w:pPr>
        <w:pStyle w:val="BodyText"/>
        <w:tabs>
          <w:tab w:pos="6122" w:val="left" w:leader="none"/>
          <w:tab w:pos="7021" w:val="left" w:leader="none"/>
          <w:tab w:pos="7627" w:val="left" w:leader="none"/>
        </w:tabs>
        <w:spacing w:line="275" w:lineRule="exact"/>
        <w:ind w:left="1051" w:right="0"/>
        <w:jc w:val="left"/>
        <w:rPr>
          <w:rFonts w:ascii="Arial" w:hAnsi="Arial" w:cs="Arial" w:eastAsia="Arial" w:hint="default"/>
        </w:rPr>
      </w:pPr>
      <w:r>
        <w:rPr>
          <w:spacing w:val="-1"/>
        </w:rPr>
        <w:t>可供出售金融资产公允价值变动</w:t>
        <w:tab/>
      </w:r>
      <w:r>
        <w:rPr>
          <w:rFonts w:ascii="Arial" w:hAnsi="Arial" w:cs="Arial" w:eastAsia="Arial" w:hint="default"/>
          <w:spacing w:val="-1"/>
        </w:rPr>
      </w:r>
      <w:r>
        <w:rPr>
          <w:rFonts w:ascii="Arial" w:hAnsi="Arial" w:cs="Arial" w:eastAsia="Arial" w:hint="default"/>
          <w:spacing w:val="-1"/>
          <w:u w:val="thick" w:color="000000"/>
        </w:rPr>
        <w:t> </w:t>
        <w:tab/>
      </w:r>
      <w:r>
        <w:rPr>
          <w:rFonts w:ascii="Arial" w:hAnsi="Arial" w:cs="Arial" w:eastAsia="Arial" w:hint="default"/>
          <w:u w:val="thick" w:color="000000"/>
        </w:rPr>
        <w:t>-</w:t>
      </w:r>
      <w:r>
        <w:rPr>
          <w:rFonts w:ascii="Arial" w:hAnsi="Arial" w:cs="Arial" w:eastAsia="Arial" w:hint="default"/>
        </w:rPr>
        <w:tab/>
      </w:r>
      <w:r>
        <w:rPr>
          <w:rFonts w:ascii="Arial" w:hAnsi="Arial" w:cs="Arial" w:eastAsia="Arial" w:hint="default"/>
          <w:spacing w:val="-1"/>
          <w:u w:val="thick" w:color="000000"/>
        </w:rPr>
        <w:t>22,840,955</w:t>
      </w:r>
      <w:r>
        <w:rPr>
          <w:rFonts w:ascii="Arial" w:hAnsi="Arial" w:cs="Arial" w:eastAsia="Arial" w:hint="default"/>
          <w:spacing w:val="-1"/>
        </w:rPr>
      </w:r>
    </w:p>
    <w:p>
      <w:pPr>
        <w:spacing w:after="0" w:line="275" w:lineRule="exact"/>
        <w:jc w:val="left"/>
        <w:rPr>
          <w:rFonts w:ascii="Arial" w:hAnsi="Arial" w:cs="Arial" w:eastAsia="Arial" w:hint="default"/>
        </w:rPr>
        <w:sectPr>
          <w:pgSz w:w="11910" w:h="16840"/>
          <w:pgMar w:header="958" w:footer="462" w:top="2540" w:bottom="660" w:left="1560" w:right="1540"/>
        </w:sectPr>
      </w:pPr>
    </w:p>
    <w:p>
      <w:pPr>
        <w:spacing w:line="240" w:lineRule="auto" w:before="8"/>
        <w:rPr>
          <w:rFonts w:ascii="Arial" w:hAnsi="Arial" w:cs="Arial" w:eastAsia="Arial" w:hint="default"/>
          <w:sz w:val="22"/>
          <w:szCs w:val="22"/>
        </w:rPr>
      </w:pPr>
    </w:p>
    <w:p>
      <w:pPr>
        <w:spacing w:line="228" w:lineRule="exact" w:before="74"/>
        <w:ind w:left="101" w:right="304" w:firstLine="0"/>
        <w:jc w:val="left"/>
        <w:rPr>
          <w:rFonts w:ascii="Arial" w:hAnsi="Arial" w:cs="Arial" w:eastAsia="Arial" w:hint="default"/>
          <w:sz w:val="20"/>
          <w:szCs w:val="20"/>
        </w:rPr>
      </w:pPr>
      <w:r>
        <w:rPr>
          <w:rFonts w:ascii="Arial"/>
          <w:b/>
          <w:w w:val="100"/>
          <w:sz w:val="20"/>
        </w:rPr>
        <w:t>`</w:t>
      </w:r>
      <w:r>
        <w:rPr>
          <w:rFonts w:ascii="Arial"/>
          <w:w w:val="100"/>
          <w:sz w:val="20"/>
        </w:rPr>
      </w:r>
    </w:p>
    <w:p>
      <w:pPr>
        <w:tabs>
          <w:tab w:pos="803" w:val="left" w:leader="none"/>
        </w:tabs>
        <w:spacing w:line="260" w:lineRule="exact" w:before="0"/>
        <w:ind w:left="101" w:right="304"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0"/>
        <w:rPr>
          <w:rFonts w:ascii="黑体" w:hAnsi="黑体" w:cs="黑体" w:eastAsia="黑体" w:hint="default"/>
          <w:b/>
          <w:bCs/>
          <w:sz w:val="18"/>
          <w:szCs w:val="18"/>
        </w:rPr>
      </w:pPr>
    </w:p>
    <w:p>
      <w:pPr>
        <w:tabs>
          <w:tab w:pos="821" w:val="left" w:leader="none"/>
        </w:tabs>
        <w:spacing w:line="456" w:lineRule="auto" w:before="0"/>
        <w:ind w:left="815" w:right="3807" w:hanging="715"/>
        <w:jc w:val="left"/>
        <w:rPr>
          <w:rFonts w:ascii="黑体" w:hAnsi="黑体" w:cs="黑体" w:eastAsia="黑体" w:hint="default"/>
          <w:sz w:val="20"/>
          <w:szCs w:val="20"/>
        </w:rPr>
      </w:pPr>
      <w:r>
        <w:rPr>
          <w:rFonts w:ascii="Arial" w:hAnsi="Arial" w:cs="Arial" w:eastAsia="Arial" w:hint="default"/>
          <w:b/>
          <w:bCs/>
          <w:spacing w:val="-1"/>
          <w:sz w:val="20"/>
          <w:szCs w:val="20"/>
        </w:rPr>
        <w:t>17.</w:t>
        <w:tab/>
        <w:tab/>
      </w:r>
      <w:r>
        <w:rPr>
          <w:rFonts w:ascii="黑体" w:hAnsi="黑体" w:cs="黑体" w:eastAsia="黑体" w:hint="default"/>
          <w:b/>
          <w:bCs/>
          <w:sz w:val="20"/>
          <w:szCs w:val="20"/>
        </w:rPr>
        <w:t>递延所得税资产</w:t>
      </w:r>
      <w:r>
        <w:rPr>
          <w:rFonts w:ascii="Arial" w:hAnsi="Arial" w:cs="Arial" w:eastAsia="Arial" w:hint="default"/>
          <w:b/>
          <w:bCs/>
          <w:sz w:val="20"/>
          <w:szCs w:val="20"/>
        </w:rPr>
        <w:t>/</w:t>
      </w:r>
      <w:r>
        <w:rPr>
          <w:rFonts w:ascii="黑体" w:hAnsi="黑体" w:cs="黑体" w:eastAsia="黑体" w:hint="default"/>
          <w:b/>
          <w:bCs/>
          <w:sz w:val="20"/>
          <w:szCs w:val="20"/>
        </w:rPr>
        <w:t>负债（续）</w:t>
      </w:r>
      <w:r>
        <w:rPr>
          <w:rFonts w:ascii="黑体" w:hAnsi="黑体" w:cs="黑体" w:eastAsia="黑体" w:hint="default"/>
          <w:b/>
          <w:bCs/>
          <w:w w:val="99"/>
          <w:sz w:val="20"/>
          <w:szCs w:val="20"/>
        </w:rPr>
        <w:t> </w:t>
      </w:r>
      <w:r>
        <w:rPr>
          <w:rFonts w:ascii="黑体" w:hAnsi="黑体" w:cs="黑体" w:eastAsia="黑体" w:hint="default"/>
          <w:spacing w:val="-1"/>
          <w:sz w:val="20"/>
          <w:szCs w:val="20"/>
        </w:rPr>
        <w:t>引起暂时性差异的资产或负债项目对应的暂时性差异如下：</w:t>
      </w:r>
    </w:p>
    <w:p>
      <w:pPr>
        <w:spacing w:after="0" w:line="456" w:lineRule="auto"/>
        <w:jc w:val="left"/>
        <w:rPr>
          <w:rFonts w:ascii="黑体" w:hAnsi="黑体" w:cs="黑体" w:eastAsia="黑体" w:hint="default"/>
          <w:sz w:val="20"/>
          <w:szCs w:val="20"/>
        </w:rPr>
        <w:sectPr>
          <w:pgSz w:w="11910" w:h="16840"/>
          <w:pgMar w:header="958" w:footer="462" w:top="2540" w:bottom="660" w:left="1600" w:right="4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pStyle w:val="BodyText"/>
        <w:spacing w:line="240" w:lineRule="auto" w:before="132"/>
        <w:ind w:left="822" w:right="-13"/>
        <w:jc w:val="left"/>
      </w:pPr>
      <w:r>
        <w:rPr>
          <w:spacing w:val="-1"/>
        </w:rPr>
        <w:t>递延所得税资产</w:t>
      </w:r>
    </w:p>
    <w:p>
      <w:pPr>
        <w:pStyle w:val="BodyText"/>
        <w:tabs>
          <w:tab w:pos="2178" w:val="left" w:leader="none"/>
        </w:tabs>
        <w:spacing w:line="268" w:lineRule="exact" w:before="138"/>
        <w:ind w:left="0" w:right="192"/>
        <w:jc w:val="center"/>
      </w:pPr>
      <w:r>
        <w:rPr>
          <w:spacing w:val="-1"/>
        </w:rPr>
        <w:br w:type="column"/>
      </w:r>
      <w:r>
        <w:rPr>
          <w:rFonts w:ascii="Arial" w:hAnsi="Arial" w:cs="Arial" w:eastAsia="Arial" w:hint="default"/>
          <w:spacing w:val="-1"/>
        </w:rPr>
        <w:t>2009</w:t>
      </w:r>
      <w:r>
        <w:rPr>
          <w:spacing w:val="-1"/>
        </w:rPr>
        <w:t>年</w:t>
        <w:tab/>
      </w:r>
      <w:r>
        <w:rPr>
          <w:rFonts w:ascii="Arial" w:hAnsi="Arial" w:cs="Arial" w:eastAsia="Arial" w:hint="default"/>
          <w:spacing w:val="-1"/>
        </w:rPr>
        <w:t>2008</w:t>
      </w:r>
      <w:r>
        <w:rPr>
          <w:spacing w:val="-1"/>
        </w:rPr>
        <w:t>年</w:t>
      </w:r>
    </w:p>
    <w:p>
      <w:pPr>
        <w:pStyle w:val="BodyText"/>
        <w:tabs>
          <w:tab w:pos="2178" w:val="left" w:leader="none"/>
        </w:tabs>
        <w:spacing w:line="268" w:lineRule="exact"/>
        <w:ind w:left="0" w:right="392"/>
        <w:jc w:val="center"/>
      </w:pP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tab/>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r>
    </w:p>
    <w:p>
      <w:pPr>
        <w:spacing w:after="0" w:line="268" w:lineRule="exact"/>
        <w:jc w:val="center"/>
        <w:sectPr>
          <w:type w:val="continuous"/>
          <w:pgSz w:w="11910" w:h="16840"/>
          <w:pgMar w:top="900" w:bottom="280" w:left="1600" w:right="480"/>
          <w:cols w:num="2" w:equalWidth="0">
            <w:col w:w="2223" w:space="2538"/>
            <w:col w:w="5069"/>
          </w:cols>
        </w:sectPr>
      </w:pPr>
    </w:p>
    <w:p>
      <w:pPr>
        <w:pStyle w:val="BodyText"/>
        <w:tabs>
          <w:tab w:pos="6362" w:val="left" w:leader="none"/>
          <w:tab w:pos="7605" w:val="left" w:leader="none"/>
        </w:tabs>
        <w:spacing w:line="265" w:lineRule="exact"/>
        <w:ind w:left="1026" w:right="304"/>
        <w:jc w:val="left"/>
        <w:rPr>
          <w:rFonts w:ascii="Arial" w:hAnsi="Arial" w:cs="Arial" w:eastAsia="Arial" w:hint="default"/>
        </w:rPr>
      </w:pPr>
      <w:r>
        <w:rPr>
          <w:spacing w:val="-1"/>
        </w:rPr>
        <w:t>交易性金融资产公允价值变动损失</w:t>
        <w:tab/>
      </w:r>
      <w:r>
        <w:rPr>
          <w:rFonts w:ascii="Arial" w:hAnsi="Arial" w:cs="Arial" w:eastAsia="Arial" w:hint="default"/>
        </w:rPr>
        <w:t>-</w:t>
        <w:tab/>
      </w:r>
      <w:r>
        <w:rPr>
          <w:rFonts w:ascii="Arial" w:hAnsi="Arial" w:cs="Arial" w:eastAsia="Arial" w:hint="default"/>
          <w:spacing w:val="-1"/>
        </w:rPr>
        <w:t>76,497,547</w:t>
      </w:r>
    </w:p>
    <w:p>
      <w:pPr>
        <w:pStyle w:val="BodyText"/>
        <w:tabs>
          <w:tab w:pos="5427" w:val="left" w:leader="none"/>
          <w:tab w:pos="7605" w:val="left" w:leader="none"/>
        </w:tabs>
        <w:spacing w:line="259" w:lineRule="exact"/>
        <w:ind w:left="1026" w:right="304"/>
        <w:jc w:val="left"/>
        <w:rPr>
          <w:rFonts w:ascii="Arial" w:hAnsi="Arial" w:cs="Arial" w:eastAsia="Arial" w:hint="default"/>
        </w:rPr>
      </w:pPr>
      <w:r>
        <w:rPr>
          <w:spacing w:val="-1"/>
        </w:rPr>
        <w:t>内部未实现销售利润</w:t>
        <w:tab/>
      </w:r>
      <w:r>
        <w:rPr>
          <w:rFonts w:ascii="Arial" w:hAnsi="Arial" w:cs="Arial" w:eastAsia="Arial" w:hint="default"/>
          <w:spacing w:val="-1"/>
        </w:rPr>
        <w:t>17,953,754</w:t>
        <w:tab/>
        <w:t>11,831,544</w:t>
      </w:r>
    </w:p>
    <w:p>
      <w:pPr>
        <w:pStyle w:val="BodyText"/>
        <w:tabs>
          <w:tab w:pos="5539" w:val="left" w:leader="none"/>
          <w:tab w:pos="7717" w:val="left" w:leader="none"/>
        </w:tabs>
        <w:spacing w:line="259" w:lineRule="exact"/>
        <w:ind w:left="1026" w:right="304"/>
        <w:jc w:val="left"/>
        <w:rPr>
          <w:rFonts w:ascii="Arial" w:hAnsi="Arial" w:cs="Arial" w:eastAsia="Arial" w:hint="default"/>
        </w:rPr>
      </w:pPr>
      <w:r>
        <w:rPr/>
        <w:t>预提费用</w:t>
        <w:tab/>
      </w:r>
      <w:r>
        <w:rPr>
          <w:rFonts w:ascii="Arial" w:hAnsi="Arial" w:cs="Arial" w:eastAsia="Arial" w:hint="default"/>
          <w:spacing w:val="-1"/>
        </w:rPr>
        <w:t>5,125,301</w:t>
        <w:tab/>
        <w:t>2,726,429</w:t>
      </w:r>
    </w:p>
    <w:p>
      <w:pPr>
        <w:pStyle w:val="BodyText"/>
        <w:tabs>
          <w:tab w:pos="5705" w:val="left" w:leader="none"/>
          <w:tab w:pos="7716" w:val="left" w:leader="none"/>
        </w:tabs>
        <w:spacing w:line="260" w:lineRule="exact"/>
        <w:ind w:left="1026" w:right="304"/>
        <w:jc w:val="left"/>
        <w:rPr>
          <w:rFonts w:ascii="Arial" w:hAnsi="Arial" w:cs="Arial" w:eastAsia="Arial" w:hint="default"/>
        </w:rPr>
      </w:pPr>
      <w:r>
        <w:rPr>
          <w:spacing w:val="-1"/>
        </w:rPr>
        <w:t>固定资产折旧差异</w:t>
        <w:tab/>
      </w:r>
      <w:r>
        <w:rPr>
          <w:rFonts w:ascii="Arial" w:hAnsi="Arial" w:cs="Arial" w:eastAsia="Arial" w:hint="default"/>
          <w:spacing w:val="-1"/>
        </w:rPr>
        <w:t>137,545</w:t>
        <w:tab/>
        <w:t>2,199,269</w:t>
      </w:r>
    </w:p>
    <w:p>
      <w:pPr>
        <w:pStyle w:val="BodyText"/>
        <w:tabs>
          <w:tab w:pos="5539" w:val="left" w:leader="none"/>
          <w:tab w:pos="7717" w:val="left" w:leader="none"/>
        </w:tabs>
        <w:spacing w:line="260" w:lineRule="exact"/>
        <w:ind w:left="1026" w:right="304"/>
        <w:jc w:val="left"/>
        <w:rPr>
          <w:rFonts w:ascii="Arial" w:hAnsi="Arial" w:cs="Arial" w:eastAsia="Arial" w:hint="default"/>
        </w:rPr>
      </w:pPr>
      <w:r>
        <w:rPr>
          <w:spacing w:val="-1"/>
        </w:rPr>
        <w:t>资产减值准备</w:t>
        <w:tab/>
      </w:r>
      <w:r>
        <w:rPr>
          <w:rFonts w:ascii="Arial" w:hAnsi="Arial" w:cs="Arial" w:eastAsia="Arial" w:hint="default"/>
          <w:spacing w:val="-1"/>
        </w:rPr>
        <w:t>7,928,793</w:t>
        <w:tab/>
        <w:t>3,986,009</w:t>
      </w:r>
    </w:p>
    <w:p>
      <w:pPr>
        <w:pStyle w:val="BodyText"/>
        <w:tabs>
          <w:tab w:pos="5539" w:val="left" w:leader="none"/>
          <w:tab w:pos="8540" w:val="left" w:leader="none"/>
        </w:tabs>
        <w:spacing w:line="259" w:lineRule="exact"/>
        <w:ind w:left="1026" w:right="304"/>
        <w:jc w:val="left"/>
        <w:rPr>
          <w:rFonts w:ascii="Arial" w:hAnsi="Arial" w:cs="Arial" w:eastAsia="Arial" w:hint="default"/>
        </w:rPr>
      </w:pPr>
      <w:r>
        <w:rPr/>
        <w:t>政府补助</w:t>
        <w:tab/>
      </w:r>
      <w:r>
        <w:rPr>
          <w:rFonts w:ascii="Arial" w:hAnsi="Arial" w:cs="Arial" w:eastAsia="Arial" w:hint="default"/>
          <w:spacing w:val="-1"/>
        </w:rPr>
        <w:t>9,000,000</w:t>
        <w:tab/>
      </w:r>
      <w:r>
        <w:rPr>
          <w:rFonts w:ascii="Arial" w:hAnsi="Arial" w:cs="Arial" w:eastAsia="Arial" w:hint="default"/>
        </w:rPr>
        <w:t>-</w:t>
      </w:r>
    </w:p>
    <w:p>
      <w:pPr>
        <w:pStyle w:val="BodyText"/>
        <w:tabs>
          <w:tab w:pos="5317" w:val="left" w:leader="none"/>
          <w:tab w:pos="7521" w:val="left" w:leader="none"/>
          <w:tab w:pos="8540" w:val="left" w:leader="none"/>
        </w:tabs>
        <w:spacing w:line="268" w:lineRule="exact"/>
        <w:ind w:left="1026" w:right="304"/>
        <w:jc w:val="left"/>
        <w:rPr>
          <w:rFonts w:ascii="Arial" w:hAnsi="Arial" w:cs="Arial" w:eastAsia="Arial" w:hint="default"/>
        </w:rPr>
      </w:pPr>
      <w:r>
        <w:rPr>
          <w:spacing w:val="-1"/>
        </w:rPr>
        <w:t>未支付的应付职工薪酬</w:t>
        <w:tab/>
      </w:r>
      <w:r>
        <w:rPr>
          <w:rFonts w:ascii="Arial" w:hAnsi="Arial" w:cs="Arial" w:eastAsia="Arial" w:hint="default"/>
          <w:spacing w:val="-1"/>
        </w:rPr>
      </w:r>
      <w:r>
        <w:rPr>
          <w:rFonts w:ascii="Arial" w:hAnsi="Arial" w:cs="Arial" w:eastAsia="Arial" w:hint="default"/>
          <w:spacing w:val="-1"/>
          <w:u w:val="single" w:color="000000"/>
        </w:rPr>
        <w:t>271,477,927</w:t>
      </w:r>
      <w:r>
        <w:rPr>
          <w:rFonts w:ascii="Arial" w:hAnsi="Arial" w:cs="Arial" w:eastAsia="Arial" w:hint="default"/>
          <w:spacing w:val="-1"/>
        </w:rPr>
        <w:tab/>
      </w:r>
      <w:r>
        <w:rPr>
          <w:rFonts w:ascii="Arial" w:hAnsi="Arial" w:cs="Arial" w:eastAsia="Arial" w:hint="default"/>
          <w:spacing w:val="-1"/>
          <w:u w:val="single" w:color="000000"/>
        </w:rPr>
        <w:t> </w:t>
        <w:tab/>
      </w:r>
      <w:r>
        <w:rPr>
          <w:rFonts w:ascii="Arial" w:hAnsi="Arial" w:cs="Arial" w:eastAsia="Arial" w:hint="default"/>
          <w:u w:val="single" w:color="000000"/>
        </w:rPr>
        <w:t>-</w:t>
      </w:r>
      <w:r>
        <w:rPr>
          <w:rFonts w:ascii="Arial" w:hAnsi="Arial" w:cs="Arial" w:eastAsia="Arial" w:hint="default"/>
        </w:rPr>
      </w:r>
    </w:p>
    <w:p>
      <w:pPr>
        <w:pStyle w:val="BodyText"/>
        <w:tabs>
          <w:tab w:pos="7506" w:val="left" w:leader="none"/>
        </w:tabs>
        <w:spacing w:line="240" w:lineRule="auto" w:before="24"/>
        <w:ind w:left="5316" w:right="304"/>
        <w:jc w:val="left"/>
        <w:rPr>
          <w:rFonts w:ascii="Arial" w:hAnsi="Arial" w:cs="Arial" w:eastAsia="Arial" w:hint="default"/>
        </w:rPr>
      </w:pPr>
      <w:r>
        <w:rPr>
          <w:rFonts w:ascii="Arial"/>
          <w:w w:val="100"/>
        </w:rPr>
      </w:r>
      <w:r>
        <w:rPr>
          <w:rFonts w:ascii="Arial"/>
          <w:spacing w:val="-1"/>
          <w:u w:val="thick" w:color="000000"/>
        </w:rPr>
        <w:t>311,623,320</w:t>
      </w:r>
      <w:r>
        <w:rPr>
          <w:rFonts w:ascii="Arial"/>
          <w:spacing w:val="-1"/>
        </w:rPr>
        <w:tab/>
      </w:r>
      <w:r>
        <w:rPr>
          <w:rFonts w:ascii="Arial"/>
          <w:spacing w:val="-1"/>
          <w:u w:val="thick" w:color="000000"/>
        </w:rPr>
        <w:t> 97,240,798</w:t>
      </w:r>
      <w:r>
        <w:rPr>
          <w:rFonts w:ascii="Arial"/>
          <w:spacing w:val="-1"/>
        </w:rPr>
      </w:r>
    </w:p>
    <w:p>
      <w:pPr>
        <w:spacing w:line="240" w:lineRule="auto" w:before="6"/>
        <w:rPr>
          <w:rFonts w:ascii="Arial" w:hAnsi="Arial" w:cs="Arial" w:eastAsia="Arial" w:hint="default"/>
          <w:sz w:val="17"/>
          <w:szCs w:val="17"/>
        </w:rPr>
      </w:pPr>
    </w:p>
    <w:p>
      <w:pPr>
        <w:pStyle w:val="BodyText"/>
        <w:spacing w:line="260" w:lineRule="exact" w:before="38"/>
        <w:ind w:left="821" w:right="304"/>
        <w:jc w:val="left"/>
      </w:pPr>
      <w:r>
        <w:rPr/>
        <w:t>递延所得税负债</w:t>
      </w:r>
    </w:p>
    <w:p>
      <w:pPr>
        <w:pStyle w:val="BodyText"/>
        <w:tabs>
          <w:tab w:pos="5353" w:val="left" w:leader="none"/>
          <w:tab w:pos="6352" w:val="left" w:leader="none"/>
          <w:tab w:pos="7473" w:val="left" w:leader="none"/>
        </w:tabs>
        <w:spacing w:line="275" w:lineRule="exact"/>
        <w:ind w:left="1011" w:right="304"/>
        <w:jc w:val="left"/>
        <w:rPr>
          <w:rFonts w:ascii="Arial" w:hAnsi="Arial" w:cs="Arial" w:eastAsia="Arial" w:hint="default"/>
        </w:rPr>
      </w:pPr>
      <w:r>
        <w:rPr>
          <w:spacing w:val="-1"/>
        </w:rPr>
        <w:t>可供出售金融资产公允价值变动</w:t>
        <w:tab/>
      </w:r>
      <w:r>
        <w:rPr>
          <w:rFonts w:ascii="Arial" w:hAnsi="Arial" w:cs="Arial" w:eastAsia="Arial" w:hint="default"/>
          <w:spacing w:val="-1"/>
        </w:rPr>
      </w:r>
      <w:r>
        <w:rPr>
          <w:rFonts w:ascii="Arial" w:hAnsi="Arial" w:cs="Arial" w:eastAsia="Arial" w:hint="default"/>
          <w:spacing w:val="-1"/>
          <w:u w:val="thick" w:color="000000"/>
        </w:rPr>
        <w:t> </w:t>
        <w:tab/>
      </w:r>
      <w:r>
        <w:rPr>
          <w:rFonts w:ascii="Arial" w:hAnsi="Arial" w:cs="Arial" w:eastAsia="Arial" w:hint="default"/>
          <w:u w:val="thick" w:color="000000"/>
        </w:rPr>
        <w:t>-</w:t>
      </w:r>
      <w:r>
        <w:rPr>
          <w:rFonts w:ascii="Arial" w:hAnsi="Arial" w:cs="Arial" w:eastAsia="Arial" w:hint="default"/>
        </w:rPr>
        <w:tab/>
      </w:r>
      <w:r>
        <w:rPr>
          <w:rFonts w:ascii="Arial" w:hAnsi="Arial" w:cs="Arial" w:eastAsia="Arial" w:hint="default"/>
          <w:spacing w:val="-1"/>
          <w:u w:val="thick" w:color="000000"/>
        </w:rPr>
        <w:t>228,409,550</w:t>
      </w:r>
      <w:r>
        <w:rPr>
          <w:rFonts w:ascii="Arial" w:hAnsi="Arial" w:cs="Arial" w:eastAsia="Arial" w:hint="default"/>
          <w:spacing w:val="-1"/>
        </w:rPr>
      </w:r>
    </w:p>
    <w:p>
      <w:pPr>
        <w:spacing w:line="240" w:lineRule="auto" w:before="3"/>
        <w:rPr>
          <w:rFonts w:ascii="Arial" w:hAnsi="Arial" w:cs="Arial" w:eastAsia="Arial" w:hint="default"/>
          <w:sz w:val="20"/>
          <w:szCs w:val="20"/>
        </w:rPr>
      </w:pPr>
    </w:p>
    <w:p>
      <w:pPr>
        <w:tabs>
          <w:tab w:pos="719" w:val="left" w:leader="none"/>
        </w:tabs>
        <w:spacing w:before="38"/>
        <w:ind w:left="0" w:right="7693" w:firstLine="0"/>
        <w:jc w:val="center"/>
        <w:rPr>
          <w:rFonts w:ascii="黑体" w:hAnsi="黑体" w:cs="黑体" w:eastAsia="黑体" w:hint="default"/>
          <w:sz w:val="20"/>
          <w:szCs w:val="20"/>
        </w:rPr>
      </w:pPr>
      <w:r>
        <w:rPr>
          <w:rFonts w:ascii="Arial" w:hAnsi="Arial" w:cs="Arial" w:eastAsia="Arial" w:hint="default"/>
          <w:b/>
          <w:bCs/>
          <w:spacing w:val="-1"/>
          <w:sz w:val="20"/>
          <w:szCs w:val="20"/>
        </w:rPr>
        <w:t>18.</w:t>
        <w:tab/>
      </w:r>
      <w:r>
        <w:rPr>
          <w:rFonts w:ascii="黑体" w:hAnsi="黑体" w:cs="黑体" w:eastAsia="黑体" w:hint="default"/>
          <w:b/>
          <w:bCs/>
          <w:sz w:val="20"/>
          <w:szCs w:val="20"/>
        </w:rPr>
        <w:t>资产减值准备</w:t>
      </w:r>
      <w:r>
        <w:rPr>
          <w:rFonts w:ascii="黑体" w:hAnsi="黑体" w:cs="黑体" w:eastAsia="黑体" w:hint="default"/>
          <w:sz w:val="20"/>
          <w:szCs w:val="20"/>
        </w:rPr>
      </w:r>
    </w:p>
    <w:p>
      <w:pPr>
        <w:spacing w:line="240" w:lineRule="auto" w:before="3"/>
        <w:rPr>
          <w:rFonts w:ascii="黑体" w:hAnsi="黑体" w:cs="黑体" w:eastAsia="黑体" w:hint="default"/>
          <w:b/>
          <w:bCs/>
          <w:sz w:val="24"/>
          <w:szCs w:val="24"/>
        </w:rPr>
      </w:pPr>
    </w:p>
    <w:p>
      <w:pPr>
        <w:pStyle w:val="BodyText"/>
        <w:spacing w:line="240" w:lineRule="auto"/>
        <w:ind w:left="0" w:right="7545"/>
        <w:jc w:val="center"/>
      </w:pPr>
      <w:r>
        <w:rPr>
          <w:rFonts w:ascii="Arial" w:hAnsi="Arial" w:cs="Arial" w:eastAsia="Arial" w:hint="default"/>
        </w:rPr>
        <w:t>2009</w:t>
      </w:r>
      <w:r>
        <w:rPr/>
        <w:t>年</w:t>
      </w:r>
    </w:p>
    <w:p>
      <w:pPr>
        <w:spacing w:line="240" w:lineRule="auto" w:before="6"/>
        <w:rPr>
          <w:rFonts w:ascii="黑体" w:hAnsi="黑体" w:cs="黑体" w:eastAsia="黑体" w:hint="default"/>
          <w:sz w:val="20"/>
          <w:szCs w:val="20"/>
        </w:rPr>
      </w:pPr>
    </w:p>
    <w:p>
      <w:pPr>
        <w:pStyle w:val="BodyText"/>
        <w:tabs>
          <w:tab w:pos="4734" w:val="left" w:leader="none"/>
          <w:tab w:pos="6011" w:val="left" w:leader="none"/>
          <w:tab w:pos="7019" w:val="left" w:leader="none"/>
          <w:tab w:pos="7999" w:val="left" w:leader="none"/>
        </w:tabs>
        <w:spacing w:line="247" w:lineRule="auto" w:before="38"/>
        <w:ind w:left="4734" w:right="1221" w:hanging="1225"/>
        <w:jc w:val="left"/>
      </w:pPr>
      <w:r>
        <w:rPr/>
        <w:pict>
          <v:group style="position:absolute;margin-left:350.279999pt;margin-top:16.705942pt;width:100.75pt;height:.1pt;mso-position-horizontal-relative:page;mso-position-vertical-relative:paragraph;z-index:-1132072" coordorigin="7006,334" coordsize="2015,2">
            <v:shape style="position:absolute;left:7006;top:334;width:2015;height:2" coordorigin="7006,334" coordsize="2015,0" path="m7006,334l9020,334e" filled="false" stroked="true" strokeweight=".48pt" strokecolor="#000000">
              <v:path arrowok="t"/>
            </v:shape>
            <w10:wrap type="none"/>
          </v:group>
        </w:pict>
      </w:r>
      <w:r>
        <w:rPr/>
        <w:t>年初数</w:t>
        <w:tab/>
        <w:t>本年</w:t>
        <w:tab/>
        <w:t>本年减少</w:t>
        <w:tab/>
        <w:tab/>
        <w:t>年末数</w:t>
      </w:r>
      <w:r>
        <w:rPr>
          <w:w w:val="100"/>
        </w:rPr>
        <w:t> </w:t>
      </w:r>
      <w:r>
        <w:rPr/>
        <w:t>计提</w:t>
        <w:tab/>
        <w:t>转回</w:t>
        <w:tab/>
        <w:t>转销</w:t>
      </w:r>
    </w:p>
    <w:p>
      <w:pPr>
        <w:spacing w:line="240" w:lineRule="auto" w:before="12"/>
        <w:rPr>
          <w:rFonts w:ascii="黑体" w:hAnsi="黑体" w:cs="黑体" w:eastAsia="黑体" w:hint="default"/>
          <w:sz w:val="15"/>
          <w:szCs w:val="15"/>
        </w:rPr>
      </w:pPr>
    </w:p>
    <w:p>
      <w:pPr>
        <w:pStyle w:val="BodyText"/>
        <w:tabs>
          <w:tab w:pos="3109" w:val="left" w:leader="none"/>
          <w:tab w:pos="5527" w:val="left" w:leader="none"/>
        </w:tabs>
        <w:spacing w:line="240" w:lineRule="auto" w:before="38"/>
        <w:ind w:left="807" w:right="304"/>
        <w:jc w:val="left"/>
        <w:rPr>
          <w:rFonts w:ascii="Arial" w:hAnsi="Arial" w:cs="Arial" w:eastAsia="Arial" w:hint="default"/>
        </w:rPr>
      </w:pPr>
      <w:r>
        <w:rPr/>
        <w:t>坏账准备</w:t>
        <w:tab/>
      </w:r>
      <w:r>
        <w:rPr>
          <w:rFonts w:ascii="Arial" w:hAnsi="Arial" w:cs="Arial" w:eastAsia="Arial" w:hint="default"/>
        </w:rPr>
        <w:t>28,331,125</w:t>
      </w:r>
      <w:r>
        <w:rPr>
          <w:rFonts w:ascii="Arial" w:hAnsi="Arial" w:cs="Arial" w:eastAsia="Arial" w:hint="default"/>
          <w:spacing w:val="-43"/>
        </w:rPr>
        <w:t> </w:t>
      </w:r>
      <w:r>
        <w:rPr>
          <w:rFonts w:ascii="Arial" w:hAnsi="Arial" w:cs="Arial" w:eastAsia="Arial" w:hint="default"/>
        </w:rPr>
        <w:t>11,277,088</w:t>
        <w:tab/>
        <w:t>6,460,980  1,827,338 </w:t>
      </w:r>
      <w:r>
        <w:rPr>
          <w:rFonts w:ascii="Arial" w:hAnsi="Arial" w:cs="Arial" w:eastAsia="Arial" w:hint="default"/>
          <w:spacing w:val="53"/>
        </w:rPr>
        <w:t> </w:t>
      </w:r>
      <w:r>
        <w:rPr>
          <w:rFonts w:ascii="Arial" w:hAnsi="Arial" w:cs="Arial" w:eastAsia="Arial" w:hint="default"/>
        </w:rPr>
        <w:t>31,319,895</w:t>
      </w:r>
    </w:p>
    <w:p>
      <w:pPr>
        <w:spacing w:line="240" w:lineRule="auto" w:before="8"/>
        <w:rPr>
          <w:rFonts w:ascii="Arial" w:hAnsi="Arial" w:cs="Arial" w:eastAsia="Arial" w:hint="default"/>
          <w:sz w:val="2"/>
          <w:szCs w:val="2"/>
        </w:rPr>
      </w:pPr>
    </w:p>
    <w:tbl>
      <w:tblPr>
        <w:tblW w:w="0" w:type="auto"/>
        <w:jc w:val="left"/>
        <w:tblInd w:w="772" w:type="dxa"/>
        <w:tblLayout w:type="fixed"/>
        <w:tblCellMar>
          <w:top w:w="0" w:type="dxa"/>
          <w:left w:w="0" w:type="dxa"/>
          <w:bottom w:w="0" w:type="dxa"/>
          <w:right w:w="0" w:type="dxa"/>
        </w:tblCellMar>
        <w:tblLook w:val="01E0"/>
      </w:tblPr>
      <w:tblGrid>
        <w:gridCol w:w="2289"/>
        <w:gridCol w:w="6645"/>
      </w:tblGrid>
      <w:tr>
        <w:trPr>
          <w:trHeight w:val="246"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14" w:lineRule="exact"/>
              <w:ind w:left="35" w:right="0"/>
              <w:jc w:val="left"/>
              <w:rPr>
                <w:rFonts w:ascii="黑体" w:hAnsi="黑体" w:cs="黑体" w:eastAsia="黑体" w:hint="default"/>
                <w:sz w:val="20"/>
                <w:szCs w:val="20"/>
              </w:rPr>
            </w:pPr>
            <w:r>
              <w:rPr>
                <w:rFonts w:ascii="黑体" w:hAnsi="黑体" w:cs="黑体" w:eastAsia="黑体" w:hint="default"/>
                <w:sz w:val="20"/>
                <w:szCs w:val="20"/>
              </w:rPr>
              <w:t>长期股权投资减值准备</w:t>
            </w:r>
          </w:p>
        </w:tc>
        <w:tc>
          <w:tcPr>
            <w:tcW w:w="6645" w:type="dxa"/>
            <w:tcBorders>
              <w:top w:val="nil" w:sz="6" w:space="0" w:color="auto"/>
              <w:left w:val="nil" w:sz="6" w:space="0" w:color="auto"/>
              <w:bottom w:val="nil" w:sz="6" w:space="0" w:color="auto"/>
              <w:right w:val="nil" w:sz="6" w:space="0" w:color="auto"/>
            </w:tcBorders>
          </w:tcPr>
          <w:p>
            <w:pPr>
              <w:pStyle w:val="TableParagraph"/>
              <w:tabs>
                <w:tab w:pos="1357" w:val="left" w:leader="none"/>
                <w:tab w:pos="3290" w:val="left" w:leader="none"/>
                <w:tab w:pos="4655" w:val="left" w:leader="none"/>
              </w:tabs>
              <w:spacing w:line="223" w:lineRule="exact"/>
              <w:ind w:left="49" w:right="0"/>
              <w:jc w:val="left"/>
              <w:rPr>
                <w:rFonts w:ascii="Arial" w:hAnsi="Arial" w:cs="Arial" w:eastAsia="Arial" w:hint="default"/>
                <w:sz w:val="20"/>
                <w:szCs w:val="20"/>
              </w:rPr>
            </w:pPr>
            <w:r>
              <w:rPr>
                <w:rFonts w:ascii="Arial"/>
                <w:spacing w:val="-1"/>
                <w:sz w:val="20"/>
              </w:rPr>
              <w:t>12,430,000</w:t>
              <w:tab/>
              <w:t>818,586</w:t>
              <w:tab/>
            </w:r>
            <w:r>
              <w:rPr>
                <w:rFonts w:ascii="Arial"/>
                <w:sz w:val="20"/>
              </w:rPr>
              <w:t>- </w:t>
            </w:r>
            <w:r>
              <w:rPr>
                <w:rFonts w:ascii="Arial"/>
                <w:spacing w:val="7"/>
                <w:sz w:val="20"/>
              </w:rPr>
              <w:t> </w:t>
            </w:r>
            <w:r>
              <w:rPr>
                <w:rFonts w:ascii="Arial"/>
                <w:spacing w:val="-1"/>
                <w:sz w:val="20"/>
              </w:rPr>
              <w:t>6,430,000</w:t>
              <w:tab/>
              <w:t>6,818,586</w:t>
            </w:r>
          </w:p>
        </w:tc>
      </w:tr>
      <w:tr>
        <w:trPr>
          <w:trHeight w:val="260"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27" w:lineRule="exact"/>
              <w:ind w:left="35" w:right="0"/>
              <w:jc w:val="left"/>
              <w:rPr>
                <w:rFonts w:ascii="黑体" w:hAnsi="黑体" w:cs="黑体" w:eastAsia="黑体" w:hint="default"/>
                <w:sz w:val="20"/>
                <w:szCs w:val="20"/>
              </w:rPr>
            </w:pPr>
            <w:r>
              <w:rPr>
                <w:rFonts w:ascii="黑体" w:hAnsi="黑体" w:cs="黑体" w:eastAsia="黑体" w:hint="default"/>
                <w:sz w:val="20"/>
                <w:szCs w:val="20"/>
              </w:rPr>
              <w:t>商誉减值准备</w:t>
            </w:r>
          </w:p>
        </w:tc>
        <w:tc>
          <w:tcPr>
            <w:tcW w:w="6645" w:type="dxa"/>
            <w:tcBorders>
              <w:top w:val="nil" w:sz="6" w:space="0" w:color="auto"/>
              <w:left w:val="nil" w:sz="6" w:space="0" w:color="auto"/>
              <w:bottom w:val="nil" w:sz="6" w:space="0" w:color="auto"/>
              <w:right w:val="nil" w:sz="6" w:space="0" w:color="auto"/>
            </w:tcBorders>
          </w:tcPr>
          <w:p>
            <w:pPr>
              <w:pStyle w:val="TableParagraph"/>
              <w:tabs>
                <w:tab w:pos="2013" w:val="left" w:leader="none"/>
                <w:tab w:pos="3290" w:val="left" w:leader="none"/>
                <w:tab w:pos="4823" w:val="left" w:leader="none"/>
              </w:tabs>
              <w:spacing w:line="240" w:lineRule="auto" w:before="6"/>
              <w:ind w:left="160" w:right="0"/>
              <w:jc w:val="left"/>
              <w:rPr>
                <w:rFonts w:ascii="Arial" w:hAnsi="Arial" w:cs="Arial" w:eastAsia="Arial" w:hint="default"/>
                <w:sz w:val="20"/>
                <w:szCs w:val="20"/>
              </w:rPr>
            </w:pPr>
            <w:r>
              <w:rPr>
                <w:rFonts w:ascii="Arial"/>
                <w:spacing w:val="-1"/>
                <w:sz w:val="20"/>
              </w:rPr>
              <w:t>6,682,955</w:t>
              <w:tab/>
            </w:r>
            <w:r>
              <w:rPr>
                <w:rFonts w:ascii="Arial"/>
                <w:sz w:val="20"/>
              </w:rPr>
              <w:t>-</w:t>
              <w:tab/>
              <w:t>- </w:t>
            </w:r>
            <w:r>
              <w:rPr>
                <w:rFonts w:ascii="Arial"/>
                <w:spacing w:val="15"/>
                <w:sz w:val="20"/>
              </w:rPr>
              <w:t> </w:t>
            </w:r>
            <w:r>
              <w:rPr>
                <w:rFonts w:ascii="Arial"/>
                <w:spacing w:val="-1"/>
                <w:sz w:val="20"/>
              </w:rPr>
              <w:t>6,300,755</w:t>
              <w:tab/>
              <w:t>382,200</w:t>
            </w:r>
          </w:p>
        </w:tc>
      </w:tr>
      <w:tr>
        <w:trPr>
          <w:trHeight w:val="260"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28" w:lineRule="exact"/>
              <w:ind w:left="35" w:right="0"/>
              <w:jc w:val="left"/>
              <w:rPr>
                <w:rFonts w:ascii="黑体" w:hAnsi="黑体" w:cs="黑体" w:eastAsia="黑体" w:hint="default"/>
                <w:sz w:val="20"/>
                <w:szCs w:val="20"/>
              </w:rPr>
            </w:pPr>
            <w:r>
              <w:rPr>
                <w:rFonts w:ascii="黑体" w:hAnsi="黑体" w:cs="黑体" w:eastAsia="黑体" w:hint="default"/>
                <w:sz w:val="20"/>
                <w:szCs w:val="20"/>
              </w:rPr>
              <w:t>固定资产减值准备</w:t>
            </w:r>
          </w:p>
        </w:tc>
        <w:tc>
          <w:tcPr>
            <w:tcW w:w="6645" w:type="dxa"/>
            <w:tcBorders>
              <w:top w:val="nil" w:sz="6" w:space="0" w:color="auto"/>
              <w:left w:val="nil" w:sz="6" w:space="0" w:color="auto"/>
              <w:bottom w:val="nil" w:sz="6" w:space="0" w:color="auto"/>
              <w:right w:val="nil" w:sz="6" w:space="0" w:color="auto"/>
            </w:tcBorders>
          </w:tcPr>
          <w:p>
            <w:pPr>
              <w:pStyle w:val="TableParagraph"/>
              <w:tabs>
                <w:tab w:pos="2013" w:val="left" w:leader="none"/>
                <w:tab w:pos="3290" w:val="left" w:leader="none"/>
                <w:tab w:pos="4298" w:val="left" w:leader="none"/>
                <w:tab w:pos="4822" w:val="left" w:leader="none"/>
              </w:tabs>
              <w:spacing w:line="240" w:lineRule="auto" w:before="7"/>
              <w:ind w:left="327" w:right="0"/>
              <w:jc w:val="left"/>
              <w:rPr>
                <w:rFonts w:ascii="Arial" w:hAnsi="Arial" w:cs="Arial" w:eastAsia="Arial" w:hint="default"/>
                <w:sz w:val="20"/>
                <w:szCs w:val="20"/>
              </w:rPr>
            </w:pPr>
            <w:r>
              <w:rPr>
                <w:rFonts w:ascii="Arial"/>
                <w:spacing w:val="-1"/>
                <w:sz w:val="20"/>
              </w:rPr>
              <w:t>245,343</w:t>
              <w:tab/>
            </w:r>
            <w:r>
              <w:rPr>
                <w:rFonts w:ascii="Arial"/>
                <w:sz w:val="20"/>
              </w:rPr>
              <w:t>-</w:t>
              <w:tab/>
              <w:t>-</w:t>
              <w:tab/>
              <w:t>-</w:t>
              <w:tab/>
            </w:r>
            <w:r>
              <w:rPr>
                <w:rFonts w:ascii="Arial"/>
                <w:spacing w:val="-1"/>
                <w:sz w:val="20"/>
              </w:rPr>
              <w:t>245,343</w:t>
            </w:r>
          </w:p>
        </w:tc>
      </w:tr>
      <w:tr>
        <w:trPr>
          <w:trHeight w:val="259"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27" w:lineRule="exact"/>
              <w:ind w:left="35" w:right="0"/>
              <w:jc w:val="left"/>
              <w:rPr>
                <w:rFonts w:ascii="黑体" w:hAnsi="黑体" w:cs="黑体" w:eastAsia="黑体" w:hint="default"/>
                <w:sz w:val="20"/>
                <w:szCs w:val="20"/>
              </w:rPr>
            </w:pPr>
            <w:r>
              <w:rPr>
                <w:rFonts w:ascii="黑体" w:hAnsi="黑体" w:cs="黑体" w:eastAsia="黑体" w:hint="default"/>
                <w:sz w:val="20"/>
                <w:szCs w:val="20"/>
              </w:rPr>
              <w:t>交易性金融资产减值准备</w:t>
            </w:r>
          </w:p>
        </w:tc>
        <w:tc>
          <w:tcPr>
            <w:tcW w:w="6645" w:type="dxa"/>
            <w:tcBorders>
              <w:top w:val="nil" w:sz="6" w:space="0" w:color="auto"/>
              <w:left w:val="nil" w:sz="6" w:space="0" w:color="auto"/>
              <w:bottom w:val="nil" w:sz="6" w:space="0" w:color="auto"/>
              <w:right w:val="nil" w:sz="6" w:space="0" w:color="auto"/>
            </w:tcBorders>
          </w:tcPr>
          <w:p>
            <w:pPr>
              <w:pStyle w:val="TableParagraph"/>
              <w:tabs>
                <w:tab w:pos="2013" w:val="left" w:leader="none"/>
                <w:tab w:pos="3290" w:val="left" w:leader="none"/>
                <w:tab w:pos="3752" w:val="left" w:leader="none"/>
                <w:tab w:pos="5478" w:val="left" w:leader="none"/>
              </w:tabs>
              <w:spacing w:line="240" w:lineRule="auto" w:before="6"/>
              <w:ind w:left="437" w:right="0"/>
              <w:jc w:val="left"/>
              <w:rPr>
                <w:rFonts w:ascii="Arial" w:hAnsi="Arial" w:cs="Arial" w:eastAsia="Arial" w:hint="default"/>
                <w:sz w:val="20"/>
                <w:szCs w:val="20"/>
              </w:rPr>
            </w:pPr>
            <w:r>
              <w:rPr>
                <w:rFonts w:ascii="Arial"/>
                <w:sz w:val="20"/>
              </w:rPr>
              <w:t>43,619</w:t>
              <w:tab/>
              <w:t>-</w:t>
              <w:tab/>
              <w:t>-</w:t>
              <w:tab/>
              <w:t>43,619</w:t>
              <w:tab/>
              <w:t>-</w:t>
            </w:r>
          </w:p>
        </w:tc>
      </w:tr>
      <w:tr>
        <w:trPr>
          <w:trHeight w:val="260"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27" w:lineRule="exact"/>
              <w:ind w:left="35" w:right="0"/>
              <w:jc w:val="left"/>
              <w:rPr>
                <w:rFonts w:ascii="黑体" w:hAnsi="黑体" w:cs="黑体" w:eastAsia="黑体" w:hint="default"/>
                <w:sz w:val="20"/>
                <w:szCs w:val="20"/>
              </w:rPr>
            </w:pPr>
            <w:r>
              <w:rPr>
                <w:rFonts w:ascii="黑体" w:hAnsi="黑体" w:cs="黑体" w:eastAsia="黑体" w:hint="default"/>
                <w:sz w:val="20"/>
                <w:szCs w:val="20"/>
              </w:rPr>
              <w:t>无形资产减值准备</w:t>
            </w:r>
          </w:p>
        </w:tc>
        <w:tc>
          <w:tcPr>
            <w:tcW w:w="6645" w:type="dxa"/>
            <w:tcBorders>
              <w:top w:val="nil" w:sz="6" w:space="0" w:color="auto"/>
              <w:left w:val="nil" w:sz="6" w:space="0" w:color="auto"/>
              <w:bottom w:val="nil" w:sz="6" w:space="0" w:color="auto"/>
              <w:right w:val="nil" w:sz="6" w:space="0" w:color="auto"/>
            </w:tcBorders>
          </w:tcPr>
          <w:p>
            <w:pPr>
              <w:pStyle w:val="TableParagraph"/>
              <w:tabs>
                <w:tab w:pos="2491" w:val="left" w:leader="none"/>
                <w:tab w:pos="3290" w:val="left" w:leader="none"/>
                <w:tab w:pos="4298" w:val="left" w:leader="none"/>
              </w:tabs>
              <w:spacing w:line="240" w:lineRule="auto" w:before="7"/>
              <w:ind w:left="60"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4,083,450 </w:t>
            </w:r>
            <w:r>
              <w:rPr>
                <w:rFonts w:ascii="Arial"/>
                <w:spacing w:val="30"/>
                <w:sz w:val="20"/>
                <w:u w:val="single" w:color="000000"/>
              </w:rPr>
              <w:t> </w:t>
            </w:r>
            <w:r>
              <w:rPr>
                <w:rFonts w:ascii="Arial"/>
                <w:sz w:val="20"/>
                <w:u w:val="single" w:color="000000"/>
              </w:rPr>
              <w:t>3,600,000</w:t>
            </w:r>
            <w:r>
              <w:rPr>
                <w:rFonts w:ascii="Arial"/>
                <w:sz w:val="20"/>
              </w:rPr>
              <w:tab/>
            </w:r>
            <w:r>
              <w:rPr>
                <w:rFonts w:ascii="Arial"/>
                <w:sz w:val="20"/>
                <w:u w:val="single" w:color="000000"/>
              </w:rPr>
              <w:t> </w:t>
              <w:tab/>
              <w:t>-</w:t>
              <w:tab/>
              <w:t>-    </w:t>
            </w:r>
            <w:r>
              <w:rPr>
                <w:rFonts w:ascii="Arial"/>
                <w:spacing w:val="12"/>
                <w:sz w:val="20"/>
                <w:u w:val="single" w:color="000000"/>
              </w:rPr>
              <w:t> </w:t>
            </w:r>
            <w:r>
              <w:rPr>
                <w:rFonts w:ascii="Arial"/>
                <w:spacing w:val="12"/>
                <w:sz w:val="20"/>
              </w:rPr>
            </w:r>
            <w:r>
              <w:rPr>
                <w:rFonts w:ascii="Arial"/>
                <w:spacing w:val="12"/>
                <w:sz w:val="20"/>
                <w:u w:val="single" w:color="000000"/>
              </w:rPr>
              <w:t> </w:t>
            </w:r>
            <w:r>
              <w:rPr>
                <w:rFonts w:ascii="Arial"/>
                <w:sz w:val="20"/>
                <w:u w:val="single" w:color="000000"/>
              </w:rPr>
              <w:t>7,683,450</w:t>
            </w:r>
            <w:r>
              <w:rPr>
                <w:rFonts w:ascii="Arial"/>
                <w:sz w:val="20"/>
              </w:rPr>
            </w:r>
          </w:p>
        </w:tc>
      </w:tr>
      <w:tr>
        <w:trPr>
          <w:trHeight w:val="245" w:hRule="exact"/>
        </w:trPr>
        <w:tc>
          <w:tcPr>
            <w:tcW w:w="2289" w:type="dxa"/>
            <w:tcBorders>
              <w:top w:val="nil" w:sz="6" w:space="0" w:color="auto"/>
              <w:left w:val="nil" w:sz="6" w:space="0" w:color="auto"/>
              <w:bottom w:val="nil" w:sz="6" w:space="0" w:color="auto"/>
              <w:right w:val="nil" w:sz="6" w:space="0" w:color="auto"/>
            </w:tcBorders>
          </w:tcPr>
          <w:p>
            <w:pPr/>
          </w:p>
        </w:tc>
        <w:tc>
          <w:tcPr>
            <w:tcW w:w="6645" w:type="dxa"/>
            <w:tcBorders>
              <w:top w:val="nil" w:sz="6" w:space="0" w:color="auto"/>
              <w:left w:val="nil" w:sz="6" w:space="0" w:color="auto"/>
              <w:bottom w:val="single" w:sz="14" w:space="0" w:color="000000"/>
              <w:right w:val="nil" w:sz="6" w:space="0" w:color="auto"/>
            </w:tcBorders>
          </w:tcPr>
          <w:p>
            <w:pPr>
              <w:pStyle w:val="TableParagraph"/>
              <w:tabs>
                <w:tab w:pos="2467" w:val="left" w:leader="none"/>
              </w:tabs>
              <w:spacing w:line="249" w:lineRule="exact"/>
              <w:ind w:left="49" w:right="0"/>
              <w:jc w:val="left"/>
              <w:rPr>
                <w:rFonts w:ascii="Arial" w:hAnsi="Arial" w:cs="Arial" w:eastAsia="Arial" w:hint="default"/>
                <w:sz w:val="20"/>
                <w:szCs w:val="20"/>
              </w:rPr>
            </w:pPr>
            <w:r>
              <w:rPr>
                <w:rFonts w:ascii="Arial"/>
                <w:spacing w:val="-1"/>
                <w:sz w:val="20"/>
              </w:rPr>
              <w:t>51,816,492</w:t>
            </w:r>
            <w:r>
              <w:rPr>
                <w:rFonts w:ascii="Arial"/>
                <w:spacing w:val="-29"/>
                <w:sz w:val="20"/>
              </w:rPr>
              <w:t> </w:t>
            </w:r>
            <w:r>
              <w:rPr>
                <w:rFonts w:ascii="Arial"/>
                <w:spacing w:val="-1"/>
                <w:sz w:val="20"/>
              </w:rPr>
              <w:t>15,695,674</w:t>
              <w:tab/>
            </w:r>
            <w:r>
              <w:rPr>
                <w:rFonts w:ascii="Arial"/>
                <w:spacing w:val="-1"/>
                <w:position w:val="2"/>
                <w:sz w:val="20"/>
              </w:rPr>
            </w:r>
            <w:r>
              <w:rPr>
                <w:rFonts w:ascii="Arial"/>
                <w:spacing w:val="-1"/>
                <w:position w:val="2"/>
                <w:sz w:val="20"/>
                <w:u w:val="double" w:color="000000"/>
              </w:rPr>
              <w:t>6,460,980</w:t>
            </w:r>
            <w:r>
              <w:rPr>
                <w:rFonts w:ascii="Arial"/>
                <w:spacing w:val="-1"/>
                <w:sz w:val="20"/>
                <w:u w:val="double" w:color="000000"/>
              </w:rPr>
              <w:t>14,601,712</w:t>
            </w:r>
            <w:r>
              <w:rPr>
                <w:rFonts w:ascii="Arial"/>
                <w:sz w:val="20"/>
                <w:u w:val="double" w:color="000000"/>
              </w:rPr>
              <w:t>  </w:t>
            </w:r>
            <w:r>
              <w:rPr>
                <w:rFonts w:ascii="Arial"/>
                <w:spacing w:val="19"/>
                <w:sz w:val="20"/>
                <w:u w:val="double" w:color="000000"/>
              </w:rPr>
              <w:t> </w:t>
            </w:r>
            <w:r>
              <w:rPr>
                <w:rFonts w:ascii="Arial"/>
                <w:spacing w:val="19"/>
                <w:sz w:val="20"/>
              </w:rPr>
            </w:r>
            <w:r>
              <w:rPr>
                <w:rFonts w:ascii="Arial"/>
                <w:spacing w:val="-1"/>
                <w:sz w:val="20"/>
                <w:u w:val="thick" w:color="000000"/>
              </w:rPr>
              <w:t>46,449,474</w:t>
            </w:r>
            <w:r>
              <w:rPr>
                <w:rFonts w:ascii="Arial"/>
                <w:spacing w:val="-1"/>
                <w:sz w:val="20"/>
              </w:rPr>
            </w:r>
          </w:p>
        </w:tc>
      </w:tr>
      <w:tr>
        <w:trPr>
          <w:trHeight w:val="607"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Arial" w:hAnsi="Arial" w:cs="Arial" w:eastAsia="Arial" w:hint="default"/>
                <w:sz w:val="17"/>
                <w:szCs w:val="17"/>
              </w:rPr>
            </w:pPr>
          </w:p>
          <w:p>
            <w:pPr>
              <w:pStyle w:val="TableParagraph"/>
              <w:spacing w:line="240" w:lineRule="auto"/>
              <w:ind w:left="43"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c>
          <w:tcPr>
            <w:tcW w:w="6645" w:type="dxa"/>
            <w:tcBorders>
              <w:top w:val="single" w:sz="14" w:space="0" w:color="000000"/>
              <w:left w:val="nil" w:sz="6" w:space="0" w:color="auto"/>
              <w:bottom w:val="nil" w:sz="6" w:space="0" w:color="auto"/>
              <w:right w:val="nil" w:sz="6" w:space="0" w:color="auto"/>
            </w:tcBorders>
          </w:tcPr>
          <w:p>
            <w:pPr/>
          </w:p>
        </w:tc>
      </w:tr>
      <w:tr>
        <w:trPr>
          <w:trHeight w:val="374" w:hRule="exact"/>
        </w:trPr>
        <w:tc>
          <w:tcPr>
            <w:tcW w:w="2289" w:type="dxa"/>
            <w:tcBorders>
              <w:top w:val="nil" w:sz="6" w:space="0" w:color="auto"/>
              <w:left w:val="nil" w:sz="6" w:space="0" w:color="auto"/>
              <w:bottom w:val="nil" w:sz="6" w:space="0" w:color="auto"/>
              <w:right w:val="nil" w:sz="6" w:space="0" w:color="auto"/>
            </w:tcBorders>
          </w:tcPr>
          <w:p>
            <w:pPr/>
          </w:p>
        </w:tc>
        <w:tc>
          <w:tcPr>
            <w:tcW w:w="6645" w:type="dxa"/>
            <w:tcBorders>
              <w:top w:val="nil" w:sz="6" w:space="0" w:color="auto"/>
              <w:left w:val="nil" w:sz="6" w:space="0" w:color="auto"/>
              <w:bottom w:val="single" w:sz="4" w:space="0" w:color="000000"/>
              <w:right w:val="nil" w:sz="6" w:space="0" w:color="auto"/>
            </w:tcBorders>
          </w:tcPr>
          <w:p>
            <w:pPr>
              <w:pStyle w:val="TableParagraph"/>
              <w:tabs>
                <w:tab w:pos="1234" w:val="left" w:leader="none"/>
                <w:tab w:pos="2494" w:val="left" w:leader="none"/>
                <w:tab w:pos="3747" w:val="left" w:leader="none"/>
                <w:tab w:pos="5555" w:val="left" w:leader="none"/>
              </w:tabs>
              <w:spacing w:line="240" w:lineRule="auto" w:before="77"/>
              <w:ind w:right="33"/>
              <w:jc w:val="right"/>
              <w:rPr>
                <w:rFonts w:ascii="黑体" w:hAnsi="黑体" w:cs="黑体" w:eastAsia="黑体" w:hint="default"/>
                <w:sz w:val="20"/>
                <w:szCs w:val="20"/>
              </w:rPr>
            </w:pPr>
            <w:r>
              <w:rPr>
                <w:rFonts w:ascii="黑体" w:hAnsi="黑体" w:cs="黑体" w:eastAsia="黑体" w:hint="default"/>
                <w:sz w:val="20"/>
                <w:szCs w:val="20"/>
              </w:rPr>
              <w:t>年初数</w:t>
              <w:tab/>
              <w:t>本年</w:t>
              <w:tab/>
              <w:t>收购</w:t>
              <w:tab/>
              <w:t>本年减少</w:t>
              <w:tab/>
              <w:t>年末数</w:t>
            </w:r>
          </w:p>
        </w:tc>
      </w:tr>
      <w:tr>
        <w:trPr>
          <w:trHeight w:val="392" w:hRule="exact"/>
        </w:trPr>
        <w:tc>
          <w:tcPr>
            <w:tcW w:w="2289" w:type="dxa"/>
            <w:tcBorders>
              <w:top w:val="nil" w:sz="6" w:space="0" w:color="auto"/>
              <w:left w:val="nil" w:sz="6" w:space="0" w:color="auto"/>
              <w:bottom w:val="nil" w:sz="6" w:space="0" w:color="auto"/>
              <w:right w:val="nil" w:sz="6" w:space="0" w:color="auto"/>
            </w:tcBorders>
          </w:tcPr>
          <w:p>
            <w:pPr/>
          </w:p>
        </w:tc>
        <w:tc>
          <w:tcPr>
            <w:tcW w:w="6645" w:type="dxa"/>
            <w:tcBorders>
              <w:top w:val="single" w:sz="4" w:space="0" w:color="000000"/>
              <w:left w:val="nil" w:sz="6" w:space="0" w:color="auto"/>
              <w:bottom w:val="nil" w:sz="6" w:space="0" w:color="auto"/>
              <w:right w:val="nil" w:sz="6" w:space="0" w:color="auto"/>
            </w:tcBorders>
          </w:tcPr>
          <w:p>
            <w:pPr>
              <w:pStyle w:val="TableParagraph"/>
              <w:tabs>
                <w:tab w:pos="2946" w:val="left" w:leader="none"/>
                <w:tab w:pos="4195" w:val="left" w:leader="none"/>
                <w:tab w:pos="5130" w:val="left" w:leader="none"/>
              </w:tabs>
              <w:spacing w:line="230" w:lineRule="exact"/>
              <w:ind w:left="1687" w:right="0"/>
              <w:jc w:val="left"/>
              <w:rPr>
                <w:rFonts w:ascii="黑体" w:hAnsi="黑体" w:cs="黑体" w:eastAsia="黑体" w:hint="default"/>
                <w:sz w:val="20"/>
                <w:szCs w:val="20"/>
              </w:rPr>
            </w:pPr>
            <w:r>
              <w:rPr>
                <w:rFonts w:ascii="黑体" w:hAnsi="黑体" w:cs="黑体" w:eastAsia="黑体" w:hint="default"/>
                <w:sz w:val="20"/>
                <w:szCs w:val="20"/>
              </w:rPr>
              <w:t>计提</w:t>
              <w:tab/>
              <w:t>增加</w:t>
              <w:tab/>
              <w:t>转回</w:t>
              <w:tab/>
              <w:t>转销</w:t>
            </w:r>
          </w:p>
        </w:tc>
      </w:tr>
      <w:tr>
        <w:trPr>
          <w:trHeight w:val="399"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40" w:lineRule="auto" w:before="96"/>
              <w:ind w:left="38" w:right="0"/>
              <w:jc w:val="left"/>
              <w:rPr>
                <w:rFonts w:ascii="黑体" w:hAnsi="黑体" w:cs="黑体" w:eastAsia="黑体" w:hint="default"/>
                <w:sz w:val="20"/>
                <w:szCs w:val="20"/>
              </w:rPr>
            </w:pPr>
            <w:r>
              <w:rPr>
                <w:rFonts w:ascii="黑体" w:hAnsi="黑体" w:cs="黑体" w:eastAsia="黑体" w:hint="default"/>
                <w:sz w:val="20"/>
                <w:szCs w:val="20"/>
              </w:rPr>
              <w:t>坏账准备</w:t>
            </w:r>
          </w:p>
        </w:tc>
        <w:tc>
          <w:tcPr>
            <w:tcW w:w="6645" w:type="dxa"/>
            <w:tcBorders>
              <w:top w:val="nil" w:sz="6" w:space="0" w:color="auto"/>
              <w:left w:val="nil" w:sz="6" w:space="0" w:color="auto"/>
              <w:bottom w:val="nil" w:sz="6" w:space="0" w:color="auto"/>
              <w:right w:val="nil" w:sz="6" w:space="0" w:color="auto"/>
            </w:tcBorders>
          </w:tcPr>
          <w:p>
            <w:pPr>
              <w:pStyle w:val="TableParagraph"/>
              <w:tabs>
                <w:tab w:pos="2572" w:val="left" w:leader="none"/>
                <w:tab w:pos="3821" w:val="left" w:leader="none"/>
                <w:tab w:pos="4756" w:val="left" w:leader="none"/>
              </w:tabs>
              <w:spacing w:line="240" w:lineRule="auto" w:before="154"/>
              <w:ind w:right="33"/>
              <w:jc w:val="right"/>
              <w:rPr>
                <w:rFonts w:ascii="Arial" w:hAnsi="Arial" w:cs="Arial" w:eastAsia="Arial" w:hint="default"/>
                <w:sz w:val="20"/>
                <w:szCs w:val="20"/>
              </w:rPr>
            </w:pPr>
            <w:r>
              <w:rPr>
                <w:rFonts w:ascii="Arial"/>
                <w:spacing w:val="-1"/>
                <w:sz w:val="20"/>
              </w:rPr>
              <w:t>21,995,089</w:t>
            </w:r>
            <w:r>
              <w:rPr>
                <w:rFonts w:ascii="Arial"/>
                <w:sz w:val="20"/>
              </w:rPr>
              <w:t> </w:t>
            </w:r>
            <w:r>
              <w:rPr>
                <w:rFonts w:ascii="Arial"/>
                <w:spacing w:val="38"/>
                <w:sz w:val="20"/>
              </w:rPr>
              <w:t> </w:t>
            </w:r>
            <w:r>
              <w:rPr>
                <w:rFonts w:ascii="Arial"/>
                <w:spacing w:val="-1"/>
                <w:sz w:val="20"/>
              </w:rPr>
              <w:t>7,118,092</w:t>
              <w:tab/>
              <w:t>207,800</w:t>
              <w:tab/>
              <w:t>115,000</w:t>
              <w:tab/>
              <w:t>874,856</w:t>
            </w:r>
            <w:r>
              <w:rPr>
                <w:rFonts w:ascii="Arial"/>
                <w:spacing w:val="38"/>
                <w:sz w:val="20"/>
              </w:rPr>
              <w:t> </w:t>
            </w:r>
            <w:r>
              <w:rPr>
                <w:rFonts w:ascii="Arial"/>
                <w:spacing w:val="-1"/>
                <w:sz w:val="20"/>
              </w:rPr>
              <w:t>28,331,125</w:t>
            </w:r>
          </w:p>
        </w:tc>
      </w:tr>
      <w:tr>
        <w:trPr>
          <w:trHeight w:val="271"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19" w:lineRule="exact"/>
              <w:ind w:left="38" w:right="0"/>
              <w:jc w:val="left"/>
              <w:rPr>
                <w:rFonts w:ascii="黑体" w:hAnsi="黑体" w:cs="黑体" w:eastAsia="黑体" w:hint="default"/>
                <w:sz w:val="20"/>
                <w:szCs w:val="20"/>
              </w:rPr>
            </w:pPr>
            <w:r>
              <w:rPr>
                <w:rFonts w:ascii="黑体" w:hAnsi="黑体" w:cs="黑体" w:eastAsia="黑体" w:hint="default"/>
                <w:sz w:val="20"/>
                <w:szCs w:val="20"/>
              </w:rPr>
              <w:t>长期股权投资减值准备</w:t>
            </w:r>
          </w:p>
        </w:tc>
        <w:tc>
          <w:tcPr>
            <w:tcW w:w="6645" w:type="dxa"/>
            <w:tcBorders>
              <w:top w:val="nil" w:sz="6" w:space="0" w:color="auto"/>
              <w:left w:val="nil" w:sz="6" w:space="0" w:color="auto"/>
              <w:bottom w:val="nil" w:sz="6" w:space="0" w:color="auto"/>
              <w:right w:val="nil" w:sz="6" w:space="0" w:color="auto"/>
            </w:tcBorders>
          </w:tcPr>
          <w:p>
            <w:pPr>
              <w:pStyle w:val="TableParagraph"/>
              <w:tabs>
                <w:tab w:pos="1968" w:val="left" w:leader="none"/>
                <w:tab w:pos="3228" w:val="left" w:leader="none"/>
                <w:tab w:pos="4478" w:val="left" w:leader="none"/>
                <w:tab w:pos="5412" w:val="left" w:leader="none"/>
              </w:tabs>
              <w:spacing w:line="240" w:lineRule="auto" w:before="15"/>
              <w:ind w:right="33"/>
              <w:jc w:val="right"/>
              <w:rPr>
                <w:rFonts w:ascii="Arial" w:hAnsi="Arial" w:cs="Arial" w:eastAsia="Arial" w:hint="default"/>
                <w:sz w:val="20"/>
                <w:szCs w:val="20"/>
              </w:rPr>
            </w:pPr>
            <w:r>
              <w:rPr>
                <w:rFonts w:ascii="Arial"/>
                <w:spacing w:val="-1"/>
                <w:sz w:val="20"/>
              </w:rPr>
              <w:t>12,430,000</w:t>
              <w:tab/>
            </w:r>
            <w:r>
              <w:rPr>
                <w:rFonts w:ascii="Arial"/>
                <w:sz w:val="20"/>
              </w:rPr>
              <w:t>-</w:t>
              <w:tab/>
              <w:t>-</w:t>
              <w:tab/>
              <w:t>-</w:t>
              <w:tab/>
              <w:t>-</w:t>
            </w:r>
            <w:r>
              <w:rPr>
                <w:rFonts w:ascii="Arial"/>
                <w:spacing w:val="23"/>
                <w:sz w:val="20"/>
              </w:rPr>
              <w:t> </w:t>
            </w:r>
            <w:r>
              <w:rPr>
                <w:rFonts w:ascii="Arial"/>
                <w:spacing w:val="-1"/>
                <w:sz w:val="20"/>
              </w:rPr>
              <w:t>12,430,000</w:t>
            </w:r>
          </w:p>
        </w:tc>
      </w:tr>
      <w:tr>
        <w:trPr>
          <w:trHeight w:val="248"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08" w:lineRule="exact"/>
              <w:ind w:left="38" w:right="0"/>
              <w:jc w:val="left"/>
              <w:rPr>
                <w:rFonts w:ascii="黑体" w:hAnsi="黑体" w:cs="黑体" w:eastAsia="黑体" w:hint="default"/>
                <w:sz w:val="20"/>
                <w:szCs w:val="20"/>
              </w:rPr>
            </w:pPr>
            <w:r>
              <w:rPr>
                <w:rFonts w:ascii="黑体" w:hAnsi="黑体" w:cs="黑体" w:eastAsia="黑体" w:hint="default"/>
                <w:sz w:val="20"/>
                <w:szCs w:val="20"/>
              </w:rPr>
              <w:t>商誉减值准备</w:t>
            </w:r>
          </w:p>
        </w:tc>
        <w:tc>
          <w:tcPr>
            <w:tcW w:w="6645" w:type="dxa"/>
            <w:tcBorders>
              <w:top w:val="nil" w:sz="6" w:space="0" w:color="auto"/>
              <w:left w:val="nil" w:sz="6" w:space="0" w:color="auto"/>
              <w:bottom w:val="nil" w:sz="6" w:space="0" w:color="auto"/>
              <w:right w:val="nil" w:sz="6" w:space="0" w:color="auto"/>
            </w:tcBorders>
          </w:tcPr>
          <w:p>
            <w:pPr>
              <w:pStyle w:val="TableParagraph"/>
              <w:tabs>
                <w:tab w:pos="1857" w:val="left" w:leader="none"/>
                <w:tab w:pos="3117" w:val="left" w:leader="none"/>
                <w:tab w:pos="4366" w:val="left" w:leader="none"/>
                <w:tab w:pos="5301" w:val="left" w:leader="none"/>
              </w:tabs>
              <w:spacing w:line="240" w:lineRule="auto" w:before="4"/>
              <w:ind w:right="33"/>
              <w:jc w:val="right"/>
              <w:rPr>
                <w:rFonts w:ascii="Arial" w:hAnsi="Arial" w:cs="Arial" w:eastAsia="Arial" w:hint="default"/>
                <w:sz w:val="20"/>
                <w:szCs w:val="20"/>
              </w:rPr>
            </w:pPr>
            <w:r>
              <w:rPr>
                <w:rFonts w:ascii="Arial"/>
                <w:spacing w:val="-1"/>
                <w:sz w:val="20"/>
              </w:rPr>
              <w:t>6,682,955</w:t>
              <w:tab/>
            </w:r>
            <w:r>
              <w:rPr>
                <w:rFonts w:ascii="Arial"/>
                <w:sz w:val="20"/>
              </w:rPr>
              <w:t>-</w:t>
              <w:tab/>
              <w:t>-</w:t>
              <w:tab/>
              <w:t>-</w:t>
              <w:tab/>
              <w:t>-  </w:t>
            </w:r>
            <w:r>
              <w:rPr>
                <w:rFonts w:ascii="Arial"/>
                <w:spacing w:val="23"/>
                <w:sz w:val="20"/>
              </w:rPr>
              <w:t> </w:t>
            </w:r>
            <w:r>
              <w:rPr>
                <w:rFonts w:ascii="Arial"/>
                <w:spacing w:val="-1"/>
                <w:sz w:val="20"/>
              </w:rPr>
              <w:t>6,682,955</w:t>
            </w:r>
          </w:p>
        </w:tc>
      </w:tr>
      <w:tr>
        <w:trPr>
          <w:trHeight w:val="259"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19" w:lineRule="exact"/>
              <w:ind w:left="38" w:right="0"/>
              <w:jc w:val="left"/>
              <w:rPr>
                <w:rFonts w:ascii="黑体" w:hAnsi="黑体" w:cs="黑体" w:eastAsia="黑体" w:hint="default"/>
                <w:sz w:val="20"/>
                <w:szCs w:val="20"/>
              </w:rPr>
            </w:pPr>
            <w:r>
              <w:rPr>
                <w:rFonts w:ascii="黑体" w:hAnsi="黑体" w:cs="黑体" w:eastAsia="黑体" w:hint="default"/>
                <w:sz w:val="20"/>
                <w:szCs w:val="20"/>
              </w:rPr>
              <w:t>固定资产减值准备</w:t>
            </w:r>
          </w:p>
        </w:tc>
        <w:tc>
          <w:tcPr>
            <w:tcW w:w="6645" w:type="dxa"/>
            <w:tcBorders>
              <w:top w:val="nil" w:sz="6" w:space="0" w:color="auto"/>
              <w:left w:val="nil" w:sz="6" w:space="0" w:color="auto"/>
              <w:bottom w:val="nil" w:sz="6" w:space="0" w:color="auto"/>
              <w:right w:val="nil" w:sz="6" w:space="0" w:color="auto"/>
            </w:tcBorders>
          </w:tcPr>
          <w:p>
            <w:pPr>
              <w:pStyle w:val="TableParagraph"/>
              <w:tabs>
                <w:tab w:pos="1034" w:val="left" w:leader="none"/>
                <w:tab w:pos="1637" w:val="left" w:leader="none"/>
                <w:tab w:pos="3543" w:val="left" w:leader="none"/>
                <w:tab w:pos="4478" w:val="left" w:leader="none"/>
                <w:tab w:pos="4899" w:val="left" w:leader="none"/>
              </w:tabs>
              <w:spacing w:line="240" w:lineRule="auto" w:before="15"/>
              <w:ind w:right="33"/>
              <w:jc w:val="right"/>
              <w:rPr>
                <w:rFonts w:ascii="Arial" w:hAnsi="Arial" w:cs="Arial" w:eastAsia="Arial" w:hint="default"/>
                <w:sz w:val="20"/>
                <w:szCs w:val="20"/>
              </w:rPr>
            </w:pPr>
            <w:r>
              <w:rPr>
                <w:rFonts w:ascii="Arial"/>
                <w:sz w:val="20"/>
              </w:rPr>
              <w:t>-</w:t>
              <w:tab/>
              <w:t>-</w:t>
              <w:tab/>
            </w:r>
            <w:r>
              <w:rPr>
                <w:rFonts w:ascii="Arial"/>
                <w:spacing w:val="-1"/>
                <w:sz w:val="20"/>
              </w:rPr>
              <w:t>245,343</w:t>
              <w:tab/>
            </w:r>
            <w:r>
              <w:rPr>
                <w:rFonts w:ascii="Arial"/>
                <w:sz w:val="20"/>
              </w:rPr>
              <w:t>-</w:t>
              <w:tab/>
              <w:t>-</w:t>
              <w:tab/>
            </w:r>
            <w:r>
              <w:rPr>
                <w:rFonts w:ascii="Arial"/>
                <w:spacing w:val="-1"/>
                <w:sz w:val="20"/>
              </w:rPr>
              <w:t>245,343</w:t>
            </w:r>
          </w:p>
        </w:tc>
      </w:tr>
      <w:tr>
        <w:trPr>
          <w:trHeight w:val="259"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19" w:lineRule="exact"/>
              <w:ind w:left="38" w:right="0"/>
              <w:jc w:val="left"/>
              <w:rPr>
                <w:rFonts w:ascii="黑体" w:hAnsi="黑体" w:cs="黑体" w:eastAsia="黑体" w:hint="default"/>
                <w:sz w:val="20"/>
                <w:szCs w:val="20"/>
              </w:rPr>
            </w:pPr>
            <w:r>
              <w:rPr>
                <w:rFonts w:ascii="黑体" w:hAnsi="黑体" w:cs="黑体" w:eastAsia="黑体" w:hint="default"/>
                <w:sz w:val="20"/>
                <w:szCs w:val="20"/>
              </w:rPr>
              <w:t>交易性金融资产减值准备</w:t>
            </w:r>
          </w:p>
        </w:tc>
        <w:tc>
          <w:tcPr>
            <w:tcW w:w="6645" w:type="dxa"/>
            <w:tcBorders>
              <w:top w:val="nil" w:sz="6" w:space="0" w:color="auto"/>
              <w:left w:val="nil" w:sz="6" w:space="0" w:color="auto"/>
              <w:bottom w:val="nil" w:sz="6" w:space="0" w:color="auto"/>
              <w:right w:val="nil" w:sz="6" w:space="0" w:color="auto"/>
            </w:tcBorders>
          </w:tcPr>
          <w:p>
            <w:pPr>
              <w:pStyle w:val="TableParagraph"/>
              <w:tabs>
                <w:tab w:pos="1034" w:val="left" w:leader="none"/>
                <w:tab w:pos="1748" w:val="left" w:leader="none"/>
                <w:tab w:pos="3543" w:val="left" w:leader="none"/>
                <w:tab w:pos="4478" w:val="left" w:leader="none"/>
                <w:tab w:pos="5009" w:val="left" w:leader="none"/>
              </w:tabs>
              <w:spacing w:line="240" w:lineRule="auto" w:before="15"/>
              <w:ind w:right="33"/>
              <w:jc w:val="right"/>
              <w:rPr>
                <w:rFonts w:ascii="Arial" w:hAnsi="Arial" w:cs="Arial" w:eastAsia="Arial" w:hint="default"/>
                <w:sz w:val="20"/>
                <w:szCs w:val="20"/>
              </w:rPr>
            </w:pPr>
            <w:r>
              <w:rPr>
                <w:rFonts w:ascii="Arial"/>
                <w:sz w:val="20"/>
              </w:rPr>
              <w:t>-</w:t>
              <w:tab/>
              <w:t>-</w:t>
              <w:tab/>
              <w:t>43,619</w:t>
              <w:tab/>
              <w:t>-</w:t>
              <w:tab/>
              <w:t>-</w:t>
              <w:tab/>
              <w:t>43,619</w:t>
            </w:r>
          </w:p>
        </w:tc>
      </w:tr>
      <w:tr>
        <w:trPr>
          <w:trHeight w:val="269"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19" w:lineRule="exact"/>
              <w:ind w:left="38" w:right="0"/>
              <w:jc w:val="left"/>
              <w:rPr>
                <w:rFonts w:ascii="黑体" w:hAnsi="黑体" w:cs="黑体" w:eastAsia="黑体" w:hint="default"/>
                <w:sz w:val="20"/>
                <w:szCs w:val="20"/>
              </w:rPr>
            </w:pPr>
            <w:r>
              <w:rPr>
                <w:rFonts w:ascii="黑体" w:hAnsi="黑体" w:cs="黑体" w:eastAsia="黑体" w:hint="default"/>
                <w:sz w:val="20"/>
                <w:szCs w:val="20"/>
              </w:rPr>
              <w:t>无形资产减值准备</w:t>
            </w:r>
          </w:p>
        </w:tc>
        <w:tc>
          <w:tcPr>
            <w:tcW w:w="6645" w:type="dxa"/>
            <w:tcBorders>
              <w:top w:val="nil" w:sz="6" w:space="0" w:color="auto"/>
              <w:left w:val="nil" w:sz="6" w:space="0" w:color="auto"/>
              <w:bottom w:val="nil" w:sz="6" w:space="0" w:color="auto"/>
              <w:right w:val="nil" w:sz="6" w:space="0" w:color="auto"/>
            </w:tcBorders>
          </w:tcPr>
          <w:p>
            <w:pPr>
              <w:pStyle w:val="TableParagraph"/>
              <w:tabs>
                <w:tab w:pos="899" w:val="left" w:leader="none"/>
                <w:tab w:pos="1933" w:val="left" w:leader="none"/>
                <w:tab w:pos="2369" w:val="left" w:leader="none"/>
                <w:tab w:pos="3803" w:val="left" w:leader="none"/>
                <w:tab w:pos="4442" w:val="left" w:leader="none"/>
                <w:tab w:pos="4738" w:val="left" w:leader="none"/>
                <w:tab w:pos="5377" w:val="left" w:leader="none"/>
              </w:tabs>
              <w:spacing w:line="240" w:lineRule="auto" w:before="1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r>
              <w:rPr>
                <w:rFonts w:ascii="Arial"/>
                <w:sz w:val="20"/>
                <w:u w:val="single" w:color="000000"/>
              </w:rPr>
              <w:t> </w:t>
              <w:tab/>
              <w:t>-</w:t>
            </w:r>
            <w:r>
              <w:rPr>
                <w:rFonts w:ascii="Arial"/>
                <w:sz w:val="20"/>
              </w:rPr>
              <w:tab/>
            </w:r>
            <w:r>
              <w:rPr>
                <w:rFonts w:ascii="Arial"/>
                <w:spacing w:val="-1"/>
                <w:sz w:val="20"/>
                <w:u w:val="single" w:color="000000"/>
              </w:rPr>
              <w:t>4,083,450</w:t>
            </w:r>
            <w:r>
              <w:rPr>
                <w:rFonts w:ascii="Arial"/>
                <w:spacing w:val="-1"/>
                <w:sz w:val="20"/>
              </w:rPr>
              <w:tab/>
            </w:r>
            <w:r>
              <w:rPr>
                <w:rFonts w:ascii="Arial"/>
                <w:spacing w:val="-1"/>
                <w:sz w:val="20"/>
                <w:u w:val="single" w:color="000000"/>
              </w:rPr>
              <w:t> </w:t>
              <w:tab/>
            </w:r>
            <w:r>
              <w:rPr>
                <w:rFonts w:ascii="Arial"/>
                <w:sz w:val="20"/>
                <w:u w:val="single" w:color="000000"/>
              </w:rPr>
              <w:t>-</w:t>
            </w:r>
            <w:r>
              <w:rPr>
                <w:rFonts w:ascii="Arial"/>
                <w:sz w:val="20"/>
              </w:rPr>
              <w:tab/>
            </w:r>
            <w:r>
              <w:rPr>
                <w:rFonts w:ascii="Arial"/>
                <w:sz w:val="20"/>
                <w:u w:val="single" w:color="000000"/>
              </w:rPr>
              <w:t> </w:t>
              <w:tab/>
              <w:t>-  </w:t>
            </w:r>
            <w:r>
              <w:rPr>
                <w:rFonts w:ascii="Arial"/>
                <w:spacing w:val="20"/>
                <w:sz w:val="20"/>
                <w:u w:val="single" w:color="000000"/>
              </w:rPr>
              <w:t> </w:t>
            </w:r>
            <w:r>
              <w:rPr>
                <w:rFonts w:ascii="Arial"/>
                <w:spacing w:val="20"/>
                <w:sz w:val="20"/>
              </w:rPr>
            </w:r>
            <w:r>
              <w:rPr>
                <w:rFonts w:ascii="Arial"/>
                <w:spacing w:val="20"/>
                <w:sz w:val="20"/>
                <w:u w:val="single" w:color="000000"/>
              </w:rPr>
              <w:t> </w:t>
            </w:r>
            <w:r>
              <w:rPr>
                <w:rFonts w:ascii="Arial"/>
                <w:sz w:val="20"/>
                <w:u w:val="single" w:color="000000"/>
              </w:rPr>
              <w:t>4,083,450</w:t>
            </w:r>
            <w:r>
              <w:rPr>
                <w:rFonts w:ascii="Arial"/>
                <w:sz w:val="20"/>
              </w:rPr>
            </w:r>
          </w:p>
        </w:tc>
      </w:tr>
      <w:tr>
        <w:trPr>
          <w:trHeight w:val="328" w:hRule="exact"/>
        </w:trPr>
        <w:tc>
          <w:tcPr>
            <w:tcW w:w="2289" w:type="dxa"/>
            <w:tcBorders>
              <w:top w:val="nil" w:sz="6" w:space="0" w:color="auto"/>
              <w:left w:val="nil" w:sz="6" w:space="0" w:color="auto"/>
              <w:bottom w:val="nil" w:sz="6" w:space="0" w:color="auto"/>
              <w:right w:val="nil" w:sz="6" w:space="0" w:color="auto"/>
            </w:tcBorders>
          </w:tcPr>
          <w:p>
            <w:pPr/>
          </w:p>
        </w:tc>
        <w:tc>
          <w:tcPr>
            <w:tcW w:w="6645" w:type="dxa"/>
            <w:tcBorders>
              <w:top w:val="nil" w:sz="6" w:space="0" w:color="auto"/>
              <w:left w:val="nil" w:sz="6" w:space="0" w:color="auto"/>
              <w:bottom w:val="nil" w:sz="6" w:space="0" w:color="auto"/>
              <w:right w:val="nil" w:sz="6" w:space="0" w:color="auto"/>
            </w:tcBorders>
          </w:tcPr>
          <w:p>
            <w:pPr>
              <w:pStyle w:val="TableParagraph"/>
              <w:tabs>
                <w:tab w:pos="2405" w:val="left" w:leader="none"/>
                <w:tab w:pos="3821" w:val="left" w:leader="none"/>
                <w:tab w:pos="4756" w:val="left" w:leader="none"/>
              </w:tabs>
              <w:spacing w:line="240" w:lineRule="auto" w:before="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41,108,044</w:t>
            </w:r>
            <w:r>
              <w:rPr>
                <w:rFonts w:ascii="Arial"/>
                <w:sz w:val="20"/>
                <w:u w:val="thick" w:color="000000"/>
              </w:rPr>
              <w:t> </w:t>
            </w:r>
            <w:r>
              <w:rPr>
                <w:rFonts w:ascii="Arial"/>
                <w:spacing w:val="37"/>
                <w:sz w:val="20"/>
                <w:u w:val="thick" w:color="000000"/>
              </w:rPr>
              <w:t> </w:t>
            </w:r>
            <w:r>
              <w:rPr>
                <w:rFonts w:ascii="Arial"/>
                <w:spacing w:val="37"/>
                <w:sz w:val="20"/>
              </w:rPr>
            </w:r>
            <w:r>
              <w:rPr>
                <w:rFonts w:ascii="Arial"/>
                <w:spacing w:val="-1"/>
                <w:sz w:val="20"/>
                <w:u w:val="thick" w:color="000000"/>
              </w:rPr>
              <w:t>7,118,092</w:t>
            </w:r>
            <w:r>
              <w:rPr>
                <w:rFonts w:ascii="Arial"/>
                <w:spacing w:val="-1"/>
                <w:sz w:val="20"/>
              </w:rPr>
              <w:tab/>
            </w:r>
            <w:r>
              <w:rPr>
                <w:rFonts w:ascii="Arial"/>
                <w:spacing w:val="-1"/>
                <w:sz w:val="20"/>
                <w:u w:val="thick" w:color="000000"/>
              </w:rPr>
              <w:t>4,580,212</w:t>
            </w:r>
            <w:r>
              <w:rPr>
                <w:rFonts w:ascii="Arial"/>
                <w:spacing w:val="-1"/>
                <w:sz w:val="20"/>
              </w:rPr>
              <w:tab/>
            </w:r>
            <w:r>
              <w:rPr>
                <w:rFonts w:ascii="Arial"/>
                <w:spacing w:val="-1"/>
                <w:sz w:val="20"/>
                <w:u w:val="thick" w:color="000000"/>
              </w:rPr>
              <w:t>115,000</w:t>
            </w:r>
            <w:r>
              <w:rPr>
                <w:rFonts w:ascii="Arial"/>
                <w:spacing w:val="-1"/>
                <w:sz w:val="20"/>
              </w:rPr>
              <w:tab/>
            </w:r>
            <w:r>
              <w:rPr>
                <w:rFonts w:ascii="Arial"/>
                <w:spacing w:val="-1"/>
                <w:sz w:val="20"/>
                <w:u w:val="thick" w:color="000000"/>
              </w:rPr>
              <w:t>874,856</w:t>
            </w:r>
            <w:r>
              <w:rPr>
                <w:rFonts w:ascii="Arial"/>
                <w:spacing w:val="29"/>
                <w:sz w:val="20"/>
                <w:u w:val="thick" w:color="000000"/>
              </w:rPr>
              <w:t> </w:t>
            </w:r>
            <w:r>
              <w:rPr>
                <w:rFonts w:ascii="Arial"/>
                <w:spacing w:val="29"/>
                <w:sz w:val="20"/>
              </w:rPr>
            </w:r>
            <w:r>
              <w:rPr>
                <w:rFonts w:ascii="Arial"/>
                <w:spacing w:val="-1"/>
                <w:sz w:val="20"/>
                <w:u w:val="thick" w:color="000000"/>
              </w:rPr>
              <w:t>51,816,492</w:t>
            </w:r>
            <w:r>
              <w:rPr>
                <w:rFonts w:ascii="Arial"/>
                <w:spacing w:val="-1"/>
                <w:sz w:val="20"/>
              </w:rPr>
            </w:r>
          </w:p>
        </w:tc>
      </w:tr>
    </w:tbl>
    <w:p>
      <w:pPr>
        <w:spacing w:after="0" w:line="240" w:lineRule="auto"/>
        <w:jc w:val="right"/>
        <w:rPr>
          <w:rFonts w:ascii="Arial" w:hAnsi="Arial" w:cs="Arial" w:eastAsia="Arial" w:hint="default"/>
          <w:sz w:val="20"/>
          <w:szCs w:val="20"/>
        </w:rPr>
        <w:sectPr>
          <w:type w:val="continuous"/>
          <w:pgSz w:w="11910" w:h="16840"/>
          <w:pgMar w:top="900" w:bottom="280" w:left="1600" w:right="480"/>
        </w:sectPr>
      </w:pPr>
    </w:p>
    <w:p>
      <w:pPr>
        <w:spacing w:line="240" w:lineRule="auto" w:before="0"/>
        <w:rPr>
          <w:rFonts w:ascii="Arial" w:hAnsi="Arial" w:cs="Arial" w:eastAsia="Arial" w:hint="default"/>
          <w:sz w:val="20"/>
          <w:szCs w:val="20"/>
        </w:rPr>
      </w:pPr>
    </w:p>
    <w:p>
      <w:pPr>
        <w:spacing w:line="240" w:lineRule="auto" w:before="10"/>
        <w:rPr>
          <w:rFonts w:ascii="Arial" w:hAnsi="Arial" w:cs="Arial" w:eastAsia="Arial" w:hint="default"/>
          <w:sz w:val="16"/>
          <w:szCs w:val="16"/>
        </w:rPr>
      </w:pPr>
    </w:p>
    <w:p>
      <w:pPr>
        <w:tabs>
          <w:tab w:pos="843" w:val="left" w:leader="none"/>
        </w:tabs>
        <w:spacing w:before="38"/>
        <w:ind w:left="141" w:right="2405"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61" w:val="left" w:leader="none"/>
        </w:tabs>
        <w:spacing w:before="0"/>
        <w:ind w:left="141" w:right="2405" w:firstLine="0"/>
        <w:jc w:val="left"/>
        <w:rPr>
          <w:rFonts w:ascii="黑体" w:hAnsi="黑体" w:cs="黑体" w:eastAsia="黑体" w:hint="default"/>
          <w:sz w:val="20"/>
          <w:szCs w:val="20"/>
        </w:rPr>
      </w:pPr>
      <w:r>
        <w:rPr>
          <w:rFonts w:ascii="Arial" w:hAnsi="Arial" w:cs="Arial" w:eastAsia="Arial" w:hint="default"/>
          <w:b/>
          <w:bCs/>
          <w:spacing w:val="-1"/>
          <w:sz w:val="20"/>
          <w:szCs w:val="20"/>
        </w:rPr>
        <w:t>19.</w:t>
        <w:tab/>
      </w:r>
      <w:r>
        <w:rPr>
          <w:rFonts w:ascii="黑体" w:hAnsi="黑体" w:cs="黑体" w:eastAsia="黑体" w:hint="default"/>
          <w:b/>
          <w:bCs/>
          <w:sz w:val="20"/>
          <w:szCs w:val="20"/>
        </w:rPr>
        <w:t>应付票据</w:t>
      </w:r>
      <w:r>
        <w:rPr>
          <w:rFonts w:ascii="黑体" w:hAnsi="黑体" w:cs="黑体" w:eastAsia="黑体" w:hint="default"/>
          <w:sz w:val="20"/>
          <w:szCs w:val="20"/>
        </w:rPr>
      </w:r>
    </w:p>
    <w:p>
      <w:pPr>
        <w:spacing w:line="240" w:lineRule="auto" w:before="5"/>
        <w:rPr>
          <w:rFonts w:ascii="黑体" w:hAnsi="黑体" w:cs="黑体" w:eastAsia="黑体" w:hint="default"/>
          <w:b/>
          <w:bCs/>
          <w:sz w:val="13"/>
          <w:szCs w:val="13"/>
        </w:rPr>
      </w:pPr>
    </w:p>
    <w:p>
      <w:pPr>
        <w:pStyle w:val="BodyText"/>
        <w:tabs>
          <w:tab w:pos="7154" w:val="left" w:leader="none"/>
        </w:tabs>
        <w:spacing w:line="240" w:lineRule="auto" w:before="38"/>
        <w:ind w:left="4888" w:right="113"/>
        <w:jc w:val="left"/>
      </w:pP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tab/>
      </w:r>
      <w:r>
        <w:rPr>
          <w:rFonts w:ascii="Arial" w:hAnsi="Arial" w:cs="Arial" w:eastAsia="Arial" w:hint="default"/>
          <w:spacing w:val="-1"/>
        </w:rPr>
        <w:t>2008</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r>
    </w:p>
    <w:p>
      <w:pPr>
        <w:spacing w:line="240" w:lineRule="auto" w:before="2"/>
        <w:rPr>
          <w:rFonts w:ascii="黑体" w:hAnsi="黑体" w:cs="黑体" w:eastAsia="黑体" w:hint="default"/>
          <w:sz w:val="18"/>
          <w:szCs w:val="18"/>
        </w:rPr>
      </w:pPr>
    </w:p>
    <w:p>
      <w:pPr>
        <w:pStyle w:val="BodyText"/>
        <w:tabs>
          <w:tab w:pos="5489" w:val="left" w:leader="none"/>
          <w:tab w:pos="7778" w:val="left" w:leader="none"/>
          <w:tab w:pos="8577" w:val="left" w:leader="none"/>
        </w:tabs>
        <w:spacing w:line="240" w:lineRule="auto"/>
        <w:ind w:left="862" w:right="113"/>
        <w:jc w:val="left"/>
        <w:rPr>
          <w:rFonts w:ascii="Arial" w:hAnsi="Arial" w:cs="Arial" w:eastAsia="Arial" w:hint="default"/>
        </w:rPr>
      </w:pPr>
      <w:r>
        <w:rPr>
          <w:spacing w:val="-1"/>
        </w:rPr>
        <w:t>银行承兑汇票</w:t>
        <w:tab/>
      </w:r>
      <w:r>
        <w:rPr>
          <w:rFonts w:ascii="Arial" w:hAnsi="Arial" w:cs="Arial" w:eastAsia="Arial" w:hint="default"/>
          <w:spacing w:val="-1"/>
        </w:rPr>
      </w:r>
      <w:r>
        <w:rPr>
          <w:rFonts w:ascii="Arial" w:hAnsi="Arial" w:cs="Arial" w:eastAsia="Arial" w:hint="default"/>
          <w:spacing w:val="-1"/>
          <w:u w:val="thick" w:color="000000"/>
        </w:rPr>
        <w:t>2,567,410</w:t>
      </w:r>
      <w:r>
        <w:rPr>
          <w:rFonts w:ascii="Arial" w:hAnsi="Arial" w:cs="Arial" w:eastAsia="Arial" w:hint="default"/>
          <w:spacing w:val="-1"/>
        </w:rPr>
        <w:tab/>
      </w:r>
      <w:r>
        <w:rPr>
          <w:rFonts w:ascii="Arial" w:hAnsi="Arial" w:cs="Arial" w:eastAsia="Arial" w:hint="default"/>
          <w:spacing w:val="-1"/>
          <w:u w:val="thick" w:color="000000"/>
        </w:rPr>
        <w:t> </w:t>
        <w:tab/>
      </w:r>
      <w:r>
        <w:rPr>
          <w:rFonts w:ascii="Arial" w:hAnsi="Arial" w:cs="Arial" w:eastAsia="Arial" w:hint="default"/>
          <w:u w:val="thick" w:color="000000"/>
        </w:rPr>
        <w:t>-</w:t>
      </w:r>
      <w:r>
        <w:rPr>
          <w:rFonts w:ascii="Arial" w:hAnsi="Arial" w:cs="Arial" w:eastAsia="Arial" w:hint="default"/>
        </w:rPr>
      </w:r>
    </w:p>
    <w:p>
      <w:pPr>
        <w:spacing w:line="240" w:lineRule="auto" w:before="0"/>
        <w:rPr>
          <w:rFonts w:ascii="Arial" w:hAnsi="Arial" w:cs="Arial" w:eastAsia="Arial" w:hint="default"/>
          <w:sz w:val="17"/>
          <w:szCs w:val="17"/>
        </w:rPr>
      </w:pPr>
    </w:p>
    <w:p>
      <w:pPr>
        <w:pStyle w:val="BodyText"/>
        <w:spacing w:line="240" w:lineRule="auto" w:before="38"/>
        <w:ind w:left="855" w:right="113"/>
        <w:jc w:val="left"/>
      </w:pPr>
      <w:r>
        <w:rPr/>
        <w:t>下一会计期间将到期的金额为人民币</w:t>
      </w:r>
      <w:r>
        <w:rPr>
          <w:rFonts w:ascii="Arial" w:hAnsi="Arial" w:cs="Arial" w:eastAsia="Arial" w:hint="default"/>
        </w:rPr>
        <w:t>2,567,410</w:t>
      </w:r>
      <w:r>
        <w:rPr/>
        <w:t>元</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r>
        <w:rPr>
          <w:rFonts w:ascii="Arial" w:hAnsi="Arial" w:cs="Arial" w:eastAsia="Arial" w:hint="default"/>
        </w:rPr>
        <w:t>)</w:t>
      </w:r>
      <w:r>
        <w:rPr/>
        <w:t>。</w:t>
      </w:r>
    </w:p>
    <w:p>
      <w:pPr>
        <w:spacing w:line="240" w:lineRule="auto" w:before="12"/>
        <w:rPr>
          <w:rFonts w:ascii="黑体" w:hAnsi="黑体" w:cs="黑体" w:eastAsia="黑体" w:hint="default"/>
          <w:sz w:val="17"/>
          <w:szCs w:val="17"/>
        </w:rPr>
      </w:pPr>
    </w:p>
    <w:p>
      <w:pPr>
        <w:tabs>
          <w:tab w:pos="861" w:val="left" w:leader="none"/>
        </w:tabs>
        <w:spacing w:line="444" w:lineRule="auto" w:before="0"/>
        <w:ind w:left="855" w:right="4295" w:hanging="714"/>
        <w:jc w:val="left"/>
        <w:rPr>
          <w:rFonts w:ascii="黑体" w:hAnsi="黑体" w:cs="黑体" w:eastAsia="黑体" w:hint="default"/>
          <w:sz w:val="20"/>
          <w:szCs w:val="20"/>
        </w:rPr>
      </w:pPr>
      <w:r>
        <w:rPr>
          <w:rFonts w:ascii="Arial" w:hAnsi="Arial" w:cs="Arial" w:eastAsia="Arial" w:hint="default"/>
          <w:b/>
          <w:bCs/>
          <w:spacing w:val="-1"/>
          <w:sz w:val="20"/>
          <w:szCs w:val="20"/>
        </w:rPr>
        <w:t>20.</w:t>
        <w:tab/>
        <w:tab/>
      </w:r>
      <w:r>
        <w:rPr>
          <w:rFonts w:ascii="黑体" w:hAnsi="黑体" w:cs="黑体" w:eastAsia="黑体" w:hint="default"/>
          <w:b/>
          <w:bCs/>
          <w:sz w:val="20"/>
          <w:szCs w:val="20"/>
        </w:rPr>
        <w:t>应付账款</w:t>
      </w:r>
      <w:r>
        <w:rPr>
          <w:rFonts w:ascii="黑体" w:hAnsi="黑体" w:cs="黑体" w:eastAsia="黑体" w:hint="default"/>
          <w:b/>
          <w:bCs/>
          <w:w w:val="99"/>
          <w:sz w:val="20"/>
          <w:szCs w:val="20"/>
        </w:rPr>
        <w:t> </w:t>
      </w:r>
      <w:r>
        <w:rPr>
          <w:rFonts w:ascii="黑体" w:hAnsi="黑体" w:cs="黑体" w:eastAsia="黑体" w:hint="default"/>
          <w:spacing w:val="-1"/>
          <w:sz w:val="20"/>
          <w:szCs w:val="20"/>
        </w:rPr>
        <w:t>应付账款不计息，并通常在</w:t>
      </w:r>
      <w:r>
        <w:rPr>
          <w:rFonts w:ascii="Arial" w:hAnsi="Arial" w:cs="Arial" w:eastAsia="Arial" w:hint="default"/>
          <w:spacing w:val="-1"/>
          <w:sz w:val="20"/>
          <w:szCs w:val="20"/>
        </w:rPr>
        <w:t>2</w:t>
      </w:r>
      <w:r>
        <w:rPr>
          <w:rFonts w:ascii="黑体" w:hAnsi="黑体" w:cs="黑体" w:eastAsia="黑体" w:hint="default"/>
          <w:spacing w:val="-1"/>
          <w:sz w:val="20"/>
          <w:szCs w:val="20"/>
        </w:rPr>
        <w:t>个月内清偿。</w:t>
      </w:r>
    </w:p>
    <w:p>
      <w:pPr>
        <w:pStyle w:val="BodyText"/>
        <w:spacing w:line="240" w:lineRule="auto" w:before="63"/>
        <w:ind w:left="855" w:right="2405"/>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日，本账户余额中应付关联方款项如下：</w:t>
      </w:r>
    </w:p>
    <w:p>
      <w:pPr>
        <w:spacing w:line="240" w:lineRule="auto" w:before="6"/>
        <w:rPr>
          <w:rFonts w:ascii="黑体" w:hAnsi="黑体" w:cs="黑体" w:eastAsia="黑体" w:hint="default"/>
          <w:sz w:val="19"/>
          <w:szCs w:val="19"/>
        </w:rPr>
      </w:pPr>
    </w:p>
    <w:p>
      <w:pPr>
        <w:pStyle w:val="BodyText"/>
        <w:tabs>
          <w:tab w:pos="7157" w:val="left" w:leader="none"/>
        </w:tabs>
        <w:spacing w:line="240" w:lineRule="auto"/>
        <w:ind w:left="4922" w:right="113"/>
        <w:jc w:val="left"/>
      </w:pP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tab/>
      </w:r>
      <w:r>
        <w:rPr>
          <w:rFonts w:ascii="Arial" w:hAnsi="Arial" w:cs="Arial" w:eastAsia="Arial" w:hint="default"/>
          <w:spacing w:val="-1"/>
        </w:rPr>
        <w:t>2008</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r>
    </w:p>
    <w:p>
      <w:pPr>
        <w:spacing w:line="240" w:lineRule="auto" w:before="11"/>
        <w:rPr>
          <w:rFonts w:ascii="黑体" w:hAnsi="黑体" w:cs="黑体" w:eastAsia="黑体" w:hint="default"/>
          <w:sz w:val="17"/>
          <w:szCs w:val="17"/>
        </w:rPr>
      </w:pPr>
    </w:p>
    <w:p>
      <w:pPr>
        <w:pStyle w:val="BodyText"/>
        <w:tabs>
          <w:tab w:pos="5689" w:val="left" w:leader="none"/>
          <w:tab w:pos="8145" w:val="left" w:leader="none"/>
        </w:tabs>
        <w:spacing w:line="240" w:lineRule="auto"/>
        <w:ind w:left="856" w:right="113"/>
        <w:jc w:val="left"/>
        <w:rPr>
          <w:rFonts w:ascii="Arial" w:hAnsi="Arial" w:cs="Arial" w:eastAsia="Arial" w:hint="default"/>
        </w:rPr>
      </w:pPr>
      <w:r>
        <w:rPr/>
        <w:t>用友致远</w:t>
        <w:tab/>
      </w:r>
      <w:r>
        <w:rPr>
          <w:rFonts w:ascii="Arial" w:hAnsi="Arial" w:cs="Arial" w:eastAsia="Arial" w:hint="default"/>
        </w:rPr>
      </w:r>
      <w:r>
        <w:rPr>
          <w:rFonts w:ascii="Arial" w:hAnsi="Arial" w:cs="Arial" w:eastAsia="Arial" w:hint="default"/>
          <w:spacing w:val="-1"/>
          <w:u w:val="thick" w:color="000000"/>
        </w:rPr>
        <w:t>208,640</w:t>
      </w:r>
      <w:r>
        <w:rPr>
          <w:rFonts w:ascii="Arial" w:hAnsi="Arial" w:cs="Arial" w:eastAsia="Arial" w:hint="default"/>
          <w:spacing w:val="-1"/>
        </w:rPr>
        <w:tab/>
      </w:r>
      <w:r>
        <w:rPr>
          <w:rFonts w:ascii="Arial" w:hAnsi="Arial" w:cs="Arial" w:eastAsia="Arial" w:hint="default"/>
          <w:u w:val="thick" w:color="000000"/>
        </w:rPr>
        <w:t>9,500</w:t>
      </w:r>
      <w:r>
        <w:rPr>
          <w:rFonts w:ascii="Arial" w:hAnsi="Arial" w:cs="Arial" w:eastAsia="Arial" w:hint="default"/>
        </w:rPr>
      </w:r>
    </w:p>
    <w:p>
      <w:pPr>
        <w:spacing w:line="240" w:lineRule="auto" w:before="11"/>
        <w:rPr>
          <w:rFonts w:ascii="Arial" w:hAnsi="Arial" w:cs="Arial" w:eastAsia="Arial" w:hint="default"/>
          <w:sz w:val="16"/>
          <w:szCs w:val="16"/>
        </w:rPr>
      </w:pPr>
    </w:p>
    <w:p>
      <w:pPr>
        <w:pStyle w:val="BodyText"/>
        <w:spacing w:line="240" w:lineRule="auto" w:before="38"/>
        <w:ind w:left="850" w:right="0"/>
        <w:jc w:val="left"/>
      </w:pPr>
      <w:r>
        <w:rPr>
          <w:w w:val="100"/>
        </w:rPr>
        <w:t>于</w:t>
      </w:r>
      <w:r>
        <w:rPr>
          <w:rFonts w:ascii="Arial" w:hAnsi="Arial" w:cs="Arial" w:eastAsia="Arial" w:hint="default"/>
          <w:w w:val="100"/>
        </w:rPr>
        <w:t>20</w:t>
      </w:r>
      <w:r>
        <w:rPr>
          <w:rFonts w:ascii="Arial" w:hAnsi="Arial" w:cs="Arial" w:eastAsia="Arial" w:hint="default"/>
          <w:spacing w:val="-2"/>
          <w:w w:val="100"/>
        </w:rPr>
        <w:t>0</w:t>
      </w:r>
      <w:r>
        <w:rPr>
          <w:rFonts w:ascii="Arial" w:hAnsi="Arial" w:cs="Arial" w:eastAsia="Arial" w:hint="default"/>
          <w:w w:val="100"/>
        </w:rPr>
        <w:t>9</w:t>
      </w:r>
      <w:r>
        <w:rPr>
          <w:w w:val="100"/>
        </w:rPr>
        <w:t>年</w:t>
      </w:r>
      <w:r>
        <w:rPr>
          <w:rFonts w:ascii="Arial" w:hAnsi="Arial" w:cs="Arial" w:eastAsia="Arial" w:hint="default"/>
          <w:spacing w:val="-2"/>
          <w:w w:val="100"/>
        </w:rPr>
        <w:t>1</w:t>
      </w:r>
      <w:r>
        <w:rPr>
          <w:rFonts w:ascii="Arial" w:hAnsi="Arial" w:cs="Arial" w:eastAsia="Arial" w:hint="default"/>
          <w:spacing w:val="-1"/>
          <w:w w:val="100"/>
        </w:rPr>
        <w:t>2</w:t>
      </w:r>
      <w:r>
        <w:rPr>
          <w:w w:val="100"/>
        </w:rPr>
        <w:t>月</w:t>
      </w:r>
      <w:r>
        <w:rPr>
          <w:rFonts w:ascii="Arial" w:hAnsi="Arial" w:cs="Arial" w:eastAsia="Arial" w:hint="default"/>
          <w:w w:val="100"/>
        </w:rPr>
        <w:t>31</w:t>
      </w:r>
      <w:r>
        <w:rPr>
          <w:spacing w:val="-2"/>
          <w:w w:val="100"/>
        </w:rPr>
        <w:t>日</w:t>
      </w:r>
      <w:r>
        <w:rPr>
          <w:spacing w:val="-99"/>
          <w:w w:val="100"/>
        </w:rPr>
        <w:t>，</w:t>
      </w:r>
      <w:r>
        <w:rPr>
          <w:spacing w:val="-2"/>
          <w:w w:val="100"/>
        </w:rPr>
        <w:t>本账</w:t>
      </w:r>
      <w:r>
        <w:rPr>
          <w:w w:val="100"/>
        </w:rPr>
        <w:t>户余额</w:t>
      </w:r>
      <w:r>
        <w:rPr>
          <w:spacing w:val="-2"/>
          <w:w w:val="100"/>
        </w:rPr>
        <w:t>中</w:t>
      </w:r>
      <w:r>
        <w:rPr>
          <w:w w:val="100"/>
        </w:rPr>
        <w:t>无</w:t>
      </w:r>
      <w:r>
        <w:rPr>
          <w:spacing w:val="-2"/>
          <w:w w:val="100"/>
        </w:rPr>
        <w:t>账</w:t>
      </w:r>
      <w:r>
        <w:rPr>
          <w:w w:val="100"/>
        </w:rPr>
        <w:t>龄超过</w:t>
      </w:r>
      <w:r>
        <w:rPr>
          <w:rFonts w:ascii="Arial" w:hAnsi="Arial" w:cs="Arial" w:eastAsia="Arial" w:hint="default"/>
          <w:spacing w:val="-1"/>
          <w:w w:val="100"/>
        </w:rPr>
        <w:t>1</w:t>
      </w:r>
      <w:r>
        <w:rPr>
          <w:w w:val="100"/>
        </w:rPr>
        <w:t>年</w:t>
      </w:r>
      <w:r>
        <w:rPr>
          <w:spacing w:val="-2"/>
          <w:w w:val="100"/>
        </w:rPr>
        <w:t>的</w:t>
      </w:r>
      <w:r>
        <w:rPr>
          <w:w w:val="100"/>
        </w:rPr>
        <w:t>大额应</w:t>
      </w:r>
      <w:r>
        <w:rPr>
          <w:spacing w:val="-2"/>
          <w:w w:val="100"/>
        </w:rPr>
        <w:t>付</w:t>
      </w:r>
      <w:r>
        <w:rPr>
          <w:w w:val="100"/>
        </w:rPr>
        <w:t>账</w:t>
      </w:r>
      <w:r>
        <w:rPr>
          <w:spacing w:val="-100"/>
          <w:w w:val="100"/>
        </w:rPr>
        <w:t>款</w:t>
      </w:r>
      <w:r>
        <w:rPr>
          <w:w w:val="100"/>
        </w:rPr>
        <w:t>（</w:t>
      </w:r>
      <w:r>
        <w:rPr>
          <w:rFonts w:ascii="Arial" w:hAnsi="Arial" w:cs="Arial" w:eastAsia="Arial" w:hint="default"/>
          <w:w w:val="100"/>
        </w:rPr>
        <w:t>2</w:t>
      </w:r>
      <w:r>
        <w:rPr>
          <w:rFonts w:ascii="Arial" w:hAnsi="Arial" w:cs="Arial" w:eastAsia="Arial" w:hint="default"/>
          <w:spacing w:val="-2"/>
          <w:w w:val="100"/>
        </w:rPr>
        <w:t>0</w:t>
      </w:r>
      <w:r>
        <w:rPr>
          <w:rFonts w:ascii="Arial" w:hAnsi="Arial" w:cs="Arial" w:eastAsia="Arial" w:hint="default"/>
          <w:w w:val="100"/>
        </w:rPr>
        <w:t>08</w:t>
      </w:r>
      <w:r>
        <w:rPr>
          <w:spacing w:val="-2"/>
          <w:w w:val="100"/>
        </w:rPr>
        <w:t>年</w:t>
      </w:r>
      <w:r>
        <w:rPr>
          <w:rFonts w:ascii="Arial" w:hAnsi="Arial" w:cs="Arial" w:eastAsia="Arial" w:hint="default"/>
          <w:w w:val="100"/>
        </w:rPr>
        <w:t>12</w:t>
      </w:r>
      <w:r>
        <w:rPr>
          <w:spacing w:val="-2"/>
          <w:w w:val="100"/>
        </w:rPr>
        <w:t>月</w:t>
      </w:r>
      <w:r>
        <w:rPr>
          <w:rFonts w:ascii="Arial" w:hAnsi="Arial" w:cs="Arial" w:eastAsia="Arial" w:hint="default"/>
          <w:w w:val="100"/>
        </w:rPr>
        <w:t>31</w:t>
      </w:r>
      <w:r>
        <w:rPr>
          <w:spacing w:val="-2"/>
          <w:w w:val="100"/>
        </w:rPr>
        <w:t>日</w:t>
      </w:r>
      <w:r>
        <w:rPr>
          <w:spacing w:val="-99"/>
          <w:w w:val="100"/>
        </w:rPr>
        <w:t>：</w:t>
      </w:r>
      <w:r>
        <w:rPr>
          <w:spacing w:val="-2"/>
          <w:w w:val="100"/>
        </w:rPr>
        <w:t>无</w:t>
      </w:r>
      <w:r>
        <w:rPr>
          <w:spacing w:val="-99"/>
          <w:w w:val="100"/>
        </w:rPr>
        <w:t>）</w:t>
      </w:r>
      <w:r>
        <w:rPr>
          <w:w w:val="100"/>
        </w:rPr>
        <w:t>。</w:t>
      </w:r>
    </w:p>
    <w:p>
      <w:pPr>
        <w:spacing w:line="240" w:lineRule="auto" w:before="9"/>
        <w:rPr>
          <w:rFonts w:ascii="黑体" w:hAnsi="黑体" w:cs="黑体" w:eastAsia="黑体" w:hint="default"/>
          <w:sz w:val="23"/>
          <w:szCs w:val="23"/>
        </w:rPr>
      </w:pPr>
    </w:p>
    <w:tbl>
      <w:tblPr>
        <w:tblW w:w="0" w:type="auto"/>
        <w:jc w:val="left"/>
        <w:tblInd w:w="106" w:type="dxa"/>
        <w:tblLayout w:type="fixed"/>
        <w:tblCellMar>
          <w:top w:w="0" w:type="dxa"/>
          <w:left w:w="0" w:type="dxa"/>
          <w:bottom w:w="0" w:type="dxa"/>
          <w:right w:w="0" w:type="dxa"/>
        </w:tblCellMar>
        <w:tblLook w:val="01E0"/>
      </w:tblPr>
      <w:tblGrid>
        <w:gridCol w:w="3973"/>
        <w:gridCol w:w="1575"/>
        <w:gridCol w:w="791"/>
        <w:gridCol w:w="1477"/>
        <w:gridCol w:w="731"/>
      </w:tblGrid>
      <w:tr>
        <w:trPr>
          <w:trHeight w:val="1353" w:hRule="exact"/>
        </w:trPr>
        <w:tc>
          <w:tcPr>
            <w:tcW w:w="3973" w:type="dxa"/>
            <w:tcBorders>
              <w:top w:val="nil" w:sz="6" w:space="0" w:color="auto"/>
              <w:left w:val="nil" w:sz="6" w:space="0" w:color="auto"/>
              <w:bottom w:val="nil" w:sz="6" w:space="0" w:color="auto"/>
              <w:right w:val="nil" w:sz="6" w:space="0" w:color="auto"/>
            </w:tcBorders>
          </w:tcPr>
          <w:p>
            <w:pPr>
              <w:pStyle w:val="TableParagraph"/>
              <w:tabs>
                <w:tab w:pos="754" w:val="left" w:leader="none"/>
              </w:tabs>
              <w:spacing w:line="444" w:lineRule="auto" w:before="38"/>
              <w:ind w:left="749" w:right="166" w:hanging="715"/>
              <w:jc w:val="left"/>
              <w:rPr>
                <w:rFonts w:ascii="Arial" w:hAnsi="Arial" w:cs="Arial" w:eastAsia="Arial" w:hint="default"/>
                <w:sz w:val="20"/>
                <w:szCs w:val="20"/>
              </w:rPr>
            </w:pPr>
            <w:r>
              <w:rPr>
                <w:rFonts w:ascii="Arial" w:hAnsi="Arial" w:cs="Arial" w:eastAsia="Arial" w:hint="default"/>
                <w:b/>
                <w:bCs/>
                <w:spacing w:val="-1"/>
                <w:sz w:val="20"/>
                <w:szCs w:val="20"/>
              </w:rPr>
              <w:t>21.</w:t>
              <w:tab/>
              <w:tab/>
            </w:r>
            <w:r>
              <w:rPr>
                <w:rFonts w:ascii="黑体" w:hAnsi="黑体" w:cs="黑体" w:eastAsia="黑体" w:hint="default"/>
                <w:b/>
                <w:bCs/>
                <w:sz w:val="20"/>
                <w:szCs w:val="20"/>
              </w:rPr>
              <w:t>预收款项</w:t>
            </w:r>
            <w:r>
              <w:rPr>
                <w:rFonts w:ascii="黑体" w:hAnsi="黑体" w:cs="黑体" w:eastAsia="黑体" w:hint="default"/>
                <w:b/>
                <w:bCs/>
                <w:w w:val="99"/>
                <w:sz w:val="20"/>
                <w:szCs w:val="20"/>
              </w:rPr>
              <w:t> </w:t>
            </w:r>
            <w:r>
              <w:rPr>
                <w:rFonts w:ascii="黑体" w:hAnsi="黑体" w:cs="黑体" w:eastAsia="黑体" w:hint="default"/>
                <w:spacing w:val="-1"/>
                <w:sz w:val="20"/>
                <w:szCs w:val="20"/>
              </w:rPr>
              <w:t>预收款项的余额及其账龄分析如下</w:t>
            </w:r>
            <w:r>
              <w:rPr>
                <w:rFonts w:ascii="Arial" w:hAnsi="Arial" w:cs="Arial" w:eastAsia="Arial" w:hint="default"/>
                <w:spacing w:val="-1"/>
                <w:sz w:val="20"/>
                <w:szCs w:val="20"/>
              </w:rPr>
              <w:t>:</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0"/>
              <w:ind w:right="0"/>
              <w:jc w:val="left"/>
              <w:rPr>
                <w:rFonts w:ascii="黑体" w:hAnsi="黑体" w:cs="黑体" w:eastAsia="黑体" w:hint="default"/>
                <w:sz w:val="20"/>
                <w:szCs w:val="20"/>
              </w:rPr>
            </w:pPr>
          </w:p>
          <w:p>
            <w:pPr>
              <w:pStyle w:val="TableParagraph"/>
              <w:spacing w:line="240" w:lineRule="auto"/>
              <w:ind w:right="293"/>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0"/>
              <w:ind w:right="0"/>
              <w:jc w:val="left"/>
              <w:rPr>
                <w:rFonts w:ascii="黑体" w:hAnsi="黑体" w:cs="黑体" w:eastAsia="黑体" w:hint="default"/>
                <w:sz w:val="20"/>
                <w:szCs w:val="20"/>
              </w:rPr>
            </w:pPr>
          </w:p>
          <w:p>
            <w:pPr>
              <w:pStyle w:val="TableParagraph"/>
              <w:spacing w:line="240" w:lineRule="auto"/>
              <w:ind w:right="94"/>
              <w:jc w:val="right"/>
              <w:rPr>
                <w:rFonts w:ascii="黑体" w:hAnsi="黑体" w:cs="黑体" w:eastAsia="黑体" w:hint="default"/>
                <w:sz w:val="20"/>
                <w:szCs w:val="20"/>
              </w:rPr>
            </w:pPr>
            <w:r>
              <w:rPr>
                <w:rFonts w:ascii="黑体" w:hAnsi="黑体" w:cs="黑体" w:eastAsia="黑体" w:hint="default"/>
                <w:sz w:val="20"/>
                <w:szCs w:val="20"/>
              </w:rPr>
              <w:t>比例</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0"/>
              <w:ind w:right="0"/>
              <w:jc w:val="left"/>
              <w:rPr>
                <w:rFonts w:ascii="黑体" w:hAnsi="黑体" w:cs="黑体" w:eastAsia="黑体" w:hint="default"/>
                <w:sz w:val="20"/>
                <w:szCs w:val="20"/>
              </w:rPr>
            </w:pPr>
          </w:p>
          <w:p>
            <w:pPr>
              <w:pStyle w:val="TableParagraph"/>
              <w:spacing w:line="240" w:lineRule="auto"/>
              <w:ind w:right="293"/>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0"/>
              <w:ind w:right="0"/>
              <w:jc w:val="left"/>
              <w:rPr>
                <w:rFonts w:ascii="黑体" w:hAnsi="黑体" w:cs="黑体" w:eastAsia="黑体" w:hint="default"/>
                <w:sz w:val="20"/>
                <w:szCs w:val="20"/>
              </w:rPr>
            </w:pPr>
          </w:p>
          <w:p>
            <w:pPr>
              <w:pStyle w:val="TableParagraph"/>
              <w:spacing w:line="240" w:lineRule="auto"/>
              <w:ind w:right="33"/>
              <w:jc w:val="right"/>
              <w:rPr>
                <w:rFonts w:ascii="黑体" w:hAnsi="黑体" w:cs="黑体" w:eastAsia="黑体" w:hint="default"/>
                <w:sz w:val="20"/>
                <w:szCs w:val="20"/>
              </w:rPr>
            </w:pPr>
            <w:r>
              <w:rPr>
                <w:rFonts w:ascii="黑体" w:hAnsi="黑体" w:cs="黑体" w:eastAsia="黑体" w:hint="default"/>
                <w:sz w:val="20"/>
                <w:szCs w:val="20"/>
              </w:rPr>
              <w:t>比例</w:t>
            </w:r>
          </w:p>
        </w:tc>
      </w:tr>
      <w:tr>
        <w:trPr>
          <w:trHeight w:val="374" w:hRule="exact"/>
        </w:trPr>
        <w:tc>
          <w:tcPr>
            <w:tcW w:w="3973" w:type="dxa"/>
            <w:tcBorders>
              <w:top w:val="nil" w:sz="6" w:space="0" w:color="auto"/>
              <w:left w:val="nil" w:sz="6" w:space="0" w:color="auto"/>
              <w:bottom w:val="nil" w:sz="6" w:space="0" w:color="auto"/>
              <w:right w:val="nil" w:sz="6" w:space="0" w:color="auto"/>
            </w:tcBorders>
          </w:tcPr>
          <w:p>
            <w:pP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exact"/>
              <w:ind w:right="293"/>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93"/>
              <w:jc w:val="right"/>
              <w:rPr>
                <w:rFonts w:ascii="Arial" w:hAnsi="Arial" w:cs="Arial" w:eastAsia="Arial" w:hint="default"/>
                <w:sz w:val="20"/>
                <w:szCs w:val="20"/>
              </w:rPr>
            </w:pPr>
            <w:r>
              <w:rPr>
                <w:rFonts w:ascii="Arial"/>
                <w:w w:val="100"/>
                <w:sz w:val="20"/>
              </w:rPr>
              <w:t>%</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exact"/>
              <w:ind w:right="293"/>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w w:val="100"/>
                <w:sz w:val="20"/>
              </w:rPr>
              <w:t>%</w:t>
            </w:r>
          </w:p>
        </w:tc>
      </w:tr>
      <w:tr>
        <w:trPr>
          <w:trHeight w:val="374" w:hRule="exact"/>
        </w:trPr>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772"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年以内</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91"/>
              <w:jc w:val="right"/>
              <w:rPr>
                <w:rFonts w:ascii="Arial" w:hAnsi="Arial" w:cs="Arial" w:eastAsia="Arial" w:hint="default"/>
                <w:sz w:val="20"/>
                <w:szCs w:val="20"/>
              </w:rPr>
            </w:pPr>
            <w:r>
              <w:rPr>
                <w:rFonts w:ascii="Arial"/>
                <w:spacing w:val="-1"/>
                <w:sz w:val="20"/>
              </w:rPr>
              <w:t>252,381,240</w:t>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66"/>
              <w:jc w:val="right"/>
              <w:rPr>
                <w:rFonts w:ascii="Arial" w:hAnsi="Arial" w:cs="Arial" w:eastAsia="Arial" w:hint="default"/>
                <w:sz w:val="20"/>
                <w:szCs w:val="20"/>
              </w:rPr>
            </w:pPr>
            <w:r>
              <w:rPr>
                <w:rFonts w:ascii="Arial"/>
                <w:sz w:val="20"/>
              </w:rPr>
              <w:t>87</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292"/>
              <w:jc w:val="right"/>
              <w:rPr>
                <w:rFonts w:ascii="Arial" w:hAnsi="Arial" w:cs="Arial" w:eastAsia="Arial" w:hint="default"/>
                <w:sz w:val="20"/>
                <w:szCs w:val="20"/>
              </w:rPr>
            </w:pPr>
            <w:r>
              <w:rPr>
                <w:rFonts w:ascii="Arial"/>
                <w:spacing w:val="-1"/>
                <w:sz w:val="20"/>
              </w:rPr>
              <w:t>215,166,015</w:t>
            </w:r>
          </w:p>
        </w:tc>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4"/>
              <w:jc w:val="right"/>
              <w:rPr>
                <w:rFonts w:ascii="Arial" w:hAnsi="Arial" w:cs="Arial" w:eastAsia="Arial" w:hint="default"/>
                <w:sz w:val="20"/>
                <w:szCs w:val="20"/>
              </w:rPr>
            </w:pPr>
            <w:r>
              <w:rPr>
                <w:rFonts w:ascii="Arial"/>
                <w:sz w:val="20"/>
              </w:rPr>
              <w:t>90</w:t>
            </w:r>
          </w:p>
        </w:tc>
      </w:tr>
      <w:tr>
        <w:trPr>
          <w:trHeight w:val="260" w:hRule="exact"/>
        </w:trPr>
        <w:tc>
          <w:tcPr>
            <w:tcW w:w="3973" w:type="dxa"/>
            <w:tcBorders>
              <w:top w:val="nil" w:sz="6" w:space="0" w:color="auto"/>
              <w:left w:val="nil" w:sz="6" w:space="0" w:color="auto"/>
              <w:bottom w:val="nil" w:sz="6" w:space="0" w:color="auto"/>
              <w:right w:val="nil" w:sz="6" w:space="0" w:color="auto"/>
            </w:tcBorders>
          </w:tcPr>
          <w:p>
            <w:pPr>
              <w:pStyle w:val="TableParagraph"/>
              <w:spacing w:line="240" w:lineRule="exact"/>
              <w:ind w:left="772"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至</w:t>
            </w:r>
            <w:r>
              <w:rPr>
                <w:rFonts w:ascii="Arial" w:hAnsi="Arial" w:cs="Arial" w:eastAsia="Arial" w:hint="default"/>
                <w:sz w:val="20"/>
                <w:szCs w:val="20"/>
              </w:rPr>
              <w:t>2</w:t>
            </w:r>
            <w:r>
              <w:rPr>
                <w:rFonts w:ascii="黑体" w:hAnsi="黑体" w:cs="黑体" w:eastAsia="黑体" w:hint="default"/>
                <w:sz w:val="20"/>
                <w:szCs w:val="20"/>
              </w:rPr>
              <w:t>年</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93"/>
              <w:jc w:val="right"/>
              <w:rPr>
                <w:rFonts w:ascii="Arial" w:hAnsi="Arial" w:cs="Arial" w:eastAsia="Arial" w:hint="default"/>
                <w:sz w:val="20"/>
                <w:szCs w:val="20"/>
              </w:rPr>
            </w:pPr>
            <w:r>
              <w:rPr>
                <w:rFonts w:ascii="Arial"/>
                <w:spacing w:val="-1"/>
                <w:sz w:val="20"/>
              </w:rPr>
              <w:t>20,326,789</w:t>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6"/>
              <w:jc w:val="right"/>
              <w:rPr>
                <w:rFonts w:ascii="Arial" w:hAnsi="Arial" w:cs="Arial" w:eastAsia="Arial" w:hint="default"/>
                <w:sz w:val="20"/>
                <w:szCs w:val="20"/>
              </w:rPr>
            </w:pPr>
            <w:r>
              <w:rPr>
                <w:rFonts w:ascii="Arial"/>
                <w:w w:val="100"/>
                <w:sz w:val="20"/>
              </w:rPr>
              <w:t>7</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93"/>
              <w:jc w:val="right"/>
              <w:rPr>
                <w:rFonts w:ascii="Arial" w:hAnsi="Arial" w:cs="Arial" w:eastAsia="Arial" w:hint="default"/>
                <w:sz w:val="20"/>
                <w:szCs w:val="20"/>
              </w:rPr>
            </w:pPr>
            <w:r>
              <w:rPr>
                <w:rFonts w:ascii="Arial"/>
                <w:spacing w:val="-1"/>
                <w:sz w:val="20"/>
              </w:rPr>
              <w:t>15,105,664</w:t>
            </w:r>
          </w:p>
        </w:tc>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w w:val="100"/>
                <w:sz w:val="20"/>
              </w:rPr>
              <w:t>6</w:t>
            </w:r>
          </w:p>
        </w:tc>
      </w:tr>
      <w:tr>
        <w:trPr>
          <w:trHeight w:val="260" w:hRule="exact"/>
        </w:trPr>
        <w:tc>
          <w:tcPr>
            <w:tcW w:w="3973" w:type="dxa"/>
            <w:tcBorders>
              <w:top w:val="nil" w:sz="6" w:space="0" w:color="auto"/>
              <w:left w:val="nil" w:sz="6" w:space="0" w:color="auto"/>
              <w:bottom w:val="nil" w:sz="6" w:space="0" w:color="auto"/>
              <w:right w:val="nil" w:sz="6" w:space="0" w:color="auto"/>
            </w:tcBorders>
          </w:tcPr>
          <w:p>
            <w:pPr>
              <w:pStyle w:val="TableParagraph"/>
              <w:spacing w:line="240" w:lineRule="exact"/>
              <w:ind w:left="772" w:right="0"/>
              <w:jc w:val="left"/>
              <w:rPr>
                <w:rFonts w:ascii="黑体" w:hAnsi="黑体" w:cs="黑体" w:eastAsia="黑体" w:hint="default"/>
                <w:sz w:val="20"/>
                <w:szCs w:val="20"/>
              </w:rPr>
            </w:pPr>
            <w:r>
              <w:rPr>
                <w:rFonts w:ascii="Arial" w:hAnsi="Arial" w:cs="Arial" w:eastAsia="Arial" w:hint="default"/>
                <w:sz w:val="20"/>
                <w:szCs w:val="20"/>
              </w:rPr>
              <w:t>2</w:t>
            </w:r>
            <w:r>
              <w:rPr>
                <w:rFonts w:ascii="黑体" w:hAnsi="黑体" w:cs="黑体" w:eastAsia="黑体" w:hint="default"/>
                <w:sz w:val="20"/>
                <w:szCs w:val="20"/>
              </w:rPr>
              <w:t>至</w:t>
            </w:r>
            <w:r>
              <w:rPr>
                <w:rFonts w:ascii="Arial" w:hAnsi="Arial" w:cs="Arial" w:eastAsia="Arial" w:hint="default"/>
                <w:sz w:val="20"/>
                <w:szCs w:val="20"/>
              </w:rPr>
              <w:t>3</w:t>
            </w:r>
            <w:r>
              <w:rPr>
                <w:rFonts w:ascii="黑体" w:hAnsi="黑体" w:cs="黑体" w:eastAsia="黑体" w:hint="default"/>
                <w:sz w:val="20"/>
                <w:szCs w:val="20"/>
              </w:rPr>
              <w:t>年</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92"/>
              <w:jc w:val="right"/>
              <w:rPr>
                <w:rFonts w:ascii="Arial" w:hAnsi="Arial" w:cs="Arial" w:eastAsia="Arial" w:hint="default"/>
                <w:sz w:val="20"/>
                <w:szCs w:val="20"/>
              </w:rPr>
            </w:pPr>
            <w:r>
              <w:rPr>
                <w:rFonts w:ascii="Arial"/>
                <w:spacing w:val="-1"/>
                <w:sz w:val="20"/>
              </w:rPr>
              <w:t>8,319,170</w:t>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94"/>
              <w:jc w:val="right"/>
              <w:rPr>
                <w:rFonts w:ascii="Arial" w:hAnsi="Arial" w:cs="Arial" w:eastAsia="Arial" w:hint="default"/>
                <w:sz w:val="20"/>
                <w:szCs w:val="20"/>
              </w:rPr>
            </w:pPr>
            <w:r>
              <w:rPr>
                <w:rFonts w:ascii="Arial"/>
                <w:w w:val="100"/>
                <w:sz w:val="20"/>
              </w:rPr>
              <w:t>3</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93"/>
              <w:jc w:val="right"/>
              <w:rPr>
                <w:rFonts w:ascii="Arial" w:hAnsi="Arial" w:cs="Arial" w:eastAsia="Arial" w:hint="default"/>
                <w:sz w:val="20"/>
                <w:szCs w:val="20"/>
              </w:rPr>
            </w:pPr>
            <w:r>
              <w:rPr>
                <w:rFonts w:ascii="Arial"/>
                <w:spacing w:val="-1"/>
                <w:sz w:val="20"/>
              </w:rPr>
              <w:t>5,823,125</w:t>
            </w:r>
          </w:p>
        </w:tc>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2</w:t>
            </w:r>
          </w:p>
        </w:tc>
      </w:tr>
      <w:tr>
        <w:trPr>
          <w:trHeight w:val="320" w:hRule="exact"/>
        </w:trPr>
        <w:tc>
          <w:tcPr>
            <w:tcW w:w="3973" w:type="dxa"/>
            <w:tcBorders>
              <w:top w:val="nil" w:sz="6" w:space="0" w:color="auto"/>
              <w:left w:val="nil" w:sz="6" w:space="0" w:color="auto"/>
              <w:bottom w:val="nil" w:sz="6" w:space="0" w:color="auto"/>
              <w:right w:val="nil" w:sz="6" w:space="0" w:color="auto"/>
            </w:tcBorders>
          </w:tcPr>
          <w:p>
            <w:pPr>
              <w:pStyle w:val="TableParagraph"/>
              <w:spacing w:line="240" w:lineRule="exact"/>
              <w:ind w:left="772" w:right="0"/>
              <w:jc w:val="left"/>
              <w:rPr>
                <w:rFonts w:ascii="黑体" w:hAnsi="黑体" w:cs="黑体" w:eastAsia="黑体" w:hint="default"/>
                <w:sz w:val="20"/>
                <w:szCs w:val="20"/>
              </w:rPr>
            </w:pPr>
            <w:r>
              <w:rPr>
                <w:rFonts w:ascii="Arial" w:hAnsi="Arial" w:cs="Arial" w:eastAsia="Arial" w:hint="default"/>
                <w:sz w:val="20"/>
                <w:szCs w:val="20"/>
              </w:rPr>
              <w:t>3</w:t>
            </w:r>
            <w:r>
              <w:rPr>
                <w:rFonts w:ascii="黑体" w:hAnsi="黑体" w:cs="黑体" w:eastAsia="黑体" w:hint="default"/>
                <w:sz w:val="20"/>
                <w:szCs w:val="20"/>
              </w:rPr>
              <w:t>年以上</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9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3"/>
                <w:sz w:val="20"/>
                <w:u w:val="single" w:color="000000"/>
              </w:rPr>
              <w:t> </w:t>
            </w:r>
            <w:r>
              <w:rPr>
                <w:rFonts w:ascii="Arial"/>
                <w:sz w:val="20"/>
                <w:u w:val="single" w:color="000000"/>
              </w:rPr>
              <w:t>7,658,703</w:t>
            </w:r>
            <w:r>
              <w:rPr>
                <w:rFonts w:ascii="Arial"/>
                <w:sz w:val="20"/>
              </w:rPr>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9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3</w:t>
            </w:r>
            <w:r>
              <w:rPr>
                <w:rFonts w:ascii="Arial"/>
                <w:sz w:val="20"/>
              </w:rPr>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9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4,310,804</w:t>
            </w:r>
            <w:r>
              <w:rPr>
                <w:rFonts w:ascii="Arial"/>
                <w:sz w:val="20"/>
              </w:rPr>
            </w:r>
          </w:p>
        </w:tc>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2</w:t>
            </w:r>
            <w:r>
              <w:rPr>
                <w:rFonts w:ascii="Arial"/>
                <w:sz w:val="20"/>
              </w:rPr>
            </w:r>
          </w:p>
        </w:tc>
      </w:tr>
      <w:tr>
        <w:trPr>
          <w:trHeight w:val="387" w:hRule="exact"/>
        </w:trPr>
        <w:tc>
          <w:tcPr>
            <w:tcW w:w="3973" w:type="dxa"/>
            <w:tcBorders>
              <w:top w:val="nil" w:sz="6" w:space="0" w:color="auto"/>
              <w:left w:val="nil" w:sz="6" w:space="0" w:color="auto"/>
              <w:bottom w:val="nil" w:sz="6" w:space="0" w:color="auto"/>
              <w:right w:val="nil" w:sz="6" w:space="0" w:color="auto"/>
            </w:tcBorders>
          </w:tcPr>
          <w:p>
            <w:pP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92"/>
              <w:jc w:val="right"/>
              <w:rPr>
                <w:rFonts w:ascii="Arial" w:hAnsi="Arial" w:cs="Arial" w:eastAsia="Arial" w:hint="default"/>
                <w:sz w:val="20"/>
                <w:szCs w:val="20"/>
              </w:rPr>
            </w:pPr>
            <w:r>
              <w:rPr>
                <w:rFonts w:ascii="Arial"/>
                <w:w w:val="100"/>
                <w:sz w:val="20"/>
              </w:rPr>
            </w:r>
            <w:r>
              <w:rPr>
                <w:rFonts w:ascii="Arial"/>
                <w:spacing w:val="-1"/>
                <w:sz w:val="20"/>
                <w:u w:val="thick" w:color="000000"/>
              </w:rPr>
              <w:t>288,685,902</w:t>
            </w:r>
            <w:r>
              <w:rPr>
                <w:rFonts w:ascii="Arial"/>
                <w:spacing w:val="-1"/>
                <w:sz w:val="20"/>
              </w:rPr>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right"/>
              <w:rPr>
                <w:rFonts w:ascii="Arial" w:hAnsi="Arial" w:cs="Arial" w:eastAsia="Arial" w:hint="default"/>
                <w:sz w:val="20"/>
                <w:szCs w:val="20"/>
              </w:rPr>
            </w:pPr>
            <w:r>
              <w:rPr>
                <w:rFonts w:ascii="Arial"/>
                <w:w w:val="100"/>
                <w:sz w:val="20"/>
              </w:rPr>
            </w:r>
            <w:r>
              <w:rPr>
                <w:rFonts w:ascii="Arial"/>
                <w:sz w:val="20"/>
                <w:u w:val="thick" w:color="000000"/>
              </w:rPr>
              <w:t>100</w:t>
            </w:r>
            <w:r>
              <w:rPr>
                <w:rFonts w:ascii="Arial"/>
                <w:sz w:val="20"/>
              </w:rPr>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93"/>
              <w:jc w:val="right"/>
              <w:rPr>
                <w:rFonts w:ascii="Arial" w:hAnsi="Arial" w:cs="Arial" w:eastAsia="Arial" w:hint="default"/>
                <w:sz w:val="20"/>
                <w:szCs w:val="20"/>
              </w:rPr>
            </w:pPr>
            <w:r>
              <w:rPr>
                <w:rFonts w:ascii="Arial"/>
                <w:w w:val="100"/>
                <w:sz w:val="20"/>
              </w:rPr>
            </w:r>
            <w:r>
              <w:rPr>
                <w:rFonts w:ascii="Arial"/>
                <w:spacing w:val="-1"/>
                <w:sz w:val="20"/>
                <w:u w:val="thick" w:color="000000"/>
              </w:rPr>
              <w:t>240,405,608</w:t>
            </w:r>
            <w:r>
              <w:rPr>
                <w:rFonts w:ascii="Arial"/>
                <w:spacing w:val="-1"/>
                <w:sz w:val="20"/>
              </w:rPr>
            </w:r>
          </w:p>
        </w:tc>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4"/>
              <w:jc w:val="right"/>
              <w:rPr>
                <w:rFonts w:ascii="Arial" w:hAnsi="Arial" w:cs="Arial" w:eastAsia="Arial" w:hint="default"/>
                <w:sz w:val="20"/>
                <w:szCs w:val="20"/>
              </w:rPr>
            </w:pPr>
            <w:r>
              <w:rPr>
                <w:rFonts w:ascii="Arial"/>
                <w:w w:val="100"/>
                <w:sz w:val="20"/>
              </w:rPr>
            </w:r>
            <w:r>
              <w:rPr>
                <w:rFonts w:ascii="Arial"/>
                <w:sz w:val="20"/>
                <w:u w:val="thick" w:color="000000"/>
              </w:rPr>
              <w:t>100</w:t>
            </w:r>
            <w:r>
              <w:rPr>
                <w:rFonts w:ascii="Arial"/>
                <w:sz w:val="20"/>
              </w:rPr>
            </w:r>
          </w:p>
        </w:tc>
      </w:tr>
    </w:tbl>
    <w:p>
      <w:pPr>
        <w:spacing w:line="240" w:lineRule="auto" w:before="9"/>
        <w:rPr>
          <w:rFonts w:ascii="黑体" w:hAnsi="黑体" w:cs="黑体" w:eastAsia="黑体" w:hint="default"/>
          <w:sz w:val="7"/>
          <w:szCs w:val="7"/>
        </w:rPr>
      </w:pPr>
    </w:p>
    <w:p>
      <w:pPr>
        <w:pStyle w:val="BodyText"/>
        <w:spacing w:line="276" w:lineRule="auto" w:before="38"/>
        <w:ind w:left="855" w:right="113"/>
        <w:jc w:val="left"/>
      </w:pPr>
      <w:r>
        <w:rPr>
          <w:spacing w:val="-1"/>
        </w:rPr>
        <w:t>预收款项为预收客户有关软件销售及维护服务收入的款项。该款项按照收入确认的会计政</w:t>
      </w:r>
      <w:r>
        <w:rPr>
          <w:spacing w:val="-80"/>
        </w:rPr>
        <w:t> </w:t>
      </w:r>
      <w:r>
        <w:rPr>
          <w:spacing w:val="-80"/>
        </w:rPr>
      </w:r>
      <w:r>
        <w:rPr/>
        <w:t>策应于以后年度确认收入。</w:t>
      </w:r>
    </w:p>
    <w:p>
      <w:pPr>
        <w:spacing w:line="240" w:lineRule="auto" w:before="3"/>
        <w:rPr>
          <w:rFonts w:ascii="黑体" w:hAnsi="黑体" w:cs="黑体" w:eastAsia="黑体" w:hint="default"/>
          <w:sz w:val="18"/>
          <w:szCs w:val="18"/>
        </w:rPr>
      </w:pPr>
    </w:p>
    <w:p>
      <w:pPr>
        <w:pStyle w:val="BodyText"/>
        <w:spacing w:line="261" w:lineRule="auto"/>
        <w:ind w:left="855" w:right="113" w:hanging="1"/>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日，本账户余额中并无持本公司</w:t>
      </w:r>
      <w:r>
        <w:rPr>
          <w:rFonts w:ascii="Arial" w:hAnsi="Arial" w:cs="Arial" w:eastAsia="Arial" w:hint="default"/>
        </w:rPr>
        <w:t>5%</w:t>
      </w:r>
      <w:r>
        <w:rPr/>
        <w:t>或以上表决权股份的股东单位或关联</w:t>
      </w:r>
      <w:r>
        <w:rPr>
          <w:spacing w:val="-89"/>
        </w:rPr>
        <w:t> </w:t>
      </w:r>
      <w:r>
        <w:rPr/>
        <w:t>方的款项</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r>
        <w:rPr>
          <w:rFonts w:ascii="Arial" w:hAnsi="Arial" w:cs="Arial" w:eastAsia="Arial" w:hint="default"/>
        </w:rPr>
        <w:t>)</w:t>
      </w:r>
      <w:r>
        <w:rPr/>
        <w:t>。</w:t>
      </w:r>
    </w:p>
    <w:p>
      <w:pPr>
        <w:spacing w:line="240" w:lineRule="auto" w:before="3"/>
        <w:rPr>
          <w:rFonts w:ascii="黑体" w:hAnsi="黑体" w:cs="黑体" w:eastAsia="黑体" w:hint="default"/>
          <w:sz w:val="23"/>
          <w:szCs w:val="23"/>
        </w:rPr>
      </w:pPr>
    </w:p>
    <w:p>
      <w:pPr>
        <w:pStyle w:val="BodyText"/>
        <w:spacing w:line="240" w:lineRule="auto"/>
        <w:ind w:left="855" w:right="0"/>
        <w:jc w:val="left"/>
      </w:pPr>
      <w:r>
        <w:rPr>
          <w:w w:val="100"/>
        </w:rPr>
        <w:t>于</w:t>
      </w:r>
      <w:r>
        <w:rPr>
          <w:rFonts w:ascii="Arial" w:hAnsi="Arial" w:cs="Arial" w:eastAsia="Arial" w:hint="default"/>
          <w:w w:val="100"/>
        </w:rPr>
        <w:t>20</w:t>
      </w:r>
      <w:r>
        <w:rPr>
          <w:rFonts w:ascii="Arial" w:hAnsi="Arial" w:cs="Arial" w:eastAsia="Arial" w:hint="default"/>
          <w:spacing w:val="-2"/>
          <w:w w:val="100"/>
        </w:rPr>
        <w:t>0</w:t>
      </w:r>
      <w:r>
        <w:rPr>
          <w:rFonts w:ascii="Arial" w:hAnsi="Arial" w:cs="Arial" w:eastAsia="Arial" w:hint="default"/>
          <w:w w:val="100"/>
        </w:rPr>
        <w:t>9</w:t>
      </w:r>
      <w:r>
        <w:rPr>
          <w:w w:val="100"/>
        </w:rPr>
        <w:t>年</w:t>
      </w:r>
      <w:r>
        <w:rPr>
          <w:rFonts w:ascii="Arial" w:hAnsi="Arial" w:cs="Arial" w:eastAsia="Arial" w:hint="default"/>
          <w:spacing w:val="-2"/>
          <w:w w:val="100"/>
        </w:rPr>
        <w:t>1</w:t>
      </w:r>
      <w:r>
        <w:rPr>
          <w:rFonts w:ascii="Arial" w:hAnsi="Arial" w:cs="Arial" w:eastAsia="Arial" w:hint="default"/>
          <w:spacing w:val="-1"/>
          <w:w w:val="100"/>
        </w:rPr>
        <w:t>2</w:t>
      </w:r>
      <w:r>
        <w:rPr>
          <w:w w:val="100"/>
        </w:rPr>
        <w:t>月</w:t>
      </w:r>
      <w:r>
        <w:rPr>
          <w:rFonts w:ascii="Arial" w:hAnsi="Arial" w:cs="Arial" w:eastAsia="Arial" w:hint="default"/>
          <w:w w:val="100"/>
        </w:rPr>
        <w:t>31</w:t>
      </w:r>
      <w:r>
        <w:rPr>
          <w:spacing w:val="-2"/>
          <w:w w:val="100"/>
        </w:rPr>
        <w:t>日</w:t>
      </w:r>
      <w:r>
        <w:rPr>
          <w:spacing w:val="-100"/>
          <w:w w:val="100"/>
        </w:rPr>
        <w:t>，</w:t>
      </w:r>
      <w:r>
        <w:rPr>
          <w:spacing w:val="-2"/>
          <w:w w:val="100"/>
        </w:rPr>
        <w:t>本账</w:t>
      </w:r>
      <w:r>
        <w:rPr>
          <w:w w:val="100"/>
        </w:rPr>
        <w:t>户余额</w:t>
      </w:r>
      <w:r>
        <w:rPr>
          <w:spacing w:val="-2"/>
          <w:w w:val="100"/>
        </w:rPr>
        <w:t>中</w:t>
      </w:r>
      <w:r>
        <w:rPr>
          <w:w w:val="100"/>
        </w:rPr>
        <w:t>无</w:t>
      </w:r>
      <w:r>
        <w:rPr>
          <w:spacing w:val="-2"/>
          <w:w w:val="100"/>
        </w:rPr>
        <w:t>账</w:t>
      </w:r>
      <w:r>
        <w:rPr>
          <w:w w:val="100"/>
        </w:rPr>
        <w:t>龄超过</w:t>
      </w:r>
      <w:r>
        <w:rPr>
          <w:rFonts w:ascii="Arial" w:hAnsi="Arial" w:cs="Arial" w:eastAsia="Arial" w:hint="default"/>
          <w:spacing w:val="-1"/>
          <w:w w:val="100"/>
        </w:rPr>
        <w:t>1</w:t>
      </w:r>
      <w:r>
        <w:rPr>
          <w:w w:val="100"/>
        </w:rPr>
        <w:t>年</w:t>
      </w:r>
      <w:r>
        <w:rPr>
          <w:spacing w:val="-2"/>
          <w:w w:val="100"/>
        </w:rPr>
        <w:t>的</w:t>
      </w:r>
      <w:r>
        <w:rPr>
          <w:w w:val="100"/>
        </w:rPr>
        <w:t>大额预</w:t>
      </w:r>
      <w:r>
        <w:rPr>
          <w:spacing w:val="-2"/>
          <w:w w:val="100"/>
        </w:rPr>
        <w:t>收</w:t>
      </w:r>
      <w:r>
        <w:rPr>
          <w:w w:val="100"/>
        </w:rPr>
        <w:t>款</w:t>
      </w:r>
      <w:r>
        <w:rPr>
          <w:spacing w:val="-101"/>
          <w:w w:val="100"/>
        </w:rPr>
        <w:t>项</w:t>
      </w:r>
      <w:r>
        <w:rPr>
          <w:w w:val="100"/>
        </w:rPr>
        <w:t>（</w:t>
      </w:r>
      <w:r>
        <w:rPr>
          <w:rFonts w:ascii="Arial" w:hAnsi="Arial" w:cs="Arial" w:eastAsia="Arial" w:hint="default"/>
          <w:w w:val="100"/>
        </w:rPr>
        <w:t>2</w:t>
      </w:r>
      <w:r>
        <w:rPr>
          <w:rFonts w:ascii="Arial" w:hAnsi="Arial" w:cs="Arial" w:eastAsia="Arial" w:hint="default"/>
          <w:spacing w:val="-2"/>
          <w:w w:val="100"/>
        </w:rPr>
        <w:t>0</w:t>
      </w:r>
      <w:r>
        <w:rPr>
          <w:rFonts w:ascii="Arial" w:hAnsi="Arial" w:cs="Arial" w:eastAsia="Arial" w:hint="default"/>
          <w:w w:val="100"/>
        </w:rPr>
        <w:t>08</w:t>
      </w:r>
      <w:r>
        <w:rPr>
          <w:spacing w:val="-2"/>
          <w:w w:val="100"/>
        </w:rPr>
        <w:t>年</w:t>
      </w:r>
      <w:r>
        <w:rPr>
          <w:rFonts w:ascii="Arial" w:hAnsi="Arial" w:cs="Arial" w:eastAsia="Arial" w:hint="default"/>
          <w:w w:val="100"/>
        </w:rPr>
        <w:t>12</w:t>
      </w:r>
      <w:r>
        <w:rPr>
          <w:spacing w:val="-2"/>
          <w:w w:val="100"/>
        </w:rPr>
        <w:t>月</w:t>
      </w:r>
      <w:r>
        <w:rPr>
          <w:rFonts w:ascii="Arial" w:hAnsi="Arial" w:cs="Arial" w:eastAsia="Arial" w:hint="default"/>
          <w:w w:val="100"/>
        </w:rPr>
        <w:t>31</w:t>
      </w:r>
      <w:r>
        <w:rPr>
          <w:spacing w:val="-2"/>
          <w:w w:val="100"/>
        </w:rPr>
        <w:t>日</w:t>
      </w:r>
      <w:r>
        <w:rPr>
          <w:spacing w:val="-100"/>
          <w:w w:val="100"/>
        </w:rPr>
        <w:t>：</w:t>
      </w:r>
      <w:r>
        <w:rPr>
          <w:spacing w:val="-2"/>
          <w:w w:val="100"/>
        </w:rPr>
        <w:t>无</w:t>
      </w:r>
      <w:r>
        <w:rPr>
          <w:spacing w:val="-100"/>
          <w:w w:val="100"/>
        </w:rPr>
        <w:t>）</w:t>
      </w:r>
      <w:r>
        <w:rPr>
          <w:w w:val="100"/>
        </w:rPr>
        <w:t>。</w:t>
      </w:r>
    </w:p>
    <w:p>
      <w:pPr>
        <w:spacing w:after="0" w:line="240" w:lineRule="auto"/>
        <w:jc w:val="left"/>
        <w:sectPr>
          <w:pgSz w:w="11910" w:h="16840"/>
          <w:pgMar w:header="958" w:footer="462" w:top="2540" w:bottom="660" w:left="1560" w:right="148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2"/>
          <w:szCs w:val="22"/>
        </w:rPr>
      </w:pPr>
    </w:p>
    <w:tbl>
      <w:tblPr>
        <w:tblW w:w="0" w:type="auto"/>
        <w:jc w:val="left"/>
        <w:tblInd w:w="106" w:type="dxa"/>
        <w:tblLayout w:type="fixed"/>
        <w:tblCellMar>
          <w:top w:w="0" w:type="dxa"/>
          <w:left w:w="0" w:type="dxa"/>
          <w:bottom w:w="0" w:type="dxa"/>
          <w:right w:w="0" w:type="dxa"/>
        </w:tblCellMar>
        <w:tblLook w:val="01E0"/>
      </w:tblPr>
      <w:tblGrid>
        <w:gridCol w:w="4430"/>
        <w:gridCol w:w="1581"/>
        <w:gridCol w:w="1436"/>
        <w:gridCol w:w="1315"/>
      </w:tblGrid>
      <w:tr>
        <w:trPr>
          <w:trHeight w:val="926"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736" w:val="left" w:leader="none"/>
              </w:tabs>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tabs>
                <w:tab w:pos="754" w:val="left" w:leader="none"/>
              </w:tabs>
              <w:spacing w:line="240" w:lineRule="auto"/>
              <w:ind w:left="35" w:right="0"/>
              <w:jc w:val="left"/>
              <w:rPr>
                <w:rFonts w:ascii="黑体" w:hAnsi="黑体" w:cs="黑体" w:eastAsia="黑体" w:hint="default"/>
                <w:sz w:val="20"/>
                <w:szCs w:val="20"/>
              </w:rPr>
            </w:pPr>
            <w:r>
              <w:rPr>
                <w:rFonts w:ascii="Arial" w:hAnsi="Arial" w:cs="Arial" w:eastAsia="Arial" w:hint="default"/>
                <w:b/>
                <w:bCs/>
                <w:spacing w:val="-1"/>
                <w:sz w:val="20"/>
                <w:szCs w:val="20"/>
              </w:rPr>
              <w:t>22.</w:t>
              <w:tab/>
            </w:r>
            <w:r>
              <w:rPr>
                <w:rFonts w:ascii="黑体" w:hAnsi="黑体" w:cs="黑体" w:eastAsia="黑体" w:hint="default"/>
                <w:b/>
                <w:bCs/>
                <w:sz w:val="20"/>
                <w:szCs w:val="20"/>
              </w:rPr>
              <w:t>应付职工薪酬</w:t>
            </w:r>
            <w:r>
              <w:rPr>
                <w:rFonts w:ascii="黑体" w:hAnsi="黑体" w:cs="黑体" w:eastAsia="黑体" w:hint="default"/>
                <w:sz w:val="20"/>
                <w:szCs w:val="20"/>
              </w:rPr>
            </w:r>
          </w:p>
        </w:tc>
        <w:tc>
          <w:tcPr>
            <w:tcW w:w="4333" w:type="dxa"/>
            <w:gridSpan w:val="3"/>
            <w:vMerge w:val="restart"/>
            <w:tcBorders>
              <w:top w:val="nil" w:sz="6" w:space="0" w:color="auto"/>
              <w:left w:val="nil" w:sz="6" w:space="0" w:color="auto"/>
              <w:right w:val="nil" w:sz="6" w:space="0" w:color="auto"/>
            </w:tcBorders>
          </w:tcPr>
          <w:p>
            <w:pPr/>
          </w:p>
        </w:tc>
      </w:tr>
      <w:tr>
        <w:trPr>
          <w:trHeight w:val="362" w:hRule="exact"/>
        </w:trPr>
        <w:tc>
          <w:tcPr>
            <w:tcW w:w="4430" w:type="dxa"/>
            <w:tcBorders>
              <w:top w:val="nil" w:sz="6" w:space="0" w:color="auto"/>
              <w:left w:val="nil" w:sz="6" w:space="0" w:color="auto"/>
              <w:bottom w:val="nil" w:sz="6" w:space="0" w:color="auto"/>
              <w:right w:val="nil" w:sz="6" w:space="0" w:color="auto"/>
            </w:tcBorders>
          </w:tcPr>
          <w:p>
            <w:pPr>
              <w:pStyle w:val="TableParagraph"/>
              <w:spacing w:line="240" w:lineRule="auto" w:before="66"/>
              <w:ind w:left="744"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4333" w:type="dxa"/>
            <w:gridSpan w:val="3"/>
            <w:vMerge/>
            <w:tcBorders>
              <w:left w:val="nil" w:sz="6" w:space="0" w:color="auto"/>
              <w:bottom w:val="nil" w:sz="6" w:space="0" w:color="auto"/>
              <w:right w:val="nil" w:sz="6" w:space="0" w:color="auto"/>
            </w:tcBorders>
          </w:tcPr>
          <w:p>
            <w:pPr/>
          </w:p>
        </w:tc>
      </w:tr>
      <w:tr>
        <w:trPr>
          <w:trHeight w:val="410" w:hRule="exact"/>
        </w:trPr>
        <w:tc>
          <w:tcPr>
            <w:tcW w:w="4430" w:type="dxa"/>
            <w:tcBorders>
              <w:top w:val="nil" w:sz="6" w:space="0" w:color="auto"/>
              <w:left w:val="nil" w:sz="6" w:space="0" w:color="auto"/>
              <w:bottom w:val="nil" w:sz="6" w:space="0" w:color="auto"/>
              <w:right w:val="nil" w:sz="6" w:space="0" w:color="auto"/>
            </w:tcBorders>
          </w:tcPr>
          <w:p>
            <w:pPr>
              <w:pStyle w:val="TableParagraph"/>
              <w:spacing w:line="225" w:lineRule="exact"/>
              <w:ind w:right="123"/>
              <w:jc w:val="right"/>
              <w:rPr>
                <w:rFonts w:ascii="黑体" w:hAnsi="黑体" w:cs="黑体" w:eastAsia="黑体" w:hint="default"/>
                <w:sz w:val="20"/>
                <w:szCs w:val="20"/>
              </w:rPr>
            </w:pPr>
            <w:r>
              <w:rPr>
                <w:rFonts w:ascii="黑体" w:hAnsi="黑体" w:cs="黑体" w:eastAsia="黑体" w:hint="default"/>
                <w:sz w:val="20"/>
                <w:szCs w:val="20"/>
              </w:rPr>
              <w:t>年初余额</w:t>
            </w:r>
          </w:p>
        </w:tc>
        <w:tc>
          <w:tcPr>
            <w:tcW w:w="1581" w:type="dxa"/>
            <w:tcBorders>
              <w:top w:val="nil" w:sz="6" w:space="0" w:color="auto"/>
              <w:left w:val="nil" w:sz="6" w:space="0" w:color="auto"/>
              <w:bottom w:val="nil" w:sz="6" w:space="0" w:color="auto"/>
              <w:right w:val="nil" w:sz="6" w:space="0" w:color="auto"/>
            </w:tcBorders>
          </w:tcPr>
          <w:p>
            <w:pPr>
              <w:pStyle w:val="TableParagraph"/>
              <w:spacing w:line="225" w:lineRule="exact"/>
              <w:ind w:right="161"/>
              <w:jc w:val="right"/>
              <w:rPr>
                <w:rFonts w:ascii="黑体" w:hAnsi="黑体" w:cs="黑体" w:eastAsia="黑体" w:hint="default"/>
                <w:sz w:val="20"/>
                <w:szCs w:val="20"/>
              </w:rPr>
            </w:pPr>
            <w:r>
              <w:rPr>
                <w:rFonts w:ascii="黑体" w:hAnsi="黑体" w:cs="黑体" w:eastAsia="黑体" w:hint="default"/>
                <w:sz w:val="20"/>
                <w:szCs w:val="20"/>
              </w:rPr>
              <w:t>本年增加</w:t>
            </w:r>
          </w:p>
        </w:tc>
        <w:tc>
          <w:tcPr>
            <w:tcW w:w="1436" w:type="dxa"/>
            <w:tcBorders>
              <w:top w:val="nil" w:sz="6" w:space="0" w:color="auto"/>
              <w:left w:val="nil" w:sz="6" w:space="0" w:color="auto"/>
              <w:bottom w:val="nil" w:sz="6" w:space="0" w:color="auto"/>
              <w:right w:val="nil" w:sz="6" w:space="0" w:color="auto"/>
            </w:tcBorders>
          </w:tcPr>
          <w:p>
            <w:pPr>
              <w:pStyle w:val="TableParagraph"/>
              <w:spacing w:line="225" w:lineRule="exact"/>
              <w:ind w:right="165"/>
              <w:jc w:val="right"/>
              <w:rPr>
                <w:rFonts w:ascii="黑体" w:hAnsi="黑体" w:cs="黑体" w:eastAsia="黑体" w:hint="default"/>
                <w:sz w:val="20"/>
                <w:szCs w:val="20"/>
              </w:rPr>
            </w:pPr>
            <w:r>
              <w:rPr>
                <w:rFonts w:ascii="黑体" w:hAnsi="黑体" w:cs="黑体" w:eastAsia="黑体" w:hint="default"/>
                <w:sz w:val="20"/>
                <w:szCs w:val="20"/>
              </w:rPr>
              <w:t>本年减少</w:t>
            </w:r>
          </w:p>
        </w:tc>
        <w:tc>
          <w:tcPr>
            <w:tcW w:w="1315" w:type="dxa"/>
            <w:tcBorders>
              <w:top w:val="nil" w:sz="6" w:space="0" w:color="auto"/>
              <w:left w:val="nil" w:sz="6" w:space="0" w:color="auto"/>
              <w:bottom w:val="nil" w:sz="6" w:space="0" w:color="auto"/>
              <w:right w:val="nil" w:sz="6" w:space="0" w:color="auto"/>
            </w:tcBorders>
          </w:tcPr>
          <w:p>
            <w:pPr>
              <w:pStyle w:val="TableParagraph"/>
              <w:spacing w:line="225" w:lineRule="exact"/>
              <w:ind w:right="50"/>
              <w:jc w:val="right"/>
              <w:rPr>
                <w:rFonts w:ascii="黑体" w:hAnsi="黑体" w:cs="黑体" w:eastAsia="黑体" w:hint="default"/>
                <w:sz w:val="20"/>
                <w:szCs w:val="20"/>
              </w:rPr>
            </w:pPr>
            <w:r>
              <w:rPr>
                <w:rFonts w:ascii="黑体" w:hAnsi="黑体" w:cs="黑体" w:eastAsia="黑体" w:hint="default"/>
                <w:sz w:val="20"/>
                <w:szCs w:val="20"/>
              </w:rPr>
              <w:t>年末余额</w:t>
            </w:r>
          </w:p>
        </w:tc>
      </w:tr>
      <w:tr>
        <w:trPr>
          <w:trHeight w:val="427" w:hRule="exact"/>
        </w:trPr>
        <w:tc>
          <w:tcPr>
            <w:tcW w:w="4430"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22"/>
              <w:jc w:val="right"/>
              <w:rPr>
                <w:rFonts w:ascii="Arial" w:hAnsi="Arial" w:cs="Arial" w:eastAsia="Arial" w:hint="default"/>
                <w:sz w:val="20"/>
                <w:szCs w:val="20"/>
              </w:rPr>
            </w:pPr>
            <w:r>
              <w:rPr>
                <w:rFonts w:ascii="黑体" w:hAnsi="黑体" w:cs="黑体" w:eastAsia="黑体" w:hint="default"/>
                <w:position w:val="1"/>
                <w:sz w:val="20"/>
                <w:szCs w:val="20"/>
              </w:rPr>
              <w:t>工资、奖金、津贴和补贴</w:t>
            </w:r>
            <w:r>
              <w:rPr>
                <w:rFonts w:ascii="黑体" w:hAnsi="黑体" w:cs="黑体" w:eastAsia="黑体" w:hint="default"/>
                <w:spacing w:val="37"/>
                <w:position w:val="1"/>
                <w:sz w:val="20"/>
                <w:szCs w:val="20"/>
              </w:rPr>
              <w:t> </w:t>
            </w:r>
            <w:r>
              <w:rPr>
                <w:rFonts w:ascii="Arial" w:hAnsi="Arial" w:cs="Arial" w:eastAsia="Arial" w:hint="default"/>
                <w:sz w:val="20"/>
                <w:szCs w:val="20"/>
              </w:rPr>
              <w:t>170,467,742</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160"/>
              <w:jc w:val="right"/>
              <w:rPr>
                <w:rFonts w:ascii="Arial" w:hAnsi="Arial" w:cs="Arial" w:eastAsia="Arial" w:hint="default"/>
                <w:sz w:val="20"/>
                <w:szCs w:val="20"/>
              </w:rPr>
            </w:pPr>
            <w:r>
              <w:rPr>
                <w:rFonts w:ascii="Arial"/>
                <w:spacing w:val="-1"/>
                <w:sz w:val="20"/>
              </w:rPr>
              <w:t>855,753,816</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165"/>
              <w:jc w:val="right"/>
              <w:rPr>
                <w:rFonts w:ascii="Arial" w:hAnsi="Arial" w:cs="Arial" w:eastAsia="Arial" w:hint="default"/>
                <w:sz w:val="20"/>
                <w:szCs w:val="20"/>
              </w:rPr>
            </w:pPr>
            <w:r>
              <w:rPr>
                <w:rFonts w:ascii="Arial"/>
                <w:spacing w:val="-1"/>
                <w:sz w:val="20"/>
              </w:rPr>
              <w:t>754,743,631</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50"/>
              <w:jc w:val="right"/>
              <w:rPr>
                <w:rFonts w:ascii="Arial" w:hAnsi="Arial" w:cs="Arial" w:eastAsia="Arial" w:hint="default"/>
                <w:sz w:val="20"/>
                <w:szCs w:val="20"/>
              </w:rPr>
            </w:pPr>
            <w:r>
              <w:rPr>
                <w:rFonts w:ascii="Arial"/>
                <w:spacing w:val="-1"/>
                <w:sz w:val="20"/>
              </w:rPr>
              <w:t>271,477,927</w:t>
            </w:r>
          </w:p>
        </w:tc>
      </w:tr>
      <w:tr>
        <w:trPr>
          <w:trHeight w:val="259"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2561" w:val="left" w:leader="none"/>
              </w:tabs>
              <w:spacing w:line="246" w:lineRule="exact"/>
              <w:ind w:right="123"/>
              <w:jc w:val="right"/>
              <w:rPr>
                <w:rFonts w:ascii="Arial" w:hAnsi="Arial" w:cs="Arial" w:eastAsia="Arial" w:hint="default"/>
                <w:sz w:val="20"/>
                <w:szCs w:val="20"/>
              </w:rPr>
            </w:pPr>
            <w:r>
              <w:rPr>
                <w:rFonts w:ascii="黑体" w:hAnsi="黑体" w:cs="黑体" w:eastAsia="黑体" w:hint="default"/>
                <w:spacing w:val="-1"/>
                <w:position w:val="1"/>
                <w:sz w:val="20"/>
                <w:szCs w:val="20"/>
              </w:rPr>
              <w:t>社会保险费</w:t>
              <w:tab/>
            </w:r>
            <w:r>
              <w:rPr>
                <w:rFonts w:ascii="Arial" w:hAnsi="Arial" w:cs="Arial" w:eastAsia="Arial" w:hint="default"/>
                <w:spacing w:val="-1"/>
                <w:sz w:val="20"/>
                <w:szCs w:val="20"/>
              </w:rPr>
              <w:t>7,631,380</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0"/>
              <w:jc w:val="right"/>
              <w:rPr>
                <w:rFonts w:ascii="Arial" w:hAnsi="Arial" w:cs="Arial" w:eastAsia="Arial" w:hint="default"/>
                <w:sz w:val="20"/>
                <w:szCs w:val="20"/>
              </w:rPr>
            </w:pPr>
            <w:r>
              <w:rPr>
                <w:rFonts w:ascii="Arial"/>
                <w:spacing w:val="-1"/>
                <w:sz w:val="20"/>
              </w:rPr>
              <w:t>102,547,759</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6"/>
              <w:jc w:val="right"/>
              <w:rPr>
                <w:rFonts w:ascii="Arial" w:hAnsi="Arial" w:cs="Arial" w:eastAsia="Arial" w:hint="default"/>
                <w:sz w:val="20"/>
                <w:szCs w:val="20"/>
              </w:rPr>
            </w:pPr>
            <w:r>
              <w:rPr>
                <w:rFonts w:ascii="Arial"/>
                <w:spacing w:val="-1"/>
                <w:sz w:val="20"/>
              </w:rPr>
              <w:t>92,492,427</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1"/>
              <w:jc w:val="right"/>
              <w:rPr>
                <w:rFonts w:ascii="Arial" w:hAnsi="Arial" w:cs="Arial" w:eastAsia="Arial" w:hint="default"/>
                <w:sz w:val="20"/>
                <w:szCs w:val="20"/>
              </w:rPr>
            </w:pPr>
            <w:r>
              <w:rPr>
                <w:rFonts w:ascii="Arial"/>
                <w:spacing w:val="-1"/>
                <w:sz w:val="20"/>
              </w:rPr>
              <w:t>17,686,712</w:t>
            </w:r>
          </w:p>
        </w:tc>
      </w:tr>
      <w:tr>
        <w:trPr>
          <w:trHeight w:val="259"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2561" w:val="left" w:leader="none"/>
              </w:tabs>
              <w:spacing w:line="246" w:lineRule="exact"/>
              <w:ind w:right="123"/>
              <w:jc w:val="right"/>
              <w:rPr>
                <w:rFonts w:ascii="Arial" w:hAnsi="Arial" w:cs="Arial" w:eastAsia="Arial" w:hint="default"/>
                <w:sz w:val="20"/>
                <w:szCs w:val="20"/>
              </w:rPr>
            </w:pPr>
            <w:r>
              <w:rPr>
                <w:rFonts w:ascii="黑体" w:hAnsi="黑体" w:cs="黑体" w:eastAsia="黑体" w:hint="default"/>
                <w:spacing w:val="-1"/>
                <w:position w:val="1"/>
                <w:sz w:val="20"/>
                <w:szCs w:val="20"/>
              </w:rPr>
              <w:t>其中：基本养老保险费</w:t>
              <w:tab/>
            </w:r>
            <w:r>
              <w:rPr>
                <w:rFonts w:ascii="Arial" w:hAnsi="Arial" w:cs="Arial" w:eastAsia="Arial" w:hint="default"/>
                <w:spacing w:val="-1"/>
                <w:sz w:val="20"/>
                <w:szCs w:val="20"/>
              </w:rPr>
              <w:t>5,952,056</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1"/>
              <w:jc w:val="right"/>
              <w:rPr>
                <w:rFonts w:ascii="Arial" w:hAnsi="Arial" w:cs="Arial" w:eastAsia="Arial" w:hint="default"/>
                <w:sz w:val="20"/>
                <w:szCs w:val="20"/>
              </w:rPr>
            </w:pPr>
            <w:r>
              <w:rPr>
                <w:rFonts w:ascii="Arial"/>
                <w:spacing w:val="-1"/>
                <w:sz w:val="20"/>
              </w:rPr>
              <w:t>72,194,931</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6"/>
              <w:jc w:val="right"/>
              <w:rPr>
                <w:rFonts w:ascii="Arial" w:hAnsi="Arial" w:cs="Arial" w:eastAsia="Arial" w:hint="default"/>
                <w:sz w:val="20"/>
                <w:szCs w:val="20"/>
              </w:rPr>
            </w:pPr>
            <w:r>
              <w:rPr>
                <w:rFonts w:ascii="Arial"/>
                <w:spacing w:val="-2"/>
                <w:sz w:val="20"/>
              </w:rPr>
              <w:t>65,471,419</w:t>
            </w:r>
            <w:r>
              <w:rPr>
                <w:rFonts w:ascii="Arial"/>
                <w:sz w:val="20"/>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1"/>
              <w:jc w:val="right"/>
              <w:rPr>
                <w:rFonts w:ascii="Arial" w:hAnsi="Arial" w:cs="Arial" w:eastAsia="Arial" w:hint="default"/>
                <w:sz w:val="20"/>
                <w:szCs w:val="20"/>
              </w:rPr>
            </w:pPr>
            <w:r>
              <w:rPr>
                <w:rFonts w:ascii="Arial"/>
                <w:spacing w:val="-1"/>
                <w:sz w:val="20"/>
              </w:rPr>
              <w:t>12,675,568</w:t>
            </w:r>
          </w:p>
        </w:tc>
      </w:tr>
      <w:tr>
        <w:trPr>
          <w:trHeight w:val="259"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1993" w:val="left" w:leader="none"/>
              </w:tabs>
              <w:spacing w:line="246" w:lineRule="exact"/>
              <w:ind w:right="123"/>
              <w:jc w:val="right"/>
              <w:rPr>
                <w:rFonts w:ascii="Arial" w:hAnsi="Arial" w:cs="Arial" w:eastAsia="Arial" w:hint="default"/>
                <w:sz w:val="20"/>
                <w:szCs w:val="20"/>
              </w:rPr>
            </w:pPr>
            <w:r>
              <w:rPr>
                <w:rFonts w:ascii="黑体" w:hAnsi="黑体" w:cs="黑体" w:eastAsia="黑体" w:hint="default"/>
                <w:spacing w:val="-1"/>
                <w:position w:val="1"/>
                <w:sz w:val="20"/>
                <w:szCs w:val="20"/>
              </w:rPr>
              <w:t>医疗保险费</w:t>
              <w:tab/>
            </w:r>
            <w:r>
              <w:rPr>
                <w:rFonts w:ascii="Arial" w:hAnsi="Arial" w:cs="Arial" w:eastAsia="Arial" w:hint="default"/>
                <w:spacing w:val="-1"/>
                <w:sz w:val="20"/>
                <w:szCs w:val="20"/>
              </w:rPr>
              <w:t>1,341,170</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1"/>
              <w:jc w:val="right"/>
              <w:rPr>
                <w:rFonts w:ascii="Arial" w:hAnsi="Arial" w:cs="Arial" w:eastAsia="Arial" w:hint="default"/>
                <w:sz w:val="20"/>
                <w:szCs w:val="20"/>
              </w:rPr>
            </w:pPr>
            <w:r>
              <w:rPr>
                <w:rFonts w:ascii="Arial"/>
                <w:spacing w:val="-1"/>
                <w:sz w:val="20"/>
              </w:rPr>
              <w:t>24,757,737</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6"/>
              <w:jc w:val="right"/>
              <w:rPr>
                <w:rFonts w:ascii="Arial" w:hAnsi="Arial" w:cs="Arial" w:eastAsia="Arial" w:hint="default"/>
                <w:sz w:val="20"/>
                <w:szCs w:val="20"/>
              </w:rPr>
            </w:pPr>
            <w:r>
              <w:rPr>
                <w:rFonts w:ascii="Arial"/>
                <w:spacing w:val="-2"/>
                <w:sz w:val="20"/>
              </w:rPr>
              <w:t>22,164,179</w:t>
            </w:r>
            <w:r>
              <w:rPr>
                <w:rFonts w:ascii="Arial"/>
                <w:sz w:val="20"/>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1"/>
              <w:jc w:val="right"/>
              <w:rPr>
                <w:rFonts w:ascii="Arial" w:hAnsi="Arial" w:cs="Arial" w:eastAsia="Arial" w:hint="default"/>
                <w:sz w:val="20"/>
                <w:szCs w:val="20"/>
              </w:rPr>
            </w:pPr>
            <w:r>
              <w:rPr>
                <w:rFonts w:ascii="Arial"/>
                <w:spacing w:val="-1"/>
                <w:sz w:val="20"/>
              </w:rPr>
              <w:t>3,934,728</w:t>
            </w:r>
          </w:p>
        </w:tc>
      </w:tr>
      <w:tr>
        <w:trPr>
          <w:trHeight w:val="259"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2159" w:val="left" w:leader="none"/>
              </w:tabs>
              <w:spacing w:line="246" w:lineRule="exact"/>
              <w:ind w:right="123"/>
              <w:jc w:val="right"/>
              <w:rPr>
                <w:rFonts w:ascii="Arial" w:hAnsi="Arial" w:cs="Arial" w:eastAsia="Arial" w:hint="default"/>
                <w:sz w:val="20"/>
                <w:szCs w:val="20"/>
              </w:rPr>
            </w:pPr>
            <w:r>
              <w:rPr>
                <w:rFonts w:ascii="黑体" w:hAnsi="黑体" w:cs="黑体" w:eastAsia="黑体" w:hint="default"/>
                <w:spacing w:val="-1"/>
                <w:position w:val="1"/>
                <w:sz w:val="20"/>
                <w:szCs w:val="20"/>
              </w:rPr>
              <w:t>失业保险费</w:t>
              <w:tab/>
            </w:r>
            <w:r>
              <w:rPr>
                <w:rFonts w:ascii="Arial" w:hAnsi="Arial" w:cs="Arial" w:eastAsia="Arial" w:hint="default"/>
                <w:spacing w:val="-1"/>
                <w:sz w:val="20"/>
                <w:szCs w:val="20"/>
              </w:rPr>
              <w:t>227,656</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1"/>
              <w:jc w:val="right"/>
              <w:rPr>
                <w:rFonts w:ascii="Arial" w:hAnsi="Arial" w:cs="Arial" w:eastAsia="Arial" w:hint="default"/>
                <w:sz w:val="20"/>
                <w:szCs w:val="20"/>
              </w:rPr>
            </w:pPr>
            <w:r>
              <w:rPr>
                <w:rFonts w:ascii="Arial"/>
                <w:spacing w:val="-1"/>
                <w:sz w:val="20"/>
              </w:rPr>
              <w:t>3,844,428</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5"/>
              <w:jc w:val="right"/>
              <w:rPr>
                <w:rFonts w:ascii="Arial" w:hAnsi="Arial" w:cs="Arial" w:eastAsia="Arial" w:hint="default"/>
                <w:sz w:val="20"/>
                <w:szCs w:val="20"/>
              </w:rPr>
            </w:pPr>
            <w:r>
              <w:rPr>
                <w:rFonts w:ascii="Arial"/>
                <w:spacing w:val="-1"/>
                <w:sz w:val="20"/>
              </w:rPr>
              <w:t>3,269,924</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1"/>
              <w:jc w:val="right"/>
              <w:rPr>
                <w:rFonts w:ascii="Arial" w:hAnsi="Arial" w:cs="Arial" w:eastAsia="Arial" w:hint="default"/>
                <w:sz w:val="20"/>
                <w:szCs w:val="20"/>
              </w:rPr>
            </w:pPr>
            <w:r>
              <w:rPr>
                <w:rFonts w:ascii="Arial"/>
                <w:spacing w:val="-1"/>
                <w:sz w:val="20"/>
              </w:rPr>
              <w:t>802,160</w:t>
            </w:r>
          </w:p>
        </w:tc>
      </w:tr>
      <w:tr>
        <w:trPr>
          <w:trHeight w:val="259"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2270" w:val="left" w:leader="none"/>
              </w:tabs>
              <w:spacing w:line="246" w:lineRule="exact"/>
              <w:ind w:right="123"/>
              <w:jc w:val="right"/>
              <w:rPr>
                <w:rFonts w:ascii="Arial" w:hAnsi="Arial" w:cs="Arial" w:eastAsia="Arial" w:hint="default"/>
                <w:sz w:val="20"/>
                <w:szCs w:val="20"/>
              </w:rPr>
            </w:pPr>
            <w:r>
              <w:rPr>
                <w:rFonts w:ascii="黑体" w:hAnsi="黑体" w:cs="黑体" w:eastAsia="黑体" w:hint="default"/>
                <w:spacing w:val="-1"/>
                <w:position w:val="1"/>
                <w:sz w:val="20"/>
                <w:szCs w:val="20"/>
              </w:rPr>
              <w:t>工伤保险费</w:t>
              <w:tab/>
            </w:r>
            <w:r>
              <w:rPr>
                <w:rFonts w:ascii="Arial" w:hAnsi="Arial" w:cs="Arial" w:eastAsia="Arial" w:hint="default"/>
                <w:sz w:val="20"/>
                <w:szCs w:val="20"/>
              </w:rPr>
              <w:t>83,856</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1"/>
              <w:jc w:val="right"/>
              <w:rPr>
                <w:rFonts w:ascii="Arial" w:hAnsi="Arial" w:cs="Arial" w:eastAsia="Arial" w:hint="default"/>
                <w:sz w:val="20"/>
                <w:szCs w:val="20"/>
              </w:rPr>
            </w:pPr>
            <w:r>
              <w:rPr>
                <w:rFonts w:ascii="Arial"/>
                <w:spacing w:val="-1"/>
                <w:sz w:val="20"/>
              </w:rPr>
              <w:t>802,572</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6"/>
              <w:jc w:val="right"/>
              <w:rPr>
                <w:rFonts w:ascii="Arial" w:hAnsi="Arial" w:cs="Arial" w:eastAsia="Arial" w:hint="default"/>
                <w:sz w:val="20"/>
                <w:szCs w:val="20"/>
              </w:rPr>
            </w:pPr>
            <w:r>
              <w:rPr>
                <w:rFonts w:ascii="Arial"/>
                <w:spacing w:val="-1"/>
                <w:sz w:val="20"/>
              </w:rPr>
              <w:t>734,400</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1"/>
              <w:jc w:val="right"/>
              <w:rPr>
                <w:rFonts w:ascii="Arial" w:hAnsi="Arial" w:cs="Arial" w:eastAsia="Arial" w:hint="default"/>
                <w:sz w:val="20"/>
                <w:szCs w:val="20"/>
              </w:rPr>
            </w:pPr>
            <w:r>
              <w:rPr>
                <w:rFonts w:ascii="Arial"/>
                <w:spacing w:val="-1"/>
                <w:sz w:val="20"/>
              </w:rPr>
              <w:t>152,028</w:t>
            </w:r>
          </w:p>
        </w:tc>
      </w:tr>
      <w:tr>
        <w:trPr>
          <w:trHeight w:val="260"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2270" w:val="left" w:leader="none"/>
              </w:tabs>
              <w:spacing w:line="246" w:lineRule="exact"/>
              <w:ind w:right="123"/>
              <w:jc w:val="right"/>
              <w:rPr>
                <w:rFonts w:ascii="Arial" w:hAnsi="Arial" w:cs="Arial" w:eastAsia="Arial" w:hint="default"/>
                <w:sz w:val="20"/>
                <w:szCs w:val="20"/>
              </w:rPr>
            </w:pPr>
            <w:r>
              <w:rPr>
                <w:rFonts w:ascii="黑体" w:hAnsi="黑体" w:cs="黑体" w:eastAsia="黑体" w:hint="default"/>
                <w:spacing w:val="-1"/>
                <w:position w:val="1"/>
                <w:sz w:val="20"/>
                <w:szCs w:val="20"/>
              </w:rPr>
              <w:t>生育保险费</w:t>
              <w:tab/>
            </w:r>
            <w:r>
              <w:rPr>
                <w:rFonts w:ascii="Arial" w:hAnsi="Arial" w:cs="Arial" w:eastAsia="Arial" w:hint="default"/>
                <w:sz w:val="20"/>
                <w:szCs w:val="20"/>
              </w:rPr>
              <w:t>26,642</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1"/>
              <w:jc w:val="right"/>
              <w:rPr>
                <w:rFonts w:ascii="Arial" w:hAnsi="Arial" w:cs="Arial" w:eastAsia="Arial" w:hint="default"/>
                <w:sz w:val="20"/>
                <w:szCs w:val="20"/>
              </w:rPr>
            </w:pPr>
            <w:r>
              <w:rPr>
                <w:rFonts w:ascii="Arial"/>
                <w:spacing w:val="-1"/>
                <w:sz w:val="20"/>
              </w:rPr>
              <w:t>948,091</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6"/>
              <w:jc w:val="right"/>
              <w:rPr>
                <w:rFonts w:ascii="Arial" w:hAnsi="Arial" w:cs="Arial" w:eastAsia="Arial" w:hint="default"/>
                <w:sz w:val="20"/>
                <w:szCs w:val="20"/>
              </w:rPr>
            </w:pPr>
            <w:r>
              <w:rPr>
                <w:rFonts w:ascii="Arial"/>
                <w:spacing w:val="-1"/>
                <w:sz w:val="20"/>
              </w:rPr>
              <w:t>852,505</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1"/>
              <w:jc w:val="right"/>
              <w:rPr>
                <w:rFonts w:ascii="Arial" w:hAnsi="Arial" w:cs="Arial" w:eastAsia="Arial" w:hint="default"/>
                <w:sz w:val="20"/>
                <w:szCs w:val="20"/>
              </w:rPr>
            </w:pPr>
            <w:r>
              <w:rPr>
                <w:rFonts w:ascii="Arial"/>
                <w:spacing w:val="-1"/>
                <w:sz w:val="20"/>
              </w:rPr>
              <w:t>122,228</w:t>
            </w:r>
          </w:p>
        </w:tc>
      </w:tr>
      <w:tr>
        <w:trPr>
          <w:trHeight w:val="260"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2581" w:val="left" w:leader="none"/>
              </w:tabs>
              <w:spacing w:line="247" w:lineRule="exact"/>
              <w:ind w:right="123"/>
              <w:jc w:val="right"/>
              <w:rPr>
                <w:rFonts w:ascii="Arial" w:hAnsi="Arial" w:cs="Arial" w:eastAsia="Arial" w:hint="default"/>
                <w:sz w:val="20"/>
                <w:szCs w:val="20"/>
              </w:rPr>
            </w:pPr>
            <w:r>
              <w:rPr>
                <w:rFonts w:ascii="黑体" w:hAnsi="黑体" w:cs="黑体" w:eastAsia="黑体" w:hint="default"/>
                <w:spacing w:val="-1"/>
                <w:position w:val="1"/>
                <w:sz w:val="20"/>
                <w:szCs w:val="20"/>
              </w:rPr>
              <w:t>住房公积金</w:t>
              <w:tab/>
            </w:r>
            <w:r>
              <w:rPr>
                <w:rFonts w:ascii="Arial" w:hAnsi="Arial" w:cs="Arial" w:eastAsia="Arial" w:hint="default"/>
                <w:spacing w:val="-1"/>
                <w:sz w:val="20"/>
                <w:szCs w:val="20"/>
              </w:rPr>
              <w:t>4,695,549</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61"/>
              <w:jc w:val="right"/>
              <w:rPr>
                <w:rFonts w:ascii="Arial" w:hAnsi="Arial" w:cs="Arial" w:eastAsia="Arial" w:hint="default"/>
                <w:sz w:val="20"/>
                <w:szCs w:val="20"/>
              </w:rPr>
            </w:pPr>
            <w:r>
              <w:rPr>
                <w:rFonts w:ascii="Arial"/>
                <w:spacing w:val="-1"/>
                <w:sz w:val="20"/>
              </w:rPr>
              <w:t>80,846,137</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66"/>
              <w:jc w:val="right"/>
              <w:rPr>
                <w:rFonts w:ascii="Arial" w:hAnsi="Arial" w:cs="Arial" w:eastAsia="Arial" w:hint="default"/>
                <w:sz w:val="20"/>
                <w:szCs w:val="20"/>
              </w:rPr>
            </w:pPr>
            <w:r>
              <w:rPr>
                <w:rFonts w:ascii="Arial"/>
                <w:spacing w:val="-2"/>
                <w:sz w:val="20"/>
              </w:rPr>
              <w:t>78,704,412</w:t>
            </w:r>
            <w:r>
              <w:rPr>
                <w:rFonts w:ascii="Arial"/>
                <w:sz w:val="20"/>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52"/>
              <w:jc w:val="right"/>
              <w:rPr>
                <w:rFonts w:ascii="Arial" w:hAnsi="Arial" w:cs="Arial" w:eastAsia="Arial" w:hint="default"/>
                <w:sz w:val="20"/>
                <w:szCs w:val="20"/>
              </w:rPr>
            </w:pPr>
            <w:r>
              <w:rPr>
                <w:rFonts w:ascii="Arial"/>
                <w:spacing w:val="-1"/>
                <w:sz w:val="20"/>
              </w:rPr>
              <w:t>6,837,274</w:t>
            </w:r>
          </w:p>
        </w:tc>
      </w:tr>
      <w:tr>
        <w:trPr>
          <w:trHeight w:val="259"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2450" w:val="left" w:leader="none"/>
              </w:tabs>
              <w:spacing w:line="246" w:lineRule="exact"/>
              <w:ind w:right="123"/>
              <w:jc w:val="right"/>
              <w:rPr>
                <w:rFonts w:ascii="Arial" w:hAnsi="Arial" w:cs="Arial" w:eastAsia="Arial" w:hint="default"/>
                <w:sz w:val="20"/>
                <w:szCs w:val="20"/>
              </w:rPr>
            </w:pPr>
            <w:r>
              <w:rPr>
                <w:rFonts w:ascii="黑体" w:hAnsi="黑体" w:cs="黑体" w:eastAsia="黑体" w:hint="default"/>
                <w:spacing w:val="-1"/>
                <w:position w:val="1"/>
                <w:sz w:val="20"/>
                <w:szCs w:val="20"/>
              </w:rPr>
              <w:t>工会经费和职工教育经费</w:t>
              <w:tab/>
            </w:r>
            <w:r>
              <w:rPr>
                <w:rFonts w:ascii="Arial" w:hAnsi="Arial" w:cs="Arial" w:eastAsia="Arial" w:hint="default"/>
                <w:spacing w:val="-1"/>
                <w:sz w:val="20"/>
                <w:szCs w:val="20"/>
              </w:rPr>
              <w:t>11,057,252</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1"/>
              <w:jc w:val="right"/>
              <w:rPr>
                <w:rFonts w:ascii="Arial" w:hAnsi="Arial" w:cs="Arial" w:eastAsia="Arial" w:hint="default"/>
                <w:sz w:val="20"/>
                <w:szCs w:val="20"/>
              </w:rPr>
            </w:pPr>
            <w:r>
              <w:rPr>
                <w:rFonts w:ascii="Arial"/>
                <w:spacing w:val="-1"/>
                <w:sz w:val="20"/>
              </w:rPr>
              <w:t>843,973</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6"/>
              <w:jc w:val="right"/>
              <w:rPr>
                <w:rFonts w:ascii="Arial" w:hAnsi="Arial" w:cs="Arial" w:eastAsia="Arial" w:hint="default"/>
                <w:sz w:val="20"/>
                <w:szCs w:val="20"/>
              </w:rPr>
            </w:pPr>
            <w:r>
              <w:rPr>
                <w:rFonts w:ascii="Arial"/>
                <w:spacing w:val="-1"/>
                <w:sz w:val="20"/>
              </w:rPr>
              <w:t>1,580,968</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1"/>
              <w:jc w:val="right"/>
              <w:rPr>
                <w:rFonts w:ascii="Arial" w:hAnsi="Arial" w:cs="Arial" w:eastAsia="Arial" w:hint="default"/>
                <w:sz w:val="20"/>
                <w:szCs w:val="20"/>
              </w:rPr>
            </w:pPr>
            <w:r>
              <w:rPr>
                <w:rFonts w:ascii="Arial"/>
                <w:spacing w:val="-1"/>
                <w:sz w:val="20"/>
              </w:rPr>
              <w:t>10,320,257</w:t>
            </w:r>
          </w:p>
        </w:tc>
      </w:tr>
      <w:tr>
        <w:trPr>
          <w:trHeight w:val="269"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2345" w:val="left" w:leader="none"/>
                <w:tab w:pos="3385" w:val="left" w:leader="none"/>
              </w:tabs>
              <w:spacing w:line="246" w:lineRule="exact"/>
              <w:ind w:right="123"/>
              <w:jc w:val="right"/>
              <w:rPr>
                <w:rFonts w:ascii="Arial" w:hAnsi="Arial" w:cs="Arial" w:eastAsia="Arial" w:hint="default"/>
                <w:sz w:val="20"/>
                <w:szCs w:val="20"/>
              </w:rPr>
            </w:pPr>
            <w:r>
              <w:rPr>
                <w:rFonts w:ascii="黑体" w:hAnsi="黑体" w:cs="黑体" w:eastAsia="黑体" w:hint="default"/>
                <w:position w:val="1"/>
                <w:sz w:val="20"/>
                <w:szCs w:val="20"/>
              </w:rPr>
              <w:t>其他</w:t>
              <w:tab/>
            </w:r>
            <w:r>
              <w:rPr>
                <w:rFonts w:ascii="Arial" w:hAnsi="Arial" w:cs="Arial" w:eastAsia="Arial" w:hint="default"/>
                <w:sz w:val="20"/>
                <w:szCs w:val="20"/>
              </w:rPr>
            </w:r>
            <w:r>
              <w:rPr>
                <w:rFonts w:ascii="Arial" w:hAnsi="Arial" w:cs="Arial" w:eastAsia="Arial" w:hint="default"/>
                <w:sz w:val="20"/>
                <w:szCs w:val="20"/>
                <w:u w:val="single" w:color="000000"/>
              </w:rPr>
              <w:t> </w:t>
              <w:tab/>
              <w:t>-</w:t>
            </w:r>
            <w:r>
              <w:rPr>
                <w:rFonts w:ascii="Arial" w:hAnsi="Arial" w:cs="Arial" w:eastAsia="Arial" w:hint="default"/>
                <w:sz w:val="20"/>
                <w:szCs w:val="20"/>
              </w:rPr>
            </w:r>
          </w:p>
        </w:tc>
        <w:tc>
          <w:tcPr>
            <w:tcW w:w="1581" w:type="dxa"/>
            <w:tcBorders>
              <w:top w:val="nil" w:sz="6" w:space="0" w:color="auto"/>
              <w:left w:val="nil" w:sz="6" w:space="0" w:color="auto"/>
              <w:bottom w:val="nil" w:sz="6" w:space="0" w:color="auto"/>
              <w:right w:val="nil" w:sz="6" w:space="0" w:color="auto"/>
            </w:tcBorders>
          </w:tcPr>
          <w:p>
            <w:pPr>
              <w:pStyle w:val="TableParagraph"/>
              <w:tabs>
                <w:tab w:pos="568" w:val="left" w:leader="none"/>
              </w:tabs>
              <w:spacing w:line="240" w:lineRule="auto" w:before="15"/>
              <w:ind w:right="16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154,988</w:t>
            </w:r>
            <w:r>
              <w:rPr>
                <w:rFonts w:ascii="Arial"/>
                <w:sz w:val="20"/>
              </w:rPr>
            </w:r>
          </w:p>
        </w:tc>
        <w:tc>
          <w:tcPr>
            <w:tcW w:w="1436"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15"/>
              <w:ind w:right="16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116,337</w:t>
            </w:r>
            <w:r>
              <w:rPr>
                <w:rFonts w:ascii="Arial"/>
                <w:sz w:val="20"/>
              </w:rPr>
            </w:r>
          </w:p>
        </w:tc>
        <w:tc>
          <w:tcPr>
            <w:tcW w:w="1315" w:type="dxa"/>
            <w:tcBorders>
              <w:top w:val="nil" w:sz="6" w:space="0" w:color="auto"/>
              <w:left w:val="nil" w:sz="6" w:space="0" w:color="auto"/>
              <w:bottom w:val="nil" w:sz="6" w:space="0" w:color="auto"/>
              <w:right w:val="nil" w:sz="6" w:space="0" w:color="auto"/>
            </w:tcBorders>
          </w:tcPr>
          <w:p>
            <w:pPr>
              <w:pStyle w:val="TableParagraph"/>
              <w:tabs>
                <w:tab w:pos="499" w:val="left" w:leader="none"/>
              </w:tabs>
              <w:spacing w:line="240" w:lineRule="auto" w:before="15"/>
              <w:ind w:right="4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38,651</w:t>
            </w:r>
            <w:r>
              <w:rPr>
                <w:rFonts w:ascii="Arial"/>
                <w:sz w:val="20"/>
              </w:rPr>
            </w:r>
          </w:p>
        </w:tc>
      </w:tr>
      <w:tr>
        <w:trPr>
          <w:trHeight w:val="450" w:hRule="exact"/>
        </w:trPr>
        <w:tc>
          <w:tcPr>
            <w:tcW w:w="443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22"/>
              <w:jc w:val="right"/>
              <w:rPr>
                <w:rFonts w:ascii="Arial" w:hAnsi="Arial" w:cs="Arial" w:eastAsia="Arial" w:hint="default"/>
                <w:sz w:val="20"/>
                <w:szCs w:val="20"/>
              </w:rPr>
            </w:pPr>
            <w:r>
              <w:rPr>
                <w:rFonts w:ascii="Arial"/>
                <w:w w:val="100"/>
                <w:sz w:val="20"/>
              </w:rPr>
            </w:r>
            <w:r>
              <w:rPr>
                <w:rFonts w:ascii="Arial"/>
                <w:spacing w:val="-1"/>
                <w:sz w:val="20"/>
                <w:u w:val="thick" w:color="000000"/>
              </w:rPr>
              <w:t>193,851,923</w:t>
            </w:r>
            <w:r>
              <w:rPr>
                <w:rFonts w:ascii="Arial"/>
                <w:spacing w:val="-1"/>
                <w:sz w:val="20"/>
              </w:rPr>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61"/>
              <w:jc w:val="right"/>
              <w:rPr>
                <w:rFonts w:ascii="Arial" w:hAnsi="Arial" w:cs="Arial" w:eastAsia="Arial" w:hint="default"/>
                <w:sz w:val="20"/>
                <w:szCs w:val="20"/>
              </w:rPr>
            </w:pPr>
            <w:r>
              <w:rPr>
                <w:rFonts w:ascii="Arial"/>
                <w:w w:val="100"/>
                <w:sz w:val="20"/>
              </w:rPr>
            </w:r>
            <w:r>
              <w:rPr>
                <w:rFonts w:ascii="Arial"/>
                <w:spacing w:val="-2"/>
                <w:sz w:val="20"/>
                <w:u w:val="thick" w:color="000000"/>
              </w:rPr>
              <w:t>1,040,146,673</w:t>
            </w:r>
            <w:r>
              <w:rPr>
                <w:rFonts w:ascii="Arial"/>
                <w:spacing w:val="-2"/>
                <w:sz w:val="20"/>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65"/>
              <w:jc w:val="right"/>
              <w:rPr>
                <w:rFonts w:ascii="Arial" w:hAnsi="Arial" w:cs="Arial" w:eastAsia="Arial" w:hint="default"/>
                <w:sz w:val="20"/>
                <w:szCs w:val="20"/>
              </w:rPr>
            </w:pPr>
            <w:r>
              <w:rPr>
                <w:rFonts w:ascii="Arial"/>
                <w:w w:val="100"/>
                <w:sz w:val="20"/>
              </w:rPr>
            </w:r>
            <w:r>
              <w:rPr>
                <w:rFonts w:ascii="Arial"/>
                <w:spacing w:val="-1"/>
                <w:sz w:val="20"/>
                <w:u w:val="thick" w:color="000000"/>
              </w:rPr>
              <w:t>927,637,775</w:t>
            </w:r>
            <w:r>
              <w:rPr>
                <w:rFonts w:ascii="Arial"/>
                <w:spacing w:val="-1"/>
                <w:sz w:val="20"/>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50"/>
              <w:jc w:val="right"/>
              <w:rPr>
                <w:rFonts w:ascii="Arial" w:hAnsi="Arial" w:cs="Arial" w:eastAsia="Arial" w:hint="default"/>
                <w:sz w:val="20"/>
                <w:szCs w:val="20"/>
              </w:rPr>
            </w:pPr>
            <w:r>
              <w:rPr>
                <w:rFonts w:ascii="Arial"/>
                <w:w w:val="100"/>
                <w:sz w:val="20"/>
              </w:rPr>
            </w:r>
            <w:r>
              <w:rPr>
                <w:rFonts w:ascii="Arial"/>
                <w:spacing w:val="-1"/>
                <w:sz w:val="20"/>
                <w:u w:val="thick" w:color="000000"/>
              </w:rPr>
              <w:t>306,360,821</w:t>
            </w:r>
            <w:r>
              <w:rPr>
                <w:rFonts w:ascii="Arial"/>
                <w:spacing w:val="-1"/>
                <w:sz w:val="20"/>
              </w:rPr>
            </w:r>
          </w:p>
        </w:tc>
      </w:tr>
      <w:tr>
        <w:trPr>
          <w:trHeight w:val="456" w:hRule="exact"/>
        </w:trPr>
        <w:tc>
          <w:tcPr>
            <w:tcW w:w="4430" w:type="dxa"/>
            <w:tcBorders>
              <w:top w:val="nil" w:sz="6" w:space="0" w:color="auto"/>
              <w:left w:val="nil" w:sz="6" w:space="0" w:color="auto"/>
              <w:bottom w:val="nil" w:sz="6" w:space="0" w:color="auto"/>
              <w:right w:val="nil" w:sz="6" w:space="0" w:color="auto"/>
            </w:tcBorders>
          </w:tcPr>
          <w:p>
            <w:pPr>
              <w:pStyle w:val="TableParagraph"/>
              <w:spacing w:line="240" w:lineRule="auto" w:before="160"/>
              <w:ind w:left="744"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c>
          <w:tcPr>
            <w:tcW w:w="1581"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r>
      <w:tr>
        <w:trPr>
          <w:trHeight w:val="383" w:hRule="exact"/>
        </w:trPr>
        <w:tc>
          <w:tcPr>
            <w:tcW w:w="4430" w:type="dxa"/>
            <w:tcBorders>
              <w:top w:val="nil" w:sz="6" w:space="0" w:color="auto"/>
              <w:left w:val="nil" w:sz="6" w:space="0" w:color="auto"/>
              <w:bottom w:val="nil" w:sz="6" w:space="0" w:color="auto"/>
              <w:right w:val="nil" w:sz="6" w:space="0" w:color="auto"/>
            </w:tcBorders>
          </w:tcPr>
          <w:p>
            <w:pPr>
              <w:pStyle w:val="TableParagraph"/>
              <w:spacing w:line="225" w:lineRule="exact"/>
              <w:ind w:right="137"/>
              <w:jc w:val="right"/>
              <w:rPr>
                <w:rFonts w:ascii="黑体" w:hAnsi="黑体" w:cs="黑体" w:eastAsia="黑体" w:hint="default"/>
                <w:sz w:val="20"/>
                <w:szCs w:val="20"/>
              </w:rPr>
            </w:pPr>
            <w:r>
              <w:rPr>
                <w:rFonts w:ascii="黑体" w:hAnsi="黑体" w:cs="黑体" w:eastAsia="黑体" w:hint="default"/>
                <w:sz w:val="20"/>
                <w:szCs w:val="20"/>
              </w:rPr>
              <w:t>年初余额</w:t>
            </w:r>
          </w:p>
        </w:tc>
        <w:tc>
          <w:tcPr>
            <w:tcW w:w="1581" w:type="dxa"/>
            <w:tcBorders>
              <w:top w:val="nil" w:sz="6" w:space="0" w:color="auto"/>
              <w:left w:val="nil" w:sz="6" w:space="0" w:color="auto"/>
              <w:bottom w:val="nil" w:sz="6" w:space="0" w:color="auto"/>
              <w:right w:val="nil" w:sz="6" w:space="0" w:color="auto"/>
            </w:tcBorders>
          </w:tcPr>
          <w:p>
            <w:pPr>
              <w:pStyle w:val="TableParagraph"/>
              <w:spacing w:line="225" w:lineRule="exact"/>
              <w:ind w:right="144"/>
              <w:jc w:val="right"/>
              <w:rPr>
                <w:rFonts w:ascii="黑体" w:hAnsi="黑体" w:cs="黑体" w:eastAsia="黑体" w:hint="default"/>
                <w:sz w:val="20"/>
                <w:szCs w:val="20"/>
              </w:rPr>
            </w:pPr>
            <w:r>
              <w:rPr>
                <w:rFonts w:ascii="黑体" w:hAnsi="黑体" w:cs="黑体" w:eastAsia="黑体" w:hint="default"/>
                <w:sz w:val="20"/>
                <w:szCs w:val="20"/>
              </w:rPr>
              <w:t>本年增加</w:t>
            </w:r>
          </w:p>
        </w:tc>
        <w:tc>
          <w:tcPr>
            <w:tcW w:w="1436" w:type="dxa"/>
            <w:tcBorders>
              <w:top w:val="nil" w:sz="6" w:space="0" w:color="auto"/>
              <w:left w:val="nil" w:sz="6" w:space="0" w:color="auto"/>
              <w:bottom w:val="nil" w:sz="6" w:space="0" w:color="auto"/>
              <w:right w:val="nil" w:sz="6" w:space="0" w:color="auto"/>
            </w:tcBorders>
          </w:tcPr>
          <w:p>
            <w:pPr>
              <w:pStyle w:val="TableParagraph"/>
              <w:spacing w:line="225" w:lineRule="exact"/>
              <w:ind w:right="149"/>
              <w:jc w:val="right"/>
              <w:rPr>
                <w:rFonts w:ascii="黑体" w:hAnsi="黑体" w:cs="黑体" w:eastAsia="黑体" w:hint="default"/>
                <w:sz w:val="20"/>
                <w:szCs w:val="20"/>
              </w:rPr>
            </w:pPr>
            <w:r>
              <w:rPr>
                <w:rFonts w:ascii="黑体" w:hAnsi="黑体" w:cs="黑体" w:eastAsia="黑体" w:hint="default"/>
                <w:sz w:val="20"/>
                <w:szCs w:val="20"/>
              </w:rPr>
              <w:t>本年减少</w:t>
            </w:r>
          </w:p>
        </w:tc>
        <w:tc>
          <w:tcPr>
            <w:tcW w:w="1315" w:type="dxa"/>
            <w:tcBorders>
              <w:top w:val="nil" w:sz="6" w:space="0" w:color="auto"/>
              <w:left w:val="nil" w:sz="6" w:space="0" w:color="auto"/>
              <w:bottom w:val="nil" w:sz="6" w:space="0" w:color="auto"/>
              <w:right w:val="nil" w:sz="6" w:space="0" w:color="auto"/>
            </w:tcBorders>
          </w:tcPr>
          <w:p>
            <w:pPr>
              <w:pStyle w:val="TableParagraph"/>
              <w:spacing w:line="225" w:lineRule="exact"/>
              <w:ind w:right="34"/>
              <w:jc w:val="right"/>
              <w:rPr>
                <w:rFonts w:ascii="黑体" w:hAnsi="黑体" w:cs="黑体" w:eastAsia="黑体" w:hint="default"/>
                <w:sz w:val="20"/>
                <w:szCs w:val="20"/>
              </w:rPr>
            </w:pPr>
            <w:r>
              <w:rPr>
                <w:rFonts w:ascii="黑体" w:hAnsi="黑体" w:cs="黑体" w:eastAsia="黑体" w:hint="default"/>
                <w:sz w:val="20"/>
                <w:szCs w:val="20"/>
              </w:rPr>
              <w:t>年末余额</w:t>
            </w:r>
          </w:p>
        </w:tc>
      </w:tr>
      <w:tr>
        <w:trPr>
          <w:trHeight w:val="399" w:hRule="exact"/>
        </w:trPr>
        <w:tc>
          <w:tcPr>
            <w:tcW w:w="443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36"/>
              <w:jc w:val="right"/>
              <w:rPr>
                <w:rFonts w:ascii="Arial" w:hAnsi="Arial" w:cs="Arial" w:eastAsia="Arial" w:hint="default"/>
                <w:sz w:val="20"/>
                <w:szCs w:val="20"/>
              </w:rPr>
            </w:pPr>
            <w:r>
              <w:rPr>
                <w:rFonts w:ascii="黑体" w:hAnsi="黑体" w:cs="黑体" w:eastAsia="黑体" w:hint="default"/>
                <w:position w:val="1"/>
                <w:sz w:val="20"/>
                <w:szCs w:val="20"/>
              </w:rPr>
              <w:t>工资、奖金、津贴和补贴</w:t>
            </w:r>
            <w:r>
              <w:rPr>
                <w:rFonts w:ascii="黑体" w:hAnsi="黑体" w:cs="黑体" w:eastAsia="黑体" w:hint="default"/>
                <w:spacing w:val="23"/>
                <w:position w:val="1"/>
                <w:sz w:val="20"/>
                <w:szCs w:val="20"/>
              </w:rPr>
              <w:t> </w:t>
            </w:r>
            <w:r>
              <w:rPr>
                <w:rFonts w:ascii="Arial" w:hAnsi="Arial" w:cs="Arial" w:eastAsia="Arial" w:hint="default"/>
                <w:sz w:val="20"/>
                <w:szCs w:val="20"/>
              </w:rPr>
              <w:t>140,653,327</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143"/>
              <w:jc w:val="right"/>
              <w:rPr>
                <w:rFonts w:ascii="Arial" w:hAnsi="Arial" w:cs="Arial" w:eastAsia="Arial" w:hint="default"/>
                <w:sz w:val="20"/>
                <w:szCs w:val="20"/>
              </w:rPr>
            </w:pPr>
            <w:r>
              <w:rPr>
                <w:rFonts w:ascii="Arial"/>
                <w:spacing w:val="-1"/>
                <w:sz w:val="20"/>
              </w:rPr>
              <w:t>678,824,963</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147"/>
              <w:jc w:val="right"/>
              <w:rPr>
                <w:rFonts w:ascii="Arial" w:hAnsi="Arial" w:cs="Arial" w:eastAsia="Arial" w:hint="default"/>
                <w:sz w:val="20"/>
                <w:szCs w:val="20"/>
              </w:rPr>
            </w:pPr>
            <w:r>
              <w:rPr>
                <w:rFonts w:ascii="Arial"/>
                <w:spacing w:val="-1"/>
                <w:sz w:val="20"/>
              </w:rPr>
              <w:t>649,010,548</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33"/>
              <w:jc w:val="right"/>
              <w:rPr>
                <w:rFonts w:ascii="Arial" w:hAnsi="Arial" w:cs="Arial" w:eastAsia="Arial" w:hint="default"/>
                <w:sz w:val="20"/>
                <w:szCs w:val="20"/>
              </w:rPr>
            </w:pPr>
            <w:r>
              <w:rPr>
                <w:rFonts w:ascii="Arial"/>
                <w:spacing w:val="-1"/>
                <w:sz w:val="20"/>
              </w:rPr>
              <w:t>170,467,742</w:t>
            </w:r>
          </w:p>
        </w:tc>
      </w:tr>
      <w:tr>
        <w:trPr>
          <w:trHeight w:val="259"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2547" w:val="left" w:leader="none"/>
              </w:tabs>
              <w:spacing w:line="246" w:lineRule="exact"/>
              <w:ind w:right="137"/>
              <w:jc w:val="right"/>
              <w:rPr>
                <w:rFonts w:ascii="Arial" w:hAnsi="Arial" w:cs="Arial" w:eastAsia="Arial" w:hint="default"/>
                <w:sz w:val="20"/>
                <w:szCs w:val="20"/>
              </w:rPr>
            </w:pPr>
            <w:r>
              <w:rPr>
                <w:rFonts w:ascii="黑体" w:hAnsi="黑体" w:cs="黑体" w:eastAsia="黑体" w:hint="default"/>
                <w:spacing w:val="-1"/>
                <w:position w:val="1"/>
                <w:sz w:val="20"/>
                <w:szCs w:val="20"/>
              </w:rPr>
              <w:t>职工福利费</w:t>
              <w:tab/>
            </w:r>
            <w:r>
              <w:rPr>
                <w:rFonts w:ascii="Arial" w:hAnsi="Arial" w:cs="Arial" w:eastAsia="Arial" w:hint="default"/>
                <w:spacing w:val="-1"/>
                <w:sz w:val="20"/>
                <w:szCs w:val="20"/>
              </w:rPr>
              <w:t>8,029,087</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4"/>
              <w:jc w:val="right"/>
              <w:rPr>
                <w:rFonts w:ascii="Arial" w:hAnsi="Arial" w:cs="Arial" w:eastAsia="Arial" w:hint="default"/>
                <w:sz w:val="20"/>
                <w:szCs w:val="20"/>
              </w:rPr>
            </w:pPr>
            <w:r>
              <w:rPr>
                <w:rFonts w:ascii="Arial"/>
                <w:w w:val="100"/>
                <w:sz w:val="20"/>
              </w:rPr>
              <w:t>-</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8"/>
              <w:jc w:val="right"/>
              <w:rPr>
                <w:rFonts w:ascii="Arial" w:hAnsi="Arial" w:cs="Arial" w:eastAsia="Arial" w:hint="default"/>
                <w:sz w:val="20"/>
                <w:szCs w:val="20"/>
              </w:rPr>
            </w:pPr>
            <w:r>
              <w:rPr>
                <w:rFonts w:ascii="Arial"/>
                <w:spacing w:val="-1"/>
                <w:sz w:val="20"/>
              </w:rPr>
              <w:t>8,029,087</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4"/>
              <w:jc w:val="right"/>
              <w:rPr>
                <w:rFonts w:ascii="Arial" w:hAnsi="Arial" w:cs="Arial" w:eastAsia="Arial" w:hint="default"/>
                <w:sz w:val="20"/>
                <w:szCs w:val="20"/>
              </w:rPr>
            </w:pPr>
            <w:r>
              <w:rPr>
                <w:rFonts w:ascii="Arial"/>
                <w:w w:val="100"/>
                <w:sz w:val="20"/>
              </w:rPr>
              <w:t>-</w:t>
            </w:r>
          </w:p>
        </w:tc>
      </w:tr>
      <w:tr>
        <w:trPr>
          <w:trHeight w:val="260"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2547" w:val="left" w:leader="none"/>
              </w:tabs>
              <w:spacing w:line="246" w:lineRule="exact"/>
              <w:ind w:right="137"/>
              <w:jc w:val="right"/>
              <w:rPr>
                <w:rFonts w:ascii="Arial" w:hAnsi="Arial" w:cs="Arial" w:eastAsia="Arial" w:hint="default"/>
                <w:sz w:val="20"/>
                <w:szCs w:val="20"/>
              </w:rPr>
            </w:pPr>
            <w:r>
              <w:rPr>
                <w:rFonts w:ascii="黑体" w:hAnsi="黑体" w:cs="黑体" w:eastAsia="黑体" w:hint="default"/>
                <w:spacing w:val="-1"/>
                <w:position w:val="1"/>
                <w:sz w:val="20"/>
                <w:szCs w:val="20"/>
              </w:rPr>
              <w:t>社会保险费</w:t>
              <w:tab/>
            </w:r>
            <w:r>
              <w:rPr>
                <w:rFonts w:ascii="Arial" w:hAnsi="Arial" w:cs="Arial" w:eastAsia="Arial" w:hint="default"/>
                <w:spacing w:val="-1"/>
                <w:sz w:val="20"/>
                <w:szCs w:val="20"/>
              </w:rPr>
              <w:t>5,390,334</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4"/>
              <w:jc w:val="right"/>
              <w:rPr>
                <w:rFonts w:ascii="Arial" w:hAnsi="Arial" w:cs="Arial" w:eastAsia="Arial" w:hint="default"/>
                <w:sz w:val="20"/>
                <w:szCs w:val="20"/>
              </w:rPr>
            </w:pPr>
            <w:r>
              <w:rPr>
                <w:rFonts w:ascii="Arial"/>
                <w:spacing w:val="-1"/>
                <w:sz w:val="20"/>
              </w:rPr>
              <w:t>82,175,950</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9"/>
              <w:jc w:val="right"/>
              <w:rPr>
                <w:rFonts w:ascii="Arial" w:hAnsi="Arial" w:cs="Arial" w:eastAsia="Arial" w:hint="default"/>
                <w:sz w:val="20"/>
                <w:szCs w:val="20"/>
              </w:rPr>
            </w:pPr>
            <w:r>
              <w:rPr>
                <w:rFonts w:ascii="Arial"/>
                <w:spacing w:val="-1"/>
                <w:sz w:val="20"/>
              </w:rPr>
              <w:t>79,934,904</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4"/>
              <w:jc w:val="right"/>
              <w:rPr>
                <w:rFonts w:ascii="Arial" w:hAnsi="Arial" w:cs="Arial" w:eastAsia="Arial" w:hint="default"/>
                <w:sz w:val="20"/>
                <w:szCs w:val="20"/>
              </w:rPr>
            </w:pPr>
            <w:r>
              <w:rPr>
                <w:rFonts w:ascii="Arial"/>
                <w:spacing w:val="-1"/>
                <w:sz w:val="20"/>
              </w:rPr>
              <w:t>7,631,380</w:t>
            </w:r>
          </w:p>
        </w:tc>
      </w:tr>
      <w:tr>
        <w:trPr>
          <w:trHeight w:val="260"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2547" w:val="left" w:leader="none"/>
              </w:tabs>
              <w:spacing w:line="247" w:lineRule="exact"/>
              <w:ind w:right="137"/>
              <w:jc w:val="right"/>
              <w:rPr>
                <w:rFonts w:ascii="Arial" w:hAnsi="Arial" w:cs="Arial" w:eastAsia="Arial" w:hint="default"/>
                <w:sz w:val="20"/>
                <w:szCs w:val="20"/>
              </w:rPr>
            </w:pPr>
            <w:r>
              <w:rPr>
                <w:rFonts w:ascii="黑体" w:hAnsi="黑体" w:cs="黑体" w:eastAsia="黑体" w:hint="default"/>
                <w:spacing w:val="-1"/>
                <w:position w:val="1"/>
                <w:sz w:val="20"/>
                <w:szCs w:val="20"/>
              </w:rPr>
              <w:t>其中：基本养老保险费</w:t>
              <w:tab/>
            </w:r>
            <w:r>
              <w:rPr>
                <w:rFonts w:ascii="Arial" w:hAnsi="Arial" w:cs="Arial" w:eastAsia="Arial" w:hint="default"/>
                <w:spacing w:val="-1"/>
                <w:sz w:val="20"/>
                <w:szCs w:val="20"/>
              </w:rPr>
              <w:t>4,460,781</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44"/>
              <w:jc w:val="right"/>
              <w:rPr>
                <w:rFonts w:ascii="Arial" w:hAnsi="Arial" w:cs="Arial" w:eastAsia="Arial" w:hint="default"/>
                <w:sz w:val="20"/>
                <w:szCs w:val="20"/>
              </w:rPr>
            </w:pPr>
            <w:r>
              <w:rPr>
                <w:rFonts w:ascii="Arial"/>
                <w:spacing w:val="-1"/>
                <w:sz w:val="20"/>
              </w:rPr>
              <w:t>51,819,717</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48"/>
              <w:jc w:val="right"/>
              <w:rPr>
                <w:rFonts w:ascii="Arial" w:hAnsi="Arial" w:cs="Arial" w:eastAsia="Arial" w:hint="default"/>
                <w:sz w:val="20"/>
                <w:szCs w:val="20"/>
              </w:rPr>
            </w:pPr>
            <w:r>
              <w:rPr>
                <w:rFonts w:ascii="Arial"/>
                <w:spacing w:val="-1"/>
                <w:sz w:val="20"/>
              </w:rPr>
              <w:t>50,328,442</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4"/>
              <w:jc w:val="right"/>
              <w:rPr>
                <w:rFonts w:ascii="Arial" w:hAnsi="Arial" w:cs="Arial" w:eastAsia="Arial" w:hint="default"/>
                <w:sz w:val="20"/>
                <w:szCs w:val="20"/>
              </w:rPr>
            </w:pPr>
            <w:r>
              <w:rPr>
                <w:rFonts w:ascii="Arial"/>
                <w:spacing w:val="-1"/>
                <w:sz w:val="20"/>
              </w:rPr>
              <w:t>5,952,056</w:t>
            </w:r>
          </w:p>
        </w:tc>
      </w:tr>
      <w:tr>
        <w:trPr>
          <w:trHeight w:val="259"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2115" w:val="left" w:leader="none"/>
              </w:tabs>
              <w:spacing w:line="246" w:lineRule="exact"/>
              <w:ind w:right="137"/>
              <w:jc w:val="right"/>
              <w:rPr>
                <w:rFonts w:ascii="Arial" w:hAnsi="Arial" w:cs="Arial" w:eastAsia="Arial" w:hint="default"/>
                <w:sz w:val="20"/>
                <w:szCs w:val="20"/>
              </w:rPr>
            </w:pPr>
            <w:r>
              <w:rPr>
                <w:rFonts w:ascii="黑体" w:hAnsi="黑体" w:cs="黑体" w:eastAsia="黑体" w:hint="default"/>
                <w:position w:val="1"/>
                <w:sz w:val="20"/>
                <w:szCs w:val="20"/>
              </w:rPr>
              <w:t>医疗保险费</w:t>
              <w:tab/>
            </w:r>
            <w:r>
              <w:rPr>
                <w:rFonts w:ascii="Arial" w:hAnsi="Arial" w:cs="Arial" w:eastAsia="Arial" w:hint="default"/>
                <w:spacing w:val="-1"/>
                <w:sz w:val="20"/>
                <w:szCs w:val="20"/>
              </w:rPr>
              <w:t>695,334</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3"/>
              <w:jc w:val="right"/>
              <w:rPr>
                <w:rFonts w:ascii="Arial" w:hAnsi="Arial" w:cs="Arial" w:eastAsia="Arial" w:hint="default"/>
                <w:sz w:val="20"/>
                <w:szCs w:val="20"/>
              </w:rPr>
            </w:pPr>
            <w:r>
              <w:rPr>
                <w:rFonts w:ascii="Arial"/>
                <w:spacing w:val="-1"/>
                <w:sz w:val="20"/>
              </w:rPr>
              <w:t>24,774,860</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8"/>
              <w:jc w:val="right"/>
              <w:rPr>
                <w:rFonts w:ascii="Arial" w:hAnsi="Arial" w:cs="Arial" w:eastAsia="Arial" w:hint="default"/>
                <w:sz w:val="20"/>
                <w:szCs w:val="20"/>
              </w:rPr>
            </w:pPr>
            <w:r>
              <w:rPr>
                <w:rFonts w:ascii="Arial"/>
                <w:spacing w:val="-1"/>
                <w:sz w:val="20"/>
              </w:rPr>
              <w:t>24,129,024</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Arial" w:hAnsi="Arial" w:cs="Arial" w:eastAsia="Arial" w:hint="default"/>
                <w:sz w:val="20"/>
                <w:szCs w:val="20"/>
              </w:rPr>
            </w:pPr>
            <w:r>
              <w:rPr>
                <w:rFonts w:ascii="Arial"/>
                <w:spacing w:val="-1"/>
                <w:sz w:val="20"/>
              </w:rPr>
              <w:t>1,341,170</w:t>
            </w:r>
          </w:p>
        </w:tc>
      </w:tr>
      <w:tr>
        <w:trPr>
          <w:trHeight w:val="259"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2115" w:val="left" w:leader="none"/>
              </w:tabs>
              <w:spacing w:line="246" w:lineRule="exact"/>
              <w:ind w:right="136"/>
              <w:jc w:val="right"/>
              <w:rPr>
                <w:rFonts w:ascii="Arial" w:hAnsi="Arial" w:cs="Arial" w:eastAsia="Arial" w:hint="default"/>
                <w:sz w:val="20"/>
                <w:szCs w:val="20"/>
              </w:rPr>
            </w:pPr>
            <w:r>
              <w:rPr>
                <w:rFonts w:ascii="黑体" w:hAnsi="黑体" w:cs="黑体" w:eastAsia="黑体" w:hint="default"/>
                <w:position w:val="1"/>
                <w:sz w:val="20"/>
                <w:szCs w:val="20"/>
              </w:rPr>
              <w:t>失业保险费</w:t>
              <w:tab/>
            </w:r>
            <w:r>
              <w:rPr>
                <w:rFonts w:ascii="Arial" w:hAnsi="Arial" w:cs="Arial" w:eastAsia="Arial" w:hint="default"/>
                <w:spacing w:val="-1"/>
                <w:sz w:val="20"/>
                <w:szCs w:val="20"/>
              </w:rPr>
              <w:t>129,665</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3"/>
              <w:jc w:val="right"/>
              <w:rPr>
                <w:rFonts w:ascii="Arial" w:hAnsi="Arial" w:cs="Arial" w:eastAsia="Arial" w:hint="default"/>
                <w:sz w:val="20"/>
                <w:szCs w:val="20"/>
              </w:rPr>
            </w:pPr>
            <w:r>
              <w:rPr>
                <w:rFonts w:ascii="Arial"/>
                <w:spacing w:val="-1"/>
                <w:sz w:val="20"/>
              </w:rPr>
              <w:t>3,918,588</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7"/>
              <w:jc w:val="right"/>
              <w:rPr>
                <w:rFonts w:ascii="Arial" w:hAnsi="Arial" w:cs="Arial" w:eastAsia="Arial" w:hint="default"/>
                <w:sz w:val="20"/>
                <w:szCs w:val="20"/>
              </w:rPr>
            </w:pPr>
            <w:r>
              <w:rPr>
                <w:rFonts w:ascii="Arial"/>
                <w:spacing w:val="-1"/>
                <w:sz w:val="20"/>
              </w:rPr>
              <w:t>3,820,597</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Arial" w:hAnsi="Arial" w:cs="Arial" w:eastAsia="Arial" w:hint="default"/>
                <w:sz w:val="20"/>
                <w:szCs w:val="20"/>
              </w:rPr>
            </w:pPr>
            <w:r>
              <w:rPr>
                <w:rFonts w:ascii="Arial"/>
                <w:spacing w:val="-1"/>
                <w:sz w:val="20"/>
              </w:rPr>
              <w:t>227,656</w:t>
            </w:r>
          </w:p>
        </w:tc>
      </w:tr>
      <w:tr>
        <w:trPr>
          <w:trHeight w:val="259"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2225" w:val="left" w:leader="none"/>
              </w:tabs>
              <w:spacing w:line="246" w:lineRule="exact"/>
              <w:ind w:right="136"/>
              <w:jc w:val="right"/>
              <w:rPr>
                <w:rFonts w:ascii="Arial" w:hAnsi="Arial" w:cs="Arial" w:eastAsia="Arial" w:hint="default"/>
                <w:sz w:val="20"/>
                <w:szCs w:val="20"/>
              </w:rPr>
            </w:pPr>
            <w:r>
              <w:rPr>
                <w:rFonts w:ascii="黑体" w:hAnsi="黑体" w:cs="黑体" w:eastAsia="黑体" w:hint="default"/>
                <w:position w:val="1"/>
                <w:sz w:val="20"/>
                <w:szCs w:val="20"/>
              </w:rPr>
              <w:t>工伤保险费</w:t>
              <w:tab/>
            </w:r>
            <w:r>
              <w:rPr>
                <w:rFonts w:ascii="Arial" w:hAnsi="Arial" w:cs="Arial" w:eastAsia="Arial" w:hint="default"/>
                <w:sz w:val="20"/>
                <w:szCs w:val="20"/>
              </w:rPr>
              <w:t>67,202</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3"/>
              <w:jc w:val="right"/>
              <w:rPr>
                <w:rFonts w:ascii="Arial" w:hAnsi="Arial" w:cs="Arial" w:eastAsia="Arial" w:hint="default"/>
                <w:sz w:val="20"/>
                <w:szCs w:val="20"/>
              </w:rPr>
            </w:pPr>
            <w:r>
              <w:rPr>
                <w:rFonts w:ascii="Arial"/>
                <w:spacing w:val="-1"/>
                <w:sz w:val="20"/>
              </w:rPr>
              <w:t>849,934</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8"/>
              <w:jc w:val="right"/>
              <w:rPr>
                <w:rFonts w:ascii="Arial" w:hAnsi="Arial" w:cs="Arial" w:eastAsia="Arial" w:hint="default"/>
                <w:sz w:val="20"/>
                <w:szCs w:val="20"/>
              </w:rPr>
            </w:pPr>
            <w:r>
              <w:rPr>
                <w:rFonts w:ascii="Arial"/>
                <w:spacing w:val="-1"/>
                <w:sz w:val="20"/>
              </w:rPr>
              <w:t>833,280</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Arial" w:hAnsi="Arial" w:cs="Arial" w:eastAsia="Arial" w:hint="default"/>
                <w:sz w:val="20"/>
                <w:szCs w:val="20"/>
              </w:rPr>
            </w:pPr>
            <w:r>
              <w:rPr>
                <w:rFonts w:ascii="Arial"/>
                <w:sz w:val="20"/>
              </w:rPr>
              <w:t>83,856</w:t>
            </w:r>
          </w:p>
        </w:tc>
      </w:tr>
      <w:tr>
        <w:trPr>
          <w:trHeight w:val="259"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2225" w:val="left" w:leader="none"/>
              </w:tabs>
              <w:spacing w:line="246" w:lineRule="exact"/>
              <w:ind w:right="136"/>
              <w:jc w:val="right"/>
              <w:rPr>
                <w:rFonts w:ascii="Arial" w:hAnsi="Arial" w:cs="Arial" w:eastAsia="Arial" w:hint="default"/>
                <w:sz w:val="20"/>
                <w:szCs w:val="20"/>
              </w:rPr>
            </w:pPr>
            <w:r>
              <w:rPr>
                <w:rFonts w:ascii="黑体" w:hAnsi="黑体" w:cs="黑体" w:eastAsia="黑体" w:hint="default"/>
                <w:position w:val="1"/>
                <w:sz w:val="20"/>
                <w:szCs w:val="20"/>
              </w:rPr>
              <w:t>生育保险费</w:t>
              <w:tab/>
            </w:r>
            <w:r>
              <w:rPr>
                <w:rFonts w:ascii="Arial" w:hAnsi="Arial" w:cs="Arial" w:eastAsia="Arial" w:hint="default"/>
                <w:sz w:val="20"/>
                <w:szCs w:val="20"/>
              </w:rPr>
              <w:t>37,352</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3"/>
              <w:jc w:val="right"/>
              <w:rPr>
                <w:rFonts w:ascii="Arial" w:hAnsi="Arial" w:cs="Arial" w:eastAsia="Arial" w:hint="default"/>
                <w:sz w:val="20"/>
                <w:szCs w:val="20"/>
              </w:rPr>
            </w:pPr>
            <w:r>
              <w:rPr>
                <w:rFonts w:ascii="Arial"/>
                <w:spacing w:val="-1"/>
                <w:sz w:val="20"/>
              </w:rPr>
              <w:t>812,851</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8"/>
              <w:jc w:val="right"/>
              <w:rPr>
                <w:rFonts w:ascii="Arial" w:hAnsi="Arial" w:cs="Arial" w:eastAsia="Arial" w:hint="default"/>
                <w:sz w:val="20"/>
                <w:szCs w:val="20"/>
              </w:rPr>
            </w:pPr>
            <w:r>
              <w:rPr>
                <w:rFonts w:ascii="Arial"/>
                <w:spacing w:val="-1"/>
                <w:sz w:val="20"/>
              </w:rPr>
              <w:t>823,561</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Arial" w:hAnsi="Arial" w:cs="Arial" w:eastAsia="Arial" w:hint="default"/>
                <w:sz w:val="20"/>
                <w:szCs w:val="20"/>
              </w:rPr>
            </w:pPr>
            <w:r>
              <w:rPr>
                <w:rFonts w:ascii="Arial"/>
                <w:sz w:val="20"/>
              </w:rPr>
              <w:t>26,642</w:t>
            </w:r>
          </w:p>
        </w:tc>
      </w:tr>
      <w:tr>
        <w:trPr>
          <w:trHeight w:val="259" w:hRule="exact"/>
        </w:trPr>
        <w:tc>
          <w:tcPr>
            <w:tcW w:w="4430" w:type="dxa"/>
            <w:tcBorders>
              <w:top w:val="nil" w:sz="6" w:space="0" w:color="auto"/>
              <w:left w:val="nil" w:sz="6" w:space="0" w:color="auto"/>
              <w:bottom w:val="nil" w:sz="6" w:space="0" w:color="auto"/>
              <w:right w:val="nil" w:sz="6" w:space="0" w:color="auto"/>
            </w:tcBorders>
          </w:tcPr>
          <w:p>
            <w:pPr>
              <w:pStyle w:val="TableParagraph"/>
              <w:tabs>
                <w:tab w:pos="2547" w:val="left" w:leader="none"/>
              </w:tabs>
              <w:spacing w:line="246" w:lineRule="exact"/>
              <w:ind w:right="136"/>
              <w:jc w:val="right"/>
              <w:rPr>
                <w:rFonts w:ascii="Arial" w:hAnsi="Arial" w:cs="Arial" w:eastAsia="Arial" w:hint="default"/>
                <w:sz w:val="20"/>
                <w:szCs w:val="20"/>
              </w:rPr>
            </w:pPr>
            <w:r>
              <w:rPr>
                <w:rFonts w:ascii="黑体" w:hAnsi="黑体" w:cs="黑体" w:eastAsia="黑体" w:hint="default"/>
                <w:spacing w:val="-1"/>
                <w:position w:val="1"/>
                <w:sz w:val="20"/>
                <w:szCs w:val="20"/>
              </w:rPr>
              <w:t>住房公积金</w:t>
              <w:tab/>
            </w:r>
            <w:r>
              <w:rPr>
                <w:rFonts w:ascii="Arial" w:hAnsi="Arial" w:cs="Arial" w:eastAsia="Arial" w:hint="default"/>
                <w:spacing w:val="-1"/>
                <w:sz w:val="20"/>
                <w:szCs w:val="20"/>
              </w:rPr>
              <w:t>1,122,797</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3"/>
              <w:jc w:val="right"/>
              <w:rPr>
                <w:rFonts w:ascii="Arial" w:hAnsi="Arial" w:cs="Arial" w:eastAsia="Arial" w:hint="default"/>
                <w:sz w:val="20"/>
                <w:szCs w:val="20"/>
              </w:rPr>
            </w:pPr>
            <w:r>
              <w:rPr>
                <w:rFonts w:ascii="Arial"/>
                <w:spacing w:val="-1"/>
                <w:sz w:val="20"/>
              </w:rPr>
              <w:t>62,346,195</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8"/>
              <w:jc w:val="right"/>
              <w:rPr>
                <w:rFonts w:ascii="Arial" w:hAnsi="Arial" w:cs="Arial" w:eastAsia="Arial" w:hint="default"/>
                <w:sz w:val="20"/>
                <w:szCs w:val="20"/>
              </w:rPr>
            </w:pPr>
            <w:r>
              <w:rPr>
                <w:rFonts w:ascii="Arial"/>
                <w:spacing w:val="-1"/>
                <w:sz w:val="20"/>
              </w:rPr>
              <w:t>58,773,443</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Arial" w:hAnsi="Arial" w:cs="Arial" w:eastAsia="Arial" w:hint="default"/>
                <w:sz w:val="20"/>
                <w:szCs w:val="20"/>
              </w:rPr>
            </w:pPr>
            <w:r>
              <w:rPr>
                <w:rFonts w:ascii="Arial"/>
                <w:spacing w:val="-1"/>
                <w:sz w:val="20"/>
              </w:rPr>
              <w:t>4,695,549</w:t>
            </w:r>
          </w:p>
        </w:tc>
      </w:tr>
      <w:tr>
        <w:trPr>
          <w:trHeight w:val="271" w:hRule="exact"/>
        </w:trPr>
        <w:tc>
          <w:tcPr>
            <w:tcW w:w="4430" w:type="dxa"/>
            <w:tcBorders>
              <w:top w:val="nil" w:sz="6" w:space="0" w:color="auto"/>
              <w:left w:val="nil" w:sz="6" w:space="0" w:color="auto"/>
              <w:bottom w:val="nil" w:sz="6" w:space="0" w:color="auto"/>
              <w:right w:val="nil" w:sz="6" w:space="0" w:color="auto"/>
            </w:tcBorders>
          </w:tcPr>
          <w:p>
            <w:pPr>
              <w:pStyle w:val="TableParagraph"/>
              <w:spacing w:line="246" w:lineRule="exact"/>
              <w:ind w:right="134"/>
              <w:jc w:val="right"/>
              <w:rPr>
                <w:rFonts w:ascii="Arial" w:hAnsi="Arial" w:cs="Arial" w:eastAsia="Arial" w:hint="default"/>
                <w:sz w:val="20"/>
                <w:szCs w:val="20"/>
              </w:rPr>
            </w:pPr>
            <w:r>
              <w:rPr>
                <w:rFonts w:ascii="黑体" w:hAnsi="黑体" w:cs="黑体" w:eastAsia="黑体" w:hint="default"/>
                <w:position w:val="1"/>
                <w:sz w:val="20"/>
                <w:szCs w:val="20"/>
              </w:rPr>
              <w:t>工会经费和职工教育经费 </w:t>
            </w:r>
            <w:r>
              <w:rPr>
                <w:rFonts w:ascii="黑体" w:hAnsi="黑体" w:cs="黑体" w:eastAsia="黑体" w:hint="default"/>
                <w:spacing w:val="34"/>
                <w:position w:val="1"/>
                <w:sz w:val="20"/>
                <w:szCs w:val="20"/>
              </w:rPr>
              <w:t> </w:t>
            </w:r>
            <w:r>
              <w:rPr>
                <w:rFonts w:ascii="Arial" w:hAnsi="Arial" w:cs="Arial" w:eastAsia="Arial" w:hint="default"/>
                <w:spacing w:val="34"/>
                <w:sz w:val="20"/>
                <w:szCs w:val="20"/>
              </w:rPr>
            </w:r>
            <w:r>
              <w:rPr>
                <w:rFonts w:ascii="Arial" w:hAnsi="Arial" w:cs="Arial" w:eastAsia="Arial" w:hint="default"/>
                <w:spacing w:val="34"/>
                <w:sz w:val="20"/>
                <w:szCs w:val="20"/>
                <w:u w:val="single" w:color="000000"/>
              </w:rPr>
              <w:t> </w:t>
            </w:r>
            <w:r>
              <w:rPr>
                <w:rFonts w:ascii="Arial" w:hAnsi="Arial" w:cs="Arial" w:eastAsia="Arial" w:hint="default"/>
                <w:sz w:val="20"/>
                <w:szCs w:val="20"/>
                <w:u w:val="single" w:color="000000"/>
              </w:rPr>
              <w:t>11,933,888</w:t>
            </w:r>
            <w:r>
              <w:rPr>
                <w:rFonts w:ascii="Arial" w:hAnsi="Arial" w:cs="Arial" w:eastAsia="Arial" w:hint="default"/>
                <w:sz w:val="20"/>
                <w:szCs w:val="20"/>
              </w:rPr>
            </w:r>
          </w:p>
        </w:tc>
        <w:tc>
          <w:tcPr>
            <w:tcW w:w="1581"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17"/>
              <w:ind w:right="14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725,468</w:t>
            </w:r>
            <w:r>
              <w:rPr>
                <w:rFonts w:ascii="Arial"/>
                <w:sz w:val="20"/>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4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1,602,104</w:t>
            </w:r>
            <w:r>
              <w:rPr>
                <w:rFonts w:ascii="Arial"/>
                <w:sz w:val="20"/>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11,057,252</w:t>
            </w:r>
            <w:r>
              <w:rPr>
                <w:rFonts w:ascii="Arial"/>
                <w:spacing w:val="-1"/>
                <w:sz w:val="20"/>
              </w:rPr>
            </w:r>
          </w:p>
        </w:tc>
      </w:tr>
      <w:tr>
        <w:trPr>
          <w:trHeight w:val="329" w:hRule="exact"/>
        </w:trPr>
        <w:tc>
          <w:tcPr>
            <w:tcW w:w="443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36"/>
              <w:jc w:val="right"/>
              <w:rPr>
                <w:rFonts w:ascii="Arial" w:hAnsi="Arial" w:cs="Arial" w:eastAsia="Arial" w:hint="default"/>
                <w:sz w:val="20"/>
                <w:szCs w:val="20"/>
              </w:rPr>
            </w:pPr>
            <w:r>
              <w:rPr>
                <w:rFonts w:ascii="Arial"/>
                <w:w w:val="100"/>
                <w:sz w:val="20"/>
              </w:rPr>
            </w:r>
            <w:r>
              <w:rPr>
                <w:rFonts w:ascii="Arial"/>
                <w:spacing w:val="-1"/>
                <w:sz w:val="20"/>
                <w:u w:val="thick" w:color="000000"/>
              </w:rPr>
              <w:t>167,129,433</w:t>
            </w:r>
            <w:r>
              <w:rPr>
                <w:rFonts w:ascii="Arial"/>
                <w:spacing w:val="-1"/>
                <w:sz w:val="20"/>
              </w:rPr>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43"/>
              <w:jc w:val="right"/>
              <w:rPr>
                <w:rFonts w:ascii="Arial" w:hAnsi="Arial" w:cs="Arial" w:eastAsia="Arial" w:hint="default"/>
                <w:sz w:val="20"/>
                <w:szCs w:val="20"/>
              </w:rPr>
            </w:pPr>
            <w:r>
              <w:rPr>
                <w:rFonts w:ascii="Arial"/>
                <w:w w:val="100"/>
                <w:sz w:val="20"/>
              </w:rPr>
            </w:r>
            <w:r>
              <w:rPr>
                <w:rFonts w:ascii="Arial"/>
                <w:spacing w:val="-1"/>
                <w:sz w:val="20"/>
                <w:u w:val="thick" w:color="000000"/>
              </w:rPr>
              <w:t>824,072,576</w:t>
            </w:r>
            <w:r>
              <w:rPr>
                <w:rFonts w:ascii="Arial"/>
                <w:spacing w:val="-1"/>
                <w:sz w:val="20"/>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48"/>
              <w:jc w:val="right"/>
              <w:rPr>
                <w:rFonts w:ascii="Arial" w:hAnsi="Arial" w:cs="Arial" w:eastAsia="Arial" w:hint="default"/>
                <w:sz w:val="20"/>
                <w:szCs w:val="20"/>
              </w:rPr>
            </w:pPr>
            <w:r>
              <w:rPr>
                <w:rFonts w:ascii="Arial"/>
                <w:w w:val="100"/>
                <w:sz w:val="20"/>
              </w:rPr>
            </w:r>
            <w:r>
              <w:rPr>
                <w:rFonts w:ascii="Arial"/>
                <w:spacing w:val="-1"/>
                <w:sz w:val="20"/>
                <w:u w:val="thick" w:color="000000"/>
              </w:rPr>
              <w:t>797,350,086</w:t>
            </w:r>
            <w:r>
              <w:rPr>
                <w:rFonts w:ascii="Arial"/>
                <w:spacing w:val="-1"/>
                <w:sz w:val="20"/>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193,851,923</w:t>
            </w:r>
            <w:r>
              <w:rPr>
                <w:rFonts w:ascii="Arial"/>
                <w:spacing w:val="-1"/>
                <w:sz w:val="20"/>
              </w:rPr>
            </w:r>
          </w:p>
        </w:tc>
      </w:tr>
    </w:tbl>
    <w:p>
      <w:pPr>
        <w:spacing w:after="0" w:line="240" w:lineRule="auto"/>
        <w:jc w:val="right"/>
        <w:rPr>
          <w:rFonts w:ascii="Arial" w:hAnsi="Arial" w:cs="Arial" w:eastAsia="Arial" w:hint="default"/>
          <w:sz w:val="20"/>
          <w:szCs w:val="20"/>
        </w:rPr>
        <w:sectPr>
          <w:pgSz w:w="11910" w:h="16840"/>
          <w:pgMar w:header="958" w:footer="462" w:top="2540" w:bottom="660" w:left="1560" w:right="136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2"/>
          <w:szCs w:val="22"/>
        </w:rPr>
      </w:pPr>
    </w:p>
    <w:tbl>
      <w:tblPr>
        <w:tblW w:w="0" w:type="auto"/>
        <w:jc w:val="left"/>
        <w:tblInd w:w="106" w:type="dxa"/>
        <w:tblLayout w:type="fixed"/>
        <w:tblCellMar>
          <w:top w:w="0" w:type="dxa"/>
          <w:left w:w="0" w:type="dxa"/>
          <w:bottom w:w="0" w:type="dxa"/>
          <w:right w:w="0" w:type="dxa"/>
        </w:tblCellMar>
        <w:tblLook w:val="01E0"/>
      </w:tblPr>
      <w:tblGrid>
        <w:gridCol w:w="598"/>
        <w:gridCol w:w="3836"/>
        <w:gridCol w:w="2382"/>
        <w:gridCol w:w="1732"/>
      </w:tblGrid>
      <w:tr>
        <w:trPr>
          <w:trHeight w:val="939" w:hRule="exact"/>
        </w:trPr>
        <w:tc>
          <w:tcPr>
            <w:tcW w:w="59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五、</w:t>
            </w:r>
            <w:r>
              <w:rPr>
                <w:rFonts w:ascii="黑体" w:hAnsi="黑体" w:cs="黑体" w:eastAsia="黑体" w:hint="default"/>
                <w:sz w:val="20"/>
                <w:szCs w:val="20"/>
              </w:rPr>
            </w: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5" w:right="0"/>
              <w:jc w:val="left"/>
              <w:rPr>
                <w:rFonts w:ascii="Arial" w:hAnsi="Arial" w:cs="Arial" w:eastAsia="Arial" w:hint="default"/>
                <w:sz w:val="20"/>
                <w:szCs w:val="20"/>
              </w:rPr>
            </w:pPr>
            <w:r>
              <w:rPr>
                <w:rFonts w:ascii="Arial"/>
                <w:b/>
                <w:sz w:val="20"/>
              </w:rPr>
              <w:t>23.</w:t>
            </w:r>
            <w:r>
              <w:rPr>
                <w:rFonts w:ascii="Arial"/>
                <w:sz w:val="20"/>
              </w:rPr>
            </w:r>
          </w:p>
        </w:tc>
        <w:tc>
          <w:tcPr>
            <w:tcW w:w="383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9" w:right="0"/>
              <w:jc w:val="left"/>
              <w:rPr>
                <w:rFonts w:ascii="黑体" w:hAnsi="黑体" w:cs="黑体" w:eastAsia="黑体" w:hint="default"/>
                <w:sz w:val="20"/>
                <w:szCs w:val="20"/>
              </w:rPr>
            </w:pPr>
            <w:r>
              <w:rPr>
                <w:rFonts w:ascii="黑体" w:hAnsi="黑体" w:cs="黑体" w:eastAsia="黑体" w:hint="default"/>
                <w:b/>
                <w:bCs/>
                <w:sz w:val="20"/>
                <w:szCs w:val="20"/>
              </w:rPr>
              <w:t>合并财务报表主要项目注释（续）</w:t>
            </w:r>
            <w:r>
              <w:rPr>
                <w:rFonts w:ascii="黑体" w:hAnsi="黑体" w:cs="黑体" w:eastAsia="黑体" w:hint="default"/>
                <w:sz w:val="20"/>
                <w:szCs w:val="20"/>
              </w:rPr>
            </w:r>
          </w:p>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57" w:right="0"/>
              <w:jc w:val="left"/>
              <w:rPr>
                <w:rFonts w:ascii="黑体" w:hAnsi="黑体" w:cs="黑体" w:eastAsia="黑体" w:hint="default"/>
                <w:sz w:val="20"/>
                <w:szCs w:val="20"/>
              </w:rPr>
            </w:pPr>
            <w:r>
              <w:rPr>
                <w:rFonts w:ascii="黑体" w:hAnsi="黑体" w:cs="黑体" w:eastAsia="黑体" w:hint="default"/>
                <w:b/>
                <w:bCs/>
                <w:sz w:val="20"/>
                <w:szCs w:val="20"/>
              </w:rPr>
              <w:t>应交税费</w:t>
            </w:r>
            <w:r>
              <w:rPr>
                <w:rFonts w:ascii="黑体" w:hAnsi="黑体" w:cs="黑体" w:eastAsia="黑体" w:hint="default"/>
                <w:sz w:val="20"/>
                <w:szCs w:val="20"/>
              </w:rPr>
            </w:r>
          </w:p>
        </w:tc>
        <w:tc>
          <w:tcPr>
            <w:tcW w:w="4114" w:type="dxa"/>
            <w:gridSpan w:val="2"/>
            <w:tcBorders>
              <w:top w:val="nil" w:sz="6" w:space="0" w:color="auto"/>
              <w:left w:val="nil" w:sz="6" w:space="0" w:color="auto"/>
              <w:bottom w:val="nil" w:sz="6" w:space="0" w:color="auto"/>
              <w:right w:val="nil" w:sz="6" w:space="0" w:color="auto"/>
            </w:tcBorders>
          </w:tcPr>
          <w:p>
            <w:pPr/>
          </w:p>
        </w:tc>
      </w:tr>
      <w:tr>
        <w:trPr>
          <w:trHeight w:val="761" w:hRule="exact"/>
        </w:trPr>
        <w:tc>
          <w:tcPr>
            <w:tcW w:w="598" w:type="dxa"/>
            <w:tcBorders>
              <w:top w:val="nil" w:sz="6" w:space="0" w:color="auto"/>
              <w:left w:val="nil" w:sz="6" w:space="0" w:color="auto"/>
              <w:bottom w:val="nil" w:sz="6" w:space="0" w:color="auto"/>
              <w:right w:val="nil" w:sz="6" w:space="0" w:color="auto"/>
            </w:tcBorders>
          </w:tcPr>
          <w:p>
            <w:pPr/>
          </w:p>
        </w:tc>
        <w:tc>
          <w:tcPr>
            <w:tcW w:w="3836" w:type="dxa"/>
            <w:tcBorders>
              <w:top w:val="nil" w:sz="6" w:space="0" w:color="auto"/>
              <w:left w:val="nil" w:sz="6" w:space="0" w:color="auto"/>
              <w:bottom w:val="nil" w:sz="6" w:space="0" w:color="auto"/>
              <w:right w:val="nil" w:sz="6" w:space="0" w:color="auto"/>
            </w:tcBorders>
          </w:tcPr>
          <w:p>
            <w:pPr/>
          </w:p>
        </w:tc>
        <w:tc>
          <w:tcPr>
            <w:tcW w:w="2382" w:type="dxa"/>
            <w:tcBorders>
              <w:top w:val="nil" w:sz="6" w:space="0" w:color="auto"/>
              <w:left w:val="nil" w:sz="6" w:space="0" w:color="auto"/>
              <w:bottom w:val="nil" w:sz="6" w:space="0" w:color="auto"/>
              <w:right w:val="nil" w:sz="6" w:space="0" w:color="auto"/>
            </w:tcBorders>
          </w:tcPr>
          <w:p>
            <w:pPr>
              <w:pStyle w:val="TableParagraph"/>
              <w:spacing w:line="268" w:lineRule="exact" w:before="79"/>
              <w:ind w:left="1162"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p>
            <w:pPr>
              <w:pStyle w:val="TableParagraph"/>
              <w:spacing w:line="268" w:lineRule="exact"/>
              <w:ind w:left="962" w:right="0"/>
              <w:jc w:val="left"/>
              <w:rPr>
                <w:rFonts w:ascii="黑体" w:hAnsi="黑体" w:cs="黑体" w:eastAsia="黑体" w:hint="default"/>
                <w:sz w:val="20"/>
                <w:szCs w:val="20"/>
              </w:rPr>
            </w:pP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tc>
        <w:tc>
          <w:tcPr>
            <w:tcW w:w="1732" w:type="dxa"/>
            <w:tcBorders>
              <w:top w:val="nil" w:sz="6" w:space="0" w:color="auto"/>
              <w:left w:val="nil" w:sz="6" w:space="0" w:color="auto"/>
              <w:bottom w:val="nil" w:sz="6" w:space="0" w:color="auto"/>
              <w:right w:val="nil" w:sz="6" w:space="0" w:color="auto"/>
            </w:tcBorders>
          </w:tcPr>
          <w:p>
            <w:pPr>
              <w:pStyle w:val="TableParagraph"/>
              <w:spacing w:line="268" w:lineRule="exact" w:before="79"/>
              <w:ind w:left="1050"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p>
            <w:pPr>
              <w:pStyle w:val="TableParagraph"/>
              <w:spacing w:line="268" w:lineRule="exact"/>
              <w:ind w:left="849" w:right="0"/>
              <w:jc w:val="left"/>
              <w:rPr>
                <w:rFonts w:ascii="黑体" w:hAnsi="黑体" w:cs="黑体" w:eastAsia="黑体" w:hint="default"/>
                <w:sz w:val="20"/>
                <w:szCs w:val="20"/>
              </w:rPr>
            </w:pP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tc>
      </w:tr>
      <w:tr>
        <w:trPr>
          <w:trHeight w:val="386" w:hRule="exact"/>
        </w:trPr>
        <w:tc>
          <w:tcPr>
            <w:tcW w:w="598" w:type="dxa"/>
            <w:tcBorders>
              <w:top w:val="nil" w:sz="6" w:space="0" w:color="auto"/>
              <w:left w:val="nil" w:sz="6" w:space="0" w:color="auto"/>
              <w:bottom w:val="nil" w:sz="6" w:space="0" w:color="auto"/>
              <w:right w:val="nil" w:sz="6" w:space="0" w:color="auto"/>
            </w:tcBorders>
          </w:tcPr>
          <w:p>
            <w:pPr/>
          </w:p>
        </w:tc>
        <w:tc>
          <w:tcPr>
            <w:tcW w:w="3836"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46" w:right="0"/>
              <w:jc w:val="left"/>
              <w:rPr>
                <w:rFonts w:ascii="黑体" w:hAnsi="黑体" w:cs="黑体" w:eastAsia="黑体" w:hint="default"/>
                <w:sz w:val="20"/>
                <w:szCs w:val="20"/>
              </w:rPr>
            </w:pPr>
            <w:r>
              <w:rPr>
                <w:rFonts w:ascii="黑体" w:hAnsi="黑体" w:cs="黑体" w:eastAsia="黑体" w:hint="default"/>
                <w:sz w:val="20"/>
                <w:szCs w:val="20"/>
              </w:rPr>
              <w:t>增值税</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571"/>
              <w:jc w:val="right"/>
              <w:rPr>
                <w:rFonts w:ascii="Arial" w:hAnsi="Arial" w:cs="Arial" w:eastAsia="Arial" w:hint="default"/>
                <w:sz w:val="20"/>
                <w:szCs w:val="20"/>
              </w:rPr>
            </w:pPr>
            <w:r>
              <w:rPr>
                <w:rFonts w:ascii="Arial"/>
                <w:spacing w:val="-1"/>
                <w:sz w:val="20"/>
              </w:rPr>
              <w:t>89,048,772</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34"/>
              <w:jc w:val="right"/>
              <w:rPr>
                <w:rFonts w:ascii="Arial" w:hAnsi="Arial" w:cs="Arial" w:eastAsia="Arial" w:hint="default"/>
                <w:sz w:val="20"/>
                <w:szCs w:val="20"/>
              </w:rPr>
            </w:pPr>
            <w:r>
              <w:rPr>
                <w:rFonts w:ascii="Arial"/>
                <w:spacing w:val="-1"/>
                <w:sz w:val="20"/>
              </w:rPr>
              <w:t>54,630,467</w:t>
            </w:r>
          </w:p>
        </w:tc>
      </w:tr>
      <w:tr>
        <w:trPr>
          <w:trHeight w:val="259" w:hRule="exact"/>
        </w:trPr>
        <w:tc>
          <w:tcPr>
            <w:tcW w:w="598" w:type="dxa"/>
            <w:tcBorders>
              <w:top w:val="nil" w:sz="6" w:space="0" w:color="auto"/>
              <w:left w:val="nil" w:sz="6" w:space="0" w:color="auto"/>
              <w:bottom w:val="nil" w:sz="6" w:space="0" w:color="auto"/>
              <w:right w:val="nil" w:sz="6" w:space="0" w:color="auto"/>
            </w:tcBorders>
          </w:tcPr>
          <w:p>
            <w:pPr/>
          </w:p>
        </w:tc>
        <w:tc>
          <w:tcPr>
            <w:tcW w:w="3836" w:type="dxa"/>
            <w:tcBorders>
              <w:top w:val="nil" w:sz="6" w:space="0" w:color="auto"/>
              <w:left w:val="nil" w:sz="6" w:space="0" w:color="auto"/>
              <w:bottom w:val="nil" w:sz="6" w:space="0" w:color="auto"/>
              <w:right w:val="nil" w:sz="6" w:space="0" w:color="auto"/>
            </w:tcBorders>
          </w:tcPr>
          <w:p>
            <w:pPr>
              <w:pStyle w:val="TableParagraph"/>
              <w:spacing w:line="226" w:lineRule="exact"/>
              <w:ind w:left="146" w:right="0"/>
              <w:jc w:val="left"/>
              <w:rPr>
                <w:rFonts w:ascii="黑体" w:hAnsi="黑体" w:cs="黑体" w:eastAsia="黑体" w:hint="default"/>
                <w:sz w:val="20"/>
                <w:szCs w:val="20"/>
              </w:rPr>
            </w:pPr>
            <w:r>
              <w:rPr>
                <w:rFonts w:ascii="黑体" w:hAnsi="黑体" w:cs="黑体" w:eastAsia="黑体" w:hint="default"/>
                <w:sz w:val="20"/>
                <w:szCs w:val="20"/>
              </w:rPr>
              <w:t>营业税</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71"/>
              <w:jc w:val="right"/>
              <w:rPr>
                <w:rFonts w:ascii="Arial" w:hAnsi="Arial" w:cs="Arial" w:eastAsia="Arial" w:hint="default"/>
                <w:sz w:val="20"/>
                <w:szCs w:val="20"/>
              </w:rPr>
            </w:pPr>
            <w:r>
              <w:rPr>
                <w:rFonts w:ascii="Arial"/>
                <w:spacing w:val="-1"/>
                <w:sz w:val="20"/>
              </w:rPr>
              <w:t>8,848,491</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4,119,995</w:t>
            </w:r>
          </w:p>
        </w:tc>
      </w:tr>
      <w:tr>
        <w:trPr>
          <w:trHeight w:val="259" w:hRule="exact"/>
        </w:trPr>
        <w:tc>
          <w:tcPr>
            <w:tcW w:w="598" w:type="dxa"/>
            <w:tcBorders>
              <w:top w:val="nil" w:sz="6" w:space="0" w:color="auto"/>
              <w:left w:val="nil" w:sz="6" w:space="0" w:color="auto"/>
              <w:bottom w:val="nil" w:sz="6" w:space="0" w:color="auto"/>
              <w:right w:val="nil" w:sz="6" w:space="0" w:color="auto"/>
            </w:tcBorders>
          </w:tcPr>
          <w:p>
            <w:pPr/>
          </w:p>
        </w:tc>
        <w:tc>
          <w:tcPr>
            <w:tcW w:w="3836" w:type="dxa"/>
            <w:tcBorders>
              <w:top w:val="nil" w:sz="6" w:space="0" w:color="auto"/>
              <w:left w:val="nil" w:sz="6" w:space="0" w:color="auto"/>
              <w:bottom w:val="nil" w:sz="6" w:space="0" w:color="auto"/>
              <w:right w:val="nil" w:sz="6" w:space="0" w:color="auto"/>
            </w:tcBorders>
          </w:tcPr>
          <w:p>
            <w:pPr>
              <w:pStyle w:val="TableParagraph"/>
              <w:spacing w:line="226" w:lineRule="exact"/>
              <w:ind w:left="146" w:right="0"/>
              <w:jc w:val="left"/>
              <w:rPr>
                <w:rFonts w:ascii="黑体" w:hAnsi="黑体" w:cs="黑体" w:eastAsia="黑体" w:hint="default"/>
                <w:sz w:val="20"/>
                <w:szCs w:val="20"/>
              </w:rPr>
            </w:pPr>
            <w:r>
              <w:rPr>
                <w:rFonts w:ascii="黑体" w:hAnsi="黑体" w:cs="黑体" w:eastAsia="黑体" w:hint="default"/>
                <w:sz w:val="20"/>
                <w:szCs w:val="20"/>
              </w:rPr>
              <w:t>企业所得税</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71"/>
              <w:jc w:val="right"/>
              <w:rPr>
                <w:rFonts w:ascii="Arial" w:hAnsi="Arial" w:cs="Arial" w:eastAsia="Arial" w:hint="default"/>
                <w:sz w:val="20"/>
                <w:szCs w:val="20"/>
              </w:rPr>
            </w:pPr>
            <w:r>
              <w:rPr>
                <w:rFonts w:ascii="Arial"/>
                <w:spacing w:val="-1"/>
                <w:sz w:val="20"/>
              </w:rPr>
              <w:t>74,103,104</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27,049,997</w:t>
            </w:r>
          </w:p>
        </w:tc>
      </w:tr>
      <w:tr>
        <w:trPr>
          <w:trHeight w:val="259" w:hRule="exact"/>
        </w:trPr>
        <w:tc>
          <w:tcPr>
            <w:tcW w:w="598" w:type="dxa"/>
            <w:tcBorders>
              <w:top w:val="nil" w:sz="6" w:space="0" w:color="auto"/>
              <w:left w:val="nil" w:sz="6" w:space="0" w:color="auto"/>
              <w:bottom w:val="nil" w:sz="6" w:space="0" w:color="auto"/>
              <w:right w:val="nil" w:sz="6" w:space="0" w:color="auto"/>
            </w:tcBorders>
          </w:tcPr>
          <w:p>
            <w:pPr/>
          </w:p>
        </w:tc>
        <w:tc>
          <w:tcPr>
            <w:tcW w:w="3836" w:type="dxa"/>
            <w:tcBorders>
              <w:top w:val="nil" w:sz="6" w:space="0" w:color="auto"/>
              <w:left w:val="nil" w:sz="6" w:space="0" w:color="auto"/>
              <w:bottom w:val="nil" w:sz="6" w:space="0" w:color="auto"/>
              <w:right w:val="nil" w:sz="6" w:space="0" w:color="auto"/>
            </w:tcBorders>
          </w:tcPr>
          <w:p>
            <w:pPr>
              <w:pStyle w:val="TableParagraph"/>
              <w:spacing w:line="226" w:lineRule="exact"/>
              <w:ind w:left="146" w:right="0"/>
              <w:jc w:val="left"/>
              <w:rPr>
                <w:rFonts w:ascii="黑体" w:hAnsi="黑体" w:cs="黑体" w:eastAsia="黑体" w:hint="default"/>
                <w:sz w:val="20"/>
                <w:szCs w:val="20"/>
              </w:rPr>
            </w:pPr>
            <w:r>
              <w:rPr>
                <w:rFonts w:ascii="黑体" w:hAnsi="黑体" w:cs="黑体" w:eastAsia="黑体" w:hint="default"/>
                <w:sz w:val="20"/>
                <w:szCs w:val="20"/>
              </w:rPr>
              <w:t>个人所得税</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71"/>
              <w:jc w:val="right"/>
              <w:rPr>
                <w:rFonts w:ascii="Arial" w:hAnsi="Arial" w:cs="Arial" w:eastAsia="Arial" w:hint="default"/>
                <w:sz w:val="20"/>
                <w:szCs w:val="20"/>
              </w:rPr>
            </w:pPr>
            <w:r>
              <w:rPr>
                <w:rFonts w:ascii="Arial"/>
                <w:spacing w:val="-1"/>
                <w:sz w:val="20"/>
              </w:rPr>
              <w:t>5,030,671</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19,612,497</w:t>
            </w:r>
          </w:p>
        </w:tc>
      </w:tr>
      <w:tr>
        <w:trPr>
          <w:trHeight w:val="260" w:hRule="exact"/>
        </w:trPr>
        <w:tc>
          <w:tcPr>
            <w:tcW w:w="598" w:type="dxa"/>
            <w:tcBorders>
              <w:top w:val="nil" w:sz="6" w:space="0" w:color="auto"/>
              <w:left w:val="nil" w:sz="6" w:space="0" w:color="auto"/>
              <w:bottom w:val="nil" w:sz="6" w:space="0" w:color="auto"/>
              <w:right w:val="nil" w:sz="6" w:space="0" w:color="auto"/>
            </w:tcBorders>
          </w:tcPr>
          <w:p>
            <w:pPr/>
          </w:p>
        </w:tc>
        <w:tc>
          <w:tcPr>
            <w:tcW w:w="3836" w:type="dxa"/>
            <w:tcBorders>
              <w:top w:val="nil" w:sz="6" w:space="0" w:color="auto"/>
              <w:left w:val="nil" w:sz="6" w:space="0" w:color="auto"/>
              <w:bottom w:val="nil" w:sz="6" w:space="0" w:color="auto"/>
              <w:right w:val="nil" w:sz="6" w:space="0" w:color="auto"/>
            </w:tcBorders>
          </w:tcPr>
          <w:p>
            <w:pPr>
              <w:pStyle w:val="TableParagraph"/>
              <w:spacing w:line="226" w:lineRule="exact"/>
              <w:ind w:left="146" w:right="0"/>
              <w:jc w:val="left"/>
              <w:rPr>
                <w:rFonts w:ascii="黑体" w:hAnsi="黑体" w:cs="黑体" w:eastAsia="黑体" w:hint="default"/>
                <w:sz w:val="20"/>
                <w:szCs w:val="20"/>
              </w:rPr>
            </w:pPr>
            <w:r>
              <w:rPr>
                <w:rFonts w:ascii="黑体" w:hAnsi="黑体" w:cs="黑体" w:eastAsia="黑体" w:hint="default"/>
                <w:sz w:val="20"/>
                <w:szCs w:val="20"/>
              </w:rPr>
              <w:t>城市维护建设税及教育费附加</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71"/>
              <w:jc w:val="right"/>
              <w:rPr>
                <w:rFonts w:ascii="Arial" w:hAnsi="Arial" w:cs="Arial" w:eastAsia="Arial" w:hint="default"/>
                <w:sz w:val="20"/>
                <w:szCs w:val="20"/>
              </w:rPr>
            </w:pPr>
            <w:r>
              <w:rPr>
                <w:rFonts w:ascii="Arial"/>
                <w:spacing w:val="-1"/>
                <w:sz w:val="20"/>
              </w:rPr>
              <w:t>7,258,540</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4,821,691</w:t>
            </w:r>
          </w:p>
        </w:tc>
      </w:tr>
      <w:tr>
        <w:trPr>
          <w:trHeight w:val="389" w:hRule="exact"/>
        </w:trPr>
        <w:tc>
          <w:tcPr>
            <w:tcW w:w="598" w:type="dxa"/>
            <w:tcBorders>
              <w:top w:val="nil" w:sz="6" w:space="0" w:color="auto"/>
              <w:left w:val="nil" w:sz="6" w:space="0" w:color="auto"/>
              <w:bottom w:val="nil" w:sz="6" w:space="0" w:color="auto"/>
              <w:right w:val="nil" w:sz="6" w:space="0" w:color="auto"/>
            </w:tcBorders>
          </w:tcPr>
          <w:p>
            <w:pPr/>
          </w:p>
        </w:tc>
        <w:tc>
          <w:tcPr>
            <w:tcW w:w="3836" w:type="dxa"/>
            <w:tcBorders>
              <w:top w:val="nil" w:sz="6" w:space="0" w:color="auto"/>
              <w:left w:val="nil" w:sz="6" w:space="0" w:color="auto"/>
              <w:bottom w:val="nil" w:sz="6" w:space="0" w:color="auto"/>
              <w:right w:val="nil" w:sz="6" w:space="0" w:color="auto"/>
            </w:tcBorders>
          </w:tcPr>
          <w:p>
            <w:pPr>
              <w:pStyle w:val="TableParagraph"/>
              <w:spacing w:line="227" w:lineRule="exact"/>
              <w:ind w:left="146"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2382"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8"/>
              <w:ind w:right="57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566,963</w:t>
            </w:r>
            <w:r>
              <w:rPr>
                <w:rFonts w:ascii="Arial"/>
                <w:sz w:val="20"/>
              </w:rPr>
            </w:r>
          </w:p>
        </w:tc>
        <w:tc>
          <w:tcPr>
            <w:tcW w:w="1732"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9"/>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456,059</w:t>
            </w:r>
            <w:r>
              <w:rPr>
                <w:rFonts w:ascii="Arial"/>
                <w:sz w:val="20"/>
              </w:rPr>
            </w:r>
          </w:p>
        </w:tc>
      </w:tr>
      <w:tr>
        <w:trPr>
          <w:trHeight w:val="490" w:hRule="exact"/>
        </w:trPr>
        <w:tc>
          <w:tcPr>
            <w:tcW w:w="598" w:type="dxa"/>
            <w:tcBorders>
              <w:top w:val="nil" w:sz="6" w:space="0" w:color="auto"/>
              <w:left w:val="nil" w:sz="6" w:space="0" w:color="auto"/>
              <w:bottom w:val="nil" w:sz="6" w:space="0" w:color="auto"/>
              <w:right w:val="nil" w:sz="6" w:space="0" w:color="auto"/>
            </w:tcBorders>
          </w:tcPr>
          <w:p>
            <w:pPr/>
          </w:p>
        </w:tc>
        <w:tc>
          <w:tcPr>
            <w:tcW w:w="3836" w:type="dxa"/>
            <w:tcBorders>
              <w:top w:val="nil" w:sz="6" w:space="0" w:color="auto"/>
              <w:left w:val="nil" w:sz="6" w:space="0" w:color="auto"/>
              <w:bottom w:val="nil" w:sz="6" w:space="0" w:color="auto"/>
              <w:right w:val="nil" w:sz="6" w:space="0" w:color="auto"/>
            </w:tcBorders>
          </w:tcPr>
          <w:p>
            <w:pP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570"/>
              <w:jc w:val="right"/>
              <w:rPr>
                <w:rFonts w:ascii="Arial" w:hAnsi="Arial" w:cs="Arial" w:eastAsia="Arial" w:hint="default"/>
                <w:sz w:val="20"/>
                <w:szCs w:val="20"/>
              </w:rPr>
            </w:pPr>
            <w:r>
              <w:rPr>
                <w:rFonts w:ascii="Arial"/>
                <w:w w:val="100"/>
                <w:sz w:val="20"/>
              </w:rPr>
            </w:r>
            <w:r>
              <w:rPr>
                <w:rFonts w:ascii="Arial"/>
                <w:spacing w:val="-1"/>
                <w:sz w:val="20"/>
                <w:u w:val="thick" w:color="000000"/>
              </w:rPr>
              <w:t>184,856,541</w:t>
            </w:r>
            <w:r>
              <w:rPr>
                <w:rFonts w:ascii="Arial"/>
                <w:spacing w:val="-1"/>
                <w:sz w:val="20"/>
              </w:rPr>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34"/>
              <w:jc w:val="right"/>
              <w:rPr>
                <w:rFonts w:ascii="Arial" w:hAnsi="Arial" w:cs="Arial" w:eastAsia="Arial" w:hint="default"/>
                <w:sz w:val="20"/>
                <w:szCs w:val="20"/>
              </w:rPr>
            </w:pPr>
            <w:r>
              <w:rPr>
                <w:rFonts w:ascii="Arial"/>
                <w:w w:val="100"/>
                <w:sz w:val="20"/>
              </w:rPr>
            </w:r>
            <w:r>
              <w:rPr>
                <w:rFonts w:ascii="Arial"/>
                <w:spacing w:val="-1"/>
                <w:sz w:val="20"/>
                <w:u w:val="thick" w:color="000000"/>
              </w:rPr>
              <w:t>110,690,706</w:t>
            </w:r>
            <w:r>
              <w:rPr>
                <w:rFonts w:ascii="Arial"/>
                <w:spacing w:val="-1"/>
                <w:sz w:val="20"/>
              </w:rPr>
            </w:r>
          </w:p>
        </w:tc>
      </w:tr>
      <w:tr>
        <w:trPr>
          <w:trHeight w:val="444" w:hRule="exact"/>
        </w:trPr>
        <w:tc>
          <w:tcPr>
            <w:tcW w:w="598"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 w:right="0"/>
              <w:jc w:val="left"/>
              <w:rPr>
                <w:rFonts w:ascii="黑体" w:hAnsi="黑体" w:cs="黑体" w:eastAsia="黑体" w:hint="default"/>
                <w:sz w:val="20"/>
                <w:szCs w:val="20"/>
              </w:rPr>
            </w:pPr>
            <w:r>
              <w:rPr>
                <w:rFonts w:ascii="Arial" w:hAnsi="Arial" w:cs="Arial" w:eastAsia="Arial" w:hint="default"/>
                <w:b/>
                <w:bCs/>
                <w:sz w:val="20"/>
                <w:szCs w:val="20"/>
              </w:rPr>
              <w:t>24</w:t>
            </w:r>
            <w:r>
              <w:rPr>
                <w:rFonts w:ascii="黑体" w:hAnsi="黑体" w:cs="黑体" w:eastAsia="黑体" w:hint="default"/>
                <w:b/>
                <w:bCs/>
                <w:sz w:val="20"/>
                <w:szCs w:val="20"/>
              </w:rPr>
              <w:t>．</w:t>
            </w:r>
            <w:r>
              <w:rPr>
                <w:rFonts w:ascii="黑体" w:hAnsi="黑体" w:cs="黑体" w:eastAsia="黑体" w:hint="default"/>
                <w:sz w:val="20"/>
                <w:szCs w:val="20"/>
              </w:rPr>
            </w:r>
          </w:p>
        </w:tc>
        <w:tc>
          <w:tcPr>
            <w:tcW w:w="3836"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60" w:right="0"/>
              <w:jc w:val="left"/>
              <w:rPr>
                <w:rFonts w:ascii="黑体" w:hAnsi="黑体" w:cs="黑体" w:eastAsia="黑体" w:hint="default"/>
                <w:sz w:val="20"/>
                <w:szCs w:val="20"/>
              </w:rPr>
            </w:pPr>
            <w:r>
              <w:rPr>
                <w:rFonts w:ascii="黑体" w:hAnsi="黑体" w:cs="黑体" w:eastAsia="黑体" w:hint="default"/>
                <w:b/>
                <w:bCs/>
                <w:sz w:val="20"/>
                <w:szCs w:val="20"/>
              </w:rPr>
              <w:t>应付股利</w:t>
            </w:r>
            <w:r>
              <w:rPr>
                <w:rFonts w:ascii="黑体" w:hAnsi="黑体" w:cs="黑体" w:eastAsia="黑体" w:hint="default"/>
                <w:sz w:val="20"/>
                <w:szCs w:val="20"/>
              </w:rPr>
            </w:r>
          </w:p>
        </w:tc>
        <w:tc>
          <w:tcPr>
            <w:tcW w:w="2382" w:type="dxa"/>
            <w:tcBorders>
              <w:top w:val="nil" w:sz="6" w:space="0" w:color="auto"/>
              <w:left w:val="nil" w:sz="6" w:space="0" w:color="auto"/>
              <w:bottom w:val="nil" w:sz="6" w:space="0" w:color="auto"/>
              <w:right w:val="nil" w:sz="6" w:space="0" w:color="auto"/>
            </w:tcBorders>
          </w:tcPr>
          <w:p>
            <w:pPr/>
          </w:p>
        </w:tc>
        <w:tc>
          <w:tcPr>
            <w:tcW w:w="1732"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Times New Roman" w:hAnsi="Times New Roman" w:cs="Times New Roman" w:eastAsia="Times New Roman" w:hint="default"/>
          <w:sz w:val="8"/>
          <w:szCs w:val="8"/>
        </w:rPr>
      </w:pPr>
    </w:p>
    <w:p>
      <w:pPr>
        <w:pStyle w:val="BodyText"/>
        <w:spacing w:line="261" w:lineRule="auto" w:before="38"/>
        <w:ind w:left="856" w:right="152" w:hanging="1"/>
        <w:jc w:val="both"/>
      </w:pPr>
      <w:r>
        <w:rPr>
          <w:spacing w:val="-3"/>
        </w:rPr>
        <w:t>于</w:t>
      </w:r>
      <w:r>
        <w:rPr>
          <w:rFonts w:ascii="Arial" w:hAnsi="Arial" w:cs="Arial" w:eastAsia="Arial" w:hint="default"/>
          <w:spacing w:val="-3"/>
        </w:rPr>
        <w:t>2009</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日，本账户余额主要为本公司之子公司方正春元于</w:t>
      </w:r>
      <w:r>
        <w:rPr>
          <w:rFonts w:ascii="Arial" w:hAnsi="Arial" w:cs="Arial" w:eastAsia="Arial" w:hint="default"/>
          <w:spacing w:val="-3"/>
        </w:rPr>
        <w:t>2008</w:t>
      </w:r>
      <w:r>
        <w:rPr>
          <w:spacing w:val="-3"/>
        </w:rPr>
        <w:t>年</w:t>
      </w:r>
      <w:r>
        <w:rPr>
          <w:rFonts w:ascii="Arial" w:hAnsi="Arial" w:cs="Arial" w:eastAsia="Arial" w:hint="default"/>
          <w:spacing w:val="-3"/>
        </w:rPr>
        <w:t>11</w:t>
      </w:r>
      <w:r>
        <w:rPr>
          <w:spacing w:val="-3"/>
        </w:rPr>
        <w:t>月</w:t>
      </w:r>
      <w:r>
        <w:rPr>
          <w:rFonts w:ascii="Arial" w:hAnsi="Arial" w:cs="Arial" w:eastAsia="Arial" w:hint="default"/>
          <w:spacing w:val="-3"/>
        </w:rPr>
        <w:t>7</w:t>
      </w:r>
      <w:r>
        <w:rPr>
          <w:spacing w:val="-3"/>
        </w:rPr>
        <w:t>日之前利</w:t>
      </w:r>
      <w:r>
        <w:rPr>
          <w:spacing w:val="-49"/>
        </w:rPr>
        <w:t> </w:t>
      </w:r>
      <w:r>
        <w:rPr/>
        <w:t>润分配方案中尚未向少数股东支付的现金股利人民币</w:t>
      </w:r>
      <w:r>
        <w:rPr>
          <w:rFonts w:ascii="Arial" w:hAnsi="Arial" w:cs="Arial" w:eastAsia="Arial" w:hint="default"/>
        </w:rPr>
        <w:t>312,500</w:t>
      </w:r>
      <w:r>
        <w:rPr/>
        <w:t>元，本公司之子公司用友政</w:t>
      </w:r>
      <w:r>
        <w:rPr>
          <w:spacing w:val="-40"/>
        </w:rPr>
        <w:t> </w:t>
      </w:r>
      <w:r>
        <w:rPr>
          <w:spacing w:val="-40"/>
        </w:rPr>
      </w:r>
      <w:r>
        <w:rPr>
          <w:spacing w:val="2"/>
        </w:rPr>
        <w:t>务于</w:t>
      </w:r>
      <w:r>
        <w:rPr>
          <w:rFonts w:ascii="Arial" w:hAnsi="Arial" w:cs="Arial" w:eastAsia="Arial" w:hint="default"/>
          <w:spacing w:val="2"/>
        </w:rPr>
        <w:t>2009</w:t>
      </w:r>
      <w:r>
        <w:rPr>
          <w:spacing w:val="2"/>
        </w:rPr>
        <w:t>年</w:t>
      </w:r>
      <w:r>
        <w:rPr>
          <w:rFonts w:ascii="Arial" w:hAnsi="Arial" w:cs="Arial" w:eastAsia="Arial" w:hint="default"/>
          <w:spacing w:val="2"/>
        </w:rPr>
        <w:t>6</w:t>
      </w:r>
      <w:r>
        <w:rPr>
          <w:spacing w:val="2"/>
        </w:rPr>
        <w:t>月</w:t>
      </w:r>
      <w:r>
        <w:rPr>
          <w:rFonts w:ascii="Arial" w:hAnsi="Arial" w:cs="Arial" w:eastAsia="Arial" w:hint="default"/>
          <w:spacing w:val="2"/>
        </w:rPr>
        <w:t>11</w:t>
      </w:r>
      <w:r>
        <w:rPr>
          <w:spacing w:val="2"/>
        </w:rPr>
        <w:t>日进行的</w:t>
      </w:r>
      <w:r>
        <w:rPr>
          <w:rFonts w:ascii="Arial" w:hAnsi="Arial" w:cs="Arial" w:eastAsia="Arial" w:hint="default"/>
          <w:spacing w:val="2"/>
        </w:rPr>
        <w:t>2008</w:t>
      </w:r>
      <w:r>
        <w:rPr>
          <w:spacing w:val="2"/>
        </w:rPr>
        <w:t>年度利润分配方案中尚未向少数股东支付的现金股利人</w:t>
      </w:r>
      <w:r>
        <w:rPr>
          <w:spacing w:val="-45"/>
        </w:rPr>
        <w:t> </w:t>
      </w:r>
      <w:r>
        <w:rPr>
          <w:spacing w:val="-45"/>
        </w:rPr>
      </w:r>
      <w:r>
        <w:rPr/>
        <w:t>民币</w:t>
      </w:r>
      <w:r>
        <w:rPr>
          <w:rFonts w:ascii="Arial" w:hAnsi="Arial" w:cs="Arial" w:eastAsia="Arial" w:hint="default"/>
        </w:rPr>
        <w:t>3,794,958</w:t>
      </w:r>
      <w:r>
        <w:rPr/>
        <w:t>元，参见附注五、</w:t>
      </w:r>
      <w:r>
        <w:rPr>
          <w:rFonts w:ascii="Arial" w:hAnsi="Arial" w:cs="Arial" w:eastAsia="Arial" w:hint="default"/>
        </w:rPr>
        <w:t>31</w:t>
      </w:r>
      <w:r>
        <w:rPr/>
        <w:t>、注</w:t>
      </w:r>
      <w:r>
        <w:rPr>
          <w:rFonts w:ascii="Arial" w:hAnsi="Arial" w:cs="Arial" w:eastAsia="Arial" w:hint="default"/>
        </w:rPr>
        <w:t>2</w:t>
      </w:r>
      <w:r>
        <w:rPr/>
        <w:t>。</w:t>
      </w:r>
    </w:p>
    <w:p>
      <w:pPr>
        <w:spacing w:line="240" w:lineRule="auto" w:before="12"/>
        <w:rPr>
          <w:rFonts w:ascii="黑体" w:hAnsi="黑体" w:cs="黑体" w:eastAsia="黑体" w:hint="default"/>
          <w:sz w:val="17"/>
          <w:szCs w:val="17"/>
        </w:rPr>
      </w:pPr>
    </w:p>
    <w:p>
      <w:pPr>
        <w:pStyle w:val="BodyText"/>
        <w:spacing w:line="261" w:lineRule="auto"/>
        <w:ind w:left="856" w:right="153" w:hanging="1"/>
        <w:jc w:val="both"/>
      </w:pPr>
      <w:r>
        <w:rPr/>
        <w:t>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日，本账户余额主要为本公司之子公司方正春元于被收购日，即</w:t>
      </w:r>
      <w:r>
        <w:rPr>
          <w:rFonts w:ascii="Arial" w:hAnsi="Arial" w:cs="Arial" w:eastAsia="Arial" w:hint="default"/>
        </w:rPr>
        <w:t>2008</w:t>
      </w:r>
      <w:r>
        <w:rPr/>
        <w:t>年</w:t>
      </w:r>
      <w:r>
        <w:rPr>
          <w:spacing w:val="-52"/>
        </w:rPr>
        <w:t> </w:t>
      </w:r>
      <w:r>
        <w:rPr>
          <w:rFonts w:ascii="Arial" w:hAnsi="Arial" w:cs="Arial" w:eastAsia="Arial" w:hint="default"/>
          <w:spacing w:val="-2"/>
        </w:rPr>
        <w:t>11</w:t>
      </w:r>
      <w:r>
        <w:rPr>
          <w:spacing w:val="-2"/>
        </w:rPr>
        <w:t>月</w:t>
      </w:r>
      <w:r>
        <w:rPr>
          <w:rFonts w:ascii="Arial" w:hAnsi="Arial" w:cs="Arial" w:eastAsia="Arial" w:hint="default"/>
          <w:spacing w:val="-2"/>
        </w:rPr>
        <w:t>7</w:t>
      </w:r>
      <w:r>
        <w:rPr>
          <w:spacing w:val="-2"/>
        </w:rPr>
        <w:t>日之前利润分配方案中尚未向原股东支付的现金股利人民币</w:t>
      </w:r>
      <w:r>
        <w:rPr>
          <w:rFonts w:ascii="Arial" w:hAnsi="Arial" w:cs="Arial" w:eastAsia="Arial" w:hint="default"/>
          <w:spacing w:val="-2"/>
        </w:rPr>
        <w:t>8,612,500</w:t>
      </w:r>
      <w:r>
        <w:rPr>
          <w:spacing w:val="-2"/>
        </w:rPr>
        <w:t>元，和本公司</w:t>
      </w:r>
      <w:r>
        <w:rPr>
          <w:spacing w:val="-51"/>
        </w:rPr>
        <w:t> </w:t>
      </w:r>
      <w:r>
        <w:rPr>
          <w:spacing w:val="-51"/>
        </w:rPr>
      </w:r>
      <w:r>
        <w:rPr/>
        <w:t>之子公司深圳用友科技应付少数股东金额人民币</w:t>
      </w:r>
      <w:r>
        <w:rPr>
          <w:rFonts w:ascii="Arial" w:hAnsi="Arial" w:cs="Arial" w:eastAsia="Arial" w:hint="default"/>
        </w:rPr>
        <w:t>1,211,271</w:t>
      </w:r>
      <w:r>
        <w:rPr/>
        <w:t>元。</w:t>
      </w:r>
    </w:p>
    <w:p>
      <w:pPr>
        <w:spacing w:line="240" w:lineRule="auto" w:before="8"/>
        <w:rPr>
          <w:rFonts w:ascii="黑体" w:hAnsi="黑体" w:cs="黑体" w:eastAsia="黑体" w:hint="default"/>
          <w:sz w:val="12"/>
          <w:szCs w:val="12"/>
        </w:rPr>
      </w:pPr>
    </w:p>
    <w:tbl>
      <w:tblPr>
        <w:tblW w:w="0" w:type="auto"/>
        <w:jc w:val="left"/>
        <w:tblInd w:w="107" w:type="dxa"/>
        <w:tblLayout w:type="fixed"/>
        <w:tblCellMar>
          <w:top w:w="0" w:type="dxa"/>
          <w:left w:w="0" w:type="dxa"/>
          <w:bottom w:w="0" w:type="dxa"/>
          <w:right w:w="0" w:type="dxa"/>
        </w:tblCellMar>
        <w:tblLook w:val="01E0"/>
      </w:tblPr>
      <w:tblGrid>
        <w:gridCol w:w="4058"/>
        <w:gridCol w:w="2763"/>
        <w:gridCol w:w="1726"/>
      </w:tblGrid>
      <w:tr>
        <w:trPr>
          <w:trHeight w:val="804" w:hRule="exact"/>
        </w:trPr>
        <w:tc>
          <w:tcPr>
            <w:tcW w:w="4058" w:type="dxa"/>
            <w:tcBorders>
              <w:top w:val="nil" w:sz="6" w:space="0" w:color="auto"/>
              <w:left w:val="nil" w:sz="6" w:space="0" w:color="auto"/>
              <w:bottom w:val="nil" w:sz="6" w:space="0" w:color="auto"/>
              <w:right w:val="nil" w:sz="6" w:space="0" w:color="auto"/>
            </w:tcBorders>
          </w:tcPr>
          <w:p>
            <w:pPr>
              <w:pStyle w:val="TableParagraph"/>
              <w:tabs>
                <w:tab w:pos="733" w:val="left" w:leader="none"/>
              </w:tabs>
              <w:spacing w:line="240" w:lineRule="auto" w:before="38"/>
              <w:ind w:left="35" w:right="0"/>
              <w:jc w:val="left"/>
              <w:rPr>
                <w:rFonts w:ascii="黑体" w:hAnsi="黑体" w:cs="黑体" w:eastAsia="黑体" w:hint="default"/>
                <w:sz w:val="20"/>
                <w:szCs w:val="20"/>
              </w:rPr>
            </w:pPr>
            <w:r>
              <w:rPr>
                <w:rFonts w:ascii="Arial" w:hAnsi="Arial" w:cs="Arial" w:eastAsia="Arial" w:hint="default"/>
                <w:b/>
                <w:bCs/>
                <w:spacing w:val="-1"/>
                <w:sz w:val="20"/>
                <w:szCs w:val="20"/>
              </w:rPr>
              <w:t>25.</w:t>
              <w:tab/>
            </w:r>
            <w:r>
              <w:rPr>
                <w:rFonts w:ascii="黑体" w:hAnsi="黑体" w:cs="黑体" w:eastAsia="黑体" w:hint="default"/>
                <w:b/>
                <w:bCs/>
                <w:sz w:val="20"/>
                <w:szCs w:val="20"/>
              </w:rPr>
              <w:t>其他应付款</w:t>
            </w:r>
            <w:r>
              <w:rPr>
                <w:rFonts w:ascii="黑体" w:hAnsi="黑体" w:cs="黑体" w:eastAsia="黑体" w:hint="default"/>
                <w:sz w:val="20"/>
                <w:szCs w:val="20"/>
              </w:rPr>
            </w:r>
          </w:p>
        </w:tc>
        <w:tc>
          <w:tcPr>
            <w:tcW w:w="276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5"/>
              <w:ind w:right="0"/>
              <w:jc w:val="left"/>
              <w:rPr>
                <w:rFonts w:ascii="黑体" w:hAnsi="黑体" w:cs="黑体" w:eastAsia="黑体" w:hint="default"/>
                <w:sz w:val="19"/>
                <w:szCs w:val="19"/>
              </w:rPr>
            </w:pPr>
          </w:p>
          <w:p>
            <w:pPr>
              <w:pStyle w:val="TableParagraph"/>
              <w:spacing w:line="240" w:lineRule="auto"/>
              <w:ind w:right="576"/>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5"/>
              <w:ind w:right="0"/>
              <w:jc w:val="left"/>
              <w:rPr>
                <w:rFonts w:ascii="黑体" w:hAnsi="黑体" w:cs="黑体" w:eastAsia="黑体" w:hint="default"/>
                <w:sz w:val="19"/>
                <w:szCs w:val="19"/>
              </w:rPr>
            </w:pPr>
          </w:p>
          <w:p>
            <w:pPr>
              <w:pStyle w:val="TableParagraph"/>
              <w:spacing w:line="240" w:lineRule="auto"/>
              <w:ind w:right="33"/>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355" w:hRule="exact"/>
        </w:trPr>
        <w:tc>
          <w:tcPr>
            <w:tcW w:w="4058" w:type="dxa"/>
            <w:tcBorders>
              <w:top w:val="nil" w:sz="6" w:space="0" w:color="auto"/>
              <w:left w:val="nil" w:sz="6" w:space="0" w:color="auto"/>
              <w:bottom w:val="nil" w:sz="6" w:space="0" w:color="auto"/>
              <w:right w:val="nil" w:sz="6" w:space="0" w:color="auto"/>
            </w:tcBorders>
          </w:tcPr>
          <w:p>
            <w:pPr/>
          </w:p>
        </w:tc>
        <w:tc>
          <w:tcPr>
            <w:tcW w:w="2763" w:type="dxa"/>
            <w:tcBorders>
              <w:top w:val="nil" w:sz="6" w:space="0" w:color="auto"/>
              <w:left w:val="nil" w:sz="6" w:space="0" w:color="auto"/>
              <w:bottom w:val="nil" w:sz="6" w:space="0" w:color="auto"/>
              <w:right w:val="nil" w:sz="6" w:space="0" w:color="auto"/>
            </w:tcBorders>
          </w:tcPr>
          <w:p>
            <w:pPr>
              <w:pStyle w:val="TableParagraph"/>
              <w:spacing w:line="233" w:lineRule="exact"/>
              <w:ind w:right="576"/>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1726" w:type="dxa"/>
            <w:tcBorders>
              <w:top w:val="nil" w:sz="6" w:space="0" w:color="auto"/>
              <w:left w:val="nil" w:sz="6" w:space="0" w:color="auto"/>
              <w:bottom w:val="nil" w:sz="6" w:space="0" w:color="auto"/>
              <w:right w:val="nil" w:sz="6" w:space="0" w:color="auto"/>
            </w:tcBorders>
          </w:tcPr>
          <w:p>
            <w:pPr>
              <w:pStyle w:val="TableParagraph"/>
              <w:spacing w:line="233" w:lineRule="exact"/>
              <w:ind w:right="33"/>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r>
      <w:tr>
        <w:trPr>
          <w:trHeight w:val="355" w:hRule="exact"/>
        </w:trPr>
        <w:tc>
          <w:tcPr>
            <w:tcW w:w="4058" w:type="dxa"/>
            <w:tcBorders>
              <w:top w:val="nil" w:sz="6" w:space="0" w:color="auto"/>
              <w:left w:val="nil" w:sz="6" w:space="0" w:color="auto"/>
              <w:bottom w:val="nil" w:sz="6" w:space="0" w:color="auto"/>
              <w:right w:val="nil" w:sz="6" w:space="0" w:color="auto"/>
            </w:tcBorders>
          </w:tcPr>
          <w:p>
            <w:pPr>
              <w:pStyle w:val="TableParagraph"/>
              <w:spacing w:line="240" w:lineRule="auto" w:before="66"/>
              <w:ind w:left="743" w:right="0"/>
              <w:jc w:val="left"/>
              <w:rPr>
                <w:rFonts w:ascii="黑体" w:hAnsi="黑体" w:cs="黑体" w:eastAsia="黑体" w:hint="default"/>
                <w:sz w:val="20"/>
                <w:szCs w:val="20"/>
              </w:rPr>
            </w:pPr>
            <w:r>
              <w:rPr>
                <w:rFonts w:ascii="黑体" w:hAnsi="黑体" w:cs="黑体" w:eastAsia="黑体" w:hint="default"/>
                <w:sz w:val="20"/>
                <w:szCs w:val="20"/>
              </w:rPr>
              <w:t>押金</w:t>
            </w:r>
          </w:p>
        </w:tc>
        <w:tc>
          <w:tcPr>
            <w:tcW w:w="276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578"/>
              <w:jc w:val="right"/>
              <w:rPr>
                <w:rFonts w:ascii="Arial" w:hAnsi="Arial" w:cs="Arial" w:eastAsia="Arial" w:hint="default"/>
                <w:sz w:val="20"/>
                <w:szCs w:val="20"/>
              </w:rPr>
            </w:pPr>
            <w:r>
              <w:rPr>
                <w:rFonts w:ascii="Arial"/>
                <w:spacing w:val="-1"/>
                <w:sz w:val="20"/>
              </w:rPr>
              <w:t>6,554,853</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Arial" w:hAnsi="Arial" w:cs="Arial" w:eastAsia="Arial" w:hint="default"/>
                <w:sz w:val="20"/>
                <w:szCs w:val="20"/>
              </w:rPr>
            </w:pPr>
            <w:r>
              <w:rPr>
                <w:rFonts w:ascii="Arial"/>
                <w:spacing w:val="-1"/>
                <w:sz w:val="20"/>
              </w:rPr>
              <w:t>5,325,328</w:t>
            </w:r>
          </w:p>
        </w:tc>
      </w:tr>
      <w:tr>
        <w:trPr>
          <w:trHeight w:val="247" w:hRule="exact"/>
        </w:trPr>
        <w:tc>
          <w:tcPr>
            <w:tcW w:w="4058" w:type="dxa"/>
            <w:tcBorders>
              <w:top w:val="nil" w:sz="6" w:space="0" w:color="auto"/>
              <w:left w:val="nil" w:sz="6" w:space="0" w:color="auto"/>
              <w:bottom w:val="nil" w:sz="6" w:space="0" w:color="auto"/>
              <w:right w:val="nil" w:sz="6" w:space="0" w:color="auto"/>
            </w:tcBorders>
          </w:tcPr>
          <w:p>
            <w:pPr>
              <w:pStyle w:val="TableParagraph"/>
              <w:spacing w:line="221" w:lineRule="exact"/>
              <w:ind w:left="743" w:right="0"/>
              <w:jc w:val="left"/>
              <w:rPr>
                <w:rFonts w:ascii="黑体" w:hAnsi="黑体" w:cs="黑体" w:eastAsia="黑体" w:hint="default"/>
                <w:sz w:val="20"/>
                <w:szCs w:val="20"/>
              </w:rPr>
            </w:pPr>
            <w:r>
              <w:rPr>
                <w:rFonts w:ascii="黑体" w:hAnsi="黑体" w:cs="黑体" w:eastAsia="黑体" w:hint="default"/>
                <w:sz w:val="20"/>
                <w:szCs w:val="20"/>
              </w:rPr>
              <w:t>广告费</w:t>
            </w:r>
          </w:p>
        </w:tc>
        <w:tc>
          <w:tcPr>
            <w:tcW w:w="276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577"/>
              <w:jc w:val="right"/>
              <w:rPr>
                <w:rFonts w:ascii="Arial" w:hAnsi="Arial" w:cs="Arial" w:eastAsia="Arial" w:hint="default"/>
                <w:sz w:val="20"/>
                <w:szCs w:val="20"/>
              </w:rPr>
            </w:pPr>
            <w:r>
              <w:rPr>
                <w:rFonts w:ascii="Arial"/>
                <w:spacing w:val="-1"/>
                <w:sz w:val="20"/>
              </w:rPr>
              <w:t>115,113</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4"/>
              <w:jc w:val="right"/>
              <w:rPr>
                <w:rFonts w:ascii="Arial" w:hAnsi="Arial" w:cs="Arial" w:eastAsia="Arial" w:hint="default"/>
                <w:sz w:val="20"/>
                <w:szCs w:val="20"/>
              </w:rPr>
            </w:pPr>
            <w:r>
              <w:rPr>
                <w:rFonts w:ascii="Arial"/>
                <w:sz w:val="20"/>
              </w:rPr>
              <w:t>34,321</w:t>
            </w:r>
          </w:p>
        </w:tc>
      </w:tr>
      <w:tr>
        <w:trPr>
          <w:trHeight w:val="246" w:hRule="exact"/>
        </w:trPr>
        <w:tc>
          <w:tcPr>
            <w:tcW w:w="4058" w:type="dxa"/>
            <w:tcBorders>
              <w:top w:val="nil" w:sz="6" w:space="0" w:color="auto"/>
              <w:left w:val="nil" w:sz="6" w:space="0" w:color="auto"/>
              <w:bottom w:val="nil" w:sz="6" w:space="0" w:color="auto"/>
              <w:right w:val="nil" w:sz="6" w:space="0" w:color="auto"/>
            </w:tcBorders>
          </w:tcPr>
          <w:p>
            <w:pPr>
              <w:pStyle w:val="TableParagraph"/>
              <w:spacing w:line="220" w:lineRule="exact"/>
              <w:ind w:left="743" w:right="0"/>
              <w:jc w:val="left"/>
              <w:rPr>
                <w:rFonts w:ascii="黑体" w:hAnsi="黑体" w:cs="黑体" w:eastAsia="黑体" w:hint="default"/>
                <w:sz w:val="20"/>
                <w:szCs w:val="20"/>
              </w:rPr>
            </w:pPr>
            <w:r>
              <w:rPr>
                <w:rFonts w:ascii="黑体" w:hAnsi="黑体" w:cs="黑体" w:eastAsia="黑体" w:hint="default"/>
                <w:sz w:val="20"/>
                <w:szCs w:val="20"/>
              </w:rPr>
              <w:t>房租</w:t>
            </w:r>
          </w:p>
        </w:tc>
        <w:tc>
          <w:tcPr>
            <w:tcW w:w="2763" w:type="dxa"/>
            <w:tcBorders>
              <w:top w:val="nil" w:sz="6" w:space="0" w:color="auto"/>
              <w:left w:val="nil" w:sz="6" w:space="0" w:color="auto"/>
              <w:bottom w:val="nil" w:sz="6" w:space="0" w:color="auto"/>
              <w:right w:val="nil" w:sz="6" w:space="0" w:color="auto"/>
            </w:tcBorders>
          </w:tcPr>
          <w:p>
            <w:pPr>
              <w:pStyle w:val="TableParagraph"/>
              <w:spacing w:line="240" w:lineRule="auto"/>
              <w:ind w:right="577"/>
              <w:jc w:val="right"/>
              <w:rPr>
                <w:rFonts w:ascii="Arial" w:hAnsi="Arial" w:cs="Arial" w:eastAsia="Arial" w:hint="default"/>
                <w:sz w:val="20"/>
                <w:szCs w:val="20"/>
              </w:rPr>
            </w:pPr>
            <w:r>
              <w:rPr>
                <w:rFonts w:ascii="Arial"/>
                <w:spacing w:val="-1"/>
                <w:sz w:val="20"/>
              </w:rPr>
              <w:t>293,661</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ind w:right="34"/>
              <w:jc w:val="right"/>
              <w:rPr>
                <w:rFonts w:ascii="Arial" w:hAnsi="Arial" w:cs="Arial" w:eastAsia="Arial" w:hint="default"/>
                <w:sz w:val="20"/>
                <w:szCs w:val="20"/>
              </w:rPr>
            </w:pPr>
            <w:r>
              <w:rPr>
                <w:rFonts w:ascii="Arial"/>
                <w:spacing w:val="-1"/>
                <w:sz w:val="20"/>
              </w:rPr>
              <w:t>240,692</w:t>
            </w:r>
          </w:p>
        </w:tc>
      </w:tr>
      <w:tr>
        <w:trPr>
          <w:trHeight w:val="248" w:hRule="exact"/>
        </w:trPr>
        <w:tc>
          <w:tcPr>
            <w:tcW w:w="4058" w:type="dxa"/>
            <w:tcBorders>
              <w:top w:val="nil" w:sz="6" w:space="0" w:color="auto"/>
              <w:left w:val="nil" w:sz="6" w:space="0" w:color="auto"/>
              <w:bottom w:val="nil" w:sz="6" w:space="0" w:color="auto"/>
              <w:right w:val="nil" w:sz="6" w:space="0" w:color="auto"/>
            </w:tcBorders>
          </w:tcPr>
          <w:p>
            <w:pPr>
              <w:pStyle w:val="TableParagraph"/>
              <w:spacing w:line="234" w:lineRule="exact"/>
              <w:ind w:left="743" w:right="0"/>
              <w:jc w:val="left"/>
              <w:rPr>
                <w:rFonts w:ascii="Arial" w:hAnsi="Arial" w:cs="Arial" w:eastAsia="Arial" w:hint="default"/>
                <w:sz w:val="20"/>
                <w:szCs w:val="20"/>
              </w:rPr>
            </w:pPr>
            <w:r>
              <w:rPr>
                <w:rFonts w:ascii="黑体" w:hAnsi="黑体" w:cs="黑体" w:eastAsia="黑体" w:hint="default"/>
                <w:sz w:val="20"/>
                <w:szCs w:val="20"/>
              </w:rPr>
              <w:t>应付软件园建设款</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p>
        </w:tc>
        <w:tc>
          <w:tcPr>
            <w:tcW w:w="2763" w:type="dxa"/>
            <w:tcBorders>
              <w:top w:val="nil" w:sz="6" w:space="0" w:color="auto"/>
              <w:left w:val="nil" w:sz="6" w:space="0" w:color="auto"/>
              <w:bottom w:val="nil" w:sz="6" w:space="0" w:color="auto"/>
              <w:right w:val="nil" w:sz="6" w:space="0" w:color="auto"/>
            </w:tcBorders>
          </w:tcPr>
          <w:p>
            <w:pPr>
              <w:pStyle w:val="TableParagraph"/>
              <w:spacing w:line="240" w:lineRule="auto"/>
              <w:ind w:right="577"/>
              <w:jc w:val="right"/>
              <w:rPr>
                <w:rFonts w:ascii="Arial" w:hAnsi="Arial" w:cs="Arial" w:eastAsia="Arial" w:hint="default"/>
                <w:sz w:val="20"/>
                <w:szCs w:val="20"/>
              </w:rPr>
            </w:pPr>
            <w:r>
              <w:rPr>
                <w:rFonts w:ascii="Arial"/>
                <w:spacing w:val="-1"/>
                <w:sz w:val="20"/>
              </w:rPr>
              <w:t>11,092,876</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ind w:right="34"/>
              <w:jc w:val="right"/>
              <w:rPr>
                <w:rFonts w:ascii="Arial" w:hAnsi="Arial" w:cs="Arial" w:eastAsia="Arial" w:hint="default"/>
                <w:sz w:val="20"/>
                <w:szCs w:val="20"/>
              </w:rPr>
            </w:pPr>
            <w:r>
              <w:rPr>
                <w:rFonts w:ascii="Arial"/>
                <w:spacing w:val="-1"/>
                <w:sz w:val="20"/>
              </w:rPr>
              <w:t>29,366,818</w:t>
            </w:r>
          </w:p>
        </w:tc>
      </w:tr>
      <w:tr>
        <w:trPr>
          <w:trHeight w:val="247" w:hRule="exact"/>
        </w:trPr>
        <w:tc>
          <w:tcPr>
            <w:tcW w:w="4058" w:type="dxa"/>
            <w:tcBorders>
              <w:top w:val="nil" w:sz="6" w:space="0" w:color="auto"/>
              <w:left w:val="nil" w:sz="6" w:space="0" w:color="auto"/>
              <w:bottom w:val="nil" w:sz="6" w:space="0" w:color="auto"/>
              <w:right w:val="nil" w:sz="6" w:space="0" w:color="auto"/>
            </w:tcBorders>
          </w:tcPr>
          <w:p>
            <w:pPr>
              <w:pStyle w:val="TableParagraph"/>
              <w:spacing w:line="234" w:lineRule="exact"/>
              <w:ind w:left="743" w:right="0"/>
              <w:jc w:val="left"/>
              <w:rPr>
                <w:rFonts w:ascii="Arial" w:hAnsi="Arial" w:cs="Arial" w:eastAsia="Arial" w:hint="default"/>
                <w:sz w:val="20"/>
                <w:szCs w:val="20"/>
              </w:rPr>
            </w:pPr>
            <w:r>
              <w:rPr>
                <w:rFonts w:ascii="黑体" w:hAnsi="黑体" w:cs="黑体" w:eastAsia="黑体" w:hint="default"/>
                <w:sz w:val="20"/>
                <w:szCs w:val="20"/>
              </w:rPr>
              <w:t>应付土地开发建设费</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2)</w:t>
            </w:r>
          </w:p>
        </w:tc>
        <w:tc>
          <w:tcPr>
            <w:tcW w:w="2763" w:type="dxa"/>
            <w:tcBorders>
              <w:top w:val="nil" w:sz="6" w:space="0" w:color="auto"/>
              <w:left w:val="nil" w:sz="6" w:space="0" w:color="auto"/>
              <w:bottom w:val="nil" w:sz="6" w:space="0" w:color="auto"/>
              <w:right w:val="nil" w:sz="6" w:space="0" w:color="auto"/>
            </w:tcBorders>
          </w:tcPr>
          <w:p>
            <w:pPr>
              <w:pStyle w:val="TableParagraph"/>
              <w:spacing w:line="240" w:lineRule="auto"/>
              <w:ind w:right="577"/>
              <w:jc w:val="right"/>
              <w:rPr>
                <w:rFonts w:ascii="Arial" w:hAnsi="Arial" w:cs="Arial" w:eastAsia="Arial" w:hint="default"/>
                <w:sz w:val="20"/>
                <w:szCs w:val="20"/>
              </w:rPr>
            </w:pPr>
            <w:r>
              <w:rPr>
                <w:rFonts w:ascii="Arial"/>
                <w:spacing w:val="-1"/>
                <w:sz w:val="20"/>
              </w:rPr>
              <w:t>89,596,620</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ind w:right="34"/>
              <w:jc w:val="right"/>
              <w:rPr>
                <w:rFonts w:ascii="Arial" w:hAnsi="Arial" w:cs="Arial" w:eastAsia="Arial" w:hint="default"/>
                <w:sz w:val="20"/>
                <w:szCs w:val="20"/>
              </w:rPr>
            </w:pPr>
            <w:r>
              <w:rPr>
                <w:rFonts w:ascii="Arial"/>
                <w:spacing w:val="-1"/>
                <w:sz w:val="20"/>
              </w:rPr>
              <w:t>89,596,620</w:t>
            </w:r>
          </w:p>
        </w:tc>
      </w:tr>
      <w:tr>
        <w:trPr>
          <w:trHeight w:val="246" w:hRule="exact"/>
        </w:trPr>
        <w:tc>
          <w:tcPr>
            <w:tcW w:w="4058" w:type="dxa"/>
            <w:tcBorders>
              <w:top w:val="nil" w:sz="6" w:space="0" w:color="auto"/>
              <w:left w:val="nil" w:sz="6" w:space="0" w:color="auto"/>
              <w:bottom w:val="nil" w:sz="6" w:space="0" w:color="auto"/>
              <w:right w:val="nil" w:sz="6" w:space="0" w:color="auto"/>
            </w:tcBorders>
          </w:tcPr>
          <w:p>
            <w:pPr>
              <w:pStyle w:val="TableParagraph"/>
              <w:spacing w:line="233" w:lineRule="exact"/>
              <w:ind w:left="743" w:right="0"/>
              <w:jc w:val="left"/>
              <w:rPr>
                <w:rFonts w:ascii="Arial" w:hAnsi="Arial" w:cs="Arial" w:eastAsia="Arial" w:hint="default"/>
                <w:sz w:val="20"/>
                <w:szCs w:val="20"/>
              </w:rPr>
            </w:pPr>
            <w:r>
              <w:rPr>
                <w:rFonts w:ascii="黑体" w:hAnsi="黑体" w:cs="黑体" w:eastAsia="黑体" w:hint="default"/>
                <w:sz w:val="20"/>
                <w:szCs w:val="20"/>
              </w:rPr>
              <w:t>资产业务收购款</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3)</w:t>
            </w:r>
          </w:p>
        </w:tc>
        <w:tc>
          <w:tcPr>
            <w:tcW w:w="2763" w:type="dxa"/>
            <w:tcBorders>
              <w:top w:val="nil" w:sz="6" w:space="0" w:color="auto"/>
              <w:left w:val="nil" w:sz="6" w:space="0" w:color="auto"/>
              <w:bottom w:val="nil" w:sz="6" w:space="0" w:color="auto"/>
              <w:right w:val="nil" w:sz="6" w:space="0" w:color="auto"/>
            </w:tcBorders>
          </w:tcPr>
          <w:p>
            <w:pPr>
              <w:pStyle w:val="TableParagraph"/>
              <w:spacing w:line="229" w:lineRule="exact"/>
              <w:ind w:right="577"/>
              <w:jc w:val="right"/>
              <w:rPr>
                <w:rFonts w:ascii="Arial" w:hAnsi="Arial" w:cs="Arial" w:eastAsia="Arial" w:hint="default"/>
                <w:sz w:val="20"/>
                <w:szCs w:val="20"/>
              </w:rPr>
            </w:pPr>
            <w:r>
              <w:rPr>
                <w:rFonts w:ascii="Arial"/>
                <w:spacing w:val="-1"/>
                <w:sz w:val="20"/>
              </w:rPr>
              <w:t>93,003,335</w:t>
            </w:r>
          </w:p>
        </w:tc>
        <w:tc>
          <w:tcPr>
            <w:tcW w:w="1726" w:type="dxa"/>
            <w:tcBorders>
              <w:top w:val="nil" w:sz="6" w:space="0" w:color="auto"/>
              <w:left w:val="nil" w:sz="6" w:space="0" w:color="auto"/>
              <w:bottom w:val="nil" w:sz="6" w:space="0" w:color="auto"/>
              <w:right w:val="nil" w:sz="6" w:space="0" w:color="auto"/>
            </w:tcBorders>
          </w:tcPr>
          <w:p>
            <w:pPr>
              <w:pStyle w:val="TableParagraph"/>
              <w:spacing w:line="229" w:lineRule="exact"/>
              <w:ind w:right="34"/>
              <w:jc w:val="right"/>
              <w:rPr>
                <w:rFonts w:ascii="Arial" w:hAnsi="Arial" w:cs="Arial" w:eastAsia="Arial" w:hint="default"/>
                <w:sz w:val="20"/>
                <w:szCs w:val="20"/>
              </w:rPr>
            </w:pPr>
            <w:r>
              <w:rPr>
                <w:rFonts w:ascii="Arial"/>
                <w:spacing w:val="-1"/>
                <w:sz w:val="20"/>
              </w:rPr>
              <w:t>25,400,000</w:t>
            </w:r>
          </w:p>
        </w:tc>
      </w:tr>
      <w:tr>
        <w:trPr>
          <w:trHeight w:val="247" w:hRule="exact"/>
        </w:trPr>
        <w:tc>
          <w:tcPr>
            <w:tcW w:w="4058" w:type="dxa"/>
            <w:tcBorders>
              <w:top w:val="nil" w:sz="6" w:space="0" w:color="auto"/>
              <w:left w:val="nil" w:sz="6" w:space="0" w:color="auto"/>
              <w:bottom w:val="nil" w:sz="6" w:space="0" w:color="auto"/>
              <w:right w:val="nil" w:sz="6" w:space="0" w:color="auto"/>
            </w:tcBorders>
          </w:tcPr>
          <w:p>
            <w:pPr>
              <w:pStyle w:val="TableParagraph"/>
              <w:spacing w:line="233" w:lineRule="exact"/>
              <w:ind w:left="743" w:right="0"/>
              <w:jc w:val="left"/>
              <w:rPr>
                <w:rFonts w:ascii="Arial" w:hAnsi="Arial" w:cs="Arial" w:eastAsia="Arial" w:hint="default"/>
                <w:sz w:val="20"/>
                <w:szCs w:val="20"/>
              </w:rPr>
            </w:pPr>
            <w:r>
              <w:rPr>
                <w:rFonts w:ascii="黑体" w:hAnsi="黑体" w:cs="黑体" w:eastAsia="黑体" w:hint="default"/>
                <w:sz w:val="20"/>
                <w:szCs w:val="20"/>
              </w:rPr>
              <w:t>股权收购款</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4)</w:t>
            </w:r>
          </w:p>
        </w:tc>
        <w:tc>
          <w:tcPr>
            <w:tcW w:w="2763" w:type="dxa"/>
            <w:tcBorders>
              <w:top w:val="nil" w:sz="6" w:space="0" w:color="auto"/>
              <w:left w:val="nil" w:sz="6" w:space="0" w:color="auto"/>
              <w:bottom w:val="nil" w:sz="6" w:space="0" w:color="auto"/>
              <w:right w:val="nil" w:sz="6" w:space="0" w:color="auto"/>
            </w:tcBorders>
          </w:tcPr>
          <w:p>
            <w:pPr>
              <w:pStyle w:val="TableParagraph"/>
              <w:spacing w:line="229" w:lineRule="exact"/>
              <w:ind w:right="576"/>
              <w:jc w:val="right"/>
              <w:rPr>
                <w:rFonts w:ascii="Arial" w:hAnsi="Arial" w:cs="Arial" w:eastAsia="Arial" w:hint="default"/>
                <w:sz w:val="20"/>
                <w:szCs w:val="20"/>
              </w:rPr>
            </w:pPr>
            <w:r>
              <w:rPr>
                <w:rFonts w:ascii="Arial"/>
                <w:spacing w:val="-1"/>
                <w:sz w:val="20"/>
              </w:rPr>
              <w:t>96,900,000</w:t>
            </w:r>
          </w:p>
        </w:tc>
        <w:tc>
          <w:tcPr>
            <w:tcW w:w="1726" w:type="dxa"/>
            <w:tcBorders>
              <w:top w:val="nil" w:sz="6" w:space="0" w:color="auto"/>
              <w:left w:val="nil" w:sz="6" w:space="0" w:color="auto"/>
              <w:bottom w:val="nil" w:sz="6" w:space="0" w:color="auto"/>
              <w:right w:val="nil" w:sz="6" w:space="0" w:color="auto"/>
            </w:tcBorders>
          </w:tcPr>
          <w:p>
            <w:pPr>
              <w:pStyle w:val="TableParagraph"/>
              <w:spacing w:line="229" w:lineRule="exact"/>
              <w:ind w:right="33"/>
              <w:jc w:val="right"/>
              <w:rPr>
                <w:rFonts w:ascii="Arial" w:hAnsi="Arial" w:cs="Arial" w:eastAsia="Arial" w:hint="default"/>
                <w:sz w:val="20"/>
                <w:szCs w:val="20"/>
              </w:rPr>
            </w:pPr>
            <w:r>
              <w:rPr>
                <w:rFonts w:ascii="Arial"/>
                <w:spacing w:val="-1"/>
                <w:sz w:val="20"/>
              </w:rPr>
              <w:t>161,500,000</w:t>
            </w:r>
          </w:p>
        </w:tc>
      </w:tr>
      <w:tr>
        <w:trPr>
          <w:trHeight w:val="355" w:hRule="exact"/>
        </w:trPr>
        <w:tc>
          <w:tcPr>
            <w:tcW w:w="4058" w:type="dxa"/>
            <w:tcBorders>
              <w:top w:val="nil" w:sz="6" w:space="0" w:color="auto"/>
              <w:left w:val="nil" w:sz="6" w:space="0" w:color="auto"/>
              <w:bottom w:val="nil" w:sz="6" w:space="0" w:color="auto"/>
              <w:right w:val="nil" w:sz="6" w:space="0" w:color="auto"/>
            </w:tcBorders>
          </w:tcPr>
          <w:p>
            <w:pPr>
              <w:pStyle w:val="TableParagraph"/>
              <w:spacing w:line="219" w:lineRule="exact"/>
              <w:ind w:left="743"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2763" w:type="dxa"/>
            <w:tcBorders>
              <w:top w:val="nil" w:sz="6" w:space="0" w:color="auto"/>
              <w:left w:val="nil" w:sz="6" w:space="0" w:color="auto"/>
              <w:bottom w:val="nil" w:sz="6" w:space="0" w:color="auto"/>
              <w:right w:val="nil" w:sz="6" w:space="0" w:color="auto"/>
            </w:tcBorders>
          </w:tcPr>
          <w:p>
            <w:pPr>
              <w:pStyle w:val="TableParagraph"/>
              <w:spacing w:line="240" w:lineRule="auto"/>
              <w:ind w:right="57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24,160,092</w:t>
            </w:r>
            <w:r>
              <w:rPr>
                <w:rFonts w:ascii="Arial"/>
                <w:spacing w:val="-1"/>
                <w:sz w:val="20"/>
              </w:rPr>
            </w:r>
          </w:p>
        </w:tc>
        <w:tc>
          <w:tcPr>
            <w:tcW w:w="1726" w:type="dxa"/>
            <w:tcBorders>
              <w:top w:val="nil" w:sz="6" w:space="0" w:color="auto"/>
              <w:left w:val="nil" w:sz="6" w:space="0" w:color="auto"/>
              <w:bottom w:val="nil" w:sz="6" w:space="0" w:color="auto"/>
              <w:right w:val="nil" w:sz="6" w:space="0" w:color="auto"/>
            </w:tcBorders>
          </w:tcPr>
          <w:p>
            <w:pPr>
              <w:pStyle w:val="TableParagraph"/>
              <w:spacing w:line="230" w:lineRule="exact"/>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29,356,129</w:t>
            </w:r>
            <w:r>
              <w:rPr>
                <w:rFonts w:ascii="Arial"/>
                <w:spacing w:val="-1"/>
                <w:sz w:val="20"/>
              </w:rPr>
            </w:r>
          </w:p>
        </w:tc>
      </w:tr>
      <w:tr>
        <w:trPr>
          <w:trHeight w:val="430" w:hRule="exact"/>
        </w:trPr>
        <w:tc>
          <w:tcPr>
            <w:tcW w:w="4058" w:type="dxa"/>
            <w:tcBorders>
              <w:top w:val="nil" w:sz="6" w:space="0" w:color="auto"/>
              <w:left w:val="nil" w:sz="6" w:space="0" w:color="auto"/>
              <w:bottom w:val="nil" w:sz="6" w:space="0" w:color="auto"/>
              <w:right w:val="nil" w:sz="6" w:space="0" w:color="auto"/>
            </w:tcBorders>
          </w:tcPr>
          <w:p>
            <w:pPr/>
          </w:p>
        </w:tc>
        <w:tc>
          <w:tcPr>
            <w:tcW w:w="2763"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576"/>
              <w:jc w:val="right"/>
              <w:rPr>
                <w:rFonts w:ascii="Arial" w:hAnsi="Arial" w:cs="Arial" w:eastAsia="Arial" w:hint="default"/>
                <w:sz w:val="20"/>
                <w:szCs w:val="20"/>
              </w:rPr>
            </w:pPr>
            <w:r>
              <w:rPr>
                <w:rFonts w:ascii="Arial"/>
                <w:w w:val="100"/>
                <w:sz w:val="20"/>
              </w:rPr>
            </w:r>
            <w:r>
              <w:rPr>
                <w:rFonts w:ascii="Arial"/>
                <w:spacing w:val="-1"/>
                <w:sz w:val="20"/>
                <w:u w:val="thick" w:color="000000"/>
              </w:rPr>
              <w:t>321,716,550</w:t>
            </w:r>
            <w:r>
              <w:rPr>
                <w:rFonts w:ascii="Arial"/>
                <w:spacing w:val="-1"/>
                <w:sz w:val="20"/>
              </w:rPr>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340,819,908</w:t>
            </w:r>
            <w:r>
              <w:rPr>
                <w:rFonts w:ascii="Arial"/>
                <w:spacing w:val="-1"/>
                <w:sz w:val="20"/>
              </w:rPr>
            </w:r>
          </w:p>
        </w:tc>
      </w:tr>
    </w:tbl>
    <w:p>
      <w:pPr>
        <w:spacing w:line="240" w:lineRule="auto" w:before="12"/>
        <w:rPr>
          <w:rFonts w:ascii="黑体" w:hAnsi="黑体" w:cs="黑体" w:eastAsia="黑体" w:hint="default"/>
          <w:sz w:val="8"/>
          <w:szCs w:val="8"/>
        </w:rPr>
      </w:pPr>
    </w:p>
    <w:p>
      <w:pPr>
        <w:pStyle w:val="BodyText"/>
        <w:spacing w:line="278" w:lineRule="auto" w:before="38"/>
        <w:ind w:left="1331" w:right="152" w:hanging="482"/>
        <w:jc w:val="both"/>
      </w:pPr>
      <w:r>
        <w:rPr/>
        <w:t>注</w:t>
      </w:r>
      <w:r>
        <w:rPr>
          <w:rFonts w:ascii="Arial" w:hAnsi="Arial" w:cs="Arial" w:eastAsia="Arial" w:hint="default"/>
        </w:rPr>
        <w:t>1</w:t>
      </w:r>
      <w:r>
        <w:rPr/>
        <w:t>．本公司就用友软件园建设与有关建筑承包商就建筑工程设计、工程招标咨询等签署</w:t>
      </w:r>
      <w:r>
        <w:rPr>
          <w:spacing w:val="-25"/>
        </w:rPr>
        <w:t> </w:t>
      </w:r>
      <w:r>
        <w:rPr>
          <w:spacing w:val="-25"/>
        </w:rPr>
      </w:r>
      <w:r>
        <w:rPr/>
        <w:t>的合同总金额为人民币</w:t>
      </w:r>
      <w:r>
        <w:rPr>
          <w:rFonts w:ascii="Arial" w:hAnsi="Arial" w:cs="Arial" w:eastAsia="Arial" w:hint="default"/>
        </w:rPr>
        <w:t>584,871,972</w:t>
      </w:r>
      <w:r>
        <w:rPr/>
        <w:t>元</w:t>
      </w:r>
      <w:r>
        <w:rPr>
          <w:rFonts w:ascii="Arial" w:hAnsi="Arial" w:cs="Arial" w:eastAsia="Arial" w:hint="default"/>
        </w:rPr>
        <w:t>,</w:t>
      </w:r>
      <w:r>
        <w:rPr/>
        <w:t>于</w:t>
      </w:r>
      <w:r>
        <w:rPr>
          <w:rFonts w:ascii="Arial" w:hAnsi="Arial" w:cs="Arial" w:eastAsia="Arial" w:hint="default"/>
        </w:rPr>
        <w:t>2008</w:t>
      </w:r>
      <w:r>
        <w:rPr/>
        <w:t>年度经外部会计师对工程造价结算审</w:t>
      </w:r>
      <w:r>
        <w:rPr>
          <w:w w:val="100"/>
        </w:rPr>
        <w:t> </w:t>
      </w:r>
      <w:r>
        <w:rPr>
          <w:spacing w:val="-3"/>
          <w:w w:val="100"/>
        </w:rPr>
        <w:t>核的合同总金额变更为人民币</w:t>
      </w:r>
      <w:r>
        <w:rPr>
          <w:rFonts w:ascii="Arial" w:hAnsi="Arial" w:cs="Arial" w:eastAsia="Arial" w:hint="default"/>
          <w:spacing w:val="-3"/>
          <w:w w:val="100"/>
        </w:rPr>
        <w:t>571,038,758</w:t>
      </w:r>
      <w:r>
        <w:rPr>
          <w:spacing w:val="-3"/>
          <w:w w:val="100"/>
        </w:rPr>
        <w:t>元。截止</w:t>
      </w:r>
      <w:r>
        <w:rPr>
          <w:rFonts w:ascii="Arial" w:hAnsi="Arial" w:cs="Arial" w:eastAsia="Arial" w:hint="default"/>
          <w:spacing w:val="-3"/>
          <w:w w:val="100"/>
        </w:rPr>
        <w:t>2009</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日已支付上述合同</w:t>
      </w:r>
      <w:r>
        <w:rPr>
          <w:w w:val="100"/>
        </w:rPr>
        <w:t> </w:t>
      </w:r>
      <w:r>
        <w:rPr/>
        <w:t>金额为人民币</w:t>
      </w:r>
      <w:r>
        <w:rPr>
          <w:rFonts w:ascii="Arial" w:hAnsi="Arial" w:cs="Arial" w:eastAsia="Arial" w:hint="default"/>
        </w:rPr>
        <w:t>559,945,882</w:t>
      </w:r>
      <w:r>
        <w:rPr/>
        <w:t>元</w:t>
      </w:r>
      <w:r>
        <w:rPr>
          <w:rFonts w:ascii="Arial" w:hAnsi="Arial" w:cs="Arial" w:eastAsia="Arial" w:hint="default"/>
        </w:rPr>
        <w:t>,</w:t>
      </w:r>
      <w:r>
        <w:rPr/>
        <w:t>将尚未支付部分</w:t>
      </w:r>
      <w:r>
        <w:rPr>
          <w:rFonts w:ascii="Arial" w:hAnsi="Arial" w:cs="Arial" w:eastAsia="Arial" w:hint="default"/>
        </w:rPr>
        <w:t>11,092,876</w:t>
      </w:r>
      <w:r>
        <w:rPr/>
        <w:t>元暂估计入其他应付款科</w:t>
      </w:r>
      <w:r>
        <w:rPr>
          <w:w w:val="100"/>
        </w:rPr>
        <w:t> </w:t>
      </w:r>
      <w:r>
        <w:rPr/>
        <w:t>目中。</w:t>
      </w:r>
    </w:p>
    <w:p>
      <w:pPr>
        <w:spacing w:after="0" w:line="278" w:lineRule="auto"/>
        <w:jc w:val="both"/>
        <w:sectPr>
          <w:pgSz w:w="11910" w:h="16840"/>
          <w:pgMar w:header="958" w:footer="462" w:top="2540" w:bottom="660" w:left="1560" w:right="154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3"/>
          <w:szCs w:val="23"/>
        </w:rPr>
      </w:pPr>
    </w:p>
    <w:p>
      <w:pPr>
        <w:tabs>
          <w:tab w:pos="843" w:val="left" w:leader="none"/>
        </w:tabs>
        <w:spacing w:before="38"/>
        <w:ind w:left="141"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9"/>
        <w:rPr>
          <w:rFonts w:ascii="黑体" w:hAnsi="黑体" w:cs="黑体" w:eastAsia="黑体" w:hint="default"/>
          <w:b/>
          <w:bCs/>
          <w:sz w:val="15"/>
          <w:szCs w:val="15"/>
        </w:rPr>
      </w:pPr>
    </w:p>
    <w:p>
      <w:pPr>
        <w:tabs>
          <w:tab w:pos="841" w:val="left" w:leader="none"/>
        </w:tabs>
        <w:spacing w:before="0"/>
        <w:ind w:left="141" w:right="0" w:firstLine="0"/>
        <w:jc w:val="left"/>
        <w:rPr>
          <w:rFonts w:ascii="黑体" w:hAnsi="黑体" w:cs="黑体" w:eastAsia="黑体" w:hint="default"/>
          <w:sz w:val="20"/>
          <w:szCs w:val="20"/>
        </w:rPr>
      </w:pPr>
      <w:r>
        <w:rPr>
          <w:rFonts w:ascii="Arial" w:hAnsi="Arial" w:cs="Arial" w:eastAsia="Arial" w:hint="default"/>
          <w:b/>
          <w:bCs/>
          <w:spacing w:val="-1"/>
          <w:sz w:val="20"/>
          <w:szCs w:val="20"/>
        </w:rPr>
        <w:t>25.</w:t>
        <w:tab/>
      </w:r>
      <w:r>
        <w:rPr>
          <w:rFonts w:ascii="黑体" w:hAnsi="黑体" w:cs="黑体" w:eastAsia="黑体" w:hint="default"/>
          <w:b/>
          <w:bCs/>
          <w:sz w:val="20"/>
          <w:szCs w:val="20"/>
        </w:rPr>
        <w:t>其他应付款（续）</w:t>
      </w:r>
      <w:r>
        <w:rPr>
          <w:rFonts w:ascii="黑体" w:hAnsi="黑体" w:cs="黑体" w:eastAsia="黑体" w:hint="default"/>
          <w:sz w:val="20"/>
          <w:szCs w:val="20"/>
        </w:rPr>
      </w:r>
    </w:p>
    <w:p>
      <w:pPr>
        <w:spacing w:line="240" w:lineRule="auto" w:before="9"/>
        <w:rPr>
          <w:rFonts w:ascii="黑体" w:hAnsi="黑体" w:cs="黑体" w:eastAsia="黑体" w:hint="default"/>
          <w:b/>
          <w:bCs/>
          <w:sz w:val="17"/>
          <w:szCs w:val="17"/>
        </w:rPr>
      </w:pPr>
    </w:p>
    <w:p>
      <w:pPr>
        <w:pStyle w:val="BodyText"/>
        <w:spacing w:line="240" w:lineRule="auto"/>
        <w:ind w:left="855" w:right="0"/>
        <w:jc w:val="left"/>
      </w:pPr>
      <w:r>
        <w:rPr/>
        <w:t>注</w:t>
      </w:r>
      <w:r>
        <w:rPr>
          <w:rFonts w:ascii="Arial" w:hAnsi="Arial" w:cs="Arial" w:eastAsia="Arial" w:hint="default"/>
        </w:rPr>
        <w:t>2</w:t>
      </w:r>
      <w:r>
        <w:rPr/>
        <w:t>．详情参见附注五、</w:t>
      </w:r>
      <w:r>
        <w:rPr>
          <w:rFonts w:ascii="Arial" w:hAnsi="Arial" w:cs="Arial" w:eastAsia="Arial" w:hint="default"/>
        </w:rPr>
        <w:t>14</w:t>
      </w:r>
      <w:r>
        <w:rPr/>
        <w:t>。</w:t>
      </w:r>
    </w:p>
    <w:p>
      <w:pPr>
        <w:spacing w:line="240" w:lineRule="auto" w:before="10"/>
        <w:rPr>
          <w:rFonts w:ascii="黑体" w:hAnsi="黑体" w:cs="黑体" w:eastAsia="黑体" w:hint="default"/>
          <w:sz w:val="24"/>
          <w:szCs w:val="24"/>
        </w:rPr>
      </w:pPr>
    </w:p>
    <w:p>
      <w:pPr>
        <w:pStyle w:val="BodyText"/>
        <w:spacing w:line="261" w:lineRule="auto"/>
        <w:ind w:left="1331" w:right="0" w:hanging="477"/>
        <w:jc w:val="left"/>
      </w:pPr>
      <w:r>
        <w:rPr/>
        <w:t>注</w:t>
      </w:r>
      <w:r>
        <w:rPr>
          <w:rFonts w:ascii="Arial" w:hAnsi="Arial" w:cs="Arial" w:eastAsia="Arial" w:hint="default"/>
        </w:rPr>
        <w:t>3.</w:t>
      </w:r>
      <w:r>
        <w:rPr>
          <w:rFonts w:ascii="Arial" w:hAnsi="Arial" w:cs="Arial" w:eastAsia="Arial" w:hint="default"/>
          <w:spacing w:val="43"/>
        </w:rPr>
        <w:t> </w:t>
      </w:r>
      <w:r>
        <w:rPr/>
        <w:t>资产业务收购款为本公司于</w:t>
      </w:r>
      <w:r>
        <w:rPr>
          <w:rFonts w:ascii="Arial" w:hAnsi="Arial" w:cs="Arial" w:eastAsia="Arial" w:hint="default"/>
        </w:rPr>
        <w:t>2009</w:t>
      </w:r>
      <w:r>
        <w:rPr/>
        <w:t>年度下半年开始的一系列的资产业务收购活动而产</w:t>
      </w:r>
      <w:r>
        <w:rPr>
          <w:spacing w:val="-88"/>
        </w:rPr>
        <w:t> </w:t>
      </w:r>
      <w:r>
        <w:rPr>
          <w:spacing w:val="-88"/>
        </w:rPr>
      </w:r>
      <w:r>
        <w:rPr/>
        <w:t>生的尚未支付完毕的收购款。详见附注四、</w:t>
      </w:r>
      <w:r>
        <w:rPr>
          <w:rFonts w:ascii="Arial" w:hAnsi="Arial" w:cs="Arial" w:eastAsia="Arial" w:hint="default"/>
        </w:rPr>
        <w:t>5</w:t>
      </w:r>
      <w:r>
        <w:rPr/>
        <w:t>。</w:t>
      </w:r>
    </w:p>
    <w:p>
      <w:pPr>
        <w:spacing w:line="240" w:lineRule="auto" w:before="3"/>
        <w:rPr>
          <w:rFonts w:ascii="黑体" w:hAnsi="黑体" w:cs="黑体" w:eastAsia="黑体" w:hint="default"/>
          <w:sz w:val="23"/>
          <w:szCs w:val="23"/>
        </w:rPr>
      </w:pPr>
    </w:p>
    <w:p>
      <w:pPr>
        <w:pStyle w:val="BodyText"/>
        <w:spacing w:line="261" w:lineRule="auto"/>
        <w:ind w:left="1317" w:right="0" w:hanging="463"/>
        <w:jc w:val="left"/>
      </w:pPr>
      <w:r>
        <w:rPr/>
        <w:t>注</w:t>
      </w:r>
      <w:r>
        <w:rPr>
          <w:rFonts w:ascii="Arial" w:hAnsi="Arial" w:cs="Arial" w:eastAsia="Arial" w:hint="default"/>
        </w:rPr>
        <w:t>4.</w:t>
      </w:r>
      <w:r>
        <w:rPr>
          <w:rFonts w:ascii="Arial" w:hAnsi="Arial" w:cs="Arial" w:eastAsia="Arial" w:hint="default"/>
          <w:spacing w:val="28"/>
        </w:rPr>
        <w:t> </w:t>
      </w:r>
      <w:r>
        <w:rPr/>
        <w:t>股权收购款为本公司于</w:t>
      </w:r>
      <w:r>
        <w:rPr>
          <w:rFonts w:ascii="Arial" w:hAnsi="Arial" w:cs="Arial" w:eastAsia="Arial" w:hint="default"/>
        </w:rPr>
        <w:t>2008</w:t>
      </w:r>
      <w:r>
        <w:rPr/>
        <w:t>年度收购方正春元</w:t>
      </w:r>
      <w:r>
        <w:rPr>
          <w:rFonts w:ascii="Arial" w:hAnsi="Arial" w:cs="Arial" w:eastAsia="Arial" w:hint="default"/>
        </w:rPr>
        <w:t>18</w:t>
      </w:r>
      <w:r>
        <w:rPr/>
        <w:t>位自然人股东共计</w:t>
      </w:r>
      <w:r>
        <w:rPr>
          <w:rFonts w:ascii="Arial" w:hAnsi="Arial" w:cs="Arial" w:eastAsia="Arial" w:hint="default"/>
        </w:rPr>
        <w:t>85%</w:t>
      </w:r>
      <w:r>
        <w:rPr/>
        <w:t>的股权而产</w:t>
      </w:r>
      <w:r>
        <w:rPr>
          <w:spacing w:val="-92"/>
        </w:rPr>
        <w:t> </w:t>
      </w:r>
      <w:r>
        <w:rPr/>
        <w:t>生的尚未支付完毕的收购款。</w:t>
      </w:r>
    </w:p>
    <w:p>
      <w:pPr>
        <w:spacing w:line="240" w:lineRule="auto" w:before="6"/>
        <w:rPr>
          <w:rFonts w:ascii="黑体" w:hAnsi="黑体" w:cs="黑体" w:eastAsia="黑体" w:hint="default"/>
          <w:sz w:val="24"/>
          <w:szCs w:val="24"/>
        </w:rPr>
      </w:pPr>
    </w:p>
    <w:p>
      <w:pPr>
        <w:pStyle w:val="BodyText"/>
        <w:spacing w:line="240" w:lineRule="auto"/>
        <w:ind w:left="855" w:right="0"/>
        <w:jc w:val="left"/>
        <w:rPr>
          <w:rFonts w:ascii="Arial" w:hAnsi="Arial" w:cs="Arial" w:eastAsia="Arial" w:hint="default"/>
        </w:rPr>
      </w:pPr>
      <w:r>
        <w:rPr/>
        <w:t>本账户余额中持本公司</w:t>
      </w:r>
      <w:r>
        <w:rPr>
          <w:rFonts w:ascii="Arial" w:hAnsi="Arial" w:cs="Arial" w:eastAsia="Arial" w:hint="default"/>
        </w:rPr>
        <w:t>5%</w:t>
      </w:r>
      <w:r>
        <w:rPr/>
        <w:t>或以上表决权股份的股东单位或关联方的款项如下</w:t>
      </w:r>
      <w:r>
        <w:rPr>
          <w:rFonts w:ascii="Arial" w:hAnsi="Arial" w:cs="Arial" w:eastAsia="Arial" w:hint="default"/>
        </w:rPr>
        <w:t>:</w:t>
      </w:r>
    </w:p>
    <w:p>
      <w:pPr>
        <w:spacing w:line="240" w:lineRule="auto" w:before="0"/>
        <w:rPr>
          <w:rFonts w:ascii="Arial" w:hAnsi="Arial" w:cs="Arial" w:eastAsia="Arial" w:hint="default"/>
          <w:sz w:val="23"/>
          <w:szCs w:val="23"/>
        </w:rPr>
      </w:pPr>
    </w:p>
    <w:p>
      <w:pPr>
        <w:pStyle w:val="BodyText"/>
        <w:tabs>
          <w:tab w:pos="7092" w:val="left" w:leader="none"/>
        </w:tabs>
        <w:spacing w:line="268" w:lineRule="exact" w:before="38"/>
        <w:ind w:left="4859" w:right="0"/>
        <w:jc w:val="left"/>
      </w:pP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tab/>
      </w:r>
      <w:r>
        <w:rPr>
          <w:rFonts w:ascii="Arial" w:hAnsi="Arial" w:cs="Arial" w:eastAsia="Arial" w:hint="default"/>
          <w:spacing w:val="-1"/>
        </w:rPr>
        <w:t>2008</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r>
    </w:p>
    <w:p>
      <w:pPr>
        <w:pStyle w:val="BodyText"/>
        <w:spacing w:line="253" w:lineRule="exact"/>
        <w:ind w:left="861" w:right="0"/>
        <w:jc w:val="left"/>
      </w:pPr>
      <w:r>
        <w:rPr/>
        <w:t>联营企业</w:t>
      </w:r>
    </w:p>
    <w:p>
      <w:pPr>
        <w:pStyle w:val="BodyText"/>
        <w:tabs>
          <w:tab w:pos="5629" w:val="left" w:leader="none"/>
          <w:tab w:pos="7971" w:val="left" w:leader="none"/>
        </w:tabs>
        <w:spacing w:line="273" w:lineRule="exact"/>
        <w:ind w:left="1057" w:right="0"/>
        <w:jc w:val="left"/>
        <w:rPr>
          <w:rFonts w:ascii="Arial" w:hAnsi="Arial" w:cs="Arial" w:eastAsia="Arial" w:hint="default"/>
        </w:rPr>
      </w:pPr>
      <w:r>
        <w:rPr/>
        <w:t>用友致远</w:t>
        <w:tab/>
      </w:r>
      <w:r>
        <w:rPr>
          <w:rFonts w:ascii="Arial" w:hAnsi="Arial" w:cs="Arial" w:eastAsia="Arial" w:hint="default"/>
          <w:spacing w:val="-1"/>
        </w:rPr>
        <w:t>202,513</w:t>
        <w:tab/>
      </w:r>
      <w:r>
        <w:rPr>
          <w:rFonts w:ascii="Arial" w:hAnsi="Arial" w:cs="Arial" w:eastAsia="Arial" w:hint="default"/>
        </w:rPr>
        <w:t>15,000</w:t>
      </w:r>
    </w:p>
    <w:p>
      <w:pPr>
        <w:spacing w:line="240" w:lineRule="auto" w:before="7"/>
        <w:rPr>
          <w:rFonts w:ascii="Arial" w:hAnsi="Arial" w:cs="Arial" w:eastAsia="Arial" w:hint="default"/>
          <w:sz w:val="18"/>
          <w:szCs w:val="18"/>
        </w:rPr>
      </w:pPr>
    </w:p>
    <w:p>
      <w:pPr>
        <w:pStyle w:val="BodyText"/>
        <w:spacing w:line="240" w:lineRule="auto"/>
        <w:ind w:left="861" w:right="0"/>
        <w:jc w:val="left"/>
      </w:pPr>
      <w:r>
        <w:rPr/>
        <w:t>董事、监事及关键管理人员</w:t>
      </w:r>
    </w:p>
    <w:p>
      <w:pPr>
        <w:spacing w:line="240" w:lineRule="auto" w:before="1"/>
        <w:rPr>
          <w:rFonts w:ascii="黑体" w:hAnsi="黑体" w:cs="黑体" w:eastAsia="黑体" w:hint="default"/>
          <w:sz w:val="3"/>
          <w:szCs w:val="3"/>
        </w:rPr>
      </w:pPr>
    </w:p>
    <w:tbl>
      <w:tblPr>
        <w:tblW w:w="0" w:type="auto"/>
        <w:jc w:val="left"/>
        <w:tblInd w:w="1023" w:type="dxa"/>
        <w:tblLayout w:type="fixed"/>
        <w:tblCellMar>
          <w:top w:w="0" w:type="dxa"/>
          <w:left w:w="0" w:type="dxa"/>
          <w:bottom w:w="0" w:type="dxa"/>
          <w:right w:w="0" w:type="dxa"/>
        </w:tblCellMar>
        <w:tblLook w:val="01E0"/>
      </w:tblPr>
      <w:tblGrid>
        <w:gridCol w:w="2620"/>
        <w:gridCol w:w="3463"/>
        <w:gridCol w:w="1513"/>
      </w:tblGrid>
      <w:tr>
        <w:trPr>
          <w:trHeight w:val="255"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21" w:lineRule="exact"/>
              <w:ind w:left="35" w:right="0"/>
              <w:jc w:val="left"/>
              <w:rPr>
                <w:rFonts w:ascii="黑体" w:hAnsi="黑体" w:cs="黑体" w:eastAsia="黑体" w:hint="default"/>
                <w:sz w:val="20"/>
                <w:szCs w:val="20"/>
              </w:rPr>
            </w:pPr>
            <w:r>
              <w:rPr>
                <w:rFonts w:ascii="黑体" w:hAnsi="黑体" w:cs="黑体" w:eastAsia="黑体" w:hint="default"/>
                <w:sz w:val="20"/>
                <w:szCs w:val="20"/>
              </w:rPr>
              <w:t>黄义璋</w:t>
            </w:r>
          </w:p>
        </w:tc>
        <w:tc>
          <w:tcPr>
            <w:tcW w:w="346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751"/>
              <w:jc w:val="right"/>
              <w:rPr>
                <w:rFonts w:ascii="Arial" w:hAnsi="Arial" w:cs="Arial" w:eastAsia="Arial" w:hint="default"/>
                <w:sz w:val="20"/>
                <w:szCs w:val="20"/>
              </w:rPr>
            </w:pPr>
            <w:r>
              <w:rPr>
                <w:rFonts w:ascii="Arial"/>
                <w:sz w:val="20"/>
              </w:rPr>
              <w:t>33,145</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Arial" w:hAnsi="Arial" w:cs="Arial" w:eastAsia="Arial" w:hint="default"/>
                <w:sz w:val="20"/>
                <w:szCs w:val="20"/>
              </w:rPr>
            </w:pPr>
            <w:r>
              <w:rPr>
                <w:rFonts w:ascii="Arial"/>
                <w:w w:val="100"/>
                <w:sz w:val="20"/>
              </w:rPr>
              <w:t>-</w:t>
            </w:r>
          </w:p>
        </w:tc>
      </w:tr>
      <w:tr>
        <w:trPr>
          <w:trHeight w:val="260"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25" w:lineRule="exact"/>
              <w:ind w:left="35" w:right="0"/>
              <w:jc w:val="left"/>
              <w:rPr>
                <w:rFonts w:ascii="黑体" w:hAnsi="黑体" w:cs="黑体" w:eastAsia="黑体" w:hint="default"/>
                <w:sz w:val="20"/>
                <w:szCs w:val="20"/>
              </w:rPr>
            </w:pPr>
            <w:r>
              <w:rPr>
                <w:rFonts w:ascii="黑体" w:hAnsi="黑体" w:cs="黑体" w:eastAsia="黑体" w:hint="default"/>
                <w:sz w:val="20"/>
                <w:szCs w:val="20"/>
              </w:rPr>
              <w:t>吴健</w:t>
            </w:r>
          </w:p>
        </w:tc>
        <w:tc>
          <w:tcPr>
            <w:tcW w:w="346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751"/>
              <w:jc w:val="right"/>
              <w:rPr>
                <w:rFonts w:ascii="Arial" w:hAnsi="Arial" w:cs="Arial" w:eastAsia="Arial" w:hint="default"/>
                <w:sz w:val="20"/>
                <w:szCs w:val="20"/>
              </w:rPr>
            </w:pPr>
            <w:r>
              <w:rPr>
                <w:rFonts w:ascii="Arial"/>
                <w:sz w:val="20"/>
              </w:rPr>
              <w:t>264,178</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269,018</w:t>
            </w:r>
          </w:p>
        </w:tc>
      </w:tr>
      <w:tr>
        <w:trPr>
          <w:trHeight w:val="260"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王文京</w:t>
            </w:r>
          </w:p>
        </w:tc>
        <w:tc>
          <w:tcPr>
            <w:tcW w:w="346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751"/>
              <w:jc w:val="right"/>
              <w:rPr>
                <w:rFonts w:ascii="Arial" w:hAnsi="Arial" w:cs="Arial" w:eastAsia="Arial" w:hint="default"/>
                <w:sz w:val="20"/>
                <w:szCs w:val="20"/>
              </w:rPr>
            </w:pPr>
            <w:r>
              <w:rPr>
                <w:rFonts w:ascii="Arial"/>
                <w:w w:val="100"/>
                <w:sz w:val="20"/>
              </w:rPr>
              <w:t>-</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Arial" w:hAnsi="Arial" w:cs="Arial" w:eastAsia="Arial" w:hint="default"/>
                <w:sz w:val="20"/>
                <w:szCs w:val="20"/>
              </w:rPr>
            </w:pPr>
            <w:r>
              <w:rPr>
                <w:rFonts w:ascii="Arial"/>
                <w:sz w:val="20"/>
              </w:rPr>
              <w:t>25,850</w:t>
            </w:r>
          </w:p>
        </w:tc>
      </w:tr>
      <w:tr>
        <w:trPr>
          <w:trHeight w:val="259"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25" w:lineRule="exact"/>
              <w:ind w:left="35" w:right="0"/>
              <w:jc w:val="left"/>
              <w:rPr>
                <w:rFonts w:ascii="黑体" w:hAnsi="黑体" w:cs="黑体" w:eastAsia="黑体" w:hint="default"/>
                <w:sz w:val="20"/>
                <w:szCs w:val="20"/>
              </w:rPr>
            </w:pPr>
            <w:r>
              <w:rPr>
                <w:rFonts w:ascii="黑体" w:hAnsi="黑体" w:cs="黑体" w:eastAsia="黑体" w:hint="default"/>
                <w:sz w:val="20"/>
                <w:szCs w:val="20"/>
              </w:rPr>
              <w:t>欧阳青</w:t>
            </w:r>
          </w:p>
        </w:tc>
        <w:tc>
          <w:tcPr>
            <w:tcW w:w="346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751"/>
              <w:jc w:val="right"/>
              <w:rPr>
                <w:rFonts w:ascii="Arial" w:hAnsi="Arial" w:cs="Arial" w:eastAsia="Arial" w:hint="default"/>
                <w:sz w:val="20"/>
                <w:szCs w:val="20"/>
              </w:rPr>
            </w:pPr>
            <w:r>
              <w:rPr>
                <w:rFonts w:ascii="Arial"/>
                <w:w w:val="100"/>
                <w:sz w:val="20"/>
              </w:rPr>
              <w:t>-</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18,608</w:t>
            </w:r>
          </w:p>
        </w:tc>
      </w:tr>
      <w:tr>
        <w:trPr>
          <w:trHeight w:val="248"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25" w:lineRule="exact"/>
              <w:ind w:left="35" w:right="0"/>
              <w:jc w:val="left"/>
              <w:rPr>
                <w:rFonts w:ascii="黑体" w:hAnsi="黑体" w:cs="黑体" w:eastAsia="黑体" w:hint="default"/>
                <w:sz w:val="20"/>
                <w:szCs w:val="20"/>
              </w:rPr>
            </w:pPr>
            <w:r>
              <w:rPr>
                <w:rFonts w:ascii="黑体" w:hAnsi="黑体" w:cs="黑体" w:eastAsia="黑体" w:hint="default"/>
                <w:sz w:val="20"/>
                <w:szCs w:val="20"/>
              </w:rPr>
              <w:t>郭延生</w:t>
            </w:r>
          </w:p>
        </w:tc>
        <w:tc>
          <w:tcPr>
            <w:tcW w:w="3463" w:type="dxa"/>
            <w:tcBorders>
              <w:top w:val="nil" w:sz="6" w:space="0" w:color="auto"/>
              <w:left w:val="nil" w:sz="6" w:space="0" w:color="auto"/>
              <w:bottom w:val="nil" w:sz="6" w:space="0" w:color="auto"/>
              <w:right w:val="nil" w:sz="6" w:space="0" w:color="auto"/>
            </w:tcBorders>
          </w:tcPr>
          <w:p>
            <w:pPr>
              <w:pStyle w:val="TableParagraph"/>
              <w:tabs>
                <w:tab w:pos="638" w:val="left" w:leader="none"/>
              </w:tabs>
              <w:spacing w:line="240" w:lineRule="auto" w:before="5"/>
              <w:ind w:right="752"/>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2,000</w:t>
            </w:r>
            <w:r>
              <w:rPr>
                <w:rFonts w:ascii="Arial"/>
                <w:sz w:val="20"/>
              </w:rPr>
            </w:r>
          </w:p>
        </w:tc>
      </w:tr>
      <w:tr>
        <w:trPr>
          <w:trHeight w:val="317" w:hRule="exact"/>
        </w:trPr>
        <w:tc>
          <w:tcPr>
            <w:tcW w:w="2620" w:type="dxa"/>
            <w:tcBorders>
              <w:top w:val="nil" w:sz="6" w:space="0" w:color="auto"/>
              <w:left w:val="nil" w:sz="6" w:space="0" w:color="auto"/>
              <w:bottom w:val="nil" w:sz="6" w:space="0" w:color="auto"/>
              <w:right w:val="nil" w:sz="6" w:space="0" w:color="auto"/>
            </w:tcBorders>
          </w:tcPr>
          <w:p>
            <w:pPr/>
          </w:p>
        </w:tc>
        <w:tc>
          <w:tcPr>
            <w:tcW w:w="3463" w:type="dxa"/>
            <w:tcBorders>
              <w:top w:val="nil" w:sz="6" w:space="0" w:color="auto"/>
              <w:left w:val="nil" w:sz="6" w:space="0" w:color="auto"/>
              <w:bottom w:val="nil" w:sz="6" w:space="0" w:color="auto"/>
              <w:right w:val="nil" w:sz="6" w:space="0" w:color="auto"/>
            </w:tcBorders>
          </w:tcPr>
          <w:p>
            <w:pPr>
              <w:pStyle w:val="TableParagraph"/>
              <w:spacing w:line="218" w:lineRule="exact"/>
              <w:ind w:right="752"/>
              <w:jc w:val="right"/>
              <w:rPr>
                <w:rFonts w:ascii="Arial" w:hAnsi="Arial" w:cs="Arial" w:eastAsia="Arial" w:hint="default"/>
                <w:sz w:val="20"/>
                <w:szCs w:val="20"/>
              </w:rPr>
            </w:pPr>
            <w:r>
              <w:rPr>
                <w:rFonts w:ascii="Arial"/>
                <w:w w:val="100"/>
                <w:sz w:val="20"/>
              </w:rPr>
            </w:r>
            <w:r>
              <w:rPr>
                <w:rFonts w:ascii="Arial"/>
                <w:spacing w:val="-1"/>
                <w:sz w:val="20"/>
                <w:u w:val="thick" w:color="000000"/>
              </w:rPr>
              <w:t>499,836</w:t>
            </w:r>
            <w:r>
              <w:rPr>
                <w:rFonts w:ascii="Arial"/>
                <w:spacing w:val="-1"/>
                <w:sz w:val="20"/>
              </w:rPr>
            </w:r>
          </w:p>
        </w:tc>
        <w:tc>
          <w:tcPr>
            <w:tcW w:w="1513" w:type="dxa"/>
            <w:tcBorders>
              <w:top w:val="nil" w:sz="6" w:space="0" w:color="auto"/>
              <w:left w:val="nil" w:sz="6" w:space="0" w:color="auto"/>
              <w:bottom w:val="nil" w:sz="6" w:space="0" w:color="auto"/>
              <w:right w:val="nil" w:sz="6" w:space="0" w:color="auto"/>
            </w:tcBorders>
          </w:tcPr>
          <w:p>
            <w:pPr>
              <w:pStyle w:val="TableParagraph"/>
              <w:spacing w:line="222" w:lineRule="exact"/>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330,476</w:t>
            </w:r>
            <w:r>
              <w:rPr>
                <w:rFonts w:ascii="Arial"/>
                <w:spacing w:val="-1"/>
                <w:sz w:val="20"/>
              </w:rPr>
            </w:r>
          </w:p>
        </w:tc>
      </w:tr>
    </w:tbl>
    <w:p>
      <w:pPr>
        <w:spacing w:line="240" w:lineRule="auto" w:before="11"/>
        <w:rPr>
          <w:rFonts w:ascii="黑体" w:hAnsi="黑体" w:cs="黑体" w:eastAsia="黑体" w:hint="default"/>
          <w:sz w:val="5"/>
          <w:szCs w:val="5"/>
        </w:rPr>
      </w:pPr>
    </w:p>
    <w:p>
      <w:pPr>
        <w:pStyle w:val="BodyText"/>
        <w:spacing w:line="240" w:lineRule="auto" w:before="38"/>
        <w:ind w:left="855" w:right="0"/>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日，账龄超过</w:t>
      </w:r>
      <w:r>
        <w:rPr>
          <w:rFonts w:ascii="Arial" w:hAnsi="Arial" w:cs="Arial" w:eastAsia="Arial" w:hint="default"/>
        </w:rPr>
        <w:t>1</w:t>
      </w:r>
      <w:r>
        <w:rPr/>
        <w:t>年的大额款项如下：</w:t>
      </w:r>
    </w:p>
    <w:p>
      <w:pPr>
        <w:spacing w:line="240" w:lineRule="auto" w:before="5"/>
        <w:rPr>
          <w:rFonts w:ascii="黑体" w:hAnsi="黑体" w:cs="黑体" w:eastAsia="黑体" w:hint="default"/>
          <w:sz w:val="13"/>
          <w:szCs w:val="13"/>
        </w:rPr>
      </w:pPr>
    </w:p>
    <w:tbl>
      <w:tblPr>
        <w:tblW w:w="0" w:type="auto"/>
        <w:jc w:val="left"/>
        <w:tblInd w:w="106" w:type="dxa"/>
        <w:tblLayout w:type="fixed"/>
        <w:tblCellMar>
          <w:top w:w="0" w:type="dxa"/>
          <w:left w:w="0" w:type="dxa"/>
          <w:bottom w:w="0" w:type="dxa"/>
          <w:right w:w="0" w:type="dxa"/>
        </w:tblCellMar>
        <w:tblLook w:val="01E0"/>
      </w:tblPr>
      <w:tblGrid>
        <w:gridCol w:w="4444"/>
        <w:gridCol w:w="1930"/>
        <w:gridCol w:w="683"/>
        <w:gridCol w:w="1526"/>
      </w:tblGrid>
      <w:tr>
        <w:trPr>
          <w:trHeight w:val="593" w:hRule="exact"/>
        </w:trPr>
        <w:tc>
          <w:tcPr>
            <w:tcW w:w="444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22"/>
                <w:szCs w:val="22"/>
              </w:rPr>
            </w:pPr>
          </w:p>
          <w:p>
            <w:pPr>
              <w:pStyle w:val="TableParagraph"/>
              <w:spacing w:line="240" w:lineRule="auto"/>
              <w:ind w:left="753" w:right="0"/>
              <w:jc w:val="left"/>
              <w:rPr>
                <w:rFonts w:ascii="黑体" w:hAnsi="黑体" w:cs="黑体" w:eastAsia="黑体" w:hint="default"/>
                <w:sz w:val="20"/>
                <w:szCs w:val="20"/>
              </w:rPr>
            </w:pPr>
            <w:r>
              <w:rPr>
                <w:rFonts w:ascii="黑体" w:hAnsi="黑体" w:cs="黑体" w:eastAsia="黑体" w:hint="default"/>
                <w:sz w:val="20"/>
                <w:szCs w:val="20"/>
              </w:rPr>
              <w:t>方正春元自然人股东</w:t>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999" w:right="0"/>
              <w:jc w:val="left"/>
              <w:rPr>
                <w:rFonts w:ascii="黑体" w:hAnsi="黑体" w:cs="黑体" w:eastAsia="黑体" w:hint="default"/>
                <w:sz w:val="20"/>
                <w:szCs w:val="20"/>
              </w:rPr>
            </w:pPr>
            <w:r>
              <w:rPr>
                <w:rFonts w:ascii="黑体" w:hAnsi="黑体" w:cs="黑体" w:eastAsia="黑体" w:hint="default"/>
                <w:sz w:val="20"/>
                <w:szCs w:val="20"/>
              </w:rPr>
              <w:t>应付金额</w:t>
            </w:r>
          </w:p>
          <w:p>
            <w:pPr>
              <w:pStyle w:val="TableParagraph"/>
              <w:spacing w:line="240" w:lineRule="auto" w:before="41"/>
              <w:ind w:left="799" w:right="0"/>
              <w:jc w:val="left"/>
              <w:rPr>
                <w:rFonts w:ascii="Arial" w:hAnsi="Arial" w:cs="Arial" w:eastAsia="Arial" w:hint="default"/>
                <w:sz w:val="20"/>
                <w:szCs w:val="20"/>
              </w:rPr>
            </w:pPr>
            <w:r>
              <w:rPr>
                <w:rFonts w:ascii="Arial"/>
                <w:sz w:val="20"/>
              </w:rPr>
              <w:t>96,900,000</w:t>
            </w:r>
          </w:p>
        </w:tc>
        <w:tc>
          <w:tcPr>
            <w:tcW w:w="2209" w:type="dxa"/>
            <w:gridSpan w:val="2"/>
            <w:tcBorders>
              <w:top w:val="nil" w:sz="6" w:space="0" w:color="auto"/>
              <w:left w:val="nil" w:sz="6" w:space="0" w:color="auto"/>
              <w:bottom w:val="nil" w:sz="6" w:space="0" w:color="auto"/>
              <w:right w:val="nil" w:sz="6" w:space="0" w:color="auto"/>
            </w:tcBorders>
          </w:tcPr>
          <w:p>
            <w:pPr>
              <w:pStyle w:val="TableParagraph"/>
              <w:spacing w:line="260" w:lineRule="exact" w:before="64"/>
              <w:ind w:left="127" w:right="77" w:firstLine="1001"/>
              <w:jc w:val="left"/>
              <w:rPr>
                <w:rFonts w:ascii="黑体" w:hAnsi="黑体" w:cs="黑体" w:eastAsia="黑体" w:hint="default"/>
                <w:sz w:val="20"/>
                <w:szCs w:val="20"/>
              </w:rPr>
            </w:pPr>
            <w:r>
              <w:rPr>
                <w:rFonts w:ascii="黑体" w:hAnsi="黑体" w:cs="黑体" w:eastAsia="黑体" w:hint="default"/>
                <w:sz w:val="20"/>
                <w:szCs w:val="20"/>
              </w:rPr>
              <w:t>未结转原因</w:t>
            </w:r>
            <w:r>
              <w:rPr>
                <w:rFonts w:ascii="黑体" w:hAnsi="黑体" w:cs="黑体" w:eastAsia="黑体" w:hint="default"/>
                <w:w w:val="100"/>
                <w:sz w:val="20"/>
                <w:szCs w:val="20"/>
              </w:rPr>
              <w:t> </w:t>
            </w:r>
            <w:r>
              <w:rPr>
                <w:rFonts w:ascii="黑体" w:hAnsi="黑体" w:cs="黑体" w:eastAsia="黑体" w:hint="default"/>
                <w:spacing w:val="-1"/>
                <w:sz w:val="20"/>
                <w:szCs w:val="20"/>
              </w:rPr>
              <w:t>未到合同约定的付款日</w:t>
            </w:r>
          </w:p>
        </w:tc>
      </w:tr>
      <w:tr>
        <w:trPr>
          <w:trHeight w:val="260" w:hRule="exact"/>
        </w:trPr>
        <w:tc>
          <w:tcPr>
            <w:tcW w:w="4444" w:type="dxa"/>
            <w:tcBorders>
              <w:top w:val="nil" w:sz="6" w:space="0" w:color="auto"/>
              <w:left w:val="nil" w:sz="6" w:space="0" w:color="auto"/>
              <w:bottom w:val="nil" w:sz="6" w:space="0" w:color="auto"/>
              <w:right w:val="nil" w:sz="6" w:space="0" w:color="auto"/>
            </w:tcBorders>
          </w:tcPr>
          <w:p>
            <w:pPr>
              <w:pStyle w:val="TableParagraph"/>
              <w:spacing w:line="226" w:lineRule="exact"/>
              <w:ind w:left="753" w:right="0"/>
              <w:jc w:val="left"/>
              <w:rPr>
                <w:rFonts w:ascii="黑体" w:hAnsi="黑体" w:cs="黑体" w:eastAsia="黑体" w:hint="default"/>
                <w:sz w:val="20"/>
                <w:szCs w:val="20"/>
              </w:rPr>
            </w:pPr>
            <w:r>
              <w:rPr>
                <w:rFonts w:ascii="黑体" w:hAnsi="黑体" w:cs="黑体" w:eastAsia="黑体" w:hint="default"/>
                <w:sz w:val="20"/>
                <w:szCs w:val="20"/>
              </w:rPr>
              <w:t>北京中关村永丰基地发展有限公司</w:t>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6"/>
              <w:jc w:val="right"/>
              <w:rPr>
                <w:rFonts w:ascii="Arial" w:hAnsi="Arial" w:cs="Arial" w:eastAsia="Arial" w:hint="default"/>
                <w:sz w:val="20"/>
                <w:szCs w:val="20"/>
              </w:rPr>
            </w:pPr>
            <w:r>
              <w:rPr>
                <w:rFonts w:ascii="Arial"/>
                <w:spacing w:val="-1"/>
                <w:sz w:val="20"/>
              </w:rPr>
              <w:t>89,596,620</w:t>
            </w:r>
          </w:p>
        </w:tc>
        <w:tc>
          <w:tcPr>
            <w:tcW w:w="2209" w:type="dxa"/>
            <w:gridSpan w:val="2"/>
            <w:tcBorders>
              <w:top w:val="nil" w:sz="6" w:space="0" w:color="auto"/>
              <w:left w:val="nil" w:sz="6" w:space="0" w:color="auto"/>
              <w:bottom w:val="nil" w:sz="6" w:space="0" w:color="auto"/>
              <w:right w:val="nil" w:sz="6" w:space="0" w:color="auto"/>
            </w:tcBorders>
          </w:tcPr>
          <w:p>
            <w:pPr>
              <w:pStyle w:val="TableParagraph"/>
              <w:spacing w:line="226" w:lineRule="exact"/>
              <w:ind w:left="127" w:right="0"/>
              <w:jc w:val="left"/>
              <w:rPr>
                <w:rFonts w:ascii="黑体" w:hAnsi="黑体" w:cs="黑体" w:eastAsia="黑体" w:hint="default"/>
                <w:sz w:val="20"/>
                <w:szCs w:val="20"/>
              </w:rPr>
            </w:pPr>
            <w:r>
              <w:rPr>
                <w:rFonts w:ascii="黑体" w:hAnsi="黑体" w:cs="黑体" w:eastAsia="黑体" w:hint="default"/>
                <w:sz w:val="20"/>
                <w:szCs w:val="20"/>
              </w:rPr>
              <w:t>未到合同约定的付款日</w:t>
            </w:r>
          </w:p>
        </w:tc>
      </w:tr>
      <w:tr>
        <w:trPr>
          <w:trHeight w:val="262" w:hRule="exact"/>
        </w:trPr>
        <w:tc>
          <w:tcPr>
            <w:tcW w:w="4444" w:type="dxa"/>
            <w:tcBorders>
              <w:top w:val="nil" w:sz="6" w:space="0" w:color="auto"/>
              <w:left w:val="nil" w:sz="6" w:space="0" w:color="auto"/>
              <w:bottom w:val="nil" w:sz="6" w:space="0" w:color="auto"/>
              <w:right w:val="nil" w:sz="6" w:space="0" w:color="auto"/>
            </w:tcBorders>
          </w:tcPr>
          <w:p>
            <w:pPr>
              <w:pStyle w:val="TableParagraph"/>
              <w:spacing w:line="227" w:lineRule="exact"/>
              <w:ind w:left="753" w:right="0"/>
              <w:jc w:val="left"/>
              <w:rPr>
                <w:rFonts w:ascii="黑体" w:hAnsi="黑体" w:cs="黑体" w:eastAsia="黑体" w:hint="default"/>
                <w:sz w:val="20"/>
                <w:szCs w:val="20"/>
              </w:rPr>
            </w:pPr>
            <w:r>
              <w:rPr>
                <w:rFonts w:ascii="黑体" w:hAnsi="黑体" w:cs="黑体" w:eastAsia="黑体" w:hint="default"/>
                <w:sz w:val="20"/>
                <w:szCs w:val="20"/>
              </w:rPr>
              <w:t>特博深</w:t>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4,900,000</w:t>
            </w:r>
            <w:r>
              <w:rPr>
                <w:rFonts w:ascii="Arial"/>
                <w:sz w:val="20"/>
              </w:rPr>
            </w:r>
          </w:p>
        </w:tc>
        <w:tc>
          <w:tcPr>
            <w:tcW w:w="2209" w:type="dxa"/>
            <w:gridSpan w:val="2"/>
            <w:tcBorders>
              <w:top w:val="nil" w:sz="6" w:space="0" w:color="auto"/>
              <w:left w:val="nil" w:sz="6" w:space="0" w:color="auto"/>
              <w:bottom w:val="nil" w:sz="6" w:space="0" w:color="auto"/>
              <w:right w:val="nil" w:sz="6" w:space="0" w:color="auto"/>
            </w:tcBorders>
          </w:tcPr>
          <w:p>
            <w:pPr>
              <w:pStyle w:val="TableParagraph"/>
              <w:spacing w:line="227" w:lineRule="exact"/>
              <w:ind w:left="127" w:right="0"/>
              <w:jc w:val="left"/>
              <w:rPr>
                <w:rFonts w:ascii="黑体" w:hAnsi="黑体" w:cs="黑体" w:eastAsia="黑体" w:hint="default"/>
                <w:sz w:val="20"/>
                <w:szCs w:val="20"/>
              </w:rPr>
            </w:pPr>
            <w:r>
              <w:rPr>
                <w:rFonts w:ascii="黑体" w:hAnsi="黑体" w:cs="黑体" w:eastAsia="黑体" w:hint="default"/>
                <w:sz w:val="20"/>
                <w:szCs w:val="20"/>
              </w:rPr>
              <w:t>未到合同约定的付款日</w:t>
            </w:r>
          </w:p>
        </w:tc>
      </w:tr>
      <w:tr>
        <w:trPr>
          <w:trHeight w:val="368" w:hRule="exact"/>
        </w:trPr>
        <w:tc>
          <w:tcPr>
            <w:tcW w:w="4444" w:type="dxa"/>
            <w:tcBorders>
              <w:top w:val="nil" w:sz="6" w:space="0" w:color="auto"/>
              <w:left w:val="nil" w:sz="6" w:space="0" w:color="auto"/>
              <w:bottom w:val="nil" w:sz="6" w:space="0" w:color="auto"/>
              <w:right w:val="nil" w:sz="6" w:space="0" w:color="auto"/>
            </w:tcBorders>
          </w:tcPr>
          <w:p>
            <w:pP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25"/>
              <w:jc w:val="right"/>
              <w:rPr>
                <w:rFonts w:ascii="Arial" w:hAnsi="Arial" w:cs="Arial" w:eastAsia="Arial" w:hint="default"/>
                <w:sz w:val="20"/>
                <w:szCs w:val="20"/>
              </w:rPr>
            </w:pPr>
            <w:r>
              <w:rPr>
                <w:rFonts w:ascii="Arial"/>
                <w:w w:val="100"/>
                <w:sz w:val="20"/>
              </w:rPr>
            </w:r>
            <w:r>
              <w:rPr>
                <w:rFonts w:ascii="Arial"/>
                <w:spacing w:val="-1"/>
                <w:sz w:val="20"/>
                <w:u w:val="thick" w:color="000000"/>
              </w:rPr>
              <w:t>191,396,620</w:t>
            </w:r>
            <w:r>
              <w:rPr>
                <w:rFonts w:ascii="Arial"/>
                <w:spacing w:val="-1"/>
                <w:sz w:val="20"/>
              </w:rPr>
            </w:r>
          </w:p>
        </w:tc>
        <w:tc>
          <w:tcPr>
            <w:tcW w:w="2209" w:type="dxa"/>
            <w:gridSpan w:val="2"/>
            <w:tcBorders>
              <w:top w:val="nil" w:sz="6" w:space="0" w:color="auto"/>
              <w:left w:val="nil" w:sz="6" w:space="0" w:color="auto"/>
              <w:bottom w:val="nil" w:sz="6" w:space="0" w:color="auto"/>
              <w:right w:val="nil" w:sz="6" w:space="0" w:color="auto"/>
            </w:tcBorders>
          </w:tcPr>
          <w:p>
            <w:pPr/>
          </w:p>
        </w:tc>
      </w:tr>
      <w:tr>
        <w:trPr>
          <w:trHeight w:val="490" w:hRule="exact"/>
        </w:trPr>
        <w:tc>
          <w:tcPr>
            <w:tcW w:w="705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9"/>
              <w:ind w:left="748" w:right="-5"/>
              <w:jc w:val="left"/>
              <w:rPr>
                <w:rFonts w:ascii="黑体" w:hAnsi="黑体" w:cs="黑体" w:eastAsia="黑体" w:hint="default"/>
                <w:sz w:val="20"/>
                <w:szCs w:val="20"/>
              </w:rPr>
            </w:pPr>
            <w:r>
              <w:rPr>
                <w:rFonts w:ascii="黑体" w:hAnsi="黑体" w:cs="黑体" w:eastAsia="黑体" w:hint="default"/>
                <w:spacing w:val="-1"/>
                <w:sz w:val="20"/>
                <w:szCs w:val="20"/>
              </w:rPr>
              <w:t>以上账龄超过</w:t>
            </w:r>
            <w:r>
              <w:rPr>
                <w:rFonts w:ascii="Arial" w:hAnsi="Arial" w:cs="Arial" w:eastAsia="Arial" w:hint="default"/>
                <w:spacing w:val="-1"/>
                <w:sz w:val="20"/>
                <w:szCs w:val="20"/>
              </w:rPr>
              <w:t>1</w:t>
            </w:r>
            <w:r>
              <w:rPr>
                <w:rFonts w:ascii="黑体" w:hAnsi="黑体" w:cs="黑体" w:eastAsia="黑体" w:hint="default"/>
                <w:spacing w:val="-1"/>
                <w:sz w:val="20"/>
                <w:szCs w:val="20"/>
              </w:rPr>
              <w:t>年的大额其他应付款，资产负债表日后无已偿还的金额。</w:t>
            </w:r>
          </w:p>
        </w:tc>
        <w:tc>
          <w:tcPr>
            <w:tcW w:w="1526" w:type="dxa"/>
            <w:tcBorders>
              <w:top w:val="nil" w:sz="6" w:space="0" w:color="auto"/>
              <w:left w:val="nil" w:sz="6" w:space="0" w:color="auto"/>
              <w:bottom w:val="nil" w:sz="6" w:space="0" w:color="auto"/>
              <w:right w:val="nil" w:sz="6" w:space="0" w:color="auto"/>
            </w:tcBorders>
          </w:tcPr>
          <w:p>
            <w:pPr/>
          </w:p>
        </w:tc>
      </w:tr>
      <w:tr>
        <w:trPr>
          <w:trHeight w:val="490" w:hRule="exact"/>
        </w:trPr>
        <w:tc>
          <w:tcPr>
            <w:tcW w:w="705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9"/>
              <w:ind w:left="748" w:right="0"/>
              <w:jc w:val="left"/>
              <w:rPr>
                <w:rFonts w:ascii="黑体" w:hAnsi="黑体" w:cs="黑体" w:eastAsia="黑体" w:hint="default"/>
                <w:sz w:val="20"/>
                <w:szCs w:val="20"/>
              </w:rPr>
            </w:pPr>
            <w:r>
              <w:rPr>
                <w:rFonts w:ascii="黑体" w:hAnsi="黑体" w:cs="黑体" w:eastAsia="黑体" w:hint="default"/>
                <w:sz w:val="20"/>
                <w:szCs w:val="20"/>
              </w:rPr>
              <w:t>于</w:t>
            </w:r>
            <w:r>
              <w:rPr>
                <w:rFonts w:ascii="Arial" w:hAnsi="Arial" w:cs="Arial" w:eastAsia="Arial" w:hint="default"/>
                <w:sz w:val="20"/>
                <w:szCs w:val="20"/>
              </w:rPr>
              <w:t>2008</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r>
              <w:rPr>
                <w:rFonts w:ascii="Arial" w:hAnsi="Arial" w:cs="Arial" w:eastAsia="Arial" w:hint="default"/>
                <w:sz w:val="20"/>
                <w:szCs w:val="20"/>
              </w:rPr>
              <w:t>,</w:t>
            </w:r>
            <w:r>
              <w:rPr>
                <w:rFonts w:ascii="黑体" w:hAnsi="黑体" w:cs="黑体" w:eastAsia="黑体" w:hint="default"/>
                <w:sz w:val="20"/>
                <w:szCs w:val="20"/>
              </w:rPr>
              <w:t>本账户余额中账龄无超过</w:t>
            </w:r>
            <w:r>
              <w:rPr>
                <w:rFonts w:ascii="Arial" w:hAnsi="Arial" w:cs="Arial" w:eastAsia="Arial" w:hint="default"/>
                <w:sz w:val="20"/>
                <w:szCs w:val="20"/>
              </w:rPr>
              <w:t>1</w:t>
            </w:r>
            <w:r>
              <w:rPr>
                <w:rFonts w:ascii="黑体" w:hAnsi="黑体" w:cs="黑体" w:eastAsia="黑体" w:hint="default"/>
                <w:sz w:val="20"/>
                <w:szCs w:val="20"/>
              </w:rPr>
              <w:t>年的大额款项。</w:t>
            </w:r>
          </w:p>
        </w:tc>
        <w:tc>
          <w:tcPr>
            <w:tcW w:w="1526" w:type="dxa"/>
            <w:tcBorders>
              <w:top w:val="nil" w:sz="6" w:space="0" w:color="auto"/>
              <w:left w:val="nil" w:sz="6" w:space="0" w:color="auto"/>
              <w:bottom w:val="nil" w:sz="6" w:space="0" w:color="auto"/>
              <w:right w:val="nil" w:sz="6" w:space="0" w:color="auto"/>
            </w:tcBorders>
          </w:tcPr>
          <w:p>
            <w:pPr/>
          </w:p>
        </w:tc>
      </w:tr>
      <w:tr>
        <w:trPr>
          <w:trHeight w:val="489" w:hRule="exact"/>
        </w:trPr>
        <w:tc>
          <w:tcPr>
            <w:tcW w:w="7056" w:type="dxa"/>
            <w:gridSpan w:val="3"/>
            <w:tcBorders>
              <w:top w:val="nil" w:sz="6" w:space="0" w:color="auto"/>
              <w:left w:val="nil" w:sz="6" w:space="0" w:color="auto"/>
              <w:bottom w:val="nil" w:sz="6" w:space="0" w:color="auto"/>
              <w:right w:val="nil" w:sz="6" w:space="0" w:color="auto"/>
            </w:tcBorders>
          </w:tcPr>
          <w:p>
            <w:pPr>
              <w:pStyle w:val="TableParagraph"/>
              <w:tabs>
                <w:tab w:pos="754" w:val="left" w:leader="none"/>
              </w:tabs>
              <w:spacing w:line="240" w:lineRule="auto" w:before="79"/>
              <w:ind w:left="35" w:right="0"/>
              <w:jc w:val="left"/>
              <w:rPr>
                <w:rFonts w:ascii="黑体" w:hAnsi="黑体" w:cs="黑体" w:eastAsia="黑体" w:hint="default"/>
                <w:sz w:val="20"/>
                <w:szCs w:val="20"/>
              </w:rPr>
            </w:pPr>
            <w:r>
              <w:rPr>
                <w:rFonts w:ascii="Arial" w:hAnsi="Arial" w:cs="Arial" w:eastAsia="Arial" w:hint="default"/>
                <w:b/>
                <w:bCs/>
                <w:spacing w:val="-1"/>
                <w:sz w:val="20"/>
                <w:szCs w:val="20"/>
              </w:rPr>
              <w:t>26.</w:t>
              <w:tab/>
            </w:r>
            <w:r>
              <w:rPr>
                <w:rFonts w:ascii="黑体" w:hAnsi="黑体" w:cs="黑体" w:eastAsia="黑体" w:hint="default"/>
                <w:b/>
                <w:bCs/>
                <w:sz w:val="20"/>
                <w:szCs w:val="20"/>
              </w:rPr>
              <w:t>其他流动负债</w:t>
            </w:r>
            <w:r>
              <w:rPr>
                <w:rFonts w:ascii="黑体" w:hAnsi="黑体" w:cs="黑体" w:eastAsia="黑体" w:hint="default"/>
                <w:sz w:val="20"/>
                <w:szCs w:val="20"/>
              </w:rPr>
            </w:r>
          </w:p>
        </w:tc>
        <w:tc>
          <w:tcPr>
            <w:tcW w:w="1526" w:type="dxa"/>
            <w:tcBorders>
              <w:top w:val="nil" w:sz="6" w:space="0" w:color="auto"/>
              <w:left w:val="nil" w:sz="6" w:space="0" w:color="auto"/>
              <w:bottom w:val="nil" w:sz="6" w:space="0" w:color="auto"/>
              <w:right w:val="nil" w:sz="6" w:space="0" w:color="auto"/>
            </w:tcBorders>
          </w:tcPr>
          <w:p>
            <w:pPr/>
          </w:p>
        </w:tc>
      </w:tr>
      <w:tr>
        <w:trPr>
          <w:trHeight w:val="488" w:hRule="exact"/>
        </w:trPr>
        <w:tc>
          <w:tcPr>
            <w:tcW w:w="705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7"/>
              <w:ind w:right="811"/>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3"/>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r>
      <w:tr>
        <w:trPr>
          <w:trHeight w:val="374" w:hRule="exact"/>
        </w:trPr>
        <w:tc>
          <w:tcPr>
            <w:tcW w:w="7056" w:type="dxa"/>
            <w:gridSpan w:val="3"/>
            <w:tcBorders>
              <w:top w:val="nil" w:sz="6" w:space="0" w:color="auto"/>
              <w:left w:val="nil" w:sz="6" w:space="0" w:color="auto"/>
              <w:bottom w:val="nil" w:sz="6" w:space="0" w:color="auto"/>
              <w:right w:val="nil" w:sz="6" w:space="0" w:color="auto"/>
            </w:tcBorders>
          </w:tcPr>
          <w:p>
            <w:pPr>
              <w:pStyle w:val="TableParagraph"/>
              <w:tabs>
                <w:tab w:pos="5352" w:val="left" w:leader="none"/>
              </w:tabs>
              <w:spacing w:line="240" w:lineRule="auto" w:before="79"/>
              <w:ind w:left="772" w:right="0"/>
              <w:jc w:val="left"/>
              <w:rPr>
                <w:rFonts w:ascii="Arial" w:hAnsi="Arial" w:cs="Arial" w:eastAsia="Arial" w:hint="default"/>
                <w:sz w:val="20"/>
                <w:szCs w:val="20"/>
              </w:rPr>
            </w:pPr>
            <w:r>
              <w:rPr>
                <w:rFonts w:ascii="黑体" w:hAnsi="黑体" w:cs="黑体" w:eastAsia="黑体" w:hint="default"/>
                <w:sz w:val="20"/>
                <w:szCs w:val="20"/>
              </w:rPr>
              <w:t>审计费</w:t>
              <w:tab/>
            </w:r>
            <w:r>
              <w:rPr>
                <w:rFonts w:ascii="Arial" w:hAnsi="Arial" w:cs="Arial" w:eastAsia="Arial" w:hint="default"/>
                <w:sz w:val="20"/>
                <w:szCs w:val="20"/>
              </w:rPr>
              <w:t>1,150,000</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Arial" w:hAnsi="Arial" w:cs="Arial" w:eastAsia="Arial" w:hint="default"/>
                <w:sz w:val="20"/>
                <w:szCs w:val="20"/>
              </w:rPr>
            </w:pPr>
            <w:r>
              <w:rPr>
                <w:rFonts w:ascii="Arial"/>
                <w:spacing w:val="-1"/>
                <w:sz w:val="20"/>
              </w:rPr>
              <w:t>1,200,000</w:t>
            </w:r>
          </w:p>
        </w:tc>
      </w:tr>
      <w:tr>
        <w:trPr>
          <w:trHeight w:val="259" w:hRule="exact"/>
        </w:trPr>
        <w:tc>
          <w:tcPr>
            <w:tcW w:w="7056" w:type="dxa"/>
            <w:gridSpan w:val="3"/>
            <w:tcBorders>
              <w:top w:val="nil" w:sz="6" w:space="0" w:color="auto"/>
              <w:left w:val="nil" w:sz="6" w:space="0" w:color="auto"/>
              <w:bottom w:val="nil" w:sz="6" w:space="0" w:color="auto"/>
              <w:right w:val="nil" w:sz="6" w:space="0" w:color="auto"/>
            </w:tcBorders>
          </w:tcPr>
          <w:p>
            <w:pPr>
              <w:pStyle w:val="TableParagraph"/>
              <w:tabs>
                <w:tab w:pos="5519" w:val="left" w:leader="none"/>
              </w:tabs>
              <w:spacing w:line="240" w:lineRule="exact"/>
              <w:ind w:left="772" w:right="0"/>
              <w:jc w:val="left"/>
              <w:rPr>
                <w:rFonts w:ascii="Arial" w:hAnsi="Arial" w:cs="Arial" w:eastAsia="Arial" w:hint="default"/>
                <w:sz w:val="20"/>
                <w:szCs w:val="20"/>
              </w:rPr>
            </w:pPr>
            <w:r>
              <w:rPr>
                <w:rFonts w:ascii="黑体" w:hAnsi="黑体" w:cs="黑体" w:eastAsia="黑体" w:hint="default"/>
                <w:spacing w:val="-1"/>
                <w:sz w:val="20"/>
                <w:szCs w:val="20"/>
              </w:rPr>
              <w:t>专业咨询费</w:t>
              <w:tab/>
            </w:r>
            <w:r>
              <w:rPr>
                <w:rFonts w:ascii="Arial" w:hAnsi="Arial" w:cs="Arial" w:eastAsia="Arial" w:hint="default"/>
                <w:spacing w:val="-1"/>
                <w:sz w:val="20"/>
                <w:szCs w:val="20"/>
              </w:rPr>
              <w:t>579,780</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673,384</w:t>
            </w:r>
          </w:p>
        </w:tc>
      </w:tr>
      <w:tr>
        <w:trPr>
          <w:trHeight w:val="259" w:hRule="exact"/>
        </w:trPr>
        <w:tc>
          <w:tcPr>
            <w:tcW w:w="7056" w:type="dxa"/>
            <w:gridSpan w:val="3"/>
            <w:tcBorders>
              <w:top w:val="nil" w:sz="6" w:space="0" w:color="auto"/>
              <w:left w:val="nil" w:sz="6" w:space="0" w:color="auto"/>
              <w:bottom w:val="nil" w:sz="6" w:space="0" w:color="auto"/>
              <w:right w:val="nil" w:sz="6" w:space="0" w:color="auto"/>
            </w:tcBorders>
          </w:tcPr>
          <w:p>
            <w:pPr>
              <w:pStyle w:val="TableParagraph"/>
              <w:tabs>
                <w:tab w:pos="5519" w:val="left" w:leader="none"/>
              </w:tabs>
              <w:spacing w:line="240" w:lineRule="exact"/>
              <w:ind w:left="772" w:right="0"/>
              <w:jc w:val="left"/>
              <w:rPr>
                <w:rFonts w:ascii="Arial" w:hAnsi="Arial" w:cs="Arial" w:eastAsia="Arial" w:hint="default"/>
                <w:sz w:val="20"/>
                <w:szCs w:val="20"/>
              </w:rPr>
            </w:pPr>
            <w:r>
              <w:rPr>
                <w:rFonts w:ascii="黑体" w:hAnsi="黑体" w:cs="黑体" w:eastAsia="黑体" w:hint="default"/>
                <w:sz w:val="20"/>
                <w:szCs w:val="20"/>
              </w:rPr>
              <w:t>房租</w:t>
              <w:tab/>
            </w:r>
            <w:r>
              <w:rPr>
                <w:rFonts w:ascii="Arial" w:hAnsi="Arial" w:cs="Arial" w:eastAsia="Arial" w:hint="default"/>
                <w:sz w:val="20"/>
                <w:szCs w:val="20"/>
              </w:rPr>
              <w:t>170,841</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233,774</w:t>
            </w:r>
          </w:p>
        </w:tc>
      </w:tr>
      <w:tr>
        <w:trPr>
          <w:trHeight w:val="364" w:hRule="exact"/>
        </w:trPr>
        <w:tc>
          <w:tcPr>
            <w:tcW w:w="7056" w:type="dxa"/>
            <w:gridSpan w:val="3"/>
            <w:tcBorders>
              <w:top w:val="nil" w:sz="6" w:space="0" w:color="auto"/>
              <w:left w:val="nil" w:sz="6" w:space="0" w:color="auto"/>
              <w:bottom w:val="nil" w:sz="6" w:space="0" w:color="auto"/>
              <w:right w:val="nil" w:sz="6" w:space="0" w:color="auto"/>
            </w:tcBorders>
          </w:tcPr>
          <w:p>
            <w:pPr>
              <w:pStyle w:val="TableParagraph"/>
              <w:tabs>
                <w:tab w:pos="5352" w:val="left" w:leader="none"/>
              </w:tabs>
              <w:spacing w:line="240" w:lineRule="exact"/>
              <w:ind w:left="772" w:right="0"/>
              <w:jc w:val="left"/>
              <w:rPr>
                <w:rFonts w:ascii="Arial" w:hAnsi="Arial" w:cs="Arial" w:eastAsia="Arial" w:hint="default"/>
                <w:sz w:val="20"/>
                <w:szCs w:val="20"/>
              </w:rPr>
            </w:pPr>
            <w:r>
              <w:rPr>
                <w:rFonts w:ascii="黑体" w:hAnsi="黑体" w:cs="黑体" w:eastAsia="黑体" w:hint="default"/>
                <w:sz w:val="20"/>
                <w:szCs w:val="20"/>
              </w:rPr>
              <w:t>其他</w:t>
              <w:tab/>
            </w:r>
            <w:r>
              <w:rPr>
                <w:rFonts w:ascii="Arial" w:hAnsi="Arial" w:cs="Arial" w:eastAsia="Arial" w:hint="default"/>
                <w:sz w:val="20"/>
                <w:szCs w:val="20"/>
              </w:rPr>
            </w:r>
            <w:r>
              <w:rPr>
                <w:rFonts w:ascii="Arial" w:hAnsi="Arial" w:cs="Arial" w:eastAsia="Arial" w:hint="default"/>
                <w:sz w:val="20"/>
                <w:szCs w:val="20"/>
                <w:u w:val="single" w:color="000000"/>
              </w:rPr>
              <w:t>3,224,680</w:t>
            </w:r>
            <w:r>
              <w:rPr>
                <w:rFonts w:ascii="Arial" w:hAnsi="Arial" w:cs="Arial" w:eastAsia="Arial" w:hint="default"/>
                <w:sz w:val="20"/>
                <w:szCs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spacing w:val="-1"/>
                <w:sz w:val="20"/>
                <w:u w:val="single" w:color="000000"/>
              </w:rPr>
              <w:t>2,401,534</w:t>
            </w:r>
            <w:r>
              <w:rPr>
                <w:rFonts w:ascii="Arial"/>
                <w:spacing w:val="-1"/>
                <w:sz w:val="20"/>
              </w:rPr>
            </w:r>
          </w:p>
        </w:tc>
      </w:tr>
      <w:tr>
        <w:trPr>
          <w:trHeight w:val="431" w:hRule="exact"/>
        </w:trPr>
        <w:tc>
          <w:tcPr>
            <w:tcW w:w="705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05"/>
              <w:ind w:right="812"/>
              <w:jc w:val="right"/>
              <w:rPr>
                <w:rFonts w:ascii="Arial" w:hAnsi="Arial" w:cs="Arial" w:eastAsia="Arial" w:hint="default"/>
                <w:sz w:val="20"/>
                <w:szCs w:val="20"/>
              </w:rPr>
            </w:pPr>
            <w:r>
              <w:rPr>
                <w:rFonts w:ascii="Arial"/>
                <w:w w:val="100"/>
                <w:sz w:val="20"/>
              </w:rPr>
            </w:r>
            <w:r>
              <w:rPr>
                <w:rFonts w:ascii="Arial"/>
                <w:spacing w:val="-1"/>
                <w:sz w:val="20"/>
                <w:u w:val="thick" w:color="000000"/>
              </w:rPr>
              <w:t>5,125,301</w:t>
            </w:r>
            <w:r>
              <w:rPr>
                <w:rFonts w:ascii="Arial"/>
                <w:spacing w:val="-1"/>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4,508,692</w:t>
            </w:r>
            <w:r>
              <w:rPr>
                <w:rFonts w:ascii="Arial"/>
                <w:spacing w:val="-1"/>
                <w:sz w:val="20"/>
              </w:rPr>
            </w:r>
          </w:p>
        </w:tc>
      </w:tr>
    </w:tbl>
    <w:p>
      <w:pPr>
        <w:spacing w:after="0" w:line="240" w:lineRule="auto"/>
        <w:jc w:val="right"/>
        <w:rPr>
          <w:rFonts w:ascii="Arial" w:hAnsi="Arial" w:cs="Arial" w:eastAsia="Arial" w:hint="default"/>
          <w:sz w:val="20"/>
          <w:szCs w:val="20"/>
        </w:rPr>
        <w:sectPr>
          <w:pgSz w:w="11910" w:h="16840"/>
          <w:pgMar w:header="958" w:footer="462" w:top="2540" w:bottom="660" w:left="1560" w:right="1540"/>
        </w:sectPr>
      </w:pP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7"/>
          <w:szCs w:val="17"/>
        </w:rPr>
      </w:pPr>
    </w:p>
    <w:p>
      <w:pPr>
        <w:tabs>
          <w:tab w:pos="821"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20"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27.</w:t>
        <w:tab/>
      </w:r>
      <w:r>
        <w:rPr>
          <w:rFonts w:ascii="黑体" w:hAnsi="黑体" w:cs="黑体" w:eastAsia="黑体" w:hint="default"/>
          <w:b/>
          <w:bCs/>
          <w:sz w:val="20"/>
          <w:szCs w:val="20"/>
        </w:rPr>
        <w:t>其他非流动负债</w:t>
      </w:r>
      <w:r>
        <w:rPr>
          <w:rFonts w:ascii="黑体" w:hAnsi="黑体" w:cs="黑体" w:eastAsia="黑体" w:hint="default"/>
          <w:sz w:val="20"/>
          <w:szCs w:val="20"/>
        </w:rPr>
      </w:r>
    </w:p>
    <w:p>
      <w:pPr>
        <w:spacing w:line="240" w:lineRule="auto" w:before="2"/>
        <w:rPr>
          <w:rFonts w:ascii="黑体" w:hAnsi="黑体" w:cs="黑体" w:eastAsia="黑体" w:hint="default"/>
          <w:b/>
          <w:bCs/>
          <w:sz w:val="14"/>
          <w:szCs w:val="14"/>
        </w:rPr>
      </w:pPr>
    </w:p>
    <w:p>
      <w:pPr>
        <w:pStyle w:val="BodyText"/>
        <w:spacing w:line="240" w:lineRule="auto" w:before="38"/>
        <w:ind w:left="5421" w:right="0"/>
        <w:jc w:val="left"/>
      </w:pP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w:t>
      </w:r>
      <w:r>
        <w:rPr>
          <w:spacing w:val="66"/>
        </w:rPr>
        <w:t> </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w:t>
      </w:r>
    </w:p>
    <w:p>
      <w:pPr>
        <w:spacing w:line="240" w:lineRule="auto" w:before="3"/>
        <w:rPr>
          <w:rFonts w:ascii="黑体" w:hAnsi="黑体" w:cs="黑体" w:eastAsia="黑体" w:hint="default"/>
          <w:sz w:val="16"/>
          <w:szCs w:val="16"/>
        </w:rPr>
      </w:pPr>
    </w:p>
    <w:p>
      <w:pPr>
        <w:pStyle w:val="BodyText"/>
        <w:tabs>
          <w:tab w:pos="5909" w:val="left" w:leader="none"/>
          <w:tab w:pos="7569" w:val="left" w:leader="none"/>
        </w:tabs>
        <w:spacing w:line="240" w:lineRule="auto"/>
        <w:ind w:left="821" w:right="0"/>
        <w:jc w:val="left"/>
        <w:rPr>
          <w:rFonts w:ascii="Arial" w:hAnsi="Arial" w:cs="Arial" w:eastAsia="Arial" w:hint="default"/>
        </w:rPr>
      </w:pPr>
      <w:r>
        <w:rPr>
          <w:position w:val="-2"/>
        </w:rPr>
        <w:t>递延收益</w:t>
        <w:tab/>
      </w:r>
      <w:r>
        <w:rPr>
          <w:rFonts w:ascii="Arial" w:hAnsi="Arial" w:cs="Arial" w:eastAsia="Arial" w:hint="default"/>
        </w:rPr>
      </w:r>
      <w:r>
        <w:rPr>
          <w:rFonts w:ascii="Arial" w:hAnsi="Arial" w:cs="Arial" w:eastAsia="Arial" w:hint="default"/>
          <w:spacing w:val="-1"/>
          <w:u w:val="thick" w:color="000000"/>
        </w:rPr>
        <w:t>13,862,234</w:t>
      </w:r>
      <w:r>
        <w:rPr>
          <w:rFonts w:ascii="Arial" w:hAnsi="Arial" w:cs="Arial" w:eastAsia="Arial" w:hint="default"/>
          <w:spacing w:val="-1"/>
        </w:rPr>
        <w:tab/>
      </w:r>
      <w:r>
        <w:rPr>
          <w:rFonts w:ascii="Arial" w:hAnsi="Arial" w:cs="Arial" w:eastAsia="Arial" w:hint="default"/>
          <w:spacing w:val="-1"/>
          <w:u w:val="thick" w:color="000000"/>
        </w:rPr>
        <w:t>25,669,034</w:t>
      </w:r>
      <w:r>
        <w:rPr>
          <w:rFonts w:ascii="Arial" w:hAnsi="Arial" w:cs="Arial" w:eastAsia="Arial" w:hint="default"/>
          <w:spacing w:val="-1"/>
        </w:rPr>
      </w:r>
    </w:p>
    <w:p>
      <w:pPr>
        <w:spacing w:line="240" w:lineRule="auto" w:before="4"/>
        <w:rPr>
          <w:rFonts w:ascii="Arial" w:hAnsi="Arial" w:cs="Arial" w:eastAsia="Arial" w:hint="default"/>
          <w:sz w:val="18"/>
          <w:szCs w:val="18"/>
        </w:rPr>
      </w:pPr>
    </w:p>
    <w:p>
      <w:pPr>
        <w:pStyle w:val="BodyText"/>
        <w:spacing w:line="240" w:lineRule="auto" w:before="38"/>
        <w:ind w:right="0"/>
        <w:jc w:val="left"/>
      </w:pPr>
      <w:r>
        <w:rPr/>
        <w:t>其中，递延收益如下：</w:t>
      </w:r>
    </w:p>
    <w:p>
      <w:pPr>
        <w:spacing w:line="240" w:lineRule="auto" w:before="13"/>
        <w:rPr>
          <w:rFonts w:ascii="黑体" w:hAnsi="黑体" w:cs="黑体" w:eastAsia="黑体" w:hint="default"/>
          <w:sz w:val="15"/>
          <w:szCs w:val="15"/>
        </w:rPr>
      </w:pPr>
    </w:p>
    <w:p>
      <w:pPr>
        <w:tabs>
          <w:tab w:pos="7278" w:val="left" w:leader="none"/>
        </w:tabs>
        <w:spacing w:before="44"/>
        <w:ind w:left="5577" w:right="0" w:firstLine="0"/>
        <w:jc w:val="left"/>
        <w:rPr>
          <w:rFonts w:ascii="黑体" w:hAnsi="黑体" w:cs="黑体" w:eastAsia="黑体" w:hint="default"/>
          <w:sz w:val="18"/>
          <w:szCs w:val="18"/>
        </w:rPr>
      </w:pPr>
      <w:r>
        <w:rPr>
          <w:rFonts w:ascii="Arial" w:hAnsi="Arial" w:cs="Arial" w:eastAsia="Arial" w:hint="default"/>
          <w:spacing w:val="-1"/>
          <w:sz w:val="18"/>
          <w:szCs w:val="18"/>
        </w:rPr>
        <w:t>2009</w:t>
      </w:r>
      <w:r>
        <w:rPr>
          <w:rFonts w:ascii="黑体" w:hAnsi="黑体" w:cs="黑体" w:eastAsia="黑体" w:hint="default"/>
          <w:spacing w:val="-1"/>
          <w:sz w:val="18"/>
          <w:szCs w:val="18"/>
        </w:rPr>
        <w:t>年</w:t>
      </w:r>
      <w:r>
        <w:rPr>
          <w:rFonts w:ascii="Arial" w:hAnsi="Arial" w:cs="Arial" w:eastAsia="Arial" w:hint="default"/>
          <w:spacing w:val="-1"/>
          <w:sz w:val="18"/>
          <w:szCs w:val="18"/>
        </w:rPr>
        <w:t>12</w:t>
      </w:r>
      <w:r>
        <w:rPr>
          <w:rFonts w:ascii="黑体" w:hAnsi="黑体" w:cs="黑体" w:eastAsia="黑体" w:hint="default"/>
          <w:spacing w:val="-1"/>
          <w:sz w:val="18"/>
          <w:szCs w:val="18"/>
        </w:rPr>
        <w:t>月</w:t>
      </w:r>
      <w:r>
        <w:rPr>
          <w:rFonts w:ascii="Arial" w:hAnsi="Arial" w:cs="Arial" w:eastAsia="Arial" w:hint="default"/>
          <w:spacing w:val="-1"/>
          <w:sz w:val="18"/>
          <w:szCs w:val="18"/>
        </w:rPr>
        <w:t>31</w:t>
      </w:r>
      <w:r>
        <w:rPr>
          <w:rFonts w:ascii="黑体" w:hAnsi="黑体" w:cs="黑体" w:eastAsia="黑体" w:hint="default"/>
          <w:spacing w:val="-1"/>
          <w:sz w:val="18"/>
          <w:szCs w:val="18"/>
        </w:rPr>
        <w:t>日</w:t>
        <w:tab/>
      </w:r>
      <w:r>
        <w:rPr>
          <w:rFonts w:ascii="Arial" w:hAnsi="Arial" w:cs="Arial" w:eastAsia="Arial" w:hint="default"/>
          <w:spacing w:val="-1"/>
          <w:sz w:val="18"/>
          <w:szCs w:val="18"/>
        </w:rPr>
        <w:t>2008</w:t>
      </w:r>
      <w:r>
        <w:rPr>
          <w:rFonts w:ascii="黑体" w:hAnsi="黑体" w:cs="黑体" w:eastAsia="黑体" w:hint="default"/>
          <w:spacing w:val="-1"/>
          <w:sz w:val="18"/>
          <w:szCs w:val="18"/>
        </w:rPr>
        <w:t>年</w:t>
      </w:r>
      <w:r>
        <w:rPr>
          <w:rFonts w:ascii="Arial" w:hAnsi="Arial" w:cs="Arial" w:eastAsia="Arial" w:hint="default"/>
          <w:spacing w:val="-1"/>
          <w:sz w:val="18"/>
          <w:szCs w:val="18"/>
        </w:rPr>
        <w:t>12</w:t>
      </w:r>
      <w:r>
        <w:rPr>
          <w:rFonts w:ascii="黑体" w:hAnsi="黑体" w:cs="黑体" w:eastAsia="黑体" w:hint="default"/>
          <w:spacing w:val="-1"/>
          <w:sz w:val="18"/>
          <w:szCs w:val="18"/>
        </w:rPr>
        <w:t>月</w:t>
      </w:r>
      <w:r>
        <w:rPr>
          <w:rFonts w:ascii="Arial" w:hAnsi="Arial" w:cs="Arial" w:eastAsia="Arial" w:hint="default"/>
          <w:spacing w:val="-1"/>
          <w:sz w:val="18"/>
          <w:szCs w:val="18"/>
        </w:rPr>
        <w:t>31</w:t>
      </w:r>
      <w:r>
        <w:rPr>
          <w:rFonts w:ascii="黑体" w:hAnsi="黑体" w:cs="黑体" w:eastAsia="黑体" w:hint="default"/>
          <w:spacing w:val="-1"/>
          <w:sz w:val="18"/>
          <w:szCs w:val="18"/>
        </w:rPr>
        <w:t>日</w:t>
      </w:r>
    </w:p>
    <w:p>
      <w:pPr>
        <w:spacing w:line="240" w:lineRule="auto" w:before="2"/>
        <w:rPr>
          <w:rFonts w:ascii="黑体" w:hAnsi="黑体" w:cs="黑体" w:eastAsia="黑体" w:hint="default"/>
          <w:sz w:val="16"/>
          <w:szCs w:val="16"/>
        </w:rPr>
      </w:pPr>
    </w:p>
    <w:p>
      <w:pPr>
        <w:spacing w:after="0" w:line="240" w:lineRule="auto"/>
        <w:rPr>
          <w:rFonts w:ascii="黑体" w:hAnsi="黑体" w:cs="黑体" w:eastAsia="黑体" w:hint="default"/>
          <w:sz w:val="16"/>
          <w:szCs w:val="16"/>
        </w:rPr>
        <w:sectPr>
          <w:pgSz w:w="11910" w:h="16840"/>
          <w:pgMar w:header="958" w:footer="462" w:top="2540" w:bottom="660" w:left="1600" w:right="1540"/>
        </w:sectPr>
      </w:pPr>
    </w:p>
    <w:p>
      <w:pPr>
        <w:spacing w:line="232" w:lineRule="exact" w:before="73"/>
        <w:ind w:left="1011" w:right="-18" w:hanging="162"/>
        <w:jc w:val="left"/>
        <w:rPr>
          <w:rFonts w:ascii="黑体" w:hAnsi="黑体" w:cs="黑体" w:eastAsia="黑体" w:hint="default"/>
          <w:sz w:val="18"/>
          <w:szCs w:val="18"/>
        </w:rPr>
      </w:pPr>
      <w:r>
        <w:rPr>
          <w:rFonts w:ascii="黑体" w:hAnsi="黑体" w:cs="黑体" w:eastAsia="黑体" w:hint="default"/>
          <w:spacing w:val="-3"/>
          <w:sz w:val="18"/>
          <w:szCs w:val="18"/>
        </w:rPr>
        <w:t>北京市科学技术委员会：“基于</w:t>
      </w:r>
      <w:r>
        <w:rPr>
          <w:rFonts w:ascii="黑体" w:hAnsi="黑体" w:cs="黑体" w:eastAsia="黑体" w:hint="default"/>
          <w:spacing w:val="-42"/>
          <w:sz w:val="18"/>
          <w:szCs w:val="18"/>
        </w:rPr>
        <w:t> </w:t>
      </w:r>
      <w:r>
        <w:rPr>
          <w:rFonts w:ascii="Arial" w:hAnsi="Arial" w:cs="Arial" w:eastAsia="Arial" w:hint="default"/>
          <w:sz w:val="18"/>
          <w:szCs w:val="18"/>
        </w:rPr>
        <w:t>SOA</w:t>
      </w:r>
      <w:r>
        <w:rPr>
          <w:rFonts w:ascii="Arial" w:hAnsi="Arial" w:cs="Arial" w:eastAsia="Arial" w:hint="default"/>
          <w:spacing w:val="-2"/>
          <w:sz w:val="18"/>
          <w:szCs w:val="18"/>
        </w:rPr>
        <w:t> </w:t>
      </w:r>
      <w:r>
        <w:rPr>
          <w:rFonts w:ascii="黑体" w:hAnsi="黑体" w:cs="黑体" w:eastAsia="黑体" w:hint="default"/>
          <w:sz w:val="18"/>
          <w:szCs w:val="18"/>
        </w:rPr>
        <w:t>架构的新一代企 业管理应用系统</w:t>
      </w:r>
      <w:r>
        <w:rPr>
          <w:rFonts w:ascii="Arial" w:hAnsi="Arial" w:cs="Arial" w:eastAsia="Arial" w:hint="default"/>
          <w:sz w:val="18"/>
          <w:szCs w:val="18"/>
        </w:rPr>
        <w:t>(U9)</w:t>
      </w:r>
      <w:r>
        <w:rPr>
          <w:rFonts w:ascii="黑体" w:hAnsi="黑体" w:cs="黑体" w:eastAsia="黑体" w:hint="default"/>
          <w:sz w:val="18"/>
          <w:szCs w:val="18"/>
        </w:rPr>
        <w:t>研发及产业化”</w:t>
      </w:r>
    </w:p>
    <w:p>
      <w:pPr>
        <w:spacing w:line="232" w:lineRule="exact" w:before="2"/>
        <w:ind w:left="1011" w:right="56" w:hanging="162"/>
        <w:jc w:val="left"/>
        <w:rPr>
          <w:rFonts w:ascii="黑体" w:hAnsi="黑体" w:cs="黑体" w:eastAsia="黑体" w:hint="default"/>
          <w:sz w:val="18"/>
          <w:szCs w:val="18"/>
        </w:rPr>
      </w:pPr>
      <w:r>
        <w:rPr>
          <w:rFonts w:ascii="黑体" w:hAnsi="黑体" w:cs="黑体" w:eastAsia="黑体" w:hint="default"/>
          <w:sz w:val="18"/>
          <w:szCs w:val="18"/>
        </w:rPr>
        <w:t>北京市发展与改革委员会：“基于移动应用技术的企 业管理信息系统的研发及应用”</w:t>
      </w:r>
    </w:p>
    <w:p>
      <w:pPr>
        <w:tabs>
          <w:tab w:pos="2550" w:val="left" w:leader="none"/>
        </w:tabs>
        <w:spacing w:before="81"/>
        <w:ind w:left="1588" w:right="0" w:firstLine="0"/>
        <w:jc w:val="left"/>
        <w:rPr>
          <w:rFonts w:ascii="Arial" w:hAnsi="Arial" w:cs="Arial" w:eastAsia="Arial" w:hint="default"/>
          <w:sz w:val="18"/>
          <w:szCs w:val="18"/>
        </w:rPr>
      </w:pPr>
      <w:r>
        <w:rPr/>
        <w:br w:type="column"/>
      </w:r>
      <w:r>
        <w:rPr>
          <w:rFonts w:ascii="Arial"/>
          <w:position w:val="1"/>
          <w:sz w:val="18"/>
        </w:rPr>
        <w:t>-</w:t>
        <w:tab/>
      </w:r>
      <w:r>
        <w:rPr>
          <w:rFonts w:ascii="Arial"/>
          <w:sz w:val="18"/>
        </w:rPr>
        <w:t>7,336,300</w:t>
      </w:r>
    </w:p>
    <w:p>
      <w:pPr>
        <w:spacing w:line="240" w:lineRule="auto" w:before="8"/>
        <w:rPr>
          <w:rFonts w:ascii="Arial" w:hAnsi="Arial" w:cs="Arial" w:eastAsia="Arial" w:hint="default"/>
          <w:sz w:val="21"/>
          <w:szCs w:val="21"/>
        </w:rPr>
      </w:pPr>
    </w:p>
    <w:p>
      <w:pPr>
        <w:tabs>
          <w:tab w:pos="3289" w:val="left" w:leader="none"/>
        </w:tabs>
        <w:spacing w:before="0"/>
        <w:ind w:left="849" w:right="0" w:firstLine="0"/>
        <w:jc w:val="left"/>
        <w:rPr>
          <w:rFonts w:ascii="Arial" w:hAnsi="Arial" w:cs="Arial" w:eastAsia="Arial" w:hint="default"/>
          <w:sz w:val="18"/>
          <w:szCs w:val="18"/>
        </w:rPr>
      </w:pPr>
      <w:r>
        <w:rPr>
          <w:rFonts w:ascii="Arial"/>
          <w:spacing w:val="-1"/>
          <w:position w:val="1"/>
          <w:sz w:val="18"/>
        </w:rPr>
        <w:t>9,000,000</w:t>
        <w:tab/>
      </w:r>
      <w:r>
        <w:rPr>
          <w:rFonts w:ascii="Arial"/>
          <w:sz w:val="18"/>
        </w:rPr>
        <w:t>-</w:t>
      </w:r>
    </w:p>
    <w:p>
      <w:pPr>
        <w:spacing w:after="0"/>
        <w:jc w:val="left"/>
        <w:rPr>
          <w:rFonts w:ascii="Arial" w:hAnsi="Arial" w:cs="Arial" w:eastAsia="Arial" w:hint="default"/>
          <w:sz w:val="18"/>
          <w:szCs w:val="18"/>
        </w:rPr>
        <w:sectPr>
          <w:type w:val="continuous"/>
          <w:pgSz w:w="11910" w:h="16840"/>
          <w:pgMar w:top="900" w:bottom="280" w:left="1600" w:right="1540"/>
          <w:cols w:num="2" w:equalWidth="0">
            <w:col w:w="5066" w:space="203"/>
            <w:col w:w="3501"/>
          </w:cols>
        </w:sectPr>
      </w:pPr>
    </w:p>
    <w:tbl>
      <w:tblPr>
        <w:tblW w:w="0" w:type="auto"/>
        <w:jc w:val="left"/>
        <w:tblInd w:w="814" w:type="dxa"/>
        <w:tblLayout w:type="fixed"/>
        <w:tblCellMar>
          <w:top w:w="0" w:type="dxa"/>
          <w:left w:w="0" w:type="dxa"/>
          <w:bottom w:w="0" w:type="dxa"/>
          <w:right w:w="0" w:type="dxa"/>
        </w:tblCellMar>
        <w:tblLook w:val="01E0"/>
      </w:tblPr>
      <w:tblGrid>
        <w:gridCol w:w="4717"/>
        <w:gridCol w:w="1782"/>
        <w:gridCol w:w="1341"/>
      </w:tblGrid>
      <w:tr>
        <w:trPr>
          <w:trHeight w:val="234"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黑体" w:hAnsi="黑体" w:cs="黑体" w:eastAsia="黑体" w:hint="default"/>
                <w:sz w:val="18"/>
                <w:szCs w:val="18"/>
              </w:rPr>
            </w:pPr>
            <w:r>
              <w:rPr>
                <w:rFonts w:ascii="黑体" w:hAnsi="黑体" w:cs="黑体" w:eastAsia="黑体" w:hint="default"/>
                <w:sz w:val="18"/>
                <w:szCs w:val="18"/>
              </w:rPr>
              <w:t>面向网络和移动应用的</w:t>
            </w:r>
            <w:r>
              <w:rPr>
                <w:rFonts w:ascii="黑体" w:hAnsi="黑体" w:cs="黑体" w:eastAsia="黑体" w:hint="default"/>
                <w:spacing w:val="-47"/>
                <w:sz w:val="18"/>
                <w:szCs w:val="18"/>
              </w:rPr>
              <w:t> </w:t>
            </w:r>
            <w:r>
              <w:rPr>
                <w:rFonts w:ascii="Arial" w:hAnsi="Arial" w:cs="Arial" w:eastAsia="Arial" w:hint="default"/>
                <w:sz w:val="18"/>
                <w:szCs w:val="18"/>
              </w:rPr>
              <w:t>ERP</w:t>
            </w:r>
            <w:r>
              <w:rPr>
                <w:rFonts w:ascii="Arial" w:hAnsi="Arial" w:cs="Arial" w:eastAsia="Arial" w:hint="default"/>
                <w:spacing w:val="-6"/>
                <w:sz w:val="18"/>
                <w:szCs w:val="18"/>
              </w:rPr>
              <w:t> </w:t>
            </w:r>
            <w:r>
              <w:rPr>
                <w:rFonts w:ascii="黑体" w:hAnsi="黑体" w:cs="黑体" w:eastAsia="黑体" w:hint="default"/>
                <w:sz w:val="18"/>
                <w:szCs w:val="18"/>
              </w:rPr>
              <w:t>系统产业化项目</w:t>
            </w:r>
          </w:p>
        </w:tc>
        <w:tc>
          <w:tcPr>
            <w:tcW w:w="1782" w:type="dxa"/>
            <w:tcBorders>
              <w:top w:val="nil" w:sz="6" w:space="0" w:color="auto"/>
              <w:left w:val="nil" w:sz="6" w:space="0" w:color="auto"/>
              <w:bottom w:val="nil" w:sz="6" w:space="0" w:color="auto"/>
              <w:right w:val="nil" w:sz="6" w:space="0" w:color="auto"/>
            </w:tcBorders>
          </w:tcPr>
          <w:p>
            <w:pPr>
              <w:pStyle w:val="TableParagraph"/>
              <w:spacing w:line="194" w:lineRule="exact"/>
              <w:ind w:right="394"/>
              <w:jc w:val="right"/>
              <w:rPr>
                <w:rFonts w:ascii="Arial" w:hAnsi="Arial" w:cs="Arial" w:eastAsia="Arial" w:hint="default"/>
                <w:sz w:val="18"/>
                <w:szCs w:val="18"/>
              </w:rPr>
            </w:pPr>
            <w:r>
              <w:rPr>
                <w:rFonts w:ascii="Arial"/>
                <w:w w:val="99"/>
                <w:sz w:val="18"/>
              </w:rPr>
              <w:t>-</w:t>
            </w:r>
            <w:r>
              <w:rPr>
                <w:rFonts w:ascii="Arial"/>
                <w:sz w:val="18"/>
              </w:rPr>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3"/>
              <w:jc w:val="right"/>
              <w:rPr>
                <w:rFonts w:ascii="Arial" w:hAnsi="Arial" w:cs="Arial" w:eastAsia="Arial" w:hint="default"/>
                <w:sz w:val="18"/>
                <w:szCs w:val="18"/>
              </w:rPr>
            </w:pPr>
            <w:r>
              <w:rPr>
                <w:rFonts w:ascii="Arial"/>
                <w:spacing w:val="-1"/>
                <w:sz w:val="18"/>
              </w:rPr>
              <w:t>6,000,000</w:t>
            </w:r>
          </w:p>
        </w:tc>
      </w:tr>
      <w:tr>
        <w:trPr>
          <w:trHeight w:val="224"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27" w:lineRule="exact"/>
              <w:ind w:left="35" w:right="0"/>
              <w:jc w:val="left"/>
              <w:rPr>
                <w:rFonts w:ascii="黑体" w:hAnsi="黑体" w:cs="黑体" w:eastAsia="黑体" w:hint="default"/>
                <w:sz w:val="18"/>
                <w:szCs w:val="18"/>
              </w:rPr>
            </w:pPr>
            <w:r>
              <w:rPr>
                <w:rFonts w:ascii="黑体" w:hAnsi="黑体" w:cs="黑体" w:eastAsia="黑体" w:hint="default"/>
                <w:sz w:val="18"/>
                <w:szCs w:val="18"/>
              </w:rPr>
              <w:t>国家</w:t>
            </w:r>
            <w:r>
              <w:rPr>
                <w:rFonts w:ascii="黑体" w:hAnsi="黑体" w:cs="黑体" w:eastAsia="黑体" w:hint="default"/>
                <w:spacing w:val="-47"/>
                <w:sz w:val="18"/>
                <w:szCs w:val="18"/>
              </w:rPr>
              <w:t> </w:t>
            </w:r>
            <w:r>
              <w:rPr>
                <w:rFonts w:ascii="Arial" w:hAnsi="Arial" w:cs="Arial" w:eastAsia="Arial" w:hint="default"/>
                <w:sz w:val="18"/>
                <w:szCs w:val="18"/>
              </w:rPr>
              <w:t>863</w:t>
            </w:r>
            <w:r>
              <w:rPr>
                <w:rFonts w:ascii="Arial" w:hAnsi="Arial" w:cs="Arial" w:eastAsia="Arial" w:hint="default"/>
                <w:spacing w:val="-8"/>
                <w:sz w:val="18"/>
                <w:szCs w:val="18"/>
              </w:rPr>
              <w:t> </w:t>
            </w:r>
            <w:r>
              <w:rPr>
                <w:rFonts w:ascii="黑体" w:hAnsi="黑体" w:cs="黑体" w:eastAsia="黑体" w:hint="default"/>
                <w:sz w:val="18"/>
                <w:szCs w:val="18"/>
              </w:rPr>
              <w:t>计划：业务驱动的多企业资源协调管理系统</w:t>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93"/>
              <w:jc w:val="right"/>
              <w:rPr>
                <w:rFonts w:ascii="Arial" w:hAnsi="Arial" w:cs="Arial" w:eastAsia="Arial" w:hint="default"/>
                <w:sz w:val="18"/>
                <w:szCs w:val="18"/>
              </w:rPr>
            </w:pPr>
            <w:r>
              <w:rPr>
                <w:rFonts w:ascii="Arial"/>
                <w:spacing w:val="-1"/>
                <w:sz w:val="18"/>
              </w:rPr>
              <w:t>3,040,000</w:t>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33"/>
              <w:jc w:val="right"/>
              <w:rPr>
                <w:rFonts w:ascii="Arial" w:hAnsi="Arial" w:cs="Arial" w:eastAsia="Arial" w:hint="default"/>
                <w:sz w:val="18"/>
                <w:szCs w:val="18"/>
              </w:rPr>
            </w:pPr>
            <w:r>
              <w:rPr>
                <w:rFonts w:ascii="Arial"/>
                <w:spacing w:val="-1"/>
                <w:sz w:val="18"/>
              </w:rPr>
              <w:t>3,040,000</w:t>
            </w:r>
          </w:p>
        </w:tc>
      </w:tr>
      <w:tr>
        <w:trPr>
          <w:trHeight w:val="248"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24" w:lineRule="exact"/>
              <w:ind w:left="196" w:right="0"/>
              <w:jc w:val="left"/>
              <w:rPr>
                <w:rFonts w:ascii="黑体" w:hAnsi="黑体" w:cs="黑体" w:eastAsia="黑体" w:hint="default"/>
                <w:sz w:val="18"/>
                <w:szCs w:val="18"/>
              </w:rPr>
            </w:pPr>
            <w:r>
              <w:rPr>
                <w:rFonts w:ascii="黑体" w:hAnsi="黑体" w:cs="黑体" w:eastAsia="黑体" w:hint="default"/>
                <w:sz w:val="18"/>
                <w:szCs w:val="18"/>
              </w:rPr>
              <w:t>研发</w:t>
            </w:r>
          </w:p>
        </w:tc>
        <w:tc>
          <w:tcPr>
            <w:tcW w:w="1782" w:type="dxa"/>
            <w:tcBorders>
              <w:top w:val="nil" w:sz="6" w:space="0" w:color="auto"/>
              <w:left w:val="nil" w:sz="6" w:space="0" w:color="auto"/>
              <w:bottom w:val="nil" w:sz="6" w:space="0" w:color="auto"/>
              <w:right w:val="nil" w:sz="6" w:space="0" w:color="auto"/>
            </w:tcBorders>
          </w:tcPr>
          <w:p>
            <w:pPr/>
          </w:p>
        </w:tc>
        <w:tc>
          <w:tcPr>
            <w:tcW w:w="1341" w:type="dxa"/>
            <w:tcBorders>
              <w:top w:val="nil" w:sz="6" w:space="0" w:color="auto"/>
              <w:left w:val="nil" w:sz="6" w:space="0" w:color="auto"/>
              <w:bottom w:val="nil" w:sz="6" w:space="0" w:color="auto"/>
              <w:right w:val="nil" w:sz="6" w:space="0" w:color="auto"/>
            </w:tcBorders>
          </w:tcPr>
          <w:p>
            <w:pPr/>
          </w:p>
        </w:tc>
      </w:tr>
      <w:tr>
        <w:trPr>
          <w:trHeight w:val="249"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09" w:lineRule="exact"/>
              <w:ind w:left="35" w:right="0"/>
              <w:jc w:val="left"/>
              <w:rPr>
                <w:rFonts w:ascii="黑体" w:hAnsi="黑体" w:cs="黑体" w:eastAsia="黑体" w:hint="default"/>
                <w:sz w:val="18"/>
                <w:szCs w:val="18"/>
              </w:rPr>
            </w:pPr>
            <w:r>
              <w:rPr>
                <w:rFonts w:ascii="黑体" w:hAnsi="黑体" w:cs="黑体" w:eastAsia="黑体" w:hint="default"/>
                <w:sz w:val="18"/>
                <w:szCs w:val="18"/>
              </w:rPr>
              <w:t>基于移动应用技术的企业管理信息系统研发</w:t>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94"/>
              <w:jc w:val="right"/>
              <w:rPr>
                <w:rFonts w:ascii="Arial" w:hAnsi="Arial" w:cs="Arial" w:eastAsia="Arial" w:hint="default"/>
                <w:sz w:val="18"/>
                <w:szCs w:val="18"/>
              </w:rPr>
            </w:pPr>
            <w:r>
              <w:rPr>
                <w:rFonts w:ascii="Arial"/>
                <w:w w:val="99"/>
                <w:sz w:val="18"/>
              </w:rPr>
              <w:t>-</w:t>
            </w:r>
            <w:r>
              <w:rPr>
                <w:rFonts w:ascii="Arial"/>
                <w:sz w:val="18"/>
              </w:rPr>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spacing w:val="-1"/>
                <w:sz w:val="18"/>
              </w:rPr>
              <w:t>2,400,000</w:t>
            </w:r>
          </w:p>
        </w:tc>
      </w:tr>
      <w:tr>
        <w:trPr>
          <w:trHeight w:val="255"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28" w:lineRule="exact"/>
              <w:ind w:left="35" w:right="0"/>
              <w:jc w:val="left"/>
              <w:rPr>
                <w:rFonts w:ascii="Arial" w:hAnsi="Arial" w:cs="Arial" w:eastAsia="Arial" w:hint="default"/>
                <w:sz w:val="18"/>
                <w:szCs w:val="18"/>
              </w:rPr>
            </w:pPr>
            <w:r>
              <w:rPr>
                <w:rFonts w:ascii="黑体" w:hAnsi="黑体" w:cs="黑体" w:eastAsia="黑体" w:hint="default"/>
                <w:sz w:val="18"/>
                <w:szCs w:val="18"/>
              </w:rPr>
              <w:t>新型软件产业链项目</w:t>
            </w:r>
            <w:r>
              <w:rPr>
                <w:rFonts w:ascii="Arial" w:hAnsi="Arial" w:cs="Arial" w:eastAsia="Arial" w:hint="default"/>
                <w:sz w:val="18"/>
                <w:szCs w:val="18"/>
              </w:rPr>
              <w:t>(</w:t>
            </w:r>
            <w:r>
              <w:rPr>
                <w:rFonts w:ascii="黑体" w:hAnsi="黑体" w:cs="黑体" w:eastAsia="黑体" w:hint="default"/>
                <w:sz w:val="18"/>
                <w:szCs w:val="18"/>
              </w:rPr>
              <w:t>以大带小</w:t>
            </w:r>
            <w:r>
              <w:rPr>
                <w:rFonts w:ascii="Arial" w:hAnsi="Arial" w:cs="Arial" w:eastAsia="Arial" w:hint="default"/>
                <w:sz w:val="18"/>
                <w:szCs w:val="18"/>
              </w:rPr>
              <w:t>)</w:t>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94"/>
              <w:jc w:val="right"/>
              <w:rPr>
                <w:rFonts w:ascii="Arial" w:hAnsi="Arial" w:cs="Arial" w:eastAsia="Arial" w:hint="default"/>
                <w:sz w:val="18"/>
                <w:szCs w:val="18"/>
              </w:rPr>
            </w:pPr>
            <w:r>
              <w:rPr>
                <w:rFonts w:ascii="Arial"/>
                <w:w w:val="99"/>
                <w:sz w:val="18"/>
              </w:rPr>
              <w:t>-</w:t>
            </w:r>
            <w:r>
              <w:rPr>
                <w:rFonts w:ascii="Arial"/>
                <w:sz w:val="18"/>
              </w:rPr>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3"/>
              <w:jc w:val="right"/>
              <w:rPr>
                <w:rFonts w:ascii="Arial" w:hAnsi="Arial" w:cs="Arial" w:eastAsia="Arial" w:hint="default"/>
                <w:sz w:val="18"/>
                <w:szCs w:val="18"/>
              </w:rPr>
            </w:pPr>
            <w:r>
              <w:rPr>
                <w:rFonts w:ascii="Arial"/>
                <w:spacing w:val="-1"/>
                <w:sz w:val="18"/>
              </w:rPr>
              <w:t>1,000,000</w:t>
            </w:r>
          </w:p>
        </w:tc>
      </w:tr>
      <w:tr>
        <w:trPr>
          <w:trHeight w:val="255"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27" w:lineRule="exact"/>
              <w:ind w:left="35" w:right="0"/>
              <w:jc w:val="left"/>
              <w:rPr>
                <w:rFonts w:ascii="黑体" w:hAnsi="黑体" w:cs="黑体" w:eastAsia="黑体" w:hint="default"/>
                <w:sz w:val="18"/>
                <w:szCs w:val="18"/>
              </w:rPr>
            </w:pPr>
            <w:r>
              <w:rPr>
                <w:rFonts w:ascii="黑体" w:hAnsi="黑体" w:cs="黑体" w:eastAsia="黑体" w:hint="default"/>
                <w:sz w:val="18"/>
                <w:szCs w:val="18"/>
              </w:rPr>
              <w:t>国家</w:t>
            </w:r>
            <w:r>
              <w:rPr>
                <w:rFonts w:ascii="黑体" w:hAnsi="黑体" w:cs="黑体" w:eastAsia="黑体" w:hint="default"/>
                <w:spacing w:val="-45"/>
                <w:sz w:val="18"/>
                <w:szCs w:val="18"/>
              </w:rPr>
              <w:t> </w:t>
            </w:r>
            <w:r>
              <w:rPr>
                <w:rFonts w:ascii="Arial" w:hAnsi="Arial" w:cs="Arial" w:eastAsia="Arial" w:hint="default"/>
                <w:sz w:val="18"/>
                <w:szCs w:val="18"/>
              </w:rPr>
              <w:t>863</w:t>
            </w:r>
            <w:r>
              <w:rPr>
                <w:rFonts w:ascii="Arial" w:hAnsi="Arial" w:cs="Arial" w:eastAsia="Arial" w:hint="default"/>
                <w:spacing w:val="-6"/>
                <w:sz w:val="18"/>
                <w:szCs w:val="18"/>
              </w:rPr>
              <w:t> </w:t>
            </w:r>
            <w:r>
              <w:rPr>
                <w:rFonts w:ascii="黑体" w:hAnsi="黑体" w:cs="黑体" w:eastAsia="黑体" w:hint="default"/>
                <w:spacing w:val="-9"/>
                <w:sz w:val="18"/>
                <w:szCs w:val="18"/>
              </w:rPr>
              <w:t>计划：</w:t>
            </w:r>
            <w:r>
              <w:rPr>
                <w:rFonts w:ascii="Arial" w:hAnsi="Arial" w:cs="Arial" w:eastAsia="Arial" w:hint="default"/>
                <w:spacing w:val="-9"/>
                <w:sz w:val="18"/>
                <w:szCs w:val="18"/>
              </w:rPr>
              <w:t>RFID</w:t>
            </w:r>
            <w:r>
              <w:rPr>
                <w:rFonts w:ascii="Arial" w:hAnsi="Arial" w:cs="Arial" w:eastAsia="Arial" w:hint="default"/>
                <w:spacing w:val="-6"/>
                <w:sz w:val="18"/>
                <w:szCs w:val="18"/>
              </w:rPr>
              <w:t> </w:t>
            </w:r>
            <w:r>
              <w:rPr>
                <w:rFonts w:ascii="黑体" w:hAnsi="黑体" w:cs="黑体" w:eastAsia="黑体" w:hint="default"/>
                <w:sz w:val="18"/>
                <w:szCs w:val="18"/>
              </w:rPr>
              <w:t>的信息集成管理技术研究与开发</w:t>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93"/>
              <w:jc w:val="right"/>
              <w:rPr>
                <w:rFonts w:ascii="Arial" w:hAnsi="Arial" w:cs="Arial" w:eastAsia="Arial" w:hint="default"/>
                <w:sz w:val="18"/>
                <w:szCs w:val="18"/>
              </w:rPr>
            </w:pPr>
            <w:r>
              <w:rPr>
                <w:rFonts w:ascii="Arial"/>
                <w:spacing w:val="-1"/>
                <w:sz w:val="18"/>
              </w:rPr>
              <w:t>1,190,000</w:t>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33"/>
              <w:jc w:val="right"/>
              <w:rPr>
                <w:rFonts w:ascii="Arial" w:hAnsi="Arial" w:cs="Arial" w:eastAsia="Arial" w:hint="default"/>
                <w:sz w:val="18"/>
                <w:szCs w:val="18"/>
              </w:rPr>
            </w:pPr>
            <w:r>
              <w:rPr>
                <w:rFonts w:ascii="Arial"/>
                <w:spacing w:val="-1"/>
                <w:sz w:val="18"/>
              </w:rPr>
              <w:t>1,190,000</w:t>
            </w:r>
          </w:p>
        </w:tc>
      </w:tr>
      <w:tr>
        <w:trPr>
          <w:trHeight w:val="255"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15" w:lineRule="exact"/>
              <w:ind w:left="35" w:right="0"/>
              <w:jc w:val="left"/>
              <w:rPr>
                <w:rFonts w:ascii="黑体" w:hAnsi="黑体" w:cs="黑体" w:eastAsia="黑体" w:hint="default"/>
                <w:sz w:val="18"/>
                <w:szCs w:val="18"/>
              </w:rPr>
            </w:pPr>
            <w:r>
              <w:rPr>
                <w:rFonts w:ascii="黑体" w:hAnsi="黑体" w:cs="黑体" w:eastAsia="黑体" w:hint="default"/>
                <w:sz w:val="18"/>
                <w:szCs w:val="18"/>
              </w:rPr>
              <w:t>政府公共财政管理信息系统开发及推广项目</w:t>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94"/>
              <w:jc w:val="right"/>
              <w:rPr>
                <w:rFonts w:ascii="Arial" w:hAnsi="Arial" w:cs="Arial" w:eastAsia="Arial" w:hint="default"/>
                <w:sz w:val="18"/>
                <w:szCs w:val="18"/>
              </w:rPr>
            </w:pPr>
            <w:r>
              <w:rPr>
                <w:rFonts w:ascii="Arial"/>
                <w:w w:val="99"/>
                <w:sz w:val="18"/>
              </w:rPr>
              <w:t>-</w:t>
            </w:r>
            <w:r>
              <w:rPr>
                <w:rFonts w:ascii="Arial"/>
                <w:sz w:val="18"/>
              </w:rPr>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3"/>
              <w:jc w:val="right"/>
              <w:rPr>
                <w:rFonts w:ascii="Arial" w:hAnsi="Arial" w:cs="Arial" w:eastAsia="Arial" w:hint="default"/>
                <w:sz w:val="18"/>
                <w:szCs w:val="18"/>
              </w:rPr>
            </w:pPr>
            <w:r>
              <w:rPr>
                <w:rFonts w:ascii="Arial"/>
                <w:spacing w:val="-1"/>
                <w:sz w:val="18"/>
              </w:rPr>
              <w:t>1,600,000</w:t>
            </w:r>
          </w:p>
        </w:tc>
      </w:tr>
      <w:tr>
        <w:trPr>
          <w:trHeight w:val="255"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14" w:lineRule="exact"/>
              <w:ind w:left="35" w:right="0"/>
              <w:jc w:val="left"/>
              <w:rPr>
                <w:rFonts w:ascii="黑体" w:hAnsi="黑体" w:cs="黑体" w:eastAsia="黑体" w:hint="default"/>
                <w:sz w:val="18"/>
                <w:szCs w:val="18"/>
              </w:rPr>
            </w:pPr>
            <w:r>
              <w:rPr>
                <w:rFonts w:ascii="黑体" w:hAnsi="黑体" w:cs="黑体" w:eastAsia="黑体" w:hint="default"/>
                <w:sz w:val="18"/>
                <w:szCs w:val="18"/>
              </w:rPr>
              <w:t>自主创新科技专项</w:t>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94"/>
              <w:jc w:val="right"/>
              <w:rPr>
                <w:rFonts w:ascii="Arial" w:hAnsi="Arial" w:cs="Arial" w:eastAsia="Arial" w:hint="default"/>
                <w:sz w:val="18"/>
                <w:szCs w:val="18"/>
              </w:rPr>
            </w:pPr>
            <w:r>
              <w:rPr>
                <w:rFonts w:ascii="Arial"/>
                <w:w w:val="99"/>
                <w:sz w:val="18"/>
              </w:rPr>
              <w:t>-</w:t>
            </w:r>
            <w:r>
              <w:rPr>
                <w:rFonts w:ascii="Arial"/>
                <w:sz w:val="18"/>
              </w:rPr>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33"/>
              <w:jc w:val="right"/>
              <w:rPr>
                <w:rFonts w:ascii="Arial" w:hAnsi="Arial" w:cs="Arial" w:eastAsia="Arial" w:hint="default"/>
                <w:sz w:val="18"/>
                <w:szCs w:val="18"/>
              </w:rPr>
            </w:pPr>
            <w:r>
              <w:rPr>
                <w:rFonts w:ascii="Arial"/>
                <w:spacing w:val="-1"/>
                <w:sz w:val="18"/>
              </w:rPr>
              <w:t>1,020,000</w:t>
            </w:r>
          </w:p>
        </w:tc>
      </w:tr>
      <w:tr>
        <w:trPr>
          <w:trHeight w:val="255"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15" w:lineRule="exact"/>
              <w:ind w:left="35" w:right="0"/>
              <w:jc w:val="left"/>
              <w:rPr>
                <w:rFonts w:ascii="黑体" w:hAnsi="黑体" w:cs="黑体" w:eastAsia="黑体" w:hint="default"/>
                <w:sz w:val="18"/>
                <w:szCs w:val="18"/>
              </w:rPr>
            </w:pPr>
            <w:r>
              <w:rPr>
                <w:rFonts w:ascii="黑体" w:hAnsi="黑体" w:cs="黑体" w:eastAsia="黑体" w:hint="default"/>
                <w:sz w:val="18"/>
                <w:szCs w:val="18"/>
              </w:rPr>
              <w:t>行政事业单位资产管理信息系统开发及推广项目</w:t>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94"/>
              <w:jc w:val="right"/>
              <w:rPr>
                <w:rFonts w:ascii="Arial" w:hAnsi="Arial" w:cs="Arial" w:eastAsia="Arial" w:hint="default"/>
                <w:sz w:val="18"/>
                <w:szCs w:val="18"/>
              </w:rPr>
            </w:pPr>
            <w:r>
              <w:rPr>
                <w:rFonts w:ascii="Arial"/>
                <w:w w:val="99"/>
                <w:sz w:val="18"/>
              </w:rPr>
              <w:t>-</w:t>
            </w:r>
            <w:r>
              <w:rPr>
                <w:rFonts w:ascii="Arial"/>
                <w:sz w:val="18"/>
              </w:rPr>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3"/>
              <w:jc w:val="right"/>
              <w:rPr>
                <w:rFonts w:ascii="Arial" w:hAnsi="Arial" w:cs="Arial" w:eastAsia="Arial" w:hint="default"/>
                <w:sz w:val="18"/>
                <w:szCs w:val="18"/>
              </w:rPr>
            </w:pPr>
            <w:r>
              <w:rPr>
                <w:rFonts w:ascii="Arial"/>
                <w:spacing w:val="-1"/>
                <w:sz w:val="18"/>
              </w:rPr>
              <w:t>550,000</w:t>
            </w:r>
          </w:p>
        </w:tc>
      </w:tr>
      <w:tr>
        <w:trPr>
          <w:trHeight w:val="255"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14" w:lineRule="exact"/>
              <w:ind w:left="35" w:right="0"/>
              <w:jc w:val="left"/>
              <w:rPr>
                <w:rFonts w:ascii="黑体" w:hAnsi="黑体" w:cs="黑体" w:eastAsia="黑体" w:hint="default"/>
                <w:sz w:val="18"/>
                <w:szCs w:val="18"/>
              </w:rPr>
            </w:pPr>
            <w:r>
              <w:rPr>
                <w:rFonts w:ascii="黑体" w:hAnsi="黑体" w:cs="黑体" w:eastAsia="黑体" w:hint="default"/>
                <w:sz w:val="18"/>
                <w:szCs w:val="18"/>
              </w:rPr>
              <w:t>非公经济发展支持专项资金</w:t>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94"/>
              <w:jc w:val="right"/>
              <w:rPr>
                <w:rFonts w:ascii="Arial" w:hAnsi="Arial" w:cs="Arial" w:eastAsia="Arial" w:hint="default"/>
                <w:sz w:val="18"/>
                <w:szCs w:val="18"/>
              </w:rPr>
            </w:pPr>
            <w:r>
              <w:rPr>
                <w:rFonts w:ascii="Arial"/>
                <w:w w:val="99"/>
                <w:sz w:val="18"/>
              </w:rPr>
              <w:t>-</w:t>
            </w:r>
            <w:r>
              <w:rPr>
                <w:rFonts w:ascii="Arial"/>
                <w:sz w:val="18"/>
              </w:rPr>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33"/>
              <w:jc w:val="right"/>
              <w:rPr>
                <w:rFonts w:ascii="Arial" w:hAnsi="Arial" w:cs="Arial" w:eastAsia="Arial" w:hint="default"/>
                <w:sz w:val="18"/>
                <w:szCs w:val="18"/>
              </w:rPr>
            </w:pPr>
            <w:r>
              <w:rPr>
                <w:rFonts w:ascii="Arial"/>
                <w:spacing w:val="-1"/>
                <w:sz w:val="18"/>
              </w:rPr>
              <w:t>300,000</w:t>
            </w:r>
          </w:p>
        </w:tc>
      </w:tr>
      <w:tr>
        <w:trPr>
          <w:trHeight w:val="255"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15" w:lineRule="exact"/>
              <w:ind w:left="35" w:right="0"/>
              <w:jc w:val="left"/>
              <w:rPr>
                <w:rFonts w:ascii="黑体" w:hAnsi="黑体" w:cs="黑体" w:eastAsia="黑体" w:hint="default"/>
                <w:sz w:val="18"/>
                <w:szCs w:val="18"/>
              </w:rPr>
            </w:pPr>
            <w:r>
              <w:rPr>
                <w:rFonts w:ascii="黑体" w:hAnsi="黑体" w:cs="黑体" w:eastAsia="黑体" w:hint="default"/>
                <w:sz w:val="18"/>
                <w:szCs w:val="18"/>
              </w:rPr>
              <w:t>其他</w:t>
            </w:r>
          </w:p>
        </w:tc>
        <w:tc>
          <w:tcPr>
            <w:tcW w:w="1782" w:type="dxa"/>
            <w:tcBorders>
              <w:top w:val="nil" w:sz="6" w:space="0" w:color="auto"/>
              <w:left w:val="nil" w:sz="6" w:space="0" w:color="auto"/>
              <w:bottom w:val="nil" w:sz="6" w:space="0" w:color="auto"/>
              <w:right w:val="nil" w:sz="6" w:space="0" w:color="auto"/>
            </w:tcBorders>
          </w:tcPr>
          <w:p>
            <w:pPr>
              <w:pStyle w:val="TableParagraph"/>
              <w:tabs>
                <w:tab w:pos="270" w:val="left" w:leader="none"/>
              </w:tabs>
              <w:spacing w:line="240" w:lineRule="auto" w:before="7"/>
              <w:ind w:right="39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632,234</w:t>
            </w:r>
            <w:r>
              <w:rPr>
                <w:rFonts w:ascii="Arial"/>
                <w:spacing w:val="-1"/>
                <w:sz w:val="18"/>
              </w:rPr>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sz w:val="18"/>
                <w:u w:val="single" w:color="000000"/>
              </w:rPr>
              <w:t>1,232,734</w:t>
            </w:r>
            <w:r>
              <w:rPr>
                <w:rFonts w:ascii="Arial"/>
                <w:spacing w:val="-1"/>
                <w:sz w:val="18"/>
              </w:rPr>
            </w:r>
          </w:p>
        </w:tc>
      </w:tr>
      <w:tr>
        <w:trPr>
          <w:trHeight w:val="324" w:hRule="exact"/>
        </w:trPr>
        <w:tc>
          <w:tcPr>
            <w:tcW w:w="4717" w:type="dxa"/>
            <w:tcBorders>
              <w:top w:val="nil" w:sz="6" w:space="0" w:color="auto"/>
              <w:left w:val="nil" w:sz="6" w:space="0" w:color="auto"/>
              <w:bottom w:val="nil" w:sz="6" w:space="0" w:color="auto"/>
              <w:right w:val="nil" w:sz="6" w:space="0" w:color="auto"/>
            </w:tcBorders>
          </w:tcPr>
          <w:p>
            <w:pP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93"/>
              <w:jc w:val="right"/>
              <w:rPr>
                <w:rFonts w:ascii="Arial" w:hAnsi="Arial" w:cs="Arial" w:eastAsia="Arial" w:hint="default"/>
                <w:sz w:val="18"/>
                <w:szCs w:val="18"/>
              </w:rPr>
            </w:pPr>
            <w:r>
              <w:rPr>
                <w:rFonts w:ascii="Arial"/>
                <w:w w:val="99"/>
                <w:sz w:val="18"/>
              </w:rPr>
            </w:r>
            <w:r>
              <w:rPr>
                <w:rFonts w:ascii="Arial"/>
                <w:spacing w:val="-1"/>
                <w:sz w:val="18"/>
                <w:u w:val="thick" w:color="000000"/>
              </w:rPr>
              <w:t>13,862,234</w:t>
            </w:r>
            <w:r>
              <w:rPr>
                <w:rFonts w:ascii="Arial"/>
                <w:spacing w:val="-1"/>
                <w:sz w:val="18"/>
              </w:rPr>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33"/>
              <w:jc w:val="right"/>
              <w:rPr>
                <w:rFonts w:ascii="Arial" w:hAnsi="Arial" w:cs="Arial" w:eastAsia="Arial" w:hint="default"/>
                <w:sz w:val="18"/>
                <w:szCs w:val="18"/>
              </w:rPr>
            </w:pPr>
            <w:r>
              <w:rPr>
                <w:rFonts w:ascii="Arial"/>
                <w:w w:val="99"/>
                <w:sz w:val="18"/>
              </w:rPr>
            </w:r>
            <w:r>
              <w:rPr>
                <w:rFonts w:ascii="Arial"/>
                <w:spacing w:val="-1"/>
                <w:sz w:val="18"/>
                <w:u w:val="thick" w:color="000000"/>
              </w:rPr>
              <w:t>25,669,034</w:t>
            </w:r>
            <w:r>
              <w:rPr>
                <w:rFonts w:ascii="Arial"/>
                <w:spacing w:val="-1"/>
                <w:sz w:val="18"/>
              </w:rPr>
            </w:r>
          </w:p>
        </w:tc>
      </w:tr>
    </w:tbl>
    <w:p>
      <w:pPr>
        <w:spacing w:after="0" w:line="240" w:lineRule="auto"/>
        <w:jc w:val="right"/>
        <w:rPr>
          <w:rFonts w:ascii="Arial" w:hAnsi="Arial" w:cs="Arial" w:eastAsia="Arial" w:hint="default"/>
          <w:sz w:val="18"/>
          <w:szCs w:val="18"/>
        </w:rPr>
        <w:sectPr>
          <w:type w:val="continuous"/>
          <w:pgSz w:w="11910" w:h="16840"/>
          <w:pgMar w:top="900" w:bottom="280" w:left="1600" w:right="1540"/>
        </w:sectPr>
      </w:pPr>
    </w:p>
    <w:p>
      <w:pPr>
        <w:pStyle w:val="Heading9"/>
        <w:spacing w:line="300" w:lineRule="auto" w:before="6"/>
        <w:ind w:left="6331" w:right="6250"/>
        <w:jc w:val="center"/>
        <w:rPr>
          <w:b w:val="0"/>
          <w:bCs w:val="0"/>
        </w:rPr>
      </w:pPr>
      <w:r>
        <w:rPr>
          <w:w w:val="95"/>
        </w:rPr>
        <w:t>用友软件股份有限公司</w:t>
      </w:r>
      <w:r>
        <w:rPr>
          <w:spacing w:val="-1"/>
          <w:w w:val="95"/>
        </w:rPr>
        <w:t> </w:t>
      </w:r>
      <w:r>
        <w:rPr/>
        <w:t>财务报表附注(续)</w:t>
      </w:r>
      <w:r>
        <w:rPr>
          <w:spacing w:val="1"/>
          <w:w w:val="99"/>
        </w:rPr>
        <w:t> </w:t>
      </w:r>
      <w:r>
        <w:rPr>
          <w:rFonts w:ascii="Arial" w:hAnsi="Arial" w:cs="Arial" w:eastAsia="Arial" w:hint="default"/>
        </w:rPr>
        <w:t>2009</w:t>
      </w:r>
      <w:r>
        <w:rPr>
          <w:rFonts w:ascii="Arial" w:hAnsi="Arial" w:cs="Arial" w:eastAsia="Arial" w:hint="default"/>
          <w:spacing w:val="-8"/>
        </w:rPr>
        <w:t> </w:t>
      </w:r>
      <w:r>
        <w:rPr/>
        <w:t>年</w:t>
      </w:r>
      <w:r>
        <w:rPr>
          <w:spacing w:val="-57"/>
        </w:rPr>
        <w:t> </w:t>
      </w: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t>日</w:t>
      </w:r>
      <w:r>
        <w:rPr>
          <w:b w:val="0"/>
          <w:bCs w:val="0"/>
        </w:rPr>
      </w:r>
    </w:p>
    <w:p>
      <w:pPr>
        <w:spacing w:line="283" w:lineRule="exact" w:before="0"/>
        <w:ind w:left="6328" w:right="625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p>
      <w:pPr>
        <w:spacing w:line="240" w:lineRule="auto" w:before="12"/>
        <w:rPr>
          <w:rFonts w:ascii="黑体" w:hAnsi="黑体" w:cs="黑体" w:eastAsia="黑体" w:hint="default"/>
          <w:b/>
          <w:bCs/>
          <w:sz w:val="21"/>
          <w:szCs w:val="21"/>
        </w:rPr>
      </w:pPr>
    </w:p>
    <w:p>
      <w:pPr>
        <w:spacing w:line="20" w:lineRule="exact"/>
        <w:ind w:left="156" w:right="0" w:firstLine="0"/>
        <w:rPr>
          <w:rFonts w:ascii="黑体" w:hAnsi="黑体" w:cs="黑体" w:eastAsia="黑体" w:hint="default"/>
          <w:sz w:val="2"/>
          <w:szCs w:val="2"/>
        </w:rPr>
      </w:pPr>
      <w:r>
        <w:rPr>
          <w:rFonts w:ascii="黑体" w:hAnsi="黑体" w:cs="黑体" w:eastAsia="黑体" w:hint="default"/>
          <w:sz w:val="2"/>
          <w:szCs w:val="2"/>
        </w:rPr>
        <w:pict>
          <v:group style="width:722.25pt;height:.75pt;mso-position-horizontal-relative:char;mso-position-vertical-relative:line" coordorigin="0,0" coordsize="14445,15">
            <v:group style="position:absolute;left:8;top:8;width:14430;height:2" coordorigin="8,8" coordsize="14430,2">
              <v:shape style="position:absolute;left:8;top:8;width:14430;height:2" coordorigin="8,8" coordsize="14430,0" path="m8,8l14438,8e" filled="false" stroked="true" strokeweight=".75pt" strokecolor="#000000">
                <v:path arrowok="t"/>
              </v:shape>
            </v:group>
          </v:group>
        </w:pict>
      </w:r>
      <w:r>
        <w:rPr>
          <w:rFonts w:ascii="黑体" w:hAnsi="黑体" w:cs="黑体" w:eastAsia="黑体" w:hint="default"/>
          <w:sz w:val="2"/>
          <w:szCs w:val="2"/>
        </w:rPr>
      </w:r>
    </w:p>
    <w:p>
      <w:pPr>
        <w:spacing w:line="240" w:lineRule="auto" w:before="4"/>
        <w:rPr>
          <w:rFonts w:ascii="黑体" w:hAnsi="黑体" w:cs="黑体" w:eastAsia="黑体" w:hint="default"/>
          <w:b/>
          <w:bCs/>
          <w:sz w:val="19"/>
          <w:szCs w:val="19"/>
        </w:rPr>
      </w:pPr>
    </w:p>
    <w:p>
      <w:pPr>
        <w:tabs>
          <w:tab w:pos="815" w:val="left" w:leader="none"/>
        </w:tabs>
        <w:spacing w:before="38"/>
        <w:ind w:left="113" w:right="418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pStyle w:val="BodyText"/>
        <w:tabs>
          <w:tab w:pos="833" w:val="left" w:leader="none"/>
        </w:tabs>
        <w:spacing w:line="444" w:lineRule="auto"/>
        <w:ind w:left="823" w:right="4180" w:hanging="710"/>
        <w:jc w:val="left"/>
      </w:pPr>
      <w:r>
        <w:rPr>
          <w:rFonts w:ascii="Arial" w:hAnsi="Arial" w:cs="Arial" w:eastAsia="Arial" w:hint="default"/>
          <w:b/>
          <w:bCs/>
          <w:spacing w:val="-1"/>
        </w:rPr>
        <w:t>28.</w:t>
        <w:tab/>
        <w:tab/>
      </w:r>
      <w:r>
        <w:rPr>
          <w:rFonts w:ascii="黑体" w:hAnsi="黑体" w:cs="黑体" w:eastAsia="黑体" w:hint="default"/>
          <w:b/>
          <w:bCs/>
          <w:spacing w:val="1"/>
        </w:rPr>
        <w:t>股本</w:t>
      </w:r>
      <w:r>
        <w:rPr>
          <w:rFonts w:ascii="黑体" w:hAnsi="黑体" w:cs="黑体" w:eastAsia="黑体" w:hint="default"/>
          <w:b/>
          <w:bCs/>
          <w:spacing w:val="1"/>
          <w:w w:val="99"/>
        </w:rPr>
        <w:t> </w:t>
      </w:r>
      <w:r>
        <w:rPr>
          <w:spacing w:val="-1"/>
        </w:rPr>
        <w:t>本公司于</w:t>
      </w: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日的实收股本计人民币</w:t>
      </w:r>
      <w:r>
        <w:rPr>
          <w:rFonts w:ascii="Arial" w:hAnsi="Arial" w:cs="Arial" w:eastAsia="Arial" w:hint="default"/>
          <w:spacing w:val="-1"/>
        </w:rPr>
        <w:t>627,858,850</w:t>
      </w:r>
      <w:r>
        <w:rPr>
          <w:spacing w:val="-1"/>
        </w:rPr>
        <w:t>元，每股面值人民币</w:t>
      </w:r>
      <w:r>
        <w:rPr>
          <w:rFonts w:ascii="Arial" w:hAnsi="Arial" w:cs="Arial" w:eastAsia="Arial" w:hint="default"/>
          <w:spacing w:val="-1"/>
        </w:rPr>
        <w:t>1</w:t>
      </w:r>
      <w:r>
        <w:rPr>
          <w:spacing w:val="-1"/>
        </w:rPr>
        <w:t>元，股份种类及其结构如下：</w:t>
      </w:r>
    </w:p>
    <w:p>
      <w:pPr>
        <w:pStyle w:val="BodyText"/>
        <w:tabs>
          <w:tab w:pos="8023" w:val="left" w:leader="none"/>
        </w:tabs>
        <w:spacing w:line="240" w:lineRule="auto" w:before="45"/>
        <w:ind w:left="4670" w:right="4180"/>
        <w:jc w:val="left"/>
      </w:pPr>
      <w:r>
        <w:rPr/>
        <w:t>年初数</w:t>
        <w:tab/>
        <w:t>本年变动股数</w:t>
      </w:r>
    </w:p>
    <w:p>
      <w:pPr>
        <w:spacing w:line="240" w:lineRule="auto" w:before="10"/>
        <w:rPr>
          <w:rFonts w:ascii="黑体" w:hAnsi="黑体" w:cs="黑体" w:eastAsia="黑体" w:hint="default"/>
          <w:sz w:val="2"/>
          <w:szCs w:val="2"/>
        </w:rPr>
      </w:pPr>
    </w:p>
    <w:tbl>
      <w:tblPr>
        <w:tblW w:w="0" w:type="auto"/>
        <w:jc w:val="left"/>
        <w:tblInd w:w="834" w:type="dxa"/>
        <w:tblLayout w:type="fixed"/>
        <w:tblCellMar>
          <w:top w:w="0" w:type="dxa"/>
          <w:left w:w="0" w:type="dxa"/>
          <w:bottom w:w="0" w:type="dxa"/>
          <w:right w:w="0" w:type="dxa"/>
        </w:tblCellMar>
        <w:tblLook w:val="01E0"/>
      </w:tblPr>
      <w:tblGrid>
        <w:gridCol w:w="331"/>
        <w:gridCol w:w="2407"/>
        <w:gridCol w:w="1369"/>
        <w:gridCol w:w="851"/>
        <w:gridCol w:w="1526"/>
        <w:gridCol w:w="1461"/>
        <w:gridCol w:w="1419"/>
        <w:gridCol w:w="1265"/>
        <w:gridCol w:w="1699"/>
        <w:gridCol w:w="1029"/>
      </w:tblGrid>
      <w:tr>
        <w:trPr>
          <w:trHeight w:val="782" w:hRule="exact"/>
        </w:trPr>
        <w:tc>
          <w:tcPr>
            <w:tcW w:w="33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58"/>
              <w:jc w:val="center"/>
              <w:rPr>
                <w:rFonts w:ascii="黑体" w:hAnsi="黑体" w:cs="黑体" w:eastAsia="黑体" w:hint="default"/>
                <w:sz w:val="20"/>
                <w:szCs w:val="20"/>
              </w:rPr>
            </w:pPr>
            <w:r>
              <w:rPr>
                <w:rFonts w:ascii="黑体" w:hAnsi="黑体" w:cs="黑体" w:eastAsia="黑体" w:hint="default"/>
                <w:b/>
                <w:bCs/>
                <w:w w:val="99"/>
                <w:sz w:val="20"/>
                <w:szCs w:val="20"/>
              </w:rPr>
              <w:t>一</w:t>
            </w:r>
            <w:r>
              <w:rPr>
                <w:rFonts w:ascii="黑体" w:hAnsi="黑体" w:cs="黑体" w:eastAsia="黑体" w:hint="default"/>
                <w:sz w:val="20"/>
                <w:szCs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left="89" w:right="0"/>
              <w:jc w:val="left"/>
              <w:rPr>
                <w:rFonts w:ascii="黑体" w:hAnsi="黑体" w:cs="黑体" w:eastAsia="黑体" w:hint="default"/>
                <w:sz w:val="20"/>
                <w:szCs w:val="20"/>
              </w:rPr>
            </w:pPr>
            <w:r>
              <w:rPr>
                <w:rFonts w:ascii="黑体" w:hAnsi="黑体" w:cs="黑体" w:eastAsia="黑体" w:hint="default"/>
                <w:b/>
                <w:bCs/>
                <w:sz w:val="20"/>
                <w:szCs w:val="20"/>
              </w:rPr>
              <w:t>有限售条件股份</w:t>
            </w:r>
            <w:r>
              <w:rPr>
                <w:rFonts w:ascii="黑体" w:hAnsi="黑体" w:cs="黑体" w:eastAsia="黑体" w:hint="default"/>
                <w:sz w:val="20"/>
                <w:szCs w:val="20"/>
              </w:rPr>
            </w:r>
          </w:p>
        </w:tc>
        <w:tc>
          <w:tcPr>
            <w:tcW w:w="1369" w:type="dxa"/>
            <w:tcBorders>
              <w:top w:val="nil" w:sz="6" w:space="0" w:color="auto"/>
              <w:left w:val="nil" w:sz="6" w:space="0" w:color="auto"/>
              <w:bottom w:val="nil" w:sz="6" w:space="0" w:color="auto"/>
              <w:right w:val="nil" w:sz="6" w:space="0" w:color="auto"/>
            </w:tcBorders>
          </w:tcPr>
          <w:p>
            <w:pPr>
              <w:pStyle w:val="TableParagraph"/>
              <w:spacing w:line="235" w:lineRule="exact"/>
              <w:ind w:right="137"/>
              <w:jc w:val="right"/>
              <w:rPr>
                <w:rFonts w:ascii="黑体" w:hAnsi="黑体" w:cs="黑体" w:eastAsia="黑体" w:hint="default"/>
                <w:sz w:val="20"/>
                <w:szCs w:val="20"/>
              </w:rPr>
            </w:pPr>
            <w:r>
              <w:rPr>
                <w:rFonts w:ascii="黑体" w:hAnsi="黑体" w:cs="黑体" w:eastAsia="黑体" w:hint="default"/>
                <w:spacing w:val="-1"/>
                <w:sz w:val="20"/>
                <w:szCs w:val="20"/>
              </w:rPr>
              <w:t>股数</w:t>
            </w:r>
          </w:p>
        </w:tc>
        <w:tc>
          <w:tcPr>
            <w:tcW w:w="851" w:type="dxa"/>
            <w:tcBorders>
              <w:top w:val="nil" w:sz="6" w:space="0" w:color="auto"/>
              <w:left w:val="nil" w:sz="6" w:space="0" w:color="auto"/>
              <w:bottom w:val="nil" w:sz="6" w:space="0" w:color="auto"/>
              <w:right w:val="nil" w:sz="6" w:space="0" w:color="auto"/>
            </w:tcBorders>
          </w:tcPr>
          <w:p>
            <w:pPr>
              <w:pStyle w:val="TableParagraph"/>
              <w:spacing w:line="249" w:lineRule="exact"/>
              <w:ind w:right="0"/>
              <w:jc w:val="right"/>
              <w:rPr>
                <w:rFonts w:ascii="Arial" w:hAnsi="Arial" w:cs="Arial" w:eastAsia="Arial" w:hint="default"/>
                <w:sz w:val="20"/>
                <w:szCs w:val="20"/>
              </w:rPr>
            </w:pPr>
            <w:r>
              <w:rPr>
                <w:rFonts w:ascii="黑体" w:hAnsi="黑体" w:cs="黑体" w:eastAsia="黑体" w:hint="default"/>
                <w:spacing w:val="-1"/>
                <w:sz w:val="20"/>
                <w:szCs w:val="20"/>
              </w:rPr>
              <w:t>比例</w:t>
            </w:r>
            <w:r>
              <w:rPr>
                <w:rFonts w:ascii="Arial" w:hAnsi="Arial" w:cs="Arial" w:eastAsia="Arial" w:hint="default"/>
                <w:spacing w:val="-1"/>
                <w:sz w:val="20"/>
                <w:szCs w:val="20"/>
              </w:rPr>
              <w:t>(%)</w:t>
            </w:r>
          </w:p>
        </w:tc>
        <w:tc>
          <w:tcPr>
            <w:tcW w:w="1526" w:type="dxa"/>
            <w:tcBorders>
              <w:top w:val="single" w:sz="4" w:space="0" w:color="000000"/>
              <w:left w:val="nil" w:sz="6" w:space="0" w:color="auto"/>
              <w:bottom w:val="nil" w:sz="6" w:space="0" w:color="auto"/>
              <w:right w:val="nil" w:sz="6" w:space="0" w:color="auto"/>
            </w:tcBorders>
          </w:tcPr>
          <w:p>
            <w:pPr>
              <w:pStyle w:val="TableParagraph"/>
              <w:spacing w:line="228" w:lineRule="exact"/>
              <w:ind w:left="218" w:right="0"/>
              <w:jc w:val="left"/>
              <w:rPr>
                <w:rFonts w:ascii="黑体" w:hAnsi="黑体" w:cs="黑体" w:eastAsia="黑体" w:hint="default"/>
                <w:sz w:val="20"/>
                <w:szCs w:val="20"/>
              </w:rPr>
            </w:pPr>
            <w:r>
              <w:rPr>
                <w:rFonts w:ascii="黑体" w:hAnsi="黑体" w:cs="黑体" w:eastAsia="黑体" w:hint="default"/>
                <w:sz w:val="20"/>
                <w:szCs w:val="20"/>
              </w:rPr>
              <w:t>股权分置改革</w:t>
            </w:r>
          </w:p>
          <w:p>
            <w:pPr>
              <w:pStyle w:val="TableParagraph"/>
              <w:spacing w:line="275" w:lineRule="exact"/>
              <w:ind w:left="922" w:right="0"/>
              <w:jc w:val="left"/>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注</w:t>
            </w:r>
            <w:r>
              <w:rPr>
                <w:rFonts w:ascii="黑体" w:hAnsi="黑体" w:cs="黑体" w:eastAsia="黑体" w:hint="default"/>
                <w:spacing w:val="-52"/>
                <w:sz w:val="20"/>
                <w:szCs w:val="20"/>
              </w:rPr>
              <w:t> </w:t>
            </w:r>
            <w:r>
              <w:rPr>
                <w:rFonts w:ascii="Arial" w:hAnsi="Arial" w:cs="Arial" w:eastAsia="Arial" w:hint="default"/>
                <w:sz w:val="20"/>
                <w:szCs w:val="20"/>
              </w:rPr>
              <w:t>1)</w:t>
            </w:r>
          </w:p>
        </w:tc>
        <w:tc>
          <w:tcPr>
            <w:tcW w:w="1461" w:type="dxa"/>
            <w:tcBorders>
              <w:top w:val="single" w:sz="4" w:space="0" w:color="000000"/>
              <w:left w:val="nil" w:sz="6" w:space="0" w:color="auto"/>
              <w:bottom w:val="nil" w:sz="6" w:space="0" w:color="auto"/>
              <w:right w:val="nil" w:sz="6" w:space="0" w:color="auto"/>
            </w:tcBorders>
          </w:tcPr>
          <w:p>
            <w:pPr>
              <w:pStyle w:val="TableParagraph"/>
              <w:spacing w:line="228" w:lineRule="exact"/>
              <w:ind w:left="106" w:right="0"/>
              <w:jc w:val="left"/>
              <w:rPr>
                <w:rFonts w:ascii="黑体" w:hAnsi="黑体" w:cs="黑体" w:eastAsia="黑体" w:hint="default"/>
                <w:sz w:val="20"/>
                <w:szCs w:val="20"/>
              </w:rPr>
            </w:pPr>
            <w:r>
              <w:rPr>
                <w:rFonts w:ascii="黑体" w:hAnsi="黑体" w:cs="黑体" w:eastAsia="黑体" w:hint="default"/>
                <w:sz w:val="20"/>
                <w:szCs w:val="20"/>
              </w:rPr>
              <w:t>股权激励计划</w:t>
            </w:r>
          </w:p>
          <w:p>
            <w:pPr>
              <w:pStyle w:val="TableParagraph"/>
              <w:spacing w:line="275" w:lineRule="exact"/>
              <w:ind w:left="810" w:right="0"/>
              <w:jc w:val="left"/>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注</w:t>
            </w:r>
            <w:r>
              <w:rPr>
                <w:rFonts w:ascii="黑体" w:hAnsi="黑体" w:cs="黑体" w:eastAsia="黑体" w:hint="default"/>
                <w:spacing w:val="-51"/>
                <w:sz w:val="20"/>
                <w:szCs w:val="20"/>
              </w:rPr>
              <w:t> </w:t>
            </w:r>
            <w:r>
              <w:rPr>
                <w:rFonts w:ascii="Arial" w:hAnsi="Arial" w:cs="Arial" w:eastAsia="Arial" w:hint="default"/>
                <w:sz w:val="20"/>
                <w:szCs w:val="20"/>
              </w:rPr>
              <w:t>2)</w:t>
            </w:r>
          </w:p>
        </w:tc>
        <w:tc>
          <w:tcPr>
            <w:tcW w:w="1419" w:type="dxa"/>
            <w:tcBorders>
              <w:top w:val="single" w:sz="4" w:space="0" w:color="000000"/>
              <w:left w:val="nil" w:sz="6" w:space="0" w:color="auto"/>
              <w:bottom w:val="nil" w:sz="6" w:space="0" w:color="auto"/>
              <w:right w:val="nil" w:sz="6" w:space="0" w:color="auto"/>
            </w:tcBorders>
          </w:tcPr>
          <w:p>
            <w:pPr>
              <w:pStyle w:val="TableParagraph"/>
              <w:spacing w:line="228" w:lineRule="exact"/>
              <w:ind w:left="770" w:right="0" w:firstLine="94"/>
              <w:jc w:val="left"/>
              <w:rPr>
                <w:rFonts w:ascii="黑体" w:hAnsi="黑体" w:cs="黑体" w:eastAsia="黑体" w:hint="default"/>
                <w:sz w:val="20"/>
                <w:szCs w:val="20"/>
              </w:rPr>
            </w:pPr>
            <w:r>
              <w:rPr>
                <w:rFonts w:ascii="黑体" w:hAnsi="黑体" w:cs="黑体" w:eastAsia="黑体" w:hint="default"/>
                <w:sz w:val="20"/>
                <w:szCs w:val="20"/>
              </w:rPr>
              <w:t>其它</w:t>
            </w:r>
          </w:p>
          <w:p>
            <w:pPr>
              <w:pStyle w:val="TableParagraph"/>
              <w:spacing w:line="275" w:lineRule="exact"/>
              <w:ind w:left="770" w:right="0"/>
              <w:jc w:val="left"/>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注</w:t>
            </w:r>
            <w:r>
              <w:rPr>
                <w:rFonts w:ascii="黑体" w:hAnsi="黑体" w:cs="黑体" w:eastAsia="黑体" w:hint="default"/>
                <w:spacing w:val="-51"/>
                <w:sz w:val="20"/>
                <w:szCs w:val="20"/>
              </w:rPr>
              <w:t> </w:t>
            </w:r>
            <w:r>
              <w:rPr>
                <w:rFonts w:ascii="Arial" w:hAnsi="Arial" w:cs="Arial" w:eastAsia="Arial" w:hint="default"/>
                <w:sz w:val="20"/>
                <w:szCs w:val="20"/>
              </w:rPr>
              <w:t>3)</w:t>
            </w:r>
          </w:p>
        </w:tc>
        <w:tc>
          <w:tcPr>
            <w:tcW w:w="1265" w:type="dxa"/>
            <w:tcBorders>
              <w:top w:val="single" w:sz="4" w:space="0" w:color="000000"/>
              <w:left w:val="nil" w:sz="6" w:space="0" w:color="auto"/>
              <w:bottom w:val="nil" w:sz="6" w:space="0" w:color="auto"/>
              <w:right w:val="nil" w:sz="6" w:space="0" w:color="auto"/>
            </w:tcBorders>
          </w:tcPr>
          <w:p>
            <w:pPr>
              <w:pStyle w:val="TableParagraph"/>
              <w:spacing w:line="230" w:lineRule="exact"/>
              <w:ind w:right="0"/>
              <w:jc w:val="right"/>
              <w:rPr>
                <w:rFonts w:ascii="黑体" w:hAnsi="黑体" w:cs="黑体" w:eastAsia="黑体" w:hint="default"/>
                <w:sz w:val="20"/>
                <w:szCs w:val="20"/>
              </w:rPr>
            </w:pPr>
            <w:r>
              <w:rPr>
                <w:rFonts w:ascii="黑体" w:hAnsi="黑体" w:cs="黑体" w:eastAsia="黑体" w:hint="default"/>
                <w:sz w:val="20"/>
                <w:szCs w:val="20"/>
              </w:rPr>
              <w:t>小计</w:t>
            </w:r>
          </w:p>
        </w:tc>
        <w:tc>
          <w:tcPr>
            <w:tcW w:w="1699" w:type="dxa"/>
            <w:tcBorders>
              <w:top w:val="nil" w:sz="6" w:space="0" w:color="auto"/>
              <w:left w:val="nil" w:sz="6" w:space="0" w:color="auto"/>
              <w:bottom w:val="nil" w:sz="6" w:space="0" w:color="auto"/>
              <w:right w:val="nil" w:sz="6" w:space="0" w:color="auto"/>
            </w:tcBorders>
          </w:tcPr>
          <w:p>
            <w:pPr>
              <w:pStyle w:val="TableParagraph"/>
              <w:spacing w:line="235" w:lineRule="exact"/>
              <w:ind w:right="280"/>
              <w:jc w:val="right"/>
              <w:rPr>
                <w:rFonts w:ascii="黑体" w:hAnsi="黑体" w:cs="黑体" w:eastAsia="黑体" w:hint="default"/>
                <w:sz w:val="20"/>
                <w:szCs w:val="20"/>
              </w:rPr>
            </w:pPr>
            <w:r>
              <w:rPr>
                <w:rFonts w:ascii="黑体" w:hAnsi="黑体" w:cs="黑体" w:eastAsia="黑体" w:hint="default"/>
                <w:spacing w:val="-1"/>
                <w:sz w:val="20"/>
                <w:szCs w:val="20"/>
              </w:rPr>
              <w:t>股数</w:t>
            </w:r>
          </w:p>
        </w:tc>
        <w:tc>
          <w:tcPr>
            <w:tcW w:w="1029" w:type="dxa"/>
            <w:tcBorders>
              <w:top w:val="nil" w:sz="6" w:space="0" w:color="auto"/>
              <w:left w:val="nil" w:sz="6" w:space="0" w:color="auto"/>
              <w:bottom w:val="nil" w:sz="6" w:space="0" w:color="auto"/>
              <w:right w:val="nil" w:sz="6" w:space="0" w:color="auto"/>
            </w:tcBorders>
          </w:tcPr>
          <w:p>
            <w:pPr>
              <w:pStyle w:val="TableParagraph"/>
              <w:spacing w:line="249" w:lineRule="exact"/>
              <w:ind w:right="33"/>
              <w:jc w:val="right"/>
              <w:rPr>
                <w:rFonts w:ascii="Arial" w:hAnsi="Arial" w:cs="Arial" w:eastAsia="Arial" w:hint="default"/>
                <w:sz w:val="20"/>
                <w:szCs w:val="20"/>
              </w:rPr>
            </w:pPr>
            <w:r>
              <w:rPr>
                <w:rFonts w:ascii="黑体" w:hAnsi="黑体" w:cs="黑体" w:eastAsia="黑体" w:hint="default"/>
                <w:spacing w:val="-1"/>
                <w:sz w:val="20"/>
                <w:szCs w:val="20"/>
              </w:rPr>
              <w:t>比例</w:t>
            </w:r>
            <w:r>
              <w:rPr>
                <w:rFonts w:ascii="Arial" w:hAnsi="Arial" w:cs="Arial" w:eastAsia="Arial" w:hint="default"/>
                <w:spacing w:val="-1"/>
                <w:sz w:val="20"/>
                <w:szCs w:val="20"/>
              </w:rPr>
              <w:t>(%)</w:t>
            </w:r>
          </w:p>
        </w:tc>
      </w:tr>
      <w:tr>
        <w:trPr>
          <w:trHeight w:val="259" w:hRule="exact"/>
        </w:trPr>
        <w:tc>
          <w:tcPr>
            <w:tcW w:w="331" w:type="dxa"/>
            <w:tcBorders>
              <w:top w:val="nil" w:sz="6" w:space="0" w:color="auto"/>
              <w:left w:val="nil" w:sz="6" w:space="0" w:color="auto"/>
              <w:bottom w:val="nil" w:sz="6" w:space="0" w:color="auto"/>
              <w:right w:val="nil" w:sz="6" w:space="0" w:color="auto"/>
            </w:tcBorders>
          </w:tcPr>
          <w:p>
            <w:pPr/>
          </w:p>
        </w:tc>
        <w:tc>
          <w:tcPr>
            <w:tcW w:w="2407" w:type="dxa"/>
            <w:tcBorders>
              <w:top w:val="nil" w:sz="6" w:space="0" w:color="auto"/>
              <w:left w:val="nil" w:sz="6" w:space="0" w:color="auto"/>
              <w:bottom w:val="nil" w:sz="6" w:space="0" w:color="auto"/>
              <w:right w:val="nil" w:sz="6" w:space="0" w:color="auto"/>
            </w:tcBorders>
          </w:tcPr>
          <w:p>
            <w:pPr>
              <w:pStyle w:val="TableParagraph"/>
              <w:spacing w:line="230" w:lineRule="exact"/>
              <w:ind w:left="89" w:right="0"/>
              <w:jc w:val="left"/>
              <w:rPr>
                <w:rFonts w:ascii="黑体" w:hAnsi="黑体" w:cs="黑体" w:eastAsia="黑体" w:hint="default"/>
                <w:sz w:val="20"/>
                <w:szCs w:val="20"/>
              </w:rPr>
            </w:pPr>
            <w:r>
              <w:rPr>
                <w:rFonts w:ascii="黑体" w:hAnsi="黑体" w:cs="黑体" w:eastAsia="黑体" w:hint="default"/>
                <w:sz w:val="20"/>
                <w:szCs w:val="20"/>
              </w:rPr>
              <w:t>内资股份</w:t>
            </w:r>
          </w:p>
        </w:tc>
        <w:tc>
          <w:tcPr>
            <w:tcW w:w="1369" w:type="dxa"/>
            <w:tcBorders>
              <w:top w:val="nil" w:sz="6" w:space="0" w:color="auto"/>
              <w:left w:val="nil" w:sz="6" w:space="0" w:color="auto"/>
              <w:bottom w:val="nil" w:sz="6" w:space="0" w:color="auto"/>
              <w:right w:val="nil" w:sz="6" w:space="0" w:color="auto"/>
            </w:tcBorders>
          </w:tcPr>
          <w:p>
            <w:pPr/>
          </w:p>
        </w:tc>
        <w:tc>
          <w:tcPr>
            <w:tcW w:w="851"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nil" w:sz="6" w:space="0" w:color="auto"/>
            </w:tcBorders>
          </w:tcPr>
          <w:p>
            <w:pPr/>
          </w:p>
        </w:tc>
        <w:tc>
          <w:tcPr>
            <w:tcW w:w="1461"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
        </w:tc>
        <w:tc>
          <w:tcPr>
            <w:tcW w:w="1029" w:type="dxa"/>
            <w:tcBorders>
              <w:top w:val="nil" w:sz="6" w:space="0" w:color="auto"/>
              <w:left w:val="nil" w:sz="6" w:space="0" w:color="auto"/>
              <w:bottom w:val="nil" w:sz="6" w:space="0" w:color="auto"/>
              <w:right w:val="nil" w:sz="6" w:space="0" w:color="auto"/>
            </w:tcBorders>
          </w:tcPr>
          <w:p>
            <w:pPr/>
          </w:p>
        </w:tc>
      </w:tr>
      <w:tr>
        <w:trPr>
          <w:trHeight w:val="260" w:hRule="exact"/>
        </w:trPr>
        <w:tc>
          <w:tcPr>
            <w:tcW w:w="331" w:type="dxa"/>
            <w:tcBorders>
              <w:top w:val="nil" w:sz="6" w:space="0" w:color="auto"/>
              <w:left w:val="nil" w:sz="6" w:space="0" w:color="auto"/>
              <w:bottom w:val="nil" w:sz="6" w:space="0" w:color="auto"/>
              <w:right w:val="nil" w:sz="6" w:space="0" w:color="auto"/>
            </w:tcBorders>
          </w:tcPr>
          <w:p>
            <w:pPr/>
          </w:p>
        </w:tc>
        <w:tc>
          <w:tcPr>
            <w:tcW w:w="2407" w:type="dxa"/>
            <w:tcBorders>
              <w:top w:val="nil" w:sz="6" w:space="0" w:color="auto"/>
              <w:left w:val="nil" w:sz="6" w:space="0" w:color="auto"/>
              <w:bottom w:val="nil" w:sz="6" w:space="0" w:color="auto"/>
              <w:right w:val="nil" w:sz="6" w:space="0" w:color="auto"/>
            </w:tcBorders>
          </w:tcPr>
          <w:p>
            <w:pPr>
              <w:pStyle w:val="TableParagraph"/>
              <w:spacing w:line="230" w:lineRule="exact"/>
              <w:ind w:left="89" w:right="0"/>
              <w:jc w:val="left"/>
              <w:rPr>
                <w:rFonts w:ascii="黑体" w:hAnsi="黑体" w:cs="黑体" w:eastAsia="黑体" w:hint="default"/>
                <w:sz w:val="20"/>
                <w:szCs w:val="20"/>
              </w:rPr>
            </w:pPr>
            <w:r>
              <w:rPr>
                <w:rFonts w:ascii="黑体" w:hAnsi="黑体" w:cs="黑体" w:eastAsia="黑体" w:hint="default"/>
                <w:sz w:val="20"/>
                <w:szCs w:val="20"/>
              </w:rPr>
              <w:t>其中：</w:t>
            </w:r>
          </w:p>
        </w:tc>
        <w:tc>
          <w:tcPr>
            <w:tcW w:w="1369" w:type="dxa"/>
            <w:tcBorders>
              <w:top w:val="nil" w:sz="6" w:space="0" w:color="auto"/>
              <w:left w:val="nil" w:sz="6" w:space="0" w:color="auto"/>
              <w:bottom w:val="nil" w:sz="6" w:space="0" w:color="auto"/>
              <w:right w:val="nil" w:sz="6" w:space="0" w:color="auto"/>
            </w:tcBorders>
          </w:tcPr>
          <w:p>
            <w:pPr/>
          </w:p>
        </w:tc>
        <w:tc>
          <w:tcPr>
            <w:tcW w:w="851"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nil" w:sz="6" w:space="0" w:color="auto"/>
            </w:tcBorders>
          </w:tcPr>
          <w:p>
            <w:pPr/>
          </w:p>
        </w:tc>
        <w:tc>
          <w:tcPr>
            <w:tcW w:w="1461"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
        </w:tc>
        <w:tc>
          <w:tcPr>
            <w:tcW w:w="1029" w:type="dxa"/>
            <w:tcBorders>
              <w:top w:val="nil" w:sz="6" w:space="0" w:color="auto"/>
              <w:left w:val="nil" w:sz="6" w:space="0" w:color="auto"/>
              <w:bottom w:val="nil" w:sz="6" w:space="0" w:color="auto"/>
              <w:right w:val="nil" w:sz="6" w:space="0" w:color="auto"/>
            </w:tcBorders>
          </w:tcPr>
          <w:p>
            <w:pPr/>
          </w:p>
        </w:tc>
      </w:tr>
      <w:tr>
        <w:trPr>
          <w:trHeight w:val="271" w:hRule="exact"/>
        </w:trPr>
        <w:tc>
          <w:tcPr>
            <w:tcW w:w="331" w:type="dxa"/>
            <w:tcBorders>
              <w:top w:val="nil" w:sz="6" w:space="0" w:color="auto"/>
              <w:left w:val="nil" w:sz="6" w:space="0" w:color="auto"/>
              <w:bottom w:val="nil" w:sz="6" w:space="0" w:color="auto"/>
              <w:right w:val="nil" w:sz="6" w:space="0" w:color="auto"/>
            </w:tcBorders>
          </w:tcPr>
          <w:p>
            <w:pPr/>
          </w:p>
        </w:tc>
        <w:tc>
          <w:tcPr>
            <w:tcW w:w="2407" w:type="dxa"/>
            <w:tcBorders>
              <w:top w:val="nil" w:sz="6" w:space="0" w:color="auto"/>
              <w:left w:val="nil" w:sz="6" w:space="0" w:color="auto"/>
              <w:bottom w:val="nil" w:sz="6" w:space="0" w:color="auto"/>
              <w:right w:val="nil" w:sz="6" w:space="0" w:color="auto"/>
            </w:tcBorders>
          </w:tcPr>
          <w:p>
            <w:pPr>
              <w:pStyle w:val="TableParagraph"/>
              <w:spacing w:line="230" w:lineRule="exact"/>
              <w:ind w:left="89" w:right="0"/>
              <w:jc w:val="left"/>
              <w:rPr>
                <w:rFonts w:ascii="黑体" w:hAnsi="黑体" w:cs="黑体" w:eastAsia="黑体" w:hint="default"/>
                <w:sz w:val="20"/>
                <w:szCs w:val="20"/>
              </w:rPr>
            </w:pPr>
            <w:r>
              <w:rPr>
                <w:rFonts w:ascii="黑体" w:hAnsi="黑体" w:cs="黑体" w:eastAsia="黑体" w:hint="default"/>
                <w:sz w:val="20"/>
                <w:szCs w:val="20"/>
              </w:rPr>
              <w:t>境内非国有法人持股</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36"/>
              <w:jc w:val="right"/>
              <w:rPr>
                <w:rFonts w:ascii="Arial" w:hAnsi="Arial" w:cs="Arial" w:eastAsia="Arial" w:hint="default"/>
                <w:sz w:val="20"/>
                <w:szCs w:val="20"/>
              </w:rPr>
            </w:pPr>
            <w:r>
              <w:rPr>
                <w:rFonts w:ascii="Arial"/>
                <w:spacing w:val="-1"/>
                <w:sz w:val="20"/>
              </w:rPr>
              <w:t>120,744,000</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0"/>
              <w:jc w:val="right"/>
              <w:rPr>
                <w:rFonts w:ascii="Arial" w:hAnsi="Arial" w:cs="Arial" w:eastAsia="Arial" w:hint="default"/>
                <w:sz w:val="20"/>
                <w:szCs w:val="20"/>
              </w:rPr>
            </w:pPr>
            <w:r>
              <w:rPr>
                <w:rFonts w:ascii="Arial"/>
                <w:spacing w:val="-1"/>
                <w:sz w:val="20"/>
              </w:rPr>
              <w:t>25.87</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04"/>
              <w:jc w:val="right"/>
              <w:rPr>
                <w:rFonts w:ascii="Arial" w:hAnsi="Arial" w:cs="Arial" w:eastAsia="Arial" w:hint="default"/>
                <w:sz w:val="20"/>
                <w:szCs w:val="20"/>
              </w:rPr>
            </w:pPr>
            <w:r>
              <w:rPr>
                <w:rFonts w:ascii="Arial"/>
                <w:spacing w:val="-1"/>
                <w:sz w:val="20"/>
              </w:rPr>
              <w:t>(25,272,000)</w:t>
            </w:r>
          </w:p>
        </w:tc>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07"/>
              <w:jc w:val="right"/>
              <w:rPr>
                <w:rFonts w:ascii="Arial" w:hAnsi="Arial" w:cs="Arial" w:eastAsia="Arial" w:hint="default"/>
                <w:sz w:val="20"/>
                <w:szCs w:val="20"/>
              </w:rPr>
            </w:pPr>
            <w:r>
              <w:rPr>
                <w:rFonts w:ascii="Arial"/>
                <w:w w:val="100"/>
                <w:sz w:val="20"/>
              </w:rPr>
              <w:t>-</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51"/>
              <w:jc w:val="right"/>
              <w:rPr>
                <w:rFonts w:ascii="Arial" w:hAnsi="Arial" w:cs="Arial" w:eastAsia="Arial" w:hint="default"/>
                <w:sz w:val="20"/>
                <w:szCs w:val="20"/>
              </w:rPr>
            </w:pPr>
            <w:r>
              <w:rPr>
                <w:rFonts w:ascii="Arial"/>
                <w:spacing w:val="-1"/>
                <w:sz w:val="20"/>
              </w:rPr>
              <w:t>28,641,600</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0"/>
              <w:jc w:val="right"/>
              <w:rPr>
                <w:rFonts w:ascii="Arial" w:hAnsi="Arial" w:cs="Arial" w:eastAsia="Arial" w:hint="default"/>
                <w:sz w:val="20"/>
                <w:szCs w:val="20"/>
              </w:rPr>
            </w:pPr>
            <w:r>
              <w:rPr>
                <w:rFonts w:ascii="Arial"/>
                <w:spacing w:val="-1"/>
                <w:sz w:val="20"/>
              </w:rPr>
              <w:t>3,369,600</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79"/>
              <w:jc w:val="right"/>
              <w:rPr>
                <w:rFonts w:ascii="Arial" w:hAnsi="Arial" w:cs="Arial" w:eastAsia="Arial" w:hint="default"/>
                <w:sz w:val="20"/>
                <w:szCs w:val="20"/>
              </w:rPr>
            </w:pPr>
            <w:r>
              <w:rPr>
                <w:rFonts w:ascii="Arial"/>
                <w:spacing w:val="-1"/>
                <w:sz w:val="20"/>
              </w:rPr>
              <w:t>124,113,600</w:t>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3"/>
              <w:jc w:val="right"/>
              <w:rPr>
                <w:rFonts w:ascii="Arial" w:hAnsi="Arial" w:cs="Arial" w:eastAsia="Arial" w:hint="default"/>
                <w:sz w:val="20"/>
                <w:szCs w:val="20"/>
              </w:rPr>
            </w:pPr>
            <w:r>
              <w:rPr>
                <w:rFonts w:ascii="Arial"/>
                <w:spacing w:val="-1"/>
                <w:sz w:val="20"/>
              </w:rPr>
              <w:t>19.76</w:t>
            </w:r>
          </w:p>
        </w:tc>
      </w:tr>
      <w:tr>
        <w:trPr>
          <w:trHeight w:val="386" w:hRule="exact"/>
        </w:trPr>
        <w:tc>
          <w:tcPr>
            <w:tcW w:w="331" w:type="dxa"/>
            <w:tcBorders>
              <w:top w:val="nil" w:sz="6" w:space="0" w:color="auto"/>
              <w:left w:val="nil" w:sz="6" w:space="0" w:color="auto"/>
              <w:bottom w:val="nil" w:sz="6" w:space="0" w:color="auto"/>
              <w:right w:val="nil" w:sz="6" w:space="0" w:color="auto"/>
            </w:tcBorders>
          </w:tcPr>
          <w:p>
            <w:pPr/>
          </w:p>
        </w:tc>
        <w:tc>
          <w:tcPr>
            <w:tcW w:w="2407" w:type="dxa"/>
            <w:tcBorders>
              <w:top w:val="nil" w:sz="6" w:space="0" w:color="auto"/>
              <w:left w:val="nil" w:sz="6" w:space="0" w:color="auto"/>
              <w:bottom w:val="nil" w:sz="6" w:space="0" w:color="auto"/>
              <w:right w:val="nil" w:sz="6" w:space="0" w:color="auto"/>
            </w:tcBorders>
          </w:tcPr>
          <w:p>
            <w:pPr>
              <w:pStyle w:val="TableParagraph"/>
              <w:spacing w:line="219" w:lineRule="exact"/>
              <w:ind w:left="89" w:right="0"/>
              <w:jc w:val="left"/>
              <w:rPr>
                <w:rFonts w:ascii="黑体" w:hAnsi="黑体" w:cs="黑体" w:eastAsia="黑体" w:hint="default"/>
                <w:sz w:val="20"/>
                <w:szCs w:val="20"/>
              </w:rPr>
            </w:pPr>
            <w:r>
              <w:rPr>
                <w:rFonts w:ascii="黑体" w:hAnsi="黑体" w:cs="黑体" w:eastAsia="黑体" w:hint="default"/>
                <w:sz w:val="20"/>
                <w:szCs w:val="20"/>
              </w:rPr>
              <w:t>境内自然人持股</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pacing w:val="-1"/>
                <w:sz w:val="20"/>
                <w:u w:val="single" w:color="000000"/>
              </w:rPr>
              <w:t>9,365,255</w:t>
            </w:r>
            <w:r>
              <w:rPr>
                <w:rFonts w:ascii="Arial"/>
                <w:spacing w:val="-1"/>
                <w:sz w:val="20"/>
              </w:rPr>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pacing w:val="-1"/>
                <w:sz w:val="20"/>
                <w:u w:val="single" w:color="000000"/>
              </w:rPr>
              <w:t>2.01</w:t>
            </w:r>
            <w:r>
              <w:rPr>
                <w:rFonts w:ascii="Arial"/>
                <w:spacing w:val="-1"/>
                <w:sz w:val="20"/>
              </w:rPr>
            </w:r>
            <w:r>
              <w:rPr>
                <w:rFonts w:ascii="Arial"/>
                <w:sz w:val="20"/>
              </w:rPr>
            </w:r>
          </w:p>
        </w:tc>
        <w:tc>
          <w:tcPr>
            <w:tcW w:w="1526" w:type="dxa"/>
            <w:tcBorders>
              <w:top w:val="nil" w:sz="6" w:space="0" w:color="auto"/>
              <w:left w:val="nil" w:sz="6" w:space="0" w:color="auto"/>
              <w:bottom w:val="nil" w:sz="6" w:space="0" w:color="auto"/>
              <w:right w:val="nil" w:sz="6" w:space="0" w:color="auto"/>
            </w:tcBorders>
          </w:tcPr>
          <w:p>
            <w:pPr>
              <w:pStyle w:val="TableParagraph"/>
              <w:tabs>
                <w:tab w:pos="919" w:val="left" w:leader="none"/>
              </w:tabs>
              <w:spacing w:line="240" w:lineRule="auto" w:before="15"/>
              <w:ind w:right="17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2"/>
              <w:jc w:val="right"/>
              <w:rPr>
                <w:rFonts w:ascii="Arial" w:hAnsi="Arial" w:cs="Arial" w:eastAsia="Arial" w:hint="default"/>
                <w:sz w:val="20"/>
                <w:szCs w:val="20"/>
              </w:rPr>
            </w:pPr>
            <w:r>
              <w:rPr>
                <w:rFonts w:ascii="Arial"/>
                <w:spacing w:val="-1"/>
                <w:sz w:val="20"/>
              </w:rPr>
              <w:t>(</w:t>
            </w:r>
            <w:r>
              <w:rPr>
                <w:rFonts w:ascii="Arial"/>
                <w:spacing w:val="-1"/>
                <w:sz w:val="20"/>
                <w:u w:val="single" w:color="000000"/>
              </w:rPr>
              <w:t>10,068,793</w:t>
            </w:r>
            <w:r>
              <w:rPr>
                <w:rFonts w:ascii="Arial"/>
                <w:spacing w:val="-1"/>
                <w:sz w:val="20"/>
              </w:rPr>
              <w:t>)</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23,979,779</w:t>
            </w:r>
            <w:r>
              <w:rPr>
                <w:rFonts w:ascii="Arial"/>
                <w:spacing w:val="-1"/>
                <w:sz w:val="20"/>
              </w:rPr>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13,910,986</w:t>
            </w:r>
            <w:r>
              <w:rPr>
                <w:rFonts w:ascii="Arial"/>
                <w:spacing w:val="-1"/>
                <w:sz w:val="20"/>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23,276,241</w:t>
            </w:r>
            <w:r>
              <w:rPr>
                <w:rFonts w:ascii="Arial"/>
                <w:spacing w:val="-1"/>
                <w:sz w:val="20"/>
              </w:rPr>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pacing w:val="-1"/>
                <w:sz w:val="20"/>
                <w:u w:val="single" w:color="000000"/>
              </w:rPr>
              <w:t>3.71</w:t>
            </w:r>
            <w:r>
              <w:rPr>
                <w:rFonts w:ascii="Arial"/>
                <w:spacing w:val="-1"/>
                <w:sz w:val="20"/>
              </w:rPr>
            </w:r>
            <w:r>
              <w:rPr>
                <w:rFonts w:ascii="Arial"/>
                <w:sz w:val="20"/>
              </w:rPr>
            </w:r>
          </w:p>
        </w:tc>
      </w:tr>
      <w:tr>
        <w:trPr>
          <w:trHeight w:val="514" w:hRule="exact"/>
        </w:trPr>
        <w:tc>
          <w:tcPr>
            <w:tcW w:w="331" w:type="dxa"/>
            <w:tcBorders>
              <w:top w:val="nil" w:sz="6" w:space="0" w:color="auto"/>
              <w:left w:val="nil" w:sz="6" w:space="0" w:color="auto"/>
              <w:bottom w:val="nil" w:sz="6" w:space="0" w:color="auto"/>
              <w:right w:val="nil" w:sz="6" w:space="0" w:color="auto"/>
            </w:tcBorders>
          </w:tcPr>
          <w:p>
            <w:pP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84"/>
              <w:ind w:left="89"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36"/>
              <w:jc w:val="right"/>
              <w:rPr>
                <w:rFonts w:ascii="Arial" w:hAnsi="Arial" w:cs="Arial" w:eastAsia="Arial" w:hint="default"/>
                <w:sz w:val="20"/>
                <w:szCs w:val="20"/>
              </w:rPr>
            </w:pPr>
            <w:r>
              <w:rPr>
                <w:rFonts w:ascii="Arial"/>
                <w:w w:val="100"/>
                <w:sz w:val="20"/>
              </w:rPr>
            </w:r>
            <w:r>
              <w:rPr>
                <w:rFonts w:ascii="Arial"/>
                <w:spacing w:val="-1"/>
                <w:sz w:val="20"/>
                <w:u w:val="single" w:color="000000"/>
              </w:rPr>
              <w:t>130,109,255</w:t>
            </w:r>
            <w:r>
              <w:rPr>
                <w:rFonts w:ascii="Arial"/>
                <w:spacing w:val="-1"/>
                <w:sz w:val="20"/>
              </w:rPr>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27.88</w:t>
            </w:r>
            <w:r>
              <w:rPr>
                <w:rFonts w:ascii="Arial"/>
                <w:spacing w:val="-1"/>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04"/>
              <w:jc w:val="right"/>
              <w:rPr>
                <w:rFonts w:ascii="Arial" w:hAnsi="Arial" w:cs="Arial" w:eastAsia="Arial" w:hint="default"/>
                <w:sz w:val="20"/>
                <w:szCs w:val="20"/>
              </w:rPr>
            </w:pPr>
            <w:r>
              <w:rPr>
                <w:rFonts w:ascii="Arial"/>
                <w:spacing w:val="-1"/>
                <w:sz w:val="20"/>
              </w:rPr>
              <w:t>(</w:t>
            </w:r>
            <w:r>
              <w:rPr>
                <w:rFonts w:ascii="Arial"/>
                <w:spacing w:val="-1"/>
                <w:sz w:val="20"/>
                <w:u w:val="single" w:color="000000"/>
              </w:rPr>
              <w:t>25,272,000</w:t>
            </w:r>
            <w:r>
              <w:rPr>
                <w:rFonts w:ascii="Arial"/>
                <w:spacing w:val="-1"/>
                <w:sz w:val="20"/>
              </w:rPr>
              <w:t>)</w:t>
            </w:r>
          </w:p>
        </w:tc>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52"/>
              <w:jc w:val="right"/>
              <w:rPr>
                <w:rFonts w:ascii="Arial" w:hAnsi="Arial" w:cs="Arial" w:eastAsia="Arial" w:hint="default"/>
                <w:sz w:val="20"/>
                <w:szCs w:val="20"/>
              </w:rPr>
            </w:pPr>
            <w:r>
              <w:rPr>
                <w:rFonts w:ascii="Arial"/>
                <w:spacing w:val="-1"/>
                <w:sz w:val="20"/>
              </w:rPr>
              <w:t>(</w:t>
            </w:r>
            <w:r>
              <w:rPr>
                <w:rFonts w:ascii="Arial"/>
                <w:spacing w:val="-1"/>
                <w:sz w:val="20"/>
                <w:u w:val="single" w:color="000000"/>
              </w:rPr>
              <w:t>10,068,793</w:t>
            </w:r>
            <w:r>
              <w:rPr>
                <w:rFonts w:ascii="Arial"/>
                <w:spacing w:val="-1"/>
                <w:sz w:val="20"/>
              </w:rPr>
              <w:t>)</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4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52,621,379</w:t>
            </w:r>
            <w:r>
              <w:rPr>
                <w:rFonts w:ascii="Arial"/>
                <w:spacing w:val="-1"/>
                <w:sz w:val="20"/>
              </w:rPr>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17,280,586</w:t>
            </w:r>
            <w:r>
              <w:rPr>
                <w:rFonts w:ascii="Arial"/>
                <w:spacing w:val="-1"/>
                <w:sz w:val="20"/>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279"/>
              <w:jc w:val="right"/>
              <w:rPr>
                <w:rFonts w:ascii="Arial" w:hAnsi="Arial" w:cs="Arial" w:eastAsia="Arial" w:hint="default"/>
                <w:sz w:val="20"/>
                <w:szCs w:val="20"/>
              </w:rPr>
            </w:pPr>
            <w:r>
              <w:rPr>
                <w:rFonts w:ascii="Arial"/>
                <w:w w:val="100"/>
                <w:sz w:val="20"/>
              </w:rPr>
            </w:r>
            <w:r>
              <w:rPr>
                <w:rFonts w:ascii="Arial"/>
                <w:spacing w:val="-1"/>
                <w:sz w:val="20"/>
                <w:u w:val="single" w:color="000000"/>
              </w:rPr>
              <w:t>147,389,841</w:t>
            </w:r>
            <w:r>
              <w:rPr>
                <w:rFonts w:ascii="Arial"/>
                <w:spacing w:val="-1"/>
                <w:sz w:val="20"/>
              </w:rPr>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23.47</w:t>
            </w:r>
            <w:r>
              <w:rPr>
                <w:rFonts w:ascii="Arial"/>
                <w:spacing w:val="-1"/>
                <w:sz w:val="20"/>
              </w:rPr>
            </w:r>
          </w:p>
        </w:tc>
      </w:tr>
      <w:tr>
        <w:trPr>
          <w:trHeight w:val="376" w:hRule="exact"/>
        </w:trPr>
        <w:tc>
          <w:tcPr>
            <w:tcW w:w="331"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60"/>
              <w:jc w:val="center"/>
              <w:rPr>
                <w:rFonts w:ascii="黑体" w:hAnsi="黑体" w:cs="黑体" w:eastAsia="黑体" w:hint="default"/>
                <w:sz w:val="20"/>
                <w:szCs w:val="20"/>
              </w:rPr>
            </w:pPr>
            <w:r>
              <w:rPr>
                <w:rFonts w:ascii="黑体" w:hAnsi="黑体" w:cs="黑体" w:eastAsia="黑体" w:hint="default"/>
                <w:b/>
                <w:bCs/>
                <w:w w:val="99"/>
                <w:sz w:val="20"/>
                <w:szCs w:val="20"/>
              </w:rPr>
              <w:t>二</w:t>
            </w:r>
            <w:r>
              <w:rPr>
                <w:rFonts w:ascii="黑体" w:hAnsi="黑体" w:cs="黑体" w:eastAsia="黑体" w:hint="default"/>
                <w:sz w:val="20"/>
                <w:szCs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85"/>
              <w:ind w:left="89" w:right="0"/>
              <w:jc w:val="left"/>
              <w:rPr>
                <w:rFonts w:ascii="黑体" w:hAnsi="黑体" w:cs="黑体" w:eastAsia="黑体" w:hint="default"/>
                <w:sz w:val="20"/>
                <w:szCs w:val="20"/>
              </w:rPr>
            </w:pPr>
            <w:r>
              <w:rPr>
                <w:rFonts w:ascii="黑体" w:hAnsi="黑体" w:cs="黑体" w:eastAsia="黑体" w:hint="default"/>
                <w:b/>
                <w:bCs/>
                <w:sz w:val="20"/>
                <w:szCs w:val="20"/>
              </w:rPr>
              <w:t>无限售条件股份</w:t>
            </w:r>
            <w:r>
              <w:rPr>
                <w:rFonts w:ascii="黑体" w:hAnsi="黑体" w:cs="黑体" w:eastAsia="黑体" w:hint="default"/>
                <w:sz w:val="20"/>
                <w:szCs w:val="20"/>
              </w:rPr>
            </w:r>
          </w:p>
        </w:tc>
        <w:tc>
          <w:tcPr>
            <w:tcW w:w="1369" w:type="dxa"/>
            <w:tcBorders>
              <w:top w:val="nil" w:sz="6" w:space="0" w:color="auto"/>
              <w:left w:val="nil" w:sz="6" w:space="0" w:color="auto"/>
              <w:bottom w:val="nil" w:sz="6" w:space="0" w:color="auto"/>
              <w:right w:val="nil" w:sz="6" w:space="0" w:color="auto"/>
            </w:tcBorders>
          </w:tcPr>
          <w:p>
            <w:pPr/>
          </w:p>
        </w:tc>
        <w:tc>
          <w:tcPr>
            <w:tcW w:w="851"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nil" w:sz="6" w:space="0" w:color="auto"/>
            </w:tcBorders>
          </w:tcPr>
          <w:p>
            <w:pPr/>
          </w:p>
        </w:tc>
        <w:tc>
          <w:tcPr>
            <w:tcW w:w="1461"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
        </w:tc>
        <w:tc>
          <w:tcPr>
            <w:tcW w:w="1029" w:type="dxa"/>
            <w:tcBorders>
              <w:top w:val="nil" w:sz="6" w:space="0" w:color="auto"/>
              <w:left w:val="nil" w:sz="6" w:space="0" w:color="auto"/>
              <w:bottom w:val="nil" w:sz="6" w:space="0" w:color="auto"/>
              <w:right w:val="nil" w:sz="6" w:space="0" w:color="auto"/>
            </w:tcBorders>
          </w:tcPr>
          <w:p>
            <w:pPr/>
          </w:p>
        </w:tc>
      </w:tr>
      <w:tr>
        <w:trPr>
          <w:trHeight w:val="398" w:hRule="exact"/>
        </w:trPr>
        <w:tc>
          <w:tcPr>
            <w:tcW w:w="331" w:type="dxa"/>
            <w:tcBorders>
              <w:top w:val="nil" w:sz="6" w:space="0" w:color="auto"/>
              <w:left w:val="nil" w:sz="6" w:space="0" w:color="auto"/>
              <w:bottom w:val="nil" w:sz="6" w:space="0" w:color="auto"/>
              <w:right w:val="nil" w:sz="6" w:space="0" w:color="auto"/>
            </w:tcBorders>
          </w:tcPr>
          <w:p>
            <w:pPr/>
          </w:p>
        </w:tc>
        <w:tc>
          <w:tcPr>
            <w:tcW w:w="2407" w:type="dxa"/>
            <w:tcBorders>
              <w:top w:val="nil" w:sz="6" w:space="0" w:color="auto"/>
              <w:left w:val="nil" w:sz="6" w:space="0" w:color="auto"/>
              <w:bottom w:val="nil" w:sz="6" w:space="0" w:color="auto"/>
              <w:right w:val="nil" w:sz="6" w:space="0" w:color="auto"/>
            </w:tcBorders>
          </w:tcPr>
          <w:p>
            <w:pPr>
              <w:pStyle w:val="TableParagraph"/>
              <w:spacing w:line="230" w:lineRule="exact"/>
              <w:ind w:left="89" w:right="0"/>
              <w:jc w:val="left"/>
              <w:rPr>
                <w:rFonts w:ascii="黑体" w:hAnsi="黑体" w:cs="黑体" w:eastAsia="黑体" w:hint="default"/>
                <w:sz w:val="20"/>
                <w:szCs w:val="20"/>
              </w:rPr>
            </w:pPr>
            <w:r>
              <w:rPr>
                <w:rFonts w:ascii="黑体" w:hAnsi="黑体" w:cs="黑体" w:eastAsia="黑体" w:hint="default"/>
                <w:sz w:val="20"/>
                <w:szCs w:val="20"/>
              </w:rPr>
              <w:t>境内上市的人民币普通股</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6"/>
              <w:jc w:val="right"/>
              <w:rPr>
                <w:rFonts w:ascii="Arial" w:hAnsi="Arial" w:cs="Arial" w:eastAsia="Arial" w:hint="default"/>
                <w:sz w:val="20"/>
                <w:szCs w:val="20"/>
              </w:rPr>
            </w:pPr>
            <w:r>
              <w:rPr>
                <w:rFonts w:ascii="Arial"/>
                <w:w w:val="100"/>
                <w:sz w:val="20"/>
              </w:rPr>
            </w:r>
            <w:r>
              <w:rPr>
                <w:rFonts w:ascii="Arial"/>
                <w:spacing w:val="-1"/>
                <w:sz w:val="20"/>
                <w:u w:val="single" w:color="000000"/>
              </w:rPr>
              <w:t>336,574,320</w:t>
            </w:r>
            <w:r>
              <w:rPr>
                <w:rFonts w:ascii="Arial"/>
                <w:spacing w:val="-1"/>
                <w:sz w:val="20"/>
              </w:rPr>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72.12</w:t>
            </w:r>
            <w:r>
              <w:rPr>
                <w:rFonts w:ascii="Arial"/>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63"/>
              <w:jc w:val="right"/>
              <w:rPr>
                <w:rFonts w:ascii="Arial" w:hAnsi="Arial" w:cs="Arial" w:eastAsia="Arial" w:hint="default"/>
                <w:sz w:val="20"/>
                <w:szCs w:val="20"/>
              </w:rPr>
            </w:pPr>
            <w:r>
              <w:rPr>
                <w:rFonts w:ascii="Arial"/>
                <w:w w:val="100"/>
                <w:sz w:val="20"/>
              </w:rPr>
            </w:r>
            <w:r>
              <w:rPr>
                <w:rFonts w:ascii="Arial"/>
                <w:spacing w:val="-1"/>
                <w:sz w:val="20"/>
                <w:u w:val="single" w:color="000000"/>
              </w:rPr>
              <w:t>25,272,000</w:t>
            </w:r>
            <w:r>
              <w:rPr>
                <w:rFonts w:ascii="Arial"/>
                <w:spacing w:val="-1"/>
                <w:sz w:val="20"/>
              </w:rPr>
            </w:r>
          </w:p>
        </w:tc>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50" w:right="0"/>
              <w:jc w:val="left"/>
              <w:rPr>
                <w:rFonts w:ascii="Arial" w:hAnsi="Arial" w:cs="Arial" w:eastAsia="Arial" w:hint="default"/>
                <w:sz w:val="20"/>
                <w:szCs w:val="20"/>
              </w:rPr>
            </w:pPr>
            <w:r>
              <w:rPr>
                <w:rFonts w:ascii="Arial"/>
                <w:w w:val="100"/>
                <w:sz w:val="20"/>
              </w:rPr>
            </w:r>
            <w:r>
              <w:rPr>
                <w:rFonts w:ascii="Arial"/>
                <w:sz w:val="20"/>
                <w:u w:val="single" w:color="000000"/>
              </w:rPr>
              <w:t>10,068,793</w:t>
            </w:r>
            <w:r>
              <w:rPr>
                <w:rFonts w:ascii="Arial"/>
                <w:sz w:val="20"/>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49"/>
              <w:jc w:val="right"/>
              <w:rPr>
                <w:rFonts w:ascii="Arial" w:hAnsi="Arial" w:cs="Arial" w:eastAsia="Arial" w:hint="default"/>
                <w:sz w:val="20"/>
                <w:szCs w:val="20"/>
              </w:rPr>
            </w:pPr>
            <w:r>
              <w:rPr>
                <w:rFonts w:ascii="Arial"/>
                <w:w w:val="100"/>
                <w:sz w:val="20"/>
              </w:rPr>
            </w:r>
            <w:r>
              <w:rPr>
                <w:rFonts w:ascii="Arial"/>
                <w:spacing w:val="-1"/>
                <w:sz w:val="20"/>
                <w:u w:val="single" w:color="000000"/>
              </w:rPr>
              <w:t>108,553,896</w:t>
            </w:r>
            <w:r>
              <w:rPr>
                <w:rFonts w:ascii="Arial"/>
                <w:spacing w:val="-1"/>
                <w:sz w:val="20"/>
              </w:rPr>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0"/>
              <w:jc w:val="right"/>
              <w:rPr>
                <w:rFonts w:ascii="Arial" w:hAnsi="Arial" w:cs="Arial" w:eastAsia="Arial" w:hint="default"/>
                <w:sz w:val="20"/>
                <w:szCs w:val="20"/>
              </w:rPr>
            </w:pPr>
            <w:r>
              <w:rPr>
                <w:rFonts w:ascii="Arial"/>
                <w:w w:val="100"/>
                <w:sz w:val="20"/>
              </w:rPr>
            </w:r>
            <w:r>
              <w:rPr>
                <w:rFonts w:ascii="Arial"/>
                <w:spacing w:val="-1"/>
                <w:sz w:val="20"/>
                <w:u w:val="single" w:color="000000"/>
              </w:rPr>
              <w:t>143,894,689</w:t>
            </w:r>
            <w:r>
              <w:rPr>
                <w:rFonts w:ascii="Arial"/>
                <w:spacing w:val="-1"/>
                <w:sz w:val="20"/>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79"/>
              <w:jc w:val="right"/>
              <w:rPr>
                <w:rFonts w:ascii="Arial" w:hAnsi="Arial" w:cs="Arial" w:eastAsia="Arial" w:hint="default"/>
                <w:sz w:val="20"/>
                <w:szCs w:val="20"/>
              </w:rPr>
            </w:pPr>
            <w:r>
              <w:rPr>
                <w:rFonts w:ascii="Arial"/>
                <w:w w:val="100"/>
                <w:sz w:val="20"/>
              </w:rPr>
            </w:r>
            <w:r>
              <w:rPr>
                <w:rFonts w:ascii="Arial"/>
                <w:spacing w:val="-1"/>
                <w:sz w:val="20"/>
                <w:u w:val="single" w:color="000000"/>
              </w:rPr>
              <w:t>480,469,009</w:t>
            </w:r>
            <w:r>
              <w:rPr>
                <w:rFonts w:ascii="Arial"/>
                <w:spacing w:val="-1"/>
                <w:sz w:val="20"/>
              </w:rPr>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76.53</w:t>
            </w:r>
            <w:r>
              <w:rPr>
                <w:rFonts w:ascii="Arial"/>
                <w:spacing w:val="-1"/>
                <w:sz w:val="20"/>
              </w:rPr>
            </w:r>
          </w:p>
        </w:tc>
      </w:tr>
      <w:tr>
        <w:trPr>
          <w:trHeight w:val="469" w:hRule="exact"/>
        </w:trPr>
        <w:tc>
          <w:tcPr>
            <w:tcW w:w="331"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46"/>
              <w:jc w:val="center"/>
              <w:rPr>
                <w:rFonts w:ascii="黑体" w:hAnsi="黑体" w:cs="黑体" w:eastAsia="黑体" w:hint="default"/>
                <w:sz w:val="20"/>
                <w:szCs w:val="20"/>
              </w:rPr>
            </w:pPr>
            <w:r>
              <w:rPr>
                <w:rFonts w:ascii="黑体" w:hAnsi="黑体" w:cs="黑体" w:eastAsia="黑体" w:hint="default"/>
                <w:b/>
                <w:bCs/>
                <w:w w:val="99"/>
                <w:sz w:val="20"/>
                <w:szCs w:val="20"/>
              </w:rPr>
              <w:t>三</w:t>
            </w:r>
            <w:r>
              <w:rPr>
                <w:rFonts w:ascii="黑体" w:hAnsi="黑体" w:cs="黑体" w:eastAsia="黑体" w:hint="default"/>
                <w:sz w:val="20"/>
                <w:szCs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85"/>
              <w:ind w:left="95" w:right="0"/>
              <w:jc w:val="left"/>
              <w:rPr>
                <w:rFonts w:ascii="黑体" w:hAnsi="黑体" w:cs="黑体" w:eastAsia="黑体" w:hint="default"/>
                <w:sz w:val="20"/>
                <w:szCs w:val="20"/>
              </w:rPr>
            </w:pPr>
            <w:r>
              <w:rPr>
                <w:rFonts w:ascii="黑体" w:hAnsi="黑体" w:cs="黑体" w:eastAsia="黑体" w:hint="default"/>
                <w:b/>
                <w:bCs/>
                <w:sz w:val="20"/>
                <w:szCs w:val="20"/>
              </w:rPr>
              <w:t>股份总数</w:t>
            </w:r>
            <w:r>
              <w:rPr>
                <w:rFonts w:ascii="黑体" w:hAnsi="黑体" w:cs="黑体" w:eastAsia="黑体" w:hint="default"/>
                <w:sz w:val="20"/>
                <w:szCs w:val="20"/>
              </w:rPr>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136"/>
              <w:jc w:val="right"/>
              <w:rPr>
                <w:rFonts w:ascii="Arial" w:hAnsi="Arial" w:cs="Arial" w:eastAsia="Arial" w:hint="default"/>
                <w:sz w:val="20"/>
                <w:szCs w:val="20"/>
              </w:rPr>
            </w:pPr>
            <w:r>
              <w:rPr>
                <w:rFonts w:ascii="Arial"/>
                <w:w w:val="100"/>
                <w:sz w:val="20"/>
              </w:rPr>
            </w:r>
            <w:r>
              <w:rPr>
                <w:rFonts w:ascii="Arial"/>
                <w:spacing w:val="-1"/>
                <w:sz w:val="20"/>
                <w:u w:val="thick" w:color="000000"/>
              </w:rPr>
              <w:t>466,683,575</w:t>
            </w:r>
            <w:r>
              <w:rPr>
                <w:rFonts w:ascii="Arial"/>
                <w:spacing w:val="-1"/>
                <w:sz w:val="20"/>
              </w:rPr>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0"/>
              <w:jc w:val="right"/>
              <w:rPr>
                <w:rFonts w:ascii="Arial" w:hAnsi="Arial" w:cs="Arial" w:eastAsia="Arial" w:hint="default"/>
                <w:sz w:val="20"/>
                <w:szCs w:val="20"/>
              </w:rPr>
            </w:pPr>
            <w:r>
              <w:rPr>
                <w:rFonts w:ascii="Arial"/>
                <w:w w:val="100"/>
                <w:sz w:val="20"/>
              </w:rPr>
            </w:r>
            <w:r>
              <w:rPr>
                <w:rFonts w:ascii="Arial"/>
                <w:sz w:val="20"/>
                <w:u w:val="thick" w:color="000000"/>
              </w:rPr>
              <w:t>100.00</w:t>
            </w:r>
            <w:r>
              <w:rPr>
                <w:rFonts w:ascii="Arial"/>
                <w:sz w:val="20"/>
              </w:rPr>
            </w:r>
          </w:p>
        </w:tc>
        <w:tc>
          <w:tcPr>
            <w:tcW w:w="1526"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143"/>
              <w:ind w:right="16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461" w:type="dxa"/>
            <w:tcBorders>
              <w:top w:val="nil" w:sz="6" w:space="0" w:color="auto"/>
              <w:left w:val="nil" w:sz="6" w:space="0" w:color="auto"/>
              <w:bottom w:val="nil" w:sz="6" w:space="0" w:color="auto"/>
              <w:right w:val="nil" w:sz="6" w:space="0" w:color="auto"/>
            </w:tcBorders>
          </w:tcPr>
          <w:p>
            <w:pPr>
              <w:pStyle w:val="TableParagraph"/>
              <w:tabs>
                <w:tab w:pos="1185" w:val="left" w:leader="none"/>
              </w:tabs>
              <w:spacing w:line="240" w:lineRule="auto" w:before="143"/>
              <w:ind w:left="286"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149"/>
              <w:jc w:val="right"/>
              <w:rPr>
                <w:rFonts w:ascii="Arial" w:hAnsi="Arial" w:cs="Arial" w:eastAsia="Arial" w:hint="default"/>
                <w:sz w:val="20"/>
                <w:szCs w:val="20"/>
              </w:rPr>
            </w:pPr>
            <w:r>
              <w:rPr>
                <w:rFonts w:ascii="Arial"/>
                <w:w w:val="100"/>
                <w:sz w:val="20"/>
              </w:rPr>
            </w:r>
            <w:r>
              <w:rPr>
                <w:rFonts w:ascii="Arial"/>
                <w:spacing w:val="-1"/>
                <w:sz w:val="20"/>
                <w:u w:val="thick" w:color="000000"/>
              </w:rPr>
              <w:t>161,175,275</w:t>
            </w:r>
            <w:r>
              <w:rPr>
                <w:rFonts w:ascii="Arial"/>
                <w:spacing w:val="-1"/>
                <w:sz w:val="20"/>
              </w:rPr>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0"/>
              <w:jc w:val="right"/>
              <w:rPr>
                <w:rFonts w:ascii="Arial" w:hAnsi="Arial" w:cs="Arial" w:eastAsia="Arial" w:hint="default"/>
                <w:sz w:val="20"/>
                <w:szCs w:val="20"/>
              </w:rPr>
            </w:pPr>
            <w:r>
              <w:rPr>
                <w:rFonts w:ascii="Arial"/>
                <w:w w:val="100"/>
                <w:sz w:val="20"/>
              </w:rPr>
            </w:r>
            <w:r>
              <w:rPr>
                <w:rFonts w:ascii="Arial"/>
                <w:spacing w:val="-1"/>
                <w:sz w:val="20"/>
                <w:u w:val="thick" w:color="000000"/>
              </w:rPr>
              <w:t>161,175,275</w:t>
            </w:r>
            <w:r>
              <w:rPr>
                <w:rFonts w:ascii="Arial"/>
                <w:spacing w:val="-1"/>
                <w:sz w:val="20"/>
              </w:rPr>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279"/>
              <w:jc w:val="right"/>
              <w:rPr>
                <w:rFonts w:ascii="Arial" w:hAnsi="Arial" w:cs="Arial" w:eastAsia="Arial" w:hint="default"/>
                <w:sz w:val="20"/>
                <w:szCs w:val="20"/>
              </w:rPr>
            </w:pPr>
            <w:r>
              <w:rPr>
                <w:rFonts w:ascii="Arial"/>
                <w:w w:val="100"/>
                <w:sz w:val="20"/>
              </w:rPr>
            </w:r>
            <w:r>
              <w:rPr>
                <w:rFonts w:ascii="Arial"/>
                <w:spacing w:val="-1"/>
                <w:sz w:val="20"/>
                <w:u w:val="thick" w:color="000000"/>
              </w:rPr>
              <w:t>627,858,850</w:t>
            </w:r>
            <w:r>
              <w:rPr>
                <w:rFonts w:ascii="Arial"/>
                <w:spacing w:val="-1"/>
                <w:sz w:val="20"/>
              </w:rPr>
            </w:r>
          </w:p>
        </w:tc>
        <w:tc>
          <w:tcPr>
            <w:tcW w:w="1029"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100.00</w:t>
            </w:r>
            <w:r>
              <w:rPr>
                <w:rFonts w:ascii="Arial"/>
                <w:spacing w:val="-1"/>
                <w:sz w:val="20"/>
              </w:rPr>
            </w:r>
          </w:p>
        </w:tc>
      </w:tr>
    </w:tbl>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6"/>
          <w:szCs w:val="16"/>
        </w:rPr>
      </w:pPr>
    </w:p>
    <w:p>
      <w:pPr>
        <w:pStyle w:val="BodyText"/>
        <w:spacing w:line="240" w:lineRule="auto"/>
        <w:ind w:left="6327" w:right="6250"/>
        <w:jc w:val="center"/>
        <w:rPr>
          <w:rFonts w:ascii="Arial" w:hAnsi="Arial" w:cs="Arial" w:eastAsia="Arial" w:hint="default"/>
        </w:rPr>
      </w:pPr>
      <w:r>
        <w:rPr>
          <w:rFonts w:ascii="Arial"/>
        </w:rPr>
        <w:t>92</w:t>
      </w:r>
    </w:p>
    <w:p>
      <w:pPr>
        <w:spacing w:after="0" w:line="240" w:lineRule="auto"/>
        <w:jc w:val="center"/>
        <w:rPr>
          <w:rFonts w:ascii="Arial" w:hAnsi="Arial" w:cs="Arial" w:eastAsia="Arial" w:hint="default"/>
        </w:rPr>
        <w:sectPr>
          <w:headerReference w:type="default" r:id="rId59"/>
          <w:footerReference w:type="default" r:id="rId60"/>
          <w:pgSz w:w="16840" w:h="11910" w:orient="landscape"/>
          <w:pgMar w:header="0" w:footer="0" w:top="880" w:bottom="280" w:left="1020" w:right="1100"/>
        </w:sectPr>
      </w:pPr>
    </w:p>
    <w:p>
      <w:pPr>
        <w:spacing w:line="240" w:lineRule="auto" w:before="11"/>
        <w:rPr>
          <w:rFonts w:ascii="Arial" w:hAnsi="Arial" w:cs="Arial" w:eastAsia="Arial" w:hint="default"/>
          <w:sz w:val="24"/>
          <w:szCs w:val="24"/>
        </w:rPr>
      </w:pPr>
    </w:p>
    <w:p>
      <w:pPr>
        <w:spacing w:line="20" w:lineRule="exact"/>
        <w:ind w:left="116" w:right="0" w:firstLine="0"/>
        <w:rPr>
          <w:rFonts w:ascii="Arial" w:hAnsi="Arial" w:cs="Arial" w:eastAsia="Arial" w:hint="default"/>
          <w:sz w:val="2"/>
          <w:szCs w:val="2"/>
        </w:rPr>
      </w:pPr>
      <w:r>
        <w:rPr>
          <w:rFonts w:ascii="Arial" w:hAnsi="Arial" w:cs="Arial" w:eastAsia="Arial" w:hint="default"/>
          <w:sz w:val="2"/>
          <w:szCs w:val="2"/>
        </w:rPr>
        <w:pict>
          <v:group style="width:425.25pt;height:.75pt;mso-position-horizontal-relative:char;mso-position-vertical-relative:line" coordorigin="0,0" coordsize="8505,15">
            <v:group style="position:absolute;left:8;top:8;width:8490;height:2" coordorigin="8,8" coordsize="8490,2">
              <v:shape style="position:absolute;left:8;top:8;width:8490;height:2" coordorigin="8,8" coordsize="8490,0" path="m8,8l8498,8e" filled="false" stroked="true" strokeweight=".75pt" strokecolor="#000000">
                <v:path arrowok="t"/>
              </v:shape>
            </v:group>
          </v:group>
        </w:pict>
      </w:r>
      <w:r>
        <w:rPr>
          <w:rFonts w:ascii="Arial" w:hAnsi="Arial" w:cs="Arial" w:eastAsia="Arial" w:hint="default"/>
          <w:sz w:val="2"/>
          <w:szCs w:val="2"/>
        </w:rPr>
      </w:r>
    </w:p>
    <w:p>
      <w:pPr>
        <w:spacing w:line="240" w:lineRule="auto" w:before="11"/>
        <w:rPr>
          <w:rFonts w:ascii="Arial" w:hAnsi="Arial" w:cs="Arial" w:eastAsia="Arial" w:hint="default"/>
          <w:sz w:val="21"/>
          <w:szCs w:val="21"/>
        </w:rPr>
      </w:pPr>
    </w:p>
    <w:p>
      <w:pPr>
        <w:tabs>
          <w:tab w:pos="803"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2"/>
        <w:rPr>
          <w:rFonts w:ascii="黑体" w:hAnsi="黑体" w:cs="黑体" w:eastAsia="黑体" w:hint="default"/>
          <w:b/>
          <w:bCs/>
          <w:sz w:val="13"/>
          <w:szCs w:val="13"/>
        </w:rPr>
      </w:pPr>
    </w:p>
    <w:p>
      <w:pPr>
        <w:tabs>
          <w:tab w:pos="821" w:val="left" w:leader="none"/>
        </w:tabs>
        <w:spacing w:before="0"/>
        <w:ind w:left="101" w:right="114" w:firstLine="0"/>
        <w:jc w:val="left"/>
        <w:rPr>
          <w:rFonts w:ascii="黑体" w:hAnsi="黑体" w:cs="黑体" w:eastAsia="黑体" w:hint="default"/>
          <w:sz w:val="20"/>
          <w:szCs w:val="20"/>
        </w:rPr>
      </w:pPr>
      <w:r>
        <w:rPr>
          <w:rFonts w:ascii="Arial" w:hAnsi="Arial" w:cs="Arial" w:eastAsia="Arial" w:hint="default"/>
          <w:b/>
          <w:bCs/>
          <w:spacing w:val="-1"/>
          <w:sz w:val="20"/>
          <w:szCs w:val="20"/>
        </w:rPr>
        <w:t>28.</w:t>
        <w:tab/>
      </w:r>
      <w:r>
        <w:rPr>
          <w:rFonts w:ascii="黑体" w:hAnsi="黑体" w:cs="黑体" w:eastAsia="黑体" w:hint="default"/>
          <w:b/>
          <w:bCs/>
          <w:sz w:val="20"/>
          <w:szCs w:val="20"/>
        </w:rPr>
        <w:t>股本（续）</w:t>
      </w:r>
      <w:r>
        <w:rPr>
          <w:rFonts w:ascii="黑体" w:hAnsi="黑体" w:cs="黑体" w:eastAsia="黑体" w:hint="default"/>
          <w:sz w:val="20"/>
          <w:szCs w:val="20"/>
        </w:rPr>
      </w:r>
    </w:p>
    <w:p>
      <w:pPr>
        <w:pStyle w:val="BodyText"/>
        <w:tabs>
          <w:tab w:pos="3929" w:val="left" w:leader="none"/>
        </w:tabs>
        <w:spacing w:line="228" w:lineRule="auto" w:before="178"/>
        <w:ind w:left="1377" w:right="115" w:hanging="567"/>
        <w:jc w:val="left"/>
      </w:pPr>
      <w:r>
        <w:rPr/>
        <w:t>注</w:t>
      </w:r>
      <w:r>
        <w:rPr>
          <w:rFonts w:ascii="Arial" w:hAnsi="Arial" w:cs="Arial" w:eastAsia="Arial" w:hint="default"/>
        </w:rPr>
        <w:t>1.</w:t>
        <w:tab/>
        <w:tab/>
      </w:r>
      <w:r>
        <w:rPr>
          <w:spacing w:val="2"/>
        </w:rPr>
        <w:t>公司股权分置改革于</w:t>
      </w:r>
      <w:r>
        <w:rPr>
          <w:rFonts w:ascii="Arial" w:hAnsi="Arial" w:cs="Arial" w:eastAsia="Arial" w:hint="default"/>
          <w:spacing w:val="2"/>
        </w:rPr>
        <w:t>2006</w:t>
      </w:r>
      <w:r>
        <w:rPr>
          <w:spacing w:val="2"/>
        </w:rPr>
        <w:t>年</w:t>
      </w:r>
      <w:r>
        <w:rPr>
          <w:rFonts w:ascii="Arial" w:hAnsi="Arial" w:cs="Arial" w:eastAsia="Arial" w:hint="default"/>
          <w:spacing w:val="2"/>
        </w:rPr>
        <w:t>2</w:t>
      </w:r>
      <w:r>
        <w:rPr>
          <w:spacing w:val="2"/>
        </w:rPr>
        <w:t>月</w:t>
      </w:r>
      <w:r>
        <w:rPr>
          <w:rFonts w:ascii="Arial" w:hAnsi="Arial" w:cs="Arial" w:eastAsia="Arial" w:hint="default"/>
          <w:spacing w:val="2"/>
        </w:rPr>
        <w:t>20</w:t>
      </w:r>
      <w:r>
        <w:rPr>
          <w:spacing w:val="2"/>
        </w:rPr>
        <w:t>日经相关股东会议</w:t>
      </w:r>
      <w:r>
        <w:rPr>
          <w:spacing w:val="-65"/>
        </w:rPr>
        <w:t> </w:t>
      </w:r>
      <w:r>
        <w:rPr>
          <w:spacing w:val="-65"/>
        </w:rPr>
      </w:r>
      <w:r>
        <w:rPr>
          <w:spacing w:val="-2"/>
        </w:rPr>
        <w:t>通过，以</w:t>
      </w:r>
      <w:r>
        <w:rPr>
          <w:rFonts w:ascii="Arial" w:hAnsi="Arial" w:cs="Arial" w:eastAsia="Arial" w:hint="default"/>
          <w:spacing w:val="-2"/>
        </w:rPr>
        <w:t>2006</w:t>
      </w:r>
      <w:r>
        <w:rPr>
          <w:spacing w:val="-2"/>
        </w:rPr>
        <w:t>年</w:t>
      </w:r>
      <w:r>
        <w:rPr>
          <w:rFonts w:ascii="Arial" w:hAnsi="Arial" w:cs="Arial" w:eastAsia="Arial" w:hint="default"/>
          <w:spacing w:val="-2"/>
        </w:rPr>
        <w:t>2</w:t>
      </w:r>
      <w:r>
        <w:rPr>
          <w:spacing w:val="-2"/>
        </w:rPr>
        <w:t>月</w:t>
      </w:r>
      <w:r>
        <w:rPr>
          <w:rFonts w:ascii="Arial" w:hAnsi="Arial" w:cs="Arial" w:eastAsia="Arial" w:hint="default"/>
          <w:spacing w:val="-2"/>
        </w:rPr>
        <w:t>24</w:t>
      </w:r>
      <w:r>
        <w:rPr>
          <w:spacing w:val="-2"/>
        </w:rPr>
        <w:t>日作为股权登记日实施，于</w:t>
      </w:r>
      <w:r>
        <w:rPr>
          <w:rFonts w:ascii="Arial" w:hAnsi="Arial" w:cs="Arial" w:eastAsia="Arial" w:hint="default"/>
          <w:spacing w:val="-2"/>
        </w:rPr>
        <w:t>2006</w:t>
      </w:r>
      <w:r>
        <w:rPr>
          <w:spacing w:val="-2"/>
        </w:rPr>
        <w:t>年</w:t>
      </w:r>
      <w:r>
        <w:rPr>
          <w:rFonts w:ascii="Arial" w:hAnsi="Arial" w:cs="Arial" w:eastAsia="Arial" w:hint="default"/>
          <w:spacing w:val="-2"/>
        </w:rPr>
        <w:t>2</w:t>
      </w:r>
      <w:r>
        <w:rPr>
          <w:spacing w:val="-2"/>
        </w:rPr>
        <w:t>月</w:t>
      </w:r>
      <w:r>
        <w:rPr>
          <w:rFonts w:ascii="Arial" w:hAnsi="Arial" w:cs="Arial" w:eastAsia="Arial" w:hint="default"/>
          <w:spacing w:val="-2"/>
        </w:rPr>
        <w:t>28</w:t>
      </w:r>
      <w:r>
        <w:rPr>
          <w:spacing w:val="-2"/>
        </w:rPr>
        <w:t>日实施后首次复牌。</w:t>
      </w:r>
      <w:r>
        <w:rPr>
          <w:w w:val="100"/>
        </w:rPr>
        <w:t> </w:t>
      </w:r>
      <w:r>
        <w:rPr/>
        <w:t>根据中国证监会《上市公司股权分置改革管理办法》的规定以及用友软件的限售股</w:t>
      </w:r>
      <w:r>
        <w:rPr>
          <w:w w:val="100"/>
        </w:rPr>
        <w:t> </w:t>
      </w:r>
      <w:r>
        <w:rPr/>
        <w:t>份持有人在《用友软件股份有限公司股权分置改革说明书》中作出的承诺，</w:t>
      </w:r>
      <w:r>
        <w:rPr>
          <w:rFonts w:ascii="Arial" w:hAnsi="Arial" w:cs="Arial" w:eastAsia="Arial" w:hint="default"/>
        </w:rPr>
        <w:t>2009</w:t>
      </w:r>
      <w:r>
        <w:rPr/>
        <w:t>年</w:t>
      </w:r>
      <w:r>
        <w:rPr>
          <w:w w:val="100"/>
        </w:rPr>
        <w:t> </w:t>
      </w:r>
      <w:r>
        <w:rPr>
          <w:rFonts w:ascii="Arial" w:hAnsi="Arial" w:cs="Arial" w:eastAsia="Arial" w:hint="default"/>
        </w:rPr>
        <w:t>3</w:t>
      </w:r>
      <w:r>
        <w:rPr/>
        <w:t>月</w:t>
      </w:r>
      <w:r>
        <w:rPr>
          <w:rFonts w:ascii="Arial" w:hAnsi="Arial" w:cs="Arial" w:eastAsia="Arial" w:hint="default"/>
        </w:rPr>
        <w:t>2</w:t>
      </w:r>
      <w:r>
        <w:rPr/>
        <w:t>日公司限售股份持有人所持有的部分限售股份共计</w:t>
      </w:r>
      <w:r>
        <w:rPr>
          <w:rFonts w:ascii="Arial" w:hAnsi="Arial" w:cs="Arial" w:eastAsia="Arial" w:hint="default"/>
        </w:rPr>
        <w:t>25,272,000</w:t>
      </w:r>
      <w:r>
        <w:rPr/>
        <w:t>股上市流通。本</w:t>
      </w:r>
      <w:r>
        <w:rPr>
          <w:w w:val="100"/>
        </w:rPr>
        <w:t> </w:t>
      </w:r>
      <w:r>
        <w:rPr/>
        <w:t>次有限售条件的境内非国有法人持流通股上市情况如下：</w:t>
      </w:r>
    </w:p>
    <w:p>
      <w:pPr>
        <w:spacing w:line="240" w:lineRule="auto" w:before="6"/>
        <w:rPr>
          <w:rFonts w:ascii="黑体" w:hAnsi="黑体" w:cs="黑体" w:eastAsia="黑体" w:hint="default"/>
          <w:sz w:val="10"/>
          <w:szCs w:val="10"/>
        </w:rPr>
      </w:pPr>
    </w:p>
    <w:p>
      <w:pPr>
        <w:spacing w:after="0" w:line="240" w:lineRule="auto"/>
        <w:rPr>
          <w:rFonts w:ascii="黑体" w:hAnsi="黑体" w:cs="黑体" w:eastAsia="黑体" w:hint="default"/>
          <w:sz w:val="10"/>
          <w:szCs w:val="10"/>
        </w:rPr>
        <w:sectPr>
          <w:headerReference w:type="default" r:id="rId61"/>
          <w:footerReference w:type="default" r:id="rId62"/>
          <w:pgSz w:w="11910" w:h="16840"/>
          <w:pgMar w:header="828" w:footer="0" w:top="2240" w:bottom="280" w:left="1600" w:right="1480"/>
        </w:sectPr>
      </w:pPr>
    </w:p>
    <w:p>
      <w:pPr>
        <w:spacing w:before="44"/>
        <w:ind w:left="2849" w:right="-19" w:firstLine="0"/>
        <w:jc w:val="left"/>
        <w:rPr>
          <w:rFonts w:ascii="黑体" w:hAnsi="黑体" w:cs="黑体" w:eastAsia="黑体" w:hint="default"/>
          <w:sz w:val="18"/>
          <w:szCs w:val="18"/>
        </w:rPr>
      </w:pPr>
      <w:r>
        <w:rPr>
          <w:rFonts w:ascii="黑体" w:hAnsi="黑体" w:cs="黑体" w:eastAsia="黑体" w:hint="default"/>
          <w:sz w:val="18"/>
          <w:szCs w:val="18"/>
        </w:rPr>
        <w:t>持有有限售条</w:t>
      </w:r>
      <w:r>
        <w:rPr>
          <w:rFonts w:ascii="黑体" w:hAnsi="黑体" w:cs="黑体" w:eastAsia="黑体" w:hint="default"/>
          <w:spacing w:val="-67"/>
          <w:sz w:val="18"/>
          <w:szCs w:val="18"/>
        </w:rPr>
        <w:t> </w:t>
      </w:r>
      <w:r>
        <w:rPr>
          <w:rFonts w:ascii="黑体" w:hAnsi="黑体" w:cs="黑体" w:eastAsia="黑体" w:hint="default"/>
          <w:sz w:val="18"/>
          <w:szCs w:val="18"/>
        </w:rPr>
        <w:t>持有有限售条件的</w:t>
      </w:r>
      <w:r>
        <w:rPr>
          <w:rFonts w:ascii="黑体" w:hAnsi="黑体" w:cs="黑体" w:eastAsia="黑体" w:hint="default"/>
          <w:sz w:val="18"/>
          <w:szCs w:val="18"/>
        </w:rPr>
        <w:t> 件的流通股年</w:t>
      </w:r>
      <w:r>
        <w:rPr>
          <w:rFonts w:ascii="黑体" w:hAnsi="黑体" w:cs="黑体" w:eastAsia="黑体" w:hint="default"/>
          <w:spacing w:val="-67"/>
          <w:sz w:val="18"/>
          <w:szCs w:val="18"/>
        </w:rPr>
        <w:t> </w:t>
      </w:r>
      <w:r>
        <w:rPr>
          <w:rFonts w:ascii="黑体" w:hAnsi="黑体" w:cs="黑体" w:eastAsia="黑体" w:hint="default"/>
          <w:sz w:val="18"/>
          <w:szCs w:val="18"/>
        </w:rPr>
        <w:t>流通股股份占年初</w:t>
      </w:r>
    </w:p>
    <w:p>
      <w:pPr>
        <w:spacing w:line="240" w:lineRule="auto" w:before="4"/>
        <w:rPr>
          <w:rFonts w:ascii="黑体" w:hAnsi="黑体" w:cs="黑体" w:eastAsia="黑体" w:hint="default"/>
          <w:sz w:val="21"/>
          <w:szCs w:val="21"/>
        </w:rPr>
      </w:pPr>
      <w:r>
        <w:rPr/>
        <w:br w:type="column"/>
      </w:r>
      <w:r>
        <w:rPr>
          <w:rFonts w:ascii="黑体"/>
          <w:sz w:val="21"/>
        </w:rPr>
      </w:r>
    </w:p>
    <w:p>
      <w:pPr>
        <w:spacing w:before="0"/>
        <w:ind w:left="288" w:right="-20" w:firstLine="0"/>
        <w:jc w:val="left"/>
        <w:rPr>
          <w:rFonts w:ascii="黑体" w:hAnsi="黑体" w:cs="黑体" w:eastAsia="黑体" w:hint="default"/>
          <w:sz w:val="18"/>
          <w:szCs w:val="18"/>
        </w:rPr>
      </w:pPr>
      <w:r>
        <w:rPr>
          <w:rFonts w:ascii="黑体" w:hAnsi="黑体" w:cs="黑体" w:eastAsia="黑体" w:hint="default"/>
          <w:sz w:val="18"/>
          <w:szCs w:val="18"/>
        </w:rPr>
        <w:t>本次上市</w:t>
      </w:r>
    </w:p>
    <w:p>
      <w:pPr>
        <w:spacing w:line="240" w:lineRule="auto" w:before="4"/>
        <w:rPr>
          <w:rFonts w:ascii="黑体" w:hAnsi="黑体" w:cs="黑体" w:eastAsia="黑体" w:hint="default"/>
          <w:sz w:val="21"/>
          <w:szCs w:val="21"/>
        </w:rPr>
      </w:pPr>
      <w:r>
        <w:rPr/>
        <w:br w:type="column"/>
      </w:r>
      <w:r>
        <w:rPr>
          <w:rFonts w:ascii="黑体"/>
          <w:sz w:val="21"/>
        </w:rPr>
      </w:r>
    </w:p>
    <w:p>
      <w:pPr>
        <w:spacing w:before="0"/>
        <w:ind w:left="304" w:right="-20" w:firstLine="0"/>
        <w:jc w:val="left"/>
        <w:rPr>
          <w:rFonts w:ascii="黑体" w:hAnsi="黑体" w:cs="黑体" w:eastAsia="黑体" w:hint="default"/>
          <w:sz w:val="18"/>
          <w:szCs w:val="18"/>
        </w:rPr>
      </w:pPr>
      <w:r>
        <w:rPr>
          <w:rFonts w:ascii="黑体" w:hAnsi="黑体" w:cs="黑体" w:eastAsia="黑体" w:hint="default"/>
          <w:sz w:val="18"/>
          <w:szCs w:val="18"/>
        </w:rPr>
        <w:t>资本公积</w:t>
      </w:r>
    </w:p>
    <w:p>
      <w:pPr>
        <w:spacing w:before="50"/>
        <w:ind w:left="131" w:right="226" w:firstLine="0"/>
        <w:jc w:val="left"/>
        <w:rPr>
          <w:rFonts w:ascii="黑体" w:hAnsi="黑体" w:cs="黑体" w:eastAsia="黑体" w:hint="default"/>
          <w:sz w:val="18"/>
          <w:szCs w:val="18"/>
        </w:rPr>
      </w:pPr>
      <w:r>
        <w:rPr/>
        <w:br w:type="column"/>
      </w:r>
      <w:r>
        <w:rPr>
          <w:rFonts w:ascii="黑体" w:hAnsi="黑体" w:cs="黑体" w:eastAsia="黑体" w:hint="default"/>
          <w:sz w:val="18"/>
          <w:szCs w:val="18"/>
        </w:rPr>
        <w:t>剩余有限售 条件的流通</w:t>
      </w:r>
    </w:p>
    <w:p>
      <w:pPr>
        <w:spacing w:after="0"/>
        <w:jc w:val="left"/>
        <w:rPr>
          <w:rFonts w:ascii="黑体" w:hAnsi="黑体" w:cs="黑体" w:eastAsia="黑体" w:hint="default"/>
          <w:sz w:val="18"/>
          <w:szCs w:val="18"/>
        </w:rPr>
        <w:sectPr>
          <w:type w:val="continuous"/>
          <w:pgSz w:w="11910" w:h="16840"/>
          <w:pgMar w:top="900" w:bottom="280" w:left="1600" w:right="1480"/>
          <w:cols w:num="4" w:equalWidth="0">
            <w:col w:w="5394" w:space="40"/>
            <w:col w:w="1009" w:space="40"/>
            <w:col w:w="1025" w:space="40"/>
            <w:col w:w="1282"/>
          </w:cols>
        </w:sectPr>
      </w:pPr>
    </w:p>
    <w:p>
      <w:pPr>
        <w:spacing w:line="227" w:lineRule="exact" w:before="0"/>
        <w:ind w:left="1376" w:right="-20" w:firstLine="0"/>
        <w:jc w:val="left"/>
        <w:rPr>
          <w:rFonts w:ascii="黑体" w:hAnsi="黑体" w:cs="黑体" w:eastAsia="黑体" w:hint="default"/>
          <w:sz w:val="18"/>
          <w:szCs w:val="18"/>
        </w:rPr>
      </w:pPr>
      <w:r>
        <w:rPr>
          <w:rFonts w:ascii="黑体" w:hAnsi="黑体" w:cs="黑体" w:eastAsia="黑体" w:hint="default"/>
          <w:sz w:val="18"/>
          <w:szCs w:val="18"/>
        </w:rPr>
        <w:t>股东名称</w:t>
      </w:r>
    </w:p>
    <w:p>
      <w:pPr>
        <w:spacing w:line="227" w:lineRule="exact" w:before="0"/>
        <w:ind w:left="893" w:right="-20" w:firstLine="0"/>
        <w:jc w:val="left"/>
        <w:rPr>
          <w:rFonts w:ascii="黑体" w:hAnsi="黑体" w:cs="黑体" w:eastAsia="黑体" w:hint="default"/>
          <w:sz w:val="18"/>
          <w:szCs w:val="18"/>
        </w:rPr>
      </w:pPr>
      <w:r>
        <w:rPr/>
        <w:br w:type="column"/>
      </w:r>
      <w:r>
        <w:rPr>
          <w:rFonts w:ascii="黑体" w:hAnsi="黑体" w:cs="黑体" w:eastAsia="黑体" w:hint="default"/>
          <w:sz w:val="18"/>
          <w:szCs w:val="18"/>
        </w:rPr>
        <w:t>初股份数量</w:t>
      </w:r>
    </w:p>
    <w:p>
      <w:pPr>
        <w:spacing w:line="227" w:lineRule="exact" w:before="0"/>
        <w:ind w:left="163" w:right="-20" w:firstLine="0"/>
        <w:jc w:val="left"/>
        <w:rPr>
          <w:rFonts w:ascii="黑体" w:hAnsi="黑体" w:cs="黑体" w:eastAsia="黑体" w:hint="default"/>
          <w:sz w:val="18"/>
          <w:szCs w:val="18"/>
        </w:rPr>
      </w:pPr>
      <w:r>
        <w:rPr/>
        <w:br w:type="column"/>
      </w:r>
      <w:r>
        <w:rPr>
          <w:rFonts w:ascii="黑体" w:hAnsi="黑体" w:cs="黑体" w:eastAsia="黑体" w:hint="default"/>
          <w:sz w:val="18"/>
          <w:szCs w:val="18"/>
        </w:rPr>
        <w:t>公司总股本比例</w:t>
      </w:r>
    </w:p>
    <w:p>
      <w:pPr>
        <w:spacing w:line="228" w:lineRule="exact" w:before="0"/>
        <w:ind w:left="288" w:right="-20" w:firstLine="0"/>
        <w:jc w:val="left"/>
        <w:rPr>
          <w:rFonts w:ascii="黑体" w:hAnsi="黑体" w:cs="黑体" w:eastAsia="黑体" w:hint="default"/>
          <w:sz w:val="18"/>
          <w:szCs w:val="18"/>
        </w:rPr>
      </w:pPr>
      <w:r>
        <w:rPr/>
        <w:br w:type="column"/>
      </w:r>
      <w:r>
        <w:rPr>
          <w:rFonts w:ascii="黑体" w:hAnsi="黑体" w:cs="黑体" w:eastAsia="黑体" w:hint="default"/>
          <w:sz w:val="18"/>
          <w:szCs w:val="18"/>
        </w:rPr>
        <w:t>流通数量</w:t>
      </w:r>
    </w:p>
    <w:p>
      <w:pPr>
        <w:spacing w:line="228" w:lineRule="exact" w:before="0"/>
        <w:ind w:left="304" w:right="-20" w:firstLine="0"/>
        <w:jc w:val="left"/>
        <w:rPr>
          <w:rFonts w:ascii="黑体" w:hAnsi="黑体" w:cs="黑体" w:eastAsia="黑体" w:hint="default"/>
          <w:sz w:val="18"/>
          <w:szCs w:val="18"/>
        </w:rPr>
      </w:pPr>
      <w:r>
        <w:rPr/>
        <w:br w:type="column"/>
      </w:r>
      <w:r>
        <w:rPr>
          <w:rFonts w:ascii="黑体" w:hAnsi="黑体" w:cs="黑体" w:eastAsia="黑体" w:hint="default"/>
          <w:sz w:val="18"/>
          <w:szCs w:val="18"/>
        </w:rPr>
        <w:t>转增股本</w:t>
      </w:r>
    </w:p>
    <w:p>
      <w:pPr>
        <w:spacing w:line="233" w:lineRule="exact" w:before="0"/>
        <w:ind w:left="131" w:right="0" w:firstLine="0"/>
        <w:jc w:val="left"/>
        <w:rPr>
          <w:rFonts w:ascii="黑体" w:hAnsi="黑体" w:cs="黑体" w:eastAsia="黑体" w:hint="default"/>
          <w:sz w:val="18"/>
          <w:szCs w:val="18"/>
        </w:rPr>
      </w:pPr>
      <w:r>
        <w:rPr/>
        <w:br w:type="column"/>
      </w:r>
      <w:r>
        <w:rPr>
          <w:rFonts w:ascii="黑体" w:hAnsi="黑体" w:cs="黑体" w:eastAsia="黑体" w:hint="default"/>
          <w:sz w:val="18"/>
          <w:szCs w:val="18"/>
        </w:rPr>
        <w:t>股股份数量</w:t>
      </w:r>
    </w:p>
    <w:p>
      <w:pPr>
        <w:spacing w:after="0" w:line="233" w:lineRule="exact"/>
        <w:jc w:val="left"/>
        <w:rPr>
          <w:rFonts w:ascii="黑体" w:hAnsi="黑体" w:cs="黑体" w:eastAsia="黑体" w:hint="default"/>
          <w:sz w:val="18"/>
          <w:szCs w:val="18"/>
        </w:rPr>
        <w:sectPr>
          <w:type w:val="continuous"/>
          <w:pgSz w:w="11910" w:h="16840"/>
          <w:pgMar w:top="900" w:bottom="280" w:left="1600" w:right="1480"/>
          <w:cols w:num="6" w:equalWidth="0">
            <w:col w:w="2097" w:space="40"/>
            <w:col w:w="1794" w:space="40"/>
            <w:col w:w="1424" w:space="40"/>
            <w:col w:w="1009" w:space="40"/>
            <w:col w:w="1025" w:space="40"/>
            <w:col w:w="1281"/>
          </w:cols>
        </w:sectPr>
      </w:pPr>
    </w:p>
    <w:p>
      <w:pPr>
        <w:spacing w:line="240" w:lineRule="auto" w:before="2"/>
        <w:rPr>
          <w:rFonts w:ascii="黑体" w:hAnsi="黑体" w:cs="黑体" w:eastAsia="黑体" w:hint="default"/>
          <w:sz w:val="17"/>
          <w:szCs w:val="17"/>
        </w:rPr>
      </w:pPr>
    </w:p>
    <w:p>
      <w:pPr>
        <w:tabs>
          <w:tab w:pos="3029" w:val="left" w:leader="none"/>
          <w:tab w:pos="4736" w:val="left" w:leader="none"/>
          <w:tab w:pos="6381" w:val="left" w:leader="none"/>
        </w:tabs>
        <w:spacing w:before="44"/>
        <w:ind w:left="1376" w:right="114" w:firstLine="0"/>
        <w:jc w:val="left"/>
        <w:rPr>
          <w:rFonts w:ascii="Arial" w:hAnsi="Arial" w:cs="Arial" w:eastAsia="Arial" w:hint="default"/>
          <w:sz w:val="18"/>
          <w:szCs w:val="18"/>
        </w:rPr>
      </w:pPr>
      <w:r>
        <w:rPr>
          <w:rFonts w:ascii="黑体" w:hAnsi="黑体" w:cs="黑体" w:eastAsia="黑体" w:hint="default"/>
          <w:sz w:val="18"/>
          <w:szCs w:val="18"/>
        </w:rPr>
        <w:t>用友科技</w:t>
        <w:tab/>
      </w:r>
      <w:r>
        <w:rPr>
          <w:rFonts w:ascii="Arial" w:hAnsi="Arial" w:cs="Arial" w:eastAsia="Arial" w:hint="default"/>
          <w:spacing w:val="-1"/>
          <w:sz w:val="18"/>
          <w:szCs w:val="18"/>
        </w:rPr>
        <w:t>95,472,000</w:t>
        <w:tab/>
        <w:t>20.45%</w:t>
        <w:tab/>
      </w:r>
      <w:r>
        <w:rPr>
          <w:rFonts w:ascii="Arial" w:hAnsi="Arial" w:cs="Arial" w:eastAsia="Arial" w:hint="default"/>
          <w:sz w:val="18"/>
          <w:szCs w:val="18"/>
        </w:rPr>
        <w:t>-   </w:t>
      </w:r>
      <w:r>
        <w:rPr>
          <w:rFonts w:ascii="Arial" w:hAnsi="Arial" w:cs="Arial" w:eastAsia="Arial" w:hint="default"/>
          <w:spacing w:val="-1"/>
          <w:sz w:val="18"/>
          <w:szCs w:val="18"/>
        </w:rPr>
        <w:t>28,641,600</w:t>
      </w:r>
      <w:r>
        <w:rPr>
          <w:rFonts w:ascii="Arial" w:hAnsi="Arial" w:cs="Arial" w:eastAsia="Arial" w:hint="default"/>
          <w:sz w:val="18"/>
          <w:szCs w:val="18"/>
        </w:rPr>
        <w:t> </w:t>
      </w:r>
      <w:r>
        <w:rPr>
          <w:rFonts w:ascii="Arial" w:hAnsi="Arial" w:cs="Arial" w:eastAsia="Arial" w:hint="default"/>
          <w:spacing w:val="19"/>
          <w:sz w:val="18"/>
          <w:szCs w:val="18"/>
        </w:rPr>
        <w:t> </w:t>
      </w:r>
      <w:r>
        <w:rPr>
          <w:rFonts w:ascii="Arial" w:hAnsi="Arial" w:cs="Arial" w:eastAsia="Arial" w:hint="default"/>
          <w:spacing w:val="-1"/>
          <w:sz w:val="18"/>
          <w:szCs w:val="18"/>
        </w:rPr>
        <w:t>124,113,600</w:t>
      </w:r>
    </w:p>
    <w:p>
      <w:pPr>
        <w:spacing w:line="240" w:lineRule="auto" w:before="2"/>
        <w:rPr>
          <w:rFonts w:ascii="Arial" w:hAnsi="Arial" w:cs="Arial" w:eastAsia="Arial" w:hint="default"/>
          <w:sz w:val="3"/>
          <w:szCs w:val="3"/>
        </w:rPr>
      </w:pPr>
    </w:p>
    <w:tbl>
      <w:tblPr>
        <w:tblW w:w="0" w:type="auto"/>
        <w:jc w:val="left"/>
        <w:tblInd w:w="1341" w:type="dxa"/>
        <w:tblLayout w:type="fixed"/>
        <w:tblCellMar>
          <w:top w:w="0" w:type="dxa"/>
          <w:left w:w="0" w:type="dxa"/>
          <w:bottom w:w="0" w:type="dxa"/>
          <w:right w:w="0" w:type="dxa"/>
        </w:tblCellMar>
        <w:tblLook w:val="01E0"/>
      </w:tblPr>
      <w:tblGrid>
        <w:gridCol w:w="2988"/>
        <w:gridCol w:w="1086"/>
        <w:gridCol w:w="3227"/>
      </w:tblGrid>
      <w:tr>
        <w:trPr>
          <w:trHeight w:val="248" w:hRule="exact"/>
        </w:trPr>
        <w:tc>
          <w:tcPr>
            <w:tcW w:w="2988" w:type="dxa"/>
            <w:tcBorders>
              <w:top w:val="nil" w:sz="6" w:space="0" w:color="auto"/>
              <w:left w:val="nil" w:sz="6" w:space="0" w:color="auto"/>
              <w:bottom w:val="nil" w:sz="6" w:space="0" w:color="auto"/>
              <w:right w:val="nil" w:sz="6" w:space="0" w:color="auto"/>
            </w:tcBorders>
          </w:tcPr>
          <w:p>
            <w:pPr>
              <w:pStyle w:val="TableParagraph"/>
              <w:spacing w:line="220" w:lineRule="exact"/>
              <w:ind w:left="35" w:right="0"/>
              <w:jc w:val="left"/>
              <w:rPr>
                <w:rFonts w:ascii="Arial" w:hAnsi="Arial" w:cs="Arial" w:eastAsia="Arial" w:hint="default"/>
                <w:sz w:val="18"/>
                <w:szCs w:val="18"/>
              </w:rPr>
            </w:pPr>
            <w:r>
              <w:rPr>
                <w:rFonts w:ascii="黑体" w:hAnsi="黑体" w:cs="黑体" w:eastAsia="黑体" w:hint="default"/>
                <w:sz w:val="18"/>
                <w:szCs w:val="18"/>
              </w:rPr>
              <w:t>上海用友科技咨询 </w:t>
            </w:r>
            <w:r>
              <w:rPr>
                <w:rFonts w:ascii="黑体" w:hAnsi="黑体" w:cs="黑体" w:eastAsia="黑体" w:hint="default"/>
                <w:spacing w:val="24"/>
                <w:sz w:val="18"/>
                <w:szCs w:val="18"/>
              </w:rPr>
              <w:t> </w:t>
            </w:r>
            <w:r>
              <w:rPr>
                <w:rFonts w:ascii="Arial" w:hAnsi="Arial" w:cs="Arial" w:eastAsia="Arial" w:hint="default"/>
                <w:spacing w:val="24"/>
                <w:sz w:val="18"/>
                <w:szCs w:val="18"/>
              </w:rPr>
            </w:r>
            <w:r>
              <w:rPr>
                <w:rFonts w:ascii="Arial" w:hAnsi="Arial" w:cs="Arial" w:eastAsia="Arial" w:hint="default"/>
                <w:spacing w:val="24"/>
                <w:sz w:val="18"/>
                <w:szCs w:val="18"/>
                <w:u w:val="single" w:color="000000"/>
              </w:rPr>
              <w:t> </w:t>
            </w:r>
            <w:r>
              <w:rPr>
                <w:rFonts w:ascii="Arial" w:hAnsi="Arial" w:cs="Arial" w:eastAsia="Arial" w:hint="default"/>
                <w:sz w:val="18"/>
                <w:szCs w:val="18"/>
                <w:u w:val="single" w:color="000000"/>
              </w:rPr>
              <w:t>25,272,000</w:t>
            </w:r>
            <w:r>
              <w:rPr>
                <w:rFonts w:ascii="Arial" w:hAnsi="Arial" w:cs="Arial" w:eastAsia="Arial" w:hint="default"/>
                <w:sz w:val="18"/>
                <w:szCs w:val="18"/>
              </w:rPr>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6"/>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w w:val="95"/>
                <w:sz w:val="18"/>
                <w:u w:val="single" w:color="000000"/>
              </w:rPr>
              <w:t>5.42%</w:t>
            </w:r>
            <w:r>
              <w:rPr>
                <w:rFonts w:ascii="Arial"/>
                <w:spacing w:val="-1"/>
                <w:w w:val="95"/>
                <w:sz w:val="18"/>
              </w:rPr>
            </w:r>
            <w:r>
              <w:rPr>
                <w:rFonts w:ascii="Arial"/>
                <w:sz w:val="18"/>
              </w:rPr>
            </w:r>
          </w:p>
        </w:tc>
        <w:tc>
          <w:tcPr>
            <w:tcW w:w="3227" w:type="dxa"/>
            <w:tcBorders>
              <w:top w:val="nil" w:sz="6" w:space="0" w:color="auto"/>
              <w:left w:val="nil" w:sz="6" w:space="0" w:color="auto"/>
              <w:bottom w:val="nil" w:sz="6" w:space="0" w:color="auto"/>
              <w:right w:val="nil" w:sz="6" w:space="0" w:color="auto"/>
            </w:tcBorders>
          </w:tcPr>
          <w:p>
            <w:pPr>
              <w:pStyle w:val="TableParagraph"/>
              <w:tabs>
                <w:tab w:pos="1964" w:val="left" w:leader="none"/>
                <w:tab w:pos="3063" w:val="left" w:leader="none"/>
              </w:tabs>
              <w:spacing w:line="240" w:lineRule="auto" w:before="12"/>
              <w:ind w:right="33"/>
              <w:jc w:val="right"/>
              <w:rPr>
                <w:rFonts w:ascii="Arial" w:hAnsi="Arial" w:cs="Arial" w:eastAsia="Arial" w:hint="default"/>
                <w:sz w:val="18"/>
                <w:szCs w:val="18"/>
              </w:rPr>
            </w:pPr>
            <w:r>
              <w:rPr>
                <w:rFonts w:ascii="Arial"/>
                <w:spacing w:val="-1"/>
                <w:sz w:val="18"/>
              </w:rPr>
              <w:t>(</w:t>
            </w:r>
            <w:r>
              <w:rPr>
                <w:rFonts w:ascii="Arial"/>
                <w:spacing w:val="-1"/>
                <w:sz w:val="18"/>
                <w:u w:val="single" w:color="000000"/>
              </w:rPr>
              <w:t>25,272,000</w:t>
            </w:r>
            <w:r>
              <w:rPr>
                <w:rFonts w:ascii="Arial"/>
                <w:spacing w:val="-1"/>
                <w:sz w:val="18"/>
              </w:rPr>
              <w:t>)</w:t>
            </w:r>
            <w:r>
              <w:rPr>
                <w:rFonts w:ascii="Arial"/>
                <w:spacing w:val="-1"/>
                <w:sz w:val="18"/>
                <w:u w:val="single" w:color="000000"/>
              </w:rPr>
              <w:t> </w:t>
              <w:tab/>
            </w:r>
            <w:r>
              <w:rPr>
                <w:rFonts w:ascii="Arial"/>
                <w:sz w:val="18"/>
                <w:u w:val="single" w:color="000000"/>
              </w:rPr>
              <w:t>-</w:t>
            </w:r>
            <w:r>
              <w:rPr>
                <w:rFonts w:ascii="Arial"/>
                <w:sz w:val="18"/>
              </w:rPr>
            </w:r>
            <w:r>
              <w:rPr>
                <w:rFonts w:ascii="Arial"/>
                <w:sz w:val="18"/>
                <w:u w:val="single" w:color="000000"/>
              </w:rPr>
              <w:t> </w:t>
              <w:tab/>
              <w:t>-</w:t>
            </w:r>
            <w:r>
              <w:rPr>
                <w:rFonts w:ascii="Arial"/>
                <w:sz w:val="18"/>
              </w:rPr>
            </w:r>
          </w:p>
        </w:tc>
      </w:tr>
      <w:tr>
        <w:trPr>
          <w:trHeight w:val="322" w:hRule="exact"/>
        </w:trPr>
        <w:tc>
          <w:tcPr>
            <w:tcW w:w="2988" w:type="dxa"/>
            <w:tcBorders>
              <w:top w:val="nil" w:sz="6" w:space="0" w:color="auto"/>
              <w:left w:val="nil" w:sz="6" w:space="0" w:color="auto"/>
              <w:bottom w:val="nil" w:sz="6" w:space="0" w:color="auto"/>
              <w:right w:val="nil" w:sz="6" w:space="0" w:color="auto"/>
            </w:tcBorders>
          </w:tcPr>
          <w:p>
            <w:pPr>
              <w:pStyle w:val="TableParagraph"/>
              <w:tabs>
                <w:tab w:pos="1588" w:val="left" w:leader="none"/>
              </w:tabs>
              <w:spacing w:line="226" w:lineRule="exact"/>
              <w:ind w:left="35" w:right="0"/>
              <w:jc w:val="left"/>
              <w:rPr>
                <w:rFonts w:ascii="Arial" w:hAnsi="Arial" w:cs="Arial" w:eastAsia="Arial" w:hint="default"/>
                <w:sz w:val="18"/>
                <w:szCs w:val="18"/>
              </w:rPr>
            </w:pPr>
            <w:r>
              <w:rPr>
                <w:rFonts w:ascii="黑体" w:hAnsi="黑体" w:cs="黑体" w:eastAsia="黑体" w:hint="default"/>
                <w:sz w:val="18"/>
                <w:szCs w:val="18"/>
              </w:rPr>
              <w:t>合计</w:t>
              <w:tab/>
            </w:r>
            <w:r>
              <w:rPr>
                <w:rFonts w:ascii="Arial" w:hAnsi="Arial" w:cs="Arial" w:eastAsia="Arial" w:hint="default"/>
                <w:sz w:val="18"/>
                <w:szCs w:val="18"/>
              </w:rPr>
            </w:r>
            <w:r>
              <w:rPr>
                <w:rFonts w:ascii="Arial" w:hAnsi="Arial" w:cs="Arial" w:eastAsia="Arial" w:hint="default"/>
                <w:sz w:val="18"/>
                <w:szCs w:val="18"/>
                <w:u w:val="thick" w:color="000000"/>
              </w:rPr>
              <w:t>120,744,000</w:t>
            </w:r>
            <w:r>
              <w:rPr>
                <w:rFonts w:ascii="Arial" w:hAnsi="Arial" w:cs="Arial" w:eastAsia="Arial" w:hint="default"/>
                <w:sz w:val="18"/>
                <w:szCs w:val="18"/>
              </w:rPr>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65"/>
              <w:jc w:val="right"/>
              <w:rPr>
                <w:rFonts w:ascii="Arial" w:hAnsi="Arial" w:cs="Arial" w:eastAsia="Arial" w:hint="default"/>
                <w:sz w:val="18"/>
                <w:szCs w:val="18"/>
              </w:rPr>
            </w:pPr>
            <w:r>
              <w:rPr>
                <w:rFonts w:ascii="Arial"/>
                <w:w w:val="99"/>
                <w:sz w:val="18"/>
              </w:rPr>
            </w:r>
            <w:r>
              <w:rPr>
                <w:rFonts w:ascii="Arial"/>
                <w:spacing w:val="-1"/>
                <w:sz w:val="18"/>
                <w:u w:val="thick" w:color="000000"/>
              </w:rPr>
              <w:t>25.87%</w:t>
            </w:r>
            <w:r>
              <w:rPr>
                <w:rFonts w:ascii="Arial"/>
                <w:spacing w:val="-1"/>
                <w:sz w:val="18"/>
              </w:rPr>
            </w:r>
          </w:p>
        </w:tc>
        <w:tc>
          <w:tcPr>
            <w:tcW w:w="322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3"/>
              <w:jc w:val="right"/>
              <w:rPr>
                <w:rFonts w:ascii="Arial" w:hAnsi="Arial" w:cs="Arial" w:eastAsia="Arial" w:hint="default"/>
                <w:sz w:val="18"/>
                <w:szCs w:val="18"/>
              </w:rPr>
            </w:pPr>
            <w:r>
              <w:rPr>
                <w:rFonts w:ascii="Arial"/>
                <w:sz w:val="18"/>
              </w:rPr>
              <w:t>(</w:t>
            </w:r>
            <w:r>
              <w:rPr>
                <w:rFonts w:ascii="Arial"/>
                <w:sz w:val="18"/>
                <w:u w:val="thick" w:color="000000"/>
              </w:rPr>
              <w:t>25,272,000</w:t>
            </w:r>
            <w:r>
              <w:rPr>
                <w:rFonts w:ascii="Arial"/>
                <w:sz w:val="18"/>
              </w:rPr>
              <w:t>)  </w:t>
            </w:r>
            <w:r>
              <w:rPr>
                <w:rFonts w:ascii="Arial"/>
                <w:sz w:val="18"/>
                <w:u w:val="thick" w:color="000000"/>
              </w:rPr>
              <w:t>28,641,600</w:t>
            </w:r>
            <w:r>
              <w:rPr>
                <w:rFonts w:ascii="Arial"/>
                <w:spacing w:val="29"/>
                <w:sz w:val="18"/>
                <w:u w:val="thick" w:color="000000"/>
              </w:rPr>
              <w:t> </w:t>
            </w:r>
            <w:r>
              <w:rPr>
                <w:rFonts w:ascii="Arial"/>
                <w:spacing w:val="29"/>
                <w:sz w:val="18"/>
              </w:rPr>
            </w:r>
            <w:r>
              <w:rPr>
                <w:rFonts w:ascii="Arial"/>
                <w:sz w:val="18"/>
                <w:u w:val="thick" w:color="000000"/>
              </w:rPr>
              <w:t>124,113,600</w:t>
            </w:r>
            <w:r>
              <w:rPr>
                <w:rFonts w:ascii="Arial"/>
                <w:sz w:val="18"/>
              </w:rPr>
            </w:r>
          </w:p>
        </w:tc>
      </w:tr>
    </w:tbl>
    <w:p>
      <w:pPr>
        <w:spacing w:line="240" w:lineRule="auto" w:before="3"/>
        <w:rPr>
          <w:rFonts w:ascii="Arial" w:hAnsi="Arial" w:cs="Arial" w:eastAsia="Arial" w:hint="default"/>
          <w:sz w:val="7"/>
          <w:szCs w:val="7"/>
        </w:rPr>
      </w:pPr>
    </w:p>
    <w:p>
      <w:pPr>
        <w:pStyle w:val="BodyText"/>
        <w:spacing w:line="260" w:lineRule="exact" w:before="64"/>
        <w:ind w:left="1377" w:right="212" w:hanging="567"/>
        <w:jc w:val="both"/>
      </w:pPr>
      <w:r>
        <w:rPr/>
        <w:t>注</w:t>
      </w:r>
      <w:r>
        <w:rPr>
          <w:rFonts w:ascii="Arial" w:hAnsi="Arial" w:cs="Arial" w:eastAsia="Arial" w:hint="default"/>
        </w:rPr>
        <w:t>2.</w:t>
      </w:r>
      <w:r>
        <w:rPr>
          <w:rFonts w:ascii="Arial" w:hAnsi="Arial" w:cs="Arial" w:eastAsia="Arial" w:hint="default"/>
          <w:spacing w:val="38"/>
        </w:rPr>
        <w:t> </w:t>
      </w:r>
      <w:r>
        <w:rPr>
          <w:rFonts w:ascii="Arial" w:hAnsi="Arial" w:cs="Arial" w:eastAsia="Arial" w:hint="default"/>
          <w:spacing w:val="4"/>
        </w:rPr>
        <w:t>2009</w:t>
      </w:r>
      <w:r>
        <w:rPr>
          <w:spacing w:val="4"/>
        </w:rPr>
        <w:t>年</w:t>
      </w:r>
      <w:r>
        <w:rPr>
          <w:rFonts w:ascii="Arial" w:hAnsi="Arial" w:cs="Arial" w:eastAsia="Arial" w:hint="default"/>
          <w:spacing w:val="4"/>
        </w:rPr>
        <w:t>8</w:t>
      </w:r>
      <w:r>
        <w:rPr>
          <w:spacing w:val="4"/>
        </w:rPr>
        <w:t>月</w:t>
      </w:r>
      <w:r>
        <w:rPr>
          <w:rFonts w:ascii="Arial" w:hAnsi="Arial" w:cs="Arial" w:eastAsia="Arial" w:hint="default"/>
          <w:spacing w:val="4"/>
        </w:rPr>
        <w:t>20</w:t>
      </w:r>
      <w:r>
        <w:rPr>
          <w:spacing w:val="4"/>
        </w:rPr>
        <w:t>日，本公司于</w:t>
      </w:r>
      <w:r>
        <w:rPr>
          <w:rFonts w:ascii="Arial" w:hAnsi="Arial" w:cs="Arial" w:eastAsia="Arial" w:hint="default"/>
          <w:spacing w:val="4"/>
        </w:rPr>
        <w:t>2007</w:t>
      </w:r>
      <w:r>
        <w:rPr>
          <w:spacing w:val="4"/>
        </w:rPr>
        <w:t>年</w:t>
      </w:r>
      <w:r>
        <w:rPr>
          <w:rFonts w:ascii="Arial" w:hAnsi="Arial" w:cs="Arial" w:eastAsia="Arial" w:hint="default"/>
          <w:spacing w:val="4"/>
        </w:rPr>
        <w:t>8</w:t>
      </w:r>
      <w:r>
        <w:rPr>
          <w:spacing w:val="4"/>
        </w:rPr>
        <w:t>月</w:t>
      </w:r>
      <w:r>
        <w:rPr>
          <w:rFonts w:ascii="Arial" w:hAnsi="Arial" w:cs="Arial" w:eastAsia="Arial" w:hint="default"/>
          <w:spacing w:val="4"/>
        </w:rPr>
        <w:t>8</w:t>
      </w:r>
      <w:r>
        <w:rPr>
          <w:spacing w:val="4"/>
        </w:rPr>
        <w:t>日向符合授予条件的股权激励对象授予的</w:t>
      </w:r>
      <w:r>
        <w:rPr>
          <w:spacing w:val="-98"/>
        </w:rPr>
        <w:t> </w:t>
      </w:r>
      <w:r>
        <w:rPr>
          <w:spacing w:val="-98"/>
        </w:rPr>
      </w:r>
      <w:r>
        <w:rPr>
          <w:rFonts w:ascii="Arial" w:hAnsi="Arial" w:cs="Arial" w:eastAsia="Arial" w:hint="default"/>
          <w:spacing w:val="3"/>
        </w:rPr>
        <w:t>2007</w:t>
      </w:r>
      <w:r>
        <w:rPr>
          <w:spacing w:val="3"/>
        </w:rPr>
        <w:t>年度股票部分达到第二次解锁条件，本次解锁的已售出股权激励股份数量为</w:t>
      </w:r>
    </w:p>
    <w:p>
      <w:pPr>
        <w:pStyle w:val="BodyText"/>
        <w:spacing w:line="260" w:lineRule="exact"/>
        <w:ind w:left="1377" w:right="214" w:hanging="1"/>
        <w:jc w:val="both"/>
      </w:pPr>
      <w:r>
        <w:rPr>
          <w:rFonts w:ascii="Arial" w:hAnsi="Arial" w:cs="Arial" w:eastAsia="Arial" w:hint="default"/>
        </w:rPr>
        <w:t>6,949,904</w:t>
      </w:r>
      <w:r>
        <w:rPr/>
        <w:t>股，可上市流通日为</w:t>
      </w:r>
      <w:r>
        <w:rPr>
          <w:rFonts w:ascii="Arial" w:hAnsi="Arial" w:cs="Arial" w:eastAsia="Arial" w:hint="default"/>
        </w:rPr>
        <w:t>2009</w:t>
      </w:r>
      <w:r>
        <w:rPr/>
        <w:t>年</w:t>
      </w:r>
      <w:r>
        <w:rPr>
          <w:rFonts w:ascii="Arial" w:hAnsi="Arial" w:cs="Arial" w:eastAsia="Arial" w:hint="default"/>
        </w:rPr>
        <w:t>8</w:t>
      </w:r>
      <w:r>
        <w:rPr/>
        <w:t>月</w:t>
      </w:r>
      <w:r>
        <w:rPr>
          <w:rFonts w:ascii="Arial" w:hAnsi="Arial" w:cs="Arial" w:eastAsia="Arial" w:hint="default"/>
        </w:rPr>
        <w:t>20</w:t>
      </w:r>
      <w:r>
        <w:rPr/>
        <w:t>日。</w:t>
      </w:r>
      <w:r>
        <w:rPr>
          <w:rFonts w:ascii="Arial" w:hAnsi="Arial" w:cs="Arial" w:eastAsia="Arial" w:hint="default"/>
        </w:rPr>
        <w:t>2009</w:t>
      </w:r>
      <w:r>
        <w:rPr/>
        <w:t>年</w:t>
      </w:r>
      <w:r>
        <w:rPr>
          <w:rFonts w:ascii="Arial" w:hAnsi="Arial" w:cs="Arial" w:eastAsia="Arial" w:hint="default"/>
        </w:rPr>
        <w:t>9</w:t>
      </w:r>
      <w:r>
        <w:rPr/>
        <w:t>月</w:t>
      </w:r>
      <w:r>
        <w:rPr>
          <w:rFonts w:ascii="Arial" w:hAnsi="Arial" w:cs="Arial" w:eastAsia="Arial" w:hint="default"/>
        </w:rPr>
        <w:t>28</w:t>
      </w:r>
      <w:r>
        <w:rPr/>
        <w:t>日，本公司于</w:t>
      </w:r>
      <w:r>
        <w:rPr>
          <w:rFonts w:ascii="Arial" w:hAnsi="Arial" w:cs="Arial" w:eastAsia="Arial" w:hint="default"/>
        </w:rPr>
        <w:t>2008</w:t>
      </w:r>
      <w:r>
        <w:rPr>
          <w:rFonts w:ascii="Arial" w:hAnsi="Arial" w:cs="Arial" w:eastAsia="Arial" w:hint="default"/>
          <w:spacing w:val="3"/>
        </w:rPr>
        <w:t> </w:t>
      </w:r>
      <w:r>
        <w:rPr>
          <w:rFonts w:ascii="Arial" w:hAnsi="Arial" w:cs="Arial" w:eastAsia="Arial" w:hint="default"/>
          <w:spacing w:val="3"/>
        </w:rPr>
      </w:r>
      <w:r>
        <w:rPr/>
        <w:t>年</w:t>
      </w:r>
      <w:r>
        <w:rPr>
          <w:rFonts w:ascii="Arial" w:hAnsi="Arial" w:cs="Arial" w:eastAsia="Arial" w:hint="default"/>
        </w:rPr>
        <w:t>9</w:t>
      </w:r>
      <w:r>
        <w:rPr/>
        <w:t>月</w:t>
      </w:r>
      <w:r>
        <w:rPr>
          <w:rFonts w:ascii="Arial" w:hAnsi="Arial" w:cs="Arial" w:eastAsia="Arial" w:hint="default"/>
        </w:rPr>
        <w:t>26</w:t>
      </w:r>
      <w:r>
        <w:rPr/>
        <w:t>日向符合授予条件的股权激励对象授予的</w:t>
      </w:r>
      <w:r>
        <w:rPr>
          <w:rFonts w:ascii="Arial" w:hAnsi="Arial" w:cs="Arial" w:eastAsia="Arial" w:hint="default"/>
        </w:rPr>
        <w:t>2008</w:t>
      </w:r>
      <w:r>
        <w:rPr/>
        <w:t>年度股票部分达到第一次解</w:t>
      </w:r>
      <w:r>
        <w:rPr>
          <w:spacing w:val="-59"/>
        </w:rPr>
        <w:t> </w:t>
      </w:r>
      <w:r>
        <w:rPr>
          <w:spacing w:val="-59"/>
        </w:rPr>
      </w:r>
      <w:r>
        <w:rPr>
          <w:spacing w:val="-3"/>
        </w:rPr>
        <w:t>锁条件，本次解锁的已售出股权激励股份数量为</w:t>
      </w:r>
      <w:r>
        <w:rPr>
          <w:rFonts w:ascii="Arial" w:hAnsi="Arial" w:cs="Arial" w:eastAsia="Arial" w:hint="default"/>
          <w:spacing w:val="-3"/>
        </w:rPr>
        <w:t>3,118,889</w:t>
      </w:r>
      <w:r>
        <w:rPr>
          <w:spacing w:val="-3"/>
        </w:rPr>
        <w:t>股，可上市流通日为</w:t>
      </w:r>
      <w:r>
        <w:rPr>
          <w:rFonts w:ascii="Arial" w:hAnsi="Arial" w:cs="Arial" w:eastAsia="Arial" w:hint="default"/>
          <w:spacing w:val="-3"/>
        </w:rPr>
        <w:t>2009</w:t>
      </w:r>
      <w:r>
        <w:rPr>
          <w:rFonts w:ascii="Arial" w:hAnsi="Arial" w:cs="Arial" w:eastAsia="Arial" w:hint="default"/>
          <w:spacing w:val="-43"/>
        </w:rPr>
        <w:t> </w:t>
      </w:r>
      <w:r>
        <w:rPr>
          <w:rFonts w:ascii="Arial" w:hAnsi="Arial" w:cs="Arial" w:eastAsia="Arial" w:hint="default"/>
          <w:spacing w:val="-43"/>
        </w:rPr>
      </w:r>
      <w:r>
        <w:rPr/>
        <w:t>年</w:t>
      </w:r>
      <w:r>
        <w:rPr>
          <w:rFonts w:ascii="Arial" w:hAnsi="Arial" w:cs="Arial" w:eastAsia="Arial" w:hint="default"/>
        </w:rPr>
        <w:t>9</w:t>
      </w:r>
      <w:r>
        <w:rPr/>
        <w:t>月</w:t>
      </w:r>
      <w:r>
        <w:rPr>
          <w:rFonts w:ascii="Arial" w:hAnsi="Arial" w:cs="Arial" w:eastAsia="Arial" w:hint="default"/>
        </w:rPr>
        <w:t>28</w:t>
      </w:r>
      <w:r>
        <w:rPr/>
        <w:t>日。</w:t>
      </w:r>
    </w:p>
    <w:p>
      <w:pPr>
        <w:spacing w:line="240" w:lineRule="auto" w:before="1"/>
        <w:rPr>
          <w:rFonts w:ascii="黑体" w:hAnsi="黑体" w:cs="黑体" w:eastAsia="黑体" w:hint="default"/>
          <w:sz w:val="14"/>
          <w:szCs w:val="14"/>
        </w:rPr>
      </w:pPr>
    </w:p>
    <w:p>
      <w:pPr>
        <w:pStyle w:val="BodyText"/>
        <w:spacing w:line="260" w:lineRule="exact"/>
        <w:ind w:left="1377" w:right="210" w:hanging="567"/>
        <w:jc w:val="both"/>
      </w:pPr>
      <w:r>
        <w:rPr/>
        <w:t>注</w:t>
      </w:r>
      <w:r>
        <w:rPr>
          <w:rFonts w:ascii="Arial" w:hAnsi="Arial" w:cs="Arial" w:eastAsia="Arial" w:hint="default"/>
        </w:rPr>
        <w:t>3.</w:t>
      </w:r>
      <w:r>
        <w:rPr>
          <w:rFonts w:ascii="Arial" w:hAnsi="Arial" w:cs="Arial" w:eastAsia="Arial" w:hint="default"/>
          <w:spacing w:val="28"/>
        </w:rPr>
        <w:t> </w:t>
      </w:r>
      <w:r>
        <w:rPr/>
        <w:t>经本公司于</w:t>
      </w:r>
      <w:r>
        <w:rPr>
          <w:rFonts w:ascii="Arial" w:hAnsi="Arial" w:cs="Arial" w:eastAsia="Arial" w:hint="default"/>
        </w:rPr>
        <w:t>2009</w:t>
      </w:r>
      <w:r>
        <w:rPr/>
        <w:t>年</w:t>
      </w:r>
      <w:r>
        <w:rPr>
          <w:rFonts w:ascii="Arial" w:hAnsi="Arial" w:cs="Arial" w:eastAsia="Arial" w:hint="default"/>
        </w:rPr>
        <w:t>4</w:t>
      </w:r>
      <w:r>
        <w:rPr/>
        <w:t>月</w:t>
      </w:r>
      <w:r>
        <w:rPr>
          <w:rFonts w:ascii="Arial" w:hAnsi="Arial" w:cs="Arial" w:eastAsia="Arial" w:hint="default"/>
        </w:rPr>
        <w:t>15</w:t>
      </w:r>
      <w:r>
        <w:rPr/>
        <w:t>日召开的股东大会决议通过的《</w:t>
      </w:r>
      <w:r>
        <w:rPr>
          <w:rFonts w:ascii="Arial" w:hAnsi="Arial" w:cs="Arial" w:eastAsia="Arial" w:hint="default"/>
        </w:rPr>
        <w:t>2008</w:t>
      </w:r>
      <w:r>
        <w:rPr/>
        <w:t>年度资本公积金转增</w:t>
      </w:r>
      <w:r>
        <w:rPr>
          <w:w w:val="100"/>
        </w:rPr>
        <w:t> </w:t>
      </w:r>
      <w:r>
        <w:rPr>
          <w:spacing w:val="-1"/>
        </w:rPr>
        <w:t>股本议案》，本公司以</w:t>
      </w:r>
      <w:r>
        <w:rPr>
          <w:rFonts w:ascii="Arial" w:hAnsi="Arial" w:cs="Arial" w:eastAsia="Arial" w:hint="default"/>
          <w:spacing w:val="-1"/>
        </w:rPr>
        <w:t>2008</w:t>
      </w:r>
      <w:r>
        <w:rPr>
          <w:spacing w:val="-1"/>
        </w:rPr>
        <w:t>年末总股本扣除截至到</w:t>
      </w:r>
      <w:r>
        <w:rPr>
          <w:rFonts w:ascii="Arial" w:hAnsi="Arial" w:cs="Arial" w:eastAsia="Arial" w:hint="default"/>
          <w:spacing w:val="-1"/>
        </w:rPr>
        <w:t>2009</w:t>
      </w:r>
      <w:r>
        <w:rPr>
          <w:spacing w:val="-1"/>
        </w:rPr>
        <w:t>年</w:t>
      </w:r>
      <w:r>
        <w:rPr>
          <w:rFonts w:ascii="Arial" w:hAnsi="Arial" w:cs="Arial" w:eastAsia="Arial" w:hint="default"/>
          <w:spacing w:val="-1"/>
        </w:rPr>
        <w:t>3</w:t>
      </w:r>
      <w:r>
        <w:rPr>
          <w:spacing w:val="-1"/>
        </w:rPr>
        <w:t>月</w:t>
      </w:r>
      <w:r>
        <w:rPr>
          <w:rFonts w:ascii="Arial" w:hAnsi="Arial" w:cs="Arial" w:eastAsia="Arial" w:hint="default"/>
          <w:spacing w:val="-1"/>
        </w:rPr>
        <w:t>19</w:t>
      </w:r>
      <w:r>
        <w:rPr>
          <w:spacing w:val="-1"/>
        </w:rPr>
        <w:t>日已批准回购但尚</w:t>
      </w:r>
      <w:r>
        <w:rPr>
          <w:w w:val="100"/>
        </w:rPr>
        <w:t> </w:t>
      </w:r>
      <w:r>
        <w:rPr/>
        <w:t>未注销的股权激励股份计</w:t>
      </w:r>
      <w:r>
        <w:rPr>
          <w:rFonts w:ascii="Arial" w:hAnsi="Arial" w:cs="Arial" w:eastAsia="Arial" w:hint="default"/>
        </w:rPr>
        <w:t>20,600</w:t>
      </w:r>
      <w:r>
        <w:rPr/>
        <w:t>股后的</w:t>
      </w:r>
      <w:r>
        <w:rPr>
          <w:rFonts w:ascii="Arial" w:hAnsi="Arial" w:cs="Arial" w:eastAsia="Arial" w:hint="default"/>
        </w:rPr>
        <w:t>466,662,975</w:t>
      </w:r>
      <w:r>
        <w:rPr/>
        <w:t>股为基数，向全体股东每</w:t>
      </w:r>
      <w:r>
        <w:rPr>
          <w:rFonts w:ascii="Arial" w:hAnsi="Arial" w:cs="Arial" w:eastAsia="Arial" w:hint="default"/>
        </w:rPr>
        <w:t>10</w:t>
      </w:r>
      <w:r>
        <w:rPr/>
        <w:t>股</w:t>
      </w:r>
      <w:r>
        <w:rPr>
          <w:w w:val="100"/>
        </w:rPr>
        <w:t> </w:t>
      </w:r>
      <w:r>
        <w:rPr/>
        <w:t>转增</w:t>
      </w:r>
      <w:r>
        <w:rPr>
          <w:rFonts w:ascii="Arial" w:hAnsi="Arial" w:cs="Arial" w:eastAsia="Arial" w:hint="default"/>
        </w:rPr>
        <w:t>3</w:t>
      </w:r>
      <w:r>
        <w:rPr/>
        <w:t>股，共计</w:t>
      </w:r>
      <w:r>
        <w:rPr>
          <w:rFonts w:ascii="Arial" w:hAnsi="Arial" w:cs="Arial" w:eastAsia="Arial" w:hint="default"/>
        </w:rPr>
        <w:t>139,998,893</w:t>
      </w:r>
      <w:r>
        <w:rPr/>
        <w:t>股。转增后，公司的注册资本从人民币</w:t>
      </w:r>
      <w:r>
        <w:rPr>
          <w:rFonts w:ascii="Arial" w:hAnsi="Arial" w:cs="Arial" w:eastAsia="Arial" w:hint="default"/>
        </w:rPr>
        <w:t>466,683,575</w:t>
      </w:r>
      <w:r>
        <w:rPr/>
        <w:t>元</w:t>
      </w:r>
      <w:r>
        <w:rPr>
          <w:w w:val="100"/>
        </w:rPr>
        <w:t> </w:t>
      </w:r>
      <w:r>
        <w:rPr/>
        <w:t>增加至人民币</w:t>
      </w:r>
      <w:r>
        <w:rPr>
          <w:rFonts w:ascii="Arial" w:hAnsi="Arial" w:cs="Arial" w:eastAsia="Arial" w:hint="default"/>
        </w:rPr>
        <w:t>606,682,468</w:t>
      </w:r>
      <w:r>
        <w:rPr/>
        <w:t>元。</w:t>
      </w:r>
    </w:p>
    <w:p>
      <w:pPr>
        <w:pStyle w:val="BodyText"/>
        <w:spacing w:line="268" w:lineRule="exact" w:before="158"/>
        <w:ind w:left="1377" w:right="0"/>
        <w:jc w:val="both"/>
      </w:pPr>
      <w:r>
        <w:rPr>
          <w:spacing w:val="3"/>
        </w:rPr>
        <w:t>因有部分股权激励对象发生了公司股权激励计划中规定的变更和终止的情形</w:t>
      </w:r>
      <w:r>
        <w:rPr>
          <w:rFonts w:ascii="Arial" w:hAnsi="Arial" w:cs="Arial" w:eastAsia="Arial" w:hint="default"/>
          <w:spacing w:val="3"/>
        </w:rPr>
        <w:t>,</w:t>
      </w:r>
      <w:r>
        <w:rPr>
          <w:spacing w:val="3"/>
        </w:rPr>
        <w:t>根据</w:t>
      </w:r>
      <w:r>
        <w:rPr/>
      </w:r>
    </w:p>
    <w:p>
      <w:pPr>
        <w:pStyle w:val="BodyText"/>
        <w:spacing w:line="228" w:lineRule="auto" w:before="3"/>
        <w:ind w:left="1376" w:right="181"/>
        <w:jc w:val="both"/>
      </w:pPr>
      <w:r>
        <w:rPr/>
        <w:t>《用友软件股份有限公司股权激励计划</w:t>
      </w:r>
      <w:r>
        <w:rPr>
          <w:rFonts w:ascii="Arial" w:hAnsi="Arial" w:cs="Arial" w:eastAsia="Arial" w:hint="default"/>
        </w:rPr>
        <w:t>(</w:t>
      </w:r>
      <w:r>
        <w:rPr/>
        <w:t>修订稿</w:t>
      </w:r>
      <w:r>
        <w:rPr>
          <w:rFonts w:ascii="Arial" w:hAnsi="Arial" w:cs="Arial" w:eastAsia="Arial" w:hint="default"/>
        </w:rPr>
        <w:t>)</w:t>
      </w:r>
      <w:r>
        <w:rPr/>
        <w:t>》有关条款和股东大会授权</w:t>
      </w:r>
      <w:r>
        <w:rPr>
          <w:rFonts w:ascii="Arial" w:hAnsi="Arial" w:cs="Arial" w:eastAsia="Arial" w:hint="default"/>
        </w:rPr>
        <w:t>,</w:t>
      </w:r>
      <w:r>
        <w:rPr/>
        <w:t>本公司</w:t>
      </w:r>
      <w:r>
        <w:rPr>
          <w:spacing w:val="-65"/>
        </w:rPr>
        <w:t> </w:t>
      </w:r>
      <w:r>
        <w:rPr>
          <w:spacing w:val="-65"/>
        </w:rPr>
      </w:r>
      <w:r>
        <w:rPr/>
        <w:t>董事会于</w:t>
      </w:r>
      <w:r>
        <w:rPr>
          <w:rFonts w:ascii="Arial" w:hAnsi="Arial" w:cs="Arial" w:eastAsia="Arial" w:hint="default"/>
        </w:rPr>
        <w:t>2009</w:t>
      </w:r>
      <w:r>
        <w:rPr/>
        <w:t>年</w:t>
      </w:r>
      <w:r>
        <w:rPr>
          <w:rFonts w:ascii="Arial" w:hAnsi="Arial" w:cs="Arial" w:eastAsia="Arial" w:hint="default"/>
        </w:rPr>
        <w:t>3</w:t>
      </w:r>
      <w:r>
        <w:rPr/>
        <w:t>月</w:t>
      </w:r>
      <w:r>
        <w:rPr>
          <w:rFonts w:ascii="Arial" w:hAnsi="Arial" w:cs="Arial" w:eastAsia="Arial" w:hint="default"/>
        </w:rPr>
        <w:t>19</w:t>
      </w:r>
      <w:r>
        <w:rPr/>
        <w:t>日召开的第四届董事会</w:t>
      </w:r>
      <w:r>
        <w:rPr>
          <w:rFonts w:ascii="Arial" w:hAnsi="Arial" w:cs="Arial" w:eastAsia="Arial" w:hint="default"/>
        </w:rPr>
        <w:t>2009</w:t>
      </w:r>
      <w:r>
        <w:rPr/>
        <w:t>年第二次会议上审议通过了回购</w:t>
      </w:r>
      <w:r>
        <w:rPr>
          <w:w w:val="100"/>
        </w:rPr>
        <w:t> </w:t>
      </w:r>
      <w:r>
        <w:rPr/>
        <w:t>并注销上述激励对象已获授但尚未解锁的股权激励股票的相关议案。本公司已分别</w:t>
      </w:r>
      <w:r>
        <w:rPr>
          <w:spacing w:val="-73"/>
        </w:rPr>
        <w:t> </w:t>
      </w:r>
      <w:r>
        <w:rPr>
          <w:spacing w:val="-73"/>
        </w:rPr>
      </w:r>
      <w:r>
        <w:rPr/>
        <w:t>于</w:t>
      </w:r>
      <w:r>
        <w:rPr>
          <w:rFonts w:ascii="Arial" w:hAnsi="Arial" w:cs="Arial" w:eastAsia="Arial" w:hint="default"/>
        </w:rPr>
        <w:t>2009</w:t>
      </w:r>
      <w:r>
        <w:rPr/>
        <w:t>年</w:t>
      </w:r>
      <w:r>
        <w:rPr>
          <w:rFonts w:ascii="Arial" w:hAnsi="Arial" w:cs="Arial" w:eastAsia="Arial" w:hint="default"/>
        </w:rPr>
        <w:t>8</w:t>
      </w:r>
      <w:r>
        <w:rPr/>
        <w:t>月</w:t>
      </w:r>
      <w:r>
        <w:rPr>
          <w:rFonts w:ascii="Arial" w:hAnsi="Arial" w:cs="Arial" w:eastAsia="Arial" w:hint="default"/>
        </w:rPr>
        <w:t>3</w:t>
      </w:r>
      <w:r>
        <w:rPr/>
        <w:t>日及</w:t>
      </w:r>
      <w:r>
        <w:rPr>
          <w:rFonts w:ascii="Arial" w:hAnsi="Arial" w:cs="Arial" w:eastAsia="Arial" w:hint="default"/>
        </w:rPr>
        <w:t>2009</w:t>
      </w:r>
      <w:r>
        <w:rPr/>
        <w:t>年</w:t>
      </w:r>
      <w:r>
        <w:rPr>
          <w:rFonts w:ascii="Arial" w:hAnsi="Arial" w:cs="Arial" w:eastAsia="Arial" w:hint="default"/>
        </w:rPr>
        <w:t>9</w:t>
      </w:r>
      <w:r>
        <w:rPr/>
        <w:t>月</w:t>
      </w:r>
      <w:r>
        <w:rPr>
          <w:rFonts w:ascii="Arial" w:hAnsi="Arial" w:cs="Arial" w:eastAsia="Arial" w:hint="default"/>
        </w:rPr>
        <w:t>15</w:t>
      </w:r>
      <w:r>
        <w:rPr/>
        <w:t>日</w:t>
      </w:r>
      <w:r>
        <w:rPr>
          <w:rFonts w:ascii="Arial" w:hAnsi="Arial" w:cs="Arial" w:eastAsia="Arial" w:hint="default"/>
        </w:rPr>
        <w:t>,</w:t>
      </w:r>
      <w:r>
        <w:rPr/>
        <w:t>将上述回购的股权激励股票予以注销</w:t>
      </w:r>
      <w:r>
        <w:rPr>
          <w:rFonts w:ascii="Arial" w:hAnsi="Arial" w:cs="Arial" w:eastAsia="Arial" w:hint="default"/>
        </w:rPr>
        <w:t>,</w:t>
      </w:r>
      <w:r>
        <w:rPr/>
        <w:t>共计注销</w:t>
      </w:r>
      <w:r>
        <w:rPr>
          <w:spacing w:val="-43"/>
        </w:rPr>
        <w:t> </w:t>
      </w:r>
      <w:r>
        <w:rPr>
          <w:spacing w:val="-43"/>
        </w:rPr>
      </w:r>
      <w:r>
        <w:rPr>
          <w:rFonts w:ascii="Arial" w:hAnsi="Arial" w:cs="Arial" w:eastAsia="Arial" w:hint="default"/>
        </w:rPr>
        <w:t>20,600</w:t>
      </w:r>
      <w:r>
        <w:rPr>
          <w:rFonts w:ascii="Arial" w:hAnsi="Arial" w:cs="Arial" w:eastAsia="Arial" w:hint="default"/>
          <w:spacing w:val="-19"/>
        </w:rPr>
        <w:t> </w:t>
      </w:r>
      <w:r>
        <w:rPr>
          <w:spacing w:val="16"/>
        </w:rPr>
        <w:t>股。</w:t>
      </w:r>
      <w:r>
        <w:rPr>
          <w:spacing w:val="-65"/>
        </w:rPr>
        <w:t> </w:t>
      </w:r>
      <w:r>
        <w:rPr>
          <w:spacing w:val="21"/>
        </w:rPr>
        <w:t>注销后</w:t>
      </w:r>
      <w:r>
        <w:rPr>
          <w:spacing w:val="-64"/>
        </w:rPr>
        <w:t> </w:t>
      </w:r>
      <w:r>
        <w:rPr>
          <w:rFonts w:ascii="Arial" w:hAnsi="Arial" w:cs="Arial" w:eastAsia="Arial" w:hint="default"/>
        </w:rPr>
        <w:t>,</w:t>
      </w:r>
      <w:r>
        <w:rPr>
          <w:rFonts w:ascii="Arial" w:hAnsi="Arial" w:cs="Arial" w:eastAsia="Arial" w:hint="default"/>
          <w:spacing w:val="-20"/>
        </w:rPr>
        <w:t> </w:t>
      </w:r>
      <w:r>
        <w:rPr/>
        <w:t>本</w:t>
      </w:r>
      <w:r>
        <w:rPr>
          <w:spacing w:val="-63"/>
        </w:rPr>
        <w:t> </w:t>
      </w:r>
      <w:r>
        <w:rPr>
          <w:spacing w:val="29"/>
        </w:rPr>
        <w:t>公司的注册资本从人民币</w:t>
      </w:r>
      <w:r>
        <w:rPr>
          <w:spacing w:val="-64"/>
        </w:rPr>
        <w:t> </w:t>
      </w:r>
      <w:r>
        <w:rPr>
          <w:rFonts w:ascii="Arial" w:hAnsi="Arial" w:cs="Arial" w:eastAsia="Arial" w:hint="default"/>
        </w:rPr>
        <w:t>606,682,468</w:t>
      </w:r>
      <w:r>
        <w:rPr>
          <w:rFonts w:ascii="Arial" w:hAnsi="Arial" w:cs="Arial" w:eastAsia="Arial" w:hint="default"/>
          <w:spacing w:val="-19"/>
        </w:rPr>
        <w:t> </w:t>
      </w:r>
      <w:r>
        <w:rPr>
          <w:spacing w:val="26"/>
        </w:rPr>
        <w:t>元减至人民币</w:t>
      </w:r>
      <w:r>
        <w:rPr>
          <w:spacing w:val="-67"/>
        </w:rPr>
        <w:t> </w:t>
      </w:r>
      <w:r>
        <w:rPr/>
      </w:r>
    </w:p>
    <w:p>
      <w:pPr>
        <w:pStyle w:val="BodyText"/>
        <w:spacing w:line="225" w:lineRule="auto"/>
        <w:ind w:left="1377" w:right="114"/>
        <w:jc w:val="left"/>
      </w:pPr>
      <w:r>
        <w:rPr>
          <w:rFonts w:ascii="Arial" w:hAnsi="Arial" w:cs="Arial" w:eastAsia="Arial" w:hint="default"/>
        </w:rPr>
        <w:t>606,661,868</w:t>
      </w:r>
      <w:r>
        <w:rPr/>
        <w:t>元。根据公司股东大会的授权</w:t>
      </w:r>
      <w:r>
        <w:rPr>
          <w:rFonts w:ascii="Arial" w:hAnsi="Arial" w:cs="Arial" w:eastAsia="Arial" w:hint="default"/>
        </w:rPr>
        <w:t>,</w:t>
      </w:r>
      <w:r>
        <w:rPr/>
        <w:t>公司董事会于</w:t>
      </w:r>
      <w:r>
        <w:rPr>
          <w:rFonts w:ascii="Arial" w:hAnsi="Arial" w:cs="Arial" w:eastAsia="Arial" w:hint="default"/>
        </w:rPr>
        <w:t>2009</w:t>
      </w:r>
      <w:r>
        <w:rPr/>
        <w:t>年</w:t>
      </w:r>
      <w:r>
        <w:rPr>
          <w:rFonts w:ascii="Arial" w:hAnsi="Arial" w:cs="Arial" w:eastAsia="Arial" w:hint="default"/>
        </w:rPr>
        <w:t>9</w:t>
      </w:r>
      <w:r>
        <w:rPr/>
        <w:t>月</w:t>
      </w:r>
      <w:r>
        <w:rPr>
          <w:rFonts w:ascii="Arial" w:hAnsi="Arial" w:cs="Arial" w:eastAsia="Arial" w:hint="default"/>
        </w:rPr>
        <w:t>29</w:t>
      </w:r>
      <w:r>
        <w:rPr/>
        <w:t>日向符合授</w:t>
      </w:r>
      <w:r>
        <w:rPr>
          <w:spacing w:val="-30"/>
        </w:rPr>
        <w:t> </w:t>
      </w:r>
      <w:r>
        <w:rPr>
          <w:spacing w:val="-30"/>
        </w:rPr>
      </w:r>
      <w:r>
        <w:rPr/>
        <w:t>予条件的股权激励对象授予《用友软件股份有限公司股权激励计划</w:t>
      </w:r>
      <w:r>
        <w:rPr>
          <w:rFonts w:ascii="Arial" w:hAnsi="Arial" w:cs="Arial" w:eastAsia="Arial" w:hint="default"/>
        </w:rPr>
        <w:t>(</w:t>
      </w:r>
      <w:r>
        <w:rPr/>
        <w:t>修订稿</w:t>
      </w:r>
      <w:r>
        <w:rPr>
          <w:rFonts w:ascii="Arial" w:hAnsi="Arial" w:cs="Arial" w:eastAsia="Arial" w:hint="default"/>
        </w:rPr>
        <w:t>)</w:t>
      </w:r>
      <w:r>
        <w:rPr/>
        <w:t>》中的</w:t>
      </w:r>
      <w:r>
        <w:rPr>
          <w:spacing w:val="-18"/>
        </w:rPr>
        <w:t> </w:t>
      </w:r>
      <w:r>
        <w:rPr>
          <w:rFonts w:ascii="Arial" w:hAnsi="Arial" w:cs="Arial" w:eastAsia="Arial" w:hint="default"/>
        </w:rPr>
        <w:t>2009</w:t>
      </w:r>
      <w:r>
        <w:rPr/>
        <w:t>年度股票。截至</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w:t>
      </w:r>
      <w:r>
        <w:rPr>
          <w:rFonts w:ascii="Arial" w:hAnsi="Arial" w:cs="Arial" w:eastAsia="Arial" w:hint="default"/>
        </w:rPr>
        <w:t>,</w:t>
      </w:r>
      <w:r>
        <w:rPr/>
        <w:t>实际授出股权激励股份</w:t>
      </w:r>
      <w:r>
        <w:rPr>
          <w:rFonts w:ascii="Arial" w:hAnsi="Arial" w:cs="Arial" w:eastAsia="Arial" w:hint="default"/>
        </w:rPr>
        <w:t>21,196,982</w:t>
      </w:r>
      <w:r>
        <w:rPr/>
        <w:t>股，已由</w:t>
      </w:r>
      <w:r>
        <w:rPr>
          <w:spacing w:val="-79"/>
        </w:rPr>
        <w:t> </w:t>
      </w:r>
      <w:r>
        <w:rPr>
          <w:spacing w:val="-79"/>
        </w:rPr>
      </w:r>
      <w:r>
        <w:rPr>
          <w:spacing w:val="-3"/>
        </w:rPr>
        <w:t>激励对象全部以现金认购，每股价格为</w:t>
      </w:r>
      <w:r>
        <w:rPr>
          <w:rFonts w:ascii="Arial" w:hAnsi="Arial" w:cs="Arial" w:eastAsia="Arial" w:hint="default"/>
          <w:spacing w:val="-3"/>
        </w:rPr>
        <w:t>9.6</w:t>
      </w:r>
      <w:r>
        <w:rPr>
          <w:spacing w:val="-3"/>
        </w:rPr>
        <w:t>元</w:t>
      </w:r>
      <w:r>
        <w:rPr>
          <w:rFonts w:ascii="Arial" w:hAnsi="Arial" w:cs="Arial" w:eastAsia="Arial" w:hint="default"/>
          <w:spacing w:val="-3"/>
        </w:rPr>
        <w:t>/14.63</w:t>
      </w:r>
      <w:r>
        <w:rPr>
          <w:spacing w:val="-3"/>
        </w:rPr>
        <w:t>元。认购后</w:t>
      </w:r>
      <w:r>
        <w:rPr>
          <w:rFonts w:ascii="Arial" w:hAnsi="Arial" w:cs="Arial" w:eastAsia="Arial" w:hint="default"/>
          <w:spacing w:val="-3"/>
        </w:rPr>
        <w:t>,</w:t>
      </w:r>
      <w:r>
        <w:rPr>
          <w:spacing w:val="-3"/>
        </w:rPr>
        <w:t>本公司的注册及实收</w:t>
      </w:r>
      <w:r>
        <w:rPr>
          <w:spacing w:val="-51"/>
        </w:rPr>
        <w:t> </w:t>
      </w:r>
      <w:r>
        <w:rPr>
          <w:spacing w:val="-51"/>
        </w:rPr>
      </w:r>
      <w:r>
        <w:rPr/>
        <w:t>资本由人民币</w:t>
      </w:r>
      <w:r>
        <w:rPr>
          <w:rFonts w:ascii="Arial" w:hAnsi="Arial" w:cs="Arial" w:eastAsia="Arial" w:hint="default"/>
        </w:rPr>
        <w:t>606,661,868</w:t>
      </w:r>
      <w:r>
        <w:rPr/>
        <w:t>元增加至人民币</w:t>
      </w:r>
      <w:r>
        <w:rPr>
          <w:rFonts w:ascii="Arial" w:hAnsi="Arial" w:cs="Arial" w:eastAsia="Arial" w:hint="default"/>
        </w:rPr>
        <w:t>627,858,850</w:t>
      </w:r>
      <w:r>
        <w:rPr/>
        <w:t>元。本公司将认购价格与股</w:t>
      </w:r>
      <w:r>
        <w:rPr>
          <w:spacing w:val="-98"/>
        </w:rPr>
        <w:t> </w:t>
      </w:r>
      <w:r>
        <w:rPr>
          <w:spacing w:val="-98"/>
        </w:rPr>
      </w:r>
      <w:r>
        <w:rPr>
          <w:spacing w:val="-6"/>
        </w:rPr>
        <w:t>本账面价值之差额记入资本公积科目，共计人民币</w:t>
      </w:r>
      <w:r>
        <w:rPr>
          <w:rFonts w:ascii="Arial" w:hAnsi="Arial" w:cs="Arial" w:eastAsia="Arial" w:hint="default"/>
          <w:spacing w:val="-6"/>
        </w:rPr>
        <w:t>259,536,445</w:t>
      </w:r>
      <w:r>
        <w:rPr>
          <w:spacing w:val="-6"/>
        </w:rPr>
        <w:t>元，参见附注五、</w:t>
      </w:r>
      <w:r>
        <w:rPr>
          <w:rFonts w:ascii="Arial" w:hAnsi="Arial" w:cs="Arial" w:eastAsia="Arial" w:hint="default"/>
          <w:spacing w:val="-6"/>
        </w:rPr>
        <w:t>29</w:t>
      </w:r>
      <w:r>
        <w:rPr>
          <w:spacing w:val="-6"/>
        </w:rPr>
        <w:t>、</w:t>
      </w:r>
      <w:r>
        <w:rPr>
          <w:spacing w:val="-51"/>
        </w:rPr>
        <w:t> </w:t>
      </w:r>
      <w:r>
        <w:rPr>
          <w:rFonts w:ascii="Arial" w:hAnsi="Arial" w:cs="Arial" w:eastAsia="Arial" w:hint="default"/>
        </w:rPr>
        <w:t>2009</w:t>
      </w:r>
      <w:r>
        <w:rPr/>
        <w:t>年、注</w:t>
      </w:r>
      <w:r>
        <w:rPr>
          <w:rFonts w:ascii="Arial" w:hAnsi="Arial" w:cs="Arial" w:eastAsia="Arial" w:hint="default"/>
        </w:rPr>
        <w:t>1</w:t>
      </w:r>
      <w:r>
        <w:rPr/>
        <w:t>。此次股本变动业经深圳市鹏城会计师事务所进行验证</w:t>
      </w:r>
      <w:r>
        <w:rPr>
          <w:rFonts w:ascii="Arial" w:hAnsi="Arial" w:cs="Arial" w:eastAsia="Arial" w:hint="default"/>
        </w:rPr>
        <w:t>,</w:t>
      </w:r>
      <w:r>
        <w:rPr/>
        <w:t>并于</w:t>
      </w:r>
      <w:r>
        <w:rPr>
          <w:rFonts w:ascii="Arial" w:hAnsi="Arial" w:cs="Arial" w:eastAsia="Arial" w:hint="default"/>
        </w:rPr>
        <w:t>2009</w:t>
      </w:r>
      <w:r>
        <w:rPr/>
        <w:t>年</w:t>
      </w:r>
      <w:r>
        <w:rPr>
          <w:rFonts w:ascii="Arial" w:hAnsi="Arial" w:cs="Arial" w:eastAsia="Arial" w:hint="default"/>
        </w:rPr>
        <w:t>12</w:t>
      </w:r>
      <w:r>
        <w:rPr>
          <w:rFonts w:ascii="Arial" w:hAnsi="Arial" w:cs="Arial" w:eastAsia="Arial" w:hint="default"/>
          <w:spacing w:val="-2"/>
          <w:w w:val="100"/>
        </w:rPr>
        <w:t> </w:t>
      </w:r>
      <w:r>
        <w:rPr>
          <w:spacing w:val="-3"/>
        </w:rPr>
        <w:t>月</w:t>
      </w:r>
      <w:r>
        <w:rPr>
          <w:rFonts w:ascii="Arial" w:hAnsi="Arial" w:cs="Arial" w:eastAsia="Arial" w:hint="default"/>
          <w:spacing w:val="-3"/>
        </w:rPr>
        <w:t>25</w:t>
      </w:r>
      <w:r>
        <w:rPr>
          <w:spacing w:val="-3"/>
        </w:rPr>
        <w:t>日出具了深鹏所验字</w:t>
      </w:r>
      <w:r>
        <w:rPr>
          <w:rFonts w:ascii="Arial" w:hAnsi="Arial" w:cs="Arial" w:eastAsia="Arial" w:hint="default"/>
          <w:spacing w:val="-3"/>
        </w:rPr>
        <w:t>[2009]194</w:t>
      </w:r>
      <w:r>
        <w:rPr>
          <w:spacing w:val="-3"/>
        </w:rPr>
        <w:t>号验资报告。截至本财务报表批准日，本公司尚</w:t>
      </w:r>
      <w:r>
        <w:rPr>
          <w:spacing w:val="-76"/>
        </w:rPr>
        <w:t> </w:t>
      </w:r>
      <w:r>
        <w:rPr>
          <w:spacing w:val="-76"/>
        </w:rPr>
      </w:r>
      <w:r>
        <w:rPr/>
        <w:t>未取得变更后的营业执照。</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16"/>
          <w:szCs w:val="16"/>
        </w:rPr>
      </w:pPr>
    </w:p>
    <w:p>
      <w:pPr>
        <w:pStyle w:val="BodyText"/>
        <w:spacing w:line="240" w:lineRule="auto" w:before="74"/>
        <w:ind w:left="4224" w:right="4337"/>
        <w:jc w:val="center"/>
        <w:rPr>
          <w:rFonts w:ascii="Arial" w:hAnsi="Arial" w:cs="Arial" w:eastAsia="Arial" w:hint="default"/>
        </w:rPr>
      </w:pPr>
      <w:r>
        <w:rPr>
          <w:rFonts w:ascii="Arial"/>
        </w:rPr>
        <w:t>93</w:t>
      </w:r>
    </w:p>
    <w:p>
      <w:pPr>
        <w:spacing w:after="0" w:line="240" w:lineRule="auto"/>
        <w:jc w:val="center"/>
        <w:rPr>
          <w:rFonts w:ascii="Arial" w:hAnsi="Arial" w:cs="Arial" w:eastAsia="Arial" w:hint="default"/>
        </w:rPr>
        <w:sectPr>
          <w:type w:val="continuous"/>
          <w:pgSz w:w="11910" w:h="16840"/>
          <w:pgMar w:top="900" w:bottom="280" w:left="1600" w:right="1480"/>
        </w:sectPr>
      </w:pPr>
    </w:p>
    <w:p>
      <w:pPr>
        <w:pStyle w:val="Heading9"/>
        <w:spacing w:line="300" w:lineRule="auto" w:before="6"/>
        <w:ind w:left="6331" w:right="6310"/>
        <w:jc w:val="center"/>
        <w:rPr>
          <w:b w:val="0"/>
          <w:bCs w:val="0"/>
        </w:rPr>
      </w:pPr>
      <w:r>
        <w:rPr>
          <w:w w:val="95"/>
        </w:rPr>
        <w:t>用友软件股份有限公司</w:t>
      </w:r>
      <w:r>
        <w:rPr>
          <w:spacing w:val="-1"/>
          <w:w w:val="95"/>
        </w:rPr>
        <w:t> </w:t>
      </w:r>
      <w:r>
        <w:rPr/>
        <w:t>财务报表附注(续)</w:t>
      </w:r>
      <w:r>
        <w:rPr>
          <w:spacing w:val="1"/>
          <w:w w:val="99"/>
        </w:rPr>
        <w:t> </w:t>
      </w:r>
      <w:r>
        <w:rPr>
          <w:rFonts w:ascii="Arial" w:hAnsi="Arial" w:cs="Arial" w:eastAsia="Arial" w:hint="default"/>
        </w:rPr>
        <w:t>2009</w:t>
      </w:r>
      <w:r>
        <w:rPr>
          <w:rFonts w:ascii="Arial" w:hAnsi="Arial" w:cs="Arial" w:eastAsia="Arial" w:hint="default"/>
          <w:spacing w:val="-8"/>
        </w:rPr>
        <w:t> </w:t>
      </w:r>
      <w:r>
        <w:rPr/>
        <w:t>年</w:t>
      </w:r>
      <w:r>
        <w:rPr>
          <w:spacing w:val="-57"/>
        </w:rPr>
        <w:t> </w:t>
      </w: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t>日</w:t>
      </w:r>
      <w:r>
        <w:rPr>
          <w:b w:val="0"/>
          <w:bCs w:val="0"/>
        </w:rPr>
      </w:r>
    </w:p>
    <w:p>
      <w:pPr>
        <w:spacing w:line="283" w:lineRule="exact" w:before="0"/>
        <w:ind w:left="6328" w:right="631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p>
      <w:pPr>
        <w:spacing w:line="240" w:lineRule="auto" w:before="12"/>
        <w:rPr>
          <w:rFonts w:ascii="黑体" w:hAnsi="黑体" w:cs="黑体" w:eastAsia="黑体" w:hint="default"/>
          <w:b/>
          <w:bCs/>
          <w:sz w:val="21"/>
          <w:szCs w:val="21"/>
        </w:rPr>
      </w:pPr>
    </w:p>
    <w:p>
      <w:pPr>
        <w:spacing w:line="20" w:lineRule="exact"/>
        <w:ind w:left="156" w:right="0" w:firstLine="0"/>
        <w:rPr>
          <w:rFonts w:ascii="黑体" w:hAnsi="黑体" w:cs="黑体" w:eastAsia="黑体" w:hint="default"/>
          <w:sz w:val="2"/>
          <w:szCs w:val="2"/>
        </w:rPr>
      </w:pPr>
      <w:r>
        <w:rPr>
          <w:rFonts w:ascii="黑体" w:hAnsi="黑体" w:cs="黑体" w:eastAsia="黑体" w:hint="default"/>
          <w:sz w:val="2"/>
          <w:szCs w:val="2"/>
        </w:rPr>
        <w:pict>
          <v:group style="width:725.25pt;height:.75pt;mso-position-horizontal-relative:char;mso-position-vertical-relative:line" coordorigin="0,0" coordsize="14505,15">
            <v:group style="position:absolute;left:8;top:8;width:14490;height:2" coordorigin="8,8" coordsize="14490,2">
              <v:shape style="position:absolute;left:8;top:8;width:14490;height:2" coordorigin="8,8" coordsize="14490,0" path="m8,8l14498,8e" filled="false" stroked="true" strokeweight=".75pt" strokecolor="#000000">
                <v:path arrowok="t"/>
              </v:shape>
            </v:group>
          </v:group>
        </w:pict>
      </w:r>
      <w:r>
        <w:rPr>
          <w:rFonts w:ascii="黑体" w:hAnsi="黑体" w:cs="黑体" w:eastAsia="黑体" w:hint="default"/>
          <w:sz w:val="2"/>
          <w:szCs w:val="2"/>
        </w:rPr>
      </w:r>
    </w:p>
    <w:p>
      <w:pPr>
        <w:spacing w:line="240" w:lineRule="auto" w:before="4"/>
        <w:rPr>
          <w:rFonts w:ascii="黑体" w:hAnsi="黑体" w:cs="黑体" w:eastAsia="黑体" w:hint="default"/>
          <w:b/>
          <w:bCs/>
          <w:sz w:val="19"/>
          <w:szCs w:val="19"/>
        </w:rPr>
      </w:pPr>
    </w:p>
    <w:p>
      <w:pPr>
        <w:tabs>
          <w:tab w:pos="815" w:val="left" w:leader="none"/>
        </w:tabs>
        <w:spacing w:before="38"/>
        <w:ind w:left="113" w:right="4235"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pStyle w:val="BodyText"/>
        <w:tabs>
          <w:tab w:pos="833" w:val="left" w:leader="none"/>
        </w:tabs>
        <w:spacing w:line="444" w:lineRule="auto"/>
        <w:ind w:left="827" w:right="4235" w:hanging="715"/>
        <w:jc w:val="left"/>
      </w:pPr>
      <w:r>
        <w:rPr>
          <w:rFonts w:ascii="Arial" w:hAnsi="Arial" w:cs="Arial" w:eastAsia="Arial" w:hint="default"/>
          <w:b/>
          <w:bCs/>
          <w:spacing w:val="-1"/>
        </w:rPr>
        <w:t>28.</w:t>
        <w:tab/>
        <w:tab/>
      </w:r>
      <w:r>
        <w:rPr>
          <w:rFonts w:ascii="黑体" w:hAnsi="黑体" w:cs="黑体" w:eastAsia="黑体" w:hint="default"/>
          <w:b/>
          <w:bCs/>
        </w:rPr>
        <w:t>股本（续）</w:t>
      </w:r>
      <w:r>
        <w:rPr>
          <w:rFonts w:ascii="黑体" w:hAnsi="黑体" w:cs="黑体" w:eastAsia="黑体" w:hint="default"/>
          <w:b/>
          <w:bCs/>
          <w:w w:val="99"/>
        </w:rPr>
        <w:t> </w:t>
      </w:r>
      <w:r>
        <w:rPr>
          <w:spacing w:val="-1"/>
        </w:rPr>
        <w:t>本公司于</w:t>
      </w:r>
      <w:r>
        <w:rPr>
          <w:rFonts w:ascii="Arial" w:hAnsi="Arial" w:cs="Arial" w:eastAsia="Arial" w:hint="default"/>
          <w:spacing w:val="-1"/>
        </w:rPr>
        <w:t>2008</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日的实收股本计人民币</w:t>
      </w:r>
      <w:r>
        <w:rPr>
          <w:rFonts w:ascii="Arial" w:hAnsi="Arial" w:cs="Arial" w:eastAsia="Arial" w:hint="default"/>
          <w:spacing w:val="-1"/>
        </w:rPr>
        <w:t>466,683,575</w:t>
      </w:r>
      <w:r>
        <w:rPr>
          <w:spacing w:val="-1"/>
        </w:rPr>
        <w:t>元，每股面值人民币</w:t>
      </w:r>
      <w:r>
        <w:rPr>
          <w:rFonts w:ascii="Arial" w:hAnsi="Arial" w:cs="Arial" w:eastAsia="Arial" w:hint="default"/>
          <w:spacing w:val="-1"/>
        </w:rPr>
        <w:t>1</w:t>
      </w:r>
      <w:r>
        <w:rPr>
          <w:spacing w:val="-1"/>
        </w:rPr>
        <w:t>元，股份种类及其结构如下：</w:t>
      </w:r>
    </w:p>
    <w:p>
      <w:pPr>
        <w:pStyle w:val="BodyText"/>
        <w:tabs>
          <w:tab w:pos="7416" w:val="left" w:leader="none"/>
        </w:tabs>
        <w:spacing w:line="240" w:lineRule="auto" w:before="116"/>
        <w:ind w:left="4513" w:right="4235"/>
        <w:jc w:val="left"/>
      </w:pPr>
      <w:r>
        <w:rPr/>
        <w:t>年初数</w:t>
        <w:tab/>
        <w:t>本年变动股数</w:t>
      </w:r>
    </w:p>
    <w:p>
      <w:pPr>
        <w:spacing w:line="240" w:lineRule="auto" w:before="1"/>
        <w:rPr>
          <w:rFonts w:ascii="黑体" w:hAnsi="黑体" w:cs="黑体" w:eastAsia="黑体" w:hint="default"/>
          <w:sz w:val="3"/>
          <w:szCs w:val="3"/>
        </w:rPr>
      </w:pPr>
    </w:p>
    <w:tbl>
      <w:tblPr>
        <w:tblW w:w="0" w:type="auto"/>
        <w:jc w:val="left"/>
        <w:tblInd w:w="834" w:type="dxa"/>
        <w:tblLayout w:type="fixed"/>
        <w:tblCellMar>
          <w:top w:w="0" w:type="dxa"/>
          <w:left w:w="0" w:type="dxa"/>
          <w:bottom w:w="0" w:type="dxa"/>
          <w:right w:w="0" w:type="dxa"/>
        </w:tblCellMar>
        <w:tblLook w:val="01E0"/>
      </w:tblPr>
      <w:tblGrid>
        <w:gridCol w:w="330"/>
        <w:gridCol w:w="2478"/>
        <w:gridCol w:w="1420"/>
        <w:gridCol w:w="960"/>
        <w:gridCol w:w="1439"/>
        <w:gridCol w:w="1391"/>
        <w:gridCol w:w="1346"/>
        <w:gridCol w:w="1417"/>
        <w:gridCol w:w="1618"/>
        <w:gridCol w:w="1099"/>
      </w:tblGrid>
      <w:tr>
        <w:trPr>
          <w:trHeight w:val="767" w:hRule="exact"/>
        </w:trPr>
        <w:tc>
          <w:tcPr>
            <w:tcW w:w="33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5"/>
              <w:ind w:right="0"/>
              <w:jc w:val="left"/>
              <w:rPr>
                <w:rFonts w:ascii="黑体" w:hAnsi="黑体" w:cs="黑体" w:eastAsia="黑体" w:hint="default"/>
                <w:sz w:val="16"/>
                <w:szCs w:val="16"/>
              </w:rPr>
            </w:pPr>
          </w:p>
          <w:p>
            <w:pPr>
              <w:pStyle w:val="TableParagraph"/>
              <w:spacing w:line="240" w:lineRule="auto"/>
              <w:ind w:right="57"/>
              <w:jc w:val="center"/>
              <w:rPr>
                <w:rFonts w:ascii="黑体" w:hAnsi="黑体" w:cs="黑体" w:eastAsia="黑体" w:hint="default"/>
                <w:sz w:val="20"/>
                <w:szCs w:val="20"/>
              </w:rPr>
            </w:pPr>
            <w:r>
              <w:rPr>
                <w:rFonts w:ascii="黑体" w:hAnsi="黑体" w:cs="黑体" w:eastAsia="黑体" w:hint="default"/>
                <w:b/>
                <w:bCs/>
                <w:w w:val="99"/>
                <w:sz w:val="20"/>
                <w:szCs w:val="20"/>
              </w:rPr>
              <w:t>一</w:t>
            </w:r>
            <w:r>
              <w:rPr>
                <w:rFonts w:ascii="黑体" w:hAnsi="黑体" w:cs="黑体" w:eastAsia="黑体" w:hint="default"/>
                <w:sz w:val="20"/>
                <w:szCs w:val="20"/>
              </w:rPr>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5"/>
              <w:ind w:right="0"/>
              <w:jc w:val="left"/>
              <w:rPr>
                <w:rFonts w:ascii="黑体" w:hAnsi="黑体" w:cs="黑体" w:eastAsia="黑体" w:hint="default"/>
                <w:sz w:val="16"/>
                <w:szCs w:val="16"/>
              </w:rPr>
            </w:pPr>
          </w:p>
          <w:p>
            <w:pPr>
              <w:pStyle w:val="TableParagraph"/>
              <w:spacing w:line="240" w:lineRule="auto"/>
              <w:ind w:left="88" w:right="0"/>
              <w:jc w:val="left"/>
              <w:rPr>
                <w:rFonts w:ascii="黑体" w:hAnsi="黑体" w:cs="黑体" w:eastAsia="黑体" w:hint="default"/>
                <w:sz w:val="20"/>
                <w:szCs w:val="20"/>
              </w:rPr>
            </w:pPr>
            <w:r>
              <w:rPr>
                <w:rFonts w:ascii="黑体" w:hAnsi="黑体" w:cs="黑体" w:eastAsia="黑体" w:hint="default"/>
                <w:b/>
                <w:bCs/>
                <w:sz w:val="20"/>
                <w:szCs w:val="20"/>
              </w:rPr>
              <w:t>有限售条件股份</w:t>
            </w:r>
            <w:r>
              <w:rPr>
                <w:rFonts w:ascii="黑体" w:hAnsi="黑体" w:cs="黑体" w:eastAsia="黑体" w:hint="default"/>
                <w:sz w:val="20"/>
                <w:szCs w:val="20"/>
              </w:rPr>
            </w:r>
          </w:p>
        </w:tc>
        <w:tc>
          <w:tcPr>
            <w:tcW w:w="1420" w:type="dxa"/>
            <w:tcBorders>
              <w:top w:val="nil" w:sz="6" w:space="0" w:color="auto"/>
              <w:left w:val="nil" w:sz="6" w:space="0" w:color="auto"/>
              <w:bottom w:val="nil" w:sz="6" w:space="0" w:color="auto"/>
              <w:right w:val="nil" w:sz="6" w:space="0" w:color="auto"/>
            </w:tcBorders>
          </w:tcPr>
          <w:p>
            <w:pPr>
              <w:pStyle w:val="TableParagraph"/>
              <w:spacing w:line="219" w:lineRule="exact"/>
              <w:ind w:right="116"/>
              <w:jc w:val="right"/>
              <w:rPr>
                <w:rFonts w:ascii="黑体" w:hAnsi="黑体" w:cs="黑体" w:eastAsia="黑体" w:hint="default"/>
                <w:sz w:val="20"/>
                <w:szCs w:val="20"/>
              </w:rPr>
            </w:pPr>
            <w:r>
              <w:rPr>
                <w:rFonts w:ascii="黑体" w:hAnsi="黑体" w:cs="黑体" w:eastAsia="黑体" w:hint="default"/>
                <w:spacing w:val="-1"/>
                <w:sz w:val="20"/>
                <w:szCs w:val="20"/>
              </w:rPr>
              <w:t>股数</w:t>
            </w:r>
          </w:p>
        </w:tc>
        <w:tc>
          <w:tcPr>
            <w:tcW w:w="960" w:type="dxa"/>
            <w:tcBorders>
              <w:top w:val="nil" w:sz="6" w:space="0" w:color="auto"/>
              <w:left w:val="nil" w:sz="6" w:space="0" w:color="auto"/>
              <w:bottom w:val="nil" w:sz="6" w:space="0" w:color="auto"/>
              <w:right w:val="nil" w:sz="6" w:space="0" w:color="auto"/>
            </w:tcBorders>
          </w:tcPr>
          <w:p>
            <w:pPr>
              <w:pStyle w:val="TableParagraph"/>
              <w:spacing w:line="234" w:lineRule="exact"/>
              <w:ind w:right="128"/>
              <w:jc w:val="right"/>
              <w:rPr>
                <w:rFonts w:ascii="Arial" w:hAnsi="Arial" w:cs="Arial" w:eastAsia="Arial" w:hint="default"/>
                <w:sz w:val="20"/>
                <w:szCs w:val="20"/>
              </w:rPr>
            </w:pPr>
            <w:r>
              <w:rPr>
                <w:rFonts w:ascii="黑体" w:hAnsi="黑体" w:cs="黑体" w:eastAsia="黑体" w:hint="default"/>
                <w:spacing w:val="-1"/>
                <w:sz w:val="20"/>
                <w:szCs w:val="20"/>
              </w:rPr>
              <w:t>比例</w:t>
            </w:r>
            <w:r>
              <w:rPr>
                <w:rFonts w:ascii="Arial" w:hAnsi="Arial" w:cs="Arial" w:eastAsia="Arial" w:hint="default"/>
                <w:spacing w:val="-1"/>
                <w:sz w:val="20"/>
                <w:szCs w:val="20"/>
              </w:rPr>
              <w:t>(%)</w:t>
            </w:r>
          </w:p>
        </w:tc>
        <w:tc>
          <w:tcPr>
            <w:tcW w:w="1439" w:type="dxa"/>
            <w:tcBorders>
              <w:top w:val="nil" w:sz="6" w:space="0" w:color="auto"/>
              <w:left w:val="nil" w:sz="6" w:space="0" w:color="auto"/>
              <w:bottom w:val="nil" w:sz="6" w:space="0" w:color="auto"/>
              <w:right w:val="nil" w:sz="6" w:space="0" w:color="auto"/>
            </w:tcBorders>
          </w:tcPr>
          <w:p>
            <w:pPr>
              <w:pStyle w:val="TableParagraph"/>
              <w:spacing w:line="218" w:lineRule="exact"/>
              <w:ind w:left="129" w:right="0"/>
              <w:jc w:val="left"/>
              <w:rPr>
                <w:rFonts w:ascii="黑体" w:hAnsi="黑体" w:cs="黑体" w:eastAsia="黑体" w:hint="default"/>
                <w:sz w:val="20"/>
                <w:szCs w:val="20"/>
              </w:rPr>
            </w:pPr>
            <w:r>
              <w:rPr>
                <w:rFonts w:ascii="黑体" w:hAnsi="黑体" w:cs="黑体" w:eastAsia="黑体" w:hint="default"/>
                <w:sz w:val="20"/>
                <w:szCs w:val="20"/>
              </w:rPr>
              <w:t>股权分置改革</w:t>
            </w:r>
          </w:p>
          <w:p>
            <w:pPr>
              <w:pStyle w:val="TableParagraph"/>
              <w:spacing w:line="275" w:lineRule="exact"/>
              <w:ind w:left="833" w:right="0"/>
              <w:jc w:val="left"/>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注</w:t>
            </w:r>
            <w:r>
              <w:rPr>
                <w:rFonts w:ascii="黑体" w:hAnsi="黑体" w:cs="黑体" w:eastAsia="黑体" w:hint="default"/>
                <w:spacing w:val="-51"/>
                <w:sz w:val="20"/>
                <w:szCs w:val="20"/>
              </w:rPr>
              <w:t> </w:t>
            </w:r>
            <w:r>
              <w:rPr>
                <w:rFonts w:ascii="Arial" w:hAnsi="Arial" w:cs="Arial" w:eastAsia="Arial" w:hint="default"/>
                <w:sz w:val="20"/>
                <w:szCs w:val="20"/>
              </w:rPr>
              <w:t>1)</w:t>
            </w:r>
          </w:p>
        </w:tc>
        <w:tc>
          <w:tcPr>
            <w:tcW w:w="1391" w:type="dxa"/>
            <w:tcBorders>
              <w:top w:val="nil" w:sz="6" w:space="0" w:color="auto"/>
              <w:left w:val="nil" w:sz="6" w:space="0" w:color="auto"/>
              <w:bottom w:val="nil" w:sz="6" w:space="0" w:color="auto"/>
              <w:right w:val="nil" w:sz="6" w:space="0" w:color="auto"/>
            </w:tcBorders>
          </w:tcPr>
          <w:p>
            <w:pPr>
              <w:pStyle w:val="TableParagraph"/>
              <w:spacing w:line="218" w:lineRule="exact"/>
              <w:ind w:left="108" w:right="0"/>
              <w:jc w:val="left"/>
              <w:rPr>
                <w:rFonts w:ascii="黑体" w:hAnsi="黑体" w:cs="黑体" w:eastAsia="黑体" w:hint="default"/>
                <w:sz w:val="20"/>
                <w:szCs w:val="20"/>
              </w:rPr>
            </w:pPr>
            <w:r>
              <w:rPr>
                <w:rFonts w:ascii="黑体" w:hAnsi="黑体" w:cs="黑体" w:eastAsia="黑体" w:hint="default"/>
                <w:sz w:val="20"/>
                <w:szCs w:val="20"/>
              </w:rPr>
              <w:t>股权激励计划</w:t>
            </w:r>
          </w:p>
          <w:p>
            <w:pPr>
              <w:pStyle w:val="TableParagraph"/>
              <w:spacing w:line="275" w:lineRule="exact"/>
              <w:ind w:left="813" w:right="0"/>
              <w:jc w:val="left"/>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注</w:t>
            </w:r>
            <w:r>
              <w:rPr>
                <w:rFonts w:ascii="黑体" w:hAnsi="黑体" w:cs="黑体" w:eastAsia="黑体" w:hint="default"/>
                <w:spacing w:val="-51"/>
                <w:sz w:val="20"/>
                <w:szCs w:val="20"/>
              </w:rPr>
              <w:t> </w:t>
            </w:r>
            <w:r>
              <w:rPr>
                <w:rFonts w:ascii="Arial" w:hAnsi="Arial" w:cs="Arial" w:eastAsia="Arial" w:hint="default"/>
                <w:sz w:val="20"/>
                <w:szCs w:val="20"/>
              </w:rPr>
              <w:t>2)</w:t>
            </w:r>
          </w:p>
        </w:tc>
        <w:tc>
          <w:tcPr>
            <w:tcW w:w="1346" w:type="dxa"/>
            <w:tcBorders>
              <w:top w:val="nil" w:sz="6" w:space="0" w:color="auto"/>
              <w:left w:val="nil" w:sz="6" w:space="0" w:color="auto"/>
              <w:bottom w:val="nil" w:sz="6" w:space="0" w:color="auto"/>
              <w:right w:val="nil" w:sz="6" w:space="0" w:color="auto"/>
            </w:tcBorders>
          </w:tcPr>
          <w:p>
            <w:pPr>
              <w:pStyle w:val="TableParagraph"/>
              <w:spacing w:line="218" w:lineRule="exact"/>
              <w:ind w:left="698" w:right="0" w:firstLine="94"/>
              <w:jc w:val="left"/>
              <w:rPr>
                <w:rFonts w:ascii="黑体" w:hAnsi="黑体" w:cs="黑体" w:eastAsia="黑体" w:hint="default"/>
                <w:sz w:val="20"/>
                <w:szCs w:val="20"/>
              </w:rPr>
            </w:pPr>
            <w:r>
              <w:rPr>
                <w:rFonts w:ascii="黑体" w:hAnsi="黑体" w:cs="黑体" w:eastAsia="黑体" w:hint="default"/>
                <w:sz w:val="20"/>
                <w:szCs w:val="20"/>
              </w:rPr>
              <w:t>其它</w:t>
            </w:r>
          </w:p>
          <w:p>
            <w:pPr>
              <w:pStyle w:val="TableParagraph"/>
              <w:spacing w:line="275" w:lineRule="exact"/>
              <w:ind w:left="698" w:right="0"/>
              <w:jc w:val="left"/>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注</w:t>
            </w:r>
            <w:r>
              <w:rPr>
                <w:rFonts w:ascii="黑体" w:hAnsi="黑体" w:cs="黑体" w:eastAsia="黑体" w:hint="default"/>
                <w:spacing w:val="-51"/>
                <w:sz w:val="20"/>
                <w:szCs w:val="20"/>
              </w:rPr>
              <w:t> </w:t>
            </w:r>
            <w:r>
              <w:rPr>
                <w:rFonts w:ascii="Arial" w:hAnsi="Arial" w:cs="Arial" w:eastAsia="Arial" w:hint="default"/>
                <w:sz w:val="20"/>
                <w:szCs w:val="20"/>
              </w:rPr>
              <w:t>3)</w:t>
            </w:r>
          </w:p>
        </w:tc>
        <w:tc>
          <w:tcPr>
            <w:tcW w:w="1417" w:type="dxa"/>
            <w:tcBorders>
              <w:top w:val="nil" w:sz="6" w:space="0" w:color="auto"/>
              <w:left w:val="nil" w:sz="6" w:space="0" w:color="auto"/>
              <w:bottom w:val="nil" w:sz="6" w:space="0" w:color="auto"/>
              <w:right w:val="nil" w:sz="6" w:space="0" w:color="auto"/>
            </w:tcBorders>
          </w:tcPr>
          <w:p>
            <w:pPr>
              <w:pStyle w:val="TableParagraph"/>
              <w:spacing w:line="219" w:lineRule="exact"/>
              <w:ind w:right="151"/>
              <w:jc w:val="right"/>
              <w:rPr>
                <w:rFonts w:ascii="黑体" w:hAnsi="黑体" w:cs="黑体" w:eastAsia="黑体" w:hint="default"/>
                <w:sz w:val="20"/>
                <w:szCs w:val="20"/>
              </w:rPr>
            </w:pPr>
            <w:r>
              <w:rPr>
                <w:rFonts w:ascii="黑体" w:hAnsi="黑体" w:cs="黑体" w:eastAsia="黑体" w:hint="default"/>
                <w:sz w:val="20"/>
                <w:szCs w:val="20"/>
              </w:rPr>
              <w:t>小计</w:t>
            </w:r>
          </w:p>
        </w:tc>
        <w:tc>
          <w:tcPr>
            <w:tcW w:w="1618" w:type="dxa"/>
            <w:tcBorders>
              <w:top w:val="nil" w:sz="6" w:space="0" w:color="auto"/>
              <w:left w:val="nil" w:sz="6" w:space="0" w:color="auto"/>
              <w:bottom w:val="nil" w:sz="6" w:space="0" w:color="auto"/>
              <w:right w:val="nil" w:sz="6" w:space="0" w:color="auto"/>
            </w:tcBorders>
          </w:tcPr>
          <w:p>
            <w:pPr>
              <w:pStyle w:val="TableParagraph"/>
              <w:spacing w:line="219" w:lineRule="exact"/>
              <w:ind w:right="350"/>
              <w:jc w:val="right"/>
              <w:rPr>
                <w:rFonts w:ascii="黑体" w:hAnsi="黑体" w:cs="黑体" w:eastAsia="黑体" w:hint="default"/>
                <w:sz w:val="20"/>
                <w:szCs w:val="20"/>
              </w:rPr>
            </w:pPr>
            <w:r>
              <w:rPr>
                <w:rFonts w:ascii="黑体" w:hAnsi="黑体" w:cs="黑体" w:eastAsia="黑体" w:hint="default"/>
                <w:sz w:val="20"/>
                <w:szCs w:val="20"/>
              </w:rPr>
              <w:t>股数</w:t>
            </w:r>
          </w:p>
        </w:tc>
        <w:tc>
          <w:tcPr>
            <w:tcW w:w="1099" w:type="dxa"/>
            <w:tcBorders>
              <w:top w:val="nil" w:sz="6" w:space="0" w:color="auto"/>
              <w:left w:val="nil" w:sz="6" w:space="0" w:color="auto"/>
              <w:bottom w:val="nil" w:sz="6" w:space="0" w:color="auto"/>
              <w:right w:val="nil" w:sz="6" w:space="0" w:color="auto"/>
            </w:tcBorders>
          </w:tcPr>
          <w:p>
            <w:pPr>
              <w:pStyle w:val="TableParagraph"/>
              <w:spacing w:line="234" w:lineRule="exact"/>
              <w:ind w:right="33"/>
              <w:jc w:val="right"/>
              <w:rPr>
                <w:rFonts w:ascii="Arial" w:hAnsi="Arial" w:cs="Arial" w:eastAsia="Arial" w:hint="default"/>
                <w:sz w:val="20"/>
                <w:szCs w:val="20"/>
              </w:rPr>
            </w:pPr>
            <w:r>
              <w:rPr>
                <w:rFonts w:ascii="黑体" w:hAnsi="黑体" w:cs="黑体" w:eastAsia="黑体" w:hint="default"/>
                <w:spacing w:val="-1"/>
                <w:sz w:val="20"/>
                <w:szCs w:val="20"/>
              </w:rPr>
              <w:t>比例</w:t>
            </w:r>
            <w:r>
              <w:rPr>
                <w:rFonts w:ascii="Arial" w:hAnsi="Arial" w:cs="Arial" w:eastAsia="Arial" w:hint="default"/>
                <w:spacing w:val="-1"/>
                <w:sz w:val="20"/>
                <w:szCs w:val="20"/>
              </w:rPr>
              <w:t>(%)</w:t>
            </w:r>
          </w:p>
        </w:tc>
      </w:tr>
      <w:tr>
        <w:trPr>
          <w:trHeight w:val="259" w:hRule="exact"/>
        </w:trPr>
        <w:tc>
          <w:tcPr>
            <w:tcW w:w="330" w:type="dxa"/>
            <w:tcBorders>
              <w:top w:val="nil" w:sz="6" w:space="0" w:color="auto"/>
              <w:left w:val="nil" w:sz="6" w:space="0" w:color="auto"/>
              <w:bottom w:val="nil" w:sz="6" w:space="0" w:color="auto"/>
              <w:right w:val="nil" w:sz="6" w:space="0" w:color="auto"/>
            </w:tcBorders>
          </w:tcPr>
          <w:p>
            <w:pPr/>
          </w:p>
        </w:tc>
        <w:tc>
          <w:tcPr>
            <w:tcW w:w="2478" w:type="dxa"/>
            <w:tcBorders>
              <w:top w:val="nil" w:sz="6" w:space="0" w:color="auto"/>
              <w:left w:val="nil" w:sz="6" w:space="0" w:color="auto"/>
              <w:bottom w:val="nil" w:sz="6" w:space="0" w:color="auto"/>
              <w:right w:val="nil" w:sz="6" w:space="0" w:color="auto"/>
            </w:tcBorders>
          </w:tcPr>
          <w:p>
            <w:pPr>
              <w:pStyle w:val="TableParagraph"/>
              <w:spacing w:line="230" w:lineRule="exact"/>
              <w:ind w:left="88" w:right="0"/>
              <w:jc w:val="left"/>
              <w:rPr>
                <w:rFonts w:ascii="黑体" w:hAnsi="黑体" w:cs="黑体" w:eastAsia="黑体" w:hint="default"/>
                <w:sz w:val="20"/>
                <w:szCs w:val="20"/>
              </w:rPr>
            </w:pPr>
            <w:r>
              <w:rPr>
                <w:rFonts w:ascii="黑体" w:hAnsi="黑体" w:cs="黑体" w:eastAsia="黑体" w:hint="default"/>
                <w:sz w:val="20"/>
                <w:szCs w:val="20"/>
              </w:rPr>
              <w:t>内资股份</w:t>
            </w:r>
          </w:p>
        </w:tc>
        <w:tc>
          <w:tcPr>
            <w:tcW w:w="1420" w:type="dxa"/>
            <w:tcBorders>
              <w:top w:val="nil" w:sz="6" w:space="0" w:color="auto"/>
              <w:left w:val="nil" w:sz="6" w:space="0" w:color="auto"/>
              <w:bottom w:val="nil" w:sz="6" w:space="0" w:color="auto"/>
              <w:right w:val="nil" w:sz="6" w:space="0" w:color="auto"/>
            </w:tcBorders>
          </w:tcPr>
          <w:p>
            <w:pPr/>
          </w:p>
        </w:tc>
        <w:tc>
          <w:tcPr>
            <w:tcW w:w="960" w:type="dxa"/>
            <w:tcBorders>
              <w:top w:val="nil" w:sz="6" w:space="0" w:color="auto"/>
              <w:left w:val="nil" w:sz="6" w:space="0" w:color="auto"/>
              <w:bottom w:val="nil" w:sz="6" w:space="0" w:color="auto"/>
              <w:right w:val="nil" w:sz="6" w:space="0" w:color="auto"/>
            </w:tcBorders>
          </w:tcPr>
          <w:p>
            <w:pPr/>
          </w:p>
        </w:tc>
        <w:tc>
          <w:tcPr>
            <w:tcW w:w="1439" w:type="dxa"/>
            <w:tcBorders>
              <w:top w:val="nil" w:sz="6" w:space="0" w:color="auto"/>
              <w:left w:val="nil" w:sz="6" w:space="0" w:color="auto"/>
              <w:bottom w:val="nil" w:sz="6" w:space="0" w:color="auto"/>
              <w:right w:val="nil" w:sz="6" w:space="0" w:color="auto"/>
            </w:tcBorders>
          </w:tcPr>
          <w:p>
            <w:pPr/>
          </w:p>
        </w:tc>
        <w:tc>
          <w:tcPr>
            <w:tcW w:w="1391"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618"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r>
      <w:tr>
        <w:trPr>
          <w:trHeight w:val="260" w:hRule="exact"/>
        </w:trPr>
        <w:tc>
          <w:tcPr>
            <w:tcW w:w="330" w:type="dxa"/>
            <w:tcBorders>
              <w:top w:val="nil" w:sz="6" w:space="0" w:color="auto"/>
              <w:left w:val="nil" w:sz="6" w:space="0" w:color="auto"/>
              <w:bottom w:val="nil" w:sz="6" w:space="0" w:color="auto"/>
              <w:right w:val="nil" w:sz="6" w:space="0" w:color="auto"/>
            </w:tcBorders>
          </w:tcPr>
          <w:p>
            <w:pPr/>
          </w:p>
        </w:tc>
        <w:tc>
          <w:tcPr>
            <w:tcW w:w="2478" w:type="dxa"/>
            <w:tcBorders>
              <w:top w:val="nil" w:sz="6" w:space="0" w:color="auto"/>
              <w:left w:val="nil" w:sz="6" w:space="0" w:color="auto"/>
              <w:bottom w:val="nil" w:sz="6" w:space="0" w:color="auto"/>
              <w:right w:val="nil" w:sz="6" w:space="0" w:color="auto"/>
            </w:tcBorders>
          </w:tcPr>
          <w:p>
            <w:pPr>
              <w:pStyle w:val="TableParagraph"/>
              <w:spacing w:line="230" w:lineRule="exact"/>
              <w:ind w:left="88" w:right="0"/>
              <w:jc w:val="left"/>
              <w:rPr>
                <w:rFonts w:ascii="黑体" w:hAnsi="黑体" w:cs="黑体" w:eastAsia="黑体" w:hint="default"/>
                <w:sz w:val="20"/>
                <w:szCs w:val="20"/>
              </w:rPr>
            </w:pPr>
            <w:r>
              <w:rPr>
                <w:rFonts w:ascii="黑体" w:hAnsi="黑体" w:cs="黑体" w:eastAsia="黑体" w:hint="default"/>
                <w:sz w:val="20"/>
                <w:szCs w:val="20"/>
              </w:rPr>
              <w:t>其中：</w:t>
            </w:r>
          </w:p>
        </w:tc>
        <w:tc>
          <w:tcPr>
            <w:tcW w:w="1420" w:type="dxa"/>
            <w:tcBorders>
              <w:top w:val="nil" w:sz="6" w:space="0" w:color="auto"/>
              <w:left w:val="nil" w:sz="6" w:space="0" w:color="auto"/>
              <w:bottom w:val="nil" w:sz="6" w:space="0" w:color="auto"/>
              <w:right w:val="nil" w:sz="6" w:space="0" w:color="auto"/>
            </w:tcBorders>
          </w:tcPr>
          <w:p>
            <w:pPr/>
          </w:p>
        </w:tc>
        <w:tc>
          <w:tcPr>
            <w:tcW w:w="960" w:type="dxa"/>
            <w:tcBorders>
              <w:top w:val="nil" w:sz="6" w:space="0" w:color="auto"/>
              <w:left w:val="nil" w:sz="6" w:space="0" w:color="auto"/>
              <w:bottom w:val="nil" w:sz="6" w:space="0" w:color="auto"/>
              <w:right w:val="nil" w:sz="6" w:space="0" w:color="auto"/>
            </w:tcBorders>
          </w:tcPr>
          <w:p>
            <w:pPr/>
          </w:p>
        </w:tc>
        <w:tc>
          <w:tcPr>
            <w:tcW w:w="1439" w:type="dxa"/>
            <w:tcBorders>
              <w:top w:val="nil" w:sz="6" w:space="0" w:color="auto"/>
              <w:left w:val="nil" w:sz="6" w:space="0" w:color="auto"/>
              <w:bottom w:val="nil" w:sz="6" w:space="0" w:color="auto"/>
              <w:right w:val="nil" w:sz="6" w:space="0" w:color="auto"/>
            </w:tcBorders>
          </w:tcPr>
          <w:p>
            <w:pPr/>
          </w:p>
        </w:tc>
        <w:tc>
          <w:tcPr>
            <w:tcW w:w="1391"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618"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r>
      <w:tr>
        <w:trPr>
          <w:trHeight w:val="271" w:hRule="exact"/>
        </w:trPr>
        <w:tc>
          <w:tcPr>
            <w:tcW w:w="330" w:type="dxa"/>
            <w:tcBorders>
              <w:top w:val="nil" w:sz="6" w:space="0" w:color="auto"/>
              <w:left w:val="nil" w:sz="6" w:space="0" w:color="auto"/>
              <w:bottom w:val="nil" w:sz="6" w:space="0" w:color="auto"/>
              <w:right w:val="nil" w:sz="6" w:space="0" w:color="auto"/>
            </w:tcBorders>
          </w:tcPr>
          <w:p>
            <w:pPr/>
          </w:p>
        </w:tc>
        <w:tc>
          <w:tcPr>
            <w:tcW w:w="2478" w:type="dxa"/>
            <w:tcBorders>
              <w:top w:val="nil" w:sz="6" w:space="0" w:color="auto"/>
              <w:left w:val="nil" w:sz="6" w:space="0" w:color="auto"/>
              <w:bottom w:val="nil" w:sz="6" w:space="0" w:color="auto"/>
              <w:right w:val="nil" w:sz="6" w:space="0" w:color="auto"/>
            </w:tcBorders>
          </w:tcPr>
          <w:p>
            <w:pPr>
              <w:pStyle w:val="TableParagraph"/>
              <w:spacing w:line="230" w:lineRule="exact"/>
              <w:ind w:left="88" w:right="0"/>
              <w:jc w:val="left"/>
              <w:rPr>
                <w:rFonts w:ascii="黑体" w:hAnsi="黑体" w:cs="黑体" w:eastAsia="黑体" w:hint="default"/>
                <w:sz w:val="20"/>
                <w:szCs w:val="20"/>
              </w:rPr>
            </w:pPr>
            <w:r>
              <w:rPr>
                <w:rFonts w:ascii="黑体" w:hAnsi="黑体" w:cs="黑体" w:eastAsia="黑体" w:hint="default"/>
                <w:sz w:val="20"/>
                <w:szCs w:val="20"/>
              </w:rPr>
              <w:t>境内非国有法人持股</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6"/>
              <w:jc w:val="right"/>
              <w:rPr>
                <w:rFonts w:ascii="Arial" w:hAnsi="Arial" w:cs="Arial" w:eastAsia="Arial" w:hint="default"/>
                <w:sz w:val="20"/>
                <w:szCs w:val="20"/>
              </w:rPr>
            </w:pPr>
            <w:r>
              <w:rPr>
                <w:rFonts w:ascii="Arial"/>
                <w:spacing w:val="-1"/>
                <w:sz w:val="20"/>
              </w:rPr>
              <w:t>88,452,000</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27"/>
              <w:jc w:val="right"/>
              <w:rPr>
                <w:rFonts w:ascii="Arial" w:hAnsi="Arial" w:cs="Arial" w:eastAsia="Arial" w:hint="default"/>
                <w:sz w:val="20"/>
                <w:szCs w:val="20"/>
              </w:rPr>
            </w:pPr>
            <w:r>
              <w:rPr>
                <w:rFonts w:ascii="Arial"/>
                <w:sz w:val="20"/>
              </w:rPr>
              <w:t>38.23</w:t>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27"/>
              <w:ind w:left="86" w:right="0"/>
              <w:jc w:val="center"/>
              <w:rPr>
                <w:rFonts w:ascii="Arial" w:hAnsi="Arial" w:cs="Arial" w:eastAsia="Arial" w:hint="default"/>
                <w:sz w:val="20"/>
                <w:szCs w:val="20"/>
              </w:rPr>
            </w:pPr>
            <w:r>
              <w:rPr>
                <w:rFonts w:ascii="Arial"/>
                <w:sz w:val="20"/>
              </w:rPr>
              <w:t>(28,080,000)</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35"/>
              <w:jc w:val="right"/>
              <w:rPr>
                <w:rFonts w:ascii="Arial" w:hAnsi="Arial" w:cs="Arial" w:eastAsia="Arial" w:hint="default"/>
                <w:sz w:val="20"/>
                <w:szCs w:val="20"/>
              </w:rPr>
            </w:pPr>
            <w:r>
              <w:rPr>
                <w:rFonts w:ascii="Arial"/>
                <w:w w:val="100"/>
                <w:sz w:val="20"/>
              </w:rPr>
              <w:t>-</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50"/>
              <w:jc w:val="right"/>
              <w:rPr>
                <w:rFonts w:ascii="Arial" w:hAnsi="Arial" w:cs="Arial" w:eastAsia="Arial" w:hint="default"/>
                <w:sz w:val="20"/>
                <w:szCs w:val="20"/>
              </w:rPr>
            </w:pPr>
            <w:r>
              <w:rPr>
                <w:rFonts w:ascii="Arial"/>
                <w:spacing w:val="-1"/>
                <w:sz w:val="20"/>
              </w:rPr>
              <w:t>60,372,000</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51"/>
              <w:jc w:val="right"/>
              <w:rPr>
                <w:rFonts w:ascii="Arial" w:hAnsi="Arial" w:cs="Arial" w:eastAsia="Arial" w:hint="default"/>
                <w:sz w:val="20"/>
                <w:szCs w:val="20"/>
              </w:rPr>
            </w:pPr>
            <w:r>
              <w:rPr>
                <w:rFonts w:ascii="Arial"/>
                <w:spacing w:val="-1"/>
                <w:sz w:val="20"/>
              </w:rPr>
              <w:t>32,292,000</w:t>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49"/>
              <w:jc w:val="right"/>
              <w:rPr>
                <w:rFonts w:ascii="Arial" w:hAnsi="Arial" w:cs="Arial" w:eastAsia="Arial" w:hint="default"/>
                <w:sz w:val="20"/>
                <w:szCs w:val="20"/>
              </w:rPr>
            </w:pPr>
            <w:r>
              <w:rPr>
                <w:rFonts w:ascii="Arial"/>
                <w:spacing w:val="-1"/>
                <w:sz w:val="20"/>
              </w:rPr>
              <w:t>120,744,000</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3"/>
              <w:jc w:val="right"/>
              <w:rPr>
                <w:rFonts w:ascii="Arial" w:hAnsi="Arial" w:cs="Arial" w:eastAsia="Arial" w:hint="default"/>
                <w:sz w:val="20"/>
                <w:szCs w:val="20"/>
              </w:rPr>
            </w:pPr>
            <w:r>
              <w:rPr>
                <w:rFonts w:ascii="Arial"/>
                <w:spacing w:val="-1"/>
                <w:sz w:val="20"/>
              </w:rPr>
              <w:t>25.87</w:t>
            </w:r>
          </w:p>
        </w:tc>
      </w:tr>
      <w:tr>
        <w:trPr>
          <w:trHeight w:val="437" w:hRule="exact"/>
        </w:trPr>
        <w:tc>
          <w:tcPr>
            <w:tcW w:w="330" w:type="dxa"/>
            <w:tcBorders>
              <w:top w:val="nil" w:sz="6" w:space="0" w:color="auto"/>
              <w:left w:val="nil" w:sz="6" w:space="0" w:color="auto"/>
              <w:bottom w:val="nil" w:sz="6" w:space="0" w:color="auto"/>
              <w:right w:val="nil" w:sz="6" w:space="0" w:color="auto"/>
            </w:tcBorders>
          </w:tcPr>
          <w:p>
            <w:pPr/>
          </w:p>
        </w:tc>
        <w:tc>
          <w:tcPr>
            <w:tcW w:w="2478" w:type="dxa"/>
            <w:tcBorders>
              <w:top w:val="nil" w:sz="6" w:space="0" w:color="auto"/>
              <w:left w:val="nil" w:sz="6" w:space="0" w:color="auto"/>
              <w:bottom w:val="nil" w:sz="6" w:space="0" w:color="auto"/>
              <w:right w:val="nil" w:sz="6" w:space="0" w:color="auto"/>
            </w:tcBorders>
          </w:tcPr>
          <w:p>
            <w:pPr>
              <w:pStyle w:val="TableParagraph"/>
              <w:spacing w:line="219" w:lineRule="exact"/>
              <w:ind w:left="88" w:right="0"/>
              <w:jc w:val="left"/>
              <w:rPr>
                <w:rFonts w:ascii="黑体" w:hAnsi="黑体" w:cs="黑体" w:eastAsia="黑体" w:hint="default"/>
                <w:sz w:val="20"/>
                <w:szCs w:val="20"/>
              </w:rPr>
            </w:pPr>
            <w:r>
              <w:rPr>
                <w:rFonts w:ascii="黑体" w:hAnsi="黑体" w:cs="黑体" w:eastAsia="黑体" w:hint="default"/>
                <w:sz w:val="20"/>
                <w:szCs w:val="20"/>
              </w:rPr>
              <w:t>境内自然人持股</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pacing w:val="-1"/>
                <w:sz w:val="20"/>
                <w:u w:val="single" w:color="000000"/>
              </w:rPr>
              <w:t>6,739,200</w:t>
            </w:r>
            <w:r>
              <w:rPr>
                <w:rFonts w:ascii="Arial"/>
                <w:spacing w:val="-1"/>
                <w:sz w:val="20"/>
              </w:rPr>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pacing w:val="-1"/>
                <w:sz w:val="20"/>
                <w:u w:val="single" w:color="000000"/>
              </w:rPr>
              <w:t>2.91</w:t>
            </w:r>
            <w:r>
              <w:rPr>
                <w:rFonts w:ascii="Arial"/>
                <w:spacing w:val="-1"/>
                <w:sz w:val="20"/>
              </w:rPr>
            </w:r>
            <w:r>
              <w:rPr>
                <w:rFonts w:ascii="Arial"/>
                <w:sz w:val="20"/>
              </w:rPr>
            </w:r>
          </w:p>
        </w:tc>
        <w:tc>
          <w:tcPr>
            <w:tcW w:w="1439" w:type="dxa"/>
            <w:tcBorders>
              <w:top w:val="nil" w:sz="6" w:space="0" w:color="auto"/>
              <w:left w:val="nil" w:sz="6" w:space="0" w:color="auto"/>
              <w:bottom w:val="nil" w:sz="6" w:space="0" w:color="auto"/>
              <w:right w:val="nil" w:sz="6" w:space="0" w:color="auto"/>
            </w:tcBorders>
          </w:tcPr>
          <w:p>
            <w:pPr>
              <w:pStyle w:val="TableParagraph"/>
              <w:tabs>
                <w:tab w:pos="1037" w:val="left" w:leader="none"/>
              </w:tabs>
              <w:spacing w:line="240" w:lineRule="auto" w:before="15"/>
              <w:ind w:left="138" w:right="0"/>
              <w:jc w:val="center"/>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1"/>
              <w:jc w:val="right"/>
              <w:rPr>
                <w:rFonts w:ascii="Arial" w:hAnsi="Arial" w:cs="Arial" w:eastAsia="Arial" w:hint="default"/>
                <w:sz w:val="20"/>
                <w:szCs w:val="20"/>
              </w:rPr>
            </w:pPr>
            <w:r>
              <w:rPr>
                <w:rFonts w:ascii="Arial"/>
                <w:spacing w:val="-1"/>
                <w:sz w:val="20"/>
              </w:rPr>
              <w:t>(</w:t>
            </w:r>
            <w:r>
              <w:rPr>
                <w:rFonts w:ascii="Arial"/>
                <w:spacing w:val="-1"/>
                <w:sz w:val="20"/>
                <w:u w:val="single" w:color="000000"/>
              </w:rPr>
              <w:t>8,038,320</w:t>
            </w:r>
            <w:r>
              <w:rPr>
                <w:rFonts w:ascii="Arial"/>
                <w:spacing w:val="-1"/>
                <w:sz w:val="20"/>
              </w:rPr>
              <w:t>)</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10,664,375</w:t>
            </w:r>
            <w:r>
              <w:rPr>
                <w:rFonts w:ascii="Arial"/>
                <w:spacing w:val="-1"/>
                <w:sz w:val="20"/>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pacing w:val="-1"/>
                <w:sz w:val="20"/>
                <w:u w:val="single" w:color="000000"/>
              </w:rPr>
              <w:t>2,626,055</w:t>
            </w:r>
            <w:r>
              <w:rPr>
                <w:rFonts w:ascii="Arial"/>
                <w:spacing w:val="-1"/>
                <w:sz w:val="20"/>
              </w:rPr>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pacing w:val="-1"/>
                <w:sz w:val="20"/>
                <w:u w:val="single" w:color="000000"/>
              </w:rPr>
              <w:t>9,365,255</w:t>
            </w:r>
            <w:r>
              <w:rPr>
                <w:rFonts w:ascii="Arial"/>
                <w:spacing w:val="-1"/>
                <w:sz w:val="20"/>
              </w:rPr>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pacing w:val="-1"/>
                <w:sz w:val="20"/>
                <w:u w:val="single" w:color="000000"/>
              </w:rPr>
              <w:t>2.01</w:t>
            </w:r>
            <w:r>
              <w:rPr>
                <w:rFonts w:ascii="Arial"/>
                <w:spacing w:val="-1"/>
                <w:sz w:val="20"/>
              </w:rPr>
            </w:r>
            <w:r>
              <w:rPr>
                <w:rFonts w:ascii="Arial"/>
                <w:sz w:val="20"/>
              </w:rPr>
            </w:r>
          </w:p>
        </w:tc>
      </w:tr>
      <w:tr>
        <w:trPr>
          <w:trHeight w:val="565" w:hRule="exact"/>
        </w:trPr>
        <w:tc>
          <w:tcPr>
            <w:tcW w:w="330" w:type="dxa"/>
            <w:tcBorders>
              <w:top w:val="nil" w:sz="6" w:space="0" w:color="auto"/>
              <w:left w:val="nil" w:sz="6" w:space="0" w:color="auto"/>
              <w:bottom w:val="nil" w:sz="6" w:space="0" w:color="auto"/>
              <w:right w:val="nil" w:sz="6" w:space="0" w:color="auto"/>
            </w:tcBorders>
          </w:tcPr>
          <w:p>
            <w:pP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88"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14"/>
                <w:szCs w:val="14"/>
              </w:rPr>
            </w:pPr>
          </w:p>
          <w:p>
            <w:pPr>
              <w:pStyle w:val="TableParagraph"/>
              <w:spacing w:line="240" w:lineRule="auto"/>
              <w:ind w:right="11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95,191,200</w:t>
            </w:r>
            <w:r>
              <w:rPr>
                <w:rFonts w:ascii="Arial"/>
                <w:spacing w:val="-1"/>
                <w:sz w:val="20"/>
              </w:rPr>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4"/>
                <w:szCs w:val="14"/>
              </w:rPr>
            </w:pPr>
          </w:p>
          <w:p>
            <w:pPr>
              <w:pStyle w:val="TableParagraph"/>
              <w:spacing w:line="240" w:lineRule="auto"/>
              <w:ind w:right="12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41.14</w:t>
            </w:r>
            <w:r>
              <w:rPr>
                <w:rFonts w:ascii="Arial"/>
                <w:sz w:val="20"/>
              </w:rPr>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4"/>
                <w:szCs w:val="14"/>
              </w:rPr>
            </w:pPr>
          </w:p>
          <w:p>
            <w:pPr>
              <w:pStyle w:val="TableParagraph"/>
              <w:spacing w:line="240" w:lineRule="auto"/>
              <w:ind w:left="86" w:right="0"/>
              <w:jc w:val="center"/>
              <w:rPr>
                <w:rFonts w:ascii="Arial" w:hAnsi="Arial" w:cs="Arial" w:eastAsia="Arial" w:hint="default"/>
                <w:sz w:val="20"/>
                <w:szCs w:val="20"/>
              </w:rPr>
            </w:pPr>
            <w:r>
              <w:rPr>
                <w:rFonts w:ascii="Arial"/>
                <w:sz w:val="20"/>
              </w:rPr>
              <w:t>(</w:t>
            </w:r>
            <w:r>
              <w:rPr>
                <w:rFonts w:ascii="Arial"/>
                <w:sz w:val="20"/>
                <w:u w:val="single" w:color="000000"/>
              </w:rPr>
              <w:t>28,080,000</w:t>
            </w:r>
            <w:r>
              <w:rPr>
                <w:rFonts w:ascii="Arial"/>
                <w:sz w:val="20"/>
              </w:rPr>
              <w:t>)</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4"/>
                <w:szCs w:val="14"/>
              </w:rPr>
            </w:pPr>
          </w:p>
          <w:p>
            <w:pPr>
              <w:pStyle w:val="TableParagraph"/>
              <w:spacing w:line="240" w:lineRule="auto"/>
              <w:ind w:right="81"/>
              <w:jc w:val="right"/>
              <w:rPr>
                <w:rFonts w:ascii="Arial" w:hAnsi="Arial" w:cs="Arial" w:eastAsia="Arial" w:hint="default"/>
                <w:sz w:val="20"/>
                <w:szCs w:val="20"/>
              </w:rPr>
            </w:pPr>
            <w:r>
              <w:rPr>
                <w:rFonts w:ascii="Arial"/>
                <w:spacing w:val="-1"/>
                <w:sz w:val="20"/>
              </w:rPr>
              <w:t>(</w:t>
            </w:r>
            <w:r>
              <w:rPr>
                <w:rFonts w:ascii="Arial"/>
                <w:spacing w:val="-1"/>
                <w:sz w:val="20"/>
                <w:u w:val="single" w:color="000000"/>
              </w:rPr>
              <w:t>8,038,320</w:t>
            </w:r>
            <w:r>
              <w:rPr>
                <w:rFonts w:ascii="Arial"/>
                <w:spacing w:val="-1"/>
                <w:sz w:val="20"/>
              </w:rPr>
              <w:t>)</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4"/>
                <w:szCs w:val="14"/>
              </w:rPr>
            </w:pPr>
          </w:p>
          <w:p>
            <w:pPr>
              <w:pStyle w:val="TableParagraph"/>
              <w:spacing w:line="240" w:lineRule="auto"/>
              <w:ind w:right="14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71,036,375</w:t>
            </w:r>
            <w:r>
              <w:rPr>
                <w:rFonts w:ascii="Arial"/>
                <w:spacing w:val="-1"/>
                <w:sz w:val="20"/>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4"/>
                <w:szCs w:val="14"/>
              </w:rPr>
            </w:pPr>
          </w:p>
          <w:p>
            <w:pPr>
              <w:pStyle w:val="TableParagraph"/>
              <w:spacing w:line="240" w:lineRule="auto"/>
              <w:ind w:right="15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34,918,055</w:t>
            </w:r>
            <w:r>
              <w:rPr>
                <w:rFonts w:ascii="Arial"/>
                <w:spacing w:val="-1"/>
                <w:sz w:val="20"/>
              </w:rPr>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4"/>
                <w:szCs w:val="14"/>
              </w:rPr>
            </w:pPr>
          </w:p>
          <w:p>
            <w:pPr>
              <w:pStyle w:val="TableParagraph"/>
              <w:spacing w:line="240" w:lineRule="auto"/>
              <w:ind w:right="349"/>
              <w:jc w:val="right"/>
              <w:rPr>
                <w:rFonts w:ascii="Arial" w:hAnsi="Arial" w:cs="Arial" w:eastAsia="Arial" w:hint="default"/>
                <w:sz w:val="20"/>
                <w:szCs w:val="20"/>
              </w:rPr>
            </w:pPr>
            <w:r>
              <w:rPr>
                <w:rFonts w:ascii="Arial"/>
                <w:w w:val="100"/>
                <w:sz w:val="20"/>
              </w:rPr>
            </w:r>
            <w:r>
              <w:rPr>
                <w:rFonts w:ascii="Arial"/>
                <w:spacing w:val="-1"/>
                <w:sz w:val="20"/>
                <w:u w:val="single" w:color="000000"/>
              </w:rPr>
              <w:t>130,109,255</w:t>
            </w:r>
            <w:r>
              <w:rPr>
                <w:rFonts w:ascii="Arial"/>
                <w:spacing w:val="-1"/>
                <w:sz w:val="20"/>
              </w:rPr>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4"/>
                <w:szCs w:val="14"/>
              </w:rPr>
            </w:pPr>
          </w:p>
          <w:p>
            <w:pPr>
              <w:pStyle w:val="TableParagraph"/>
              <w:spacing w:line="240" w:lineRule="auto"/>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27.88</w:t>
            </w:r>
            <w:r>
              <w:rPr>
                <w:rFonts w:ascii="Arial"/>
                <w:spacing w:val="-1"/>
                <w:sz w:val="20"/>
              </w:rPr>
            </w:r>
          </w:p>
        </w:tc>
      </w:tr>
      <w:tr>
        <w:trPr>
          <w:trHeight w:val="376" w:hRule="exact"/>
        </w:trPr>
        <w:tc>
          <w:tcPr>
            <w:tcW w:w="33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57"/>
              <w:jc w:val="center"/>
              <w:rPr>
                <w:rFonts w:ascii="黑体" w:hAnsi="黑体" w:cs="黑体" w:eastAsia="黑体" w:hint="default"/>
                <w:sz w:val="20"/>
                <w:szCs w:val="20"/>
              </w:rPr>
            </w:pPr>
            <w:r>
              <w:rPr>
                <w:rFonts w:ascii="黑体" w:hAnsi="黑体" w:cs="黑体" w:eastAsia="黑体" w:hint="default"/>
                <w:b/>
                <w:bCs/>
                <w:w w:val="99"/>
                <w:sz w:val="20"/>
                <w:szCs w:val="20"/>
              </w:rPr>
              <w:t>二</w:t>
            </w:r>
            <w:r>
              <w:rPr>
                <w:rFonts w:ascii="黑体" w:hAnsi="黑体" w:cs="黑体" w:eastAsia="黑体" w:hint="default"/>
                <w:sz w:val="20"/>
                <w:szCs w:val="20"/>
              </w:rPr>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85"/>
              <w:ind w:left="88" w:right="0"/>
              <w:jc w:val="left"/>
              <w:rPr>
                <w:rFonts w:ascii="黑体" w:hAnsi="黑体" w:cs="黑体" w:eastAsia="黑体" w:hint="default"/>
                <w:sz w:val="20"/>
                <w:szCs w:val="20"/>
              </w:rPr>
            </w:pPr>
            <w:r>
              <w:rPr>
                <w:rFonts w:ascii="黑体" w:hAnsi="黑体" w:cs="黑体" w:eastAsia="黑体" w:hint="default"/>
                <w:b/>
                <w:bCs/>
                <w:sz w:val="20"/>
                <w:szCs w:val="20"/>
              </w:rPr>
              <w:t>无限售条件股份</w:t>
            </w:r>
            <w:r>
              <w:rPr>
                <w:rFonts w:ascii="黑体" w:hAnsi="黑体" w:cs="黑体" w:eastAsia="黑体" w:hint="default"/>
                <w:sz w:val="20"/>
                <w:szCs w:val="20"/>
              </w:rPr>
            </w:r>
          </w:p>
        </w:tc>
        <w:tc>
          <w:tcPr>
            <w:tcW w:w="1420" w:type="dxa"/>
            <w:tcBorders>
              <w:top w:val="nil" w:sz="6" w:space="0" w:color="auto"/>
              <w:left w:val="nil" w:sz="6" w:space="0" w:color="auto"/>
              <w:bottom w:val="nil" w:sz="6" w:space="0" w:color="auto"/>
              <w:right w:val="nil" w:sz="6" w:space="0" w:color="auto"/>
            </w:tcBorders>
          </w:tcPr>
          <w:p>
            <w:pPr/>
          </w:p>
        </w:tc>
        <w:tc>
          <w:tcPr>
            <w:tcW w:w="960" w:type="dxa"/>
            <w:tcBorders>
              <w:top w:val="nil" w:sz="6" w:space="0" w:color="auto"/>
              <w:left w:val="nil" w:sz="6" w:space="0" w:color="auto"/>
              <w:bottom w:val="nil" w:sz="6" w:space="0" w:color="auto"/>
              <w:right w:val="nil" w:sz="6" w:space="0" w:color="auto"/>
            </w:tcBorders>
          </w:tcPr>
          <w:p>
            <w:pPr/>
          </w:p>
        </w:tc>
        <w:tc>
          <w:tcPr>
            <w:tcW w:w="1439" w:type="dxa"/>
            <w:tcBorders>
              <w:top w:val="nil" w:sz="6" w:space="0" w:color="auto"/>
              <w:left w:val="nil" w:sz="6" w:space="0" w:color="auto"/>
              <w:bottom w:val="nil" w:sz="6" w:space="0" w:color="auto"/>
              <w:right w:val="nil" w:sz="6" w:space="0" w:color="auto"/>
            </w:tcBorders>
          </w:tcPr>
          <w:p>
            <w:pPr/>
          </w:p>
        </w:tc>
        <w:tc>
          <w:tcPr>
            <w:tcW w:w="1391"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618"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r>
      <w:tr>
        <w:trPr>
          <w:trHeight w:val="398" w:hRule="exact"/>
        </w:trPr>
        <w:tc>
          <w:tcPr>
            <w:tcW w:w="330" w:type="dxa"/>
            <w:tcBorders>
              <w:top w:val="nil" w:sz="6" w:space="0" w:color="auto"/>
              <w:left w:val="nil" w:sz="6" w:space="0" w:color="auto"/>
              <w:bottom w:val="nil" w:sz="6" w:space="0" w:color="auto"/>
              <w:right w:val="nil" w:sz="6" w:space="0" w:color="auto"/>
            </w:tcBorders>
          </w:tcPr>
          <w:p>
            <w:pPr/>
          </w:p>
        </w:tc>
        <w:tc>
          <w:tcPr>
            <w:tcW w:w="2478" w:type="dxa"/>
            <w:tcBorders>
              <w:top w:val="nil" w:sz="6" w:space="0" w:color="auto"/>
              <w:left w:val="nil" w:sz="6" w:space="0" w:color="auto"/>
              <w:bottom w:val="nil" w:sz="6" w:space="0" w:color="auto"/>
              <w:right w:val="nil" w:sz="6" w:space="0" w:color="auto"/>
            </w:tcBorders>
          </w:tcPr>
          <w:p>
            <w:pPr>
              <w:pStyle w:val="TableParagraph"/>
              <w:spacing w:line="230" w:lineRule="exact"/>
              <w:ind w:left="88" w:right="0"/>
              <w:jc w:val="left"/>
              <w:rPr>
                <w:rFonts w:ascii="黑体" w:hAnsi="黑体" w:cs="黑体" w:eastAsia="黑体" w:hint="default"/>
                <w:sz w:val="20"/>
                <w:szCs w:val="20"/>
              </w:rPr>
            </w:pPr>
            <w:r>
              <w:rPr>
                <w:rFonts w:ascii="黑体" w:hAnsi="黑体" w:cs="黑体" w:eastAsia="黑体" w:hint="default"/>
                <w:sz w:val="20"/>
                <w:szCs w:val="20"/>
              </w:rPr>
              <w:t>境内上市的人民币普通股</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5"/>
              <w:jc w:val="right"/>
              <w:rPr>
                <w:rFonts w:ascii="Arial" w:hAnsi="Arial" w:cs="Arial" w:eastAsia="Arial" w:hint="default"/>
                <w:sz w:val="20"/>
                <w:szCs w:val="20"/>
              </w:rPr>
            </w:pPr>
            <w:r>
              <w:rPr>
                <w:rFonts w:ascii="Arial"/>
                <w:w w:val="100"/>
                <w:sz w:val="20"/>
              </w:rPr>
            </w:r>
            <w:r>
              <w:rPr>
                <w:rFonts w:ascii="Arial"/>
                <w:spacing w:val="-1"/>
                <w:sz w:val="20"/>
                <w:u w:val="single" w:color="000000"/>
              </w:rPr>
              <w:t>136,188,000</w:t>
            </w:r>
            <w:r>
              <w:rPr>
                <w:rFonts w:ascii="Arial"/>
                <w:spacing w:val="-1"/>
                <w:sz w:val="20"/>
              </w:rPr>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2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58.86</w:t>
            </w:r>
            <w:r>
              <w:rPr>
                <w:rFonts w:ascii="Arial"/>
                <w:sz w:val="20"/>
              </w:rPr>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97" w:right="0"/>
              <w:jc w:val="center"/>
              <w:rPr>
                <w:rFonts w:ascii="Arial" w:hAnsi="Arial" w:cs="Arial" w:eastAsia="Arial" w:hint="default"/>
                <w:sz w:val="20"/>
                <w:szCs w:val="20"/>
              </w:rPr>
            </w:pPr>
            <w:r>
              <w:rPr>
                <w:rFonts w:ascii="Arial"/>
                <w:w w:val="100"/>
                <w:sz w:val="20"/>
              </w:rPr>
            </w:r>
            <w:r>
              <w:rPr>
                <w:rFonts w:ascii="Arial"/>
                <w:sz w:val="20"/>
                <w:u w:val="single" w:color="000000"/>
              </w:rPr>
              <w:t>28,080,000</w:t>
            </w:r>
            <w:r>
              <w:rPr>
                <w:rFonts w:ascii="Arial"/>
                <w:sz w:val="20"/>
              </w:rPr>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6"/>
              <w:jc w:val="right"/>
              <w:rPr>
                <w:rFonts w:ascii="Arial" w:hAnsi="Arial" w:cs="Arial" w:eastAsia="Arial" w:hint="default"/>
                <w:sz w:val="20"/>
                <w:szCs w:val="20"/>
              </w:rPr>
            </w:pPr>
            <w:r>
              <w:rPr>
                <w:rFonts w:ascii="Arial"/>
                <w:w w:val="100"/>
                <w:sz w:val="20"/>
              </w:rPr>
            </w:r>
            <w:r>
              <w:rPr>
                <w:rFonts w:ascii="Arial"/>
                <w:spacing w:val="-1"/>
                <w:sz w:val="20"/>
                <w:u w:val="single" w:color="000000"/>
              </w:rPr>
              <w:t>8,038,320</w:t>
            </w:r>
            <w:r>
              <w:rPr>
                <w:rFonts w:ascii="Arial"/>
                <w:spacing w:val="-1"/>
                <w:sz w:val="20"/>
              </w:rPr>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49"/>
              <w:jc w:val="right"/>
              <w:rPr>
                <w:rFonts w:ascii="Arial" w:hAnsi="Arial" w:cs="Arial" w:eastAsia="Arial" w:hint="default"/>
                <w:sz w:val="20"/>
                <w:szCs w:val="20"/>
              </w:rPr>
            </w:pPr>
            <w:r>
              <w:rPr>
                <w:rFonts w:ascii="Arial"/>
                <w:w w:val="100"/>
                <w:sz w:val="20"/>
              </w:rPr>
            </w:r>
            <w:r>
              <w:rPr>
                <w:rFonts w:ascii="Arial"/>
                <w:spacing w:val="-1"/>
                <w:sz w:val="20"/>
                <w:u w:val="single" w:color="000000"/>
              </w:rPr>
              <w:t>164,268,000</w:t>
            </w:r>
            <w:r>
              <w:rPr>
                <w:rFonts w:ascii="Arial"/>
                <w:spacing w:val="-1"/>
                <w:sz w:val="20"/>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50"/>
              <w:jc w:val="right"/>
              <w:rPr>
                <w:rFonts w:ascii="Arial" w:hAnsi="Arial" w:cs="Arial" w:eastAsia="Arial" w:hint="default"/>
                <w:sz w:val="20"/>
                <w:szCs w:val="20"/>
              </w:rPr>
            </w:pPr>
            <w:r>
              <w:rPr>
                <w:rFonts w:ascii="Arial"/>
                <w:w w:val="100"/>
                <w:sz w:val="20"/>
              </w:rPr>
            </w:r>
            <w:r>
              <w:rPr>
                <w:rFonts w:ascii="Arial"/>
                <w:spacing w:val="-1"/>
                <w:sz w:val="20"/>
                <w:u w:val="single" w:color="000000"/>
              </w:rPr>
              <w:t>200,386,320</w:t>
            </w:r>
            <w:r>
              <w:rPr>
                <w:rFonts w:ascii="Arial"/>
                <w:spacing w:val="-1"/>
                <w:sz w:val="20"/>
              </w:rPr>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49"/>
              <w:jc w:val="right"/>
              <w:rPr>
                <w:rFonts w:ascii="Arial" w:hAnsi="Arial" w:cs="Arial" w:eastAsia="Arial" w:hint="default"/>
                <w:sz w:val="20"/>
                <w:szCs w:val="20"/>
              </w:rPr>
            </w:pPr>
            <w:r>
              <w:rPr>
                <w:rFonts w:ascii="Arial"/>
                <w:w w:val="100"/>
                <w:sz w:val="20"/>
              </w:rPr>
            </w:r>
            <w:r>
              <w:rPr>
                <w:rFonts w:ascii="Arial"/>
                <w:spacing w:val="-1"/>
                <w:sz w:val="20"/>
                <w:u w:val="single" w:color="000000"/>
              </w:rPr>
              <w:t>336,574,320</w:t>
            </w:r>
            <w:r>
              <w:rPr>
                <w:rFonts w:ascii="Arial"/>
                <w:spacing w:val="-1"/>
                <w:sz w:val="20"/>
              </w:rPr>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72.12</w:t>
            </w:r>
            <w:r>
              <w:rPr>
                <w:rFonts w:ascii="Arial"/>
                <w:sz w:val="20"/>
              </w:rPr>
            </w:r>
          </w:p>
        </w:tc>
      </w:tr>
      <w:tr>
        <w:trPr>
          <w:trHeight w:val="469" w:hRule="exact"/>
        </w:trPr>
        <w:tc>
          <w:tcPr>
            <w:tcW w:w="33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45"/>
              <w:jc w:val="center"/>
              <w:rPr>
                <w:rFonts w:ascii="黑体" w:hAnsi="黑体" w:cs="黑体" w:eastAsia="黑体" w:hint="default"/>
                <w:sz w:val="20"/>
                <w:szCs w:val="20"/>
              </w:rPr>
            </w:pPr>
            <w:r>
              <w:rPr>
                <w:rFonts w:ascii="黑体" w:hAnsi="黑体" w:cs="黑体" w:eastAsia="黑体" w:hint="default"/>
                <w:b/>
                <w:bCs/>
                <w:w w:val="99"/>
                <w:sz w:val="20"/>
                <w:szCs w:val="20"/>
              </w:rPr>
              <w:t>三</w:t>
            </w:r>
            <w:r>
              <w:rPr>
                <w:rFonts w:ascii="黑体" w:hAnsi="黑体" w:cs="黑体" w:eastAsia="黑体" w:hint="default"/>
                <w:sz w:val="20"/>
                <w:szCs w:val="20"/>
              </w:rPr>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85"/>
              <w:ind w:left="94" w:right="0"/>
              <w:jc w:val="left"/>
              <w:rPr>
                <w:rFonts w:ascii="黑体" w:hAnsi="黑体" w:cs="黑体" w:eastAsia="黑体" w:hint="default"/>
                <w:sz w:val="20"/>
                <w:szCs w:val="20"/>
              </w:rPr>
            </w:pPr>
            <w:r>
              <w:rPr>
                <w:rFonts w:ascii="黑体" w:hAnsi="黑体" w:cs="黑体" w:eastAsia="黑体" w:hint="default"/>
                <w:b/>
                <w:bCs/>
                <w:sz w:val="20"/>
                <w:szCs w:val="20"/>
              </w:rPr>
              <w:t>股份总数</w:t>
            </w:r>
            <w:r>
              <w:rPr>
                <w:rFonts w:ascii="黑体" w:hAnsi="黑体" w:cs="黑体" w:eastAsia="黑体" w:hint="default"/>
                <w:sz w:val="20"/>
                <w:szCs w:val="20"/>
              </w:rPr>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115"/>
              <w:jc w:val="right"/>
              <w:rPr>
                <w:rFonts w:ascii="Arial" w:hAnsi="Arial" w:cs="Arial" w:eastAsia="Arial" w:hint="default"/>
                <w:sz w:val="20"/>
                <w:szCs w:val="20"/>
              </w:rPr>
            </w:pPr>
            <w:r>
              <w:rPr>
                <w:rFonts w:ascii="Arial"/>
                <w:w w:val="100"/>
                <w:sz w:val="20"/>
              </w:rPr>
            </w:r>
            <w:r>
              <w:rPr>
                <w:rFonts w:ascii="Arial"/>
                <w:spacing w:val="-1"/>
                <w:sz w:val="20"/>
                <w:u w:val="thick" w:color="000000"/>
              </w:rPr>
              <w:t>231,379,200</w:t>
            </w:r>
            <w:r>
              <w:rPr>
                <w:rFonts w:ascii="Arial"/>
                <w:spacing w:val="-1"/>
                <w:sz w:val="20"/>
              </w:rPr>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127"/>
              <w:jc w:val="right"/>
              <w:rPr>
                <w:rFonts w:ascii="Arial" w:hAnsi="Arial" w:cs="Arial" w:eastAsia="Arial" w:hint="default"/>
                <w:sz w:val="20"/>
                <w:szCs w:val="20"/>
              </w:rPr>
            </w:pPr>
            <w:r>
              <w:rPr>
                <w:rFonts w:ascii="Arial"/>
                <w:w w:val="100"/>
                <w:sz w:val="20"/>
              </w:rPr>
            </w:r>
            <w:r>
              <w:rPr>
                <w:rFonts w:ascii="Arial"/>
                <w:sz w:val="20"/>
                <w:u w:val="thick" w:color="000000"/>
              </w:rPr>
              <w:t>100.00</w:t>
            </w:r>
            <w:r>
              <w:rPr>
                <w:rFonts w:ascii="Arial"/>
                <w:sz w:val="20"/>
              </w:rPr>
            </w:r>
          </w:p>
        </w:tc>
        <w:tc>
          <w:tcPr>
            <w:tcW w:w="1439" w:type="dxa"/>
            <w:tcBorders>
              <w:top w:val="nil" w:sz="6" w:space="0" w:color="auto"/>
              <w:left w:val="nil" w:sz="6" w:space="0" w:color="auto"/>
              <w:bottom w:val="nil" w:sz="6" w:space="0" w:color="auto"/>
              <w:right w:val="nil" w:sz="6" w:space="0" w:color="auto"/>
            </w:tcBorders>
          </w:tcPr>
          <w:p>
            <w:pPr>
              <w:pStyle w:val="TableParagraph"/>
              <w:tabs>
                <w:tab w:pos="1037" w:val="left" w:leader="none"/>
              </w:tabs>
              <w:spacing w:line="240" w:lineRule="auto" w:before="143"/>
              <w:ind w:left="98" w:right="0"/>
              <w:jc w:val="center"/>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391"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143"/>
              <w:ind w:right="134"/>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149"/>
              <w:jc w:val="right"/>
              <w:rPr>
                <w:rFonts w:ascii="Arial" w:hAnsi="Arial" w:cs="Arial" w:eastAsia="Arial" w:hint="default"/>
                <w:sz w:val="20"/>
                <w:szCs w:val="20"/>
              </w:rPr>
            </w:pPr>
            <w:r>
              <w:rPr>
                <w:rFonts w:ascii="Arial"/>
                <w:w w:val="100"/>
                <w:sz w:val="20"/>
              </w:rPr>
            </w:r>
            <w:r>
              <w:rPr>
                <w:rFonts w:ascii="Arial"/>
                <w:spacing w:val="-1"/>
                <w:sz w:val="20"/>
                <w:u w:val="thick" w:color="000000"/>
              </w:rPr>
              <w:t>235,304,375</w:t>
            </w:r>
            <w:r>
              <w:rPr>
                <w:rFonts w:ascii="Arial"/>
                <w:spacing w:val="-1"/>
                <w:sz w:val="20"/>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150"/>
              <w:jc w:val="right"/>
              <w:rPr>
                <w:rFonts w:ascii="Arial" w:hAnsi="Arial" w:cs="Arial" w:eastAsia="Arial" w:hint="default"/>
                <w:sz w:val="20"/>
                <w:szCs w:val="20"/>
              </w:rPr>
            </w:pPr>
            <w:r>
              <w:rPr>
                <w:rFonts w:ascii="Arial"/>
                <w:w w:val="100"/>
                <w:sz w:val="20"/>
              </w:rPr>
            </w:r>
            <w:r>
              <w:rPr>
                <w:rFonts w:ascii="Arial"/>
                <w:spacing w:val="-1"/>
                <w:sz w:val="20"/>
                <w:u w:val="thick" w:color="000000"/>
              </w:rPr>
              <w:t>235,304,375</w:t>
            </w:r>
            <w:r>
              <w:rPr>
                <w:rFonts w:ascii="Arial"/>
                <w:spacing w:val="-1"/>
                <w:sz w:val="20"/>
              </w:rPr>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349"/>
              <w:jc w:val="right"/>
              <w:rPr>
                <w:rFonts w:ascii="Arial" w:hAnsi="Arial" w:cs="Arial" w:eastAsia="Arial" w:hint="default"/>
                <w:sz w:val="20"/>
                <w:szCs w:val="20"/>
              </w:rPr>
            </w:pPr>
            <w:r>
              <w:rPr>
                <w:rFonts w:ascii="Arial"/>
                <w:w w:val="100"/>
                <w:sz w:val="20"/>
              </w:rPr>
            </w:r>
            <w:r>
              <w:rPr>
                <w:rFonts w:ascii="Arial"/>
                <w:spacing w:val="-1"/>
                <w:sz w:val="20"/>
                <w:u w:val="thick" w:color="000000"/>
              </w:rPr>
              <w:t>466,683,575</w:t>
            </w:r>
            <w:r>
              <w:rPr>
                <w:rFonts w:ascii="Arial"/>
                <w:spacing w:val="-1"/>
                <w:sz w:val="20"/>
              </w:rPr>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33"/>
              <w:jc w:val="right"/>
              <w:rPr>
                <w:rFonts w:ascii="Arial" w:hAnsi="Arial" w:cs="Arial" w:eastAsia="Arial" w:hint="default"/>
                <w:sz w:val="20"/>
                <w:szCs w:val="20"/>
              </w:rPr>
            </w:pPr>
            <w:r>
              <w:rPr>
                <w:rFonts w:ascii="Arial"/>
                <w:w w:val="100"/>
                <w:sz w:val="20"/>
              </w:rPr>
            </w:r>
            <w:r>
              <w:rPr>
                <w:rFonts w:ascii="Arial"/>
                <w:sz w:val="20"/>
                <w:u w:val="thick" w:color="000000"/>
              </w:rPr>
              <w:t>100.00</w:t>
            </w:r>
            <w:r>
              <w:rPr>
                <w:rFonts w:ascii="Arial"/>
                <w:sz w:val="20"/>
              </w:rPr>
            </w:r>
          </w:p>
        </w:tc>
      </w:tr>
    </w:tbl>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8"/>
          <w:szCs w:val="18"/>
        </w:rPr>
      </w:pPr>
    </w:p>
    <w:p>
      <w:pPr>
        <w:pStyle w:val="BodyText"/>
        <w:spacing w:line="240" w:lineRule="auto" w:before="74"/>
        <w:ind w:left="6327" w:right="6310"/>
        <w:jc w:val="center"/>
        <w:rPr>
          <w:rFonts w:ascii="Arial" w:hAnsi="Arial" w:cs="Arial" w:eastAsia="Arial" w:hint="default"/>
        </w:rPr>
      </w:pPr>
      <w:r>
        <w:rPr>
          <w:rFonts w:ascii="Arial"/>
        </w:rPr>
        <w:t>94</w:t>
      </w:r>
    </w:p>
    <w:p>
      <w:pPr>
        <w:spacing w:after="0" w:line="240" w:lineRule="auto"/>
        <w:jc w:val="center"/>
        <w:rPr>
          <w:rFonts w:ascii="Arial" w:hAnsi="Arial" w:cs="Arial" w:eastAsia="Arial" w:hint="default"/>
        </w:rPr>
        <w:sectPr>
          <w:headerReference w:type="default" r:id="rId63"/>
          <w:footerReference w:type="default" r:id="rId64"/>
          <w:pgSz w:w="16840" w:h="11910" w:orient="landscape"/>
          <w:pgMar w:header="0" w:footer="0" w:top="880" w:bottom="280" w:left="1020" w:right="1040"/>
        </w:sectPr>
      </w:pPr>
    </w:p>
    <w:p>
      <w:pPr>
        <w:spacing w:line="240" w:lineRule="auto" w:before="6"/>
        <w:rPr>
          <w:rFonts w:ascii="Arial" w:hAnsi="Arial" w:cs="Arial" w:eastAsia="Arial" w:hint="default"/>
          <w:sz w:val="13"/>
          <w:szCs w:val="13"/>
        </w:rPr>
      </w:pPr>
    </w:p>
    <w:p>
      <w:pPr>
        <w:spacing w:line="20" w:lineRule="exact"/>
        <w:ind w:left="102" w:right="0" w:firstLine="0"/>
        <w:rPr>
          <w:rFonts w:ascii="Arial" w:hAnsi="Arial" w:cs="Arial" w:eastAsia="Arial" w:hint="default"/>
          <w:sz w:val="2"/>
          <w:szCs w:val="2"/>
        </w:rPr>
      </w:pPr>
      <w:r>
        <w:rPr>
          <w:rFonts w:ascii="Arial" w:hAnsi="Arial" w:cs="Arial" w:eastAsia="Arial" w:hint="default"/>
          <w:sz w:val="2"/>
          <w:szCs w:val="2"/>
        </w:rPr>
        <w:pict>
          <v:group style="width:427.5pt;height:.75pt;mso-position-horizontal-relative:char;mso-position-vertical-relative:line" coordorigin="0,0" coordsize="8550,15">
            <v:group style="position:absolute;left:8;top:8;width:8535;height:2" coordorigin="8,8" coordsize="8535,2">
              <v:shape style="position:absolute;left:8;top:8;width:8535;height:2" coordorigin="8,8" coordsize="8535,0" path="m8,8l8542,8e" filled="false" stroked="true" strokeweight=".75pt" strokecolor="#000000">
                <v:path arrowok="t"/>
              </v:shape>
            </v:group>
          </v:group>
        </w:pict>
      </w:r>
      <w:r>
        <w:rPr>
          <w:rFonts w:ascii="Arial" w:hAnsi="Arial" w:cs="Arial" w:eastAsia="Arial" w:hint="default"/>
          <w:sz w:val="2"/>
          <w:szCs w:val="2"/>
        </w:rPr>
      </w:r>
    </w:p>
    <w:p>
      <w:pPr>
        <w:spacing w:line="240" w:lineRule="auto" w:before="4"/>
        <w:rPr>
          <w:rFonts w:ascii="Arial" w:hAnsi="Arial" w:cs="Arial" w:eastAsia="Arial" w:hint="default"/>
          <w:sz w:val="28"/>
          <w:szCs w:val="28"/>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0"/>
        <w:rPr>
          <w:rFonts w:ascii="黑体" w:hAnsi="黑体" w:cs="黑体" w:eastAsia="黑体" w:hint="default"/>
          <w:b/>
          <w:bCs/>
          <w:sz w:val="25"/>
          <w:szCs w:val="25"/>
        </w:rPr>
      </w:pPr>
    </w:p>
    <w:p>
      <w:pPr>
        <w:tabs>
          <w:tab w:pos="821"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28.</w:t>
        <w:tab/>
      </w:r>
      <w:r>
        <w:rPr>
          <w:rFonts w:ascii="黑体" w:hAnsi="黑体" w:cs="黑体" w:eastAsia="黑体" w:hint="default"/>
          <w:b/>
          <w:bCs/>
          <w:sz w:val="20"/>
          <w:szCs w:val="20"/>
        </w:rPr>
        <w:t>股本（续）</w:t>
      </w:r>
      <w:r>
        <w:rPr>
          <w:rFonts w:ascii="黑体" w:hAnsi="黑体" w:cs="黑体" w:eastAsia="黑体" w:hint="default"/>
          <w:sz w:val="20"/>
          <w:szCs w:val="20"/>
        </w:rPr>
      </w:r>
    </w:p>
    <w:p>
      <w:pPr>
        <w:spacing w:line="240" w:lineRule="auto" w:before="5"/>
        <w:rPr>
          <w:rFonts w:ascii="黑体" w:hAnsi="黑体" w:cs="黑体" w:eastAsia="黑体" w:hint="default"/>
          <w:b/>
          <w:bCs/>
          <w:sz w:val="25"/>
          <w:szCs w:val="25"/>
        </w:rPr>
      </w:pPr>
    </w:p>
    <w:p>
      <w:pPr>
        <w:pStyle w:val="BodyText"/>
        <w:spacing w:line="228" w:lineRule="auto"/>
        <w:ind w:left="1377" w:right="156" w:hanging="562"/>
        <w:jc w:val="both"/>
      </w:pPr>
      <w:r>
        <w:rPr/>
        <w:t>注</w:t>
      </w:r>
      <w:r>
        <w:rPr>
          <w:rFonts w:ascii="Arial" w:hAnsi="Arial" w:cs="Arial" w:eastAsia="Arial" w:hint="default"/>
        </w:rPr>
        <w:t>1. </w:t>
      </w:r>
      <w:r>
        <w:rPr/>
        <w:t>公司股权分置改革于</w:t>
      </w:r>
      <w:r>
        <w:rPr>
          <w:rFonts w:ascii="Arial" w:hAnsi="Arial" w:cs="Arial" w:eastAsia="Arial" w:hint="default"/>
        </w:rPr>
        <w:t>2006</w:t>
      </w:r>
      <w:r>
        <w:rPr/>
        <w:t>年</w:t>
      </w:r>
      <w:r>
        <w:rPr>
          <w:rFonts w:ascii="Arial" w:hAnsi="Arial" w:cs="Arial" w:eastAsia="Arial" w:hint="default"/>
        </w:rPr>
        <w:t>2</w:t>
      </w:r>
      <w:r>
        <w:rPr/>
        <w:t>月</w:t>
      </w:r>
      <w:r>
        <w:rPr>
          <w:rFonts w:ascii="Arial" w:hAnsi="Arial" w:cs="Arial" w:eastAsia="Arial" w:hint="default"/>
        </w:rPr>
        <w:t>20</w:t>
      </w:r>
      <w:r>
        <w:rPr/>
        <w:t>日经相关股东会议通过，以</w:t>
      </w:r>
      <w:r>
        <w:rPr>
          <w:rFonts w:ascii="Arial" w:hAnsi="Arial" w:cs="Arial" w:eastAsia="Arial" w:hint="default"/>
        </w:rPr>
        <w:t>2006</w:t>
      </w:r>
      <w:r>
        <w:rPr/>
        <w:t>年</w:t>
      </w:r>
      <w:r>
        <w:rPr>
          <w:rFonts w:ascii="Arial" w:hAnsi="Arial" w:cs="Arial" w:eastAsia="Arial" w:hint="default"/>
        </w:rPr>
        <w:t>2</w:t>
      </w:r>
      <w:r>
        <w:rPr/>
        <w:t>月</w:t>
      </w:r>
      <w:r>
        <w:rPr>
          <w:rFonts w:ascii="Arial" w:hAnsi="Arial" w:cs="Arial" w:eastAsia="Arial" w:hint="default"/>
        </w:rPr>
        <w:t>24</w:t>
      </w:r>
      <w:r>
        <w:rPr/>
        <w:t>日作为</w:t>
      </w:r>
      <w:r>
        <w:rPr>
          <w:spacing w:val="-74"/>
        </w:rPr>
        <w:t> </w:t>
      </w:r>
      <w:r>
        <w:rPr>
          <w:spacing w:val="-74"/>
        </w:rPr>
      </w:r>
      <w:r>
        <w:rPr/>
        <w:t>股权登记日实施，于</w:t>
      </w:r>
      <w:r>
        <w:rPr>
          <w:rFonts w:ascii="Arial" w:hAnsi="Arial" w:cs="Arial" w:eastAsia="Arial" w:hint="default"/>
        </w:rPr>
        <w:t>2006</w:t>
      </w:r>
      <w:r>
        <w:rPr/>
        <w:t>年</w:t>
      </w:r>
      <w:r>
        <w:rPr>
          <w:rFonts w:ascii="Arial" w:hAnsi="Arial" w:cs="Arial" w:eastAsia="Arial" w:hint="default"/>
        </w:rPr>
        <w:t>2</w:t>
      </w:r>
      <w:r>
        <w:rPr/>
        <w:t>月</w:t>
      </w:r>
      <w:r>
        <w:rPr>
          <w:rFonts w:ascii="Arial" w:hAnsi="Arial" w:cs="Arial" w:eastAsia="Arial" w:hint="default"/>
        </w:rPr>
        <w:t>28</w:t>
      </w:r>
      <w:r>
        <w:rPr/>
        <w:t>日实施后首次复牌。根据中国证监会《上市公司</w:t>
      </w:r>
      <w:r>
        <w:rPr>
          <w:w w:val="100"/>
        </w:rPr>
        <w:t> </w:t>
      </w:r>
      <w:r>
        <w:rPr/>
        <w:t>股权分置改革管理办法》的规定以及用友软件的限售股份持有人在《用友软件股份</w:t>
      </w:r>
      <w:r>
        <w:rPr>
          <w:w w:val="100"/>
        </w:rPr>
        <w:t> </w:t>
      </w:r>
      <w:r>
        <w:rPr/>
        <w:t>有限公司股权分置改革说明书》中作出的承诺，</w:t>
      </w:r>
      <w:r>
        <w:rPr>
          <w:rFonts w:ascii="Arial" w:hAnsi="Arial" w:cs="Arial" w:eastAsia="Arial" w:hint="default"/>
        </w:rPr>
        <w:t>2008</w:t>
      </w:r>
      <w:r>
        <w:rPr/>
        <w:t>年</w:t>
      </w:r>
      <w:r>
        <w:rPr>
          <w:rFonts w:ascii="Arial" w:hAnsi="Arial" w:cs="Arial" w:eastAsia="Arial" w:hint="default"/>
        </w:rPr>
        <w:t>2</w:t>
      </w:r>
      <w:r>
        <w:rPr/>
        <w:t>月</w:t>
      </w:r>
      <w:r>
        <w:rPr>
          <w:rFonts w:ascii="Arial" w:hAnsi="Arial" w:cs="Arial" w:eastAsia="Arial" w:hint="default"/>
        </w:rPr>
        <w:t>28</w:t>
      </w:r>
      <w:r>
        <w:rPr/>
        <w:t>日公司限售股份持有</w:t>
      </w:r>
      <w:r>
        <w:rPr>
          <w:w w:val="100"/>
        </w:rPr>
        <w:t> </w:t>
      </w:r>
      <w:r>
        <w:rPr/>
        <w:t>人所持有的部分限售股份共计</w:t>
      </w:r>
      <w:r>
        <w:rPr>
          <w:rFonts w:ascii="Arial" w:hAnsi="Arial" w:cs="Arial" w:eastAsia="Arial" w:hint="default"/>
        </w:rPr>
        <w:t>28,080,000</w:t>
      </w:r>
      <w:r>
        <w:rPr/>
        <w:t>股上市流通。</w:t>
      </w:r>
    </w:p>
    <w:p>
      <w:pPr>
        <w:spacing w:line="240" w:lineRule="auto" w:before="3"/>
        <w:rPr>
          <w:rFonts w:ascii="黑体" w:hAnsi="黑体" w:cs="黑体" w:eastAsia="黑体" w:hint="default"/>
          <w:sz w:val="13"/>
          <w:szCs w:val="13"/>
        </w:rPr>
      </w:pPr>
    </w:p>
    <w:p>
      <w:pPr>
        <w:spacing w:after="0" w:line="240" w:lineRule="auto"/>
        <w:rPr>
          <w:rFonts w:ascii="黑体" w:hAnsi="黑体" w:cs="黑体" w:eastAsia="黑体" w:hint="default"/>
          <w:sz w:val="13"/>
          <w:szCs w:val="13"/>
        </w:rPr>
        <w:sectPr>
          <w:footerReference w:type="default" r:id="rId65"/>
          <w:pgSz w:w="11910" w:h="16840"/>
          <w:pgMar w:footer="476" w:header="0" w:top="2240" w:bottom="660" w:left="1600" w:right="1540"/>
          <w:pgNumType w:start="95"/>
        </w:sectPr>
      </w:pPr>
    </w:p>
    <w:p>
      <w:pPr>
        <w:spacing w:line="206" w:lineRule="exact" w:before="72"/>
        <w:ind w:left="1943" w:right="0" w:firstLine="0"/>
        <w:jc w:val="right"/>
        <w:rPr>
          <w:rFonts w:ascii="黑体" w:hAnsi="黑体" w:cs="黑体" w:eastAsia="黑体" w:hint="default"/>
          <w:sz w:val="16"/>
          <w:szCs w:val="16"/>
        </w:rPr>
      </w:pPr>
      <w:r>
        <w:rPr>
          <w:rFonts w:ascii="黑体" w:hAnsi="黑体" w:cs="黑体" w:eastAsia="黑体" w:hint="default"/>
          <w:w w:val="95"/>
          <w:sz w:val="16"/>
          <w:szCs w:val="16"/>
        </w:rPr>
        <w:t>持有有限售条件</w:t>
      </w:r>
      <w:r>
        <w:rPr>
          <w:rFonts w:ascii="黑体" w:hAnsi="黑体" w:cs="黑体" w:eastAsia="黑体" w:hint="default"/>
          <w:spacing w:val="-23"/>
          <w:w w:val="95"/>
          <w:sz w:val="16"/>
          <w:szCs w:val="16"/>
        </w:rPr>
        <w:t> </w:t>
      </w:r>
      <w:r>
        <w:rPr>
          <w:rFonts w:ascii="黑体" w:hAnsi="黑体" w:cs="黑体" w:eastAsia="黑体" w:hint="default"/>
          <w:spacing w:val="-23"/>
          <w:w w:val="95"/>
          <w:sz w:val="16"/>
          <w:szCs w:val="16"/>
        </w:rPr>
      </w:r>
      <w:r>
        <w:rPr>
          <w:rFonts w:ascii="黑体" w:hAnsi="黑体" w:cs="黑体" w:eastAsia="黑体" w:hint="default"/>
          <w:w w:val="95"/>
          <w:sz w:val="16"/>
          <w:szCs w:val="16"/>
        </w:rPr>
        <w:t>的流通股年初股</w:t>
      </w:r>
      <w:r>
        <w:rPr>
          <w:rFonts w:ascii="黑体" w:hAnsi="黑体" w:cs="黑体" w:eastAsia="黑体" w:hint="default"/>
          <w:sz w:val="16"/>
          <w:szCs w:val="16"/>
        </w:rPr>
      </w:r>
    </w:p>
    <w:p>
      <w:pPr>
        <w:spacing w:line="206" w:lineRule="exact" w:before="72"/>
        <w:ind w:left="99" w:right="0" w:firstLine="0"/>
        <w:jc w:val="left"/>
        <w:rPr>
          <w:rFonts w:ascii="黑体" w:hAnsi="黑体" w:cs="黑体" w:eastAsia="黑体" w:hint="default"/>
          <w:sz w:val="16"/>
          <w:szCs w:val="16"/>
        </w:rPr>
      </w:pPr>
      <w:r>
        <w:rPr>
          <w:w w:val="95"/>
        </w:rPr>
        <w:br w:type="column"/>
      </w:r>
      <w:r>
        <w:rPr>
          <w:rFonts w:ascii="黑体" w:hAnsi="黑体" w:cs="黑体" w:eastAsia="黑体" w:hint="default"/>
          <w:w w:val="95"/>
          <w:sz w:val="16"/>
          <w:szCs w:val="16"/>
        </w:rPr>
        <w:t>持有有限售条件的</w:t>
      </w:r>
      <w:r>
        <w:rPr>
          <w:rFonts w:ascii="黑体" w:hAnsi="黑体" w:cs="黑体" w:eastAsia="黑体" w:hint="default"/>
          <w:spacing w:val="-14"/>
          <w:w w:val="95"/>
          <w:sz w:val="16"/>
          <w:szCs w:val="16"/>
        </w:rPr>
        <w:t> </w:t>
      </w:r>
      <w:r>
        <w:rPr>
          <w:rFonts w:ascii="黑体" w:hAnsi="黑体" w:cs="黑体" w:eastAsia="黑体" w:hint="default"/>
          <w:spacing w:val="-14"/>
          <w:w w:val="95"/>
          <w:sz w:val="16"/>
          <w:szCs w:val="16"/>
        </w:rPr>
      </w:r>
      <w:r>
        <w:rPr>
          <w:rFonts w:ascii="黑体" w:hAnsi="黑体" w:cs="黑体" w:eastAsia="黑体" w:hint="default"/>
          <w:w w:val="95"/>
          <w:sz w:val="16"/>
          <w:szCs w:val="16"/>
        </w:rPr>
        <w:t>流通股股份占年初</w:t>
      </w:r>
      <w:r>
        <w:rPr>
          <w:rFonts w:ascii="黑体" w:hAnsi="黑体" w:cs="黑体" w:eastAsia="黑体" w:hint="default"/>
          <w:sz w:val="16"/>
          <w:szCs w:val="16"/>
        </w:rPr>
      </w:r>
    </w:p>
    <w:p>
      <w:pPr>
        <w:spacing w:line="240" w:lineRule="auto" w:before="9"/>
        <w:rPr>
          <w:rFonts w:ascii="黑体" w:hAnsi="黑体" w:cs="黑体" w:eastAsia="黑体" w:hint="default"/>
          <w:sz w:val="19"/>
          <w:szCs w:val="19"/>
        </w:rPr>
      </w:pPr>
      <w:r>
        <w:rPr/>
        <w:br w:type="column"/>
      </w:r>
      <w:r>
        <w:rPr>
          <w:rFonts w:ascii="黑体"/>
          <w:sz w:val="19"/>
        </w:rPr>
      </w:r>
    </w:p>
    <w:p>
      <w:pPr>
        <w:spacing w:before="0"/>
        <w:ind w:left="315" w:right="0" w:firstLine="0"/>
        <w:jc w:val="left"/>
        <w:rPr>
          <w:rFonts w:ascii="黑体" w:hAnsi="黑体" w:cs="黑体" w:eastAsia="黑体" w:hint="default"/>
          <w:sz w:val="16"/>
          <w:szCs w:val="16"/>
        </w:rPr>
      </w:pPr>
      <w:r>
        <w:rPr>
          <w:rFonts w:ascii="黑体" w:hAnsi="黑体" w:cs="黑体" w:eastAsia="黑体" w:hint="default"/>
          <w:w w:val="95"/>
          <w:sz w:val="16"/>
          <w:szCs w:val="16"/>
        </w:rPr>
        <w:t>本次上市</w:t>
      </w:r>
      <w:r>
        <w:rPr>
          <w:rFonts w:ascii="黑体" w:hAnsi="黑体" w:cs="黑体" w:eastAsia="黑体" w:hint="default"/>
          <w:sz w:val="16"/>
          <w:szCs w:val="16"/>
        </w:rPr>
      </w:r>
    </w:p>
    <w:p>
      <w:pPr>
        <w:spacing w:line="240" w:lineRule="auto" w:before="9"/>
        <w:rPr>
          <w:rFonts w:ascii="黑体" w:hAnsi="黑体" w:cs="黑体" w:eastAsia="黑体" w:hint="default"/>
          <w:sz w:val="19"/>
          <w:szCs w:val="19"/>
        </w:rPr>
      </w:pPr>
      <w:r>
        <w:rPr/>
        <w:br w:type="column"/>
      </w:r>
      <w:r>
        <w:rPr>
          <w:rFonts w:ascii="黑体"/>
          <w:sz w:val="19"/>
        </w:rPr>
      </w:r>
    </w:p>
    <w:p>
      <w:pPr>
        <w:spacing w:before="0"/>
        <w:ind w:left="313" w:right="0" w:firstLine="0"/>
        <w:jc w:val="left"/>
        <w:rPr>
          <w:rFonts w:ascii="黑体" w:hAnsi="黑体" w:cs="黑体" w:eastAsia="黑体" w:hint="default"/>
          <w:sz w:val="16"/>
          <w:szCs w:val="16"/>
        </w:rPr>
      </w:pPr>
      <w:r>
        <w:rPr>
          <w:rFonts w:ascii="黑体" w:hAnsi="黑体" w:cs="黑体" w:eastAsia="黑体" w:hint="default"/>
          <w:w w:val="95"/>
          <w:sz w:val="16"/>
          <w:szCs w:val="16"/>
        </w:rPr>
        <w:t>资本公积</w:t>
      </w:r>
      <w:r>
        <w:rPr>
          <w:rFonts w:ascii="黑体" w:hAnsi="黑体" w:cs="黑体" w:eastAsia="黑体" w:hint="default"/>
          <w:sz w:val="16"/>
          <w:szCs w:val="16"/>
        </w:rPr>
      </w:r>
    </w:p>
    <w:p>
      <w:pPr>
        <w:spacing w:line="206" w:lineRule="exact" w:before="72"/>
        <w:ind w:left="135" w:right="152" w:firstLine="0"/>
        <w:jc w:val="left"/>
        <w:rPr>
          <w:rFonts w:ascii="黑体" w:hAnsi="黑体" w:cs="黑体" w:eastAsia="黑体" w:hint="default"/>
          <w:sz w:val="16"/>
          <w:szCs w:val="16"/>
        </w:rPr>
      </w:pPr>
      <w:r>
        <w:rPr/>
        <w:br w:type="column"/>
      </w:r>
      <w:r>
        <w:rPr>
          <w:rFonts w:ascii="黑体" w:hAnsi="黑体" w:cs="黑体" w:eastAsia="黑体" w:hint="default"/>
          <w:sz w:val="16"/>
          <w:szCs w:val="16"/>
        </w:rPr>
        <w:t>剩余有限售条</w:t>
      </w:r>
      <w:r>
        <w:rPr>
          <w:rFonts w:ascii="黑体" w:hAnsi="黑体" w:cs="黑体" w:eastAsia="黑体" w:hint="default"/>
          <w:w w:val="99"/>
          <w:sz w:val="16"/>
          <w:szCs w:val="16"/>
        </w:rPr>
        <w:t> </w:t>
      </w:r>
      <w:r>
        <w:rPr>
          <w:rFonts w:ascii="黑体" w:hAnsi="黑体" w:cs="黑体" w:eastAsia="黑体" w:hint="default"/>
          <w:sz w:val="16"/>
          <w:szCs w:val="16"/>
        </w:rPr>
        <w:t>件的流通股股</w:t>
      </w:r>
    </w:p>
    <w:p>
      <w:pPr>
        <w:spacing w:after="0" w:line="206" w:lineRule="exact"/>
        <w:jc w:val="left"/>
        <w:rPr>
          <w:rFonts w:ascii="黑体" w:hAnsi="黑体" w:cs="黑体" w:eastAsia="黑体" w:hint="default"/>
          <w:sz w:val="16"/>
          <w:szCs w:val="16"/>
        </w:rPr>
        <w:sectPr>
          <w:type w:val="continuous"/>
          <w:pgSz w:w="11910" w:h="16840"/>
          <w:pgMar w:top="900" w:bottom="280" w:left="1600" w:right="1540"/>
          <w:cols w:num="5" w:equalWidth="0">
            <w:col w:w="4052" w:space="40"/>
            <w:col w:w="1379" w:space="40"/>
            <w:col w:w="954" w:space="40"/>
            <w:col w:w="953" w:space="40"/>
            <w:col w:w="1272"/>
          </w:cols>
        </w:sectPr>
      </w:pPr>
    </w:p>
    <w:p>
      <w:pPr>
        <w:spacing w:line="190" w:lineRule="exact" w:before="0"/>
        <w:ind w:left="0" w:right="0" w:firstLine="0"/>
        <w:jc w:val="right"/>
        <w:rPr>
          <w:rFonts w:ascii="黑体" w:hAnsi="黑体" w:cs="黑体" w:eastAsia="黑体" w:hint="default"/>
          <w:sz w:val="16"/>
          <w:szCs w:val="16"/>
        </w:rPr>
      </w:pPr>
      <w:r>
        <w:rPr>
          <w:rFonts w:ascii="黑体" w:hAnsi="黑体" w:cs="黑体" w:eastAsia="黑体" w:hint="default"/>
          <w:w w:val="95"/>
          <w:sz w:val="16"/>
          <w:szCs w:val="16"/>
        </w:rPr>
        <w:t>股东名称</w:t>
      </w:r>
      <w:r>
        <w:rPr>
          <w:rFonts w:ascii="黑体" w:hAnsi="黑体" w:cs="黑体" w:eastAsia="黑体" w:hint="default"/>
          <w:sz w:val="16"/>
          <w:szCs w:val="16"/>
        </w:rPr>
      </w:r>
    </w:p>
    <w:p>
      <w:pPr>
        <w:spacing w:line="200" w:lineRule="exact" w:before="0"/>
        <w:ind w:left="1376" w:right="-18" w:firstLine="0"/>
        <w:jc w:val="left"/>
        <w:rPr>
          <w:rFonts w:ascii="Arial" w:hAnsi="Arial" w:cs="Arial" w:eastAsia="Arial" w:hint="default"/>
          <w:sz w:val="16"/>
          <w:szCs w:val="16"/>
        </w:rPr>
      </w:pPr>
      <w:r>
        <w:rPr/>
        <w:br w:type="column"/>
      </w:r>
      <w:r>
        <w:rPr>
          <w:rFonts w:ascii="黑体" w:hAnsi="黑体" w:cs="黑体" w:eastAsia="黑体" w:hint="default"/>
          <w:sz w:val="16"/>
          <w:szCs w:val="16"/>
        </w:rPr>
        <w:t>份数量</w:t>
      </w:r>
      <w:r>
        <w:rPr>
          <w:rFonts w:ascii="黑体" w:hAnsi="黑体" w:cs="黑体" w:eastAsia="黑体" w:hint="default"/>
          <w:spacing w:val="-35"/>
          <w:sz w:val="16"/>
          <w:szCs w:val="16"/>
        </w:rPr>
        <w:t> </w:t>
      </w:r>
      <w:r>
        <w:rPr>
          <w:rFonts w:ascii="黑体" w:hAnsi="黑体" w:cs="黑体" w:eastAsia="黑体" w:hint="default"/>
          <w:sz w:val="16"/>
          <w:szCs w:val="16"/>
        </w:rPr>
        <w:t>公司总股本比例</w:t>
      </w:r>
      <w:r>
        <w:rPr>
          <w:rFonts w:ascii="Arial" w:hAnsi="Arial" w:cs="Arial" w:eastAsia="Arial" w:hint="default"/>
          <w:sz w:val="16"/>
          <w:szCs w:val="16"/>
        </w:rPr>
        <w:t>(%)</w:t>
      </w:r>
    </w:p>
    <w:p>
      <w:pPr>
        <w:spacing w:line="189" w:lineRule="exact" w:before="0"/>
        <w:ind w:left="314" w:right="0" w:firstLine="0"/>
        <w:jc w:val="left"/>
        <w:rPr>
          <w:rFonts w:ascii="黑体" w:hAnsi="黑体" w:cs="黑体" w:eastAsia="黑体" w:hint="default"/>
          <w:sz w:val="16"/>
          <w:szCs w:val="16"/>
        </w:rPr>
      </w:pPr>
      <w:r>
        <w:rPr>
          <w:w w:val="95"/>
        </w:rPr>
        <w:br w:type="column"/>
      </w:r>
      <w:r>
        <w:rPr>
          <w:rFonts w:ascii="黑体" w:hAnsi="黑体" w:cs="黑体" w:eastAsia="黑体" w:hint="default"/>
          <w:w w:val="95"/>
          <w:sz w:val="16"/>
          <w:szCs w:val="16"/>
        </w:rPr>
        <w:t>流通数量</w:t>
      </w:r>
      <w:r>
        <w:rPr>
          <w:rFonts w:ascii="黑体" w:hAnsi="黑体" w:cs="黑体" w:eastAsia="黑体" w:hint="default"/>
          <w:sz w:val="16"/>
          <w:szCs w:val="16"/>
        </w:rPr>
      </w:r>
    </w:p>
    <w:p>
      <w:pPr>
        <w:spacing w:line="189" w:lineRule="exact" w:before="0"/>
        <w:ind w:left="313" w:right="0" w:firstLine="0"/>
        <w:jc w:val="left"/>
        <w:rPr>
          <w:rFonts w:ascii="黑体" w:hAnsi="黑体" w:cs="黑体" w:eastAsia="黑体" w:hint="default"/>
          <w:sz w:val="16"/>
          <w:szCs w:val="16"/>
        </w:rPr>
      </w:pPr>
      <w:r>
        <w:rPr>
          <w:w w:val="95"/>
        </w:rPr>
        <w:br w:type="column"/>
      </w:r>
      <w:r>
        <w:rPr>
          <w:rFonts w:ascii="黑体" w:hAnsi="黑体" w:cs="黑体" w:eastAsia="黑体" w:hint="default"/>
          <w:w w:val="95"/>
          <w:sz w:val="16"/>
          <w:szCs w:val="16"/>
        </w:rPr>
        <w:t>转增股本</w:t>
      </w:r>
      <w:r>
        <w:rPr>
          <w:rFonts w:ascii="黑体" w:hAnsi="黑体" w:cs="黑体" w:eastAsia="黑体" w:hint="default"/>
          <w:sz w:val="16"/>
          <w:szCs w:val="16"/>
        </w:rPr>
      </w:r>
    </w:p>
    <w:p>
      <w:pPr>
        <w:spacing w:line="189" w:lineRule="exact" w:before="0"/>
        <w:ind w:left="616" w:right="0" w:firstLine="0"/>
        <w:jc w:val="left"/>
        <w:rPr>
          <w:rFonts w:ascii="黑体" w:hAnsi="黑体" w:cs="黑体" w:eastAsia="黑体" w:hint="default"/>
          <w:sz w:val="16"/>
          <w:szCs w:val="16"/>
        </w:rPr>
      </w:pPr>
      <w:r>
        <w:rPr/>
        <w:br w:type="column"/>
      </w:r>
      <w:r>
        <w:rPr>
          <w:rFonts w:ascii="黑体" w:hAnsi="黑体" w:cs="黑体" w:eastAsia="黑体" w:hint="default"/>
          <w:sz w:val="16"/>
          <w:szCs w:val="16"/>
        </w:rPr>
        <w:t>份数量</w:t>
      </w:r>
    </w:p>
    <w:p>
      <w:pPr>
        <w:spacing w:after="0" w:line="189" w:lineRule="exact"/>
        <w:jc w:val="left"/>
        <w:rPr>
          <w:rFonts w:ascii="黑体" w:hAnsi="黑体" w:cs="黑体" w:eastAsia="黑体" w:hint="default"/>
          <w:sz w:val="16"/>
          <w:szCs w:val="16"/>
        </w:rPr>
        <w:sectPr>
          <w:type w:val="continuous"/>
          <w:pgSz w:w="11910" w:h="16840"/>
          <w:pgMar w:top="900" w:bottom="280" w:left="1600" w:right="1540"/>
          <w:cols w:num="5" w:equalWidth="0">
            <w:col w:w="2015" w:space="183"/>
            <w:col w:w="3273" w:space="40"/>
            <w:col w:w="954" w:space="40"/>
            <w:col w:w="953" w:space="40"/>
            <w:col w:w="1272"/>
          </w:cols>
        </w:sectPr>
      </w:pPr>
    </w:p>
    <w:p>
      <w:pPr>
        <w:spacing w:line="240" w:lineRule="auto" w:before="10"/>
        <w:rPr>
          <w:rFonts w:ascii="黑体" w:hAnsi="黑体" w:cs="黑体" w:eastAsia="黑体" w:hint="default"/>
          <w:sz w:val="2"/>
          <w:szCs w:val="2"/>
        </w:rPr>
      </w:pPr>
    </w:p>
    <w:tbl>
      <w:tblPr>
        <w:tblW w:w="0" w:type="auto"/>
        <w:jc w:val="left"/>
        <w:tblInd w:w="1341" w:type="dxa"/>
        <w:tblLayout w:type="fixed"/>
        <w:tblCellMar>
          <w:top w:w="0" w:type="dxa"/>
          <w:left w:w="0" w:type="dxa"/>
          <w:bottom w:w="0" w:type="dxa"/>
          <w:right w:w="0" w:type="dxa"/>
        </w:tblCellMar>
        <w:tblLook w:val="01E0"/>
      </w:tblPr>
      <w:tblGrid>
        <w:gridCol w:w="1598"/>
        <w:gridCol w:w="1612"/>
        <w:gridCol w:w="1006"/>
        <w:gridCol w:w="976"/>
        <w:gridCol w:w="1025"/>
        <w:gridCol w:w="1070"/>
      </w:tblGrid>
      <w:tr>
        <w:trPr>
          <w:trHeight w:val="265" w:hRule="exact"/>
        </w:trPr>
        <w:tc>
          <w:tcPr>
            <w:tcW w:w="1598" w:type="dxa"/>
            <w:tcBorders>
              <w:top w:val="nil" w:sz="6" w:space="0" w:color="auto"/>
              <w:left w:val="nil" w:sz="6" w:space="0" w:color="auto"/>
              <w:bottom w:val="nil" w:sz="6" w:space="0" w:color="auto"/>
              <w:right w:val="nil" w:sz="6" w:space="0" w:color="auto"/>
            </w:tcBorders>
          </w:tcPr>
          <w:p>
            <w:pPr>
              <w:pStyle w:val="TableParagraph"/>
              <w:spacing w:line="208" w:lineRule="exact"/>
              <w:ind w:left="35" w:right="0"/>
              <w:jc w:val="left"/>
              <w:rPr>
                <w:rFonts w:ascii="黑体" w:hAnsi="黑体" w:cs="黑体" w:eastAsia="黑体" w:hint="default"/>
                <w:sz w:val="16"/>
                <w:szCs w:val="16"/>
              </w:rPr>
            </w:pPr>
            <w:r>
              <w:rPr>
                <w:rFonts w:ascii="黑体" w:hAnsi="黑体" w:cs="黑体" w:eastAsia="黑体" w:hint="default"/>
                <w:sz w:val="16"/>
                <w:szCs w:val="16"/>
              </w:rPr>
              <w:t>用友科技</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496"/>
              <w:jc w:val="right"/>
              <w:rPr>
                <w:rFonts w:ascii="Arial" w:hAnsi="Arial" w:cs="Arial" w:eastAsia="Arial" w:hint="default"/>
                <w:sz w:val="16"/>
                <w:szCs w:val="16"/>
              </w:rPr>
            </w:pPr>
            <w:r>
              <w:rPr>
                <w:rFonts w:ascii="Arial"/>
                <w:w w:val="95"/>
                <w:sz w:val="16"/>
              </w:rPr>
              <w:t>58,968,000</w:t>
            </w:r>
            <w:r>
              <w:rPr>
                <w:rFonts w:ascii="Arial"/>
                <w:sz w:val="16"/>
              </w:rPr>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84"/>
              <w:jc w:val="right"/>
              <w:rPr>
                <w:rFonts w:ascii="Arial" w:hAnsi="Arial" w:cs="Arial" w:eastAsia="Arial" w:hint="default"/>
                <w:sz w:val="16"/>
                <w:szCs w:val="16"/>
              </w:rPr>
            </w:pPr>
            <w:r>
              <w:rPr>
                <w:rFonts w:ascii="Arial"/>
                <w:w w:val="95"/>
                <w:sz w:val="16"/>
              </w:rPr>
              <w:t>25.49</w:t>
            </w:r>
            <w:r>
              <w:rPr>
                <w:rFonts w:ascii="Arial"/>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67"/>
              <w:jc w:val="right"/>
              <w:rPr>
                <w:rFonts w:ascii="Arial" w:hAnsi="Arial" w:cs="Arial" w:eastAsia="Arial" w:hint="default"/>
                <w:sz w:val="16"/>
                <w:szCs w:val="16"/>
              </w:rPr>
            </w:pPr>
            <w:r>
              <w:rPr>
                <w:rFonts w:ascii="Arial"/>
                <w:w w:val="95"/>
                <w:sz w:val="16"/>
              </w:rPr>
              <w:t>11,232,000</w:t>
            </w:r>
            <w:r>
              <w:rPr>
                <w:rFonts w:ascii="Arial"/>
                <w:sz w:val="16"/>
              </w:rPr>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9"/>
              <w:jc w:val="right"/>
              <w:rPr>
                <w:rFonts w:ascii="Arial" w:hAnsi="Arial" w:cs="Arial" w:eastAsia="Arial" w:hint="default"/>
                <w:sz w:val="16"/>
                <w:szCs w:val="16"/>
              </w:rPr>
            </w:pPr>
            <w:r>
              <w:rPr>
                <w:rFonts w:ascii="Arial"/>
                <w:w w:val="95"/>
                <w:sz w:val="16"/>
              </w:rPr>
              <w:t>47,736,000</w:t>
            </w:r>
            <w:r>
              <w:rPr>
                <w:rFonts w:ascii="Arial"/>
                <w:sz w:val="16"/>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4"/>
              <w:jc w:val="right"/>
              <w:rPr>
                <w:rFonts w:ascii="Arial" w:hAnsi="Arial" w:cs="Arial" w:eastAsia="Arial" w:hint="default"/>
                <w:sz w:val="16"/>
                <w:szCs w:val="16"/>
              </w:rPr>
            </w:pPr>
            <w:r>
              <w:rPr>
                <w:rFonts w:ascii="Arial"/>
                <w:w w:val="95"/>
                <w:sz w:val="16"/>
              </w:rPr>
              <w:t>95,472,000</w:t>
            </w:r>
            <w:r>
              <w:rPr>
                <w:rFonts w:ascii="Arial"/>
                <w:sz w:val="16"/>
              </w:rPr>
            </w:r>
          </w:p>
        </w:tc>
      </w:tr>
      <w:tr>
        <w:trPr>
          <w:trHeight w:val="255" w:hRule="exact"/>
        </w:trPr>
        <w:tc>
          <w:tcPr>
            <w:tcW w:w="1598" w:type="dxa"/>
            <w:tcBorders>
              <w:top w:val="nil" w:sz="6" w:space="0" w:color="auto"/>
              <w:left w:val="nil" w:sz="6" w:space="0" w:color="auto"/>
              <w:bottom w:val="nil" w:sz="6" w:space="0" w:color="auto"/>
              <w:right w:val="nil" w:sz="6" w:space="0" w:color="auto"/>
            </w:tcBorders>
          </w:tcPr>
          <w:p>
            <w:pPr>
              <w:pStyle w:val="TableParagraph"/>
              <w:spacing w:line="198" w:lineRule="exact"/>
              <w:ind w:left="35" w:right="0"/>
              <w:jc w:val="left"/>
              <w:rPr>
                <w:rFonts w:ascii="黑体" w:hAnsi="黑体" w:cs="黑体" w:eastAsia="黑体" w:hint="default"/>
                <w:sz w:val="16"/>
                <w:szCs w:val="16"/>
              </w:rPr>
            </w:pPr>
            <w:r>
              <w:rPr>
                <w:rFonts w:ascii="黑体" w:hAnsi="黑体" w:cs="黑体" w:eastAsia="黑体" w:hint="default"/>
                <w:sz w:val="16"/>
                <w:szCs w:val="16"/>
              </w:rPr>
              <w:t>上海用友科技咨询</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496"/>
              <w:jc w:val="right"/>
              <w:rPr>
                <w:rFonts w:ascii="Arial" w:hAnsi="Arial" w:cs="Arial" w:eastAsia="Arial" w:hint="default"/>
                <w:sz w:val="16"/>
                <w:szCs w:val="16"/>
              </w:rPr>
            </w:pPr>
            <w:r>
              <w:rPr>
                <w:rFonts w:ascii="Arial"/>
                <w:w w:val="95"/>
                <w:sz w:val="16"/>
              </w:rPr>
              <w:t>23,868,000</w:t>
            </w:r>
            <w:r>
              <w:rPr>
                <w:rFonts w:ascii="Arial"/>
                <w:sz w:val="16"/>
              </w:rPr>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84"/>
              <w:jc w:val="right"/>
              <w:rPr>
                <w:rFonts w:ascii="Arial" w:hAnsi="Arial" w:cs="Arial" w:eastAsia="Arial" w:hint="default"/>
                <w:sz w:val="16"/>
                <w:szCs w:val="16"/>
              </w:rPr>
            </w:pPr>
            <w:r>
              <w:rPr>
                <w:rFonts w:ascii="Arial"/>
                <w:w w:val="95"/>
                <w:sz w:val="16"/>
              </w:rPr>
              <w:t>10.32</w:t>
            </w:r>
            <w:r>
              <w:rPr>
                <w:rFonts w:ascii="Arial"/>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67"/>
              <w:jc w:val="right"/>
              <w:rPr>
                <w:rFonts w:ascii="Arial" w:hAnsi="Arial" w:cs="Arial" w:eastAsia="Arial" w:hint="default"/>
                <w:sz w:val="16"/>
                <w:szCs w:val="16"/>
              </w:rPr>
            </w:pPr>
            <w:r>
              <w:rPr>
                <w:rFonts w:ascii="Arial"/>
                <w:w w:val="95"/>
                <w:sz w:val="16"/>
              </w:rPr>
              <w:t>11,232,000</w:t>
            </w:r>
            <w:r>
              <w:rPr>
                <w:rFonts w:ascii="Arial"/>
                <w:sz w:val="16"/>
              </w:rPr>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99"/>
              <w:jc w:val="right"/>
              <w:rPr>
                <w:rFonts w:ascii="Arial" w:hAnsi="Arial" w:cs="Arial" w:eastAsia="Arial" w:hint="default"/>
                <w:sz w:val="16"/>
                <w:szCs w:val="16"/>
              </w:rPr>
            </w:pPr>
            <w:r>
              <w:rPr>
                <w:rFonts w:ascii="Arial"/>
                <w:w w:val="95"/>
                <w:sz w:val="16"/>
              </w:rPr>
              <w:t>12,636,000</w:t>
            </w:r>
            <w:r>
              <w:rPr>
                <w:rFonts w:ascii="Arial"/>
                <w:sz w:val="16"/>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4"/>
              <w:jc w:val="right"/>
              <w:rPr>
                <w:rFonts w:ascii="Arial" w:hAnsi="Arial" w:cs="Arial" w:eastAsia="Arial" w:hint="default"/>
                <w:sz w:val="16"/>
                <w:szCs w:val="16"/>
              </w:rPr>
            </w:pPr>
            <w:r>
              <w:rPr>
                <w:rFonts w:ascii="Arial"/>
                <w:w w:val="95"/>
                <w:sz w:val="16"/>
              </w:rPr>
              <w:t>25,272,000</w:t>
            </w:r>
            <w:r>
              <w:rPr>
                <w:rFonts w:ascii="Arial"/>
                <w:sz w:val="16"/>
              </w:rPr>
            </w:r>
          </w:p>
        </w:tc>
      </w:tr>
      <w:tr>
        <w:trPr>
          <w:trHeight w:val="255" w:hRule="exact"/>
        </w:trPr>
        <w:tc>
          <w:tcPr>
            <w:tcW w:w="1598" w:type="dxa"/>
            <w:tcBorders>
              <w:top w:val="nil" w:sz="6" w:space="0" w:color="auto"/>
              <w:left w:val="nil" w:sz="6" w:space="0" w:color="auto"/>
              <w:bottom w:val="nil" w:sz="6" w:space="0" w:color="auto"/>
              <w:right w:val="nil" w:sz="6" w:space="0" w:color="auto"/>
            </w:tcBorders>
          </w:tcPr>
          <w:p>
            <w:pPr>
              <w:pStyle w:val="TableParagraph"/>
              <w:spacing w:line="198" w:lineRule="exact"/>
              <w:ind w:left="35" w:right="0"/>
              <w:jc w:val="left"/>
              <w:rPr>
                <w:rFonts w:ascii="黑体" w:hAnsi="黑体" w:cs="黑体" w:eastAsia="黑体" w:hint="default"/>
                <w:sz w:val="16"/>
                <w:szCs w:val="16"/>
              </w:rPr>
            </w:pPr>
            <w:r>
              <w:rPr>
                <w:rFonts w:ascii="黑体" w:hAnsi="黑体" w:cs="黑体" w:eastAsia="黑体" w:hint="default"/>
                <w:sz w:val="16"/>
                <w:szCs w:val="16"/>
              </w:rPr>
              <w:t>用友研究所</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496"/>
              <w:jc w:val="right"/>
              <w:rPr>
                <w:rFonts w:ascii="Arial" w:hAnsi="Arial" w:cs="Arial" w:eastAsia="Arial" w:hint="default"/>
                <w:sz w:val="16"/>
                <w:szCs w:val="16"/>
              </w:rPr>
            </w:pPr>
            <w:r>
              <w:rPr>
                <w:rFonts w:ascii="Arial"/>
                <w:w w:val="95"/>
                <w:sz w:val="16"/>
              </w:rPr>
              <w:t>2,808,000</w:t>
            </w:r>
            <w:r>
              <w:rPr>
                <w:rFonts w:ascii="Arial"/>
                <w:sz w:val="16"/>
              </w:rPr>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85"/>
              <w:jc w:val="right"/>
              <w:rPr>
                <w:rFonts w:ascii="Arial" w:hAnsi="Arial" w:cs="Arial" w:eastAsia="Arial" w:hint="default"/>
                <w:sz w:val="16"/>
                <w:szCs w:val="16"/>
              </w:rPr>
            </w:pPr>
            <w:r>
              <w:rPr>
                <w:rFonts w:ascii="Arial"/>
                <w:w w:val="95"/>
                <w:sz w:val="16"/>
              </w:rPr>
              <w:t>1.21</w:t>
            </w:r>
            <w:r>
              <w:rPr>
                <w:rFonts w:ascii="Arial"/>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67"/>
              <w:jc w:val="right"/>
              <w:rPr>
                <w:rFonts w:ascii="Arial" w:hAnsi="Arial" w:cs="Arial" w:eastAsia="Arial" w:hint="default"/>
                <w:sz w:val="16"/>
                <w:szCs w:val="16"/>
              </w:rPr>
            </w:pPr>
            <w:r>
              <w:rPr>
                <w:rFonts w:ascii="Arial"/>
                <w:w w:val="95"/>
                <w:sz w:val="16"/>
              </w:rPr>
              <w:t>2,808,000</w:t>
            </w:r>
            <w:r>
              <w:rPr>
                <w:rFonts w:ascii="Arial"/>
                <w:sz w:val="16"/>
              </w:rPr>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99"/>
              <w:jc w:val="right"/>
              <w:rPr>
                <w:rFonts w:ascii="Arial" w:hAnsi="Arial" w:cs="Arial" w:eastAsia="Arial" w:hint="default"/>
                <w:sz w:val="16"/>
                <w:szCs w:val="16"/>
              </w:rPr>
            </w:pPr>
            <w:r>
              <w:rPr>
                <w:rFonts w:ascii="Arial"/>
                <w:w w:val="99"/>
                <w:sz w:val="16"/>
              </w:rPr>
              <w:t>-</w:t>
            </w:r>
            <w:r>
              <w:rPr>
                <w:rFonts w:ascii="Arial"/>
                <w:sz w:val="16"/>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3"/>
              <w:jc w:val="right"/>
              <w:rPr>
                <w:rFonts w:ascii="Arial" w:hAnsi="Arial" w:cs="Arial" w:eastAsia="Arial" w:hint="default"/>
                <w:sz w:val="16"/>
                <w:szCs w:val="16"/>
              </w:rPr>
            </w:pPr>
            <w:r>
              <w:rPr>
                <w:rFonts w:ascii="Arial"/>
                <w:w w:val="99"/>
                <w:sz w:val="16"/>
              </w:rPr>
              <w:t>-</w:t>
            </w:r>
            <w:r>
              <w:rPr>
                <w:rFonts w:ascii="Arial"/>
                <w:sz w:val="16"/>
              </w:rPr>
            </w:r>
          </w:p>
        </w:tc>
      </w:tr>
      <w:tr>
        <w:trPr>
          <w:trHeight w:val="255" w:hRule="exact"/>
        </w:trPr>
        <w:tc>
          <w:tcPr>
            <w:tcW w:w="1598" w:type="dxa"/>
            <w:tcBorders>
              <w:top w:val="nil" w:sz="6" w:space="0" w:color="auto"/>
              <w:left w:val="nil" w:sz="6" w:space="0" w:color="auto"/>
              <w:bottom w:val="nil" w:sz="6" w:space="0" w:color="auto"/>
              <w:right w:val="nil" w:sz="6" w:space="0" w:color="auto"/>
            </w:tcBorders>
          </w:tcPr>
          <w:p>
            <w:pPr>
              <w:pStyle w:val="TableParagraph"/>
              <w:spacing w:line="198" w:lineRule="exact"/>
              <w:ind w:left="35" w:right="0"/>
              <w:jc w:val="left"/>
              <w:rPr>
                <w:rFonts w:ascii="黑体" w:hAnsi="黑体" w:cs="黑体" w:eastAsia="黑体" w:hint="default"/>
                <w:sz w:val="16"/>
                <w:szCs w:val="16"/>
              </w:rPr>
            </w:pPr>
            <w:r>
              <w:rPr>
                <w:rFonts w:ascii="黑体" w:hAnsi="黑体" w:cs="黑体" w:eastAsia="黑体" w:hint="default"/>
                <w:sz w:val="16"/>
                <w:szCs w:val="16"/>
              </w:rPr>
              <w:t>上海益倍</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496"/>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14"/>
                <w:sz w:val="16"/>
                <w:u w:val="single" w:color="000000"/>
              </w:rPr>
              <w:t> </w:t>
            </w:r>
            <w:r>
              <w:rPr>
                <w:rFonts w:ascii="Arial"/>
                <w:w w:val="95"/>
                <w:sz w:val="16"/>
                <w:u w:val="single" w:color="000000"/>
              </w:rPr>
              <w:t>2,808,000</w:t>
            </w:r>
            <w:r>
              <w:rPr>
                <w:rFonts w:ascii="Arial"/>
                <w:w w:val="95"/>
                <w:sz w:val="16"/>
              </w:rPr>
            </w:r>
            <w:r>
              <w:rPr>
                <w:rFonts w:ascii="Arial"/>
                <w:sz w:val="16"/>
              </w:rPr>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84"/>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pacing w:val="21"/>
                <w:sz w:val="16"/>
                <w:u w:val="single" w:color="000000"/>
              </w:rPr>
              <w:t> </w:t>
            </w:r>
            <w:r>
              <w:rPr>
                <w:rFonts w:ascii="Arial"/>
                <w:w w:val="95"/>
                <w:sz w:val="16"/>
                <w:u w:val="single" w:color="000000"/>
              </w:rPr>
              <w:t>1.21</w:t>
            </w:r>
            <w:r>
              <w:rPr>
                <w:rFonts w:ascii="Arial"/>
                <w:w w:val="95"/>
                <w:sz w:val="16"/>
              </w:rPr>
            </w:r>
            <w:r>
              <w:rPr>
                <w:rFonts w:ascii="Arial"/>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67"/>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pacing w:val="21"/>
                <w:sz w:val="16"/>
                <w:u w:val="single" w:color="000000"/>
              </w:rPr>
              <w:t> </w:t>
            </w:r>
            <w:r>
              <w:rPr>
                <w:rFonts w:ascii="Arial"/>
                <w:w w:val="95"/>
                <w:sz w:val="16"/>
                <w:u w:val="single" w:color="000000"/>
              </w:rPr>
              <w:t>2,808,000</w:t>
            </w:r>
            <w:r>
              <w:rPr>
                <w:rFonts w:ascii="Arial"/>
                <w:w w:val="95"/>
                <w:sz w:val="16"/>
              </w:rPr>
            </w:r>
            <w:r>
              <w:rPr>
                <w:rFonts w:ascii="Arial"/>
                <w:sz w:val="16"/>
              </w:rPr>
            </w:r>
          </w:p>
        </w:tc>
        <w:tc>
          <w:tcPr>
            <w:tcW w:w="1025" w:type="dxa"/>
            <w:tcBorders>
              <w:top w:val="nil" w:sz="6" w:space="0" w:color="auto"/>
              <w:left w:val="nil" w:sz="6" w:space="0" w:color="auto"/>
              <w:bottom w:val="nil" w:sz="6" w:space="0" w:color="auto"/>
              <w:right w:val="nil" w:sz="6" w:space="0" w:color="auto"/>
            </w:tcBorders>
          </w:tcPr>
          <w:p>
            <w:pPr>
              <w:pStyle w:val="TableParagraph"/>
              <w:tabs>
                <w:tab w:pos="801" w:val="left" w:leader="none"/>
              </w:tabs>
              <w:spacing w:line="240" w:lineRule="auto" w:before="36"/>
              <w:ind w:right="98"/>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r>
            <w:r>
              <w:rPr>
                <w:rFonts w:ascii="Arial"/>
                <w:w w:val="95"/>
                <w:sz w:val="16"/>
                <w:u w:val="single" w:color="000000"/>
              </w:rPr>
              <w:t>-</w:t>
            </w:r>
            <w:r>
              <w:rPr>
                <w:rFonts w:ascii="Arial"/>
                <w:w w:val="95"/>
                <w:sz w:val="16"/>
              </w:rPr>
            </w:r>
            <w:r>
              <w:rPr>
                <w:rFonts w:ascii="Arial"/>
                <w:sz w:val="16"/>
              </w:rPr>
            </w:r>
          </w:p>
        </w:tc>
        <w:tc>
          <w:tcPr>
            <w:tcW w:w="1070" w:type="dxa"/>
            <w:tcBorders>
              <w:top w:val="nil" w:sz="6" w:space="0" w:color="auto"/>
              <w:left w:val="nil" w:sz="6" w:space="0" w:color="auto"/>
              <w:bottom w:val="nil" w:sz="6" w:space="0" w:color="auto"/>
              <w:right w:val="nil" w:sz="6" w:space="0" w:color="auto"/>
            </w:tcBorders>
          </w:tcPr>
          <w:p>
            <w:pPr>
              <w:pStyle w:val="TableParagraph"/>
              <w:tabs>
                <w:tab w:pos="880" w:val="left" w:leader="none"/>
              </w:tabs>
              <w:spacing w:line="240" w:lineRule="auto" w:before="36"/>
              <w:ind w:right="33"/>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r>
            <w:r>
              <w:rPr>
                <w:rFonts w:ascii="Arial"/>
                <w:w w:val="95"/>
                <w:sz w:val="16"/>
                <w:u w:val="single" w:color="000000"/>
              </w:rPr>
              <w:t>-</w:t>
            </w:r>
            <w:r>
              <w:rPr>
                <w:rFonts w:ascii="Arial"/>
                <w:w w:val="95"/>
                <w:sz w:val="16"/>
              </w:rPr>
            </w:r>
            <w:r>
              <w:rPr>
                <w:rFonts w:ascii="Arial"/>
                <w:sz w:val="16"/>
              </w:rPr>
            </w:r>
          </w:p>
        </w:tc>
      </w:tr>
      <w:tr>
        <w:trPr>
          <w:trHeight w:val="316" w:hRule="exact"/>
        </w:trPr>
        <w:tc>
          <w:tcPr>
            <w:tcW w:w="1598" w:type="dxa"/>
            <w:tcBorders>
              <w:top w:val="nil" w:sz="6" w:space="0" w:color="auto"/>
              <w:left w:val="nil" w:sz="6" w:space="0" w:color="auto"/>
              <w:bottom w:val="nil" w:sz="6" w:space="0" w:color="auto"/>
              <w:right w:val="nil" w:sz="6" w:space="0" w:color="auto"/>
            </w:tcBorders>
          </w:tcPr>
          <w:p>
            <w:pPr>
              <w:pStyle w:val="TableParagraph"/>
              <w:spacing w:line="198" w:lineRule="exact"/>
              <w:ind w:left="35" w:right="0"/>
              <w:jc w:val="left"/>
              <w:rPr>
                <w:rFonts w:ascii="黑体" w:hAnsi="黑体" w:cs="黑体" w:eastAsia="黑体" w:hint="default"/>
                <w:sz w:val="16"/>
                <w:szCs w:val="16"/>
              </w:rPr>
            </w:pPr>
            <w:r>
              <w:rPr>
                <w:rFonts w:ascii="黑体" w:hAnsi="黑体" w:cs="黑体" w:eastAsia="黑体" w:hint="default"/>
                <w:sz w:val="16"/>
                <w:szCs w:val="16"/>
              </w:rPr>
              <w:t>合计</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496"/>
              <w:jc w:val="right"/>
              <w:rPr>
                <w:rFonts w:ascii="Arial" w:hAnsi="Arial" w:cs="Arial" w:eastAsia="Arial" w:hint="default"/>
                <w:sz w:val="16"/>
                <w:szCs w:val="16"/>
              </w:rPr>
            </w:pPr>
            <w:r>
              <w:rPr>
                <w:rFonts w:ascii="Arial"/>
                <w:w w:val="99"/>
                <w:sz w:val="16"/>
              </w:rPr>
            </w:r>
            <w:r>
              <w:rPr>
                <w:rFonts w:ascii="Arial"/>
                <w:w w:val="95"/>
                <w:sz w:val="16"/>
                <w:u w:val="thick" w:color="000000"/>
              </w:rPr>
              <w:t>88,452,000</w:t>
            </w:r>
            <w:r>
              <w:rPr>
                <w:rFonts w:ascii="Arial"/>
                <w:w w:val="95"/>
                <w:sz w:val="16"/>
              </w:rPr>
            </w:r>
            <w:r>
              <w:rPr>
                <w:rFonts w:ascii="Arial"/>
                <w:sz w:val="16"/>
              </w:rPr>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84"/>
              <w:jc w:val="right"/>
              <w:rPr>
                <w:rFonts w:ascii="Arial" w:hAnsi="Arial" w:cs="Arial" w:eastAsia="Arial" w:hint="default"/>
                <w:sz w:val="16"/>
                <w:szCs w:val="16"/>
              </w:rPr>
            </w:pPr>
            <w:r>
              <w:rPr>
                <w:rFonts w:ascii="Arial"/>
                <w:w w:val="99"/>
                <w:sz w:val="16"/>
              </w:rPr>
            </w:r>
            <w:r>
              <w:rPr>
                <w:rFonts w:ascii="Arial"/>
                <w:w w:val="95"/>
                <w:sz w:val="16"/>
                <w:u w:val="thick" w:color="000000"/>
              </w:rPr>
              <w:t>38.23</w:t>
            </w:r>
            <w:r>
              <w:rPr>
                <w:rFonts w:ascii="Arial"/>
                <w:w w:val="95"/>
                <w:sz w:val="16"/>
              </w:rPr>
            </w:r>
            <w:r>
              <w:rPr>
                <w:rFonts w:ascii="Arial"/>
                <w:sz w:val="16"/>
              </w:rPr>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67"/>
              <w:jc w:val="right"/>
              <w:rPr>
                <w:rFonts w:ascii="Arial" w:hAnsi="Arial" w:cs="Arial" w:eastAsia="Arial" w:hint="default"/>
                <w:sz w:val="16"/>
                <w:szCs w:val="16"/>
              </w:rPr>
            </w:pPr>
            <w:r>
              <w:rPr>
                <w:rFonts w:ascii="Arial"/>
                <w:w w:val="99"/>
                <w:sz w:val="16"/>
              </w:rPr>
            </w:r>
            <w:r>
              <w:rPr>
                <w:rFonts w:ascii="Arial"/>
                <w:w w:val="95"/>
                <w:sz w:val="16"/>
                <w:u w:val="thick" w:color="000000"/>
              </w:rPr>
              <w:t>28,080,000</w:t>
            </w:r>
            <w:r>
              <w:rPr>
                <w:rFonts w:ascii="Arial"/>
                <w:w w:val="95"/>
                <w:sz w:val="16"/>
              </w:rPr>
            </w:r>
            <w:r>
              <w:rPr>
                <w:rFonts w:ascii="Arial"/>
                <w:sz w:val="16"/>
              </w:rPr>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99"/>
              <w:jc w:val="right"/>
              <w:rPr>
                <w:rFonts w:ascii="Arial" w:hAnsi="Arial" w:cs="Arial" w:eastAsia="Arial" w:hint="default"/>
                <w:sz w:val="16"/>
                <w:szCs w:val="16"/>
              </w:rPr>
            </w:pPr>
            <w:r>
              <w:rPr>
                <w:rFonts w:ascii="Arial"/>
                <w:w w:val="99"/>
                <w:sz w:val="16"/>
              </w:rPr>
            </w:r>
            <w:r>
              <w:rPr>
                <w:rFonts w:ascii="Arial"/>
                <w:w w:val="95"/>
                <w:sz w:val="16"/>
                <w:u w:val="thick" w:color="000000"/>
              </w:rPr>
              <w:t>60,372,000</w:t>
            </w:r>
            <w:r>
              <w:rPr>
                <w:rFonts w:ascii="Arial"/>
                <w:w w:val="95"/>
                <w:sz w:val="16"/>
              </w:rPr>
            </w:r>
            <w:r>
              <w:rPr>
                <w:rFonts w:ascii="Arial"/>
                <w:sz w:val="16"/>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3"/>
              <w:jc w:val="right"/>
              <w:rPr>
                <w:rFonts w:ascii="Arial" w:hAnsi="Arial" w:cs="Arial" w:eastAsia="Arial" w:hint="default"/>
                <w:sz w:val="16"/>
                <w:szCs w:val="16"/>
              </w:rPr>
            </w:pPr>
            <w:r>
              <w:rPr>
                <w:rFonts w:ascii="Arial"/>
                <w:w w:val="99"/>
                <w:sz w:val="16"/>
              </w:rPr>
            </w:r>
            <w:r>
              <w:rPr>
                <w:rFonts w:ascii="Arial"/>
                <w:w w:val="95"/>
                <w:sz w:val="16"/>
                <w:u w:val="thick" w:color="000000"/>
              </w:rPr>
              <w:t>120,744,000</w:t>
            </w:r>
            <w:r>
              <w:rPr>
                <w:rFonts w:ascii="Arial"/>
                <w:w w:val="95"/>
                <w:sz w:val="16"/>
              </w:rPr>
            </w:r>
            <w:r>
              <w:rPr>
                <w:rFonts w:ascii="Arial"/>
                <w:sz w:val="16"/>
              </w:rPr>
            </w:r>
          </w:p>
        </w:tc>
      </w:tr>
    </w:tbl>
    <w:p>
      <w:pPr>
        <w:spacing w:line="240" w:lineRule="auto" w:before="3"/>
        <w:rPr>
          <w:rFonts w:ascii="黑体" w:hAnsi="黑体" w:cs="黑体" w:eastAsia="黑体" w:hint="default"/>
          <w:sz w:val="10"/>
          <w:szCs w:val="10"/>
        </w:rPr>
      </w:pPr>
    </w:p>
    <w:p>
      <w:pPr>
        <w:pStyle w:val="BodyText"/>
        <w:spacing w:line="260" w:lineRule="exact" w:before="64"/>
        <w:ind w:left="1377" w:right="155" w:hanging="562"/>
        <w:jc w:val="both"/>
      </w:pPr>
      <w:r>
        <w:rPr/>
        <w:t>注</w:t>
      </w:r>
      <w:r>
        <w:rPr>
          <w:rFonts w:ascii="Arial" w:hAnsi="Arial" w:cs="Arial" w:eastAsia="Arial" w:hint="default"/>
        </w:rPr>
        <w:t>2.</w:t>
      </w:r>
      <w:r>
        <w:rPr>
          <w:rFonts w:ascii="Arial" w:hAnsi="Arial" w:cs="Arial" w:eastAsia="Arial" w:hint="default"/>
          <w:spacing w:val="15"/>
        </w:rPr>
        <w:t> </w:t>
      </w:r>
      <w:r>
        <w:rPr>
          <w:rFonts w:ascii="Arial" w:hAnsi="Arial" w:cs="Arial" w:eastAsia="Arial" w:hint="default"/>
        </w:rPr>
        <w:t>2008</w:t>
      </w:r>
      <w:r>
        <w:rPr/>
        <w:t>年</w:t>
      </w:r>
      <w:r>
        <w:rPr>
          <w:rFonts w:ascii="Arial" w:hAnsi="Arial" w:cs="Arial" w:eastAsia="Arial" w:hint="default"/>
        </w:rPr>
        <w:t>8</w:t>
      </w:r>
      <w:r>
        <w:rPr/>
        <w:t>月</w:t>
      </w:r>
      <w:r>
        <w:rPr>
          <w:rFonts w:ascii="Arial" w:hAnsi="Arial" w:cs="Arial" w:eastAsia="Arial" w:hint="default"/>
        </w:rPr>
        <w:t>8</w:t>
      </w:r>
      <w:r>
        <w:rPr/>
        <w:t>日</w:t>
      </w:r>
      <w:r>
        <w:rPr>
          <w:rFonts w:ascii="Arial" w:hAnsi="Arial" w:cs="Arial" w:eastAsia="Arial" w:hint="default"/>
        </w:rPr>
        <w:t>,</w:t>
      </w:r>
      <w:r>
        <w:rPr/>
        <w:t>本公司于</w:t>
      </w:r>
      <w:r>
        <w:rPr>
          <w:rFonts w:ascii="Arial" w:hAnsi="Arial" w:cs="Arial" w:eastAsia="Arial" w:hint="default"/>
        </w:rPr>
        <w:t>2007</w:t>
      </w:r>
      <w:r>
        <w:rPr/>
        <w:t>年</w:t>
      </w:r>
      <w:r>
        <w:rPr>
          <w:rFonts w:ascii="Arial" w:hAnsi="Arial" w:cs="Arial" w:eastAsia="Arial" w:hint="default"/>
        </w:rPr>
        <w:t>8</w:t>
      </w:r>
      <w:r>
        <w:rPr/>
        <w:t>月</w:t>
      </w:r>
      <w:r>
        <w:rPr>
          <w:rFonts w:ascii="Arial" w:hAnsi="Arial" w:cs="Arial" w:eastAsia="Arial" w:hint="default"/>
        </w:rPr>
        <w:t>8</w:t>
      </w:r>
      <w:r>
        <w:rPr/>
        <w:t>日向符合授予条件的股权激励对象授予的</w:t>
      </w:r>
      <w:r>
        <w:rPr>
          <w:rFonts w:ascii="Arial" w:hAnsi="Arial" w:cs="Arial" w:eastAsia="Arial" w:hint="default"/>
        </w:rPr>
        <w:t>2007</w:t>
      </w:r>
      <w:r>
        <w:rPr>
          <w:rFonts w:ascii="Arial" w:hAnsi="Arial" w:cs="Arial" w:eastAsia="Arial" w:hint="default"/>
          <w:w w:val="100"/>
        </w:rPr>
        <w:t> </w:t>
      </w:r>
      <w:r>
        <w:rPr/>
        <w:t>年度股票部分已达到解锁条件</w:t>
      </w:r>
      <w:r>
        <w:rPr>
          <w:rFonts w:ascii="Arial" w:hAnsi="Arial" w:cs="Arial" w:eastAsia="Arial" w:hint="default"/>
        </w:rPr>
        <w:t>,</w:t>
      </w:r>
      <w:r>
        <w:rPr/>
        <w:t>本次解锁的已授出股权激励股份数量为</w:t>
      </w:r>
      <w:r>
        <w:rPr>
          <w:rFonts w:ascii="Arial" w:hAnsi="Arial" w:cs="Arial" w:eastAsia="Arial" w:hint="default"/>
        </w:rPr>
        <w:t>8,038,320</w:t>
      </w:r>
      <w:r>
        <w:rPr/>
        <w:t>股</w:t>
      </w:r>
      <w:r>
        <w:rPr>
          <w:rFonts w:ascii="Arial" w:hAnsi="Arial" w:cs="Arial" w:eastAsia="Arial" w:hint="default"/>
        </w:rPr>
        <w:t>,</w:t>
      </w:r>
      <w:r>
        <w:rPr>
          <w:rFonts w:ascii="Arial" w:hAnsi="Arial" w:cs="Arial" w:eastAsia="Arial" w:hint="default"/>
          <w:w w:val="100"/>
        </w:rPr>
        <w:t> </w:t>
      </w:r>
      <w:r>
        <w:rPr/>
        <w:t>可上市流通日为</w:t>
      </w:r>
      <w:r>
        <w:rPr>
          <w:rFonts w:ascii="Arial" w:hAnsi="Arial" w:cs="Arial" w:eastAsia="Arial" w:hint="default"/>
        </w:rPr>
        <w:t>2008</w:t>
      </w:r>
      <w:r>
        <w:rPr/>
        <w:t>年</w:t>
      </w:r>
      <w:r>
        <w:rPr>
          <w:rFonts w:ascii="Arial" w:hAnsi="Arial" w:cs="Arial" w:eastAsia="Arial" w:hint="default"/>
        </w:rPr>
        <w:t>8</w:t>
      </w:r>
      <w:r>
        <w:rPr/>
        <w:t>月</w:t>
      </w:r>
      <w:r>
        <w:rPr>
          <w:rFonts w:ascii="Arial" w:hAnsi="Arial" w:cs="Arial" w:eastAsia="Arial" w:hint="default"/>
        </w:rPr>
        <w:t>8</w:t>
      </w:r>
      <w:r>
        <w:rPr/>
        <w:t>日。</w:t>
      </w:r>
    </w:p>
    <w:p>
      <w:pPr>
        <w:spacing w:line="240" w:lineRule="auto" w:before="12"/>
        <w:rPr>
          <w:rFonts w:ascii="黑体" w:hAnsi="黑体" w:cs="黑体" w:eastAsia="黑体" w:hint="default"/>
          <w:sz w:val="22"/>
          <w:szCs w:val="22"/>
        </w:rPr>
      </w:pPr>
    </w:p>
    <w:p>
      <w:pPr>
        <w:pStyle w:val="BodyText"/>
        <w:spacing w:line="225" w:lineRule="auto"/>
        <w:ind w:left="1377" w:right="155" w:hanging="562"/>
        <w:jc w:val="both"/>
      </w:pPr>
      <w:r>
        <w:rPr/>
        <w:t>注</w:t>
      </w:r>
      <w:r>
        <w:rPr>
          <w:rFonts w:ascii="Arial" w:hAnsi="Arial" w:cs="Arial" w:eastAsia="Arial" w:hint="default"/>
        </w:rPr>
        <w:t>3.</w:t>
      </w:r>
      <w:r>
        <w:rPr>
          <w:rFonts w:ascii="Arial" w:hAnsi="Arial" w:cs="Arial" w:eastAsia="Arial" w:hint="default"/>
          <w:spacing w:val="24"/>
        </w:rPr>
        <w:t> </w:t>
      </w:r>
      <w:r>
        <w:rPr/>
        <w:t>经本公司于</w:t>
      </w:r>
      <w:r>
        <w:rPr>
          <w:rFonts w:ascii="Arial" w:hAnsi="Arial" w:cs="Arial" w:eastAsia="Arial" w:hint="default"/>
        </w:rPr>
        <w:t>2008</w:t>
      </w:r>
      <w:r>
        <w:rPr/>
        <w:t>年</w:t>
      </w:r>
      <w:r>
        <w:rPr>
          <w:rFonts w:ascii="Arial" w:hAnsi="Arial" w:cs="Arial" w:eastAsia="Arial" w:hint="default"/>
        </w:rPr>
        <w:t>3</w:t>
      </w:r>
      <w:r>
        <w:rPr/>
        <w:t>月</w:t>
      </w:r>
      <w:r>
        <w:rPr>
          <w:rFonts w:ascii="Arial" w:hAnsi="Arial" w:cs="Arial" w:eastAsia="Arial" w:hint="default"/>
        </w:rPr>
        <w:t>26</w:t>
      </w:r>
      <w:r>
        <w:rPr/>
        <w:t>日召开的股东大会决议通过的《公司</w:t>
      </w:r>
      <w:r>
        <w:rPr>
          <w:rFonts w:ascii="Arial" w:hAnsi="Arial" w:cs="Arial" w:eastAsia="Arial" w:hint="default"/>
        </w:rPr>
        <w:t>2007</w:t>
      </w:r>
      <w:r>
        <w:rPr/>
        <w:t>年度资本公积金</w:t>
      </w:r>
      <w:r>
        <w:rPr>
          <w:w w:val="100"/>
        </w:rPr>
        <w:t> </w:t>
      </w:r>
      <w:r>
        <w:rPr>
          <w:spacing w:val="-3"/>
        </w:rPr>
        <w:t>转增股本议案》，本公司以</w:t>
      </w:r>
      <w:r>
        <w:rPr>
          <w:rFonts w:ascii="Arial" w:hAnsi="Arial" w:cs="Arial" w:eastAsia="Arial" w:hint="default"/>
          <w:spacing w:val="-3"/>
        </w:rPr>
        <w:t>2007</w:t>
      </w:r>
      <w:r>
        <w:rPr>
          <w:spacing w:val="-3"/>
        </w:rPr>
        <w:t>年末总股本扣除截止到</w:t>
      </w:r>
      <w:r>
        <w:rPr>
          <w:rFonts w:ascii="Arial" w:hAnsi="Arial" w:cs="Arial" w:eastAsia="Arial" w:hint="default"/>
          <w:spacing w:val="-3"/>
        </w:rPr>
        <w:t>2008</w:t>
      </w:r>
      <w:r>
        <w:rPr>
          <w:spacing w:val="-3"/>
        </w:rPr>
        <w:t>年</w:t>
      </w:r>
      <w:r>
        <w:rPr>
          <w:rFonts w:ascii="Arial" w:hAnsi="Arial" w:cs="Arial" w:eastAsia="Arial" w:hint="default"/>
          <w:spacing w:val="-3"/>
        </w:rPr>
        <w:t>3</w:t>
      </w:r>
      <w:r>
        <w:rPr>
          <w:spacing w:val="-3"/>
        </w:rPr>
        <w:t>月</w:t>
      </w:r>
      <w:r>
        <w:rPr>
          <w:rFonts w:ascii="Arial" w:hAnsi="Arial" w:cs="Arial" w:eastAsia="Arial" w:hint="default"/>
          <w:spacing w:val="-3"/>
        </w:rPr>
        <w:t>3</w:t>
      </w:r>
      <w:r>
        <w:rPr>
          <w:spacing w:val="-3"/>
        </w:rPr>
        <w:t>日已批准回购但</w:t>
      </w:r>
      <w:r>
        <w:rPr>
          <w:w w:val="100"/>
        </w:rPr>
        <w:t> </w:t>
      </w:r>
      <w:r>
        <w:rPr/>
        <w:t>尚未注销的股权激励股份计</w:t>
      </w:r>
      <w:r>
        <w:rPr>
          <w:rFonts w:ascii="Arial" w:hAnsi="Arial" w:cs="Arial" w:eastAsia="Arial" w:hint="default"/>
        </w:rPr>
        <w:t>18,000</w:t>
      </w:r>
      <w:r>
        <w:rPr/>
        <w:t>股后的</w:t>
      </w:r>
      <w:r>
        <w:rPr>
          <w:rFonts w:ascii="Arial" w:hAnsi="Arial" w:cs="Arial" w:eastAsia="Arial" w:hint="default"/>
        </w:rPr>
        <w:t>231,361,200</w:t>
      </w:r>
      <w:r>
        <w:rPr/>
        <w:t>股为基数，向全体股东每</w:t>
      </w:r>
      <w:r>
        <w:rPr>
          <w:rFonts w:ascii="Arial" w:hAnsi="Arial" w:cs="Arial" w:eastAsia="Arial" w:hint="default"/>
        </w:rPr>
        <w:t>10</w:t>
      </w:r>
      <w:r>
        <w:rPr>
          <w:rFonts w:ascii="Arial" w:hAnsi="Arial" w:cs="Arial" w:eastAsia="Arial" w:hint="default"/>
          <w:w w:val="100"/>
        </w:rPr>
        <w:t> </w:t>
      </w:r>
      <w:r>
        <w:rPr>
          <w:spacing w:val="16"/>
        </w:rPr>
        <w:t>股转增</w:t>
      </w:r>
      <w:r>
        <w:rPr>
          <w:spacing w:val="-68"/>
        </w:rPr>
        <w:t> </w:t>
      </w:r>
      <w:r>
        <w:rPr>
          <w:rFonts w:ascii="Arial" w:hAnsi="Arial" w:cs="Arial" w:eastAsia="Arial" w:hint="default"/>
        </w:rPr>
        <w:t>10</w:t>
      </w:r>
      <w:r>
        <w:rPr>
          <w:rFonts w:ascii="Arial" w:hAnsi="Arial" w:cs="Arial" w:eastAsia="Arial" w:hint="default"/>
          <w:spacing w:val="-24"/>
        </w:rPr>
        <w:t> </w:t>
      </w:r>
      <w:r>
        <w:rPr>
          <w:spacing w:val="20"/>
        </w:rPr>
        <w:t>股，共计转增</w:t>
      </w:r>
      <w:r>
        <w:rPr>
          <w:spacing w:val="-68"/>
        </w:rPr>
        <w:t> </w:t>
      </w:r>
      <w:r>
        <w:rPr>
          <w:rFonts w:ascii="Arial" w:hAnsi="Arial" w:cs="Arial" w:eastAsia="Arial" w:hint="default"/>
        </w:rPr>
        <w:t>231,361,200</w:t>
      </w:r>
      <w:r>
        <w:rPr>
          <w:rFonts w:ascii="Arial" w:hAnsi="Arial" w:cs="Arial" w:eastAsia="Arial" w:hint="default"/>
          <w:spacing w:val="-26"/>
        </w:rPr>
        <w:t> </w:t>
      </w:r>
      <w:r>
        <w:rPr>
          <w:spacing w:val="22"/>
        </w:rPr>
        <w:t>股。转增后，公司的注册资本从人民</w:t>
      </w:r>
      <w:r>
        <w:rPr>
          <w:spacing w:val="-67"/>
        </w:rPr>
        <w:t> </w:t>
      </w:r>
      <w:r>
        <w:rPr/>
        <w:t>币</w:t>
      </w:r>
      <w:r>
        <w:rPr>
          <w:w w:val="100"/>
        </w:rPr>
        <w:t> </w:t>
      </w:r>
      <w:r>
        <w:rPr>
          <w:rFonts w:ascii="Arial" w:hAnsi="Arial" w:cs="Arial" w:eastAsia="Arial" w:hint="default"/>
        </w:rPr>
        <w:t>231,361,200</w:t>
      </w:r>
      <w:r>
        <w:rPr/>
        <w:t>元增加至人民币</w:t>
      </w:r>
      <w:r>
        <w:rPr>
          <w:rFonts w:ascii="Arial" w:hAnsi="Arial" w:cs="Arial" w:eastAsia="Arial" w:hint="default"/>
        </w:rPr>
        <w:t>462,740,400</w:t>
      </w:r>
      <w:r>
        <w:rPr/>
        <w:t>元。</w:t>
      </w:r>
    </w:p>
    <w:p>
      <w:pPr>
        <w:spacing w:line="240" w:lineRule="auto" w:before="7"/>
        <w:rPr>
          <w:rFonts w:ascii="黑体" w:hAnsi="黑体" w:cs="黑体" w:eastAsia="黑体" w:hint="default"/>
          <w:sz w:val="16"/>
          <w:szCs w:val="16"/>
        </w:rPr>
      </w:pPr>
    </w:p>
    <w:p>
      <w:pPr>
        <w:pStyle w:val="BodyText"/>
        <w:spacing w:line="268" w:lineRule="exact"/>
        <w:ind w:left="1305" w:right="0"/>
        <w:jc w:val="both"/>
      </w:pPr>
      <w:r>
        <w:rPr>
          <w:spacing w:val="6"/>
        </w:rPr>
        <w:t>因有部分股权激励对象发生了公司股权激励计划中规定的变更和终止的情形</w:t>
      </w:r>
      <w:r>
        <w:rPr>
          <w:rFonts w:ascii="Arial" w:hAnsi="Arial" w:cs="Arial" w:eastAsia="Arial" w:hint="default"/>
          <w:spacing w:val="6"/>
        </w:rPr>
        <w:t>,</w:t>
      </w:r>
      <w:r>
        <w:rPr>
          <w:spacing w:val="6"/>
        </w:rPr>
        <w:t>根据</w:t>
      </w:r>
      <w:r>
        <w:rPr/>
      </w:r>
    </w:p>
    <w:p>
      <w:pPr>
        <w:pStyle w:val="BodyText"/>
        <w:spacing w:line="228" w:lineRule="auto" w:before="3"/>
        <w:ind w:left="1305" w:right="154"/>
        <w:jc w:val="both"/>
      </w:pPr>
      <w:r>
        <w:rPr>
          <w:spacing w:val="-3"/>
          <w:w w:val="100"/>
        </w:rPr>
        <w:t>《用友软件股份有限公司股权激励计划</w:t>
      </w:r>
      <w:r>
        <w:rPr>
          <w:rFonts w:ascii="Arial" w:hAnsi="Arial" w:cs="Arial" w:eastAsia="Arial" w:hint="default"/>
          <w:spacing w:val="-3"/>
          <w:w w:val="100"/>
        </w:rPr>
        <w:t>(</w:t>
      </w:r>
      <w:r>
        <w:rPr>
          <w:spacing w:val="-3"/>
          <w:w w:val="100"/>
        </w:rPr>
        <w:t>修订稿</w:t>
      </w:r>
      <w:r>
        <w:rPr>
          <w:rFonts w:ascii="Arial" w:hAnsi="Arial" w:cs="Arial" w:eastAsia="Arial" w:hint="default"/>
          <w:spacing w:val="-3"/>
          <w:w w:val="100"/>
        </w:rPr>
        <w:t>)</w:t>
      </w:r>
      <w:r>
        <w:rPr>
          <w:spacing w:val="-3"/>
          <w:w w:val="100"/>
        </w:rPr>
        <w:t>》有关条款和股东大会授权</w:t>
      </w:r>
      <w:r>
        <w:rPr>
          <w:rFonts w:ascii="Arial" w:hAnsi="Arial" w:cs="Arial" w:eastAsia="Arial" w:hint="default"/>
          <w:spacing w:val="-3"/>
          <w:w w:val="100"/>
        </w:rPr>
        <w:t>,</w:t>
      </w:r>
      <w:r>
        <w:rPr>
          <w:spacing w:val="-3"/>
          <w:w w:val="100"/>
        </w:rPr>
        <w:t>本公司董</w:t>
      </w:r>
      <w:r>
        <w:rPr>
          <w:spacing w:val="-97"/>
          <w:w w:val="100"/>
        </w:rPr>
        <w:t> </w:t>
      </w:r>
      <w:r>
        <w:rPr>
          <w:spacing w:val="-97"/>
          <w:w w:val="100"/>
        </w:rPr>
      </w:r>
      <w:r>
        <w:rPr/>
        <w:t>事会分别于</w:t>
      </w:r>
      <w:r>
        <w:rPr>
          <w:rFonts w:ascii="Arial" w:hAnsi="Arial" w:cs="Arial" w:eastAsia="Arial" w:hint="default"/>
        </w:rPr>
        <w:t>2008</w:t>
      </w:r>
      <w:r>
        <w:rPr/>
        <w:t>年</w:t>
      </w:r>
      <w:r>
        <w:rPr>
          <w:rFonts w:ascii="Arial" w:hAnsi="Arial" w:cs="Arial" w:eastAsia="Arial" w:hint="default"/>
        </w:rPr>
        <w:t>3</w:t>
      </w:r>
      <w:r>
        <w:rPr/>
        <w:t>月</w:t>
      </w:r>
      <w:r>
        <w:rPr>
          <w:rFonts w:ascii="Arial" w:hAnsi="Arial" w:cs="Arial" w:eastAsia="Arial" w:hint="default"/>
        </w:rPr>
        <w:t>3</w:t>
      </w:r>
      <w:r>
        <w:rPr/>
        <w:t>日召开的第三届董事会</w:t>
      </w:r>
      <w:r>
        <w:rPr>
          <w:rFonts w:ascii="Arial" w:hAnsi="Arial" w:cs="Arial" w:eastAsia="Arial" w:hint="default"/>
        </w:rPr>
        <w:t>2008</w:t>
      </w:r>
      <w:r>
        <w:rPr/>
        <w:t>年第二次会议、</w:t>
      </w:r>
      <w:r>
        <w:rPr>
          <w:rFonts w:ascii="Arial" w:hAnsi="Arial" w:cs="Arial" w:eastAsia="Arial" w:hint="default"/>
        </w:rPr>
        <w:t>2008</w:t>
      </w:r>
      <w:r>
        <w:rPr/>
        <w:t>年</w:t>
      </w:r>
      <w:r>
        <w:rPr>
          <w:rFonts w:ascii="Arial" w:hAnsi="Arial" w:cs="Arial" w:eastAsia="Arial" w:hint="default"/>
        </w:rPr>
        <w:t>4</w:t>
      </w:r>
      <w:r>
        <w:rPr/>
        <w:t>月</w:t>
      </w:r>
      <w:r>
        <w:rPr>
          <w:rFonts w:ascii="Arial" w:hAnsi="Arial" w:cs="Arial" w:eastAsia="Arial" w:hint="default"/>
        </w:rPr>
        <w:t>29</w:t>
      </w:r>
      <w:r>
        <w:rPr/>
        <w:t>日</w:t>
      </w:r>
      <w:r>
        <w:rPr>
          <w:spacing w:val="-97"/>
        </w:rPr>
        <w:t> </w:t>
      </w:r>
      <w:r>
        <w:rPr/>
        <w:t>召开的第四届董事会</w:t>
      </w:r>
      <w:r>
        <w:rPr>
          <w:rFonts w:ascii="Arial" w:hAnsi="Arial" w:cs="Arial" w:eastAsia="Arial" w:hint="default"/>
        </w:rPr>
        <w:t>2008</w:t>
      </w:r>
      <w:r>
        <w:rPr/>
        <w:t>年第二次会议和</w:t>
      </w:r>
      <w:r>
        <w:rPr>
          <w:rFonts w:ascii="Arial" w:hAnsi="Arial" w:cs="Arial" w:eastAsia="Arial" w:hint="default"/>
        </w:rPr>
        <w:t>2008</w:t>
      </w:r>
      <w:r>
        <w:rPr/>
        <w:t>年</w:t>
      </w:r>
      <w:r>
        <w:rPr>
          <w:rFonts w:ascii="Arial" w:hAnsi="Arial" w:cs="Arial" w:eastAsia="Arial" w:hint="default"/>
        </w:rPr>
        <w:t>7</w:t>
      </w:r>
      <w:r>
        <w:rPr/>
        <w:t>月</w:t>
      </w:r>
      <w:r>
        <w:rPr>
          <w:rFonts w:ascii="Arial" w:hAnsi="Arial" w:cs="Arial" w:eastAsia="Arial" w:hint="default"/>
        </w:rPr>
        <w:t>30</w:t>
      </w:r>
      <w:r>
        <w:rPr/>
        <w:t>日召开的第四届董事会</w:t>
      </w:r>
      <w:r>
        <w:rPr>
          <w:rFonts w:ascii="Arial" w:hAnsi="Arial" w:cs="Arial" w:eastAsia="Arial" w:hint="default"/>
        </w:rPr>
        <w:t>2008</w:t>
      </w:r>
      <w:r>
        <w:rPr>
          <w:rFonts w:ascii="Arial" w:hAnsi="Arial" w:cs="Arial" w:eastAsia="Arial" w:hint="default"/>
          <w:spacing w:val="-31"/>
        </w:rPr>
        <w:t> </w:t>
      </w:r>
      <w:r>
        <w:rPr/>
        <w:t>年第四次会议上审议通过了回购并注销上述激励对象已获授但尚未解锁的股权激励</w:t>
      </w:r>
      <w:r>
        <w:rPr>
          <w:spacing w:val="-15"/>
        </w:rPr>
        <w:t> </w:t>
      </w:r>
      <w:r>
        <w:rPr>
          <w:spacing w:val="-15"/>
        </w:rPr>
      </w:r>
      <w:r>
        <w:rPr>
          <w:spacing w:val="-1"/>
        </w:rPr>
        <w:t>股票的相关议案。本公司已分别于</w:t>
      </w:r>
      <w:r>
        <w:rPr>
          <w:rFonts w:ascii="Arial" w:hAnsi="Arial" w:cs="Arial" w:eastAsia="Arial" w:hint="default"/>
          <w:spacing w:val="-1"/>
        </w:rPr>
        <w:t>2008</w:t>
      </w:r>
      <w:r>
        <w:rPr>
          <w:spacing w:val="-1"/>
        </w:rPr>
        <w:t>年</w:t>
      </w:r>
      <w:r>
        <w:rPr>
          <w:rFonts w:ascii="Arial" w:hAnsi="Arial" w:cs="Arial" w:eastAsia="Arial" w:hint="default"/>
          <w:spacing w:val="-1"/>
        </w:rPr>
        <w:t>5</w:t>
      </w:r>
      <w:r>
        <w:rPr>
          <w:spacing w:val="-1"/>
        </w:rPr>
        <w:t>月</w:t>
      </w:r>
      <w:r>
        <w:rPr>
          <w:rFonts w:ascii="Arial" w:hAnsi="Arial" w:cs="Arial" w:eastAsia="Arial" w:hint="default"/>
          <w:spacing w:val="-1"/>
        </w:rPr>
        <w:t>6</w:t>
      </w:r>
      <w:r>
        <w:rPr>
          <w:spacing w:val="-1"/>
        </w:rPr>
        <w:t>日及</w:t>
      </w:r>
      <w:r>
        <w:rPr>
          <w:rFonts w:ascii="Arial" w:hAnsi="Arial" w:cs="Arial" w:eastAsia="Arial" w:hint="default"/>
          <w:spacing w:val="-1"/>
        </w:rPr>
        <w:t>2008</w:t>
      </w:r>
      <w:r>
        <w:rPr>
          <w:spacing w:val="-1"/>
        </w:rPr>
        <w:t>年</w:t>
      </w:r>
      <w:r>
        <w:rPr>
          <w:rFonts w:ascii="Arial" w:hAnsi="Arial" w:cs="Arial" w:eastAsia="Arial" w:hint="default"/>
          <w:spacing w:val="-1"/>
        </w:rPr>
        <w:t>10</w:t>
      </w:r>
      <w:r>
        <w:rPr>
          <w:spacing w:val="-1"/>
        </w:rPr>
        <w:t>月</w:t>
      </w:r>
      <w:r>
        <w:rPr>
          <w:rFonts w:ascii="Arial" w:hAnsi="Arial" w:cs="Arial" w:eastAsia="Arial" w:hint="default"/>
          <w:spacing w:val="-1"/>
        </w:rPr>
        <w:t>9</w:t>
      </w:r>
      <w:r>
        <w:rPr>
          <w:spacing w:val="-1"/>
        </w:rPr>
        <w:t>日</w:t>
      </w:r>
      <w:r>
        <w:rPr>
          <w:rFonts w:ascii="Arial" w:hAnsi="Arial" w:cs="Arial" w:eastAsia="Arial" w:hint="default"/>
          <w:spacing w:val="-1"/>
        </w:rPr>
        <w:t>,</w:t>
      </w:r>
      <w:r>
        <w:rPr>
          <w:spacing w:val="-1"/>
        </w:rPr>
        <w:t>将上述回购的股</w:t>
      </w:r>
      <w:r>
        <w:rPr>
          <w:spacing w:val="-67"/>
        </w:rPr>
        <w:t> </w:t>
      </w:r>
      <w:r>
        <w:rPr>
          <w:spacing w:val="-67"/>
        </w:rPr>
      </w:r>
      <w:r>
        <w:rPr>
          <w:spacing w:val="14"/>
        </w:rPr>
        <w:t>权激励股票予以注销</w:t>
      </w:r>
      <w:r>
        <w:rPr>
          <w:rFonts w:ascii="Arial" w:hAnsi="Arial" w:cs="Arial" w:eastAsia="Arial" w:hint="default"/>
          <w:spacing w:val="14"/>
        </w:rPr>
        <w:t>,</w:t>
      </w:r>
      <w:r>
        <w:rPr>
          <w:rFonts w:ascii="Arial" w:hAnsi="Arial" w:cs="Arial" w:eastAsia="Arial" w:hint="default"/>
          <w:spacing w:val="-30"/>
        </w:rPr>
        <w:t> </w:t>
      </w:r>
      <w:r>
        <w:rPr>
          <w:spacing w:val="12"/>
        </w:rPr>
        <w:t>共计注销</w:t>
      </w:r>
      <w:r>
        <w:rPr>
          <w:spacing w:val="-74"/>
        </w:rPr>
        <w:t> </w:t>
      </w:r>
      <w:r>
        <w:rPr>
          <w:rFonts w:ascii="Arial" w:hAnsi="Arial" w:cs="Arial" w:eastAsia="Arial" w:hint="default"/>
        </w:rPr>
        <w:t>63,200</w:t>
      </w:r>
      <w:r>
        <w:rPr>
          <w:rFonts w:ascii="Arial" w:hAnsi="Arial" w:cs="Arial" w:eastAsia="Arial" w:hint="default"/>
          <w:spacing w:val="-28"/>
        </w:rPr>
        <w:t> </w:t>
      </w:r>
      <w:r>
        <w:rPr>
          <w:spacing w:val="13"/>
        </w:rPr>
        <w:t>股。注销后</w:t>
      </w:r>
      <w:r>
        <w:rPr>
          <w:rFonts w:ascii="Arial" w:hAnsi="Arial" w:cs="Arial" w:eastAsia="Arial" w:hint="default"/>
          <w:spacing w:val="13"/>
        </w:rPr>
        <w:t>,</w:t>
      </w:r>
      <w:r>
        <w:rPr>
          <w:rFonts w:ascii="Arial" w:hAnsi="Arial" w:cs="Arial" w:eastAsia="Arial" w:hint="default"/>
          <w:spacing w:val="-30"/>
        </w:rPr>
        <w:t> </w:t>
      </w:r>
      <w:r>
        <w:rPr>
          <w:spacing w:val="15"/>
        </w:rPr>
        <w:t>本公司的注册资本从人民币</w:t>
      </w:r>
      <w:r>
        <w:rPr>
          <w:spacing w:val="-88"/>
        </w:rPr>
        <w:t> </w:t>
      </w:r>
      <w:r>
        <w:rPr>
          <w:spacing w:val="-88"/>
        </w:rPr>
      </w:r>
      <w:r>
        <w:rPr>
          <w:rFonts w:ascii="Arial" w:hAnsi="Arial" w:cs="Arial" w:eastAsia="Arial" w:hint="default"/>
        </w:rPr>
        <w:t>462,740,400</w:t>
      </w:r>
      <w:r>
        <w:rPr/>
        <w:t>元减至人民币</w:t>
      </w:r>
      <w:r>
        <w:rPr>
          <w:rFonts w:ascii="Arial" w:hAnsi="Arial" w:cs="Arial" w:eastAsia="Arial" w:hint="default"/>
        </w:rPr>
        <w:t>462,677,200</w:t>
      </w:r>
      <w:r>
        <w:rPr/>
        <w:t>元。</w:t>
      </w:r>
    </w:p>
    <w:p>
      <w:pPr>
        <w:spacing w:line="240" w:lineRule="auto" w:before="6"/>
        <w:rPr>
          <w:rFonts w:ascii="黑体" w:hAnsi="黑体" w:cs="黑体" w:eastAsia="黑体" w:hint="default"/>
          <w:sz w:val="17"/>
          <w:szCs w:val="17"/>
        </w:rPr>
      </w:pPr>
    </w:p>
    <w:p>
      <w:pPr>
        <w:pStyle w:val="BodyText"/>
        <w:spacing w:line="225" w:lineRule="auto"/>
        <w:ind w:left="1305" w:right="155"/>
        <w:jc w:val="both"/>
      </w:pPr>
      <w:r>
        <w:rPr>
          <w:rFonts w:ascii="Arial" w:hAnsi="Arial" w:cs="Arial" w:eastAsia="Arial" w:hint="default"/>
        </w:rPr>
        <w:t>2008</w:t>
      </w:r>
      <w:r>
        <w:rPr/>
        <w:t>年</w:t>
      </w:r>
      <w:r>
        <w:rPr>
          <w:rFonts w:ascii="Arial" w:hAnsi="Arial" w:cs="Arial" w:eastAsia="Arial" w:hint="default"/>
        </w:rPr>
        <w:t>8</w:t>
      </w:r>
      <w:r>
        <w:rPr/>
        <w:t>月</w:t>
      </w:r>
      <w:r>
        <w:rPr>
          <w:rFonts w:ascii="Arial" w:hAnsi="Arial" w:cs="Arial" w:eastAsia="Arial" w:hint="default"/>
        </w:rPr>
        <w:t>8</w:t>
      </w:r>
      <w:r>
        <w:rPr/>
        <w:t>日</w:t>
      </w:r>
      <w:r>
        <w:rPr>
          <w:rFonts w:ascii="Arial" w:hAnsi="Arial" w:cs="Arial" w:eastAsia="Arial" w:hint="default"/>
        </w:rPr>
        <w:t>,</w:t>
      </w:r>
      <w:r>
        <w:rPr/>
        <w:t>本公司于</w:t>
      </w:r>
      <w:r>
        <w:rPr>
          <w:rFonts w:ascii="Arial" w:hAnsi="Arial" w:cs="Arial" w:eastAsia="Arial" w:hint="default"/>
        </w:rPr>
        <w:t>2007</w:t>
      </w:r>
      <w:r>
        <w:rPr/>
        <w:t>年</w:t>
      </w:r>
      <w:r>
        <w:rPr>
          <w:rFonts w:ascii="Arial" w:hAnsi="Arial" w:cs="Arial" w:eastAsia="Arial" w:hint="default"/>
        </w:rPr>
        <w:t>8</w:t>
      </w:r>
      <w:r>
        <w:rPr/>
        <w:t>月</w:t>
      </w:r>
      <w:r>
        <w:rPr>
          <w:rFonts w:ascii="Arial" w:hAnsi="Arial" w:cs="Arial" w:eastAsia="Arial" w:hint="default"/>
        </w:rPr>
        <w:t>8</w:t>
      </w:r>
      <w:r>
        <w:rPr/>
        <w:t>日向符合授予条件的股权激励对象授予的</w:t>
      </w:r>
      <w:r>
        <w:rPr>
          <w:rFonts w:ascii="Arial" w:hAnsi="Arial" w:cs="Arial" w:eastAsia="Arial" w:hint="default"/>
        </w:rPr>
        <w:t>2007</w:t>
      </w:r>
      <w:r>
        <w:rPr>
          <w:rFonts w:ascii="Arial" w:hAnsi="Arial" w:cs="Arial" w:eastAsia="Arial" w:hint="default"/>
          <w:spacing w:val="-5"/>
        </w:rPr>
        <w:t> </w:t>
      </w:r>
      <w:r>
        <w:rPr>
          <w:rFonts w:ascii="Arial" w:hAnsi="Arial" w:cs="Arial" w:eastAsia="Arial" w:hint="default"/>
          <w:spacing w:val="-5"/>
        </w:rPr>
      </w:r>
      <w:r>
        <w:rPr/>
        <w:t>年度股票部分已达到解锁条件</w:t>
      </w:r>
      <w:r>
        <w:rPr>
          <w:rFonts w:ascii="Arial" w:hAnsi="Arial" w:cs="Arial" w:eastAsia="Arial" w:hint="default"/>
        </w:rPr>
        <w:t>,</w:t>
      </w:r>
      <w:r>
        <w:rPr/>
        <w:t>本次解锁的已授出股权激励股份数量为</w:t>
      </w:r>
      <w:r>
        <w:rPr>
          <w:rFonts w:ascii="Arial" w:hAnsi="Arial" w:cs="Arial" w:eastAsia="Arial" w:hint="default"/>
        </w:rPr>
        <w:t>8,038,320</w:t>
      </w:r>
      <w:r>
        <w:rPr/>
        <w:t>股</w:t>
      </w:r>
      <w:r>
        <w:rPr>
          <w:rFonts w:ascii="Arial" w:hAnsi="Arial" w:cs="Arial" w:eastAsia="Arial" w:hint="default"/>
        </w:rPr>
        <w:t>,</w:t>
      </w:r>
      <w:r>
        <w:rPr>
          <w:rFonts w:ascii="Arial" w:hAnsi="Arial" w:cs="Arial" w:eastAsia="Arial" w:hint="default"/>
          <w:spacing w:val="21"/>
        </w:rPr>
        <w:t> </w:t>
      </w:r>
      <w:r>
        <w:rPr/>
        <w:t>可上市流通日为</w:t>
      </w:r>
      <w:r>
        <w:rPr>
          <w:rFonts w:ascii="Arial" w:hAnsi="Arial" w:cs="Arial" w:eastAsia="Arial" w:hint="default"/>
        </w:rPr>
        <w:t>2008</w:t>
      </w:r>
      <w:r>
        <w:rPr/>
        <w:t>年</w:t>
      </w:r>
      <w:r>
        <w:rPr>
          <w:rFonts w:ascii="Arial" w:hAnsi="Arial" w:cs="Arial" w:eastAsia="Arial" w:hint="default"/>
        </w:rPr>
        <w:t>8</w:t>
      </w:r>
      <w:r>
        <w:rPr/>
        <w:t>月</w:t>
      </w:r>
      <w:r>
        <w:rPr>
          <w:rFonts w:ascii="Arial" w:hAnsi="Arial" w:cs="Arial" w:eastAsia="Arial" w:hint="default"/>
        </w:rPr>
        <w:t>8</w:t>
      </w:r>
      <w:r>
        <w:rPr/>
        <w:t>日。</w:t>
      </w:r>
    </w:p>
    <w:p>
      <w:pPr>
        <w:spacing w:after="0" w:line="225" w:lineRule="auto"/>
        <w:jc w:val="both"/>
        <w:sectPr>
          <w:type w:val="continuous"/>
          <w:pgSz w:w="11910" w:h="16840"/>
          <w:pgMar w:top="900" w:bottom="280" w:left="1600" w:right="1540"/>
        </w:sectPr>
      </w:pPr>
    </w:p>
    <w:p>
      <w:pPr>
        <w:spacing w:line="240" w:lineRule="auto" w:before="0"/>
        <w:rPr>
          <w:rFonts w:ascii="黑体" w:hAnsi="黑体" w:cs="黑体" w:eastAsia="黑体" w:hint="default"/>
          <w:sz w:val="20"/>
          <w:szCs w:val="20"/>
        </w:rPr>
      </w:pPr>
    </w:p>
    <w:p>
      <w:pPr>
        <w:spacing w:line="240" w:lineRule="auto" w:before="2"/>
        <w:rPr>
          <w:rFonts w:ascii="黑体" w:hAnsi="黑体" w:cs="黑体" w:eastAsia="黑体" w:hint="default"/>
          <w:sz w:val="29"/>
          <w:szCs w:val="29"/>
        </w:rPr>
      </w:pPr>
    </w:p>
    <w:p>
      <w:pPr>
        <w:tabs>
          <w:tab w:pos="803" w:val="left" w:leader="none"/>
        </w:tabs>
        <w:spacing w:before="38"/>
        <w:ind w:left="101" w:right="21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pStyle w:val="BodyText"/>
        <w:tabs>
          <w:tab w:pos="821" w:val="left" w:leader="none"/>
        </w:tabs>
        <w:spacing w:line="492" w:lineRule="exact" w:before="45"/>
        <w:ind w:left="801" w:right="210" w:hanging="700"/>
        <w:jc w:val="left"/>
      </w:pPr>
      <w:r>
        <w:rPr>
          <w:rFonts w:ascii="Arial" w:hAnsi="Arial" w:cs="Arial" w:eastAsia="Arial" w:hint="default"/>
          <w:b/>
          <w:bCs/>
          <w:spacing w:val="-1"/>
        </w:rPr>
        <w:t>28.</w:t>
        <w:tab/>
        <w:tab/>
      </w:r>
      <w:r>
        <w:rPr>
          <w:rFonts w:ascii="黑体" w:hAnsi="黑体" w:cs="黑体" w:eastAsia="黑体" w:hint="default"/>
          <w:b/>
          <w:bCs/>
        </w:rPr>
        <w:t>股本（续）</w:t>
      </w:r>
      <w:r>
        <w:rPr>
          <w:rFonts w:ascii="黑体" w:hAnsi="黑体" w:cs="黑体" w:eastAsia="黑体" w:hint="default"/>
          <w:b/>
          <w:bCs/>
          <w:w w:val="99"/>
        </w:rPr>
        <w:t> </w:t>
      </w:r>
      <w:r>
        <w:rPr>
          <w:spacing w:val="-2"/>
        </w:rPr>
        <w:t>注</w:t>
      </w:r>
      <w:r>
        <w:rPr>
          <w:rFonts w:ascii="Arial" w:hAnsi="Arial" w:cs="Arial" w:eastAsia="Arial" w:hint="default"/>
          <w:spacing w:val="-2"/>
        </w:rPr>
        <w:t>3</w:t>
      </w:r>
      <w:r>
        <w:rPr>
          <w:spacing w:val="-2"/>
        </w:rPr>
        <w:t>（续）：根据公司股东大会的授权</w:t>
      </w:r>
      <w:r>
        <w:rPr>
          <w:rFonts w:ascii="Arial" w:hAnsi="Arial" w:cs="Arial" w:eastAsia="Arial" w:hint="default"/>
          <w:spacing w:val="-2"/>
        </w:rPr>
        <w:t>,</w:t>
      </w:r>
      <w:r>
        <w:rPr>
          <w:spacing w:val="-2"/>
        </w:rPr>
        <w:t>公司董事会于</w:t>
      </w:r>
      <w:r>
        <w:rPr>
          <w:rFonts w:ascii="Arial" w:hAnsi="Arial" w:cs="Arial" w:eastAsia="Arial" w:hint="default"/>
          <w:spacing w:val="-2"/>
        </w:rPr>
        <w:t>2008</w:t>
      </w:r>
      <w:r>
        <w:rPr>
          <w:spacing w:val="-2"/>
        </w:rPr>
        <w:t>年</w:t>
      </w:r>
      <w:r>
        <w:rPr>
          <w:rFonts w:ascii="Arial" w:hAnsi="Arial" w:cs="Arial" w:eastAsia="Arial" w:hint="default"/>
          <w:spacing w:val="-2"/>
        </w:rPr>
        <w:t>9</w:t>
      </w:r>
      <w:r>
        <w:rPr>
          <w:spacing w:val="-2"/>
        </w:rPr>
        <w:t>月</w:t>
      </w:r>
      <w:r>
        <w:rPr>
          <w:rFonts w:ascii="Arial" w:hAnsi="Arial" w:cs="Arial" w:eastAsia="Arial" w:hint="default"/>
          <w:spacing w:val="-2"/>
        </w:rPr>
        <w:t>26</w:t>
      </w:r>
      <w:r>
        <w:rPr>
          <w:spacing w:val="-2"/>
        </w:rPr>
        <w:t>日向符合授予条件的股权</w:t>
      </w:r>
    </w:p>
    <w:p>
      <w:pPr>
        <w:pStyle w:val="BodyText"/>
        <w:spacing w:line="256" w:lineRule="exact"/>
        <w:ind w:left="1865" w:right="0"/>
        <w:jc w:val="both"/>
      </w:pPr>
      <w:r>
        <w:rPr/>
        <w:t>激励对象授予《用友软件股份有限公司股权激励计划</w:t>
      </w:r>
      <w:r>
        <w:rPr>
          <w:rFonts w:ascii="Arial" w:hAnsi="Arial" w:cs="Arial" w:eastAsia="Arial" w:hint="default"/>
        </w:rPr>
        <w:t>(</w:t>
      </w:r>
      <w:r>
        <w:rPr/>
        <w:t>修订稿</w:t>
      </w:r>
      <w:r>
        <w:rPr>
          <w:rFonts w:ascii="Arial" w:hAnsi="Arial" w:cs="Arial" w:eastAsia="Arial" w:hint="default"/>
        </w:rPr>
        <w:t>)</w:t>
      </w:r>
      <w:r>
        <w:rPr/>
        <w:t>》中的</w:t>
      </w:r>
      <w:r>
        <w:rPr>
          <w:rFonts w:ascii="Arial" w:hAnsi="Arial" w:cs="Arial" w:eastAsia="Arial" w:hint="default"/>
        </w:rPr>
        <w:t>2008</w:t>
      </w:r>
      <w:r>
        <w:rPr/>
        <w:t>年度</w:t>
      </w:r>
    </w:p>
    <w:p>
      <w:pPr>
        <w:pStyle w:val="BodyText"/>
        <w:spacing w:line="271" w:lineRule="auto" w:before="36"/>
        <w:ind w:left="1865" w:right="210"/>
        <w:jc w:val="both"/>
      </w:pPr>
      <w:r>
        <w:rPr/>
        <w:t>股票。截至</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w:t>
      </w:r>
      <w:r>
        <w:rPr>
          <w:rFonts w:ascii="Arial" w:hAnsi="Arial" w:cs="Arial" w:eastAsia="Arial" w:hint="default"/>
        </w:rPr>
        <w:t>,</w:t>
      </w:r>
      <w:r>
        <w:rPr/>
        <w:t>实际授出股权激励股份</w:t>
      </w:r>
      <w:r>
        <w:rPr>
          <w:rFonts w:ascii="Arial" w:hAnsi="Arial" w:cs="Arial" w:eastAsia="Arial" w:hint="default"/>
        </w:rPr>
        <w:t>4,006,375</w:t>
      </w:r>
      <w:r>
        <w:rPr/>
        <w:t>股，已由激励对</w:t>
      </w:r>
      <w:r>
        <w:rPr>
          <w:spacing w:val="-93"/>
        </w:rPr>
        <w:t> </w:t>
      </w:r>
      <w:r>
        <w:rPr>
          <w:spacing w:val="-93"/>
        </w:rPr>
      </w:r>
      <w:r>
        <w:rPr>
          <w:spacing w:val="-3"/>
        </w:rPr>
        <w:t>象全部以现金认购，每股价格为</w:t>
      </w:r>
      <w:r>
        <w:rPr>
          <w:rFonts w:ascii="Arial" w:hAnsi="Arial" w:cs="Arial" w:eastAsia="Arial" w:hint="default"/>
          <w:spacing w:val="-3"/>
        </w:rPr>
        <w:t>13.71</w:t>
      </w:r>
      <w:r>
        <w:rPr>
          <w:spacing w:val="-3"/>
        </w:rPr>
        <w:t>元</w:t>
      </w:r>
      <w:r>
        <w:rPr>
          <w:rFonts w:ascii="Arial" w:hAnsi="Arial" w:cs="Arial" w:eastAsia="Arial" w:hint="default"/>
          <w:spacing w:val="-3"/>
        </w:rPr>
        <w:t>/16.43</w:t>
      </w:r>
      <w:r>
        <w:rPr>
          <w:spacing w:val="-3"/>
        </w:rPr>
        <w:t>元。认购后</w:t>
      </w:r>
      <w:r>
        <w:rPr>
          <w:rFonts w:ascii="Arial" w:hAnsi="Arial" w:cs="Arial" w:eastAsia="Arial" w:hint="default"/>
          <w:spacing w:val="-3"/>
        </w:rPr>
        <w:t>,</w:t>
      </w:r>
      <w:r>
        <w:rPr>
          <w:spacing w:val="-3"/>
        </w:rPr>
        <w:t>本公司的注册及实收</w:t>
      </w:r>
      <w:r>
        <w:rPr>
          <w:spacing w:val="-56"/>
        </w:rPr>
        <w:t> </w:t>
      </w:r>
      <w:r>
        <w:rPr>
          <w:spacing w:val="-56"/>
        </w:rPr>
      </w:r>
      <w:r>
        <w:rPr/>
        <w:t>资本由人民币</w:t>
      </w:r>
      <w:r>
        <w:rPr>
          <w:rFonts w:ascii="Arial" w:hAnsi="Arial" w:cs="Arial" w:eastAsia="Arial" w:hint="default"/>
        </w:rPr>
        <w:t>462,677,200</w:t>
      </w:r>
      <w:r>
        <w:rPr/>
        <w:t>元增加至人民币</w:t>
      </w:r>
      <w:r>
        <w:rPr>
          <w:rFonts w:ascii="Arial" w:hAnsi="Arial" w:cs="Arial" w:eastAsia="Arial" w:hint="default"/>
        </w:rPr>
        <w:t>466,683,575</w:t>
      </w:r>
      <w:r>
        <w:rPr/>
        <w:t>元。本公司将认购价格</w:t>
      </w:r>
      <w:r>
        <w:rPr>
          <w:spacing w:val="-92"/>
        </w:rPr>
        <w:t> </w:t>
      </w:r>
      <w:r>
        <w:rPr>
          <w:spacing w:val="-92"/>
        </w:rPr>
      </w:r>
      <w:r>
        <w:rPr/>
        <w:t>与股本账面价值之间的差额记入资本公积科目，共计人民币</w:t>
      </w:r>
      <w:r>
        <w:rPr>
          <w:rFonts w:ascii="Arial" w:hAnsi="Arial" w:cs="Arial" w:eastAsia="Arial" w:hint="default"/>
        </w:rPr>
        <w:t>51,686,706</w:t>
      </w:r>
      <w:r>
        <w:rPr/>
        <w:t>元，参</w:t>
      </w:r>
      <w:r>
        <w:rPr>
          <w:spacing w:val="-68"/>
        </w:rPr>
        <w:t> </w:t>
      </w:r>
      <w:r>
        <w:rPr>
          <w:spacing w:val="-68"/>
        </w:rPr>
      </w:r>
      <w:r>
        <w:rPr/>
        <w:t>见附注五、</w:t>
      </w:r>
      <w:r>
        <w:rPr>
          <w:rFonts w:ascii="Arial" w:hAnsi="Arial" w:cs="Arial" w:eastAsia="Arial" w:hint="default"/>
        </w:rPr>
        <w:t>29</w:t>
      </w:r>
      <w:r>
        <w:rPr/>
        <w:t>、</w:t>
      </w:r>
      <w:r>
        <w:rPr>
          <w:rFonts w:ascii="Arial" w:hAnsi="Arial" w:cs="Arial" w:eastAsia="Arial" w:hint="default"/>
        </w:rPr>
        <w:t>2008</w:t>
      </w:r>
      <w:r>
        <w:rPr/>
        <w:t>年、注</w:t>
      </w:r>
      <w:r>
        <w:rPr>
          <w:rFonts w:ascii="Arial" w:hAnsi="Arial" w:cs="Arial" w:eastAsia="Arial" w:hint="default"/>
        </w:rPr>
        <w:t>1</w:t>
      </w:r>
      <w:r>
        <w:rPr/>
        <w:t>。此次股本变动业经深圳市鹏城会计师事务所进</w:t>
      </w:r>
      <w:r>
        <w:rPr>
          <w:spacing w:val="-45"/>
        </w:rPr>
        <w:t> </w:t>
      </w:r>
      <w:r>
        <w:rPr>
          <w:spacing w:val="-45"/>
        </w:rPr>
      </w:r>
      <w:r>
        <w:rPr/>
        <w:t>行验证</w:t>
      </w:r>
      <w:r>
        <w:rPr>
          <w:rFonts w:ascii="Arial" w:hAnsi="Arial" w:cs="Arial" w:eastAsia="Arial" w:hint="default"/>
        </w:rPr>
        <w:t>,</w:t>
      </w:r>
      <w:r>
        <w:rPr/>
        <w:t>并于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15</w:t>
      </w:r>
      <w:r>
        <w:rPr/>
        <w:t>日出具了深鹏所验字</w:t>
      </w:r>
      <w:r>
        <w:rPr>
          <w:rFonts w:ascii="Arial" w:hAnsi="Arial" w:cs="Arial" w:eastAsia="Arial" w:hint="default"/>
        </w:rPr>
        <w:t>[2008]196</w:t>
      </w:r>
      <w:r>
        <w:rPr/>
        <w:t>号验资报告。</w:t>
      </w:r>
    </w:p>
    <w:p>
      <w:pPr>
        <w:spacing w:line="240" w:lineRule="auto" w:before="5"/>
        <w:rPr>
          <w:rFonts w:ascii="黑体" w:hAnsi="黑体" w:cs="黑体" w:eastAsia="黑体" w:hint="default"/>
          <w:sz w:val="24"/>
          <w:szCs w:val="24"/>
        </w:rPr>
      </w:pPr>
    </w:p>
    <w:p>
      <w:pPr>
        <w:tabs>
          <w:tab w:pos="821" w:val="left" w:leader="none"/>
        </w:tabs>
        <w:spacing w:before="0"/>
        <w:ind w:left="101" w:right="210" w:firstLine="0"/>
        <w:jc w:val="left"/>
        <w:rPr>
          <w:rFonts w:ascii="黑体" w:hAnsi="黑体" w:cs="黑体" w:eastAsia="黑体" w:hint="default"/>
          <w:sz w:val="20"/>
          <w:szCs w:val="20"/>
        </w:rPr>
      </w:pPr>
      <w:r>
        <w:rPr>
          <w:rFonts w:ascii="Arial" w:hAnsi="Arial" w:cs="Arial" w:eastAsia="Arial" w:hint="default"/>
          <w:b/>
          <w:bCs/>
          <w:spacing w:val="-1"/>
          <w:sz w:val="20"/>
          <w:szCs w:val="20"/>
        </w:rPr>
        <w:t>29.</w:t>
        <w:tab/>
      </w:r>
      <w:r>
        <w:rPr>
          <w:rFonts w:ascii="黑体" w:hAnsi="黑体" w:cs="黑体" w:eastAsia="黑体" w:hint="default"/>
          <w:b/>
          <w:bCs/>
          <w:sz w:val="20"/>
          <w:szCs w:val="20"/>
        </w:rPr>
        <w:t>资本公积</w:t>
      </w:r>
      <w:r>
        <w:rPr>
          <w:rFonts w:ascii="黑体" w:hAnsi="黑体" w:cs="黑体" w:eastAsia="黑体" w:hint="default"/>
          <w:sz w:val="20"/>
          <w:szCs w:val="20"/>
        </w:rPr>
      </w:r>
    </w:p>
    <w:p>
      <w:pPr>
        <w:spacing w:line="240" w:lineRule="auto" w:before="9"/>
        <w:rPr>
          <w:rFonts w:ascii="黑体" w:hAnsi="黑体" w:cs="黑体" w:eastAsia="黑体" w:hint="default"/>
          <w:b/>
          <w:bCs/>
          <w:sz w:val="11"/>
          <w:szCs w:val="11"/>
        </w:rPr>
      </w:pPr>
    </w:p>
    <w:p>
      <w:pPr>
        <w:spacing w:after="0" w:line="240" w:lineRule="auto"/>
        <w:rPr>
          <w:rFonts w:ascii="黑体" w:hAnsi="黑体" w:cs="黑体" w:eastAsia="黑体" w:hint="default"/>
          <w:sz w:val="11"/>
          <w:szCs w:val="11"/>
        </w:rPr>
        <w:sectPr>
          <w:headerReference w:type="default" r:id="rId66"/>
          <w:pgSz w:w="11910" w:h="16840"/>
          <w:pgMar w:header="828" w:footer="476" w:top="2420" w:bottom="660" w:left="1600" w:right="1380"/>
        </w:sectPr>
      </w:pPr>
    </w:p>
    <w:p>
      <w:pPr>
        <w:pStyle w:val="BodyText"/>
        <w:spacing w:line="240" w:lineRule="auto" w:before="38"/>
        <w:ind w:right="-19"/>
        <w:jc w:val="left"/>
      </w:pPr>
      <w:r>
        <w:rPr>
          <w:rFonts w:ascii="Arial" w:hAnsi="Arial" w:cs="Arial" w:eastAsia="Arial" w:hint="default"/>
        </w:rPr>
        <w:t>2009</w:t>
      </w:r>
      <w:r>
        <w:rPr/>
        <w:t>年</w:t>
      </w:r>
    </w:p>
    <w:p>
      <w:pPr>
        <w:spacing w:line="240" w:lineRule="auto" w:before="0"/>
        <w:rPr>
          <w:rFonts w:ascii="黑体" w:hAnsi="黑体" w:cs="黑体" w:eastAsia="黑体" w:hint="default"/>
          <w:sz w:val="26"/>
          <w:szCs w:val="26"/>
        </w:rPr>
      </w:pPr>
      <w:r>
        <w:rPr/>
        <w:br w:type="column"/>
      </w:r>
      <w:r>
        <w:rPr>
          <w:rFonts w:ascii="黑体"/>
          <w:sz w:val="26"/>
        </w:rPr>
      </w:r>
    </w:p>
    <w:p>
      <w:pPr>
        <w:tabs>
          <w:tab w:pos="1717" w:val="left" w:leader="none"/>
          <w:tab w:pos="3273" w:val="left" w:leader="none"/>
          <w:tab w:pos="5124" w:val="left" w:leader="none"/>
        </w:tabs>
        <w:spacing w:before="0"/>
        <w:ind w:left="815" w:right="0" w:firstLine="0"/>
        <w:jc w:val="left"/>
        <w:rPr>
          <w:rFonts w:ascii="黑体" w:hAnsi="黑体" w:cs="黑体" w:eastAsia="黑体" w:hint="default"/>
          <w:sz w:val="18"/>
          <w:szCs w:val="18"/>
        </w:rPr>
      </w:pPr>
      <w:r>
        <w:rPr>
          <w:rFonts w:ascii="黑体" w:hAnsi="黑体" w:cs="黑体" w:eastAsia="黑体" w:hint="default"/>
          <w:sz w:val="18"/>
          <w:szCs w:val="18"/>
        </w:rPr>
        <w:t>年初数</w:t>
        <w:tab/>
        <w:t>本年增加</w:t>
        <w:tab/>
        <w:t>本年减少</w:t>
        <w:tab/>
        <w:t>年末数</w:t>
      </w:r>
    </w:p>
    <w:p>
      <w:pPr>
        <w:spacing w:after="0"/>
        <w:jc w:val="left"/>
        <w:rPr>
          <w:rFonts w:ascii="黑体" w:hAnsi="黑体" w:cs="黑体" w:eastAsia="黑体" w:hint="default"/>
          <w:sz w:val="18"/>
          <w:szCs w:val="18"/>
        </w:rPr>
        <w:sectPr>
          <w:type w:val="continuous"/>
          <w:pgSz w:w="11910" w:h="16840"/>
          <w:pgMar w:top="900" w:bottom="280" w:left="1600" w:right="1380"/>
          <w:cols w:num="2" w:equalWidth="0">
            <w:col w:w="1462" w:space="1623"/>
            <w:col w:w="5845"/>
          </w:cols>
        </w:sectPr>
      </w:pPr>
    </w:p>
    <w:p>
      <w:pPr>
        <w:spacing w:line="240" w:lineRule="auto" w:before="4"/>
        <w:rPr>
          <w:rFonts w:ascii="黑体" w:hAnsi="黑体" w:cs="黑体" w:eastAsia="黑体" w:hint="default"/>
          <w:sz w:val="26"/>
          <w:szCs w:val="26"/>
        </w:rPr>
      </w:pPr>
    </w:p>
    <w:p>
      <w:pPr>
        <w:tabs>
          <w:tab w:pos="3451" w:val="left" w:leader="none"/>
        </w:tabs>
        <w:spacing w:before="44"/>
        <w:ind w:left="810" w:right="0" w:firstLine="0"/>
        <w:jc w:val="both"/>
        <w:rPr>
          <w:rFonts w:ascii="Arial" w:hAnsi="Arial" w:cs="Arial" w:eastAsia="Arial" w:hint="default"/>
          <w:sz w:val="18"/>
          <w:szCs w:val="18"/>
        </w:rPr>
      </w:pPr>
      <w:r>
        <w:rPr>
          <w:rFonts w:ascii="黑体" w:hAnsi="黑体" w:cs="黑体" w:eastAsia="黑体" w:hint="default"/>
          <w:sz w:val="18"/>
          <w:szCs w:val="18"/>
        </w:rPr>
        <w:t>股本溢价</w:t>
        <w:tab/>
      </w:r>
      <w:r>
        <w:rPr>
          <w:rFonts w:ascii="Arial" w:hAnsi="Arial" w:cs="Arial" w:eastAsia="Arial" w:hint="default"/>
          <w:position w:val="1"/>
          <w:sz w:val="18"/>
          <w:szCs w:val="18"/>
        </w:rPr>
        <w:t>678,315,241 259,144,516 </w:t>
      </w:r>
      <w:r>
        <w:rPr>
          <w:rFonts w:ascii="Arial" w:hAnsi="Arial" w:cs="Arial" w:eastAsia="Arial" w:hint="default"/>
          <w:sz w:val="18"/>
          <w:szCs w:val="18"/>
        </w:rPr>
        <w:t>(</w:t>
      </w:r>
      <w:r>
        <w:rPr>
          <w:rFonts w:ascii="黑体" w:hAnsi="黑体" w:cs="黑体" w:eastAsia="黑体" w:hint="default"/>
          <w:sz w:val="18"/>
          <w:szCs w:val="18"/>
        </w:rPr>
        <w:t>注</w:t>
      </w:r>
      <w:r>
        <w:rPr>
          <w:rFonts w:ascii="Arial" w:hAnsi="Arial" w:cs="Arial" w:eastAsia="Arial" w:hint="default"/>
          <w:sz w:val="18"/>
          <w:szCs w:val="18"/>
        </w:rPr>
        <w:t>1)  </w:t>
      </w:r>
      <w:r>
        <w:rPr>
          <w:rFonts w:ascii="Arial" w:hAnsi="Arial" w:cs="Arial" w:eastAsia="Arial" w:hint="default"/>
          <w:position w:val="1"/>
          <w:sz w:val="18"/>
          <w:szCs w:val="18"/>
        </w:rPr>
        <w:t>139,998,893 </w:t>
      </w:r>
      <w:r>
        <w:rPr>
          <w:rFonts w:ascii="Arial" w:hAnsi="Arial" w:cs="Arial" w:eastAsia="Arial" w:hint="default"/>
          <w:sz w:val="18"/>
          <w:szCs w:val="18"/>
        </w:rPr>
        <w:t>(</w:t>
      </w:r>
      <w:r>
        <w:rPr>
          <w:rFonts w:ascii="黑体" w:hAnsi="黑体" w:cs="黑体" w:eastAsia="黑体" w:hint="default"/>
          <w:sz w:val="18"/>
          <w:szCs w:val="18"/>
        </w:rPr>
        <w:t>注</w:t>
      </w:r>
      <w:r>
        <w:rPr>
          <w:rFonts w:ascii="Arial" w:hAnsi="Arial" w:cs="Arial" w:eastAsia="Arial" w:hint="default"/>
          <w:sz w:val="18"/>
          <w:szCs w:val="18"/>
        </w:rPr>
        <w:t>1)   </w:t>
      </w:r>
      <w:r>
        <w:rPr>
          <w:rFonts w:ascii="Arial" w:hAnsi="Arial" w:cs="Arial" w:eastAsia="Arial" w:hint="default"/>
          <w:spacing w:val="12"/>
          <w:sz w:val="18"/>
          <w:szCs w:val="18"/>
        </w:rPr>
        <w:t> </w:t>
      </w:r>
      <w:r>
        <w:rPr>
          <w:rFonts w:ascii="Arial" w:hAnsi="Arial" w:cs="Arial" w:eastAsia="Arial" w:hint="default"/>
          <w:position w:val="1"/>
          <w:sz w:val="18"/>
          <w:szCs w:val="18"/>
        </w:rPr>
        <w:t>797,460,864</w:t>
      </w:r>
      <w:r>
        <w:rPr>
          <w:rFonts w:ascii="Arial" w:hAnsi="Arial" w:cs="Arial" w:eastAsia="Arial" w:hint="default"/>
          <w:sz w:val="18"/>
          <w:szCs w:val="18"/>
        </w:rPr>
      </w:r>
    </w:p>
    <w:p>
      <w:pPr>
        <w:tabs>
          <w:tab w:pos="5462" w:val="left" w:leader="none"/>
          <w:tab w:pos="7017" w:val="left" w:leader="none"/>
          <w:tab w:pos="7849" w:val="left" w:leader="none"/>
        </w:tabs>
        <w:spacing w:before="63"/>
        <w:ind w:left="810" w:right="0" w:firstLine="0"/>
        <w:jc w:val="both"/>
        <w:rPr>
          <w:rFonts w:ascii="Arial" w:hAnsi="Arial" w:cs="Arial" w:eastAsia="Arial" w:hint="default"/>
          <w:sz w:val="18"/>
          <w:szCs w:val="18"/>
        </w:rPr>
      </w:pPr>
      <w:r>
        <w:rPr>
          <w:rFonts w:ascii="黑体" w:hAnsi="黑体" w:cs="黑体" w:eastAsia="黑体" w:hint="default"/>
          <w:sz w:val="18"/>
          <w:szCs w:val="18"/>
        </w:rPr>
        <w:t>新股申购冻结资金利息         </w:t>
      </w:r>
      <w:r>
        <w:rPr>
          <w:rFonts w:ascii="黑体" w:hAnsi="黑体" w:cs="黑体" w:eastAsia="黑体" w:hint="default"/>
          <w:spacing w:val="32"/>
          <w:sz w:val="18"/>
          <w:szCs w:val="18"/>
        </w:rPr>
        <w:t> </w:t>
      </w:r>
      <w:r>
        <w:rPr>
          <w:rFonts w:ascii="Arial" w:hAnsi="Arial" w:cs="Arial" w:eastAsia="Arial" w:hint="default"/>
          <w:position w:val="1"/>
          <w:sz w:val="18"/>
          <w:szCs w:val="18"/>
        </w:rPr>
        <w:t>20,148,153</w:t>
        <w:tab/>
        <w:t>-</w:t>
        <w:tab/>
        <w:t>-</w:t>
        <w:tab/>
        <w:t>20,148,153</w:t>
      </w:r>
      <w:r>
        <w:rPr>
          <w:rFonts w:ascii="Arial" w:hAnsi="Arial" w:cs="Arial" w:eastAsia="Arial" w:hint="default"/>
          <w:sz w:val="18"/>
          <w:szCs w:val="18"/>
        </w:rPr>
      </w:r>
    </w:p>
    <w:p>
      <w:pPr>
        <w:tabs>
          <w:tab w:pos="3551" w:val="left" w:leader="none"/>
          <w:tab w:pos="5462" w:val="left" w:leader="none"/>
          <w:tab w:pos="7017" w:val="left" w:leader="none"/>
          <w:tab w:pos="7849" w:val="left" w:leader="none"/>
        </w:tabs>
        <w:spacing w:before="73"/>
        <w:ind w:left="810" w:right="0" w:firstLine="0"/>
        <w:jc w:val="both"/>
        <w:rPr>
          <w:rFonts w:ascii="Arial" w:hAnsi="Arial" w:cs="Arial" w:eastAsia="Arial" w:hint="default"/>
          <w:sz w:val="18"/>
          <w:szCs w:val="18"/>
        </w:rPr>
      </w:pPr>
      <w:r>
        <w:rPr>
          <w:rFonts w:ascii="黑体" w:hAnsi="黑体" w:cs="黑体" w:eastAsia="黑体" w:hint="default"/>
          <w:sz w:val="18"/>
          <w:szCs w:val="18"/>
        </w:rPr>
        <w:t>关联交易差价</w:t>
        <w:tab/>
      </w:r>
      <w:r>
        <w:rPr>
          <w:rFonts w:ascii="Arial" w:hAnsi="Arial" w:cs="Arial" w:eastAsia="Arial" w:hint="default"/>
          <w:spacing w:val="-1"/>
          <w:position w:val="1"/>
          <w:sz w:val="18"/>
          <w:szCs w:val="18"/>
        </w:rPr>
        <w:t>17,969,348</w:t>
        <w:tab/>
      </w:r>
      <w:r>
        <w:rPr>
          <w:rFonts w:ascii="Arial" w:hAnsi="Arial" w:cs="Arial" w:eastAsia="Arial" w:hint="default"/>
          <w:position w:val="1"/>
          <w:sz w:val="18"/>
          <w:szCs w:val="18"/>
        </w:rPr>
        <w:t>-</w:t>
        <w:tab/>
        <w:t>-</w:t>
        <w:tab/>
      </w:r>
      <w:r>
        <w:rPr>
          <w:rFonts w:ascii="Arial" w:hAnsi="Arial" w:cs="Arial" w:eastAsia="Arial" w:hint="default"/>
          <w:spacing w:val="-1"/>
          <w:position w:val="1"/>
          <w:sz w:val="18"/>
          <w:szCs w:val="18"/>
        </w:rPr>
        <w:t>17,969,348</w:t>
      </w:r>
      <w:r>
        <w:rPr>
          <w:rFonts w:ascii="Arial" w:hAnsi="Arial" w:cs="Arial" w:eastAsia="Arial" w:hint="default"/>
          <w:spacing w:val="-1"/>
          <w:sz w:val="18"/>
          <w:szCs w:val="18"/>
        </w:rPr>
      </w:r>
    </w:p>
    <w:p>
      <w:pPr>
        <w:tabs>
          <w:tab w:pos="5462" w:val="left" w:leader="none"/>
          <w:tab w:pos="6078" w:val="left" w:leader="none"/>
          <w:tab w:pos="8689" w:val="left" w:leader="none"/>
        </w:tabs>
        <w:spacing w:before="73"/>
        <w:ind w:left="801" w:right="0" w:firstLine="0"/>
        <w:jc w:val="both"/>
        <w:rPr>
          <w:rFonts w:ascii="Arial" w:hAnsi="Arial" w:cs="Arial" w:eastAsia="Arial" w:hint="default"/>
          <w:sz w:val="18"/>
          <w:szCs w:val="18"/>
        </w:rPr>
      </w:pPr>
      <w:r>
        <w:rPr>
          <w:rFonts w:ascii="黑体" w:hAnsi="黑体" w:cs="黑体" w:eastAsia="黑体" w:hint="default"/>
          <w:sz w:val="18"/>
          <w:szCs w:val="18"/>
        </w:rPr>
        <w:t>可供出售金融资产公允价值变动</w:t>
      </w:r>
      <w:r>
        <w:rPr>
          <w:rFonts w:ascii="黑体" w:hAnsi="黑体" w:cs="黑体" w:eastAsia="黑体" w:hint="default"/>
          <w:spacing w:val="31"/>
          <w:sz w:val="18"/>
          <w:szCs w:val="18"/>
        </w:rPr>
        <w:t> </w:t>
      </w:r>
      <w:r>
        <w:rPr>
          <w:rFonts w:ascii="Arial" w:hAnsi="Arial" w:cs="Arial" w:eastAsia="Arial" w:hint="default"/>
          <w:position w:val="1"/>
          <w:sz w:val="18"/>
          <w:szCs w:val="18"/>
        </w:rPr>
        <w:t>205,568,592</w:t>
        <w:tab/>
        <w:t>-</w:t>
        <w:tab/>
        <w:t>205,568,592</w:t>
      </w:r>
      <w:r>
        <w:rPr>
          <w:rFonts w:ascii="Arial" w:hAnsi="Arial" w:cs="Arial" w:eastAsia="Arial" w:hint="default"/>
          <w:spacing w:val="9"/>
          <w:position w:val="1"/>
          <w:sz w:val="18"/>
          <w:szCs w:val="18"/>
        </w:rPr>
        <w:t> </w:t>
      </w:r>
      <w:r>
        <w:rPr>
          <w:rFonts w:ascii="Arial" w:hAnsi="Arial" w:cs="Arial" w:eastAsia="Arial" w:hint="default"/>
          <w:sz w:val="18"/>
          <w:szCs w:val="18"/>
        </w:rPr>
        <w:t>(</w:t>
      </w:r>
      <w:r>
        <w:rPr>
          <w:rFonts w:ascii="黑体" w:hAnsi="黑体" w:cs="黑体" w:eastAsia="黑体" w:hint="default"/>
          <w:sz w:val="18"/>
          <w:szCs w:val="18"/>
        </w:rPr>
        <w:t>注</w:t>
      </w:r>
      <w:r>
        <w:rPr>
          <w:rFonts w:ascii="Arial" w:hAnsi="Arial" w:cs="Arial" w:eastAsia="Arial" w:hint="default"/>
          <w:sz w:val="18"/>
          <w:szCs w:val="18"/>
        </w:rPr>
        <w:t>2)</w:t>
        <w:tab/>
      </w:r>
      <w:r>
        <w:rPr>
          <w:rFonts w:ascii="Arial" w:hAnsi="Arial" w:cs="Arial" w:eastAsia="Arial" w:hint="default"/>
          <w:position w:val="1"/>
          <w:sz w:val="18"/>
          <w:szCs w:val="18"/>
        </w:rPr>
        <w:t>-</w:t>
      </w:r>
      <w:r>
        <w:rPr>
          <w:rFonts w:ascii="Arial" w:hAnsi="Arial" w:cs="Arial" w:eastAsia="Arial" w:hint="default"/>
          <w:sz w:val="18"/>
          <w:szCs w:val="18"/>
        </w:rPr>
      </w:r>
    </w:p>
    <w:p>
      <w:pPr>
        <w:tabs>
          <w:tab w:pos="3431" w:val="left" w:leader="none"/>
          <w:tab w:pos="4391" w:val="left" w:leader="none"/>
          <w:tab w:pos="5462" w:val="left" w:leader="none"/>
          <w:tab w:pos="6178" w:val="left" w:leader="none"/>
          <w:tab w:pos="7018" w:val="left" w:leader="none"/>
          <w:tab w:pos="7729" w:val="left" w:leader="none"/>
        </w:tabs>
        <w:spacing w:line="302" w:lineRule="auto" w:before="63"/>
        <w:ind w:left="796" w:right="113" w:firstLine="14"/>
        <w:jc w:val="both"/>
        <w:rPr>
          <w:rFonts w:ascii="Arial" w:hAnsi="Arial" w:cs="Arial" w:eastAsia="Arial" w:hint="default"/>
          <w:sz w:val="18"/>
          <w:szCs w:val="18"/>
        </w:rPr>
      </w:pPr>
      <w:r>
        <w:rPr>
          <w:rFonts w:ascii="黑体" w:hAnsi="黑体" w:cs="黑体" w:eastAsia="黑体" w:hint="default"/>
          <w:sz w:val="18"/>
          <w:szCs w:val="18"/>
        </w:rPr>
        <w:t>股权激励成本</w:t>
        <w:tab/>
      </w:r>
      <w:r>
        <w:rPr>
          <w:rFonts w:ascii="Arial" w:hAnsi="Arial" w:cs="Arial" w:eastAsia="Arial" w:hint="default"/>
          <w:position w:val="1"/>
          <w:sz w:val="18"/>
          <w:szCs w:val="18"/>
        </w:rPr>
        <w:t>44,057,590     8,249,607 </w:t>
      </w:r>
      <w:r>
        <w:rPr>
          <w:rFonts w:ascii="Arial" w:hAnsi="Arial" w:cs="Arial" w:eastAsia="Arial" w:hint="default"/>
          <w:sz w:val="18"/>
          <w:szCs w:val="18"/>
        </w:rPr>
        <w:t>(</w:t>
      </w:r>
      <w:r>
        <w:rPr>
          <w:rFonts w:ascii="黑体" w:hAnsi="黑体" w:cs="黑体" w:eastAsia="黑体" w:hint="default"/>
          <w:sz w:val="18"/>
          <w:szCs w:val="18"/>
        </w:rPr>
        <w:t>注</w:t>
      </w:r>
      <w:r>
        <w:rPr>
          <w:rFonts w:ascii="Arial" w:hAnsi="Arial" w:cs="Arial" w:eastAsia="Arial" w:hint="default"/>
          <w:sz w:val="18"/>
          <w:szCs w:val="18"/>
        </w:rPr>
        <w:t>3)        </w:t>
      </w:r>
      <w:r>
        <w:rPr>
          <w:rFonts w:ascii="Arial" w:hAnsi="Arial" w:cs="Arial" w:eastAsia="Arial" w:hint="default"/>
          <w:position w:val="1"/>
          <w:sz w:val="18"/>
          <w:szCs w:val="18"/>
        </w:rPr>
        <w:t>219,490 </w:t>
      </w:r>
      <w:r>
        <w:rPr>
          <w:rFonts w:ascii="Arial" w:hAnsi="Arial" w:cs="Arial" w:eastAsia="Arial" w:hint="default"/>
          <w:sz w:val="18"/>
          <w:szCs w:val="18"/>
        </w:rPr>
        <w:t>(</w:t>
      </w:r>
      <w:r>
        <w:rPr>
          <w:rFonts w:ascii="黑体" w:hAnsi="黑体" w:cs="黑体" w:eastAsia="黑体" w:hint="default"/>
          <w:sz w:val="18"/>
          <w:szCs w:val="18"/>
        </w:rPr>
        <w:t>注</w:t>
      </w:r>
      <w:r>
        <w:rPr>
          <w:rFonts w:ascii="Arial" w:hAnsi="Arial" w:cs="Arial" w:eastAsia="Arial" w:hint="default"/>
          <w:sz w:val="18"/>
          <w:szCs w:val="18"/>
        </w:rPr>
        <w:t>3)      </w:t>
      </w:r>
      <w:r>
        <w:rPr>
          <w:rFonts w:ascii="Arial" w:hAnsi="Arial" w:cs="Arial" w:eastAsia="Arial" w:hint="default"/>
          <w:spacing w:val="19"/>
          <w:sz w:val="18"/>
          <w:szCs w:val="18"/>
        </w:rPr>
        <w:t> </w:t>
      </w:r>
      <w:r>
        <w:rPr>
          <w:rFonts w:ascii="Arial" w:hAnsi="Arial" w:cs="Arial" w:eastAsia="Arial" w:hint="default"/>
          <w:position w:val="1"/>
          <w:sz w:val="18"/>
          <w:szCs w:val="18"/>
        </w:rPr>
        <w:t>52,087,707</w:t>
      </w:r>
      <w:r>
        <w:rPr>
          <w:rFonts w:ascii="Arial" w:hAnsi="Arial" w:cs="Arial" w:eastAsia="Arial" w:hint="default"/>
          <w:w w:val="99"/>
          <w:position w:val="1"/>
          <w:sz w:val="18"/>
          <w:szCs w:val="18"/>
        </w:rPr>
        <w:t> </w:t>
      </w:r>
      <w:r>
        <w:rPr>
          <w:rFonts w:ascii="黑体" w:hAnsi="黑体" w:cs="黑体" w:eastAsia="黑体" w:hint="default"/>
          <w:sz w:val="18"/>
          <w:szCs w:val="18"/>
        </w:rPr>
        <w:t>受让少数股东股权</w:t>
        <w:tab/>
        <w:tab/>
      </w:r>
      <w:r>
        <w:rPr>
          <w:rFonts w:ascii="Arial" w:hAnsi="Arial" w:cs="Arial" w:eastAsia="Arial" w:hint="default"/>
          <w:position w:val="1"/>
          <w:sz w:val="18"/>
          <w:szCs w:val="18"/>
        </w:rPr>
        <w:t>-</w:t>
        <w:tab/>
        <w:t>-</w:t>
        <w:tab/>
        <w:t>45,304,360 </w:t>
      </w:r>
      <w:r>
        <w:rPr>
          <w:rFonts w:ascii="Arial" w:hAnsi="Arial" w:cs="Arial" w:eastAsia="Arial" w:hint="default"/>
          <w:sz w:val="18"/>
          <w:szCs w:val="18"/>
        </w:rPr>
        <w:t>(</w:t>
      </w:r>
      <w:r>
        <w:rPr>
          <w:rFonts w:ascii="黑体" w:hAnsi="黑体" w:cs="黑体" w:eastAsia="黑体" w:hint="default"/>
          <w:sz w:val="18"/>
          <w:szCs w:val="18"/>
        </w:rPr>
        <w:t>注</w:t>
      </w:r>
      <w:r>
        <w:rPr>
          <w:rFonts w:ascii="Arial" w:hAnsi="Arial" w:cs="Arial" w:eastAsia="Arial" w:hint="default"/>
          <w:sz w:val="18"/>
          <w:szCs w:val="18"/>
        </w:rPr>
        <w:t>4)  </w:t>
      </w:r>
      <w:r>
        <w:rPr>
          <w:rFonts w:ascii="Arial" w:hAnsi="Arial" w:cs="Arial" w:eastAsia="Arial" w:hint="default"/>
          <w:position w:val="1"/>
          <w:sz w:val="18"/>
          <w:szCs w:val="18"/>
        </w:rPr>
        <w:t>( </w:t>
      </w:r>
      <w:r>
        <w:rPr>
          <w:rFonts w:ascii="Arial" w:hAnsi="Arial" w:cs="Arial" w:eastAsia="Arial" w:hint="default"/>
          <w:spacing w:val="42"/>
          <w:position w:val="1"/>
          <w:sz w:val="18"/>
          <w:szCs w:val="18"/>
        </w:rPr>
        <w:t> </w:t>
      </w:r>
      <w:r>
        <w:rPr>
          <w:rFonts w:ascii="Arial" w:hAnsi="Arial" w:cs="Arial" w:eastAsia="Arial" w:hint="default"/>
          <w:position w:val="1"/>
          <w:sz w:val="18"/>
          <w:szCs w:val="18"/>
        </w:rPr>
        <w:t>45,304,360)</w:t>
      </w:r>
      <w:r>
        <w:rPr>
          <w:rFonts w:ascii="Arial" w:hAnsi="Arial" w:cs="Arial" w:eastAsia="Arial" w:hint="default"/>
          <w:spacing w:val="-1"/>
          <w:w w:val="99"/>
          <w:position w:val="1"/>
          <w:sz w:val="18"/>
          <w:szCs w:val="18"/>
        </w:rPr>
        <w:t> </w:t>
      </w:r>
      <w:r>
        <w:rPr>
          <w:rFonts w:ascii="黑体" w:hAnsi="黑体" w:cs="黑体" w:eastAsia="黑体" w:hint="default"/>
          <w:sz w:val="18"/>
          <w:szCs w:val="18"/>
        </w:rPr>
        <w:t>其他</w:t>
        <w:tab/>
      </w:r>
      <w:r>
        <w:rPr>
          <w:rFonts w:ascii="Arial" w:hAnsi="Arial" w:cs="Arial" w:eastAsia="Arial" w:hint="default"/>
          <w:position w:val="1"/>
          <w:sz w:val="18"/>
          <w:szCs w:val="18"/>
        </w:rPr>
      </w:r>
      <w:r>
        <w:rPr>
          <w:rFonts w:ascii="Arial" w:hAnsi="Arial" w:cs="Arial" w:eastAsia="Arial" w:hint="default"/>
          <w:position w:val="1"/>
          <w:sz w:val="18"/>
          <w:szCs w:val="18"/>
          <w:u w:val="single" w:color="000000"/>
        </w:rPr>
        <w:t> 19,577,744        </w:t>
      </w:r>
      <w:r>
        <w:rPr>
          <w:rFonts w:ascii="Arial" w:hAnsi="Arial" w:cs="Arial" w:eastAsia="Arial" w:hint="default"/>
          <w:position w:val="1"/>
          <w:sz w:val="18"/>
          <w:szCs w:val="18"/>
        </w:rPr>
      </w:r>
      <w:r>
        <w:rPr>
          <w:rFonts w:ascii="Arial" w:hAnsi="Arial" w:cs="Arial" w:eastAsia="Arial" w:hint="default"/>
          <w:position w:val="1"/>
          <w:sz w:val="18"/>
          <w:szCs w:val="18"/>
          <w:u w:val="single" w:color="000000"/>
        </w:rPr>
        <w:t> 902,806</w:t>
      </w:r>
      <w:r>
        <w:rPr>
          <w:rFonts w:ascii="Arial" w:hAnsi="Arial" w:cs="Arial" w:eastAsia="Arial" w:hint="default"/>
          <w:spacing w:val="28"/>
          <w:position w:val="1"/>
          <w:sz w:val="18"/>
          <w:szCs w:val="18"/>
          <w:u w:val="single" w:color="000000"/>
        </w:rPr>
        <w:t> </w:t>
      </w:r>
      <w:r>
        <w:rPr>
          <w:rFonts w:ascii="Arial" w:hAnsi="Arial" w:cs="Arial" w:eastAsia="Arial" w:hint="default"/>
          <w:spacing w:val="28"/>
          <w:position w:val="1"/>
          <w:sz w:val="18"/>
          <w:szCs w:val="18"/>
        </w:rPr>
      </w:r>
      <w:r>
        <w:rPr>
          <w:rFonts w:ascii="Arial" w:hAnsi="Arial" w:cs="Arial" w:eastAsia="Arial" w:hint="default"/>
          <w:sz w:val="18"/>
          <w:szCs w:val="18"/>
        </w:rPr>
        <w:t>(</w:t>
      </w:r>
      <w:r>
        <w:rPr>
          <w:rFonts w:ascii="黑体" w:hAnsi="黑体" w:cs="黑体" w:eastAsia="黑体" w:hint="default"/>
          <w:sz w:val="18"/>
          <w:szCs w:val="18"/>
        </w:rPr>
        <w:t>注</w:t>
      </w:r>
      <w:r>
        <w:rPr>
          <w:rFonts w:ascii="Arial" w:hAnsi="Arial" w:cs="Arial" w:eastAsia="Arial" w:hint="default"/>
          <w:sz w:val="18"/>
          <w:szCs w:val="18"/>
        </w:rPr>
        <w:t>5)</w:t>
      </w:r>
      <w:r>
        <w:rPr>
          <w:rFonts w:ascii="Arial" w:hAnsi="Arial" w:cs="Arial" w:eastAsia="Arial" w:hint="default"/>
          <w:position w:val="1"/>
          <w:sz w:val="18"/>
          <w:szCs w:val="18"/>
        </w:rPr>
      </w:r>
      <w:r>
        <w:rPr>
          <w:rFonts w:ascii="Arial" w:hAnsi="Arial" w:cs="Arial" w:eastAsia="Arial" w:hint="default"/>
          <w:position w:val="1"/>
          <w:sz w:val="18"/>
          <w:szCs w:val="18"/>
          <w:u w:val="single" w:color="000000"/>
        </w:rPr>
        <w:t> </w:t>
        <w:tab/>
        <w:tab/>
        <w:t>-</w:t>
      </w:r>
      <w:r>
        <w:rPr>
          <w:rFonts w:ascii="Arial" w:hAnsi="Arial" w:cs="Arial" w:eastAsia="Arial" w:hint="default"/>
          <w:position w:val="1"/>
          <w:sz w:val="18"/>
          <w:szCs w:val="18"/>
        </w:rPr>
        <w:tab/>
      </w:r>
      <w:r>
        <w:rPr>
          <w:rFonts w:ascii="Arial" w:hAnsi="Arial" w:cs="Arial" w:eastAsia="Arial" w:hint="default"/>
          <w:position w:val="1"/>
          <w:sz w:val="18"/>
          <w:szCs w:val="18"/>
          <w:u w:val="single" w:color="000000"/>
        </w:rPr>
        <w:t> 20,480,550</w:t>
      </w:r>
      <w:r>
        <w:rPr>
          <w:rFonts w:ascii="Arial" w:hAnsi="Arial" w:cs="Arial" w:eastAsia="Arial" w:hint="default"/>
          <w:position w:val="1"/>
          <w:sz w:val="18"/>
          <w:szCs w:val="18"/>
        </w:rPr>
      </w:r>
      <w:r>
        <w:rPr>
          <w:rFonts w:ascii="Arial" w:hAnsi="Arial" w:cs="Arial" w:eastAsia="Arial" w:hint="default"/>
          <w:sz w:val="18"/>
          <w:szCs w:val="18"/>
        </w:rPr>
      </w:r>
    </w:p>
    <w:p>
      <w:pPr>
        <w:tabs>
          <w:tab w:pos="3451" w:val="left" w:leader="none"/>
          <w:tab w:pos="6078" w:val="left" w:leader="none"/>
          <w:tab w:pos="7750" w:val="left" w:leader="none"/>
        </w:tabs>
        <w:spacing w:before="8"/>
        <w:ind w:left="796" w:right="0" w:firstLine="0"/>
        <w:jc w:val="both"/>
        <w:rPr>
          <w:rFonts w:ascii="Arial" w:hAnsi="Arial" w:cs="Arial" w:eastAsia="Arial" w:hint="default"/>
          <w:sz w:val="18"/>
          <w:szCs w:val="18"/>
        </w:rPr>
      </w:pPr>
      <w:r>
        <w:rPr>
          <w:rFonts w:ascii="黑体" w:hAnsi="黑体" w:cs="黑体" w:eastAsia="黑体" w:hint="default"/>
          <w:sz w:val="18"/>
          <w:szCs w:val="18"/>
        </w:rPr>
        <w:t>合计</w:t>
        <w:tab/>
      </w:r>
      <w:r>
        <w:rPr>
          <w:rFonts w:ascii="Arial" w:hAnsi="Arial" w:cs="Arial" w:eastAsia="Arial" w:hint="default"/>
          <w:position w:val="1"/>
          <w:sz w:val="18"/>
          <w:szCs w:val="18"/>
        </w:rPr>
      </w:r>
      <w:r>
        <w:rPr>
          <w:rFonts w:ascii="Arial" w:hAnsi="Arial" w:cs="Arial" w:eastAsia="Arial" w:hint="default"/>
          <w:spacing w:val="-1"/>
          <w:position w:val="1"/>
          <w:sz w:val="18"/>
          <w:szCs w:val="18"/>
          <w:u w:val="thick" w:color="000000"/>
        </w:rPr>
        <w:t>985,636,668</w:t>
      </w:r>
      <w:r>
        <w:rPr>
          <w:rFonts w:ascii="Arial" w:hAnsi="Arial" w:cs="Arial" w:eastAsia="Arial" w:hint="default"/>
          <w:spacing w:val="26"/>
          <w:position w:val="1"/>
          <w:sz w:val="18"/>
          <w:szCs w:val="18"/>
          <w:u w:val="thick" w:color="000000"/>
        </w:rPr>
        <w:t> </w:t>
      </w:r>
      <w:r>
        <w:rPr>
          <w:rFonts w:ascii="Arial" w:hAnsi="Arial" w:cs="Arial" w:eastAsia="Arial" w:hint="default"/>
          <w:spacing w:val="26"/>
          <w:position w:val="1"/>
          <w:sz w:val="18"/>
          <w:szCs w:val="18"/>
        </w:rPr>
      </w:r>
      <w:r>
        <w:rPr>
          <w:rFonts w:ascii="Arial" w:hAnsi="Arial" w:cs="Arial" w:eastAsia="Arial" w:hint="default"/>
          <w:spacing w:val="-1"/>
          <w:position w:val="1"/>
          <w:sz w:val="18"/>
          <w:szCs w:val="18"/>
          <w:u w:val="thick" w:color="000000"/>
        </w:rPr>
        <w:t>268,296,929</w:t>
      </w:r>
      <w:r>
        <w:rPr>
          <w:rFonts w:ascii="Arial" w:hAnsi="Arial" w:cs="Arial" w:eastAsia="Arial" w:hint="default"/>
          <w:spacing w:val="-1"/>
          <w:position w:val="1"/>
          <w:sz w:val="18"/>
          <w:szCs w:val="18"/>
        </w:rPr>
        <w:tab/>
      </w:r>
      <w:r>
        <w:rPr>
          <w:rFonts w:ascii="Arial" w:hAnsi="Arial" w:cs="Arial" w:eastAsia="Arial" w:hint="default"/>
          <w:spacing w:val="-1"/>
          <w:position w:val="1"/>
          <w:sz w:val="18"/>
          <w:szCs w:val="18"/>
          <w:u w:val="thick" w:color="000000"/>
        </w:rPr>
        <w:t>391,091,335</w:t>
      </w:r>
      <w:r>
        <w:rPr>
          <w:rFonts w:ascii="Arial" w:hAnsi="Arial" w:cs="Arial" w:eastAsia="Arial" w:hint="default"/>
          <w:spacing w:val="-1"/>
          <w:position w:val="1"/>
          <w:sz w:val="18"/>
          <w:szCs w:val="18"/>
        </w:rPr>
        <w:tab/>
      </w:r>
      <w:r>
        <w:rPr>
          <w:rFonts w:ascii="Arial" w:hAnsi="Arial" w:cs="Arial" w:eastAsia="Arial" w:hint="default"/>
          <w:spacing w:val="-1"/>
          <w:position w:val="1"/>
          <w:sz w:val="18"/>
          <w:szCs w:val="18"/>
          <w:u w:val="thick" w:color="000000"/>
        </w:rPr>
        <w:t>862,842,262</w:t>
      </w:r>
      <w:r>
        <w:rPr>
          <w:rFonts w:ascii="Arial" w:hAnsi="Arial" w:cs="Arial" w:eastAsia="Arial" w:hint="default"/>
          <w:spacing w:val="-1"/>
          <w:position w:val="1"/>
          <w:sz w:val="18"/>
          <w:szCs w:val="18"/>
        </w:rPr>
      </w:r>
      <w:r>
        <w:rPr>
          <w:rFonts w:ascii="Arial" w:hAnsi="Arial" w:cs="Arial" w:eastAsia="Arial" w:hint="default"/>
          <w:spacing w:val="-1"/>
          <w:sz w:val="18"/>
          <w:szCs w:val="18"/>
        </w:rPr>
      </w:r>
    </w:p>
    <w:p>
      <w:pPr>
        <w:spacing w:line="240" w:lineRule="auto" w:before="7"/>
        <w:rPr>
          <w:rFonts w:ascii="Arial" w:hAnsi="Arial" w:cs="Arial" w:eastAsia="Arial" w:hint="default"/>
          <w:sz w:val="26"/>
          <w:szCs w:val="26"/>
        </w:rPr>
      </w:pPr>
    </w:p>
    <w:p>
      <w:pPr>
        <w:pStyle w:val="BodyText"/>
        <w:spacing w:line="260" w:lineRule="exact" w:before="64"/>
        <w:ind w:left="1310" w:right="307" w:hanging="500"/>
        <w:jc w:val="both"/>
      </w:pPr>
      <w:r>
        <w:rPr/>
        <w:t>注</w:t>
      </w:r>
      <w:r>
        <w:rPr>
          <w:rFonts w:ascii="Arial" w:hAnsi="Arial" w:cs="Arial" w:eastAsia="Arial" w:hint="default"/>
        </w:rPr>
        <w:t>1</w:t>
      </w:r>
      <w:r>
        <w:rPr/>
        <w:t>．参见附注五、</w:t>
      </w:r>
      <w:r>
        <w:rPr>
          <w:rFonts w:ascii="Arial" w:hAnsi="Arial" w:cs="Arial" w:eastAsia="Arial" w:hint="default"/>
        </w:rPr>
        <w:t>28</w:t>
      </w:r>
      <w:r>
        <w:rPr/>
        <w:t>、</w:t>
      </w:r>
      <w:r>
        <w:rPr>
          <w:rFonts w:ascii="Arial" w:hAnsi="Arial" w:cs="Arial" w:eastAsia="Arial" w:hint="default"/>
        </w:rPr>
        <w:t>2009</w:t>
      </w:r>
      <w:r>
        <w:rPr/>
        <w:t>年、注</w:t>
      </w:r>
      <w:r>
        <w:rPr>
          <w:rFonts w:ascii="Arial" w:hAnsi="Arial" w:cs="Arial" w:eastAsia="Arial" w:hint="default"/>
        </w:rPr>
        <w:t>3</w:t>
      </w:r>
      <w:r>
        <w:rPr/>
        <w:t>。此外，本集团于</w:t>
      </w:r>
      <w:r>
        <w:rPr>
          <w:rFonts w:ascii="Arial" w:hAnsi="Arial" w:cs="Arial" w:eastAsia="Arial" w:hint="default"/>
        </w:rPr>
        <w:t>2009</w:t>
      </w:r>
      <w:r>
        <w:rPr/>
        <w:t>年</w:t>
      </w:r>
      <w:r>
        <w:rPr>
          <w:rFonts w:ascii="Arial" w:hAnsi="Arial" w:cs="Arial" w:eastAsia="Arial" w:hint="default"/>
        </w:rPr>
        <w:t>10</w:t>
      </w:r>
      <w:r>
        <w:rPr/>
        <w:t>月</w:t>
      </w:r>
      <w:r>
        <w:rPr>
          <w:rFonts w:ascii="Arial" w:hAnsi="Arial" w:cs="Arial" w:eastAsia="Arial" w:hint="default"/>
        </w:rPr>
        <w:t>30</w:t>
      </w:r>
      <w:r>
        <w:rPr/>
        <w:t>日与用友烟草的核</w:t>
      </w:r>
      <w:r>
        <w:rPr>
          <w:spacing w:val="-89"/>
        </w:rPr>
        <w:t> </w:t>
      </w:r>
      <w:r>
        <w:rPr>
          <w:spacing w:val="6"/>
        </w:rPr>
        <w:t>心管理人员樊冠军签订了股权转让协议，将本集团持有的初始投资成本为人民币</w:t>
      </w:r>
      <w:r>
        <w:rPr>
          <w:spacing w:val="8"/>
          <w:w w:val="100"/>
        </w:rPr>
        <w:t> </w:t>
      </w:r>
      <w:r>
        <w:rPr>
          <w:rFonts w:ascii="Arial" w:hAnsi="Arial" w:cs="Arial" w:eastAsia="Arial" w:hint="default"/>
          <w:spacing w:val="-2"/>
        </w:rPr>
        <w:t>600,000</w:t>
      </w:r>
      <w:r>
        <w:rPr>
          <w:spacing w:val="-2"/>
        </w:rPr>
        <w:t>元的用友烟草的</w:t>
      </w:r>
      <w:r>
        <w:rPr>
          <w:rFonts w:ascii="Arial" w:hAnsi="Arial" w:cs="Arial" w:eastAsia="Arial" w:hint="default"/>
          <w:spacing w:val="-2"/>
        </w:rPr>
        <w:t>3%</w:t>
      </w:r>
      <w:r>
        <w:rPr>
          <w:spacing w:val="-2"/>
        </w:rPr>
        <w:t>股权以人民币</w:t>
      </w:r>
      <w:r>
        <w:rPr>
          <w:rFonts w:ascii="Arial" w:hAnsi="Arial" w:cs="Arial" w:eastAsia="Arial" w:hint="default"/>
          <w:spacing w:val="-2"/>
        </w:rPr>
        <w:t>781,747</w:t>
      </w:r>
      <w:r>
        <w:rPr>
          <w:spacing w:val="-2"/>
        </w:rPr>
        <w:t>元的转让价格转让给樊冠军，转让</w:t>
      </w:r>
      <w:r>
        <w:rPr>
          <w:w w:val="100"/>
        </w:rPr>
        <w:t> </w:t>
      </w:r>
      <w:r>
        <w:rPr/>
        <w:t>后，公司持有厦门烟草</w:t>
      </w:r>
      <w:r>
        <w:rPr>
          <w:rFonts w:ascii="Arial" w:hAnsi="Arial" w:cs="Arial" w:eastAsia="Arial" w:hint="default"/>
        </w:rPr>
        <w:t>76%</w:t>
      </w:r>
      <w:r>
        <w:rPr/>
        <w:t>的股权。根据变更后的会计政策（参见附注二、</w:t>
      </w:r>
      <w:r>
        <w:rPr>
          <w:rFonts w:ascii="Arial" w:hAnsi="Arial" w:cs="Arial" w:eastAsia="Arial" w:hint="default"/>
        </w:rPr>
        <w:t>31</w:t>
      </w:r>
      <w:r>
        <w:rPr/>
        <w:t>），</w:t>
      </w:r>
      <w:r>
        <w:rPr>
          <w:spacing w:val="1"/>
          <w:w w:val="100"/>
        </w:rPr>
        <w:t> </w:t>
      </w:r>
      <w:r>
        <w:rPr>
          <w:spacing w:val="2"/>
        </w:rPr>
        <w:t>本集团将处置价款与截至</w:t>
      </w:r>
      <w:r>
        <w:rPr>
          <w:rFonts w:ascii="Arial" w:hAnsi="Arial" w:cs="Arial" w:eastAsia="Arial" w:hint="default"/>
          <w:spacing w:val="2"/>
        </w:rPr>
        <w:t>2009</w:t>
      </w:r>
      <w:r>
        <w:rPr>
          <w:spacing w:val="2"/>
        </w:rPr>
        <w:t>年</w:t>
      </w:r>
      <w:r>
        <w:rPr>
          <w:rFonts w:ascii="Arial" w:hAnsi="Arial" w:cs="Arial" w:eastAsia="Arial" w:hint="default"/>
          <w:spacing w:val="2"/>
        </w:rPr>
        <w:t>10</w:t>
      </w:r>
      <w:r>
        <w:rPr>
          <w:spacing w:val="2"/>
        </w:rPr>
        <w:t>月底股权交割日所处置</w:t>
      </w:r>
      <w:r>
        <w:rPr>
          <w:rFonts w:ascii="Arial" w:hAnsi="Arial" w:cs="Arial" w:eastAsia="Arial" w:hint="default"/>
          <w:spacing w:val="2"/>
        </w:rPr>
        <w:t>3%</w:t>
      </w:r>
      <w:r>
        <w:rPr>
          <w:spacing w:val="2"/>
        </w:rPr>
        <w:t>股权对应的用友烟草</w:t>
      </w:r>
      <w:r>
        <w:rPr>
          <w:w w:val="100"/>
        </w:rPr>
        <w:t> </w:t>
      </w:r>
      <w:r>
        <w:rPr/>
        <w:t>净资产份额的差额人民币</w:t>
      </w:r>
      <w:r>
        <w:rPr>
          <w:rFonts w:ascii="Arial" w:hAnsi="Arial" w:cs="Arial" w:eastAsia="Arial" w:hint="default"/>
        </w:rPr>
        <w:t>391,929</w:t>
      </w:r>
      <w:r>
        <w:rPr/>
        <w:t>元，计入了</w:t>
      </w:r>
      <w:r>
        <w:rPr>
          <w:rFonts w:ascii="Arial" w:hAnsi="Arial" w:cs="Arial" w:eastAsia="Arial" w:hint="default"/>
        </w:rPr>
        <w:t>2009</w:t>
      </w:r>
      <w:r>
        <w:rPr/>
        <w:t>年资本公积中的股本溢价。</w:t>
      </w:r>
    </w:p>
    <w:p>
      <w:pPr>
        <w:spacing w:line="240" w:lineRule="auto" w:before="7"/>
        <w:rPr>
          <w:rFonts w:ascii="黑体" w:hAnsi="黑体" w:cs="黑体" w:eastAsia="黑体" w:hint="default"/>
          <w:sz w:val="17"/>
          <w:szCs w:val="17"/>
        </w:rPr>
      </w:pPr>
    </w:p>
    <w:p>
      <w:pPr>
        <w:pStyle w:val="BodyText"/>
        <w:spacing w:line="260" w:lineRule="exact"/>
        <w:ind w:left="816" w:right="6065"/>
        <w:jc w:val="left"/>
      </w:pPr>
      <w:r>
        <w:rPr/>
        <w:t>注</w:t>
      </w:r>
      <w:r>
        <w:rPr>
          <w:rFonts w:ascii="Arial" w:hAnsi="Arial" w:cs="Arial" w:eastAsia="Arial" w:hint="default"/>
        </w:rPr>
        <w:t>2</w:t>
      </w:r>
      <w:r>
        <w:rPr/>
        <w:t>．参见附注五、</w:t>
      </w:r>
      <w:r>
        <w:rPr>
          <w:rFonts w:ascii="Arial" w:hAnsi="Arial" w:cs="Arial" w:eastAsia="Arial" w:hint="default"/>
        </w:rPr>
        <w:t>9</w:t>
      </w:r>
      <w:r>
        <w:rPr/>
        <w:t>。</w:t>
      </w:r>
      <w:r>
        <w:rPr>
          <w:w w:val="100"/>
        </w:rPr>
        <w:t> </w:t>
      </w:r>
      <w:r>
        <w:rPr/>
        <w:t>注</w:t>
      </w:r>
      <w:r>
        <w:rPr>
          <w:rFonts w:ascii="Arial" w:hAnsi="Arial" w:cs="Arial" w:eastAsia="Arial" w:hint="default"/>
        </w:rPr>
        <w:t>3</w:t>
      </w:r>
      <w:r>
        <w:rPr/>
        <w:t>．参见附注七。</w:t>
      </w:r>
    </w:p>
    <w:p>
      <w:pPr>
        <w:pStyle w:val="BodyText"/>
        <w:spacing w:line="242" w:lineRule="exact"/>
        <w:ind w:left="816" w:right="210"/>
        <w:jc w:val="left"/>
      </w:pPr>
      <w:r>
        <w:rPr/>
        <w:t>注</w:t>
      </w:r>
      <w:r>
        <w:rPr>
          <w:rFonts w:ascii="Arial" w:hAnsi="Arial" w:cs="Arial" w:eastAsia="Arial" w:hint="default"/>
        </w:rPr>
        <w:t>4</w:t>
      </w:r>
      <w:r>
        <w:rPr/>
        <w:t>．参见附注十三、</w:t>
      </w:r>
      <w:r>
        <w:rPr>
          <w:rFonts w:ascii="Arial" w:hAnsi="Arial" w:cs="Arial" w:eastAsia="Arial" w:hint="default"/>
        </w:rPr>
        <w:t>9(ii)</w:t>
      </w:r>
      <w:r>
        <w:rPr/>
        <w:t>、注</w:t>
      </w:r>
      <w:r>
        <w:rPr>
          <w:rFonts w:ascii="Arial" w:hAnsi="Arial" w:cs="Arial" w:eastAsia="Arial" w:hint="default"/>
        </w:rPr>
        <w:t>3</w:t>
      </w:r>
      <w:r>
        <w:rPr/>
        <w:t>、注</w:t>
      </w:r>
      <w:r>
        <w:rPr>
          <w:rFonts w:ascii="Arial" w:hAnsi="Arial" w:cs="Arial" w:eastAsia="Arial" w:hint="default"/>
        </w:rPr>
        <w:t>5</w:t>
      </w:r>
      <w:r>
        <w:rPr/>
        <w:t>及注</w:t>
      </w:r>
      <w:r>
        <w:rPr>
          <w:rFonts w:ascii="Arial" w:hAnsi="Arial" w:cs="Arial" w:eastAsia="Arial" w:hint="default"/>
        </w:rPr>
        <w:t>6</w:t>
      </w:r>
      <w:r>
        <w:rPr/>
        <w:t>。</w:t>
      </w:r>
    </w:p>
    <w:p>
      <w:pPr>
        <w:pStyle w:val="BodyText"/>
        <w:spacing w:line="268" w:lineRule="exact"/>
        <w:ind w:left="816" w:right="210"/>
        <w:jc w:val="left"/>
      </w:pPr>
      <w:r>
        <w:rPr/>
        <w:t>注</w:t>
      </w:r>
      <w:r>
        <w:rPr>
          <w:rFonts w:ascii="Arial" w:hAnsi="Arial" w:cs="Arial" w:eastAsia="Arial" w:hint="default"/>
        </w:rPr>
        <w:t>5</w:t>
      </w:r>
      <w:r>
        <w:rPr/>
        <w:t>．主要是本公司分享联营企业的资本公积变动而增加的权益。</w:t>
      </w:r>
    </w:p>
    <w:p>
      <w:pPr>
        <w:spacing w:after="0" w:line="268" w:lineRule="exact"/>
        <w:jc w:val="left"/>
        <w:sectPr>
          <w:type w:val="continuous"/>
          <w:pgSz w:w="11910" w:h="16840"/>
          <w:pgMar w:top="900" w:bottom="280" w:left="1600" w:right="1380"/>
        </w:sectPr>
      </w:pPr>
    </w:p>
    <w:p>
      <w:pPr>
        <w:spacing w:line="240" w:lineRule="auto" w:before="0"/>
        <w:rPr>
          <w:rFonts w:ascii="黑体" w:hAnsi="黑体" w:cs="黑体" w:eastAsia="黑体" w:hint="default"/>
          <w:sz w:val="20"/>
          <w:szCs w:val="20"/>
        </w:rPr>
      </w:pPr>
    </w:p>
    <w:p>
      <w:pPr>
        <w:spacing w:line="240" w:lineRule="auto" w:before="2"/>
        <w:rPr>
          <w:rFonts w:ascii="黑体" w:hAnsi="黑体" w:cs="黑体" w:eastAsia="黑体" w:hint="default"/>
          <w:sz w:val="29"/>
          <w:szCs w:val="29"/>
        </w:rPr>
      </w:pPr>
    </w:p>
    <w:p>
      <w:pPr>
        <w:tabs>
          <w:tab w:pos="843" w:val="left" w:leader="none"/>
        </w:tabs>
        <w:spacing w:before="38"/>
        <w:ind w:left="141"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2"/>
        <w:rPr>
          <w:rFonts w:ascii="黑体" w:hAnsi="黑体" w:cs="黑体" w:eastAsia="黑体" w:hint="default"/>
          <w:b/>
          <w:bCs/>
          <w:sz w:val="15"/>
          <w:szCs w:val="15"/>
        </w:rPr>
      </w:pPr>
    </w:p>
    <w:p>
      <w:pPr>
        <w:tabs>
          <w:tab w:pos="861" w:val="left" w:leader="none"/>
        </w:tabs>
        <w:spacing w:before="0"/>
        <w:ind w:left="141" w:right="0" w:firstLine="0"/>
        <w:jc w:val="left"/>
        <w:rPr>
          <w:rFonts w:ascii="Arial" w:hAnsi="Arial" w:cs="Arial" w:eastAsia="Arial" w:hint="default"/>
          <w:sz w:val="20"/>
          <w:szCs w:val="20"/>
        </w:rPr>
      </w:pPr>
      <w:r>
        <w:rPr>
          <w:rFonts w:ascii="Arial" w:hAnsi="Arial" w:cs="Arial" w:eastAsia="Arial" w:hint="default"/>
          <w:b/>
          <w:bCs/>
          <w:spacing w:val="-1"/>
          <w:sz w:val="20"/>
          <w:szCs w:val="20"/>
        </w:rPr>
        <w:t>29.</w:t>
        <w:tab/>
      </w:r>
      <w:r>
        <w:rPr>
          <w:rFonts w:ascii="黑体" w:hAnsi="黑体" w:cs="黑体" w:eastAsia="黑体" w:hint="default"/>
          <w:b/>
          <w:bCs/>
          <w:sz w:val="20"/>
          <w:szCs w:val="20"/>
        </w:rPr>
        <w:t>资本公积</w:t>
      </w:r>
      <w:r>
        <w:rPr>
          <w:rFonts w:ascii="Arial" w:hAnsi="Arial" w:cs="Arial" w:eastAsia="Arial" w:hint="default"/>
          <w:b/>
          <w:bCs/>
          <w:sz w:val="20"/>
          <w:szCs w:val="20"/>
        </w:rPr>
        <w:t>(</w:t>
      </w:r>
      <w:r>
        <w:rPr>
          <w:rFonts w:ascii="黑体" w:hAnsi="黑体" w:cs="黑体" w:eastAsia="黑体" w:hint="default"/>
          <w:b/>
          <w:bCs/>
          <w:sz w:val="20"/>
          <w:szCs w:val="20"/>
        </w:rPr>
        <w:t>续</w:t>
      </w:r>
      <w:r>
        <w:rPr>
          <w:rFonts w:ascii="Arial" w:hAnsi="Arial" w:cs="Arial" w:eastAsia="Arial" w:hint="default"/>
          <w:b/>
          <w:bCs/>
          <w:sz w:val="20"/>
          <w:szCs w:val="20"/>
        </w:rPr>
        <w:t>)</w:t>
      </w:r>
      <w:r>
        <w:rPr>
          <w:rFonts w:ascii="Arial" w:hAnsi="Arial" w:cs="Arial" w:eastAsia="Arial" w:hint="default"/>
          <w:sz w:val="20"/>
          <w:szCs w:val="20"/>
        </w:rPr>
      </w:r>
    </w:p>
    <w:p>
      <w:pPr>
        <w:spacing w:line="240" w:lineRule="auto" w:before="6"/>
        <w:rPr>
          <w:rFonts w:ascii="Arial" w:hAnsi="Arial" w:cs="Arial" w:eastAsia="Arial" w:hint="default"/>
          <w:b/>
          <w:bCs/>
          <w:sz w:val="24"/>
          <w:szCs w:val="24"/>
        </w:rPr>
      </w:pPr>
    </w:p>
    <w:p>
      <w:pPr>
        <w:spacing w:after="0" w:line="240" w:lineRule="auto"/>
        <w:rPr>
          <w:rFonts w:ascii="Arial" w:hAnsi="Arial" w:cs="Arial" w:eastAsia="Arial" w:hint="default"/>
          <w:sz w:val="24"/>
          <w:szCs w:val="24"/>
        </w:rPr>
        <w:sectPr>
          <w:pgSz w:w="11910" w:h="16840"/>
          <w:pgMar w:header="828" w:footer="476" w:top="2420" w:bottom="660" w:left="1560" w:right="1460"/>
        </w:sectPr>
      </w:pPr>
    </w:p>
    <w:p>
      <w:pPr>
        <w:pStyle w:val="BodyText"/>
        <w:spacing w:line="240" w:lineRule="auto" w:before="38"/>
        <w:ind w:left="855" w:right="-19"/>
        <w:jc w:val="left"/>
      </w:pPr>
      <w:r>
        <w:rPr>
          <w:rFonts w:ascii="Arial" w:hAnsi="Arial" w:cs="Arial" w:eastAsia="Arial" w:hint="default"/>
        </w:rPr>
        <w:t>2008</w:t>
      </w:r>
      <w:r>
        <w:rPr/>
        <w:t>年</w:t>
      </w:r>
    </w:p>
    <w:p>
      <w:pPr>
        <w:spacing w:line="240" w:lineRule="auto" w:before="0"/>
        <w:rPr>
          <w:rFonts w:ascii="黑体" w:hAnsi="黑体" w:cs="黑体" w:eastAsia="黑体" w:hint="default"/>
          <w:sz w:val="26"/>
          <w:szCs w:val="26"/>
        </w:rPr>
      </w:pPr>
      <w:r>
        <w:rPr/>
        <w:br w:type="column"/>
      </w:r>
      <w:r>
        <w:rPr>
          <w:rFonts w:ascii="黑体"/>
          <w:sz w:val="26"/>
        </w:rPr>
      </w:r>
    </w:p>
    <w:p>
      <w:pPr>
        <w:tabs>
          <w:tab w:pos="1688" w:val="left" w:leader="none"/>
          <w:tab w:pos="3269" w:val="left" w:leader="none"/>
          <w:tab w:pos="5091" w:val="left" w:leader="none"/>
        </w:tabs>
        <w:spacing w:before="0"/>
        <w:ind w:left="855" w:right="0" w:firstLine="0"/>
        <w:jc w:val="left"/>
        <w:rPr>
          <w:rFonts w:ascii="黑体" w:hAnsi="黑体" w:cs="黑体" w:eastAsia="黑体" w:hint="default"/>
          <w:sz w:val="18"/>
          <w:szCs w:val="18"/>
        </w:rPr>
      </w:pPr>
      <w:r>
        <w:rPr>
          <w:rFonts w:ascii="黑体" w:hAnsi="黑体" w:cs="黑体" w:eastAsia="黑体" w:hint="default"/>
          <w:sz w:val="18"/>
          <w:szCs w:val="18"/>
        </w:rPr>
        <w:t>年初数</w:t>
        <w:tab/>
        <w:t>本年增加</w:t>
        <w:tab/>
        <w:t>本年减少</w:t>
        <w:tab/>
        <w:t>年末数</w:t>
      </w:r>
    </w:p>
    <w:p>
      <w:pPr>
        <w:spacing w:after="0"/>
        <w:jc w:val="left"/>
        <w:rPr>
          <w:rFonts w:ascii="黑体" w:hAnsi="黑体" w:cs="黑体" w:eastAsia="黑体" w:hint="default"/>
          <w:sz w:val="18"/>
          <w:szCs w:val="18"/>
        </w:rPr>
        <w:sectPr>
          <w:type w:val="continuous"/>
          <w:pgSz w:w="11910" w:h="16840"/>
          <w:pgMar w:top="900" w:bottom="280" w:left="1560" w:right="1460"/>
          <w:cols w:num="2" w:equalWidth="0">
            <w:col w:w="1502" w:space="1640"/>
            <w:col w:w="5748"/>
          </w:cols>
        </w:sectPr>
      </w:pPr>
    </w:p>
    <w:p>
      <w:pPr>
        <w:spacing w:line="240" w:lineRule="auto" w:before="4"/>
        <w:rPr>
          <w:rFonts w:ascii="黑体" w:hAnsi="黑体" w:cs="黑体" w:eastAsia="黑体" w:hint="default"/>
          <w:sz w:val="26"/>
          <w:szCs w:val="26"/>
        </w:rPr>
      </w:pPr>
    </w:p>
    <w:p>
      <w:pPr>
        <w:tabs>
          <w:tab w:pos="3537" w:val="left" w:leader="none"/>
        </w:tabs>
        <w:spacing w:before="44"/>
        <w:ind w:left="850" w:right="0" w:firstLine="0"/>
        <w:jc w:val="left"/>
        <w:rPr>
          <w:rFonts w:ascii="Arial" w:hAnsi="Arial" w:cs="Arial" w:eastAsia="Arial" w:hint="default"/>
          <w:sz w:val="18"/>
          <w:szCs w:val="18"/>
        </w:rPr>
      </w:pPr>
      <w:r>
        <w:rPr>
          <w:rFonts w:ascii="黑体" w:hAnsi="黑体" w:cs="黑体" w:eastAsia="黑体" w:hint="default"/>
          <w:sz w:val="18"/>
          <w:szCs w:val="18"/>
        </w:rPr>
        <w:t>股本溢价</w:t>
        <w:tab/>
      </w:r>
      <w:r>
        <w:rPr>
          <w:rFonts w:ascii="Arial" w:hAnsi="Arial" w:cs="Arial" w:eastAsia="Arial" w:hint="default"/>
          <w:position w:val="1"/>
          <w:sz w:val="18"/>
          <w:szCs w:val="18"/>
        </w:rPr>
        <w:t>853,996,464  55,679,977 </w:t>
      </w:r>
      <w:r>
        <w:rPr>
          <w:rFonts w:ascii="Arial" w:hAnsi="Arial" w:cs="Arial" w:eastAsia="Arial" w:hint="default"/>
          <w:sz w:val="18"/>
          <w:szCs w:val="18"/>
        </w:rPr>
        <w:t>(</w:t>
      </w:r>
      <w:r>
        <w:rPr>
          <w:rFonts w:ascii="黑体" w:hAnsi="黑体" w:cs="黑体" w:eastAsia="黑体" w:hint="default"/>
          <w:sz w:val="18"/>
          <w:szCs w:val="18"/>
        </w:rPr>
        <w:t>注</w:t>
      </w:r>
      <w:r>
        <w:rPr>
          <w:rFonts w:ascii="Arial" w:hAnsi="Arial" w:cs="Arial" w:eastAsia="Arial" w:hint="default"/>
          <w:sz w:val="18"/>
          <w:szCs w:val="18"/>
        </w:rPr>
        <w:t>1)  </w:t>
      </w:r>
      <w:r>
        <w:rPr>
          <w:rFonts w:ascii="Arial" w:hAnsi="Arial" w:cs="Arial" w:eastAsia="Arial" w:hint="default"/>
          <w:position w:val="1"/>
          <w:sz w:val="18"/>
          <w:szCs w:val="18"/>
        </w:rPr>
        <w:t>231,361,200 </w:t>
      </w:r>
      <w:r>
        <w:rPr>
          <w:rFonts w:ascii="Arial" w:hAnsi="Arial" w:cs="Arial" w:eastAsia="Arial" w:hint="default"/>
          <w:sz w:val="18"/>
          <w:szCs w:val="18"/>
        </w:rPr>
        <w:t>(</w:t>
      </w:r>
      <w:r>
        <w:rPr>
          <w:rFonts w:ascii="黑体" w:hAnsi="黑体" w:cs="黑体" w:eastAsia="黑体" w:hint="default"/>
          <w:sz w:val="18"/>
          <w:szCs w:val="18"/>
        </w:rPr>
        <w:t>注</w:t>
      </w:r>
      <w:r>
        <w:rPr>
          <w:rFonts w:ascii="Arial" w:hAnsi="Arial" w:cs="Arial" w:eastAsia="Arial" w:hint="default"/>
          <w:sz w:val="18"/>
          <w:szCs w:val="18"/>
        </w:rPr>
        <w:t>1)   </w:t>
      </w:r>
      <w:r>
        <w:rPr>
          <w:rFonts w:ascii="Arial" w:hAnsi="Arial" w:cs="Arial" w:eastAsia="Arial" w:hint="default"/>
          <w:spacing w:val="1"/>
          <w:sz w:val="18"/>
          <w:szCs w:val="18"/>
        </w:rPr>
        <w:t> </w:t>
      </w:r>
      <w:r>
        <w:rPr>
          <w:rFonts w:ascii="Arial" w:hAnsi="Arial" w:cs="Arial" w:eastAsia="Arial" w:hint="default"/>
          <w:position w:val="1"/>
          <w:sz w:val="18"/>
          <w:szCs w:val="18"/>
        </w:rPr>
        <w:t>678,315,241</w:t>
      </w:r>
      <w:r>
        <w:rPr>
          <w:rFonts w:ascii="Arial" w:hAnsi="Arial" w:cs="Arial" w:eastAsia="Arial" w:hint="default"/>
          <w:sz w:val="18"/>
          <w:szCs w:val="18"/>
        </w:rPr>
      </w:r>
    </w:p>
    <w:p>
      <w:pPr>
        <w:tabs>
          <w:tab w:pos="3636" w:val="left" w:leader="none"/>
          <w:tab w:pos="5489" w:val="left" w:leader="none"/>
          <w:tab w:pos="7070" w:val="left" w:leader="none"/>
          <w:tab w:pos="7872" w:val="left" w:leader="none"/>
        </w:tabs>
        <w:spacing w:before="63"/>
        <w:ind w:left="850" w:right="0" w:firstLine="0"/>
        <w:jc w:val="left"/>
        <w:rPr>
          <w:rFonts w:ascii="Arial" w:hAnsi="Arial" w:cs="Arial" w:eastAsia="Arial" w:hint="default"/>
          <w:sz w:val="18"/>
          <w:szCs w:val="18"/>
        </w:rPr>
      </w:pPr>
      <w:r>
        <w:rPr>
          <w:rFonts w:ascii="黑体" w:hAnsi="黑体" w:cs="黑体" w:eastAsia="黑体" w:hint="default"/>
          <w:sz w:val="18"/>
          <w:szCs w:val="18"/>
        </w:rPr>
        <w:t>新股申购冻结资金利息</w:t>
        <w:tab/>
      </w:r>
      <w:r>
        <w:rPr>
          <w:rFonts w:ascii="Arial" w:hAnsi="Arial" w:cs="Arial" w:eastAsia="Arial" w:hint="default"/>
          <w:spacing w:val="-1"/>
          <w:position w:val="1"/>
          <w:sz w:val="18"/>
          <w:szCs w:val="18"/>
        </w:rPr>
        <w:t>20,148,153</w:t>
        <w:tab/>
      </w:r>
      <w:r>
        <w:rPr>
          <w:rFonts w:ascii="Arial" w:hAnsi="Arial" w:cs="Arial" w:eastAsia="Arial" w:hint="default"/>
          <w:position w:val="1"/>
          <w:sz w:val="18"/>
          <w:szCs w:val="18"/>
        </w:rPr>
        <w:t>-</w:t>
        <w:tab/>
        <w:t>-</w:t>
        <w:tab/>
      </w:r>
      <w:r>
        <w:rPr>
          <w:rFonts w:ascii="Arial" w:hAnsi="Arial" w:cs="Arial" w:eastAsia="Arial" w:hint="default"/>
          <w:spacing w:val="-1"/>
          <w:position w:val="1"/>
          <w:sz w:val="18"/>
          <w:szCs w:val="18"/>
        </w:rPr>
        <w:t>20,148,153</w:t>
      </w:r>
      <w:r>
        <w:rPr>
          <w:rFonts w:ascii="Arial" w:hAnsi="Arial" w:cs="Arial" w:eastAsia="Arial" w:hint="default"/>
          <w:spacing w:val="-1"/>
          <w:sz w:val="18"/>
          <w:szCs w:val="18"/>
        </w:rPr>
      </w:r>
    </w:p>
    <w:p>
      <w:pPr>
        <w:tabs>
          <w:tab w:pos="3636" w:val="left" w:leader="none"/>
          <w:tab w:pos="5489" w:val="left" w:leader="none"/>
          <w:tab w:pos="7070" w:val="left" w:leader="none"/>
          <w:tab w:pos="7872" w:val="left" w:leader="none"/>
        </w:tabs>
        <w:spacing w:before="73"/>
        <w:ind w:left="850" w:right="0" w:firstLine="0"/>
        <w:jc w:val="left"/>
        <w:rPr>
          <w:rFonts w:ascii="Arial" w:hAnsi="Arial" w:cs="Arial" w:eastAsia="Arial" w:hint="default"/>
          <w:sz w:val="18"/>
          <w:szCs w:val="18"/>
        </w:rPr>
      </w:pPr>
      <w:r>
        <w:rPr>
          <w:rFonts w:ascii="黑体" w:hAnsi="黑体" w:cs="黑体" w:eastAsia="黑体" w:hint="default"/>
          <w:sz w:val="18"/>
          <w:szCs w:val="18"/>
        </w:rPr>
        <w:t>关联交易差价</w:t>
        <w:tab/>
      </w:r>
      <w:r>
        <w:rPr>
          <w:rFonts w:ascii="Arial" w:hAnsi="Arial" w:cs="Arial" w:eastAsia="Arial" w:hint="default"/>
          <w:spacing w:val="-1"/>
          <w:position w:val="1"/>
          <w:sz w:val="18"/>
          <w:szCs w:val="18"/>
        </w:rPr>
        <w:t>17,969,348</w:t>
        <w:tab/>
      </w:r>
      <w:r>
        <w:rPr>
          <w:rFonts w:ascii="Arial" w:hAnsi="Arial" w:cs="Arial" w:eastAsia="Arial" w:hint="default"/>
          <w:position w:val="1"/>
          <w:sz w:val="18"/>
          <w:szCs w:val="18"/>
        </w:rPr>
        <w:t>-</w:t>
        <w:tab/>
        <w:t>-</w:t>
        <w:tab/>
      </w:r>
      <w:r>
        <w:rPr>
          <w:rFonts w:ascii="Arial" w:hAnsi="Arial" w:cs="Arial" w:eastAsia="Arial" w:hint="default"/>
          <w:spacing w:val="-1"/>
          <w:position w:val="1"/>
          <w:sz w:val="18"/>
          <w:szCs w:val="18"/>
        </w:rPr>
        <w:t>17,969,348</w:t>
      </w:r>
      <w:r>
        <w:rPr>
          <w:rFonts w:ascii="Arial" w:hAnsi="Arial" w:cs="Arial" w:eastAsia="Arial" w:hint="default"/>
          <w:spacing w:val="-1"/>
          <w:sz w:val="18"/>
          <w:szCs w:val="18"/>
        </w:rPr>
      </w:r>
    </w:p>
    <w:p>
      <w:pPr>
        <w:tabs>
          <w:tab w:pos="5489" w:val="left" w:leader="none"/>
          <w:tab w:pos="6131" w:val="left" w:leader="none"/>
        </w:tabs>
        <w:spacing w:before="73"/>
        <w:ind w:left="841" w:right="0" w:firstLine="0"/>
        <w:jc w:val="left"/>
        <w:rPr>
          <w:rFonts w:ascii="Arial" w:hAnsi="Arial" w:cs="Arial" w:eastAsia="Arial" w:hint="default"/>
          <w:sz w:val="18"/>
          <w:szCs w:val="18"/>
        </w:rPr>
      </w:pPr>
      <w:r>
        <w:rPr>
          <w:rFonts w:ascii="黑体" w:hAnsi="黑体" w:cs="黑体" w:eastAsia="黑体" w:hint="default"/>
          <w:sz w:val="18"/>
          <w:szCs w:val="18"/>
        </w:rPr>
        <w:t>可供出售金融资产公允价值变动</w:t>
      </w:r>
      <w:r>
        <w:rPr>
          <w:rFonts w:ascii="黑体" w:hAnsi="黑体" w:cs="黑体" w:eastAsia="黑体" w:hint="default"/>
          <w:spacing w:val="77"/>
          <w:sz w:val="18"/>
          <w:szCs w:val="18"/>
        </w:rPr>
        <w:t> </w:t>
      </w:r>
      <w:r>
        <w:rPr>
          <w:rFonts w:ascii="Arial" w:hAnsi="Arial" w:cs="Arial" w:eastAsia="Arial" w:hint="default"/>
          <w:position w:val="1"/>
          <w:sz w:val="18"/>
          <w:szCs w:val="18"/>
        </w:rPr>
        <w:t>782,093,925</w:t>
        <w:tab/>
        <w:t>-</w:t>
        <w:tab/>
        <w:t>576,525,333 </w:t>
      </w:r>
      <w:r>
        <w:rPr>
          <w:rFonts w:ascii="Arial" w:hAnsi="Arial" w:cs="Arial" w:eastAsia="Arial" w:hint="default"/>
          <w:sz w:val="18"/>
          <w:szCs w:val="18"/>
        </w:rPr>
        <w:t>(</w:t>
      </w:r>
      <w:r>
        <w:rPr>
          <w:rFonts w:ascii="黑体" w:hAnsi="黑体" w:cs="黑体" w:eastAsia="黑体" w:hint="default"/>
          <w:sz w:val="18"/>
          <w:szCs w:val="18"/>
        </w:rPr>
        <w:t>注</w:t>
      </w:r>
      <w:r>
        <w:rPr>
          <w:rFonts w:ascii="Arial" w:hAnsi="Arial" w:cs="Arial" w:eastAsia="Arial" w:hint="default"/>
          <w:sz w:val="18"/>
          <w:szCs w:val="18"/>
        </w:rPr>
        <w:t>2)  </w:t>
      </w:r>
      <w:r>
        <w:rPr>
          <w:rFonts w:ascii="Arial" w:hAnsi="Arial" w:cs="Arial" w:eastAsia="Arial" w:hint="default"/>
          <w:spacing w:val="23"/>
          <w:sz w:val="18"/>
          <w:szCs w:val="18"/>
        </w:rPr>
        <w:t> </w:t>
      </w:r>
      <w:r>
        <w:rPr>
          <w:rFonts w:ascii="Arial" w:hAnsi="Arial" w:cs="Arial" w:eastAsia="Arial" w:hint="default"/>
          <w:position w:val="1"/>
          <w:sz w:val="18"/>
          <w:szCs w:val="18"/>
        </w:rPr>
        <w:t>205,568,592</w:t>
      </w:r>
      <w:r>
        <w:rPr>
          <w:rFonts w:ascii="Arial" w:hAnsi="Arial" w:cs="Arial" w:eastAsia="Arial" w:hint="default"/>
          <w:sz w:val="18"/>
          <w:szCs w:val="18"/>
        </w:rPr>
      </w:r>
    </w:p>
    <w:p>
      <w:pPr>
        <w:tabs>
          <w:tab w:pos="3737" w:val="left" w:leader="none"/>
          <w:tab w:pos="6482" w:val="left" w:leader="none"/>
          <w:tab w:pos="7872" w:val="left" w:leader="none"/>
        </w:tabs>
        <w:spacing w:before="63"/>
        <w:ind w:left="850" w:right="0" w:firstLine="0"/>
        <w:jc w:val="left"/>
        <w:rPr>
          <w:rFonts w:ascii="Arial" w:hAnsi="Arial" w:cs="Arial" w:eastAsia="Arial" w:hint="default"/>
          <w:sz w:val="18"/>
          <w:szCs w:val="18"/>
        </w:rPr>
      </w:pPr>
      <w:r>
        <w:rPr>
          <w:rFonts w:ascii="黑体" w:hAnsi="黑体" w:cs="黑体" w:eastAsia="黑体" w:hint="default"/>
          <w:sz w:val="18"/>
          <w:szCs w:val="18"/>
        </w:rPr>
        <w:t>股权激励成本</w:t>
        <w:tab/>
      </w:r>
      <w:r>
        <w:rPr>
          <w:rFonts w:ascii="Arial" w:hAnsi="Arial" w:cs="Arial" w:eastAsia="Arial" w:hint="default"/>
          <w:position w:val="1"/>
          <w:sz w:val="18"/>
          <w:szCs w:val="18"/>
        </w:rPr>
        <w:t>6,488,291  38,243,800</w:t>
      </w:r>
      <w:r>
        <w:rPr>
          <w:rFonts w:ascii="Arial" w:hAnsi="Arial" w:cs="Arial" w:eastAsia="Arial" w:hint="default"/>
          <w:spacing w:val="16"/>
          <w:position w:val="1"/>
          <w:sz w:val="18"/>
          <w:szCs w:val="18"/>
        </w:rPr>
        <w:t> </w:t>
      </w:r>
      <w:r>
        <w:rPr>
          <w:rFonts w:ascii="Arial" w:hAnsi="Arial" w:cs="Arial" w:eastAsia="Arial" w:hint="default"/>
          <w:sz w:val="18"/>
          <w:szCs w:val="18"/>
        </w:rPr>
        <w:t>(</w:t>
      </w:r>
      <w:r>
        <w:rPr>
          <w:rFonts w:ascii="黑体" w:hAnsi="黑体" w:cs="黑体" w:eastAsia="黑体" w:hint="default"/>
          <w:sz w:val="18"/>
          <w:szCs w:val="18"/>
        </w:rPr>
        <w:t>注</w:t>
      </w:r>
      <w:r>
        <w:rPr>
          <w:rFonts w:ascii="Arial" w:hAnsi="Arial" w:cs="Arial" w:eastAsia="Arial" w:hint="default"/>
          <w:sz w:val="18"/>
          <w:szCs w:val="18"/>
        </w:rPr>
        <w:t>3)</w:t>
        <w:tab/>
      </w:r>
      <w:r>
        <w:rPr>
          <w:rFonts w:ascii="Arial" w:hAnsi="Arial" w:cs="Arial" w:eastAsia="Arial" w:hint="default"/>
          <w:position w:val="1"/>
          <w:sz w:val="18"/>
          <w:szCs w:val="18"/>
        </w:rPr>
        <w:t>674,501</w:t>
      </w:r>
      <w:r>
        <w:rPr>
          <w:rFonts w:ascii="Arial" w:hAnsi="Arial" w:cs="Arial" w:eastAsia="Arial" w:hint="default"/>
          <w:spacing w:val="11"/>
          <w:position w:val="1"/>
          <w:sz w:val="18"/>
          <w:szCs w:val="18"/>
        </w:rPr>
        <w:t> </w:t>
      </w:r>
      <w:r>
        <w:rPr>
          <w:rFonts w:ascii="Arial" w:hAnsi="Arial" w:cs="Arial" w:eastAsia="Arial" w:hint="default"/>
          <w:sz w:val="18"/>
          <w:szCs w:val="18"/>
        </w:rPr>
        <w:t>(</w:t>
      </w:r>
      <w:r>
        <w:rPr>
          <w:rFonts w:ascii="黑体" w:hAnsi="黑体" w:cs="黑体" w:eastAsia="黑体" w:hint="default"/>
          <w:sz w:val="18"/>
          <w:szCs w:val="18"/>
        </w:rPr>
        <w:t>注</w:t>
      </w:r>
      <w:r>
        <w:rPr>
          <w:rFonts w:ascii="Arial" w:hAnsi="Arial" w:cs="Arial" w:eastAsia="Arial" w:hint="default"/>
          <w:sz w:val="18"/>
          <w:szCs w:val="18"/>
        </w:rPr>
        <w:t>3)</w:t>
        <w:tab/>
      </w:r>
      <w:r>
        <w:rPr>
          <w:rFonts w:ascii="Arial" w:hAnsi="Arial" w:cs="Arial" w:eastAsia="Arial" w:hint="default"/>
          <w:position w:val="1"/>
          <w:sz w:val="18"/>
          <w:szCs w:val="18"/>
        </w:rPr>
        <w:t>44,057,590</w:t>
      </w:r>
      <w:r>
        <w:rPr>
          <w:rFonts w:ascii="Arial" w:hAnsi="Arial" w:cs="Arial" w:eastAsia="Arial" w:hint="default"/>
          <w:sz w:val="18"/>
          <w:szCs w:val="18"/>
        </w:rPr>
      </w:r>
    </w:p>
    <w:p>
      <w:pPr>
        <w:tabs>
          <w:tab w:pos="3388" w:val="left" w:leader="none"/>
          <w:tab w:pos="5490" w:val="left" w:leader="none"/>
          <w:tab w:pos="6081" w:val="left" w:leader="none"/>
          <w:tab w:pos="7072" w:val="left" w:leader="none"/>
          <w:tab w:pos="7783" w:val="left" w:leader="none"/>
        </w:tabs>
        <w:spacing w:before="63"/>
        <w:ind w:left="850" w:right="0" w:firstLine="0"/>
        <w:jc w:val="left"/>
        <w:rPr>
          <w:rFonts w:ascii="Arial" w:hAnsi="Arial" w:cs="Arial" w:eastAsia="Arial" w:hint="default"/>
          <w:sz w:val="18"/>
          <w:szCs w:val="18"/>
        </w:rPr>
      </w:pPr>
      <w:r>
        <w:rPr>
          <w:rFonts w:ascii="黑体" w:hAnsi="黑体" w:cs="黑体" w:eastAsia="黑体" w:hint="default"/>
          <w:sz w:val="18"/>
          <w:szCs w:val="18"/>
        </w:rPr>
        <w:t>其他</w:t>
        <w:tab/>
      </w:r>
      <w:r>
        <w:rPr>
          <w:rFonts w:ascii="Arial" w:hAnsi="Arial" w:cs="Arial" w:eastAsia="Arial" w:hint="default"/>
          <w:position w:val="1"/>
          <w:sz w:val="18"/>
          <w:szCs w:val="18"/>
        </w:rPr>
      </w:r>
      <w:r>
        <w:rPr>
          <w:rFonts w:ascii="Arial" w:hAnsi="Arial" w:cs="Arial" w:eastAsia="Arial" w:hint="default"/>
          <w:position w:val="1"/>
          <w:sz w:val="18"/>
          <w:szCs w:val="18"/>
          <w:u w:val="single" w:color="000000"/>
        </w:rPr>
        <w:t> </w:t>
      </w:r>
      <w:r>
        <w:rPr>
          <w:rFonts w:ascii="Arial" w:hAnsi="Arial" w:cs="Arial" w:eastAsia="Arial" w:hint="default"/>
          <w:spacing w:val="-1"/>
          <w:position w:val="1"/>
          <w:sz w:val="18"/>
          <w:szCs w:val="18"/>
          <w:u w:val="single" w:color="000000"/>
        </w:rPr>
        <w:t>19,577,744</w:t>
      </w:r>
      <w:r>
        <w:rPr>
          <w:rFonts w:ascii="Arial" w:hAnsi="Arial" w:cs="Arial" w:eastAsia="Arial" w:hint="default"/>
          <w:spacing w:val="-1"/>
          <w:position w:val="1"/>
          <w:sz w:val="18"/>
          <w:szCs w:val="18"/>
        </w:rPr>
      </w:r>
      <w:r>
        <w:rPr>
          <w:rFonts w:ascii="Arial" w:hAnsi="Arial" w:cs="Arial" w:eastAsia="Arial" w:hint="default"/>
          <w:spacing w:val="-1"/>
          <w:position w:val="1"/>
          <w:sz w:val="18"/>
          <w:szCs w:val="18"/>
          <w:u w:val="single" w:color="000000"/>
        </w:rPr>
        <w:t> </w:t>
        <w:tab/>
      </w:r>
      <w:r>
        <w:rPr>
          <w:rFonts w:ascii="Arial" w:hAnsi="Arial" w:cs="Arial" w:eastAsia="Arial" w:hint="default"/>
          <w:position w:val="1"/>
          <w:sz w:val="18"/>
          <w:szCs w:val="18"/>
          <w:u w:val="single" w:color="000000"/>
        </w:rPr>
        <w:t>-</w:t>
      </w:r>
      <w:r>
        <w:rPr>
          <w:rFonts w:ascii="Arial" w:hAnsi="Arial" w:cs="Arial" w:eastAsia="Arial" w:hint="default"/>
          <w:position w:val="1"/>
          <w:sz w:val="18"/>
          <w:szCs w:val="18"/>
        </w:rPr>
        <w:tab/>
      </w:r>
      <w:r>
        <w:rPr>
          <w:rFonts w:ascii="Arial" w:hAnsi="Arial" w:cs="Arial" w:eastAsia="Arial" w:hint="default"/>
          <w:position w:val="1"/>
          <w:sz w:val="18"/>
          <w:szCs w:val="18"/>
          <w:u w:val="single" w:color="000000"/>
        </w:rPr>
        <w:t> </w:t>
        <w:tab/>
        <w:t>-</w:t>
      </w:r>
      <w:r>
        <w:rPr>
          <w:rFonts w:ascii="Arial" w:hAnsi="Arial" w:cs="Arial" w:eastAsia="Arial" w:hint="default"/>
          <w:position w:val="1"/>
          <w:sz w:val="18"/>
          <w:szCs w:val="18"/>
        </w:rPr>
        <w:tab/>
      </w:r>
      <w:r>
        <w:rPr>
          <w:rFonts w:ascii="Arial" w:hAnsi="Arial" w:cs="Arial" w:eastAsia="Arial" w:hint="default"/>
          <w:position w:val="1"/>
          <w:sz w:val="18"/>
          <w:szCs w:val="18"/>
          <w:u w:val="single" w:color="000000"/>
        </w:rPr>
        <w:t> </w:t>
      </w:r>
      <w:r>
        <w:rPr>
          <w:rFonts w:ascii="Arial" w:hAnsi="Arial" w:cs="Arial" w:eastAsia="Arial" w:hint="default"/>
          <w:spacing w:val="-1"/>
          <w:position w:val="1"/>
          <w:sz w:val="18"/>
          <w:szCs w:val="18"/>
          <w:u w:val="single" w:color="000000"/>
        </w:rPr>
        <w:t>19,577,744</w:t>
      </w:r>
      <w:r>
        <w:rPr>
          <w:rFonts w:ascii="Arial" w:hAnsi="Arial" w:cs="Arial" w:eastAsia="Arial" w:hint="default"/>
          <w:spacing w:val="-1"/>
          <w:position w:val="1"/>
          <w:sz w:val="18"/>
          <w:szCs w:val="18"/>
        </w:rPr>
      </w:r>
      <w:r>
        <w:rPr>
          <w:rFonts w:ascii="Arial" w:hAnsi="Arial" w:cs="Arial" w:eastAsia="Arial" w:hint="default"/>
          <w:spacing w:val="-1"/>
          <w:sz w:val="18"/>
          <w:szCs w:val="18"/>
        </w:rPr>
      </w:r>
    </w:p>
    <w:p>
      <w:pPr>
        <w:tabs>
          <w:tab w:pos="3386" w:val="left" w:leader="none"/>
          <w:tab w:pos="6131" w:val="left" w:leader="none"/>
          <w:tab w:pos="7773" w:val="left" w:leader="none"/>
        </w:tabs>
        <w:spacing w:before="74"/>
        <w:ind w:left="850" w:right="0" w:firstLine="0"/>
        <w:jc w:val="left"/>
        <w:rPr>
          <w:rFonts w:ascii="Arial" w:hAnsi="Arial" w:cs="Arial" w:eastAsia="Arial" w:hint="default"/>
          <w:sz w:val="18"/>
          <w:szCs w:val="18"/>
        </w:rPr>
      </w:pPr>
      <w:r>
        <w:rPr>
          <w:rFonts w:ascii="黑体" w:hAnsi="黑体" w:cs="黑体" w:eastAsia="黑体" w:hint="default"/>
          <w:sz w:val="18"/>
          <w:szCs w:val="18"/>
        </w:rPr>
        <w:t>合计</w:t>
        <w:tab/>
      </w:r>
      <w:r>
        <w:rPr>
          <w:rFonts w:ascii="Arial" w:hAnsi="Arial" w:cs="Arial" w:eastAsia="Arial" w:hint="default"/>
          <w:position w:val="1"/>
          <w:sz w:val="18"/>
          <w:szCs w:val="18"/>
        </w:rPr>
      </w:r>
      <w:r>
        <w:rPr>
          <w:rFonts w:ascii="Arial" w:hAnsi="Arial" w:cs="Arial" w:eastAsia="Arial" w:hint="default"/>
          <w:spacing w:val="-1"/>
          <w:position w:val="1"/>
          <w:sz w:val="18"/>
          <w:szCs w:val="18"/>
          <w:u w:val="thick" w:color="000000"/>
        </w:rPr>
        <w:t>1,700,273,925</w:t>
      </w:r>
      <w:r>
        <w:rPr>
          <w:rFonts w:ascii="Arial" w:hAnsi="Arial" w:cs="Arial" w:eastAsia="Arial" w:hint="default"/>
          <w:position w:val="1"/>
          <w:sz w:val="18"/>
          <w:szCs w:val="18"/>
          <w:u w:val="thick" w:color="000000"/>
        </w:rPr>
        <w:t> </w:t>
      </w:r>
      <w:r>
        <w:rPr>
          <w:rFonts w:ascii="Arial" w:hAnsi="Arial" w:cs="Arial" w:eastAsia="Arial" w:hint="default"/>
          <w:spacing w:val="18"/>
          <w:position w:val="1"/>
          <w:sz w:val="18"/>
          <w:szCs w:val="18"/>
          <w:u w:val="thick" w:color="000000"/>
        </w:rPr>
        <w:t> </w:t>
      </w:r>
      <w:r>
        <w:rPr>
          <w:rFonts w:ascii="Arial" w:hAnsi="Arial" w:cs="Arial" w:eastAsia="Arial" w:hint="default"/>
          <w:spacing w:val="18"/>
          <w:position w:val="1"/>
          <w:sz w:val="18"/>
          <w:szCs w:val="18"/>
        </w:rPr>
      </w:r>
      <w:r>
        <w:rPr>
          <w:rFonts w:ascii="Arial" w:hAnsi="Arial" w:cs="Arial" w:eastAsia="Arial" w:hint="default"/>
          <w:spacing w:val="-1"/>
          <w:position w:val="1"/>
          <w:sz w:val="18"/>
          <w:szCs w:val="18"/>
          <w:u w:val="thick" w:color="000000"/>
        </w:rPr>
        <w:t>93,923,777</w:t>
      </w:r>
      <w:r>
        <w:rPr>
          <w:rFonts w:ascii="Arial" w:hAnsi="Arial" w:cs="Arial" w:eastAsia="Arial" w:hint="default"/>
          <w:spacing w:val="-1"/>
          <w:position w:val="1"/>
          <w:sz w:val="18"/>
          <w:szCs w:val="18"/>
        </w:rPr>
        <w:tab/>
      </w:r>
      <w:r>
        <w:rPr>
          <w:rFonts w:ascii="Arial" w:hAnsi="Arial" w:cs="Arial" w:eastAsia="Arial" w:hint="default"/>
          <w:spacing w:val="-1"/>
          <w:position w:val="1"/>
          <w:sz w:val="18"/>
          <w:szCs w:val="18"/>
          <w:u w:val="thick" w:color="000000"/>
        </w:rPr>
        <w:t>808,561,034</w:t>
      </w:r>
      <w:r>
        <w:rPr>
          <w:rFonts w:ascii="Arial" w:hAnsi="Arial" w:cs="Arial" w:eastAsia="Arial" w:hint="default"/>
          <w:spacing w:val="-1"/>
          <w:position w:val="1"/>
          <w:sz w:val="18"/>
          <w:szCs w:val="18"/>
        </w:rPr>
        <w:tab/>
      </w:r>
      <w:r>
        <w:rPr>
          <w:rFonts w:ascii="Arial" w:hAnsi="Arial" w:cs="Arial" w:eastAsia="Arial" w:hint="default"/>
          <w:spacing w:val="-1"/>
          <w:position w:val="1"/>
          <w:sz w:val="18"/>
          <w:szCs w:val="18"/>
          <w:u w:val="thick" w:color="000000"/>
        </w:rPr>
        <w:t>985,636,668</w:t>
      </w:r>
      <w:r>
        <w:rPr>
          <w:rFonts w:ascii="Arial" w:hAnsi="Arial" w:cs="Arial" w:eastAsia="Arial" w:hint="default"/>
          <w:spacing w:val="-1"/>
          <w:position w:val="1"/>
          <w:sz w:val="18"/>
          <w:szCs w:val="18"/>
        </w:rPr>
      </w:r>
      <w:r>
        <w:rPr>
          <w:rFonts w:ascii="Arial" w:hAnsi="Arial" w:cs="Arial" w:eastAsia="Arial" w:hint="default"/>
          <w:spacing w:val="-1"/>
          <w:sz w:val="18"/>
          <w:szCs w:val="18"/>
        </w:rPr>
      </w:r>
    </w:p>
    <w:p>
      <w:pPr>
        <w:spacing w:line="240" w:lineRule="auto" w:before="4"/>
        <w:rPr>
          <w:rFonts w:ascii="Arial" w:hAnsi="Arial" w:cs="Arial" w:eastAsia="Arial" w:hint="default"/>
          <w:sz w:val="19"/>
          <w:szCs w:val="19"/>
        </w:rPr>
      </w:pPr>
    </w:p>
    <w:p>
      <w:pPr>
        <w:pStyle w:val="BodyText"/>
        <w:spacing w:line="225" w:lineRule="auto" w:before="52"/>
        <w:ind w:left="1350" w:right="236" w:hanging="500"/>
        <w:jc w:val="both"/>
      </w:pPr>
      <w:r>
        <w:rPr/>
        <w:t>注</w:t>
      </w:r>
      <w:r>
        <w:rPr>
          <w:rFonts w:ascii="Arial" w:hAnsi="Arial" w:cs="Arial" w:eastAsia="Arial" w:hint="default"/>
        </w:rPr>
        <w:t>1</w:t>
      </w:r>
      <w:r>
        <w:rPr/>
        <w:t>．参见附注五、</w:t>
      </w:r>
      <w:r>
        <w:rPr>
          <w:rFonts w:ascii="Arial" w:hAnsi="Arial" w:cs="Arial" w:eastAsia="Arial" w:hint="default"/>
        </w:rPr>
        <w:t>28</w:t>
      </w:r>
      <w:r>
        <w:rPr/>
        <w:t>、</w:t>
      </w:r>
      <w:r>
        <w:rPr>
          <w:rFonts w:ascii="Arial" w:hAnsi="Arial" w:cs="Arial" w:eastAsia="Arial" w:hint="default"/>
        </w:rPr>
        <w:t>2008</w:t>
      </w:r>
      <w:r>
        <w:rPr/>
        <w:t>年、注</w:t>
      </w:r>
      <w:r>
        <w:rPr>
          <w:rFonts w:ascii="Arial" w:hAnsi="Arial" w:cs="Arial" w:eastAsia="Arial" w:hint="default"/>
        </w:rPr>
        <w:t>3</w:t>
      </w:r>
      <w:r>
        <w:rPr/>
        <w:t>。此外，本年增加还包含本公司于</w:t>
      </w:r>
      <w:r>
        <w:rPr>
          <w:rFonts w:ascii="Arial" w:hAnsi="Arial" w:cs="Arial" w:eastAsia="Arial" w:hint="default"/>
        </w:rPr>
        <w:t>2008</w:t>
      </w:r>
      <w:r>
        <w:rPr/>
        <w:t>年处置子公</w:t>
      </w:r>
      <w:r>
        <w:rPr>
          <w:spacing w:val="-50"/>
        </w:rPr>
        <w:t> </w:t>
      </w:r>
      <w:r>
        <w:rPr/>
        <w:t>司用友烟草</w:t>
      </w:r>
      <w:r>
        <w:rPr>
          <w:rFonts w:ascii="Arial" w:hAnsi="Arial" w:cs="Arial" w:eastAsia="Arial" w:hint="default"/>
        </w:rPr>
        <w:t>21%</w:t>
      </w:r>
      <w:r>
        <w:rPr/>
        <w:t>的股权的出售价款超过处置日所占用友烟草的净资产的</w:t>
      </w:r>
      <w:r>
        <w:rPr>
          <w:rFonts w:ascii="Arial" w:hAnsi="Arial" w:cs="Arial" w:eastAsia="Arial" w:hint="default"/>
        </w:rPr>
        <w:t>21%</w:t>
      </w:r>
      <w:r>
        <w:rPr/>
        <w:t>份额的</w:t>
      </w:r>
      <w:r>
        <w:rPr>
          <w:w w:val="100"/>
        </w:rPr>
        <w:t> </w:t>
      </w:r>
      <w:r>
        <w:rPr/>
        <w:t>部分计人民币</w:t>
      </w:r>
      <w:r>
        <w:rPr>
          <w:rFonts w:ascii="Arial" w:hAnsi="Arial" w:cs="Arial" w:eastAsia="Arial" w:hint="default"/>
        </w:rPr>
        <w:t>3,993,271</w:t>
      </w:r>
      <w:r>
        <w:rPr/>
        <w:t>元。具体参见附注二、</w:t>
      </w:r>
      <w:r>
        <w:rPr>
          <w:rFonts w:ascii="Arial" w:hAnsi="Arial" w:cs="Arial" w:eastAsia="Arial" w:hint="default"/>
        </w:rPr>
        <w:t>31</w:t>
      </w:r>
      <w:r>
        <w:rPr/>
        <w:t>。</w:t>
      </w:r>
    </w:p>
    <w:p>
      <w:pPr>
        <w:spacing w:line="240" w:lineRule="auto" w:before="11"/>
        <w:rPr>
          <w:rFonts w:ascii="黑体" w:hAnsi="黑体" w:cs="黑体" w:eastAsia="黑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529"/>
        <w:gridCol w:w="2927"/>
        <w:gridCol w:w="2091"/>
        <w:gridCol w:w="1574"/>
        <w:gridCol w:w="1460"/>
      </w:tblGrid>
      <w:tr>
        <w:trPr>
          <w:trHeight w:val="619" w:hRule="exact"/>
        </w:trPr>
        <w:tc>
          <w:tcPr>
            <w:tcW w:w="529" w:type="dxa"/>
            <w:tcBorders>
              <w:top w:val="nil" w:sz="6" w:space="0" w:color="auto"/>
              <w:left w:val="nil" w:sz="6" w:space="0" w:color="auto"/>
              <w:bottom w:val="nil" w:sz="6" w:space="0" w:color="auto"/>
              <w:right w:val="nil" w:sz="6" w:space="0" w:color="auto"/>
            </w:tcBorders>
          </w:tcPr>
          <w:p>
            <w:pPr/>
          </w:p>
        </w:tc>
        <w:tc>
          <w:tcPr>
            <w:tcW w:w="2927" w:type="dxa"/>
            <w:tcBorders>
              <w:top w:val="nil" w:sz="6" w:space="0" w:color="auto"/>
              <w:left w:val="nil" w:sz="6" w:space="0" w:color="auto"/>
              <w:bottom w:val="nil" w:sz="6" w:space="0" w:color="auto"/>
              <w:right w:val="nil" w:sz="6" w:space="0" w:color="auto"/>
            </w:tcBorders>
          </w:tcPr>
          <w:p>
            <w:pPr>
              <w:pStyle w:val="TableParagraph"/>
              <w:spacing w:line="216" w:lineRule="exact"/>
              <w:ind w:left="220" w:right="0"/>
              <w:jc w:val="left"/>
              <w:rPr>
                <w:rFonts w:ascii="黑体" w:hAnsi="黑体" w:cs="黑体" w:eastAsia="黑体" w:hint="default"/>
                <w:sz w:val="20"/>
                <w:szCs w:val="20"/>
              </w:rPr>
            </w:pPr>
            <w:r>
              <w:rPr>
                <w:rFonts w:ascii="黑体" w:hAnsi="黑体" w:cs="黑体" w:eastAsia="黑体" w:hint="default"/>
                <w:sz w:val="20"/>
                <w:szCs w:val="20"/>
              </w:rPr>
              <w:t>注</w:t>
            </w:r>
            <w:r>
              <w:rPr>
                <w:rFonts w:ascii="Arial" w:hAnsi="Arial" w:cs="Arial" w:eastAsia="Arial" w:hint="default"/>
                <w:sz w:val="20"/>
                <w:szCs w:val="20"/>
              </w:rPr>
              <w:t>2</w:t>
            </w:r>
            <w:r>
              <w:rPr>
                <w:rFonts w:ascii="黑体" w:hAnsi="黑体" w:cs="黑体" w:eastAsia="黑体" w:hint="default"/>
                <w:sz w:val="20"/>
                <w:szCs w:val="20"/>
              </w:rPr>
              <w:t>．参见附注五、</w:t>
            </w:r>
            <w:r>
              <w:rPr>
                <w:rFonts w:ascii="Arial" w:hAnsi="Arial" w:cs="Arial" w:eastAsia="Arial" w:hint="default"/>
                <w:sz w:val="20"/>
                <w:szCs w:val="20"/>
              </w:rPr>
              <w:t>9</w:t>
            </w:r>
            <w:r>
              <w:rPr>
                <w:rFonts w:ascii="黑体" w:hAnsi="黑体" w:cs="黑体" w:eastAsia="黑体" w:hint="default"/>
                <w:sz w:val="20"/>
                <w:szCs w:val="20"/>
              </w:rPr>
              <w:t>。</w:t>
            </w:r>
          </w:p>
          <w:p>
            <w:pPr>
              <w:pStyle w:val="TableParagraph"/>
              <w:spacing w:line="268" w:lineRule="exact"/>
              <w:ind w:left="220" w:right="0"/>
              <w:jc w:val="left"/>
              <w:rPr>
                <w:rFonts w:ascii="黑体" w:hAnsi="黑体" w:cs="黑体" w:eastAsia="黑体" w:hint="default"/>
                <w:sz w:val="20"/>
                <w:szCs w:val="20"/>
              </w:rPr>
            </w:pPr>
            <w:r>
              <w:rPr>
                <w:rFonts w:ascii="黑体" w:hAnsi="黑体" w:cs="黑体" w:eastAsia="黑体" w:hint="default"/>
                <w:sz w:val="20"/>
                <w:szCs w:val="20"/>
              </w:rPr>
              <w:t>注</w:t>
            </w:r>
            <w:r>
              <w:rPr>
                <w:rFonts w:ascii="Arial" w:hAnsi="Arial" w:cs="Arial" w:eastAsia="Arial" w:hint="default"/>
                <w:sz w:val="20"/>
                <w:szCs w:val="20"/>
              </w:rPr>
              <w:t>3</w:t>
            </w:r>
            <w:r>
              <w:rPr>
                <w:rFonts w:ascii="黑体" w:hAnsi="黑体" w:cs="黑体" w:eastAsia="黑体" w:hint="default"/>
                <w:sz w:val="20"/>
                <w:szCs w:val="20"/>
              </w:rPr>
              <w:t>．参见附注七。</w:t>
            </w:r>
          </w:p>
        </w:tc>
        <w:tc>
          <w:tcPr>
            <w:tcW w:w="5124" w:type="dxa"/>
            <w:gridSpan w:val="3"/>
            <w:vMerge w:val="restart"/>
            <w:tcBorders>
              <w:top w:val="nil" w:sz="6" w:space="0" w:color="auto"/>
              <w:left w:val="nil" w:sz="6" w:space="0" w:color="auto"/>
              <w:right w:val="nil" w:sz="6" w:space="0" w:color="auto"/>
            </w:tcBorders>
          </w:tcPr>
          <w:p>
            <w:pPr/>
          </w:p>
        </w:tc>
      </w:tr>
      <w:tr>
        <w:trPr>
          <w:trHeight w:val="466" w:hRule="exact"/>
        </w:trPr>
        <w:tc>
          <w:tcPr>
            <w:tcW w:w="529"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35" w:right="0"/>
              <w:jc w:val="left"/>
              <w:rPr>
                <w:rFonts w:ascii="Arial" w:hAnsi="Arial" w:cs="Arial" w:eastAsia="Arial" w:hint="default"/>
                <w:sz w:val="20"/>
                <w:szCs w:val="20"/>
              </w:rPr>
            </w:pPr>
            <w:r>
              <w:rPr>
                <w:rFonts w:ascii="Arial"/>
                <w:b/>
                <w:sz w:val="20"/>
              </w:rPr>
              <w:t>30.</w:t>
            </w:r>
            <w:r>
              <w:rPr>
                <w:rFonts w:ascii="Arial"/>
                <w:sz w:val="20"/>
              </w:rPr>
            </w:r>
          </w:p>
        </w:tc>
        <w:tc>
          <w:tcPr>
            <w:tcW w:w="292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26" w:right="0"/>
              <w:jc w:val="left"/>
              <w:rPr>
                <w:rFonts w:ascii="黑体" w:hAnsi="黑体" w:cs="黑体" w:eastAsia="黑体" w:hint="default"/>
                <w:sz w:val="20"/>
                <w:szCs w:val="20"/>
              </w:rPr>
            </w:pPr>
            <w:r>
              <w:rPr>
                <w:rFonts w:ascii="黑体" w:hAnsi="黑体" w:cs="黑体" w:eastAsia="黑体" w:hint="default"/>
                <w:b/>
                <w:bCs/>
                <w:sz w:val="20"/>
                <w:szCs w:val="20"/>
              </w:rPr>
              <w:t>盈余公积</w:t>
            </w:r>
            <w:r>
              <w:rPr>
                <w:rFonts w:ascii="黑体" w:hAnsi="黑体" w:cs="黑体" w:eastAsia="黑体" w:hint="default"/>
                <w:sz w:val="20"/>
                <w:szCs w:val="20"/>
              </w:rPr>
            </w:r>
          </w:p>
        </w:tc>
        <w:tc>
          <w:tcPr>
            <w:tcW w:w="5124" w:type="dxa"/>
            <w:gridSpan w:val="3"/>
            <w:vMerge/>
            <w:tcBorders>
              <w:left w:val="nil" w:sz="6" w:space="0" w:color="auto"/>
              <w:right w:val="nil" w:sz="6" w:space="0" w:color="auto"/>
            </w:tcBorders>
          </w:tcPr>
          <w:p>
            <w:pPr/>
          </w:p>
        </w:tc>
      </w:tr>
      <w:tr>
        <w:trPr>
          <w:trHeight w:val="438" w:hRule="exact"/>
        </w:trPr>
        <w:tc>
          <w:tcPr>
            <w:tcW w:w="529" w:type="dxa"/>
            <w:tcBorders>
              <w:top w:val="nil" w:sz="6" w:space="0" w:color="auto"/>
              <w:left w:val="nil" w:sz="6" w:space="0" w:color="auto"/>
              <w:bottom w:val="nil" w:sz="6" w:space="0" w:color="auto"/>
              <w:right w:val="nil" w:sz="6" w:space="0" w:color="auto"/>
            </w:tcBorders>
          </w:tcPr>
          <w:p>
            <w:pPr/>
          </w:p>
        </w:tc>
        <w:tc>
          <w:tcPr>
            <w:tcW w:w="292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20"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5124" w:type="dxa"/>
            <w:gridSpan w:val="3"/>
            <w:vMerge/>
            <w:tcBorders>
              <w:left w:val="nil" w:sz="6" w:space="0" w:color="auto"/>
              <w:bottom w:val="nil" w:sz="6" w:space="0" w:color="auto"/>
              <w:right w:val="nil" w:sz="6" w:space="0" w:color="auto"/>
            </w:tcBorders>
          </w:tcPr>
          <w:p>
            <w:pPr/>
          </w:p>
        </w:tc>
      </w:tr>
      <w:tr>
        <w:trPr>
          <w:trHeight w:val="467" w:hRule="exact"/>
        </w:trPr>
        <w:tc>
          <w:tcPr>
            <w:tcW w:w="529" w:type="dxa"/>
            <w:tcBorders>
              <w:top w:val="nil" w:sz="6" w:space="0" w:color="auto"/>
              <w:left w:val="nil" w:sz="6" w:space="0" w:color="auto"/>
              <w:bottom w:val="nil" w:sz="6" w:space="0" w:color="auto"/>
              <w:right w:val="nil" w:sz="6" w:space="0" w:color="auto"/>
            </w:tcBorders>
          </w:tcPr>
          <w:p>
            <w:pPr/>
          </w:p>
        </w:tc>
        <w:tc>
          <w:tcPr>
            <w:tcW w:w="2927" w:type="dxa"/>
            <w:tcBorders>
              <w:top w:val="nil" w:sz="6" w:space="0" w:color="auto"/>
              <w:left w:val="nil" w:sz="6" w:space="0" w:color="auto"/>
              <w:bottom w:val="nil" w:sz="6" w:space="0" w:color="auto"/>
              <w:right w:val="nil" w:sz="6" w:space="0" w:color="auto"/>
            </w:tcBorders>
          </w:tcPr>
          <w:p>
            <w:pPr/>
          </w:p>
        </w:tc>
        <w:tc>
          <w:tcPr>
            <w:tcW w:w="209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58"/>
              <w:jc w:val="right"/>
              <w:rPr>
                <w:rFonts w:ascii="黑体" w:hAnsi="黑体" w:cs="黑体" w:eastAsia="黑体" w:hint="default"/>
                <w:sz w:val="20"/>
                <w:szCs w:val="20"/>
              </w:rPr>
            </w:pPr>
            <w:r>
              <w:rPr>
                <w:rFonts w:ascii="黑体" w:hAnsi="黑体" w:cs="黑体" w:eastAsia="黑体" w:hint="default"/>
                <w:sz w:val="20"/>
                <w:szCs w:val="20"/>
              </w:rPr>
              <w:t>年初余额</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10"/>
              <w:jc w:val="right"/>
              <w:rPr>
                <w:rFonts w:ascii="黑体" w:hAnsi="黑体" w:cs="黑体" w:eastAsia="黑体" w:hint="default"/>
                <w:sz w:val="20"/>
                <w:szCs w:val="20"/>
              </w:rPr>
            </w:pPr>
            <w:r>
              <w:rPr>
                <w:rFonts w:ascii="黑体" w:hAnsi="黑体" w:cs="黑体" w:eastAsia="黑体" w:hint="default"/>
                <w:sz w:val="20"/>
                <w:szCs w:val="20"/>
              </w:rPr>
              <w:t>本年增加</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4"/>
              <w:jc w:val="right"/>
              <w:rPr>
                <w:rFonts w:ascii="黑体" w:hAnsi="黑体" w:cs="黑体" w:eastAsia="黑体" w:hint="default"/>
                <w:sz w:val="20"/>
                <w:szCs w:val="20"/>
              </w:rPr>
            </w:pPr>
            <w:r>
              <w:rPr>
                <w:rFonts w:ascii="黑体" w:hAnsi="黑体" w:cs="黑体" w:eastAsia="黑体" w:hint="default"/>
                <w:sz w:val="20"/>
                <w:szCs w:val="20"/>
              </w:rPr>
              <w:t>年末数</w:t>
            </w:r>
          </w:p>
        </w:tc>
      </w:tr>
      <w:tr>
        <w:trPr>
          <w:trHeight w:val="386" w:hRule="exact"/>
        </w:trPr>
        <w:tc>
          <w:tcPr>
            <w:tcW w:w="529" w:type="dxa"/>
            <w:tcBorders>
              <w:top w:val="nil" w:sz="6" w:space="0" w:color="auto"/>
              <w:left w:val="nil" w:sz="6" w:space="0" w:color="auto"/>
              <w:bottom w:val="nil" w:sz="6" w:space="0" w:color="auto"/>
              <w:right w:val="nil" w:sz="6" w:space="0" w:color="auto"/>
            </w:tcBorders>
          </w:tcPr>
          <w:p>
            <w:pPr/>
          </w:p>
        </w:tc>
        <w:tc>
          <w:tcPr>
            <w:tcW w:w="2927" w:type="dxa"/>
            <w:tcBorders>
              <w:top w:val="nil" w:sz="6" w:space="0" w:color="auto"/>
              <w:left w:val="nil" w:sz="6" w:space="0" w:color="auto"/>
              <w:bottom w:val="nil" w:sz="6" w:space="0" w:color="auto"/>
              <w:right w:val="nil" w:sz="6" w:space="0" w:color="auto"/>
            </w:tcBorders>
          </w:tcPr>
          <w:p>
            <w:pPr>
              <w:pStyle w:val="TableParagraph"/>
              <w:spacing w:line="240" w:lineRule="auto" w:before="93"/>
              <w:ind w:left="215" w:right="0"/>
              <w:jc w:val="left"/>
              <w:rPr>
                <w:rFonts w:ascii="黑体" w:hAnsi="黑体" w:cs="黑体" w:eastAsia="黑体" w:hint="default"/>
                <w:sz w:val="20"/>
                <w:szCs w:val="20"/>
              </w:rPr>
            </w:pPr>
            <w:r>
              <w:rPr>
                <w:rFonts w:ascii="黑体" w:hAnsi="黑体" w:cs="黑体" w:eastAsia="黑体" w:hint="default"/>
                <w:sz w:val="20"/>
                <w:szCs w:val="20"/>
              </w:rPr>
              <w:t>法定盈余公积</w:t>
            </w:r>
          </w:p>
        </w:tc>
        <w:tc>
          <w:tcPr>
            <w:tcW w:w="2091" w:type="dxa"/>
            <w:tcBorders>
              <w:top w:val="nil" w:sz="6" w:space="0" w:color="auto"/>
              <w:left w:val="nil" w:sz="6" w:space="0" w:color="auto"/>
              <w:bottom w:val="nil" w:sz="6" w:space="0" w:color="auto"/>
              <w:right w:val="nil" w:sz="6" w:space="0" w:color="auto"/>
            </w:tcBorders>
          </w:tcPr>
          <w:p>
            <w:pPr>
              <w:pStyle w:val="TableParagraph"/>
              <w:spacing w:line="240" w:lineRule="auto" w:before="138"/>
              <w:ind w:right="257"/>
              <w:jc w:val="right"/>
              <w:rPr>
                <w:rFonts w:ascii="Arial" w:hAnsi="Arial" w:cs="Arial" w:eastAsia="Arial" w:hint="default"/>
                <w:sz w:val="20"/>
                <w:szCs w:val="20"/>
              </w:rPr>
            </w:pPr>
            <w:r>
              <w:rPr>
                <w:rFonts w:ascii="Arial"/>
                <w:spacing w:val="-1"/>
                <w:sz w:val="20"/>
              </w:rPr>
              <w:t>155,981,425</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38"/>
              <w:ind w:right="276"/>
              <w:jc w:val="right"/>
              <w:rPr>
                <w:rFonts w:ascii="Arial" w:hAnsi="Arial" w:cs="Arial" w:eastAsia="Arial" w:hint="default"/>
                <w:sz w:val="20"/>
                <w:szCs w:val="20"/>
              </w:rPr>
            </w:pPr>
            <w:r>
              <w:rPr>
                <w:rFonts w:ascii="Arial"/>
                <w:spacing w:val="-1"/>
                <w:sz w:val="20"/>
              </w:rPr>
              <w:t>54,402,376</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138"/>
              <w:ind w:right="33"/>
              <w:jc w:val="right"/>
              <w:rPr>
                <w:rFonts w:ascii="Arial" w:hAnsi="Arial" w:cs="Arial" w:eastAsia="Arial" w:hint="default"/>
                <w:sz w:val="20"/>
                <w:szCs w:val="20"/>
              </w:rPr>
            </w:pPr>
            <w:r>
              <w:rPr>
                <w:rFonts w:ascii="Arial"/>
                <w:spacing w:val="-1"/>
                <w:sz w:val="20"/>
              </w:rPr>
              <w:t>210,383,801</w:t>
            </w:r>
          </w:p>
        </w:tc>
      </w:tr>
      <w:tr>
        <w:trPr>
          <w:trHeight w:val="255" w:hRule="exact"/>
        </w:trPr>
        <w:tc>
          <w:tcPr>
            <w:tcW w:w="529" w:type="dxa"/>
            <w:tcBorders>
              <w:top w:val="nil" w:sz="6" w:space="0" w:color="auto"/>
              <w:left w:val="nil" w:sz="6" w:space="0" w:color="auto"/>
              <w:bottom w:val="nil" w:sz="6" w:space="0" w:color="auto"/>
              <w:right w:val="nil" w:sz="6" w:space="0" w:color="auto"/>
            </w:tcBorders>
          </w:tcPr>
          <w:p>
            <w:pPr/>
          </w:p>
        </w:tc>
        <w:tc>
          <w:tcPr>
            <w:tcW w:w="2927" w:type="dxa"/>
            <w:tcBorders>
              <w:top w:val="nil" w:sz="6" w:space="0" w:color="auto"/>
              <w:left w:val="nil" w:sz="6" w:space="0" w:color="auto"/>
              <w:bottom w:val="nil" w:sz="6" w:space="0" w:color="auto"/>
              <w:right w:val="nil" w:sz="6" w:space="0" w:color="auto"/>
            </w:tcBorders>
          </w:tcPr>
          <w:p>
            <w:pPr>
              <w:pStyle w:val="TableParagraph"/>
              <w:spacing w:line="237" w:lineRule="exact"/>
              <w:ind w:left="215" w:right="0"/>
              <w:jc w:val="left"/>
              <w:rPr>
                <w:rFonts w:ascii="Arial" w:hAnsi="Arial" w:cs="Arial" w:eastAsia="Arial" w:hint="default"/>
                <w:sz w:val="20"/>
                <w:szCs w:val="20"/>
              </w:rPr>
            </w:pPr>
            <w:r>
              <w:rPr>
                <w:rFonts w:ascii="黑体" w:hAnsi="黑体" w:cs="黑体" w:eastAsia="黑体" w:hint="default"/>
                <w:sz w:val="20"/>
                <w:szCs w:val="20"/>
              </w:rPr>
              <w:t>任意盈余公积</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p>
        </w:tc>
        <w:tc>
          <w:tcPr>
            <w:tcW w:w="209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5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33,568,804</w:t>
            </w:r>
            <w:r>
              <w:rPr>
                <w:rFonts w:ascii="Arial"/>
                <w:spacing w:val="-1"/>
                <w:sz w:val="20"/>
              </w:rPr>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76"/>
              <w:jc w:val="right"/>
              <w:rPr>
                <w:rFonts w:ascii="Arial" w:hAnsi="Arial" w:cs="Arial" w:eastAsia="Arial" w:hint="default"/>
                <w:sz w:val="20"/>
                <w:szCs w:val="20"/>
              </w:rPr>
            </w:pPr>
            <w:r>
              <w:rPr>
                <w:rFonts w:ascii="Arial"/>
                <w:w w:val="100"/>
                <w:sz w:val="20"/>
              </w:rPr>
            </w:r>
            <w:r>
              <w:rPr>
                <w:rFonts w:ascii="Arial"/>
                <w:spacing w:val="-1"/>
                <w:sz w:val="20"/>
                <w:u w:val="single" w:color="000000"/>
              </w:rPr>
              <w:t>27,321,094</w:t>
            </w:r>
            <w:r>
              <w:rPr>
                <w:rFonts w:ascii="Arial"/>
                <w:spacing w:val="-1"/>
                <w:sz w:val="20"/>
              </w:rPr>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60,889,898</w:t>
            </w:r>
            <w:r>
              <w:rPr>
                <w:rFonts w:ascii="Arial"/>
                <w:spacing w:val="-1"/>
                <w:sz w:val="20"/>
              </w:rPr>
            </w:r>
          </w:p>
        </w:tc>
      </w:tr>
      <w:tr>
        <w:trPr>
          <w:trHeight w:val="353" w:hRule="exact"/>
        </w:trPr>
        <w:tc>
          <w:tcPr>
            <w:tcW w:w="529" w:type="dxa"/>
            <w:tcBorders>
              <w:top w:val="nil" w:sz="6" w:space="0" w:color="auto"/>
              <w:left w:val="nil" w:sz="6" w:space="0" w:color="auto"/>
              <w:bottom w:val="nil" w:sz="6" w:space="0" w:color="auto"/>
              <w:right w:val="nil" w:sz="6" w:space="0" w:color="auto"/>
            </w:tcBorders>
          </w:tcPr>
          <w:p>
            <w:pPr/>
          </w:p>
        </w:tc>
        <w:tc>
          <w:tcPr>
            <w:tcW w:w="2927" w:type="dxa"/>
            <w:tcBorders>
              <w:top w:val="nil" w:sz="6" w:space="0" w:color="auto"/>
              <w:left w:val="nil" w:sz="6" w:space="0" w:color="auto"/>
              <w:bottom w:val="nil" w:sz="6" w:space="0" w:color="auto"/>
              <w:right w:val="nil" w:sz="6" w:space="0" w:color="auto"/>
            </w:tcBorders>
          </w:tcPr>
          <w:p>
            <w:pPr>
              <w:pStyle w:val="TableParagraph"/>
              <w:spacing w:line="224" w:lineRule="exact"/>
              <w:ind w:left="215"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209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57"/>
              <w:jc w:val="right"/>
              <w:rPr>
                <w:rFonts w:ascii="Arial" w:hAnsi="Arial" w:cs="Arial" w:eastAsia="Arial" w:hint="default"/>
                <w:sz w:val="20"/>
                <w:szCs w:val="20"/>
              </w:rPr>
            </w:pPr>
            <w:r>
              <w:rPr>
                <w:rFonts w:ascii="Arial"/>
                <w:w w:val="100"/>
                <w:sz w:val="20"/>
              </w:rPr>
            </w:r>
            <w:r>
              <w:rPr>
                <w:rFonts w:ascii="Arial"/>
                <w:spacing w:val="-1"/>
                <w:sz w:val="20"/>
                <w:u w:val="thick" w:color="000000"/>
              </w:rPr>
              <w:t>189,550,229</w:t>
            </w:r>
            <w:r>
              <w:rPr>
                <w:rFonts w:ascii="Arial"/>
                <w:spacing w:val="-1"/>
                <w:sz w:val="20"/>
              </w:rPr>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76"/>
              <w:jc w:val="right"/>
              <w:rPr>
                <w:rFonts w:ascii="Arial" w:hAnsi="Arial" w:cs="Arial" w:eastAsia="Arial" w:hint="default"/>
                <w:sz w:val="20"/>
                <w:szCs w:val="20"/>
              </w:rPr>
            </w:pPr>
            <w:r>
              <w:rPr>
                <w:rFonts w:ascii="Arial"/>
                <w:w w:val="100"/>
                <w:sz w:val="20"/>
              </w:rPr>
            </w:r>
            <w:r>
              <w:rPr>
                <w:rFonts w:ascii="Arial"/>
                <w:spacing w:val="-1"/>
                <w:sz w:val="20"/>
                <w:u w:val="thick" w:color="000000"/>
              </w:rPr>
              <w:t>81,723,470</w:t>
            </w:r>
            <w:r>
              <w:rPr>
                <w:rFonts w:ascii="Arial"/>
                <w:spacing w:val="-1"/>
                <w:sz w:val="20"/>
              </w:rPr>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271,273,699</w:t>
            </w:r>
            <w:r>
              <w:rPr>
                <w:rFonts w:ascii="Arial"/>
                <w:spacing w:val="-1"/>
                <w:sz w:val="20"/>
              </w:rPr>
            </w:r>
          </w:p>
        </w:tc>
      </w:tr>
      <w:tr>
        <w:trPr>
          <w:trHeight w:val="477" w:hRule="exact"/>
        </w:trPr>
        <w:tc>
          <w:tcPr>
            <w:tcW w:w="529" w:type="dxa"/>
            <w:tcBorders>
              <w:top w:val="nil" w:sz="6" w:space="0" w:color="auto"/>
              <w:left w:val="nil" w:sz="6" w:space="0" w:color="auto"/>
              <w:bottom w:val="nil" w:sz="6" w:space="0" w:color="auto"/>
              <w:right w:val="nil" w:sz="6" w:space="0" w:color="auto"/>
            </w:tcBorders>
          </w:tcPr>
          <w:p>
            <w:pPr/>
          </w:p>
        </w:tc>
        <w:tc>
          <w:tcPr>
            <w:tcW w:w="2927"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0"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c>
          <w:tcPr>
            <w:tcW w:w="2091"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
        </w:tc>
        <w:tc>
          <w:tcPr>
            <w:tcW w:w="1460" w:type="dxa"/>
            <w:tcBorders>
              <w:top w:val="nil" w:sz="6" w:space="0" w:color="auto"/>
              <w:left w:val="nil" w:sz="6" w:space="0" w:color="auto"/>
              <w:bottom w:val="nil" w:sz="6" w:space="0" w:color="auto"/>
              <w:right w:val="nil" w:sz="6" w:space="0" w:color="auto"/>
            </w:tcBorders>
          </w:tcPr>
          <w:p>
            <w:pPr/>
          </w:p>
        </w:tc>
      </w:tr>
      <w:tr>
        <w:trPr>
          <w:trHeight w:val="509" w:hRule="exact"/>
        </w:trPr>
        <w:tc>
          <w:tcPr>
            <w:tcW w:w="529" w:type="dxa"/>
            <w:tcBorders>
              <w:top w:val="nil" w:sz="6" w:space="0" w:color="auto"/>
              <w:left w:val="nil" w:sz="6" w:space="0" w:color="auto"/>
              <w:bottom w:val="nil" w:sz="6" w:space="0" w:color="auto"/>
              <w:right w:val="nil" w:sz="6" w:space="0" w:color="auto"/>
            </w:tcBorders>
          </w:tcPr>
          <w:p>
            <w:pPr/>
          </w:p>
        </w:tc>
        <w:tc>
          <w:tcPr>
            <w:tcW w:w="2927" w:type="dxa"/>
            <w:tcBorders>
              <w:top w:val="nil" w:sz="6" w:space="0" w:color="auto"/>
              <w:left w:val="nil" w:sz="6" w:space="0" w:color="auto"/>
              <w:bottom w:val="nil" w:sz="6" w:space="0" w:color="auto"/>
              <w:right w:val="nil" w:sz="6" w:space="0" w:color="auto"/>
            </w:tcBorders>
          </w:tcPr>
          <w:p>
            <w:pPr/>
          </w:p>
        </w:tc>
        <w:tc>
          <w:tcPr>
            <w:tcW w:w="209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92"/>
              <w:jc w:val="right"/>
              <w:rPr>
                <w:rFonts w:ascii="黑体" w:hAnsi="黑体" w:cs="黑体" w:eastAsia="黑体" w:hint="default"/>
                <w:sz w:val="20"/>
                <w:szCs w:val="20"/>
              </w:rPr>
            </w:pPr>
            <w:r>
              <w:rPr>
                <w:rFonts w:ascii="黑体" w:hAnsi="黑体" w:cs="黑体" w:eastAsia="黑体" w:hint="default"/>
                <w:sz w:val="20"/>
                <w:szCs w:val="20"/>
              </w:rPr>
              <w:t>年初余额</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10"/>
              <w:jc w:val="right"/>
              <w:rPr>
                <w:rFonts w:ascii="黑体" w:hAnsi="黑体" w:cs="黑体" w:eastAsia="黑体" w:hint="default"/>
                <w:sz w:val="20"/>
                <w:szCs w:val="20"/>
              </w:rPr>
            </w:pPr>
            <w:r>
              <w:rPr>
                <w:rFonts w:ascii="黑体" w:hAnsi="黑体" w:cs="黑体" w:eastAsia="黑体" w:hint="default"/>
                <w:sz w:val="20"/>
                <w:szCs w:val="20"/>
              </w:rPr>
              <w:t>本年增加</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66"/>
              <w:jc w:val="right"/>
              <w:rPr>
                <w:rFonts w:ascii="黑体" w:hAnsi="黑体" w:cs="黑体" w:eastAsia="黑体" w:hint="default"/>
                <w:sz w:val="20"/>
                <w:szCs w:val="20"/>
              </w:rPr>
            </w:pPr>
            <w:r>
              <w:rPr>
                <w:rFonts w:ascii="黑体" w:hAnsi="黑体" w:cs="黑体" w:eastAsia="黑体" w:hint="default"/>
                <w:sz w:val="20"/>
                <w:szCs w:val="20"/>
              </w:rPr>
              <w:t>年末数</w:t>
            </w:r>
          </w:p>
        </w:tc>
      </w:tr>
      <w:tr>
        <w:trPr>
          <w:trHeight w:val="397" w:hRule="exact"/>
        </w:trPr>
        <w:tc>
          <w:tcPr>
            <w:tcW w:w="529" w:type="dxa"/>
            <w:tcBorders>
              <w:top w:val="nil" w:sz="6" w:space="0" w:color="auto"/>
              <w:left w:val="nil" w:sz="6" w:space="0" w:color="auto"/>
              <w:bottom w:val="nil" w:sz="6" w:space="0" w:color="auto"/>
              <w:right w:val="nil" w:sz="6" w:space="0" w:color="auto"/>
            </w:tcBorders>
          </w:tcPr>
          <w:p>
            <w:pPr/>
          </w:p>
        </w:tc>
        <w:tc>
          <w:tcPr>
            <w:tcW w:w="2927" w:type="dxa"/>
            <w:tcBorders>
              <w:top w:val="nil" w:sz="6" w:space="0" w:color="auto"/>
              <w:left w:val="nil" w:sz="6" w:space="0" w:color="auto"/>
              <w:bottom w:val="nil" w:sz="6" w:space="0" w:color="auto"/>
              <w:right w:val="nil" w:sz="6" w:space="0" w:color="auto"/>
            </w:tcBorders>
          </w:tcPr>
          <w:p>
            <w:pPr>
              <w:pStyle w:val="TableParagraph"/>
              <w:spacing w:line="240" w:lineRule="auto" w:before="99"/>
              <w:ind w:left="242" w:right="0"/>
              <w:jc w:val="left"/>
              <w:rPr>
                <w:rFonts w:ascii="黑体" w:hAnsi="黑体" w:cs="黑体" w:eastAsia="黑体" w:hint="default"/>
                <w:sz w:val="20"/>
                <w:szCs w:val="20"/>
              </w:rPr>
            </w:pPr>
            <w:r>
              <w:rPr>
                <w:rFonts w:ascii="黑体" w:hAnsi="黑体" w:cs="黑体" w:eastAsia="黑体" w:hint="default"/>
                <w:sz w:val="20"/>
                <w:szCs w:val="20"/>
              </w:rPr>
              <w:t>法定盈余公积</w:t>
            </w:r>
          </w:p>
        </w:tc>
        <w:tc>
          <w:tcPr>
            <w:tcW w:w="2091"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291"/>
              <w:jc w:val="right"/>
              <w:rPr>
                <w:rFonts w:ascii="Arial" w:hAnsi="Arial" w:cs="Arial" w:eastAsia="Arial" w:hint="default"/>
                <w:sz w:val="20"/>
                <w:szCs w:val="20"/>
              </w:rPr>
            </w:pPr>
            <w:r>
              <w:rPr>
                <w:rFonts w:ascii="Arial"/>
                <w:spacing w:val="-1"/>
                <w:sz w:val="20"/>
              </w:rPr>
              <w:t>116,026,568</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310"/>
              <w:jc w:val="right"/>
              <w:rPr>
                <w:rFonts w:ascii="Arial" w:hAnsi="Arial" w:cs="Arial" w:eastAsia="Arial" w:hint="default"/>
                <w:sz w:val="20"/>
                <w:szCs w:val="20"/>
              </w:rPr>
            </w:pPr>
            <w:r>
              <w:rPr>
                <w:rFonts w:ascii="Arial"/>
                <w:spacing w:val="-1"/>
                <w:sz w:val="20"/>
              </w:rPr>
              <w:t>39,954,857</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65"/>
              <w:jc w:val="right"/>
              <w:rPr>
                <w:rFonts w:ascii="Arial" w:hAnsi="Arial" w:cs="Arial" w:eastAsia="Arial" w:hint="default"/>
                <w:sz w:val="20"/>
                <w:szCs w:val="20"/>
              </w:rPr>
            </w:pPr>
            <w:r>
              <w:rPr>
                <w:rFonts w:ascii="Arial"/>
                <w:spacing w:val="-1"/>
                <w:sz w:val="20"/>
              </w:rPr>
              <w:t>155,981,425</w:t>
            </w:r>
          </w:p>
        </w:tc>
      </w:tr>
      <w:tr>
        <w:trPr>
          <w:trHeight w:val="261" w:hRule="exact"/>
        </w:trPr>
        <w:tc>
          <w:tcPr>
            <w:tcW w:w="529" w:type="dxa"/>
            <w:tcBorders>
              <w:top w:val="nil" w:sz="6" w:space="0" w:color="auto"/>
              <w:left w:val="nil" w:sz="6" w:space="0" w:color="auto"/>
              <w:bottom w:val="nil" w:sz="6" w:space="0" w:color="auto"/>
              <w:right w:val="nil" w:sz="6" w:space="0" w:color="auto"/>
            </w:tcBorders>
          </w:tcPr>
          <w:p>
            <w:pPr/>
          </w:p>
        </w:tc>
        <w:tc>
          <w:tcPr>
            <w:tcW w:w="2927" w:type="dxa"/>
            <w:tcBorders>
              <w:top w:val="nil" w:sz="6" w:space="0" w:color="auto"/>
              <w:left w:val="nil" w:sz="6" w:space="0" w:color="auto"/>
              <w:bottom w:val="nil" w:sz="6" w:space="0" w:color="auto"/>
              <w:right w:val="nil" w:sz="6" w:space="0" w:color="auto"/>
            </w:tcBorders>
          </w:tcPr>
          <w:p>
            <w:pPr>
              <w:pStyle w:val="TableParagraph"/>
              <w:spacing w:line="226" w:lineRule="exact"/>
              <w:ind w:left="242" w:right="0"/>
              <w:jc w:val="left"/>
              <w:rPr>
                <w:rFonts w:ascii="黑体" w:hAnsi="黑体" w:cs="黑体" w:eastAsia="黑体" w:hint="default"/>
                <w:sz w:val="20"/>
                <w:szCs w:val="20"/>
              </w:rPr>
            </w:pPr>
            <w:r>
              <w:rPr>
                <w:rFonts w:ascii="黑体" w:hAnsi="黑体" w:cs="黑体" w:eastAsia="黑体" w:hint="default"/>
                <w:sz w:val="20"/>
                <w:szCs w:val="20"/>
              </w:rPr>
              <w:t>任意盈余公积</w:t>
            </w:r>
          </w:p>
        </w:tc>
        <w:tc>
          <w:tcPr>
            <w:tcW w:w="209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9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13,591,376</w:t>
            </w:r>
            <w:r>
              <w:rPr>
                <w:rFonts w:ascii="Arial"/>
                <w:spacing w:val="-1"/>
                <w:sz w:val="20"/>
              </w:rPr>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10"/>
              <w:jc w:val="right"/>
              <w:rPr>
                <w:rFonts w:ascii="Arial" w:hAnsi="Arial" w:cs="Arial" w:eastAsia="Arial" w:hint="default"/>
                <w:sz w:val="20"/>
                <w:szCs w:val="20"/>
              </w:rPr>
            </w:pPr>
            <w:r>
              <w:rPr>
                <w:rFonts w:ascii="Arial"/>
                <w:w w:val="100"/>
                <w:sz w:val="20"/>
              </w:rPr>
            </w:r>
            <w:r>
              <w:rPr>
                <w:rFonts w:ascii="Arial"/>
                <w:spacing w:val="-1"/>
                <w:sz w:val="20"/>
                <w:u w:val="single" w:color="000000"/>
              </w:rPr>
              <w:t>19,977,428</w:t>
            </w:r>
            <w:r>
              <w:rPr>
                <w:rFonts w:ascii="Arial"/>
                <w:spacing w:val="-1"/>
                <w:sz w:val="20"/>
              </w:rPr>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33,568,804</w:t>
            </w:r>
            <w:r>
              <w:rPr>
                <w:rFonts w:ascii="Arial"/>
                <w:spacing w:val="-1"/>
                <w:sz w:val="20"/>
              </w:rPr>
            </w:r>
          </w:p>
        </w:tc>
      </w:tr>
      <w:tr>
        <w:trPr>
          <w:trHeight w:val="335" w:hRule="exact"/>
        </w:trPr>
        <w:tc>
          <w:tcPr>
            <w:tcW w:w="529" w:type="dxa"/>
            <w:tcBorders>
              <w:top w:val="nil" w:sz="6" w:space="0" w:color="auto"/>
              <w:left w:val="nil" w:sz="6" w:space="0" w:color="auto"/>
              <w:bottom w:val="nil" w:sz="6" w:space="0" w:color="auto"/>
              <w:right w:val="nil" w:sz="6" w:space="0" w:color="auto"/>
            </w:tcBorders>
          </w:tcPr>
          <w:p>
            <w:pPr/>
          </w:p>
        </w:tc>
        <w:tc>
          <w:tcPr>
            <w:tcW w:w="2927" w:type="dxa"/>
            <w:tcBorders>
              <w:top w:val="nil" w:sz="6" w:space="0" w:color="auto"/>
              <w:left w:val="nil" w:sz="6" w:space="0" w:color="auto"/>
              <w:bottom w:val="nil" w:sz="6" w:space="0" w:color="auto"/>
              <w:right w:val="nil" w:sz="6" w:space="0" w:color="auto"/>
            </w:tcBorders>
          </w:tcPr>
          <w:p>
            <w:pPr>
              <w:pStyle w:val="TableParagraph"/>
              <w:spacing w:line="225" w:lineRule="exact"/>
              <w:ind w:left="242"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209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91"/>
              <w:jc w:val="right"/>
              <w:rPr>
                <w:rFonts w:ascii="Arial" w:hAnsi="Arial" w:cs="Arial" w:eastAsia="Arial" w:hint="default"/>
                <w:sz w:val="20"/>
                <w:szCs w:val="20"/>
              </w:rPr>
            </w:pPr>
            <w:r>
              <w:rPr>
                <w:rFonts w:ascii="Arial"/>
                <w:w w:val="100"/>
                <w:sz w:val="20"/>
              </w:rPr>
            </w:r>
            <w:r>
              <w:rPr>
                <w:rFonts w:ascii="Arial"/>
                <w:spacing w:val="-1"/>
                <w:sz w:val="20"/>
                <w:u w:val="thick" w:color="000000"/>
              </w:rPr>
              <w:t>129,617,944</w:t>
            </w:r>
            <w:r>
              <w:rPr>
                <w:rFonts w:ascii="Arial"/>
                <w:spacing w:val="-1"/>
                <w:sz w:val="20"/>
              </w:rPr>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10"/>
              <w:jc w:val="right"/>
              <w:rPr>
                <w:rFonts w:ascii="Arial" w:hAnsi="Arial" w:cs="Arial" w:eastAsia="Arial" w:hint="default"/>
                <w:sz w:val="20"/>
                <w:szCs w:val="20"/>
              </w:rPr>
            </w:pPr>
            <w:r>
              <w:rPr>
                <w:rFonts w:ascii="Arial"/>
                <w:w w:val="100"/>
                <w:sz w:val="20"/>
              </w:rPr>
            </w:r>
            <w:r>
              <w:rPr>
                <w:rFonts w:ascii="Arial"/>
                <w:spacing w:val="-1"/>
                <w:sz w:val="20"/>
                <w:u w:val="thick" w:color="000000"/>
              </w:rPr>
              <w:t>59,932,285</w:t>
            </w:r>
            <w:r>
              <w:rPr>
                <w:rFonts w:ascii="Arial"/>
                <w:spacing w:val="-1"/>
                <w:sz w:val="20"/>
              </w:rPr>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65"/>
              <w:jc w:val="right"/>
              <w:rPr>
                <w:rFonts w:ascii="Arial" w:hAnsi="Arial" w:cs="Arial" w:eastAsia="Arial" w:hint="default"/>
                <w:sz w:val="20"/>
                <w:szCs w:val="20"/>
              </w:rPr>
            </w:pPr>
            <w:r>
              <w:rPr>
                <w:rFonts w:ascii="Arial"/>
                <w:w w:val="100"/>
                <w:sz w:val="20"/>
              </w:rPr>
            </w:r>
            <w:r>
              <w:rPr>
                <w:rFonts w:ascii="Arial"/>
                <w:spacing w:val="-1"/>
                <w:sz w:val="20"/>
                <w:u w:val="thick" w:color="000000"/>
              </w:rPr>
              <w:t>189,550,229</w:t>
            </w:r>
            <w:r>
              <w:rPr>
                <w:rFonts w:ascii="Arial"/>
                <w:spacing w:val="-1"/>
                <w:sz w:val="20"/>
              </w:rPr>
            </w:r>
          </w:p>
        </w:tc>
      </w:tr>
    </w:tbl>
    <w:p>
      <w:pPr>
        <w:spacing w:line="240" w:lineRule="auto" w:before="12"/>
        <w:rPr>
          <w:rFonts w:ascii="黑体" w:hAnsi="黑体" w:cs="黑体" w:eastAsia="黑体" w:hint="default"/>
          <w:sz w:val="12"/>
          <w:szCs w:val="12"/>
        </w:rPr>
      </w:pPr>
    </w:p>
    <w:p>
      <w:pPr>
        <w:pStyle w:val="BodyText"/>
        <w:spacing w:line="273" w:lineRule="auto" w:before="38"/>
        <w:ind w:left="855" w:right="235"/>
        <w:jc w:val="both"/>
      </w:pPr>
      <w:r>
        <w:rPr>
          <w:spacing w:val="-1"/>
        </w:rPr>
        <w:t>根据中国公司法及本公司的公司章程和本公司的下属国内子公司（指于国内成立的内资有</w:t>
      </w:r>
      <w:r>
        <w:rPr>
          <w:spacing w:val="-79"/>
        </w:rPr>
        <w:t> </w:t>
      </w:r>
      <w:r>
        <w:rPr>
          <w:spacing w:val="-79"/>
        </w:rPr>
      </w:r>
      <w:r>
        <w:rPr>
          <w:spacing w:val="-1"/>
        </w:rPr>
        <w:t>限责任公司）的公司章程，本公司及该些子公司需按适用于本公司及该些子公司的中国企</w:t>
      </w:r>
      <w:r>
        <w:rPr>
          <w:spacing w:val="-78"/>
        </w:rPr>
        <w:t> </w:t>
      </w:r>
      <w:r>
        <w:rPr>
          <w:spacing w:val="-78"/>
        </w:rPr>
      </w:r>
      <w:r>
        <w:rPr>
          <w:spacing w:val="-1"/>
        </w:rPr>
        <w:t>业会计准则规定计算之净利润的</w:t>
      </w:r>
      <w:r>
        <w:rPr>
          <w:rFonts w:ascii="Arial" w:hAnsi="Arial" w:cs="Arial" w:eastAsia="Arial" w:hint="default"/>
          <w:spacing w:val="-1"/>
        </w:rPr>
        <w:t>10%</w:t>
      </w:r>
      <w:r>
        <w:rPr>
          <w:spacing w:val="-1"/>
        </w:rPr>
        <w:t>提取法定盈余公积。法定盈余公积累计额为有关公司</w:t>
      </w:r>
      <w:r>
        <w:rPr>
          <w:spacing w:val="-81"/>
        </w:rPr>
        <w:t> </w:t>
      </w:r>
      <w:r>
        <w:rPr>
          <w:spacing w:val="-81"/>
        </w:rPr>
      </w:r>
      <w:r>
        <w:rPr>
          <w:spacing w:val="-1"/>
        </w:rPr>
        <w:t>注册资本的百分之五十以上的，可以不再提取。在符合载于中国公司法及有关公司的公司</w:t>
      </w:r>
      <w:r>
        <w:rPr>
          <w:spacing w:val="-79"/>
        </w:rPr>
        <w:t> </w:t>
      </w:r>
      <w:r>
        <w:rPr>
          <w:spacing w:val="-79"/>
        </w:rPr>
      </w:r>
      <w:r>
        <w:rPr>
          <w:spacing w:val="-1"/>
        </w:rPr>
        <w:t>章程的若干规定下，有关公司的法定盈余公积可用于弥补公司的亏损、扩大公司生产经营</w:t>
      </w:r>
      <w:r>
        <w:rPr>
          <w:spacing w:val="-79"/>
        </w:rPr>
        <w:t> </w:t>
      </w:r>
      <w:r>
        <w:rPr>
          <w:spacing w:val="-79"/>
        </w:rPr>
      </w:r>
      <w:r>
        <w:rPr>
          <w:spacing w:val="-1"/>
        </w:rPr>
        <w:t>或者转为增加公司资本。法定盈余公积转为资本时，所留存的该项公积金不得少于转增前</w:t>
      </w:r>
      <w:r>
        <w:rPr>
          <w:spacing w:val="-80"/>
        </w:rPr>
        <w:t> </w:t>
      </w:r>
      <w:r>
        <w:rPr>
          <w:spacing w:val="-80"/>
        </w:rPr>
      </w:r>
      <w:r>
        <w:rPr/>
        <w:t>公司注册资本的百分之二十五。</w:t>
      </w:r>
    </w:p>
    <w:p>
      <w:pPr>
        <w:spacing w:after="0" w:line="273" w:lineRule="auto"/>
        <w:jc w:val="both"/>
        <w:sectPr>
          <w:type w:val="continuous"/>
          <w:pgSz w:w="11910" w:h="16840"/>
          <w:pgMar w:top="900" w:bottom="280" w:left="1560" w:right="1460"/>
        </w:sect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28"/>
          <w:szCs w:val="28"/>
        </w:rPr>
      </w:pPr>
    </w:p>
    <w:p>
      <w:pPr>
        <w:tabs>
          <w:tab w:pos="843" w:val="left" w:leader="none"/>
        </w:tabs>
        <w:spacing w:before="38"/>
        <w:ind w:left="141" w:right="2405"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9"/>
        <w:rPr>
          <w:rFonts w:ascii="黑体" w:hAnsi="黑体" w:cs="黑体" w:eastAsia="黑体" w:hint="default"/>
          <w:b/>
          <w:bCs/>
          <w:sz w:val="23"/>
          <w:szCs w:val="23"/>
        </w:rPr>
      </w:pPr>
    </w:p>
    <w:p>
      <w:pPr>
        <w:tabs>
          <w:tab w:pos="861" w:val="left" w:leader="none"/>
        </w:tabs>
        <w:spacing w:before="0"/>
        <w:ind w:left="141" w:right="2405" w:firstLine="0"/>
        <w:jc w:val="left"/>
        <w:rPr>
          <w:rFonts w:ascii="Arial" w:hAnsi="Arial" w:cs="Arial" w:eastAsia="Arial" w:hint="default"/>
          <w:sz w:val="20"/>
          <w:szCs w:val="20"/>
        </w:rPr>
      </w:pPr>
      <w:r>
        <w:rPr>
          <w:rFonts w:ascii="Arial" w:hAnsi="Arial" w:cs="Arial" w:eastAsia="Arial" w:hint="default"/>
          <w:b/>
          <w:bCs/>
          <w:spacing w:val="-1"/>
          <w:sz w:val="20"/>
          <w:szCs w:val="20"/>
        </w:rPr>
        <w:t>30.</w:t>
        <w:tab/>
      </w:r>
      <w:r>
        <w:rPr>
          <w:rFonts w:ascii="黑体" w:hAnsi="黑体" w:cs="黑体" w:eastAsia="黑体" w:hint="default"/>
          <w:b/>
          <w:bCs/>
          <w:sz w:val="20"/>
          <w:szCs w:val="20"/>
        </w:rPr>
        <w:t>盈余公积</w:t>
      </w:r>
      <w:r>
        <w:rPr>
          <w:rFonts w:ascii="Arial" w:hAnsi="Arial" w:cs="Arial" w:eastAsia="Arial" w:hint="default"/>
          <w:b/>
          <w:bCs/>
          <w:sz w:val="20"/>
          <w:szCs w:val="20"/>
        </w:rPr>
        <w:t>(</w:t>
      </w:r>
      <w:r>
        <w:rPr>
          <w:rFonts w:ascii="黑体" w:hAnsi="黑体" w:cs="黑体" w:eastAsia="黑体" w:hint="default"/>
          <w:b/>
          <w:bCs/>
          <w:sz w:val="20"/>
          <w:szCs w:val="20"/>
        </w:rPr>
        <w:t>续</w:t>
      </w:r>
      <w:r>
        <w:rPr>
          <w:rFonts w:ascii="Arial" w:hAnsi="Arial" w:cs="Arial" w:eastAsia="Arial" w:hint="default"/>
          <w:b/>
          <w:bCs/>
          <w:sz w:val="20"/>
          <w:szCs w:val="20"/>
        </w:rPr>
        <w:t>)</w:t>
      </w:r>
      <w:r>
        <w:rPr>
          <w:rFonts w:ascii="Arial" w:hAnsi="Arial" w:cs="Arial" w:eastAsia="Arial" w:hint="default"/>
          <w:sz w:val="20"/>
          <w:szCs w:val="20"/>
        </w:rPr>
      </w:r>
    </w:p>
    <w:p>
      <w:pPr>
        <w:spacing w:line="240" w:lineRule="auto" w:before="4"/>
        <w:rPr>
          <w:rFonts w:ascii="Arial" w:hAnsi="Arial" w:cs="Arial" w:eastAsia="Arial" w:hint="default"/>
          <w:b/>
          <w:bCs/>
          <w:sz w:val="16"/>
          <w:szCs w:val="16"/>
        </w:rPr>
      </w:pPr>
    </w:p>
    <w:p>
      <w:pPr>
        <w:pStyle w:val="BodyText"/>
        <w:spacing w:line="261" w:lineRule="auto"/>
        <w:ind w:left="855" w:right="213"/>
        <w:jc w:val="both"/>
      </w:pPr>
      <w:r>
        <w:rPr>
          <w:spacing w:val="-4"/>
          <w:w w:val="100"/>
        </w:rPr>
        <w:t>于以前年度，本公司及若干子公司需按中国会计准则及规定计算的净利润的</w:t>
      </w:r>
      <w:r>
        <w:rPr>
          <w:rFonts w:ascii="Arial" w:hAnsi="Arial" w:cs="Arial" w:eastAsia="Arial" w:hint="default"/>
          <w:spacing w:val="-4"/>
          <w:w w:val="100"/>
        </w:rPr>
        <w:t>5%</w:t>
      </w:r>
      <w:r>
        <w:rPr>
          <w:spacing w:val="-4"/>
          <w:w w:val="100"/>
        </w:rPr>
        <w:t>至</w:t>
      </w:r>
      <w:r>
        <w:rPr>
          <w:rFonts w:ascii="Arial" w:hAnsi="Arial" w:cs="Arial" w:eastAsia="Arial" w:hint="default"/>
          <w:spacing w:val="-4"/>
          <w:w w:val="100"/>
        </w:rPr>
        <w:t>10%</w:t>
      </w:r>
      <w:r>
        <w:rPr>
          <w:spacing w:val="-4"/>
          <w:w w:val="100"/>
        </w:rPr>
        <w:t>提取</w:t>
      </w:r>
      <w:r>
        <w:rPr>
          <w:spacing w:val="-62"/>
          <w:w w:val="100"/>
        </w:rPr>
        <w:t> </w:t>
      </w:r>
      <w:r>
        <w:rPr/>
        <w:t>法定公益金。根据自</w:t>
      </w:r>
      <w:r>
        <w:rPr>
          <w:rFonts w:ascii="Arial" w:hAnsi="Arial" w:cs="Arial" w:eastAsia="Arial" w:hint="default"/>
        </w:rPr>
        <w:t>2006</w:t>
      </w:r>
      <w:r>
        <w:rPr/>
        <w:t>年</w:t>
      </w:r>
      <w:r>
        <w:rPr>
          <w:rFonts w:ascii="Arial" w:hAnsi="Arial" w:cs="Arial" w:eastAsia="Arial" w:hint="default"/>
        </w:rPr>
        <w:t>1</w:t>
      </w:r>
      <w:r>
        <w:rPr/>
        <w:t>月</w:t>
      </w:r>
      <w:r>
        <w:rPr>
          <w:rFonts w:ascii="Arial" w:hAnsi="Arial" w:cs="Arial" w:eastAsia="Arial" w:hint="default"/>
        </w:rPr>
        <w:t>1</w:t>
      </w:r>
      <w:r>
        <w:rPr/>
        <w:t>日起施行的中华人民共和国公司法（</w:t>
      </w:r>
      <w:r>
        <w:rPr>
          <w:rFonts w:ascii="Arial" w:hAnsi="Arial" w:cs="Arial" w:eastAsia="Arial" w:hint="default"/>
        </w:rPr>
        <w:t>2005</w:t>
      </w:r>
      <w:r>
        <w:rPr/>
        <w:t>年修订）及相</w:t>
      </w:r>
      <w:r>
        <w:rPr>
          <w:spacing w:val="-36"/>
        </w:rPr>
        <w:t> </w:t>
      </w:r>
      <w:r>
        <w:rPr>
          <w:spacing w:val="-36"/>
        </w:rPr>
      </w:r>
      <w:r>
        <w:rPr>
          <w:spacing w:val="-3"/>
        </w:rPr>
        <w:t>关规定，本公司不再提取法定公益金，对于</w:t>
      </w:r>
      <w:r>
        <w:rPr>
          <w:rFonts w:ascii="Arial" w:hAnsi="Arial" w:cs="Arial" w:eastAsia="Arial" w:hint="default"/>
          <w:spacing w:val="-3"/>
        </w:rPr>
        <w:t>2005</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日的法定公益金结余需转入法定</w:t>
      </w:r>
      <w:r>
        <w:rPr>
          <w:spacing w:val="-82"/>
        </w:rPr>
        <w:t> </w:t>
      </w:r>
      <w:r>
        <w:rPr>
          <w:spacing w:val="-82"/>
        </w:rPr>
      </w:r>
      <w:r>
        <w:rPr/>
        <w:t>盈余公积管理使用。公司章程的相应修改部分已经本公司的股东会批准。</w:t>
      </w:r>
    </w:p>
    <w:p>
      <w:pPr>
        <w:spacing w:line="240" w:lineRule="auto" w:before="6"/>
        <w:rPr>
          <w:rFonts w:ascii="黑体" w:hAnsi="黑体" w:cs="黑体" w:eastAsia="黑体" w:hint="default"/>
          <w:sz w:val="24"/>
          <w:szCs w:val="24"/>
        </w:rPr>
      </w:pPr>
    </w:p>
    <w:p>
      <w:pPr>
        <w:pStyle w:val="BodyText"/>
        <w:spacing w:line="261" w:lineRule="auto"/>
        <w:ind w:left="855" w:right="116"/>
        <w:jc w:val="both"/>
      </w:pPr>
      <w:r>
        <w:rPr>
          <w:spacing w:val="-2"/>
        </w:rPr>
        <w:t>本公司</w:t>
      </w:r>
      <w:r>
        <w:rPr>
          <w:rFonts w:ascii="Arial" w:hAnsi="Arial" w:cs="Arial" w:eastAsia="Arial" w:hint="default"/>
          <w:spacing w:val="-2"/>
        </w:rPr>
        <w:t>2009</w:t>
      </w:r>
      <w:r>
        <w:rPr>
          <w:spacing w:val="-2"/>
        </w:rPr>
        <w:t>年度的法定盈余公积金是根据公司法和本公司章程的规定，按净利润的</w:t>
      </w:r>
      <w:r>
        <w:rPr>
          <w:rFonts w:ascii="Arial" w:hAnsi="Arial" w:cs="Arial" w:eastAsia="Arial" w:hint="default"/>
          <w:spacing w:val="-2"/>
        </w:rPr>
        <w:t>10%</w:t>
      </w:r>
      <w:r>
        <w:rPr>
          <w:spacing w:val="-2"/>
        </w:rPr>
        <w:t>提</w:t>
      </w:r>
      <w:r>
        <w:rPr>
          <w:spacing w:val="-81"/>
        </w:rPr>
        <w:t> </w:t>
      </w:r>
      <w:r>
        <w:rPr/>
        <w:t>取的。法定盈余公积累计额为本公司注册资本</w:t>
      </w:r>
      <w:r>
        <w:rPr>
          <w:rFonts w:ascii="Arial" w:hAnsi="Arial" w:cs="Arial" w:eastAsia="Arial" w:hint="default"/>
        </w:rPr>
        <w:t>50%</w:t>
      </w:r>
      <w:r>
        <w:rPr/>
        <w:t>以上的，可不再提取。</w:t>
      </w:r>
    </w:p>
    <w:p>
      <w:pPr>
        <w:spacing w:line="240" w:lineRule="auto" w:before="3"/>
        <w:rPr>
          <w:rFonts w:ascii="黑体" w:hAnsi="黑体" w:cs="黑体" w:eastAsia="黑体" w:hint="default"/>
          <w:sz w:val="23"/>
          <w:szCs w:val="23"/>
        </w:rPr>
      </w:pPr>
    </w:p>
    <w:p>
      <w:pPr>
        <w:pStyle w:val="BodyText"/>
        <w:spacing w:line="276" w:lineRule="auto"/>
        <w:ind w:left="855" w:right="116" w:hanging="1"/>
        <w:jc w:val="both"/>
      </w:pPr>
      <w:r>
        <w:rPr>
          <w:spacing w:val="-4"/>
        </w:rPr>
        <w:t>本公司在提取法定盈余公积后，可提取任意盈余公积。任意盈余公积的提取由董事会提议，</w:t>
      </w:r>
      <w:r>
        <w:rPr>
          <w:spacing w:val="-61"/>
        </w:rPr>
        <w:t> </w:t>
      </w:r>
      <w:r>
        <w:rPr>
          <w:spacing w:val="-61"/>
        </w:rPr>
      </w:r>
      <w:r>
        <w:rPr/>
        <w:t>并经股东大会批准。经批准，任意盈余公积可用于弥补以前年度亏损或增加股本。</w:t>
      </w:r>
    </w:p>
    <w:p>
      <w:pPr>
        <w:spacing w:line="240" w:lineRule="auto" w:before="0"/>
        <w:rPr>
          <w:rFonts w:ascii="黑体" w:hAnsi="黑体" w:cs="黑体" w:eastAsia="黑体" w:hint="default"/>
          <w:sz w:val="25"/>
          <w:szCs w:val="25"/>
        </w:rPr>
      </w:pPr>
    </w:p>
    <w:p>
      <w:pPr>
        <w:pStyle w:val="BodyText"/>
        <w:spacing w:line="271" w:lineRule="auto"/>
        <w:ind w:left="1417" w:right="215" w:hanging="567"/>
        <w:jc w:val="both"/>
      </w:pPr>
      <w:r>
        <w:rPr/>
        <w:t>注</w:t>
      </w:r>
      <w:r>
        <w:rPr>
          <w:rFonts w:ascii="Arial" w:hAnsi="Arial" w:cs="Arial" w:eastAsia="Arial" w:hint="default"/>
        </w:rPr>
        <w:t>1</w:t>
      </w:r>
      <w:r>
        <w:rPr/>
        <w:t>：</w:t>
      </w:r>
      <w:r>
        <w:rPr>
          <w:spacing w:val="-26"/>
        </w:rPr>
        <w:t> </w:t>
      </w:r>
      <w:r>
        <w:rPr/>
        <w:t>因本公司本年度收购用友审计股权，使之由联营企业变为子公司而于本年度转回的</w:t>
      </w:r>
      <w:r>
        <w:rPr>
          <w:w w:val="100"/>
        </w:rPr>
        <w:t> </w:t>
      </w:r>
      <w:r>
        <w:rPr/>
        <w:t>以前年度分享之累计投资亏损计人民币</w:t>
      </w:r>
      <w:r>
        <w:rPr>
          <w:rFonts w:ascii="Arial" w:hAnsi="Arial" w:cs="Arial" w:eastAsia="Arial" w:hint="default"/>
        </w:rPr>
        <w:t>904,600</w:t>
      </w:r>
      <w:r>
        <w:rPr/>
        <w:t>元及所应补提的盈余公积计人民币</w:t>
      </w:r>
      <w:r>
        <w:rPr>
          <w:w w:val="100"/>
        </w:rPr>
        <w:t> </w:t>
      </w:r>
      <w:r>
        <w:rPr>
          <w:rFonts w:ascii="Arial" w:hAnsi="Arial" w:cs="Arial" w:eastAsia="Arial" w:hint="default"/>
        </w:rPr>
        <w:t>159,635</w:t>
      </w:r>
      <w:r>
        <w:rPr/>
        <w:t>元。其中，转回之累计投资亏损计入本公司未分配利润其他转入科目</w:t>
      </w:r>
      <w:r>
        <w:rPr>
          <w:rFonts w:ascii="Arial" w:hAnsi="Arial" w:cs="Arial" w:eastAsia="Arial" w:hint="default"/>
        </w:rPr>
        <w:t>(</w:t>
      </w:r>
      <w:r>
        <w:rPr/>
        <w:t>参见</w:t>
      </w:r>
      <w:r>
        <w:rPr>
          <w:w w:val="100"/>
        </w:rPr>
        <w:t> </w:t>
      </w:r>
      <w:r>
        <w:rPr/>
        <w:t>附注十三、</w:t>
      </w:r>
      <w:r>
        <w:rPr>
          <w:rFonts w:ascii="Arial" w:hAnsi="Arial" w:cs="Arial" w:eastAsia="Arial" w:hint="default"/>
        </w:rPr>
        <w:t>25</w:t>
      </w:r>
      <w:r>
        <w:rPr/>
        <w:t>、注</w:t>
      </w:r>
      <w:r>
        <w:rPr>
          <w:rFonts w:ascii="Arial" w:hAnsi="Arial" w:cs="Arial" w:eastAsia="Arial" w:hint="default"/>
        </w:rPr>
        <w:t>1)</w:t>
      </w:r>
      <w:r>
        <w:rPr/>
        <w:t>，应补提的盈余公积计入本科目本年增加。此外，按照本公司</w:t>
      </w:r>
      <w:r>
        <w:rPr>
          <w:w w:val="100"/>
        </w:rPr>
        <w:t> </w:t>
      </w:r>
      <w:r>
        <w:rPr>
          <w:rFonts w:ascii="Arial" w:hAnsi="Arial" w:cs="Arial" w:eastAsia="Arial" w:hint="default"/>
        </w:rPr>
        <w:t>2009</w:t>
      </w:r>
      <w:r>
        <w:rPr/>
        <w:t>年净利润的</w:t>
      </w:r>
      <w:r>
        <w:rPr>
          <w:rFonts w:ascii="Arial" w:hAnsi="Arial" w:cs="Arial" w:eastAsia="Arial" w:hint="default"/>
        </w:rPr>
        <w:t>5%</w:t>
      </w:r>
      <w:r>
        <w:rPr/>
        <w:t>提取任意盈余公积金计人民币</w:t>
      </w:r>
      <w:r>
        <w:rPr>
          <w:rFonts w:ascii="Arial" w:hAnsi="Arial" w:cs="Arial" w:eastAsia="Arial" w:hint="default"/>
        </w:rPr>
        <w:t>27,201,188</w:t>
      </w:r>
      <w:r>
        <w:rPr/>
        <w:t>元。</w:t>
      </w:r>
    </w:p>
    <w:p>
      <w:pPr>
        <w:spacing w:line="240" w:lineRule="auto" w:before="6"/>
        <w:rPr>
          <w:rFonts w:ascii="黑体" w:hAnsi="黑体" w:cs="黑体" w:eastAsia="黑体" w:hint="default"/>
          <w:sz w:val="9"/>
          <w:szCs w:val="9"/>
        </w:rPr>
      </w:pPr>
    </w:p>
    <w:tbl>
      <w:tblPr>
        <w:tblW w:w="0" w:type="auto"/>
        <w:jc w:val="left"/>
        <w:tblInd w:w="106" w:type="dxa"/>
        <w:tblLayout w:type="fixed"/>
        <w:tblCellMar>
          <w:top w:w="0" w:type="dxa"/>
          <w:left w:w="0" w:type="dxa"/>
          <w:bottom w:w="0" w:type="dxa"/>
          <w:right w:w="0" w:type="dxa"/>
        </w:tblCellMar>
        <w:tblLook w:val="01E0"/>
      </w:tblPr>
      <w:tblGrid>
        <w:gridCol w:w="525"/>
        <w:gridCol w:w="4312"/>
        <w:gridCol w:w="2232"/>
        <w:gridCol w:w="1485"/>
      </w:tblGrid>
      <w:tr>
        <w:trPr>
          <w:trHeight w:val="930" w:hRule="exact"/>
        </w:trPr>
        <w:tc>
          <w:tcPr>
            <w:tcW w:w="52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Arial" w:hAnsi="Arial" w:cs="Arial" w:eastAsia="Arial" w:hint="default"/>
                <w:sz w:val="20"/>
                <w:szCs w:val="20"/>
              </w:rPr>
            </w:pPr>
            <w:r>
              <w:rPr>
                <w:rFonts w:ascii="Arial"/>
                <w:b/>
                <w:sz w:val="20"/>
              </w:rPr>
              <w:t>31.</w:t>
            </w:r>
            <w:r>
              <w:rPr>
                <w:rFonts w:ascii="Arial"/>
                <w:sz w:val="20"/>
              </w:rPr>
            </w:r>
          </w:p>
        </w:tc>
        <w:tc>
          <w:tcPr>
            <w:tcW w:w="431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30" w:right="0"/>
              <w:jc w:val="left"/>
              <w:rPr>
                <w:rFonts w:ascii="黑体" w:hAnsi="黑体" w:cs="黑体" w:eastAsia="黑体" w:hint="default"/>
                <w:sz w:val="20"/>
                <w:szCs w:val="20"/>
              </w:rPr>
            </w:pPr>
            <w:r>
              <w:rPr>
                <w:rFonts w:ascii="黑体" w:hAnsi="黑体" w:cs="黑体" w:eastAsia="黑体" w:hint="default"/>
                <w:b/>
                <w:bCs/>
                <w:sz w:val="20"/>
                <w:szCs w:val="20"/>
              </w:rPr>
              <w:t>未分配利润</w:t>
            </w:r>
            <w:r>
              <w:rPr>
                <w:rFonts w:ascii="黑体" w:hAnsi="黑体" w:cs="黑体" w:eastAsia="黑体" w:hint="default"/>
                <w:sz w:val="20"/>
                <w:szCs w:val="20"/>
              </w:rPr>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2"/>
              <w:ind w:right="0"/>
              <w:jc w:val="left"/>
              <w:rPr>
                <w:rFonts w:ascii="黑体" w:hAnsi="黑体" w:cs="黑体" w:eastAsia="黑体" w:hint="default"/>
                <w:sz w:val="18"/>
                <w:szCs w:val="18"/>
              </w:rPr>
            </w:pPr>
          </w:p>
          <w:p>
            <w:pPr>
              <w:pStyle w:val="TableParagraph"/>
              <w:spacing w:line="240" w:lineRule="auto"/>
              <w:ind w:right="396"/>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2"/>
              <w:ind w:right="0"/>
              <w:jc w:val="left"/>
              <w:rPr>
                <w:rFonts w:ascii="黑体" w:hAnsi="黑体" w:cs="黑体" w:eastAsia="黑体" w:hint="default"/>
                <w:sz w:val="18"/>
                <w:szCs w:val="18"/>
              </w:rPr>
            </w:pPr>
          </w:p>
          <w:p>
            <w:pPr>
              <w:pStyle w:val="TableParagraph"/>
              <w:spacing w:line="240" w:lineRule="auto"/>
              <w:ind w:right="67"/>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379" w:hRule="exact"/>
        </w:trPr>
        <w:tc>
          <w:tcPr>
            <w:tcW w:w="525" w:type="dxa"/>
            <w:tcBorders>
              <w:top w:val="nil" w:sz="6" w:space="0" w:color="auto"/>
              <w:left w:val="nil" w:sz="6" w:space="0" w:color="auto"/>
              <w:bottom w:val="nil" w:sz="6" w:space="0" w:color="auto"/>
              <w:right w:val="nil" w:sz="6" w:space="0" w:color="auto"/>
            </w:tcBorders>
          </w:tcPr>
          <w:p>
            <w:pPr/>
          </w:p>
        </w:tc>
        <w:tc>
          <w:tcPr>
            <w:tcW w:w="4312" w:type="dxa"/>
            <w:tcBorders>
              <w:top w:val="nil" w:sz="6" w:space="0" w:color="auto"/>
              <w:left w:val="nil" w:sz="6" w:space="0" w:color="auto"/>
              <w:bottom w:val="nil" w:sz="6" w:space="0" w:color="auto"/>
              <w:right w:val="nil" w:sz="6" w:space="0" w:color="auto"/>
            </w:tcBorders>
          </w:tcPr>
          <w:p>
            <w:pPr>
              <w:pStyle w:val="TableParagraph"/>
              <w:spacing w:line="240" w:lineRule="auto" w:before="89"/>
              <w:ind w:left="219" w:right="0"/>
              <w:jc w:val="left"/>
              <w:rPr>
                <w:rFonts w:ascii="黑体" w:hAnsi="黑体" w:cs="黑体" w:eastAsia="黑体" w:hint="default"/>
                <w:sz w:val="20"/>
                <w:szCs w:val="20"/>
              </w:rPr>
            </w:pPr>
            <w:r>
              <w:rPr>
                <w:rFonts w:ascii="黑体" w:hAnsi="黑体" w:cs="黑体" w:eastAsia="黑体" w:hint="default"/>
                <w:sz w:val="20"/>
                <w:szCs w:val="20"/>
              </w:rPr>
              <w:t>上年年末未分配利润</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95"/>
              <w:jc w:val="right"/>
              <w:rPr>
                <w:rFonts w:ascii="Arial" w:hAnsi="Arial" w:cs="Arial" w:eastAsia="Arial" w:hint="default"/>
                <w:sz w:val="20"/>
                <w:szCs w:val="20"/>
              </w:rPr>
            </w:pPr>
            <w:r>
              <w:rPr>
                <w:rFonts w:ascii="Arial"/>
                <w:spacing w:val="-1"/>
                <w:sz w:val="20"/>
              </w:rPr>
              <w:t>450,562,569</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66"/>
              <w:jc w:val="right"/>
              <w:rPr>
                <w:rFonts w:ascii="Arial" w:hAnsi="Arial" w:cs="Arial" w:eastAsia="Arial" w:hint="default"/>
                <w:sz w:val="20"/>
                <w:szCs w:val="20"/>
              </w:rPr>
            </w:pPr>
            <w:r>
              <w:rPr>
                <w:rFonts w:ascii="Arial"/>
                <w:spacing w:val="-1"/>
                <w:sz w:val="20"/>
              </w:rPr>
              <w:t>348,342,966</w:t>
            </w:r>
          </w:p>
        </w:tc>
      </w:tr>
      <w:tr>
        <w:trPr>
          <w:trHeight w:val="386" w:hRule="exact"/>
        </w:trPr>
        <w:tc>
          <w:tcPr>
            <w:tcW w:w="525" w:type="dxa"/>
            <w:tcBorders>
              <w:top w:val="nil" w:sz="6" w:space="0" w:color="auto"/>
              <w:left w:val="nil" w:sz="6" w:space="0" w:color="auto"/>
              <w:bottom w:val="nil" w:sz="6" w:space="0" w:color="auto"/>
              <w:right w:val="nil" w:sz="6" w:space="0" w:color="auto"/>
            </w:tcBorders>
          </w:tcPr>
          <w:p>
            <w:pPr/>
          </w:p>
        </w:tc>
        <w:tc>
          <w:tcPr>
            <w:tcW w:w="4312" w:type="dxa"/>
            <w:tcBorders>
              <w:top w:val="nil" w:sz="6" w:space="0" w:color="auto"/>
              <w:left w:val="nil" w:sz="6" w:space="0" w:color="auto"/>
              <w:bottom w:val="nil" w:sz="6" w:space="0" w:color="auto"/>
              <w:right w:val="nil" w:sz="6" w:space="0" w:color="auto"/>
            </w:tcBorders>
          </w:tcPr>
          <w:p>
            <w:pPr>
              <w:pStyle w:val="TableParagraph"/>
              <w:spacing w:line="241" w:lineRule="exact"/>
              <w:ind w:left="211" w:right="0"/>
              <w:jc w:val="left"/>
              <w:rPr>
                <w:rFonts w:ascii="Arial" w:hAnsi="Arial" w:cs="Arial" w:eastAsia="Arial" w:hint="default"/>
                <w:sz w:val="20"/>
                <w:szCs w:val="20"/>
              </w:rPr>
            </w:pPr>
            <w:r>
              <w:rPr>
                <w:rFonts w:ascii="黑体" w:hAnsi="黑体" w:cs="黑体" w:eastAsia="黑体" w:hint="default"/>
                <w:sz w:val="20"/>
                <w:szCs w:val="20"/>
              </w:rPr>
              <w:t>加：会计政策变更</w:t>
            </w:r>
            <w:r>
              <w:rPr>
                <w:rFonts w:ascii="Arial" w:hAnsi="Arial" w:cs="Arial" w:eastAsia="Arial" w:hint="default"/>
                <w:sz w:val="20"/>
                <w:szCs w:val="20"/>
              </w:rPr>
              <w:t>(</w:t>
            </w:r>
            <w:r>
              <w:rPr>
                <w:rFonts w:ascii="黑体" w:hAnsi="黑体" w:cs="黑体" w:eastAsia="黑体" w:hint="default"/>
                <w:sz w:val="20"/>
                <w:szCs w:val="20"/>
              </w:rPr>
              <w:t>附注二、</w:t>
            </w:r>
            <w:r>
              <w:rPr>
                <w:rFonts w:ascii="Arial" w:hAnsi="Arial" w:cs="Arial" w:eastAsia="Arial" w:hint="default"/>
                <w:sz w:val="20"/>
                <w:szCs w:val="20"/>
              </w:rPr>
              <w:t>31)</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01"/>
              <w:jc w:val="right"/>
              <w:rPr>
                <w:rFonts w:ascii="Arial" w:hAnsi="Arial" w:cs="Arial" w:eastAsia="Arial" w:hint="default"/>
                <w:sz w:val="20"/>
                <w:szCs w:val="20"/>
              </w:rPr>
            </w:pPr>
            <w:r>
              <w:rPr>
                <w:rFonts w:ascii="Arial"/>
                <w:sz w:val="20"/>
              </w:rPr>
              <w:t>(   </w:t>
            </w:r>
            <w:r>
              <w:rPr>
                <w:rFonts w:ascii="Arial"/>
                <w:sz w:val="20"/>
                <w:u w:val="single" w:color="000000"/>
              </w:rPr>
              <w:t> 3,993,271</w:t>
            </w:r>
            <w:r>
              <w:rPr>
                <w:rFonts w:ascii="Arial"/>
                <w:spacing w:val="5"/>
                <w:sz w:val="20"/>
                <w:u w:val="single" w:color="000000"/>
              </w:rPr>
              <w:t> </w:t>
            </w:r>
            <w:r>
              <w:rPr>
                <w:rFonts w:ascii="Arial"/>
                <w:spacing w:val="5"/>
                <w:sz w:val="20"/>
              </w:rPr>
            </w:r>
            <w:r>
              <w:rPr>
                <w:rFonts w:ascii="Arial"/>
                <w:sz w:val="20"/>
              </w:rPr>
              <w:t>)</w:t>
            </w:r>
          </w:p>
        </w:tc>
        <w:tc>
          <w:tcPr>
            <w:tcW w:w="1485"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3"/>
              <w:ind w:right="6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379" w:hRule="exact"/>
        </w:trPr>
        <w:tc>
          <w:tcPr>
            <w:tcW w:w="525" w:type="dxa"/>
            <w:tcBorders>
              <w:top w:val="nil" w:sz="6" w:space="0" w:color="auto"/>
              <w:left w:val="nil" w:sz="6" w:space="0" w:color="auto"/>
              <w:bottom w:val="nil" w:sz="6" w:space="0" w:color="auto"/>
              <w:right w:val="nil" w:sz="6" w:space="0" w:color="auto"/>
            </w:tcBorders>
          </w:tcPr>
          <w:p>
            <w:pPr/>
          </w:p>
        </w:tc>
        <w:tc>
          <w:tcPr>
            <w:tcW w:w="4312" w:type="dxa"/>
            <w:tcBorders>
              <w:top w:val="nil" w:sz="6" w:space="0" w:color="auto"/>
              <w:left w:val="nil" w:sz="6" w:space="0" w:color="auto"/>
              <w:bottom w:val="nil" w:sz="6" w:space="0" w:color="auto"/>
              <w:right w:val="nil" w:sz="6" w:space="0" w:color="auto"/>
            </w:tcBorders>
          </w:tcPr>
          <w:p>
            <w:pPr>
              <w:pStyle w:val="TableParagraph"/>
              <w:spacing w:line="240" w:lineRule="auto" w:before="89"/>
              <w:ind w:left="219" w:right="0"/>
              <w:jc w:val="left"/>
              <w:rPr>
                <w:rFonts w:ascii="黑体" w:hAnsi="黑体" w:cs="黑体" w:eastAsia="黑体" w:hint="default"/>
                <w:sz w:val="20"/>
                <w:szCs w:val="20"/>
              </w:rPr>
            </w:pPr>
            <w:r>
              <w:rPr>
                <w:rFonts w:ascii="黑体" w:hAnsi="黑体" w:cs="黑体" w:eastAsia="黑体" w:hint="default"/>
                <w:sz w:val="20"/>
                <w:szCs w:val="20"/>
              </w:rPr>
              <w:t>年初未分配利润</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95"/>
              <w:jc w:val="right"/>
              <w:rPr>
                <w:rFonts w:ascii="Arial" w:hAnsi="Arial" w:cs="Arial" w:eastAsia="Arial" w:hint="default"/>
                <w:sz w:val="20"/>
                <w:szCs w:val="20"/>
              </w:rPr>
            </w:pPr>
            <w:r>
              <w:rPr>
                <w:rFonts w:ascii="Arial"/>
                <w:spacing w:val="-1"/>
                <w:sz w:val="20"/>
              </w:rPr>
              <w:t>446,569,298</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66"/>
              <w:jc w:val="right"/>
              <w:rPr>
                <w:rFonts w:ascii="Arial" w:hAnsi="Arial" w:cs="Arial" w:eastAsia="Arial" w:hint="default"/>
                <w:sz w:val="20"/>
                <w:szCs w:val="20"/>
              </w:rPr>
            </w:pPr>
            <w:r>
              <w:rPr>
                <w:rFonts w:ascii="Arial"/>
                <w:spacing w:val="-1"/>
                <w:sz w:val="20"/>
              </w:rPr>
              <w:t>348,342,966</w:t>
            </w:r>
          </w:p>
        </w:tc>
      </w:tr>
      <w:tr>
        <w:trPr>
          <w:trHeight w:val="255" w:hRule="exact"/>
        </w:trPr>
        <w:tc>
          <w:tcPr>
            <w:tcW w:w="525" w:type="dxa"/>
            <w:tcBorders>
              <w:top w:val="nil" w:sz="6" w:space="0" w:color="auto"/>
              <w:left w:val="nil" w:sz="6" w:space="0" w:color="auto"/>
              <w:bottom w:val="nil" w:sz="6" w:space="0" w:color="auto"/>
              <w:right w:val="nil" w:sz="6" w:space="0" w:color="auto"/>
            </w:tcBorders>
          </w:tcPr>
          <w:p>
            <w:pPr/>
          </w:p>
        </w:tc>
        <w:tc>
          <w:tcPr>
            <w:tcW w:w="4312" w:type="dxa"/>
            <w:tcBorders>
              <w:top w:val="nil" w:sz="6" w:space="0" w:color="auto"/>
              <w:left w:val="nil" w:sz="6" w:space="0" w:color="auto"/>
              <w:bottom w:val="nil" w:sz="6" w:space="0" w:color="auto"/>
              <w:right w:val="nil" w:sz="6" w:space="0" w:color="auto"/>
            </w:tcBorders>
          </w:tcPr>
          <w:p>
            <w:pPr>
              <w:pStyle w:val="TableParagraph"/>
              <w:spacing w:line="227" w:lineRule="exact"/>
              <w:ind w:left="211" w:right="0"/>
              <w:jc w:val="left"/>
              <w:rPr>
                <w:rFonts w:ascii="黑体" w:hAnsi="黑体" w:cs="黑体" w:eastAsia="黑体" w:hint="default"/>
                <w:sz w:val="20"/>
                <w:szCs w:val="20"/>
              </w:rPr>
            </w:pPr>
            <w:r>
              <w:rPr>
                <w:rFonts w:ascii="黑体" w:hAnsi="黑体" w:cs="黑体" w:eastAsia="黑体" w:hint="default"/>
                <w:sz w:val="20"/>
                <w:szCs w:val="20"/>
              </w:rPr>
              <w:t>归属于母公司的净利润</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95"/>
              <w:jc w:val="right"/>
              <w:rPr>
                <w:rFonts w:ascii="Arial" w:hAnsi="Arial" w:cs="Arial" w:eastAsia="Arial" w:hint="default"/>
                <w:sz w:val="20"/>
                <w:szCs w:val="20"/>
              </w:rPr>
            </w:pPr>
            <w:r>
              <w:rPr>
                <w:rFonts w:ascii="Arial"/>
                <w:spacing w:val="-1"/>
                <w:sz w:val="20"/>
              </w:rPr>
              <w:t>593,699,966</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66"/>
              <w:jc w:val="right"/>
              <w:rPr>
                <w:rFonts w:ascii="Arial" w:hAnsi="Arial" w:cs="Arial" w:eastAsia="Arial" w:hint="default"/>
                <w:sz w:val="20"/>
                <w:szCs w:val="20"/>
              </w:rPr>
            </w:pPr>
            <w:r>
              <w:rPr>
                <w:rFonts w:ascii="Arial"/>
                <w:spacing w:val="-1"/>
                <w:sz w:val="20"/>
              </w:rPr>
              <w:t>391,432,157</w:t>
            </w:r>
          </w:p>
        </w:tc>
      </w:tr>
      <w:tr>
        <w:trPr>
          <w:trHeight w:val="259" w:hRule="exact"/>
        </w:trPr>
        <w:tc>
          <w:tcPr>
            <w:tcW w:w="525" w:type="dxa"/>
            <w:tcBorders>
              <w:top w:val="nil" w:sz="6" w:space="0" w:color="auto"/>
              <w:left w:val="nil" w:sz="6" w:space="0" w:color="auto"/>
              <w:bottom w:val="nil" w:sz="6" w:space="0" w:color="auto"/>
              <w:right w:val="nil" w:sz="6" w:space="0" w:color="auto"/>
            </w:tcBorders>
          </w:tcPr>
          <w:p>
            <w:pPr/>
          </w:p>
        </w:tc>
        <w:tc>
          <w:tcPr>
            <w:tcW w:w="4312" w:type="dxa"/>
            <w:tcBorders>
              <w:top w:val="nil" w:sz="6" w:space="0" w:color="auto"/>
              <w:left w:val="nil" w:sz="6" w:space="0" w:color="auto"/>
              <w:bottom w:val="nil" w:sz="6" w:space="0" w:color="auto"/>
              <w:right w:val="nil" w:sz="6" w:space="0" w:color="auto"/>
            </w:tcBorders>
          </w:tcPr>
          <w:p>
            <w:pPr>
              <w:pStyle w:val="TableParagraph"/>
              <w:spacing w:line="242" w:lineRule="exact"/>
              <w:ind w:left="211" w:right="0"/>
              <w:jc w:val="left"/>
              <w:rPr>
                <w:rFonts w:ascii="黑体" w:hAnsi="黑体" w:cs="黑体" w:eastAsia="黑体" w:hint="default"/>
                <w:sz w:val="20"/>
                <w:szCs w:val="20"/>
              </w:rPr>
            </w:pPr>
            <w:r>
              <w:rPr>
                <w:rFonts w:ascii="黑体" w:hAnsi="黑体" w:cs="黑体" w:eastAsia="黑体" w:hint="default"/>
                <w:sz w:val="20"/>
                <w:szCs w:val="20"/>
              </w:rPr>
              <w:t>减：提取法定盈余公积（附注五、</w:t>
            </w:r>
            <w:r>
              <w:rPr>
                <w:rFonts w:ascii="Arial" w:hAnsi="Arial" w:cs="Arial" w:eastAsia="Arial" w:hint="default"/>
                <w:sz w:val="20"/>
                <w:szCs w:val="20"/>
              </w:rPr>
              <w:t>30</w:t>
            </w:r>
            <w:r>
              <w:rPr>
                <w:rFonts w:ascii="黑体" w:hAnsi="黑体" w:cs="黑体" w:eastAsia="黑体" w:hint="default"/>
                <w:sz w:val="20"/>
                <w:szCs w:val="20"/>
              </w:rPr>
              <w:t>）</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97"/>
              <w:jc w:val="right"/>
              <w:rPr>
                <w:rFonts w:ascii="Arial" w:hAnsi="Arial" w:cs="Arial" w:eastAsia="Arial" w:hint="default"/>
                <w:sz w:val="20"/>
                <w:szCs w:val="20"/>
              </w:rPr>
            </w:pPr>
            <w:r>
              <w:rPr>
                <w:rFonts w:ascii="Arial"/>
                <w:spacing w:val="-1"/>
                <w:sz w:val="20"/>
              </w:rPr>
              <w:t>54,402,376</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68"/>
              <w:jc w:val="right"/>
              <w:rPr>
                <w:rFonts w:ascii="Arial" w:hAnsi="Arial" w:cs="Arial" w:eastAsia="Arial" w:hint="default"/>
                <w:sz w:val="20"/>
                <w:szCs w:val="20"/>
              </w:rPr>
            </w:pPr>
            <w:r>
              <w:rPr>
                <w:rFonts w:ascii="Arial"/>
                <w:spacing w:val="-1"/>
                <w:sz w:val="20"/>
              </w:rPr>
              <w:t>39,954,857</w:t>
            </w:r>
          </w:p>
        </w:tc>
      </w:tr>
      <w:tr>
        <w:trPr>
          <w:trHeight w:val="251" w:hRule="exact"/>
        </w:trPr>
        <w:tc>
          <w:tcPr>
            <w:tcW w:w="525" w:type="dxa"/>
            <w:tcBorders>
              <w:top w:val="nil" w:sz="6" w:space="0" w:color="auto"/>
              <w:left w:val="nil" w:sz="6" w:space="0" w:color="auto"/>
              <w:bottom w:val="nil" w:sz="6" w:space="0" w:color="auto"/>
              <w:right w:val="nil" w:sz="6" w:space="0" w:color="auto"/>
            </w:tcBorders>
          </w:tcPr>
          <w:p>
            <w:pPr/>
          </w:p>
        </w:tc>
        <w:tc>
          <w:tcPr>
            <w:tcW w:w="4312" w:type="dxa"/>
            <w:tcBorders>
              <w:top w:val="nil" w:sz="6" w:space="0" w:color="auto"/>
              <w:left w:val="nil" w:sz="6" w:space="0" w:color="auto"/>
              <w:bottom w:val="nil" w:sz="6" w:space="0" w:color="auto"/>
              <w:right w:val="nil" w:sz="6" w:space="0" w:color="auto"/>
            </w:tcBorders>
          </w:tcPr>
          <w:p>
            <w:pPr>
              <w:pStyle w:val="TableParagraph"/>
              <w:spacing w:line="223" w:lineRule="exact"/>
              <w:ind w:left="615" w:right="0"/>
              <w:jc w:val="left"/>
              <w:rPr>
                <w:rFonts w:ascii="黑体" w:hAnsi="黑体" w:cs="黑体" w:eastAsia="黑体" w:hint="default"/>
                <w:sz w:val="20"/>
                <w:szCs w:val="20"/>
              </w:rPr>
            </w:pPr>
            <w:r>
              <w:rPr>
                <w:rFonts w:ascii="黑体" w:hAnsi="黑体" w:cs="黑体" w:eastAsia="黑体" w:hint="default"/>
                <w:sz w:val="20"/>
                <w:szCs w:val="20"/>
              </w:rPr>
              <w:t>提取任意盈余公积</w:t>
            </w:r>
          </w:p>
        </w:tc>
        <w:tc>
          <w:tcPr>
            <w:tcW w:w="2232" w:type="dxa"/>
            <w:tcBorders>
              <w:top w:val="nil" w:sz="6" w:space="0" w:color="auto"/>
              <w:left w:val="nil" w:sz="6" w:space="0" w:color="auto"/>
              <w:bottom w:val="nil" w:sz="6" w:space="0" w:color="auto"/>
              <w:right w:val="nil" w:sz="6" w:space="0" w:color="auto"/>
            </w:tcBorders>
          </w:tcPr>
          <w:p>
            <w:pPr>
              <w:pStyle w:val="TableParagraph"/>
              <w:spacing w:line="229" w:lineRule="exact"/>
              <w:ind w:right="397"/>
              <w:jc w:val="right"/>
              <w:rPr>
                <w:rFonts w:ascii="Arial" w:hAnsi="Arial" w:cs="Arial" w:eastAsia="Arial" w:hint="default"/>
                <w:sz w:val="20"/>
                <w:szCs w:val="20"/>
              </w:rPr>
            </w:pPr>
            <w:r>
              <w:rPr>
                <w:rFonts w:ascii="Arial"/>
                <w:spacing w:val="-1"/>
                <w:sz w:val="20"/>
              </w:rPr>
              <w:t>27,201,188</w:t>
            </w:r>
          </w:p>
        </w:tc>
        <w:tc>
          <w:tcPr>
            <w:tcW w:w="1485" w:type="dxa"/>
            <w:tcBorders>
              <w:top w:val="nil" w:sz="6" w:space="0" w:color="auto"/>
              <w:left w:val="nil" w:sz="6" w:space="0" w:color="auto"/>
              <w:bottom w:val="nil" w:sz="6" w:space="0" w:color="auto"/>
              <w:right w:val="nil" w:sz="6" w:space="0" w:color="auto"/>
            </w:tcBorders>
          </w:tcPr>
          <w:p>
            <w:pPr>
              <w:pStyle w:val="TableParagraph"/>
              <w:spacing w:line="229" w:lineRule="exact"/>
              <w:ind w:right="68"/>
              <w:jc w:val="right"/>
              <w:rPr>
                <w:rFonts w:ascii="Arial" w:hAnsi="Arial" w:cs="Arial" w:eastAsia="Arial" w:hint="default"/>
                <w:sz w:val="20"/>
                <w:szCs w:val="20"/>
              </w:rPr>
            </w:pPr>
            <w:r>
              <w:rPr>
                <w:rFonts w:ascii="Arial"/>
                <w:spacing w:val="-1"/>
                <w:sz w:val="20"/>
              </w:rPr>
              <w:t>19,977,428</w:t>
            </w:r>
          </w:p>
        </w:tc>
      </w:tr>
      <w:tr>
        <w:trPr>
          <w:trHeight w:val="367" w:hRule="exact"/>
        </w:trPr>
        <w:tc>
          <w:tcPr>
            <w:tcW w:w="525" w:type="dxa"/>
            <w:tcBorders>
              <w:top w:val="nil" w:sz="6" w:space="0" w:color="auto"/>
              <w:left w:val="nil" w:sz="6" w:space="0" w:color="auto"/>
              <w:bottom w:val="nil" w:sz="6" w:space="0" w:color="auto"/>
              <w:right w:val="nil" w:sz="6" w:space="0" w:color="auto"/>
            </w:tcBorders>
          </w:tcPr>
          <w:p>
            <w:pPr/>
          </w:p>
        </w:tc>
        <w:tc>
          <w:tcPr>
            <w:tcW w:w="4312" w:type="dxa"/>
            <w:tcBorders>
              <w:top w:val="nil" w:sz="6" w:space="0" w:color="auto"/>
              <w:left w:val="nil" w:sz="6" w:space="0" w:color="auto"/>
              <w:bottom w:val="nil" w:sz="6" w:space="0" w:color="auto"/>
              <w:right w:val="nil" w:sz="6" w:space="0" w:color="auto"/>
            </w:tcBorders>
          </w:tcPr>
          <w:p>
            <w:pPr>
              <w:pStyle w:val="TableParagraph"/>
              <w:spacing w:line="241" w:lineRule="exact"/>
              <w:ind w:left="211" w:right="0"/>
              <w:jc w:val="left"/>
              <w:rPr>
                <w:rFonts w:ascii="Arial" w:hAnsi="Arial" w:cs="Arial" w:eastAsia="Arial" w:hint="default"/>
                <w:sz w:val="20"/>
                <w:szCs w:val="20"/>
              </w:rPr>
            </w:pPr>
            <w:r>
              <w:rPr>
                <w:rFonts w:ascii="黑体" w:hAnsi="黑体" w:cs="黑体" w:eastAsia="黑体" w:hint="default"/>
                <w:sz w:val="20"/>
                <w:szCs w:val="20"/>
              </w:rPr>
              <w:t>已派发之现金股利</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95"/>
              <w:jc w:val="right"/>
              <w:rPr>
                <w:rFonts w:ascii="Arial" w:hAnsi="Arial" w:cs="Arial" w:eastAsia="Arial" w:hint="default"/>
                <w:sz w:val="20"/>
                <w:szCs w:val="20"/>
              </w:rPr>
            </w:pPr>
            <w:r>
              <w:rPr>
                <w:rFonts w:ascii="Arial"/>
                <w:w w:val="100"/>
                <w:sz w:val="20"/>
              </w:rPr>
            </w:r>
            <w:r>
              <w:rPr>
                <w:rFonts w:ascii="Arial"/>
                <w:spacing w:val="-1"/>
                <w:sz w:val="20"/>
                <w:u w:val="single" w:color="000000"/>
              </w:rPr>
              <w:t>139,998,893</w:t>
            </w:r>
            <w:r>
              <w:rPr>
                <w:rFonts w:ascii="Arial"/>
                <w:spacing w:val="-1"/>
                <w:sz w:val="20"/>
              </w:rPr>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66"/>
              <w:jc w:val="right"/>
              <w:rPr>
                <w:rFonts w:ascii="Arial" w:hAnsi="Arial" w:cs="Arial" w:eastAsia="Arial" w:hint="default"/>
                <w:sz w:val="20"/>
                <w:szCs w:val="20"/>
              </w:rPr>
            </w:pPr>
            <w:r>
              <w:rPr>
                <w:rFonts w:ascii="Arial"/>
                <w:w w:val="100"/>
                <w:sz w:val="20"/>
              </w:rPr>
            </w:r>
            <w:r>
              <w:rPr>
                <w:rFonts w:ascii="Arial"/>
                <w:spacing w:val="-1"/>
                <w:sz w:val="20"/>
                <w:u w:val="single" w:color="000000"/>
              </w:rPr>
              <w:t>233,273,540</w:t>
            </w:r>
            <w:r>
              <w:rPr>
                <w:rFonts w:ascii="Arial"/>
                <w:spacing w:val="-1"/>
                <w:sz w:val="20"/>
              </w:rPr>
            </w:r>
          </w:p>
        </w:tc>
      </w:tr>
      <w:tr>
        <w:trPr>
          <w:trHeight w:val="440" w:hRule="exact"/>
        </w:trPr>
        <w:tc>
          <w:tcPr>
            <w:tcW w:w="525" w:type="dxa"/>
            <w:tcBorders>
              <w:top w:val="nil" w:sz="6" w:space="0" w:color="auto"/>
              <w:left w:val="nil" w:sz="6" w:space="0" w:color="auto"/>
              <w:bottom w:val="nil" w:sz="6" w:space="0" w:color="auto"/>
              <w:right w:val="nil" w:sz="6" w:space="0" w:color="auto"/>
            </w:tcBorders>
          </w:tcPr>
          <w:p>
            <w:pPr/>
          </w:p>
        </w:tc>
        <w:tc>
          <w:tcPr>
            <w:tcW w:w="4312"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19" w:right="0"/>
              <w:jc w:val="left"/>
              <w:rPr>
                <w:rFonts w:ascii="黑体" w:hAnsi="黑体" w:cs="黑体" w:eastAsia="黑体" w:hint="default"/>
                <w:sz w:val="20"/>
                <w:szCs w:val="20"/>
              </w:rPr>
            </w:pPr>
            <w:r>
              <w:rPr>
                <w:rFonts w:ascii="黑体" w:hAnsi="黑体" w:cs="黑体" w:eastAsia="黑体" w:hint="default"/>
                <w:sz w:val="20"/>
                <w:szCs w:val="20"/>
              </w:rPr>
              <w:t>年末未分配利润</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62"/>
              <w:jc w:val="right"/>
              <w:rPr>
                <w:rFonts w:ascii="Arial" w:hAnsi="Arial" w:cs="Arial" w:eastAsia="Arial" w:hint="default"/>
                <w:sz w:val="20"/>
                <w:szCs w:val="20"/>
              </w:rPr>
            </w:pPr>
            <w:r>
              <w:rPr>
                <w:rFonts w:ascii="Arial"/>
                <w:w w:val="100"/>
                <w:sz w:val="20"/>
              </w:rPr>
            </w:r>
            <w:r>
              <w:rPr>
                <w:rFonts w:ascii="Arial"/>
                <w:spacing w:val="-1"/>
                <w:sz w:val="20"/>
                <w:u w:val="thick" w:color="000000"/>
              </w:rPr>
              <w:t>818,666,807</w:t>
            </w:r>
            <w:r>
              <w:rPr>
                <w:rFonts w:ascii="Arial"/>
                <w:spacing w:val="-1"/>
                <w:sz w:val="20"/>
              </w:rPr>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446,569,298</w:t>
            </w:r>
            <w:r>
              <w:rPr>
                <w:rFonts w:ascii="Arial"/>
                <w:spacing w:val="-1"/>
                <w:sz w:val="20"/>
              </w:rPr>
            </w:r>
          </w:p>
        </w:tc>
      </w:tr>
    </w:tbl>
    <w:p>
      <w:pPr>
        <w:spacing w:line="240" w:lineRule="auto" w:before="7"/>
        <w:rPr>
          <w:rFonts w:ascii="黑体" w:hAnsi="黑体" w:cs="黑体" w:eastAsia="黑体" w:hint="default"/>
          <w:sz w:val="14"/>
          <w:szCs w:val="14"/>
        </w:rPr>
      </w:pPr>
    </w:p>
    <w:p>
      <w:pPr>
        <w:pStyle w:val="BodyText"/>
        <w:spacing w:line="261" w:lineRule="auto" w:before="38"/>
        <w:ind w:left="1417" w:right="113" w:hanging="590"/>
        <w:jc w:val="left"/>
      </w:pPr>
      <w:r>
        <w:rPr/>
        <w:t>注</w:t>
      </w:r>
      <w:r>
        <w:rPr>
          <w:rFonts w:ascii="Arial" w:hAnsi="Arial" w:cs="Arial" w:eastAsia="Arial" w:hint="default"/>
        </w:rPr>
        <w:t>1</w:t>
      </w:r>
      <w:r>
        <w:rPr/>
        <w:t>． </w:t>
      </w:r>
      <w:r>
        <w:rPr>
          <w:spacing w:val="2"/>
        </w:rPr>
        <w:t>根据本公司</w:t>
      </w:r>
      <w:r>
        <w:rPr>
          <w:rFonts w:ascii="Arial" w:hAnsi="Arial" w:cs="Arial" w:eastAsia="Arial" w:hint="default"/>
          <w:spacing w:val="2"/>
        </w:rPr>
        <w:t>2009</w:t>
      </w:r>
      <w:r>
        <w:rPr>
          <w:spacing w:val="2"/>
        </w:rPr>
        <w:t>年</w:t>
      </w:r>
      <w:r>
        <w:rPr>
          <w:rFonts w:ascii="Arial" w:hAnsi="Arial" w:cs="Arial" w:eastAsia="Arial" w:hint="default"/>
          <w:spacing w:val="2"/>
        </w:rPr>
        <w:t>4</w:t>
      </w:r>
      <w:r>
        <w:rPr>
          <w:spacing w:val="2"/>
        </w:rPr>
        <w:t>月</w:t>
      </w:r>
      <w:r>
        <w:rPr>
          <w:rFonts w:ascii="Arial" w:hAnsi="Arial" w:cs="Arial" w:eastAsia="Arial" w:hint="default"/>
          <w:spacing w:val="2"/>
        </w:rPr>
        <w:t>15</w:t>
      </w:r>
      <w:r>
        <w:rPr>
          <w:spacing w:val="2"/>
        </w:rPr>
        <w:t>日召开的</w:t>
      </w:r>
      <w:r>
        <w:rPr>
          <w:rFonts w:ascii="Arial" w:hAnsi="Arial" w:cs="Arial" w:eastAsia="Arial" w:hint="default"/>
          <w:spacing w:val="2"/>
        </w:rPr>
        <w:t>2008</w:t>
      </w:r>
      <w:r>
        <w:rPr>
          <w:spacing w:val="2"/>
        </w:rPr>
        <w:t>年度股东大会通过的</w:t>
      </w:r>
      <w:r>
        <w:rPr>
          <w:rFonts w:ascii="Arial" w:hAnsi="Arial" w:cs="Arial" w:eastAsia="Arial" w:hint="default"/>
          <w:spacing w:val="2"/>
        </w:rPr>
        <w:t>2008</w:t>
      </w:r>
      <w:r>
        <w:rPr>
          <w:spacing w:val="2"/>
        </w:rPr>
        <w:t>年度利润分配议</w:t>
      </w:r>
      <w:r>
        <w:rPr>
          <w:spacing w:val="-69"/>
        </w:rPr>
        <w:t> </w:t>
      </w:r>
      <w:r>
        <w:rPr/>
        <w:t>案及资本公积转增股本议案，本公司以</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日总股份</w:t>
      </w:r>
      <w:r>
        <w:rPr>
          <w:rFonts w:ascii="Arial" w:hAnsi="Arial" w:cs="Arial" w:eastAsia="Arial" w:hint="default"/>
        </w:rPr>
        <w:t>466,683,575</w:t>
      </w:r>
      <w:r>
        <w:rPr/>
        <w:t>股扣除</w:t>
      </w:r>
      <w:r>
        <w:rPr>
          <w:w w:val="100"/>
        </w:rPr>
        <w:t> </w:t>
      </w:r>
      <w:r>
        <w:rPr/>
        <w:t>截止</w:t>
      </w:r>
      <w:r>
        <w:rPr>
          <w:rFonts w:ascii="Arial" w:hAnsi="Arial" w:cs="Arial" w:eastAsia="Arial" w:hint="default"/>
        </w:rPr>
        <w:t>2009</w:t>
      </w:r>
      <w:r>
        <w:rPr/>
        <w:t>年</w:t>
      </w:r>
      <w:r>
        <w:rPr>
          <w:rFonts w:ascii="Arial" w:hAnsi="Arial" w:cs="Arial" w:eastAsia="Arial" w:hint="default"/>
        </w:rPr>
        <w:t>3</w:t>
      </w:r>
      <w:r>
        <w:rPr/>
        <w:t>月</w:t>
      </w:r>
      <w:r>
        <w:rPr>
          <w:rFonts w:ascii="Arial" w:hAnsi="Arial" w:cs="Arial" w:eastAsia="Arial" w:hint="default"/>
        </w:rPr>
        <w:t>19</w:t>
      </w:r>
      <w:r>
        <w:rPr/>
        <w:t>日已批准回购但尚未注销的股权激励计划所授予的股份</w:t>
      </w:r>
      <w:r>
        <w:rPr>
          <w:rFonts w:ascii="Arial" w:hAnsi="Arial" w:cs="Arial" w:eastAsia="Arial" w:hint="default"/>
        </w:rPr>
        <w:t>20,600</w:t>
      </w:r>
      <w:r>
        <w:rPr/>
        <w:t>股</w:t>
      </w:r>
      <w:r>
        <w:rPr>
          <w:w w:val="100"/>
        </w:rPr>
        <w:t> </w:t>
      </w:r>
      <w:r>
        <w:rPr>
          <w:spacing w:val="-4"/>
        </w:rPr>
        <w:t>后的</w:t>
      </w:r>
      <w:r>
        <w:rPr>
          <w:rFonts w:ascii="Arial" w:hAnsi="Arial" w:cs="Arial" w:eastAsia="Arial" w:hint="default"/>
          <w:spacing w:val="-4"/>
        </w:rPr>
        <w:t>466,662,975</w:t>
      </w:r>
      <w:r>
        <w:rPr>
          <w:spacing w:val="-4"/>
        </w:rPr>
        <w:t>股为基数，向全体股东按每</w:t>
      </w:r>
      <w:r>
        <w:rPr>
          <w:rFonts w:ascii="Arial" w:hAnsi="Arial" w:cs="Arial" w:eastAsia="Arial" w:hint="default"/>
          <w:spacing w:val="-4"/>
        </w:rPr>
        <w:t>10</w:t>
      </w:r>
      <w:r>
        <w:rPr>
          <w:spacing w:val="-4"/>
        </w:rPr>
        <w:t>股派发现金红利人民币</w:t>
      </w:r>
      <w:r>
        <w:rPr>
          <w:rFonts w:ascii="Arial" w:hAnsi="Arial" w:cs="Arial" w:eastAsia="Arial" w:hint="default"/>
          <w:spacing w:val="-4"/>
        </w:rPr>
        <w:t>3</w:t>
      </w:r>
      <w:r>
        <w:rPr>
          <w:spacing w:val="-4"/>
        </w:rPr>
        <w:t>元（含税），</w:t>
      </w:r>
      <w:r>
        <w:rPr>
          <w:w w:val="100"/>
        </w:rPr>
        <w:t> </w:t>
      </w:r>
      <w:r>
        <w:rPr>
          <w:spacing w:val="-3"/>
        </w:rPr>
        <w:t>共计派发现金股利人民币</w:t>
      </w:r>
      <w:r>
        <w:rPr>
          <w:rFonts w:ascii="Arial" w:hAnsi="Arial" w:cs="Arial" w:eastAsia="Arial" w:hint="default"/>
          <w:spacing w:val="-3"/>
        </w:rPr>
        <w:t>139,998,893</w:t>
      </w:r>
      <w:r>
        <w:rPr>
          <w:spacing w:val="-3"/>
        </w:rPr>
        <w:t>元。其中拟派发之法人股股利、员工股股利及</w:t>
      </w:r>
      <w:r>
        <w:rPr>
          <w:w w:val="100"/>
        </w:rPr>
        <w:t> </w:t>
      </w:r>
      <w:r>
        <w:rPr>
          <w:spacing w:val="-3"/>
        </w:rPr>
        <w:t>拟派发之上市的人民币普通股股利分别为人民</w:t>
      </w:r>
      <w:r>
        <w:rPr>
          <w:rFonts w:ascii="Arial" w:hAnsi="Arial" w:cs="Arial" w:eastAsia="Arial" w:hint="default"/>
          <w:spacing w:val="-3"/>
        </w:rPr>
        <w:t>82,650,017</w:t>
      </w:r>
      <w:r>
        <w:rPr>
          <w:spacing w:val="-3"/>
        </w:rPr>
        <w:t>元、人民币</w:t>
      </w:r>
      <w:r>
        <w:rPr>
          <w:rFonts w:ascii="Arial" w:hAnsi="Arial" w:cs="Arial" w:eastAsia="Arial" w:hint="default"/>
          <w:spacing w:val="-3"/>
        </w:rPr>
        <w:t>2,803,397</w:t>
      </w:r>
      <w:r>
        <w:rPr>
          <w:spacing w:val="-3"/>
        </w:rPr>
        <w:t>元及</w:t>
      </w:r>
      <w:r>
        <w:rPr>
          <w:spacing w:val="-2"/>
          <w:w w:val="100"/>
        </w:rPr>
        <w:t> </w:t>
      </w:r>
      <w:r>
        <w:rPr/>
        <w:t>人民币</w:t>
      </w:r>
      <w:r>
        <w:rPr>
          <w:rFonts w:ascii="Arial" w:hAnsi="Arial" w:cs="Arial" w:eastAsia="Arial" w:hint="default"/>
        </w:rPr>
        <w:t>54,545,479</w:t>
      </w:r>
      <w:r>
        <w:rPr/>
        <w:t>元。上述股利已于</w:t>
      </w:r>
      <w:r>
        <w:rPr>
          <w:rFonts w:ascii="Arial" w:hAnsi="Arial" w:cs="Arial" w:eastAsia="Arial" w:hint="default"/>
        </w:rPr>
        <w:t>2009</w:t>
      </w:r>
      <w:r>
        <w:rPr/>
        <w:t>年</w:t>
      </w:r>
      <w:r>
        <w:rPr>
          <w:rFonts w:ascii="Arial" w:hAnsi="Arial" w:cs="Arial" w:eastAsia="Arial" w:hint="default"/>
        </w:rPr>
        <w:t>5</w:t>
      </w:r>
      <w:r>
        <w:rPr/>
        <w:t>月</w:t>
      </w:r>
      <w:r>
        <w:rPr>
          <w:rFonts w:ascii="Arial" w:hAnsi="Arial" w:cs="Arial" w:eastAsia="Arial" w:hint="default"/>
        </w:rPr>
        <w:t>6</w:t>
      </w:r>
      <w:r>
        <w:rPr/>
        <w:t>日向股东派发。</w:t>
      </w:r>
    </w:p>
    <w:p>
      <w:pPr>
        <w:spacing w:after="0" w:line="261" w:lineRule="auto"/>
        <w:jc w:val="left"/>
        <w:sectPr>
          <w:pgSz w:w="11910" w:h="16840"/>
          <w:pgMar w:header="828" w:footer="476" w:top="2420" w:bottom="660" w:left="1560" w:right="148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8"/>
          <w:szCs w:val="28"/>
        </w:rPr>
      </w:pPr>
    </w:p>
    <w:tbl>
      <w:tblPr>
        <w:tblW w:w="0" w:type="auto"/>
        <w:jc w:val="left"/>
        <w:tblInd w:w="106" w:type="dxa"/>
        <w:tblLayout w:type="fixed"/>
        <w:tblCellMar>
          <w:top w:w="0" w:type="dxa"/>
          <w:left w:w="0" w:type="dxa"/>
          <w:bottom w:w="0" w:type="dxa"/>
          <w:right w:w="0" w:type="dxa"/>
        </w:tblCellMar>
        <w:tblLook w:val="01E0"/>
      </w:tblPr>
      <w:tblGrid>
        <w:gridCol w:w="598"/>
        <w:gridCol w:w="3659"/>
        <w:gridCol w:w="1134"/>
        <w:gridCol w:w="3186"/>
      </w:tblGrid>
      <w:tr>
        <w:trPr>
          <w:trHeight w:val="997" w:hRule="exact"/>
        </w:trPr>
        <w:tc>
          <w:tcPr>
            <w:tcW w:w="59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五、</w:t>
            </w:r>
            <w:r>
              <w:rPr>
                <w:rFonts w:ascii="黑体" w:hAnsi="黑体" w:cs="黑体" w:eastAsia="黑体" w:hint="default"/>
                <w:sz w:val="20"/>
                <w:szCs w:val="20"/>
              </w:rPr>
            </w: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35" w:right="0"/>
              <w:jc w:val="left"/>
              <w:rPr>
                <w:rFonts w:ascii="黑体" w:hAnsi="黑体" w:cs="黑体" w:eastAsia="黑体" w:hint="default"/>
                <w:sz w:val="20"/>
                <w:szCs w:val="20"/>
              </w:rPr>
            </w:pPr>
            <w:r>
              <w:rPr>
                <w:rFonts w:ascii="Arial" w:hAnsi="Arial" w:cs="Arial" w:eastAsia="Arial" w:hint="default"/>
                <w:b/>
                <w:bCs/>
                <w:sz w:val="20"/>
                <w:szCs w:val="20"/>
              </w:rPr>
              <w:t>32</w:t>
            </w:r>
            <w:r>
              <w:rPr>
                <w:rFonts w:ascii="黑体" w:hAnsi="黑体" w:cs="黑体" w:eastAsia="黑体" w:hint="default"/>
                <w:b/>
                <w:bCs/>
                <w:sz w:val="20"/>
                <w:szCs w:val="20"/>
              </w:rPr>
              <w:t>．</w:t>
            </w:r>
            <w:r>
              <w:rPr>
                <w:rFonts w:ascii="黑体" w:hAnsi="黑体" w:cs="黑体" w:eastAsia="黑体" w:hint="default"/>
                <w:sz w:val="20"/>
                <w:szCs w:val="20"/>
              </w:rPr>
            </w:r>
          </w:p>
        </w:tc>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9" w:right="0"/>
              <w:jc w:val="left"/>
              <w:rPr>
                <w:rFonts w:ascii="黑体" w:hAnsi="黑体" w:cs="黑体" w:eastAsia="黑体" w:hint="default"/>
                <w:sz w:val="20"/>
                <w:szCs w:val="20"/>
              </w:rPr>
            </w:pPr>
            <w:r>
              <w:rPr>
                <w:rFonts w:ascii="黑体" w:hAnsi="黑体" w:cs="黑体" w:eastAsia="黑体" w:hint="default"/>
                <w:b/>
                <w:bCs/>
                <w:sz w:val="20"/>
                <w:szCs w:val="20"/>
              </w:rPr>
              <w:t>合并财务报表主要项目注释（续）</w:t>
            </w:r>
            <w:r>
              <w:rPr>
                <w:rFonts w:ascii="黑体" w:hAnsi="黑体" w:cs="黑体" w:eastAsia="黑体" w:hint="default"/>
                <w:sz w:val="20"/>
                <w:szCs w:val="20"/>
              </w:rPr>
            </w: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160" w:right="0"/>
              <w:jc w:val="left"/>
              <w:rPr>
                <w:rFonts w:ascii="黑体" w:hAnsi="黑体" w:cs="黑体" w:eastAsia="黑体" w:hint="default"/>
                <w:sz w:val="20"/>
                <w:szCs w:val="20"/>
              </w:rPr>
            </w:pPr>
            <w:r>
              <w:rPr>
                <w:rFonts w:ascii="黑体" w:hAnsi="黑体" w:cs="黑体" w:eastAsia="黑体" w:hint="default"/>
                <w:b/>
                <w:bCs/>
                <w:sz w:val="20"/>
                <w:szCs w:val="20"/>
              </w:rPr>
              <w:t>营业收入及成本</w:t>
            </w:r>
            <w:r>
              <w:rPr>
                <w:rFonts w:ascii="黑体" w:hAnsi="黑体" w:cs="黑体" w:eastAsia="黑体" w:hint="default"/>
                <w:sz w:val="20"/>
                <w:szCs w:val="20"/>
              </w:rPr>
            </w:r>
          </w:p>
        </w:tc>
        <w:tc>
          <w:tcPr>
            <w:tcW w:w="4320" w:type="dxa"/>
            <w:gridSpan w:val="2"/>
            <w:vMerge w:val="restart"/>
            <w:tcBorders>
              <w:top w:val="nil" w:sz="6" w:space="0" w:color="auto"/>
              <w:left w:val="nil" w:sz="6" w:space="0" w:color="auto"/>
              <w:right w:val="nil" w:sz="6" w:space="0" w:color="auto"/>
            </w:tcBorders>
          </w:tcPr>
          <w:p>
            <w:pPr/>
          </w:p>
        </w:tc>
      </w:tr>
      <w:tr>
        <w:trPr>
          <w:trHeight w:val="516"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51" w:right="0"/>
              <w:jc w:val="left"/>
              <w:rPr>
                <w:rFonts w:ascii="黑体" w:hAnsi="黑体" w:cs="黑体" w:eastAsia="黑体" w:hint="default"/>
                <w:sz w:val="20"/>
                <w:szCs w:val="20"/>
              </w:rPr>
            </w:pPr>
            <w:r>
              <w:rPr>
                <w:rFonts w:ascii="黑体" w:hAnsi="黑体" w:cs="黑体" w:eastAsia="黑体" w:hint="default"/>
                <w:sz w:val="20"/>
                <w:szCs w:val="20"/>
              </w:rPr>
              <w:t>营业收入列示如下：</w:t>
            </w:r>
          </w:p>
        </w:tc>
        <w:tc>
          <w:tcPr>
            <w:tcW w:w="4320" w:type="dxa"/>
            <w:gridSpan w:val="2"/>
            <w:vMerge/>
            <w:tcBorders>
              <w:left w:val="nil" w:sz="6" w:space="0" w:color="auto"/>
              <w:bottom w:val="nil" w:sz="6" w:space="0" w:color="auto"/>
              <w:right w:val="nil" w:sz="6" w:space="0" w:color="auto"/>
            </w:tcBorders>
          </w:tcPr>
          <w:p>
            <w:pPr/>
          </w:p>
        </w:tc>
      </w:tr>
      <w:tr>
        <w:trPr>
          <w:trHeight w:val="616"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1819" w:val="left" w:leader="none"/>
              </w:tabs>
              <w:spacing w:line="240" w:lineRule="auto" w:before="138"/>
              <w:ind w:right="72"/>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tab/>
            </w: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464"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155" w:right="0"/>
              <w:jc w:val="left"/>
              <w:rPr>
                <w:rFonts w:ascii="黑体" w:hAnsi="黑体" w:cs="黑体" w:eastAsia="黑体" w:hint="default"/>
                <w:sz w:val="20"/>
                <w:szCs w:val="20"/>
              </w:rPr>
            </w:pPr>
            <w:r>
              <w:rPr>
                <w:rFonts w:ascii="黑体" w:hAnsi="黑体" w:cs="黑体" w:eastAsia="黑体" w:hint="default"/>
                <w:sz w:val="20"/>
                <w:szCs w:val="20"/>
              </w:rPr>
              <w:t>主营业务收入</w:t>
            </w:r>
          </w:p>
        </w:tc>
        <w:tc>
          <w:tcPr>
            <w:tcW w:w="1134"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tabs>
                <w:tab w:pos="1843" w:val="left" w:leader="none"/>
              </w:tabs>
              <w:spacing w:line="240" w:lineRule="auto"/>
              <w:ind w:right="48"/>
              <w:jc w:val="right"/>
              <w:rPr>
                <w:rFonts w:ascii="Arial" w:hAnsi="Arial" w:cs="Arial" w:eastAsia="Arial" w:hint="default"/>
                <w:sz w:val="20"/>
                <w:szCs w:val="20"/>
              </w:rPr>
            </w:pPr>
            <w:r>
              <w:rPr>
                <w:rFonts w:ascii="Arial"/>
                <w:spacing w:val="-2"/>
                <w:sz w:val="20"/>
              </w:rPr>
              <w:t>2,339,111,133</w:t>
              <w:tab/>
            </w:r>
            <w:r>
              <w:rPr>
                <w:rFonts w:ascii="Arial"/>
                <w:spacing w:val="-1"/>
                <w:sz w:val="20"/>
              </w:rPr>
              <w:t>1,717,036,061</w:t>
            </w:r>
          </w:p>
        </w:tc>
      </w:tr>
      <w:tr>
        <w:trPr>
          <w:trHeight w:val="313"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Style w:val="TableParagraph"/>
              <w:spacing w:line="255" w:lineRule="exact"/>
              <w:ind w:left="155" w:right="0"/>
              <w:jc w:val="left"/>
              <w:rPr>
                <w:rFonts w:ascii="黑体" w:hAnsi="黑体" w:cs="黑体" w:eastAsia="黑体" w:hint="default"/>
                <w:sz w:val="20"/>
                <w:szCs w:val="20"/>
              </w:rPr>
            </w:pPr>
            <w:r>
              <w:rPr>
                <w:rFonts w:ascii="黑体" w:hAnsi="黑体" w:cs="黑体" w:eastAsia="黑体" w:hint="default"/>
                <w:sz w:val="20"/>
                <w:szCs w:val="20"/>
              </w:rPr>
              <w:t>其他业务收入</w:t>
            </w:r>
          </w:p>
        </w:tc>
        <w:tc>
          <w:tcPr>
            <w:tcW w:w="1134"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398" w:val="left" w:leader="none"/>
                <w:tab w:pos="1843" w:val="left" w:leader="none"/>
                <w:tab w:pos="2241" w:val="left" w:leader="none"/>
              </w:tabs>
              <w:spacing w:line="240" w:lineRule="auto" w:before="31"/>
              <w:ind w:right="4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7,894,581</w:t>
            </w:r>
            <w:r>
              <w:rPr>
                <w:rFonts w:ascii="Arial"/>
                <w:sz w:val="20"/>
              </w:rPr>
              <w:tab/>
            </w:r>
            <w:r>
              <w:rPr>
                <w:rFonts w:ascii="Arial"/>
                <w:sz w:val="20"/>
                <w:u w:val="single" w:color="000000"/>
              </w:rPr>
              <w:t> </w:t>
              <w:tab/>
              <w:t>8,596,896</w:t>
            </w:r>
            <w:r>
              <w:rPr>
                <w:rFonts w:ascii="Arial"/>
                <w:sz w:val="20"/>
              </w:rPr>
            </w:r>
          </w:p>
        </w:tc>
      </w:tr>
      <w:tr>
        <w:trPr>
          <w:trHeight w:val="458"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1843" w:val="left" w:leader="none"/>
              </w:tabs>
              <w:spacing w:line="240" w:lineRule="auto" w:before="30"/>
              <w:ind w:right="48"/>
              <w:jc w:val="right"/>
              <w:rPr>
                <w:rFonts w:ascii="Arial" w:hAnsi="Arial" w:cs="Arial" w:eastAsia="Arial" w:hint="default"/>
                <w:sz w:val="20"/>
                <w:szCs w:val="20"/>
              </w:rPr>
            </w:pPr>
            <w:r>
              <w:rPr>
                <w:rFonts w:ascii="Arial"/>
                <w:w w:val="100"/>
                <w:sz w:val="20"/>
              </w:rPr>
            </w:r>
            <w:r>
              <w:rPr>
                <w:rFonts w:ascii="Arial"/>
                <w:spacing w:val="-2"/>
                <w:sz w:val="20"/>
                <w:u w:val="thick" w:color="000000"/>
              </w:rPr>
              <w:t>2,347,005,714</w:t>
            </w:r>
            <w:r>
              <w:rPr>
                <w:rFonts w:ascii="Arial"/>
                <w:spacing w:val="-2"/>
                <w:sz w:val="20"/>
              </w:rPr>
              <w:tab/>
            </w:r>
            <w:r>
              <w:rPr>
                <w:rFonts w:ascii="Arial"/>
                <w:spacing w:val="-2"/>
                <w:sz w:val="20"/>
                <w:u w:val="thick" w:color="000000"/>
              </w:rPr>
              <w:t>1,725,632,957</w:t>
            </w:r>
            <w:r>
              <w:rPr>
                <w:rFonts w:ascii="Arial"/>
                <w:spacing w:val="-2"/>
                <w:sz w:val="20"/>
              </w:rPr>
            </w:r>
          </w:p>
        </w:tc>
      </w:tr>
      <w:tr>
        <w:trPr>
          <w:trHeight w:val="548"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51" w:right="0"/>
              <w:jc w:val="left"/>
              <w:rPr>
                <w:rFonts w:ascii="黑体" w:hAnsi="黑体" w:cs="黑体" w:eastAsia="黑体" w:hint="default"/>
                <w:sz w:val="20"/>
                <w:szCs w:val="20"/>
              </w:rPr>
            </w:pPr>
            <w:r>
              <w:rPr>
                <w:rFonts w:ascii="黑体" w:hAnsi="黑体" w:cs="黑体" w:eastAsia="黑体" w:hint="default"/>
                <w:sz w:val="20"/>
                <w:szCs w:val="20"/>
              </w:rPr>
              <w:t>营业成本列示如下：</w:t>
            </w:r>
          </w:p>
        </w:tc>
        <w:tc>
          <w:tcPr>
            <w:tcW w:w="1134"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
        </w:tc>
      </w:tr>
      <w:tr>
        <w:trPr>
          <w:trHeight w:val="562"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1872" w:val="left" w:leader="none"/>
              </w:tabs>
              <w:spacing w:line="240" w:lineRule="auto" w:before="84"/>
              <w:ind w:right="34"/>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tab/>
            </w: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464"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142" w:right="0"/>
              <w:jc w:val="left"/>
              <w:rPr>
                <w:rFonts w:ascii="黑体" w:hAnsi="黑体" w:cs="黑体" w:eastAsia="黑体" w:hint="default"/>
                <w:sz w:val="20"/>
                <w:szCs w:val="20"/>
              </w:rPr>
            </w:pPr>
            <w:r>
              <w:rPr>
                <w:rFonts w:ascii="黑体" w:hAnsi="黑体" w:cs="黑体" w:eastAsia="黑体" w:hint="default"/>
                <w:sz w:val="20"/>
                <w:szCs w:val="20"/>
              </w:rPr>
              <w:t>主营业务成本</w:t>
            </w:r>
          </w:p>
        </w:tc>
        <w:tc>
          <w:tcPr>
            <w:tcW w:w="1134"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tabs>
                <w:tab w:pos="1871" w:val="left" w:leader="none"/>
              </w:tabs>
              <w:spacing w:line="240" w:lineRule="auto"/>
              <w:ind w:right="33"/>
              <w:jc w:val="right"/>
              <w:rPr>
                <w:rFonts w:ascii="Arial" w:hAnsi="Arial" w:cs="Arial" w:eastAsia="Arial" w:hint="default"/>
                <w:sz w:val="20"/>
                <w:szCs w:val="20"/>
              </w:rPr>
            </w:pPr>
            <w:r>
              <w:rPr>
                <w:rFonts w:ascii="Arial"/>
                <w:spacing w:val="-1"/>
                <w:sz w:val="20"/>
              </w:rPr>
              <w:t>387,128,624</w:t>
              <w:tab/>
              <w:t>209,315,757</w:t>
            </w:r>
          </w:p>
        </w:tc>
      </w:tr>
      <w:tr>
        <w:trPr>
          <w:trHeight w:val="313"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Style w:val="TableParagraph"/>
              <w:spacing w:line="255" w:lineRule="exact"/>
              <w:ind w:left="142" w:right="0"/>
              <w:jc w:val="left"/>
              <w:rPr>
                <w:rFonts w:ascii="黑体" w:hAnsi="黑体" w:cs="黑体" w:eastAsia="黑体" w:hint="default"/>
                <w:sz w:val="20"/>
                <w:szCs w:val="20"/>
              </w:rPr>
            </w:pPr>
            <w:r>
              <w:rPr>
                <w:rFonts w:ascii="黑体" w:hAnsi="黑体" w:cs="黑体" w:eastAsia="黑体" w:hint="default"/>
                <w:sz w:val="20"/>
                <w:szCs w:val="20"/>
              </w:rPr>
              <w:t>其他业务成本</w:t>
            </w:r>
          </w:p>
        </w:tc>
        <w:tc>
          <w:tcPr>
            <w:tcW w:w="1134"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1871" w:val="left" w:leader="none"/>
              </w:tabs>
              <w:spacing w:line="240" w:lineRule="auto" w:before="31"/>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3"/>
                <w:sz w:val="20"/>
                <w:u w:val="single" w:color="000000"/>
              </w:rPr>
              <w:t> </w:t>
            </w:r>
            <w:r>
              <w:rPr>
                <w:rFonts w:ascii="Arial"/>
                <w:sz w:val="20"/>
                <w:u w:val="single" w:color="000000"/>
              </w:rPr>
              <w:t>4,038,912</w:t>
            </w:r>
            <w:r>
              <w:rPr>
                <w:rFonts w:ascii="Arial"/>
                <w:sz w:val="20"/>
              </w:rPr>
              <w:tab/>
            </w:r>
            <w:r>
              <w:rPr>
                <w:rFonts w:ascii="Arial"/>
                <w:sz w:val="20"/>
                <w:u w:val="single" w:color="000000"/>
              </w:rPr>
              <w:t> 3,008,363</w:t>
            </w:r>
            <w:r>
              <w:rPr>
                <w:rFonts w:ascii="Arial"/>
                <w:sz w:val="20"/>
              </w:rPr>
            </w:r>
          </w:p>
        </w:tc>
      </w:tr>
      <w:tr>
        <w:trPr>
          <w:trHeight w:val="458"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Style w:val="TableParagraph"/>
              <w:tabs>
                <w:tab w:pos="1871" w:val="left" w:leader="none"/>
              </w:tabs>
              <w:spacing w:line="240" w:lineRule="auto" w:before="30"/>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391,167,536</w:t>
            </w:r>
            <w:r>
              <w:rPr>
                <w:rFonts w:ascii="Arial"/>
                <w:spacing w:val="-1"/>
                <w:sz w:val="20"/>
              </w:rPr>
              <w:tab/>
            </w:r>
            <w:r>
              <w:rPr>
                <w:rFonts w:ascii="Arial"/>
                <w:spacing w:val="-1"/>
                <w:sz w:val="20"/>
                <w:u w:val="thick" w:color="000000"/>
              </w:rPr>
              <w:t>212,324,120</w:t>
            </w:r>
            <w:r>
              <w:rPr>
                <w:rFonts w:ascii="Arial"/>
                <w:spacing w:val="-1"/>
                <w:sz w:val="20"/>
              </w:rPr>
            </w:r>
          </w:p>
        </w:tc>
      </w:tr>
      <w:tr>
        <w:trPr>
          <w:trHeight w:val="598"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51" w:right="0"/>
              <w:jc w:val="left"/>
              <w:rPr>
                <w:rFonts w:ascii="黑体" w:hAnsi="黑体" w:cs="黑体" w:eastAsia="黑体" w:hint="default"/>
                <w:sz w:val="20"/>
                <w:szCs w:val="20"/>
              </w:rPr>
            </w:pPr>
            <w:r>
              <w:rPr>
                <w:rFonts w:ascii="黑体" w:hAnsi="黑体" w:cs="黑体" w:eastAsia="黑体" w:hint="default"/>
                <w:sz w:val="20"/>
                <w:szCs w:val="20"/>
              </w:rPr>
              <w:t>主营业务收入及成本列示如下：</w:t>
            </w:r>
          </w:p>
        </w:tc>
        <w:tc>
          <w:tcPr>
            <w:tcW w:w="1134" w:type="dxa"/>
            <w:tcBorders>
              <w:top w:val="nil" w:sz="6" w:space="0" w:color="auto"/>
              <w:left w:val="nil" w:sz="6" w:space="0" w:color="auto"/>
              <w:bottom w:val="nil" w:sz="6" w:space="0" w:color="auto"/>
              <w:right w:val="nil" w:sz="6" w:space="0" w:color="auto"/>
            </w:tcBorders>
          </w:tcPr>
          <w:p>
            <w:pPr/>
          </w:p>
        </w:tc>
        <w:tc>
          <w:tcPr>
            <w:tcW w:w="3186" w:type="dxa"/>
            <w:tcBorders>
              <w:top w:val="nil" w:sz="6" w:space="0" w:color="auto"/>
              <w:left w:val="nil" w:sz="6" w:space="0" w:color="auto"/>
              <w:bottom w:val="nil" w:sz="6" w:space="0" w:color="auto"/>
              <w:right w:val="nil" w:sz="6" w:space="0" w:color="auto"/>
            </w:tcBorders>
          </w:tcPr>
          <w:p>
            <w:pPr/>
          </w:p>
        </w:tc>
      </w:tr>
      <w:tr>
        <w:trPr>
          <w:trHeight w:val="433"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single" w:sz="4" w:space="0" w:color="000000"/>
              <w:right w:val="nil" w:sz="6" w:space="0" w:color="auto"/>
            </w:tcBorders>
          </w:tcPr>
          <w:p>
            <w:pPr>
              <w:pStyle w:val="TableParagraph"/>
              <w:spacing w:line="240" w:lineRule="auto" w:before="134"/>
              <w:ind w:right="17"/>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134" w:type="dxa"/>
            <w:tcBorders>
              <w:top w:val="nil" w:sz="6" w:space="0" w:color="auto"/>
              <w:left w:val="nil" w:sz="6" w:space="0" w:color="auto"/>
              <w:bottom w:val="single" w:sz="4" w:space="0" w:color="000000"/>
              <w:right w:val="nil" w:sz="6" w:space="0" w:color="auto"/>
            </w:tcBorders>
          </w:tcPr>
          <w:p>
            <w:pPr/>
          </w:p>
        </w:tc>
        <w:tc>
          <w:tcPr>
            <w:tcW w:w="3186" w:type="dxa"/>
            <w:tcBorders>
              <w:top w:val="nil" w:sz="6" w:space="0" w:color="auto"/>
              <w:left w:val="nil" w:sz="6" w:space="0" w:color="auto"/>
              <w:bottom w:val="single" w:sz="4" w:space="0" w:color="000000"/>
              <w:right w:val="nil" w:sz="6" w:space="0" w:color="auto"/>
            </w:tcBorders>
          </w:tcPr>
          <w:p>
            <w:pPr>
              <w:pStyle w:val="TableParagraph"/>
              <w:spacing w:line="240" w:lineRule="auto" w:before="134"/>
              <w:ind w:left="199" w:right="0"/>
              <w:jc w:val="center"/>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r>
      <w:tr>
        <w:trPr>
          <w:trHeight w:val="391"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single" w:sz="4" w:space="0" w:color="000000"/>
              <w:left w:val="nil" w:sz="6" w:space="0" w:color="auto"/>
              <w:bottom w:val="nil" w:sz="6" w:space="0" w:color="auto"/>
              <w:right w:val="nil" w:sz="6" w:space="0" w:color="auto"/>
            </w:tcBorders>
          </w:tcPr>
          <w:p>
            <w:pPr>
              <w:pStyle w:val="TableParagraph"/>
              <w:spacing w:line="228" w:lineRule="exact"/>
              <w:ind w:right="252"/>
              <w:jc w:val="right"/>
              <w:rPr>
                <w:rFonts w:ascii="黑体" w:hAnsi="黑体" w:cs="黑体" w:eastAsia="黑体" w:hint="default"/>
                <w:sz w:val="20"/>
                <w:szCs w:val="20"/>
              </w:rPr>
            </w:pPr>
            <w:r>
              <w:rPr>
                <w:rFonts w:ascii="黑体" w:hAnsi="黑体" w:cs="黑体" w:eastAsia="黑体" w:hint="default"/>
                <w:sz w:val="20"/>
                <w:szCs w:val="20"/>
              </w:rPr>
              <w:t>收入</w:t>
            </w:r>
          </w:p>
        </w:tc>
        <w:tc>
          <w:tcPr>
            <w:tcW w:w="1134" w:type="dxa"/>
            <w:tcBorders>
              <w:top w:val="single" w:sz="4" w:space="0" w:color="000000"/>
              <w:left w:val="nil" w:sz="6" w:space="0" w:color="auto"/>
              <w:bottom w:val="nil" w:sz="6" w:space="0" w:color="auto"/>
              <w:right w:val="nil" w:sz="6" w:space="0" w:color="auto"/>
            </w:tcBorders>
          </w:tcPr>
          <w:p>
            <w:pPr>
              <w:pStyle w:val="TableParagraph"/>
              <w:spacing w:line="228" w:lineRule="exact"/>
              <w:ind w:right="0"/>
              <w:jc w:val="right"/>
              <w:rPr>
                <w:rFonts w:ascii="黑体" w:hAnsi="黑体" w:cs="黑体" w:eastAsia="黑体" w:hint="default"/>
                <w:sz w:val="20"/>
                <w:szCs w:val="20"/>
              </w:rPr>
            </w:pPr>
            <w:r>
              <w:rPr>
                <w:rFonts w:ascii="黑体" w:hAnsi="黑体" w:cs="黑体" w:eastAsia="黑体" w:hint="default"/>
                <w:sz w:val="20"/>
                <w:szCs w:val="20"/>
              </w:rPr>
              <w:t>成本</w:t>
            </w:r>
          </w:p>
        </w:tc>
        <w:tc>
          <w:tcPr>
            <w:tcW w:w="3186" w:type="dxa"/>
            <w:tcBorders>
              <w:top w:val="single" w:sz="4" w:space="0" w:color="000000"/>
              <w:left w:val="nil" w:sz="6" w:space="0" w:color="auto"/>
              <w:bottom w:val="nil" w:sz="6" w:space="0" w:color="auto"/>
              <w:right w:val="nil" w:sz="6" w:space="0" w:color="auto"/>
            </w:tcBorders>
          </w:tcPr>
          <w:p>
            <w:pPr>
              <w:pStyle w:val="TableParagraph"/>
              <w:tabs>
                <w:tab w:pos="1417" w:val="left" w:leader="none"/>
              </w:tabs>
              <w:spacing w:line="228" w:lineRule="exact"/>
              <w:ind w:right="34"/>
              <w:jc w:val="right"/>
              <w:rPr>
                <w:rFonts w:ascii="黑体" w:hAnsi="黑体" w:cs="黑体" w:eastAsia="黑体" w:hint="default"/>
                <w:sz w:val="20"/>
                <w:szCs w:val="20"/>
              </w:rPr>
            </w:pPr>
            <w:r>
              <w:rPr>
                <w:rFonts w:ascii="黑体" w:hAnsi="黑体" w:cs="黑体" w:eastAsia="黑体" w:hint="default"/>
                <w:sz w:val="20"/>
                <w:szCs w:val="20"/>
              </w:rPr>
              <w:t>收入</w:t>
              <w:tab/>
              <w:t>成本</w:t>
            </w:r>
          </w:p>
        </w:tc>
      </w:tr>
      <w:tr>
        <w:trPr>
          <w:trHeight w:val="419"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Style w:val="TableParagraph"/>
              <w:tabs>
                <w:tab w:pos="2125" w:val="left" w:leader="none"/>
              </w:tabs>
              <w:spacing w:line="240" w:lineRule="auto" w:before="97"/>
              <w:ind w:left="142" w:right="0"/>
              <w:jc w:val="left"/>
              <w:rPr>
                <w:rFonts w:ascii="Arial" w:hAnsi="Arial" w:cs="Arial" w:eastAsia="Arial" w:hint="default"/>
                <w:sz w:val="20"/>
                <w:szCs w:val="20"/>
              </w:rPr>
            </w:pPr>
            <w:r>
              <w:rPr>
                <w:rFonts w:ascii="黑体" w:hAnsi="黑体" w:cs="黑体" w:eastAsia="黑体" w:hint="default"/>
                <w:spacing w:val="-1"/>
                <w:sz w:val="20"/>
                <w:szCs w:val="20"/>
              </w:rPr>
              <w:t>软件产品销售</w:t>
              <w:tab/>
            </w:r>
            <w:r>
              <w:rPr>
                <w:rFonts w:ascii="Arial" w:hAnsi="Arial" w:cs="Arial" w:eastAsia="Arial" w:hint="default"/>
                <w:spacing w:val="-2"/>
                <w:sz w:val="20"/>
                <w:szCs w:val="20"/>
              </w:rPr>
              <w:t>1,350,836,346</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1"/>
              <w:jc w:val="right"/>
              <w:rPr>
                <w:rFonts w:ascii="Arial" w:hAnsi="Arial" w:cs="Arial" w:eastAsia="Arial" w:hint="default"/>
                <w:sz w:val="20"/>
                <w:szCs w:val="20"/>
              </w:rPr>
            </w:pPr>
            <w:r>
              <w:rPr>
                <w:rFonts w:ascii="Arial"/>
                <w:spacing w:val="-1"/>
                <w:sz w:val="20"/>
              </w:rPr>
              <w:t>67,068,698</w:t>
            </w:r>
          </w:p>
        </w:tc>
        <w:tc>
          <w:tcPr>
            <w:tcW w:w="3186" w:type="dxa"/>
            <w:tcBorders>
              <w:top w:val="nil" w:sz="6" w:space="0" w:color="auto"/>
              <w:left w:val="nil" w:sz="6" w:space="0" w:color="auto"/>
              <w:bottom w:val="nil" w:sz="6" w:space="0" w:color="auto"/>
              <w:right w:val="nil" w:sz="6" w:space="0" w:color="auto"/>
            </w:tcBorders>
          </w:tcPr>
          <w:p>
            <w:pPr>
              <w:pStyle w:val="TableParagraph"/>
              <w:tabs>
                <w:tab w:pos="1694" w:val="left" w:leader="none"/>
              </w:tabs>
              <w:spacing w:line="240" w:lineRule="auto" w:before="143"/>
              <w:ind w:right="34"/>
              <w:jc w:val="right"/>
              <w:rPr>
                <w:rFonts w:ascii="Arial" w:hAnsi="Arial" w:cs="Arial" w:eastAsia="Arial" w:hint="default"/>
                <w:sz w:val="20"/>
                <w:szCs w:val="20"/>
              </w:rPr>
            </w:pPr>
            <w:r>
              <w:rPr>
                <w:rFonts w:ascii="Arial"/>
                <w:spacing w:val="-1"/>
                <w:sz w:val="20"/>
              </w:rPr>
              <w:t>1,141,673,632</w:t>
              <w:tab/>
              <w:t>28,602,092</w:t>
            </w:r>
          </w:p>
        </w:tc>
      </w:tr>
      <w:tr>
        <w:trPr>
          <w:trHeight w:val="328"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Style w:val="TableParagraph"/>
              <w:tabs>
                <w:tab w:pos="2291" w:val="left" w:leader="none"/>
              </w:tabs>
              <w:spacing w:line="265" w:lineRule="exact"/>
              <w:ind w:left="142" w:right="0"/>
              <w:jc w:val="left"/>
              <w:rPr>
                <w:rFonts w:ascii="Arial" w:hAnsi="Arial" w:cs="Arial" w:eastAsia="Arial" w:hint="default"/>
                <w:sz w:val="20"/>
                <w:szCs w:val="20"/>
              </w:rPr>
            </w:pPr>
            <w:r>
              <w:rPr>
                <w:rFonts w:ascii="黑体" w:hAnsi="黑体" w:cs="黑体" w:eastAsia="黑体" w:hint="default"/>
                <w:spacing w:val="-1"/>
                <w:sz w:val="20"/>
                <w:szCs w:val="20"/>
              </w:rPr>
              <w:t>技术服务及培训</w:t>
              <w:tab/>
            </w:r>
            <w:r>
              <w:rPr>
                <w:rFonts w:ascii="Arial" w:hAnsi="Arial" w:cs="Arial" w:eastAsia="Arial" w:hint="default"/>
                <w:spacing w:val="-1"/>
                <w:sz w:val="20"/>
                <w:szCs w:val="20"/>
              </w:rPr>
              <w:t>804,664,649</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
              <w:jc w:val="right"/>
              <w:rPr>
                <w:rFonts w:ascii="Arial" w:hAnsi="Arial" w:cs="Arial" w:eastAsia="Arial" w:hint="default"/>
                <w:sz w:val="20"/>
                <w:szCs w:val="20"/>
              </w:rPr>
            </w:pPr>
            <w:r>
              <w:rPr>
                <w:rFonts w:ascii="Arial"/>
                <w:spacing w:val="-1"/>
                <w:sz w:val="20"/>
              </w:rPr>
              <w:t>172,218,889</w:t>
            </w:r>
          </w:p>
        </w:tc>
        <w:tc>
          <w:tcPr>
            <w:tcW w:w="3186" w:type="dxa"/>
            <w:tcBorders>
              <w:top w:val="nil" w:sz="6" w:space="0" w:color="auto"/>
              <w:left w:val="nil" w:sz="6" w:space="0" w:color="auto"/>
              <w:bottom w:val="nil" w:sz="6" w:space="0" w:color="auto"/>
              <w:right w:val="nil" w:sz="6" w:space="0" w:color="auto"/>
            </w:tcBorders>
          </w:tcPr>
          <w:p>
            <w:pPr>
              <w:pStyle w:val="TableParagraph"/>
              <w:tabs>
                <w:tab w:pos="1417" w:val="left" w:leader="none"/>
              </w:tabs>
              <w:spacing w:line="240" w:lineRule="auto" w:before="35"/>
              <w:ind w:right="33"/>
              <w:jc w:val="right"/>
              <w:rPr>
                <w:rFonts w:ascii="Arial" w:hAnsi="Arial" w:cs="Arial" w:eastAsia="Arial" w:hint="default"/>
                <w:sz w:val="20"/>
                <w:szCs w:val="20"/>
              </w:rPr>
            </w:pPr>
            <w:r>
              <w:rPr>
                <w:rFonts w:ascii="Arial"/>
                <w:spacing w:val="-1"/>
                <w:position w:val="-1"/>
                <w:sz w:val="20"/>
              </w:rPr>
              <w:t>492,830,432</w:t>
              <w:tab/>
            </w:r>
            <w:r>
              <w:rPr>
                <w:rFonts w:ascii="Arial"/>
                <w:spacing w:val="-1"/>
                <w:sz w:val="20"/>
              </w:rPr>
              <w:t>115,754,708</w:t>
            </w:r>
          </w:p>
        </w:tc>
      </w:tr>
      <w:tr>
        <w:trPr>
          <w:trHeight w:val="350"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Style w:val="TableParagraph"/>
              <w:tabs>
                <w:tab w:pos="2111" w:val="left" w:leader="none"/>
              </w:tabs>
              <w:spacing w:line="259" w:lineRule="exact"/>
              <w:ind w:left="142" w:right="0"/>
              <w:jc w:val="left"/>
              <w:rPr>
                <w:rFonts w:ascii="Arial" w:hAnsi="Arial" w:cs="Arial" w:eastAsia="Arial" w:hint="default"/>
                <w:sz w:val="20"/>
                <w:szCs w:val="20"/>
              </w:rPr>
            </w:pPr>
            <w:r>
              <w:rPr>
                <w:rFonts w:ascii="黑体" w:hAnsi="黑体" w:cs="黑体" w:eastAsia="黑体" w:hint="default"/>
                <w:spacing w:val="-1"/>
                <w:sz w:val="20"/>
                <w:szCs w:val="20"/>
              </w:rPr>
              <w:t>外购商品销售</w:t>
              <w:tab/>
            </w:r>
            <w:r>
              <w:rPr>
                <w:rFonts w:ascii="Arial" w:hAnsi="Arial" w:cs="Arial" w:eastAsia="Arial" w:hint="default"/>
                <w:spacing w:val="-1"/>
                <w:sz w:val="20"/>
                <w:szCs w:val="20"/>
              </w:rPr>
            </w:r>
            <w:r>
              <w:rPr>
                <w:rFonts w:ascii="Arial" w:hAnsi="Arial" w:cs="Arial" w:eastAsia="Arial" w:hint="default"/>
                <w:spacing w:val="-1"/>
                <w:sz w:val="20"/>
                <w:szCs w:val="20"/>
                <w:u w:val="single" w:color="000000"/>
              </w:rPr>
              <w:t> 183,610,138</w:t>
            </w:r>
            <w:r>
              <w:rPr>
                <w:rFonts w:ascii="Arial" w:hAnsi="Arial" w:cs="Arial" w:eastAsia="Arial" w:hint="default"/>
                <w:spacing w:val="-1"/>
                <w:sz w:val="20"/>
                <w:szCs w:val="20"/>
              </w:rPr>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
              <w:jc w:val="right"/>
              <w:rPr>
                <w:rFonts w:ascii="Arial" w:hAnsi="Arial" w:cs="Arial" w:eastAsia="Arial" w:hint="default"/>
                <w:sz w:val="20"/>
                <w:szCs w:val="20"/>
              </w:rPr>
            </w:pPr>
            <w:r>
              <w:rPr>
                <w:rFonts w:ascii="Arial"/>
                <w:w w:val="100"/>
                <w:sz w:val="20"/>
              </w:rPr>
            </w:r>
            <w:r>
              <w:rPr>
                <w:rFonts w:ascii="Arial"/>
                <w:spacing w:val="-1"/>
                <w:sz w:val="20"/>
                <w:u w:val="single" w:color="000000"/>
              </w:rPr>
              <w:t>147,841,037</w:t>
            </w:r>
            <w:r>
              <w:rPr>
                <w:rFonts w:ascii="Arial"/>
                <w:spacing w:val="-1"/>
                <w:sz w:val="20"/>
              </w:rPr>
            </w:r>
          </w:p>
        </w:tc>
        <w:tc>
          <w:tcPr>
            <w:tcW w:w="3186" w:type="dxa"/>
            <w:tcBorders>
              <w:top w:val="nil" w:sz="6" w:space="0" w:color="auto"/>
              <w:left w:val="nil" w:sz="6" w:space="0" w:color="auto"/>
              <w:bottom w:val="nil" w:sz="6" w:space="0" w:color="auto"/>
              <w:right w:val="nil" w:sz="6" w:space="0" w:color="auto"/>
            </w:tcBorders>
          </w:tcPr>
          <w:p>
            <w:pPr>
              <w:pStyle w:val="TableParagraph"/>
              <w:tabs>
                <w:tab w:pos="298" w:val="left" w:leader="none"/>
                <w:tab w:pos="1617" w:val="left" w:leader="none"/>
              </w:tabs>
              <w:spacing w:line="240" w:lineRule="auto" w:before="51"/>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82,531,997</w:t>
            </w:r>
            <w:r>
              <w:rPr>
                <w:rFonts w:ascii="Arial"/>
                <w:spacing w:val="-1"/>
                <w:sz w:val="20"/>
              </w:rPr>
              <w:tab/>
            </w:r>
            <w:r>
              <w:rPr>
                <w:rFonts w:ascii="Arial"/>
                <w:spacing w:val="-1"/>
                <w:sz w:val="20"/>
                <w:u w:val="single" w:color="000000"/>
              </w:rPr>
              <w:t> 64,958,957</w:t>
            </w:r>
            <w:r>
              <w:rPr>
                <w:rFonts w:ascii="Arial"/>
                <w:spacing w:val="-1"/>
                <w:sz w:val="20"/>
              </w:rPr>
            </w:r>
          </w:p>
        </w:tc>
      </w:tr>
      <w:tr>
        <w:trPr>
          <w:trHeight w:val="373" w:hRule="exact"/>
        </w:trPr>
        <w:tc>
          <w:tcPr>
            <w:tcW w:w="598"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125" w:right="0"/>
              <w:jc w:val="left"/>
              <w:rPr>
                <w:rFonts w:ascii="Arial" w:hAnsi="Arial" w:cs="Arial" w:eastAsia="Arial" w:hint="default"/>
                <w:sz w:val="20"/>
                <w:szCs w:val="20"/>
              </w:rPr>
            </w:pPr>
            <w:r>
              <w:rPr>
                <w:rFonts w:ascii="Arial"/>
                <w:w w:val="100"/>
                <w:sz w:val="20"/>
              </w:rPr>
            </w:r>
            <w:r>
              <w:rPr>
                <w:rFonts w:ascii="Arial"/>
                <w:sz w:val="20"/>
                <w:u w:val="thick" w:color="000000"/>
              </w:rPr>
              <w:t>2,339,111,133</w:t>
            </w:r>
            <w:r>
              <w:rPr>
                <w:rFonts w:ascii="Arial"/>
                <w:sz w:val="20"/>
              </w:rPr>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
              <w:jc w:val="right"/>
              <w:rPr>
                <w:rFonts w:ascii="Arial" w:hAnsi="Arial" w:cs="Arial" w:eastAsia="Arial" w:hint="default"/>
                <w:sz w:val="20"/>
                <w:szCs w:val="20"/>
              </w:rPr>
            </w:pPr>
            <w:r>
              <w:rPr>
                <w:rFonts w:ascii="Arial"/>
                <w:w w:val="100"/>
                <w:sz w:val="20"/>
              </w:rPr>
            </w:r>
            <w:r>
              <w:rPr>
                <w:rFonts w:ascii="Arial"/>
                <w:spacing w:val="-1"/>
                <w:sz w:val="20"/>
                <w:u w:val="thick" w:color="000000"/>
              </w:rPr>
              <w:t>387,128,624</w:t>
            </w:r>
            <w:r>
              <w:rPr>
                <w:rFonts w:ascii="Arial"/>
                <w:spacing w:val="-1"/>
                <w:sz w:val="20"/>
              </w:rPr>
            </w:r>
          </w:p>
        </w:tc>
        <w:tc>
          <w:tcPr>
            <w:tcW w:w="3186" w:type="dxa"/>
            <w:tcBorders>
              <w:top w:val="nil" w:sz="6" w:space="0" w:color="auto"/>
              <w:left w:val="nil" w:sz="6" w:space="0" w:color="auto"/>
              <w:bottom w:val="nil" w:sz="6" w:space="0" w:color="auto"/>
              <w:right w:val="nil" w:sz="6" w:space="0" w:color="auto"/>
            </w:tcBorders>
          </w:tcPr>
          <w:p>
            <w:pPr>
              <w:pStyle w:val="TableParagraph"/>
              <w:tabs>
                <w:tab w:pos="1583" w:val="left" w:leader="none"/>
              </w:tabs>
              <w:spacing w:line="240" w:lineRule="auto" w:before="47"/>
              <w:ind w:right="33"/>
              <w:jc w:val="right"/>
              <w:rPr>
                <w:rFonts w:ascii="Arial" w:hAnsi="Arial" w:cs="Arial" w:eastAsia="Arial" w:hint="default"/>
                <w:sz w:val="20"/>
                <w:szCs w:val="20"/>
              </w:rPr>
            </w:pPr>
            <w:r>
              <w:rPr>
                <w:rFonts w:ascii="Arial"/>
                <w:w w:val="100"/>
                <w:sz w:val="20"/>
              </w:rPr>
            </w:r>
            <w:r>
              <w:rPr>
                <w:rFonts w:ascii="Arial"/>
                <w:spacing w:val="-2"/>
                <w:sz w:val="20"/>
                <w:u w:val="thick" w:color="000000"/>
              </w:rPr>
              <w:t>1,717,036,061</w:t>
            </w:r>
            <w:r>
              <w:rPr>
                <w:rFonts w:ascii="Arial"/>
                <w:spacing w:val="-2"/>
                <w:sz w:val="20"/>
              </w:rPr>
              <w:tab/>
            </w:r>
            <w:r>
              <w:rPr>
                <w:rFonts w:ascii="Arial"/>
                <w:spacing w:val="-1"/>
                <w:sz w:val="20"/>
                <w:u w:val="thick" w:color="000000"/>
              </w:rPr>
              <w:t>209,315,757</w:t>
            </w:r>
            <w:r>
              <w:rPr>
                <w:rFonts w:ascii="Arial"/>
                <w:spacing w:val="-1"/>
                <w:sz w:val="20"/>
              </w:rPr>
            </w:r>
          </w:p>
        </w:tc>
      </w:tr>
    </w:tbl>
    <w:p>
      <w:pPr>
        <w:spacing w:after="0" w:line="240" w:lineRule="auto"/>
        <w:jc w:val="right"/>
        <w:rPr>
          <w:rFonts w:ascii="Arial" w:hAnsi="Arial" w:cs="Arial" w:eastAsia="Arial" w:hint="default"/>
          <w:sz w:val="20"/>
          <w:szCs w:val="20"/>
        </w:rPr>
        <w:sectPr>
          <w:pgSz w:w="11910" w:h="16840"/>
          <w:pgMar w:header="828" w:footer="476" w:top="2420" w:bottom="660" w:left="1560" w:right="154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8"/>
          <w:szCs w:val="28"/>
        </w:rPr>
      </w:pPr>
    </w:p>
    <w:tbl>
      <w:tblPr>
        <w:tblW w:w="0" w:type="auto"/>
        <w:jc w:val="left"/>
        <w:tblInd w:w="106" w:type="dxa"/>
        <w:tblLayout w:type="fixed"/>
        <w:tblCellMar>
          <w:top w:w="0" w:type="dxa"/>
          <w:left w:w="0" w:type="dxa"/>
          <w:bottom w:w="0" w:type="dxa"/>
          <w:right w:w="0" w:type="dxa"/>
        </w:tblCellMar>
        <w:tblLook w:val="01E0"/>
      </w:tblPr>
      <w:tblGrid>
        <w:gridCol w:w="704"/>
        <w:gridCol w:w="3549"/>
        <w:gridCol w:w="1139"/>
        <w:gridCol w:w="234"/>
        <w:gridCol w:w="1053"/>
        <w:gridCol w:w="733"/>
        <w:gridCol w:w="1162"/>
      </w:tblGrid>
      <w:tr>
        <w:trPr>
          <w:trHeight w:val="1113" w:hRule="exact"/>
        </w:trPr>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五、</w:t>
            </w:r>
            <w:r>
              <w:rPr>
                <w:rFonts w:ascii="黑体" w:hAnsi="黑体" w:cs="黑体" w:eastAsia="黑体" w:hint="default"/>
                <w:sz w:val="20"/>
                <w:szCs w:val="20"/>
              </w:rPr>
            </w:r>
          </w:p>
          <w:p>
            <w:pPr>
              <w:pStyle w:val="TableParagraph"/>
              <w:spacing w:line="240" w:lineRule="auto" w:before="5"/>
              <w:ind w:right="0"/>
              <w:jc w:val="left"/>
              <w:rPr>
                <w:rFonts w:ascii="Times New Roman" w:hAnsi="Times New Roman" w:cs="Times New Roman" w:eastAsia="Times New Roman" w:hint="default"/>
                <w:sz w:val="29"/>
                <w:szCs w:val="29"/>
              </w:rPr>
            </w:pPr>
          </w:p>
          <w:p>
            <w:pPr>
              <w:pStyle w:val="TableParagraph"/>
              <w:spacing w:line="240" w:lineRule="auto"/>
              <w:ind w:left="35" w:right="0"/>
              <w:jc w:val="left"/>
              <w:rPr>
                <w:rFonts w:ascii="黑体" w:hAnsi="黑体" w:cs="黑体" w:eastAsia="黑体" w:hint="default"/>
                <w:sz w:val="20"/>
                <w:szCs w:val="20"/>
              </w:rPr>
            </w:pPr>
            <w:r>
              <w:rPr>
                <w:rFonts w:ascii="Arial" w:hAnsi="Arial" w:cs="Arial" w:eastAsia="Arial" w:hint="default"/>
                <w:b/>
                <w:bCs/>
                <w:sz w:val="20"/>
                <w:szCs w:val="20"/>
              </w:rPr>
              <w:t>32</w:t>
            </w:r>
            <w:r>
              <w:rPr>
                <w:rFonts w:ascii="黑体" w:hAnsi="黑体" w:cs="黑体" w:eastAsia="黑体" w:hint="default"/>
                <w:b/>
                <w:bCs/>
                <w:sz w:val="20"/>
                <w:szCs w:val="20"/>
              </w:rPr>
              <w:t>．</w:t>
            </w:r>
            <w:r>
              <w:rPr>
                <w:rFonts w:ascii="黑体" w:hAnsi="黑体" w:cs="黑体" w:eastAsia="黑体" w:hint="default"/>
                <w:sz w:val="20"/>
                <w:szCs w:val="20"/>
              </w:rPr>
            </w:r>
          </w:p>
        </w:tc>
        <w:tc>
          <w:tcPr>
            <w:tcW w:w="354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3" w:right="0"/>
              <w:jc w:val="left"/>
              <w:rPr>
                <w:rFonts w:ascii="黑体" w:hAnsi="黑体" w:cs="黑体" w:eastAsia="黑体" w:hint="default"/>
                <w:sz w:val="20"/>
                <w:szCs w:val="20"/>
              </w:rPr>
            </w:pPr>
            <w:r>
              <w:rPr>
                <w:rFonts w:ascii="黑体" w:hAnsi="黑体" w:cs="黑体" w:eastAsia="黑体" w:hint="default"/>
                <w:b/>
                <w:bCs/>
                <w:sz w:val="20"/>
                <w:szCs w:val="20"/>
              </w:rPr>
              <w:t>合并财务报表主要项目注释（续）</w:t>
            </w:r>
            <w:r>
              <w:rPr>
                <w:rFonts w:ascii="黑体" w:hAnsi="黑体" w:cs="黑体" w:eastAsia="黑体" w:hint="default"/>
                <w:sz w:val="20"/>
                <w:szCs w:val="20"/>
              </w:rPr>
            </w:r>
          </w:p>
          <w:p>
            <w:pPr>
              <w:pStyle w:val="TableParagraph"/>
              <w:spacing w:line="240" w:lineRule="auto" w:before="5"/>
              <w:ind w:right="0"/>
              <w:jc w:val="left"/>
              <w:rPr>
                <w:rFonts w:ascii="Times New Roman" w:hAnsi="Times New Roman" w:cs="Times New Roman" w:eastAsia="Times New Roman" w:hint="default"/>
                <w:sz w:val="29"/>
                <w:szCs w:val="29"/>
              </w:rPr>
            </w:pPr>
          </w:p>
          <w:p>
            <w:pPr>
              <w:pStyle w:val="TableParagraph"/>
              <w:spacing w:line="240" w:lineRule="auto"/>
              <w:ind w:left="54" w:right="0"/>
              <w:jc w:val="left"/>
              <w:rPr>
                <w:rFonts w:ascii="黑体" w:hAnsi="黑体" w:cs="黑体" w:eastAsia="黑体" w:hint="default"/>
                <w:sz w:val="20"/>
                <w:szCs w:val="20"/>
              </w:rPr>
            </w:pPr>
            <w:r>
              <w:rPr>
                <w:rFonts w:ascii="黑体" w:hAnsi="黑体" w:cs="黑体" w:eastAsia="黑体" w:hint="default"/>
                <w:b/>
                <w:bCs/>
                <w:sz w:val="20"/>
                <w:szCs w:val="20"/>
              </w:rPr>
              <w:t>营业收入及成本（续）</w:t>
            </w:r>
            <w:r>
              <w:rPr>
                <w:rFonts w:ascii="黑体" w:hAnsi="黑体" w:cs="黑体" w:eastAsia="黑体" w:hint="default"/>
                <w:sz w:val="20"/>
                <w:szCs w:val="20"/>
              </w:rPr>
            </w:r>
          </w:p>
        </w:tc>
        <w:tc>
          <w:tcPr>
            <w:tcW w:w="4321" w:type="dxa"/>
            <w:gridSpan w:val="5"/>
            <w:tcBorders>
              <w:top w:val="nil" w:sz="6" w:space="0" w:color="auto"/>
              <w:left w:val="nil" w:sz="6" w:space="0" w:color="auto"/>
              <w:bottom w:val="nil" w:sz="6" w:space="0" w:color="auto"/>
              <w:right w:val="nil" w:sz="6" w:space="0" w:color="auto"/>
            </w:tcBorders>
          </w:tcPr>
          <w:p>
            <w:pPr/>
          </w:p>
        </w:tc>
      </w:tr>
      <w:tr>
        <w:trPr>
          <w:trHeight w:val="606" w:hRule="exact"/>
        </w:trPr>
        <w:tc>
          <w:tcPr>
            <w:tcW w:w="704" w:type="dxa"/>
            <w:tcBorders>
              <w:top w:val="nil" w:sz="6" w:space="0" w:color="auto"/>
              <w:left w:val="nil" w:sz="6" w:space="0" w:color="auto"/>
              <w:bottom w:val="nil" w:sz="6" w:space="0" w:color="auto"/>
              <w:right w:val="nil" w:sz="6" w:space="0" w:color="auto"/>
            </w:tcBorders>
          </w:tcPr>
          <w:p>
            <w:pPr/>
          </w:p>
        </w:tc>
        <w:tc>
          <w:tcPr>
            <w:tcW w:w="3549"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45" w:right="0"/>
              <w:jc w:val="left"/>
              <w:rPr>
                <w:rFonts w:ascii="黑体" w:hAnsi="黑体" w:cs="黑体" w:eastAsia="黑体" w:hint="default"/>
                <w:sz w:val="20"/>
                <w:szCs w:val="20"/>
              </w:rPr>
            </w:pPr>
            <w:r>
              <w:rPr>
                <w:rFonts w:ascii="黑体" w:hAnsi="黑体" w:cs="黑体" w:eastAsia="黑体" w:hint="default"/>
                <w:sz w:val="20"/>
                <w:szCs w:val="20"/>
              </w:rPr>
              <w:t>主营业务的分地区信息如下：</w:t>
            </w:r>
          </w:p>
        </w:tc>
        <w:tc>
          <w:tcPr>
            <w:tcW w:w="1139" w:type="dxa"/>
            <w:tcBorders>
              <w:top w:val="nil" w:sz="6" w:space="0" w:color="auto"/>
              <w:left w:val="nil" w:sz="6" w:space="0" w:color="auto"/>
              <w:bottom w:val="nil" w:sz="6" w:space="0" w:color="auto"/>
              <w:right w:val="nil" w:sz="6" w:space="0" w:color="auto"/>
            </w:tcBorders>
          </w:tcPr>
          <w:p>
            <w:pPr/>
          </w:p>
        </w:tc>
        <w:tc>
          <w:tcPr>
            <w:tcW w:w="234" w:type="dxa"/>
            <w:tcBorders>
              <w:top w:val="nil" w:sz="6" w:space="0" w:color="auto"/>
              <w:left w:val="nil" w:sz="6" w:space="0" w:color="auto"/>
              <w:bottom w:val="nil" w:sz="6" w:space="0" w:color="auto"/>
              <w:right w:val="nil" w:sz="6" w:space="0" w:color="auto"/>
            </w:tcBorders>
          </w:tcPr>
          <w:p>
            <w:pPr/>
          </w:p>
        </w:tc>
        <w:tc>
          <w:tcPr>
            <w:tcW w:w="1786" w:type="dxa"/>
            <w:gridSpan w:val="2"/>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r>
      <w:tr>
        <w:trPr>
          <w:trHeight w:val="466" w:hRule="exact"/>
        </w:trPr>
        <w:tc>
          <w:tcPr>
            <w:tcW w:w="704" w:type="dxa"/>
            <w:tcBorders>
              <w:top w:val="nil" w:sz="6" w:space="0" w:color="auto"/>
              <w:left w:val="nil" w:sz="6" w:space="0" w:color="auto"/>
              <w:bottom w:val="nil" w:sz="6" w:space="0" w:color="auto"/>
              <w:right w:val="nil" w:sz="6" w:space="0" w:color="auto"/>
            </w:tcBorders>
          </w:tcPr>
          <w:p>
            <w:pPr/>
          </w:p>
        </w:tc>
        <w:tc>
          <w:tcPr>
            <w:tcW w:w="3549" w:type="dxa"/>
            <w:tcBorders>
              <w:top w:val="nil" w:sz="6" w:space="0" w:color="auto"/>
              <w:left w:val="nil" w:sz="6" w:space="0" w:color="auto"/>
              <w:bottom w:val="single" w:sz="4" w:space="0" w:color="000000"/>
              <w:right w:val="nil" w:sz="6" w:space="0" w:color="auto"/>
            </w:tcBorders>
          </w:tcPr>
          <w:p>
            <w:pPr>
              <w:pStyle w:val="TableParagraph"/>
              <w:spacing w:line="240" w:lineRule="auto" w:before="142"/>
              <w:ind w:right="13"/>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139" w:type="dxa"/>
            <w:tcBorders>
              <w:top w:val="nil" w:sz="6" w:space="0" w:color="auto"/>
              <w:left w:val="nil" w:sz="6" w:space="0" w:color="auto"/>
              <w:bottom w:val="single" w:sz="4" w:space="0" w:color="000000"/>
              <w:right w:val="nil" w:sz="6" w:space="0" w:color="auto"/>
            </w:tcBorders>
          </w:tcPr>
          <w:p>
            <w:pPr/>
          </w:p>
        </w:tc>
        <w:tc>
          <w:tcPr>
            <w:tcW w:w="234" w:type="dxa"/>
            <w:tcBorders>
              <w:top w:val="nil" w:sz="6" w:space="0" w:color="auto"/>
              <w:left w:val="nil" w:sz="6" w:space="0" w:color="auto"/>
              <w:bottom w:val="nil" w:sz="6" w:space="0" w:color="auto"/>
              <w:right w:val="nil" w:sz="6" w:space="0" w:color="auto"/>
            </w:tcBorders>
          </w:tcPr>
          <w:p>
            <w:pPr/>
          </w:p>
        </w:tc>
        <w:tc>
          <w:tcPr>
            <w:tcW w:w="1786" w:type="dxa"/>
            <w:gridSpan w:val="2"/>
            <w:tcBorders>
              <w:top w:val="nil" w:sz="6" w:space="0" w:color="auto"/>
              <w:left w:val="nil" w:sz="6" w:space="0" w:color="auto"/>
              <w:bottom w:val="single" w:sz="4" w:space="0" w:color="000000"/>
              <w:right w:val="nil" w:sz="6" w:space="0" w:color="auto"/>
            </w:tcBorders>
          </w:tcPr>
          <w:p>
            <w:pPr>
              <w:pStyle w:val="TableParagraph"/>
              <w:spacing w:line="240" w:lineRule="auto" w:before="142"/>
              <w:ind w:left="1142" w:right="-3"/>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c>
          <w:tcPr>
            <w:tcW w:w="1162" w:type="dxa"/>
            <w:tcBorders>
              <w:top w:val="nil" w:sz="6" w:space="0" w:color="auto"/>
              <w:left w:val="nil" w:sz="6" w:space="0" w:color="auto"/>
              <w:bottom w:val="single" w:sz="4" w:space="0" w:color="000000"/>
              <w:right w:val="nil" w:sz="6" w:space="0" w:color="auto"/>
            </w:tcBorders>
          </w:tcPr>
          <w:p>
            <w:pPr/>
          </w:p>
        </w:tc>
      </w:tr>
      <w:tr>
        <w:trPr>
          <w:trHeight w:val="472" w:hRule="exact"/>
        </w:trPr>
        <w:tc>
          <w:tcPr>
            <w:tcW w:w="704" w:type="dxa"/>
            <w:tcBorders>
              <w:top w:val="nil" w:sz="6" w:space="0" w:color="auto"/>
              <w:left w:val="nil" w:sz="6" w:space="0" w:color="auto"/>
              <w:bottom w:val="nil" w:sz="6" w:space="0" w:color="auto"/>
              <w:right w:val="nil" w:sz="6" w:space="0" w:color="auto"/>
            </w:tcBorders>
          </w:tcPr>
          <w:p>
            <w:pPr/>
          </w:p>
        </w:tc>
        <w:tc>
          <w:tcPr>
            <w:tcW w:w="3549" w:type="dxa"/>
            <w:tcBorders>
              <w:top w:val="single" w:sz="4" w:space="0" w:color="000000"/>
              <w:left w:val="nil" w:sz="6" w:space="0" w:color="auto"/>
              <w:bottom w:val="nil" w:sz="6" w:space="0" w:color="auto"/>
              <w:right w:val="nil" w:sz="6" w:space="0" w:color="auto"/>
            </w:tcBorders>
          </w:tcPr>
          <w:p>
            <w:pPr>
              <w:pStyle w:val="TableParagraph"/>
              <w:spacing w:line="255" w:lineRule="exact"/>
              <w:ind w:right="254"/>
              <w:jc w:val="right"/>
              <w:rPr>
                <w:rFonts w:ascii="黑体" w:hAnsi="黑体" w:cs="黑体" w:eastAsia="黑体" w:hint="default"/>
                <w:sz w:val="20"/>
                <w:szCs w:val="20"/>
              </w:rPr>
            </w:pPr>
            <w:r>
              <w:rPr>
                <w:rFonts w:ascii="黑体" w:hAnsi="黑体" w:cs="黑体" w:eastAsia="黑体" w:hint="default"/>
                <w:sz w:val="20"/>
                <w:szCs w:val="20"/>
              </w:rPr>
              <w:t>收入</w:t>
            </w:r>
          </w:p>
        </w:tc>
        <w:tc>
          <w:tcPr>
            <w:tcW w:w="1139" w:type="dxa"/>
            <w:tcBorders>
              <w:top w:val="single" w:sz="4" w:space="0" w:color="000000"/>
              <w:left w:val="nil" w:sz="6" w:space="0" w:color="auto"/>
              <w:bottom w:val="nil" w:sz="6" w:space="0" w:color="auto"/>
              <w:right w:val="nil" w:sz="6" w:space="0" w:color="auto"/>
            </w:tcBorders>
          </w:tcPr>
          <w:p>
            <w:pPr>
              <w:pStyle w:val="TableParagraph"/>
              <w:spacing w:line="255" w:lineRule="exact"/>
              <w:ind w:right="18"/>
              <w:jc w:val="right"/>
              <w:rPr>
                <w:rFonts w:ascii="黑体" w:hAnsi="黑体" w:cs="黑体" w:eastAsia="黑体" w:hint="default"/>
                <w:sz w:val="20"/>
                <w:szCs w:val="20"/>
              </w:rPr>
            </w:pPr>
            <w:r>
              <w:rPr>
                <w:rFonts w:ascii="黑体" w:hAnsi="黑体" w:cs="黑体" w:eastAsia="黑体" w:hint="default"/>
                <w:sz w:val="20"/>
                <w:szCs w:val="20"/>
              </w:rPr>
              <w:t>成本</w:t>
            </w:r>
          </w:p>
        </w:tc>
        <w:tc>
          <w:tcPr>
            <w:tcW w:w="234" w:type="dxa"/>
            <w:tcBorders>
              <w:top w:val="nil" w:sz="6" w:space="0" w:color="auto"/>
              <w:left w:val="nil" w:sz="6" w:space="0" w:color="auto"/>
              <w:bottom w:val="nil" w:sz="6" w:space="0" w:color="auto"/>
              <w:right w:val="nil" w:sz="6" w:space="0" w:color="auto"/>
            </w:tcBorders>
          </w:tcPr>
          <w:p>
            <w:pPr/>
          </w:p>
        </w:tc>
        <w:tc>
          <w:tcPr>
            <w:tcW w:w="1786" w:type="dxa"/>
            <w:gridSpan w:val="2"/>
            <w:tcBorders>
              <w:top w:val="single" w:sz="4" w:space="0" w:color="000000"/>
              <w:left w:val="nil" w:sz="6" w:space="0" w:color="auto"/>
              <w:bottom w:val="nil" w:sz="6" w:space="0" w:color="auto"/>
              <w:right w:val="nil" w:sz="6" w:space="0" w:color="auto"/>
            </w:tcBorders>
          </w:tcPr>
          <w:p>
            <w:pPr>
              <w:pStyle w:val="TableParagraph"/>
              <w:spacing w:line="255" w:lineRule="exact"/>
              <w:ind w:left="1126" w:right="0"/>
              <w:jc w:val="left"/>
              <w:rPr>
                <w:rFonts w:ascii="黑体" w:hAnsi="黑体" w:cs="黑体" w:eastAsia="黑体" w:hint="default"/>
                <w:sz w:val="20"/>
                <w:szCs w:val="20"/>
              </w:rPr>
            </w:pPr>
            <w:r>
              <w:rPr>
                <w:rFonts w:ascii="黑体" w:hAnsi="黑体" w:cs="黑体" w:eastAsia="黑体" w:hint="default"/>
                <w:sz w:val="20"/>
                <w:szCs w:val="20"/>
              </w:rPr>
              <w:t>收入</w:t>
            </w:r>
          </w:p>
        </w:tc>
        <w:tc>
          <w:tcPr>
            <w:tcW w:w="1162" w:type="dxa"/>
            <w:tcBorders>
              <w:top w:val="single" w:sz="4" w:space="0" w:color="000000"/>
              <w:left w:val="nil" w:sz="6" w:space="0" w:color="auto"/>
              <w:bottom w:val="nil" w:sz="6" w:space="0" w:color="auto"/>
              <w:right w:val="nil" w:sz="6" w:space="0" w:color="auto"/>
            </w:tcBorders>
          </w:tcPr>
          <w:p>
            <w:pPr>
              <w:pStyle w:val="TableParagraph"/>
              <w:spacing w:line="255" w:lineRule="exact"/>
              <w:ind w:right="37"/>
              <w:jc w:val="right"/>
              <w:rPr>
                <w:rFonts w:ascii="黑体" w:hAnsi="黑体" w:cs="黑体" w:eastAsia="黑体" w:hint="default"/>
                <w:sz w:val="20"/>
                <w:szCs w:val="20"/>
              </w:rPr>
            </w:pPr>
            <w:r>
              <w:rPr>
                <w:rFonts w:ascii="黑体" w:hAnsi="黑体" w:cs="黑体" w:eastAsia="黑体" w:hint="default"/>
                <w:sz w:val="20"/>
                <w:szCs w:val="20"/>
              </w:rPr>
              <w:t>成本</w:t>
            </w:r>
          </w:p>
        </w:tc>
      </w:tr>
      <w:tr>
        <w:trPr>
          <w:trHeight w:val="469" w:hRule="exact"/>
        </w:trPr>
        <w:tc>
          <w:tcPr>
            <w:tcW w:w="704" w:type="dxa"/>
            <w:tcBorders>
              <w:top w:val="nil" w:sz="6" w:space="0" w:color="auto"/>
              <w:left w:val="nil" w:sz="6" w:space="0" w:color="auto"/>
              <w:bottom w:val="nil" w:sz="6" w:space="0" w:color="auto"/>
              <w:right w:val="nil" w:sz="6" w:space="0" w:color="auto"/>
            </w:tcBorders>
          </w:tcPr>
          <w:p>
            <w:pPr/>
          </w:p>
        </w:tc>
        <w:tc>
          <w:tcPr>
            <w:tcW w:w="3549" w:type="dxa"/>
            <w:tcBorders>
              <w:top w:val="nil" w:sz="6" w:space="0" w:color="auto"/>
              <w:left w:val="nil" w:sz="6" w:space="0" w:color="auto"/>
              <w:bottom w:val="nil" w:sz="6" w:space="0" w:color="auto"/>
              <w:right w:val="nil" w:sz="6" w:space="0" w:color="auto"/>
            </w:tcBorders>
          </w:tcPr>
          <w:p>
            <w:pPr>
              <w:pStyle w:val="TableParagraph"/>
              <w:tabs>
                <w:tab w:pos="2013" w:val="left" w:leader="none"/>
              </w:tabs>
              <w:spacing w:line="240" w:lineRule="auto" w:before="150"/>
              <w:ind w:left="36" w:right="0"/>
              <w:jc w:val="left"/>
              <w:rPr>
                <w:rFonts w:ascii="Arial" w:hAnsi="Arial" w:cs="Arial" w:eastAsia="Arial" w:hint="default"/>
                <w:sz w:val="20"/>
                <w:szCs w:val="20"/>
              </w:rPr>
            </w:pPr>
            <w:r>
              <w:rPr>
                <w:rFonts w:ascii="黑体" w:hAnsi="黑体" w:cs="黑体" w:eastAsia="黑体" w:hint="default"/>
                <w:sz w:val="20"/>
                <w:szCs w:val="20"/>
              </w:rPr>
              <w:t>中国境内</w:t>
              <w:tab/>
            </w:r>
            <w:r>
              <w:rPr>
                <w:rFonts w:ascii="Arial" w:hAnsi="Arial" w:cs="Arial" w:eastAsia="Arial" w:hint="default"/>
                <w:position w:val="1"/>
                <w:sz w:val="20"/>
                <w:szCs w:val="20"/>
              </w:rPr>
              <w:t>2,329,132,545</w:t>
            </w:r>
            <w:r>
              <w:rPr>
                <w:rFonts w:ascii="Arial" w:hAnsi="Arial" w:cs="Arial" w:eastAsia="Arial" w:hint="default"/>
                <w:sz w:val="20"/>
                <w:szCs w:val="20"/>
              </w:rPr>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0"/>
              <w:jc w:val="right"/>
              <w:rPr>
                <w:rFonts w:ascii="Arial" w:hAnsi="Arial" w:cs="Arial" w:eastAsia="Arial" w:hint="default"/>
                <w:sz w:val="20"/>
                <w:szCs w:val="20"/>
              </w:rPr>
            </w:pPr>
            <w:r>
              <w:rPr>
                <w:rFonts w:ascii="Arial"/>
                <w:spacing w:val="-1"/>
                <w:sz w:val="20"/>
              </w:rPr>
              <w:t>386,907,138</w:t>
            </w:r>
          </w:p>
        </w:tc>
        <w:tc>
          <w:tcPr>
            <w:tcW w:w="234" w:type="dxa"/>
            <w:tcBorders>
              <w:top w:val="nil" w:sz="6" w:space="0" w:color="auto"/>
              <w:left w:val="nil" w:sz="6" w:space="0" w:color="auto"/>
              <w:bottom w:val="nil" w:sz="6" w:space="0" w:color="auto"/>
              <w:right w:val="nil" w:sz="6" w:space="0" w:color="auto"/>
            </w:tcBorders>
          </w:tcPr>
          <w:p>
            <w:pPr/>
          </w:p>
        </w:tc>
        <w:tc>
          <w:tcPr>
            <w:tcW w:w="178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248" w:right="0"/>
              <w:jc w:val="left"/>
              <w:rPr>
                <w:rFonts w:ascii="Arial" w:hAnsi="Arial" w:cs="Arial" w:eastAsia="Arial" w:hint="default"/>
                <w:sz w:val="20"/>
                <w:szCs w:val="20"/>
              </w:rPr>
            </w:pPr>
            <w:r>
              <w:rPr>
                <w:rFonts w:ascii="Arial"/>
                <w:sz w:val="20"/>
              </w:rPr>
              <w:t>1,709,777,558</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35"/>
              <w:jc w:val="right"/>
              <w:rPr>
                <w:rFonts w:ascii="Arial" w:hAnsi="Arial" w:cs="Arial" w:eastAsia="Arial" w:hint="default"/>
                <w:sz w:val="20"/>
                <w:szCs w:val="20"/>
              </w:rPr>
            </w:pPr>
            <w:r>
              <w:rPr>
                <w:rFonts w:ascii="Arial"/>
                <w:spacing w:val="-1"/>
                <w:sz w:val="20"/>
              </w:rPr>
              <w:t>209,145,004</w:t>
            </w:r>
          </w:p>
        </w:tc>
      </w:tr>
      <w:tr>
        <w:trPr>
          <w:trHeight w:val="313" w:hRule="exact"/>
        </w:trPr>
        <w:tc>
          <w:tcPr>
            <w:tcW w:w="704" w:type="dxa"/>
            <w:tcBorders>
              <w:top w:val="nil" w:sz="6" w:space="0" w:color="auto"/>
              <w:left w:val="nil" w:sz="6" w:space="0" w:color="auto"/>
              <w:bottom w:val="nil" w:sz="6" w:space="0" w:color="auto"/>
              <w:right w:val="nil" w:sz="6" w:space="0" w:color="auto"/>
            </w:tcBorders>
          </w:tcPr>
          <w:p>
            <w:pPr/>
          </w:p>
        </w:tc>
        <w:tc>
          <w:tcPr>
            <w:tcW w:w="3549" w:type="dxa"/>
            <w:tcBorders>
              <w:top w:val="nil" w:sz="6" w:space="0" w:color="auto"/>
              <w:left w:val="nil" w:sz="6" w:space="0" w:color="auto"/>
              <w:bottom w:val="nil" w:sz="6" w:space="0" w:color="auto"/>
              <w:right w:val="nil" w:sz="6" w:space="0" w:color="auto"/>
            </w:tcBorders>
          </w:tcPr>
          <w:p>
            <w:pPr>
              <w:pStyle w:val="TableParagraph"/>
              <w:tabs>
                <w:tab w:pos="2002" w:val="left" w:leader="none"/>
                <w:tab w:pos="2400" w:val="left" w:leader="none"/>
              </w:tabs>
              <w:spacing w:line="260" w:lineRule="exact"/>
              <w:ind w:left="36" w:right="0"/>
              <w:jc w:val="left"/>
              <w:rPr>
                <w:rFonts w:ascii="Arial" w:hAnsi="Arial" w:cs="Arial" w:eastAsia="Arial" w:hint="default"/>
                <w:sz w:val="20"/>
                <w:szCs w:val="20"/>
              </w:rPr>
            </w:pPr>
            <w:r>
              <w:rPr>
                <w:rFonts w:ascii="黑体" w:hAnsi="黑体" w:cs="黑体" w:eastAsia="黑体" w:hint="default"/>
                <w:sz w:val="20"/>
                <w:szCs w:val="20"/>
              </w:rPr>
              <w:t>中国境外</w:t>
              <w:tab/>
            </w:r>
            <w:r>
              <w:rPr>
                <w:rFonts w:ascii="Arial" w:hAnsi="Arial" w:cs="Arial" w:eastAsia="Arial" w:hint="default"/>
                <w:position w:val="1"/>
                <w:sz w:val="20"/>
                <w:szCs w:val="20"/>
              </w:rPr>
            </w:r>
            <w:r>
              <w:rPr>
                <w:rFonts w:ascii="Arial" w:hAnsi="Arial" w:cs="Arial" w:eastAsia="Arial" w:hint="default"/>
                <w:position w:val="1"/>
                <w:sz w:val="20"/>
                <w:szCs w:val="20"/>
                <w:u w:val="single" w:color="000000"/>
              </w:rPr>
              <w:t> </w:t>
              <w:tab/>
              <w:t>9,978,588</w:t>
            </w:r>
            <w:r>
              <w:rPr>
                <w:rFonts w:ascii="Arial" w:hAnsi="Arial" w:cs="Arial" w:eastAsia="Arial" w:hint="default"/>
                <w:sz w:val="20"/>
                <w:szCs w:val="20"/>
              </w:rPr>
            </w:r>
          </w:p>
        </w:tc>
        <w:tc>
          <w:tcPr>
            <w:tcW w:w="1139"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31"/>
              <w:ind w:right="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221,486</w:t>
            </w:r>
            <w:r>
              <w:rPr>
                <w:rFonts w:ascii="Arial"/>
                <w:sz w:val="20"/>
              </w:rPr>
            </w:r>
          </w:p>
        </w:tc>
        <w:tc>
          <w:tcPr>
            <w:tcW w:w="234" w:type="dxa"/>
            <w:tcBorders>
              <w:top w:val="nil" w:sz="6" w:space="0" w:color="auto"/>
              <w:left w:val="nil" w:sz="6" w:space="0" w:color="auto"/>
              <w:bottom w:val="nil" w:sz="6" w:space="0" w:color="auto"/>
              <w:right w:val="nil" w:sz="6" w:space="0" w:color="auto"/>
            </w:tcBorders>
          </w:tcPr>
          <w:p>
            <w:pPr/>
          </w:p>
        </w:tc>
        <w:tc>
          <w:tcPr>
            <w:tcW w:w="1786" w:type="dxa"/>
            <w:gridSpan w:val="2"/>
            <w:tcBorders>
              <w:top w:val="nil" w:sz="6" w:space="0" w:color="auto"/>
              <w:left w:val="nil" w:sz="6" w:space="0" w:color="auto"/>
              <w:bottom w:val="nil" w:sz="6" w:space="0" w:color="auto"/>
              <w:right w:val="nil" w:sz="6" w:space="0" w:color="auto"/>
            </w:tcBorders>
          </w:tcPr>
          <w:p>
            <w:pPr>
              <w:pStyle w:val="TableParagraph"/>
              <w:tabs>
                <w:tab w:pos="636" w:val="left" w:leader="none"/>
              </w:tabs>
              <w:spacing w:line="240" w:lineRule="auto" w:before="31"/>
              <w:ind w:left="23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7,258,503</w:t>
            </w:r>
            <w:r>
              <w:rPr>
                <w:rFonts w:ascii="Arial"/>
                <w:sz w:val="20"/>
              </w:rPr>
            </w:r>
          </w:p>
        </w:tc>
        <w:tc>
          <w:tcPr>
            <w:tcW w:w="1162"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31"/>
              <w:ind w:right="3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170,753</w:t>
            </w:r>
            <w:r>
              <w:rPr>
                <w:rFonts w:ascii="Arial"/>
                <w:sz w:val="20"/>
              </w:rPr>
            </w:r>
          </w:p>
        </w:tc>
      </w:tr>
      <w:tr>
        <w:trPr>
          <w:trHeight w:val="458" w:hRule="exact"/>
        </w:trPr>
        <w:tc>
          <w:tcPr>
            <w:tcW w:w="704" w:type="dxa"/>
            <w:tcBorders>
              <w:top w:val="nil" w:sz="6" w:space="0" w:color="auto"/>
              <w:left w:val="nil" w:sz="6" w:space="0" w:color="auto"/>
              <w:bottom w:val="nil" w:sz="6" w:space="0" w:color="auto"/>
              <w:right w:val="nil" w:sz="6" w:space="0" w:color="auto"/>
            </w:tcBorders>
          </w:tcPr>
          <w:p>
            <w:pPr/>
          </w:p>
        </w:tc>
        <w:tc>
          <w:tcPr>
            <w:tcW w:w="3549" w:type="dxa"/>
            <w:tcBorders>
              <w:top w:val="nil" w:sz="6" w:space="0" w:color="auto"/>
              <w:left w:val="nil" w:sz="6" w:space="0" w:color="auto"/>
              <w:bottom w:val="nil" w:sz="6" w:space="0" w:color="auto"/>
              <w:right w:val="nil" w:sz="6" w:space="0" w:color="auto"/>
            </w:tcBorders>
          </w:tcPr>
          <w:p>
            <w:pPr>
              <w:pStyle w:val="TableParagraph"/>
              <w:spacing w:line="240" w:lineRule="auto" w:before="30"/>
              <w:ind w:left="2013" w:right="0"/>
              <w:jc w:val="left"/>
              <w:rPr>
                <w:rFonts w:ascii="Arial" w:hAnsi="Arial" w:cs="Arial" w:eastAsia="Arial" w:hint="default"/>
                <w:sz w:val="20"/>
                <w:szCs w:val="20"/>
              </w:rPr>
            </w:pPr>
            <w:r>
              <w:rPr>
                <w:rFonts w:ascii="Arial"/>
                <w:w w:val="100"/>
                <w:sz w:val="20"/>
              </w:rPr>
            </w:r>
            <w:r>
              <w:rPr>
                <w:rFonts w:ascii="Arial"/>
                <w:sz w:val="20"/>
                <w:u w:val="thick" w:color="000000"/>
              </w:rPr>
              <w:t>2,339,111,133</w:t>
            </w:r>
            <w:r>
              <w:rPr>
                <w:rFonts w:ascii="Arial"/>
                <w:sz w:val="20"/>
              </w:rPr>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0"/>
              <w:jc w:val="right"/>
              <w:rPr>
                <w:rFonts w:ascii="Arial" w:hAnsi="Arial" w:cs="Arial" w:eastAsia="Arial" w:hint="default"/>
                <w:sz w:val="20"/>
                <w:szCs w:val="20"/>
              </w:rPr>
            </w:pPr>
            <w:r>
              <w:rPr>
                <w:rFonts w:ascii="Arial"/>
                <w:w w:val="100"/>
                <w:sz w:val="20"/>
              </w:rPr>
            </w:r>
            <w:r>
              <w:rPr>
                <w:rFonts w:ascii="Arial"/>
                <w:spacing w:val="-1"/>
                <w:sz w:val="20"/>
                <w:u w:val="thick" w:color="000000"/>
              </w:rPr>
              <w:t>387,128,624</w:t>
            </w:r>
            <w:r>
              <w:rPr>
                <w:rFonts w:ascii="Arial"/>
                <w:spacing w:val="-1"/>
                <w:sz w:val="20"/>
              </w:rPr>
            </w:r>
          </w:p>
        </w:tc>
        <w:tc>
          <w:tcPr>
            <w:tcW w:w="234" w:type="dxa"/>
            <w:tcBorders>
              <w:top w:val="nil" w:sz="6" w:space="0" w:color="auto"/>
              <w:left w:val="nil" w:sz="6" w:space="0" w:color="auto"/>
              <w:bottom w:val="nil" w:sz="6" w:space="0" w:color="auto"/>
              <w:right w:val="nil" w:sz="6" w:space="0" w:color="auto"/>
            </w:tcBorders>
          </w:tcPr>
          <w:p>
            <w:pPr/>
          </w:p>
        </w:tc>
        <w:tc>
          <w:tcPr>
            <w:tcW w:w="178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0"/>
              <w:ind w:left="248" w:right="0"/>
              <w:jc w:val="left"/>
              <w:rPr>
                <w:rFonts w:ascii="Arial" w:hAnsi="Arial" w:cs="Arial" w:eastAsia="Arial" w:hint="default"/>
                <w:sz w:val="20"/>
                <w:szCs w:val="20"/>
              </w:rPr>
            </w:pPr>
            <w:r>
              <w:rPr>
                <w:rFonts w:ascii="Arial"/>
                <w:w w:val="100"/>
                <w:sz w:val="20"/>
              </w:rPr>
            </w:r>
            <w:r>
              <w:rPr>
                <w:rFonts w:ascii="Arial"/>
                <w:sz w:val="20"/>
                <w:u w:val="thick" w:color="000000"/>
              </w:rPr>
              <w:t>1,717,036,061</w:t>
            </w:r>
            <w:r>
              <w:rPr>
                <w:rFonts w:ascii="Arial"/>
                <w:sz w:val="20"/>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35"/>
              <w:jc w:val="right"/>
              <w:rPr>
                <w:rFonts w:ascii="Arial" w:hAnsi="Arial" w:cs="Arial" w:eastAsia="Arial" w:hint="default"/>
                <w:sz w:val="20"/>
                <w:szCs w:val="20"/>
              </w:rPr>
            </w:pPr>
            <w:r>
              <w:rPr>
                <w:rFonts w:ascii="Arial"/>
                <w:w w:val="100"/>
                <w:sz w:val="20"/>
              </w:rPr>
            </w:r>
            <w:r>
              <w:rPr>
                <w:rFonts w:ascii="Arial"/>
                <w:spacing w:val="-1"/>
                <w:sz w:val="20"/>
                <w:u w:val="thick" w:color="000000"/>
              </w:rPr>
              <w:t>209,315,757</w:t>
            </w:r>
            <w:r>
              <w:rPr>
                <w:rFonts w:ascii="Arial"/>
                <w:spacing w:val="-1"/>
                <w:sz w:val="20"/>
              </w:rPr>
            </w:r>
          </w:p>
        </w:tc>
      </w:tr>
      <w:tr>
        <w:trPr>
          <w:trHeight w:val="610" w:hRule="exact"/>
        </w:trPr>
        <w:tc>
          <w:tcPr>
            <w:tcW w:w="425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0"/>
              <w:ind w:left="749"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年，前五名客户的营业收入如下：</w:t>
            </w:r>
          </w:p>
        </w:tc>
        <w:tc>
          <w:tcPr>
            <w:tcW w:w="2426" w:type="dxa"/>
            <w:gridSpan w:val="3"/>
            <w:tcBorders>
              <w:top w:val="nil" w:sz="6" w:space="0" w:color="auto"/>
              <w:left w:val="nil" w:sz="6" w:space="0" w:color="auto"/>
              <w:bottom w:val="nil" w:sz="6" w:space="0" w:color="auto"/>
              <w:right w:val="nil" w:sz="6" w:space="0" w:color="auto"/>
            </w:tcBorders>
          </w:tcPr>
          <w:p>
            <w:pPr/>
          </w:p>
        </w:tc>
        <w:tc>
          <w:tcPr>
            <w:tcW w:w="1895" w:type="dxa"/>
            <w:gridSpan w:val="2"/>
            <w:tcBorders>
              <w:top w:val="nil" w:sz="6" w:space="0" w:color="auto"/>
              <w:left w:val="nil" w:sz="6" w:space="0" w:color="auto"/>
              <w:bottom w:val="nil" w:sz="6" w:space="0" w:color="auto"/>
              <w:right w:val="nil" w:sz="6" w:space="0" w:color="auto"/>
            </w:tcBorders>
          </w:tcPr>
          <w:p>
            <w:pPr/>
          </w:p>
        </w:tc>
      </w:tr>
      <w:tr>
        <w:trPr>
          <w:trHeight w:val="616" w:hRule="exact"/>
        </w:trPr>
        <w:tc>
          <w:tcPr>
            <w:tcW w:w="4252" w:type="dxa"/>
            <w:gridSpan w:val="2"/>
            <w:tcBorders>
              <w:top w:val="nil" w:sz="6" w:space="0" w:color="auto"/>
              <w:left w:val="nil" w:sz="6" w:space="0" w:color="auto"/>
              <w:bottom w:val="nil" w:sz="6" w:space="0" w:color="auto"/>
              <w:right w:val="nil" w:sz="6" w:space="0" w:color="auto"/>
            </w:tcBorders>
          </w:tcPr>
          <w:p>
            <w:pPr/>
          </w:p>
        </w:tc>
        <w:tc>
          <w:tcPr>
            <w:tcW w:w="242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37"/>
              <w:ind w:right="132"/>
              <w:jc w:val="right"/>
              <w:rPr>
                <w:rFonts w:ascii="黑体" w:hAnsi="黑体" w:cs="黑体" w:eastAsia="黑体" w:hint="default"/>
                <w:sz w:val="20"/>
                <w:szCs w:val="20"/>
              </w:rPr>
            </w:pPr>
            <w:r>
              <w:rPr>
                <w:rFonts w:ascii="黑体" w:hAnsi="黑体" w:cs="黑体" w:eastAsia="黑体" w:hint="default"/>
                <w:sz w:val="20"/>
                <w:szCs w:val="20"/>
              </w:rPr>
              <w:t>金额</w:t>
            </w:r>
          </w:p>
        </w:tc>
        <w:tc>
          <w:tcPr>
            <w:tcW w:w="189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7"/>
              <w:ind w:left="134" w:right="0"/>
              <w:jc w:val="left"/>
              <w:rPr>
                <w:rFonts w:ascii="Arial" w:hAnsi="Arial" w:cs="Arial" w:eastAsia="Arial" w:hint="default"/>
                <w:sz w:val="20"/>
                <w:szCs w:val="20"/>
              </w:rPr>
            </w:pPr>
            <w:r>
              <w:rPr>
                <w:rFonts w:ascii="黑体" w:hAnsi="黑体" w:cs="黑体" w:eastAsia="黑体" w:hint="default"/>
                <w:sz w:val="20"/>
                <w:szCs w:val="20"/>
              </w:rPr>
              <w:t>占营业收入比例</w:t>
            </w:r>
            <w:r>
              <w:rPr>
                <w:rFonts w:ascii="Arial" w:hAnsi="Arial" w:cs="Arial" w:eastAsia="Arial" w:hint="default"/>
                <w:sz w:val="20"/>
                <w:szCs w:val="20"/>
              </w:rPr>
              <w:t>(%)</w:t>
            </w:r>
          </w:p>
        </w:tc>
      </w:tr>
      <w:tr>
        <w:trPr>
          <w:trHeight w:val="464" w:hRule="exact"/>
        </w:trPr>
        <w:tc>
          <w:tcPr>
            <w:tcW w:w="425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6"/>
              <w:ind w:left="740" w:right="0"/>
              <w:jc w:val="left"/>
              <w:rPr>
                <w:rFonts w:ascii="黑体" w:hAnsi="黑体" w:cs="黑体" w:eastAsia="黑体" w:hint="default"/>
                <w:sz w:val="20"/>
                <w:szCs w:val="20"/>
              </w:rPr>
            </w:pPr>
            <w:r>
              <w:rPr>
                <w:rFonts w:ascii="黑体" w:hAnsi="黑体" w:cs="黑体" w:eastAsia="黑体" w:hint="default"/>
                <w:sz w:val="20"/>
                <w:szCs w:val="20"/>
              </w:rPr>
              <w:t>吉林省财政厅财税信息中心</w:t>
            </w:r>
          </w:p>
        </w:tc>
        <w:tc>
          <w:tcPr>
            <w:tcW w:w="242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left="1289" w:right="0"/>
              <w:jc w:val="left"/>
              <w:rPr>
                <w:rFonts w:ascii="Arial" w:hAnsi="Arial" w:cs="Arial" w:eastAsia="Arial" w:hint="default"/>
                <w:sz w:val="20"/>
                <w:szCs w:val="20"/>
              </w:rPr>
            </w:pPr>
            <w:r>
              <w:rPr>
                <w:rFonts w:ascii="Arial"/>
                <w:sz w:val="20"/>
              </w:rPr>
              <w:t>18,507,692</w:t>
            </w:r>
          </w:p>
        </w:tc>
        <w:tc>
          <w:tcPr>
            <w:tcW w:w="189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45"/>
              <w:jc w:val="right"/>
              <w:rPr>
                <w:rFonts w:ascii="Arial" w:hAnsi="Arial" w:cs="Arial" w:eastAsia="Arial" w:hint="default"/>
                <w:sz w:val="20"/>
                <w:szCs w:val="20"/>
              </w:rPr>
            </w:pPr>
            <w:r>
              <w:rPr>
                <w:rFonts w:ascii="Arial"/>
                <w:w w:val="100"/>
                <w:sz w:val="20"/>
              </w:rPr>
              <w:t>1</w:t>
            </w:r>
          </w:p>
        </w:tc>
      </w:tr>
      <w:tr>
        <w:trPr>
          <w:trHeight w:val="312" w:hRule="exact"/>
        </w:trPr>
        <w:tc>
          <w:tcPr>
            <w:tcW w:w="4252" w:type="dxa"/>
            <w:gridSpan w:val="2"/>
            <w:tcBorders>
              <w:top w:val="nil" w:sz="6" w:space="0" w:color="auto"/>
              <w:left w:val="nil" w:sz="6" w:space="0" w:color="auto"/>
              <w:bottom w:val="nil" w:sz="6" w:space="0" w:color="auto"/>
              <w:right w:val="nil" w:sz="6" w:space="0" w:color="auto"/>
            </w:tcBorders>
          </w:tcPr>
          <w:p>
            <w:pPr>
              <w:pStyle w:val="TableParagraph"/>
              <w:spacing w:line="255" w:lineRule="exact"/>
              <w:ind w:left="740" w:right="0"/>
              <w:jc w:val="left"/>
              <w:rPr>
                <w:rFonts w:ascii="黑体" w:hAnsi="黑体" w:cs="黑体" w:eastAsia="黑体" w:hint="default"/>
                <w:sz w:val="20"/>
                <w:szCs w:val="20"/>
              </w:rPr>
            </w:pPr>
            <w:r>
              <w:rPr>
                <w:rFonts w:ascii="黑体" w:hAnsi="黑体" w:cs="黑体" w:eastAsia="黑体" w:hint="default"/>
                <w:sz w:val="20"/>
                <w:szCs w:val="20"/>
              </w:rPr>
              <w:t>北京市财政局</w:t>
            </w:r>
          </w:p>
        </w:tc>
        <w:tc>
          <w:tcPr>
            <w:tcW w:w="242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1"/>
              <w:ind w:left="1289" w:right="0"/>
              <w:jc w:val="left"/>
              <w:rPr>
                <w:rFonts w:ascii="Arial" w:hAnsi="Arial" w:cs="Arial" w:eastAsia="Arial" w:hint="default"/>
                <w:sz w:val="20"/>
                <w:szCs w:val="20"/>
              </w:rPr>
            </w:pPr>
            <w:r>
              <w:rPr>
                <w:rFonts w:ascii="Arial"/>
                <w:sz w:val="20"/>
              </w:rPr>
              <w:t>17,695,673</w:t>
            </w:r>
          </w:p>
        </w:tc>
        <w:tc>
          <w:tcPr>
            <w:tcW w:w="189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1"/>
              <w:ind w:right="45"/>
              <w:jc w:val="right"/>
              <w:rPr>
                <w:rFonts w:ascii="Arial" w:hAnsi="Arial" w:cs="Arial" w:eastAsia="Arial" w:hint="default"/>
                <w:sz w:val="20"/>
                <w:szCs w:val="20"/>
              </w:rPr>
            </w:pPr>
            <w:r>
              <w:rPr>
                <w:rFonts w:ascii="Arial"/>
                <w:w w:val="100"/>
                <w:sz w:val="20"/>
              </w:rPr>
              <w:t>1</w:t>
            </w:r>
          </w:p>
        </w:tc>
      </w:tr>
      <w:tr>
        <w:trPr>
          <w:trHeight w:val="312" w:hRule="exact"/>
        </w:trPr>
        <w:tc>
          <w:tcPr>
            <w:tcW w:w="4252" w:type="dxa"/>
            <w:gridSpan w:val="2"/>
            <w:tcBorders>
              <w:top w:val="nil" w:sz="6" w:space="0" w:color="auto"/>
              <w:left w:val="nil" w:sz="6" w:space="0" w:color="auto"/>
              <w:bottom w:val="nil" w:sz="6" w:space="0" w:color="auto"/>
              <w:right w:val="nil" w:sz="6" w:space="0" w:color="auto"/>
            </w:tcBorders>
          </w:tcPr>
          <w:p>
            <w:pPr>
              <w:pStyle w:val="TableParagraph"/>
              <w:spacing w:line="255" w:lineRule="exact"/>
              <w:ind w:left="740" w:right="0"/>
              <w:jc w:val="left"/>
              <w:rPr>
                <w:rFonts w:ascii="黑体" w:hAnsi="黑体" w:cs="黑体" w:eastAsia="黑体" w:hint="default"/>
                <w:sz w:val="20"/>
                <w:szCs w:val="20"/>
              </w:rPr>
            </w:pPr>
            <w:r>
              <w:rPr>
                <w:rFonts w:ascii="黑体" w:hAnsi="黑体" w:cs="黑体" w:eastAsia="黑体" w:hint="default"/>
                <w:sz w:val="20"/>
                <w:szCs w:val="20"/>
              </w:rPr>
              <w:t>北京方正奥德计算机系统有限公司</w:t>
            </w:r>
          </w:p>
        </w:tc>
        <w:tc>
          <w:tcPr>
            <w:tcW w:w="242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1"/>
              <w:ind w:left="1289" w:right="0"/>
              <w:jc w:val="left"/>
              <w:rPr>
                <w:rFonts w:ascii="Arial" w:hAnsi="Arial" w:cs="Arial" w:eastAsia="Arial" w:hint="default"/>
                <w:sz w:val="20"/>
                <w:szCs w:val="20"/>
              </w:rPr>
            </w:pPr>
            <w:r>
              <w:rPr>
                <w:rFonts w:ascii="Arial"/>
                <w:sz w:val="20"/>
              </w:rPr>
              <w:t>15,546,201</w:t>
            </w:r>
          </w:p>
        </w:tc>
        <w:tc>
          <w:tcPr>
            <w:tcW w:w="189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1"/>
              <w:ind w:right="45"/>
              <w:jc w:val="right"/>
              <w:rPr>
                <w:rFonts w:ascii="Arial" w:hAnsi="Arial" w:cs="Arial" w:eastAsia="Arial" w:hint="default"/>
                <w:sz w:val="20"/>
                <w:szCs w:val="20"/>
              </w:rPr>
            </w:pPr>
            <w:r>
              <w:rPr>
                <w:rFonts w:ascii="Arial"/>
                <w:w w:val="100"/>
                <w:sz w:val="20"/>
              </w:rPr>
              <w:t>1</w:t>
            </w:r>
          </w:p>
        </w:tc>
      </w:tr>
      <w:tr>
        <w:trPr>
          <w:trHeight w:val="312" w:hRule="exact"/>
        </w:trPr>
        <w:tc>
          <w:tcPr>
            <w:tcW w:w="4252" w:type="dxa"/>
            <w:gridSpan w:val="2"/>
            <w:tcBorders>
              <w:top w:val="nil" w:sz="6" w:space="0" w:color="auto"/>
              <w:left w:val="nil" w:sz="6" w:space="0" w:color="auto"/>
              <w:bottom w:val="nil" w:sz="6" w:space="0" w:color="auto"/>
              <w:right w:val="nil" w:sz="6" w:space="0" w:color="auto"/>
            </w:tcBorders>
          </w:tcPr>
          <w:p>
            <w:pPr>
              <w:pStyle w:val="TableParagraph"/>
              <w:spacing w:line="255" w:lineRule="exact"/>
              <w:ind w:left="740" w:right="0"/>
              <w:jc w:val="left"/>
              <w:rPr>
                <w:rFonts w:ascii="黑体" w:hAnsi="黑体" w:cs="黑体" w:eastAsia="黑体" w:hint="default"/>
                <w:sz w:val="20"/>
                <w:szCs w:val="20"/>
              </w:rPr>
            </w:pPr>
            <w:r>
              <w:rPr>
                <w:rFonts w:ascii="黑体" w:hAnsi="黑体" w:cs="黑体" w:eastAsia="黑体" w:hint="default"/>
                <w:sz w:val="20"/>
                <w:szCs w:val="20"/>
              </w:rPr>
              <w:t>国家知识产权局专利局</w:t>
            </w:r>
          </w:p>
        </w:tc>
        <w:tc>
          <w:tcPr>
            <w:tcW w:w="242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1"/>
              <w:ind w:left="1289" w:right="0"/>
              <w:jc w:val="left"/>
              <w:rPr>
                <w:rFonts w:ascii="Arial" w:hAnsi="Arial" w:cs="Arial" w:eastAsia="Arial" w:hint="default"/>
                <w:sz w:val="20"/>
                <w:szCs w:val="20"/>
              </w:rPr>
            </w:pPr>
            <w:r>
              <w:rPr>
                <w:rFonts w:ascii="Arial"/>
                <w:sz w:val="20"/>
              </w:rPr>
              <w:t>15,055,281</w:t>
            </w:r>
          </w:p>
        </w:tc>
        <w:tc>
          <w:tcPr>
            <w:tcW w:w="189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1"/>
              <w:ind w:right="45"/>
              <w:jc w:val="right"/>
              <w:rPr>
                <w:rFonts w:ascii="Arial" w:hAnsi="Arial" w:cs="Arial" w:eastAsia="Arial" w:hint="default"/>
                <w:sz w:val="20"/>
                <w:szCs w:val="20"/>
              </w:rPr>
            </w:pPr>
            <w:r>
              <w:rPr>
                <w:rFonts w:ascii="Arial"/>
                <w:sz w:val="20"/>
              </w:rPr>
              <w:t>&lt;1</w:t>
            </w:r>
          </w:p>
        </w:tc>
      </w:tr>
      <w:tr>
        <w:trPr>
          <w:trHeight w:val="313" w:hRule="exact"/>
        </w:trPr>
        <w:tc>
          <w:tcPr>
            <w:tcW w:w="4252" w:type="dxa"/>
            <w:gridSpan w:val="2"/>
            <w:tcBorders>
              <w:top w:val="nil" w:sz="6" w:space="0" w:color="auto"/>
              <w:left w:val="nil" w:sz="6" w:space="0" w:color="auto"/>
              <w:bottom w:val="nil" w:sz="6" w:space="0" w:color="auto"/>
              <w:right w:val="nil" w:sz="6" w:space="0" w:color="auto"/>
            </w:tcBorders>
          </w:tcPr>
          <w:p>
            <w:pPr>
              <w:pStyle w:val="TableParagraph"/>
              <w:spacing w:line="255" w:lineRule="exact"/>
              <w:ind w:left="740" w:right="0"/>
              <w:jc w:val="left"/>
              <w:rPr>
                <w:rFonts w:ascii="黑体" w:hAnsi="黑体" w:cs="黑体" w:eastAsia="黑体" w:hint="default"/>
                <w:sz w:val="20"/>
                <w:szCs w:val="20"/>
              </w:rPr>
            </w:pPr>
            <w:r>
              <w:rPr>
                <w:rFonts w:ascii="黑体" w:hAnsi="黑体" w:cs="黑体" w:eastAsia="黑体" w:hint="default"/>
                <w:sz w:val="20"/>
                <w:szCs w:val="20"/>
              </w:rPr>
              <w:t>江西中烟工业公司</w:t>
            </w:r>
          </w:p>
        </w:tc>
        <w:tc>
          <w:tcPr>
            <w:tcW w:w="242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1"/>
              <w:ind w:left="1300"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7,179,720</w:t>
            </w:r>
            <w:r>
              <w:rPr>
                <w:rFonts w:ascii="Arial"/>
                <w:sz w:val="20"/>
              </w:rPr>
            </w:r>
          </w:p>
        </w:tc>
        <w:tc>
          <w:tcPr>
            <w:tcW w:w="189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1"/>
              <w:ind w:right="45"/>
              <w:jc w:val="right"/>
              <w:rPr>
                <w:rFonts w:ascii="Arial" w:hAnsi="Arial" w:cs="Arial" w:eastAsia="Arial" w:hint="default"/>
                <w:sz w:val="20"/>
                <w:szCs w:val="20"/>
              </w:rPr>
            </w:pPr>
            <w:r>
              <w:rPr>
                <w:rFonts w:ascii="Arial"/>
                <w:w w:val="100"/>
                <w:sz w:val="20"/>
              </w:rPr>
            </w:r>
            <w:r>
              <w:rPr>
                <w:rFonts w:ascii="Arial"/>
                <w:sz w:val="20"/>
                <w:u w:val="single" w:color="000000"/>
              </w:rPr>
              <w:t>&lt;1</w:t>
            </w:r>
            <w:r>
              <w:rPr>
                <w:rFonts w:ascii="Arial"/>
                <w:sz w:val="20"/>
              </w:rPr>
            </w:r>
          </w:p>
        </w:tc>
      </w:tr>
      <w:tr>
        <w:trPr>
          <w:trHeight w:val="458" w:hRule="exact"/>
        </w:trPr>
        <w:tc>
          <w:tcPr>
            <w:tcW w:w="4252" w:type="dxa"/>
            <w:gridSpan w:val="2"/>
            <w:tcBorders>
              <w:top w:val="nil" w:sz="6" w:space="0" w:color="auto"/>
              <w:left w:val="nil" w:sz="6" w:space="0" w:color="auto"/>
              <w:bottom w:val="nil" w:sz="6" w:space="0" w:color="auto"/>
              <w:right w:val="nil" w:sz="6" w:space="0" w:color="auto"/>
            </w:tcBorders>
          </w:tcPr>
          <w:p>
            <w:pPr/>
          </w:p>
        </w:tc>
        <w:tc>
          <w:tcPr>
            <w:tcW w:w="242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0"/>
              <w:ind w:left="1289" w:right="0"/>
              <w:jc w:val="left"/>
              <w:rPr>
                <w:rFonts w:ascii="Arial" w:hAnsi="Arial" w:cs="Arial" w:eastAsia="Arial" w:hint="default"/>
                <w:sz w:val="20"/>
                <w:szCs w:val="20"/>
              </w:rPr>
            </w:pPr>
            <w:r>
              <w:rPr>
                <w:rFonts w:ascii="Arial"/>
                <w:w w:val="100"/>
                <w:sz w:val="20"/>
              </w:rPr>
            </w:r>
            <w:r>
              <w:rPr>
                <w:rFonts w:ascii="Arial"/>
                <w:sz w:val="20"/>
                <w:u w:val="thick" w:color="000000"/>
              </w:rPr>
              <w:t>73,984,567</w:t>
            </w:r>
            <w:r>
              <w:rPr>
                <w:rFonts w:ascii="Arial"/>
                <w:sz w:val="20"/>
              </w:rPr>
            </w:r>
          </w:p>
        </w:tc>
        <w:tc>
          <w:tcPr>
            <w:tcW w:w="189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0"/>
              <w:ind w:right="45"/>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z w:val="20"/>
                <w:u w:val="thick" w:color="000000"/>
              </w:rPr>
              <w:t>3</w:t>
            </w:r>
            <w:r>
              <w:rPr>
                <w:rFonts w:ascii="Arial"/>
                <w:sz w:val="20"/>
              </w:rPr>
            </w:r>
          </w:p>
        </w:tc>
      </w:tr>
      <w:tr>
        <w:trPr>
          <w:trHeight w:val="610" w:hRule="exact"/>
        </w:trPr>
        <w:tc>
          <w:tcPr>
            <w:tcW w:w="425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0"/>
              <w:ind w:left="749"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年，前五名客户的营业收入如下：</w:t>
            </w:r>
          </w:p>
        </w:tc>
        <w:tc>
          <w:tcPr>
            <w:tcW w:w="2426" w:type="dxa"/>
            <w:gridSpan w:val="3"/>
            <w:tcBorders>
              <w:top w:val="nil" w:sz="6" w:space="0" w:color="auto"/>
              <w:left w:val="nil" w:sz="6" w:space="0" w:color="auto"/>
              <w:bottom w:val="nil" w:sz="6" w:space="0" w:color="auto"/>
              <w:right w:val="nil" w:sz="6" w:space="0" w:color="auto"/>
            </w:tcBorders>
          </w:tcPr>
          <w:p>
            <w:pPr/>
          </w:p>
        </w:tc>
        <w:tc>
          <w:tcPr>
            <w:tcW w:w="1895" w:type="dxa"/>
            <w:gridSpan w:val="2"/>
            <w:tcBorders>
              <w:top w:val="nil" w:sz="6" w:space="0" w:color="auto"/>
              <w:left w:val="nil" w:sz="6" w:space="0" w:color="auto"/>
              <w:bottom w:val="nil" w:sz="6" w:space="0" w:color="auto"/>
              <w:right w:val="nil" w:sz="6" w:space="0" w:color="auto"/>
            </w:tcBorders>
          </w:tcPr>
          <w:p>
            <w:pPr/>
          </w:p>
        </w:tc>
      </w:tr>
      <w:tr>
        <w:trPr>
          <w:trHeight w:val="575" w:hRule="exact"/>
        </w:trPr>
        <w:tc>
          <w:tcPr>
            <w:tcW w:w="4252" w:type="dxa"/>
            <w:gridSpan w:val="2"/>
            <w:tcBorders>
              <w:top w:val="nil" w:sz="6" w:space="0" w:color="auto"/>
              <w:left w:val="nil" w:sz="6" w:space="0" w:color="auto"/>
              <w:bottom w:val="nil" w:sz="6" w:space="0" w:color="auto"/>
              <w:right w:val="nil" w:sz="6" w:space="0" w:color="auto"/>
            </w:tcBorders>
          </w:tcPr>
          <w:p>
            <w:pPr/>
          </w:p>
        </w:tc>
        <w:tc>
          <w:tcPr>
            <w:tcW w:w="242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37"/>
              <w:ind w:right="134"/>
              <w:jc w:val="right"/>
              <w:rPr>
                <w:rFonts w:ascii="黑体" w:hAnsi="黑体" w:cs="黑体" w:eastAsia="黑体" w:hint="default"/>
                <w:sz w:val="20"/>
                <w:szCs w:val="20"/>
              </w:rPr>
            </w:pPr>
            <w:r>
              <w:rPr>
                <w:rFonts w:ascii="黑体" w:hAnsi="黑体" w:cs="黑体" w:eastAsia="黑体" w:hint="default"/>
                <w:sz w:val="20"/>
                <w:szCs w:val="20"/>
              </w:rPr>
              <w:t>金额</w:t>
            </w:r>
          </w:p>
        </w:tc>
        <w:tc>
          <w:tcPr>
            <w:tcW w:w="189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7"/>
              <w:ind w:left="134" w:right="0"/>
              <w:jc w:val="left"/>
              <w:rPr>
                <w:rFonts w:ascii="Arial" w:hAnsi="Arial" w:cs="Arial" w:eastAsia="Arial" w:hint="default"/>
                <w:sz w:val="20"/>
                <w:szCs w:val="20"/>
              </w:rPr>
            </w:pPr>
            <w:r>
              <w:rPr>
                <w:rFonts w:ascii="黑体" w:hAnsi="黑体" w:cs="黑体" w:eastAsia="黑体" w:hint="default"/>
                <w:sz w:val="20"/>
                <w:szCs w:val="20"/>
              </w:rPr>
              <w:t>占营业收入比例</w:t>
            </w:r>
            <w:r>
              <w:rPr>
                <w:rFonts w:ascii="Arial" w:hAnsi="Arial" w:cs="Arial" w:eastAsia="Arial" w:hint="default"/>
                <w:sz w:val="20"/>
                <w:szCs w:val="20"/>
              </w:rPr>
              <w:t>(%)</w:t>
            </w:r>
          </w:p>
        </w:tc>
      </w:tr>
      <w:tr>
        <w:trPr>
          <w:trHeight w:val="424" w:hRule="exact"/>
        </w:trPr>
        <w:tc>
          <w:tcPr>
            <w:tcW w:w="425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5"/>
              <w:ind w:left="740" w:right="0"/>
              <w:jc w:val="left"/>
              <w:rPr>
                <w:rFonts w:ascii="黑体" w:hAnsi="黑体" w:cs="黑体" w:eastAsia="黑体" w:hint="default"/>
                <w:sz w:val="20"/>
                <w:szCs w:val="20"/>
              </w:rPr>
            </w:pPr>
            <w:r>
              <w:rPr>
                <w:rFonts w:ascii="黑体" w:hAnsi="黑体" w:cs="黑体" w:eastAsia="黑体" w:hint="default"/>
                <w:sz w:val="20"/>
                <w:szCs w:val="20"/>
              </w:rPr>
              <w:t>航天信息股份有限公司</w:t>
            </w:r>
          </w:p>
        </w:tc>
        <w:tc>
          <w:tcPr>
            <w:tcW w:w="242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43"/>
              <w:ind w:left="1287" w:right="0"/>
              <w:jc w:val="left"/>
              <w:rPr>
                <w:rFonts w:ascii="Arial" w:hAnsi="Arial" w:cs="Arial" w:eastAsia="Arial" w:hint="default"/>
                <w:sz w:val="20"/>
                <w:szCs w:val="20"/>
              </w:rPr>
            </w:pPr>
            <w:r>
              <w:rPr>
                <w:rFonts w:ascii="Arial"/>
                <w:sz w:val="20"/>
              </w:rPr>
              <w:t>14,590,728</w:t>
            </w:r>
          </w:p>
        </w:tc>
        <w:tc>
          <w:tcPr>
            <w:tcW w:w="189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3"/>
              <w:ind w:right="46"/>
              <w:jc w:val="right"/>
              <w:rPr>
                <w:rFonts w:ascii="Arial" w:hAnsi="Arial" w:cs="Arial" w:eastAsia="Arial" w:hint="default"/>
                <w:sz w:val="20"/>
                <w:szCs w:val="20"/>
              </w:rPr>
            </w:pPr>
            <w:r>
              <w:rPr>
                <w:rFonts w:ascii="Arial"/>
                <w:w w:val="100"/>
                <w:sz w:val="20"/>
              </w:rPr>
              <w:t>1</w:t>
            </w:r>
          </w:p>
        </w:tc>
      </w:tr>
      <w:tr>
        <w:trPr>
          <w:trHeight w:val="312" w:hRule="exact"/>
        </w:trPr>
        <w:tc>
          <w:tcPr>
            <w:tcW w:w="4252" w:type="dxa"/>
            <w:gridSpan w:val="2"/>
            <w:tcBorders>
              <w:top w:val="nil" w:sz="6" w:space="0" w:color="auto"/>
              <w:left w:val="nil" w:sz="6" w:space="0" w:color="auto"/>
              <w:bottom w:val="nil" w:sz="6" w:space="0" w:color="auto"/>
              <w:right w:val="nil" w:sz="6" w:space="0" w:color="auto"/>
            </w:tcBorders>
          </w:tcPr>
          <w:p>
            <w:pPr>
              <w:pStyle w:val="TableParagraph"/>
              <w:spacing w:line="255" w:lineRule="exact"/>
              <w:ind w:left="740" w:right="0"/>
              <w:jc w:val="left"/>
              <w:rPr>
                <w:rFonts w:ascii="黑体" w:hAnsi="黑体" w:cs="黑体" w:eastAsia="黑体" w:hint="default"/>
                <w:sz w:val="20"/>
                <w:szCs w:val="20"/>
              </w:rPr>
            </w:pPr>
            <w:r>
              <w:rPr>
                <w:rFonts w:ascii="黑体" w:hAnsi="黑体" w:cs="黑体" w:eastAsia="黑体" w:hint="default"/>
                <w:sz w:val="20"/>
                <w:szCs w:val="20"/>
              </w:rPr>
              <w:t>中国烟草总公司</w:t>
            </w:r>
          </w:p>
        </w:tc>
        <w:tc>
          <w:tcPr>
            <w:tcW w:w="242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1"/>
              <w:ind w:left="1399" w:right="0"/>
              <w:jc w:val="left"/>
              <w:rPr>
                <w:rFonts w:ascii="Arial" w:hAnsi="Arial" w:cs="Arial" w:eastAsia="Arial" w:hint="default"/>
                <w:sz w:val="20"/>
                <w:szCs w:val="20"/>
              </w:rPr>
            </w:pPr>
            <w:r>
              <w:rPr>
                <w:rFonts w:ascii="Arial"/>
                <w:sz w:val="20"/>
              </w:rPr>
              <w:t>7,699,718</w:t>
            </w:r>
          </w:p>
        </w:tc>
        <w:tc>
          <w:tcPr>
            <w:tcW w:w="189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1"/>
              <w:ind w:right="45"/>
              <w:jc w:val="right"/>
              <w:rPr>
                <w:rFonts w:ascii="Arial" w:hAnsi="Arial" w:cs="Arial" w:eastAsia="Arial" w:hint="default"/>
                <w:sz w:val="20"/>
                <w:szCs w:val="20"/>
              </w:rPr>
            </w:pPr>
            <w:r>
              <w:rPr>
                <w:rFonts w:ascii="Arial"/>
                <w:sz w:val="20"/>
              </w:rPr>
              <w:t>&lt;1</w:t>
            </w:r>
          </w:p>
        </w:tc>
      </w:tr>
      <w:tr>
        <w:trPr>
          <w:trHeight w:val="312" w:hRule="exact"/>
        </w:trPr>
        <w:tc>
          <w:tcPr>
            <w:tcW w:w="4252" w:type="dxa"/>
            <w:gridSpan w:val="2"/>
            <w:tcBorders>
              <w:top w:val="nil" w:sz="6" w:space="0" w:color="auto"/>
              <w:left w:val="nil" w:sz="6" w:space="0" w:color="auto"/>
              <w:bottom w:val="nil" w:sz="6" w:space="0" w:color="auto"/>
              <w:right w:val="nil" w:sz="6" w:space="0" w:color="auto"/>
            </w:tcBorders>
          </w:tcPr>
          <w:p>
            <w:pPr>
              <w:pStyle w:val="TableParagraph"/>
              <w:spacing w:line="255" w:lineRule="exact"/>
              <w:ind w:left="740" w:right="0"/>
              <w:jc w:val="left"/>
              <w:rPr>
                <w:rFonts w:ascii="黑体" w:hAnsi="黑体" w:cs="黑体" w:eastAsia="黑体" w:hint="default"/>
                <w:sz w:val="20"/>
                <w:szCs w:val="20"/>
              </w:rPr>
            </w:pPr>
            <w:r>
              <w:rPr>
                <w:rFonts w:ascii="黑体" w:hAnsi="黑体" w:cs="黑体" w:eastAsia="黑体" w:hint="default"/>
                <w:sz w:val="20"/>
                <w:szCs w:val="20"/>
              </w:rPr>
              <w:t>联通系统集成有限公司</w:t>
            </w:r>
          </w:p>
        </w:tc>
        <w:tc>
          <w:tcPr>
            <w:tcW w:w="242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1"/>
              <w:ind w:left="1399" w:right="0"/>
              <w:jc w:val="left"/>
              <w:rPr>
                <w:rFonts w:ascii="Arial" w:hAnsi="Arial" w:cs="Arial" w:eastAsia="Arial" w:hint="default"/>
                <w:sz w:val="20"/>
                <w:szCs w:val="20"/>
              </w:rPr>
            </w:pPr>
            <w:r>
              <w:rPr>
                <w:rFonts w:ascii="Arial"/>
                <w:sz w:val="20"/>
              </w:rPr>
              <w:t>6,782,400</w:t>
            </w:r>
          </w:p>
        </w:tc>
        <w:tc>
          <w:tcPr>
            <w:tcW w:w="189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1"/>
              <w:ind w:right="33"/>
              <w:jc w:val="right"/>
              <w:rPr>
                <w:rFonts w:ascii="Arial" w:hAnsi="Arial" w:cs="Arial" w:eastAsia="Arial" w:hint="default"/>
                <w:sz w:val="20"/>
                <w:szCs w:val="20"/>
              </w:rPr>
            </w:pPr>
            <w:r>
              <w:rPr>
                <w:rFonts w:ascii="Arial"/>
                <w:sz w:val="20"/>
              </w:rPr>
              <w:t>&lt;1</w:t>
            </w:r>
          </w:p>
        </w:tc>
      </w:tr>
      <w:tr>
        <w:trPr>
          <w:trHeight w:val="312" w:hRule="exact"/>
        </w:trPr>
        <w:tc>
          <w:tcPr>
            <w:tcW w:w="4252" w:type="dxa"/>
            <w:gridSpan w:val="2"/>
            <w:tcBorders>
              <w:top w:val="nil" w:sz="6" w:space="0" w:color="auto"/>
              <w:left w:val="nil" w:sz="6" w:space="0" w:color="auto"/>
              <w:bottom w:val="nil" w:sz="6" w:space="0" w:color="auto"/>
              <w:right w:val="nil" w:sz="6" w:space="0" w:color="auto"/>
            </w:tcBorders>
          </w:tcPr>
          <w:p>
            <w:pPr>
              <w:pStyle w:val="TableParagraph"/>
              <w:spacing w:line="255" w:lineRule="exact"/>
              <w:ind w:left="740" w:right="0"/>
              <w:jc w:val="left"/>
              <w:rPr>
                <w:rFonts w:ascii="黑体" w:hAnsi="黑体" w:cs="黑体" w:eastAsia="黑体" w:hint="default"/>
                <w:sz w:val="20"/>
                <w:szCs w:val="20"/>
              </w:rPr>
            </w:pPr>
            <w:r>
              <w:rPr>
                <w:rFonts w:ascii="黑体" w:hAnsi="黑体" w:cs="黑体" w:eastAsia="黑体" w:hint="default"/>
                <w:sz w:val="20"/>
                <w:szCs w:val="20"/>
              </w:rPr>
              <w:t>山西同华电力有限公司</w:t>
            </w:r>
          </w:p>
        </w:tc>
        <w:tc>
          <w:tcPr>
            <w:tcW w:w="242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1"/>
              <w:ind w:left="1399" w:right="0"/>
              <w:jc w:val="left"/>
              <w:rPr>
                <w:rFonts w:ascii="Arial" w:hAnsi="Arial" w:cs="Arial" w:eastAsia="Arial" w:hint="default"/>
                <w:sz w:val="20"/>
                <w:szCs w:val="20"/>
              </w:rPr>
            </w:pPr>
            <w:r>
              <w:rPr>
                <w:rFonts w:ascii="Arial"/>
                <w:sz w:val="20"/>
              </w:rPr>
              <w:t>6,090,000</w:t>
            </w:r>
          </w:p>
        </w:tc>
        <w:tc>
          <w:tcPr>
            <w:tcW w:w="189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1"/>
              <w:ind w:right="45"/>
              <w:jc w:val="right"/>
              <w:rPr>
                <w:rFonts w:ascii="Arial" w:hAnsi="Arial" w:cs="Arial" w:eastAsia="Arial" w:hint="default"/>
                <w:sz w:val="20"/>
                <w:szCs w:val="20"/>
              </w:rPr>
            </w:pPr>
            <w:r>
              <w:rPr>
                <w:rFonts w:ascii="Arial"/>
                <w:sz w:val="20"/>
              </w:rPr>
              <w:t>&lt;1</w:t>
            </w:r>
          </w:p>
        </w:tc>
      </w:tr>
      <w:tr>
        <w:trPr>
          <w:trHeight w:val="313" w:hRule="exact"/>
        </w:trPr>
        <w:tc>
          <w:tcPr>
            <w:tcW w:w="4252" w:type="dxa"/>
            <w:gridSpan w:val="2"/>
            <w:tcBorders>
              <w:top w:val="nil" w:sz="6" w:space="0" w:color="auto"/>
              <w:left w:val="nil" w:sz="6" w:space="0" w:color="auto"/>
              <w:bottom w:val="nil" w:sz="6" w:space="0" w:color="auto"/>
              <w:right w:val="nil" w:sz="6" w:space="0" w:color="auto"/>
            </w:tcBorders>
          </w:tcPr>
          <w:p>
            <w:pPr>
              <w:pStyle w:val="TableParagraph"/>
              <w:spacing w:line="255" w:lineRule="exact"/>
              <w:ind w:left="740" w:right="0"/>
              <w:jc w:val="left"/>
              <w:rPr>
                <w:rFonts w:ascii="黑体" w:hAnsi="黑体" w:cs="黑体" w:eastAsia="黑体" w:hint="default"/>
                <w:sz w:val="20"/>
                <w:szCs w:val="20"/>
              </w:rPr>
            </w:pPr>
            <w:r>
              <w:rPr>
                <w:rFonts w:ascii="黑体" w:hAnsi="黑体" w:cs="黑体" w:eastAsia="黑体" w:hint="default"/>
                <w:sz w:val="20"/>
                <w:szCs w:val="20"/>
              </w:rPr>
              <w:t>北京市财政局</w:t>
            </w:r>
          </w:p>
        </w:tc>
        <w:tc>
          <w:tcPr>
            <w:tcW w:w="242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1"/>
              <w:ind w:left="1299"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5,937,970</w:t>
            </w:r>
            <w:r>
              <w:rPr>
                <w:rFonts w:ascii="Arial"/>
                <w:sz w:val="20"/>
              </w:rPr>
            </w:r>
          </w:p>
        </w:tc>
        <w:tc>
          <w:tcPr>
            <w:tcW w:w="189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1"/>
              <w:ind w:right="33"/>
              <w:jc w:val="right"/>
              <w:rPr>
                <w:rFonts w:ascii="Arial" w:hAnsi="Arial" w:cs="Arial" w:eastAsia="Arial" w:hint="default"/>
                <w:sz w:val="20"/>
                <w:szCs w:val="20"/>
              </w:rPr>
            </w:pPr>
            <w:r>
              <w:rPr>
                <w:rFonts w:ascii="Arial"/>
                <w:sz w:val="20"/>
              </w:rPr>
              <w:t>&lt;1</w:t>
            </w:r>
          </w:p>
        </w:tc>
      </w:tr>
      <w:tr>
        <w:trPr>
          <w:trHeight w:val="356" w:hRule="exact"/>
        </w:trPr>
        <w:tc>
          <w:tcPr>
            <w:tcW w:w="4252" w:type="dxa"/>
            <w:gridSpan w:val="2"/>
            <w:tcBorders>
              <w:top w:val="nil" w:sz="6" w:space="0" w:color="auto"/>
              <w:left w:val="nil" w:sz="6" w:space="0" w:color="auto"/>
              <w:bottom w:val="nil" w:sz="6" w:space="0" w:color="auto"/>
              <w:right w:val="nil" w:sz="6" w:space="0" w:color="auto"/>
            </w:tcBorders>
          </w:tcPr>
          <w:p>
            <w:pPr/>
          </w:p>
        </w:tc>
        <w:tc>
          <w:tcPr>
            <w:tcW w:w="242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0"/>
              <w:ind w:left="1288" w:right="0"/>
              <w:jc w:val="left"/>
              <w:rPr>
                <w:rFonts w:ascii="Arial" w:hAnsi="Arial" w:cs="Arial" w:eastAsia="Arial" w:hint="default"/>
                <w:sz w:val="20"/>
                <w:szCs w:val="20"/>
              </w:rPr>
            </w:pPr>
            <w:r>
              <w:rPr>
                <w:rFonts w:ascii="Arial"/>
                <w:w w:val="100"/>
                <w:sz w:val="20"/>
              </w:rPr>
            </w:r>
            <w:r>
              <w:rPr>
                <w:rFonts w:ascii="Arial"/>
                <w:sz w:val="20"/>
                <w:u w:val="thick" w:color="000000"/>
              </w:rPr>
              <w:t>41,100,816</w:t>
            </w:r>
            <w:r>
              <w:rPr>
                <w:rFonts w:ascii="Arial"/>
                <w:sz w:val="20"/>
              </w:rPr>
            </w:r>
          </w:p>
        </w:tc>
        <w:tc>
          <w:tcPr>
            <w:tcW w:w="189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0"/>
              <w:ind w:right="45"/>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z w:val="20"/>
                <w:u w:val="thick" w:color="000000"/>
              </w:rPr>
              <w:t>2</w:t>
            </w:r>
            <w:r>
              <w:rPr>
                <w:rFonts w:ascii="Arial"/>
                <w:sz w:val="20"/>
              </w:rPr>
            </w:r>
          </w:p>
        </w:tc>
      </w:tr>
    </w:tbl>
    <w:p>
      <w:pPr>
        <w:spacing w:after="0" w:line="240" w:lineRule="auto"/>
        <w:jc w:val="right"/>
        <w:rPr>
          <w:rFonts w:ascii="Arial" w:hAnsi="Arial" w:cs="Arial" w:eastAsia="Arial" w:hint="default"/>
          <w:sz w:val="20"/>
          <w:szCs w:val="20"/>
        </w:rPr>
        <w:sectPr>
          <w:footerReference w:type="default" r:id="rId67"/>
          <w:pgSz w:w="11910" w:h="16840"/>
          <w:pgMar w:footer="476" w:header="828" w:top="2420" w:bottom="660" w:left="1560" w:right="15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4"/>
          <w:szCs w:val="14"/>
        </w:rPr>
      </w:pPr>
    </w:p>
    <w:tbl>
      <w:tblPr>
        <w:tblW w:w="0" w:type="auto"/>
        <w:jc w:val="left"/>
        <w:tblInd w:w="106" w:type="dxa"/>
        <w:tblLayout w:type="fixed"/>
        <w:tblCellMar>
          <w:top w:w="0" w:type="dxa"/>
          <w:left w:w="0" w:type="dxa"/>
          <w:bottom w:w="0" w:type="dxa"/>
          <w:right w:w="0" w:type="dxa"/>
        </w:tblCellMar>
        <w:tblLook w:val="01E0"/>
      </w:tblPr>
      <w:tblGrid>
        <w:gridCol w:w="588"/>
        <w:gridCol w:w="6761"/>
        <w:gridCol w:w="1296"/>
      </w:tblGrid>
      <w:tr>
        <w:trPr>
          <w:trHeight w:val="987" w:hRule="exact"/>
        </w:trPr>
        <w:tc>
          <w:tcPr>
            <w:tcW w:w="58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五、</w:t>
            </w:r>
            <w:r>
              <w:rPr>
                <w:rFonts w:ascii="黑体" w:hAnsi="黑体" w:cs="黑体" w:eastAsia="黑体" w:hint="default"/>
                <w:sz w:val="20"/>
                <w:szCs w:val="20"/>
              </w:rPr>
            </w: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left="35" w:right="0"/>
              <w:jc w:val="left"/>
              <w:rPr>
                <w:rFonts w:ascii="Arial" w:hAnsi="Arial" w:cs="Arial" w:eastAsia="Arial" w:hint="default"/>
                <w:sz w:val="20"/>
                <w:szCs w:val="20"/>
              </w:rPr>
            </w:pPr>
            <w:r>
              <w:rPr>
                <w:rFonts w:ascii="Arial"/>
                <w:b/>
                <w:sz w:val="20"/>
              </w:rPr>
              <w:t>33.</w:t>
            </w:r>
            <w:r>
              <w:rPr>
                <w:rFonts w:ascii="Arial"/>
                <w:sz w:val="20"/>
              </w:rPr>
            </w:r>
          </w:p>
        </w:tc>
        <w:tc>
          <w:tcPr>
            <w:tcW w:w="6761" w:type="dxa"/>
            <w:tcBorders>
              <w:top w:val="nil" w:sz="6" w:space="0" w:color="auto"/>
              <w:left w:val="nil" w:sz="6" w:space="0" w:color="auto"/>
              <w:bottom w:val="nil" w:sz="6" w:space="0" w:color="auto"/>
              <w:right w:val="nil" w:sz="6" w:space="0" w:color="auto"/>
            </w:tcBorders>
          </w:tcPr>
          <w:p>
            <w:pPr>
              <w:pStyle w:val="TableParagraph"/>
              <w:spacing w:line="432" w:lineRule="auto" w:before="38"/>
              <w:ind w:left="167" w:right="3597" w:hanging="19"/>
              <w:jc w:val="left"/>
              <w:rPr>
                <w:rFonts w:ascii="黑体" w:hAnsi="黑体" w:cs="黑体" w:eastAsia="黑体" w:hint="default"/>
                <w:sz w:val="20"/>
                <w:szCs w:val="20"/>
              </w:rPr>
            </w:pPr>
            <w:r>
              <w:rPr>
                <w:rFonts w:ascii="黑体" w:hAnsi="黑体" w:cs="黑体" w:eastAsia="黑体" w:hint="default"/>
                <w:b/>
                <w:bCs/>
                <w:sz w:val="20"/>
                <w:szCs w:val="20"/>
              </w:rPr>
              <w:t>合并财务报表主要项目注释（续）</w:t>
            </w:r>
            <w:r>
              <w:rPr>
                <w:rFonts w:ascii="黑体" w:hAnsi="黑体" w:cs="黑体" w:eastAsia="黑体" w:hint="default"/>
                <w:b/>
                <w:bCs/>
                <w:w w:val="99"/>
                <w:sz w:val="20"/>
                <w:szCs w:val="20"/>
              </w:rPr>
              <w:t> </w:t>
            </w:r>
            <w:r>
              <w:rPr>
                <w:rFonts w:ascii="黑体" w:hAnsi="黑体" w:cs="黑体" w:eastAsia="黑体" w:hint="default"/>
                <w:b/>
                <w:bCs/>
                <w:sz w:val="20"/>
                <w:szCs w:val="20"/>
              </w:rPr>
              <w:t>营业税金及附加</w:t>
            </w:r>
            <w:r>
              <w:rPr>
                <w:rFonts w:ascii="黑体" w:hAnsi="黑体" w:cs="黑体" w:eastAsia="黑体" w:hint="default"/>
                <w:sz w:val="20"/>
                <w:szCs w:val="20"/>
              </w:rPr>
            </w:r>
          </w:p>
        </w:tc>
        <w:tc>
          <w:tcPr>
            <w:tcW w:w="1296" w:type="dxa"/>
            <w:tcBorders>
              <w:top w:val="nil" w:sz="6" w:space="0" w:color="auto"/>
              <w:left w:val="nil" w:sz="6" w:space="0" w:color="auto"/>
              <w:bottom w:val="nil" w:sz="6" w:space="0" w:color="auto"/>
              <w:right w:val="nil" w:sz="6" w:space="0" w:color="auto"/>
            </w:tcBorders>
          </w:tcPr>
          <w:p>
            <w:pPr/>
          </w:p>
        </w:tc>
      </w:tr>
      <w:tr>
        <w:trPr>
          <w:trHeight w:val="583"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817"/>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28"/>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424"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tabs>
                <w:tab w:pos="4938" w:val="left" w:leader="none"/>
              </w:tabs>
              <w:spacing w:line="240" w:lineRule="auto" w:before="105"/>
              <w:ind w:left="184" w:right="0"/>
              <w:jc w:val="left"/>
              <w:rPr>
                <w:rFonts w:ascii="Arial" w:hAnsi="Arial" w:cs="Arial" w:eastAsia="Arial" w:hint="default"/>
                <w:sz w:val="20"/>
                <w:szCs w:val="20"/>
              </w:rPr>
            </w:pPr>
            <w:r>
              <w:rPr>
                <w:rFonts w:ascii="黑体" w:hAnsi="黑体" w:cs="黑体" w:eastAsia="黑体" w:hint="default"/>
                <w:sz w:val="20"/>
                <w:szCs w:val="20"/>
              </w:rPr>
              <w:t>营业税</w:t>
              <w:tab/>
            </w:r>
            <w:r>
              <w:rPr>
                <w:rFonts w:ascii="Arial" w:hAnsi="Arial" w:cs="Arial" w:eastAsia="Arial" w:hint="default"/>
                <w:position w:val="1"/>
                <w:sz w:val="20"/>
                <w:szCs w:val="20"/>
              </w:rPr>
              <w:t>36,750,532</w:t>
            </w:r>
            <w:r>
              <w:rPr>
                <w:rFonts w:ascii="Arial" w:hAnsi="Arial" w:cs="Arial" w:eastAsia="Arial" w:hint="default"/>
                <w:sz w:val="20"/>
                <w:szCs w:val="20"/>
              </w:rPr>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162" w:right="0"/>
              <w:jc w:val="left"/>
              <w:rPr>
                <w:rFonts w:ascii="Arial" w:hAnsi="Arial" w:cs="Arial" w:eastAsia="Arial" w:hint="default"/>
                <w:sz w:val="20"/>
                <w:szCs w:val="20"/>
              </w:rPr>
            </w:pPr>
            <w:r>
              <w:rPr>
                <w:rFonts w:ascii="Arial"/>
                <w:sz w:val="20"/>
              </w:rPr>
              <w:t>26,297,330</w:t>
            </w:r>
          </w:p>
        </w:tc>
      </w:tr>
      <w:tr>
        <w:trPr>
          <w:trHeight w:val="312"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tabs>
                <w:tab w:pos="4938" w:val="left" w:leader="none"/>
              </w:tabs>
              <w:spacing w:line="260" w:lineRule="exact"/>
              <w:ind w:left="184" w:right="0"/>
              <w:jc w:val="left"/>
              <w:rPr>
                <w:rFonts w:ascii="Arial" w:hAnsi="Arial" w:cs="Arial" w:eastAsia="Arial" w:hint="default"/>
                <w:sz w:val="20"/>
                <w:szCs w:val="20"/>
              </w:rPr>
            </w:pPr>
            <w:r>
              <w:rPr>
                <w:rFonts w:ascii="黑体" w:hAnsi="黑体" w:cs="黑体" w:eastAsia="黑体" w:hint="default"/>
                <w:spacing w:val="-1"/>
                <w:sz w:val="20"/>
                <w:szCs w:val="20"/>
              </w:rPr>
              <w:t>城巿维护建设税</w:t>
              <w:tab/>
            </w:r>
            <w:r>
              <w:rPr>
                <w:rFonts w:ascii="Arial" w:hAnsi="Arial" w:cs="Arial" w:eastAsia="Arial" w:hint="default"/>
                <w:spacing w:val="-1"/>
                <w:position w:val="1"/>
                <w:sz w:val="20"/>
                <w:szCs w:val="20"/>
              </w:rPr>
              <w:t>17,936,881</w:t>
            </w:r>
            <w:r>
              <w:rPr>
                <w:rFonts w:ascii="Arial" w:hAnsi="Arial" w:cs="Arial" w:eastAsia="Arial" w:hint="default"/>
                <w:spacing w:val="-1"/>
                <w:sz w:val="20"/>
                <w:szCs w:val="20"/>
              </w:rPr>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62" w:right="0"/>
              <w:jc w:val="left"/>
              <w:rPr>
                <w:rFonts w:ascii="Arial" w:hAnsi="Arial" w:cs="Arial" w:eastAsia="Arial" w:hint="default"/>
                <w:sz w:val="20"/>
                <w:szCs w:val="20"/>
              </w:rPr>
            </w:pPr>
            <w:r>
              <w:rPr>
                <w:rFonts w:ascii="Arial"/>
                <w:sz w:val="20"/>
              </w:rPr>
              <w:t>14,678,155</w:t>
            </w:r>
          </w:p>
        </w:tc>
      </w:tr>
      <w:tr>
        <w:trPr>
          <w:trHeight w:val="312"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tabs>
                <w:tab w:pos="5050" w:val="left" w:leader="none"/>
              </w:tabs>
              <w:spacing w:line="260" w:lineRule="exact"/>
              <w:ind w:left="184" w:right="0"/>
              <w:jc w:val="left"/>
              <w:rPr>
                <w:rFonts w:ascii="Arial" w:hAnsi="Arial" w:cs="Arial" w:eastAsia="Arial" w:hint="default"/>
                <w:sz w:val="20"/>
                <w:szCs w:val="20"/>
              </w:rPr>
            </w:pPr>
            <w:r>
              <w:rPr>
                <w:rFonts w:ascii="黑体" w:hAnsi="黑体" w:cs="黑体" w:eastAsia="黑体" w:hint="default"/>
                <w:spacing w:val="-1"/>
                <w:sz w:val="20"/>
                <w:szCs w:val="20"/>
              </w:rPr>
              <w:t>教育费附加</w:t>
              <w:tab/>
            </w:r>
            <w:r>
              <w:rPr>
                <w:rFonts w:ascii="Arial" w:hAnsi="Arial" w:cs="Arial" w:eastAsia="Arial" w:hint="default"/>
                <w:spacing w:val="-1"/>
                <w:position w:val="1"/>
                <w:sz w:val="20"/>
                <w:szCs w:val="20"/>
              </w:rPr>
              <w:t>7,687,235</w:t>
            </w:r>
            <w:r>
              <w:rPr>
                <w:rFonts w:ascii="Arial" w:hAnsi="Arial" w:cs="Arial" w:eastAsia="Arial" w:hint="default"/>
                <w:spacing w:val="-1"/>
                <w:sz w:val="20"/>
                <w:szCs w:val="20"/>
              </w:rPr>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274" w:right="0"/>
              <w:jc w:val="left"/>
              <w:rPr>
                <w:rFonts w:ascii="Arial" w:hAnsi="Arial" w:cs="Arial" w:eastAsia="Arial" w:hint="default"/>
                <w:sz w:val="20"/>
                <w:szCs w:val="20"/>
              </w:rPr>
            </w:pPr>
            <w:r>
              <w:rPr>
                <w:rFonts w:ascii="Arial"/>
                <w:sz w:val="20"/>
              </w:rPr>
              <w:t>6,290,638</w:t>
            </w:r>
          </w:p>
        </w:tc>
      </w:tr>
      <w:tr>
        <w:trPr>
          <w:trHeight w:val="313"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tabs>
                <w:tab w:pos="4916" w:val="left" w:leader="none"/>
                <w:tab w:pos="5215" w:val="left" w:leader="none"/>
              </w:tabs>
              <w:spacing w:line="260" w:lineRule="exact"/>
              <w:ind w:left="184" w:right="0"/>
              <w:jc w:val="left"/>
              <w:rPr>
                <w:rFonts w:ascii="Arial" w:hAnsi="Arial" w:cs="Arial" w:eastAsia="Arial" w:hint="default"/>
                <w:sz w:val="20"/>
                <w:szCs w:val="20"/>
              </w:rPr>
            </w:pPr>
            <w:r>
              <w:rPr>
                <w:rFonts w:ascii="黑体" w:hAnsi="黑体" w:cs="黑体" w:eastAsia="黑体" w:hint="default"/>
                <w:sz w:val="20"/>
                <w:szCs w:val="20"/>
              </w:rPr>
              <w:t>其他</w:t>
              <w:tab/>
            </w:r>
            <w:r>
              <w:rPr>
                <w:rFonts w:ascii="Arial" w:hAnsi="Arial" w:cs="Arial" w:eastAsia="Arial" w:hint="default"/>
                <w:position w:val="1"/>
                <w:sz w:val="20"/>
                <w:szCs w:val="20"/>
              </w:rPr>
            </w:r>
            <w:r>
              <w:rPr>
                <w:rFonts w:ascii="Arial" w:hAnsi="Arial" w:cs="Arial" w:eastAsia="Arial" w:hint="default"/>
                <w:position w:val="1"/>
                <w:sz w:val="20"/>
                <w:szCs w:val="20"/>
                <w:u w:val="single" w:color="000000"/>
              </w:rPr>
              <w:t> </w:t>
              <w:tab/>
              <w:t>875,070</w:t>
            </w:r>
            <w:r>
              <w:rPr>
                <w:rFonts w:ascii="Arial" w:hAnsi="Arial" w:cs="Arial" w:eastAsia="Arial" w:hint="default"/>
                <w:sz w:val="20"/>
                <w:szCs w:val="20"/>
              </w:rPr>
            </w:r>
          </w:p>
        </w:tc>
        <w:tc>
          <w:tcPr>
            <w:tcW w:w="1296" w:type="dxa"/>
            <w:tcBorders>
              <w:top w:val="nil" w:sz="6" w:space="0" w:color="auto"/>
              <w:left w:val="nil" w:sz="6" w:space="0" w:color="auto"/>
              <w:bottom w:val="nil" w:sz="6" w:space="0" w:color="auto"/>
              <w:right w:val="nil" w:sz="6" w:space="0" w:color="auto"/>
            </w:tcBorders>
          </w:tcPr>
          <w:p>
            <w:pPr>
              <w:pStyle w:val="TableParagraph"/>
              <w:tabs>
                <w:tab w:pos="440" w:val="left" w:leader="none"/>
              </w:tabs>
              <w:spacing w:line="240" w:lineRule="auto" w:before="31"/>
              <w:ind w:left="141"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758,036</w:t>
            </w:r>
            <w:r>
              <w:rPr>
                <w:rFonts w:ascii="Arial"/>
                <w:sz w:val="20"/>
              </w:rPr>
            </w:r>
          </w:p>
        </w:tc>
      </w:tr>
      <w:tr>
        <w:trPr>
          <w:trHeight w:val="467"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818"/>
              <w:jc w:val="right"/>
              <w:rPr>
                <w:rFonts w:ascii="Arial" w:hAnsi="Arial" w:cs="Arial" w:eastAsia="Arial" w:hint="default"/>
                <w:sz w:val="20"/>
                <w:szCs w:val="20"/>
              </w:rPr>
            </w:pPr>
            <w:r>
              <w:rPr>
                <w:rFonts w:ascii="Arial"/>
                <w:w w:val="100"/>
                <w:sz w:val="20"/>
              </w:rPr>
            </w:r>
            <w:r>
              <w:rPr>
                <w:rFonts w:ascii="Arial"/>
                <w:spacing w:val="-1"/>
                <w:sz w:val="20"/>
                <w:u w:val="thick" w:color="000000"/>
              </w:rPr>
              <w:t>63,249,718</w:t>
            </w:r>
            <w:r>
              <w:rPr>
                <w:rFonts w:ascii="Arial"/>
                <w:spacing w:val="-1"/>
                <w:sz w:val="20"/>
              </w:rPr>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62" w:right="0"/>
              <w:jc w:val="left"/>
              <w:rPr>
                <w:rFonts w:ascii="Arial" w:hAnsi="Arial" w:cs="Arial" w:eastAsia="Arial" w:hint="default"/>
                <w:sz w:val="20"/>
                <w:szCs w:val="20"/>
              </w:rPr>
            </w:pPr>
            <w:r>
              <w:rPr>
                <w:rFonts w:ascii="Arial"/>
                <w:w w:val="100"/>
                <w:sz w:val="20"/>
              </w:rPr>
            </w:r>
            <w:r>
              <w:rPr>
                <w:rFonts w:ascii="Arial"/>
                <w:sz w:val="20"/>
                <w:u w:val="thick" w:color="000000"/>
              </w:rPr>
              <w:t>48,024,159</w:t>
            </w:r>
            <w:r>
              <w:rPr>
                <w:rFonts w:ascii="Arial"/>
                <w:sz w:val="20"/>
              </w:rPr>
            </w:r>
          </w:p>
        </w:tc>
      </w:tr>
      <w:tr>
        <w:trPr>
          <w:trHeight w:val="624" w:hRule="exact"/>
        </w:trPr>
        <w:tc>
          <w:tcPr>
            <w:tcW w:w="5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6"/>
                <w:szCs w:val="16"/>
              </w:rPr>
            </w:pPr>
          </w:p>
          <w:p>
            <w:pPr>
              <w:pStyle w:val="TableParagraph"/>
              <w:spacing w:line="240" w:lineRule="auto"/>
              <w:ind w:left="35" w:right="0"/>
              <w:jc w:val="left"/>
              <w:rPr>
                <w:rFonts w:ascii="Arial" w:hAnsi="Arial" w:cs="Arial" w:eastAsia="Arial" w:hint="default"/>
                <w:sz w:val="20"/>
                <w:szCs w:val="20"/>
              </w:rPr>
            </w:pPr>
            <w:r>
              <w:rPr>
                <w:rFonts w:ascii="Arial"/>
                <w:b/>
                <w:sz w:val="20"/>
              </w:rPr>
              <w:t>34.</w:t>
            </w:r>
            <w:r>
              <w:rPr>
                <w:rFonts w:ascii="Arial"/>
                <w:sz w:val="20"/>
              </w:rPr>
            </w:r>
          </w:p>
        </w:tc>
        <w:tc>
          <w:tcPr>
            <w:tcW w:w="6761"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67" w:right="0"/>
              <w:jc w:val="left"/>
              <w:rPr>
                <w:rFonts w:ascii="黑体" w:hAnsi="黑体" w:cs="黑体" w:eastAsia="黑体" w:hint="default"/>
                <w:sz w:val="20"/>
                <w:szCs w:val="20"/>
              </w:rPr>
            </w:pPr>
            <w:r>
              <w:rPr>
                <w:rFonts w:ascii="黑体" w:hAnsi="黑体" w:cs="黑体" w:eastAsia="黑体" w:hint="default"/>
                <w:b/>
                <w:bCs/>
                <w:sz w:val="20"/>
                <w:szCs w:val="20"/>
              </w:rPr>
              <w:t>管理费用</w:t>
            </w:r>
            <w:r>
              <w:rPr>
                <w:rFonts w:ascii="黑体" w:hAnsi="黑体" w:cs="黑体" w:eastAsia="黑体" w:hint="default"/>
                <w:sz w:val="20"/>
                <w:szCs w:val="20"/>
              </w:rPr>
            </w:r>
          </w:p>
        </w:tc>
        <w:tc>
          <w:tcPr>
            <w:tcW w:w="1296" w:type="dxa"/>
            <w:tcBorders>
              <w:top w:val="nil" w:sz="6" w:space="0" w:color="auto"/>
              <w:left w:val="nil" w:sz="6" w:space="0" w:color="auto"/>
              <w:bottom w:val="nil" w:sz="6" w:space="0" w:color="auto"/>
              <w:right w:val="nil" w:sz="6" w:space="0" w:color="auto"/>
            </w:tcBorders>
          </w:tcPr>
          <w:p>
            <w:pPr/>
          </w:p>
        </w:tc>
      </w:tr>
      <w:tr>
        <w:trPr>
          <w:trHeight w:val="618"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161" w:right="0"/>
              <w:jc w:val="left"/>
              <w:rPr>
                <w:rFonts w:ascii="Arial" w:hAnsi="Arial" w:cs="Arial" w:eastAsia="Arial" w:hint="default"/>
                <w:sz w:val="20"/>
                <w:szCs w:val="20"/>
              </w:rPr>
            </w:pPr>
            <w:r>
              <w:rPr>
                <w:rFonts w:ascii="黑体" w:hAnsi="黑体" w:cs="黑体" w:eastAsia="黑体" w:hint="default"/>
                <w:sz w:val="20"/>
                <w:szCs w:val="20"/>
              </w:rPr>
              <w:t>于</w:t>
            </w:r>
            <w:r>
              <w:rPr>
                <w:rFonts w:ascii="Arial" w:hAnsi="Arial" w:cs="Arial" w:eastAsia="Arial" w:hint="default"/>
                <w:sz w:val="20"/>
                <w:szCs w:val="20"/>
              </w:rPr>
              <w:t>2009</w:t>
            </w:r>
            <w:r>
              <w:rPr>
                <w:rFonts w:ascii="黑体" w:hAnsi="黑体" w:cs="黑体" w:eastAsia="黑体" w:hint="default"/>
                <w:sz w:val="20"/>
                <w:szCs w:val="20"/>
              </w:rPr>
              <w:t>及</w:t>
            </w:r>
            <w:r>
              <w:rPr>
                <w:rFonts w:ascii="Arial" w:hAnsi="Arial" w:cs="Arial" w:eastAsia="Arial" w:hint="default"/>
                <w:sz w:val="20"/>
                <w:szCs w:val="20"/>
              </w:rPr>
              <w:t>2008</w:t>
            </w:r>
            <w:r>
              <w:rPr>
                <w:rFonts w:ascii="黑体" w:hAnsi="黑体" w:cs="黑体" w:eastAsia="黑体" w:hint="default"/>
                <w:sz w:val="20"/>
                <w:szCs w:val="20"/>
              </w:rPr>
              <w:t>年度，本集团发生的研究及开发费用计入管理费用列示如下</w:t>
            </w:r>
            <w:r>
              <w:rPr>
                <w:rFonts w:ascii="Arial" w:hAnsi="Arial" w:cs="Arial" w:eastAsia="Arial" w:hint="default"/>
                <w:sz w:val="20"/>
                <w:szCs w:val="20"/>
              </w:rPr>
              <w:t>:</w:t>
            </w:r>
          </w:p>
        </w:tc>
        <w:tc>
          <w:tcPr>
            <w:tcW w:w="1296" w:type="dxa"/>
            <w:tcBorders>
              <w:top w:val="nil" w:sz="6" w:space="0" w:color="auto"/>
              <w:left w:val="nil" w:sz="6" w:space="0" w:color="auto"/>
              <w:bottom w:val="nil" w:sz="6" w:space="0" w:color="auto"/>
              <w:right w:val="nil" w:sz="6" w:space="0" w:color="auto"/>
            </w:tcBorders>
          </w:tcPr>
          <w:p>
            <w:pPr/>
          </w:p>
        </w:tc>
      </w:tr>
      <w:tr>
        <w:trPr>
          <w:trHeight w:val="581"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820"/>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128"/>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424"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tabs>
                <w:tab w:pos="4827" w:val="left" w:leader="none"/>
              </w:tabs>
              <w:spacing w:line="240" w:lineRule="auto" w:before="105"/>
              <w:ind w:left="184" w:right="0"/>
              <w:jc w:val="left"/>
              <w:rPr>
                <w:rFonts w:ascii="Arial" w:hAnsi="Arial" w:cs="Arial" w:eastAsia="Arial" w:hint="default"/>
                <w:sz w:val="20"/>
                <w:szCs w:val="20"/>
              </w:rPr>
            </w:pPr>
            <w:r>
              <w:rPr>
                <w:rFonts w:ascii="黑体" w:hAnsi="黑体" w:cs="黑体" w:eastAsia="黑体" w:hint="default"/>
                <w:spacing w:val="-1"/>
                <w:sz w:val="20"/>
                <w:szCs w:val="20"/>
              </w:rPr>
              <w:t>研究及开发费用</w:t>
              <w:tab/>
            </w:r>
            <w:r>
              <w:rPr>
                <w:rFonts w:ascii="Arial" w:hAnsi="Arial" w:cs="Arial" w:eastAsia="Arial" w:hint="default"/>
                <w:spacing w:val="-1"/>
                <w:position w:val="1"/>
                <w:sz w:val="20"/>
                <w:szCs w:val="20"/>
              </w:rPr>
            </w:r>
            <w:r>
              <w:rPr>
                <w:rFonts w:ascii="Arial" w:hAnsi="Arial" w:cs="Arial" w:eastAsia="Arial" w:hint="default"/>
                <w:spacing w:val="-1"/>
                <w:position w:val="1"/>
                <w:sz w:val="20"/>
                <w:szCs w:val="20"/>
                <w:u w:val="thick" w:color="000000"/>
              </w:rPr>
              <w:t>289,036,944</w:t>
            </w:r>
            <w:r>
              <w:rPr>
                <w:rFonts w:ascii="Arial" w:hAnsi="Arial" w:cs="Arial" w:eastAsia="Arial" w:hint="default"/>
                <w:spacing w:val="-1"/>
                <w:sz w:val="20"/>
                <w:szCs w:val="20"/>
              </w:rPr>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52" w:right="0"/>
              <w:jc w:val="left"/>
              <w:rPr>
                <w:rFonts w:ascii="Arial" w:hAnsi="Arial" w:cs="Arial" w:eastAsia="Arial" w:hint="default"/>
                <w:sz w:val="20"/>
                <w:szCs w:val="20"/>
              </w:rPr>
            </w:pPr>
            <w:r>
              <w:rPr>
                <w:rFonts w:ascii="Arial"/>
                <w:w w:val="100"/>
                <w:sz w:val="20"/>
              </w:rPr>
            </w:r>
            <w:r>
              <w:rPr>
                <w:rFonts w:ascii="Arial"/>
                <w:sz w:val="20"/>
                <w:u w:val="thick" w:color="000000"/>
              </w:rPr>
              <w:t>239,901,923</w:t>
            </w:r>
            <w:r>
              <w:rPr>
                <w:rFonts w:ascii="Arial"/>
                <w:sz w:val="20"/>
              </w:rPr>
            </w:r>
          </w:p>
        </w:tc>
      </w:tr>
      <w:tr>
        <w:trPr>
          <w:trHeight w:val="468"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tabs>
                <w:tab w:pos="5538" w:val="left" w:leader="none"/>
              </w:tabs>
              <w:spacing w:line="260" w:lineRule="exact"/>
              <w:ind w:left="184" w:right="0"/>
              <w:jc w:val="left"/>
              <w:rPr>
                <w:rFonts w:ascii="Arial" w:hAnsi="Arial" w:cs="Arial" w:eastAsia="Arial" w:hint="default"/>
                <w:sz w:val="20"/>
                <w:szCs w:val="20"/>
              </w:rPr>
            </w:pPr>
            <w:r>
              <w:rPr>
                <w:rFonts w:ascii="黑体" w:hAnsi="黑体" w:cs="黑体" w:eastAsia="黑体" w:hint="default"/>
                <w:spacing w:val="-1"/>
                <w:sz w:val="20"/>
                <w:szCs w:val="20"/>
              </w:rPr>
              <w:t>研究及开发费用占本集团主营业务收入的比例</w:t>
              <w:tab/>
            </w:r>
            <w:r>
              <w:rPr>
                <w:rFonts w:ascii="Arial" w:hAnsi="Arial" w:cs="Arial" w:eastAsia="Arial" w:hint="default"/>
                <w:position w:val="1"/>
                <w:sz w:val="20"/>
                <w:szCs w:val="20"/>
              </w:rPr>
              <w:t>12%</w:t>
            </w:r>
            <w:r>
              <w:rPr>
                <w:rFonts w:ascii="Arial" w:hAnsi="Arial" w:cs="Arial" w:eastAsia="Arial" w:hint="default"/>
                <w:sz w:val="20"/>
                <w:szCs w:val="20"/>
              </w:rPr>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28"/>
              <w:jc w:val="right"/>
              <w:rPr>
                <w:rFonts w:ascii="Arial" w:hAnsi="Arial" w:cs="Arial" w:eastAsia="Arial" w:hint="default"/>
                <w:sz w:val="20"/>
                <w:szCs w:val="20"/>
              </w:rPr>
            </w:pPr>
            <w:r>
              <w:rPr>
                <w:rFonts w:ascii="Arial"/>
                <w:sz w:val="20"/>
              </w:rPr>
              <w:t>14%</w:t>
            </w:r>
          </w:p>
        </w:tc>
      </w:tr>
      <w:tr>
        <w:trPr>
          <w:trHeight w:val="628" w:hRule="exact"/>
        </w:trPr>
        <w:tc>
          <w:tcPr>
            <w:tcW w:w="5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6"/>
                <w:szCs w:val="16"/>
              </w:rPr>
            </w:pPr>
          </w:p>
          <w:p>
            <w:pPr>
              <w:pStyle w:val="TableParagraph"/>
              <w:spacing w:line="240" w:lineRule="auto"/>
              <w:ind w:left="35" w:right="0"/>
              <w:jc w:val="left"/>
              <w:rPr>
                <w:rFonts w:ascii="Arial" w:hAnsi="Arial" w:cs="Arial" w:eastAsia="Arial" w:hint="default"/>
                <w:sz w:val="20"/>
                <w:szCs w:val="20"/>
              </w:rPr>
            </w:pPr>
            <w:r>
              <w:rPr>
                <w:rFonts w:ascii="Arial"/>
                <w:b/>
                <w:sz w:val="20"/>
              </w:rPr>
              <w:t>35.</w:t>
            </w:r>
            <w:r>
              <w:rPr>
                <w:rFonts w:ascii="Arial"/>
                <w:sz w:val="20"/>
              </w:rPr>
            </w:r>
          </w:p>
        </w:tc>
        <w:tc>
          <w:tcPr>
            <w:tcW w:w="6761"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67" w:right="0"/>
              <w:jc w:val="left"/>
              <w:rPr>
                <w:rFonts w:ascii="黑体" w:hAnsi="黑体" w:cs="黑体" w:eastAsia="黑体" w:hint="default"/>
                <w:sz w:val="20"/>
                <w:szCs w:val="20"/>
              </w:rPr>
            </w:pPr>
            <w:r>
              <w:rPr>
                <w:rFonts w:ascii="黑体" w:hAnsi="黑体" w:cs="黑体" w:eastAsia="黑体" w:hint="default"/>
                <w:b/>
                <w:bCs/>
                <w:sz w:val="20"/>
                <w:szCs w:val="20"/>
              </w:rPr>
              <w:t>财务费用</w:t>
            </w:r>
            <w:r>
              <w:rPr>
                <w:rFonts w:ascii="黑体" w:hAnsi="黑体" w:cs="黑体" w:eastAsia="黑体" w:hint="default"/>
                <w:sz w:val="20"/>
                <w:szCs w:val="20"/>
              </w:rPr>
            </w:r>
          </w:p>
        </w:tc>
        <w:tc>
          <w:tcPr>
            <w:tcW w:w="1296" w:type="dxa"/>
            <w:tcBorders>
              <w:top w:val="nil" w:sz="6" w:space="0" w:color="auto"/>
              <w:left w:val="nil" w:sz="6" w:space="0" w:color="auto"/>
              <w:bottom w:val="nil" w:sz="6" w:space="0" w:color="auto"/>
              <w:right w:val="nil" w:sz="6" w:space="0" w:color="auto"/>
            </w:tcBorders>
          </w:tcPr>
          <w:p>
            <w:pPr/>
          </w:p>
        </w:tc>
      </w:tr>
      <w:tr>
        <w:trPr>
          <w:trHeight w:val="583"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817"/>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31"/>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423"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tabs>
                <w:tab w:pos="4872" w:val="left" w:leader="none"/>
              </w:tabs>
              <w:spacing w:line="240" w:lineRule="auto" w:before="104"/>
              <w:ind w:left="184" w:right="0"/>
              <w:jc w:val="left"/>
              <w:rPr>
                <w:rFonts w:ascii="Arial" w:hAnsi="Arial" w:cs="Arial" w:eastAsia="Arial" w:hint="default"/>
                <w:sz w:val="20"/>
                <w:szCs w:val="20"/>
              </w:rPr>
            </w:pPr>
            <w:r>
              <w:rPr>
                <w:rFonts w:ascii="黑体" w:hAnsi="黑体" w:cs="黑体" w:eastAsia="黑体" w:hint="default"/>
                <w:sz w:val="20"/>
                <w:szCs w:val="20"/>
              </w:rPr>
              <w:t>利息收入</w:t>
              <w:tab/>
            </w:r>
            <w:r>
              <w:rPr>
                <w:rFonts w:ascii="Arial" w:hAnsi="Arial" w:cs="Arial" w:eastAsia="Arial" w:hint="default"/>
                <w:position w:val="1"/>
                <w:sz w:val="20"/>
                <w:szCs w:val="20"/>
              </w:rPr>
              <w:t>(11,834,010</w:t>
            </w:r>
            <w:r>
              <w:rPr>
                <w:rFonts w:ascii="Arial" w:hAnsi="Arial" w:cs="Arial" w:eastAsia="Arial" w:hint="default"/>
                <w:spacing w:val="-26"/>
                <w:position w:val="1"/>
                <w:sz w:val="20"/>
                <w:szCs w:val="20"/>
              </w:rPr>
              <w:t> </w:t>
            </w:r>
            <w:r>
              <w:rPr>
                <w:rFonts w:ascii="Arial" w:hAnsi="Arial" w:cs="Arial" w:eastAsia="Arial" w:hint="default"/>
                <w:position w:val="1"/>
                <w:sz w:val="20"/>
                <w:szCs w:val="20"/>
              </w:rPr>
              <w:t>)</w:t>
            </w:r>
            <w:r>
              <w:rPr>
                <w:rFonts w:ascii="Arial" w:hAnsi="Arial" w:cs="Arial" w:eastAsia="Arial" w:hint="default"/>
                <w:sz w:val="20"/>
                <w:szCs w:val="20"/>
              </w:rPr>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33"/>
              <w:jc w:val="right"/>
              <w:rPr>
                <w:rFonts w:ascii="Arial" w:hAnsi="Arial" w:cs="Arial" w:eastAsia="Arial" w:hint="default"/>
                <w:sz w:val="20"/>
                <w:szCs w:val="20"/>
              </w:rPr>
            </w:pPr>
            <w:r>
              <w:rPr>
                <w:rFonts w:ascii="Arial"/>
                <w:sz w:val="20"/>
              </w:rPr>
              <w:t>(10,681,618</w:t>
            </w:r>
            <w:r>
              <w:rPr>
                <w:rFonts w:ascii="Arial"/>
                <w:spacing w:val="-26"/>
                <w:sz w:val="20"/>
              </w:rPr>
              <w:t> </w:t>
            </w:r>
            <w:r>
              <w:rPr>
                <w:rFonts w:ascii="Arial"/>
                <w:sz w:val="20"/>
              </w:rPr>
              <w:t>)</w:t>
            </w:r>
          </w:p>
        </w:tc>
      </w:tr>
      <w:tr>
        <w:trPr>
          <w:trHeight w:val="312"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tabs>
                <w:tab w:pos="5217" w:val="left" w:leader="none"/>
              </w:tabs>
              <w:spacing w:line="260" w:lineRule="exact"/>
              <w:ind w:left="184" w:right="0"/>
              <w:jc w:val="left"/>
              <w:rPr>
                <w:rFonts w:ascii="Arial" w:hAnsi="Arial" w:cs="Arial" w:eastAsia="Arial" w:hint="default"/>
                <w:sz w:val="20"/>
                <w:szCs w:val="20"/>
              </w:rPr>
            </w:pPr>
            <w:r>
              <w:rPr>
                <w:rFonts w:ascii="黑体" w:hAnsi="黑体" w:cs="黑体" w:eastAsia="黑体" w:hint="default"/>
                <w:sz w:val="20"/>
                <w:szCs w:val="20"/>
              </w:rPr>
              <w:t>汇兑损益</w:t>
              <w:tab/>
            </w:r>
            <w:r>
              <w:rPr>
                <w:rFonts w:ascii="Arial" w:hAnsi="Arial" w:cs="Arial" w:eastAsia="Arial" w:hint="default"/>
                <w:position w:val="1"/>
                <w:sz w:val="20"/>
                <w:szCs w:val="20"/>
              </w:rPr>
              <w:t>183,210</w:t>
            </w:r>
            <w:r>
              <w:rPr>
                <w:rFonts w:ascii="Arial" w:hAnsi="Arial" w:cs="Arial" w:eastAsia="Arial" w:hint="default"/>
                <w:sz w:val="20"/>
                <w:szCs w:val="20"/>
              </w:rPr>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272" w:right="0"/>
              <w:jc w:val="left"/>
              <w:rPr>
                <w:rFonts w:ascii="Arial" w:hAnsi="Arial" w:cs="Arial" w:eastAsia="Arial" w:hint="default"/>
                <w:sz w:val="20"/>
                <w:szCs w:val="20"/>
              </w:rPr>
            </w:pPr>
            <w:r>
              <w:rPr>
                <w:rFonts w:ascii="Arial"/>
                <w:sz w:val="20"/>
              </w:rPr>
              <w:t>1,452,325</w:t>
            </w:r>
          </w:p>
        </w:tc>
      </w:tr>
      <w:tr>
        <w:trPr>
          <w:trHeight w:val="313"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tabs>
                <w:tab w:pos="4916" w:val="left" w:leader="none"/>
                <w:tab w:pos="5216" w:val="left" w:leader="none"/>
              </w:tabs>
              <w:spacing w:line="260" w:lineRule="exact"/>
              <w:ind w:left="184" w:right="0"/>
              <w:jc w:val="left"/>
              <w:rPr>
                <w:rFonts w:ascii="Arial" w:hAnsi="Arial" w:cs="Arial" w:eastAsia="Arial" w:hint="default"/>
                <w:sz w:val="20"/>
                <w:szCs w:val="20"/>
              </w:rPr>
            </w:pPr>
            <w:r>
              <w:rPr>
                <w:rFonts w:ascii="黑体" w:hAnsi="黑体" w:cs="黑体" w:eastAsia="黑体" w:hint="default"/>
                <w:sz w:val="20"/>
                <w:szCs w:val="20"/>
              </w:rPr>
              <w:t>其他</w:t>
              <w:tab/>
            </w:r>
            <w:r>
              <w:rPr>
                <w:rFonts w:ascii="Arial" w:hAnsi="Arial" w:cs="Arial" w:eastAsia="Arial" w:hint="default"/>
                <w:position w:val="1"/>
                <w:sz w:val="20"/>
                <w:szCs w:val="20"/>
              </w:rPr>
            </w:r>
            <w:r>
              <w:rPr>
                <w:rFonts w:ascii="Arial" w:hAnsi="Arial" w:cs="Arial" w:eastAsia="Arial" w:hint="default"/>
                <w:position w:val="1"/>
                <w:sz w:val="20"/>
                <w:szCs w:val="20"/>
                <w:u w:val="single" w:color="000000"/>
              </w:rPr>
              <w:t> </w:t>
              <w:tab/>
              <w:t>785,197</w:t>
            </w:r>
            <w:r>
              <w:rPr>
                <w:rFonts w:ascii="Arial" w:hAnsi="Arial" w:cs="Arial" w:eastAsia="Arial" w:hint="default"/>
                <w:sz w:val="20"/>
                <w:szCs w:val="20"/>
              </w:rPr>
            </w:r>
          </w:p>
        </w:tc>
        <w:tc>
          <w:tcPr>
            <w:tcW w:w="1296" w:type="dxa"/>
            <w:tcBorders>
              <w:top w:val="nil" w:sz="6" w:space="0" w:color="auto"/>
              <w:left w:val="nil" w:sz="6" w:space="0" w:color="auto"/>
              <w:bottom w:val="nil" w:sz="6" w:space="0" w:color="auto"/>
              <w:right w:val="nil" w:sz="6" w:space="0" w:color="auto"/>
            </w:tcBorders>
          </w:tcPr>
          <w:p>
            <w:pPr>
              <w:pStyle w:val="TableParagraph"/>
              <w:tabs>
                <w:tab w:pos="437" w:val="left" w:leader="none"/>
              </w:tabs>
              <w:spacing w:line="240" w:lineRule="auto" w:before="31"/>
              <w:ind w:left="178"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944,339</w:t>
            </w:r>
            <w:r>
              <w:rPr>
                <w:rFonts w:ascii="Arial"/>
                <w:sz w:val="20"/>
              </w:rPr>
            </w:r>
          </w:p>
        </w:tc>
      </w:tr>
      <w:tr>
        <w:trPr>
          <w:trHeight w:val="461"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720"/>
              <w:jc w:val="right"/>
              <w:rPr>
                <w:rFonts w:ascii="Arial" w:hAnsi="Arial" w:cs="Arial" w:eastAsia="Arial" w:hint="default"/>
                <w:sz w:val="20"/>
                <w:szCs w:val="20"/>
              </w:rPr>
            </w:pPr>
            <w:r>
              <w:rPr>
                <w:rFonts w:ascii="Arial"/>
                <w:sz w:val="20"/>
              </w:rPr>
              <w:t>(</w:t>
            </w:r>
            <w:r>
              <w:rPr>
                <w:rFonts w:ascii="Arial"/>
                <w:sz w:val="20"/>
                <w:u w:val="thick" w:color="000000"/>
              </w:rPr>
              <w:t>10,865,603</w:t>
            </w:r>
            <w:r>
              <w:rPr>
                <w:rFonts w:ascii="Arial"/>
                <w:spacing w:val="-26"/>
                <w:sz w:val="20"/>
                <w:u w:val="thick" w:color="000000"/>
              </w:rPr>
              <w:t> </w:t>
            </w:r>
            <w:r>
              <w:rPr>
                <w:rFonts w:ascii="Arial"/>
                <w:spacing w:val="-26"/>
                <w:sz w:val="20"/>
              </w:rPr>
            </w:r>
            <w:r>
              <w:rPr>
                <w:rFonts w:ascii="Arial"/>
                <w:sz w:val="20"/>
              </w:rPr>
              <w:t>)</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33"/>
              <w:jc w:val="right"/>
              <w:rPr>
                <w:rFonts w:ascii="Arial" w:hAnsi="Arial" w:cs="Arial" w:eastAsia="Arial" w:hint="default"/>
                <w:sz w:val="20"/>
                <w:szCs w:val="20"/>
              </w:rPr>
            </w:pPr>
            <w:r>
              <w:rPr>
                <w:rFonts w:ascii="Arial"/>
                <w:sz w:val="20"/>
              </w:rPr>
              <w:t>( </w:t>
            </w:r>
            <w:r>
              <w:rPr>
                <w:rFonts w:ascii="Arial"/>
                <w:sz w:val="20"/>
                <w:u w:val="thick" w:color="000000"/>
              </w:rPr>
              <w:t> 8,284,954</w:t>
            </w:r>
            <w:r>
              <w:rPr>
                <w:rFonts w:ascii="Arial"/>
                <w:spacing w:val="1"/>
                <w:sz w:val="20"/>
                <w:u w:val="thick" w:color="000000"/>
              </w:rPr>
              <w:t> </w:t>
            </w:r>
            <w:r>
              <w:rPr>
                <w:rFonts w:ascii="Arial"/>
                <w:spacing w:val="1"/>
                <w:sz w:val="20"/>
              </w:rPr>
            </w:r>
            <w:r>
              <w:rPr>
                <w:rFonts w:ascii="Arial"/>
                <w:sz w:val="20"/>
              </w:rPr>
              <w:t>)</w:t>
            </w:r>
          </w:p>
        </w:tc>
      </w:tr>
      <w:tr>
        <w:trPr>
          <w:trHeight w:val="622" w:hRule="exact"/>
        </w:trPr>
        <w:tc>
          <w:tcPr>
            <w:tcW w:w="5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35" w:right="0"/>
              <w:jc w:val="left"/>
              <w:rPr>
                <w:rFonts w:ascii="Arial" w:hAnsi="Arial" w:cs="Arial" w:eastAsia="Arial" w:hint="default"/>
                <w:sz w:val="20"/>
                <w:szCs w:val="20"/>
              </w:rPr>
            </w:pPr>
            <w:r>
              <w:rPr>
                <w:rFonts w:ascii="Arial"/>
                <w:b/>
                <w:sz w:val="20"/>
              </w:rPr>
              <w:t>36.</w:t>
            </w:r>
            <w:r>
              <w:rPr>
                <w:rFonts w:ascii="Arial"/>
                <w:sz w:val="20"/>
              </w:rPr>
            </w:r>
          </w:p>
        </w:tc>
        <w:tc>
          <w:tcPr>
            <w:tcW w:w="6761"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156" w:right="0"/>
              <w:jc w:val="left"/>
              <w:rPr>
                <w:rFonts w:ascii="黑体" w:hAnsi="黑体" w:cs="黑体" w:eastAsia="黑体" w:hint="default"/>
                <w:sz w:val="20"/>
                <w:szCs w:val="20"/>
              </w:rPr>
            </w:pPr>
            <w:r>
              <w:rPr>
                <w:rFonts w:ascii="黑体" w:hAnsi="黑体" w:cs="黑体" w:eastAsia="黑体" w:hint="default"/>
                <w:b/>
                <w:bCs/>
                <w:sz w:val="20"/>
                <w:szCs w:val="20"/>
              </w:rPr>
              <w:t>资产减值损失</w:t>
            </w:r>
            <w:r>
              <w:rPr>
                <w:rFonts w:ascii="黑体" w:hAnsi="黑体" w:cs="黑体" w:eastAsia="黑体" w:hint="default"/>
                <w:sz w:val="20"/>
                <w:szCs w:val="20"/>
              </w:rPr>
            </w:r>
          </w:p>
        </w:tc>
        <w:tc>
          <w:tcPr>
            <w:tcW w:w="1296" w:type="dxa"/>
            <w:tcBorders>
              <w:top w:val="nil" w:sz="6" w:space="0" w:color="auto"/>
              <w:left w:val="nil" w:sz="6" w:space="0" w:color="auto"/>
              <w:bottom w:val="nil" w:sz="6" w:space="0" w:color="auto"/>
              <w:right w:val="nil" w:sz="6" w:space="0" w:color="auto"/>
            </w:tcBorders>
          </w:tcPr>
          <w:p>
            <w:pPr/>
          </w:p>
        </w:tc>
      </w:tr>
      <w:tr>
        <w:trPr>
          <w:trHeight w:val="624"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660"/>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12"/>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1445" w:hRule="exact"/>
        </w:trPr>
        <w:tc>
          <w:tcPr>
            <w:tcW w:w="588" w:type="dxa"/>
            <w:tcBorders>
              <w:top w:val="nil" w:sz="6" w:space="0" w:color="auto"/>
              <w:left w:val="nil" w:sz="6" w:space="0" w:color="auto"/>
              <w:bottom w:val="nil" w:sz="6" w:space="0" w:color="auto"/>
              <w:right w:val="nil" w:sz="6" w:space="0" w:color="auto"/>
            </w:tcBorders>
          </w:tcPr>
          <w:p>
            <w:pPr/>
          </w:p>
        </w:tc>
        <w:tc>
          <w:tcPr>
            <w:tcW w:w="6761" w:type="dxa"/>
            <w:tcBorders>
              <w:top w:val="nil" w:sz="6" w:space="0" w:color="auto"/>
              <w:left w:val="nil" w:sz="6" w:space="0" w:color="auto"/>
              <w:bottom w:val="nil" w:sz="6" w:space="0" w:color="auto"/>
              <w:right w:val="nil" w:sz="6" w:space="0" w:color="auto"/>
            </w:tcBorders>
          </w:tcPr>
          <w:p>
            <w:pPr>
              <w:pStyle w:val="TableParagraph"/>
              <w:tabs>
                <w:tab w:pos="5207" w:val="left" w:leader="none"/>
              </w:tabs>
              <w:spacing w:line="240" w:lineRule="auto" w:before="146"/>
              <w:ind w:left="166" w:right="0"/>
              <w:jc w:val="left"/>
              <w:rPr>
                <w:rFonts w:ascii="Arial" w:hAnsi="Arial" w:cs="Arial" w:eastAsia="Arial" w:hint="default"/>
                <w:sz w:val="20"/>
                <w:szCs w:val="20"/>
              </w:rPr>
            </w:pPr>
            <w:r>
              <w:rPr>
                <w:rFonts w:ascii="黑体" w:hAnsi="黑体" w:cs="黑体" w:eastAsia="黑体" w:hint="default"/>
                <w:sz w:val="20"/>
                <w:szCs w:val="20"/>
              </w:rPr>
              <w:t>坏账损失</w:t>
              <w:tab/>
            </w:r>
            <w:r>
              <w:rPr>
                <w:rFonts w:ascii="Arial" w:hAnsi="Arial" w:cs="Arial" w:eastAsia="Arial" w:hint="default"/>
                <w:position w:val="1"/>
                <w:sz w:val="20"/>
                <w:szCs w:val="20"/>
              </w:rPr>
              <w:t>4,816,108</w:t>
            </w:r>
            <w:r>
              <w:rPr>
                <w:rFonts w:ascii="Arial" w:hAnsi="Arial" w:cs="Arial" w:eastAsia="Arial" w:hint="default"/>
                <w:sz w:val="20"/>
                <w:szCs w:val="20"/>
              </w:rPr>
            </w:r>
          </w:p>
          <w:p>
            <w:pPr>
              <w:pStyle w:val="TableParagraph"/>
              <w:tabs>
                <w:tab w:pos="5374" w:val="left" w:leader="none"/>
              </w:tabs>
              <w:spacing w:line="240" w:lineRule="auto" w:before="46"/>
              <w:ind w:left="166" w:right="0"/>
              <w:jc w:val="left"/>
              <w:rPr>
                <w:rFonts w:ascii="Arial" w:hAnsi="Arial" w:cs="Arial" w:eastAsia="Arial" w:hint="default"/>
                <w:sz w:val="20"/>
                <w:szCs w:val="20"/>
              </w:rPr>
            </w:pPr>
            <w:r>
              <w:rPr>
                <w:rFonts w:ascii="黑体" w:hAnsi="黑体" w:cs="黑体" w:eastAsia="黑体" w:hint="default"/>
                <w:spacing w:val="-1"/>
                <w:sz w:val="20"/>
                <w:szCs w:val="20"/>
              </w:rPr>
              <w:t>长期股权投资减值损失</w:t>
              <w:tab/>
            </w:r>
            <w:r>
              <w:rPr>
                <w:rFonts w:ascii="Arial" w:hAnsi="Arial" w:cs="Arial" w:eastAsia="Arial" w:hint="default"/>
                <w:spacing w:val="-1"/>
                <w:position w:val="1"/>
                <w:sz w:val="20"/>
                <w:szCs w:val="20"/>
              </w:rPr>
              <w:t>818,586</w:t>
            </w:r>
            <w:r>
              <w:rPr>
                <w:rFonts w:ascii="Arial" w:hAnsi="Arial" w:cs="Arial" w:eastAsia="Arial" w:hint="default"/>
                <w:spacing w:val="-1"/>
                <w:sz w:val="20"/>
                <w:szCs w:val="20"/>
              </w:rPr>
            </w:r>
          </w:p>
          <w:p>
            <w:pPr>
              <w:pStyle w:val="TableParagraph"/>
              <w:tabs>
                <w:tab w:pos="5207" w:val="left" w:leader="none"/>
              </w:tabs>
              <w:spacing w:line="240" w:lineRule="auto" w:before="46"/>
              <w:ind w:left="166" w:right="0"/>
              <w:jc w:val="left"/>
              <w:rPr>
                <w:rFonts w:ascii="Arial" w:hAnsi="Arial" w:cs="Arial" w:eastAsia="Arial" w:hint="default"/>
                <w:sz w:val="20"/>
                <w:szCs w:val="20"/>
              </w:rPr>
            </w:pPr>
            <w:r>
              <w:rPr>
                <w:rFonts w:ascii="黑体" w:hAnsi="黑体" w:cs="黑体" w:eastAsia="黑体" w:hint="default"/>
                <w:spacing w:val="-1"/>
                <w:sz w:val="20"/>
                <w:szCs w:val="20"/>
              </w:rPr>
              <w:t>无形资产减值损失</w:t>
              <w:tab/>
            </w:r>
            <w:r>
              <w:rPr>
                <w:rFonts w:ascii="Arial" w:hAnsi="Arial" w:cs="Arial" w:eastAsia="Arial" w:hint="default"/>
                <w:spacing w:val="-1"/>
                <w:position w:val="1"/>
                <w:sz w:val="20"/>
                <w:szCs w:val="20"/>
              </w:rPr>
            </w:r>
            <w:r>
              <w:rPr>
                <w:rFonts w:ascii="Arial" w:hAnsi="Arial" w:cs="Arial" w:eastAsia="Arial" w:hint="default"/>
                <w:spacing w:val="-1"/>
                <w:position w:val="1"/>
                <w:sz w:val="20"/>
                <w:szCs w:val="20"/>
                <w:u w:val="single" w:color="000000"/>
              </w:rPr>
              <w:t>3,600,000</w:t>
            </w:r>
            <w:r>
              <w:rPr>
                <w:rFonts w:ascii="Arial" w:hAnsi="Arial" w:cs="Arial" w:eastAsia="Arial" w:hint="default"/>
                <w:spacing w:val="-1"/>
                <w:sz w:val="20"/>
                <w:szCs w:val="20"/>
              </w:rPr>
            </w:r>
          </w:p>
          <w:p>
            <w:pPr>
              <w:pStyle w:val="TableParagraph"/>
              <w:spacing w:line="240" w:lineRule="auto" w:before="83"/>
              <w:ind w:right="660"/>
              <w:jc w:val="right"/>
              <w:rPr>
                <w:rFonts w:ascii="Arial" w:hAnsi="Arial" w:cs="Arial" w:eastAsia="Arial" w:hint="default"/>
                <w:sz w:val="20"/>
                <w:szCs w:val="20"/>
              </w:rPr>
            </w:pPr>
            <w:r>
              <w:rPr>
                <w:rFonts w:ascii="Arial"/>
                <w:w w:val="100"/>
                <w:sz w:val="20"/>
              </w:rPr>
            </w:r>
            <w:r>
              <w:rPr>
                <w:rFonts w:ascii="Arial"/>
                <w:spacing w:val="-1"/>
                <w:sz w:val="20"/>
                <w:u w:val="thick" w:color="000000"/>
              </w:rPr>
              <w:t>9,234,694</w:t>
            </w:r>
            <w:r>
              <w:rPr>
                <w:rFonts w:ascii="Arial"/>
                <w:spacing w:val="-1"/>
                <w:sz w:val="20"/>
              </w:rPr>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111"/>
              <w:jc w:val="right"/>
              <w:rPr>
                <w:rFonts w:ascii="Arial" w:hAnsi="Arial" w:cs="Arial" w:eastAsia="Arial" w:hint="default"/>
                <w:sz w:val="20"/>
                <w:szCs w:val="20"/>
              </w:rPr>
            </w:pPr>
            <w:r>
              <w:rPr>
                <w:rFonts w:ascii="Arial"/>
                <w:spacing w:val="-1"/>
                <w:sz w:val="20"/>
              </w:rPr>
              <w:t>7,003,092</w:t>
            </w:r>
          </w:p>
          <w:p>
            <w:pPr>
              <w:pStyle w:val="TableParagraph"/>
              <w:spacing w:line="240" w:lineRule="auto" w:before="82"/>
              <w:ind w:right="112"/>
              <w:jc w:val="right"/>
              <w:rPr>
                <w:rFonts w:ascii="Arial" w:hAnsi="Arial" w:cs="Arial" w:eastAsia="Arial" w:hint="default"/>
                <w:sz w:val="20"/>
                <w:szCs w:val="20"/>
              </w:rPr>
            </w:pPr>
            <w:r>
              <w:rPr>
                <w:rFonts w:ascii="Arial"/>
                <w:w w:val="100"/>
                <w:sz w:val="20"/>
              </w:rPr>
              <w:t>-</w:t>
            </w:r>
          </w:p>
          <w:p>
            <w:pPr>
              <w:pStyle w:val="TableParagraph"/>
              <w:tabs>
                <w:tab w:pos="1114" w:val="left" w:leader="none"/>
              </w:tabs>
              <w:spacing w:line="326" w:lineRule="auto" w:before="82"/>
              <w:ind w:left="291" w:right="112" w:firstLine="2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w w:val="100"/>
                <w:sz w:val="20"/>
              </w:rPr>
            </w:r>
            <w:r>
              <w:rPr>
                <w:rFonts w:ascii="Arial"/>
                <w:w w:val="100"/>
                <w:sz w:val="20"/>
              </w:rPr>
              <w:t> </w:t>
            </w:r>
            <w:r>
              <w:rPr>
                <w:rFonts w:ascii="Arial"/>
                <w:w w:val="100"/>
                <w:sz w:val="20"/>
              </w:rPr>
            </w:r>
            <w:r>
              <w:rPr>
                <w:rFonts w:ascii="Arial"/>
                <w:spacing w:val="-1"/>
                <w:sz w:val="20"/>
                <w:u w:val="thick" w:color="000000"/>
              </w:rPr>
              <w:t>7,003,092</w:t>
            </w:r>
            <w:r>
              <w:rPr>
                <w:rFonts w:ascii="Arial"/>
                <w:spacing w:val="-1"/>
                <w:sz w:val="20"/>
              </w:rPr>
            </w:r>
          </w:p>
        </w:tc>
      </w:tr>
    </w:tbl>
    <w:p>
      <w:pPr>
        <w:spacing w:after="0" w:line="326" w:lineRule="auto"/>
        <w:jc w:val="right"/>
        <w:rPr>
          <w:rFonts w:ascii="Arial" w:hAnsi="Arial" w:cs="Arial" w:eastAsia="Arial" w:hint="default"/>
          <w:sz w:val="20"/>
          <w:szCs w:val="20"/>
        </w:rPr>
        <w:sectPr>
          <w:footerReference w:type="default" r:id="rId68"/>
          <w:pgSz w:w="11910" w:h="16840"/>
          <w:pgMar w:footer="476" w:header="828" w:top="2420" w:bottom="660" w:left="1560" w:right="1480"/>
          <w:pgNumType w:start="101"/>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5"/>
          <w:szCs w:val="15"/>
        </w:rPr>
      </w:pPr>
    </w:p>
    <w:p>
      <w:pPr>
        <w:tabs>
          <w:tab w:pos="843" w:val="left" w:leader="none"/>
        </w:tabs>
        <w:spacing w:before="38"/>
        <w:ind w:left="141" w:right="3538"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7"/>
        <w:rPr>
          <w:rFonts w:ascii="黑体" w:hAnsi="黑体" w:cs="黑体" w:eastAsia="黑体" w:hint="default"/>
          <w:b/>
          <w:bCs/>
          <w:sz w:val="19"/>
          <w:szCs w:val="19"/>
        </w:rPr>
      </w:pPr>
    </w:p>
    <w:p>
      <w:pPr>
        <w:tabs>
          <w:tab w:pos="865" w:val="left" w:leader="none"/>
        </w:tabs>
        <w:spacing w:before="0"/>
        <w:ind w:left="141" w:right="3538" w:firstLine="0"/>
        <w:jc w:val="left"/>
        <w:rPr>
          <w:rFonts w:ascii="Arial" w:hAnsi="Arial" w:cs="Arial" w:eastAsia="Arial" w:hint="default"/>
          <w:sz w:val="20"/>
          <w:szCs w:val="20"/>
        </w:rPr>
      </w:pPr>
      <w:r>
        <w:rPr>
          <w:rFonts w:ascii="Arial" w:hAnsi="Arial" w:cs="Arial" w:eastAsia="Arial" w:hint="default"/>
          <w:b/>
          <w:bCs/>
          <w:sz w:val="20"/>
          <w:szCs w:val="20"/>
        </w:rPr>
        <w:t>37</w:t>
      </w:r>
      <w:r>
        <w:rPr>
          <w:rFonts w:ascii="黑体" w:hAnsi="黑体" w:cs="黑体" w:eastAsia="黑体" w:hint="default"/>
          <w:b/>
          <w:bCs/>
          <w:sz w:val="20"/>
          <w:szCs w:val="20"/>
        </w:rPr>
        <w:t>．</w:t>
        <w:tab/>
        <w:t>公允价值变动收益</w:t>
      </w:r>
      <w:r>
        <w:rPr>
          <w:rFonts w:ascii="Arial" w:hAnsi="Arial" w:cs="Arial" w:eastAsia="Arial" w:hint="default"/>
          <w:b/>
          <w:bCs/>
          <w:sz w:val="20"/>
          <w:szCs w:val="20"/>
        </w:rPr>
        <w:t>/(</w:t>
      </w:r>
      <w:r>
        <w:rPr>
          <w:rFonts w:ascii="黑体" w:hAnsi="黑体" w:cs="黑体" w:eastAsia="黑体" w:hint="default"/>
          <w:b/>
          <w:bCs/>
          <w:sz w:val="20"/>
          <w:szCs w:val="20"/>
        </w:rPr>
        <w:t>损失</w:t>
      </w:r>
      <w:r>
        <w:rPr>
          <w:rFonts w:ascii="Arial" w:hAnsi="Arial" w:cs="Arial" w:eastAsia="Arial" w:hint="default"/>
          <w:b/>
          <w:bCs/>
          <w:sz w:val="20"/>
          <w:szCs w:val="20"/>
        </w:rPr>
        <w:t>)</w:t>
      </w:r>
      <w:r>
        <w:rPr>
          <w:rFonts w:ascii="Arial" w:hAnsi="Arial" w:cs="Arial" w:eastAsia="Arial" w:hint="default"/>
          <w:sz w:val="20"/>
          <w:szCs w:val="20"/>
        </w:rPr>
      </w:r>
    </w:p>
    <w:p>
      <w:pPr>
        <w:spacing w:line="240" w:lineRule="auto" w:before="8"/>
        <w:rPr>
          <w:rFonts w:ascii="Arial" w:hAnsi="Arial" w:cs="Arial" w:eastAsia="Arial" w:hint="default"/>
          <w:b/>
          <w:bCs/>
          <w:sz w:val="15"/>
          <w:szCs w:val="15"/>
        </w:rPr>
      </w:pPr>
    </w:p>
    <w:p>
      <w:pPr>
        <w:pStyle w:val="BodyText"/>
        <w:tabs>
          <w:tab w:pos="1843" w:val="left" w:leader="none"/>
        </w:tabs>
        <w:spacing w:line="240" w:lineRule="auto" w:before="38"/>
        <w:ind w:left="0" w:right="197"/>
        <w:jc w:val="right"/>
      </w:pPr>
      <w:r>
        <w:rPr>
          <w:rFonts w:ascii="Arial" w:hAnsi="Arial" w:cs="Arial" w:eastAsia="Arial" w:hint="default"/>
          <w:spacing w:val="-1"/>
        </w:rPr>
        <w:t>2009</w:t>
      </w:r>
      <w:r>
        <w:rPr>
          <w:spacing w:val="-1"/>
        </w:rPr>
        <w:t>年</w:t>
        <w:tab/>
      </w:r>
      <w:r>
        <w:rPr>
          <w:rFonts w:ascii="Arial" w:hAnsi="Arial" w:cs="Arial" w:eastAsia="Arial" w:hint="default"/>
          <w:spacing w:val="-1"/>
        </w:rPr>
        <w:t>2008</w:t>
      </w:r>
      <w:r>
        <w:rPr>
          <w:spacing w:val="-1"/>
        </w:rPr>
        <w:t>年</w:t>
      </w:r>
    </w:p>
    <w:p>
      <w:pPr>
        <w:spacing w:line="240" w:lineRule="auto" w:before="8"/>
        <w:rPr>
          <w:rFonts w:ascii="黑体" w:hAnsi="黑体" w:cs="黑体" w:eastAsia="黑体" w:hint="default"/>
          <w:sz w:val="26"/>
          <w:szCs w:val="26"/>
        </w:rPr>
      </w:pPr>
    </w:p>
    <w:p>
      <w:pPr>
        <w:pStyle w:val="BodyText"/>
        <w:tabs>
          <w:tab w:pos="5799" w:val="left" w:leader="none"/>
          <w:tab w:pos="7576" w:val="left" w:leader="none"/>
        </w:tabs>
        <w:spacing w:line="240" w:lineRule="auto"/>
        <w:ind w:left="847" w:right="0"/>
        <w:jc w:val="left"/>
        <w:rPr>
          <w:rFonts w:ascii="Arial" w:hAnsi="Arial" w:cs="Arial" w:eastAsia="Arial" w:hint="default"/>
        </w:rPr>
      </w:pPr>
      <w:r>
        <w:rPr>
          <w:spacing w:val="-1"/>
        </w:rPr>
        <w:t>交易性金融资产</w:t>
        <w:tab/>
      </w:r>
      <w:r>
        <w:rPr>
          <w:rFonts w:ascii="Arial" w:hAnsi="Arial" w:cs="Arial" w:eastAsia="Arial" w:hint="default"/>
          <w:spacing w:val="-1"/>
          <w:position w:val="1"/>
        </w:rPr>
      </w:r>
      <w:r>
        <w:rPr>
          <w:rFonts w:ascii="Arial" w:hAnsi="Arial" w:cs="Arial" w:eastAsia="Arial" w:hint="default"/>
          <w:spacing w:val="-1"/>
          <w:position w:val="1"/>
          <w:u w:val="thick" w:color="000000"/>
        </w:rPr>
        <w:t>49,129,953</w:t>
      </w:r>
      <w:r>
        <w:rPr>
          <w:rFonts w:ascii="Arial" w:hAnsi="Arial" w:cs="Arial" w:eastAsia="Arial" w:hint="default"/>
          <w:spacing w:val="-1"/>
          <w:position w:val="1"/>
        </w:rPr>
        <w:tab/>
      </w:r>
      <w:r>
        <w:rPr>
          <w:rFonts w:ascii="Arial" w:hAnsi="Arial" w:cs="Arial" w:eastAsia="Arial" w:hint="default"/>
          <w:spacing w:val="1"/>
          <w:position w:val="1"/>
        </w:rPr>
        <w:t>(</w:t>
      </w:r>
      <w:r>
        <w:rPr>
          <w:rFonts w:ascii="Arial" w:hAnsi="Arial" w:cs="Arial" w:eastAsia="Arial" w:hint="default"/>
          <w:spacing w:val="1"/>
          <w:position w:val="1"/>
          <w:u w:val="thick" w:color="000000"/>
        </w:rPr>
        <w:t>76,497,547</w:t>
      </w:r>
      <w:r>
        <w:rPr>
          <w:rFonts w:ascii="Arial" w:hAnsi="Arial" w:cs="Arial" w:eastAsia="Arial" w:hint="default"/>
          <w:spacing w:val="1"/>
          <w:position w:val="1"/>
        </w:rPr>
        <w:t>)</w:t>
      </w:r>
      <w:r>
        <w:rPr>
          <w:rFonts w:ascii="Arial" w:hAnsi="Arial" w:cs="Arial" w:eastAsia="Arial" w:hint="default"/>
          <w:spacing w:val="1"/>
        </w:rPr>
      </w:r>
    </w:p>
    <w:p>
      <w:pPr>
        <w:spacing w:line="240" w:lineRule="auto" w:before="4"/>
        <w:rPr>
          <w:rFonts w:ascii="Arial" w:hAnsi="Arial" w:cs="Arial" w:eastAsia="Arial" w:hint="default"/>
          <w:sz w:val="19"/>
          <w:szCs w:val="19"/>
        </w:rPr>
      </w:pPr>
    </w:p>
    <w:p>
      <w:pPr>
        <w:pStyle w:val="BodyText"/>
        <w:spacing w:line="261" w:lineRule="auto"/>
        <w:ind w:left="855" w:right="0" w:hanging="1"/>
        <w:jc w:val="left"/>
      </w:pPr>
      <w:r>
        <w:rPr>
          <w:spacing w:val="-2"/>
        </w:rPr>
        <w:t>因本集团于</w:t>
      </w:r>
      <w:r>
        <w:rPr>
          <w:rFonts w:ascii="Arial" w:hAnsi="Arial" w:cs="Arial" w:eastAsia="Arial" w:hint="default"/>
          <w:spacing w:val="-2"/>
        </w:rPr>
        <w:t>2009</w:t>
      </w:r>
      <w:r>
        <w:rPr>
          <w:spacing w:val="-2"/>
        </w:rPr>
        <w:t>年将所持有的交易性金融资产全部处置，故于以前年度计提的与其相关的</w:t>
      </w:r>
      <w:r>
        <w:rPr>
          <w:spacing w:val="-83"/>
        </w:rPr>
        <w:t> </w:t>
      </w:r>
      <w:r>
        <w:rPr>
          <w:spacing w:val="-83"/>
        </w:rPr>
      </w:r>
      <w:r>
        <w:rPr/>
        <w:t>公允价值变动损失于本年度收回投资时转回为收益。</w:t>
      </w:r>
    </w:p>
    <w:p>
      <w:pPr>
        <w:spacing w:line="240" w:lineRule="auto" w:before="13"/>
        <w:rPr>
          <w:rFonts w:ascii="黑体" w:hAnsi="黑体" w:cs="黑体" w:eastAsia="黑体" w:hint="default"/>
          <w:sz w:val="22"/>
          <w:szCs w:val="22"/>
        </w:rPr>
      </w:pPr>
    </w:p>
    <w:tbl>
      <w:tblPr>
        <w:tblW w:w="0" w:type="auto"/>
        <w:jc w:val="left"/>
        <w:tblInd w:w="106" w:type="dxa"/>
        <w:tblLayout w:type="fixed"/>
        <w:tblCellMar>
          <w:top w:w="0" w:type="dxa"/>
          <w:left w:w="0" w:type="dxa"/>
          <w:bottom w:w="0" w:type="dxa"/>
          <w:right w:w="0" w:type="dxa"/>
        </w:tblCellMar>
        <w:tblLook w:val="01E0"/>
      </w:tblPr>
      <w:tblGrid>
        <w:gridCol w:w="597"/>
        <w:gridCol w:w="4416"/>
        <w:gridCol w:w="2083"/>
        <w:gridCol w:w="1478"/>
      </w:tblGrid>
      <w:tr>
        <w:trPr>
          <w:trHeight w:val="1141" w:hRule="exact"/>
        </w:trPr>
        <w:tc>
          <w:tcPr>
            <w:tcW w:w="59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Arial" w:hAnsi="Arial" w:cs="Arial" w:eastAsia="Arial" w:hint="default"/>
                <w:b/>
                <w:bCs/>
                <w:sz w:val="20"/>
                <w:szCs w:val="20"/>
              </w:rPr>
              <w:t>38</w:t>
            </w:r>
            <w:r>
              <w:rPr>
                <w:rFonts w:ascii="黑体" w:hAnsi="黑体" w:cs="黑体" w:eastAsia="黑体" w:hint="default"/>
                <w:b/>
                <w:bCs/>
                <w:sz w:val="20"/>
                <w:szCs w:val="20"/>
              </w:rPr>
              <w:t>．</w:t>
            </w:r>
            <w:r>
              <w:rPr>
                <w:rFonts w:ascii="黑体" w:hAnsi="黑体" w:cs="黑体" w:eastAsia="黑体" w:hint="default"/>
                <w:sz w:val="20"/>
                <w:szCs w:val="20"/>
              </w:rPr>
            </w:r>
          </w:p>
        </w:tc>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61" w:right="0"/>
              <w:jc w:val="left"/>
              <w:rPr>
                <w:rFonts w:ascii="黑体" w:hAnsi="黑体" w:cs="黑体" w:eastAsia="黑体" w:hint="default"/>
                <w:sz w:val="20"/>
                <w:szCs w:val="20"/>
              </w:rPr>
            </w:pPr>
            <w:r>
              <w:rPr>
                <w:rFonts w:ascii="黑体" w:hAnsi="黑体" w:cs="黑体" w:eastAsia="黑体" w:hint="default"/>
                <w:b/>
                <w:bCs/>
                <w:sz w:val="20"/>
                <w:szCs w:val="20"/>
              </w:rPr>
              <w:t>投资收益</w:t>
            </w:r>
            <w:r>
              <w:rPr>
                <w:rFonts w:ascii="黑体" w:hAnsi="黑体" w:cs="黑体" w:eastAsia="黑体" w:hint="default"/>
                <w:sz w:val="20"/>
                <w:szCs w:val="20"/>
              </w:rPr>
            </w: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39"/>
              <w:ind w:left="1009"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39"/>
              <w:ind w:right="60"/>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469" w:hRule="exact"/>
        </w:trPr>
        <w:tc>
          <w:tcPr>
            <w:tcW w:w="597" w:type="dxa"/>
            <w:tcBorders>
              <w:top w:val="nil" w:sz="6" w:space="0" w:color="auto"/>
              <w:left w:val="nil" w:sz="6" w:space="0" w:color="auto"/>
              <w:bottom w:val="nil" w:sz="6" w:space="0" w:color="auto"/>
              <w:right w:val="nil" w:sz="6" w:space="0" w:color="auto"/>
            </w:tcBorders>
          </w:tcPr>
          <w:p>
            <w:pPr/>
          </w:p>
        </w:tc>
        <w:tc>
          <w:tcPr>
            <w:tcW w:w="4416"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138" w:right="0"/>
              <w:jc w:val="left"/>
              <w:rPr>
                <w:rFonts w:ascii="Arial" w:hAnsi="Arial" w:cs="Arial" w:eastAsia="Arial" w:hint="default"/>
                <w:sz w:val="20"/>
                <w:szCs w:val="20"/>
              </w:rPr>
            </w:pPr>
            <w:r>
              <w:rPr>
                <w:rFonts w:ascii="黑体" w:hAnsi="黑体" w:cs="黑体" w:eastAsia="黑体" w:hint="default"/>
                <w:sz w:val="20"/>
                <w:szCs w:val="20"/>
              </w:rPr>
              <w:t>权益法核算的长期股权投资收益</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14"/>
                <w:szCs w:val="14"/>
              </w:rPr>
            </w:pPr>
          </w:p>
          <w:p>
            <w:pPr>
              <w:pStyle w:val="TableParagraph"/>
              <w:spacing w:line="240" w:lineRule="auto"/>
              <w:ind w:left="765" w:right="0"/>
              <w:jc w:val="left"/>
              <w:rPr>
                <w:rFonts w:ascii="Arial" w:hAnsi="Arial" w:cs="Arial" w:eastAsia="Arial" w:hint="default"/>
                <w:sz w:val="20"/>
                <w:szCs w:val="20"/>
              </w:rPr>
            </w:pPr>
            <w:r>
              <w:rPr>
                <w:rFonts w:ascii="Arial"/>
                <w:sz w:val="20"/>
              </w:rPr>
              <w:t>6,950,828</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14"/>
                <w:szCs w:val="14"/>
              </w:rPr>
            </w:pPr>
          </w:p>
          <w:p>
            <w:pPr>
              <w:pStyle w:val="TableParagraph"/>
              <w:spacing w:line="240" w:lineRule="auto"/>
              <w:ind w:right="60"/>
              <w:jc w:val="right"/>
              <w:rPr>
                <w:rFonts w:ascii="Arial" w:hAnsi="Arial" w:cs="Arial" w:eastAsia="Arial" w:hint="default"/>
                <w:sz w:val="20"/>
                <w:szCs w:val="20"/>
              </w:rPr>
            </w:pPr>
            <w:r>
              <w:rPr>
                <w:rFonts w:ascii="Arial"/>
                <w:spacing w:val="-1"/>
                <w:sz w:val="20"/>
              </w:rPr>
              <w:t>3,625,057</w:t>
            </w:r>
          </w:p>
        </w:tc>
      </w:tr>
      <w:tr>
        <w:trPr>
          <w:trHeight w:val="312" w:hRule="exact"/>
        </w:trPr>
        <w:tc>
          <w:tcPr>
            <w:tcW w:w="597" w:type="dxa"/>
            <w:tcBorders>
              <w:top w:val="nil" w:sz="6" w:space="0" w:color="auto"/>
              <w:left w:val="nil" w:sz="6" w:space="0" w:color="auto"/>
              <w:bottom w:val="nil" w:sz="6" w:space="0" w:color="auto"/>
              <w:right w:val="nil" w:sz="6" w:space="0" w:color="auto"/>
            </w:tcBorders>
          </w:tcPr>
          <w:p>
            <w:pPr/>
          </w:p>
        </w:tc>
        <w:tc>
          <w:tcPr>
            <w:tcW w:w="4416" w:type="dxa"/>
            <w:tcBorders>
              <w:top w:val="nil" w:sz="6" w:space="0" w:color="auto"/>
              <w:left w:val="nil" w:sz="6" w:space="0" w:color="auto"/>
              <w:bottom w:val="nil" w:sz="6" w:space="0" w:color="auto"/>
              <w:right w:val="nil" w:sz="6" w:space="0" w:color="auto"/>
            </w:tcBorders>
          </w:tcPr>
          <w:p>
            <w:pPr>
              <w:pStyle w:val="TableParagraph"/>
              <w:spacing w:line="265" w:lineRule="exact"/>
              <w:ind w:left="138" w:right="0"/>
              <w:jc w:val="left"/>
              <w:rPr>
                <w:rFonts w:ascii="Arial" w:hAnsi="Arial" w:cs="Arial" w:eastAsia="Arial" w:hint="default"/>
                <w:sz w:val="20"/>
                <w:szCs w:val="20"/>
              </w:rPr>
            </w:pPr>
            <w:r>
              <w:rPr>
                <w:rFonts w:ascii="黑体" w:hAnsi="黑体" w:cs="黑体" w:eastAsia="黑体" w:hint="default"/>
                <w:sz w:val="20"/>
                <w:szCs w:val="20"/>
              </w:rPr>
              <w:t>处置长期股权投资产生的投资收益</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2)</w:t>
            </w: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65" w:right="0"/>
              <w:jc w:val="left"/>
              <w:rPr>
                <w:rFonts w:ascii="Arial" w:hAnsi="Arial" w:cs="Arial" w:eastAsia="Arial" w:hint="default"/>
                <w:sz w:val="20"/>
                <w:szCs w:val="20"/>
              </w:rPr>
            </w:pPr>
            <w:r>
              <w:rPr>
                <w:rFonts w:ascii="Arial"/>
                <w:sz w:val="20"/>
              </w:rPr>
              <w:t>6,234,809</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60"/>
              <w:jc w:val="right"/>
              <w:rPr>
                <w:rFonts w:ascii="Arial" w:hAnsi="Arial" w:cs="Arial" w:eastAsia="Arial" w:hint="default"/>
                <w:sz w:val="20"/>
                <w:szCs w:val="20"/>
              </w:rPr>
            </w:pPr>
            <w:r>
              <w:rPr>
                <w:rFonts w:ascii="Arial"/>
                <w:spacing w:val="-1"/>
                <w:sz w:val="20"/>
              </w:rPr>
              <w:t>3,371,319</w:t>
            </w:r>
          </w:p>
        </w:tc>
      </w:tr>
      <w:tr>
        <w:trPr>
          <w:trHeight w:val="312" w:hRule="exact"/>
        </w:trPr>
        <w:tc>
          <w:tcPr>
            <w:tcW w:w="597" w:type="dxa"/>
            <w:tcBorders>
              <w:top w:val="nil" w:sz="6" w:space="0" w:color="auto"/>
              <w:left w:val="nil" w:sz="6" w:space="0" w:color="auto"/>
              <w:bottom w:val="nil" w:sz="6" w:space="0" w:color="auto"/>
              <w:right w:val="nil" w:sz="6" w:space="0" w:color="auto"/>
            </w:tcBorders>
          </w:tcPr>
          <w:p>
            <w:pPr/>
          </w:p>
        </w:tc>
        <w:tc>
          <w:tcPr>
            <w:tcW w:w="4416" w:type="dxa"/>
            <w:tcBorders>
              <w:top w:val="nil" w:sz="6" w:space="0" w:color="auto"/>
              <w:left w:val="nil" w:sz="6" w:space="0" w:color="auto"/>
              <w:bottom w:val="nil" w:sz="6" w:space="0" w:color="auto"/>
              <w:right w:val="nil" w:sz="6" w:space="0" w:color="auto"/>
            </w:tcBorders>
          </w:tcPr>
          <w:p>
            <w:pPr>
              <w:pStyle w:val="TableParagraph"/>
              <w:spacing w:line="265" w:lineRule="exact"/>
              <w:ind w:left="138" w:right="0"/>
              <w:jc w:val="left"/>
              <w:rPr>
                <w:rFonts w:ascii="Arial" w:hAnsi="Arial" w:cs="Arial" w:eastAsia="Arial" w:hint="default"/>
                <w:sz w:val="20"/>
                <w:szCs w:val="20"/>
              </w:rPr>
            </w:pPr>
            <w:r>
              <w:rPr>
                <w:rFonts w:ascii="黑体" w:hAnsi="黑体" w:cs="黑体" w:eastAsia="黑体" w:hint="default"/>
                <w:sz w:val="20"/>
                <w:szCs w:val="20"/>
              </w:rPr>
              <w:t>成本法核算的长期股权投资收益</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3)</w:t>
            </w: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31" w:right="0"/>
              <w:jc w:val="left"/>
              <w:rPr>
                <w:rFonts w:ascii="Arial" w:hAnsi="Arial" w:cs="Arial" w:eastAsia="Arial" w:hint="default"/>
                <w:sz w:val="20"/>
                <w:szCs w:val="20"/>
              </w:rPr>
            </w:pPr>
            <w:r>
              <w:rPr>
                <w:rFonts w:ascii="Arial"/>
                <w:sz w:val="20"/>
              </w:rPr>
              <w:t>200,000</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60"/>
              <w:jc w:val="right"/>
              <w:rPr>
                <w:rFonts w:ascii="Arial" w:hAnsi="Arial" w:cs="Arial" w:eastAsia="Arial" w:hint="default"/>
                <w:sz w:val="20"/>
                <w:szCs w:val="20"/>
              </w:rPr>
            </w:pPr>
            <w:r>
              <w:rPr>
                <w:rFonts w:ascii="Arial"/>
                <w:spacing w:val="-1"/>
                <w:sz w:val="20"/>
              </w:rPr>
              <w:t>183,460</w:t>
            </w:r>
          </w:p>
        </w:tc>
      </w:tr>
      <w:tr>
        <w:trPr>
          <w:trHeight w:val="312" w:hRule="exact"/>
        </w:trPr>
        <w:tc>
          <w:tcPr>
            <w:tcW w:w="597" w:type="dxa"/>
            <w:tcBorders>
              <w:top w:val="nil" w:sz="6" w:space="0" w:color="auto"/>
              <w:left w:val="nil" w:sz="6" w:space="0" w:color="auto"/>
              <w:bottom w:val="nil" w:sz="6" w:space="0" w:color="auto"/>
              <w:right w:val="nil" w:sz="6" w:space="0" w:color="auto"/>
            </w:tcBorders>
          </w:tcPr>
          <w:p>
            <w:pPr/>
          </w:p>
        </w:tc>
        <w:tc>
          <w:tcPr>
            <w:tcW w:w="4416" w:type="dxa"/>
            <w:tcBorders>
              <w:top w:val="nil" w:sz="6" w:space="0" w:color="auto"/>
              <w:left w:val="nil" w:sz="6" w:space="0" w:color="auto"/>
              <w:bottom w:val="nil" w:sz="6" w:space="0" w:color="auto"/>
              <w:right w:val="nil" w:sz="6" w:space="0" w:color="auto"/>
            </w:tcBorders>
          </w:tcPr>
          <w:p>
            <w:pPr>
              <w:pStyle w:val="TableParagraph"/>
              <w:spacing w:line="265" w:lineRule="exact"/>
              <w:ind w:left="138" w:right="0"/>
              <w:jc w:val="left"/>
              <w:rPr>
                <w:rFonts w:ascii="Arial" w:hAnsi="Arial" w:cs="Arial" w:eastAsia="Arial" w:hint="default"/>
                <w:sz w:val="20"/>
                <w:szCs w:val="20"/>
              </w:rPr>
            </w:pPr>
            <w:r>
              <w:rPr>
                <w:rFonts w:ascii="黑体" w:hAnsi="黑体" w:cs="黑体" w:eastAsia="黑体" w:hint="default"/>
                <w:sz w:val="20"/>
                <w:szCs w:val="20"/>
              </w:rPr>
              <w:t>处置交易性金融资产取得的投资收益</w:t>
            </w:r>
            <w:r>
              <w:rPr>
                <w:rFonts w:ascii="Arial" w:hAnsi="Arial" w:cs="Arial" w:eastAsia="Arial" w:hint="default"/>
                <w:sz w:val="20"/>
                <w:szCs w:val="20"/>
              </w:rPr>
              <w:t>/(</w:t>
            </w:r>
            <w:r>
              <w:rPr>
                <w:rFonts w:ascii="黑体" w:hAnsi="黑体" w:cs="黑体" w:eastAsia="黑体" w:hint="default"/>
                <w:sz w:val="20"/>
                <w:szCs w:val="20"/>
              </w:rPr>
              <w:t>损失</w:t>
            </w:r>
            <w:r>
              <w:rPr>
                <w:rFonts w:ascii="Arial" w:hAnsi="Arial" w:cs="Arial" w:eastAsia="Arial" w:hint="default"/>
                <w:sz w:val="20"/>
                <w:szCs w:val="20"/>
              </w:rPr>
              <w:t>)</w:t>
            </w: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88" w:right="0"/>
              <w:jc w:val="left"/>
              <w:rPr>
                <w:rFonts w:ascii="Arial" w:hAnsi="Arial" w:cs="Arial" w:eastAsia="Arial" w:hint="default"/>
                <w:sz w:val="20"/>
                <w:szCs w:val="20"/>
              </w:rPr>
            </w:pPr>
            <w:r>
              <w:rPr>
                <w:rFonts w:ascii="Arial"/>
                <w:sz w:val="20"/>
              </w:rPr>
              <w:t>(  36,676,409</w:t>
            </w:r>
            <w:r>
              <w:rPr>
                <w:rFonts w:ascii="Arial"/>
                <w:spacing w:val="-12"/>
                <w:sz w:val="20"/>
              </w:rPr>
              <w:t> </w:t>
            </w:r>
            <w:r>
              <w:rPr>
                <w:rFonts w:ascii="Arial"/>
                <w:position w:val="1"/>
                <w:sz w:val="20"/>
              </w:rPr>
              <w:t>)</w:t>
            </w:r>
            <w:r>
              <w:rPr>
                <w:rFonts w:ascii="Arial"/>
                <w:sz w:val="20"/>
              </w:rPr>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60"/>
              <w:jc w:val="right"/>
              <w:rPr>
                <w:rFonts w:ascii="Arial" w:hAnsi="Arial" w:cs="Arial" w:eastAsia="Arial" w:hint="default"/>
                <w:sz w:val="20"/>
                <w:szCs w:val="20"/>
              </w:rPr>
            </w:pPr>
            <w:r>
              <w:rPr>
                <w:rFonts w:ascii="Arial"/>
                <w:spacing w:val="-1"/>
                <w:sz w:val="20"/>
              </w:rPr>
              <w:t>3,654,314</w:t>
            </w:r>
          </w:p>
        </w:tc>
      </w:tr>
      <w:tr>
        <w:trPr>
          <w:trHeight w:val="469" w:hRule="exact"/>
        </w:trPr>
        <w:tc>
          <w:tcPr>
            <w:tcW w:w="597" w:type="dxa"/>
            <w:tcBorders>
              <w:top w:val="nil" w:sz="6" w:space="0" w:color="auto"/>
              <w:left w:val="nil" w:sz="6" w:space="0" w:color="auto"/>
              <w:bottom w:val="nil" w:sz="6" w:space="0" w:color="auto"/>
              <w:right w:val="nil" w:sz="6" w:space="0" w:color="auto"/>
            </w:tcBorders>
          </w:tcPr>
          <w:p>
            <w:pPr/>
          </w:p>
        </w:tc>
        <w:tc>
          <w:tcPr>
            <w:tcW w:w="4416" w:type="dxa"/>
            <w:tcBorders>
              <w:top w:val="nil" w:sz="6" w:space="0" w:color="auto"/>
              <w:left w:val="nil" w:sz="6" w:space="0" w:color="auto"/>
              <w:bottom w:val="nil" w:sz="6" w:space="0" w:color="auto"/>
              <w:right w:val="nil" w:sz="6" w:space="0" w:color="auto"/>
            </w:tcBorders>
          </w:tcPr>
          <w:p>
            <w:pPr>
              <w:pStyle w:val="TableParagraph"/>
              <w:spacing w:line="251" w:lineRule="exact"/>
              <w:ind w:left="138" w:right="0"/>
              <w:jc w:val="left"/>
              <w:rPr>
                <w:rFonts w:ascii="黑体" w:hAnsi="黑体" w:cs="黑体" w:eastAsia="黑体" w:hint="default"/>
                <w:sz w:val="20"/>
                <w:szCs w:val="20"/>
              </w:rPr>
            </w:pPr>
            <w:r>
              <w:rPr>
                <w:rFonts w:ascii="黑体" w:hAnsi="黑体" w:cs="黑体" w:eastAsia="黑体" w:hint="default"/>
                <w:sz w:val="20"/>
                <w:szCs w:val="20"/>
              </w:rPr>
              <w:t>处置可供出售金融资产取得的投资收益</w:t>
            </w: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43" w:right="0"/>
              <w:jc w:val="left"/>
              <w:rPr>
                <w:rFonts w:ascii="Arial" w:hAnsi="Arial" w:cs="Arial" w:eastAsia="Arial" w:hint="default"/>
                <w:sz w:val="20"/>
                <w:szCs w:val="20"/>
              </w:rPr>
            </w:pPr>
            <w:r>
              <w:rPr>
                <w:rFonts w:ascii="Arial"/>
                <w:w w:val="100"/>
                <w:sz w:val="20"/>
              </w:rPr>
            </w:r>
            <w:r>
              <w:rPr>
                <w:rFonts w:ascii="Arial"/>
                <w:sz w:val="20"/>
                <w:u w:val="single" w:color="000000"/>
              </w:rPr>
              <w:t>267,269,692</w:t>
            </w:r>
            <w:r>
              <w:rPr>
                <w:rFonts w:ascii="Arial"/>
                <w:sz w:val="20"/>
              </w:rPr>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9"/>
              <w:jc w:val="right"/>
              <w:rPr>
                <w:rFonts w:ascii="Arial" w:hAnsi="Arial" w:cs="Arial" w:eastAsia="Arial" w:hint="default"/>
                <w:sz w:val="20"/>
                <w:szCs w:val="20"/>
              </w:rPr>
            </w:pPr>
            <w:r>
              <w:rPr>
                <w:rFonts w:ascii="Arial"/>
                <w:w w:val="100"/>
                <w:sz w:val="20"/>
              </w:rPr>
            </w:r>
            <w:r>
              <w:rPr>
                <w:rFonts w:ascii="Arial"/>
                <w:spacing w:val="-1"/>
                <w:sz w:val="20"/>
                <w:u w:val="single" w:color="000000"/>
              </w:rPr>
              <w:t>189,519,537</w:t>
            </w:r>
            <w:r>
              <w:rPr>
                <w:rFonts w:ascii="Arial"/>
                <w:spacing w:val="-1"/>
                <w:sz w:val="20"/>
              </w:rPr>
            </w:r>
          </w:p>
        </w:tc>
      </w:tr>
      <w:tr>
        <w:trPr>
          <w:trHeight w:val="508" w:hRule="exact"/>
        </w:trPr>
        <w:tc>
          <w:tcPr>
            <w:tcW w:w="597" w:type="dxa"/>
            <w:tcBorders>
              <w:top w:val="nil" w:sz="6" w:space="0" w:color="auto"/>
              <w:left w:val="nil" w:sz="6" w:space="0" w:color="auto"/>
              <w:bottom w:val="nil" w:sz="6" w:space="0" w:color="auto"/>
              <w:right w:val="nil" w:sz="6" w:space="0" w:color="auto"/>
            </w:tcBorders>
          </w:tcPr>
          <w:p>
            <w:pPr/>
          </w:p>
        </w:tc>
        <w:tc>
          <w:tcPr>
            <w:tcW w:w="4416"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3"/>
                <w:szCs w:val="13"/>
              </w:rPr>
            </w:pPr>
          </w:p>
          <w:p>
            <w:pPr>
              <w:pStyle w:val="TableParagraph"/>
              <w:spacing w:line="240" w:lineRule="auto"/>
              <w:ind w:left="568" w:right="0"/>
              <w:jc w:val="left"/>
              <w:rPr>
                <w:rFonts w:ascii="Arial" w:hAnsi="Arial" w:cs="Arial" w:eastAsia="Arial" w:hint="default"/>
                <w:sz w:val="20"/>
                <w:szCs w:val="20"/>
              </w:rPr>
            </w:pPr>
            <w:r>
              <w:rPr>
                <w:rFonts w:ascii="Arial"/>
                <w:w w:val="100"/>
                <w:sz w:val="20"/>
              </w:rPr>
            </w:r>
            <w:r>
              <w:rPr>
                <w:rFonts w:ascii="Arial"/>
                <w:sz w:val="20"/>
                <w:u w:val="thick" w:color="000000"/>
              </w:rPr>
              <w:t>243,978,920</w:t>
            </w:r>
            <w:r>
              <w:rPr>
                <w:rFonts w:ascii="Arial"/>
                <w:sz w:val="20"/>
              </w:rPr>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3"/>
                <w:szCs w:val="13"/>
              </w:rPr>
            </w:pPr>
          </w:p>
          <w:p>
            <w:pPr>
              <w:pStyle w:val="TableParagraph"/>
              <w:spacing w:line="240" w:lineRule="auto"/>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200,353,687</w:t>
            </w:r>
            <w:r>
              <w:rPr>
                <w:rFonts w:ascii="Arial"/>
                <w:spacing w:val="-1"/>
                <w:sz w:val="20"/>
              </w:rPr>
            </w:r>
          </w:p>
        </w:tc>
      </w:tr>
    </w:tbl>
    <w:p>
      <w:pPr>
        <w:spacing w:line="240" w:lineRule="auto" w:before="6"/>
        <w:rPr>
          <w:rFonts w:ascii="黑体" w:hAnsi="黑体" w:cs="黑体" w:eastAsia="黑体" w:hint="default"/>
          <w:sz w:val="16"/>
          <w:szCs w:val="16"/>
        </w:rPr>
      </w:pPr>
    </w:p>
    <w:p>
      <w:pPr>
        <w:pStyle w:val="BodyText"/>
        <w:spacing w:line="261" w:lineRule="auto" w:before="38"/>
        <w:ind w:left="1417" w:right="0" w:hanging="562"/>
        <w:jc w:val="left"/>
      </w:pPr>
      <w:r>
        <w:rPr/>
        <w:t>注</w:t>
      </w:r>
      <w:r>
        <w:rPr>
          <w:rFonts w:ascii="Arial" w:hAnsi="Arial" w:cs="Arial" w:eastAsia="Arial" w:hint="default"/>
        </w:rPr>
        <w:t>1.</w:t>
      </w:r>
      <w:r>
        <w:rPr>
          <w:rFonts w:ascii="Arial" w:hAnsi="Arial" w:cs="Arial" w:eastAsia="Arial" w:hint="default"/>
          <w:spacing w:val="19"/>
        </w:rPr>
        <w:t> </w:t>
      </w:r>
      <w:r>
        <w:rPr/>
        <w:t>权益法核算的长期股权投资收益中，无投资收益占利润总额</w:t>
      </w:r>
      <w:r>
        <w:rPr>
          <w:rFonts w:ascii="Arial" w:hAnsi="Arial" w:cs="Arial" w:eastAsia="Arial" w:hint="default"/>
        </w:rPr>
        <w:t>5%</w:t>
      </w:r>
      <w:r>
        <w:rPr/>
        <w:t>以上的投资单位，具</w:t>
      </w:r>
      <w:r>
        <w:rPr>
          <w:w w:val="100"/>
        </w:rPr>
        <w:t> </w:t>
      </w:r>
      <w:r>
        <w:rPr/>
        <w:t>体被投资单位及所获投资收益明细如下：</w:t>
      </w:r>
    </w:p>
    <w:p>
      <w:pPr>
        <w:spacing w:line="240" w:lineRule="auto" w:before="10"/>
        <w:rPr>
          <w:rFonts w:ascii="黑体" w:hAnsi="黑体" w:cs="黑体" w:eastAsia="黑体" w:hint="default"/>
          <w:sz w:val="16"/>
          <w:szCs w:val="16"/>
        </w:rPr>
      </w:pPr>
    </w:p>
    <w:tbl>
      <w:tblPr>
        <w:tblW w:w="0" w:type="auto"/>
        <w:jc w:val="left"/>
        <w:tblInd w:w="900" w:type="dxa"/>
        <w:tblLayout w:type="fixed"/>
        <w:tblCellMar>
          <w:top w:w="0" w:type="dxa"/>
          <w:left w:w="0" w:type="dxa"/>
          <w:bottom w:w="0" w:type="dxa"/>
          <w:right w:w="0" w:type="dxa"/>
        </w:tblCellMar>
        <w:tblLook w:val="01E0"/>
      </w:tblPr>
      <w:tblGrid>
        <w:gridCol w:w="1687"/>
        <w:gridCol w:w="1775"/>
        <w:gridCol w:w="1426"/>
        <w:gridCol w:w="2171"/>
        <w:gridCol w:w="723"/>
      </w:tblGrid>
      <w:tr>
        <w:trPr>
          <w:trHeight w:val="669" w:hRule="exact"/>
        </w:trPr>
        <w:tc>
          <w:tcPr>
            <w:tcW w:w="1687" w:type="dxa"/>
            <w:tcBorders>
              <w:top w:val="nil" w:sz="6" w:space="0" w:color="auto"/>
              <w:left w:val="nil" w:sz="6" w:space="0" w:color="auto"/>
              <w:bottom w:val="nil" w:sz="6" w:space="0" w:color="auto"/>
              <w:right w:val="nil" w:sz="6" w:space="0" w:color="auto"/>
            </w:tcBorders>
          </w:tcPr>
          <w:p>
            <w:pPr>
              <w:pStyle w:val="TableParagraph"/>
              <w:spacing w:line="285" w:lineRule="auto" w:before="38"/>
              <w:ind w:left="35" w:right="648"/>
              <w:jc w:val="left"/>
              <w:rPr>
                <w:rFonts w:ascii="黑体" w:hAnsi="黑体" w:cs="黑体" w:eastAsia="黑体" w:hint="default"/>
                <w:sz w:val="20"/>
                <w:szCs w:val="20"/>
              </w:rPr>
            </w:pPr>
            <w:r>
              <w:rPr>
                <w:rFonts w:ascii="黑体" w:hAnsi="黑体" w:cs="黑体" w:eastAsia="黑体" w:hint="default"/>
                <w:sz w:val="20"/>
                <w:szCs w:val="20"/>
              </w:rPr>
              <w:t>被投资单位</w:t>
            </w:r>
            <w:r>
              <w:rPr>
                <w:rFonts w:ascii="黑体" w:hAnsi="黑体" w:cs="黑体" w:eastAsia="黑体" w:hint="default"/>
                <w:w w:val="100"/>
                <w:sz w:val="20"/>
                <w:szCs w:val="20"/>
              </w:rPr>
              <w:t> </w:t>
            </w:r>
            <w:r>
              <w:rPr>
                <w:rFonts w:ascii="黑体" w:hAnsi="黑体" w:cs="黑体" w:eastAsia="黑体" w:hint="default"/>
                <w:sz w:val="20"/>
                <w:szCs w:val="20"/>
              </w:rPr>
              <w:t>用友致远</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84"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p>
            <w:pPr>
              <w:pStyle w:val="TableParagraph"/>
              <w:spacing w:line="240" w:lineRule="auto" w:before="73"/>
              <w:ind w:left="539" w:right="0"/>
              <w:jc w:val="left"/>
              <w:rPr>
                <w:rFonts w:ascii="Arial" w:hAnsi="Arial" w:cs="Arial" w:eastAsia="Arial" w:hint="default"/>
                <w:sz w:val="20"/>
                <w:szCs w:val="20"/>
              </w:rPr>
            </w:pPr>
            <w:r>
              <w:rPr>
                <w:rFonts w:ascii="Arial"/>
                <w:sz w:val="20"/>
              </w:rPr>
              <w:t>5,355,003</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21"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p>
            <w:pPr>
              <w:pStyle w:val="TableParagraph"/>
              <w:spacing w:line="240" w:lineRule="auto" w:before="73"/>
              <w:ind w:left="376" w:right="0"/>
              <w:jc w:val="left"/>
              <w:rPr>
                <w:rFonts w:ascii="Arial" w:hAnsi="Arial" w:cs="Arial" w:eastAsia="Arial" w:hint="default"/>
                <w:sz w:val="20"/>
                <w:szCs w:val="20"/>
              </w:rPr>
            </w:pPr>
            <w:r>
              <w:rPr>
                <w:rFonts w:ascii="Arial"/>
                <w:sz w:val="20"/>
              </w:rPr>
              <w:t>3,224,542</w:t>
            </w:r>
          </w:p>
        </w:tc>
        <w:tc>
          <w:tcPr>
            <w:tcW w:w="2171" w:type="dxa"/>
            <w:tcBorders>
              <w:top w:val="nil" w:sz="6" w:space="0" w:color="auto"/>
              <w:left w:val="nil" w:sz="6" w:space="0" w:color="auto"/>
              <w:bottom w:val="nil" w:sz="6" w:space="0" w:color="auto"/>
              <w:right w:val="nil" w:sz="6" w:space="0" w:color="auto"/>
            </w:tcBorders>
          </w:tcPr>
          <w:p>
            <w:pPr>
              <w:pStyle w:val="TableParagraph"/>
              <w:spacing w:line="285" w:lineRule="auto" w:before="38"/>
              <w:ind w:left="91" w:right="74" w:firstLine="801"/>
              <w:jc w:val="left"/>
              <w:rPr>
                <w:rFonts w:ascii="黑体" w:hAnsi="黑体" w:cs="黑体" w:eastAsia="黑体" w:hint="default"/>
                <w:sz w:val="20"/>
                <w:szCs w:val="20"/>
              </w:rPr>
            </w:pPr>
            <w:r>
              <w:rPr>
                <w:rFonts w:ascii="黑体" w:hAnsi="黑体" w:cs="黑体" w:eastAsia="黑体" w:hint="default"/>
                <w:sz w:val="20"/>
                <w:szCs w:val="20"/>
              </w:rPr>
              <w:t>增减变动原因</w:t>
            </w:r>
            <w:r>
              <w:rPr>
                <w:rFonts w:ascii="黑体" w:hAnsi="黑体" w:cs="黑体" w:eastAsia="黑体" w:hint="default"/>
                <w:w w:val="100"/>
                <w:sz w:val="20"/>
                <w:szCs w:val="20"/>
              </w:rPr>
              <w:t> </w:t>
            </w:r>
            <w:r>
              <w:rPr>
                <w:rFonts w:ascii="黑体" w:hAnsi="黑体" w:cs="黑体" w:eastAsia="黑体" w:hint="default"/>
                <w:spacing w:val="-1"/>
                <w:sz w:val="20"/>
                <w:szCs w:val="20"/>
              </w:rPr>
              <w:t>本年度分享之利润增加</w:t>
            </w:r>
          </w:p>
        </w:tc>
        <w:tc>
          <w:tcPr>
            <w:tcW w:w="723" w:type="dxa"/>
            <w:vMerge w:val="restart"/>
            <w:tcBorders>
              <w:top w:val="nil" w:sz="6" w:space="0" w:color="auto"/>
              <w:left w:val="nil" w:sz="6" w:space="0" w:color="auto"/>
              <w:right w:val="nil" w:sz="6" w:space="0" w:color="auto"/>
            </w:tcBorders>
          </w:tcPr>
          <w:p>
            <w:pPr/>
          </w:p>
        </w:tc>
      </w:tr>
      <w:tr>
        <w:trPr>
          <w:trHeight w:val="312" w:hRule="exact"/>
        </w:trPr>
        <w:tc>
          <w:tcPr>
            <w:tcW w:w="1687"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用友商用表单</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539" w:right="0"/>
              <w:jc w:val="left"/>
              <w:rPr>
                <w:rFonts w:ascii="Arial" w:hAnsi="Arial" w:cs="Arial" w:eastAsia="Arial" w:hint="default"/>
                <w:sz w:val="20"/>
                <w:szCs w:val="20"/>
              </w:rPr>
            </w:pPr>
            <w:r>
              <w:rPr>
                <w:rFonts w:ascii="Arial"/>
                <w:sz w:val="20"/>
              </w:rPr>
              <w:t>1,635,677</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217" w:right="0"/>
              <w:jc w:val="center"/>
              <w:rPr>
                <w:rFonts w:ascii="Arial" w:hAnsi="Arial" w:cs="Arial" w:eastAsia="Arial" w:hint="default"/>
                <w:sz w:val="20"/>
                <w:szCs w:val="20"/>
              </w:rPr>
            </w:pPr>
            <w:r>
              <w:rPr>
                <w:rFonts w:ascii="Arial"/>
                <w:sz w:val="20"/>
              </w:rPr>
              <w:t>1,260,025</w:t>
            </w:r>
          </w:p>
        </w:tc>
        <w:tc>
          <w:tcPr>
            <w:tcW w:w="2171" w:type="dxa"/>
            <w:tcBorders>
              <w:top w:val="nil" w:sz="6" w:space="0" w:color="auto"/>
              <w:left w:val="nil" w:sz="6" w:space="0" w:color="auto"/>
              <w:bottom w:val="nil" w:sz="6" w:space="0" w:color="auto"/>
              <w:right w:val="nil" w:sz="6" w:space="0" w:color="auto"/>
            </w:tcBorders>
          </w:tcPr>
          <w:p>
            <w:pPr>
              <w:pStyle w:val="TableParagraph"/>
              <w:spacing w:line="255" w:lineRule="exact"/>
              <w:ind w:right="75"/>
              <w:jc w:val="right"/>
              <w:rPr>
                <w:rFonts w:ascii="黑体" w:hAnsi="黑体" w:cs="黑体" w:eastAsia="黑体" w:hint="default"/>
                <w:sz w:val="20"/>
                <w:szCs w:val="20"/>
              </w:rPr>
            </w:pPr>
            <w:r>
              <w:rPr>
                <w:rFonts w:ascii="黑体" w:hAnsi="黑体" w:cs="黑体" w:eastAsia="黑体" w:hint="default"/>
                <w:spacing w:val="-1"/>
                <w:sz w:val="20"/>
                <w:szCs w:val="20"/>
              </w:rPr>
              <w:t>本年度分享之利润增加</w:t>
            </w:r>
          </w:p>
        </w:tc>
        <w:tc>
          <w:tcPr>
            <w:tcW w:w="723" w:type="dxa"/>
            <w:vMerge/>
            <w:tcBorders>
              <w:left w:val="nil" w:sz="6" w:space="0" w:color="auto"/>
              <w:right w:val="nil" w:sz="6" w:space="0" w:color="auto"/>
            </w:tcBorders>
          </w:tcPr>
          <w:p>
            <w:pPr/>
          </w:p>
        </w:tc>
      </w:tr>
      <w:tr>
        <w:trPr>
          <w:trHeight w:val="312" w:hRule="exact"/>
        </w:trPr>
        <w:tc>
          <w:tcPr>
            <w:tcW w:w="1687"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黑体" w:hAnsi="黑体" w:cs="黑体" w:eastAsia="黑体" w:hint="default"/>
                <w:sz w:val="20"/>
                <w:szCs w:val="20"/>
              </w:rPr>
            </w:pPr>
            <w:r>
              <w:rPr>
                <w:rFonts w:ascii="黑体" w:hAnsi="黑体" w:cs="黑体" w:eastAsia="黑体" w:hint="default"/>
                <w:sz w:val="20"/>
                <w:szCs w:val="20"/>
              </w:rPr>
              <w:t>西玛永泰</w:t>
            </w:r>
          </w:p>
        </w:tc>
        <w:tc>
          <w:tcPr>
            <w:tcW w:w="1775" w:type="dxa"/>
            <w:tcBorders>
              <w:top w:val="nil" w:sz="6" w:space="0" w:color="auto"/>
              <w:left w:val="nil" w:sz="6" w:space="0" w:color="auto"/>
              <w:bottom w:val="nil" w:sz="6" w:space="0" w:color="auto"/>
              <w:right w:val="nil" w:sz="6" w:space="0" w:color="auto"/>
            </w:tcBorders>
          </w:tcPr>
          <w:p>
            <w:pPr>
              <w:pStyle w:val="TableParagraph"/>
              <w:tabs>
                <w:tab w:pos="365" w:val="left" w:leader="none"/>
              </w:tabs>
              <w:spacing w:line="240" w:lineRule="auto" w:before="31"/>
              <w:ind w:right="273"/>
              <w:jc w:val="right"/>
              <w:rPr>
                <w:rFonts w:ascii="Arial" w:hAnsi="Arial" w:cs="Arial" w:eastAsia="Arial" w:hint="default"/>
                <w:sz w:val="20"/>
                <w:szCs w:val="20"/>
              </w:rPr>
            </w:pPr>
            <w:r>
              <w:rPr>
                <w:rFonts w:ascii="Arial"/>
                <w:sz w:val="20"/>
              </w:rPr>
              <w:t>(</w:t>
              <w:tab/>
              <w:t>39,852)</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83" w:right="0"/>
              <w:jc w:val="center"/>
              <w:rPr>
                <w:rFonts w:ascii="Arial" w:hAnsi="Arial" w:cs="Arial" w:eastAsia="Arial" w:hint="default"/>
                <w:sz w:val="20"/>
                <w:szCs w:val="20"/>
              </w:rPr>
            </w:pPr>
            <w:r>
              <w:rPr>
                <w:rFonts w:ascii="Arial"/>
                <w:sz w:val="20"/>
              </w:rPr>
              <w:t>(  </w:t>
            </w:r>
            <w:r>
              <w:rPr>
                <w:rFonts w:ascii="Arial"/>
                <w:spacing w:val="34"/>
                <w:sz w:val="20"/>
              </w:rPr>
              <w:t> </w:t>
            </w:r>
            <w:r>
              <w:rPr>
                <w:rFonts w:ascii="Arial"/>
                <w:sz w:val="20"/>
              </w:rPr>
              <w:t>194,378)</w:t>
            </w:r>
          </w:p>
        </w:tc>
        <w:tc>
          <w:tcPr>
            <w:tcW w:w="2171" w:type="dxa"/>
            <w:tcBorders>
              <w:top w:val="nil" w:sz="6" w:space="0" w:color="auto"/>
              <w:left w:val="nil" w:sz="6" w:space="0" w:color="auto"/>
              <w:bottom w:val="nil" w:sz="6" w:space="0" w:color="auto"/>
              <w:right w:val="nil" w:sz="6" w:space="0" w:color="auto"/>
            </w:tcBorders>
          </w:tcPr>
          <w:p>
            <w:pPr>
              <w:pStyle w:val="TableParagraph"/>
              <w:spacing w:line="255" w:lineRule="exact"/>
              <w:ind w:right="75"/>
              <w:jc w:val="right"/>
              <w:rPr>
                <w:rFonts w:ascii="黑体" w:hAnsi="黑体" w:cs="黑体" w:eastAsia="黑体" w:hint="default"/>
                <w:sz w:val="20"/>
                <w:szCs w:val="20"/>
              </w:rPr>
            </w:pPr>
            <w:r>
              <w:rPr>
                <w:rFonts w:ascii="黑体" w:hAnsi="黑体" w:cs="黑体" w:eastAsia="黑体" w:hint="default"/>
                <w:spacing w:val="-1"/>
                <w:sz w:val="20"/>
                <w:szCs w:val="20"/>
              </w:rPr>
              <w:t>本年度承担之亏损减少</w:t>
            </w:r>
          </w:p>
        </w:tc>
        <w:tc>
          <w:tcPr>
            <w:tcW w:w="723" w:type="dxa"/>
            <w:vMerge/>
            <w:tcBorders>
              <w:left w:val="nil" w:sz="6" w:space="0" w:color="auto"/>
              <w:bottom w:val="nil" w:sz="6" w:space="0" w:color="auto"/>
              <w:right w:val="nil" w:sz="6" w:space="0" w:color="auto"/>
            </w:tcBorders>
          </w:tcPr>
          <w:p>
            <w:pPr/>
          </w:p>
        </w:tc>
      </w:tr>
      <w:tr>
        <w:trPr>
          <w:trHeight w:val="316" w:hRule="exact"/>
        </w:trPr>
        <w:tc>
          <w:tcPr>
            <w:tcW w:w="1687"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用友审计</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43"/>
              <w:jc w:val="right"/>
              <w:rPr>
                <w:rFonts w:ascii="Arial" w:hAnsi="Arial" w:cs="Arial" w:eastAsia="Arial" w:hint="default"/>
                <w:sz w:val="20"/>
                <w:szCs w:val="20"/>
              </w:rPr>
            </w:pPr>
            <w:r>
              <w:rPr>
                <w:rFonts w:ascii="Arial"/>
                <w:w w:val="100"/>
                <w:sz w:val="20"/>
              </w:rPr>
              <w:t>-</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83" w:right="0"/>
              <w:jc w:val="center"/>
              <w:rPr>
                <w:rFonts w:ascii="Arial" w:hAnsi="Arial" w:cs="Arial" w:eastAsia="Arial" w:hint="default"/>
                <w:sz w:val="20"/>
                <w:szCs w:val="20"/>
              </w:rPr>
            </w:pPr>
            <w:r>
              <w:rPr>
                <w:rFonts w:ascii="Arial"/>
                <w:sz w:val="20"/>
              </w:rPr>
              <w:t>(  </w:t>
            </w:r>
            <w:r>
              <w:rPr>
                <w:rFonts w:ascii="Arial"/>
                <w:spacing w:val="34"/>
                <w:sz w:val="20"/>
              </w:rPr>
              <w:t> </w:t>
            </w:r>
            <w:r>
              <w:rPr>
                <w:rFonts w:ascii="Arial"/>
                <w:sz w:val="20"/>
              </w:rPr>
              <w:t>711,387)</w:t>
            </w:r>
          </w:p>
        </w:tc>
        <w:tc>
          <w:tcPr>
            <w:tcW w:w="2171" w:type="dxa"/>
            <w:tcBorders>
              <w:top w:val="nil" w:sz="6" w:space="0" w:color="auto"/>
              <w:left w:val="nil" w:sz="6" w:space="0" w:color="auto"/>
              <w:bottom w:val="nil" w:sz="6" w:space="0" w:color="auto"/>
              <w:right w:val="nil" w:sz="6" w:space="0" w:color="auto"/>
            </w:tcBorders>
          </w:tcPr>
          <w:p>
            <w:pPr>
              <w:pStyle w:val="TableParagraph"/>
              <w:spacing w:line="255" w:lineRule="exact"/>
              <w:ind w:right="75"/>
              <w:jc w:val="right"/>
              <w:rPr>
                <w:rFonts w:ascii="黑体" w:hAnsi="黑体" w:cs="黑体" w:eastAsia="黑体" w:hint="default"/>
                <w:sz w:val="20"/>
                <w:szCs w:val="20"/>
              </w:rPr>
            </w:pPr>
            <w:r>
              <w:rPr>
                <w:rFonts w:ascii="黑体" w:hAnsi="黑体" w:cs="黑体" w:eastAsia="黑体" w:hint="default"/>
                <w:spacing w:val="-1"/>
                <w:sz w:val="20"/>
                <w:szCs w:val="20"/>
              </w:rPr>
              <w:t>本年度变为子公司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70" w:lineRule="exact"/>
              <w:ind w:right="33"/>
              <w:jc w:val="right"/>
              <w:rPr>
                <w:rFonts w:ascii="Arial" w:hAnsi="Arial" w:cs="Arial" w:eastAsia="Arial" w:hint="default"/>
                <w:sz w:val="20"/>
                <w:szCs w:val="20"/>
              </w:rPr>
            </w:pPr>
            <w:r>
              <w:rPr>
                <w:rFonts w:ascii="Arial" w:hAnsi="Arial" w:cs="Arial" w:eastAsia="Arial" w:hint="default"/>
                <w:spacing w:val="-1"/>
                <w:sz w:val="20"/>
                <w:szCs w:val="20"/>
              </w:rPr>
              <w:t>(</w:t>
            </w:r>
            <w:r>
              <w:rPr>
                <w:rFonts w:ascii="黑体" w:hAnsi="黑体" w:cs="黑体" w:eastAsia="黑体" w:hint="default"/>
                <w:spacing w:val="-1"/>
                <w:sz w:val="20"/>
                <w:szCs w:val="20"/>
              </w:rPr>
              <w:t>注</w:t>
            </w:r>
            <w:r>
              <w:rPr>
                <w:rFonts w:ascii="Arial" w:hAnsi="Arial" w:cs="Arial" w:eastAsia="Arial" w:hint="default"/>
                <w:spacing w:val="-1"/>
                <w:sz w:val="20"/>
                <w:szCs w:val="20"/>
              </w:rPr>
              <w:t>1.1)</w:t>
            </w:r>
          </w:p>
        </w:tc>
      </w:tr>
      <w:tr>
        <w:trPr>
          <w:trHeight w:val="312" w:hRule="exact"/>
        </w:trPr>
        <w:tc>
          <w:tcPr>
            <w:tcW w:w="1687" w:type="dxa"/>
            <w:tcBorders>
              <w:top w:val="nil" w:sz="6" w:space="0" w:color="auto"/>
              <w:left w:val="nil" w:sz="6" w:space="0" w:color="auto"/>
              <w:bottom w:val="nil" w:sz="6" w:space="0" w:color="auto"/>
              <w:right w:val="nil" w:sz="6" w:space="0" w:color="auto"/>
            </w:tcBorders>
          </w:tcPr>
          <w:p>
            <w:pPr>
              <w:pStyle w:val="TableParagraph"/>
              <w:spacing w:line="252" w:lineRule="exact"/>
              <w:ind w:left="35" w:right="0"/>
              <w:jc w:val="left"/>
              <w:rPr>
                <w:rFonts w:ascii="黑体" w:hAnsi="黑体" w:cs="黑体" w:eastAsia="黑体" w:hint="default"/>
                <w:sz w:val="20"/>
                <w:szCs w:val="20"/>
              </w:rPr>
            </w:pPr>
            <w:r>
              <w:rPr>
                <w:rFonts w:ascii="黑体" w:hAnsi="黑体" w:cs="黑体" w:eastAsia="黑体" w:hint="default"/>
                <w:sz w:val="20"/>
                <w:szCs w:val="20"/>
              </w:rPr>
              <w:t>上海春元</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43"/>
              <w:jc w:val="right"/>
              <w:rPr>
                <w:rFonts w:ascii="Arial" w:hAnsi="Arial" w:cs="Arial" w:eastAsia="Arial" w:hint="default"/>
                <w:sz w:val="20"/>
                <w:szCs w:val="20"/>
              </w:rPr>
            </w:pPr>
            <w:r>
              <w:rPr>
                <w:rFonts w:ascii="Arial"/>
                <w:w w:val="100"/>
                <w:sz w:val="20"/>
              </w:rPr>
              <w:t>-</w:t>
            </w:r>
          </w:p>
        </w:tc>
        <w:tc>
          <w:tcPr>
            <w:tcW w:w="1426" w:type="dxa"/>
            <w:tcBorders>
              <w:top w:val="nil" w:sz="6" w:space="0" w:color="auto"/>
              <w:left w:val="nil" w:sz="6" w:space="0" w:color="auto"/>
              <w:bottom w:val="nil" w:sz="6" w:space="0" w:color="auto"/>
              <w:right w:val="nil" w:sz="6" w:space="0" w:color="auto"/>
            </w:tcBorders>
          </w:tcPr>
          <w:p>
            <w:pPr>
              <w:pStyle w:val="TableParagraph"/>
              <w:tabs>
                <w:tab w:pos="673" w:val="left" w:leader="none"/>
              </w:tabs>
              <w:spacing w:line="240" w:lineRule="auto" w:before="27"/>
              <w:ind w:left="208" w:right="0"/>
              <w:jc w:val="center"/>
              <w:rPr>
                <w:rFonts w:ascii="Arial" w:hAnsi="Arial" w:cs="Arial" w:eastAsia="Arial" w:hint="default"/>
                <w:sz w:val="20"/>
                <w:szCs w:val="20"/>
              </w:rPr>
            </w:pPr>
            <w:r>
              <w:rPr>
                <w:rFonts w:ascii="Arial"/>
                <w:sz w:val="20"/>
              </w:rPr>
              <w:t>(</w:t>
              <w:tab/>
              <w:t>5,426)</w:t>
            </w:r>
          </w:p>
        </w:tc>
        <w:tc>
          <w:tcPr>
            <w:tcW w:w="2171" w:type="dxa"/>
            <w:tcBorders>
              <w:top w:val="nil" w:sz="6" w:space="0" w:color="auto"/>
              <w:left w:val="nil" w:sz="6" w:space="0" w:color="auto"/>
              <w:bottom w:val="nil" w:sz="6" w:space="0" w:color="auto"/>
              <w:right w:val="nil" w:sz="6" w:space="0" w:color="auto"/>
            </w:tcBorders>
          </w:tcPr>
          <w:p>
            <w:pPr>
              <w:pStyle w:val="TableParagraph"/>
              <w:spacing w:line="252" w:lineRule="exact"/>
              <w:ind w:right="74"/>
              <w:jc w:val="right"/>
              <w:rPr>
                <w:rFonts w:ascii="黑体" w:hAnsi="黑体" w:cs="黑体" w:eastAsia="黑体" w:hint="default"/>
                <w:sz w:val="20"/>
                <w:szCs w:val="20"/>
              </w:rPr>
            </w:pPr>
            <w:r>
              <w:rPr>
                <w:rFonts w:ascii="黑体" w:hAnsi="黑体" w:cs="黑体" w:eastAsia="黑体" w:hint="default"/>
                <w:spacing w:val="-1"/>
                <w:sz w:val="20"/>
                <w:szCs w:val="20"/>
              </w:rPr>
              <w:t>本年度已处置</w:t>
            </w:r>
          </w:p>
        </w:tc>
        <w:tc>
          <w:tcPr>
            <w:tcW w:w="723" w:type="dxa"/>
            <w:tcBorders>
              <w:top w:val="nil" w:sz="6" w:space="0" w:color="auto"/>
              <w:left w:val="nil" w:sz="6" w:space="0" w:color="auto"/>
              <w:bottom w:val="nil" w:sz="6" w:space="0" w:color="auto"/>
              <w:right w:val="nil" w:sz="6" w:space="0" w:color="auto"/>
            </w:tcBorders>
          </w:tcPr>
          <w:p>
            <w:pPr>
              <w:pStyle w:val="TableParagraph"/>
              <w:spacing w:line="266" w:lineRule="exact"/>
              <w:ind w:right="33"/>
              <w:jc w:val="right"/>
              <w:rPr>
                <w:rFonts w:ascii="Arial" w:hAnsi="Arial" w:cs="Arial" w:eastAsia="Arial" w:hint="default"/>
                <w:sz w:val="20"/>
                <w:szCs w:val="20"/>
              </w:rPr>
            </w:pPr>
            <w:r>
              <w:rPr>
                <w:rFonts w:ascii="Arial" w:hAnsi="Arial" w:cs="Arial" w:eastAsia="Arial" w:hint="default"/>
                <w:spacing w:val="-1"/>
                <w:sz w:val="20"/>
                <w:szCs w:val="20"/>
              </w:rPr>
              <w:t>(</w:t>
            </w:r>
            <w:r>
              <w:rPr>
                <w:rFonts w:ascii="黑体" w:hAnsi="黑体" w:cs="黑体" w:eastAsia="黑体" w:hint="default"/>
                <w:spacing w:val="-1"/>
                <w:sz w:val="20"/>
                <w:szCs w:val="20"/>
              </w:rPr>
              <w:t>注</w:t>
            </w:r>
            <w:r>
              <w:rPr>
                <w:rFonts w:ascii="Arial" w:hAnsi="Arial" w:cs="Arial" w:eastAsia="Arial" w:hint="default"/>
                <w:spacing w:val="-1"/>
                <w:sz w:val="20"/>
                <w:szCs w:val="20"/>
              </w:rPr>
              <w:t>1.2)</w:t>
            </w:r>
          </w:p>
        </w:tc>
      </w:tr>
      <w:tr>
        <w:trPr>
          <w:trHeight w:val="469" w:hRule="exact"/>
        </w:trPr>
        <w:tc>
          <w:tcPr>
            <w:tcW w:w="1687" w:type="dxa"/>
            <w:tcBorders>
              <w:top w:val="nil" w:sz="6" w:space="0" w:color="auto"/>
              <w:left w:val="nil" w:sz="6" w:space="0" w:color="auto"/>
              <w:bottom w:val="nil" w:sz="6" w:space="0" w:color="auto"/>
              <w:right w:val="nil" w:sz="6" w:space="0" w:color="auto"/>
            </w:tcBorders>
          </w:tcPr>
          <w:p>
            <w:pPr>
              <w:pStyle w:val="TableParagraph"/>
              <w:spacing w:line="252" w:lineRule="exact"/>
              <w:ind w:left="35" w:right="0"/>
              <w:jc w:val="left"/>
              <w:rPr>
                <w:rFonts w:ascii="黑体" w:hAnsi="黑体" w:cs="黑体" w:eastAsia="黑体" w:hint="default"/>
                <w:sz w:val="20"/>
                <w:szCs w:val="20"/>
              </w:rPr>
            </w:pPr>
            <w:r>
              <w:rPr>
                <w:rFonts w:ascii="黑体" w:hAnsi="黑体" w:cs="黑体" w:eastAsia="黑体" w:hint="default"/>
                <w:sz w:val="20"/>
                <w:szCs w:val="20"/>
              </w:rPr>
              <w:t>武汉青和</w:t>
            </w:r>
          </w:p>
        </w:tc>
        <w:tc>
          <w:tcPr>
            <w:tcW w:w="1775" w:type="dxa"/>
            <w:tcBorders>
              <w:top w:val="nil" w:sz="6" w:space="0" w:color="auto"/>
              <w:left w:val="nil" w:sz="6" w:space="0" w:color="auto"/>
              <w:bottom w:val="nil" w:sz="6" w:space="0" w:color="auto"/>
              <w:right w:val="nil" w:sz="6" w:space="0" w:color="auto"/>
            </w:tcBorders>
          </w:tcPr>
          <w:p>
            <w:pPr>
              <w:pStyle w:val="TableParagraph"/>
              <w:tabs>
                <w:tab w:pos="1362" w:val="left" w:leader="none"/>
              </w:tabs>
              <w:spacing w:line="240" w:lineRule="auto" w:before="27"/>
              <w:ind w:left="563"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426" w:type="dxa"/>
            <w:tcBorders>
              <w:top w:val="nil" w:sz="6" w:space="0" w:color="auto"/>
              <w:left w:val="nil" w:sz="6" w:space="0" w:color="auto"/>
              <w:bottom w:val="nil" w:sz="6" w:space="0" w:color="auto"/>
              <w:right w:val="nil" w:sz="6" w:space="0" w:color="auto"/>
            </w:tcBorders>
          </w:tcPr>
          <w:p>
            <w:pPr>
              <w:pStyle w:val="TableParagraph"/>
              <w:tabs>
                <w:tab w:pos="495" w:val="left" w:leader="none"/>
              </w:tabs>
              <w:spacing w:line="240" w:lineRule="auto" w:before="27"/>
              <w:ind w:left="196" w:right="0"/>
              <w:jc w:val="center"/>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51,681</w:t>
            </w:r>
            <w:r>
              <w:rPr>
                <w:rFonts w:ascii="Arial"/>
                <w:sz w:val="20"/>
              </w:rPr>
            </w:r>
          </w:p>
        </w:tc>
        <w:tc>
          <w:tcPr>
            <w:tcW w:w="2171" w:type="dxa"/>
            <w:tcBorders>
              <w:top w:val="nil" w:sz="6" w:space="0" w:color="auto"/>
              <w:left w:val="nil" w:sz="6" w:space="0" w:color="auto"/>
              <w:bottom w:val="nil" w:sz="6" w:space="0" w:color="auto"/>
              <w:right w:val="nil" w:sz="6" w:space="0" w:color="auto"/>
            </w:tcBorders>
          </w:tcPr>
          <w:p>
            <w:pPr>
              <w:pStyle w:val="TableParagraph"/>
              <w:spacing w:line="252" w:lineRule="exact"/>
              <w:ind w:right="74"/>
              <w:jc w:val="right"/>
              <w:rPr>
                <w:rFonts w:ascii="黑体" w:hAnsi="黑体" w:cs="黑体" w:eastAsia="黑体" w:hint="default"/>
                <w:sz w:val="20"/>
                <w:szCs w:val="20"/>
              </w:rPr>
            </w:pPr>
            <w:r>
              <w:rPr>
                <w:rFonts w:ascii="黑体" w:hAnsi="黑体" w:cs="黑体" w:eastAsia="黑体" w:hint="default"/>
                <w:spacing w:val="-1"/>
                <w:sz w:val="20"/>
                <w:szCs w:val="20"/>
              </w:rPr>
              <w:t>本年度已处置</w:t>
            </w:r>
          </w:p>
        </w:tc>
        <w:tc>
          <w:tcPr>
            <w:tcW w:w="723" w:type="dxa"/>
            <w:tcBorders>
              <w:top w:val="nil" w:sz="6" w:space="0" w:color="auto"/>
              <w:left w:val="nil" w:sz="6" w:space="0" w:color="auto"/>
              <w:bottom w:val="nil" w:sz="6" w:space="0" w:color="auto"/>
              <w:right w:val="nil" w:sz="6" w:space="0" w:color="auto"/>
            </w:tcBorders>
          </w:tcPr>
          <w:p>
            <w:pPr>
              <w:pStyle w:val="TableParagraph"/>
              <w:spacing w:line="266" w:lineRule="exact"/>
              <w:ind w:right="34"/>
              <w:jc w:val="right"/>
              <w:rPr>
                <w:rFonts w:ascii="Arial" w:hAnsi="Arial" w:cs="Arial" w:eastAsia="Arial" w:hint="default"/>
                <w:sz w:val="20"/>
                <w:szCs w:val="20"/>
              </w:rPr>
            </w:pPr>
            <w:r>
              <w:rPr>
                <w:rFonts w:ascii="Arial" w:hAnsi="Arial" w:cs="Arial" w:eastAsia="Arial" w:hint="default"/>
                <w:spacing w:val="-1"/>
                <w:sz w:val="20"/>
                <w:szCs w:val="20"/>
              </w:rPr>
              <w:t>(</w:t>
            </w:r>
            <w:r>
              <w:rPr>
                <w:rFonts w:ascii="黑体" w:hAnsi="黑体" w:cs="黑体" w:eastAsia="黑体" w:hint="default"/>
                <w:spacing w:val="-1"/>
                <w:sz w:val="20"/>
                <w:szCs w:val="20"/>
              </w:rPr>
              <w:t>注</w:t>
            </w:r>
            <w:r>
              <w:rPr>
                <w:rFonts w:ascii="Arial" w:hAnsi="Arial" w:cs="Arial" w:eastAsia="Arial" w:hint="default"/>
                <w:spacing w:val="-1"/>
                <w:sz w:val="20"/>
                <w:szCs w:val="20"/>
              </w:rPr>
              <w:t>1.2)</w:t>
            </w:r>
          </w:p>
        </w:tc>
      </w:tr>
      <w:tr>
        <w:trPr>
          <w:trHeight w:val="509" w:hRule="exact"/>
        </w:trPr>
        <w:tc>
          <w:tcPr>
            <w:tcW w:w="1687" w:type="dxa"/>
            <w:tcBorders>
              <w:top w:val="nil" w:sz="6" w:space="0" w:color="auto"/>
              <w:left w:val="nil" w:sz="6" w:space="0" w:color="auto"/>
              <w:bottom w:val="nil" w:sz="6" w:space="0" w:color="auto"/>
              <w:right w:val="nil" w:sz="6" w:space="0" w:color="auto"/>
            </w:tcBorders>
          </w:tcPr>
          <w:p>
            <w:pP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黑体" w:hAnsi="黑体" w:cs="黑体" w:eastAsia="黑体" w:hint="default"/>
                <w:sz w:val="13"/>
                <w:szCs w:val="13"/>
              </w:rPr>
            </w:pPr>
          </w:p>
          <w:p>
            <w:pPr>
              <w:pStyle w:val="TableParagraph"/>
              <w:spacing w:line="240" w:lineRule="auto"/>
              <w:ind w:left="539" w:right="0"/>
              <w:jc w:val="left"/>
              <w:rPr>
                <w:rFonts w:ascii="Arial" w:hAnsi="Arial" w:cs="Arial" w:eastAsia="Arial" w:hint="default"/>
                <w:sz w:val="20"/>
                <w:szCs w:val="20"/>
              </w:rPr>
            </w:pPr>
            <w:r>
              <w:rPr>
                <w:rFonts w:ascii="Arial"/>
                <w:w w:val="100"/>
                <w:sz w:val="20"/>
              </w:rPr>
            </w:r>
            <w:r>
              <w:rPr>
                <w:rFonts w:ascii="Arial"/>
                <w:sz w:val="20"/>
                <w:u w:val="thick" w:color="000000"/>
              </w:rPr>
              <w:t>6,950,828</w:t>
            </w:r>
            <w:r>
              <w:rPr>
                <w:rFonts w:ascii="Arial"/>
                <w:sz w:val="20"/>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黑体" w:hAnsi="黑体" w:cs="黑体" w:eastAsia="黑体" w:hint="default"/>
                <w:sz w:val="13"/>
                <w:szCs w:val="13"/>
              </w:rPr>
            </w:pPr>
          </w:p>
          <w:p>
            <w:pPr>
              <w:pStyle w:val="TableParagraph"/>
              <w:spacing w:line="240" w:lineRule="auto"/>
              <w:ind w:left="217" w:right="0"/>
              <w:jc w:val="center"/>
              <w:rPr>
                <w:rFonts w:ascii="Arial" w:hAnsi="Arial" w:cs="Arial" w:eastAsia="Arial" w:hint="default"/>
                <w:sz w:val="20"/>
                <w:szCs w:val="20"/>
              </w:rPr>
            </w:pPr>
            <w:r>
              <w:rPr>
                <w:rFonts w:ascii="Arial"/>
                <w:w w:val="100"/>
                <w:sz w:val="20"/>
              </w:rPr>
            </w:r>
            <w:r>
              <w:rPr>
                <w:rFonts w:ascii="Arial"/>
                <w:sz w:val="20"/>
                <w:u w:val="thick" w:color="000000"/>
              </w:rPr>
              <w:t>3,625,057</w:t>
            </w:r>
            <w:r>
              <w:rPr>
                <w:rFonts w:ascii="Arial"/>
                <w:sz w:val="20"/>
              </w:rPr>
            </w:r>
          </w:p>
        </w:tc>
        <w:tc>
          <w:tcPr>
            <w:tcW w:w="2171" w:type="dxa"/>
            <w:tcBorders>
              <w:top w:val="nil" w:sz="6" w:space="0" w:color="auto"/>
              <w:left w:val="nil" w:sz="6" w:space="0" w:color="auto"/>
              <w:bottom w:val="nil" w:sz="6" w:space="0" w:color="auto"/>
              <w:right w:val="nil" w:sz="6" w:space="0" w:color="auto"/>
            </w:tcBorders>
          </w:tcPr>
          <w:p>
            <w:pPr/>
          </w:p>
        </w:tc>
        <w:tc>
          <w:tcPr>
            <w:tcW w:w="723"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28" w:footer="476" w:top="2420" w:bottom="660" w:left="1560" w:right="1500"/>
        </w:sectPr>
      </w:pPr>
    </w:p>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22"/>
          <w:szCs w:val="22"/>
        </w:rPr>
      </w:pPr>
    </w:p>
    <w:p>
      <w:pPr>
        <w:tabs>
          <w:tab w:pos="843" w:val="left" w:leader="none"/>
        </w:tabs>
        <w:spacing w:before="38"/>
        <w:ind w:left="141"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0"/>
        <w:rPr>
          <w:rFonts w:ascii="黑体" w:hAnsi="黑体" w:cs="黑体" w:eastAsia="黑体" w:hint="default"/>
          <w:b/>
          <w:bCs/>
          <w:sz w:val="25"/>
          <w:szCs w:val="25"/>
        </w:rPr>
      </w:pPr>
    </w:p>
    <w:p>
      <w:pPr>
        <w:tabs>
          <w:tab w:pos="865" w:val="left" w:leader="none"/>
        </w:tabs>
        <w:spacing w:before="0"/>
        <w:ind w:left="141" w:right="0" w:firstLine="0"/>
        <w:jc w:val="left"/>
        <w:rPr>
          <w:rFonts w:ascii="黑体" w:hAnsi="黑体" w:cs="黑体" w:eastAsia="黑体" w:hint="default"/>
          <w:sz w:val="20"/>
          <w:szCs w:val="20"/>
        </w:rPr>
      </w:pPr>
      <w:r>
        <w:rPr>
          <w:rFonts w:ascii="Arial" w:hAnsi="Arial" w:cs="Arial" w:eastAsia="Arial" w:hint="default"/>
          <w:b/>
          <w:bCs/>
          <w:sz w:val="20"/>
          <w:szCs w:val="20"/>
        </w:rPr>
        <w:t>38</w:t>
      </w:r>
      <w:r>
        <w:rPr>
          <w:rFonts w:ascii="黑体" w:hAnsi="黑体" w:cs="黑体" w:eastAsia="黑体" w:hint="default"/>
          <w:b/>
          <w:bCs/>
          <w:sz w:val="20"/>
          <w:szCs w:val="20"/>
        </w:rPr>
        <w:t>．</w:t>
        <w:tab/>
        <w:t>投资收益（续）</w:t>
      </w:r>
      <w:r>
        <w:rPr>
          <w:rFonts w:ascii="黑体" w:hAnsi="黑体" w:cs="黑体" w:eastAsia="黑体" w:hint="default"/>
          <w:sz w:val="20"/>
          <w:szCs w:val="20"/>
        </w:rPr>
      </w:r>
    </w:p>
    <w:p>
      <w:pPr>
        <w:spacing w:line="240" w:lineRule="auto" w:before="10"/>
        <w:rPr>
          <w:rFonts w:ascii="黑体" w:hAnsi="黑体" w:cs="黑体" w:eastAsia="黑体" w:hint="default"/>
          <w:b/>
          <w:bCs/>
          <w:sz w:val="16"/>
          <w:szCs w:val="16"/>
        </w:rPr>
      </w:pPr>
    </w:p>
    <w:p>
      <w:pPr>
        <w:pStyle w:val="BodyText"/>
        <w:spacing w:line="542" w:lineRule="auto"/>
        <w:ind w:left="828" w:right="5249"/>
        <w:jc w:val="left"/>
      </w:pPr>
      <w:r>
        <w:rPr/>
        <w:t>注</w:t>
      </w:r>
      <w:r>
        <w:rPr>
          <w:rFonts w:ascii="Arial" w:hAnsi="Arial" w:cs="Arial" w:eastAsia="Arial" w:hint="default"/>
        </w:rPr>
        <w:t>1.1</w:t>
      </w:r>
      <w:r>
        <w:rPr>
          <w:rFonts w:ascii="Arial" w:hAnsi="Arial" w:cs="Arial" w:eastAsia="Arial" w:hint="default"/>
          <w:spacing w:val="43"/>
        </w:rPr>
        <w:t> </w:t>
      </w:r>
      <w:r>
        <w:rPr/>
        <w:t>详见附注四、</w:t>
      </w:r>
      <w:r>
        <w:rPr>
          <w:rFonts w:ascii="Arial" w:hAnsi="Arial" w:cs="Arial" w:eastAsia="Arial" w:hint="default"/>
        </w:rPr>
        <w:t>1</w:t>
      </w:r>
      <w:r>
        <w:rPr/>
        <w:t>、注</w:t>
      </w:r>
      <w:r>
        <w:rPr>
          <w:rFonts w:ascii="Arial" w:hAnsi="Arial" w:cs="Arial" w:eastAsia="Arial" w:hint="default"/>
        </w:rPr>
        <w:t>4</w:t>
      </w:r>
      <w:r>
        <w:rPr/>
        <w:t>。</w:t>
      </w:r>
      <w:r>
        <w:rPr>
          <w:w w:val="100"/>
        </w:rPr>
        <w:t> </w:t>
      </w:r>
      <w:r>
        <w:rPr/>
        <w:t>注</w:t>
      </w:r>
      <w:r>
        <w:rPr>
          <w:rFonts w:ascii="Arial" w:hAnsi="Arial" w:cs="Arial" w:eastAsia="Arial" w:hint="default"/>
        </w:rPr>
        <w:t>1.2</w:t>
      </w:r>
      <w:r>
        <w:rPr>
          <w:rFonts w:ascii="Arial" w:hAnsi="Arial" w:cs="Arial" w:eastAsia="Arial" w:hint="default"/>
          <w:spacing w:val="40"/>
        </w:rPr>
        <w:t> </w:t>
      </w:r>
      <w:r>
        <w:rPr/>
        <w:t>详见附注五、</w:t>
      </w:r>
      <w:r>
        <w:rPr>
          <w:rFonts w:ascii="Arial" w:hAnsi="Arial" w:cs="Arial" w:eastAsia="Arial" w:hint="default"/>
        </w:rPr>
        <w:t>11</w:t>
      </w:r>
      <w:r>
        <w:rPr/>
        <w:t>、注</w:t>
      </w:r>
      <w:r>
        <w:rPr>
          <w:rFonts w:ascii="Arial" w:hAnsi="Arial" w:cs="Arial" w:eastAsia="Arial" w:hint="default"/>
        </w:rPr>
        <w:t>2</w:t>
      </w:r>
      <w:r>
        <w:rPr/>
        <w:t>。</w:t>
      </w:r>
    </w:p>
    <w:p>
      <w:pPr>
        <w:pStyle w:val="BodyText"/>
        <w:spacing w:line="271" w:lineRule="auto" w:before="66"/>
        <w:ind w:left="1387" w:right="155" w:hanging="560"/>
        <w:jc w:val="both"/>
      </w:pPr>
      <w:r>
        <w:rPr/>
        <w:t>注</w:t>
      </w:r>
      <w:r>
        <w:rPr>
          <w:rFonts w:ascii="Arial" w:hAnsi="Arial" w:cs="Arial" w:eastAsia="Arial" w:hint="default"/>
        </w:rPr>
        <w:t>2. 2009</w:t>
      </w:r>
      <w:r>
        <w:rPr/>
        <w:t>年处置长期股权投资产生的投资收益为本公司之子公司</w:t>
      </w:r>
      <w:r>
        <w:rPr>
          <w:rFonts w:ascii="Arial" w:hAnsi="Arial" w:cs="Arial" w:eastAsia="Arial" w:hint="default"/>
        </w:rPr>
        <w:t>UF International</w:t>
      </w:r>
      <w:r>
        <w:rPr/>
        <w:t>对其已</w:t>
      </w:r>
      <w:r>
        <w:rPr>
          <w:w w:val="100"/>
        </w:rPr>
        <w:t> </w:t>
      </w:r>
      <w:r>
        <w:rPr>
          <w:spacing w:val="17"/>
        </w:rPr>
        <w:t>注销子公司用友软件资源</w:t>
      </w:r>
      <w:r>
        <w:rPr>
          <w:rFonts w:ascii="Arial" w:hAnsi="Arial" w:cs="Arial" w:eastAsia="Arial" w:hint="default"/>
          <w:spacing w:val="17"/>
        </w:rPr>
        <w:t>(</w:t>
      </w:r>
      <w:r>
        <w:rPr>
          <w:rFonts w:ascii="Arial" w:hAnsi="Arial" w:cs="Arial" w:eastAsia="Arial" w:hint="default"/>
          <w:spacing w:val="-24"/>
        </w:rPr>
        <w:t> </w:t>
      </w:r>
      <w:r>
        <w:rPr>
          <w:spacing w:val="13"/>
        </w:rPr>
        <w:t>上海</w:t>
      </w:r>
      <w:r>
        <w:rPr>
          <w:rFonts w:ascii="Arial" w:hAnsi="Arial" w:cs="Arial" w:eastAsia="Arial" w:hint="default"/>
          <w:spacing w:val="13"/>
        </w:rPr>
        <w:t>)</w:t>
      </w:r>
      <w:r>
        <w:rPr>
          <w:rFonts w:ascii="Arial" w:hAnsi="Arial" w:cs="Arial" w:eastAsia="Arial" w:hint="default"/>
          <w:spacing w:val="-24"/>
        </w:rPr>
        <w:t> </w:t>
      </w:r>
      <w:r>
        <w:rPr>
          <w:spacing w:val="18"/>
        </w:rPr>
        <w:t>有限公司和上海伟库确认的投资收益人民币</w:t>
      </w:r>
      <w:r>
        <w:rPr>
          <w:w w:val="100"/>
        </w:rPr>
        <w:t> </w:t>
      </w:r>
      <w:r>
        <w:rPr>
          <w:rFonts w:ascii="Arial" w:hAnsi="Arial" w:cs="Arial" w:eastAsia="Arial" w:hint="default"/>
          <w:spacing w:val="-3"/>
        </w:rPr>
        <w:t>6,234,774</w:t>
      </w:r>
      <w:r>
        <w:rPr>
          <w:spacing w:val="-3"/>
        </w:rPr>
        <w:t>元，本公司之子公司方正春元处置其对联营企业上海春元和武汉青和的长</w:t>
      </w:r>
      <w:r>
        <w:rPr>
          <w:w w:val="100"/>
        </w:rPr>
        <w:t> </w:t>
      </w:r>
      <w:r>
        <w:rPr/>
        <w:t>期股权投资所确认的投资收益人民币</w:t>
      </w:r>
      <w:r>
        <w:rPr>
          <w:rFonts w:ascii="Arial" w:hAnsi="Arial" w:cs="Arial" w:eastAsia="Arial" w:hint="default"/>
        </w:rPr>
        <w:t>35</w:t>
      </w:r>
      <w:r>
        <w:rPr/>
        <w:t>元。</w:t>
      </w:r>
    </w:p>
    <w:p>
      <w:pPr>
        <w:spacing w:line="240" w:lineRule="auto" w:before="5"/>
        <w:rPr>
          <w:rFonts w:ascii="黑体" w:hAnsi="黑体" w:cs="黑体" w:eastAsia="黑体" w:hint="default"/>
          <w:sz w:val="24"/>
          <w:szCs w:val="24"/>
        </w:rPr>
      </w:pPr>
    </w:p>
    <w:p>
      <w:pPr>
        <w:pStyle w:val="BodyText"/>
        <w:spacing w:line="271" w:lineRule="auto"/>
        <w:ind w:left="1387" w:right="156"/>
        <w:jc w:val="both"/>
      </w:pPr>
      <w:r>
        <w:rPr>
          <w:rFonts w:ascii="Arial" w:hAnsi="Arial" w:cs="Arial" w:eastAsia="Arial" w:hint="default"/>
        </w:rPr>
        <w:t>2008</w:t>
      </w:r>
      <w:r>
        <w:rPr/>
        <w:t>年处置长期股权投资产生的投资收益为本公司处置子公司用友移动产生的投资</w:t>
      </w:r>
      <w:r>
        <w:rPr>
          <w:spacing w:val="-88"/>
        </w:rPr>
        <w:t> </w:t>
      </w:r>
      <w:r>
        <w:rPr>
          <w:spacing w:val="-88"/>
        </w:rPr>
      </w:r>
      <w:r>
        <w:rPr/>
        <w:t>收益。原计入本科目的因</w:t>
      </w:r>
      <w:r>
        <w:rPr>
          <w:rFonts w:ascii="Arial" w:hAnsi="Arial" w:cs="Arial" w:eastAsia="Arial" w:hint="default"/>
        </w:rPr>
        <w:t>2008</w:t>
      </w:r>
      <w:r>
        <w:rPr/>
        <w:t>年本公司处置子公司用友烟草</w:t>
      </w:r>
      <w:r>
        <w:rPr>
          <w:rFonts w:ascii="Arial" w:hAnsi="Arial" w:cs="Arial" w:eastAsia="Arial" w:hint="default"/>
        </w:rPr>
        <w:t>21%</w:t>
      </w:r>
      <w:r>
        <w:rPr/>
        <w:t>的股权事项而产生</w:t>
      </w:r>
      <w:r>
        <w:rPr>
          <w:spacing w:val="-89"/>
        </w:rPr>
        <w:t> </w:t>
      </w:r>
      <w:r>
        <w:rPr>
          <w:spacing w:val="-2"/>
        </w:rPr>
        <w:t>的收益人民币</w:t>
      </w:r>
      <w:r>
        <w:rPr>
          <w:rFonts w:ascii="Arial" w:hAnsi="Arial" w:cs="Arial" w:eastAsia="Arial" w:hint="default"/>
          <w:spacing w:val="-2"/>
        </w:rPr>
        <w:t>3,993,271</w:t>
      </w:r>
      <w:r>
        <w:rPr>
          <w:spacing w:val="-2"/>
        </w:rPr>
        <w:t>元由于本年度会计政策变更而追溯调整至资本公积，具体参</w:t>
      </w:r>
      <w:r>
        <w:rPr>
          <w:spacing w:val="-67"/>
        </w:rPr>
        <w:t> </w:t>
      </w:r>
      <w:r>
        <w:rPr>
          <w:spacing w:val="-67"/>
        </w:rPr>
      </w:r>
      <w:r>
        <w:rPr/>
        <w:t>见附注二、</w:t>
      </w:r>
      <w:r>
        <w:rPr>
          <w:rFonts w:ascii="Arial" w:hAnsi="Arial" w:cs="Arial" w:eastAsia="Arial" w:hint="default"/>
        </w:rPr>
        <w:t>31</w:t>
      </w:r>
      <w:r>
        <w:rPr/>
        <w:t>。</w:t>
      </w:r>
    </w:p>
    <w:p>
      <w:pPr>
        <w:spacing w:line="240" w:lineRule="auto" w:before="5"/>
        <w:rPr>
          <w:rFonts w:ascii="黑体" w:hAnsi="黑体" w:cs="黑体" w:eastAsia="黑体" w:hint="default"/>
          <w:sz w:val="24"/>
          <w:szCs w:val="24"/>
        </w:rPr>
      </w:pPr>
    </w:p>
    <w:p>
      <w:pPr>
        <w:pStyle w:val="BodyText"/>
        <w:spacing w:line="271" w:lineRule="auto"/>
        <w:ind w:left="1417" w:right="156" w:hanging="567"/>
        <w:jc w:val="both"/>
      </w:pPr>
      <w:r>
        <w:rPr/>
        <w:t>注</w:t>
      </w:r>
      <w:r>
        <w:rPr>
          <w:rFonts w:ascii="Arial" w:hAnsi="Arial" w:cs="Arial" w:eastAsia="Arial" w:hint="default"/>
        </w:rPr>
        <w:t>3.</w:t>
      </w:r>
      <w:r>
        <w:rPr>
          <w:rFonts w:ascii="Arial" w:hAnsi="Arial" w:cs="Arial" w:eastAsia="Arial" w:hint="default"/>
          <w:spacing w:val="6"/>
        </w:rPr>
        <w:t> </w:t>
      </w:r>
      <w:r>
        <w:rPr/>
        <w:t>成本法核算的长期股权投资收益为本公司之参股公司中科方德软件有限公司于</w:t>
      </w:r>
      <w:r>
        <w:rPr>
          <w:rFonts w:ascii="Arial" w:hAnsi="Arial" w:cs="Arial" w:eastAsia="Arial" w:hint="default"/>
        </w:rPr>
        <w:t>2009</w:t>
      </w:r>
      <w:r>
        <w:rPr>
          <w:rFonts w:ascii="Arial" w:hAnsi="Arial" w:cs="Arial" w:eastAsia="Arial" w:hint="default"/>
          <w:w w:val="100"/>
        </w:rPr>
        <w:t> </w:t>
      </w:r>
      <w:r>
        <w:rPr/>
        <w:t>年分配的红利人民币</w:t>
      </w:r>
      <w:r>
        <w:rPr>
          <w:rFonts w:ascii="Arial" w:hAnsi="Arial" w:cs="Arial" w:eastAsia="Arial" w:hint="default"/>
        </w:rPr>
        <w:t>200,000</w:t>
      </w:r>
      <w:r>
        <w:rPr/>
        <w:t>元，无投资收益占利润总额</w:t>
      </w:r>
      <w:r>
        <w:rPr>
          <w:rFonts w:ascii="Arial" w:hAnsi="Arial" w:cs="Arial" w:eastAsia="Arial" w:hint="default"/>
        </w:rPr>
        <w:t>5%</w:t>
      </w:r>
      <w:r>
        <w:rPr/>
        <w:t>以上的投资单位。</w:t>
      </w:r>
    </w:p>
    <w:p>
      <w:pPr>
        <w:spacing w:line="240" w:lineRule="auto" w:before="6"/>
        <w:rPr>
          <w:rFonts w:ascii="黑体" w:hAnsi="黑体" w:cs="黑体" w:eastAsia="黑体" w:hint="default"/>
          <w:sz w:val="21"/>
          <w:szCs w:val="21"/>
        </w:rPr>
      </w:pPr>
    </w:p>
    <w:tbl>
      <w:tblPr>
        <w:tblW w:w="0" w:type="auto"/>
        <w:jc w:val="left"/>
        <w:tblInd w:w="106" w:type="dxa"/>
        <w:tblLayout w:type="fixed"/>
        <w:tblCellMar>
          <w:top w:w="0" w:type="dxa"/>
          <w:left w:w="0" w:type="dxa"/>
          <w:bottom w:w="0" w:type="dxa"/>
          <w:right w:w="0" w:type="dxa"/>
        </w:tblCellMar>
        <w:tblLook w:val="01E0"/>
      </w:tblPr>
      <w:tblGrid>
        <w:gridCol w:w="525"/>
        <w:gridCol w:w="6593"/>
        <w:gridCol w:w="1457"/>
      </w:tblGrid>
      <w:tr>
        <w:trPr>
          <w:trHeight w:val="1059" w:hRule="exact"/>
        </w:trPr>
        <w:tc>
          <w:tcPr>
            <w:tcW w:w="5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1"/>
              <w:ind w:right="0"/>
              <w:jc w:val="left"/>
              <w:rPr>
                <w:rFonts w:ascii="黑体" w:hAnsi="黑体" w:cs="黑体" w:eastAsia="黑体" w:hint="default"/>
                <w:sz w:val="27"/>
                <w:szCs w:val="27"/>
              </w:rPr>
            </w:pPr>
          </w:p>
          <w:p>
            <w:pPr>
              <w:pStyle w:val="TableParagraph"/>
              <w:spacing w:line="240" w:lineRule="auto"/>
              <w:ind w:left="35" w:right="0"/>
              <w:jc w:val="left"/>
              <w:rPr>
                <w:rFonts w:ascii="Arial" w:hAnsi="Arial" w:cs="Arial" w:eastAsia="Arial" w:hint="default"/>
                <w:sz w:val="20"/>
                <w:szCs w:val="20"/>
              </w:rPr>
            </w:pPr>
            <w:r>
              <w:rPr>
                <w:rFonts w:ascii="Arial"/>
                <w:b/>
                <w:sz w:val="20"/>
              </w:rPr>
              <w:t>39.</w:t>
            </w:r>
            <w:r>
              <w:rPr>
                <w:rFonts w:ascii="Arial"/>
                <w:sz w:val="20"/>
              </w:rPr>
            </w:r>
          </w:p>
        </w:tc>
        <w:tc>
          <w:tcPr>
            <w:tcW w:w="6593" w:type="dxa"/>
            <w:tcBorders>
              <w:top w:val="nil" w:sz="6" w:space="0" w:color="auto"/>
              <w:left w:val="nil" w:sz="6" w:space="0" w:color="auto"/>
              <w:bottom w:val="nil" w:sz="6" w:space="0" w:color="auto"/>
              <w:right w:val="nil" w:sz="6" w:space="0" w:color="auto"/>
            </w:tcBorders>
          </w:tcPr>
          <w:p>
            <w:pPr>
              <w:pStyle w:val="TableParagraph"/>
              <w:spacing w:line="470" w:lineRule="auto" w:before="38"/>
              <w:ind w:left="230" w:right="861" w:firstLine="8"/>
              <w:jc w:val="left"/>
              <w:rPr>
                <w:rFonts w:ascii="黑体" w:hAnsi="黑体" w:cs="黑体" w:eastAsia="黑体" w:hint="default"/>
                <w:sz w:val="20"/>
                <w:szCs w:val="20"/>
              </w:rPr>
            </w:pPr>
            <w:r>
              <w:rPr>
                <w:rFonts w:ascii="黑体" w:hAnsi="黑体" w:cs="黑体" w:eastAsia="黑体" w:hint="default"/>
                <w:spacing w:val="-1"/>
                <w:sz w:val="20"/>
                <w:szCs w:val="20"/>
              </w:rPr>
              <w:t>于</w:t>
            </w: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日，本集团的投资收益的汇回均无重大限制。</w:t>
            </w:r>
            <w:r>
              <w:rPr>
                <w:rFonts w:ascii="黑体" w:hAnsi="黑体" w:cs="黑体" w:eastAsia="黑体" w:hint="default"/>
                <w:spacing w:val="-84"/>
                <w:sz w:val="20"/>
                <w:szCs w:val="20"/>
              </w:rPr>
              <w:t> </w:t>
            </w:r>
            <w:r>
              <w:rPr>
                <w:rFonts w:ascii="黑体" w:hAnsi="黑体" w:cs="黑体" w:eastAsia="黑体" w:hint="default"/>
                <w:spacing w:val="-84"/>
                <w:sz w:val="20"/>
                <w:szCs w:val="20"/>
              </w:rPr>
            </w:r>
            <w:r>
              <w:rPr>
                <w:rFonts w:ascii="黑体" w:hAnsi="黑体" w:cs="黑体" w:eastAsia="黑体" w:hint="default"/>
                <w:b/>
                <w:bCs/>
                <w:sz w:val="20"/>
                <w:szCs w:val="20"/>
              </w:rPr>
              <w:t>营业外收入</w:t>
            </w:r>
            <w:r>
              <w:rPr>
                <w:rFonts w:ascii="黑体" w:hAnsi="黑体" w:cs="黑体" w:eastAsia="黑体" w:hint="default"/>
                <w:sz w:val="20"/>
                <w:szCs w:val="20"/>
              </w:rPr>
            </w:r>
          </w:p>
        </w:tc>
        <w:tc>
          <w:tcPr>
            <w:tcW w:w="1457" w:type="dxa"/>
            <w:tcBorders>
              <w:top w:val="nil" w:sz="6" w:space="0" w:color="auto"/>
              <w:left w:val="nil" w:sz="6" w:space="0" w:color="auto"/>
              <w:bottom w:val="nil" w:sz="6" w:space="0" w:color="auto"/>
              <w:right w:val="nil" w:sz="6" w:space="0" w:color="auto"/>
            </w:tcBorders>
          </w:tcPr>
          <w:p>
            <w:pPr/>
          </w:p>
        </w:tc>
      </w:tr>
      <w:tr>
        <w:trPr>
          <w:trHeight w:val="624" w:hRule="exact"/>
        </w:trPr>
        <w:tc>
          <w:tcPr>
            <w:tcW w:w="525" w:type="dxa"/>
            <w:tcBorders>
              <w:top w:val="nil" w:sz="6" w:space="0" w:color="auto"/>
              <w:left w:val="nil" w:sz="6" w:space="0" w:color="auto"/>
              <w:bottom w:val="nil" w:sz="6" w:space="0" w:color="auto"/>
              <w:right w:val="nil" w:sz="6" w:space="0" w:color="auto"/>
            </w:tcBorders>
          </w:tcPr>
          <w:p>
            <w:pPr/>
          </w:p>
        </w:tc>
        <w:tc>
          <w:tcPr>
            <w:tcW w:w="6593"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76"/>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33"/>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464" w:hRule="exact"/>
        </w:trPr>
        <w:tc>
          <w:tcPr>
            <w:tcW w:w="525" w:type="dxa"/>
            <w:tcBorders>
              <w:top w:val="nil" w:sz="6" w:space="0" w:color="auto"/>
              <w:left w:val="nil" w:sz="6" w:space="0" w:color="auto"/>
              <w:bottom w:val="nil" w:sz="6" w:space="0" w:color="auto"/>
              <w:right w:val="nil" w:sz="6" w:space="0" w:color="auto"/>
            </w:tcBorders>
          </w:tcPr>
          <w:p>
            <w:pPr/>
          </w:p>
        </w:tc>
        <w:tc>
          <w:tcPr>
            <w:tcW w:w="6593" w:type="dxa"/>
            <w:tcBorders>
              <w:top w:val="nil" w:sz="6" w:space="0" w:color="auto"/>
              <w:left w:val="nil" w:sz="6" w:space="0" w:color="auto"/>
              <w:bottom w:val="nil" w:sz="6" w:space="0" w:color="auto"/>
              <w:right w:val="nil" w:sz="6" w:space="0" w:color="auto"/>
            </w:tcBorders>
          </w:tcPr>
          <w:p>
            <w:pPr>
              <w:pStyle w:val="TableParagraph"/>
              <w:tabs>
                <w:tab w:pos="4970" w:val="left" w:leader="none"/>
              </w:tabs>
              <w:spacing w:line="240" w:lineRule="auto" w:before="146"/>
              <w:ind w:right="296"/>
              <w:jc w:val="right"/>
              <w:rPr>
                <w:rFonts w:ascii="Arial" w:hAnsi="Arial" w:cs="Arial" w:eastAsia="Arial" w:hint="default"/>
                <w:sz w:val="20"/>
                <w:szCs w:val="20"/>
              </w:rPr>
            </w:pPr>
            <w:r>
              <w:rPr>
                <w:rFonts w:ascii="黑体" w:hAnsi="黑体" w:cs="黑体" w:eastAsia="黑体" w:hint="default"/>
                <w:spacing w:val="-1"/>
                <w:sz w:val="20"/>
                <w:szCs w:val="20"/>
              </w:rPr>
              <w:t>增值税退税返还</w:t>
              <w:tab/>
            </w:r>
            <w:r>
              <w:rPr>
                <w:rFonts w:ascii="Arial" w:hAnsi="Arial" w:cs="Arial" w:eastAsia="Arial" w:hint="default"/>
                <w:spacing w:val="-1"/>
                <w:position w:val="1"/>
                <w:sz w:val="20"/>
                <w:szCs w:val="20"/>
              </w:rPr>
              <w:t>147,151,916</w:t>
            </w:r>
            <w:r>
              <w:rPr>
                <w:rFonts w:ascii="Arial" w:hAnsi="Arial" w:cs="Arial" w:eastAsia="Arial" w:hint="default"/>
                <w:spacing w:val="-1"/>
                <w:sz w:val="20"/>
                <w:szCs w:val="20"/>
              </w:rPr>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14"/>
                <w:szCs w:val="14"/>
              </w:rPr>
            </w:pPr>
          </w:p>
          <w:p>
            <w:pPr>
              <w:pStyle w:val="TableParagraph"/>
              <w:spacing w:line="240" w:lineRule="auto"/>
              <w:ind w:right="51"/>
              <w:jc w:val="right"/>
              <w:rPr>
                <w:rFonts w:ascii="Arial" w:hAnsi="Arial" w:cs="Arial" w:eastAsia="Arial" w:hint="default"/>
                <w:sz w:val="20"/>
                <w:szCs w:val="20"/>
              </w:rPr>
            </w:pPr>
            <w:r>
              <w:rPr>
                <w:rFonts w:ascii="Arial"/>
                <w:spacing w:val="-1"/>
                <w:sz w:val="20"/>
              </w:rPr>
              <w:t>133,066,473</w:t>
            </w:r>
          </w:p>
        </w:tc>
      </w:tr>
      <w:tr>
        <w:trPr>
          <w:trHeight w:val="312" w:hRule="exact"/>
        </w:trPr>
        <w:tc>
          <w:tcPr>
            <w:tcW w:w="525" w:type="dxa"/>
            <w:tcBorders>
              <w:top w:val="nil" w:sz="6" w:space="0" w:color="auto"/>
              <w:left w:val="nil" w:sz="6" w:space="0" w:color="auto"/>
              <w:bottom w:val="nil" w:sz="6" w:space="0" w:color="auto"/>
              <w:right w:val="nil" w:sz="6" w:space="0" w:color="auto"/>
            </w:tcBorders>
          </w:tcPr>
          <w:p>
            <w:pPr/>
          </w:p>
        </w:tc>
        <w:tc>
          <w:tcPr>
            <w:tcW w:w="6593" w:type="dxa"/>
            <w:tcBorders>
              <w:top w:val="nil" w:sz="6" w:space="0" w:color="auto"/>
              <w:left w:val="nil" w:sz="6" w:space="0" w:color="auto"/>
              <w:bottom w:val="nil" w:sz="6" w:space="0" w:color="auto"/>
              <w:right w:val="nil" w:sz="6" w:space="0" w:color="auto"/>
            </w:tcBorders>
          </w:tcPr>
          <w:p>
            <w:pPr>
              <w:pStyle w:val="TableParagraph"/>
              <w:tabs>
                <w:tab w:pos="5080" w:val="left" w:leader="none"/>
              </w:tabs>
              <w:spacing w:line="260" w:lineRule="exact"/>
              <w:ind w:right="297"/>
              <w:jc w:val="right"/>
              <w:rPr>
                <w:rFonts w:ascii="Arial" w:hAnsi="Arial" w:cs="Arial" w:eastAsia="Arial" w:hint="default"/>
                <w:sz w:val="20"/>
                <w:szCs w:val="20"/>
              </w:rPr>
            </w:pPr>
            <w:r>
              <w:rPr>
                <w:rFonts w:ascii="黑体" w:hAnsi="黑体" w:cs="黑体" w:eastAsia="黑体" w:hint="default"/>
                <w:sz w:val="20"/>
                <w:szCs w:val="20"/>
              </w:rPr>
              <w:t>政府补助</w:t>
              <w:tab/>
            </w:r>
            <w:r>
              <w:rPr>
                <w:rFonts w:ascii="Arial" w:hAnsi="Arial" w:cs="Arial" w:eastAsia="Arial" w:hint="default"/>
                <w:spacing w:val="-1"/>
                <w:position w:val="1"/>
                <w:sz w:val="20"/>
                <w:szCs w:val="20"/>
              </w:rPr>
              <w:t>50,075,797</w:t>
            </w:r>
            <w:r>
              <w:rPr>
                <w:rFonts w:ascii="Arial" w:hAnsi="Arial" w:cs="Arial" w:eastAsia="Arial" w:hint="default"/>
                <w:spacing w:val="-1"/>
                <w:sz w:val="20"/>
                <w:szCs w:val="20"/>
              </w:rPr>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2"/>
              <w:jc w:val="right"/>
              <w:rPr>
                <w:rFonts w:ascii="Arial" w:hAnsi="Arial" w:cs="Arial" w:eastAsia="Arial" w:hint="default"/>
                <w:sz w:val="20"/>
                <w:szCs w:val="20"/>
              </w:rPr>
            </w:pPr>
            <w:r>
              <w:rPr>
                <w:rFonts w:ascii="Arial"/>
                <w:spacing w:val="-1"/>
                <w:sz w:val="20"/>
              </w:rPr>
              <w:t>35,152,380</w:t>
            </w:r>
          </w:p>
        </w:tc>
      </w:tr>
      <w:tr>
        <w:trPr>
          <w:trHeight w:val="312" w:hRule="exact"/>
        </w:trPr>
        <w:tc>
          <w:tcPr>
            <w:tcW w:w="525" w:type="dxa"/>
            <w:tcBorders>
              <w:top w:val="nil" w:sz="6" w:space="0" w:color="auto"/>
              <w:left w:val="nil" w:sz="6" w:space="0" w:color="auto"/>
              <w:bottom w:val="nil" w:sz="6" w:space="0" w:color="auto"/>
              <w:right w:val="nil" w:sz="6" w:space="0" w:color="auto"/>
            </w:tcBorders>
          </w:tcPr>
          <w:p>
            <w:pPr/>
          </w:p>
        </w:tc>
        <w:tc>
          <w:tcPr>
            <w:tcW w:w="6593" w:type="dxa"/>
            <w:tcBorders>
              <w:top w:val="nil" w:sz="6" w:space="0" w:color="auto"/>
              <w:left w:val="nil" w:sz="6" w:space="0" w:color="auto"/>
              <w:bottom w:val="nil" w:sz="6" w:space="0" w:color="auto"/>
              <w:right w:val="nil" w:sz="6" w:space="0" w:color="auto"/>
            </w:tcBorders>
          </w:tcPr>
          <w:p>
            <w:pPr>
              <w:pStyle w:val="TableParagraph"/>
              <w:tabs>
                <w:tab w:pos="5359" w:val="left" w:leader="none"/>
              </w:tabs>
              <w:spacing w:line="260" w:lineRule="exact"/>
              <w:ind w:right="297"/>
              <w:jc w:val="right"/>
              <w:rPr>
                <w:rFonts w:ascii="Arial" w:hAnsi="Arial" w:cs="Arial" w:eastAsia="Arial" w:hint="default"/>
                <w:sz w:val="20"/>
                <w:szCs w:val="20"/>
              </w:rPr>
            </w:pPr>
            <w:r>
              <w:rPr>
                <w:rFonts w:ascii="黑体" w:hAnsi="黑体" w:cs="黑体" w:eastAsia="黑体" w:hint="default"/>
                <w:spacing w:val="-1"/>
                <w:sz w:val="20"/>
                <w:szCs w:val="20"/>
              </w:rPr>
              <w:t>固定资产清理收入</w:t>
              <w:tab/>
            </w:r>
            <w:r>
              <w:rPr>
                <w:rFonts w:ascii="Arial" w:hAnsi="Arial" w:cs="Arial" w:eastAsia="Arial" w:hint="default"/>
                <w:spacing w:val="-1"/>
                <w:position w:val="1"/>
                <w:sz w:val="20"/>
                <w:szCs w:val="20"/>
              </w:rPr>
              <w:t>460,718</w:t>
            </w:r>
            <w:r>
              <w:rPr>
                <w:rFonts w:ascii="Arial" w:hAnsi="Arial" w:cs="Arial" w:eastAsia="Arial" w:hint="default"/>
                <w:spacing w:val="-1"/>
                <w:sz w:val="20"/>
                <w:szCs w:val="20"/>
              </w:rPr>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2"/>
              <w:jc w:val="right"/>
              <w:rPr>
                <w:rFonts w:ascii="Arial" w:hAnsi="Arial" w:cs="Arial" w:eastAsia="Arial" w:hint="default"/>
                <w:sz w:val="20"/>
                <w:szCs w:val="20"/>
              </w:rPr>
            </w:pPr>
            <w:r>
              <w:rPr>
                <w:rFonts w:ascii="Arial"/>
                <w:spacing w:val="-1"/>
                <w:sz w:val="20"/>
              </w:rPr>
              <w:t>55,915,512</w:t>
            </w:r>
          </w:p>
        </w:tc>
      </w:tr>
      <w:tr>
        <w:trPr>
          <w:trHeight w:val="312" w:hRule="exact"/>
        </w:trPr>
        <w:tc>
          <w:tcPr>
            <w:tcW w:w="525" w:type="dxa"/>
            <w:tcBorders>
              <w:top w:val="nil" w:sz="6" w:space="0" w:color="auto"/>
              <w:left w:val="nil" w:sz="6" w:space="0" w:color="auto"/>
              <w:bottom w:val="nil" w:sz="6" w:space="0" w:color="auto"/>
              <w:right w:val="nil" w:sz="6" w:space="0" w:color="auto"/>
            </w:tcBorders>
          </w:tcPr>
          <w:p>
            <w:pPr/>
          </w:p>
        </w:tc>
        <w:tc>
          <w:tcPr>
            <w:tcW w:w="6593" w:type="dxa"/>
            <w:tcBorders>
              <w:top w:val="nil" w:sz="6" w:space="0" w:color="auto"/>
              <w:left w:val="nil" w:sz="6" w:space="0" w:color="auto"/>
              <w:bottom w:val="nil" w:sz="6" w:space="0" w:color="auto"/>
              <w:right w:val="nil" w:sz="6" w:space="0" w:color="auto"/>
            </w:tcBorders>
          </w:tcPr>
          <w:p>
            <w:pPr>
              <w:pStyle w:val="TableParagraph"/>
              <w:tabs>
                <w:tab w:pos="5469" w:val="left" w:leader="none"/>
              </w:tabs>
              <w:spacing w:line="260" w:lineRule="exact"/>
              <w:ind w:right="297"/>
              <w:jc w:val="right"/>
              <w:rPr>
                <w:rFonts w:ascii="Arial" w:hAnsi="Arial" w:cs="Arial" w:eastAsia="Arial" w:hint="default"/>
                <w:sz w:val="20"/>
                <w:szCs w:val="20"/>
              </w:rPr>
            </w:pPr>
            <w:r>
              <w:rPr>
                <w:rFonts w:ascii="黑体" w:hAnsi="黑体" w:cs="黑体" w:eastAsia="黑体" w:hint="default"/>
                <w:spacing w:val="-1"/>
                <w:sz w:val="20"/>
                <w:szCs w:val="20"/>
              </w:rPr>
              <w:t>罚款净收入</w:t>
              <w:tab/>
            </w:r>
            <w:r>
              <w:rPr>
                <w:rFonts w:ascii="Arial" w:hAnsi="Arial" w:cs="Arial" w:eastAsia="Arial" w:hint="default"/>
                <w:position w:val="1"/>
                <w:sz w:val="20"/>
                <w:szCs w:val="20"/>
              </w:rPr>
              <w:t>39,721</w:t>
            </w:r>
            <w:r>
              <w:rPr>
                <w:rFonts w:ascii="Arial" w:hAnsi="Arial" w:cs="Arial" w:eastAsia="Arial" w:hint="default"/>
                <w:sz w:val="20"/>
                <w:szCs w:val="20"/>
              </w:rPr>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2"/>
              <w:jc w:val="right"/>
              <w:rPr>
                <w:rFonts w:ascii="Arial" w:hAnsi="Arial" w:cs="Arial" w:eastAsia="Arial" w:hint="default"/>
                <w:sz w:val="20"/>
                <w:szCs w:val="20"/>
              </w:rPr>
            </w:pPr>
            <w:r>
              <w:rPr>
                <w:rFonts w:ascii="Arial"/>
                <w:sz w:val="20"/>
              </w:rPr>
              <w:t>73,224</w:t>
            </w:r>
          </w:p>
        </w:tc>
      </w:tr>
      <w:tr>
        <w:trPr>
          <w:trHeight w:val="469" w:hRule="exact"/>
        </w:trPr>
        <w:tc>
          <w:tcPr>
            <w:tcW w:w="525" w:type="dxa"/>
            <w:tcBorders>
              <w:top w:val="nil" w:sz="6" w:space="0" w:color="auto"/>
              <w:left w:val="nil" w:sz="6" w:space="0" w:color="auto"/>
              <w:bottom w:val="nil" w:sz="6" w:space="0" w:color="auto"/>
              <w:right w:val="nil" w:sz="6" w:space="0" w:color="auto"/>
            </w:tcBorders>
          </w:tcPr>
          <w:p>
            <w:pPr/>
          </w:p>
        </w:tc>
        <w:tc>
          <w:tcPr>
            <w:tcW w:w="6593" w:type="dxa"/>
            <w:tcBorders>
              <w:top w:val="nil" w:sz="6" w:space="0" w:color="auto"/>
              <w:left w:val="nil" w:sz="6" w:space="0" w:color="auto"/>
              <w:bottom w:val="nil" w:sz="6" w:space="0" w:color="auto"/>
              <w:right w:val="nil" w:sz="6" w:space="0" w:color="auto"/>
            </w:tcBorders>
          </w:tcPr>
          <w:p>
            <w:pPr>
              <w:pStyle w:val="TableParagraph"/>
              <w:tabs>
                <w:tab w:pos="4993" w:val="left" w:leader="none"/>
              </w:tabs>
              <w:spacing w:line="260" w:lineRule="exact"/>
              <w:ind w:right="296"/>
              <w:jc w:val="right"/>
              <w:rPr>
                <w:rFonts w:ascii="Arial" w:hAnsi="Arial" w:cs="Arial" w:eastAsia="Arial" w:hint="default"/>
                <w:sz w:val="20"/>
                <w:szCs w:val="20"/>
              </w:rPr>
            </w:pPr>
            <w:r>
              <w:rPr>
                <w:rFonts w:ascii="黑体" w:hAnsi="黑体" w:cs="黑体" w:eastAsia="黑体" w:hint="default"/>
                <w:sz w:val="20"/>
                <w:szCs w:val="20"/>
              </w:rPr>
              <w:t>其他</w:t>
              <w:tab/>
            </w:r>
            <w:r>
              <w:rPr>
                <w:rFonts w:ascii="Arial" w:hAnsi="Arial" w:cs="Arial" w:eastAsia="Arial" w:hint="default"/>
                <w:position w:val="1"/>
                <w:sz w:val="20"/>
                <w:szCs w:val="20"/>
              </w:rPr>
            </w:r>
            <w:r>
              <w:rPr>
                <w:rFonts w:ascii="Arial" w:hAnsi="Arial" w:cs="Arial" w:eastAsia="Arial" w:hint="default"/>
                <w:position w:val="1"/>
                <w:sz w:val="20"/>
                <w:szCs w:val="20"/>
                <w:u w:val="single" w:color="000000"/>
              </w:rPr>
              <w:t> 4,064,446</w:t>
            </w:r>
            <w:r>
              <w:rPr>
                <w:rFonts w:ascii="Arial" w:hAnsi="Arial" w:cs="Arial" w:eastAsia="Arial" w:hint="default"/>
                <w:sz w:val="20"/>
                <w:szCs w:val="20"/>
              </w:rPr>
            </w:r>
          </w:p>
        </w:tc>
        <w:tc>
          <w:tcPr>
            <w:tcW w:w="1457"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31"/>
              <w:ind w:right="52"/>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172,719</w:t>
            </w:r>
            <w:r>
              <w:rPr>
                <w:rFonts w:ascii="Arial"/>
                <w:sz w:val="20"/>
              </w:rPr>
            </w:r>
          </w:p>
        </w:tc>
      </w:tr>
      <w:tr>
        <w:trPr>
          <w:trHeight w:val="512" w:hRule="exact"/>
        </w:trPr>
        <w:tc>
          <w:tcPr>
            <w:tcW w:w="525" w:type="dxa"/>
            <w:tcBorders>
              <w:top w:val="nil" w:sz="6" w:space="0" w:color="auto"/>
              <w:left w:val="nil" w:sz="6" w:space="0" w:color="auto"/>
              <w:bottom w:val="nil" w:sz="6" w:space="0" w:color="auto"/>
              <w:right w:val="nil" w:sz="6" w:space="0" w:color="auto"/>
            </w:tcBorders>
          </w:tcPr>
          <w:p>
            <w:pPr/>
          </w:p>
        </w:tc>
        <w:tc>
          <w:tcPr>
            <w:tcW w:w="659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296"/>
              <w:jc w:val="right"/>
              <w:rPr>
                <w:rFonts w:ascii="Arial" w:hAnsi="Arial" w:cs="Arial" w:eastAsia="Arial" w:hint="default"/>
                <w:sz w:val="20"/>
                <w:szCs w:val="20"/>
              </w:rPr>
            </w:pPr>
            <w:r>
              <w:rPr>
                <w:rFonts w:ascii="Arial"/>
                <w:w w:val="100"/>
                <w:sz w:val="20"/>
              </w:rPr>
            </w:r>
            <w:r>
              <w:rPr>
                <w:rFonts w:ascii="Arial"/>
                <w:spacing w:val="-1"/>
                <w:sz w:val="20"/>
                <w:u w:val="thick" w:color="000000"/>
              </w:rPr>
              <w:t>201,792,598</w:t>
            </w:r>
            <w:r>
              <w:rPr>
                <w:rFonts w:ascii="Arial"/>
                <w:spacing w:val="-1"/>
                <w:sz w:val="20"/>
              </w:rPr>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right="51"/>
              <w:jc w:val="right"/>
              <w:rPr>
                <w:rFonts w:ascii="Arial" w:hAnsi="Arial" w:cs="Arial" w:eastAsia="Arial" w:hint="default"/>
                <w:sz w:val="20"/>
                <w:szCs w:val="20"/>
              </w:rPr>
            </w:pPr>
            <w:r>
              <w:rPr>
                <w:rFonts w:ascii="Arial"/>
                <w:w w:val="100"/>
                <w:sz w:val="20"/>
              </w:rPr>
            </w:r>
            <w:r>
              <w:rPr>
                <w:rFonts w:ascii="Arial"/>
                <w:spacing w:val="-1"/>
                <w:sz w:val="20"/>
                <w:u w:val="thick" w:color="000000"/>
              </w:rPr>
              <w:t>224,380,308</w:t>
            </w:r>
            <w:r>
              <w:rPr>
                <w:rFonts w:ascii="Arial"/>
                <w:spacing w:val="-1"/>
                <w:sz w:val="20"/>
              </w:rPr>
            </w:r>
          </w:p>
        </w:tc>
      </w:tr>
    </w:tbl>
    <w:p>
      <w:pPr>
        <w:spacing w:after="0" w:line="240" w:lineRule="auto"/>
        <w:jc w:val="right"/>
        <w:rPr>
          <w:rFonts w:ascii="Arial" w:hAnsi="Arial" w:cs="Arial" w:eastAsia="Arial" w:hint="default"/>
          <w:sz w:val="20"/>
          <w:szCs w:val="20"/>
        </w:rPr>
        <w:sectPr>
          <w:pgSz w:w="11910" w:h="16840"/>
          <w:pgMar w:header="828" w:footer="476" w:top="2420" w:bottom="660" w:left="1560" w:right="1540"/>
        </w:sectPr>
      </w:pPr>
    </w:p>
    <w:p>
      <w:pPr>
        <w:spacing w:line="240" w:lineRule="auto" w:before="0"/>
        <w:rPr>
          <w:rFonts w:ascii="黑体" w:hAnsi="黑体" w:cs="黑体" w:eastAsia="黑体" w:hint="default"/>
          <w:sz w:val="20"/>
          <w:szCs w:val="20"/>
        </w:rPr>
      </w:pPr>
    </w:p>
    <w:p>
      <w:pPr>
        <w:spacing w:line="240" w:lineRule="auto" w:before="2"/>
        <w:rPr>
          <w:rFonts w:ascii="黑体" w:hAnsi="黑体" w:cs="黑体" w:eastAsia="黑体" w:hint="default"/>
          <w:sz w:val="29"/>
          <w:szCs w:val="29"/>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13"/>
        <w:rPr>
          <w:rFonts w:ascii="黑体" w:hAnsi="黑体" w:cs="黑体" w:eastAsia="黑体" w:hint="default"/>
          <w:b/>
          <w:bCs/>
          <w:sz w:val="18"/>
          <w:szCs w:val="18"/>
        </w:rPr>
      </w:pPr>
    </w:p>
    <w:p>
      <w:pPr>
        <w:tabs>
          <w:tab w:pos="815"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39.</w:t>
        <w:tab/>
      </w:r>
      <w:r>
        <w:rPr>
          <w:rFonts w:ascii="黑体" w:hAnsi="黑体" w:cs="黑体" w:eastAsia="黑体" w:hint="default"/>
          <w:b/>
          <w:bCs/>
          <w:sz w:val="20"/>
          <w:szCs w:val="20"/>
        </w:rPr>
        <w:t>营业外收入（续）</w:t>
      </w:r>
      <w:r>
        <w:rPr>
          <w:rFonts w:ascii="黑体" w:hAnsi="黑体" w:cs="黑体" w:eastAsia="黑体" w:hint="default"/>
          <w:sz w:val="20"/>
          <w:szCs w:val="20"/>
        </w:rPr>
      </w:r>
    </w:p>
    <w:p>
      <w:pPr>
        <w:spacing w:line="240" w:lineRule="auto" w:before="4"/>
        <w:rPr>
          <w:rFonts w:ascii="黑体" w:hAnsi="黑体" w:cs="黑体" w:eastAsia="黑体" w:hint="default"/>
          <w:b/>
          <w:bCs/>
          <w:sz w:val="19"/>
          <w:szCs w:val="19"/>
        </w:rPr>
      </w:pPr>
    </w:p>
    <w:p>
      <w:pPr>
        <w:pStyle w:val="BodyText"/>
        <w:spacing w:line="240" w:lineRule="auto"/>
        <w:ind w:right="0"/>
        <w:jc w:val="left"/>
      </w:pPr>
      <w:r>
        <w:rPr/>
        <w:t>计入当期损益的政府补助如下：</w:t>
      </w:r>
    </w:p>
    <w:p>
      <w:pPr>
        <w:spacing w:line="240" w:lineRule="auto" w:before="0"/>
        <w:rPr>
          <w:rFonts w:ascii="黑体" w:hAnsi="黑体" w:cs="黑体" w:eastAsia="黑体" w:hint="default"/>
          <w:sz w:val="16"/>
          <w:szCs w:val="16"/>
        </w:rPr>
      </w:pPr>
    </w:p>
    <w:p>
      <w:pPr>
        <w:pStyle w:val="BodyText"/>
        <w:tabs>
          <w:tab w:pos="1766" w:val="left" w:leader="none"/>
        </w:tabs>
        <w:spacing w:line="240" w:lineRule="auto" w:before="38"/>
        <w:ind w:left="0" w:right="156"/>
        <w:jc w:val="right"/>
      </w:pPr>
      <w:r>
        <w:rPr>
          <w:rFonts w:ascii="Arial" w:hAnsi="Arial" w:cs="Arial" w:eastAsia="Arial" w:hint="default"/>
          <w:spacing w:val="-1"/>
        </w:rPr>
        <w:t>2009</w:t>
      </w:r>
      <w:r>
        <w:rPr>
          <w:spacing w:val="-1"/>
        </w:rPr>
        <w:t>年</w:t>
        <w:tab/>
      </w:r>
      <w:r>
        <w:rPr>
          <w:rFonts w:ascii="Arial" w:hAnsi="Arial" w:cs="Arial" w:eastAsia="Arial" w:hint="default"/>
          <w:spacing w:val="-1"/>
        </w:rPr>
        <w:t>2008</w:t>
      </w:r>
      <w:r>
        <w:rPr>
          <w:spacing w:val="-1"/>
        </w:rPr>
        <w:t>年</w:t>
      </w:r>
    </w:p>
    <w:p>
      <w:pPr>
        <w:spacing w:line="240" w:lineRule="auto" w:before="9"/>
        <w:rPr>
          <w:rFonts w:ascii="黑体" w:hAnsi="黑体" w:cs="黑体" w:eastAsia="黑体" w:hint="default"/>
          <w:sz w:val="24"/>
          <w:szCs w:val="24"/>
        </w:rPr>
      </w:pPr>
    </w:p>
    <w:p>
      <w:pPr>
        <w:pStyle w:val="BodyText"/>
        <w:tabs>
          <w:tab w:pos="5836" w:val="left" w:leader="none"/>
          <w:tab w:pos="7604" w:val="left" w:leader="none"/>
        </w:tabs>
        <w:spacing w:line="240" w:lineRule="auto"/>
        <w:ind w:left="821" w:right="0"/>
        <w:jc w:val="left"/>
        <w:rPr>
          <w:rFonts w:ascii="Arial" w:hAnsi="Arial" w:cs="Arial" w:eastAsia="Arial" w:hint="default"/>
        </w:rPr>
      </w:pPr>
      <w:r>
        <w:rPr>
          <w:spacing w:val="-1"/>
        </w:rPr>
        <w:t>北京市高新技术成果转化项目基金</w:t>
        <w:tab/>
      </w:r>
      <w:r>
        <w:rPr>
          <w:rFonts w:ascii="Arial" w:hAnsi="Arial" w:cs="Arial" w:eastAsia="Arial" w:hint="default"/>
        </w:rPr>
        <w:t>16,105,200</w:t>
        <w:tab/>
        <w:t>26,849,600</w:t>
      </w:r>
    </w:p>
    <w:p>
      <w:pPr>
        <w:pStyle w:val="BodyText"/>
        <w:spacing w:line="240" w:lineRule="auto" w:before="36"/>
        <w:ind w:left="821" w:right="0"/>
        <w:jc w:val="left"/>
      </w:pPr>
      <w:r>
        <w:rPr/>
        <w:t>北京市科学技术委员会“基于</w:t>
      </w:r>
      <w:r>
        <w:rPr>
          <w:rFonts w:ascii="Arial" w:hAnsi="Arial" w:cs="Arial" w:eastAsia="Arial" w:hint="default"/>
        </w:rPr>
        <w:t>SOA</w:t>
      </w:r>
      <w:r>
        <w:rPr/>
        <w:t>架构的新一代</w:t>
      </w:r>
    </w:p>
    <w:p>
      <w:pPr>
        <w:pStyle w:val="BodyText"/>
        <w:tabs>
          <w:tab w:pos="4881" w:val="left" w:leader="none"/>
          <w:tab w:pos="7471" w:val="left" w:leader="none"/>
        </w:tabs>
        <w:spacing w:line="240" w:lineRule="auto" w:before="36"/>
        <w:ind w:left="0" w:right="156"/>
        <w:jc w:val="right"/>
        <w:rPr>
          <w:rFonts w:ascii="Arial" w:hAnsi="Arial" w:cs="Arial" w:eastAsia="Arial" w:hint="default"/>
        </w:rPr>
      </w:pPr>
      <w:r>
        <w:rPr>
          <w:spacing w:val="-1"/>
        </w:rPr>
        <w:t>企业管理应用系统</w:t>
      </w:r>
      <w:r>
        <w:rPr>
          <w:rFonts w:ascii="Arial" w:hAnsi="Arial" w:cs="Arial" w:eastAsia="Arial" w:hint="default"/>
          <w:spacing w:val="-1"/>
        </w:rPr>
        <w:t>(U9)</w:t>
      </w:r>
      <w:r>
        <w:rPr>
          <w:spacing w:val="-1"/>
        </w:rPr>
        <w:t>研发及产业化”</w:t>
        <w:tab/>
      </w:r>
      <w:r>
        <w:rPr>
          <w:rFonts w:ascii="Arial" w:hAnsi="Arial" w:cs="Arial" w:eastAsia="Arial" w:hint="default"/>
          <w:spacing w:val="-1"/>
        </w:rPr>
        <w:t>7,336,300</w:t>
        <w:tab/>
      </w:r>
      <w:r>
        <w:rPr>
          <w:rFonts w:ascii="Arial" w:hAnsi="Arial" w:cs="Arial" w:eastAsia="Arial" w:hint="default"/>
        </w:rPr>
        <w:t>-</w:t>
      </w:r>
    </w:p>
    <w:p>
      <w:pPr>
        <w:pStyle w:val="BodyText"/>
        <w:tabs>
          <w:tab w:pos="5949" w:val="left" w:leader="none"/>
          <w:tab w:pos="8538" w:val="left" w:leader="none"/>
        </w:tabs>
        <w:spacing w:line="271" w:lineRule="auto" w:before="36"/>
        <w:ind w:left="1067" w:right="156" w:hanging="247"/>
        <w:jc w:val="left"/>
        <w:rPr>
          <w:rFonts w:ascii="Arial" w:hAnsi="Arial" w:cs="Arial" w:eastAsia="Arial" w:hint="default"/>
        </w:rPr>
      </w:pPr>
      <w:r>
        <w:rPr/>
        <w:t>北京市发展与改革委员会“基于</w:t>
      </w:r>
      <w:r>
        <w:rPr>
          <w:rFonts w:ascii="Arial" w:hAnsi="Arial" w:cs="Arial" w:eastAsia="Arial" w:hint="default"/>
        </w:rPr>
        <w:t>SOA</w:t>
      </w:r>
      <w:r>
        <w:rPr/>
        <w:t>架构的新一</w:t>
      </w:r>
      <w:r>
        <w:rPr>
          <w:spacing w:val="-55"/>
        </w:rPr>
        <w:t> </w:t>
      </w:r>
      <w:r>
        <w:rPr>
          <w:spacing w:val="-1"/>
        </w:rPr>
        <w:t>代企业管理应用系统</w:t>
      </w:r>
      <w:r>
        <w:rPr>
          <w:rFonts w:ascii="Arial" w:hAnsi="Arial" w:cs="Arial" w:eastAsia="Arial" w:hint="default"/>
          <w:spacing w:val="-1"/>
        </w:rPr>
        <w:t>(U9)</w:t>
      </w:r>
      <w:r>
        <w:rPr>
          <w:spacing w:val="-1"/>
        </w:rPr>
        <w:t>研发及产业化”</w:t>
        <w:tab/>
      </w:r>
      <w:r>
        <w:rPr>
          <w:rFonts w:ascii="Arial" w:hAnsi="Arial" w:cs="Arial" w:eastAsia="Arial" w:hint="default"/>
          <w:spacing w:val="-1"/>
        </w:rPr>
        <w:t>3,000,000</w:t>
        <w:tab/>
      </w:r>
      <w:r>
        <w:rPr>
          <w:rFonts w:ascii="Arial" w:hAnsi="Arial" w:cs="Arial" w:eastAsia="Arial" w:hint="default"/>
        </w:rPr>
        <w:t>-</w:t>
      </w:r>
    </w:p>
    <w:tbl>
      <w:tblPr>
        <w:tblW w:w="0" w:type="auto"/>
        <w:jc w:val="left"/>
        <w:tblInd w:w="753" w:type="dxa"/>
        <w:tblLayout w:type="fixed"/>
        <w:tblCellMar>
          <w:top w:w="0" w:type="dxa"/>
          <w:left w:w="0" w:type="dxa"/>
          <w:bottom w:w="0" w:type="dxa"/>
          <w:right w:w="0" w:type="dxa"/>
        </w:tblCellMar>
        <w:tblLook w:val="01E0"/>
      </w:tblPr>
      <w:tblGrid>
        <w:gridCol w:w="4717"/>
        <w:gridCol w:w="1741"/>
        <w:gridCol w:w="1431"/>
      </w:tblGrid>
      <w:tr>
        <w:trPr>
          <w:trHeight w:val="635"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71" w:lineRule="auto"/>
              <w:ind w:left="272" w:right="366" w:hanging="204"/>
              <w:jc w:val="left"/>
              <w:rPr>
                <w:rFonts w:ascii="黑体" w:hAnsi="黑体" w:cs="黑体" w:eastAsia="黑体" w:hint="default"/>
                <w:sz w:val="20"/>
                <w:szCs w:val="20"/>
              </w:rPr>
            </w:pPr>
            <w:r>
              <w:rPr>
                <w:rFonts w:ascii="黑体" w:hAnsi="黑体" w:cs="黑体" w:eastAsia="黑体" w:hint="default"/>
                <w:spacing w:val="2"/>
                <w:sz w:val="20"/>
                <w:szCs w:val="20"/>
              </w:rPr>
              <w:t>国家</w:t>
            </w:r>
            <w:r>
              <w:rPr>
                <w:rFonts w:ascii="Arial" w:hAnsi="Arial" w:cs="Arial" w:eastAsia="Arial" w:hint="default"/>
                <w:spacing w:val="2"/>
                <w:sz w:val="20"/>
                <w:szCs w:val="20"/>
              </w:rPr>
              <w:t>863</w:t>
            </w:r>
            <w:r>
              <w:rPr>
                <w:rFonts w:ascii="黑体" w:hAnsi="黑体" w:cs="黑体" w:eastAsia="黑体" w:hint="default"/>
                <w:spacing w:val="2"/>
                <w:sz w:val="20"/>
                <w:szCs w:val="20"/>
              </w:rPr>
              <w:t>计划（企业协同系统研究费</w:t>
            </w:r>
            <w:r>
              <w:rPr>
                <w:rFonts w:ascii="Arial" w:hAnsi="Arial" w:cs="Arial" w:eastAsia="Arial" w:hint="default"/>
                <w:spacing w:val="2"/>
                <w:sz w:val="20"/>
                <w:szCs w:val="20"/>
              </w:rPr>
              <w:t>/</w:t>
            </w:r>
            <w:r>
              <w:rPr>
                <w:rFonts w:ascii="黑体" w:hAnsi="黑体" w:cs="黑体" w:eastAsia="黑体" w:hint="default"/>
                <w:spacing w:val="2"/>
                <w:sz w:val="20"/>
                <w:szCs w:val="20"/>
              </w:rPr>
              <w:t>电子信息产</w:t>
            </w:r>
            <w:r>
              <w:rPr>
                <w:rFonts w:ascii="黑体" w:hAnsi="黑体" w:cs="黑体" w:eastAsia="黑体" w:hint="default"/>
                <w:spacing w:val="-71"/>
                <w:sz w:val="20"/>
                <w:szCs w:val="20"/>
              </w:rPr>
              <w:t> </w:t>
            </w:r>
            <w:r>
              <w:rPr>
                <w:rFonts w:ascii="黑体" w:hAnsi="黑体" w:cs="黑体" w:eastAsia="黑体" w:hint="default"/>
                <w:spacing w:val="-71"/>
                <w:sz w:val="20"/>
                <w:szCs w:val="20"/>
              </w:rPr>
            </w:r>
            <w:r>
              <w:rPr>
                <w:rFonts w:ascii="黑体" w:hAnsi="黑体" w:cs="黑体" w:eastAsia="黑体" w:hint="default"/>
                <w:sz w:val="20"/>
                <w:szCs w:val="20"/>
              </w:rPr>
              <w:t>业发展基金）</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20"/>
                <w:szCs w:val="20"/>
              </w:rPr>
            </w:pPr>
          </w:p>
          <w:p>
            <w:pPr>
              <w:pStyle w:val="TableParagraph"/>
              <w:spacing w:line="240" w:lineRule="auto" w:before="128"/>
              <w:ind w:right="369"/>
              <w:jc w:val="right"/>
              <w:rPr>
                <w:rFonts w:ascii="Arial" w:hAnsi="Arial" w:cs="Arial" w:eastAsia="Arial" w:hint="default"/>
                <w:sz w:val="20"/>
                <w:szCs w:val="20"/>
              </w:rPr>
            </w:pPr>
            <w:r>
              <w:rPr>
                <w:rFonts w:ascii="Arial"/>
                <w:spacing w:val="-1"/>
                <w:sz w:val="20"/>
              </w:rPr>
              <w:t>3,556,000</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20"/>
                <w:szCs w:val="20"/>
              </w:rPr>
            </w:pPr>
          </w:p>
          <w:p>
            <w:pPr>
              <w:pStyle w:val="TableParagraph"/>
              <w:spacing w:line="240" w:lineRule="auto" w:before="128"/>
              <w:ind w:right="34"/>
              <w:jc w:val="right"/>
              <w:rPr>
                <w:rFonts w:ascii="Arial" w:hAnsi="Arial" w:cs="Arial" w:eastAsia="Arial" w:hint="default"/>
                <w:sz w:val="20"/>
                <w:szCs w:val="20"/>
              </w:rPr>
            </w:pPr>
            <w:r>
              <w:rPr>
                <w:rFonts w:ascii="Arial"/>
                <w:w w:val="100"/>
                <w:sz w:val="20"/>
              </w:rPr>
              <w:t>-</w:t>
            </w:r>
          </w:p>
        </w:tc>
      </w:tr>
      <w:tr>
        <w:trPr>
          <w:trHeight w:val="312"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51" w:lineRule="exact"/>
              <w:ind w:left="68" w:right="0"/>
              <w:jc w:val="left"/>
              <w:rPr>
                <w:rFonts w:ascii="黑体" w:hAnsi="黑体" w:cs="黑体" w:eastAsia="黑体" w:hint="default"/>
                <w:sz w:val="20"/>
                <w:szCs w:val="20"/>
              </w:rPr>
            </w:pPr>
            <w:r>
              <w:rPr>
                <w:rFonts w:ascii="黑体" w:hAnsi="黑体" w:cs="黑体" w:eastAsia="黑体" w:hint="default"/>
                <w:sz w:val="20"/>
                <w:szCs w:val="20"/>
              </w:rPr>
              <w:t>“以大带小”海淀区新型软件产业链发展模式</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69"/>
              <w:jc w:val="right"/>
              <w:rPr>
                <w:rFonts w:ascii="Arial" w:hAnsi="Arial" w:cs="Arial" w:eastAsia="Arial" w:hint="default"/>
                <w:sz w:val="20"/>
                <w:szCs w:val="20"/>
              </w:rPr>
            </w:pPr>
            <w:r>
              <w:rPr>
                <w:rFonts w:ascii="Arial"/>
                <w:spacing w:val="-1"/>
                <w:sz w:val="20"/>
              </w:rPr>
              <w:t>1,000,000</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w w:val="100"/>
                <w:sz w:val="20"/>
              </w:rPr>
              <w:t>-</w:t>
            </w:r>
          </w:p>
        </w:tc>
      </w:tr>
      <w:tr>
        <w:trPr>
          <w:trHeight w:val="311"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65" w:lineRule="exact"/>
              <w:ind w:left="68" w:right="0"/>
              <w:jc w:val="left"/>
              <w:rPr>
                <w:rFonts w:ascii="黑体" w:hAnsi="黑体" w:cs="黑体" w:eastAsia="黑体" w:hint="default"/>
                <w:sz w:val="20"/>
                <w:szCs w:val="20"/>
              </w:rPr>
            </w:pPr>
            <w:r>
              <w:rPr>
                <w:rFonts w:ascii="黑体" w:hAnsi="黑体" w:cs="黑体" w:eastAsia="黑体" w:hint="default"/>
                <w:spacing w:val="2"/>
                <w:sz w:val="20"/>
                <w:szCs w:val="20"/>
              </w:rPr>
              <w:t>面向中小企业网络和移动应用的</w:t>
            </w:r>
            <w:r>
              <w:rPr>
                <w:rFonts w:ascii="Arial" w:hAnsi="Arial" w:cs="Arial" w:eastAsia="Arial" w:hint="default"/>
                <w:spacing w:val="2"/>
                <w:sz w:val="20"/>
                <w:szCs w:val="20"/>
              </w:rPr>
              <w:t>ERP</w:t>
            </w:r>
            <w:r>
              <w:rPr>
                <w:rFonts w:ascii="黑体" w:hAnsi="黑体" w:cs="黑体" w:eastAsia="黑体" w:hint="default"/>
                <w:spacing w:val="2"/>
                <w:sz w:val="20"/>
                <w:szCs w:val="20"/>
              </w:rPr>
              <w:t>系统产业化</w:t>
            </w:r>
            <w:r>
              <w:rPr>
                <w:rFonts w:ascii="黑体" w:hAnsi="黑体" w:cs="黑体" w:eastAsia="黑体" w:hint="default"/>
                <w:sz w:val="20"/>
                <w:szCs w:val="20"/>
              </w:rPr>
            </w:r>
          </w:p>
        </w:tc>
        <w:tc>
          <w:tcPr>
            <w:tcW w:w="1741"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r>
      <w:tr>
        <w:trPr>
          <w:trHeight w:val="262"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52" w:lineRule="exact"/>
              <w:ind w:left="272" w:right="0"/>
              <w:jc w:val="left"/>
              <w:rPr>
                <w:rFonts w:ascii="黑体" w:hAnsi="黑体" w:cs="黑体" w:eastAsia="黑体" w:hint="default"/>
                <w:sz w:val="20"/>
                <w:szCs w:val="20"/>
              </w:rPr>
            </w:pPr>
            <w:r>
              <w:rPr>
                <w:rFonts w:ascii="黑体" w:hAnsi="黑体" w:cs="黑体" w:eastAsia="黑体" w:hint="default"/>
                <w:sz w:val="20"/>
                <w:szCs w:val="20"/>
              </w:rPr>
              <w:t>项目</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69"/>
              <w:jc w:val="right"/>
              <w:rPr>
                <w:rFonts w:ascii="Arial" w:hAnsi="Arial" w:cs="Arial" w:eastAsia="Arial" w:hint="default"/>
                <w:sz w:val="20"/>
                <w:szCs w:val="20"/>
              </w:rPr>
            </w:pPr>
            <w:r>
              <w:rPr>
                <w:rFonts w:ascii="Arial"/>
                <w:spacing w:val="-1"/>
                <w:sz w:val="20"/>
              </w:rPr>
              <w:t>6,000,000</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4"/>
              <w:jc w:val="right"/>
              <w:rPr>
                <w:rFonts w:ascii="Arial" w:hAnsi="Arial" w:cs="Arial" w:eastAsia="Arial" w:hint="default"/>
                <w:sz w:val="20"/>
                <w:szCs w:val="20"/>
              </w:rPr>
            </w:pPr>
            <w:r>
              <w:rPr>
                <w:rFonts w:ascii="Arial"/>
                <w:w w:val="100"/>
                <w:sz w:val="20"/>
              </w:rPr>
              <w:t>-</w:t>
            </w:r>
          </w:p>
        </w:tc>
      </w:tr>
      <w:tr>
        <w:trPr>
          <w:trHeight w:val="358"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68" w:right="0"/>
              <w:jc w:val="left"/>
              <w:rPr>
                <w:rFonts w:ascii="黑体" w:hAnsi="黑体" w:cs="黑体" w:eastAsia="黑体" w:hint="default"/>
                <w:sz w:val="20"/>
                <w:szCs w:val="20"/>
              </w:rPr>
            </w:pPr>
            <w:r>
              <w:rPr>
                <w:rFonts w:ascii="黑体" w:hAnsi="黑体" w:cs="黑体" w:eastAsia="黑体" w:hint="default"/>
                <w:spacing w:val="2"/>
                <w:sz w:val="20"/>
                <w:szCs w:val="20"/>
              </w:rPr>
              <w:t>北京高技术创业服务中心：基于移动应用技术的</w:t>
            </w:r>
            <w:r>
              <w:rPr>
                <w:rFonts w:ascii="黑体" w:hAnsi="黑体" w:cs="黑体" w:eastAsia="黑体" w:hint="default"/>
                <w:sz w:val="20"/>
                <w:szCs w:val="20"/>
              </w:rPr>
            </w:r>
          </w:p>
        </w:tc>
        <w:tc>
          <w:tcPr>
            <w:tcW w:w="1741"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r>
      <w:tr>
        <w:trPr>
          <w:trHeight w:val="317"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56" w:lineRule="exact"/>
              <w:ind w:left="272" w:right="0"/>
              <w:jc w:val="left"/>
              <w:rPr>
                <w:rFonts w:ascii="黑体" w:hAnsi="黑体" w:cs="黑体" w:eastAsia="黑体" w:hint="default"/>
                <w:sz w:val="20"/>
                <w:szCs w:val="20"/>
              </w:rPr>
            </w:pPr>
            <w:r>
              <w:rPr>
                <w:rFonts w:ascii="黑体" w:hAnsi="黑体" w:cs="黑体" w:eastAsia="黑体" w:hint="default"/>
                <w:sz w:val="20"/>
                <w:szCs w:val="20"/>
              </w:rPr>
              <w:t>企业管理信息系统的研发与应用</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69"/>
              <w:jc w:val="right"/>
              <w:rPr>
                <w:rFonts w:ascii="Arial" w:hAnsi="Arial" w:cs="Arial" w:eastAsia="Arial" w:hint="default"/>
                <w:sz w:val="20"/>
                <w:szCs w:val="20"/>
              </w:rPr>
            </w:pPr>
            <w:r>
              <w:rPr>
                <w:rFonts w:ascii="Arial"/>
                <w:spacing w:val="-1"/>
                <w:sz w:val="20"/>
              </w:rPr>
              <w:t>2,400,000</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Arial" w:hAnsi="Arial" w:cs="Arial" w:eastAsia="Arial" w:hint="default"/>
                <w:sz w:val="20"/>
                <w:szCs w:val="20"/>
              </w:rPr>
            </w:pPr>
            <w:r>
              <w:rPr>
                <w:rFonts w:ascii="Arial"/>
                <w:w w:val="100"/>
                <w:sz w:val="20"/>
              </w:rPr>
              <w:t>-</w:t>
            </w:r>
          </w:p>
        </w:tc>
      </w:tr>
      <w:tr>
        <w:trPr>
          <w:trHeight w:val="312"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51" w:lineRule="exact"/>
              <w:ind w:left="68" w:right="0"/>
              <w:jc w:val="left"/>
              <w:rPr>
                <w:rFonts w:ascii="黑体" w:hAnsi="黑体" w:cs="黑体" w:eastAsia="黑体" w:hint="default"/>
                <w:sz w:val="20"/>
                <w:szCs w:val="20"/>
              </w:rPr>
            </w:pPr>
            <w:r>
              <w:rPr>
                <w:rFonts w:ascii="黑体" w:hAnsi="黑体" w:cs="黑体" w:eastAsia="黑体" w:hint="default"/>
                <w:sz w:val="20"/>
                <w:szCs w:val="20"/>
              </w:rPr>
              <w:t>班车补助</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69"/>
              <w:jc w:val="right"/>
              <w:rPr>
                <w:rFonts w:ascii="Arial" w:hAnsi="Arial" w:cs="Arial" w:eastAsia="Arial" w:hint="default"/>
                <w:sz w:val="20"/>
                <w:szCs w:val="20"/>
              </w:rPr>
            </w:pPr>
            <w:r>
              <w:rPr>
                <w:rFonts w:ascii="Arial"/>
                <w:spacing w:val="-1"/>
                <w:sz w:val="20"/>
              </w:rPr>
              <w:t>2,507,800</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w w:val="100"/>
                <w:sz w:val="20"/>
              </w:rPr>
              <w:t>-</w:t>
            </w:r>
          </w:p>
        </w:tc>
      </w:tr>
      <w:tr>
        <w:trPr>
          <w:trHeight w:val="312"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51" w:lineRule="exact"/>
              <w:ind w:left="68" w:right="0"/>
              <w:jc w:val="left"/>
              <w:rPr>
                <w:rFonts w:ascii="黑体" w:hAnsi="黑体" w:cs="黑体" w:eastAsia="黑体" w:hint="default"/>
                <w:sz w:val="20"/>
                <w:szCs w:val="20"/>
              </w:rPr>
            </w:pPr>
            <w:r>
              <w:rPr>
                <w:rFonts w:ascii="黑体" w:hAnsi="黑体" w:cs="黑体" w:eastAsia="黑体" w:hint="default"/>
                <w:sz w:val="20"/>
                <w:szCs w:val="20"/>
              </w:rPr>
              <w:t>自主创新科技专项</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69"/>
              <w:jc w:val="right"/>
              <w:rPr>
                <w:rFonts w:ascii="Arial" w:hAnsi="Arial" w:cs="Arial" w:eastAsia="Arial" w:hint="default"/>
                <w:sz w:val="20"/>
                <w:szCs w:val="20"/>
              </w:rPr>
            </w:pPr>
            <w:r>
              <w:rPr>
                <w:rFonts w:ascii="Arial"/>
                <w:sz w:val="20"/>
              </w:rPr>
              <w:t>2,100,000</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w w:val="100"/>
                <w:sz w:val="20"/>
              </w:rPr>
              <w:t>-</w:t>
            </w:r>
          </w:p>
        </w:tc>
      </w:tr>
      <w:tr>
        <w:trPr>
          <w:trHeight w:val="307"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51" w:lineRule="exact"/>
              <w:ind w:left="68" w:right="0"/>
              <w:jc w:val="left"/>
              <w:rPr>
                <w:rFonts w:ascii="黑体" w:hAnsi="黑体" w:cs="黑体" w:eastAsia="黑体" w:hint="default"/>
                <w:sz w:val="20"/>
                <w:szCs w:val="20"/>
              </w:rPr>
            </w:pPr>
            <w:r>
              <w:rPr>
                <w:rFonts w:ascii="黑体" w:hAnsi="黑体" w:cs="黑体" w:eastAsia="黑体" w:hint="default"/>
                <w:spacing w:val="2"/>
                <w:sz w:val="20"/>
                <w:szCs w:val="20"/>
              </w:rPr>
              <w:t>北京软件与信息服务业促进中心政府公共财政管</w:t>
            </w:r>
            <w:r>
              <w:rPr>
                <w:rFonts w:ascii="黑体" w:hAnsi="黑体" w:cs="黑体" w:eastAsia="黑体" w:hint="default"/>
                <w:sz w:val="20"/>
                <w:szCs w:val="20"/>
              </w:rPr>
            </w:r>
          </w:p>
        </w:tc>
        <w:tc>
          <w:tcPr>
            <w:tcW w:w="1741"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r>
      <w:tr>
        <w:trPr>
          <w:trHeight w:val="317"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56" w:lineRule="exact"/>
              <w:ind w:left="300" w:right="0"/>
              <w:jc w:val="left"/>
              <w:rPr>
                <w:rFonts w:ascii="黑体" w:hAnsi="黑体" w:cs="黑体" w:eastAsia="黑体" w:hint="default"/>
                <w:sz w:val="20"/>
                <w:szCs w:val="20"/>
              </w:rPr>
            </w:pPr>
            <w:r>
              <w:rPr>
                <w:rFonts w:ascii="黑体" w:hAnsi="黑体" w:cs="黑体" w:eastAsia="黑体" w:hint="default"/>
                <w:sz w:val="20"/>
                <w:szCs w:val="20"/>
              </w:rPr>
              <w:t>理信息系统开发及推广项目</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69"/>
              <w:jc w:val="right"/>
              <w:rPr>
                <w:rFonts w:ascii="Arial" w:hAnsi="Arial" w:cs="Arial" w:eastAsia="Arial" w:hint="default"/>
                <w:sz w:val="20"/>
                <w:szCs w:val="20"/>
              </w:rPr>
            </w:pPr>
            <w:r>
              <w:rPr>
                <w:rFonts w:ascii="Arial"/>
                <w:spacing w:val="-1"/>
                <w:sz w:val="20"/>
              </w:rPr>
              <w:t>2,000,000</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Arial" w:hAnsi="Arial" w:cs="Arial" w:eastAsia="Arial" w:hint="default"/>
                <w:sz w:val="20"/>
                <w:szCs w:val="20"/>
              </w:rPr>
            </w:pPr>
            <w:r>
              <w:rPr>
                <w:rFonts w:ascii="Arial"/>
                <w:w w:val="100"/>
                <w:sz w:val="20"/>
              </w:rPr>
              <w:t>-</w:t>
            </w:r>
          </w:p>
        </w:tc>
      </w:tr>
      <w:tr>
        <w:trPr>
          <w:trHeight w:val="312"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51" w:lineRule="exact"/>
              <w:ind w:left="68" w:right="0"/>
              <w:jc w:val="left"/>
              <w:rPr>
                <w:rFonts w:ascii="黑体" w:hAnsi="黑体" w:cs="黑体" w:eastAsia="黑体" w:hint="default"/>
                <w:sz w:val="20"/>
                <w:szCs w:val="20"/>
              </w:rPr>
            </w:pPr>
            <w:r>
              <w:rPr>
                <w:rFonts w:ascii="黑体" w:hAnsi="黑体" w:cs="黑体" w:eastAsia="黑体" w:hint="default"/>
                <w:sz w:val="20"/>
                <w:szCs w:val="20"/>
              </w:rPr>
              <w:t>营业税返还</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69"/>
              <w:jc w:val="right"/>
              <w:rPr>
                <w:rFonts w:ascii="Arial" w:hAnsi="Arial" w:cs="Arial" w:eastAsia="Arial" w:hint="default"/>
                <w:sz w:val="20"/>
                <w:szCs w:val="20"/>
              </w:rPr>
            </w:pPr>
            <w:r>
              <w:rPr>
                <w:rFonts w:ascii="Arial"/>
                <w:sz w:val="20"/>
              </w:rPr>
              <w:t>1,030,000</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w w:val="100"/>
                <w:sz w:val="20"/>
              </w:rPr>
              <w:t>-</w:t>
            </w:r>
          </w:p>
        </w:tc>
      </w:tr>
      <w:tr>
        <w:trPr>
          <w:trHeight w:val="312"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51" w:lineRule="exact"/>
              <w:ind w:left="68" w:right="0"/>
              <w:jc w:val="left"/>
              <w:rPr>
                <w:rFonts w:ascii="黑体" w:hAnsi="黑体" w:cs="黑体" w:eastAsia="黑体" w:hint="default"/>
                <w:sz w:val="20"/>
                <w:szCs w:val="20"/>
              </w:rPr>
            </w:pPr>
            <w:r>
              <w:rPr>
                <w:rFonts w:ascii="黑体" w:hAnsi="黑体" w:cs="黑体" w:eastAsia="黑体" w:hint="default"/>
                <w:sz w:val="20"/>
                <w:szCs w:val="20"/>
              </w:rPr>
              <w:t>行政事业单位资产管理信息系统开发及推广项目</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69"/>
              <w:jc w:val="right"/>
              <w:rPr>
                <w:rFonts w:ascii="Arial" w:hAnsi="Arial" w:cs="Arial" w:eastAsia="Arial" w:hint="default"/>
                <w:sz w:val="20"/>
                <w:szCs w:val="20"/>
              </w:rPr>
            </w:pPr>
            <w:r>
              <w:rPr>
                <w:rFonts w:ascii="Arial"/>
                <w:sz w:val="20"/>
              </w:rPr>
              <w:t>800,000</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w w:val="100"/>
                <w:sz w:val="20"/>
              </w:rPr>
              <w:t>-</w:t>
            </w:r>
          </w:p>
        </w:tc>
      </w:tr>
      <w:tr>
        <w:trPr>
          <w:trHeight w:val="312"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51" w:lineRule="exact"/>
              <w:ind w:left="68" w:right="0"/>
              <w:jc w:val="left"/>
              <w:rPr>
                <w:rFonts w:ascii="黑体" w:hAnsi="黑体" w:cs="黑体" w:eastAsia="黑体" w:hint="default"/>
                <w:sz w:val="20"/>
                <w:szCs w:val="20"/>
              </w:rPr>
            </w:pPr>
            <w:r>
              <w:rPr>
                <w:rFonts w:ascii="黑体" w:hAnsi="黑体" w:cs="黑体" w:eastAsia="黑体" w:hint="default"/>
                <w:sz w:val="20"/>
                <w:szCs w:val="20"/>
              </w:rPr>
              <w:t>公务卡支付管理系统项目基金</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69"/>
              <w:jc w:val="right"/>
              <w:rPr>
                <w:rFonts w:ascii="Arial" w:hAnsi="Arial" w:cs="Arial" w:eastAsia="Arial" w:hint="default"/>
                <w:sz w:val="20"/>
                <w:szCs w:val="20"/>
              </w:rPr>
            </w:pPr>
            <w:r>
              <w:rPr>
                <w:rFonts w:ascii="Arial"/>
                <w:sz w:val="20"/>
              </w:rPr>
              <w:t>500,000</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w w:val="100"/>
                <w:sz w:val="20"/>
              </w:rPr>
              <w:t>-</w:t>
            </w:r>
          </w:p>
        </w:tc>
      </w:tr>
      <w:tr>
        <w:trPr>
          <w:trHeight w:val="312"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51" w:lineRule="exact"/>
              <w:ind w:left="68" w:right="0"/>
              <w:jc w:val="left"/>
              <w:rPr>
                <w:rFonts w:ascii="黑体" w:hAnsi="黑体" w:cs="黑体" w:eastAsia="黑体" w:hint="default"/>
                <w:sz w:val="20"/>
                <w:szCs w:val="20"/>
              </w:rPr>
            </w:pPr>
            <w:r>
              <w:rPr>
                <w:rFonts w:ascii="黑体" w:hAnsi="黑体" w:cs="黑体" w:eastAsia="黑体" w:hint="default"/>
                <w:sz w:val="20"/>
                <w:szCs w:val="20"/>
              </w:rPr>
              <w:t>非公经济发展支持专项资金</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69"/>
              <w:jc w:val="right"/>
              <w:rPr>
                <w:rFonts w:ascii="Arial" w:hAnsi="Arial" w:cs="Arial" w:eastAsia="Arial" w:hint="default"/>
                <w:sz w:val="20"/>
                <w:szCs w:val="20"/>
              </w:rPr>
            </w:pPr>
            <w:r>
              <w:rPr>
                <w:rFonts w:ascii="Arial"/>
                <w:sz w:val="20"/>
              </w:rPr>
              <w:t>300,000</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w w:val="100"/>
                <w:sz w:val="20"/>
              </w:rPr>
              <w:t>-</w:t>
            </w:r>
          </w:p>
        </w:tc>
      </w:tr>
      <w:tr>
        <w:trPr>
          <w:trHeight w:val="311"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65" w:lineRule="exact"/>
              <w:ind w:left="35" w:right="0"/>
              <w:jc w:val="left"/>
              <w:rPr>
                <w:rFonts w:ascii="黑体" w:hAnsi="黑体" w:cs="黑体" w:eastAsia="黑体" w:hint="default"/>
                <w:sz w:val="20"/>
                <w:szCs w:val="20"/>
              </w:rPr>
            </w:pPr>
            <w:r>
              <w:rPr>
                <w:rFonts w:ascii="黑体" w:hAnsi="黑体" w:cs="黑体" w:eastAsia="黑体" w:hint="default"/>
                <w:spacing w:val="2"/>
                <w:sz w:val="20"/>
                <w:szCs w:val="20"/>
              </w:rPr>
              <w:t>南京市</w:t>
            </w:r>
            <w:r>
              <w:rPr>
                <w:rFonts w:ascii="Arial" w:hAnsi="Arial" w:cs="Arial" w:eastAsia="Arial" w:hint="default"/>
                <w:spacing w:val="2"/>
                <w:sz w:val="20"/>
                <w:szCs w:val="20"/>
              </w:rPr>
              <w:t>2009</w:t>
            </w:r>
            <w:r>
              <w:rPr>
                <w:rFonts w:ascii="黑体" w:hAnsi="黑体" w:cs="黑体" w:eastAsia="黑体" w:hint="default"/>
                <w:spacing w:val="2"/>
                <w:sz w:val="20"/>
                <w:szCs w:val="20"/>
              </w:rPr>
              <w:t>年软件企业发展专项资金计划项目及</w:t>
            </w:r>
            <w:r>
              <w:rPr>
                <w:rFonts w:ascii="黑体" w:hAnsi="黑体" w:cs="黑体" w:eastAsia="黑体" w:hint="default"/>
                <w:sz w:val="20"/>
                <w:szCs w:val="20"/>
              </w:rPr>
            </w:r>
          </w:p>
        </w:tc>
        <w:tc>
          <w:tcPr>
            <w:tcW w:w="1741"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r>
      <w:tr>
        <w:trPr>
          <w:trHeight w:val="313"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52" w:lineRule="exact"/>
              <w:ind w:left="245" w:right="0"/>
              <w:jc w:val="left"/>
              <w:rPr>
                <w:rFonts w:ascii="黑体" w:hAnsi="黑体" w:cs="黑体" w:eastAsia="黑体" w:hint="default"/>
                <w:sz w:val="20"/>
                <w:szCs w:val="20"/>
              </w:rPr>
            </w:pPr>
            <w:r>
              <w:rPr>
                <w:rFonts w:ascii="黑体" w:hAnsi="黑体" w:cs="黑体" w:eastAsia="黑体" w:hint="default"/>
                <w:sz w:val="20"/>
                <w:szCs w:val="20"/>
              </w:rPr>
              <w:t>经费</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69"/>
              <w:jc w:val="right"/>
              <w:rPr>
                <w:rFonts w:ascii="Arial" w:hAnsi="Arial" w:cs="Arial" w:eastAsia="Arial" w:hint="default"/>
                <w:sz w:val="20"/>
                <w:szCs w:val="20"/>
              </w:rPr>
            </w:pPr>
            <w:r>
              <w:rPr>
                <w:rFonts w:ascii="Arial"/>
                <w:spacing w:val="-1"/>
                <w:sz w:val="20"/>
              </w:rPr>
              <w:t>252,500</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3"/>
              <w:jc w:val="right"/>
              <w:rPr>
                <w:rFonts w:ascii="Arial" w:hAnsi="Arial" w:cs="Arial" w:eastAsia="Arial" w:hint="default"/>
                <w:sz w:val="20"/>
                <w:szCs w:val="20"/>
              </w:rPr>
            </w:pPr>
            <w:r>
              <w:rPr>
                <w:rFonts w:ascii="Arial"/>
                <w:sz w:val="20"/>
              </w:rPr>
              <w:t>200,000</w:t>
            </w:r>
          </w:p>
        </w:tc>
      </w:tr>
      <w:tr>
        <w:trPr>
          <w:trHeight w:val="312"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65" w:lineRule="exact"/>
              <w:ind w:left="68" w:right="0"/>
              <w:jc w:val="left"/>
              <w:rPr>
                <w:rFonts w:ascii="黑体" w:hAnsi="黑体" w:cs="黑体" w:eastAsia="黑体" w:hint="default"/>
                <w:sz w:val="20"/>
                <w:szCs w:val="20"/>
              </w:rPr>
            </w:pPr>
            <w:r>
              <w:rPr>
                <w:rFonts w:ascii="黑体" w:hAnsi="黑体" w:cs="黑体" w:eastAsia="黑体" w:hint="default"/>
                <w:sz w:val="20"/>
                <w:szCs w:val="20"/>
              </w:rPr>
              <w:t>北京市</w:t>
            </w:r>
            <w:r>
              <w:rPr>
                <w:rFonts w:ascii="Arial" w:hAnsi="Arial" w:cs="Arial" w:eastAsia="Arial" w:hint="default"/>
                <w:sz w:val="20"/>
                <w:szCs w:val="20"/>
              </w:rPr>
              <w:t>B2B</w:t>
            </w:r>
            <w:r>
              <w:rPr>
                <w:rFonts w:ascii="黑体" w:hAnsi="黑体" w:cs="黑体" w:eastAsia="黑体" w:hint="default"/>
                <w:sz w:val="20"/>
                <w:szCs w:val="20"/>
              </w:rPr>
              <w:t>在线商务平台</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69"/>
              <w:jc w:val="right"/>
              <w:rPr>
                <w:rFonts w:ascii="Arial" w:hAnsi="Arial" w:cs="Arial" w:eastAsia="Arial" w:hint="default"/>
                <w:sz w:val="20"/>
                <w:szCs w:val="20"/>
              </w:rPr>
            </w:pPr>
            <w:r>
              <w:rPr>
                <w:rFonts w:ascii="Arial"/>
                <w:w w:val="100"/>
                <w:sz w:val="20"/>
              </w:rPr>
              <w:t>-</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Arial" w:hAnsi="Arial" w:cs="Arial" w:eastAsia="Arial" w:hint="default"/>
                <w:sz w:val="20"/>
                <w:szCs w:val="20"/>
              </w:rPr>
            </w:pPr>
            <w:r>
              <w:rPr>
                <w:rFonts w:ascii="Arial"/>
                <w:sz w:val="20"/>
              </w:rPr>
              <w:t>5,000,000</w:t>
            </w:r>
          </w:p>
        </w:tc>
      </w:tr>
      <w:tr>
        <w:trPr>
          <w:trHeight w:val="311"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65" w:lineRule="exact"/>
              <w:ind w:left="68" w:right="0"/>
              <w:jc w:val="left"/>
              <w:rPr>
                <w:rFonts w:ascii="黑体" w:hAnsi="黑体" w:cs="黑体" w:eastAsia="黑体" w:hint="default"/>
                <w:sz w:val="20"/>
                <w:szCs w:val="20"/>
              </w:rPr>
            </w:pPr>
            <w:r>
              <w:rPr>
                <w:rFonts w:ascii="黑体" w:hAnsi="黑体" w:cs="黑体" w:eastAsia="黑体" w:hint="default"/>
                <w:sz w:val="20"/>
                <w:szCs w:val="20"/>
              </w:rPr>
              <w:t>国家</w:t>
            </w:r>
            <w:r>
              <w:rPr>
                <w:rFonts w:ascii="Arial" w:hAnsi="Arial" w:cs="Arial" w:eastAsia="Arial" w:hint="default"/>
                <w:sz w:val="20"/>
                <w:szCs w:val="20"/>
              </w:rPr>
              <w:t>863</w:t>
            </w:r>
            <w:r>
              <w:rPr>
                <w:rFonts w:ascii="黑体" w:hAnsi="黑体" w:cs="黑体" w:eastAsia="黑体" w:hint="default"/>
                <w:sz w:val="20"/>
                <w:szCs w:val="20"/>
              </w:rPr>
              <w:t>计划（</w:t>
            </w:r>
            <w:r>
              <w:rPr>
                <w:rFonts w:ascii="Arial" w:hAnsi="Arial" w:cs="Arial" w:eastAsia="Arial" w:hint="default"/>
                <w:sz w:val="20"/>
                <w:szCs w:val="20"/>
              </w:rPr>
              <w:t>ERP-U8</w:t>
            </w:r>
            <w:r>
              <w:rPr>
                <w:rFonts w:ascii="黑体" w:hAnsi="黑体" w:cs="黑体" w:eastAsia="黑体" w:hint="default"/>
                <w:sz w:val="20"/>
                <w:szCs w:val="20"/>
              </w:rPr>
              <w:t>）以</w:t>
            </w:r>
            <w:r>
              <w:rPr>
                <w:rFonts w:ascii="Arial" w:hAnsi="Arial" w:cs="Arial" w:eastAsia="Arial" w:hint="default"/>
                <w:sz w:val="20"/>
                <w:szCs w:val="20"/>
              </w:rPr>
              <w:t>ERP</w:t>
            </w:r>
            <w:r>
              <w:rPr>
                <w:rFonts w:ascii="黑体" w:hAnsi="黑体" w:cs="黑体" w:eastAsia="黑体" w:hint="default"/>
                <w:sz w:val="20"/>
                <w:szCs w:val="20"/>
              </w:rPr>
              <w:t>为核心的企业应</w:t>
            </w:r>
          </w:p>
        </w:tc>
        <w:tc>
          <w:tcPr>
            <w:tcW w:w="1741"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r>
      <w:tr>
        <w:trPr>
          <w:trHeight w:val="312"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52" w:lineRule="exact"/>
              <w:ind w:left="230" w:right="0"/>
              <w:jc w:val="left"/>
              <w:rPr>
                <w:rFonts w:ascii="黑体" w:hAnsi="黑体" w:cs="黑体" w:eastAsia="黑体" w:hint="default"/>
                <w:sz w:val="20"/>
                <w:szCs w:val="20"/>
              </w:rPr>
            </w:pPr>
            <w:r>
              <w:rPr>
                <w:rFonts w:ascii="黑体" w:hAnsi="黑体" w:cs="黑体" w:eastAsia="黑体" w:hint="default"/>
                <w:sz w:val="20"/>
                <w:szCs w:val="20"/>
              </w:rPr>
              <w:t>用集成平台及集成构件的开发与应用</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70"/>
              <w:jc w:val="right"/>
              <w:rPr>
                <w:rFonts w:ascii="Arial" w:hAnsi="Arial" w:cs="Arial" w:eastAsia="Arial" w:hint="default"/>
                <w:sz w:val="20"/>
                <w:szCs w:val="20"/>
              </w:rPr>
            </w:pPr>
            <w:r>
              <w:rPr>
                <w:rFonts w:ascii="Arial"/>
                <w:w w:val="100"/>
                <w:sz w:val="20"/>
              </w:rPr>
              <w:t>-</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spacing w:val="-1"/>
                <w:sz w:val="20"/>
              </w:rPr>
              <w:t>1,000,000</w:t>
            </w:r>
          </w:p>
        </w:tc>
      </w:tr>
      <w:tr>
        <w:trPr>
          <w:trHeight w:val="312"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51" w:lineRule="exact"/>
              <w:ind w:left="68" w:right="0"/>
              <w:jc w:val="left"/>
              <w:rPr>
                <w:rFonts w:ascii="黑体" w:hAnsi="黑体" w:cs="黑体" w:eastAsia="黑体" w:hint="default"/>
                <w:sz w:val="20"/>
                <w:szCs w:val="20"/>
              </w:rPr>
            </w:pPr>
            <w:r>
              <w:rPr>
                <w:rFonts w:ascii="黑体" w:hAnsi="黑体" w:cs="黑体" w:eastAsia="黑体" w:hint="default"/>
                <w:sz w:val="20"/>
                <w:szCs w:val="20"/>
              </w:rPr>
              <w:t>中国驰名商标、中国名牌产品称号一次性奖励</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69"/>
              <w:jc w:val="right"/>
              <w:rPr>
                <w:rFonts w:ascii="Arial" w:hAnsi="Arial" w:cs="Arial" w:eastAsia="Arial" w:hint="default"/>
                <w:sz w:val="20"/>
                <w:szCs w:val="20"/>
              </w:rPr>
            </w:pPr>
            <w:r>
              <w:rPr>
                <w:rFonts w:ascii="Arial"/>
                <w:w w:val="100"/>
                <w:sz w:val="20"/>
              </w:rPr>
              <w:t>-</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sz w:val="20"/>
              </w:rPr>
              <w:t>1,000,000</w:t>
            </w:r>
          </w:p>
        </w:tc>
      </w:tr>
      <w:tr>
        <w:trPr>
          <w:trHeight w:val="312"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51" w:lineRule="exact"/>
              <w:ind w:left="68" w:right="0"/>
              <w:jc w:val="left"/>
              <w:rPr>
                <w:rFonts w:ascii="黑体" w:hAnsi="黑体" w:cs="黑体" w:eastAsia="黑体" w:hint="default"/>
                <w:sz w:val="20"/>
                <w:szCs w:val="20"/>
              </w:rPr>
            </w:pPr>
            <w:r>
              <w:rPr>
                <w:rFonts w:ascii="黑体" w:hAnsi="黑体" w:cs="黑体" w:eastAsia="黑体" w:hint="default"/>
                <w:sz w:val="20"/>
                <w:szCs w:val="20"/>
              </w:rPr>
              <w:t>面向中小型企业的信息化管理移动平台</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69"/>
              <w:jc w:val="right"/>
              <w:rPr>
                <w:rFonts w:ascii="Arial" w:hAnsi="Arial" w:cs="Arial" w:eastAsia="Arial" w:hint="default"/>
                <w:sz w:val="20"/>
                <w:szCs w:val="20"/>
              </w:rPr>
            </w:pPr>
            <w:r>
              <w:rPr>
                <w:rFonts w:ascii="Arial"/>
                <w:w w:val="100"/>
                <w:sz w:val="20"/>
              </w:rPr>
              <w:t>-</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Arial" w:hAnsi="Arial" w:cs="Arial" w:eastAsia="Arial" w:hint="default"/>
                <w:sz w:val="20"/>
                <w:szCs w:val="20"/>
              </w:rPr>
            </w:pPr>
            <w:r>
              <w:rPr>
                <w:rFonts w:ascii="Arial"/>
                <w:sz w:val="20"/>
              </w:rPr>
              <w:t>115,000</w:t>
            </w:r>
          </w:p>
        </w:tc>
      </w:tr>
      <w:tr>
        <w:trPr>
          <w:trHeight w:val="473"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51" w:lineRule="exact"/>
              <w:ind w:left="67"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7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3"/>
                <w:sz w:val="20"/>
                <w:u w:val="single" w:color="000000"/>
              </w:rPr>
              <w:t> </w:t>
            </w:r>
            <w:r>
              <w:rPr>
                <w:rFonts w:ascii="Arial"/>
                <w:sz w:val="20"/>
                <w:u w:val="single" w:color="000000"/>
              </w:rPr>
              <w:t>1,187,997</w:t>
            </w:r>
            <w:r>
              <w:rPr>
                <w:rFonts w:ascii="Arial"/>
                <w:sz w:val="20"/>
              </w:rPr>
            </w:r>
          </w:p>
        </w:tc>
        <w:tc>
          <w:tcPr>
            <w:tcW w:w="1431"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35"/>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987,780</w:t>
            </w:r>
            <w:r>
              <w:rPr>
                <w:rFonts w:ascii="Arial"/>
                <w:sz w:val="20"/>
              </w:rPr>
            </w:r>
          </w:p>
        </w:tc>
      </w:tr>
      <w:tr>
        <w:trPr>
          <w:trHeight w:val="512" w:hRule="exact"/>
        </w:trPr>
        <w:tc>
          <w:tcPr>
            <w:tcW w:w="4717"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Arial" w:hAnsi="Arial" w:cs="Arial" w:eastAsia="Arial" w:hint="default"/>
                <w:sz w:val="16"/>
                <w:szCs w:val="16"/>
              </w:rPr>
            </w:pPr>
          </w:p>
          <w:p>
            <w:pPr>
              <w:pStyle w:val="TableParagraph"/>
              <w:spacing w:line="240" w:lineRule="auto"/>
              <w:ind w:right="369"/>
              <w:jc w:val="right"/>
              <w:rPr>
                <w:rFonts w:ascii="Arial" w:hAnsi="Arial" w:cs="Arial" w:eastAsia="Arial" w:hint="default"/>
                <w:sz w:val="20"/>
                <w:szCs w:val="20"/>
              </w:rPr>
            </w:pPr>
            <w:r>
              <w:rPr>
                <w:rFonts w:ascii="Arial"/>
                <w:w w:val="100"/>
                <w:sz w:val="20"/>
              </w:rPr>
            </w:r>
            <w:r>
              <w:rPr>
                <w:rFonts w:ascii="Arial"/>
                <w:spacing w:val="-1"/>
                <w:sz w:val="20"/>
                <w:u w:val="thick" w:color="000000"/>
              </w:rPr>
              <w:t>50,075,797</w:t>
            </w:r>
            <w:r>
              <w:rPr>
                <w:rFonts w:ascii="Arial"/>
                <w:spacing w:val="-1"/>
                <w:sz w:val="20"/>
              </w:rPr>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Arial" w:hAnsi="Arial" w:cs="Arial" w:eastAsia="Arial" w:hint="default"/>
                <w:sz w:val="16"/>
                <w:szCs w:val="16"/>
              </w:rPr>
            </w:pPr>
          </w:p>
          <w:p>
            <w:pPr>
              <w:pStyle w:val="TableParagraph"/>
              <w:spacing w:line="240" w:lineRule="auto"/>
              <w:ind w:right="34"/>
              <w:jc w:val="right"/>
              <w:rPr>
                <w:rFonts w:ascii="Arial" w:hAnsi="Arial" w:cs="Arial" w:eastAsia="Arial" w:hint="default"/>
                <w:sz w:val="20"/>
                <w:szCs w:val="20"/>
              </w:rPr>
            </w:pPr>
            <w:r>
              <w:rPr>
                <w:rFonts w:ascii="Arial"/>
                <w:w w:val="100"/>
                <w:sz w:val="20"/>
              </w:rPr>
            </w:r>
            <w:r>
              <w:rPr>
                <w:rFonts w:ascii="Arial"/>
                <w:spacing w:val="-1"/>
                <w:sz w:val="20"/>
                <w:u w:val="thick" w:color="000000"/>
              </w:rPr>
              <w:t>35,152,380</w:t>
            </w:r>
            <w:r>
              <w:rPr>
                <w:rFonts w:ascii="Arial"/>
                <w:spacing w:val="-1"/>
                <w:sz w:val="20"/>
              </w:rPr>
            </w:r>
          </w:p>
        </w:tc>
      </w:tr>
    </w:tbl>
    <w:p>
      <w:pPr>
        <w:spacing w:after="0" w:line="240" w:lineRule="auto"/>
        <w:jc w:val="right"/>
        <w:rPr>
          <w:rFonts w:ascii="Arial" w:hAnsi="Arial" w:cs="Arial" w:eastAsia="Arial" w:hint="default"/>
          <w:sz w:val="20"/>
          <w:szCs w:val="20"/>
        </w:rPr>
        <w:sectPr>
          <w:pgSz w:w="11910" w:h="16840"/>
          <w:pgMar w:header="828" w:footer="476" w:top="2420" w:bottom="660" w:left="1600" w:right="15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5"/>
          <w:szCs w:val="15"/>
        </w:rPr>
      </w:pPr>
    </w:p>
    <w:tbl>
      <w:tblPr>
        <w:tblW w:w="0" w:type="auto"/>
        <w:jc w:val="left"/>
        <w:tblInd w:w="106" w:type="dxa"/>
        <w:tblLayout w:type="fixed"/>
        <w:tblCellMar>
          <w:top w:w="0" w:type="dxa"/>
          <w:left w:w="0" w:type="dxa"/>
          <w:bottom w:w="0" w:type="dxa"/>
          <w:right w:w="0" w:type="dxa"/>
        </w:tblCellMar>
        <w:tblLook w:val="01E0"/>
      </w:tblPr>
      <w:tblGrid>
        <w:gridCol w:w="587"/>
        <w:gridCol w:w="4251"/>
        <w:gridCol w:w="2165"/>
        <w:gridCol w:w="1670"/>
      </w:tblGrid>
      <w:tr>
        <w:trPr>
          <w:trHeight w:val="1034" w:hRule="exact"/>
        </w:trPr>
        <w:tc>
          <w:tcPr>
            <w:tcW w:w="58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五、</w:t>
            </w:r>
            <w:r>
              <w:rPr>
                <w:rFonts w:ascii="黑体" w:hAnsi="黑体" w:cs="黑体" w:eastAsia="黑体" w:hint="default"/>
                <w:sz w:val="20"/>
                <w:szCs w:val="20"/>
              </w:rPr>
            </w:r>
          </w:p>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left="35" w:right="0"/>
              <w:jc w:val="left"/>
              <w:rPr>
                <w:rFonts w:ascii="Arial" w:hAnsi="Arial" w:cs="Arial" w:eastAsia="Arial" w:hint="default"/>
                <w:sz w:val="20"/>
                <w:szCs w:val="20"/>
              </w:rPr>
            </w:pPr>
            <w:r>
              <w:rPr>
                <w:rFonts w:ascii="Arial"/>
                <w:b/>
                <w:sz w:val="20"/>
              </w:rPr>
              <w:t>40.</w:t>
            </w:r>
            <w:r>
              <w:rPr>
                <w:rFonts w:ascii="Arial"/>
                <w:sz w:val="20"/>
              </w:rPr>
            </w:r>
          </w:p>
        </w:tc>
        <w:tc>
          <w:tcPr>
            <w:tcW w:w="4251" w:type="dxa"/>
            <w:tcBorders>
              <w:top w:val="nil" w:sz="6" w:space="0" w:color="auto"/>
              <w:left w:val="nil" w:sz="6" w:space="0" w:color="auto"/>
              <w:bottom w:val="nil" w:sz="6" w:space="0" w:color="auto"/>
              <w:right w:val="nil" w:sz="6" w:space="0" w:color="auto"/>
            </w:tcBorders>
          </w:tcPr>
          <w:p>
            <w:pPr>
              <w:pStyle w:val="TableParagraph"/>
              <w:spacing w:line="475" w:lineRule="auto" w:before="38"/>
              <w:ind w:left="167" w:right="1086" w:hanging="18"/>
              <w:jc w:val="left"/>
              <w:rPr>
                <w:rFonts w:ascii="黑体" w:hAnsi="黑体" w:cs="黑体" w:eastAsia="黑体" w:hint="default"/>
                <w:sz w:val="20"/>
                <w:szCs w:val="20"/>
              </w:rPr>
            </w:pPr>
            <w:r>
              <w:rPr>
                <w:rFonts w:ascii="黑体" w:hAnsi="黑体" w:cs="黑体" w:eastAsia="黑体" w:hint="default"/>
                <w:b/>
                <w:bCs/>
                <w:sz w:val="20"/>
                <w:szCs w:val="20"/>
              </w:rPr>
              <w:t>合并财务报表主要项目注释（续）</w:t>
            </w:r>
            <w:r>
              <w:rPr>
                <w:rFonts w:ascii="黑体" w:hAnsi="黑体" w:cs="黑体" w:eastAsia="黑体" w:hint="default"/>
                <w:b/>
                <w:bCs/>
                <w:w w:val="99"/>
                <w:sz w:val="20"/>
                <w:szCs w:val="20"/>
              </w:rPr>
              <w:t> </w:t>
            </w:r>
            <w:r>
              <w:rPr>
                <w:rFonts w:ascii="黑体" w:hAnsi="黑体" w:cs="黑体" w:eastAsia="黑体" w:hint="default"/>
                <w:b/>
                <w:bCs/>
                <w:sz w:val="20"/>
                <w:szCs w:val="20"/>
              </w:rPr>
              <w:t>营业外支出</w:t>
            </w:r>
            <w:r>
              <w:rPr>
                <w:rFonts w:ascii="黑体" w:hAnsi="黑体" w:cs="黑体" w:eastAsia="黑体" w:hint="default"/>
                <w:sz w:val="20"/>
                <w:szCs w:val="20"/>
              </w:rPr>
            </w:r>
          </w:p>
        </w:tc>
        <w:tc>
          <w:tcPr>
            <w:tcW w:w="3836" w:type="dxa"/>
            <w:gridSpan w:val="2"/>
            <w:tcBorders>
              <w:top w:val="nil" w:sz="6" w:space="0" w:color="auto"/>
              <w:left w:val="nil" w:sz="6" w:space="0" w:color="auto"/>
              <w:bottom w:val="nil" w:sz="6" w:space="0" w:color="auto"/>
              <w:right w:val="nil" w:sz="6" w:space="0" w:color="auto"/>
            </w:tcBorders>
          </w:tcPr>
          <w:p>
            <w:pPr/>
          </w:p>
        </w:tc>
      </w:tr>
      <w:tr>
        <w:trPr>
          <w:trHeight w:val="624"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1043"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59"/>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464"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184" w:right="0"/>
              <w:jc w:val="left"/>
              <w:rPr>
                <w:rFonts w:ascii="黑体" w:hAnsi="黑体" w:cs="黑体" w:eastAsia="黑体" w:hint="default"/>
                <w:sz w:val="20"/>
                <w:szCs w:val="20"/>
              </w:rPr>
            </w:pPr>
            <w:r>
              <w:rPr>
                <w:rFonts w:ascii="黑体" w:hAnsi="黑体" w:cs="黑体" w:eastAsia="黑体" w:hint="default"/>
                <w:sz w:val="20"/>
                <w:szCs w:val="20"/>
              </w:rPr>
              <w:t>注销分公司的净损失</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left="798" w:right="0"/>
              <w:jc w:val="left"/>
              <w:rPr>
                <w:rFonts w:ascii="Arial" w:hAnsi="Arial" w:cs="Arial" w:eastAsia="Arial" w:hint="default"/>
                <w:sz w:val="20"/>
                <w:szCs w:val="20"/>
              </w:rPr>
            </w:pPr>
            <w:r>
              <w:rPr>
                <w:rFonts w:ascii="Arial"/>
                <w:sz w:val="20"/>
              </w:rPr>
              <w:t>3,321,974</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160"/>
              <w:jc w:val="right"/>
              <w:rPr>
                <w:rFonts w:ascii="Arial" w:hAnsi="Arial" w:cs="Arial" w:eastAsia="Arial" w:hint="default"/>
                <w:sz w:val="20"/>
                <w:szCs w:val="20"/>
              </w:rPr>
            </w:pPr>
            <w:r>
              <w:rPr>
                <w:rFonts w:ascii="Arial"/>
                <w:w w:val="100"/>
                <w:sz w:val="20"/>
              </w:rPr>
              <w:t>-</w:t>
            </w:r>
          </w:p>
        </w:tc>
      </w:tr>
      <w:tr>
        <w:trPr>
          <w:trHeight w:val="312"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55" w:lineRule="exact"/>
              <w:ind w:left="184" w:right="0"/>
              <w:jc w:val="left"/>
              <w:rPr>
                <w:rFonts w:ascii="黑体" w:hAnsi="黑体" w:cs="黑体" w:eastAsia="黑体" w:hint="default"/>
                <w:sz w:val="20"/>
                <w:szCs w:val="20"/>
              </w:rPr>
            </w:pPr>
            <w:r>
              <w:rPr>
                <w:rFonts w:ascii="黑体" w:hAnsi="黑体" w:cs="黑体" w:eastAsia="黑体" w:hint="default"/>
                <w:sz w:val="20"/>
                <w:szCs w:val="20"/>
              </w:rPr>
              <w:t>非流动资产处置损失</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798" w:right="0"/>
              <w:jc w:val="left"/>
              <w:rPr>
                <w:rFonts w:ascii="Arial" w:hAnsi="Arial" w:cs="Arial" w:eastAsia="Arial" w:hint="default"/>
                <w:sz w:val="20"/>
                <w:szCs w:val="20"/>
              </w:rPr>
            </w:pPr>
            <w:r>
              <w:rPr>
                <w:rFonts w:ascii="Arial"/>
                <w:sz w:val="20"/>
              </w:rPr>
              <w:t>1,481,922</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60"/>
              <w:jc w:val="right"/>
              <w:rPr>
                <w:rFonts w:ascii="Arial" w:hAnsi="Arial" w:cs="Arial" w:eastAsia="Arial" w:hint="default"/>
                <w:sz w:val="20"/>
                <w:szCs w:val="20"/>
              </w:rPr>
            </w:pPr>
            <w:r>
              <w:rPr>
                <w:rFonts w:ascii="Arial"/>
                <w:spacing w:val="-1"/>
                <w:sz w:val="20"/>
              </w:rPr>
              <w:t>2,345,070</w:t>
            </w:r>
          </w:p>
        </w:tc>
      </w:tr>
      <w:tr>
        <w:trPr>
          <w:trHeight w:val="312"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55" w:lineRule="exact"/>
              <w:ind w:left="184" w:right="0"/>
              <w:jc w:val="left"/>
              <w:rPr>
                <w:rFonts w:ascii="黑体" w:hAnsi="黑体" w:cs="黑体" w:eastAsia="黑体" w:hint="default"/>
                <w:sz w:val="20"/>
                <w:szCs w:val="20"/>
              </w:rPr>
            </w:pPr>
            <w:r>
              <w:rPr>
                <w:rFonts w:ascii="黑体" w:hAnsi="黑体" w:cs="黑体" w:eastAsia="黑体" w:hint="default"/>
                <w:sz w:val="20"/>
                <w:szCs w:val="20"/>
              </w:rPr>
              <w:t>其中：固定资产处置损失</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798" w:right="0"/>
              <w:jc w:val="left"/>
              <w:rPr>
                <w:rFonts w:ascii="Arial" w:hAnsi="Arial" w:cs="Arial" w:eastAsia="Arial" w:hint="default"/>
                <w:sz w:val="20"/>
                <w:szCs w:val="20"/>
              </w:rPr>
            </w:pPr>
            <w:r>
              <w:rPr>
                <w:rFonts w:ascii="Arial"/>
                <w:sz w:val="20"/>
              </w:rPr>
              <w:t>1,148,625</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60"/>
              <w:jc w:val="right"/>
              <w:rPr>
                <w:rFonts w:ascii="Arial" w:hAnsi="Arial" w:cs="Arial" w:eastAsia="Arial" w:hint="default"/>
                <w:sz w:val="20"/>
                <w:szCs w:val="20"/>
              </w:rPr>
            </w:pPr>
            <w:r>
              <w:rPr>
                <w:rFonts w:ascii="Arial"/>
                <w:spacing w:val="-1"/>
                <w:sz w:val="20"/>
              </w:rPr>
              <w:t>2,345,070</w:t>
            </w:r>
          </w:p>
        </w:tc>
      </w:tr>
      <w:tr>
        <w:trPr>
          <w:trHeight w:val="312"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55" w:lineRule="exact"/>
              <w:ind w:left="777" w:right="0"/>
              <w:jc w:val="left"/>
              <w:rPr>
                <w:rFonts w:ascii="黑体" w:hAnsi="黑体" w:cs="黑体" w:eastAsia="黑体" w:hint="default"/>
                <w:sz w:val="20"/>
                <w:szCs w:val="20"/>
              </w:rPr>
            </w:pPr>
            <w:r>
              <w:rPr>
                <w:rFonts w:ascii="黑体" w:hAnsi="黑体" w:cs="黑体" w:eastAsia="黑体" w:hint="default"/>
                <w:sz w:val="20"/>
                <w:szCs w:val="20"/>
              </w:rPr>
              <w:t>无形资产处置损失</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965" w:right="0"/>
              <w:jc w:val="left"/>
              <w:rPr>
                <w:rFonts w:ascii="Arial" w:hAnsi="Arial" w:cs="Arial" w:eastAsia="Arial" w:hint="default"/>
                <w:sz w:val="20"/>
                <w:szCs w:val="20"/>
              </w:rPr>
            </w:pPr>
            <w:r>
              <w:rPr>
                <w:rFonts w:ascii="Arial"/>
                <w:sz w:val="20"/>
              </w:rPr>
              <w:t>333,297</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60"/>
              <w:jc w:val="right"/>
              <w:rPr>
                <w:rFonts w:ascii="Arial" w:hAnsi="Arial" w:cs="Arial" w:eastAsia="Arial" w:hint="default"/>
                <w:sz w:val="20"/>
                <w:szCs w:val="20"/>
              </w:rPr>
            </w:pPr>
            <w:r>
              <w:rPr>
                <w:rFonts w:ascii="Arial"/>
                <w:w w:val="100"/>
                <w:sz w:val="20"/>
              </w:rPr>
              <w:t>-</w:t>
            </w:r>
          </w:p>
        </w:tc>
      </w:tr>
      <w:tr>
        <w:trPr>
          <w:trHeight w:val="312"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55" w:lineRule="exact"/>
              <w:ind w:left="148" w:right="0"/>
              <w:jc w:val="left"/>
              <w:rPr>
                <w:rFonts w:ascii="黑体" w:hAnsi="黑体" w:cs="黑体" w:eastAsia="黑体" w:hint="default"/>
                <w:sz w:val="20"/>
                <w:szCs w:val="20"/>
              </w:rPr>
            </w:pPr>
            <w:r>
              <w:rPr>
                <w:rFonts w:ascii="黑体" w:hAnsi="黑体" w:cs="黑体" w:eastAsia="黑体" w:hint="default"/>
                <w:sz w:val="20"/>
                <w:szCs w:val="20"/>
              </w:rPr>
              <w:t>罚款支出</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965" w:right="0"/>
              <w:jc w:val="left"/>
              <w:rPr>
                <w:rFonts w:ascii="Arial" w:hAnsi="Arial" w:cs="Arial" w:eastAsia="Arial" w:hint="default"/>
                <w:sz w:val="20"/>
                <w:szCs w:val="20"/>
              </w:rPr>
            </w:pPr>
            <w:r>
              <w:rPr>
                <w:rFonts w:ascii="Arial"/>
                <w:sz w:val="20"/>
              </w:rPr>
              <w:t>803,693</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60"/>
              <w:jc w:val="right"/>
              <w:rPr>
                <w:rFonts w:ascii="Arial" w:hAnsi="Arial" w:cs="Arial" w:eastAsia="Arial" w:hint="default"/>
                <w:sz w:val="20"/>
                <w:szCs w:val="20"/>
              </w:rPr>
            </w:pPr>
            <w:r>
              <w:rPr>
                <w:rFonts w:ascii="Arial"/>
                <w:spacing w:val="-1"/>
                <w:sz w:val="20"/>
              </w:rPr>
              <w:t>660,653</w:t>
            </w:r>
          </w:p>
        </w:tc>
      </w:tr>
      <w:tr>
        <w:trPr>
          <w:trHeight w:val="312"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55" w:lineRule="exact"/>
              <w:ind w:left="184" w:right="0"/>
              <w:jc w:val="left"/>
              <w:rPr>
                <w:rFonts w:ascii="黑体" w:hAnsi="黑体" w:cs="黑体" w:eastAsia="黑体" w:hint="default"/>
                <w:sz w:val="20"/>
                <w:szCs w:val="20"/>
              </w:rPr>
            </w:pPr>
            <w:r>
              <w:rPr>
                <w:rFonts w:ascii="黑体" w:hAnsi="黑体" w:cs="黑体" w:eastAsia="黑体" w:hint="default"/>
                <w:sz w:val="20"/>
                <w:szCs w:val="20"/>
              </w:rPr>
              <w:t>对外捐赠</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965" w:right="0"/>
              <w:jc w:val="left"/>
              <w:rPr>
                <w:rFonts w:ascii="Arial" w:hAnsi="Arial" w:cs="Arial" w:eastAsia="Arial" w:hint="default"/>
                <w:sz w:val="20"/>
                <w:szCs w:val="20"/>
              </w:rPr>
            </w:pPr>
            <w:r>
              <w:rPr>
                <w:rFonts w:ascii="Arial"/>
                <w:sz w:val="20"/>
              </w:rPr>
              <w:t>361,300</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59"/>
              <w:jc w:val="right"/>
              <w:rPr>
                <w:rFonts w:ascii="Arial" w:hAnsi="Arial" w:cs="Arial" w:eastAsia="Arial" w:hint="default"/>
                <w:sz w:val="20"/>
                <w:szCs w:val="20"/>
              </w:rPr>
            </w:pPr>
            <w:r>
              <w:rPr>
                <w:rFonts w:ascii="Arial"/>
                <w:spacing w:val="-1"/>
                <w:sz w:val="20"/>
              </w:rPr>
              <w:t>3,179,406</w:t>
            </w:r>
          </w:p>
        </w:tc>
      </w:tr>
      <w:tr>
        <w:trPr>
          <w:trHeight w:val="312"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55" w:lineRule="exact"/>
              <w:ind w:left="184" w:right="0"/>
              <w:jc w:val="left"/>
              <w:rPr>
                <w:rFonts w:ascii="黑体" w:hAnsi="黑体" w:cs="黑体" w:eastAsia="黑体" w:hint="default"/>
                <w:sz w:val="20"/>
                <w:szCs w:val="20"/>
              </w:rPr>
            </w:pPr>
            <w:r>
              <w:rPr>
                <w:rFonts w:ascii="黑体" w:hAnsi="黑体" w:cs="黑体" w:eastAsia="黑体" w:hint="default"/>
                <w:sz w:val="20"/>
                <w:szCs w:val="20"/>
              </w:rPr>
              <w:t>盘亏损失</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75" w:right="0"/>
              <w:jc w:val="left"/>
              <w:rPr>
                <w:rFonts w:ascii="Arial" w:hAnsi="Arial" w:cs="Arial" w:eastAsia="Arial" w:hint="default"/>
                <w:sz w:val="20"/>
                <w:szCs w:val="20"/>
              </w:rPr>
            </w:pPr>
            <w:r>
              <w:rPr>
                <w:rFonts w:ascii="Arial"/>
                <w:sz w:val="20"/>
              </w:rPr>
              <w:t>10,735</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59"/>
              <w:jc w:val="right"/>
              <w:rPr>
                <w:rFonts w:ascii="Arial" w:hAnsi="Arial" w:cs="Arial" w:eastAsia="Arial" w:hint="default"/>
                <w:sz w:val="20"/>
                <w:szCs w:val="20"/>
              </w:rPr>
            </w:pPr>
            <w:r>
              <w:rPr>
                <w:rFonts w:ascii="Arial"/>
                <w:sz w:val="20"/>
              </w:rPr>
              <w:t>2,932</w:t>
            </w:r>
          </w:p>
        </w:tc>
      </w:tr>
      <w:tr>
        <w:trPr>
          <w:trHeight w:val="312"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55" w:lineRule="exact"/>
              <w:ind w:left="148"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785"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3"/>
                <w:sz w:val="20"/>
                <w:u w:val="single" w:color="000000"/>
              </w:rPr>
              <w:t> </w:t>
            </w:r>
            <w:r>
              <w:rPr>
                <w:rFonts w:ascii="Arial"/>
                <w:sz w:val="20"/>
                <w:u w:val="single" w:color="000000"/>
              </w:rPr>
              <w:t>796,656</w:t>
            </w:r>
            <w:r>
              <w:rPr>
                <w:rFonts w:ascii="Arial"/>
                <w:sz w:val="20"/>
              </w:rPr>
            </w:r>
          </w:p>
        </w:tc>
        <w:tc>
          <w:tcPr>
            <w:tcW w:w="1670"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31"/>
              <w:ind w:right="15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2,129</w:t>
            </w:r>
            <w:r>
              <w:rPr>
                <w:rFonts w:ascii="Arial"/>
                <w:sz w:val="20"/>
              </w:rPr>
            </w:r>
          </w:p>
        </w:tc>
      </w:tr>
      <w:tr>
        <w:trPr>
          <w:trHeight w:val="467"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0"/>
              <w:ind w:left="798" w:right="0"/>
              <w:jc w:val="left"/>
              <w:rPr>
                <w:rFonts w:ascii="Arial" w:hAnsi="Arial" w:cs="Arial" w:eastAsia="Arial" w:hint="default"/>
                <w:sz w:val="20"/>
                <w:szCs w:val="20"/>
              </w:rPr>
            </w:pPr>
            <w:r>
              <w:rPr>
                <w:rFonts w:ascii="Arial"/>
                <w:w w:val="100"/>
                <w:sz w:val="20"/>
              </w:rPr>
            </w:r>
            <w:r>
              <w:rPr>
                <w:rFonts w:ascii="Arial"/>
                <w:sz w:val="20"/>
                <w:u w:val="thick" w:color="000000"/>
              </w:rPr>
              <w:t>6,776,280</w:t>
            </w:r>
            <w:r>
              <w:rPr>
                <w:rFonts w:ascii="Arial"/>
                <w:sz w:val="20"/>
              </w:rPr>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59"/>
              <w:jc w:val="right"/>
              <w:rPr>
                <w:rFonts w:ascii="Arial" w:hAnsi="Arial" w:cs="Arial" w:eastAsia="Arial" w:hint="default"/>
                <w:sz w:val="20"/>
                <w:szCs w:val="20"/>
              </w:rPr>
            </w:pPr>
            <w:r>
              <w:rPr>
                <w:rFonts w:ascii="Arial"/>
                <w:w w:val="100"/>
                <w:sz w:val="20"/>
              </w:rPr>
            </w:r>
            <w:r>
              <w:rPr>
                <w:rFonts w:ascii="Arial"/>
                <w:spacing w:val="-1"/>
                <w:sz w:val="20"/>
                <w:u w:val="thick" w:color="000000"/>
              </w:rPr>
              <w:t>6,190,190</w:t>
            </w:r>
            <w:r>
              <w:rPr>
                <w:rFonts w:ascii="Arial"/>
                <w:spacing w:val="-1"/>
                <w:sz w:val="20"/>
              </w:rPr>
            </w:r>
          </w:p>
        </w:tc>
      </w:tr>
      <w:tr>
        <w:trPr>
          <w:trHeight w:val="628" w:hRule="exact"/>
        </w:trPr>
        <w:tc>
          <w:tcPr>
            <w:tcW w:w="5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6"/>
                <w:szCs w:val="16"/>
              </w:rPr>
            </w:pPr>
          </w:p>
          <w:p>
            <w:pPr>
              <w:pStyle w:val="TableParagraph"/>
              <w:spacing w:line="240" w:lineRule="auto"/>
              <w:ind w:left="35" w:right="0"/>
              <w:jc w:val="left"/>
              <w:rPr>
                <w:rFonts w:ascii="Arial" w:hAnsi="Arial" w:cs="Arial" w:eastAsia="Arial" w:hint="default"/>
                <w:sz w:val="20"/>
                <w:szCs w:val="20"/>
              </w:rPr>
            </w:pPr>
            <w:r>
              <w:rPr>
                <w:rFonts w:ascii="Arial"/>
                <w:b/>
                <w:sz w:val="20"/>
              </w:rPr>
              <w:t>41.</w:t>
            </w:r>
            <w:r>
              <w:rPr>
                <w:rFonts w:ascii="Arial"/>
                <w:sz w:val="20"/>
              </w:rPr>
            </w:r>
          </w:p>
        </w:tc>
        <w:tc>
          <w:tcPr>
            <w:tcW w:w="4251"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67" w:right="0"/>
              <w:jc w:val="left"/>
              <w:rPr>
                <w:rFonts w:ascii="黑体" w:hAnsi="黑体" w:cs="黑体" w:eastAsia="黑体" w:hint="default"/>
                <w:sz w:val="20"/>
                <w:szCs w:val="20"/>
              </w:rPr>
            </w:pPr>
            <w:r>
              <w:rPr>
                <w:rFonts w:ascii="黑体" w:hAnsi="黑体" w:cs="黑体" w:eastAsia="黑体" w:hint="default"/>
                <w:b/>
                <w:bCs/>
                <w:sz w:val="20"/>
                <w:szCs w:val="20"/>
              </w:rPr>
              <w:t>所得税费用</w:t>
            </w:r>
            <w:r>
              <w:rPr>
                <w:rFonts w:ascii="黑体" w:hAnsi="黑体" w:cs="黑体" w:eastAsia="黑体" w:hint="default"/>
                <w:sz w:val="20"/>
                <w:szCs w:val="20"/>
              </w:rPr>
            </w:r>
          </w:p>
        </w:tc>
        <w:tc>
          <w:tcPr>
            <w:tcW w:w="2165" w:type="dxa"/>
            <w:tcBorders>
              <w:top w:val="nil" w:sz="6" w:space="0" w:color="auto"/>
              <w:left w:val="nil" w:sz="6" w:space="0" w:color="auto"/>
              <w:bottom w:val="nil" w:sz="6" w:space="0" w:color="auto"/>
              <w:right w:val="nil" w:sz="6" w:space="0" w:color="auto"/>
            </w:tcBorders>
          </w:tcPr>
          <w:p>
            <w:pPr/>
          </w:p>
        </w:tc>
        <w:tc>
          <w:tcPr>
            <w:tcW w:w="1670" w:type="dxa"/>
            <w:tcBorders>
              <w:top w:val="nil" w:sz="6" w:space="0" w:color="auto"/>
              <w:left w:val="nil" w:sz="6" w:space="0" w:color="auto"/>
              <w:bottom w:val="nil" w:sz="6" w:space="0" w:color="auto"/>
              <w:right w:val="nil" w:sz="6" w:space="0" w:color="auto"/>
            </w:tcBorders>
          </w:tcPr>
          <w:p>
            <w:pPr/>
          </w:p>
        </w:tc>
      </w:tr>
      <w:tr>
        <w:trPr>
          <w:trHeight w:val="624"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1072"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33"/>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464"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156" w:right="0"/>
              <w:jc w:val="left"/>
              <w:rPr>
                <w:rFonts w:ascii="黑体" w:hAnsi="黑体" w:cs="黑体" w:eastAsia="黑体" w:hint="default"/>
                <w:sz w:val="20"/>
                <w:szCs w:val="20"/>
              </w:rPr>
            </w:pPr>
            <w:r>
              <w:rPr>
                <w:rFonts w:ascii="黑体" w:hAnsi="黑体" w:cs="黑体" w:eastAsia="黑体" w:hint="default"/>
                <w:sz w:val="20"/>
                <w:szCs w:val="20"/>
              </w:rPr>
              <w:t>当期所得税费用</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left="716" w:right="0"/>
              <w:jc w:val="left"/>
              <w:rPr>
                <w:rFonts w:ascii="Arial" w:hAnsi="Arial" w:cs="Arial" w:eastAsia="Arial" w:hint="default"/>
                <w:sz w:val="20"/>
                <w:szCs w:val="20"/>
              </w:rPr>
            </w:pPr>
            <w:r>
              <w:rPr>
                <w:rFonts w:ascii="Arial"/>
                <w:sz w:val="20"/>
              </w:rPr>
              <w:t>88,734,832</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132"/>
              <w:jc w:val="right"/>
              <w:rPr>
                <w:rFonts w:ascii="Arial" w:hAnsi="Arial" w:cs="Arial" w:eastAsia="Arial" w:hint="default"/>
                <w:sz w:val="20"/>
                <w:szCs w:val="20"/>
              </w:rPr>
            </w:pPr>
            <w:r>
              <w:rPr>
                <w:rFonts w:ascii="Arial"/>
                <w:spacing w:val="-1"/>
                <w:sz w:val="20"/>
              </w:rPr>
              <w:t>68,787,068</w:t>
            </w:r>
          </w:p>
        </w:tc>
      </w:tr>
      <w:tr>
        <w:trPr>
          <w:trHeight w:val="313"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55" w:lineRule="exact"/>
              <w:ind w:left="156" w:right="0"/>
              <w:jc w:val="left"/>
              <w:rPr>
                <w:rFonts w:ascii="黑体" w:hAnsi="黑体" w:cs="黑体" w:eastAsia="黑体" w:hint="default"/>
                <w:sz w:val="20"/>
                <w:szCs w:val="20"/>
              </w:rPr>
            </w:pPr>
            <w:r>
              <w:rPr>
                <w:rFonts w:ascii="黑体" w:hAnsi="黑体" w:cs="黑体" w:eastAsia="黑体" w:hint="default"/>
                <w:sz w:val="20"/>
                <w:szCs w:val="20"/>
              </w:rPr>
              <w:t>递延所得税费用</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53"/>
              <w:jc w:val="right"/>
              <w:rPr>
                <w:rFonts w:ascii="Arial" w:hAnsi="Arial" w:cs="Arial" w:eastAsia="Arial" w:hint="default"/>
                <w:sz w:val="20"/>
                <w:szCs w:val="20"/>
              </w:rPr>
            </w:pPr>
            <w:r>
              <w:rPr>
                <w:rFonts w:ascii="Arial"/>
                <w:sz w:val="20"/>
              </w:rPr>
              <w:t>(</w:t>
            </w:r>
            <w:r>
              <w:rPr>
                <w:rFonts w:ascii="Arial"/>
                <w:sz w:val="20"/>
                <w:u w:val="single" w:color="000000"/>
              </w:rPr>
              <w:t>28,472,193</w:t>
            </w:r>
            <w:r>
              <w:rPr>
                <w:rFonts w:ascii="Arial"/>
                <w:spacing w:val="-32"/>
                <w:sz w:val="20"/>
                <w:u w:val="single" w:color="000000"/>
              </w:rPr>
              <w:t> </w:t>
            </w:r>
            <w:r>
              <w:rPr>
                <w:rFonts w:ascii="Arial"/>
                <w:spacing w:val="-32"/>
                <w:sz w:val="20"/>
              </w:rPr>
            </w:r>
            <w:r>
              <w:rPr>
                <w:rFonts w:ascii="Arial"/>
                <w:sz w:val="20"/>
              </w:rPr>
              <w:t>)</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3"/>
              <w:jc w:val="right"/>
              <w:rPr>
                <w:rFonts w:ascii="Arial" w:hAnsi="Arial" w:cs="Arial" w:eastAsia="Arial" w:hint="default"/>
                <w:sz w:val="20"/>
                <w:szCs w:val="20"/>
              </w:rPr>
            </w:pPr>
            <w:r>
              <w:rPr>
                <w:rFonts w:ascii="Arial"/>
                <w:sz w:val="20"/>
              </w:rPr>
              <w:t>(  </w:t>
            </w:r>
            <w:r>
              <w:rPr>
                <w:rFonts w:ascii="Arial"/>
                <w:sz w:val="20"/>
                <w:u w:val="single" w:color="000000"/>
              </w:rPr>
              <w:t> 8,484,825</w:t>
            </w:r>
            <w:r>
              <w:rPr>
                <w:rFonts w:ascii="Arial"/>
                <w:spacing w:val="4"/>
                <w:sz w:val="20"/>
                <w:u w:val="single" w:color="000000"/>
              </w:rPr>
              <w:t> </w:t>
            </w:r>
            <w:r>
              <w:rPr>
                <w:rFonts w:ascii="Arial"/>
                <w:spacing w:val="4"/>
                <w:sz w:val="20"/>
              </w:rPr>
            </w:r>
            <w:r>
              <w:rPr>
                <w:rFonts w:ascii="Arial"/>
                <w:sz w:val="20"/>
              </w:rPr>
              <w:t>)</w:t>
            </w:r>
          </w:p>
        </w:tc>
      </w:tr>
      <w:tr>
        <w:trPr>
          <w:trHeight w:val="458"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0"/>
              <w:ind w:left="715" w:right="0"/>
              <w:jc w:val="left"/>
              <w:rPr>
                <w:rFonts w:ascii="Arial" w:hAnsi="Arial" w:cs="Arial" w:eastAsia="Arial" w:hint="default"/>
                <w:sz w:val="20"/>
                <w:szCs w:val="20"/>
              </w:rPr>
            </w:pPr>
            <w:r>
              <w:rPr>
                <w:rFonts w:ascii="Arial"/>
                <w:w w:val="100"/>
                <w:sz w:val="20"/>
              </w:rPr>
            </w:r>
            <w:r>
              <w:rPr>
                <w:rFonts w:ascii="Arial"/>
                <w:sz w:val="20"/>
                <w:u w:val="thick" w:color="000000"/>
              </w:rPr>
              <w:t>60,262,639</w:t>
            </w:r>
            <w:r>
              <w:rPr>
                <w:rFonts w:ascii="Arial"/>
                <w:sz w:val="20"/>
              </w:rPr>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32"/>
              <w:jc w:val="right"/>
              <w:rPr>
                <w:rFonts w:ascii="Arial" w:hAnsi="Arial" w:cs="Arial" w:eastAsia="Arial" w:hint="default"/>
                <w:sz w:val="20"/>
                <w:szCs w:val="20"/>
              </w:rPr>
            </w:pPr>
            <w:r>
              <w:rPr>
                <w:rFonts w:ascii="Arial"/>
                <w:w w:val="100"/>
                <w:sz w:val="20"/>
              </w:rPr>
            </w:r>
            <w:r>
              <w:rPr>
                <w:rFonts w:ascii="Arial"/>
                <w:spacing w:val="-1"/>
                <w:sz w:val="20"/>
                <w:u w:val="thick" w:color="000000"/>
              </w:rPr>
              <w:t>60,302,243</w:t>
            </w:r>
            <w:r>
              <w:rPr>
                <w:rFonts w:ascii="Arial"/>
                <w:spacing w:val="-1"/>
                <w:sz w:val="20"/>
              </w:rPr>
            </w:r>
          </w:p>
        </w:tc>
      </w:tr>
      <w:tr>
        <w:trPr>
          <w:trHeight w:val="605"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61" w:right="0"/>
              <w:jc w:val="left"/>
              <w:rPr>
                <w:rFonts w:ascii="黑体" w:hAnsi="黑体" w:cs="黑体" w:eastAsia="黑体" w:hint="default"/>
                <w:sz w:val="20"/>
                <w:szCs w:val="20"/>
              </w:rPr>
            </w:pPr>
            <w:r>
              <w:rPr>
                <w:rFonts w:ascii="黑体" w:hAnsi="黑体" w:cs="黑体" w:eastAsia="黑体" w:hint="default"/>
                <w:sz w:val="20"/>
                <w:szCs w:val="20"/>
              </w:rPr>
              <w:t>所得税费用与利润总额的关系列示如下：</w:t>
            </w:r>
          </w:p>
        </w:tc>
        <w:tc>
          <w:tcPr>
            <w:tcW w:w="2165" w:type="dxa"/>
            <w:tcBorders>
              <w:top w:val="nil" w:sz="6" w:space="0" w:color="auto"/>
              <w:left w:val="nil" w:sz="6" w:space="0" w:color="auto"/>
              <w:bottom w:val="nil" w:sz="6" w:space="0" w:color="auto"/>
              <w:right w:val="nil" w:sz="6" w:space="0" w:color="auto"/>
            </w:tcBorders>
          </w:tcPr>
          <w:p>
            <w:pPr/>
          </w:p>
        </w:tc>
        <w:tc>
          <w:tcPr>
            <w:tcW w:w="1670" w:type="dxa"/>
            <w:tcBorders>
              <w:top w:val="nil" w:sz="6" w:space="0" w:color="auto"/>
              <w:left w:val="nil" w:sz="6" w:space="0" w:color="auto"/>
              <w:bottom w:val="nil" w:sz="6" w:space="0" w:color="auto"/>
              <w:right w:val="nil" w:sz="6" w:space="0" w:color="auto"/>
            </w:tcBorders>
          </w:tcPr>
          <w:p>
            <w:pPr/>
          </w:p>
        </w:tc>
      </w:tr>
      <w:tr>
        <w:trPr>
          <w:trHeight w:val="620"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1060"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44"/>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620"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156" w:right="0"/>
              <w:jc w:val="left"/>
              <w:rPr>
                <w:rFonts w:ascii="黑体" w:hAnsi="黑体" w:cs="黑体" w:eastAsia="黑体" w:hint="default"/>
                <w:sz w:val="20"/>
                <w:szCs w:val="20"/>
              </w:rPr>
            </w:pPr>
            <w:r>
              <w:rPr>
                <w:rFonts w:ascii="黑体" w:hAnsi="黑体" w:cs="黑体" w:eastAsia="黑体" w:hint="default"/>
                <w:sz w:val="20"/>
                <w:szCs w:val="20"/>
              </w:rPr>
              <w:t>利润总额</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left="593" w:right="0"/>
              <w:jc w:val="left"/>
              <w:rPr>
                <w:rFonts w:ascii="Arial" w:hAnsi="Arial" w:cs="Arial" w:eastAsia="Arial" w:hint="default"/>
                <w:sz w:val="20"/>
                <w:szCs w:val="20"/>
              </w:rPr>
            </w:pPr>
            <w:r>
              <w:rPr>
                <w:rFonts w:ascii="Arial"/>
                <w:sz w:val="20"/>
              </w:rPr>
              <w:t>674,244,442</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142"/>
              <w:jc w:val="right"/>
              <w:rPr>
                <w:rFonts w:ascii="Arial" w:hAnsi="Arial" w:cs="Arial" w:eastAsia="Arial" w:hint="default"/>
                <w:sz w:val="20"/>
                <w:szCs w:val="20"/>
              </w:rPr>
            </w:pPr>
            <w:r>
              <w:rPr>
                <w:rFonts w:ascii="Arial"/>
                <w:spacing w:val="-1"/>
                <w:sz w:val="20"/>
              </w:rPr>
              <w:t>464,068,830</w:t>
            </w:r>
          </w:p>
        </w:tc>
      </w:tr>
      <w:tr>
        <w:trPr>
          <w:trHeight w:val="472"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56" w:right="0"/>
              <w:jc w:val="left"/>
              <w:rPr>
                <w:rFonts w:ascii="Arial" w:hAnsi="Arial" w:cs="Arial" w:eastAsia="Arial" w:hint="default"/>
                <w:sz w:val="20"/>
                <w:szCs w:val="20"/>
              </w:rPr>
            </w:pPr>
            <w:r>
              <w:rPr>
                <w:rFonts w:ascii="黑体" w:hAnsi="黑体" w:cs="黑体" w:eastAsia="黑体" w:hint="default"/>
                <w:sz w:val="20"/>
                <w:szCs w:val="20"/>
              </w:rPr>
              <w:t>按适用的税率计算的税项</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704" w:right="0"/>
              <w:jc w:val="left"/>
              <w:rPr>
                <w:rFonts w:ascii="Arial" w:hAnsi="Arial" w:cs="Arial" w:eastAsia="Arial" w:hint="default"/>
                <w:sz w:val="20"/>
                <w:szCs w:val="20"/>
              </w:rPr>
            </w:pPr>
            <w:r>
              <w:rPr>
                <w:rFonts w:ascii="Arial"/>
                <w:sz w:val="20"/>
              </w:rPr>
              <w:t>67,424,444</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144"/>
              <w:jc w:val="right"/>
              <w:rPr>
                <w:rFonts w:ascii="Arial" w:hAnsi="Arial" w:cs="Arial" w:eastAsia="Arial" w:hint="default"/>
                <w:sz w:val="20"/>
                <w:szCs w:val="20"/>
              </w:rPr>
            </w:pPr>
            <w:r>
              <w:rPr>
                <w:rFonts w:ascii="Arial"/>
                <w:spacing w:val="-1"/>
                <w:sz w:val="20"/>
              </w:rPr>
              <w:t>46,406,883</w:t>
            </w:r>
          </w:p>
        </w:tc>
      </w:tr>
      <w:tr>
        <w:trPr>
          <w:trHeight w:val="308"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52" w:lineRule="exact"/>
              <w:ind w:left="156" w:right="0"/>
              <w:jc w:val="left"/>
              <w:rPr>
                <w:rFonts w:ascii="黑体" w:hAnsi="黑体" w:cs="黑体" w:eastAsia="黑体" w:hint="default"/>
                <w:sz w:val="20"/>
                <w:szCs w:val="20"/>
              </w:rPr>
            </w:pPr>
            <w:r>
              <w:rPr>
                <w:rFonts w:ascii="黑体" w:hAnsi="黑体" w:cs="黑体" w:eastAsia="黑体" w:hint="default"/>
                <w:sz w:val="20"/>
                <w:szCs w:val="20"/>
              </w:rPr>
              <w:t>某些分子公司适用不同税率的影响</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27"/>
              <w:ind w:left="704" w:right="0"/>
              <w:jc w:val="left"/>
              <w:rPr>
                <w:rFonts w:ascii="Arial" w:hAnsi="Arial" w:cs="Arial" w:eastAsia="Arial" w:hint="default"/>
                <w:sz w:val="20"/>
                <w:szCs w:val="20"/>
              </w:rPr>
            </w:pPr>
            <w:r>
              <w:rPr>
                <w:rFonts w:ascii="Arial"/>
                <w:sz w:val="20"/>
              </w:rPr>
              <w:t>12,446,051</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44"/>
              <w:jc w:val="right"/>
              <w:rPr>
                <w:rFonts w:ascii="Arial" w:hAnsi="Arial" w:cs="Arial" w:eastAsia="Arial" w:hint="default"/>
                <w:sz w:val="20"/>
                <w:szCs w:val="20"/>
              </w:rPr>
            </w:pPr>
            <w:r>
              <w:rPr>
                <w:rFonts w:ascii="Arial"/>
                <w:spacing w:val="-1"/>
                <w:sz w:val="20"/>
              </w:rPr>
              <w:t>2,355,122</w:t>
            </w:r>
          </w:p>
        </w:tc>
      </w:tr>
      <w:tr>
        <w:trPr>
          <w:trHeight w:val="312"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55" w:lineRule="exact"/>
              <w:ind w:left="156" w:right="0"/>
              <w:jc w:val="left"/>
              <w:rPr>
                <w:rFonts w:ascii="黑体" w:hAnsi="黑体" w:cs="黑体" w:eastAsia="黑体" w:hint="default"/>
                <w:sz w:val="20"/>
                <w:szCs w:val="20"/>
              </w:rPr>
            </w:pPr>
            <w:r>
              <w:rPr>
                <w:rFonts w:ascii="黑体" w:hAnsi="黑体" w:cs="黑体" w:eastAsia="黑体" w:hint="default"/>
                <w:sz w:val="20"/>
                <w:szCs w:val="20"/>
              </w:rPr>
              <w:t>未确认的税务亏损的影响</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815" w:right="0"/>
              <w:jc w:val="left"/>
              <w:rPr>
                <w:rFonts w:ascii="Arial" w:hAnsi="Arial" w:cs="Arial" w:eastAsia="Arial" w:hint="default"/>
                <w:sz w:val="20"/>
                <w:szCs w:val="20"/>
              </w:rPr>
            </w:pPr>
            <w:r>
              <w:rPr>
                <w:rFonts w:ascii="Arial"/>
                <w:sz w:val="20"/>
              </w:rPr>
              <w:t>3,854,197</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44"/>
              <w:jc w:val="right"/>
              <w:rPr>
                <w:rFonts w:ascii="Arial" w:hAnsi="Arial" w:cs="Arial" w:eastAsia="Arial" w:hint="default"/>
                <w:sz w:val="20"/>
                <w:szCs w:val="20"/>
              </w:rPr>
            </w:pPr>
            <w:r>
              <w:rPr>
                <w:rFonts w:ascii="Arial"/>
                <w:spacing w:val="-1"/>
                <w:sz w:val="20"/>
              </w:rPr>
              <w:t>4,903,041</w:t>
            </w:r>
          </w:p>
        </w:tc>
      </w:tr>
      <w:tr>
        <w:trPr>
          <w:trHeight w:val="312"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55" w:lineRule="exact"/>
              <w:ind w:left="156" w:right="0"/>
              <w:jc w:val="left"/>
              <w:rPr>
                <w:rFonts w:ascii="黑体" w:hAnsi="黑体" w:cs="黑体" w:eastAsia="黑体" w:hint="default"/>
                <w:sz w:val="20"/>
                <w:szCs w:val="20"/>
              </w:rPr>
            </w:pPr>
            <w:r>
              <w:rPr>
                <w:rFonts w:ascii="黑体" w:hAnsi="黑体" w:cs="黑体" w:eastAsia="黑体" w:hint="default"/>
                <w:sz w:val="20"/>
                <w:szCs w:val="20"/>
              </w:rPr>
              <w:t>归属于联营企业的损益的影响</w:t>
            </w:r>
          </w:p>
        </w:tc>
        <w:tc>
          <w:tcPr>
            <w:tcW w:w="2165" w:type="dxa"/>
            <w:tcBorders>
              <w:top w:val="nil" w:sz="6" w:space="0" w:color="auto"/>
              <w:left w:val="nil" w:sz="6" w:space="0" w:color="auto"/>
              <w:bottom w:val="nil" w:sz="6" w:space="0" w:color="auto"/>
              <w:right w:val="nil" w:sz="6" w:space="0" w:color="auto"/>
            </w:tcBorders>
          </w:tcPr>
          <w:p>
            <w:pPr>
              <w:pStyle w:val="TableParagraph"/>
              <w:tabs>
                <w:tab w:pos="465" w:val="left" w:leader="none"/>
              </w:tabs>
              <w:spacing w:line="240" w:lineRule="auto" w:before="31"/>
              <w:ind w:right="378"/>
              <w:jc w:val="right"/>
              <w:rPr>
                <w:rFonts w:ascii="Arial" w:hAnsi="Arial" w:cs="Arial" w:eastAsia="Arial" w:hint="default"/>
                <w:sz w:val="20"/>
                <w:szCs w:val="20"/>
              </w:rPr>
            </w:pPr>
            <w:r>
              <w:rPr>
                <w:rFonts w:ascii="Arial"/>
                <w:sz w:val="20"/>
              </w:rPr>
              <w:t>(</w:t>
              <w:tab/>
              <w:t>695,083)</w:t>
            </w:r>
          </w:p>
        </w:tc>
        <w:tc>
          <w:tcPr>
            <w:tcW w:w="1670" w:type="dxa"/>
            <w:tcBorders>
              <w:top w:val="nil" w:sz="6" w:space="0" w:color="auto"/>
              <w:left w:val="nil" w:sz="6" w:space="0" w:color="auto"/>
              <w:bottom w:val="nil" w:sz="6" w:space="0" w:color="auto"/>
              <w:right w:val="nil" w:sz="6" w:space="0" w:color="auto"/>
            </w:tcBorders>
          </w:tcPr>
          <w:p>
            <w:pPr>
              <w:pStyle w:val="TableParagraph"/>
              <w:tabs>
                <w:tab w:pos="445" w:val="left" w:leader="none"/>
              </w:tabs>
              <w:spacing w:line="240" w:lineRule="auto" w:before="31"/>
              <w:ind w:right="65"/>
              <w:jc w:val="right"/>
              <w:rPr>
                <w:rFonts w:ascii="Arial" w:hAnsi="Arial" w:cs="Arial" w:eastAsia="Arial" w:hint="default"/>
                <w:sz w:val="20"/>
                <w:szCs w:val="20"/>
              </w:rPr>
            </w:pPr>
            <w:r>
              <w:rPr>
                <w:rFonts w:ascii="Arial"/>
                <w:sz w:val="20"/>
              </w:rPr>
              <w:t>(</w:t>
              <w:tab/>
              <w:t>357,880)</w:t>
            </w:r>
          </w:p>
        </w:tc>
      </w:tr>
      <w:tr>
        <w:trPr>
          <w:trHeight w:val="316"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70" w:lineRule="exact"/>
              <w:ind w:left="155" w:right="0"/>
              <w:jc w:val="left"/>
              <w:rPr>
                <w:rFonts w:ascii="Arial" w:hAnsi="Arial" w:cs="Arial" w:eastAsia="Arial" w:hint="default"/>
                <w:sz w:val="20"/>
                <w:szCs w:val="20"/>
              </w:rPr>
            </w:pPr>
            <w:r>
              <w:rPr>
                <w:rFonts w:ascii="黑体" w:hAnsi="黑体" w:cs="黑体" w:eastAsia="黑体" w:hint="default"/>
                <w:sz w:val="20"/>
                <w:szCs w:val="20"/>
              </w:rPr>
              <w:t>无需纳税的收入的影响</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2)</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79"/>
              <w:jc w:val="right"/>
              <w:rPr>
                <w:rFonts w:ascii="Arial" w:hAnsi="Arial" w:cs="Arial" w:eastAsia="Arial" w:hint="default"/>
                <w:sz w:val="20"/>
                <w:szCs w:val="20"/>
              </w:rPr>
            </w:pPr>
            <w:r>
              <w:rPr>
                <w:rFonts w:ascii="Arial"/>
                <w:sz w:val="20"/>
              </w:rPr>
              <w:t>( </w:t>
            </w:r>
            <w:r>
              <w:rPr>
                <w:rFonts w:ascii="Arial"/>
                <w:spacing w:val="47"/>
                <w:sz w:val="20"/>
              </w:rPr>
              <w:t> </w:t>
            </w:r>
            <w:r>
              <w:rPr>
                <w:rFonts w:ascii="Arial"/>
                <w:sz w:val="20"/>
              </w:rPr>
              <w:t>21,236,764)</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65"/>
              <w:jc w:val="right"/>
              <w:rPr>
                <w:rFonts w:ascii="Arial" w:hAnsi="Arial" w:cs="Arial" w:eastAsia="Arial" w:hint="default"/>
                <w:sz w:val="20"/>
                <w:szCs w:val="20"/>
              </w:rPr>
            </w:pPr>
            <w:r>
              <w:rPr>
                <w:rFonts w:ascii="Arial"/>
                <w:sz w:val="20"/>
              </w:rPr>
              <w:t>(</w:t>
            </w:r>
            <w:r>
              <w:rPr>
                <w:rFonts w:ascii="Arial"/>
                <w:spacing w:val="47"/>
                <w:sz w:val="20"/>
              </w:rPr>
              <w:t> </w:t>
            </w:r>
            <w:r>
              <w:rPr>
                <w:rFonts w:ascii="Arial"/>
                <w:sz w:val="20"/>
              </w:rPr>
              <w:t>13,488,263)</w:t>
            </w:r>
          </w:p>
        </w:tc>
      </w:tr>
      <w:tr>
        <w:trPr>
          <w:trHeight w:val="312"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66" w:lineRule="exact"/>
              <w:ind w:left="155" w:right="0"/>
              <w:jc w:val="left"/>
              <w:rPr>
                <w:rFonts w:ascii="Arial" w:hAnsi="Arial" w:cs="Arial" w:eastAsia="Arial" w:hint="default"/>
                <w:sz w:val="20"/>
                <w:szCs w:val="20"/>
              </w:rPr>
            </w:pPr>
            <w:r>
              <w:rPr>
                <w:rFonts w:ascii="黑体" w:hAnsi="黑体" w:cs="黑体" w:eastAsia="黑体" w:hint="default"/>
                <w:sz w:val="20"/>
                <w:szCs w:val="20"/>
              </w:rPr>
              <w:t>当年研发费</w:t>
            </w:r>
            <w:r>
              <w:rPr>
                <w:rFonts w:ascii="Arial" w:hAnsi="Arial" w:cs="Arial" w:eastAsia="Arial" w:hint="default"/>
                <w:sz w:val="20"/>
                <w:szCs w:val="20"/>
              </w:rPr>
              <w:t>50%</w:t>
            </w:r>
            <w:r>
              <w:rPr>
                <w:rFonts w:ascii="黑体" w:hAnsi="黑体" w:cs="黑体" w:eastAsia="黑体" w:hint="default"/>
                <w:sz w:val="20"/>
                <w:szCs w:val="20"/>
              </w:rPr>
              <w:t>加计扣除的影响</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3)</w:t>
            </w:r>
          </w:p>
        </w:tc>
        <w:tc>
          <w:tcPr>
            <w:tcW w:w="2165" w:type="dxa"/>
            <w:tcBorders>
              <w:top w:val="nil" w:sz="6" w:space="0" w:color="auto"/>
              <w:left w:val="nil" w:sz="6" w:space="0" w:color="auto"/>
              <w:bottom w:val="nil" w:sz="6" w:space="0" w:color="auto"/>
              <w:right w:val="nil" w:sz="6" w:space="0" w:color="auto"/>
            </w:tcBorders>
          </w:tcPr>
          <w:p>
            <w:pPr>
              <w:pStyle w:val="TableParagraph"/>
              <w:tabs>
                <w:tab w:pos="307" w:val="left" w:leader="none"/>
              </w:tabs>
              <w:spacing w:line="240" w:lineRule="auto" w:before="27"/>
              <w:ind w:right="379"/>
              <w:jc w:val="right"/>
              <w:rPr>
                <w:rFonts w:ascii="Arial" w:hAnsi="Arial" w:cs="Arial" w:eastAsia="Arial" w:hint="default"/>
                <w:sz w:val="20"/>
                <w:szCs w:val="20"/>
              </w:rPr>
            </w:pPr>
            <w:r>
              <w:rPr>
                <w:rFonts w:ascii="Arial"/>
                <w:sz w:val="20"/>
              </w:rPr>
              <w:t>(</w:t>
              <w:tab/>
              <w:t>8,770,333)</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65"/>
              <w:jc w:val="right"/>
              <w:rPr>
                <w:rFonts w:ascii="Arial" w:hAnsi="Arial" w:cs="Arial" w:eastAsia="Arial" w:hint="default"/>
                <w:sz w:val="20"/>
                <w:szCs w:val="20"/>
              </w:rPr>
            </w:pPr>
            <w:r>
              <w:rPr>
                <w:rFonts w:ascii="Arial"/>
                <w:sz w:val="20"/>
              </w:rPr>
              <w:t>(  </w:t>
            </w:r>
            <w:r>
              <w:rPr>
                <w:rFonts w:ascii="Arial"/>
                <w:spacing w:val="44"/>
                <w:sz w:val="20"/>
              </w:rPr>
              <w:t> </w:t>
            </w:r>
            <w:r>
              <w:rPr>
                <w:rFonts w:ascii="Arial"/>
                <w:sz w:val="20"/>
              </w:rPr>
              <w:t>4,412,467)</w:t>
            </w:r>
          </w:p>
        </w:tc>
      </w:tr>
      <w:tr>
        <w:trPr>
          <w:trHeight w:val="308"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52" w:lineRule="exact"/>
              <w:ind w:left="155" w:right="0"/>
              <w:jc w:val="left"/>
              <w:rPr>
                <w:rFonts w:ascii="黑体" w:hAnsi="黑体" w:cs="黑体" w:eastAsia="黑体" w:hint="default"/>
                <w:sz w:val="20"/>
                <w:szCs w:val="20"/>
              </w:rPr>
            </w:pPr>
            <w:r>
              <w:rPr>
                <w:rFonts w:ascii="黑体" w:hAnsi="黑体" w:cs="黑体" w:eastAsia="黑体" w:hint="default"/>
                <w:sz w:val="20"/>
                <w:szCs w:val="20"/>
              </w:rPr>
              <w:t>汇算清缴差异</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79"/>
              <w:jc w:val="right"/>
              <w:rPr>
                <w:rFonts w:ascii="Arial" w:hAnsi="Arial" w:cs="Arial" w:eastAsia="Arial" w:hint="default"/>
                <w:sz w:val="20"/>
                <w:szCs w:val="20"/>
              </w:rPr>
            </w:pPr>
            <w:r>
              <w:rPr>
                <w:rFonts w:ascii="Arial"/>
                <w:sz w:val="20"/>
              </w:rPr>
              <w:t>( </w:t>
            </w:r>
            <w:r>
              <w:rPr>
                <w:rFonts w:ascii="Arial"/>
                <w:spacing w:val="18"/>
                <w:sz w:val="20"/>
              </w:rPr>
              <w:t> </w:t>
            </w:r>
            <w:r>
              <w:rPr>
                <w:rFonts w:ascii="Arial"/>
                <w:sz w:val="20"/>
              </w:rPr>
              <w:t>17,405,784)</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65"/>
              <w:jc w:val="right"/>
              <w:rPr>
                <w:rFonts w:ascii="Arial" w:hAnsi="Arial" w:cs="Arial" w:eastAsia="Arial" w:hint="default"/>
                <w:sz w:val="20"/>
                <w:szCs w:val="20"/>
              </w:rPr>
            </w:pPr>
            <w:r>
              <w:rPr>
                <w:rFonts w:ascii="Arial"/>
                <w:sz w:val="20"/>
              </w:rPr>
              <w:t>(  </w:t>
            </w:r>
            <w:r>
              <w:rPr>
                <w:rFonts w:ascii="Arial"/>
                <w:spacing w:val="44"/>
                <w:sz w:val="20"/>
              </w:rPr>
              <w:t> </w:t>
            </w:r>
            <w:r>
              <w:rPr>
                <w:rFonts w:ascii="Arial"/>
                <w:sz w:val="20"/>
              </w:rPr>
              <w:t>3,855,015)</w:t>
            </w:r>
          </w:p>
        </w:tc>
      </w:tr>
      <w:tr>
        <w:trPr>
          <w:trHeight w:val="316"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70" w:lineRule="exact"/>
              <w:ind w:left="155" w:right="0"/>
              <w:jc w:val="left"/>
              <w:rPr>
                <w:rFonts w:ascii="Arial" w:hAnsi="Arial" w:cs="Arial" w:eastAsia="Arial" w:hint="default"/>
                <w:sz w:val="20"/>
                <w:szCs w:val="20"/>
              </w:rPr>
            </w:pPr>
            <w:r>
              <w:rPr>
                <w:rFonts w:ascii="黑体" w:hAnsi="黑体" w:cs="黑体" w:eastAsia="黑体" w:hint="default"/>
                <w:sz w:val="20"/>
                <w:szCs w:val="20"/>
              </w:rPr>
              <w:t>不可抵扣的税项费用的影响</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4)</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705" w:right="0"/>
              <w:jc w:val="left"/>
              <w:rPr>
                <w:rFonts w:ascii="Arial" w:hAnsi="Arial" w:cs="Arial" w:eastAsia="Arial" w:hint="default"/>
                <w:sz w:val="20"/>
                <w:szCs w:val="20"/>
              </w:rPr>
            </w:pPr>
            <w:r>
              <w:rPr>
                <w:rFonts w:ascii="Arial"/>
                <w:sz w:val="20"/>
              </w:rPr>
              <w:t>25,682,047</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43"/>
              <w:jc w:val="right"/>
              <w:rPr>
                <w:rFonts w:ascii="Arial" w:hAnsi="Arial" w:cs="Arial" w:eastAsia="Arial" w:hint="default"/>
                <w:sz w:val="20"/>
                <w:szCs w:val="20"/>
              </w:rPr>
            </w:pPr>
            <w:r>
              <w:rPr>
                <w:rFonts w:ascii="Arial"/>
                <w:spacing w:val="-1"/>
                <w:sz w:val="20"/>
              </w:rPr>
              <w:t>28,750,822</w:t>
            </w:r>
          </w:p>
        </w:tc>
      </w:tr>
      <w:tr>
        <w:trPr>
          <w:trHeight w:val="464"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52" w:lineRule="exact"/>
              <w:ind w:left="155" w:right="0"/>
              <w:jc w:val="left"/>
              <w:rPr>
                <w:rFonts w:ascii="黑体" w:hAnsi="黑体" w:cs="黑体" w:eastAsia="黑体" w:hint="default"/>
                <w:sz w:val="20"/>
                <w:szCs w:val="20"/>
              </w:rPr>
            </w:pPr>
            <w:r>
              <w:rPr>
                <w:rFonts w:ascii="黑体" w:hAnsi="黑体" w:cs="黑体" w:eastAsia="黑体" w:hint="default"/>
                <w:sz w:val="20"/>
                <w:szCs w:val="20"/>
              </w:rPr>
              <w:t>利用以前年度可抵扣亏损</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79"/>
              <w:jc w:val="right"/>
              <w:rPr>
                <w:rFonts w:ascii="Arial" w:hAnsi="Arial" w:cs="Arial" w:eastAsia="Arial" w:hint="default"/>
                <w:sz w:val="20"/>
                <w:szCs w:val="20"/>
              </w:rPr>
            </w:pPr>
            <w:r>
              <w:rPr>
                <w:rFonts w:ascii="Arial"/>
                <w:sz w:val="20"/>
              </w:rPr>
              <w:t>(  </w:t>
            </w:r>
            <w:r>
              <w:rPr>
                <w:rFonts w:ascii="Arial"/>
                <w:spacing w:val="42"/>
                <w:sz w:val="20"/>
              </w:rPr>
              <w:t> </w:t>
            </w:r>
            <w:r>
              <w:rPr>
                <w:rFonts w:ascii="Arial"/>
                <w:spacing w:val="42"/>
                <w:sz w:val="20"/>
                <w:u w:val="single" w:color="000000"/>
              </w:rPr>
              <w:t> </w:t>
            </w:r>
            <w:r>
              <w:rPr>
                <w:rFonts w:ascii="Arial"/>
                <w:sz w:val="20"/>
                <w:u w:val="single" w:color="000000"/>
              </w:rPr>
              <w:t>1,036,136</w:t>
            </w:r>
            <w:r>
              <w:rPr>
                <w:rFonts w:ascii="Arial"/>
                <w:sz w:val="20"/>
              </w:rPr>
              <w:t>)</w:t>
            </w:r>
          </w:p>
        </w:tc>
        <w:tc>
          <w:tcPr>
            <w:tcW w:w="1670"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27"/>
              <w:ind w:right="14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513" w:hRule="exact"/>
        </w:trPr>
        <w:tc>
          <w:tcPr>
            <w:tcW w:w="587" w:type="dxa"/>
            <w:tcBorders>
              <w:top w:val="nil" w:sz="6" w:space="0" w:color="auto"/>
              <w:left w:val="nil" w:sz="6" w:space="0" w:color="auto"/>
              <w:bottom w:val="nil" w:sz="6" w:space="0" w:color="auto"/>
              <w:right w:val="nil" w:sz="6" w:space="0" w:color="auto"/>
            </w:tcBorders>
          </w:tcPr>
          <w:p>
            <w:pPr/>
          </w:p>
        </w:tc>
        <w:tc>
          <w:tcPr>
            <w:tcW w:w="4251"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55" w:right="0"/>
              <w:jc w:val="left"/>
              <w:rPr>
                <w:rFonts w:ascii="黑体" w:hAnsi="黑体" w:cs="黑体" w:eastAsia="黑体" w:hint="default"/>
                <w:sz w:val="20"/>
                <w:szCs w:val="20"/>
              </w:rPr>
            </w:pPr>
            <w:r>
              <w:rPr>
                <w:rFonts w:ascii="黑体" w:hAnsi="黑体" w:cs="黑体" w:eastAsia="黑体" w:hint="default"/>
                <w:sz w:val="20"/>
                <w:szCs w:val="20"/>
              </w:rPr>
              <w:t>按本集团实际税率计算的税项费用</w:t>
            </w:r>
          </w:p>
        </w:tc>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605"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z w:val="20"/>
                <w:u w:val="thick" w:color="000000"/>
              </w:rPr>
              <w:t>60,262,639</w:t>
            </w:r>
            <w:r>
              <w:rPr>
                <w:rFonts w:ascii="Arial"/>
                <w:sz w:val="20"/>
              </w:rPr>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14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pacing w:val="-1"/>
                <w:sz w:val="20"/>
                <w:u w:val="thick" w:color="000000"/>
              </w:rPr>
              <w:t>60,302,243</w:t>
            </w:r>
            <w:r>
              <w:rPr>
                <w:rFonts w:ascii="Arial"/>
                <w:spacing w:val="-1"/>
                <w:sz w:val="20"/>
              </w:rPr>
            </w:r>
          </w:p>
        </w:tc>
      </w:tr>
    </w:tbl>
    <w:p>
      <w:pPr>
        <w:spacing w:after="0" w:line="240" w:lineRule="auto"/>
        <w:jc w:val="right"/>
        <w:rPr>
          <w:rFonts w:ascii="Arial" w:hAnsi="Arial" w:cs="Arial" w:eastAsia="Arial" w:hint="default"/>
          <w:sz w:val="20"/>
          <w:szCs w:val="20"/>
        </w:rPr>
        <w:sectPr>
          <w:pgSz w:w="11910" w:h="16840"/>
          <w:pgMar w:header="828" w:footer="476" w:top="2420" w:bottom="660" w:left="1560" w:right="14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8"/>
          <w:szCs w:val="18"/>
        </w:rPr>
      </w:pPr>
    </w:p>
    <w:p>
      <w:pPr>
        <w:tabs>
          <w:tab w:pos="803" w:val="left" w:leader="none"/>
        </w:tabs>
        <w:spacing w:before="0"/>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7"/>
        <w:rPr>
          <w:rFonts w:ascii="黑体" w:hAnsi="黑体" w:cs="黑体" w:eastAsia="黑体" w:hint="default"/>
          <w:b/>
          <w:bCs/>
          <w:sz w:val="19"/>
          <w:szCs w:val="19"/>
        </w:rPr>
      </w:pPr>
    </w:p>
    <w:p>
      <w:pPr>
        <w:tabs>
          <w:tab w:pos="805" w:val="left" w:leader="none"/>
        </w:tabs>
        <w:spacing w:before="0"/>
        <w:ind w:left="101" w:right="114" w:firstLine="0"/>
        <w:jc w:val="left"/>
        <w:rPr>
          <w:rFonts w:ascii="黑体" w:hAnsi="黑体" w:cs="黑体" w:eastAsia="黑体" w:hint="default"/>
          <w:sz w:val="20"/>
          <w:szCs w:val="20"/>
        </w:rPr>
      </w:pPr>
      <w:r>
        <w:rPr>
          <w:rFonts w:ascii="Arial" w:hAnsi="Arial" w:cs="Arial" w:eastAsia="Arial" w:hint="default"/>
          <w:b/>
          <w:bCs/>
          <w:sz w:val="20"/>
          <w:szCs w:val="20"/>
        </w:rPr>
        <w:t>41</w:t>
        <w:tab/>
      </w:r>
      <w:r>
        <w:rPr>
          <w:rFonts w:ascii="黑体" w:hAnsi="黑体" w:cs="黑体" w:eastAsia="黑体" w:hint="default"/>
          <w:b/>
          <w:bCs/>
          <w:sz w:val="20"/>
          <w:szCs w:val="20"/>
        </w:rPr>
        <w:t>所得税费用（续）</w:t>
      </w:r>
      <w:r>
        <w:rPr>
          <w:rFonts w:ascii="黑体" w:hAnsi="黑体" w:cs="黑体" w:eastAsia="黑体" w:hint="default"/>
          <w:sz w:val="20"/>
          <w:szCs w:val="20"/>
        </w:rPr>
      </w:r>
    </w:p>
    <w:p>
      <w:pPr>
        <w:spacing w:line="240" w:lineRule="auto" w:before="2"/>
        <w:rPr>
          <w:rFonts w:ascii="黑体" w:hAnsi="黑体" w:cs="黑体" w:eastAsia="黑体" w:hint="default"/>
          <w:b/>
          <w:bCs/>
          <w:sz w:val="25"/>
          <w:szCs w:val="25"/>
        </w:rPr>
      </w:pPr>
    </w:p>
    <w:p>
      <w:pPr>
        <w:pStyle w:val="BodyText"/>
        <w:spacing w:line="268" w:lineRule="auto"/>
        <w:ind w:left="1377" w:right="216" w:hanging="567"/>
        <w:jc w:val="both"/>
      </w:pPr>
      <w:r>
        <w:rPr/>
        <w:t>注</w:t>
      </w:r>
      <w:r>
        <w:rPr>
          <w:rFonts w:ascii="Arial" w:hAnsi="Arial" w:cs="Arial" w:eastAsia="Arial" w:hint="default"/>
        </w:rPr>
        <w:t>1</w:t>
      </w:r>
      <w:r>
        <w:rPr/>
        <w:t>．</w:t>
      </w:r>
      <w:r>
        <w:rPr>
          <w:spacing w:val="-26"/>
        </w:rPr>
        <w:t> </w:t>
      </w:r>
      <w:r>
        <w:rPr/>
        <w:t>本集团所得税按在中国境内取得的估计应纳税所得额及适用税率计提。源于其他地</w:t>
      </w:r>
      <w:r>
        <w:rPr>
          <w:spacing w:val="-95"/>
        </w:rPr>
        <w:t> </w:t>
      </w:r>
      <w:r>
        <w:rPr>
          <w:spacing w:val="-95"/>
        </w:rPr>
      </w:r>
      <w:r>
        <w:rPr/>
        <w:t>区应纳税所得的税项根据本集团经营所在国家的现行法律、解释公告和惯例，按照</w:t>
      </w:r>
      <w:r>
        <w:rPr>
          <w:w w:val="100"/>
        </w:rPr>
        <w:t> </w:t>
      </w:r>
      <w:r>
        <w:rPr/>
        <w:t>适用税率计算。</w:t>
      </w:r>
    </w:p>
    <w:p>
      <w:pPr>
        <w:spacing w:line="240" w:lineRule="auto" w:before="0"/>
        <w:rPr>
          <w:rFonts w:ascii="黑体" w:hAnsi="黑体" w:cs="黑体" w:eastAsia="黑体" w:hint="default"/>
          <w:sz w:val="24"/>
          <w:szCs w:val="24"/>
        </w:rPr>
      </w:pPr>
    </w:p>
    <w:p>
      <w:pPr>
        <w:pStyle w:val="BodyText"/>
        <w:spacing w:line="264" w:lineRule="auto"/>
        <w:ind w:left="1376" w:right="213"/>
        <w:jc w:val="both"/>
      </w:pPr>
      <w:r>
        <w:rPr>
          <w:spacing w:val="5"/>
        </w:rPr>
        <w:t>根据国务院颁布的《鼓励软件企业产业和集成电路产业发展的若干政策》（国发</w:t>
      </w:r>
      <w:r>
        <w:rPr>
          <w:spacing w:val="-49"/>
        </w:rPr>
        <w:t> </w:t>
      </w:r>
      <w:r>
        <w:rPr>
          <w:spacing w:val="-49"/>
        </w:rPr>
      </w:r>
      <w:r>
        <w:rPr>
          <w:rFonts w:ascii="Arial" w:hAnsi="Arial" w:cs="Arial" w:eastAsia="Arial" w:hint="default"/>
        </w:rPr>
        <w:t>[2000]18</w:t>
      </w:r>
      <w:r>
        <w:rPr/>
        <w:t>号）的规定，国家规划布局内的重点软件企业当年未享受免税政策的，减</w:t>
      </w:r>
      <w:r>
        <w:rPr>
          <w:spacing w:val="-61"/>
        </w:rPr>
        <w:t> </w:t>
      </w:r>
      <w:r>
        <w:rPr>
          <w:spacing w:val="-61"/>
        </w:rPr>
      </w:r>
      <w:r>
        <w:rPr/>
        <w:t>按</w:t>
      </w:r>
      <w:r>
        <w:rPr>
          <w:rFonts w:ascii="Arial" w:hAnsi="Arial" w:cs="Arial" w:eastAsia="Arial" w:hint="default"/>
        </w:rPr>
        <w:t>10%</w:t>
      </w:r>
      <w:r>
        <w:rPr/>
        <w:t>的税率征收企业所得税。根据</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日国家发展和改革委员会</w:t>
      </w:r>
      <w:r>
        <w:rPr>
          <w:rFonts w:ascii="Arial" w:hAnsi="Arial" w:cs="Arial" w:eastAsia="Arial" w:hint="default"/>
        </w:rPr>
        <w:t>,</w:t>
      </w:r>
      <w:r>
        <w:rPr/>
        <w:t>工业</w:t>
      </w:r>
      <w:r>
        <w:rPr>
          <w:spacing w:val="-34"/>
        </w:rPr>
        <w:t> </w:t>
      </w:r>
      <w:r>
        <w:rPr/>
        <w:t>和信息化部</w:t>
      </w:r>
      <w:r>
        <w:rPr>
          <w:rFonts w:ascii="Arial" w:hAnsi="Arial" w:cs="Arial" w:eastAsia="Arial" w:hint="default"/>
        </w:rPr>
        <w:t>,</w:t>
      </w:r>
      <w:r>
        <w:rPr/>
        <w:t>商务部</w:t>
      </w:r>
      <w:r>
        <w:rPr>
          <w:rFonts w:ascii="Arial" w:hAnsi="Arial" w:cs="Arial" w:eastAsia="Arial" w:hint="default"/>
        </w:rPr>
        <w:t>,</w:t>
      </w:r>
      <w:r>
        <w:rPr/>
        <w:t>国家税务总局发布的《</w:t>
      </w:r>
      <w:r>
        <w:rPr>
          <w:rFonts w:ascii="Arial" w:hAnsi="Arial" w:cs="Arial" w:eastAsia="Arial" w:hint="default"/>
        </w:rPr>
        <w:t>2009</w:t>
      </w:r>
      <w:r>
        <w:rPr/>
        <w:t>度国家规划布局内重点软件企业名</w:t>
      </w:r>
      <w:r>
        <w:rPr>
          <w:spacing w:val="-40"/>
        </w:rPr>
        <w:t> </w:t>
      </w:r>
      <w:r>
        <w:rPr>
          <w:spacing w:val="-40"/>
        </w:rPr>
      </w:r>
      <w:r>
        <w:rPr/>
        <w:t>单》</w:t>
      </w:r>
      <w:r>
        <w:rPr>
          <w:rFonts w:ascii="Arial" w:hAnsi="Arial" w:cs="Arial" w:eastAsia="Arial" w:hint="default"/>
        </w:rPr>
        <w:t>(</w:t>
      </w:r>
      <w:r>
        <w:rPr/>
        <w:t>发改高技</w:t>
      </w:r>
      <w:r>
        <w:rPr>
          <w:rFonts w:ascii="Arial" w:hAnsi="Arial" w:cs="Arial" w:eastAsia="Arial" w:hint="default"/>
        </w:rPr>
        <w:t>[2009]3700</w:t>
      </w:r>
      <w:r>
        <w:rPr/>
        <w:t>号</w:t>
      </w:r>
      <w:r>
        <w:rPr>
          <w:rFonts w:ascii="Arial" w:hAnsi="Arial" w:cs="Arial" w:eastAsia="Arial" w:hint="default"/>
        </w:rPr>
        <w:t>)</w:t>
      </w:r>
      <w:r>
        <w:rPr/>
        <w:t>，本公司已获得</w:t>
      </w:r>
      <w:r>
        <w:rPr>
          <w:rFonts w:ascii="Arial" w:hAnsi="Arial" w:cs="Arial" w:eastAsia="Arial" w:hint="default"/>
        </w:rPr>
        <w:t>2009</w:t>
      </w:r>
      <w:r>
        <w:rPr/>
        <w:t>年度国家规划布局内重点软件企</w:t>
      </w:r>
      <w:r>
        <w:rPr>
          <w:spacing w:val="-58"/>
        </w:rPr>
        <w:t> </w:t>
      </w:r>
      <w:r>
        <w:rPr/>
        <w:t>业认定</w:t>
      </w:r>
      <w:r>
        <w:rPr>
          <w:rFonts w:ascii="Arial" w:hAnsi="Arial" w:cs="Arial" w:eastAsia="Arial" w:hint="default"/>
        </w:rPr>
        <w:t>,</w:t>
      </w:r>
      <w:r>
        <w:rPr/>
        <w:t>因此仍按</w:t>
      </w:r>
      <w:r>
        <w:rPr>
          <w:rFonts w:ascii="Arial" w:hAnsi="Arial" w:cs="Arial" w:eastAsia="Arial" w:hint="default"/>
        </w:rPr>
        <w:t>10%</w:t>
      </w:r>
      <w:r>
        <w:rPr/>
        <w:t>的税率计算所得税。本公司截至</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日的递延所得</w:t>
      </w:r>
      <w:r>
        <w:rPr>
          <w:spacing w:val="-32"/>
        </w:rPr>
        <w:t> </w:t>
      </w:r>
      <w:r>
        <w:rPr>
          <w:spacing w:val="-32"/>
        </w:rPr>
      </w:r>
      <w:r>
        <w:rPr/>
        <w:t>税资产及递延所得税负债亦按</w:t>
      </w:r>
      <w:r>
        <w:rPr>
          <w:rFonts w:ascii="Arial" w:hAnsi="Arial" w:cs="Arial" w:eastAsia="Arial" w:hint="default"/>
        </w:rPr>
        <w:t>10%</w:t>
      </w:r>
      <w:r>
        <w:rPr/>
        <w:t>计算。</w:t>
      </w:r>
    </w:p>
    <w:p>
      <w:pPr>
        <w:spacing w:line="240" w:lineRule="auto" w:before="1"/>
        <w:rPr>
          <w:rFonts w:ascii="黑体" w:hAnsi="黑体" w:cs="黑体" w:eastAsia="黑体" w:hint="default"/>
          <w:sz w:val="23"/>
          <w:szCs w:val="23"/>
        </w:rPr>
      </w:pPr>
    </w:p>
    <w:p>
      <w:pPr>
        <w:pStyle w:val="BodyText"/>
        <w:spacing w:line="240" w:lineRule="auto"/>
        <w:ind w:left="810" w:right="114"/>
        <w:jc w:val="left"/>
      </w:pPr>
      <w:r>
        <w:rPr/>
        <w:t>注</w:t>
      </w:r>
      <w:r>
        <w:rPr>
          <w:rFonts w:ascii="Arial" w:hAnsi="Arial" w:cs="Arial" w:eastAsia="Arial" w:hint="default"/>
        </w:rPr>
        <w:t>2</w:t>
      </w:r>
      <w:r>
        <w:rPr/>
        <w:t>．</w:t>
      </w:r>
      <w:r>
        <w:rPr>
          <w:spacing w:val="-57"/>
        </w:rPr>
        <w:t> </w:t>
      </w:r>
      <w:r>
        <w:rPr/>
        <w:t>主要为增值税退税的政府补助无需纳税。参见附注三、</w:t>
      </w:r>
      <w:r>
        <w:rPr>
          <w:rFonts w:ascii="Arial" w:hAnsi="Arial" w:cs="Arial" w:eastAsia="Arial" w:hint="default"/>
        </w:rPr>
        <w:t>1</w:t>
      </w:r>
      <w:r>
        <w:rPr/>
        <w:t>及附注五、</w:t>
      </w:r>
      <w:r>
        <w:rPr>
          <w:rFonts w:ascii="Arial" w:hAnsi="Arial" w:cs="Arial" w:eastAsia="Arial" w:hint="default"/>
        </w:rPr>
        <w:t>39</w:t>
      </w:r>
      <w:r>
        <w:rPr/>
        <w:t>。</w:t>
      </w:r>
    </w:p>
    <w:p>
      <w:pPr>
        <w:spacing w:line="240" w:lineRule="auto" w:before="10"/>
        <w:rPr>
          <w:rFonts w:ascii="黑体" w:hAnsi="黑体" w:cs="黑体" w:eastAsia="黑体" w:hint="default"/>
          <w:sz w:val="24"/>
          <w:szCs w:val="24"/>
        </w:rPr>
      </w:pPr>
    </w:p>
    <w:p>
      <w:pPr>
        <w:pStyle w:val="BodyText"/>
        <w:spacing w:line="261" w:lineRule="auto"/>
        <w:ind w:left="1377" w:right="116" w:hanging="562"/>
        <w:jc w:val="both"/>
      </w:pPr>
      <w:r>
        <w:rPr/>
        <w:t>注</w:t>
      </w:r>
      <w:r>
        <w:rPr>
          <w:rFonts w:ascii="Arial" w:hAnsi="Arial" w:cs="Arial" w:eastAsia="Arial" w:hint="default"/>
        </w:rPr>
        <w:t>3</w:t>
      </w:r>
      <w:r>
        <w:rPr/>
        <w:t>．</w:t>
      </w:r>
      <w:r>
        <w:rPr>
          <w:spacing w:val="-50"/>
        </w:rPr>
        <w:t> </w:t>
      </w:r>
      <w:r>
        <w:rPr/>
        <w:t>根据《财政部国家税务总局关于促进企业技术进步有关财务税收问题的通知》（财</w:t>
      </w:r>
      <w:r>
        <w:rPr>
          <w:spacing w:val="-75"/>
        </w:rPr>
        <w:t> </w:t>
      </w:r>
      <w:r>
        <w:rPr>
          <w:spacing w:val="-75"/>
        </w:rPr>
      </w:r>
      <w:r>
        <w:rPr>
          <w:spacing w:val="-2"/>
        </w:rPr>
        <w:t>工字</w:t>
      </w:r>
      <w:r>
        <w:rPr>
          <w:rFonts w:ascii="Arial" w:hAnsi="Arial" w:cs="Arial" w:eastAsia="Arial" w:hint="default"/>
          <w:spacing w:val="-2"/>
        </w:rPr>
        <w:t>[1996]41</w:t>
      </w:r>
      <w:r>
        <w:rPr>
          <w:spacing w:val="-2"/>
        </w:rPr>
        <w:t>号）和《国家税务局关于促进企业技术进步有关税收问题的补充通知》</w:t>
      </w:r>
    </w:p>
    <w:p>
      <w:pPr>
        <w:pStyle w:val="BodyText"/>
        <w:spacing w:line="264" w:lineRule="auto" w:before="4"/>
        <w:ind w:left="1377" w:right="215"/>
        <w:jc w:val="both"/>
      </w:pPr>
      <w:r>
        <w:rPr>
          <w:spacing w:val="-3"/>
        </w:rPr>
        <w:t>（国税发</w:t>
      </w:r>
      <w:r>
        <w:rPr>
          <w:rFonts w:ascii="Arial" w:hAnsi="Arial" w:cs="Arial" w:eastAsia="Arial" w:hint="default"/>
          <w:spacing w:val="-3"/>
        </w:rPr>
        <w:t>[1996]152</w:t>
      </w:r>
      <w:r>
        <w:rPr>
          <w:spacing w:val="-3"/>
        </w:rPr>
        <w:t>号）规定，盈利企业研究开发新产品、新技术、新工艺所发生的</w:t>
      </w:r>
      <w:r>
        <w:rPr>
          <w:spacing w:val="-55"/>
        </w:rPr>
        <w:t> </w:t>
      </w:r>
      <w:r>
        <w:rPr>
          <w:spacing w:val="-55"/>
        </w:rPr>
      </w:r>
      <w:r>
        <w:rPr/>
        <w:t>各项费用，比上年实际发生额增长达到</w:t>
      </w:r>
      <w:r>
        <w:rPr>
          <w:rFonts w:ascii="Arial" w:hAnsi="Arial" w:cs="Arial" w:eastAsia="Arial" w:hint="default"/>
        </w:rPr>
        <w:t>10%</w:t>
      </w:r>
      <w:r>
        <w:rPr/>
        <w:t>以上（含</w:t>
      </w:r>
      <w:r>
        <w:rPr>
          <w:rFonts w:ascii="Arial" w:hAnsi="Arial" w:cs="Arial" w:eastAsia="Arial" w:hint="default"/>
        </w:rPr>
        <w:t>10%</w:t>
      </w:r>
      <w:r>
        <w:rPr/>
        <w:t>），其当年实际发生的费</w:t>
      </w:r>
      <w:r>
        <w:rPr>
          <w:spacing w:val="-78"/>
        </w:rPr>
        <w:t> </w:t>
      </w:r>
      <w:r>
        <w:rPr>
          <w:spacing w:val="-78"/>
        </w:rPr>
      </w:r>
      <w:r>
        <w:rPr/>
        <w:t>用除按规定据实列支外，年终经由主管税务机关审核批准后，可再按其实际发生额</w:t>
      </w:r>
      <w:r>
        <w:rPr>
          <w:spacing w:val="-74"/>
        </w:rPr>
        <w:t> </w:t>
      </w:r>
      <w:r>
        <w:rPr>
          <w:spacing w:val="-74"/>
        </w:rPr>
      </w:r>
      <w:r>
        <w:rPr/>
        <w:t>的</w:t>
      </w:r>
      <w:r>
        <w:rPr>
          <w:rFonts w:ascii="Arial" w:hAnsi="Arial" w:cs="Arial" w:eastAsia="Arial" w:hint="default"/>
        </w:rPr>
        <w:t>50%</w:t>
      </w:r>
      <w:r>
        <w:rPr/>
        <w:t>，直接抵扣当年应纳税所得额（以下简称</w:t>
      </w:r>
      <w:r>
        <w:rPr>
          <w:rFonts w:ascii="Arial" w:hAnsi="Arial" w:cs="Arial" w:eastAsia="Arial" w:hint="default"/>
        </w:rPr>
        <w:t>“</w:t>
      </w:r>
      <w:r>
        <w:rPr/>
        <w:t>加计扣除</w:t>
      </w:r>
      <w:r>
        <w:rPr>
          <w:rFonts w:ascii="Arial" w:hAnsi="Arial" w:cs="Arial" w:eastAsia="Arial" w:hint="default"/>
        </w:rPr>
        <w:t>”</w:t>
      </w:r>
      <w:r>
        <w:rPr/>
        <w:t>）。本公司已于以前年</w:t>
      </w:r>
      <w:r>
        <w:rPr>
          <w:spacing w:val="-20"/>
        </w:rPr>
        <w:t> </w:t>
      </w:r>
      <w:r>
        <w:rPr>
          <w:spacing w:val="-20"/>
        </w:rPr>
      </w:r>
      <w:r>
        <w:rPr/>
        <w:t>度获得主管税务机关批准就本公司的研究及开发费用在税前按实际发生额的</w:t>
      </w:r>
      <w:r>
        <w:rPr>
          <w:rFonts w:ascii="Arial" w:hAnsi="Arial" w:cs="Arial" w:eastAsia="Arial" w:hint="default"/>
        </w:rPr>
        <w:t>50%</w:t>
      </w:r>
      <w:r>
        <w:rPr/>
        <w:t>加</w:t>
      </w:r>
      <w:r>
        <w:rPr>
          <w:spacing w:val="-76"/>
        </w:rPr>
        <w:t> </w:t>
      </w:r>
      <w:r>
        <w:rPr>
          <w:spacing w:val="-2"/>
        </w:rPr>
        <w:t>计扣除。本公司预计</w:t>
      </w:r>
      <w:r>
        <w:rPr>
          <w:rFonts w:ascii="Arial" w:hAnsi="Arial" w:cs="Arial" w:eastAsia="Arial" w:hint="default"/>
          <w:spacing w:val="-2"/>
        </w:rPr>
        <w:t>2009</w:t>
      </w:r>
      <w:r>
        <w:rPr>
          <w:spacing w:val="-2"/>
        </w:rPr>
        <w:t>年度的加计扣除仍可获得其主管税务机关的批准。故本年</w:t>
      </w:r>
      <w:r>
        <w:rPr>
          <w:spacing w:val="-49"/>
        </w:rPr>
        <w:t> </w:t>
      </w:r>
      <w:r>
        <w:rPr>
          <w:spacing w:val="-49"/>
        </w:rPr>
      </w:r>
      <w:r>
        <w:rPr/>
        <w:t>度仍调减与研究及开发费用的</w:t>
      </w:r>
      <w:r>
        <w:rPr>
          <w:rFonts w:ascii="Arial" w:hAnsi="Arial" w:cs="Arial" w:eastAsia="Arial" w:hint="default"/>
        </w:rPr>
        <w:t>50%</w:t>
      </w:r>
      <w:r>
        <w:rPr/>
        <w:t>有关的所得税。</w:t>
      </w:r>
    </w:p>
    <w:p>
      <w:pPr>
        <w:spacing w:line="240" w:lineRule="auto" w:before="1"/>
        <w:rPr>
          <w:rFonts w:ascii="黑体" w:hAnsi="黑体" w:cs="黑体" w:eastAsia="黑体" w:hint="default"/>
          <w:sz w:val="23"/>
          <w:szCs w:val="23"/>
        </w:rPr>
      </w:pPr>
    </w:p>
    <w:p>
      <w:pPr>
        <w:pStyle w:val="BodyText"/>
        <w:spacing w:line="261" w:lineRule="auto"/>
        <w:ind w:left="1376" w:right="216" w:hanging="567"/>
        <w:jc w:val="both"/>
      </w:pPr>
      <w:r>
        <w:rPr/>
        <w:t>注</w:t>
      </w:r>
      <w:r>
        <w:rPr>
          <w:rFonts w:ascii="Arial" w:hAnsi="Arial" w:cs="Arial" w:eastAsia="Arial" w:hint="default"/>
        </w:rPr>
        <w:t>4</w:t>
      </w:r>
      <w:r>
        <w:rPr/>
        <w:t>．</w:t>
      </w:r>
      <w:r>
        <w:rPr>
          <w:spacing w:val="-25"/>
        </w:rPr>
        <w:t> </w:t>
      </w:r>
      <w:r>
        <w:rPr/>
        <w:t>主要为超出按税法规定的可在税前列支标准的业务招待费、折旧及坏账准备对所得</w:t>
      </w:r>
      <w:r>
        <w:rPr>
          <w:spacing w:val="-95"/>
        </w:rPr>
        <w:t> </w:t>
      </w:r>
      <w:r>
        <w:rPr>
          <w:spacing w:val="-95"/>
        </w:rPr>
      </w:r>
      <w:r>
        <w:rPr/>
        <w:t>税费用的影响。</w:t>
      </w:r>
    </w:p>
    <w:p>
      <w:pPr>
        <w:spacing w:after="0" w:line="261" w:lineRule="auto"/>
        <w:jc w:val="both"/>
        <w:sectPr>
          <w:pgSz w:w="11910" w:h="16840"/>
          <w:pgMar w:header="828" w:footer="476" w:top="2420" w:bottom="660" w:left="1600" w:right="1480"/>
        </w:sectPr>
      </w:pPr>
    </w:p>
    <w:p>
      <w:pPr>
        <w:spacing w:line="240" w:lineRule="auto" w:before="0"/>
        <w:rPr>
          <w:rFonts w:ascii="黑体" w:hAnsi="黑体" w:cs="黑体" w:eastAsia="黑体" w:hint="default"/>
          <w:sz w:val="20"/>
          <w:szCs w:val="20"/>
        </w:rPr>
      </w:pPr>
    </w:p>
    <w:p>
      <w:pPr>
        <w:spacing w:line="240" w:lineRule="auto" w:before="2"/>
        <w:rPr>
          <w:rFonts w:ascii="黑体" w:hAnsi="黑体" w:cs="黑体" w:eastAsia="黑体" w:hint="default"/>
          <w:sz w:val="25"/>
          <w:szCs w:val="25"/>
        </w:rPr>
      </w:pPr>
    </w:p>
    <w:p>
      <w:pPr>
        <w:tabs>
          <w:tab w:pos="843" w:val="left" w:leader="none"/>
        </w:tabs>
        <w:spacing w:before="38"/>
        <w:ind w:left="141" w:right="2405" w:firstLine="0"/>
        <w:jc w:val="left"/>
        <w:rPr>
          <w:rFonts w:ascii="黑体" w:hAnsi="黑体" w:cs="黑体" w:eastAsia="黑体" w:hint="default"/>
          <w:sz w:val="20"/>
          <w:szCs w:val="20"/>
        </w:rPr>
      </w:pPr>
      <w:r>
        <w:rPr>
          <w:rFonts w:ascii="黑体" w:hAnsi="黑体" w:cs="黑体" w:eastAsia="黑体" w:hint="default"/>
          <w:b/>
          <w:bCs/>
          <w:sz w:val="20"/>
          <w:szCs w:val="20"/>
        </w:rPr>
        <w:t>五、</w:t>
        <w:tab/>
        <w:t>合并财务报表主要项目注释（续）</w:t>
      </w:r>
      <w:r>
        <w:rPr>
          <w:rFonts w:ascii="黑体" w:hAnsi="黑体" w:cs="黑体" w:eastAsia="黑体" w:hint="default"/>
          <w:sz w:val="20"/>
          <w:szCs w:val="20"/>
        </w:rPr>
      </w:r>
    </w:p>
    <w:p>
      <w:pPr>
        <w:spacing w:line="240" w:lineRule="auto" w:before="9"/>
        <w:rPr>
          <w:rFonts w:ascii="黑体" w:hAnsi="黑体" w:cs="黑体" w:eastAsia="黑体" w:hint="default"/>
          <w:b/>
          <w:bCs/>
          <w:sz w:val="18"/>
          <w:szCs w:val="18"/>
        </w:rPr>
      </w:pPr>
    </w:p>
    <w:p>
      <w:pPr>
        <w:tabs>
          <w:tab w:pos="865" w:val="left" w:leader="none"/>
        </w:tabs>
        <w:spacing w:before="0"/>
        <w:ind w:left="141" w:right="2405" w:firstLine="0"/>
        <w:jc w:val="left"/>
        <w:rPr>
          <w:rFonts w:ascii="黑体" w:hAnsi="黑体" w:cs="黑体" w:eastAsia="黑体" w:hint="default"/>
          <w:sz w:val="20"/>
          <w:szCs w:val="20"/>
        </w:rPr>
      </w:pPr>
      <w:r>
        <w:rPr>
          <w:rFonts w:ascii="Arial" w:hAnsi="Arial" w:cs="Arial" w:eastAsia="Arial" w:hint="default"/>
          <w:b/>
          <w:bCs/>
          <w:sz w:val="20"/>
          <w:szCs w:val="20"/>
        </w:rPr>
        <w:t>42</w:t>
      </w:r>
      <w:r>
        <w:rPr>
          <w:rFonts w:ascii="黑体" w:hAnsi="黑体" w:cs="黑体" w:eastAsia="黑体" w:hint="default"/>
          <w:b/>
          <w:bCs/>
          <w:sz w:val="20"/>
          <w:szCs w:val="20"/>
        </w:rPr>
        <w:t>．</w:t>
        <w:tab/>
        <w:t>每股收益</w:t>
      </w:r>
      <w:r>
        <w:rPr>
          <w:rFonts w:ascii="黑体" w:hAnsi="黑体" w:cs="黑体" w:eastAsia="黑体" w:hint="default"/>
          <w:sz w:val="20"/>
          <w:szCs w:val="20"/>
        </w:rPr>
      </w:r>
    </w:p>
    <w:p>
      <w:pPr>
        <w:spacing w:line="240" w:lineRule="auto" w:before="2"/>
        <w:rPr>
          <w:rFonts w:ascii="黑体" w:hAnsi="黑体" w:cs="黑体" w:eastAsia="黑体" w:hint="default"/>
          <w:b/>
          <w:bCs/>
          <w:sz w:val="21"/>
          <w:szCs w:val="21"/>
        </w:rPr>
      </w:pPr>
    </w:p>
    <w:p>
      <w:pPr>
        <w:pStyle w:val="BodyText"/>
        <w:spacing w:line="276" w:lineRule="auto"/>
        <w:ind w:left="855" w:right="215"/>
        <w:jc w:val="both"/>
      </w:pPr>
      <w:r>
        <w:rPr>
          <w:spacing w:val="-1"/>
        </w:rPr>
        <w:t>基本每股收益按照归属于本公司普通股股东的当期净利润，除以发行在外普通股的加权平</w:t>
      </w:r>
      <w:r>
        <w:rPr>
          <w:spacing w:val="-80"/>
        </w:rPr>
        <w:t> </w:t>
      </w:r>
      <w:r>
        <w:rPr>
          <w:spacing w:val="-80"/>
        </w:rPr>
      </w:r>
      <w:r>
        <w:rPr>
          <w:spacing w:val="-1"/>
        </w:rPr>
        <w:t>均数计算。新发行普通股股数，根据发行合同的具体条款，从应收对价之日（一般为股票</w:t>
      </w:r>
      <w:r>
        <w:rPr>
          <w:spacing w:val="-82"/>
        </w:rPr>
        <w:t> </w:t>
      </w:r>
      <w:r>
        <w:rPr>
          <w:spacing w:val="-82"/>
        </w:rPr>
      </w:r>
      <w:r>
        <w:rPr/>
        <w:t>发行日）起计算确定。</w:t>
      </w:r>
    </w:p>
    <w:p>
      <w:pPr>
        <w:spacing w:line="240" w:lineRule="auto" w:before="8"/>
        <w:rPr>
          <w:rFonts w:ascii="黑体" w:hAnsi="黑体" w:cs="黑体" w:eastAsia="黑体" w:hint="default"/>
          <w:sz w:val="20"/>
          <w:szCs w:val="20"/>
        </w:rPr>
      </w:pPr>
    </w:p>
    <w:tbl>
      <w:tblPr>
        <w:tblW w:w="0" w:type="auto"/>
        <w:jc w:val="left"/>
        <w:tblInd w:w="820" w:type="dxa"/>
        <w:tblLayout w:type="fixed"/>
        <w:tblCellMar>
          <w:top w:w="0" w:type="dxa"/>
          <w:left w:w="0" w:type="dxa"/>
          <w:bottom w:w="0" w:type="dxa"/>
          <w:right w:w="0" w:type="dxa"/>
        </w:tblCellMar>
        <w:tblLook w:val="01E0"/>
      </w:tblPr>
      <w:tblGrid>
        <w:gridCol w:w="4341"/>
        <w:gridCol w:w="1796"/>
        <w:gridCol w:w="1726"/>
      </w:tblGrid>
      <w:tr>
        <w:trPr>
          <w:trHeight w:val="914" w:hRule="exact"/>
        </w:trPr>
        <w:tc>
          <w:tcPr>
            <w:tcW w:w="434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sz w:val="20"/>
                <w:szCs w:val="20"/>
              </w:rPr>
              <w:t>基本每股收益与稀释每股收益的具体计算如下：</w:t>
            </w:r>
          </w:p>
          <w:p>
            <w:pPr>
              <w:pStyle w:val="TableParagraph"/>
              <w:spacing w:line="240" w:lineRule="auto" w:before="4"/>
              <w:ind w:right="0"/>
              <w:jc w:val="left"/>
              <w:rPr>
                <w:rFonts w:ascii="黑体" w:hAnsi="黑体" w:cs="黑体" w:eastAsia="黑体" w:hint="default"/>
                <w:sz w:val="24"/>
                <w:szCs w:val="24"/>
              </w:rPr>
            </w:pPr>
          </w:p>
          <w:p>
            <w:pPr>
              <w:pStyle w:val="TableParagraph"/>
              <w:spacing w:line="240" w:lineRule="auto"/>
              <w:ind w:left="39" w:right="0"/>
              <w:jc w:val="left"/>
              <w:rPr>
                <w:rFonts w:ascii="黑体" w:hAnsi="黑体" w:cs="黑体" w:eastAsia="黑体" w:hint="default"/>
                <w:sz w:val="20"/>
                <w:szCs w:val="20"/>
              </w:rPr>
            </w:pPr>
            <w:r>
              <w:rPr>
                <w:rFonts w:ascii="黑体" w:hAnsi="黑体" w:cs="黑体" w:eastAsia="黑体" w:hint="default"/>
                <w:sz w:val="20"/>
                <w:szCs w:val="20"/>
              </w:rPr>
              <w:t>收益</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3"/>
              <w:ind w:right="0"/>
              <w:jc w:val="left"/>
              <w:rPr>
                <w:rFonts w:ascii="黑体" w:hAnsi="黑体" w:cs="黑体" w:eastAsia="黑体" w:hint="default"/>
                <w:sz w:val="27"/>
                <w:szCs w:val="27"/>
              </w:rPr>
            </w:pPr>
          </w:p>
          <w:p>
            <w:pPr>
              <w:pStyle w:val="TableParagraph"/>
              <w:spacing w:line="240" w:lineRule="auto"/>
              <w:ind w:right="578"/>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3"/>
              <w:ind w:right="0"/>
              <w:jc w:val="left"/>
              <w:rPr>
                <w:rFonts w:ascii="黑体" w:hAnsi="黑体" w:cs="黑体" w:eastAsia="黑体" w:hint="default"/>
                <w:sz w:val="27"/>
                <w:szCs w:val="27"/>
              </w:rPr>
            </w:pPr>
          </w:p>
          <w:p>
            <w:pPr>
              <w:pStyle w:val="TableParagraph"/>
              <w:spacing w:line="240" w:lineRule="auto"/>
              <w:ind w:right="33"/>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255" w:hRule="exact"/>
        </w:trPr>
        <w:tc>
          <w:tcPr>
            <w:tcW w:w="4341" w:type="dxa"/>
            <w:tcBorders>
              <w:top w:val="nil" w:sz="6" w:space="0" w:color="auto"/>
              <w:left w:val="nil" w:sz="6" w:space="0" w:color="auto"/>
              <w:bottom w:val="nil" w:sz="6" w:space="0" w:color="auto"/>
              <w:right w:val="nil" w:sz="6" w:space="0" w:color="auto"/>
            </w:tcBorders>
          </w:tcPr>
          <w:p>
            <w:pPr>
              <w:pStyle w:val="TableParagraph"/>
              <w:spacing w:line="225" w:lineRule="exact"/>
              <w:ind w:left="40" w:right="0"/>
              <w:jc w:val="left"/>
              <w:rPr>
                <w:rFonts w:ascii="黑体" w:hAnsi="黑体" w:cs="黑体" w:eastAsia="黑体" w:hint="default"/>
                <w:sz w:val="20"/>
                <w:szCs w:val="20"/>
              </w:rPr>
            </w:pPr>
            <w:r>
              <w:rPr>
                <w:rFonts w:ascii="黑体" w:hAnsi="黑体" w:cs="黑体" w:eastAsia="黑体" w:hint="default"/>
                <w:sz w:val="20"/>
                <w:szCs w:val="20"/>
              </w:rPr>
              <w:t>归属于本公司普通股股东的当期净利润</w:t>
            </w:r>
          </w:p>
        </w:tc>
        <w:tc>
          <w:tcPr>
            <w:tcW w:w="1796"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
        </w:tc>
      </w:tr>
      <w:tr>
        <w:trPr>
          <w:trHeight w:val="379" w:hRule="exact"/>
        </w:trPr>
        <w:tc>
          <w:tcPr>
            <w:tcW w:w="4341" w:type="dxa"/>
            <w:tcBorders>
              <w:top w:val="nil" w:sz="6" w:space="0" w:color="auto"/>
              <w:left w:val="nil" w:sz="6" w:space="0" w:color="auto"/>
              <w:bottom w:val="nil" w:sz="6" w:space="0" w:color="auto"/>
              <w:right w:val="nil" w:sz="6" w:space="0" w:color="auto"/>
            </w:tcBorders>
          </w:tcPr>
          <w:p>
            <w:pPr>
              <w:pStyle w:val="TableParagraph"/>
              <w:spacing w:line="230" w:lineRule="exact"/>
              <w:ind w:left="40" w:right="0"/>
              <w:jc w:val="left"/>
              <w:rPr>
                <w:rFonts w:ascii="黑体" w:hAnsi="黑体" w:cs="黑体" w:eastAsia="黑体" w:hint="default"/>
                <w:sz w:val="20"/>
                <w:szCs w:val="20"/>
              </w:rPr>
            </w:pPr>
            <w:r>
              <w:rPr>
                <w:rFonts w:ascii="黑体" w:hAnsi="黑体" w:cs="黑体" w:eastAsia="黑体" w:hint="default"/>
                <w:sz w:val="20"/>
                <w:szCs w:val="20"/>
              </w:rPr>
              <w:t>持续经营</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575"/>
              <w:jc w:val="right"/>
              <w:rPr>
                <w:rFonts w:ascii="Arial" w:hAnsi="Arial" w:cs="Arial" w:eastAsia="Arial" w:hint="default"/>
                <w:sz w:val="20"/>
                <w:szCs w:val="20"/>
              </w:rPr>
            </w:pPr>
            <w:r>
              <w:rPr>
                <w:rFonts w:ascii="Arial"/>
                <w:w w:val="100"/>
                <w:sz w:val="20"/>
              </w:rPr>
            </w:r>
            <w:r>
              <w:rPr>
                <w:rFonts w:ascii="Arial"/>
                <w:spacing w:val="-1"/>
                <w:sz w:val="20"/>
                <w:u w:val="thick" w:color="000000"/>
              </w:rPr>
              <w:t>593,699,966</w:t>
            </w:r>
            <w:r>
              <w:rPr>
                <w:rFonts w:ascii="Arial"/>
                <w:spacing w:val="-1"/>
                <w:sz w:val="20"/>
              </w:rPr>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391,432,157</w:t>
            </w:r>
            <w:r>
              <w:rPr>
                <w:rFonts w:ascii="Arial"/>
                <w:spacing w:val="-1"/>
                <w:sz w:val="20"/>
              </w:rPr>
            </w:r>
          </w:p>
        </w:tc>
      </w:tr>
      <w:tr>
        <w:trPr>
          <w:trHeight w:val="371" w:hRule="exact"/>
        </w:trPr>
        <w:tc>
          <w:tcPr>
            <w:tcW w:w="434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9" w:right="0"/>
              <w:jc w:val="left"/>
              <w:rPr>
                <w:rFonts w:ascii="黑体" w:hAnsi="黑体" w:cs="黑体" w:eastAsia="黑体" w:hint="default"/>
                <w:sz w:val="20"/>
                <w:szCs w:val="20"/>
              </w:rPr>
            </w:pPr>
            <w:r>
              <w:rPr>
                <w:rFonts w:ascii="黑体" w:hAnsi="黑体" w:cs="黑体" w:eastAsia="黑体" w:hint="default"/>
                <w:sz w:val="20"/>
                <w:szCs w:val="20"/>
              </w:rPr>
              <w:t>股份</w:t>
            </w:r>
          </w:p>
        </w:tc>
        <w:tc>
          <w:tcPr>
            <w:tcW w:w="1796"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
        </w:tc>
      </w:tr>
      <w:tr>
        <w:trPr>
          <w:trHeight w:val="338" w:hRule="exact"/>
        </w:trPr>
        <w:tc>
          <w:tcPr>
            <w:tcW w:w="4341" w:type="dxa"/>
            <w:tcBorders>
              <w:top w:val="nil" w:sz="6" w:space="0" w:color="auto"/>
              <w:left w:val="nil" w:sz="6" w:space="0" w:color="auto"/>
              <w:bottom w:val="nil" w:sz="6" w:space="0" w:color="auto"/>
              <w:right w:val="nil" w:sz="6" w:space="0" w:color="auto"/>
            </w:tcBorders>
          </w:tcPr>
          <w:p>
            <w:pPr>
              <w:pStyle w:val="TableParagraph"/>
              <w:spacing w:line="244" w:lineRule="exact"/>
              <w:ind w:left="39" w:right="0"/>
              <w:jc w:val="left"/>
              <w:rPr>
                <w:rFonts w:ascii="黑体" w:hAnsi="黑体" w:cs="黑体" w:eastAsia="黑体" w:hint="default"/>
                <w:sz w:val="20"/>
                <w:szCs w:val="20"/>
              </w:rPr>
            </w:pPr>
            <w:r>
              <w:rPr>
                <w:rFonts w:ascii="黑体" w:hAnsi="黑体" w:cs="黑体" w:eastAsia="黑体" w:hint="default"/>
                <w:sz w:val="20"/>
                <w:szCs w:val="20"/>
              </w:rPr>
              <w:t>本公司发行在外普通股的加权平均数（注</w:t>
            </w:r>
            <w:r>
              <w:rPr>
                <w:rFonts w:ascii="Arial" w:hAnsi="Arial" w:cs="Arial" w:eastAsia="Arial" w:hint="default"/>
                <w:sz w:val="20"/>
                <w:szCs w:val="20"/>
              </w:rPr>
              <w:t>1</w:t>
            </w:r>
            <w:r>
              <w:rPr>
                <w:rFonts w:ascii="黑体" w:hAnsi="黑体" w:cs="黑体" w:eastAsia="黑体" w:hint="default"/>
                <w:sz w:val="20"/>
                <w:szCs w:val="20"/>
              </w:rPr>
              <w:t>）</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577"/>
              <w:jc w:val="right"/>
              <w:rPr>
                <w:rFonts w:ascii="Arial" w:hAnsi="Arial" w:cs="Arial" w:eastAsia="Arial" w:hint="default"/>
                <w:sz w:val="20"/>
                <w:szCs w:val="20"/>
              </w:rPr>
            </w:pPr>
            <w:r>
              <w:rPr>
                <w:rFonts w:ascii="Arial"/>
                <w:w w:val="100"/>
                <w:sz w:val="20"/>
              </w:rPr>
            </w:r>
            <w:r>
              <w:rPr>
                <w:rFonts w:ascii="Arial"/>
                <w:spacing w:val="-1"/>
                <w:sz w:val="20"/>
                <w:u w:val="thick" w:color="000000"/>
              </w:rPr>
              <w:t>611,974,847</w:t>
            </w:r>
            <w:r>
              <w:rPr>
                <w:rFonts w:ascii="Arial"/>
                <w:spacing w:val="-1"/>
                <w:sz w:val="20"/>
              </w:rPr>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602,348,408</w:t>
            </w:r>
            <w:r>
              <w:rPr>
                <w:rFonts w:ascii="Arial"/>
                <w:spacing w:val="-1"/>
                <w:sz w:val="20"/>
              </w:rPr>
            </w:r>
          </w:p>
        </w:tc>
      </w:tr>
    </w:tbl>
    <w:p>
      <w:pPr>
        <w:spacing w:line="240" w:lineRule="auto" w:before="1"/>
        <w:rPr>
          <w:rFonts w:ascii="黑体" w:hAnsi="黑体" w:cs="黑体" w:eastAsia="黑体" w:hint="default"/>
          <w:sz w:val="13"/>
          <w:szCs w:val="13"/>
        </w:rPr>
      </w:pPr>
    </w:p>
    <w:p>
      <w:pPr>
        <w:pStyle w:val="BodyText"/>
        <w:spacing w:line="240" w:lineRule="auto" w:before="38"/>
        <w:ind w:left="855" w:right="113"/>
        <w:jc w:val="left"/>
      </w:pPr>
      <w:r>
        <w:rPr/>
        <w:t>本公司无稀释性潜在普通股。稀释每股收益等同于基本每股收益。</w:t>
      </w:r>
    </w:p>
    <w:p>
      <w:pPr>
        <w:spacing w:line="240" w:lineRule="auto" w:before="11"/>
        <w:rPr>
          <w:rFonts w:ascii="黑体" w:hAnsi="黑体" w:cs="黑体" w:eastAsia="黑体" w:hint="default"/>
          <w:sz w:val="25"/>
          <w:szCs w:val="25"/>
        </w:rPr>
      </w:pPr>
    </w:p>
    <w:p>
      <w:pPr>
        <w:pStyle w:val="BodyText"/>
        <w:spacing w:line="261" w:lineRule="auto"/>
        <w:ind w:left="1317" w:right="113" w:hanging="467"/>
        <w:jc w:val="left"/>
      </w:pPr>
      <w:r>
        <w:rPr/>
        <w:t>注</w:t>
      </w:r>
      <w:r>
        <w:rPr>
          <w:rFonts w:ascii="Arial" w:hAnsi="Arial" w:cs="Arial" w:eastAsia="Arial" w:hint="default"/>
        </w:rPr>
        <w:t>1. </w:t>
      </w:r>
      <w:r>
        <w:rPr>
          <w:spacing w:val="2"/>
        </w:rPr>
        <w:t>资产负债表日至本财务报表批准报出日期间内未发生导致发行在外普通股或潜在普</w:t>
      </w:r>
      <w:r>
        <w:rPr>
          <w:spacing w:val="-76"/>
        </w:rPr>
        <w:t> </w:t>
      </w:r>
      <w:r>
        <w:rPr>
          <w:spacing w:val="-76"/>
        </w:rPr>
      </w:r>
      <w:r>
        <w:rPr/>
        <w:t>通股数量变化的事项。</w:t>
      </w:r>
    </w:p>
    <w:p>
      <w:pPr>
        <w:spacing w:line="240" w:lineRule="auto" w:before="1"/>
        <w:rPr>
          <w:rFonts w:ascii="黑体" w:hAnsi="黑体" w:cs="黑体" w:eastAsia="黑体" w:hint="default"/>
          <w:sz w:val="19"/>
          <w:szCs w:val="19"/>
        </w:rPr>
      </w:pPr>
    </w:p>
    <w:tbl>
      <w:tblPr>
        <w:tblW w:w="0" w:type="auto"/>
        <w:jc w:val="left"/>
        <w:tblInd w:w="106" w:type="dxa"/>
        <w:tblLayout w:type="fixed"/>
        <w:tblCellMar>
          <w:top w:w="0" w:type="dxa"/>
          <w:left w:w="0" w:type="dxa"/>
          <w:bottom w:w="0" w:type="dxa"/>
          <w:right w:w="0" w:type="dxa"/>
        </w:tblCellMar>
        <w:tblLook w:val="01E0"/>
      </w:tblPr>
      <w:tblGrid>
        <w:gridCol w:w="513"/>
        <w:gridCol w:w="4173"/>
        <w:gridCol w:w="2164"/>
        <w:gridCol w:w="1801"/>
      </w:tblGrid>
      <w:tr>
        <w:trPr>
          <w:trHeight w:val="967" w:hRule="exact"/>
        </w:trPr>
        <w:tc>
          <w:tcPr>
            <w:tcW w:w="513"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Arial" w:hAnsi="Arial" w:cs="Arial" w:eastAsia="Arial" w:hint="default"/>
                <w:sz w:val="20"/>
                <w:szCs w:val="20"/>
              </w:rPr>
            </w:pPr>
            <w:r>
              <w:rPr>
                <w:rFonts w:ascii="Arial"/>
                <w:b/>
                <w:sz w:val="20"/>
              </w:rPr>
              <w:t>43.</w:t>
            </w:r>
            <w:r>
              <w:rPr>
                <w:rFonts w:ascii="Arial"/>
                <w:sz w:val="20"/>
              </w:rPr>
            </w:r>
          </w:p>
        </w:tc>
        <w:tc>
          <w:tcPr>
            <w:tcW w:w="417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99" w:right="0"/>
              <w:jc w:val="left"/>
              <w:rPr>
                <w:rFonts w:ascii="黑体" w:hAnsi="黑体" w:cs="黑体" w:eastAsia="黑体" w:hint="default"/>
                <w:sz w:val="20"/>
                <w:szCs w:val="20"/>
              </w:rPr>
            </w:pPr>
            <w:r>
              <w:rPr>
                <w:rFonts w:ascii="黑体" w:hAnsi="黑体" w:cs="黑体" w:eastAsia="黑体" w:hint="default"/>
                <w:b/>
                <w:bCs/>
                <w:sz w:val="20"/>
                <w:szCs w:val="20"/>
              </w:rPr>
              <w:t>其他综合收益</w:t>
            </w:r>
            <w:r>
              <w:rPr>
                <w:rFonts w:ascii="黑体" w:hAnsi="黑体" w:cs="黑体" w:eastAsia="黑体" w:hint="default"/>
                <w:sz w:val="20"/>
                <w:szCs w:val="20"/>
              </w:rPr>
            </w:r>
          </w:p>
        </w:tc>
        <w:tc>
          <w:tcPr>
            <w:tcW w:w="21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47"/>
              <w:ind w:right="576"/>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47"/>
              <w:ind w:right="109"/>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259" w:hRule="exact"/>
        </w:trPr>
        <w:tc>
          <w:tcPr>
            <w:tcW w:w="513" w:type="dxa"/>
            <w:tcBorders>
              <w:top w:val="nil" w:sz="6" w:space="0" w:color="auto"/>
              <w:left w:val="nil" w:sz="6" w:space="0" w:color="auto"/>
              <w:bottom w:val="nil" w:sz="6" w:space="0" w:color="auto"/>
              <w:right w:val="nil" w:sz="6" w:space="0" w:color="auto"/>
            </w:tcBorders>
          </w:tcPr>
          <w:p>
            <w:pPr/>
          </w:p>
        </w:tc>
        <w:tc>
          <w:tcPr>
            <w:tcW w:w="4173" w:type="dxa"/>
            <w:tcBorders>
              <w:top w:val="nil" w:sz="6" w:space="0" w:color="auto"/>
              <w:left w:val="nil" w:sz="6" w:space="0" w:color="auto"/>
              <w:bottom w:val="nil" w:sz="6" w:space="0" w:color="auto"/>
              <w:right w:val="nil" w:sz="6" w:space="0" w:color="auto"/>
            </w:tcBorders>
          </w:tcPr>
          <w:p>
            <w:pPr>
              <w:pStyle w:val="TableParagraph"/>
              <w:spacing w:line="225" w:lineRule="exact"/>
              <w:ind w:left="240" w:right="0"/>
              <w:jc w:val="left"/>
              <w:rPr>
                <w:rFonts w:ascii="黑体" w:hAnsi="黑体" w:cs="黑体" w:eastAsia="黑体" w:hint="default"/>
                <w:sz w:val="20"/>
                <w:szCs w:val="20"/>
              </w:rPr>
            </w:pPr>
            <w:r>
              <w:rPr>
                <w:rFonts w:ascii="黑体" w:hAnsi="黑体" w:cs="黑体" w:eastAsia="黑体" w:hint="default"/>
                <w:sz w:val="20"/>
                <w:szCs w:val="20"/>
              </w:rPr>
              <w:t>可供出售金融资产的利得</w:t>
            </w:r>
          </w:p>
        </w:tc>
        <w:tc>
          <w:tcPr>
            <w:tcW w:w="2164" w:type="dxa"/>
            <w:tcBorders>
              <w:top w:val="nil" w:sz="6" w:space="0" w:color="auto"/>
              <w:left w:val="nil" w:sz="6" w:space="0" w:color="auto"/>
              <w:bottom w:val="nil" w:sz="6" w:space="0" w:color="auto"/>
              <w:right w:val="nil" w:sz="6" w:space="0" w:color="auto"/>
            </w:tcBorders>
          </w:tcPr>
          <w:p>
            <w:pPr>
              <w:pStyle w:val="TableParagraph"/>
              <w:spacing w:line="240" w:lineRule="auto" w:before="7"/>
              <w:ind w:left="473" w:right="0"/>
              <w:jc w:val="left"/>
              <w:rPr>
                <w:rFonts w:ascii="Arial" w:hAnsi="Arial" w:cs="Arial" w:eastAsia="Arial" w:hint="default"/>
                <w:sz w:val="20"/>
                <w:szCs w:val="20"/>
              </w:rPr>
            </w:pPr>
            <w:r>
              <w:rPr>
                <w:rFonts w:ascii="Arial"/>
                <w:sz w:val="20"/>
              </w:rPr>
              <w:t>228,409,547</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08"/>
              <w:jc w:val="right"/>
              <w:rPr>
                <w:rFonts w:ascii="Arial" w:hAnsi="Arial" w:cs="Arial" w:eastAsia="Arial" w:hint="default"/>
                <w:sz w:val="20"/>
                <w:szCs w:val="20"/>
              </w:rPr>
            </w:pPr>
            <w:r>
              <w:rPr>
                <w:rFonts w:ascii="Arial"/>
                <w:spacing w:val="-1"/>
                <w:sz w:val="20"/>
              </w:rPr>
              <w:t>640,583,703</w:t>
            </w:r>
          </w:p>
        </w:tc>
      </w:tr>
      <w:tr>
        <w:trPr>
          <w:trHeight w:val="261" w:hRule="exact"/>
        </w:trPr>
        <w:tc>
          <w:tcPr>
            <w:tcW w:w="513" w:type="dxa"/>
            <w:tcBorders>
              <w:top w:val="nil" w:sz="6" w:space="0" w:color="auto"/>
              <w:left w:val="nil" w:sz="6" w:space="0" w:color="auto"/>
              <w:bottom w:val="nil" w:sz="6" w:space="0" w:color="auto"/>
              <w:right w:val="nil" w:sz="6" w:space="0" w:color="auto"/>
            </w:tcBorders>
          </w:tcPr>
          <w:p>
            <w:pPr/>
          </w:p>
        </w:tc>
        <w:tc>
          <w:tcPr>
            <w:tcW w:w="4173" w:type="dxa"/>
            <w:tcBorders>
              <w:top w:val="nil" w:sz="6" w:space="0" w:color="auto"/>
              <w:left w:val="nil" w:sz="6" w:space="0" w:color="auto"/>
              <w:bottom w:val="nil" w:sz="6" w:space="0" w:color="auto"/>
              <w:right w:val="nil" w:sz="6" w:space="0" w:color="auto"/>
            </w:tcBorders>
          </w:tcPr>
          <w:p>
            <w:pPr>
              <w:pStyle w:val="TableParagraph"/>
              <w:spacing w:line="226" w:lineRule="exact"/>
              <w:ind w:left="240" w:right="0"/>
              <w:jc w:val="left"/>
              <w:rPr>
                <w:rFonts w:ascii="黑体" w:hAnsi="黑体" w:cs="黑体" w:eastAsia="黑体" w:hint="default"/>
                <w:sz w:val="20"/>
                <w:szCs w:val="20"/>
              </w:rPr>
            </w:pPr>
            <w:r>
              <w:rPr>
                <w:rFonts w:ascii="黑体" w:hAnsi="黑体" w:cs="黑体" w:eastAsia="黑体" w:hint="default"/>
                <w:spacing w:val="-5"/>
                <w:sz w:val="20"/>
                <w:szCs w:val="20"/>
              </w:rPr>
              <w:t>减：可供出售金融资产产生的所得税影响</w:t>
            </w:r>
          </w:p>
        </w:tc>
        <w:tc>
          <w:tcPr>
            <w:tcW w:w="2164" w:type="dxa"/>
            <w:tcBorders>
              <w:top w:val="nil" w:sz="6" w:space="0" w:color="auto"/>
              <w:left w:val="nil" w:sz="6" w:space="0" w:color="auto"/>
              <w:bottom w:val="nil" w:sz="6" w:space="0" w:color="auto"/>
              <w:right w:val="nil" w:sz="6" w:space="0" w:color="auto"/>
            </w:tcBorders>
          </w:tcPr>
          <w:p>
            <w:pPr>
              <w:pStyle w:val="TableParagraph"/>
              <w:spacing w:line="240" w:lineRule="auto" w:before="8"/>
              <w:ind w:left="485"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22,840,955</w:t>
            </w:r>
            <w:r>
              <w:rPr>
                <w:rFonts w:ascii="Arial"/>
                <w:sz w:val="20"/>
              </w:rPr>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64,058,370</w:t>
            </w:r>
            <w:r>
              <w:rPr>
                <w:rFonts w:ascii="Arial"/>
                <w:spacing w:val="-1"/>
                <w:sz w:val="20"/>
              </w:rPr>
            </w:r>
          </w:p>
        </w:tc>
      </w:tr>
      <w:tr>
        <w:trPr>
          <w:trHeight w:val="381" w:hRule="exact"/>
        </w:trPr>
        <w:tc>
          <w:tcPr>
            <w:tcW w:w="513" w:type="dxa"/>
            <w:tcBorders>
              <w:top w:val="nil" w:sz="6" w:space="0" w:color="auto"/>
              <w:left w:val="nil" w:sz="6" w:space="0" w:color="auto"/>
              <w:bottom w:val="nil" w:sz="6" w:space="0" w:color="auto"/>
              <w:right w:val="nil" w:sz="6" w:space="0" w:color="auto"/>
            </w:tcBorders>
          </w:tcPr>
          <w:p>
            <w:pPr/>
          </w:p>
        </w:tc>
        <w:tc>
          <w:tcPr>
            <w:tcW w:w="4173" w:type="dxa"/>
            <w:tcBorders>
              <w:top w:val="nil" w:sz="6" w:space="0" w:color="auto"/>
              <w:left w:val="nil" w:sz="6" w:space="0" w:color="auto"/>
              <w:bottom w:val="nil" w:sz="6" w:space="0" w:color="auto"/>
              <w:right w:val="nil" w:sz="6" w:space="0" w:color="auto"/>
            </w:tcBorders>
          </w:tcPr>
          <w:p>
            <w:pPr/>
          </w:p>
        </w:tc>
        <w:tc>
          <w:tcPr>
            <w:tcW w:w="2164" w:type="dxa"/>
            <w:tcBorders>
              <w:top w:val="nil" w:sz="6" w:space="0" w:color="auto"/>
              <w:left w:val="nil" w:sz="6" w:space="0" w:color="auto"/>
              <w:bottom w:val="nil" w:sz="6" w:space="0" w:color="auto"/>
              <w:right w:val="nil" w:sz="6" w:space="0" w:color="auto"/>
            </w:tcBorders>
          </w:tcPr>
          <w:p>
            <w:pPr>
              <w:pStyle w:val="TableParagraph"/>
              <w:spacing w:line="240" w:lineRule="auto" w:before="2"/>
              <w:ind w:left="473" w:right="0"/>
              <w:jc w:val="left"/>
              <w:rPr>
                <w:rFonts w:ascii="Arial" w:hAnsi="Arial" w:cs="Arial" w:eastAsia="Arial" w:hint="default"/>
                <w:sz w:val="20"/>
                <w:szCs w:val="20"/>
              </w:rPr>
            </w:pPr>
            <w:r>
              <w:rPr>
                <w:rFonts w:ascii="Arial"/>
                <w:w w:val="100"/>
                <w:sz w:val="20"/>
              </w:rPr>
            </w:r>
            <w:r>
              <w:rPr>
                <w:rFonts w:ascii="Arial"/>
                <w:sz w:val="20"/>
                <w:u w:val="thick" w:color="000000"/>
              </w:rPr>
              <w:t>205,568,592</w:t>
            </w:r>
            <w:r>
              <w:rPr>
                <w:rFonts w:ascii="Arial"/>
                <w:sz w:val="20"/>
              </w:rPr>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08"/>
              <w:jc w:val="right"/>
              <w:rPr>
                <w:rFonts w:ascii="Arial" w:hAnsi="Arial" w:cs="Arial" w:eastAsia="Arial" w:hint="default"/>
                <w:sz w:val="20"/>
                <w:szCs w:val="20"/>
              </w:rPr>
            </w:pPr>
            <w:r>
              <w:rPr>
                <w:rFonts w:ascii="Arial"/>
                <w:w w:val="100"/>
                <w:sz w:val="20"/>
              </w:rPr>
            </w:r>
            <w:r>
              <w:rPr>
                <w:rFonts w:ascii="Arial"/>
                <w:spacing w:val="-1"/>
                <w:sz w:val="20"/>
                <w:u w:val="thick" w:color="000000"/>
              </w:rPr>
              <w:t>576,525,333</w:t>
            </w:r>
            <w:r>
              <w:rPr>
                <w:rFonts w:ascii="Arial"/>
                <w:spacing w:val="-1"/>
                <w:sz w:val="20"/>
              </w:rPr>
            </w:r>
          </w:p>
        </w:tc>
      </w:tr>
      <w:tr>
        <w:trPr>
          <w:trHeight w:val="516" w:hRule="exact"/>
        </w:trPr>
        <w:tc>
          <w:tcPr>
            <w:tcW w:w="513" w:type="dxa"/>
            <w:tcBorders>
              <w:top w:val="nil" w:sz="6" w:space="0" w:color="auto"/>
              <w:left w:val="nil" w:sz="6" w:space="0" w:color="auto"/>
              <w:bottom w:val="nil" w:sz="6" w:space="0" w:color="auto"/>
              <w:right w:val="nil" w:sz="6" w:space="0" w:color="auto"/>
            </w:tcBorders>
          </w:tcPr>
          <w:p>
            <w:pPr/>
          </w:p>
        </w:tc>
        <w:tc>
          <w:tcPr>
            <w:tcW w:w="417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240" w:right="0"/>
              <w:jc w:val="left"/>
              <w:rPr>
                <w:rFonts w:ascii="黑体" w:hAnsi="黑体" w:cs="黑体" w:eastAsia="黑体" w:hint="default"/>
                <w:sz w:val="20"/>
                <w:szCs w:val="20"/>
              </w:rPr>
            </w:pPr>
            <w:r>
              <w:rPr>
                <w:rFonts w:ascii="黑体" w:hAnsi="黑体" w:cs="黑体" w:eastAsia="黑体" w:hint="default"/>
                <w:sz w:val="20"/>
                <w:szCs w:val="20"/>
              </w:rPr>
              <w:t>外币报表折算差额</w:t>
            </w:r>
          </w:p>
        </w:tc>
        <w:tc>
          <w:tcPr>
            <w:tcW w:w="2164" w:type="dxa"/>
            <w:tcBorders>
              <w:top w:val="nil" w:sz="6" w:space="0" w:color="auto"/>
              <w:left w:val="nil" w:sz="6" w:space="0" w:color="auto"/>
              <w:bottom w:val="nil" w:sz="6" w:space="0" w:color="auto"/>
              <w:right w:val="nil" w:sz="6" w:space="0" w:color="auto"/>
            </w:tcBorders>
          </w:tcPr>
          <w:p>
            <w:pPr>
              <w:pStyle w:val="TableParagraph"/>
              <w:tabs>
                <w:tab w:pos="465" w:val="left" w:leader="none"/>
              </w:tabs>
              <w:spacing w:line="240" w:lineRule="auto" w:before="135"/>
              <w:ind w:right="498"/>
              <w:jc w:val="right"/>
              <w:rPr>
                <w:rFonts w:ascii="Arial" w:hAnsi="Arial" w:cs="Arial" w:eastAsia="Arial" w:hint="default"/>
                <w:sz w:val="20"/>
                <w:szCs w:val="20"/>
              </w:rPr>
            </w:pPr>
            <w:r>
              <w:rPr>
                <w:rFonts w:ascii="Arial"/>
                <w:sz w:val="20"/>
              </w:rPr>
              <w:t>(</w:t>
            </w:r>
            <w:r>
              <w:rPr>
                <w:rFonts w:ascii="Arial"/>
                <w:sz w:val="20"/>
                <w:u w:val="single" w:color="000000"/>
              </w:rPr>
              <w:t> </w:t>
              <w:tab/>
              <w:t>714,570</w:t>
            </w:r>
            <w:r>
              <w:rPr>
                <w:rFonts w:ascii="Arial"/>
                <w:sz w:val="20"/>
              </w:rPr>
              <w:t>)</w:t>
            </w:r>
          </w:p>
        </w:tc>
        <w:tc>
          <w:tcPr>
            <w:tcW w:w="1801" w:type="dxa"/>
            <w:tcBorders>
              <w:top w:val="nil" w:sz="6" w:space="0" w:color="auto"/>
              <w:left w:val="nil" w:sz="6" w:space="0" w:color="auto"/>
              <w:bottom w:val="nil" w:sz="6" w:space="0" w:color="auto"/>
              <w:right w:val="nil" w:sz="6" w:space="0" w:color="auto"/>
            </w:tcBorders>
          </w:tcPr>
          <w:p>
            <w:pPr>
              <w:pStyle w:val="TableParagraph"/>
              <w:tabs>
                <w:tab w:pos="465" w:val="left" w:leader="none"/>
              </w:tabs>
              <w:spacing w:line="240" w:lineRule="auto" w:before="135"/>
              <w:ind w:right="33"/>
              <w:jc w:val="right"/>
              <w:rPr>
                <w:rFonts w:ascii="Arial" w:hAnsi="Arial" w:cs="Arial" w:eastAsia="Arial" w:hint="default"/>
                <w:sz w:val="20"/>
                <w:szCs w:val="20"/>
              </w:rPr>
            </w:pPr>
            <w:r>
              <w:rPr>
                <w:rFonts w:ascii="Arial"/>
                <w:sz w:val="20"/>
              </w:rPr>
              <w:t>(</w:t>
            </w:r>
            <w:r>
              <w:rPr>
                <w:rFonts w:ascii="Arial"/>
                <w:sz w:val="20"/>
                <w:u w:val="single" w:color="000000"/>
              </w:rPr>
              <w:t> </w:t>
              <w:tab/>
              <w:t>333,813</w:t>
            </w:r>
            <w:r>
              <w:rPr>
                <w:rFonts w:ascii="Arial"/>
                <w:sz w:val="20"/>
              </w:rPr>
              <w:t>)</w:t>
            </w:r>
          </w:p>
        </w:tc>
      </w:tr>
      <w:tr>
        <w:trPr>
          <w:trHeight w:val="456" w:hRule="exact"/>
        </w:trPr>
        <w:tc>
          <w:tcPr>
            <w:tcW w:w="513" w:type="dxa"/>
            <w:tcBorders>
              <w:top w:val="nil" w:sz="6" w:space="0" w:color="auto"/>
              <w:left w:val="nil" w:sz="6" w:space="0" w:color="auto"/>
              <w:bottom w:val="nil" w:sz="6" w:space="0" w:color="auto"/>
              <w:right w:val="nil" w:sz="6" w:space="0" w:color="auto"/>
            </w:tcBorders>
          </w:tcPr>
          <w:p>
            <w:pPr/>
          </w:p>
        </w:tc>
        <w:tc>
          <w:tcPr>
            <w:tcW w:w="4173" w:type="dxa"/>
            <w:tcBorders>
              <w:top w:val="nil" w:sz="6" w:space="0" w:color="auto"/>
              <w:left w:val="nil" w:sz="6" w:space="0" w:color="auto"/>
              <w:bottom w:val="nil" w:sz="6" w:space="0" w:color="auto"/>
              <w:right w:val="nil" w:sz="6" w:space="0" w:color="auto"/>
            </w:tcBorders>
          </w:tcPr>
          <w:p>
            <w:pPr/>
          </w:p>
        </w:tc>
        <w:tc>
          <w:tcPr>
            <w:tcW w:w="2164"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473" w:right="0"/>
              <w:jc w:val="left"/>
              <w:rPr>
                <w:rFonts w:ascii="Arial" w:hAnsi="Arial" w:cs="Arial" w:eastAsia="Arial" w:hint="default"/>
                <w:sz w:val="20"/>
                <w:szCs w:val="20"/>
              </w:rPr>
            </w:pPr>
            <w:r>
              <w:rPr>
                <w:rFonts w:ascii="Arial"/>
                <w:w w:val="100"/>
                <w:sz w:val="20"/>
              </w:rPr>
            </w:r>
            <w:r>
              <w:rPr>
                <w:rFonts w:ascii="Arial"/>
                <w:sz w:val="20"/>
                <w:u w:val="thick" w:color="000000"/>
              </w:rPr>
              <w:t>204,854,022</w:t>
            </w:r>
            <w:r>
              <w:rPr>
                <w:rFonts w:ascii="Arial"/>
                <w:sz w:val="20"/>
              </w:rPr>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08"/>
              <w:jc w:val="right"/>
              <w:rPr>
                <w:rFonts w:ascii="Arial" w:hAnsi="Arial" w:cs="Arial" w:eastAsia="Arial" w:hint="default"/>
                <w:sz w:val="20"/>
                <w:szCs w:val="20"/>
              </w:rPr>
            </w:pPr>
            <w:r>
              <w:rPr>
                <w:rFonts w:ascii="Arial"/>
                <w:w w:val="100"/>
                <w:sz w:val="20"/>
              </w:rPr>
            </w:r>
            <w:r>
              <w:rPr>
                <w:rFonts w:ascii="Arial"/>
                <w:spacing w:val="-1"/>
                <w:sz w:val="20"/>
                <w:u w:val="thick" w:color="000000"/>
              </w:rPr>
              <w:t>576,191,520</w:t>
            </w:r>
            <w:r>
              <w:rPr>
                <w:rFonts w:ascii="Arial"/>
                <w:spacing w:val="-1"/>
                <w:sz w:val="20"/>
              </w:rPr>
            </w:r>
          </w:p>
        </w:tc>
      </w:tr>
    </w:tbl>
    <w:p>
      <w:pPr>
        <w:spacing w:after="0" w:line="240" w:lineRule="auto"/>
        <w:jc w:val="right"/>
        <w:rPr>
          <w:rFonts w:ascii="Arial" w:hAnsi="Arial" w:cs="Arial" w:eastAsia="Arial" w:hint="default"/>
          <w:sz w:val="20"/>
          <w:szCs w:val="20"/>
        </w:rPr>
        <w:sectPr>
          <w:pgSz w:w="11910" w:h="16840"/>
          <w:pgMar w:header="828" w:footer="476" w:top="2420" w:bottom="660" w:left="1560" w:right="14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0"/>
          <w:szCs w:val="20"/>
        </w:rPr>
      </w:pPr>
    </w:p>
    <w:tbl>
      <w:tblPr>
        <w:tblW w:w="0" w:type="auto"/>
        <w:jc w:val="left"/>
        <w:tblInd w:w="106" w:type="dxa"/>
        <w:tblLayout w:type="fixed"/>
        <w:tblCellMar>
          <w:top w:w="0" w:type="dxa"/>
          <w:left w:w="0" w:type="dxa"/>
          <w:bottom w:w="0" w:type="dxa"/>
          <w:right w:w="0" w:type="dxa"/>
        </w:tblCellMar>
        <w:tblLook w:val="01E0"/>
      </w:tblPr>
      <w:tblGrid>
        <w:gridCol w:w="581"/>
        <w:gridCol w:w="3602"/>
        <w:gridCol w:w="1102"/>
        <w:gridCol w:w="1849"/>
        <w:gridCol w:w="1535"/>
      </w:tblGrid>
      <w:tr>
        <w:trPr>
          <w:trHeight w:val="1108" w:hRule="exact"/>
        </w:trPr>
        <w:tc>
          <w:tcPr>
            <w:tcW w:w="58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五、</w:t>
            </w:r>
            <w:r>
              <w:rPr>
                <w:rFonts w:ascii="黑体" w:hAnsi="黑体" w:cs="黑体" w:eastAsia="黑体" w:hint="default"/>
                <w:sz w:val="20"/>
                <w:szCs w:val="20"/>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60"/>
              <w:ind w:left="35" w:right="0"/>
              <w:jc w:val="left"/>
              <w:rPr>
                <w:rFonts w:ascii="Arial" w:hAnsi="Arial" w:cs="Arial" w:eastAsia="Arial" w:hint="default"/>
                <w:sz w:val="20"/>
                <w:szCs w:val="20"/>
              </w:rPr>
            </w:pPr>
            <w:r>
              <w:rPr>
                <w:rFonts w:ascii="Arial"/>
                <w:b/>
                <w:sz w:val="20"/>
              </w:rPr>
              <w:t>44.</w:t>
            </w:r>
            <w:r>
              <w:rPr>
                <w:rFonts w:ascii="Arial"/>
                <w:sz w:val="20"/>
              </w:rPr>
            </w:r>
          </w:p>
        </w:tc>
        <w:tc>
          <w:tcPr>
            <w:tcW w:w="360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55" w:right="0"/>
              <w:jc w:val="left"/>
              <w:rPr>
                <w:rFonts w:ascii="黑体" w:hAnsi="黑体" w:cs="黑体" w:eastAsia="黑体" w:hint="default"/>
                <w:sz w:val="20"/>
                <w:szCs w:val="20"/>
              </w:rPr>
            </w:pPr>
            <w:r>
              <w:rPr>
                <w:rFonts w:ascii="黑体" w:hAnsi="黑体" w:cs="黑体" w:eastAsia="黑体" w:hint="default"/>
                <w:b/>
                <w:bCs/>
                <w:sz w:val="20"/>
                <w:szCs w:val="20"/>
              </w:rPr>
              <w:t>合并财务报表主要项目注释（续）</w:t>
            </w:r>
            <w:r>
              <w:rPr>
                <w:rFonts w:ascii="黑体" w:hAnsi="黑体" w:cs="黑体" w:eastAsia="黑体" w:hint="default"/>
                <w:sz w:val="20"/>
                <w:szCs w:val="20"/>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5"/>
              <w:ind w:left="142" w:right="0"/>
              <w:jc w:val="left"/>
              <w:rPr>
                <w:rFonts w:ascii="黑体" w:hAnsi="黑体" w:cs="黑体" w:eastAsia="黑体" w:hint="default"/>
                <w:sz w:val="20"/>
                <w:szCs w:val="20"/>
              </w:rPr>
            </w:pPr>
            <w:r>
              <w:rPr>
                <w:rFonts w:ascii="黑体" w:hAnsi="黑体" w:cs="黑体" w:eastAsia="黑体" w:hint="default"/>
                <w:b/>
                <w:bCs/>
                <w:sz w:val="20"/>
                <w:szCs w:val="20"/>
              </w:rPr>
              <w:t>现金流量表项目注释：</w:t>
            </w:r>
            <w:r>
              <w:rPr>
                <w:rFonts w:ascii="黑体" w:hAnsi="黑体" w:cs="黑体" w:eastAsia="黑体" w:hint="default"/>
                <w:sz w:val="20"/>
                <w:szCs w:val="20"/>
              </w:rPr>
            </w:r>
          </w:p>
        </w:tc>
        <w:tc>
          <w:tcPr>
            <w:tcW w:w="4486" w:type="dxa"/>
            <w:gridSpan w:val="3"/>
            <w:vMerge w:val="restart"/>
            <w:tcBorders>
              <w:top w:val="nil" w:sz="6" w:space="0" w:color="auto"/>
              <w:left w:val="nil" w:sz="6" w:space="0" w:color="auto"/>
              <w:right w:val="nil" w:sz="6" w:space="0" w:color="auto"/>
            </w:tcBorders>
          </w:tcPr>
          <w:p>
            <w:pPr/>
          </w:p>
        </w:tc>
      </w:tr>
      <w:tr>
        <w:trPr>
          <w:trHeight w:val="594"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168" w:right="0"/>
              <w:jc w:val="left"/>
              <w:rPr>
                <w:rFonts w:ascii="黑体" w:hAnsi="黑体" w:cs="黑体" w:eastAsia="黑体" w:hint="default"/>
                <w:sz w:val="20"/>
                <w:szCs w:val="20"/>
              </w:rPr>
            </w:pPr>
            <w:r>
              <w:rPr>
                <w:rFonts w:ascii="黑体" w:hAnsi="黑体" w:cs="黑体" w:eastAsia="黑体" w:hint="default"/>
                <w:sz w:val="20"/>
                <w:szCs w:val="20"/>
              </w:rPr>
              <w:t>支付的其他与经营活动有关的现金</w:t>
            </w:r>
          </w:p>
        </w:tc>
        <w:tc>
          <w:tcPr>
            <w:tcW w:w="4486" w:type="dxa"/>
            <w:gridSpan w:val="3"/>
            <w:vMerge/>
            <w:tcBorders>
              <w:left w:val="nil" w:sz="6" w:space="0" w:color="auto"/>
              <w:bottom w:val="nil" w:sz="6" w:space="0" w:color="auto"/>
              <w:right w:val="nil" w:sz="6" w:space="0" w:color="auto"/>
            </w:tcBorders>
          </w:tcPr>
          <w:p>
            <w:pPr/>
          </w:p>
        </w:tc>
      </w:tr>
      <w:tr>
        <w:trPr>
          <w:trHeight w:val="592"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320"/>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755"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r>
      <w:tr>
        <w:trPr>
          <w:trHeight w:val="419"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190" w:right="0"/>
              <w:jc w:val="left"/>
              <w:rPr>
                <w:rFonts w:ascii="黑体" w:hAnsi="黑体" w:cs="黑体" w:eastAsia="黑体" w:hint="default"/>
                <w:sz w:val="20"/>
                <w:szCs w:val="20"/>
              </w:rPr>
            </w:pPr>
            <w:r>
              <w:rPr>
                <w:rFonts w:ascii="黑体" w:hAnsi="黑体" w:cs="黑体" w:eastAsia="黑体" w:hint="default"/>
                <w:sz w:val="20"/>
                <w:szCs w:val="20"/>
              </w:rPr>
              <w:t>支付的其他与经营活动有关的现金</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r>
      <w:tr>
        <w:trPr>
          <w:trHeight w:val="295"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46" w:lineRule="exact"/>
              <w:ind w:left="190" w:right="0"/>
              <w:jc w:val="left"/>
              <w:rPr>
                <w:rFonts w:ascii="黑体" w:hAnsi="黑体" w:cs="黑体" w:eastAsia="黑体" w:hint="default"/>
                <w:sz w:val="20"/>
                <w:szCs w:val="20"/>
              </w:rPr>
            </w:pPr>
            <w:r>
              <w:rPr>
                <w:rFonts w:ascii="黑体" w:hAnsi="黑体" w:cs="黑体" w:eastAsia="黑体" w:hint="default"/>
                <w:sz w:val="20"/>
                <w:szCs w:val="20"/>
              </w:rPr>
              <w:t>差旅交通费</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14" w:right="0"/>
              <w:jc w:val="left"/>
              <w:rPr>
                <w:rFonts w:ascii="Arial" w:hAnsi="Arial" w:cs="Arial" w:eastAsia="Arial" w:hint="default"/>
                <w:sz w:val="20"/>
                <w:szCs w:val="20"/>
              </w:rPr>
            </w:pPr>
            <w:r>
              <w:rPr>
                <w:rFonts w:ascii="Arial"/>
                <w:sz w:val="20"/>
              </w:rPr>
              <w:t>136,093,266</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65" w:right="0"/>
              <w:jc w:val="left"/>
              <w:rPr>
                <w:rFonts w:ascii="Arial" w:hAnsi="Arial" w:cs="Arial" w:eastAsia="Arial" w:hint="default"/>
                <w:sz w:val="20"/>
                <w:szCs w:val="20"/>
              </w:rPr>
            </w:pPr>
            <w:r>
              <w:rPr>
                <w:rFonts w:ascii="Arial"/>
                <w:sz w:val="20"/>
              </w:rPr>
              <w:t>115,444,171</w:t>
            </w:r>
          </w:p>
        </w:tc>
      </w:tr>
      <w:tr>
        <w:trPr>
          <w:trHeight w:val="283"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34" w:lineRule="exact"/>
              <w:ind w:left="190" w:right="0"/>
              <w:jc w:val="left"/>
              <w:rPr>
                <w:rFonts w:ascii="黑体" w:hAnsi="黑体" w:cs="黑体" w:eastAsia="黑体" w:hint="default"/>
                <w:sz w:val="20"/>
                <w:szCs w:val="20"/>
              </w:rPr>
            </w:pPr>
            <w:r>
              <w:rPr>
                <w:rFonts w:ascii="黑体" w:hAnsi="黑体" w:cs="黑体" w:eastAsia="黑体" w:hint="default"/>
                <w:sz w:val="20"/>
                <w:szCs w:val="20"/>
              </w:rPr>
              <w:t>业务宣传费</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30"/>
              <w:ind w:left="413" w:right="0"/>
              <w:jc w:val="left"/>
              <w:rPr>
                <w:rFonts w:ascii="Arial" w:hAnsi="Arial" w:cs="Arial" w:eastAsia="Arial" w:hint="default"/>
                <w:sz w:val="20"/>
                <w:szCs w:val="20"/>
              </w:rPr>
            </w:pPr>
            <w:r>
              <w:rPr>
                <w:rFonts w:ascii="Arial"/>
                <w:sz w:val="20"/>
              </w:rPr>
              <w:t>124,104,002</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
              <w:ind w:left="376" w:right="0"/>
              <w:jc w:val="left"/>
              <w:rPr>
                <w:rFonts w:ascii="Arial" w:hAnsi="Arial" w:cs="Arial" w:eastAsia="Arial" w:hint="default"/>
                <w:sz w:val="20"/>
                <w:szCs w:val="20"/>
              </w:rPr>
            </w:pPr>
            <w:r>
              <w:rPr>
                <w:rFonts w:ascii="Arial"/>
                <w:sz w:val="20"/>
              </w:rPr>
              <w:t>73,598,297</w:t>
            </w:r>
          </w:p>
        </w:tc>
      </w:tr>
      <w:tr>
        <w:trPr>
          <w:trHeight w:val="286"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34" w:lineRule="exact"/>
              <w:ind w:left="190" w:right="0"/>
              <w:jc w:val="left"/>
              <w:rPr>
                <w:rFonts w:ascii="黑体" w:hAnsi="黑体" w:cs="黑体" w:eastAsia="黑体" w:hint="default"/>
                <w:sz w:val="20"/>
                <w:szCs w:val="20"/>
              </w:rPr>
            </w:pPr>
            <w:r>
              <w:rPr>
                <w:rFonts w:ascii="黑体" w:hAnsi="黑体" w:cs="黑体" w:eastAsia="黑体" w:hint="default"/>
                <w:sz w:val="20"/>
                <w:szCs w:val="20"/>
              </w:rPr>
              <w:t>租赁费及物业管理费</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30"/>
              <w:ind w:left="524" w:right="0"/>
              <w:jc w:val="left"/>
              <w:rPr>
                <w:rFonts w:ascii="Arial" w:hAnsi="Arial" w:cs="Arial" w:eastAsia="Arial" w:hint="default"/>
                <w:sz w:val="20"/>
                <w:szCs w:val="20"/>
              </w:rPr>
            </w:pPr>
            <w:r>
              <w:rPr>
                <w:rFonts w:ascii="Arial"/>
                <w:sz w:val="20"/>
              </w:rPr>
              <w:t>41,887,966</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
              <w:ind w:left="376" w:right="0"/>
              <w:jc w:val="left"/>
              <w:rPr>
                <w:rFonts w:ascii="Arial" w:hAnsi="Arial" w:cs="Arial" w:eastAsia="Arial" w:hint="default"/>
                <w:sz w:val="20"/>
                <w:szCs w:val="20"/>
              </w:rPr>
            </w:pPr>
            <w:r>
              <w:rPr>
                <w:rFonts w:ascii="Arial"/>
                <w:sz w:val="20"/>
              </w:rPr>
              <w:t>54,631,220</w:t>
            </w:r>
          </w:p>
        </w:tc>
      </w:tr>
      <w:tr>
        <w:trPr>
          <w:trHeight w:val="286"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37" w:lineRule="exact"/>
              <w:ind w:left="190" w:right="0"/>
              <w:jc w:val="left"/>
              <w:rPr>
                <w:rFonts w:ascii="黑体" w:hAnsi="黑体" w:cs="黑体" w:eastAsia="黑体" w:hint="default"/>
                <w:sz w:val="20"/>
                <w:szCs w:val="20"/>
              </w:rPr>
            </w:pPr>
            <w:r>
              <w:rPr>
                <w:rFonts w:ascii="黑体" w:hAnsi="黑体" w:cs="黑体" w:eastAsia="黑体" w:hint="default"/>
                <w:sz w:val="20"/>
                <w:szCs w:val="20"/>
              </w:rPr>
              <w:t>业务招待费</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524" w:right="0"/>
              <w:jc w:val="left"/>
              <w:rPr>
                <w:rFonts w:ascii="Arial" w:hAnsi="Arial" w:cs="Arial" w:eastAsia="Arial" w:hint="default"/>
                <w:sz w:val="20"/>
                <w:szCs w:val="20"/>
              </w:rPr>
            </w:pPr>
            <w:r>
              <w:rPr>
                <w:rFonts w:ascii="Arial"/>
                <w:sz w:val="20"/>
              </w:rPr>
              <w:t>59,590,506</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4"/>
              <w:ind w:left="376" w:right="0"/>
              <w:jc w:val="left"/>
              <w:rPr>
                <w:rFonts w:ascii="Arial" w:hAnsi="Arial" w:cs="Arial" w:eastAsia="Arial" w:hint="default"/>
                <w:sz w:val="20"/>
                <w:szCs w:val="20"/>
              </w:rPr>
            </w:pPr>
            <w:r>
              <w:rPr>
                <w:rFonts w:ascii="Arial"/>
                <w:sz w:val="20"/>
              </w:rPr>
              <w:t>47,397,187</w:t>
            </w:r>
          </w:p>
        </w:tc>
      </w:tr>
      <w:tr>
        <w:trPr>
          <w:trHeight w:val="284"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35" w:lineRule="exact"/>
              <w:ind w:left="190" w:right="0"/>
              <w:jc w:val="left"/>
              <w:rPr>
                <w:rFonts w:ascii="黑体" w:hAnsi="黑体" w:cs="黑体" w:eastAsia="黑体" w:hint="default"/>
                <w:sz w:val="20"/>
                <w:szCs w:val="20"/>
              </w:rPr>
            </w:pPr>
            <w:r>
              <w:rPr>
                <w:rFonts w:ascii="黑体" w:hAnsi="黑体" w:cs="黑体" w:eastAsia="黑体" w:hint="default"/>
                <w:sz w:val="20"/>
                <w:szCs w:val="20"/>
              </w:rPr>
              <w:t>通讯费</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31"/>
              <w:ind w:left="524" w:right="0"/>
              <w:jc w:val="left"/>
              <w:rPr>
                <w:rFonts w:ascii="Arial" w:hAnsi="Arial" w:cs="Arial" w:eastAsia="Arial" w:hint="default"/>
                <w:sz w:val="20"/>
                <w:szCs w:val="20"/>
              </w:rPr>
            </w:pPr>
            <w:r>
              <w:rPr>
                <w:rFonts w:ascii="Arial"/>
                <w:sz w:val="20"/>
              </w:rPr>
              <w:t>26,076,651</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
              <w:ind w:left="376" w:right="0"/>
              <w:jc w:val="left"/>
              <w:rPr>
                <w:rFonts w:ascii="Arial" w:hAnsi="Arial" w:cs="Arial" w:eastAsia="Arial" w:hint="default"/>
                <w:sz w:val="20"/>
                <w:szCs w:val="20"/>
              </w:rPr>
            </w:pPr>
            <w:r>
              <w:rPr>
                <w:rFonts w:ascii="Arial"/>
                <w:sz w:val="20"/>
              </w:rPr>
              <w:t>18,616,818</w:t>
            </w:r>
          </w:p>
        </w:tc>
      </w:tr>
      <w:tr>
        <w:trPr>
          <w:trHeight w:val="284"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35" w:lineRule="exact"/>
              <w:ind w:left="190" w:right="0"/>
              <w:jc w:val="left"/>
              <w:rPr>
                <w:rFonts w:ascii="黑体" w:hAnsi="黑体" w:cs="黑体" w:eastAsia="黑体" w:hint="default"/>
                <w:sz w:val="20"/>
                <w:szCs w:val="20"/>
              </w:rPr>
            </w:pPr>
            <w:r>
              <w:rPr>
                <w:rFonts w:ascii="黑体" w:hAnsi="黑体" w:cs="黑体" w:eastAsia="黑体" w:hint="default"/>
                <w:sz w:val="20"/>
                <w:szCs w:val="20"/>
              </w:rPr>
              <w:t>办公费</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31"/>
              <w:ind w:left="524" w:right="0"/>
              <w:jc w:val="left"/>
              <w:rPr>
                <w:rFonts w:ascii="Arial" w:hAnsi="Arial" w:cs="Arial" w:eastAsia="Arial" w:hint="default"/>
                <w:sz w:val="20"/>
                <w:szCs w:val="20"/>
              </w:rPr>
            </w:pPr>
            <w:r>
              <w:rPr>
                <w:rFonts w:ascii="Arial"/>
                <w:sz w:val="20"/>
              </w:rPr>
              <w:t>30,140,558</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
              <w:ind w:left="376" w:right="0"/>
              <w:jc w:val="left"/>
              <w:rPr>
                <w:rFonts w:ascii="Arial" w:hAnsi="Arial" w:cs="Arial" w:eastAsia="Arial" w:hint="default"/>
                <w:sz w:val="20"/>
                <w:szCs w:val="20"/>
              </w:rPr>
            </w:pPr>
            <w:r>
              <w:rPr>
                <w:rFonts w:ascii="Arial"/>
                <w:sz w:val="20"/>
              </w:rPr>
              <w:t>22,645,789</w:t>
            </w:r>
          </w:p>
        </w:tc>
      </w:tr>
      <w:tr>
        <w:trPr>
          <w:trHeight w:val="287"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34" w:lineRule="exact"/>
              <w:ind w:left="190" w:right="0"/>
              <w:jc w:val="left"/>
              <w:rPr>
                <w:rFonts w:ascii="黑体" w:hAnsi="黑体" w:cs="黑体" w:eastAsia="黑体" w:hint="default"/>
                <w:sz w:val="20"/>
                <w:szCs w:val="20"/>
              </w:rPr>
            </w:pPr>
            <w:r>
              <w:rPr>
                <w:rFonts w:ascii="黑体" w:hAnsi="黑体" w:cs="黑体" w:eastAsia="黑体" w:hint="default"/>
                <w:sz w:val="20"/>
                <w:szCs w:val="20"/>
              </w:rPr>
              <w:t>邮托费</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319"/>
              <w:jc w:val="right"/>
              <w:rPr>
                <w:rFonts w:ascii="Arial" w:hAnsi="Arial" w:cs="Arial" w:eastAsia="Arial" w:hint="default"/>
                <w:sz w:val="20"/>
                <w:szCs w:val="20"/>
              </w:rPr>
            </w:pPr>
            <w:r>
              <w:rPr>
                <w:rFonts w:ascii="Arial"/>
                <w:spacing w:val="-1"/>
                <w:sz w:val="20"/>
              </w:rPr>
              <w:t>4,208,943</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
              <w:ind w:left="488" w:right="0"/>
              <w:jc w:val="left"/>
              <w:rPr>
                <w:rFonts w:ascii="Arial" w:hAnsi="Arial" w:cs="Arial" w:eastAsia="Arial" w:hint="default"/>
                <w:sz w:val="20"/>
                <w:szCs w:val="20"/>
              </w:rPr>
            </w:pPr>
            <w:r>
              <w:rPr>
                <w:rFonts w:ascii="Arial"/>
                <w:sz w:val="20"/>
              </w:rPr>
              <w:t>2,435,026</w:t>
            </w:r>
          </w:p>
        </w:tc>
      </w:tr>
      <w:tr>
        <w:trPr>
          <w:trHeight w:val="415"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31" w:lineRule="exact"/>
              <w:ind w:left="191" w:right="0"/>
              <w:jc w:val="left"/>
              <w:rPr>
                <w:rFonts w:ascii="黑体" w:hAnsi="黑体" w:cs="黑体" w:eastAsia="黑体" w:hint="default"/>
                <w:sz w:val="20"/>
                <w:szCs w:val="20"/>
              </w:rPr>
            </w:pPr>
            <w:r>
              <w:rPr>
                <w:rFonts w:ascii="黑体" w:hAnsi="黑体" w:cs="黑体" w:eastAsia="黑体" w:hint="default"/>
                <w:sz w:val="20"/>
                <w:szCs w:val="20"/>
              </w:rPr>
              <w:t>车辆费</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19"/>
              <w:jc w:val="right"/>
              <w:rPr>
                <w:rFonts w:ascii="Arial" w:hAnsi="Arial" w:cs="Arial" w:eastAsia="Arial" w:hint="default"/>
                <w:sz w:val="20"/>
                <w:szCs w:val="20"/>
              </w:rPr>
            </w:pPr>
            <w:r>
              <w:rPr>
                <w:rFonts w:ascii="Arial"/>
                <w:spacing w:val="-1"/>
                <w:sz w:val="20"/>
              </w:rPr>
              <w:t>7,140,897</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7"/>
              <w:ind w:left="488" w:right="0"/>
              <w:jc w:val="left"/>
              <w:rPr>
                <w:rFonts w:ascii="Arial" w:hAnsi="Arial" w:cs="Arial" w:eastAsia="Arial" w:hint="default"/>
                <w:sz w:val="20"/>
                <w:szCs w:val="20"/>
              </w:rPr>
            </w:pPr>
            <w:r>
              <w:rPr>
                <w:rFonts w:ascii="Arial"/>
                <w:sz w:val="20"/>
              </w:rPr>
              <w:t>6,411,572</w:t>
            </w:r>
          </w:p>
        </w:tc>
      </w:tr>
      <w:tr>
        <w:trPr>
          <w:trHeight w:val="542" w:hRule="exact"/>
        </w:trPr>
        <w:tc>
          <w:tcPr>
            <w:tcW w:w="581"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35" w:right="0"/>
              <w:jc w:val="left"/>
              <w:rPr>
                <w:rFonts w:ascii="Arial" w:hAnsi="Arial" w:cs="Arial" w:eastAsia="Arial" w:hint="default"/>
                <w:sz w:val="20"/>
                <w:szCs w:val="20"/>
              </w:rPr>
            </w:pPr>
            <w:r>
              <w:rPr>
                <w:rFonts w:ascii="Arial"/>
                <w:b/>
                <w:sz w:val="20"/>
              </w:rPr>
              <w:t>45.</w:t>
            </w:r>
            <w:r>
              <w:rPr>
                <w:rFonts w:ascii="Arial"/>
                <w:sz w:val="20"/>
              </w:rPr>
            </w:r>
          </w:p>
        </w:tc>
        <w:tc>
          <w:tcPr>
            <w:tcW w:w="3602"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75" w:right="0"/>
              <w:jc w:val="left"/>
              <w:rPr>
                <w:rFonts w:ascii="黑体" w:hAnsi="黑体" w:cs="黑体" w:eastAsia="黑体" w:hint="default"/>
                <w:sz w:val="20"/>
                <w:szCs w:val="20"/>
              </w:rPr>
            </w:pPr>
            <w:r>
              <w:rPr>
                <w:rFonts w:ascii="黑体" w:hAnsi="黑体" w:cs="黑体" w:eastAsia="黑体" w:hint="default"/>
                <w:b/>
                <w:bCs/>
                <w:sz w:val="20"/>
                <w:szCs w:val="20"/>
              </w:rPr>
              <w:t>现金流量表补充资料</w:t>
            </w:r>
            <w:r>
              <w:rPr>
                <w:rFonts w:ascii="黑体" w:hAnsi="黑体" w:cs="黑体" w:eastAsia="黑体" w:hint="default"/>
                <w:sz w:val="20"/>
                <w:szCs w:val="20"/>
              </w:rPr>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r>
      <w:tr>
        <w:trPr>
          <w:trHeight w:val="546"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tabs>
                <w:tab w:pos="713" w:val="left" w:leader="none"/>
              </w:tabs>
              <w:spacing w:line="240" w:lineRule="auto" w:before="110"/>
              <w:ind w:left="167" w:right="0"/>
              <w:jc w:val="left"/>
              <w:rPr>
                <w:rFonts w:ascii="黑体" w:hAnsi="黑体" w:cs="黑体" w:eastAsia="黑体" w:hint="default"/>
                <w:sz w:val="20"/>
                <w:szCs w:val="20"/>
              </w:rPr>
            </w:pPr>
            <w:r>
              <w:rPr>
                <w:rFonts w:ascii="Arial" w:hAnsi="Arial" w:cs="Arial" w:eastAsia="Arial" w:hint="default"/>
                <w:sz w:val="20"/>
                <w:szCs w:val="20"/>
              </w:rPr>
              <w:t>(1)</w:t>
              <w:tab/>
            </w:r>
            <w:r>
              <w:rPr>
                <w:rFonts w:ascii="黑体" w:hAnsi="黑体" w:cs="黑体" w:eastAsia="黑体" w:hint="default"/>
                <w:sz w:val="20"/>
                <w:szCs w:val="20"/>
              </w:rPr>
              <w:t>现金流量表补充资料</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r>
      <w:tr>
        <w:trPr>
          <w:trHeight w:val="399"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90"/>
              <w:jc w:val="center"/>
              <w:rPr>
                <w:rFonts w:ascii="黑体" w:hAnsi="黑体" w:cs="黑体" w:eastAsia="黑体" w:hint="default"/>
                <w:sz w:val="20"/>
                <w:szCs w:val="20"/>
              </w:rPr>
            </w:pPr>
            <w:r>
              <w:rPr>
                <w:rFonts w:ascii="黑体" w:hAnsi="黑体" w:cs="黑体" w:eastAsia="黑体" w:hint="default"/>
                <w:sz w:val="20"/>
                <w:szCs w:val="20"/>
              </w:rPr>
              <w:t>附注五</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321"/>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732"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r>
      <w:tr>
        <w:trPr>
          <w:trHeight w:val="376"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40" w:lineRule="exact"/>
              <w:ind w:left="190" w:right="0"/>
              <w:jc w:val="left"/>
              <w:rPr>
                <w:rFonts w:ascii="Arial" w:hAnsi="Arial" w:cs="Arial" w:eastAsia="Arial" w:hint="default"/>
                <w:sz w:val="20"/>
                <w:szCs w:val="20"/>
              </w:rPr>
            </w:pPr>
            <w:r>
              <w:rPr>
                <w:rFonts w:ascii="黑体" w:hAnsi="黑体" w:cs="黑体" w:eastAsia="黑体" w:hint="default"/>
                <w:sz w:val="20"/>
                <w:szCs w:val="20"/>
              </w:rPr>
              <w:t>将净利润调节为经营活动的现金流量</w:t>
            </w:r>
            <w:r>
              <w:rPr>
                <w:rFonts w:ascii="Arial" w:hAnsi="Arial" w:cs="Arial" w:eastAsia="Arial" w:hint="default"/>
                <w:sz w:val="20"/>
                <w:szCs w:val="20"/>
              </w:rPr>
              <w:t>:</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r>
      <w:tr>
        <w:trPr>
          <w:trHeight w:val="497"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90" w:right="0"/>
              <w:jc w:val="left"/>
              <w:rPr>
                <w:rFonts w:ascii="黑体" w:hAnsi="黑体" w:cs="黑体" w:eastAsia="黑体" w:hint="default"/>
                <w:sz w:val="20"/>
                <w:szCs w:val="20"/>
              </w:rPr>
            </w:pPr>
            <w:r>
              <w:rPr>
                <w:rFonts w:ascii="黑体" w:hAnsi="黑体" w:cs="黑体" w:eastAsia="黑体" w:hint="default"/>
                <w:sz w:val="20"/>
                <w:szCs w:val="20"/>
              </w:rPr>
              <w:t>净利润</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412" w:right="0"/>
              <w:jc w:val="left"/>
              <w:rPr>
                <w:rFonts w:ascii="Arial" w:hAnsi="Arial" w:cs="Arial" w:eastAsia="Arial" w:hint="default"/>
                <w:sz w:val="20"/>
                <w:szCs w:val="20"/>
              </w:rPr>
            </w:pPr>
            <w:r>
              <w:rPr>
                <w:rFonts w:ascii="Arial"/>
                <w:sz w:val="20"/>
              </w:rPr>
              <w:t>613,981,803</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265" w:right="0"/>
              <w:jc w:val="left"/>
              <w:rPr>
                <w:rFonts w:ascii="Arial" w:hAnsi="Arial" w:cs="Arial" w:eastAsia="Arial" w:hint="default"/>
                <w:sz w:val="20"/>
                <w:szCs w:val="20"/>
              </w:rPr>
            </w:pPr>
            <w:r>
              <w:rPr>
                <w:rFonts w:ascii="Arial"/>
                <w:sz w:val="20"/>
              </w:rPr>
              <w:t>403,766,587</w:t>
            </w:r>
          </w:p>
        </w:tc>
      </w:tr>
      <w:tr>
        <w:trPr>
          <w:trHeight w:val="374"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90" w:right="0"/>
              <w:jc w:val="left"/>
              <w:rPr>
                <w:rFonts w:ascii="黑体" w:hAnsi="黑体" w:cs="黑体" w:eastAsia="黑体" w:hint="default"/>
                <w:sz w:val="20"/>
                <w:szCs w:val="20"/>
              </w:rPr>
            </w:pPr>
            <w:r>
              <w:rPr>
                <w:rFonts w:ascii="黑体" w:hAnsi="黑体" w:cs="黑体" w:eastAsia="黑体" w:hint="default"/>
                <w:sz w:val="20"/>
                <w:szCs w:val="20"/>
              </w:rPr>
              <w:t>加</w:t>
            </w:r>
            <w:r>
              <w:rPr>
                <w:rFonts w:ascii="Arial" w:hAnsi="Arial" w:cs="Arial" w:eastAsia="Arial" w:hint="default"/>
                <w:sz w:val="20"/>
                <w:szCs w:val="20"/>
              </w:rPr>
              <w:t>:</w:t>
            </w:r>
            <w:r>
              <w:rPr>
                <w:rFonts w:ascii="黑体" w:hAnsi="黑体" w:cs="黑体" w:eastAsia="黑体" w:hint="default"/>
                <w:sz w:val="20"/>
                <w:szCs w:val="20"/>
              </w:rPr>
              <w:t>资产减值准备</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92"/>
              <w:jc w:val="center"/>
              <w:rPr>
                <w:rFonts w:ascii="Arial" w:hAnsi="Arial" w:cs="Arial" w:eastAsia="Arial" w:hint="default"/>
                <w:sz w:val="20"/>
                <w:szCs w:val="20"/>
              </w:rPr>
            </w:pPr>
            <w:r>
              <w:rPr>
                <w:rFonts w:ascii="Arial"/>
                <w:sz w:val="20"/>
              </w:rPr>
              <w:t>18</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321"/>
              <w:jc w:val="right"/>
              <w:rPr>
                <w:rFonts w:ascii="Arial" w:hAnsi="Arial" w:cs="Arial" w:eastAsia="Arial" w:hint="default"/>
                <w:sz w:val="20"/>
                <w:szCs w:val="20"/>
              </w:rPr>
            </w:pPr>
            <w:r>
              <w:rPr>
                <w:rFonts w:ascii="Arial"/>
                <w:spacing w:val="-1"/>
                <w:sz w:val="20"/>
              </w:rPr>
              <w:t>9,234,694</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487" w:right="0"/>
              <w:jc w:val="left"/>
              <w:rPr>
                <w:rFonts w:ascii="Arial" w:hAnsi="Arial" w:cs="Arial" w:eastAsia="Arial" w:hint="default"/>
                <w:sz w:val="20"/>
                <w:szCs w:val="20"/>
              </w:rPr>
            </w:pPr>
            <w:r>
              <w:rPr>
                <w:rFonts w:ascii="Arial"/>
                <w:sz w:val="20"/>
              </w:rPr>
              <w:t>7,003,092</w:t>
            </w:r>
          </w:p>
        </w:tc>
      </w:tr>
      <w:tr>
        <w:trPr>
          <w:trHeight w:val="260"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19" w:lineRule="exact"/>
              <w:ind w:left="190" w:right="0"/>
              <w:jc w:val="left"/>
              <w:rPr>
                <w:rFonts w:ascii="黑体" w:hAnsi="黑体" w:cs="黑体" w:eastAsia="黑体" w:hint="default"/>
                <w:sz w:val="20"/>
                <w:szCs w:val="20"/>
              </w:rPr>
            </w:pPr>
            <w:r>
              <w:rPr>
                <w:rFonts w:ascii="黑体" w:hAnsi="黑体" w:cs="黑体" w:eastAsia="黑体" w:hint="default"/>
                <w:sz w:val="20"/>
                <w:szCs w:val="20"/>
              </w:rPr>
              <w:t>固定资产折旧</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2"/>
              <w:jc w:val="center"/>
              <w:rPr>
                <w:rFonts w:ascii="Arial" w:hAnsi="Arial" w:cs="Arial" w:eastAsia="Arial" w:hint="default"/>
                <w:sz w:val="20"/>
                <w:szCs w:val="20"/>
              </w:rPr>
            </w:pPr>
            <w:r>
              <w:rPr>
                <w:rFonts w:ascii="Arial"/>
                <w:sz w:val="20"/>
              </w:rPr>
              <w:t>12</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523" w:right="0"/>
              <w:jc w:val="left"/>
              <w:rPr>
                <w:rFonts w:ascii="Arial" w:hAnsi="Arial" w:cs="Arial" w:eastAsia="Arial" w:hint="default"/>
                <w:sz w:val="20"/>
                <w:szCs w:val="20"/>
              </w:rPr>
            </w:pPr>
            <w:r>
              <w:rPr>
                <w:rFonts w:ascii="Arial"/>
                <w:sz w:val="20"/>
              </w:rPr>
              <w:t>43,734,130</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75" w:right="0"/>
              <w:jc w:val="left"/>
              <w:rPr>
                <w:rFonts w:ascii="Arial" w:hAnsi="Arial" w:cs="Arial" w:eastAsia="Arial" w:hint="default"/>
                <w:sz w:val="20"/>
                <w:szCs w:val="20"/>
              </w:rPr>
            </w:pPr>
            <w:r>
              <w:rPr>
                <w:rFonts w:ascii="Arial"/>
                <w:sz w:val="20"/>
              </w:rPr>
              <w:t>41,791,809</w:t>
            </w:r>
          </w:p>
        </w:tc>
      </w:tr>
      <w:tr>
        <w:trPr>
          <w:trHeight w:val="259"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19" w:lineRule="exact"/>
              <w:ind w:left="190" w:right="0"/>
              <w:jc w:val="left"/>
              <w:rPr>
                <w:rFonts w:ascii="黑体" w:hAnsi="黑体" w:cs="黑体" w:eastAsia="黑体" w:hint="default"/>
                <w:sz w:val="20"/>
                <w:szCs w:val="20"/>
              </w:rPr>
            </w:pPr>
            <w:r>
              <w:rPr>
                <w:rFonts w:ascii="黑体" w:hAnsi="黑体" w:cs="黑体" w:eastAsia="黑体" w:hint="default"/>
                <w:sz w:val="20"/>
                <w:szCs w:val="20"/>
              </w:rPr>
              <w:t>无形资产摊销</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1"/>
              <w:jc w:val="center"/>
              <w:rPr>
                <w:rFonts w:ascii="Arial" w:hAnsi="Arial" w:cs="Arial" w:eastAsia="Arial" w:hint="default"/>
                <w:sz w:val="20"/>
                <w:szCs w:val="20"/>
              </w:rPr>
            </w:pPr>
            <w:r>
              <w:rPr>
                <w:rFonts w:ascii="Arial"/>
                <w:sz w:val="20"/>
              </w:rPr>
              <w:t>14</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523" w:right="0"/>
              <w:jc w:val="left"/>
              <w:rPr>
                <w:rFonts w:ascii="Arial" w:hAnsi="Arial" w:cs="Arial" w:eastAsia="Arial" w:hint="default"/>
                <w:sz w:val="20"/>
                <w:szCs w:val="20"/>
              </w:rPr>
            </w:pPr>
            <w:r>
              <w:rPr>
                <w:rFonts w:ascii="Arial"/>
                <w:sz w:val="20"/>
              </w:rPr>
              <w:t>17,240,404</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76" w:right="0"/>
              <w:jc w:val="left"/>
              <w:rPr>
                <w:rFonts w:ascii="Arial" w:hAnsi="Arial" w:cs="Arial" w:eastAsia="Arial" w:hint="default"/>
                <w:sz w:val="20"/>
                <w:szCs w:val="20"/>
              </w:rPr>
            </w:pPr>
            <w:r>
              <w:rPr>
                <w:rFonts w:ascii="Arial"/>
                <w:sz w:val="20"/>
              </w:rPr>
              <w:t>15,594,120</w:t>
            </w:r>
          </w:p>
        </w:tc>
      </w:tr>
      <w:tr>
        <w:trPr>
          <w:trHeight w:val="259"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19" w:lineRule="exact"/>
              <w:ind w:left="191" w:right="0"/>
              <w:jc w:val="left"/>
              <w:rPr>
                <w:rFonts w:ascii="黑体" w:hAnsi="黑体" w:cs="黑体" w:eastAsia="黑体" w:hint="default"/>
                <w:sz w:val="20"/>
                <w:szCs w:val="20"/>
              </w:rPr>
            </w:pPr>
            <w:r>
              <w:rPr>
                <w:rFonts w:ascii="黑体" w:hAnsi="黑体" w:cs="黑体" w:eastAsia="黑体" w:hint="default"/>
                <w:sz w:val="20"/>
                <w:szCs w:val="20"/>
              </w:rPr>
              <w:t>长期待摊费用摊销</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1"/>
              <w:jc w:val="center"/>
              <w:rPr>
                <w:rFonts w:ascii="Arial" w:hAnsi="Arial" w:cs="Arial" w:eastAsia="Arial" w:hint="default"/>
                <w:sz w:val="20"/>
                <w:szCs w:val="20"/>
              </w:rPr>
            </w:pPr>
            <w:r>
              <w:rPr>
                <w:rFonts w:ascii="Arial"/>
                <w:sz w:val="20"/>
              </w:rPr>
              <w:t>16</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21"/>
              <w:jc w:val="right"/>
              <w:rPr>
                <w:rFonts w:ascii="Arial" w:hAnsi="Arial" w:cs="Arial" w:eastAsia="Arial" w:hint="default"/>
                <w:sz w:val="20"/>
                <w:szCs w:val="20"/>
              </w:rPr>
            </w:pPr>
            <w:r>
              <w:rPr>
                <w:rFonts w:ascii="Arial"/>
                <w:spacing w:val="-1"/>
                <w:sz w:val="20"/>
              </w:rPr>
              <w:t>7,156,672</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88" w:right="0"/>
              <w:jc w:val="left"/>
              <w:rPr>
                <w:rFonts w:ascii="Arial" w:hAnsi="Arial" w:cs="Arial" w:eastAsia="Arial" w:hint="default"/>
                <w:sz w:val="20"/>
                <w:szCs w:val="20"/>
              </w:rPr>
            </w:pPr>
            <w:r>
              <w:rPr>
                <w:rFonts w:ascii="Arial"/>
                <w:sz w:val="20"/>
              </w:rPr>
              <w:t>6,228,167</w:t>
            </w:r>
          </w:p>
        </w:tc>
      </w:tr>
      <w:tr>
        <w:trPr>
          <w:trHeight w:val="260"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33" w:lineRule="exact"/>
              <w:ind w:left="191" w:right="0"/>
              <w:jc w:val="left"/>
              <w:rPr>
                <w:rFonts w:ascii="Arial" w:hAnsi="Arial" w:cs="Arial" w:eastAsia="Arial" w:hint="default"/>
                <w:sz w:val="20"/>
                <w:szCs w:val="20"/>
              </w:rPr>
            </w:pPr>
            <w:r>
              <w:rPr>
                <w:rFonts w:ascii="黑体" w:hAnsi="黑体" w:cs="黑体" w:eastAsia="黑体" w:hint="default"/>
                <w:sz w:val="20"/>
                <w:szCs w:val="20"/>
              </w:rPr>
              <w:t>固定资产及无形资产处置损失</w:t>
            </w:r>
            <w:r>
              <w:rPr>
                <w:rFonts w:ascii="Arial" w:hAnsi="Arial" w:cs="Arial" w:eastAsia="Arial" w:hint="default"/>
                <w:sz w:val="20"/>
                <w:szCs w:val="20"/>
              </w:rPr>
              <w:t>/(</w:t>
            </w:r>
            <w:r>
              <w:rPr>
                <w:rFonts w:ascii="黑体" w:hAnsi="黑体" w:cs="黑体" w:eastAsia="黑体" w:hint="default"/>
                <w:sz w:val="20"/>
                <w:szCs w:val="20"/>
              </w:rPr>
              <w:t>收益</w:t>
            </w:r>
            <w:r>
              <w:rPr>
                <w:rFonts w:ascii="Arial" w:hAnsi="Arial" w:cs="Arial" w:eastAsia="Arial" w:hint="default"/>
                <w:sz w:val="20"/>
                <w:szCs w:val="20"/>
              </w:rPr>
              <w:t>)</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20"/>
              <w:jc w:val="right"/>
              <w:rPr>
                <w:rFonts w:ascii="Arial" w:hAnsi="Arial" w:cs="Arial" w:eastAsia="Arial" w:hint="default"/>
                <w:sz w:val="20"/>
                <w:szCs w:val="20"/>
              </w:rPr>
            </w:pPr>
            <w:r>
              <w:rPr>
                <w:rFonts w:ascii="Arial"/>
                <w:spacing w:val="-1"/>
                <w:sz w:val="20"/>
              </w:rPr>
              <w:t>1,021,204</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sz w:val="20"/>
              </w:rPr>
              <w:t>(  53,567,510</w:t>
            </w:r>
            <w:r>
              <w:rPr>
                <w:rFonts w:ascii="Arial"/>
                <w:spacing w:val="-10"/>
                <w:sz w:val="20"/>
              </w:rPr>
              <w:t> </w:t>
            </w:r>
            <w:r>
              <w:rPr>
                <w:rFonts w:ascii="Arial"/>
                <w:sz w:val="20"/>
              </w:rPr>
              <w:t>)</w:t>
            </w:r>
          </w:p>
        </w:tc>
      </w:tr>
      <w:tr>
        <w:trPr>
          <w:trHeight w:val="259"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33" w:lineRule="exact"/>
              <w:ind w:left="190" w:right="0"/>
              <w:jc w:val="left"/>
              <w:rPr>
                <w:rFonts w:ascii="Arial" w:hAnsi="Arial" w:cs="Arial" w:eastAsia="Arial" w:hint="default"/>
                <w:sz w:val="20"/>
                <w:szCs w:val="20"/>
              </w:rPr>
            </w:pPr>
            <w:r>
              <w:rPr>
                <w:rFonts w:ascii="黑体" w:hAnsi="黑体" w:cs="黑体" w:eastAsia="黑体" w:hint="default"/>
                <w:sz w:val="20"/>
                <w:szCs w:val="20"/>
              </w:rPr>
              <w:t>公允价值变动损失</w:t>
            </w:r>
            <w:r>
              <w:rPr>
                <w:rFonts w:ascii="Arial" w:hAnsi="Arial" w:cs="Arial" w:eastAsia="Arial" w:hint="default"/>
                <w:sz w:val="20"/>
                <w:szCs w:val="20"/>
              </w:rPr>
              <w:t>/(</w:t>
            </w:r>
            <w:r>
              <w:rPr>
                <w:rFonts w:ascii="黑体" w:hAnsi="黑体" w:cs="黑体" w:eastAsia="黑体" w:hint="default"/>
                <w:sz w:val="20"/>
                <w:szCs w:val="20"/>
              </w:rPr>
              <w:t>收益</w:t>
            </w:r>
            <w:r>
              <w:rPr>
                <w:rFonts w:ascii="Arial" w:hAnsi="Arial" w:cs="Arial" w:eastAsia="Arial" w:hint="default"/>
                <w:sz w:val="20"/>
                <w:szCs w:val="20"/>
              </w:rPr>
              <w:t>)</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1"/>
              <w:jc w:val="center"/>
              <w:rPr>
                <w:rFonts w:ascii="Arial" w:hAnsi="Arial" w:cs="Arial" w:eastAsia="Arial" w:hint="default"/>
                <w:sz w:val="20"/>
                <w:szCs w:val="20"/>
              </w:rPr>
            </w:pPr>
            <w:r>
              <w:rPr>
                <w:rFonts w:ascii="Arial"/>
                <w:sz w:val="20"/>
              </w:rPr>
              <w:t>37</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7"/>
              <w:jc w:val="right"/>
              <w:rPr>
                <w:rFonts w:ascii="Arial" w:hAnsi="Arial" w:cs="Arial" w:eastAsia="Arial" w:hint="default"/>
                <w:sz w:val="20"/>
                <w:szCs w:val="20"/>
              </w:rPr>
            </w:pPr>
            <w:r>
              <w:rPr>
                <w:rFonts w:ascii="Arial"/>
                <w:sz w:val="20"/>
              </w:rPr>
              <w:t>(  49,129,953</w:t>
            </w:r>
            <w:r>
              <w:rPr>
                <w:rFonts w:ascii="Arial"/>
                <w:spacing w:val="-1"/>
                <w:sz w:val="20"/>
              </w:rPr>
              <w:t> </w:t>
            </w:r>
            <w:r>
              <w:rPr>
                <w:rFonts w:ascii="Arial"/>
                <w:sz w:val="20"/>
              </w:rPr>
              <w:t>)</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76" w:right="0"/>
              <w:jc w:val="left"/>
              <w:rPr>
                <w:rFonts w:ascii="Arial" w:hAnsi="Arial" w:cs="Arial" w:eastAsia="Arial" w:hint="default"/>
                <w:sz w:val="20"/>
                <w:szCs w:val="20"/>
              </w:rPr>
            </w:pPr>
            <w:r>
              <w:rPr>
                <w:rFonts w:ascii="Arial"/>
                <w:sz w:val="20"/>
              </w:rPr>
              <w:t>76,497,547</w:t>
            </w:r>
          </w:p>
        </w:tc>
      </w:tr>
      <w:tr>
        <w:trPr>
          <w:trHeight w:val="259"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33" w:lineRule="exact"/>
              <w:ind w:left="190" w:right="0"/>
              <w:jc w:val="left"/>
              <w:rPr>
                <w:rFonts w:ascii="黑体" w:hAnsi="黑体" w:cs="黑体" w:eastAsia="黑体" w:hint="default"/>
                <w:sz w:val="20"/>
                <w:szCs w:val="20"/>
              </w:rPr>
            </w:pPr>
            <w:r>
              <w:rPr>
                <w:rFonts w:ascii="黑体" w:hAnsi="黑体" w:cs="黑体" w:eastAsia="黑体" w:hint="default"/>
                <w:sz w:val="20"/>
                <w:szCs w:val="20"/>
              </w:rPr>
              <w:t>管理费用</w:t>
            </w:r>
            <w:r>
              <w:rPr>
                <w:rFonts w:ascii="Arial" w:hAnsi="Arial" w:cs="Arial" w:eastAsia="Arial" w:hint="default"/>
                <w:sz w:val="20"/>
                <w:szCs w:val="20"/>
              </w:rPr>
              <w:t>-</w:t>
            </w:r>
            <w:r>
              <w:rPr>
                <w:rFonts w:ascii="黑体" w:hAnsi="黑体" w:cs="黑体" w:eastAsia="黑体" w:hint="default"/>
                <w:sz w:val="20"/>
                <w:szCs w:val="20"/>
              </w:rPr>
              <w:t>股权激励成本</w:t>
            </w:r>
          </w:p>
        </w:tc>
        <w:tc>
          <w:tcPr>
            <w:tcW w:w="1102" w:type="dxa"/>
            <w:tcBorders>
              <w:top w:val="nil" w:sz="6" w:space="0" w:color="auto"/>
              <w:left w:val="nil" w:sz="6" w:space="0" w:color="auto"/>
              <w:bottom w:val="nil" w:sz="6" w:space="0" w:color="auto"/>
              <w:right w:val="nil" w:sz="6" w:space="0" w:color="auto"/>
            </w:tcBorders>
          </w:tcPr>
          <w:p>
            <w:pPr>
              <w:pStyle w:val="TableParagraph"/>
              <w:spacing w:line="219" w:lineRule="exact"/>
              <w:ind w:right="190"/>
              <w:jc w:val="center"/>
              <w:rPr>
                <w:rFonts w:ascii="黑体" w:hAnsi="黑体" w:cs="黑体" w:eastAsia="黑体" w:hint="default"/>
                <w:sz w:val="20"/>
                <w:szCs w:val="20"/>
              </w:rPr>
            </w:pPr>
            <w:r>
              <w:rPr>
                <w:rFonts w:ascii="黑体" w:hAnsi="黑体" w:cs="黑体" w:eastAsia="黑体" w:hint="default"/>
                <w:sz w:val="20"/>
                <w:szCs w:val="20"/>
              </w:rPr>
              <w:t>附注七</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21"/>
              <w:jc w:val="right"/>
              <w:rPr>
                <w:rFonts w:ascii="Arial" w:hAnsi="Arial" w:cs="Arial" w:eastAsia="Arial" w:hint="default"/>
                <w:sz w:val="20"/>
                <w:szCs w:val="20"/>
              </w:rPr>
            </w:pPr>
            <w:r>
              <w:rPr>
                <w:rFonts w:ascii="Arial"/>
                <w:spacing w:val="-1"/>
                <w:sz w:val="20"/>
              </w:rPr>
              <w:t>8,249,607</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76" w:right="0"/>
              <w:jc w:val="left"/>
              <w:rPr>
                <w:rFonts w:ascii="Arial" w:hAnsi="Arial" w:cs="Arial" w:eastAsia="Arial" w:hint="default"/>
                <w:sz w:val="20"/>
                <w:szCs w:val="20"/>
              </w:rPr>
            </w:pPr>
            <w:r>
              <w:rPr>
                <w:rFonts w:ascii="Arial"/>
                <w:sz w:val="20"/>
              </w:rPr>
              <w:t>38,243,800</w:t>
            </w:r>
          </w:p>
        </w:tc>
      </w:tr>
      <w:tr>
        <w:trPr>
          <w:trHeight w:val="260"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19" w:lineRule="exact"/>
              <w:ind w:left="190" w:right="0"/>
              <w:jc w:val="left"/>
              <w:rPr>
                <w:rFonts w:ascii="黑体" w:hAnsi="黑体" w:cs="黑体" w:eastAsia="黑体" w:hint="default"/>
                <w:sz w:val="20"/>
                <w:szCs w:val="20"/>
              </w:rPr>
            </w:pPr>
            <w:r>
              <w:rPr>
                <w:rFonts w:ascii="黑体" w:hAnsi="黑体" w:cs="黑体" w:eastAsia="黑体" w:hint="default"/>
                <w:sz w:val="20"/>
                <w:szCs w:val="20"/>
              </w:rPr>
              <w:t>财务费用</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7"/>
              <w:jc w:val="right"/>
              <w:rPr>
                <w:rFonts w:ascii="Arial" w:hAnsi="Arial" w:cs="Arial" w:eastAsia="Arial" w:hint="default"/>
                <w:sz w:val="20"/>
                <w:szCs w:val="20"/>
              </w:rPr>
            </w:pPr>
            <w:r>
              <w:rPr>
                <w:rFonts w:ascii="Arial"/>
                <w:sz w:val="20"/>
              </w:rPr>
              <w:t>(  11,650,800</w:t>
            </w:r>
            <w:r>
              <w:rPr>
                <w:rFonts w:ascii="Arial"/>
                <w:spacing w:val="-2"/>
                <w:sz w:val="20"/>
              </w:rPr>
              <w:t> </w:t>
            </w:r>
            <w:r>
              <w:rPr>
                <w:rFonts w:ascii="Arial"/>
                <w:sz w:val="20"/>
              </w:rPr>
              <w:t>)</w:t>
            </w:r>
          </w:p>
        </w:tc>
        <w:tc>
          <w:tcPr>
            <w:tcW w:w="1535" w:type="dxa"/>
            <w:tcBorders>
              <w:top w:val="nil" w:sz="6" w:space="0" w:color="auto"/>
              <w:left w:val="nil" w:sz="6" w:space="0" w:color="auto"/>
              <w:bottom w:val="nil" w:sz="6" w:space="0" w:color="auto"/>
              <w:right w:val="nil" w:sz="6" w:space="0" w:color="auto"/>
            </w:tcBorders>
          </w:tcPr>
          <w:p>
            <w:pPr>
              <w:pStyle w:val="TableParagraph"/>
              <w:tabs>
                <w:tab w:pos="285" w:val="left" w:leader="none"/>
              </w:tabs>
              <w:spacing w:line="240" w:lineRule="auto" w:before="15"/>
              <w:ind w:right="33"/>
              <w:jc w:val="right"/>
              <w:rPr>
                <w:rFonts w:ascii="Arial" w:hAnsi="Arial" w:cs="Arial" w:eastAsia="Arial" w:hint="default"/>
                <w:sz w:val="20"/>
                <w:szCs w:val="20"/>
              </w:rPr>
            </w:pPr>
            <w:r>
              <w:rPr>
                <w:rFonts w:ascii="Arial"/>
                <w:sz w:val="20"/>
              </w:rPr>
              <w:t>(</w:t>
              <w:tab/>
              <w:t>9,229,293</w:t>
            </w:r>
            <w:r>
              <w:rPr>
                <w:rFonts w:ascii="Arial"/>
                <w:spacing w:val="-10"/>
                <w:sz w:val="20"/>
              </w:rPr>
              <w:t> </w:t>
            </w:r>
            <w:r>
              <w:rPr>
                <w:rFonts w:ascii="Arial"/>
                <w:sz w:val="20"/>
              </w:rPr>
              <w:t>)</w:t>
            </w:r>
          </w:p>
        </w:tc>
      </w:tr>
      <w:tr>
        <w:trPr>
          <w:trHeight w:val="260"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19" w:lineRule="exact"/>
              <w:ind w:left="190" w:right="0"/>
              <w:jc w:val="left"/>
              <w:rPr>
                <w:rFonts w:ascii="黑体" w:hAnsi="黑体" w:cs="黑体" w:eastAsia="黑体" w:hint="default"/>
                <w:sz w:val="20"/>
                <w:szCs w:val="20"/>
              </w:rPr>
            </w:pPr>
            <w:r>
              <w:rPr>
                <w:rFonts w:ascii="黑体" w:hAnsi="黑体" w:cs="黑体" w:eastAsia="黑体" w:hint="default"/>
                <w:sz w:val="20"/>
                <w:szCs w:val="20"/>
              </w:rPr>
              <w:t>投资收益</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2"/>
              <w:jc w:val="center"/>
              <w:rPr>
                <w:rFonts w:ascii="Arial" w:hAnsi="Arial" w:cs="Arial" w:eastAsia="Arial" w:hint="default"/>
                <w:sz w:val="20"/>
                <w:szCs w:val="20"/>
              </w:rPr>
            </w:pPr>
            <w:r>
              <w:rPr>
                <w:rFonts w:ascii="Arial"/>
                <w:sz w:val="20"/>
              </w:rPr>
              <w:t>38</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8"/>
              <w:jc w:val="right"/>
              <w:rPr>
                <w:rFonts w:ascii="Arial" w:hAnsi="Arial" w:cs="Arial" w:eastAsia="Arial" w:hint="default"/>
                <w:sz w:val="20"/>
                <w:szCs w:val="20"/>
              </w:rPr>
            </w:pPr>
            <w:r>
              <w:rPr>
                <w:rFonts w:ascii="Arial"/>
                <w:sz w:val="20"/>
              </w:rPr>
              <w:t>(243,978,920</w:t>
            </w:r>
            <w:r>
              <w:rPr>
                <w:rFonts w:ascii="Arial"/>
                <w:spacing w:val="-3"/>
                <w:sz w:val="20"/>
              </w:rPr>
              <w:t> </w:t>
            </w:r>
            <w:r>
              <w:rPr>
                <w:rFonts w:ascii="Arial"/>
                <w:sz w:val="20"/>
              </w:rPr>
              <w:t>)</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sz w:val="20"/>
              </w:rPr>
              <w:t>(200,353,687</w:t>
            </w:r>
            <w:r>
              <w:rPr>
                <w:rFonts w:ascii="Arial"/>
                <w:spacing w:val="-4"/>
                <w:sz w:val="20"/>
              </w:rPr>
              <w:t> </w:t>
            </w:r>
            <w:r>
              <w:rPr>
                <w:rFonts w:ascii="Arial"/>
                <w:sz w:val="20"/>
              </w:rPr>
              <w:t>)</w:t>
            </w:r>
          </w:p>
        </w:tc>
      </w:tr>
      <w:tr>
        <w:trPr>
          <w:trHeight w:val="259"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19" w:lineRule="exact"/>
              <w:ind w:left="190" w:right="0"/>
              <w:jc w:val="left"/>
              <w:rPr>
                <w:rFonts w:ascii="黑体" w:hAnsi="黑体" w:cs="黑体" w:eastAsia="黑体" w:hint="default"/>
                <w:sz w:val="20"/>
                <w:szCs w:val="20"/>
              </w:rPr>
            </w:pPr>
            <w:r>
              <w:rPr>
                <w:rFonts w:ascii="黑体" w:hAnsi="黑体" w:cs="黑体" w:eastAsia="黑体" w:hint="default"/>
                <w:sz w:val="20"/>
                <w:szCs w:val="20"/>
              </w:rPr>
              <w:t>递延所得税资产的增加</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1"/>
              <w:jc w:val="center"/>
              <w:rPr>
                <w:rFonts w:ascii="Arial" w:hAnsi="Arial" w:cs="Arial" w:eastAsia="Arial" w:hint="default"/>
                <w:sz w:val="20"/>
                <w:szCs w:val="20"/>
              </w:rPr>
            </w:pPr>
            <w:r>
              <w:rPr>
                <w:rFonts w:ascii="Arial"/>
                <w:sz w:val="20"/>
              </w:rPr>
              <w:t>17</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7"/>
              <w:jc w:val="right"/>
              <w:rPr>
                <w:rFonts w:ascii="Arial" w:hAnsi="Arial" w:cs="Arial" w:eastAsia="Arial" w:hint="default"/>
                <w:sz w:val="20"/>
                <w:szCs w:val="20"/>
              </w:rPr>
            </w:pPr>
            <w:r>
              <w:rPr>
                <w:rFonts w:ascii="Arial"/>
                <w:sz w:val="20"/>
              </w:rPr>
              <w:t>(  28,472,193</w:t>
            </w:r>
            <w:r>
              <w:rPr>
                <w:rFonts w:ascii="Arial"/>
                <w:spacing w:val="-3"/>
                <w:sz w:val="20"/>
              </w:rPr>
              <w:t> </w:t>
            </w:r>
            <w:r>
              <w:rPr>
                <w:rFonts w:ascii="Arial"/>
                <w:sz w:val="20"/>
              </w:rPr>
              <w:t>)</w:t>
            </w:r>
          </w:p>
        </w:tc>
        <w:tc>
          <w:tcPr>
            <w:tcW w:w="1535" w:type="dxa"/>
            <w:tcBorders>
              <w:top w:val="nil" w:sz="6" w:space="0" w:color="auto"/>
              <w:left w:val="nil" w:sz="6" w:space="0" w:color="auto"/>
              <w:bottom w:val="nil" w:sz="6" w:space="0" w:color="auto"/>
              <w:right w:val="nil" w:sz="6" w:space="0" w:color="auto"/>
            </w:tcBorders>
          </w:tcPr>
          <w:p>
            <w:pPr>
              <w:pStyle w:val="TableParagraph"/>
              <w:tabs>
                <w:tab w:pos="285" w:val="left" w:leader="none"/>
              </w:tabs>
              <w:spacing w:line="240" w:lineRule="auto" w:before="15"/>
              <w:ind w:right="33"/>
              <w:jc w:val="right"/>
              <w:rPr>
                <w:rFonts w:ascii="Arial" w:hAnsi="Arial" w:cs="Arial" w:eastAsia="Arial" w:hint="default"/>
                <w:sz w:val="20"/>
                <w:szCs w:val="20"/>
              </w:rPr>
            </w:pPr>
            <w:r>
              <w:rPr>
                <w:rFonts w:ascii="Arial"/>
                <w:sz w:val="20"/>
              </w:rPr>
              <w:t>(</w:t>
              <w:tab/>
              <w:t>3,679,599</w:t>
            </w:r>
            <w:r>
              <w:rPr>
                <w:rFonts w:ascii="Arial"/>
                <w:spacing w:val="-10"/>
                <w:sz w:val="20"/>
              </w:rPr>
              <w:t> </w:t>
            </w:r>
            <w:r>
              <w:rPr>
                <w:rFonts w:ascii="Arial"/>
                <w:sz w:val="20"/>
              </w:rPr>
              <w:t>)</w:t>
            </w:r>
          </w:p>
        </w:tc>
      </w:tr>
      <w:tr>
        <w:trPr>
          <w:trHeight w:val="259"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19" w:lineRule="exact"/>
              <w:ind w:left="190" w:right="0"/>
              <w:jc w:val="left"/>
              <w:rPr>
                <w:rFonts w:ascii="黑体" w:hAnsi="黑体" w:cs="黑体" w:eastAsia="黑体" w:hint="default"/>
                <w:sz w:val="20"/>
                <w:szCs w:val="20"/>
              </w:rPr>
            </w:pPr>
            <w:r>
              <w:rPr>
                <w:rFonts w:ascii="黑体" w:hAnsi="黑体" w:cs="黑体" w:eastAsia="黑体" w:hint="default"/>
                <w:sz w:val="20"/>
                <w:szCs w:val="20"/>
              </w:rPr>
              <w:t>递延所得税负债的减少</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1"/>
              <w:jc w:val="center"/>
              <w:rPr>
                <w:rFonts w:ascii="Arial" w:hAnsi="Arial" w:cs="Arial" w:eastAsia="Arial" w:hint="default"/>
                <w:sz w:val="20"/>
                <w:szCs w:val="20"/>
              </w:rPr>
            </w:pPr>
            <w:r>
              <w:rPr>
                <w:rFonts w:ascii="Arial"/>
                <w:sz w:val="20"/>
              </w:rPr>
              <w:t>17</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21"/>
              <w:jc w:val="right"/>
              <w:rPr>
                <w:rFonts w:ascii="Arial" w:hAnsi="Arial" w:cs="Arial" w:eastAsia="Arial" w:hint="default"/>
                <w:sz w:val="20"/>
                <w:szCs w:val="20"/>
              </w:rPr>
            </w:pPr>
            <w:r>
              <w:rPr>
                <w:rFonts w:ascii="Arial"/>
                <w:w w:val="100"/>
                <w:sz w:val="20"/>
              </w:rPr>
              <w:t>-</w:t>
            </w:r>
          </w:p>
        </w:tc>
        <w:tc>
          <w:tcPr>
            <w:tcW w:w="1535" w:type="dxa"/>
            <w:tcBorders>
              <w:top w:val="nil" w:sz="6" w:space="0" w:color="auto"/>
              <w:left w:val="nil" w:sz="6" w:space="0" w:color="auto"/>
              <w:bottom w:val="nil" w:sz="6" w:space="0" w:color="auto"/>
              <w:right w:val="nil" w:sz="6" w:space="0" w:color="auto"/>
            </w:tcBorders>
          </w:tcPr>
          <w:p>
            <w:pPr>
              <w:pStyle w:val="TableParagraph"/>
              <w:tabs>
                <w:tab w:pos="286" w:val="left" w:leader="none"/>
              </w:tabs>
              <w:spacing w:line="240" w:lineRule="auto" w:before="15"/>
              <w:ind w:right="33"/>
              <w:jc w:val="right"/>
              <w:rPr>
                <w:rFonts w:ascii="Arial" w:hAnsi="Arial" w:cs="Arial" w:eastAsia="Arial" w:hint="default"/>
                <w:sz w:val="20"/>
                <w:szCs w:val="20"/>
              </w:rPr>
            </w:pPr>
            <w:r>
              <w:rPr>
                <w:rFonts w:ascii="Arial"/>
                <w:sz w:val="20"/>
              </w:rPr>
              <w:t>(</w:t>
              <w:tab/>
              <w:t>4,805,226</w:t>
            </w:r>
            <w:r>
              <w:rPr>
                <w:rFonts w:ascii="Arial"/>
                <w:spacing w:val="-10"/>
                <w:sz w:val="20"/>
              </w:rPr>
              <w:t> </w:t>
            </w:r>
            <w:r>
              <w:rPr>
                <w:rFonts w:ascii="Arial"/>
                <w:sz w:val="20"/>
              </w:rPr>
              <w:t>)</w:t>
            </w:r>
          </w:p>
        </w:tc>
      </w:tr>
      <w:tr>
        <w:trPr>
          <w:trHeight w:val="259"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33" w:lineRule="exact"/>
              <w:ind w:left="190" w:right="0"/>
              <w:jc w:val="left"/>
              <w:rPr>
                <w:rFonts w:ascii="Arial" w:hAnsi="Arial" w:cs="Arial" w:eastAsia="Arial" w:hint="default"/>
                <w:sz w:val="20"/>
                <w:szCs w:val="20"/>
              </w:rPr>
            </w:pPr>
            <w:r>
              <w:rPr>
                <w:rFonts w:ascii="黑体" w:hAnsi="黑体" w:cs="黑体" w:eastAsia="黑体" w:hint="default"/>
                <w:sz w:val="20"/>
                <w:szCs w:val="20"/>
              </w:rPr>
              <w:t>存货的减少</w:t>
            </w:r>
            <w:r>
              <w:rPr>
                <w:rFonts w:ascii="Arial" w:hAnsi="Arial" w:cs="Arial" w:eastAsia="Arial" w:hint="default"/>
                <w:sz w:val="20"/>
                <w:szCs w:val="20"/>
              </w:rPr>
              <w:t>/(</w:t>
            </w:r>
            <w:r>
              <w:rPr>
                <w:rFonts w:ascii="黑体" w:hAnsi="黑体" w:cs="黑体" w:eastAsia="黑体" w:hint="default"/>
                <w:sz w:val="20"/>
                <w:szCs w:val="20"/>
              </w:rPr>
              <w:t>增加</w:t>
            </w:r>
            <w:r>
              <w:rPr>
                <w:rFonts w:ascii="Arial" w:hAnsi="Arial" w:cs="Arial" w:eastAsia="Arial" w:hint="default"/>
                <w:sz w:val="20"/>
                <w:szCs w:val="20"/>
              </w:rPr>
              <w:t>)</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20"/>
              <w:jc w:val="right"/>
              <w:rPr>
                <w:rFonts w:ascii="Arial" w:hAnsi="Arial" w:cs="Arial" w:eastAsia="Arial" w:hint="default"/>
                <w:sz w:val="20"/>
                <w:szCs w:val="20"/>
              </w:rPr>
            </w:pPr>
            <w:r>
              <w:rPr>
                <w:rFonts w:ascii="Arial"/>
                <w:spacing w:val="-1"/>
                <w:sz w:val="20"/>
              </w:rPr>
              <w:t>3,420,407</w:t>
            </w:r>
          </w:p>
        </w:tc>
        <w:tc>
          <w:tcPr>
            <w:tcW w:w="1535" w:type="dxa"/>
            <w:tcBorders>
              <w:top w:val="nil" w:sz="6" w:space="0" w:color="auto"/>
              <w:left w:val="nil" w:sz="6" w:space="0" w:color="auto"/>
              <w:bottom w:val="nil" w:sz="6" w:space="0" w:color="auto"/>
              <w:right w:val="nil" w:sz="6" w:space="0" w:color="auto"/>
            </w:tcBorders>
          </w:tcPr>
          <w:p>
            <w:pPr>
              <w:pStyle w:val="TableParagraph"/>
              <w:tabs>
                <w:tab w:pos="285" w:val="left" w:leader="none"/>
              </w:tabs>
              <w:spacing w:line="240" w:lineRule="auto" w:before="15"/>
              <w:ind w:right="33"/>
              <w:jc w:val="right"/>
              <w:rPr>
                <w:rFonts w:ascii="Arial" w:hAnsi="Arial" w:cs="Arial" w:eastAsia="Arial" w:hint="default"/>
                <w:sz w:val="20"/>
                <w:szCs w:val="20"/>
              </w:rPr>
            </w:pPr>
            <w:r>
              <w:rPr>
                <w:rFonts w:ascii="Arial"/>
                <w:sz w:val="20"/>
              </w:rPr>
              <w:t>(</w:t>
              <w:tab/>
              <w:t>8,531,538</w:t>
            </w:r>
            <w:r>
              <w:rPr>
                <w:rFonts w:ascii="Arial"/>
                <w:spacing w:val="-10"/>
                <w:sz w:val="20"/>
              </w:rPr>
              <w:t> </w:t>
            </w:r>
            <w:r>
              <w:rPr>
                <w:rFonts w:ascii="Arial"/>
                <w:sz w:val="20"/>
              </w:rPr>
              <w:t>)</w:t>
            </w:r>
          </w:p>
        </w:tc>
      </w:tr>
      <w:tr>
        <w:trPr>
          <w:trHeight w:val="259"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19" w:lineRule="exact"/>
              <w:ind w:left="190" w:right="0"/>
              <w:jc w:val="left"/>
              <w:rPr>
                <w:rFonts w:ascii="黑体" w:hAnsi="黑体" w:cs="黑体" w:eastAsia="黑体" w:hint="default"/>
                <w:sz w:val="20"/>
                <w:szCs w:val="20"/>
              </w:rPr>
            </w:pPr>
            <w:r>
              <w:rPr>
                <w:rFonts w:ascii="黑体" w:hAnsi="黑体" w:cs="黑体" w:eastAsia="黑体" w:hint="default"/>
                <w:sz w:val="20"/>
                <w:szCs w:val="20"/>
              </w:rPr>
              <w:t>经营性应收项目的增加</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8"/>
              <w:jc w:val="right"/>
              <w:rPr>
                <w:rFonts w:ascii="Arial" w:hAnsi="Arial" w:cs="Arial" w:eastAsia="Arial" w:hint="default"/>
                <w:sz w:val="20"/>
                <w:szCs w:val="20"/>
              </w:rPr>
            </w:pPr>
            <w:r>
              <w:rPr>
                <w:rFonts w:ascii="Arial"/>
                <w:sz w:val="20"/>
              </w:rPr>
              <w:t>(235,496,188</w:t>
            </w:r>
            <w:r>
              <w:rPr>
                <w:rFonts w:ascii="Arial"/>
                <w:spacing w:val="-3"/>
                <w:sz w:val="20"/>
              </w:rPr>
              <w:t> </w:t>
            </w:r>
            <w:r>
              <w:rPr>
                <w:rFonts w:ascii="Arial"/>
                <w:sz w:val="20"/>
              </w:rPr>
              <w:t>)</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sz w:val="20"/>
              </w:rPr>
              <w:t>(159,761,348</w:t>
            </w:r>
            <w:r>
              <w:rPr>
                <w:rFonts w:ascii="Arial"/>
                <w:spacing w:val="-4"/>
                <w:sz w:val="20"/>
              </w:rPr>
              <w:t> </w:t>
            </w:r>
            <w:r>
              <w:rPr>
                <w:rFonts w:ascii="Arial"/>
                <w:sz w:val="20"/>
              </w:rPr>
              <w:t>)</w:t>
            </w:r>
          </w:p>
        </w:tc>
      </w:tr>
      <w:tr>
        <w:trPr>
          <w:trHeight w:val="259"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19" w:lineRule="exact"/>
              <w:ind w:left="190" w:right="0"/>
              <w:jc w:val="left"/>
              <w:rPr>
                <w:rFonts w:ascii="黑体" w:hAnsi="黑体" w:cs="黑体" w:eastAsia="黑体" w:hint="default"/>
                <w:sz w:val="20"/>
                <w:szCs w:val="20"/>
              </w:rPr>
            </w:pPr>
            <w:r>
              <w:rPr>
                <w:rFonts w:ascii="黑体" w:hAnsi="黑体" w:cs="黑体" w:eastAsia="黑体" w:hint="default"/>
                <w:sz w:val="20"/>
                <w:szCs w:val="20"/>
              </w:rPr>
              <w:t>经营性应付项目的增加</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12" w:right="0"/>
              <w:jc w:val="left"/>
              <w:rPr>
                <w:rFonts w:ascii="Arial" w:hAnsi="Arial" w:cs="Arial" w:eastAsia="Arial" w:hint="default"/>
                <w:sz w:val="20"/>
                <w:szCs w:val="20"/>
              </w:rPr>
            </w:pPr>
            <w:r>
              <w:rPr>
                <w:rFonts w:ascii="Arial"/>
                <w:sz w:val="20"/>
              </w:rPr>
              <w:t>272,397,889</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65" w:right="0"/>
              <w:jc w:val="left"/>
              <w:rPr>
                <w:rFonts w:ascii="Arial" w:hAnsi="Arial" w:cs="Arial" w:eastAsia="Arial" w:hint="default"/>
                <w:sz w:val="20"/>
                <w:szCs w:val="20"/>
              </w:rPr>
            </w:pPr>
            <w:r>
              <w:rPr>
                <w:rFonts w:ascii="Arial"/>
                <w:sz w:val="20"/>
              </w:rPr>
              <w:t>216,568,095</w:t>
            </w:r>
          </w:p>
        </w:tc>
      </w:tr>
      <w:tr>
        <w:trPr>
          <w:trHeight w:val="375"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19" w:lineRule="exact"/>
              <w:ind w:left="190"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8"/>
              <w:jc w:val="right"/>
              <w:rPr>
                <w:rFonts w:ascii="Arial" w:hAnsi="Arial" w:cs="Arial" w:eastAsia="Arial" w:hint="default"/>
                <w:sz w:val="20"/>
                <w:szCs w:val="20"/>
              </w:rPr>
            </w:pPr>
            <w:r>
              <w:rPr>
                <w:rFonts w:ascii="Arial"/>
                <w:sz w:val="20"/>
              </w:rPr>
              <w:t>(    </w:t>
            </w:r>
            <w:r>
              <w:rPr>
                <w:rFonts w:ascii="Arial"/>
                <w:sz w:val="20"/>
                <w:u w:val="single" w:color="000000"/>
              </w:rPr>
              <w:t> 7,751,037</w:t>
            </w:r>
            <w:r>
              <w:rPr>
                <w:rFonts w:ascii="Arial"/>
                <w:spacing w:val="-23"/>
                <w:sz w:val="20"/>
                <w:u w:val="single" w:color="000000"/>
              </w:rPr>
              <w:t> </w:t>
            </w:r>
            <w:r>
              <w:rPr>
                <w:rFonts w:ascii="Arial"/>
                <w:spacing w:val="-23"/>
                <w:sz w:val="20"/>
              </w:rPr>
            </w:r>
            <w:r>
              <w:rPr>
                <w:rFonts w:ascii="Arial"/>
                <w:sz w:val="20"/>
              </w:rPr>
              <w:t>)</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sz w:val="20"/>
              </w:rPr>
              <w:t>(    </w:t>
            </w:r>
            <w:r>
              <w:rPr>
                <w:rFonts w:ascii="Arial"/>
                <w:sz w:val="20"/>
                <w:u w:val="single" w:color="000000"/>
              </w:rPr>
              <w:t> 3,556,877</w:t>
            </w:r>
            <w:r>
              <w:rPr>
                <w:rFonts w:ascii="Arial"/>
                <w:spacing w:val="-12"/>
                <w:sz w:val="20"/>
                <w:u w:val="single" w:color="000000"/>
              </w:rPr>
              <w:t> </w:t>
            </w:r>
            <w:r>
              <w:rPr>
                <w:rFonts w:ascii="Arial"/>
                <w:spacing w:val="-12"/>
                <w:sz w:val="20"/>
              </w:rPr>
            </w:r>
            <w:r>
              <w:rPr>
                <w:rFonts w:ascii="Arial"/>
                <w:sz w:val="20"/>
              </w:rPr>
              <w:t>)</w:t>
            </w:r>
          </w:p>
        </w:tc>
      </w:tr>
      <w:tr>
        <w:trPr>
          <w:trHeight w:val="456" w:hRule="exact"/>
        </w:trPr>
        <w:tc>
          <w:tcPr>
            <w:tcW w:w="581" w:type="dxa"/>
            <w:tcBorders>
              <w:top w:val="nil" w:sz="6" w:space="0" w:color="auto"/>
              <w:left w:val="nil" w:sz="6" w:space="0" w:color="auto"/>
              <w:bottom w:val="nil" w:sz="6" w:space="0" w:color="auto"/>
              <w:right w:val="nil" w:sz="6" w:space="0" w:color="auto"/>
            </w:tcBorders>
          </w:tcPr>
          <w:p>
            <w:pPr/>
          </w:p>
        </w:tc>
        <w:tc>
          <w:tcPr>
            <w:tcW w:w="3602"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90" w:right="0"/>
              <w:jc w:val="left"/>
              <w:rPr>
                <w:rFonts w:ascii="黑体" w:hAnsi="黑体" w:cs="黑体" w:eastAsia="黑体" w:hint="default"/>
                <w:sz w:val="20"/>
                <w:szCs w:val="20"/>
              </w:rPr>
            </w:pPr>
            <w:r>
              <w:rPr>
                <w:rFonts w:ascii="黑体" w:hAnsi="黑体" w:cs="黑体" w:eastAsia="黑体" w:hint="default"/>
                <w:sz w:val="20"/>
                <w:szCs w:val="20"/>
              </w:rPr>
              <w:t>经营活动产生的现金流量净额</w:t>
            </w:r>
          </w:p>
        </w:tc>
        <w:tc>
          <w:tcPr>
            <w:tcW w:w="1102"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413" w:right="0"/>
              <w:jc w:val="left"/>
              <w:rPr>
                <w:rFonts w:ascii="Arial" w:hAnsi="Arial" w:cs="Arial" w:eastAsia="Arial" w:hint="default"/>
                <w:sz w:val="20"/>
                <w:szCs w:val="20"/>
              </w:rPr>
            </w:pPr>
            <w:r>
              <w:rPr>
                <w:rFonts w:ascii="Arial"/>
                <w:w w:val="100"/>
                <w:sz w:val="20"/>
              </w:rPr>
            </w:r>
            <w:r>
              <w:rPr>
                <w:rFonts w:ascii="Arial"/>
                <w:sz w:val="20"/>
                <w:u w:val="thick" w:color="000000"/>
              </w:rPr>
              <w:t>399,957,719</w:t>
            </w:r>
            <w:r>
              <w:rPr>
                <w:rFonts w:ascii="Arial"/>
                <w:sz w:val="20"/>
              </w:rPr>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265" w:right="0"/>
              <w:jc w:val="left"/>
              <w:rPr>
                <w:rFonts w:ascii="Arial" w:hAnsi="Arial" w:cs="Arial" w:eastAsia="Arial" w:hint="default"/>
                <w:sz w:val="20"/>
                <w:szCs w:val="20"/>
              </w:rPr>
            </w:pPr>
            <w:r>
              <w:rPr>
                <w:rFonts w:ascii="Arial"/>
                <w:w w:val="100"/>
                <w:sz w:val="20"/>
              </w:rPr>
            </w:r>
            <w:r>
              <w:rPr>
                <w:rFonts w:ascii="Arial"/>
                <w:sz w:val="20"/>
                <w:u w:val="thick" w:color="000000"/>
              </w:rPr>
              <w:t>362,208,139</w:t>
            </w:r>
            <w:r>
              <w:rPr>
                <w:rFonts w:ascii="Arial"/>
                <w:sz w:val="20"/>
              </w:rPr>
            </w:r>
          </w:p>
        </w:tc>
      </w:tr>
    </w:tbl>
    <w:p>
      <w:pPr>
        <w:spacing w:after="0" w:line="240" w:lineRule="auto"/>
        <w:jc w:val="left"/>
        <w:rPr>
          <w:rFonts w:ascii="Arial" w:hAnsi="Arial" w:cs="Arial" w:eastAsia="Arial" w:hint="default"/>
          <w:sz w:val="20"/>
          <w:szCs w:val="20"/>
        </w:rPr>
        <w:sectPr>
          <w:pgSz w:w="11910" w:h="16840"/>
          <w:pgMar w:header="828" w:footer="476" w:top="2420" w:bottom="660" w:left="1560" w:right="14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1"/>
          <w:szCs w:val="11"/>
        </w:rPr>
      </w:pPr>
    </w:p>
    <w:tbl>
      <w:tblPr>
        <w:tblW w:w="0" w:type="auto"/>
        <w:jc w:val="left"/>
        <w:tblInd w:w="106" w:type="dxa"/>
        <w:tblLayout w:type="fixed"/>
        <w:tblCellMar>
          <w:top w:w="0" w:type="dxa"/>
          <w:left w:w="0" w:type="dxa"/>
          <w:bottom w:w="0" w:type="dxa"/>
          <w:right w:w="0" w:type="dxa"/>
        </w:tblCellMar>
        <w:tblLook w:val="01E0"/>
      </w:tblPr>
      <w:tblGrid>
        <w:gridCol w:w="588"/>
        <w:gridCol w:w="4150"/>
        <w:gridCol w:w="2296"/>
        <w:gridCol w:w="1542"/>
      </w:tblGrid>
      <w:tr>
        <w:trPr>
          <w:trHeight w:val="987" w:hRule="exact"/>
        </w:trPr>
        <w:tc>
          <w:tcPr>
            <w:tcW w:w="58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五、</w:t>
            </w:r>
            <w:r>
              <w:rPr>
                <w:rFonts w:ascii="黑体" w:hAnsi="黑体" w:cs="黑体" w:eastAsia="黑体" w:hint="default"/>
                <w:sz w:val="20"/>
                <w:szCs w:val="20"/>
              </w:rPr>
            </w:r>
          </w:p>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left="35" w:right="0"/>
              <w:jc w:val="left"/>
              <w:rPr>
                <w:rFonts w:ascii="Arial" w:hAnsi="Arial" w:cs="Arial" w:eastAsia="Arial" w:hint="default"/>
                <w:sz w:val="20"/>
                <w:szCs w:val="20"/>
              </w:rPr>
            </w:pPr>
            <w:r>
              <w:rPr>
                <w:rFonts w:ascii="Arial"/>
                <w:b/>
                <w:sz w:val="20"/>
              </w:rPr>
              <w:t>45.</w:t>
            </w:r>
            <w:r>
              <w:rPr>
                <w:rFonts w:ascii="Arial"/>
                <w:sz w:val="20"/>
              </w:rPr>
            </w:r>
          </w:p>
        </w:tc>
        <w:tc>
          <w:tcPr>
            <w:tcW w:w="4150" w:type="dxa"/>
            <w:tcBorders>
              <w:top w:val="nil" w:sz="6" w:space="0" w:color="auto"/>
              <w:left w:val="nil" w:sz="6" w:space="0" w:color="auto"/>
              <w:bottom w:val="nil" w:sz="6" w:space="0" w:color="auto"/>
              <w:right w:val="nil" w:sz="6" w:space="0" w:color="auto"/>
            </w:tcBorders>
          </w:tcPr>
          <w:p>
            <w:pPr>
              <w:pStyle w:val="TableParagraph"/>
              <w:spacing w:line="465" w:lineRule="auto" w:before="38"/>
              <w:ind w:left="168" w:right="986" w:hanging="20"/>
              <w:jc w:val="left"/>
              <w:rPr>
                <w:rFonts w:ascii="黑体" w:hAnsi="黑体" w:cs="黑体" w:eastAsia="黑体" w:hint="default"/>
                <w:sz w:val="20"/>
                <w:szCs w:val="20"/>
              </w:rPr>
            </w:pPr>
            <w:r>
              <w:rPr>
                <w:rFonts w:ascii="黑体" w:hAnsi="黑体" w:cs="黑体" w:eastAsia="黑体" w:hint="default"/>
                <w:b/>
                <w:bCs/>
                <w:sz w:val="20"/>
                <w:szCs w:val="20"/>
              </w:rPr>
              <w:t>合并财务报表主要项目注释（续）</w:t>
            </w:r>
            <w:r>
              <w:rPr>
                <w:rFonts w:ascii="黑体" w:hAnsi="黑体" w:cs="黑体" w:eastAsia="黑体" w:hint="default"/>
                <w:b/>
                <w:bCs/>
                <w:w w:val="99"/>
                <w:sz w:val="20"/>
                <w:szCs w:val="20"/>
              </w:rPr>
              <w:t> </w:t>
            </w:r>
            <w:r>
              <w:rPr>
                <w:rFonts w:ascii="黑体" w:hAnsi="黑体" w:cs="黑体" w:eastAsia="黑体" w:hint="default"/>
                <w:b/>
                <w:bCs/>
                <w:sz w:val="20"/>
                <w:szCs w:val="20"/>
              </w:rPr>
              <w:t>现金流量表补充资料（续）</w:t>
            </w:r>
            <w:r>
              <w:rPr>
                <w:rFonts w:ascii="黑体" w:hAnsi="黑体" w:cs="黑体" w:eastAsia="黑体" w:hint="default"/>
                <w:sz w:val="20"/>
                <w:szCs w:val="20"/>
              </w:rPr>
            </w:r>
          </w:p>
        </w:tc>
        <w:tc>
          <w:tcPr>
            <w:tcW w:w="3838" w:type="dxa"/>
            <w:gridSpan w:val="2"/>
            <w:vMerge w:val="restart"/>
            <w:tcBorders>
              <w:top w:val="nil" w:sz="6" w:space="0" w:color="auto"/>
              <w:left w:val="nil" w:sz="6" w:space="0" w:color="auto"/>
              <w:right w:val="nil" w:sz="6" w:space="0" w:color="auto"/>
            </w:tcBorders>
          </w:tcPr>
          <w:p>
            <w:pPr/>
          </w:p>
        </w:tc>
      </w:tr>
      <w:tr>
        <w:trPr>
          <w:trHeight w:val="716" w:hRule="exact"/>
        </w:trPr>
        <w:tc>
          <w:tcPr>
            <w:tcW w:w="588" w:type="dxa"/>
            <w:tcBorders>
              <w:top w:val="nil" w:sz="6" w:space="0" w:color="auto"/>
              <w:left w:val="nil" w:sz="6" w:space="0" w:color="auto"/>
              <w:bottom w:val="nil" w:sz="6" w:space="0" w:color="auto"/>
              <w:right w:val="nil" w:sz="6" w:space="0" w:color="auto"/>
            </w:tcBorders>
          </w:tcPr>
          <w:p>
            <w:pPr/>
          </w:p>
        </w:tc>
        <w:tc>
          <w:tcPr>
            <w:tcW w:w="4150" w:type="dxa"/>
            <w:tcBorders>
              <w:top w:val="nil" w:sz="6" w:space="0" w:color="auto"/>
              <w:left w:val="nil" w:sz="6" w:space="0" w:color="auto"/>
              <w:bottom w:val="nil" w:sz="6" w:space="0" w:color="auto"/>
              <w:right w:val="nil" w:sz="6" w:space="0" w:color="auto"/>
            </w:tcBorders>
          </w:tcPr>
          <w:p>
            <w:pPr>
              <w:pStyle w:val="TableParagraph"/>
              <w:tabs>
                <w:tab w:pos="707" w:val="left" w:leader="none"/>
              </w:tabs>
              <w:spacing w:line="240" w:lineRule="auto" w:before="111"/>
              <w:ind w:left="161" w:right="0"/>
              <w:jc w:val="left"/>
              <w:rPr>
                <w:rFonts w:ascii="黑体" w:hAnsi="黑体" w:cs="黑体" w:eastAsia="黑体" w:hint="default"/>
                <w:sz w:val="20"/>
                <w:szCs w:val="20"/>
              </w:rPr>
            </w:pPr>
            <w:r>
              <w:rPr>
                <w:rFonts w:ascii="Arial" w:hAnsi="Arial" w:cs="Arial" w:eastAsia="Arial" w:hint="default"/>
                <w:sz w:val="20"/>
                <w:szCs w:val="20"/>
              </w:rPr>
              <w:t>(1)</w:t>
              <w:tab/>
            </w:r>
            <w:r>
              <w:rPr>
                <w:rFonts w:ascii="黑体" w:hAnsi="黑体" w:cs="黑体" w:eastAsia="黑体" w:hint="default"/>
                <w:sz w:val="20"/>
                <w:szCs w:val="20"/>
              </w:rPr>
              <w:t>现金流量表补充资料（续）</w:t>
            </w:r>
          </w:p>
        </w:tc>
        <w:tc>
          <w:tcPr>
            <w:tcW w:w="3838" w:type="dxa"/>
            <w:gridSpan w:val="2"/>
            <w:vMerge/>
            <w:tcBorders>
              <w:left w:val="nil" w:sz="6" w:space="0" w:color="auto"/>
              <w:bottom w:val="nil" w:sz="6" w:space="0" w:color="auto"/>
              <w:right w:val="nil" w:sz="6" w:space="0" w:color="auto"/>
            </w:tcBorders>
          </w:tcPr>
          <w:p>
            <w:pPr/>
          </w:p>
        </w:tc>
      </w:tr>
      <w:tr>
        <w:trPr>
          <w:trHeight w:val="576" w:hRule="exact"/>
        </w:trPr>
        <w:tc>
          <w:tcPr>
            <w:tcW w:w="588" w:type="dxa"/>
            <w:tcBorders>
              <w:top w:val="nil" w:sz="6" w:space="0" w:color="auto"/>
              <w:left w:val="nil" w:sz="6" w:space="0" w:color="auto"/>
              <w:bottom w:val="nil" w:sz="6" w:space="0" w:color="auto"/>
              <w:right w:val="nil" w:sz="6" w:space="0" w:color="auto"/>
            </w:tcBorders>
          </w:tcPr>
          <w:p>
            <w:pPr/>
          </w:p>
        </w:tc>
        <w:tc>
          <w:tcPr>
            <w:tcW w:w="4150" w:type="dxa"/>
            <w:tcBorders>
              <w:top w:val="nil" w:sz="6" w:space="0" w:color="auto"/>
              <w:left w:val="nil" w:sz="6" w:space="0" w:color="auto"/>
              <w:bottom w:val="nil" w:sz="6" w:space="0" w:color="auto"/>
              <w:right w:val="nil" w:sz="6" w:space="0" w:color="auto"/>
            </w:tcBorders>
          </w:tcPr>
          <w:p>
            <w:pP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right="192"/>
              <w:jc w:val="right"/>
              <w:rPr>
                <w:rFonts w:ascii="黑体" w:hAnsi="黑体" w:cs="黑体" w:eastAsia="黑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黑体" w:hAnsi="黑体" w:cs="黑体" w:eastAsia="黑体" w:hint="default"/>
                <w:sz w:val="20"/>
                <w:szCs w:val="20"/>
              </w:rPr>
              <w:t>年</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right="33"/>
              <w:jc w:val="right"/>
              <w:rPr>
                <w:rFonts w:ascii="黑体" w:hAnsi="黑体" w:cs="黑体" w:eastAsia="黑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黑体" w:hAnsi="黑体" w:cs="黑体" w:eastAsia="黑体" w:hint="default"/>
                <w:sz w:val="20"/>
                <w:szCs w:val="20"/>
              </w:rPr>
              <w:t>年</w:t>
            </w:r>
          </w:p>
        </w:tc>
      </w:tr>
      <w:tr>
        <w:trPr>
          <w:trHeight w:val="443" w:hRule="exact"/>
        </w:trPr>
        <w:tc>
          <w:tcPr>
            <w:tcW w:w="588" w:type="dxa"/>
            <w:tcBorders>
              <w:top w:val="nil" w:sz="6" w:space="0" w:color="auto"/>
              <w:left w:val="nil" w:sz="6" w:space="0" w:color="auto"/>
              <w:bottom w:val="nil" w:sz="6" w:space="0" w:color="auto"/>
              <w:right w:val="nil" w:sz="6" w:space="0" w:color="auto"/>
            </w:tcBorders>
          </w:tcPr>
          <w:p>
            <w:pPr/>
          </w:p>
        </w:tc>
        <w:tc>
          <w:tcPr>
            <w:tcW w:w="4150" w:type="dxa"/>
            <w:tcBorders>
              <w:top w:val="nil" w:sz="6" w:space="0" w:color="auto"/>
              <w:left w:val="nil" w:sz="6" w:space="0" w:color="auto"/>
              <w:bottom w:val="nil" w:sz="6" w:space="0" w:color="auto"/>
              <w:right w:val="nil" w:sz="6" w:space="0" w:color="auto"/>
            </w:tcBorders>
          </w:tcPr>
          <w:p>
            <w:pPr>
              <w:pStyle w:val="TableParagraph"/>
              <w:spacing w:line="231" w:lineRule="exact"/>
              <w:ind w:left="152" w:right="0"/>
              <w:jc w:val="left"/>
              <w:rPr>
                <w:rFonts w:ascii="黑体" w:hAnsi="黑体" w:cs="黑体" w:eastAsia="黑体" w:hint="default"/>
                <w:sz w:val="20"/>
                <w:szCs w:val="20"/>
              </w:rPr>
            </w:pPr>
            <w:r>
              <w:rPr>
                <w:rFonts w:ascii="黑体" w:hAnsi="黑体" w:cs="黑体" w:eastAsia="黑体" w:hint="default"/>
                <w:sz w:val="20"/>
                <w:szCs w:val="20"/>
              </w:rPr>
              <w:t>现金及现金等价物净变动：</w:t>
            </w:r>
          </w:p>
        </w:tc>
        <w:tc>
          <w:tcPr>
            <w:tcW w:w="2296" w:type="dxa"/>
            <w:tcBorders>
              <w:top w:val="nil" w:sz="6" w:space="0" w:color="auto"/>
              <w:left w:val="nil" w:sz="6" w:space="0" w:color="auto"/>
              <w:bottom w:val="nil" w:sz="6" w:space="0" w:color="auto"/>
              <w:right w:val="nil" w:sz="6" w:space="0" w:color="auto"/>
            </w:tcBorders>
          </w:tcPr>
          <w:p>
            <w:pPr/>
          </w:p>
        </w:tc>
        <w:tc>
          <w:tcPr>
            <w:tcW w:w="1542" w:type="dxa"/>
            <w:tcBorders>
              <w:top w:val="nil" w:sz="6" w:space="0" w:color="auto"/>
              <w:left w:val="nil" w:sz="6" w:space="0" w:color="auto"/>
              <w:bottom w:val="nil" w:sz="6" w:space="0" w:color="auto"/>
              <w:right w:val="nil" w:sz="6" w:space="0" w:color="auto"/>
            </w:tcBorders>
          </w:tcPr>
          <w:p>
            <w:pPr/>
          </w:p>
        </w:tc>
      </w:tr>
      <w:tr>
        <w:trPr>
          <w:trHeight w:val="493" w:hRule="exact"/>
        </w:trPr>
        <w:tc>
          <w:tcPr>
            <w:tcW w:w="588" w:type="dxa"/>
            <w:tcBorders>
              <w:top w:val="nil" w:sz="6" w:space="0" w:color="auto"/>
              <w:left w:val="nil" w:sz="6" w:space="0" w:color="auto"/>
              <w:bottom w:val="nil" w:sz="6" w:space="0" w:color="auto"/>
              <w:right w:val="nil" w:sz="6" w:space="0" w:color="auto"/>
            </w:tcBorders>
          </w:tcPr>
          <w:p>
            <w:pPr/>
          </w:p>
        </w:tc>
        <w:tc>
          <w:tcPr>
            <w:tcW w:w="4150"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152" w:right="0"/>
              <w:jc w:val="left"/>
              <w:rPr>
                <w:rFonts w:ascii="黑体" w:hAnsi="黑体" w:cs="黑体" w:eastAsia="黑体" w:hint="default"/>
                <w:sz w:val="20"/>
                <w:szCs w:val="20"/>
              </w:rPr>
            </w:pPr>
            <w:r>
              <w:rPr>
                <w:rFonts w:ascii="黑体" w:hAnsi="黑体" w:cs="黑体" w:eastAsia="黑体" w:hint="default"/>
                <w:sz w:val="20"/>
                <w:szCs w:val="20"/>
              </w:rPr>
              <w:t>现金的年末余额</w:t>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192"/>
              <w:jc w:val="right"/>
              <w:rPr>
                <w:rFonts w:ascii="Arial" w:hAnsi="Arial" w:cs="Arial" w:eastAsia="Arial" w:hint="default"/>
                <w:sz w:val="20"/>
                <w:szCs w:val="20"/>
              </w:rPr>
            </w:pPr>
            <w:r>
              <w:rPr>
                <w:rFonts w:ascii="Arial"/>
                <w:spacing w:val="-2"/>
                <w:sz w:val="20"/>
              </w:rPr>
              <w:t>1,615,483,428</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33"/>
              <w:jc w:val="right"/>
              <w:rPr>
                <w:rFonts w:ascii="Arial" w:hAnsi="Arial" w:cs="Arial" w:eastAsia="Arial" w:hint="default"/>
                <w:sz w:val="20"/>
                <w:szCs w:val="20"/>
              </w:rPr>
            </w:pPr>
            <w:r>
              <w:rPr>
                <w:rFonts w:ascii="Arial"/>
                <w:spacing w:val="-1"/>
                <w:sz w:val="20"/>
              </w:rPr>
              <w:t>1,076,308,762</w:t>
            </w:r>
          </w:p>
        </w:tc>
      </w:tr>
      <w:tr>
        <w:trPr>
          <w:trHeight w:val="468" w:hRule="exact"/>
        </w:trPr>
        <w:tc>
          <w:tcPr>
            <w:tcW w:w="588" w:type="dxa"/>
            <w:tcBorders>
              <w:top w:val="nil" w:sz="6" w:space="0" w:color="auto"/>
              <w:left w:val="nil" w:sz="6" w:space="0" w:color="auto"/>
              <w:bottom w:val="nil" w:sz="6" w:space="0" w:color="auto"/>
              <w:right w:val="nil" w:sz="6" w:space="0" w:color="auto"/>
            </w:tcBorders>
          </w:tcPr>
          <w:p>
            <w:pPr/>
          </w:p>
        </w:tc>
        <w:tc>
          <w:tcPr>
            <w:tcW w:w="4150" w:type="dxa"/>
            <w:tcBorders>
              <w:top w:val="nil" w:sz="6" w:space="0" w:color="auto"/>
              <w:left w:val="nil" w:sz="6" w:space="0" w:color="auto"/>
              <w:bottom w:val="nil" w:sz="6" w:space="0" w:color="auto"/>
              <w:right w:val="nil" w:sz="6" w:space="0" w:color="auto"/>
            </w:tcBorders>
          </w:tcPr>
          <w:p>
            <w:pPr>
              <w:pStyle w:val="TableParagraph"/>
              <w:spacing w:line="231" w:lineRule="exact"/>
              <w:ind w:left="152" w:right="0"/>
              <w:jc w:val="left"/>
              <w:rPr>
                <w:rFonts w:ascii="黑体" w:hAnsi="黑体" w:cs="黑体" w:eastAsia="黑体" w:hint="default"/>
                <w:sz w:val="20"/>
                <w:szCs w:val="20"/>
              </w:rPr>
            </w:pPr>
            <w:r>
              <w:rPr>
                <w:rFonts w:ascii="黑体" w:hAnsi="黑体" w:cs="黑体" w:eastAsia="黑体" w:hint="default"/>
                <w:sz w:val="20"/>
                <w:szCs w:val="20"/>
              </w:rPr>
              <w:t>减：现金的年初余额</w:t>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92"/>
              <w:jc w:val="right"/>
              <w:rPr>
                <w:rFonts w:ascii="Arial" w:hAnsi="Arial" w:cs="Arial" w:eastAsia="Arial" w:hint="default"/>
                <w:sz w:val="20"/>
                <w:szCs w:val="20"/>
              </w:rPr>
            </w:pPr>
            <w:r>
              <w:rPr>
                <w:rFonts w:ascii="Arial"/>
                <w:w w:val="100"/>
                <w:sz w:val="20"/>
              </w:rPr>
            </w:r>
            <w:r>
              <w:rPr>
                <w:rFonts w:ascii="Arial"/>
                <w:spacing w:val="-2"/>
                <w:sz w:val="20"/>
                <w:u w:val="single" w:color="000000"/>
              </w:rPr>
              <w:t>1,076,308,762</w:t>
            </w:r>
            <w:r>
              <w:rPr>
                <w:rFonts w:ascii="Arial"/>
                <w:spacing w:val="-2"/>
                <w:sz w:val="20"/>
              </w:rPr>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pacing w:val="-1"/>
                <w:sz w:val="20"/>
                <w:u w:val="single" w:color="000000"/>
              </w:rPr>
              <w:t>901,777,151</w:t>
            </w:r>
            <w:r>
              <w:rPr>
                <w:rFonts w:ascii="Arial"/>
                <w:spacing w:val="-1"/>
                <w:sz w:val="20"/>
              </w:rPr>
            </w:r>
          </w:p>
        </w:tc>
      </w:tr>
      <w:tr>
        <w:trPr>
          <w:trHeight w:val="664" w:hRule="exact"/>
        </w:trPr>
        <w:tc>
          <w:tcPr>
            <w:tcW w:w="588" w:type="dxa"/>
            <w:tcBorders>
              <w:top w:val="nil" w:sz="6" w:space="0" w:color="auto"/>
              <w:left w:val="nil" w:sz="6" w:space="0" w:color="auto"/>
              <w:bottom w:val="nil" w:sz="6" w:space="0" w:color="auto"/>
              <w:right w:val="nil" w:sz="6" w:space="0" w:color="auto"/>
            </w:tcBorders>
          </w:tcPr>
          <w:p>
            <w:pPr/>
          </w:p>
        </w:tc>
        <w:tc>
          <w:tcPr>
            <w:tcW w:w="4150"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52" w:right="0"/>
              <w:jc w:val="left"/>
              <w:rPr>
                <w:rFonts w:ascii="黑体" w:hAnsi="黑体" w:cs="黑体" w:eastAsia="黑体" w:hint="default"/>
                <w:sz w:val="20"/>
                <w:szCs w:val="20"/>
              </w:rPr>
            </w:pPr>
            <w:r>
              <w:rPr>
                <w:rFonts w:ascii="黑体" w:hAnsi="黑体" w:cs="黑体" w:eastAsia="黑体" w:hint="default"/>
                <w:sz w:val="20"/>
                <w:szCs w:val="20"/>
              </w:rPr>
              <w:t>现金及现金等价物净增加额</w:t>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right="192"/>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13"/>
                <w:sz w:val="20"/>
                <w:u w:val="thick" w:color="000000"/>
              </w:rPr>
              <w:t> </w:t>
            </w:r>
            <w:r>
              <w:rPr>
                <w:rFonts w:ascii="Arial"/>
                <w:spacing w:val="-1"/>
                <w:sz w:val="20"/>
                <w:u w:val="thick" w:color="000000"/>
              </w:rPr>
              <w:t>539,174,666</w:t>
            </w:r>
            <w:r>
              <w:rPr>
                <w:rFonts w:ascii="Arial"/>
                <w:spacing w:val="-1"/>
                <w:sz w:val="20"/>
              </w:rPr>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right="3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24"/>
                <w:sz w:val="20"/>
                <w:u w:val="thick" w:color="000000"/>
              </w:rPr>
              <w:t> </w:t>
            </w:r>
            <w:r>
              <w:rPr>
                <w:rFonts w:ascii="Arial"/>
                <w:spacing w:val="-1"/>
                <w:sz w:val="20"/>
                <w:u w:val="thick" w:color="000000"/>
              </w:rPr>
              <w:t>174,531,611</w:t>
            </w:r>
            <w:r>
              <w:rPr>
                <w:rFonts w:ascii="Arial"/>
                <w:spacing w:val="-1"/>
                <w:sz w:val="20"/>
              </w:rPr>
            </w:r>
          </w:p>
        </w:tc>
      </w:tr>
      <w:tr>
        <w:trPr>
          <w:trHeight w:val="606" w:hRule="exact"/>
        </w:trPr>
        <w:tc>
          <w:tcPr>
            <w:tcW w:w="588" w:type="dxa"/>
            <w:tcBorders>
              <w:top w:val="nil" w:sz="6" w:space="0" w:color="auto"/>
              <w:left w:val="nil" w:sz="6" w:space="0" w:color="auto"/>
              <w:bottom w:val="nil" w:sz="6" w:space="0" w:color="auto"/>
              <w:right w:val="nil" w:sz="6" w:space="0" w:color="auto"/>
            </w:tcBorders>
          </w:tcPr>
          <w:p>
            <w:pPr/>
          </w:p>
        </w:tc>
        <w:tc>
          <w:tcPr>
            <w:tcW w:w="4150" w:type="dxa"/>
            <w:tcBorders>
              <w:top w:val="nil" w:sz="6" w:space="0" w:color="auto"/>
              <w:left w:val="nil" w:sz="6" w:space="0" w:color="auto"/>
              <w:bottom w:val="nil" w:sz="6" w:space="0" w:color="auto"/>
              <w:right w:val="nil" w:sz="6" w:space="0" w:color="auto"/>
            </w:tcBorders>
          </w:tcPr>
          <w:p>
            <w:pPr>
              <w:pStyle w:val="TableParagraph"/>
              <w:tabs>
                <w:tab w:pos="706" w:val="left" w:leader="none"/>
              </w:tabs>
              <w:spacing w:line="240" w:lineRule="auto" w:before="166"/>
              <w:ind w:left="161" w:right="0"/>
              <w:jc w:val="left"/>
              <w:rPr>
                <w:rFonts w:ascii="黑体" w:hAnsi="黑体" w:cs="黑体" w:eastAsia="黑体" w:hint="default"/>
                <w:sz w:val="20"/>
                <w:szCs w:val="20"/>
              </w:rPr>
            </w:pPr>
            <w:r>
              <w:rPr>
                <w:rFonts w:ascii="Arial" w:hAnsi="Arial" w:cs="Arial" w:eastAsia="Arial" w:hint="default"/>
                <w:sz w:val="20"/>
                <w:szCs w:val="20"/>
              </w:rPr>
              <w:t>(2)</w:t>
              <w:tab/>
            </w:r>
            <w:r>
              <w:rPr>
                <w:rFonts w:ascii="黑体" w:hAnsi="黑体" w:cs="黑体" w:eastAsia="黑体" w:hint="default"/>
                <w:sz w:val="20"/>
                <w:szCs w:val="20"/>
              </w:rPr>
              <w:t>现金及现金等价物</w:t>
            </w:r>
          </w:p>
        </w:tc>
        <w:tc>
          <w:tcPr>
            <w:tcW w:w="2296" w:type="dxa"/>
            <w:tcBorders>
              <w:top w:val="nil" w:sz="6" w:space="0" w:color="auto"/>
              <w:left w:val="nil" w:sz="6" w:space="0" w:color="auto"/>
              <w:bottom w:val="nil" w:sz="6" w:space="0" w:color="auto"/>
              <w:right w:val="nil" w:sz="6" w:space="0" w:color="auto"/>
            </w:tcBorders>
          </w:tcPr>
          <w:p>
            <w:pPr/>
          </w:p>
        </w:tc>
        <w:tc>
          <w:tcPr>
            <w:tcW w:w="1542" w:type="dxa"/>
            <w:tcBorders>
              <w:top w:val="nil" w:sz="6" w:space="0" w:color="auto"/>
              <w:left w:val="nil" w:sz="6" w:space="0" w:color="auto"/>
              <w:bottom w:val="nil" w:sz="6" w:space="0" w:color="auto"/>
              <w:right w:val="nil" w:sz="6" w:space="0" w:color="auto"/>
            </w:tcBorders>
          </w:tcPr>
          <w:p>
            <w:pPr/>
          </w:p>
        </w:tc>
      </w:tr>
      <w:tr>
        <w:trPr>
          <w:trHeight w:val="794" w:hRule="exact"/>
        </w:trPr>
        <w:tc>
          <w:tcPr>
            <w:tcW w:w="588" w:type="dxa"/>
            <w:tcBorders>
              <w:top w:val="nil" w:sz="6" w:space="0" w:color="auto"/>
              <w:left w:val="nil" w:sz="6" w:space="0" w:color="auto"/>
              <w:bottom w:val="nil" w:sz="6" w:space="0" w:color="auto"/>
              <w:right w:val="nil" w:sz="6" w:space="0" w:color="auto"/>
            </w:tcBorders>
          </w:tcPr>
          <w:p>
            <w:pPr/>
          </w:p>
        </w:tc>
        <w:tc>
          <w:tcPr>
            <w:tcW w:w="4150" w:type="dxa"/>
            <w:tcBorders>
              <w:top w:val="nil" w:sz="6" w:space="0" w:color="auto"/>
              <w:left w:val="nil" w:sz="6" w:space="0" w:color="auto"/>
              <w:bottom w:val="nil" w:sz="6" w:space="0" w:color="auto"/>
              <w:right w:val="nil" w:sz="6" w:space="0" w:color="auto"/>
            </w:tcBorders>
          </w:tcPr>
          <w:p>
            <w:pPr/>
          </w:p>
        </w:tc>
        <w:tc>
          <w:tcPr>
            <w:tcW w:w="2296" w:type="dxa"/>
            <w:tcBorders>
              <w:top w:val="nil" w:sz="6" w:space="0" w:color="auto"/>
              <w:left w:val="nil" w:sz="6" w:space="0" w:color="auto"/>
              <w:bottom w:val="nil" w:sz="6" w:space="0" w:color="auto"/>
              <w:right w:val="nil" w:sz="6" w:space="0" w:color="auto"/>
            </w:tcBorders>
          </w:tcPr>
          <w:p>
            <w:pPr>
              <w:pStyle w:val="TableParagraph"/>
              <w:spacing w:line="268" w:lineRule="exact" w:before="108"/>
              <w:ind w:left="1436"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p>
            <w:pPr>
              <w:pStyle w:val="TableParagraph"/>
              <w:spacing w:line="268" w:lineRule="exact"/>
              <w:ind w:left="1236" w:right="0"/>
              <w:jc w:val="left"/>
              <w:rPr>
                <w:rFonts w:ascii="黑体" w:hAnsi="黑体" w:cs="黑体" w:eastAsia="黑体" w:hint="default"/>
                <w:sz w:val="20"/>
                <w:szCs w:val="20"/>
              </w:rPr>
            </w:pP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tc>
        <w:tc>
          <w:tcPr>
            <w:tcW w:w="1542" w:type="dxa"/>
            <w:tcBorders>
              <w:top w:val="nil" w:sz="6" w:space="0" w:color="auto"/>
              <w:left w:val="nil" w:sz="6" w:space="0" w:color="auto"/>
              <w:bottom w:val="nil" w:sz="6" w:space="0" w:color="auto"/>
              <w:right w:val="nil" w:sz="6" w:space="0" w:color="auto"/>
            </w:tcBorders>
          </w:tcPr>
          <w:p>
            <w:pPr>
              <w:pStyle w:val="TableParagraph"/>
              <w:spacing w:line="268" w:lineRule="exact" w:before="108"/>
              <w:ind w:left="843"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p>
            <w:pPr>
              <w:pStyle w:val="TableParagraph"/>
              <w:spacing w:line="268" w:lineRule="exact"/>
              <w:ind w:left="643" w:right="0"/>
              <w:jc w:val="left"/>
              <w:rPr>
                <w:rFonts w:ascii="黑体" w:hAnsi="黑体" w:cs="黑体" w:eastAsia="黑体" w:hint="default"/>
                <w:sz w:val="20"/>
                <w:szCs w:val="20"/>
              </w:rPr>
            </w:pP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tc>
      </w:tr>
      <w:tr>
        <w:trPr>
          <w:trHeight w:val="390" w:hRule="exact"/>
        </w:trPr>
        <w:tc>
          <w:tcPr>
            <w:tcW w:w="588" w:type="dxa"/>
            <w:tcBorders>
              <w:top w:val="nil" w:sz="6" w:space="0" w:color="auto"/>
              <w:left w:val="nil" w:sz="6" w:space="0" w:color="auto"/>
              <w:bottom w:val="nil" w:sz="6" w:space="0" w:color="auto"/>
              <w:right w:val="nil" w:sz="6" w:space="0" w:color="auto"/>
            </w:tcBorders>
          </w:tcPr>
          <w:p>
            <w:pPr/>
          </w:p>
        </w:tc>
        <w:tc>
          <w:tcPr>
            <w:tcW w:w="4150"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52" w:right="0"/>
              <w:jc w:val="left"/>
              <w:rPr>
                <w:rFonts w:ascii="黑体" w:hAnsi="黑体" w:cs="黑体" w:eastAsia="黑体" w:hint="default"/>
                <w:sz w:val="20"/>
                <w:szCs w:val="20"/>
              </w:rPr>
            </w:pPr>
            <w:r>
              <w:rPr>
                <w:rFonts w:ascii="黑体" w:hAnsi="黑体" w:cs="黑体" w:eastAsia="黑体" w:hint="default"/>
                <w:sz w:val="20"/>
                <w:szCs w:val="20"/>
              </w:rPr>
              <w:t>现金</w:t>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211"/>
              <w:jc w:val="right"/>
              <w:rPr>
                <w:rFonts w:ascii="Arial" w:hAnsi="Arial" w:cs="Arial" w:eastAsia="Arial" w:hint="default"/>
                <w:sz w:val="20"/>
                <w:szCs w:val="20"/>
              </w:rPr>
            </w:pPr>
            <w:r>
              <w:rPr>
                <w:rFonts w:ascii="Arial"/>
                <w:spacing w:val="-1"/>
                <w:sz w:val="20"/>
              </w:rPr>
              <w:t>1,615,483,428</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50"/>
              <w:jc w:val="right"/>
              <w:rPr>
                <w:rFonts w:ascii="Arial" w:hAnsi="Arial" w:cs="Arial" w:eastAsia="Arial" w:hint="default"/>
                <w:sz w:val="20"/>
                <w:szCs w:val="20"/>
              </w:rPr>
            </w:pPr>
            <w:r>
              <w:rPr>
                <w:rFonts w:ascii="Arial"/>
                <w:spacing w:val="-1"/>
                <w:sz w:val="20"/>
              </w:rPr>
              <w:t>1,076,308,762</w:t>
            </w:r>
          </w:p>
        </w:tc>
      </w:tr>
      <w:tr>
        <w:trPr>
          <w:trHeight w:val="260" w:hRule="exact"/>
        </w:trPr>
        <w:tc>
          <w:tcPr>
            <w:tcW w:w="588" w:type="dxa"/>
            <w:tcBorders>
              <w:top w:val="nil" w:sz="6" w:space="0" w:color="auto"/>
              <w:left w:val="nil" w:sz="6" w:space="0" w:color="auto"/>
              <w:bottom w:val="nil" w:sz="6" w:space="0" w:color="auto"/>
              <w:right w:val="nil" w:sz="6" w:space="0" w:color="auto"/>
            </w:tcBorders>
          </w:tcPr>
          <w:p>
            <w:pPr/>
          </w:p>
        </w:tc>
        <w:tc>
          <w:tcPr>
            <w:tcW w:w="4150" w:type="dxa"/>
            <w:tcBorders>
              <w:top w:val="nil" w:sz="6" w:space="0" w:color="auto"/>
              <w:left w:val="nil" w:sz="6" w:space="0" w:color="auto"/>
              <w:bottom w:val="nil" w:sz="6" w:space="0" w:color="auto"/>
              <w:right w:val="nil" w:sz="6" w:space="0" w:color="auto"/>
            </w:tcBorders>
          </w:tcPr>
          <w:p>
            <w:pPr>
              <w:pStyle w:val="TableParagraph"/>
              <w:spacing w:line="225" w:lineRule="exact"/>
              <w:ind w:left="371" w:right="0"/>
              <w:jc w:val="left"/>
              <w:rPr>
                <w:rFonts w:ascii="黑体" w:hAnsi="黑体" w:cs="黑体" w:eastAsia="黑体" w:hint="default"/>
                <w:sz w:val="20"/>
                <w:szCs w:val="20"/>
              </w:rPr>
            </w:pPr>
            <w:r>
              <w:rPr>
                <w:rFonts w:ascii="黑体" w:hAnsi="黑体" w:cs="黑体" w:eastAsia="黑体" w:hint="default"/>
                <w:sz w:val="20"/>
                <w:szCs w:val="20"/>
              </w:rPr>
              <w:t>其中：库存现金</w:t>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11"/>
              <w:jc w:val="right"/>
              <w:rPr>
                <w:rFonts w:ascii="Arial" w:hAnsi="Arial" w:cs="Arial" w:eastAsia="Arial" w:hint="default"/>
                <w:sz w:val="20"/>
                <w:szCs w:val="20"/>
              </w:rPr>
            </w:pPr>
            <w:r>
              <w:rPr>
                <w:rFonts w:ascii="Arial"/>
                <w:spacing w:val="-1"/>
                <w:sz w:val="20"/>
              </w:rPr>
              <w:t>2,374,214</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1"/>
              <w:jc w:val="right"/>
              <w:rPr>
                <w:rFonts w:ascii="Arial" w:hAnsi="Arial" w:cs="Arial" w:eastAsia="Arial" w:hint="default"/>
                <w:sz w:val="20"/>
                <w:szCs w:val="20"/>
              </w:rPr>
            </w:pPr>
            <w:r>
              <w:rPr>
                <w:rFonts w:ascii="Arial"/>
                <w:spacing w:val="-1"/>
                <w:sz w:val="20"/>
              </w:rPr>
              <w:t>2,305,064</w:t>
            </w:r>
          </w:p>
        </w:tc>
      </w:tr>
      <w:tr>
        <w:trPr>
          <w:trHeight w:val="395" w:hRule="exact"/>
        </w:trPr>
        <w:tc>
          <w:tcPr>
            <w:tcW w:w="588" w:type="dxa"/>
            <w:tcBorders>
              <w:top w:val="nil" w:sz="6" w:space="0" w:color="auto"/>
              <w:left w:val="nil" w:sz="6" w:space="0" w:color="auto"/>
              <w:bottom w:val="nil" w:sz="6" w:space="0" w:color="auto"/>
              <w:right w:val="nil" w:sz="6" w:space="0" w:color="auto"/>
            </w:tcBorders>
          </w:tcPr>
          <w:p>
            <w:pPr/>
          </w:p>
        </w:tc>
        <w:tc>
          <w:tcPr>
            <w:tcW w:w="4150" w:type="dxa"/>
            <w:tcBorders>
              <w:top w:val="nil" w:sz="6" w:space="0" w:color="auto"/>
              <w:left w:val="nil" w:sz="6" w:space="0" w:color="auto"/>
              <w:bottom w:val="nil" w:sz="6" w:space="0" w:color="auto"/>
              <w:right w:val="nil" w:sz="6" w:space="0" w:color="auto"/>
            </w:tcBorders>
          </w:tcPr>
          <w:p>
            <w:pPr>
              <w:pStyle w:val="TableParagraph"/>
              <w:spacing w:line="226" w:lineRule="exact"/>
              <w:ind w:left="946" w:right="0"/>
              <w:jc w:val="left"/>
              <w:rPr>
                <w:rFonts w:ascii="黑体" w:hAnsi="黑体" w:cs="黑体" w:eastAsia="黑体" w:hint="default"/>
                <w:sz w:val="20"/>
                <w:szCs w:val="20"/>
              </w:rPr>
            </w:pPr>
            <w:r>
              <w:rPr>
                <w:rFonts w:ascii="黑体" w:hAnsi="黑体" w:cs="黑体" w:eastAsia="黑体" w:hint="default"/>
                <w:sz w:val="20"/>
                <w:szCs w:val="20"/>
              </w:rPr>
              <w:t>可随时用于支付的银行存款</w:t>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11"/>
              <w:jc w:val="right"/>
              <w:rPr>
                <w:rFonts w:ascii="Arial" w:hAnsi="Arial" w:cs="Arial" w:eastAsia="Arial" w:hint="default"/>
                <w:sz w:val="20"/>
                <w:szCs w:val="20"/>
              </w:rPr>
            </w:pPr>
            <w:r>
              <w:rPr>
                <w:rFonts w:ascii="Arial"/>
                <w:w w:val="100"/>
                <w:sz w:val="20"/>
              </w:rPr>
            </w:r>
            <w:r>
              <w:rPr>
                <w:rFonts w:ascii="Arial"/>
                <w:spacing w:val="-2"/>
                <w:sz w:val="20"/>
                <w:u w:val="thick" w:color="000000"/>
              </w:rPr>
              <w:t>1,613,109,214</w:t>
            </w:r>
            <w:r>
              <w:rPr>
                <w:rFonts w:ascii="Arial"/>
                <w:spacing w:val="-2"/>
                <w:sz w:val="20"/>
              </w:rPr>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51"/>
              <w:jc w:val="right"/>
              <w:rPr>
                <w:rFonts w:ascii="Arial" w:hAnsi="Arial" w:cs="Arial" w:eastAsia="Arial" w:hint="default"/>
                <w:sz w:val="20"/>
                <w:szCs w:val="20"/>
              </w:rPr>
            </w:pPr>
            <w:r>
              <w:rPr>
                <w:rFonts w:ascii="Arial"/>
                <w:w w:val="100"/>
                <w:sz w:val="20"/>
              </w:rPr>
            </w:r>
            <w:r>
              <w:rPr>
                <w:rFonts w:ascii="Arial"/>
                <w:spacing w:val="-2"/>
                <w:sz w:val="20"/>
                <w:u w:val="thick" w:color="000000"/>
              </w:rPr>
              <w:t>1,074,003,698</w:t>
            </w:r>
            <w:r>
              <w:rPr>
                <w:rFonts w:ascii="Arial"/>
                <w:spacing w:val="-2"/>
                <w:sz w:val="20"/>
              </w:rPr>
            </w:r>
          </w:p>
        </w:tc>
      </w:tr>
      <w:tr>
        <w:trPr>
          <w:trHeight w:val="380" w:hRule="exact"/>
        </w:trPr>
        <w:tc>
          <w:tcPr>
            <w:tcW w:w="588" w:type="dxa"/>
            <w:tcBorders>
              <w:top w:val="nil" w:sz="6" w:space="0" w:color="auto"/>
              <w:left w:val="nil" w:sz="6" w:space="0" w:color="auto"/>
              <w:bottom w:val="nil" w:sz="6" w:space="0" w:color="auto"/>
              <w:right w:val="nil" w:sz="6" w:space="0" w:color="auto"/>
            </w:tcBorders>
          </w:tcPr>
          <w:p>
            <w:pPr/>
          </w:p>
        </w:tc>
        <w:tc>
          <w:tcPr>
            <w:tcW w:w="4150" w:type="dxa"/>
            <w:tcBorders>
              <w:top w:val="nil" w:sz="6" w:space="0" w:color="auto"/>
              <w:left w:val="nil" w:sz="6" w:space="0" w:color="auto"/>
              <w:bottom w:val="nil" w:sz="6" w:space="0" w:color="auto"/>
              <w:right w:val="nil" w:sz="6" w:space="0" w:color="auto"/>
            </w:tcBorders>
          </w:tcPr>
          <w:p>
            <w:pPr>
              <w:pStyle w:val="TableParagraph"/>
              <w:spacing w:line="240" w:lineRule="auto" w:before="98"/>
              <w:ind w:left="152" w:right="0"/>
              <w:jc w:val="left"/>
              <w:rPr>
                <w:rFonts w:ascii="黑体" w:hAnsi="黑体" w:cs="黑体" w:eastAsia="黑体" w:hint="default"/>
                <w:sz w:val="20"/>
                <w:szCs w:val="20"/>
              </w:rPr>
            </w:pPr>
            <w:r>
              <w:rPr>
                <w:rFonts w:ascii="黑体" w:hAnsi="黑体" w:cs="黑体" w:eastAsia="黑体" w:hint="default"/>
                <w:sz w:val="20"/>
                <w:szCs w:val="20"/>
              </w:rPr>
              <w:t>年末现金及现金等价物余额</w:t>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211"/>
              <w:jc w:val="right"/>
              <w:rPr>
                <w:rFonts w:ascii="Arial" w:hAnsi="Arial" w:cs="Arial" w:eastAsia="Arial" w:hint="default"/>
                <w:sz w:val="20"/>
                <w:szCs w:val="20"/>
              </w:rPr>
            </w:pPr>
            <w:r>
              <w:rPr>
                <w:rFonts w:ascii="Arial"/>
                <w:spacing w:val="-1"/>
                <w:sz w:val="20"/>
              </w:rPr>
              <w:t>1,615,483,428</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50"/>
              <w:jc w:val="right"/>
              <w:rPr>
                <w:rFonts w:ascii="Arial" w:hAnsi="Arial" w:cs="Arial" w:eastAsia="Arial" w:hint="default"/>
                <w:sz w:val="20"/>
                <w:szCs w:val="20"/>
              </w:rPr>
            </w:pPr>
            <w:r>
              <w:rPr>
                <w:rFonts w:ascii="Arial"/>
                <w:spacing w:val="-1"/>
                <w:sz w:val="20"/>
              </w:rPr>
              <w:t>1,076,308,762</w:t>
            </w:r>
          </w:p>
        </w:tc>
      </w:tr>
    </w:tbl>
    <w:p>
      <w:pPr>
        <w:pStyle w:val="BodyText"/>
        <w:spacing w:line="239" w:lineRule="exact"/>
        <w:ind w:left="1065" w:right="0"/>
        <w:jc w:val="left"/>
      </w:pPr>
      <w:r>
        <w:rPr/>
        <w:t>其中：公司或集团内子公司使用受限制的</w:t>
      </w:r>
    </w:p>
    <w:p>
      <w:pPr>
        <w:pStyle w:val="BodyText"/>
        <w:tabs>
          <w:tab w:pos="5659" w:val="left" w:leader="none"/>
          <w:tab w:pos="6859" w:val="left" w:leader="none"/>
          <w:tab w:pos="7361" w:val="left" w:leader="none"/>
          <w:tab w:pos="8562" w:val="left" w:leader="none"/>
        </w:tabs>
        <w:spacing w:line="275" w:lineRule="exact"/>
        <w:ind w:left="1646" w:right="0"/>
        <w:jc w:val="left"/>
        <w:rPr>
          <w:rFonts w:ascii="Arial" w:hAnsi="Arial" w:cs="Arial" w:eastAsia="Arial" w:hint="default"/>
        </w:rPr>
      </w:pPr>
      <w:r>
        <w:rPr>
          <w:spacing w:val="-1"/>
        </w:rPr>
        <w:t>现金和现金等价物</w:t>
        <w:tab/>
      </w:r>
      <w:r>
        <w:rPr>
          <w:rFonts w:ascii="Arial" w:hAnsi="Arial" w:cs="Arial" w:eastAsia="Arial" w:hint="default"/>
          <w:spacing w:val="-1"/>
        </w:rPr>
      </w:r>
      <w:r>
        <w:rPr>
          <w:rFonts w:ascii="Arial" w:hAnsi="Arial" w:cs="Arial" w:eastAsia="Arial" w:hint="default"/>
          <w:spacing w:val="-1"/>
          <w:u w:val="thick" w:color="000000"/>
        </w:rPr>
        <w:t> </w:t>
        <w:tab/>
      </w:r>
      <w:r>
        <w:rPr>
          <w:rFonts w:ascii="Arial" w:hAnsi="Arial" w:cs="Arial" w:eastAsia="Arial" w:hint="default"/>
          <w:u w:val="thick" w:color="000000"/>
        </w:rPr>
        <w:t>-</w:t>
      </w:r>
      <w:r>
        <w:rPr>
          <w:rFonts w:ascii="Arial" w:hAnsi="Arial" w:cs="Arial" w:eastAsia="Arial" w:hint="default"/>
        </w:rPr>
        <w:tab/>
      </w:r>
      <w:r>
        <w:rPr>
          <w:rFonts w:ascii="Arial" w:hAnsi="Arial" w:cs="Arial" w:eastAsia="Arial" w:hint="default"/>
          <w:u w:val="thick" w:color="000000"/>
        </w:rPr>
        <w:t> </w:t>
        <w:tab/>
        <w:t>-</w:t>
      </w:r>
      <w:r>
        <w:rPr>
          <w:rFonts w:ascii="Arial" w:hAnsi="Arial" w:cs="Arial" w:eastAsia="Arial" w:hint="default"/>
        </w:rPr>
      </w:r>
    </w:p>
    <w:p>
      <w:pPr>
        <w:spacing w:after="0" w:line="275" w:lineRule="exact"/>
        <w:jc w:val="left"/>
        <w:rPr>
          <w:rFonts w:ascii="Arial" w:hAnsi="Arial" w:cs="Arial" w:eastAsia="Arial" w:hint="default"/>
        </w:rPr>
        <w:sectPr>
          <w:pgSz w:w="11910" w:h="16840"/>
          <w:pgMar w:header="828" w:footer="476" w:top="2420" w:bottom="660" w:left="1560" w:right="1540"/>
        </w:sect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5"/>
        <w:rPr>
          <w:rFonts w:ascii="Arial" w:hAnsi="Arial" w:cs="Arial" w:eastAsia="Arial" w:hint="default"/>
          <w:sz w:val="18"/>
          <w:szCs w:val="18"/>
        </w:rPr>
      </w:pPr>
    </w:p>
    <w:p>
      <w:pPr>
        <w:tabs>
          <w:tab w:pos="743" w:val="left" w:leader="none"/>
        </w:tabs>
        <w:spacing w:before="38"/>
        <w:ind w:left="141" w:right="0" w:firstLine="0"/>
        <w:jc w:val="left"/>
        <w:rPr>
          <w:rFonts w:ascii="黑体" w:hAnsi="黑体" w:cs="黑体" w:eastAsia="黑体" w:hint="default"/>
          <w:sz w:val="20"/>
          <w:szCs w:val="20"/>
        </w:rPr>
      </w:pPr>
      <w:r>
        <w:rPr>
          <w:rFonts w:ascii="黑体" w:hAnsi="黑体" w:cs="黑体" w:eastAsia="黑体" w:hint="default"/>
          <w:b/>
          <w:bCs/>
          <w:sz w:val="20"/>
          <w:szCs w:val="20"/>
        </w:rPr>
        <w:t>六、</w:t>
        <w:tab/>
        <w:t>关联方关系及其交易</w:t>
      </w:r>
      <w:r>
        <w:rPr>
          <w:rFonts w:ascii="黑体" w:hAnsi="黑体" w:cs="黑体" w:eastAsia="黑体" w:hint="default"/>
          <w:sz w:val="20"/>
          <w:szCs w:val="20"/>
        </w:rPr>
      </w:r>
    </w:p>
    <w:p>
      <w:pPr>
        <w:spacing w:line="240" w:lineRule="auto" w:before="5"/>
        <w:rPr>
          <w:rFonts w:ascii="黑体" w:hAnsi="黑体" w:cs="黑体" w:eastAsia="黑体" w:hint="default"/>
          <w:b/>
          <w:bCs/>
          <w:sz w:val="23"/>
          <w:szCs w:val="23"/>
        </w:rPr>
      </w:pPr>
    </w:p>
    <w:p>
      <w:pPr>
        <w:tabs>
          <w:tab w:pos="781" w:val="left" w:leader="none"/>
        </w:tabs>
        <w:spacing w:before="0"/>
        <w:ind w:left="141" w:right="0" w:firstLine="0"/>
        <w:jc w:val="left"/>
        <w:rPr>
          <w:rFonts w:ascii="黑体" w:hAnsi="黑体" w:cs="黑体" w:eastAsia="黑体" w:hint="default"/>
          <w:sz w:val="20"/>
          <w:szCs w:val="20"/>
        </w:rPr>
      </w:pPr>
      <w:r>
        <w:rPr>
          <w:rFonts w:ascii="Arial" w:hAnsi="Arial" w:cs="Arial" w:eastAsia="Arial" w:hint="default"/>
          <w:b/>
          <w:bCs/>
          <w:spacing w:val="-1"/>
          <w:sz w:val="20"/>
          <w:szCs w:val="20"/>
        </w:rPr>
        <w:t>1.</w:t>
        <w:tab/>
      </w:r>
      <w:r>
        <w:rPr>
          <w:rFonts w:ascii="黑体" w:hAnsi="黑体" w:cs="黑体" w:eastAsia="黑体" w:hint="default"/>
          <w:b/>
          <w:bCs/>
          <w:spacing w:val="1"/>
          <w:sz w:val="20"/>
          <w:szCs w:val="20"/>
        </w:rPr>
        <w:t>母公司</w:t>
      </w:r>
      <w:r>
        <w:rPr>
          <w:rFonts w:ascii="黑体" w:hAnsi="黑体" w:cs="黑体" w:eastAsia="黑体" w:hint="default"/>
          <w:sz w:val="20"/>
          <w:szCs w:val="20"/>
        </w:rPr>
      </w:r>
    </w:p>
    <w:p>
      <w:pPr>
        <w:spacing w:line="240" w:lineRule="auto" w:before="10"/>
        <w:rPr>
          <w:rFonts w:ascii="黑体" w:hAnsi="黑体" w:cs="黑体" w:eastAsia="黑体" w:hint="default"/>
          <w:b/>
          <w:bCs/>
          <w:sz w:val="21"/>
          <w:szCs w:val="21"/>
        </w:rPr>
      </w:pPr>
    </w:p>
    <w:p>
      <w:pPr>
        <w:tabs>
          <w:tab w:pos="2828" w:val="left" w:leader="none"/>
          <w:tab w:pos="4768" w:val="left" w:leader="none"/>
          <w:tab w:pos="6308" w:val="left" w:leader="none"/>
          <w:tab w:pos="7156" w:val="left" w:leader="none"/>
          <w:tab w:pos="9000" w:val="left" w:leader="none"/>
        </w:tabs>
        <w:spacing w:before="50"/>
        <w:ind w:left="843" w:right="0" w:firstLine="0"/>
        <w:jc w:val="left"/>
        <w:rPr>
          <w:rFonts w:ascii="黑体" w:hAnsi="黑体" w:cs="黑体" w:eastAsia="黑体" w:hint="default"/>
          <w:sz w:val="16"/>
          <w:szCs w:val="16"/>
        </w:rPr>
      </w:pPr>
      <w:r>
        <w:rPr>
          <w:rFonts w:ascii="黑体" w:hAnsi="黑体" w:cs="黑体" w:eastAsia="黑体" w:hint="default"/>
          <w:sz w:val="16"/>
          <w:szCs w:val="16"/>
        </w:rPr>
        <w:t>母公司名称</w:t>
      </w:r>
      <w:r>
        <w:rPr>
          <w:rFonts w:ascii="黑体" w:hAnsi="黑体" w:cs="黑体" w:eastAsia="黑体" w:hint="default"/>
          <w:spacing w:val="57"/>
          <w:sz w:val="16"/>
          <w:szCs w:val="16"/>
        </w:rPr>
        <w:t> </w:t>
      </w:r>
      <w:r>
        <w:rPr>
          <w:rFonts w:ascii="黑体" w:hAnsi="黑体" w:cs="黑体" w:eastAsia="黑体" w:hint="default"/>
          <w:sz w:val="16"/>
          <w:szCs w:val="16"/>
        </w:rPr>
        <w:t>企业类型</w:t>
        <w:tab/>
        <w:t>注册地</w:t>
      </w:r>
      <w:r>
        <w:rPr>
          <w:rFonts w:ascii="黑体" w:hAnsi="黑体" w:cs="黑体" w:eastAsia="黑体" w:hint="default"/>
          <w:spacing w:val="5"/>
          <w:sz w:val="16"/>
          <w:szCs w:val="16"/>
        </w:rPr>
        <w:t> </w:t>
      </w:r>
      <w:r>
        <w:rPr>
          <w:rFonts w:ascii="黑体" w:hAnsi="黑体" w:cs="黑体" w:eastAsia="黑体" w:hint="default"/>
          <w:sz w:val="16"/>
          <w:szCs w:val="16"/>
        </w:rPr>
        <w:t>法人代表</w:t>
        <w:tab/>
      </w:r>
      <w:r>
        <w:rPr>
          <w:rFonts w:ascii="黑体" w:hAnsi="黑体" w:cs="黑体" w:eastAsia="黑体" w:hint="default"/>
          <w:w w:val="95"/>
          <w:sz w:val="16"/>
          <w:szCs w:val="16"/>
        </w:rPr>
        <w:t>业务性质</w:t>
        <w:tab/>
        <w:t>注册资本</w:t>
        <w:tab/>
      </w:r>
      <w:r>
        <w:rPr>
          <w:rFonts w:ascii="黑体" w:hAnsi="黑体" w:cs="黑体" w:eastAsia="黑体" w:hint="default"/>
          <w:sz w:val="16"/>
          <w:szCs w:val="16"/>
        </w:rPr>
        <w:t>对本公司</w:t>
      </w:r>
      <w:r>
        <w:rPr>
          <w:rFonts w:ascii="黑体" w:hAnsi="黑体" w:cs="黑体" w:eastAsia="黑体" w:hint="default"/>
          <w:spacing w:val="-32"/>
          <w:sz w:val="16"/>
          <w:szCs w:val="16"/>
        </w:rPr>
        <w:t> </w:t>
      </w:r>
      <w:r>
        <w:rPr>
          <w:rFonts w:ascii="黑体" w:hAnsi="黑体" w:cs="黑体" w:eastAsia="黑体" w:hint="default"/>
          <w:sz w:val="16"/>
          <w:szCs w:val="16"/>
        </w:rPr>
        <w:t>对本公司表</w:t>
        <w:tab/>
        <w:t>组织机构</w:t>
      </w:r>
    </w:p>
    <w:p>
      <w:pPr>
        <w:tabs>
          <w:tab w:pos="850" w:val="left" w:leader="none"/>
          <w:tab w:pos="2162" w:val="left" w:leader="none"/>
        </w:tabs>
        <w:spacing w:before="70"/>
        <w:ind w:left="0" w:right="103" w:firstLine="0"/>
        <w:jc w:val="right"/>
        <w:rPr>
          <w:rFonts w:ascii="黑体" w:hAnsi="黑体" w:cs="黑体" w:eastAsia="黑体" w:hint="default"/>
          <w:sz w:val="16"/>
          <w:szCs w:val="16"/>
        </w:rPr>
      </w:pPr>
      <w:r>
        <w:rPr>
          <w:rFonts w:ascii="黑体" w:hAnsi="黑体" w:cs="黑体" w:eastAsia="黑体" w:hint="default"/>
          <w:w w:val="95"/>
          <w:sz w:val="16"/>
          <w:szCs w:val="16"/>
        </w:rPr>
        <w:t>持股比例</w:t>
        <w:tab/>
        <w:t>决权比例</w:t>
        <w:tab/>
        <w:t>代码</w:t>
      </w:r>
      <w:r>
        <w:rPr>
          <w:rFonts w:ascii="黑体" w:hAnsi="黑体" w:cs="黑体" w:eastAsia="黑体" w:hint="default"/>
          <w:sz w:val="16"/>
          <w:szCs w:val="16"/>
        </w:rPr>
      </w:r>
    </w:p>
    <w:p>
      <w:pPr>
        <w:tabs>
          <w:tab w:pos="1783" w:val="left" w:leader="none"/>
          <w:tab w:pos="3396" w:val="left" w:leader="none"/>
          <w:tab w:pos="4110" w:val="left" w:leader="none"/>
          <w:tab w:pos="7164" w:val="left" w:leader="none"/>
          <w:tab w:pos="8015" w:val="left" w:leader="none"/>
        </w:tabs>
        <w:spacing w:before="71"/>
        <w:ind w:left="843" w:right="0" w:firstLine="0"/>
        <w:jc w:val="left"/>
        <w:rPr>
          <w:rFonts w:ascii="Arial" w:hAnsi="Arial" w:cs="Arial" w:eastAsia="Arial" w:hint="default"/>
          <w:sz w:val="16"/>
          <w:szCs w:val="16"/>
        </w:rPr>
      </w:pPr>
      <w:r>
        <w:rPr>
          <w:rFonts w:ascii="黑体" w:hAnsi="黑体" w:cs="黑体" w:eastAsia="黑体" w:hint="default"/>
          <w:w w:val="95"/>
          <w:sz w:val="16"/>
          <w:szCs w:val="16"/>
        </w:rPr>
        <w:t>用友科技</w:t>
        <w:tab/>
      </w:r>
      <w:r>
        <w:rPr>
          <w:rFonts w:ascii="黑体" w:hAnsi="黑体" w:cs="黑体" w:eastAsia="黑体" w:hint="default"/>
          <w:sz w:val="16"/>
          <w:szCs w:val="16"/>
        </w:rPr>
        <w:t>有限责任公司</w:t>
      </w:r>
      <w:r>
        <w:rPr>
          <w:rFonts w:ascii="黑体" w:hAnsi="黑体" w:cs="黑体" w:eastAsia="黑体" w:hint="default"/>
          <w:spacing w:val="3"/>
          <w:sz w:val="16"/>
          <w:szCs w:val="16"/>
        </w:rPr>
        <w:t> </w:t>
      </w:r>
      <w:r>
        <w:rPr>
          <w:rFonts w:ascii="黑体" w:hAnsi="黑体" w:cs="黑体" w:eastAsia="黑体" w:hint="default"/>
          <w:sz w:val="16"/>
          <w:szCs w:val="16"/>
        </w:rPr>
        <w:t>北京</w:t>
        <w:tab/>
      </w:r>
      <w:r>
        <w:rPr>
          <w:rFonts w:ascii="黑体" w:hAnsi="黑体" w:cs="黑体" w:eastAsia="黑体" w:hint="default"/>
          <w:w w:val="95"/>
          <w:sz w:val="16"/>
          <w:szCs w:val="16"/>
        </w:rPr>
        <w:t>王文京</w:t>
        <w:tab/>
      </w:r>
      <w:r>
        <w:rPr>
          <w:rFonts w:ascii="黑体" w:hAnsi="黑体" w:cs="黑体" w:eastAsia="黑体" w:hint="default"/>
          <w:spacing w:val="5"/>
          <w:sz w:val="16"/>
          <w:szCs w:val="16"/>
        </w:rPr>
        <w:t>技术开发、技术转让、技术</w:t>
      </w:r>
      <w:r>
        <w:rPr>
          <w:rFonts w:ascii="黑体" w:hAnsi="黑体" w:cs="黑体" w:eastAsia="黑体" w:hint="default"/>
          <w:spacing w:val="-27"/>
          <w:sz w:val="16"/>
          <w:szCs w:val="16"/>
        </w:rPr>
        <w:t> </w:t>
      </w:r>
      <w:r>
        <w:rPr>
          <w:rFonts w:ascii="Arial" w:hAnsi="Arial" w:cs="Arial" w:eastAsia="Arial" w:hint="default"/>
          <w:sz w:val="16"/>
          <w:szCs w:val="16"/>
        </w:rPr>
        <w:t>85,000,000</w:t>
        <w:tab/>
      </w:r>
      <w:r>
        <w:rPr>
          <w:rFonts w:ascii="Arial" w:hAnsi="Arial" w:cs="Arial" w:eastAsia="Arial" w:hint="default"/>
          <w:w w:val="95"/>
          <w:sz w:val="16"/>
          <w:szCs w:val="16"/>
        </w:rPr>
        <w:t>29.070%</w:t>
        <w:tab/>
      </w:r>
      <w:r>
        <w:rPr>
          <w:rFonts w:ascii="Arial" w:hAnsi="Arial" w:cs="Arial" w:eastAsia="Arial" w:hint="default"/>
          <w:sz w:val="16"/>
          <w:szCs w:val="16"/>
        </w:rPr>
        <w:t>29.070%  </w:t>
      </w:r>
      <w:r>
        <w:rPr>
          <w:rFonts w:ascii="Arial" w:hAnsi="Arial" w:cs="Arial" w:eastAsia="Arial" w:hint="default"/>
          <w:spacing w:val="1"/>
          <w:sz w:val="16"/>
          <w:szCs w:val="16"/>
        </w:rPr>
        <w:t> </w:t>
      </w:r>
      <w:r>
        <w:rPr>
          <w:rFonts w:ascii="Arial" w:hAnsi="Arial" w:cs="Arial" w:eastAsia="Arial" w:hint="default"/>
          <w:sz w:val="16"/>
          <w:szCs w:val="16"/>
        </w:rPr>
        <w:t>70022107-4</w:t>
      </w:r>
    </w:p>
    <w:p>
      <w:pPr>
        <w:spacing w:line="321" w:lineRule="auto" w:before="59"/>
        <w:ind w:left="4110" w:right="3560" w:firstLine="0"/>
        <w:jc w:val="left"/>
        <w:rPr>
          <w:rFonts w:ascii="黑体" w:hAnsi="黑体" w:cs="黑体" w:eastAsia="黑体" w:hint="default"/>
          <w:sz w:val="16"/>
          <w:szCs w:val="16"/>
        </w:rPr>
      </w:pPr>
      <w:r>
        <w:rPr>
          <w:rFonts w:ascii="黑体" w:hAnsi="黑体" w:cs="黑体" w:eastAsia="黑体" w:hint="default"/>
          <w:spacing w:val="-2"/>
          <w:sz w:val="16"/>
          <w:szCs w:val="16"/>
        </w:rPr>
        <w:t>咨询、技术服务、技术培训；</w:t>
      </w:r>
      <w:r>
        <w:rPr>
          <w:rFonts w:ascii="黑体" w:hAnsi="黑体" w:cs="黑体" w:eastAsia="黑体" w:hint="default"/>
          <w:spacing w:val="-77"/>
          <w:sz w:val="16"/>
          <w:szCs w:val="16"/>
        </w:rPr>
        <w:t> </w:t>
      </w:r>
      <w:r>
        <w:rPr>
          <w:rFonts w:ascii="黑体" w:hAnsi="黑体" w:cs="黑体" w:eastAsia="黑体" w:hint="default"/>
          <w:spacing w:val="-77"/>
          <w:sz w:val="16"/>
          <w:szCs w:val="16"/>
        </w:rPr>
      </w:r>
      <w:r>
        <w:rPr>
          <w:rFonts w:ascii="黑体" w:hAnsi="黑体" w:cs="黑体" w:eastAsia="黑体" w:hint="default"/>
          <w:spacing w:val="5"/>
          <w:sz w:val="16"/>
          <w:szCs w:val="16"/>
        </w:rPr>
        <w:t>企业管理咨询；信息咨询；</w:t>
      </w:r>
      <w:r>
        <w:rPr>
          <w:rFonts w:ascii="黑体" w:hAnsi="黑体" w:cs="黑体" w:eastAsia="黑体" w:hint="default"/>
          <w:spacing w:val="-77"/>
          <w:sz w:val="16"/>
          <w:szCs w:val="16"/>
        </w:rPr>
        <w:t> </w:t>
      </w:r>
      <w:r>
        <w:rPr>
          <w:rFonts w:ascii="黑体" w:hAnsi="黑体" w:cs="黑体" w:eastAsia="黑体" w:hint="default"/>
          <w:spacing w:val="-77"/>
          <w:sz w:val="16"/>
          <w:szCs w:val="16"/>
        </w:rPr>
      </w:r>
      <w:r>
        <w:rPr>
          <w:rFonts w:ascii="黑体" w:hAnsi="黑体" w:cs="黑体" w:eastAsia="黑体" w:hint="default"/>
          <w:sz w:val="16"/>
          <w:szCs w:val="16"/>
        </w:rPr>
        <w:t>高科技项目投资管理</w:t>
      </w:r>
    </w:p>
    <w:p>
      <w:pPr>
        <w:spacing w:after="0" w:line="321" w:lineRule="auto"/>
        <w:jc w:val="left"/>
        <w:rPr>
          <w:rFonts w:ascii="黑体" w:hAnsi="黑体" w:cs="黑体" w:eastAsia="黑体" w:hint="default"/>
          <w:sz w:val="16"/>
          <w:szCs w:val="16"/>
        </w:rPr>
        <w:sectPr>
          <w:pgSz w:w="11910" w:h="16840"/>
          <w:pgMar w:header="828" w:footer="476" w:top="2420" w:bottom="660" w:left="1560" w:right="600"/>
        </w:sectPr>
      </w:pPr>
    </w:p>
    <w:p>
      <w:pPr>
        <w:spacing w:line="321" w:lineRule="auto" w:before="16"/>
        <w:ind w:left="958" w:right="-20" w:hanging="116"/>
        <w:jc w:val="left"/>
        <w:rPr>
          <w:rFonts w:ascii="黑体" w:hAnsi="黑体" w:cs="黑体" w:eastAsia="黑体" w:hint="default"/>
          <w:sz w:val="16"/>
          <w:szCs w:val="16"/>
        </w:rPr>
      </w:pPr>
      <w:r>
        <w:rPr>
          <w:rFonts w:ascii="黑体" w:hAnsi="黑体" w:cs="黑体" w:eastAsia="黑体" w:hint="default"/>
          <w:sz w:val="16"/>
          <w:szCs w:val="16"/>
        </w:rPr>
        <w:t>上海用友科</w:t>
      </w:r>
      <w:r>
        <w:rPr>
          <w:rFonts w:ascii="黑体" w:hAnsi="黑体" w:cs="黑体" w:eastAsia="黑体" w:hint="default"/>
          <w:w w:val="99"/>
          <w:sz w:val="16"/>
          <w:szCs w:val="16"/>
        </w:rPr>
        <w:t> </w:t>
      </w:r>
      <w:r>
        <w:rPr>
          <w:rFonts w:ascii="黑体" w:hAnsi="黑体" w:cs="黑体" w:eastAsia="黑体" w:hint="default"/>
          <w:sz w:val="16"/>
          <w:szCs w:val="16"/>
        </w:rPr>
        <w:t>技咨询</w:t>
      </w:r>
    </w:p>
    <w:p>
      <w:pPr>
        <w:tabs>
          <w:tab w:pos="1713" w:val="left" w:leader="none"/>
          <w:tab w:pos="2427" w:val="left" w:leader="none"/>
          <w:tab w:pos="5482" w:val="left" w:leader="none"/>
          <w:tab w:pos="6332" w:val="left" w:leader="none"/>
        </w:tabs>
        <w:spacing w:before="16"/>
        <w:ind w:left="100" w:right="0" w:firstLine="0"/>
        <w:jc w:val="left"/>
        <w:rPr>
          <w:rFonts w:ascii="Arial" w:hAnsi="Arial" w:cs="Arial" w:eastAsia="Arial" w:hint="default"/>
          <w:sz w:val="16"/>
          <w:szCs w:val="16"/>
        </w:rPr>
      </w:pPr>
      <w:r>
        <w:rPr/>
        <w:br w:type="column"/>
      </w:r>
      <w:r>
        <w:rPr>
          <w:rFonts w:ascii="黑体" w:hAnsi="黑体" w:cs="黑体" w:eastAsia="黑体" w:hint="default"/>
          <w:sz w:val="16"/>
          <w:szCs w:val="16"/>
        </w:rPr>
        <w:t>有限责任公司</w:t>
      </w:r>
      <w:r>
        <w:rPr>
          <w:rFonts w:ascii="黑体" w:hAnsi="黑体" w:cs="黑体" w:eastAsia="黑体" w:hint="default"/>
          <w:spacing w:val="3"/>
          <w:sz w:val="16"/>
          <w:szCs w:val="16"/>
        </w:rPr>
        <w:t> </w:t>
      </w:r>
      <w:r>
        <w:rPr>
          <w:rFonts w:ascii="黑体" w:hAnsi="黑体" w:cs="黑体" w:eastAsia="黑体" w:hint="default"/>
          <w:sz w:val="16"/>
          <w:szCs w:val="16"/>
        </w:rPr>
        <w:t>上海</w:t>
        <w:tab/>
      </w:r>
      <w:r>
        <w:rPr>
          <w:rFonts w:ascii="黑体" w:hAnsi="黑体" w:cs="黑体" w:eastAsia="黑体" w:hint="default"/>
          <w:w w:val="95"/>
          <w:sz w:val="16"/>
          <w:szCs w:val="16"/>
        </w:rPr>
        <w:t>王文京</w:t>
        <w:tab/>
      </w:r>
      <w:r>
        <w:rPr>
          <w:rFonts w:ascii="黑体" w:hAnsi="黑体" w:cs="黑体" w:eastAsia="黑体" w:hint="default"/>
          <w:spacing w:val="5"/>
          <w:sz w:val="16"/>
          <w:szCs w:val="16"/>
        </w:rPr>
        <w:t>计算机软硬件的技术开发、</w:t>
      </w:r>
      <w:r>
        <w:rPr>
          <w:rFonts w:ascii="黑体" w:hAnsi="黑体" w:cs="黑体" w:eastAsia="黑体" w:hint="default"/>
          <w:spacing w:val="-27"/>
          <w:sz w:val="16"/>
          <w:szCs w:val="16"/>
        </w:rPr>
        <w:t> </w:t>
      </w:r>
      <w:r>
        <w:rPr>
          <w:rFonts w:ascii="Arial" w:hAnsi="Arial" w:cs="Arial" w:eastAsia="Arial" w:hint="default"/>
          <w:sz w:val="16"/>
          <w:szCs w:val="16"/>
        </w:rPr>
        <w:t>25,000,000</w:t>
        <w:tab/>
      </w:r>
      <w:r>
        <w:rPr>
          <w:rFonts w:ascii="Arial" w:hAnsi="Arial" w:cs="Arial" w:eastAsia="Arial" w:hint="default"/>
          <w:w w:val="95"/>
          <w:sz w:val="16"/>
          <w:szCs w:val="16"/>
        </w:rPr>
        <w:t>13.446%</w:t>
        <w:tab/>
      </w:r>
      <w:r>
        <w:rPr>
          <w:rFonts w:ascii="Arial" w:hAnsi="Arial" w:cs="Arial" w:eastAsia="Arial" w:hint="default"/>
          <w:sz w:val="16"/>
          <w:szCs w:val="16"/>
        </w:rPr>
        <w:t>13.446%  </w:t>
      </w:r>
      <w:r>
        <w:rPr>
          <w:rFonts w:ascii="Arial" w:hAnsi="Arial" w:cs="Arial" w:eastAsia="Arial" w:hint="default"/>
          <w:spacing w:val="1"/>
          <w:sz w:val="16"/>
          <w:szCs w:val="16"/>
        </w:rPr>
        <w:t> </w:t>
      </w:r>
      <w:r>
        <w:rPr>
          <w:rFonts w:ascii="Arial" w:hAnsi="Arial" w:cs="Arial" w:eastAsia="Arial" w:hint="default"/>
          <w:sz w:val="16"/>
          <w:szCs w:val="16"/>
        </w:rPr>
        <w:t>60772100-7</w:t>
      </w:r>
    </w:p>
    <w:p>
      <w:pPr>
        <w:spacing w:line="321" w:lineRule="auto" w:before="59"/>
        <w:ind w:left="2427" w:right="3647" w:firstLine="0"/>
        <w:jc w:val="both"/>
        <w:rPr>
          <w:rFonts w:ascii="黑体" w:hAnsi="黑体" w:cs="黑体" w:eastAsia="黑体" w:hint="default"/>
          <w:sz w:val="16"/>
          <w:szCs w:val="16"/>
        </w:rPr>
      </w:pPr>
      <w:r>
        <w:rPr>
          <w:rFonts w:ascii="黑体" w:hAnsi="黑体" w:cs="黑体" w:eastAsia="黑体" w:hint="default"/>
          <w:spacing w:val="5"/>
          <w:sz w:val="16"/>
          <w:szCs w:val="16"/>
        </w:rPr>
        <w:t>技术转让、技术咨询、技术</w:t>
      </w:r>
      <w:r>
        <w:rPr>
          <w:rFonts w:ascii="黑体" w:hAnsi="黑体" w:cs="黑体" w:eastAsia="黑体" w:hint="default"/>
          <w:spacing w:val="-77"/>
          <w:sz w:val="16"/>
          <w:szCs w:val="16"/>
        </w:rPr>
        <w:t> </w:t>
      </w:r>
      <w:r>
        <w:rPr>
          <w:rFonts w:ascii="黑体" w:hAnsi="黑体" w:cs="黑体" w:eastAsia="黑体" w:hint="default"/>
          <w:spacing w:val="-77"/>
          <w:sz w:val="16"/>
          <w:szCs w:val="16"/>
        </w:rPr>
      </w:r>
      <w:r>
        <w:rPr>
          <w:rFonts w:ascii="黑体" w:hAnsi="黑体" w:cs="黑体" w:eastAsia="黑体" w:hint="default"/>
          <w:spacing w:val="5"/>
          <w:sz w:val="16"/>
          <w:szCs w:val="16"/>
        </w:rPr>
        <w:t>服务，企业管理咨询，投资</w:t>
      </w:r>
      <w:r>
        <w:rPr>
          <w:rFonts w:ascii="黑体" w:hAnsi="黑体" w:cs="黑体" w:eastAsia="黑体" w:hint="default"/>
          <w:spacing w:val="-77"/>
          <w:sz w:val="16"/>
          <w:szCs w:val="16"/>
        </w:rPr>
        <w:t> </w:t>
      </w:r>
      <w:r>
        <w:rPr>
          <w:rFonts w:ascii="黑体" w:hAnsi="黑体" w:cs="黑体" w:eastAsia="黑体" w:hint="default"/>
          <w:spacing w:val="-77"/>
          <w:sz w:val="16"/>
          <w:szCs w:val="16"/>
        </w:rPr>
      </w:r>
      <w:r>
        <w:rPr>
          <w:rFonts w:ascii="黑体" w:hAnsi="黑体" w:cs="黑体" w:eastAsia="黑体" w:hint="default"/>
          <w:spacing w:val="5"/>
          <w:sz w:val="16"/>
          <w:szCs w:val="16"/>
        </w:rPr>
        <w:t>管理、实业投资，计算机软</w:t>
      </w:r>
      <w:r>
        <w:rPr>
          <w:rFonts w:ascii="黑体" w:hAnsi="黑体" w:cs="黑体" w:eastAsia="黑体" w:hint="default"/>
          <w:spacing w:val="-77"/>
          <w:sz w:val="16"/>
          <w:szCs w:val="16"/>
        </w:rPr>
        <w:t> </w:t>
      </w:r>
      <w:r>
        <w:rPr>
          <w:rFonts w:ascii="黑体" w:hAnsi="黑体" w:cs="黑体" w:eastAsia="黑体" w:hint="default"/>
          <w:spacing w:val="-77"/>
          <w:sz w:val="16"/>
          <w:szCs w:val="16"/>
        </w:rPr>
      </w:r>
      <w:r>
        <w:rPr>
          <w:rFonts w:ascii="黑体" w:hAnsi="黑体" w:cs="黑体" w:eastAsia="黑体" w:hint="default"/>
          <w:sz w:val="16"/>
          <w:szCs w:val="16"/>
        </w:rPr>
        <w:t>硬件的销售</w:t>
      </w:r>
    </w:p>
    <w:p>
      <w:pPr>
        <w:spacing w:after="0" w:line="321" w:lineRule="auto"/>
        <w:jc w:val="both"/>
        <w:rPr>
          <w:rFonts w:ascii="黑体" w:hAnsi="黑体" w:cs="黑体" w:eastAsia="黑体" w:hint="default"/>
          <w:sz w:val="16"/>
          <w:szCs w:val="16"/>
        </w:rPr>
        <w:sectPr>
          <w:type w:val="continuous"/>
          <w:pgSz w:w="11910" w:h="16840"/>
          <w:pgMar w:top="900" w:bottom="280" w:left="1560" w:right="600"/>
          <w:cols w:num="2" w:equalWidth="0">
            <w:col w:w="1643" w:space="40"/>
            <w:col w:w="8067"/>
          </w:cols>
        </w:sectPr>
      </w:pPr>
    </w:p>
    <w:p>
      <w:pPr>
        <w:tabs>
          <w:tab w:pos="3396" w:val="left" w:leader="none"/>
          <w:tab w:pos="4110" w:val="left" w:leader="none"/>
          <w:tab w:pos="7254" w:val="left" w:leader="none"/>
          <w:tab w:pos="8104" w:val="left" w:leader="none"/>
        </w:tabs>
        <w:spacing w:before="17"/>
        <w:ind w:left="843" w:right="0" w:firstLine="0"/>
        <w:jc w:val="left"/>
        <w:rPr>
          <w:rFonts w:ascii="Arial" w:hAnsi="Arial" w:cs="Arial" w:eastAsia="Arial" w:hint="default"/>
          <w:sz w:val="16"/>
          <w:szCs w:val="16"/>
        </w:rPr>
      </w:pPr>
      <w:r>
        <w:rPr>
          <w:rFonts w:ascii="黑体" w:hAnsi="黑体" w:cs="黑体" w:eastAsia="黑体" w:hint="default"/>
          <w:sz w:val="16"/>
          <w:szCs w:val="16"/>
        </w:rPr>
        <w:t>用友研究所  有限责任公司</w:t>
      </w:r>
      <w:r>
        <w:rPr>
          <w:rFonts w:ascii="黑体" w:hAnsi="黑体" w:cs="黑体" w:eastAsia="黑体" w:hint="default"/>
          <w:spacing w:val="-18"/>
          <w:sz w:val="16"/>
          <w:szCs w:val="16"/>
        </w:rPr>
        <w:t> </w:t>
      </w:r>
      <w:r>
        <w:rPr>
          <w:rFonts w:ascii="黑体" w:hAnsi="黑体" w:cs="黑体" w:eastAsia="黑体" w:hint="default"/>
          <w:sz w:val="16"/>
          <w:szCs w:val="16"/>
        </w:rPr>
        <w:t>北京</w:t>
        <w:tab/>
      </w:r>
      <w:r>
        <w:rPr>
          <w:rFonts w:ascii="黑体" w:hAnsi="黑体" w:cs="黑体" w:eastAsia="黑体" w:hint="default"/>
          <w:w w:val="95"/>
          <w:sz w:val="16"/>
          <w:szCs w:val="16"/>
        </w:rPr>
        <w:t>王文京</w:t>
        <w:tab/>
      </w:r>
      <w:r>
        <w:rPr>
          <w:rFonts w:ascii="黑体" w:hAnsi="黑体" w:cs="黑体" w:eastAsia="黑体" w:hint="default"/>
          <w:spacing w:val="5"/>
          <w:sz w:val="16"/>
          <w:szCs w:val="16"/>
        </w:rPr>
        <w:t>技术开发、技术服务、技术</w:t>
      </w:r>
      <w:r>
        <w:rPr>
          <w:rFonts w:ascii="黑体" w:hAnsi="黑体" w:cs="黑体" w:eastAsia="黑体" w:hint="default"/>
          <w:spacing w:val="-27"/>
          <w:sz w:val="16"/>
          <w:szCs w:val="16"/>
        </w:rPr>
        <w:t> </w:t>
      </w:r>
      <w:r>
        <w:rPr>
          <w:rFonts w:ascii="Arial" w:hAnsi="Arial" w:cs="Arial" w:eastAsia="Arial" w:hint="default"/>
          <w:sz w:val="16"/>
          <w:szCs w:val="16"/>
        </w:rPr>
        <w:t>25,000,000</w:t>
        <w:tab/>
      </w:r>
      <w:r>
        <w:rPr>
          <w:rFonts w:ascii="Arial" w:hAnsi="Arial" w:cs="Arial" w:eastAsia="Arial" w:hint="default"/>
          <w:w w:val="95"/>
          <w:sz w:val="16"/>
          <w:szCs w:val="16"/>
        </w:rPr>
        <w:t>5.087%</w:t>
        <w:tab/>
      </w:r>
      <w:r>
        <w:rPr>
          <w:rFonts w:ascii="Arial" w:hAnsi="Arial" w:cs="Arial" w:eastAsia="Arial" w:hint="default"/>
          <w:sz w:val="16"/>
          <w:szCs w:val="16"/>
        </w:rPr>
        <w:t>5.087%  </w:t>
      </w:r>
      <w:r>
        <w:rPr>
          <w:rFonts w:ascii="Arial" w:hAnsi="Arial" w:cs="Arial" w:eastAsia="Arial" w:hint="default"/>
          <w:spacing w:val="2"/>
          <w:sz w:val="16"/>
          <w:szCs w:val="16"/>
        </w:rPr>
        <w:t> </w:t>
      </w:r>
      <w:r>
        <w:rPr>
          <w:rFonts w:ascii="Arial" w:hAnsi="Arial" w:cs="Arial" w:eastAsia="Arial" w:hint="default"/>
          <w:sz w:val="16"/>
          <w:szCs w:val="16"/>
        </w:rPr>
        <w:t>70003802-6</w:t>
      </w:r>
    </w:p>
    <w:p>
      <w:pPr>
        <w:spacing w:line="312" w:lineRule="auto" w:before="59"/>
        <w:ind w:left="4110" w:right="3647" w:firstLine="0"/>
        <w:jc w:val="both"/>
        <w:rPr>
          <w:rFonts w:ascii="Arial" w:hAnsi="Arial" w:cs="Arial" w:eastAsia="Arial" w:hint="default"/>
          <w:sz w:val="16"/>
          <w:szCs w:val="16"/>
        </w:rPr>
      </w:pPr>
      <w:r>
        <w:rPr>
          <w:rFonts w:ascii="黑体" w:hAnsi="黑体" w:cs="黑体" w:eastAsia="黑体" w:hint="default"/>
          <w:spacing w:val="5"/>
          <w:sz w:val="16"/>
          <w:szCs w:val="16"/>
        </w:rPr>
        <w:t>转让、企业管理咨询、会议</w:t>
      </w:r>
      <w:r>
        <w:rPr>
          <w:rFonts w:ascii="黑体" w:hAnsi="黑体" w:cs="黑体" w:eastAsia="黑体" w:hint="default"/>
          <w:spacing w:val="-77"/>
          <w:sz w:val="16"/>
          <w:szCs w:val="16"/>
        </w:rPr>
        <w:t> </w:t>
      </w:r>
      <w:r>
        <w:rPr>
          <w:rFonts w:ascii="黑体" w:hAnsi="黑体" w:cs="黑体" w:eastAsia="黑体" w:hint="default"/>
          <w:spacing w:val="-77"/>
          <w:sz w:val="16"/>
          <w:szCs w:val="16"/>
        </w:rPr>
      </w:r>
      <w:r>
        <w:rPr>
          <w:rFonts w:ascii="黑体" w:hAnsi="黑体" w:cs="黑体" w:eastAsia="黑体" w:hint="default"/>
          <w:spacing w:val="-11"/>
          <w:w w:val="99"/>
          <w:sz w:val="16"/>
          <w:szCs w:val="16"/>
        </w:rPr>
        <w:t>服务、展览展示、信息咨询</w:t>
      </w:r>
      <w:r>
        <w:rPr>
          <w:rFonts w:ascii="Arial" w:hAnsi="Arial" w:cs="Arial" w:eastAsia="Arial" w:hint="default"/>
          <w:spacing w:val="-11"/>
          <w:w w:val="99"/>
          <w:sz w:val="16"/>
          <w:szCs w:val="16"/>
        </w:rPr>
        <w:t>(</w:t>
      </w:r>
      <w:r>
        <w:rPr>
          <w:rFonts w:ascii="黑体" w:hAnsi="黑体" w:cs="黑体" w:eastAsia="黑体" w:hint="default"/>
          <w:spacing w:val="-11"/>
          <w:w w:val="99"/>
          <w:sz w:val="16"/>
          <w:szCs w:val="16"/>
        </w:rPr>
        <w:t>除</w:t>
      </w:r>
      <w:r>
        <w:rPr>
          <w:rFonts w:ascii="黑体" w:hAnsi="黑体" w:cs="黑体" w:eastAsia="黑体" w:hint="default"/>
          <w:spacing w:val="-78"/>
          <w:w w:val="99"/>
          <w:sz w:val="16"/>
          <w:szCs w:val="16"/>
        </w:rPr>
        <w:t> </w:t>
      </w:r>
      <w:r>
        <w:rPr>
          <w:rFonts w:ascii="黑体" w:hAnsi="黑体" w:cs="黑体" w:eastAsia="黑体" w:hint="default"/>
          <w:sz w:val="16"/>
          <w:szCs w:val="16"/>
        </w:rPr>
        <w:t>中介服务</w:t>
      </w:r>
      <w:r>
        <w:rPr>
          <w:rFonts w:ascii="Arial" w:hAnsi="Arial" w:cs="Arial" w:eastAsia="Arial" w:hint="default"/>
          <w:sz w:val="16"/>
          <w:szCs w:val="16"/>
        </w:rPr>
        <w:t>)</w:t>
      </w:r>
      <w:r>
        <w:rPr>
          <w:rFonts w:ascii="黑体" w:hAnsi="黑体" w:cs="黑体" w:eastAsia="黑体" w:hint="default"/>
          <w:sz w:val="16"/>
          <w:szCs w:val="16"/>
        </w:rPr>
        <w:t>、组织文化艺术交</w:t>
      </w:r>
      <w:r>
        <w:rPr>
          <w:rFonts w:ascii="黑体" w:hAnsi="黑体" w:cs="黑体" w:eastAsia="黑体" w:hint="default"/>
          <w:w w:val="99"/>
          <w:sz w:val="16"/>
          <w:szCs w:val="16"/>
        </w:rPr>
        <w:t> </w:t>
      </w:r>
      <w:r>
        <w:rPr>
          <w:rFonts w:ascii="黑体" w:hAnsi="黑体" w:cs="黑体" w:eastAsia="黑体" w:hint="default"/>
          <w:spacing w:val="5"/>
          <w:sz w:val="16"/>
          <w:szCs w:val="16"/>
        </w:rPr>
        <w:t>流活动、巿场调查、文化咨</w:t>
      </w:r>
      <w:r>
        <w:rPr>
          <w:rFonts w:ascii="黑体" w:hAnsi="黑体" w:cs="黑体" w:eastAsia="黑体" w:hint="default"/>
          <w:spacing w:val="-77"/>
          <w:sz w:val="16"/>
          <w:szCs w:val="16"/>
        </w:rPr>
        <w:t> </w:t>
      </w:r>
      <w:r>
        <w:rPr>
          <w:rFonts w:ascii="黑体" w:hAnsi="黑体" w:cs="黑体" w:eastAsia="黑体" w:hint="default"/>
          <w:spacing w:val="-77"/>
          <w:sz w:val="16"/>
          <w:szCs w:val="16"/>
        </w:rPr>
      </w:r>
      <w:r>
        <w:rPr>
          <w:rFonts w:ascii="黑体" w:hAnsi="黑体" w:cs="黑体" w:eastAsia="黑体" w:hint="default"/>
          <w:spacing w:val="5"/>
          <w:sz w:val="16"/>
          <w:szCs w:val="16"/>
        </w:rPr>
        <w:t>询；对高科技项目投资及投</w:t>
      </w:r>
      <w:r>
        <w:rPr>
          <w:rFonts w:ascii="黑体" w:hAnsi="黑体" w:cs="黑体" w:eastAsia="黑体" w:hint="default"/>
          <w:spacing w:val="-77"/>
          <w:sz w:val="16"/>
          <w:szCs w:val="16"/>
        </w:rPr>
        <w:t> </w:t>
      </w:r>
      <w:r>
        <w:rPr>
          <w:rFonts w:ascii="黑体" w:hAnsi="黑体" w:cs="黑体" w:eastAsia="黑体" w:hint="default"/>
          <w:spacing w:val="-77"/>
          <w:sz w:val="16"/>
          <w:szCs w:val="16"/>
        </w:rPr>
      </w:r>
      <w:r>
        <w:rPr>
          <w:rFonts w:ascii="黑体" w:hAnsi="黑体" w:cs="黑体" w:eastAsia="黑体" w:hint="default"/>
          <w:sz w:val="16"/>
          <w:szCs w:val="16"/>
        </w:rPr>
        <w:t>资管理</w:t>
      </w:r>
      <w:r>
        <w:rPr>
          <w:rFonts w:ascii="Arial" w:hAnsi="Arial" w:cs="Arial" w:eastAsia="Arial" w:hint="default"/>
          <w:sz w:val="16"/>
          <w:szCs w:val="16"/>
        </w:rPr>
        <w:t>(</w:t>
      </w:r>
      <w:r>
        <w:rPr>
          <w:rFonts w:ascii="黑体" w:hAnsi="黑体" w:cs="黑体" w:eastAsia="黑体" w:hint="default"/>
          <w:sz w:val="16"/>
          <w:szCs w:val="16"/>
        </w:rPr>
        <w:t>未取得专项许可的项</w:t>
      </w:r>
      <w:r>
        <w:rPr>
          <w:rFonts w:ascii="黑体" w:hAnsi="黑体" w:cs="黑体" w:eastAsia="黑体" w:hint="default"/>
          <w:w w:val="99"/>
          <w:sz w:val="16"/>
          <w:szCs w:val="16"/>
        </w:rPr>
        <w:t> </w:t>
      </w:r>
      <w:r>
        <w:rPr>
          <w:rFonts w:ascii="黑体" w:hAnsi="黑体" w:cs="黑体" w:eastAsia="黑体" w:hint="default"/>
          <w:sz w:val="16"/>
          <w:szCs w:val="16"/>
        </w:rPr>
        <w:t>目除外</w:t>
      </w:r>
      <w:r>
        <w:rPr>
          <w:rFonts w:ascii="Arial" w:hAnsi="Arial" w:cs="Arial" w:eastAsia="Arial" w:hint="default"/>
          <w:sz w:val="16"/>
          <w:szCs w:val="16"/>
        </w:rPr>
        <w:t>)</w:t>
      </w:r>
    </w:p>
    <w:p>
      <w:pPr>
        <w:spacing w:line="240" w:lineRule="auto" w:before="6"/>
        <w:rPr>
          <w:rFonts w:ascii="Arial" w:hAnsi="Arial" w:cs="Arial" w:eastAsia="Arial" w:hint="default"/>
          <w:sz w:val="18"/>
          <w:szCs w:val="18"/>
        </w:rPr>
      </w:pPr>
    </w:p>
    <w:p>
      <w:pPr>
        <w:pStyle w:val="BodyText"/>
        <w:spacing w:line="240" w:lineRule="auto" w:before="38"/>
        <w:ind w:left="855" w:right="0"/>
        <w:jc w:val="left"/>
      </w:pPr>
      <w:r>
        <w:rPr/>
        <w:t>本公司的最终控制方为用友科技。</w:t>
      </w:r>
    </w:p>
    <w:p>
      <w:pPr>
        <w:spacing w:line="240" w:lineRule="auto" w:before="8"/>
        <w:rPr>
          <w:rFonts w:ascii="黑体" w:hAnsi="黑体" w:cs="黑体" w:eastAsia="黑体" w:hint="default"/>
          <w:sz w:val="16"/>
          <w:szCs w:val="16"/>
        </w:rPr>
      </w:pPr>
    </w:p>
    <w:p>
      <w:pPr>
        <w:tabs>
          <w:tab w:pos="841" w:val="left" w:leader="none"/>
        </w:tabs>
        <w:spacing w:line="400" w:lineRule="auto" w:before="0"/>
        <w:ind w:left="855" w:right="4685" w:hanging="715"/>
        <w:jc w:val="left"/>
        <w:rPr>
          <w:rFonts w:ascii="黑体" w:hAnsi="黑体" w:cs="黑体" w:eastAsia="黑体" w:hint="default"/>
          <w:sz w:val="20"/>
          <w:szCs w:val="20"/>
        </w:rPr>
      </w:pPr>
      <w:r>
        <w:rPr>
          <w:rFonts w:ascii="Arial" w:hAnsi="Arial" w:cs="Arial" w:eastAsia="Arial" w:hint="default"/>
          <w:b/>
          <w:bCs/>
          <w:spacing w:val="-1"/>
          <w:sz w:val="20"/>
          <w:szCs w:val="20"/>
        </w:rPr>
        <w:t>2.</w:t>
        <w:tab/>
      </w:r>
      <w:r>
        <w:rPr>
          <w:rFonts w:ascii="黑体" w:hAnsi="黑体" w:cs="黑体" w:eastAsia="黑体" w:hint="default"/>
          <w:b/>
          <w:bCs/>
          <w:spacing w:val="1"/>
          <w:sz w:val="20"/>
          <w:szCs w:val="20"/>
        </w:rPr>
        <w:t>子公司</w:t>
      </w:r>
      <w:r>
        <w:rPr>
          <w:rFonts w:ascii="黑体" w:hAnsi="黑体" w:cs="黑体" w:eastAsia="黑体" w:hint="default"/>
          <w:b/>
          <w:bCs/>
          <w:spacing w:val="1"/>
          <w:w w:val="99"/>
          <w:sz w:val="20"/>
          <w:szCs w:val="20"/>
        </w:rPr>
        <w:t> </w:t>
      </w:r>
      <w:r>
        <w:rPr>
          <w:rFonts w:ascii="黑体" w:hAnsi="黑体" w:cs="黑体" w:eastAsia="黑体" w:hint="default"/>
          <w:spacing w:val="-1"/>
          <w:sz w:val="20"/>
          <w:szCs w:val="20"/>
        </w:rPr>
        <w:t>子公司详见附注四、合并财务报表的合并范围。</w:t>
      </w:r>
    </w:p>
    <w:p>
      <w:pPr>
        <w:spacing w:line="240" w:lineRule="auto" w:before="0"/>
        <w:rPr>
          <w:rFonts w:ascii="黑体" w:hAnsi="黑体" w:cs="黑体" w:eastAsia="黑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3999"/>
        <w:gridCol w:w="3080"/>
        <w:gridCol w:w="1487"/>
      </w:tblGrid>
      <w:tr>
        <w:trPr>
          <w:trHeight w:val="962" w:hRule="exact"/>
        </w:trPr>
        <w:tc>
          <w:tcPr>
            <w:tcW w:w="3999" w:type="dxa"/>
            <w:tcBorders>
              <w:top w:val="nil" w:sz="6" w:space="0" w:color="auto"/>
              <w:left w:val="nil" w:sz="6" w:space="0" w:color="auto"/>
              <w:bottom w:val="nil" w:sz="6" w:space="0" w:color="auto"/>
              <w:right w:val="nil" w:sz="6" w:space="0" w:color="auto"/>
            </w:tcBorders>
          </w:tcPr>
          <w:p>
            <w:pPr>
              <w:pStyle w:val="TableParagraph"/>
              <w:tabs>
                <w:tab w:pos="736" w:val="left" w:leader="none"/>
              </w:tabs>
              <w:spacing w:line="417" w:lineRule="auto" w:before="38"/>
              <w:ind w:left="749" w:right="26" w:hanging="715"/>
              <w:jc w:val="left"/>
              <w:rPr>
                <w:rFonts w:ascii="Arial" w:hAnsi="Arial" w:cs="Arial" w:eastAsia="Arial" w:hint="default"/>
                <w:sz w:val="20"/>
                <w:szCs w:val="20"/>
              </w:rPr>
            </w:pPr>
            <w:r>
              <w:rPr>
                <w:rFonts w:ascii="Arial" w:hAnsi="Arial" w:cs="Arial" w:eastAsia="Arial" w:hint="default"/>
                <w:b/>
                <w:bCs/>
                <w:spacing w:val="-1"/>
                <w:sz w:val="20"/>
                <w:szCs w:val="20"/>
              </w:rPr>
              <w:t>3.</w:t>
              <w:tab/>
            </w:r>
            <w:r>
              <w:rPr>
                <w:rFonts w:ascii="黑体" w:hAnsi="黑体" w:cs="黑体" w:eastAsia="黑体" w:hint="default"/>
                <w:b/>
                <w:bCs/>
                <w:sz w:val="20"/>
                <w:szCs w:val="20"/>
              </w:rPr>
              <w:t>合营企业和联营企业</w:t>
            </w:r>
            <w:r>
              <w:rPr>
                <w:rFonts w:ascii="黑体" w:hAnsi="黑体" w:cs="黑体" w:eastAsia="黑体" w:hint="default"/>
                <w:b/>
                <w:bCs/>
                <w:w w:val="99"/>
                <w:sz w:val="20"/>
                <w:szCs w:val="20"/>
              </w:rPr>
              <w:t> </w:t>
            </w:r>
            <w:r>
              <w:rPr>
                <w:rFonts w:ascii="黑体" w:hAnsi="黑体" w:cs="黑体" w:eastAsia="黑体" w:hint="default"/>
                <w:spacing w:val="-1"/>
                <w:sz w:val="20"/>
                <w:szCs w:val="20"/>
              </w:rPr>
              <w:t>合营企业和联营企业详见附注五、</w:t>
            </w:r>
            <w:r>
              <w:rPr>
                <w:rFonts w:ascii="Arial" w:hAnsi="Arial" w:cs="Arial" w:eastAsia="Arial" w:hint="default"/>
                <w:spacing w:val="-1"/>
                <w:sz w:val="20"/>
                <w:szCs w:val="20"/>
              </w:rPr>
              <w:t>10</w:t>
            </w:r>
            <w:r>
              <w:rPr>
                <w:rFonts w:ascii="Arial" w:hAnsi="Arial" w:cs="Arial" w:eastAsia="Arial" w:hint="default"/>
                <w:sz w:val="20"/>
                <w:szCs w:val="20"/>
              </w:rPr>
            </w:r>
          </w:p>
        </w:tc>
        <w:tc>
          <w:tcPr>
            <w:tcW w:w="4567" w:type="dxa"/>
            <w:gridSpan w:val="2"/>
            <w:vMerge w:val="restart"/>
            <w:tcBorders>
              <w:top w:val="nil" w:sz="6" w:space="0" w:color="auto"/>
              <w:left w:val="nil" w:sz="6" w:space="0" w:color="auto"/>
              <w:right w:val="nil" w:sz="6" w:space="0" w:color="auto"/>
            </w:tcBorders>
          </w:tcPr>
          <w:p>
            <w:pPr/>
          </w:p>
        </w:tc>
      </w:tr>
      <w:tr>
        <w:trPr>
          <w:trHeight w:val="514" w:hRule="exact"/>
        </w:trPr>
        <w:tc>
          <w:tcPr>
            <w:tcW w:w="3999" w:type="dxa"/>
            <w:tcBorders>
              <w:top w:val="nil" w:sz="6" w:space="0" w:color="auto"/>
              <w:left w:val="nil" w:sz="6" w:space="0" w:color="auto"/>
              <w:bottom w:val="nil" w:sz="6" w:space="0" w:color="auto"/>
              <w:right w:val="nil" w:sz="6" w:space="0" w:color="auto"/>
            </w:tcBorders>
          </w:tcPr>
          <w:p>
            <w:pPr>
              <w:pStyle w:val="TableParagraph"/>
              <w:tabs>
                <w:tab w:pos="736" w:val="left" w:leader="none"/>
              </w:tabs>
              <w:spacing w:line="240" w:lineRule="auto" w:before="112"/>
              <w:ind w:left="35" w:right="0"/>
              <w:jc w:val="left"/>
              <w:rPr>
                <w:rFonts w:ascii="黑体" w:hAnsi="黑体" w:cs="黑体" w:eastAsia="黑体" w:hint="default"/>
                <w:sz w:val="20"/>
                <w:szCs w:val="20"/>
              </w:rPr>
            </w:pPr>
            <w:r>
              <w:rPr>
                <w:rFonts w:ascii="Arial" w:hAnsi="Arial" w:cs="Arial" w:eastAsia="Arial" w:hint="default"/>
                <w:b/>
                <w:bCs/>
                <w:spacing w:val="-1"/>
                <w:sz w:val="20"/>
                <w:szCs w:val="20"/>
              </w:rPr>
              <w:t>4.</w:t>
              <w:tab/>
            </w:r>
            <w:r>
              <w:rPr>
                <w:rFonts w:ascii="黑体" w:hAnsi="黑体" w:cs="黑体" w:eastAsia="黑体" w:hint="default"/>
                <w:b/>
                <w:bCs/>
                <w:sz w:val="20"/>
                <w:szCs w:val="20"/>
              </w:rPr>
              <w:t>其他关联方</w:t>
            </w:r>
            <w:r>
              <w:rPr>
                <w:rFonts w:ascii="黑体" w:hAnsi="黑体" w:cs="黑体" w:eastAsia="黑体" w:hint="default"/>
                <w:sz w:val="20"/>
                <w:szCs w:val="20"/>
              </w:rPr>
            </w:r>
          </w:p>
        </w:tc>
        <w:tc>
          <w:tcPr>
            <w:tcW w:w="4567" w:type="dxa"/>
            <w:gridSpan w:val="2"/>
            <w:vMerge/>
            <w:tcBorders>
              <w:left w:val="nil" w:sz="6" w:space="0" w:color="auto"/>
              <w:bottom w:val="nil" w:sz="6" w:space="0" w:color="auto"/>
              <w:right w:val="nil" w:sz="6" w:space="0" w:color="auto"/>
            </w:tcBorders>
          </w:tcPr>
          <w:p>
            <w:pPr/>
          </w:p>
        </w:tc>
      </w:tr>
      <w:tr>
        <w:trPr>
          <w:trHeight w:val="487" w:hRule="exact"/>
        </w:trPr>
        <w:tc>
          <w:tcPr>
            <w:tcW w:w="3999" w:type="dxa"/>
            <w:tcBorders>
              <w:top w:val="nil" w:sz="6" w:space="0" w:color="auto"/>
              <w:left w:val="nil" w:sz="6" w:space="0" w:color="auto"/>
              <w:bottom w:val="nil" w:sz="6" w:space="0" w:color="auto"/>
              <w:right w:val="nil" w:sz="6" w:space="0" w:color="auto"/>
            </w:tcBorders>
          </w:tcPr>
          <w:p>
            <w:pPr/>
          </w:p>
        </w:tc>
        <w:tc>
          <w:tcPr>
            <w:tcW w:w="308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48"/>
              <w:jc w:val="right"/>
              <w:rPr>
                <w:rFonts w:ascii="黑体" w:hAnsi="黑体" w:cs="黑体" w:eastAsia="黑体" w:hint="default"/>
                <w:sz w:val="20"/>
                <w:szCs w:val="20"/>
              </w:rPr>
            </w:pPr>
            <w:r>
              <w:rPr>
                <w:rFonts w:ascii="黑体" w:hAnsi="黑体" w:cs="黑体" w:eastAsia="黑体" w:hint="default"/>
                <w:spacing w:val="-1"/>
                <w:sz w:val="20"/>
                <w:szCs w:val="20"/>
              </w:rPr>
              <w:t>关联方关系</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黑体" w:hAnsi="黑体" w:cs="黑体" w:eastAsia="黑体" w:hint="default"/>
                <w:sz w:val="20"/>
                <w:szCs w:val="20"/>
              </w:rPr>
            </w:pPr>
            <w:r>
              <w:rPr>
                <w:rFonts w:ascii="黑体" w:hAnsi="黑体" w:cs="黑体" w:eastAsia="黑体" w:hint="default"/>
                <w:spacing w:val="-1"/>
                <w:sz w:val="20"/>
                <w:szCs w:val="20"/>
              </w:rPr>
              <w:t>组织机构代码</w:t>
            </w:r>
          </w:p>
        </w:tc>
      </w:tr>
      <w:tr>
        <w:trPr>
          <w:trHeight w:val="388" w:hRule="exact"/>
        </w:trPr>
        <w:tc>
          <w:tcPr>
            <w:tcW w:w="3999" w:type="dxa"/>
            <w:tcBorders>
              <w:top w:val="nil" w:sz="6" w:space="0" w:color="auto"/>
              <w:left w:val="nil" w:sz="6" w:space="0" w:color="auto"/>
              <w:bottom w:val="nil" w:sz="6" w:space="0" w:color="auto"/>
              <w:right w:val="nil" w:sz="6" w:space="0" w:color="auto"/>
            </w:tcBorders>
          </w:tcPr>
          <w:p>
            <w:pPr>
              <w:pStyle w:val="TableParagraph"/>
              <w:spacing w:line="240" w:lineRule="auto" w:before="93"/>
              <w:ind w:left="735" w:right="0"/>
              <w:jc w:val="left"/>
              <w:rPr>
                <w:rFonts w:ascii="黑体" w:hAnsi="黑体" w:cs="黑体" w:eastAsia="黑体" w:hint="default"/>
                <w:sz w:val="20"/>
                <w:szCs w:val="20"/>
              </w:rPr>
            </w:pPr>
            <w:r>
              <w:rPr>
                <w:rFonts w:ascii="黑体" w:hAnsi="黑体" w:cs="黑体" w:eastAsia="黑体" w:hint="default"/>
                <w:sz w:val="20"/>
                <w:szCs w:val="20"/>
              </w:rPr>
              <w:t>上海益倍</w:t>
            </w:r>
          </w:p>
        </w:tc>
        <w:tc>
          <w:tcPr>
            <w:tcW w:w="308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48"/>
              <w:jc w:val="right"/>
              <w:rPr>
                <w:rFonts w:ascii="黑体" w:hAnsi="黑体" w:cs="黑体" w:eastAsia="黑体" w:hint="default"/>
                <w:sz w:val="20"/>
                <w:szCs w:val="20"/>
              </w:rPr>
            </w:pPr>
            <w:r>
              <w:rPr>
                <w:rFonts w:ascii="黑体" w:hAnsi="黑体" w:cs="黑体" w:eastAsia="黑体" w:hint="default"/>
                <w:spacing w:val="-1"/>
                <w:sz w:val="20"/>
                <w:szCs w:val="20"/>
              </w:rPr>
              <w:t>本公司关键管理人员控制的公司</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33"/>
              <w:jc w:val="right"/>
              <w:rPr>
                <w:rFonts w:ascii="Arial" w:hAnsi="Arial" w:cs="Arial" w:eastAsia="Arial" w:hint="default"/>
                <w:sz w:val="20"/>
                <w:szCs w:val="20"/>
              </w:rPr>
            </w:pPr>
            <w:r>
              <w:rPr>
                <w:rFonts w:ascii="Arial"/>
                <w:spacing w:val="-1"/>
                <w:sz w:val="20"/>
              </w:rPr>
              <w:t>72952116-9</w:t>
            </w:r>
          </w:p>
        </w:tc>
      </w:tr>
      <w:tr>
        <w:trPr>
          <w:trHeight w:val="255" w:hRule="exact"/>
        </w:trPr>
        <w:tc>
          <w:tcPr>
            <w:tcW w:w="3999" w:type="dxa"/>
            <w:tcBorders>
              <w:top w:val="nil" w:sz="6" w:space="0" w:color="auto"/>
              <w:left w:val="nil" w:sz="6" w:space="0" w:color="auto"/>
              <w:bottom w:val="nil" w:sz="6" w:space="0" w:color="auto"/>
              <w:right w:val="nil" w:sz="6" w:space="0" w:color="auto"/>
            </w:tcBorders>
          </w:tcPr>
          <w:p>
            <w:pPr>
              <w:pStyle w:val="TableParagraph"/>
              <w:spacing w:line="223" w:lineRule="exact"/>
              <w:ind w:left="735" w:right="0"/>
              <w:jc w:val="left"/>
              <w:rPr>
                <w:rFonts w:ascii="黑体" w:hAnsi="黑体" w:cs="黑体" w:eastAsia="黑体" w:hint="default"/>
                <w:sz w:val="20"/>
                <w:szCs w:val="20"/>
              </w:rPr>
            </w:pPr>
            <w:r>
              <w:rPr>
                <w:rFonts w:ascii="黑体" w:hAnsi="黑体" w:cs="黑体" w:eastAsia="黑体" w:hint="default"/>
                <w:sz w:val="20"/>
                <w:szCs w:val="20"/>
              </w:rPr>
              <w:t>上海优富</w:t>
            </w:r>
          </w:p>
        </w:tc>
        <w:tc>
          <w:tcPr>
            <w:tcW w:w="3080" w:type="dxa"/>
            <w:tcBorders>
              <w:top w:val="nil" w:sz="6" w:space="0" w:color="auto"/>
              <w:left w:val="nil" w:sz="6" w:space="0" w:color="auto"/>
              <w:bottom w:val="nil" w:sz="6" w:space="0" w:color="auto"/>
              <w:right w:val="nil" w:sz="6" w:space="0" w:color="auto"/>
            </w:tcBorders>
          </w:tcPr>
          <w:p>
            <w:pPr>
              <w:pStyle w:val="TableParagraph"/>
              <w:spacing w:line="223" w:lineRule="exact"/>
              <w:ind w:right="248"/>
              <w:jc w:val="right"/>
              <w:rPr>
                <w:rFonts w:ascii="黑体" w:hAnsi="黑体" w:cs="黑体" w:eastAsia="黑体" w:hint="default"/>
                <w:sz w:val="20"/>
                <w:szCs w:val="20"/>
              </w:rPr>
            </w:pPr>
            <w:r>
              <w:rPr>
                <w:rFonts w:ascii="黑体" w:hAnsi="黑体" w:cs="黑体" w:eastAsia="黑体" w:hint="default"/>
                <w:spacing w:val="-1"/>
                <w:sz w:val="20"/>
                <w:szCs w:val="20"/>
              </w:rPr>
              <w:t>本公司关键管理人员控制的公司</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spacing w:val="-1"/>
                <w:sz w:val="20"/>
              </w:rPr>
              <w:t>72952115-0</w:t>
            </w:r>
          </w:p>
        </w:tc>
      </w:tr>
      <w:tr>
        <w:trPr>
          <w:trHeight w:val="255" w:hRule="exact"/>
        </w:trPr>
        <w:tc>
          <w:tcPr>
            <w:tcW w:w="3999" w:type="dxa"/>
            <w:tcBorders>
              <w:top w:val="nil" w:sz="6" w:space="0" w:color="auto"/>
              <w:left w:val="nil" w:sz="6" w:space="0" w:color="auto"/>
              <w:bottom w:val="nil" w:sz="6" w:space="0" w:color="auto"/>
              <w:right w:val="nil" w:sz="6" w:space="0" w:color="auto"/>
            </w:tcBorders>
          </w:tcPr>
          <w:p>
            <w:pPr>
              <w:pStyle w:val="TableParagraph"/>
              <w:spacing w:line="222" w:lineRule="exact"/>
              <w:ind w:left="735" w:right="0"/>
              <w:jc w:val="left"/>
              <w:rPr>
                <w:rFonts w:ascii="黑体" w:hAnsi="黑体" w:cs="黑体" w:eastAsia="黑体" w:hint="default"/>
                <w:sz w:val="20"/>
                <w:szCs w:val="20"/>
              </w:rPr>
            </w:pPr>
            <w:r>
              <w:rPr>
                <w:rFonts w:ascii="黑体" w:hAnsi="黑体" w:cs="黑体" w:eastAsia="黑体" w:hint="default"/>
                <w:sz w:val="20"/>
                <w:szCs w:val="20"/>
              </w:rPr>
              <w:t>用友移动</w:t>
            </w:r>
          </w:p>
        </w:tc>
        <w:tc>
          <w:tcPr>
            <w:tcW w:w="3080" w:type="dxa"/>
            <w:tcBorders>
              <w:top w:val="nil" w:sz="6" w:space="0" w:color="auto"/>
              <w:left w:val="nil" w:sz="6" w:space="0" w:color="auto"/>
              <w:bottom w:val="nil" w:sz="6" w:space="0" w:color="auto"/>
              <w:right w:val="nil" w:sz="6" w:space="0" w:color="auto"/>
            </w:tcBorders>
          </w:tcPr>
          <w:p>
            <w:pPr>
              <w:pStyle w:val="TableParagraph"/>
              <w:spacing w:line="222" w:lineRule="exact"/>
              <w:ind w:right="248"/>
              <w:jc w:val="right"/>
              <w:rPr>
                <w:rFonts w:ascii="黑体" w:hAnsi="黑体" w:cs="黑体" w:eastAsia="黑体" w:hint="default"/>
                <w:sz w:val="20"/>
                <w:szCs w:val="20"/>
              </w:rPr>
            </w:pPr>
            <w:r>
              <w:rPr>
                <w:rFonts w:ascii="黑体" w:hAnsi="黑体" w:cs="黑体" w:eastAsia="黑体" w:hint="default"/>
                <w:spacing w:val="-1"/>
                <w:sz w:val="20"/>
                <w:szCs w:val="20"/>
              </w:rPr>
              <w:t>与本公司同受用友研究所控制</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Arial" w:hAnsi="Arial" w:cs="Arial" w:eastAsia="Arial" w:hint="default"/>
                <w:sz w:val="20"/>
                <w:szCs w:val="20"/>
              </w:rPr>
            </w:pPr>
            <w:r>
              <w:rPr>
                <w:rFonts w:ascii="Arial"/>
                <w:spacing w:val="-1"/>
                <w:sz w:val="20"/>
              </w:rPr>
              <w:t>79344909-3</w:t>
            </w:r>
          </w:p>
        </w:tc>
      </w:tr>
      <w:tr>
        <w:trPr>
          <w:trHeight w:val="255" w:hRule="exact"/>
        </w:trPr>
        <w:tc>
          <w:tcPr>
            <w:tcW w:w="3999" w:type="dxa"/>
            <w:tcBorders>
              <w:top w:val="nil" w:sz="6" w:space="0" w:color="auto"/>
              <w:left w:val="nil" w:sz="6" w:space="0" w:color="auto"/>
              <w:bottom w:val="nil" w:sz="6" w:space="0" w:color="auto"/>
              <w:right w:val="nil" w:sz="6" w:space="0" w:color="auto"/>
            </w:tcBorders>
          </w:tcPr>
          <w:p>
            <w:pPr>
              <w:pStyle w:val="TableParagraph"/>
              <w:spacing w:line="223" w:lineRule="exact"/>
              <w:ind w:left="735"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3080" w:type="dxa"/>
            <w:tcBorders>
              <w:top w:val="nil" w:sz="6" w:space="0" w:color="auto"/>
              <w:left w:val="nil" w:sz="6" w:space="0" w:color="auto"/>
              <w:bottom w:val="nil" w:sz="6" w:space="0" w:color="auto"/>
              <w:right w:val="nil" w:sz="6" w:space="0" w:color="auto"/>
            </w:tcBorders>
          </w:tcPr>
          <w:p>
            <w:pPr>
              <w:pStyle w:val="TableParagraph"/>
              <w:spacing w:line="223" w:lineRule="exact"/>
              <w:ind w:right="248"/>
              <w:jc w:val="right"/>
              <w:rPr>
                <w:rFonts w:ascii="黑体" w:hAnsi="黑体" w:cs="黑体" w:eastAsia="黑体" w:hint="default"/>
                <w:sz w:val="20"/>
                <w:szCs w:val="20"/>
              </w:rPr>
            </w:pPr>
            <w:r>
              <w:rPr>
                <w:rFonts w:ascii="黑体" w:hAnsi="黑体" w:cs="黑体" w:eastAsia="黑体" w:hint="default"/>
                <w:sz w:val="20"/>
                <w:szCs w:val="20"/>
              </w:rPr>
              <w:t>联营企业</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spacing w:val="-1"/>
                <w:sz w:val="20"/>
              </w:rPr>
              <w:t>73765633-8</w:t>
            </w:r>
          </w:p>
        </w:tc>
      </w:tr>
      <w:tr>
        <w:trPr>
          <w:trHeight w:val="255" w:hRule="exact"/>
        </w:trPr>
        <w:tc>
          <w:tcPr>
            <w:tcW w:w="3999" w:type="dxa"/>
            <w:tcBorders>
              <w:top w:val="nil" w:sz="6" w:space="0" w:color="auto"/>
              <w:left w:val="nil" w:sz="6" w:space="0" w:color="auto"/>
              <w:bottom w:val="nil" w:sz="6" w:space="0" w:color="auto"/>
              <w:right w:val="nil" w:sz="6" w:space="0" w:color="auto"/>
            </w:tcBorders>
          </w:tcPr>
          <w:p>
            <w:pPr>
              <w:pStyle w:val="TableParagraph"/>
              <w:spacing w:line="222" w:lineRule="exact"/>
              <w:ind w:left="735" w:right="0"/>
              <w:jc w:val="left"/>
              <w:rPr>
                <w:rFonts w:ascii="黑体" w:hAnsi="黑体" w:cs="黑体" w:eastAsia="黑体" w:hint="default"/>
                <w:sz w:val="20"/>
                <w:szCs w:val="20"/>
              </w:rPr>
            </w:pPr>
            <w:r>
              <w:rPr>
                <w:rFonts w:ascii="黑体" w:hAnsi="黑体" w:cs="黑体" w:eastAsia="黑体" w:hint="default"/>
                <w:sz w:val="20"/>
                <w:szCs w:val="20"/>
              </w:rPr>
              <w:t>用友商用表单</w:t>
            </w:r>
          </w:p>
        </w:tc>
        <w:tc>
          <w:tcPr>
            <w:tcW w:w="3080" w:type="dxa"/>
            <w:tcBorders>
              <w:top w:val="nil" w:sz="6" w:space="0" w:color="auto"/>
              <w:left w:val="nil" w:sz="6" w:space="0" w:color="auto"/>
              <w:bottom w:val="nil" w:sz="6" w:space="0" w:color="auto"/>
              <w:right w:val="nil" w:sz="6" w:space="0" w:color="auto"/>
            </w:tcBorders>
          </w:tcPr>
          <w:p>
            <w:pPr>
              <w:pStyle w:val="TableParagraph"/>
              <w:spacing w:line="222" w:lineRule="exact"/>
              <w:ind w:right="248"/>
              <w:jc w:val="right"/>
              <w:rPr>
                <w:rFonts w:ascii="黑体" w:hAnsi="黑体" w:cs="黑体" w:eastAsia="黑体" w:hint="default"/>
                <w:sz w:val="20"/>
                <w:szCs w:val="20"/>
              </w:rPr>
            </w:pPr>
            <w:r>
              <w:rPr>
                <w:rFonts w:ascii="黑体" w:hAnsi="黑体" w:cs="黑体" w:eastAsia="黑体" w:hint="default"/>
                <w:sz w:val="20"/>
                <w:szCs w:val="20"/>
              </w:rPr>
              <w:t>联营企业</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Arial" w:hAnsi="Arial" w:cs="Arial" w:eastAsia="Arial" w:hint="default"/>
                <w:sz w:val="20"/>
                <w:szCs w:val="20"/>
              </w:rPr>
            </w:pPr>
            <w:r>
              <w:rPr>
                <w:rFonts w:ascii="Arial"/>
                <w:spacing w:val="-1"/>
                <w:sz w:val="20"/>
              </w:rPr>
              <w:t>63364482-6</w:t>
            </w:r>
          </w:p>
        </w:tc>
      </w:tr>
      <w:tr>
        <w:trPr>
          <w:trHeight w:val="333" w:hRule="exact"/>
        </w:trPr>
        <w:tc>
          <w:tcPr>
            <w:tcW w:w="3999" w:type="dxa"/>
            <w:tcBorders>
              <w:top w:val="nil" w:sz="6" w:space="0" w:color="auto"/>
              <w:left w:val="nil" w:sz="6" w:space="0" w:color="auto"/>
              <w:bottom w:val="nil" w:sz="6" w:space="0" w:color="auto"/>
              <w:right w:val="nil" w:sz="6" w:space="0" w:color="auto"/>
            </w:tcBorders>
          </w:tcPr>
          <w:p>
            <w:pPr>
              <w:pStyle w:val="TableParagraph"/>
              <w:spacing w:line="223" w:lineRule="exact"/>
              <w:ind w:left="735" w:right="0"/>
              <w:jc w:val="left"/>
              <w:rPr>
                <w:rFonts w:ascii="黑体" w:hAnsi="黑体" w:cs="黑体" w:eastAsia="黑体" w:hint="default"/>
                <w:sz w:val="20"/>
                <w:szCs w:val="20"/>
              </w:rPr>
            </w:pPr>
            <w:r>
              <w:rPr>
                <w:rFonts w:ascii="黑体" w:hAnsi="黑体" w:cs="黑体" w:eastAsia="黑体" w:hint="default"/>
                <w:sz w:val="20"/>
                <w:szCs w:val="20"/>
              </w:rPr>
              <w:t>西玛永泰</w:t>
            </w:r>
          </w:p>
        </w:tc>
        <w:tc>
          <w:tcPr>
            <w:tcW w:w="3080" w:type="dxa"/>
            <w:tcBorders>
              <w:top w:val="nil" w:sz="6" w:space="0" w:color="auto"/>
              <w:left w:val="nil" w:sz="6" w:space="0" w:color="auto"/>
              <w:bottom w:val="nil" w:sz="6" w:space="0" w:color="auto"/>
              <w:right w:val="nil" w:sz="6" w:space="0" w:color="auto"/>
            </w:tcBorders>
          </w:tcPr>
          <w:p>
            <w:pPr>
              <w:pStyle w:val="TableParagraph"/>
              <w:spacing w:line="223" w:lineRule="exact"/>
              <w:ind w:right="248"/>
              <w:jc w:val="right"/>
              <w:rPr>
                <w:rFonts w:ascii="黑体" w:hAnsi="黑体" w:cs="黑体" w:eastAsia="黑体" w:hint="default"/>
                <w:sz w:val="20"/>
                <w:szCs w:val="20"/>
              </w:rPr>
            </w:pPr>
            <w:r>
              <w:rPr>
                <w:rFonts w:ascii="黑体" w:hAnsi="黑体" w:cs="黑体" w:eastAsia="黑体" w:hint="default"/>
                <w:sz w:val="20"/>
                <w:szCs w:val="20"/>
              </w:rPr>
              <w:t>联营企业</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spacing w:val="-1"/>
                <w:sz w:val="20"/>
              </w:rPr>
              <w:t>79341913-4</w:t>
            </w:r>
          </w:p>
        </w:tc>
      </w:tr>
    </w:tbl>
    <w:p>
      <w:pPr>
        <w:spacing w:after="0" w:line="240" w:lineRule="auto"/>
        <w:jc w:val="right"/>
        <w:rPr>
          <w:rFonts w:ascii="Arial" w:hAnsi="Arial" w:cs="Arial" w:eastAsia="Arial" w:hint="default"/>
          <w:sz w:val="20"/>
          <w:szCs w:val="20"/>
        </w:rPr>
        <w:sectPr>
          <w:type w:val="continuous"/>
          <w:pgSz w:w="11910" w:h="16840"/>
          <w:pgMar w:top="900" w:bottom="280" w:left="1560" w:right="60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4"/>
        <w:rPr>
          <w:rFonts w:ascii="黑体" w:hAnsi="黑体" w:cs="黑体" w:eastAsia="黑体" w:hint="default"/>
          <w:sz w:val="14"/>
          <w:szCs w:val="14"/>
        </w:rPr>
      </w:pPr>
    </w:p>
    <w:p>
      <w:pPr>
        <w:tabs>
          <w:tab w:pos="803" w:val="left" w:leader="none"/>
        </w:tabs>
        <w:spacing w:before="0"/>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六、</w:t>
        <w:tab/>
        <w:t>关联方关系及其交易（续）</w:t>
      </w:r>
      <w:r>
        <w:rPr>
          <w:rFonts w:ascii="黑体" w:hAnsi="黑体" w:cs="黑体" w:eastAsia="黑体" w:hint="default"/>
          <w:sz w:val="20"/>
          <w:szCs w:val="20"/>
        </w:rPr>
      </w:r>
    </w:p>
    <w:p>
      <w:pPr>
        <w:spacing w:line="240" w:lineRule="auto" w:before="8"/>
        <w:rPr>
          <w:rFonts w:ascii="黑体" w:hAnsi="黑体" w:cs="黑体" w:eastAsia="黑体" w:hint="default"/>
          <w:b/>
          <w:bCs/>
          <w:sz w:val="23"/>
          <w:szCs w:val="23"/>
        </w:rPr>
      </w:pPr>
    </w:p>
    <w:p>
      <w:pPr>
        <w:tabs>
          <w:tab w:pos="821" w:val="left" w:leader="none"/>
        </w:tabs>
        <w:spacing w:before="0"/>
        <w:ind w:left="129" w:right="0" w:firstLine="0"/>
        <w:jc w:val="left"/>
        <w:rPr>
          <w:rFonts w:ascii="黑体" w:hAnsi="黑体" w:cs="黑体" w:eastAsia="黑体" w:hint="default"/>
          <w:sz w:val="20"/>
          <w:szCs w:val="20"/>
        </w:rPr>
      </w:pPr>
      <w:r>
        <w:rPr>
          <w:rFonts w:ascii="Arial" w:hAnsi="Arial" w:cs="Arial" w:eastAsia="Arial" w:hint="default"/>
          <w:b/>
          <w:bCs/>
          <w:spacing w:val="-1"/>
          <w:sz w:val="20"/>
          <w:szCs w:val="20"/>
        </w:rPr>
        <w:t>5.</w:t>
        <w:tab/>
      </w:r>
      <w:r>
        <w:rPr>
          <w:rFonts w:ascii="黑体" w:hAnsi="黑体" w:cs="黑体" w:eastAsia="黑体" w:hint="default"/>
          <w:b/>
          <w:bCs/>
          <w:sz w:val="20"/>
          <w:szCs w:val="20"/>
        </w:rPr>
        <w:t>本集团与关联方的主要交易</w:t>
      </w:r>
      <w:r>
        <w:rPr>
          <w:rFonts w:ascii="黑体" w:hAnsi="黑体" w:cs="黑体" w:eastAsia="黑体" w:hint="default"/>
          <w:sz w:val="20"/>
          <w:szCs w:val="20"/>
        </w:rPr>
      </w:r>
    </w:p>
    <w:p>
      <w:pPr>
        <w:spacing w:line="240" w:lineRule="auto" w:before="12"/>
        <w:rPr>
          <w:rFonts w:ascii="黑体" w:hAnsi="黑体" w:cs="黑体" w:eastAsia="黑体" w:hint="default"/>
          <w:b/>
          <w:bCs/>
          <w:sz w:val="22"/>
          <w:szCs w:val="22"/>
        </w:rPr>
      </w:pPr>
    </w:p>
    <w:p>
      <w:pPr>
        <w:pStyle w:val="BodyText"/>
        <w:spacing w:line="240" w:lineRule="auto"/>
        <w:ind w:right="0"/>
        <w:jc w:val="left"/>
      </w:pPr>
      <w:r>
        <w:rPr>
          <w:rFonts w:ascii="Arial" w:hAnsi="Arial" w:cs="Arial" w:eastAsia="Arial" w:hint="default"/>
        </w:rPr>
        <w:t>(1)  </w:t>
      </w:r>
      <w:r>
        <w:rPr>
          <w:rFonts w:ascii="Arial" w:hAnsi="Arial" w:cs="Arial" w:eastAsia="Arial" w:hint="default"/>
          <w:spacing w:val="30"/>
        </w:rPr>
        <w:t> </w:t>
      </w:r>
      <w:r>
        <w:rPr/>
        <w:t>向关联方购买商品</w:t>
      </w:r>
    </w:p>
    <w:p>
      <w:pPr>
        <w:spacing w:line="240" w:lineRule="auto" w:before="2"/>
        <w:rPr>
          <w:rFonts w:ascii="黑体" w:hAnsi="黑体" w:cs="黑体" w:eastAsia="黑体" w:hint="default"/>
          <w:sz w:val="21"/>
          <w:szCs w:val="21"/>
        </w:rPr>
      </w:pPr>
    </w:p>
    <w:p>
      <w:pPr>
        <w:pStyle w:val="BodyText"/>
        <w:tabs>
          <w:tab w:pos="7342" w:val="left" w:leader="none"/>
        </w:tabs>
        <w:spacing w:line="265" w:lineRule="exact" w:before="38"/>
        <w:ind w:left="5319" w:right="0"/>
        <w:jc w:val="center"/>
      </w:pPr>
      <w:r>
        <w:rPr>
          <w:rFonts w:ascii="Arial" w:hAnsi="Arial" w:cs="Arial" w:eastAsia="Arial" w:hint="default"/>
        </w:rPr>
        <w:t>2009</w:t>
      </w:r>
      <w:r>
        <w:rPr>
          <w:rFonts w:ascii="Arial" w:hAnsi="Arial" w:cs="Arial" w:eastAsia="Arial" w:hint="default"/>
          <w:spacing w:val="-6"/>
        </w:rPr>
        <w:t> </w:t>
      </w:r>
      <w:r>
        <w:rPr/>
        <w:t>年</w:t>
        <w:tab/>
      </w:r>
      <w:r>
        <w:rPr>
          <w:rFonts w:ascii="Arial" w:hAnsi="Arial" w:cs="Arial" w:eastAsia="Arial" w:hint="default"/>
        </w:rPr>
        <w:t>2008</w:t>
      </w:r>
      <w:r>
        <w:rPr>
          <w:rFonts w:ascii="Arial" w:hAnsi="Arial" w:cs="Arial" w:eastAsia="Arial" w:hint="default"/>
          <w:spacing w:val="-5"/>
        </w:rPr>
        <w:t> </w:t>
      </w:r>
      <w:r>
        <w:rPr/>
        <w:t>年</w:t>
      </w:r>
    </w:p>
    <w:p>
      <w:pPr>
        <w:pStyle w:val="BodyText"/>
        <w:tabs>
          <w:tab w:pos="7175" w:val="left" w:leader="none"/>
        </w:tabs>
        <w:spacing w:line="265" w:lineRule="exact"/>
        <w:ind w:left="5191" w:right="0"/>
        <w:jc w:val="center"/>
        <w:rPr>
          <w:rFonts w:ascii="Arial" w:hAnsi="Arial" w:cs="Arial" w:eastAsia="Arial" w:hint="default"/>
        </w:rPr>
      </w:pPr>
      <w:r>
        <w:rPr/>
        <w:t>金额</w:t>
      </w:r>
      <w:r>
        <w:rPr>
          <w:spacing w:val="37"/>
        </w:rPr>
        <w:t> </w:t>
      </w:r>
      <w:r>
        <w:rPr/>
        <w:t>比例</w:t>
      </w:r>
      <w:r>
        <w:rPr>
          <w:rFonts w:ascii="Arial" w:hAnsi="Arial" w:cs="Arial" w:eastAsia="Arial" w:hint="default"/>
        </w:rPr>
        <w:t>(%)</w:t>
        <w:tab/>
      </w:r>
      <w:r>
        <w:rPr/>
        <w:t>金额</w:t>
      </w:r>
      <w:r>
        <w:rPr>
          <w:spacing w:val="37"/>
        </w:rPr>
        <w:t> </w:t>
      </w:r>
      <w:r>
        <w:rPr/>
        <w:t>比例</w:t>
      </w:r>
      <w:r>
        <w:rPr>
          <w:rFonts w:ascii="Arial" w:hAnsi="Arial" w:cs="Arial" w:eastAsia="Arial" w:hint="default"/>
        </w:rPr>
        <w:t>(%)</w:t>
      </w:r>
    </w:p>
    <w:p>
      <w:pPr>
        <w:pStyle w:val="BodyText"/>
        <w:tabs>
          <w:tab w:pos="4871" w:val="left" w:leader="none"/>
          <w:tab w:pos="6388" w:val="left" w:leader="none"/>
          <w:tab w:pos="6855" w:val="left" w:leader="none"/>
          <w:tab w:pos="8595" w:val="right" w:leader="none"/>
        </w:tabs>
        <w:spacing w:line="266" w:lineRule="exact" w:before="234"/>
        <w:ind w:left="802" w:right="0"/>
        <w:jc w:val="left"/>
        <w:rPr>
          <w:rFonts w:ascii="Arial" w:hAnsi="Arial" w:cs="Arial" w:eastAsia="Arial" w:hint="default"/>
        </w:rPr>
      </w:pPr>
      <w:r>
        <w:rPr>
          <w:spacing w:val="-1"/>
        </w:rPr>
        <w:t>用友商用表单</w:t>
        <w:tab/>
      </w:r>
      <w:r>
        <w:rPr>
          <w:rFonts w:ascii="Arial" w:hAnsi="Arial" w:cs="Arial" w:eastAsia="Arial" w:hint="default"/>
          <w:spacing w:val="-1"/>
        </w:rPr>
        <w:t>1,430,648</w:t>
        <w:tab/>
      </w:r>
      <w:r>
        <w:rPr>
          <w:rFonts w:ascii="Arial" w:hAnsi="Arial" w:cs="Arial" w:eastAsia="Arial" w:hint="default"/>
        </w:rPr>
        <w:t>10</w:t>
        <w:tab/>
      </w:r>
      <w:r>
        <w:rPr>
          <w:rFonts w:ascii="Arial" w:hAnsi="Arial" w:cs="Arial" w:eastAsia="Arial" w:hint="default"/>
          <w:spacing w:val="-1"/>
        </w:rPr>
        <w:t>2,860,189</w:t>
        <w:tab/>
      </w:r>
      <w:r>
        <w:rPr>
          <w:rFonts w:ascii="Arial" w:hAnsi="Arial" w:cs="Arial" w:eastAsia="Arial" w:hint="default"/>
        </w:rPr>
        <w:t>32</w:t>
      </w:r>
    </w:p>
    <w:p>
      <w:pPr>
        <w:pStyle w:val="BodyText"/>
        <w:tabs>
          <w:tab w:pos="4760" w:val="left" w:leader="none"/>
          <w:tab w:pos="6288" w:val="left" w:leader="none"/>
          <w:tab w:pos="6855" w:val="left" w:leader="none"/>
          <w:tab w:pos="8272" w:val="left" w:leader="none"/>
        </w:tabs>
        <w:spacing w:line="266" w:lineRule="exact"/>
        <w:ind w:left="802" w:right="0"/>
        <w:jc w:val="left"/>
        <w:rPr>
          <w:rFonts w:ascii="Arial" w:hAnsi="Arial" w:cs="Arial" w:eastAsia="Arial" w:hint="default"/>
        </w:rPr>
      </w:pPr>
      <w:r>
        <w:rPr/>
        <w:t>用友致远</w:t>
        <w:tab/>
      </w:r>
      <w:r>
        <w:rPr>
          <w:rFonts w:ascii="Arial" w:hAnsi="Arial" w:cs="Arial" w:eastAsia="Arial" w:hint="default"/>
        </w:rPr>
      </w:r>
      <w:r>
        <w:rPr>
          <w:rFonts w:ascii="Arial" w:hAnsi="Arial" w:cs="Arial" w:eastAsia="Arial" w:hint="default"/>
          <w:spacing w:val="-1"/>
          <w:u w:val="single" w:color="000000"/>
        </w:rPr>
        <w:t>12,517,805</w:t>
      </w:r>
      <w:r>
        <w:rPr>
          <w:rFonts w:ascii="Arial" w:hAnsi="Arial" w:cs="Arial" w:eastAsia="Arial" w:hint="default"/>
          <w:spacing w:val="-1"/>
        </w:rPr>
        <w:tab/>
      </w:r>
      <w:r>
        <w:rPr>
          <w:rFonts w:ascii="Arial" w:hAnsi="Arial" w:cs="Arial" w:eastAsia="Arial" w:hint="default"/>
          <w:spacing w:val="-1"/>
          <w:u w:val="single" w:color="000000"/>
        </w:rPr>
        <w:t> </w:t>
      </w:r>
      <w:r>
        <w:rPr>
          <w:rFonts w:ascii="Arial" w:hAnsi="Arial" w:cs="Arial" w:eastAsia="Arial" w:hint="default"/>
          <w:u w:val="single" w:color="000000"/>
        </w:rPr>
        <w:t>90</w:t>
      </w:r>
      <w:r>
        <w:rPr>
          <w:rFonts w:ascii="Arial" w:hAnsi="Arial" w:cs="Arial" w:eastAsia="Arial" w:hint="default"/>
        </w:rPr>
        <w:tab/>
      </w:r>
      <w:r>
        <w:rPr>
          <w:rFonts w:ascii="Arial" w:hAnsi="Arial" w:cs="Arial" w:eastAsia="Arial" w:hint="default"/>
          <w:spacing w:val="-1"/>
          <w:u w:val="single" w:color="000000"/>
        </w:rPr>
        <w:t>6,185,010</w:t>
      </w:r>
      <w:r>
        <w:rPr>
          <w:rFonts w:ascii="Arial" w:hAnsi="Arial" w:cs="Arial" w:eastAsia="Arial" w:hint="default"/>
          <w:spacing w:val="-1"/>
        </w:rPr>
        <w:tab/>
      </w:r>
      <w:r>
        <w:rPr>
          <w:rFonts w:ascii="Arial" w:hAnsi="Arial" w:cs="Arial" w:eastAsia="Arial" w:hint="default"/>
          <w:spacing w:val="-1"/>
          <w:u w:val="single" w:color="000000"/>
        </w:rPr>
        <w:t> </w:t>
      </w:r>
      <w:r>
        <w:rPr>
          <w:rFonts w:ascii="Arial" w:hAnsi="Arial" w:cs="Arial" w:eastAsia="Arial" w:hint="default"/>
          <w:u w:val="single" w:color="000000"/>
        </w:rPr>
        <w:t>68</w:t>
      </w:r>
      <w:r>
        <w:rPr>
          <w:rFonts w:ascii="Arial" w:hAnsi="Arial" w:cs="Arial" w:eastAsia="Arial" w:hint="default"/>
        </w:rPr>
      </w:r>
    </w:p>
    <w:p>
      <w:pPr>
        <w:pStyle w:val="BodyText"/>
        <w:tabs>
          <w:tab w:pos="6276" w:val="left" w:leader="none"/>
          <w:tab w:pos="6855" w:val="left" w:leader="none"/>
          <w:tab w:pos="8260" w:val="left" w:leader="none"/>
        </w:tabs>
        <w:spacing w:line="240" w:lineRule="auto" w:before="24"/>
        <w:ind w:left="4760" w:right="0"/>
        <w:jc w:val="left"/>
        <w:rPr>
          <w:rFonts w:ascii="Arial" w:hAnsi="Arial" w:cs="Arial" w:eastAsia="Arial" w:hint="default"/>
        </w:rPr>
      </w:pPr>
      <w:r>
        <w:rPr>
          <w:rFonts w:ascii="Arial"/>
          <w:w w:val="100"/>
        </w:rPr>
      </w:r>
      <w:r>
        <w:rPr>
          <w:rFonts w:ascii="Arial"/>
          <w:spacing w:val="-1"/>
          <w:u w:val="thick" w:color="000000"/>
        </w:rPr>
        <w:t>13,948,453</w:t>
      </w:r>
      <w:r>
        <w:rPr>
          <w:rFonts w:ascii="Arial"/>
          <w:spacing w:val="-1"/>
        </w:rPr>
        <w:tab/>
      </w:r>
      <w:r>
        <w:rPr>
          <w:rFonts w:ascii="Arial"/>
          <w:u w:val="thick" w:color="000000"/>
        </w:rPr>
        <w:t>100</w:t>
      </w:r>
      <w:r>
        <w:rPr>
          <w:rFonts w:ascii="Arial"/>
        </w:rPr>
        <w:tab/>
      </w:r>
      <w:r>
        <w:rPr>
          <w:rFonts w:ascii="Arial"/>
          <w:spacing w:val="-1"/>
          <w:u w:val="thick" w:color="000000"/>
        </w:rPr>
        <w:t>9,045,199</w:t>
      </w:r>
      <w:r>
        <w:rPr>
          <w:rFonts w:ascii="Arial"/>
          <w:spacing w:val="-1"/>
        </w:rPr>
        <w:tab/>
      </w:r>
      <w:r>
        <w:rPr>
          <w:rFonts w:ascii="Arial"/>
          <w:u w:val="thick" w:color="000000"/>
        </w:rPr>
        <w:t>100</w:t>
      </w:r>
      <w:r>
        <w:rPr>
          <w:rFonts w:ascii="Arial"/>
        </w:rPr>
      </w:r>
    </w:p>
    <w:p>
      <w:pPr>
        <w:spacing w:line="240" w:lineRule="auto" w:before="1"/>
        <w:rPr>
          <w:rFonts w:ascii="Arial" w:hAnsi="Arial" w:cs="Arial" w:eastAsia="Arial" w:hint="default"/>
          <w:sz w:val="25"/>
          <w:szCs w:val="25"/>
        </w:rPr>
      </w:pPr>
    </w:p>
    <w:p>
      <w:pPr>
        <w:pStyle w:val="BodyText"/>
        <w:spacing w:line="240" w:lineRule="auto"/>
        <w:ind w:right="0"/>
        <w:jc w:val="left"/>
      </w:pPr>
      <w:r>
        <w:rPr>
          <w:spacing w:val="-6"/>
        </w:rPr>
        <w:t>于</w:t>
      </w:r>
      <w:r>
        <w:rPr>
          <w:rFonts w:ascii="Arial" w:hAnsi="Arial" w:cs="Arial" w:eastAsia="Arial" w:hint="default"/>
          <w:spacing w:val="-6"/>
        </w:rPr>
        <w:t>2009</w:t>
      </w:r>
      <w:r>
        <w:rPr>
          <w:spacing w:val="-6"/>
        </w:rPr>
        <w:t>年度，向关联方购买商品金额占本集团全部购买商品金额的</w:t>
      </w:r>
      <w:r>
        <w:rPr>
          <w:rFonts w:ascii="Arial" w:hAnsi="Arial" w:cs="Arial" w:eastAsia="Arial" w:hint="default"/>
          <w:spacing w:val="-6"/>
        </w:rPr>
        <w:t>9%</w:t>
      </w:r>
      <w:r>
        <w:rPr>
          <w:spacing w:val="-6"/>
        </w:rPr>
        <w:t>（</w:t>
      </w:r>
      <w:r>
        <w:rPr>
          <w:rFonts w:ascii="Arial" w:hAnsi="Arial" w:cs="Arial" w:eastAsia="Arial" w:hint="default"/>
          <w:spacing w:val="-6"/>
        </w:rPr>
        <w:t>2008</w:t>
      </w:r>
      <w:r>
        <w:rPr>
          <w:spacing w:val="-6"/>
        </w:rPr>
        <w:t>年度：</w:t>
      </w:r>
      <w:r>
        <w:rPr>
          <w:rFonts w:ascii="Arial" w:hAnsi="Arial" w:cs="Arial" w:eastAsia="Arial" w:hint="default"/>
          <w:spacing w:val="-6"/>
        </w:rPr>
        <w:t>3%</w:t>
      </w:r>
      <w:r>
        <w:rPr>
          <w:spacing w:val="-6"/>
        </w:rPr>
        <w:t>）。</w:t>
      </w:r>
      <w:r>
        <w:rPr/>
      </w:r>
    </w:p>
    <w:p>
      <w:pPr>
        <w:spacing w:line="240" w:lineRule="auto" w:before="10"/>
        <w:rPr>
          <w:rFonts w:ascii="黑体" w:hAnsi="黑体" w:cs="黑体" w:eastAsia="黑体" w:hint="default"/>
          <w:sz w:val="24"/>
          <w:szCs w:val="24"/>
        </w:rPr>
      </w:pPr>
    </w:p>
    <w:p>
      <w:pPr>
        <w:pStyle w:val="BodyText"/>
        <w:spacing w:line="240" w:lineRule="auto"/>
        <w:ind w:left="816" w:right="0"/>
        <w:jc w:val="left"/>
      </w:pPr>
      <w:r>
        <w:rPr>
          <w:rFonts w:ascii="Arial" w:hAnsi="Arial" w:cs="Arial" w:eastAsia="Arial" w:hint="default"/>
        </w:rPr>
        <w:t>(2)  </w:t>
      </w:r>
      <w:r>
        <w:rPr>
          <w:rFonts w:ascii="Arial" w:hAnsi="Arial" w:cs="Arial" w:eastAsia="Arial" w:hint="default"/>
          <w:spacing w:val="30"/>
        </w:rPr>
        <w:t> </w:t>
      </w:r>
      <w:r>
        <w:rPr/>
        <w:t>向关联方转让股权</w:t>
      </w:r>
    </w:p>
    <w:p>
      <w:pPr>
        <w:spacing w:line="240" w:lineRule="auto" w:before="1"/>
        <w:rPr>
          <w:rFonts w:ascii="黑体" w:hAnsi="黑体" w:cs="黑体" w:eastAsia="黑体" w:hint="default"/>
          <w:sz w:val="18"/>
          <w:szCs w:val="18"/>
        </w:rPr>
      </w:pPr>
    </w:p>
    <w:p>
      <w:pPr>
        <w:pStyle w:val="BodyText"/>
        <w:tabs>
          <w:tab w:pos="5759" w:val="left" w:leader="none"/>
          <w:tab w:pos="7727" w:val="left" w:leader="none"/>
        </w:tabs>
        <w:spacing w:line="240" w:lineRule="auto"/>
        <w:ind w:left="3950" w:right="0"/>
        <w:jc w:val="left"/>
      </w:pPr>
      <w:r>
        <w:rPr/>
        <w:t>交易类型</w:t>
        <w:tab/>
      </w:r>
      <w:r>
        <w:rPr>
          <w:rFonts w:ascii="Arial" w:hAnsi="Arial" w:cs="Arial" w:eastAsia="Arial" w:hint="default"/>
        </w:rPr>
        <w:t>2009</w:t>
      </w:r>
      <w:r>
        <w:rPr/>
        <w:t>年</w:t>
        <w:tab/>
      </w:r>
      <w:r>
        <w:rPr>
          <w:rFonts w:ascii="Arial" w:hAnsi="Arial" w:cs="Arial" w:eastAsia="Arial" w:hint="default"/>
        </w:rPr>
        <w:t>2008</w:t>
      </w:r>
      <w:r>
        <w:rPr/>
        <w:t>年</w:t>
      </w:r>
    </w:p>
    <w:p>
      <w:pPr>
        <w:spacing w:line="240" w:lineRule="auto" w:before="8"/>
        <w:rPr>
          <w:rFonts w:ascii="黑体" w:hAnsi="黑体" w:cs="黑体" w:eastAsia="黑体" w:hint="default"/>
          <w:sz w:val="26"/>
          <w:szCs w:val="26"/>
        </w:rPr>
      </w:pPr>
    </w:p>
    <w:p>
      <w:pPr>
        <w:pStyle w:val="BodyText"/>
        <w:tabs>
          <w:tab w:pos="3950" w:val="left" w:leader="none"/>
          <w:tab w:pos="5375" w:val="left" w:leader="none"/>
          <w:tab w:pos="5675" w:val="left" w:leader="none"/>
          <w:tab w:pos="6223" w:val="left" w:leader="none"/>
          <w:tab w:pos="6522" w:val="left" w:leader="none"/>
          <w:tab w:pos="8064" w:val="left" w:leader="none"/>
        </w:tabs>
        <w:spacing w:line="240" w:lineRule="auto"/>
        <w:ind w:left="807" w:right="0"/>
        <w:jc w:val="left"/>
        <w:rPr>
          <w:rFonts w:ascii="Arial" w:hAnsi="Arial" w:cs="Arial" w:eastAsia="Arial" w:hint="default"/>
        </w:rPr>
      </w:pPr>
      <w:r>
        <w:rPr>
          <w:spacing w:val="-1"/>
        </w:rPr>
        <w:t>用友研究所</w:t>
        <w:tab/>
      </w:r>
      <w:r>
        <w:rPr/>
        <w:t>转让股权</w:t>
        <w:tab/>
      </w:r>
      <w:r>
        <w:rPr>
          <w:rFonts w:ascii="Arial" w:hAnsi="Arial" w:cs="Arial" w:eastAsia="Arial" w:hint="default"/>
          <w:position w:val="1"/>
        </w:rPr>
      </w:r>
      <w:r>
        <w:rPr>
          <w:rFonts w:ascii="Arial" w:hAnsi="Arial" w:cs="Arial" w:eastAsia="Arial" w:hint="default"/>
          <w:position w:val="1"/>
          <w:u w:val="thick" w:color="000000"/>
        </w:rPr>
        <w:t> </w:t>
        <w:tab/>
        <w:t>-</w:t>
      </w:r>
      <w:r>
        <w:rPr>
          <w:rFonts w:ascii="Arial" w:hAnsi="Arial" w:cs="Arial" w:eastAsia="Arial" w:hint="default"/>
          <w:position w:val="1"/>
        </w:rPr>
        <w:tab/>
      </w:r>
      <w:r>
        <w:rPr>
          <w:rFonts w:ascii="Arial" w:hAnsi="Arial" w:cs="Arial" w:eastAsia="Arial" w:hint="default"/>
          <w:position w:val="1"/>
          <w:u w:val="thick" w:color="000000"/>
        </w:rPr>
        <w:t> </w:t>
        <w:tab/>
        <w:t>- </w:t>
      </w:r>
      <w:r>
        <w:rPr>
          <w:rFonts w:ascii="Arial" w:hAnsi="Arial" w:cs="Arial" w:eastAsia="Arial" w:hint="default"/>
          <w:spacing w:val="29"/>
          <w:position w:val="1"/>
          <w:u w:val="thick" w:color="000000"/>
        </w:rPr>
        <w:t> </w:t>
      </w:r>
      <w:r>
        <w:rPr>
          <w:rFonts w:ascii="Arial" w:hAnsi="Arial" w:cs="Arial" w:eastAsia="Arial" w:hint="default"/>
          <w:spacing w:val="29"/>
          <w:position w:val="1"/>
        </w:rPr>
      </w:r>
      <w:r>
        <w:rPr>
          <w:rFonts w:ascii="Arial" w:hAnsi="Arial" w:cs="Arial" w:eastAsia="Arial" w:hint="default"/>
          <w:spacing w:val="-1"/>
          <w:position w:val="1"/>
          <w:u w:val="thick" w:color="000000"/>
        </w:rPr>
        <w:t>10,000,000</w:t>
      </w:r>
      <w:r>
        <w:rPr>
          <w:rFonts w:ascii="Arial" w:hAnsi="Arial" w:cs="Arial" w:eastAsia="Arial" w:hint="default"/>
          <w:spacing w:val="-1"/>
          <w:position w:val="1"/>
        </w:rPr>
        <w:tab/>
      </w:r>
      <w:r>
        <w:rPr>
          <w:rFonts w:ascii="Arial" w:hAnsi="Arial" w:cs="Arial" w:eastAsia="Arial" w:hint="default"/>
          <w:position w:val="1"/>
          <w:u w:val="thick" w:color="000000"/>
        </w:rPr>
        <w:t>100%</w:t>
      </w:r>
      <w:r>
        <w:rPr>
          <w:rFonts w:ascii="Arial" w:hAnsi="Arial" w:cs="Arial" w:eastAsia="Arial" w:hint="default"/>
        </w:rPr>
      </w:r>
    </w:p>
    <w:p>
      <w:pPr>
        <w:spacing w:line="240" w:lineRule="auto" w:before="2"/>
        <w:rPr>
          <w:rFonts w:ascii="Arial" w:hAnsi="Arial" w:cs="Arial" w:eastAsia="Arial" w:hint="default"/>
          <w:sz w:val="27"/>
          <w:szCs w:val="27"/>
        </w:rPr>
      </w:pPr>
    </w:p>
    <w:p>
      <w:pPr>
        <w:pStyle w:val="BodyText"/>
        <w:spacing w:line="240" w:lineRule="auto" w:before="38"/>
        <w:ind w:right="0"/>
        <w:jc w:val="left"/>
      </w:pPr>
      <w:r>
        <w:rPr>
          <w:rFonts w:ascii="Arial" w:hAnsi="Arial" w:cs="Arial" w:eastAsia="Arial" w:hint="default"/>
        </w:rPr>
        <w:t>(3)  </w:t>
      </w:r>
      <w:r>
        <w:rPr>
          <w:rFonts w:ascii="Arial" w:hAnsi="Arial" w:cs="Arial" w:eastAsia="Arial" w:hint="default"/>
          <w:spacing w:val="31"/>
        </w:rPr>
        <w:t> </w:t>
      </w:r>
      <w:r>
        <w:rPr/>
        <w:t>关联方租赁</w:t>
      </w:r>
    </w:p>
    <w:p>
      <w:pPr>
        <w:spacing w:line="240" w:lineRule="auto" w:before="6"/>
        <w:rPr>
          <w:rFonts w:ascii="黑体" w:hAnsi="黑体" w:cs="黑体" w:eastAsia="黑体" w:hint="default"/>
          <w:sz w:val="17"/>
          <w:szCs w:val="17"/>
        </w:rPr>
      </w:pPr>
    </w:p>
    <w:p>
      <w:pPr>
        <w:pStyle w:val="BodyText"/>
        <w:spacing w:line="240" w:lineRule="auto"/>
        <w:ind w:right="0"/>
        <w:jc w:val="left"/>
      </w:pPr>
      <w:r>
        <w:rPr>
          <w:rFonts w:ascii="Arial" w:hAnsi="Arial" w:cs="Arial" w:eastAsia="Arial" w:hint="default"/>
        </w:rPr>
        <w:t>2009</w:t>
      </w:r>
      <w:r>
        <w:rPr/>
        <w:t>年</w:t>
      </w:r>
    </w:p>
    <w:p>
      <w:pPr>
        <w:spacing w:line="240" w:lineRule="auto" w:before="5"/>
        <w:rPr>
          <w:rFonts w:ascii="黑体" w:hAnsi="黑体" w:cs="黑体" w:eastAsia="黑体" w:hint="default"/>
          <w:sz w:val="18"/>
          <w:szCs w:val="18"/>
        </w:rPr>
      </w:pPr>
    </w:p>
    <w:p>
      <w:pPr>
        <w:pStyle w:val="BodyText"/>
        <w:tabs>
          <w:tab w:pos="3954" w:val="left" w:leader="none"/>
          <w:tab w:pos="4355" w:val="left" w:leader="none"/>
          <w:tab w:pos="6138" w:val="left" w:leader="none"/>
          <w:tab w:pos="6339" w:val="left" w:leader="none"/>
          <w:tab w:pos="7132" w:val="left" w:leader="none"/>
          <w:tab w:pos="7332" w:val="left" w:leader="none"/>
          <w:tab w:pos="8168" w:val="left" w:leader="none"/>
        </w:tabs>
        <w:spacing w:line="238" w:lineRule="exact" w:before="82"/>
        <w:ind w:left="2654" w:right="193" w:hanging="201"/>
        <w:jc w:val="left"/>
      </w:pPr>
      <w:r>
        <w:rPr/>
        <w:t>租赁方</w:t>
        <w:tab/>
        <w:t>租赁资产</w:t>
      </w:r>
      <w:r>
        <w:rPr>
          <w:spacing w:val="92"/>
        </w:rPr>
        <w:t> </w:t>
      </w:r>
      <w:r>
        <w:rPr/>
        <w:t>租赁资产</w:t>
        <w:tab/>
        <w:tab/>
        <w:t>租赁</w:t>
        <w:tab/>
        <w:tab/>
        <w:t>租赁</w:t>
        <w:tab/>
        <w:t>租赁</w:t>
      </w:r>
      <w:r>
        <w:rPr>
          <w:w w:val="100"/>
        </w:rPr>
        <w:t> </w:t>
      </w:r>
      <w:r>
        <w:rPr/>
        <w:t>名称</w:t>
        <w:tab/>
        <w:tab/>
        <w:t>情况</w:t>
      </w:r>
      <w:r>
        <w:rPr>
          <w:spacing w:val="91"/>
        </w:rPr>
        <w:t> </w:t>
      </w:r>
      <w:r>
        <w:rPr/>
        <w:t>涉及金额</w:t>
        <w:tab/>
        <w:t>起始日</w:t>
        <w:tab/>
        <w:t>终止日</w:t>
        <w:tab/>
        <w:t>收益</w:t>
      </w:r>
    </w:p>
    <w:p>
      <w:pPr>
        <w:spacing w:line="240" w:lineRule="auto" w:before="4"/>
        <w:rPr>
          <w:rFonts w:ascii="黑体" w:hAnsi="黑体" w:cs="黑体" w:eastAsia="黑体" w:hint="default"/>
          <w:sz w:val="15"/>
          <w:szCs w:val="15"/>
        </w:rPr>
      </w:pPr>
    </w:p>
    <w:p>
      <w:pPr>
        <w:pStyle w:val="BodyText"/>
        <w:tabs>
          <w:tab w:pos="5807" w:val="left" w:leader="none"/>
        </w:tabs>
        <w:spacing w:line="240" w:lineRule="auto" w:before="38"/>
        <w:ind w:left="3158" w:right="0"/>
        <w:jc w:val="left"/>
      </w:pPr>
      <w:r>
        <w:rPr>
          <w:spacing w:val="-1"/>
        </w:rPr>
        <w:t>用友软件园</w:t>
      </w:r>
      <w:r>
        <w:rPr>
          <w:rFonts w:ascii="Arial" w:hAnsi="Arial" w:cs="Arial" w:eastAsia="Arial" w:hint="default"/>
          <w:spacing w:val="-1"/>
        </w:rPr>
        <w:t>1</w:t>
      </w:r>
      <w:r>
        <w:rPr>
          <w:spacing w:val="-1"/>
        </w:rPr>
        <w:t>号楼</w:t>
      </w:r>
      <w:r>
        <w:rPr>
          <w:rFonts w:ascii="Arial" w:hAnsi="Arial" w:cs="Arial" w:eastAsia="Arial" w:hint="default"/>
          <w:spacing w:val="-1"/>
        </w:rPr>
        <w:t>3</w:t>
        <w:tab/>
        <w:t>2008</w:t>
      </w:r>
      <w:r>
        <w:rPr>
          <w:spacing w:val="-1"/>
        </w:rPr>
        <w:t>年</w:t>
      </w:r>
      <w:r>
        <w:rPr>
          <w:rFonts w:ascii="Arial" w:hAnsi="Arial" w:cs="Arial" w:eastAsia="Arial" w:hint="default"/>
          <w:spacing w:val="-1"/>
        </w:rPr>
        <w:t>3</w:t>
      </w:r>
      <w:r>
        <w:rPr>
          <w:spacing w:val="-1"/>
        </w:rPr>
        <w:t>月</w:t>
      </w:r>
      <w:r>
        <w:rPr>
          <w:spacing w:val="-49"/>
        </w:rPr>
        <w:t> </w:t>
      </w:r>
      <w:r>
        <w:rPr>
          <w:rFonts w:ascii="Arial" w:hAnsi="Arial" w:cs="Arial" w:eastAsia="Arial" w:hint="default"/>
          <w:spacing w:val="-1"/>
        </w:rPr>
        <w:t>2010</w:t>
      </w:r>
      <w:r>
        <w:rPr>
          <w:spacing w:val="-1"/>
        </w:rPr>
        <w:t>年</w:t>
      </w:r>
      <w:r>
        <w:rPr>
          <w:rFonts w:ascii="Arial" w:hAnsi="Arial" w:cs="Arial" w:eastAsia="Arial" w:hint="default"/>
          <w:spacing w:val="-1"/>
        </w:rPr>
        <w:t>3</w:t>
      </w:r>
      <w:r>
        <w:rPr>
          <w:spacing w:val="-1"/>
        </w:rPr>
        <w:t>月</w:t>
      </w:r>
    </w:p>
    <w:p>
      <w:pPr>
        <w:spacing w:after="0" w:line="240" w:lineRule="auto"/>
        <w:jc w:val="left"/>
        <w:sectPr>
          <w:pgSz w:w="11910" w:h="16840"/>
          <w:pgMar w:header="828" w:footer="476" w:top="2420" w:bottom="660" w:left="1600" w:right="1540"/>
        </w:sectPr>
      </w:pPr>
    </w:p>
    <w:p>
      <w:pPr>
        <w:pStyle w:val="BodyText"/>
        <w:tabs>
          <w:tab w:pos="2277" w:val="left" w:leader="none"/>
        </w:tabs>
        <w:spacing w:line="240" w:lineRule="auto" w:before="36"/>
        <w:ind w:left="807" w:right="-18"/>
        <w:jc w:val="left"/>
      </w:pPr>
      <w:r>
        <w:rPr/>
        <w:t>用友移动</w:t>
        <w:tab/>
        <w:t>用友股份</w:t>
      </w:r>
    </w:p>
    <w:p>
      <w:pPr>
        <w:pStyle w:val="BodyText"/>
        <w:spacing w:line="240" w:lineRule="auto" w:before="36"/>
        <w:ind w:left="360" w:right="-9"/>
        <w:jc w:val="left"/>
        <w:rPr>
          <w:rFonts w:ascii="Arial" w:hAnsi="Arial" w:cs="Arial" w:eastAsia="Arial" w:hint="default"/>
        </w:rPr>
      </w:pPr>
      <w:r>
        <w:rPr/>
        <w:br w:type="column"/>
      </w:r>
      <w:r>
        <w:rPr/>
        <w:t>层</w:t>
      </w:r>
      <w:r>
        <w:rPr>
          <w:rFonts w:ascii="Arial" w:hAnsi="Arial" w:cs="Arial" w:eastAsia="Arial" w:hint="default"/>
        </w:rPr>
        <w:t>1,560</w:t>
      </w:r>
      <w:r>
        <w:rPr/>
        <w:t>平方米</w:t>
      </w:r>
      <w:r>
        <w:rPr>
          <w:spacing w:val="-9"/>
        </w:rPr>
        <w:t> </w:t>
      </w:r>
      <w:r>
        <w:rPr>
          <w:rFonts w:ascii="Arial" w:hAnsi="Arial" w:cs="Arial" w:eastAsia="Arial" w:hint="default"/>
          <w:position w:val="1"/>
        </w:rPr>
        <w:t>5,410,689</w:t>
      </w:r>
      <w:r>
        <w:rPr>
          <w:rFonts w:ascii="Arial" w:hAnsi="Arial" w:cs="Arial" w:eastAsia="Arial" w:hint="default"/>
        </w:rPr>
      </w:r>
    </w:p>
    <w:p>
      <w:pPr>
        <w:spacing w:before="36"/>
        <w:ind w:left="529" w:right="-19" w:firstLine="0"/>
        <w:jc w:val="left"/>
        <w:rPr>
          <w:rFonts w:ascii="黑体" w:hAnsi="黑体" w:cs="黑体" w:eastAsia="黑体" w:hint="default"/>
          <w:sz w:val="20"/>
          <w:szCs w:val="20"/>
        </w:rPr>
      </w:pPr>
      <w:r>
        <w:rPr/>
        <w:br w:type="column"/>
      </w:r>
      <w:r>
        <w:rPr>
          <w:rFonts w:ascii="Arial" w:hAnsi="Arial" w:cs="Arial" w:eastAsia="Arial" w:hint="default"/>
          <w:sz w:val="20"/>
          <w:szCs w:val="20"/>
        </w:rPr>
        <w:t>22</w:t>
      </w:r>
      <w:r>
        <w:rPr>
          <w:rFonts w:ascii="黑体" w:hAnsi="黑体" w:cs="黑体" w:eastAsia="黑体" w:hint="default"/>
          <w:sz w:val="20"/>
          <w:szCs w:val="20"/>
        </w:rPr>
        <w:t>日</w:t>
      </w:r>
    </w:p>
    <w:p>
      <w:pPr>
        <w:pStyle w:val="BodyText"/>
        <w:spacing w:line="240" w:lineRule="auto" w:before="36"/>
        <w:ind w:left="530" w:right="0"/>
        <w:jc w:val="left"/>
        <w:rPr>
          <w:rFonts w:ascii="Arial" w:hAnsi="Arial" w:cs="Arial" w:eastAsia="Arial" w:hint="default"/>
        </w:rPr>
      </w:pPr>
      <w:r>
        <w:rPr/>
        <w:br w:type="column"/>
      </w:r>
      <w:r>
        <w:rPr>
          <w:rFonts w:ascii="Arial" w:hAnsi="Arial" w:cs="Arial" w:eastAsia="Arial" w:hint="default"/>
        </w:rPr>
        <w:t>21</w:t>
      </w:r>
      <w:r>
        <w:rPr/>
        <w:t>日</w:t>
      </w:r>
      <w:r>
        <w:rPr>
          <w:spacing w:val="11"/>
        </w:rPr>
        <w:t> </w:t>
      </w:r>
      <w:r>
        <w:rPr>
          <w:rFonts w:ascii="Arial" w:hAnsi="Arial" w:cs="Arial" w:eastAsia="Arial" w:hint="default"/>
          <w:spacing w:val="11"/>
          <w:position w:val="1"/>
        </w:rPr>
      </w:r>
      <w:r>
        <w:rPr>
          <w:rFonts w:ascii="Arial" w:hAnsi="Arial" w:cs="Arial" w:eastAsia="Arial" w:hint="default"/>
          <w:position w:val="1"/>
          <w:u w:val="thick" w:color="000000"/>
        </w:rPr>
        <w:t>673,355</w:t>
      </w:r>
      <w:r>
        <w:rPr>
          <w:rFonts w:ascii="Arial" w:hAnsi="Arial" w:cs="Arial" w:eastAsia="Arial" w:hint="default"/>
        </w:rPr>
      </w:r>
    </w:p>
    <w:p>
      <w:pPr>
        <w:spacing w:after="0" w:line="240" w:lineRule="auto"/>
        <w:jc w:val="left"/>
        <w:rPr>
          <w:rFonts w:ascii="Arial" w:hAnsi="Arial" w:cs="Arial" w:eastAsia="Arial" w:hint="default"/>
        </w:rPr>
        <w:sectPr>
          <w:type w:val="continuous"/>
          <w:pgSz w:w="11910" w:h="16840"/>
          <w:pgMar w:top="900" w:bottom="280" w:left="1600" w:right="1540"/>
          <w:cols w:num="4" w:equalWidth="0">
            <w:col w:w="3080" w:space="40"/>
            <w:col w:w="2653" w:space="40"/>
            <w:col w:w="953" w:space="40"/>
            <w:col w:w="1964"/>
          </w:cols>
        </w:sectPr>
      </w:pPr>
    </w:p>
    <w:p>
      <w:pPr>
        <w:spacing w:line="240" w:lineRule="auto" w:before="3"/>
        <w:rPr>
          <w:rFonts w:ascii="Arial" w:hAnsi="Arial" w:cs="Arial" w:eastAsia="Arial" w:hint="default"/>
          <w:sz w:val="25"/>
          <w:szCs w:val="25"/>
        </w:rPr>
      </w:pPr>
    </w:p>
    <w:p>
      <w:pPr>
        <w:pStyle w:val="BodyText"/>
        <w:spacing w:line="240" w:lineRule="auto" w:before="38"/>
        <w:ind w:right="0"/>
        <w:jc w:val="left"/>
      </w:pPr>
      <w:r>
        <w:rPr>
          <w:rFonts w:ascii="Arial" w:hAnsi="Arial" w:cs="Arial" w:eastAsia="Arial" w:hint="default"/>
        </w:rPr>
        <w:t>2008</w:t>
      </w:r>
      <w:r>
        <w:rPr/>
        <w:t>年</w:t>
      </w:r>
    </w:p>
    <w:p>
      <w:pPr>
        <w:spacing w:line="240" w:lineRule="auto" w:before="5"/>
        <w:rPr>
          <w:rFonts w:ascii="黑体" w:hAnsi="黑体" w:cs="黑体" w:eastAsia="黑体" w:hint="default"/>
          <w:sz w:val="18"/>
          <w:szCs w:val="18"/>
        </w:rPr>
      </w:pPr>
    </w:p>
    <w:p>
      <w:pPr>
        <w:pStyle w:val="BodyText"/>
        <w:tabs>
          <w:tab w:pos="3999" w:val="left" w:leader="none"/>
          <w:tab w:pos="4399" w:val="left" w:leader="none"/>
          <w:tab w:pos="6183" w:val="left" w:leader="none"/>
          <w:tab w:pos="6383" w:val="left" w:leader="none"/>
          <w:tab w:pos="7176" w:val="left" w:leader="none"/>
          <w:tab w:pos="7377" w:val="left" w:leader="none"/>
          <w:tab w:pos="8203" w:val="left" w:leader="none"/>
        </w:tabs>
        <w:spacing w:line="238" w:lineRule="exact" w:before="82"/>
        <w:ind w:left="2699" w:right="157" w:hanging="201"/>
        <w:jc w:val="left"/>
      </w:pPr>
      <w:r>
        <w:rPr/>
        <w:t>租赁方</w:t>
        <w:tab/>
        <w:t>租赁资产</w:t>
      </w:r>
      <w:r>
        <w:rPr>
          <w:spacing w:val="92"/>
        </w:rPr>
        <w:t> </w:t>
      </w:r>
      <w:r>
        <w:rPr/>
        <w:t>租赁资产</w:t>
        <w:tab/>
        <w:tab/>
        <w:t>租赁</w:t>
        <w:tab/>
        <w:tab/>
        <w:t>租赁</w:t>
        <w:tab/>
        <w:t>租赁</w:t>
      </w:r>
      <w:r>
        <w:rPr>
          <w:w w:val="100"/>
        </w:rPr>
        <w:t> </w:t>
      </w:r>
      <w:r>
        <w:rPr/>
        <w:t>名称</w:t>
        <w:tab/>
        <w:tab/>
        <w:t>情况</w:t>
      </w:r>
      <w:r>
        <w:rPr>
          <w:spacing w:val="91"/>
        </w:rPr>
        <w:t> </w:t>
      </w:r>
      <w:r>
        <w:rPr/>
        <w:t>涉及金额</w:t>
        <w:tab/>
        <w:t>起始日</w:t>
        <w:tab/>
        <w:t>终止日</w:t>
        <w:tab/>
        <w:t>收益</w:t>
      </w:r>
    </w:p>
    <w:p>
      <w:pPr>
        <w:spacing w:line="240" w:lineRule="auto" w:before="3"/>
        <w:rPr>
          <w:rFonts w:ascii="黑体" w:hAnsi="黑体" w:cs="黑体" w:eastAsia="黑体" w:hint="default"/>
          <w:sz w:val="15"/>
          <w:szCs w:val="15"/>
        </w:rPr>
      </w:pPr>
    </w:p>
    <w:p>
      <w:pPr>
        <w:pStyle w:val="BodyText"/>
        <w:tabs>
          <w:tab w:pos="5807" w:val="left" w:leader="none"/>
        </w:tabs>
        <w:spacing w:line="240" w:lineRule="auto" w:before="38"/>
        <w:ind w:left="3156" w:right="0"/>
        <w:jc w:val="left"/>
      </w:pPr>
      <w:r>
        <w:rPr>
          <w:spacing w:val="-1"/>
        </w:rPr>
        <w:t>用友软件园</w:t>
      </w:r>
      <w:r>
        <w:rPr>
          <w:rFonts w:ascii="Arial" w:hAnsi="Arial" w:cs="Arial" w:eastAsia="Arial" w:hint="default"/>
          <w:spacing w:val="-1"/>
        </w:rPr>
        <w:t>1</w:t>
      </w:r>
      <w:r>
        <w:rPr>
          <w:spacing w:val="-1"/>
        </w:rPr>
        <w:t>号楼</w:t>
      </w:r>
      <w:r>
        <w:rPr>
          <w:rFonts w:ascii="Arial" w:hAnsi="Arial" w:cs="Arial" w:eastAsia="Arial" w:hint="default"/>
          <w:spacing w:val="-1"/>
        </w:rPr>
        <w:t>3</w:t>
        <w:tab/>
        <w:t>2008</w:t>
      </w:r>
      <w:r>
        <w:rPr>
          <w:spacing w:val="-1"/>
        </w:rPr>
        <w:t>年</w:t>
      </w:r>
      <w:r>
        <w:rPr>
          <w:rFonts w:ascii="Arial" w:hAnsi="Arial" w:cs="Arial" w:eastAsia="Arial" w:hint="default"/>
          <w:spacing w:val="-1"/>
        </w:rPr>
        <w:t>3</w:t>
      </w:r>
      <w:r>
        <w:rPr>
          <w:spacing w:val="-1"/>
        </w:rPr>
        <w:t>月</w:t>
      </w:r>
      <w:r>
        <w:rPr>
          <w:spacing w:val="-49"/>
        </w:rPr>
        <w:t> </w:t>
      </w:r>
      <w:r>
        <w:rPr>
          <w:rFonts w:ascii="Arial" w:hAnsi="Arial" w:cs="Arial" w:eastAsia="Arial" w:hint="default"/>
          <w:spacing w:val="-1"/>
        </w:rPr>
        <w:t>2010</w:t>
      </w:r>
      <w:r>
        <w:rPr>
          <w:spacing w:val="-1"/>
        </w:rPr>
        <w:t>年</w:t>
      </w:r>
      <w:r>
        <w:rPr>
          <w:rFonts w:ascii="Arial" w:hAnsi="Arial" w:cs="Arial" w:eastAsia="Arial" w:hint="default"/>
          <w:spacing w:val="-1"/>
        </w:rPr>
        <w:t>3</w:t>
      </w:r>
      <w:r>
        <w:rPr>
          <w:spacing w:val="-1"/>
        </w:rPr>
        <w:t>月</w:t>
      </w:r>
    </w:p>
    <w:p>
      <w:pPr>
        <w:spacing w:after="0" w:line="240" w:lineRule="auto"/>
        <w:jc w:val="left"/>
        <w:sectPr>
          <w:type w:val="continuous"/>
          <w:pgSz w:w="11910" w:h="16840"/>
          <w:pgMar w:top="900" w:bottom="280" w:left="1600" w:right="1540"/>
        </w:sectPr>
      </w:pPr>
    </w:p>
    <w:p>
      <w:pPr>
        <w:pStyle w:val="BodyText"/>
        <w:tabs>
          <w:tab w:pos="2277" w:val="left" w:leader="none"/>
        </w:tabs>
        <w:spacing w:line="240" w:lineRule="auto" w:before="36"/>
        <w:ind w:left="807" w:right="-19"/>
        <w:jc w:val="left"/>
      </w:pPr>
      <w:r>
        <w:rPr/>
        <w:t>用友移动</w:t>
        <w:tab/>
        <w:t>用友股份</w:t>
      </w:r>
    </w:p>
    <w:p>
      <w:pPr>
        <w:pStyle w:val="BodyText"/>
        <w:spacing w:line="240" w:lineRule="auto" w:before="36"/>
        <w:ind w:left="359" w:right="-10"/>
        <w:jc w:val="left"/>
        <w:rPr>
          <w:rFonts w:ascii="Arial" w:hAnsi="Arial" w:cs="Arial" w:eastAsia="Arial" w:hint="default"/>
        </w:rPr>
      </w:pPr>
      <w:r>
        <w:rPr/>
        <w:br w:type="column"/>
      </w:r>
      <w:r>
        <w:rPr/>
        <w:t>层</w:t>
      </w:r>
      <w:r>
        <w:rPr>
          <w:rFonts w:ascii="Arial" w:hAnsi="Arial" w:cs="Arial" w:eastAsia="Arial" w:hint="default"/>
        </w:rPr>
        <w:t>1,560</w:t>
      </w:r>
      <w:r>
        <w:rPr/>
        <w:t>平方米</w:t>
      </w:r>
      <w:r>
        <w:rPr>
          <w:spacing w:val="-7"/>
        </w:rPr>
        <w:t> </w:t>
      </w:r>
      <w:r>
        <w:rPr>
          <w:rFonts w:ascii="Arial" w:hAnsi="Arial" w:cs="Arial" w:eastAsia="Arial" w:hint="default"/>
          <w:position w:val="1"/>
        </w:rPr>
        <w:t>5,410,689</w:t>
      </w:r>
      <w:r>
        <w:rPr>
          <w:rFonts w:ascii="Arial" w:hAnsi="Arial" w:cs="Arial" w:eastAsia="Arial" w:hint="default"/>
        </w:rPr>
      </w:r>
    </w:p>
    <w:p>
      <w:pPr>
        <w:spacing w:before="36"/>
        <w:ind w:left="529" w:right="-19" w:firstLine="0"/>
        <w:jc w:val="left"/>
        <w:rPr>
          <w:rFonts w:ascii="黑体" w:hAnsi="黑体" w:cs="黑体" w:eastAsia="黑体" w:hint="default"/>
          <w:sz w:val="20"/>
          <w:szCs w:val="20"/>
        </w:rPr>
      </w:pPr>
      <w:r>
        <w:rPr/>
        <w:br w:type="column"/>
      </w:r>
      <w:r>
        <w:rPr>
          <w:rFonts w:ascii="Arial" w:hAnsi="Arial" w:cs="Arial" w:eastAsia="Arial" w:hint="default"/>
          <w:sz w:val="20"/>
          <w:szCs w:val="20"/>
        </w:rPr>
        <w:t>22</w:t>
      </w:r>
      <w:r>
        <w:rPr>
          <w:rFonts w:ascii="黑体" w:hAnsi="黑体" w:cs="黑体" w:eastAsia="黑体" w:hint="default"/>
          <w:sz w:val="20"/>
          <w:szCs w:val="20"/>
        </w:rPr>
        <w:t>日</w:t>
      </w:r>
    </w:p>
    <w:p>
      <w:pPr>
        <w:pStyle w:val="BodyText"/>
        <w:spacing w:line="240" w:lineRule="auto" w:before="36"/>
        <w:ind w:left="530" w:right="0"/>
        <w:jc w:val="left"/>
        <w:rPr>
          <w:rFonts w:ascii="Arial" w:hAnsi="Arial" w:cs="Arial" w:eastAsia="Arial" w:hint="default"/>
        </w:rPr>
      </w:pPr>
      <w:r>
        <w:rPr/>
        <w:br w:type="column"/>
      </w:r>
      <w:r>
        <w:rPr>
          <w:rFonts w:ascii="Arial" w:hAnsi="Arial" w:cs="Arial" w:eastAsia="Arial" w:hint="default"/>
        </w:rPr>
        <w:t>21</w:t>
      </w:r>
      <w:r>
        <w:rPr/>
        <w:t>日</w:t>
      </w:r>
      <w:r>
        <w:rPr>
          <w:spacing w:val="23"/>
        </w:rPr>
        <w:t> </w:t>
      </w:r>
      <w:r>
        <w:rPr>
          <w:rFonts w:ascii="Arial" w:hAnsi="Arial" w:cs="Arial" w:eastAsia="Arial" w:hint="default"/>
          <w:spacing w:val="23"/>
          <w:position w:val="1"/>
        </w:rPr>
      </w:r>
      <w:r>
        <w:rPr>
          <w:rFonts w:ascii="Arial" w:hAnsi="Arial" w:cs="Arial" w:eastAsia="Arial" w:hint="default"/>
          <w:position w:val="1"/>
          <w:u w:val="thick" w:color="000000"/>
        </w:rPr>
        <w:t>611,113</w:t>
      </w:r>
      <w:r>
        <w:rPr>
          <w:rFonts w:ascii="Arial" w:hAnsi="Arial" w:cs="Arial" w:eastAsia="Arial" w:hint="default"/>
        </w:rPr>
      </w:r>
    </w:p>
    <w:p>
      <w:pPr>
        <w:spacing w:after="0" w:line="240" w:lineRule="auto"/>
        <w:jc w:val="left"/>
        <w:rPr>
          <w:rFonts w:ascii="Arial" w:hAnsi="Arial" w:cs="Arial" w:eastAsia="Arial" w:hint="default"/>
        </w:rPr>
        <w:sectPr>
          <w:type w:val="continuous"/>
          <w:pgSz w:w="11910" w:h="16840"/>
          <w:pgMar w:top="900" w:bottom="280" w:left="1600" w:right="1540"/>
          <w:cols w:num="4" w:equalWidth="0">
            <w:col w:w="3079" w:space="40"/>
            <w:col w:w="2653" w:space="40"/>
            <w:col w:w="953" w:space="40"/>
            <w:col w:w="1965"/>
          </w:cols>
        </w:sect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5"/>
        <w:rPr>
          <w:rFonts w:ascii="Arial" w:hAnsi="Arial" w:cs="Arial" w:eastAsia="Arial" w:hint="default"/>
          <w:sz w:val="18"/>
          <w:szCs w:val="18"/>
        </w:rPr>
      </w:pPr>
    </w:p>
    <w:tbl>
      <w:tblPr>
        <w:tblW w:w="0" w:type="auto"/>
        <w:jc w:val="left"/>
        <w:tblInd w:w="106" w:type="dxa"/>
        <w:tblLayout w:type="fixed"/>
        <w:tblCellMar>
          <w:top w:w="0" w:type="dxa"/>
          <w:left w:w="0" w:type="dxa"/>
          <w:bottom w:w="0" w:type="dxa"/>
          <w:right w:w="0" w:type="dxa"/>
        </w:tblCellMar>
        <w:tblLook w:val="01E0"/>
      </w:tblPr>
      <w:tblGrid>
        <w:gridCol w:w="580"/>
        <w:gridCol w:w="3374"/>
        <w:gridCol w:w="2396"/>
        <w:gridCol w:w="2215"/>
      </w:tblGrid>
      <w:tr>
        <w:trPr>
          <w:trHeight w:val="1016" w:hRule="exact"/>
        </w:trPr>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六、</w:t>
            </w:r>
            <w:r>
              <w:rPr>
                <w:rFonts w:ascii="黑体" w:hAnsi="黑体" w:cs="黑体" w:eastAsia="黑体" w:hint="default"/>
                <w:sz w:val="20"/>
                <w:szCs w:val="20"/>
              </w:rPr>
            </w:r>
          </w:p>
          <w:p>
            <w:pPr>
              <w:pStyle w:val="TableParagraph"/>
              <w:spacing w:line="240" w:lineRule="auto"/>
              <w:ind w:right="0"/>
              <w:jc w:val="left"/>
              <w:rPr>
                <w:rFonts w:ascii="Arial" w:hAnsi="Arial" w:cs="Arial" w:eastAsia="Arial" w:hint="default"/>
                <w:sz w:val="20"/>
                <w:szCs w:val="20"/>
              </w:rPr>
            </w:pPr>
          </w:p>
          <w:p>
            <w:pPr>
              <w:pStyle w:val="TableParagraph"/>
              <w:spacing w:line="240" w:lineRule="auto" w:before="124"/>
              <w:ind w:left="35" w:right="0"/>
              <w:jc w:val="left"/>
              <w:rPr>
                <w:rFonts w:ascii="Arial" w:hAnsi="Arial" w:cs="Arial" w:eastAsia="Arial" w:hint="default"/>
                <w:sz w:val="20"/>
                <w:szCs w:val="20"/>
              </w:rPr>
            </w:pPr>
            <w:r>
              <w:rPr>
                <w:rFonts w:ascii="Arial"/>
                <w:b/>
                <w:sz w:val="20"/>
              </w:rPr>
              <w:t>5.</w:t>
            </w:r>
            <w:r>
              <w:rPr>
                <w:rFonts w:ascii="Arial"/>
                <w:sz w:val="20"/>
              </w:rPr>
            </w:r>
          </w:p>
        </w:tc>
        <w:tc>
          <w:tcPr>
            <w:tcW w:w="337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57" w:right="0"/>
              <w:jc w:val="left"/>
              <w:rPr>
                <w:rFonts w:ascii="黑体" w:hAnsi="黑体" w:cs="黑体" w:eastAsia="黑体" w:hint="default"/>
                <w:sz w:val="20"/>
                <w:szCs w:val="20"/>
              </w:rPr>
            </w:pPr>
            <w:r>
              <w:rPr>
                <w:rFonts w:ascii="黑体" w:hAnsi="黑体" w:cs="黑体" w:eastAsia="黑体" w:hint="default"/>
                <w:b/>
                <w:bCs/>
                <w:sz w:val="20"/>
                <w:szCs w:val="20"/>
              </w:rPr>
              <w:t>关联方关系及其交易（续）</w:t>
            </w:r>
            <w:r>
              <w:rPr>
                <w:rFonts w:ascii="黑体" w:hAnsi="黑体" w:cs="黑体" w:eastAsia="黑体" w:hint="default"/>
                <w:sz w:val="20"/>
                <w:szCs w:val="20"/>
              </w:rPr>
            </w:r>
          </w:p>
          <w:p>
            <w:pPr>
              <w:pStyle w:val="TableParagraph"/>
              <w:spacing w:line="240" w:lineRule="auto" w:before="10"/>
              <w:ind w:right="0"/>
              <w:jc w:val="left"/>
              <w:rPr>
                <w:rFonts w:ascii="Arial" w:hAnsi="Arial" w:cs="Arial" w:eastAsia="Arial" w:hint="default"/>
                <w:sz w:val="26"/>
                <w:szCs w:val="26"/>
              </w:rPr>
            </w:pPr>
          </w:p>
          <w:p>
            <w:pPr>
              <w:pStyle w:val="TableParagraph"/>
              <w:spacing w:line="240" w:lineRule="auto"/>
              <w:ind w:left="175" w:right="0"/>
              <w:jc w:val="left"/>
              <w:rPr>
                <w:rFonts w:ascii="黑体" w:hAnsi="黑体" w:cs="黑体" w:eastAsia="黑体" w:hint="default"/>
                <w:sz w:val="20"/>
                <w:szCs w:val="20"/>
              </w:rPr>
            </w:pPr>
            <w:r>
              <w:rPr>
                <w:rFonts w:ascii="黑体" w:hAnsi="黑体" w:cs="黑体" w:eastAsia="黑体" w:hint="default"/>
                <w:b/>
                <w:bCs/>
                <w:sz w:val="20"/>
                <w:szCs w:val="20"/>
              </w:rPr>
              <w:t>本集团与关联方的主要交易（续）</w:t>
            </w:r>
            <w:r>
              <w:rPr>
                <w:rFonts w:ascii="黑体" w:hAnsi="黑体" w:cs="黑体" w:eastAsia="黑体" w:hint="default"/>
                <w:sz w:val="20"/>
                <w:szCs w:val="20"/>
              </w:rPr>
            </w:r>
          </w:p>
        </w:tc>
        <w:tc>
          <w:tcPr>
            <w:tcW w:w="4611" w:type="dxa"/>
            <w:gridSpan w:val="2"/>
            <w:vMerge w:val="restart"/>
            <w:tcBorders>
              <w:top w:val="nil" w:sz="6" w:space="0" w:color="auto"/>
              <w:left w:val="nil" w:sz="6" w:space="0" w:color="auto"/>
              <w:right w:val="nil" w:sz="6" w:space="0" w:color="auto"/>
            </w:tcBorders>
          </w:tcPr>
          <w:p>
            <w:pPr/>
          </w:p>
        </w:tc>
      </w:tr>
      <w:tr>
        <w:trPr>
          <w:trHeight w:val="488" w:hRule="exact"/>
        </w:trPr>
        <w:tc>
          <w:tcPr>
            <w:tcW w:w="580" w:type="dxa"/>
            <w:tcBorders>
              <w:top w:val="nil" w:sz="6" w:space="0" w:color="auto"/>
              <w:left w:val="nil" w:sz="6" w:space="0" w:color="auto"/>
              <w:bottom w:val="nil" w:sz="6" w:space="0" w:color="auto"/>
              <w:right w:val="nil" w:sz="6" w:space="0" w:color="auto"/>
            </w:tcBorders>
          </w:tcPr>
          <w:p>
            <w:pPr/>
          </w:p>
        </w:tc>
        <w:tc>
          <w:tcPr>
            <w:tcW w:w="3374" w:type="dxa"/>
            <w:tcBorders>
              <w:top w:val="nil" w:sz="6" w:space="0" w:color="auto"/>
              <w:left w:val="nil" w:sz="6" w:space="0" w:color="auto"/>
              <w:bottom w:val="nil" w:sz="6" w:space="0" w:color="auto"/>
              <w:right w:val="nil" w:sz="6" w:space="0" w:color="auto"/>
            </w:tcBorders>
          </w:tcPr>
          <w:p>
            <w:pPr>
              <w:pStyle w:val="TableParagraph"/>
              <w:tabs>
                <w:tab w:pos="714" w:val="left" w:leader="none"/>
              </w:tabs>
              <w:spacing w:line="240" w:lineRule="auto" w:before="74"/>
              <w:ind w:left="169" w:right="0"/>
              <w:jc w:val="left"/>
              <w:rPr>
                <w:rFonts w:ascii="黑体" w:hAnsi="黑体" w:cs="黑体" w:eastAsia="黑体" w:hint="default"/>
                <w:sz w:val="20"/>
                <w:szCs w:val="20"/>
              </w:rPr>
            </w:pPr>
            <w:r>
              <w:rPr>
                <w:rFonts w:ascii="Arial" w:hAnsi="Arial" w:cs="Arial" w:eastAsia="Arial" w:hint="default"/>
                <w:sz w:val="20"/>
                <w:szCs w:val="20"/>
              </w:rPr>
              <w:t>(4)</w:t>
              <w:tab/>
            </w:r>
            <w:r>
              <w:rPr>
                <w:rFonts w:ascii="黑体" w:hAnsi="黑体" w:cs="黑体" w:eastAsia="黑体" w:hint="default"/>
                <w:sz w:val="20"/>
                <w:szCs w:val="20"/>
              </w:rPr>
              <w:t>其他关联方交易</w:t>
            </w:r>
          </w:p>
        </w:tc>
        <w:tc>
          <w:tcPr>
            <w:tcW w:w="4611" w:type="dxa"/>
            <w:gridSpan w:val="2"/>
            <w:vMerge/>
            <w:tcBorders>
              <w:left w:val="nil" w:sz="6" w:space="0" w:color="auto"/>
              <w:bottom w:val="nil" w:sz="6" w:space="0" w:color="auto"/>
              <w:right w:val="nil" w:sz="6" w:space="0" w:color="auto"/>
            </w:tcBorders>
          </w:tcPr>
          <w:p>
            <w:pPr/>
          </w:p>
        </w:tc>
      </w:tr>
      <w:tr>
        <w:trPr>
          <w:trHeight w:val="382" w:hRule="exact"/>
        </w:trPr>
        <w:tc>
          <w:tcPr>
            <w:tcW w:w="580" w:type="dxa"/>
            <w:tcBorders>
              <w:top w:val="nil" w:sz="6" w:space="0" w:color="auto"/>
              <w:left w:val="nil" w:sz="6" w:space="0" w:color="auto"/>
              <w:bottom w:val="nil" w:sz="6" w:space="0" w:color="auto"/>
              <w:right w:val="nil" w:sz="6" w:space="0" w:color="auto"/>
            </w:tcBorders>
          </w:tcPr>
          <w:p>
            <w:pPr/>
          </w:p>
        </w:tc>
        <w:tc>
          <w:tcPr>
            <w:tcW w:w="3374"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56" w:right="0"/>
              <w:jc w:val="left"/>
              <w:rPr>
                <w:rFonts w:ascii="黑体" w:hAnsi="黑体" w:cs="黑体" w:eastAsia="黑体" w:hint="default"/>
                <w:sz w:val="20"/>
                <w:szCs w:val="20"/>
              </w:rPr>
            </w:pPr>
            <w:r>
              <w:rPr>
                <w:rFonts w:ascii="黑体" w:hAnsi="黑体" w:cs="黑体" w:eastAsia="黑体" w:hint="default"/>
                <w:sz w:val="20"/>
                <w:szCs w:val="20"/>
              </w:rPr>
              <w:t>主办会议</w:t>
            </w:r>
          </w:p>
        </w:tc>
        <w:tc>
          <w:tcPr>
            <w:tcW w:w="2396" w:type="dxa"/>
            <w:tcBorders>
              <w:top w:val="nil" w:sz="6" w:space="0" w:color="auto"/>
              <w:left w:val="nil" w:sz="6" w:space="0" w:color="auto"/>
              <w:bottom w:val="nil" w:sz="6" w:space="0" w:color="auto"/>
              <w:right w:val="nil" w:sz="6" w:space="0" w:color="auto"/>
            </w:tcBorders>
          </w:tcPr>
          <w:p>
            <w:pPr>
              <w:pStyle w:val="TableParagraph"/>
              <w:tabs>
                <w:tab w:pos="1315" w:val="left" w:leader="none"/>
              </w:tabs>
              <w:spacing w:line="240" w:lineRule="auto" w:before="82"/>
              <w:ind w:right="197"/>
              <w:jc w:val="right"/>
              <w:rPr>
                <w:rFonts w:ascii="黑体" w:hAnsi="黑体" w:cs="黑体" w:eastAsia="黑体" w:hint="default"/>
                <w:sz w:val="20"/>
                <w:szCs w:val="20"/>
              </w:rPr>
            </w:pPr>
            <w:r>
              <w:rPr>
                <w:rFonts w:ascii="Arial" w:hAnsi="Arial" w:cs="Arial" w:eastAsia="Arial" w:hint="default"/>
                <w:w w:val="100"/>
                <w:sz w:val="20"/>
                <w:szCs w:val="20"/>
              </w:rPr>
            </w:r>
            <w:r>
              <w:rPr>
                <w:rFonts w:ascii="Arial" w:hAnsi="Arial" w:cs="Arial" w:eastAsia="Arial" w:hint="default"/>
                <w:w w:val="100"/>
                <w:sz w:val="20"/>
                <w:szCs w:val="20"/>
                <w:u w:val="single" w:color="000000"/>
              </w:rPr>
              <w:t> </w:t>
            </w:r>
            <w:r>
              <w:rPr>
                <w:rFonts w:ascii="Arial" w:hAnsi="Arial" w:cs="Arial" w:eastAsia="Arial" w:hint="default"/>
                <w:sz w:val="20"/>
                <w:szCs w:val="20"/>
                <w:u w:val="single" w:color="000000"/>
              </w:rPr>
              <w:tab/>
              <w:t>2009</w:t>
            </w:r>
            <w:r>
              <w:rPr>
                <w:rFonts w:ascii="Arial" w:hAnsi="Arial" w:cs="Arial" w:eastAsia="Arial" w:hint="default"/>
                <w:spacing w:val="-6"/>
                <w:sz w:val="20"/>
                <w:szCs w:val="20"/>
                <w:u w:val="single" w:color="000000"/>
              </w:rPr>
              <w:t> </w:t>
            </w:r>
            <w:r>
              <w:rPr>
                <w:rFonts w:ascii="黑体" w:hAnsi="黑体" w:cs="黑体" w:eastAsia="黑体" w:hint="default"/>
                <w:sz w:val="20"/>
                <w:szCs w:val="20"/>
                <w:u w:val="single" w:color="000000"/>
              </w:rPr>
              <w:t>年</w:t>
            </w:r>
            <w:r>
              <w:rPr>
                <w:rFonts w:ascii="黑体" w:hAnsi="黑体" w:cs="黑体" w:eastAsia="黑体" w:hint="default"/>
                <w:sz w:val="20"/>
                <w:szCs w:val="20"/>
              </w:rPr>
            </w:r>
          </w:p>
        </w:tc>
        <w:tc>
          <w:tcPr>
            <w:tcW w:w="2215" w:type="dxa"/>
            <w:tcBorders>
              <w:top w:val="nil" w:sz="6" w:space="0" w:color="auto"/>
              <w:left w:val="nil" w:sz="6" w:space="0" w:color="auto"/>
              <w:bottom w:val="nil" w:sz="6" w:space="0" w:color="auto"/>
              <w:right w:val="nil" w:sz="6" w:space="0" w:color="auto"/>
            </w:tcBorders>
          </w:tcPr>
          <w:p>
            <w:pPr>
              <w:pStyle w:val="TableParagraph"/>
              <w:tabs>
                <w:tab w:pos="1284" w:val="left" w:leader="none"/>
              </w:tabs>
              <w:spacing w:line="240" w:lineRule="auto" w:before="82"/>
              <w:ind w:right="33"/>
              <w:jc w:val="right"/>
              <w:rPr>
                <w:rFonts w:ascii="黑体" w:hAnsi="黑体" w:cs="黑体" w:eastAsia="黑体" w:hint="default"/>
                <w:sz w:val="20"/>
                <w:szCs w:val="20"/>
              </w:rPr>
            </w:pPr>
            <w:r>
              <w:rPr>
                <w:rFonts w:ascii="Arial" w:hAnsi="Arial" w:cs="Arial" w:eastAsia="Arial" w:hint="default"/>
                <w:w w:val="100"/>
                <w:sz w:val="20"/>
                <w:szCs w:val="20"/>
              </w:rPr>
            </w:r>
            <w:r>
              <w:rPr>
                <w:rFonts w:ascii="Arial" w:hAnsi="Arial" w:cs="Arial" w:eastAsia="Arial" w:hint="default"/>
                <w:w w:val="100"/>
                <w:sz w:val="20"/>
                <w:szCs w:val="20"/>
                <w:u w:val="single" w:color="000000"/>
              </w:rPr>
              <w:t> </w:t>
            </w:r>
            <w:r>
              <w:rPr>
                <w:rFonts w:ascii="Arial" w:hAnsi="Arial" w:cs="Arial" w:eastAsia="Arial" w:hint="default"/>
                <w:sz w:val="20"/>
                <w:szCs w:val="20"/>
                <w:u w:val="single" w:color="000000"/>
              </w:rPr>
              <w:tab/>
              <w:t>2008</w:t>
            </w:r>
            <w:r>
              <w:rPr>
                <w:rFonts w:ascii="Arial" w:hAnsi="Arial" w:cs="Arial" w:eastAsia="Arial" w:hint="default"/>
                <w:spacing w:val="-6"/>
                <w:sz w:val="20"/>
                <w:szCs w:val="20"/>
                <w:u w:val="single" w:color="000000"/>
              </w:rPr>
              <w:t> </w:t>
            </w:r>
            <w:r>
              <w:rPr>
                <w:rFonts w:ascii="黑体" w:hAnsi="黑体" w:cs="黑体" w:eastAsia="黑体" w:hint="default"/>
                <w:sz w:val="20"/>
                <w:szCs w:val="20"/>
                <w:u w:val="single" w:color="000000"/>
              </w:rPr>
              <w:t>年</w:t>
            </w:r>
            <w:r>
              <w:rPr>
                <w:rFonts w:ascii="黑体" w:hAnsi="黑体" w:cs="黑体" w:eastAsia="黑体" w:hint="default"/>
                <w:sz w:val="20"/>
                <w:szCs w:val="20"/>
              </w:rPr>
            </w:r>
          </w:p>
        </w:tc>
      </w:tr>
      <w:tr>
        <w:trPr>
          <w:trHeight w:val="370" w:hRule="exact"/>
        </w:trPr>
        <w:tc>
          <w:tcPr>
            <w:tcW w:w="580" w:type="dxa"/>
            <w:tcBorders>
              <w:top w:val="nil" w:sz="6" w:space="0" w:color="auto"/>
              <w:left w:val="nil" w:sz="6" w:space="0" w:color="auto"/>
              <w:bottom w:val="nil" w:sz="6" w:space="0" w:color="auto"/>
              <w:right w:val="nil" w:sz="6" w:space="0" w:color="auto"/>
            </w:tcBorders>
          </w:tcPr>
          <w:p>
            <w:pPr/>
          </w:p>
        </w:tc>
        <w:tc>
          <w:tcPr>
            <w:tcW w:w="3374" w:type="dxa"/>
            <w:tcBorders>
              <w:top w:val="nil" w:sz="6" w:space="0" w:color="auto"/>
              <w:left w:val="nil" w:sz="6" w:space="0" w:color="auto"/>
              <w:bottom w:val="nil" w:sz="6" w:space="0" w:color="auto"/>
              <w:right w:val="nil" w:sz="6" w:space="0" w:color="auto"/>
            </w:tcBorders>
          </w:tcPr>
          <w:p>
            <w:pPr/>
          </w:p>
        </w:tc>
        <w:tc>
          <w:tcPr>
            <w:tcW w:w="2396" w:type="dxa"/>
            <w:tcBorders>
              <w:top w:val="nil" w:sz="6" w:space="0" w:color="auto"/>
              <w:left w:val="nil" w:sz="6" w:space="0" w:color="auto"/>
              <w:bottom w:val="nil" w:sz="6" w:space="0" w:color="auto"/>
              <w:right w:val="nil" w:sz="6" w:space="0" w:color="auto"/>
            </w:tcBorders>
          </w:tcPr>
          <w:p>
            <w:pPr>
              <w:pStyle w:val="TableParagraph"/>
              <w:tabs>
                <w:tab w:pos="601" w:val="left" w:leader="none"/>
              </w:tabs>
              <w:spacing w:line="243" w:lineRule="exact"/>
              <w:ind w:right="197"/>
              <w:jc w:val="right"/>
              <w:rPr>
                <w:rFonts w:ascii="Arial" w:hAnsi="Arial" w:cs="Arial" w:eastAsia="Arial" w:hint="default"/>
                <w:sz w:val="20"/>
                <w:szCs w:val="20"/>
              </w:rPr>
            </w:pPr>
            <w:r>
              <w:rPr>
                <w:rFonts w:ascii="黑体" w:hAnsi="黑体" w:cs="黑体" w:eastAsia="黑体" w:hint="default"/>
                <w:sz w:val="20"/>
                <w:szCs w:val="20"/>
              </w:rPr>
              <w:t>金额</w:t>
              <w:tab/>
            </w:r>
            <w:r>
              <w:rPr>
                <w:rFonts w:ascii="黑体" w:hAnsi="黑体" w:cs="黑体" w:eastAsia="黑体" w:hint="default"/>
                <w:spacing w:val="-1"/>
                <w:sz w:val="20"/>
                <w:szCs w:val="20"/>
              </w:rPr>
              <w:t>比例</w:t>
            </w:r>
            <w:r>
              <w:rPr>
                <w:rFonts w:ascii="Arial" w:hAnsi="Arial" w:cs="Arial" w:eastAsia="Arial" w:hint="default"/>
                <w:spacing w:val="-1"/>
                <w:sz w:val="20"/>
                <w:szCs w:val="20"/>
              </w:rPr>
              <w:t>(%)</w:t>
            </w:r>
          </w:p>
        </w:tc>
        <w:tc>
          <w:tcPr>
            <w:tcW w:w="2215" w:type="dxa"/>
            <w:tcBorders>
              <w:top w:val="nil" w:sz="6" w:space="0" w:color="auto"/>
              <w:left w:val="nil" w:sz="6" w:space="0" w:color="auto"/>
              <w:bottom w:val="nil" w:sz="6" w:space="0" w:color="auto"/>
              <w:right w:val="nil" w:sz="6" w:space="0" w:color="auto"/>
            </w:tcBorders>
          </w:tcPr>
          <w:p>
            <w:pPr>
              <w:pStyle w:val="TableParagraph"/>
              <w:spacing w:line="243" w:lineRule="exact"/>
              <w:ind w:right="34"/>
              <w:jc w:val="right"/>
              <w:rPr>
                <w:rFonts w:ascii="Arial" w:hAnsi="Arial" w:cs="Arial" w:eastAsia="Arial" w:hint="default"/>
                <w:sz w:val="20"/>
                <w:szCs w:val="20"/>
              </w:rPr>
            </w:pPr>
            <w:r>
              <w:rPr>
                <w:rFonts w:ascii="黑体" w:hAnsi="黑体" w:cs="黑体" w:eastAsia="黑体" w:hint="default"/>
                <w:sz w:val="20"/>
                <w:szCs w:val="20"/>
              </w:rPr>
              <w:t>金额</w:t>
            </w:r>
            <w:r>
              <w:rPr>
                <w:rFonts w:ascii="黑体" w:hAnsi="黑体" w:cs="黑体" w:eastAsia="黑体" w:hint="default"/>
                <w:spacing w:val="37"/>
                <w:sz w:val="20"/>
                <w:szCs w:val="20"/>
              </w:rPr>
              <w:t> </w:t>
            </w:r>
            <w:r>
              <w:rPr>
                <w:rFonts w:ascii="黑体" w:hAnsi="黑体" w:cs="黑体" w:eastAsia="黑体" w:hint="default"/>
                <w:sz w:val="20"/>
                <w:szCs w:val="20"/>
              </w:rPr>
              <w:t>比例</w:t>
            </w:r>
            <w:r>
              <w:rPr>
                <w:rFonts w:ascii="Arial" w:hAnsi="Arial" w:cs="Arial" w:eastAsia="Arial" w:hint="default"/>
                <w:sz w:val="20"/>
                <w:szCs w:val="20"/>
              </w:rPr>
              <w:t>(%)</w:t>
            </w:r>
          </w:p>
        </w:tc>
      </w:tr>
      <w:tr>
        <w:trPr>
          <w:trHeight w:val="365" w:hRule="exact"/>
        </w:trPr>
        <w:tc>
          <w:tcPr>
            <w:tcW w:w="580" w:type="dxa"/>
            <w:tcBorders>
              <w:top w:val="nil" w:sz="6" w:space="0" w:color="auto"/>
              <w:left w:val="nil" w:sz="6" w:space="0" w:color="auto"/>
              <w:bottom w:val="nil" w:sz="6" w:space="0" w:color="auto"/>
              <w:right w:val="nil" w:sz="6" w:space="0" w:color="auto"/>
            </w:tcBorders>
          </w:tcPr>
          <w:p>
            <w:pPr/>
          </w:p>
        </w:tc>
        <w:tc>
          <w:tcPr>
            <w:tcW w:w="337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56" w:right="0"/>
              <w:jc w:val="left"/>
              <w:rPr>
                <w:rFonts w:ascii="黑体" w:hAnsi="黑体" w:cs="黑体" w:eastAsia="黑体" w:hint="default"/>
                <w:sz w:val="20"/>
                <w:szCs w:val="20"/>
              </w:rPr>
            </w:pPr>
            <w:r>
              <w:rPr>
                <w:rFonts w:ascii="黑体" w:hAnsi="黑体" w:cs="黑体" w:eastAsia="黑体" w:hint="default"/>
                <w:sz w:val="20"/>
                <w:szCs w:val="20"/>
              </w:rPr>
              <w:t>用友移动</w:t>
            </w:r>
          </w:p>
        </w:tc>
        <w:tc>
          <w:tcPr>
            <w:tcW w:w="2396" w:type="dxa"/>
            <w:tcBorders>
              <w:top w:val="nil" w:sz="6" w:space="0" w:color="auto"/>
              <w:left w:val="nil" w:sz="6" w:space="0" w:color="auto"/>
              <w:bottom w:val="nil" w:sz="6" w:space="0" w:color="auto"/>
              <w:right w:val="nil" w:sz="6" w:space="0" w:color="auto"/>
            </w:tcBorders>
          </w:tcPr>
          <w:p>
            <w:pPr>
              <w:pStyle w:val="TableParagraph"/>
              <w:tabs>
                <w:tab w:pos="1191" w:val="left" w:leader="none"/>
              </w:tabs>
              <w:spacing w:line="240" w:lineRule="auto" w:before="116"/>
              <w:ind w:right="196"/>
              <w:jc w:val="right"/>
              <w:rPr>
                <w:rFonts w:ascii="Arial" w:hAnsi="Arial" w:cs="Arial" w:eastAsia="Arial" w:hint="default"/>
                <w:sz w:val="20"/>
                <w:szCs w:val="20"/>
              </w:rPr>
            </w:pPr>
            <w:r>
              <w:rPr>
                <w:rFonts w:ascii="Arial"/>
                <w:sz w:val="20"/>
              </w:rPr>
              <w:t>5,023</w:t>
              <w:tab/>
              <w:t>64</w:t>
            </w:r>
          </w:p>
        </w:tc>
        <w:tc>
          <w:tcPr>
            <w:tcW w:w="2215" w:type="dxa"/>
            <w:tcBorders>
              <w:top w:val="nil" w:sz="6" w:space="0" w:color="auto"/>
              <w:left w:val="nil" w:sz="6" w:space="0" w:color="auto"/>
              <w:bottom w:val="nil" w:sz="6" w:space="0" w:color="auto"/>
              <w:right w:val="nil" w:sz="6" w:space="0" w:color="auto"/>
            </w:tcBorders>
          </w:tcPr>
          <w:p>
            <w:pPr>
              <w:pStyle w:val="TableParagraph"/>
              <w:tabs>
                <w:tab w:pos="849" w:val="left" w:leader="none"/>
              </w:tabs>
              <w:spacing w:line="240" w:lineRule="auto" w:before="116"/>
              <w:ind w:right="34"/>
              <w:jc w:val="right"/>
              <w:rPr>
                <w:rFonts w:ascii="Arial" w:hAnsi="Arial" w:cs="Arial" w:eastAsia="Arial" w:hint="default"/>
                <w:sz w:val="20"/>
                <w:szCs w:val="20"/>
              </w:rPr>
            </w:pPr>
            <w:r>
              <w:rPr>
                <w:rFonts w:ascii="Arial"/>
                <w:sz w:val="20"/>
              </w:rPr>
              <w:t>-</w:t>
              <w:tab/>
              <w:t>-</w:t>
            </w:r>
          </w:p>
        </w:tc>
      </w:tr>
      <w:tr>
        <w:trPr>
          <w:trHeight w:val="255" w:hRule="exact"/>
        </w:trPr>
        <w:tc>
          <w:tcPr>
            <w:tcW w:w="580" w:type="dxa"/>
            <w:tcBorders>
              <w:top w:val="nil" w:sz="6" w:space="0" w:color="auto"/>
              <w:left w:val="nil" w:sz="6" w:space="0" w:color="auto"/>
              <w:bottom w:val="nil" w:sz="6" w:space="0" w:color="auto"/>
              <w:right w:val="nil" w:sz="6" w:space="0" w:color="auto"/>
            </w:tcBorders>
          </w:tcPr>
          <w:p>
            <w:pPr/>
          </w:p>
        </w:tc>
        <w:tc>
          <w:tcPr>
            <w:tcW w:w="3374" w:type="dxa"/>
            <w:tcBorders>
              <w:top w:val="nil" w:sz="6" w:space="0" w:color="auto"/>
              <w:left w:val="nil" w:sz="6" w:space="0" w:color="auto"/>
              <w:bottom w:val="nil" w:sz="6" w:space="0" w:color="auto"/>
              <w:right w:val="nil" w:sz="6" w:space="0" w:color="auto"/>
            </w:tcBorders>
          </w:tcPr>
          <w:p>
            <w:pPr>
              <w:pStyle w:val="TableParagraph"/>
              <w:spacing w:line="223" w:lineRule="exact"/>
              <w:ind w:left="156"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2396" w:type="dxa"/>
            <w:tcBorders>
              <w:top w:val="nil" w:sz="6" w:space="0" w:color="auto"/>
              <w:left w:val="nil" w:sz="6" w:space="0" w:color="auto"/>
              <w:bottom w:val="nil" w:sz="6" w:space="0" w:color="auto"/>
              <w:right w:val="nil" w:sz="6" w:space="0" w:color="auto"/>
            </w:tcBorders>
          </w:tcPr>
          <w:p>
            <w:pPr>
              <w:pStyle w:val="TableParagraph"/>
              <w:tabs>
                <w:tab w:pos="1024" w:val="left" w:leader="none"/>
              </w:tabs>
              <w:spacing w:line="240" w:lineRule="auto" w:before="7"/>
              <w:ind w:right="197"/>
              <w:jc w:val="right"/>
              <w:rPr>
                <w:rFonts w:ascii="Arial" w:hAnsi="Arial" w:cs="Arial" w:eastAsia="Arial" w:hint="default"/>
                <w:sz w:val="20"/>
                <w:szCs w:val="20"/>
              </w:rPr>
            </w:pPr>
            <w:r>
              <w:rPr>
                <w:rFonts w:ascii="Arial"/>
                <w:sz w:val="20"/>
              </w:rPr>
              <w:t>900</w:t>
              <w:tab/>
              <w:t>11</w:t>
            </w:r>
          </w:p>
        </w:tc>
        <w:tc>
          <w:tcPr>
            <w:tcW w:w="2215" w:type="dxa"/>
            <w:tcBorders>
              <w:top w:val="nil" w:sz="6" w:space="0" w:color="auto"/>
              <w:left w:val="nil" w:sz="6" w:space="0" w:color="auto"/>
              <w:bottom w:val="nil" w:sz="6" w:space="0" w:color="auto"/>
              <w:right w:val="nil" w:sz="6" w:space="0" w:color="auto"/>
            </w:tcBorders>
          </w:tcPr>
          <w:p>
            <w:pPr>
              <w:pStyle w:val="TableParagraph"/>
              <w:tabs>
                <w:tab w:pos="849" w:val="left" w:leader="none"/>
              </w:tabs>
              <w:spacing w:line="240" w:lineRule="auto" w:before="7"/>
              <w:ind w:right="34"/>
              <w:jc w:val="right"/>
              <w:rPr>
                <w:rFonts w:ascii="Arial" w:hAnsi="Arial" w:cs="Arial" w:eastAsia="Arial" w:hint="default"/>
                <w:sz w:val="20"/>
                <w:szCs w:val="20"/>
              </w:rPr>
            </w:pPr>
            <w:r>
              <w:rPr>
                <w:rFonts w:ascii="Arial"/>
                <w:sz w:val="20"/>
              </w:rPr>
              <w:t>-</w:t>
              <w:tab/>
              <w:t>-</w:t>
            </w:r>
          </w:p>
        </w:tc>
      </w:tr>
      <w:tr>
        <w:trPr>
          <w:trHeight w:val="260" w:hRule="exact"/>
        </w:trPr>
        <w:tc>
          <w:tcPr>
            <w:tcW w:w="580" w:type="dxa"/>
            <w:tcBorders>
              <w:top w:val="nil" w:sz="6" w:space="0" w:color="auto"/>
              <w:left w:val="nil" w:sz="6" w:space="0" w:color="auto"/>
              <w:bottom w:val="nil" w:sz="6" w:space="0" w:color="auto"/>
              <w:right w:val="nil" w:sz="6" w:space="0" w:color="auto"/>
            </w:tcBorders>
          </w:tcPr>
          <w:p>
            <w:pPr/>
          </w:p>
        </w:tc>
        <w:tc>
          <w:tcPr>
            <w:tcW w:w="3374" w:type="dxa"/>
            <w:tcBorders>
              <w:top w:val="nil" w:sz="6" w:space="0" w:color="auto"/>
              <w:left w:val="nil" w:sz="6" w:space="0" w:color="auto"/>
              <w:bottom w:val="nil" w:sz="6" w:space="0" w:color="auto"/>
              <w:right w:val="nil" w:sz="6" w:space="0" w:color="auto"/>
            </w:tcBorders>
          </w:tcPr>
          <w:p>
            <w:pPr>
              <w:pStyle w:val="TableParagraph"/>
              <w:spacing w:line="222" w:lineRule="exact"/>
              <w:ind w:left="156" w:right="0"/>
              <w:jc w:val="left"/>
              <w:rPr>
                <w:rFonts w:ascii="黑体" w:hAnsi="黑体" w:cs="黑体" w:eastAsia="黑体" w:hint="default"/>
                <w:sz w:val="20"/>
                <w:szCs w:val="20"/>
              </w:rPr>
            </w:pPr>
            <w:r>
              <w:rPr>
                <w:rFonts w:ascii="黑体" w:hAnsi="黑体" w:cs="黑体" w:eastAsia="黑体" w:hint="default"/>
                <w:sz w:val="20"/>
                <w:szCs w:val="20"/>
              </w:rPr>
              <w:t>用友科技</w:t>
            </w:r>
          </w:p>
        </w:tc>
        <w:tc>
          <w:tcPr>
            <w:tcW w:w="2396" w:type="dxa"/>
            <w:tcBorders>
              <w:top w:val="nil" w:sz="6" w:space="0" w:color="auto"/>
              <w:left w:val="nil" w:sz="6" w:space="0" w:color="auto"/>
              <w:bottom w:val="nil" w:sz="6" w:space="0" w:color="auto"/>
              <w:right w:val="nil" w:sz="6" w:space="0" w:color="auto"/>
            </w:tcBorders>
          </w:tcPr>
          <w:p>
            <w:pPr>
              <w:pStyle w:val="TableParagraph"/>
              <w:tabs>
                <w:tab w:pos="1091" w:val="left" w:leader="none"/>
              </w:tabs>
              <w:spacing w:line="240" w:lineRule="auto" w:before="6"/>
              <w:ind w:right="197"/>
              <w:jc w:val="right"/>
              <w:rPr>
                <w:rFonts w:ascii="Arial" w:hAnsi="Arial" w:cs="Arial" w:eastAsia="Arial" w:hint="default"/>
                <w:sz w:val="20"/>
                <w:szCs w:val="20"/>
              </w:rPr>
            </w:pPr>
            <w:r>
              <w:rPr>
                <w:rFonts w:ascii="Arial"/>
                <w:w w:val="100"/>
                <w:sz w:val="20"/>
              </w:rPr>
            </w:r>
            <w:r>
              <w:rPr>
                <w:rFonts w:ascii="Arial"/>
                <w:sz w:val="20"/>
                <w:u w:val="single" w:color="000000"/>
              </w:rPr>
              <w:t>2,000</w:t>
            </w:r>
            <w:r>
              <w:rPr>
                <w:rFonts w:ascii="Arial"/>
                <w:sz w:val="20"/>
              </w:rPr>
              <w:tab/>
            </w:r>
            <w:r>
              <w:rPr>
                <w:rFonts w:ascii="Arial"/>
                <w:sz w:val="20"/>
                <w:u w:val="single" w:color="000000"/>
              </w:rPr>
              <w:t> 25</w:t>
            </w:r>
            <w:r>
              <w:rPr>
                <w:rFonts w:ascii="Arial"/>
                <w:sz w:val="20"/>
              </w:rPr>
            </w:r>
          </w:p>
        </w:tc>
        <w:tc>
          <w:tcPr>
            <w:tcW w:w="2215" w:type="dxa"/>
            <w:tcBorders>
              <w:top w:val="nil" w:sz="6" w:space="0" w:color="auto"/>
              <w:left w:val="nil" w:sz="6" w:space="0" w:color="auto"/>
              <w:bottom w:val="nil" w:sz="6" w:space="0" w:color="auto"/>
              <w:right w:val="nil" w:sz="6" w:space="0" w:color="auto"/>
            </w:tcBorders>
          </w:tcPr>
          <w:p>
            <w:pPr>
              <w:pStyle w:val="TableParagraph"/>
              <w:tabs>
                <w:tab w:pos="899" w:val="left" w:leader="none"/>
                <w:tab w:pos="1549" w:val="left" w:leader="none"/>
              </w:tabs>
              <w:spacing w:line="240" w:lineRule="auto" w:before="6"/>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tab/>
            </w:r>
            <w:r>
              <w:rPr>
                <w:rFonts w:ascii="Arial"/>
                <w:sz w:val="20"/>
                <w:u w:val="single" w:color="000000"/>
              </w:rPr>
              <w:t> -</w:t>
            </w:r>
            <w:r>
              <w:rPr>
                <w:rFonts w:ascii="Arial"/>
                <w:sz w:val="20"/>
              </w:rPr>
            </w:r>
          </w:p>
        </w:tc>
      </w:tr>
      <w:tr>
        <w:trPr>
          <w:trHeight w:val="353" w:hRule="exact"/>
        </w:trPr>
        <w:tc>
          <w:tcPr>
            <w:tcW w:w="580" w:type="dxa"/>
            <w:tcBorders>
              <w:top w:val="nil" w:sz="6" w:space="0" w:color="auto"/>
              <w:left w:val="nil" w:sz="6" w:space="0" w:color="auto"/>
              <w:bottom w:val="nil" w:sz="6" w:space="0" w:color="auto"/>
              <w:right w:val="nil" w:sz="6" w:space="0" w:color="auto"/>
            </w:tcBorders>
          </w:tcPr>
          <w:p>
            <w:pPr/>
          </w:p>
        </w:tc>
        <w:tc>
          <w:tcPr>
            <w:tcW w:w="3374" w:type="dxa"/>
            <w:tcBorders>
              <w:top w:val="nil" w:sz="6" w:space="0" w:color="auto"/>
              <w:left w:val="nil" w:sz="6" w:space="0" w:color="auto"/>
              <w:bottom w:val="nil" w:sz="6" w:space="0" w:color="auto"/>
              <w:right w:val="nil" w:sz="6" w:space="0" w:color="auto"/>
            </w:tcBorders>
          </w:tcPr>
          <w:p>
            <w:pPr/>
          </w:p>
        </w:tc>
        <w:tc>
          <w:tcPr>
            <w:tcW w:w="2396" w:type="dxa"/>
            <w:tcBorders>
              <w:top w:val="nil" w:sz="6" w:space="0" w:color="auto"/>
              <w:left w:val="nil" w:sz="6" w:space="0" w:color="auto"/>
              <w:bottom w:val="nil" w:sz="6" w:space="0" w:color="auto"/>
              <w:right w:val="nil" w:sz="6" w:space="0" w:color="auto"/>
            </w:tcBorders>
          </w:tcPr>
          <w:p>
            <w:pPr>
              <w:pStyle w:val="TableParagraph"/>
              <w:tabs>
                <w:tab w:pos="1079" w:val="left" w:leader="none"/>
              </w:tabs>
              <w:spacing w:line="240" w:lineRule="auto" w:before="2"/>
              <w:ind w:right="197"/>
              <w:jc w:val="right"/>
              <w:rPr>
                <w:rFonts w:ascii="Arial" w:hAnsi="Arial" w:cs="Arial" w:eastAsia="Arial" w:hint="default"/>
                <w:sz w:val="20"/>
                <w:szCs w:val="20"/>
              </w:rPr>
            </w:pPr>
            <w:r>
              <w:rPr>
                <w:rFonts w:ascii="Arial"/>
                <w:w w:val="100"/>
                <w:sz w:val="20"/>
              </w:rPr>
            </w:r>
            <w:r>
              <w:rPr>
                <w:rFonts w:ascii="Arial"/>
                <w:sz w:val="20"/>
                <w:u w:val="thick" w:color="000000"/>
              </w:rPr>
              <w:t>7,923</w:t>
            </w:r>
            <w:r>
              <w:rPr>
                <w:rFonts w:ascii="Arial"/>
                <w:sz w:val="20"/>
              </w:rPr>
              <w:tab/>
            </w:r>
            <w:r>
              <w:rPr>
                <w:rFonts w:ascii="Arial"/>
                <w:sz w:val="20"/>
                <w:u w:val="thick" w:color="000000"/>
              </w:rPr>
              <w:t>100</w:t>
            </w:r>
            <w:r>
              <w:rPr>
                <w:rFonts w:ascii="Arial"/>
                <w:sz w:val="20"/>
              </w:rPr>
            </w:r>
          </w:p>
        </w:tc>
        <w:tc>
          <w:tcPr>
            <w:tcW w:w="2215" w:type="dxa"/>
            <w:tcBorders>
              <w:top w:val="nil" w:sz="6" w:space="0" w:color="auto"/>
              <w:left w:val="nil" w:sz="6" w:space="0" w:color="auto"/>
              <w:bottom w:val="nil" w:sz="6" w:space="0" w:color="auto"/>
              <w:right w:val="nil" w:sz="6" w:space="0" w:color="auto"/>
            </w:tcBorders>
          </w:tcPr>
          <w:p>
            <w:pPr>
              <w:pStyle w:val="TableParagraph"/>
              <w:tabs>
                <w:tab w:pos="899" w:val="left" w:leader="none"/>
                <w:tab w:pos="1549" w:val="left" w:leader="none"/>
              </w:tabs>
              <w:spacing w:line="240" w:lineRule="auto" w:before="2"/>
              <w:ind w:right="34"/>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tab/>
            </w:r>
            <w:r>
              <w:rPr>
                <w:rFonts w:ascii="Arial"/>
                <w:sz w:val="20"/>
                <w:u w:val="thick" w:color="000000"/>
              </w:rPr>
              <w:t> -</w:t>
            </w:r>
            <w:r>
              <w:rPr>
                <w:rFonts w:ascii="Arial"/>
                <w:sz w:val="20"/>
              </w:rPr>
            </w:r>
          </w:p>
        </w:tc>
      </w:tr>
      <w:tr>
        <w:trPr>
          <w:trHeight w:val="363" w:hRule="exact"/>
        </w:trPr>
        <w:tc>
          <w:tcPr>
            <w:tcW w:w="580" w:type="dxa"/>
            <w:tcBorders>
              <w:top w:val="nil" w:sz="6" w:space="0" w:color="auto"/>
              <w:left w:val="nil" w:sz="6" w:space="0" w:color="auto"/>
              <w:bottom w:val="nil" w:sz="6" w:space="0" w:color="auto"/>
              <w:right w:val="nil" w:sz="6" w:space="0" w:color="auto"/>
            </w:tcBorders>
          </w:tcPr>
          <w:p>
            <w:pPr/>
          </w:p>
        </w:tc>
        <w:tc>
          <w:tcPr>
            <w:tcW w:w="3374"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56" w:right="0"/>
              <w:jc w:val="left"/>
              <w:rPr>
                <w:rFonts w:ascii="黑体" w:hAnsi="黑体" w:cs="黑体" w:eastAsia="黑体" w:hint="default"/>
                <w:sz w:val="20"/>
                <w:szCs w:val="20"/>
              </w:rPr>
            </w:pPr>
            <w:r>
              <w:rPr>
                <w:rFonts w:ascii="黑体" w:hAnsi="黑体" w:cs="黑体" w:eastAsia="黑体" w:hint="default"/>
                <w:sz w:val="20"/>
                <w:szCs w:val="20"/>
              </w:rPr>
              <w:t>培训收入</w:t>
            </w:r>
          </w:p>
        </w:tc>
        <w:tc>
          <w:tcPr>
            <w:tcW w:w="2396" w:type="dxa"/>
            <w:tcBorders>
              <w:top w:val="nil" w:sz="6" w:space="0" w:color="auto"/>
              <w:left w:val="nil" w:sz="6" w:space="0" w:color="auto"/>
              <w:bottom w:val="nil" w:sz="6" w:space="0" w:color="auto"/>
              <w:right w:val="nil" w:sz="6" w:space="0" w:color="auto"/>
            </w:tcBorders>
          </w:tcPr>
          <w:p>
            <w:pPr>
              <w:pStyle w:val="TableParagraph"/>
              <w:tabs>
                <w:tab w:pos="1315" w:val="left" w:leader="none"/>
              </w:tabs>
              <w:spacing w:line="240" w:lineRule="auto" w:before="63"/>
              <w:ind w:right="197"/>
              <w:jc w:val="right"/>
              <w:rPr>
                <w:rFonts w:ascii="黑体" w:hAnsi="黑体" w:cs="黑体" w:eastAsia="黑体" w:hint="default"/>
                <w:sz w:val="20"/>
                <w:szCs w:val="20"/>
              </w:rPr>
            </w:pPr>
            <w:r>
              <w:rPr>
                <w:rFonts w:ascii="Arial" w:hAnsi="Arial" w:cs="Arial" w:eastAsia="Arial" w:hint="default"/>
                <w:w w:val="100"/>
                <w:sz w:val="20"/>
                <w:szCs w:val="20"/>
              </w:rPr>
            </w:r>
            <w:r>
              <w:rPr>
                <w:rFonts w:ascii="Arial" w:hAnsi="Arial" w:cs="Arial" w:eastAsia="Arial" w:hint="default"/>
                <w:w w:val="100"/>
                <w:sz w:val="20"/>
                <w:szCs w:val="20"/>
                <w:u w:val="single" w:color="000000"/>
              </w:rPr>
              <w:t> </w:t>
            </w:r>
            <w:r>
              <w:rPr>
                <w:rFonts w:ascii="Arial" w:hAnsi="Arial" w:cs="Arial" w:eastAsia="Arial" w:hint="default"/>
                <w:sz w:val="20"/>
                <w:szCs w:val="20"/>
                <w:u w:val="single" w:color="000000"/>
              </w:rPr>
              <w:tab/>
              <w:t>2009</w:t>
            </w:r>
            <w:r>
              <w:rPr>
                <w:rFonts w:ascii="Arial" w:hAnsi="Arial" w:cs="Arial" w:eastAsia="Arial" w:hint="default"/>
                <w:spacing w:val="-6"/>
                <w:sz w:val="20"/>
                <w:szCs w:val="20"/>
                <w:u w:val="single" w:color="000000"/>
              </w:rPr>
              <w:t> </w:t>
            </w:r>
            <w:r>
              <w:rPr>
                <w:rFonts w:ascii="黑体" w:hAnsi="黑体" w:cs="黑体" w:eastAsia="黑体" w:hint="default"/>
                <w:sz w:val="20"/>
                <w:szCs w:val="20"/>
                <w:u w:val="single" w:color="000000"/>
              </w:rPr>
              <w:t>年</w:t>
            </w:r>
            <w:r>
              <w:rPr>
                <w:rFonts w:ascii="黑体" w:hAnsi="黑体" w:cs="黑体" w:eastAsia="黑体" w:hint="default"/>
                <w:sz w:val="20"/>
                <w:szCs w:val="20"/>
              </w:rPr>
            </w:r>
          </w:p>
        </w:tc>
        <w:tc>
          <w:tcPr>
            <w:tcW w:w="2215" w:type="dxa"/>
            <w:tcBorders>
              <w:top w:val="nil" w:sz="6" w:space="0" w:color="auto"/>
              <w:left w:val="nil" w:sz="6" w:space="0" w:color="auto"/>
              <w:bottom w:val="nil" w:sz="6" w:space="0" w:color="auto"/>
              <w:right w:val="nil" w:sz="6" w:space="0" w:color="auto"/>
            </w:tcBorders>
          </w:tcPr>
          <w:p>
            <w:pPr>
              <w:pStyle w:val="TableParagraph"/>
              <w:tabs>
                <w:tab w:pos="1283" w:val="left" w:leader="none"/>
              </w:tabs>
              <w:spacing w:line="240" w:lineRule="auto" w:before="63"/>
              <w:ind w:right="34"/>
              <w:jc w:val="right"/>
              <w:rPr>
                <w:rFonts w:ascii="黑体" w:hAnsi="黑体" w:cs="黑体" w:eastAsia="黑体" w:hint="default"/>
                <w:sz w:val="20"/>
                <w:szCs w:val="20"/>
              </w:rPr>
            </w:pPr>
            <w:r>
              <w:rPr>
                <w:rFonts w:ascii="Arial" w:hAnsi="Arial" w:cs="Arial" w:eastAsia="Arial" w:hint="default"/>
                <w:w w:val="100"/>
                <w:sz w:val="20"/>
                <w:szCs w:val="20"/>
              </w:rPr>
            </w:r>
            <w:r>
              <w:rPr>
                <w:rFonts w:ascii="Arial" w:hAnsi="Arial" w:cs="Arial" w:eastAsia="Arial" w:hint="default"/>
                <w:w w:val="100"/>
                <w:sz w:val="20"/>
                <w:szCs w:val="20"/>
                <w:u w:val="single" w:color="000000"/>
              </w:rPr>
              <w:t> </w:t>
            </w:r>
            <w:r>
              <w:rPr>
                <w:rFonts w:ascii="Arial" w:hAnsi="Arial" w:cs="Arial" w:eastAsia="Arial" w:hint="default"/>
                <w:sz w:val="20"/>
                <w:szCs w:val="20"/>
                <w:u w:val="single" w:color="000000"/>
              </w:rPr>
              <w:tab/>
              <w:t>2008</w:t>
            </w:r>
            <w:r>
              <w:rPr>
                <w:rFonts w:ascii="Arial" w:hAnsi="Arial" w:cs="Arial" w:eastAsia="Arial" w:hint="default"/>
                <w:spacing w:val="-6"/>
                <w:sz w:val="20"/>
                <w:szCs w:val="20"/>
                <w:u w:val="single" w:color="000000"/>
              </w:rPr>
              <w:t> </w:t>
            </w:r>
            <w:r>
              <w:rPr>
                <w:rFonts w:ascii="黑体" w:hAnsi="黑体" w:cs="黑体" w:eastAsia="黑体" w:hint="default"/>
                <w:sz w:val="20"/>
                <w:szCs w:val="20"/>
                <w:u w:val="single" w:color="000000"/>
              </w:rPr>
              <w:t>年</w:t>
            </w:r>
            <w:r>
              <w:rPr>
                <w:rFonts w:ascii="黑体" w:hAnsi="黑体" w:cs="黑体" w:eastAsia="黑体" w:hint="default"/>
                <w:sz w:val="20"/>
                <w:szCs w:val="20"/>
              </w:rPr>
            </w:r>
          </w:p>
        </w:tc>
      </w:tr>
      <w:tr>
        <w:trPr>
          <w:trHeight w:val="370" w:hRule="exact"/>
        </w:trPr>
        <w:tc>
          <w:tcPr>
            <w:tcW w:w="580" w:type="dxa"/>
            <w:tcBorders>
              <w:top w:val="nil" w:sz="6" w:space="0" w:color="auto"/>
              <w:left w:val="nil" w:sz="6" w:space="0" w:color="auto"/>
              <w:bottom w:val="nil" w:sz="6" w:space="0" w:color="auto"/>
              <w:right w:val="nil" w:sz="6" w:space="0" w:color="auto"/>
            </w:tcBorders>
          </w:tcPr>
          <w:p>
            <w:pPr/>
          </w:p>
        </w:tc>
        <w:tc>
          <w:tcPr>
            <w:tcW w:w="3374" w:type="dxa"/>
            <w:tcBorders>
              <w:top w:val="nil" w:sz="6" w:space="0" w:color="auto"/>
              <w:left w:val="nil" w:sz="6" w:space="0" w:color="auto"/>
              <w:bottom w:val="nil" w:sz="6" w:space="0" w:color="auto"/>
              <w:right w:val="nil" w:sz="6" w:space="0" w:color="auto"/>
            </w:tcBorders>
          </w:tcPr>
          <w:p>
            <w:pPr/>
          </w:p>
        </w:tc>
        <w:tc>
          <w:tcPr>
            <w:tcW w:w="2396" w:type="dxa"/>
            <w:tcBorders>
              <w:top w:val="nil" w:sz="6" w:space="0" w:color="auto"/>
              <w:left w:val="nil" w:sz="6" w:space="0" w:color="auto"/>
              <w:bottom w:val="nil" w:sz="6" w:space="0" w:color="auto"/>
              <w:right w:val="nil" w:sz="6" w:space="0" w:color="auto"/>
            </w:tcBorders>
          </w:tcPr>
          <w:p>
            <w:pPr>
              <w:pStyle w:val="TableParagraph"/>
              <w:tabs>
                <w:tab w:pos="601" w:val="left" w:leader="none"/>
              </w:tabs>
              <w:spacing w:line="243" w:lineRule="exact"/>
              <w:ind w:right="197"/>
              <w:jc w:val="right"/>
              <w:rPr>
                <w:rFonts w:ascii="Arial" w:hAnsi="Arial" w:cs="Arial" w:eastAsia="Arial" w:hint="default"/>
                <w:sz w:val="20"/>
                <w:szCs w:val="20"/>
              </w:rPr>
            </w:pPr>
            <w:r>
              <w:rPr>
                <w:rFonts w:ascii="黑体" w:hAnsi="黑体" w:cs="黑体" w:eastAsia="黑体" w:hint="default"/>
                <w:sz w:val="20"/>
                <w:szCs w:val="20"/>
              </w:rPr>
              <w:t>金额</w:t>
              <w:tab/>
            </w:r>
            <w:r>
              <w:rPr>
                <w:rFonts w:ascii="黑体" w:hAnsi="黑体" w:cs="黑体" w:eastAsia="黑体" w:hint="default"/>
                <w:spacing w:val="-1"/>
                <w:sz w:val="20"/>
                <w:szCs w:val="20"/>
              </w:rPr>
              <w:t>比例</w:t>
            </w:r>
            <w:r>
              <w:rPr>
                <w:rFonts w:ascii="Arial" w:hAnsi="Arial" w:cs="Arial" w:eastAsia="Arial" w:hint="default"/>
                <w:spacing w:val="-1"/>
                <w:sz w:val="20"/>
                <w:szCs w:val="20"/>
              </w:rPr>
              <w:t>(%)</w:t>
            </w:r>
          </w:p>
        </w:tc>
        <w:tc>
          <w:tcPr>
            <w:tcW w:w="2215" w:type="dxa"/>
            <w:tcBorders>
              <w:top w:val="nil" w:sz="6" w:space="0" w:color="auto"/>
              <w:left w:val="nil" w:sz="6" w:space="0" w:color="auto"/>
              <w:bottom w:val="nil" w:sz="6" w:space="0" w:color="auto"/>
              <w:right w:val="nil" w:sz="6" w:space="0" w:color="auto"/>
            </w:tcBorders>
          </w:tcPr>
          <w:p>
            <w:pPr>
              <w:pStyle w:val="TableParagraph"/>
              <w:spacing w:line="243" w:lineRule="exact"/>
              <w:ind w:right="34"/>
              <w:jc w:val="right"/>
              <w:rPr>
                <w:rFonts w:ascii="Arial" w:hAnsi="Arial" w:cs="Arial" w:eastAsia="Arial" w:hint="default"/>
                <w:sz w:val="20"/>
                <w:szCs w:val="20"/>
              </w:rPr>
            </w:pPr>
            <w:r>
              <w:rPr>
                <w:rFonts w:ascii="黑体" w:hAnsi="黑体" w:cs="黑体" w:eastAsia="黑体" w:hint="default"/>
                <w:sz w:val="20"/>
                <w:szCs w:val="20"/>
              </w:rPr>
              <w:t>金额</w:t>
            </w:r>
            <w:r>
              <w:rPr>
                <w:rFonts w:ascii="黑体" w:hAnsi="黑体" w:cs="黑体" w:eastAsia="黑体" w:hint="default"/>
                <w:spacing w:val="37"/>
                <w:sz w:val="20"/>
                <w:szCs w:val="20"/>
              </w:rPr>
              <w:t> </w:t>
            </w:r>
            <w:r>
              <w:rPr>
                <w:rFonts w:ascii="黑体" w:hAnsi="黑体" w:cs="黑体" w:eastAsia="黑体" w:hint="default"/>
                <w:sz w:val="20"/>
                <w:szCs w:val="20"/>
              </w:rPr>
              <w:t>比例</w:t>
            </w:r>
            <w:r>
              <w:rPr>
                <w:rFonts w:ascii="Arial" w:hAnsi="Arial" w:cs="Arial" w:eastAsia="Arial" w:hint="default"/>
                <w:sz w:val="20"/>
                <w:szCs w:val="20"/>
              </w:rPr>
              <w:t>(%)</w:t>
            </w:r>
          </w:p>
        </w:tc>
      </w:tr>
      <w:tr>
        <w:trPr>
          <w:trHeight w:val="475" w:hRule="exact"/>
        </w:trPr>
        <w:tc>
          <w:tcPr>
            <w:tcW w:w="580" w:type="dxa"/>
            <w:tcBorders>
              <w:top w:val="nil" w:sz="6" w:space="0" w:color="auto"/>
              <w:left w:val="nil" w:sz="6" w:space="0" w:color="auto"/>
              <w:bottom w:val="nil" w:sz="6" w:space="0" w:color="auto"/>
              <w:right w:val="nil" w:sz="6" w:space="0" w:color="auto"/>
            </w:tcBorders>
          </w:tcPr>
          <w:p>
            <w:pPr/>
          </w:p>
        </w:tc>
        <w:tc>
          <w:tcPr>
            <w:tcW w:w="337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56"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2396" w:type="dxa"/>
            <w:tcBorders>
              <w:top w:val="nil" w:sz="6" w:space="0" w:color="auto"/>
              <w:left w:val="nil" w:sz="6" w:space="0" w:color="auto"/>
              <w:bottom w:val="nil" w:sz="6" w:space="0" w:color="auto"/>
              <w:right w:val="nil" w:sz="6" w:space="0" w:color="auto"/>
            </w:tcBorders>
          </w:tcPr>
          <w:p>
            <w:pPr>
              <w:pStyle w:val="TableParagraph"/>
              <w:tabs>
                <w:tab w:pos="1191" w:val="left" w:leader="none"/>
              </w:tabs>
              <w:spacing w:line="240" w:lineRule="auto" w:before="116"/>
              <w:ind w:right="197"/>
              <w:jc w:val="right"/>
              <w:rPr>
                <w:rFonts w:ascii="Arial" w:hAnsi="Arial" w:cs="Arial" w:eastAsia="Arial" w:hint="default"/>
                <w:sz w:val="20"/>
                <w:szCs w:val="20"/>
              </w:rPr>
            </w:pPr>
            <w:r>
              <w:rPr>
                <w:rFonts w:ascii="Arial"/>
                <w:w w:val="100"/>
                <w:sz w:val="20"/>
              </w:rPr>
            </w:r>
            <w:r>
              <w:rPr>
                <w:rFonts w:ascii="Arial"/>
                <w:sz w:val="20"/>
                <w:u w:val="thick" w:color="000000"/>
              </w:rPr>
              <w:t>40,861</w:t>
            </w:r>
            <w:r>
              <w:rPr>
                <w:rFonts w:ascii="Arial"/>
                <w:sz w:val="20"/>
              </w:rPr>
              <w:tab/>
            </w:r>
            <w:r>
              <w:rPr>
                <w:rFonts w:ascii="Arial"/>
                <w:sz w:val="20"/>
                <w:u w:val="thick" w:color="000000"/>
              </w:rPr>
              <w:t>100</w:t>
            </w:r>
            <w:r>
              <w:rPr>
                <w:rFonts w:ascii="Arial"/>
                <w:sz w:val="20"/>
              </w:rPr>
            </w:r>
          </w:p>
        </w:tc>
        <w:tc>
          <w:tcPr>
            <w:tcW w:w="2215" w:type="dxa"/>
            <w:tcBorders>
              <w:top w:val="nil" w:sz="6" w:space="0" w:color="auto"/>
              <w:left w:val="nil" w:sz="6" w:space="0" w:color="auto"/>
              <w:bottom w:val="nil" w:sz="6" w:space="0" w:color="auto"/>
              <w:right w:val="nil" w:sz="6" w:space="0" w:color="auto"/>
            </w:tcBorders>
          </w:tcPr>
          <w:p>
            <w:pPr>
              <w:pStyle w:val="TableParagraph"/>
              <w:tabs>
                <w:tab w:pos="899" w:val="left" w:leader="none"/>
                <w:tab w:pos="1549" w:val="left" w:leader="none"/>
              </w:tabs>
              <w:spacing w:line="240" w:lineRule="auto" w:before="116"/>
              <w:ind w:right="34"/>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tab/>
            </w:r>
            <w:r>
              <w:rPr>
                <w:rFonts w:ascii="Arial"/>
                <w:sz w:val="20"/>
                <w:u w:val="thick" w:color="000000"/>
              </w:rPr>
              <w:t> -</w:t>
            </w:r>
            <w:r>
              <w:rPr>
                <w:rFonts w:ascii="Arial"/>
                <w:sz w:val="20"/>
              </w:rPr>
            </w:r>
          </w:p>
        </w:tc>
      </w:tr>
      <w:tr>
        <w:trPr>
          <w:trHeight w:val="370" w:hRule="exact"/>
        </w:trPr>
        <w:tc>
          <w:tcPr>
            <w:tcW w:w="580" w:type="dxa"/>
            <w:tcBorders>
              <w:top w:val="nil" w:sz="6" w:space="0" w:color="auto"/>
              <w:left w:val="nil" w:sz="6" w:space="0" w:color="auto"/>
              <w:bottom w:val="nil" w:sz="6" w:space="0" w:color="auto"/>
              <w:right w:val="nil" w:sz="6" w:space="0" w:color="auto"/>
            </w:tcBorders>
          </w:tcPr>
          <w:p>
            <w:pPr/>
          </w:p>
        </w:tc>
        <w:tc>
          <w:tcPr>
            <w:tcW w:w="337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2"/>
              <w:jc w:val="right"/>
              <w:rPr>
                <w:rFonts w:ascii="黑体" w:hAnsi="黑体" w:cs="黑体" w:eastAsia="黑体" w:hint="default"/>
                <w:sz w:val="20"/>
                <w:szCs w:val="20"/>
              </w:rPr>
            </w:pPr>
            <w:r>
              <w:rPr>
                <w:rFonts w:ascii="黑体" w:hAnsi="黑体" w:cs="黑体" w:eastAsia="黑体" w:hint="default"/>
                <w:sz w:val="20"/>
                <w:szCs w:val="20"/>
              </w:rPr>
              <w:t>注释</w:t>
            </w:r>
          </w:p>
        </w:tc>
        <w:tc>
          <w:tcPr>
            <w:tcW w:w="2396" w:type="dxa"/>
            <w:tcBorders>
              <w:top w:val="nil" w:sz="6" w:space="0" w:color="auto"/>
              <w:left w:val="nil" w:sz="6" w:space="0" w:color="auto"/>
              <w:bottom w:val="nil" w:sz="6" w:space="0" w:color="auto"/>
              <w:right w:val="nil" w:sz="6" w:space="0" w:color="auto"/>
            </w:tcBorders>
          </w:tcPr>
          <w:p>
            <w:pPr>
              <w:pStyle w:val="TableParagraph"/>
              <w:tabs>
                <w:tab w:pos="1285" w:val="left" w:leader="none"/>
              </w:tabs>
              <w:spacing w:line="240" w:lineRule="auto" w:before="71"/>
              <w:ind w:right="227"/>
              <w:jc w:val="right"/>
              <w:rPr>
                <w:rFonts w:ascii="黑体" w:hAnsi="黑体" w:cs="黑体" w:eastAsia="黑体" w:hint="default"/>
                <w:sz w:val="20"/>
                <w:szCs w:val="20"/>
              </w:rPr>
            </w:pPr>
            <w:r>
              <w:rPr>
                <w:rFonts w:ascii="Arial" w:hAnsi="Arial" w:cs="Arial" w:eastAsia="Arial" w:hint="default"/>
                <w:w w:val="100"/>
                <w:sz w:val="20"/>
                <w:szCs w:val="20"/>
              </w:rPr>
            </w:r>
            <w:r>
              <w:rPr>
                <w:rFonts w:ascii="Arial" w:hAnsi="Arial" w:cs="Arial" w:eastAsia="Arial" w:hint="default"/>
                <w:w w:val="100"/>
                <w:sz w:val="20"/>
                <w:szCs w:val="20"/>
                <w:u w:val="single" w:color="000000"/>
              </w:rPr>
              <w:t> </w:t>
            </w:r>
            <w:r>
              <w:rPr>
                <w:rFonts w:ascii="Arial" w:hAnsi="Arial" w:cs="Arial" w:eastAsia="Arial" w:hint="default"/>
                <w:sz w:val="20"/>
                <w:szCs w:val="20"/>
                <w:u w:val="single" w:color="000000"/>
              </w:rPr>
              <w:tab/>
              <w:t>2009</w:t>
            </w:r>
            <w:r>
              <w:rPr>
                <w:rFonts w:ascii="Arial" w:hAnsi="Arial" w:cs="Arial" w:eastAsia="Arial" w:hint="default"/>
                <w:spacing w:val="-6"/>
                <w:sz w:val="20"/>
                <w:szCs w:val="20"/>
                <w:u w:val="single" w:color="000000"/>
              </w:rPr>
              <w:t> </w:t>
            </w:r>
            <w:r>
              <w:rPr>
                <w:rFonts w:ascii="黑体" w:hAnsi="黑体" w:cs="黑体" w:eastAsia="黑体" w:hint="default"/>
                <w:sz w:val="20"/>
                <w:szCs w:val="20"/>
                <w:u w:val="single" w:color="000000"/>
              </w:rPr>
              <w:t>年</w:t>
            </w:r>
            <w:r>
              <w:rPr>
                <w:rFonts w:ascii="黑体" w:hAnsi="黑体" w:cs="黑体" w:eastAsia="黑体" w:hint="default"/>
                <w:sz w:val="20"/>
                <w:szCs w:val="20"/>
              </w:rPr>
            </w:r>
          </w:p>
        </w:tc>
        <w:tc>
          <w:tcPr>
            <w:tcW w:w="2215" w:type="dxa"/>
            <w:tcBorders>
              <w:top w:val="nil" w:sz="6" w:space="0" w:color="auto"/>
              <w:left w:val="nil" w:sz="6" w:space="0" w:color="auto"/>
              <w:bottom w:val="nil" w:sz="6" w:space="0" w:color="auto"/>
              <w:right w:val="nil" w:sz="6" w:space="0" w:color="auto"/>
            </w:tcBorders>
          </w:tcPr>
          <w:p>
            <w:pPr>
              <w:pStyle w:val="TableParagraph"/>
              <w:tabs>
                <w:tab w:pos="1284" w:val="left" w:leader="none"/>
              </w:tabs>
              <w:spacing w:line="240" w:lineRule="auto" w:before="71"/>
              <w:ind w:right="33"/>
              <w:jc w:val="right"/>
              <w:rPr>
                <w:rFonts w:ascii="黑体" w:hAnsi="黑体" w:cs="黑体" w:eastAsia="黑体" w:hint="default"/>
                <w:sz w:val="20"/>
                <w:szCs w:val="20"/>
              </w:rPr>
            </w:pPr>
            <w:r>
              <w:rPr>
                <w:rFonts w:ascii="Arial" w:hAnsi="Arial" w:cs="Arial" w:eastAsia="Arial" w:hint="default"/>
                <w:w w:val="100"/>
                <w:sz w:val="20"/>
                <w:szCs w:val="20"/>
              </w:rPr>
            </w:r>
            <w:r>
              <w:rPr>
                <w:rFonts w:ascii="Arial" w:hAnsi="Arial" w:cs="Arial" w:eastAsia="Arial" w:hint="default"/>
                <w:w w:val="100"/>
                <w:sz w:val="20"/>
                <w:szCs w:val="20"/>
                <w:u w:val="single" w:color="000000"/>
              </w:rPr>
              <w:t> </w:t>
            </w:r>
            <w:r>
              <w:rPr>
                <w:rFonts w:ascii="Arial" w:hAnsi="Arial" w:cs="Arial" w:eastAsia="Arial" w:hint="default"/>
                <w:sz w:val="20"/>
                <w:szCs w:val="20"/>
                <w:u w:val="single" w:color="000000"/>
              </w:rPr>
              <w:tab/>
              <w:t>2008</w:t>
            </w:r>
            <w:r>
              <w:rPr>
                <w:rFonts w:ascii="Arial" w:hAnsi="Arial" w:cs="Arial" w:eastAsia="Arial" w:hint="default"/>
                <w:spacing w:val="-6"/>
                <w:sz w:val="20"/>
                <w:szCs w:val="20"/>
                <w:u w:val="single" w:color="000000"/>
              </w:rPr>
              <w:t> </w:t>
            </w:r>
            <w:r>
              <w:rPr>
                <w:rFonts w:ascii="黑体" w:hAnsi="黑体" w:cs="黑体" w:eastAsia="黑体" w:hint="default"/>
                <w:sz w:val="20"/>
                <w:szCs w:val="20"/>
                <w:u w:val="single" w:color="000000"/>
              </w:rPr>
              <w:t>年</w:t>
            </w:r>
            <w:r>
              <w:rPr>
                <w:rFonts w:ascii="黑体" w:hAnsi="黑体" w:cs="黑体" w:eastAsia="黑体" w:hint="default"/>
                <w:sz w:val="20"/>
                <w:szCs w:val="20"/>
              </w:rPr>
            </w:r>
          </w:p>
        </w:tc>
      </w:tr>
      <w:tr>
        <w:trPr>
          <w:trHeight w:val="370" w:hRule="exact"/>
        </w:trPr>
        <w:tc>
          <w:tcPr>
            <w:tcW w:w="580" w:type="dxa"/>
            <w:tcBorders>
              <w:top w:val="nil" w:sz="6" w:space="0" w:color="auto"/>
              <w:left w:val="nil" w:sz="6" w:space="0" w:color="auto"/>
              <w:bottom w:val="nil" w:sz="6" w:space="0" w:color="auto"/>
              <w:right w:val="nil" w:sz="6" w:space="0" w:color="auto"/>
            </w:tcBorders>
          </w:tcPr>
          <w:p>
            <w:pPr/>
          </w:p>
        </w:tc>
        <w:tc>
          <w:tcPr>
            <w:tcW w:w="3374" w:type="dxa"/>
            <w:tcBorders>
              <w:top w:val="nil" w:sz="6" w:space="0" w:color="auto"/>
              <w:left w:val="nil" w:sz="6" w:space="0" w:color="auto"/>
              <w:bottom w:val="nil" w:sz="6" w:space="0" w:color="auto"/>
              <w:right w:val="nil" w:sz="6" w:space="0" w:color="auto"/>
            </w:tcBorders>
          </w:tcPr>
          <w:p>
            <w:pPr/>
          </w:p>
        </w:tc>
        <w:tc>
          <w:tcPr>
            <w:tcW w:w="2396" w:type="dxa"/>
            <w:tcBorders>
              <w:top w:val="nil" w:sz="6" w:space="0" w:color="auto"/>
              <w:left w:val="nil" w:sz="6" w:space="0" w:color="auto"/>
              <w:bottom w:val="nil" w:sz="6" w:space="0" w:color="auto"/>
              <w:right w:val="nil" w:sz="6" w:space="0" w:color="auto"/>
            </w:tcBorders>
          </w:tcPr>
          <w:p>
            <w:pPr>
              <w:pStyle w:val="TableParagraph"/>
              <w:spacing w:line="242" w:lineRule="exact"/>
              <w:ind w:right="227"/>
              <w:jc w:val="right"/>
              <w:rPr>
                <w:rFonts w:ascii="Arial" w:hAnsi="Arial" w:cs="Arial" w:eastAsia="Arial" w:hint="default"/>
                <w:sz w:val="20"/>
                <w:szCs w:val="20"/>
              </w:rPr>
            </w:pPr>
            <w:r>
              <w:rPr>
                <w:rFonts w:ascii="黑体" w:hAnsi="黑体" w:cs="黑体" w:eastAsia="黑体" w:hint="default"/>
                <w:sz w:val="20"/>
                <w:szCs w:val="20"/>
              </w:rPr>
              <w:t>金额或股数</w:t>
            </w:r>
            <w:r>
              <w:rPr>
                <w:rFonts w:ascii="黑体" w:hAnsi="黑体" w:cs="黑体" w:eastAsia="黑体" w:hint="default"/>
                <w:spacing w:val="38"/>
                <w:sz w:val="20"/>
                <w:szCs w:val="20"/>
              </w:rPr>
              <w:t> </w:t>
            </w:r>
            <w:r>
              <w:rPr>
                <w:rFonts w:ascii="黑体" w:hAnsi="黑体" w:cs="黑体" w:eastAsia="黑体" w:hint="default"/>
                <w:sz w:val="20"/>
                <w:szCs w:val="20"/>
              </w:rPr>
              <w:t>比例</w:t>
            </w:r>
            <w:r>
              <w:rPr>
                <w:rFonts w:ascii="Arial" w:hAnsi="Arial" w:cs="Arial" w:eastAsia="Arial" w:hint="default"/>
                <w:sz w:val="20"/>
                <w:szCs w:val="20"/>
              </w:rPr>
              <w:t>(%)</w:t>
            </w:r>
          </w:p>
        </w:tc>
        <w:tc>
          <w:tcPr>
            <w:tcW w:w="2215" w:type="dxa"/>
            <w:tcBorders>
              <w:top w:val="nil" w:sz="6" w:space="0" w:color="auto"/>
              <w:left w:val="nil" w:sz="6" w:space="0" w:color="auto"/>
              <w:bottom w:val="nil" w:sz="6" w:space="0" w:color="auto"/>
              <w:right w:val="nil" w:sz="6" w:space="0" w:color="auto"/>
            </w:tcBorders>
          </w:tcPr>
          <w:p>
            <w:pPr>
              <w:pStyle w:val="TableParagraph"/>
              <w:spacing w:line="242" w:lineRule="exact"/>
              <w:ind w:right="33"/>
              <w:jc w:val="right"/>
              <w:rPr>
                <w:rFonts w:ascii="Arial" w:hAnsi="Arial" w:cs="Arial" w:eastAsia="Arial" w:hint="default"/>
                <w:sz w:val="20"/>
                <w:szCs w:val="20"/>
              </w:rPr>
            </w:pPr>
            <w:r>
              <w:rPr>
                <w:rFonts w:ascii="黑体" w:hAnsi="黑体" w:cs="黑体" w:eastAsia="黑体" w:hint="default"/>
                <w:sz w:val="20"/>
                <w:szCs w:val="20"/>
              </w:rPr>
              <w:t>金额或股数</w:t>
            </w:r>
            <w:r>
              <w:rPr>
                <w:rFonts w:ascii="黑体" w:hAnsi="黑体" w:cs="黑体" w:eastAsia="黑体" w:hint="default"/>
                <w:spacing w:val="39"/>
                <w:sz w:val="20"/>
                <w:szCs w:val="20"/>
              </w:rPr>
              <w:t> </w:t>
            </w:r>
            <w:r>
              <w:rPr>
                <w:rFonts w:ascii="黑体" w:hAnsi="黑体" w:cs="黑体" w:eastAsia="黑体" w:hint="default"/>
                <w:sz w:val="20"/>
                <w:szCs w:val="20"/>
              </w:rPr>
              <w:t>比例</w:t>
            </w:r>
            <w:r>
              <w:rPr>
                <w:rFonts w:ascii="Arial" w:hAnsi="Arial" w:cs="Arial" w:eastAsia="Arial" w:hint="default"/>
                <w:sz w:val="20"/>
                <w:szCs w:val="20"/>
              </w:rPr>
              <w:t>(%)</w:t>
            </w:r>
          </w:p>
        </w:tc>
      </w:tr>
      <w:tr>
        <w:trPr>
          <w:trHeight w:val="562" w:hRule="exact"/>
        </w:trPr>
        <w:tc>
          <w:tcPr>
            <w:tcW w:w="580" w:type="dxa"/>
            <w:tcBorders>
              <w:top w:val="nil" w:sz="6" w:space="0" w:color="auto"/>
              <w:left w:val="nil" w:sz="6" w:space="0" w:color="auto"/>
              <w:bottom w:val="nil" w:sz="6" w:space="0" w:color="auto"/>
              <w:right w:val="nil" w:sz="6" w:space="0" w:color="auto"/>
            </w:tcBorders>
          </w:tcPr>
          <w:p>
            <w:pPr/>
          </w:p>
        </w:tc>
        <w:tc>
          <w:tcPr>
            <w:tcW w:w="3374" w:type="dxa"/>
            <w:tcBorders>
              <w:top w:val="nil" w:sz="6" w:space="0" w:color="auto"/>
              <w:left w:val="nil" w:sz="6" w:space="0" w:color="auto"/>
              <w:bottom w:val="nil" w:sz="6" w:space="0" w:color="auto"/>
              <w:right w:val="nil" w:sz="6" w:space="0" w:color="auto"/>
            </w:tcBorders>
          </w:tcPr>
          <w:p>
            <w:pPr>
              <w:pStyle w:val="TableParagraph"/>
              <w:spacing w:line="220" w:lineRule="exact" w:before="128"/>
              <w:ind w:left="337" w:right="664" w:hanging="196"/>
              <w:jc w:val="left"/>
              <w:rPr>
                <w:rFonts w:ascii="黑体" w:hAnsi="黑体" w:cs="黑体" w:eastAsia="黑体" w:hint="default"/>
                <w:sz w:val="20"/>
                <w:szCs w:val="20"/>
              </w:rPr>
            </w:pPr>
            <w:r>
              <w:rPr>
                <w:rFonts w:ascii="黑体" w:hAnsi="黑体" w:cs="黑体" w:eastAsia="黑体" w:hint="default"/>
                <w:spacing w:val="-4"/>
                <w:sz w:val="20"/>
                <w:szCs w:val="20"/>
              </w:rPr>
              <w:t>董事、监事及关键管理人员薪</w:t>
            </w:r>
            <w:r>
              <w:rPr>
                <w:rFonts w:ascii="黑体" w:hAnsi="黑体" w:cs="黑体" w:eastAsia="黑体" w:hint="default"/>
                <w:spacing w:val="-86"/>
                <w:sz w:val="20"/>
                <w:szCs w:val="20"/>
              </w:rPr>
              <w:t> </w:t>
            </w:r>
            <w:r>
              <w:rPr>
                <w:rFonts w:ascii="黑体" w:hAnsi="黑体" w:cs="黑体" w:eastAsia="黑体" w:hint="default"/>
                <w:spacing w:val="-86"/>
                <w:sz w:val="20"/>
                <w:szCs w:val="20"/>
              </w:rPr>
            </w:r>
            <w:r>
              <w:rPr>
                <w:rFonts w:ascii="黑体" w:hAnsi="黑体" w:cs="黑体" w:eastAsia="黑体" w:hint="default"/>
                <w:sz w:val="20"/>
                <w:szCs w:val="20"/>
              </w:rPr>
              <w:t>酬支出金额</w:t>
            </w:r>
          </w:p>
        </w:tc>
        <w:tc>
          <w:tcPr>
            <w:tcW w:w="239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Arial" w:hAnsi="Arial" w:cs="Arial" w:eastAsia="Arial" w:hint="default"/>
                <w:sz w:val="29"/>
                <w:szCs w:val="29"/>
              </w:rPr>
            </w:pPr>
          </w:p>
          <w:p>
            <w:pPr>
              <w:pStyle w:val="TableParagraph"/>
              <w:tabs>
                <w:tab w:pos="1517" w:val="left" w:leader="none"/>
              </w:tabs>
              <w:spacing w:line="240" w:lineRule="auto"/>
              <w:ind w:right="227"/>
              <w:jc w:val="right"/>
              <w:rPr>
                <w:rFonts w:ascii="Arial" w:hAnsi="Arial" w:cs="Arial" w:eastAsia="Arial" w:hint="default"/>
                <w:sz w:val="20"/>
                <w:szCs w:val="20"/>
              </w:rPr>
            </w:pPr>
            <w:r>
              <w:rPr>
                <w:rFonts w:ascii="Arial"/>
                <w:w w:val="100"/>
                <w:sz w:val="20"/>
              </w:rPr>
            </w:r>
            <w:r>
              <w:rPr>
                <w:rFonts w:ascii="Arial"/>
                <w:spacing w:val="-1"/>
                <w:sz w:val="20"/>
                <w:u w:val="thick" w:color="000000"/>
              </w:rPr>
              <w:t>21,692,630</w:t>
            </w:r>
            <w:r>
              <w:rPr>
                <w:rFonts w:ascii="Arial"/>
                <w:spacing w:val="-1"/>
                <w:sz w:val="20"/>
              </w:rPr>
              <w:tab/>
            </w:r>
            <w:r>
              <w:rPr>
                <w:rFonts w:ascii="Arial"/>
                <w:sz w:val="20"/>
                <w:u w:val="thick" w:color="000000"/>
              </w:rPr>
              <w:t>100</w:t>
            </w:r>
            <w:r>
              <w:rPr>
                <w:rFonts w:ascii="Arial"/>
                <w:sz w:val="20"/>
              </w:rPr>
            </w:r>
          </w:p>
        </w:tc>
        <w:tc>
          <w:tcPr>
            <w:tcW w:w="22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Arial" w:hAnsi="Arial" w:cs="Arial" w:eastAsia="Arial" w:hint="default"/>
                <w:sz w:val="29"/>
                <w:szCs w:val="29"/>
              </w:rPr>
            </w:pPr>
          </w:p>
          <w:p>
            <w:pPr>
              <w:pStyle w:val="TableParagraph"/>
              <w:tabs>
                <w:tab w:pos="1519" w:val="left" w:leader="none"/>
              </w:tabs>
              <w:spacing w:line="240" w:lineRule="auto"/>
              <w:ind w:right="34"/>
              <w:jc w:val="right"/>
              <w:rPr>
                <w:rFonts w:ascii="Arial" w:hAnsi="Arial" w:cs="Arial" w:eastAsia="Arial" w:hint="default"/>
                <w:sz w:val="20"/>
                <w:szCs w:val="20"/>
              </w:rPr>
            </w:pPr>
            <w:r>
              <w:rPr>
                <w:rFonts w:ascii="Arial"/>
                <w:w w:val="100"/>
                <w:sz w:val="20"/>
              </w:rPr>
            </w:r>
            <w:r>
              <w:rPr>
                <w:rFonts w:ascii="Arial"/>
                <w:spacing w:val="-1"/>
                <w:sz w:val="20"/>
                <w:u w:val="thick" w:color="000000"/>
              </w:rPr>
              <w:t>24,328,878</w:t>
            </w:r>
            <w:r>
              <w:rPr>
                <w:rFonts w:ascii="Arial"/>
                <w:spacing w:val="-1"/>
                <w:sz w:val="20"/>
              </w:rPr>
              <w:tab/>
            </w:r>
            <w:r>
              <w:rPr>
                <w:rFonts w:ascii="Arial"/>
                <w:sz w:val="20"/>
                <w:u w:val="thick" w:color="000000"/>
              </w:rPr>
              <w:t>100</w:t>
            </w:r>
            <w:r>
              <w:rPr>
                <w:rFonts w:ascii="Arial"/>
                <w:sz w:val="20"/>
              </w:rPr>
            </w:r>
          </w:p>
        </w:tc>
      </w:tr>
    </w:tbl>
    <w:p>
      <w:pPr>
        <w:pStyle w:val="BodyText"/>
        <w:spacing w:line="190" w:lineRule="exact"/>
        <w:ind w:left="828" w:right="0"/>
        <w:jc w:val="left"/>
      </w:pPr>
      <w:r>
        <w:rPr>
          <w:spacing w:val="-4"/>
        </w:rPr>
        <w:t>董事、监事及关键管理人员获</w:t>
      </w:r>
    </w:p>
    <w:p>
      <w:pPr>
        <w:pStyle w:val="BodyText"/>
        <w:tabs>
          <w:tab w:pos="4384" w:val="left" w:leader="none"/>
          <w:tab w:pos="6760" w:val="left" w:leader="none"/>
          <w:tab w:pos="7059" w:val="left" w:leader="none"/>
        </w:tabs>
        <w:spacing w:line="255" w:lineRule="exact"/>
        <w:ind w:left="1023" w:right="0"/>
        <w:jc w:val="left"/>
        <w:rPr>
          <w:rFonts w:ascii="Arial" w:hAnsi="Arial" w:cs="Arial" w:eastAsia="Arial" w:hint="default"/>
        </w:rPr>
      </w:pPr>
      <w:r>
        <w:rPr>
          <w:spacing w:val="-1"/>
        </w:rPr>
        <w:t>授股权激励股数</w:t>
        <w:tab/>
      </w:r>
      <w:r>
        <w:rPr>
          <w:rFonts w:ascii="Arial" w:hAnsi="Arial" w:cs="Arial" w:eastAsia="Arial" w:hint="default"/>
          <w:spacing w:val="-1"/>
        </w:rPr>
      </w:r>
      <w:r>
        <w:rPr>
          <w:rFonts w:ascii="Arial" w:hAnsi="Arial" w:cs="Arial" w:eastAsia="Arial" w:hint="default"/>
          <w:spacing w:val="-1"/>
          <w:u w:val="thick" w:color="000000"/>
        </w:rPr>
        <w:t> </w:t>
      </w:r>
      <w:r>
        <w:rPr>
          <w:rFonts w:ascii="Arial" w:hAnsi="Arial" w:cs="Arial" w:eastAsia="Arial" w:hint="default"/>
          <w:u w:val="thick" w:color="000000"/>
        </w:rPr>
        <w:t>1,301,700</w:t>
      </w:r>
      <w:r>
        <w:rPr>
          <w:rFonts w:ascii="Arial" w:hAnsi="Arial" w:cs="Arial" w:eastAsia="Arial" w:hint="default"/>
        </w:rPr>
        <w:tab/>
      </w:r>
      <w:r>
        <w:rPr>
          <w:rFonts w:ascii="Arial" w:hAnsi="Arial" w:cs="Arial" w:eastAsia="Arial" w:hint="default"/>
          <w:u w:val="thick" w:color="000000"/>
        </w:rPr>
        <w:t> </w:t>
        <w:tab/>
        <w:t>621,275</w:t>
      </w:r>
      <w:r>
        <w:rPr>
          <w:rFonts w:ascii="Arial" w:hAnsi="Arial" w:cs="Arial" w:eastAsia="Arial" w:hint="default"/>
        </w:rPr>
      </w:r>
    </w:p>
    <w:p>
      <w:pPr>
        <w:spacing w:line="240" w:lineRule="auto" w:before="8"/>
        <w:rPr>
          <w:rFonts w:ascii="Arial" w:hAnsi="Arial" w:cs="Arial" w:eastAsia="Arial" w:hint="default"/>
          <w:sz w:val="21"/>
          <w:szCs w:val="21"/>
        </w:rPr>
      </w:pPr>
    </w:p>
    <w:p>
      <w:pPr>
        <w:pStyle w:val="BodyText"/>
        <w:spacing w:line="276" w:lineRule="auto" w:before="38"/>
        <w:ind w:left="855" w:right="0"/>
        <w:jc w:val="left"/>
      </w:pPr>
      <w:r>
        <w:rPr>
          <w:spacing w:val="-1"/>
        </w:rPr>
        <w:t>董事、监事及关键管理人员的年度报酬总额包括基本工资、奖金，各项补贴及股权激励计</w:t>
      </w:r>
      <w:r>
        <w:rPr>
          <w:spacing w:val="-81"/>
        </w:rPr>
        <w:t> </w:t>
      </w:r>
      <w:r>
        <w:rPr>
          <w:spacing w:val="-81"/>
        </w:rPr>
      </w:r>
      <w:r>
        <w:rPr/>
        <w:t>划所授予的股份数量。该报酬总额包括本集团为其代扣代缴的个人所得税。</w:t>
      </w:r>
    </w:p>
    <w:p>
      <w:pPr>
        <w:spacing w:line="240" w:lineRule="auto" w:before="3"/>
        <w:rPr>
          <w:rFonts w:ascii="黑体" w:hAnsi="黑体" w:cs="黑体" w:eastAsia="黑体" w:hint="default"/>
          <w:sz w:val="17"/>
          <w:szCs w:val="17"/>
        </w:rPr>
      </w:pPr>
    </w:p>
    <w:tbl>
      <w:tblPr>
        <w:tblW w:w="0" w:type="auto"/>
        <w:jc w:val="left"/>
        <w:tblInd w:w="106" w:type="dxa"/>
        <w:tblLayout w:type="fixed"/>
        <w:tblCellMar>
          <w:top w:w="0" w:type="dxa"/>
          <w:left w:w="0" w:type="dxa"/>
          <w:bottom w:w="0" w:type="dxa"/>
          <w:right w:w="0" w:type="dxa"/>
        </w:tblCellMar>
        <w:tblLook w:val="01E0"/>
      </w:tblPr>
      <w:tblGrid>
        <w:gridCol w:w="4135"/>
        <w:gridCol w:w="2698"/>
        <w:gridCol w:w="1742"/>
      </w:tblGrid>
      <w:tr>
        <w:trPr>
          <w:trHeight w:val="790" w:hRule="exact"/>
        </w:trPr>
        <w:tc>
          <w:tcPr>
            <w:tcW w:w="4135" w:type="dxa"/>
            <w:tcBorders>
              <w:top w:val="nil" w:sz="6" w:space="0" w:color="auto"/>
              <w:left w:val="nil" w:sz="6" w:space="0" w:color="auto"/>
              <w:bottom w:val="nil" w:sz="6" w:space="0" w:color="auto"/>
              <w:right w:val="nil" w:sz="6" w:space="0" w:color="auto"/>
            </w:tcBorders>
          </w:tcPr>
          <w:p>
            <w:pPr>
              <w:pStyle w:val="TableParagraph"/>
              <w:tabs>
                <w:tab w:pos="738" w:val="left" w:leader="none"/>
              </w:tabs>
              <w:spacing w:line="240" w:lineRule="auto" w:before="38"/>
              <w:ind w:left="35" w:right="0"/>
              <w:jc w:val="left"/>
              <w:rPr>
                <w:rFonts w:ascii="黑体" w:hAnsi="黑体" w:cs="黑体" w:eastAsia="黑体" w:hint="default"/>
                <w:sz w:val="20"/>
                <w:szCs w:val="20"/>
              </w:rPr>
            </w:pPr>
            <w:r>
              <w:rPr>
                <w:rFonts w:ascii="Arial" w:hAnsi="Arial" w:cs="Arial" w:eastAsia="Arial" w:hint="default"/>
                <w:b/>
                <w:bCs/>
                <w:spacing w:val="-1"/>
                <w:sz w:val="20"/>
                <w:szCs w:val="20"/>
              </w:rPr>
              <w:t>6.</w:t>
              <w:tab/>
            </w:r>
            <w:r>
              <w:rPr>
                <w:rFonts w:ascii="黑体" w:hAnsi="黑体" w:cs="黑体" w:eastAsia="黑体" w:hint="default"/>
                <w:b/>
                <w:bCs/>
                <w:sz w:val="20"/>
                <w:szCs w:val="20"/>
              </w:rPr>
              <w:t>关联方应收应付款项余额</w:t>
            </w:r>
            <w:r>
              <w:rPr>
                <w:rFonts w:ascii="黑体" w:hAnsi="黑体" w:cs="黑体" w:eastAsia="黑体" w:hint="default"/>
                <w:sz w:val="20"/>
                <w:szCs w:val="20"/>
              </w:rPr>
            </w:r>
          </w:p>
          <w:p>
            <w:pPr>
              <w:pStyle w:val="TableParagraph"/>
              <w:spacing w:line="240" w:lineRule="auto" w:before="163"/>
              <w:ind w:left="749" w:right="0"/>
              <w:jc w:val="left"/>
              <w:rPr>
                <w:rFonts w:ascii="黑体" w:hAnsi="黑体" w:cs="黑体" w:eastAsia="黑体" w:hint="default"/>
                <w:sz w:val="20"/>
                <w:szCs w:val="20"/>
              </w:rPr>
            </w:pPr>
            <w:r>
              <w:rPr>
                <w:rFonts w:ascii="Arial" w:hAnsi="Arial" w:cs="Arial" w:eastAsia="Arial" w:hint="default"/>
                <w:sz w:val="20"/>
                <w:szCs w:val="20"/>
              </w:rPr>
              <w:t>(1)  </w:t>
            </w:r>
            <w:r>
              <w:rPr>
                <w:rFonts w:ascii="Arial" w:hAnsi="Arial" w:cs="Arial" w:eastAsia="Arial" w:hint="default"/>
                <w:spacing w:val="28"/>
                <w:sz w:val="20"/>
                <w:szCs w:val="20"/>
              </w:rPr>
              <w:t> </w:t>
            </w:r>
            <w:r>
              <w:rPr>
                <w:rFonts w:ascii="黑体" w:hAnsi="黑体" w:cs="黑体" w:eastAsia="黑体" w:hint="default"/>
                <w:sz w:val="20"/>
                <w:szCs w:val="20"/>
              </w:rPr>
              <w:t>应收账款</w:t>
            </w:r>
          </w:p>
        </w:tc>
        <w:tc>
          <w:tcPr>
            <w:tcW w:w="4440" w:type="dxa"/>
            <w:gridSpan w:val="2"/>
            <w:tcBorders>
              <w:top w:val="nil" w:sz="6" w:space="0" w:color="auto"/>
              <w:left w:val="nil" w:sz="6" w:space="0" w:color="auto"/>
              <w:bottom w:val="nil" w:sz="6" w:space="0" w:color="auto"/>
              <w:right w:val="nil" w:sz="6" w:space="0" w:color="auto"/>
            </w:tcBorders>
          </w:tcPr>
          <w:p>
            <w:pPr/>
          </w:p>
        </w:tc>
      </w:tr>
      <w:tr>
        <w:trPr>
          <w:trHeight w:val="274" w:hRule="exact"/>
        </w:trPr>
        <w:tc>
          <w:tcPr>
            <w:tcW w:w="4135" w:type="dxa"/>
            <w:tcBorders>
              <w:top w:val="nil" w:sz="6" w:space="0" w:color="auto"/>
              <w:left w:val="nil" w:sz="6" w:space="0" w:color="auto"/>
              <w:bottom w:val="nil" w:sz="6" w:space="0" w:color="auto"/>
              <w:right w:val="nil" w:sz="6" w:space="0" w:color="auto"/>
            </w:tcBorders>
          </w:tcPr>
          <w:p>
            <w:pPr/>
          </w:p>
        </w:tc>
        <w:tc>
          <w:tcPr>
            <w:tcW w:w="2698" w:type="dxa"/>
            <w:tcBorders>
              <w:top w:val="nil" w:sz="6" w:space="0" w:color="auto"/>
              <w:left w:val="nil" w:sz="6" w:space="0" w:color="auto"/>
              <w:bottom w:val="nil" w:sz="6" w:space="0" w:color="auto"/>
              <w:right w:val="nil" w:sz="6" w:space="0" w:color="auto"/>
            </w:tcBorders>
          </w:tcPr>
          <w:p>
            <w:pPr>
              <w:pStyle w:val="TableParagraph"/>
              <w:spacing w:line="256" w:lineRule="exact"/>
              <w:ind w:right="710"/>
              <w:jc w:val="right"/>
              <w:rPr>
                <w:rFonts w:ascii="黑体" w:hAnsi="黑体" w:cs="黑体" w:eastAsia="黑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黑体" w:hAnsi="黑体" w:cs="黑体" w:eastAsia="黑体" w:hint="default"/>
                <w:sz w:val="20"/>
                <w:szCs w:val="20"/>
              </w:rPr>
              <w:t>年</w:t>
            </w:r>
          </w:p>
        </w:tc>
        <w:tc>
          <w:tcPr>
            <w:tcW w:w="1742" w:type="dxa"/>
            <w:tcBorders>
              <w:top w:val="nil" w:sz="6" w:space="0" w:color="auto"/>
              <w:left w:val="nil" w:sz="6" w:space="0" w:color="auto"/>
              <w:bottom w:val="nil" w:sz="6" w:space="0" w:color="auto"/>
              <w:right w:val="nil" w:sz="6" w:space="0" w:color="auto"/>
            </w:tcBorders>
          </w:tcPr>
          <w:p>
            <w:pPr>
              <w:pStyle w:val="TableParagraph"/>
              <w:spacing w:line="256" w:lineRule="exact"/>
              <w:ind w:right="42"/>
              <w:jc w:val="right"/>
              <w:rPr>
                <w:rFonts w:ascii="黑体" w:hAnsi="黑体" w:cs="黑体" w:eastAsia="黑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黑体" w:hAnsi="黑体" w:cs="黑体" w:eastAsia="黑体" w:hint="default"/>
                <w:sz w:val="20"/>
                <w:szCs w:val="20"/>
              </w:rPr>
              <w:t>年</w:t>
            </w:r>
          </w:p>
        </w:tc>
      </w:tr>
      <w:tr>
        <w:trPr>
          <w:trHeight w:val="365" w:hRule="exact"/>
        </w:trPr>
        <w:tc>
          <w:tcPr>
            <w:tcW w:w="4135" w:type="dxa"/>
            <w:tcBorders>
              <w:top w:val="nil" w:sz="6" w:space="0" w:color="auto"/>
              <w:left w:val="nil" w:sz="6" w:space="0" w:color="auto"/>
              <w:bottom w:val="nil" w:sz="6" w:space="0" w:color="auto"/>
              <w:right w:val="nil" w:sz="6" w:space="0" w:color="auto"/>
            </w:tcBorders>
          </w:tcPr>
          <w:p>
            <w:pPr/>
          </w:p>
        </w:tc>
        <w:tc>
          <w:tcPr>
            <w:tcW w:w="2698" w:type="dxa"/>
            <w:tcBorders>
              <w:top w:val="nil" w:sz="6" w:space="0" w:color="auto"/>
              <w:left w:val="nil" w:sz="6" w:space="0" w:color="auto"/>
              <w:bottom w:val="nil" w:sz="6" w:space="0" w:color="auto"/>
              <w:right w:val="nil" w:sz="6" w:space="0" w:color="auto"/>
            </w:tcBorders>
          </w:tcPr>
          <w:p>
            <w:pPr>
              <w:pStyle w:val="TableParagraph"/>
              <w:spacing w:line="237" w:lineRule="exact"/>
              <w:ind w:right="710"/>
              <w:jc w:val="right"/>
              <w:rPr>
                <w:rFonts w:ascii="黑体" w:hAnsi="黑体" w:cs="黑体" w:eastAsia="黑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黑体" w:hAnsi="黑体" w:cs="黑体" w:eastAsia="黑体" w:hint="default"/>
                <w:sz w:val="20"/>
                <w:szCs w:val="20"/>
              </w:rPr>
              <w:t>日</w:t>
            </w:r>
          </w:p>
        </w:tc>
        <w:tc>
          <w:tcPr>
            <w:tcW w:w="1742" w:type="dxa"/>
            <w:tcBorders>
              <w:top w:val="nil" w:sz="6" w:space="0" w:color="auto"/>
              <w:left w:val="nil" w:sz="6" w:space="0" w:color="auto"/>
              <w:bottom w:val="nil" w:sz="6" w:space="0" w:color="auto"/>
              <w:right w:val="nil" w:sz="6" w:space="0" w:color="auto"/>
            </w:tcBorders>
          </w:tcPr>
          <w:p>
            <w:pPr>
              <w:pStyle w:val="TableParagraph"/>
              <w:spacing w:line="237" w:lineRule="exact"/>
              <w:ind w:right="42"/>
              <w:jc w:val="right"/>
              <w:rPr>
                <w:rFonts w:ascii="黑体" w:hAnsi="黑体" w:cs="黑体" w:eastAsia="黑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黑体" w:hAnsi="黑体" w:cs="黑体" w:eastAsia="黑体" w:hint="default"/>
                <w:sz w:val="20"/>
                <w:szCs w:val="20"/>
              </w:rPr>
              <w:t>日</w:t>
            </w:r>
          </w:p>
        </w:tc>
      </w:tr>
      <w:tr>
        <w:trPr>
          <w:trHeight w:val="451" w:hRule="exact"/>
        </w:trPr>
        <w:tc>
          <w:tcPr>
            <w:tcW w:w="413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744"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710"/>
              <w:jc w:val="right"/>
              <w:rPr>
                <w:rFonts w:ascii="Arial" w:hAnsi="Arial" w:cs="Arial" w:eastAsia="Arial" w:hint="default"/>
                <w:sz w:val="20"/>
                <w:szCs w:val="20"/>
              </w:rPr>
            </w:pPr>
            <w:r>
              <w:rPr>
                <w:rFonts w:ascii="Arial"/>
                <w:w w:val="100"/>
                <w:sz w:val="20"/>
              </w:rPr>
            </w:r>
            <w:r>
              <w:rPr>
                <w:rFonts w:ascii="Arial"/>
                <w:sz w:val="20"/>
                <w:u w:val="thick" w:color="000000"/>
              </w:rPr>
              <w:t>47,000</w:t>
            </w:r>
            <w:r>
              <w:rPr>
                <w:rFonts w:ascii="Arial"/>
                <w:sz w:val="20"/>
              </w:rPr>
            </w:r>
          </w:p>
        </w:tc>
        <w:tc>
          <w:tcPr>
            <w:tcW w:w="1742" w:type="dxa"/>
            <w:tcBorders>
              <w:top w:val="nil" w:sz="6" w:space="0" w:color="auto"/>
              <w:left w:val="nil" w:sz="6" w:space="0" w:color="auto"/>
              <w:bottom w:val="nil" w:sz="6" w:space="0" w:color="auto"/>
              <w:right w:val="nil" w:sz="6" w:space="0" w:color="auto"/>
            </w:tcBorders>
          </w:tcPr>
          <w:p>
            <w:pPr>
              <w:pStyle w:val="TableParagraph"/>
              <w:tabs>
                <w:tab w:pos="598" w:val="left" w:leader="none"/>
              </w:tabs>
              <w:spacing w:line="240" w:lineRule="auto" w:before="116"/>
              <w:ind w:right="44"/>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r>
      <w:tr>
        <w:trPr>
          <w:trHeight w:val="359" w:hRule="exact"/>
        </w:trPr>
        <w:tc>
          <w:tcPr>
            <w:tcW w:w="4135"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49" w:right="0"/>
              <w:jc w:val="left"/>
              <w:rPr>
                <w:rFonts w:ascii="黑体" w:hAnsi="黑体" w:cs="黑体" w:eastAsia="黑体" w:hint="default"/>
                <w:sz w:val="20"/>
                <w:szCs w:val="20"/>
              </w:rPr>
            </w:pPr>
            <w:r>
              <w:rPr>
                <w:rFonts w:ascii="Arial" w:hAnsi="Arial" w:cs="Arial" w:eastAsia="Arial" w:hint="default"/>
                <w:sz w:val="20"/>
                <w:szCs w:val="20"/>
              </w:rPr>
              <w:t>(2)  </w:t>
            </w:r>
            <w:r>
              <w:rPr>
                <w:rFonts w:ascii="Arial" w:hAnsi="Arial" w:cs="Arial" w:eastAsia="Arial" w:hint="default"/>
                <w:spacing w:val="31"/>
                <w:sz w:val="20"/>
                <w:szCs w:val="20"/>
              </w:rPr>
              <w:t> </w:t>
            </w:r>
            <w:r>
              <w:rPr>
                <w:rFonts w:ascii="黑体" w:hAnsi="黑体" w:cs="黑体" w:eastAsia="黑体" w:hint="default"/>
                <w:sz w:val="20"/>
                <w:szCs w:val="20"/>
              </w:rPr>
              <w:t>其他应收款</w:t>
            </w:r>
          </w:p>
        </w:tc>
        <w:tc>
          <w:tcPr>
            <w:tcW w:w="2698" w:type="dxa"/>
            <w:tcBorders>
              <w:top w:val="nil" w:sz="6" w:space="0" w:color="auto"/>
              <w:left w:val="nil" w:sz="6" w:space="0" w:color="auto"/>
              <w:bottom w:val="nil" w:sz="6" w:space="0" w:color="auto"/>
              <w:right w:val="nil" w:sz="6" w:space="0" w:color="auto"/>
            </w:tcBorders>
          </w:tcPr>
          <w:p>
            <w:pPr/>
          </w:p>
        </w:tc>
        <w:tc>
          <w:tcPr>
            <w:tcW w:w="1742" w:type="dxa"/>
            <w:tcBorders>
              <w:top w:val="nil" w:sz="6" w:space="0" w:color="auto"/>
              <w:left w:val="nil" w:sz="6" w:space="0" w:color="auto"/>
              <w:bottom w:val="nil" w:sz="6" w:space="0" w:color="auto"/>
              <w:right w:val="nil" w:sz="6" w:space="0" w:color="auto"/>
            </w:tcBorders>
          </w:tcPr>
          <w:p>
            <w:pPr/>
          </w:p>
        </w:tc>
      </w:tr>
      <w:tr>
        <w:trPr>
          <w:trHeight w:val="638" w:hRule="exact"/>
        </w:trPr>
        <w:tc>
          <w:tcPr>
            <w:tcW w:w="4135" w:type="dxa"/>
            <w:tcBorders>
              <w:top w:val="nil" w:sz="6" w:space="0" w:color="auto"/>
              <w:left w:val="nil" w:sz="6" w:space="0" w:color="auto"/>
              <w:bottom w:val="nil" w:sz="6" w:space="0" w:color="auto"/>
              <w:right w:val="nil" w:sz="6" w:space="0" w:color="auto"/>
            </w:tcBorders>
          </w:tcPr>
          <w:p>
            <w:pPr/>
          </w:p>
        </w:tc>
        <w:tc>
          <w:tcPr>
            <w:tcW w:w="2698" w:type="dxa"/>
            <w:tcBorders>
              <w:top w:val="nil" w:sz="6" w:space="0" w:color="auto"/>
              <w:left w:val="nil" w:sz="6" w:space="0" w:color="auto"/>
              <w:bottom w:val="nil" w:sz="6" w:space="0" w:color="auto"/>
              <w:right w:val="nil" w:sz="6" w:space="0" w:color="auto"/>
            </w:tcBorders>
          </w:tcPr>
          <w:p>
            <w:pPr>
              <w:pStyle w:val="TableParagraph"/>
              <w:spacing w:line="245" w:lineRule="exact"/>
              <w:ind w:left="1300" w:right="0"/>
              <w:jc w:val="left"/>
              <w:rPr>
                <w:rFonts w:ascii="黑体" w:hAnsi="黑体" w:cs="黑体" w:eastAsia="黑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黑体" w:hAnsi="黑体" w:cs="黑体" w:eastAsia="黑体" w:hint="default"/>
                <w:sz w:val="20"/>
                <w:szCs w:val="20"/>
              </w:rPr>
              <w:t>年</w:t>
            </w:r>
          </w:p>
          <w:p>
            <w:pPr>
              <w:pStyle w:val="TableParagraph"/>
              <w:spacing w:line="265" w:lineRule="exact"/>
              <w:ind w:left="1000" w:right="0"/>
              <w:jc w:val="left"/>
              <w:rPr>
                <w:rFonts w:ascii="黑体" w:hAnsi="黑体" w:cs="黑体" w:eastAsia="黑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黑体" w:hAnsi="黑体" w:cs="黑体" w:eastAsia="黑体" w:hint="default"/>
                <w:sz w:val="20"/>
                <w:szCs w:val="20"/>
              </w:rPr>
              <w:t>日</w:t>
            </w:r>
          </w:p>
        </w:tc>
        <w:tc>
          <w:tcPr>
            <w:tcW w:w="1742" w:type="dxa"/>
            <w:tcBorders>
              <w:top w:val="nil" w:sz="6" w:space="0" w:color="auto"/>
              <w:left w:val="nil" w:sz="6" w:space="0" w:color="auto"/>
              <w:bottom w:val="nil" w:sz="6" w:space="0" w:color="auto"/>
              <w:right w:val="nil" w:sz="6" w:space="0" w:color="auto"/>
            </w:tcBorders>
          </w:tcPr>
          <w:p>
            <w:pPr>
              <w:pStyle w:val="TableParagraph"/>
              <w:spacing w:line="245" w:lineRule="exact"/>
              <w:ind w:left="1011" w:right="0"/>
              <w:jc w:val="left"/>
              <w:rPr>
                <w:rFonts w:ascii="黑体" w:hAnsi="黑体" w:cs="黑体" w:eastAsia="黑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黑体" w:hAnsi="黑体" w:cs="黑体" w:eastAsia="黑体" w:hint="default"/>
                <w:sz w:val="20"/>
                <w:szCs w:val="20"/>
              </w:rPr>
              <w:t>年</w:t>
            </w:r>
          </w:p>
          <w:p>
            <w:pPr>
              <w:pStyle w:val="TableParagraph"/>
              <w:spacing w:line="265" w:lineRule="exact"/>
              <w:ind w:left="711" w:right="0"/>
              <w:jc w:val="left"/>
              <w:rPr>
                <w:rFonts w:ascii="黑体" w:hAnsi="黑体" w:cs="黑体" w:eastAsia="黑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黑体" w:hAnsi="黑体" w:cs="黑体" w:eastAsia="黑体" w:hint="default"/>
                <w:sz w:val="20"/>
                <w:szCs w:val="20"/>
              </w:rPr>
              <w:t>日</w:t>
            </w:r>
          </w:p>
        </w:tc>
      </w:tr>
      <w:tr>
        <w:trPr>
          <w:trHeight w:val="365" w:hRule="exact"/>
        </w:trPr>
        <w:tc>
          <w:tcPr>
            <w:tcW w:w="413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744" w:right="0"/>
              <w:jc w:val="left"/>
              <w:rPr>
                <w:rFonts w:ascii="Arial" w:hAnsi="Arial" w:cs="Arial" w:eastAsia="Arial" w:hint="default"/>
                <w:sz w:val="20"/>
                <w:szCs w:val="20"/>
              </w:rPr>
            </w:pPr>
            <w:r>
              <w:rPr>
                <w:rFonts w:ascii="黑体" w:hAnsi="黑体" w:cs="黑体" w:eastAsia="黑体" w:hint="default"/>
                <w:sz w:val="20"/>
                <w:szCs w:val="20"/>
              </w:rPr>
              <w:t>用友审计</w:t>
            </w:r>
            <w:r>
              <w:rPr>
                <w:rFonts w:ascii="Arial" w:hAnsi="Arial" w:cs="Arial" w:eastAsia="Arial" w:hint="default"/>
                <w:sz w:val="20"/>
                <w:szCs w:val="20"/>
              </w:rPr>
              <w:t>(</w:t>
            </w:r>
            <w:r>
              <w:rPr>
                <w:rFonts w:ascii="黑体" w:hAnsi="黑体" w:cs="黑体" w:eastAsia="黑体" w:hint="default"/>
                <w:sz w:val="20"/>
                <w:szCs w:val="20"/>
              </w:rPr>
              <w:t>注</w:t>
            </w:r>
            <w:r>
              <w:rPr>
                <w:rFonts w:ascii="黑体" w:hAnsi="黑体" w:cs="黑体" w:eastAsia="黑体" w:hint="default"/>
                <w:spacing w:val="-53"/>
                <w:sz w:val="20"/>
                <w:szCs w:val="20"/>
              </w:rPr>
              <w:t> </w:t>
            </w:r>
            <w:r>
              <w:rPr>
                <w:rFonts w:ascii="Arial" w:hAnsi="Arial" w:cs="Arial" w:eastAsia="Arial" w:hint="default"/>
                <w:sz w:val="20"/>
                <w:szCs w:val="20"/>
              </w:rPr>
              <w:t>1)</w:t>
            </w: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699"/>
              <w:jc w:val="right"/>
              <w:rPr>
                <w:rFonts w:ascii="Arial" w:hAnsi="Arial" w:cs="Arial" w:eastAsia="Arial" w:hint="default"/>
                <w:sz w:val="20"/>
                <w:szCs w:val="20"/>
              </w:rPr>
            </w:pPr>
            <w:r>
              <w:rPr>
                <w:rFonts w:ascii="Arial"/>
                <w:w w:val="100"/>
                <w:sz w:val="20"/>
              </w:rPr>
              <w:t>-</w:t>
            </w:r>
          </w:p>
        </w:tc>
        <w:tc>
          <w:tcPr>
            <w:tcW w:w="1742"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33"/>
              <w:jc w:val="right"/>
              <w:rPr>
                <w:rFonts w:ascii="Arial" w:hAnsi="Arial" w:cs="Arial" w:eastAsia="Arial" w:hint="default"/>
                <w:sz w:val="20"/>
                <w:szCs w:val="20"/>
              </w:rPr>
            </w:pPr>
            <w:r>
              <w:rPr>
                <w:rFonts w:ascii="Arial"/>
                <w:spacing w:val="-1"/>
                <w:sz w:val="20"/>
              </w:rPr>
              <w:t>1,500,000</w:t>
            </w:r>
          </w:p>
        </w:tc>
      </w:tr>
      <w:tr>
        <w:trPr>
          <w:trHeight w:val="255" w:hRule="exact"/>
        </w:trPr>
        <w:tc>
          <w:tcPr>
            <w:tcW w:w="4135" w:type="dxa"/>
            <w:tcBorders>
              <w:top w:val="nil" w:sz="6" w:space="0" w:color="auto"/>
              <w:left w:val="nil" w:sz="6" w:space="0" w:color="auto"/>
              <w:bottom w:val="nil" w:sz="6" w:space="0" w:color="auto"/>
              <w:right w:val="nil" w:sz="6" w:space="0" w:color="auto"/>
            </w:tcBorders>
          </w:tcPr>
          <w:p>
            <w:pPr>
              <w:pStyle w:val="TableParagraph"/>
              <w:spacing w:line="223" w:lineRule="exact"/>
              <w:ind w:left="744" w:right="0"/>
              <w:jc w:val="left"/>
              <w:rPr>
                <w:rFonts w:ascii="黑体" w:hAnsi="黑体" w:cs="黑体" w:eastAsia="黑体" w:hint="default"/>
                <w:sz w:val="20"/>
                <w:szCs w:val="20"/>
              </w:rPr>
            </w:pPr>
            <w:r>
              <w:rPr>
                <w:rFonts w:ascii="黑体" w:hAnsi="黑体" w:cs="黑体" w:eastAsia="黑体" w:hint="default"/>
                <w:sz w:val="20"/>
                <w:szCs w:val="20"/>
              </w:rPr>
              <w:t>用友移动</w:t>
            </w: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99"/>
              <w:jc w:val="right"/>
              <w:rPr>
                <w:rFonts w:ascii="Arial" w:hAnsi="Arial" w:cs="Arial" w:eastAsia="Arial" w:hint="default"/>
                <w:sz w:val="20"/>
                <w:szCs w:val="20"/>
              </w:rPr>
            </w:pPr>
            <w:r>
              <w:rPr>
                <w:rFonts w:ascii="Arial"/>
                <w:sz w:val="20"/>
              </w:rPr>
              <w:t>39,078</w:t>
            </w:r>
          </w:p>
        </w:tc>
        <w:tc>
          <w:tcPr>
            <w:tcW w:w="174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spacing w:val="-1"/>
                <w:sz w:val="20"/>
              </w:rPr>
              <w:t>1,065,875</w:t>
            </w:r>
          </w:p>
        </w:tc>
      </w:tr>
      <w:tr>
        <w:trPr>
          <w:trHeight w:val="255" w:hRule="exact"/>
        </w:trPr>
        <w:tc>
          <w:tcPr>
            <w:tcW w:w="4135" w:type="dxa"/>
            <w:tcBorders>
              <w:top w:val="nil" w:sz="6" w:space="0" w:color="auto"/>
              <w:left w:val="nil" w:sz="6" w:space="0" w:color="auto"/>
              <w:bottom w:val="nil" w:sz="6" w:space="0" w:color="auto"/>
              <w:right w:val="nil" w:sz="6" w:space="0" w:color="auto"/>
            </w:tcBorders>
          </w:tcPr>
          <w:p>
            <w:pPr>
              <w:pStyle w:val="TableParagraph"/>
              <w:spacing w:line="222" w:lineRule="exact"/>
              <w:ind w:left="744"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99"/>
              <w:jc w:val="right"/>
              <w:rPr>
                <w:rFonts w:ascii="Arial" w:hAnsi="Arial" w:cs="Arial" w:eastAsia="Arial" w:hint="default"/>
                <w:sz w:val="20"/>
                <w:szCs w:val="20"/>
              </w:rPr>
            </w:pPr>
            <w:r>
              <w:rPr>
                <w:rFonts w:ascii="Arial"/>
                <w:sz w:val="20"/>
              </w:rPr>
              <w:t>12,083</w:t>
            </w:r>
          </w:p>
        </w:tc>
        <w:tc>
          <w:tcPr>
            <w:tcW w:w="174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Arial" w:hAnsi="Arial" w:cs="Arial" w:eastAsia="Arial" w:hint="default"/>
                <w:sz w:val="20"/>
                <w:szCs w:val="20"/>
              </w:rPr>
            </w:pPr>
            <w:r>
              <w:rPr>
                <w:rFonts w:ascii="Arial"/>
                <w:sz w:val="20"/>
              </w:rPr>
              <w:t>9,000</w:t>
            </w:r>
          </w:p>
        </w:tc>
      </w:tr>
      <w:tr>
        <w:trPr>
          <w:trHeight w:val="250" w:hRule="exact"/>
        </w:trPr>
        <w:tc>
          <w:tcPr>
            <w:tcW w:w="4135" w:type="dxa"/>
            <w:tcBorders>
              <w:top w:val="nil" w:sz="6" w:space="0" w:color="auto"/>
              <w:left w:val="nil" w:sz="6" w:space="0" w:color="auto"/>
              <w:bottom w:val="nil" w:sz="6" w:space="0" w:color="auto"/>
              <w:right w:val="nil" w:sz="6" w:space="0" w:color="auto"/>
            </w:tcBorders>
          </w:tcPr>
          <w:p>
            <w:pPr>
              <w:pStyle w:val="TableParagraph"/>
              <w:spacing w:line="223" w:lineRule="exact"/>
              <w:ind w:left="744" w:right="0"/>
              <w:jc w:val="left"/>
              <w:rPr>
                <w:rFonts w:ascii="黑体" w:hAnsi="黑体" w:cs="黑体" w:eastAsia="黑体" w:hint="default"/>
                <w:sz w:val="20"/>
                <w:szCs w:val="20"/>
              </w:rPr>
            </w:pPr>
            <w:r>
              <w:rPr>
                <w:rFonts w:ascii="黑体" w:hAnsi="黑体" w:cs="黑体" w:eastAsia="黑体" w:hint="default"/>
                <w:sz w:val="20"/>
                <w:szCs w:val="20"/>
              </w:rPr>
              <w:t>董事、监事及关键管理人员</w:t>
            </w:r>
          </w:p>
        </w:tc>
        <w:tc>
          <w:tcPr>
            <w:tcW w:w="2698" w:type="dxa"/>
            <w:tcBorders>
              <w:top w:val="nil" w:sz="6" w:space="0" w:color="auto"/>
              <w:left w:val="nil" w:sz="6" w:space="0" w:color="auto"/>
              <w:bottom w:val="nil" w:sz="6" w:space="0" w:color="auto"/>
              <w:right w:val="nil" w:sz="6" w:space="0" w:color="auto"/>
            </w:tcBorders>
          </w:tcPr>
          <w:p>
            <w:pPr/>
          </w:p>
        </w:tc>
        <w:tc>
          <w:tcPr>
            <w:tcW w:w="1742" w:type="dxa"/>
            <w:tcBorders>
              <w:top w:val="nil" w:sz="6" w:space="0" w:color="auto"/>
              <w:left w:val="nil" w:sz="6" w:space="0" w:color="auto"/>
              <w:bottom w:val="nil" w:sz="6" w:space="0" w:color="auto"/>
              <w:right w:val="nil" w:sz="6" w:space="0" w:color="auto"/>
            </w:tcBorders>
          </w:tcPr>
          <w:p>
            <w:pPr/>
          </w:p>
        </w:tc>
      </w:tr>
      <w:tr>
        <w:trPr>
          <w:trHeight w:val="260" w:hRule="exact"/>
        </w:trPr>
        <w:tc>
          <w:tcPr>
            <w:tcW w:w="4135" w:type="dxa"/>
            <w:tcBorders>
              <w:top w:val="nil" w:sz="6" w:space="0" w:color="auto"/>
              <w:left w:val="nil" w:sz="6" w:space="0" w:color="auto"/>
              <w:bottom w:val="nil" w:sz="6" w:space="0" w:color="auto"/>
              <w:right w:val="nil" w:sz="6" w:space="0" w:color="auto"/>
            </w:tcBorders>
          </w:tcPr>
          <w:p>
            <w:pPr>
              <w:pStyle w:val="TableParagraph"/>
              <w:spacing w:line="227" w:lineRule="exact"/>
              <w:ind w:left="744" w:right="0"/>
              <w:jc w:val="left"/>
              <w:rPr>
                <w:rFonts w:ascii="黑体" w:hAnsi="黑体" w:cs="黑体" w:eastAsia="黑体" w:hint="default"/>
                <w:sz w:val="20"/>
                <w:szCs w:val="20"/>
              </w:rPr>
            </w:pPr>
            <w:r>
              <w:rPr>
                <w:rFonts w:ascii="黑体" w:hAnsi="黑体" w:cs="黑体" w:eastAsia="黑体" w:hint="default"/>
                <w:sz w:val="20"/>
                <w:szCs w:val="20"/>
              </w:rPr>
              <w:t>邵凯</w:t>
            </w:r>
          </w:p>
        </w:tc>
        <w:tc>
          <w:tcPr>
            <w:tcW w:w="2698" w:type="dxa"/>
            <w:tcBorders>
              <w:top w:val="nil" w:sz="6" w:space="0" w:color="auto"/>
              <w:left w:val="nil" w:sz="6" w:space="0" w:color="auto"/>
              <w:bottom w:val="nil" w:sz="6" w:space="0" w:color="auto"/>
              <w:right w:val="nil" w:sz="6" w:space="0" w:color="auto"/>
            </w:tcBorders>
          </w:tcPr>
          <w:p>
            <w:pPr>
              <w:pStyle w:val="TableParagraph"/>
              <w:tabs>
                <w:tab w:pos="539" w:val="left" w:leader="none"/>
              </w:tabs>
              <w:spacing w:line="240" w:lineRule="auto" w:before="11"/>
              <w:ind w:right="69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74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Arial" w:hAnsi="Arial" w:cs="Arial" w:eastAsia="Arial" w:hint="default"/>
                <w:sz w:val="20"/>
                <w:szCs w:val="20"/>
              </w:rPr>
            </w:pPr>
            <w:r>
              <w:rPr>
                <w:rFonts w:ascii="Arial"/>
                <w:w w:val="100"/>
                <w:sz w:val="20"/>
              </w:rPr>
            </w:r>
            <w:r>
              <w:rPr>
                <w:rFonts w:ascii="Arial"/>
                <w:spacing w:val="-1"/>
                <w:sz w:val="20"/>
                <w:u w:val="single" w:color="000000"/>
              </w:rPr>
              <w:t>10,000,000</w:t>
            </w:r>
            <w:r>
              <w:rPr>
                <w:rFonts w:ascii="Arial"/>
                <w:spacing w:val="-1"/>
                <w:sz w:val="20"/>
              </w:rPr>
            </w:r>
          </w:p>
        </w:tc>
      </w:tr>
      <w:tr>
        <w:trPr>
          <w:trHeight w:val="333" w:hRule="exact"/>
        </w:trPr>
        <w:tc>
          <w:tcPr>
            <w:tcW w:w="4135" w:type="dxa"/>
            <w:tcBorders>
              <w:top w:val="nil" w:sz="6" w:space="0" w:color="auto"/>
              <w:left w:val="nil" w:sz="6" w:space="0" w:color="auto"/>
              <w:bottom w:val="nil" w:sz="6" w:space="0" w:color="auto"/>
              <w:right w:val="nil" w:sz="6" w:space="0" w:color="auto"/>
            </w:tcBorders>
          </w:tcPr>
          <w:p>
            <w:pPr>
              <w:pStyle w:val="TableParagraph"/>
              <w:spacing w:line="223" w:lineRule="exact"/>
              <w:ind w:left="744"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99"/>
              <w:jc w:val="right"/>
              <w:rPr>
                <w:rFonts w:ascii="Arial" w:hAnsi="Arial" w:cs="Arial" w:eastAsia="Arial" w:hint="default"/>
                <w:sz w:val="20"/>
                <w:szCs w:val="20"/>
              </w:rPr>
            </w:pPr>
            <w:r>
              <w:rPr>
                <w:rFonts w:ascii="Arial"/>
                <w:w w:val="100"/>
                <w:sz w:val="20"/>
              </w:rPr>
            </w:r>
            <w:r>
              <w:rPr>
                <w:rFonts w:ascii="Arial"/>
                <w:sz w:val="20"/>
                <w:u w:val="thick" w:color="000000"/>
              </w:rPr>
              <w:t>51,161</w:t>
            </w:r>
            <w:r>
              <w:rPr>
                <w:rFonts w:ascii="Arial"/>
                <w:sz w:val="20"/>
              </w:rPr>
            </w:r>
          </w:p>
        </w:tc>
        <w:tc>
          <w:tcPr>
            <w:tcW w:w="174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12,574,875</w:t>
            </w:r>
            <w:r>
              <w:rPr>
                <w:rFonts w:ascii="Arial"/>
                <w:spacing w:val="-1"/>
                <w:sz w:val="20"/>
              </w:rPr>
            </w:r>
          </w:p>
        </w:tc>
      </w:tr>
    </w:tbl>
    <w:p>
      <w:pPr>
        <w:pStyle w:val="BodyText"/>
        <w:spacing w:line="240" w:lineRule="auto" w:before="96"/>
        <w:ind w:left="855" w:right="0"/>
        <w:jc w:val="left"/>
      </w:pPr>
      <w:r>
        <w:rPr/>
        <w:t>注</w:t>
      </w:r>
      <w:r>
        <w:rPr>
          <w:rFonts w:ascii="Arial" w:hAnsi="Arial" w:cs="Arial" w:eastAsia="Arial" w:hint="default"/>
        </w:rPr>
        <w:t>1</w:t>
      </w:r>
      <w:r>
        <w:rPr/>
        <w:t>．</w:t>
      </w:r>
      <w:r>
        <w:rPr>
          <w:rFonts w:ascii="Arial" w:hAnsi="Arial" w:cs="Arial" w:eastAsia="Arial" w:hint="default"/>
        </w:rPr>
        <w:t>2009</w:t>
      </w:r>
      <w:r>
        <w:rPr/>
        <w:t>年用友审计由联营公司变为子公司，详见附注四、</w:t>
      </w:r>
      <w:r>
        <w:rPr>
          <w:rFonts w:ascii="Arial" w:hAnsi="Arial" w:cs="Arial" w:eastAsia="Arial" w:hint="default"/>
        </w:rPr>
        <w:t>1</w:t>
      </w:r>
      <w:r>
        <w:rPr/>
        <w:t>、注</w:t>
      </w:r>
      <w:r>
        <w:rPr>
          <w:rFonts w:ascii="Arial" w:hAnsi="Arial" w:cs="Arial" w:eastAsia="Arial" w:hint="default"/>
        </w:rPr>
        <w:t>4</w:t>
      </w:r>
      <w:r>
        <w:rPr/>
        <w:t>。</w:t>
      </w:r>
    </w:p>
    <w:p>
      <w:pPr>
        <w:spacing w:after="0" w:line="240" w:lineRule="auto"/>
        <w:jc w:val="left"/>
        <w:sectPr>
          <w:pgSz w:w="11910" w:h="16840"/>
          <w:pgMar w:header="828" w:footer="476" w:top="2420" w:bottom="660" w:left="1560" w:right="154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1"/>
          <w:szCs w:val="11"/>
        </w:rPr>
      </w:pPr>
    </w:p>
    <w:tbl>
      <w:tblPr>
        <w:tblW w:w="0" w:type="auto"/>
        <w:jc w:val="left"/>
        <w:tblInd w:w="106" w:type="dxa"/>
        <w:tblLayout w:type="fixed"/>
        <w:tblCellMar>
          <w:top w:w="0" w:type="dxa"/>
          <w:left w:w="0" w:type="dxa"/>
          <w:bottom w:w="0" w:type="dxa"/>
          <w:right w:w="0" w:type="dxa"/>
        </w:tblCellMar>
        <w:tblLook w:val="01E0"/>
      </w:tblPr>
      <w:tblGrid>
        <w:gridCol w:w="588"/>
        <w:gridCol w:w="4080"/>
        <w:gridCol w:w="2491"/>
        <w:gridCol w:w="1417"/>
      </w:tblGrid>
      <w:tr>
        <w:trPr>
          <w:trHeight w:val="1119" w:hRule="exact"/>
        </w:trPr>
        <w:tc>
          <w:tcPr>
            <w:tcW w:w="58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六、</w:t>
            </w:r>
            <w:r>
              <w:rPr>
                <w:rFonts w:ascii="黑体" w:hAnsi="黑体" w:cs="黑体" w:eastAsia="黑体" w:hint="default"/>
                <w:sz w:val="20"/>
                <w:szCs w:val="20"/>
              </w:rPr>
            </w: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34"/>
              <w:ind w:left="35" w:right="0"/>
              <w:jc w:val="left"/>
              <w:rPr>
                <w:rFonts w:ascii="Arial" w:hAnsi="Arial" w:cs="Arial" w:eastAsia="Arial" w:hint="default"/>
                <w:sz w:val="20"/>
                <w:szCs w:val="20"/>
              </w:rPr>
            </w:pPr>
            <w:r>
              <w:rPr>
                <w:rFonts w:ascii="Arial"/>
                <w:b/>
                <w:sz w:val="20"/>
              </w:rPr>
              <w:t>6.</w:t>
            </w:r>
            <w:r>
              <w:rPr>
                <w:rFonts w:ascii="Arial"/>
                <w:sz w:val="20"/>
              </w:rPr>
            </w:r>
          </w:p>
        </w:tc>
        <w:tc>
          <w:tcPr>
            <w:tcW w:w="408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49" w:right="0"/>
              <w:jc w:val="left"/>
              <w:rPr>
                <w:rFonts w:ascii="黑体" w:hAnsi="黑体" w:cs="黑体" w:eastAsia="黑体" w:hint="default"/>
                <w:sz w:val="20"/>
                <w:szCs w:val="20"/>
              </w:rPr>
            </w:pPr>
            <w:r>
              <w:rPr>
                <w:rFonts w:ascii="黑体" w:hAnsi="黑体" w:cs="黑体" w:eastAsia="黑体" w:hint="default"/>
                <w:b/>
                <w:bCs/>
                <w:sz w:val="20"/>
                <w:szCs w:val="20"/>
              </w:rPr>
              <w:t>关联方关系及其交易（续）</w:t>
            </w:r>
            <w:r>
              <w:rPr>
                <w:rFonts w:ascii="黑体" w:hAnsi="黑体" w:cs="黑体" w:eastAsia="黑体" w:hint="default"/>
                <w:sz w:val="20"/>
                <w:szCs w:val="20"/>
              </w:rPr>
            </w:r>
          </w:p>
          <w:p>
            <w:pPr>
              <w:pStyle w:val="TableParagraph"/>
              <w:spacing w:line="240" w:lineRule="auto" w:before="10"/>
              <w:ind w:right="0"/>
              <w:jc w:val="left"/>
              <w:rPr>
                <w:rFonts w:ascii="黑体" w:hAnsi="黑体" w:cs="黑体" w:eastAsia="黑体" w:hint="default"/>
                <w:sz w:val="26"/>
                <w:szCs w:val="26"/>
              </w:rPr>
            </w:pPr>
          </w:p>
          <w:p>
            <w:pPr>
              <w:pStyle w:val="TableParagraph"/>
              <w:spacing w:line="240" w:lineRule="auto"/>
              <w:ind w:left="167" w:right="0"/>
              <w:jc w:val="left"/>
              <w:rPr>
                <w:rFonts w:ascii="黑体" w:hAnsi="黑体" w:cs="黑体" w:eastAsia="黑体" w:hint="default"/>
                <w:sz w:val="20"/>
                <w:szCs w:val="20"/>
              </w:rPr>
            </w:pPr>
            <w:r>
              <w:rPr>
                <w:rFonts w:ascii="黑体" w:hAnsi="黑体" w:cs="黑体" w:eastAsia="黑体" w:hint="default"/>
                <w:b/>
                <w:bCs/>
                <w:sz w:val="20"/>
                <w:szCs w:val="20"/>
              </w:rPr>
              <w:t>关联方应收应付款项余额（续）</w:t>
            </w:r>
            <w:r>
              <w:rPr>
                <w:rFonts w:ascii="黑体" w:hAnsi="黑体" w:cs="黑体" w:eastAsia="黑体" w:hint="default"/>
                <w:sz w:val="20"/>
                <w:szCs w:val="20"/>
              </w:rPr>
            </w:r>
          </w:p>
        </w:tc>
        <w:tc>
          <w:tcPr>
            <w:tcW w:w="3908" w:type="dxa"/>
            <w:gridSpan w:val="2"/>
            <w:vMerge w:val="restart"/>
            <w:tcBorders>
              <w:top w:val="nil" w:sz="6" w:space="0" w:color="auto"/>
              <w:left w:val="nil" w:sz="6" w:space="0" w:color="auto"/>
              <w:right w:val="nil" w:sz="6" w:space="0" w:color="auto"/>
            </w:tcBorders>
          </w:tcPr>
          <w:p>
            <w:pPr/>
          </w:p>
        </w:tc>
      </w:tr>
      <w:tr>
        <w:trPr>
          <w:trHeight w:val="605"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61" w:right="0"/>
              <w:jc w:val="left"/>
              <w:rPr>
                <w:rFonts w:ascii="黑体" w:hAnsi="黑体" w:cs="黑体" w:eastAsia="黑体" w:hint="default"/>
                <w:sz w:val="20"/>
                <w:szCs w:val="20"/>
              </w:rPr>
            </w:pPr>
            <w:r>
              <w:rPr>
                <w:rFonts w:ascii="Arial" w:hAnsi="Arial" w:cs="Arial" w:eastAsia="Arial" w:hint="default"/>
                <w:sz w:val="20"/>
                <w:szCs w:val="20"/>
              </w:rPr>
              <w:t>(3)  </w:t>
            </w:r>
            <w:r>
              <w:rPr>
                <w:rFonts w:ascii="Arial" w:hAnsi="Arial" w:cs="Arial" w:eastAsia="Arial" w:hint="default"/>
                <w:spacing w:val="28"/>
                <w:sz w:val="20"/>
                <w:szCs w:val="20"/>
              </w:rPr>
              <w:t> </w:t>
            </w:r>
            <w:r>
              <w:rPr>
                <w:rFonts w:ascii="黑体" w:hAnsi="黑体" w:cs="黑体" w:eastAsia="黑体" w:hint="default"/>
                <w:sz w:val="20"/>
                <w:szCs w:val="20"/>
              </w:rPr>
              <w:t>预付账款</w:t>
            </w:r>
          </w:p>
        </w:tc>
        <w:tc>
          <w:tcPr>
            <w:tcW w:w="3908" w:type="dxa"/>
            <w:gridSpan w:val="2"/>
            <w:vMerge/>
            <w:tcBorders>
              <w:left w:val="nil" w:sz="6" w:space="0" w:color="auto"/>
              <w:bottom w:val="nil" w:sz="6" w:space="0" w:color="auto"/>
              <w:right w:val="nil" w:sz="6" w:space="0" w:color="auto"/>
            </w:tcBorders>
          </w:tcPr>
          <w:p>
            <w:pPr/>
          </w:p>
        </w:tc>
      </w:tr>
      <w:tr>
        <w:trPr>
          <w:trHeight w:val="460"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
        </w:tc>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514"/>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46"/>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468"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
        </w:tc>
        <w:tc>
          <w:tcPr>
            <w:tcW w:w="2491" w:type="dxa"/>
            <w:tcBorders>
              <w:top w:val="nil" w:sz="6" w:space="0" w:color="auto"/>
              <w:left w:val="nil" w:sz="6" w:space="0" w:color="auto"/>
              <w:bottom w:val="nil" w:sz="6" w:space="0" w:color="auto"/>
              <w:right w:val="nil" w:sz="6" w:space="0" w:color="auto"/>
            </w:tcBorders>
          </w:tcPr>
          <w:p>
            <w:pPr>
              <w:pStyle w:val="TableParagraph"/>
              <w:spacing w:line="266" w:lineRule="exact"/>
              <w:ind w:right="514"/>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1417" w:type="dxa"/>
            <w:tcBorders>
              <w:top w:val="nil" w:sz="6" w:space="0" w:color="auto"/>
              <w:left w:val="nil" w:sz="6" w:space="0" w:color="auto"/>
              <w:bottom w:val="nil" w:sz="6" w:space="0" w:color="auto"/>
              <w:right w:val="nil" w:sz="6" w:space="0" w:color="auto"/>
            </w:tcBorders>
          </w:tcPr>
          <w:p>
            <w:pPr>
              <w:pStyle w:val="TableParagraph"/>
              <w:spacing w:line="266" w:lineRule="exact"/>
              <w:ind w:right="45"/>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r>
      <w:tr>
        <w:trPr>
          <w:trHeight w:val="611"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157"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14"/>
                <w:szCs w:val="14"/>
              </w:rPr>
            </w:pPr>
          </w:p>
          <w:p>
            <w:pPr>
              <w:pStyle w:val="TableParagraph"/>
              <w:spacing w:line="240" w:lineRule="auto"/>
              <w:ind w:right="514"/>
              <w:jc w:val="right"/>
              <w:rPr>
                <w:rFonts w:ascii="Arial" w:hAnsi="Arial" w:cs="Arial" w:eastAsia="Arial" w:hint="default"/>
                <w:sz w:val="20"/>
                <w:szCs w:val="20"/>
              </w:rPr>
            </w:pPr>
            <w:r>
              <w:rPr>
                <w:rFonts w:ascii="Arial"/>
                <w:w w:val="100"/>
                <w:sz w:val="20"/>
              </w:rPr>
            </w:r>
            <w:r>
              <w:rPr>
                <w:rFonts w:ascii="Arial"/>
                <w:spacing w:val="-1"/>
                <w:sz w:val="20"/>
                <w:u w:val="thick" w:color="000000"/>
              </w:rPr>
              <w:t>104,372</w:t>
            </w:r>
            <w:r>
              <w:rPr>
                <w:rFonts w:ascii="Arial"/>
                <w:spacing w:val="-1"/>
                <w:sz w:val="20"/>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黑体" w:hAnsi="黑体" w:cs="黑体" w:eastAsia="黑体" w:hint="default"/>
                <w:sz w:val="14"/>
                <w:szCs w:val="14"/>
              </w:rPr>
            </w:pPr>
          </w:p>
          <w:p>
            <w:pPr>
              <w:pStyle w:val="TableParagraph"/>
              <w:spacing w:line="240" w:lineRule="auto"/>
              <w:ind w:right="46"/>
              <w:jc w:val="right"/>
              <w:rPr>
                <w:rFonts w:ascii="Arial" w:hAnsi="Arial" w:cs="Arial" w:eastAsia="Arial" w:hint="default"/>
                <w:sz w:val="20"/>
                <w:szCs w:val="20"/>
              </w:rPr>
            </w:pPr>
            <w:r>
              <w:rPr>
                <w:rFonts w:ascii="Arial"/>
                <w:w w:val="100"/>
                <w:sz w:val="20"/>
              </w:rPr>
            </w:r>
            <w:r>
              <w:rPr>
                <w:rFonts w:ascii="Arial"/>
                <w:sz w:val="20"/>
                <w:u w:val="thick" w:color="000000"/>
              </w:rPr>
              <w:t>36,047</w:t>
            </w:r>
            <w:r>
              <w:rPr>
                <w:rFonts w:ascii="Arial"/>
                <w:sz w:val="20"/>
              </w:rPr>
            </w:r>
          </w:p>
        </w:tc>
      </w:tr>
      <w:tr>
        <w:trPr>
          <w:trHeight w:val="606"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61" w:right="0"/>
              <w:jc w:val="left"/>
              <w:rPr>
                <w:rFonts w:ascii="黑体" w:hAnsi="黑体" w:cs="黑体" w:eastAsia="黑体" w:hint="default"/>
                <w:sz w:val="20"/>
                <w:szCs w:val="20"/>
              </w:rPr>
            </w:pPr>
            <w:r>
              <w:rPr>
                <w:rFonts w:ascii="Arial" w:hAnsi="Arial" w:cs="Arial" w:eastAsia="Arial" w:hint="default"/>
                <w:sz w:val="20"/>
                <w:szCs w:val="20"/>
              </w:rPr>
              <w:t>(4)  </w:t>
            </w:r>
            <w:r>
              <w:rPr>
                <w:rFonts w:ascii="Arial" w:hAnsi="Arial" w:cs="Arial" w:eastAsia="Arial" w:hint="default"/>
                <w:spacing w:val="28"/>
                <w:sz w:val="20"/>
                <w:szCs w:val="20"/>
              </w:rPr>
              <w:t> </w:t>
            </w:r>
            <w:r>
              <w:rPr>
                <w:rFonts w:ascii="黑体" w:hAnsi="黑体" w:cs="黑体" w:eastAsia="黑体" w:hint="default"/>
                <w:sz w:val="20"/>
                <w:szCs w:val="20"/>
              </w:rPr>
              <w:t>应付账款</w:t>
            </w:r>
          </w:p>
        </w:tc>
        <w:tc>
          <w:tcPr>
            <w:tcW w:w="2491"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r>
      <w:tr>
        <w:trPr>
          <w:trHeight w:val="900"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
        </w:tc>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314"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p>
            <w:pPr>
              <w:pStyle w:val="TableParagraph"/>
              <w:spacing w:line="240" w:lineRule="auto" w:before="24"/>
              <w:ind w:left="1113" w:right="0"/>
              <w:jc w:val="left"/>
              <w:rPr>
                <w:rFonts w:ascii="黑体" w:hAnsi="黑体" w:cs="黑体" w:eastAsia="黑体" w:hint="default"/>
                <w:sz w:val="20"/>
                <w:szCs w:val="20"/>
              </w:rPr>
            </w:pP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716"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p>
            <w:pPr>
              <w:pStyle w:val="TableParagraph"/>
              <w:spacing w:line="240" w:lineRule="auto" w:before="24"/>
              <w:ind w:left="516" w:right="0"/>
              <w:jc w:val="left"/>
              <w:rPr>
                <w:rFonts w:ascii="黑体" w:hAnsi="黑体" w:cs="黑体" w:eastAsia="黑体" w:hint="default"/>
                <w:sz w:val="20"/>
                <w:szCs w:val="20"/>
              </w:rPr>
            </w:pP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tc>
      </w:tr>
      <w:tr>
        <w:trPr>
          <w:trHeight w:val="600"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56"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179"/>
              <w:ind w:right="529"/>
              <w:jc w:val="right"/>
              <w:rPr>
                <w:rFonts w:ascii="Arial" w:hAnsi="Arial" w:cs="Arial" w:eastAsia="Arial" w:hint="default"/>
                <w:sz w:val="20"/>
                <w:szCs w:val="20"/>
              </w:rPr>
            </w:pPr>
            <w:r>
              <w:rPr>
                <w:rFonts w:ascii="Arial"/>
                <w:w w:val="100"/>
                <w:sz w:val="20"/>
              </w:rPr>
            </w:r>
            <w:r>
              <w:rPr>
                <w:rFonts w:ascii="Arial"/>
                <w:spacing w:val="-1"/>
                <w:sz w:val="20"/>
                <w:u w:val="thick" w:color="000000"/>
              </w:rPr>
              <w:t>208,640</w:t>
            </w:r>
            <w:r>
              <w:rPr>
                <w:rFonts w:ascii="Arial"/>
                <w:spacing w:val="-1"/>
                <w:sz w:val="20"/>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79"/>
              <w:ind w:right="52"/>
              <w:jc w:val="right"/>
              <w:rPr>
                <w:rFonts w:ascii="Arial" w:hAnsi="Arial" w:cs="Arial" w:eastAsia="Arial" w:hint="default"/>
                <w:sz w:val="20"/>
                <w:szCs w:val="20"/>
              </w:rPr>
            </w:pPr>
            <w:r>
              <w:rPr>
                <w:rFonts w:ascii="Arial"/>
                <w:w w:val="100"/>
                <w:sz w:val="20"/>
              </w:rPr>
            </w:r>
            <w:r>
              <w:rPr>
                <w:rFonts w:ascii="Arial"/>
                <w:sz w:val="20"/>
                <w:u w:val="thick" w:color="000000"/>
              </w:rPr>
              <w:t>9,500</w:t>
            </w:r>
            <w:r>
              <w:rPr>
                <w:rFonts w:ascii="Arial"/>
                <w:sz w:val="20"/>
              </w:rPr>
            </w:r>
          </w:p>
        </w:tc>
      </w:tr>
      <w:tr>
        <w:trPr>
          <w:trHeight w:val="604"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61" w:right="0"/>
              <w:jc w:val="left"/>
              <w:rPr>
                <w:rFonts w:ascii="黑体" w:hAnsi="黑体" w:cs="黑体" w:eastAsia="黑体" w:hint="default"/>
                <w:sz w:val="20"/>
                <w:szCs w:val="20"/>
              </w:rPr>
            </w:pPr>
            <w:r>
              <w:rPr>
                <w:rFonts w:ascii="Arial" w:hAnsi="Arial" w:cs="Arial" w:eastAsia="Arial" w:hint="default"/>
                <w:sz w:val="20"/>
                <w:szCs w:val="20"/>
              </w:rPr>
              <w:t>(5)  </w:t>
            </w:r>
            <w:r>
              <w:rPr>
                <w:rFonts w:ascii="Arial" w:hAnsi="Arial" w:cs="Arial" w:eastAsia="Arial" w:hint="default"/>
                <w:spacing w:val="31"/>
                <w:sz w:val="20"/>
                <w:szCs w:val="20"/>
              </w:rPr>
              <w:t> </w:t>
            </w:r>
            <w:r>
              <w:rPr>
                <w:rFonts w:ascii="黑体" w:hAnsi="黑体" w:cs="黑体" w:eastAsia="黑体" w:hint="default"/>
                <w:sz w:val="20"/>
                <w:szCs w:val="20"/>
              </w:rPr>
              <w:t>其他应付款</w:t>
            </w:r>
          </w:p>
        </w:tc>
        <w:tc>
          <w:tcPr>
            <w:tcW w:w="2491"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r>
      <w:tr>
        <w:trPr>
          <w:trHeight w:val="460"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
        </w:tc>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542"/>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33"/>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468"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
        </w:tc>
        <w:tc>
          <w:tcPr>
            <w:tcW w:w="2491" w:type="dxa"/>
            <w:tcBorders>
              <w:top w:val="nil" w:sz="6" w:space="0" w:color="auto"/>
              <w:left w:val="nil" w:sz="6" w:space="0" w:color="auto"/>
              <w:bottom w:val="nil" w:sz="6" w:space="0" w:color="auto"/>
              <w:right w:val="nil" w:sz="6" w:space="0" w:color="auto"/>
            </w:tcBorders>
          </w:tcPr>
          <w:p>
            <w:pPr>
              <w:pStyle w:val="TableParagraph"/>
              <w:spacing w:line="266" w:lineRule="exact"/>
              <w:ind w:right="542"/>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1417" w:type="dxa"/>
            <w:tcBorders>
              <w:top w:val="nil" w:sz="6" w:space="0" w:color="auto"/>
              <w:left w:val="nil" w:sz="6" w:space="0" w:color="auto"/>
              <w:bottom w:val="nil" w:sz="6" w:space="0" w:color="auto"/>
              <w:right w:val="nil" w:sz="6" w:space="0" w:color="auto"/>
            </w:tcBorders>
          </w:tcPr>
          <w:p>
            <w:pPr>
              <w:pStyle w:val="TableParagraph"/>
              <w:spacing w:line="266" w:lineRule="exact"/>
              <w:ind w:right="34"/>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r>
      <w:tr>
        <w:trPr>
          <w:trHeight w:val="464"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156"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14"/>
                <w:szCs w:val="14"/>
              </w:rPr>
            </w:pPr>
          </w:p>
          <w:p>
            <w:pPr>
              <w:pStyle w:val="TableParagraph"/>
              <w:spacing w:line="240" w:lineRule="auto"/>
              <w:ind w:right="542"/>
              <w:jc w:val="right"/>
              <w:rPr>
                <w:rFonts w:ascii="Arial" w:hAnsi="Arial" w:cs="Arial" w:eastAsia="Arial" w:hint="default"/>
                <w:sz w:val="20"/>
                <w:szCs w:val="20"/>
              </w:rPr>
            </w:pPr>
            <w:r>
              <w:rPr>
                <w:rFonts w:ascii="Arial"/>
                <w:spacing w:val="-1"/>
                <w:sz w:val="20"/>
              </w:rPr>
              <w:t>202,513</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14"/>
                <w:szCs w:val="14"/>
              </w:rPr>
            </w:pPr>
          </w:p>
          <w:p>
            <w:pPr>
              <w:pStyle w:val="TableParagraph"/>
              <w:spacing w:line="240" w:lineRule="auto"/>
              <w:ind w:right="33"/>
              <w:jc w:val="right"/>
              <w:rPr>
                <w:rFonts w:ascii="Arial" w:hAnsi="Arial" w:cs="Arial" w:eastAsia="Arial" w:hint="default"/>
                <w:sz w:val="20"/>
                <w:szCs w:val="20"/>
              </w:rPr>
            </w:pPr>
            <w:r>
              <w:rPr>
                <w:rFonts w:ascii="Arial"/>
                <w:sz w:val="20"/>
              </w:rPr>
              <w:t>15,000</w:t>
            </w:r>
          </w:p>
        </w:tc>
      </w:tr>
      <w:tr>
        <w:trPr>
          <w:trHeight w:val="311"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Style w:val="TableParagraph"/>
              <w:spacing w:line="255" w:lineRule="exact"/>
              <w:ind w:left="156" w:right="0"/>
              <w:jc w:val="left"/>
              <w:rPr>
                <w:rFonts w:ascii="黑体" w:hAnsi="黑体" w:cs="黑体" w:eastAsia="黑体" w:hint="default"/>
                <w:sz w:val="20"/>
                <w:szCs w:val="20"/>
              </w:rPr>
            </w:pPr>
            <w:r>
              <w:rPr>
                <w:rFonts w:ascii="黑体" w:hAnsi="黑体" w:cs="黑体" w:eastAsia="黑体" w:hint="default"/>
                <w:sz w:val="20"/>
                <w:szCs w:val="20"/>
              </w:rPr>
              <w:t>董事、监事及关键管理人员</w:t>
            </w:r>
          </w:p>
        </w:tc>
        <w:tc>
          <w:tcPr>
            <w:tcW w:w="2491"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r>
      <w:tr>
        <w:trPr>
          <w:trHeight w:val="313"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Style w:val="TableParagraph"/>
              <w:spacing w:line="256" w:lineRule="exact"/>
              <w:ind w:left="156" w:right="0"/>
              <w:jc w:val="left"/>
              <w:rPr>
                <w:rFonts w:ascii="黑体" w:hAnsi="黑体" w:cs="黑体" w:eastAsia="黑体" w:hint="default"/>
                <w:sz w:val="20"/>
                <w:szCs w:val="20"/>
              </w:rPr>
            </w:pPr>
            <w:r>
              <w:rPr>
                <w:rFonts w:ascii="黑体" w:hAnsi="黑体" w:cs="黑体" w:eastAsia="黑体" w:hint="default"/>
                <w:sz w:val="20"/>
                <w:szCs w:val="20"/>
              </w:rPr>
              <w:t>黄义璋</w:t>
            </w:r>
          </w:p>
        </w:tc>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542"/>
              <w:jc w:val="right"/>
              <w:rPr>
                <w:rFonts w:ascii="Arial" w:hAnsi="Arial" w:cs="Arial" w:eastAsia="Arial" w:hint="default"/>
                <w:sz w:val="20"/>
                <w:szCs w:val="20"/>
              </w:rPr>
            </w:pPr>
            <w:r>
              <w:rPr>
                <w:rFonts w:ascii="Arial"/>
                <w:sz w:val="20"/>
              </w:rPr>
              <w:t>33,145</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33"/>
              <w:jc w:val="right"/>
              <w:rPr>
                <w:rFonts w:ascii="Arial" w:hAnsi="Arial" w:cs="Arial" w:eastAsia="Arial" w:hint="default"/>
                <w:sz w:val="20"/>
                <w:szCs w:val="20"/>
              </w:rPr>
            </w:pPr>
            <w:r>
              <w:rPr>
                <w:rFonts w:ascii="Arial"/>
                <w:w w:val="100"/>
                <w:sz w:val="20"/>
              </w:rPr>
              <w:t>-</w:t>
            </w:r>
          </w:p>
        </w:tc>
      </w:tr>
      <w:tr>
        <w:trPr>
          <w:trHeight w:val="312"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Style w:val="TableParagraph"/>
              <w:spacing w:line="255" w:lineRule="exact"/>
              <w:ind w:left="156" w:right="0"/>
              <w:jc w:val="left"/>
              <w:rPr>
                <w:rFonts w:ascii="黑体" w:hAnsi="黑体" w:cs="黑体" w:eastAsia="黑体" w:hint="default"/>
                <w:sz w:val="20"/>
                <w:szCs w:val="20"/>
              </w:rPr>
            </w:pPr>
            <w:r>
              <w:rPr>
                <w:rFonts w:ascii="黑体" w:hAnsi="黑体" w:cs="黑体" w:eastAsia="黑体" w:hint="default"/>
                <w:sz w:val="20"/>
                <w:szCs w:val="20"/>
              </w:rPr>
              <w:t>吴健</w:t>
            </w:r>
          </w:p>
        </w:tc>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42"/>
              <w:jc w:val="right"/>
              <w:rPr>
                <w:rFonts w:ascii="Arial" w:hAnsi="Arial" w:cs="Arial" w:eastAsia="Arial" w:hint="default"/>
                <w:sz w:val="20"/>
                <w:szCs w:val="20"/>
              </w:rPr>
            </w:pPr>
            <w:r>
              <w:rPr>
                <w:rFonts w:ascii="Arial"/>
                <w:spacing w:val="-1"/>
                <w:sz w:val="20"/>
              </w:rPr>
              <w:t>264,178</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3"/>
              <w:jc w:val="right"/>
              <w:rPr>
                <w:rFonts w:ascii="Arial" w:hAnsi="Arial" w:cs="Arial" w:eastAsia="Arial" w:hint="default"/>
                <w:sz w:val="20"/>
                <w:szCs w:val="20"/>
              </w:rPr>
            </w:pPr>
            <w:r>
              <w:rPr>
                <w:rFonts w:ascii="Arial"/>
                <w:spacing w:val="-1"/>
                <w:sz w:val="20"/>
              </w:rPr>
              <w:t>269,018</w:t>
            </w:r>
          </w:p>
        </w:tc>
      </w:tr>
      <w:tr>
        <w:trPr>
          <w:trHeight w:val="312"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Style w:val="TableParagraph"/>
              <w:spacing w:line="255" w:lineRule="exact"/>
              <w:ind w:left="156" w:right="0"/>
              <w:jc w:val="left"/>
              <w:rPr>
                <w:rFonts w:ascii="黑体" w:hAnsi="黑体" w:cs="黑体" w:eastAsia="黑体" w:hint="default"/>
                <w:sz w:val="20"/>
                <w:szCs w:val="20"/>
              </w:rPr>
            </w:pPr>
            <w:r>
              <w:rPr>
                <w:rFonts w:ascii="黑体" w:hAnsi="黑体" w:cs="黑体" w:eastAsia="黑体" w:hint="default"/>
                <w:sz w:val="20"/>
                <w:szCs w:val="20"/>
              </w:rPr>
              <w:t>王文京</w:t>
            </w:r>
          </w:p>
        </w:tc>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42"/>
              <w:jc w:val="right"/>
              <w:rPr>
                <w:rFonts w:ascii="Arial" w:hAnsi="Arial" w:cs="Arial" w:eastAsia="Arial" w:hint="default"/>
                <w:sz w:val="20"/>
                <w:szCs w:val="20"/>
              </w:rPr>
            </w:pPr>
            <w:r>
              <w:rPr>
                <w:rFonts w:ascii="Arial"/>
                <w:w w:val="100"/>
                <w:sz w:val="20"/>
              </w:rPr>
              <w:t>-</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3"/>
              <w:jc w:val="right"/>
              <w:rPr>
                <w:rFonts w:ascii="Arial" w:hAnsi="Arial" w:cs="Arial" w:eastAsia="Arial" w:hint="default"/>
                <w:sz w:val="20"/>
                <w:szCs w:val="20"/>
              </w:rPr>
            </w:pPr>
            <w:r>
              <w:rPr>
                <w:rFonts w:ascii="Arial"/>
                <w:sz w:val="20"/>
              </w:rPr>
              <w:t>25,850</w:t>
            </w:r>
          </w:p>
        </w:tc>
      </w:tr>
      <w:tr>
        <w:trPr>
          <w:trHeight w:val="312"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Style w:val="TableParagraph"/>
              <w:spacing w:line="255" w:lineRule="exact"/>
              <w:ind w:left="156" w:right="0"/>
              <w:jc w:val="left"/>
              <w:rPr>
                <w:rFonts w:ascii="黑体" w:hAnsi="黑体" w:cs="黑体" w:eastAsia="黑体" w:hint="default"/>
                <w:sz w:val="20"/>
                <w:szCs w:val="20"/>
              </w:rPr>
            </w:pPr>
            <w:r>
              <w:rPr>
                <w:rFonts w:ascii="黑体" w:hAnsi="黑体" w:cs="黑体" w:eastAsia="黑体" w:hint="default"/>
                <w:sz w:val="20"/>
                <w:szCs w:val="20"/>
              </w:rPr>
              <w:t>欧阳青</w:t>
            </w:r>
          </w:p>
        </w:tc>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42"/>
              <w:jc w:val="right"/>
              <w:rPr>
                <w:rFonts w:ascii="Arial" w:hAnsi="Arial" w:cs="Arial" w:eastAsia="Arial" w:hint="default"/>
                <w:sz w:val="20"/>
                <w:szCs w:val="20"/>
              </w:rPr>
            </w:pPr>
            <w:r>
              <w:rPr>
                <w:rFonts w:ascii="Arial"/>
                <w:w w:val="100"/>
                <w:sz w:val="20"/>
              </w:rPr>
              <w:t>-</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3"/>
              <w:jc w:val="right"/>
              <w:rPr>
                <w:rFonts w:ascii="Arial" w:hAnsi="Arial" w:cs="Arial" w:eastAsia="Arial" w:hint="default"/>
                <w:sz w:val="20"/>
                <w:szCs w:val="20"/>
              </w:rPr>
            </w:pPr>
            <w:r>
              <w:rPr>
                <w:rFonts w:ascii="Arial"/>
                <w:sz w:val="20"/>
              </w:rPr>
              <w:t>18,608</w:t>
            </w:r>
          </w:p>
        </w:tc>
      </w:tr>
      <w:tr>
        <w:trPr>
          <w:trHeight w:val="313"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Style w:val="TableParagraph"/>
              <w:spacing w:line="255" w:lineRule="exact"/>
              <w:ind w:left="156" w:right="0"/>
              <w:jc w:val="left"/>
              <w:rPr>
                <w:rFonts w:ascii="黑体" w:hAnsi="黑体" w:cs="黑体" w:eastAsia="黑体" w:hint="default"/>
                <w:sz w:val="20"/>
                <w:szCs w:val="20"/>
              </w:rPr>
            </w:pPr>
            <w:r>
              <w:rPr>
                <w:rFonts w:ascii="黑体" w:hAnsi="黑体" w:cs="黑体" w:eastAsia="黑体" w:hint="default"/>
                <w:sz w:val="20"/>
                <w:szCs w:val="20"/>
              </w:rPr>
              <w:t>郭延生</w:t>
            </w:r>
          </w:p>
        </w:tc>
        <w:tc>
          <w:tcPr>
            <w:tcW w:w="2491" w:type="dxa"/>
            <w:tcBorders>
              <w:top w:val="nil" w:sz="6" w:space="0" w:color="auto"/>
              <w:left w:val="nil" w:sz="6" w:space="0" w:color="auto"/>
              <w:bottom w:val="nil" w:sz="6" w:space="0" w:color="auto"/>
              <w:right w:val="nil" w:sz="6" w:space="0" w:color="auto"/>
            </w:tcBorders>
          </w:tcPr>
          <w:p>
            <w:pPr>
              <w:pStyle w:val="TableParagraph"/>
              <w:tabs>
                <w:tab w:pos="639" w:val="left" w:leader="none"/>
              </w:tabs>
              <w:spacing w:line="240" w:lineRule="auto" w:before="31"/>
              <w:ind w:right="542"/>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2,000</w:t>
            </w:r>
            <w:r>
              <w:rPr>
                <w:rFonts w:ascii="Arial"/>
                <w:sz w:val="20"/>
              </w:rPr>
            </w:r>
          </w:p>
        </w:tc>
      </w:tr>
      <w:tr>
        <w:trPr>
          <w:trHeight w:val="356" w:hRule="exact"/>
        </w:trPr>
        <w:tc>
          <w:tcPr>
            <w:tcW w:w="588" w:type="dxa"/>
            <w:tcBorders>
              <w:top w:val="nil" w:sz="6" w:space="0" w:color="auto"/>
              <w:left w:val="nil" w:sz="6" w:space="0" w:color="auto"/>
              <w:bottom w:val="nil" w:sz="6" w:space="0" w:color="auto"/>
              <w:right w:val="nil" w:sz="6" w:space="0" w:color="auto"/>
            </w:tcBorders>
          </w:tcPr>
          <w:p>
            <w:pPr/>
          </w:p>
        </w:tc>
        <w:tc>
          <w:tcPr>
            <w:tcW w:w="4080" w:type="dxa"/>
            <w:tcBorders>
              <w:top w:val="nil" w:sz="6" w:space="0" w:color="auto"/>
              <w:left w:val="nil" w:sz="6" w:space="0" w:color="auto"/>
              <w:bottom w:val="nil" w:sz="6" w:space="0" w:color="auto"/>
              <w:right w:val="nil" w:sz="6" w:space="0" w:color="auto"/>
            </w:tcBorders>
          </w:tcPr>
          <w:p>
            <w:pPr/>
          </w:p>
        </w:tc>
        <w:tc>
          <w:tcPr>
            <w:tcW w:w="2491"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542"/>
              <w:jc w:val="right"/>
              <w:rPr>
                <w:rFonts w:ascii="Arial" w:hAnsi="Arial" w:cs="Arial" w:eastAsia="Arial" w:hint="default"/>
                <w:sz w:val="20"/>
                <w:szCs w:val="20"/>
              </w:rPr>
            </w:pPr>
            <w:r>
              <w:rPr>
                <w:rFonts w:ascii="Arial"/>
                <w:w w:val="100"/>
                <w:sz w:val="20"/>
              </w:rPr>
            </w:r>
            <w:r>
              <w:rPr>
                <w:rFonts w:ascii="Arial"/>
                <w:spacing w:val="-1"/>
                <w:sz w:val="20"/>
                <w:u w:val="thick" w:color="000000"/>
              </w:rPr>
              <w:t>499,836</w:t>
            </w:r>
            <w:r>
              <w:rPr>
                <w:rFonts w:ascii="Arial"/>
                <w:spacing w:val="-1"/>
                <w:sz w:val="20"/>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330,476</w:t>
            </w:r>
            <w:r>
              <w:rPr>
                <w:rFonts w:ascii="Arial"/>
                <w:spacing w:val="-1"/>
                <w:sz w:val="20"/>
              </w:rPr>
            </w:r>
          </w:p>
        </w:tc>
      </w:tr>
    </w:tbl>
    <w:p>
      <w:pPr>
        <w:spacing w:line="240" w:lineRule="auto" w:before="7"/>
        <w:rPr>
          <w:rFonts w:ascii="黑体" w:hAnsi="黑体" w:cs="黑体" w:eastAsia="黑体" w:hint="default"/>
          <w:sz w:val="15"/>
          <w:szCs w:val="15"/>
        </w:rPr>
      </w:pPr>
    </w:p>
    <w:p>
      <w:pPr>
        <w:pStyle w:val="BodyText"/>
        <w:spacing w:line="240" w:lineRule="auto" w:before="38"/>
        <w:ind w:left="855" w:right="0"/>
        <w:jc w:val="left"/>
      </w:pPr>
      <w:r>
        <w:rPr/>
        <w:t>本集团向关联方公司进行交易的价格由交易双方参照市场价格后协商确定。</w:t>
      </w:r>
    </w:p>
    <w:p>
      <w:pPr>
        <w:spacing w:after="0" w:line="240" w:lineRule="auto"/>
        <w:jc w:val="left"/>
        <w:sectPr>
          <w:pgSz w:w="11910" w:h="16840"/>
          <w:pgMar w:header="828" w:footer="476" w:top="2420" w:bottom="660" w:left="1560" w:right="1540"/>
        </w:sectPr>
      </w:pPr>
    </w:p>
    <w:p>
      <w:pPr>
        <w:spacing w:line="240" w:lineRule="auto" w:before="11"/>
        <w:rPr>
          <w:rFonts w:ascii="黑体" w:hAnsi="黑体" w:cs="黑体" w:eastAsia="黑体" w:hint="default"/>
          <w:sz w:val="11"/>
          <w:szCs w:val="11"/>
        </w:rPr>
      </w:pPr>
    </w:p>
    <w:p>
      <w:pPr>
        <w:spacing w:line="20" w:lineRule="exact"/>
        <w:ind w:left="102" w:right="0" w:firstLine="0"/>
        <w:rPr>
          <w:rFonts w:ascii="黑体" w:hAnsi="黑体" w:cs="黑体" w:eastAsia="黑体" w:hint="default"/>
          <w:sz w:val="2"/>
          <w:szCs w:val="2"/>
        </w:rPr>
      </w:pPr>
      <w:r>
        <w:rPr>
          <w:rFonts w:ascii="黑体" w:hAnsi="黑体" w:cs="黑体" w:eastAsia="黑体" w:hint="default"/>
          <w:sz w:val="2"/>
          <w:szCs w:val="2"/>
        </w:rPr>
        <w:pict>
          <v:group style="width:427.5pt;height:.75pt;mso-position-horizontal-relative:char;mso-position-vertical-relative:line" coordorigin="0,0" coordsize="8550,15">
            <v:group style="position:absolute;left:8;top:8;width:8535;height:2" coordorigin="8,8" coordsize="8535,2">
              <v:shape style="position:absolute;left:8;top:8;width:8535;height:2" coordorigin="8,8" coordsize="8535,0" path="m8,8l8542,8e" filled="false" stroked="true" strokeweight=".75pt" strokecolor="#000000">
                <v:path arrowok="t"/>
              </v:shape>
            </v:group>
          </v:group>
        </w:pict>
      </w:r>
      <w:r>
        <w:rPr>
          <w:rFonts w:ascii="黑体" w:hAnsi="黑体" w:cs="黑体" w:eastAsia="黑体" w:hint="default"/>
          <w:sz w:val="2"/>
          <w:szCs w:val="2"/>
        </w:rPr>
      </w:r>
    </w:p>
    <w:p>
      <w:pPr>
        <w:spacing w:line="240" w:lineRule="auto" w:before="2"/>
        <w:rPr>
          <w:rFonts w:ascii="黑体" w:hAnsi="黑体" w:cs="黑体" w:eastAsia="黑体" w:hint="default"/>
          <w:sz w:val="27"/>
          <w:szCs w:val="27"/>
        </w:rPr>
      </w:pPr>
    </w:p>
    <w:p>
      <w:pPr>
        <w:tabs>
          <w:tab w:pos="803" w:val="left" w:leader="none"/>
        </w:tabs>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七、</w:t>
        <w:tab/>
        <w:t>股份支付</w:t>
      </w:r>
      <w:r>
        <w:rPr>
          <w:rFonts w:ascii="黑体" w:hAnsi="黑体" w:cs="黑体" w:eastAsia="黑体" w:hint="default"/>
          <w:sz w:val="20"/>
          <w:szCs w:val="20"/>
        </w:rPr>
      </w:r>
    </w:p>
    <w:p>
      <w:pPr>
        <w:spacing w:line="240" w:lineRule="auto" w:before="2"/>
        <w:rPr>
          <w:rFonts w:ascii="黑体" w:hAnsi="黑体" w:cs="黑体" w:eastAsia="黑体" w:hint="default"/>
          <w:b/>
          <w:bCs/>
          <w:sz w:val="26"/>
          <w:szCs w:val="26"/>
        </w:rPr>
      </w:pPr>
    </w:p>
    <w:p>
      <w:pPr>
        <w:pStyle w:val="BodyText"/>
        <w:spacing w:line="276" w:lineRule="auto"/>
        <w:ind w:right="155"/>
        <w:jc w:val="both"/>
      </w:pPr>
      <w:r>
        <w:rPr>
          <w:spacing w:val="-1"/>
        </w:rPr>
        <w:t>本公司的股份支付是以授予标的股票方式实施股权激励计划，藉此奖励对本集团业务有贡</w:t>
      </w:r>
      <w:r>
        <w:rPr>
          <w:spacing w:val="-79"/>
        </w:rPr>
        <w:t> </w:t>
      </w:r>
      <w:r>
        <w:rPr>
          <w:spacing w:val="-79"/>
        </w:rPr>
      </w:r>
      <w:r>
        <w:rPr/>
        <w:t>献的员工。该股权激励计划的激励对象为本公司监事、高级管理人员和其他核心员工。</w:t>
      </w:r>
    </w:p>
    <w:p>
      <w:pPr>
        <w:spacing w:line="240" w:lineRule="auto" w:before="7"/>
        <w:rPr>
          <w:rFonts w:ascii="黑体" w:hAnsi="黑体" w:cs="黑体" w:eastAsia="黑体" w:hint="default"/>
          <w:sz w:val="23"/>
          <w:szCs w:val="23"/>
        </w:rPr>
      </w:pPr>
    </w:p>
    <w:p>
      <w:pPr>
        <w:pStyle w:val="BodyText"/>
        <w:spacing w:line="240" w:lineRule="auto"/>
        <w:ind w:right="0"/>
        <w:jc w:val="both"/>
        <w:rPr>
          <w:rFonts w:ascii="Arial" w:hAnsi="Arial" w:cs="Arial" w:eastAsia="Arial" w:hint="default"/>
        </w:rPr>
      </w:pPr>
      <w:r>
        <w:rPr/>
        <w:t>本公司计划向激励对象授予</w:t>
      </w:r>
      <w:r>
        <w:rPr>
          <w:rFonts w:ascii="Arial" w:hAnsi="Arial" w:cs="Arial" w:eastAsia="Arial" w:hint="default"/>
        </w:rPr>
        <w:t>17,971,200</w:t>
      </w:r>
      <w:r>
        <w:rPr/>
        <w:t>股本公司的股票，授予数量占本公司股本总额的</w:t>
      </w:r>
      <w:r>
        <w:rPr>
          <w:rFonts w:ascii="Arial" w:hAnsi="Arial" w:cs="Arial" w:eastAsia="Arial" w:hint="default"/>
        </w:rPr>
        <w:t>8</w:t>
      </w:r>
    </w:p>
    <w:p>
      <w:pPr>
        <w:pStyle w:val="BodyText"/>
        <w:spacing w:line="264" w:lineRule="auto" w:before="24"/>
        <w:ind w:left="816" w:right="153" w:hanging="1"/>
        <w:jc w:val="both"/>
      </w:pPr>
      <w:r>
        <w:rPr>
          <w:spacing w:val="-1"/>
        </w:rPr>
        <w:t>％，其中于</w:t>
      </w:r>
      <w:r>
        <w:rPr>
          <w:rFonts w:ascii="Arial" w:hAnsi="Arial" w:cs="Arial" w:eastAsia="Arial" w:hint="default"/>
          <w:spacing w:val="-1"/>
        </w:rPr>
        <w:t>2007</w:t>
      </w:r>
      <w:r>
        <w:rPr>
          <w:spacing w:val="-1"/>
        </w:rPr>
        <w:t>年度、</w:t>
      </w:r>
      <w:r>
        <w:rPr>
          <w:rFonts w:ascii="Arial" w:hAnsi="Arial" w:cs="Arial" w:eastAsia="Arial" w:hint="default"/>
          <w:spacing w:val="-1"/>
        </w:rPr>
        <w:t>2008</w:t>
      </w:r>
      <w:r>
        <w:rPr>
          <w:spacing w:val="-1"/>
        </w:rPr>
        <w:t>年度和</w:t>
      </w:r>
      <w:r>
        <w:rPr>
          <w:rFonts w:ascii="Arial" w:hAnsi="Arial" w:cs="Arial" w:eastAsia="Arial" w:hint="default"/>
          <w:spacing w:val="-1"/>
        </w:rPr>
        <w:t>2009</w:t>
      </w:r>
      <w:r>
        <w:rPr>
          <w:spacing w:val="-1"/>
        </w:rPr>
        <w:t>年度按公司股本总额的</w:t>
      </w:r>
      <w:r>
        <w:rPr>
          <w:rFonts w:ascii="Arial" w:hAnsi="Arial" w:cs="Arial" w:eastAsia="Arial" w:hint="default"/>
          <w:spacing w:val="-1"/>
        </w:rPr>
        <w:t>3%</w:t>
      </w:r>
      <w:r>
        <w:rPr>
          <w:spacing w:val="-1"/>
        </w:rPr>
        <w:t>、</w:t>
      </w:r>
      <w:r>
        <w:rPr>
          <w:rFonts w:ascii="Arial" w:hAnsi="Arial" w:cs="Arial" w:eastAsia="Arial" w:hint="default"/>
          <w:spacing w:val="-1"/>
        </w:rPr>
        <w:t>1%</w:t>
      </w:r>
      <w:r>
        <w:rPr>
          <w:spacing w:val="-1"/>
        </w:rPr>
        <w:t>、</w:t>
      </w:r>
      <w:r>
        <w:rPr>
          <w:rFonts w:ascii="Arial" w:hAnsi="Arial" w:cs="Arial" w:eastAsia="Arial" w:hint="default"/>
          <w:spacing w:val="-1"/>
        </w:rPr>
        <w:t>1%</w:t>
      </w:r>
      <w:r>
        <w:rPr>
          <w:spacing w:val="-1"/>
        </w:rPr>
        <w:t>向符合授予</w:t>
      </w:r>
      <w:r>
        <w:rPr>
          <w:spacing w:val="-79"/>
        </w:rPr>
        <w:t> </w:t>
      </w:r>
      <w:r>
        <w:rPr>
          <w:spacing w:val="-79"/>
        </w:rPr>
      </w:r>
      <w:r>
        <w:rPr/>
        <w:t>条件的激励对象授予标的股票；其余的占本公司股本总额</w:t>
      </w:r>
      <w:r>
        <w:rPr>
          <w:rFonts w:ascii="Arial" w:hAnsi="Arial" w:cs="Arial" w:eastAsia="Arial" w:hint="default"/>
        </w:rPr>
        <w:t>3</w:t>
      </w:r>
      <w:r>
        <w:rPr/>
        <w:t>％的预留股份，其激励对象和</w:t>
      </w:r>
      <w:r>
        <w:rPr>
          <w:spacing w:val="-33"/>
        </w:rPr>
        <w:t> </w:t>
      </w:r>
      <w:r>
        <w:rPr>
          <w:spacing w:val="-33"/>
        </w:rPr>
      </w:r>
      <w:r>
        <w:rPr>
          <w:spacing w:val="-3"/>
        </w:rPr>
        <w:t>分配比例将由本公司董事会审定，监事会核查，并需报经本公司股东大会批准</w:t>
      </w:r>
      <w:r>
        <w:rPr>
          <w:rFonts w:ascii="Arial" w:hAnsi="Arial" w:cs="Arial" w:eastAsia="Arial" w:hint="default"/>
          <w:spacing w:val="-3"/>
        </w:rPr>
        <w:t>,</w:t>
      </w:r>
      <w:r>
        <w:rPr>
          <w:spacing w:val="-3"/>
        </w:rPr>
        <w:t>履行相关程</w:t>
      </w:r>
      <w:r>
        <w:rPr>
          <w:spacing w:val="-53"/>
        </w:rPr>
        <w:t> </w:t>
      </w:r>
      <w:r>
        <w:rPr>
          <w:spacing w:val="-53"/>
        </w:rPr>
      </w:r>
      <w:r>
        <w:rPr>
          <w:spacing w:val="-1"/>
        </w:rPr>
        <w:t>序。该股权激励计划的标的股票有效期为五年，自激励计划获得本公司股东大会批准之日</w:t>
      </w:r>
      <w:r>
        <w:rPr>
          <w:spacing w:val="-80"/>
        </w:rPr>
        <w:t> </w:t>
      </w:r>
      <w:r>
        <w:rPr>
          <w:spacing w:val="-80"/>
        </w:rPr>
      </w:r>
      <w:r>
        <w:rPr/>
        <w:t>起计算。</w:t>
      </w:r>
    </w:p>
    <w:p>
      <w:pPr>
        <w:spacing w:line="240" w:lineRule="auto" w:before="4"/>
        <w:rPr>
          <w:rFonts w:ascii="黑体" w:hAnsi="黑体" w:cs="黑体" w:eastAsia="黑体" w:hint="default"/>
          <w:sz w:val="24"/>
          <w:szCs w:val="24"/>
        </w:rPr>
      </w:pPr>
    </w:p>
    <w:p>
      <w:pPr>
        <w:pStyle w:val="BodyText"/>
        <w:spacing w:line="261" w:lineRule="auto"/>
        <w:ind w:left="816" w:right="154"/>
        <w:jc w:val="both"/>
      </w:pPr>
      <w:r>
        <w:rPr>
          <w:spacing w:val="-3"/>
          <w:w w:val="100"/>
        </w:rPr>
        <w:t>本公司授予激励对象每一股标的股票的价格为授予价格，</w:t>
      </w:r>
      <w:r>
        <w:rPr>
          <w:rFonts w:ascii="Arial" w:hAnsi="Arial" w:cs="Arial" w:eastAsia="Arial" w:hint="default"/>
          <w:spacing w:val="-3"/>
          <w:w w:val="100"/>
        </w:rPr>
        <w:t>2007</w:t>
      </w:r>
      <w:r>
        <w:rPr>
          <w:spacing w:val="-3"/>
          <w:w w:val="100"/>
        </w:rPr>
        <w:t>年度的授予价格为公司</w:t>
      </w:r>
      <w:r>
        <w:rPr>
          <w:rFonts w:ascii="Arial" w:hAnsi="Arial" w:cs="Arial" w:eastAsia="Arial" w:hint="default"/>
          <w:spacing w:val="-3"/>
          <w:w w:val="100"/>
        </w:rPr>
        <w:t>2006</w:t>
      </w:r>
      <w:r>
        <w:rPr>
          <w:rFonts w:ascii="Arial" w:hAnsi="Arial" w:cs="Arial" w:eastAsia="Arial" w:hint="default"/>
          <w:w w:val="100"/>
        </w:rPr>
        <w:t> </w:t>
      </w:r>
      <w:r>
        <w:rPr/>
        <w:t>年</w:t>
      </w:r>
      <w:r>
        <w:rPr>
          <w:rFonts w:ascii="Arial" w:hAnsi="Arial" w:cs="Arial" w:eastAsia="Arial" w:hint="default"/>
        </w:rPr>
        <w:t>12</w:t>
      </w:r>
      <w:r>
        <w:rPr/>
        <w:t>月</w:t>
      </w:r>
      <w:r>
        <w:rPr>
          <w:rFonts w:ascii="Arial" w:hAnsi="Arial" w:cs="Arial" w:eastAsia="Arial" w:hint="default"/>
        </w:rPr>
        <w:t>1</w:t>
      </w:r>
      <w:r>
        <w:rPr/>
        <w:t>日公司第三届董事会</w:t>
      </w:r>
      <w:r>
        <w:rPr>
          <w:rFonts w:ascii="Arial" w:hAnsi="Arial" w:cs="Arial" w:eastAsia="Arial" w:hint="default"/>
        </w:rPr>
        <w:t>2006</w:t>
      </w:r>
      <w:r>
        <w:rPr/>
        <w:t>年第六次会议审议通过《本公司股份有限公司股权激励</w:t>
      </w:r>
      <w:r>
        <w:rPr>
          <w:spacing w:val="-95"/>
        </w:rPr>
        <w:t> </w:t>
      </w:r>
      <w:r>
        <w:rPr>
          <w:spacing w:val="-95"/>
        </w:rPr>
      </w:r>
      <w:r>
        <w:rPr>
          <w:spacing w:val="-2"/>
        </w:rPr>
        <w:t>计划（草案）》摘要公布前三十个交易日公司股票均价的</w:t>
      </w:r>
      <w:r>
        <w:rPr>
          <w:rFonts w:ascii="Arial" w:hAnsi="Arial" w:cs="Arial" w:eastAsia="Arial" w:hint="default"/>
          <w:spacing w:val="-2"/>
        </w:rPr>
        <w:t>75%</w:t>
      </w:r>
      <w:r>
        <w:rPr>
          <w:spacing w:val="-2"/>
        </w:rPr>
        <w:t>。</w:t>
      </w:r>
      <w:r>
        <w:rPr>
          <w:rFonts w:ascii="Arial" w:hAnsi="Arial" w:cs="Arial" w:eastAsia="Arial" w:hint="default"/>
          <w:spacing w:val="-2"/>
        </w:rPr>
        <w:t>2008</w:t>
      </w:r>
      <w:r>
        <w:rPr>
          <w:spacing w:val="-2"/>
        </w:rPr>
        <w:t>年度的授予价格不低</w:t>
      </w:r>
      <w:r>
        <w:rPr>
          <w:spacing w:val="-83"/>
        </w:rPr>
        <w:t> </w:t>
      </w:r>
      <w:r>
        <w:rPr>
          <w:spacing w:val="-83"/>
        </w:rPr>
      </w:r>
      <w:r>
        <w:rPr>
          <w:spacing w:val="-2"/>
        </w:rPr>
        <w:t>于授予日前三十个交易日公司股票均价的</w:t>
      </w:r>
      <w:r>
        <w:rPr>
          <w:rFonts w:ascii="Arial" w:hAnsi="Arial" w:cs="Arial" w:eastAsia="Arial" w:hint="default"/>
          <w:spacing w:val="-2"/>
        </w:rPr>
        <w:t>60%</w:t>
      </w:r>
      <w:r>
        <w:rPr>
          <w:spacing w:val="-2"/>
        </w:rPr>
        <w:t>。</w:t>
      </w:r>
      <w:r>
        <w:rPr>
          <w:rFonts w:ascii="Arial" w:hAnsi="Arial" w:cs="Arial" w:eastAsia="Arial" w:hint="default"/>
          <w:spacing w:val="-2"/>
        </w:rPr>
        <w:t>2009</w:t>
      </w:r>
      <w:r>
        <w:rPr>
          <w:spacing w:val="-2"/>
        </w:rPr>
        <w:t>年度的授予价格不低于授予日前三十</w:t>
      </w:r>
      <w:r>
        <w:rPr>
          <w:spacing w:val="-82"/>
        </w:rPr>
        <w:t> </w:t>
      </w:r>
      <w:r>
        <w:rPr>
          <w:spacing w:val="-82"/>
        </w:rPr>
      </w:r>
      <w:r>
        <w:rPr>
          <w:spacing w:val="2"/>
        </w:rPr>
        <w:t>个交易日公司股票均价的</w:t>
      </w:r>
      <w:r>
        <w:rPr>
          <w:rFonts w:ascii="Arial" w:hAnsi="Arial" w:cs="Arial" w:eastAsia="Arial" w:hint="default"/>
          <w:spacing w:val="2"/>
        </w:rPr>
        <w:t>50%</w:t>
      </w:r>
      <w:r>
        <w:rPr>
          <w:spacing w:val="2"/>
        </w:rPr>
        <w:t>。具体价格均由本公司董事会按照前述原则在授予前确定</w:t>
      </w:r>
      <w:r>
        <w:rPr>
          <w:spacing w:val="-18"/>
        </w:rPr>
        <w:t> </w:t>
      </w:r>
      <w:r>
        <w:rPr>
          <w:spacing w:val="-18"/>
        </w:rPr>
      </w:r>
      <w:r>
        <w:rPr/>
        <w:t>的。</w:t>
      </w:r>
    </w:p>
    <w:p>
      <w:pPr>
        <w:spacing w:line="240" w:lineRule="auto" w:before="6"/>
        <w:rPr>
          <w:rFonts w:ascii="黑体" w:hAnsi="黑体" w:cs="黑体" w:eastAsia="黑体" w:hint="default"/>
          <w:sz w:val="24"/>
          <w:szCs w:val="24"/>
        </w:rPr>
      </w:pPr>
    </w:p>
    <w:p>
      <w:pPr>
        <w:pStyle w:val="BodyText"/>
        <w:spacing w:line="268" w:lineRule="auto"/>
        <w:ind w:left="816" w:right="144"/>
        <w:jc w:val="both"/>
      </w:pPr>
      <w:r>
        <w:rPr>
          <w:spacing w:val="-1"/>
        </w:rPr>
        <w:t>激励对象每期获授的标的股票在授予日后的一年内锁定，不得转让。股权激励对象获授的</w:t>
      </w:r>
      <w:r>
        <w:rPr>
          <w:spacing w:val="-79"/>
        </w:rPr>
        <w:t> </w:t>
      </w:r>
      <w:r>
        <w:rPr>
          <w:spacing w:val="-79"/>
        </w:rPr>
      </w:r>
      <w:r>
        <w:rPr>
          <w:spacing w:val="-1"/>
        </w:rPr>
        <w:t>股票在距授予日满一年后，分两次解锁：第一次解锁为禁售期满后的第一年，解锁数量不</w:t>
      </w:r>
      <w:r>
        <w:rPr>
          <w:spacing w:val="-80"/>
        </w:rPr>
        <w:t> </w:t>
      </w:r>
      <w:r>
        <w:rPr>
          <w:spacing w:val="-80"/>
        </w:rPr>
      </w:r>
      <w:r>
        <w:rPr>
          <w:spacing w:val="-1"/>
        </w:rPr>
        <w:t>超过相应的获授标的股票总数的</w:t>
      </w:r>
      <w:r>
        <w:rPr>
          <w:rFonts w:ascii="Arial" w:hAnsi="Arial" w:cs="Arial" w:eastAsia="Arial" w:hint="default"/>
          <w:spacing w:val="-1"/>
        </w:rPr>
        <w:t>60%</w:t>
      </w:r>
      <w:r>
        <w:rPr>
          <w:spacing w:val="-1"/>
        </w:rPr>
        <w:t>；第二次解锁为禁售期满后的第二年，解锁数量不超</w:t>
      </w:r>
      <w:r>
        <w:rPr>
          <w:spacing w:val="-78"/>
        </w:rPr>
        <w:t> </w:t>
      </w:r>
      <w:r>
        <w:rPr>
          <w:spacing w:val="-78"/>
        </w:rPr>
      </w:r>
      <w:r>
        <w:rPr>
          <w:spacing w:val="-1"/>
        </w:rPr>
        <w:t>过相应的获授标的股票总数的</w:t>
      </w:r>
      <w:r>
        <w:rPr>
          <w:rFonts w:ascii="Arial" w:hAnsi="Arial" w:cs="Arial" w:eastAsia="Arial" w:hint="default"/>
          <w:spacing w:val="-1"/>
        </w:rPr>
        <w:t>40%</w:t>
      </w:r>
      <w:r>
        <w:rPr>
          <w:spacing w:val="-1"/>
        </w:rPr>
        <w:t>。若中国法律法规对激励对象所获授的标的股票禁售期</w:t>
      </w:r>
      <w:r>
        <w:rPr>
          <w:spacing w:val="-79"/>
        </w:rPr>
        <w:t> </w:t>
      </w:r>
      <w:r>
        <w:rPr>
          <w:spacing w:val="-79"/>
        </w:rPr>
      </w:r>
      <w:r>
        <w:rPr>
          <w:spacing w:val="-1"/>
        </w:rPr>
        <w:t>有规定的，本公司按照有关的规定执行。在满足本股权激励计划规定的解除禁售条件时，</w:t>
      </w:r>
      <w:r>
        <w:rPr>
          <w:spacing w:val="-70"/>
        </w:rPr>
        <w:t> </w:t>
      </w:r>
      <w:r>
        <w:rPr>
          <w:spacing w:val="-70"/>
        </w:rPr>
      </w:r>
      <w:r>
        <w:rPr/>
        <w:t>激励对象可申请标的股票解锁，解锁后的标的股票可依法流通。</w:t>
      </w:r>
    </w:p>
    <w:p>
      <w:pPr>
        <w:spacing w:line="240" w:lineRule="auto" w:before="0"/>
        <w:rPr>
          <w:rFonts w:ascii="黑体" w:hAnsi="黑体" w:cs="黑体" w:eastAsia="黑体" w:hint="default"/>
          <w:sz w:val="24"/>
          <w:szCs w:val="24"/>
        </w:rPr>
      </w:pPr>
    </w:p>
    <w:p>
      <w:pPr>
        <w:pStyle w:val="BodyText"/>
        <w:spacing w:line="276" w:lineRule="auto"/>
        <w:ind w:left="816" w:right="144"/>
        <w:jc w:val="both"/>
      </w:pPr>
      <w:r>
        <w:rPr>
          <w:spacing w:val="-1"/>
        </w:rPr>
        <w:t>根据股权激励计划的有关条款，已经授出但未能解锁而作废的标的股票，由公司以相应的</w:t>
      </w:r>
      <w:r>
        <w:rPr>
          <w:spacing w:val="-80"/>
        </w:rPr>
        <w:t> </w:t>
      </w:r>
      <w:r>
        <w:rPr>
          <w:spacing w:val="-80"/>
        </w:rPr>
      </w:r>
      <w:r>
        <w:rPr>
          <w:spacing w:val="-1"/>
        </w:rPr>
        <w:t>认购价款及该资金根据中国人民银行公布的同期活期存款利率计算的利息予以购回注销。</w:t>
      </w:r>
    </w:p>
    <w:p>
      <w:pPr>
        <w:spacing w:line="240" w:lineRule="auto" w:before="7"/>
        <w:rPr>
          <w:rFonts w:ascii="黑体" w:hAnsi="黑体" w:cs="黑体" w:eastAsia="黑体" w:hint="default"/>
          <w:sz w:val="23"/>
          <w:szCs w:val="23"/>
        </w:rPr>
      </w:pPr>
    </w:p>
    <w:p>
      <w:pPr>
        <w:pStyle w:val="BodyText"/>
        <w:spacing w:line="261" w:lineRule="auto"/>
        <w:ind w:left="817" w:right="152" w:hanging="1"/>
        <w:jc w:val="both"/>
      </w:pPr>
      <w:r>
        <w:rPr/>
        <w:t>于</w:t>
      </w:r>
      <w:r>
        <w:rPr>
          <w:rFonts w:ascii="Arial" w:hAnsi="Arial" w:cs="Arial" w:eastAsia="Arial" w:hint="default"/>
        </w:rPr>
        <w:t>2007</w:t>
      </w:r>
      <w:r>
        <w:rPr/>
        <w:t>年</w:t>
      </w:r>
      <w:r>
        <w:rPr>
          <w:rFonts w:ascii="Arial" w:hAnsi="Arial" w:cs="Arial" w:eastAsia="Arial" w:hint="default"/>
        </w:rPr>
        <w:t>7</w:t>
      </w:r>
      <w:r>
        <w:rPr/>
        <w:t>月，本公司股权激励计划已获得中国证券监督管理委员会的无异议回复。本公</w:t>
      </w:r>
      <w:r>
        <w:rPr>
          <w:spacing w:val="-69"/>
        </w:rPr>
        <w:t> </w:t>
      </w:r>
      <w:r>
        <w:rPr>
          <w:spacing w:val="-69"/>
        </w:rPr>
      </w:r>
      <w:r>
        <w:rPr/>
        <w:t>司已于</w:t>
      </w:r>
      <w:r>
        <w:rPr>
          <w:rFonts w:ascii="Arial" w:hAnsi="Arial" w:cs="Arial" w:eastAsia="Arial" w:hint="default"/>
        </w:rPr>
        <w:t>2007</w:t>
      </w:r>
      <w:r>
        <w:rPr/>
        <w:t>年</w:t>
      </w:r>
      <w:r>
        <w:rPr>
          <w:rFonts w:ascii="Arial" w:hAnsi="Arial" w:cs="Arial" w:eastAsia="Arial" w:hint="default"/>
        </w:rPr>
        <w:t>8</w:t>
      </w:r>
      <w:r>
        <w:rPr/>
        <w:t>月</w:t>
      </w:r>
      <w:r>
        <w:rPr>
          <w:rFonts w:ascii="Arial" w:hAnsi="Arial" w:cs="Arial" w:eastAsia="Arial" w:hint="default"/>
        </w:rPr>
        <w:t>3</w:t>
      </w:r>
      <w:r>
        <w:rPr/>
        <w:t>日召开</w:t>
      </w:r>
      <w:r>
        <w:rPr>
          <w:rFonts w:ascii="Arial" w:hAnsi="Arial" w:cs="Arial" w:eastAsia="Arial" w:hint="default"/>
        </w:rPr>
        <w:t>2007</w:t>
      </w:r>
      <w:r>
        <w:rPr/>
        <w:t>年第一次临时股东大会，审议通过了该股权激励计划。</w:t>
      </w:r>
    </w:p>
    <w:p>
      <w:pPr>
        <w:spacing w:after="0" w:line="261" w:lineRule="auto"/>
        <w:jc w:val="both"/>
        <w:sectPr>
          <w:headerReference w:type="default" r:id="rId69"/>
          <w:pgSz w:w="11910" w:h="16840"/>
          <w:pgMar w:header="828" w:footer="476" w:top="2240" w:bottom="660" w:left="1600" w:right="1540"/>
        </w:sectPr>
      </w:pPr>
    </w:p>
    <w:p>
      <w:pPr>
        <w:pStyle w:val="Heading9"/>
        <w:spacing w:line="300" w:lineRule="auto" w:before="15"/>
        <w:ind w:left="6031" w:right="6650"/>
        <w:jc w:val="center"/>
        <w:rPr>
          <w:b w:val="0"/>
          <w:bCs w:val="0"/>
        </w:rPr>
      </w:pPr>
      <w:r>
        <w:rPr>
          <w:w w:val="95"/>
        </w:rPr>
        <w:t>用友软件股份有限公司</w:t>
      </w:r>
      <w:r>
        <w:rPr>
          <w:spacing w:val="-1"/>
          <w:w w:val="95"/>
        </w:rPr>
        <w:t> </w:t>
      </w:r>
      <w:r>
        <w:rPr/>
        <w:t>财务报表附注(续)</w:t>
      </w:r>
      <w:r>
        <w:rPr>
          <w:spacing w:val="1"/>
          <w:w w:val="99"/>
        </w:rPr>
        <w:t> </w:t>
      </w:r>
      <w:r>
        <w:rPr>
          <w:rFonts w:ascii="Arial" w:hAnsi="Arial" w:cs="Arial" w:eastAsia="Arial" w:hint="default"/>
        </w:rPr>
        <w:t>2009</w:t>
      </w:r>
      <w:r>
        <w:rPr>
          <w:rFonts w:ascii="Arial" w:hAnsi="Arial" w:cs="Arial" w:eastAsia="Arial" w:hint="default"/>
          <w:spacing w:val="-8"/>
        </w:rPr>
        <w:t> </w:t>
      </w:r>
      <w:r>
        <w:rPr/>
        <w:t>年</w:t>
      </w:r>
      <w:r>
        <w:rPr>
          <w:spacing w:val="-57"/>
        </w:rPr>
        <w:t> </w:t>
      </w: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t>日</w:t>
      </w:r>
      <w:r>
        <w:rPr>
          <w:b w:val="0"/>
          <w:bCs w:val="0"/>
        </w:rPr>
      </w:r>
    </w:p>
    <w:p>
      <w:pPr>
        <w:spacing w:line="283" w:lineRule="exact" w:before="0"/>
        <w:ind w:left="663" w:right="1282"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p>
      <w:pPr>
        <w:spacing w:line="240" w:lineRule="auto" w:before="11"/>
        <w:rPr>
          <w:rFonts w:ascii="黑体" w:hAnsi="黑体" w:cs="黑体" w:eastAsia="黑体" w:hint="default"/>
          <w:b/>
          <w:bCs/>
          <w:sz w:val="21"/>
          <w:szCs w:val="21"/>
        </w:rPr>
      </w:pPr>
    </w:p>
    <w:p>
      <w:pPr>
        <w:spacing w:line="20" w:lineRule="exact"/>
        <w:ind w:left="120" w:right="0" w:firstLine="0"/>
        <w:rPr>
          <w:rFonts w:ascii="黑体" w:hAnsi="黑体" w:cs="黑体" w:eastAsia="黑体" w:hint="default"/>
          <w:sz w:val="2"/>
          <w:szCs w:val="2"/>
        </w:rPr>
      </w:pPr>
      <w:r>
        <w:rPr>
          <w:rFonts w:ascii="黑体" w:hAnsi="黑体" w:cs="黑体" w:eastAsia="黑体" w:hint="default"/>
          <w:sz w:val="2"/>
          <w:szCs w:val="2"/>
        </w:rPr>
        <w:pict>
          <v:group style="width:712.05pt;height:.75pt;mso-position-horizontal-relative:char;mso-position-vertical-relative:line" coordorigin="0,0" coordsize="14241,15">
            <v:group style="position:absolute;left:8;top:8;width:14226;height:2" coordorigin="8,8" coordsize="14226,2">
              <v:shape style="position:absolute;left:8;top:8;width:14226;height:2" coordorigin="8,8" coordsize="14226,0" path="m8,8l14234,7e" filled="false" stroked="true" strokeweight=".75pt" strokecolor="#000000">
                <v:path arrowok="t"/>
              </v:shape>
            </v:group>
          </v:group>
        </w:pict>
      </w:r>
      <w:r>
        <w:rPr>
          <w:rFonts w:ascii="黑体" w:hAnsi="黑体" w:cs="黑体" w:eastAsia="黑体" w:hint="default"/>
          <w:sz w:val="2"/>
          <w:szCs w:val="2"/>
        </w:rPr>
      </w:r>
    </w:p>
    <w:p>
      <w:pPr>
        <w:spacing w:line="240" w:lineRule="auto" w:before="5"/>
        <w:rPr>
          <w:rFonts w:ascii="黑体" w:hAnsi="黑体" w:cs="黑体" w:eastAsia="黑体" w:hint="default"/>
          <w:b/>
          <w:bCs/>
          <w:sz w:val="24"/>
          <w:szCs w:val="24"/>
        </w:rPr>
      </w:pPr>
    </w:p>
    <w:p>
      <w:pPr>
        <w:tabs>
          <w:tab w:pos="839" w:val="left" w:leader="none"/>
        </w:tabs>
        <w:spacing w:before="38"/>
        <w:ind w:left="119" w:right="0" w:firstLine="0"/>
        <w:jc w:val="left"/>
        <w:rPr>
          <w:rFonts w:ascii="黑体" w:hAnsi="黑体" w:cs="黑体" w:eastAsia="黑体" w:hint="default"/>
          <w:sz w:val="20"/>
          <w:szCs w:val="20"/>
        </w:rPr>
      </w:pPr>
      <w:r>
        <w:rPr>
          <w:rFonts w:ascii="黑体" w:hAnsi="黑体" w:cs="黑体" w:eastAsia="黑体" w:hint="default"/>
          <w:b/>
          <w:bCs/>
          <w:sz w:val="20"/>
          <w:szCs w:val="20"/>
        </w:rPr>
        <w:t>七、</w:t>
        <w:tab/>
        <w:t>股份支付（续）</w:t>
      </w:r>
      <w:r>
        <w:rPr>
          <w:rFonts w:ascii="黑体" w:hAnsi="黑体" w:cs="黑体" w:eastAsia="黑体" w:hint="default"/>
          <w:sz w:val="20"/>
          <w:szCs w:val="20"/>
        </w:rPr>
      </w:r>
    </w:p>
    <w:p>
      <w:pPr>
        <w:spacing w:line="240" w:lineRule="auto" w:before="6"/>
        <w:rPr>
          <w:rFonts w:ascii="黑体" w:hAnsi="黑体" w:cs="黑体" w:eastAsia="黑体" w:hint="default"/>
          <w:b/>
          <w:bCs/>
          <w:sz w:val="25"/>
          <w:szCs w:val="25"/>
        </w:rPr>
      </w:pPr>
    </w:p>
    <w:p>
      <w:pPr>
        <w:pStyle w:val="BodyText"/>
        <w:spacing w:line="261" w:lineRule="auto"/>
        <w:ind w:left="833" w:right="0"/>
        <w:jc w:val="left"/>
      </w:pPr>
      <w:r>
        <w:rPr/>
        <w:t>根据公司股东大会的授权，截止</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日公司董事会向符合授予条件的股权激励对象授予《用友软件股份有限公司股权激励计划（修订稿）》中的标</w:t>
      </w:r>
      <w:r>
        <w:rPr>
          <w:spacing w:val="-17"/>
        </w:rPr>
        <w:t> </w:t>
      </w:r>
      <w:r>
        <w:rPr>
          <w:spacing w:val="-17"/>
        </w:rPr>
      </w:r>
      <w:r>
        <w:rPr/>
        <w:t>的股票如下：</w:t>
      </w:r>
    </w:p>
    <w:p>
      <w:pPr>
        <w:spacing w:line="240" w:lineRule="auto" w:before="9"/>
        <w:rPr>
          <w:rFonts w:ascii="黑体" w:hAnsi="黑体" w:cs="黑体" w:eastAsia="黑体" w:hint="default"/>
          <w:sz w:val="22"/>
          <w:szCs w:val="22"/>
        </w:rPr>
      </w:pPr>
    </w:p>
    <w:p>
      <w:pPr>
        <w:spacing w:after="0" w:line="240" w:lineRule="auto"/>
        <w:rPr>
          <w:rFonts w:ascii="黑体" w:hAnsi="黑体" w:cs="黑体" w:eastAsia="黑体" w:hint="default"/>
          <w:sz w:val="22"/>
          <w:szCs w:val="22"/>
        </w:rPr>
        <w:sectPr>
          <w:headerReference w:type="default" r:id="rId70"/>
          <w:footerReference w:type="default" r:id="rId71"/>
          <w:pgSz w:w="16840" w:h="11910" w:orient="landscape"/>
          <w:pgMar w:header="0" w:footer="0" w:top="740" w:bottom="280" w:left="1320" w:right="700"/>
        </w:sectPr>
      </w:pPr>
    </w:p>
    <w:p>
      <w:pPr>
        <w:pStyle w:val="BodyText"/>
        <w:spacing w:line="240" w:lineRule="auto" w:before="38"/>
        <w:ind w:left="3439" w:right="3081"/>
        <w:jc w:val="center"/>
      </w:pPr>
      <w:r>
        <w:rPr/>
        <w:t>授予价格</w:t>
      </w:r>
    </w:p>
    <w:p>
      <w:pPr>
        <w:pStyle w:val="BodyText"/>
        <w:tabs>
          <w:tab w:pos="4960" w:val="left" w:leader="none"/>
        </w:tabs>
        <w:spacing w:line="240" w:lineRule="auto" w:before="64"/>
        <w:ind w:left="3565" w:right="-7"/>
        <w:jc w:val="left"/>
      </w:pPr>
      <w:r>
        <w:rPr/>
        <w:pict>
          <v:group style="position:absolute;margin-left:225.591003pt;margin-top:19.677828pt;width:64.45pt;height:.1pt;mso-position-horizontal-relative:page;mso-position-vertical-relative:paragraph;z-index:2176" coordorigin="4512,394" coordsize="1289,2">
            <v:shape style="position:absolute;left:4512;top:394;width:1289;height:2" coordorigin="4512,394" coordsize="1289,0" path="m4512,394l5801,394e" filled="false" stroked="true" strokeweight=".48pt" strokecolor="#000000">
              <v:path arrowok="t"/>
            </v:shape>
            <w10:wrap type="none"/>
          </v:group>
        </w:pict>
      </w:r>
      <w:r>
        <w:rPr/>
        <w:pict>
          <v:group style="position:absolute;margin-left:294.651001pt;margin-top:19.677828pt;width:156.4pt;height:.1pt;mso-position-horizontal-relative:page;mso-position-vertical-relative:paragraph;z-index:2200" coordorigin="5893,394" coordsize="3128,2">
            <v:shape style="position:absolute;left:5893;top:394;width:3128;height:2" coordorigin="5893,394" coordsize="3128,0" path="m5893,394l9020,394e" filled="false" stroked="true" strokeweight=".48pt" strokecolor="#000000">
              <v:path arrowok="t"/>
            </v:shape>
            <w10:wrap type="none"/>
          </v:group>
        </w:pict>
      </w:r>
      <w:r>
        <w:rPr/>
        <w:pict>
          <v:group style="position:absolute;margin-left:455.031006pt;margin-top:19.677828pt;width:108pt;height:.1pt;mso-position-horizontal-relative:page;mso-position-vertical-relative:paragraph;z-index:2224" coordorigin="9101,394" coordsize="2160,2">
            <v:shape style="position:absolute;left:9101;top:394;width:2160;height:2" coordorigin="9101,394" coordsize="2160,0" path="m9101,394l11261,394e" filled="false" stroked="true" strokeweight=".48pt" strokecolor="#000000">
              <v:path arrowok="t"/>
            </v:shape>
            <w10:wrap type="none"/>
          </v:group>
        </w:pict>
      </w:r>
      <w:r>
        <w:rPr>
          <w:rFonts w:ascii="Arial" w:hAnsi="Arial" w:cs="Arial" w:eastAsia="Arial" w:hint="default"/>
          <w:spacing w:val="-1"/>
        </w:rPr>
        <w:t>(</w:t>
      </w:r>
      <w:r>
        <w:rPr>
          <w:spacing w:val="-1"/>
        </w:rPr>
        <w:t>元</w:t>
      </w:r>
      <w:r>
        <w:rPr>
          <w:rFonts w:ascii="Arial" w:hAnsi="Arial" w:cs="Arial" w:eastAsia="Arial" w:hint="default"/>
          <w:spacing w:val="-1"/>
        </w:rPr>
        <w:t>/</w:t>
      </w:r>
      <w:r>
        <w:rPr>
          <w:spacing w:val="-1"/>
        </w:rPr>
        <w:t>股</w:t>
      </w:r>
      <w:r>
        <w:rPr>
          <w:rFonts w:ascii="Arial" w:hAnsi="Arial" w:cs="Arial" w:eastAsia="Arial" w:hint="default"/>
          <w:spacing w:val="-1"/>
        </w:rPr>
        <w:t>)</w:t>
        <w:tab/>
      </w:r>
      <w:r>
        <w:rPr>
          <w:spacing w:val="-1"/>
        </w:rPr>
        <w:t>实际授予的标的股票的股数</w:t>
      </w:r>
    </w:p>
    <w:p>
      <w:pPr>
        <w:pStyle w:val="BodyText"/>
        <w:spacing w:line="300" w:lineRule="auto" w:before="38"/>
        <w:ind w:left="882" w:right="-5" w:hanging="464"/>
        <w:jc w:val="left"/>
      </w:pPr>
      <w:r>
        <w:rPr>
          <w:spacing w:val="-8"/>
        </w:rPr>
        <w:br w:type="column"/>
      </w:r>
      <w:r>
        <w:rPr>
          <w:spacing w:val="-8"/>
        </w:rPr>
        <w:t>减：董事会批准回购并注</w:t>
      </w:r>
      <w:r>
        <w:rPr>
          <w:spacing w:val="-89"/>
        </w:rPr>
        <w:t> </w:t>
      </w:r>
      <w:r>
        <w:rPr>
          <w:spacing w:val="-89"/>
        </w:rPr>
      </w:r>
      <w:r>
        <w:rPr/>
        <w:t>销的标的股票</w:t>
      </w:r>
    </w:p>
    <w:p>
      <w:pPr>
        <w:pStyle w:val="BodyText"/>
        <w:spacing w:line="300" w:lineRule="auto" w:before="38"/>
        <w:ind w:left="896" w:right="2226" w:hanging="300"/>
        <w:jc w:val="left"/>
      </w:pPr>
      <w:r>
        <w:rPr>
          <w:spacing w:val="-1"/>
        </w:rPr>
        <w:br w:type="column"/>
      </w:r>
      <w:r>
        <w:rPr>
          <w:spacing w:val="-1"/>
        </w:rPr>
        <w:t>加：资本公积转增股本</w:t>
      </w:r>
      <w:r>
        <w:rPr>
          <w:spacing w:val="-90"/>
        </w:rPr>
        <w:t> </w:t>
      </w:r>
      <w:r>
        <w:rPr>
          <w:spacing w:val="-90"/>
        </w:rPr>
      </w:r>
      <w:r>
        <w:rPr/>
        <w:t>增加的标的股票</w:t>
      </w:r>
    </w:p>
    <w:p>
      <w:pPr>
        <w:spacing w:line="20" w:lineRule="exact"/>
        <w:ind w:left="56" w:right="0" w:firstLine="0"/>
        <w:rPr>
          <w:rFonts w:ascii="黑体" w:hAnsi="黑体" w:cs="黑体" w:eastAsia="黑体" w:hint="default"/>
          <w:sz w:val="2"/>
          <w:szCs w:val="2"/>
        </w:rPr>
      </w:pPr>
      <w:r>
        <w:rPr>
          <w:rFonts w:ascii="黑体" w:hAnsi="黑体" w:cs="黑体" w:eastAsia="黑体" w:hint="default"/>
          <w:sz w:val="2"/>
          <w:szCs w:val="2"/>
        </w:rPr>
        <w:pict>
          <v:group style="width:151.7pt;height:.5pt;mso-position-horizontal-relative:char;mso-position-vertical-relative:line" coordorigin="0,0" coordsize="3034,10">
            <v:group style="position:absolute;left:5;top:5;width:3024;height:2" coordorigin="5,5" coordsize="3024,2">
              <v:shape style="position:absolute;left:5;top:5;width:3024;height:2" coordorigin="5,5" coordsize="3024,0" path="m5,5l3029,5e" filled="false" stroked="true" strokeweight=".48pt" strokecolor="#000000">
                <v:path arrowok="t"/>
              </v:shape>
            </v:group>
          </v:group>
        </w:pict>
      </w:r>
      <w:r>
        <w:rPr>
          <w:rFonts w:ascii="黑体" w:hAnsi="黑体" w:cs="黑体" w:eastAsia="黑体" w:hint="default"/>
          <w:sz w:val="2"/>
          <w:szCs w:val="2"/>
        </w:rPr>
      </w:r>
    </w:p>
    <w:p>
      <w:pPr>
        <w:pStyle w:val="BodyText"/>
        <w:spacing w:line="240" w:lineRule="auto" w:before="4"/>
        <w:ind w:left="104" w:right="2226"/>
        <w:jc w:val="left"/>
      </w:pPr>
      <w:r>
        <w:rPr>
          <w:rFonts w:ascii="Arial" w:hAnsi="Arial" w:cs="Arial" w:eastAsia="Arial" w:hint="default"/>
        </w:rPr>
        <w:t>2008 </w:t>
      </w:r>
      <w:r>
        <w:rPr/>
        <w:t>年每 </w:t>
      </w:r>
      <w:r>
        <w:rPr>
          <w:rFonts w:ascii="Arial" w:hAnsi="Arial" w:cs="Arial" w:eastAsia="Arial" w:hint="default"/>
        </w:rPr>
        <w:t>2009</w:t>
      </w:r>
      <w:r>
        <w:rPr>
          <w:rFonts w:ascii="Arial" w:hAnsi="Arial" w:cs="Arial" w:eastAsia="Arial" w:hint="default"/>
          <w:spacing w:val="-12"/>
        </w:rPr>
        <w:t> </w:t>
      </w:r>
      <w:r>
        <w:rPr/>
        <w:t>年每</w:t>
      </w:r>
    </w:p>
    <w:p>
      <w:pPr>
        <w:spacing w:after="0" w:line="240" w:lineRule="auto"/>
        <w:jc w:val="left"/>
        <w:sectPr>
          <w:type w:val="continuous"/>
          <w:pgSz w:w="16840" w:h="11910" w:orient="landscape"/>
          <w:pgMar w:top="900" w:bottom="280" w:left="1320" w:right="700"/>
          <w:cols w:num="3" w:equalWidth="0">
            <w:col w:w="7362" w:space="40"/>
            <w:col w:w="2546" w:space="40"/>
            <w:col w:w="4832"/>
          </w:cols>
        </w:sectPr>
      </w:pPr>
    </w:p>
    <w:p>
      <w:pPr>
        <w:spacing w:line="240" w:lineRule="auto" w:before="9"/>
        <w:rPr>
          <w:rFonts w:ascii="黑体" w:hAnsi="黑体" w:cs="黑体" w:eastAsia="黑体" w:hint="default"/>
          <w:sz w:val="2"/>
          <w:szCs w:val="2"/>
        </w:rPr>
      </w:pPr>
    </w:p>
    <w:tbl>
      <w:tblPr>
        <w:tblW w:w="0" w:type="auto"/>
        <w:jc w:val="left"/>
        <w:tblInd w:w="827" w:type="dxa"/>
        <w:tblLayout w:type="fixed"/>
        <w:tblCellMar>
          <w:top w:w="0" w:type="dxa"/>
          <w:left w:w="0" w:type="dxa"/>
          <w:bottom w:w="0" w:type="dxa"/>
          <w:right w:w="0" w:type="dxa"/>
        </w:tblCellMar>
        <w:tblLook w:val="01E0"/>
      </w:tblPr>
      <w:tblGrid>
        <w:gridCol w:w="2147"/>
        <w:gridCol w:w="1012"/>
        <w:gridCol w:w="739"/>
        <w:gridCol w:w="1171"/>
        <w:gridCol w:w="1064"/>
        <w:gridCol w:w="800"/>
        <w:gridCol w:w="1620"/>
        <w:gridCol w:w="647"/>
        <w:gridCol w:w="1021"/>
        <w:gridCol w:w="1279"/>
        <w:gridCol w:w="1841"/>
      </w:tblGrid>
      <w:tr>
        <w:trPr>
          <w:trHeight w:val="343" w:hRule="exact"/>
        </w:trPr>
        <w:tc>
          <w:tcPr>
            <w:tcW w:w="2147" w:type="dxa"/>
            <w:tcBorders>
              <w:top w:val="nil" w:sz="6" w:space="0" w:color="auto"/>
              <w:left w:val="nil" w:sz="6" w:space="0" w:color="auto"/>
              <w:bottom w:val="nil" w:sz="6" w:space="0" w:color="auto"/>
              <w:right w:val="nil" w:sz="6" w:space="0" w:color="auto"/>
            </w:tcBorders>
          </w:tcPr>
          <w:p>
            <w:pP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2"/>
              <w:jc w:val="right"/>
              <w:rPr>
                <w:rFonts w:ascii="黑体" w:hAnsi="黑体" w:cs="黑体" w:eastAsia="黑体" w:hint="default"/>
                <w:sz w:val="20"/>
                <w:szCs w:val="20"/>
              </w:rPr>
            </w:pPr>
            <w:r>
              <w:rPr>
                <w:rFonts w:ascii="黑体" w:hAnsi="黑体" w:cs="黑体" w:eastAsia="黑体" w:hint="default"/>
                <w:sz w:val="20"/>
                <w:szCs w:val="20"/>
              </w:rPr>
              <w:t>本年度</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2" w:right="0"/>
              <w:jc w:val="left"/>
              <w:rPr>
                <w:rFonts w:ascii="黑体" w:hAnsi="黑体" w:cs="黑体" w:eastAsia="黑体" w:hint="default"/>
                <w:sz w:val="20"/>
                <w:szCs w:val="20"/>
              </w:rPr>
            </w:pPr>
            <w:r>
              <w:rPr>
                <w:rFonts w:ascii="黑体" w:hAnsi="黑体" w:cs="黑体" w:eastAsia="黑体" w:hint="default"/>
                <w:sz w:val="20"/>
                <w:szCs w:val="20"/>
              </w:rPr>
              <w:t>预留</w:t>
            </w:r>
          </w:p>
        </w:tc>
        <w:tc>
          <w:tcPr>
            <w:tcW w:w="117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21"/>
              <w:jc w:val="right"/>
              <w:rPr>
                <w:rFonts w:ascii="黑体" w:hAnsi="黑体" w:cs="黑体" w:eastAsia="黑体" w:hint="default"/>
                <w:sz w:val="20"/>
                <w:szCs w:val="20"/>
              </w:rPr>
            </w:pPr>
            <w:r>
              <w:rPr>
                <w:rFonts w:ascii="黑体" w:hAnsi="黑体" w:cs="黑体" w:eastAsia="黑体" w:hint="default"/>
                <w:sz w:val="20"/>
                <w:szCs w:val="20"/>
              </w:rPr>
              <w:t>本年度</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23" w:right="0"/>
              <w:jc w:val="left"/>
              <w:rPr>
                <w:rFonts w:ascii="黑体" w:hAnsi="黑体" w:cs="黑体" w:eastAsia="黑体" w:hint="default"/>
                <w:sz w:val="20"/>
                <w:szCs w:val="20"/>
              </w:rPr>
            </w:pPr>
            <w:r>
              <w:rPr>
                <w:rFonts w:ascii="黑体" w:hAnsi="黑体" w:cs="黑体" w:eastAsia="黑体" w:hint="default"/>
                <w:sz w:val="20"/>
                <w:szCs w:val="20"/>
              </w:rPr>
              <w:t>预留</w:t>
            </w:r>
          </w:p>
        </w:tc>
        <w:tc>
          <w:tcPr>
            <w:tcW w:w="800" w:type="dxa"/>
            <w:tcBorders>
              <w:top w:val="nil" w:sz="6" w:space="0" w:color="auto"/>
              <w:left w:val="nil" w:sz="6" w:space="0" w:color="auto"/>
              <w:bottom w:val="nil" w:sz="6" w:space="0" w:color="auto"/>
              <w:right w:val="nil" w:sz="6" w:space="0" w:color="auto"/>
            </w:tcBorders>
          </w:tcPr>
          <w:p>
            <w:pPr/>
          </w:p>
        </w:tc>
        <w:tc>
          <w:tcPr>
            <w:tcW w:w="1620" w:type="dxa"/>
            <w:tcBorders>
              <w:top w:val="nil" w:sz="6" w:space="0" w:color="auto"/>
              <w:left w:val="nil" w:sz="6" w:space="0" w:color="auto"/>
              <w:bottom w:val="nil" w:sz="6" w:space="0" w:color="auto"/>
              <w:right w:val="nil" w:sz="6" w:space="0" w:color="auto"/>
            </w:tcBorders>
          </w:tcPr>
          <w:p>
            <w:pPr/>
          </w:p>
        </w:tc>
        <w:tc>
          <w:tcPr>
            <w:tcW w:w="647" w:type="dxa"/>
            <w:tcBorders>
              <w:top w:val="nil" w:sz="6" w:space="0" w:color="auto"/>
              <w:left w:val="nil" w:sz="6" w:space="0" w:color="auto"/>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8"/>
              <w:jc w:val="right"/>
              <w:rPr>
                <w:rFonts w:ascii="黑体" w:hAnsi="黑体" w:cs="黑体" w:eastAsia="黑体" w:hint="default"/>
                <w:sz w:val="20"/>
                <w:szCs w:val="20"/>
              </w:rPr>
            </w:pPr>
            <w:r>
              <w:rPr>
                <w:rFonts w:ascii="Arial" w:hAnsi="Arial" w:cs="Arial" w:eastAsia="Arial" w:hint="default"/>
                <w:sz w:val="20"/>
                <w:szCs w:val="20"/>
              </w:rPr>
              <w:t>10</w:t>
            </w:r>
            <w:r>
              <w:rPr>
                <w:rFonts w:ascii="Arial" w:hAnsi="Arial" w:cs="Arial" w:eastAsia="Arial" w:hint="default"/>
                <w:spacing w:val="-6"/>
                <w:sz w:val="20"/>
                <w:szCs w:val="20"/>
              </w:rPr>
              <w:t> </w:t>
            </w:r>
            <w:r>
              <w:rPr>
                <w:rFonts w:ascii="黑体" w:hAnsi="黑体" w:cs="黑体" w:eastAsia="黑体" w:hint="default"/>
                <w:sz w:val="20"/>
                <w:szCs w:val="20"/>
              </w:rPr>
              <w:t>股转增</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2"/>
              <w:jc w:val="right"/>
              <w:rPr>
                <w:rFonts w:ascii="黑体" w:hAnsi="黑体" w:cs="黑体" w:eastAsia="黑体" w:hint="default"/>
                <w:sz w:val="20"/>
                <w:szCs w:val="20"/>
              </w:rPr>
            </w:pPr>
            <w:r>
              <w:rPr>
                <w:rFonts w:ascii="Arial" w:hAnsi="Arial" w:cs="Arial" w:eastAsia="Arial" w:hint="default"/>
                <w:sz w:val="20"/>
                <w:szCs w:val="20"/>
              </w:rPr>
              <w:t>10</w:t>
            </w:r>
            <w:r>
              <w:rPr>
                <w:rFonts w:ascii="Arial" w:hAnsi="Arial" w:cs="Arial" w:eastAsia="Arial" w:hint="default"/>
                <w:spacing w:val="-6"/>
                <w:sz w:val="20"/>
                <w:szCs w:val="20"/>
              </w:rPr>
              <w:t> </w:t>
            </w:r>
            <w:r>
              <w:rPr>
                <w:rFonts w:ascii="黑体" w:hAnsi="黑体" w:cs="黑体" w:eastAsia="黑体" w:hint="default"/>
                <w:sz w:val="20"/>
                <w:szCs w:val="20"/>
              </w:rPr>
              <w:t>股转增</w:t>
            </w:r>
          </w:p>
        </w:tc>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黑体" w:hAnsi="黑体" w:cs="黑体" w:eastAsia="黑体" w:hint="default"/>
                <w:sz w:val="20"/>
                <w:szCs w:val="20"/>
              </w:rPr>
            </w:pPr>
            <w:r>
              <w:rPr>
                <w:rFonts w:ascii="黑体" w:hAnsi="黑体" w:cs="黑体" w:eastAsia="黑体" w:hint="default"/>
                <w:spacing w:val="-1"/>
                <w:sz w:val="20"/>
                <w:szCs w:val="20"/>
              </w:rPr>
              <w:t>转增后的标</w:t>
            </w:r>
          </w:p>
        </w:tc>
      </w:tr>
      <w:tr>
        <w:trPr>
          <w:trHeight w:val="370" w:hRule="exact"/>
        </w:trPr>
        <w:tc>
          <w:tcPr>
            <w:tcW w:w="2147" w:type="dxa"/>
            <w:tcBorders>
              <w:top w:val="nil" w:sz="6" w:space="0" w:color="auto"/>
              <w:left w:val="nil" w:sz="6" w:space="0" w:color="auto"/>
              <w:bottom w:val="nil" w:sz="6" w:space="0" w:color="auto"/>
              <w:right w:val="nil" w:sz="6" w:space="0" w:color="auto"/>
            </w:tcBorders>
          </w:tcPr>
          <w:p>
            <w:pPr>
              <w:pStyle w:val="TableParagraph"/>
              <w:spacing w:line="260" w:lineRule="exact"/>
              <w:ind w:left="35" w:right="0"/>
              <w:jc w:val="left"/>
              <w:rPr>
                <w:rFonts w:ascii="黑体" w:hAnsi="黑体" w:cs="黑体" w:eastAsia="黑体" w:hint="default"/>
                <w:sz w:val="20"/>
                <w:szCs w:val="20"/>
              </w:rPr>
            </w:pPr>
            <w:r>
              <w:rPr>
                <w:rFonts w:ascii="黑体" w:hAnsi="黑体" w:cs="黑体" w:eastAsia="黑体" w:hint="default"/>
                <w:sz w:val="20"/>
                <w:szCs w:val="20"/>
              </w:rPr>
              <w:t>授予年度</w:t>
            </w:r>
            <w:r>
              <w:rPr>
                <w:rFonts w:ascii="黑体" w:hAnsi="黑体" w:cs="黑体" w:eastAsia="黑体" w:hint="default"/>
                <w:spacing w:val="93"/>
                <w:sz w:val="20"/>
                <w:szCs w:val="20"/>
              </w:rPr>
              <w:t> </w:t>
            </w:r>
            <w:r>
              <w:rPr>
                <w:rFonts w:ascii="黑体" w:hAnsi="黑体" w:cs="黑体" w:eastAsia="黑体" w:hint="default"/>
                <w:sz w:val="20"/>
                <w:szCs w:val="20"/>
              </w:rPr>
              <w:t>批准日期</w:t>
            </w:r>
          </w:p>
        </w:tc>
        <w:tc>
          <w:tcPr>
            <w:tcW w:w="1012" w:type="dxa"/>
            <w:tcBorders>
              <w:top w:val="nil" w:sz="6" w:space="0" w:color="auto"/>
              <w:left w:val="nil" w:sz="6" w:space="0" w:color="auto"/>
              <w:bottom w:val="nil" w:sz="6" w:space="0" w:color="auto"/>
              <w:right w:val="nil" w:sz="6" w:space="0" w:color="auto"/>
            </w:tcBorders>
          </w:tcPr>
          <w:p>
            <w:pPr>
              <w:pStyle w:val="TableParagraph"/>
              <w:spacing w:line="258" w:lineRule="exact"/>
              <w:ind w:right="92"/>
              <w:jc w:val="right"/>
              <w:rPr>
                <w:rFonts w:ascii="黑体" w:hAnsi="黑体" w:cs="黑体" w:eastAsia="黑体" w:hint="default"/>
                <w:sz w:val="20"/>
                <w:szCs w:val="20"/>
              </w:rPr>
            </w:pPr>
            <w:r>
              <w:rPr>
                <w:rFonts w:ascii="黑体" w:hAnsi="黑体" w:cs="黑体" w:eastAsia="黑体" w:hint="default"/>
                <w:sz w:val="20"/>
                <w:szCs w:val="20"/>
              </w:rPr>
              <w:t>股票</w:t>
            </w:r>
          </w:p>
        </w:tc>
        <w:tc>
          <w:tcPr>
            <w:tcW w:w="739" w:type="dxa"/>
            <w:tcBorders>
              <w:top w:val="nil" w:sz="6" w:space="0" w:color="auto"/>
              <w:left w:val="nil" w:sz="6" w:space="0" w:color="auto"/>
              <w:bottom w:val="nil" w:sz="6" w:space="0" w:color="auto"/>
              <w:right w:val="nil" w:sz="6" w:space="0" w:color="auto"/>
            </w:tcBorders>
          </w:tcPr>
          <w:p>
            <w:pPr>
              <w:pStyle w:val="TableParagraph"/>
              <w:spacing w:line="258" w:lineRule="exact"/>
              <w:ind w:left="92" w:right="0"/>
              <w:jc w:val="left"/>
              <w:rPr>
                <w:rFonts w:ascii="黑体" w:hAnsi="黑体" w:cs="黑体" w:eastAsia="黑体" w:hint="default"/>
                <w:sz w:val="20"/>
                <w:szCs w:val="20"/>
              </w:rPr>
            </w:pPr>
            <w:r>
              <w:rPr>
                <w:rFonts w:ascii="黑体" w:hAnsi="黑体" w:cs="黑体" w:eastAsia="黑体" w:hint="default"/>
                <w:sz w:val="20"/>
                <w:szCs w:val="20"/>
              </w:rPr>
              <w:t>股份</w:t>
            </w:r>
          </w:p>
        </w:tc>
        <w:tc>
          <w:tcPr>
            <w:tcW w:w="1171" w:type="dxa"/>
            <w:tcBorders>
              <w:top w:val="nil" w:sz="6" w:space="0" w:color="auto"/>
              <w:left w:val="nil" w:sz="6" w:space="0" w:color="auto"/>
              <w:bottom w:val="nil" w:sz="6" w:space="0" w:color="auto"/>
              <w:right w:val="nil" w:sz="6" w:space="0" w:color="auto"/>
            </w:tcBorders>
          </w:tcPr>
          <w:p>
            <w:pPr>
              <w:pStyle w:val="TableParagraph"/>
              <w:spacing w:line="258" w:lineRule="exact"/>
              <w:ind w:right="321"/>
              <w:jc w:val="right"/>
              <w:rPr>
                <w:rFonts w:ascii="黑体" w:hAnsi="黑体" w:cs="黑体" w:eastAsia="黑体" w:hint="default"/>
                <w:sz w:val="20"/>
                <w:szCs w:val="20"/>
              </w:rPr>
            </w:pPr>
            <w:r>
              <w:rPr>
                <w:rFonts w:ascii="黑体" w:hAnsi="黑体" w:cs="黑体" w:eastAsia="黑体" w:hint="default"/>
                <w:sz w:val="20"/>
                <w:szCs w:val="20"/>
              </w:rPr>
              <w:t>股票</w:t>
            </w:r>
          </w:p>
        </w:tc>
        <w:tc>
          <w:tcPr>
            <w:tcW w:w="1064" w:type="dxa"/>
            <w:tcBorders>
              <w:top w:val="nil" w:sz="6" w:space="0" w:color="auto"/>
              <w:left w:val="nil" w:sz="6" w:space="0" w:color="auto"/>
              <w:bottom w:val="nil" w:sz="6" w:space="0" w:color="auto"/>
              <w:right w:val="nil" w:sz="6" w:space="0" w:color="auto"/>
            </w:tcBorders>
          </w:tcPr>
          <w:p>
            <w:pPr>
              <w:pStyle w:val="TableParagraph"/>
              <w:spacing w:line="258" w:lineRule="exact"/>
              <w:ind w:left="323" w:right="0"/>
              <w:jc w:val="left"/>
              <w:rPr>
                <w:rFonts w:ascii="黑体" w:hAnsi="黑体" w:cs="黑体" w:eastAsia="黑体" w:hint="default"/>
                <w:sz w:val="20"/>
                <w:szCs w:val="20"/>
              </w:rPr>
            </w:pPr>
            <w:r>
              <w:rPr>
                <w:rFonts w:ascii="黑体" w:hAnsi="黑体" w:cs="黑体" w:eastAsia="黑体" w:hint="default"/>
                <w:sz w:val="20"/>
                <w:szCs w:val="20"/>
              </w:rPr>
              <w:t>股份</w:t>
            </w:r>
          </w:p>
        </w:tc>
        <w:tc>
          <w:tcPr>
            <w:tcW w:w="800" w:type="dxa"/>
            <w:tcBorders>
              <w:top w:val="nil" w:sz="6" w:space="0" w:color="auto"/>
              <w:left w:val="nil" w:sz="6" w:space="0" w:color="auto"/>
              <w:bottom w:val="nil" w:sz="6" w:space="0" w:color="auto"/>
              <w:right w:val="nil" w:sz="6" w:space="0" w:color="auto"/>
            </w:tcBorders>
          </w:tcPr>
          <w:p>
            <w:pPr>
              <w:pStyle w:val="TableParagraph"/>
              <w:spacing w:line="260" w:lineRule="exact"/>
              <w:ind w:left="338"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1620" w:type="dxa"/>
            <w:tcBorders>
              <w:top w:val="nil" w:sz="6" w:space="0" w:color="auto"/>
              <w:left w:val="nil" w:sz="6" w:space="0" w:color="auto"/>
              <w:bottom w:val="nil" w:sz="6" w:space="0" w:color="auto"/>
              <w:right w:val="nil" w:sz="6" w:space="0" w:color="auto"/>
            </w:tcBorders>
          </w:tcPr>
          <w:p>
            <w:pPr>
              <w:pStyle w:val="TableParagraph"/>
              <w:spacing w:line="274" w:lineRule="exact"/>
              <w:ind w:left="60" w:right="0"/>
              <w:jc w:val="left"/>
              <w:rPr>
                <w:rFonts w:ascii="黑体" w:hAnsi="黑体" w:cs="黑体" w:eastAsia="黑体" w:hint="default"/>
                <w:sz w:val="20"/>
                <w:szCs w:val="20"/>
              </w:rPr>
            </w:pPr>
            <w:r>
              <w:rPr>
                <w:rFonts w:ascii="Arial" w:hAnsi="Arial" w:cs="Arial" w:eastAsia="Arial" w:hint="default"/>
                <w:sz w:val="20"/>
                <w:szCs w:val="20"/>
              </w:rPr>
              <w:t>2008</w:t>
            </w:r>
            <w:r>
              <w:rPr>
                <w:rFonts w:ascii="Arial" w:hAnsi="Arial" w:cs="Arial" w:eastAsia="Arial" w:hint="default"/>
                <w:spacing w:val="-22"/>
                <w:sz w:val="20"/>
                <w:szCs w:val="20"/>
              </w:rPr>
              <w:t> </w:t>
            </w:r>
            <w:r>
              <w:rPr>
                <w:rFonts w:ascii="黑体" w:hAnsi="黑体" w:cs="黑体" w:eastAsia="黑体" w:hint="default"/>
                <w:sz w:val="20"/>
                <w:szCs w:val="20"/>
              </w:rPr>
              <w:t>年</w:t>
            </w:r>
            <w:r>
              <w:rPr>
                <w:rFonts w:ascii="黑体" w:hAnsi="黑体" w:cs="黑体" w:eastAsia="黑体" w:hint="default"/>
                <w:spacing w:val="-61"/>
                <w:sz w:val="20"/>
                <w:szCs w:val="20"/>
              </w:rPr>
              <w:t> </w:t>
            </w:r>
            <w:r>
              <w:rPr>
                <w:rFonts w:ascii="Arial" w:hAnsi="Arial" w:cs="Arial" w:eastAsia="Arial" w:hint="default"/>
                <w:sz w:val="20"/>
                <w:szCs w:val="20"/>
              </w:rPr>
              <w:t>2009</w:t>
            </w:r>
            <w:r>
              <w:rPr>
                <w:rFonts w:ascii="Arial" w:hAnsi="Arial" w:cs="Arial" w:eastAsia="Arial" w:hint="default"/>
                <w:spacing w:val="-22"/>
                <w:sz w:val="20"/>
                <w:szCs w:val="20"/>
              </w:rPr>
              <w:t> </w:t>
            </w:r>
            <w:r>
              <w:rPr>
                <w:rFonts w:ascii="黑体" w:hAnsi="黑体" w:cs="黑体" w:eastAsia="黑体" w:hint="default"/>
                <w:sz w:val="20"/>
                <w:szCs w:val="20"/>
              </w:rPr>
              <w:t>年</w:t>
            </w:r>
          </w:p>
        </w:tc>
        <w:tc>
          <w:tcPr>
            <w:tcW w:w="647" w:type="dxa"/>
            <w:tcBorders>
              <w:top w:val="nil" w:sz="6" w:space="0" w:color="auto"/>
              <w:left w:val="nil" w:sz="6" w:space="0" w:color="auto"/>
              <w:bottom w:val="nil" w:sz="6" w:space="0" w:color="auto"/>
              <w:right w:val="nil" w:sz="6" w:space="0" w:color="auto"/>
            </w:tcBorders>
          </w:tcPr>
          <w:p>
            <w:pPr>
              <w:pStyle w:val="TableParagraph"/>
              <w:spacing w:line="260" w:lineRule="exact"/>
              <w:ind w:left="159"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1021" w:type="dxa"/>
            <w:tcBorders>
              <w:top w:val="nil" w:sz="6" w:space="0" w:color="auto"/>
              <w:left w:val="nil" w:sz="6" w:space="0" w:color="auto"/>
              <w:bottom w:val="nil" w:sz="6" w:space="0" w:color="auto"/>
              <w:right w:val="nil" w:sz="6" w:space="0" w:color="auto"/>
            </w:tcBorders>
          </w:tcPr>
          <w:p>
            <w:pPr>
              <w:pStyle w:val="TableParagraph"/>
              <w:spacing w:line="273" w:lineRule="exact"/>
              <w:ind w:right="59"/>
              <w:jc w:val="right"/>
              <w:rPr>
                <w:rFonts w:ascii="黑体" w:hAnsi="黑体" w:cs="黑体" w:eastAsia="黑体" w:hint="default"/>
                <w:sz w:val="20"/>
                <w:szCs w:val="20"/>
              </w:rPr>
            </w:pPr>
            <w:r>
              <w:rPr>
                <w:rFonts w:ascii="Arial" w:hAnsi="Arial" w:cs="Arial" w:eastAsia="Arial" w:hint="default"/>
                <w:sz w:val="20"/>
                <w:szCs w:val="20"/>
              </w:rPr>
              <w:t>10</w:t>
            </w:r>
            <w:r>
              <w:rPr>
                <w:rFonts w:ascii="Arial" w:hAnsi="Arial" w:cs="Arial" w:eastAsia="Arial" w:hint="default"/>
                <w:spacing w:val="-5"/>
                <w:sz w:val="20"/>
                <w:szCs w:val="20"/>
              </w:rPr>
              <w:t> </w:t>
            </w:r>
            <w:r>
              <w:rPr>
                <w:rFonts w:ascii="黑体" w:hAnsi="黑体" w:cs="黑体" w:eastAsia="黑体" w:hint="default"/>
                <w:sz w:val="20"/>
                <w:szCs w:val="20"/>
              </w:rPr>
              <w:t>股</w:t>
            </w:r>
          </w:p>
        </w:tc>
        <w:tc>
          <w:tcPr>
            <w:tcW w:w="1279" w:type="dxa"/>
            <w:tcBorders>
              <w:top w:val="nil" w:sz="6" w:space="0" w:color="auto"/>
              <w:left w:val="nil" w:sz="6" w:space="0" w:color="auto"/>
              <w:bottom w:val="nil" w:sz="6" w:space="0" w:color="auto"/>
              <w:right w:val="nil" w:sz="6" w:space="0" w:color="auto"/>
            </w:tcBorders>
          </w:tcPr>
          <w:p>
            <w:pPr>
              <w:pStyle w:val="TableParagraph"/>
              <w:spacing w:line="273" w:lineRule="exact"/>
              <w:ind w:right="342"/>
              <w:jc w:val="right"/>
              <w:rPr>
                <w:rFonts w:ascii="黑体" w:hAnsi="黑体" w:cs="黑体" w:eastAsia="黑体" w:hint="default"/>
                <w:sz w:val="20"/>
                <w:szCs w:val="20"/>
              </w:rPr>
            </w:pPr>
            <w:r>
              <w:rPr>
                <w:rFonts w:ascii="Arial" w:hAnsi="Arial" w:cs="Arial" w:eastAsia="Arial" w:hint="default"/>
                <w:sz w:val="20"/>
                <w:szCs w:val="20"/>
              </w:rPr>
              <w:t>3</w:t>
            </w:r>
            <w:r>
              <w:rPr>
                <w:rFonts w:ascii="Arial" w:hAnsi="Arial" w:cs="Arial" w:eastAsia="Arial" w:hint="default"/>
                <w:spacing w:val="-6"/>
                <w:sz w:val="20"/>
                <w:szCs w:val="20"/>
              </w:rPr>
              <w:t> </w:t>
            </w:r>
            <w:r>
              <w:rPr>
                <w:rFonts w:ascii="黑体" w:hAnsi="黑体" w:cs="黑体" w:eastAsia="黑体" w:hint="default"/>
                <w:sz w:val="20"/>
                <w:szCs w:val="20"/>
              </w:rPr>
              <w:t>股</w:t>
            </w:r>
          </w:p>
        </w:tc>
        <w:tc>
          <w:tcPr>
            <w:tcW w:w="1841" w:type="dxa"/>
            <w:tcBorders>
              <w:top w:val="nil" w:sz="6" w:space="0" w:color="auto"/>
              <w:left w:val="nil" w:sz="6" w:space="0" w:color="auto"/>
              <w:bottom w:val="nil" w:sz="6" w:space="0" w:color="auto"/>
              <w:right w:val="nil" w:sz="6" w:space="0" w:color="auto"/>
            </w:tcBorders>
          </w:tcPr>
          <w:p>
            <w:pPr>
              <w:pStyle w:val="TableParagraph"/>
              <w:spacing w:line="260" w:lineRule="exact"/>
              <w:ind w:right="34"/>
              <w:jc w:val="right"/>
              <w:rPr>
                <w:rFonts w:ascii="黑体" w:hAnsi="黑体" w:cs="黑体" w:eastAsia="黑体" w:hint="default"/>
                <w:sz w:val="20"/>
                <w:szCs w:val="20"/>
              </w:rPr>
            </w:pPr>
            <w:r>
              <w:rPr>
                <w:rFonts w:ascii="黑体" w:hAnsi="黑体" w:cs="黑体" w:eastAsia="黑体" w:hint="default"/>
                <w:sz w:val="20"/>
                <w:szCs w:val="20"/>
              </w:rPr>
              <w:t>合计</w:t>
            </w:r>
            <w:r>
              <w:rPr>
                <w:rFonts w:ascii="黑体" w:hAnsi="黑体" w:cs="黑体" w:eastAsia="黑体" w:hint="default"/>
                <w:spacing w:val="-42"/>
                <w:sz w:val="20"/>
                <w:szCs w:val="20"/>
              </w:rPr>
              <w:t> </w:t>
            </w:r>
            <w:r>
              <w:rPr>
                <w:rFonts w:ascii="黑体" w:hAnsi="黑体" w:cs="黑体" w:eastAsia="黑体" w:hint="default"/>
                <w:sz w:val="20"/>
                <w:szCs w:val="20"/>
              </w:rPr>
              <w:t>的股票股数</w:t>
            </w:r>
          </w:p>
        </w:tc>
      </w:tr>
    </w:tbl>
    <w:p>
      <w:pPr>
        <w:spacing w:line="240" w:lineRule="auto" w:before="6"/>
        <w:rPr>
          <w:rFonts w:ascii="黑体" w:hAnsi="黑体" w:cs="黑体" w:eastAsia="黑体" w:hint="default"/>
          <w:sz w:val="18"/>
          <w:szCs w:val="18"/>
        </w:rPr>
      </w:pPr>
    </w:p>
    <w:tbl>
      <w:tblPr>
        <w:tblW w:w="0" w:type="auto"/>
        <w:jc w:val="left"/>
        <w:tblInd w:w="827" w:type="dxa"/>
        <w:tblLayout w:type="fixed"/>
        <w:tblCellMar>
          <w:top w:w="0" w:type="dxa"/>
          <w:left w:w="0" w:type="dxa"/>
          <w:bottom w:w="0" w:type="dxa"/>
          <w:right w:w="0" w:type="dxa"/>
        </w:tblCellMar>
        <w:tblLook w:val="01E0"/>
      </w:tblPr>
      <w:tblGrid>
        <w:gridCol w:w="979"/>
        <w:gridCol w:w="1505"/>
        <w:gridCol w:w="2423"/>
        <w:gridCol w:w="2059"/>
        <w:gridCol w:w="1480"/>
        <w:gridCol w:w="744"/>
        <w:gridCol w:w="4683"/>
      </w:tblGrid>
      <w:tr>
        <w:trPr>
          <w:trHeight w:val="373" w:hRule="exact"/>
        </w:trPr>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Arial" w:hAnsi="Arial" w:cs="Arial" w:eastAsia="Arial" w:hint="default"/>
                <w:sz w:val="20"/>
                <w:szCs w:val="20"/>
              </w:rPr>
              <w:t>2007</w:t>
            </w:r>
            <w:r>
              <w:rPr>
                <w:rFonts w:ascii="Arial" w:hAnsi="Arial" w:cs="Arial" w:eastAsia="Arial" w:hint="default"/>
                <w:spacing w:val="-6"/>
                <w:sz w:val="20"/>
                <w:szCs w:val="20"/>
              </w:rPr>
              <w:t> </w:t>
            </w:r>
            <w:r>
              <w:rPr>
                <w:rFonts w:ascii="黑体" w:hAnsi="黑体" w:cs="黑体" w:eastAsia="黑体" w:hint="default"/>
                <w:sz w:val="20"/>
                <w:szCs w:val="20"/>
              </w:rPr>
              <w:t>年度</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39"/>
              <w:jc w:val="center"/>
              <w:rPr>
                <w:rFonts w:ascii="黑体" w:hAnsi="黑体" w:cs="黑体" w:eastAsia="黑体" w:hint="default"/>
                <w:sz w:val="20"/>
                <w:szCs w:val="20"/>
              </w:rPr>
            </w:pPr>
            <w:r>
              <w:rPr>
                <w:rFonts w:ascii="Arial" w:hAnsi="Arial" w:cs="Arial" w:eastAsia="Arial" w:hint="default"/>
                <w:sz w:val="20"/>
                <w:szCs w:val="20"/>
              </w:rPr>
              <w:t>2007</w:t>
            </w:r>
            <w:r>
              <w:rPr>
                <w:rFonts w:ascii="黑体" w:hAnsi="黑体" w:cs="黑体" w:eastAsia="黑体" w:hint="default"/>
                <w:sz w:val="20"/>
                <w:szCs w:val="20"/>
              </w:rPr>
              <w:t>年</w:t>
            </w:r>
            <w:r>
              <w:rPr>
                <w:rFonts w:ascii="Arial" w:hAnsi="Arial" w:cs="Arial" w:eastAsia="Arial" w:hint="default"/>
                <w:sz w:val="20"/>
                <w:szCs w:val="20"/>
              </w:rPr>
              <w:t>8</w:t>
            </w:r>
            <w:r>
              <w:rPr>
                <w:rFonts w:ascii="黑体" w:hAnsi="黑体" w:cs="黑体" w:eastAsia="黑体" w:hint="default"/>
                <w:sz w:val="20"/>
                <w:szCs w:val="20"/>
              </w:rPr>
              <w:t>月</w:t>
            </w:r>
            <w:r>
              <w:rPr>
                <w:rFonts w:ascii="Arial" w:hAnsi="Arial" w:cs="Arial" w:eastAsia="Arial" w:hint="default"/>
                <w:sz w:val="20"/>
                <w:szCs w:val="20"/>
              </w:rPr>
              <w:t>8</w:t>
            </w:r>
            <w:r>
              <w:rPr>
                <w:rFonts w:ascii="黑体" w:hAnsi="黑体" w:cs="黑体" w:eastAsia="黑体" w:hint="default"/>
                <w:sz w:val="20"/>
                <w:szCs w:val="20"/>
              </w:rPr>
              <w:t>日</w:t>
            </w:r>
          </w:p>
        </w:tc>
        <w:tc>
          <w:tcPr>
            <w:tcW w:w="2423" w:type="dxa"/>
            <w:tcBorders>
              <w:top w:val="nil" w:sz="6" w:space="0" w:color="auto"/>
              <w:left w:val="nil" w:sz="6" w:space="0" w:color="auto"/>
              <w:bottom w:val="nil" w:sz="6" w:space="0" w:color="auto"/>
              <w:right w:val="nil" w:sz="6" w:space="0" w:color="auto"/>
            </w:tcBorders>
          </w:tcPr>
          <w:p>
            <w:pPr>
              <w:pStyle w:val="TableParagraph"/>
              <w:tabs>
                <w:tab w:pos="1101" w:val="left" w:leader="none"/>
                <w:tab w:pos="1369" w:val="left" w:leader="none"/>
              </w:tabs>
              <w:spacing w:line="240" w:lineRule="auto" w:before="83"/>
              <w:ind w:left="78" w:right="0"/>
              <w:jc w:val="left"/>
              <w:rPr>
                <w:rFonts w:ascii="Arial" w:hAnsi="Arial" w:cs="Arial" w:eastAsia="Arial" w:hint="default"/>
                <w:sz w:val="20"/>
                <w:szCs w:val="20"/>
              </w:rPr>
            </w:pPr>
            <w:r>
              <w:rPr>
                <w:rFonts w:ascii="Arial"/>
                <w:sz w:val="20"/>
              </w:rPr>
              <w:t>18.17</w:t>
              <w:tab/>
              <w:t>-</w:t>
              <w:tab/>
              <w:t>6,739,200</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91"/>
              <w:jc w:val="right"/>
              <w:rPr>
                <w:rFonts w:ascii="Arial" w:hAnsi="Arial" w:cs="Arial" w:eastAsia="Arial" w:hint="default"/>
                <w:sz w:val="20"/>
                <w:szCs w:val="20"/>
              </w:rPr>
            </w:pPr>
            <w:r>
              <w:rPr>
                <w:rFonts w:ascii="Arial"/>
                <w:sz w:val="20"/>
              </w:rPr>
              <w:t>-  </w:t>
            </w:r>
            <w:r>
              <w:rPr>
                <w:rFonts w:ascii="Arial"/>
                <w:spacing w:val="22"/>
                <w:sz w:val="20"/>
              </w:rPr>
              <w:t> </w:t>
            </w:r>
            <w:r>
              <w:rPr>
                <w:rFonts w:ascii="Arial"/>
                <w:sz w:val="20"/>
              </w:rPr>
              <w:t>6,739,200</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1"/>
              <w:jc w:val="right"/>
              <w:rPr>
                <w:rFonts w:ascii="Arial" w:hAnsi="Arial" w:cs="Arial" w:eastAsia="Arial" w:hint="default"/>
                <w:sz w:val="20"/>
                <w:szCs w:val="20"/>
              </w:rPr>
            </w:pPr>
            <w:r>
              <w:rPr>
                <w:rFonts w:ascii="Arial"/>
                <w:sz w:val="20"/>
              </w:rPr>
              <w:t>63,200</w:t>
            </w:r>
            <w:r>
              <w:rPr>
                <w:rFonts w:ascii="Arial"/>
                <w:spacing w:val="52"/>
                <w:sz w:val="20"/>
              </w:rPr>
              <w:t> </w:t>
            </w:r>
            <w:r>
              <w:rPr>
                <w:rFonts w:ascii="Arial"/>
                <w:sz w:val="20"/>
              </w:rPr>
              <w:t>12,800</w:t>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75"/>
              <w:jc w:val="right"/>
              <w:rPr>
                <w:rFonts w:ascii="Arial" w:hAnsi="Arial" w:cs="Arial" w:eastAsia="Arial" w:hint="default"/>
                <w:sz w:val="20"/>
                <w:szCs w:val="20"/>
              </w:rPr>
            </w:pPr>
            <w:r>
              <w:rPr>
                <w:rFonts w:ascii="Arial"/>
                <w:sz w:val="20"/>
              </w:rPr>
              <w:t>76,000</w:t>
            </w:r>
          </w:p>
        </w:tc>
        <w:tc>
          <w:tcPr>
            <w:tcW w:w="468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Arial" w:hAnsi="Arial" w:cs="Arial" w:eastAsia="Arial" w:hint="default"/>
                <w:sz w:val="20"/>
                <w:szCs w:val="20"/>
              </w:rPr>
            </w:pPr>
            <w:r>
              <w:rPr>
                <w:rFonts w:ascii="Arial" w:hAnsi="Arial" w:cs="Arial" w:eastAsia="Arial" w:hint="default"/>
                <w:sz w:val="20"/>
                <w:szCs w:val="20"/>
              </w:rPr>
              <w:t>6,721,200  4,015,320 10,736,520 17,399,720 (</w:t>
            </w:r>
            <w:r>
              <w:rPr>
                <w:rFonts w:ascii="黑体" w:hAnsi="黑体" w:cs="黑体" w:eastAsia="黑体" w:hint="default"/>
                <w:sz w:val="20"/>
                <w:szCs w:val="20"/>
              </w:rPr>
              <w:t>注</w:t>
            </w:r>
            <w:r>
              <w:rPr>
                <w:rFonts w:ascii="黑体" w:hAnsi="黑体" w:cs="黑体" w:eastAsia="黑体" w:hint="default"/>
                <w:spacing w:val="-70"/>
                <w:sz w:val="20"/>
                <w:szCs w:val="20"/>
              </w:rPr>
              <w:t> </w:t>
            </w:r>
            <w:r>
              <w:rPr>
                <w:rFonts w:ascii="Arial" w:hAnsi="Arial" w:cs="Arial" w:eastAsia="Arial" w:hint="default"/>
                <w:sz w:val="20"/>
                <w:szCs w:val="20"/>
              </w:rPr>
              <w:t>1)</w:t>
            </w:r>
          </w:p>
        </w:tc>
      </w:tr>
      <w:tr>
        <w:trPr>
          <w:trHeight w:val="373" w:hRule="exact"/>
        </w:trPr>
        <w:tc>
          <w:tcPr>
            <w:tcW w:w="979" w:type="dxa"/>
            <w:tcBorders>
              <w:top w:val="nil" w:sz="6" w:space="0" w:color="auto"/>
              <w:left w:val="nil" w:sz="6" w:space="0" w:color="auto"/>
              <w:bottom w:val="nil" w:sz="6" w:space="0" w:color="auto"/>
              <w:right w:val="nil" w:sz="6" w:space="0" w:color="auto"/>
            </w:tcBorders>
          </w:tcPr>
          <w:p>
            <w:pPr>
              <w:pStyle w:val="TableParagraph"/>
              <w:spacing w:line="267" w:lineRule="exact"/>
              <w:ind w:left="35" w:right="0"/>
              <w:jc w:val="left"/>
              <w:rPr>
                <w:rFonts w:ascii="黑体" w:hAnsi="黑体" w:cs="黑体" w:eastAsia="黑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黑体" w:hAnsi="黑体" w:cs="黑体" w:eastAsia="黑体" w:hint="default"/>
                <w:sz w:val="20"/>
                <w:szCs w:val="20"/>
              </w:rPr>
              <w:t>年度</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8"/>
              <w:jc w:val="center"/>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r>
              <w:rPr>
                <w:rFonts w:ascii="Arial" w:hAnsi="Arial" w:cs="Arial" w:eastAsia="Arial" w:hint="default"/>
                <w:sz w:val="20"/>
                <w:szCs w:val="20"/>
              </w:rPr>
              <w:t>9</w:t>
            </w:r>
            <w:r>
              <w:rPr>
                <w:rFonts w:ascii="黑体" w:hAnsi="黑体" w:cs="黑体" w:eastAsia="黑体" w:hint="default"/>
                <w:sz w:val="20"/>
                <w:szCs w:val="20"/>
              </w:rPr>
              <w:t>月</w:t>
            </w:r>
            <w:r>
              <w:rPr>
                <w:rFonts w:ascii="Arial" w:hAnsi="Arial" w:cs="Arial" w:eastAsia="Arial" w:hint="default"/>
                <w:sz w:val="20"/>
                <w:szCs w:val="20"/>
              </w:rPr>
              <w:t>26</w:t>
            </w:r>
            <w:r>
              <w:rPr>
                <w:rFonts w:ascii="黑体" w:hAnsi="黑体" w:cs="黑体" w:eastAsia="黑体" w:hint="default"/>
                <w:sz w:val="20"/>
                <w:szCs w:val="20"/>
              </w:rPr>
              <w:t>日</w:t>
            </w:r>
          </w:p>
        </w:tc>
        <w:tc>
          <w:tcPr>
            <w:tcW w:w="2423" w:type="dxa"/>
            <w:tcBorders>
              <w:top w:val="nil" w:sz="6" w:space="0" w:color="auto"/>
              <w:left w:val="nil" w:sz="6" w:space="0" w:color="auto"/>
              <w:bottom w:val="nil" w:sz="6" w:space="0" w:color="auto"/>
              <w:right w:val="nil" w:sz="6" w:space="0" w:color="auto"/>
            </w:tcBorders>
          </w:tcPr>
          <w:p>
            <w:pPr>
              <w:pStyle w:val="TableParagraph"/>
              <w:tabs>
                <w:tab w:pos="1369" w:val="left" w:leader="none"/>
              </w:tabs>
              <w:spacing w:line="240" w:lineRule="auto" w:before="36"/>
              <w:ind w:left="78" w:right="0"/>
              <w:jc w:val="left"/>
              <w:rPr>
                <w:rFonts w:ascii="Arial" w:hAnsi="Arial" w:cs="Arial" w:eastAsia="Arial" w:hint="default"/>
                <w:sz w:val="20"/>
                <w:szCs w:val="20"/>
              </w:rPr>
            </w:pPr>
            <w:r>
              <w:rPr>
                <w:rFonts w:ascii="Arial"/>
                <w:sz w:val="20"/>
              </w:rPr>
              <w:t>13.71</w:t>
            </w:r>
            <w:r>
              <w:rPr>
                <w:rFonts w:ascii="Arial"/>
                <w:spacing w:val="32"/>
                <w:sz w:val="20"/>
              </w:rPr>
              <w:t> </w:t>
            </w:r>
            <w:r>
              <w:rPr>
                <w:rFonts w:ascii="Arial"/>
                <w:sz w:val="20"/>
              </w:rPr>
              <w:t>16.43</w:t>
              <w:tab/>
              <w:t>3,724,875</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92"/>
              <w:jc w:val="right"/>
              <w:rPr>
                <w:rFonts w:ascii="Arial" w:hAnsi="Arial" w:cs="Arial" w:eastAsia="Arial" w:hint="default"/>
                <w:sz w:val="20"/>
                <w:szCs w:val="20"/>
              </w:rPr>
            </w:pPr>
            <w:r>
              <w:rPr>
                <w:rFonts w:ascii="Arial"/>
                <w:sz w:val="20"/>
              </w:rPr>
              <w:t>281,500  </w:t>
            </w:r>
            <w:r>
              <w:rPr>
                <w:rFonts w:ascii="Arial"/>
                <w:spacing w:val="21"/>
                <w:sz w:val="20"/>
              </w:rPr>
              <w:t> </w:t>
            </w:r>
            <w:r>
              <w:rPr>
                <w:rFonts w:ascii="Arial"/>
                <w:sz w:val="20"/>
              </w:rPr>
              <w:t>4,006,375</w:t>
            </w:r>
          </w:p>
        </w:tc>
        <w:tc>
          <w:tcPr>
            <w:tcW w:w="1480" w:type="dxa"/>
            <w:tcBorders>
              <w:top w:val="nil" w:sz="6" w:space="0" w:color="auto"/>
              <w:left w:val="nil" w:sz="6" w:space="0" w:color="auto"/>
              <w:bottom w:val="nil" w:sz="6" w:space="0" w:color="auto"/>
              <w:right w:val="nil" w:sz="6" w:space="0" w:color="auto"/>
            </w:tcBorders>
          </w:tcPr>
          <w:p>
            <w:pPr>
              <w:pStyle w:val="TableParagraph"/>
              <w:tabs>
                <w:tab w:pos="285" w:val="left" w:leader="none"/>
              </w:tabs>
              <w:spacing w:line="240" w:lineRule="auto" w:before="36"/>
              <w:ind w:right="52"/>
              <w:jc w:val="right"/>
              <w:rPr>
                <w:rFonts w:ascii="Arial" w:hAnsi="Arial" w:cs="Arial" w:eastAsia="Arial" w:hint="default"/>
                <w:sz w:val="20"/>
                <w:szCs w:val="20"/>
              </w:rPr>
            </w:pPr>
            <w:r>
              <w:rPr>
                <w:rFonts w:ascii="Arial"/>
                <w:sz w:val="20"/>
              </w:rPr>
              <w:t>-</w:t>
              <w:tab/>
            </w:r>
            <w:r>
              <w:rPr>
                <w:rFonts w:ascii="Arial"/>
                <w:spacing w:val="-1"/>
                <w:sz w:val="20"/>
              </w:rPr>
              <w:t>7,800</w:t>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76"/>
              <w:jc w:val="right"/>
              <w:rPr>
                <w:rFonts w:ascii="Arial" w:hAnsi="Arial" w:cs="Arial" w:eastAsia="Arial" w:hint="default"/>
                <w:sz w:val="20"/>
                <w:szCs w:val="20"/>
              </w:rPr>
            </w:pPr>
            <w:r>
              <w:rPr>
                <w:rFonts w:ascii="Arial"/>
                <w:sz w:val="20"/>
              </w:rPr>
              <w:t>7,800</w:t>
            </w:r>
          </w:p>
        </w:tc>
        <w:tc>
          <w:tcPr>
            <w:tcW w:w="4683" w:type="dxa"/>
            <w:tcBorders>
              <w:top w:val="nil" w:sz="6" w:space="0" w:color="auto"/>
              <w:left w:val="nil" w:sz="6" w:space="0" w:color="auto"/>
              <w:bottom w:val="nil" w:sz="6" w:space="0" w:color="auto"/>
              <w:right w:val="nil" w:sz="6" w:space="0" w:color="auto"/>
            </w:tcBorders>
          </w:tcPr>
          <w:p>
            <w:pPr>
              <w:pStyle w:val="TableParagraph"/>
              <w:spacing w:line="267" w:lineRule="exact"/>
              <w:ind w:right="33"/>
              <w:jc w:val="right"/>
              <w:rPr>
                <w:rFonts w:ascii="Arial" w:hAnsi="Arial" w:cs="Arial" w:eastAsia="Arial" w:hint="default"/>
                <w:sz w:val="20"/>
                <w:szCs w:val="20"/>
              </w:rPr>
            </w:pPr>
            <w:r>
              <w:rPr>
                <w:rFonts w:ascii="Arial" w:hAnsi="Arial" w:cs="Arial" w:eastAsia="Arial" w:hint="default"/>
                <w:sz w:val="20"/>
                <w:szCs w:val="20"/>
              </w:rPr>
              <w:t>-  1,199,573   1,199,573   5,198,148 (</w:t>
            </w:r>
            <w:r>
              <w:rPr>
                <w:rFonts w:ascii="黑体" w:hAnsi="黑体" w:cs="黑体" w:eastAsia="黑体" w:hint="default"/>
                <w:sz w:val="20"/>
                <w:szCs w:val="20"/>
              </w:rPr>
              <w:t>注</w:t>
            </w:r>
            <w:r>
              <w:rPr>
                <w:rFonts w:ascii="黑体" w:hAnsi="黑体" w:cs="黑体" w:eastAsia="黑体" w:hint="default"/>
                <w:spacing w:val="-39"/>
                <w:sz w:val="20"/>
                <w:szCs w:val="20"/>
              </w:rPr>
              <w:t> </w:t>
            </w:r>
            <w:r>
              <w:rPr>
                <w:rFonts w:ascii="Arial" w:hAnsi="Arial" w:cs="Arial" w:eastAsia="Arial" w:hint="default"/>
                <w:sz w:val="20"/>
                <w:szCs w:val="20"/>
              </w:rPr>
              <w:t>2)</w:t>
            </w:r>
          </w:p>
        </w:tc>
      </w:tr>
    </w:tbl>
    <w:p>
      <w:pPr>
        <w:pStyle w:val="BodyText"/>
        <w:tabs>
          <w:tab w:pos="3502" w:val="left" w:leader="none"/>
          <w:tab w:pos="8440" w:val="left" w:leader="none"/>
          <w:tab w:pos="9160" w:val="left" w:leader="none"/>
          <w:tab w:pos="9880" w:val="left" w:leader="none"/>
          <w:tab w:pos="10927" w:val="left" w:leader="none"/>
          <w:tab w:pos="11923" w:val="left" w:leader="none"/>
          <w:tab w:pos="13012" w:val="left" w:leader="none"/>
        </w:tabs>
        <w:spacing w:line="301" w:lineRule="exact"/>
        <w:ind w:left="862" w:right="0"/>
        <w:jc w:val="left"/>
        <w:rPr>
          <w:rFonts w:ascii="Arial" w:hAnsi="Arial" w:cs="Arial" w:eastAsia="Arial" w:hint="default"/>
        </w:rPr>
      </w:pPr>
      <w:r>
        <w:rPr>
          <w:rFonts w:ascii="Arial" w:hAnsi="Arial" w:cs="Arial" w:eastAsia="Arial" w:hint="default"/>
          <w:position w:val="5"/>
        </w:rPr>
        <w:t>2009 </w:t>
      </w:r>
      <w:r>
        <w:rPr>
          <w:position w:val="5"/>
        </w:rPr>
        <w:t>年度</w:t>
      </w:r>
      <w:r>
        <w:rPr>
          <w:spacing w:val="-11"/>
          <w:position w:val="5"/>
        </w:rPr>
        <w:t> </w:t>
      </w:r>
      <w:r>
        <w:rPr>
          <w:rFonts w:ascii="Arial" w:hAnsi="Arial" w:cs="Arial" w:eastAsia="Arial" w:hint="default"/>
          <w:position w:val="4"/>
        </w:rPr>
        <w:t>2009</w:t>
      </w:r>
      <w:r>
        <w:rPr>
          <w:position w:val="4"/>
        </w:rPr>
        <w:t>年</w:t>
      </w:r>
      <w:r>
        <w:rPr>
          <w:rFonts w:ascii="Arial" w:hAnsi="Arial" w:cs="Arial" w:eastAsia="Arial" w:hint="default"/>
          <w:position w:val="4"/>
        </w:rPr>
        <w:t>9</w:t>
      </w:r>
      <w:r>
        <w:rPr>
          <w:position w:val="4"/>
        </w:rPr>
        <w:t>月</w:t>
      </w:r>
      <w:r>
        <w:rPr>
          <w:rFonts w:ascii="Arial" w:hAnsi="Arial" w:cs="Arial" w:eastAsia="Arial" w:hint="default"/>
          <w:position w:val="4"/>
        </w:rPr>
        <w:t>29</w:t>
      </w:r>
      <w:r>
        <w:rPr>
          <w:position w:val="4"/>
        </w:rPr>
        <w:t>日</w:t>
        <w:tab/>
      </w:r>
      <w:r>
        <w:rPr>
          <w:rFonts w:ascii="Arial" w:hAnsi="Arial" w:cs="Arial" w:eastAsia="Arial" w:hint="default"/>
          <w:position w:val="5"/>
        </w:rPr>
        <w:t>9.60 14.63    </w:t>
      </w:r>
      <w:r>
        <w:rPr>
          <w:rFonts w:ascii="Arial" w:hAnsi="Arial" w:cs="Arial" w:eastAsia="Arial" w:hint="default"/>
        </w:rPr>
      </w:r>
      <w:r>
        <w:rPr>
          <w:rFonts w:ascii="Arial" w:hAnsi="Arial" w:cs="Arial" w:eastAsia="Arial" w:hint="default"/>
          <w:u w:val="single" w:color="000000"/>
        </w:rPr>
        <w:t> 5,840,640 </w:t>
      </w:r>
      <w:r>
        <w:rPr>
          <w:rFonts w:ascii="Arial" w:hAnsi="Arial" w:cs="Arial" w:eastAsia="Arial" w:hint="default"/>
        </w:rPr>
      </w:r>
      <w:r>
        <w:rPr>
          <w:rFonts w:ascii="Arial" w:hAnsi="Arial" w:cs="Arial" w:eastAsia="Arial" w:hint="default"/>
          <w:u w:val="single" w:color="000000"/>
        </w:rPr>
        <w:t>15,356,342</w:t>
      </w:r>
      <w:r>
        <w:rPr>
          <w:rFonts w:ascii="Arial" w:hAnsi="Arial" w:cs="Arial" w:eastAsia="Arial" w:hint="default"/>
          <w:spacing w:val="15"/>
          <w:u w:val="single" w:color="000000"/>
        </w:rPr>
        <w:t> </w:t>
      </w:r>
      <w:r>
        <w:rPr>
          <w:rFonts w:ascii="Arial" w:hAnsi="Arial" w:cs="Arial" w:eastAsia="Arial" w:hint="default"/>
          <w:spacing w:val="15"/>
        </w:rPr>
      </w:r>
      <w:r>
        <w:rPr>
          <w:rFonts w:ascii="Arial" w:hAnsi="Arial" w:cs="Arial" w:eastAsia="Arial" w:hint="default"/>
          <w:u w:val="single" w:color="000000"/>
        </w:rPr>
        <w:t>21,196,982</w:t>
      </w:r>
      <w:r>
        <w:rPr>
          <w:rFonts w:ascii="Arial" w:hAnsi="Arial" w:cs="Arial" w:eastAsia="Arial" w:hint="default"/>
        </w:rPr>
      </w:r>
      <w:r>
        <w:rPr>
          <w:rFonts w:ascii="Arial" w:hAnsi="Arial" w:cs="Arial" w:eastAsia="Arial" w:hint="default"/>
          <w:u w:val="single" w:color="000000"/>
        </w:rPr>
        <w:t> </w:t>
        <w:tab/>
        <w:t>-</w:t>
      </w:r>
      <w:r>
        <w:rPr>
          <w:rFonts w:ascii="Arial" w:hAnsi="Arial" w:cs="Arial" w:eastAsia="Arial" w:hint="default"/>
        </w:rPr>
      </w:r>
      <w:r>
        <w:rPr>
          <w:rFonts w:ascii="Arial" w:hAnsi="Arial" w:cs="Arial" w:eastAsia="Arial" w:hint="default"/>
          <w:u w:val="single" w:color="000000"/>
        </w:rPr>
        <w:t> </w:t>
        <w:tab/>
        <w:t>-</w:t>
      </w:r>
      <w:r>
        <w:rPr>
          <w:rFonts w:ascii="Arial" w:hAnsi="Arial" w:cs="Arial" w:eastAsia="Arial" w:hint="default"/>
        </w:rPr>
      </w:r>
      <w:r>
        <w:rPr>
          <w:rFonts w:ascii="Arial" w:hAnsi="Arial" w:cs="Arial" w:eastAsia="Arial" w:hint="default"/>
          <w:u w:val="single" w:color="000000"/>
        </w:rPr>
        <w:t> </w:t>
        <w:tab/>
        <w:t>-</w:t>
      </w:r>
      <w:r>
        <w:rPr>
          <w:rFonts w:ascii="Arial" w:hAnsi="Arial" w:cs="Arial" w:eastAsia="Arial" w:hint="default"/>
        </w:rPr>
      </w:r>
      <w:r>
        <w:rPr>
          <w:rFonts w:ascii="Arial" w:hAnsi="Arial" w:cs="Arial" w:eastAsia="Arial" w:hint="default"/>
          <w:u w:val="single" w:color="000000"/>
        </w:rPr>
        <w:t> </w:t>
        <w:tab/>
        <w:t>-</w:t>
      </w:r>
      <w:r>
        <w:rPr>
          <w:rFonts w:ascii="Arial" w:hAnsi="Arial" w:cs="Arial" w:eastAsia="Arial" w:hint="default"/>
        </w:rPr>
      </w:r>
      <w:r>
        <w:rPr>
          <w:rFonts w:ascii="Arial" w:hAnsi="Arial" w:cs="Arial" w:eastAsia="Arial" w:hint="default"/>
          <w:u w:val="single" w:color="000000"/>
        </w:rPr>
        <w:t> </w:t>
        <w:tab/>
        <w:t>-</w:t>
      </w:r>
      <w:r>
        <w:rPr>
          <w:rFonts w:ascii="Arial" w:hAnsi="Arial" w:cs="Arial" w:eastAsia="Arial" w:hint="default"/>
        </w:rPr>
      </w:r>
      <w:r>
        <w:rPr>
          <w:rFonts w:ascii="Arial" w:hAnsi="Arial" w:cs="Arial" w:eastAsia="Arial" w:hint="default"/>
          <w:u w:val="single" w:color="000000"/>
        </w:rPr>
        <w:t> </w:t>
        <w:tab/>
        <w:t>-</w:t>
      </w:r>
      <w:r>
        <w:rPr>
          <w:rFonts w:ascii="Arial" w:hAnsi="Arial" w:cs="Arial" w:eastAsia="Arial" w:hint="default"/>
          <w:spacing w:val="-6"/>
          <w:u w:val="single" w:color="000000"/>
        </w:rPr>
        <w:t> </w:t>
      </w:r>
      <w:r>
        <w:rPr>
          <w:rFonts w:ascii="Arial" w:hAnsi="Arial" w:cs="Arial" w:eastAsia="Arial" w:hint="default"/>
          <w:spacing w:val="-6"/>
        </w:rPr>
      </w:r>
      <w:r>
        <w:rPr>
          <w:rFonts w:ascii="Arial" w:hAnsi="Arial" w:cs="Arial" w:eastAsia="Arial" w:hint="default"/>
          <w:u w:val="single" w:color="000000"/>
        </w:rPr>
        <w:t>21,196,982</w:t>
      </w:r>
      <w:r>
        <w:rPr>
          <w:rFonts w:ascii="Arial" w:hAnsi="Arial" w:cs="Arial" w:eastAsia="Arial" w:hint="default"/>
        </w:rPr>
      </w:r>
    </w:p>
    <w:p>
      <w:pPr>
        <w:spacing w:line="240" w:lineRule="auto" w:before="0"/>
        <w:rPr>
          <w:rFonts w:ascii="Arial" w:hAnsi="Arial" w:cs="Arial" w:eastAsia="Arial" w:hint="default"/>
          <w:sz w:val="20"/>
          <w:szCs w:val="20"/>
        </w:rPr>
      </w:pPr>
    </w:p>
    <w:p>
      <w:pPr>
        <w:spacing w:line="240" w:lineRule="auto" w:before="1"/>
        <w:rPr>
          <w:rFonts w:ascii="Arial" w:hAnsi="Arial" w:cs="Arial" w:eastAsia="Arial" w:hint="default"/>
          <w:sz w:val="16"/>
          <w:szCs w:val="16"/>
        </w:rPr>
      </w:pPr>
    </w:p>
    <w:p>
      <w:pPr>
        <w:pStyle w:val="BodyText"/>
        <w:spacing w:line="240" w:lineRule="auto" w:before="74"/>
        <w:ind w:left="4577" w:right="0"/>
        <w:jc w:val="left"/>
        <w:rPr>
          <w:rFonts w:ascii="Arial" w:hAnsi="Arial" w:cs="Arial" w:eastAsia="Arial" w:hint="default"/>
        </w:rPr>
      </w:pPr>
      <w:r>
        <w:rPr>
          <w:rFonts w:ascii="Arial"/>
          <w:w w:val="100"/>
        </w:rPr>
      </w:r>
      <w:r>
        <w:rPr>
          <w:rFonts w:ascii="Arial"/>
          <w:u w:val="thick" w:color="000000"/>
        </w:rPr>
        <w:t>16,304,715 15,637,842 </w:t>
      </w:r>
      <w:r>
        <w:rPr>
          <w:rFonts w:ascii="Arial"/>
        </w:rPr>
      </w:r>
      <w:r>
        <w:rPr>
          <w:rFonts w:ascii="Arial"/>
          <w:u w:val="thick" w:color="000000"/>
        </w:rPr>
        <w:t>31,942,557   </w:t>
      </w:r>
      <w:r>
        <w:rPr>
          <w:rFonts w:ascii="Arial"/>
        </w:rPr>
      </w:r>
      <w:r>
        <w:rPr>
          <w:rFonts w:ascii="Arial"/>
          <w:u w:val="thick" w:color="000000"/>
        </w:rPr>
        <w:t>63,200  </w:t>
      </w:r>
      <w:r>
        <w:rPr>
          <w:rFonts w:ascii="Arial"/>
        </w:rPr>
      </w:r>
      <w:r>
        <w:rPr>
          <w:rFonts w:ascii="Arial"/>
          <w:u w:val="thick" w:color="000000"/>
        </w:rPr>
        <w:t>20,600  </w:t>
      </w:r>
      <w:r>
        <w:rPr>
          <w:rFonts w:ascii="Arial"/>
        </w:rPr>
      </w:r>
      <w:r>
        <w:rPr>
          <w:rFonts w:ascii="Arial"/>
          <w:u w:val="thick" w:color="000000"/>
        </w:rPr>
        <w:t>83,800   </w:t>
      </w:r>
      <w:r>
        <w:rPr>
          <w:rFonts w:ascii="Arial"/>
        </w:rPr>
      </w:r>
      <w:r>
        <w:rPr>
          <w:rFonts w:ascii="Arial"/>
          <w:u w:val="thick" w:color="000000"/>
        </w:rPr>
        <w:t>6,721,200  </w:t>
      </w:r>
      <w:r>
        <w:rPr>
          <w:rFonts w:ascii="Arial"/>
        </w:rPr>
      </w:r>
      <w:r>
        <w:rPr>
          <w:rFonts w:ascii="Arial"/>
          <w:u w:val="thick" w:color="000000"/>
        </w:rPr>
        <w:t>5,214,893 </w:t>
      </w:r>
      <w:r>
        <w:rPr>
          <w:rFonts w:ascii="Arial"/>
        </w:rPr>
      </w:r>
      <w:r>
        <w:rPr>
          <w:rFonts w:ascii="Arial"/>
          <w:u w:val="thick" w:color="000000"/>
        </w:rPr>
        <w:t>11,936,093</w:t>
      </w:r>
      <w:r>
        <w:rPr>
          <w:rFonts w:ascii="Arial"/>
          <w:spacing w:val="-8"/>
          <w:u w:val="thick" w:color="000000"/>
        </w:rPr>
        <w:t> </w:t>
      </w:r>
      <w:r>
        <w:rPr>
          <w:rFonts w:ascii="Arial"/>
          <w:u w:val="thick" w:color="000000"/>
        </w:rPr>
        <w:t>43,794,850</w:t>
      </w:r>
      <w:r>
        <w:rPr>
          <w:rFonts w:ascii="Arial"/>
        </w:rPr>
      </w:r>
    </w:p>
    <w:p>
      <w:pPr>
        <w:spacing w:line="240" w:lineRule="auto" w:before="8"/>
        <w:rPr>
          <w:rFonts w:ascii="Arial" w:hAnsi="Arial" w:cs="Arial" w:eastAsia="Arial" w:hint="default"/>
          <w:sz w:val="21"/>
          <w:szCs w:val="21"/>
        </w:rPr>
      </w:pPr>
    </w:p>
    <w:p>
      <w:pPr>
        <w:pStyle w:val="BodyText"/>
        <w:spacing w:line="261" w:lineRule="auto" w:before="38"/>
        <w:ind w:left="1281" w:right="166" w:hanging="463"/>
        <w:jc w:val="both"/>
      </w:pPr>
      <w:r>
        <w:rPr>
          <w:spacing w:val="-2"/>
        </w:rPr>
        <w:t>注</w:t>
      </w:r>
      <w:r>
        <w:rPr>
          <w:rFonts w:ascii="Arial" w:hAnsi="Arial" w:cs="Arial" w:eastAsia="Arial" w:hint="default"/>
          <w:spacing w:val="-2"/>
        </w:rPr>
        <w:t>1</w:t>
      </w:r>
      <w:r>
        <w:rPr>
          <w:spacing w:val="-2"/>
        </w:rPr>
        <w:t>．本公司于</w:t>
      </w:r>
      <w:r>
        <w:rPr>
          <w:rFonts w:ascii="Arial" w:hAnsi="Arial" w:cs="Arial" w:eastAsia="Arial" w:hint="default"/>
          <w:spacing w:val="-2"/>
        </w:rPr>
        <w:t>2007</w:t>
      </w:r>
      <w:r>
        <w:rPr>
          <w:spacing w:val="-2"/>
        </w:rPr>
        <w:t>年</w:t>
      </w:r>
      <w:r>
        <w:rPr>
          <w:rFonts w:ascii="Arial" w:hAnsi="Arial" w:cs="Arial" w:eastAsia="Arial" w:hint="default"/>
          <w:spacing w:val="-2"/>
        </w:rPr>
        <w:t>8</w:t>
      </w:r>
      <w:r>
        <w:rPr>
          <w:spacing w:val="-2"/>
        </w:rPr>
        <w:t>月</w:t>
      </w:r>
      <w:r>
        <w:rPr>
          <w:rFonts w:ascii="Arial" w:hAnsi="Arial" w:cs="Arial" w:eastAsia="Arial" w:hint="default"/>
          <w:spacing w:val="-2"/>
        </w:rPr>
        <w:t>8</w:t>
      </w:r>
      <w:r>
        <w:rPr>
          <w:spacing w:val="-2"/>
        </w:rPr>
        <w:t>日向符合授予条件的股权激励对象授予的</w:t>
      </w:r>
      <w:r>
        <w:rPr>
          <w:rFonts w:ascii="Arial" w:hAnsi="Arial" w:cs="Arial" w:eastAsia="Arial" w:hint="default"/>
          <w:spacing w:val="-2"/>
        </w:rPr>
        <w:t>2007</w:t>
      </w:r>
      <w:r>
        <w:rPr>
          <w:spacing w:val="-2"/>
        </w:rPr>
        <w:t>年度股票于</w:t>
      </w:r>
      <w:r>
        <w:rPr>
          <w:rFonts w:ascii="Arial" w:hAnsi="Arial" w:cs="Arial" w:eastAsia="Arial" w:hint="default"/>
          <w:spacing w:val="-2"/>
        </w:rPr>
        <w:t>2008</w:t>
      </w:r>
      <w:r>
        <w:rPr>
          <w:spacing w:val="-2"/>
        </w:rPr>
        <w:t>年</w:t>
      </w:r>
      <w:r>
        <w:rPr>
          <w:rFonts w:ascii="Arial" w:hAnsi="Arial" w:cs="Arial" w:eastAsia="Arial" w:hint="default"/>
          <w:spacing w:val="-2"/>
        </w:rPr>
        <w:t>8</w:t>
      </w:r>
      <w:r>
        <w:rPr>
          <w:spacing w:val="-2"/>
        </w:rPr>
        <w:t>月</w:t>
      </w:r>
      <w:r>
        <w:rPr>
          <w:rFonts w:ascii="Arial" w:hAnsi="Arial" w:cs="Arial" w:eastAsia="Arial" w:hint="default"/>
          <w:spacing w:val="-2"/>
        </w:rPr>
        <w:t>8</w:t>
      </w:r>
      <w:r>
        <w:rPr>
          <w:spacing w:val="-2"/>
        </w:rPr>
        <w:t>日部分已达到第一次解锁条件，解锁的已授出股权激励股份数</w:t>
      </w:r>
      <w:r>
        <w:rPr>
          <w:spacing w:val="-25"/>
        </w:rPr>
        <w:t> </w:t>
      </w:r>
      <w:r>
        <w:rPr>
          <w:spacing w:val="-25"/>
        </w:rPr>
      </w:r>
      <w:r>
        <w:rPr>
          <w:spacing w:val="-2"/>
        </w:rPr>
        <w:t>量为</w:t>
      </w:r>
      <w:r>
        <w:rPr>
          <w:rFonts w:ascii="Arial" w:hAnsi="Arial" w:cs="Arial" w:eastAsia="Arial" w:hint="default"/>
          <w:spacing w:val="-2"/>
        </w:rPr>
        <w:t>8,038,320</w:t>
      </w:r>
      <w:r>
        <w:rPr>
          <w:spacing w:val="-2"/>
        </w:rPr>
        <w:t>股，可上市流通日为</w:t>
      </w:r>
      <w:r>
        <w:rPr>
          <w:rFonts w:ascii="Arial" w:hAnsi="Arial" w:cs="Arial" w:eastAsia="Arial" w:hint="default"/>
          <w:spacing w:val="-2"/>
        </w:rPr>
        <w:t>2008</w:t>
      </w:r>
      <w:r>
        <w:rPr>
          <w:spacing w:val="-2"/>
        </w:rPr>
        <w:t>年</w:t>
      </w:r>
      <w:r>
        <w:rPr>
          <w:rFonts w:ascii="Arial" w:hAnsi="Arial" w:cs="Arial" w:eastAsia="Arial" w:hint="default"/>
          <w:spacing w:val="-2"/>
        </w:rPr>
        <w:t>8</w:t>
      </w:r>
      <w:r>
        <w:rPr>
          <w:spacing w:val="-2"/>
        </w:rPr>
        <w:t>月</w:t>
      </w:r>
      <w:r>
        <w:rPr>
          <w:rFonts w:ascii="Arial" w:hAnsi="Arial" w:cs="Arial" w:eastAsia="Arial" w:hint="default"/>
          <w:spacing w:val="-2"/>
        </w:rPr>
        <w:t>8</w:t>
      </w:r>
      <w:r>
        <w:rPr>
          <w:spacing w:val="-2"/>
        </w:rPr>
        <w:t>日；于</w:t>
      </w:r>
      <w:r>
        <w:rPr>
          <w:rFonts w:ascii="Arial" w:hAnsi="Arial" w:cs="Arial" w:eastAsia="Arial" w:hint="default"/>
          <w:spacing w:val="-2"/>
        </w:rPr>
        <w:t>2009</w:t>
      </w:r>
      <w:r>
        <w:rPr>
          <w:spacing w:val="-2"/>
        </w:rPr>
        <w:t>年</w:t>
      </w:r>
      <w:r>
        <w:rPr>
          <w:rFonts w:ascii="Arial" w:hAnsi="Arial" w:cs="Arial" w:eastAsia="Arial" w:hint="default"/>
          <w:spacing w:val="-2"/>
        </w:rPr>
        <w:t>8</w:t>
      </w:r>
      <w:r>
        <w:rPr>
          <w:spacing w:val="-2"/>
        </w:rPr>
        <w:t>月</w:t>
      </w:r>
      <w:r>
        <w:rPr>
          <w:rFonts w:ascii="Arial" w:hAnsi="Arial" w:cs="Arial" w:eastAsia="Arial" w:hint="default"/>
          <w:spacing w:val="-2"/>
        </w:rPr>
        <w:t>10</w:t>
      </w:r>
      <w:r>
        <w:rPr>
          <w:spacing w:val="-2"/>
        </w:rPr>
        <w:t>日部分已达到第二次解锁条件，解锁的已授出股权激励股份数量为</w:t>
      </w:r>
      <w:r>
        <w:rPr>
          <w:rFonts w:ascii="Arial" w:hAnsi="Arial" w:cs="Arial" w:eastAsia="Arial" w:hint="default"/>
          <w:spacing w:val="-2"/>
        </w:rPr>
        <w:t>6,949,904</w:t>
      </w:r>
      <w:r>
        <w:rPr>
          <w:spacing w:val="-2"/>
        </w:rPr>
        <w:t>股，可上</w:t>
      </w:r>
      <w:r>
        <w:rPr>
          <w:w w:val="100"/>
        </w:rPr>
        <w:t> </w:t>
      </w:r>
      <w:r>
        <w:rPr/>
        <w:t>市流通日为</w:t>
      </w:r>
      <w:r>
        <w:rPr>
          <w:rFonts w:ascii="Arial" w:hAnsi="Arial" w:cs="Arial" w:eastAsia="Arial" w:hint="default"/>
        </w:rPr>
        <w:t>2009</w:t>
      </w:r>
      <w:r>
        <w:rPr/>
        <w:t>年</w:t>
      </w:r>
      <w:r>
        <w:rPr>
          <w:rFonts w:ascii="Arial" w:hAnsi="Arial" w:cs="Arial" w:eastAsia="Arial" w:hint="default"/>
        </w:rPr>
        <w:t>8</w:t>
      </w:r>
      <w:r>
        <w:rPr/>
        <w:t>月</w:t>
      </w:r>
      <w:r>
        <w:rPr>
          <w:rFonts w:ascii="Arial" w:hAnsi="Arial" w:cs="Arial" w:eastAsia="Arial" w:hint="default"/>
        </w:rPr>
        <w:t>10</w:t>
      </w:r>
      <w:r>
        <w:rPr/>
        <w:t>日。</w:t>
      </w:r>
    </w:p>
    <w:p>
      <w:pPr>
        <w:spacing w:line="240" w:lineRule="auto" w:before="3"/>
        <w:rPr>
          <w:rFonts w:ascii="黑体" w:hAnsi="黑体" w:cs="黑体" w:eastAsia="黑体" w:hint="default"/>
          <w:sz w:val="23"/>
          <w:szCs w:val="23"/>
        </w:rPr>
      </w:pPr>
    </w:p>
    <w:p>
      <w:pPr>
        <w:pStyle w:val="BodyText"/>
        <w:spacing w:line="261" w:lineRule="auto"/>
        <w:ind w:left="1282" w:right="166" w:hanging="463"/>
        <w:jc w:val="both"/>
      </w:pPr>
      <w:r>
        <w:rPr>
          <w:spacing w:val="-2"/>
        </w:rPr>
        <w:t>注</w:t>
      </w:r>
      <w:r>
        <w:rPr>
          <w:rFonts w:ascii="Arial" w:hAnsi="Arial" w:cs="Arial" w:eastAsia="Arial" w:hint="default"/>
          <w:spacing w:val="-2"/>
        </w:rPr>
        <w:t>2</w:t>
      </w:r>
      <w:r>
        <w:rPr>
          <w:spacing w:val="-2"/>
        </w:rPr>
        <w:t>．本公司于</w:t>
      </w:r>
      <w:r>
        <w:rPr>
          <w:rFonts w:ascii="Arial" w:hAnsi="Arial" w:cs="Arial" w:eastAsia="Arial" w:hint="default"/>
          <w:spacing w:val="-2"/>
        </w:rPr>
        <w:t>2008</w:t>
      </w:r>
      <w:r>
        <w:rPr>
          <w:spacing w:val="-2"/>
        </w:rPr>
        <w:t>年</w:t>
      </w:r>
      <w:r>
        <w:rPr>
          <w:rFonts w:ascii="Arial" w:hAnsi="Arial" w:cs="Arial" w:eastAsia="Arial" w:hint="default"/>
          <w:spacing w:val="-2"/>
        </w:rPr>
        <w:t>9</w:t>
      </w:r>
      <w:r>
        <w:rPr>
          <w:spacing w:val="-2"/>
        </w:rPr>
        <w:t>月</w:t>
      </w:r>
      <w:r>
        <w:rPr>
          <w:rFonts w:ascii="Arial" w:hAnsi="Arial" w:cs="Arial" w:eastAsia="Arial" w:hint="default"/>
          <w:spacing w:val="-2"/>
        </w:rPr>
        <w:t>26</w:t>
      </w:r>
      <w:r>
        <w:rPr>
          <w:spacing w:val="-2"/>
        </w:rPr>
        <w:t>日向符合授予条件的股权激励对象授予的</w:t>
      </w:r>
      <w:r>
        <w:rPr>
          <w:rFonts w:ascii="Arial" w:hAnsi="Arial" w:cs="Arial" w:eastAsia="Arial" w:hint="default"/>
          <w:spacing w:val="-2"/>
        </w:rPr>
        <w:t>2008</w:t>
      </w:r>
      <w:r>
        <w:rPr>
          <w:spacing w:val="-2"/>
        </w:rPr>
        <w:t>年度股票于</w:t>
      </w:r>
      <w:r>
        <w:rPr>
          <w:rFonts w:ascii="Arial" w:hAnsi="Arial" w:cs="Arial" w:eastAsia="Arial" w:hint="default"/>
          <w:spacing w:val="-2"/>
        </w:rPr>
        <w:t>2009</w:t>
      </w:r>
      <w:r>
        <w:rPr>
          <w:spacing w:val="-2"/>
        </w:rPr>
        <w:t>年</w:t>
      </w:r>
      <w:r>
        <w:rPr>
          <w:rFonts w:ascii="Arial" w:hAnsi="Arial" w:cs="Arial" w:eastAsia="Arial" w:hint="default"/>
          <w:spacing w:val="-2"/>
        </w:rPr>
        <w:t>9</w:t>
      </w:r>
      <w:r>
        <w:rPr>
          <w:spacing w:val="-2"/>
        </w:rPr>
        <w:t>月</w:t>
      </w:r>
      <w:r>
        <w:rPr>
          <w:rFonts w:ascii="Arial" w:hAnsi="Arial" w:cs="Arial" w:eastAsia="Arial" w:hint="default"/>
          <w:spacing w:val="-2"/>
        </w:rPr>
        <w:t>28</w:t>
      </w:r>
      <w:r>
        <w:rPr>
          <w:spacing w:val="-2"/>
        </w:rPr>
        <w:t>日部分已达到第一次解锁条件，解锁的已授出股权激励股份</w:t>
      </w:r>
      <w:r>
        <w:rPr>
          <w:spacing w:val="-48"/>
        </w:rPr>
        <w:t> </w:t>
      </w:r>
      <w:r>
        <w:rPr>
          <w:spacing w:val="-48"/>
        </w:rPr>
      </w:r>
      <w:r>
        <w:rPr/>
        <w:t>数量为</w:t>
      </w:r>
      <w:r>
        <w:rPr>
          <w:rFonts w:ascii="Arial" w:hAnsi="Arial" w:cs="Arial" w:eastAsia="Arial" w:hint="default"/>
        </w:rPr>
        <w:t>3,118,889</w:t>
      </w:r>
      <w:r>
        <w:rPr/>
        <w:t>股，可上市流通日为</w:t>
      </w:r>
      <w:r>
        <w:rPr>
          <w:rFonts w:ascii="Arial" w:hAnsi="Arial" w:cs="Arial" w:eastAsia="Arial" w:hint="default"/>
        </w:rPr>
        <w:t>2009</w:t>
      </w:r>
      <w:r>
        <w:rPr/>
        <w:t>年</w:t>
      </w:r>
      <w:r>
        <w:rPr>
          <w:rFonts w:ascii="Arial" w:hAnsi="Arial" w:cs="Arial" w:eastAsia="Arial" w:hint="default"/>
        </w:rPr>
        <w:t>9</w:t>
      </w:r>
      <w:r>
        <w:rPr/>
        <w:t>月</w:t>
      </w:r>
      <w:r>
        <w:rPr>
          <w:rFonts w:ascii="Arial" w:hAnsi="Arial" w:cs="Arial" w:eastAsia="Arial" w:hint="default"/>
        </w:rPr>
        <w:t>28</w:t>
      </w:r>
      <w:r>
        <w:rPr/>
        <w:t>日。</w:t>
      </w:r>
    </w:p>
    <w:p>
      <w:pPr>
        <w:spacing w:line="240" w:lineRule="auto" w:before="0"/>
        <w:rPr>
          <w:rFonts w:ascii="黑体" w:hAnsi="黑体" w:cs="黑体" w:eastAsia="黑体" w:hint="default"/>
          <w:sz w:val="20"/>
          <w:szCs w:val="20"/>
        </w:rPr>
      </w:pPr>
    </w:p>
    <w:p>
      <w:pPr>
        <w:spacing w:line="240" w:lineRule="auto" w:before="4"/>
        <w:rPr>
          <w:rFonts w:ascii="黑体" w:hAnsi="黑体" w:cs="黑体" w:eastAsia="黑体" w:hint="default"/>
          <w:sz w:val="19"/>
          <w:szCs w:val="19"/>
        </w:rPr>
      </w:pPr>
    </w:p>
    <w:p>
      <w:pPr>
        <w:pStyle w:val="BodyText"/>
        <w:spacing w:line="240" w:lineRule="auto"/>
        <w:ind w:left="663" w:right="1284"/>
        <w:jc w:val="center"/>
        <w:rPr>
          <w:rFonts w:ascii="Arial" w:hAnsi="Arial" w:cs="Arial" w:eastAsia="Arial" w:hint="default"/>
        </w:rPr>
      </w:pPr>
      <w:r>
        <w:rPr>
          <w:rFonts w:ascii="Arial"/>
        </w:rPr>
        <w:t>115</w:t>
      </w:r>
    </w:p>
    <w:p>
      <w:pPr>
        <w:spacing w:after="0" w:line="240" w:lineRule="auto"/>
        <w:jc w:val="center"/>
        <w:rPr>
          <w:rFonts w:ascii="Arial" w:hAnsi="Arial" w:cs="Arial" w:eastAsia="Arial" w:hint="default"/>
        </w:rPr>
        <w:sectPr>
          <w:type w:val="continuous"/>
          <w:pgSz w:w="16840" w:h="11910" w:orient="landscape"/>
          <w:pgMar w:top="900" w:bottom="280" w:left="1320" w:right="700"/>
        </w:sectPr>
      </w:pPr>
    </w:p>
    <w:p>
      <w:pPr>
        <w:spacing w:line="240" w:lineRule="auto" w:before="6"/>
        <w:rPr>
          <w:rFonts w:ascii="Arial" w:hAnsi="Arial" w:cs="Arial" w:eastAsia="Arial" w:hint="default"/>
          <w:sz w:val="26"/>
          <w:szCs w:val="26"/>
        </w:rPr>
      </w:pPr>
    </w:p>
    <w:p>
      <w:pPr>
        <w:spacing w:line="20" w:lineRule="exact"/>
        <w:ind w:left="116" w:right="0" w:firstLine="0"/>
        <w:rPr>
          <w:rFonts w:ascii="Arial" w:hAnsi="Arial" w:cs="Arial" w:eastAsia="Arial" w:hint="default"/>
          <w:sz w:val="2"/>
          <w:szCs w:val="2"/>
        </w:rPr>
      </w:pPr>
      <w:r>
        <w:rPr>
          <w:rFonts w:ascii="Arial" w:hAnsi="Arial" w:cs="Arial" w:eastAsia="Arial" w:hint="default"/>
          <w:sz w:val="2"/>
          <w:szCs w:val="2"/>
        </w:rPr>
        <w:pict>
          <v:group style="width:427.55pt;height:.75pt;mso-position-horizontal-relative:char;mso-position-vertical-relative:line" coordorigin="0,0" coordsize="8551,15">
            <v:group style="position:absolute;left:8;top:8;width:8536;height:2" coordorigin="8,8" coordsize="8536,2">
              <v:shape style="position:absolute;left:8;top:8;width:8536;height:2" coordorigin="8,8" coordsize="8536,0" path="m8,8l8543,8e" filled="false" stroked="true" strokeweight=".75pt" strokecolor="#000000">
                <v:path arrowok="t"/>
              </v:shape>
            </v:group>
          </v:group>
        </w:pict>
      </w:r>
      <w:r>
        <w:rPr>
          <w:rFonts w:ascii="Arial" w:hAnsi="Arial" w:cs="Arial" w:eastAsia="Arial" w:hint="default"/>
          <w:sz w:val="2"/>
          <w:szCs w:val="2"/>
        </w:rPr>
      </w:r>
    </w:p>
    <w:p>
      <w:pPr>
        <w:spacing w:line="240" w:lineRule="auto" w:before="1"/>
        <w:rPr>
          <w:rFonts w:ascii="Arial" w:hAnsi="Arial" w:cs="Arial" w:eastAsia="Arial" w:hint="default"/>
          <w:sz w:val="26"/>
          <w:szCs w:val="26"/>
        </w:rPr>
      </w:pPr>
    </w:p>
    <w:p>
      <w:pPr>
        <w:tabs>
          <w:tab w:pos="803" w:val="left" w:leader="none"/>
        </w:tabs>
        <w:spacing w:before="38"/>
        <w:ind w:left="101" w:right="112" w:firstLine="0"/>
        <w:jc w:val="left"/>
        <w:rPr>
          <w:rFonts w:ascii="黑体" w:hAnsi="黑体" w:cs="黑体" w:eastAsia="黑体" w:hint="default"/>
          <w:sz w:val="20"/>
          <w:szCs w:val="20"/>
        </w:rPr>
      </w:pPr>
      <w:r>
        <w:rPr>
          <w:rFonts w:ascii="黑体" w:hAnsi="黑体" w:cs="黑体" w:eastAsia="黑体" w:hint="default"/>
          <w:b/>
          <w:bCs/>
          <w:sz w:val="20"/>
          <w:szCs w:val="20"/>
        </w:rPr>
        <w:t>七、</w:t>
        <w:tab/>
        <w:t>股份支付（续）</w:t>
      </w:r>
      <w:r>
        <w:rPr>
          <w:rFonts w:ascii="黑体" w:hAnsi="黑体" w:cs="黑体" w:eastAsia="黑体" w:hint="default"/>
          <w:sz w:val="20"/>
          <w:szCs w:val="20"/>
        </w:rPr>
      </w:r>
    </w:p>
    <w:p>
      <w:pPr>
        <w:spacing w:line="240" w:lineRule="auto" w:before="8"/>
        <w:rPr>
          <w:rFonts w:ascii="黑体" w:hAnsi="黑体" w:cs="黑体" w:eastAsia="黑体" w:hint="default"/>
          <w:b/>
          <w:bCs/>
          <w:sz w:val="25"/>
          <w:szCs w:val="25"/>
        </w:rPr>
      </w:pPr>
    </w:p>
    <w:p>
      <w:pPr>
        <w:pStyle w:val="BodyText"/>
        <w:spacing w:line="261" w:lineRule="auto"/>
        <w:ind w:right="169"/>
        <w:jc w:val="both"/>
      </w:pPr>
      <w:r>
        <w:rPr>
          <w:spacing w:val="-1"/>
        </w:rPr>
        <w:t>因有部分股权激励对象发生了公司股权激励计划中规定的变更和终止的情形，根据《用友</w:t>
      </w:r>
      <w:r>
        <w:rPr>
          <w:spacing w:val="-79"/>
        </w:rPr>
        <w:t> </w:t>
      </w:r>
      <w:r>
        <w:rPr>
          <w:spacing w:val="-79"/>
        </w:rPr>
      </w:r>
      <w:r>
        <w:rPr/>
        <w:t>软件股份有限公司股权激励计划</w:t>
      </w:r>
      <w:r>
        <w:rPr>
          <w:rFonts w:ascii="Arial" w:hAnsi="Arial" w:cs="Arial" w:eastAsia="Arial" w:hint="default"/>
        </w:rPr>
        <w:t>(</w:t>
      </w:r>
      <w:r>
        <w:rPr/>
        <w:t>修订稿</w:t>
      </w:r>
      <w:r>
        <w:rPr>
          <w:rFonts w:ascii="Arial" w:hAnsi="Arial" w:cs="Arial" w:eastAsia="Arial" w:hint="default"/>
        </w:rPr>
        <w:t>)</w:t>
      </w:r>
      <w:r>
        <w:rPr/>
        <w:t>》有关条款和股东大会授权，本公司董事会分别</w:t>
      </w:r>
      <w:r>
        <w:rPr>
          <w:spacing w:val="-50"/>
        </w:rPr>
        <w:t> </w:t>
      </w:r>
      <w:r>
        <w:rPr>
          <w:spacing w:val="-50"/>
        </w:rPr>
      </w:r>
      <w:r>
        <w:rPr>
          <w:spacing w:val="-3"/>
          <w:w w:val="100"/>
        </w:rPr>
        <w:t>于</w:t>
      </w:r>
      <w:r>
        <w:rPr>
          <w:rFonts w:ascii="Arial" w:hAnsi="Arial" w:cs="Arial" w:eastAsia="Arial" w:hint="default"/>
          <w:spacing w:val="-3"/>
          <w:w w:val="100"/>
        </w:rPr>
        <w:t>2008</w:t>
      </w:r>
      <w:r>
        <w:rPr>
          <w:spacing w:val="-3"/>
          <w:w w:val="100"/>
        </w:rPr>
        <w:t>年</w:t>
      </w:r>
      <w:r>
        <w:rPr>
          <w:rFonts w:ascii="Arial" w:hAnsi="Arial" w:cs="Arial" w:eastAsia="Arial" w:hint="default"/>
          <w:spacing w:val="-3"/>
          <w:w w:val="100"/>
        </w:rPr>
        <w:t>3</w:t>
      </w:r>
      <w:r>
        <w:rPr>
          <w:spacing w:val="-3"/>
          <w:w w:val="100"/>
        </w:rPr>
        <w:t>月</w:t>
      </w:r>
      <w:r>
        <w:rPr>
          <w:rFonts w:ascii="Arial" w:hAnsi="Arial" w:cs="Arial" w:eastAsia="Arial" w:hint="default"/>
          <w:spacing w:val="-3"/>
          <w:w w:val="100"/>
        </w:rPr>
        <w:t>3</w:t>
      </w:r>
      <w:r>
        <w:rPr>
          <w:spacing w:val="-3"/>
          <w:w w:val="100"/>
        </w:rPr>
        <w:t>日召开的第三届董事会</w:t>
      </w:r>
      <w:r>
        <w:rPr>
          <w:rFonts w:ascii="Arial" w:hAnsi="Arial" w:cs="Arial" w:eastAsia="Arial" w:hint="default"/>
          <w:spacing w:val="-3"/>
          <w:w w:val="100"/>
        </w:rPr>
        <w:t>2008</w:t>
      </w:r>
      <w:r>
        <w:rPr>
          <w:spacing w:val="-3"/>
          <w:w w:val="100"/>
        </w:rPr>
        <w:t>年第二次会议、</w:t>
      </w:r>
      <w:r>
        <w:rPr>
          <w:rFonts w:ascii="Arial" w:hAnsi="Arial" w:cs="Arial" w:eastAsia="Arial" w:hint="default"/>
          <w:spacing w:val="-3"/>
          <w:w w:val="100"/>
        </w:rPr>
        <w:t>2008</w:t>
      </w:r>
      <w:r>
        <w:rPr>
          <w:spacing w:val="-3"/>
          <w:w w:val="100"/>
        </w:rPr>
        <w:t>年</w:t>
      </w:r>
      <w:r>
        <w:rPr>
          <w:rFonts w:ascii="Arial" w:hAnsi="Arial" w:cs="Arial" w:eastAsia="Arial" w:hint="default"/>
          <w:spacing w:val="-3"/>
          <w:w w:val="100"/>
        </w:rPr>
        <w:t>4</w:t>
      </w:r>
      <w:r>
        <w:rPr>
          <w:spacing w:val="-3"/>
          <w:w w:val="100"/>
        </w:rPr>
        <w:t>月</w:t>
      </w:r>
      <w:r>
        <w:rPr>
          <w:rFonts w:ascii="Arial" w:hAnsi="Arial" w:cs="Arial" w:eastAsia="Arial" w:hint="default"/>
          <w:spacing w:val="-3"/>
          <w:w w:val="100"/>
        </w:rPr>
        <w:t>29</w:t>
      </w:r>
      <w:r>
        <w:rPr>
          <w:spacing w:val="-3"/>
          <w:w w:val="100"/>
        </w:rPr>
        <w:t>日召开的第四届董</w:t>
      </w:r>
      <w:r>
        <w:rPr>
          <w:spacing w:val="-84"/>
          <w:w w:val="100"/>
        </w:rPr>
        <w:t> </w:t>
      </w:r>
      <w:r>
        <w:rPr>
          <w:spacing w:val="-84"/>
          <w:w w:val="100"/>
        </w:rPr>
      </w:r>
      <w:r>
        <w:rPr>
          <w:spacing w:val="5"/>
        </w:rPr>
        <w:t>事会</w:t>
      </w:r>
      <w:r>
        <w:rPr>
          <w:rFonts w:ascii="Arial" w:hAnsi="Arial" w:cs="Arial" w:eastAsia="Arial" w:hint="default"/>
          <w:spacing w:val="5"/>
        </w:rPr>
        <w:t>2008</w:t>
      </w:r>
      <w:r>
        <w:rPr>
          <w:spacing w:val="5"/>
        </w:rPr>
        <w:t>年第二次会议、</w:t>
      </w:r>
      <w:r>
        <w:rPr>
          <w:rFonts w:ascii="Arial" w:hAnsi="Arial" w:cs="Arial" w:eastAsia="Arial" w:hint="default"/>
          <w:spacing w:val="5"/>
        </w:rPr>
        <w:t>2008</w:t>
      </w:r>
      <w:r>
        <w:rPr>
          <w:spacing w:val="5"/>
        </w:rPr>
        <w:t>年</w:t>
      </w:r>
      <w:r>
        <w:rPr>
          <w:rFonts w:ascii="Arial" w:hAnsi="Arial" w:cs="Arial" w:eastAsia="Arial" w:hint="default"/>
          <w:spacing w:val="5"/>
        </w:rPr>
        <w:t>7</w:t>
      </w:r>
      <w:r>
        <w:rPr>
          <w:spacing w:val="5"/>
        </w:rPr>
        <w:t>月</w:t>
      </w:r>
      <w:r>
        <w:rPr>
          <w:rFonts w:ascii="Arial" w:hAnsi="Arial" w:cs="Arial" w:eastAsia="Arial" w:hint="default"/>
          <w:spacing w:val="5"/>
        </w:rPr>
        <w:t>30</w:t>
      </w:r>
      <w:r>
        <w:rPr>
          <w:spacing w:val="5"/>
        </w:rPr>
        <w:t>日召开的第四届董事会</w:t>
      </w:r>
      <w:r>
        <w:rPr>
          <w:rFonts w:ascii="Arial" w:hAnsi="Arial" w:cs="Arial" w:eastAsia="Arial" w:hint="default"/>
          <w:spacing w:val="5"/>
        </w:rPr>
        <w:t>2008</w:t>
      </w:r>
      <w:r>
        <w:rPr>
          <w:spacing w:val="5"/>
        </w:rPr>
        <w:t>年第四次会议以及</w:t>
      </w:r>
      <w:r>
        <w:rPr>
          <w:spacing w:val="-20"/>
        </w:rPr>
        <w:t> </w:t>
      </w:r>
      <w:r>
        <w:rPr>
          <w:spacing w:val="-20"/>
        </w:rPr>
      </w:r>
      <w:r>
        <w:rPr>
          <w:rFonts w:ascii="Arial" w:hAnsi="Arial" w:cs="Arial" w:eastAsia="Arial" w:hint="default"/>
          <w:spacing w:val="2"/>
        </w:rPr>
        <w:t>2009</w:t>
      </w:r>
      <w:r>
        <w:rPr>
          <w:spacing w:val="2"/>
        </w:rPr>
        <w:t>年</w:t>
      </w:r>
      <w:r>
        <w:rPr>
          <w:rFonts w:ascii="Arial" w:hAnsi="Arial" w:cs="Arial" w:eastAsia="Arial" w:hint="default"/>
          <w:spacing w:val="2"/>
        </w:rPr>
        <w:t>3</w:t>
      </w:r>
      <w:r>
        <w:rPr>
          <w:spacing w:val="2"/>
        </w:rPr>
        <w:t>月</w:t>
      </w:r>
      <w:r>
        <w:rPr>
          <w:rFonts w:ascii="Arial" w:hAnsi="Arial" w:cs="Arial" w:eastAsia="Arial" w:hint="default"/>
          <w:spacing w:val="2"/>
        </w:rPr>
        <w:t>19</w:t>
      </w:r>
      <w:r>
        <w:rPr>
          <w:spacing w:val="2"/>
        </w:rPr>
        <w:t>日召开的第四届董事会</w:t>
      </w:r>
      <w:r>
        <w:rPr>
          <w:rFonts w:ascii="Arial" w:hAnsi="Arial" w:cs="Arial" w:eastAsia="Arial" w:hint="default"/>
          <w:spacing w:val="2"/>
        </w:rPr>
        <w:t>2009</w:t>
      </w:r>
      <w:r>
        <w:rPr>
          <w:spacing w:val="2"/>
        </w:rPr>
        <w:t>年第二次会议上审议通过了回购并注销上述激</w:t>
      </w:r>
      <w:r>
        <w:rPr>
          <w:spacing w:val="-40"/>
        </w:rPr>
        <w:t> </w:t>
      </w:r>
      <w:r>
        <w:rPr>
          <w:spacing w:val="-40"/>
        </w:rPr>
      </w:r>
      <w:r>
        <w:rPr>
          <w:spacing w:val="-3"/>
          <w:w w:val="100"/>
        </w:rPr>
        <w:t>励对象已获授但尚未解锁的股权激励股票的相关议案。本公司已分别于</w:t>
      </w:r>
      <w:r>
        <w:rPr>
          <w:rFonts w:ascii="Arial" w:hAnsi="Arial" w:cs="Arial" w:eastAsia="Arial" w:hint="default"/>
          <w:spacing w:val="-3"/>
          <w:w w:val="100"/>
        </w:rPr>
        <w:t>2008</w:t>
      </w:r>
      <w:r>
        <w:rPr>
          <w:spacing w:val="-3"/>
          <w:w w:val="100"/>
        </w:rPr>
        <w:t>年及</w:t>
      </w:r>
      <w:r>
        <w:rPr>
          <w:rFonts w:ascii="Arial" w:hAnsi="Arial" w:cs="Arial" w:eastAsia="Arial" w:hint="default"/>
          <w:spacing w:val="-3"/>
          <w:w w:val="100"/>
        </w:rPr>
        <w:t>2009</w:t>
      </w:r>
      <w:r>
        <w:rPr>
          <w:spacing w:val="-3"/>
          <w:w w:val="100"/>
        </w:rPr>
        <w:t>年将</w:t>
      </w:r>
      <w:r>
        <w:rPr>
          <w:spacing w:val="-2"/>
          <w:w w:val="100"/>
        </w:rPr>
        <w:t> </w:t>
      </w:r>
      <w:r>
        <w:rPr>
          <w:spacing w:val="-2"/>
        </w:rPr>
        <w:t>上述回购的股权激励股票予以注销，分别注销</w:t>
      </w:r>
      <w:r>
        <w:rPr>
          <w:rFonts w:ascii="Arial" w:hAnsi="Arial" w:cs="Arial" w:eastAsia="Arial" w:hint="default"/>
          <w:spacing w:val="-2"/>
        </w:rPr>
        <w:t>63,200</w:t>
      </w:r>
      <w:r>
        <w:rPr>
          <w:spacing w:val="-2"/>
        </w:rPr>
        <w:t>股和</w:t>
      </w:r>
      <w:r>
        <w:rPr>
          <w:rFonts w:ascii="Arial" w:hAnsi="Arial" w:cs="Arial" w:eastAsia="Arial" w:hint="default"/>
          <w:spacing w:val="-2"/>
        </w:rPr>
        <w:t>20,600</w:t>
      </w:r>
      <w:r>
        <w:rPr>
          <w:spacing w:val="-2"/>
        </w:rPr>
        <w:t>股，注销回购的股权激励</w:t>
      </w:r>
      <w:r>
        <w:rPr>
          <w:spacing w:val="-55"/>
        </w:rPr>
        <w:t> </w:t>
      </w:r>
      <w:r>
        <w:rPr>
          <w:spacing w:val="-55"/>
        </w:rPr>
      </w:r>
      <w:r>
        <w:rPr/>
        <w:t>股票的公允价值冲减资本公积分别为人民币</w:t>
      </w:r>
      <w:r>
        <w:rPr>
          <w:rFonts w:ascii="Arial" w:hAnsi="Arial" w:cs="Arial" w:eastAsia="Arial" w:hint="default"/>
        </w:rPr>
        <w:t>674,501</w:t>
      </w:r>
      <w:r>
        <w:rPr/>
        <w:t>元和人民币</w:t>
      </w:r>
      <w:r>
        <w:rPr>
          <w:rFonts w:ascii="Arial" w:hAnsi="Arial" w:cs="Arial" w:eastAsia="Arial" w:hint="default"/>
        </w:rPr>
        <w:t>219,490</w:t>
      </w:r>
      <w:r>
        <w:rPr/>
        <w:t>元。截至</w:t>
      </w:r>
      <w:r>
        <w:rPr>
          <w:rFonts w:ascii="Arial" w:hAnsi="Arial" w:cs="Arial" w:eastAsia="Arial" w:hint="default"/>
        </w:rPr>
        <w:t>2009</w:t>
      </w:r>
      <w:r>
        <w:rPr/>
        <w:t>年</w:t>
      </w:r>
      <w:r>
        <w:rPr>
          <w:spacing w:val="-20"/>
        </w:rPr>
        <w:t> </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日，累计回购并注销的标的股票</w:t>
      </w:r>
      <w:r>
        <w:rPr>
          <w:rFonts w:ascii="Arial" w:hAnsi="Arial" w:cs="Arial" w:eastAsia="Arial" w:hint="default"/>
          <w:spacing w:val="-3"/>
        </w:rPr>
        <w:t>83,800</w:t>
      </w:r>
      <w:r>
        <w:rPr>
          <w:spacing w:val="-3"/>
        </w:rPr>
        <w:t>股，注销回购的股权激励股票的公允价值累</w:t>
      </w:r>
      <w:r>
        <w:rPr>
          <w:spacing w:val="-45"/>
        </w:rPr>
        <w:t> </w:t>
      </w:r>
      <w:r>
        <w:rPr>
          <w:spacing w:val="-45"/>
        </w:rPr>
      </w:r>
      <w:r>
        <w:rPr/>
        <w:t>计冲减成本及资本公积人民币</w:t>
      </w:r>
      <w:r>
        <w:rPr>
          <w:rFonts w:ascii="Arial" w:hAnsi="Arial" w:cs="Arial" w:eastAsia="Arial" w:hint="default"/>
        </w:rPr>
        <w:t>893,991</w:t>
      </w:r>
      <w:r>
        <w:rPr/>
        <w:t>元。</w:t>
      </w:r>
    </w:p>
    <w:p>
      <w:pPr>
        <w:spacing w:line="240" w:lineRule="auto" w:before="3"/>
        <w:rPr>
          <w:rFonts w:ascii="黑体" w:hAnsi="黑体" w:cs="黑体" w:eastAsia="黑体" w:hint="default"/>
          <w:sz w:val="23"/>
          <w:szCs w:val="23"/>
        </w:rPr>
      </w:pPr>
    </w:p>
    <w:p>
      <w:pPr>
        <w:pStyle w:val="BodyText"/>
        <w:spacing w:line="261" w:lineRule="auto"/>
        <w:ind w:left="816" w:right="173" w:hanging="1"/>
        <w:jc w:val="both"/>
      </w:pPr>
      <w:r>
        <w:rPr>
          <w:spacing w:val="-3"/>
        </w:rPr>
        <w:t>截至</w:t>
      </w:r>
      <w:r>
        <w:rPr>
          <w:rFonts w:ascii="Arial" w:hAnsi="Arial" w:cs="Arial" w:eastAsia="Arial" w:hint="default"/>
          <w:spacing w:val="-3"/>
        </w:rPr>
        <w:t>2009</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日，扣除上述累计回购并注销的标的股票后，实际授出的有效标的股票</w:t>
      </w:r>
      <w:r>
        <w:rPr>
          <w:spacing w:val="-81"/>
        </w:rPr>
        <w:t> </w:t>
      </w:r>
      <w:r>
        <w:rPr>
          <w:spacing w:val="-81"/>
        </w:rPr>
      </w:r>
      <w:r>
        <w:rPr/>
        <w:t>总额为</w:t>
      </w:r>
      <w:r>
        <w:rPr>
          <w:rFonts w:ascii="Arial" w:hAnsi="Arial" w:cs="Arial" w:eastAsia="Arial" w:hint="default"/>
        </w:rPr>
        <w:t>43,794,850</w:t>
      </w:r>
      <w:r>
        <w:rPr/>
        <w:t>股（</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w:t>
      </w:r>
      <w:r>
        <w:rPr>
          <w:rFonts w:ascii="Arial" w:hAnsi="Arial" w:cs="Arial" w:eastAsia="Arial" w:hint="default"/>
        </w:rPr>
        <w:t>17,403,575</w:t>
      </w:r>
      <w:r>
        <w:rPr/>
        <w:t>股）。</w:t>
      </w:r>
    </w:p>
    <w:p>
      <w:pPr>
        <w:spacing w:line="240" w:lineRule="auto" w:before="3"/>
        <w:rPr>
          <w:rFonts w:ascii="黑体" w:hAnsi="黑体" w:cs="黑体" w:eastAsia="黑体" w:hint="default"/>
          <w:sz w:val="23"/>
          <w:szCs w:val="23"/>
        </w:rPr>
      </w:pPr>
    </w:p>
    <w:p>
      <w:pPr>
        <w:pStyle w:val="BodyText"/>
        <w:spacing w:line="240" w:lineRule="auto"/>
        <w:ind w:left="817" w:right="0"/>
        <w:jc w:val="both"/>
      </w:pPr>
      <w:r>
        <w:rPr/>
        <w:t>本公司以上述股份支付所换取的职工服务的情况如下：</w:t>
      </w:r>
    </w:p>
    <w:p>
      <w:pPr>
        <w:spacing w:line="240" w:lineRule="auto" w:before="7"/>
        <w:rPr>
          <w:rFonts w:ascii="黑体" w:hAnsi="黑体" w:cs="黑体" w:eastAsia="黑体" w:hint="default"/>
          <w:sz w:val="21"/>
          <w:szCs w:val="21"/>
        </w:rPr>
      </w:pPr>
    </w:p>
    <w:tbl>
      <w:tblPr>
        <w:tblW w:w="0" w:type="auto"/>
        <w:jc w:val="left"/>
        <w:tblInd w:w="775" w:type="dxa"/>
        <w:tblLayout w:type="fixed"/>
        <w:tblCellMar>
          <w:top w:w="0" w:type="dxa"/>
          <w:left w:w="0" w:type="dxa"/>
          <w:bottom w:w="0" w:type="dxa"/>
          <w:right w:w="0" w:type="dxa"/>
        </w:tblCellMar>
        <w:tblLook w:val="01E0"/>
      </w:tblPr>
      <w:tblGrid>
        <w:gridCol w:w="4251"/>
        <w:gridCol w:w="1307"/>
        <w:gridCol w:w="1147"/>
        <w:gridCol w:w="1161"/>
      </w:tblGrid>
      <w:tr>
        <w:trPr>
          <w:trHeight w:val="845" w:hRule="exact"/>
        </w:trPr>
        <w:tc>
          <w:tcPr>
            <w:tcW w:w="42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3"/>
              <w:ind w:right="0"/>
              <w:jc w:val="left"/>
              <w:rPr>
                <w:rFonts w:ascii="黑体" w:hAnsi="黑体" w:cs="黑体" w:eastAsia="黑体" w:hint="default"/>
                <w:sz w:val="22"/>
                <w:szCs w:val="22"/>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标的股票公允价值（元</w:t>
            </w:r>
            <w:r>
              <w:rPr>
                <w:rFonts w:ascii="Arial" w:hAnsi="Arial" w:cs="Arial" w:eastAsia="Arial" w:hint="default"/>
                <w:sz w:val="20"/>
                <w:szCs w:val="20"/>
              </w:rPr>
              <w:t>/</w:t>
            </w:r>
            <w:r>
              <w:rPr>
                <w:rFonts w:ascii="黑体" w:hAnsi="黑体" w:cs="黑体" w:eastAsia="黑体" w:hint="default"/>
                <w:sz w:val="20"/>
                <w:szCs w:val="20"/>
              </w:rPr>
              <w:t>股）</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22" w:right="0"/>
              <w:jc w:val="left"/>
              <w:rPr>
                <w:rFonts w:ascii="黑体" w:hAnsi="黑体" w:cs="黑体" w:eastAsia="黑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黑体" w:hAnsi="黑体" w:cs="黑体" w:eastAsia="黑体" w:hint="default"/>
                <w:sz w:val="20"/>
                <w:szCs w:val="20"/>
              </w:rPr>
              <w:t>年</w:t>
            </w:r>
          </w:p>
          <w:p>
            <w:pPr>
              <w:pStyle w:val="TableParagraph"/>
              <w:spacing w:line="240" w:lineRule="auto" w:before="5"/>
              <w:ind w:right="0"/>
              <w:jc w:val="left"/>
              <w:rPr>
                <w:rFonts w:ascii="黑体" w:hAnsi="黑体" w:cs="黑体" w:eastAsia="黑体" w:hint="default"/>
                <w:sz w:val="20"/>
                <w:szCs w:val="20"/>
              </w:rPr>
            </w:pPr>
          </w:p>
          <w:p>
            <w:pPr>
              <w:pStyle w:val="TableParagraph"/>
              <w:spacing w:line="240" w:lineRule="auto"/>
              <w:ind w:left="259" w:right="0"/>
              <w:jc w:val="left"/>
              <w:rPr>
                <w:rFonts w:ascii="Arial" w:hAnsi="Arial" w:cs="Arial" w:eastAsia="Arial" w:hint="default"/>
                <w:sz w:val="20"/>
                <w:szCs w:val="20"/>
              </w:rPr>
            </w:pPr>
            <w:r>
              <w:rPr>
                <w:rFonts w:ascii="Arial"/>
                <w:sz w:val="20"/>
              </w:rPr>
              <w:t>9.10-14.34</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94" w:right="0"/>
              <w:jc w:val="left"/>
              <w:rPr>
                <w:rFonts w:ascii="黑体" w:hAnsi="黑体" w:cs="黑体" w:eastAsia="黑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黑体" w:hAnsi="黑体" w:cs="黑体" w:eastAsia="黑体" w:hint="default"/>
                <w:sz w:val="20"/>
                <w:szCs w:val="20"/>
              </w:rPr>
              <w:t>年</w:t>
            </w:r>
          </w:p>
          <w:p>
            <w:pPr>
              <w:pStyle w:val="TableParagraph"/>
              <w:spacing w:line="240" w:lineRule="auto" w:before="5"/>
              <w:ind w:right="0"/>
              <w:jc w:val="left"/>
              <w:rPr>
                <w:rFonts w:ascii="黑体" w:hAnsi="黑体" w:cs="黑体" w:eastAsia="黑体" w:hint="default"/>
                <w:sz w:val="20"/>
                <w:szCs w:val="20"/>
              </w:rPr>
            </w:pPr>
          </w:p>
          <w:p>
            <w:pPr>
              <w:pStyle w:val="TableParagraph"/>
              <w:spacing w:line="240" w:lineRule="auto"/>
              <w:ind w:left="132" w:right="0"/>
              <w:jc w:val="left"/>
              <w:rPr>
                <w:rFonts w:ascii="Arial" w:hAnsi="Arial" w:cs="Arial" w:eastAsia="Arial" w:hint="default"/>
                <w:sz w:val="20"/>
                <w:szCs w:val="20"/>
              </w:rPr>
            </w:pPr>
            <w:r>
              <w:rPr>
                <w:rFonts w:ascii="Arial"/>
                <w:sz w:val="20"/>
              </w:rPr>
              <w:t>6.22-11.26</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28" w:right="0"/>
              <w:jc w:val="left"/>
              <w:rPr>
                <w:rFonts w:ascii="黑体" w:hAnsi="黑体" w:cs="黑体" w:eastAsia="黑体" w:hint="default"/>
                <w:sz w:val="20"/>
                <w:szCs w:val="20"/>
              </w:rPr>
            </w:pPr>
            <w:r>
              <w:rPr>
                <w:rFonts w:ascii="Arial" w:hAnsi="Arial" w:cs="Arial" w:eastAsia="Arial" w:hint="default"/>
                <w:sz w:val="20"/>
                <w:szCs w:val="20"/>
              </w:rPr>
              <w:t>2007</w:t>
            </w:r>
            <w:r>
              <w:rPr>
                <w:rFonts w:ascii="Arial" w:hAnsi="Arial" w:cs="Arial" w:eastAsia="Arial" w:hint="default"/>
                <w:spacing w:val="-6"/>
                <w:sz w:val="20"/>
                <w:szCs w:val="20"/>
              </w:rPr>
              <w:t> </w:t>
            </w:r>
            <w:r>
              <w:rPr>
                <w:rFonts w:ascii="黑体" w:hAnsi="黑体" w:cs="黑体" w:eastAsia="黑体" w:hint="default"/>
                <w:sz w:val="20"/>
                <w:szCs w:val="20"/>
              </w:rPr>
              <w:t>年</w:t>
            </w:r>
          </w:p>
          <w:p>
            <w:pPr>
              <w:pStyle w:val="TableParagraph"/>
              <w:spacing w:line="240" w:lineRule="auto" w:before="5"/>
              <w:ind w:right="0"/>
              <w:jc w:val="left"/>
              <w:rPr>
                <w:rFonts w:ascii="黑体" w:hAnsi="黑体" w:cs="黑体" w:eastAsia="黑体" w:hint="default"/>
                <w:sz w:val="20"/>
                <w:szCs w:val="20"/>
              </w:rPr>
            </w:pPr>
          </w:p>
          <w:p>
            <w:pPr>
              <w:pStyle w:val="TableParagraph"/>
              <w:spacing w:line="240" w:lineRule="auto"/>
              <w:ind w:left="56" w:right="0"/>
              <w:jc w:val="left"/>
              <w:rPr>
                <w:rFonts w:ascii="Arial" w:hAnsi="Arial" w:cs="Arial" w:eastAsia="Arial" w:hint="default"/>
                <w:sz w:val="20"/>
                <w:szCs w:val="20"/>
              </w:rPr>
            </w:pPr>
            <w:r>
              <w:rPr>
                <w:rFonts w:ascii="Arial"/>
                <w:sz w:val="20"/>
              </w:rPr>
              <w:t>18.09-28.49</w:t>
            </w:r>
          </w:p>
        </w:tc>
      </w:tr>
      <w:tr>
        <w:trPr>
          <w:trHeight w:val="373" w:hRule="exact"/>
        </w:trPr>
        <w:tc>
          <w:tcPr>
            <w:tcW w:w="4251" w:type="dxa"/>
            <w:tcBorders>
              <w:top w:val="nil" w:sz="6" w:space="0" w:color="auto"/>
              <w:left w:val="nil" w:sz="6" w:space="0" w:color="auto"/>
              <w:bottom w:val="nil" w:sz="6" w:space="0" w:color="auto"/>
              <w:right w:val="nil" w:sz="6" w:space="0" w:color="auto"/>
            </w:tcBorders>
          </w:tcPr>
          <w:p>
            <w:pPr>
              <w:pStyle w:val="TableParagraph"/>
              <w:spacing w:line="228" w:lineRule="exact"/>
              <w:ind w:left="35" w:right="0"/>
              <w:jc w:val="left"/>
              <w:rPr>
                <w:rFonts w:ascii="黑体" w:hAnsi="黑体" w:cs="黑体" w:eastAsia="黑体" w:hint="default"/>
                <w:sz w:val="20"/>
                <w:szCs w:val="20"/>
              </w:rPr>
            </w:pPr>
            <w:r>
              <w:rPr>
                <w:rFonts w:ascii="黑体" w:hAnsi="黑体" w:cs="黑体" w:eastAsia="黑体" w:hint="default"/>
                <w:sz w:val="20"/>
                <w:szCs w:val="20"/>
              </w:rPr>
              <w:t>以股份支付换取的职工服务成本总额</w:t>
            </w:r>
          </w:p>
        </w:tc>
        <w:tc>
          <w:tcPr>
            <w:tcW w:w="1307" w:type="dxa"/>
            <w:tcBorders>
              <w:top w:val="nil" w:sz="6" w:space="0" w:color="auto"/>
              <w:left w:val="nil" w:sz="6" w:space="0" w:color="auto"/>
              <w:bottom w:val="nil" w:sz="6" w:space="0" w:color="auto"/>
              <w:right w:val="nil" w:sz="6" w:space="0" w:color="auto"/>
            </w:tcBorders>
          </w:tcPr>
          <w:p>
            <w:pPr>
              <w:pStyle w:val="TableParagraph"/>
              <w:spacing w:line="226" w:lineRule="exact"/>
              <w:ind w:right="88"/>
              <w:jc w:val="right"/>
              <w:rPr>
                <w:rFonts w:ascii="Arial" w:hAnsi="Arial" w:cs="Arial" w:eastAsia="Arial" w:hint="default"/>
                <w:sz w:val="20"/>
                <w:szCs w:val="20"/>
              </w:rPr>
            </w:pPr>
            <w:r>
              <w:rPr>
                <w:rFonts w:ascii="Arial"/>
                <w:w w:val="100"/>
                <w:sz w:val="20"/>
              </w:rPr>
            </w:r>
            <w:r>
              <w:rPr>
                <w:rFonts w:ascii="Arial"/>
                <w:spacing w:val="-1"/>
                <w:sz w:val="20"/>
                <w:u w:val="thick" w:color="000000"/>
              </w:rPr>
              <w:t>19,581,945</w:t>
            </w:r>
            <w:r>
              <w:rPr>
                <w:rFonts w:ascii="Arial"/>
                <w:spacing w:val="-1"/>
                <w:sz w:val="20"/>
              </w:rPr>
            </w:r>
          </w:p>
        </w:tc>
        <w:tc>
          <w:tcPr>
            <w:tcW w:w="1147" w:type="dxa"/>
            <w:tcBorders>
              <w:top w:val="nil" w:sz="6" w:space="0" w:color="auto"/>
              <w:left w:val="nil" w:sz="6" w:space="0" w:color="auto"/>
              <w:bottom w:val="nil" w:sz="6" w:space="0" w:color="auto"/>
              <w:right w:val="nil" w:sz="6" w:space="0" w:color="auto"/>
            </w:tcBorders>
          </w:tcPr>
          <w:p>
            <w:pPr>
              <w:pStyle w:val="TableParagraph"/>
              <w:tabs>
                <w:tab w:pos="967" w:val="left" w:leader="none"/>
              </w:tabs>
              <w:spacing w:line="226" w:lineRule="exact"/>
              <w:ind w:left="68" w:right="0"/>
              <w:jc w:val="center"/>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161" w:type="dxa"/>
            <w:tcBorders>
              <w:top w:val="nil" w:sz="6" w:space="0" w:color="auto"/>
              <w:left w:val="nil" w:sz="6" w:space="0" w:color="auto"/>
              <w:bottom w:val="nil" w:sz="6" w:space="0" w:color="auto"/>
              <w:right w:val="nil" w:sz="6" w:space="0" w:color="auto"/>
            </w:tcBorders>
          </w:tcPr>
          <w:p>
            <w:pPr>
              <w:pStyle w:val="TableParagraph"/>
              <w:spacing w:line="226" w:lineRule="exact"/>
              <w:ind w:right="34"/>
              <w:jc w:val="right"/>
              <w:rPr>
                <w:rFonts w:ascii="Arial" w:hAnsi="Arial" w:cs="Arial" w:eastAsia="Arial" w:hint="default"/>
                <w:sz w:val="20"/>
                <w:szCs w:val="20"/>
              </w:rPr>
            </w:pPr>
            <w:r>
              <w:rPr>
                <w:rFonts w:ascii="Arial"/>
                <w:w w:val="100"/>
                <w:sz w:val="20"/>
              </w:rPr>
            </w:r>
            <w:r>
              <w:rPr>
                <w:rFonts w:ascii="Arial"/>
                <w:spacing w:val="-1"/>
                <w:sz w:val="20"/>
                <w:u w:val="thick" w:color="000000"/>
              </w:rPr>
              <w:t>50,466,367</w:t>
            </w:r>
            <w:r>
              <w:rPr>
                <w:rFonts w:ascii="Arial"/>
                <w:spacing w:val="-1"/>
                <w:sz w:val="20"/>
              </w:rPr>
            </w:r>
          </w:p>
        </w:tc>
      </w:tr>
      <w:tr>
        <w:trPr>
          <w:trHeight w:val="499" w:hRule="exact"/>
        </w:trPr>
        <w:tc>
          <w:tcPr>
            <w:tcW w:w="425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黑体" w:hAnsi="黑体" w:cs="黑体" w:eastAsia="黑体" w:hint="default"/>
                <w:sz w:val="20"/>
                <w:szCs w:val="20"/>
              </w:rPr>
            </w:pPr>
            <w:r>
              <w:rPr>
                <w:rFonts w:ascii="黑体" w:hAnsi="黑体" w:cs="黑体" w:eastAsia="黑体" w:hint="default"/>
                <w:sz w:val="20"/>
                <w:szCs w:val="20"/>
              </w:rPr>
              <w:t>其中，以权益结算的股份支付如下：</w:t>
            </w:r>
          </w:p>
        </w:tc>
        <w:tc>
          <w:tcPr>
            <w:tcW w:w="1307" w:type="dxa"/>
            <w:tcBorders>
              <w:top w:val="nil" w:sz="6" w:space="0" w:color="auto"/>
              <w:left w:val="nil" w:sz="6" w:space="0" w:color="auto"/>
              <w:bottom w:val="nil" w:sz="6" w:space="0" w:color="auto"/>
              <w:right w:val="nil" w:sz="6" w:space="0" w:color="auto"/>
            </w:tcBorders>
          </w:tcPr>
          <w:p>
            <w:pPr/>
          </w:p>
        </w:tc>
        <w:tc>
          <w:tcPr>
            <w:tcW w:w="1147" w:type="dxa"/>
            <w:tcBorders>
              <w:top w:val="nil" w:sz="6" w:space="0" w:color="auto"/>
              <w:left w:val="nil" w:sz="6" w:space="0" w:color="auto"/>
              <w:bottom w:val="nil" w:sz="6" w:space="0" w:color="auto"/>
              <w:right w:val="nil" w:sz="6" w:space="0" w:color="auto"/>
            </w:tcBorders>
          </w:tcPr>
          <w:p>
            <w:pPr/>
          </w:p>
        </w:tc>
        <w:tc>
          <w:tcPr>
            <w:tcW w:w="1161" w:type="dxa"/>
            <w:tcBorders>
              <w:top w:val="nil" w:sz="6" w:space="0" w:color="auto"/>
              <w:left w:val="nil" w:sz="6" w:space="0" w:color="auto"/>
              <w:bottom w:val="nil" w:sz="6" w:space="0" w:color="auto"/>
              <w:right w:val="nil" w:sz="6" w:space="0" w:color="auto"/>
            </w:tcBorders>
          </w:tcPr>
          <w:p>
            <w:pPr/>
          </w:p>
        </w:tc>
      </w:tr>
      <w:tr>
        <w:trPr>
          <w:trHeight w:val="387" w:hRule="exact"/>
        </w:trPr>
        <w:tc>
          <w:tcPr>
            <w:tcW w:w="4251"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黑体" w:hAnsi="黑体" w:cs="黑体" w:eastAsia="黑体" w:hint="default"/>
                <w:sz w:val="20"/>
                <w:szCs w:val="20"/>
              </w:rPr>
            </w:pPr>
            <w:r>
              <w:rPr>
                <w:rFonts w:ascii="黑体" w:hAnsi="黑体" w:cs="黑体" w:eastAsia="黑体" w:hint="default"/>
                <w:sz w:val="20"/>
                <w:szCs w:val="20"/>
              </w:rPr>
              <w:t>资本公积中以权益结算的股份支付的累计金额</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88"/>
              <w:jc w:val="right"/>
              <w:rPr>
                <w:rFonts w:ascii="Arial" w:hAnsi="Arial" w:cs="Arial" w:eastAsia="Arial" w:hint="default"/>
                <w:sz w:val="20"/>
                <w:szCs w:val="20"/>
              </w:rPr>
            </w:pPr>
            <w:r>
              <w:rPr>
                <w:rFonts w:ascii="Arial"/>
                <w:spacing w:val="-1"/>
                <w:sz w:val="20"/>
              </w:rPr>
              <w:t>52,981,698</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31" w:right="0"/>
              <w:jc w:val="center"/>
              <w:rPr>
                <w:rFonts w:ascii="Arial" w:hAnsi="Arial" w:cs="Arial" w:eastAsia="Arial" w:hint="default"/>
                <w:sz w:val="20"/>
                <w:szCs w:val="20"/>
              </w:rPr>
            </w:pPr>
            <w:r>
              <w:rPr>
                <w:rFonts w:ascii="Arial"/>
                <w:sz w:val="20"/>
              </w:rPr>
              <w:t>44,732,091</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34"/>
              <w:jc w:val="right"/>
              <w:rPr>
                <w:rFonts w:ascii="Arial" w:hAnsi="Arial" w:cs="Arial" w:eastAsia="Arial" w:hint="default"/>
                <w:sz w:val="20"/>
                <w:szCs w:val="20"/>
              </w:rPr>
            </w:pPr>
            <w:r>
              <w:rPr>
                <w:rFonts w:ascii="Arial"/>
                <w:spacing w:val="-1"/>
                <w:sz w:val="20"/>
              </w:rPr>
              <w:t>6,488,291</w:t>
            </w:r>
          </w:p>
        </w:tc>
      </w:tr>
      <w:tr>
        <w:trPr>
          <w:trHeight w:val="333" w:hRule="exact"/>
        </w:trPr>
        <w:tc>
          <w:tcPr>
            <w:tcW w:w="4251" w:type="dxa"/>
            <w:tcBorders>
              <w:top w:val="nil" w:sz="6" w:space="0" w:color="auto"/>
              <w:left w:val="nil" w:sz="6" w:space="0" w:color="auto"/>
              <w:bottom w:val="nil" w:sz="6" w:space="0" w:color="auto"/>
              <w:right w:val="nil" w:sz="6" w:space="0" w:color="auto"/>
            </w:tcBorders>
          </w:tcPr>
          <w:p>
            <w:pPr>
              <w:pStyle w:val="TableParagraph"/>
              <w:spacing w:line="233" w:lineRule="exact"/>
              <w:ind w:left="35" w:right="0"/>
              <w:jc w:val="left"/>
              <w:rPr>
                <w:rFonts w:ascii="黑体" w:hAnsi="黑体" w:cs="黑体" w:eastAsia="黑体" w:hint="default"/>
                <w:sz w:val="20"/>
                <w:szCs w:val="20"/>
              </w:rPr>
            </w:pPr>
            <w:r>
              <w:rPr>
                <w:rFonts w:ascii="黑体" w:hAnsi="黑体" w:cs="黑体" w:eastAsia="黑体" w:hint="default"/>
                <w:sz w:val="20"/>
                <w:szCs w:val="20"/>
              </w:rPr>
              <w:t>以权益结算的股份支付确认的费用总额</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ind w:right="88"/>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z w:val="20"/>
                <w:u w:val="thick" w:color="000000"/>
              </w:rPr>
              <w:t>8,249,607</w:t>
            </w:r>
            <w:r>
              <w:rPr>
                <w:rFonts w:ascii="Arial"/>
                <w:sz w:val="20"/>
              </w:rPr>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
              <w:ind w:left="32" w:right="0"/>
              <w:jc w:val="center"/>
              <w:rPr>
                <w:rFonts w:ascii="Arial" w:hAnsi="Arial" w:cs="Arial" w:eastAsia="Arial" w:hint="default"/>
                <w:sz w:val="20"/>
                <w:szCs w:val="20"/>
              </w:rPr>
            </w:pPr>
            <w:r>
              <w:rPr>
                <w:rFonts w:ascii="Arial"/>
                <w:w w:val="100"/>
                <w:sz w:val="20"/>
              </w:rPr>
            </w:r>
            <w:r>
              <w:rPr>
                <w:rFonts w:ascii="Arial"/>
                <w:sz w:val="20"/>
                <w:u w:val="thick" w:color="000000"/>
              </w:rPr>
              <w:t>38,243,800</w:t>
            </w:r>
            <w:r>
              <w:rPr>
                <w:rFonts w:ascii="Arial"/>
                <w:sz w:val="20"/>
              </w:rPr>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4"/>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z w:val="20"/>
                <w:u w:val="thick" w:color="000000"/>
              </w:rPr>
              <w:t>6,488,291</w:t>
            </w:r>
            <w:r>
              <w:rPr>
                <w:rFonts w:ascii="Arial"/>
                <w:sz w:val="20"/>
              </w:rPr>
            </w:r>
          </w:p>
        </w:tc>
      </w:tr>
    </w:tbl>
    <w:p>
      <w:pPr>
        <w:spacing w:line="240" w:lineRule="auto" w:before="7"/>
        <w:rPr>
          <w:rFonts w:ascii="黑体" w:hAnsi="黑体" w:cs="黑体" w:eastAsia="黑体" w:hint="default"/>
          <w:sz w:val="13"/>
          <w:szCs w:val="13"/>
        </w:rPr>
      </w:pPr>
    </w:p>
    <w:p>
      <w:pPr>
        <w:pStyle w:val="BodyText"/>
        <w:spacing w:line="271" w:lineRule="auto" w:before="38"/>
        <w:ind w:right="175"/>
        <w:jc w:val="both"/>
      </w:pPr>
      <w:r>
        <w:rPr>
          <w:spacing w:val="2"/>
        </w:rPr>
        <w:t>该等标的股票的公允价值是基于授予日本公司股票的市场价格扣除根据布莱克</w:t>
      </w:r>
      <w:r>
        <w:rPr>
          <w:rFonts w:ascii="Arial" w:hAnsi="Arial" w:cs="Arial" w:eastAsia="Arial" w:hint="default"/>
          <w:spacing w:val="2"/>
        </w:rPr>
        <w:t>-</w:t>
      </w:r>
      <w:r>
        <w:rPr>
          <w:spacing w:val="2"/>
        </w:rPr>
        <w:t>斯科尔斯</w:t>
      </w:r>
      <w:r>
        <w:rPr>
          <w:spacing w:val="-73"/>
        </w:rPr>
        <w:t> </w:t>
      </w:r>
      <w:r>
        <w:rPr>
          <w:spacing w:val="-73"/>
        </w:rPr>
      </w:r>
      <w:r>
        <w:rPr>
          <w:spacing w:val="-1"/>
        </w:rPr>
        <w:t>模型所计算的禁售期限因素的公允价值所得。本公司将所授予的标的股票的公允价值与售</w:t>
      </w:r>
      <w:r>
        <w:rPr>
          <w:spacing w:val="-80"/>
        </w:rPr>
        <w:t> </w:t>
      </w:r>
      <w:r>
        <w:rPr>
          <w:spacing w:val="-80"/>
        </w:rPr>
      </w:r>
      <w:r>
        <w:rPr>
          <w:spacing w:val="-1"/>
        </w:rPr>
        <w:t>价之差，作为换取职工服务的成本开支在授予日至满足解除禁售条件、实现可依法流通日</w:t>
      </w:r>
      <w:r>
        <w:rPr>
          <w:spacing w:val="-80"/>
        </w:rPr>
        <w:t> </w:t>
      </w:r>
      <w:r>
        <w:rPr>
          <w:spacing w:val="-80"/>
        </w:rPr>
      </w:r>
      <w:r>
        <w:rPr/>
        <w:t>的期间内确认计入损益及资本公积科目。</w:t>
      </w:r>
    </w:p>
    <w:p>
      <w:pPr>
        <w:spacing w:line="240" w:lineRule="auto" w:before="11"/>
        <w:rPr>
          <w:rFonts w:ascii="黑体" w:hAnsi="黑体" w:cs="黑体" w:eastAsia="黑体" w:hint="default"/>
          <w:sz w:val="23"/>
          <w:szCs w:val="23"/>
        </w:rPr>
      </w:pPr>
    </w:p>
    <w:p>
      <w:pPr>
        <w:pStyle w:val="BodyText"/>
        <w:spacing w:line="261" w:lineRule="auto"/>
        <w:ind w:right="175"/>
        <w:jc w:val="both"/>
      </w:pPr>
      <w:r>
        <w:rPr>
          <w:spacing w:val="-3"/>
        </w:rPr>
        <w:t>授予的以权益结算的股份支付于授予日的公允价值，采用布莱克</w:t>
      </w:r>
      <w:r>
        <w:rPr>
          <w:rFonts w:ascii="Arial" w:hAnsi="Arial" w:cs="Arial" w:eastAsia="Arial" w:hint="default"/>
          <w:spacing w:val="-3"/>
        </w:rPr>
        <w:t>-</w:t>
      </w:r>
      <w:r>
        <w:rPr>
          <w:spacing w:val="-3"/>
        </w:rPr>
        <w:t>斯科尔斯模型，结合授予</w:t>
      </w:r>
      <w:r>
        <w:rPr>
          <w:spacing w:val="-66"/>
        </w:rPr>
        <w:t> </w:t>
      </w:r>
      <w:r>
        <w:rPr>
          <w:spacing w:val="-66"/>
        </w:rPr>
      </w:r>
      <w:r>
        <w:rPr/>
        <w:t>股份的条款和条件，作出估计。下表列示了所用模型的估值参数：</w:t>
      </w:r>
    </w:p>
    <w:p>
      <w:pPr>
        <w:spacing w:line="240" w:lineRule="auto" w:before="2"/>
        <w:rPr>
          <w:rFonts w:ascii="黑体" w:hAnsi="黑体" w:cs="黑体" w:eastAsia="黑体" w:hint="default"/>
          <w:sz w:val="20"/>
          <w:szCs w:val="20"/>
        </w:rPr>
      </w:pPr>
    </w:p>
    <w:tbl>
      <w:tblPr>
        <w:tblW w:w="0" w:type="auto"/>
        <w:jc w:val="left"/>
        <w:tblInd w:w="775" w:type="dxa"/>
        <w:tblLayout w:type="fixed"/>
        <w:tblCellMar>
          <w:top w:w="0" w:type="dxa"/>
          <w:left w:w="0" w:type="dxa"/>
          <w:bottom w:w="0" w:type="dxa"/>
          <w:right w:w="0" w:type="dxa"/>
        </w:tblCellMar>
        <w:tblLook w:val="01E0"/>
      </w:tblPr>
      <w:tblGrid>
        <w:gridCol w:w="3157"/>
        <w:gridCol w:w="2479"/>
        <w:gridCol w:w="1181"/>
        <w:gridCol w:w="1049"/>
      </w:tblGrid>
      <w:tr>
        <w:trPr>
          <w:trHeight w:val="855" w:hRule="exact"/>
        </w:trPr>
        <w:tc>
          <w:tcPr>
            <w:tcW w:w="315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4"/>
              <w:ind w:right="0"/>
              <w:jc w:val="left"/>
              <w:rPr>
                <w:rFonts w:ascii="黑体" w:hAnsi="黑体" w:cs="黑体" w:eastAsia="黑体" w:hint="default"/>
                <w:sz w:val="22"/>
                <w:szCs w:val="22"/>
              </w:rPr>
            </w:pPr>
          </w:p>
          <w:p>
            <w:pPr>
              <w:pStyle w:val="TableParagraph"/>
              <w:spacing w:line="240" w:lineRule="auto"/>
              <w:ind w:left="35" w:right="0"/>
              <w:jc w:val="left"/>
              <w:rPr>
                <w:rFonts w:ascii="Arial" w:hAnsi="Arial" w:cs="Arial" w:eastAsia="Arial" w:hint="default"/>
                <w:sz w:val="20"/>
                <w:szCs w:val="20"/>
              </w:rPr>
            </w:pPr>
            <w:r>
              <w:rPr>
                <w:rFonts w:ascii="黑体" w:hAnsi="黑体" w:cs="黑体" w:eastAsia="黑体" w:hint="default"/>
                <w:sz w:val="20"/>
                <w:szCs w:val="20"/>
              </w:rPr>
              <w:t>股利率</w:t>
            </w:r>
            <w:r>
              <w:rPr>
                <w:rFonts w:ascii="Arial" w:hAnsi="Arial" w:cs="Arial" w:eastAsia="Arial" w:hint="default"/>
                <w:sz w:val="20"/>
                <w:szCs w:val="20"/>
              </w:rPr>
              <w:t>(%)</w:t>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5"/>
              <w:jc w:val="right"/>
              <w:rPr>
                <w:rFonts w:ascii="黑体" w:hAnsi="黑体" w:cs="黑体" w:eastAsia="黑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黑体" w:hAnsi="黑体" w:cs="黑体" w:eastAsia="黑体" w:hint="default"/>
                <w:sz w:val="20"/>
                <w:szCs w:val="20"/>
              </w:rPr>
              <w:t>年</w:t>
            </w:r>
          </w:p>
          <w:p>
            <w:pPr>
              <w:pStyle w:val="TableParagraph"/>
              <w:spacing w:line="240" w:lineRule="auto" w:before="9"/>
              <w:ind w:right="0"/>
              <w:jc w:val="left"/>
              <w:rPr>
                <w:rFonts w:ascii="黑体" w:hAnsi="黑体" w:cs="黑体" w:eastAsia="黑体" w:hint="default"/>
                <w:sz w:val="22"/>
                <w:szCs w:val="22"/>
              </w:rPr>
            </w:pPr>
          </w:p>
          <w:p>
            <w:pPr>
              <w:pStyle w:val="TableParagraph"/>
              <w:spacing w:line="240" w:lineRule="auto"/>
              <w:ind w:right="165"/>
              <w:jc w:val="right"/>
              <w:rPr>
                <w:rFonts w:ascii="Arial" w:hAnsi="Arial" w:cs="Arial" w:eastAsia="Arial" w:hint="default"/>
                <w:sz w:val="20"/>
                <w:szCs w:val="20"/>
              </w:rPr>
            </w:pPr>
            <w:r>
              <w:rPr>
                <w:rFonts w:ascii="Arial"/>
                <w:w w:val="100"/>
                <w:sz w:val="20"/>
              </w:rPr>
              <w:t>2</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5"/>
              <w:jc w:val="right"/>
              <w:rPr>
                <w:rFonts w:ascii="黑体" w:hAnsi="黑体" w:cs="黑体" w:eastAsia="黑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黑体" w:hAnsi="黑体" w:cs="黑体" w:eastAsia="黑体" w:hint="default"/>
                <w:sz w:val="20"/>
                <w:szCs w:val="20"/>
              </w:rPr>
              <w:t>年</w:t>
            </w:r>
          </w:p>
          <w:p>
            <w:pPr>
              <w:pStyle w:val="TableParagraph"/>
              <w:spacing w:line="240" w:lineRule="auto" w:before="9"/>
              <w:ind w:right="0"/>
              <w:jc w:val="left"/>
              <w:rPr>
                <w:rFonts w:ascii="黑体" w:hAnsi="黑体" w:cs="黑体" w:eastAsia="黑体" w:hint="default"/>
                <w:sz w:val="22"/>
                <w:szCs w:val="22"/>
              </w:rPr>
            </w:pPr>
          </w:p>
          <w:p>
            <w:pPr>
              <w:pStyle w:val="TableParagraph"/>
              <w:spacing w:line="240" w:lineRule="auto"/>
              <w:ind w:right="165"/>
              <w:jc w:val="right"/>
              <w:rPr>
                <w:rFonts w:ascii="Arial" w:hAnsi="Arial" w:cs="Arial" w:eastAsia="Arial" w:hint="default"/>
                <w:sz w:val="20"/>
                <w:szCs w:val="20"/>
              </w:rPr>
            </w:pPr>
            <w:r>
              <w:rPr>
                <w:rFonts w:ascii="Arial"/>
                <w:w w:val="100"/>
                <w:sz w:val="20"/>
              </w:rPr>
              <w:t>2</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17" w:right="0"/>
              <w:jc w:val="left"/>
              <w:rPr>
                <w:rFonts w:ascii="黑体" w:hAnsi="黑体" w:cs="黑体" w:eastAsia="黑体" w:hint="default"/>
                <w:sz w:val="20"/>
                <w:szCs w:val="20"/>
              </w:rPr>
            </w:pPr>
            <w:r>
              <w:rPr>
                <w:rFonts w:ascii="Arial" w:hAnsi="Arial" w:cs="Arial" w:eastAsia="Arial" w:hint="default"/>
                <w:sz w:val="20"/>
                <w:szCs w:val="20"/>
              </w:rPr>
              <w:t>2007</w:t>
            </w:r>
            <w:r>
              <w:rPr>
                <w:rFonts w:ascii="Arial" w:hAnsi="Arial" w:cs="Arial" w:eastAsia="Arial" w:hint="default"/>
                <w:spacing w:val="-6"/>
                <w:sz w:val="20"/>
                <w:szCs w:val="20"/>
              </w:rPr>
              <w:t> </w:t>
            </w:r>
            <w:r>
              <w:rPr>
                <w:rFonts w:ascii="黑体" w:hAnsi="黑体" w:cs="黑体" w:eastAsia="黑体" w:hint="default"/>
                <w:sz w:val="20"/>
                <w:szCs w:val="20"/>
              </w:rPr>
              <w:t>年</w:t>
            </w:r>
          </w:p>
          <w:p>
            <w:pPr>
              <w:pStyle w:val="TableParagraph"/>
              <w:spacing w:line="240" w:lineRule="auto" w:before="9"/>
              <w:ind w:right="0"/>
              <w:jc w:val="left"/>
              <w:rPr>
                <w:rFonts w:ascii="黑体" w:hAnsi="黑体" w:cs="黑体" w:eastAsia="黑体" w:hint="default"/>
                <w:sz w:val="22"/>
                <w:szCs w:val="22"/>
              </w:rPr>
            </w:pPr>
          </w:p>
          <w:p>
            <w:pPr>
              <w:pStyle w:val="TableParagraph"/>
              <w:spacing w:line="240" w:lineRule="auto"/>
              <w:ind w:left="623" w:right="0"/>
              <w:jc w:val="left"/>
              <w:rPr>
                <w:rFonts w:ascii="Arial" w:hAnsi="Arial" w:cs="Arial" w:eastAsia="Arial" w:hint="default"/>
                <w:sz w:val="20"/>
                <w:szCs w:val="20"/>
              </w:rPr>
            </w:pPr>
            <w:r>
              <w:rPr>
                <w:rFonts w:ascii="Arial"/>
                <w:sz w:val="20"/>
              </w:rPr>
              <w:t>1.17</w:t>
            </w:r>
          </w:p>
        </w:tc>
      </w:tr>
      <w:tr>
        <w:trPr>
          <w:trHeight w:val="259" w:hRule="exact"/>
        </w:trPr>
        <w:tc>
          <w:tcPr>
            <w:tcW w:w="3157" w:type="dxa"/>
            <w:tcBorders>
              <w:top w:val="nil" w:sz="6" w:space="0" w:color="auto"/>
              <w:left w:val="nil" w:sz="6" w:space="0" w:color="auto"/>
              <w:bottom w:val="nil" w:sz="6" w:space="0" w:color="auto"/>
              <w:right w:val="nil" w:sz="6" w:space="0" w:color="auto"/>
            </w:tcBorders>
          </w:tcPr>
          <w:p>
            <w:pPr>
              <w:pStyle w:val="TableParagraph"/>
              <w:spacing w:line="233" w:lineRule="exact"/>
              <w:ind w:left="35" w:right="0"/>
              <w:jc w:val="left"/>
              <w:rPr>
                <w:rFonts w:ascii="Arial" w:hAnsi="Arial" w:cs="Arial" w:eastAsia="Arial" w:hint="default"/>
                <w:sz w:val="20"/>
                <w:szCs w:val="20"/>
              </w:rPr>
            </w:pPr>
            <w:r>
              <w:rPr>
                <w:rFonts w:ascii="黑体" w:hAnsi="黑体" w:cs="黑体" w:eastAsia="黑体" w:hint="default"/>
                <w:sz w:val="20"/>
                <w:szCs w:val="20"/>
              </w:rPr>
              <w:t>预计波动率</w:t>
            </w:r>
            <w:r>
              <w:rPr>
                <w:rFonts w:ascii="Arial" w:hAnsi="Arial" w:cs="Arial" w:eastAsia="Arial" w:hint="default"/>
                <w:sz w:val="20"/>
                <w:szCs w:val="20"/>
              </w:rPr>
              <w:t>(%)</w:t>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5"/>
              <w:jc w:val="right"/>
              <w:rPr>
                <w:rFonts w:ascii="Arial" w:hAnsi="Arial" w:cs="Arial" w:eastAsia="Arial" w:hint="default"/>
                <w:sz w:val="20"/>
                <w:szCs w:val="20"/>
              </w:rPr>
            </w:pPr>
            <w:r>
              <w:rPr>
                <w:rFonts w:ascii="Arial"/>
                <w:sz w:val="20"/>
              </w:rPr>
              <w:t>61</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5"/>
              <w:jc w:val="right"/>
              <w:rPr>
                <w:rFonts w:ascii="Arial" w:hAnsi="Arial" w:cs="Arial" w:eastAsia="Arial" w:hint="default"/>
                <w:sz w:val="20"/>
                <w:szCs w:val="20"/>
              </w:rPr>
            </w:pPr>
            <w:r>
              <w:rPr>
                <w:rFonts w:ascii="Arial"/>
                <w:sz w:val="20"/>
              </w:rPr>
              <w:t>91</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sz w:val="20"/>
              </w:rPr>
              <w:t>85</w:t>
            </w:r>
          </w:p>
        </w:tc>
      </w:tr>
      <w:tr>
        <w:trPr>
          <w:trHeight w:val="259" w:hRule="exact"/>
        </w:trPr>
        <w:tc>
          <w:tcPr>
            <w:tcW w:w="3157" w:type="dxa"/>
            <w:tcBorders>
              <w:top w:val="nil" w:sz="6" w:space="0" w:color="auto"/>
              <w:left w:val="nil" w:sz="6" w:space="0" w:color="auto"/>
              <w:bottom w:val="nil" w:sz="6" w:space="0" w:color="auto"/>
              <w:right w:val="nil" w:sz="6" w:space="0" w:color="auto"/>
            </w:tcBorders>
          </w:tcPr>
          <w:p>
            <w:pPr>
              <w:pStyle w:val="TableParagraph"/>
              <w:spacing w:line="233" w:lineRule="exact"/>
              <w:ind w:left="35" w:right="0"/>
              <w:jc w:val="left"/>
              <w:rPr>
                <w:rFonts w:ascii="Arial" w:hAnsi="Arial" w:cs="Arial" w:eastAsia="Arial" w:hint="default"/>
                <w:sz w:val="20"/>
                <w:szCs w:val="20"/>
              </w:rPr>
            </w:pPr>
            <w:r>
              <w:rPr>
                <w:rFonts w:ascii="黑体" w:hAnsi="黑体" w:cs="黑体" w:eastAsia="黑体" w:hint="default"/>
                <w:sz w:val="20"/>
                <w:szCs w:val="20"/>
              </w:rPr>
              <w:t>无风险利率</w:t>
            </w:r>
            <w:r>
              <w:rPr>
                <w:rFonts w:ascii="Arial" w:hAnsi="Arial" w:cs="Arial" w:eastAsia="Arial" w:hint="default"/>
                <w:sz w:val="20"/>
                <w:szCs w:val="20"/>
              </w:rPr>
              <w:t>(%)</w:t>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5"/>
              <w:jc w:val="right"/>
              <w:rPr>
                <w:rFonts w:ascii="Arial" w:hAnsi="Arial" w:cs="Arial" w:eastAsia="Arial" w:hint="default"/>
                <w:sz w:val="20"/>
                <w:szCs w:val="20"/>
              </w:rPr>
            </w:pPr>
            <w:r>
              <w:rPr>
                <w:rFonts w:ascii="Arial"/>
                <w:spacing w:val="-1"/>
                <w:sz w:val="20"/>
              </w:rPr>
              <w:t>2.12-3.73</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5"/>
              <w:jc w:val="right"/>
              <w:rPr>
                <w:rFonts w:ascii="Arial" w:hAnsi="Arial" w:cs="Arial" w:eastAsia="Arial" w:hint="default"/>
                <w:sz w:val="20"/>
                <w:szCs w:val="20"/>
              </w:rPr>
            </w:pPr>
            <w:r>
              <w:rPr>
                <w:rFonts w:ascii="Arial"/>
                <w:spacing w:val="-1"/>
                <w:sz w:val="20"/>
              </w:rPr>
              <w:t>2.55-2.92</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spacing w:val="-1"/>
                <w:sz w:val="20"/>
              </w:rPr>
              <w:t>3.65-4.18</w:t>
            </w:r>
          </w:p>
        </w:tc>
      </w:tr>
      <w:tr>
        <w:trPr>
          <w:trHeight w:val="259" w:hRule="exact"/>
        </w:trPr>
        <w:tc>
          <w:tcPr>
            <w:tcW w:w="3157" w:type="dxa"/>
            <w:tcBorders>
              <w:top w:val="nil" w:sz="6" w:space="0" w:color="auto"/>
              <w:left w:val="nil" w:sz="6" w:space="0" w:color="auto"/>
              <w:bottom w:val="nil" w:sz="6" w:space="0" w:color="auto"/>
              <w:right w:val="nil" w:sz="6" w:space="0" w:color="auto"/>
            </w:tcBorders>
          </w:tcPr>
          <w:p>
            <w:pPr>
              <w:pStyle w:val="TableParagraph"/>
              <w:spacing w:line="233" w:lineRule="exact"/>
              <w:ind w:left="35" w:right="0"/>
              <w:jc w:val="left"/>
              <w:rPr>
                <w:rFonts w:ascii="Arial" w:hAnsi="Arial" w:cs="Arial" w:eastAsia="Arial" w:hint="default"/>
                <w:sz w:val="20"/>
                <w:szCs w:val="20"/>
              </w:rPr>
            </w:pPr>
            <w:r>
              <w:rPr>
                <w:rFonts w:ascii="黑体" w:hAnsi="黑体" w:cs="黑体" w:eastAsia="黑体" w:hint="default"/>
                <w:sz w:val="20"/>
                <w:szCs w:val="20"/>
              </w:rPr>
              <w:t>禁售期限</w:t>
            </w:r>
            <w:r>
              <w:rPr>
                <w:rFonts w:ascii="Arial" w:hAnsi="Arial" w:cs="Arial" w:eastAsia="Arial" w:hint="default"/>
                <w:sz w:val="20"/>
                <w:szCs w:val="20"/>
              </w:rPr>
              <w:t>(</w:t>
            </w:r>
            <w:r>
              <w:rPr>
                <w:rFonts w:ascii="黑体" w:hAnsi="黑体" w:cs="黑体" w:eastAsia="黑体" w:hint="default"/>
                <w:sz w:val="20"/>
                <w:szCs w:val="20"/>
              </w:rPr>
              <w:t>年</w:t>
            </w:r>
            <w:r>
              <w:rPr>
                <w:rFonts w:ascii="Arial" w:hAnsi="Arial" w:cs="Arial" w:eastAsia="Arial" w:hint="default"/>
                <w:sz w:val="20"/>
                <w:szCs w:val="20"/>
              </w:rPr>
              <w:t>)</w:t>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5"/>
              <w:jc w:val="right"/>
              <w:rPr>
                <w:rFonts w:ascii="Arial" w:hAnsi="Arial" w:cs="Arial" w:eastAsia="Arial" w:hint="default"/>
                <w:sz w:val="20"/>
                <w:szCs w:val="20"/>
              </w:rPr>
            </w:pPr>
            <w:r>
              <w:rPr>
                <w:rFonts w:ascii="Arial"/>
                <w:sz w:val="20"/>
              </w:rPr>
              <w:t>1-5</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5"/>
              <w:jc w:val="right"/>
              <w:rPr>
                <w:rFonts w:ascii="Arial" w:hAnsi="Arial" w:cs="Arial" w:eastAsia="Arial" w:hint="default"/>
                <w:sz w:val="20"/>
                <w:szCs w:val="20"/>
              </w:rPr>
            </w:pPr>
            <w:r>
              <w:rPr>
                <w:rFonts w:ascii="Arial"/>
                <w:sz w:val="20"/>
              </w:rPr>
              <w:t>1-5</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sz w:val="20"/>
              </w:rPr>
              <w:t>1-5</w:t>
            </w:r>
          </w:p>
        </w:tc>
      </w:tr>
      <w:tr>
        <w:trPr>
          <w:trHeight w:val="341" w:hRule="exact"/>
        </w:trPr>
        <w:tc>
          <w:tcPr>
            <w:tcW w:w="3157" w:type="dxa"/>
            <w:tcBorders>
              <w:top w:val="nil" w:sz="6" w:space="0" w:color="auto"/>
              <w:left w:val="nil" w:sz="6" w:space="0" w:color="auto"/>
              <w:bottom w:val="nil" w:sz="6" w:space="0" w:color="auto"/>
              <w:right w:val="nil" w:sz="6" w:space="0" w:color="auto"/>
            </w:tcBorders>
          </w:tcPr>
          <w:p>
            <w:pPr>
              <w:pStyle w:val="TableParagraph"/>
              <w:spacing w:line="233" w:lineRule="exact"/>
              <w:ind w:left="35" w:right="0"/>
              <w:jc w:val="left"/>
              <w:rPr>
                <w:rFonts w:ascii="黑体" w:hAnsi="黑体" w:cs="黑体" w:eastAsia="黑体" w:hint="default"/>
                <w:sz w:val="20"/>
                <w:szCs w:val="20"/>
              </w:rPr>
            </w:pPr>
            <w:r>
              <w:rPr>
                <w:rFonts w:ascii="黑体" w:hAnsi="黑体" w:cs="黑体" w:eastAsia="黑体" w:hint="default"/>
                <w:sz w:val="20"/>
                <w:szCs w:val="20"/>
              </w:rPr>
              <w:t>股票价格（元</w:t>
            </w:r>
            <w:r>
              <w:rPr>
                <w:rFonts w:ascii="Arial" w:hAnsi="Arial" w:cs="Arial" w:eastAsia="Arial" w:hint="default"/>
                <w:sz w:val="20"/>
                <w:szCs w:val="20"/>
              </w:rPr>
              <w:t>/</w:t>
            </w:r>
            <w:r>
              <w:rPr>
                <w:rFonts w:ascii="黑体" w:hAnsi="黑体" w:cs="黑体" w:eastAsia="黑体" w:hint="default"/>
                <w:sz w:val="20"/>
                <w:szCs w:val="20"/>
              </w:rPr>
              <w:t>股）</w:t>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5"/>
              <w:jc w:val="right"/>
              <w:rPr>
                <w:rFonts w:ascii="Arial" w:hAnsi="Arial" w:cs="Arial" w:eastAsia="Arial" w:hint="default"/>
                <w:sz w:val="20"/>
                <w:szCs w:val="20"/>
              </w:rPr>
            </w:pPr>
            <w:r>
              <w:rPr>
                <w:rFonts w:ascii="Arial"/>
                <w:spacing w:val="-1"/>
                <w:sz w:val="20"/>
              </w:rPr>
              <w:t>19.06</w:t>
            </w:r>
            <w:r>
              <w:rPr>
                <w:rFonts w:ascii="Arial"/>
                <w:sz w:val="20"/>
              </w:rPr>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5"/>
              <w:jc w:val="right"/>
              <w:rPr>
                <w:rFonts w:ascii="Arial" w:hAnsi="Arial" w:cs="Arial" w:eastAsia="Arial" w:hint="default"/>
                <w:sz w:val="20"/>
                <w:szCs w:val="20"/>
              </w:rPr>
            </w:pPr>
            <w:r>
              <w:rPr>
                <w:rFonts w:ascii="Arial"/>
                <w:spacing w:val="-1"/>
                <w:sz w:val="20"/>
              </w:rPr>
              <w:t>17.5</w:t>
            </w:r>
            <w:r>
              <w:rPr>
                <w:rFonts w:ascii="Arial"/>
                <w:sz w:val="20"/>
              </w:rPr>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20"/>
                <w:szCs w:val="20"/>
              </w:rPr>
            </w:pPr>
            <w:r>
              <w:rPr>
                <w:rFonts w:ascii="Arial"/>
                <w:sz w:val="20"/>
              </w:rPr>
              <w:t>43</w:t>
            </w:r>
          </w:p>
        </w:tc>
      </w:tr>
    </w:tbl>
    <w:p>
      <w:pPr>
        <w:spacing w:after="0" w:line="240" w:lineRule="auto"/>
        <w:jc w:val="right"/>
        <w:rPr>
          <w:rFonts w:ascii="Arial" w:hAnsi="Arial" w:cs="Arial" w:eastAsia="Arial" w:hint="default"/>
          <w:sz w:val="20"/>
          <w:szCs w:val="20"/>
        </w:rPr>
        <w:sectPr>
          <w:footerReference w:type="default" r:id="rId72"/>
          <w:pgSz w:w="11910" w:h="16840"/>
          <w:pgMar w:footer="548" w:header="0" w:top="2240" w:bottom="740" w:left="1600" w:right="1520"/>
          <w:pgNumType w:start="116"/>
        </w:sectPr>
      </w:pPr>
    </w:p>
    <w:p>
      <w:pPr>
        <w:spacing w:line="240" w:lineRule="auto" w:before="12"/>
        <w:rPr>
          <w:rFonts w:ascii="黑体" w:hAnsi="黑体" w:cs="黑体" w:eastAsia="黑体" w:hint="default"/>
          <w:sz w:val="22"/>
          <w:szCs w:val="22"/>
        </w:rPr>
      </w:pPr>
    </w:p>
    <w:p>
      <w:pPr>
        <w:tabs>
          <w:tab w:pos="803" w:val="left" w:leader="none"/>
        </w:tabs>
        <w:spacing w:before="38"/>
        <w:ind w:left="101" w:right="114" w:firstLine="0"/>
        <w:jc w:val="left"/>
        <w:rPr>
          <w:rFonts w:ascii="黑体" w:hAnsi="黑体" w:cs="黑体" w:eastAsia="黑体" w:hint="default"/>
          <w:sz w:val="20"/>
          <w:szCs w:val="20"/>
        </w:rPr>
      </w:pPr>
      <w:r>
        <w:rPr>
          <w:rFonts w:ascii="黑体" w:hAnsi="黑体" w:cs="黑体" w:eastAsia="黑体" w:hint="default"/>
          <w:b/>
          <w:bCs/>
          <w:sz w:val="20"/>
          <w:szCs w:val="20"/>
        </w:rPr>
        <w:t>七、</w:t>
        <w:tab/>
        <w:t>股份支付（续）</w:t>
      </w:r>
      <w:r>
        <w:rPr>
          <w:rFonts w:ascii="黑体" w:hAnsi="黑体" w:cs="黑体" w:eastAsia="黑体" w:hint="default"/>
          <w:sz w:val="20"/>
          <w:szCs w:val="20"/>
        </w:rPr>
      </w:r>
    </w:p>
    <w:p>
      <w:pPr>
        <w:spacing w:line="240" w:lineRule="auto" w:before="1"/>
        <w:rPr>
          <w:rFonts w:ascii="黑体" w:hAnsi="黑体" w:cs="黑体" w:eastAsia="黑体" w:hint="default"/>
          <w:b/>
          <w:bCs/>
          <w:sz w:val="20"/>
          <w:szCs w:val="20"/>
        </w:rPr>
      </w:pPr>
    </w:p>
    <w:p>
      <w:pPr>
        <w:pStyle w:val="BodyText"/>
        <w:spacing w:line="271" w:lineRule="auto"/>
        <w:ind w:right="213"/>
        <w:jc w:val="both"/>
      </w:pPr>
      <w:r>
        <w:rPr>
          <w:spacing w:val="-1"/>
        </w:rPr>
        <w:t>鉴于缺乏过往记录，禁售期限乃根据激励计划中规定之最短的禁售期限及中国现行法律对</w:t>
      </w:r>
      <w:r>
        <w:rPr>
          <w:spacing w:val="-81"/>
        </w:rPr>
        <w:t> </w:t>
      </w:r>
      <w:r>
        <w:rPr>
          <w:spacing w:val="-81"/>
        </w:rPr>
      </w:r>
      <w:r>
        <w:rPr>
          <w:spacing w:val="-3"/>
        </w:rPr>
        <w:t>公司高级管理人员持有本公司股票比例要求的综合考虑</w:t>
      </w:r>
      <w:r>
        <w:rPr>
          <w:rFonts w:ascii="Arial" w:hAnsi="Arial" w:cs="Arial" w:eastAsia="Arial" w:hint="default"/>
          <w:spacing w:val="-3"/>
        </w:rPr>
        <w:t>,</w:t>
      </w:r>
      <w:r>
        <w:rPr>
          <w:spacing w:val="-3"/>
        </w:rPr>
        <w:t>未必表示实际期限。预期波动率反</w:t>
      </w:r>
      <w:r>
        <w:rPr>
          <w:spacing w:val="-52"/>
        </w:rPr>
        <w:t> </w:t>
      </w:r>
      <w:r>
        <w:rPr>
          <w:spacing w:val="-52"/>
        </w:rPr>
      </w:r>
      <w:r>
        <w:rPr>
          <w:spacing w:val="-1"/>
        </w:rPr>
        <w:t>映过往波动可指示未来趋势的假设，但不一定为实际结果。股票价格为本公司股份于授予</w:t>
      </w:r>
      <w:r>
        <w:rPr>
          <w:spacing w:val="-80"/>
        </w:rPr>
        <w:t> </w:t>
      </w:r>
      <w:r>
        <w:rPr>
          <w:spacing w:val="-80"/>
        </w:rPr>
      </w:r>
      <w:r>
        <w:rPr/>
        <w:t>日的收市价。</w:t>
      </w:r>
    </w:p>
    <w:p>
      <w:pPr>
        <w:spacing w:line="240" w:lineRule="auto" w:before="13"/>
        <w:rPr>
          <w:rFonts w:ascii="黑体" w:hAnsi="黑体" w:cs="黑体" w:eastAsia="黑体" w:hint="default"/>
          <w:sz w:val="16"/>
          <w:szCs w:val="16"/>
        </w:rPr>
      </w:pPr>
    </w:p>
    <w:p>
      <w:pPr>
        <w:tabs>
          <w:tab w:pos="804" w:val="left" w:leader="none"/>
        </w:tabs>
        <w:spacing w:before="0"/>
        <w:ind w:left="102" w:right="114" w:firstLine="0"/>
        <w:jc w:val="left"/>
        <w:rPr>
          <w:rFonts w:ascii="黑体" w:hAnsi="黑体" w:cs="黑体" w:eastAsia="黑体" w:hint="default"/>
          <w:sz w:val="20"/>
          <w:szCs w:val="20"/>
        </w:rPr>
      </w:pPr>
      <w:r>
        <w:rPr>
          <w:rFonts w:ascii="黑体" w:hAnsi="黑体" w:cs="黑体" w:eastAsia="黑体" w:hint="default"/>
          <w:b/>
          <w:bCs/>
          <w:sz w:val="20"/>
          <w:szCs w:val="20"/>
        </w:rPr>
        <w:t>八、</w:t>
        <w:tab/>
        <w:t>承诺事项</w:t>
      </w:r>
      <w:r>
        <w:rPr>
          <w:rFonts w:ascii="黑体" w:hAnsi="黑体" w:cs="黑体" w:eastAsia="黑体" w:hint="default"/>
          <w:sz w:val="20"/>
          <w:szCs w:val="20"/>
        </w:rPr>
      </w:r>
    </w:p>
    <w:p>
      <w:pPr>
        <w:spacing w:line="240" w:lineRule="auto" w:before="6"/>
        <w:rPr>
          <w:rFonts w:ascii="黑体" w:hAnsi="黑体" w:cs="黑体" w:eastAsia="黑体" w:hint="default"/>
          <w:b/>
          <w:bCs/>
          <w:sz w:val="14"/>
          <w:szCs w:val="14"/>
        </w:rPr>
      </w:pPr>
    </w:p>
    <w:p>
      <w:pPr>
        <w:pStyle w:val="BodyText"/>
        <w:tabs>
          <w:tab w:pos="7094" w:val="left" w:leader="none"/>
        </w:tabs>
        <w:spacing w:line="268" w:lineRule="exact" w:before="38"/>
        <w:ind w:left="5250" w:right="114"/>
        <w:jc w:val="left"/>
      </w:pP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tab/>
      </w:r>
      <w:r>
        <w:rPr>
          <w:rFonts w:ascii="Arial" w:hAnsi="Arial" w:cs="Arial" w:eastAsia="Arial" w:hint="default"/>
          <w:spacing w:val="-1"/>
        </w:rPr>
        <w:t>2008</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r>
    </w:p>
    <w:p>
      <w:pPr>
        <w:pStyle w:val="BodyText"/>
        <w:spacing w:line="253" w:lineRule="exact"/>
        <w:ind w:left="821" w:right="114"/>
        <w:jc w:val="left"/>
      </w:pPr>
      <w:r>
        <w:rPr/>
        <w:t>资本承诺</w:t>
      </w:r>
    </w:p>
    <w:p>
      <w:pPr>
        <w:pStyle w:val="BodyText"/>
        <w:tabs>
          <w:tab w:pos="5628" w:val="left" w:leader="none"/>
          <w:tab w:pos="7693" w:val="left" w:leader="none"/>
        </w:tabs>
        <w:spacing w:line="273" w:lineRule="exact"/>
        <w:ind w:left="811" w:right="114"/>
        <w:jc w:val="left"/>
        <w:rPr>
          <w:rFonts w:ascii="Arial" w:hAnsi="Arial" w:cs="Arial" w:eastAsia="Arial" w:hint="default"/>
        </w:rPr>
      </w:pPr>
      <w:r>
        <w:rPr>
          <w:spacing w:val="-1"/>
        </w:rPr>
        <w:t>已签约但未拨备</w:t>
      </w:r>
      <w:r>
        <w:rPr>
          <w:rFonts w:ascii="Arial" w:hAnsi="Arial" w:cs="Arial" w:eastAsia="Arial" w:hint="default"/>
          <w:spacing w:val="-1"/>
        </w:rPr>
        <w:t>(</w:t>
      </w:r>
      <w:r>
        <w:rPr>
          <w:spacing w:val="-1"/>
        </w:rPr>
        <w:t>注</w:t>
      </w:r>
      <w:r>
        <w:rPr>
          <w:rFonts w:ascii="Arial" w:hAnsi="Arial" w:cs="Arial" w:eastAsia="Arial" w:hint="default"/>
          <w:spacing w:val="-1"/>
        </w:rPr>
        <w:t>1)</w:t>
        <w:tab/>
      </w:r>
      <w:r>
        <w:rPr>
          <w:rFonts w:ascii="Arial" w:hAnsi="Arial" w:cs="Arial" w:eastAsia="Arial" w:hint="default"/>
          <w:spacing w:val="-1"/>
          <w:u w:val="thick" w:color="000000"/>
        </w:rPr>
        <w:t>178,712,729</w:t>
      </w:r>
      <w:r>
        <w:rPr>
          <w:rFonts w:ascii="Arial" w:hAnsi="Arial" w:cs="Arial" w:eastAsia="Arial" w:hint="default"/>
          <w:spacing w:val="-1"/>
        </w:rPr>
        <w:tab/>
      </w:r>
      <w:r>
        <w:rPr>
          <w:rFonts w:ascii="Arial" w:hAnsi="Arial" w:cs="Arial" w:eastAsia="Arial" w:hint="default"/>
          <w:spacing w:val="-1"/>
          <w:u w:val="thick" w:color="000000"/>
        </w:rPr>
        <w:t>9,238,659</w:t>
      </w:r>
      <w:r>
        <w:rPr>
          <w:rFonts w:ascii="Arial" w:hAnsi="Arial" w:cs="Arial" w:eastAsia="Arial" w:hint="default"/>
          <w:spacing w:val="-1"/>
        </w:rPr>
      </w:r>
    </w:p>
    <w:p>
      <w:pPr>
        <w:spacing w:line="240" w:lineRule="auto" w:before="3"/>
        <w:rPr>
          <w:rFonts w:ascii="Arial" w:hAnsi="Arial" w:cs="Arial" w:eastAsia="Arial" w:hint="default"/>
          <w:sz w:val="15"/>
          <w:szCs w:val="15"/>
        </w:rPr>
      </w:pPr>
    </w:p>
    <w:p>
      <w:pPr>
        <w:pStyle w:val="BodyText"/>
        <w:spacing w:line="225" w:lineRule="auto" w:before="52"/>
        <w:ind w:left="1377" w:right="114" w:hanging="567"/>
        <w:jc w:val="left"/>
      </w:pPr>
      <w:r>
        <w:rPr/>
        <w:t>注</w:t>
      </w:r>
      <w:r>
        <w:rPr>
          <w:rFonts w:ascii="Arial" w:hAnsi="Arial" w:cs="Arial" w:eastAsia="Arial" w:hint="default"/>
        </w:rPr>
        <w:t>1.</w:t>
      </w:r>
      <w:r>
        <w:rPr>
          <w:rFonts w:ascii="Arial" w:hAnsi="Arial" w:cs="Arial" w:eastAsia="Arial" w:hint="default"/>
          <w:spacing w:val="48"/>
        </w:rPr>
        <w:t> </w:t>
      </w:r>
      <w:r>
        <w:rPr/>
        <w:t>本公司与北京华清地热开发有限公司，中国建筑第五局有限公司、泛华建设集团有</w:t>
      </w:r>
      <w:r>
        <w:rPr>
          <w:spacing w:val="-91"/>
        </w:rPr>
        <w:t> </w:t>
      </w:r>
      <w:r>
        <w:rPr>
          <w:spacing w:val="-91"/>
        </w:rPr>
      </w:r>
      <w:r>
        <w:rPr/>
        <w:t>限公司、铭基电子技术</w:t>
      </w:r>
      <w:r>
        <w:rPr>
          <w:rFonts w:ascii="Arial" w:hAnsi="Arial" w:cs="Arial" w:eastAsia="Arial" w:hint="default"/>
        </w:rPr>
        <w:t>(</w:t>
      </w:r>
      <w:r>
        <w:rPr/>
        <w:t>北京</w:t>
      </w:r>
      <w:r>
        <w:rPr>
          <w:rFonts w:ascii="Arial" w:hAnsi="Arial" w:cs="Arial" w:eastAsia="Arial" w:hint="default"/>
        </w:rPr>
        <w:t>)</w:t>
      </w:r>
      <w:r>
        <w:rPr/>
        <w:t>有限公司等签订的用友软件园二期工程施工、工程设</w:t>
      </w:r>
      <w:r>
        <w:rPr>
          <w:spacing w:val="2"/>
          <w:w w:val="100"/>
        </w:rPr>
        <w:t> </w:t>
      </w:r>
      <w:r>
        <w:rPr/>
        <w:t>计等软件园建设合同，总金额为人民币</w:t>
      </w:r>
      <w:r>
        <w:rPr>
          <w:rFonts w:ascii="Arial" w:hAnsi="Arial" w:cs="Arial" w:eastAsia="Arial" w:hint="default"/>
        </w:rPr>
        <w:t>325,001,831</w:t>
      </w:r>
      <w:r>
        <w:rPr/>
        <w:t>元。截止</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w:t>
      </w:r>
      <w:r>
        <w:rPr>
          <w:rFonts w:ascii="Arial" w:hAnsi="Arial" w:cs="Arial" w:eastAsia="Arial" w:hint="default"/>
        </w:rPr>
        <w:t>,</w:t>
      </w:r>
      <w:r>
        <w:rPr/>
        <w:t>本公</w:t>
      </w:r>
      <w:r>
        <w:rPr>
          <w:w w:val="100"/>
        </w:rPr>
        <w:t> </w:t>
      </w:r>
      <w:r>
        <w:rPr/>
        <w:t>司已支付人民币</w:t>
      </w:r>
      <w:r>
        <w:rPr>
          <w:rFonts w:ascii="Arial" w:hAnsi="Arial" w:cs="Arial" w:eastAsia="Arial" w:hint="default"/>
        </w:rPr>
        <w:t>151,289,102</w:t>
      </w:r>
      <w:r>
        <w:rPr/>
        <w:t>元</w:t>
      </w:r>
      <w:r>
        <w:rPr>
          <w:rFonts w:ascii="Arial" w:hAnsi="Arial" w:cs="Arial" w:eastAsia="Arial" w:hint="default"/>
        </w:rPr>
        <w:t>,</w:t>
      </w:r>
      <w:r>
        <w:rPr/>
        <w:t>因此</w:t>
      </w:r>
      <w:r>
        <w:rPr>
          <w:rFonts w:ascii="Arial" w:hAnsi="Arial" w:cs="Arial" w:eastAsia="Arial" w:hint="default"/>
        </w:rPr>
        <w:t>,</w:t>
      </w:r>
      <w:r>
        <w:rPr/>
        <w:t>就上述用友软件园二期的工程开发建设方面的</w:t>
      </w:r>
      <w:r>
        <w:rPr>
          <w:w w:val="100"/>
        </w:rPr>
        <w:t> </w:t>
      </w:r>
      <w:r>
        <w:rPr>
          <w:spacing w:val="2"/>
        </w:rPr>
        <w:t>资本承诺为人民币</w:t>
      </w:r>
      <w:r>
        <w:rPr>
          <w:rFonts w:ascii="Arial" w:hAnsi="Arial" w:cs="Arial" w:eastAsia="Arial" w:hint="default"/>
          <w:spacing w:val="2"/>
        </w:rPr>
        <w:t>173,712,729</w:t>
      </w:r>
      <w:r>
        <w:rPr>
          <w:spacing w:val="2"/>
        </w:rPr>
        <w:t>元。另外，根据本公司与北京市海淀区人民政府于</w:t>
      </w:r>
      <w:r>
        <w:rPr>
          <w:w w:val="100"/>
        </w:rPr>
        <w:t> </w:t>
      </w:r>
      <w:r>
        <w:rPr>
          <w:rFonts w:ascii="Arial" w:hAnsi="Arial" w:cs="Arial" w:eastAsia="Arial" w:hint="default"/>
          <w:spacing w:val="-5"/>
        </w:rPr>
        <w:t>2010</w:t>
      </w:r>
      <w:r>
        <w:rPr>
          <w:spacing w:val="-5"/>
        </w:rPr>
        <w:t>年</w:t>
      </w:r>
      <w:r>
        <w:rPr>
          <w:rFonts w:ascii="Arial" w:hAnsi="Arial" w:cs="Arial" w:eastAsia="Arial" w:hint="default"/>
          <w:spacing w:val="-5"/>
        </w:rPr>
        <w:t>1</w:t>
      </w:r>
      <w:r>
        <w:rPr>
          <w:spacing w:val="-5"/>
        </w:rPr>
        <w:t>月</w:t>
      </w:r>
      <w:r>
        <w:rPr>
          <w:rFonts w:ascii="Arial" w:hAnsi="Arial" w:cs="Arial" w:eastAsia="Arial" w:hint="default"/>
          <w:spacing w:val="-5"/>
        </w:rPr>
        <w:t>5</w:t>
      </w:r>
      <w:r>
        <w:rPr>
          <w:spacing w:val="-5"/>
        </w:rPr>
        <w:t>日举行的“用友软件产业基地地块拆迁问题协调会”所达成的一致意见，</w:t>
      </w:r>
      <w:r>
        <w:rPr>
          <w:w w:val="100"/>
        </w:rPr>
        <w:t> </w:t>
      </w:r>
      <w:r>
        <w:rPr>
          <w:spacing w:val="2"/>
        </w:rPr>
        <w:t>本公司将支付海淀区人民政府人民币</w:t>
      </w:r>
      <w:r>
        <w:rPr>
          <w:rFonts w:ascii="Arial" w:hAnsi="Arial" w:cs="Arial" w:eastAsia="Arial" w:hint="default"/>
          <w:spacing w:val="2"/>
        </w:rPr>
        <w:t>5,000,000</w:t>
      </w:r>
      <w:r>
        <w:rPr>
          <w:spacing w:val="2"/>
        </w:rPr>
        <w:t>元以加快推进用友软件园二期工程</w:t>
      </w:r>
      <w:r>
        <w:rPr>
          <w:w w:val="100"/>
        </w:rPr>
        <w:t> </w:t>
      </w:r>
      <w:r>
        <w:rPr/>
        <w:t>涉及拆迁计划的实施。</w:t>
      </w:r>
    </w:p>
    <w:p>
      <w:pPr>
        <w:spacing w:line="240" w:lineRule="auto" w:before="8"/>
        <w:rPr>
          <w:rFonts w:ascii="黑体" w:hAnsi="黑体" w:cs="黑体" w:eastAsia="黑体" w:hint="default"/>
          <w:sz w:val="14"/>
          <w:szCs w:val="14"/>
        </w:rPr>
      </w:pPr>
    </w:p>
    <w:p>
      <w:pPr>
        <w:pStyle w:val="BodyText"/>
        <w:tabs>
          <w:tab w:pos="7118" w:val="left" w:leader="none"/>
        </w:tabs>
        <w:spacing w:line="268" w:lineRule="exact" w:before="38"/>
        <w:ind w:left="5275" w:right="114"/>
        <w:jc w:val="left"/>
      </w:pP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tab/>
      </w:r>
      <w:r>
        <w:rPr>
          <w:rFonts w:ascii="Arial" w:hAnsi="Arial" w:cs="Arial" w:eastAsia="Arial" w:hint="default"/>
          <w:spacing w:val="-1"/>
        </w:rPr>
        <w:t>2008</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r>
    </w:p>
    <w:p>
      <w:pPr>
        <w:pStyle w:val="BodyText"/>
        <w:spacing w:line="253" w:lineRule="exact"/>
        <w:ind w:left="807" w:right="114"/>
        <w:jc w:val="left"/>
      </w:pPr>
      <w:r>
        <w:rPr/>
        <w:t>投资承诺</w:t>
      </w:r>
    </w:p>
    <w:p>
      <w:pPr>
        <w:spacing w:line="240" w:lineRule="auto" w:before="1"/>
        <w:rPr>
          <w:rFonts w:ascii="黑体" w:hAnsi="黑体" w:cs="黑体" w:eastAsia="黑体" w:hint="default"/>
          <w:sz w:val="3"/>
          <w:szCs w:val="3"/>
        </w:rPr>
      </w:pPr>
    </w:p>
    <w:tbl>
      <w:tblPr>
        <w:tblW w:w="0" w:type="auto"/>
        <w:jc w:val="left"/>
        <w:tblInd w:w="952" w:type="dxa"/>
        <w:tblLayout w:type="fixed"/>
        <w:tblCellMar>
          <w:top w:w="0" w:type="dxa"/>
          <w:left w:w="0" w:type="dxa"/>
          <w:bottom w:w="0" w:type="dxa"/>
          <w:right w:w="0" w:type="dxa"/>
        </w:tblCellMar>
        <w:tblLook w:val="01E0"/>
      </w:tblPr>
      <w:tblGrid>
        <w:gridCol w:w="3957"/>
        <w:gridCol w:w="2277"/>
        <w:gridCol w:w="1457"/>
      </w:tblGrid>
      <w:tr>
        <w:trPr>
          <w:trHeight w:val="252" w:hRule="exact"/>
        </w:trPr>
        <w:tc>
          <w:tcPr>
            <w:tcW w:w="3957" w:type="dxa"/>
            <w:tcBorders>
              <w:top w:val="nil" w:sz="6" w:space="0" w:color="auto"/>
              <w:left w:val="nil" w:sz="6" w:space="0" w:color="auto"/>
              <w:bottom w:val="nil" w:sz="6" w:space="0" w:color="auto"/>
              <w:right w:val="nil" w:sz="6" w:space="0" w:color="auto"/>
            </w:tcBorders>
          </w:tcPr>
          <w:p>
            <w:pPr>
              <w:pStyle w:val="TableParagraph"/>
              <w:spacing w:line="219" w:lineRule="exact"/>
              <w:ind w:left="35" w:right="0"/>
              <w:jc w:val="left"/>
              <w:rPr>
                <w:rFonts w:ascii="黑体" w:hAnsi="黑体" w:cs="黑体" w:eastAsia="黑体" w:hint="default"/>
                <w:sz w:val="20"/>
                <w:szCs w:val="20"/>
              </w:rPr>
            </w:pPr>
            <w:r>
              <w:rPr>
                <w:rFonts w:ascii="黑体" w:hAnsi="黑体" w:cs="黑体" w:eastAsia="黑体" w:hint="default"/>
                <w:sz w:val="20"/>
                <w:szCs w:val="20"/>
              </w:rPr>
              <w:t>已被董事会批准但未签约</w:t>
            </w:r>
          </w:p>
        </w:tc>
        <w:tc>
          <w:tcPr>
            <w:tcW w:w="227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419"/>
              <w:jc w:val="right"/>
              <w:rPr>
                <w:rFonts w:ascii="Arial" w:hAnsi="Arial" w:cs="Arial" w:eastAsia="Arial" w:hint="default"/>
                <w:sz w:val="20"/>
                <w:szCs w:val="20"/>
              </w:rPr>
            </w:pPr>
            <w:r>
              <w:rPr>
                <w:rFonts w:ascii="Arial"/>
                <w:w w:val="100"/>
                <w:sz w:val="20"/>
              </w:rPr>
              <w:t>-</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3"/>
              <w:jc w:val="right"/>
              <w:rPr>
                <w:rFonts w:ascii="Arial" w:hAnsi="Arial" w:cs="Arial" w:eastAsia="Arial" w:hint="default"/>
                <w:sz w:val="20"/>
                <w:szCs w:val="20"/>
              </w:rPr>
            </w:pPr>
            <w:r>
              <w:rPr>
                <w:rFonts w:ascii="Arial"/>
                <w:spacing w:val="-1"/>
                <w:sz w:val="20"/>
              </w:rPr>
              <w:t>13,701,800</w:t>
            </w:r>
          </w:p>
        </w:tc>
      </w:tr>
      <w:tr>
        <w:trPr>
          <w:trHeight w:val="390" w:hRule="exact"/>
        </w:trPr>
        <w:tc>
          <w:tcPr>
            <w:tcW w:w="3957" w:type="dxa"/>
            <w:tcBorders>
              <w:top w:val="nil" w:sz="6" w:space="0" w:color="auto"/>
              <w:left w:val="nil" w:sz="6" w:space="0" w:color="auto"/>
              <w:bottom w:val="nil" w:sz="6" w:space="0" w:color="auto"/>
              <w:right w:val="nil" w:sz="6" w:space="0" w:color="auto"/>
            </w:tcBorders>
          </w:tcPr>
          <w:p>
            <w:pPr>
              <w:pStyle w:val="TableParagraph"/>
              <w:spacing w:line="240" w:lineRule="exact"/>
              <w:ind w:left="35" w:right="0"/>
              <w:jc w:val="left"/>
              <w:rPr>
                <w:rFonts w:ascii="Arial" w:hAnsi="Arial" w:cs="Arial" w:eastAsia="Arial" w:hint="default"/>
                <w:sz w:val="20"/>
                <w:szCs w:val="20"/>
              </w:rPr>
            </w:pPr>
            <w:r>
              <w:rPr>
                <w:rFonts w:ascii="黑体" w:hAnsi="黑体" w:cs="黑体" w:eastAsia="黑体" w:hint="default"/>
                <w:sz w:val="20"/>
                <w:szCs w:val="20"/>
              </w:rPr>
              <w:t>已签约但未完全履行</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r>
              <w:rPr>
                <w:rFonts w:ascii="黑体" w:hAnsi="黑体" w:cs="黑体" w:eastAsia="黑体" w:hint="default"/>
                <w:sz w:val="20"/>
                <w:szCs w:val="20"/>
              </w:rPr>
              <w:t>、</w:t>
            </w:r>
            <w:r>
              <w:rPr>
                <w:rFonts w:ascii="Arial" w:hAnsi="Arial" w:cs="Arial" w:eastAsia="Arial" w:hint="default"/>
                <w:sz w:val="20"/>
                <w:szCs w:val="20"/>
              </w:rPr>
              <w:t>2</w:t>
            </w:r>
            <w:r>
              <w:rPr>
                <w:rFonts w:ascii="黑体" w:hAnsi="黑体" w:cs="黑体" w:eastAsia="黑体" w:hint="default"/>
                <w:sz w:val="20"/>
                <w:szCs w:val="20"/>
              </w:rPr>
              <w:t>、</w:t>
            </w:r>
            <w:r>
              <w:rPr>
                <w:rFonts w:ascii="Arial" w:hAnsi="Arial" w:cs="Arial" w:eastAsia="Arial" w:hint="default"/>
                <w:sz w:val="20"/>
                <w:szCs w:val="20"/>
              </w:rPr>
              <w:t>3</w:t>
            </w:r>
            <w:r>
              <w:rPr>
                <w:rFonts w:ascii="黑体" w:hAnsi="黑体" w:cs="黑体" w:eastAsia="黑体" w:hint="default"/>
                <w:sz w:val="20"/>
                <w:szCs w:val="20"/>
              </w:rPr>
              <w:t>、</w:t>
            </w:r>
            <w:r>
              <w:rPr>
                <w:rFonts w:ascii="Arial" w:hAnsi="Arial" w:cs="Arial" w:eastAsia="Arial" w:hint="default"/>
                <w:sz w:val="20"/>
                <w:szCs w:val="20"/>
              </w:rPr>
              <w:t>4)</w:t>
            </w:r>
          </w:p>
        </w:tc>
        <w:tc>
          <w:tcPr>
            <w:tcW w:w="22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17"/>
              <w:jc w:val="right"/>
              <w:rPr>
                <w:rFonts w:ascii="Arial" w:hAnsi="Arial" w:cs="Arial" w:eastAsia="Arial" w:hint="default"/>
                <w:sz w:val="20"/>
                <w:szCs w:val="20"/>
              </w:rPr>
            </w:pPr>
            <w:r>
              <w:rPr>
                <w:rFonts w:ascii="Arial"/>
                <w:w w:val="100"/>
                <w:sz w:val="20"/>
              </w:rPr>
            </w:r>
            <w:r>
              <w:rPr>
                <w:rFonts w:ascii="Arial"/>
                <w:spacing w:val="-1"/>
                <w:sz w:val="20"/>
                <w:u w:val="single" w:color="000000"/>
              </w:rPr>
              <w:t>101,853,707</w:t>
            </w:r>
            <w:r>
              <w:rPr>
                <w:rFonts w:ascii="Arial"/>
                <w:spacing w:val="-1"/>
                <w:sz w:val="20"/>
              </w:rPr>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spacing w:val="-1"/>
                <w:sz w:val="20"/>
                <w:u w:val="single" w:color="000000"/>
              </w:rPr>
              <w:t>57,000,000</w:t>
            </w:r>
            <w:r>
              <w:rPr>
                <w:rFonts w:ascii="Arial"/>
                <w:spacing w:val="-1"/>
                <w:sz w:val="20"/>
              </w:rPr>
            </w:r>
          </w:p>
        </w:tc>
      </w:tr>
      <w:tr>
        <w:trPr>
          <w:trHeight w:val="456" w:hRule="exact"/>
        </w:trPr>
        <w:tc>
          <w:tcPr>
            <w:tcW w:w="3957" w:type="dxa"/>
            <w:tcBorders>
              <w:top w:val="nil" w:sz="6" w:space="0" w:color="auto"/>
              <w:left w:val="nil" w:sz="6" w:space="0" w:color="auto"/>
              <w:bottom w:val="nil" w:sz="6" w:space="0" w:color="auto"/>
              <w:right w:val="nil" w:sz="6" w:space="0" w:color="auto"/>
            </w:tcBorders>
          </w:tcPr>
          <w:p>
            <w:pPr/>
          </w:p>
        </w:tc>
        <w:tc>
          <w:tcPr>
            <w:tcW w:w="2277"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418"/>
              <w:jc w:val="right"/>
              <w:rPr>
                <w:rFonts w:ascii="Arial" w:hAnsi="Arial" w:cs="Arial" w:eastAsia="Arial" w:hint="default"/>
                <w:sz w:val="20"/>
                <w:szCs w:val="20"/>
              </w:rPr>
            </w:pPr>
            <w:r>
              <w:rPr>
                <w:rFonts w:ascii="Arial"/>
                <w:w w:val="100"/>
                <w:sz w:val="20"/>
              </w:rPr>
            </w:r>
            <w:r>
              <w:rPr>
                <w:rFonts w:ascii="Arial"/>
                <w:spacing w:val="-1"/>
                <w:sz w:val="20"/>
                <w:u w:val="thick" w:color="000000"/>
              </w:rPr>
              <w:t>101,853,707</w:t>
            </w:r>
            <w:r>
              <w:rPr>
                <w:rFonts w:ascii="Arial"/>
                <w:spacing w:val="-1"/>
                <w:sz w:val="20"/>
              </w:rPr>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70,701,800</w:t>
            </w:r>
            <w:r>
              <w:rPr>
                <w:rFonts w:ascii="Arial"/>
                <w:spacing w:val="-1"/>
                <w:sz w:val="20"/>
              </w:rPr>
            </w:r>
          </w:p>
        </w:tc>
      </w:tr>
    </w:tbl>
    <w:p>
      <w:pPr>
        <w:spacing w:line="240" w:lineRule="auto" w:before="2"/>
        <w:rPr>
          <w:rFonts w:ascii="黑体" w:hAnsi="黑体" w:cs="黑体" w:eastAsia="黑体" w:hint="default"/>
          <w:sz w:val="6"/>
          <w:szCs w:val="6"/>
        </w:rPr>
      </w:pPr>
    </w:p>
    <w:p>
      <w:pPr>
        <w:pStyle w:val="BodyText"/>
        <w:spacing w:line="225" w:lineRule="auto" w:before="52"/>
        <w:ind w:left="1377" w:right="200" w:hanging="567"/>
        <w:jc w:val="both"/>
      </w:pPr>
      <w:r>
        <w:rPr/>
        <w:t>注</w:t>
      </w:r>
      <w:r>
        <w:rPr>
          <w:rFonts w:ascii="Arial" w:hAnsi="Arial" w:cs="Arial" w:eastAsia="Arial" w:hint="default"/>
        </w:rPr>
        <w:t>1. </w:t>
      </w:r>
      <w:r>
        <w:rPr/>
        <w:t>根据</w:t>
      </w:r>
      <w:r>
        <w:rPr>
          <w:rFonts w:ascii="Arial" w:hAnsi="Arial" w:cs="Arial" w:eastAsia="Arial" w:hint="default"/>
        </w:rPr>
        <w:t>2009</w:t>
      </w:r>
      <w:r>
        <w:rPr/>
        <w:t>年</w:t>
      </w:r>
      <w:r>
        <w:rPr>
          <w:rFonts w:ascii="Arial" w:hAnsi="Arial" w:cs="Arial" w:eastAsia="Arial" w:hint="default"/>
        </w:rPr>
        <w:t>10</w:t>
      </w:r>
      <w:r>
        <w:rPr/>
        <w:t>月</w:t>
      </w:r>
      <w:r>
        <w:rPr>
          <w:rFonts w:ascii="Arial" w:hAnsi="Arial" w:cs="Arial" w:eastAsia="Arial" w:hint="default"/>
        </w:rPr>
        <w:t>30</w:t>
      </w:r>
      <w:r>
        <w:rPr/>
        <w:t>日公司第四届董事会</w:t>
      </w:r>
      <w:r>
        <w:rPr>
          <w:rFonts w:ascii="Arial" w:hAnsi="Arial" w:cs="Arial" w:eastAsia="Arial" w:hint="default"/>
        </w:rPr>
        <w:t>2009</w:t>
      </w:r>
      <w:r>
        <w:rPr/>
        <w:t>年第十次会议决议，本公司于</w:t>
      </w:r>
      <w:r>
        <w:rPr>
          <w:rFonts w:ascii="Arial" w:hAnsi="Arial" w:cs="Arial" w:eastAsia="Arial" w:hint="default"/>
        </w:rPr>
        <w:t>2009</w:t>
      </w:r>
      <w:r>
        <w:rPr/>
        <w:t>年</w:t>
      </w:r>
      <w:r>
        <w:rPr>
          <w:spacing w:val="-85"/>
        </w:rPr>
        <w:t> </w:t>
      </w:r>
      <w:r>
        <w:rPr>
          <w:rFonts w:ascii="Arial" w:hAnsi="Arial" w:cs="Arial" w:eastAsia="Arial" w:hint="default"/>
        </w:rPr>
        <w:t>11</w:t>
      </w:r>
      <w:r>
        <w:rPr/>
        <w:t>月</w:t>
      </w:r>
      <w:r>
        <w:rPr>
          <w:rFonts w:ascii="Arial" w:hAnsi="Arial" w:cs="Arial" w:eastAsia="Arial" w:hint="default"/>
        </w:rPr>
        <w:t>11</w:t>
      </w:r>
      <w:r>
        <w:rPr/>
        <w:t>日与通联支付网络服务股份有限公司（以下简称</w:t>
      </w:r>
      <w:r>
        <w:rPr>
          <w:rFonts w:ascii="Arial" w:hAnsi="Arial" w:cs="Arial" w:eastAsia="Arial" w:hint="default"/>
        </w:rPr>
        <w:t>“</w:t>
      </w:r>
      <w:r>
        <w:rPr/>
        <w:t>通联支付公司</w:t>
      </w:r>
      <w:r>
        <w:rPr>
          <w:rFonts w:ascii="Arial" w:hAnsi="Arial" w:cs="Arial" w:eastAsia="Arial" w:hint="default"/>
        </w:rPr>
        <w:t>”</w:t>
      </w:r>
      <w:r>
        <w:rPr/>
        <w:t>）签订了股</w:t>
      </w:r>
      <w:r>
        <w:rPr>
          <w:spacing w:val="1"/>
          <w:w w:val="100"/>
        </w:rPr>
        <w:t> </w:t>
      </w:r>
      <w:r>
        <w:rPr>
          <w:spacing w:val="-2"/>
        </w:rPr>
        <w:t>份认购协议，认购通联支付公司以非公开形式发行的新股</w:t>
      </w:r>
      <w:r>
        <w:rPr>
          <w:rFonts w:ascii="Arial" w:hAnsi="Arial" w:cs="Arial" w:eastAsia="Arial" w:hint="default"/>
          <w:spacing w:val="-2"/>
        </w:rPr>
        <w:t>3000</w:t>
      </w:r>
      <w:r>
        <w:rPr>
          <w:spacing w:val="-2"/>
        </w:rPr>
        <w:t>万股，上述股份均为</w:t>
      </w:r>
      <w:r>
        <w:rPr>
          <w:w w:val="100"/>
        </w:rPr>
        <w:t> </w:t>
      </w:r>
      <w:r>
        <w:rPr>
          <w:spacing w:val="11"/>
        </w:rPr>
        <w:t>普通股，每股面值人民币</w:t>
      </w:r>
      <w:r>
        <w:rPr>
          <w:rFonts w:ascii="Arial" w:hAnsi="Arial" w:cs="Arial" w:eastAsia="Arial" w:hint="default"/>
          <w:spacing w:val="11"/>
        </w:rPr>
        <w:t>1</w:t>
      </w:r>
      <w:r>
        <w:rPr>
          <w:spacing w:val="11"/>
        </w:rPr>
        <w:t>元，每股发行价格为</w:t>
      </w:r>
      <w:r>
        <w:rPr>
          <w:rFonts w:ascii="Arial" w:hAnsi="Arial" w:cs="Arial" w:eastAsia="Arial" w:hint="default"/>
          <w:spacing w:val="11"/>
        </w:rPr>
        <w:t>1.5</w:t>
      </w:r>
      <w:r>
        <w:rPr>
          <w:spacing w:val="11"/>
        </w:rPr>
        <w:t>元，合计认购金额为人民币</w:t>
      </w:r>
      <w:r>
        <w:rPr>
          <w:spacing w:val="13"/>
          <w:w w:val="100"/>
        </w:rPr>
        <w:t> </w:t>
      </w:r>
      <w:r>
        <w:rPr>
          <w:rFonts w:ascii="Arial" w:hAnsi="Arial" w:cs="Arial" w:eastAsia="Arial" w:hint="default"/>
        </w:rPr>
        <w:t>45,000,000</w:t>
      </w:r>
      <w:r>
        <w:rPr/>
        <w:t>元。认购后，本公司持有通联支付公司</w:t>
      </w:r>
      <w:r>
        <w:rPr>
          <w:rFonts w:ascii="Arial" w:hAnsi="Arial" w:cs="Arial" w:eastAsia="Arial" w:hint="default"/>
        </w:rPr>
        <w:t>2.2059%</w:t>
      </w:r>
      <w:r>
        <w:rPr/>
        <w:t>的股权。于</w:t>
      </w:r>
      <w:r>
        <w:rPr>
          <w:rFonts w:ascii="Arial" w:hAnsi="Arial" w:cs="Arial" w:eastAsia="Arial" w:hint="default"/>
        </w:rPr>
        <w:t>2010</w:t>
      </w:r>
      <w:r>
        <w:rPr/>
        <w:t>年</w:t>
      </w:r>
      <w:r>
        <w:rPr>
          <w:rFonts w:ascii="Arial" w:hAnsi="Arial" w:cs="Arial" w:eastAsia="Arial" w:hint="default"/>
        </w:rPr>
        <w:t>1</w:t>
      </w:r>
      <w:r>
        <w:rPr/>
        <w:t>月</w:t>
      </w:r>
    </w:p>
    <w:p>
      <w:pPr>
        <w:pStyle w:val="BodyText"/>
        <w:spacing w:line="262" w:lineRule="exact"/>
        <w:ind w:left="1377" w:right="114"/>
        <w:jc w:val="left"/>
      </w:pPr>
      <w:r>
        <w:rPr>
          <w:rFonts w:ascii="Arial" w:hAnsi="Arial" w:cs="Arial" w:eastAsia="Arial" w:hint="default"/>
        </w:rPr>
        <w:t>20</w:t>
      </w:r>
      <w:r>
        <w:rPr/>
        <w:t>日，公司根据董事会决议支付了认购款人民币</w:t>
      </w:r>
      <w:r>
        <w:rPr>
          <w:rFonts w:ascii="Arial" w:hAnsi="Arial" w:cs="Arial" w:eastAsia="Arial" w:hint="default"/>
        </w:rPr>
        <w:t>45,000,000</w:t>
      </w:r>
      <w:r>
        <w:rPr/>
        <w:t>元。</w:t>
      </w:r>
    </w:p>
    <w:p>
      <w:pPr>
        <w:spacing w:line="240" w:lineRule="auto" w:before="4"/>
        <w:rPr>
          <w:rFonts w:ascii="黑体" w:hAnsi="黑体" w:cs="黑体" w:eastAsia="黑体" w:hint="default"/>
          <w:sz w:val="18"/>
          <w:szCs w:val="18"/>
        </w:rPr>
      </w:pPr>
    </w:p>
    <w:p>
      <w:pPr>
        <w:pStyle w:val="BodyText"/>
        <w:spacing w:line="260" w:lineRule="exact"/>
        <w:ind w:left="1377" w:right="214" w:hanging="567"/>
        <w:jc w:val="both"/>
      </w:pPr>
      <w:r>
        <w:rPr/>
        <w:t>注</w:t>
      </w:r>
      <w:r>
        <w:rPr>
          <w:rFonts w:ascii="Arial" w:hAnsi="Arial" w:cs="Arial" w:eastAsia="Arial" w:hint="default"/>
        </w:rPr>
        <w:t>2.</w:t>
      </w:r>
      <w:r>
        <w:rPr>
          <w:rFonts w:ascii="Arial" w:hAnsi="Arial" w:cs="Arial" w:eastAsia="Arial" w:hint="default"/>
          <w:spacing w:val="48"/>
        </w:rPr>
        <w:t> </w:t>
      </w:r>
      <w:r>
        <w:rPr/>
        <w:t>根据</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23</w:t>
      </w:r>
      <w:r>
        <w:rPr/>
        <w:t>日第四届董事会</w:t>
      </w:r>
      <w:r>
        <w:rPr>
          <w:rFonts w:ascii="Arial" w:hAnsi="Arial" w:cs="Arial" w:eastAsia="Arial" w:hint="default"/>
        </w:rPr>
        <w:t>2009</w:t>
      </w:r>
      <w:r>
        <w:rPr/>
        <w:t>年第十一次会议决议，本公司于</w:t>
      </w:r>
      <w:r>
        <w:rPr>
          <w:rFonts w:ascii="Arial" w:hAnsi="Arial" w:cs="Arial" w:eastAsia="Arial" w:hint="default"/>
        </w:rPr>
        <w:t>2009</w:t>
      </w:r>
      <w:r>
        <w:rPr/>
        <w:t>年</w:t>
      </w:r>
      <w:r>
        <w:rPr>
          <w:rFonts w:ascii="Arial" w:hAnsi="Arial" w:cs="Arial" w:eastAsia="Arial" w:hint="default"/>
        </w:rPr>
        <w:t>12</w:t>
      </w:r>
      <w:r>
        <w:rPr>
          <w:rFonts w:ascii="Arial" w:hAnsi="Arial" w:cs="Arial" w:eastAsia="Arial" w:hint="default"/>
          <w:w w:val="100"/>
        </w:rPr>
        <w:t> </w:t>
      </w:r>
      <w:r>
        <w:rPr/>
        <w:t>月</w:t>
      </w:r>
      <w:r>
        <w:rPr>
          <w:rFonts w:ascii="Arial" w:hAnsi="Arial" w:cs="Arial" w:eastAsia="Arial" w:hint="default"/>
        </w:rPr>
        <w:t>25</w:t>
      </w:r>
      <w:r>
        <w:rPr/>
        <w:t>日与北京华建友联信息技术有限公司（以下简称</w:t>
      </w:r>
      <w:r>
        <w:rPr>
          <w:rFonts w:ascii="Arial" w:hAnsi="Arial" w:cs="Arial" w:eastAsia="Arial" w:hint="default"/>
        </w:rPr>
        <w:t>“</w:t>
      </w:r>
      <w:r>
        <w:rPr/>
        <w:t>华建友联公司</w:t>
      </w:r>
      <w:r>
        <w:rPr>
          <w:rFonts w:ascii="Arial" w:hAnsi="Arial" w:cs="Arial" w:eastAsia="Arial" w:hint="default"/>
        </w:rPr>
        <w:t>”</w:t>
      </w:r>
      <w:r>
        <w:rPr/>
        <w:t>）签订了增资</w:t>
      </w:r>
      <w:r>
        <w:rPr>
          <w:w w:val="100"/>
        </w:rPr>
        <w:t> </w:t>
      </w:r>
      <w:r>
        <w:rPr>
          <w:spacing w:val="-5"/>
        </w:rPr>
        <w:t>扩股协议书，以现金人民币</w:t>
      </w:r>
      <w:r>
        <w:rPr>
          <w:rFonts w:ascii="Arial" w:hAnsi="Arial" w:cs="Arial" w:eastAsia="Arial" w:hint="default"/>
          <w:spacing w:val="-5"/>
        </w:rPr>
        <w:t>2,000,000</w:t>
      </w:r>
      <w:r>
        <w:rPr>
          <w:spacing w:val="-5"/>
        </w:rPr>
        <w:t>元向华建友联公司增资，其中，人民币</w:t>
      </w:r>
      <w:r>
        <w:rPr>
          <w:rFonts w:ascii="Arial" w:hAnsi="Arial" w:cs="Arial" w:eastAsia="Arial" w:hint="default"/>
          <w:spacing w:val="-5"/>
        </w:rPr>
        <w:t>444,445</w:t>
      </w:r>
      <w:r>
        <w:rPr>
          <w:rFonts w:ascii="Arial" w:hAnsi="Arial" w:cs="Arial" w:eastAsia="Arial" w:hint="default"/>
          <w:w w:val="100"/>
        </w:rPr>
        <w:t> </w:t>
      </w:r>
      <w:r>
        <w:rPr>
          <w:spacing w:val="-3"/>
        </w:rPr>
        <w:t>元为公司注册资本，其余</w:t>
      </w:r>
      <w:r>
        <w:rPr>
          <w:rFonts w:ascii="Arial" w:hAnsi="Arial" w:cs="Arial" w:eastAsia="Arial" w:hint="default"/>
          <w:spacing w:val="-3"/>
        </w:rPr>
        <w:t>1,555,555</w:t>
      </w:r>
      <w:r>
        <w:rPr>
          <w:spacing w:val="-3"/>
        </w:rPr>
        <w:t>万元列入华建友联公司资本公积金。增资后，华</w:t>
      </w:r>
      <w:r>
        <w:rPr>
          <w:w w:val="100"/>
        </w:rPr>
        <w:t> </w:t>
      </w:r>
      <w:r>
        <w:rPr/>
        <w:t>建友联公司注册资金增至</w:t>
      </w:r>
      <w:r>
        <w:rPr>
          <w:rFonts w:ascii="Arial" w:hAnsi="Arial" w:cs="Arial" w:eastAsia="Arial" w:hint="default"/>
        </w:rPr>
        <w:t>4,444,445</w:t>
      </w:r>
      <w:r>
        <w:rPr/>
        <w:t>万元，本公司持有其</w:t>
      </w:r>
      <w:r>
        <w:rPr>
          <w:rFonts w:ascii="Arial" w:hAnsi="Arial" w:cs="Arial" w:eastAsia="Arial" w:hint="default"/>
        </w:rPr>
        <w:t>10%</w:t>
      </w:r>
      <w:r>
        <w:rPr/>
        <w:t>股权。于</w:t>
      </w:r>
      <w:r>
        <w:rPr>
          <w:rFonts w:ascii="Arial" w:hAnsi="Arial" w:cs="Arial" w:eastAsia="Arial" w:hint="default"/>
        </w:rPr>
        <w:t>2010</w:t>
      </w:r>
      <w:r>
        <w:rPr/>
        <w:t>年</w:t>
      </w:r>
      <w:r>
        <w:rPr>
          <w:rFonts w:ascii="Arial" w:hAnsi="Arial" w:cs="Arial" w:eastAsia="Arial" w:hint="default"/>
        </w:rPr>
        <w:t>3</w:t>
      </w:r>
      <w:r>
        <w:rPr/>
        <w:t>月</w:t>
      </w:r>
      <w:r>
        <w:rPr>
          <w:rFonts w:ascii="Arial" w:hAnsi="Arial" w:cs="Arial" w:eastAsia="Arial" w:hint="default"/>
        </w:rPr>
        <w:t>4</w:t>
      </w:r>
      <w:r>
        <w:rPr>
          <w:rFonts w:ascii="Arial" w:hAnsi="Arial" w:cs="Arial" w:eastAsia="Arial" w:hint="default"/>
          <w:w w:val="100"/>
        </w:rPr>
        <w:t> </w:t>
      </w:r>
      <w:r>
        <w:rPr/>
        <w:t>日，公司根据董事会决议支付了增资款人民币</w:t>
      </w:r>
      <w:r>
        <w:rPr>
          <w:rFonts w:ascii="Arial" w:hAnsi="Arial" w:cs="Arial" w:eastAsia="Arial" w:hint="default"/>
        </w:rPr>
        <w:t>2,000,000</w:t>
      </w:r>
      <w:r>
        <w:rPr/>
        <w:t>元。</w:t>
      </w:r>
    </w:p>
    <w:p>
      <w:pPr>
        <w:spacing w:line="240" w:lineRule="auto" w:before="6"/>
        <w:rPr>
          <w:rFonts w:ascii="黑体" w:hAnsi="黑体" w:cs="黑体" w:eastAsia="黑体" w:hint="default"/>
          <w:sz w:val="16"/>
          <w:szCs w:val="16"/>
        </w:rPr>
      </w:pPr>
    </w:p>
    <w:p>
      <w:pPr>
        <w:pStyle w:val="BodyText"/>
        <w:spacing w:line="228" w:lineRule="auto"/>
        <w:ind w:left="1377" w:right="209" w:hanging="567"/>
        <w:jc w:val="both"/>
      </w:pPr>
      <w:r>
        <w:rPr/>
        <w:t>注</w:t>
      </w:r>
      <w:r>
        <w:rPr>
          <w:rFonts w:ascii="Arial" w:hAnsi="Arial" w:cs="Arial" w:eastAsia="Arial" w:hint="default"/>
        </w:rPr>
        <w:t>3.</w:t>
      </w:r>
      <w:r>
        <w:rPr>
          <w:rFonts w:ascii="Arial" w:hAnsi="Arial" w:cs="Arial" w:eastAsia="Arial" w:hint="default"/>
          <w:spacing w:val="12"/>
        </w:rPr>
        <w:t> </w:t>
      </w:r>
      <w:r>
        <w:rPr/>
        <w:t>根据</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23</w:t>
      </w:r>
      <w:r>
        <w:rPr/>
        <w:t>日公司第四届董事会</w:t>
      </w:r>
      <w:r>
        <w:rPr>
          <w:rFonts w:ascii="Arial" w:hAnsi="Arial" w:cs="Arial" w:eastAsia="Arial" w:hint="default"/>
        </w:rPr>
        <w:t>2009</w:t>
      </w:r>
      <w:r>
        <w:rPr/>
        <w:t>年第十一次会议决议，本公司于</w:t>
      </w:r>
      <w:r>
        <w:rPr>
          <w:rFonts w:ascii="Arial" w:hAnsi="Arial" w:cs="Arial" w:eastAsia="Arial" w:hint="default"/>
        </w:rPr>
        <w:t>2009</w:t>
      </w:r>
      <w:r>
        <w:rPr>
          <w:rFonts w:ascii="Arial" w:hAnsi="Arial" w:cs="Arial" w:eastAsia="Arial" w:hint="default"/>
          <w:spacing w:val="-51"/>
        </w:rPr>
        <w:t> </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25</w:t>
      </w:r>
      <w:r>
        <w:rPr>
          <w:spacing w:val="-2"/>
        </w:rPr>
        <w:t>日与下属子公司用友华表之自然人股东董国杰签订了增资协议，将用友华</w:t>
      </w:r>
      <w:r>
        <w:rPr>
          <w:w w:val="100"/>
        </w:rPr>
        <w:t> </w:t>
      </w:r>
      <w:r>
        <w:rPr>
          <w:spacing w:val="2"/>
        </w:rPr>
        <w:t>表资本公积中的人民币</w:t>
      </w:r>
      <w:r>
        <w:rPr>
          <w:rFonts w:ascii="Arial" w:hAnsi="Arial" w:cs="Arial" w:eastAsia="Arial" w:hint="default"/>
          <w:spacing w:val="2"/>
        </w:rPr>
        <w:t>8,400,000</w:t>
      </w:r>
      <w:r>
        <w:rPr>
          <w:spacing w:val="2"/>
        </w:rPr>
        <w:t>元及截至</w:t>
      </w:r>
      <w:r>
        <w:rPr>
          <w:rFonts w:ascii="Arial" w:hAnsi="Arial" w:cs="Arial" w:eastAsia="Arial" w:hint="default"/>
          <w:spacing w:val="2"/>
        </w:rPr>
        <w:t>2009</w:t>
      </w:r>
      <w:r>
        <w:rPr>
          <w:spacing w:val="2"/>
        </w:rPr>
        <w:t>年</w:t>
      </w:r>
      <w:r>
        <w:rPr>
          <w:rFonts w:ascii="Arial" w:hAnsi="Arial" w:cs="Arial" w:eastAsia="Arial" w:hint="default"/>
          <w:spacing w:val="2"/>
        </w:rPr>
        <w:t>9</w:t>
      </w:r>
      <w:r>
        <w:rPr>
          <w:spacing w:val="2"/>
        </w:rPr>
        <w:t>月</w:t>
      </w:r>
      <w:r>
        <w:rPr>
          <w:rFonts w:ascii="Arial" w:hAnsi="Arial" w:cs="Arial" w:eastAsia="Arial" w:hint="default"/>
          <w:spacing w:val="2"/>
        </w:rPr>
        <w:t>30</w:t>
      </w:r>
      <w:r>
        <w:rPr>
          <w:spacing w:val="2"/>
        </w:rPr>
        <w:t>日的未分配利润中人民币</w:t>
      </w:r>
      <w:r>
        <w:rPr>
          <w:spacing w:val="4"/>
          <w:w w:val="100"/>
        </w:rPr>
        <w:t> </w:t>
      </w:r>
      <w:r>
        <w:rPr>
          <w:rFonts w:ascii="Arial" w:hAnsi="Arial" w:cs="Arial" w:eastAsia="Arial" w:hint="default"/>
          <w:spacing w:val="-3"/>
        </w:rPr>
        <w:t>488,000</w:t>
      </w:r>
      <w:r>
        <w:rPr>
          <w:spacing w:val="-3"/>
        </w:rPr>
        <w:t>元转增注册资本；同时，本公司以现金方式认缴追加入资人民币</w:t>
      </w:r>
      <w:r>
        <w:rPr>
          <w:rFonts w:ascii="Arial" w:hAnsi="Arial" w:cs="Arial" w:eastAsia="Arial" w:hint="default"/>
          <w:spacing w:val="-3"/>
        </w:rPr>
        <w:t>30,000,000</w:t>
      </w:r>
      <w:r>
        <w:rPr>
          <w:rFonts w:ascii="Arial" w:hAnsi="Arial" w:cs="Arial" w:eastAsia="Arial" w:hint="default"/>
          <w:w w:val="100"/>
        </w:rPr>
        <w:t> </w:t>
      </w:r>
      <w:r>
        <w:rPr/>
        <w:t>元，自然人股东董国杰放弃按出资比例认缴该出资的权利。增资后，用友华表注册</w:t>
      </w:r>
      <w:r>
        <w:rPr>
          <w:w w:val="100"/>
        </w:rPr>
        <w:t> </w:t>
      </w:r>
      <w:r>
        <w:rPr/>
        <w:t>资本由人民币</w:t>
      </w:r>
      <w:r>
        <w:rPr>
          <w:rFonts w:ascii="Arial" w:hAnsi="Arial" w:cs="Arial" w:eastAsia="Arial" w:hint="default"/>
        </w:rPr>
        <w:t>3,000,000</w:t>
      </w:r>
      <w:r>
        <w:rPr/>
        <w:t>元增至人民币</w:t>
      </w:r>
      <w:r>
        <w:rPr>
          <w:rFonts w:ascii="Arial" w:hAnsi="Arial" w:cs="Arial" w:eastAsia="Arial" w:hint="default"/>
        </w:rPr>
        <w:t>41,888,000</w:t>
      </w:r>
      <w:r>
        <w:rPr/>
        <w:t>元，本公司持有用友华表</w:t>
      </w:r>
      <w:r>
        <w:rPr>
          <w:rFonts w:ascii="Arial" w:hAnsi="Arial" w:cs="Arial" w:eastAsia="Arial" w:hint="default"/>
        </w:rPr>
        <w:t>99.43%</w:t>
      </w:r>
      <w:r>
        <w:rPr>
          <w:rFonts w:ascii="Arial" w:hAnsi="Arial" w:cs="Arial" w:eastAsia="Arial" w:hint="default"/>
          <w:w w:val="100"/>
        </w:rPr>
        <w:t> </w:t>
      </w:r>
      <w:r>
        <w:rPr/>
        <w:t>的股权。于</w:t>
      </w:r>
      <w:r>
        <w:rPr>
          <w:rFonts w:ascii="Arial" w:hAnsi="Arial" w:cs="Arial" w:eastAsia="Arial" w:hint="default"/>
        </w:rPr>
        <w:t>2010</w:t>
      </w:r>
      <w:r>
        <w:rPr/>
        <w:t>年</w:t>
      </w:r>
      <w:r>
        <w:rPr>
          <w:rFonts w:ascii="Arial" w:hAnsi="Arial" w:cs="Arial" w:eastAsia="Arial" w:hint="default"/>
        </w:rPr>
        <w:t>1</w:t>
      </w:r>
      <w:r>
        <w:rPr/>
        <w:t>月</w:t>
      </w:r>
      <w:r>
        <w:rPr>
          <w:rFonts w:ascii="Arial" w:hAnsi="Arial" w:cs="Arial" w:eastAsia="Arial" w:hint="default"/>
        </w:rPr>
        <w:t>21</w:t>
      </w:r>
      <w:r>
        <w:rPr/>
        <w:t>日，公司根据董事会决议支付了增资款人民币</w:t>
      </w:r>
      <w:r>
        <w:rPr>
          <w:rFonts w:ascii="Arial" w:hAnsi="Arial" w:cs="Arial" w:eastAsia="Arial" w:hint="default"/>
        </w:rPr>
        <w:t>30,000,000</w:t>
      </w:r>
      <w:r>
        <w:rPr>
          <w:rFonts w:ascii="Arial" w:hAnsi="Arial" w:cs="Arial" w:eastAsia="Arial" w:hint="default"/>
          <w:w w:val="100"/>
        </w:rPr>
        <w:t> </w:t>
      </w:r>
      <w:r>
        <w:rPr/>
        <w:t>元。</w:t>
      </w:r>
    </w:p>
    <w:p>
      <w:pPr>
        <w:spacing w:after="0" w:line="228" w:lineRule="auto"/>
        <w:jc w:val="both"/>
        <w:sectPr>
          <w:headerReference w:type="default" r:id="rId73"/>
          <w:pgSz w:w="11910" w:h="16840"/>
          <w:pgMar w:header="958" w:footer="548" w:top="2560" w:bottom="740" w:left="1600" w:right="1480"/>
        </w:sectPr>
      </w:pPr>
    </w:p>
    <w:p>
      <w:pPr>
        <w:spacing w:line="240" w:lineRule="auto" w:before="5"/>
        <w:rPr>
          <w:rFonts w:ascii="黑体" w:hAnsi="黑体" w:cs="黑体" w:eastAsia="黑体" w:hint="default"/>
          <w:sz w:val="22"/>
          <w:szCs w:val="22"/>
        </w:rPr>
      </w:pPr>
    </w:p>
    <w:p>
      <w:pPr>
        <w:tabs>
          <w:tab w:pos="803" w:val="left" w:leader="none"/>
        </w:tabs>
        <w:spacing w:before="38"/>
        <w:ind w:left="101" w:right="112" w:firstLine="0"/>
        <w:jc w:val="left"/>
        <w:rPr>
          <w:rFonts w:ascii="黑体" w:hAnsi="黑体" w:cs="黑体" w:eastAsia="黑体" w:hint="default"/>
          <w:sz w:val="20"/>
          <w:szCs w:val="20"/>
        </w:rPr>
      </w:pPr>
      <w:r>
        <w:rPr>
          <w:rFonts w:ascii="黑体" w:hAnsi="黑体" w:cs="黑体" w:eastAsia="黑体" w:hint="default"/>
          <w:b/>
          <w:bCs/>
          <w:sz w:val="20"/>
          <w:szCs w:val="20"/>
        </w:rPr>
        <w:t>八、</w:t>
        <w:tab/>
        <w:t>承诺事项（续）</w:t>
      </w:r>
      <w:r>
        <w:rPr>
          <w:rFonts w:ascii="黑体" w:hAnsi="黑体" w:cs="黑体" w:eastAsia="黑体" w:hint="default"/>
          <w:sz w:val="20"/>
          <w:szCs w:val="20"/>
        </w:rPr>
      </w:r>
    </w:p>
    <w:p>
      <w:pPr>
        <w:spacing w:line="240" w:lineRule="auto" w:before="10"/>
        <w:rPr>
          <w:rFonts w:ascii="黑体" w:hAnsi="黑体" w:cs="黑体" w:eastAsia="黑体" w:hint="default"/>
          <w:b/>
          <w:bCs/>
          <w:sz w:val="21"/>
          <w:szCs w:val="21"/>
        </w:rPr>
      </w:pPr>
    </w:p>
    <w:p>
      <w:pPr>
        <w:pStyle w:val="BodyText"/>
        <w:spacing w:line="225" w:lineRule="auto"/>
        <w:ind w:left="1377" w:right="158" w:hanging="567"/>
        <w:jc w:val="both"/>
      </w:pPr>
      <w:r>
        <w:rPr/>
        <w:t>注</w:t>
      </w:r>
      <w:r>
        <w:rPr>
          <w:rFonts w:ascii="Arial" w:hAnsi="Arial" w:cs="Arial" w:eastAsia="Arial" w:hint="default"/>
        </w:rPr>
        <w:t>4. </w:t>
      </w:r>
      <w:r>
        <w:rPr/>
        <w:t>根据</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23</w:t>
      </w:r>
      <w:r>
        <w:rPr/>
        <w:t>日公司第四届董事会</w:t>
      </w:r>
      <w:r>
        <w:rPr>
          <w:rFonts w:ascii="Arial" w:hAnsi="Arial" w:cs="Arial" w:eastAsia="Arial" w:hint="default"/>
        </w:rPr>
        <w:t>2009</w:t>
      </w:r>
      <w:r>
        <w:rPr/>
        <w:t>年第十一次会议决议，本公司于</w:t>
      </w:r>
      <w:r>
        <w:rPr>
          <w:rFonts w:ascii="Arial" w:hAnsi="Arial" w:cs="Arial" w:eastAsia="Arial" w:hint="default"/>
        </w:rPr>
        <w:t>2009</w:t>
      </w:r>
      <w:r>
        <w:rPr>
          <w:rFonts w:ascii="Arial" w:hAnsi="Arial" w:cs="Arial" w:eastAsia="Arial" w:hint="default"/>
          <w:spacing w:val="-39"/>
        </w:rPr>
        <w:t> </w:t>
      </w:r>
      <w:r>
        <w:rPr>
          <w:spacing w:val="-2"/>
        </w:rPr>
        <w:t>年</w:t>
      </w:r>
      <w:r>
        <w:rPr>
          <w:rFonts w:ascii="Arial" w:hAnsi="Arial" w:cs="Arial" w:eastAsia="Arial" w:hint="default"/>
          <w:spacing w:val="-2"/>
        </w:rPr>
        <w:t>10</w:t>
      </w:r>
      <w:r>
        <w:rPr>
          <w:spacing w:val="-2"/>
        </w:rPr>
        <w:t>月</w:t>
      </w:r>
      <w:r>
        <w:rPr>
          <w:rFonts w:ascii="Arial" w:hAnsi="Arial" w:cs="Arial" w:eastAsia="Arial" w:hint="default"/>
          <w:spacing w:val="-2"/>
        </w:rPr>
        <w:t>15</w:t>
      </w:r>
      <w:r>
        <w:rPr>
          <w:spacing w:val="-2"/>
        </w:rPr>
        <w:t>日与下属子公司用友政务之自然人股东王先臣签订了股权转让协议，以人</w:t>
      </w:r>
      <w:r>
        <w:rPr>
          <w:w w:val="100"/>
        </w:rPr>
        <w:t> </w:t>
      </w:r>
      <w:r>
        <w:rPr>
          <w:spacing w:val="-1"/>
        </w:rPr>
        <w:t>民币</w:t>
      </w:r>
      <w:r>
        <w:rPr>
          <w:rFonts w:ascii="Arial" w:hAnsi="Arial" w:cs="Arial" w:eastAsia="Arial" w:hint="default"/>
          <w:spacing w:val="-1"/>
        </w:rPr>
        <w:t>24,853,706.86</w:t>
      </w:r>
      <w:r>
        <w:rPr>
          <w:spacing w:val="-1"/>
        </w:rPr>
        <w:t>元的价格收购自然人股东王先臣所持有用友政务</w:t>
      </w:r>
      <w:r>
        <w:rPr>
          <w:rFonts w:ascii="Arial" w:hAnsi="Arial" w:cs="Arial" w:eastAsia="Arial" w:hint="default"/>
          <w:spacing w:val="-1"/>
        </w:rPr>
        <w:t>10.5%</w:t>
      </w:r>
      <w:r>
        <w:rPr>
          <w:spacing w:val="-1"/>
        </w:rPr>
        <w:t>的股权。</w:t>
      </w:r>
      <w:r>
        <w:rPr>
          <w:w w:val="100"/>
        </w:rPr>
        <w:t> </w:t>
      </w:r>
      <w:r>
        <w:rPr/>
        <w:t>收购后，本公司持有用友政务</w:t>
      </w:r>
      <w:r>
        <w:rPr>
          <w:rFonts w:ascii="Arial" w:hAnsi="Arial" w:cs="Arial" w:eastAsia="Arial" w:hint="default"/>
        </w:rPr>
        <w:t>78.5%</w:t>
      </w:r>
      <w:r>
        <w:rPr/>
        <w:t>的股权。于</w:t>
      </w:r>
      <w:r>
        <w:rPr>
          <w:rFonts w:ascii="Arial" w:hAnsi="Arial" w:cs="Arial" w:eastAsia="Arial" w:hint="default"/>
        </w:rPr>
        <w:t>2010</w:t>
      </w:r>
      <w:r>
        <w:rPr/>
        <w:t>年</w:t>
      </w:r>
      <w:r>
        <w:rPr>
          <w:rFonts w:ascii="Arial" w:hAnsi="Arial" w:cs="Arial" w:eastAsia="Arial" w:hint="default"/>
        </w:rPr>
        <w:t>2</w:t>
      </w:r>
      <w:r>
        <w:rPr/>
        <w:t>月</w:t>
      </w:r>
      <w:r>
        <w:rPr>
          <w:rFonts w:ascii="Arial" w:hAnsi="Arial" w:cs="Arial" w:eastAsia="Arial" w:hint="default"/>
        </w:rPr>
        <w:t>26</w:t>
      </w:r>
      <w:r>
        <w:rPr/>
        <w:t>日，公司根据董事会</w:t>
      </w:r>
      <w:r>
        <w:rPr>
          <w:w w:val="100"/>
        </w:rPr>
        <w:t> </w:t>
      </w:r>
      <w:r>
        <w:rPr/>
        <w:t>决议支付了收购款人民币</w:t>
      </w:r>
      <w:r>
        <w:rPr>
          <w:rFonts w:ascii="Arial" w:hAnsi="Arial" w:cs="Arial" w:eastAsia="Arial" w:hint="default"/>
        </w:rPr>
        <w:t>10,231,483</w:t>
      </w:r>
      <w:r>
        <w:rPr/>
        <w:t>元。</w:t>
      </w:r>
    </w:p>
    <w:p>
      <w:pPr>
        <w:spacing w:line="240" w:lineRule="auto" w:before="13"/>
        <w:rPr>
          <w:rFonts w:ascii="黑体" w:hAnsi="黑体" w:cs="黑体" w:eastAsia="黑体" w:hint="default"/>
          <w:sz w:val="24"/>
          <w:szCs w:val="24"/>
        </w:rPr>
      </w:pPr>
    </w:p>
    <w:p>
      <w:pPr>
        <w:pStyle w:val="BodyText"/>
        <w:spacing w:line="549" w:lineRule="auto"/>
        <w:ind w:right="1418"/>
        <w:jc w:val="left"/>
      </w:pPr>
      <w:r>
        <w:rPr/>
        <w:t>租赁承诺</w:t>
      </w:r>
      <w:r>
        <w:rPr>
          <w:w w:val="100"/>
        </w:rPr>
        <w:t> </w:t>
      </w:r>
      <w:r>
        <w:rPr>
          <w:spacing w:val="-1"/>
        </w:rPr>
        <w:t>本集团于下列期间有如下最少不可撤销之楼房租赁租金支出承诺：</w:t>
      </w:r>
    </w:p>
    <w:tbl>
      <w:tblPr>
        <w:tblW w:w="0" w:type="auto"/>
        <w:jc w:val="left"/>
        <w:tblInd w:w="772" w:type="dxa"/>
        <w:tblLayout w:type="fixed"/>
        <w:tblCellMar>
          <w:top w:w="0" w:type="dxa"/>
          <w:left w:w="0" w:type="dxa"/>
          <w:bottom w:w="0" w:type="dxa"/>
          <w:right w:w="0" w:type="dxa"/>
        </w:tblCellMar>
        <w:tblLook w:val="01E0"/>
      </w:tblPr>
      <w:tblGrid>
        <w:gridCol w:w="2555"/>
        <w:gridCol w:w="3398"/>
        <w:gridCol w:w="1914"/>
      </w:tblGrid>
      <w:tr>
        <w:trPr>
          <w:trHeight w:val="847" w:hRule="exact"/>
        </w:trPr>
        <w:tc>
          <w:tcPr>
            <w:tcW w:w="255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3"/>
              <w:ind w:right="0"/>
              <w:jc w:val="left"/>
              <w:rPr>
                <w:rFonts w:ascii="黑体" w:hAnsi="黑体" w:cs="黑体" w:eastAsia="黑体" w:hint="default"/>
                <w:sz w:val="22"/>
                <w:szCs w:val="22"/>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一年内</w:t>
            </w:r>
          </w:p>
        </w:tc>
        <w:tc>
          <w:tcPr>
            <w:tcW w:w="339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519"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p>
            <w:pPr>
              <w:pStyle w:val="TableParagraph"/>
              <w:spacing w:line="240" w:lineRule="auto" w:before="6"/>
              <w:ind w:right="0"/>
              <w:jc w:val="left"/>
              <w:rPr>
                <w:rFonts w:ascii="黑体" w:hAnsi="黑体" w:cs="黑体" w:eastAsia="黑体" w:hint="default"/>
                <w:sz w:val="21"/>
                <w:szCs w:val="21"/>
              </w:rPr>
            </w:pPr>
          </w:p>
          <w:p>
            <w:pPr>
              <w:pStyle w:val="TableParagraph"/>
              <w:spacing w:line="240" w:lineRule="auto"/>
              <w:ind w:left="2007" w:right="0"/>
              <w:jc w:val="left"/>
              <w:rPr>
                <w:rFonts w:ascii="Arial" w:hAnsi="Arial" w:cs="Arial" w:eastAsia="Arial" w:hint="default"/>
                <w:sz w:val="20"/>
                <w:szCs w:val="20"/>
              </w:rPr>
            </w:pPr>
            <w:r>
              <w:rPr>
                <w:rFonts w:ascii="Arial"/>
                <w:sz w:val="20"/>
              </w:rPr>
              <w:t>27,250,083</w:t>
            </w:r>
          </w:p>
        </w:tc>
        <w:tc>
          <w:tcPr>
            <w:tcW w:w="191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88"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p>
            <w:pPr>
              <w:pStyle w:val="TableParagraph"/>
              <w:spacing w:line="240" w:lineRule="auto" w:before="6"/>
              <w:ind w:right="0"/>
              <w:jc w:val="left"/>
              <w:rPr>
                <w:rFonts w:ascii="黑体" w:hAnsi="黑体" w:cs="黑体" w:eastAsia="黑体" w:hint="default"/>
                <w:sz w:val="21"/>
                <w:szCs w:val="21"/>
              </w:rPr>
            </w:pPr>
          </w:p>
          <w:p>
            <w:pPr>
              <w:pStyle w:val="TableParagraph"/>
              <w:spacing w:line="240" w:lineRule="auto"/>
              <w:ind w:left="877" w:right="0"/>
              <w:jc w:val="left"/>
              <w:rPr>
                <w:rFonts w:ascii="Arial" w:hAnsi="Arial" w:cs="Arial" w:eastAsia="Arial" w:hint="default"/>
                <w:sz w:val="20"/>
                <w:szCs w:val="20"/>
              </w:rPr>
            </w:pPr>
            <w:r>
              <w:rPr>
                <w:rFonts w:ascii="Arial"/>
                <w:sz w:val="20"/>
              </w:rPr>
              <w:t>31,873,990</w:t>
            </w:r>
          </w:p>
        </w:tc>
      </w:tr>
      <w:tr>
        <w:trPr>
          <w:trHeight w:val="260" w:hRule="exact"/>
        </w:trPr>
        <w:tc>
          <w:tcPr>
            <w:tcW w:w="2555"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一至二年内</w:t>
            </w:r>
          </w:p>
        </w:tc>
        <w:tc>
          <w:tcPr>
            <w:tcW w:w="33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86"/>
              <w:jc w:val="right"/>
              <w:rPr>
                <w:rFonts w:ascii="Arial" w:hAnsi="Arial" w:cs="Arial" w:eastAsia="Arial" w:hint="default"/>
                <w:sz w:val="20"/>
                <w:szCs w:val="20"/>
              </w:rPr>
            </w:pPr>
            <w:r>
              <w:rPr>
                <w:rFonts w:ascii="Arial"/>
                <w:spacing w:val="-1"/>
                <w:sz w:val="20"/>
              </w:rPr>
              <w:t>21,005,555</w:t>
            </w:r>
          </w:p>
        </w:tc>
        <w:tc>
          <w:tcPr>
            <w:tcW w:w="19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16,438,706</w:t>
            </w:r>
          </w:p>
        </w:tc>
      </w:tr>
      <w:tr>
        <w:trPr>
          <w:trHeight w:val="260" w:hRule="exact"/>
        </w:trPr>
        <w:tc>
          <w:tcPr>
            <w:tcW w:w="2555" w:type="dxa"/>
            <w:tcBorders>
              <w:top w:val="nil" w:sz="6" w:space="0" w:color="auto"/>
              <w:left w:val="nil" w:sz="6" w:space="0" w:color="auto"/>
              <w:bottom w:val="nil" w:sz="6" w:space="0" w:color="auto"/>
              <w:right w:val="nil" w:sz="6" w:space="0" w:color="auto"/>
            </w:tcBorders>
          </w:tcPr>
          <w:p>
            <w:pPr>
              <w:pStyle w:val="TableParagraph"/>
              <w:spacing w:line="227" w:lineRule="exact"/>
              <w:ind w:left="35" w:right="0"/>
              <w:jc w:val="left"/>
              <w:rPr>
                <w:rFonts w:ascii="黑体" w:hAnsi="黑体" w:cs="黑体" w:eastAsia="黑体" w:hint="default"/>
                <w:sz w:val="20"/>
                <w:szCs w:val="20"/>
              </w:rPr>
            </w:pPr>
            <w:r>
              <w:rPr>
                <w:rFonts w:ascii="黑体" w:hAnsi="黑体" w:cs="黑体" w:eastAsia="黑体" w:hint="default"/>
                <w:sz w:val="20"/>
                <w:szCs w:val="20"/>
              </w:rPr>
              <w:t>二至三年内</w:t>
            </w:r>
          </w:p>
        </w:tc>
        <w:tc>
          <w:tcPr>
            <w:tcW w:w="33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86"/>
              <w:jc w:val="right"/>
              <w:rPr>
                <w:rFonts w:ascii="Arial" w:hAnsi="Arial" w:cs="Arial" w:eastAsia="Arial" w:hint="default"/>
                <w:sz w:val="20"/>
                <w:szCs w:val="20"/>
              </w:rPr>
            </w:pPr>
            <w:r>
              <w:rPr>
                <w:rFonts w:ascii="Arial"/>
                <w:spacing w:val="-1"/>
                <w:sz w:val="20"/>
              </w:rPr>
              <w:t>16,924,140</w:t>
            </w:r>
          </w:p>
        </w:tc>
        <w:tc>
          <w:tcPr>
            <w:tcW w:w="19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11,059,634</w:t>
            </w:r>
          </w:p>
        </w:tc>
      </w:tr>
      <w:tr>
        <w:trPr>
          <w:trHeight w:val="388" w:hRule="exact"/>
        </w:trPr>
        <w:tc>
          <w:tcPr>
            <w:tcW w:w="2555"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三年以上</w:t>
            </w:r>
          </w:p>
        </w:tc>
        <w:tc>
          <w:tcPr>
            <w:tcW w:w="33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86"/>
              <w:jc w:val="right"/>
              <w:rPr>
                <w:rFonts w:ascii="Arial" w:hAnsi="Arial" w:cs="Arial" w:eastAsia="Arial" w:hint="default"/>
                <w:sz w:val="20"/>
                <w:szCs w:val="20"/>
              </w:rPr>
            </w:pPr>
            <w:r>
              <w:rPr>
                <w:rFonts w:ascii="Arial"/>
                <w:w w:val="100"/>
                <w:sz w:val="20"/>
              </w:rPr>
            </w:r>
            <w:r>
              <w:rPr>
                <w:rFonts w:ascii="Arial"/>
                <w:spacing w:val="-1"/>
                <w:sz w:val="20"/>
                <w:u w:val="single" w:color="000000"/>
              </w:rPr>
              <w:t>33,463,896</w:t>
            </w:r>
            <w:r>
              <w:rPr>
                <w:rFonts w:ascii="Arial"/>
                <w:spacing w:val="-1"/>
                <w:sz w:val="20"/>
              </w:rPr>
            </w:r>
          </w:p>
        </w:tc>
        <w:tc>
          <w:tcPr>
            <w:tcW w:w="19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4,045,339</w:t>
            </w:r>
            <w:r>
              <w:rPr>
                <w:rFonts w:ascii="Arial"/>
                <w:sz w:val="20"/>
              </w:rPr>
            </w:r>
          </w:p>
        </w:tc>
      </w:tr>
      <w:tr>
        <w:trPr>
          <w:trHeight w:val="455" w:hRule="exact"/>
        </w:trPr>
        <w:tc>
          <w:tcPr>
            <w:tcW w:w="2555" w:type="dxa"/>
            <w:tcBorders>
              <w:top w:val="nil" w:sz="6" w:space="0" w:color="auto"/>
              <w:left w:val="nil" w:sz="6" w:space="0" w:color="auto"/>
              <w:bottom w:val="nil" w:sz="6" w:space="0" w:color="auto"/>
              <w:right w:val="nil" w:sz="6" w:space="0" w:color="auto"/>
            </w:tcBorders>
          </w:tcPr>
          <w:p>
            <w:pPr/>
          </w:p>
        </w:tc>
        <w:tc>
          <w:tcPr>
            <w:tcW w:w="3398"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387"/>
              <w:jc w:val="right"/>
              <w:rPr>
                <w:rFonts w:ascii="Arial" w:hAnsi="Arial" w:cs="Arial" w:eastAsia="Arial" w:hint="default"/>
                <w:sz w:val="20"/>
                <w:szCs w:val="20"/>
              </w:rPr>
            </w:pPr>
            <w:r>
              <w:rPr>
                <w:rFonts w:ascii="Arial"/>
                <w:w w:val="100"/>
                <w:sz w:val="20"/>
              </w:rPr>
            </w:r>
            <w:r>
              <w:rPr>
                <w:rFonts w:ascii="Arial"/>
                <w:spacing w:val="-1"/>
                <w:sz w:val="20"/>
                <w:u w:val="thick" w:color="000000"/>
              </w:rPr>
              <w:t>98,643,674</w:t>
            </w:r>
            <w:r>
              <w:rPr>
                <w:rFonts w:ascii="Arial"/>
                <w:spacing w:val="-1"/>
                <w:sz w:val="20"/>
              </w:rPr>
            </w:r>
          </w:p>
        </w:tc>
        <w:tc>
          <w:tcPr>
            <w:tcW w:w="1914"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63,417,669</w:t>
            </w:r>
            <w:r>
              <w:rPr>
                <w:rFonts w:ascii="Arial"/>
                <w:spacing w:val="-1"/>
                <w:sz w:val="20"/>
              </w:rPr>
            </w:r>
          </w:p>
        </w:tc>
      </w:tr>
    </w:tbl>
    <w:p>
      <w:pPr>
        <w:spacing w:line="240" w:lineRule="auto" w:before="10"/>
        <w:rPr>
          <w:rFonts w:ascii="黑体" w:hAnsi="黑体" w:cs="黑体" w:eastAsia="黑体" w:hint="default"/>
          <w:sz w:val="14"/>
          <w:szCs w:val="14"/>
        </w:rPr>
      </w:pPr>
    </w:p>
    <w:p>
      <w:pPr>
        <w:pStyle w:val="BodyText"/>
        <w:spacing w:line="261" w:lineRule="auto" w:before="38"/>
        <w:ind w:right="175" w:hanging="1"/>
        <w:jc w:val="both"/>
      </w:pPr>
      <w:r>
        <w:rPr>
          <w:spacing w:val="-3"/>
        </w:rPr>
        <w:t>于</w:t>
      </w:r>
      <w:r>
        <w:rPr>
          <w:rFonts w:ascii="Arial" w:hAnsi="Arial" w:cs="Arial" w:eastAsia="Arial" w:hint="default"/>
          <w:spacing w:val="-3"/>
        </w:rPr>
        <w:t>2009</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日，除上述已披露的事项外，本集团和本公司无其他需作披露的重大承诺</w:t>
      </w:r>
      <w:r>
        <w:rPr>
          <w:spacing w:val="-82"/>
        </w:rPr>
        <w:t> </w:t>
      </w:r>
      <w:r>
        <w:rPr>
          <w:spacing w:val="-82"/>
        </w:rPr>
      </w:r>
      <w:r>
        <w:rPr/>
        <w:t>事项。</w:t>
      </w:r>
    </w:p>
    <w:p>
      <w:pPr>
        <w:spacing w:line="240" w:lineRule="auto" w:before="7"/>
        <w:rPr>
          <w:rFonts w:ascii="黑体" w:hAnsi="黑体" w:cs="黑体" w:eastAsia="黑体" w:hint="default"/>
          <w:sz w:val="29"/>
          <w:szCs w:val="29"/>
        </w:rPr>
      </w:pPr>
    </w:p>
    <w:p>
      <w:pPr>
        <w:tabs>
          <w:tab w:pos="803" w:val="left" w:leader="none"/>
        </w:tabs>
        <w:spacing w:before="0"/>
        <w:ind w:left="101" w:right="112" w:firstLine="0"/>
        <w:jc w:val="left"/>
        <w:rPr>
          <w:rFonts w:ascii="黑体" w:hAnsi="黑体" w:cs="黑体" w:eastAsia="黑体" w:hint="default"/>
          <w:sz w:val="20"/>
          <w:szCs w:val="20"/>
        </w:rPr>
      </w:pPr>
      <w:r>
        <w:rPr>
          <w:rFonts w:ascii="黑体" w:hAnsi="黑体" w:cs="黑体" w:eastAsia="黑体" w:hint="default"/>
          <w:b/>
          <w:bCs/>
          <w:sz w:val="20"/>
          <w:szCs w:val="20"/>
        </w:rPr>
        <w:t>九、</w:t>
        <w:tab/>
        <w:t>金融工具及其风险分析</w:t>
      </w:r>
      <w:r>
        <w:rPr>
          <w:rFonts w:ascii="黑体" w:hAnsi="黑体" w:cs="黑体" w:eastAsia="黑体" w:hint="default"/>
          <w:sz w:val="20"/>
          <w:szCs w:val="20"/>
        </w:rPr>
      </w:r>
    </w:p>
    <w:p>
      <w:pPr>
        <w:spacing w:line="240" w:lineRule="auto" w:before="12"/>
        <w:rPr>
          <w:rFonts w:ascii="黑体" w:hAnsi="黑体" w:cs="黑体" w:eastAsia="黑体" w:hint="default"/>
          <w:b/>
          <w:bCs/>
          <w:sz w:val="23"/>
          <w:szCs w:val="23"/>
        </w:rPr>
      </w:pPr>
    </w:p>
    <w:p>
      <w:pPr>
        <w:pStyle w:val="BodyText"/>
        <w:spacing w:line="276" w:lineRule="auto"/>
        <w:ind w:right="175"/>
        <w:jc w:val="both"/>
      </w:pPr>
      <w:r>
        <w:rPr>
          <w:spacing w:val="-1"/>
        </w:rPr>
        <w:t>本集团的主要金融工具，包括货币资金、交易性金融资产及可供出售金融资产等。这些金</w:t>
      </w:r>
      <w:r>
        <w:rPr>
          <w:spacing w:val="-80"/>
        </w:rPr>
        <w:t> </w:t>
      </w:r>
      <w:r>
        <w:rPr>
          <w:spacing w:val="-80"/>
        </w:rPr>
      </w:r>
      <w:r>
        <w:rPr>
          <w:spacing w:val="-1"/>
        </w:rPr>
        <w:t>融工具的主要目的在于为本集团的运营融资。本集团具有多种因经营而直接产生的其他金</w:t>
      </w:r>
      <w:r>
        <w:rPr>
          <w:spacing w:val="-80"/>
        </w:rPr>
        <w:t> </w:t>
      </w:r>
      <w:r>
        <w:rPr>
          <w:spacing w:val="-80"/>
        </w:rPr>
      </w:r>
      <w:r>
        <w:rPr/>
        <w:t>融资产和负债，如应收账款和应付账款等。</w:t>
      </w:r>
    </w:p>
    <w:p>
      <w:pPr>
        <w:spacing w:line="240" w:lineRule="auto" w:before="7"/>
        <w:rPr>
          <w:rFonts w:ascii="黑体" w:hAnsi="黑体" w:cs="黑体" w:eastAsia="黑体" w:hint="default"/>
          <w:sz w:val="23"/>
          <w:szCs w:val="23"/>
        </w:rPr>
      </w:pPr>
    </w:p>
    <w:p>
      <w:pPr>
        <w:pStyle w:val="BodyText"/>
        <w:spacing w:line="240" w:lineRule="auto"/>
        <w:ind w:right="0"/>
        <w:jc w:val="both"/>
      </w:pPr>
      <w:r>
        <w:rPr/>
        <w:t>本集团的金融工具导致的主要风险是信用风险、流动风险及市场风险。</w:t>
      </w:r>
    </w:p>
    <w:p>
      <w:pPr>
        <w:spacing w:line="240" w:lineRule="auto" w:before="11"/>
        <w:rPr>
          <w:rFonts w:ascii="黑体" w:hAnsi="黑体" w:cs="黑体" w:eastAsia="黑体" w:hint="default"/>
          <w:sz w:val="25"/>
          <w:szCs w:val="25"/>
        </w:rPr>
      </w:pPr>
    </w:p>
    <w:p>
      <w:pPr>
        <w:pStyle w:val="BodyText"/>
        <w:tabs>
          <w:tab w:pos="810" w:val="left" w:leader="none"/>
        </w:tabs>
        <w:spacing w:line="520" w:lineRule="auto"/>
        <w:ind w:right="1365" w:hanging="714"/>
        <w:jc w:val="left"/>
      </w:pPr>
      <w:r>
        <w:rPr>
          <w:rFonts w:ascii="Arial" w:hAnsi="Arial" w:cs="Arial" w:eastAsia="Arial" w:hint="default"/>
          <w:b/>
          <w:bCs/>
          <w:spacing w:val="-1"/>
        </w:rPr>
        <w:t>1.</w:t>
        <w:tab/>
      </w:r>
      <w:r>
        <w:rPr>
          <w:rFonts w:ascii="黑体" w:hAnsi="黑体" w:cs="黑体" w:eastAsia="黑体" w:hint="default"/>
          <w:b/>
          <w:bCs/>
        </w:rPr>
        <w:t>信用风险</w:t>
      </w:r>
      <w:r>
        <w:rPr>
          <w:rFonts w:ascii="黑体" w:hAnsi="黑体" w:cs="黑体" w:eastAsia="黑体" w:hint="default"/>
          <w:b/>
          <w:bCs/>
          <w:w w:val="99"/>
        </w:rPr>
        <w:t> </w:t>
      </w:r>
      <w:r>
        <w:rPr>
          <w:spacing w:val="-1"/>
        </w:rPr>
        <w:t>信用风险是指金融工具的一方因未能履行其义务而引起另一方损失的风险。</w:t>
      </w:r>
    </w:p>
    <w:p>
      <w:pPr>
        <w:pStyle w:val="BodyText"/>
        <w:spacing w:line="276" w:lineRule="auto" w:before="104"/>
        <w:ind w:right="175"/>
        <w:jc w:val="both"/>
      </w:pPr>
      <w:r>
        <w:rPr>
          <w:spacing w:val="-1"/>
        </w:rPr>
        <w:t>本集团仅与经认可的、信誉良好的第三方进行交易。按照本集团的政策，需对所有要求采</w:t>
      </w:r>
      <w:r>
        <w:rPr>
          <w:spacing w:val="-81"/>
        </w:rPr>
        <w:t> </w:t>
      </w:r>
      <w:r>
        <w:rPr>
          <w:spacing w:val="-81"/>
        </w:rPr>
      </w:r>
      <w:r>
        <w:rPr>
          <w:spacing w:val="-1"/>
        </w:rPr>
        <w:t>用信用方式进行交易的客户进行信用审核。另外，本集团对应收账款及其他应收款余额进</w:t>
      </w:r>
      <w:r>
        <w:rPr>
          <w:spacing w:val="-80"/>
        </w:rPr>
        <w:t> </w:t>
      </w:r>
      <w:r>
        <w:rPr>
          <w:spacing w:val="-80"/>
        </w:rPr>
      </w:r>
      <w:r>
        <w:rPr>
          <w:spacing w:val="-1"/>
        </w:rPr>
        <w:t>行持续监控，以确保本集团不致面临重大坏账风险。对于未采用相关经营单位的记账本位</w:t>
      </w:r>
      <w:r>
        <w:rPr>
          <w:spacing w:val="-78"/>
        </w:rPr>
        <w:t> </w:t>
      </w:r>
      <w:r>
        <w:rPr>
          <w:spacing w:val="-78"/>
        </w:rPr>
      </w:r>
      <w:r>
        <w:rPr/>
        <w:t>币结算的交易，除非本集团信用控制部门特别批准，否则本集团不提供信用交易条件。</w:t>
      </w:r>
    </w:p>
    <w:p>
      <w:pPr>
        <w:spacing w:line="240" w:lineRule="auto" w:before="7"/>
        <w:rPr>
          <w:rFonts w:ascii="黑体" w:hAnsi="黑体" w:cs="黑体" w:eastAsia="黑体" w:hint="default"/>
          <w:sz w:val="23"/>
          <w:szCs w:val="23"/>
        </w:rPr>
      </w:pPr>
    </w:p>
    <w:p>
      <w:pPr>
        <w:pStyle w:val="BodyText"/>
        <w:spacing w:line="276" w:lineRule="auto"/>
        <w:ind w:right="175"/>
        <w:jc w:val="both"/>
      </w:pPr>
      <w:r>
        <w:rPr>
          <w:spacing w:val="-1"/>
        </w:rPr>
        <w:t>本集团其他金融资产包括货币资金、交易性金融资产及可供出售的金融资产等，这些金融</w:t>
      </w:r>
      <w:r>
        <w:rPr>
          <w:spacing w:val="-79"/>
        </w:rPr>
        <w:t> </w:t>
      </w:r>
      <w:r>
        <w:rPr>
          <w:spacing w:val="-79"/>
        </w:rPr>
      </w:r>
      <w:r>
        <w:rPr/>
        <w:t>资产的信用风险源自交易对手违约，最大风险敞口等于这些工具的账面金额。</w:t>
      </w:r>
    </w:p>
    <w:p>
      <w:pPr>
        <w:spacing w:after="0" w:line="276" w:lineRule="auto"/>
        <w:jc w:val="both"/>
        <w:sectPr>
          <w:pgSz w:w="11910" w:h="16840"/>
          <w:pgMar w:header="958" w:footer="548" w:top="2560" w:bottom="740" w:left="1600" w:right="1520"/>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5"/>
          <w:szCs w:val="15"/>
        </w:rPr>
      </w:pPr>
    </w:p>
    <w:p>
      <w:pPr>
        <w:tabs>
          <w:tab w:pos="803" w:val="left" w:leader="none"/>
        </w:tabs>
        <w:spacing w:before="0"/>
        <w:ind w:left="101" w:right="112" w:firstLine="0"/>
        <w:jc w:val="left"/>
        <w:rPr>
          <w:rFonts w:ascii="黑体" w:hAnsi="黑体" w:cs="黑体" w:eastAsia="黑体" w:hint="default"/>
          <w:sz w:val="20"/>
          <w:szCs w:val="20"/>
        </w:rPr>
      </w:pPr>
      <w:r>
        <w:rPr>
          <w:rFonts w:ascii="黑体" w:hAnsi="黑体" w:cs="黑体" w:eastAsia="黑体" w:hint="default"/>
          <w:b/>
          <w:bCs/>
          <w:sz w:val="20"/>
          <w:szCs w:val="20"/>
        </w:rPr>
        <w:t>九、</w:t>
        <w:tab/>
        <w:t>金融工具及其风险分析（续）</w:t>
      </w:r>
      <w:r>
        <w:rPr>
          <w:rFonts w:ascii="黑体" w:hAnsi="黑体" w:cs="黑体" w:eastAsia="黑体" w:hint="default"/>
          <w:sz w:val="20"/>
          <w:szCs w:val="20"/>
        </w:rPr>
      </w:r>
    </w:p>
    <w:p>
      <w:pPr>
        <w:spacing w:line="240" w:lineRule="auto" w:before="12"/>
        <w:rPr>
          <w:rFonts w:ascii="黑体" w:hAnsi="黑体" w:cs="黑体" w:eastAsia="黑体" w:hint="default"/>
          <w:b/>
          <w:bCs/>
          <w:sz w:val="23"/>
          <w:szCs w:val="23"/>
        </w:rPr>
      </w:pPr>
    </w:p>
    <w:p>
      <w:pPr>
        <w:tabs>
          <w:tab w:pos="810" w:val="left" w:leader="none"/>
        </w:tabs>
        <w:spacing w:before="0"/>
        <w:ind w:left="101" w:right="112" w:firstLine="0"/>
        <w:jc w:val="left"/>
        <w:rPr>
          <w:rFonts w:ascii="黑体" w:hAnsi="黑体" w:cs="黑体" w:eastAsia="黑体" w:hint="default"/>
          <w:sz w:val="20"/>
          <w:szCs w:val="20"/>
        </w:rPr>
      </w:pPr>
      <w:r>
        <w:rPr>
          <w:rFonts w:ascii="Arial" w:hAnsi="Arial" w:cs="Arial" w:eastAsia="Arial" w:hint="default"/>
          <w:b/>
          <w:bCs/>
          <w:spacing w:val="-1"/>
          <w:sz w:val="20"/>
          <w:szCs w:val="20"/>
        </w:rPr>
        <w:t>1.</w:t>
        <w:tab/>
      </w:r>
      <w:r>
        <w:rPr>
          <w:rFonts w:ascii="黑体" w:hAnsi="黑体" w:cs="黑体" w:eastAsia="黑体" w:hint="default"/>
          <w:b/>
          <w:bCs/>
          <w:sz w:val="20"/>
          <w:szCs w:val="20"/>
        </w:rPr>
        <w:t>信用风险（续）</w:t>
      </w:r>
      <w:r>
        <w:rPr>
          <w:rFonts w:ascii="黑体" w:hAnsi="黑体" w:cs="黑体" w:eastAsia="黑体" w:hint="default"/>
          <w:sz w:val="20"/>
          <w:szCs w:val="20"/>
        </w:rPr>
      </w:r>
    </w:p>
    <w:p>
      <w:pPr>
        <w:spacing w:line="240" w:lineRule="auto" w:before="10"/>
        <w:rPr>
          <w:rFonts w:ascii="黑体" w:hAnsi="黑体" w:cs="黑体" w:eastAsia="黑体" w:hint="default"/>
          <w:b/>
          <w:bCs/>
          <w:sz w:val="24"/>
          <w:szCs w:val="24"/>
        </w:rPr>
      </w:pPr>
    </w:p>
    <w:p>
      <w:pPr>
        <w:pStyle w:val="BodyText"/>
        <w:spacing w:line="276" w:lineRule="auto"/>
        <w:ind w:right="173"/>
        <w:jc w:val="both"/>
      </w:pPr>
      <w:r>
        <w:rPr>
          <w:spacing w:val="-1"/>
        </w:rPr>
        <w:t>由于本集团仅与经认可的且信誉良好的第三方进行交易，所以无需担保物。信用风险集中</w:t>
      </w:r>
      <w:r>
        <w:rPr>
          <w:spacing w:val="-80"/>
        </w:rPr>
        <w:t> </w:t>
      </w:r>
      <w:r>
        <w:rPr>
          <w:spacing w:val="-80"/>
        </w:rPr>
      </w:r>
      <w:r>
        <w:rPr>
          <w:spacing w:val="-1"/>
        </w:rPr>
        <w:t>按照客户、地理区域和行业进行管理。由于本集团的应收账款客户群广泛地分散于不同的</w:t>
      </w:r>
      <w:r>
        <w:rPr>
          <w:spacing w:val="-78"/>
        </w:rPr>
        <w:t> </w:t>
      </w:r>
      <w:r>
        <w:rPr>
          <w:spacing w:val="-78"/>
        </w:rPr>
      </w:r>
      <w:r>
        <w:rPr/>
        <w:t>部门和行业中，因此在本集团内部不存在重大信用风险集中。</w:t>
      </w:r>
    </w:p>
    <w:p>
      <w:pPr>
        <w:spacing w:line="240" w:lineRule="auto" w:before="7"/>
        <w:rPr>
          <w:rFonts w:ascii="黑体" w:hAnsi="黑体" w:cs="黑体" w:eastAsia="黑体" w:hint="default"/>
          <w:sz w:val="23"/>
          <w:szCs w:val="23"/>
        </w:rPr>
      </w:pPr>
    </w:p>
    <w:p>
      <w:pPr>
        <w:pStyle w:val="BodyText"/>
        <w:spacing w:line="261" w:lineRule="auto"/>
        <w:ind w:right="173"/>
        <w:jc w:val="both"/>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w:t>
      </w:r>
      <w:r>
        <w:rPr>
          <w:rFonts w:ascii="Arial" w:hAnsi="Arial" w:cs="Arial" w:eastAsia="Arial" w:hint="default"/>
        </w:rPr>
        <w:t>,</w:t>
      </w:r>
      <w:r>
        <w:rPr/>
        <w:t>本公司认为本集团金融资产中无尚未逾期但已发生减值的金额。本集</w:t>
      </w:r>
      <w:r>
        <w:rPr>
          <w:spacing w:val="-61"/>
        </w:rPr>
        <w:t> </w:t>
      </w:r>
      <w:r>
        <w:rPr>
          <w:spacing w:val="-61"/>
        </w:rPr>
      </w:r>
      <w:r>
        <w:rPr>
          <w:spacing w:val="-2"/>
        </w:rPr>
        <w:t>团因应收账款和其他应收款产生的信用风险敞口的量化数据，参见附注五、</w:t>
      </w:r>
      <w:r>
        <w:rPr>
          <w:rFonts w:ascii="Arial" w:hAnsi="Arial" w:cs="Arial" w:eastAsia="Arial" w:hint="default"/>
          <w:spacing w:val="-2"/>
        </w:rPr>
        <w:t>4</w:t>
      </w:r>
      <w:r>
        <w:rPr>
          <w:spacing w:val="-2"/>
        </w:rPr>
        <w:t>和</w:t>
      </w:r>
      <w:r>
        <w:rPr>
          <w:rFonts w:ascii="Arial" w:hAnsi="Arial" w:cs="Arial" w:eastAsia="Arial" w:hint="default"/>
          <w:spacing w:val="-2"/>
        </w:rPr>
        <w:t>6</w:t>
      </w:r>
      <w:r>
        <w:rPr>
          <w:spacing w:val="-2"/>
        </w:rPr>
        <w:t>中。本公</w:t>
      </w:r>
      <w:r>
        <w:rPr>
          <w:spacing w:val="-62"/>
        </w:rPr>
        <w:t> </w:t>
      </w:r>
      <w:r>
        <w:rPr>
          <w:spacing w:val="-62"/>
        </w:rPr>
      </w:r>
      <w:r>
        <w:rPr/>
        <w:t>司认为本集团不存在已逾期已减值但未计提减值准备的重大金融资产。</w:t>
      </w:r>
    </w:p>
    <w:p>
      <w:pPr>
        <w:spacing w:line="240" w:lineRule="auto" w:before="6"/>
        <w:rPr>
          <w:rFonts w:ascii="黑体" w:hAnsi="黑体" w:cs="黑体" w:eastAsia="黑体" w:hint="default"/>
          <w:sz w:val="24"/>
          <w:szCs w:val="24"/>
        </w:rPr>
      </w:pPr>
    </w:p>
    <w:p>
      <w:pPr>
        <w:pStyle w:val="BodyText"/>
        <w:spacing w:line="261" w:lineRule="auto"/>
        <w:ind w:right="174" w:hanging="1"/>
        <w:jc w:val="both"/>
      </w:pPr>
      <w:r>
        <w:rPr>
          <w:spacing w:val="-3"/>
          <w:w w:val="100"/>
        </w:rPr>
        <w:t>于</w:t>
      </w:r>
      <w:r>
        <w:rPr>
          <w:rFonts w:ascii="Arial" w:hAnsi="Arial" w:cs="Arial" w:eastAsia="Arial" w:hint="default"/>
          <w:spacing w:val="-3"/>
          <w:w w:val="100"/>
        </w:rPr>
        <w:t>2009</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日，尚未逾期和发生减值的应收账款与大量的近期无违约记录的分散化的</w:t>
      </w:r>
      <w:r>
        <w:rPr>
          <w:spacing w:val="-97"/>
          <w:w w:val="100"/>
        </w:rPr>
        <w:t> </w:t>
      </w:r>
      <w:r>
        <w:rPr>
          <w:spacing w:val="-97"/>
          <w:w w:val="100"/>
        </w:rPr>
      </w:r>
      <w:r>
        <w:rPr/>
        <w:t>客户有关。</w:t>
      </w:r>
    </w:p>
    <w:p>
      <w:pPr>
        <w:spacing w:line="240" w:lineRule="auto" w:before="6"/>
        <w:rPr>
          <w:rFonts w:ascii="黑体" w:hAnsi="黑体" w:cs="黑体" w:eastAsia="黑体" w:hint="default"/>
          <w:sz w:val="24"/>
          <w:szCs w:val="24"/>
        </w:rPr>
      </w:pPr>
    </w:p>
    <w:p>
      <w:pPr>
        <w:pStyle w:val="BodyText"/>
        <w:spacing w:line="268" w:lineRule="auto"/>
        <w:ind w:left="816" w:right="174" w:hanging="1"/>
        <w:jc w:val="both"/>
      </w:pPr>
      <w:r>
        <w:rPr>
          <w:spacing w:val="-3"/>
          <w:w w:val="100"/>
        </w:rPr>
        <w:t>于</w:t>
      </w:r>
      <w:r>
        <w:rPr>
          <w:rFonts w:ascii="Arial" w:hAnsi="Arial" w:cs="Arial" w:eastAsia="Arial" w:hint="default"/>
          <w:spacing w:val="-3"/>
          <w:w w:val="100"/>
        </w:rPr>
        <w:t>2009</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日，已逾期但未减值的应收账款与大量的和本集团有良好交易记录的独立</w:t>
      </w:r>
      <w:r>
        <w:rPr>
          <w:spacing w:val="-97"/>
          <w:w w:val="100"/>
        </w:rPr>
        <w:t> </w:t>
      </w:r>
      <w:r>
        <w:rPr>
          <w:spacing w:val="-97"/>
          <w:w w:val="100"/>
        </w:rPr>
      </w:r>
      <w:r>
        <w:rPr>
          <w:spacing w:val="-1"/>
        </w:rPr>
        <w:t>客户有关。根据以往经验，由于信用质量未发生重大变化且仍被认为可全额收回，本集团</w:t>
      </w:r>
      <w:r>
        <w:rPr>
          <w:spacing w:val="-81"/>
        </w:rPr>
        <w:t> </w:t>
      </w:r>
      <w:r>
        <w:rPr>
          <w:spacing w:val="-81"/>
        </w:rPr>
      </w:r>
      <w:r>
        <w:rPr/>
        <w:t>认为无需对其计提减值准备。本集团对这些余额未持有任何担保物或其他信用增级。</w:t>
      </w:r>
    </w:p>
    <w:p>
      <w:pPr>
        <w:spacing w:line="240" w:lineRule="auto" w:before="0"/>
        <w:rPr>
          <w:rFonts w:ascii="黑体" w:hAnsi="黑体" w:cs="黑体" w:eastAsia="黑体" w:hint="default"/>
          <w:sz w:val="24"/>
          <w:szCs w:val="24"/>
        </w:rPr>
      </w:pPr>
    </w:p>
    <w:p>
      <w:pPr>
        <w:tabs>
          <w:tab w:pos="831" w:val="left" w:leader="none"/>
        </w:tabs>
        <w:spacing w:line="520" w:lineRule="auto" w:before="0"/>
        <w:ind w:left="816" w:right="1365" w:hanging="715"/>
        <w:jc w:val="left"/>
        <w:rPr>
          <w:rFonts w:ascii="黑体" w:hAnsi="黑体" w:cs="黑体" w:eastAsia="黑体" w:hint="default"/>
          <w:sz w:val="20"/>
          <w:szCs w:val="20"/>
        </w:rPr>
      </w:pPr>
      <w:r>
        <w:rPr>
          <w:rFonts w:ascii="Arial" w:hAnsi="Arial" w:cs="Arial" w:eastAsia="Arial" w:hint="default"/>
          <w:b/>
          <w:bCs/>
          <w:spacing w:val="-1"/>
          <w:sz w:val="20"/>
          <w:szCs w:val="20"/>
        </w:rPr>
        <w:t>2.</w:t>
        <w:tab/>
        <w:tab/>
      </w:r>
      <w:r>
        <w:rPr>
          <w:rFonts w:ascii="黑体" w:hAnsi="黑体" w:cs="黑体" w:eastAsia="黑体" w:hint="default"/>
          <w:b/>
          <w:bCs/>
          <w:sz w:val="20"/>
          <w:szCs w:val="20"/>
        </w:rPr>
        <w:t>流动风险</w:t>
      </w:r>
      <w:r>
        <w:rPr>
          <w:rFonts w:ascii="黑体" w:hAnsi="黑体" w:cs="黑体" w:eastAsia="黑体" w:hint="default"/>
          <w:b/>
          <w:bCs/>
          <w:w w:val="99"/>
          <w:sz w:val="20"/>
          <w:szCs w:val="20"/>
        </w:rPr>
        <w:t> </w:t>
      </w:r>
      <w:r>
        <w:rPr>
          <w:rFonts w:ascii="黑体" w:hAnsi="黑体" w:cs="黑体" w:eastAsia="黑体" w:hint="default"/>
          <w:spacing w:val="-1"/>
          <w:sz w:val="20"/>
          <w:szCs w:val="20"/>
        </w:rPr>
        <w:t>流动风险，是指企业在履行与金融负债有关的义务时遇到资金短缺的风险。</w:t>
      </w:r>
    </w:p>
    <w:p>
      <w:pPr>
        <w:pStyle w:val="BodyText"/>
        <w:spacing w:line="276" w:lineRule="auto" w:before="104"/>
        <w:ind w:left="816" w:right="166"/>
        <w:jc w:val="both"/>
      </w:pPr>
      <w:r>
        <w:rPr>
          <w:spacing w:val="-1"/>
        </w:rPr>
        <w:t>本集团采用循环流动性计划工具管理资金短缺风险。该工具既考虑其金融工具的到期日，</w:t>
      </w:r>
      <w:r>
        <w:rPr>
          <w:spacing w:val="-72"/>
        </w:rPr>
        <w:t> </w:t>
      </w:r>
      <w:r>
        <w:rPr>
          <w:spacing w:val="-72"/>
        </w:rPr>
      </w:r>
      <w:r>
        <w:rPr/>
        <w:t>也考虑本集团运营产生的预计现金流量。</w:t>
      </w:r>
    </w:p>
    <w:p>
      <w:pPr>
        <w:spacing w:line="240" w:lineRule="auto" w:before="4"/>
        <w:rPr>
          <w:rFonts w:ascii="黑体" w:hAnsi="黑体" w:cs="黑体" w:eastAsia="黑体" w:hint="default"/>
          <w:sz w:val="16"/>
          <w:szCs w:val="16"/>
        </w:rPr>
      </w:pPr>
    </w:p>
    <w:p>
      <w:pPr>
        <w:pStyle w:val="BodyText"/>
        <w:spacing w:line="271" w:lineRule="auto"/>
        <w:ind w:left="816" w:right="174"/>
        <w:jc w:val="both"/>
      </w:pPr>
      <w:r>
        <w:rPr>
          <w:spacing w:val="-1"/>
        </w:rPr>
        <w:t>本集团主要是通过增发股本进行融资。本集团的金融负债主要为因经营而直接产生的通常</w:t>
      </w:r>
      <w:r>
        <w:rPr>
          <w:spacing w:val="-80"/>
        </w:rPr>
        <w:t> </w:t>
      </w:r>
      <w:r>
        <w:rPr>
          <w:spacing w:val="-80"/>
        </w:rPr>
      </w:r>
      <w:r>
        <w:rPr/>
        <w:t>需在</w:t>
      </w:r>
      <w:r>
        <w:rPr>
          <w:rFonts w:ascii="Arial" w:hAnsi="Arial" w:cs="Arial" w:eastAsia="Arial" w:hint="default"/>
        </w:rPr>
        <w:t>2</w:t>
      </w:r>
      <w:r>
        <w:rPr/>
        <w:t>个月内清偿的应付账款及其他应付款（押金及各类保证金除外）。其账面价值等于</w:t>
      </w:r>
      <w:r>
        <w:rPr>
          <w:spacing w:val="-31"/>
        </w:rPr>
        <w:t> </w:t>
      </w:r>
      <w:r>
        <w:rPr>
          <w:spacing w:val="-31"/>
        </w:rPr>
      </w:r>
      <w:r>
        <w:rPr>
          <w:spacing w:val="-1"/>
        </w:rPr>
        <w:t>其公允价值。本公司认为本集团可以通过上述金融资产的及时变现，筹集足够资金以偿还</w:t>
      </w:r>
      <w:r>
        <w:rPr>
          <w:spacing w:val="-78"/>
        </w:rPr>
        <w:t> </w:t>
      </w:r>
      <w:r>
        <w:rPr>
          <w:spacing w:val="-78"/>
        </w:rPr>
      </w:r>
      <w:r>
        <w:rPr/>
        <w:t>到期的各类金融负债，不存在重大流动风险。</w:t>
      </w:r>
    </w:p>
    <w:p>
      <w:pPr>
        <w:spacing w:line="240" w:lineRule="auto" w:before="8"/>
        <w:rPr>
          <w:rFonts w:ascii="黑体" w:hAnsi="黑体" w:cs="黑体" w:eastAsia="黑体" w:hint="default"/>
          <w:sz w:val="16"/>
          <w:szCs w:val="16"/>
        </w:rPr>
      </w:pPr>
    </w:p>
    <w:p>
      <w:pPr>
        <w:tabs>
          <w:tab w:pos="811" w:val="left" w:leader="none"/>
        </w:tabs>
        <w:spacing w:before="0"/>
        <w:ind w:left="101" w:right="112" w:firstLine="0"/>
        <w:jc w:val="left"/>
        <w:rPr>
          <w:rFonts w:ascii="黑体" w:hAnsi="黑体" w:cs="黑体" w:eastAsia="黑体" w:hint="default"/>
          <w:sz w:val="20"/>
          <w:szCs w:val="20"/>
        </w:rPr>
      </w:pPr>
      <w:r>
        <w:rPr>
          <w:rFonts w:ascii="Arial" w:hAnsi="Arial" w:cs="Arial" w:eastAsia="Arial" w:hint="default"/>
          <w:b/>
          <w:bCs/>
          <w:spacing w:val="-1"/>
          <w:sz w:val="20"/>
          <w:szCs w:val="20"/>
        </w:rPr>
        <w:t>3.</w:t>
        <w:tab/>
      </w:r>
      <w:r>
        <w:rPr>
          <w:rFonts w:ascii="黑体" w:hAnsi="黑体" w:cs="黑体" w:eastAsia="黑体" w:hint="default"/>
          <w:b/>
          <w:bCs/>
          <w:sz w:val="20"/>
          <w:szCs w:val="20"/>
        </w:rPr>
        <w:t>市场风险</w:t>
      </w:r>
      <w:r>
        <w:rPr>
          <w:rFonts w:ascii="黑体" w:hAnsi="黑体" w:cs="黑体" w:eastAsia="黑体" w:hint="default"/>
          <w:sz w:val="20"/>
          <w:szCs w:val="20"/>
        </w:rPr>
      </w:r>
    </w:p>
    <w:p>
      <w:pPr>
        <w:spacing w:line="240" w:lineRule="auto" w:before="7"/>
        <w:rPr>
          <w:rFonts w:ascii="黑体" w:hAnsi="黑体" w:cs="黑体" w:eastAsia="黑体" w:hint="default"/>
          <w:b/>
          <w:bCs/>
          <w:sz w:val="17"/>
          <w:szCs w:val="17"/>
        </w:rPr>
      </w:pPr>
    </w:p>
    <w:p>
      <w:pPr>
        <w:pStyle w:val="BodyText"/>
        <w:spacing w:line="276" w:lineRule="auto"/>
        <w:ind w:left="816" w:right="166"/>
        <w:jc w:val="both"/>
      </w:pPr>
      <w:r>
        <w:rPr>
          <w:spacing w:val="-1"/>
        </w:rPr>
        <w:t>市场风险，是指金融工具的公允价值或未来现金流量因市场价格变动而发生波动的风险。</w:t>
      </w:r>
      <w:r>
        <w:rPr>
          <w:spacing w:val="-72"/>
        </w:rPr>
        <w:t> </w:t>
      </w:r>
      <w:r>
        <w:rPr>
          <w:spacing w:val="-72"/>
        </w:rPr>
      </w:r>
      <w:r>
        <w:rPr/>
        <w:t>市场风险主要包括利率风险、外汇风险和其他价格风险，如权益工具投资价格风险。</w:t>
      </w:r>
    </w:p>
    <w:p>
      <w:pPr>
        <w:spacing w:line="240" w:lineRule="auto" w:before="7"/>
        <w:rPr>
          <w:rFonts w:ascii="黑体" w:hAnsi="黑体" w:cs="黑体" w:eastAsia="黑体" w:hint="default"/>
          <w:sz w:val="23"/>
          <w:szCs w:val="23"/>
        </w:rPr>
      </w:pPr>
    </w:p>
    <w:p>
      <w:pPr>
        <w:pStyle w:val="BodyText"/>
        <w:spacing w:line="240" w:lineRule="auto"/>
        <w:ind w:left="816" w:right="0"/>
        <w:jc w:val="both"/>
      </w:pPr>
      <w:r>
        <w:rPr>
          <w:w w:val="100"/>
        </w:rPr>
      </w:r>
      <w:r>
        <w:rPr>
          <w:u w:val="single" w:color="000000"/>
        </w:rPr>
        <w:t>利率风险</w:t>
      </w:r>
      <w:r>
        <w:rPr/>
      </w:r>
    </w:p>
    <w:p>
      <w:pPr>
        <w:spacing w:line="240" w:lineRule="auto" w:before="12"/>
        <w:rPr>
          <w:rFonts w:ascii="黑体" w:hAnsi="黑体" w:cs="黑体" w:eastAsia="黑体" w:hint="default"/>
          <w:sz w:val="22"/>
          <w:szCs w:val="22"/>
        </w:rPr>
      </w:pPr>
    </w:p>
    <w:p>
      <w:pPr>
        <w:pStyle w:val="BodyText"/>
        <w:spacing w:line="240" w:lineRule="auto" w:before="38"/>
        <w:ind w:right="0"/>
        <w:jc w:val="both"/>
      </w:pPr>
      <w:r>
        <w:rPr/>
        <w:t>利率风险，是指金融工具的公允价值或未来现金流量因市场利率变动而发生波动的风险。</w:t>
      </w:r>
    </w:p>
    <w:p>
      <w:pPr>
        <w:spacing w:line="240" w:lineRule="auto" w:before="11"/>
        <w:rPr>
          <w:rFonts w:ascii="黑体" w:hAnsi="黑体" w:cs="黑体" w:eastAsia="黑体" w:hint="default"/>
          <w:sz w:val="25"/>
          <w:szCs w:val="25"/>
        </w:rPr>
      </w:pPr>
    </w:p>
    <w:p>
      <w:pPr>
        <w:pStyle w:val="BodyText"/>
        <w:spacing w:line="276" w:lineRule="auto"/>
        <w:ind w:right="175"/>
        <w:jc w:val="both"/>
      </w:pPr>
      <w:r>
        <w:rPr>
          <w:spacing w:val="-1"/>
        </w:rPr>
        <w:t>本集团的收益及经营现金流量大致独立于市场利率变动，而本集团除银行存款外，并无重</w:t>
      </w:r>
      <w:r>
        <w:rPr>
          <w:spacing w:val="-79"/>
        </w:rPr>
        <w:t> </w:t>
      </w:r>
      <w:r>
        <w:rPr>
          <w:spacing w:val="-79"/>
        </w:rPr>
      </w:r>
      <w:r>
        <w:rPr>
          <w:spacing w:val="-1"/>
        </w:rPr>
        <w:t>大计息资产及负债。本公司认为本集团无重大利率风险，亦未曾使用任何利率调期对冲利</w:t>
      </w:r>
      <w:r>
        <w:rPr>
          <w:spacing w:val="-80"/>
        </w:rPr>
        <w:t> </w:t>
      </w:r>
      <w:r>
        <w:rPr>
          <w:spacing w:val="-80"/>
        </w:rPr>
      </w:r>
      <w:r>
        <w:rPr/>
        <w:t>率风险。</w:t>
      </w:r>
    </w:p>
    <w:p>
      <w:pPr>
        <w:spacing w:after="0" w:line="276" w:lineRule="auto"/>
        <w:jc w:val="both"/>
        <w:sectPr>
          <w:pgSz w:w="11910" w:h="16840"/>
          <w:pgMar w:header="958" w:footer="548" w:top="2560" w:bottom="740" w:left="1600" w:right="1520"/>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5"/>
          <w:szCs w:val="15"/>
        </w:rPr>
      </w:pPr>
    </w:p>
    <w:p>
      <w:pPr>
        <w:tabs>
          <w:tab w:pos="803" w:val="left" w:leader="none"/>
        </w:tabs>
        <w:spacing w:before="0"/>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九、</w:t>
        <w:tab/>
        <w:t>金融工具及其风险分析（续）</w:t>
      </w:r>
      <w:r>
        <w:rPr>
          <w:rFonts w:ascii="黑体" w:hAnsi="黑体" w:cs="黑体" w:eastAsia="黑体" w:hint="default"/>
          <w:sz w:val="20"/>
          <w:szCs w:val="20"/>
        </w:rPr>
      </w:r>
    </w:p>
    <w:p>
      <w:pPr>
        <w:spacing w:line="240" w:lineRule="auto" w:before="9"/>
        <w:rPr>
          <w:rFonts w:ascii="黑体" w:hAnsi="黑体" w:cs="黑体" w:eastAsia="黑体" w:hint="default"/>
          <w:b/>
          <w:bCs/>
          <w:sz w:val="16"/>
          <w:szCs w:val="16"/>
        </w:rPr>
      </w:pPr>
    </w:p>
    <w:p>
      <w:pPr>
        <w:tabs>
          <w:tab w:pos="810" w:val="left" w:leader="none"/>
        </w:tabs>
        <w:spacing w:line="439" w:lineRule="auto" w:before="0"/>
        <w:ind w:left="810" w:right="6586" w:hanging="710"/>
        <w:jc w:val="left"/>
        <w:rPr>
          <w:rFonts w:ascii="黑体" w:hAnsi="黑体" w:cs="黑体" w:eastAsia="黑体" w:hint="default"/>
          <w:sz w:val="20"/>
          <w:szCs w:val="20"/>
        </w:rPr>
      </w:pPr>
      <w:r>
        <w:rPr>
          <w:rFonts w:ascii="Arial" w:hAnsi="Arial" w:cs="Arial" w:eastAsia="Arial" w:hint="default"/>
          <w:b/>
          <w:bCs/>
          <w:spacing w:val="-1"/>
          <w:sz w:val="20"/>
          <w:szCs w:val="20"/>
        </w:rPr>
        <w:t>3.</w:t>
        <w:tab/>
      </w:r>
      <w:r>
        <w:rPr>
          <w:rFonts w:ascii="黑体" w:hAnsi="黑体" w:cs="黑体" w:eastAsia="黑体" w:hint="default"/>
          <w:b/>
          <w:bCs/>
          <w:sz w:val="20"/>
          <w:szCs w:val="20"/>
        </w:rPr>
        <w:t>市场风险（续）</w:t>
      </w:r>
      <w:r>
        <w:rPr>
          <w:rFonts w:ascii="黑体" w:hAnsi="黑体" w:cs="黑体" w:eastAsia="黑体" w:hint="default"/>
          <w:b/>
          <w:bCs/>
          <w:w w:val="99"/>
          <w:sz w:val="20"/>
          <w:szCs w:val="20"/>
        </w:rPr>
        <w:t> </w:t>
      </w:r>
      <w:r>
        <w:rPr>
          <w:rFonts w:ascii="黑体" w:hAnsi="黑体" w:cs="黑体" w:eastAsia="黑体" w:hint="default"/>
          <w:w w:val="100"/>
          <w:sz w:val="20"/>
          <w:szCs w:val="20"/>
        </w:rPr>
      </w:r>
      <w:r>
        <w:rPr>
          <w:rFonts w:ascii="黑体" w:hAnsi="黑体" w:cs="黑体" w:eastAsia="黑体" w:hint="default"/>
          <w:sz w:val="20"/>
          <w:szCs w:val="20"/>
          <w:u w:val="single" w:color="000000"/>
        </w:rPr>
        <w:t>外汇风险</w:t>
      </w:r>
      <w:r>
        <w:rPr>
          <w:rFonts w:ascii="黑体" w:hAnsi="黑体" w:cs="黑体" w:eastAsia="黑体" w:hint="default"/>
          <w:sz w:val="20"/>
          <w:szCs w:val="20"/>
        </w:rPr>
      </w:r>
    </w:p>
    <w:p>
      <w:pPr>
        <w:pStyle w:val="BodyText"/>
        <w:spacing w:line="268" w:lineRule="auto" w:before="77"/>
        <w:ind w:right="98"/>
        <w:jc w:val="both"/>
      </w:pPr>
      <w:r>
        <w:rPr/>
        <w:t>外汇风险，是指金融工具的公允价值或未来现金流量因外汇汇率变动而发生波动的风险。</w:t>
      </w:r>
      <w:r>
        <w:rPr>
          <w:w w:val="100"/>
        </w:rPr>
        <w:t> </w:t>
      </w:r>
      <w:r>
        <w:rPr>
          <w:spacing w:val="2"/>
        </w:rPr>
        <w:t>本集团面临的外汇变动风险主要与本集团的经营活动</w:t>
      </w:r>
      <w:r>
        <w:rPr>
          <w:rFonts w:ascii="Arial" w:hAnsi="Arial" w:cs="Arial" w:eastAsia="Arial" w:hint="default"/>
          <w:spacing w:val="2"/>
        </w:rPr>
        <w:t>(</w:t>
      </w:r>
      <w:r>
        <w:rPr>
          <w:spacing w:val="2"/>
        </w:rPr>
        <w:t>当收支以不同于本集团记账本位币</w:t>
      </w:r>
      <w:r>
        <w:rPr>
          <w:spacing w:val="-73"/>
        </w:rPr>
        <w:t> </w:t>
      </w:r>
      <w:r>
        <w:rPr>
          <w:spacing w:val="-73"/>
        </w:rPr>
      </w:r>
      <w:r>
        <w:rPr/>
        <w:t>的外币结算时</w:t>
      </w:r>
      <w:r>
        <w:rPr>
          <w:rFonts w:ascii="Arial" w:hAnsi="Arial" w:cs="Arial" w:eastAsia="Arial" w:hint="default"/>
        </w:rPr>
        <w:t>)</w:t>
      </w:r>
      <w:r>
        <w:rPr/>
        <w:t>及其于境外子公司的净投资有关。</w:t>
      </w:r>
    </w:p>
    <w:p>
      <w:pPr>
        <w:spacing w:line="240" w:lineRule="auto" w:before="6"/>
        <w:rPr>
          <w:rFonts w:ascii="黑体" w:hAnsi="黑体" w:cs="黑体" w:eastAsia="黑体" w:hint="default"/>
          <w:sz w:val="15"/>
          <w:szCs w:val="15"/>
        </w:rPr>
      </w:pPr>
    </w:p>
    <w:p>
      <w:pPr>
        <w:pStyle w:val="BodyText"/>
        <w:spacing w:line="261" w:lineRule="auto"/>
        <w:ind w:right="0" w:hanging="1"/>
        <w:jc w:val="left"/>
      </w:pPr>
      <w:r>
        <w:rPr>
          <w:spacing w:val="-1"/>
        </w:rPr>
        <w:t>本集团的业务主要位于中国，绝大部分交易均以人民币为本位货币，于</w:t>
      </w: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r>
      <w:r>
        <w:rPr>
          <w:spacing w:val="-71"/>
        </w:rPr>
        <w:t> </w:t>
      </w:r>
      <w:r>
        <w:rPr/>
        <w:t>本集团的资产及负债当中，除了为数约人民币</w:t>
      </w:r>
      <w:r>
        <w:rPr>
          <w:rFonts w:ascii="Arial" w:hAnsi="Arial" w:cs="Arial" w:eastAsia="Arial" w:hint="default"/>
        </w:rPr>
        <w:t>17,665,509</w:t>
      </w:r>
      <w:r>
        <w:rPr/>
        <w:t>元（</w:t>
      </w:r>
      <w:r>
        <w:rPr>
          <w:rFonts w:ascii="Arial" w:hAnsi="Arial" w:cs="Arial" w:eastAsia="Arial" w:hint="default"/>
        </w:rPr>
        <w:t>2008</w:t>
      </w:r>
      <w:r>
        <w:rPr/>
        <w:t>年：人民币</w:t>
      </w:r>
      <w:r>
        <w:rPr>
          <w:rFonts w:ascii="Arial" w:hAnsi="Arial" w:cs="Arial" w:eastAsia="Arial" w:hint="default"/>
        </w:rPr>
        <w:t>4,752,350</w:t>
      </w:r>
      <w:r>
        <w:rPr>
          <w:rFonts w:ascii="Arial" w:hAnsi="Arial" w:cs="Arial" w:eastAsia="Arial" w:hint="default"/>
          <w:spacing w:val="-19"/>
        </w:rPr>
        <w:t> </w:t>
      </w:r>
      <w:r>
        <w:rPr>
          <w:rFonts w:ascii="Arial" w:hAnsi="Arial" w:cs="Arial" w:eastAsia="Arial" w:hint="default"/>
          <w:spacing w:val="-19"/>
        </w:rPr>
      </w:r>
      <w:r>
        <w:rPr/>
        <w:t>元）及人民币</w:t>
      </w:r>
      <w:r>
        <w:rPr>
          <w:rFonts w:ascii="Arial" w:hAnsi="Arial" w:cs="Arial" w:eastAsia="Arial" w:hint="default"/>
        </w:rPr>
        <w:t>5,446,714</w:t>
      </w:r>
      <w:r>
        <w:rPr/>
        <w:t>元（</w:t>
      </w:r>
      <w:r>
        <w:rPr>
          <w:rFonts w:ascii="Arial" w:hAnsi="Arial" w:cs="Arial" w:eastAsia="Arial" w:hint="default"/>
        </w:rPr>
        <w:t>2008</w:t>
      </w:r>
      <w:r>
        <w:rPr/>
        <w:t>年：人民币</w:t>
      </w:r>
      <w:r>
        <w:rPr>
          <w:rFonts w:ascii="Arial" w:hAnsi="Arial" w:cs="Arial" w:eastAsia="Arial" w:hint="default"/>
        </w:rPr>
        <w:t>1,737,296</w:t>
      </w:r>
      <w:r>
        <w:rPr/>
        <w:t>元）的现金及现金等价物分别为美</w:t>
      </w:r>
      <w:r>
        <w:rPr>
          <w:w w:val="100"/>
        </w:rPr>
        <w:t> </w:t>
      </w:r>
      <w:r>
        <w:rPr/>
        <w:t>元及其他外币为单位以外，绝大部份均以人民币为单位。</w:t>
      </w:r>
    </w:p>
    <w:p>
      <w:pPr>
        <w:spacing w:line="240" w:lineRule="auto" w:before="3"/>
        <w:rPr>
          <w:rFonts w:ascii="黑体" w:hAnsi="黑体" w:cs="黑体" w:eastAsia="黑体" w:hint="default"/>
          <w:sz w:val="17"/>
          <w:szCs w:val="17"/>
        </w:rPr>
      </w:pPr>
    </w:p>
    <w:p>
      <w:pPr>
        <w:pStyle w:val="BodyText"/>
        <w:spacing w:line="463" w:lineRule="auto"/>
        <w:ind w:left="810" w:right="0" w:firstLine="4"/>
        <w:jc w:val="left"/>
      </w:pPr>
      <w:r>
        <w:rPr>
          <w:spacing w:val="-1"/>
        </w:rPr>
        <w:t>本集团管理层认为汇率变动不会对本集团的利润总额及股东权益产生重大影响。</w:t>
      </w:r>
      <w:r>
        <w:rPr>
          <w:spacing w:val="-77"/>
        </w:rPr>
        <w:t> </w:t>
      </w:r>
      <w:r>
        <w:rPr>
          <w:spacing w:val="-77"/>
        </w:rPr>
      </w:r>
      <w:r>
        <w:rPr>
          <w:u w:val="single" w:color="000000"/>
        </w:rPr>
        <w:t>权益工具投资价格风险</w:t>
      </w:r>
      <w:r>
        <w:rPr/>
      </w:r>
    </w:p>
    <w:p>
      <w:pPr>
        <w:pStyle w:val="BodyText"/>
        <w:spacing w:line="268" w:lineRule="auto" w:before="57"/>
        <w:ind w:right="192"/>
        <w:jc w:val="both"/>
      </w:pPr>
      <w:r>
        <w:rPr>
          <w:spacing w:val="-1"/>
        </w:rPr>
        <w:t>权益工具投资价格风险，是指权益性证券的公允价值因股票指数水平和个别证券价值的变</w:t>
      </w:r>
      <w:r>
        <w:rPr>
          <w:spacing w:val="-80"/>
        </w:rPr>
        <w:t> </w:t>
      </w:r>
      <w:r>
        <w:rPr>
          <w:spacing w:val="-80"/>
        </w:rPr>
      </w:r>
      <w:r>
        <w:rPr/>
        <w:t>化而降低的风险。于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日，本集团暴露于因归类为交易性权益工具投资</w:t>
      </w:r>
      <w:r>
        <w:rPr>
          <w:rFonts w:ascii="Arial" w:hAnsi="Arial" w:cs="Arial" w:eastAsia="Arial" w:hint="default"/>
        </w:rPr>
        <w:t>(</w:t>
      </w:r>
      <w:r>
        <w:rPr/>
        <w:t>附注</w:t>
      </w:r>
      <w:r>
        <w:rPr>
          <w:spacing w:val="-70"/>
        </w:rPr>
        <w:t> </w:t>
      </w:r>
      <w:r>
        <w:rPr>
          <w:spacing w:val="-2"/>
        </w:rPr>
        <w:t>五、</w:t>
      </w:r>
      <w:r>
        <w:rPr>
          <w:rFonts w:ascii="Arial" w:hAnsi="Arial" w:cs="Arial" w:eastAsia="Arial" w:hint="default"/>
          <w:spacing w:val="-2"/>
        </w:rPr>
        <w:t>2)</w:t>
      </w:r>
      <w:r>
        <w:rPr>
          <w:spacing w:val="-2"/>
        </w:rPr>
        <w:t>和可供出售权益工具投资</w:t>
      </w:r>
      <w:r>
        <w:rPr>
          <w:rFonts w:ascii="Arial" w:hAnsi="Arial" w:cs="Arial" w:eastAsia="Arial" w:hint="default"/>
          <w:spacing w:val="-2"/>
        </w:rPr>
        <w:t>(</w:t>
      </w:r>
      <w:r>
        <w:rPr>
          <w:spacing w:val="-2"/>
        </w:rPr>
        <w:t>附注五、</w:t>
      </w:r>
      <w:r>
        <w:rPr>
          <w:rFonts w:ascii="Arial" w:hAnsi="Arial" w:cs="Arial" w:eastAsia="Arial" w:hint="default"/>
          <w:spacing w:val="-2"/>
        </w:rPr>
        <w:t>9)</w:t>
      </w:r>
      <w:r>
        <w:rPr>
          <w:spacing w:val="-2"/>
        </w:rPr>
        <w:t>的个别权益工具投资而产生的权益工具投资价</w:t>
      </w:r>
      <w:r>
        <w:rPr>
          <w:spacing w:val="-59"/>
        </w:rPr>
        <w:t> </w:t>
      </w:r>
      <w:r>
        <w:rPr>
          <w:spacing w:val="-59"/>
        </w:rPr>
      </w:r>
      <w:r>
        <w:rPr>
          <w:spacing w:val="-1"/>
        </w:rPr>
        <w:t>格风险之下。本集团持有的上市权益工具投资在上海的证券交易所上市，并在资产负债表</w:t>
      </w:r>
      <w:r>
        <w:rPr>
          <w:spacing w:val="-79"/>
        </w:rPr>
        <w:t> </w:t>
      </w:r>
      <w:r>
        <w:rPr>
          <w:spacing w:val="-79"/>
        </w:rPr>
      </w:r>
      <w:r>
        <w:rPr/>
        <w:t>日以市场报价计量。</w:t>
      </w:r>
    </w:p>
    <w:p>
      <w:pPr>
        <w:spacing w:line="240" w:lineRule="auto" w:before="10"/>
        <w:rPr>
          <w:rFonts w:ascii="黑体" w:hAnsi="黑体" w:cs="黑体" w:eastAsia="黑体" w:hint="default"/>
          <w:sz w:val="16"/>
          <w:szCs w:val="16"/>
        </w:rPr>
      </w:pPr>
    </w:p>
    <w:p>
      <w:pPr>
        <w:pStyle w:val="BodyText"/>
        <w:spacing w:line="276" w:lineRule="auto"/>
        <w:ind w:right="195"/>
        <w:jc w:val="both"/>
      </w:pPr>
      <w:r>
        <w:rPr>
          <w:spacing w:val="-1"/>
        </w:rPr>
        <w:t>以下证券交易所的、在本年最接近资产负债表日的交易日的收盘时的市场股票指数，以及</w:t>
      </w:r>
      <w:r>
        <w:rPr>
          <w:spacing w:val="-80"/>
        </w:rPr>
        <w:t> </w:t>
      </w:r>
      <w:r>
        <w:rPr>
          <w:spacing w:val="-80"/>
        </w:rPr>
      </w:r>
      <w:r>
        <w:rPr/>
        <w:t>本年度内其各自的最高收盘点和最低收盘点如下：</w:t>
      </w:r>
    </w:p>
    <w:p>
      <w:pPr>
        <w:spacing w:line="240" w:lineRule="auto" w:before="9"/>
        <w:rPr>
          <w:rFonts w:ascii="黑体" w:hAnsi="黑体" w:cs="黑体" w:eastAsia="黑体" w:hint="default"/>
          <w:sz w:val="14"/>
          <w:szCs w:val="14"/>
        </w:rPr>
      </w:pPr>
    </w:p>
    <w:p>
      <w:pPr>
        <w:pStyle w:val="BodyText"/>
        <w:tabs>
          <w:tab w:pos="4808" w:val="left" w:leader="none"/>
          <w:tab w:pos="6438" w:val="left" w:leader="none"/>
          <w:tab w:pos="7673" w:val="left" w:leader="none"/>
        </w:tabs>
        <w:spacing w:line="240" w:lineRule="auto"/>
        <w:ind w:left="3448" w:right="0"/>
        <w:jc w:val="left"/>
      </w:pPr>
      <w:r>
        <w:rPr>
          <w:rFonts w:ascii="Arial" w:hAnsi="Arial" w:cs="Arial" w:eastAsia="Arial" w:hint="default"/>
        </w:rPr>
        <w:t>2009</w:t>
        <w:tab/>
        <w:t>2009</w:t>
      </w:r>
      <w:r>
        <w:rPr/>
        <w:t>年</w:t>
        <w:tab/>
      </w:r>
      <w:r>
        <w:rPr>
          <w:rFonts w:ascii="Arial" w:hAnsi="Arial" w:cs="Arial" w:eastAsia="Arial" w:hint="default"/>
        </w:rPr>
        <w:t>2008</w:t>
        <w:tab/>
        <w:t>2008</w:t>
      </w:r>
      <w:r>
        <w:rPr/>
        <w:t>年</w:t>
      </w:r>
    </w:p>
    <w:p>
      <w:pPr>
        <w:spacing w:line="240" w:lineRule="auto" w:before="8"/>
        <w:rPr>
          <w:rFonts w:ascii="黑体" w:hAnsi="黑体" w:cs="黑体" w:eastAsia="黑体" w:hint="default"/>
          <w:sz w:val="2"/>
          <w:szCs w:val="2"/>
        </w:rPr>
      </w:pPr>
    </w:p>
    <w:tbl>
      <w:tblPr>
        <w:tblW w:w="0" w:type="auto"/>
        <w:jc w:val="left"/>
        <w:tblInd w:w="772" w:type="dxa"/>
        <w:tblLayout w:type="fixed"/>
        <w:tblCellMar>
          <w:top w:w="0" w:type="dxa"/>
          <w:left w:w="0" w:type="dxa"/>
          <w:bottom w:w="0" w:type="dxa"/>
          <w:right w:w="0" w:type="dxa"/>
        </w:tblCellMar>
        <w:tblLook w:val="01E0"/>
      </w:tblPr>
      <w:tblGrid>
        <w:gridCol w:w="1757"/>
        <w:gridCol w:w="1588"/>
        <w:gridCol w:w="922"/>
        <w:gridCol w:w="866"/>
        <w:gridCol w:w="1169"/>
        <w:gridCol w:w="838"/>
        <w:gridCol w:w="715"/>
      </w:tblGrid>
      <w:tr>
        <w:trPr>
          <w:trHeight w:val="373" w:hRule="exact"/>
        </w:trPr>
        <w:tc>
          <w:tcPr>
            <w:tcW w:w="1757"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Style w:val="TableParagraph"/>
              <w:spacing w:line="226" w:lineRule="exact"/>
              <w:ind w:right="219"/>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922" w:type="dxa"/>
            <w:tcBorders>
              <w:top w:val="nil" w:sz="6" w:space="0" w:color="auto"/>
              <w:left w:val="nil" w:sz="6" w:space="0" w:color="auto"/>
              <w:bottom w:val="nil" w:sz="6" w:space="0" w:color="auto"/>
              <w:right w:val="nil" w:sz="6" w:space="0" w:color="auto"/>
            </w:tcBorders>
          </w:tcPr>
          <w:p>
            <w:pPr>
              <w:pStyle w:val="TableParagraph"/>
              <w:spacing w:line="212" w:lineRule="exact"/>
              <w:ind w:left="123" w:right="0"/>
              <w:jc w:val="center"/>
              <w:rPr>
                <w:rFonts w:ascii="黑体" w:hAnsi="黑体" w:cs="黑体" w:eastAsia="黑体" w:hint="default"/>
                <w:sz w:val="20"/>
                <w:szCs w:val="20"/>
              </w:rPr>
            </w:pPr>
            <w:r>
              <w:rPr>
                <w:rFonts w:ascii="黑体" w:hAnsi="黑体" w:cs="黑体" w:eastAsia="黑体" w:hint="default"/>
                <w:sz w:val="20"/>
                <w:szCs w:val="20"/>
              </w:rPr>
              <w:t>最高</w:t>
            </w:r>
          </w:p>
        </w:tc>
        <w:tc>
          <w:tcPr>
            <w:tcW w:w="866" w:type="dxa"/>
            <w:tcBorders>
              <w:top w:val="nil" w:sz="6" w:space="0" w:color="auto"/>
              <w:left w:val="nil" w:sz="6" w:space="0" w:color="auto"/>
              <w:bottom w:val="nil" w:sz="6" w:space="0" w:color="auto"/>
              <w:right w:val="nil" w:sz="6" w:space="0" w:color="auto"/>
            </w:tcBorders>
          </w:tcPr>
          <w:p>
            <w:pPr>
              <w:pStyle w:val="TableParagraph"/>
              <w:spacing w:line="212" w:lineRule="exact"/>
              <w:ind w:left="135" w:right="0"/>
              <w:jc w:val="center"/>
              <w:rPr>
                <w:rFonts w:ascii="黑体" w:hAnsi="黑体" w:cs="黑体" w:eastAsia="黑体" w:hint="default"/>
                <w:sz w:val="20"/>
                <w:szCs w:val="20"/>
              </w:rPr>
            </w:pPr>
            <w:r>
              <w:rPr>
                <w:rFonts w:ascii="黑体" w:hAnsi="黑体" w:cs="黑体" w:eastAsia="黑体" w:hint="default"/>
                <w:sz w:val="20"/>
                <w:szCs w:val="20"/>
              </w:rPr>
              <w:t>最低</w:t>
            </w:r>
          </w:p>
        </w:tc>
        <w:tc>
          <w:tcPr>
            <w:tcW w:w="1169" w:type="dxa"/>
            <w:tcBorders>
              <w:top w:val="nil" w:sz="6" w:space="0" w:color="auto"/>
              <w:left w:val="nil" w:sz="6" w:space="0" w:color="auto"/>
              <w:bottom w:val="nil" w:sz="6" w:space="0" w:color="auto"/>
              <w:right w:val="nil" w:sz="6" w:space="0" w:color="auto"/>
            </w:tcBorders>
          </w:tcPr>
          <w:p>
            <w:pPr>
              <w:pStyle w:val="TableParagraph"/>
              <w:spacing w:line="226" w:lineRule="exact"/>
              <w:ind w:right="155"/>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838" w:type="dxa"/>
            <w:tcBorders>
              <w:top w:val="nil" w:sz="6" w:space="0" w:color="auto"/>
              <w:left w:val="nil" w:sz="6" w:space="0" w:color="auto"/>
              <w:bottom w:val="nil" w:sz="6" w:space="0" w:color="auto"/>
              <w:right w:val="nil" w:sz="6" w:space="0" w:color="auto"/>
            </w:tcBorders>
          </w:tcPr>
          <w:p>
            <w:pPr>
              <w:pStyle w:val="TableParagraph"/>
              <w:spacing w:line="212" w:lineRule="exact"/>
              <w:ind w:left="79" w:right="0"/>
              <w:jc w:val="center"/>
              <w:rPr>
                <w:rFonts w:ascii="黑体" w:hAnsi="黑体" w:cs="黑体" w:eastAsia="黑体" w:hint="default"/>
                <w:sz w:val="20"/>
                <w:szCs w:val="20"/>
              </w:rPr>
            </w:pPr>
            <w:r>
              <w:rPr>
                <w:rFonts w:ascii="黑体" w:hAnsi="黑体" w:cs="黑体" w:eastAsia="黑体" w:hint="default"/>
                <w:sz w:val="20"/>
                <w:szCs w:val="20"/>
              </w:rPr>
              <w:t>最高</w:t>
            </w:r>
          </w:p>
        </w:tc>
        <w:tc>
          <w:tcPr>
            <w:tcW w:w="715" w:type="dxa"/>
            <w:tcBorders>
              <w:top w:val="nil" w:sz="6" w:space="0" w:color="auto"/>
              <w:left w:val="nil" w:sz="6" w:space="0" w:color="auto"/>
              <w:bottom w:val="nil" w:sz="6" w:space="0" w:color="auto"/>
              <w:right w:val="nil" w:sz="6" w:space="0" w:color="auto"/>
            </w:tcBorders>
          </w:tcPr>
          <w:p>
            <w:pPr>
              <w:pStyle w:val="TableParagraph"/>
              <w:spacing w:line="212" w:lineRule="exact"/>
              <w:ind w:right="33"/>
              <w:jc w:val="right"/>
              <w:rPr>
                <w:rFonts w:ascii="黑体" w:hAnsi="黑体" w:cs="黑体" w:eastAsia="黑体" w:hint="default"/>
                <w:sz w:val="20"/>
                <w:szCs w:val="20"/>
              </w:rPr>
            </w:pPr>
            <w:r>
              <w:rPr>
                <w:rFonts w:ascii="黑体" w:hAnsi="黑体" w:cs="黑体" w:eastAsia="黑体" w:hint="default"/>
                <w:spacing w:val="-1"/>
                <w:sz w:val="20"/>
                <w:szCs w:val="20"/>
              </w:rPr>
              <w:t>最低</w:t>
            </w:r>
          </w:p>
        </w:tc>
      </w:tr>
      <w:tr>
        <w:trPr>
          <w:trHeight w:val="461" w:hRule="exact"/>
        </w:trPr>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黑体" w:hAnsi="黑体" w:cs="黑体" w:eastAsia="黑体" w:hint="default"/>
                <w:sz w:val="20"/>
                <w:szCs w:val="20"/>
              </w:rPr>
            </w:pPr>
            <w:r>
              <w:rPr>
                <w:rFonts w:ascii="黑体" w:hAnsi="黑体" w:cs="黑体" w:eastAsia="黑体" w:hint="default"/>
                <w:sz w:val="20"/>
                <w:szCs w:val="20"/>
              </w:rPr>
              <w:t>上海</w:t>
            </w:r>
            <w:r>
              <w:rPr>
                <w:rFonts w:ascii="Arial" w:hAnsi="Arial" w:cs="Arial" w:eastAsia="Arial" w:hint="default"/>
                <w:sz w:val="20"/>
                <w:szCs w:val="20"/>
              </w:rPr>
              <w:t>-A</w:t>
            </w:r>
            <w:r>
              <w:rPr>
                <w:rFonts w:ascii="黑体" w:hAnsi="黑体" w:cs="黑体" w:eastAsia="黑体" w:hint="default"/>
                <w:sz w:val="20"/>
                <w:szCs w:val="20"/>
              </w:rPr>
              <w:t>股指数</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219"/>
              <w:jc w:val="right"/>
              <w:rPr>
                <w:rFonts w:ascii="Arial" w:hAnsi="Arial" w:cs="Arial" w:eastAsia="Arial" w:hint="default"/>
                <w:sz w:val="20"/>
                <w:szCs w:val="20"/>
              </w:rPr>
            </w:pPr>
            <w:r>
              <w:rPr>
                <w:rFonts w:ascii="Arial"/>
                <w:sz w:val="20"/>
              </w:rPr>
              <w:t>3,437</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21" w:right="0"/>
              <w:jc w:val="center"/>
              <w:rPr>
                <w:rFonts w:ascii="Arial" w:hAnsi="Arial" w:cs="Arial" w:eastAsia="Arial" w:hint="default"/>
                <w:sz w:val="20"/>
                <w:szCs w:val="20"/>
              </w:rPr>
            </w:pPr>
            <w:r>
              <w:rPr>
                <w:rFonts w:ascii="Arial"/>
                <w:sz w:val="20"/>
              </w:rPr>
              <w:t>3,651</w:t>
            </w:r>
          </w:p>
        </w:tc>
        <w:tc>
          <w:tcPr>
            <w:tcW w:w="866"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3" w:right="0"/>
              <w:jc w:val="center"/>
              <w:rPr>
                <w:rFonts w:ascii="Arial" w:hAnsi="Arial" w:cs="Arial" w:eastAsia="Arial" w:hint="default"/>
                <w:sz w:val="20"/>
                <w:szCs w:val="20"/>
              </w:rPr>
            </w:pPr>
            <w:r>
              <w:rPr>
                <w:rFonts w:ascii="Arial"/>
                <w:sz w:val="20"/>
              </w:rPr>
              <w:t>1,936</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86"/>
              <w:jc w:val="right"/>
              <w:rPr>
                <w:rFonts w:ascii="Arial" w:hAnsi="Arial" w:cs="Arial" w:eastAsia="Arial" w:hint="default"/>
                <w:sz w:val="20"/>
                <w:szCs w:val="20"/>
              </w:rPr>
            </w:pPr>
            <w:r>
              <w:rPr>
                <w:rFonts w:ascii="Arial"/>
                <w:sz w:val="20"/>
              </w:rPr>
              <w:t>1,912</w:t>
            </w:r>
          </w:p>
        </w:tc>
        <w:tc>
          <w:tcPr>
            <w:tcW w:w="838"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9"/>
              <w:jc w:val="center"/>
              <w:rPr>
                <w:rFonts w:ascii="Arial" w:hAnsi="Arial" w:cs="Arial" w:eastAsia="Arial" w:hint="default"/>
                <w:sz w:val="20"/>
                <w:szCs w:val="20"/>
              </w:rPr>
            </w:pPr>
            <w:r>
              <w:rPr>
                <w:rFonts w:ascii="Arial"/>
                <w:sz w:val="20"/>
              </w:rPr>
              <w:t>5,771</w:t>
            </w:r>
          </w:p>
        </w:tc>
        <w:tc>
          <w:tcPr>
            <w:tcW w:w="71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
              <w:jc w:val="right"/>
              <w:rPr>
                <w:rFonts w:ascii="Arial" w:hAnsi="Arial" w:cs="Arial" w:eastAsia="Arial" w:hint="default"/>
                <w:sz w:val="20"/>
                <w:szCs w:val="20"/>
              </w:rPr>
            </w:pPr>
            <w:r>
              <w:rPr>
                <w:rFonts w:ascii="Arial"/>
                <w:sz w:val="20"/>
              </w:rPr>
              <w:t>1,793</w:t>
            </w:r>
          </w:p>
        </w:tc>
      </w:tr>
    </w:tbl>
    <w:p>
      <w:pPr>
        <w:spacing w:line="240" w:lineRule="auto" w:before="10"/>
        <w:rPr>
          <w:rFonts w:ascii="黑体" w:hAnsi="黑体" w:cs="黑体" w:eastAsia="黑体" w:hint="default"/>
          <w:sz w:val="5"/>
          <w:szCs w:val="5"/>
        </w:rPr>
      </w:pPr>
    </w:p>
    <w:p>
      <w:pPr>
        <w:pStyle w:val="BodyText"/>
        <w:spacing w:line="268" w:lineRule="auto" w:before="38"/>
        <w:ind w:right="192"/>
        <w:jc w:val="both"/>
      </w:pPr>
      <w:r>
        <w:rPr>
          <w:spacing w:val="-1"/>
        </w:rPr>
        <w:t>下表说明了，在所有其他变量保持不变，且不考虑任何税务影响的情况下，本集团的利润</w:t>
      </w:r>
      <w:r>
        <w:rPr>
          <w:spacing w:val="-81"/>
        </w:rPr>
        <w:t> </w:t>
      </w:r>
      <w:r>
        <w:rPr>
          <w:spacing w:val="-81"/>
        </w:rPr>
      </w:r>
      <w:r>
        <w:rPr>
          <w:spacing w:val="2"/>
        </w:rPr>
        <w:t>总额和股东权益对权益工具投资的公允价值的每</w:t>
      </w:r>
      <w:r>
        <w:rPr>
          <w:rFonts w:ascii="Arial" w:hAnsi="Arial" w:cs="Arial" w:eastAsia="Arial" w:hint="default"/>
          <w:spacing w:val="2"/>
        </w:rPr>
        <w:t>10%</w:t>
      </w:r>
      <w:r>
        <w:rPr>
          <w:spacing w:val="2"/>
        </w:rPr>
        <w:t>的增加</w:t>
      </w:r>
      <w:r>
        <w:rPr>
          <w:rFonts w:ascii="Arial" w:hAnsi="Arial" w:cs="Arial" w:eastAsia="Arial" w:hint="default"/>
          <w:spacing w:val="2"/>
        </w:rPr>
        <w:t>(</w:t>
      </w:r>
      <w:r>
        <w:rPr>
          <w:spacing w:val="2"/>
        </w:rPr>
        <w:t>以资产负债表日的账面价值</w:t>
      </w:r>
      <w:r>
        <w:rPr>
          <w:spacing w:val="-73"/>
        </w:rPr>
        <w:t> </w:t>
      </w:r>
      <w:r>
        <w:rPr>
          <w:spacing w:val="-73"/>
        </w:rPr>
      </w:r>
      <w:r>
        <w:rPr/>
        <w:t>为基础</w:t>
      </w:r>
      <w:r>
        <w:rPr>
          <w:rFonts w:ascii="Arial" w:hAnsi="Arial" w:cs="Arial" w:eastAsia="Arial" w:hint="default"/>
        </w:rPr>
        <w:t>)</w:t>
      </w:r>
      <w:r>
        <w:rPr/>
        <w:t>的敏感性。</w:t>
      </w:r>
    </w:p>
    <w:p>
      <w:pPr>
        <w:spacing w:line="240" w:lineRule="auto" w:before="6"/>
        <w:rPr>
          <w:rFonts w:ascii="黑体" w:hAnsi="黑体" w:cs="黑体" w:eastAsia="黑体" w:hint="default"/>
          <w:sz w:val="15"/>
          <w:szCs w:val="15"/>
        </w:rPr>
      </w:pPr>
    </w:p>
    <w:p>
      <w:pPr>
        <w:pStyle w:val="BodyText"/>
        <w:spacing w:line="240" w:lineRule="auto"/>
        <w:ind w:right="0"/>
        <w:jc w:val="both"/>
      </w:pPr>
      <w:r>
        <w:rPr/>
        <w:t>截至</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日无权益工具投资。</w:t>
      </w:r>
    </w:p>
    <w:p>
      <w:pPr>
        <w:spacing w:line="240" w:lineRule="auto" w:before="0"/>
        <w:rPr>
          <w:rFonts w:ascii="黑体" w:hAnsi="黑体" w:cs="黑体" w:eastAsia="黑体" w:hint="default"/>
          <w:sz w:val="13"/>
          <w:szCs w:val="13"/>
        </w:rPr>
      </w:pPr>
    </w:p>
    <w:tbl>
      <w:tblPr>
        <w:tblW w:w="0" w:type="auto"/>
        <w:jc w:val="left"/>
        <w:tblInd w:w="772" w:type="dxa"/>
        <w:tblLayout w:type="fixed"/>
        <w:tblCellMar>
          <w:top w:w="0" w:type="dxa"/>
          <w:left w:w="0" w:type="dxa"/>
          <w:bottom w:w="0" w:type="dxa"/>
          <w:right w:w="0" w:type="dxa"/>
        </w:tblCellMar>
        <w:tblLook w:val="01E0"/>
      </w:tblPr>
      <w:tblGrid>
        <w:gridCol w:w="2994"/>
        <w:gridCol w:w="1853"/>
        <w:gridCol w:w="1620"/>
        <w:gridCol w:w="1372"/>
      </w:tblGrid>
      <w:tr>
        <w:trPr>
          <w:trHeight w:val="593" w:hRule="exact"/>
        </w:trPr>
        <w:tc>
          <w:tcPr>
            <w:tcW w:w="2994" w:type="dxa"/>
            <w:tcBorders>
              <w:top w:val="nil" w:sz="6" w:space="0" w:color="auto"/>
              <w:left w:val="nil" w:sz="6" w:space="0" w:color="auto"/>
              <w:bottom w:val="nil" w:sz="6" w:space="0" w:color="auto"/>
              <w:right w:val="nil" w:sz="6" w:space="0" w:color="auto"/>
            </w:tcBorders>
          </w:tcPr>
          <w:p>
            <w:pPr/>
          </w:p>
        </w:tc>
        <w:tc>
          <w:tcPr>
            <w:tcW w:w="1853" w:type="dxa"/>
            <w:tcBorders>
              <w:top w:val="nil" w:sz="6" w:space="0" w:color="auto"/>
              <w:left w:val="nil" w:sz="6" w:space="0" w:color="auto"/>
              <w:bottom w:val="nil" w:sz="6" w:space="0" w:color="auto"/>
              <w:right w:val="nil" w:sz="6" w:space="0" w:color="auto"/>
            </w:tcBorders>
          </w:tcPr>
          <w:p>
            <w:pPr>
              <w:pStyle w:val="TableParagraph"/>
              <w:spacing w:line="260" w:lineRule="exact" w:before="38"/>
              <w:ind w:left="358" w:right="0"/>
              <w:jc w:val="left"/>
              <w:rPr>
                <w:rFonts w:ascii="黑体" w:hAnsi="黑体" w:cs="黑体" w:eastAsia="黑体" w:hint="default"/>
                <w:sz w:val="20"/>
                <w:szCs w:val="20"/>
              </w:rPr>
            </w:pPr>
            <w:r>
              <w:rPr>
                <w:rFonts w:ascii="黑体" w:hAnsi="黑体" w:cs="黑体" w:eastAsia="黑体" w:hint="default"/>
                <w:sz w:val="20"/>
                <w:szCs w:val="20"/>
              </w:rPr>
              <w:t>权益工具投资</w:t>
            </w:r>
          </w:p>
          <w:p>
            <w:pPr>
              <w:pStyle w:val="TableParagraph"/>
              <w:spacing w:line="260" w:lineRule="exact"/>
              <w:ind w:left="756" w:right="0"/>
              <w:jc w:val="left"/>
              <w:rPr>
                <w:rFonts w:ascii="黑体" w:hAnsi="黑体" w:cs="黑体" w:eastAsia="黑体" w:hint="default"/>
                <w:sz w:val="20"/>
                <w:szCs w:val="20"/>
              </w:rPr>
            </w:pPr>
            <w:r>
              <w:rPr>
                <w:rFonts w:ascii="黑体" w:hAnsi="黑体" w:cs="黑体" w:eastAsia="黑体" w:hint="default"/>
                <w:sz w:val="20"/>
                <w:szCs w:val="20"/>
              </w:rPr>
              <w:t>账面价值</w:t>
            </w:r>
          </w:p>
        </w:tc>
        <w:tc>
          <w:tcPr>
            <w:tcW w:w="1620" w:type="dxa"/>
            <w:tcBorders>
              <w:top w:val="nil" w:sz="6" w:space="0" w:color="auto"/>
              <w:left w:val="nil" w:sz="6" w:space="0" w:color="auto"/>
              <w:bottom w:val="nil" w:sz="6" w:space="0" w:color="auto"/>
              <w:right w:val="nil" w:sz="6" w:space="0" w:color="auto"/>
            </w:tcBorders>
          </w:tcPr>
          <w:p>
            <w:pPr>
              <w:pStyle w:val="TableParagraph"/>
              <w:spacing w:line="260" w:lineRule="exact" w:before="64"/>
              <w:ind w:left="293" w:right="333" w:firstLine="188"/>
              <w:jc w:val="left"/>
              <w:rPr>
                <w:rFonts w:ascii="Arial" w:hAnsi="Arial" w:cs="Arial" w:eastAsia="Arial" w:hint="default"/>
                <w:sz w:val="20"/>
                <w:szCs w:val="20"/>
              </w:rPr>
            </w:pPr>
            <w:r>
              <w:rPr>
                <w:rFonts w:ascii="黑体" w:hAnsi="黑体" w:cs="黑体" w:eastAsia="黑体" w:hint="default"/>
                <w:sz w:val="20"/>
                <w:szCs w:val="20"/>
              </w:rPr>
              <w:t>利润总额</w:t>
            </w:r>
            <w:r>
              <w:rPr>
                <w:rFonts w:ascii="黑体" w:hAnsi="黑体" w:cs="黑体" w:eastAsia="黑体" w:hint="default"/>
                <w:w w:val="100"/>
                <w:sz w:val="20"/>
                <w:szCs w:val="20"/>
              </w:rPr>
              <w:t> </w:t>
            </w:r>
            <w:r>
              <w:rPr>
                <w:rFonts w:ascii="黑体" w:hAnsi="黑体" w:cs="黑体" w:eastAsia="黑体" w:hint="default"/>
                <w:sz w:val="20"/>
                <w:szCs w:val="20"/>
              </w:rPr>
              <w:t>增加</w:t>
            </w:r>
            <w:r>
              <w:rPr>
                <w:rFonts w:ascii="Arial" w:hAnsi="Arial" w:cs="Arial" w:eastAsia="Arial" w:hint="default"/>
                <w:sz w:val="20"/>
                <w:szCs w:val="20"/>
              </w:rPr>
              <w:t>/(</w:t>
            </w:r>
            <w:r>
              <w:rPr>
                <w:rFonts w:ascii="黑体" w:hAnsi="黑体" w:cs="黑体" w:eastAsia="黑体" w:hint="default"/>
                <w:sz w:val="20"/>
                <w:szCs w:val="20"/>
              </w:rPr>
              <w:t>减少</w:t>
            </w:r>
            <w:r>
              <w:rPr>
                <w:rFonts w:ascii="Arial" w:hAnsi="Arial" w:cs="Arial" w:eastAsia="Arial" w:hint="default"/>
                <w:sz w:val="20"/>
                <w:szCs w:val="20"/>
              </w:rPr>
              <w:t>)</w:t>
            </w:r>
          </w:p>
        </w:tc>
        <w:tc>
          <w:tcPr>
            <w:tcW w:w="1372" w:type="dxa"/>
            <w:tcBorders>
              <w:top w:val="nil" w:sz="6" w:space="0" w:color="auto"/>
              <w:left w:val="nil" w:sz="6" w:space="0" w:color="auto"/>
              <w:bottom w:val="nil" w:sz="6" w:space="0" w:color="auto"/>
              <w:right w:val="nil" w:sz="6" w:space="0" w:color="auto"/>
            </w:tcBorders>
          </w:tcPr>
          <w:p>
            <w:pPr>
              <w:pStyle w:val="TableParagraph"/>
              <w:spacing w:line="260" w:lineRule="exact" w:before="64"/>
              <w:ind w:left="347" w:right="34" w:firstLine="188"/>
              <w:jc w:val="left"/>
              <w:rPr>
                <w:rFonts w:ascii="Arial" w:hAnsi="Arial" w:cs="Arial" w:eastAsia="Arial" w:hint="default"/>
                <w:sz w:val="20"/>
                <w:szCs w:val="20"/>
              </w:rPr>
            </w:pPr>
            <w:r>
              <w:rPr>
                <w:rFonts w:ascii="黑体" w:hAnsi="黑体" w:cs="黑体" w:eastAsia="黑体" w:hint="default"/>
                <w:sz w:val="20"/>
                <w:szCs w:val="20"/>
              </w:rPr>
              <w:t>股东权益</w:t>
            </w:r>
            <w:r>
              <w:rPr>
                <w:rFonts w:ascii="黑体" w:hAnsi="黑体" w:cs="黑体" w:eastAsia="黑体" w:hint="default"/>
                <w:w w:val="100"/>
                <w:sz w:val="20"/>
                <w:szCs w:val="20"/>
              </w:rPr>
              <w:t> </w:t>
            </w:r>
            <w:r>
              <w:rPr>
                <w:rFonts w:ascii="黑体" w:hAnsi="黑体" w:cs="黑体" w:eastAsia="黑体" w:hint="default"/>
                <w:spacing w:val="-1"/>
                <w:sz w:val="20"/>
                <w:szCs w:val="20"/>
              </w:rPr>
              <w:t>增加</w:t>
            </w:r>
            <w:r>
              <w:rPr>
                <w:rFonts w:ascii="Arial" w:hAnsi="Arial" w:cs="Arial" w:eastAsia="Arial" w:hint="default"/>
                <w:spacing w:val="-1"/>
                <w:sz w:val="20"/>
                <w:szCs w:val="20"/>
              </w:rPr>
              <w:t>/(</w:t>
            </w:r>
            <w:r>
              <w:rPr>
                <w:rFonts w:ascii="黑体" w:hAnsi="黑体" w:cs="黑体" w:eastAsia="黑体" w:hint="default"/>
                <w:spacing w:val="-1"/>
                <w:sz w:val="20"/>
                <w:szCs w:val="20"/>
              </w:rPr>
              <w:t>减少</w:t>
            </w:r>
            <w:r>
              <w:rPr>
                <w:rFonts w:ascii="Arial" w:hAnsi="Arial" w:cs="Arial" w:eastAsia="Arial" w:hint="default"/>
                <w:spacing w:val="-1"/>
                <w:sz w:val="20"/>
                <w:szCs w:val="20"/>
              </w:rPr>
              <w:t>)</w:t>
            </w:r>
          </w:p>
        </w:tc>
      </w:tr>
      <w:tr>
        <w:trPr>
          <w:trHeight w:val="515"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p>
            <w:pPr>
              <w:pStyle w:val="TableParagraph"/>
              <w:spacing w:line="253" w:lineRule="exact"/>
              <w:ind w:left="35" w:right="0"/>
              <w:jc w:val="left"/>
              <w:rPr>
                <w:rFonts w:ascii="黑体" w:hAnsi="黑体" w:cs="黑体" w:eastAsia="黑体" w:hint="default"/>
                <w:sz w:val="20"/>
                <w:szCs w:val="20"/>
              </w:rPr>
            </w:pPr>
            <w:r>
              <w:rPr>
                <w:rFonts w:ascii="黑体" w:hAnsi="黑体" w:cs="黑体" w:eastAsia="黑体" w:hint="default"/>
                <w:sz w:val="20"/>
                <w:szCs w:val="20"/>
              </w:rPr>
              <w:t>权益工具投资</w:t>
            </w:r>
          </w:p>
        </w:tc>
        <w:tc>
          <w:tcPr>
            <w:tcW w:w="1853" w:type="dxa"/>
            <w:tcBorders>
              <w:top w:val="nil" w:sz="6" w:space="0" w:color="auto"/>
              <w:left w:val="nil" w:sz="6" w:space="0" w:color="auto"/>
              <w:bottom w:val="nil" w:sz="6" w:space="0" w:color="auto"/>
              <w:right w:val="nil" w:sz="6" w:space="0" w:color="auto"/>
            </w:tcBorders>
          </w:tcPr>
          <w:p>
            <w:pPr/>
          </w:p>
        </w:tc>
        <w:tc>
          <w:tcPr>
            <w:tcW w:w="1620" w:type="dxa"/>
            <w:tcBorders>
              <w:top w:val="nil" w:sz="6" w:space="0" w:color="auto"/>
              <w:left w:val="nil" w:sz="6" w:space="0" w:color="auto"/>
              <w:bottom w:val="nil" w:sz="6" w:space="0" w:color="auto"/>
              <w:right w:val="nil" w:sz="6" w:space="0" w:color="auto"/>
            </w:tcBorders>
          </w:tcPr>
          <w:p>
            <w:pPr/>
          </w:p>
        </w:tc>
        <w:tc>
          <w:tcPr>
            <w:tcW w:w="1372" w:type="dxa"/>
            <w:tcBorders>
              <w:top w:val="nil" w:sz="6" w:space="0" w:color="auto"/>
              <w:left w:val="nil" w:sz="6" w:space="0" w:color="auto"/>
              <w:bottom w:val="nil" w:sz="6" w:space="0" w:color="auto"/>
              <w:right w:val="nil" w:sz="6" w:space="0" w:color="auto"/>
            </w:tcBorders>
          </w:tcPr>
          <w:p>
            <w:pPr/>
          </w:p>
        </w:tc>
      </w:tr>
      <w:tr>
        <w:trPr>
          <w:trHeight w:val="264"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45" w:lineRule="exact"/>
              <w:ind w:left="35" w:right="0"/>
              <w:jc w:val="left"/>
              <w:rPr>
                <w:rFonts w:ascii="黑体" w:hAnsi="黑体" w:cs="黑体" w:eastAsia="黑体" w:hint="default"/>
                <w:sz w:val="20"/>
                <w:szCs w:val="20"/>
              </w:rPr>
            </w:pPr>
            <w:r>
              <w:rPr>
                <w:rFonts w:ascii="黑体" w:hAnsi="黑体" w:cs="黑体" w:eastAsia="黑体" w:hint="default"/>
                <w:sz w:val="20"/>
                <w:szCs w:val="20"/>
              </w:rPr>
              <w:t>上海</w:t>
            </w:r>
            <w:r>
              <w:rPr>
                <w:rFonts w:ascii="Arial" w:hAnsi="Arial" w:cs="Arial" w:eastAsia="Arial" w:hint="default"/>
                <w:sz w:val="20"/>
                <w:szCs w:val="20"/>
              </w:rPr>
              <w:t>—</w:t>
            </w:r>
            <w:r>
              <w:rPr>
                <w:rFonts w:ascii="黑体" w:hAnsi="黑体" w:cs="黑体" w:eastAsia="黑体" w:hint="default"/>
                <w:sz w:val="20"/>
                <w:szCs w:val="20"/>
              </w:rPr>
              <w:t>可供出售权益工具投资</w:t>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92"/>
              <w:jc w:val="right"/>
              <w:rPr>
                <w:rFonts w:ascii="Arial" w:hAnsi="Arial" w:cs="Arial" w:eastAsia="Arial" w:hint="default"/>
                <w:sz w:val="20"/>
                <w:szCs w:val="20"/>
              </w:rPr>
            </w:pPr>
            <w:r>
              <w:rPr>
                <w:rFonts w:ascii="Arial"/>
                <w:spacing w:val="-1"/>
                <w:sz w:val="20"/>
              </w:rPr>
              <w:t>276,210,000</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2"/>
              <w:jc w:val="right"/>
              <w:rPr>
                <w:rFonts w:ascii="Arial" w:hAnsi="Arial" w:cs="Arial" w:eastAsia="Arial" w:hint="default"/>
                <w:sz w:val="20"/>
                <w:szCs w:val="20"/>
              </w:rPr>
            </w:pPr>
            <w:r>
              <w:rPr>
                <w:rFonts w:ascii="Arial"/>
                <w:w w:val="100"/>
                <w:sz w:val="20"/>
              </w:rPr>
              <w:t>-</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Arial" w:hAnsi="Arial" w:cs="Arial" w:eastAsia="Arial" w:hint="default"/>
                <w:sz w:val="20"/>
                <w:szCs w:val="20"/>
              </w:rPr>
            </w:pPr>
            <w:r>
              <w:rPr>
                <w:rFonts w:ascii="Arial"/>
                <w:spacing w:val="-1"/>
                <w:sz w:val="20"/>
              </w:rPr>
              <w:t>24,858,900</w:t>
            </w:r>
          </w:p>
        </w:tc>
      </w:tr>
      <w:tr>
        <w:trPr>
          <w:trHeight w:val="334"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40" w:lineRule="exact"/>
              <w:ind w:left="35" w:right="0"/>
              <w:jc w:val="left"/>
              <w:rPr>
                <w:rFonts w:ascii="黑体" w:hAnsi="黑体" w:cs="黑体" w:eastAsia="黑体" w:hint="default"/>
                <w:sz w:val="20"/>
                <w:szCs w:val="20"/>
              </w:rPr>
            </w:pPr>
            <w:r>
              <w:rPr>
                <w:rFonts w:ascii="黑体" w:hAnsi="黑体" w:cs="黑体" w:eastAsia="黑体" w:hint="default"/>
                <w:sz w:val="20"/>
                <w:szCs w:val="20"/>
              </w:rPr>
              <w:t>上海</w:t>
            </w:r>
            <w:r>
              <w:rPr>
                <w:rFonts w:ascii="Arial" w:hAnsi="Arial" w:cs="Arial" w:eastAsia="Arial" w:hint="default"/>
                <w:sz w:val="20"/>
                <w:szCs w:val="20"/>
              </w:rPr>
              <w:t>—</w:t>
            </w:r>
            <w:r>
              <w:rPr>
                <w:rFonts w:ascii="黑体" w:hAnsi="黑体" w:cs="黑体" w:eastAsia="黑体" w:hint="default"/>
                <w:sz w:val="20"/>
                <w:szCs w:val="20"/>
              </w:rPr>
              <w:t>交易性权益工具投资</w:t>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93"/>
              <w:jc w:val="right"/>
              <w:rPr>
                <w:rFonts w:ascii="Arial" w:hAnsi="Arial" w:cs="Arial" w:eastAsia="Arial" w:hint="default"/>
                <w:sz w:val="20"/>
                <w:szCs w:val="20"/>
              </w:rPr>
            </w:pPr>
            <w:r>
              <w:rPr>
                <w:rFonts w:ascii="Arial"/>
                <w:spacing w:val="-1"/>
                <w:sz w:val="20"/>
              </w:rPr>
              <w:t>60,503,942</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3"/>
              <w:jc w:val="right"/>
              <w:rPr>
                <w:rFonts w:ascii="Arial" w:hAnsi="Arial" w:cs="Arial" w:eastAsia="Arial" w:hint="default"/>
                <w:sz w:val="20"/>
                <w:szCs w:val="20"/>
              </w:rPr>
            </w:pPr>
            <w:r>
              <w:rPr>
                <w:rFonts w:ascii="Arial"/>
                <w:spacing w:val="-1"/>
                <w:sz w:val="20"/>
              </w:rPr>
              <w:t>5,445,355</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spacing w:val="-1"/>
                <w:sz w:val="20"/>
              </w:rPr>
              <w:t>5,445,355</w:t>
            </w:r>
          </w:p>
        </w:tc>
      </w:tr>
    </w:tbl>
    <w:p>
      <w:pPr>
        <w:spacing w:after="0" w:line="240" w:lineRule="auto"/>
        <w:jc w:val="right"/>
        <w:rPr>
          <w:rFonts w:ascii="Arial" w:hAnsi="Arial" w:cs="Arial" w:eastAsia="Arial" w:hint="default"/>
          <w:sz w:val="20"/>
          <w:szCs w:val="20"/>
        </w:rPr>
        <w:sectPr>
          <w:pgSz w:w="11910" w:h="16840"/>
          <w:pgMar w:header="958" w:footer="548" w:top="2560" w:bottom="740" w:left="1600" w:right="1500"/>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5"/>
          <w:szCs w:val="15"/>
        </w:rPr>
      </w:pPr>
    </w:p>
    <w:p>
      <w:pPr>
        <w:tabs>
          <w:tab w:pos="803" w:val="left" w:leader="none"/>
        </w:tabs>
        <w:spacing w:before="0"/>
        <w:ind w:left="101" w:right="112" w:firstLine="0"/>
        <w:jc w:val="left"/>
        <w:rPr>
          <w:rFonts w:ascii="黑体" w:hAnsi="黑体" w:cs="黑体" w:eastAsia="黑体" w:hint="default"/>
          <w:sz w:val="20"/>
          <w:szCs w:val="20"/>
        </w:rPr>
      </w:pPr>
      <w:r>
        <w:rPr>
          <w:rFonts w:ascii="黑体" w:hAnsi="黑体" w:cs="黑体" w:eastAsia="黑体" w:hint="default"/>
          <w:b/>
          <w:bCs/>
          <w:sz w:val="20"/>
          <w:szCs w:val="20"/>
        </w:rPr>
        <w:t>九、</w:t>
        <w:tab/>
        <w:t>金融工具及其风险分析（续）</w:t>
      </w:r>
      <w:r>
        <w:rPr>
          <w:rFonts w:ascii="黑体" w:hAnsi="黑体" w:cs="黑体" w:eastAsia="黑体" w:hint="default"/>
          <w:sz w:val="20"/>
          <w:szCs w:val="20"/>
        </w:rPr>
      </w:r>
    </w:p>
    <w:p>
      <w:pPr>
        <w:spacing w:line="240" w:lineRule="auto" w:before="0"/>
        <w:rPr>
          <w:rFonts w:ascii="黑体" w:hAnsi="黑体" w:cs="黑体" w:eastAsia="黑体" w:hint="default"/>
          <w:b/>
          <w:bCs/>
          <w:sz w:val="23"/>
          <w:szCs w:val="23"/>
        </w:rPr>
      </w:pPr>
    </w:p>
    <w:p>
      <w:pPr>
        <w:pStyle w:val="BodyText"/>
        <w:tabs>
          <w:tab w:pos="810" w:val="left" w:leader="none"/>
        </w:tabs>
        <w:spacing w:line="501" w:lineRule="auto"/>
        <w:ind w:right="366" w:hanging="715"/>
        <w:jc w:val="left"/>
      </w:pPr>
      <w:r>
        <w:rPr>
          <w:rFonts w:ascii="Arial" w:hAnsi="Arial" w:cs="Arial" w:eastAsia="Arial" w:hint="default"/>
          <w:b/>
          <w:bCs/>
          <w:spacing w:val="-1"/>
        </w:rPr>
        <w:t>4.</w:t>
        <w:tab/>
      </w:r>
      <w:r>
        <w:rPr>
          <w:rFonts w:ascii="黑体" w:hAnsi="黑体" w:cs="黑体" w:eastAsia="黑体" w:hint="default"/>
          <w:b/>
          <w:bCs/>
        </w:rPr>
        <w:t>公允价值</w:t>
      </w:r>
      <w:r>
        <w:rPr>
          <w:rFonts w:ascii="黑体" w:hAnsi="黑体" w:cs="黑体" w:eastAsia="黑体" w:hint="default"/>
          <w:b/>
          <w:bCs/>
          <w:w w:val="99"/>
        </w:rPr>
        <w:t> </w:t>
      </w:r>
      <w:r>
        <w:rPr>
          <w:spacing w:val="-1"/>
        </w:rPr>
        <w:t>本集团和本公司的金融资产及金融负债的公允价值与其相应的账面价值并无重大差异。</w:t>
      </w:r>
    </w:p>
    <w:p>
      <w:pPr>
        <w:spacing w:line="240" w:lineRule="auto" w:before="0"/>
        <w:rPr>
          <w:rFonts w:ascii="黑体" w:hAnsi="黑体" w:cs="黑体" w:eastAsia="黑体" w:hint="default"/>
          <w:sz w:val="20"/>
          <w:szCs w:val="20"/>
        </w:rPr>
      </w:pPr>
    </w:p>
    <w:p>
      <w:pPr>
        <w:tabs>
          <w:tab w:pos="803" w:val="left" w:leader="none"/>
        </w:tabs>
        <w:spacing w:before="158"/>
        <w:ind w:left="101" w:right="112" w:firstLine="0"/>
        <w:jc w:val="left"/>
        <w:rPr>
          <w:rFonts w:ascii="黑体" w:hAnsi="黑体" w:cs="黑体" w:eastAsia="黑体" w:hint="default"/>
          <w:sz w:val="20"/>
          <w:szCs w:val="20"/>
        </w:rPr>
      </w:pPr>
      <w:r>
        <w:rPr>
          <w:rFonts w:ascii="黑体" w:hAnsi="黑体" w:cs="黑体" w:eastAsia="黑体" w:hint="default"/>
          <w:b/>
          <w:bCs/>
          <w:sz w:val="20"/>
          <w:szCs w:val="20"/>
        </w:rPr>
        <w:t>十、</w:t>
        <w:tab/>
        <w:t>或有负债</w:t>
      </w:r>
      <w:r>
        <w:rPr>
          <w:rFonts w:ascii="黑体" w:hAnsi="黑体" w:cs="黑体" w:eastAsia="黑体" w:hint="default"/>
          <w:sz w:val="20"/>
          <w:szCs w:val="20"/>
        </w:rPr>
      </w:r>
    </w:p>
    <w:p>
      <w:pPr>
        <w:spacing w:line="240" w:lineRule="auto" w:before="11"/>
        <w:rPr>
          <w:rFonts w:ascii="黑体" w:hAnsi="黑体" w:cs="黑体" w:eastAsia="黑体" w:hint="default"/>
          <w:b/>
          <w:bCs/>
          <w:sz w:val="25"/>
          <w:szCs w:val="25"/>
        </w:rPr>
      </w:pPr>
    </w:p>
    <w:p>
      <w:pPr>
        <w:pStyle w:val="BodyText"/>
        <w:spacing w:line="240" w:lineRule="auto"/>
        <w:ind w:right="112"/>
        <w:jc w:val="left"/>
      </w:pPr>
      <w:r>
        <w:rPr/>
        <w:t>本集团和本公司于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日无重大或有负债。</w:t>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27"/>
          <w:szCs w:val="27"/>
        </w:rPr>
      </w:pPr>
    </w:p>
    <w:p>
      <w:pPr>
        <w:spacing w:before="0"/>
        <w:ind w:left="101" w:right="112" w:firstLine="0"/>
        <w:jc w:val="left"/>
        <w:rPr>
          <w:rFonts w:ascii="黑体" w:hAnsi="黑体" w:cs="黑体" w:eastAsia="黑体" w:hint="default"/>
          <w:sz w:val="20"/>
          <w:szCs w:val="20"/>
        </w:rPr>
      </w:pPr>
      <w:r>
        <w:rPr>
          <w:rFonts w:ascii="黑体" w:hAnsi="黑体" w:cs="黑体" w:eastAsia="黑体" w:hint="default"/>
          <w:b/>
          <w:bCs/>
          <w:sz w:val="20"/>
          <w:szCs w:val="20"/>
        </w:rPr>
        <w:t>十一、</w:t>
      </w:r>
      <w:r>
        <w:rPr>
          <w:rFonts w:ascii="黑体" w:hAnsi="黑体" w:cs="黑体" w:eastAsia="黑体" w:hint="default"/>
          <w:b/>
          <w:bCs/>
          <w:spacing w:val="-1"/>
          <w:sz w:val="20"/>
          <w:szCs w:val="20"/>
        </w:rPr>
        <w:t> </w:t>
      </w:r>
      <w:r>
        <w:rPr>
          <w:rFonts w:ascii="黑体" w:hAnsi="黑体" w:cs="黑体" w:eastAsia="黑体" w:hint="default"/>
          <w:b/>
          <w:bCs/>
          <w:sz w:val="20"/>
          <w:szCs w:val="20"/>
        </w:rPr>
        <w:t>期后事项</w:t>
      </w:r>
      <w:r>
        <w:rPr>
          <w:rFonts w:ascii="黑体" w:hAnsi="黑体" w:cs="黑体" w:eastAsia="黑体" w:hint="default"/>
          <w:sz w:val="20"/>
          <w:szCs w:val="20"/>
        </w:rPr>
      </w:r>
    </w:p>
    <w:p>
      <w:pPr>
        <w:spacing w:line="240" w:lineRule="auto" w:before="5"/>
        <w:rPr>
          <w:rFonts w:ascii="黑体" w:hAnsi="黑体" w:cs="黑体" w:eastAsia="黑体" w:hint="default"/>
          <w:b/>
          <w:bCs/>
          <w:sz w:val="27"/>
          <w:szCs w:val="27"/>
        </w:rPr>
      </w:pPr>
    </w:p>
    <w:p>
      <w:pPr>
        <w:pStyle w:val="BodyText"/>
        <w:tabs>
          <w:tab w:pos="521" w:val="left" w:leader="none"/>
        </w:tabs>
        <w:spacing w:line="240" w:lineRule="auto"/>
        <w:ind w:left="101" w:right="112"/>
        <w:jc w:val="left"/>
      </w:pPr>
      <w:r>
        <w:rPr>
          <w:rFonts w:ascii="Arial" w:hAnsi="Arial" w:cs="Arial" w:eastAsia="Arial" w:hint="default"/>
          <w:spacing w:val="-1"/>
        </w:rPr>
        <w:t>1.</w:t>
        <w:tab/>
      </w:r>
      <w:r>
        <w:rPr>
          <w:spacing w:val="1"/>
        </w:rPr>
        <w:t>根据中国证监会《上市公司股权分置改革管理办法》的规定以及本公司的限售股份持有人于</w:t>
      </w:r>
      <w:r>
        <w:rPr/>
      </w:r>
    </w:p>
    <w:p>
      <w:pPr>
        <w:pStyle w:val="BodyText"/>
        <w:spacing w:line="240" w:lineRule="auto" w:before="24"/>
        <w:ind w:left="773" w:right="112"/>
        <w:jc w:val="left"/>
      </w:pPr>
      <w:r>
        <w:rPr>
          <w:rFonts w:ascii="Arial" w:hAnsi="Arial" w:cs="Arial" w:eastAsia="Arial" w:hint="default"/>
        </w:rPr>
        <w:t>2006</w:t>
      </w:r>
      <w:r>
        <w:rPr>
          <w:rFonts w:ascii="Arial" w:hAnsi="Arial" w:cs="Arial" w:eastAsia="Arial" w:hint="default"/>
          <w:spacing w:val="-6"/>
        </w:rPr>
        <w:t> </w:t>
      </w:r>
      <w:r>
        <w:rPr/>
        <w:t>年</w:t>
      </w:r>
      <w:r>
        <w:rPr>
          <w:spacing w:val="-51"/>
        </w:rPr>
        <w:t> </w:t>
      </w:r>
      <w:r>
        <w:rPr>
          <w:rFonts w:ascii="Arial" w:hAnsi="Arial" w:cs="Arial" w:eastAsia="Arial" w:hint="default"/>
        </w:rPr>
        <w:t>1</w:t>
      </w:r>
      <w:r>
        <w:rPr>
          <w:rFonts w:ascii="Arial" w:hAnsi="Arial" w:cs="Arial" w:eastAsia="Arial" w:hint="default"/>
          <w:spacing w:val="-7"/>
        </w:rPr>
        <w:t> </w:t>
      </w:r>
      <w:r>
        <w:rPr/>
        <w:t>月</w:t>
      </w:r>
      <w:r>
        <w:rPr>
          <w:spacing w:val="-52"/>
        </w:rPr>
        <w:t> </w:t>
      </w:r>
      <w:r>
        <w:rPr>
          <w:rFonts w:ascii="Arial" w:hAnsi="Arial" w:cs="Arial" w:eastAsia="Arial" w:hint="default"/>
        </w:rPr>
        <w:t>25</w:t>
      </w:r>
      <w:r>
        <w:rPr>
          <w:rFonts w:ascii="Arial" w:hAnsi="Arial" w:cs="Arial" w:eastAsia="Arial" w:hint="default"/>
          <w:spacing w:val="-6"/>
        </w:rPr>
        <w:t> </w:t>
      </w:r>
      <w:r>
        <w:rPr/>
        <w:t>日公告的《用友软件股份有限公司股权分置改革说明书》中作出的承诺，</w:t>
      </w:r>
    </w:p>
    <w:p>
      <w:pPr>
        <w:pStyle w:val="BodyText"/>
        <w:spacing w:line="240" w:lineRule="auto" w:before="24"/>
        <w:ind w:left="773" w:right="112"/>
        <w:jc w:val="left"/>
        <w:rPr>
          <w:rFonts w:ascii="Arial" w:hAnsi="Arial" w:cs="Arial" w:eastAsia="Arial" w:hint="default"/>
        </w:rPr>
      </w:pPr>
      <w:r>
        <w:rPr/>
        <w:t>本公司于</w:t>
      </w:r>
      <w:r>
        <w:rPr>
          <w:spacing w:val="-38"/>
        </w:rPr>
        <w:t> </w:t>
      </w:r>
      <w:r>
        <w:rPr>
          <w:rFonts w:ascii="Arial" w:hAnsi="Arial" w:cs="Arial" w:eastAsia="Arial" w:hint="default"/>
        </w:rPr>
        <w:t>2010</w:t>
      </w:r>
      <w:r>
        <w:rPr>
          <w:rFonts w:ascii="Arial" w:hAnsi="Arial" w:cs="Arial" w:eastAsia="Arial" w:hint="default"/>
          <w:spacing w:val="8"/>
        </w:rPr>
        <w:t> </w:t>
      </w:r>
      <w:r>
        <w:rPr/>
        <w:t>年</w:t>
      </w:r>
      <w:r>
        <w:rPr>
          <w:spacing w:val="-37"/>
        </w:rPr>
        <w:t> </w:t>
      </w:r>
      <w:r>
        <w:rPr>
          <w:rFonts w:ascii="Arial" w:hAnsi="Arial" w:cs="Arial" w:eastAsia="Arial" w:hint="default"/>
        </w:rPr>
        <w:t>3</w:t>
      </w:r>
      <w:r>
        <w:rPr>
          <w:rFonts w:ascii="Arial" w:hAnsi="Arial" w:cs="Arial" w:eastAsia="Arial" w:hint="default"/>
          <w:spacing w:val="8"/>
        </w:rPr>
        <w:t> </w:t>
      </w:r>
      <w:r>
        <w:rPr/>
        <w:t>月</w:t>
      </w:r>
      <w:r>
        <w:rPr>
          <w:spacing w:val="-38"/>
        </w:rPr>
        <w:t> </w:t>
      </w:r>
      <w:r>
        <w:rPr>
          <w:rFonts w:ascii="Arial" w:hAnsi="Arial" w:cs="Arial" w:eastAsia="Arial" w:hint="default"/>
        </w:rPr>
        <w:t>1</w:t>
      </w:r>
      <w:r>
        <w:rPr>
          <w:rFonts w:ascii="Arial" w:hAnsi="Arial" w:cs="Arial" w:eastAsia="Arial" w:hint="default"/>
          <w:spacing w:val="7"/>
        </w:rPr>
        <w:t> </w:t>
      </w:r>
      <w:r>
        <w:rPr/>
        <w:t>日安排限售股份持有人所持有的部分限售股份共计</w:t>
      </w:r>
      <w:r>
        <w:rPr>
          <w:spacing w:val="-38"/>
        </w:rPr>
        <w:t> </w:t>
      </w:r>
      <w:r>
        <w:rPr>
          <w:rFonts w:ascii="Arial" w:hAnsi="Arial" w:cs="Arial" w:eastAsia="Arial" w:hint="default"/>
        </w:rPr>
        <w:t>124,113,600</w:t>
      </w:r>
    </w:p>
    <w:p>
      <w:pPr>
        <w:pStyle w:val="BodyText"/>
        <w:spacing w:line="240" w:lineRule="auto" w:before="24"/>
        <w:ind w:left="773" w:right="112"/>
        <w:jc w:val="left"/>
      </w:pPr>
      <w:r>
        <w:rPr/>
        <w:t>股上市流通。本次有限售条件的境内非国有法人持流通股上市情况如下：</w:t>
      </w:r>
    </w:p>
    <w:p>
      <w:pPr>
        <w:spacing w:line="240" w:lineRule="auto" w:before="12"/>
        <w:rPr>
          <w:rFonts w:ascii="黑体" w:hAnsi="黑体" w:cs="黑体" w:eastAsia="黑体" w:hint="default"/>
          <w:sz w:val="22"/>
          <w:szCs w:val="22"/>
        </w:rPr>
      </w:pPr>
    </w:p>
    <w:p>
      <w:pPr>
        <w:spacing w:after="0" w:line="240" w:lineRule="auto"/>
        <w:rPr>
          <w:rFonts w:ascii="黑体" w:hAnsi="黑体" w:cs="黑体" w:eastAsia="黑体" w:hint="default"/>
          <w:sz w:val="22"/>
          <w:szCs w:val="22"/>
        </w:rPr>
        <w:sectPr>
          <w:pgSz w:w="11910" w:h="16840"/>
          <w:pgMar w:header="958" w:footer="548" w:top="2560" w:bottom="740" w:left="1600" w:right="1520"/>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28"/>
          <w:szCs w:val="28"/>
        </w:rPr>
      </w:pPr>
    </w:p>
    <w:p>
      <w:pPr>
        <w:pStyle w:val="BodyText"/>
        <w:spacing w:line="240" w:lineRule="auto"/>
        <w:ind w:left="837" w:right="-18"/>
        <w:jc w:val="left"/>
      </w:pPr>
      <w:r>
        <w:rPr/>
        <w:t>股东名称</w:t>
      </w:r>
    </w:p>
    <w:p>
      <w:pPr>
        <w:pStyle w:val="BodyText"/>
        <w:spacing w:line="240" w:lineRule="auto" w:before="38"/>
        <w:ind w:left="0" w:right="0"/>
        <w:jc w:val="right"/>
      </w:pPr>
      <w:r>
        <w:rPr>
          <w:spacing w:val="-1"/>
        </w:rPr>
        <w:br w:type="column"/>
      </w:r>
      <w:r>
        <w:rPr>
          <w:spacing w:val="-1"/>
        </w:rPr>
        <w:t>持有有限售条件的</w:t>
      </w:r>
    </w:p>
    <w:p>
      <w:pPr>
        <w:pStyle w:val="BodyText"/>
        <w:spacing w:line="276" w:lineRule="auto" w:before="38"/>
        <w:ind w:left="1282" w:right="0" w:firstLine="154"/>
        <w:jc w:val="right"/>
      </w:pPr>
      <w:r>
        <w:rPr>
          <w:spacing w:val="-1"/>
        </w:rPr>
        <w:t>流通股年末</w:t>
      </w:r>
      <w:r>
        <w:rPr>
          <w:w w:val="100"/>
        </w:rPr>
        <w:t> </w:t>
      </w:r>
      <w:r>
        <w:rPr/>
        <w:t>股份数量</w:t>
      </w:r>
    </w:p>
    <w:p>
      <w:pPr>
        <w:pStyle w:val="BodyText"/>
        <w:spacing w:line="240" w:lineRule="auto" w:before="99"/>
        <w:ind w:left="0" w:right="0"/>
        <w:jc w:val="right"/>
        <w:rPr>
          <w:rFonts w:ascii="Arial" w:hAnsi="Arial" w:cs="Arial" w:eastAsia="Arial" w:hint="default"/>
        </w:rPr>
      </w:pPr>
      <w:r>
        <w:rPr>
          <w:rFonts w:ascii="Arial" w:hAnsi="Arial" w:cs="Arial" w:eastAsia="Arial" w:hint="default"/>
          <w:spacing w:val="-1"/>
        </w:rPr>
        <w:t>(</w:t>
      </w:r>
      <w:r>
        <w:rPr>
          <w:spacing w:val="-1"/>
        </w:rPr>
        <w:t>附注五、</w:t>
      </w:r>
      <w:r>
        <w:rPr>
          <w:rFonts w:ascii="Arial" w:hAnsi="Arial" w:cs="Arial" w:eastAsia="Arial" w:hint="default"/>
          <w:spacing w:val="-1"/>
        </w:rPr>
        <w:t>28)</w:t>
      </w:r>
    </w:p>
    <w:p>
      <w:pPr>
        <w:pStyle w:val="BodyText"/>
        <w:spacing w:line="276" w:lineRule="auto" w:before="38"/>
        <w:ind w:left="0" w:right="0"/>
        <w:jc w:val="right"/>
      </w:pPr>
      <w:r>
        <w:rPr>
          <w:spacing w:val="-1"/>
        </w:rPr>
        <w:br w:type="column"/>
      </w:r>
      <w:r>
        <w:rPr>
          <w:spacing w:val="-1"/>
        </w:rPr>
        <w:t>持有有限售条件的</w:t>
      </w:r>
      <w:r>
        <w:rPr>
          <w:spacing w:val="-96"/>
        </w:rPr>
        <w:t> </w:t>
      </w:r>
      <w:r>
        <w:rPr>
          <w:spacing w:val="-96"/>
        </w:rPr>
      </w:r>
      <w:r>
        <w:rPr>
          <w:spacing w:val="-1"/>
        </w:rPr>
        <w:t>流通股股份占年末</w:t>
      </w:r>
      <w:r>
        <w:rPr>
          <w:spacing w:val="-96"/>
        </w:rPr>
        <w:t> </w:t>
      </w:r>
      <w:r>
        <w:rPr>
          <w:spacing w:val="-96"/>
        </w:rPr>
      </w:r>
      <w:r>
        <w:rPr>
          <w:spacing w:val="-1"/>
        </w:rPr>
        <w:t>公司总股本比例</w:t>
      </w:r>
    </w:p>
    <w:p>
      <w:pPr>
        <w:spacing w:line="240" w:lineRule="auto" w:before="11"/>
        <w:rPr>
          <w:rFonts w:ascii="黑体" w:hAnsi="黑体" w:cs="黑体" w:eastAsia="黑体" w:hint="default"/>
          <w:sz w:val="25"/>
          <w:szCs w:val="25"/>
        </w:rPr>
      </w:pPr>
      <w:r>
        <w:rPr/>
        <w:br w:type="column"/>
      </w:r>
      <w:r>
        <w:rPr>
          <w:rFonts w:ascii="黑体"/>
          <w:sz w:val="25"/>
        </w:rPr>
      </w:r>
    </w:p>
    <w:p>
      <w:pPr>
        <w:pStyle w:val="BodyText"/>
        <w:spacing w:line="276" w:lineRule="auto"/>
        <w:ind w:left="395" w:right="-18"/>
        <w:jc w:val="left"/>
      </w:pPr>
      <w:r>
        <w:rPr/>
        <w:t>本次上市</w:t>
      </w:r>
      <w:r>
        <w:rPr>
          <w:w w:val="100"/>
        </w:rPr>
        <w:t> </w:t>
      </w:r>
      <w:r>
        <w:rPr/>
        <w:t>流通数量</w:t>
      </w:r>
    </w:p>
    <w:p>
      <w:pPr>
        <w:pStyle w:val="BodyText"/>
        <w:spacing w:line="276" w:lineRule="auto" w:before="38"/>
        <w:ind w:left="65" w:right="158" w:firstLine="199"/>
        <w:jc w:val="left"/>
      </w:pPr>
      <w:r>
        <w:rPr/>
        <w:br w:type="column"/>
      </w:r>
      <w:r>
        <w:rPr/>
        <w:t>剩余有限售</w:t>
      </w:r>
      <w:r>
        <w:rPr>
          <w:w w:val="100"/>
        </w:rPr>
        <w:t> </w:t>
      </w:r>
      <w:r>
        <w:rPr/>
        <w:t>条件的流通股</w:t>
      </w:r>
    </w:p>
    <w:p>
      <w:pPr>
        <w:pStyle w:val="BodyText"/>
        <w:spacing w:line="240" w:lineRule="auto" w:before="8"/>
        <w:ind w:left="464" w:right="0"/>
        <w:jc w:val="left"/>
      </w:pPr>
      <w:r>
        <w:rPr/>
        <w:t>股份数量</w:t>
      </w:r>
    </w:p>
    <w:p>
      <w:pPr>
        <w:spacing w:after="0" w:line="240" w:lineRule="auto"/>
        <w:jc w:val="left"/>
        <w:sectPr>
          <w:type w:val="continuous"/>
          <w:pgSz w:w="11910" w:h="16840"/>
          <w:pgMar w:top="900" w:bottom="280" w:left="1600" w:right="1520"/>
          <w:cols w:num="5" w:equalWidth="0">
            <w:col w:w="1640" w:space="134"/>
            <w:col w:w="2440" w:space="40"/>
            <w:col w:w="1812" w:space="40"/>
            <w:col w:w="1198" w:space="40"/>
            <w:col w:w="1446"/>
          </w:cols>
        </w:sectPr>
      </w:pPr>
    </w:p>
    <w:p>
      <w:pPr>
        <w:pStyle w:val="BodyText"/>
        <w:tabs>
          <w:tab w:pos="3099" w:val="left" w:leader="none"/>
          <w:tab w:pos="5399" w:val="left" w:leader="none"/>
          <w:tab w:pos="7947" w:val="left" w:leader="none"/>
          <w:tab w:pos="8546" w:val="left" w:leader="none"/>
        </w:tabs>
        <w:spacing w:line="240" w:lineRule="auto" w:before="51"/>
        <w:ind w:left="837" w:right="112"/>
        <w:jc w:val="left"/>
        <w:rPr>
          <w:rFonts w:ascii="Arial" w:hAnsi="Arial" w:cs="Arial" w:eastAsia="Arial" w:hint="default"/>
        </w:rPr>
      </w:pPr>
      <w:r>
        <w:rPr>
          <w:position w:val="3"/>
        </w:rPr>
        <w:t>用友科技</w:t>
        <w:tab/>
      </w:r>
      <w:r>
        <w:rPr>
          <w:rFonts w:ascii="Arial" w:hAnsi="Arial" w:cs="Arial" w:eastAsia="Arial" w:hint="default"/>
        </w:rPr>
      </w:r>
      <w:r>
        <w:rPr>
          <w:rFonts w:ascii="Arial" w:hAnsi="Arial" w:cs="Arial" w:eastAsia="Arial" w:hint="default"/>
          <w:spacing w:val="-1"/>
          <w:u w:val="thick" w:color="000000"/>
        </w:rPr>
        <w:t>124,113,600</w:t>
      </w:r>
      <w:r>
        <w:rPr>
          <w:rFonts w:ascii="Arial" w:hAnsi="Arial" w:cs="Arial" w:eastAsia="Arial" w:hint="default"/>
          <w:spacing w:val="-1"/>
        </w:rPr>
        <w:tab/>
      </w:r>
      <w:r>
        <w:rPr>
          <w:rFonts w:ascii="Arial" w:hAnsi="Arial" w:cs="Arial" w:eastAsia="Arial" w:hint="default"/>
          <w:u w:val="thick" w:color="000000"/>
        </w:rPr>
        <w:t>19.77% </w:t>
      </w:r>
      <w:r>
        <w:rPr>
          <w:rFonts w:ascii="Arial" w:hAnsi="Arial" w:cs="Arial" w:eastAsia="Arial" w:hint="default"/>
          <w:spacing w:val="23"/>
          <w:u w:val="thick" w:color="000000"/>
        </w:rPr>
        <w:t> </w:t>
      </w:r>
      <w:r>
        <w:rPr>
          <w:rFonts w:ascii="Arial" w:hAnsi="Arial" w:cs="Arial" w:eastAsia="Arial" w:hint="default"/>
          <w:spacing w:val="23"/>
        </w:rPr>
      </w:r>
      <w:r>
        <w:rPr>
          <w:rFonts w:ascii="Arial" w:hAnsi="Arial" w:cs="Arial" w:eastAsia="Arial" w:hint="default"/>
          <w:spacing w:val="-1"/>
          <w:u w:val="thick" w:color="000000"/>
        </w:rPr>
        <w:t>124,113,600</w:t>
      </w:r>
      <w:r>
        <w:rPr>
          <w:rFonts w:ascii="Arial" w:hAnsi="Arial" w:cs="Arial" w:eastAsia="Arial" w:hint="default"/>
          <w:spacing w:val="-1"/>
        </w:rPr>
        <w:tab/>
      </w:r>
      <w:r>
        <w:rPr>
          <w:rFonts w:ascii="Arial" w:hAnsi="Arial" w:cs="Arial" w:eastAsia="Arial" w:hint="default"/>
          <w:spacing w:val="-1"/>
          <w:u w:val="thick" w:color="000000"/>
        </w:rPr>
        <w:t> </w:t>
        <w:tab/>
      </w:r>
      <w:r>
        <w:rPr>
          <w:rFonts w:ascii="Arial" w:hAnsi="Arial" w:cs="Arial" w:eastAsia="Arial" w:hint="default"/>
          <w:u w:val="thick" w:color="000000"/>
        </w:rPr>
        <w:t>-</w:t>
      </w:r>
      <w:r>
        <w:rPr>
          <w:rFonts w:ascii="Arial" w:hAnsi="Arial" w:cs="Arial" w:eastAsia="Arial" w:hint="default"/>
        </w:rPr>
      </w:r>
    </w:p>
    <w:p>
      <w:pPr>
        <w:spacing w:line="240" w:lineRule="auto" w:before="0"/>
        <w:rPr>
          <w:rFonts w:ascii="Arial" w:hAnsi="Arial" w:cs="Arial" w:eastAsia="Arial" w:hint="default"/>
          <w:sz w:val="20"/>
          <w:szCs w:val="20"/>
        </w:rPr>
      </w:pPr>
    </w:p>
    <w:p>
      <w:pPr>
        <w:pStyle w:val="BodyText"/>
        <w:tabs>
          <w:tab w:pos="521" w:val="left" w:leader="none"/>
        </w:tabs>
        <w:spacing w:line="240" w:lineRule="auto" w:before="154"/>
        <w:ind w:left="101" w:right="112"/>
        <w:jc w:val="left"/>
      </w:pPr>
      <w:r>
        <w:rPr>
          <w:rFonts w:ascii="Arial" w:hAnsi="Arial" w:cs="Arial" w:eastAsia="Arial" w:hint="default"/>
          <w:spacing w:val="-1"/>
        </w:rPr>
        <w:t>2.</w:t>
        <w:tab/>
      </w:r>
      <w:r>
        <w:rPr/>
        <w:t>本公司于</w:t>
      </w:r>
      <w:r>
        <w:rPr>
          <w:spacing w:val="-41"/>
        </w:rPr>
        <w:t> </w:t>
      </w:r>
      <w:r>
        <w:rPr>
          <w:rFonts w:ascii="Arial" w:hAnsi="Arial" w:cs="Arial" w:eastAsia="Arial" w:hint="default"/>
          <w:spacing w:val="-1"/>
        </w:rPr>
        <w:t>2010</w:t>
      </w:r>
      <w:r>
        <w:rPr>
          <w:rFonts w:ascii="Arial" w:hAnsi="Arial" w:cs="Arial" w:eastAsia="Arial" w:hint="default"/>
          <w:spacing w:val="5"/>
        </w:rPr>
        <w:t> </w:t>
      </w:r>
      <w:r>
        <w:rPr/>
        <w:t>年</w:t>
      </w:r>
      <w:r>
        <w:rPr>
          <w:spacing w:val="-40"/>
        </w:rPr>
        <w:t> </w:t>
      </w:r>
      <w:r>
        <w:rPr>
          <w:rFonts w:ascii="Arial" w:hAnsi="Arial" w:cs="Arial" w:eastAsia="Arial" w:hint="default"/>
        </w:rPr>
        <w:t>1</w:t>
      </w:r>
      <w:r>
        <w:rPr>
          <w:rFonts w:ascii="Arial" w:hAnsi="Arial" w:cs="Arial" w:eastAsia="Arial" w:hint="default"/>
          <w:spacing w:val="5"/>
        </w:rPr>
        <w:t> </w:t>
      </w:r>
      <w:r>
        <w:rPr/>
        <w:t>月</w:t>
      </w:r>
      <w:r>
        <w:rPr>
          <w:spacing w:val="-40"/>
        </w:rPr>
        <w:t> </w:t>
      </w:r>
      <w:r>
        <w:rPr>
          <w:rFonts w:ascii="Arial" w:hAnsi="Arial" w:cs="Arial" w:eastAsia="Arial" w:hint="default"/>
          <w:spacing w:val="-1"/>
        </w:rPr>
        <w:t>28</w:t>
      </w:r>
      <w:r>
        <w:rPr>
          <w:rFonts w:ascii="Arial" w:hAnsi="Arial" w:cs="Arial" w:eastAsia="Arial" w:hint="default"/>
          <w:spacing w:val="4"/>
        </w:rPr>
        <w:t> </w:t>
      </w:r>
      <w:r>
        <w:rPr>
          <w:spacing w:val="-1"/>
        </w:rPr>
        <w:t>日召开第四届董事会</w:t>
      </w:r>
      <w:r>
        <w:rPr>
          <w:spacing w:val="-40"/>
        </w:rPr>
        <w:t> </w:t>
      </w:r>
      <w:r>
        <w:rPr>
          <w:rFonts w:ascii="Arial" w:hAnsi="Arial" w:cs="Arial" w:eastAsia="Arial" w:hint="default"/>
          <w:spacing w:val="-1"/>
        </w:rPr>
        <w:t>2010</w:t>
      </w:r>
      <w:r>
        <w:rPr>
          <w:rFonts w:ascii="Arial" w:hAnsi="Arial" w:cs="Arial" w:eastAsia="Arial" w:hint="default"/>
          <w:spacing w:val="4"/>
        </w:rPr>
        <w:t> </w:t>
      </w:r>
      <w:r>
        <w:rPr>
          <w:spacing w:val="-1"/>
        </w:rPr>
        <w:t>年第一次会议，通过公司《关于转让公</w:t>
      </w:r>
    </w:p>
    <w:p>
      <w:pPr>
        <w:pStyle w:val="BodyText"/>
        <w:spacing w:line="261" w:lineRule="auto" w:before="24"/>
        <w:ind w:left="773" w:right="174"/>
        <w:jc w:val="left"/>
      </w:pPr>
      <w:r>
        <w:rPr/>
        <w:t>司在线业务及相关资产的议案》：决定将在线业务及相关资产以人民币 </w:t>
      </w:r>
      <w:r>
        <w:rPr>
          <w:rFonts w:ascii="Arial" w:hAnsi="Arial" w:cs="Arial" w:eastAsia="Arial" w:hint="default"/>
        </w:rPr>
        <w:t>19,604,171.41</w:t>
      </w:r>
      <w:r>
        <w:rPr>
          <w:rFonts w:ascii="Arial" w:hAnsi="Arial" w:cs="Arial" w:eastAsia="Arial" w:hint="default"/>
          <w:spacing w:val="-18"/>
        </w:rPr>
        <w:t> </w:t>
      </w:r>
      <w:r>
        <w:rPr/>
        <w:t>元</w:t>
      </w:r>
      <w:r>
        <w:rPr>
          <w:w w:val="100"/>
        </w:rPr>
        <w:t> </w:t>
      </w:r>
      <w:r>
        <w:rPr/>
        <w:t>的价格转让给用友移动。</w:t>
      </w:r>
    </w:p>
    <w:p>
      <w:pPr>
        <w:spacing w:line="240" w:lineRule="auto" w:before="6"/>
        <w:rPr>
          <w:rFonts w:ascii="黑体" w:hAnsi="黑体" w:cs="黑体" w:eastAsia="黑体" w:hint="default"/>
          <w:sz w:val="24"/>
          <w:szCs w:val="24"/>
        </w:rPr>
      </w:pPr>
    </w:p>
    <w:p>
      <w:pPr>
        <w:pStyle w:val="BodyText"/>
        <w:spacing w:line="264" w:lineRule="auto"/>
        <w:ind w:left="772" w:right="175" w:hanging="672"/>
        <w:jc w:val="both"/>
      </w:pPr>
      <w:r>
        <w:rPr>
          <w:rFonts w:ascii="Arial" w:hAnsi="Arial" w:cs="Arial" w:eastAsia="Arial" w:hint="default"/>
        </w:rPr>
        <w:t>3.</w:t>
      </w:r>
      <w:r>
        <w:rPr>
          <w:rFonts w:ascii="Arial" w:hAnsi="Arial" w:cs="Arial" w:eastAsia="Arial" w:hint="default"/>
          <w:spacing w:val="28"/>
        </w:rPr>
        <w:t> </w:t>
      </w:r>
      <w:r>
        <w:rPr/>
        <w:t>本公司于</w:t>
      </w:r>
      <w:r>
        <w:rPr>
          <w:spacing w:val="-45"/>
        </w:rPr>
        <w:t> </w:t>
      </w:r>
      <w:r>
        <w:rPr>
          <w:rFonts w:ascii="Arial" w:hAnsi="Arial" w:cs="Arial" w:eastAsia="Arial" w:hint="default"/>
        </w:rPr>
        <w:t>2010</w:t>
      </w:r>
      <w:r>
        <w:rPr>
          <w:rFonts w:ascii="Arial" w:hAnsi="Arial" w:cs="Arial" w:eastAsia="Arial" w:hint="default"/>
          <w:spacing w:val="1"/>
        </w:rPr>
        <w:t> </w:t>
      </w:r>
      <w:r>
        <w:rPr/>
        <w:t>年</w:t>
      </w:r>
      <w:r>
        <w:rPr>
          <w:spacing w:val="-44"/>
        </w:rPr>
        <w:t> </w:t>
      </w:r>
      <w:r>
        <w:rPr>
          <w:rFonts w:ascii="Arial" w:hAnsi="Arial" w:cs="Arial" w:eastAsia="Arial" w:hint="default"/>
        </w:rPr>
        <w:t>1</w:t>
      </w:r>
      <w:r>
        <w:rPr>
          <w:rFonts w:ascii="Arial" w:hAnsi="Arial" w:cs="Arial" w:eastAsia="Arial" w:hint="default"/>
          <w:spacing w:val="1"/>
        </w:rPr>
        <w:t> </w:t>
      </w:r>
      <w:r>
        <w:rPr/>
        <w:t>月</w:t>
      </w:r>
      <w:r>
        <w:rPr>
          <w:spacing w:val="-44"/>
        </w:rPr>
        <w:t> </w:t>
      </w:r>
      <w:r>
        <w:rPr>
          <w:rFonts w:ascii="Arial" w:hAnsi="Arial" w:cs="Arial" w:eastAsia="Arial" w:hint="default"/>
        </w:rPr>
        <w:t>28 </w:t>
      </w:r>
      <w:r>
        <w:rPr/>
        <w:t>日召开第四届董事会</w:t>
      </w:r>
      <w:r>
        <w:rPr>
          <w:spacing w:val="-44"/>
        </w:rPr>
        <w:t> </w:t>
      </w:r>
      <w:r>
        <w:rPr>
          <w:rFonts w:ascii="Arial" w:hAnsi="Arial" w:cs="Arial" w:eastAsia="Arial" w:hint="default"/>
        </w:rPr>
        <w:t>2010 </w:t>
      </w:r>
      <w:r>
        <w:rPr/>
        <w:t>年第一次会议，通过公司《关于成立用</w:t>
      </w:r>
      <w:r>
        <w:rPr>
          <w:w w:val="100"/>
        </w:rPr>
        <w:t> </w:t>
      </w:r>
      <w:r>
        <w:rPr>
          <w:spacing w:val="-2"/>
        </w:rPr>
        <w:t>友小型管理软件有限责任公司的议案》：决定成立用友小型管理软件有限责任公司</w:t>
      </w:r>
      <w:r>
        <w:rPr>
          <w:rFonts w:ascii="Arial" w:hAnsi="Arial" w:cs="Arial" w:eastAsia="Arial" w:hint="default"/>
          <w:spacing w:val="-2"/>
        </w:rPr>
        <w:t>(</w:t>
      </w:r>
      <w:r>
        <w:rPr>
          <w:spacing w:val="-2"/>
        </w:rPr>
        <w:t>以下简</w:t>
      </w:r>
      <w:r>
        <w:rPr>
          <w:w w:val="100"/>
        </w:rPr>
        <w:t> </w:t>
      </w:r>
      <w:r>
        <w:rPr/>
        <w:t>称</w:t>
      </w:r>
      <w:r>
        <w:rPr>
          <w:rFonts w:ascii="Arial" w:hAnsi="Arial" w:cs="Arial" w:eastAsia="Arial" w:hint="default"/>
        </w:rPr>
        <w:t>“</w:t>
      </w:r>
      <w:r>
        <w:rPr/>
        <w:t>用友小型</w:t>
      </w:r>
      <w:r>
        <w:rPr>
          <w:rFonts w:ascii="Arial" w:hAnsi="Arial" w:cs="Arial" w:eastAsia="Arial" w:hint="default"/>
        </w:rPr>
        <w:t>”)</w:t>
      </w:r>
      <w:r>
        <w:rPr/>
        <w:t>，该公司注册资本为人民币 </w:t>
      </w:r>
      <w:r>
        <w:rPr>
          <w:rFonts w:ascii="Arial" w:hAnsi="Arial" w:cs="Arial" w:eastAsia="Arial" w:hint="default"/>
        </w:rPr>
        <w:t>1 </w:t>
      </w:r>
      <w:r>
        <w:rPr/>
        <w:t>亿元，本公司以现金方式出资，持有其</w:t>
      </w:r>
      <w:r>
        <w:rPr>
          <w:spacing w:val="-56"/>
        </w:rPr>
        <w:t> </w:t>
      </w:r>
      <w:r>
        <w:rPr>
          <w:rFonts w:ascii="Arial" w:hAnsi="Arial" w:cs="Arial" w:eastAsia="Arial" w:hint="default"/>
        </w:rPr>
        <w:t>100%</w:t>
      </w:r>
      <w:r>
        <w:rPr>
          <w:rFonts w:ascii="Arial" w:hAnsi="Arial" w:cs="Arial" w:eastAsia="Arial" w:hint="default"/>
          <w:w w:val="100"/>
        </w:rPr>
        <w:t> </w:t>
      </w:r>
      <w:r>
        <w:rPr/>
        <w:t>的股权。截至本财务报表批准日，有关的工商登记手续尚未完成，用友小型未取得营业执</w:t>
      </w:r>
      <w:r>
        <w:rPr>
          <w:w w:val="100"/>
        </w:rPr>
        <w:t> </w:t>
      </w:r>
      <w:r>
        <w:rPr/>
        <w:t>照。</w:t>
      </w:r>
    </w:p>
    <w:p>
      <w:pPr>
        <w:spacing w:line="240" w:lineRule="auto" w:before="12"/>
        <w:rPr>
          <w:rFonts w:ascii="黑体" w:hAnsi="黑体" w:cs="黑体" w:eastAsia="黑体" w:hint="default"/>
          <w:sz w:val="28"/>
          <w:szCs w:val="28"/>
        </w:rPr>
      </w:pPr>
    </w:p>
    <w:p>
      <w:pPr>
        <w:pStyle w:val="BodyText"/>
        <w:spacing w:line="261" w:lineRule="auto"/>
        <w:ind w:left="771" w:right="141" w:hanging="672"/>
        <w:jc w:val="both"/>
      </w:pPr>
      <w:r>
        <w:rPr>
          <w:rFonts w:ascii="Arial" w:hAnsi="Arial" w:cs="Arial" w:eastAsia="Arial" w:hint="default"/>
        </w:rPr>
        <w:t>4.</w:t>
      </w:r>
      <w:r>
        <w:rPr>
          <w:rFonts w:ascii="Arial" w:hAnsi="Arial" w:cs="Arial" w:eastAsia="Arial" w:hint="default"/>
          <w:spacing w:val="35"/>
        </w:rPr>
        <w:t> </w:t>
      </w:r>
      <w:r>
        <w:rPr/>
        <w:t>本公司于</w:t>
      </w:r>
      <w:r>
        <w:rPr>
          <w:spacing w:val="-50"/>
        </w:rPr>
        <w:t> </w:t>
      </w:r>
      <w:r>
        <w:rPr>
          <w:rFonts w:ascii="Arial" w:hAnsi="Arial" w:cs="Arial" w:eastAsia="Arial" w:hint="default"/>
        </w:rPr>
        <w:t>2010</w:t>
      </w:r>
      <w:r>
        <w:rPr>
          <w:rFonts w:ascii="Arial" w:hAnsi="Arial" w:cs="Arial" w:eastAsia="Arial" w:hint="default"/>
          <w:spacing w:val="-5"/>
        </w:rPr>
        <w:t> </w:t>
      </w:r>
      <w:r>
        <w:rPr/>
        <w:t>年</w:t>
      </w:r>
      <w:r>
        <w:rPr>
          <w:spacing w:val="-51"/>
        </w:rPr>
        <w:t> </w:t>
      </w:r>
      <w:r>
        <w:rPr>
          <w:rFonts w:ascii="Arial" w:hAnsi="Arial" w:cs="Arial" w:eastAsia="Arial" w:hint="default"/>
        </w:rPr>
        <w:t>2</w:t>
      </w:r>
      <w:r>
        <w:rPr>
          <w:rFonts w:ascii="Arial" w:hAnsi="Arial" w:cs="Arial" w:eastAsia="Arial" w:hint="default"/>
          <w:spacing w:val="-7"/>
        </w:rPr>
        <w:t> </w:t>
      </w:r>
      <w:r>
        <w:rPr/>
        <w:t>月</w:t>
      </w:r>
      <w:r>
        <w:rPr>
          <w:spacing w:val="-50"/>
        </w:rPr>
        <w:t> </w:t>
      </w:r>
      <w:r>
        <w:rPr>
          <w:rFonts w:ascii="Arial" w:hAnsi="Arial" w:cs="Arial" w:eastAsia="Arial" w:hint="default"/>
        </w:rPr>
        <w:t>9</w:t>
      </w:r>
      <w:r>
        <w:rPr>
          <w:rFonts w:ascii="Arial" w:hAnsi="Arial" w:cs="Arial" w:eastAsia="Arial" w:hint="default"/>
          <w:spacing w:val="-7"/>
        </w:rPr>
        <w:t> </w:t>
      </w:r>
      <w:r>
        <w:rPr/>
        <w:t>日召开第四届董事会</w:t>
      </w:r>
      <w:r>
        <w:rPr>
          <w:spacing w:val="-50"/>
        </w:rPr>
        <w:t> </w:t>
      </w:r>
      <w:r>
        <w:rPr>
          <w:rFonts w:ascii="Arial" w:hAnsi="Arial" w:cs="Arial" w:eastAsia="Arial" w:hint="default"/>
        </w:rPr>
        <w:t>2010</w:t>
      </w:r>
      <w:r>
        <w:rPr>
          <w:rFonts w:ascii="Arial" w:hAnsi="Arial" w:cs="Arial" w:eastAsia="Arial" w:hint="default"/>
          <w:spacing w:val="-5"/>
        </w:rPr>
        <w:t> </w:t>
      </w:r>
      <w:r>
        <w:rPr>
          <w:spacing w:val="-3"/>
        </w:rPr>
        <w:t>年第二次会议，通过《关于成立三亚用友</w:t>
      </w:r>
      <w:r>
        <w:rPr>
          <w:w w:val="100"/>
        </w:rPr>
        <w:t> </w:t>
      </w:r>
      <w:r>
        <w:rPr>
          <w:spacing w:val="-1"/>
        </w:rPr>
        <w:t>软件科技有限公司的议案》，决定成立三亚用友软件科技有限公司</w:t>
      </w:r>
      <w:r>
        <w:rPr>
          <w:rFonts w:ascii="Arial" w:hAnsi="Arial" w:cs="Arial" w:eastAsia="Arial" w:hint="default"/>
          <w:spacing w:val="-1"/>
        </w:rPr>
        <w:t>(</w:t>
      </w:r>
      <w:r>
        <w:rPr>
          <w:spacing w:val="-1"/>
        </w:rPr>
        <w:t>以下简称</w:t>
      </w:r>
      <w:r>
        <w:rPr>
          <w:rFonts w:ascii="Arial" w:hAnsi="Arial" w:cs="Arial" w:eastAsia="Arial" w:hint="default"/>
          <w:spacing w:val="-1"/>
        </w:rPr>
        <w:t>“</w:t>
      </w:r>
      <w:r>
        <w:rPr>
          <w:spacing w:val="-1"/>
        </w:rPr>
        <w:t>用友三亚</w:t>
      </w:r>
      <w:r>
        <w:rPr>
          <w:rFonts w:ascii="Arial" w:hAnsi="Arial" w:cs="Arial" w:eastAsia="Arial" w:hint="default"/>
          <w:spacing w:val="-1"/>
        </w:rPr>
        <w:t>”)</w:t>
      </w:r>
      <w:r>
        <w:rPr>
          <w:spacing w:val="-1"/>
        </w:rPr>
        <w:t>，</w:t>
      </w:r>
      <w:r>
        <w:rPr>
          <w:w w:val="100"/>
        </w:rPr>
        <w:t> </w:t>
      </w:r>
      <w:r>
        <w:rPr/>
        <w:t>该公司注册资本为人民币 </w:t>
      </w:r>
      <w:r>
        <w:rPr>
          <w:rFonts w:ascii="Arial" w:hAnsi="Arial" w:cs="Arial" w:eastAsia="Arial" w:hint="default"/>
        </w:rPr>
        <w:t>1 </w:t>
      </w:r>
      <w:r>
        <w:rPr/>
        <w:t>亿元，本公司以现金方式出资，持有其</w:t>
      </w:r>
      <w:r>
        <w:rPr>
          <w:spacing w:val="-54"/>
        </w:rPr>
        <w:t> </w:t>
      </w:r>
      <w:r>
        <w:rPr>
          <w:rFonts w:ascii="Arial" w:hAnsi="Arial" w:cs="Arial" w:eastAsia="Arial" w:hint="default"/>
        </w:rPr>
        <w:t>100%</w:t>
      </w:r>
      <w:r>
        <w:rPr/>
        <w:t>的股权。截至本</w:t>
      </w:r>
      <w:r>
        <w:rPr>
          <w:w w:val="100"/>
        </w:rPr>
        <w:t> </w:t>
      </w:r>
      <w:r>
        <w:rPr/>
        <w:t>财务报表批准日，有关的工商登记手续已完成，用友三亚已取得营业执照。</w:t>
      </w:r>
    </w:p>
    <w:p>
      <w:pPr>
        <w:spacing w:after="0" w:line="261" w:lineRule="auto"/>
        <w:jc w:val="both"/>
        <w:sectPr>
          <w:type w:val="continuous"/>
          <w:pgSz w:w="11910" w:h="16840"/>
          <w:pgMar w:top="900" w:bottom="280" w:left="1600" w:right="1520"/>
        </w:sectPr>
      </w:pPr>
    </w:p>
    <w:p>
      <w:pPr>
        <w:spacing w:line="240" w:lineRule="auto" w:before="0"/>
        <w:rPr>
          <w:rFonts w:ascii="黑体" w:hAnsi="黑体" w:cs="黑体" w:eastAsia="黑体" w:hint="default"/>
          <w:sz w:val="20"/>
          <w:szCs w:val="20"/>
        </w:rPr>
      </w:pPr>
    </w:p>
    <w:p>
      <w:pPr>
        <w:spacing w:line="240" w:lineRule="auto" w:before="2"/>
        <w:rPr>
          <w:rFonts w:ascii="黑体" w:hAnsi="黑体" w:cs="黑体" w:eastAsia="黑体" w:hint="default"/>
          <w:sz w:val="23"/>
          <w:szCs w:val="23"/>
        </w:rPr>
      </w:pPr>
    </w:p>
    <w:p>
      <w:pPr>
        <w:spacing w:before="38"/>
        <w:ind w:left="121" w:right="0" w:firstLine="0"/>
        <w:jc w:val="left"/>
        <w:rPr>
          <w:rFonts w:ascii="黑体" w:hAnsi="黑体" w:cs="黑体" w:eastAsia="黑体" w:hint="default"/>
          <w:sz w:val="20"/>
          <w:szCs w:val="20"/>
        </w:rPr>
      </w:pPr>
      <w:r>
        <w:rPr>
          <w:rFonts w:ascii="黑体" w:hAnsi="黑体" w:cs="黑体" w:eastAsia="黑体" w:hint="default"/>
          <w:b/>
          <w:bCs/>
          <w:sz w:val="20"/>
          <w:szCs w:val="20"/>
        </w:rPr>
        <w:t>十一、</w:t>
      </w:r>
      <w:r>
        <w:rPr>
          <w:rFonts w:ascii="黑体" w:hAnsi="黑体" w:cs="黑体" w:eastAsia="黑体" w:hint="default"/>
          <w:b/>
          <w:bCs/>
          <w:spacing w:val="-1"/>
          <w:sz w:val="20"/>
          <w:szCs w:val="20"/>
        </w:rPr>
        <w:t> </w:t>
      </w:r>
      <w:r>
        <w:rPr>
          <w:rFonts w:ascii="黑体" w:hAnsi="黑体" w:cs="黑体" w:eastAsia="黑体" w:hint="default"/>
          <w:b/>
          <w:bCs/>
          <w:sz w:val="20"/>
          <w:szCs w:val="20"/>
        </w:rPr>
        <w:t>期后事项（续）</w:t>
      </w:r>
      <w:r>
        <w:rPr>
          <w:rFonts w:ascii="黑体" w:hAnsi="黑体" w:cs="黑体" w:eastAsia="黑体" w:hint="default"/>
          <w:sz w:val="20"/>
          <w:szCs w:val="20"/>
        </w:rPr>
      </w:r>
    </w:p>
    <w:p>
      <w:pPr>
        <w:spacing w:line="240" w:lineRule="auto" w:before="0"/>
        <w:rPr>
          <w:rFonts w:ascii="黑体" w:hAnsi="黑体" w:cs="黑体" w:eastAsia="黑体" w:hint="default"/>
          <w:b/>
          <w:bCs/>
          <w:sz w:val="20"/>
          <w:szCs w:val="20"/>
        </w:rPr>
      </w:pPr>
    </w:p>
    <w:p>
      <w:pPr>
        <w:pStyle w:val="BodyText"/>
        <w:tabs>
          <w:tab w:pos="541" w:val="left" w:leader="none"/>
        </w:tabs>
        <w:spacing w:line="240" w:lineRule="auto" w:before="157"/>
        <w:ind w:left="121" w:right="0"/>
        <w:jc w:val="left"/>
      </w:pPr>
      <w:r>
        <w:rPr>
          <w:rFonts w:ascii="Arial" w:hAnsi="Arial" w:cs="Arial" w:eastAsia="Arial" w:hint="default"/>
          <w:spacing w:val="-1"/>
          <w:w w:val="100"/>
        </w:rPr>
        <w:t>5</w:t>
      </w:r>
      <w:r>
        <w:rPr>
          <w:rFonts w:ascii="Arial" w:hAnsi="Arial" w:cs="Arial" w:eastAsia="Arial" w:hint="default"/>
          <w:w w:val="100"/>
        </w:rPr>
        <w:t>.</w:t>
      </w:r>
      <w:r>
        <w:rPr>
          <w:rFonts w:ascii="Arial" w:hAnsi="Arial" w:cs="Arial" w:eastAsia="Arial" w:hint="default"/>
        </w:rPr>
        <w:tab/>
      </w:r>
      <w:r>
        <w:rPr>
          <w:w w:val="100"/>
        </w:rPr>
        <w:t>本公</w:t>
      </w:r>
      <w:r>
        <w:rPr>
          <w:spacing w:val="-2"/>
          <w:w w:val="100"/>
        </w:rPr>
        <w:t>司</w:t>
      </w:r>
      <w:r>
        <w:rPr>
          <w:w w:val="100"/>
        </w:rPr>
        <w:t>于</w:t>
      </w:r>
      <w:r>
        <w:rPr>
          <w:spacing w:val="-50"/>
        </w:rPr>
        <w:t> </w:t>
      </w:r>
      <w:r>
        <w:rPr>
          <w:rFonts w:ascii="Arial" w:hAnsi="Arial" w:cs="Arial" w:eastAsia="Arial" w:hint="default"/>
          <w:w w:val="100"/>
        </w:rPr>
        <w:t>2</w:t>
      </w:r>
      <w:r>
        <w:rPr>
          <w:rFonts w:ascii="Arial" w:hAnsi="Arial" w:cs="Arial" w:eastAsia="Arial" w:hint="default"/>
          <w:spacing w:val="-2"/>
          <w:w w:val="100"/>
        </w:rPr>
        <w:t>01</w:t>
      </w:r>
      <w:r>
        <w:rPr>
          <w:rFonts w:ascii="Arial" w:hAnsi="Arial" w:cs="Arial" w:eastAsia="Arial" w:hint="default"/>
          <w:w w:val="100"/>
        </w:rPr>
        <w:t>0</w:t>
      </w:r>
      <w:r>
        <w:rPr>
          <w:rFonts w:ascii="Arial" w:hAnsi="Arial" w:cs="Arial" w:eastAsia="Arial" w:hint="default"/>
          <w:spacing w:val="-5"/>
        </w:rPr>
        <w:t> </w:t>
      </w:r>
      <w:r>
        <w:rPr>
          <w:w w:val="100"/>
        </w:rPr>
        <w:t>年</w:t>
      </w:r>
      <w:r>
        <w:rPr>
          <w:spacing w:val="-51"/>
        </w:rPr>
        <w:t> </w:t>
      </w:r>
      <w:r>
        <w:rPr>
          <w:rFonts w:ascii="Arial" w:hAnsi="Arial" w:cs="Arial" w:eastAsia="Arial" w:hint="default"/>
          <w:w w:val="100"/>
        </w:rPr>
        <w:t>3</w:t>
      </w:r>
      <w:r>
        <w:rPr>
          <w:rFonts w:ascii="Arial" w:hAnsi="Arial" w:cs="Arial" w:eastAsia="Arial" w:hint="default"/>
          <w:spacing w:val="-7"/>
        </w:rPr>
        <w:t> </w:t>
      </w:r>
      <w:r>
        <w:rPr>
          <w:w w:val="100"/>
        </w:rPr>
        <w:t>月</w:t>
      </w:r>
      <w:r>
        <w:rPr>
          <w:spacing w:val="-50"/>
        </w:rPr>
        <w:t> </w:t>
      </w:r>
      <w:r>
        <w:rPr>
          <w:rFonts w:ascii="Arial" w:hAnsi="Arial" w:cs="Arial" w:eastAsia="Arial" w:hint="default"/>
          <w:spacing w:val="-2"/>
          <w:w w:val="100"/>
        </w:rPr>
        <w:t>2</w:t>
      </w:r>
      <w:r>
        <w:rPr>
          <w:rFonts w:ascii="Arial" w:hAnsi="Arial" w:cs="Arial" w:eastAsia="Arial" w:hint="default"/>
          <w:w w:val="100"/>
        </w:rPr>
        <w:t>0</w:t>
      </w:r>
      <w:r>
        <w:rPr>
          <w:rFonts w:ascii="Arial" w:hAnsi="Arial" w:cs="Arial" w:eastAsia="Arial" w:hint="default"/>
          <w:spacing w:val="-7"/>
        </w:rPr>
        <w:t> </w:t>
      </w:r>
      <w:r>
        <w:rPr>
          <w:w w:val="100"/>
        </w:rPr>
        <w:t>日召开</w:t>
      </w:r>
      <w:r>
        <w:rPr>
          <w:spacing w:val="-2"/>
          <w:w w:val="100"/>
        </w:rPr>
        <w:t>第</w:t>
      </w:r>
      <w:r>
        <w:rPr>
          <w:w w:val="100"/>
        </w:rPr>
        <w:t>四</w:t>
      </w:r>
      <w:r>
        <w:rPr>
          <w:spacing w:val="-2"/>
          <w:w w:val="100"/>
        </w:rPr>
        <w:t>届</w:t>
      </w:r>
      <w:r>
        <w:rPr>
          <w:w w:val="100"/>
        </w:rPr>
        <w:t>董事会</w:t>
      </w:r>
      <w:r>
        <w:rPr>
          <w:spacing w:val="-51"/>
        </w:rPr>
        <w:t> </w:t>
      </w:r>
      <w:r>
        <w:rPr>
          <w:rFonts w:ascii="Arial" w:hAnsi="Arial" w:cs="Arial" w:eastAsia="Arial" w:hint="default"/>
          <w:w w:val="100"/>
        </w:rPr>
        <w:t>20</w:t>
      </w:r>
      <w:r>
        <w:rPr>
          <w:rFonts w:ascii="Arial" w:hAnsi="Arial" w:cs="Arial" w:eastAsia="Arial" w:hint="default"/>
          <w:spacing w:val="-2"/>
          <w:w w:val="100"/>
        </w:rPr>
        <w:t>1</w:t>
      </w:r>
      <w:r>
        <w:rPr>
          <w:rFonts w:ascii="Arial" w:hAnsi="Arial" w:cs="Arial" w:eastAsia="Arial" w:hint="default"/>
          <w:w w:val="100"/>
        </w:rPr>
        <w:t>0</w:t>
      </w:r>
      <w:r>
        <w:rPr>
          <w:rFonts w:ascii="Arial" w:hAnsi="Arial" w:cs="Arial" w:eastAsia="Arial" w:hint="default"/>
          <w:spacing w:val="-7"/>
        </w:rPr>
        <w:t> </w:t>
      </w:r>
      <w:r>
        <w:rPr>
          <w:w w:val="100"/>
        </w:rPr>
        <w:t>年第三</w:t>
      </w:r>
      <w:r>
        <w:rPr>
          <w:spacing w:val="-2"/>
          <w:w w:val="100"/>
        </w:rPr>
        <w:t>次</w:t>
      </w:r>
      <w:r>
        <w:rPr>
          <w:w w:val="100"/>
        </w:rPr>
        <w:t>会</w:t>
      </w:r>
      <w:r>
        <w:rPr>
          <w:spacing w:val="-2"/>
          <w:w w:val="100"/>
        </w:rPr>
        <w:t>议</w:t>
      </w:r>
      <w:r>
        <w:rPr>
          <w:spacing w:val="-84"/>
          <w:w w:val="100"/>
        </w:rPr>
        <w:t>，</w:t>
      </w:r>
      <w:r>
        <w:rPr>
          <w:w w:val="100"/>
        </w:rPr>
        <w:t>通过</w:t>
      </w:r>
      <w:r>
        <w:rPr>
          <w:spacing w:val="-2"/>
          <w:w w:val="100"/>
        </w:rPr>
        <w:t>公</w:t>
      </w:r>
      <w:r>
        <w:rPr>
          <w:w w:val="100"/>
        </w:rPr>
        <w:t>司</w:t>
      </w:r>
      <w:r>
        <w:rPr>
          <w:spacing w:val="-50"/>
        </w:rPr>
        <w:t> </w:t>
      </w:r>
      <w:r>
        <w:rPr>
          <w:rFonts w:ascii="Arial" w:hAnsi="Arial" w:cs="Arial" w:eastAsia="Arial" w:hint="default"/>
          <w:w w:val="100"/>
        </w:rPr>
        <w:t>2</w:t>
      </w:r>
      <w:r>
        <w:rPr>
          <w:rFonts w:ascii="Arial" w:hAnsi="Arial" w:cs="Arial" w:eastAsia="Arial" w:hint="default"/>
          <w:spacing w:val="-2"/>
          <w:w w:val="100"/>
        </w:rPr>
        <w:t>0</w:t>
      </w:r>
      <w:r>
        <w:rPr>
          <w:rFonts w:ascii="Arial" w:hAnsi="Arial" w:cs="Arial" w:eastAsia="Arial" w:hint="default"/>
          <w:w w:val="100"/>
        </w:rPr>
        <w:t>09</w:t>
      </w:r>
      <w:r>
        <w:rPr>
          <w:rFonts w:ascii="Arial" w:hAnsi="Arial" w:cs="Arial" w:eastAsia="Arial" w:hint="default"/>
          <w:spacing w:val="-5"/>
        </w:rPr>
        <w:t> </w:t>
      </w:r>
      <w:r>
        <w:rPr>
          <w:spacing w:val="-2"/>
          <w:w w:val="100"/>
        </w:rPr>
        <w:t>年</w:t>
      </w:r>
      <w:r>
        <w:rPr>
          <w:w w:val="100"/>
        </w:rPr>
        <w:t>度利润</w:t>
      </w:r>
    </w:p>
    <w:p>
      <w:pPr>
        <w:pStyle w:val="BodyText"/>
        <w:spacing w:line="240" w:lineRule="auto" w:before="24"/>
        <w:ind w:left="793" w:right="0"/>
        <w:jc w:val="left"/>
      </w:pPr>
      <w:r>
        <w:rPr/>
        <w:t>分配议案：截至</w:t>
      </w:r>
      <w:r>
        <w:rPr>
          <w:spacing w:val="-49"/>
        </w:rPr>
        <w:t> </w:t>
      </w:r>
      <w:r>
        <w:rPr>
          <w:rFonts w:ascii="Arial" w:hAnsi="Arial" w:cs="Arial" w:eastAsia="Arial" w:hint="default"/>
        </w:rPr>
        <w:t>2009</w:t>
      </w:r>
      <w:r>
        <w:rPr>
          <w:rFonts w:ascii="Arial" w:hAnsi="Arial" w:cs="Arial" w:eastAsia="Arial" w:hint="default"/>
          <w:spacing w:val="-5"/>
        </w:rPr>
        <w:t> </w:t>
      </w:r>
      <w:r>
        <w:rPr/>
        <w:t>年</w:t>
      </w:r>
      <w:r>
        <w:rPr>
          <w:spacing w:val="-50"/>
        </w:rPr>
        <w:t> </w:t>
      </w:r>
      <w:r>
        <w:rPr>
          <w:rFonts w:ascii="Arial" w:hAnsi="Arial" w:cs="Arial" w:eastAsia="Arial" w:hint="default"/>
        </w:rPr>
        <w:t>12</w:t>
      </w:r>
      <w:r>
        <w:rPr>
          <w:rFonts w:ascii="Arial" w:hAnsi="Arial" w:cs="Arial" w:eastAsia="Arial" w:hint="default"/>
          <w:spacing w:val="-5"/>
        </w:rPr>
        <w:t> </w:t>
      </w:r>
      <w:r>
        <w:rPr/>
        <w:t>月</w:t>
      </w:r>
      <w:r>
        <w:rPr>
          <w:spacing w:val="-50"/>
        </w:rPr>
        <w:t> </w:t>
      </w:r>
      <w:r>
        <w:rPr>
          <w:rFonts w:ascii="Arial" w:hAnsi="Arial" w:cs="Arial" w:eastAsia="Arial" w:hint="default"/>
        </w:rPr>
        <w:t>31</w:t>
      </w:r>
      <w:r>
        <w:rPr>
          <w:rFonts w:ascii="Arial" w:hAnsi="Arial" w:cs="Arial" w:eastAsia="Arial" w:hint="default"/>
          <w:spacing w:val="-5"/>
        </w:rPr>
        <w:t> </w:t>
      </w:r>
      <w:r>
        <w:rPr/>
        <w:t>日，本公司实现净利润人民币</w:t>
      </w:r>
      <w:r>
        <w:rPr>
          <w:spacing w:val="-49"/>
        </w:rPr>
        <w:t> </w:t>
      </w:r>
      <w:r>
        <w:rPr>
          <w:rFonts w:ascii="Arial" w:hAnsi="Arial" w:cs="Arial" w:eastAsia="Arial" w:hint="default"/>
        </w:rPr>
        <w:t>544,023,762</w:t>
      </w:r>
      <w:r>
        <w:rPr>
          <w:rFonts w:ascii="Arial" w:hAnsi="Arial" w:cs="Arial" w:eastAsia="Arial" w:hint="default"/>
          <w:spacing w:val="-6"/>
        </w:rPr>
        <w:t> </w:t>
      </w:r>
      <w:r>
        <w:rPr/>
        <w:t>元。本公司</w:t>
      </w:r>
    </w:p>
    <w:p>
      <w:pPr>
        <w:pStyle w:val="BodyText"/>
        <w:spacing w:line="240" w:lineRule="auto" w:before="24"/>
        <w:ind w:left="793" w:right="0"/>
        <w:jc w:val="left"/>
      </w:pPr>
      <w:r>
        <w:rPr/>
        <w:t>以 </w:t>
      </w:r>
      <w:r>
        <w:rPr>
          <w:rFonts w:ascii="Arial" w:hAnsi="Arial" w:cs="Arial" w:eastAsia="Arial" w:hint="default"/>
        </w:rPr>
        <w:t>2009  </w:t>
      </w:r>
      <w:r>
        <w:rPr/>
        <w:t>年度净利润人民币 </w:t>
      </w:r>
      <w:r>
        <w:rPr>
          <w:rFonts w:ascii="Arial" w:hAnsi="Arial" w:cs="Arial" w:eastAsia="Arial" w:hint="default"/>
        </w:rPr>
        <w:t>544,023,762  </w:t>
      </w:r>
      <w:r>
        <w:rPr/>
        <w:t>元为基数，提取</w:t>
      </w:r>
      <w:r>
        <w:rPr>
          <w:spacing w:val="-66"/>
        </w:rPr>
        <w:t> </w:t>
      </w:r>
      <w:r>
        <w:rPr>
          <w:rFonts w:ascii="Arial" w:hAnsi="Arial" w:cs="Arial" w:eastAsia="Arial" w:hint="default"/>
        </w:rPr>
        <w:t>10%</w:t>
      </w:r>
      <w:r>
        <w:rPr/>
        <w:t>的法定盈余公积金人民币</w:t>
      </w:r>
    </w:p>
    <w:p>
      <w:pPr>
        <w:pStyle w:val="BodyText"/>
        <w:spacing w:line="240" w:lineRule="auto" w:before="24"/>
        <w:ind w:left="793" w:right="0"/>
        <w:jc w:val="left"/>
      </w:pPr>
      <w:r>
        <w:rPr>
          <w:rFonts w:ascii="Arial" w:hAnsi="Arial" w:cs="Arial" w:eastAsia="Arial" w:hint="default"/>
        </w:rPr>
        <w:t>54,402,376</w:t>
      </w:r>
      <w:r>
        <w:rPr>
          <w:rFonts w:ascii="Arial" w:hAnsi="Arial" w:cs="Arial" w:eastAsia="Arial" w:hint="default"/>
          <w:spacing w:val="-11"/>
        </w:rPr>
        <w:t> </w:t>
      </w:r>
      <w:r>
        <w:rPr/>
        <w:t>元，提取</w:t>
      </w:r>
      <w:r>
        <w:rPr>
          <w:spacing w:val="-54"/>
        </w:rPr>
        <w:t> </w:t>
      </w:r>
      <w:r>
        <w:rPr>
          <w:rFonts w:ascii="Arial" w:hAnsi="Arial" w:cs="Arial" w:eastAsia="Arial" w:hint="default"/>
        </w:rPr>
        <w:t>5%</w:t>
      </w:r>
      <w:r>
        <w:rPr/>
        <w:t>任意盈余公积金人民币</w:t>
      </w:r>
      <w:r>
        <w:rPr>
          <w:spacing w:val="-54"/>
        </w:rPr>
        <w:t> </w:t>
      </w:r>
      <w:r>
        <w:rPr>
          <w:rFonts w:ascii="Arial" w:hAnsi="Arial" w:cs="Arial" w:eastAsia="Arial" w:hint="default"/>
        </w:rPr>
        <w:t>27,201,188</w:t>
      </w:r>
      <w:r>
        <w:rPr>
          <w:rFonts w:ascii="Arial" w:hAnsi="Arial" w:cs="Arial" w:eastAsia="Arial" w:hint="default"/>
          <w:spacing w:val="-9"/>
        </w:rPr>
        <w:t> </w:t>
      </w:r>
      <w:r>
        <w:rPr/>
        <w:t>元，加扣除</w:t>
      </w:r>
      <w:r>
        <w:rPr>
          <w:spacing w:val="-55"/>
        </w:rPr>
        <w:t> </w:t>
      </w:r>
      <w:r>
        <w:rPr>
          <w:rFonts w:ascii="Arial" w:hAnsi="Arial" w:cs="Arial" w:eastAsia="Arial" w:hint="default"/>
        </w:rPr>
        <w:t>2009</w:t>
      </w:r>
      <w:r>
        <w:rPr>
          <w:rFonts w:ascii="Arial" w:hAnsi="Arial" w:cs="Arial" w:eastAsia="Arial" w:hint="default"/>
          <w:spacing w:val="-11"/>
        </w:rPr>
        <w:t> </w:t>
      </w:r>
      <w:r>
        <w:rPr/>
        <w:t>年度分配之</w:t>
      </w:r>
    </w:p>
    <w:p>
      <w:pPr>
        <w:pStyle w:val="BodyText"/>
        <w:spacing w:line="240" w:lineRule="auto" w:before="24"/>
        <w:ind w:left="792" w:right="0"/>
        <w:jc w:val="left"/>
      </w:pPr>
      <w:r>
        <w:rPr/>
        <w:t>现金股利的年初未分配利润人民币</w:t>
      </w:r>
      <w:r>
        <w:rPr>
          <w:spacing w:val="-53"/>
        </w:rPr>
        <w:t> </w:t>
      </w:r>
      <w:r>
        <w:rPr>
          <w:rFonts w:ascii="Arial" w:hAnsi="Arial" w:cs="Arial" w:eastAsia="Arial" w:hint="default"/>
        </w:rPr>
        <w:t>346,818,889</w:t>
      </w:r>
      <w:r>
        <w:rPr>
          <w:rFonts w:ascii="Arial" w:hAnsi="Arial" w:cs="Arial" w:eastAsia="Arial" w:hint="default"/>
          <w:spacing w:val="-8"/>
        </w:rPr>
        <w:t> </w:t>
      </w:r>
      <w:r>
        <w:rPr/>
        <w:t>元，加上其他转入人民币</w:t>
      </w:r>
      <w:r>
        <w:rPr>
          <w:spacing w:val="-53"/>
        </w:rPr>
        <w:t> </w:t>
      </w:r>
      <w:r>
        <w:rPr>
          <w:rFonts w:ascii="Arial" w:hAnsi="Arial" w:cs="Arial" w:eastAsia="Arial" w:hint="default"/>
        </w:rPr>
        <w:t>904,600</w:t>
      </w:r>
      <w:r>
        <w:rPr>
          <w:rFonts w:ascii="Arial" w:hAnsi="Arial" w:cs="Arial" w:eastAsia="Arial" w:hint="default"/>
          <w:spacing w:val="-8"/>
        </w:rPr>
        <w:t> </w:t>
      </w:r>
      <w:r>
        <w:rPr>
          <w:spacing w:val="-2"/>
        </w:rPr>
        <w:t>元，本</w:t>
      </w:r>
      <w:r>
        <w:rPr/>
      </w:r>
    </w:p>
    <w:p>
      <w:pPr>
        <w:pStyle w:val="BodyText"/>
        <w:spacing w:line="240" w:lineRule="auto" w:before="24"/>
        <w:ind w:left="792" w:right="0"/>
        <w:jc w:val="left"/>
        <w:rPr>
          <w:rFonts w:ascii="Arial" w:hAnsi="Arial" w:cs="Arial" w:eastAsia="Arial" w:hint="default"/>
        </w:rPr>
      </w:pPr>
      <w:r>
        <w:rPr>
          <w:w w:val="100"/>
        </w:rPr>
        <w:t>次实际</w:t>
      </w:r>
      <w:r>
        <w:rPr>
          <w:spacing w:val="-2"/>
          <w:w w:val="100"/>
        </w:rPr>
        <w:t>可</w:t>
      </w:r>
      <w:r>
        <w:rPr>
          <w:w w:val="100"/>
        </w:rPr>
        <w:t>供</w:t>
      </w:r>
      <w:r>
        <w:rPr>
          <w:spacing w:val="-2"/>
          <w:w w:val="100"/>
        </w:rPr>
        <w:t>分</w:t>
      </w:r>
      <w:r>
        <w:rPr>
          <w:w w:val="100"/>
        </w:rPr>
        <w:t>配的利</w:t>
      </w:r>
      <w:r>
        <w:rPr>
          <w:spacing w:val="-2"/>
          <w:w w:val="100"/>
        </w:rPr>
        <w:t>润</w:t>
      </w:r>
      <w:r>
        <w:rPr>
          <w:w w:val="100"/>
        </w:rPr>
        <w:t>为</w:t>
      </w:r>
      <w:r>
        <w:rPr>
          <w:spacing w:val="-2"/>
          <w:w w:val="100"/>
        </w:rPr>
        <w:t>人</w:t>
      </w:r>
      <w:r>
        <w:rPr>
          <w:w w:val="100"/>
        </w:rPr>
        <w:t>民币</w:t>
      </w:r>
      <w:r>
        <w:rPr>
          <w:spacing w:val="-50"/>
        </w:rPr>
        <w:t> </w:t>
      </w:r>
      <w:r>
        <w:rPr>
          <w:rFonts w:ascii="Arial" w:hAnsi="Arial" w:cs="Arial" w:eastAsia="Arial" w:hint="default"/>
          <w:spacing w:val="-2"/>
          <w:w w:val="100"/>
        </w:rPr>
        <w:t>8</w:t>
      </w:r>
      <w:r>
        <w:rPr>
          <w:rFonts w:ascii="Arial" w:hAnsi="Arial" w:cs="Arial" w:eastAsia="Arial" w:hint="default"/>
          <w:w w:val="100"/>
        </w:rPr>
        <w:t>10,1</w:t>
      </w:r>
      <w:r>
        <w:rPr>
          <w:rFonts w:ascii="Arial" w:hAnsi="Arial" w:cs="Arial" w:eastAsia="Arial" w:hint="default"/>
          <w:spacing w:val="-2"/>
          <w:w w:val="100"/>
        </w:rPr>
        <w:t>43</w:t>
      </w:r>
      <w:r>
        <w:rPr>
          <w:rFonts w:ascii="Arial" w:hAnsi="Arial" w:cs="Arial" w:eastAsia="Arial" w:hint="default"/>
          <w:spacing w:val="-1"/>
          <w:w w:val="100"/>
        </w:rPr>
        <w:t>,</w:t>
      </w:r>
      <w:r>
        <w:rPr>
          <w:rFonts w:ascii="Arial" w:hAnsi="Arial" w:cs="Arial" w:eastAsia="Arial" w:hint="default"/>
          <w:w w:val="100"/>
        </w:rPr>
        <w:t>687</w:t>
      </w:r>
      <w:r>
        <w:rPr>
          <w:rFonts w:ascii="Arial" w:hAnsi="Arial" w:cs="Arial" w:eastAsia="Arial" w:hint="default"/>
          <w:spacing w:val="-5"/>
        </w:rPr>
        <w:t> </w:t>
      </w:r>
      <w:r>
        <w:rPr>
          <w:spacing w:val="-2"/>
          <w:w w:val="100"/>
        </w:rPr>
        <w:t>元</w:t>
      </w:r>
      <w:r>
        <w:rPr>
          <w:spacing w:val="-87"/>
          <w:w w:val="100"/>
        </w:rPr>
        <w:t>。</w:t>
      </w:r>
      <w:r>
        <w:rPr>
          <w:w w:val="100"/>
        </w:rPr>
        <w:t>本</w:t>
      </w:r>
      <w:r>
        <w:rPr>
          <w:spacing w:val="-2"/>
          <w:w w:val="100"/>
        </w:rPr>
        <w:t>公</w:t>
      </w:r>
      <w:r>
        <w:rPr>
          <w:w w:val="100"/>
        </w:rPr>
        <w:t>司以</w:t>
      </w:r>
      <w:r>
        <w:rPr>
          <w:spacing w:val="-50"/>
        </w:rPr>
        <w:t> </w:t>
      </w:r>
      <w:r>
        <w:rPr>
          <w:rFonts w:ascii="Arial" w:hAnsi="Arial" w:cs="Arial" w:eastAsia="Arial" w:hint="default"/>
          <w:spacing w:val="-2"/>
          <w:w w:val="100"/>
        </w:rPr>
        <w:t>2</w:t>
      </w:r>
      <w:r>
        <w:rPr>
          <w:rFonts w:ascii="Arial" w:hAnsi="Arial" w:cs="Arial" w:eastAsia="Arial" w:hint="default"/>
          <w:w w:val="100"/>
        </w:rPr>
        <w:t>0</w:t>
      </w:r>
      <w:r>
        <w:rPr>
          <w:rFonts w:ascii="Arial" w:hAnsi="Arial" w:cs="Arial" w:eastAsia="Arial" w:hint="default"/>
          <w:spacing w:val="-2"/>
          <w:w w:val="100"/>
        </w:rPr>
        <w:t>0</w:t>
      </w:r>
      <w:r>
        <w:rPr>
          <w:rFonts w:ascii="Arial" w:hAnsi="Arial" w:cs="Arial" w:eastAsia="Arial" w:hint="default"/>
          <w:w w:val="100"/>
        </w:rPr>
        <w:t>9</w:t>
      </w:r>
      <w:r>
        <w:rPr>
          <w:rFonts w:ascii="Arial" w:hAnsi="Arial" w:cs="Arial" w:eastAsia="Arial" w:hint="default"/>
          <w:spacing w:val="-5"/>
        </w:rPr>
        <w:t> </w:t>
      </w:r>
      <w:r>
        <w:rPr>
          <w:spacing w:val="-2"/>
          <w:w w:val="100"/>
        </w:rPr>
        <w:t>年</w:t>
      </w:r>
      <w:r>
        <w:rPr>
          <w:w w:val="100"/>
        </w:rPr>
        <w:t>末总</w:t>
      </w:r>
      <w:r>
        <w:rPr>
          <w:spacing w:val="-2"/>
          <w:w w:val="100"/>
        </w:rPr>
        <w:t>股</w:t>
      </w:r>
      <w:r>
        <w:rPr>
          <w:w w:val="100"/>
        </w:rPr>
        <w:t>本</w:t>
      </w:r>
      <w:r>
        <w:rPr>
          <w:spacing w:val="-50"/>
        </w:rPr>
        <w:t> </w:t>
      </w:r>
      <w:r>
        <w:rPr>
          <w:rFonts w:ascii="Arial" w:hAnsi="Arial" w:cs="Arial" w:eastAsia="Arial" w:hint="default"/>
          <w:w w:val="100"/>
        </w:rPr>
        <w:t>6</w:t>
      </w:r>
      <w:r>
        <w:rPr>
          <w:rFonts w:ascii="Arial" w:hAnsi="Arial" w:cs="Arial" w:eastAsia="Arial" w:hint="default"/>
          <w:spacing w:val="-2"/>
          <w:w w:val="100"/>
        </w:rPr>
        <w:t>27</w:t>
      </w:r>
      <w:r>
        <w:rPr>
          <w:rFonts w:ascii="Arial" w:hAnsi="Arial" w:cs="Arial" w:eastAsia="Arial" w:hint="default"/>
          <w:spacing w:val="-1"/>
          <w:w w:val="100"/>
        </w:rPr>
        <w:t>,</w:t>
      </w:r>
      <w:r>
        <w:rPr>
          <w:rFonts w:ascii="Arial" w:hAnsi="Arial" w:cs="Arial" w:eastAsia="Arial" w:hint="default"/>
          <w:w w:val="100"/>
        </w:rPr>
        <w:t>858,850</w:t>
      </w:r>
    </w:p>
    <w:p>
      <w:pPr>
        <w:pStyle w:val="BodyText"/>
        <w:spacing w:line="240" w:lineRule="auto" w:before="24"/>
        <w:ind w:left="792" w:right="0"/>
        <w:jc w:val="left"/>
      </w:pPr>
      <w:r>
        <w:rPr>
          <w:spacing w:val="6"/>
        </w:rPr>
        <w:t>股为基数</w:t>
      </w:r>
      <w:r>
        <w:rPr>
          <w:rFonts w:ascii="Arial" w:hAnsi="Arial" w:cs="Arial" w:eastAsia="Arial" w:hint="default"/>
          <w:spacing w:val="6"/>
        </w:rPr>
        <w:t>,</w:t>
      </w:r>
      <w:r>
        <w:rPr>
          <w:spacing w:val="6"/>
        </w:rPr>
        <w:t>拟向全体股东每 </w:t>
      </w:r>
      <w:r>
        <w:rPr>
          <w:rFonts w:ascii="Arial" w:hAnsi="Arial" w:cs="Arial" w:eastAsia="Arial" w:hint="default"/>
        </w:rPr>
        <w:t>10  </w:t>
      </w:r>
      <w:r>
        <w:rPr>
          <w:spacing w:val="5"/>
        </w:rPr>
        <w:t>股派发现金股利 </w:t>
      </w:r>
      <w:r>
        <w:rPr>
          <w:rFonts w:ascii="Arial" w:hAnsi="Arial" w:cs="Arial" w:eastAsia="Arial" w:hint="default"/>
        </w:rPr>
        <w:t>6 </w:t>
      </w:r>
      <w:r>
        <w:rPr>
          <w:rFonts w:ascii="Arial" w:hAnsi="Arial" w:cs="Arial" w:eastAsia="Arial" w:hint="default"/>
          <w:spacing w:val="54"/>
        </w:rPr>
        <w:t> </w:t>
      </w:r>
      <w:r>
        <w:rPr>
          <w:spacing w:val="6"/>
        </w:rPr>
        <w:t>元</w:t>
      </w:r>
      <w:r>
        <w:rPr>
          <w:rFonts w:ascii="Arial" w:hAnsi="Arial" w:cs="Arial" w:eastAsia="Arial" w:hint="default"/>
          <w:spacing w:val="6"/>
        </w:rPr>
        <w:t>(</w:t>
      </w:r>
      <w:r>
        <w:rPr>
          <w:spacing w:val="6"/>
        </w:rPr>
        <w:t>含税</w:t>
      </w:r>
      <w:r>
        <w:rPr>
          <w:rFonts w:ascii="Arial" w:hAnsi="Arial" w:cs="Arial" w:eastAsia="Arial" w:hint="default"/>
          <w:spacing w:val="6"/>
        </w:rPr>
        <w:t>)</w:t>
      </w:r>
      <w:r>
        <w:rPr>
          <w:spacing w:val="6"/>
        </w:rPr>
        <w:t>，共计派发现金股利人民币</w:t>
      </w:r>
    </w:p>
    <w:p>
      <w:pPr>
        <w:pStyle w:val="BodyText"/>
        <w:spacing w:line="240" w:lineRule="auto" w:before="24"/>
        <w:ind w:left="792" w:right="0"/>
        <w:jc w:val="left"/>
      </w:pPr>
      <w:r>
        <w:rPr>
          <w:rFonts w:ascii="Arial" w:hAnsi="Arial" w:cs="Arial" w:eastAsia="Arial" w:hint="default"/>
        </w:rPr>
        <w:t>376,715,310</w:t>
      </w:r>
      <w:r>
        <w:rPr>
          <w:rFonts w:ascii="Arial" w:hAnsi="Arial" w:cs="Arial" w:eastAsia="Arial" w:hint="default"/>
          <w:spacing w:val="-6"/>
        </w:rPr>
        <w:t> </w:t>
      </w:r>
      <w:r>
        <w:rPr>
          <w:spacing w:val="-7"/>
        </w:rPr>
        <w:t>元。同时，本公司以</w:t>
      </w:r>
      <w:r>
        <w:rPr>
          <w:spacing w:val="-50"/>
        </w:rPr>
        <w:t> </w:t>
      </w:r>
      <w:r>
        <w:rPr>
          <w:rFonts w:ascii="Arial" w:hAnsi="Arial" w:cs="Arial" w:eastAsia="Arial" w:hint="default"/>
        </w:rPr>
        <w:t>2009</w:t>
      </w:r>
      <w:r>
        <w:rPr>
          <w:rFonts w:ascii="Arial" w:hAnsi="Arial" w:cs="Arial" w:eastAsia="Arial" w:hint="default"/>
          <w:spacing w:val="-6"/>
        </w:rPr>
        <w:t> </w:t>
      </w:r>
      <w:r>
        <w:rPr/>
        <w:t>年末总股本</w:t>
      </w:r>
      <w:r>
        <w:rPr>
          <w:spacing w:val="-49"/>
        </w:rPr>
        <w:t> </w:t>
      </w:r>
      <w:r>
        <w:rPr>
          <w:rFonts w:ascii="Arial" w:hAnsi="Arial" w:cs="Arial" w:eastAsia="Arial" w:hint="default"/>
        </w:rPr>
        <w:t>627,858,850</w:t>
      </w:r>
      <w:r>
        <w:rPr>
          <w:rFonts w:ascii="Arial" w:hAnsi="Arial" w:cs="Arial" w:eastAsia="Arial" w:hint="default"/>
          <w:spacing w:val="-6"/>
        </w:rPr>
        <w:t> </w:t>
      </w:r>
      <w:r>
        <w:rPr>
          <w:spacing w:val="-4"/>
        </w:rPr>
        <w:t>股为基数，拟向全体股东</w:t>
      </w:r>
    </w:p>
    <w:p>
      <w:pPr>
        <w:pStyle w:val="BodyText"/>
        <w:spacing w:line="240" w:lineRule="auto" w:before="24"/>
        <w:ind w:left="792" w:right="0"/>
        <w:jc w:val="left"/>
      </w:pPr>
      <w:r>
        <w:rPr/>
        <w:t>每</w:t>
      </w:r>
      <w:r>
        <w:rPr>
          <w:spacing w:val="-39"/>
        </w:rPr>
        <w:t> </w:t>
      </w:r>
      <w:r>
        <w:rPr>
          <w:rFonts w:ascii="Arial" w:hAnsi="Arial" w:cs="Arial" w:eastAsia="Arial" w:hint="default"/>
        </w:rPr>
        <w:t>10</w:t>
      </w:r>
      <w:r>
        <w:rPr>
          <w:rFonts w:ascii="Arial" w:hAnsi="Arial" w:cs="Arial" w:eastAsia="Arial" w:hint="default"/>
          <w:spacing w:val="5"/>
        </w:rPr>
        <w:t> </w:t>
      </w:r>
      <w:r>
        <w:rPr/>
        <w:t>股转增</w:t>
      </w:r>
      <w:r>
        <w:rPr>
          <w:spacing w:val="-40"/>
        </w:rPr>
        <w:t> </w:t>
      </w:r>
      <w:r>
        <w:rPr>
          <w:rFonts w:ascii="Arial" w:hAnsi="Arial" w:cs="Arial" w:eastAsia="Arial" w:hint="default"/>
        </w:rPr>
        <w:t>3</w:t>
      </w:r>
      <w:r>
        <w:rPr>
          <w:rFonts w:ascii="Arial" w:hAnsi="Arial" w:cs="Arial" w:eastAsia="Arial" w:hint="default"/>
          <w:spacing w:val="6"/>
        </w:rPr>
        <w:t> </w:t>
      </w:r>
      <w:r>
        <w:rPr/>
        <w:t>股，共计转增</w:t>
      </w:r>
      <w:r>
        <w:rPr>
          <w:spacing w:val="-39"/>
        </w:rPr>
        <w:t> </w:t>
      </w:r>
      <w:r>
        <w:rPr>
          <w:rFonts w:ascii="Arial" w:hAnsi="Arial" w:cs="Arial" w:eastAsia="Arial" w:hint="default"/>
        </w:rPr>
        <w:t>188,357,655</w:t>
      </w:r>
      <w:r>
        <w:rPr>
          <w:rFonts w:ascii="Arial" w:hAnsi="Arial" w:cs="Arial" w:eastAsia="Arial" w:hint="default"/>
          <w:spacing w:val="6"/>
        </w:rPr>
        <w:t> </w:t>
      </w:r>
      <w:r>
        <w:rPr/>
        <w:t>股，转增股本后，本公司资本公积余额为人民</w:t>
      </w:r>
    </w:p>
    <w:p>
      <w:pPr>
        <w:pStyle w:val="BodyText"/>
        <w:spacing w:line="240" w:lineRule="auto" w:before="24"/>
        <w:ind w:left="791" w:right="0"/>
        <w:jc w:val="left"/>
      </w:pPr>
      <w:r>
        <w:rPr/>
        <w:t>币</w:t>
      </w:r>
      <w:r>
        <w:rPr>
          <w:spacing w:val="-56"/>
        </w:rPr>
        <w:t> </w:t>
      </w:r>
      <w:r>
        <w:rPr>
          <w:rFonts w:ascii="Arial" w:hAnsi="Arial" w:cs="Arial" w:eastAsia="Arial" w:hint="default"/>
        </w:rPr>
        <w:t>722,263,726</w:t>
      </w:r>
      <w:r>
        <w:rPr>
          <w:rFonts w:ascii="Arial" w:hAnsi="Arial" w:cs="Arial" w:eastAsia="Arial" w:hint="default"/>
          <w:spacing w:val="-12"/>
        </w:rPr>
        <w:t> </w:t>
      </w:r>
      <w:r>
        <w:rPr/>
        <w:t>元。</w:t>
      </w:r>
    </w:p>
    <w:p>
      <w:pPr>
        <w:spacing w:line="240" w:lineRule="auto" w:before="3"/>
        <w:rPr>
          <w:rFonts w:ascii="黑体" w:hAnsi="黑体" w:cs="黑体" w:eastAsia="黑体" w:hint="default"/>
          <w:sz w:val="23"/>
          <w:szCs w:val="23"/>
        </w:rPr>
      </w:pPr>
    </w:p>
    <w:p>
      <w:pPr>
        <w:spacing w:before="0"/>
        <w:ind w:left="119" w:right="0" w:firstLine="0"/>
        <w:jc w:val="left"/>
        <w:rPr>
          <w:rFonts w:ascii="黑体" w:hAnsi="黑体" w:cs="黑体" w:eastAsia="黑体" w:hint="default"/>
          <w:sz w:val="20"/>
          <w:szCs w:val="20"/>
        </w:rPr>
      </w:pPr>
      <w:r>
        <w:rPr>
          <w:rFonts w:ascii="黑体" w:hAnsi="黑体" w:cs="黑体" w:eastAsia="黑体" w:hint="default"/>
          <w:b/>
          <w:bCs/>
          <w:sz w:val="20"/>
          <w:szCs w:val="20"/>
        </w:rPr>
        <w:t>十二、</w:t>
      </w:r>
      <w:r>
        <w:rPr>
          <w:rFonts w:ascii="黑体" w:hAnsi="黑体" w:cs="黑体" w:eastAsia="黑体" w:hint="default"/>
          <w:b/>
          <w:bCs/>
          <w:spacing w:val="-1"/>
          <w:sz w:val="20"/>
          <w:szCs w:val="20"/>
        </w:rPr>
        <w:t> </w:t>
      </w:r>
      <w:r>
        <w:rPr>
          <w:rFonts w:ascii="黑体" w:hAnsi="黑体" w:cs="黑体" w:eastAsia="黑体" w:hint="default"/>
          <w:b/>
          <w:bCs/>
          <w:sz w:val="20"/>
          <w:szCs w:val="20"/>
        </w:rPr>
        <w:t>分部报告</w:t>
      </w:r>
      <w:r>
        <w:rPr>
          <w:rFonts w:ascii="黑体" w:hAnsi="黑体" w:cs="黑体" w:eastAsia="黑体" w:hint="default"/>
          <w:sz w:val="20"/>
          <w:szCs w:val="20"/>
        </w:rPr>
      </w:r>
    </w:p>
    <w:p>
      <w:pPr>
        <w:spacing w:line="240" w:lineRule="auto" w:before="11"/>
        <w:rPr>
          <w:rFonts w:ascii="黑体" w:hAnsi="黑体" w:cs="黑体" w:eastAsia="黑体" w:hint="default"/>
          <w:b/>
          <w:bCs/>
          <w:sz w:val="25"/>
          <w:szCs w:val="25"/>
        </w:rPr>
      </w:pPr>
    </w:p>
    <w:p>
      <w:pPr>
        <w:pStyle w:val="BodyText"/>
        <w:spacing w:line="261" w:lineRule="auto"/>
        <w:ind w:left="833" w:right="0"/>
        <w:jc w:val="left"/>
      </w:pPr>
      <w:r>
        <w:rPr>
          <w:spacing w:val="-1"/>
        </w:rPr>
        <w:t>由于本集团收入逾</w:t>
      </w:r>
      <w:r>
        <w:rPr>
          <w:rFonts w:ascii="Arial" w:hAnsi="Arial" w:cs="Arial" w:eastAsia="Arial" w:hint="default"/>
          <w:spacing w:val="-1"/>
        </w:rPr>
        <w:t>90%</w:t>
      </w:r>
      <w:r>
        <w:rPr>
          <w:spacing w:val="-1"/>
        </w:rPr>
        <w:t>来自于中国境内的客户，而且本集团资产逾</w:t>
      </w:r>
      <w:r>
        <w:rPr>
          <w:rFonts w:ascii="Arial" w:hAnsi="Arial" w:cs="Arial" w:eastAsia="Arial" w:hint="default"/>
          <w:spacing w:val="-1"/>
        </w:rPr>
        <w:t>90%</w:t>
      </w:r>
      <w:r>
        <w:rPr>
          <w:spacing w:val="-1"/>
        </w:rPr>
        <w:t>位于中国境内，所</w:t>
      </w:r>
      <w:r>
        <w:rPr>
          <w:spacing w:val="-80"/>
        </w:rPr>
        <w:t> </w:t>
      </w:r>
      <w:r>
        <w:rPr>
          <w:spacing w:val="-80"/>
        </w:rPr>
      </w:r>
      <w:r>
        <w:rPr/>
        <w:t>以无须列报更详细的地区分部信息。</w:t>
      </w:r>
    </w:p>
    <w:p>
      <w:pPr>
        <w:spacing w:line="240" w:lineRule="auto" w:before="6"/>
        <w:rPr>
          <w:rFonts w:ascii="黑体" w:hAnsi="黑体" w:cs="黑体" w:eastAsia="黑体" w:hint="default"/>
          <w:sz w:val="24"/>
          <w:szCs w:val="24"/>
        </w:rPr>
      </w:pPr>
    </w:p>
    <w:p>
      <w:pPr>
        <w:pStyle w:val="BodyText"/>
        <w:spacing w:line="261" w:lineRule="auto"/>
        <w:ind w:left="835" w:right="0" w:hanging="2"/>
        <w:jc w:val="left"/>
      </w:pPr>
      <w:r>
        <w:rPr>
          <w:spacing w:val="-1"/>
        </w:rPr>
        <w:t>由于本集团的收入和资产逾</w:t>
      </w:r>
      <w:r>
        <w:rPr>
          <w:rFonts w:ascii="Arial" w:hAnsi="Arial" w:cs="Arial" w:eastAsia="Arial" w:hint="default"/>
          <w:spacing w:val="-1"/>
        </w:rPr>
        <w:t>90%</w:t>
      </w:r>
      <w:r>
        <w:rPr>
          <w:spacing w:val="-1"/>
        </w:rPr>
        <w:t>与软件销售及相关技术服务有关，所以无须列报更详细的</w:t>
      </w:r>
      <w:r>
        <w:rPr>
          <w:spacing w:val="-79"/>
        </w:rPr>
        <w:t> </w:t>
      </w:r>
      <w:r>
        <w:rPr>
          <w:spacing w:val="-79"/>
        </w:rPr>
      </w:r>
      <w:r>
        <w:rPr/>
        <w:t>业务分部信息。</w:t>
      </w:r>
    </w:p>
    <w:p>
      <w:pPr>
        <w:spacing w:after="0" w:line="261" w:lineRule="auto"/>
        <w:jc w:val="left"/>
        <w:sectPr>
          <w:pgSz w:w="11910" w:h="16840"/>
          <w:pgMar w:header="958" w:footer="548" w:top="2560" w:bottom="740" w:left="1580" w:right="1520"/>
        </w:sectPr>
      </w:pPr>
    </w:p>
    <w:p>
      <w:pPr>
        <w:spacing w:line="240" w:lineRule="auto" w:before="0"/>
        <w:rPr>
          <w:rFonts w:ascii="黑体" w:hAnsi="黑体" w:cs="黑体" w:eastAsia="黑体" w:hint="default"/>
          <w:sz w:val="20"/>
          <w:szCs w:val="20"/>
        </w:rPr>
      </w:pPr>
    </w:p>
    <w:p>
      <w:pPr>
        <w:spacing w:before="174"/>
        <w:ind w:left="101" w:right="112"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w:t>
      </w:r>
      <w:r>
        <w:rPr>
          <w:rFonts w:ascii="黑体" w:hAnsi="黑体" w:cs="黑体" w:eastAsia="黑体" w:hint="default"/>
          <w:sz w:val="20"/>
          <w:szCs w:val="20"/>
        </w:rPr>
      </w:r>
    </w:p>
    <w:p>
      <w:pPr>
        <w:spacing w:line="240" w:lineRule="auto" w:before="12"/>
        <w:rPr>
          <w:rFonts w:ascii="黑体" w:hAnsi="黑体" w:cs="黑体" w:eastAsia="黑体" w:hint="default"/>
          <w:b/>
          <w:bCs/>
          <w:sz w:val="23"/>
          <w:szCs w:val="23"/>
        </w:rPr>
      </w:pPr>
    </w:p>
    <w:p>
      <w:pPr>
        <w:tabs>
          <w:tab w:pos="821" w:val="left" w:leader="none"/>
        </w:tabs>
        <w:spacing w:before="0"/>
        <w:ind w:left="101" w:right="112" w:firstLine="0"/>
        <w:jc w:val="left"/>
        <w:rPr>
          <w:rFonts w:ascii="黑体" w:hAnsi="黑体" w:cs="黑体" w:eastAsia="黑体" w:hint="default"/>
          <w:sz w:val="20"/>
          <w:szCs w:val="20"/>
        </w:rPr>
      </w:pPr>
      <w:r>
        <w:rPr>
          <w:rFonts w:ascii="Arial" w:hAnsi="Arial" w:cs="Arial" w:eastAsia="Arial" w:hint="default"/>
          <w:b/>
          <w:bCs/>
          <w:w w:val="95"/>
          <w:sz w:val="20"/>
          <w:szCs w:val="20"/>
        </w:rPr>
        <w:t>1</w:t>
      </w:r>
      <w:r>
        <w:rPr>
          <w:rFonts w:ascii="黑体" w:hAnsi="黑体" w:cs="黑体" w:eastAsia="黑体" w:hint="default"/>
          <w:b/>
          <w:bCs/>
          <w:w w:val="95"/>
          <w:sz w:val="20"/>
          <w:szCs w:val="20"/>
        </w:rPr>
        <w:t>．</w:t>
        <w:tab/>
      </w:r>
      <w:r>
        <w:rPr>
          <w:rFonts w:ascii="黑体" w:hAnsi="黑体" w:cs="黑体" w:eastAsia="黑体" w:hint="default"/>
          <w:b/>
          <w:bCs/>
          <w:sz w:val="20"/>
          <w:szCs w:val="20"/>
        </w:rPr>
        <w:t>货币资金</w:t>
      </w:r>
      <w:r>
        <w:rPr>
          <w:rFonts w:ascii="黑体" w:hAnsi="黑体" w:cs="黑体" w:eastAsia="黑体" w:hint="default"/>
          <w:sz w:val="20"/>
          <w:szCs w:val="20"/>
        </w:rPr>
      </w:r>
    </w:p>
    <w:p>
      <w:pPr>
        <w:spacing w:line="240" w:lineRule="auto" w:before="2"/>
        <w:rPr>
          <w:rFonts w:ascii="黑体" w:hAnsi="黑体" w:cs="黑体" w:eastAsia="黑体" w:hint="default"/>
          <w:b/>
          <w:bCs/>
          <w:sz w:val="16"/>
          <w:szCs w:val="16"/>
        </w:rPr>
      </w:pPr>
    </w:p>
    <w:p>
      <w:pPr>
        <w:tabs>
          <w:tab w:pos="6301" w:val="left" w:leader="none"/>
        </w:tabs>
        <w:spacing w:before="44"/>
        <w:ind w:left="2886" w:right="112" w:firstLine="0"/>
        <w:jc w:val="left"/>
        <w:rPr>
          <w:rFonts w:ascii="黑体" w:hAnsi="黑体" w:cs="黑体" w:eastAsia="黑体" w:hint="default"/>
          <w:sz w:val="18"/>
          <w:szCs w:val="18"/>
        </w:rPr>
      </w:pPr>
      <w:r>
        <w:rPr>
          <w:rFonts w:ascii="Arial" w:hAnsi="Arial" w:cs="Arial" w:eastAsia="Arial" w:hint="default"/>
          <w:spacing w:val="-1"/>
          <w:sz w:val="18"/>
          <w:szCs w:val="18"/>
        </w:rPr>
        <w:t>2009</w:t>
      </w:r>
      <w:r>
        <w:rPr>
          <w:rFonts w:ascii="黑体" w:hAnsi="黑体" w:cs="黑体" w:eastAsia="黑体" w:hint="default"/>
          <w:spacing w:val="-1"/>
          <w:sz w:val="18"/>
          <w:szCs w:val="18"/>
        </w:rPr>
        <w:t>年</w:t>
      </w:r>
      <w:r>
        <w:rPr>
          <w:rFonts w:ascii="Arial" w:hAnsi="Arial" w:cs="Arial" w:eastAsia="Arial" w:hint="default"/>
          <w:spacing w:val="-1"/>
          <w:sz w:val="18"/>
          <w:szCs w:val="18"/>
        </w:rPr>
        <w:t>12</w:t>
      </w:r>
      <w:r>
        <w:rPr>
          <w:rFonts w:ascii="黑体" w:hAnsi="黑体" w:cs="黑体" w:eastAsia="黑体" w:hint="default"/>
          <w:spacing w:val="-1"/>
          <w:sz w:val="18"/>
          <w:szCs w:val="18"/>
        </w:rPr>
        <w:t>月</w:t>
      </w:r>
      <w:r>
        <w:rPr>
          <w:rFonts w:ascii="Arial" w:hAnsi="Arial" w:cs="Arial" w:eastAsia="Arial" w:hint="default"/>
          <w:spacing w:val="-1"/>
          <w:sz w:val="18"/>
          <w:szCs w:val="18"/>
        </w:rPr>
        <w:t>31</w:t>
      </w:r>
      <w:r>
        <w:rPr>
          <w:rFonts w:ascii="黑体" w:hAnsi="黑体" w:cs="黑体" w:eastAsia="黑体" w:hint="default"/>
          <w:spacing w:val="-1"/>
          <w:sz w:val="18"/>
          <w:szCs w:val="18"/>
        </w:rPr>
        <w:t>日</w:t>
        <w:tab/>
      </w:r>
      <w:r>
        <w:rPr>
          <w:rFonts w:ascii="Arial" w:hAnsi="Arial" w:cs="Arial" w:eastAsia="Arial" w:hint="default"/>
          <w:spacing w:val="-1"/>
          <w:sz w:val="18"/>
          <w:szCs w:val="18"/>
        </w:rPr>
        <w:t>2008</w:t>
      </w:r>
      <w:r>
        <w:rPr>
          <w:rFonts w:ascii="黑体" w:hAnsi="黑体" w:cs="黑体" w:eastAsia="黑体" w:hint="default"/>
          <w:spacing w:val="-1"/>
          <w:sz w:val="18"/>
          <w:szCs w:val="18"/>
        </w:rPr>
        <w:t>年</w:t>
      </w:r>
      <w:r>
        <w:rPr>
          <w:rFonts w:ascii="Arial" w:hAnsi="Arial" w:cs="Arial" w:eastAsia="Arial" w:hint="default"/>
          <w:spacing w:val="-1"/>
          <w:sz w:val="18"/>
          <w:szCs w:val="18"/>
        </w:rPr>
        <w:t>12</w:t>
      </w:r>
      <w:r>
        <w:rPr>
          <w:rFonts w:ascii="黑体" w:hAnsi="黑体" w:cs="黑体" w:eastAsia="黑体" w:hint="default"/>
          <w:spacing w:val="-1"/>
          <w:sz w:val="18"/>
          <w:szCs w:val="18"/>
        </w:rPr>
        <w:t>月</w:t>
      </w:r>
      <w:r>
        <w:rPr>
          <w:rFonts w:ascii="Arial" w:hAnsi="Arial" w:cs="Arial" w:eastAsia="Arial" w:hint="default"/>
          <w:spacing w:val="-1"/>
          <w:sz w:val="18"/>
          <w:szCs w:val="18"/>
        </w:rPr>
        <w:t>31</w:t>
      </w:r>
      <w:r>
        <w:rPr>
          <w:rFonts w:ascii="黑体" w:hAnsi="黑体" w:cs="黑体" w:eastAsia="黑体" w:hint="default"/>
          <w:spacing w:val="-1"/>
          <w:sz w:val="18"/>
          <w:szCs w:val="18"/>
        </w:rPr>
        <w:t>日</w:t>
      </w:r>
    </w:p>
    <w:p>
      <w:pPr>
        <w:tabs>
          <w:tab w:pos="5366" w:val="left" w:leader="none"/>
        </w:tabs>
        <w:spacing w:line="20" w:lineRule="exact"/>
        <w:ind w:left="1965" w:right="0" w:firstLine="0"/>
        <w:rPr>
          <w:rFonts w:ascii="黑体" w:hAnsi="黑体" w:cs="黑体" w:eastAsia="黑体" w:hint="default"/>
          <w:sz w:val="2"/>
          <w:szCs w:val="2"/>
        </w:rPr>
      </w:pPr>
      <w:r>
        <w:rPr>
          <w:rFonts w:ascii="黑体"/>
          <w:sz w:val="2"/>
        </w:rPr>
        <w:pict>
          <v:group style="width:158.7pt;height:.5pt;mso-position-horizontal-relative:char;mso-position-vertical-relative:line" coordorigin="0,0" coordsize="3174,10">
            <v:group style="position:absolute;left:5;top:5;width:3165;height:2" coordorigin="5,5" coordsize="3165,2">
              <v:shape style="position:absolute;left:5;top:5;width:3165;height:2" coordorigin="5,5" coordsize="3165,0" path="m5,5l3169,5e" filled="false" stroked="true" strokeweight=".48pt" strokecolor="#000000">
                <v:path arrowok="t"/>
              </v:shape>
            </v:group>
          </v:group>
        </w:pict>
      </w:r>
      <w:r>
        <w:rPr>
          <w:rFonts w:ascii="黑体"/>
          <w:sz w:val="2"/>
        </w:rPr>
      </w:r>
      <w:r>
        <w:rPr>
          <w:rFonts w:ascii="黑体"/>
          <w:sz w:val="2"/>
        </w:rPr>
        <w:tab/>
      </w:r>
      <w:r>
        <w:rPr>
          <w:rFonts w:ascii="黑体"/>
          <w:sz w:val="2"/>
        </w:rPr>
        <w:pict>
          <v:group style="width:160.1pt;height:.5pt;mso-position-horizontal-relative:char;mso-position-vertical-relative:line" coordorigin="0,0" coordsize="3202,10">
            <v:group style="position:absolute;left:5;top:5;width:3192;height:2" coordorigin="5,5" coordsize="3192,2">
              <v:shape style="position:absolute;left:5;top:5;width:3192;height:2" coordorigin="5,5" coordsize="3192,0" path="m5,5l3197,5e" filled="false" stroked="true" strokeweight=".48pt" strokecolor="#000000">
                <v:path arrowok="t"/>
              </v:shape>
            </v:group>
          </v:group>
        </w:pict>
      </w:r>
      <w:r>
        <w:rPr>
          <w:rFonts w:ascii="黑体"/>
          <w:sz w:val="2"/>
        </w:rPr>
      </w:r>
    </w:p>
    <w:p>
      <w:pPr>
        <w:tabs>
          <w:tab w:pos="3555" w:val="left" w:leader="none"/>
          <w:tab w:pos="4241" w:val="left" w:leader="none"/>
          <w:tab w:pos="6151" w:val="left" w:leader="none"/>
          <w:tab w:pos="7086" w:val="left" w:leader="none"/>
          <w:tab w:pos="7668" w:val="left" w:leader="none"/>
        </w:tabs>
        <w:spacing w:before="0"/>
        <w:ind w:left="2892" w:right="112" w:firstLine="0"/>
        <w:jc w:val="left"/>
        <w:rPr>
          <w:rFonts w:ascii="黑体" w:hAnsi="黑体" w:cs="黑体" w:eastAsia="黑体" w:hint="default"/>
          <w:sz w:val="18"/>
          <w:szCs w:val="18"/>
        </w:rPr>
      </w:pPr>
      <w:r>
        <w:rPr>
          <w:rFonts w:ascii="黑体" w:hAnsi="黑体" w:cs="黑体" w:eastAsia="黑体" w:hint="default"/>
          <w:sz w:val="18"/>
          <w:szCs w:val="18"/>
        </w:rPr>
        <w:t>原币</w:t>
        <w:tab/>
        <w:t>汇率</w:t>
        <w:tab/>
        <w:t>折合人民币</w:t>
        <w:tab/>
        <w:t>原币</w:t>
        <w:tab/>
        <w:t>汇率</w:t>
        <w:tab/>
        <w:t>折合人民币</w:t>
      </w:r>
    </w:p>
    <w:p>
      <w:pPr>
        <w:spacing w:before="20"/>
        <w:ind w:left="839" w:right="112" w:firstLine="0"/>
        <w:jc w:val="left"/>
        <w:rPr>
          <w:rFonts w:ascii="黑体" w:hAnsi="黑体" w:cs="黑体" w:eastAsia="黑体" w:hint="default"/>
          <w:sz w:val="18"/>
          <w:szCs w:val="18"/>
        </w:rPr>
      </w:pPr>
      <w:r>
        <w:rPr>
          <w:rFonts w:ascii="黑体" w:hAnsi="黑体" w:cs="黑体" w:eastAsia="黑体" w:hint="default"/>
          <w:sz w:val="18"/>
          <w:szCs w:val="18"/>
        </w:rPr>
        <w:t>现金</w:t>
      </w:r>
    </w:p>
    <w:p>
      <w:pPr>
        <w:tabs>
          <w:tab w:pos="2433" w:val="left" w:leader="none"/>
          <w:tab w:pos="4320" w:val="left" w:leader="none"/>
          <w:tab w:pos="5692" w:val="left" w:leader="none"/>
          <w:tab w:pos="6874" w:val="left" w:leader="none"/>
          <w:tab w:pos="7746" w:val="left" w:leader="none"/>
        </w:tabs>
        <w:spacing w:before="20"/>
        <w:ind w:left="839" w:right="112" w:firstLine="0"/>
        <w:jc w:val="left"/>
        <w:rPr>
          <w:rFonts w:ascii="Arial" w:hAnsi="Arial" w:cs="Arial" w:eastAsia="Arial" w:hint="default"/>
          <w:sz w:val="18"/>
          <w:szCs w:val="18"/>
        </w:rPr>
      </w:pPr>
      <w:r>
        <w:rPr>
          <w:rFonts w:ascii="Arial" w:hAnsi="Arial" w:cs="Arial" w:eastAsia="Arial" w:hint="default"/>
          <w:sz w:val="18"/>
          <w:szCs w:val="18"/>
        </w:rPr>
        <w:t>—</w:t>
      </w:r>
      <w:r>
        <w:rPr>
          <w:rFonts w:ascii="黑体" w:hAnsi="黑体" w:cs="黑体" w:eastAsia="黑体" w:hint="default"/>
          <w:sz w:val="18"/>
          <w:szCs w:val="18"/>
        </w:rPr>
        <w:t>人民币</w:t>
        <w:tab/>
      </w:r>
      <w:r>
        <w:rPr>
          <w:rFonts w:ascii="Arial" w:hAnsi="Arial" w:cs="Arial" w:eastAsia="Arial" w:hint="default"/>
          <w:spacing w:val="-1"/>
          <w:sz w:val="18"/>
          <w:szCs w:val="18"/>
        </w:rPr>
        <w:t>1,902,132</w:t>
      </w:r>
      <w:r>
        <w:rPr>
          <w:rFonts w:ascii="Arial" w:hAnsi="Arial" w:cs="Arial" w:eastAsia="Arial" w:hint="default"/>
          <w:sz w:val="18"/>
          <w:szCs w:val="18"/>
        </w:rPr>
        <w:t> </w:t>
      </w:r>
      <w:r>
        <w:rPr>
          <w:rFonts w:ascii="Arial" w:hAnsi="Arial" w:cs="Arial" w:eastAsia="Arial" w:hint="default"/>
          <w:spacing w:val="14"/>
          <w:sz w:val="18"/>
          <w:szCs w:val="18"/>
        </w:rPr>
        <w:t> </w:t>
      </w:r>
      <w:r>
        <w:rPr>
          <w:rFonts w:ascii="Arial" w:hAnsi="Arial" w:cs="Arial" w:eastAsia="Arial" w:hint="default"/>
          <w:spacing w:val="-1"/>
          <w:sz w:val="18"/>
          <w:szCs w:val="18"/>
        </w:rPr>
        <w:t>1.0000</w:t>
        <w:tab/>
        <w:t>1,902,132</w:t>
        <w:tab/>
        <w:t>1,962,964</w:t>
        <w:tab/>
        <w:t>1.0000</w:t>
        <w:tab/>
        <w:t>1,962,964</w:t>
      </w:r>
    </w:p>
    <w:p>
      <w:pPr>
        <w:spacing w:line="240" w:lineRule="auto" w:before="9"/>
        <w:rPr>
          <w:rFonts w:ascii="Arial" w:hAnsi="Arial" w:cs="Arial" w:eastAsia="Arial" w:hint="default"/>
          <w:sz w:val="22"/>
          <w:szCs w:val="22"/>
        </w:rPr>
      </w:pPr>
    </w:p>
    <w:p>
      <w:pPr>
        <w:spacing w:before="0"/>
        <w:ind w:left="839" w:right="112" w:firstLine="0"/>
        <w:jc w:val="left"/>
        <w:rPr>
          <w:rFonts w:ascii="黑体" w:hAnsi="黑体" w:cs="黑体" w:eastAsia="黑体" w:hint="default"/>
          <w:sz w:val="18"/>
          <w:szCs w:val="18"/>
        </w:rPr>
      </w:pPr>
      <w:r>
        <w:rPr>
          <w:rFonts w:ascii="黑体" w:hAnsi="黑体" w:cs="黑体" w:eastAsia="黑体" w:hint="default"/>
          <w:sz w:val="18"/>
          <w:szCs w:val="18"/>
        </w:rPr>
        <w:t>银行存款</w:t>
      </w:r>
    </w:p>
    <w:p>
      <w:pPr>
        <w:tabs>
          <w:tab w:pos="2081" w:val="left" w:leader="none"/>
          <w:tab w:pos="5491" w:val="left" w:leader="none"/>
          <w:tab w:pos="6875" w:val="left" w:leader="none"/>
        </w:tabs>
        <w:spacing w:before="18"/>
        <w:ind w:left="839" w:right="112" w:firstLine="0"/>
        <w:jc w:val="left"/>
        <w:rPr>
          <w:rFonts w:ascii="Arial" w:hAnsi="Arial" w:cs="Arial" w:eastAsia="Arial" w:hint="default"/>
          <w:sz w:val="18"/>
          <w:szCs w:val="18"/>
        </w:rPr>
      </w:pPr>
      <w:r>
        <w:rPr>
          <w:rFonts w:ascii="Arial" w:hAnsi="Arial" w:cs="Arial" w:eastAsia="Arial" w:hint="default"/>
          <w:sz w:val="18"/>
          <w:szCs w:val="18"/>
        </w:rPr>
        <w:t>—</w:t>
      </w:r>
      <w:r>
        <w:rPr>
          <w:rFonts w:ascii="黑体" w:hAnsi="黑体" w:cs="黑体" w:eastAsia="黑体" w:hint="default"/>
          <w:sz w:val="18"/>
          <w:szCs w:val="18"/>
        </w:rPr>
        <w:t>人民币</w:t>
        <w:tab/>
      </w:r>
      <w:r>
        <w:rPr>
          <w:rFonts w:ascii="Arial" w:hAnsi="Arial" w:cs="Arial" w:eastAsia="Arial" w:hint="default"/>
          <w:spacing w:val="-1"/>
          <w:sz w:val="18"/>
          <w:szCs w:val="18"/>
        </w:rPr>
        <w:t>1,128,928,015</w:t>
      </w:r>
      <w:r>
        <w:rPr>
          <w:rFonts w:ascii="Arial" w:hAnsi="Arial" w:cs="Arial" w:eastAsia="Arial" w:hint="default"/>
          <w:sz w:val="18"/>
          <w:szCs w:val="18"/>
        </w:rPr>
        <w:t>  </w:t>
      </w:r>
      <w:r>
        <w:rPr>
          <w:rFonts w:ascii="Arial" w:hAnsi="Arial" w:cs="Arial" w:eastAsia="Arial" w:hint="default"/>
          <w:spacing w:val="-1"/>
          <w:sz w:val="18"/>
          <w:szCs w:val="18"/>
        </w:rPr>
        <w:t>1.0000</w:t>
      </w:r>
      <w:r>
        <w:rPr>
          <w:rFonts w:ascii="Arial" w:hAnsi="Arial" w:cs="Arial" w:eastAsia="Arial" w:hint="default"/>
          <w:spacing w:val="46"/>
          <w:sz w:val="18"/>
          <w:szCs w:val="18"/>
        </w:rPr>
        <w:t> </w:t>
      </w:r>
      <w:r>
        <w:rPr>
          <w:rFonts w:ascii="Arial" w:hAnsi="Arial" w:cs="Arial" w:eastAsia="Arial" w:hint="default"/>
          <w:spacing w:val="-1"/>
          <w:sz w:val="18"/>
          <w:szCs w:val="18"/>
        </w:rPr>
        <w:t>1,128,928,015</w:t>
        <w:tab/>
        <w:t>737,530,494</w:t>
        <w:tab/>
        <w:t>1.0000</w:t>
      </w:r>
      <w:r>
        <w:rPr>
          <w:rFonts w:ascii="Arial" w:hAnsi="Arial" w:cs="Arial" w:eastAsia="Arial" w:hint="default"/>
          <w:sz w:val="18"/>
          <w:szCs w:val="18"/>
        </w:rPr>
        <w:t> </w:t>
      </w:r>
      <w:r>
        <w:rPr>
          <w:rFonts w:ascii="Arial" w:hAnsi="Arial" w:cs="Arial" w:eastAsia="Arial" w:hint="default"/>
          <w:spacing w:val="26"/>
          <w:sz w:val="18"/>
          <w:szCs w:val="18"/>
        </w:rPr>
        <w:t> </w:t>
      </w:r>
      <w:r>
        <w:rPr>
          <w:rFonts w:ascii="Arial" w:hAnsi="Arial" w:cs="Arial" w:eastAsia="Arial" w:hint="default"/>
          <w:spacing w:val="-1"/>
          <w:sz w:val="18"/>
          <w:szCs w:val="18"/>
        </w:rPr>
        <w:t>737,530,494</w:t>
      </w:r>
    </w:p>
    <w:p>
      <w:pPr>
        <w:spacing w:line="240" w:lineRule="auto" w:before="9"/>
        <w:rPr>
          <w:rFonts w:ascii="Arial" w:hAnsi="Arial" w:cs="Arial" w:eastAsia="Arial" w:hint="default"/>
          <w:sz w:val="22"/>
          <w:szCs w:val="22"/>
        </w:rPr>
      </w:pPr>
    </w:p>
    <w:p>
      <w:pPr>
        <w:spacing w:before="0"/>
        <w:ind w:left="839" w:right="112" w:firstLine="0"/>
        <w:jc w:val="left"/>
        <w:rPr>
          <w:rFonts w:ascii="黑体" w:hAnsi="黑体" w:cs="黑体" w:eastAsia="黑体" w:hint="default"/>
          <w:sz w:val="18"/>
          <w:szCs w:val="18"/>
        </w:rPr>
      </w:pPr>
      <w:r>
        <w:rPr>
          <w:rFonts w:ascii="黑体" w:hAnsi="黑体" w:cs="黑体" w:eastAsia="黑体" w:hint="default"/>
          <w:sz w:val="18"/>
          <w:szCs w:val="18"/>
        </w:rPr>
        <w:t>其他货币资金</w:t>
      </w:r>
    </w:p>
    <w:p>
      <w:pPr>
        <w:tabs>
          <w:tab w:pos="2433" w:val="left" w:leader="none"/>
          <w:tab w:pos="4320" w:val="left" w:leader="none"/>
          <w:tab w:pos="5591" w:val="left" w:leader="none"/>
          <w:tab w:pos="6874" w:val="left" w:leader="none"/>
        </w:tabs>
        <w:spacing w:before="20"/>
        <w:ind w:left="839" w:right="112" w:firstLine="0"/>
        <w:jc w:val="left"/>
        <w:rPr>
          <w:rFonts w:ascii="Arial" w:hAnsi="Arial" w:cs="Arial" w:eastAsia="Arial" w:hint="default"/>
          <w:sz w:val="18"/>
          <w:szCs w:val="18"/>
        </w:rPr>
      </w:pPr>
      <w:r>
        <w:rPr>
          <w:rFonts w:ascii="Arial" w:hAnsi="Arial" w:cs="Arial" w:eastAsia="Arial" w:hint="default"/>
          <w:sz w:val="18"/>
          <w:szCs w:val="18"/>
        </w:rPr>
        <w:t>—</w:t>
      </w:r>
      <w:r>
        <w:rPr>
          <w:rFonts w:ascii="黑体" w:hAnsi="黑体" w:cs="黑体" w:eastAsia="黑体" w:hint="default"/>
          <w:sz w:val="18"/>
          <w:szCs w:val="18"/>
        </w:rPr>
        <w:t>人民币</w:t>
        <w:tab/>
      </w:r>
      <w:r>
        <w:rPr>
          <w:rFonts w:ascii="Arial" w:hAnsi="Arial" w:cs="Arial" w:eastAsia="Arial" w:hint="default"/>
          <w:spacing w:val="-1"/>
          <w:sz w:val="18"/>
          <w:szCs w:val="18"/>
        </w:rPr>
        <w:t>4,917,511</w:t>
      </w:r>
      <w:r>
        <w:rPr>
          <w:rFonts w:ascii="Arial" w:hAnsi="Arial" w:cs="Arial" w:eastAsia="Arial" w:hint="default"/>
          <w:sz w:val="18"/>
          <w:szCs w:val="18"/>
        </w:rPr>
        <w:t> </w:t>
      </w:r>
      <w:r>
        <w:rPr>
          <w:rFonts w:ascii="Arial" w:hAnsi="Arial" w:cs="Arial" w:eastAsia="Arial" w:hint="default"/>
          <w:spacing w:val="14"/>
          <w:sz w:val="18"/>
          <w:szCs w:val="18"/>
        </w:rPr>
        <w:t> </w:t>
      </w:r>
      <w:r>
        <w:rPr>
          <w:rFonts w:ascii="Arial" w:hAnsi="Arial" w:cs="Arial" w:eastAsia="Arial" w:hint="default"/>
          <w:spacing w:val="-1"/>
          <w:sz w:val="18"/>
          <w:szCs w:val="18"/>
        </w:rPr>
        <w:t>1.0000</w:t>
      </w:r>
      <w:r>
        <w:rPr>
          <w:rFonts w:ascii="Arial" w:hAnsi="Arial" w:cs="Arial" w:eastAsia="Arial" w:hint="default"/>
          <w:spacing w:val="-1"/>
          <w:sz w:val="18"/>
          <w:szCs w:val="18"/>
          <w:u w:val="single" w:color="000000"/>
        </w:rPr>
        <w:t> </w:t>
        <w:tab/>
        <w:t>4,917,511</w:t>
      </w:r>
      <w:r>
        <w:rPr>
          <w:rFonts w:ascii="Arial" w:hAnsi="Arial" w:cs="Arial" w:eastAsia="Arial" w:hint="default"/>
          <w:spacing w:val="-1"/>
          <w:sz w:val="18"/>
          <w:szCs w:val="18"/>
        </w:rPr>
        <w:tab/>
        <w:t>61,773,645</w:t>
        <w:tab/>
        <w:t>1.0000</w:t>
      </w:r>
      <w:r>
        <w:rPr>
          <w:rFonts w:ascii="Arial" w:hAnsi="Arial" w:cs="Arial" w:eastAsia="Arial" w:hint="default"/>
          <w:sz w:val="18"/>
          <w:szCs w:val="18"/>
        </w:rPr>
        <w:t>   </w:t>
      </w:r>
      <w:r>
        <w:rPr>
          <w:rFonts w:ascii="Arial" w:hAnsi="Arial" w:cs="Arial" w:eastAsia="Arial" w:hint="default"/>
          <w:spacing w:val="25"/>
          <w:sz w:val="18"/>
          <w:szCs w:val="18"/>
        </w:rPr>
        <w:t> </w:t>
      </w:r>
      <w:r>
        <w:rPr>
          <w:rFonts w:ascii="Arial" w:hAnsi="Arial" w:cs="Arial" w:eastAsia="Arial" w:hint="default"/>
          <w:spacing w:val="25"/>
          <w:sz w:val="18"/>
          <w:szCs w:val="18"/>
          <w:u w:val="single" w:color="000000"/>
        </w:rPr>
        <w:t> </w:t>
      </w:r>
      <w:r>
        <w:rPr>
          <w:rFonts w:ascii="Arial" w:hAnsi="Arial" w:cs="Arial" w:eastAsia="Arial" w:hint="default"/>
          <w:spacing w:val="-1"/>
          <w:sz w:val="18"/>
          <w:szCs w:val="18"/>
          <w:u w:val="single" w:color="000000"/>
        </w:rPr>
        <w:t>61,773,645</w:t>
      </w:r>
      <w:r>
        <w:rPr>
          <w:rFonts w:ascii="Arial" w:hAnsi="Arial" w:cs="Arial" w:eastAsia="Arial" w:hint="default"/>
          <w:spacing w:val="-1"/>
          <w:sz w:val="18"/>
          <w:szCs w:val="18"/>
        </w:rPr>
      </w:r>
    </w:p>
    <w:p>
      <w:pPr>
        <w:spacing w:line="240" w:lineRule="auto" w:before="8"/>
        <w:rPr>
          <w:rFonts w:ascii="Arial" w:hAnsi="Arial" w:cs="Arial" w:eastAsia="Arial" w:hint="default"/>
          <w:sz w:val="19"/>
          <w:szCs w:val="19"/>
        </w:rPr>
      </w:pPr>
    </w:p>
    <w:p>
      <w:pPr>
        <w:tabs>
          <w:tab w:pos="7547" w:val="left" w:leader="none"/>
        </w:tabs>
        <w:spacing w:before="77"/>
        <w:ind w:left="3970" w:right="112" w:firstLine="0"/>
        <w:jc w:val="left"/>
        <w:rPr>
          <w:rFonts w:ascii="Arial" w:hAnsi="Arial" w:cs="Arial" w:eastAsia="Arial" w:hint="default"/>
          <w:sz w:val="18"/>
          <w:szCs w:val="18"/>
        </w:rPr>
      </w:pPr>
      <w:r>
        <w:rPr>
          <w:rFonts w:ascii="Arial"/>
          <w:w w:val="99"/>
          <w:sz w:val="18"/>
        </w:rPr>
      </w:r>
      <w:r>
        <w:rPr>
          <w:rFonts w:ascii="Arial"/>
          <w:spacing w:val="-1"/>
          <w:sz w:val="18"/>
          <w:u w:val="thick" w:color="000000"/>
        </w:rPr>
        <w:t>1,135,747,658</w:t>
      </w:r>
      <w:r>
        <w:rPr>
          <w:rFonts w:ascii="Arial"/>
          <w:spacing w:val="-1"/>
          <w:sz w:val="18"/>
        </w:rPr>
        <w:tab/>
      </w:r>
      <w:r>
        <w:rPr>
          <w:rFonts w:ascii="Arial"/>
          <w:spacing w:val="-1"/>
          <w:sz w:val="18"/>
          <w:u w:val="thick" w:color="000000"/>
        </w:rPr>
        <w:t>801,267,103</w:t>
      </w:r>
      <w:r>
        <w:rPr>
          <w:rFonts w:ascii="Arial"/>
          <w:spacing w:val="-1"/>
          <w:sz w:val="18"/>
        </w:rPr>
      </w:r>
    </w:p>
    <w:p>
      <w:pPr>
        <w:spacing w:line="240" w:lineRule="auto" w:before="4"/>
        <w:rPr>
          <w:rFonts w:ascii="Arial" w:hAnsi="Arial" w:cs="Arial" w:eastAsia="Arial" w:hint="default"/>
          <w:sz w:val="23"/>
          <w:szCs w:val="23"/>
        </w:rPr>
      </w:pPr>
    </w:p>
    <w:p>
      <w:pPr>
        <w:pStyle w:val="BodyText"/>
        <w:spacing w:line="261" w:lineRule="auto" w:before="38"/>
        <w:ind w:right="172" w:hanging="1"/>
        <w:jc w:val="both"/>
      </w:pPr>
      <w:r>
        <w:rPr>
          <w:spacing w:val="-3"/>
          <w:w w:val="100"/>
        </w:rPr>
        <w:t>于</w:t>
      </w:r>
      <w:r>
        <w:rPr>
          <w:rFonts w:ascii="Arial" w:hAnsi="Arial" w:cs="Arial" w:eastAsia="Arial" w:hint="default"/>
          <w:spacing w:val="-3"/>
          <w:w w:val="100"/>
        </w:rPr>
        <w:t>2009</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日，本公司所有权受到限制的货币资金为本公司于中国建设银行股份有限</w:t>
      </w:r>
      <w:r>
        <w:rPr>
          <w:spacing w:val="-97"/>
          <w:w w:val="100"/>
        </w:rPr>
        <w:t> </w:t>
      </w:r>
      <w:r>
        <w:rPr>
          <w:spacing w:val="-97"/>
          <w:w w:val="100"/>
        </w:rPr>
      </w:r>
      <w:r>
        <w:rPr/>
        <w:t>公司开立的履约保函资金账户于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日仍处于履约期间的货币资金余额人民币</w:t>
      </w:r>
      <w:r>
        <w:rPr>
          <w:spacing w:val="-15"/>
        </w:rPr>
        <w:t> </w:t>
      </w:r>
      <w:r>
        <w:rPr>
          <w:rFonts w:ascii="Arial" w:hAnsi="Arial" w:cs="Arial" w:eastAsia="Arial" w:hint="default"/>
          <w:spacing w:val="2"/>
        </w:rPr>
        <w:t>4,768,711</w:t>
      </w:r>
      <w:r>
        <w:rPr>
          <w:spacing w:val="2"/>
        </w:rPr>
        <w:t>元</w:t>
      </w:r>
      <w:r>
        <w:rPr>
          <w:rFonts w:ascii="Arial" w:hAnsi="Arial" w:cs="Arial" w:eastAsia="Arial" w:hint="default"/>
          <w:spacing w:val="2"/>
        </w:rPr>
        <w:t>,</w:t>
      </w:r>
      <w:r>
        <w:rPr>
          <w:spacing w:val="2"/>
        </w:rPr>
        <w:t>以及于中国民生银行股份有限公司开立的履约保函资金账户于</w:t>
      </w:r>
      <w:r>
        <w:rPr>
          <w:rFonts w:ascii="Arial" w:hAnsi="Arial" w:cs="Arial" w:eastAsia="Arial" w:hint="default"/>
          <w:spacing w:val="2"/>
        </w:rPr>
        <w:t>2009</w:t>
      </w:r>
      <w:r>
        <w:rPr>
          <w:spacing w:val="2"/>
        </w:rPr>
        <w:t>年</w:t>
      </w:r>
      <w:r>
        <w:rPr>
          <w:rFonts w:ascii="Arial" w:hAnsi="Arial" w:cs="Arial" w:eastAsia="Arial" w:hint="default"/>
          <w:spacing w:val="2"/>
        </w:rPr>
        <w:t>12</w:t>
      </w:r>
      <w:r>
        <w:rPr>
          <w:spacing w:val="2"/>
        </w:rPr>
        <w:t>月</w:t>
      </w:r>
    </w:p>
    <w:p>
      <w:pPr>
        <w:pStyle w:val="BodyText"/>
        <w:spacing w:line="240" w:lineRule="auto" w:before="4"/>
        <w:ind w:left="816" w:right="0"/>
        <w:jc w:val="both"/>
      </w:pPr>
      <w:r>
        <w:rPr>
          <w:rFonts w:ascii="Arial" w:hAnsi="Arial" w:cs="Arial" w:eastAsia="Arial" w:hint="default"/>
        </w:rPr>
        <w:t>31</w:t>
      </w:r>
      <w:r>
        <w:rPr/>
        <w:t>日仍处于履约期间的货币资金余额人民币</w:t>
      </w:r>
      <w:r>
        <w:rPr>
          <w:rFonts w:ascii="Arial" w:hAnsi="Arial" w:cs="Arial" w:eastAsia="Arial" w:hint="default"/>
        </w:rPr>
        <w:t>148,800</w:t>
      </w:r>
      <w:r>
        <w:rPr/>
        <w:t>元。</w:t>
      </w:r>
    </w:p>
    <w:p>
      <w:pPr>
        <w:spacing w:line="240" w:lineRule="auto" w:before="10"/>
        <w:rPr>
          <w:rFonts w:ascii="黑体" w:hAnsi="黑体" w:cs="黑体" w:eastAsia="黑体" w:hint="default"/>
          <w:sz w:val="24"/>
          <w:szCs w:val="24"/>
        </w:rPr>
      </w:pPr>
    </w:p>
    <w:p>
      <w:pPr>
        <w:pStyle w:val="BodyText"/>
        <w:spacing w:line="261" w:lineRule="auto"/>
        <w:ind w:left="816" w:right="171" w:hanging="1"/>
        <w:jc w:val="both"/>
      </w:pPr>
      <w:r>
        <w:rPr>
          <w:spacing w:val="-3"/>
          <w:w w:val="100"/>
        </w:rPr>
        <w:t>于</w:t>
      </w:r>
      <w:r>
        <w:rPr>
          <w:rFonts w:ascii="Arial" w:hAnsi="Arial" w:cs="Arial" w:eastAsia="Arial" w:hint="default"/>
          <w:spacing w:val="-3"/>
          <w:w w:val="100"/>
        </w:rPr>
        <w:t>2008</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日，本公司所有权受到限制的货币资金为本公司于中国建设银行股份有限</w:t>
      </w:r>
      <w:r>
        <w:rPr>
          <w:spacing w:val="-97"/>
          <w:w w:val="100"/>
        </w:rPr>
        <w:t> </w:t>
      </w:r>
      <w:r>
        <w:rPr>
          <w:spacing w:val="-97"/>
          <w:w w:val="100"/>
        </w:rPr>
      </w:r>
      <w:r>
        <w:rPr/>
        <w:t>公司开立的履约保函资金账户于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日仍处于履约期间的货币资金余额人民币</w:t>
      </w:r>
      <w:r>
        <w:rPr>
          <w:spacing w:val="-15"/>
        </w:rPr>
        <w:t> </w:t>
      </w:r>
      <w:r>
        <w:rPr>
          <w:rFonts w:ascii="Arial" w:hAnsi="Arial" w:cs="Arial" w:eastAsia="Arial" w:hint="default"/>
        </w:rPr>
        <w:t>8,829,449</w:t>
      </w:r>
      <w:r>
        <w:rPr/>
        <w:t>元。</w:t>
      </w:r>
    </w:p>
    <w:p>
      <w:pPr>
        <w:spacing w:line="240" w:lineRule="auto" w:before="3"/>
        <w:rPr>
          <w:rFonts w:ascii="黑体" w:hAnsi="黑体" w:cs="黑体" w:eastAsia="黑体" w:hint="default"/>
          <w:sz w:val="23"/>
          <w:szCs w:val="23"/>
        </w:rPr>
      </w:pPr>
    </w:p>
    <w:p>
      <w:pPr>
        <w:pStyle w:val="BodyText"/>
        <w:spacing w:line="240" w:lineRule="auto"/>
        <w:ind w:left="816" w:right="0"/>
        <w:jc w:val="both"/>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w:t>
      </w:r>
      <w:r>
        <w:rPr>
          <w:rFonts w:ascii="Arial" w:hAnsi="Arial" w:cs="Arial" w:eastAsia="Arial" w:hint="default"/>
        </w:rPr>
        <w:t>,</w:t>
      </w:r>
      <w:r>
        <w:rPr/>
        <w:t>本公司无存放于境外的货币资金。</w:t>
      </w:r>
    </w:p>
    <w:p>
      <w:pPr>
        <w:spacing w:line="240" w:lineRule="auto" w:before="10"/>
        <w:rPr>
          <w:rFonts w:ascii="黑体" w:hAnsi="黑体" w:cs="黑体" w:eastAsia="黑体" w:hint="default"/>
          <w:sz w:val="24"/>
          <w:szCs w:val="24"/>
        </w:rPr>
      </w:pPr>
    </w:p>
    <w:p>
      <w:pPr>
        <w:pStyle w:val="BodyText"/>
        <w:spacing w:line="261" w:lineRule="auto"/>
        <w:ind w:left="816" w:right="173"/>
        <w:jc w:val="both"/>
      </w:pPr>
      <w:r>
        <w:rPr>
          <w:spacing w:val="-2"/>
        </w:rPr>
        <w:t>银行活期存款按照银行活期存款利率取得利息收入。定期存款的存款期分为</w:t>
      </w:r>
      <w:r>
        <w:rPr>
          <w:rFonts w:ascii="Arial" w:hAnsi="Arial" w:cs="Arial" w:eastAsia="Arial" w:hint="default"/>
          <w:spacing w:val="-2"/>
        </w:rPr>
        <w:t>3</w:t>
      </w:r>
      <w:r>
        <w:rPr>
          <w:spacing w:val="-2"/>
        </w:rPr>
        <w:t>个月至</w:t>
      </w:r>
      <w:r>
        <w:rPr>
          <w:rFonts w:ascii="Arial" w:hAnsi="Arial" w:cs="Arial" w:eastAsia="Arial" w:hint="default"/>
          <w:spacing w:val="-2"/>
        </w:rPr>
        <w:t>6</w:t>
      </w:r>
      <w:r>
        <w:rPr>
          <w:spacing w:val="-2"/>
        </w:rPr>
        <w:t>个月</w:t>
      </w:r>
      <w:r>
        <w:rPr>
          <w:spacing w:val="-60"/>
        </w:rPr>
        <w:t> </w:t>
      </w:r>
      <w:r>
        <w:rPr/>
        <w:t>不等，依本公司的现金需求而定，并按照相应的银行定期存款利率取得利息收入。</w:t>
      </w:r>
    </w:p>
    <w:p>
      <w:pPr>
        <w:spacing w:line="240" w:lineRule="auto" w:before="11"/>
        <w:rPr>
          <w:rFonts w:ascii="黑体" w:hAnsi="黑体" w:cs="黑体" w:eastAsia="黑体" w:hint="default"/>
          <w:sz w:val="20"/>
          <w:szCs w:val="20"/>
        </w:rPr>
      </w:pPr>
    </w:p>
    <w:p>
      <w:pPr>
        <w:tabs>
          <w:tab w:pos="815" w:val="left" w:leader="none"/>
        </w:tabs>
        <w:spacing w:before="0"/>
        <w:ind w:left="102" w:right="112" w:firstLine="0"/>
        <w:jc w:val="left"/>
        <w:rPr>
          <w:rFonts w:ascii="黑体" w:hAnsi="黑体" w:cs="黑体" w:eastAsia="黑体" w:hint="default"/>
          <w:sz w:val="20"/>
          <w:szCs w:val="20"/>
        </w:rPr>
      </w:pPr>
      <w:r>
        <w:rPr>
          <w:rFonts w:ascii="Arial" w:hAnsi="Arial" w:cs="Arial" w:eastAsia="Arial" w:hint="default"/>
          <w:b/>
          <w:bCs/>
          <w:w w:val="95"/>
          <w:sz w:val="20"/>
          <w:szCs w:val="20"/>
        </w:rPr>
        <w:t>2</w:t>
      </w:r>
      <w:r>
        <w:rPr>
          <w:rFonts w:ascii="黑体" w:hAnsi="黑体" w:cs="黑体" w:eastAsia="黑体" w:hint="default"/>
          <w:b/>
          <w:bCs/>
          <w:w w:val="95"/>
          <w:sz w:val="20"/>
          <w:szCs w:val="20"/>
        </w:rPr>
        <w:t>．</w:t>
        <w:tab/>
      </w:r>
      <w:r>
        <w:rPr>
          <w:rFonts w:ascii="黑体" w:hAnsi="黑体" w:cs="黑体" w:eastAsia="黑体" w:hint="default"/>
          <w:b/>
          <w:bCs/>
          <w:sz w:val="20"/>
          <w:szCs w:val="20"/>
        </w:rPr>
        <w:t>交易性金融资产</w:t>
      </w:r>
      <w:r>
        <w:rPr>
          <w:rFonts w:ascii="黑体" w:hAnsi="黑体" w:cs="黑体" w:eastAsia="黑体" w:hint="default"/>
          <w:sz w:val="20"/>
          <w:szCs w:val="20"/>
        </w:rPr>
      </w:r>
    </w:p>
    <w:p>
      <w:pPr>
        <w:spacing w:line="240" w:lineRule="auto" w:before="12"/>
        <w:rPr>
          <w:rFonts w:ascii="黑体" w:hAnsi="黑体" w:cs="黑体" w:eastAsia="黑体" w:hint="default"/>
          <w:b/>
          <w:bCs/>
          <w:sz w:val="22"/>
          <w:szCs w:val="22"/>
        </w:rPr>
      </w:pPr>
    </w:p>
    <w:p>
      <w:pPr>
        <w:pStyle w:val="BodyText"/>
        <w:tabs>
          <w:tab w:pos="7881" w:val="left" w:leader="none"/>
        </w:tabs>
        <w:spacing w:line="266" w:lineRule="exact"/>
        <w:ind w:left="5789" w:right="112"/>
        <w:jc w:val="left"/>
      </w:pPr>
      <w:r>
        <w:rPr>
          <w:rFonts w:ascii="Arial" w:hAnsi="Arial" w:cs="Arial" w:eastAsia="Arial" w:hint="default"/>
        </w:rPr>
        <w:t>2009</w:t>
      </w:r>
      <w:r>
        <w:rPr>
          <w:rFonts w:ascii="Arial" w:hAnsi="Arial" w:cs="Arial" w:eastAsia="Arial" w:hint="default"/>
          <w:spacing w:val="-6"/>
        </w:rPr>
        <w:t> </w:t>
      </w:r>
      <w:r>
        <w:rPr/>
        <w:t>年</w:t>
        <w:tab/>
      </w:r>
      <w:r>
        <w:rPr>
          <w:rFonts w:ascii="Arial" w:hAnsi="Arial" w:cs="Arial" w:eastAsia="Arial" w:hint="default"/>
        </w:rPr>
        <w:t>2008</w:t>
      </w:r>
      <w:r>
        <w:rPr>
          <w:rFonts w:ascii="Arial" w:hAnsi="Arial" w:cs="Arial" w:eastAsia="Arial" w:hint="default"/>
          <w:spacing w:val="-6"/>
        </w:rPr>
        <w:t> </w:t>
      </w:r>
      <w:r>
        <w:rPr/>
        <w:t>年</w:t>
      </w:r>
    </w:p>
    <w:p>
      <w:pPr>
        <w:pStyle w:val="BodyText"/>
        <w:tabs>
          <w:tab w:pos="7581" w:val="left" w:leader="none"/>
        </w:tabs>
        <w:spacing w:line="266" w:lineRule="exact"/>
        <w:ind w:left="5489" w:right="112"/>
        <w:jc w:val="left"/>
      </w:pP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6"/>
        </w:rPr>
        <w:t> </w:t>
      </w:r>
      <w:r>
        <w:rPr/>
        <w:t>日</w:t>
        <w:tab/>
      </w: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6"/>
        </w:rPr>
        <w:t> </w:t>
      </w:r>
      <w:r>
        <w:rPr/>
        <w:t>日</w:t>
      </w:r>
    </w:p>
    <w:p>
      <w:pPr>
        <w:spacing w:line="240" w:lineRule="auto" w:before="12"/>
        <w:rPr>
          <w:rFonts w:ascii="黑体" w:hAnsi="黑体" w:cs="黑体" w:eastAsia="黑体" w:hint="default"/>
          <w:sz w:val="17"/>
          <w:szCs w:val="17"/>
        </w:rPr>
      </w:pPr>
    </w:p>
    <w:p>
      <w:pPr>
        <w:pStyle w:val="BodyText"/>
        <w:tabs>
          <w:tab w:pos="5518" w:val="left" w:leader="none"/>
          <w:tab w:pos="6418" w:val="left" w:leader="none"/>
          <w:tab w:pos="7575" w:val="left" w:leader="none"/>
        </w:tabs>
        <w:spacing w:line="240" w:lineRule="auto"/>
        <w:ind w:left="831" w:right="0"/>
        <w:jc w:val="both"/>
        <w:rPr>
          <w:rFonts w:ascii="Arial" w:hAnsi="Arial" w:cs="Arial" w:eastAsia="Arial" w:hint="default"/>
        </w:rPr>
      </w:pPr>
      <w:r>
        <w:rPr>
          <w:spacing w:val="-1"/>
        </w:rPr>
        <w:t>交易性权益工具投资</w:t>
        <w:tab/>
      </w:r>
      <w:r>
        <w:rPr>
          <w:rFonts w:ascii="Arial" w:hAnsi="Arial" w:cs="Arial" w:eastAsia="Arial" w:hint="default"/>
          <w:spacing w:val="-1"/>
        </w:rPr>
      </w:r>
      <w:r>
        <w:rPr>
          <w:rFonts w:ascii="Arial" w:hAnsi="Arial" w:cs="Arial" w:eastAsia="Arial" w:hint="default"/>
          <w:spacing w:val="-1"/>
          <w:u w:val="thick" w:color="000000"/>
        </w:rPr>
        <w:t> </w:t>
        <w:tab/>
      </w:r>
      <w:r>
        <w:rPr>
          <w:rFonts w:ascii="Arial" w:hAnsi="Arial" w:cs="Arial" w:eastAsia="Arial" w:hint="default"/>
          <w:u w:val="thick" w:color="000000"/>
        </w:rPr>
        <w:t>-</w:t>
      </w:r>
      <w:r>
        <w:rPr>
          <w:rFonts w:ascii="Arial" w:hAnsi="Arial" w:cs="Arial" w:eastAsia="Arial" w:hint="default"/>
        </w:rPr>
        <w:tab/>
      </w:r>
      <w:r>
        <w:rPr>
          <w:rFonts w:ascii="Arial" w:hAnsi="Arial" w:cs="Arial" w:eastAsia="Arial" w:hint="default"/>
          <w:spacing w:val="-1"/>
          <w:u w:val="thick" w:color="000000"/>
        </w:rPr>
        <w:t>57,615,883</w:t>
      </w:r>
      <w:r>
        <w:rPr>
          <w:rFonts w:ascii="Arial" w:hAnsi="Arial" w:cs="Arial" w:eastAsia="Arial" w:hint="default"/>
          <w:spacing w:val="-1"/>
        </w:rPr>
      </w:r>
    </w:p>
    <w:p>
      <w:pPr>
        <w:spacing w:after="0" w:line="240" w:lineRule="auto"/>
        <w:jc w:val="both"/>
        <w:rPr>
          <w:rFonts w:ascii="Arial" w:hAnsi="Arial" w:cs="Arial" w:eastAsia="Arial" w:hint="default"/>
        </w:rPr>
        <w:sectPr>
          <w:headerReference w:type="default" r:id="rId74"/>
          <w:footerReference w:type="default" r:id="rId75"/>
          <w:pgSz w:w="11910" w:h="16840"/>
          <w:pgMar w:header="958" w:footer="770" w:top="2460" w:bottom="960" w:left="1600" w:right="1520"/>
        </w:sectPr>
      </w:pPr>
    </w:p>
    <w:p>
      <w:pPr>
        <w:spacing w:line="240" w:lineRule="auto" w:before="0"/>
        <w:rPr>
          <w:rFonts w:ascii="Arial" w:hAnsi="Arial" w:cs="Arial" w:eastAsia="Arial" w:hint="default"/>
          <w:sz w:val="20"/>
          <w:szCs w:val="20"/>
        </w:rPr>
      </w:pPr>
    </w:p>
    <w:p>
      <w:pPr>
        <w:spacing w:line="240" w:lineRule="auto" w:before="3"/>
        <w:rPr>
          <w:rFonts w:ascii="Arial" w:hAnsi="Arial" w:cs="Arial" w:eastAsia="Arial" w:hint="default"/>
          <w:sz w:val="25"/>
          <w:szCs w:val="25"/>
        </w:rPr>
      </w:pPr>
    </w:p>
    <w:p>
      <w:pPr>
        <w:spacing w:before="38"/>
        <w:ind w:left="141" w:right="2405"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tbl>
      <w:tblPr>
        <w:tblW w:w="0" w:type="auto"/>
        <w:jc w:val="left"/>
        <w:tblInd w:w="106" w:type="dxa"/>
        <w:tblLayout w:type="fixed"/>
        <w:tblCellMar>
          <w:top w:w="0" w:type="dxa"/>
          <w:left w:w="0" w:type="dxa"/>
          <w:bottom w:w="0" w:type="dxa"/>
          <w:right w:w="0" w:type="dxa"/>
        </w:tblCellMar>
        <w:tblLook w:val="01E0"/>
      </w:tblPr>
      <w:tblGrid>
        <w:gridCol w:w="3672"/>
        <w:gridCol w:w="3294"/>
        <w:gridCol w:w="1596"/>
      </w:tblGrid>
      <w:tr>
        <w:trPr>
          <w:trHeight w:val="908" w:hRule="exact"/>
        </w:trPr>
        <w:tc>
          <w:tcPr>
            <w:tcW w:w="3672" w:type="dxa"/>
            <w:tcBorders>
              <w:top w:val="nil" w:sz="6" w:space="0" w:color="auto"/>
              <w:left w:val="nil" w:sz="6" w:space="0" w:color="auto"/>
              <w:bottom w:val="nil" w:sz="6" w:space="0" w:color="auto"/>
              <w:right w:val="nil" w:sz="6" w:space="0" w:color="auto"/>
            </w:tcBorders>
          </w:tcPr>
          <w:p>
            <w:pPr>
              <w:pStyle w:val="TableParagraph"/>
              <w:tabs>
                <w:tab w:pos="702" w:val="left" w:leader="none"/>
              </w:tabs>
              <w:spacing w:line="240" w:lineRule="auto" w:before="38"/>
              <w:ind w:left="35" w:right="0"/>
              <w:jc w:val="left"/>
              <w:rPr>
                <w:rFonts w:ascii="黑体" w:hAnsi="黑体" w:cs="黑体" w:eastAsia="黑体" w:hint="default"/>
                <w:sz w:val="20"/>
                <w:szCs w:val="20"/>
              </w:rPr>
            </w:pPr>
            <w:r>
              <w:rPr>
                <w:rFonts w:ascii="Arial" w:hAnsi="Arial" w:cs="Arial" w:eastAsia="Arial" w:hint="default"/>
                <w:b/>
                <w:bCs/>
                <w:spacing w:val="-1"/>
                <w:sz w:val="20"/>
                <w:szCs w:val="20"/>
              </w:rPr>
              <w:t>3.</w:t>
              <w:tab/>
            </w:r>
            <w:r>
              <w:rPr>
                <w:rFonts w:ascii="黑体" w:hAnsi="黑体" w:cs="黑体" w:eastAsia="黑体" w:hint="default"/>
                <w:b/>
                <w:bCs/>
                <w:spacing w:val="1"/>
                <w:sz w:val="20"/>
                <w:szCs w:val="20"/>
              </w:rPr>
              <w:t>应收票据</w:t>
            </w:r>
            <w:r>
              <w:rPr>
                <w:rFonts w:ascii="黑体" w:hAnsi="黑体" w:cs="黑体" w:eastAsia="黑体" w:hint="default"/>
                <w:sz w:val="20"/>
                <w:szCs w:val="20"/>
              </w:rPr>
            </w:r>
          </w:p>
        </w:tc>
        <w:tc>
          <w:tcPr>
            <w:tcW w:w="32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3"/>
              <w:ind w:right="0"/>
              <w:jc w:val="left"/>
              <w:rPr>
                <w:rFonts w:ascii="黑体" w:hAnsi="黑体" w:cs="黑体" w:eastAsia="黑体" w:hint="default"/>
                <w:b/>
                <w:bCs/>
                <w:sz w:val="26"/>
                <w:szCs w:val="26"/>
              </w:rPr>
            </w:pPr>
          </w:p>
          <w:p>
            <w:pPr>
              <w:pStyle w:val="TableParagraph"/>
              <w:spacing w:line="240" w:lineRule="auto"/>
              <w:ind w:right="576"/>
              <w:jc w:val="right"/>
              <w:rPr>
                <w:rFonts w:ascii="黑体" w:hAnsi="黑体" w:cs="黑体" w:eastAsia="黑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黑体" w:hAnsi="黑体" w:cs="黑体" w:eastAsia="黑体" w:hint="default"/>
                <w:sz w:val="20"/>
                <w:szCs w:val="20"/>
              </w:rPr>
              <w:t>年</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3"/>
              <w:ind w:right="0"/>
              <w:jc w:val="left"/>
              <w:rPr>
                <w:rFonts w:ascii="黑体" w:hAnsi="黑体" w:cs="黑体" w:eastAsia="黑体" w:hint="default"/>
                <w:b/>
                <w:bCs/>
                <w:sz w:val="26"/>
                <w:szCs w:val="26"/>
              </w:rPr>
            </w:pPr>
          </w:p>
          <w:p>
            <w:pPr>
              <w:pStyle w:val="TableParagraph"/>
              <w:spacing w:line="240" w:lineRule="auto"/>
              <w:ind w:right="46"/>
              <w:jc w:val="right"/>
              <w:rPr>
                <w:rFonts w:ascii="黑体" w:hAnsi="黑体" w:cs="黑体" w:eastAsia="黑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黑体" w:hAnsi="黑体" w:cs="黑体" w:eastAsia="黑体" w:hint="default"/>
                <w:sz w:val="20"/>
                <w:szCs w:val="20"/>
              </w:rPr>
              <w:t>年</w:t>
            </w:r>
          </w:p>
        </w:tc>
      </w:tr>
      <w:tr>
        <w:trPr>
          <w:trHeight w:val="382" w:hRule="exact"/>
        </w:trPr>
        <w:tc>
          <w:tcPr>
            <w:tcW w:w="3672" w:type="dxa"/>
            <w:tcBorders>
              <w:top w:val="nil" w:sz="6" w:space="0" w:color="auto"/>
              <w:left w:val="nil" w:sz="6" w:space="0" w:color="auto"/>
              <w:bottom w:val="nil" w:sz="6" w:space="0" w:color="auto"/>
              <w:right w:val="nil" w:sz="6" w:space="0" w:color="auto"/>
            </w:tcBorders>
          </w:tcPr>
          <w:p>
            <w:pPr/>
          </w:p>
        </w:tc>
        <w:tc>
          <w:tcPr>
            <w:tcW w:w="3294" w:type="dxa"/>
            <w:tcBorders>
              <w:top w:val="nil" w:sz="6" w:space="0" w:color="auto"/>
              <w:left w:val="nil" w:sz="6" w:space="0" w:color="auto"/>
              <w:bottom w:val="nil" w:sz="6" w:space="0" w:color="auto"/>
              <w:right w:val="nil" w:sz="6" w:space="0" w:color="auto"/>
            </w:tcBorders>
          </w:tcPr>
          <w:p>
            <w:pPr>
              <w:pStyle w:val="TableParagraph"/>
              <w:spacing w:line="237" w:lineRule="exact"/>
              <w:ind w:right="563"/>
              <w:jc w:val="right"/>
              <w:rPr>
                <w:rFonts w:ascii="黑体" w:hAnsi="黑体" w:cs="黑体" w:eastAsia="黑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黑体" w:hAnsi="黑体" w:cs="黑体" w:eastAsia="黑体" w:hint="default"/>
                <w:sz w:val="20"/>
                <w:szCs w:val="20"/>
              </w:rPr>
              <w:t>日</w:t>
            </w:r>
          </w:p>
        </w:tc>
        <w:tc>
          <w:tcPr>
            <w:tcW w:w="1596" w:type="dxa"/>
            <w:tcBorders>
              <w:top w:val="nil" w:sz="6" w:space="0" w:color="auto"/>
              <w:left w:val="nil" w:sz="6" w:space="0" w:color="auto"/>
              <w:bottom w:val="nil" w:sz="6" w:space="0" w:color="auto"/>
              <w:right w:val="nil" w:sz="6" w:space="0" w:color="auto"/>
            </w:tcBorders>
          </w:tcPr>
          <w:p>
            <w:pPr>
              <w:pStyle w:val="TableParagraph"/>
              <w:spacing w:line="237" w:lineRule="exact"/>
              <w:ind w:right="34"/>
              <w:jc w:val="right"/>
              <w:rPr>
                <w:rFonts w:ascii="黑体" w:hAnsi="黑体" w:cs="黑体" w:eastAsia="黑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黑体" w:hAnsi="黑体" w:cs="黑体" w:eastAsia="黑体" w:hint="default"/>
                <w:sz w:val="20"/>
                <w:szCs w:val="20"/>
              </w:rPr>
              <w:t>日</w:t>
            </w:r>
          </w:p>
        </w:tc>
      </w:tr>
      <w:tr>
        <w:trPr>
          <w:trHeight w:val="461" w:hRule="exact"/>
        </w:trPr>
        <w:tc>
          <w:tcPr>
            <w:tcW w:w="3672" w:type="dxa"/>
            <w:tcBorders>
              <w:top w:val="nil" w:sz="6" w:space="0" w:color="auto"/>
              <w:left w:val="nil" w:sz="6" w:space="0" w:color="auto"/>
              <w:bottom w:val="nil" w:sz="6" w:space="0" w:color="auto"/>
              <w:right w:val="nil" w:sz="6" w:space="0" w:color="auto"/>
            </w:tcBorders>
          </w:tcPr>
          <w:p>
            <w:pPr>
              <w:pStyle w:val="TableParagraph"/>
              <w:spacing w:line="240" w:lineRule="auto" w:before="88"/>
              <w:ind w:left="744" w:right="0"/>
              <w:jc w:val="left"/>
              <w:rPr>
                <w:rFonts w:ascii="黑体" w:hAnsi="黑体" w:cs="黑体" w:eastAsia="黑体" w:hint="default"/>
                <w:sz w:val="20"/>
                <w:szCs w:val="20"/>
              </w:rPr>
            </w:pPr>
            <w:r>
              <w:rPr>
                <w:rFonts w:ascii="黑体" w:hAnsi="黑体" w:cs="黑体" w:eastAsia="黑体" w:hint="default"/>
                <w:sz w:val="20"/>
                <w:szCs w:val="20"/>
              </w:rPr>
              <w:t>银行承兑汇票</w:t>
            </w:r>
          </w:p>
        </w:tc>
        <w:tc>
          <w:tcPr>
            <w:tcW w:w="3294"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63"/>
              <w:jc w:val="right"/>
              <w:rPr>
                <w:rFonts w:ascii="Arial" w:hAnsi="Arial" w:cs="Arial" w:eastAsia="Arial" w:hint="default"/>
                <w:sz w:val="20"/>
                <w:szCs w:val="20"/>
              </w:rPr>
            </w:pPr>
            <w:r>
              <w:rPr>
                <w:rFonts w:ascii="Arial"/>
                <w:w w:val="100"/>
                <w:sz w:val="20"/>
              </w:rPr>
            </w:r>
            <w:r>
              <w:rPr>
                <w:rFonts w:ascii="Arial"/>
                <w:spacing w:val="-1"/>
                <w:sz w:val="20"/>
                <w:u w:val="thick" w:color="000000"/>
              </w:rPr>
              <w:t>22,556,000</w:t>
            </w:r>
            <w:r>
              <w:rPr>
                <w:rFonts w:ascii="Arial"/>
                <w:spacing w:val="-1"/>
                <w:sz w:val="20"/>
              </w:rPr>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1,800,000</w:t>
            </w:r>
            <w:r>
              <w:rPr>
                <w:rFonts w:ascii="Arial"/>
                <w:spacing w:val="-1"/>
                <w:sz w:val="20"/>
              </w:rPr>
            </w:r>
          </w:p>
        </w:tc>
      </w:tr>
    </w:tbl>
    <w:p>
      <w:pPr>
        <w:spacing w:line="240" w:lineRule="auto" w:before="0"/>
        <w:rPr>
          <w:rFonts w:ascii="黑体" w:hAnsi="黑体" w:cs="黑体" w:eastAsia="黑体" w:hint="default"/>
          <w:b/>
          <w:bCs/>
          <w:sz w:val="12"/>
          <w:szCs w:val="12"/>
        </w:rPr>
      </w:pPr>
    </w:p>
    <w:p>
      <w:pPr>
        <w:pStyle w:val="BodyText"/>
        <w:spacing w:line="261" w:lineRule="auto" w:before="38"/>
        <w:ind w:left="855" w:right="113" w:hanging="1"/>
        <w:jc w:val="left"/>
      </w:pPr>
      <w:r>
        <w:rPr>
          <w:spacing w:val="-2"/>
        </w:rPr>
        <w:t>于</w:t>
      </w:r>
      <w:r>
        <w:rPr>
          <w:rFonts w:ascii="Arial" w:hAnsi="Arial" w:cs="Arial" w:eastAsia="Arial" w:hint="default"/>
          <w:spacing w:val="-2"/>
        </w:rPr>
        <w:t>2009</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日，本账户余额中无已贴现取得短期借款的票据</w:t>
      </w:r>
      <w:r>
        <w:rPr>
          <w:rFonts w:ascii="Arial" w:hAnsi="Arial" w:cs="Arial" w:eastAsia="Arial" w:hint="default"/>
          <w:spacing w:val="-2"/>
        </w:rPr>
        <w:t>(2008</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日：无</w:t>
      </w:r>
      <w:r>
        <w:rPr>
          <w:rFonts w:ascii="Arial" w:hAnsi="Arial" w:cs="Arial" w:eastAsia="Arial" w:hint="default"/>
          <w:spacing w:val="-2"/>
        </w:rPr>
        <w:t>)</w:t>
      </w:r>
      <w:r>
        <w:rPr>
          <w:spacing w:val="-2"/>
        </w:rPr>
        <w:t>；</w:t>
      </w:r>
      <w:r>
        <w:rPr>
          <w:spacing w:val="-42"/>
        </w:rPr>
        <w:t> </w:t>
      </w:r>
      <w:r>
        <w:rPr/>
        <w:t>亦无已质押的应收票据</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r>
        <w:rPr>
          <w:rFonts w:ascii="Arial" w:hAnsi="Arial" w:cs="Arial" w:eastAsia="Arial" w:hint="default"/>
        </w:rPr>
        <w:t>)</w:t>
      </w:r>
      <w:r>
        <w:rPr/>
        <w:t>。</w:t>
      </w:r>
    </w:p>
    <w:p>
      <w:pPr>
        <w:spacing w:line="240" w:lineRule="auto" w:before="9"/>
        <w:rPr>
          <w:rFonts w:ascii="黑体" w:hAnsi="黑体" w:cs="黑体" w:eastAsia="黑体" w:hint="default"/>
          <w:sz w:val="21"/>
          <w:szCs w:val="21"/>
        </w:rPr>
      </w:pPr>
    </w:p>
    <w:p>
      <w:pPr>
        <w:pStyle w:val="BodyText"/>
        <w:tabs>
          <w:tab w:pos="880" w:val="left" w:leader="none"/>
        </w:tabs>
        <w:spacing w:line="504" w:lineRule="auto"/>
        <w:ind w:left="855" w:right="982" w:hanging="715"/>
        <w:jc w:val="left"/>
      </w:pPr>
      <w:r>
        <w:rPr>
          <w:rFonts w:ascii="Arial" w:hAnsi="Arial" w:cs="Arial" w:eastAsia="Arial" w:hint="default"/>
          <w:b/>
          <w:bCs/>
          <w:w w:val="95"/>
        </w:rPr>
        <w:t>4</w:t>
      </w:r>
      <w:r>
        <w:rPr>
          <w:rFonts w:ascii="黑体" w:hAnsi="黑体" w:cs="黑体" w:eastAsia="黑体" w:hint="default"/>
          <w:b/>
          <w:bCs/>
          <w:w w:val="95"/>
        </w:rPr>
        <w:t>．</w:t>
        <w:tab/>
        <w:tab/>
      </w:r>
      <w:r>
        <w:rPr>
          <w:rFonts w:ascii="黑体" w:hAnsi="黑体" w:cs="黑体" w:eastAsia="黑体" w:hint="default"/>
          <w:b/>
          <w:bCs/>
          <w:spacing w:val="1"/>
        </w:rPr>
        <w:t>应收账款</w:t>
      </w:r>
      <w:r>
        <w:rPr>
          <w:rFonts w:ascii="黑体" w:hAnsi="黑体" w:cs="黑体" w:eastAsia="黑体" w:hint="default"/>
          <w:b/>
          <w:bCs/>
          <w:spacing w:val="1"/>
          <w:w w:val="99"/>
        </w:rPr>
        <w:t> </w:t>
      </w:r>
      <w:r>
        <w:rPr>
          <w:spacing w:val="-1"/>
        </w:rPr>
        <w:t>应收账款信用期通常为</w:t>
      </w:r>
      <w:r>
        <w:rPr>
          <w:rFonts w:ascii="Arial" w:hAnsi="Arial" w:cs="Arial" w:eastAsia="Arial" w:hint="default"/>
          <w:spacing w:val="-1"/>
        </w:rPr>
        <w:t>1</w:t>
      </w:r>
      <w:r>
        <w:rPr>
          <w:spacing w:val="-1"/>
        </w:rPr>
        <w:t>个月，主要客户可以延长至</w:t>
      </w:r>
      <w:r>
        <w:rPr>
          <w:rFonts w:ascii="Arial" w:hAnsi="Arial" w:cs="Arial" w:eastAsia="Arial" w:hint="default"/>
          <w:spacing w:val="-1"/>
        </w:rPr>
        <w:t>3</w:t>
      </w:r>
      <w:r>
        <w:rPr>
          <w:spacing w:val="-1"/>
        </w:rPr>
        <w:t>个月。应收账款并不计息。</w:t>
      </w:r>
    </w:p>
    <w:p>
      <w:pPr>
        <w:spacing w:line="240" w:lineRule="auto" w:before="0"/>
        <w:rPr>
          <w:rFonts w:ascii="黑体" w:hAnsi="黑体" w:cs="黑体" w:eastAsia="黑体" w:hint="default"/>
          <w:sz w:val="3"/>
          <w:szCs w:val="3"/>
        </w:rPr>
      </w:pPr>
    </w:p>
    <w:tbl>
      <w:tblPr>
        <w:tblW w:w="0" w:type="auto"/>
        <w:jc w:val="left"/>
        <w:tblInd w:w="820" w:type="dxa"/>
        <w:tblLayout w:type="fixed"/>
        <w:tblCellMar>
          <w:top w:w="0" w:type="dxa"/>
          <w:left w:w="0" w:type="dxa"/>
          <w:bottom w:w="0" w:type="dxa"/>
          <w:right w:w="0" w:type="dxa"/>
        </w:tblCellMar>
        <w:tblLook w:val="01E0"/>
      </w:tblPr>
      <w:tblGrid>
        <w:gridCol w:w="3454"/>
        <w:gridCol w:w="1117"/>
        <w:gridCol w:w="2013"/>
        <w:gridCol w:w="1277"/>
      </w:tblGrid>
      <w:tr>
        <w:trPr>
          <w:trHeight w:val="920"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sz w:val="20"/>
                <w:szCs w:val="20"/>
              </w:rPr>
              <w:t>应收账款的账龄分析如下：</w:t>
            </w:r>
          </w:p>
        </w:tc>
        <w:tc>
          <w:tcPr>
            <w:tcW w:w="1117" w:type="dxa"/>
            <w:tcBorders>
              <w:top w:val="nil" w:sz="6" w:space="0" w:color="auto"/>
              <w:left w:val="nil" w:sz="6" w:space="0" w:color="auto"/>
              <w:bottom w:val="nil" w:sz="6" w:space="0" w:color="auto"/>
              <w:right w:val="nil" w:sz="6" w:space="0" w:color="auto"/>
            </w:tcBorders>
          </w:tcPr>
          <w:p>
            <w:pP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2"/>
              <w:ind w:right="0"/>
              <w:jc w:val="left"/>
              <w:rPr>
                <w:rFonts w:ascii="黑体" w:hAnsi="黑体" w:cs="黑体" w:eastAsia="黑体" w:hint="default"/>
                <w:sz w:val="27"/>
                <w:szCs w:val="27"/>
              </w:rPr>
            </w:pPr>
          </w:p>
          <w:p>
            <w:pPr>
              <w:pStyle w:val="TableParagraph"/>
              <w:spacing w:line="240" w:lineRule="auto"/>
              <w:ind w:left="432" w:right="0"/>
              <w:jc w:val="left"/>
              <w:rPr>
                <w:rFonts w:ascii="黑体" w:hAnsi="黑体" w:cs="黑体" w:eastAsia="黑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黑体" w:hAnsi="黑体" w:cs="黑体" w:eastAsia="黑体" w:hint="default"/>
                <w:sz w:val="20"/>
                <w:szCs w:val="20"/>
              </w:rPr>
              <w:t>年</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2"/>
              <w:ind w:right="0"/>
              <w:jc w:val="left"/>
              <w:rPr>
                <w:rFonts w:ascii="黑体" w:hAnsi="黑体" w:cs="黑体" w:eastAsia="黑体" w:hint="default"/>
                <w:sz w:val="27"/>
                <w:szCs w:val="27"/>
              </w:rPr>
            </w:pPr>
          </w:p>
          <w:p>
            <w:pPr>
              <w:pStyle w:val="TableParagraph"/>
              <w:spacing w:line="240" w:lineRule="auto"/>
              <w:ind w:right="34"/>
              <w:jc w:val="right"/>
              <w:rPr>
                <w:rFonts w:ascii="黑体" w:hAnsi="黑体" w:cs="黑体" w:eastAsia="黑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黑体" w:hAnsi="黑体" w:cs="黑体" w:eastAsia="黑体" w:hint="default"/>
                <w:sz w:val="20"/>
                <w:szCs w:val="20"/>
              </w:rPr>
              <w:t>年</w:t>
            </w:r>
          </w:p>
        </w:tc>
      </w:tr>
      <w:tr>
        <w:trPr>
          <w:trHeight w:val="382" w:hRule="exact"/>
        </w:trPr>
        <w:tc>
          <w:tcPr>
            <w:tcW w:w="3454"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
        </w:tc>
        <w:tc>
          <w:tcPr>
            <w:tcW w:w="2013" w:type="dxa"/>
            <w:tcBorders>
              <w:top w:val="nil" w:sz="6" w:space="0" w:color="auto"/>
              <w:left w:val="nil" w:sz="6" w:space="0" w:color="auto"/>
              <w:bottom w:val="nil" w:sz="6" w:space="0" w:color="auto"/>
              <w:right w:val="nil" w:sz="6" w:space="0" w:color="auto"/>
            </w:tcBorders>
          </w:tcPr>
          <w:p>
            <w:pPr>
              <w:pStyle w:val="TableParagraph"/>
              <w:spacing w:line="237" w:lineRule="exact"/>
              <w:ind w:left="133" w:right="0"/>
              <w:jc w:val="left"/>
              <w:rPr>
                <w:rFonts w:ascii="黑体" w:hAnsi="黑体" w:cs="黑体" w:eastAsia="黑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黑体" w:hAnsi="黑体" w:cs="黑体" w:eastAsia="黑体" w:hint="default"/>
                <w:sz w:val="20"/>
                <w:szCs w:val="20"/>
              </w:rPr>
              <w:t>日</w:t>
            </w:r>
          </w:p>
        </w:tc>
        <w:tc>
          <w:tcPr>
            <w:tcW w:w="1277" w:type="dxa"/>
            <w:tcBorders>
              <w:top w:val="nil" w:sz="6" w:space="0" w:color="auto"/>
              <w:left w:val="nil" w:sz="6" w:space="0" w:color="auto"/>
              <w:bottom w:val="nil" w:sz="6" w:space="0" w:color="auto"/>
              <w:right w:val="nil" w:sz="6" w:space="0" w:color="auto"/>
            </w:tcBorders>
          </w:tcPr>
          <w:p>
            <w:pPr>
              <w:pStyle w:val="TableParagraph"/>
              <w:spacing w:line="237" w:lineRule="exact"/>
              <w:ind w:right="34"/>
              <w:jc w:val="right"/>
              <w:rPr>
                <w:rFonts w:ascii="黑体" w:hAnsi="黑体" w:cs="黑体" w:eastAsia="黑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黑体" w:hAnsi="黑体" w:cs="黑体" w:eastAsia="黑体" w:hint="default"/>
                <w:sz w:val="20"/>
                <w:szCs w:val="20"/>
              </w:rPr>
              <w:t>日</w:t>
            </w:r>
          </w:p>
        </w:tc>
      </w:tr>
      <w:tr>
        <w:trPr>
          <w:trHeight w:val="383"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88"/>
              <w:ind w:left="51" w:right="0"/>
              <w:jc w:val="left"/>
              <w:rPr>
                <w:rFonts w:ascii="黑体" w:hAnsi="黑体" w:cs="黑体" w:eastAsia="黑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黑体" w:hAnsi="黑体" w:cs="黑体" w:eastAsia="黑体" w:hint="default"/>
                <w:sz w:val="20"/>
                <w:szCs w:val="20"/>
              </w:rPr>
              <w:t>年以内</w:t>
            </w:r>
          </w:p>
        </w:tc>
        <w:tc>
          <w:tcPr>
            <w:tcW w:w="1117" w:type="dxa"/>
            <w:tcBorders>
              <w:top w:val="nil" w:sz="6" w:space="0" w:color="auto"/>
              <w:left w:val="nil" w:sz="6" w:space="0" w:color="auto"/>
              <w:bottom w:val="nil" w:sz="6" w:space="0" w:color="auto"/>
              <w:right w:val="nil" w:sz="6" w:space="0" w:color="auto"/>
            </w:tcBorders>
          </w:tcPr>
          <w:p>
            <w:pP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5" w:right="0"/>
              <w:jc w:val="left"/>
              <w:rPr>
                <w:rFonts w:ascii="Arial" w:hAnsi="Arial" w:cs="Arial" w:eastAsia="Arial" w:hint="default"/>
                <w:sz w:val="20"/>
                <w:szCs w:val="20"/>
              </w:rPr>
            </w:pPr>
            <w:r>
              <w:rPr>
                <w:rFonts w:ascii="Arial"/>
                <w:sz w:val="20"/>
              </w:rPr>
              <w:t>240,410,538</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
              <w:jc w:val="right"/>
              <w:rPr>
                <w:rFonts w:ascii="Arial" w:hAnsi="Arial" w:cs="Arial" w:eastAsia="Arial" w:hint="default"/>
                <w:sz w:val="20"/>
                <w:szCs w:val="20"/>
              </w:rPr>
            </w:pPr>
            <w:r>
              <w:rPr>
                <w:rFonts w:ascii="Arial"/>
                <w:spacing w:val="-1"/>
                <w:sz w:val="20"/>
              </w:rPr>
              <w:t>139,903,539</w:t>
            </w:r>
          </w:p>
        </w:tc>
      </w:tr>
      <w:tr>
        <w:trPr>
          <w:trHeight w:val="255"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37" w:lineRule="exact"/>
              <w:ind w:left="51" w:right="0"/>
              <w:jc w:val="left"/>
              <w:rPr>
                <w:rFonts w:ascii="黑体" w:hAnsi="黑体" w:cs="黑体" w:eastAsia="黑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黑体" w:hAnsi="黑体" w:cs="黑体" w:eastAsia="黑体" w:hint="default"/>
                <w:sz w:val="20"/>
                <w:szCs w:val="20"/>
              </w:rPr>
              <w:t>年至</w:t>
            </w:r>
            <w:r>
              <w:rPr>
                <w:rFonts w:ascii="黑体" w:hAnsi="黑体" w:cs="黑体" w:eastAsia="黑体" w:hint="default"/>
                <w:spacing w:val="-51"/>
                <w:sz w:val="20"/>
                <w:szCs w:val="20"/>
              </w:rPr>
              <w:t> </w:t>
            </w:r>
            <w:r>
              <w:rPr>
                <w:rFonts w:ascii="Arial" w:hAnsi="Arial" w:cs="Arial" w:eastAsia="Arial" w:hint="default"/>
                <w:sz w:val="20"/>
                <w:szCs w:val="20"/>
              </w:rPr>
              <w:t>2</w:t>
            </w:r>
            <w:r>
              <w:rPr>
                <w:rFonts w:ascii="Arial" w:hAnsi="Arial" w:cs="Arial" w:eastAsia="Arial" w:hint="default"/>
                <w:spacing w:val="-8"/>
                <w:sz w:val="20"/>
                <w:szCs w:val="20"/>
              </w:rPr>
              <w:t> </w:t>
            </w:r>
            <w:r>
              <w:rPr>
                <w:rFonts w:ascii="黑体" w:hAnsi="黑体" w:cs="黑体" w:eastAsia="黑体" w:hint="default"/>
                <w:sz w:val="20"/>
                <w:szCs w:val="20"/>
              </w:rPr>
              <w:t>年</w:t>
            </w:r>
          </w:p>
        </w:tc>
        <w:tc>
          <w:tcPr>
            <w:tcW w:w="1117" w:type="dxa"/>
            <w:tcBorders>
              <w:top w:val="nil" w:sz="6" w:space="0" w:color="auto"/>
              <w:left w:val="nil" w:sz="6" w:space="0" w:color="auto"/>
              <w:bottom w:val="nil" w:sz="6" w:space="0" w:color="auto"/>
              <w:right w:val="nil" w:sz="6" w:space="0" w:color="auto"/>
            </w:tcBorders>
          </w:tcPr>
          <w:p>
            <w:pP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7"/>
              <w:ind w:left="125" w:right="0"/>
              <w:jc w:val="left"/>
              <w:rPr>
                <w:rFonts w:ascii="Arial" w:hAnsi="Arial" w:cs="Arial" w:eastAsia="Arial" w:hint="default"/>
                <w:sz w:val="20"/>
                <w:szCs w:val="20"/>
              </w:rPr>
            </w:pPr>
            <w:r>
              <w:rPr>
                <w:rFonts w:ascii="Arial"/>
                <w:sz w:val="20"/>
              </w:rPr>
              <w:t>13,670,902</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4"/>
              <w:jc w:val="right"/>
              <w:rPr>
                <w:rFonts w:ascii="Arial" w:hAnsi="Arial" w:cs="Arial" w:eastAsia="Arial" w:hint="default"/>
                <w:sz w:val="20"/>
                <w:szCs w:val="20"/>
              </w:rPr>
            </w:pPr>
            <w:r>
              <w:rPr>
                <w:rFonts w:ascii="Arial"/>
                <w:spacing w:val="-1"/>
                <w:sz w:val="20"/>
              </w:rPr>
              <w:t>12,544,053</w:t>
            </w:r>
          </w:p>
        </w:tc>
      </w:tr>
      <w:tr>
        <w:trPr>
          <w:trHeight w:val="255"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37" w:lineRule="exact"/>
              <w:ind w:left="51" w:right="0"/>
              <w:jc w:val="left"/>
              <w:rPr>
                <w:rFonts w:ascii="黑体" w:hAnsi="黑体" w:cs="黑体" w:eastAsia="黑体" w:hint="default"/>
                <w:sz w:val="20"/>
                <w:szCs w:val="20"/>
              </w:rPr>
            </w:pPr>
            <w:r>
              <w:rPr>
                <w:rFonts w:ascii="Arial" w:hAnsi="Arial" w:cs="Arial" w:eastAsia="Arial" w:hint="default"/>
                <w:sz w:val="20"/>
                <w:szCs w:val="20"/>
              </w:rPr>
              <w:t>2</w:t>
            </w:r>
            <w:r>
              <w:rPr>
                <w:rFonts w:ascii="Arial" w:hAnsi="Arial" w:cs="Arial" w:eastAsia="Arial" w:hint="default"/>
                <w:spacing w:val="-7"/>
                <w:sz w:val="20"/>
                <w:szCs w:val="20"/>
              </w:rPr>
              <w:t> </w:t>
            </w:r>
            <w:r>
              <w:rPr>
                <w:rFonts w:ascii="黑体" w:hAnsi="黑体" w:cs="黑体" w:eastAsia="黑体" w:hint="default"/>
                <w:sz w:val="20"/>
                <w:szCs w:val="20"/>
              </w:rPr>
              <w:t>年至</w:t>
            </w:r>
            <w:r>
              <w:rPr>
                <w:rFonts w:ascii="黑体" w:hAnsi="黑体" w:cs="黑体" w:eastAsia="黑体" w:hint="default"/>
                <w:spacing w:val="-51"/>
                <w:sz w:val="20"/>
                <w:szCs w:val="20"/>
              </w:rPr>
              <w:t> </w:t>
            </w:r>
            <w:r>
              <w:rPr>
                <w:rFonts w:ascii="Arial" w:hAnsi="Arial" w:cs="Arial" w:eastAsia="Arial" w:hint="default"/>
                <w:sz w:val="20"/>
                <w:szCs w:val="20"/>
              </w:rPr>
              <w:t>3</w:t>
            </w:r>
            <w:r>
              <w:rPr>
                <w:rFonts w:ascii="Arial" w:hAnsi="Arial" w:cs="Arial" w:eastAsia="Arial" w:hint="default"/>
                <w:spacing w:val="-8"/>
                <w:sz w:val="20"/>
                <w:szCs w:val="20"/>
              </w:rPr>
              <w:t> </w:t>
            </w:r>
            <w:r>
              <w:rPr>
                <w:rFonts w:ascii="黑体" w:hAnsi="黑体" w:cs="黑体" w:eastAsia="黑体" w:hint="default"/>
                <w:sz w:val="20"/>
                <w:szCs w:val="20"/>
              </w:rPr>
              <w:t>年</w:t>
            </w:r>
          </w:p>
        </w:tc>
        <w:tc>
          <w:tcPr>
            <w:tcW w:w="1117" w:type="dxa"/>
            <w:tcBorders>
              <w:top w:val="nil" w:sz="6" w:space="0" w:color="auto"/>
              <w:left w:val="nil" w:sz="6" w:space="0" w:color="auto"/>
              <w:bottom w:val="nil" w:sz="6" w:space="0" w:color="auto"/>
              <w:right w:val="nil" w:sz="6" w:space="0" w:color="auto"/>
            </w:tcBorders>
          </w:tcPr>
          <w:p>
            <w:pP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6"/>
              <w:ind w:left="237" w:right="0"/>
              <w:jc w:val="left"/>
              <w:rPr>
                <w:rFonts w:ascii="Arial" w:hAnsi="Arial" w:cs="Arial" w:eastAsia="Arial" w:hint="default"/>
                <w:sz w:val="20"/>
                <w:szCs w:val="20"/>
              </w:rPr>
            </w:pPr>
            <w:r>
              <w:rPr>
                <w:rFonts w:ascii="Arial"/>
                <w:sz w:val="20"/>
              </w:rPr>
              <w:t>6,177,647</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4"/>
              <w:jc w:val="right"/>
              <w:rPr>
                <w:rFonts w:ascii="Arial" w:hAnsi="Arial" w:cs="Arial" w:eastAsia="Arial" w:hint="default"/>
                <w:sz w:val="20"/>
                <w:szCs w:val="20"/>
              </w:rPr>
            </w:pPr>
            <w:r>
              <w:rPr>
                <w:rFonts w:ascii="Arial"/>
                <w:spacing w:val="-1"/>
                <w:sz w:val="20"/>
              </w:rPr>
              <w:t>5,042,322</w:t>
            </w:r>
          </w:p>
        </w:tc>
      </w:tr>
      <w:tr>
        <w:trPr>
          <w:trHeight w:val="260"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37" w:lineRule="exact"/>
              <w:ind w:left="51" w:right="0"/>
              <w:jc w:val="left"/>
              <w:rPr>
                <w:rFonts w:ascii="黑体" w:hAnsi="黑体" w:cs="黑体" w:eastAsia="黑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黑体" w:hAnsi="黑体" w:cs="黑体" w:eastAsia="黑体" w:hint="default"/>
                <w:sz w:val="20"/>
                <w:szCs w:val="20"/>
              </w:rPr>
              <w:t>年以上</w:t>
            </w:r>
          </w:p>
        </w:tc>
        <w:tc>
          <w:tcPr>
            <w:tcW w:w="1117" w:type="dxa"/>
            <w:tcBorders>
              <w:top w:val="nil" w:sz="6" w:space="0" w:color="auto"/>
              <w:left w:val="nil" w:sz="6" w:space="0" w:color="auto"/>
              <w:bottom w:val="nil" w:sz="6" w:space="0" w:color="auto"/>
              <w:right w:val="nil" w:sz="6" w:space="0" w:color="auto"/>
            </w:tcBorders>
          </w:tcPr>
          <w:p>
            <w:pP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7"/>
              <w:ind w:left="26"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1"/>
                <w:sz w:val="20"/>
                <w:u w:val="single" w:color="000000"/>
              </w:rPr>
              <w:t> </w:t>
            </w:r>
            <w:r>
              <w:rPr>
                <w:rFonts w:ascii="Arial"/>
                <w:sz w:val="20"/>
                <w:u w:val="single" w:color="000000"/>
              </w:rPr>
              <w:t>13,551,317</w:t>
            </w:r>
            <w:r>
              <w:rPr>
                <w:rFonts w:ascii="Arial"/>
                <w:sz w:val="20"/>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8"/>
                <w:sz w:val="20"/>
                <w:u w:val="single" w:color="000000"/>
              </w:rPr>
              <w:t> </w:t>
            </w:r>
            <w:r>
              <w:rPr>
                <w:rFonts w:ascii="Arial"/>
                <w:spacing w:val="-1"/>
                <w:sz w:val="20"/>
                <w:u w:val="single" w:color="000000"/>
              </w:rPr>
              <w:t>10,522,923</w:t>
            </w:r>
            <w:r>
              <w:rPr>
                <w:rFonts w:ascii="Arial"/>
                <w:spacing w:val="-1"/>
                <w:sz w:val="20"/>
              </w:rPr>
            </w:r>
          </w:p>
        </w:tc>
      </w:tr>
      <w:tr>
        <w:trPr>
          <w:trHeight w:val="377" w:hRule="exact"/>
        </w:trPr>
        <w:tc>
          <w:tcPr>
            <w:tcW w:w="3454"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1"/>
              <w:ind w:left="16" w:right="0"/>
              <w:jc w:val="left"/>
              <w:rPr>
                <w:rFonts w:ascii="Arial" w:hAnsi="Arial" w:cs="Arial" w:eastAsia="Arial" w:hint="default"/>
                <w:sz w:val="20"/>
                <w:szCs w:val="20"/>
              </w:rPr>
            </w:pPr>
            <w:r>
              <w:rPr>
                <w:rFonts w:ascii="Arial"/>
                <w:sz w:val="20"/>
              </w:rPr>
              <w:t>273,810,404</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3"/>
              <w:jc w:val="right"/>
              <w:rPr>
                <w:rFonts w:ascii="Arial" w:hAnsi="Arial" w:cs="Arial" w:eastAsia="Arial" w:hint="default"/>
                <w:sz w:val="20"/>
                <w:szCs w:val="20"/>
              </w:rPr>
            </w:pPr>
            <w:r>
              <w:rPr>
                <w:rFonts w:ascii="Arial"/>
                <w:spacing w:val="-1"/>
                <w:sz w:val="20"/>
              </w:rPr>
              <w:t>168,012,837</w:t>
            </w:r>
          </w:p>
        </w:tc>
      </w:tr>
      <w:tr>
        <w:trPr>
          <w:trHeight w:val="516"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88"/>
              <w:ind w:left="50" w:right="0"/>
              <w:jc w:val="left"/>
              <w:rPr>
                <w:rFonts w:ascii="黑体" w:hAnsi="黑体" w:cs="黑体" w:eastAsia="黑体" w:hint="default"/>
                <w:sz w:val="20"/>
                <w:szCs w:val="20"/>
              </w:rPr>
            </w:pPr>
            <w:r>
              <w:rPr>
                <w:rFonts w:ascii="黑体" w:hAnsi="黑体" w:cs="黑体" w:eastAsia="黑体" w:hint="default"/>
                <w:sz w:val="20"/>
                <w:szCs w:val="20"/>
              </w:rPr>
              <w:t>减：应收账款坏账准备</w:t>
            </w:r>
          </w:p>
        </w:tc>
        <w:tc>
          <w:tcPr>
            <w:tcW w:w="1117" w:type="dxa"/>
            <w:tcBorders>
              <w:top w:val="nil" w:sz="6" w:space="0" w:color="auto"/>
              <w:left w:val="nil" w:sz="6" w:space="0" w:color="auto"/>
              <w:bottom w:val="nil" w:sz="6" w:space="0" w:color="auto"/>
              <w:right w:val="nil" w:sz="6" w:space="0" w:color="auto"/>
            </w:tcBorders>
          </w:tcPr>
          <w:p>
            <w:pP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26"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19,717,378</w:t>
            </w:r>
            <w:r>
              <w:rPr>
                <w:rFonts w:ascii="Arial"/>
                <w:sz w:val="20"/>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31"/>
                <w:sz w:val="20"/>
                <w:u w:val="single" w:color="000000"/>
              </w:rPr>
              <w:t> </w:t>
            </w:r>
            <w:r>
              <w:rPr>
                <w:rFonts w:ascii="Arial"/>
                <w:sz w:val="20"/>
                <w:u w:val="single" w:color="000000"/>
              </w:rPr>
              <w:t>15,722,937</w:t>
            </w:r>
            <w:r>
              <w:rPr>
                <w:rFonts w:ascii="Arial"/>
                <w:sz w:val="20"/>
              </w:rPr>
            </w:r>
          </w:p>
        </w:tc>
      </w:tr>
      <w:tr>
        <w:trPr>
          <w:trHeight w:val="533" w:hRule="exact"/>
        </w:trPr>
        <w:tc>
          <w:tcPr>
            <w:tcW w:w="3454"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15" w:right="0"/>
              <w:jc w:val="left"/>
              <w:rPr>
                <w:rFonts w:ascii="Arial" w:hAnsi="Arial" w:cs="Arial" w:eastAsia="Arial" w:hint="default"/>
                <w:sz w:val="20"/>
                <w:szCs w:val="20"/>
              </w:rPr>
            </w:pPr>
            <w:r>
              <w:rPr>
                <w:rFonts w:ascii="Arial"/>
                <w:w w:val="100"/>
                <w:sz w:val="20"/>
              </w:rPr>
            </w:r>
            <w:r>
              <w:rPr>
                <w:rFonts w:ascii="Arial"/>
                <w:sz w:val="20"/>
                <w:u w:val="thick" w:color="000000"/>
              </w:rPr>
              <w:t>254,093,026</w:t>
            </w:r>
            <w:r>
              <w:rPr>
                <w:rFonts w:ascii="Arial"/>
                <w:sz w:val="20"/>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152,289,900</w:t>
            </w:r>
            <w:r>
              <w:rPr>
                <w:rFonts w:ascii="Arial"/>
                <w:spacing w:val="-1"/>
                <w:sz w:val="20"/>
              </w:rPr>
            </w:r>
          </w:p>
        </w:tc>
      </w:tr>
      <w:tr>
        <w:trPr>
          <w:trHeight w:val="573"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35" w:right="0"/>
              <w:jc w:val="left"/>
              <w:rPr>
                <w:rFonts w:ascii="黑体" w:hAnsi="黑体" w:cs="黑体" w:eastAsia="黑体" w:hint="default"/>
                <w:sz w:val="20"/>
                <w:szCs w:val="20"/>
              </w:rPr>
            </w:pPr>
            <w:r>
              <w:rPr>
                <w:rFonts w:ascii="黑体" w:hAnsi="黑体" w:cs="黑体" w:eastAsia="黑体" w:hint="default"/>
                <w:sz w:val="20"/>
                <w:szCs w:val="20"/>
              </w:rPr>
              <w:t>应收账款坏账准备的变动如下：</w:t>
            </w:r>
          </w:p>
        </w:tc>
        <w:tc>
          <w:tcPr>
            <w:tcW w:w="1117" w:type="dxa"/>
            <w:tcBorders>
              <w:top w:val="nil" w:sz="6" w:space="0" w:color="auto"/>
              <w:left w:val="nil" w:sz="6" w:space="0" w:color="auto"/>
              <w:bottom w:val="nil" w:sz="6" w:space="0" w:color="auto"/>
              <w:right w:val="nil" w:sz="6" w:space="0" w:color="auto"/>
            </w:tcBorders>
          </w:tcPr>
          <w:p>
            <w:pPr/>
          </w:p>
        </w:tc>
        <w:tc>
          <w:tcPr>
            <w:tcW w:w="2013"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r>
      <w:tr>
        <w:trPr>
          <w:trHeight w:val="418"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190"/>
              <w:jc w:val="right"/>
              <w:rPr>
                <w:rFonts w:ascii="黑体" w:hAnsi="黑体" w:cs="黑体" w:eastAsia="黑体" w:hint="default"/>
                <w:sz w:val="20"/>
                <w:szCs w:val="20"/>
              </w:rPr>
            </w:pPr>
            <w:r>
              <w:rPr>
                <w:rFonts w:ascii="黑体" w:hAnsi="黑体" w:cs="黑体" w:eastAsia="黑体" w:hint="default"/>
                <w:sz w:val="20"/>
                <w:szCs w:val="20"/>
              </w:rPr>
              <w:t>年初余额</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13"/>
              <w:jc w:val="right"/>
              <w:rPr>
                <w:rFonts w:ascii="黑体" w:hAnsi="黑体" w:cs="黑体" w:eastAsia="黑体" w:hint="default"/>
                <w:sz w:val="20"/>
                <w:szCs w:val="20"/>
              </w:rPr>
            </w:pPr>
            <w:r>
              <w:rPr>
                <w:rFonts w:ascii="黑体" w:hAnsi="黑体" w:cs="黑体" w:eastAsia="黑体" w:hint="default"/>
                <w:sz w:val="20"/>
                <w:szCs w:val="20"/>
              </w:rPr>
              <w:t>本年计提</w:t>
            </w:r>
          </w:p>
        </w:tc>
        <w:tc>
          <w:tcPr>
            <w:tcW w:w="2013" w:type="dxa"/>
            <w:tcBorders>
              <w:top w:val="nil" w:sz="6" w:space="0" w:color="auto"/>
              <w:left w:val="nil" w:sz="6" w:space="0" w:color="auto"/>
              <w:bottom w:val="single" w:sz="4" w:space="0" w:color="000000"/>
              <w:right w:val="nil" w:sz="6" w:space="0" w:color="auto"/>
            </w:tcBorders>
          </w:tcPr>
          <w:p>
            <w:pPr>
              <w:pStyle w:val="TableParagraph"/>
              <w:spacing w:line="240" w:lineRule="auto" w:before="132"/>
              <w:ind w:left="743" w:right="0"/>
              <w:jc w:val="left"/>
              <w:rPr>
                <w:rFonts w:ascii="黑体" w:hAnsi="黑体" w:cs="黑体" w:eastAsia="黑体" w:hint="default"/>
                <w:sz w:val="20"/>
                <w:szCs w:val="20"/>
              </w:rPr>
            </w:pPr>
            <w:r>
              <w:rPr>
                <w:rFonts w:ascii="黑体" w:hAnsi="黑体" w:cs="黑体" w:eastAsia="黑体" w:hint="default"/>
                <w:sz w:val="20"/>
                <w:szCs w:val="20"/>
              </w:rPr>
              <w:t>本年减少</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53"/>
              <w:jc w:val="right"/>
              <w:rPr>
                <w:rFonts w:ascii="黑体" w:hAnsi="黑体" w:cs="黑体" w:eastAsia="黑体" w:hint="default"/>
                <w:sz w:val="20"/>
                <w:szCs w:val="20"/>
              </w:rPr>
            </w:pPr>
            <w:r>
              <w:rPr>
                <w:rFonts w:ascii="黑体" w:hAnsi="黑体" w:cs="黑体" w:eastAsia="黑体" w:hint="default"/>
                <w:sz w:val="20"/>
                <w:szCs w:val="20"/>
              </w:rPr>
              <w:t>年末余额</w:t>
            </w:r>
          </w:p>
        </w:tc>
      </w:tr>
      <w:tr>
        <w:trPr>
          <w:trHeight w:val="396" w:hRule="exact"/>
        </w:trPr>
        <w:tc>
          <w:tcPr>
            <w:tcW w:w="3454"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
        </w:tc>
        <w:tc>
          <w:tcPr>
            <w:tcW w:w="2013" w:type="dxa"/>
            <w:tcBorders>
              <w:top w:val="single" w:sz="4" w:space="0" w:color="000000"/>
              <w:left w:val="nil" w:sz="6" w:space="0" w:color="auto"/>
              <w:bottom w:val="nil" w:sz="6" w:space="0" w:color="auto"/>
              <w:right w:val="nil" w:sz="6" w:space="0" w:color="auto"/>
            </w:tcBorders>
          </w:tcPr>
          <w:p>
            <w:pPr>
              <w:pStyle w:val="TableParagraph"/>
              <w:tabs>
                <w:tab w:pos="933" w:val="left" w:leader="none"/>
              </w:tabs>
              <w:spacing w:line="236" w:lineRule="exact"/>
              <w:ind w:right="18"/>
              <w:jc w:val="right"/>
              <w:rPr>
                <w:rFonts w:ascii="黑体" w:hAnsi="黑体" w:cs="黑体" w:eastAsia="黑体" w:hint="default"/>
                <w:sz w:val="20"/>
                <w:szCs w:val="20"/>
              </w:rPr>
            </w:pPr>
            <w:r>
              <w:rPr>
                <w:rFonts w:ascii="黑体" w:hAnsi="黑体" w:cs="黑体" w:eastAsia="黑体" w:hint="default"/>
                <w:sz w:val="20"/>
                <w:szCs w:val="20"/>
              </w:rPr>
              <w:t>转回</w:t>
              <w:tab/>
              <w:t>转销</w:t>
            </w:r>
          </w:p>
        </w:tc>
        <w:tc>
          <w:tcPr>
            <w:tcW w:w="1277" w:type="dxa"/>
            <w:tcBorders>
              <w:top w:val="nil" w:sz="6" w:space="0" w:color="auto"/>
              <w:left w:val="nil" w:sz="6" w:space="0" w:color="auto"/>
              <w:bottom w:val="nil" w:sz="6" w:space="0" w:color="auto"/>
              <w:right w:val="nil" w:sz="6" w:space="0" w:color="auto"/>
            </w:tcBorders>
          </w:tcPr>
          <w:p>
            <w:pPr/>
          </w:p>
        </w:tc>
      </w:tr>
      <w:tr>
        <w:trPr>
          <w:trHeight w:val="516" w:hRule="exact"/>
        </w:trPr>
        <w:tc>
          <w:tcPr>
            <w:tcW w:w="3454" w:type="dxa"/>
            <w:tcBorders>
              <w:top w:val="nil" w:sz="6" w:space="0" w:color="auto"/>
              <w:left w:val="nil" w:sz="6" w:space="0" w:color="auto"/>
              <w:bottom w:val="nil" w:sz="6" w:space="0" w:color="auto"/>
              <w:right w:val="nil" w:sz="6" w:space="0" w:color="auto"/>
            </w:tcBorders>
          </w:tcPr>
          <w:p>
            <w:pPr>
              <w:pStyle w:val="TableParagraph"/>
              <w:tabs>
                <w:tab w:pos="2259" w:val="left" w:leader="none"/>
              </w:tabs>
              <w:spacing w:line="240" w:lineRule="auto" w:before="94"/>
              <w:ind w:left="50" w:right="0"/>
              <w:jc w:val="left"/>
              <w:rPr>
                <w:rFonts w:ascii="Arial" w:hAnsi="Arial" w:cs="Arial" w:eastAsia="Arial"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黑体" w:hAnsi="黑体" w:cs="黑体" w:eastAsia="黑体" w:hint="default"/>
                <w:sz w:val="20"/>
                <w:szCs w:val="20"/>
              </w:rPr>
              <w:t>年</w:t>
              <w:tab/>
            </w:r>
            <w:r>
              <w:rPr>
                <w:rFonts w:ascii="Arial" w:hAnsi="Arial" w:cs="Arial" w:eastAsia="Arial" w:hint="default"/>
                <w:sz w:val="20"/>
                <w:szCs w:val="20"/>
              </w:rPr>
            </w:r>
            <w:r>
              <w:rPr>
                <w:rFonts w:ascii="Arial" w:hAnsi="Arial" w:cs="Arial" w:eastAsia="Arial" w:hint="default"/>
                <w:sz w:val="20"/>
                <w:szCs w:val="20"/>
                <w:u w:val="thick" w:color="000000"/>
              </w:rPr>
              <w:t>15,722,937</w:t>
            </w:r>
            <w:r>
              <w:rPr>
                <w:rFonts w:ascii="Arial" w:hAnsi="Arial" w:cs="Arial" w:eastAsia="Arial" w:hint="default"/>
                <w:sz w:val="20"/>
                <w:szCs w:val="20"/>
              </w:rPr>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32"/>
              <w:jc w:val="right"/>
              <w:rPr>
                <w:rFonts w:ascii="Arial" w:hAnsi="Arial" w:cs="Arial" w:eastAsia="Arial" w:hint="default"/>
                <w:sz w:val="20"/>
                <w:szCs w:val="20"/>
              </w:rPr>
            </w:pPr>
            <w:r>
              <w:rPr>
                <w:rFonts w:ascii="Arial"/>
                <w:w w:val="100"/>
                <w:sz w:val="20"/>
              </w:rPr>
            </w:r>
            <w:r>
              <w:rPr>
                <w:rFonts w:ascii="Arial"/>
                <w:spacing w:val="-1"/>
                <w:sz w:val="20"/>
                <w:u w:val="thick" w:color="000000"/>
              </w:rPr>
              <w:t>4,667,415</w:t>
            </w:r>
            <w:r>
              <w:rPr>
                <w:rFonts w:ascii="Arial"/>
                <w:spacing w:val="-1"/>
                <w:sz w:val="20"/>
              </w:rPr>
            </w:r>
          </w:p>
        </w:tc>
        <w:tc>
          <w:tcPr>
            <w:tcW w:w="2013" w:type="dxa"/>
            <w:tcBorders>
              <w:top w:val="nil" w:sz="6" w:space="0" w:color="auto"/>
              <w:left w:val="nil" w:sz="6" w:space="0" w:color="auto"/>
              <w:bottom w:val="nil" w:sz="6" w:space="0" w:color="auto"/>
              <w:right w:val="nil" w:sz="6" w:space="0" w:color="auto"/>
            </w:tcBorders>
          </w:tcPr>
          <w:p>
            <w:pPr>
              <w:pStyle w:val="TableParagraph"/>
              <w:tabs>
                <w:tab w:pos="931" w:val="left" w:leader="none"/>
                <w:tab w:pos="1589" w:val="left" w:leader="none"/>
              </w:tabs>
              <w:spacing w:line="240" w:lineRule="auto" w:before="140"/>
              <w:ind w:right="18"/>
              <w:jc w:val="right"/>
              <w:rPr>
                <w:rFonts w:ascii="Arial" w:hAnsi="Arial" w:cs="Arial" w:eastAsia="Arial" w:hint="default"/>
                <w:sz w:val="20"/>
                <w:szCs w:val="20"/>
              </w:rPr>
            </w:pPr>
            <w:r>
              <w:rPr>
                <w:rFonts w:ascii="Arial"/>
                <w:w w:val="100"/>
                <w:sz w:val="20"/>
              </w:rPr>
            </w:r>
            <w:r>
              <w:rPr>
                <w:rFonts w:ascii="Arial"/>
                <w:spacing w:val="-1"/>
                <w:sz w:val="20"/>
                <w:u w:val="thick" w:color="000000"/>
              </w:rPr>
              <w:t>672,974</w:t>
            </w:r>
            <w:r>
              <w:rPr>
                <w:rFonts w:ascii="Arial"/>
                <w:spacing w:val="-1"/>
                <w:sz w:val="20"/>
              </w:rPr>
              <w:tab/>
            </w:r>
            <w:r>
              <w:rPr>
                <w:rFonts w:ascii="Arial"/>
                <w:spacing w:val="-1"/>
                <w:sz w:val="20"/>
                <w:u w:val="thick" w:color="000000"/>
              </w:rPr>
              <w:t> </w:t>
              <w:tab/>
            </w:r>
            <w:r>
              <w:rPr>
                <w:rFonts w:ascii="Arial"/>
                <w:sz w:val="20"/>
                <w:u w:val="thick" w:color="000000"/>
              </w:rPr>
              <w:t>-</w:t>
            </w:r>
            <w:r>
              <w:rPr>
                <w:rFonts w:ascii="Arial"/>
                <w:sz w:val="20"/>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54"/>
              <w:jc w:val="right"/>
              <w:rPr>
                <w:rFonts w:ascii="Arial" w:hAnsi="Arial" w:cs="Arial" w:eastAsia="Arial" w:hint="default"/>
                <w:sz w:val="20"/>
                <w:szCs w:val="20"/>
              </w:rPr>
            </w:pPr>
            <w:r>
              <w:rPr>
                <w:rFonts w:ascii="Arial"/>
                <w:w w:val="100"/>
                <w:sz w:val="20"/>
              </w:rPr>
            </w:r>
            <w:r>
              <w:rPr>
                <w:rFonts w:ascii="Arial"/>
                <w:spacing w:val="-1"/>
                <w:sz w:val="20"/>
                <w:u w:val="thick" w:color="000000"/>
              </w:rPr>
              <w:t>19,717,378</w:t>
            </w:r>
            <w:r>
              <w:rPr>
                <w:rFonts w:ascii="Arial"/>
                <w:spacing w:val="-1"/>
                <w:sz w:val="20"/>
              </w:rPr>
            </w:r>
          </w:p>
        </w:tc>
      </w:tr>
      <w:tr>
        <w:trPr>
          <w:trHeight w:val="460" w:hRule="exact"/>
        </w:trPr>
        <w:tc>
          <w:tcPr>
            <w:tcW w:w="3454" w:type="dxa"/>
            <w:tcBorders>
              <w:top w:val="nil" w:sz="6" w:space="0" w:color="auto"/>
              <w:left w:val="nil" w:sz="6" w:space="0" w:color="auto"/>
              <w:bottom w:val="nil" w:sz="6" w:space="0" w:color="auto"/>
              <w:right w:val="nil" w:sz="6" w:space="0" w:color="auto"/>
            </w:tcBorders>
          </w:tcPr>
          <w:p>
            <w:pPr>
              <w:pStyle w:val="TableParagraph"/>
              <w:tabs>
                <w:tab w:pos="2259" w:val="left" w:leader="none"/>
              </w:tabs>
              <w:spacing w:line="240" w:lineRule="auto" w:before="88"/>
              <w:ind w:left="50" w:right="0"/>
              <w:jc w:val="left"/>
              <w:rPr>
                <w:rFonts w:ascii="Arial" w:hAnsi="Arial" w:cs="Arial" w:eastAsia="Arial"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黑体" w:hAnsi="黑体" w:cs="黑体" w:eastAsia="黑体" w:hint="default"/>
                <w:sz w:val="20"/>
                <w:szCs w:val="20"/>
              </w:rPr>
              <w:t>年</w:t>
              <w:tab/>
            </w:r>
            <w:r>
              <w:rPr>
                <w:rFonts w:ascii="Arial" w:hAnsi="Arial" w:cs="Arial" w:eastAsia="Arial" w:hint="default"/>
                <w:sz w:val="20"/>
                <w:szCs w:val="20"/>
              </w:rPr>
            </w:r>
            <w:r>
              <w:rPr>
                <w:rFonts w:ascii="Arial" w:hAnsi="Arial" w:cs="Arial" w:eastAsia="Arial" w:hint="default"/>
                <w:sz w:val="20"/>
                <w:szCs w:val="20"/>
                <w:u w:val="thick" w:color="000000"/>
              </w:rPr>
              <w:t>12,528,831</w:t>
            </w:r>
            <w:r>
              <w:rPr>
                <w:rFonts w:ascii="Arial" w:hAnsi="Arial" w:cs="Arial" w:eastAsia="Arial" w:hint="default"/>
                <w:sz w:val="20"/>
                <w:szCs w:val="20"/>
              </w:rPr>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2"/>
              <w:jc w:val="right"/>
              <w:rPr>
                <w:rFonts w:ascii="Arial" w:hAnsi="Arial" w:cs="Arial" w:eastAsia="Arial" w:hint="default"/>
                <w:sz w:val="20"/>
                <w:szCs w:val="20"/>
              </w:rPr>
            </w:pPr>
            <w:r>
              <w:rPr>
                <w:rFonts w:ascii="Arial"/>
                <w:w w:val="100"/>
                <w:sz w:val="20"/>
              </w:rPr>
            </w:r>
            <w:r>
              <w:rPr>
                <w:rFonts w:ascii="Arial"/>
                <w:spacing w:val="-1"/>
                <w:sz w:val="20"/>
                <w:u w:val="thick" w:color="000000"/>
              </w:rPr>
              <w:t>3,961,150</w:t>
            </w:r>
            <w:r>
              <w:rPr>
                <w:rFonts w:ascii="Arial"/>
                <w:spacing w:val="-1"/>
                <w:sz w:val="20"/>
              </w:rPr>
            </w:r>
          </w:p>
        </w:tc>
        <w:tc>
          <w:tcPr>
            <w:tcW w:w="2013" w:type="dxa"/>
            <w:tcBorders>
              <w:top w:val="nil" w:sz="6" w:space="0" w:color="auto"/>
              <w:left w:val="nil" w:sz="6" w:space="0" w:color="auto"/>
              <w:bottom w:val="nil" w:sz="6" w:space="0" w:color="auto"/>
              <w:right w:val="nil" w:sz="6" w:space="0" w:color="auto"/>
            </w:tcBorders>
          </w:tcPr>
          <w:p>
            <w:pPr>
              <w:pStyle w:val="TableParagraph"/>
              <w:tabs>
                <w:tab w:pos="629" w:val="left" w:leader="none"/>
                <w:tab w:pos="907" w:val="left" w:leader="none"/>
              </w:tabs>
              <w:spacing w:line="240" w:lineRule="auto" w:before="134"/>
              <w:ind w:right="18"/>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tab/>
            </w:r>
            <w:r>
              <w:rPr>
                <w:rFonts w:ascii="Arial"/>
                <w:spacing w:val="-1"/>
                <w:sz w:val="20"/>
                <w:u w:val="thick" w:color="000000"/>
              </w:rPr>
              <w:t>767,044</w:t>
            </w:r>
            <w:r>
              <w:rPr>
                <w:rFonts w:ascii="Arial"/>
                <w:spacing w:val="-1"/>
                <w:sz w:val="20"/>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4"/>
              <w:jc w:val="right"/>
              <w:rPr>
                <w:rFonts w:ascii="Arial" w:hAnsi="Arial" w:cs="Arial" w:eastAsia="Arial" w:hint="default"/>
                <w:sz w:val="20"/>
                <w:szCs w:val="20"/>
              </w:rPr>
            </w:pPr>
            <w:r>
              <w:rPr>
                <w:rFonts w:ascii="Arial"/>
                <w:w w:val="100"/>
                <w:sz w:val="20"/>
              </w:rPr>
            </w:r>
            <w:r>
              <w:rPr>
                <w:rFonts w:ascii="Arial"/>
                <w:spacing w:val="-1"/>
                <w:sz w:val="20"/>
                <w:u w:val="thick" w:color="000000"/>
              </w:rPr>
              <w:t>15,722,937</w:t>
            </w:r>
            <w:r>
              <w:rPr>
                <w:rFonts w:ascii="Arial"/>
                <w:spacing w:val="-1"/>
                <w:sz w:val="20"/>
              </w:rPr>
            </w:r>
          </w:p>
        </w:tc>
      </w:tr>
    </w:tbl>
    <w:p>
      <w:pPr>
        <w:spacing w:after="0" w:line="240" w:lineRule="auto"/>
        <w:jc w:val="right"/>
        <w:rPr>
          <w:rFonts w:ascii="Arial" w:hAnsi="Arial" w:cs="Arial" w:eastAsia="Arial" w:hint="default"/>
          <w:sz w:val="20"/>
          <w:szCs w:val="20"/>
        </w:rPr>
        <w:sectPr>
          <w:headerReference w:type="default" r:id="rId76"/>
          <w:footerReference w:type="default" r:id="rId77"/>
          <w:pgSz w:w="11910" w:h="16840"/>
          <w:pgMar w:header="958" w:footer="385" w:top="2560" w:bottom="580" w:left="1560" w:right="1480"/>
          <w:pgNumType w:start="124"/>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5"/>
          <w:szCs w:val="15"/>
        </w:rPr>
      </w:pPr>
    </w:p>
    <w:p>
      <w:pPr>
        <w:spacing w:before="0"/>
        <w:ind w:left="101" w:right="112"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22"/>
          <w:szCs w:val="22"/>
        </w:rPr>
      </w:pPr>
    </w:p>
    <w:p>
      <w:pPr>
        <w:tabs>
          <w:tab w:pos="840" w:val="left" w:leader="none"/>
        </w:tabs>
        <w:spacing w:before="0"/>
        <w:ind w:left="101" w:right="112" w:firstLine="0"/>
        <w:jc w:val="left"/>
        <w:rPr>
          <w:rFonts w:ascii="黑体" w:hAnsi="黑体" w:cs="黑体" w:eastAsia="黑体" w:hint="default"/>
          <w:sz w:val="20"/>
          <w:szCs w:val="20"/>
        </w:rPr>
      </w:pPr>
      <w:r>
        <w:rPr>
          <w:rFonts w:ascii="Arial" w:hAnsi="Arial" w:cs="Arial" w:eastAsia="Arial" w:hint="default"/>
          <w:b/>
          <w:bCs/>
          <w:w w:val="95"/>
          <w:sz w:val="20"/>
          <w:szCs w:val="20"/>
        </w:rPr>
        <w:t>4</w:t>
      </w:r>
      <w:r>
        <w:rPr>
          <w:rFonts w:ascii="黑体" w:hAnsi="黑体" w:cs="黑体" w:eastAsia="黑体" w:hint="default"/>
          <w:b/>
          <w:bCs/>
          <w:w w:val="95"/>
          <w:sz w:val="20"/>
          <w:szCs w:val="20"/>
        </w:rPr>
        <w:t>．</w:t>
        <w:tab/>
      </w:r>
      <w:r>
        <w:rPr>
          <w:rFonts w:ascii="黑体" w:hAnsi="黑体" w:cs="黑体" w:eastAsia="黑体" w:hint="default"/>
          <w:b/>
          <w:bCs/>
          <w:sz w:val="20"/>
          <w:szCs w:val="20"/>
        </w:rPr>
        <w:t>应收账款（续）</w:t>
      </w:r>
      <w:r>
        <w:rPr>
          <w:rFonts w:ascii="黑体" w:hAnsi="黑体" w:cs="黑体" w:eastAsia="黑体" w:hint="default"/>
          <w:sz w:val="20"/>
          <w:szCs w:val="20"/>
        </w:rPr>
      </w:r>
    </w:p>
    <w:p>
      <w:pPr>
        <w:spacing w:line="240" w:lineRule="auto" w:before="10"/>
        <w:rPr>
          <w:rFonts w:ascii="黑体" w:hAnsi="黑体" w:cs="黑体" w:eastAsia="黑体" w:hint="default"/>
          <w:b/>
          <w:bCs/>
          <w:sz w:val="14"/>
          <w:szCs w:val="14"/>
        </w:rPr>
      </w:pPr>
    </w:p>
    <w:tbl>
      <w:tblPr>
        <w:tblW w:w="0" w:type="auto"/>
        <w:jc w:val="left"/>
        <w:tblInd w:w="795" w:type="dxa"/>
        <w:tblLayout w:type="fixed"/>
        <w:tblCellMar>
          <w:top w:w="0" w:type="dxa"/>
          <w:left w:w="0" w:type="dxa"/>
          <w:bottom w:w="0" w:type="dxa"/>
          <w:right w:w="0" w:type="dxa"/>
        </w:tblCellMar>
        <w:tblLook w:val="01E0"/>
      </w:tblPr>
      <w:tblGrid>
        <w:gridCol w:w="1142"/>
        <w:gridCol w:w="1051"/>
        <w:gridCol w:w="460"/>
        <w:gridCol w:w="959"/>
        <w:gridCol w:w="691"/>
        <w:gridCol w:w="230"/>
        <w:gridCol w:w="1103"/>
        <w:gridCol w:w="514"/>
        <w:gridCol w:w="977"/>
        <w:gridCol w:w="737"/>
      </w:tblGrid>
      <w:tr>
        <w:trPr>
          <w:trHeight w:val="290" w:hRule="exact"/>
        </w:trPr>
        <w:tc>
          <w:tcPr>
            <w:tcW w:w="3613"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50"/>
              <w:ind w:right="601"/>
              <w:jc w:val="right"/>
              <w:rPr>
                <w:rFonts w:ascii="黑体" w:hAnsi="黑体" w:cs="黑体" w:eastAsia="黑体" w:hint="default"/>
                <w:sz w:val="16"/>
                <w:szCs w:val="16"/>
              </w:rPr>
            </w:pPr>
            <w:r>
              <w:rPr>
                <w:rFonts w:ascii="Arial" w:hAnsi="Arial" w:cs="Arial" w:eastAsia="Arial" w:hint="default"/>
                <w:sz w:val="16"/>
                <w:szCs w:val="16"/>
              </w:rPr>
              <w:t>2009</w:t>
            </w:r>
            <w:r>
              <w:rPr>
                <w:rFonts w:ascii="Arial" w:hAnsi="Arial" w:cs="Arial" w:eastAsia="Arial" w:hint="default"/>
                <w:spacing w:val="-7"/>
                <w:sz w:val="16"/>
                <w:szCs w:val="16"/>
              </w:rPr>
              <w:t> </w:t>
            </w:r>
            <w:r>
              <w:rPr>
                <w:rFonts w:ascii="黑体" w:hAnsi="黑体" w:cs="黑体" w:eastAsia="黑体" w:hint="default"/>
                <w:sz w:val="16"/>
                <w:szCs w:val="16"/>
              </w:rPr>
              <w:t>年</w:t>
            </w:r>
          </w:p>
        </w:tc>
        <w:tc>
          <w:tcPr>
            <w:tcW w:w="691" w:type="dxa"/>
            <w:tcBorders>
              <w:top w:val="nil" w:sz="6" w:space="0" w:color="auto"/>
              <w:left w:val="nil" w:sz="6" w:space="0" w:color="auto"/>
              <w:bottom w:val="single" w:sz="4" w:space="0" w:color="000000"/>
              <w:right w:val="nil" w:sz="6" w:space="0" w:color="auto"/>
            </w:tcBorders>
          </w:tcPr>
          <w:p>
            <w:pPr/>
          </w:p>
        </w:tc>
        <w:tc>
          <w:tcPr>
            <w:tcW w:w="230" w:type="dxa"/>
            <w:tcBorders>
              <w:top w:val="nil" w:sz="6" w:space="0" w:color="auto"/>
              <w:left w:val="nil" w:sz="6" w:space="0" w:color="auto"/>
              <w:bottom w:val="nil" w:sz="6" w:space="0" w:color="auto"/>
              <w:right w:val="nil" w:sz="6" w:space="0" w:color="auto"/>
            </w:tcBorders>
          </w:tcPr>
          <w:p>
            <w:pPr/>
          </w:p>
        </w:tc>
        <w:tc>
          <w:tcPr>
            <w:tcW w:w="2594" w:type="dxa"/>
            <w:gridSpan w:val="3"/>
            <w:tcBorders>
              <w:top w:val="nil" w:sz="6" w:space="0" w:color="auto"/>
              <w:left w:val="nil" w:sz="6" w:space="0" w:color="auto"/>
              <w:bottom w:val="single" w:sz="4" w:space="0" w:color="000000"/>
              <w:right w:val="nil" w:sz="6" w:space="0" w:color="auto"/>
            </w:tcBorders>
          </w:tcPr>
          <w:p>
            <w:pPr>
              <w:pStyle w:val="TableParagraph"/>
              <w:spacing w:line="240" w:lineRule="auto" w:before="50"/>
              <w:ind w:left="1378" w:right="0"/>
              <w:jc w:val="left"/>
              <w:rPr>
                <w:rFonts w:ascii="黑体" w:hAnsi="黑体" w:cs="黑体" w:eastAsia="黑体" w:hint="default"/>
                <w:sz w:val="16"/>
                <w:szCs w:val="16"/>
              </w:rPr>
            </w:pPr>
            <w:r>
              <w:rPr>
                <w:rFonts w:ascii="Arial" w:hAnsi="Arial" w:cs="Arial" w:eastAsia="Arial" w:hint="default"/>
                <w:sz w:val="16"/>
                <w:szCs w:val="16"/>
              </w:rPr>
              <w:t>2008</w:t>
            </w:r>
            <w:r>
              <w:rPr>
                <w:rFonts w:ascii="Arial" w:hAnsi="Arial" w:cs="Arial" w:eastAsia="Arial" w:hint="default"/>
                <w:spacing w:val="-7"/>
                <w:sz w:val="16"/>
                <w:szCs w:val="16"/>
              </w:rPr>
              <w:t> </w:t>
            </w:r>
            <w:r>
              <w:rPr>
                <w:rFonts w:ascii="黑体" w:hAnsi="黑体" w:cs="黑体" w:eastAsia="黑体" w:hint="default"/>
                <w:sz w:val="16"/>
                <w:szCs w:val="16"/>
              </w:rPr>
              <w:t>年</w:t>
            </w:r>
          </w:p>
        </w:tc>
        <w:tc>
          <w:tcPr>
            <w:tcW w:w="737" w:type="dxa"/>
            <w:tcBorders>
              <w:top w:val="nil" w:sz="6" w:space="0" w:color="auto"/>
              <w:left w:val="nil" w:sz="6" w:space="0" w:color="auto"/>
              <w:bottom w:val="single" w:sz="4" w:space="0" w:color="000000"/>
              <w:right w:val="nil" w:sz="6" w:space="0" w:color="auto"/>
            </w:tcBorders>
          </w:tcPr>
          <w:p>
            <w:pPr/>
          </w:p>
        </w:tc>
      </w:tr>
      <w:tr>
        <w:trPr>
          <w:trHeight w:val="283" w:hRule="exact"/>
        </w:trPr>
        <w:tc>
          <w:tcPr>
            <w:tcW w:w="3613"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25"/>
              <w:ind w:left="1927" w:right="0"/>
              <w:jc w:val="left"/>
              <w:rPr>
                <w:rFonts w:ascii="黑体" w:hAnsi="黑体" w:cs="黑体" w:eastAsia="黑体" w:hint="default"/>
                <w:sz w:val="16"/>
                <w:szCs w:val="16"/>
              </w:rPr>
            </w:pPr>
            <w:r>
              <w:rPr>
                <w:rFonts w:ascii="黑体" w:hAnsi="黑体" w:cs="黑体" w:eastAsia="黑体" w:hint="default"/>
                <w:sz w:val="16"/>
                <w:szCs w:val="16"/>
              </w:rPr>
              <w:t>账面金额</w:t>
            </w:r>
          </w:p>
        </w:tc>
        <w:tc>
          <w:tcPr>
            <w:tcW w:w="691"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right="0"/>
              <w:jc w:val="right"/>
              <w:rPr>
                <w:rFonts w:ascii="黑体" w:hAnsi="黑体" w:cs="黑体" w:eastAsia="黑体" w:hint="default"/>
                <w:sz w:val="16"/>
                <w:szCs w:val="16"/>
              </w:rPr>
            </w:pPr>
            <w:r>
              <w:rPr>
                <w:rFonts w:ascii="黑体" w:hAnsi="黑体" w:cs="黑体" w:eastAsia="黑体" w:hint="default"/>
                <w:w w:val="95"/>
                <w:sz w:val="16"/>
                <w:szCs w:val="16"/>
              </w:rPr>
              <w:t>坏账准备</w:t>
            </w:r>
            <w:r>
              <w:rPr>
                <w:rFonts w:ascii="黑体" w:hAnsi="黑体" w:cs="黑体" w:eastAsia="黑体" w:hint="default"/>
                <w:sz w:val="16"/>
                <w:szCs w:val="16"/>
              </w:rPr>
            </w:r>
          </w:p>
        </w:tc>
        <w:tc>
          <w:tcPr>
            <w:tcW w:w="230" w:type="dxa"/>
            <w:tcBorders>
              <w:top w:val="nil" w:sz="6" w:space="0" w:color="auto"/>
              <w:left w:val="nil" w:sz="6" w:space="0" w:color="auto"/>
              <w:bottom w:val="nil" w:sz="6" w:space="0" w:color="auto"/>
              <w:right w:val="nil" w:sz="6" w:space="0" w:color="auto"/>
            </w:tcBorders>
          </w:tcPr>
          <w:p>
            <w:pPr/>
          </w:p>
        </w:tc>
        <w:tc>
          <w:tcPr>
            <w:tcW w:w="2594" w:type="dxa"/>
            <w:gridSpan w:val="3"/>
            <w:tcBorders>
              <w:top w:val="single" w:sz="4" w:space="0" w:color="000000"/>
              <w:left w:val="nil" w:sz="6" w:space="0" w:color="auto"/>
              <w:bottom w:val="nil" w:sz="6" w:space="0" w:color="auto"/>
              <w:right w:val="nil" w:sz="6" w:space="0" w:color="auto"/>
            </w:tcBorders>
          </w:tcPr>
          <w:p>
            <w:pPr>
              <w:pStyle w:val="TableParagraph"/>
              <w:spacing w:line="240" w:lineRule="auto" w:before="20"/>
              <w:ind w:right="196"/>
              <w:jc w:val="center"/>
              <w:rPr>
                <w:rFonts w:ascii="黑体" w:hAnsi="黑体" w:cs="黑体" w:eastAsia="黑体" w:hint="default"/>
                <w:sz w:val="16"/>
                <w:szCs w:val="16"/>
              </w:rPr>
            </w:pPr>
            <w:r>
              <w:rPr>
                <w:rFonts w:ascii="黑体" w:hAnsi="黑体" w:cs="黑体" w:eastAsia="黑体" w:hint="default"/>
                <w:sz w:val="16"/>
                <w:szCs w:val="16"/>
              </w:rPr>
              <w:t>账面金额</w:t>
            </w:r>
          </w:p>
        </w:tc>
        <w:tc>
          <w:tcPr>
            <w:tcW w:w="737"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right="34"/>
              <w:jc w:val="right"/>
              <w:rPr>
                <w:rFonts w:ascii="黑体" w:hAnsi="黑体" w:cs="黑体" w:eastAsia="黑体" w:hint="default"/>
                <w:sz w:val="16"/>
                <w:szCs w:val="16"/>
              </w:rPr>
            </w:pPr>
            <w:r>
              <w:rPr>
                <w:rFonts w:ascii="黑体" w:hAnsi="黑体" w:cs="黑体" w:eastAsia="黑体" w:hint="default"/>
                <w:w w:val="95"/>
                <w:sz w:val="16"/>
                <w:szCs w:val="16"/>
              </w:rPr>
              <w:t>坏账准备</w:t>
            </w:r>
            <w:r>
              <w:rPr>
                <w:rFonts w:ascii="黑体" w:hAnsi="黑体" w:cs="黑体" w:eastAsia="黑体" w:hint="default"/>
                <w:sz w:val="16"/>
                <w:szCs w:val="16"/>
              </w:rPr>
            </w:r>
          </w:p>
        </w:tc>
      </w:tr>
      <w:tr>
        <w:trPr>
          <w:trHeight w:val="259" w:hRule="exact"/>
        </w:trPr>
        <w:tc>
          <w:tcPr>
            <w:tcW w:w="1142" w:type="dxa"/>
            <w:tcBorders>
              <w:top w:val="nil" w:sz="6" w:space="0" w:color="auto"/>
              <w:left w:val="nil" w:sz="6" w:space="0" w:color="auto"/>
              <w:bottom w:val="nil" w:sz="6" w:space="0" w:color="auto"/>
              <w:right w:val="nil" w:sz="6" w:space="0" w:color="auto"/>
            </w:tcBorders>
          </w:tcPr>
          <w:p>
            <w:pPr/>
          </w:p>
        </w:tc>
        <w:tc>
          <w:tcPr>
            <w:tcW w:w="1051" w:type="dxa"/>
            <w:tcBorders>
              <w:top w:val="nil" w:sz="6" w:space="0" w:color="auto"/>
              <w:left w:val="nil" w:sz="6" w:space="0" w:color="auto"/>
              <w:bottom w:val="nil" w:sz="6" w:space="0" w:color="auto"/>
              <w:right w:val="nil" w:sz="6" w:space="0" w:color="auto"/>
            </w:tcBorders>
          </w:tcPr>
          <w:p>
            <w:pPr>
              <w:pStyle w:val="TableParagraph"/>
              <w:spacing w:line="208" w:lineRule="exact"/>
              <w:ind w:right="50"/>
              <w:jc w:val="right"/>
              <w:rPr>
                <w:rFonts w:ascii="黑体" w:hAnsi="黑体" w:cs="黑体" w:eastAsia="黑体" w:hint="default"/>
                <w:sz w:val="16"/>
                <w:szCs w:val="16"/>
              </w:rPr>
            </w:pPr>
            <w:r>
              <w:rPr>
                <w:rFonts w:ascii="黑体" w:hAnsi="黑体" w:cs="黑体" w:eastAsia="黑体" w:hint="default"/>
                <w:w w:val="95"/>
                <w:sz w:val="16"/>
                <w:szCs w:val="16"/>
              </w:rPr>
              <w:t>金额</w:t>
            </w:r>
            <w:r>
              <w:rPr>
                <w:rFonts w:ascii="黑体" w:hAnsi="黑体" w:cs="黑体" w:eastAsia="黑体" w:hint="default"/>
                <w:sz w:val="16"/>
                <w:szCs w:val="16"/>
              </w:rPr>
            </w:r>
          </w:p>
        </w:tc>
        <w:tc>
          <w:tcPr>
            <w:tcW w:w="460" w:type="dxa"/>
            <w:tcBorders>
              <w:top w:val="nil" w:sz="6" w:space="0" w:color="auto"/>
              <w:left w:val="nil" w:sz="6" w:space="0" w:color="auto"/>
              <w:bottom w:val="nil" w:sz="6" w:space="0" w:color="auto"/>
              <w:right w:val="nil" w:sz="6" w:space="0" w:color="auto"/>
            </w:tcBorders>
          </w:tcPr>
          <w:p>
            <w:pPr>
              <w:pStyle w:val="TableParagraph"/>
              <w:spacing w:line="208" w:lineRule="exact"/>
              <w:ind w:right="33"/>
              <w:jc w:val="center"/>
              <w:rPr>
                <w:rFonts w:ascii="黑体" w:hAnsi="黑体" w:cs="黑体" w:eastAsia="黑体" w:hint="default"/>
                <w:sz w:val="16"/>
                <w:szCs w:val="16"/>
              </w:rPr>
            </w:pPr>
            <w:r>
              <w:rPr>
                <w:rFonts w:ascii="黑体" w:hAnsi="黑体" w:cs="黑体" w:eastAsia="黑体" w:hint="default"/>
                <w:sz w:val="16"/>
                <w:szCs w:val="16"/>
              </w:rPr>
              <w:t>比例</w:t>
            </w:r>
          </w:p>
        </w:tc>
        <w:tc>
          <w:tcPr>
            <w:tcW w:w="959" w:type="dxa"/>
            <w:tcBorders>
              <w:top w:val="nil" w:sz="6" w:space="0" w:color="auto"/>
              <w:left w:val="nil" w:sz="6" w:space="0" w:color="auto"/>
              <w:bottom w:val="nil" w:sz="6" w:space="0" w:color="auto"/>
              <w:right w:val="nil" w:sz="6" w:space="0" w:color="auto"/>
            </w:tcBorders>
          </w:tcPr>
          <w:p>
            <w:pPr>
              <w:pStyle w:val="TableParagraph"/>
              <w:spacing w:line="208" w:lineRule="exact"/>
              <w:ind w:right="50"/>
              <w:jc w:val="right"/>
              <w:rPr>
                <w:rFonts w:ascii="黑体" w:hAnsi="黑体" w:cs="黑体" w:eastAsia="黑体" w:hint="default"/>
                <w:sz w:val="16"/>
                <w:szCs w:val="16"/>
              </w:rPr>
            </w:pPr>
            <w:r>
              <w:rPr>
                <w:rFonts w:ascii="黑体" w:hAnsi="黑体" w:cs="黑体" w:eastAsia="黑体" w:hint="default"/>
                <w:w w:val="95"/>
                <w:sz w:val="16"/>
                <w:szCs w:val="16"/>
              </w:rPr>
              <w:t>金额</w:t>
            </w:r>
            <w:r>
              <w:rPr>
                <w:rFonts w:ascii="黑体" w:hAnsi="黑体" w:cs="黑体" w:eastAsia="黑体" w:hint="default"/>
                <w:sz w:val="16"/>
                <w:szCs w:val="16"/>
              </w:rPr>
            </w:r>
          </w:p>
        </w:tc>
        <w:tc>
          <w:tcPr>
            <w:tcW w:w="691" w:type="dxa"/>
            <w:tcBorders>
              <w:top w:val="nil" w:sz="6" w:space="0" w:color="auto"/>
              <w:left w:val="nil" w:sz="6" w:space="0" w:color="auto"/>
              <w:bottom w:val="nil" w:sz="6" w:space="0" w:color="auto"/>
              <w:right w:val="nil" w:sz="6" w:space="0" w:color="auto"/>
            </w:tcBorders>
          </w:tcPr>
          <w:p>
            <w:pPr>
              <w:pStyle w:val="TableParagraph"/>
              <w:spacing w:line="208" w:lineRule="exact"/>
              <w:ind w:right="-1"/>
              <w:jc w:val="right"/>
              <w:rPr>
                <w:rFonts w:ascii="黑体" w:hAnsi="黑体" w:cs="黑体" w:eastAsia="黑体" w:hint="default"/>
                <w:sz w:val="16"/>
                <w:szCs w:val="16"/>
              </w:rPr>
            </w:pPr>
            <w:r>
              <w:rPr>
                <w:rFonts w:ascii="黑体" w:hAnsi="黑体" w:cs="黑体" w:eastAsia="黑体" w:hint="default"/>
                <w:w w:val="95"/>
                <w:sz w:val="16"/>
                <w:szCs w:val="16"/>
              </w:rPr>
              <w:t>计提比例</w:t>
            </w:r>
            <w:r>
              <w:rPr>
                <w:rFonts w:ascii="黑体" w:hAnsi="黑体" w:cs="黑体" w:eastAsia="黑体" w:hint="default"/>
                <w:sz w:val="16"/>
                <w:szCs w:val="16"/>
              </w:rPr>
            </w:r>
          </w:p>
        </w:tc>
        <w:tc>
          <w:tcPr>
            <w:tcW w:w="1333" w:type="dxa"/>
            <w:gridSpan w:val="2"/>
            <w:tcBorders>
              <w:top w:val="nil" w:sz="6" w:space="0" w:color="auto"/>
              <w:left w:val="nil" w:sz="6" w:space="0" w:color="auto"/>
              <w:bottom w:val="nil" w:sz="6" w:space="0" w:color="auto"/>
              <w:right w:val="nil" w:sz="6" w:space="0" w:color="auto"/>
            </w:tcBorders>
          </w:tcPr>
          <w:p>
            <w:pPr>
              <w:pStyle w:val="TableParagraph"/>
              <w:spacing w:line="208" w:lineRule="exact"/>
              <w:ind w:right="92"/>
              <w:jc w:val="right"/>
              <w:rPr>
                <w:rFonts w:ascii="黑体" w:hAnsi="黑体" w:cs="黑体" w:eastAsia="黑体" w:hint="default"/>
                <w:sz w:val="16"/>
                <w:szCs w:val="16"/>
              </w:rPr>
            </w:pPr>
            <w:r>
              <w:rPr>
                <w:rFonts w:ascii="黑体" w:hAnsi="黑体" w:cs="黑体" w:eastAsia="黑体" w:hint="default"/>
                <w:w w:val="95"/>
                <w:sz w:val="16"/>
                <w:szCs w:val="16"/>
              </w:rPr>
              <w:t>金额</w:t>
            </w:r>
            <w:r>
              <w:rPr>
                <w:rFonts w:ascii="黑体" w:hAnsi="黑体" w:cs="黑体" w:eastAsia="黑体" w:hint="default"/>
                <w:sz w:val="16"/>
                <w:szCs w:val="16"/>
              </w:rPr>
            </w:r>
          </w:p>
        </w:tc>
        <w:tc>
          <w:tcPr>
            <w:tcW w:w="514" w:type="dxa"/>
            <w:tcBorders>
              <w:top w:val="nil" w:sz="6" w:space="0" w:color="auto"/>
              <w:left w:val="nil" w:sz="6" w:space="0" w:color="auto"/>
              <w:bottom w:val="nil" w:sz="6" w:space="0" w:color="auto"/>
              <w:right w:val="nil" w:sz="6" w:space="0" w:color="auto"/>
            </w:tcBorders>
          </w:tcPr>
          <w:p>
            <w:pPr>
              <w:pStyle w:val="TableParagraph"/>
              <w:spacing w:line="208" w:lineRule="exact"/>
              <w:ind w:right="98"/>
              <w:jc w:val="right"/>
              <w:rPr>
                <w:rFonts w:ascii="黑体" w:hAnsi="黑体" w:cs="黑体" w:eastAsia="黑体" w:hint="default"/>
                <w:sz w:val="16"/>
                <w:szCs w:val="16"/>
              </w:rPr>
            </w:pPr>
            <w:r>
              <w:rPr>
                <w:rFonts w:ascii="黑体" w:hAnsi="黑体" w:cs="黑体" w:eastAsia="黑体" w:hint="default"/>
                <w:w w:val="95"/>
                <w:sz w:val="16"/>
                <w:szCs w:val="16"/>
              </w:rPr>
              <w:t>比例</w:t>
            </w:r>
            <w:r>
              <w:rPr>
                <w:rFonts w:ascii="黑体" w:hAnsi="黑体" w:cs="黑体" w:eastAsia="黑体" w:hint="default"/>
                <w:sz w:val="16"/>
                <w:szCs w:val="16"/>
              </w:rPr>
            </w:r>
          </w:p>
        </w:tc>
        <w:tc>
          <w:tcPr>
            <w:tcW w:w="977" w:type="dxa"/>
            <w:tcBorders>
              <w:top w:val="nil" w:sz="6" w:space="0" w:color="auto"/>
              <w:left w:val="nil" w:sz="6" w:space="0" w:color="auto"/>
              <w:bottom w:val="nil" w:sz="6" w:space="0" w:color="auto"/>
              <w:right w:val="nil" w:sz="6" w:space="0" w:color="auto"/>
            </w:tcBorders>
          </w:tcPr>
          <w:p>
            <w:pPr>
              <w:pStyle w:val="TableParagraph"/>
              <w:spacing w:line="208" w:lineRule="exact"/>
              <w:ind w:right="61"/>
              <w:jc w:val="right"/>
              <w:rPr>
                <w:rFonts w:ascii="黑体" w:hAnsi="黑体" w:cs="黑体" w:eastAsia="黑体" w:hint="default"/>
                <w:sz w:val="16"/>
                <w:szCs w:val="16"/>
              </w:rPr>
            </w:pPr>
            <w:r>
              <w:rPr>
                <w:rFonts w:ascii="黑体" w:hAnsi="黑体" w:cs="黑体" w:eastAsia="黑体" w:hint="default"/>
                <w:w w:val="95"/>
                <w:sz w:val="16"/>
                <w:szCs w:val="16"/>
              </w:rPr>
              <w:t>金额</w:t>
            </w:r>
            <w:r>
              <w:rPr>
                <w:rFonts w:ascii="黑体" w:hAnsi="黑体" w:cs="黑体" w:eastAsia="黑体" w:hint="default"/>
                <w:sz w:val="16"/>
                <w:szCs w:val="16"/>
              </w:rPr>
            </w:r>
          </w:p>
        </w:tc>
        <w:tc>
          <w:tcPr>
            <w:tcW w:w="737" w:type="dxa"/>
            <w:tcBorders>
              <w:top w:val="nil" w:sz="6" w:space="0" w:color="auto"/>
              <w:left w:val="nil" w:sz="6" w:space="0" w:color="auto"/>
              <w:bottom w:val="nil" w:sz="6" w:space="0" w:color="auto"/>
              <w:right w:val="nil" w:sz="6" w:space="0" w:color="auto"/>
            </w:tcBorders>
          </w:tcPr>
          <w:p>
            <w:pPr>
              <w:pStyle w:val="TableParagraph"/>
              <w:spacing w:line="208" w:lineRule="exact"/>
              <w:ind w:right="34"/>
              <w:jc w:val="right"/>
              <w:rPr>
                <w:rFonts w:ascii="黑体" w:hAnsi="黑体" w:cs="黑体" w:eastAsia="黑体" w:hint="default"/>
                <w:sz w:val="16"/>
                <w:szCs w:val="16"/>
              </w:rPr>
            </w:pPr>
            <w:r>
              <w:rPr>
                <w:rFonts w:ascii="黑体" w:hAnsi="黑体" w:cs="黑体" w:eastAsia="黑体" w:hint="default"/>
                <w:w w:val="95"/>
                <w:sz w:val="16"/>
                <w:szCs w:val="16"/>
              </w:rPr>
              <w:t>计提比例</w:t>
            </w:r>
            <w:r>
              <w:rPr>
                <w:rFonts w:ascii="黑体" w:hAnsi="黑体" w:cs="黑体" w:eastAsia="黑体" w:hint="default"/>
                <w:sz w:val="16"/>
                <w:szCs w:val="16"/>
              </w:rPr>
            </w:r>
          </w:p>
        </w:tc>
      </w:tr>
      <w:tr>
        <w:trPr>
          <w:trHeight w:val="255" w:hRule="exact"/>
        </w:trPr>
        <w:tc>
          <w:tcPr>
            <w:tcW w:w="1142" w:type="dxa"/>
            <w:tcBorders>
              <w:top w:val="nil" w:sz="6" w:space="0" w:color="auto"/>
              <w:left w:val="nil" w:sz="6" w:space="0" w:color="auto"/>
              <w:bottom w:val="nil" w:sz="6" w:space="0" w:color="auto"/>
              <w:right w:val="nil" w:sz="6" w:space="0" w:color="auto"/>
            </w:tcBorders>
          </w:tcPr>
          <w:p>
            <w:pPr/>
          </w:p>
        </w:tc>
        <w:tc>
          <w:tcPr>
            <w:tcW w:w="1051" w:type="dxa"/>
            <w:tcBorders>
              <w:top w:val="nil" w:sz="6" w:space="0" w:color="auto"/>
              <w:left w:val="nil" w:sz="6" w:space="0" w:color="auto"/>
              <w:bottom w:val="nil" w:sz="6" w:space="0" w:color="auto"/>
              <w:right w:val="nil" w:sz="6" w:space="0" w:color="auto"/>
            </w:tcBorders>
          </w:tcPr>
          <w:p>
            <w:pPr/>
          </w:p>
        </w:tc>
        <w:tc>
          <w:tcPr>
            <w:tcW w:w="460"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6" w:right="0"/>
              <w:jc w:val="center"/>
              <w:rPr>
                <w:rFonts w:ascii="Arial" w:hAnsi="Arial" w:cs="Arial" w:eastAsia="Arial" w:hint="default"/>
                <w:sz w:val="16"/>
                <w:szCs w:val="16"/>
              </w:rPr>
            </w:pPr>
            <w:r>
              <w:rPr>
                <w:rFonts w:ascii="Arial"/>
                <w:sz w:val="16"/>
              </w:rPr>
              <w:t>(%)</w:t>
            </w:r>
          </w:p>
        </w:tc>
        <w:tc>
          <w:tcPr>
            <w:tcW w:w="959" w:type="dxa"/>
            <w:tcBorders>
              <w:top w:val="nil" w:sz="6" w:space="0" w:color="auto"/>
              <w:left w:val="nil" w:sz="6" w:space="0" w:color="auto"/>
              <w:bottom w:val="nil" w:sz="6" w:space="0" w:color="auto"/>
              <w:right w:val="nil" w:sz="6" w:space="0" w:color="auto"/>
            </w:tcBorders>
          </w:tcPr>
          <w:p>
            <w:pPr/>
          </w:p>
        </w:tc>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0"/>
              <w:jc w:val="right"/>
              <w:rPr>
                <w:rFonts w:ascii="Arial" w:hAnsi="Arial" w:cs="Arial" w:eastAsia="Arial" w:hint="default"/>
                <w:sz w:val="16"/>
                <w:szCs w:val="16"/>
              </w:rPr>
            </w:pPr>
            <w:r>
              <w:rPr>
                <w:rFonts w:ascii="Arial"/>
                <w:spacing w:val="-1"/>
                <w:w w:val="95"/>
                <w:sz w:val="16"/>
              </w:rPr>
              <w:t>(%)</w:t>
            </w:r>
            <w:r>
              <w:rPr>
                <w:rFonts w:ascii="Arial"/>
                <w:sz w:val="16"/>
              </w:rPr>
            </w:r>
          </w:p>
        </w:tc>
        <w:tc>
          <w:tcPr>
            <w:tcW w:w="1333" w:type="dxa"/>
            <w:gridSpan w:val="2"/>
            <w:tcBorders>
              <w:top w:val="nil" w:sz="6" w:space="0" w:color="auto"/>
              <w:left w:val="nil" w:sz="6" w:space="0" w:color="auto"/>
              <w:bottom w:val="nil" w:sz="6" w:space="0" w:color="auto"/>
              <w:right w:val="nil" w:sz="6" w:space="0" w:color="auto"/>
            </w:tcBorders>
          </w:tcPr>
          <w:p>
            <w:pPr/>
          </w:p>
        </w:tc>
        <w:tc>
          <w:tcPr>
            <w:tcW w:w="514"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98"/>
              <w:jc w:val="right"/>
              <w:rPr>
                <w:rFonts w:ascii="Arial" w:hAnsi="Arial" w:cs="Arial" w:eastAsia="Arial" w:hint="default"/>
                <w:sz w:val="16"/>
                <w:szCs w:val="16"/>
              </w:rPr>
            </w:pPr>
            <w:r>
              <w:rPr>
                <w:rFonts w:ascii="Arial"/>
                <w:spacing w:val="-1"/>
                <w:w w:val="95"/>
                <w:sz w:val="16"/>
              </w:rPr>
              <w:t>(%)</w:t>
            </w:r>
            <w:r>
              <w:rPr>
                <w:rFonts w:ascii="Arial"/>
                <w:sz w:val="16"/>
              </w:rPr>
            </w:r>
          </w:p>
        </w:tc>
        <w:tc>
          <w:tcPr>
            <w:tcW w:w="977"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34"/>
              <w:jc w:val="right"/>
              <w:rPr>
                <w:rFonts w:ascii="Arial" w:hAnsi="Arial" w:cs="Arial" w:eastAsia="Arial" w:hint="default"/>
                <w:sz w:val="16"/>
                <w:szCs w:val="16"/>
              </w:rPr>
            </w:pPr>
            <w:r>
              <w:rPr>
                <w:rFonts w:ascii="Arial"/>
                <w:spacing w:val="-1"/>
                <w:w w:val="95"/>
                <w:sz w:val="16"/>
              </w:rPr>
              <w:t>(%)</w:t>
            </w:r>
            <w:r>
              <w:rPr>
                <w:rFonts w:ascii="Arial"/>
                <w:sz w:val="16"/>
              </w:rPr>
            </w:r>
          </w:p>
        </w:tc>
      </w:tr>
      <w:tr>
        <w:trPr>
          <w:trHeight w:val="483" w:hRule="exact"/>
        </w:trPr>
        <w:tc>
          <w:tcPr>
            <w:tcW w:w="1142" w:type="dxa"/>
            <w:tcBorders>
              <w:top w:val="nil" w:sz="6" w:space="0" w:color="auto"/>
              <w:left w:val="nil" w:sz="6" w:space="0" w:color="auto"/>
              <w:bottom w:val="nil" w:sz="6" w:space="0" w:color="auto"/>
              <w:right w:val="nil" w:sz="6" w:space="0" w:color="auto"/>
            </w:tcBorders>
          </w:tcPr>
          <w:p>
            <w:pPr>
              <w:pStyle w:val="TableParagraph"/>
              <w:spacing w:line="273" w:lineRule="auto"/>
              <w:ind w:left="35" w:right="145"/>
              <w:jc w:val="left"/>
              <w:rPr>
                <w:rFonts w:ascii="黑体" w:hAnsi="黑体" w:cs="黑体" w:eastAsia="黑体" w:hint="default"/>
                <w:sz w:val="16"/>
                <w:szCs w:val="16"/>
              </w:rPr>
            </w:pPr>
            <w:r>
              <w:rPr>
                <w:rFonts w:ascii="黑体" w:hAnsi="黑体" w:cs="黑体" w:eastAsia="黑体" w:hint="default"/>
                <w:sz w:val="16"/>
                <w:szCs w:val="16"/>
              </w:rPr>
              <w:t>单项金额重大</w:t>
            </w:r>
            <w:r>
              <w:rPr>
                <w:rFonts w:ascii="黑体" w:hAnsi="黑体" w:cs="黑体" w:eastAsia="黑体" w:hint="default"/>
                <w:w w:val="99"/>
                <w:sz w:val="16"/>
                <w:szCs w:val="16"/>
              </w:rPr>
              <w:t> </w:t>
            </w:r>
            <w:r>
              <w:rPr>
                <w:rFonts w:ascii="黑体" w:hAnsi="黑体" w:cs="黑体" w:eastAsia="黑体" w:hint="default"/>
                <w:sz w:val="16"/>
                <w:szCs w:val="16"/>
              </w:rPr>
              <w:t>单项金额不重</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1"/>
              <w:jc w:val="right"/>
              <w:rPr>
                <w:rFonts w:ascii="Arial" w:hAnsi="Arial" w:cs="Arial" w:eastAsia="Arial" w:hint="default"/>
                <w:sz w:val="16"/>
                <w:szCs w:val="16"/>
              </w:rPr>
            </w:pPr>
            <w:r>
              <w:rPr>
                <w:rFonts w:ascii="Arial"/>
                <w:w w:val="95"/>
                <w:sz w:val="16"/>
              </w:rPr>
              <w:t>46,232,545</w:t>
            </w:r>
            <w:r>
              <w:rPr>
                <w:rFonts w:ascii="Arial"/>
                <w:sz w:val="16"/>
              </w:rPr>
            </w:r>
          </w:p>
        </w:tc>
        <w:tc>
          <w:tcPr>
            <w:tcW w:w="460"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4" w:right="0"/>
              <w:jc w:val="center"/>
              <w:rPr>
                <w:rFonts w:ascii="Arial" w:hAnsi="Arial" w:cs="Arial" w:eastAsia="Arial" w:hint="default"/>
                <w:sz w:val="16"/>
                <w:szCs w:val="16"/>
              </w:rPr>
            </w:pPr>
            <w:r>
              <w:rPr>
                <w:rFonts w:ascii="Arial"/>
                <w:sz w:val="16"/>
              </w:rPr>
              <w:t>17</w:t>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1"/>
              <w:jc w:val="right"/>
              <w:rPr>
                <w:rFonts w:ascii="Arial" w:hAnsi="Arial" w:cs="Arial" w:eastAsia="Arial" w:hint="default"/>
                <w:sz w:val="16"/>
                <w:szCs w:val="16"/>
              </w:rPr>
            </w:pPr>
            <w:r>
              <w:rPr>
                <w:rFonts w:ascii="Arial"/>
                <w:w w:val="95"/>
                <w:sz w:val="16"/>
              </w:rPr>
              <w:t>630,000</w:t>
            </w:r>
            <w:r>
              <w:rPr>
                <w:rFonts w:ascii="Arial"/>
                <w:sz w:val="16"/>
              </w:rPr>
            </w:r>
          </w:p>
        </w:tc>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0"/>
              <w:jc w:val="right"/>
              <w:rPr>
                <w:rFonts w:ascii="Arial" w:hAnsi="Arial" w:cs="Arial" w:eastAsia="Arial" w:hint="default"/>
                <w:sz w:val="16"/>
                <w:szCs w:val="16"/>
              </w:rPr>
            </w:pPr>
            <w:r>
              <w:rPr>
                <w:rFonts w:ascii="Arial"/>
                <w:w w:val="99"/>
                <w:sz w:val="16"/>
              </w:rPr>
              <w:t>1</w:t>
            </w:r>
            <w:r>
              <w:rPr>
                <w:rFonts w:ascii="Arial"/>
                <w:sz w:val="16"/>
              </w:rPr>
            </w:r>
          </w:p>
        </w:tc>
        <w:tc>
          <w:tcPr>
            <w:tcW w:w="13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1"/>
              <w:ind w:left="438" w:right="0"/>
              <w:jc w:val="left"/>
              <w:rPr>
                <w:rFonts w:ascii="Arial" w:hAnsi="Arial" w:cs="Arial" w:eastAsia="Arial" w:hint="default"/>
                <w:sz w:val="16"/>
                <w:szCs w:val="16"/>
              </w:rPr>
            </w:pPr>
            <w:r>
              <w:rPr>
                <w:rFonts w:ascii="Arial"/>
                <w:sz w:val="16"/>
              </w:rPr>
              <w:t>34,384,701</w:t>
            </w:r>
          </w:p>
        </w:tc>
        <w:tc>
          <w:tcPr>
            <w:tcW w:w="514"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99"/>
              <w:jc w:val="right"/>
              <w:rPr>
                <w:rFonts w:ascii="Arial" w:hAnsi="Arial" w:cs="Arial" w:eastAsia="Arial" w:hint="default"/>
                <w:sz w:val="16"/>
                <w:szCs w:val="16"/>
              </w:rPr>
            </w:pPr>
            <w:r>
              <w:rPr>
                <w:rFonts w:ascii="Arial"/>
                <w:w w:val="95"/>
                <w:sz w:val="16"/>
              </w:rPr>
              <w:t>20</w:t>
            </w:r>
            <w:r>
              <w:rPr>
                <w:rFonts w:ascii="Arial"/>
                <w:sz w:val="16"/>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62"/>
              <w:jc w:val="right"/>
              <w:rPr>
                <w:rFonts w:ascii="Arial" w:hAnsi="Arial" w:cs="Arial" w:eastAsia="Arial" w:hint="default"/>
                <w:sz w:val="16"/>
                <w:szCs w:val="16"/>
              </w:rPr>
            </w:pPr>
            <w:r>
              <w:rPr>
                <w:rFonts w:ascii="Arial"/>
                <w:w w:val="99"/>
                <w:sz w:val="16"/>
              </w:rPr>
              <w:t>-</w:t>
            </w:r>
            <w:r>
              <w:rPr>
                <w:rFonts w:ascii="Arial"/>
                <w:sz w:val="16"/>
              </w:rPr>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4"/>
              <w:jc w:val="right"/>
              <w:rPr>
                <w:rFonts w:ascii="Arial" w:hAnsi="Arial" w:cs="Arial" w:eastAsia="Arial" w:hint="default"/>
                <w:sz w:val="16"/>
                <w:szCs w:val="16"/>
              </w:rPr>
            </w:pPr>
            <w:r>
              <w:rPr>
                <w:rFonts w:ascii="Arial"/>
                <w:w w:val="99"/>
                <w:sz w:val="16"/>
              </w:rPr>
              <w:t>-</w:t>
            </w:r>
            <w:r>
              <w:rPr>
                <w:rFonts w:ascii="Arial"/>
                <w:sz w:val="16"/>
              </w:rPr>
            </w:r>
          </w:p>
        </w:tc>
      </w:tr>
      <w:tr>
        <w:trPr>
          <w:trHeight w:val="240" w:hRule="exact"/>
        </w:trPr>
        <w:tc>
          <w:tcPr>
            <w:tcW w:w="1142"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黑体" w:hAnsi="黑体" w:cs="黑体" w:eastAsia="黑体" w:hint="default"/>
                <w:sz w:val="16"/>
                <w:szCs w:val="16"/>
              </w:rPr>
            </w:pPr>
            <w:r>
              <w:rPr>
                <w:rFonts w:ascii="黑体" w:hAnsi="黑体" w:cs="黑体" w:eastAsia="黑体" w:hint="default"/>
                <w:sz w:val="16"/>
                <w:szCs w:val="16"/>
              </w:rPr>
              <w:t>大但按信用风</w:t>
            </w:r>
          </w:p>
        </w:tc>
        <w:tc>
          <w:tcPr>
            <w:tcW w:w="1051" w:type="dxa"/>
            <w:tcBorders>
              <w:top w:val="nil" w:sz="6" w:space="0" w:color="auto"/>
              <w:left w:val="nil" w:sz="6" w:space="0" w:color="auto"/>
              <w:bottom w:val="nil" w:sz="6" w:space="0" w:color="auto"/>
              <w:right w:val="nil" w:sz="6" w:space="0" w:color="auto"/>
            </w:tcBorders>
          </w:tcPr>
          <w:p>
            <w:pPr/>
          </w:p>
        </w:tc>
        <w:tc>
          <w:tcPr>
            <w:tcW w:w="460" w:type="dxa"/>
            <w:tcBorders>
              <w:top w:val="nil" w:sz="6" w:space="0" w:color="auto"/>
              <w:left w:val="nil" w:sz="6" w:space="0" w:color="auto"/>
              <w:bottom w:val="nil" w:sz="6" w:space="0" w:color="auto"/>
              <w:right w:val="nil" w:sz="6" w:space="0" w:color="auto"/>
            </w:tcBorders>
          </w:tcPr>
          <w:p>
            <w:pPr/>
          </w:p>
        </w:tc>
        <w:tc>
          <w:tcPr>
            <w:tcW w:w="959" w:type="dxa"/>
            <w:tcBorders>
              <w:top w:val="nil" w:sz="6" w:space="0" w:color="auto"/>
              <w:left w:val="nil" w:sz="6" w:space="0" w:color="auto"/>
              <w:bottom w:val="nil" w:sz="6" w:space="0" w:color="auto"/>
              <w:right w:val="nil" w:sz="6" w:space="0" w:color="auto"/>
            </w:tcBorders>
          </w:tcPr>
          <w:p>
            <w:pPr/>
          </w:p>
        </w:tc>
        <w:tc>
          <w:tcPr>
            <w:tcW w:w="691" w:type="dxa"/>
            <w:tcBorders>
              <w:top w:val="nil" w:sz="6" w:space="0" w:color="auto"/>
              <w:left w:val="nil" w:sz="6" w:space="0" w:color="auto"/>
              <w:bottom w:val="nil" w:sz="6" w:space="0" w:color="auto"/>
              <w:right w:val="nil" w:sz="6" w:space="0" w:color="auto"/>
            </w:tcBorders>
          </w:tcPr>
          <w:p>
            <w:pPr/>
          </w:p>
        </w:tc>
        <w:tc>
          <w:tcPr>
            <w:tcW w:w="1333" w:type="dxa"/>
            <w:gridSpan w:val="2"/>
            <w:tcBorders>
              <w:top w:val="nil" w:sz="6" w:space="0" w:color="auto"/>
              <w:left w:val="nil" w:sz="6" w:space="0" w:color="auto"/>
              <w:bottom w:val="nil" w:sz="6" w:space="0" w:color="auto"/>
              <w:right w:val="nil" w:sz="6" w:space="0" w:color="auto"/>
            </w:tcBorders>
          </w:tcPr>
          <w:p>
            <w:pPr/>
          </w:p>
        </w:tc>
        <w:tc>
          <w:tcPr>
            <w:tcW w:w="514" w:type="dxa"/>
            <w:tcBorders>
              <w:top w:val="nil" w:sz="6" w:space="0" w:color="auto"/>
              <w:left w:val="nil" w:sz="6" w:space="0" w:color="auto"/>
              <w:bottom w:val="nil" w:sz="6" w:space="0" w:color="auto"/>
              <w:right w:val="nil" w:sz="6" w:space="0" w:color="auto"/>
            </w:tcBorders>
          </w:tcPr>
          <w:p>
            <w:pPr/>
          </w:p>
        </w:tc>
        <w:tc>
          <w:tcPr>
            <w:tcW w:w="977"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r>
      <w:tr>
        <w:trPr>
          <w:trHeight w:val="240" w:hRule="exact"/>
        </w:trPr>
        <w:tc>
          <w:tcPr>
            <w:tcW w:w="1142"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黑体" w:hAnsi="黑体" w:cs="黑体" w:eastAsia="黑体" w:hint="default"/>
                <w:sz w:val="16"/>
                <w:szCs w:val="16"/>
              </w:rPr>
            </w:pPr>
            <w:r>
              <w:rPr>
                <w:rFonts w:ascii="黑体" w:hAnsi="黑体" w:cs="黑体" w:eastAsia="黑体" w:hint="default"/>
                <w:sz w:val="16"/>
                <w:szCs w:val="16"/>
              </w:rPr>
              <w:t>险特征组合后</w:t>
            </w:r>
          </w:p>
        </w:tc>
        <w:tc>
          <w:tcPr>
            <w:tcW w:w="1051" w:type="dxa"/>
            <w:tcBorders>
              <w:top w:val="nil" w:sz="6" w:space="0" w:color="auto"/>
              <w:left w:val="nil" w:sz="6" w:space="0" w:color="auto"/>
              <w:bottom w:val="nil" w:sz="6" w:space="0" w:color="auto"/>
              <w:right w:val="nil" w:sz="6" w:space="0" w:color="auto"/>
            </w:tcBorders>
          </w:tcPr>
          <w:p>
            <w:pPr/>
          </w:p>
        </w:tc>
        <w:tc>
          <w:tcPr>
            <w:tcW w:w="460" w:type="dxa"/>
            <w:tcBorders>
              <w:top w:val="nil" w:sz="6" w:space="0" w:color="auto"/>
              <w:left w:val="nil" w:sz="6" w:space="0" w:color="auto"/>
              <w:bottom w:val="nil" w:sz="6" w:space="0" w:color="auto"/>
              <w:right w:val="nil" w:sz="6" w:space="0" w:color="auto"/>
            </w:tcBorders>
          </w:tcPr>
          <w:p>
            <w:pPr/>
          </w:p>
        </w:tc>
        <w:tc>
          <w:tcPr>
            <w:tcW w:w="959" w:type="dxa"/>
            <w:tcBorders>
              <w:top w:val="nil" w:sz="6" w:space="0" w:color="auto"/>
              <w:left w:val="nil" w:sz="6" w:space="0" w:color="auto"/>
              <w:bottom w:val="nil" w:sz="6" w:space="0" w:color="auto"/>
              <w:right w:val="nil" w:sz="6" w:space="0" w:color="auto"/>
            </w:tcBorders>
          </w:tcPr>
          <w:p>
            <w:pPr/>
          </w:p>
        </w:tc>
        <w:tc>
          <w:tcPr>
            <w:tcW w:w="691" w:type="dxa"/>
            <w:tcBorders>
              <w:top w:val="nil" w:sz="6" w:space="0" w:color="auto"/>
              <w:left w:val="nil" w:sz="6" w:space="0" w:color="auto"/>
              <w:bottom w:val="nil" w:sz="6" w:space="0" w:color="auto"/>
              <w:right w:val="nil" w:sz="6" w:space="0" w:color="auto"/>
            </w:tcBorders>
          </w:tcPr>
          <w:p>
            <w:pPr/>
          </w:p>
        </w:tc>
        <w:tc>
          <w:tcPr>
            <w:tcW w:w="1333" w:type="dxa"/>
            <w:gridSpan w:val="2"/>
            <w:tcBorders>
              <w:top w:val="nil" w:sz="6" w:space="0" w:color="auto"/>
              <w:left w:val="nil" w:sz="6" w:space="0" w:color="auto"/>
              <w:bottom w:val="nil" w:sz="6" w:space="0" w:color="auto"/>
              <w:right w:val="nil" w:sz="6" w:space="0" w:color="auto"/>
            </w:tcBorders>
          </w:tcPr>
          <w:p>
            <w:pPr/>
          </w:p>
        </w:tc>
        <w:tc>
          <w:tcPr>
            <w:tcW w:w="514" w:type="dxa"/>
            <w:tcBorders>
              <w:top w:val="nil" w:sz="6" w:space="0" w:color="auto"/>
              <w:left w:val="nil" w:sz="6" w:space="0" w:color="auto"/>
              <w:bottom w:val="nil" w:sz="6" w:space="0" w:color="auto"/>
              <w:right w:val="nil" w:sz="6" w:space="0" w:color="auto"/>
            </w:tcBorders>
          </w:tcPr>
          <w:p>
            <w:pPr/>
          </w:p>
        </w:tc>
        <w:tc>
          <w:tcPr>
            <w:tcW w:w="977"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r>
      <w:tr>
        <w:trPr>
          <w:trHeight w:val="252" w:hRule="exact"/>
        </w:trPr>
        <w:tc>
          <w:tcPr>
            <w:tcW w:w="1142"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黑体" w:hAnsi="黑体" w:cs="黑体" w:eastAsia="黑体" w:hint="default"/>
                <w:sz w:val="16"/>
                <w:szCs w:val="16"/>
              </w:rPr>
            </w:pPr>
            <w:r>
              <w:rPr>
                <w:rFonts w:ascii="黑体" w:hAnsi="黑体" w:cs="黑体" w:eastAsia="黑体" w:hint="default"/>
                <w:sz w:val="16"/>
                <w:szCs w:val="16"/>
              </w:rPr>
              <w:t>风险较大</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51"/>
              <w:jc w:val="right"/>
              <w:rPr>
                <w:rFonts w:ascii="Arial" w:hAnsi="Arial" w:cs="Arial" w:eastAsia="Arial" w:hint="default"/>
                <w:sz w:val="16"/>
                <w:szCs w:val="16"/>
              </w:rPr>
            </w:pPr>
            <w:r>
              <w:rPr>
                <w:rFonts w:ascii="Arial"/>
                <w:w w:val="95"/>
                <w:sz w:val="16"/>
              </w:rPr>
              <w:t>33,399,866</w:t>
            </w:r>
            <w:r>
              <w:rPr>
                <w:rFonts w:ascii="Arial"/>
                <w:sz w:val="16"/>
              </w:rPr>
            </w:r>
          </w:p>
        </w:tc>
        <w:tc>
          <w:tcPr>
            <w:tcW w:w="460"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05" w:right="0"/>
              <w:jc w:val="center"/>
              <w:rPr>
                <w:rFonts w:ascii="Arial" w:hAnsi="Arial" w:cs="Arial" w:eastAsia="Arial" w:hint="default"/>
                <w:sz w:val="16"/>
                <w:szCs w:val="16"/>
              </w:rPr>
            </w:pPr>
            <w:r>
              <w:rPr>
                <w:rFonts w:ascii="Arial"/>
                <w:sz w:val="16"/>
              </w:rPr>
              <w:t>12</w:t>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51"/>
              <w:jc w:val="right"/>
              <w:rPr>
                <w:rFonts w:ascii="Arial" w:hAnsi="Arial" w:cs="Arial" w:eastAsia="Arial" w:hint="default"/>
                <w:sz w:val="16"/>
                <w:szCs w:val="16"/>
              </w:rPr>
            </w:pPr>
            <w:r>
              <w:rPr>
                <w:rFonts w:ascii="Arial"/>
                <w:w w:val="95"/>
                <w:sz w:val="16"/>
              </w:rPr>
              <w:t>18,625,397</w:t>
            </w:r>
            <w:r>
              <w:rPr>
                <w:rFonts w:ascii="Arial"/>
                <w:sz w:val="16"/>
              </w:rPr>
            </w:r>
          </w:p>
        </w:tc>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0"/>
              <w:jc w:val="right"/>
              <w:rPr>
                <w:rFonts w:ascii="Arial" w:hAnsi="Arial" w:cs="Arial" w:eastAsia="Arial" w:hint="default"/>
                <w:sz w:val="16"/>
                <w:szCs w:val="16"/>
              </w:rPr>
            </w:pPr>
            <w:r>
              <w:rPr>
                <w:rFonts w:ascii="Arial"/>
                <w:w w:val="95"/>
                <w:sz w:val="16"/>
              </w:rPr>
              <w:t>56</w:t>
            </w:r>
            <w:r>
              <w:rPr>
                <w:rFonts w:ascii="Arial"/>
                <w:sz w:val="16"/>
              </w:rPr>
            </w:r>
          </w:p>
        </w:tc>
        <w:tc>
          <w:tcPr>
            <w:tcW w:w="13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7"/>
              <w:ind w:left="438" w:right="0"/>
              <w:jc w:val="left"/>
              <w:rPr>
                <w:rFonts w:ascii="Arial" w:hAnsi="Arial" w:cs="Arial" w:eastAsia="Arial" w:hint="default"/>
                <w:sz w:val="16"/>
                <w:szCs w:val="16"/>
              </w:rPr>
            </w:pPr>
            <w:r>
              <w:rPr>
                <w:rFonts w:ascii="Arial"/>
                <w:sz w:val="16"/>
              </w:rPr>
              <w:t>22,279,524</w:t>
            </w:r>
          </w:p>
        </w:tc>
        <w:tc>
          <w:tcPr>
            <w:tcW w:w="514"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99"/>
              <w:jc w:val="right"/>
              <w:rPr>
                <w:rFonts w:ascii="Arial" w:hAnsi="Arial" w:cs="Arial" w:eastAsia="Arial" w:hint="default"/>
                <w:sz w:val="16"/>
                <w:szCs w:val="16"/>
              </w:rPr>
            </w:pPr>
            <w:r>
              <w:rPr>
                <w:rFonts w:ascii="Arial"/>
                <w:w w:val="95"/>
                <w:sz w:val="16"/>
              </w:rPr>
              <w:t>13</w:t>
            </w:r>
            <w:r>
              <w:rPr>
                <w:rFonts w:ascii="Arial"/>
                <w:sz w:val="16"/>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62"/>
              <w:jc w:val="right"/>
              <w:rPr>
                <w:rFonts w:ascii="Arial" w:hAnsi="Arial" w:cs="Arial" w:eastAsia="Arial" w:hint="default"/>
                <w:sz w:val="16"/>
                <w:szCs w:val="16"/>
              </w:rPr>
            </w:pPr>
            <w:r>
              <w:rPr>
                <w:rFonts w:ascii="Arial"/>
                <w:w w:val="95"/>
                <w:sz w:val="16"/>
              </w:rPr>
              <w:t>15,722,937</w:t>
            </w:r>
            <w:r>
              <w:rPr>
                <w:rFonts w:ascii="Arial"/>
                <w:sz w:val="16"/>
              </w:rPr>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5"/>
              <w:jc w:val="right"/>
              <w:rPr>
                <w:rFonts w:ascii="Arial" w:hAnsi="Arial" w:cs="Arial" w:eastAsia="Arial" w:hint="default"/>
                <w:sz w:val="16"/>
                <w:szCs w:val="16"/>
              </w:rPr>
            </w:pPr>
            <w:r>
              <w:rPr>
                <w:rFonts w:ascii="Arial"/>
                <w:w w:val="95"/>
                <w:sz w:val="16"/>
              </w:rPr>
              <w:t>71</w:t>
            </w:r>
            <w:r>
              <w:rPr>
                <w:rFonts w:ascii="Arial"/>
                <w:sz w:val="16"/>
              </w:rPr>
            </w:r>
          </w:p>
        </w:tc>
      </w:tr>
      <w:tr>
        <w:trPr>
          <w:trHeight w:val="260" w:hRule="exact"/>
        </w:trPr>
        <w:tc>
          <w:tcPr>
            <w:tcW w:w="1142" w:type="dxa"/>
            <w:tcBorders>
              <w:top w:val="nil" w:sz="6" w:space="0" w:color="auto"/>
              <w:left w:val="nil" w:sz="6" w:space="0" w:color="auto"/>
              <w:bottom w:val="nil" w:sz="6" w:space="0" w:color="auto"/>
              <w:right w:val="nil" w:sz="6" w:space="0" w:color="auto"/>
            </w:tcBorders>
          </w:tcPr>
          <w:p>
            <w:pPr>
              <w:pStyle w:val="TableParagraph"/>
              <w:spacing w:line="204" w:lineRule="exact"/>
              <w:ind w:left="35" w:right="0"/>
              <w:jc w:val="left"/>
              <w:rPr>
                <w:rFonts w:ascii="黑体" w:hAnsi="黑体" w:cs="黑体" w:eastAsia="黑体" w:hint="default"/>
                <w:sz w:val="16"/>
                <w:szCs w:val="16"/>
              </w:rPr>
            </w:pPr>
            <w:r>
              <w:rPr>
                <w:rFonts w:ascii="黑体" w:hAnsi="黑体" w:cs="黑体" w:eastAsia="黑体" w:hint="default"/>
                <w:sz w:val="16"/>
                <w:szCs w:val="16"/>
              </w:rPr>
              <w:t>其他不重大</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1"/>
              <w:jc w:val="right"/>
              <w:rPr>
                <w:rFonts w:ascii="Arial" w:hAnsi="Arial" w:cs="Arial" w:eastAsia="Arial" w:hint="default"/>
                <w:sz w:val="16"/>
                <w:szCs w:val="16"/>
              </w:rPr>
            </w:pPr>
            <w:r>
              <w:rPr>
                <w:rFonts w:ascii="Arial"/>
                <w:w w:val="99"/>
                <w:sz w:val="16"/>
              </w:rPr>
            </w:r>
            <w:r>
              <w:rPr>
                <w:rFonts w:ascii="Arial"/>
                <w:w w:val="95"/>
                <w:sz w:val="16"/>
                <w:u w:val="single" w:color="000000"/>
              </w:rPr>
              <w:t>194,177,993</w:t>
            </w:r>
            <w:r>
              <w:rPr>
                <w:rFonts w:ascii="Arial"/>
                <w:w w:val="95"/>
                <w:sz w:val="16"/>
              </w:rPr>
            </w:r>
            <w:r>
              <w:rPr>
                <w:rFonts w:ascii="Arial"/>
                <w:sz w:val="16"/>
              </w:rPr>
            </w:r>
          </w:p>
        </w:tc>
        <w:tc>
          <w:tcPr>
            <w:tcW w:w="46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2"/>
              <w:jc w:val="center"/>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pacing w:val="21"/>
                <w:sz w:val="16"/>
                <w:u w:val="single" w:color="000000"/>
              </w:rPr>
              <w:t> </w:t>
            </w:r>
            <w:r>
              <w:rPr>
                <w:rFonts w:ascii="Arial"/>
                <w:sz w:val="16"/>
                <w:u w:val="single" w:color="000000"/>
              </w:rPr>
              <w:t>71</w:t>
            </w:r>
            <w:r>
              <w:rPr>
                <w:rFonts w:ascii="Arial"/>
                <w:sz w:val="16"/>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0"/>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19"/>
                <w:sz w:val="16"/>
                <w:u w:val="single" w:color="000000"/>
              </w:rPr>
              <w:t> </w:t>
            </w:r>
            <w:r>
              <w:rPr>
                <w:rFonts w:ascii="Arial"/>
                <w:w w:val="95"/>
                <w:sz w:val="16"/>
                <w:u w:val="single" w:color="000000"/>
              </w:rPr>
              <w:t>461,981</w:t>
            </w:r>
            <w:r>
              <w:rPr>
                <w:rFonts w:ascii="Arial"/>
                <w:w w:val="95"/>
                <w:sz w:val="16"/>
              </w:rPr>
            </w:r>
            <w:r>
              <w:rPr>
                <w:rFonts w:ascii="Arial"/>
                <w:sz w:val="16"/>
              </w:rPr>
            </w:r>
          </w:p>
        </w:tc>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0"/>
              <w:jc w:val="right"/>
              <w:rPr>
                <w:rFonts w:ascii="Arial" w:hAnsi="Arial" w:cs="Arial" w:eastAsia="Arial" w:hint="default"/>
                <w:sz w:val="16"/>
                <w:szCs w:val="16"/>
              </w:rPr>
            </w:pPr>
            <w:r>
              <w:rPr>
                <w:rFonts w:ascii="Arial"/>
                <w:w w:val="95"/>
                <w:sz w:val="16"/>
              </w:rPr>
              <w:t>&lt;1</w:t>
            </w:r>
            <w:r>
              <w:rPr>
                <w:rFonts w:ascii="Arial"/>
                <w:sz w:val="16"/>
              </w:rPr>
            </w:r>
          </w:p>
        </w:tc>
        <w:tc>
          <w:tcPr>
            <w:tcW w:w="13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1"/>
              <w:ind w:left="350" w:right="0"/>
              <w:jc w:val="left"/>
              <w:rPr>
                <w:rFonts w:ascii="Arial" w:hAnsi="Arial" w:cs="Arial" w:eastAsia="Arial" w:hint="default"/>
                <w:sz w:val="16"/>
                <w:szCs w:val="16"/>
              </w:rPr>
            </w:pPr>
            <w:r>
              <w:rPr>
                <w:rFonts w:ascii="Arial"/>
                <w:w w:val="99"/>
                <w:sz w:val="16"/>
              </w:rPr>
            </w:r>
            <w:r>
              <w:rPr>
                <w:rFonts w:ascii="Arial"/>
                <w:sz w:val="16"/>
                <w:u w:val="single" w:color="000000"/>
              </w:rPr>
              <w:t>111,348,612</w:t>
            </w:r>
            <w:r>
              <w:rPr>
                <w:rFonts w:ascii="Arial"/>
                <w:sz w:val="16"/>
              </w:rPr>
            </w:r>
          </w:p>
        </w:tc>
        <w:tc>
          <w:tcPr>
            <w:tcW w:w="514"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98"/>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pacing w:val="1"/>
                <w:sz w:val="16"/>
                <w:u w:val="single" w:color="000000"/>
              </w:rPr>
              <w:t> </w:t>
            </w:r>
            <w:r>
              <w:rPr>
                <w:rFonts w:ascii="Arial"/>
                <w:w w:val="95"/>
                <w:sz w:val="16"/>
                <w:u w:val="single" w:color="000000"/>
              </w:rPr>
              <w:t>67</w:t>
            </w:r>
            <w:r>
              <w:rPr>
                <w:rFonts w:ascii="Arial"/>
                <w:w w:val="95"/>
                <w:sz w:val="16"/>
              </w:rPr>
            </w:r>
            <w:r>
              <w:rPr>
                <w:rFonts w:ascii="Arial"/>
                <w:sz w:val="16"/>
              </w:rPr>
            </w:r>
          </w:p>
        </w:tc>
        <w:tc>
          <w:tcPr>
            <w:tcW w:w="977" w:type="dxa"/>
            <w:tcBorders>
              <w:top w:val="nil" w:sz="6" w:space="0" w:color="auto"/>
              <w:left w:val="nil" w:sz="6" w:space="0" w:color="auto"/>
              <w:bottom w:val="nil" w:sz="6" w:space="0" w:color="auto"/>
              <w:right w:val="nil" w:sz="6" w:space="0" w:color="auto"/>
            </w:tcBorders>
          </w:tcPr>
          <w:p>
            <w:pPr>
              <w:pStyle w:val="TableParagraph"/>
              <w:tabs>
                <w:tab w:pos="760" w:val="left" w:leader="none"/>
              </w:tabs>
              <w:spacing w:line="240" w:lineRule="auto" w:before="31"/>
              <w:ind w:right="60"/>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r>
            <w:r>
              <w:rPr>
                <w:rFonts w:ascii="Arial"/>
                <w:w w:val="95"/>
                <w:sz w:val="16"/>
                <w:u w:val="single" w:color="000000"/>
              </w:rPr>
              <w:t>-</w:t>
            </w:r>
            <w:r>
              <w:rPr>
                <w:rFonts w:ascii="Arial"/>
                <w:w w:val="95"/>
                <w:sz w:val="16"/>
              </w:rPr>
            </w:r>
            <w:r>
              <w:rPr>
                <w:rFonts w:ascii="Arial"/>
                <w:sz w:val="16"/>
              </w:rPr>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3"/>
              <w:jc w:val="right"/>
              <w:rPr>
                <w:rFonts w:ascii="Arial" w:hAnsi="Arial" w:cs="Arial" w:eastAsia="Arial" w:hint="default"/>
                <w:sz w:val="16"/>
                <w:szCs w:val="16"/>
              </w:rPr>
            </w:pPr>
            <w:r>
              <w:rPr>
                <w:rFonts w:ascii="Arial"/>
                <w:w w:val="99"/>
                <w:sz w:val="16"/>
              </w:rPr>
              <w:t>-</w:t>
            </w:r>
            <w:r>
              <w:rPr>
                <w:rFonts w:ascii="Arial"/>
                <w:sz w:val="16"/>
              </w:rPr>
            </w:r>
          </w:p>
        </w:tc>
      </w:tr>
      <w:tr>
        <w:trPr>
          <w:trHeight w:val="308" w:hRule="exact"/>
        </w:trPr>
        <w:tc>
          <w:tcPr>
            <w:tcW w:w="1142" w:type="dxa"/>
            <w:tcBorders>
              <w:top w:val="nil" w:sz="6" w:space="0" w:color="auto"/>
              <w:left w:val="nil" w:sz="6" w:space="0" w:color="auto"/>
              <w:bottom w:val="nil" w:sz="6" w:space="0" w:color="auto"/>
              <w:right w:val="nil" w:sz="6" w:space="0" w:color="auto"/>
            </w:tcBorders>
          </w:tcPr>
          <w:p>
            <w:pP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51"/>
              <w:jc w:val="right"/>
              <w:rPr>
                <w:rFonts w:ascii="Arial" w:hAnsi="Arial" w:cs="Arial" w:eastAsia="Arial" w:hint="default"/>
                <w:sz w:val="16"/>
                <w:szCs w:val="16"/>
              </w:rPr>
            </w:pPr>
            <w:r>
              <w:rPr>
                <w:rFonts w:ascii="Arial"/>
                <w:w w:val="99"/>
                <w:sz w:val="16"/>
              </w:rPr>
            </w:r>
            <w:r>
              <w:rPr>
                <w:rFonts w:ascii="Arial"/>
                <w:w w:val="95"/>
                <w:sz w:val="16"/>
                <w:u w:val="thick" w:color="000000"/>
              </w:rPr>
              <w:t>273,810,404</w:t>
            </w:r>
            <w:r>
              <w:rPr>
                <w:rFonts w:ascii="Arial"/>
                <w:w w:val="95"/>
                <w:sz w:val="16"/>
              </w:rPr>
            </w:r>
            <w:r>
              <w:rPr>
                <w:rFonts w:ascii="Arial"/>
                <w:sz w:val="16"/>
              </w:rPr>
            </w:r>
          </w:p>
        </w:tc>
        <w:tc>
          <w:tcPr>
            <w:tcW w:w="460"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7" w:right="0"/>
              <w:jc w:val="center"/>
              <w:rPr>
                <w:rFonts w:ascii="Arial" w:hAnsi="Arial" w:cs="Arial" w:eastAsia="Arial" w:hint="default"/>
                <w:sz w:val="16"/>
                <w:szCs w:val="16"/>
              </w:rPr>
            </w:pPr>
            <w:r>
              <w:rPr>
                <w:rFonts w:ascii="Arial"/>
                <w:w w:val="99"/>
                <w:sz w:val="16"/>
              </w:rPr>
            </w:r>
            <w:r>
              <w:rPr>
                <w:rFonts w:ascii="Arial"/>
                <w:sz w:val="16"/>
                <w:u w:val="thick" w:color="000000"/>
              </w:rPr>
              <w:t>100</w:t>
            </w:r>
            <w:r>
              <w:rPr>
                <w:rFonts w:ascii="Arial"/>
                <w:sz w:val="16"/>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51"/>
              <w:jc w:val="right"/>
              <w:rPr>
                <w:rFonts w:ascii="Arial" w:hAnsi="Arial" w:cs="Arial" w:eastAsia="Arial" w:hint="default"/>
                <w:sz w:val="16"/>
                <w:szCs w:val="16"/>
              </w:rPr>
            </w:pPr>
            <w:r>
              <w:rPr>
                <w:rFonts w:ascii="Arial"/>
                <w:w w:val="99"/>
                <w:sz w:val="16"/>
              </w:rPr>
            </w:r>
            <w:r>
              <w:rPr>
                <w:rFonts w:ascii="Arial"/>
                <w:w w:val="95"/>
                <w:sz w:val="16"/>
                <w:u w:val="thick" w:color="000000"/>
              </w:rPr>
              <w:t>19,717,378</w:t>
            </w:r>
            <w:r>
              <w:rPr>
                <w:rFonts w:ascii="Arial"/>
                <w:w w:val="95"/>
                <w:sz w:val="16"/>
              </w:rPr>
            </w:r>
            <w:r>
              <w:rPr>
                <w:rFonts w:ascii="Arial"/>
                <w:sz w:val="16"/>
              </w:rPr>
            </w:r>
          </w:p>
        </w:tc>
        <w:tc>
          <w:tcPr>
            <w:tcW w:w="691" w:type="dxa"/>
            <w:tcBorders>
              <w:top w:val="nil" w:sz="6" w:space="0" w:color="auto"/>
              <w:left w:val="nil" w:sz="6" w:space="0" w:color="auto"/>
              <w:bottom w:val="nil" w:sz="6" w:space="0" w:color="auto"/>
              <w:right w:val="nil" w:sz="6" w:space="0" w:color="auto"/>
            </w:tcBorders>
          </w:tcPr>
          <w:p>
            <w:pPr/>
          </w:p>
        </w:tc>
        <w:tc>
          <w:tcPr>
            <w:tcW w:w="13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7"/>
              <w:ind w:left="350" w:right="0"/>
              <w:jc w:val="left"/>
              <w:rPr>
                <w:rFonts w:ascii="Arial" w:hAnsi="Arial" w:cs="Arial" w:eastAsia="Arial" w:hint="default"/>
                <w:sz w:val="16"/>
                <w:szCs w:val="16"/>
              </w:rPr>
            </w:pPr>
            <w:r>
              <w:rPr>
                <w:rFonts w:ascii="Arial"/>
                <w:w w:val="99"/>
                <w:sz w:val="16"/>
              </w:rPr>
            </w:r>
            <w:r>
              <w:rPr>
                <w:rFonts w:ascii="Arial"/>
                <w:sz w:val="16"/>
                <w:u w:val="thick" w:color="000000"/>
              </w:rPr>
              <w:t>168,012,837</w:t>
            </w:r>
            <w:r>
              <w:rPr>
                <w:rFonts w:ascii="Arial"/>
                <w:sz w:val="16"/>
              </w:rPr>
            </w:r>
          </w:p>
        </w:tc>
        <w:tc>
          <w:tcPr>
            <w:tcW w:w="514"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98"/>
              <w:jc w:val="right"/>
              <w:rPr>
                <w:rFonts w:ascii="Arial" w:hAnsi="Arial" w:cs="Arial" w:eastAsia="Arial" w:hint="default"/>
                <w:sz w:val="16"/>
                <w:szCs w:val="16"/>
              </w:rPr>
            </w:pPr>
            <w:r>
              <w:rPr>
                <w:rFonts w:ascii="Arial"/>
                <w:w w:val="99"/>
                <w:sz w:val="16"/>
              </w:rPr>
            </w:r>
            <w:r>
              <w:rPr>
                <w:rFonts w:ascii="Arial"/>
                <w:w w:val="95"/>
                <w:sz w:val="16"/>
                <w:u w:val="thick" w:color="000000"/>
              </w:rPr>
              <w:t>100</w:t>
            </w:r>
            <w:r>
              <w:rPr>
                <w:rFonts w:ascii="Arial"/>
                <w:w w:val="95"/>
                <w:sz w:val="16"/>
              </w:rPr>
            </w:r>
            <w:r>
              <w:rPr>
                <w:rFonts w:ascii="Arial"/>
                <w:sz w:val="16"/>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61"/>
              <w:jc w:val="right"/>
              <w:rPr>
                <w:rFonts w:ascii="Arial" w:hAnsi="Arial" w:cs="Arial" w:eastAsia="Arial" w:hint="default"/>
                <w:sz w:val="16"/>
                <w:szCs w:val="16"/>
              </w:rPr>
            </w:pPr>
            <w:r>
              <w:rPr>
                <w:rFonts w:ascii="Arial"/>
                <w:w w:val="99"/>
                <w:sz w:val="16"/>
              </w:rPr>
            </w:r>
            <w:r>
              <w:rPr>
                <w:rFonts w:ascii="Arial"/>
                <w:w w:val="95"/>
                <w:sz w:val="16"/>
                <w:u w:val="thick" w:color="000000"/>
              </w:rPr>
              <w:t>15,722,937</w:t>
            </w:r>
            <w:r>
              <w:rPr>
                <w:rFonts w:ascii="Arial"/>
                <w:w w:val="95"/>
                <w:sz w:val="16"/>
              </w:rPr>
            </w:r>
            <w:r>
              <w:rPr>
                <w:rFonts w:ascii="Arial"/>
                <w:sz w:val="16"/>
              </w:rPr>
            </w:r>
          </w:p>
        </w:tc>
        <w:tc>
          <w:tcPr>
            <w:tcW w:w="737"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黑体" w:hAnsi="黑体" w:cs="黑体" w:eastAsia="黑体" w:hint="default"/>
          <w:b/>
          <w:bCs/>
          <w:sz w:val="12"/>
          <w:szCs w:val="12"/>
        </w:rPr>
      </w:pPr>
    </w:p>
    <w:p>
      <w:pPr>
        <w:pStyle w:val="BodyText"/>
        <w:spacing w:line="261" w:lineRule="auto" w:before="38"/>
        <w:ind w:right="174" w:hanging="1"/>
        <w:jc w:val="left"/>
      </w:pPr>
      <w:r>
        <w:rPr>
          <w:spacing w:val="-3"/>
          <w:w w:val="100"/>
        </w:rPr>
        <w:t>于</w:t>
      </w:r>
      <w:r>
        <w:rPr>
          <w:rFonts w:ascii="Arial" w:hAnsi="Arial" w:cs="Arial" w:eastAsia="Arial" w:hint="default"/>
          <w:spacing w:val="-3"/>
          <w:w w:val="100"/>
        </w:rPr>
        <w:t>2009</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日，单项金额重大或虽不重大但单独进行减值测试的应收账款坏账计提准</w:t>
      </w:r>
      <w:r>
        <w:rPr>
          <w:spacing w:val="-97"/>
          <w:w w:val="100"/>
        </w:rPr>
        <w:t> </w:t>
      </w:r>
      <w:r>
        <w:rPr>
          <w:spacing w:val="-97"/>
          <w:w w:val="100"/>
        </w:rPr>
      </w:r>
      <w:r>
        <w:rPr/>
        <w:t>备如下：</w:t>
      </w:r>
    </w:p>
    <w:p>
      <w:pPr>
        <w:spacing w:line="240" w:lineRule="auto" w:before="4"/>
        <w:rPr>
          <w:rFonts w:ascii="黑体" w:hAnsi="黑体" w:cs="黑体" w:eastAsia="黑体" w:hint="default"/>
          <w:sz w:val="23"/>
          <w:szCs w:val="23"/>
        </w:rPr>
      </w:pPr>
    </w:p>
    <w:tbl>
      <w:tblPr>
        <w:tblW w:w="0" w:type="auto"/>
        <w:jc w:val="left"/>
        <w:tblInd w:w="796" w:type="dxa"/>
        <w:tblLayout w:type="fixed"/>
        <w:tblCellMar>
          <w:top w:w="0" w:type="dxa"/>
          <w:left w:w="0" w:type="dxa"/>
          <w:bottom w:w="0" w:type="dxa"/>
          <w:right w:w="0" w:type="dxa"/>
        </w:tblCellMar>
        <w:tblLook w:val="01E0"/>
      </w:tblPr>
      <w:tblGrid>
        <w:gridCol w:w="2213"/>
        <w:gridCol w:w="1516"/>
        <w:gridCol w:w="1172"/>
        <w:gridCol w:w="1179"/>
        <w:gridCol w:w="1766"/>
      </w:tblGrid>
      <w:tr>
        <w:trPr>
          <w:trHeight w:val="792" w:hRule="exact"/>
        </w:trPr>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6"/>
                <w:szCs w:val="16"/>
              </w:rPr>
            </w:pPr>
          </w:p>
          <w:p>
            <w:pPr>
              <w:pStyle w:val="TableParagraph"/>
              <w:spacing w:line="240" w:lineRule="auto"/>
              <w:ind w:right="0"/>
              <w:jc w:val="left"/>
              <w:rPr>
                <w:rFonts w:ascii="黑体" w:hAnsi="黑体" w:cs="黑体" w:eastAsia="黑体" w:hint="default"/>
                <w:sz w:val="16"/>
                <w:szCs w:val="16"/>
              </w:rPr>
            </w:pPr>
          </w:p>
          <w:p>
            <w:pPr>
              <w:pStyle w:val="TableParagraph"/>
              <w:spacing w:line="240" w:lineRule="auto" w:before="111"/>
              <w:ind w:left="35" w:right="0"/>
              <w:jc w:val="left"/>
              <w:rPr>
                <w:rFonts w:ascii="黑体" w:hAnsi="黑体" w:cs="黑体" w:eastAsia="黑体" w:hint="default"/>
                <w:sz w:val="16"/>
                <w:szCs w:val="16"/>
              </w:rPr>
            </w:pPr>
            <w:r>
              <w:rPr>
                <w:rFonts w:ascii="黑体" w:hAnsi="黑体" w:cs="黑体" w:eastAsia="黑体" w:hint="default"/>
                <w:sz w:val="16"/>
                <w:szCs w:val="16"/>
              </w:rPr>
              <w:t>中国机械工业集团公司</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07" w:right="0" w:firstLine="71"/>
              <w:jc w:val="left"/>
              <w:rPr>
                <w:rFonts w:ascii="黑体" w:hAnsi="黑体" w:cs="黑体" w:eastAsia="黑体" w:hint="default"/>
                <w:sz w:val="16"/>
                <w:szCs w:val="16"/>
              </w:rPr>
            </w:pPr>
            <w:r>
              <w:rPr>
                <w:rFonts w:ascii="黑体" w:hAnsi="黑体" w:cs="黑体" w:eastAsia="黑体" w:hint="default"/>
                <w:sz w:val="16"/>
                <w:szCs w:val="16"/>
              </w:rPr>
              <w:t>账面余额</w:t>
            </w:r>
          </w:p>
          <w:p>
            <w:pPr>
              <w:pStyle w:val="TableParagraph"/>
              <w:spacing w:line="240" w:lineRule="auto" w:before="7"/>
              <w:ind w:right="0"/>
              <w:jc w:val="left"/>
              <w:rPr>
                <w:rFonts w:ascii="黑体" w:hAnsi="黑体" w:cs="黑体" w:eastAsia="黑体" w:hint="default"/>
                <w:sz w:val="23"/>
                <w:szCs w:val="23"/>
              </w:rPr>
            </w:pPr>
          </w:p>
          <w:p>
            <w:pPr>
              <w:pStyle w:val="TableParagraph"/>
              <w:spacing w:line="240" w:lineRule="auto"/>
              <w:ind w:left="607" w:right="0"/>
              <w:jc w:val="left"/>
              <w:rPr>
                <w:rFonts w:ascii="Arial" w:hAnsi="Arial" w:cs="Arial" w:eastAsia="Arial" w:hint="default"/>
                <w:sz w:val="16"/>
                <w:szCs w:val="16"/>
              </w:rPr>
            </w:pPr>
            <w:r>
              <w:rPr>
                <w:rFonts w:ascii="Arial"/>
                <w:sz w:val="16"/>
              </w:rPr>
              <w:t>1,410,600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8" w:right="0" w:hanging="62"/>
              <w:jc w:val="left"/>
              <w:rPr>
                <w:rFonts w:ascii="黑体" w:hAnsi="黑体" w:cs="黑体" w:eastAsia="黑体" w:hint="default"/>
                <w:sz w:val="16"/>
                <w:szCs w:val="16"/>
              </w:rPr>
            </w:pPr>
            <w:r>
              <w:rPr>
                <w:rFonts w:ascii="黑体" w:hAnsi="黑体" w:cs="黑体" w:eastAsia="黑体" w:hint="default"/>
                <w:sz w:val="16"/>
                <w:szCs w:val="16"/>
              </w:rPr>
              <w:t>坏账准备</w:t>
            </w:r>
          </w:p>
          <w:p>
            <w:pPr>
              <w:pStyle w:val="TableParagraph"/>
              <w:spacing w:line="240" w:lineRule="auto" w:before="7"/>
              <w:ind w:right="0"/>
              <w:jc w:val="left"/>
              <w:rPr>
                <w:rFonts w:ascii="黑体" w:hAnsi="黑体" w:cs="黑体" w:eastAsia="黑体" w:hint="default"/>
                <w:sz w:val="23"/>
                <w:szCs w:val="23"/>
              </w:rPr>
            </w:pPr>
          </w:p>
          <w:p>
            <w:pPr>
              <w:pStyle w:val="TableParagraph"/>
              <w:spacing w:line="240" w:lineRule="auto"/>
              <w:ind w:left="358" w:right="0"/>
              <w:jc w:val="left"/>
              <w:rPr>
                <w:rFonts w:ascii="Arial" w:hAnsi="Arial" w:cs="Arial" w:eastAsia="Arial" w:hint="default"/>
                <w:sz w:val="16"/>
                <w:szCs w:val="16"/>
              </w:rPr>
            </w:pPr>
            <w:r>
              <w:rPr>
                <w:rFonts w:ascii="Arial"/>
                <w:sz w:val="16"/>
              </w:rPr>
              <w:t>630,000</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3"/>
              <w:jc w:val="right"/>
              <w:rPr>
                <w:rFonts w:ascii="Arial" w:hAnsi="Arial" w:cs="Arial" w:eastAsia="Arial" w:hint="default"/>
                <w:sz w:val="16"/>
                <w:szCs w:val="16"/>
              </w:rPr>
            </w:pPr>
            <w:r>
              <w:rPr>
                <w:rFonts w:ascii="黑体" w:hAnsi="黑体" w:cs="黑体" w:eastAsia="黑体" w:hint="default"/>
                <w:w w:val="95"/>
                <w:sz w:val="16"/>
                <w:szCs w:val="16"/>
              </w:rPr>
              <w:t>计提比例</w:t>
            </w:r>
            <w:r>
              <w:rPr>
                <w:rFonts w:ascii="Arial" w:hAnsi="Arial" w:cs="Arial" w:eastAsia="Arial" w:hint="default"/>
                <w:w w:val="95"/>
                <w:sz w:val="16"/>
                <w:szCs w:val="16"/>
              </w:rPr>
              <w:t>(%)</w:t>
            </w:r>
            <w:r>
              <w:rPr>
                <w:rFonts w:ascii="Arial" w:hAnsi="Arial" w:cs="Arial" w:eastAsia="Arial" w:hint="default"/>
                <w:sz w:val="16"/>
                <w:szCs w:val="16"/>
              </w:rPr>
            </w:r>
          </w:p>
          <w:p>
            <w:pPr>
              <w:pStyle w:val="TableParagraph"/>
              <w:spacing w:line="240" w:lineRule="auto" w:before="8"/>
              <w:ind w:right="0"/>
              <w:jc w:val="left"/>
              <w:rPr>
                <w:rFonts w:ascii="黑体" w:hAnsi="黑体" w:cs="黑体" w:eastAsia="黑体" w:hint="default"/>
                <w:sz w:val="22"/>
                <w:szCs w:val="22"/>
              </w:rPr>
            </w:pPr>
          </w:p>
          <w:p>
            <w:pPr>
              <w:pStyle w:val="TableParagraph"/>
              <w:spacing w:line="240" w:lineRule="auto"/>
              <w:ind w:right="53"/>
              <w:jc w:val="right"/>
              <w:rPr>
                <w:rFonts w:ascii="Arial" w:hAnsi="Arial" w:cs="Arial" w:eastAsia="Arial" w:hint="default"/>
                <w:sz w:val="16"/>
                <w:szCs w:val="16"/>
              </w:rPr>
            </w:pPr>
            <w:r>
              <w:rPr>
                <w:rFonts w:ascii="Arial"/>
                <w:w w:val="95"/>
                <w:sz w:val="16"/>
              </w:rPr>
              <w:t>45</w:t>
            </w:r>
            <w:r>
              <w:rPr>
                <w:rFonts w:ascii="Arial"/>
                <w:sz w:val="16"/>
              </w:rPr>
            </w:r>
          </w:p>
        </w:tc>
        <w:tc>
          <w:tcPr>
            <w:tcW w:w="1766" w:type="dxa"/>
            <w:tcBorders>
              <w:top w:val="nil" w:sz="6" w:space="0" w:color="auto"/>
              <w:left w:val="nil" w:sz="6" w:space="0" w:color="auto"/>
              <w:bottom w:val="nil" w:sz="6" w:space="0" w:color="auto"/>
              <w:right w:val="nil" w:sz="6" w:space="0" w:color="auto"/>
            </w:tcBorders>
          </w:tcPr>
          <w:p>
            <w:pPr>
              <w:pStyle w:val="TableParagraph"/>
              <w:spacing w:line="268" w:lineRule="auto" w:before="50"/>
              <w:ind w:left="55" w:right="33" w:firstLine="1357"/>
              <w:jc w:val="right"/>
              <w:rPr>
                <w:rFonts w:ascii="黑体" w:hAnsi="黑体" w:cs="黑体" w:eastAsia="黑体" w:hint="default"/>
                <w:sz w:val="16"/>
                <w:szCs w:val="16"/>
              </w:rPr>
            </w:pPr>
            <w:r>
              <w:rPr>
                <w:rFonts w:ascii="黑体" w:hAnsi="黑体" w:cs="黑体" w:eastAsia="黑体" w:hint="default"/>
                <w:w w:val="95"/>
                <w:sz w:val="16"/>
                <w:szCs w:val="16"/>
              </w:rPr>
              <w:t>理由</w:t>
            </w:r>
            <w:r>
              <w:rPr>
                <w:rFonts w:ascii="黑体" w:hAnsi="黑体" w:cs="黑体" w:eastAsia="黑体" w:hint="default"/>
                <w:w w:val="99"/>
                <w:sz w:val="16"/>
                <w:szCs w:val="16"/>
              </w:rPr>
              <w:t> </w:t>
            </w:r>
            <w:r>
              <w:rPr>
                <w:rFonts w:ascii="Arial" w:hAnsi="Arial" w:cs="Arial" w:eastAsia="Arial" w:hint="default"/>
                <w:sz w:val="16"/>
                <w:szCs w:val="16"/>
              </w:rPr>
              <w:t>2008</w:t>
            </w:r>
            <w:r>
              <w:rPr>
                <w:rFonts w:ascii="Arial" w:hAnsi="Arial" w:cs="Arial" w:eastAsia="Arial" w:hint="default"/>
                <w:spacing w:val="-7"/>
                <w:sz w:val="16"/>
                <w:szCs w:val="16"/>
              </w:rPr>
              <w:t> </w:t>
            </w:r>
            <w:r>
              <w:rPr>
                <w:rFonts w:ascii="黑体" w:hAnsi="黑体" w:cs="黑体" w:eastAsia="黑体" w:hint="default"/>
                <w:sz w:val="16"/>
                <w:szCs w:val="16"/>
              </w:rPr>
              <w:t>年以前发出软件的</w:t>
            </w:r>
            <w:r>
              <w:rPr>
                <w:rFonts w:ascii="黑体" w:hAnsi="黑体" w:cs="黑体" w:eastAsia="黑体" w:hint="default"/>
                <w:w w:val="99"/>
                <w:sz w:val="16"/>
                <w:szCs w:val="16"/>
              </w:rPr>
              <w:t> </w:t>
            </w:r>
            <w:r>
              <w:rPr>
                <w:rFonts w:ascii="黑体" w:hAnsi="黑体" w:cs="黑体" w:eastAsia="黑体" w:hint="default"/>
                <w:w w:val="95"/>
                <w:sz w:val="16"/>
                <w:szCs w:val="16"/>
              </w:rPr>
              <w:t>逾期尚未收回货款</w:t>
            </w:r>
            <w:r>
              <w:rPr>
                <w:rFonts w:ascii="黑体" w:hAnsi="黑体" w:cs="黑体" w:eastAsia="黑体" w:hint="default"/>
                <w:sz w:val="16"/>
                <w:szCs w:val="16"/>
              </w:rPr>
            </w:r>
          </w:p>
        </w:tc>
      </w:tr>
      <w:tr>
        <w:trPr>
          <w:trHeight w:val="259" w:hRule="exact"/>
        </w:trPr>
        <w:tc>
          <w:tcPr>
            <w:tcW w:w="2213" w:type="dxa"/>
            <w:tcBorders>
              <w:top w:val="nil" w:sz="6" w:space="0" w:color="auto"/>
              <w:left w:val="nil" w:sz="6" w:space="0" w:color="auto"/>
              <w:bottom w:val="nil" w:sz="6" w:space="0" w:color="auto"/>
              <w:right w:val="nil" w:sz="6" w:space="0" w:color="auto"/>
            </w:tcBorders>
          </w:tcPr>
          <w:p>
            <w:pPr>
              <w:pStyle w:val="TableParagraph"/>
              <w:spacing w:line="204" w:lineRule="exact"/>
              <w:ind w:left="35" w:right="0"/>
              <w:jc w:val="left"/>
              <w:rPr>
                <w:rFonts w:ascii="黑体" w:hAnsi="黑体" w:cs="黑体" w:eastAsia="黑体" w:hint="default"/>
                <w:sz w:val="16"/>
                <w:szCs w:val="16"/>
              </w:rPr>
            </w:pPr>
            <w:r>
              <w:rPr>
                <w:rFonts w:ascii="黑体" w:hAnsi="黑体" w:cs="黑体" w:eastAsia="黑体" w:hint="default"/>
                <w:sz w:val="16"/>
                <w:szCs w:val="16"/>
              </w:rPr>
              <w:t>其他</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96"/>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17"/>
                <w:sz w:val="16"/>
                <w:u w:val="single" w:color="000000"/>
              </w:rPr>
              <w:t> </w:t>
            </w:r>
            <w:r>
              <w:rPr>
                <w:rFonts w:ascii="Arial"/>
                <w:w w:val="95"/>
                <w:sz w:val="16"/>
                <w:u w:val="single" w:color="000000"/>
              </w:rPr>
              <w:t>834,861</w:t>
            </w:r>
            <w:r>
              <w:rPr>
                <w:rFonts w:ascii="Arial"/>
                <w:w w:val="95"/>
                <w:sz w:val="16"/>
              </w:rPr>
            </w:r>
            <w:r>
              <w:rPr>
                <w:rFonts w:ascii="Arial"/>
                <w:sz w:val="16"/>
              </w:rPr>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97" w:right="0"/>
              <w:jc w:val="lef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17"/>
                <w:sz w:val="16"/>
                <w:u w:val="single" w:color="000000"/>
              </w:rPr>
              <w:t> </w:t>
            </w:r>
            <w:r>
              <w:rPr>
                <w:rFonts w:ascii="Arial"/>
                <w:sz w:val="16"/>
                <w:u w:val="single" w:color="000000"/>
              </w:rPr>
              <w:t>461,981</w:t>
            </w:r>
            <w:r>
              <w:rPr>
                <w:rFonts w:ascii="Arial"/>
                <w:sz w:val="16"/>
              </w:rPr>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3"/>
              <w:jc w:val="right"/>
              <w:rPr>
                <w:rFonts w:ascii="Arial" w:hAnsi="Arial" w:cs="Arial" w:eastAsia="Arial" w:hint="default"/>
                <w:sz w:val="16"/>
                <w:szCs w:val="16"/>
              </w:rPr>
            </w:pPr>
            <w:r>
              <w:rPr>
                <w:rFonts w:ascii="Arial"/>
                <w:w w:val="95"/>
                <w:sz w:val="16"/>
              </w:rPr>
              <w:t>55</w:t>
            </w:r>
            <w:r>
              <w:rPr>
                <w:rFonts w:ascii="Arial"/>
                <w:sz w:val="16"/>
              </w:rPr>
            </w:r>
          </w:p>
        </w:tc>
        <w:tc>
          <w:tcPr>
            <w:tcW w:w="1766" w:type="dxa"/>
            <w:tcBorders>
              <w:top w:val="nil" w:sz="6" w:space="0" w:color="auto"/>
              <w:left w:val="nil" w:sz="6" w:space="0" w:color="auto"/>
              <w:bottom w:val="nil" w:sz="6" w:space="0" w:color="auto"/>
              <w:right w:val="nil" w:sz="6" w:space="0" w:color="auto"/>
            </w:tcBorders>
          </w:tcPr>
          <w:p>
            <w:pPr/>
          </w:p>
        </w:tc>
      </w:tr>
      <w:tr>
        <w:trPr>
          <w:trHeight w:val="307" w:hRule="exact"/>
        </w:trPr>
        <w:tc>
          <w:tcPr>
            <w:tcW w:w="2213" w:type="dxa"/>
            <w:tcBorders>
              <w:top w:val="nil" w:sz="6" w:space="0" w:color="auto"/>
              <w:left w:val="nil" w:sz="6" w:space="0" w:color="auto"/>
              <w:bottom w:val="nil" w:sz="6" w:space="0" w:color="auto"/>
              <w:right w:val="nil" w:sz="6" w:space="0" w:color="auto"/>
            </w:tcBorders>
          </w:tcPr>
          <w:p>
            <w:pP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96"/>
              <w:jc w:val="right"/>
              <w:rPr>
                <w:rFonts w:ascii="Arial" w:hAnsi="Arial" w:cs="Arial" w:eastAsia="Arial" w:hint="default"/>
                <w:sz w:val="16"/>
                <w:szCs w:val="16"/>
              </w:rPr>
            </w:pPr>
            <w:r>
              <w:rPr>
                <w:rFonts w:ascii="Arial"/>
                <w:w w:val="99"/>
                <w:sz w:val="16"/>
              </w:rPr>
            </w:r>
            <w:r>
              <w:rPr>
                <w:rFonts w:ascii="Arial"/>
                <w:w w:val="95"/>
                <w:sz w:val="16"/>
                <w:u w:val="thick" w:color="000000"/>
              </w:rPr>
              <w:t>2,245,461</w:t>
            </w:r>
            <w:r>
              <w:rPr>
                <w:rFonts w:ascii="Arial"/>
                <w:w w:val="95"/>
                <w:sz w:val="16"/>
              </w:rPr>
            </w:r>
            <w:r>
              <w:rPr>
                <w:rFonts w:ascii="Arial"/>
                <w:sz w:val="16"/>
              </w:rPr>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25" w:right="0"/>
              <w:jc w:val="left"/>
              <w:rPr>
                <w:rFonts w:ascii="Arial" w:hAnsi="Arial" w:cs="Arial" w:eastAsia="Arial" w:hint="default"/>
                <w:sz w:val="16"/>
                <w:szCs w:val="16"/>
              </w:rPr>
            </w:pPr>
            <w:r>
              <w:rPr>
                <w:rFonts w:ascii="Arial"/>
                <w:w w:val="99"/>
                <w:sz w:val="16"/>
              </w:rPr>
            </w:r>
            <w:r>
              <w:rPr>
                <w:rFonts w:ascii="Arial"/>
                <w:sz w:val="16"/>
                <w:u w:val="thick" w:color="000000"/>
              </w:rPr>
              <w:t>1,091,981</w:t>
            </w:r>
            <w:r>
              <w:rPr>
                <w:rFonts w:ascii="Arial"/>
                <w:sz w:val="16"/>
              </w:rPr>
            </w:r>
          </w:p>
        </w:tc>
        <w:tc>
          <w:tcPr>
            <w:tcW w:w="1179"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
        </w:tc>
      </w:tr>
    </w:tbl>
    <w:p>
      <w:pPr>
        <w:spacing w:line="240" w:lineRule="auto" w:before="8"/>
        <w:rPr>
          <w:rFonts w:ascii="黑体" w:hAnsi="黑体" w:cs="黑体" w:eastAsia="黑体" w:hint="default"/>
          <w:sz w:val="12"/>
          <w:szCs w:val="12"/>
        </w:rPr>
      </w:pPr>
    </w:p>
    <w:p>
      <w:pPr>
        <w:pStyle w:val="BodyText"/>
        <w:spacing w:line="261" w:lineRule="auto" w:before="38"/>
        <w:ind w:right="112" w:hanging="1"/>
        <w:jc w:val="left"/>
      </w:pPr>
      <w:r>
        <w:rPr>
          <w:spacing w:val="-3"/>
        </w:rPr>
        <w:t>于</w:t>
      </w:r>
      <w:r>
        <w:rPr>
          <w:rFonts w:ascii="Arial" w:hAnsi="Arial" w:cs="Arial" w:eastAsia="Arial" w:hint="default"/>
          <w:spacing w:val="-3"/>
        </w:rPr>
        <w:t>2008</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日，单项金额重大的应收账款均未计提减值准备，亦无不重大但单独进行</w:t>
      </w:r>
      <w:r>
        <w:rPr>
          <w:spacing w:val="-82"/>
        </w:rPr>
        <w:t> </w:t>
      </w:r>
      <w:r>
        <w:rPr>
          <w:spacing w:val="-82"/>
        </w:rPr>
      </w:r>
      <w:r>
        <w:rPr/>
        <w:t>减值测试的应收账款。</w:t>
      </w:r>
    </w:p>
    <w:p>
      <w:pPr>
        <w:spacing w:line="240" w:lineRule="auto" w:before="6"/>
        <w:rPr>
          <w:rFonts w:ascii="黑体" w:hAnsi="黑体" w:cs="黑体" w:eastAsia="黑体" w:hint="default"/>
          <w:sz w:val="24"/>
          <w:szCs w:val="24"/>
        </w:rPr>
      </w:pPr>
    </w:p>
    <w:p>
      <w:pPr>
        <w:pStyle w:val="BodyText"/>
        <w:spacing w:line="261" w:lineRule="auto"/>
        <w:ind w:right="112"/>
        <w:jc w:val="left"/>
      </w:pPr>
      <w:r>
        <w:rPr>
          <w:spacing w:val="2"/>
        </w:rPr>
        <w:t>单项金额不重大但按信用风险特征组合后该组合的风险较大的应收账款如下</w:t>
      </w:r>
      <w:r>
        <w:rPr>
          <w:rFonts w:ascii="Arial" w:hAnsi="Arial" w:cs="Arial" w:eastAsia="Arial" w:hint="default"/>
          <w:spacing w:val="2"/>
        </w:rPr>
        <w:t>(</w:t>
      </w:r>
      <w:r>
        <w:rPr>
          <w:spacing w:val="2"/>
        </w:rPr>
        <w:t>仅适用于信</w:t>
      </w:r>
      <w:r>
        <w:rPr>
          <w:spacing w:val="-72"/>
        </w:rPr>
        <w:t> </w:t>
      </w:r>
      <w:r>
        <w:rPr>
          <w:spacing w:val="-72"/>
        </w:rPr>
      </w:r>
      <w:r>
        <w:rPr/>
        <w:t>用风险特征组合确定为账龄的情况</w:t>
      </w:r>
      <w:r>
        <w:rPr>
          <w:rFonts w:ascii="Arial" w:hAnsi="Arial" w:cs="Arial" w:eastAsia="Arial" w:hint="default"/>
        </w:rPr>
        <w:t>)</w:t>
      </w:r>
      <w:r>
        <w:rPr/>
        <w:t>：</w:t>
      </w:r>
    </w:p>
    <w:p>
      <w:pPr>
        <w:spacing w:line="240" w:lineRule="auto" w:before="6"/>
        <w:rPr>
          <w:rFonts w:ascii="黑体" w:hAnsi="黑体" w:cs="黑体" w:eastAsia="黑体" w:hint="default"/>
          <w:sz w:val="25"/>
          <w:szCs w:val="25"/>
        </w:rPr>
      </w:pPr>
    </w:p>
    <w:tbl>
      <w:tblPr>
        <w:tblW w:w="0" w:type="auto"/>
        <w:jc w:val="left"/>
        <w:tblInd w:w="796" w:type="dxa"/>
        <w:tblLayout w:type="fixed"/>
        <w:tblCellMar>
          <w:top w:w="0" w:type="dxa"/>
          <w:left w:w="0" w:type="dxa"/>
          <w:bottom w:w="0" w:type="dxa"/>
          <w:right w:w="0" w:type="dxa"/>
        </w:tblCellMar>
        <w:tblLook w:val="01E0"/>
      </w:tblPr>
      <w:tblGrid>
        <w:gridCol w:w="1141"/>
        <w:gridCol w:w="2425"/>
        <w:gridCol w:w="694"/>
        <w:gridCol w:w="280"/>
        <w:gridCol w:w="2555"/>
        <w:gridCol w:w="709"/>
      </w:tblGrid>
      <w:tr>
        <w:trPr>
          <w:trHeight w:val="290" w:hRule="exact"/>
        </w:trPr>
        <w:tc>
          <w:tcPr>
            <w:tcW w:w="1141" w:type="dxa"/>
            <w:vMerge w:val="restart"/>
            <w:tcBorders>
              <w:top w:val="nil" w:sz="6" w:space="0" w:color="auto"/>
              <w:left w:val="nil" w:sz="6" w:space="0" w:color="auto"/>
              <w:right w:val="nil" w:sz="6" w:space="0" w:color="auto"/>
            </w:tcBorders>
          </w:tcPr>
          <w:p>
            <w:pPr/>
          </w:p>
        </w:tc>
        <w:tc>
          <w:tcPr>
            <w:tcW w:w="2425"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left="1285" w:right="0"/>
              <w:jc w:val="left"/>
              <w:rPr>
                <w:rFonts w:ascii="黑体" w:hAnsi="黑体" w:cs="黑体" w:eastAsia="黑体" w:hint="default"/>
                <w:sz w:val="16"/>
                <w:szCs w:val="16"/>
              </w:rPr>
            </w:pPr>
            <w:r>
              <w:rPr>
                <w:rFonts w:ascii="Arial" w:hAnsi="Arial" w:cs="Arial" w:eastAsia="Arial" w:hint="default"/>
                <w:sz w:val="16"/>
                <w:szCs w:val="16"/>
              </w:rPr>
              <w:t>2009</w:t>
            </w:r>
            <w:r>
              <w:rPr>
                <w:rFonts w:ascii="Arial" w:hAnsi="Arial" w:cs="Arial" w:eastAsia="Arial" w:hint="default"/>
                <w:spacing w:val="-7"/>
                <w:sz w:val="16"/>
                <w:szCs w:val="16"/>
              </w:rPr>
              <w:t> </w:t>
            </w:r>
            <w:r>
              <w:rPr>
                <w:rFonts w:ascii="黑体" w:hAnsi="黑体" w:cs="黑体" w:eastAsia="黑体" w:hint="default"/>
                <w:sz w:val="16"/>
                <w:szCs w:val="16"/>
              </w:rPr>
              <w:t>年</w:t>
            </w:r>
          </w:p>
        </w:tc>
        <w:tc>
          <w:tcPr>
            <w:tcW w:w="694" w:type="dxa"/>
            <w:tcBorders>
              <w:top w:val="nil" w:sz="6" w:space="0" w:color="auto"/>
              <w:left w:val="nil" w:sz="6" w:space="0" w:color="auto"/>
              <w:bottom w:val="single" w:sz="4" w:space="0" w:color="000000"/>
              <w:right w:val="nil" w:sz="6" w:space="0" w:color="auto"/>
            </w:tcBorders>
          </w:tcPr>
          <w:p>
            <w:pPr/>
          </w:p>
        </w:tc>
        <w:tc>
          <w:tcPr>
            <w:tcW w:w="280" w:type="dxa"/>
            <w:tcBorders>
              <w:top w:val="nil" w:sz="6" w:space="0" w:color="auto"/>
              <w:left w:val="nil" w:sz="6" w:space="0" w:color="auto"/>
              <w:bottom w:val="nil" w:sz="6" w:space="0" w:color="auto"/>
              <w:right w:val="nil" w:sz="6" w:space="0" w:color="auto"/>
            </w:tcBorders>
          </w:tcPr>
          <w:p>
            <w:pPr/>
          </w:p>
        </w:tc>
        <w:tc>
          <w:tcPr>
            <w:tcW w:w="2555" w:type="dxa"/>
            <w:tcBorders>
              <w:top w:val="nil" w:sz="6" w:space="0" w:color="auto"/>
              <w:left w:val="nil" w:sz="6" w:space="0" w:color="auto"/>
              <w:bottom w:val="single" w:sz="4" w:space="0" w:color="000000"/>
              <w:right w:val="nil" w:sz="6" w:space="0" w:color="auto"/>
            </w:tcBorders>
          </w:tcPr>
          <w:p>
            <w:pPr>
              <w:pStyle w:val="TableParagraph"/>
              <w:spacing w:line="240" w:lineRule="auto" w:before="50"/>
              <w:ind w:left="1357" w:right="0"/>
              <w:jc w:val="left"/>
              <w:rPr>
                <w:rFonts w:ascii="黑体" w:hAnsi="黑体" w:cs="黑体" w:eastAsia="黑体" w:hint="default"/>
                <w:sz w:val="16"/>
                <w:szCs w:val="16"/>
              </w:rPr>
            </w:pPr>
            <w:r>
              <w:rPr>
                <w:rFonts w:ascii="Arial" w:hAnsi="Arial" w:cs="Arial" w:eastAsia="Arial" w:hint="default"/>
                <w:sz w:val="16"/>
                <w:szCs w:val="16"/>
              </w:rPr>
              <w:t>2008</w:t>
            </w:r>
            <w:r>
              <w:rPr>
                <w:rFonts w:ascii="Arial" w:hAnsi="Arial" w:cs="Arial" w:eastAsia="Arial" w:hint="default"/>
                <w:spacing w:val="-7"/>
                <w:sz w:val="16"/>
                <w:szCs w:val="16"/>
              </w:rPr>
              <w:t> </w:t>
            </w:r>
            <w:r>
              <w:rPr>
                <w:rFonts w:ascii="黑体" w:hAnsi="黑体" w:cs="黑体" w:eastAsia="黑体" w:hint="default"/>
                <w:sz w:val="16"/>
                <w:szCs w:val="16"/>
              </w:rPr>
              <w:t>年</w:t>
            </w:r>
          </w:p>
        </w:tc>
        <w:tc>
          <w:tcPr>
            <w:tcW w:w="709" w:type="dxa"/>
            <w:tcBorders>
              <w:top w:val="nil" w:sz="6" w:space="0" w:color="auto"/>
              <w:left w:val="nil" w:sz="6" w:space="0" w:color="auto"/>
              <w:bottom w:val="single" w:sz="4" w:space="0" w:color="000000"/>
              <w:right w:val="nil" w:sz="6" w:space="0" w:color="auto"/>
            </w:tcBorders>
          </w:tcPr>
          <w:p>
            <w:pPr/>
          </w:p>
        </w:tc>
      </w:tr>
      <w:tr>
        <w:trPr>
          <w:trHeight w:val="259" w:hRule="exact"/>
        </w:trPr>
        <w:tc>
          <w:tcPr>
            <w:tcW w:w="1141" w:type="dxa"/>
            <w:vMerge/>
            <w:tcBorders>
              <w:left w:val="nil" w:sz="6" w:space="0" w:color="auto"/>
              <w:right w:val="nil" w:sz="6" w:space="0" w:color="auto"/>
            </w:tcBorders>
          </w:tcPr>
          <w:p>
            <w:pPr/>
          </w:p>
        </w:tc>
        <w:tc>
          <w:tcPr>
            <w:tcW w:w="2425" w:type="dxa"/>
            <w:tcBorders>
              <w:top w:val="single" w:sz="4" w:space="0" w:color="000000"/>
              <w:left w:val="nil" w:sz="6" w:space="0" w:color="auto"/>
              <w:bottom w:val="nil" w:sz="6" w:space="0" w:color="auto"/>
              <w:right w:val="nil" w:sz="6" w:space="0" w:color="auto"/>
            </w:tcBorders>
          </w:tcPr>
          <w:p>
            <w:pPr>
              <w:pStyle w:val="TableParagraph"/>
              <w:spacing w:line="240" w:lineRule="auto" w:before="5"/>
              <w:ind w:left="758" w:right="0"/>
              <w:jc w:val="left"/>
              <w:rPr>
                <w:rFonts w:ascii="黑体" w:hAnsi="黑体" w:cs="黑体" w:eastAsia="黑体" w:hint="default"/>
                <w:sz w:val="16"/>
                <w:szCs w:val="16"/>
              </w:rPr>
            </w:pPr>
            <w:r>
              <w:rPr>
                <w:rFonts w:ascii="黑体" w:hAnsi="黑体" w:cs="黑体" w:eastAsia="黑体" w:hint="default"/>
                <w:sz w:val="16"/>
                <w:szCs w:val="16"/>
              </w:rPr>
              <w:t>账面余额</w:t>
            </w:r>
          </w:p>
        </w:tc>
        <w:tc>
          <w:tcPr>
            <w:tcW w:w="694" w:type="dxa"/>
            <w:tcBorders>
              <w:top w:val="single" w:sz="4" w:space="0" w:color="000000"/>
              <w:left w:val="nil" w:sz="6" w:space="0" w:color="auto"/>
              <w:bottom w:val="nil" w:sz="6" w:space="0" w:color="auto"/>
              <w:right w:val="nil" w:sz="6" w:space="0" w:color="auto"/>
            </w:tcBorders>
          </w:tcPr>
          <w:p>
            <w:pPr>
              <w:pStyle w:val="TableParagraph"/>
              <w:spacing w:line="240" w:lineRule="auto" w:before="5"/>
              <w:ind w:right="18"/>
              <w:jc w:val="right"/>
              <w:rPr>
                <w:rFonts w:ascii="黑体" w:hAnsi="黑体" w:cs="黑体" w:eastAsia="黑体" w:hint="default"/>
                <w:sz w:val="16"/>
                <w:szCs w:val="16"/>
              </w:rPr>
            </w:pPr>
            <w:r>
              <w:rPr>
                <w:rFonts w:ascii="黑体" w:hAnsi="黑体" w:cs="黑体" w:eastAsia="黑体" w:hint="default"/>
                <w:w w:val="95"/>
                <w:sz w:val="16"/>
                <w:szCs w:val="16"/>
              </w:rPr>
              <w:t>坏账准备</w:t>
            </w:r>
            <w:r>
              <w:rPr>
                <w:rFonts w:ascii="黑体" w:hAnsi="黑体" w:cs="黑体" w:eastAsia="黑体" w:hint="default"/>
                <w:sz w:val="16"/>
                <w:szCs w:val="16"/>
              </w:rPr>
            </w:r>
          </w:p>
        </w:tc>
        <w:tc>
          <w:tcPr>
            <w:tcW w:w="280" w:type="dxa"/>
            <w:tcBorders>
              <w:top w:val="nil" w:sz="6" w:space="0" w:color="auto"/>
              <w:left w:val="nil" w:sz="6" w:space="0" w:color="auto"/>
              <w:bottom w:val="nil" w:sz="6" w:space="0" w:color="auto"/>
              <w:right w:val="nil" w:sz="6" w:space="0" w:color="auto"/>
            </w:tcBorders>
          </w:tcPr>
          <w:p>
            <w:pPr/>
          </w:p>
        </w:tc>
        <w:tc>
          <w:tcPr>
            <w:tcW w:w="2555" w:type="dxa"/>
            <w:tcBorders>
              <w:top w:val="single" w:sz="4" w:space="0" w:color="000000"/>
              <w:left w:val="nil" w:sz="6" w:space="0" w:color="auto"/>
              <w:bottom w:val="nil" w:sz="6" w:space="0" w:color="auto"/>
              <w:right w:val="nil" w:sz="6" w:space="0" w:color="auto"/>
            </w:tcBorders>
          </w:tcPr>
          <w:p>
            <w:pPr>
              <w:pStyle w:val="TableParagraph"/>
              <w:spacing w:line="240" w:lineRule="auto" w:before="5"/>
              <w:ind w:right="160"/>
              <w:jc w:val="center"/>
              <w:rPr>
                <w:rFonts w:ascii="黑体" w:hAnsi="黑体" w:cs="黑体" w:eastAsia="黑体" w:hint="default"/>
                <w:sz w:val="16"/>
                <w:szCs w:val="16"/>
              </w:rPr>
            </w:pPr>
            <w:r>
              <w:rPr>
                <w:rFonts w:ascii="黑体" w:hAnsi="黑体" w:cs="黑体" w:eastAsia="黑体" w:hint="default"/>
                <w:sz w:val="16"/>
                <w:szCs w:val="16"/>
              </w:rPr>
              <w:t>账面余额</w:t>
            </w:r>
          </w:p>
        </w:tc>
        <w:tc>
          <w:tcPr>
            <w:tcW w:w="709" w:type="dxa"/>
            <w:tcBorders>
              <w:top w:val="single" w:sz="4" w:space="0" w:color="000000"/>
              <w:left w:val="nil" w:sz="6" w:space="0" w:color="auto"/>
              <w:bottom w:val="nil" w:sz="6" w:space="0" w:color="auto"/>
              <w:right w:val="nil" w:sz="6" w:space="0" w:color="auto"/>
            </w:tcBorders>
          </w:tcPr>
          <w:p>
            <w:pPr>
              <w:pStyle w:val="TableParagraph"/>
              <w:spacing w:line="240" w:lineRule="auto" w:before="5"/>
              <w:ind w:right="19"/>
              <w:jc w:val="right"/>
              <w:rPr>
                <w:rFonts w:ascii="黑体" w:hAnsi="黑体" w:cs="黑体" w:eastAsia="黑体" w:hint="default"/>
                <w:sz w:val="16"/>
                <w:szCs w:val="16"/>
              </w:rPr>
            </w:pPr>
            <w:r>
              <w:rPr>
                <w:rFonts w:ascii="黑体" w:hAnsi="黑体" w:cs="黑体" w:eastAsia="黑体" w:hint="default"/>
                <w:w w:val="95"/>
                <w:sz w:val="16"/>
                <w:szCs w:val="16"/>
              </w:rPr>
              <w:t>坏账准备</w:t>
            </w:r>
            <w:r>
              <w:rPr>
                <w:rFonts w:ascii="黑体" w:hAnsi="黑体" w:cs="黑体" w:eastAsia="黑体" w:hint="default"/>
                <w:sz w:val="16"/>
                <w:szCs w:val="16"/>
              </w:rPr>
            </w:r>
          </w:p>
        </w:tc>
      </w:tr>
      <w:tr>
        <w:trPr>
          <w:trHeight w:val="240" w:hRule="exact"/>
        </w:trPr>
        <w:tc>
          <w:tcPr>
            <w:tcW w:w="1141" w:type="dxa"/>
            <w:vMerge/>
            <w:tcBorders>
              <w:left w:val="nil" w:sz="6" w:space="0" w:color="auto"/>
              <w:right w:val="nil" w:sz="6" w:space="0" w:color="auto"/>
            </w:tcBorders>
          </w:tcPr>
          <w:p>
            <w:pPr/>
          </w:p>
        </w:tc>
        <w:tc>
          <w:tcPr>
            <w:tcW w:w="2425" w:type="dxa"/>
            <w:tcBorders>
              <w:top w:val="nil" w:sz="6" w:space="0" w:color="auto"/>
              <w:left w:val="nil" w:sz="6" w:space="0" w:color="auto"/>
              <w:bottom w:val="nil" w:sz="6" w:space="0" w:color="auto"/>
              <w:right w:val="nil" w:sz="6" w:space="0" w:color="auto"/>
            </w:tcBorders>
          </w:tcPr>
          <w:p>
            <w:pPr>
              <w:pStyle w:val="TableParagraph"/>
              <w:tabs>
                <w:tab w:pos="1426" w:val="left" w:leader="none"/>
              </w:tabs>
              <w:spacing w:line="200" w:lineRule="exact"/>
              <w:ind w:right="33"/>
              <w:jc w:val="right"/>
              <w:rPr>
                <w:rFonts w:ascii="黑体" w:hAnsi="黑体" w:cs="黑体" w:eastAsia="黑体" w:hint="default"/>
                <w:sz w:val="16"/>
                <w:szCs w:val="16"/>
              </w:rPr>
            </w:pPr>
            <w:r>
              <w:rPr>
                <w:rFonts w:ascii="黑体" w:hAnsi="黑体" w:cs="黑体" w:eastAsia="黑体" w:hint="default"/>
                <w:sz w:val="16"/>
                <w:szCs w:val="16"/>
              </w:rPr>
              <w:t>金额</w:t>
            </w:r>
            <w:r>
              <w:rPr>
                <w:rFonts w:ascii="黑体" w:hAnsi="黑体" w:cs="黑体" w:eastAsia="黑体" w:hint="default"/>
                <w:spacing w:val="33"/>
                <w:sz w:val="16"/>
                <w:szCs w:val="16"/>
              </w:rPr>
              <w:t> </w:t>
            </w:r>
            <w:r>
              <w:rPr>
                <w:rFonts w:ascii="黑体" w:hAnsi="黑体" w:cs="黑体" w:eastAsia="黑体" w:hint="default"/>
                <w:sz w:val="16"/>
                <w:szCs w:val="16"/>
              </w:rPr>
              <w:t>比例</w:t>
              <w:tab/>
            </w:r>
            <w:r>
              <w:rPr>
                <w:rFonts w:ascii="黑体" w:hAnsi="黑体" w:cs="黑体" w:eastAsia="黑体" w:hint="default"/>
                <w:w w:val="95"/>
                <w:sz w:val="16"/>
                <w:szCs w:val="16"/>
              </w:rPr>
              <w:t>金额</w:t>
            </w:r>
            <w:r>
              <w:rPr>
                <w:rFonts w:ascii="黑体" w:hAnsi="黑体" w:cs="黑体" w:eastAsia="黑体" w:hint="default"/>
                <w:sz w:val="16"/>
                <w:szCs w:val="16"/>
              </w:rPr>
            </w:r>
          </w:p>
        </w:tc>
        <w:tc>
          <w:tcPr>
            <w:tcW w:w="694" w:type="dxa"/>
            <w:tcBorders>
              <w:top w:val="nil" w:sz="6" w:space="0" w:color="auto"/>
              <w:left w:val="nil" w:sz="6" w:space="0" w:color="auto"/>
              <w:bottom w:val="nil" w:sz="6" w:space="0" w:color="auto"/>
              <w:right w:val="nil" w:sz="6" w:space="0" w:color="auto"/>
            </w:tcBorders>
          </w:tcPr>
          <w:p>
            <w:pPr>
              <w:pStyle w:val="TableParagraph"/>
              <w:spacing w:line="200" w:lineRule="exact"/>
              <w:ind w:right="19"/>
              <w:jc w:val="right"/>
              <w:rPr>
                <w:rFonts w:ascii="黑体" w:hAnsi="黑体" w:cs="黑体" w:eastAsia="黑体" w:hint="default"/>
                <w:sz w:val="16"/>
                <w:szCs w:val="16"/>
              </w:rPr>
            </w:pPr>
            <w:r>
              <w:rPr>
                <w:rFonts w:ascii="黑体" w:hAnsi="黑体" w:cs="黑体" w:eastAsia="黑体" w:hint="default"/>
                <w:w w:val="95"/>
                <w:sz w:val="16"/>
                <w:szCs w:val="16"/>
              </w:rPr>
              <w:t>计提</w:t>
            </w:r>
            <w:r>
              <w:rPr>
                <w:rFonts w:ascii="黑体" w:hAnsi="黑体" w:cs="黑体" w:eastAsia="黑体" w:hint="default"/>
                <w:sz w:val="16"/>
                <w:szCs w:val="16"/>
              </w:rPr>
            </w:r>
          </w:p>
        </w:tc>
        <w:tc>
          <w:tcPr>
            <w:tcW w:w="280" w:type="dxa"/>
            <w:tcBorders>
              <w:top w:val="nil" w:sz="6" w:space="0" w:color="auto"/>
              <w:left w:val="nil" w:sz="6" w:space="0" w:color="auto"/>
              <w:bottom w:val="nil" w:sz="6" w:space="0" w:color="auto"/>
              <w:right w:val="nil" w:sz="6" w:space="0" w:color="auto"/>
            </w:tcBorders>
          </w:tcPr>
          <w:p>
            <w:pPr/>
          </w:p>
        </w:tc>
        <w:tc>
          <w:tcPr>
            <w:tcW w:w="2555" w:type="dxa"/>
            <w:tcBorders>
              <w:top w:val="nil" w:sz="6" w:space="0" w:color="auto"/>
              <w:left w:val="nil" w:sz="6" w:space="0" w:color="auto"/>
              <w:bottom w:val="nil" w:sz="6" w:space="0" w:color="auto"/>
              <w:right w:val="nil" w:sz="6" w:space="0" w:color="auto"/>
            </w:tcBorders>
          </w:tcPr>
          <w:p>
            <w:pPr>
              <w:pStyle w:val="TableParagraph"/>
              <w:tabs>
                <w:tab w:pos="550" w:val="left" w:leader="none"/>
                <w:tab w:pos="1543" w:val="left" w:leader="none"/>
              </w:tabs>
              <w:spacing w:line="200" w:lineRule="exact"/>
              <w:ind w:right="46"/>
              <w:jc w:val="right"/>
              <w:rPr>
                <w:rFonts w:ascii="黑体" w:hAnsi="黑体" w:cs="黑体" w:eastAsia="黑体" w:hint="default"/>
                <w:sz w:val="16"/>
                <w:szCs w:val="16"/>
              </w:rPr>
            </w:pPr>
            <w:r>
              <w:rPr>
                <w:rFonts w:ascii="黑体" w:hAnsi="黑体" w:cs="黑体" w:eastAsia="黑体" w:hint="default"/>
                <w:w w:val="95"/>
                <w:sz w:val="16"/>
                <w:szCs w:val="16"/>
              </w:rPr>
              <w:t>金额</w:t>
              <w:tab/>
              <w:t>比例</w:t>
              <w:tab/>
              <w:t>金额</w:t>
            </w:r>
            <w:r>
              <w:rPr>
                <w:rFonts w:ascii="黑体" w:hAnsi="黑体" w:cs="黑体" w:eastAsia="黑体" w:hint="default"/>
                <w:sz w:val="16"/>
                <w:szCs w:val="16"/>
              </w:rPr>
            </w:r>
          </w:p>
        </w:tc>
        <w:tc>
          <w:tcPr>
            <w:tcW w:w="709" w:type="dxa"/>
            <w:tcBorders>
              <w:top w:val="nil" w:sz="6" w:space="0" w:color="auto"/>
              <w:left w:val="nil" w:sz="6" w:space="0" w:color="auto"/>
              <w:bottom w:val="nil" w:sz="6" w:space="0" w:color="auto"/>
              <w:right w:val="nil" w:sz="6" w:space="0" w:color="auto"/>
            </w:tcBorders>
          </w:tcPr>
          <w:p>
            <w:pPr>
              <w:pStyle w:val="TableParagraph"/>
              <w:spacing w:line="200" w:lineRule="exact"/>
              <w:ind w:right="19"/>
              <w:jc w:val="right"/>
              <w:rPr>
                <w:rFonts w:ascii="黑体" w:hAnsi="黑体" w:cs="黑体" w:eastAsia="黑体" w:hint="default"/>
                <w:sz w:val="16"/>
                <w:szCs w:val="16"/>
              </w:rPr>
            </w:pPr>
            <w:r>
              <w:rPr>
                <w:rFonts w:ascii="黑体" w:hAnsi="黑体" w:cs="黑体" w:eastAsia="黑体" w:hint="default"/>
                <w:w w:val="95"/>
                <w:sz w:val="16"/>
                <w:szCs w:val="16"/>
              </w:rPr>
              <w:t>计提</w:t>
            </w:r>
            <w:r>
              <w:rPr>
                <w:rFonts w:ascii="黑体" w:hAnsi="黑体" w:cs="黑体" w:eastAsia="黑体" w:hint="default"/>
                <w:sz w:val="16"/>
                <w:szCs w:val="16"/>
              </w:rPr>
            </w:r>
          </w:p>
        </w:tc>
      </w:tr>
      <w:tr>
        <w:trPr>
          <w:trHeight w:val="248" w:hRule="exact"/>
        </w:trPr>
        <w:tc>
          <w:tcPr>
            <w:tcW w:w="1141" w:type="dxa"/>
            <w:vMerge/>
            <w:tcBorders>
              <w:left w:val="nil" w:sz="6" w:space="0" w:color="auto"/>
              <w:bottom w:val="nil" w:sz="6" w:space="0" w:color="auto"/>
              <w:right w:val="nil" w:sz="6" w:space="0" w:color="auto"/>
            </w:tcBorders>
          </w:tcPr>
          <w:p>
            <w:pP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21" w:right="0"/>
              <w:jc w:val="center"/>
              <w:rPr>
                <w:rFonts w:ascii="Arial" w:hAnsi="Arial" w:cs="Arial" w:eastAsia="Arial" w:hint="default"/>
                <w:sz w:val="16"/>
                <w:szCs w:val="16"/>
              </w:rPr>
            </w:pPr>
            <w:r>
              <w:rPr>
                <w:rFonts w:ascii="Arial"/>
                <w:sz w:val="16"/>
              </w:rPr>
              <w:t>(%)</w:t>
            </w:r>
          </w:p>
        </w:tc>
        <w:tc>
          <w:tcPr>
            <w:tcW w:w="694" w:type="dxa"/>
            <w:tcBorders>
              <w:top w:val="nil" w:sz="6" w:space="0" w:color="auto"/>
              <w:left w:val="nil" w:sz="6" w:space="0" w:color="auto"/>
              <w:bottom w:val="nil" w:sz="6" w:space="0" w:color="auto"/>
              <w:right w:val="nil" w:sz="6" w:space="0" w:color="auto"/>
            </w:tcBorders>
          </w:tcPr>
          <w:p>
            <w:pPr>
              <w:pStyle w:val="TableParagraph"/>
              <w:spacing w:line="200" w:lineRule="exact"/>
              <w:ind w:right="19"/>
              <w:jc w:val="right"/>
              <w:rPr>
                <w:rFonts w:ascii="黑体" w:hAnsi="黑体" w:cs="黑体" w:eastAsia="黑体" w:hint="default"/>
                <w:sz w:val="16"/>
                <w:szCs w:val="16"/>
              </w:rPr>
            </w:pPr>
            <w:r>
              <w:rPr>
                <w:rFonts w:ascii="黑体" w:hAnsi="黑体" w:cs="黑体" w:eastAsia="黑体" w:hint="default"/>
                <w:w w:val="95"/>
                <w:sz w:val="16"/>
                <w:szCs w:val="16"/>
              </w:rPr>
              <w:t>比例</w:t>
            </w:r>
            <w:r>
              <w:rPr>
                <w:rFonts w:ascii="黑体" w:hAnsi="黑体" w:cs="黑体" w:eastAsia="黑体" w:hint="default"/>
                <w:sz w:val="16"/>
                <w:szCs w:val="16"/>
              </w:rPr>
            </w:r>
          </w:p>
        </w:tc>
        <w:tc>
          <w:tcPr>
            <w:tcW w:w="280" w:type="dxa"/>
            <w:tcBorders>
              <w:top w:val="nil" w:sz="6" w:space="0" w:color="auto"/>
              <w:left w:val="nil" w:sz="6" w:space="0" w:color="auto"/>
              <w:bottom w:val="nil" w:sz="6" w:space="0" w:color="auto"/>
              <w:right w:val="nil" w:sz="6" w:space="0" w:color="auto"/>
            </w:tcBorders>
          </w:tcPr>
          <w:p>
            <w:pPr/>
          </w:p>
        </w:tc>
        <w:tc>
          <w:tcPr>
            <w:tcW w:w="2555" w:type="dxa"/>
            <w:tcBorders>
              <w:top w:val="nil" w:sz="6" w:space="0" w:color="auto"/>
              <w:left w:val="nil" w:sz="6" w:space="0" w:color="auto"/>
              <w:bottom w:val="nil" w:sz="6" w:space="0" w:color="auto"/>
              <w:right w:val="nil" w:sz="6" w:space="0" w:color="auto"/>
            </w:tcBorders>
          </w:tcPr>
          <w:p>
            <w:pPr>
              <w:pStyle w:val="TableParagraph"/>
              <w:spacing w:line="240" w:lineRule="auto" w:before="27"/>
              <w:ind w:left="226" w:right="0"/>
              <w:jc w:val="center"/>
              <w:rPr>
                <w:rFonts w:ascii="Arial" w:hAnsi="Arial" w:cs="Arial" w:eastAsia="Arial" w:hint="default"/>
                <w:sz w:val="16"/>
                <w:szCs w:val="16"/>
              </w:rPr>
            </w:pPr>
            <w:r>
              <w:rPr>
                <w:rFonts w:ascii="Arial"/>
                <w:sz w:val="16"/>
              </w:rPr>
              <w:t>(%)</w:t>
            </w:r>
          </w:p>
        </w:tc>
        <w:tc>
          <w:tcPr>
            <w:tcW w:w="709" w:type="dxa"/>
            <w:tcBorders>
              <w:top w:val="nil" w:sz="6" w:space="0" w:color="auto"/>
              <w:left w:val="nil" w:sz="6" w:space="0" w:color="auto"/>
              <w:bottom w:val="nil" w:sz="6" w:space="0" w:color="auto"/>
              <w:right w:val="nil" w:sz="6" w:space="0" w:color="auto"/>
            </w:tcBorders>
          </w:tcPr>
          <w:p>
            <w:pPr>
              <w:pStyle w:val="TableParagraph"/>
              <w:spacing w:line="200" w:lineRule="exact"/>
              <w:ind w:right="19"/>
              <w:jc w:val="right"/>
              <w:rPr>
                <w:rFonts w:ascii="黑体" w:hAnsi="黑体" w:cs="黑体" w:eastAsia="黑体" w:hint="default"/>
                <w:sz w:val="16"/>
                <w:szCs w:val="16"/>
              </w:rPr>
            </w:pPr>
            <w:r>
              <w:rPr>
                <w:rFonts w:ascii="黑体" w:hAnsi="黑体" w:cs="黑体" w:eastAsia="黑体" w:hint="default"/>
                <w:w w:val="95"/>
                <w:sz w:val="16"/>
                <w:szCs w:val="16"/>
              </w:rPr>
              <w:t>比例</w:t>
            </w:r>
            <w:r>
              <w:rPr>
                <w:rFonts w:ascii="黑体" w:hAnsi="黑体" w:cs="黑体" w:eastAsia="黑体" w:hint="default"/>
                <w:sz w:val="16"/>
                <w:szCs w:val="16"/>
              </w:rPr>
            </w:r>
          </w:p>
        </w:tc>
      </w:tr>
      <w:tr>
        <w:trPr>
          <w:trHeight w:val="476" w:hRule="exact"/>
        </w:trPr>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黑体" w:hAnsi="黑体" w:cs="黑体" w:eastAsia="黑体" w:hint="default"/>
                <w:sz w:val="17"/>
                <w:szCs w:val="17"/>
              </w:rPr>
            </w:pPr>
          </w:p>
          <w:p>
            <w:pPr>
              <w:pStyle w:val="TableParagraph"/>
              <w:spacing w:line="240" w:lineRule="auto"/>
              <w:ind w:left="35" w:right="0"/>
              <w:jc w:val="left"/>
              <w:rPr>
                <w:rFonts w:ascii="黑体" w:hAnsi="黑体" w:cs="黑体" w:eastAsia="黑体" w:hint="default"/>
                <w:sz w:val="16"/>
                <w:szCs w:val="16"/>
              </w:rPr>
            </w:pPr>
            <w:r>
              <w:rPr>
                <w:rFonts w:ascii="Arial" w:hAnsi="Arial" w:cs="Arial" w:eastAsia="Arial" w:hint="default"/>
                <w:sz w:val="16"/>
                <w:szCs w:val="16"/>
              </w:rPr>
              <w:t>1-2</w:t>
            </w:r>
            <w:r>
              <w:rPr>
                <w:rFonts w:ascii="Arial" w:hAnsi="Arial" w:cs="Arial" w:eastAsia="Arial" w:hint="default"/>
                <w:spacing w:val="-9"/>
                <w:sz w:val="16"/>
                <w:szCs w:val="16"/>
              </w:rPr>
              <w:t> </w:t>
            </w:r>
            <w:r>
              <w:rPr>
                <w:rFonts w:ascii="黑体" w:hAnsi="黑体" w:cs="黑体" w:eastAsia="黑体" w:hint="default"/>
                <w:sz w:val="16"/>
                <w:szCs w:val="16"/>
              </w:rPr>
              <w:t>年</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sz w:val="19"/>
                <w:szCs w:val="19"/>
              </w:rPr>
            </w:pPr>
          </w:p>
          <w:p>
            <w:pPr>
              <w:pStyle w:val="TableParagraph"/>
              <w:tabs>
                <w:tab w:pos="1029" w:val="left" w:leader="none"/>
                <w:tab w:pos="1488" w:val="left" w:leader="none"/>
              </w:tabs>
              <w:spacing w:line="240" w:lineRule="auto"/>
              <w:ind w:right="33"/>
              <w:jc w:val="right"/>
              <w:rPr>
                <w:rFonts w:ascii="Arial" w:hAnsi="Arial" w:cs="Arial" w:eastAsia="Arial" w:hint="default"/>
                <w:sz w:val="16"/>
                <w:szCs w:val="16"/>
              </w:rPr>
            </w:pPr>
            <w:r>
              <w:rPr>
                <w:rFonts w:ascii="Arial"/>
                <w:w w:val="95"/>
                <w:sz w:val="16"/>
              </w:rPr>
              <w:t>13,670,902</w:t>
              <w:tab/>
              <w:t>41</w:t>
              <w:tab/>
              <w:t>3,737,971</w:t>
            </w:r>
            <w:r>
              <w:rPr>
                <w:rFonts w:ascii="Arial"/>
                <w:sz w:val="16"/>
              </w:rPr>
            </w:r>
          </w:p>
        </w:tc>
        <w:tc>
          <w:tcPr>
            <w:tcW w:w="694" w:type="dxa"/>
            <w:tcBorders>
              <w:top w:val="nil" w:sz="6" w:space="0" w:color="auto"/>
              <w:left w:val="nil" w:sz="6" w:space="0" w:color="auto"/>
              <w:bottom w:val="nil" w:sz="6" w:space="0" w:color="auto"/>
              <w:right w:val="nil" w:sz="6" w:space="0" w:color="auto"/>
            </w:tcBorders>
          </w:tcPr>
          <w:p>
            <w:pPr>
              <w:pStyle w:val="TableParagraph"/>
              <w:spacing w:line="312" w:lineRule="auto" w:before="19"/>
              <w:ind w:left="494" w:right="19" w:hanging="69"/>
              <w:jc w:val="right"/>
              <w:rPr>
                <w:rFonts w:ascii="Arial" w:hAnsi="Arial" w:cs="Arial" w:eastAsia="Arial" w:hint="default"/>
                <w:sz w:val="16"/>
                <w:szCs w:val="16"/>
              </w:rPr>
            </w:pPr>
            <w:r>
              <w:rPr>
                <w:rFonts w:ascii="Arial"/>
                <w:spacing w:val="-1"/>
                <w:w w:val="95"/>
                <w:sz w:val="16"/>
              </w:rPr>
              <w:t>(%)</w:t>
            </w:r>
            <w:r>
              <w:rPr>
                <w:rFonts w:ascii="Arial"/>
                <w:spacing w:val="-36"/>
                <w:w w:val="95"/>
                <w:sz w:val="16"/>
              </w:rPr>
              <w:t> </w:t>
            </w:r>
            <w:r>
              <w:rPr>
                <w:rFonts w:ascii="Arial"/>
                <w:w w:val="95"/>
                <w:sz w:val="16"/>
              </w:rPr>
              <w:t>27</w:t>
            </w:r>
            <w:r>
              <w:rPr>
                <w:rFonts w:ascii="Arial"/>
                <w:sz w:val="16"/>
              </w:rPr>
            </w:r>
          </w:p>
        </w:tc>
        <w:tc>
          <w:tcPr>
            <w:tcW w:w="280" w:type="dxa"/>
            <w:tcBorders>
              <w:top w:val="nil" w:sz="6" w:space="0" w:color="auto"/>
              <w:left w:val="nil" w:sz="6" w:space="0" w:color="auto"/>
              <w:bottom w:val="nil" w:sz="6" w:space="0" w:color="auto"/>
              <w:right w:val="nil" w:sz="6" w:space="0" w:color="auto"/>
            </w:tcBorders>
          </w:tcPr>
          <w:p>
            <w:pPr/>
          </w:p>
        </w:tc>
        <w:tc>
          <w:tcPr>
            <w:tcW w:w="255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sz w:val="19"/>
                <w:szCs w:val="19"/>
              </w:rPr>
            </w:pPr>
          </w:p>
          <w:p>
            <w:pPr>
              <w:pStyle w:val="TableParagraph"/>
              <w:tabs>
                <w:tab w:pos="1083" w:val="left" w:leader="none"/>
                <w:tab w:pos="1542" w:val="left" w:leader="none"/>
              </w:tabs>
              <w:spacing w:line="240" w:lineRule="auto"/>
              <w:ind w:right="47"/>
              <w:jc w:val="right"/>
              <w:rPr>
                <w:rFonts w:ascii="Arial" w:hAnsi="Arial" w:cs="Arial" w:eastAsia="Arial" w:hint="default"/>
                <w:sz w:val="16"/>
                <w:szCs w:val="16"/>
              </w:rPr>
            </w:pPr>
            <w:r>
              <w:rPr>
                <w:rFonts w:ascii="Arial"/>
                <w:w w:val="95"/>
                <w:sz w:val="16"/>
              </w:rPr>
              <w:t>6,714,279</w:t>
              <w:tab/>
              <w:t>30</w:t>
              <w:tab/>
              <w:t>1,187,149</w:t>
            </w:r>
            <w:r>
              <w:rPr>
                <w:rFonts w:ascii="Arial"/>
                <w:sz w:val="16"/>
              </w:rPr>
            </w:r>
          </w:p>
        </w:tc>
        <w:tc>
          <w:tcPr>
            <w:tcW w:w="709" w:type="dxa"/>
            <w:tcBorders>
              <w:top w:val="nil" w:sz="6" w:space="0" w:color="auto"/>
              <w:left w:val="nil" w:sz="6" w:space="0" w:color="auto"/>
              <w:bottom w:val="nil" w:sz="6" w:space="0" w:color="auto"/>
              <w:right w:val="nil" w:sz="6" w:space="0" w:color="auto"/>
            </w:tcBorders>
          </w:tcPr>
          <w:p>
            <w:pPr>
              <w:pStyle w:val="TableParagraph"/>
              <w:spacing w:line="312" w:lineRule="auto" w:before="19"/>
              <w:ind w:left="508" w:right="19" w:hanging="69"/>
              <w:jc w:val="right"/>
              <w:rPr>
                <w:rFonts w:ascii="Arial" w:hAnsi="Arial" w:cs="Arial" w:eastAsia="Arial" w:hint="default"/>
                <w:sz w:val="16"/>
                <w:szCs w:val="16"/>
              </w:rPr>
            </w:pPr>
            <w:r>
              <w:rPr>
                <w:rFonts w:ascii="Arial"/>
                <w:spacing w:val="-1"/>
                <w:w w:val="95"/>
                <w:sz w:val="16"/>
              </w:rPr>
              <w:t>(%)</w:t>
            </w:r>
            <w:r>
              <w:rPr>
                <w:rFonts w:ascii="Arial"/>
                <w:spacing w:val="-36"/>
                <w:w w:val="95"/>
                <w:sz w:val="16"/>
              </w:rPr>
              <w:t> </w:t>
            </w:r>
            <w:r>
              <w:rPr>
                <w:rFonts w:ascii="Arial"/>
                <w:w w:val="95"/>
                <w:sz w:val="16"/>
              </w:rPr>
              <w:t>18</w:t>
            </w:r>
            <w:r>
              <w:rPr>
                <w:rFonts w:ascii="Arial"/>
                <w:sz w:val="16"/>
              </w:rPr>
            </w:r>
          </w:p>
        </w:tc>
      </w:tr>
      <w:tr>
        <w:trPr>
          <w:trHeight w:val="240" w:hRule="exact"/>
        </w:trPr>
        <w:tc>
          <w:tcPr>
            <w:tcW w:w="1141"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黑体" w:hAnsi="黑体" w:cs="黑体" w:eastAsia="黑体" w:hint="default"/>
                <w:sz w:val="16"/>
                <w:szCs w:val="16"/>
              </w:rPr>
            </w:pPr>
            <w:r>
              <w:rPr>
                <w:rFonts w:ascii="Arial" w:hAnsi="Arial" w:cs="Arial" w:eastAsia="Arial" w:hint="default"/>
                <w:sz w:val="16"/>
                <w:szCs w:val="16"/>
              </w:rPr>
              <w:t>2-3</w:t>
            </w:r>
            <w:r>
              <w:rPr>
                <w:rFonts w:ascii="Arial" w:hAnsi="Arial" w:cs="Arial" w:eastAsia="Arial" w:hint="default"/>
                <w:spacing w:val="-9"/>
                <w:sz w:val="16"/>
                <w:szCs w:val="16"/>
              </w:rPr>
              <w:t> </w:t>
            </w:r>
            <w:r>
              <w:rPr>
                <w:rFonts w:ascii="黑体" w:hAnsi="黑体" w:cs="黑体" w:eastAsia="黑体" w:hint="default"/>
                <w:sz w:val="16"/>
                <w:szCs w:val="16"/>
              </w:rPr>
              <w:t>年</w:t>
            </w:r>
          </w:p>
        </w:tc>
        <w:tc>
          <w:tcPr>
            <w:tcW w:w="2425" w:type="dxa"/>
            <w:tcBorders>
              <w:top w:val="nil" w:sz="6" w:space="0" w:color="auto"/>
              <w:left w:val="nil" w:sz="6" w:space="0" w:color="auto"/>
              <w:bottom w:val="nil" w:sz="6" w:space="0" w:color="auto"/>
              <w:right w:val="nil" w:sz="6" w:space="0" w:color="auto"/>
            </w:tcBorders>
          </w:tcPr>
          <w:p>
            <w:pPr>
              <w:pStyle w:val="TableParagraph"/>
              <w:tabs>
                <w:tab w:pos="940" w:val="left" w:leader="none"/>
                <w:tab w:pos="1400" w:val="left" w:leader="none"/>
              </w:tabs>
              <w:spacing w:line="240" w:lineRule="auto" w:before="23"/>
              <w:ind w:right="33"/>
              <w:jc w:val="right"/>
              <w:rPr>
                <w:rFonts w:ascii="Arial" w:hAnsi="Arial" w:cs="Arial" w:eastAsia="Arial" w:hint="default"/>
                <w:sz w:val="16"/>
                <w:szCs w:val="16"/>
              </w:rPr>
            </w:pPr>
            <w:r>
              <w:rPr>
                <w:rFonts w:ascii="Arial"/>
                <w:w w:val="95"/>
                <w:sz w:val="16"/>
              </w:rPr>
              <w:t>6,177,647</w:t>
              <w:tab/>
              <w:t>18</w:t>
              <w:tab/>
              <w:t>1,688,849</w:t>
            </w:r>
            <w:r>
              <w:rPr>
                <w:rFonts w:ascii="Arial"/>
                <w:sz w:val="16"/>
              </w:rPr>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
              <w:jc w:val="right"/>
              <w:rPr>
                <w:rFonts w:ascii="Arial" w:hAnsi="Arial" w:cs="Arial" w:eastAsia="Arial" w:hint="default"/>
                <w:sz w:val="16"/>
                <w:szCs w:val="16"/>
              </w:rPr>
            </w:pPr>
            <w:r>
              <w:rPr>
                <w:rFonts w:ascii="Arial"/>
                <w:w w:val="95"/>
                <w:sz w:val="16"/>
              </w:rPr>
              <w:t>27</w:t>
            </w:r>
            <w:r>
              <w:rPr>
                <w:rFonts w:ascii="Arial"/>
                <w:sz w:val="16"/>
              </w:rPr>
            </w:r>
          </w:p>
        </w:tc>
        <w:tc>
          <w:tcPr>
            <w:tcW w:w="280" w:type="dxa"/>
            <w:tcBorders>
              <w:top w:val="nil" w:sz="6" w:space="0" w:color="auto"/>
              <w:left w:val="nil" w:sz="6" w:space="0" w:color="auto"/>
              <w:bottom w:val="nil" w:sz="6" w:space="0" w:color="auto"/>
              <w:right w:val="nil" w:sz="6" w:space="0" w:color="auto"/>
            </w:tcBorders>
          </w:tcPr>
          <w:p>
            <w:pPr/>
          </w:p>
        </w:tc>
        <w:tc>
          <w:tcPr>
            <w:tcW w:w="2555" w:type="dxa"/>
            <w:tcBorders>
              <w:top w:val="nil" w:sz="6" w:space="0" w:color="auto"/>
              <w:left w:val="nil" w:sz="6" w:space="0" w:color="auto"/>
              <w:bottom w:val="nil" w:sz="6" w:space="0" w:color="auto"/>
              <w:right w:val="nil" w:sz="6" w:space="0" w:color="auto"/>
            </w:tcBorders>
          </w:tcPr>
          <w:p>
            <w:pPr>
              <w:pStyle w:val="TableParagraph"/>
              <w:tabs>
                <w:tab w:pos="1083" w:val="left" w:leader="none"/>
                <w:tab w:pos="1542" w:val="left" w:leader="none"/>
              </w:tabs>
              <w:spacing w:line="240" w:lineRule="auto" w:before="23"/>
              <w:ind w:right="47"/>
              <w:jc w:val="right"/>
              <w:rPr>
                <w:rFonts w:ascii="Arial" w:hAnsi="Arial" w:cs="Arial" w:eastAsia="Arial" w:hint="default"/>
                <w:sz w:val="16"/>
                <w:szCs w:val="16"/>
              </w:rPr>
            </w:pPr>
            <w:r>
              <w:rPr>
                <w:rFonts w:ascii="Arial"/>
                <w:w w:val="95"/>
                <w:sz w:val="16"/>
              </w:rPr>
              <w:t>5,042,322</w:t>
              <w:tab/>
              <w:t>23</w:t>
              <w:tab/>
              <w:t>4,127,383</w:t>
            </w:r>
            <w:r>
              <w:rPr>
                <w:rFonts w:ascii="Arial"/>
                <w:sz w:val="16"/>
              </w:rPr>
            </w:r>
          </w:p>
        </w:tc>
        <w:tc>
          <w:tcPr>
            <w:tcW w:w="70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
              <w:jc w:val="right"/>
              <w:rPr>
                <w:rFonts w:ascii="Arial" w:hAnsi="Arial" w:cs="Arial" w:eastAsia="Arial" w:hint="default"/>
                <w:sz w:val="16"/>
                <w:szCs w:val="16"/>
              </w:rPr>
            </w:pPr>
            <w:r>
              <w:rPr>
                <w:rFonts w:ascii="Arial"/>
                <w:w w:val="95"/>
                <w:sz w:val="16"/>
              </w:rPr>
              <w:t>82</w:t>
            </w:r>
            <w:r>
              <w:rPr>
                <w:rFonts w:ascii="Arial"/>
                <w:sz w:val="16"/>
              </w:rPr>
            </w:r>
          </w:p>
        </w:tc>
      </w:tr>
      <w:tr>
        <w:trPr>
          <w:trHeight w:val="244" w:hRule="exact"/>
        </w:trPr>
        <w:tc>
          <w:tcPr>
            <w:tcW w:w="1141"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黑体" w:hAnsi="黑体" w:cs="黑体" w:eastAsia="黑体" w:hint="default"/>
                <w:sz w:val="16"/>
                <w:szCs w:val="16"/>
              </w:rPr>
            </w:pPr>
            <w:r>
              <w:rPr>
                <w:rFonts w:ascii="Arial" w:hAnsi="Arial" w:cs="Arial" w:eastAsia="Arial" w:hint="default"/>
                <w:sz w:val="16"/>
                <w:szCs w:val="16"/>
              </w:rPr>
              <w:t>3</w:t>
            </w:r>
            <w:r>
              <w:rPr>
                <w:rFonts w:ascii="Arial" w:hAnsi="Arial" w:cs="Arial" w:eastAsia="Arial" w:hint="default"/>
                <w:spacing w:val="-7"/>
                <w:sz w:val="16"/>
                <w:szCs w:val="16"/>
              </w:rPr>
              <w:t> </w:t>
            </w:r>
            <w:r>
              <w:rPr>
                <w:rFonts w:ascii="黑体" w:hAnsi="黑体" w:cs="黑体" w:eastAsia="黑体" w:hint="default"/>
                <w:sz w:val="16"/>
                <w:szCs w:val="16"/>
              </w:rPr>
              <w:t>年以上</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Arial" w:hAnsi="Arial" w:cs="Arial" w:eastAsia="Arial" w:hint="default"/>
                <w:sz w:val="16"/>
                <w:szCs w:val="16"/>
              </w:rPr>
            </w:pPr>
            <w:r>
              <w:rPr>
                <w:rFonts w:ascii="Arial"/>
                <w:w w:val="99"/>
                <w:sz w:val="16"/>
              </w:rPr>
            </w:r>
            <w:r>
              <w:rPr>
                <w:rFonts w:ascii="Arial"/>
                <w:sz w:val="16"/>
                <w:u w:val="single" w:color="000000"/>
              </w:rPr>
              <w:t>13,551,317     </w:t>
            </w:r>
            <w:r>
              <w:rPr>
                <w:rFonts w:ascii="Arial"/>
                <w:sz w:val="16"/>
              </w:rPr>
            </w:r>
            <w:r>
              <w:rPr>
                <w:rFonts w:ascii="Arial"/>
                <w:sz w:val="16"/>
                <w:u w:val="single" w:color="000000"/>
              </w:rPr>
              <w:t> 41   </w:t>
            </w:r>
            <w:r>
              <w:rPr>
                <w:rFonts w:ascii="Arial"/>
                <w:spacing w:val="17"/>
                <w:sz w:val="16"/>
                <w:u w:val="single" w:color="000000"/>
              </w:rPr>
              <w:t> </w:t>
            </w:r>
            <w:r>
              <w:rPr>
                <w:rFonts w:ascii="Arial"/>
                <w:spacing w:val="17"/>
                <w:sz w:val="16"/>
              </w:rPr>
            </w:r>
            <w:r>
              <w:rPr>
                <w:rFonts w:ascii="Arial"/>
                <w:sz w:val="16"/>
                <w:u w:val="single" w:color="000000"/>
              </w:rPr>
              <w:t>13,198,577</w:t>
            </w:r>
            <w:r>
              <w:rPr>
                <w:rFonts w:ascii="Arial"/>
                <w:sz w:val="16"/>
              </w:rPr>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
              <w:jc w:val="right"/>
              <w:rPr>
                <w:rFonts w:ascii="Arial" w:hAnsi="Arial" w:cs="Arial" w:eastAsia="Arial" w:hint="default"/>
                <w:sz w:val="16"/>
                <w:szCs w:val="16"/>
              </w:rPr>
            </w:pPr>
            <w:r>
              <w:rPr>
                <w:rFonts w:ascii="Arial"/>
                <w:w w:val="95"/>
                <w:sz w:val="16"/>
              </w:rPr>
              <w:t>97</w:t>
            </w:r>
            <w:r>
              <w:rPr>
                <w:rFonts w:ascii="Arial"/>
                <w:sz w:val="16"/>
              </w:rPr>
            </w:r>
          </w:p>
        </w:tc>
        <w:tc>
          <w:tcPr>
            <w:tcW w:w="280" w:type="dxa"/>
            <w:tcBorders>
              <w:top w:val="nil" w:sz="6" w:space="0" w:color="auto"/>
              <w:left w:val="nil" w:sz="6" w:space="0" w:color="auto"/>
              <w:bottom w:val="nil" w:sz="6" w:space="0" w:color="auto"/>
              <w:right w:val="nil" w:sz="6" w:space="0" w:color="auto"/>
            </w:tcBorders>
          </w:tcPr>
          <w:p>
            <w:pPr/>
          </w:p>
        </w:tc>
        <w:tc>
          <w:tcPr>
            <w:tcW w:w="2555" w:type="dxa"/>
            <w:tcBorders>
              <w:top w:val="nil" w:sz="6" w:space="0" w:color="auto"/>
              <w:left w:val="nil" w:sz="6" w:space="0" w:color="auto"/>
              <w:bottom w:val="nil" w:sz="6" w:space="0" w:color="auto"/>
              <w:right w:val="nil" w:sz="6" w:space="0" w:color="auto"/>
            </w:tcBorders>
          </w:tcPr>
          <w:p>
            <w:pPr>
              <w:pStyle w:val="TableParagraph"/>
              <w:tabs>
                <w:tab w:pos="1072" w:val="left" w:leader="none"/>
              </w:tabs>
              <w:spacing w:line="240" w:lineRule="auto" w:before="23"/>
              <w:ind w:right="46"/>
              <w:jc w:val="right"/>
              <w:rPr>
                <w:rFonts w:ascii="Arial" w:hAnsi="Arial" w:cs="Arial" w:eastAsia="Arial" w:hint="default"/>
                <w:sz w:val="16"/>
                <w:szCs w:val="16"/>
              </w:rPr>
            </w:pPr>
            <w:r>
              <w:rPr>
                <w:rFonts w:ascii="Arial"/>
                <w:w w:val="99"/>
                <w:sz w:val="16"/>
              </w:rPr>
            </w:r>
            <w:r>
              <w:rPr>
                <w:rFonts w:ascii="Arial"/>
                <w:w w:val="95"/>
                <w:sz w:val="16"/>
                <w:u w:val="single" w:color="000000"/>
              </w:rPr>
              <w:t>10,522,923</w:t>
            </w:r>
            <w:r>
              <w:rPr>
                <w:rFonts w:ascii="Arial"/>
                <w:w w:val="95"/>
                <w:sz w:val="16"/>
              </w:rPr>
              <w:tab/>
            </w:r>
            <w:r>
              <w:rPr>
                <w:rFonts w:ascii="Arial"/>
                <w:w w:val="95"/>
                <w:sz w:val="16"/>
                <w:u w:val="single" w:color="000000"/>
              </w:rPr>
              <w:t> </w:t>
            </w:r>
            <w:r>
              <w:rPr>
                <w:rFonts w:ascii="Arial"/>
                <w:sz w:val="16"/>
                <w:u w:val="single" w:color="000000"/>
              </w:rPr>
              <w:t>47   </w:t>
            </w:r>
            <w:r>
              <w:rPr>
                <w:rFonts w:ascii="Arial"/>
                <w:spacing w:val="12"/>
                <w:sz w:val="16"/>
                <w:u w:val="single" w:color="000000"/>
              </w:rPr>
              <w:t> </w:t>
            </w:r>
            <w:r>
              <w:rPr>
                <w:rFonts w:ascii="Arial"/>
                <w:spacing w:val="12"/>
                <w:sz w:val="16"/>
              </w:rPr>
            </w:r>
            <w:r>
              <w:rPr>
                <w:rFonts w:ascii="Arial"/>
                <w:sz w:val="16"/>
                <w:u w:val="single" w:color="000000"/>
              </w:rPr>
              <w:t>10,408,405</w:t>
            </w:r>
            <w:r>
              <w:rPr>
                <w:rFonts w:ascii="Arial"/>
                <w:sz w:val="16"/>
              </w:rPr>
            </w:r>
          </w:p>
        </w:tc>
        <w:tc>
          <w:tcPr>
            <w:tcW w:w="70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
              <w:jc w:val="right"/>
              <w:rPr>
                <w:rFonts w:ascii="Arial" w:hAnsi="Arial" w:cs="Arial" w:eastAsia="Arial" w:hint="default"/>
                <w:sz w:val="16"/>
                <w:szCs w:val="16"/>
              </w:rPr>
            </w:pPr>
            <w:r>
              <w:rPr>
                <w:rFonts w:ascii="Arial"/>
                <w:w w:val="95"/>
                <w:sz w:val="16"/>
              </w:rPr>
              <w:t>99</w:t>
            </w:r>
            <w:r>
              <w:rPr>
                <w:rFonts w:ascii="Arial"/>
                <w:sz w:val="16"/>
              </w:rPr>
            </w:r>
          </w:p>
        </w:tc>
      </w:tr>
      <w:tr>
        <w:trPr>
          <w:trHeight w:val="300" w:hRule="exact"/>
        </w:trPr>
        <w:tc>
          <w:tcPr>
            <w:tcW w:w="1141" w:type="dxa"/>
            <w:tcBorders>
              <w:top w:val="nil" w:sz="6" w:space="0" w:color="auto"/>
              <w:left w:val="nil" w:sz="6" w:space="0" w:color="auto"/>
              <w:bottom w:val="nil" w:sz="6" w:space="0" w:color="auto"/>
              <w:right w:val="nil" w:sz="6" w:space="0" w:color="auto"/>
            </w:tcBorders>
          </w:tcPr>
          <w:p>
            <w:pP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3"/>
              <w:jc w:val="right"/>
              <w:rPr>
                <w:rFonts w:ascii="Arial" w:hAnsi="Arial" w:cs="Arial" w:eastAsia="Arial" w:hint="default"/>
                <w:sz w:val="16"/>
                <w:szCs w:val="16"/>
              </w:rPr>
            </w:pPr>
            <w:r>
              <w:rPr>
                <w:rFonts w:ascii="Arial"/>
                <w:w w:val="99"/>
                <w:sz w:val="16"/>
              </w:rPr>
            </w:r>
            <w:r>
              <w:rPr>
                <w:rFonts w:ascii="Arial"/>
                <w:sz w:val="16"/>
                <w:u w:val="thick" w:color="000000"/>
              </w:rPr>
              <w:t>33,399,866   </w:t>
            </w:r>
            <w:r>
              <w:rPr>
                <w:rFonts w:ascii="Arial"/>
                <w:sz w:val="16"/>
              </w:rPr>
            </w:r>
            <w:r>
              <w:rPr>
                <w:rFonts w:ascii="Arial"/>
                <w:sz w:val="16"/>
                <w:u w:val="thick" w:color="000000"/>
              </w:rPr>
              <w:t>100   </w:t>
            </w:r>
            <w:r>
              <w:rPr>
                <w:rFonts w:ascii="Arial"/>
                <w:spacing w:val="19"/>
                <w:sz w:val="16"/>
                <w:u w:val="thick" w:color="000000"/>
              </w:rPr>
              <w:t> </w:t>
            </w:r>
            <w:r>
              <w:rPr>
                <w:rFonts w:ascii="Arial"/>
                <w:spacing w:val="19"/>
                <w:sz w:val="16"/>
              </w:rPr>
            </w:r>
            <w:r>
              <w:rPr>
                <w:rFonts w:ascii="Arial"/>
                <w:sz w:val="16"/>
                <w:u w:val="thick" w:color="000000"/>
              </w:rPr>
              <w:t>18,625,397</w:t>
            </w:r>
            <w:r>
              <w:rPr>
                <w:rFonts w:ascii="Arial"/>
                <w:sz w:val="16"/>
              </w:rPr>
            </w:r>
          </w:p>
        </w:tc>
        <w:tc>
          <w:tcPr>
            <w:tcW w:w="694" w:type="dxa"/>
            <w:tcBorders>
              <w:top w:val="nil" w:sz="6" w:space="0" w:color="auto"/>
              <w:left w:val="nil" w:sz="6" w:space="0" w:color="auto"/>
              <w:bottom w:val="nil" w:sz="6" w:space="0" w:color="auto"/>
              <w:right w:val="nil" w:sz="6" w:space="0" w:color="auto"/>
            </w:tcBorders>
          </w:tcPr>
          <w:p>
            <w:pPr/>
          </w:p>
        </w:tc>
        <w:tc>
          <w:tcPr>
            <w:tcW w:w="280" w:type="dxa"/>
            <w:tcBorders>
              <w:top w:val="nil" w:sz="6" w:space="0" w:color="auto"/>
              <w:left w:val="nil" w:sz="6" w:space="0" w:color="auto"/>
              <w:bottom w:val="nil" w:sz="6" w:space="0" w:color="auto"/>
              <w:right w:val="nil" w:sz="6" w:space="0" w:color="auto"/>
            </w:tcBorders>
          </w:tcPr>
          <w:p>
            <w:pPr/>
          </w:p>
        </w:tc>
        <w:tc>
          <w:tcPr>
            <w:tcW w:w="2555" w:type="dxa"/>
            <w:tcBorders>
              <w:top w:val="nil" w:sz="6" w:space="0" w:color="auto"/>
              <w:left w:val="nil" w:sz="6" w:space="0" w:color="auto"/>
              <w:bottom w:val="nil" w:sz="6" w:space="0" w:color="auto"/>
              <w:right w:val="nil" w:sz="6" w:space="0" w:color="auto"/>
            </w:tcBorders>
          </w:tcPr>
          <w:p>
            <w:pPr>
              <w:pStyle w:val="TableParagraph"/>
              <w:tabs>
                <w:tab w:pos="1083" w:val="left" w:leader="none"/>
              </w:tabs>
              <w:spacing w:line="240" w:lineRule="auto" w:before="19"/>
              <w:ind w:right="46"/>
              <w:jc w:val="right"/>
              <w:rPr>
                <w:rFonts w:ascii="Arial" w:hAnsi="Arial" w:cs="Arial" w:eastAsia="Arial" w:hint="default"/>
                <w:sz w:val="16"/>
                <w:szCs w:val="16"/>
              </w:rPr>
            </w:pPr>
            <w:r>
              <w:rPr>
                <w:rFonts w:ascii="Arial"/>
                <w:w w:val="99"/>
                <w:sz w:val="16"/>
              </w:rPr>
            </w:r>
            <w:r>
              <w:rPr>
                <w:rFonts w:ascii="Arial"/>
                <w:w w:val="95"/>
                <w:sz w:val="16"/>
                <w:u w:val="thick" w:color="000000"/>
              </w:rPr>
              <w:t>22,279,524</w:t>
            </w:r>
            <w:r>
              <w:rPr>
                <w:rFonts w:ascii="Arial"/>
                <w:w w:val="95"/>
                <w:sz w:val="16"/>
              </w:rPr>
              <w:tab/>
            </w:r>
            <w:r>
              <w:rPr>
                <w:rFonts w:ascii="Arial"/>
                <w:sz w:val="16"/>
                <w:u w:val="thick" w:color="000000"/>
              </w:rPr>
              <w:t>100   </w:t>
            </w:r>
            <w:r>
              <w:rPr>
                <w:rFonts w:ascii="Arial"/>
                <w:spacing w:val="12"/>
                <w:sz w:val="16"/>
                <w:u w:val="thick" w:color="000000"/>
              </w:rPr>
              <w:t> </w:t>
            </w:r>
            <w:r>
              <w:rPr>
                <w:rFonts w:ascii="Arial"/>
                <w:spacing w:val="12"/>
                <w:sz w:val="16"/>
              </w:rPr>
            </w:r>
            <w:r>
              <w:rPr>
                <w:rFonts w:ascii="Arial"/>
                <w:sz w:val="16"/>
                <w:u w:val="thick" w:color="000000"/>
              </w:rPr>
              <w:t>15,722,937</w:t>
            </w:r>
            <w:r>
              <w:rPr>
                <w:rFonts w:ascii="Arial"/>
                <w:sz w:val="16"/>
              </w:rPr>
            </w:r>
          </w:p>
        </w:tc>
        <w:tc>
          <w:tcPr>
            <w:tcW w:w="709"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958" w:footer="385" w:top="2560" w:bottom="580" w:left="1600" w:right="1520"/>
        </w:sectPr>
      </w:pP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21"/>
          <w:szCs w:val="21"/>
        </w:rPr>
      </w:pPr>
    </w:p>
    <w:p>
      <w:pPr>
        <w:spacing w:before="38"/>
        <w:ind w:left="101" w:right="2405"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2"/>
        <w:rPr>
          <w:rFonts w:ascii="黑体" w:hAnsi="黑体" w:cs="黑体" w:eastAsia="黑体" w:hint="default"/>
          <w:b/>
          <w:bCs/>
          <w:sz w:val="15"/>
          <w:szCs w:val="15"/>
        </w:rPr>
      </w:pPr>
    </w:p>
    <w:p>
      <w:pPr>
        <w:tabs>
          <w:tab w:pos="840" w:val="left" w:leader="none"/>
        </w:tabs>
        <w:spacing w:before="0"/>
        <w:ind w:left="101" w:right="2405" w:firstLine="0"/>
        <w:jc w:val="left"/>
        <w:rPr>
          <w:rFonts w:ascii="黑体" w:hAnsi="黑体" w:cs="黑体" w:eastAsia="黑体" w:hint="default"/>
          <w:sz w:val="20"/>
          <w:szCs w:val="20"/>
        </w:rPr>
      </w:pPr>
      <w:r>
        <w:rPr>
          <w:rFonts w:ascii="Arial" w:hAnsi="Arial" w:cs="Arial" w:eastAsia="Arial" w:hint="default"/>
          <w:b/>
          <w:bCs/>
          <w:w w:val="95"/>
          <w:sz w:val="20"/>
          <w:szCs w:val="20"/>
        </w:rPr>
        <w:t>4</w:t>
      </w:r>
      <w:r>
        <w:rPr>
          <w:rFonts w:ascii="黑体" w:hAnsi="黑体" w:cs="黑体" w:eastAsia="黑体" w:hint="default"/>
          <w:b/>
          <w:bCs/>
          <w:w w:val="95"/>
          <w:sz w:val="20"/>
          <w:szCs w:val="20"/>
        </w:rPr>
        <w:t>．</w:t>
        <w:tab/>
      </w:r>
      <w:r>
        <w:rPr>
          <w:rFonts w:ascii="黑体" w:hAnsi="黑体" w:cs="黑体" w:eastAsia="黑体" w:hint="default"/>
          <w:b/>
          <w:bCs/>
          <w:sz w:val="20"/>
          <w:szCs w:val="20"/>
        </w:rPr>
        <w:t>应收账款（续）</w:t>
      </w:r>
      <w:r>
        <w:rPr>
          <w:rFonts w:ascii="黑体" w:hAnsi="黑体" w:cs="黑体" w:eastAsia="黑体" w:hint="default"/>
          <w:sz w:val="20"/>
          <w:szCs w:val="20"/>
        </w:rPr>
      </w:r>
    </w:p>
    <w:p>
      <w:pPr>
        <w:spacing w:line="240" w:lineRule="auto" w:before="12"/>
        <w:rPr>
          <w:rFonts w:ascii="黑体" w:hAnsi="黑体" w:cs="黑体" w:eastAsia="黑体" w:hint="default"/>
          <w:b/>
          <w:bCs/>
          <w:sz w:val="13"/>
          <w:szCs w:val="13"/>
        </w:rPr>
      </w:pPr>
    </w:p>
    <w:p>
      <w:pPr>
        <w:pStyle w:val="BodyText"/>
        <w:spacing w:line="268" w:lineRule="exact"/>
        <w:ind w:right="113"/>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日，本账户余额中无持有本公司</w:t>
      </w:r>
      <w:r>
        <w:rPr>
          <w:rFonts w:ascii="Arial" w:hAnsi="Arial" w:cs="Arial" w:eastAsia="Arial" w:hint="default"/>
        </w:rPr>
        <w:t>5%</w:t>
      </w:r>
      <w:r>
        <w:rPr/>
        <w:t>或以上表决权股份的股东单位的欠款</w:t>
      </w:r>
    </w:p>
    <w:p>
      <w:pPr>
        <w:pStyle w:val="BodyText"/>
        <w:spacing w:line="398" w:lineRule="auto"/>
        <w:ind w:left="816" w:right="2405" w:hanging="1"/>
        <w:jc w:val="left"/>
      </w:pPr>
      <w:r>
        <w:rPr/>
        <w:t>（</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r>
        <w:rPr>
          <w:w w:val="100"/>
        </w:rPr>
        <w:t> </w:t>
      </w:r>
      <w:r>
        <w:rPr>
          <w:spacing w:val="-1"/>
        </w:rPr>
        <w:t>于</w:t>
      </w: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日，应收关联方账款如下：</w:t>
      </w:r>
    </w:p>
    <w:p>
      <w:pPr>
        <w:pStyle w:val="BodyText"/>
        <w:tabs>
          <w:tab w:pos="1792" w:val="left" w:leader="none"/>
        </w:tabs>
        <w:spacing w:line="260" w:lineRule="exact" w:before="68"/>
        <w:ind w:left="0" w:right="284"/>
        <w:jc w:val="right"/>
      </w:pPr>
      <w:r>
        <w:rPr>
          <w:spacing w:val="-1"/>
        </w:rPr>
        <w:t>与本公司关系</w:t>
        <w:tab/>
      </w:r>
      <w:r>
        <w:rPr/>
        <w:t>金额</w:t>
      </w:r>
      <w:r>
        <w:rPr>
          <w:spacing w:val="63"/>
        </w:rPr>
        <w:t> </w:t>
      </w:r>
      <w:r>
        <w:rPr>
          <w:spacing w:val="-1"/>
        </w:rPr>
        <w:t>占应收账款总额</w:t>
      </w:r>
    </w:p>
    <w:p>
      <w:pPr>
        <w:pStyle w:val="BodyText"/>
        <w:spacing w:line="268" w:lineRule="exact"/>
        <w:ind w:left="0" w:right="285"/>
        <w:jc w:val="right"/>
        <w:rPr>
          <w:rFonts w:ascii="Arial" w:hAnsi="Arial" w:cs="Arial" w:eastAsia="Arial" w:hint="default"/>
        </w:rPr>
      </w:pPr>
      <w:r>
        <w:rPr>
          <w:spacing w:val="-1"/>
        </w:rPr>
        <w:t>的比例</w:t>
      </w:r>
      <w:r>
        <w:rPr>
          <w:rFonts w:ascii="Arial" w:hAnsi="Arial" w:cs="Arial" w:eastAsia="Arial" w:hint="default"/>
          <w:spacing w:val="-1"/>
        </w:rPr>
        <w:t>(%)</w:t>
      </w:r>
    </w:p>
    <w:p>
      <w:pPr>
        <w:pStyle w:val="BodyText"/>
        <w:tabs>
          <w:tab w:pos="5224" w:val="left" w:leader="none"/>
          <w:tab w:pos="6406" w:val="left" w:leader="none"/>
          <w:tab w:pos="8347" w:val="left" w:leader="none"/>
        </w:tabs>
        <w:spacing w:line="279" w:lineRule="exact"/>
        <w:ind w:left="831" w:right="113"/>
        <w:jc w:val="left"/>
        <w:rPr>
          <w:rFonts w:ascii="Arial" w:hAnsi="Arial" w:cs="Arial" w:eastAsia="Arial" w:hint="default"/>
        </w:rPr>
      </w:pPr>
      <w:r>
        <w:rPr>
          <w:position w:val="1"/>
        </w:rPr>
        <w:t>用友致远</w:t>
        <w:tab/>
        <w:t>联营企业</w:t>
        <w:tab/>
      </w:r>
      <w:r>
        <w:rPr>
          <w:rFonts w:ascii="Arial" w:hAnsi="Arial" w:cs="Arial" w:eastAsia="Arial" w:hint="default"/>
        </w:rPr>
      </w:r>
      <w:r>
        <w:rPr>
          <w:rFonts w:ascii="Arial" w:hAnsi="Arial" w:cs="Arial" w:eastAsia="Arial" w:hint="default"/>
          <w:u w:val="thick" w:color="000000"/>
        </w:rPr>
        <w:t>47,000</w:t>
      </w:r>
      <w:r>
        <w:rPr>
          <w:rFonts w:ascii="Arial" w:hAnsi="Arial" w:cs="Arial" w:eastAsia="Arial" w:hint="default"/>
        </w:rPr>
        <w:tab/>
      </w:r>
      <w:r>
        <w:rPr>
          <w:rFonts w:ascii="Arial" w:hAnsi="Arial" w:cs="Arial" w:eastAsia="Arial" w:hint="default"/>
          <w:u w:val="thick" w:color="000000"/>
        </w:rPr>
        <w:t>&lt;1</w:t>
      </w:r>
      <w:r>
        <w:rPr>
          <w:rFonts w:ascii="Arial" w:hAnsi="Arial" w:cs="Arial" w:eastAsia="Arial" w:hint="default"/>
        </w:rPr>
      </w:r>
    </w:p>
    <w:p>
      <w:pPr>
        <w:spacing w:line="240" w:lineRule="auto" w:before="11"/>
        <w:rPr>
          <w:rFonts w:ascii="Arial" w:hAnsi="Arial" w:cs="Arial" w:eastAsia="Arial" w:hint="default"/>
          <w:sz w:val="13"/>
          <w:szCs w:val="13"/>
        </w:rPr>
      </w:pPr>
    </w:p>
    <w:p>
      <w:pPr>
        <w:pStyle w:val="BodyText"/>
        <w:spacing w:line="240" w:lineRule="auto" w:before="38"/>
        <w:ind w:right="2405"/>
        <w:jc w:val="left"/>
      </w:pPr>
      <w:r>
        <w:rPr/>
        <w:t>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日，本账户余额中无应收关联方账款。</w:t>
      </w:r>
    </w:p>
    <w:p>
      <w:pPr>
        <w:spacing w:line="240" w:lineRule="auto" w:before="4"/>
        <w:rPr>
          <w:rFonts w:ascii="黑体" w:hAnsi="黑体" w:cs="黑体" w:eastAsia="黑体" w:hint="default"/>
          <w:sz w:val="16"/>
          <w:szCs w:val="16"/>
        </w:rPr>
      </w:pPr>
    </w:p>
    <w:p>
      <w:pPr>
        <w:tabs>
          <w:tab w:pos="840" w:val="left" w:leader="none"/>
        </w:tabs>
        <w:spacing w:line="400" w:lineRule="auto" w:before="0"/>
        <w:ind w:left="815" w:right="5645" w:hanging="715"/>
        <w:jc w:val="left"/>
        <w:rPr>
          <w:rFonts w:ascii="黑体" w:hAnsi="黑体" w:cs="黑体" w:eastAsia="黑体" w:hint="default"/>
          <w:sz w:val="20"/>
          <w:szCs w:val="20"/>
        </w:rPr>
      </w:pPr>
      <w:r>
        <w:rPr>
          <w:rFonts w:ascii="Arial" w:hAnsi="Arial" w:cs="Arial" w:eastAsia="Arial" w:hint="default"/>
          <w:b/>
          <w:bCs/>
          <w:w w:val="95"/>
          <w:sz w:val="20"/>
          <w:szCs w:val="20"/>
        </w:rPr>
        <w:t>5</w:t>
      </w:r>
      <w:r>
        <w:rPr>
          <w:rFonts w:ascii="黑体" w:hAnsi="黑体" w:cs="黑体" w:eastAsia="黑体" w:hint="default"/>
          <w:b/>
          <w:bCs/>
          <w:w w:val="95"/>
          <w:sz w:val="20"/>
          <w:szCs w:val="20"/>
        </w:rPr>
        <w:t>．</w:t>
        <w:tab/>
        <w:tab/>
      </w:r>
      <w:r>
        <w:rPr>
          <w:rFonts w:ascii="黑体" w:hAnsi="黑体" w:cs="黑体" w:eastAsia="黑体" w:hint="default"/>
          <w:b/>
          <w:bCs/>
          <w:spacing w:val="1"/>
          <w:sz w:val="20"/>
          <w:szCs w:val="20"/>
        </w:rPr>
        <w:t>预付款项</w:t>
      </w:r>
      <w:r>
        <w:rPr>
          <w:rFonts w:ascii="黑体" w:hAnsi="黑体" w:cs="黑体" w:eastAsia="黑体" w:hint="default"/>
          <w:b/>
          <w:bCs/>
          <w:spacing w:val="1"/>
          <w:w w:val="99"/>
          <w:sz w:val="20"/>
          <w:szCs w:val="20"/>
        </w:rPr>
        <w:t> </w:t>
      </w:r>
      <w:r>
        <w:rPr>
          <w:rFonts w:ascii="黑体" w:hAnsi="黑体" w:cs="黑体" w:eastAsia="黑体" w:hint="default"/>
          <w:sz w:val="20"/>
          <w:szCs w:val="20"/>
        </w:rPr>
        <w:t>预付款项的账龄分析如下：</w:t>
      </w:r>
    </w:p>
    <w:p>
      <w:pPr>
        <w:pStyle w:val="BodyText"/>
        <w:tabs>
          <w:tab w:pos="6849" w:val="left" w:leader="none"/>
        </w:tabs>
        <w:spacing w:line="272" w:lineRule="exact" w:before="74"/>
        <w:ind w:left="4284" w:right="113"/>
        <w:jc w:val="left"/>
      </w:pPr>
      <w:r>
        <w:rPr>
          <w:rFonts w:ascii="Arial" w:hAnsi="Arial" w:cs="Arial" w:eastAsia="Arial" w:hint="default"/>
        </w:rPr>
        <w:t>2009</w:t>
      </w:r>
      <w:r>
        <w:rPr>
          <w:rFonts w:ascii="Arial" w:hAnsi="Arial" w:cs="Arial" w:eastAsia="Arial" w:hint="default"/>
          <w:spacing w:val="-6"/>
        </w:rPr>
        <w:t> </w:t>
      </w:r>
      <w:r>
        <w:rPr/>
        <w:t>年</w:t>
      </w:r>
      <w:r>
        <w:rPr>
          <w:spacing w:val="-52"/>
        </w:rPr>
        <w:t> </w:t>
      </w: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7"/>
        </w:rPr>
        <w:t> </w:t>
      </w:r>
      <w:r>
        <w:rPr/>
        <w:t>日</w:t>
        <w:tab/>
      </w:r>
      <w:r>
        <w:rPr>
          <w:rFonts w:ascii="Arial" w:hAnsi="Arial" w:cs="Arial" w:eastAsia="Arial" w:hint="default"/>
        </w:rPr>
        <w:t>2008</w:t>
      </w:r>
      <w:r>
        <w:rPr>
          <w:rFonts w:ascii="Arial" w:hAnsi="Arial" w:cs="Arial" w:eastAsia="Arial" w:hint="default"/>
          <w:spacing w:val="-6"/>
        </w:rPr>
        <w:t> </w:t>
      </w:r>
      <w:r>
        <w:rPr/>
        <w:t>年</w:t>
      </w:r>
      <w:r>
        <w:rPr>
          <w:spacing w:val="-52"/>
        </w:rPr>
        <w:t> </w:t>
      </w: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6"/>
        </w:rPr>
        <w:t> </w:t>
      </w:r>
      <w:r>
        <w:rPr/>
        <w:t>日</w:t>
      </w:r>
    </w:p>
    <w:p>
      <w:pPr>
        <w:pStyle w:val="BodyText"/>
        <w:tabs>
          <w:tab w:pos="5626" w:val="left" w:leader="none"/>
          <w:tab w:pos="7186" w:val="left" w:leader="none"/>
          <w:tab w:pos="8189" w:val="left" w:leader="none"/>
        </w:tabs>
        <w:spacing w:line="257" w:lineRule="exact"/>
        <w:ind w:left="4613" w:right="113"/>
        <w:jc w:val="left"/>
      </w:pPr>
      <w:r>
        <w:rPr/>
        <w:t>账面</w:t>
        <w:tab/>
        <w:t>比例</w:t>
        <w:tab/>
        <w:t>账面</w:t>
        <w:tab/>
        <w:t>比例</w:t>
      </w:r>
    </w:p>
    <w:p>
      <w:pPr>
        <w:pStyle w:val="BodyText"/>
        <w:tabs>
          <w:tab w:pos="5849" w:val="left" w:leader="none"/>
          <w:tab w:pos="7186" w:val="left" w:leader="none"/>
          <w:tab w:pos="8412" w:val="left" w:leader="none"/>
        </w:tabs>
        <w:spacing w:line="240" w:lineRule="auto" w:before="9"/>
        <w:ind w:left="4613" w:right="113"/>
        <w:jc w:val="left"/>
        <w:rPr>
          <w:rFonts w:ascii="Arial" w:hAnsi="Arial" w:cs="Arial" w:eastAsia="Arial" w:hint="default"/>
        </w:rPr>
      </w:pPr>
      <w:r>
        <w:rPr>
          <w:position w:val="1"/>
        </w:rPr>
        <w:t>余额</w:t>
        <w:tab/>
      </w:r>
      <w:r>
        <w:rPr>
          <w:rFonts w:ascii="Arial" w:hAnsi="Arial" w:cs="Arial" w:eastAsia="Arial" w:hint="default"/>
        </w:rPr>
        <w:t>%</w:t>
        <w:tab/>
      </w:r>
      <w:r>
        <w:rPr>
          <w:position w:val="1"/>
        </w:rPr>
        <w:t>余额</w:t>
        <w:tab/>
      </w:r>
      <w:r>
        <w:rPr>
          <w:rFonts w:ascii="Arial" w:hAnsi="Arial" w:cs="Arial" w:eastAsia="Arial" w:hint="default"/>
        </w:rPr>
        <w:t>%</w:t>
      </w:r>
    </w:p>
    <w:p>
      <w:pPr>
        <w:pStyle w:val="BodyText"/>
        <w:tabs>
          <w:tab w:pos="4290" w:val="left" w:leader="none"/>
          <w:tab w:pos="5803" w:val="left" w:leader="none"/>
          <w:tab w:pos="6696" w:val="left" w:leader="none"/>
          <w:tab w:pos="8589" w:val="right" w:leader="none"/>
        </w:tabs>
        <w:spacing w:line="277" w:lineRule="exact" w:before="250"/>
        <w:ind w:left="831" w:right="0"/>
        <w:jc w:val="left"/>
        <w:rPr>
          <w:rFonts w:ascii="Arial" w:hAnsi="Arial" w:cs="Arial" w:eastAsia="Arial" w:hint="default"/>
        </w:rPr>
      </w:pPr>
      <w:r>
        <w:rPr>
          <w:rFonts w:ascii="Arial" w:hAnsi="Arial" w:cs="Arial" w:eastAsia="Arial" w:hint="default"/>
          <w:position w:val="1"/>
        </w:rPr>
        <w:t>1</w:t>
      </w:r>
      <w:r>
        <w:rPr>
          <w:rFonts w:ascii="Arial" w:hAnsi="Arial" w:cs="Arial" w:eastAsia="Arial" w:hint="default"/>
          <w:spacing w:val="-4"/>
          <w:position w:val="1"/>
        </w:rPr>
        <w:t> </w:t>
      </w:r>
      <w:r>
        <w:rPr>
          <w:spacing w:val="-1"/>
          <w:position w:val="1"/>
        </w:rPr>
        <w:t>年以内</w:t>
        <w:tab/>
      </w:r>
      <w:r>
        <w:rPr>
          <w:rFonts w:ascii="Arial" w:hAnsi="Arial" w:cs="Arial" w:eastAsia="Arial" w:hint="default"/>
          <w:spacing w:val="-1"/>
        </w:rPr>
        <w:t>149,509</w:t>
        <w:tab/>
      </w:r>
      <w:r>
        <w:rPr>
          <w:rFonts w:ascii="Arial" w:hAnsi="Arial" w:cs="Arial" w:eastAsia="Arial" w:hint="default"/>
        </w:rPr>
        <w:t>85</w:t>
        <w:tab/>
      </w:r>
      <w:r>
        <w:rPr>
          <w:rFonts w:ascii="Arial" w:hAnsi="Arial" w:cs="Arial" w:eastAsia="Arial" w:hint="default"/>
          <w:spacing w:val="-1"/>
        </w:rPr>
        <w:t>1,316,388</w:t>
        <w:tab/>
      </w:r>
      <w:r>
        <w:rPr>
          <w:rFonts w:ascii="Arial" w:hAnsi="Arial" w:cs="Arial" w:eastAsia="Arial" w:hint="default"/>
        </w:rPr>
        <w:t>89</w:t>
      </w:r>
    </w:p>
    <w:p>
      <w:pPr>
        <w:pStyle w:val="BodyText"/>
        <w:tabs>
          <w:tab w:pos="4400" w:val="left" w:leader="none"/>
          <w:tab w:pos="5803" w:val="left" w:leader="none"/>
          <w:tab w:pos="6973" w:val="left" w:leader="none"/>
          <w:tab w:pos="8589" w:val="right" w:leader="none"/>
        </w:tabs>
        <w:spacing w:line="268" w:lineRule="exact"/>
        <w:ind w:left="831" w:right="0"/>
        <w:jc w:val="left"/>
        <w:rPr>
          <w:rFonts w:ascii="Arial" w:hAnsi="Arial" w:cs="Arial" w:eastAsia="Arial" w:hint="default"/>
        </w:rPr>
      </w:pPr>
      <w:r>
        <w:rPr>
          <w:rFonts w:ascii="Arial" w:hAnsi="Arial" w:cs="Arial" w:eastAsia="Arial" w:hint="default"/>
          <w:position w:val="1"/>
        </w:rPr>
        <w:t>1</w:t>
      </w:r>
      <w:r>
        <w:rPr>
          <w:rFonts w:ascii="Arial" w:hAnsi="Arial" w:cs="Arial" w:eastAsia="Arial" w:hint="default"/>
          <w:spacing w:val="-7"/>
          <w:position w:val="1"/>
        </w:rPr>
        <w:t> </w:t>
      </w:r>
      <w:r>
        <w:rPr>
          <w:position w:val="1"/>
        </w:rPr>
        <w:t>年至</w:t>
      </w:r>
      <w:r>
        <w:rPr>
          <w:spacing w:val="-51"/>
          <w:position w:val="1"/>
        </w:rPr>
        <w:t> </w:t>
      </w:r>
      <w:r>
        <w:rPr>
          <w:rFonts w:ascii="Arial" w:hAnsi="Arial" w:cs="Arial" w:eastAsia="Arial" w:hint="default"/>
          <w:position w:val="1"/>
        </w:rPr>
        <w:t>2</w:t>
      </w:r>
      <w:r>
        <w:rPr>
          <w:rFonts w:ascii="Arial" w:hAnsi="Arial" w:cs="Arial" w:eastAsia="Arial" w:hint="default"/>
          <w:spacing w:val="-8"/>
          <w:position w:val="1"/>
        </w:rPr>
        <w:t> </w:t>
      </w:r>
      <w:r>
        <w:rPr>
          <w:position w:val="1"/>
        </w:rPr>
        <w:t>年</w:t>
        <w:tab/>
      </w:r>
      <w:r>
        <w:rPr>
          <w:rFonts w:ascii="Arial" w:hAnsi="Arial" w:cs="Arial" w:eastAsia="Arial" w:hint="default"/>
        </w:rPr>
        <w:t>20,000</w:t>
        <w:tab/>
        <w:t>11</w:t>
        <w:tab/>
        <w:t>27,425</w:t>
        <w:tab/>
        <w:t>2</w:t>
      </w:r>
    </w:p>
    <w:p>
      <w:pPr>
        <w:pStyle w:val="BodyText"/>
        <w:tabs>
          <w:tab w:pos="4679" w:val="left" w:leader="none"/>
          <w:tab w:pos="5959" w:val="left" w:leader="none"/>
          <w:tab w:pos="6973" w:val="left" w:leader="none"/>
          <w:tab w:pos="8589" w:val="right" w:leader="none"/>
        </w:tabs>
        <w:spacing w:line="268" w:lineRule="exact"/>
        <w:ind w:left="831" w:right="0"/>
        <w:jc w:val="left"/>
        <w:rPr>
          <w:rFonts w:ascii="Arial" w:hAnsi="Arial" w:cs="Arial" w:eastAsia="Arial" w:hint="default"/>
        </w:rPr>
      </w:pPr>
      <w:r>
        <w:rPr>
          <w:rFonts w:ascii="Arial" w:hAnsi="Arial" w:cs="Arial" w:eastAsia="Arial" w:hint="default"/>
          <w:position w:val="1"/>
        </w:rPr>
        <w:t>2</w:t>
      </w:r>
      <w:r>
        <w:rPr>
          <w:rFonts w:ascii="Arial" w:hAnsi="Arial" w:cs="Arial" w:eastAsia="Arial" w:hint="default"/>
          <w:spacing w:val="-7"/>
          <w:position w:val="1"/>
        </w:rPr>
        <w:t> </w:t>
      </w:r>
      <w:r>
        <w:rPr>
          <w:position w:val="1"/>
        </w:rPr>
        <w:t>年至</w:t>
      </w:r>
      <w:r>
        <w:rPr>
          <w:spacing w:val="-51"/>
          <w:position w:val="1"/>
        </w:rPr>
        <w:t> </w:t>
      </w:r>
      <w:r>
        <w:rPr>
          <w:rFonts w:ascii="Arial" w:hAnsi="Arial" w:cs="Arial" w:eastAsia="Arial" w:hint="default"/>
          <w:position w:val="1"/>
        </w:rPr>
        <w:t>3</w:t>
      </w:r>
      <w:r>
        <w:rPr>
          <w:rFonts w:ascii="Arial" w:hAnsi="Arial" w:cs="Arial" w:eastAsia="Arial" w:hint="default"/>
          <w:spacing w:val="-8"/>
          <w:position w:val="1"/>
        </w:rPr>
        <w:t> </w:t>
      </w:r>
      <w:r>
        <w:rPr>
          <w:position w:val="1"/>
        </w:rPr>
        <w:t>年</w:t>
        <w:tab/>
      </w:r>
      <w:r>
        <w:rPr>
          <w:rFonts w:ascii="Arial" w:hAnsi="Arial" w:cs="Arial" w:eastAsia="Arial" w:hint="default"/>
        </w:rPr>
        <w:t>200</w:t>
        <w:tab/>
        <w:t>-</w:t>
        <w:tab/>
        <w:t>10,680</w:t>
        <w:tab/>
        <w:t>1</w:t>
      </w:r>
    </w:p>
    <w:p>
      <w:pPr>
        <w:pStyle w:val="BodyText"/>
        <w:tabs>
          <w:tab w:pos="4293" w:val="left" w:leader="none"/>
          <w:tab w:pos="5716" w:val="left" w:leader="none"/>
          <w:tab w:pos="6663" w:val="left" w:leader="none"/>
          <w:tab w:pos="8279" w:val="left" w:leader="none"/>
        </w:tabs>
        <w:spacing w:line="277" w:lineRule="exact"/>
        <w:ind w:left="830" w:right="113"/>
        <w:jc w:val="left"/>
        <w:rPr>
          <w:rFonts w:ascii="Arial" w:hAnsi="Arial" w:cs="Arial" w:eastAsia="Arial" w:hint="default"/>
        </w:rPr>
      </w:pPr>
      <w:r>
        <w:rPr>
          <w:rFonts w:ascii="Arial" w:hAnsi="Arial" w:cs="Arial" w:eastAsia="Arial" w:hint="default"/>
          <w:position w:val="1"/>
        </w:rPr>
        <w:t>3</w:t>
      </w:r>
      <w:r>
        <w:rPr>
          <w:rFonts w:ascii="Arial" w:hAnsi="Arial" w:cs="Arial" w:eastAsia="Arial" w:hint="default"/>
          <w:spacing w:val="-7"/>
          <w:position w:val="1"/>
        </w:rPr>
        <w:t> </w:t>
      </w:r>
      <w:r>
        <w:rPr>
          <w:position w:val="1"/>
        </w:rPr>
        <w:t>年以上</w:t>
        <w:tab/>
      </w:r>
      <w:r>
        <w:rPr>
          <w:rFonts w:ascii="Arial" w:hAnsi="Arial" w:cs="Arial" w:eastAsia="Arial" w:hint="default"/>
        </w:rPr>
      </w:r>
      <w:r>
        <w:rPr>
          <w:rFonts w:ascii="Arial" w:hAnsi="Arial" w:cs="Arial" w:eastAsia="Arial" w:hint="default"/>
          <w:u w:val="single" w:color="000000"/>
        </w:rPr>
        <w:t> 6,923</w:t>
      </w:r>
      <w:r>
        <w:rPr>
          <w:rFonts w:ascii="Arial" w:hAnsi="Arial" w:cs="Arial" w:eastAsia="Arial" w:hint="default"/>
        </w:rPr>
        <w:tab/>
      </w:r>
      <w:r>
        <w:rPr>
          <w:rFonts w:ascii="Arial" w:hAnsi="Arial" w:cs="Arial" w:eastAsia="Arial" w:hint="default"/>
          <w:u w:val="single" w:color="000000"/>
        </w:rPr>
        <w:t> 4</w:t>
      </w:r>
      <w:r>
        <w:rPr>
          <w:rFonts w:ascii="Arial" w:hAnsi="Arial" w:cs="Arial" w:eastAsia="Arial" w:hint="default"/>
        </w:rPr>
        <w:tab/>
      </w:r>
      <w:r>
        <w:rPr>
          <w:rFonts w:ascii="Arial" w:hAnsi="Arial" w:cs="Arial" w:eastAsia="Arial" w:hint="default"/>
          <w:u w:val="single" w:color="000000"/>
        </w:rPr>
        <w:t> 119,435</w:t>
      </w:r>
      <w:r>
        <w:rPr>
          <w:rFonts w:ascii="Arial" w:hAnsi="Arial" w:cs="Arial" w:eastAsia="Arial" w:hint="default"/>
        </w:rPr>
        <w:tab/>
      </w:r>
      <w:r>
        <w:rPr>
          <w:rFonts w:ascii="Arial" w:hAnsi="Arial" w:cs="Arial" w:eastAsia="Arial" w:hint="default"/>
          <w:u w:val="single" w:color="000000"/>
        </w:rPr>
        <w:t> 8</w:t>
      </w:r>
      <w:r>
        <w:rPr>
          <w:rFonts w:ascii="Arial" w:hAnsi="Arial" w:cs="Arial" w:eastAsia="Arial" w:hint="default"/>
        </w:rPr>
      </w:r>
    </w:p>
    <w:p>
      <w:pPr>
        <w:pStyle w:val="BodyText"/>
        <w:tabs>
          <w:tab w:pos="5692" w:val="left" w:leader="none"/>
          <w:tab w:pos="6696" w:val="left" w:leader="none"/>
          <w:tab w:pos="8255" w:val="left" w:leader="none"/>
        </w:tabs>
        <w:spacing w:line="240" w:lineRule="auto" w:before="37"/>
        <w:ind w:left="4290" w:right="113"/>
        <w:jc w:val="left"/>
        <w:rPr>
          <w:rFonts w:ascii="Arial" w:hAnsi="Arial" w:cs="Arial" w:eastAsia="Arial" w:hint="default"/>
        </w:rPr>
      </w:pPr>
      <w:r>
        <w:rPr>
          <w:rFonts w:ascii="Arial"/>
          <w:w w:val="100"/>
        </w:rPr>
      </w:r>
      <w:r>
        <w:rPr>
          <w:rFonts w:ascii="Arial"/>
          <w:spacing w:val="-1"/>
          <w:u w:val="thick" w:color="000000"/>
        </w:rPr>
        <w:t>176,632</w:t>
      </w:r>
      <w:r>
        <w:rPr>
          <w:rFonts w:ascii="Arial"/>
          <w:spacing w:val="-1"/>
        </w:rPr>
        <w:tab/>
      </w:r>
      <w:r>
        <w:rPr>
          <w:rFonts w:ascii="Arial"/>
          <w:u w:val="thick" w:color="000000"/>
        </w:rPr>
        <w:t>100</w:t>
      </w:r>
      <w:r>
        <w:rPr>
          <w:rFonts w:ascii="Arial"/>
        </w:rPr>
        <w:tab/>
      </w:r>
      <w:r>
        <w:rPr>
          <w:rFonts w:ascii="Arial"/>
          <w:spacing w:val="-1"/>
          <w:u w:val="thick" w:color="000000"/>
        </w:rPr>
        <w:t>1,473,928</w:t>
      </w:r>
      <w:r>
        <w:rPr>
          <w:rFonts w:ascii="Arial"/>
          <w:spacing w:val="-1"/>
        </w:rPr>
        <w:tab/>
      </w:r>
      <w:r>
        <w:rPr>
          <w:rFonts w:ascii="Arial"/>
          <w:u w:val="thick" w:color="000000"/>
        </w:rPr>
        <w:t>100</w:t>
      </w:r>
      <w:r>
        <w:rPr>
          <w:rFonts w:ascii="Arial"/>
        </w:rPr>
      </w:r>
    </w:p>
    <w:p>
      <w:pPr>
        <w:spacing w:line="240" w:lineRule="auto" w:before="2"/>
        <w:rPr>
          <w:rFonts w:ascii="Arial" w:hAnsi="Arial" w:cs="Arial" w:eastAsia="Arial" w:hint="default"/>
          <w:sz w:val="17"/>
          <w:szCs w:val="17"/>
        </w:rPr>
      </w:pPr>
    </w:p>
    <w:p>
      <w:pPr>
        <w:pStyle w:val="BodyText"/>
        <w:spacing w:line="424" w:lineRule="auto"/>
        <w:ind w:right="2405" w:hanging="1"/>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日，无重大预付款项金额。</w:t>
      </w:r>
      <w:r>
        <w:rPr>
          <w:w w:val="100"/>
        </w:rPr>
        <w:t> </w:t>
      </w:r>
      <w:r>
        <w:rPr>
          <w:spacing w:val="-1"/>
        </w:rPr>
        <w:t>于</w:t>
      </w:r>
      <w:r>
        <w:rPr>
          <w:rFonts w:ascii="Arial" w:hAnsi="Arial" w:cs="Arial" w:eastAsia="Arial" w:hint="default"/>
          <w:spacing w:val="-1"/>
        </w:rPr>
        <w:t>2008</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日，重大预付款项金额如下：</w:t>
      </w:r>
    </w:p>
    <w:p>
      <w:pPr>
        <w:pStyle w:val="BodyText"/>
        <w:tabs>
          <w:tab w:pos="5429" w:val="left" w:leader="none"/>
          <w:tab w:pos="7741" w:val="left" w:leader="none"/>
        </w:tabs>
        <w:spacing w:line="240" w:lineRule="auto" w:before="44"/>
        <w:ind w:right="0" w:firstLine="2899"/>
        <w:jc w:val="left"/>
      </w:pPr>
      <w:r>
        <w:rPr>
          <w:spacing w:val="-1"/>
        </w:rPr>
        <w:t>与本公司关系</w:t>
        <w:tab/>
      </w:r>
      <w:r>
        <w:rPr/>
        <w:t>金额</w:t>
      </w:r>
      <w:r>
        <w:rPr>
          <w:spacing w:val="-70"/>
        </w:rPr>
        <w:t> </w:t>
      </w:r>
      <w:r>
        <w:rPr/>
        <w:t>预付时间</w:t>
        <w:tab/>
      </w:r>
      <w:r>
        <w:rPr>
          <w:spacing w:val="-1"/>
        </w:rPr>
        <w:t>未结算原因</w:t>
      </w:r>
    </w:p>
    <w:p>
      <w:pPr>
        <w:pStyle w:val="BodyText"/>
        <w:tabs>
          <w:tab w:pos="4113" w:val="left" w:leader="none"/>
        </w:tabs>
        <w:spacing w:line="470" w:lineRule="atLeast" w:before="65"/>
        <w:ind w:right="112" w:firstLine="16"/>
        <w:jc w:val="left"/>
      </w:pPr>
      <w:r>
        <w:rPr>
          <w:spacing w:val="-1"/>
        </w:rPr>
        <w:t>北京悦航数字媒体广告有限公司</w:t>
        <w:tab/>
      </w:r>
      <w:r>
        <w:rPr/>
        <w:t>非关联方</w:t>
      </w:r>
      <w:r>
        <w:rPr>
          <w:spacing w:val="-73"/>
        </w:rPr>
        <w:t> </w:t>
      </w:r>
      <w:r>
        <w:rPr>
          <w:rFonts w:ascii="Arial" w:hAnsi="Arial" w:cs="Arial" w:eastAsia="Arial" w:hint="default"/>
          <w:spacing w:val="-73"/>
        </w:rPr>
      </w:r>
      <w:r>
        <w:rPr>
          <w:rFonts w:ascii="Arial" w:hAnsi="Arial" w:cs="Arial" w:eastAsia="Arial" w:hint="default"/>
          <w:spacing w:val="-1"/>
          <w:u w:val="thick" w:color="000000"/>
        </w:rPr>
        <w:t>1,230,750</w:t>
      </w:r>
      <w:r>
        <w:rPr>
          <w:rFonts w:ascii="Arial" w:hAnsi="Arial" w:cs="Arial" w:eastAsia="Arial" w:hint="default"/>
          <w:spacing w:val="15"/>
          <w:u w:val="thick" w:color="000000"/>
        </w:rPr>
        <w:t> </w:t>
      </w:r>
      <w:r>
        <w:rPr>
          <w:rFonts w:ascii="Arial" w:hAnsi="Arial" w:cs="Arial" w:eastAsia="Arial" w:hint="default"/>
          <w:spacing w:val="15"/>
        </w:rPr>
      </w:r>
      <w:r>
        <w:rPr>
          <w:rFonts w:ascii="Arial" w:hAnsi="Arial" w:cs="Arial" w:eastAsia="Arial" w:hint="default"/>
        </w:rPr>
        <w:t>1</w:t>
      </w:r>
      <w:r>
        <w:rPr>
          <w:rFonts w:ascii="Arial" w:hAnsi="Arial" w:cs="Arial" w:eastAsia="Arial" w:hint="default"/>
          <w:spacing w:val="-3"/>
        </w:rPr>
        <w:t> </w:t>
      </w:r>
      <w:r>
        <w:rPr>
          <w:spacing w:val="-1"/>
        </w:rPr>
        <w:t>年以内</w:t>
      </w:r>
      <w:r>
        <w:rPr>
          <w:spacing w:val="-16"/>
        </w:rPr>
        <w:t> </w:t>
      </w:r>
      <w:r>
        <w:rPr>
          <w:spacing w:val="-1"/>
        </w:rPr>
        <w:t>未到合同约定结算时间</w:t>
      </w:r>
      <w:r>
        <w:rPr>
          <w:w w:val="100"/>
        </w:rPr>
        <w:t> </w:t>
      </w:r>
      <w:r>
        <w:rPr>
          <w:spacing w:val="2"/>
        </w:rPr>
        <w:t>于</w:t>
      </w:r>
      <w:r>
        <w:rPr>
          <w:rFonts w:ascii="Arial" w:hAnsi="Arial" w:cs="Arial" w:eastAsia="Arial" w:hint="default"/>
          <w:spacing w:val="2"/>
        </w:rPr>
        <w:t>2009</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日，本账户余额中无持有本公司</w:t>
      </w:r>
      <w:r>
        <w:rPr>
          <w:rFonts w:ascii="Arial" w:hAnsi="Arial" w:cs="Arial" w:eastAsia="Arial" w:hint="default"/>
          <w:spacing w:val="2"/>
        </w:rPr>
        <w:t>5%</w:t>
      </w:r>
      <w:r>
        <w:rPr>
          <w:spacing w:val="2"/>
        </w:rPr>
        <w:t>或以上表决权股份的股东单位的欠款</w:t>
      </w:r>
    </w:p>
    <w:p>
      <w:pPr>
        <w:pStyle w:val="BodyText"/>
        <w:spacing w:line="259" w:lineRule="exact"/>
        <w:ind w:right="2405"/>
        <w:jc w:val="left"/>
      </w:pP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w:t>
      </w:r>
      <w:r>
        <w:rPr>
          <w:rFonts w:ascii="Arial" w:hAnsi="Arial" w:cs="Arial" w:eastAsia="Arial" w:hint="default"/>
        </w:rPr>
        <w:t>:</w:t>
      </w:r>
      <w:r>
        <w:rPr/>
        <w:t>无</w:t>
      </w:r>
      <w:r>
        <w:rPr>
          <w:rFonts w:ascii="Arial" w:hAnsi="Arial" w:cs="Arial" w:eastAsia="Arial" w:hint="default"/>
        </w:rPr>
        <w:t>)</w:t>
      </w:r>
      <w:r>
        <w:rPr/>
        <w:t>。</w:t>
      </w:r>
    </w:p>
    <w:p>
      <w:pPr>
        <w:spacing w:after="0" w:line="259" w:lineRule="exact"/>
        <w:jc w:val="left"/>
        <w:sectPr>
          <w:pgSz w:w="11910" w:h="16840"/>
          <w:pgMar w:header="958" w:footer="385" w:top="2560" w:bottom="580" w:left="1600" w:right="1440"/>
        </w:sect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4"/>
          <w:szCs w:val="14"/>
        </w:rPr>
      </w:pPr>
    </w:p>
    <w:p>
      <w:pPr>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2"/>
        <w:rPr>
          <w:rFonts w:ascii="黑体" w:hAnsi="黑体" w:cs="黑体" w:eastAsia="黑体" w:hint="default"/>
          <w:b/>
          <w:bCs/>
          <w:sz w:val="17"/>
          <w:szCs w:val="17"/>
        </w:rPr>
      </w:pPr>
    </w:p>
    <w:p>
      <w:pPr>
        <w:tabs>
          <w:tab w:pos="840" w:val="left" w:leader="none"/>
        </w:tabs>
        <w:spacing w:line="424" w:lineRule="auto" w:before="0"/>
        <w:ind w:left="815" w:right="5466" w:hanging="715"/>
        <w:jc w:val="left"/>
        <w:rPr>
          <w:rFonts w:ascii="黑体" w:hAnsi="黑体" w:cs="黑体" w:eastAsia="黑体" w:hint="default"/>
          <w:sz w:val="20"/>
          <w:szCs w:val="20"/>
        </w:rPr>
      </w:pPr>
      <w:r>
        <w:rPr>
          <w:rFonts w:ascii="Arial" w:hAnsi="Arial" w:cs="Arial" w:eastAsia="Arial" w:hint="default"/>
          <w:b/>
          <w:bCs/>
          <w:spacing w:val="-1"/>
          <w:sz w:val="20"/>
          <w:szCs w:val="20"/>
        </w:rPr>
        <w:t>6.</w:t>
        <w:tab/>
        <w:tab/>
      </w:r>
      <w:r>
        <w:rPr>
          <w:rFonts w:ascii="黑体" w:hAnsi="黑体" w:cs="黑体" w:eastAsia="黑体" w:hint="default"/>
          <w:b/>
          <w:bCs/>
          <w:sz w:val="20"/>
          <w:szCs w:val="20"/>
        </w:rPr>
        <w:t>其他应收款</w:t>
      </w:r>
      <w:r>
        <w:rPr>
          <w:rFonts w:ascii="黑体" w:hAnsi="黑体" w:cs="黑体" w:eastAsia="黑体" w:hint="default"/>
          <w:b/>
          <w:bCs/>
          <w:w w:val="99"/>
          <w:sz w:val="20"/>
          <w:szCs w:val="20"/>
        </w:rPr>
        <w:t> </w:t>
      </w:r>
      <w:r>
        <w:rPr>
          <w:rFonts w:ascii="黑体" w:hAnsi="黑体" w:cs="黑体" w:eastAsia="黑体" w:hint="default"/>
          <w:spacing w:val="-1"/>
          <w:sz w:val="20"/>
          <w:szCs w:val="20"/>
        </w:rPr>
        <w:t>其他应收款的账龄分析如下：</w:t>
      </w:r>
    </w:p>
    <w:p>
      <w:pPr>
        <w:pStyle w:val="BodyText"/>
        <w:tabs>
          <w:tab w:pos="2080" w:val="left" w:leader="none"/>
        </w:tabs>
        <w:spacing w:line="268" w:lineRule="exact" w:before="75"/>
        <w:ind w:left="0" w:right="141"/>
        <w:jc w:val="right"/>
      </w:pPr>
      <w:r>
        <w:rPr>
          <w:rFonts w:ascii="Arial" w:hAnsi="Arial" w:cs="Arial" w:eastAsia="Arial" w:hint="default"/>
        </w:rPr>
        <w:t>2009</w:t>
      </w:r>
      <w:r>
        <w:rPr>
          <w:rFonts w:ascii="Arial" w:hAnsi="Arial" w:cs="Arial" w:eastAsia="Arial" w:hint="default"/>
          <w:spacing w:val="-6"/>
        </w:rPr>
        <w:t> </w:t>
      </w:r>
      <w:r>
        <w:rPr/>
        <w:t>年</w:t>
        <w:tab/>
      </w:r>
      <w:r>
        <w:rPr>
          <w:rFonts w:ascii="Arial" w:hAnsi="Arial" w:cs="Arial" w:eastAsia="Arial" w:hint="default"/>
        </w:rPr>
        <w:t>2008</w:t>
      </w:r>
      <w:r>
        <w:rPr>
          <w:rFonts w:ascii="Arial" w:hAnsi="Arial" w:cs="Arial" w:eastAsia="Arial" w:hint="default"/>
          <w:spacing w:val="-6"/>
        </w:rPr>
        <w:t> </w:t>
      </w:r>
      <w:r>
        <w:rPr/>
        <w:t>年</w:t>
      </w:r>
    </w:p>
    <w:p>
      <w:pPr>
        <w:pStyle w:val="BodyText"/>
        <w:tabs>
          <w:tab w:pos="2080" w:val="left" w:leader="none"/>
        </w:tabs>
        <w:spacing w:line="268" w:lineRule="exact"/>
        <w:ind w:left="0" w:right="141"/>
        <w:jc w:val="right"/>
      </w:pP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6"/>
        </w:rPr>
        <w:t> </w:t>
      </w:r>
      <w:r>
        <w:rPr/>
        <w:t>日</w:t>
        <w:tab/>
      </w: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6"/>
        </w:rPr>
        <w:t> </w:t>
      </w:r>
      <w:r>
        <w:rPr/>
        <w:t>日</w:t>
      </w:r>
    </w:p>
    <w:p>
      <w:pPr>
        <w:spacing w:line="240" w:lineRule="auto" w:before="4"/>
        <w:rPr>
          <w:rFonts w:ascii="黑体" w:hAnsi="黑体" w:cs="黑体" w:eastAsia="黑体" w:hint="default"/>
          <w:sz w:val="18"/>
          <w:szCs w:val="18"/>
        </w:rPr>
      </w:pPr>
    </w:p>
    <w:p>
      <w:pPr>
        <w:pStyle w:val="BodyText"/>
        <w:tabs>
          <w:tab w:pos="5546" w:val="left" w:leader="none"/>
          <w:tab w:pos="7627" w:val="left" w:leader="none"/>
        </w:tabs>
        <w:spacing w:line="273" w:lineRule="exact"/>
        <w:ind w:left="831" w:right="0"/>
        <w:jc w:val="left"/>
        <w:rPr>
          <w:rFonts w:ascii="Arial" w:hAnsi="Arial" w:cs="Arial" w:eastAsia="Arial" w:hint="default"/>
        </w:rPr>
      </w:pPr>
      <w:r>
        <w:rPr>
          <w:rFonts w:ascii="Arial" w:hAnsi="Arial" w:cs="Arial" w:eastAsia="Arial" w:hint="default"/>
          <w:position w:val="1"/>
        </w:rPr>
        <w:t>1</w:t>
      </w:r>
      <w:r>
        <w:rPr>
          <w:rFonts w:ascii="Arial" w:hAnsi="Arial" w:cs="Arial" w:eastAsia="Arial" w:hint="default"/>
          <w:spacing w:val="-4"/>
          <w:position w:val="1"/>
        </w:rPr>
        <w:t> </w:t>
      </w:r>
      <w:r>
        <w:rPr>
          <w:spacing w:val="-1"/>
          <w:position w:val="1"/>
        </w:rPr>
        <w:t>年以内</w:t>
        <w:tab/>
      </w:r>
      <w:r>
        <w:rPr>
          <w:rFonts w:ascii="Arial" w:hAnsi="Arial" w:cs="Arial" w:eastAsia="Arial" w:hint="default"/>
          <w:spacing w:val="-1"/>
        </w:rPr>
        <w:t>130,743,203</w:t>
        <w:tab/>
        <w:t>136,345,159</w:t>
      </w:r>
    </w:p>
    <w:p>
      <w:pPr>
        <w:pStyle w:val="BodyText"/>
        <w:tabs>
          <w:tab w:pos="5768" w:val="left" w:leader="none"/>
          <w:tab w:pos="7849" w:val="left" w:leader="none"/>
        </w:tabs>
        <w:spacing w:line="260" w:lineRule="exact"/>
        <w:ind w:left="831" w:right="0"/>
        <w:jc w:val="left"/>
        <w:rPr>
          <w:rFonts w:ascii="Arial" w:hAnsi="Arial" w:cs="Arial" w:eastAsia="Arial" w:hint="default"/>
        </w:rPr>
      </w:pPr>
      <w:r>
        <w:rPr>
          <w:rFonts w:ascii="Arial" w:hAnsi="Arial" w:cs="Arial" w:eastAsia="Arial" w:hint="default"/>
          <w:position w:val="1"/>
        </w:rPr>
        <w:t>1</w:t>
      </w:r>
      <w:r>
        <w:rPr>
          <w:rFonts w:ascii="Arial" w:hAnsi="Arial" w:cs="Arial" w:eastAsia="Arial" w:hint="default"/>
          <w:spacing w:val="-6"/>
          <w:position w:val="1"/>
        </w:rPr>
        <w:t> </w:t>
      </w:r>
      <w:r>
        <w:rPr>
          <w:spacing w:val="-1"/>
          <w:position w:val="1"/>
        </w:rPr>
        <w:t>年至</w:t>
      </w:r>
      <w:r>
        <w:rPr>
          <w:spacing w:val="-50"/>
          <w:position w:val="1"/>
        </w:rPr>
        <w:t> </w:t>
      </w:r>
      <w:r>
        <w:rPr>
          <w:rFonts w:ascii="Arial" w:hAnsi="Arial" w:cs="Arial" w:eastAsia="Arial" w:hint="default"/>
          <w:position w:val="1"/>
        </w:rPr>
        <w:t>2</w:t>
      </w:r>
      <w:r>
        <w:rPr>
          <w:rFonts w:ascii="Arial" w:hAnsi="Arial" w:cs="Arial" w:eastAsia="Arial" w:hint="default"/>
          <w:spacing w:val="-7"/>
          <w:position w:val="1"/>
        </w:rPr>
        <w:t> </w:t>
      </w:r>
      <w:r>
        <w:rPr>
          <w:position w:val="1"/>
        </w:rPr>
        <w:t>年</w:t>
        <w:tab/>
      </w:r>
      <w:r>
        <w:rPr>
          <w:rFonts w:ascii="Arial" w:hAnsi="Arial" w:cs="Arial" w:eastAsia="Arial" w:hint="default"/>
          <w:spacing w:val="-1"/>
        </w:rPr>
        <w:t>3,259,837</w:t>
        <w:tab/>
        <w:t>4,155,490</w:t>
      </w:r>
    </w:p>
    <w:p>
      <w:pPr>
        <w:pStyle w:val="BodyText"/>
        <w:tabs>
          <w:tab w:pos="5768" w:val="left" w:leader="none"/>
          <w:tab w:pos="7849" w:val="left" w:leader="none"/>
        </w:tabs>
        <w:spacing w:line="260" w:lineRule="exact"/>
        <w:ind w:left="830" w:right="0"/>
        <w:jc w:val="left"/>
        <w:rPr>
          <w:rFonts w:ascii="Arial" w:hAnsi="Arial" w:cs="Arial" w:eastAsia="Arial" w:hint="default"/>
        </w:rPr>
      </w:pPr>
      <w:r>
        <w:rPr>
          <w:rFonts w:ascii="Arial" w:hAnsi="Arial" w:cs="Arial" w:eastAsia="Arial" w:hint="default"/>
          <w:position w:val="1"/>
        </w:rPr>
        <w:t>2</w:t>
      </w:r>
      <w:r>
        <w:rPr>
          <w:rFonts w:ascii="Arial" w:hAnsi="Arial" w:cs="Arial" w:eastAsia="Arial" w:hint="default"/>
          <w:spacing w:val="-6"/>
          <w:position w:val="1"/>
        </w:rPr>
        <w:t> </w:t>
      </w:r>
      <w:r>
        <w:rPr>
          <w:spacing w:val="-1"/>
          <w:position w:val="1"/>
        </w:rPr>
        <w:t>年至</w:t>
      </w:r>
      <w:r>
        <w:rPr>
          <w:spacing w:val="-50"/>
          <w:position w:val="1"/>
        </w:rPr>
        <w:t> </w:t>
      </w:r>
      <w:r>
        <w:rPr>
          <w:rFonts w:ascii="Arial" w:hAnsi="Arial" w:cs="Arial" w:eastAsia="Arial" w:hint="default"/>
          <w:position w:val="1"/>
        </w:rPr>
        <w:t>3</w:t>
      </w:r>
      <w:r>
        <w:rPr>
          <w:rFonts w:ascii="Arial" w:hAnsi="Arial" w:cs="Arial" w:eastAsia="Arial" w:hint="default"/>
          <w:spacing w:val="-7"/>
          <w:position w:val="1"/>
        </w:rPr>
        <w:t> </w:t>
      </w:r>
      <w:r>
        <w:rPr>
          <w:position w:val="1"/>
        </w:rPr>
        <w:t>年</w:t>
        <w:tab/>
      </w:r>
      <w:r>
        <w:rPr>
          <w:rFonts w:ascii="Arial" w:hAnsi="Arial" w:cs="Arial" w:eastAsia="Arial" w:hint="default"/>
          <w:spacing w:val="-1"/>
        </w:rPr>
        <w:t>1,768,438</w:t>
        <w:tab/>
        <w:t>1,144,457</w:t>
      </w:r>
    </w:p>
    <w:p>
      <w:pPr>
        <w:pStyle w:val="BodyText"/>
        <w:tabs>
          <w:tab w:pos="5569" w:val="left" w:leader="none"/>
          <w:tab w:pos="7650" w:val="left" w:leader="none"/>
        </w:tabs>
        <w:spacing w:line="273" w:lineRule="exact"/>
        <w:ind w:left="830" w:right="0"/>
        <w:jc w:val="left"/>
        <w:rPr>
          <w:rFonts w:ascii="Arial" w:hAnsi="Arial" w:cs="Arial" w:eastAsia="Arial" w:hint="default"/>
        </w:rPr>
      </w:pPr>
      <w:r>
        <w:rPr>
          <w:rFonts w:ascii="Arial" w:hAnsi="Arial" w:cs="Arial" w:eastAsia="Arial" w:hint="default"/>
          <w:position w:val="1"/>
        </w:rPr>
        <w:t>3</w:t>
      </w:r>
      <w:r>
        <w:rPr>
          <w:rFonts w:ascii="Arial" w:hAnsi="Arial" w:cs="Arial" w:eastAsia="Arial" w:hint="default"/>
          <w:spacing w:val="-7"/>
          <w:position w:val="1"/>
        </w:rPr>
        <w:t> </w:t>
      </w:r>
      <w:r>
        <w:rPr>
          <w:position w:val="1"/>
        </w:rPr>
        <w:t>年以上</w:t>
        <w:tab/>
      </w:r>
      <w:r>
        <w:rPr>
          <w:rFonts w:ascii="Arial" w:hAnsi="Arial" w:cs="Arial" w:eastAsia="Arial" w:hint="default"/>
        </w:rPr>
      </w:r>
      <w:r>
        <w:rPr>
          <w:rFonts w:ascii="Arial" w:hAnsi="Arial" w:cs="Arial" w:eastAsia="Arial" w:hint="default"/>
          <w:u w:val="single" w:color="000000"/>
        </w:rPr>
        <w:t> 2,716,674</w:t>
      </w:r>
      <w:r>
        <w:rPr>
          <w:rFonts w:ascii="Arial" w:hAnsi="Arial" w:cs="Arial" w:eastAsia="Arial" w:hint="default"/>
        </w:rPr>
        <w:tab/>
      </w:r>
      <w:r>
        <w:rPr>
          <w:rFonts w:ascii="Arial" w:hAnsi="Arial" w:cs="Arial" w:eastAsia="Arial" w:hint="default"/>
          <w:u w:val="single" w:color="000000"/>
        </w:rPr>
        <w:t> 4,001,771</w:t>
      </w:r>
      <w:r>
        <w:rPr>
          <w:rFonts w:ascii="Arial" w:hAnsi="Arial" w:cs="Arial" w:eastAsia="Arial" w:hint="default"/>
        </w:rPr>
      </w:r>
    </w:p>
    <w:p>
      <w:pPr>
        <w:pStyle w:val="BodyText"/>
        <w:tabs>
          <w:tab w:pos="2080" w:val="left" w:leader="none"/>
        </w:tabs>
        <w:spacing w:line="240" w:lineRule="auto" w:before="25"/>
        <w:ind w:left="0" w:right="140"/>
        <w:jc w:val="right"/>
        <w:rPr>
          <w:rFonts w:ascii="Arial" w:hAnsi="Arial" w:cs="Arial" w:eastAsia="Arial" w:hint="default"/>
        </w:rPr>
      </w:pPr>
      <w:r>
        <w:rPr>
          <w:rFonts w:ascii="Arial"/>
          <w:spacing w:val="-1"/>
        </w:rPr>
        <w:t>138,488,152</w:t>
        <w:tab/>
        <w:t>145,646,877</w:t>
      </w:r>
    </w:p>
    <w:p>
      <w:pPr>
        <w:spacing w:line="240" w:lineRule="auto" w:before="9"/>
        <w:rPr>
          <w:rFonts w:ascii="Arial" w:hAnsi="Arial" w:cs="Arial" w:eastAsia="Arial" w:hint="default"/>
          <w:sz w:val="19"/>
          <w:szCs w:val="19"/>
        </w:rPr>
      </w:pPr>
    </w:p>
    <w:p>
      <w:pPr>
        <w:pStyle w:val="BodyText"/>
        <w:tabs>
          <w:tab w:pos="5569" w:val="left" w:leader="none"/>
          <w:tab w:pos="7650" w:val="left" w:leader="none"/>
        </w:tabs>
        <w:spacing w:line="240" w:lineRule="auto"/>
        <w:ind w:left="831" w:right="0"/>
        <w:jc w:val="left"/>
        <w:rPr>
          <w:rFonts w:ascii="Arial" w:hAnsi="Arial" w:cs="Arial" w:eastAsia="Arial" w:hint="default"/>
        </w:rPr>
      </w:pPr>
      <w:r>
        <w:rPr>
          <w:spacing w:val="-1"/>
          <w:position w:val="1"/>
        </w:rPr>
        <w:t>减：其他应收款坏账准备</w:t>
        <w:tab/>
      </w:r>
      <w:r>
        <w:rPr>
          <w:rFonts w:ascii="Arial" w:hAnsi="Arial" w:cs="Arial" w:eastAsia="Arial" w:hint="default"/>
          <w:spacing w:val="-1"/>
        </w:rPr>
      </w:r>
      <w:r>
        <w:rPr>
          <w:rFonts w:ascii="Arial" w:hAnsi="Arial" w:cs="Arial" w:eastAsia="Arial" w:hint="default"/>
          <w:spacing w:val="-1"/>
          <w:u w:val="single" w:color="000000"/>
        </w:rPr>
        <w:t> </w:t>
      </w:r>
      <w:r>
        <w:rPr>
          <w:rFonts w:ascii="Arial" w:hAnsi="Arial" w:cs="Arial" w:eastAsia="Arial" w:hint="default"/>
          <w:u w:val="single" w:color="000000"/>
        </w:rPr>
        <w:t>1,680,536</w:t>
      </w:r>
      <w:r>
        <w:rPr>
          <w:rFonts w:ascii="Arial" w:hAnsi="Arial" w:cs="Arial" w:eastAsia="Arial" w:hint="default"/>
        </w:rPr>
        <w:tab/>
      </w:r>
      <w:r>
        <w:rPr>
          <w:rFonts w:ascii="Arial" w:hAnsi="Arial" w:cs="Arial" w:eastAsia="Arial" w:hint="default"/>
          <w:u w:val="single" w:color="000000"/>
        </w:rPr>
        <w:t> 4,513,498</w:t>
      </w:r>
      <w:r>
        <w:rPr>
          <w:rFonts w:ascii="Arial" w:hAnsi="Arial" w:cs="Arial" w:eastAsia="Arial" w:hint="default"/>
        </w:rPr>
      </w:r>
    </w:p>
    <w:p>
      <w:pPr>
        <w:spacing w:line="240" w:lineRule="auto" w:before="10"/>
        <w:rPr>
          <w:rFonts w:ascii="Arial" w:hAnsi="Arial" w:cs="Arial" w:eastAsia="Arial" w:hint="default"/>
          <w:sz w:val="17"/>
          <w:szCs w:val="17"/>
        </w:rPr>
      </w:pPr>
    </w:p>
    <w:p>
      <w:pPr>
        <w:pStyle w:val="BodyText"/>
        <w:tabs>
          <w:tab w:pos="7627" w:val="left" w:leader="none"/>
        </w:tabs>
        <w:spacing w:line="240" w:lineRule="auto" w:before="74"/>
        <w:ind w:left="5547" w:right="0"/>
        <w:jc w:val="left"/>
        <w:rPr>
          <w:rFonts w:ascii="Arial" w:hAnsi="Arial" w:cs="Arial" w:eastAsia="Arial" w:hint="default"/>
        </w:rPr>
      </w:pPr>
      <w:r>
        <w:rPr>
          <w:rFonts w:ascii="Arial"/>
          <w:w w:val="100"/>
        </w:rPr>
      </w:r>
      <w:r>
        <w:rPr>
          <w:rFonts w:ascii="Arial"/>
          <w:spacing w:val="-1"/>
          <w:u w:val="thick" w:color="000000"/>
        </w:rPr>
        <w:t>136,807,616</w:t>
      </w:r>
      <w:r>
        <w:rPr>
          <w:rFonts w:ascii="Arial"/>
          <w:spacing w:val="-1"/>
        </w:rPr>
        <w:tab/>
      </w:r>
      <w:r>
        <w:rPr>
          <w:rFonts w:ascii="Arial"/>
          <w:spacing w:val="-1"/>
          <w:u w:val="thick" w:color="000000"/>
        </w:rPr>
        <w:t>141,133,379</w:t>
      </w:r>
      <w:r>
        <w:rPr>
          <w:rFonts w:ascii="Arial"/>
          <w:spacing w:val="-1"/>
        </w:rPr>
      </w:r>
    </w:p>
    <w:p>
      <w:pPr>
        <w:spacing w:line="240" w:lineRule="auto" w:before="11"/>
        <w:rPr>
          <w:rFonts w:ascii="Arial" w:hAnsi="Arial" w:cs="Arial" w:eastAsia="Arial" w:hint="default"/>
          <w:sz w:val="13"/>
          <w:szCs w:val="13"/>
        </w:rPr>
      </w:pPr>
    </w:p>
    <w:p>
      <w:pPr>
        <w:pStyle w:val="BodyText"/>
        <w:spacing w:line="240" w:lineRule="auto" w:before="38"/>
        <w:ind w:right="0"/>
        <w:jc w:val="left"/>
      </w:pPr>
      <w:r>
        <w:rPr/>
        <w:t>其他应收款坏账准备的变动如下：</w:t>
      </w:r>
    </w:p>
    <w:p>
      <w:pPr>
        <w:spacing w:line="240" w:lineRule="auto" w:before="4"/>
        <w:rPr>
          <w:rFonts w:ascii="黑体" w:hAnsi="黑体" w:cs="黑体" w:eastAsia="黑体" w:hint="default"/>
          <w:sz w:val="17"/>
          <w:szCs w:val="17"/>
        </w:rPr>
      </w:pPr>
    </w:p>
    <w:p>
      <w:pPr>
        <w:pStyle w:val="BodyText"/>
        <w:tabs>
          <w:tab w:pos="4444" w:val="left" w:leader="none"/>
          <w:tab w:pos="6229" w:val="left" w:leader="none"/>
          <w:tab w:pos="7951" w:val="left" w:leader="none"/>
        </w:tabs>
        <w:spacing w:line="240" w:lineRule="auto"/>
        <w:ind w:left="3263" w:right="0"/>
        <w:jc w:val="left"/>
      </w:pPr>
      <w:r>
        <w:rPr/>
        <w:t>年初余额</w:t>
        <w:tab/>
        <w:t>本年计提</w:t>
        <w:tab/>
        <w:t>本年减少</w:t>
        <w:tab/>
        <w:t>年末余额</w:t>
      </w:r>
    </w:p>
    <w:p>
      <w:pPr>
        <w:pStyle w:val="BodyText"/>
        <w:tabs>
          <w:tab w:pos="1090" w:val="left" w:leader="none"/>
        </w:tabs>
        <w:spacing w:line="240" w:lineRule="auto" w:before="8"/>
        <w:ind w:left="0" w:right="1130"/>
        <w:jc w:val="right"/>
      </w:pPr>
      <w:r>
        <w:rPr/>
        <w:pict>
          <v:group style="position:absolute;margin-left:354pt;margin-top:1.888221pt;width:113.4pt;height:.1pt;mso-position-horizontal-relative:page;mso-position-vertical-relative:paragraph;z-index:-1131688" coordorigin="7080,38" coordsize="2268,2">
            <v:shape style="position:absolute;left:7080;top:38;width:2268;height:2" coordorigin="7080,38" coordsize="2268,0" path="m7080,38l9348,38e" filled="false" stroked="true" strokeweight=".48pt" strokecolor="#000000">
              <v:path arrowok="t"/>
            </v:shape>
            <w10:wrap type="none"/>
          </v:group>
        </w:pict>
      </w:r>
      <w:r>
        <w:rPr/>
        <w:t>转回</w:t>
        <w:tab/>
        <w:t>转销</w:t>
      </w:r>
    </w:p>
    <w:p>
      <w:pPr>
        <w:spacing w:line="240" w:lineRule="auto" w:before="5"/>
        <w:rPr>
          <w:rFonts w:ascii="黑体" w:hAnsi="黑体" w:cs="黑体" w:eastAsia="黑体" w:hint="default"/>
          <w:sz w:val="16"/>
          <w:szCs w:val="16"/>
        </w:rPr>
      </w:pPr>
    </w:p>
    <w:p>
      <w:pPr>
        <w:pStyle w:val="BodyText"/>
        <w:tabs>
          <w:tab w:pos="3174" w:val="left" w:leader="none"/>
          <w:tab w:pos="4355" w:val="left" w:leader="none"/>
          <w:tab w:pos="5770" w:val="left" w:leader="none"/>
          <w:tab w:pos="6861" w:val="left" w:leader="none"/>
        </w:tabs>
        <w:spacing w:line="268" w:lineRule="exact" w:before="38"/>
        <w:ind w:left="792" w:right="0"/>
        <w:jc w:val="left"/>
        <w:rPr>
          <w:rFonts w:ascii="Arial" w:hAnsi="Arial" w:cs="Arial" w:eastAsia="Arial" w:hint="default"/>
        </w:rPr>
      </w:pPr>
      <w:r>
        <w:rPr>
          <w:rFonts w:ascii="Arial" w:hAnsi="Arial" w:cs="Arial" w:eastAsia="Arial" w:hint="default"/>
          <w:spacing w:val="-1"/>
        </w:rPr>
        <w:t>2009</w:t>
      </w:r>
      <w:r>
        <w:rPr>
          <w:spacing w:val="-1"/>
        </w:rPr>
        <w:t>年</w:t>
        <w:tab/>
      </w:r>
      <w:r>
        <w:rPr>
          <w:rFonts w:ascii="Arial" w:hAnsi="Arial" w:cs="Arial" w:eastAsia="Arial" w:hint="default"/>
          <w:spacing w:val="-1"/>
        </w:rPr>
      </w:r>
      <w:r>
        <w:rPr>
          <w:rFonts w:ascii="Arial" w:hAnsi="Arial" w:cs="Arial" w:eastAsia="Arial" w:hint="default"/>
          <w:spacing w:val="-1"/>
          <w:u w:val="thick" w:color="000000"/>
        </w:rPr>
        <w:t>4,513,498</w:t>
      </w:r>
      <w:r>
        <w:rPr>
          <w:rFonts w:ascii="Arial" w:hAnsi="Arial" w:cs="Arial" w:eastAsia="Arial" w:hint="default"/>
          <w:spacing w:val="-1"/>
        </w:rPr>
        <w:tab/>
      </w:r>
      <w:r>
        <w:rPr>
          <w:rFonts w:ascii="Arial" w:hAnsi="Arial" w:cs="Arial" w:eastAsia="Arial" w:hint="default"/>
          <w:spacing w:val="-1"/>
          <w:u w:val="thick" w:color="000000"/>
        </w:rPr>
        <w:t>1,328,480</w:t>
      </w:r>
      <w:r>
        <w:rPr>
          <w:rFonts w:ascii="Arial" w:hAnsi="Arial" w:cs="Arial" w:eastAsia="Arial" w:hint="default"/>
          <w:spacing w:val="-1"/>
        </w:rPr>
        <w:tab/>
      </w:r>
      <w:r>
        <w:rPr>
          <w:rFonts w:ascii="Arial" w:hAnsi="Arial" w:cs="Arial" w:eastAsia="Arial" w:hint="default"/>
          <w:spacing w:val="-1"/>
          <w:u w:val="thick" w:color="000000"/>
        </w:rPr>
        <w:t>2,334,104</w:t>
      </w:r>
      <w:r>
        <w:rPr>
          <w:rFonts w:ascii="Arial" w:hAnsi="Arial" w:cs="Arial" w:eastAsia="Arial" w:hint="default"/>
          <w:spacing w:val="-1"/>
        </w:rPr>
        <w:tab/>
      </w:r>
      <w:r>
        <w:rPr>
          <w:rFonts w:ascii="Arial" w:hAnsi="Arial" w:cs="Arial" w:eastAsia="Arial" w:hint="default"/>
          <w:spacing w:val="-1"/>
          <w:u w:val="thick" w:color="000000"/>
        </w:rPr>
        <w:t>1,827,338</w:t>
      </w:r>
      <w:r>
        <w:rPr>
          <w:rFonts w:ascii="Arial" w:hAnsi="Arial" w:cs="Arial" w:eastAsia="Arial" w:hint="default"/>
          <w:u w:val="thick" w:color="000000"/>
        </w:rPr>
        <w:t> </w:t>
      </w:r>
      <w:r>
        <w:rPr>
          <w:rFonts w:ascii="Arial" w:hAnsi="Arial" w:cs="Arial" w:eastAsia="Arial" w:hint="default"/>
          <w:spacing w:val="3"/>
          <w:u w:val="thick" w:color="000000"/>
        </w:rPr>
        <w:t> </w:t>
      </w:r>
      <w:r>
        <w:rPr>
          <w:rFonts w:ascii="Arial" w:hAnsi="Arial" w:cs="Arial" w:eastAsia="Arial" w:hint="default"/>
          <w:spacing w:val="3"/>
        </w:rPr>
      </w:r>
      <w:r>
        <w:rPr>
          <w:rFonts w:ascii="Arial" w:hAnsi="Arial" w:cs="Arial" w:eastAsia="Arial" w:hint="default"/>
          <w:spacing w:val="-1"/>
          <w:u w:val="thick" w:color="000000"/>
        </w:rPr>
        <w:t>1,680,536</w:t>
      </w:r>
      <w:r>
        <w:rPr>
          <w:rFonts w:ascii="Arial" w:hAnsi="Arial" w:cs="Arial" w:eastAsia="Arial" w:hint="default"/>
          <w:spacing w:val="-1"/>
        </w:rPr>
      </w:r>
    </w:p>
    <w:p>
      <w:pPr>
        <w:pStyle w:val="BodyText"/>
        <w:tabs>
          <w:tab w:pos="3174" w:val="left" w:leader="none"/>
          <w:tab w:pos="4321" w:val="left" w:leader="none"/>
          <w:tab w:pos="5736" w:val="left" w:leader="none"/>
          <w:tab w:pos="6885" w:val="left" w:leader="none"/>
          <w:tab w:pos="7684" w:val="left" w:leader="none"/>
        </w:tabs>
        <w:spacing w:line="268" w:lineRule="exact"/>
        <w:ind w:left="792" w:right="0"/>
        <w:jc w:val="left"/>
        <w:rPr>
          <w:rFonts w:ascii="Arial" w:hAnsi="Arial" w:cs="Arial" w:eastAsia="Arial" w:hint="default"/>
        </w:rPr>
      </w:pPr>
      <w:r>
        <w:rPr>
          <w:rFonts w:ascii="Arial" w:hAnsi="Arial" w:cs="Arial" w:eastAsia="Arial" w:hint="default"/>
          <w:spacing w:val="-1"/>
        </w:rPr>
        <w:t>2008</w:t>
      </w:r>
      <w:r>
        <w:rPr>
          <w:spacing w:val="-1"/>
        </w:rPr>
        <w:t>年</w:t>
        <w:tab/>
      </w:r>
      <w:r>
        <w:rPr>
          <w:rFonts w:ascii="Arial" w:hAnsi="Arial" w:cs="Arial" w:eastAsia="Arial" w:hint="default"/>
          <w:spacing w:val="-1"/>
        </w:rPr>
      </w:r>
      <w:r>
        <w:rPr>
          <w:rFonts w:ascii="Arial" w:hAnsi="Arial" w:cs="Arial" w:eastAsia="Arial" w:hint="default"/>
          <w:spacing w:val="-1"/>
          <w:u w:val="thick" w:color="000000"/>
        </w:rPr>
        <w:t>4,216,160</w:t>
      </w:r>
      <w:r>
        <w:rPr>
          <w:rFonts w:ascii="Arial" w:hAnsi="Arial" w:cs="Arial" w:eastAsia="Arial" w:hint="default"/>
          <w:spacing w:val="-1"/>
        </w:rPr>
        <w:tab/>
      </w:r>
      <w:r>
        <w:rPr>
          <w:rFonts w:ascii="Arial" w:hAnsi="Arial" w:cs="Arial" w:eastAsia="Arial" w:hint="default"/>
          <w:spacing w:val="-1"/>
          <w:u w:val="thick" w:color="000000"/>
        </w:rPr>
        <w:t> </w:t>
      </w:r>
      <w:r>
        <w:rPr>
          <w:rFonts w:ascii="Arial" w:hAnsi="Arial" w:cs="Arial" w:eastAsia="Arial" w:hint="default"/>
          <w:u w:val="thick" w:color="000000"/>
        </w:rPr>
        <w:t>412,338</w:t>
      </w:r>
      <w:r>
        <w:rPr>
          <w:rFonts w:ascii="Arial" w:hAnsi="Arial" w:cs="Arial" w:eastAsia="Arial" w:hint="default"/>
        </w:rPr>
        <w:tab/>
      </w:r>
      <w:r>
        <w:rPr>
          <w:rFonts w:ascii="Arial" w:hAnsi="Arial" w:cs="Arial" w:eastAsia="Arial" w:hint="default"/>
          <w:u w:val="thick" w:color="000000"/>
        </w:rPr>
        <w:t> 115,000</w:t>
      </w:r>
      <w:r>
        <w:rPr>
          <w:rFonts w:ascii="Arial" w:hAnsi="Arial" w:cs="Arial" w:eastAsia="Arial" w:hint="default"/>
        </w:rPr>
        <w:tab/>
      </w:r>
      <w:r>
        <w:rPr>
          <w:rFonts w:ascii="Arial" w:hAnsi="Arial" w:cs="Arial" w:eastAsia="Arial" w:hint="default"/>
          <w:u w:val="thick" w:color="000000"/>
        </w:rPr>
        <w:t> </w:t>
        <w:tab/>
        <w:t>- </w:t>
      </w:r>
      <w:r>
        <w:rPr>
          <w:rFonts w:ascii="Arial" w:hAnsi="Arial" w:cs="Arial" w:eastAsia="Arial" w:hint="default"/>
          <w:spacing w:val="1"/>
          <w:u w:val="thick" w:color="000000"/>
        </w:rPr>
        <w:t> </w:t>
      </w:r>
      <w:r>
        <w:rPr>
          <w:rFonts w:ascii="Arial" w:hAnsi="Arial" w:cs="Arial" w:eastAsia="Arial" w:hint="default"/>
          <w:spacing w:val="1"/>
        </w:rPr>
      </w:r>
      <w:r>
        <w:rPr>
          <w:rFonts w:ascii="Arial" w:hAnsi="Arial" w:cs="Arial" w:eastAsia="Arial" w:hint="default"/>
          <w:spacing w:val="-1"/>
          <w:u w:val="thick" w:color="000000"/>
        </w:rPr>
        <w:t>4,513,498</w:t>
      </w:r>
      <w:r>
        <w:rPr>
          <w:rFonts w:ascii="Arial" w:hAnsi="Arial" w:cs="Arial" w:eastAsia="Arial" w:hint="default"/>
          <w:spacing w:val="-1"/>
        </w:rPr>
      </w:r>
    </w:p>
    <w:p>
      <w:pPr>
        <w:spacing w:line="240" w:lineRule="auto" w:before="0"/>
        <w:rPr>
          <w:rFonts w:ascii="Arial" w:hAnsi="Arial" w:cs="Arial" w:eastAsia="Arial" w:hint="default"/>
          <w:sz w:val="20"/>
          <w:szCs w:val="20"/>
        </w:rPr>
      </w:pPr>
    </w:p>
    <w:p>
      <w:pPr>
        <w:spacing w:line="240" w:lineRule="auto" w:before="11"/>
        <w:rPr>
          <w:rFonts w:ascii="Arial" w:hAnsi="Arial" w:cs="Arial" w:eastAsia="Arial" w:hint="default"/>
          <w:sz w:val="18"/>
          <w:szCs w:val="18"/>
        </w:rPr>
      </w:pPr>
    </w:p>
    <w:p>
      <w:pPr>
        <w:tabs>
          <w:tab w:pos="6843" w:val="left" w:leader="none"/>
        </w:tabs>
        <w:spacing w:before="50"/>
        <w:ind w:left="3305" w:right="0" w:firstLine="0"/>
        <w:jc w:val="left"/>
        <w:rPr>
          <w:rFonts w:ascii="黑体" w:hAnsi="黑体" w:cs="黑体" w:eastAsia="黑体" w:hint="default"/>
          <w:sz w:val="16"/>
          <w:szCs w:val="16"/>
        </w:rPr>
      </w:pPr>
      <w:r>
        <w:rPr>
          <w:rFonts w:ascii="Arial" w:hAnsi="Arial" w:cs="Arial" w:eastAsia="Arial" w:hint="default"/>
          <w:sz w:val="16"/>
          <w:szCs w:val="16"/>
        </w:rPr>
        <w:t>2009</w:t>
      </w:r>
      <w:r>
        <w:rPr>
          <w:rFonts w:ascii="Arial" w:hAnsi="Arial" w:cs="Arial" w:eastAsia="Arial" w:hint="default"/>
          <w:spacing w:val="-7"/>
          <w:sz w:val="16"/>
          <w:szCs w:val="16"/>
        </w:rPr>
        <w:t> </w:t>
      </w:r>
      <w:r>
        <w:rPr>
          <w:rFonts w:ascii="黑体" w:hAnsi="黑体" w:cs="黑体" w:eastAsia="黑体" w:hint="default"/>
          <w:sz w:val="16"/>
          <w:szCs w:val="16"/>
        </w:rPr>
        <w:t>年</w:t>
        <w:tab/>
      </w:r>
      <w:r>
        <w:rPr>
          <w:rFonts w:ascii="Arial" w:hAnsi="Arial" w:cs="Arial" w:eastAsia="Arial" w:hint="default"/>
          <w:sz w:val="16"/>
          <w:szCs w:val="16"/>
        </w:rPr>
        <w:t>2008</w:t>
      </w:r>
      <w:r>
        <w:rPr>
          <w:rFonts w:ascii="Arial" w:hAnsi="Arial" w:cs="Arial" w:eastAsia="Arial" w:hint="default"/>
          <w:spacing w:val="-7"/>
          <w:sz w:val="16"/>
          <w:szCs w:val="16"/>
        </w:rPr>
        <w:t> </w:t>
      </w:r>
      <w:r>
        <w:rPr>
          <w:rFonts w:ascii="黑体" w:hAnsi="黑体" w:cs="黑体" w:eastAsia="黑体" w:hint="default"/>
          <w:sz w:val="16"/>
          <w:szCs w:val="16"/>
        </w:rPr>
        <w:t>年</w:t>
      </w:r>
    </w:p>
    <w:p>
      <w:pPr>
        <w:tabs>
          <w:tab w:pos="5495" w:val="left" w:leader="none"/>
        </w:tabs>
        <w:spacing w:line="20" w:lineRule="exact"/>
        <w:ind w:left="1889" w:right="0" w:firstLine="0"/>
        <w:rPr>
          <w:rFonts w:ascii="黑体" w:hAnsi="黑体" w:cs="黑体" w:eastAsia="黑体" w:hint="default"/>
          <w:sz w:val="2"/>
          <w:szCs w:val="2"/>
        </w:rPr>
      </w:pPr>
      <w:r>
        <w:rPr>
          <w:rFonts w:ascii="黑体"/>
          <w:sz w:val="2"/>
        </w:rPr>
        <w:pict>
          <v:group style="width:169pt;height:.5pt;mso-position-horizontal-relative:char;mso-position-vertical-relative:line" coordorigin="0,0" coordsize="3380,10">
            <v:group style="position:absolute;left:5;top:5;width:3370;height:2" coordorigin="5,5" coordsize="3370,2">
              <v:shape style="position:absolute;left:5;top:5;width:3370;height:2" coordorigin="5,5" coordsize="3370,0" path="m5,5l3374,5e" filled="false" stroked="true" strokeweight=".48pt" strokecolor="#000000">
                <v:path arrowok="t"/>
              </v:shape>
            </v:group>
          </v:group>
        </w:pict>
      </w:r>
      <w:r>
        <w:rPr>
          <w:rFonts w:ascii="黑体"/>
          <w:sz w:val="2"/>
        </w:rPr>
      </w:r>
      <w:r>
        <w:rPr>
          <w:rFonts w:ascii="黑体"/>
          <w:sz w:val="2"/>
        </w:rPr>
        <w:tab/>
      </w:r>
      <w:r>
        <w:rPr>
          <w:rFonts w:ascii="黑体"/>
          <w:sz w:val="2"/>
        </w:rPr>
        <w:pict>
          <v:group style="width:162pt;height:.5pt;mso-position-horizontal-relative:char;mso-position-vertical-relative:line" coordorigin="0,0" coordsize="3240,10">
            <v:group style="position:absolute;left:5;top:5;width:3231;height:2" coordorigin="5,5" coordsize="3231,2">
              <v:shape style="position:absolute;left:5;top:5;width:3231;height:2" coordorigin="5,5" coordsize="3231,0" path="m5,5l3235,5e" filled="false" stroked="true" strokeweight=".48pt" strokecolor="#000000">
                <v:path arrowok="t"/>
              </v:shape>
            </v:group>
          </v:group>
        </w:pict>
      </w:r>
      <w:r>
        <w:rPr>
          <w:rFonts w:ascii="黑体"/>
          <w:sz w:val="2"/>
        </w:rPr>
      </w:r>
    </w:p>
    <w:p>
      <w:pPr>
        <w:tabs>
          <w:tab w:pos="3239" w:val="left" w:leader="none"/>
          <w:tab w:pos="4229" w:val="left" w:leader="none"/>
          <w:tab w:pos="4609" w:val="left" w:leader="none"/>
          <w:tab w:pos="6328" w:val="left" w:leader="none"/>
          <w:tab w:pos="6432" w:val="left" w:leader="none"/>
          <w:tab w:pos="7672" w:val="left" w:leader="none"/>
          <w:tab w:pos="8075" w:val="left" w:leader="none"/>
        </w:tabs>
        <w:spacing w:line="290" w:lineRule="auto" w:before="24"/>
        <w:ind w:left="2700" w:right="168" w:firstLine="218"/>
        <w:jc w:val="right"/>
        <w:rPr>
          <w:rFonts w:ascii="黑体" w:hAnsi="黑体" w:cs="黑体" w:eastAsia="黑体" w:hint="default"/>
          <w:sz w:val="16"/>
          <w:szCs w:val="16"/>
        </w:rPr>
      </w:pPr>
      <w:r>
        <w:rPr>
          <w:rFonts w:ascii="黑体" w:hAnsi="黑体" w:cs="黑体" w:eastAsia="黑体" w:hint="default"/>
          <w:w w:val="95"/>
          <w:sz w:val="16"/>
          <w:szCs w:val="16"/>
        </w:rPr>
        <w:t>账面金额</w:t>
        <w:tab/>
        <w:tab/>
        <w:t>坏账准备</w:t>
        <w:tab/>
        <w:tab/>
        <w:t>账面金额</w:t>
        <w:tab/>
        <w:tab/>
        <w:t>坏账准备</w:t>
      </w:r>
      <w:r>
        <w:rPr>
          <w:rFonts w:ascii="黑体" w:hAnsi="黑体" w:cs="黑体" w:eastAsia="黑体" w:hint="default"/>
          <w:w w:val="99"/>
          <w:sz w:val="16"/>
          <w:szCs w:val="16"/>
        </w:rPr>
        <w:t> </w:t>
      </w:r>
      <w:r>
        <w:rPr>
          <w:rFonts w:ascii="黑体" w:hAnsi="黑体" w:cs="黑体" w:eastAsia="黑体" w:hint="default"/>
          <w:w w:val="95"/>
          <w:sz w:val="16"/>
          <w:szCs w:val="16"/>
        </w:rPr>
        <w:t>金额</w:t>
        <w:tab/>
        <w:t>比例</w:t>
        <w:tab/>
      </w:r>
      <w:r>
        <w:rPr>
          <w:rFonts w:ascii="黑体" w:hAnsi="黑体" w:cs="黑体" w:eastAsia="黑体" w:hint="default"/>
          <w:sz w:val="16"/>
          <w:szCs w:val="16"/>
        </w:rPr>
        <w:t>金额</w:t>
      </w:r>
      <w:r>
        <w:rPr>
          <w:rFonts w:ascii="黑体" w:hAnsi="黑体" w:cs="黑体" w:eastAsia="黑体" w:hint="default"/>
          <w:spacing w:val="-22"/>
          <w:sz w:val="16"/>
          <w:szCs w:val="16"/>
        </w:rPr>
        <w:t> </w:t>
      </w:r>
      <w:r>
        <w:rPr>
          <w:rFonts w:ascii="黑体" w:hAnsi="黑体" w:cs="黑体" w:eastAsia="黑体" w:hint="default"/>
          <w:sz w:val="16"/>
          <w:szCs w:val="16"/>
        </w:rPr>
        <w:t>计提比例</w:t>
        <w:tab/>
        <w:t>金额</w:t>
      </w:r>
      <w:r>
        <w:rPr>
          <w:rFonts w:ascii="黑体" w:hAnsi="黑体" w:cs="黑体" w:eastAsia="黑体" w:hint="default"/>
          <w:spacing w:val="21"/>
          <w:sz w:val="16"/>
          <w:szCs w:val="16"/>
        </w:rPr>
        <w:t> </w:t>
      </w:r>
      <w:r>
        <w:rPr>
          <w:rFonts w:ascii="黑体" w:hAnsi="黑体" w:cs="黑体" w:eastAsia="黑体" w:hint="default"/>
          <w:sz w:val="16"/>
          <w:szCs w:val="16"/>
        </w:rPr>
        <w:t>比例</w:t>
        <w:tab/>
        <w:t>金额 计提比例</w:t>
      </w:r>
    </w:p>
    <w:p>
      <w:pPr>
        <w:tabs>
          <w:tab w:pos="1689" w:val="left" w:leader="none"/>
          <w:tab w:pos="3511" w:val="left" w:leader="none"/>
          <w:tab w:pos="5155" w:val="left" w:leader="none"/>
        </w:tabs>
        <w:spacing w:before="60"/>
        <w:ind w:left="0" w:right="168" w:firstLine="0"/>
        <w:jc w:val="right"/>
        <w:rPr>
          <w:rFonts w:ascii="Arial" w:hAnsi="Arial" w:cs="Arial" w:eastAsia="Arial" w:hint="default"/>
          <w:sz w:val="16"/>
          <w:szCs w:val="16"/>
        </w:rPr>
      </w:pPr>
      <w:r>
        <w:rPr>
          <w:rFonts w:ascii="Arial"/>
          <w:spacing w:val="-1"/>
          <w:sz w:val="16"/>
        </w:rPr>
        <w:t>(%)</w:t>
        <w:tab/>
        <w:t>(%)</w:t>
        <w:tab/>
        <w:t>(%)</w:t>
        <w:tab/>
      </w:r>
      <w:r>
        <w:rPr>
          <w:rFonts w:ascii="Arial"/>
          <w:spacing w:val="-1"/>
          <w:w w:val="95"/>
          <w:sz w:val="16"/>
        </w:rPr>
        <w:t>(%)</w:t>
      </w:r>
      <w:r>
        <w:rPr>
          <w:rFonts w:ascii="Arial"/>
          <w:sz w:val="16"/>
        </w:rPr>
      </w:r>
    </w:p>
    <w:p>
      <w:pPr>
        <w:pStyle w:val="BodyText"/>
        <w:tabs>
          <w:tab w:pos="2148" w:val="left" w:leader="none"/>
          <w:tab w:pos="3465" w:val="left" w:leader="none"/>
          <w:tab w:pos="4500" w:val="left" w:leader="none"/>
          <w:tab w:pos="5199" w:val="left" w:leader="none"/>
          <w:tab w:pos="5664" w:val="left" w:leader="none"/>
          <w:tab w:pos="8731" w:val="right" w:leader="none"/>
        </w:tabs>
        <w:spacing w:line="224" w:lineRule="exact" w:before="12"/>
        <w:ind w:left="787" w:right="0"/>
        <w:jc w:val="left"/>
        <w:rPr>
          <w:rFonts w:ascii="Arial" w:hAnsi="Arial" w:cs="Arial" w:eastAsia="Arial" w:hint="default"/>
        </w:rPr>
      </w:pPr>
      <w:r>
        <w:rPr>
          <w:w w:val="95"/>
          <w:sz w:val="16"/>
          <w:szCs w:val="16"/>
        </w:rPr>
        <w:t>单项金额重大</w:t>
        <w:tab/>
      </w:r>
      <w:r>
        <w:rPr>
          <w:rFonts w:ascii="Arial" w:hAnsi="Arial" w:cs="Arial" w:eastAsia="Arial" w:hint="default"/>
          <w:spacing w:val="-1"/>
          <w:position w:val="1"/>
        </w:rPr>
        <w:t>1,000,000</w:t>
        <w:tab/>
      </w:r>
      <w:r>
        <w:rPr>
          <w:rFonts w:ascii="Arial" w:hAnsi="Arial" w:cs="Arial" w:eastAsia="Arial" w:hint="default"/>
          <w:position w:val="1"/>
        </w:rPr>
        <w:t>1</w:t>
        <w:tab/>
        <w:t>-</w:t>
        <w:tab/>
        <w:t>-</w:t>
        <w:tab/>
      </w:r>
      <w:r>
        <w:rPr>
          <w:rFonts w:ascii="Arial" w:hAnsi="Arial" w:cs="Arial" w:eastAsia="Arial" w:hint="default"/>
          <w:spacing w:val="-1"/>
          <w:position w:val="1"/>
        </w:rPr>
        <w:t>38,272,494</w:t>
      </w:r>
      <w:r>
        <w:rPr>
          <w:rFonts w:ascii="Arial" w:hAnsi="Arial" w:cs="Arial" w:eastAsia="Arial" w:hint="default"/>
          <w:position w:val="1"/>
        </w:rPr>
        <w:t>    26</w:t>
      </w:r>
      <w:r>
        <w:rPr>
          <w:rFonts w:ascii="Arial" w:hAnsi="Arial" w:cs="Arial" w:eastAsia="Arial" w:hint="default"/>
          <w:spacing w:val="-42"/>
          <w:position w:val="1"/>
        </w:rPr>
        <w:t> </w:t>
      </w:r>
      <w:r>
        <w:rPr>
          <w:rFonts w:ascii="Arial" w:hAnsi="Arial" w:cs="Arial" w:eastAsia="Arial" w:hint="default"/>
          <w:spacing w:val="-1"/>
          <w:position w:val="1"/>
        </w:rPr>
        <w:t>1,500,000</w:t>
        <w:tab/>
      </w:r>
      <w:r>
        <w:rPr>
          <w:rFonts w:ascii="Arial" w:hAnsi="Arial" w:cs="Arial" w:eastAsia="Arial" w:hint="default"/>
          <w:position w:val="1"/>
        </w:rPr>
        <w:t>4</w:t>
      </w:r>
      <w:r>
        <w:rPr>
          <w:rFonts w:ascii="Arial" w:hAnsi="Arial" w:cs="Arial" w:eastAsia="Arial" w:hint="default"/>
        </w:rPr>
      </w:r>
    </w:p>
    <w:p>
      <w:pPr>
        <w:spacing w:line="204" w:lineRule="exact" w:before="0"/>
        <w:ind w:left="789" w:right="0" w:firstLine="0"/>
        <w:jc w:val="left"/>
        <w:rPr>
          <w:rFonts w:ascii="黑体" w:hAnsi="黑体" w:cs="黑体" w:eastAsia="黑体" w:hint="default"/>
          <w:sz w:val="16"/>
          <w:szCs w:val="16"/>
        </w:rPr>
      </w:pPr>
      <w:r>
        <w:rPr>
          <w:rFonts w:ascii="黑体" w:hAnsi="黑体" w:cs="黑体" w:eastAsia="黑体" w:hint="default"/>
          <w:sz w:val="16"/>
          <w:szCs w:val="16"/>
        </w:rPr>
        <w:t>单项金额不重大</w:t>
      </w:r>
    </w:p>
    <w:p>
      <w:pPr>
        <w:spacing w:line="240" w:lineRule="auto" w:before="1"/>
        <w:rPr>
          <w:rFonts w:ascii="黑体" w:hAnsi="黑体" w:cs="黑体" w:eastAsia="黑体" w:hint="default"/>
          <w:sz w:val="3"/>
          <w:szCs w:val="3"/>
        </w:rPr>
      </w:pPr>
    </w:p>
    <w:tbl>
      <w:tblPr>
        <w:tblW w:w="0" w:type="auto"/>
        <w:jc w:val="left"/>
        <w:tblInd w:w="766" w:type="dxa"/>
        <w:tblLayout w:type="fixed"/>
        <w:tblCellMar>
          <w:top w:w="0" w:type="dxa"/>
          <w:left w:w="0" w:type="dxa"/>
          <w:bottom w:w="0" w:type="dxa"/>
          <w:right w:w="0" w:type="dxa"/>
        </w:tblCellMar>
        <w:tblLook w:val="01E0"/>
      </w:tblPr>
      <w:tblGrid>
        <w:gridCol w:w="1147"/>
        <w:gridCol w:w="1228"/>
        <w:gridCol w:w="475"/>
        <w:gridCol w:w="1186"/>
        <w:gridCol w:w="608"/>
        <w:gridCol w:w="1300"/>
        <w:gridCol w:w="1547"/>
        <w:gridCol w:w="510"/>
      </w:tblGrid>
      <w:tr>
        <w:trPr>
          <w:trHeight w:val="379"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167" w:lineRule="exact"/>
              <w:ind w:left="175" w:right="0"/>
              <w:jc w:val="left"/>
              <w:rPr>
                <w:rFonts w:ascii="黑体" w:hAnsi="黑体" w:cs="黑体" w:eastAsia="黑体" w:hint="default"/>
                <w:sz w:val="16"/>
                <w:szCs w:val="16"/>
              </w:rPr>
            </w:pPr>
            <w:r>
              <w:rPr>
                <w:rFonts w:ascii="黑体" w:hAnsi="黑体" w:cs="黑体" w:eastAsia="黑体" w:hint="default"/>
                <w:sz w:val="16"/>
                <w:szCs w:val="16"/>
              </w:rPr>
              <w:t>但按信用风险</w:t>
            </w:r>
          </w:p>
          <w:p>
            <w:pPr>
              <w:pStyle w:val="TableParagraph"/>
              <w:spacing w:line="209" w:lineRule="exact"/>
              <w:ind w:left="175" w:right="0"/>
              <w:jc w:val="left"/>
              <w:rPr>
                <w:rFonts w:ascii="黑体" w:hAnsi="黑体" w:cs="黑体" w:eastAsia="黑体" w:hint="default"/>
                <w:sz w:val="16"/>
                <w:szCs w:val="16"/>
              </w:rPr>
            </w:pPr>
            <w:r>
              <w:rPr>
                <w:rFonts w:ascii="黑体" w:hAnsi="黑体" w:cs="黑体" w:eastAsia="黑体" w:hint="default"/>
                <w:sz w:val="16"/>
                <w:szCs w:val="16"/>
              </w:rPr>
              <w:t>特征组合后风</w:t>
            </w:r>
          </w:p>
        </w:tc>
        <w:tc>
          <w:tcPr>
            <w:tcW w:w="6854" w:type="dxa"/>
            <w:gridSpan w:val="7"/>
            <w:tcBorders>
              <w:top w:val="nil" w:sz="6" w:space="0" w:color="auto"/>
              <w:left w:val="nil" w:sz="6" w:space="0" w:color="auto"/>
              <w:bottom w:val="nil" w:sz="6" w:space="0" w:color="auto"/>
              <w:right w:val="nil" w:sz="6" w:space="0" w:color="auto"/>
            </w:tcBorders>
          </w:tcPr>
          <w:p>
            <w:pPr/>
          </w:p>
        </w:tc>
      </w:tr>
      <w:tr>
        <w:trPr>
          <w:trHeight w:val="232"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04" w:lineRule="exact"/>
              <w:ind w:right="315"/>
              <w:jc w:val="center"/>
              <w:rPr>
                <w:rFonts w:ascii="黑体" w:hAnsi="黑体" w:cs="黑体" w:eastAsia="黑体" w:hint="default"/>
                <w:sz w:val="16"/>
                <w:szCs w:val="16"/>
              </w:rPr>
            </w:pPr>
            <w:r>
              <w:rPr>
                <w:rFonts w:ascii="黑体" w:hAnsi="黑体" w:cs="黑体" w:eastAsia="黑体" w:hint="default"/>
                <w:sz w:val="16"/>
                <w:szCs w:val="16"/>
              </w:rPr>
              <w:t>险较大</w:t>
            </w:r>
          </w:p>
        </w:tc>
        <w:tc>
          <w:tcPr>
            <w:tcW w:w="1228" w:type="dxa"/>
            <w:tcBorders>
              <w:top w:val="nil" w:sz="6" w:space="0" w:color="auto"/>
              <w:left w:val="nil" w:sz="6" w:space="0" w:color="auto"/>
              <w:bottom w:val="nil" w:sz="6" w:space="0" w:color="auto"/>
              <w:right w:val="nil" w:sz="6" w:space="0" w:color="auto"/>
            </w:tcBorders>
          </w:tcPr>
          <w:p>
            <w:pPr>
              <w:pStyle w:val="TableParagraph"/>
              <w:spacing w:line="209" w:lineRule="exact"/>
              <w:ind w:right="99"/>
              <w:jc w:val="right"/>
              <w:rPr>
                <w:rFonts w:ascii="Arial" w:hAnsi="Arial" w:cs="Arial" w:eastAsia="Arial" w:hint="default"/>
                <w:sz w:val="20"/>
                <w:szCs w:val="20"/>
              </w:rPr>
            </w:pPr>
            <w:r>
              <w:rPr>
                <w:rFonts w:ascii="Arial"/>
                <w:spacing w:val="-1"/>
                <w:sz w:val="20"/>
              </w:rPr>
              <w:t>7,744,949</w:t>
            </w:r>
          </w:p>
        </w:tc>
        <w:tc>
          <w:tcPr>
            <w:tcW w:w="475" w:type="dxa"/>
            <w:tcBorders>
              <w:top w:val="nil" w:sz="6" w:space="0" w:color="auto"/>
              <w:left w:val="nil" w:sz="6" w:space="0" w:color="auto"/>
              <w:bottom w:val="nil" w:sz="6" w:space="0" w:color="auto"/>
              <w:right w:val="nil" w:sz="6" w:space="0" w:color="auto"/>
            </w:tcBorders>
          </w:tcPr>
          <w:p>
            <w:pPr>
              <w:pStyle w:val="TableParagraph"/>
              <w:spacing w:line="209" w:lineRule="exact"/>
              <w:ind w:right="37"/>
              <w:jc w:val="right"/>
              <w:rPr>
                <w:rFonts w:ascii="Arial" w:hAnsi="Arial" w:cs="Arial" w:eastAsia="Arial" w:hint="default"/>
                <w:sz w:val="20"/>
                <w:szCs w:val="20"/>
              </w:rPr>
            </w:pPr>
            <w:r>
              <w:rPr>
                <w:rFonts w:ascii="Arial"/>
                <w:w w:val="100"/>
                <w:sz w:val="20"/>
              </w:rPr>
              <w:t>6</w:t>
            </w:r>
          </w:p>
        </w:tc>
        <w:tc>
          <w:tcPr>
            <w:tcW w:w="1186" w:type="dxa"/>
            <w:tcBorders>
              <w:top w:val="nil" w:sz="6" w:space="0" w:color="auto"/>
              <w:left w:val="nil" w:sz="6" w:space="0" w:color="auto"/>
              <w:bottom w:val="nil" w:sz="6" w:space="0" w:color="auto"/>
              <w:right w:val="nil" w:sz="6" w:space="0" w:color="auto"/>
            </w:tcBorders>
          </w:tcPr>
          <w:p>
            <w:pPr>
              <w:pStyle w:val="TableParagraph"/>
              <w:spacing w:line="209" w:lineRule="exact"/>
              <w:ind w:left="61" w:right="0"/>
              <w:jc w:val="left"/>
              <w:rPr>
                <w:rFonts w:ascii="Arial" w:hAnsi="Arial" w:cs="Arial" w:eastAsia="Arial" w:hint="default"/>
                <w:sz w:val="20"/>
                <w:szCs w:val="20"/>
              </w:rPr>
            </w:pPr>
            <w:r>
              <w:rPr>
                <w:rFonts w:ascii="Arial"/>
                <w:sz w:val="20"/>
              </w:rPr>
              <w:t>1,602,589</w:t>
            </w:r>
          </w:p>
        </w:tc>
        <w:tc>
          <w:tcPr>
            <w:tcW w:w="608" w:type="dxa"/>
            <w:tcBorders>
              <w:top w:val="nil" w:sz="6" w:space="0" w:color="auto"/>
              <w:left w:val="nil" w:sz="6" w:space="0" w:color="auto"/>
              <w:bottom w:val="nil" w:sz="6" w:space="0" w:color="auto"/>
              <w:right w:val="nil" w:sz="6" w:space="0" w:color="auto"/>
            </w:tcBorders>
          </w:tcPr>
          <w:p>
            <w:pPr>
              <w:pStyle w:val="TableParagraph"/>
              <w:spacing w:line="209" w:lineRule="exact"/>
              <w:ind w:right="142"/>
              <w:jc w:val="right"/>
              <w:rPr>
                <w:rFonts w:ascii="Arial" w:hAnsi="Arial" w:cs="Arial" w:eastAsia="Arial" w:hint="default"/>
                <w:sz w:val="20"/>
                <w:szCs w:val="20"/>
              </w:rPr>
            </w:pPr>
            <w:r>
              <w:rPr>
                <w:rFonts w:ascii="Arial"/>
                <w:sz w:val="20"/>
              </w:rPr>
              <w:t>21</w:t>
            </w:r>
          </w:p>
        </w:tc>
        <w:tc>
          <w:tcPr>
            <w:tcW w:w="1300" w:type="dxa"/>
            <w:tcBorders>
              <w:top w:val="nil" w:sz="6" w:space="0" w:color="auto"/>
              <w:left w:val="nil" w:sz="6" w:space="0" w:color="auto"/>
              <w:bottom w:val="nil" w:sz="6" w:space="0" w:color="auto"/>
              <w:right w:val="nil" w:sz="6" w:space="0" w:color="auto"/>
            </w:tcBorders>
          </w:tcPr>
          <w:p>
            <w:pPr>
              <w:pStyle w:val="TableParagraph"/>
              <w:spacing w:line="209" w:lineRule="exact"/>
              <w:ind w:right="41"/>
              <w:jc w:val="right"/>
              <w:rPr>
                <w:rFonts w:ascii="Arial" w:hAnsi="Arial" w:cs="Arial" w:eastAsia="Arial" w:hint="default"/>
                <w:sz w:val="20"/>
                <w:szCs w:val="20"/>
              </w:rPr>
            </w:pPr>
            <w:r>
              <w:rPr>
                <w:rFonts w:ascii="Arial"/>
                <w:sz w:val="20"/>
              </w:rPr>
              <w:t>5,755,395</w:t>
            </w:r>
          </w:p>
        </w:tc>
        <w:tc>
          <w:tcPr>
            <w:tcW w:w="1547" w:type="dxa"/>
            <w:tcBorders>
              <w:top w:val="nil" w:sz="6" w:space="0" w:color="auto"/>
              <w:left w:val="nil" w:sz="6" w:space="0" w:color="auto"/>
              <w:bottom w:val="nil" w:sz="6" w:space="0" w:color="auto"/>
              <w:right w:val="nil" w:sz="6" w:space="0" w:color="auto"/>
            </w:tcBorders>
          </w:tcPr>
          <w:p>
            <w:pPr>
              <w:pStyle w:val="TableParagraph"/>
              <w:spacing w:line="209" w:lineRule="exact"/>
              <w:ind w:right="243"/>
              <w:jc w:val="right"/>
              <w:rPr>
                <w:rFonts w:ascii="Arial" w:hAnsi="Arial" w:cs="Arial" w:eastAsia="Arial" w:hint="default"/>
                <w:sz w:val="20"/>
                <w:szCs w:val="20"/>
              </w:rPr>
            </w:pPr>
            <w:r>
              <w:rPr>
                <w:rFonts w:ascii="Arial"/>
                <w:sz w:val="20"/>
              </w:rPr>
              <w:t>4</w:t>
            </w:r>
            <w:r>
              <w:rPr>
                <w:rFonts w:ascii="Arial"/>
                <w:spacing w:val="-22"/>
                <w:sz w:val="20"/>
              </w:rPr>
              <w:t> </w:t>
            </w:r>
            <w:r>
              <w:rPr>
                <w:rFonts w:ascii="Arial"/>
                <w:sz w:val="20"/>
              </w:rPr>
              <w:t>2,594,098</w:t>
            </w:r>
          </w:p>
        </w:tc>
        <w:tc>
          <w:tcPr>
            <w:tcW w:w="510" w:type="dxa"/>
            <w:tcBorders>
              <w:top w:val="nil" w:sz="6" w:space="0" w:color="auto"/>
              <w:left w:val="nil" w:sz="6" w:space="0" w:color="auto"/>
              <w:bottom w:val="nil" w:sz="6" w:space="0" w:color="auto"/>
              <w:right w:val="nil" w:sz="6" w:space="0" w:color="auto"/>
            </w:tcBorders>
          </w:tcPr>
          <w:p>
            <w:pPr>
              <w:pStyle w:val="TableParagraph"/>
              <w:spacing w:line="209" w:lineRule="exact"/>
              <w:ind w:right="33"/>
              <w:jc w:val="right"/>
              <w:rPr>
                <w:rFonts w:ascii="Arial" w:hAnsi="Arial" w:cs="Arial" w:eastAsia="Arial" w:hint="default"/>
                <w:sz w:val="20"/>
                <w:szCs w:val="20"/>
              </w:rPr>
            </w:pPr>
            <w:r>
              <w:rPr>
                <w:rFonts w:ascii="Arial"/>
                <w:sz w:val="20"/>
              </w:rPr>
              <w:t>45</w:t>
            </w:r>
          </w:p>
        </w:tc>
      </w:tr>
      <w:tr>
        <w:trPr>
          <w:trHeight w:val="255"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76"/>
              <w:jc w:val="center"/>
              <w:rPr>
                <w:rFonts w:ascii="黑体" w:hAnsi="黑体" w:cs="黑体" w:eastAsia="黑体" w:hint="default"/>
                <w:sz w:val="16"/>
                <w:szCs w:val="16"/>
              </w:rPr>
            </w:pPr>
            <w:r>
              <w:rPr>
                <w:rFonts w:ascii="黑体" w:hAnsi="黑体" w:cs="黑体" w:eastAsia="黑体" w:hint="default"/>
                <w:sz w:val="16"/>
                <w:szCs w:val="16"/>
              </w:rPr>
              <w:t>其他不重大</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98"/>
              <w:jc w:val="right"/>
              <w:rPr>
                <w:rFonts w:ascii="Arial" w:hAnsi="Arial" w:cs="Arial" w:eastAsia="Arial" w:hint="default"/>
                <w:sz w:val="20"/>
                <w:szCs w:val="20"/>
              </w:rPr>
            </w:pPr>
            <w:r>
              <w:rPr>
                <w:rFonts w:ascii="Arial"/>
                <w:w w:val="100"/>
                <w:sz w:val="20"/>
              </w:rPr>
            </w:r>
            <w:r>
              <w:rPr>
                <w:rFonts w:ascii="Arial"/>
                <w:spacing w:val="-1"/>
                <w:sz w:val="20"/>
                <w:u w:val="single" w:color="000000"/>
              </w:rPr>
              <w:t>129,743,203</w:t>
            </w:r>
            <w:r>
              <w:rPr>
                <w:rFonts w:ascii="Arial"/>
                <w:spacing w:val="-1"/>
                <w:sz w:val="20"/>
              </w:rPr>
            </w:r>
          </w:p>
        </w:tc>
        <w:tc>
          <w:tcPr>
            <w:tcW w:w="47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93</w:t>
            </w:r>
            <w:r>
              <w:rPr>
                <w:rFonts w:ascii="Arial"/>
                <w:sz w:val="20"/>
              </w:rPr>
            </w:r>
          </w:p>
        </w:tc>
        <w:tc>
          <w:tcPr>
            <w:tcW w:w="1186" w:type="dxa"/>
            <w:tcBorders>
              <w:top w:val="nil" w:sz="6" w:space="0" w:color="auto"/>
              <w:left w:val="nil" w:sz="6" w:space="0" w:color="auto"/>
              <w:bottom w:val="nil" w:sz="6" w:space="0" w:color="auto"/>
              <w:right w:val="nil" w:sz="6" w:space="0" w:color="auto"/>
            </w:tcBorders>
          </w:tcPr>
          <w:p>
            <w:pPr>
              <w:pStyle w:val="TableParagraph"/>
              <w:tabs>
                <w:tab w:pos="338" w:val="left" w:leader="none"/>
              </w:tabs>
              <w:spacing w:line="240" w:lineRule="auto" w:before="2"/>
              <w:ind w:left="39"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77,947</w:t>
            </w:r>
            <w:r>
              <w:rPr>
                <w:rFonts w:ascii="Arial"/>
                <w:sz w:val="20"/>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41"/>
              <w:jc w:val="right"/>
              <w:rPr>
                <w:rFonts w:ascii="Arial" w:hAnsi="Arial" w:cs="Arial" w:eastAsia="Arial" w:hint="default"/>
                <w:sz w:val="20"/>
                <w:szCs w:val="20"/>
              </w:rPr>
            </w:pPr>
            <w:r>
              <w:rPr>
                <w:rFonts w:ascii="Arial"/>
                <w:sz w:val="20"/>
              </w:rPr>
              <w:t>&lt;1</w:t>
            </w:r>
          </w:p>
        </w:tc>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40"/>
              <w:jc w:val="right"/>
              <w:rPr>
                <w:rFonts w:ascii="Arial" w:hAnsi="Arial" w:cs="Arial" w:eastAsia="Arial" w:hint="default"/>
                <w:sz w:val="20"/>
                <w:szCs w:val="20"/>
              </w:rPr>
            </w:pPr>
            <w:r>
              <w:rPr>
                <w:rFonts w:ascii="Arial"/>
                <w:w w:val="100"/>
                <w:sz w:val="20"/>
              </w:rPr>
            </w:r>
            <w:r>
              <w:rPr>
                <w:rFonts w:ascii="Arial"/>
                <w:spacing w:val="-1"/>
                <w:sz w:val="20"/>
                <w:u w:val="single" w:color="000000"/>
              </w:rPr>
              <w:t>101,618,988</w:t>
            </w:r>
            <w:r>
              <w:rPr>
                <w:rFonts w:ascii="Arial"/>
                <w:spacing w:val="-1"/>
                <w:sz w:val="20"/>
              </w:rPr>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4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70  </w:t>
            </w:r>
            <w:r>
              <w:rPr>
                <w:rFonts w:ascii="Arial"/>
                <w:spacing w:val="32"/>
                <w:sz w:val="20"/>
                <w:u w:val="single" w:color="000000"/>
              </w:rPr>
              <w:t> </w:t>
            </w:r>
            <w:r>
              <w:rPr>
                <w:rFonts w:ascii="Arial"/>
                <w:sz w:val="20"/>
                <w:u w:val="single" w:color="000000"/>
              </w:rPr>
              <w:t>419,400</w:t>
            </w:r>
            <w:r>
              <w:rPr>
                <w:rFonts w:ascii="Arial"/>
                <w:sz w:val="20"/>
              </w:rPr>
            </w:r>
          </w:p>
        </w:tc>
        <w:tc>
          <w:tcPr>
            <w:tcW w:w="51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sz w:val="20"/>
              </w:rPr>
              <w:t>&lt;1</w:t>
            </w:r>
          </w:p>
        </w:tc>
      </w:tr>
      <w:tr>
        <w:trPr>
          <w:trHeight w:val="327" w:hRule="exact"/>
        </w:trPr>
        <w:tc>
          <w:tcPr>
            <w:tcW w:w="1147" w:type="dxa"/>
            <w:tcBorders>
              <w:top w:val="nil" w:sz="6" w:space="0" w:color="auto"/>
              <w:left w:val="nil" w:sz="6" w:space="0" w:color="auto"/>
              <w:bottom w:val="nil" w:sz="6" w:space="0" w:color="auto"/>
              <w:right w:val="nil" w:sz="6" w:space="0" w:color="auto"/>
            </w:tcBorders>
          </w:tcPr>
          <w:p>
            <w:pP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98"/>
              <w:jc w:val="right"/>
              <w:rPr>
                <w:rFonts w:ascii="Arial" w:hAnsi="Arial" w:cs="Arial" w:eastAsia="Arial" w:hint="default"/>
                <w:sz w:val="20"/>
                <w:szCs w:val="20"/>
              </w:rPr>
            </w:pPr>
            <w:r>
              <w:rPr>
                <w:rFonts w:ascii="Arial"/>
                <w:w w:val="100"/>
                <w:sz w:val="20"/>
              </w:rPr>
            </w:r>
            <w:r>
              <w:rPr>
                <w:rFonts w:ascii="Arial"/>
                <w:spacing w:val="-1"/>
                <w:sz w:val="20"/>
                <w:u w:val="thick" w:color="000000"/>
              </w:rPr>
              <w:t>138,488,152</w:t>
            </w:r>
            <w:r>
              <w:rPr>
                <w:rFonts w:ascii="Arial"/>
                <w:spacing w:val="-1"/>
                <w:sz w:val="20"/>
              </w:rPr>
            </w:r>
          </w:p>
        </w:tc>
        <w:tc>
          <w:tcPr>
            <w:tcW w:w="4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7"/>
              <w:jc w:val="right"/>
              <w:rPr>
                <w:rFonts w:ascii="Arial" w:hAnsi="Arial" w:cs="Arial" w:eastAsia="Arial" w:hint="default"/>
                <w:sz w:val="20"/>
                <w:szCs w:val="20"/>
              </w:rPr>
            </w:pPr>
            <w:r>
              <w:rPr>
                <w:rFonts w:ascii="Arial"/>
                <w:w w:val="100"/>
                <w:sz w:val="20"/>
              </w:rPr>
            </w:r>
            <w:r>
              <w:rPr>
                <w:rFonts w:ascii="Arial"/>
                <w:sz w:val="20"/>
                <w:u w:val="thick" w:color="000000"/>
              </w:rPr>
              <w:t>100</w:t>
            </w:r>
            <w:r>
              <w:rPr>
                <w:rFonts w:ascii="Arial"/>
                <w:sz w:val="20"/>
              </w:rPr>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1"/>
              <w:ind w:left="61" w:right="0"/>
              <w:jc w:val="left"/>
              <w:rPr>
                <w:rFonts w:ascii="Arial" w:hAnsi="Arial" w:cs="Arial" w:eastAsia="Arial" w:hint="default"/>
                <w:sz w:val="20"/>
                <w:szCs w:val="20"/>
              </w:rPr>
            </w:pPr>
            <w:r>
              <w:rPr>
                <w:rFonts w:ascii="Arial"/>
                <w:w w:val="100"/>
                <w:sz w:val="20"/>
              </w:rPr>
            </w:r>
            <w:r>
              <w:rPr>
                <w:rFonts w:ascii="Arial"/>
                <w:sz w:val="20"/>
                <w:u w:val="thick" w:color="000000"/>
              </w:rPr>
              <w:t>1,680,536</w:t>
            </w:r>
            <w:r>
              <w:rPr>
                <w:rFonts w:ascii="Arial"/>
                <w:sz w:val="20"/>
              </w:rPr>
            </w:r>
          </w:p>
        </w:tc>
        <w:tc>
          <w:tcPr>
            <w:tcW w:w="608" w:type="dxa"/>
            <w:tcBorders>
              <w:top w:val="nil" w:sz="6" w:space="0" w:color="auto"/>
              <w:left w:val="nil" w:sz="6" w:space="0" w:color="auto"/>
              <w:bottom w:val="nil" w:sz="6" w:space="0" w:color="auto"/>
              <w:right w:val="nil" w:sz="6" w:space="0" w:color="auto"/>
            </w:tcBorders>
          </w:tcPr>
          <w:p>
            <w:pPr/>
          </w:p>
        </w:tc>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40"/>
              <w:jc w:val="right"/>
              <w:rPr>
                <w:rFonts w:ascii="Arial" w:hAnsi="Arial" w:cs="Arial" w:eastAsia="Arial" w:hint="default"/>
                <w:sz w:val="20"/>
                <w:szCs w:val="20"/>
              </w:rPr>
            </w:pPr>
            <w:r>
              <w:rPr>
                <w:rFonts w:ascii="Arial"/>
                <w:w w:val="100"/>
                <w:sz w:val="20"/>
              </w:rPr>
            </w:r>
            <w:r>
              <w:rPr>
                <w:rFonts w:ascii="Arial"/>
                <w:spacing w:val="-1"/>
                <w:sz w:val="20"/>
                <w:u w:val="thick" w:color="000000"/>
              </w:rPr>
              <w:t>145,646,877</w:t>
            </w:r>
            <w:r>
              <w:rPr>
                <w:rFonts w:ascii="Arial"/>
                <w:spacing w:val="-1"/>
                <w:sz w:val="20"/>
              </w:rPr>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243"/>
              <w:jc w:val="right"/>
              <w:rPr>
                <w:rFonts w:ascii="Arial" w:hAnsi="Arial" w:cs="Arial" w:eastAsia="Arial" w:hint="default"/>
                <w:sz w:val="20"/>
                <w:szCs w:val="20"/>
              </w:rPr>
            </w:pPr>
            <w:r>
              <w:rPr>
                <w:rFonts w:ascii="Arial"/>
                <w:w w:val="100"/>
                <w:sz w:val="20"/>
              </w:rPr>
            </w:r>
            <w:r>
              <w:rPr>
                <w:rFonts w:ascii="Arial"/>
                <w:sz w:val="20"/>
                <w:u w:val="thick" w:color="000000"/>
              </w:rPr>
              <w:t>100</w:t>
            </w:r>
            <w:r>
              <w:rPr>
                <w:rFonts w:ascii="Arial"/>
                <w:spacing w:val="-29"/>
                <w:sz w:val="20"/>
                <w:u w:val="thick" w:color="000000"/>
              </w:rPr>
              <w:t> </w:t>
            </w:r>
            <w:r>
              <w:rPr>
                <w:rFonts w:ascii="Arial"/>
                <w:sz w:val="20"/>
                <w:u w:val="thick" w:color="000000"/>
              </w:rPr>
              <w:t>4,513,498</w:t>
            </w:r>
            <w:r>
              <w:rPr>
                <w:rFonts w:ascii="Arial"/>
                <w:sz w:val="20"/>
              </w:rPr>
            </w:r>
          </w:p>
        </w:tc>
        <w:tc>
          <w:tcPr>
            <w:tcW w:w="510"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958" w:footer="385" w:top="2560" w:bottom="580" w:left="1600" w:right="1420"/>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5"/>
          <w:szCs w:val="15"/>
        </w:rPr>
      </w:pPr>
    </w:p>
    <w:p>
      <w:pPr>
        <w:spacing w:before="0"/>
        <w:ind w:left="101" w:right="112"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1"/>
        <w:rPr>
          <w:rFonts w:ascii="黑体" w:hAnsi="黑体" w:cs="黑体" w:eastAsia="黑体" w:hint="default"/>
          <w:b/>
          <w:bCs/>
          <w:sz w:val="17"/>
          <w:szCs w:val="17"/>
        </w:rPr>
      </w:pPr>
    </w:p>
    <w:p>
      <w:pPr>
        <w:tabs>
          <w:tab w:pos="840" w:val="left" w:leader="none"/>
        </w:tabs>
        <w:spacing w:before="0"/>
        <w:ind w:left="101" w:right="112" w:firstLine="0"/>
        <w:jc w:val="left"/>
        <w:rPr>
          <w:rFonts w:ascii="黑体" w:hAnsi="黑体" w:cs="黑体" w:eastAsia="黑体" w:hint="default"/>
          <w:sz w:val="20"/>
          <w:szCs w:val="20"/>
        </w:rPr>
      </w:pPr>
      <w:r>
        <w:rPr>
          <w:rFonts w:ascii="Arial" w:hAnsi="Arial" w:cs="Arial" w:eastAsia="Arial" w:hint="default"/>
          <w:b/>
          <w:bCs/>
          <w:spacing w:val="-1"/>
          <w:sz w:val="20"/>
          <w:szCs w:val="20"/>
        </w:rPr>
        <w:t>6.</w:t>
        <w:tab/>
      </w:r>
      <w:r>
        <w:rPr>
          <w:rFonts w:ascii="黑体" w:hAnsi="黑体" w:cs="黑体" w:eastAsia="黑体" w:hint="default"/>
          <w:b/>
          <w:bCs/>
          <w:sz w:val="20"/>
          <w:szCs w:val="20"/>
        </w:rPr>
        <w:t>其他应收款（续）</w:t>
      </w:r>
      <w:r>
        <w:rPr>
          <w:rFonts w:ascii="黑体" w:hAnsi="黑体" w:cs="黑体" w:eastAsia="黑体" w:hint="default"/>
          <w:sz w:val="20"/>
          <w:szCs w:val="20"/>
        </w:rPr>
      </w:r>
    </w:p>
    <w:p>
      <w:pPr>
        <w:spacing w:line="240" w:lineRule="auto" w:before="4"/>
        <w:rPr>
          <w:rFonts w:ascii="黑体" w:hAnsi="黑体" w:cs="黑体" w:eastAsia="黑体" w:hint="default"/>
          <w:b/>
          <w:bCs/>
          <w:sz w:val="18"/>
          <w:szCs w:val="18"/>
        </w:rPr>
      </w:pPr>
    </w:p>
    <w:p>
      <w:pPr>
        <w:pStyle w:val="BodyText"/>
        <w:spacing w:line="260" w:lineRule="exact"/>
        <w:ind w:right="174" w:hanging="1"/>
        <w:jc w:val="left"/>
      </w:pPr>
      <w:r>
        <w:rPr>
          <w:spacing w:val="-3"/>
          <w:w w:val="100"/>
        </w:rPr>
        <w:t>于</w:t>
      </w:r>
      <w:r>
        <w:rPr>
          <w:rFonts w:ascii="Arial" w:hAnsi="Arial" w:cs="Arial" w:eastAsia="Arial" w:hint="default"/>
          <w:spacing w:val="-3"/>
          <w:w w:val="100"/>
        </w:rPr>
        <w:t>2009</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日，单项金额重大或虽不重大但单独进行减值测试的其他应收款坏账计提</w:t>
      </w:r>
      <w:r>
        <w:rPr>
          <w:spacing w:val="-97"/>
          <w:w w:val="100"/>
        </w:rPr>
        <w:t> </w:t>
      </w:r>
      <w:r>
        <w:rPr>
          <w:spacing w:val="-97"/>
          <w:w w:val="100"/>
        </w:rPr>
      </w:r>
      <w:r>
        <w:rPr/>
        <w:t>准备如下：</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pStyle w:val="BodyText"/>
        <w:spacing w:line="240" w:lineRule="auto" w:before="172"/>
        <w:ind w:left="831" w:right="112"/>
        <w:jc w:val="left"/>
      </w:pPr>
      <w:r>
        <w:rPr/>
        <w:pict>
          <v:shape style="position:absolute;margin-left:248.339355pt;margin-top:-17.936792pt;width:263.45pt;height:45.75pt;mso-position-horizontal-relative:page;mso-position-vertical-relative:paragraph;z-index:23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74"/>
                    <w:gridCol w:w="1121"/>
                    <w:gridCol w:w="1515"/>
                    <w:gridCol w:w="1557"/>
                  </w:tblGrid>
                  <w:tr>
                    <w:trPr>
                      <w:trHeight w:val="451" w:hRule="exact"/>
                    </w:trPr>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sz w:val="20"/>
                            <w:szCs w:val="20"/>
                          </w:rPr>
                          <w:t>账面余额</w:t>
                        </w: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0"/>
                          <w:jc w:val="right"/>
                          <w:rPr>
                            <w:rFonts w:ascii="黑体" w:hAnsi="黑体" w:cs="黑体" w:eastAsia="黑体" w:hint="default"/>
                            <w:sz w:val="20"/>
                            <w:szCs w:val="20"/>
                          </w:rPr>
                        </w:pPr>
                        <w:r>
                          <w:rPr>
                            <w:rFonts w:ascii="黑体" w:hAnsi="黑体" w:cs="黑体" w:eastAsia="黑体" w:hint="default"/>
                            <w:sz w:val="20"/>
                            <w:szCs w:val="20"/>
                          </w:rPr>
                          <w:t>坏账准备</w:t>
                        </w:r>
                      </w:p>
                    </w:tc>
                    <w:tc>
                      <w:tcPr>
                        <w:tcW w:w="151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19"/>
                          <w:jc w:val="right"/>
                          <w:rPr>
                            <w:rFonts w:ascii="Arial" w:hAnsi="Arial" w:cs="Arial" w:eastAsia="Arial" w:hint="default"/>
                            <w:sz w:val="20"/>
                            <w:szCs w:val="20"/>
                          </w:rPr>
                        </w:pPr>
                        <w:r>
                          <w:rPr>
                            <w:rFonts w:ascii="黑体" w:hAnsi="黑体" w:cs="黑体" w:eastAsia="黑体" w:hint="default"/>
                            <w:spacing w:val="-1"/>
                            <w:sz w:val="20"/>
                            <w:szCs w:val="20"/>
                          </w:rPr>
                          <w:t>计提比例</w:t>
                        </w:r>
                        <w:r>
                          <w:rPr>
                            <w:rFonts w:ascii="Arial" w:hAnsi="Arial" w:cs="Arial" w:eastAsia="Arial" w:hint="default"/>
                            <w:spacing w:val="-1"/>
                            <w:sz w:val="20"/>
                            <w:szCs w:val="20"/>
                          </w:rPr>
                          <w:t>(%)</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4"/>
                          <w:jc w:val="right"/>
                          <w:rPr>
                            <w:rFonts w:ascii="黑体" w:hAnsi="黑体" w:cs="黑体" w:eastAsia="黑体" w:hint="default"/>
                            <w:sz w:val="20"/>
                            <w:szCs w:val="20"/>
                          </w:rPr>
                        </w:pPr>
                        <w:r>
                          <w:rPr>
                            <w:rFonts w:ascii="黑体" w:hAnsi="黑体" w:cs="黑体" w:eastAsia="黑体" w:hint="default"/>
                            <w:sz w:val="20"/>
                            <w:szCs w:val="20"/>
                          </w:rPr>
                          <w:t>理由</w:t>
                        </w:r>
                      </w:p>
                    </w:tc>
                  </w:tr>
                  <w:tr>
                    <w:trPr>
                      <w:trHeight w:val="464" w:hRule="exact"/>
                    </w:trPr>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112" w:right="0"/>
                          <w:jc w:val="left"/>
                          <w:rPr>
                            <w:rFonts w:ascii="Arial" w:hAnsi="Arial" w:cs="Arial" w:eastAsia="Arial" w:hint="default"/>
                            <w:sz w:val="20"/>
                            <w:szCs w:val="20"/>
                          </w:rPr>
                        </w:pPr>
                        <w:r>
                          <w:rPr>
                            <w:rFonts w:ascii="Arial"/>
                            <w:w w:val="100"/>
                            <w:sz w:val="20"/>
                          </w:rPr>
                        </w:r>
                        <w:r>
                          <w:rPr>
                            <w:rFonts w:ascii="Arial"/>
                            <w:sz w:val="20"/>
                            <w:u w:val="thick" w:color="000000"/>
                          </w:rPr>
                          <w:t>322,720</w:t>
                        </w:r>
                        <w:r>
                          <w:rPr>
                            <w:rFonts w:ascii="Arial"/>
                            <w:sz w:val="20"/>
                          </w:rPr>
                        </w: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38"/>
                          <w:ind w:right="80"/>
                          <w:jc w:val="right"/>
                          <w:rPr>
                            <w:rFonts w:ascii="Arial" w:hAnsi="Arial" w:cs="Arial" w:eastAsia="Arial" w:hint="default"/>
                            <w:sz w:val="20"/>
                            <w:szCs w:val="20"/>
                          </w:rPr>
                        </w:pPr>
                        <w:r>
                          <w:rPr>
                            <w:rFonts w:ascii="Arial"/>
                            <w:w w:val="100"/>
                            <w:sz w:val="20"/>
                          </w:rPr>
                        </w:r>
                        <w:r>
                          <w:rPr>
                            <w:rFonts w:ascii="Arial"/>
                            <w:sz w:val="20"/>
                            <w:u w:val="thick" w:color="000000"/>
                          </w:rPr>
                          <w:t>77,947</w:t>
                        </w:r>
                        <w:r>
                          <w:rPr>
                            <w:rFonts w:ascii="Arial"/>
                            <w:sz w:val="20"/>
                          </w:rPr>
                        </w:r>
                      </w:p>
                    </w:tc>
                    <w:tc>
                      <w:tcPr>
                        <w:tcW w:w="1515" w:type="dxa"/>
                        <w:tcBorders>
                          <w:top w:val="nil" w:sz="6" w:space="0" w:color="auto"/>
                          <w:left w:val="nil" w:sz="6" w:space="0" w:color="auto"/>
                          <w:bottom w:val="nil" w:sz="6" w:space="0" w:color="auto"/>
                          <w:right w:val="nil" w:sz="6" w:space="0" w:color="auto"/>
                        </w:tcBorders>
                      </w:tcPr>
                      <w:p>
                        <w:pPr>
                          <w:pStyle w:val="TableParagraph"/>
                          <w:spacing w:line="240" w:lineRule="auto" w:before="138"/>
                          <w:ind w:right="320"/>
                          <w:jc w:val="right"/>
                          <w:rPr>
                            <w:rFonts w:ascii="Arial" w:hAnsi="Arial" w:cs="Arial" w:eastAsia="Arial" w:hint="default"/>
                            <w:sz w:val="20"/>
                            <w:szCs w:val="20"/>
                          </w:rPr>
                        </w:pPr>
                        <w:r>
                          <w:rPr>
                            <w:rFonts w:ascii="Arial"/>
                            <w:sz w:val="20"/>
                          </w:rPr>
                          <w:t>24</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3"/>
                          <w:jc w:val="right"/>
                          <w:rPr>
                            <w:rFonts w:ascii="黑体" w:hAnsi="黑体" w:cs="黑体" w:eastAsia="黑体" w:hint="default"/>
                            <w:sz w:val="20"/>
                            <w:szCs w:val="20"/>
                          </w:rPr>
                        </w:pPr>
                        <w:r>
                          <w:rPr>
                            <w:rFonts w:ascii="黑体" w:hAnsi="黑体" w:cs="黑体" w:eastAsia="黑体" w:hint="default"/>
                            <w:spacing w:val="-1"/>
                            <w:sz w:val="20"/>
                            <w:szCs w:val="20"/>
                          </w:rPr>
                          <w:t>收回可能性小</w:t>
                        </w:r>
                      </w:p>
                    </w:tc>
                  </w:tr>
                </w:tbl>
                <w:p>
                  <w:pPr/>
                </w:p>
              </w:txbxContent>
            </v:textbox>
            <w10:wrap type="none"/>
          </v:shape>
        </w:pict>
      </w:r>
      <w:r>
        <w:rPr/>
        <w:t>其他</w:t>
      </w:r>
    </w:p>
    <w:p>
      <w:pPr>
        <w:spacing w:line="240" w:lineRule="auto" w:before="2"/>
        <w:rPr>
          <w:rFonts w:ascii="黑体" w:hAnsi="黑体" w:cs="黑体" w:eastAsia="黑体" w:hint="default"/>
          <w:sz w:val="14"/>
          <w:szCs w:val="14"/>
        </w:rPr>
      </w:pPr>
    </w:p>
    <w:p>
      <w:pPr>
        <w:pStyle w:val="BodyText"/>
        <w:spacing w:line="260" w:lineRule="exact" w:before="64"/>
        <w:ind w:right="174" w:hanging="1"/>
        <w:jc w:val="left"/>
      </w:pPr>
      <w:r>
        <w:rPr>
          <w:spacing w:val="-3"/>
          <w:w w:val="100"/>
        </w:rPr>
        <w:t>于</w:t>
      </w:r>
      <w:r>
        <w:rPr>
          <w:rFonts w:ascii="Arial" w:hAnsi="Arial" w:cs="Arial" w:eastAsia="Arial" w:hint="default"/>
          <w:spacing w:val="-3"/>
          <w:w w:val="100"/>
        </w:rPr>
        <w:t>2008</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日，单项金额重大或虽不重大但单独进行减值测试的其他应收款坏账计提</w:t>
      </w:r>
      <w:r>
        <w:rPr>
          <w:spacing w:val="-97"/>
          <w:w w:val="100"/>
        </w:rPr>
        <w:t> </w:t>
      </w:r>
      <w:r>
        <w:rPr>
          <w:spacing w:val="-97"/>
          <w:w w:val="100"/>
        </w:rPr>
      </w:r>
      <w:r>
        <w:rPr/>
        <w:t>准备如下：</w:t>
      </w:r>
    </w:p>
    <w:p>
      <w:pPr>
        <w:spacing w:line="240" w:lineRule="auto" w:before="7"/>
        <w:rPr>
          <w:rFonts w:ascii="黑体" w:hAnsi="黑体" w:cs="黑体" w:eastAsia="黑体" w:hint="default"/>
          <w:sz w:val="12"/>
          <w:szCs w:val="12"/>
        </w:rPr>
      </w:pPr>
    </w:p>
    <w:tbl>
      <w:tblPr>
        <w:tblW w:w="0" w:type="auto"/>
        <w:jc w:val="left"/>
        <w:tblInd w:w="796" w:type="dxa"/>
        <w:tblLayout w:type="fixed"/>
        <w:tblCellMar>
          <w:top w:w="0" w:type="dxa"/>
          <w:left w:w="0" w:type="dxa"/>
          <w:bottom w:w="0" w:type="dxa"/>
          <w:right w:w="0" w:type="dxa"/>
        </w:tblCellMar>
        <w:tblLook w:val="01E0"/>
      </w:tblPr>
      <w:tblGrid>
        <w:gridCol w:w="1660"/>
        <w:gridCol w:w="1924"/>
        <w:gridCol w:w="1183"/>
        <w:gridCol w:w="1315"/>
        <w:gridCol w:w="1758"/>
      </w:tblGrid>
      <w:tr>
        <w:trPr>
          <w:trHeight w:val="833" w:hRule="exact"/>
        </w:trPr>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7"/>
              <w:ind w:right="0"/>
              <w:jc w:val="left"/>
              <w:rPr>
                <w:rFonts w:ascii="黑体" w:hAnsi="黑体" w:cs="黑体" w:eastAsia="黑体" w:hint="default"/>
                <w:sz w:val="20"/>
                <w:szCs w:val="20"/>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联成互动</w:t>
            </w:r>
          </w:p>
        </w:tc>
        <w:tc>
          <w:tcPr>
            <w:tcW w:w="192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56" w:right="0" w:firstLine="89"/>
              <w:jc w:val="left"/>
              <w:rPr>
                <w:rFonts w:ascii="黑体" w:hAnsi="黑体" w:cs="黑体" w:eastAsia="黑体" w:hint="default"/>
                <w:sz w:val="20"/>
                <w:szCs w:val="20"/>
              </w:rPr>
            </w:pPr>
            <w:r>
              <w:rPr>
                <w:rFonts w:ascii="黑体" w:hAnsi="黑体" w:cs="黑体" w:eastAsia="黑体" w:hint="default"/>
                <w:sz w:val="20"/>
                <w:szCs w:val="20"/>
              </w:rPr>
              <w:t>账面余额</w:t>
            </w:r>
          </w:p>
          <w:p>
            <w:pPr>
              <w:pStyle w:val="TableParagraph"/>
              <w:spacing w:line="240" w:lineRule="auto" w:before="1"/>
              <w:ind w:right="0"/>
              <w:jc w:val="left"/>
              <w:rPr>
                <w:rFonts w:ascii="黑体" w:hAnsi="黑体" w:cs="黑体" w:eastAsia="黑体" w:hint="default"/>
                <w:sz w:val="22"/>
                <w:szCs w:val="22"/>
              </w:rPr>
            </w:pPr>
          </w:p>
          <w:p>
            <w:pPr>
              <w:pStyle w:val="TableParagraph"/>
              <w:spacing w:line="240" w:lineRule="auto"/>
              <w:ind w:left="856" w:right="0"/>
              <w:jc w:val="left"/>
              <w:rPr>
                <w:rFonts w:ascii="Arial" w:hAnsi="Arial" w:cs="Arial" w:eastAsia="Arial" w:hint="default"/>
                <w:sz w:val="20"/>
                <w:szCs w:val="20"/>
              </w:rPr>
            </w:pPr>
            <w:r>
              <w:rPr>
                <w:rFonts w:ascii="Arial"/>
                <w:sz w:val="20"/>
              </w:rPr>
              <w:t>1,500,000</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10" w:right="0" w:firstLine="88"/>
              <w:jc w:val="left"/>
              <w:rPr>
                <w:rFonts w:ascii="黑体" w:hAnsi="黑体" w:cs="黑体" w:eastAsia="黑体" w:hint="default"/>
                <w:sz w:val="20"/>
                <w:szCs w:val="20"/>
              </w:rPr>
            </w:pPr>
            <w:r>
              <w:rPr>
                <w:rFonts w:ascii="黑体" w:hAnsi="黑体" w:cs="黑体" w:eastAsia="黑体" w:hint="default"/>
                <w:sz w:val="20"/>
                <w:szCs w:val="20"/>
              </w:rPr>
              <w:t>坏账准备</w:t>
            </w:r>
          </w:p>
          <w:p>
            <w:pPr>
              <w:pStyle w:val="TableParagraph"/>
              <w:spacing w:line="240" w:lineRule="auto" w:before="1"/>
              <w:ind w:right="0"/>
              <w:jc w:val="left"/>
              <w:rPr>
                <w:rFonts w:ascii="黑体" w:hAnsi="黑体" w:cs="黑体" w:eastAsia="黑体" w:hint="default"/>
                <w:sz w:val="22"/>
                <w:szCs w:val="22"/>
              </w:rPr>
            </w:pPr>
          </w:p>
          <w:p>
            <w:pPr>
              <w:pStyle w:val="TableParagraph"/>
              <w:spacing w:line="240" w:lineRule="auto"/>
              <w:ind w:left="210" w:right="0"/>
              <w:jc w:val="left"/>
              <w:rPr>
                <w:rFonts w:ascii="Arial" w:hAnsi="Arial" w:cs="Arial" w:eastAsia="Arial" w:hint="default"/>
                <w:sz w:val="20"/>
                <w:szCs w:val="20"/>
              </w:rPr>
            </w:pPr>
            <w:r>
              <w:rPr>
                <w:rFonts w:ascii="Arial"/>
                <w:sz w:val="20"/>
              </w:rPr>
              <w:t>1,500,000</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2" w:right="0"/>
              <w:jc w:val="left"/>
              <w:rPr>
                <w:rFonts w:ascii="Arial" w:hAnsi="Arial" w:cs="Arial" w:eastAsia="Arial" w:hint="default"/>
                <w:sz w:val="20"/>
                <w:szCs w:val="20"/>
              </w:rPr>
            </w:pPr>
            <w:r>
              <w:rPr>
                <w:rFonts w:ascii="黑体" w:hAnsi="黑体" w:cs="黑体" w:eastAsia="黑体" w:hint="default"/>
                <w:sz w:val="20"/>
                <w:szCs w:val="20"/>
              </w:rPr>
              <w:t>计提比例</w:t>
            </w:r>
            <w:r>
              <w:rPr>
                <w:rFonts w:ascii="Arial" w:hAnsi="Arial" w:cs="Arial" w:eastAsia="Arial" w:hint="default"/>
                <w:sz w:val="20"/>
                <w:szCs w:val="20"/>
              </w:rPr>
              <w:t>(%)</w:t>
            </w:r>
          </w:p>
          <w:p>
            <w:pPr>
              <w:pStyle w:val="TableParagraph"/>
              <w:spacing w:line="240" w:lineRule="auto" w:before="12"/>
              <w:ind w:right="0"/>
              <w:jc w:val="left"/>
              <w:rPr>
                <w:rFonts w:ascii="黑体" w:hAnsi="黑体" w:cs="黑体" w:eastAsia="黑体" w:hint="default"/>
                <w:sz w:val="20"/>
                <w:szCs w:val="20"/>
              </w:rPr>
            </w:pPr>
          </w:p>
          <w:p>
            <w:pPr>
              <w:pStyle w:val="TableParagraph"/>
              <w:spacing w:line="240" w:lineRule="auto"/>
              <w:ind w:left="858" w:right="0"/>
              <w:jc w:val="left"/>
              <w:rPr>
                <w:rFonts w:ascii="Arial" w:hAnsi="Arial" w:cs="Arial" w:eastAsia="Arial" w:hint="default"/>
                <w:sz w:val="20"/>
                <w:szCs w:val="20"/>
              </w:rPr>
            </w:pPr>
            <w:r>
              <w:rPr>
                <w:rFonts w:ascii="Arial"/>
                <w:sz w:val="20"/>
              </w:rPr>
              <w:t>100</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0" w:right="0" w:firstLine="1200"/>
              <w:jc w:val="left"/>
              <w:rPr>
                <w:rFonts w:ascii="黑体" w:hAnsi="黑体" w:cs="黑体" w:eastAsia="黑体" w:hint="default"/>
                <w:sz w:val="20"/>
                <w:szCs w:val="20"/>
              </w:rPr>
            </w:pPr>
            <w:r>
              <w:rPr>
                <w:rFonts w:ascii="黑体" w:hAnsi="黑体" w:cs="黑体" w:eastAsia="黑体" w:hint="default"/>
                <w:sz w:val="20"/>
                <w:szCs w:val="20"/>
              </w:rPr>
              <w:t>理由</w:t>
            </w:r>
          </w:p>
          <w:p>
            <w:pPr>
              <w:pStyle w:val="TableParagraph"/>
              <w:spacing w:line="240" w:lineRule="auto" w:before="8"/>
              <w:ind w:right="0"/>
              <w:jc w:val="left"/>
              <w:rPr>
                <w:rFonts w:ascii="黑体" w:hAnsi="黑体" w:cs="黑体" w:eastAsia="黑体" w:hint="default"/>
                <w:sz w:val="17"/>
                <w:szCs w:val="17"/>
              </w:rPr>
            </w:pPr>
          </w:p>
          <w:p>
            <w:pPr>
              <w:pStyle w:val="TableParagraph"/>
              <w:spacing w:line="240" w:lineRule="auto"/>
              <w:ind w:left="120" w:right="0"/>
              <w:jc w:val="left"/>
              <w:rPr>
                <w:rFonts w:ascii="黑体" w:hAnsi="黑体" w:cs="黑体" w:eastAsia="黑体" w:hint="default"/>
                <w:sz w:val="20"/>
                <w:szCs w:val="20"/>
              </w:rPr>
            </w:pPr>
            <w:r>
              <w:rPr>
                <w:rFonts w:ascii="黑体" w:hAnsi="黑体" w:cs="黑体" w:eastAsia="黑体" w:hint="default"/>
                <w:sz w:val="20"/>
                <w:szCs w:val="20"/>
              </w:rPr>
              <w:t>已被吊销营业执照</w:t>
            </w:r>
          </w:p>
        </w:tc>
      </w:tr>
      <w:tr>
        <w:trPr>
          <w:trHeight w:val="256" w:hRule="exact"/>
        </w:trPr>
        <w:tc>
          <w:tcPr>
            <w:tcW w:w="1660" w:type="dxa"/>
            <w:tcBorders>
              <w:top w:val="nil" w:sz="6" w:space="0" w:color="auto"/>
              <w:left w:val="nil" w:sz="6" w:space="0" w:color="auto"/>
              <w:bottom w:val="nil" w:sz="6" w:space="0" w:color="auto"/>
              <w:right w:val="nil" w:sz="6" w:space="0" w:color="auto"/>
            </w:tcBorders>
          </w:tcPr>
          <w:p>
            <w:pPr>
              <w:pStyle w:val="TableParagraph"/>
              <w:spacing w:line="219" w:lineRule="exact"/>
              <w:ind w:left="35"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192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419,400</w:t>
            </w:r>
            <w:r>
              <w:rPr>
                <w:rFonts w:ascii="Arial"/>
                <w:sz w:val="20"/>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3" w:right="0"/>
              <w:jc w:val="center"/>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419,400</w:t>
            </w:r>
            <w:r>
              <w:rPr>
                <w:rFonts w:ascii="Arial"/>
                <w:sz w:val="20"/>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58" w:right="0"/>
              <w:jc w:val="left"/>
              <w:rPr>
                <w:rFonts w:ascii="Arial" w:hAnsi="Arial" w:cs="Arial" w:eastAsia="Arial" w:hint="default"/>
                <w:sz w:val="20"/>
                <w:szCs w:val="20"/>
              </w:rPr>
            </w:pPr>
            <w:r>
              <w:rPr>
                <w:rFonts w:ascii="Arial"/>
                <w:sz w:val="20"/>
              </w:rPr>
              <w:t>100</w:t>
            </w:r>
          </w:p>
        </w:tc>
        <w:tc>
          <w:tcPr>
            <w:tcW w:w="1758" w:type="dxa"/>
            <w:tcBorders>
              <w:top w:val="nil" w:sz="6" w:space="0" w:color="auto"/>
              <w:left w:val="nil" w:sz="6" w:space="0" w:color="auto"/>
              <w:bottom w:val="nil" w:sz="6" w:space="0" w:color="auto"/>
              <w:right w:val="nil" w:sz="6" w:space="0" w:color="auto"/>
            </w:tcBorders>
          </w:tcPr>
          <w:p>
            <w:pPr>
              <w:pStyle w:val="TableParagraph"/>
              <w:spacing w:line="219" w:lineRule="exact"/>
              <w:ind w:left="521" w:right="0"/>
              <w:jc w:val="left"/>
              <w:rPr>
                <w:rFonts w:ascii="黑体" w:hAnsi="黑体" w:cs="黑体" w:eastAsia="黑体" w:hint="default"/>
                <w:sz w:val="20"/>
                <w:szCs w:val="20"/>
              </w:rPr>
            </w:pPr>
            <w:r>
              <w:rPr>
                <w:rFonts w:ascii="黑体" w:hAnsi="黑体" w:cs="黑体" w:eastAsia="黑体" w:hint="default"/>
                <w:sz w:val="20"/>
                <w:szCs w:val="20"/>
              </w:rPr>
              <w:t>收回可能性小</w:t>
            </w:r>
          </w:p>
        </w:tc>
      </w:tr>
      <w:tr>
        <w:trPr>
          <w:trHeight w:val="315" w:hRule="exact"/>
        </w:trPr>
        <w:tc>
          <w:tcPr>
            <w:tcW w:w="1660" w:type="dxa"/>
            <w:tcBorders>
              <w:top w:val="nil" w:sz="6" w:space="0" w:color="auto"/>
              <w:left w:val="nil" w:sz="6" w:space="0" w:color="auto"/>
              <w:bottom w:val="nil" w:sz="6" w:space="0" w:color="auto"/>
              <w:right w:val="nil" w:sz="6" w:space="0" w:color="auto"/>
            </w:tcBorders>
          </w:tcPr>
          <w:p>
            <w:pPr/>
          </w:p>
        </w:tc>
        <w:tc>
          <w:tcPr>
            <w:tcW w:w="1924" w:type="dxa"/>
            <w:tcBorders>
              <w:top w:val="nil" w:sz="6" w:space="0" w:color="auto"/>
              <w:left w:val="nil" w:sz="6" w:space="0" w:color="auto"/>
              <w:bottom w:val="nil" w:sz="6" w:space="0" w:color="auto"/>
              <w:right w:val="nil" w:sz="6" w:space="0" w:color="auto"/>
            </w:tcBorders>
          </w:tcPr>
          <w:p>
            <w:pPr>
              <w:pStyle w:val="TableParagraph"/>
              <w:spacing w:line="220" w:lineRule="exact"/>
              <w:ind w:right="174"/>
              <w:jc w:val="right"/>
              <w:rPr>
                <w:rFonts w:ascii="Arial" w:hAnsi="Arial" w:cs="Arial" w:eastAsia="Arial" w:hint="default"/>
                <w:sz w:val="20"/>
                <w:szCs w:val="20"/>
              </w:rPr>
            </w:pPr>
            <w:r>
              <w:rPr>
                <w:rFonts w:ascii="Arial"/>
                <w:w w:val="100"/>
                <w:sz w:val="20"/>
              </w:rPr>
            </w:r>
            <w:r>
              <w:rPr>
                <w:rFonts w:ascii="Arial"/>
                <w:spacing w:val="-1"/>
                <w:sz w:val="20"/>
                <w:u w:val="thick" w:color="000000"/>
              </w:rPr>
              <w:t>1,919,400</w:t>
            </w:r>
            <w:r>
              <w:rPr>
                <w:rFonts w:ascii="Arial"/>
                <w:spacing w:val="-1"/>
                <w:sz w:val="20"/>
              </w:rPr>
            </w:r>
          </w:p>
        </w:tc>
        <w:tc>
          <w:tcPr>
            <w:tcW w:w="1183" w:type="dxa"/>
            <w:tcBorders>
              <w:top w:val="nil" w:sz="6" w:space="0" w:color="auto"/>
              <w:left w:val="nil" w:sz="6" w:space="0" w:color="auto"/>
              <w:bottom w:val="nil" w:sz="6" w:space="0" w:color="auto"/>
              <w:right w:val="nil" w:sz="6" w:space="0" w:color="auto"/>
            </w:tcBorders>
          </w:tcPr>
          <w:p>
            <w:pPr>
              <w:pStyle w:val="TableParagraph"/>
              <w:spacing w:line="220" w:lineRule="exact"/>
              <w:ind w:left="127" w:right="0"/>
              <w:jc w:val="center"/>
              <w:rPr>
                <w:rFonts w:ascii="Arial" w:hAnsi="Arial" w:cs="Arial" w:eastAsia="Arial" w:hint="default"/>
                <w:sz w:val="20"/>
                <w:szCs w:val="20"/>
              </w:rPr>
            </w:pPr>
            <w:r>
              <w:rPr>
                <w:rFonts w:ascii="Arial"/>
                <w:w w:val="100"/>
                <w:sz w:val="20"/>
              </w:rPr>
            </w:r>
            <w:r>
              <w:rPr>
                <w:rFonts w:ascii="Arial"/>
                <w:sz w:val="20"/>
                <w:u w:val="thick" w:color="000000"/>
              </w:rPr>
              <w:t>1,919,400</w:t>
            </w:r>
            <w:r>
              <w:rPr>
                <w:rFonts w:ascii="Arial"/>
                <w:sz w:val="20"/>
              </w:rPr>
            </w:r>
          </w:p>
        </w:tc>
        <w:tc>
          <w:tcPr>
            <w:tcW w:w="1315" w:type="dxa"/>
            <w:tcBorders>
              <w:top w:val="nil" w:sz="6" w:space="0" w:color="auto"/>
              <w:left w:val="nil" w:sz="6" w:space="0" w:color="auto"/>
              <w:bottom w:val="nil" w:sz="6" w:space="0" w:color="auto"/>
              <w:right w:val="nil" w:sz="6" w:space="0" w:color="auto"/>
            </w:tcBorders>
          </w:tcPr>
          <w:p>
            <w:pPr/>
          </w:p>
        </w:tc>
        <w:tc>
          <w:tcPr>
            <w:tcW w:w="1758"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黑体" w:hAnsi="黑体" w:cs="黑体" w:eastAsia="黑体" w:hint="default"/>
          <w:sz w:val="6"/>
          <w:szCs w:val="6"/>
        </w:rPr>
      </w:pPr>
    </w:p>
    <w:p>
      <w:pPr>
        <w:pStyle w:val="BodyText"/>
        <w:spacing w:line="261" w:lineRule="auto" w:before="38"/>
        <w:ind w:right="112"/>
        <w:jc w:val="left"/>
      </w:pPr>
      <w:r>
        <w:rPr>
          <w:spacing w:val="2"/>
        </w:rPr>
        <w:t>单项金额不重大但按信用风险特征组合后该组合的风险较大的应收账款如下</w:t>
      </w:r>
      <w:r>
        <w:rPr>
          <w:rFonts w:ascii="Arial" w:hAnsi="Arial" w:cs="Arial" w:eastAsia="Arial" w:hint="default"/>
          <w:spacing w:val="2"/>
        </w:rPr>
        <w:t>(</w:t>
      </w:r>
      <w:r>
        <w:rPr>
          <w:spacing w:val="2"/>
        </w:rPr>
        <w:t>仅适用于信</w:t>
      </w:r>
      <w:r>
        <w:rPr>
          <w:spacing w:val="-72"/>
        </w:rPr>
        <w:t> </w:t>
      </w:r>
      <w:r>
        <w:rPr>
          <w:spacing w:val="-72"/>
        </w:rPr>
      </w:r>
      <w:r>
        <w:rPr/>
        <w:t>用风险特征组合确定为账龄的情况</w:t>
      </w:r>
      <w:r>
        <w:rPr>
          <w:rFonts w:ascii="Arial" w:hAnsi="Arial" w:cs="Arial" w:eastAsia="Arial" w:hint="default"/>
        </w:rPr>
        <w:t>)</w:t>
      </w:r>
      <w:r>
        <w:rPr/>
        <w:t>：</w:t>
      </w:r>
    </w:p>
    <w:p>
      <w:pPr>
        <w:spacing w:line="240" w:lineRule="auto" w:before="12"/>
        <w:rPr>
          <w:rFonts w:ascii="黑体" w:hAnsi="黑体" w:cs="黑体" w:eastAsia="黑体" w:hint="default"/>
          <w:sz w:val="22"/>
          <w:szCs w:val="22"/>
        </w:rPr>
      </w:pPr>
    </w:p>
    <w:p>
      <w:pPr>
        <w:tabs>
          <w:tab w:pos="3147" w:val="left" w:leader="none"/>
          <w:tab w:pos="4411" w:val="left" w:leader="none"/>
          <w:tab w:pos="5125" w:val="left" w:leader="none"/>
          <w:tab w:pos="5407" w:val="left" w:leader="none"/>
          <w:tab w:pos="6098" w:val="left" w:leader="none"/>
          <w:tab w:pos="6708" w:val="left" w:leader="none"/>
          <w:tab w:pos="7886" w:val="left" w:leader="none"/>
          <w:tab w:pos="8589" w:val="left" w:leader="none"/>
        </w:tabs>
        <w:spacing w:before="0"/>
        <w:ind w:left="2590" w:right="175" w:hanging="831"/>
        <w:jc w:val="left"/>
        <w:rPr>
          <w:rFonts w:ascii="黑体" w:hAnsi="黑体" w:cs="黑体" w:eastAsia="黑体" w:hint="default"/>
          <w:sz w:val="18"/>
          <w:szCs w:val="18"/>
        </w:rPr>
      </w:pPr>
      <w:r>
        <w:rPr>
          <w:rFonts w:ascii="Arial" w:hAnsi="Arial" w:cs="Arial" w:eastAsia="Arial" w:hint="default"/>
          <w:w w:val="100"/>
          <w:sz w:val="18"/>
          <w:szCs w:val="18"/>
        </w:rPr>
      </w:r>
      <w:r>
        <w:rPr>
          <w:rFonts w:ascii="Arial" w:hAnsi="Arial" w:cs="Arial" w:eastAsia="Arial" w:hint="default"/>
          <w:w w:val="100"/>
          <w:sz w:val="18"/>
          <w:szCs w:val="18"/>
          <w:u w:val="single" w:color="000000"/>
        </w:rPr>
        <w:t> </w:t>
      </w:r>
      <w:r>
        <w:rPr>
          <w:rFonts w:ascii="Arial" w:hAnsi="Arial" w:cs="Arial" w:eastAsia="Arial" w:hint="default"/>
          <w:sz w:val="18"/>
          <w:szCs w:val="18"/>
          <w:u w:val="single" w:color="000000"/>
        </w:rPr>
        <w:tab/>
        <w:tab/>
        <w:t>2009</w:t>
      </w:r>
      <w:r>
        <w:rPr>
          <w:rFonts w:ascii="Arial" w:hAnsi="Arial" w:cs="Arial" w:eastAsia="Arial" w:hint="default"/>
          <w:spacing w:val="-10"/>
          <w:sz w:val="18"/>
          <w:szCs w:val="18"/>
          <w:u w:val="single" w:color="000000"/>
        </w:rPr>
        <w:t> </w:t>
      </w:r>
      <w:r>
        <w:rPr>
          <w:rFonts w:ascii="黑体" w:hAnsi="黑体" w:cs="黑体" w:eastAsia="黑体" w:hint="default"/>
          <w:sz w:val="18"/>
          <w:szCs w:val="18"/>
          <w:u w:val="single" w:color="000000"/>
        </w:rPr>
        <w:t>年</w:t>
        <w:tab/>
        <w:tab/>
      </w:r>
      <w:r>
        <w:rPr>
          <w:rFonts w:ascii="黑体" w:hAnsi="黑体" w:cs="黑体" w:eastAsia="黑体" w:hint="default"/>
          <w:sz w:val="18"/>
          <w:szCs w:val="18"/>
        </w:rPr>
        <w:tab/>
      </w:r>
      <w:r>
        <w:rPr>
          <w:rFonts w:ascii="Arial" w:hAnsi="Arial" w:cs="Arial" w:eastAsia="Arial" w:hint="default"/>
          <w:sz w:val="18"/>
          <w:szCs w:val="18"/>
        </w:rPr>
      </w:r>
      <w:r>
        <w:rPr>
          <w:rFonts w:ascii="Arial" w:hAnsi="Arial" w:cs="Arial" w:eastAsia="Arial" w:hint="default"/>
          <w:sz w:val="18"/>
          <w:szCs w:val="18"/>
          <w:u w:val="single" w:color="000000"/>
        </w:rPr>
        <w:t> </w:t>
        <w:tab/>
        <w:tab/>
        <w:t>2008</w:t>
      </w:r>
      <w:r>
        <w:rPr>
          <w:rFonts w:ascii="Arial" w:hAnsi="Arial" w:cs="Arial" w:eastAsia="Arial" w:hint="default"/>
          <w:spacing w:val="-10"/>
          <w:sz w:val="18"/>
          <w:szCs w:val="18"/>
          <w:u w:val="single" w:color="000000"/>
        </w:rPr>
        <w:t> </w:t>
      </w:r>
      <w:r>
        <w:rPr>
          <w:rFonts w:ascii="黑体" w:hAnsi="黑体" w:cs="黑体" w:eastAsia="黑体" w:hint="default"/>
          <w:sz w:val="18"/>
          <w:szCs w:val="18"/>
          <w:u w:val="single" w:color="000000"/>
        </w:rPr>
        <w:t>年</w:t>
        <w:tab/>
        <w:tab/>
      </w:r>
      <w:r>
        <w:rPr>
          <w:rFonts w:ascii="黑体" w:hAnsi="黑体" w:cs="黑体" w:eastAsia="黑体" w:hint="default"/>
          <w:w w:val="11"/>
          <w:sz w:val="18"/>
          <w:szCs w:val="18"/>
          <w:u w:val="single" w:color="000000"/>
        </w:rPr>
        <w:t> </w:t>
      </w:r>
      <w:r>
        <w:rPr>
          <w:rFonts w:ascii="黑体" w:hAnsi="黑体" w:cs="黑体" w:eastAsia="黑体" w:hint="default"/>
          <w:sz w:val="18"/>
          <w:szCs w:val="18"/>
          <w:u w:val="single" w:color="000000"/>
        </w:rPr>
      </w:r>
      <w:r>
        <w:rPr>
          <w:rFonts w:ascii="黑体" w:hAnsi="黑体" w:cs="黑体" w:eastAsia="黑体" w:hint="default"/>
          <w:sz w:val="18"/>
          <w:szCs w:val="18"/>
        </w:rPr>
      </w:r>
      <w:r>
        <w:rPr>
          <w:rFonts w:ascii="黑体" w:hAnsi="黑体" w:cs="黑体" w:eastAsia="黑体" w:hint="default"/>
          <w:sz w:val="18"/>
          <w:szCs w:val="18"/>
        </w:rPr>
        <w:t> 账面余额</w:t>
        <w:tab/>
        <w:t>坏账准备</w:t>
        <w:tab/>
        <w:tab/>
        <w:t>账面余额</w:t>
        <w:tab/>
        <w:t>坏账准备</w:t>
      </w:r>
    </w:p>
    <w:p>
      <w:pPr>
        <w:spacing w:line="240" w:lineRule="auto" w:before="1"/>
        <w:rPr>
          <w:rFonts w:ascii="黑体" w:hAnsi="黑体" w:cs="黑体" w:eastAsia="黑体" w:hint="default"/>
          <w:sz w:val="3"/>
          <w:szCs w:val="3"/>
        </w:rPr>
      </w:pPr>
    </w:p>
    <w:tbl>
      <w:tblPr>
        <w:tblW w:w="0" w:type="auto"/>
        <w:jc w:val="left"/>
        <w:tblInd w:w="796" w:type="dxa"/>
        <w:tblLayout w:type="fixed"/>
        <w:tblCellMar>
          <w:top w:w="0" w:type="dxa"/>
          <w:left w:w="0" w:type="dxa"/>
          <w:bottom w:w="0" w:type="dxa"/>
          <w:right w:w="0" w:type="dxa"/>
        </w:tblCellMar>
        <w:tblLook w:val="01E0"/>
      </w:tblPr>
      <w:tblGrid>
        <w:gridCol w:w="894"/>
        <w:gridCol w:w="1163"/>
        <w:gridCol w:w="646"/>
        <w:gridCol w:w="1177"/>
        <w:gridCol w:w="624"/>
        <w:gridCol w:w="1062"/>
        <w:gridCol w:w="608"/>
        <w:gridCol w:w="1114"/>
        <w:gridCol w:w="558"/>
      </w:tblGrid>
      <w:tr>
        <w:trPr>
          <w:trHeight w:val="710" w:hRule="exact"/>
        </w:trPr>
        <w:tc>
          <w:tcPr>
            <w:tcW w:w="894" w:type="dxa"/>
            <w:tcBorders>
              <w:top w:val="nil" w:sz="6" w:space="0" w:color="auto"/>
              <w:left w:val="nil" w:sz="6" w:space="0" w:color="auto"/>
              <w:bottom w:val="nil" w:sz="6" w:space="0" w:color="auto"/>
              <w:right w:val="nil" w:sz="6" w:space="0" w:color="auto"/>
            </w:tcBorders>
          </w:tcPr>
          <w:p>
            <w:pPr/>
          </w:p>
        </w:tc>
        <w:tc>
          <w:tcPr>
            <w:tcW w:w="1163" w:type="dxa"/>
            <w:tcBorders>
              <w:top w:val="nil" w:sz="6" w:space="0" w:color="auto"/>
              <w:left w:val="nil" w:sz="6" w:space="0" w:color="auto"/>
              <w:bottom w:val="nil" w:sz="6" w:space="0" w:color="auto"/>
              <w:right w:val="nil" w:sz="6" w:space="0" w:color="auto"/>
            </w:tcBorders>
          </w:tcPr>
          <w:p>
            <w:pPr>
              <w:pStyle w:val="TableParagraph"/>
              <w:spacing w:line="200" w:lineRule="exact"/>
              <w:ind w:right="96"/>
              <w:jc w:val="right"/>
              <w:rPr>
                <w:rFonts w:ascii="黑体" w:hAnsi="黑体" w:cs="黑体" w:eastAsia="黑体" w:hint="default"/>
                <w:sz w:val="18"/>
                <w:szCs w:val="18"/>
              </w:rPr>
            </w:pPr>
            <w:r>
              <w:rPr>
                <w:rFonts w:ascii="黑体" w:hAnsi="黑体" w:cs="黑体" w:eastAsia="黑体" w:hint="default"/>
                <w:sz w:val="18"/>
                <w:szCs w:val="18"/>
              </w:rPr>
              <w:t>金额</w:t>
            </w:r>
          </w:p>
        </w:tc>
        <w:tc>
          <w:tcPr>
            <w:tcW w:w="646" w:type="dxa"/>
            <w:tcBorders>
              <w:top w:val="nil" w:sz="6" w:space="0" w:color="auto"/>
              <w:left w:val="nil" w:sz="6" w:space="0" w:color="auto"/>
              <w:bottom w:val="nil" w:sz="6" w:space="0" w:color="auto"/>
              <w:right w:val="nil" w:sz="6" w:space="0" w:color="auto"/>
            </w:tcBorders>
          </w:tcPr>
          <w:p>
            <w:pPr>
              <w:pStyle w:val="TableParagraph"/>
              <w:spacing w:line="200" w:lineRule="exact"/>
              <w:ind w:left="178" w:right="0" w:hanging="81"/>
              <w:jc w:val="left"/>
              <w:rPr>
                <w:rFonts w:ascii="黑体" w:hAnsi="黑体" w:cs="黑体" w:eastAsia="黑体" w:hint="default"/>
                <w:sz w:val="18"/>
                <w:szCs w:val="18"/>
              </w:rPr>
            </w:pPr>
            <w:r>
              <w:rPr>
                <w:rFonts w:ascii="黑体" w:hAnsi="黑体" w:cs="黑体" w:eastAsia="黑体" w:hint="default"/>
                <w:sz w:val="18"/>
                <w:szCs w:val="18"/>
              </w:rPr>
              <w:t>比例</w:t>
            </w:r>
          </w:p>
          <w:p>
            <w:pPr>
              <w:pStyle w:val="TableParagraph"/>
              <w:spacing w:line="240" w:lineRule="auto" w:before="45"/>
              <w:ind w:left="178" w:right="0"/>
              <w:jc w:val="left"/>
              <w:rPr>
                <w:rFonts w:ascii="Arial" w:hAnsi="Arial" w:cs="Arial" w:eastAsia="Arial" w:hint="default"/>
                <w:sz w:val="18"/>
                <w:szCs w:val="18"/>
              </w:rPr>
            </w:pPr>
            <w:r>
              <w:rPr>
                <w:rFonts w:ascii="Arial"/>
                <w:sz w:val="18"/>
              </w:rPr>
              <w:t>(%)</w:t>
            </w:r>
          </w:p>
        </w:tc>
        <w:tc>
          <w:tcPr>
            <w:tcW w:w="1177" w:type="dxa"/>
            <w:tcBorders>
              <w:top w:val="nil" w:sz="6" w:space="0" w:color="auto"/>
              <w:left w:val="nil" w:sz="6" w:space="0" w:color="auto"/>
              <w:bottom w:val="nil" w:sz="6" w:space="0" w:color="auto"/>
              <w:right w:val="nil" w:sz="6" w:space="0" w:color="auto"/>
            </w:tcBorders>
          </w:tcPr>
          <w:p>
            <w:pPr>
              <w:pStyle w:val="TableParagraph"/>
              <w:spacing w:line="200" w:lineRule="exact"/>
              <w:ind w:right="96"/>
              <w:jc w:val="right"/>
              <w:rPr>
                <w:rFonts w:ascii="黑体" w:hAnsi="黑体" w:cs="黑体" w:eastAsia="黑体" w:hint="default"/>
                <w:sz w:val="18"/>
                <w:szCs w:val="18"/>
              </w:rPr>
            </w:pPr>
            <w:r>
              <w:rPr>
                <w:rFonts w:ascii="黑体" w:hAnsi="黑体" w:cs="黑体" w:eastAsia="黑体" w:hint="default"/>
                <w:sz w:val="18"/>
                <w:szCs w:val="18"/>
              </w:rPr>
              <w:t>金额</w:t>
            </w:r>
          </w:p>
        </w:tc>
        <w:tc>
          <w:tcPr>
            <w:tcW w:w="624" w:type="dxa"/>
            <w:tcBorders>
              <w:top w:val="nil" w:sz="6" w:space="0" w:color="auto"/>
              <w:left w:val="nil" w:sz="6" w:space="0" w:color="auto"/>
              <w:bottom w:val="nil" w:sz="6" w:space="0" w:color="auto"/>
              <w:right w:val="nil" w:sz="6" w:space="0" w:color="auto"/>
            </w:tcBorders>
          </w:tcPr>
          <w:p>
            <w:pPr>
              <w:pStyle w:val="TableParagraph"/>
              <w:spacing w:line="200" w:lineRule="exact"/>
              <w:ind w:left="98" w:right="0"/>
              <w:jc w:val="left"/>
              <w:rPr>
                <w:rFonts w:ascii="黑体" w:hAnsi="黑体" w:cs="黑体" w:eastAsia="黑体" w:hint="default"/>
                <w:sz w:val="18"/>
                <w:szCs w:val="18"/>
              </w:rPr>
            </w:pPr>
            <w:r>
              <w:rPr>
                <w:rFonts w:ascii="黑体" w:hAnsi="黑体" w:cs="黑体" w:eastAsia="黑体" w:hint="default"/>
                <w:sz w:val="18"/>
                <w:szCs w:val="18"/>
              </w:rPr>
              <w:t>计提</w:t>
            </w:r>
          </w:p>
          <w:p>
            <w:pPr>
              <w:pStyle w:val="TableParagraph"/>
              <w:spacing w:line="240" w:lineRule="auto" w:before="4"/>
              <w:ind w:left="98" w:right="0"/>
              <w:jc w:val="left"/>
              <w:rPr>
                <w:rFonts w:ascii="黑体" w:hAnsi="黑体" w:cs="黑体" w:eastAsia="黑体" w:hint="default"/>
                <w:sz w:val="18"/>
                <w:szCs w:val="18"/>
              </w:rPr>
            </w:pPr>
            <w:r>
              <w:rPr>
                <w:rFonts w:ascii="黑体" w:hAnsi="黑体" w:cs="黑体" w:eastAsia="黑体" w:hint="default"/>
                <w:sz w:val="18"/>
                <w:szCs w:val="18"/>
              </w:rPr>
              <w:t>比例</w:t>
            </w:r>
          </w:p>
          <w:p>
            <w:pPr>
              <w:pStyle w:val="TableParagraph"/>
              <w:spacing w:line="240" w:lineRule="auto" w:before="45"/>
              <w:ind w:left="178" w:right="0"/>
              <w:jc w:val="left"/>
              <w:rPr>
                <w:rFonts w:ascii="Arial" w:hAnsi="Arial" w:cs="Arial" w:eastAsia="Arial" w:hint="default"/>
                <w:sz w:val="18"/>
                <w:szCs w:val="18"/>
              </w:rPr>
            </w:pPr>
            <w:r>
              <w:rPr>
                <w:rFonts w:ascii="Arial"/>
                <w:sz w:val="18"/>
              </w:rPr>
              <w:t>(%)</w:t>
            </w:r>
          </w:p>
        </w:tc>
        <w:tc>
          <w:tcPr>
            <w:tcW w:w="1062" w:type="dxa"/>
            <w:tcBorders>
              <w:top w:val="nil" w:sz="6" w:space="0" w:color="auto"/>
              <w:left w:val="nil" w:sz="6" w:space="0" w:color="auto"/>
              <w:bottom w:val="nil" w:sz="6" w:space="0" w:color="auto"/>
              <w:right w:val="nil" w:sz="6" w:space="0" w:color="auto"/>
            </w:tcBorders>
          </w:tcPr>
          <w:p>
            <w:pPr>
              <w:pStyle w:val="TableParagraph"/>
              <w:spacing w:line="200" w:lineRule="exact"/>
              <w:ind w:right="95"/>
              <w:jc w:val="right"/>
              <w:rPr>
                <w:rFonts w:ascii="黑体" w:hAnsi="黑体" w:cs="黑体" w:eastAsia="黑体" w:hint="default"/>
                <w:sz w:val="18"/>
                <w:szCs w:val="18"/>
              </w:rPr>
            </w:pPr>
            <w:r>
              <w:rPr>
                <w:rFonts w:ascii="黑体" w:hAnsi="黑体" w:cs="黑体" w:eastAsia="黑体" w:hint="default"/>
                <w:sz w:val="18"/>
                <w:szCs w:val="18"/>
              </w:rPr>
              <w:t>金额</w:t>
            </w:r>
          </w:p>
        </w:tc>
        <w:tc>
          <w:tcPr>
            <w:tcW w:w="608" w:type="dxa"/>
            <w:tcBorders>
              <w:top w:val="nil" w:sz="6" w:space="0" w:color="auto"/>
              <w:left w:val="nil" w:sz="6" w:space="0" w:color="auto"/>
              <w:bottom w:val="nil" w:sz="6" w:space="0" w:color="auto"/>
              <w:right w:val="nil" w:sz="6" w:space="0" w:color="auto"/>
            </w:tcBorders>
          </w:tcPr>
          <w:p>
            <w:pPr>
              <w:pStyle w:val="TableParagraph"/>
              <w:spacing w:line="200" w:lineRule="exact"/>
              <w:ind w:left="177" w:right="0" w:hanging="81"/>
              <w:jc w:val="left"/>
              <w:rPr>
                <w:rFonts w:ascii="黑体" w:hAnsi="黑体" w:cs="黑体" w:eastAsia="黑体" w:hint="default"/>
                <w:sz w:val="18"/>
                <w:szCs w:val="18"/>
              </w:rPr>
            </w:pPr>
            <w:r>
              <w:rPr>
                <w:rFonts w:ascii="黑体" w:hAnsi="黑体" w:cs="黑体" w:eastAsia="黑体" w:hint="default"/>
                <w:sz w:val="18"/>
                <w:szCs w:val="18"/>
              </w:rPr>
              <w:t>比例</w:t>
            </w:r>
          </w:p>
          <w:p>
            <w:pPr>
              <w:pStyle w:val="TableParagraph"/>
              <w:spacing w:line="240" w:lineRule="auto" w:before="45"/>
              <w:ind w:left="177" w:right="0"/>
              <w:jc w:val="left"/>
              <w:rPr>
                <w:rFonts w:ascii="Arial" w:hAnsi="Arial" w:cs="Arial" w:eastAsia="Arial" w:hint="default"/>
                <w:sz w:val="18"/>
                <w:szCs w:val="18"/>
              </w:rPr>
            </w:pPr>
            <w:r>
              <w:rPr>
                <w:rFonts w:ascii="Arial"/>
                <w:sz w:val="18"/>
              </w:rPr>
              <w:t>(%)</w:t>
            </w:r>
          </w:p>
        </w:tc>
        <w:tc>
          <w:tcPr>
            <w:tcW w:w="1114" w:type="dxa"/>
            <w:tcBorders>
              <w:top w:val="nil" w:sz="6" w:space="0" w:color="auto"/>
              <w:left w:val="nil" w:sz="6" w:space="0" w:color="auto"/>
              <w:bottom w:val="nil" w:sz="6" w:space="0" w:color="auto"/>
              <w:right w:val="nil" w:sz="6" w:space="0" w:color="auto"/>
            </w:tcBorders>
          </w:tcPr>
          <w:p>
            <w:pPr>
              <w:pStyle w:val="TableParagraph"/>
              <w:spacing w:line="200" w:lineRule="exact"/>
              <w:ind w:right="161"/>
              <w:jc w:val="right"/>
              <w:rPr>
                <w:rFonts w:ascii="黑体" w:hAnsi="黑体" w:cs="黑体" w:eastAsia="黑体" w:hint="default"/>
                <w:sz w:val="18"/>
                <w:szCs w:val="18"/>
              </w:rPr>
            </w:pPr>
            <w:r>
              <w:rPr>
                <w:rFonts w:ascii="黑体" w:hAnsi="黑体" w:cs="黑体" w:eastAsia="黑体" w:hint="default"/>
                <w:sz w:val="18"/>
                <w:szCs w:val="18"/>
              </w:rPr>
              <w:t>金额</w:t>
            </w:r>
          </w:p>
        </w:tc>
        <w:tc>
          <w:tcPr>
            <w:tcW w:w="558" w:type="dxa"/>
            <w:tcBorders>
              <w:top w:val="nil" w:sz="6" w:space="0" w:color="auto"/>
              <w:left w:val="nil" w:sz="6" w:space="0" w:color="auto"/>
              <w:bottom w:val="nil" w:sz="6" w:space="0" w:color="auto"/>
              <w:right w:val="nil" w:sz="6" w:space="0" w:color="auto"/>
            </w:tcBorders>
          </w:tcPr>
          <w:p>
            <w:pPr>
              <w:pStyle w:val="TableParagraph"/>
              <w:spacing w:line="200" w:lineRule="exact"/>
              <w:ind w:left="163" w:right="0" w:hanging="1"/>
              <w:jc w:val="left"/>
              <w:rPr>
                <w:rFonts w:ascii="黑体" w:hAnsi="黑体" w:cs="黑体" w:eastAsia="黑体" w:hint="default"/>
                <w:sz w:val="18"/>
                <w:szCs w:val="18"/>
              </w:rPr>
            </w:pPr>
            <w:r>
              <w:rPr>
                <w:rFonts w:ascii="黑体" w:hAnsi="黑体" w:cs="黑体" w:eastAsia="黑体" w:hint="default"/>
                <w:sz w:val="18"/>
                <w:szCs w:val="18"/>
              </w:rPr>
              <w:t>计提</w:t>
            </w:r>
          </w:p>
          <w:p>
            <w:pPr>
              <w:pStyle w:val="TableParagraph"/>
              <w:spacing w:line="240" w:lineRule="auto" w:before="4"/>
              <w:ind w:left="163" w:right="0"/>
              <w:jc w:val="left"/>
              <w:rPr>
                <w:rFonts w:ascii="黑体" w:hAnsi="黑体" w:cs="黑体" w:eastAsia="黑体" w:hint="default"/>
                <w:sz w:val="18"/>
                <w:szCs w:val="18"/>
              </w:rPr>
            </w:pPr>
            <w:r>
              <w:rPr>
                <w:rFonts w:ascii="黑体" w:hAnsi="黑体" w:cs="黑体" w:eastAsia="黑体" w:hint="default"/>
                <w:sz w:val="18"/>
                <w:szCs w:val="18"/>
              </w:rPr>
              <w:t>比例</w:t>
            </w:r>
          </w:p>
          <w:p>
            <w:pPr>
              <w:pStyle w:val="TableParagraph"/>
              <w:spacing w:line="240" w:lineRule="auto" w:before="45"/>
              <w:ind w:left="243" w:right="0"/>
              <w:jc w:val="left"/>
              <w:rPr>
                <w:rFonts w:ascii="Arial" w:hAnsi="Arial" w:cs="Arial" w:eastAsia="Arial" w:hint="default"/>
                <w:sz w:val="18"/>
                <w:szCs w:val="18"/>
              </w:rPr>
            </w:pPr>
            <w:r>
              <w:rPr>
                <w:rFonts w:ascii="Arial"/>
                <w:sz w:val="18"/>
              </w:rPr>
              <w:t>(%)</w:t>
            </w:r>
          </w:p>
        </w:tc>
      </w:tr>
      <w:tr>
        <w:trPr>
          <w:trHeight w:val="242" w:hRule="exact"/>
        </w:trPr>
        <w:tc>
          <w:tcPr>
            <w:tcW w:w="894" w:type="dxa"/>
            <w:tcBorders>
              <w:top w:val="nil" w:sz="6" w:space="0" w:color="auto"/>
              <w:left w:val="nil" w:sz="6" w:space="0" w:color="auto"/>
              <w:bottom w:val="nil" w:sz="6" w:space="0" w:color="auto"/>
              <w:right w:val="nil" w:sz="6" w:space="0" w:color="auto"/>
            </w:tcBorders>
          </w:tcPr>
          <w:p>
            <w:pPr>
              <w:pStyle w:val="TableParagraph"/>
              <w:spacing w:line="222" w:lineRule="exact"/>
              <w:ind w:left="35" w:right="0"/>
              <w:jc w:val="left"/>
              <w:rPr>
                <w:rFonts w:ascii="黑体" w:hAnsi="黑体" w:cs="黑体" w:eastAsia="黑体" w:hint="default"/>
                <w:sz w:val="18"/>
                <w:szCs w:val="18"/>
              </w:rPr>
            </w:pPr>
            <w:r>
              <w:rPr>
                <w:rFonts w:ascii="Arial" w:hAnsi="Arial" w:cs="Arial" w:eastAsia="Arial" w:hint="default"/>
                <w:sz w:val="18"/>
                <w:szCs w:val="18"/>
              </w:rPr>
              <w:t>1-2</w:t>
            </w:r>
            <w:r>
              <w:rPr>
                <w:rFonts w:ascii="Arial" w:hAnsi="Arial" w:cs="Arial" w:eastAsia="Arial" w:hint="default"/>
                <w:spacing w:val="-9"/>
                <w:sz w:val="18"/>
                <w:szCs w:val="18"/>
              </w:rPr>
              <w:t> </w:t>
            </w:r>
            <w:r>
              <w:rPr>
                <w:rFonts w:ascii="黑体" w:hAnsi="黑体" w:cs="黑体" w:eastAsia="黑体" w:hint="default"/>
                <w:sz w:val="18"/>
                <w:szCs w:val="18"/>
              </w:rPr>
              <w:t>年</w:t>
            </w:r>
          </w:p>
        </w:tc>
        <w:tc>
          <w:tcPr>
            <w:tcW w:w="1163" w:type="dxa"/>
            <w:tcBorders>
              <w:top w:val="nil" w:sz="6" w:space="0" w:color="auto"/>
              <w:left w:val="nil" w:sz="6" w:space="0" w:color="auto"/>
              <w:bottom w:val="nil" w:sz="6" w:space="0" w:color="auto"/>
              <w:right w:val="nil" w:sz="6" w:space="0" w:color="auto"/>
            </w:tcBorders>
          </w:tcPr>
          <w:p>
            <w:pPr>
              <w:pStyle w:val="TableParagraph"/>
              <w:spacing w:line="227" w:lineRule="exact"/>
              <w:ind w:right="96"/>
              <w:jc w:val="right"/>
              <w:rPr>
                <w:rFonts w:ascii="Arial" w:hAnsi="Arial" w:cs="Arial" w:eastAsia="Arial" w:hint="default"/>
                <w:sz w:val="20"/>
                <w:szCs w:val="20"/>
              </w:rPr>
            </w:pPr>
            <w:r>
              <w:rPr>
                <w:rFonts w:ascii="Arial"/>
                <w:spacing w:val="-1"/>
                <w:sz w:val="20"/>
              </w:rPr>
              <w:t>3,259,837</w:t>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5"/>
              <w:jc w:val="right"/>
              <w:rPr>
                <w:rFonts w:ascii="Arial" w:hAnsi="Arial" w:cs="Arial" w:eastAsia="Arial" w:hint="default"/>
                <w:sz w:val="18"/>
                <w:szCs w:val="18"/>
              </w:rPr>
            </w:pPr>
            <w:r>
              <w:rPr>
                <w:rFonts w:ascii="Arial"/>
                <w:spacing w:val="-1"/>
                <w:w w:val="95"/>
                <w:sz w:val="18"/>
              </w:rPr>
              <w:t>42</w:t>
            </w:r>
            <w:r>
              <w:rPr>
                <w:rFonts w:ascii="Arial"/>
                <w:sz w:val="18"/>
              </w:rPr>
            </w:r>
          </w:p>
        </w:tc>
        <w:tc>
          <w:tcPr>
            <w:tcW w:w="1177" w:type="dxa"/>
            <w:tcBorders>
              <w:top w:val="nil" w:sz="6" w:space="0" w:color="auto"/>
              <w:left w:val="nil" w:sz="6" w:space="0" w:color="auto"/>
              <w:bottom w:val="nil" w:sz="6" w:space="0" w:color="auto"/>
              <w:right w:val="nil" w:sz="6" w:space="0" w:color="auto"/>
            </w:tcBorders>
          </w:tcPr>
          <w:p>
            <w:pPr>
              <w:pStyle w:val="TableParagraph"/>
              <w:spacing w:line="227" w:lineRule="exact"/>
              <w:ind w:right="96"/>
              <w:jc w:val="right"/>
              <w:rPr>
                <w:rFonts w:ascii="Arial" w:hAnsi="Arial" w:cs="Arial" w:eastAsia="Arial" w:hint="default"/>
                <w:sz w:val="20"/>
                <w:szCs w:val="20"/>
              </w:rPr>
            </w:pPr>
            <w:r>
              <w:rPr>
                <w:rFonts w:ascii="Arial"/>
                <w:sz w:val="20"/>
              </w:rPr>
              <w:t>465,203</w:t>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3"/>
              <w:jc w:val="right"/>
              <w:rPr>
                <w:rFonts w:ascii="Arial" w:hAnsi="Arial" w:cs="Arial" w:eastAsia="Arial" w:hint="default"/>
                <w:sz w:val="18"/>
                <w:szCs w:val="18"/>
              </w:rPr>
            </w:pPr>
            <w:r>
              <w:rPr>
                <w:rFonts w:ascii="Arial"/>
                <w:spacing w:val="-1"/>
                <w:w w:val="95"/>
                <w:sz w:val="18"/>
              </w:rPr>
              <w:t>14</w:t>
            </w:r>
            <w:r>
              <w:rPr>
                <w:rFonts w:ascii="Arial"/>
                <w:sz w:val="18"/>
              </w:rPr>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5"/>
              <w:jc w:val="right"/>
              <w:rPr>
                <w:rFonts w:ascii="Arial" w:hAnsi="Arial" w:cs="Arial" w:eastAsia="Arial" w:hint="default"/>
                <w:sz w:val="18"/>
                <w:szCs w:val="18"/>
              </w:rPr>
            </w:pPr>
            <w:r>
              <w:rPr>
                <w:rFonts w:ascii="Arial"/>
                <w:spacing w:val="-1"/>
                <w:sz w:val="18"/>
              </w:rPr>
              <w:t>2,109,167</w:t>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6" w:right="0"/>
              <w:jc w:val="center"/>
              <w:rPr>
                <w:rFonts w:ascii="Arial" w:hAnsi="Arial" w:cs="Arial" w:eastAsia="Arial" w:hint="default"/>
                <w:sz w:val="18"/>
                <w:szCs w:val="18"/>
              </w:rPr>
            </w:pPr>
            <w:r>
              <w:rPr>
                <w:rFonts w:ascii="Arial"/>
                <w:sz w:val="18"/>
              </w:rPr>
              <w:t>37</w:t>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2"/>
              <w:jc w:val="right"/>
              <w:rPr>
                <w:rFonts w:ascii="Arial" w:hAnsi="Arial" w:cs="Arial" w:eastAsia="Arial" w:hint="default"/>
                <w:sz w:val="18"/>
                <w:szCs w:val="18"/>
              </w:rPr>
            </w:pPr>
            <w:r>
              <w:rPr>
                <w:rFonts w:ascii="Arial"/>
                <w:spacing w:val="-1"/>
                <w:sz w:val="18"/>
              </w:rPr>
              <w:t>1,474,465</w:t>
            </w:r>
          </w:p>
        </w:tc>
        <w:tc>
          <w:tcPr>
            <w:tcW w:w="55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Arial" w:hAnsi="Arial" w:cs="Arial" w:eastAsia="Arial" w:hint="default"/>
                <w:sz w:val="18"/>
                <w:szCs w:val="18"/>
              </w:rPr>
            </w:pPr>
            <w:r>
              <w:rPr>
                <w:rFonts w:ascii="Arial"/>
                <w:spacing w:val="-1"/>
                <w:sz w:val="18"/>
              </w:rPr>
              <w:t>70</w:t>
            </w:r>
          </w:p>
        </w:tc>
      </w:tr>
      <w:tr>
        <w:trPr>
          <w:trHeight w:val="240" w:hRule="exact"/>
        </w:trPr>
        <w:tc>
          <w:tcPr>
            <w:tcW w:w="894" w:type="dxa"/>
            <w:tcBorders>
              <w:top w:val="nil" w:sz="6" w:space="0" w:color="auto"/>
              <w:left w:val="nil" w:sz="6" w:space="0" w:color="auto"/>
              <w:bottom w:val="nil" w:sz="6" w:space="0" w:color="auto"/>
              <w:right w:val="nil" w:sz="6" w:space="0" w:color="auto"/>
            </w:tcBorders>
          </w:tcPr>
          <w:p>
            <w:pPr>
              <w:pStyle w:val="TableParagraph"/>
              <w:spacing w:line="220" w:lineRule="exact"/>
              <w:ind w:left="35" w:right="0"/>
              <w:jc w:val="left"/>
              <w:rPr>
                <w:rFonts w:ascii="黑体" w:hAnsi="黑体" w:cs="黑体" w:eastAsia="黑体" w:hint="default"/>
                <w:sz w:val="18"/>
                <w:szCs w:val="18"/>
              </w:rPr>
            </w:pPr>
            <w:r>
              <w:rPr>
                <w:rFonts w:ascii="Arial" w:hAnsi="Arial" w:cs="Arial" w:eastAsia="Arial" w:hint="default"/>
                <w:sz w:val="18"/>
                <w:szCs w:val="18"/>
              </w:rPr>
              <w:t>2-3</w:t>
            </w:r>
            <w:r>
              <w:rPr>
                <w:rFonts w:ascii="Arial" w:hAnsi="Arial" w:cs="Arial" w:eastAsia="Arial" w:hint="default"/>
                <w:spacing w:val="-9"/>
                <w:sz w:val="18"/>
                <w:szCs w:val="18"/>
              </w:rPr>
              <w:t> </w:t>
            </w:r>
            <w:r>
              <w:rPr>
                <w:rFonts w:ascii="黑体" w:hAnsi="黑体" w:cs="黑体" w:eastAsia="黑体" w:hint="default"/>
                <w:sz w:val="18"/>
                <w:szCs w:val="18"/>
              </w:rPr>
              <w:t>年</w:t>
            </w:r>
          </w:p>
        </w:tc>
        <w:tc>
          <w:tcPr>
            <w:tcW w:w="1163" w:type="dxa"/>
            <w:tcBorders>
              <w:top w:val="nil" w:sz="6" w:space="0" w:color="auto"/>
              <w:left w:val="nil" w:sz="6" w:space="0" w:color="auto"/>
              <w:bottom w:val="nil" w:sz="6" w:space="0" w:color="auto"/>
              <w:right w:val="nil" w:sz="6" w:space="0" w:color="auto"/>
            </w:tcBorders>
          </w:tcPr>
          <w:p>
            <w:pPr>
              <w:pStyle w:val="TableParagraph"/>
              <w:spacing w:line="225" w:lineRule="exact"/>
              <w:ind w:right="96"/>
              <w:jc w:val="right"/>
              <w:rPr>
                <w:rFonts w:ascii="Arial" w:hAnsi="Arial" w:cs="Arial" w:eastAsia="Arial" w:hint="default"/>
                <w:sz w:val="20"/>
                <w:szCs w:val="20"/>
              </w:rPr>
            </w:pPr>
            <w:r>
              <w:rPr>
                <w:rFonts w:ascii="Arial"/>
                <w:spacing w:val="-1"/>
                <w:sz w:val="20"/>
              </w:rPr>
              <w:t>1,768,438</w:t>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5"/>
              <w:jc w:val="right"/>
              <w:rPr>
                <w:rFonts w:ascii="Arial" w:hAnsi="Arial" w:cs="Arial" w:eastAsia="Arial" w:hint="default"/>
                <w:sz w:val="18"/>
                <w:szCs w:val="18"/>
              </w:rPr>
            </w:pPr>
            <w:r>
              <w:rPr>
                <w:rFonts w:ascii="Arial"/>
                <w:spacing w:val="-1"/>
                <w:w w:val="95"/>
                <w:sz w:val="18"/>
              </w:rPr>
              <w:t>23</w:t>
            </w:r>
            <w:r>
              <w:rPr>
                <w:rFonts w:ascii="Arial"/>
                <w:sz w:val="18"/>
              </w:rPr>
            </w:r>
          </w:p>
        </w:tc>
        <w:tc>
          <w:tcPr>
            <w:tcW w:w="1177" w:type="dxa"/>
            <w:tcBorders>
              <w:top w:val="nil" w:sz="6" w:space="0" w:color="auto"/>
              <w:left w:val="nil" w:sz="6" w:space="0" w:color="auto"/>
              <w:bottom w:val="nil" w:sz="6" w:space="0" w:color="auto"/>
              <w:right w:val="nil" w:sz="6" w:space="0" w:color="auto"/>
            </w:tcBorders>
          </w:tcPr>
          <w:p>
            <w:pPr>
              <w:pStyle w:val="TableParagraph"/>
              <w:spacing w:line="225" w:lineRule="exact"/>
              <w:ind w:right="96"/>
              <w:jc w:val="right"/>
              <w:rPr>
                <w:rFonts w:ascii="Arial" w:hAnsi="Arial" w:cs="Arial" w:eastAsia="Arial" w:hint="default"/>
                <w:sz w:val="20"/>
                <w:szCs w:val="20"/>
              </w:rPr>
            </w:pPr>
            <w:r>
              <w:rPr>
                <w:rFonts w:ascii="Arial"/>
                <w:sz w:val="20"/>
              </w:rPr>
              <w:t>64,080</w:t>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3"/>
              <w:jc w:val="right"/>
              <w:rPr>
                <w:rFonts w:ascii="Arial" w:hAnsi="Arial" w:cs="Arial" w:eastAsia="Arial" w:hint="default"/>
                <w:sz w:val="18"/>
                <w:szCs w:val="18"/>
              </w:rPr>
            </w:pPr>
            <w:r>
              <w:rPr>
                <w:rFonts w:ascii="Arial"/>
                <w:w w:val="99"/>
                <w:sz w:val="18"/>
              </w:rPr>
              <w:t>4</w:t>
            </w:r>
            <w:r>
              <w:rPr>
                <w:rFonts w:ascii="Arial"/>
                <w:sz w:val="18"/>
              </w:rPr>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5"/>
              <w:jc w:val="right"/>
              <w:rPr>
                <w:rFonts w:ascii="Arial" w:hAnsi="Arial" w:cs="Arial" w:eastAsia="Arial" w:hint="default"/>
                <w:sz w:val="18"/>
                <w:szCs w:val="18"/>
              </w:rPr>
            </w:pPr>
            <w:r>
              <w:rPr>
                <w:rFonts w:ascii="Arial"/>
                <w:spacing w:val="-1"/>
                <w:sz w:val="18"/>
              </w:rPr>
              <w:t>1,144,457</w:t>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5" w:right="0"/>
              <w:jc w:val="center"/>
              <w:rPr>
                <w:rFonts w:ascii="Arial" w:hAnsi="Arial" w:cs="Arial" w:eastAsia="Arial" w:hint="default"/>
                <w:sz w:val="18"/>
                <w:szCs w:val="18"/>
              </w:rPr>
            </w:pPr>
            <w:r>
              <w:rPr>
                <w:rFonts w:ascii="Arial"/>
                <w:sz w:val="18"/>
              </w:rPr>
              <w:t>20</w:t>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1"/>
              <w:jc w:val="right"/>
              <w:rPr>
                <w:rFonts w:ascii="Arial" w:hAnsi="Arial" w:cs="Arial" w:eastAsia="Arial" w:hint="default"/>
                <w:sz w:val="18"/>
                <w:szCs w:val="18"/>
              </w:rPr>
            </w:pPr>
            <w:r>
              <w:rPr>
                <w:rFonts w:ascii="Arial"/>
                <w:spacing w:val="-1"/>
                <w:sz w:val="18"/>
              </w:rPr>
              <w:t>80,000</w:t>
            </w:r>
          </w:p>
        </w:tc>
        <w:tc>
          <w:tcPr>
            <w:tcW w:w="5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8"/>
                <w:szCs w:val="18"/>
              </w:rPr>
            </w:pPr>
            <w:r>
              <w:rPr>
                <w:rFonts w:ascii="Arial"/>
                <w:w w:val="99"/>
                <w:sz w:val="18"/>
              </w:rPr>
              <w:t>7</w:t>
            </w:r>
            <w:r>
              <w:rPr>
                <w:rFonts w:ascii="Arial"/>
                <w:sz w:val="18"/>
              </w:rPr>
            </w:r>
          </w:p>
        </w:tc>
      </w:tr>
      <w:tr>
        <w:trPr>
          <w:trHeight w:val="240" w:hRule="exact"/>
        </w:trPr>
        <w:tc>
          <w:tcPr>
            <w:tcW w:w="894" w:type="dxa"/>
            <w:tcBorders>
              <w:top w:val="nil" w:sz="6" w:space="0" w:color="auto"/>
              <w:left w:val="nil" w:sz="6" w:space="0" w:color="auto"/>
              <w:bottom w:val="nil" w:sz="6" w:space="0" w:color="auto"/>
              <w:right w:val="nil" w:sz="6" w:space="0" w:color="auto"/>
            </w:tcBorders>
          </w:tcPr>
          <w:p>
            <w:pPr>
              <w:pStyle w:val="TableParagraph"/>
              <w:spacing w:line="220" w:lineRule="exact"/>
              <w:ind w:left="35" w:right="0"/>
              <w:jc w:val="left"/>
              <w:rPr>
                <w:rFonts w:ascii="黑体" w:hAnsi="黑体" w:cs="黑体" w:eastAsia="黑体" w:hint="default"/>
                <w:sz w:val="18"/>
                <w:szCs w:val="18"/>
              </w:rPr>
            </w:pPr>
            <w:r>
              <w:rPr>
                <w:rFonts w:ascii="Arial" w:hAnsi="Arial" w:cs="Arial" w:eastAsia="Arial" w:hint="default"/>
                <w:sz w:val="18"/>
                <w:szCs w:val="18"/>
              </w:rPr>
              <w:t>3</w:t>
            </w:r>
            <w:r>
              <w:rPr>
                <w:rFonts w:ascii="Arial" w:hAnsi="Arial" w:cs="Arial" w:eastAsia="Arial" w:hint="default"/>
                <w:spacing w:val="-8"/>
                <w:sz w:val="18"/>
                <w:szCs w:val="18"/>
              </w:rPr>
              <w:t> </w:t>
            </w:r>
            <w:r>
              <w:rPr>
                <w:rFonts w:ascii="黑体" w:hAnsi="黑体" w:cs="黑体" w:eastAsia="黑体" w:hint="default"/>
                <w:sz w:val="18"/>
                <w:szCs w:val="18"/>
              </w:rPr>
              <w:t>年以上</w:t>
            </w:r>
          </w:p>
        </w:tc>
        <w:tc>
          <w:tcPr>
            <w:tcW w:w="1163" w:type="dxa"/>
            <w:tcBorders>
              <w:top w:val="nil" w:sz="6" w:space="0" w:color="auto"/>
              <w:left w:val="nil" w:sz="6" w:space="0" w:color="auto"/>
              <w:bottom w:val="nil" w:sz="6" w:space="0" w:color="auto"/>
              <w:right w:val="nil" w:sz="6" w:space="0" w:color="auto"/>
            </w:tcBorders>
          </w:tcPr>
          <w:p>
            <w:pPr>
              <w:pStyle w:val="TableParagraph"/>
              <w:spacing w:line="225" w:lineRule="exact"/>
              <w:ind w:right="96"/>
              <w:jc w:val="right"/>
              <w:rPr>
                <w:rFonts w:ascii="Arial" w:hAnsi="Arial" w:cs="Arial" w:eastAsia="Arial" w:hint="default"/>
                <w:sz w:val="20"/>
                <w:szCs w:val="20"/>
              </w:rPr>
            </w:pPr>
            <w:r>
              <w:rPr>
                <w:rFonts w:ascii="Arial"/>
                <w:w w:val="100"/>
                <w:sz w:val="20"/>
              </w:rPr>
            </w:r>
            <w:r>
              <w:rPr>
                <w:rFonts w:ascii="Arial"/>
                <w:spacing w:val="-1"/>
                <w:sz w:val="20"/>
                <w:u w:val="single" w:color="000000"/>
              </w:rPr>
              <w:t>2,716,674</w:t>
            </w:r>
            <w:r>
              <w:rPr>
                <w:rFonts w:ascii="Arial"/>
                <w:spacing w:val="-1"/>
                <w:sz w:val="20"/>
              </w:rPr>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pacing w:val="-1"/>
                <w:w w:val="95"/>
                <w:sz w:val="18"/>
                <w:u w:val="single" w:color="000000"/>
              </w:rPr>
              <w:t>35</w:t>
            </w:r>
            <w:r>
              <w:rPr>
                <w:rFonts w:ascii="Arial"/>
                <w:spacing w:val="-1"/>
                <w:w w:val="95"/>
                <w:sz w:val="18"/>
              </w:rPr>
            </w:r>
            <w:r>
              <w:rPr>
                <w:rFonts w:ascii="Arial"/>
                <w:sz w:val="18"/>
              </w:rPr>
            </w:r>
          </w:p>
        </w:tc>
        <w:tc>
          <w:tcPr>
            <w:tcW w:w="1177" w:type="dxa"/>
            <w:tcBorders>
              <w:top w:val="nil" w:sz="6" w:space="0" w:color="auto"/>
              <w:left w:val="nil" w:sz="6" w:space="0" w:color="auto"/>
              <w:bottom w:val="nil" w:sz="6" w:space="0" w:color="auto"/>
              <w:right w:val="nil" w:sz="6" w:space="0" w:color="auto"/>
            </w:tcBorders>
          </w:tcPr>
          <w:p>
            <w:pPr>
              <w:pStyle w:val="TableParagraph"/>
              <w:spacing w:line="225" w:lineRule="exact"/>
              <w:ind w:right="96"/>
              <w:jc w:val="right"/>
              <w:rPr>
                <w:rFonts w:ascii="Arial" w:hAnsi="Arial" w:cs="Arial" w:eastAsia="Arial" w:hint="default"/>
                <w:sz w:val="20"/>
                <w:szCs w:val="20"/>
              </w:rPr>
            </w:pPr>
            <w:r>
              <w:rPr>
                <w:rFonts w:ascii="Arial"/>
                <w:w w:val="100"/>
                <w:sz w:val="20"/>
              </w:rPr>
            </w:r>
            <w:r>
              <w:rPr>
                <w:rFonts w:ascii="Arial"/>
                <w:spacing w:val="-1"/>
                <w:sz w:val="20"/>
                <w:u w:val="single" w:color="000000"/>
              </w:rPr>
              <w:t>1,073,306</w:t>
            </w:r>
            <w:r>
              <w:rPr>
                <w:rFonts w:ascii="Arial"/>
                <w:spacing w:val="-1"/>
                <w:sz w:val="20"/>
              </w:rPr>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3"/>
              <w:jc w:val="right"/>
              <w:rPr>
                <w:rFonts w:ascii="Arial" w:hAnsi="Arial" w:cs="Arial" w:eastAsia="Arial" w:hint="default"/>
                <w:sz w:val="18"/>
                <w:szCs w:val="18"/>
              </w:rPr>
            </w:pPr>
            <w:r>
              <w:rPr>
                <w:rFonts w:ascii="Arial"/>
                <w:spacing w:val="-1"/>
                <w:w w:val="95"/>
                <w:sz w:val="18"/>
              </w:rPr>
              <w:t>40</w:t>
            </w:r>
            <w:r>
              <w:rPr>
                <w:rFonts w:ascii="Arial"/>
                <w:sz w:val="18"/>
              </w:rPr>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5"/>
              <w:jc w:val="right"/>
              <w:rPr>
                <w:rFonts w:ascii="Arial" w:hAnsi="Arial" w:cs="Arial" w:eastAsia="Arial" w:hint="default"/>
                <w:sz w:val="18"/>
                <w:szCs w:val="18"/>
              </w:rPr>
            </w:pPr>
            <w:r>
              <w:rPr>
                <w:rFonts w:ascii="Arial"/>
                <w:w w:val="99"/>
                <w:sz w:val="18"/>
              </w:rPr>
            </w:r>
            <w:r>
              <w:rPr>
                <w:rFonts w:ascii="Arial"/>
                <w:spacing w:val="-1"/>
                <w:sz w:val="18"/>
                <w:u w:val="single" w:color="000000"/>
              </w:rPr>
              <w:t>2,501,771</w:t>
            </w:r>
            <w:r>
              <w:rPr>
                <w:rFonts w:ascii="Arial"/>
                <w:spacing w:val="-1"/>
                <w:sz w:val="18"/>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 w:right="0"/>
              <w:jc w:val="center"/>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0"/>
                <w:sz w:val="18"/>
                <w:u w:val="single" w:color="000000"/>
              </w:rPr>
              <w:t> </w:t>
            </w:r>
            <w:r>
              <w:rPr>
                <w:rFonts w:ascii="Arial"/>
                <w:sz w:val="18"/>
                <w:u w:val="single" w:color="000000"/>
              </w:rPr>
              <w:t>43</w:t>
            </w:r>
            <w:r>
              <w:rPr>
                <w:rFonts w:ascii="Arial"/>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1"/>
              <w:jc w:val="right"/>
              <w:rPr>
                <w:rFonts w:ascii="Arial" w:hAnsi="Arial" w:cs="Arial" w:eastAsia="Arial" w:hint="default"/>
                <w:sz w:val="18"/>
                <w:szCs w:val="18"/>
              </w:rPr>
            </w:pPr>
            <w:r>
              <w:rPr>
                <w:rFonts w:ascii="Arial"/>
                <w:w w:val="99"/>
                <w:sz w:val="18"/>
              </w:rPr>
            </w:r>
            <w:r>
              <w:rPr>
                <w:rFonts w:ascii="Arial"/>
                <w:spacing w:val="-1"/>
                <w:sz w:val="18"/>
                <w:u w:val="single" w:color="000000"/>
              </w:rPr>
              <w:t>1,039,633</w:t>
            </w:r>
            <w:r>
              <w:rPr>
                <w:rFonts w:ascii="Arial"/>
                <w:spacing w:val="-1"/>
                <w:sz w:val="18"/>
              </w:rPr>
            </w:r>
          </w:p>
        </w:tc>
        <w:tc>
          <w:tcPr>
            <w:tcW w:w="5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8"/>
                <w:szCs w:val="18"/>
              </w:rPr>
            </w:pPr>
            <w:r>
              <w:rPr>
                <w:rFonts w:ascii="Arial"/>
                <w:spacing w:val="-1"/>
                <w:w w:val="95"/>
                <w:sz w:val="18"/>
              </w:rPr>
              <w:t>42</w:t>
            </w:r>
            <w:r>
              <w:rPr>
                <w:rFonts w:ascii="Arial"/>
                <w:sz w:val="18"/>
              </w:rPr>
            </w:r>
          </w:p>
        </w:tc>
      </w:tr>
      <w:tr>
        <w:trPr>
          <w:trHeight w:val="320" w:hRule="exact"/>
        </w:trPr>
        <w:tc>
          <w:tcPr>
            <w:tcW w:w="894" w:type="dxa"/>
            <w:tcBorders>
              <w:top w:val="nil" w:sz="6" w:space="0" w:color="auto"/>
              <w:left w:val="nil" w:sz="6" w:space="0" w:color="auto"/>
              <w:bottom w:val="nil" w:sz="6" w:space="0" w:color="auto"/>
              <w:right w:val="nil" w:sz="6" w:space="0" w:color="auto"/>
            </w:tcBorders>
          </w:tcPr>
          <w:p>
            <w:pPr/>
          </w:p>
        </w:tc>
        <w:tc>
          <w:tcPr>
            <w:tcW w:w="1163" w:type="dxa"/>
            <w:tcBorders>
              <w:top w:val="nil" w:sz="6" w:space="0" w:color="auto"/>
              <w:left w:val="nil" w:sz="6" w:space="0" w:color="auto"/>
              <w:bottom w:val="nil" w:sz="6" w:space="0" w:color="auto"/>
              <w:right w:val="nil" w:sz="6" w:space="0" w:color="auto"/>
            </w:tcBorders>
          </w:tcPr>
          <w:p>
            <w:pPr>
              <w:pStyle w:val="TableParagraph"/>
              <w:spacing w:line="225" w:lineRule="exact"/>
              <w:ind w:right="96"/>
              <w:jc w:val="right"/>
              <w:rPr>
                <w:rFonts w:ascii="Arial" w:hAnsi="Arial" w:cs="Arial" w:eastAsia="Arial" w:hint="default"/>
                <w:sz w:val="20"/>
                <w:szCs w:val="20"/>
              </w:rPr>
            </w:pPr>
            <w:r>
              <w:rPr>
                <w:rFonts w:ascii="Arial"/>
                <w:w w:val="100"/>
                <w:sz w:val="20"/>
              </w:rPr>
            </w:r>
            <w:r>
              <w:rPr>
                <w:rFonts w:ascii="Arial"/>
                <w:spacing w:val="-1"/>
                <w:sz w:val="20"/>
                <w:u w:val="double" w:color="000000"/>
              </w:rPr>
              <w:t>7,744,949</w:t>
            </w:r>
            <w:r>
              <w:rPr>
                <w:rFonts w:ascii="Arial"/>
                <w:spacing w:val="-1"/>
                <w:sz w:val="20"/>
              </w:rPr>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5"/>
              <w:jc w:val="right"/>
              <w:rPr>
                <w:rFonts w:ascii="Arial" w:hAnsi="Arial" w:cs="Arial" w:eastAsia="Arial" w:hint="default"/>
                <w:sz w:val="18"/>
                <w:szCs w:val="18"/>
              </w:rPr>
            </w:pPr>
            <w:r>
              <w:rPr>
                <w:rFonts w:ascii="Arial"/>
                <w:w w:val="99"/>
                <w:sz w:val="18"/>
              </w:rPr>
            </w:r>
            <w:r>
              <w:rPr>
                <w:rFonts w:ascii="Arial"/>
                <w:spacing w:val="-1"/>
                <w:w w:val="95"/>
                <w:sz w:val="18"/>
                <w:u w:val="double" w:color="000000"/>
              </w:rPr>
              <w:t>100</w:t>
            </w:r>
            <w:r>
              <w:rPr>
                <w:rFonts w:ascii="Arial"/>
                <w:spacing w:val="-1"/>
                <w:w w:val="95"/>
                <w:sz w:val="18"/>
              </w:rPr>
            </w:r>
            <w:r>
              <w:rPr>
                <w:rFonts w:ascii="Arial"/>
                <w:sz w:val="18"/>
              </w:rPr>
            </w:r>
          </w:p>
        </w:tc>
        <w:tc>
          <w:tcPr>
            <w:tcW w:w="1177" w:type="dxa"/>
            <w:tcBorders>
              <w:top w:val="nil" w:sz="6" w:space="0" w:color="auto"/>
              <w:left w:val="nil" w:sz="6" w:space="0" w:color="auto"/>
              <w:bottom w:val="nil" w:sz="6" w:space="0" w:color="auto"/>
              <w:right w:val="nil" w:sz="6" w:space="0" w:color="auto"/>
            </w:tcBorders>
          </w:tcPr>
          <w:p>
            <w:pPr>
              <w:pStyle w:val="TableParagraph"/>
              <w:spacing w:line="225" w:lineRule="exact"/>
              <w:ind w:right="96"/>
              <w:jc w:val="right"/>
              <w:rPr>
                <w:rFonts w:ascii="Arial" w:hAnsi="Arial" w:cs="Arial" w:eastAsia="Arial" w:hint="default"/>
                <w:sz w:val="20"/>
                <w:szCs w:val="20"/>
              </w:rPr>
            </w:pPr>
            <w:r>
              <w:rPr>
                <w:rFonts w:ascii="Arial"/>
                <w:w w:val="100"/>
                <w:sz w:val="20"/>
              </w:rPr>
            </w:r>
            <w:r>
              <w:rPr>
                <w:rFonts w:ascii="Arial"/>
                <w:spacing w:val="-1"/>
                <w:sz w:val="20"/>
                <w:u w:val="double" w:color="000000"/>
              </w:rPr>
              <w:t>1,602,589</w:t>
            </w:r>
            <w:r>
              <w:rPr>
                <w:rFonts w:ascii="Arial"/>
                <w:spacing w:val="-1"/>
                <w:sz w:val="20"/>
              </w:rPr>
            </w:r>
          </w:p>
        </w:tc>
        <w:tc>
          <w:tcPr>
            <w:tcW w:w="624" w:type="dxa"/>
            <w:tcBorders>
              <w:top w:val="nil" w:sz="6" w:space="0" w:color="auto"/>
              <w:left w:val="nil" w:sz="6" w:space="0" w:color="auto"/>
              <w:bottom w:val="nil" w:sz="6" w:space="0" w:color="auto"/>
              <w:right w:val="nil" w:sz="6" w:space="0" w:color="auto"/>
            </w:tcBorders>
          </w:tcPr>
          <w:p>
            <w:pP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5"/>
              <w:jc w:val="right"/>
              <w:rPr>
                <w:rFonts w:ascii="Arial" w:hAnsi="Arial" w:cs="Arial" w:eastAsia="Arial" w:hint="default"/>
                <w:sz w:val="18"/>
                <w:szCs w:val="18"/>
              </w:rPr>
            </w:pPr>
            <w:r>
              <w:rPr>
                <w:rFonts w:ascii="Arial"/>
                <w:w w:val="99"/>
                <w:sz w:val="18"/>
              </w:rPr>
            </w:r>
            <w:r>
              <w:rPr>
                <w:rFonts w:ascii="Arial"/>
                <w:spacing w:val="-1"/>
                <w:sz w:val="18"/>
                <w:u w:val="double" w:color="000000"/>
              </w:rPr>
              <w:t>5,755,395</w:t>
            </w:r>
            <w:r>
              <w:rPr>
                <w:rFonts w:ascii="Arial"/>
                <w:spacing w:val="-1"/>
                <w:sz w:val="18"/>
              </w:rPr>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 w:right="0"/>
              <w:jc w:val="center"/>
              <w:rPr>
                <w:rFonts w:ascii="Arial" w:hAnsi="Arial" w:cs="Arial" w:eastAsia="Arial" w:hint="default"/>
                <w:sz w:val="18"/>
                <w:szCs w:val="18"/>
              </w:rPr>
            </w:pPr>
            <w:r>
              <w:rPr>
                <w:rFonts w:ascii="Arial"/>
                <w:w w:val="99"/>
                <w:sz w:val="18"/>
              </w:rPr>
            </w:r>
            <w:r>
              <w:rPr>
                <w:rFonts w:ascii="Arial"/>
                <w:sz w:val="18"/>
                <w:u w:val="double" w:color="000000"/>
              </w:rPr>
              <w:t>100</w:t>
            </w:r>
            <w:r>
              <w:rPr>
                <w:rFonts w:ascii="Arial"/>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1"/>
              <w:jc w:val="right"/>
              <w:rPr>
                <w:rFonts w:ascii="Arial" w:hAnsi="Arial" w:cs="Arial" w:eastAsia="Arial" w:hint="default"/>
                <w:sz w:val="18"/>
                <w:szCs w:val="18"/>
              </w:rPr>
            </w:pPr>
            <w:r>
              <w:rPr>
                <w:rFonts w:ascii="Arial"/>
                <w:w w:val="99"/>
                <w:sz w:val="18"/>
              </w:rPr>
            </w:r>
            <w:r>
              <w:rPr>
                <w:rFonts w:ascii="Arial"/>
                <w:spacing w:val="-1"/>
                <w:sz w:val="18"/>
                <w:u w:val="double" w:color="000000"/>
              </w:rPr>
              <w:t>2,594,098</w:t>
            </w:r>
            <w:r>
              <w:rPr>
                <w:rFonts w:ascii="Arial"/>
                <w:spacing w:val="-1"/>
                <w:sz w:val="18"/>
              </w:rPr>
            </w:r>
          </w:p>
        </w:tc>
        <w:tc>
          <w:tcPr>
            <w:tcW w:w="558" w:type="dxa"/>
            <w:tcBorders>
              <w:top w:val="nil" w:sz="6" w:space="0" w:color="auto"/>
              <w:left w:val="nil" w:sz="6" w:space="0" w:color="auto"/>
              <w:bottom w:val="nil" w:sz="6" w:space="0" w:color="auto"/>
              <w:right w:val="nil" w:sz="6" w:space="0" w:color="auto"/>
            </w:tcBorders>
          </w:tcPr>
          <w:p>
            <w:pPr/>
          </w:p>
        </w:tc>
      </w:tr>
    </w:tbl>
    <w:p>
      <w:pPr>
        <w:spacing w:line="240" w:lineRule="auto" w:before="6"/>
        <w:rPr>
          <w:rFonts w:ascii="黑体" w:hAnsi="黑体" w:cs="黑体" w:eastAsia="黑体" w:hint="default"/>
          <w:sz w:val="23"/>
          <w:szCs w:val="23"/>
        </w:rPr>
      </w:pPr>
    </w:p>
    <w:p>
      <w:pPr>
        <w:pStyle w:val="BodyText"/>
        <w:spacing w:line="268" w:lineRule="exact" w:before="38"/>
        <w:ind w:right="112"/>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日，本账户余额中无持有本公司</w:t>
      </w:r>
      <w:r>
        <w:rPr>
          <w:rFonts w:ascii="Arial" w:hAnsi="Arial" w:cs="Arial" w:eastAsia="Arial" w:hint="default"/>
        </w:rPr>
        <w:t>5%</w:t>
      </w:r>
      <w:r>
        <w:rPr/>
        <w:t>或以上表决权股份的股东单位的欠款</w:t>
      </w:r>
    </w:p>
    <w:p>
      <w:pPr>
        <w:pStyle w:val="BodyText"/>
        <w:spacing w:line="268" w:lineRule="exact"/>
        <w:ind w:right="112"/>
        <w:jc w:val="left"/>
      </w:pPr>
      <w:r>
        <w:rPr/>
        <w:t>（</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p>
    <w:p>
      <w:pPr>
        <w:spacing w:after="0" w:line="268" w:lineRule="exact"/>
        <w:jc w:val="left"/>
        <w:sectPr>
          <w:pgSz w:w="11910" w:h="16840"/>
          <w:pgMar w:header="958" w:footer="385" w:top="2560" w:bottom="580" w:left="1600" w:right="152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1"/>
          <w:szCs w:val="21"/>
        </w:rPr>
      </w:pPr>
    </w:p>
    <w:tbl>
      <w:tblPr>
        <w:tblW w:w="0" w:type="auto"/>
        <w:jc w:val="left"/>
        <w:tblInd w:w="106" w:type="dxa"/>
        <w:tblLayout w:type="fixed"/>
        <w:tblCellMar>
          <w:top w:w="0" w:type="dxa"/>
          <w:left w:w="0" w:type="dxa"/>
          <w:bottom w:w="0" w:type="dxa"/>
          <w:right w:w="0" w:type="dxa"/>
        </w:tblCellMar>
        <w:tblLook w:val="01E0"/>
      </w:tblPr>
      <w:tblGrid>
        <w:gridCol w:w="701"/>
        <w:gridCol w:w="1836"/>
        <w:gridCol w:w="2751"/>
        <w:gridCol w:w="1650"/>
        <w:gridCol w:w="1636"/>
      </w:tblGrid>
      <w:tr>
        <w:trPr>
          <w:trHeight w:val="1067" w:hRule="exact"/>
        </w:trPr>
        <w:tc>
          <w:tcPr>
            <w:tcW w:w="70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sz w:val="20"/>
                <w:szCs w:val="20"/>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35" w:right="0"/>
              <w:jc w:val="left"/>
              <w:rPr>
                <w:rFonts w:ascii="Arial" w:hAnsi="Arial" w:cs="Arial" w:eastAsia="Arial" w:hint="default"/>
                <w:sz w:val="20"/>
                <w:szCs w:val="20"/>
              </w:rPr>
            </w:pPr>
            <w:r>
              <w:rPr>
                <w:rFonts w:ascii="Arial"/>
                <w:b/>
                <w:sz w:val="20"/>
              </w:rPr>
              <w:t>6.</w:t>
            </w:r>
            <w:r>
              <w:rPr>
                <w:rFonts w:ascii="Arial"/>
                <w:sz w:val="20"/>
              </w:rPr>
            </w:r>
          </w:p>
        </w:tc>
        <w:tc>
          <w:tcPr>
            <w:tcW w:w="458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8"/>
              <w:ind w:left="37" w:right="0"/>
              <w:jc w:val="left"/>
              <w:rPr>
                <w:rFonts w:ascii="黑体" w:hAnsi="黑体" w:cs="黑体" w:eastAsia="黑体" w:hint="default"/>
                <w:sz w:val="20"/>
                <w:szCs w:val="20"/>
              </w:rPr>
            </w:pP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73" w:right="0"/>
              <w:jc w:val="left"/>
              <w:rPr>
                <w:rFonts w:ascii="黑体" w:hAnsi="黑体" w:cs="黑体" w:eastAsia="黑体" w:hint="default"/>
                <w:sz w:val="20"/>
                <w:szCs w:val="20"/>
              </w:rPr>
            </w:pPr>
            <w:r>
              <w:rPr>
                <w:rFonts w:ascii="黑体" w:hAnsi="黑体" w:cs="黑体" w:eastAsia="黑体" w:hint="default"/>
                <w:b/>
                <w:bCs/>
                <w:sz w:val="20"/>
                <w:szCs w:val="20"/>
              </w:rPr>
              <w:t>其他应收款（续）</w:t>
            </w:r>
            <w:r>
              <w:rPr>
                <w:rFonts w:ascii="黑体" w:hAnsi="黑体" w:cs="黑体" w:eastAsia="黑体" w:hint="default"/>
                <w:sz w:val="20"/>
                <w:szCs w:val="20"/>
              </w:rPr>
            </w:r>
          </w:p>
        </w:tc>
        <w:tc>
          <w:tcPr>
            <w:tcW w:w="3287" w:type="dxa"/>
            <w:gridSpan w:val="2"/>
            <w:vMerge w:val="restart"/>
            <w:tcBorders>
              <w:top w:val="nil" w:sz="6" w:space="0" w:color="auto"/>
              <w:left w:val="nil" w:sz="6" w:space="0" w:color="auto"/>
              <w:right w:val="nil" w:sz="6" w:space="0" w:color="auto"/>
            </w:tcBorders>
          </w:tcPr>
          <w:p>
            <w:pPr/>
          </w:p>
        </w:tc>
      </w:tr>
      <w:tr>
        <w:trPr>
          <w:trHeight w:val="532"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3"/>
              <w:ind w:left="48" w:right="0"/>
              <w:jc w:val="left"/>
              <w:rPr>
                <w:rFonts w:ascii="黑体" w:hAnsi="黑体" w:cs="黑体" w:eastAsia="黑体" w:hint="default"/>
                <w:sz w:val="20"/>
                <w:szCs w:val="20"/>
              </w:rPr>
            </w:pPr>
            <w:r>
              <w:rPr>
                <w:rFonts w:ascii="黑体" w:hAnsi="黑体" w:cs="黑体" w:eastAsia="黑体" w:hint="default"/>
                <w:sz w:val="20"/>
                <w:szCs w:val="20"/>
              </w:rPr>
              <w:t>于</w:t>
            </w:r>
            <w:r>
              <w:rPr>
                <w:rFonts w:ascii="Arial" w:hAnsi="Arial" w:cs="Arial" w:eastAsia="Arial" w:hint="default"/>
                <w:sz w:val="20"/>
                <w:szCs w:val="20"/>
              </w:rPr>
              <w:t>2009</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日，其他应收关联方款项如下：</w:t>
            </w:r>
          </w:p>
        </w:tc>
        <w:tc>
          <w:tcPr>
            <w:tcW w:w="3287" w:type="dxa"/>
            <w:gridSpan w:val="2"/>
            <w:vMerge/>
            <w:tcBorders>
              <w:left w:val="nil" w:sz="6" w:space="0" w:color="auto"/>
              <w:bottom w:val="nil" w:sz="6" w:space="0" w:color="auto"/>
              <w:right w:val="nil" w:sz="6" w:space="0" w:color="auto"/>
            </w:tcBorders>
          </w:tcPr>
          <w:p>
            <w:pPr/>
          </w:p>
        </w:tc>
      </w:tr>
      <w:tr>
        <w:trPr>
          <w:trHeight w:val="346"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7"/>
              <w:ind w:left="2741" w:right="0"/>
              <w:jc w:val="left"/>
              <w:rPr>
                <w:rFonts w:ascii="黑体" w:hAnsi="黑体" w:cs="黑体" w:eastAsia="黑体" w:hint="default"/>
                <w:sz w:val="20"/>
                <w:szCs w:val="20"/>
              </w:rPr>
            </w:pPr>
            <w:r>
              <w:rPr>
                <w:rFonts w:ascii="黑体" w:hAnsi="黑体" w:cs="黑体" w:eastAsia="黑体" w:hint="default"/>
                <w:sz w:val="20"/>
                <w:szCs w:val="20"/>
              </w:rPr>
              <w:t>与本公司关系</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07"/>
              <w:jc w:val="right"/>
              <w:rPr>
                <w:rFonts w:ascii="黑体" w:hAnsi="黑体" w:cs="黑体" w:eastAsia="黑体" w:hint="default"/>
                <w:sz w:val="20"/>
                <w:szCs w:val="20"/>
              </w:rPr>
            </w:pPr>
            <w:r>
              <w:rPr>
                <w:rFonts w:ascii="黑体" w:hAnsi="黑体" w:cs="黑体" w:eastAsia="黑体" w:hint="default"/>
                <w:sz w:val="20"/>
                <w:szCs w:val="20"/>
              </w:rPr>
              <w:t>金额</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5"/>
              <w:jc w:val="right"/>
              <w:rPr>
                <w:rFonts w:ascii="黑体" w:hAnsi="黑体" w:cs="黑体" w:eastAsia="黑体" w:hint="default"/>
                <w:sz w:val="20"/>
                <w:szCs w:val="20"/>
              </w:rPr>
            </w:pPr>
            <w:r>
              <w:rPr>
                <w:rFonts w:ascii="黑体" w:hAnsi="黑体" w:cs="黑体" w:eastAsia="黑体" w:hint="default"/>
                <w:spacing w:val="-1"/>
                <w:sz w:val="20"/>
                <w:szCs w:val="20"/>
              </w:rPr>
              <w:t>占其他应收款</w:t>
            </w:r>
          </w:p>
        </w:tc>
      </w:tr>
      <w:tr>
        <w:trPr>
          <w:trHeight w:val="338"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Style w:val="TableParagraph"/>
              <w:spacing w:line="232" w:lineRule="exact"/>
              <w:ind w:right="34"/>
              <w:jc w:val="right"/>
              <w:rPr>
                <w:rFonts w:ascii="Arial" w:hAnsi="Arial" w:cs="Arial" w:eastAsia="Arial" w:hint="default"/>
                <w:sz w:val="20"/>
                <w:szCs w:val="20"/>
              </w:rPr>
            </w:pPr>
            <w:r>
              <w:rPr>
                <w:rFonts w:ascii="黑体" w:hAnsi="黑体" w:cs="黑体" w:eastAsia="黑体" w:hint="default"/>
                <w:spacing w:val="-1"/>
                <w:sz w:val="20"/>
                <w:szCs w:val="20"/>
              </w:rPr>
              <w:t>总额的比例</w:t>
            </w:r>
            <w:r>
              <w:rPr>
                <w:rFonts w:ascii="Arial" w:hAnsi="Arial" w:cs="Arial" w:eastAsia="Arial" w:hint="default"/>
                <w:spacing w:val="-1"/>
                <w:sz w:val="20"/>
                <w:szCs w:val="20"/>
              </w:rPr>
              <w:t>(%)</w:t>
            </w:r>
            <w:r>
              <w:rPr>
                <w:rFonts w:ascii="Arial" w:hAnsi="Arial" w:cs="Arial" w:eastAsia="Arial" w:hint="default"/>
                <w:sz w:val="20"/>
                <w:szCs w:val="20"/>
              </w:rPr>
            </w:r>
          </w:p>
        </w:tc>
      </w:tr>
      <w:tr>
        <w:trPr>
          <w:trHeight w:val="344"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40" w:lineRule="auto" w:before="46"/>
              <w:ind w:left="53" w:right="0"/>
              <w:jc w:val="left"/>
              <w:rPr>
                <w:rFonts w:ascii="黑体" w:hAnsi="黑体" w:cs="黑体" w:eastAsia="黑体" w:hint="default"/>
                <w:sz w:val="20"/>
                <w:szCs w:val="20"/>
              </w:rPr>
            </w:pPr>
            <w:r>
              <w:rPr>
                <w:rFonts w:ascii="黑体" w:hAnsi="黑体" w:cs="黑体" w:eastAsia="黑体" w:hint="default"/>
                <w:spacing w:val="-1"/>
                <w:sz w:val="20"/>
                <w:szCs w:val="20"/>
              </w:rPr>
              <w:t>用友艾福斯</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89"/>
              <w:jc w:val="right"/>
              <w:rPr>
                <w:rFonts w:ascii="Arial" w:hAnsi="Arial" w:cs="Arial" w:eastAsia="Arial" w:hint="default"/>
                <w:sz w:val="20"/>
                <w:szCs w:val="20"/>
              </w:rPr>
            </w:pPr>
            <w:r>
              <w:rPr>
                <w:rFonts w:ascii="Arial"/>
                <w:spacing w:val="-1"/>
                <w:sz w:val="20"/>
              </w:rPr>
              <w:t>8,278,375</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3"/>
              <w:jc w:val="right"/>
              <w:rPr>
                <w:rFonts w:ascii="Arial" w:hAnsi="Arial" w:cs="Arial" w:eastAsia="Arial" w:hint="default"/>
                <w:sz w:val="20"/>
                <w:szCs w:val="20"/>
              </w:rPr>
            </w:pPr>
            <w:r>
              <w:rPr>
                <w:rFonts w:ascii="Arial"/>
                <w:w w:val="100"/>
                <w:sz w:val="20"/>
              </w:rPr>
              <w:t>6</w:t>
            </w:r>
          </w:p>
        </w:tc>
      </w:tr>
      <w:tr>
        <w:trPr>
          <w:trHeight w:val="240"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24" w:lineRule="exact"/>
              <w:ind w:left="53" w:right="0"/>
              <w:jc w:val="left"/>
              <w:rPr>
                <w:rFonts w:ascii="黑体" w:hAnsi="黑体" w:cs="黑体" w:eastAsia="黑体" w:hint="default"/>
                <w:sz w:val="20"/>
                <w:szCs w:val="20"/>
              </w:rPr>
            </w:pPr>
            <w:r>
              <w:rPr>
                <w:rFonts w:ascii="黑体" w:hAnsi="黑体" w:cs="黑体" w:eastAsia="黑体" w:hint="default"/>
                <w:sz w:val="20"/>
                <w:szCs w:val="20"/>
              </w:rPr>
              <w:t>重庆用友</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9"/>
              <w:jc w:val="right"/>
              <w:rPr>
                <w:rFonts w:ascii="Arial" w:hAnsi="Arial" w:cs="Arial" w:eastAsia="Arial" w:hint="default"/>
                <w:sz w:val="20"/>
                <w:szCs w:val="20"/>
              </w:rPr>
            </w:pPr>
            <w:r>
              <w:rPr>
                <w:rFonts w:ascii="Arial"/>
                <w:sz w:val="20"/>
              </w:rPr>
              <w:t>7,332,844</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5</w:t>
            </w:r>
          </w:p>
        </w:tc>
      </w:tr>
      <w:tr>
        <w:trPr>
          <w:trHeight w:val="240"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24" w:lineRule="exact"/>
              <w:ind w:left="53" w:right="0"/>
              <w:jc w:val="left"/>
              <w:rPr>
                <w:rFonts w:ascii="黑体" w:hAnsi="黑体" w:cs="黑体" w:eastAsia="黑体" w:hint="default"/>
                <w:sz w:val="20"/>
                <w:szCs w:val="20"/>
              </w:rPr>
            </w:pPr>
            <w:r>
              <w:rPr>
                <w:rFonts w:ascii="黑体" w:hAnsi="黑体" w:cs="黑体" w:eastAsia="黑体" w:hint="default"/>
                <w:sz w:val="20"/>
                <w:szCs w:val="20"/>
              </w:rPr>
              <w:t>武汉用友</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9"/>
              <w:jc w:val="right"/>
              <w:rPr>
                <w:rFonts w:ascii="Arial" w:hAnsi="Arial" w:cs="Arial" w:eastAsia="Arial" w:hint="default"/>
                <w:sz w:val="20"/>
                <w:szCs w:val="20"/>
              </w:rPr>
            </w:pPr>
            <w:r>
              <w:rPr>
                <w:rFonts w:ascii="Arial"/>
                <w:sz w:val="20"/>
              </w:rPr>
              <w:t>13,189,195</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10</w:t>
            </w:r>
          </w:p>
        </w:tc>
      </w:tr>
      <w:tr>
        <w:trPr>
          <w:trHeight w:val="240"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24" w:lineRule="exact"/>
              <w:ind w:left="53" w:right="0"/>
              <w:jc w:val="left"/>
              <w:rPr>
                <w:rFonts w:ascii="黑体" w:hAnsi="黑体" w:cs="黑体" w:eastAsia="黑体" w:hint="default"/>
                <w:sz w:val="20"/>
                <w:szCs w:val="20"/>
              </w:rPr>
            </w:pPr>
            <w:r>
              <w:rPr>
                <w:rFonts w:ascii="黑体" w:hAnsi="黑体" w:cs="黑体" w:eastAsia="黑体" w:hint="default"/>
                <w:sz w:val="20"/>
                <w:szCs w:val="20"/>
              </w:rPr>
              <w:t>广东用友</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9"/>
              <w:jc w:val="right"/>
              <w:rPr>
                <w:rFonts w:ascii="Arial" w:hAnsi="Arial" w:cs="Arial" w:eastAsia="Arial" w:hint="default"/>
                <w:sz w:val="20"/>
                <w:szCs w:val="20"/>
              </w:rPr>
            </w:pPr>
            <w:r>
              <w:rPr>
                <w:rFonts w:ascii="Arial"/>
                <w:sz w:val="20"/>
              </w:rPr>
              <w:t>20,496,749</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15</w:t>
            </w:r>
          </w:p>
        </w:tc>
      </w:tr>
      <w:tr>
        <w:trPr>
          <w:trHeight w:val="240"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24" w:lineRule="exact"/>
              <w:ind w:left="53" w:right="0"/>
              <w:jc w:val="left"/>
              <w:rPr>
                <w:rFonts w:ascii="黑体" w:hAnsi="黑体" w:cs="黑体" w:eastAsia="黑体" w:hint="default"/>
                <w:sz w:val="20"/>
                <w:szCs w:val="20"/>
              </w:rPr>
            </w:pPr>
            <w:r>
              <w:rPr>
                <w:rFonts w:ascii="黑体" w:hAnsi="黑体" w:cs="黑体" w:eastAsia="黑体" w:hint="default"/>
                <w:sz w:val="20"/>
                <w:szCs w:val="20"/>
              </w:rPr>
              <w:t>安徽用友</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9"/>
              <w:jc w:val="right"/>
              <w:rPr>
                <w:rFonts w:ascii="Arial" w:hAnsi="Arial" w:cs="Arial" w:eastAsia="Arial" w:hint="default"/>
                <w:sz w:val="20"/>
                <w:szCs w:val="20"/>
              </w:rPr>
            </w:pPr>
            <w:r>
              <w:rPr>
                <w:rFonts w:ascii="Arial"/>
                <w:sz w:val="20"/>
              </w:rPr>
              <w:t>5,548,659</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4</w:t>
            </w:r>
          </w:p>
        </w:tc>
      </w:tr>
      <w:tr>
        <w:trPr>
          <w:trHeight w:val="240"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38" w:lineRule="exact"/>
              <w:ind w:left="53" w:right="0"/>
              <w:jc w:val="left"/>
              <w:rPr>
                <w:rFonts w:ascii="黑体" w:hAnsi="黑体" w:cs="黑体" w:eastAsia="黑体" w:hint="default"/>
                <w:sz w:val="20"/>
                <w:szCs w:val="20"/>
              </w:rPr>
            </w:pPr>
            <w:r>
              <w:rPr>
                <w:rFonts w:ascii="Arial" w:hAnsi="Arial" w:cs="Arial" w:eastAsia="Arial" w:hint="default"/>
                <w:sz w:val="20"/>
                <w:szCs w:val="20"/>
              </w:rPr>
              <w:t>UF</w:t>
            </w:r>
            <w:r>
              <w:rPr>
                <w:rFonts w:ascii="Arial" w:hAnsi="Arial" w:cs="Arial" w:eastAsia="Arial" w:hint="default"/>
                <w:spacing w:val="-12"/>
                <w:sz w:val="20"/>
                <w:szCs w:val="20"/>
              </w:rPr>
              <w:t> </w:t>
            </w:r>
            <w:r>
              <w:rPr>
                <w:rFonts w:ascii="Arial" w:hAnsi="Arial" w:cs="Arial" w:eastAsia="Arial" w:hint="default"/>
                <w:sz w:val="20"/>
                <w:szCs w:val="20"/>
              </w:rPr>
              <w:t>International</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9"/>
              <w:jc w:val="right"/>
              <w:rPr>
                <w:rFonts w:ascii="Arial" w:hAnsi="Arial" w:cs="Arial" w:eastAsia="Arial" w:hint="default"/>
                <w:sz w:val="20"/>
                <w:szCs w:val="20"/>
              </w:rPr>
            </w:pPr>
            <w:r>
              <w:rPr>
                <w:rFonts w:ascii="Arial"/>
                <w:sz w:val="20"/>
              </w:rPr>
              <w:t>6,759,918</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5</w:t>
            </w:r>
          </w:p>
        </w:tc>
      </w:tr>
      <w:tr>
        <w:trPr>
          <w:trHeight w:val="240"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24" w:lineRule="exact"/>
              <w:ind w:left="53" w:right="0"/>
              <w:jc w:val="left"/>
              <w:rPr>
                <w:rFonts w:ascii="黑体" w:hAnsi="黑体" w:cs="黑体" w:eastAsia="黑体" w:hint="default"/>
                <w:sz w:val="20"/>
                <w:szCs w:val="20"/>
              </w:rPr>
            </w:pPr>
            <w:r>
              <w:rPr>
                <w:rFonts w:ascii="黑体" w:hAnsi="黑体" w:cs="黑体" w:eastAsia="黑体" w:hint="default"/>
                <w:sz w:val="20"/>
                <w:szCs w:val="20"/>
              </w:rPr>
              <w:t>浙江用友</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9"/>
              <w:jc w:val="right"/>
              <w:rPr>
                <w:rFonts w:ascii="Arial" w:hAnsi="Arial" w:cs="Arial" w:eastAsia="Arial" w:hint="default"/>
                <w:sz w:val="20"/>
                <w:szCs w:val="20"/>
              </w:rPr>
            </w:pPr>
            <w:r>
              <w:rPr>
                <w:rFonts w:ascii="Arial"/>
                <w:sz w:val="20"/>
              </w:rPr>
              <w:t>11,143,678</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8</w:t>
            </w:r>
          </w:p>
        </w:tc>
      </w:tr>
      <w:tr>
        <w:trPr>
          <w:trHeight w:val="240"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24" w:lineRule="exact"/>
              <w:ind w:left="53" w:right="0"/>
              <w:jc w:val="left"/>
              <w:rPr>
                <w:rFonts w:ascii="黑体" w:hAnsi="黑体" w:cs="黑体" w:eastAsia="黑体" w:hint="default"/>
                <w:sz w:val="20"/>
                <w:szCs w:val="20"/>
              </w:rPr>
            </w:pPr>
            <w:r>
              <w:rPr>
                <w:rFonts w:ascii="黑体" w:hAnsi="黑体" w:cs="黑体" w:eastAsia="黑体" w:hint="default"/>
                <w:sz w:val="20"/>
                <w:szCs w:val="20"/>
              </w:rPr>
              <w:t>沈阳用友</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9"/>
              <w:jc w:val="right"/>
              <w:rPr>
                <w:rFonts w:ascii="Arial" w:hAnsi="Arial" w:cs="Arial" w:eastAsia="Arial" w:hint="default"/>
                <w:sz w:val="20"/>
                <w:szCs w:val="20"/>
              </w:rPr>
            </w:pPr>
            <w:r>
              <w:rPr>
                <w:rFonts w:ascii="Arial"/>
                <w:sz w:val="20"/>
              </w:rPr>
              <w:t>2,202,275</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2</w:t>
            </w:r>
          </w:p>
        </w:tc>
      </w:tr>
      <w:tr>
        <w:trPr>
          <w:trHeight w:val="240"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24" w:lineRule="exact"/>
              <w:ind w:left="53" w:right="0"/>
              <w:jc w:val="left"/>
              <w:rPr>
                <w:rFonts w:ascii="黑体" w:hAnsi="黑体" w:cs="黑体" w:eastAsia="黑体" w:hint="default"/>
                <w:sz w:val="20"/>
                <w:szCs w:val="20"/>
              </w:rPr>
            </w:pPr>
            <w:r>
              <w:rPr>
                <w:rFonts w:ascii="黑体" w:hAnsi="黑体" w:cs="黑体" w:eastAsia="黑体" w:hint="default"/>
                <w:sz w:val="20"/>
                <w:szCs w:val="20"/>
              </w:rPr>
              <w:t>大连用友</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9"/>
              <w:jc w:val="right"/>
              <w:rPr>
                <w:rFonts w:ascii="Arial" w:hAnsi="Arial" w:cs="Arial" w:eastAsia="Arial" w:hint="default"/>
                <w:sz w:val="20"/>
                <w:szCs w:val="20"/>
              </w:rPr>
            </w:pPr>
            <w:r>
              <w:rPr>
                <w:rFonts w:ascii="Arial"/>
                <w:sz w:val="20"/>
              </w:rPr>
              <w:t>2,253,726</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2</w:t>
            </w:r>
          </w:p>
        </w:tc>
      </w:tr>
      <w:tr>
        <w:trPr>
          <w:trHeight w:val="240"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24" w:lineRule="exact"/>
              <w:ind w:left="53" w:right="0"/>
              <w:jc w:val="left"/>
              <w:rPr>
                <w:rFonts w:ascii="黑体" w:hAnsi="黑体" w:cs="黑体" w:eastAsia="黑体" w:hint="default"/>
                <w:sz w:val="20"/>
                <w:szCs w:val="20"/>
              </w:rPr>
            </w:pPr>
            <w:r>
              <w:rPr>
                <w:rFonts w:ascii="黑体" w:hAnsi="黑体" w:cs="黑体" w:eastAsia="黑体" w:hint="default"/>
                <w:sz w:val="20"/>
                <w:szCs w:val="20"/>
              </w:rPr>
              <w:t>广西用友</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8"/>
              <w:jc w:val="right"/>
              <w:rPr>
                <w:rFonts w:ascii="Arial" w:hAnsi="Arial" w:cs="Arial" w:eastAsia="Arial" w:hint="default"/>
                <w:sz w:val="20"/>
                <w:szCs w:val="20"/>
              </w:rPr>
            </w:pPr>
            <w:r>
              <w:rPr>
                <w:rFonts w:ascii="Arial"/>
                <w:sz w:val="20"/>
              </w:rPr>
              <w:t>452,925</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&lt;1</w:t>
            </w:r>
          </w:p>
        </w:tc>
      </w:tr>
      <w:tr>
        <w:trPr>
          <w:trHeight w:val="240"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24" w:lineRule="exact"/>
              <w:ind w:left="53" w:right="0"/>
              <w:jc w:val="left"/>
              <w:rPr>
                <w:rFonts w:ascii="黑体" w:hAnsi="黑体" w:cs="黑体" w:eastAsia="黑体" w:hint="default"/>
                <w:sz w:val="20"/>
                <w:szCs w:val="20"/>
              </w:rPr>
            </w:pPr>
            <w:r>
              <w:rPr>
                <w:rFonts w:ascii="黑体" w:hAnsi="黑体" w:cs="黑体" w:eastAsia="黑体" w:hint="default"/>
                <w:sz w:val="20"/>
                <w:szCs w:val="20"/>
              </w:rPr>
              <w:t>山东用友</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9"/>
              <w:jc w:val="right"/>
              <w:rPr>
                <w:rFonts w:ascii="Arial" w:hAnsi="Arial" w:cs="Arial" w:eastAsia="Arial" w:hint="default"/>
                <w:sz w:val="20"/>
                <w:szCs w:val="20"/>
              </w:rPr>
            </w:pPr>
            <w:r>
              <w:rPr>
                <w:rFonts w:ascii="Arial"/>
                <w:sz w:val="20"/>
              </w:rPr>
              <w:t>7,892,889</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6</w:t>
            </w:r>
          </w:p>
        </w:tc>
      </w:tr>
      <w:tr>
        <w:trPr>
          <w:trHeight w:val="240"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24" w:lineRule="exact"/>
              <w:ind w:left="53" w:right="0"/>
              <w:jc w:val="left"/>
              <w:rPr>
                <w:rFonts w:ascii="黑体" w:hAnsi="黑体" w:cs="黑体" w:eastAsia="黑体" w:hint="default"/>
                <w:sz w:val="20"/>
                <w:szCs w:val="20"/>
              </w:rPr>
            </w:pPr>
            <w:r>
              <w:rPr>
                <w:rFonts w:ascii="黑体" w:hAnsi="黑体" w:cs="黑体" w:eastAsia="黑体" w:hint="default"/>
                <w:spacing w:val="-1"/>
                <w:sz w:val="20"/>
                <w:szCs w:val="20"/>
              </w:rPr>
              <w:t>深圳用友软件</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9"/>
              <w:jc w:val="right"/>
              <w:rPr>
                <w:rFonts w:ascii="Arial" w:hAnsi="Arial" w:cs="Arial" w:eastAsia="Arial" w:hint="default"/>
                <w:sz w:val="20"/>
                <w:szCs w:val="20"/>
              </w:rPr>
            </w:pPr>
            <w:r>
              <w:rPr>
                <w:rFonts w:ascii="Arial"/>
                <w:sz w:val="20"/>
              </w:rPr>
              <w:t>18,921,828</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14</w:t>
            </w:r>
          </w:p>
        </w:tc>
      </w:tr>
      <w:tr>
        <w:trPr>
          <w:trHeight w:val="240"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24" w:lineRule="exact"/>
              <w:ind w:left="53" w:right="0"/>
              <w:jc w:val="left"/>
              <w:rPr>
                <w:rFonts w:ascii="黑体" w:hAnsi="黑体" w:cs="黑体" w:eastAsia="黑体" w:hint="default"/>
                <w:sz w:val="20"/>
                <w:szCs w:val="20"/>
              </w:rPr>
            </w:pPr>
            <w:r>
              <w:rPr>
                <w:rFonts w:ascii="黑体" w:hAnsi="黑体" w:cs="黑体" w:eastAsia="黑体" w:hint="default"/>
                <w:sz w:val="20"/>
                <w:szCs w:val="20"/>
              </w:rPr>
              <w:t>香港用友</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8"/>
              <w:jc w:val="right"/>
              <w:rPr>
                <w:rFonts w:ascii="Arial" w:hAnsi="Arial" w:cs="Arial" w:eastAsia="Arial" w:hint="default"/>
                <w:sz w:val="20"/>
                <w:szCs w:val="20"/>
              </w:rPr>
            </w:pPr>
            <w:r>
              <w:rPr>
                <w:rFonts w:ascii="Arial"/>
                <w:sz w:val="20"/>
              </w:rPr>
              <w:t>502,388</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&lt;1</w:t>
            </w:r>
          </w:p>
        </w:tc>
      </w:tr>
      <w:tr>
        <w:trPr>
          <w:trHeight w:val="240"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24" w:lineRule="exact"/>
              <w:ind w:left="53" w:right="0"/>
              <w:jc w:val="left"/>
              <w:rPr>
                <w:rFonts w:ascii="黑体" w:hAnsi="黑体" w:cs="黑体" w:eastAsia="黑体" w:hint="default"/>
                <w:sz w:val="20"/>
                <w:szCs w:val="20"/>
              </w:rPr>
            </w:pPr>
            <w:r>
              <w:rPr>
                <w:rFonts w:ascii="黑体" w:hAnsi="黑体" w:cs="黑体" w:eastAsia="黑体" w:hint="default"/>
                <w:spacing w:val="-1"/>
                <w:sz w:val="20"/>
                <w:szCs w:val="20"/>
              </w:rPr>
              <w:t>新加坡用友</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8"/>
              <w:jc w:val="right"/>
              <w:rPr>
                <w:rFonts w:ascii="Arial" w:hAnsi="Arial" w:cs="Arial" w:eastAsia="Arial" w:hint="default"/>
                <w:sz w:val="20"/>
                <w:szCs w:val="20"/>
              </w:rPr>
            </w:pPr>
            <w:r>
              <w:rPr>
                <w:rFonts w:ascii="Arial"/>
                <w:sz w:val="20"/>
              </w:rPr>
              <w:t>211,736</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&lt;1</w:t>
            </w:r>
          </w:p>
        </w:tc>
      </w:tr>
      <w:tr>
        <w:trPr>
          <w:trHeight w:val="240"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24" w:lineRule="exact"/>
              <w:ind w:left="53" w:right="0"/>
              <w:jc w:val="left"/>
              <w:rPr>
                <w:rFonts w:ascii="黑体" w:hAnsi="黑体" w:cs="黑体" w:eastAsia="黑体" w:hint="default"/>
                <w:sz w:val="20"/>
                <w:szCs w:val="20"/>
              </w:rPr>
            </w:pPr>
            <w:r>
              <w:rPr>
                <w:rFonts w:ascii="黑体" w:hAnsi="黑体" w:cs="黑体" w:eastAsia="黑体" w:hint="default"/>
                <w:sz w:val="20"/>
                <w:szCs w:val="20"/>
              </w:rPr>
              <w:t>江西用友</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9"/>
              <w:jc w:val="right"/>
              <w:rPr>
                <w:rFonts w:ascii="Arial" w:hAnsi="Arial" w:cs="Arial" w:eastAsia="Arial" w:hint="default"/>
                <w:sz w:val="20"/>
                <w:szCs w:val="20"/>
              </w:rPr>
            </w:pPr>
            <w:r>
              <w:rPr>
                <w:rFonts w:ascii="Arial"/>
                <w:sz w:val="20"/>
              </w:rPr>
              <w:t>2,244,297</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2</w:t>
            </w:r>
          </w:p>
        </w:tc>
      </w:tr>
      <w:tr>
        <w:trPr>
          <w:trHeight w:val="240"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24" w:lineRule="exact"/>
              <w:ind w:left="53" w:right="0"/>
              <w:jc w:val="left"/>
              <w:rPr>
                <w:rFonts w:ascii="黑体" w:hAnsi="黑体" w:cs="黑体" w:eastAsia="黑体" w:hint="default"/>
                <w:sz w:val="20"/>
                <w:szCs w:val="20"/>
              </w:rPr>
            </w:pPr>
            <w:r>
              <w:rPr>
                <w:rFonts w:ascii="黑体" w:hAnsi="黑体" w:cs="黑体" w:eastAsia="黑体" w:hint="default"/>
                <w:spacing w:val="-1"/>
                <w:sz w:val="20"/>
                <w:szCs w:val="20"/>
              </w:rPr>
              <w:t>内蒙古用友</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8"/>
              <w:jc w:val="right"/>
              <w:rPr>
                <w:rFonts w:ascii="Arial" w:hAnsi="Arial" w:cs="Arial" w:eastAsia="Arial" w:hint="default"/>
                <w:sz w:val="20"/>
                <w:szCs w:val="20"/>
              </w:rPr>
            </w:pPr>
            <w:r>
              <w:rPr>
                <w:rFonts w:ascii="Arial"/>
                <w:sz w:val="20"/>
              </w:rPr>
              <w:t>394,778</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&lt;1</w:t>
            </w:r>
          </w:p>
        </w:tc>
      </w:tr>
      <w:tr>
        <w:trPr>
          <w:trHeight w:val="240"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38" w:lineRule="exact"/>
              <w:ind w:left="53" w:right="0"/>
              <w:jc w:val="left"/>
              <w:rPr>
                <w:rFonts w:ascii="黑体" w:hAnsi="黑体" w:cs="黑体" w:eastAsia="黑体" w:hint="default"/>
                <w:sz w:val="20"/>
                <w:szCs w:val="20"/>
              </w:rPr>
            </w:pPr>
            <w:r>
              <w:rPr>
                <w:rFonts w:ascii="黑体" w:hAnsi="黑体" w:cs="黑体" w:eastAsia="黑体" w:hint="default"/>
                <w:spacing w:val="-1"/>
                <w:sz w:val="20"/>
                <w:szCs w:val="20"/>
              </w:rPr>
              <w:t>用友</w:t>
            </w:r>
            <w:r>
              <w:rPr>
                <w:rFonts w:ascii="Arial" w:hAnsi="Arial" w:cs="Arial" w:eastAsia="Arial" w:hint="default"/>
                <w:spacing w:val="-1"/>
                <w:sz w:val="20"/>
                <w:szCs w:val="20"/>
              </w:rPr>
              <w:t>(</w:t>
            </w:r>
            <w:r>
              <w:rPr>
                <w:rFonts w:ascii="黑体" w:hAnsi="黑体" w:cs="黑体" w:eastAsia="黑体" w:hint="default"/>
                <w:spacing w:val="-1"/>
                <w:sz w:val="20"/>
                <w:szCs w:val="20"/>
              </w:rPr>
              <w:t>南昌</w:t>
            </w:r>
            <w:r>
              <w:rPr>
                <w:rFonts w:ascii="Arial" w:hAnsi="Arial" w:cs="Arial" w:eastAsia="Arial" w:hint="default"/>
                <w:spacing w:val="-1"/>
                <w:sz w:val="20"/>
                <w:szCs w:val="20"/>
              </w:rPr>
              <w:t>)</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8"/>
              <w:jc w:val="right"/>
              <w:rPr>
                <w:rFonts w:ascii="Arial" w:hAnsi="Arial" w:cs="Arial" w:eastAsia="Arial" w:hint="default"/>
                <w:sz w:val="20"/>
                <w:szCs w:val="20"/>
              </w:rPr>
            </w:pPr>
            <w:r>
              <w:rPr>
                <w:rFonts w:ascii="Arial"/>
                <w:sz w:val="20"/>
              </w:rPr>
              <w:t>101,459</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&lt;1</w:t>
            </w:r>
          </w:p>
        </w:tc>
      </w:tr>
      <w:tr>
        <w:trPr>
          <w:trHeight w:val="239"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234" w:val="left" w:leader="none"/>
              </w:tabs>
              <w:spacing w:line="224" w:lineRule="exact"/>
              <w:ind w:left="53" w:right="0"/>
              <w:jc w:val="left"/>
              <w:rPr>
                <w:rFonts w:ascii="黑体" w:hAnsi="黑体" w:cs="黑体" w:eastAsia="黑体" w:hint="default"/>
                <w:sz w:val="20"/>
                <w:szCs w:val="20"/>
              </w:rPr>
            </w:pPr>
            <w:r>
              <w:rPr>
                <w:rFonts w:ascii="黑体" w:hAnsi="黑体" w:cs="黑体" w:eastAsia="黑体" w:hint="default"/>
                <w:sz w:val="20"/>
                <w:szCs w:val="20"/>
              </w:rPr>
              <w:t>湖南用友</w:t>
              <w:tab/>
            </w:r>
            <w:r>
              <w:rPr>
                <w:rFonts w:ascii="黑体" w:hAnsi="黑体" w:cs="黑体" w:eastAsia="黑体" w:hint="default"/>
                <w:position w:val="2"/>
                <w:sz w:val="20"/>
                <w:szCs w:val="20"/>
              </w:rPr>
              <w:t>子公司</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89"/>
              <w:jc w:val="right"/>
              <w:rPr>
                <w:rFonts w:ascii="Arial" w:hAnsi="Arial" w:cs="Arial" w:eastAsia="Arial" w:hint="default"/>
                <w:sz w:val="20"/>
                <w:szCs w:val="20"/>
              </w:rPr>
            </w:pPr>
            <w:r>
              <w:rPr>
                <w:rFonts w:ascii="Arial"/>
                <w:sz w:val="20"/>
              </w:rPr>
              <w:t>3,444,961</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2</w:t>
            </w:r>
          </w:p>
        </w:tc>
      </w:tr>
      <w:tr>
        <w:trPr>
          <w:trHeight w:val="233"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tabs>
                <w:tab w:pos="3033" w:val="left" w:leader="none"/>
              </w:tabs>
              <w:spacing w:line="223" w:lineRule="exact"/>
              <w:ind w:left="53" w:right="0"/>
              <w:jc w:val="left"/>
              <w:rPr>
                <w:rFonts w:ascii="黑体" w:hAnsi="黑体" w:cs="黑体" w:eastAsia="黑体" w:hint="default"/>
                <w:sz w:val="20"/>
                <w:szCs w:val="20"/>
              </w:rPr>
            </w:pPr>
            <w:r>
              <w:rPr>
                <w:rFonts w:ascii="黑体" w:hAnsi="黑体" w:cs="黑体" w:eastAsia="黑体" w:hint="default"/>
                <w:sz w:val="20"/>
                <w:szCs w:val="20"/>
              </w:rPr>
              <w:t>用友致远</w:t>
              <w:tab/>
            </w:r>
            <w:r>
              <w:rPr>
                <w:rFonts w:ascii="黑体" w:hAnsi="黑体" w:cs="黑体" w:eastAsia="黑体" w:hint="default"/>
                <w:position w:val="2"/>
                <w:sz w:val="20"/>
                <w:szCs w:val="20"/>
              </w:rPr>
              <w:t>联营企业</w:t>
            </w:r>
            <w:r>
              <w:rPr>
                <w:rFonts w:ascii="黑体" w:hAnsi="黑体" w:cs="黑体" w:eastAsia="黑体" w:hint="default"/>
                <w:sz w:val="20"/>
                <w:szCs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87"/>
              <w:jc w:val="right"/>
              <w:rPr>
                <w:rFonts w:ascii="Arial" w:hAnsi="Arial" w:cs="Arial" w:eastAsia="Arial" w:hint="default"/>
                <w:sz w:val="20"/>
                <w:szCs w:val="20"/>
              </w:rPr>
            </w:pPr>
            <w:r>
              <w:rPr>
                <w:rFonts w:ascii="Arial"/>
                <w:sz w:val="20"/>
              </w:rPr>
              <w:t>12,083</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sz w:val="20"/>
              </w:rPr>
              <w:t>&lt;1</w:t>
            </w:r>
          </w:p>
        </w:tc>
      </w:tr>
      <w:tr>
        <w:trPr>
          <w:trHeight w:val="241" w:hRule="exact"/>
        </w:trPr>
        <w:tc>
          <w:tcPr>
            <w:tcW w:w="701" w:type="dxa"/>
            <w:tcBorders>
              <w:top w:val="nil" w:sz="6" w:space="0" w:color="auto"/>
              <w:left w:val="nil" w:sz="6" w:space="0" w:color="auto"/>
              <w:bottom w:val="nil" w:sz="6" w:space="0" w:color="auto"/>
              <w:right w:val="nil" w:sz="6" w:space="0" w:color="auto"/>
            </w:tcBorders>
          </w:tcPr>
          <w:p>
            <w:pPr/>
          </w:p>
        </w:tc>
        <w:tc>
          <w:tcPr>
            <w:tcW w:w="4586" w:type="dxa"/>
            <w:gridSpan w:val="2"/>
            <w:tcBorders>
              <w:top w:val="nil" w:sz="6" w:space="0" w:color="auto"/>
              <w:left w:val="nil" w:sz="6" w:space="0" w:color="auto"/>
              <w:bottom w:val="nil" w:sz="6" w:space="0" w:color="auto"/>
              <w:right w:val="nil" w:sz="6" w:space="0" w:color="auto"/>
            </w:tcBorders>
          </w:tcPr>
          <w:p>
            <w:pPr>
              <w:pStyle w:val="TableParagraph"/>
              <w:spacing w:line="230" w:lineRule="exact"/>
              <w:ind w:left="2329" w:right="0"/>
              <w:jc w:val="left"/>
              <w:rPr>
                <w:rFonts w:ascii="黑体" w:hAnsi="黑体" w:cs="黑体" w:eastAsia="黑体" w:hint="default"/>
                <w:sz w:val="20"/>
                <w:szCs w:val="20"/>
              </w:rPr>
            </w:pPr>
            <w:r>
              <w:rPr>
                <w:rFonts w:ascii="黑体" w:hAnsi="黑体" w:cs="黑体" w:eastAsia="黑体" w:hint="default"/>
                <w:sz w:val="20"/>
                <w:szCs w:val="20"/>
              </w:rPr>
              <w:t>与本公司同受用友</w:t>
            </w:r>
          </w:p>
        </w:tc>
        <w:tc>
          <w:tcPr>
            <w:tcW w:w="1650"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
        </w:tc>
      </w:tr>
      <w:tr>
        <w:trPr>
          <w:trHeight w:val="250" w:hRule="exact"/>
        </w:trPr>
        <w:tc>
          <w:tcPr>
            <w:tcW w:w="2536" w:type="dxa"/>
            <w:gridSpan w:val="2"/>
            <w:tcBorders>
              <w:top w:val="nil" w:sz="6" w:space="0" w:color="auto"/>
              <w:left w:val="nil" w:sz="6" w:space="0" w:color="auto"/>
              <w:bottom w:val="nil" w:sz="6" w:space="0" w:color="auto"/>
              <w:right w:val="nil" w:sz="6" w:space="0" w:color="auto"/>
            </w:tcBorders>
          </w:tcPr>
          <w:p>
            <w:pPr>
              <w:pStyle w:val="TableParagraph"/>
              <w:spacing w:line="209" w:lineRule="exact"/>
              <w:ind w:left="735" w:right="0"/>
              <w:jc w:val="left"/>
              <w:rPr>
                <w:rFonts w:ascii="黑体" w:hAnsi="黑体" w:cs="黑体" w:eastAsia="黑体" w:hint="default"/>
                <w:sz w:val="20"/>
                <w:szCs w:val="20"/>
              </w:rPr>
            </w:pPr>
            <w:r>
              <w:rPr>
                <w:rFonts w:ascii="黑体" w:hAnsi="黑体" w:cs="黑体" w:eastAsia="黑体" w:hint="default"/>
                <w:sz w:val="20"/>
                <w:szCs w:val="20"/>
              </w:rPr>
              <w:t>用友移动</w:t>
            </w:r>
          </w:p>
        </w:tc>
        <w:tc>
          <w:tcPr>
            <w:tcW w:w="2751" w:type="dxa"/>
            <w:tcBorders>
              <w:top w:val="nil" w:sz="6" w:space="0" w:color="auto"/>
              <w:left w:val="nil" w:sz="6" w:space="0" w:color="auto"/>
              <w:bottom w:val="nil" w:sz="6" w:space="0" w:color="auto"/>
              <w:right w:val="nil" w:sz="6" w:space="0" w:color="auto"/>
            </w:tcBorders>
          </w:tcPr>
          <w:p>
            <w:pPr>
              <w:pStyle w:val="TableParagraph"/>
              <w:spacing w:line="200" w:lineRule="exact"/>
              <w:ind w:left="998" w:right="0"/>
              <w:jc w:val="left"/>
              <w:rPr>
                <w:rFonts w:ascii="黑体" w:hAnsi="黑体" w:cs="黑体" w:eastAsia="黑体" w:hint="default"/>
                <w:sz w:val="20"/>
                <w:szCs w:val="20"/>
              </w:rPr>
            </w:pPr>
            <w:r>
              <w:rPr>
                <w:rFonts w:ascii="黑体" w:hAnsi="黑体" w:cs="黑体" w:eastAsia="黑体" w:hint="default"/>
                <w:sz w:val="20"/>
                <w:szCs w:val="20"/>
              </w:rPr>
              <w:t>研究所控制</w:t>
            </w:r>
          </w:p>
        </w:tc>
        <w:tc>
          <w:tcPr>
            <w:tcW w:w="1650" w:type="dxa"/>
            <w:tcBorders>
              <w:top w:val="nil" w:sz="6" w:space="0" w:color="auto"/>
              <w:left w:val="nil" w:sz="6" w:space="0" w:color="auto"/>
              <w:bottom w:val="nil" w:sz="6" w:space="0" w:color="auto"/>
              <w:right w:val="nil" w:sz="6" w:space="0" w:color="auto"/>
            </w:tcBorders>
          </w:tcPr>
          <w:p>
            <w:pPr>
              <w:pStyle w:val="TableParagraph"/>
              <w:tabs>
                <w:tab w:pos="499" w:val="left" w:leader="none"/>
              </w:tabs>
              <w:spacing w:line="223" w:lineRule="exact"/>
              <w:ind w:right="28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39,078</w:t>
            </w:r>
            <w:r>
              <w:rPr>
                <w:rFonts w:ascii="Arial"/>
                <w:sz w:val="20"/>
              </w:rPr>
            </w:r>
          </w:p>
        </w:tc>
        <w:tc>
          <w:tcPr>
            <w:tcW w:w="1636" w:type="dxa"/>
            <w:tcBorders>
              <w:top w:val="nil" w:sz="6" w:space="0" w:color="auto"/>
              <w:left w:val="nil" w:sz="6" w:space="0" w:color="auto"/>
              <w:bottom w:val="nil" w:sz="6" w:space="0" w:color="auto"/>
              <w:right w:val="nil" w:sz="6" w:space="0" w:color="auto"/>
            </w:tcBorders>
          </w:tcPr>
          <w:p>
            <w:pPr>
              <w:pStyle w:val="TableParagraph"/>
              <w:spacing w:line="223" w:lineRule="exact"/>
              <w:ind w:right="33"/>
              <w:jc w:val="right"/>
              <w:rPr>
                <w:rFonts w:ascii="Arial" w:hAnsi="Arial" w:cs="Arial" w:eastAsia="Arial" w:hint="default"/>
                <w:sz w:val="20"/>
                <w:szCs w:val="20"/>
              </w:rPr>
            </w:pPr>
            <w:r>
              <w:rPr>
                <w:rFonts w:ascii="Arial"/>
                <w:w w:val="100"/>
                <w:sz w:val="20"/>
              </w:rPr>
            </w:r>
            <w:r>
              <w:rPr>
                <w:rFonts w:ascii="Arial"/>
                <w:sz w:val="20"/>
                <w:u w:val="single" w:color="000000"/>
              </w:rPr>
              <w:t>&lt;1</w:t>
            </w:r>
            <w:r>
              <w:rPr>
                <w:rFonts w:ascii="Arial"/>
                <w:sz w:val="20"/>
              </w:rPr>
            </w:r>
          </w:p>
        </w:tc>
      </w:tr>
      <w:tr>
        <w:trPr>
          <w:trHeight w:val="320" w:hRule="exact"/>
        </w:trPr>
        <w:tc>
          <w:tcPr>
            <w:tcW w:w="2536" w:type="dxa"/>
            <w:gridSpan w:val="2"/>
            <w:tcBorders>
              <w:top w:val="nil" w:sz="6" w:space="0" w:color="auto"/>
              <w:left w:val="nil" w:sz="6" w:space="0" w:color="auto"/>
              <w:bottom w:val="nil" w:sz="6" w:space="0" w:color="auto"/>
              <w:right w:val="nil" w:sz="6" w:space="0" w:color="auto"/>
            </w:tcBorders>
          </w:tcPr>
          <w:p>
            <w:pPr/>
          </w:p>
        </w:tc>
        <w:tc>
          <w:tcPr>
            <w:tcW w:w="2751"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Style w:val="TableParagraph"/>
              <w:spacing w:line="225" w:lineRule="exact"/>
              <w:ind w:right="288"/>
              <w:jc w:val="right"/>
              <w:rPr>
                <w:rFonts w:ascii="Arial" w:hAnsi="Arial" w:cs="Arial" w:eastAsia="Arial" w:hint="default"/>
                <w:sz w:val="20"/>
                <w:szCs w:val="20"/>
              </w:rPr>
            </w:pPr>
            <w:r>
              <w:rPr>
                <w:rFonts w:ascii="Arial"/>
                <w:w w:val="100"/>
                <w:sz w:val="20"/>
              </w:rPr>
            </w:r>
            <w:r>
              <w:rPr>
                <w:rFonts w:ascii="Arial"/>
                <w:spacing w:val="-1"/>
                <w:sz w:val="20"/>
                <w:u w:val="thick" w:color="000000"/>
              </w:rPr>
              <w:t>111,423,841</w:t>
            </w:r>
            <w:r>
              <w:rPr>
                <w:rFonts w:ascii="Arial"/>
                <w:spacing w:val="-1"/>
                <w:sz w:val="20"/>
              </w:rPr>
            </w:r>
          </w:p>
        </w:tc>
        <w:tc>
          <w:tcPr>
            <w:tcW w:w="1636" w:type="dxa"/>
            <w:tcBorders>
              <w:top w:val="nil" w:sz="6" w:space="0" w:color="auto"/>
              <w:left w:val="nil" w:sz="6" w:space="0" w:color="auto"/>
              <w:bottom w:val="nil" w:sz="6" w:space="0" w:color="auto"/>
              <w:right w:val="nil" w:sz="6" w:space="0" w:color="auto"/>
            </w:tcBorders>
          </w:tcPr>
          <w:p>
            <w:pPr>
              <w:pStyle w:val="TableParagraph"/>
              <w:spacing w:line="225" w:lineRule="exact"/>
              <w:ind w:right="33"/>
              <w:jc w:val="right"/>
              <w:rPr>
                <w:rFonts w:ascii="Arial" w:hAnsi="Arial" w:cs="Arial" w:eastAsia="Arial" w:hint="default"/>
                <w:sz w:val="20"/>
                <w:szCs w:val="20"/>
              </w:rPr>
            </w:pPr>
            <w:r>
              <w:rPr>
                <w:rFonts w:ascii="Arial"/>
                <w:w w:val="100"/>
                <w:sz w:val="20"/>
              </w:rPr>
            </w:r>
            <w:r>
              <w:rPr>
                <w:rFonts w:ascii="Arial"/>
                <w:sz w:val="20"/>
                <w:u w:val="thick" w:color="000000"/>
              </w:rPr>
              <w:t>80</w:t>
            </w:r>
            <w:r>
              <w:rPr>
                <w:rFonts w:ascii="Arial"/>
                <w:sz w:val="20"/>
              </w:rPr>
            </w:r>
          </w:p>
        </w:tc>
      </w:tr>
    </w:tbl>
    <w:p>
      <w:pPr>
        <w:spacing w:after="0" w:line="225" w:lineRule="exact"/>
        <w:jc w:val="right"/>
        <w:rPr>
          <w:rFonts w:ascii="Arial" w:hAnsi="Arial" w:cs="Arial" w:eastAsia="Arial" w:hint="default"/>
          <w:sz w:val="20"/>
          <w:szCs w:val="20"/>
        </w:rPr>
        <w:sectPr>
          <w:pgSz w:w="11910" w:h="16840"/>
          <w:pgMar w:header="958" w:footer="385" w:top="2560" w:bottom="580" w:left="1560" w:right="15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4"/>
          <w:szCs w:val="24"/>
        </w:rPr>
      </w:pPr>
    </w:p>
    <w:p>
      <w:pPr>
        <w:spacing w:before="38"/>
        <w:ind w:left="141" w:right="114"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0"/>
        <w:rPr>
          <w:rFonts w:ascii="黑体" w:hAnsi="黑体" w:cs="黑体" w:eastAsia="黑体" w:hint="default"/>
          <w:b/>
          <w:bCs/>
          <w:sz w:val="23"/>
          <w:szCs w:val="23"/>
        </w:rPr>
      </w:pPr>
    </w:p>
    <w:p>
      <w:pPr>
        <w:tabs>
          <w:tab w:pos="880" w:val="left" w:leader="none"/>
        </w:tabs>
        <w:spacing w:line="489" w:lineRule="auto" w:before="0"/>
        <w:ind w:left="855" w:right="3675" w:hanging="715"/>
        <w:jc w:val="left"/>
        <w:rPr>
          <w:rFonts w:ascii="黑体" w:hAnsi="黑体" w:cs="黑体" w:eastAsia="黑体" w:hint="default"/>
          <w:sz w:val="20"/>
          <w:szCs w:val="20"/>
        </w:rPr>
      </w:pPr>
      <w:r>
        <w:rPr>
          <w:rFonts w:ascii="Arial" w:hAnsi="Arial" w:cs="Arial" w:eastAsia="Arial" w:hint="default"/>
          <w:b/>
          <w:bCs/>
          <w:spacing w:val="-1"/>
          <w:sz w:val="20"/>
          <w:szCs w:val="20"/>
        </w:rPr>
        <w:t>6.</w:t>
        <w:tab/>
        <w:tab/>
      </w:r>
      <w:r>
        <w:rPr>
          <w:rFonts w:ascii="黑体" w:hAnsi="黑体" w:cs="黑体" w:eastAsia="黑体" w:hint="default"/>
          <w:b/>
          <w:bCs/>
          <w:sz w:val="20"/>
          <w:szCs w:val="20"/>
        </w:rPr>
        <w:t>其他应收款（续）</w:t>
      </w:r>
      <w:r>
        <w:rPr>
          <w:rFonts w:ascii="黑体" w:hAnsi="黑体" w:cs="黑体" w:eastAsia="黑体" w:hint="default"/>
          <w:b/>
          <w:bCs/>
          <w:w w:val="99"/>
          <w:sz w:val="20"/>
          <w:szCs w:val="20"/>
        </w:rPr>
        <w:t> </w:t>
      </w:r>
      <w:r>
        <w:rPr>
          <w:rFonts w:ascii="黑体" w:hAnsi="黑体" w:cs="黑体" w:eastAsia="黑体" w:hint="default"/>
          <w:spacing w:val="-1"/>
          <w:sz w:val="20"/>
          <w:szCs w:val="20"/>
        </w:rPr>
        <w:t>于</w:t>
      </w:r>
      <w:r>
        <w:rPr>
          <w:rFonts w:ascii="Arial" w:hAnsi="Arial" w:cs="Arial" w:eastAsia="Arial" w:hint="default"/>
          <w:spacing w:val="-1"/>
          <w:sz w:val="20"/>
          <w:szCs w:val="20"/>
        </w:rPr>
        <w:t>2008</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日，其他应收关联方款项如下：</w:t>
      </w:r>
    </w:p>
    <w:tbl>
      <w:tblPr>
        <w:tblW w:w="0" w:type="auto"/>
        <w:jc w:val="left"/>
        <w:tblInd w:w="106" w:type="dxa"/>
        <w:tblLayout w:type="fixed"/>
        <w:tblCellMar>
          <w:top w:w="0" w:type="dxa"/>
          <w:left w:w="0" w:type="dxa"/>
          <w:bottom w:w="0" w:type="dxa"/>
          <w:right w:w="0" w:type="dxa"/>
        </w:tblCellMar>
        <w:tblLook w:val="01E0"/>
      </w:tblPr>
      <w:tblGrid>
        <w:gridCol w:w="2562"/>
        <w:gridCol w:w="2478"/>
        <w:gridCol w:w="1900"/>
        <w:gridCol w:w="1631"/>
      </w:tblGrid>
      <w:tr>
        <w:trPr>
          <w:trHeight w:val="703" w:hRule="exact"/>
        </w:trPr>
        <w:tc>
          <w:tcPr>
            <w:tcW w:w="2562" w:type="dxa"/>
            <w:tcBorders>
              <w:top w:val="nil" w:sz="6" w:space="0" w:color="auto"/>
              <w:left w:val="nil" w:sz="6" w:space="0" w:color="auto"/>
              <w:bottom w:val="nil" w:sz="6" w:space="0" w:color="auto"/>
              <w:right w:val="nil" w:sz="6" w:space="0" w:color="auto"/>
            </w:tcBorders>
          </w:tcPr>
          <w:p>
            <w:pP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00"/>
              <w:jc w:val="right"/>
              <w:rPr>
                <w:rFonts w:ascii="黑体" w:hAnsi="黑体" w:cs="黑体" w:eastAsia="黑体" w:hint="default"/>
                <w:sz w:val="20"/>
                <w:szCs w:val="20"/>
              </w:rPr>
            </w:pPr>
            <w:r>
              <w:rPr>
                <w:rFonts w:ascii="黑体" w:hAnsi="黑体" w:cs="黑体" w:eastAsia="黑体" w:hint="default"/>
                <w:spacing w:val="-1"/>
                <w:sz w:val="20"/>
                <w:szCs w:val="20"/>
              </w:rPr>
              <w:t>与本公司关系</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90"/>
              <w:jc w:val="right"/>
              <w:rPr>
                <w:rFonts w:ascii="黑体" w:hAnsi="黑体" w:cs="黑体" w:eastAsia="黑体" w:hint="default"/>
                <w:sz w:val="20"/>
                <w:szCs w:val="20"/>
              </w:rPr>
            </w:pPr>
            <w:r>
              <w:rPr>
                <w:rFonts w:ascii="黑体" w:hAnsi="黑体" w:cs="黑体" w:eastAsia="黑体" w:hint="default"/>
                <w:sz w:val="20"/>
                <w:szCs w:val="20"/>
              </w:rPr>
              <w:t>金额</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83" w:right="33" w:firstLine="111"/>
              <w:jc w:val="left"/>
              <w:rPr>
                <w:rFonts w:ascii="Arial" w:hAnsi="Arial" w:cs="Arial" w:eastAsia="Arial" w:hint="default"/>
                <w:sz w:val="20"/>
                <w:szCs w:val="20"/>
              </w:rPr>
            </w:pPr>
            <w:r>
              <w:rPr>
                <w:rFonts w:ascii="黑体" w:hAnsi="黑体" w:cs="黑体" w:eastAsia="黑体" w:hint="default"/>
                <w:sz w:val="20"/>
                <w:szCs w:val="20"/>
              </w:rPr>
              <w:t>占其他应收款</w:t>
            </w:r>
            <w:r>
              <w:rPr>
                <w:rFonts w:ascii="黑体" w:hAnsi="黑体" w:cs="黑体" w:eastAsia="黑体" w:hint="default"/>
                <w:w w:val="100"/>
                <w:sz w:val="20"/>
                <w:szCs w:val="20"/>
              </w:rPr>
              <w:t> </w:t>
            </w:r>
            <w:r>
              <w:rPr>
                <w:rFonts w:ascii="黑体" w:hAnsi="黑体" w:cs="黑体" w:eastAsia="黑体" w:hint="default"/>
                <w:spacing w:val="-1"/>
                <w:sz w:val="20"/>
                <w:szCs w:val="20"/>
              </w:rPr>
              <w:t>总额的比例</w:t>
            </w:r>
            <w:r>
              <w:rPr>
                <w:rFonts w:ascii="Arial" w:hAnsi="Arial" w:cs="Arial" w:eastAsia="Arial" w:hint="default"/>
                <w:spacing w:val="-1"/>
                <w:sz w:val="20"/>
                <w:szCs w:val="20"/>
              </w:rPr>
              <w:t>(%)</w:t>
            </w:r>
            <w:r>
              <w:rPr>
                <w:rFonts w:ascii="Arial" w:hAnsi="Arial" w:cs="Arial" w:eastAsia="Arial" w:hint="default"/>
                <w:sz w:val="20"/>
                <w:szCs w:val="20"/>
              </w:rPr>
            </w:r>
          </w:p>
        </w:tc>
      </w:tr>
      <w:tr>
        <w:trPr>
          <w:trHeight w:val="360"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765" w:right="0"/>
              <w:jc w:val="left"/>
              <w:rPr>
                <w:rFonts w:ascii="黑体" w:hAnsi="黑体" w:cs="黑体" w:eastAsia="黑体" w:hint="default"/>
                <w:sz w:val="20"/>
                <w:szCs w:val="20"/>
              </w:rPr>
            </w:pPr>
            <w:r>
              <w:rPr>
                <w:rFonts w:ascii="黑体" w:hAnsi="黑体" w:cs="黑体" w:eastAsia="黑体" w:hint="default"/>
                <w:sz w:val="20"/>
                <w:szCs w:val="20"/>
              </w:rPr>
              <w:t>用友艾福斯</w:t>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501"/>
              <w:jc w:val="right"/>
              <w:rPr>
                <w:rFonts w:ascii="黑体" w:hAnsi="黑体" w:cs="黑体" w:eastAsia="黑体" w:hint="default"/>
                <w:sz w:val="20"/>
                <w:szCs w:val="20"/>
              </w:rPr>
            </w:pPr>
            <w:r>
              <w:rPr>
                <w:rFonts w:ascii="黑体" w:hAnsi="黑体" w:cs="黑体" w:eastAsia="黑体" w:hint="default"/>
                <w:sz w:val="20"/>
                <w:szCs w:val="20"/>
              </w:rPr>
              <w:t>子公司</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83"/>
              <w:jc w:val="right"/>
              <w:rPr>
                <w:rFonts w:ascii="Arial" w:hAnsi="Arial" w:cs="Arial" w:eastAsia="Arial" w:hint="default"/>
                <w:sz w:val="20"/>
                <w:szCs w:val="20"/>
              </w:rPr>
            </w:pPr>
            <w:r>
              <w:rPr>
                <w:rFonts w:ascii="Arial"/>
                <w:sz w:val="20"/>
              </w:rPr>
              <w:t>8,278,375</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4"/>
              <w:jc w:val="right"/>
              <w:rPr>
                <w:rFonts w:ascii="Arial" w:hAnsi="Arial" w:cs="Arial" w:eastAsia="Arial" w:hint="default"/>
                <w:sz w:val="20"/>
                <w:szCs w:val="20"/>
              </w:rPr>
            </w:pPr>
            <w:r>
              <w:rPr>
                <w:rFonts w:ascii="Arial"/>
                <w:w w:val="100"/>
                <w:sz w:val="20"/>
              </w:rPr>
              <w:t>6</w:t>
            </w:r>
          </w:p>
        </w:tc>
      </w:tr>
      <w:tr>
        <w:trPr>
          <w:trHeight w:val="240"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19" w:lineRule="exact"/>
              <w:ind w:left="765" w:right="0"/>
              <w:jc w:val="left"/>
              <w:rPr>
                <w:rFonts w:ascii="黑体" w:hAnsi="黑体" w:cs="黑体" w:eastAsia="黑体" w:hint="default"/>
                <w:sz w:val="20"/>
                <w:szCs w:val="20"/>
              </w:rPr>
            </w:pPr>
            <w:r>
              <w:rPr>
                <w:rFonts w:ascii="黑体" w:hAnsi="黑体" w:cs="黑体" w:eastAsia="黑体" w:hint="default"/>
                <w:sz w:val="20"/>
                <w:szCs w:val="20"/>
              </w:rPr>
              <w:t>重庆用友</w:t>
            </w:r>
          </w:p>
        </w:tc>
        <w:tc>
          <w:tcPr>
            <w:tcW w:w="2478" w:type="dxa"/>
            <w:tcBorders>
              <w:top w:val="nil" w:sz="6" w:space="0" w:color="auto"/>
              <w:left w:val="nil" w:sz="6" w:space="0" w:color="auto"/>
              <w:bottom w:val="nil" w:sz="6" w:space="0" w:color="auto"/>
              <w:right w:val="nil" w:sz="6" w:space="0" w:color="auto"/>
            </w:tcBorders>
          </w:tcPr>
          <w:p>
            <w:pPr>
              <w:pStyle w:val="TableParagraph"/>
              <w:spacing w:line="211" w:lineRule="exact"/>
              <w:ind w:right="501"/>
              <w:jc w:val="right"/>
              <w:rPr>
                <w:rFonts w:ascii="黑体" w:hAnsi="黑体" w:cs="黑体" w:eastAsia="黑体" w:hint="default"/>
                <w:sz w:val="20"/>
                <w:szCs w:val="20"/>
              </w:rPr>
            </w:pPr>
            <w:r>
              <w:rPr>
                <w:rFonts w:ascii="黑体" w:hAnsi="黑体" w:cs="黑体" w:eastAsia="黑体" w:hint="default"/>
                <w:sz w:val="20"/>
                <w:szCs w:val="20"/>
              </w:rPr>
              <w:t>子公司</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3"/>
              <w:jc w:val="right"/>
              <w:rPr>
                <w:rFonts w:ascii="Arial" w:hAnsi="Arial" w:cs="Arial" w:eastAsia="Arial" w:hint="default"/>
                <w:sz w:val="20"/>
                <w:szCs w:val="20"/>
              </w:rPr>
            </w:pPr>
            <w:r>
              <w:rPr>
                <w:rFonts w:ascii="Arial"/>
                <w:sz w:val="20"/>
              </w:rPr>
              <w:t>4,334,820</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
              <w:jc w:val="right"/>
              <w:rPr>
                <w:rFonts w:ascii="Arial" w:hAnsi="Arial" w:cs="Arial" w:eastAsia="Arial" w:hint="default"/>
                <w:sz w:val="20"/>
                <w:szCs w:val="20"/>
              </w:rPr>
            </w:pPr>
            <w:r>
              <w:rPr>
                <w:rFonts w:ascii="Arial"/>
                <w:w w:val="100"/>
                <w:sz w:val="20"/>
              </w:rPr>
              <w:t>3</w:t>
            </w:r>
          </w:p>
        </w:tc>
      </w:tr>
      <w:tr>
        <w:trPr>
          <w:trHeight w:val="240"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19" w:lineRule="exact"/>
              <w:ind w:left="765" w:right="0"/>
              <w:jc w:val="left"/>
              <w:rPr>
                <w:rFonts w:ascii="黑体" w:hAnsi="黑体" w:cs="黑体" w:eastAsia="黑体" w:hint="default"/>
                <w:sz w:val="20"/>
                <w:szCs w:val="20"/>
              </w:rPr>
            </w:pPr>
            <w:r>
              <w:rPr>
                <w:rFonts w:ascii="黑体" w:hAnsi="黑体" w:cs="黑体" w:eastAsia="黑体" w:hint="default"/>
                <w:sz w:val="20"/>
                <w:szCs w:val="20"/>
              </w:rPr>
              <w:t>武汉用友</w:t>
            </w:r>
          </w:p>
        </w:tc>
        <w:tc>
          <w:tcPr>
            <w:tcW w:w="2478" w:type="dxa"/>
            <w:tcBorders>
              <w:top w:val="nil" w:sz="6" w:space="0" w:color="auto"/>
              <w:left w:val="nil" w:sz="6" w:space="0" w:color="auto"/>
              <w:bottom w:val="nil" w:sz="6" w:space="0" w:color="auto"/>
              <w:right w:val="nil" w:sz="6" w:space="0" w:color="auto"/>
            </w:tcBorders>
          </w:tcPr>
          <w:p>
            <w:pPr>
              <w:pStyle w:val="TableParagraph"/>
              <w:spacing w:line="211" w:lineRule="exact"/>
              <w:ind w:right="501"/>
              <w:jc w:val="right"/>
              <w:rPr>
                <w:rFonts w:ascii="黑体" w:hAnsi="黑体" w:cs="黑体" w:eastAsia="黑体" w:hint="default"/>
                <w:sz w:val="20"/>
                <w:szCs w:val="20"/>
              </w:rPr>
            </w:pPr>
            <w:r>
              <w:rPr>
                <w:rFonts w:ascii="黑体" w:hAnsi="黑体" w:cs="黑体" w:eastAsia="黑体" w:hint="default"/>
                <w:sz w:val="20"/>
                <w:szCs w:val="20"/>
              </w:rPr>
              <w:t>子公司</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2"/>
              <w:jc w:val="right"/>
              <w:rPr>
                <w:rFonts w:ascii="Arial" w:hAnsi="Arial" w:cs="Arial" w:eastAsia="Arial" w:hint="default"/>
                <w:sz w:val="20"/>
                <w:szCs w:val="20"/>
              </w:rPr>
            </w:pPr>
            <w:r>
              <w:rPr>
                <w:rFonts w:ascii="Arial"/>
                <w:sz w:val="20"/>
              </w:rPr>
              <w:t>10,169,695</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
              <w:jc w:val="right"/>
              <w:rPr>
                <w:rFonts w:ascii="Arial" w:hAnsi="Arial" w:cs="Arial" w:eastAsia="Arial" w:hint="default"/>
                <w:sz w:val="20"/>
                <w:szCs w:val="20"/>
              </w:rPr>
            </w:pPr>
            <w:r>
              <w:rPr>
                <w:rFonts w:ascii="Arial"/>
                <w:w w:val="100"/>
                <w:sz w:val="20"/>
              </w:rPr>
              <w:t>7</w:t>
            </w:r>
          </w:p>
        </w:tc>
      </w:tr>
      <w:tr>
        <w:trPr>
          <w:trHeight w:val="240"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19" w:lineRule="exact"/>
              <w:ind w:left="765" w:right="0"/>
              <w:jc w:val="left"/>
              <w:rPr>
                <w:rFonts w:ascii="黑体" w:hAnsi="黑体" w:cs="黑体" w:eastAsia="黑体" w:hint="default"/>
                <w:sz w:val="20"/>
                <w:szCs w:val="20"/>
              </w:rPr>
            </w:pPr>
            <w:r>
              <w:rPr>
                <w:rFonts w:ascii="黑体" w:hAnsi="黑体" w:cs="黑体" w:eastAsia="黑体" w:hint="default"/>
                <w:sz w:val="20"/>
                <w:szCs w:val="20"/>
              </w:rPr>
              <w:t>广东用友</w:t>
            </w:r>
          </w:p>
        </w:tc>
        <w:tc>
          <w:tcPr>
            <w:tcW w:w="2478" w:type="dxa"/>
            <w:tcBorders>
              <w:top w:val="nil" w:sz="6" w:space="0" w:color="auto"/>
              <w:left w:val="nil" w:sz="6" w:space="0" w:color="auto"/>
              <w:bottom w:val="nil" w:sz="6" w:space="0" w:color="auto"/>
              <w:right w:val="nil" w:sz="6" w:space="0" w:color="auto"/>
            </w:tcBorders>
          </w:tcPr>
          <w:p>
            <w:pPr>
              <w:pStyle w:val="TableParagraph"/>
              <w:spacing w:line="211" w:lineRule="exact"/>
              <w:ind w:right="501"/>
              <w:jc w:val="right"/>
              <w:rPr>
                <w:rFonts w:ascii="黑体" w:hAnsi="黑体" w:cs="黑体" w:eastAsia="黑体" w:hint="default"/>
                <w:sz w:val="20"/>
                <w:szCs w:val="20"/>
              </w:rPr>
            </w:pPr>
            <w:r>
              <w:rPr>
                <w:rFonts w:ascii="黑体" w:hAnsi="黑体" w:cs="黑体" w:eastAsia="黑体" w:hint="default"/>
                <w:sz w:val="20"/>
                <w:szCs w:val="20"/>
              </w:rPr>
              <w:t>子公司</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2"/>
              <w:jc w:val="right"/>
              <w:rPr>
                <w:rFonts w:ascii="Arial" w:hAnsi="Arial" w:cs="Arial" w:eastAsia="Arial" w:hint="default"/>
                <w:sz w:val="20"/>
                <w:szCs w:val="20"/>
              </w:rPr>
            </w:pPr>
            <w:r>
              <w:rPr>
                <w:rFonts w:ascii="Arial"/>
                <w:sz w:val="20"/>
              </w:rPr>
              <w:t>20,406,149</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
              <w:jc w:val="right"/>
              <w:rPr>
                <w:rFonts w:ascii="Arial" w:hAnsi="Arial" w:cs="Arial" w:eastAsia="Arial" w:hint="default"/>
                <w:sz w:val="20"/>
                <w:szCs w:val="20"/>
              </w:rPr>
            </w:pPr>
            <w:r>
              <w:rPr>
                <w:rFonts w:ascii="Arial"/>
                <w:sz w:val="20"/>
              </w:rPr>
              <w:t>14</w:t>
            </w:r>
          </w:p>
        </w:tc>
      </w:tr>
      <w:tr>
        <w:trPr>
          <w:trHeight w:val="240"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19" w:lineRule="exact"/>
              <w:ind w:left="765" w:right="0"/>
              <w:jc w:val="left"/>
              <w:rPr>
                <w:rFonts w:ascii="黑体" w:hAnsi="黑体" w:cs="黑体" w:eastAsia="黑体" w:hint="default"/>
                <w:sz w:val="20"/>
                <w:szCs w:val="20"/>
              </w:rPr>
            </w:pPr>
            <w:r>
              <w:rPr>
                <w:rFonts w:ascii="黑体" w:hAnsi="黑体" w:cs="黑体" w:eastAsia="黑体" w:hint="default"/>
                <w:sz w:val="20"/>
                <w:szCs w:val="20"/>
              </w:rPr>
              <w:t>安徽用友</w:t>
            </w:r>
          </w:p>
        </w:tc>
        <w:tc>
          <w:tcPr>
            <w:tcW w:w="2478" w:type="dxa"/>
            <w:tcBorders>
              <w:top w:val="nil" w:sz="6" w:space="0" w:color="auto"/>
              <w:left w:val="nil" w:sz="6" w:space="0" w:color="auto"/>
              <w:bottom w:val="nil" w:sz="6" w:space="0" w:color="auto"/>
              <w:right w:val="nil" w:sz="6" w:space="0" w:color="auto"/>
            </w:tcBorders>
          </w:tcPr>
          <w:p>
            <w:pPr>
              <w:pStyle w:val="TableParagraph"/>
              <w:spacing w:line="211" w:lineRule="exact"/>
              <w:ind w:right="501"/>
              <w:jc w:val="right"/>
              <w:rPr>
                <w:rFonts w:ascii="黑体" w:hAnsi="黑体" w:cs="黑体" w:eastAsia="黑体" w:hint="default"/>
                <w:sz w:val="20"/>
                <w:szCs w:val="20"/>
              </w:rPr>
            </w:pPr>
            <w:r>
              <w:rPr>
                <w:rFonts w:ascii="黑体" w:hAnsi="黑体" w:cs="黑体" w:eastAsia="黑体" w:hint="default"/>
                <w:sz w:val="20"/>
                <w:szCs w:val="20"/>
              </w:rPr>
              <w:t>子公司</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3"/>
              <w:jc w:val="right"/>
              <w:rPr>
                <w:rFonts w:ascii="Arial" w:hAnsi="Arial" w:cs="Arial" w:eastAsia="Arial" w:hint="default"/>
                <w:sz w:val="20"/>
                <w:szCs w:val="20"/>
              </w:rPr>
            </w:pPr>
            <w:r>
              <w:rPr>
                <w:rFonts w:ascii="Arial"/>
                <w:sz w:val="20"/>
              </w:rPr>
              <w:t>5,437,088</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
              <w:jc w:val="right"/>
              <w:rPr>
                <w:rFonts w:ascii="Arial" w:hAnsi="Arial" w:cs="Arial" w:eastAsia="Arial" w:hint="default"/>
                <w:sz w:val="20"/>
                <w:szCs w:val="20"/>
              </w:rPr>
            </w:pPr>
            <w:r>
              <w:rPr>
                <w:rFonts w:ascii="Arial"/>
                <w:w w:val="100"/>
                <w:sz w:val="20"/>
              </w:rPr>
              <w:t>4</w:t>
            </w:r>
          </w:p>
        </w:tc>
      </w:tr>
      <w:tr>
        <w:trPr>
          <w:trHeight w:val="240"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40" w:lineRule="auto" w:before="3"/>
              <w:ind w:left="765" w:right="0"/>
              <w:jc w:val="left"/>
              <w:rPr>
                <w:rFonts w:ascii="Arial" w:hAnsi="Arial" w:cs="Arial" w:eastAsia="Arial" w:hint="default"/>
                <w:sz w:val="20"/>
                <w:szCs w:val="20"/>
              </w:rPr>
            </w:pPr>
            <w:r>
              <w:rPr>
                <w:rFonts w:ascii="Arial"/>
                <w:sz w:val="20"/>
              </w:rPr>
              <w:t>UF</w:t>
            </w:r>
            <w:r>
              <w:rPr>
                <w:rFonts w:ascii="Arial"/>
                <w:spacing w:val="-13"/>
                <w:sz w:val="20"/>
              </w:rPr>
              <w:t> </w:t>
            </w:r>
            <w:r>
              <w:rPr>
                <w:rFonts w:ascii="Arial"/>
                <w:sz w:val="20"/>
              </w:rPr>
              <w:t>International</w:t>
            </w:r>
          </w:p>
        </w:tc>
        <w:tc>
          <w:tcPr>
            <w:tcW w:w="2478" w:type="dxa"/>
            <w:tcBorders>
              <w:top w:val="nil" w:sz="6" w:space="0" w:color="auto"/>
              <w:left w:val="nil" w:sz="6" w:space="0" w:color="auto"/>
              <w:bottom w:val="nil" w:sz="6" w:space="0" w:color="auto"/>
              <w:right w:val="nil" w:sz="6" w:space="0" w:color="auto"/>
            </w:tcBorders>
          </w:tcPr>
          <w:p>
            <w:pPr>
              <w:pStyle w:val="TableParagraph"/>
              <w:spacing w:line="211" w:lineRule="exact"/>
              <w:ind w:right="501"/>
              <w:jc w:val="right"/>
              <w:rPr>
                <w:rFonts w:ascii="黑体" w:hAnsi="黑体" w:cs="黑体" w:eastAsia="黑体" w:hint="default"/>
                <w:sz w:val="20"/>
                <w:szCs w:val="20"/>
              </w:rPr>
            </w:pPr>
            <w:r>
              <w:rPr>
                <w:rFonts w:ascii="黑体" w:hAnsi="黑体" w:cs="黑体" w:eastAsia="黑体" w:hint="default"/>
                <w:sz w:val="20"/>
                <w:szCs w:val="20"/>
              </w:rPr>
              <w:t>子公司</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3"/>
              <w:jc w:val="right"/>
              <w:rPr>
                <w:rFonts w:ascii="Arial" w:hAnsi="Arial" w:cs="Arial" w:eastAsia="Arial" w:hint="default"/>
                <w:sz w:val="20"/>
                <w:szCs w:val="20"/>
              </w:rPr>
            </w:pPr>
            <w:r>
              <w:rPr>
                <w:rFonts w:ascii="Arial"/>
                <w:sz w:val="20"/>
              </w:rPr>
              <w:t>6,766,254</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
              <w:jc w:val="right"/>
              <w:rPr>
                <w:rFonts w:ascii="Arial" w:hAnsi="Arial" w:cs="Arial" w:eastAsia="Arial" w:hint="default"/>
                <w:sz w:val="20"/>
                <w:szCs w:val="20"/>
              </w:rPr>
            </w:pPr>
            <w:r>
              <w:rPr>
                <w:rFonts w:ascii="Arial"/>
                <w:w w:val="100"/>
                <w:sz w:val="20"/>
              </w:rPr>
              <w:t>5</w:t>
            </w:r>
          </w:p>
        </w:tc>
      </w:tr>
      <w:tr>
        <w:trPr>
          <w:trHeight w:val="240"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19" w:lineRule="exact"/>
              <w:ind w:left="765" w:right="0"/>
              <w:jc w:val="left"/>
              <w:rPr>
                <w:rFonts w:ascii="黑体" w:hAnsi="黑体" w:cs="黑体" w:eastAsia="黑体" w:hint="default"/>
                <w:sz w:val="20"/>
                <w:szCs w:val="20"/>
              </w:rPr>
            </w:pPr>
            <w:r>
              <w:rPr>
                <w:rFonts w:ascii="黑体" w:hAnsi="黑体" w:cs="黑体" w:eastAsia="黑体" w:hint="default"/>
                <w:sz w:val="20"/>
                <w:szCs w:val="20"/>
              </w:rPr>
              <w:t>浙江用友</w:t>
            </w:r>
          </w:p>
        </w:tc>
        <w:tc>
          <w:tcPr>
            <w:tcW w:w="2478" w:type="dxa"/>
            <w:tcBorders>
              <w:top w:val="nil" w:sz="6" w:space="0" w:color="auto"/>
              <w:left w:val="nil" w:sz="6" w:space="0" w:color="auto"/>
              <w:bottom w:val="nil" w:sz="6" w:space="0" w:color="auto"/>
              <w:right w:val="nil" w:sz="6" w:space="0" w:color="auto"/>
            </w:tcBorders>
          </w:tcPr>
          <w:p>
            <w:pPr>
              <w:pStyle w:val="TableParagraph"/>
              <w:spacing w:line="211" w:lineRule="exact"/>
              <w:ind w:right="501"/>
              <w:jc w:val="right"/>
              <w:rPr>
                <w:rFonts w:ascii="黑体" w:hAnsi="黑体" w:cs="黑体" w:eastAsia="黑体" w:hint="default"/>
                <w:sz w:val="20"/>
                <w:szCs w:val="20"/>
              </w:rPr>
            </w:pPr>
            <w:r>
              <w:rPr>
                <w:rFonts w:ascii="黑体" w:hAnsi="黑体" w:cs="黑体" w:eastAsia="黑体" w:hint="default"/>
                <w:sz w:val="20"/>
                <w:szCs w:val="20"/>
              </w:rPr>
              <w:t>子公司</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2"/>
              <w:jc w:val="right"/>
              <w:rPr>
                <w:rFonts w:ascii="Arial" w:hAnsi="Arial" w:cs="Arial" w:eastAsia="Arial" w:hint="default"/>
                <w:sz w:val="20"/>
                <w:szCs w:val="20"/>
              </w:rPr>
            </w:pPr>
            <w:r>
              <w:rPr>
                <w:rFonts w:ascii="Arial"/>
                <w:sz w:val="20"/>
              </w:rPr>
              <w:t>10,095,857</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
              <w:jc w:val="right"/>
              <w:rPr>
                <w:rFonts w:ascii="Arial" w:hAnsi="Arial" w:cs="Arial" w:eastAsia="Arial" w:hint="default"/>
                <w:sz w:val="20"/>
                <w:szCs w:val="20"/>
              </w:rPr>
            </w:pPr>
            <w:r>
              <w:rPr>
                <w:rFonts w:ascii="Arial"/>
                <w:w w:val="100"/>
                <w:sz w:val="20"/>
              </w:rPr>
              <w:t>7</w:t>
            </w:r>
          </w:p>
        </w:tc>
      </w:tr>
      <w:tr>
        <w:trPr>
          <w:trHeight w:val="240"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19" w:lineRule="exact"/>
              <w:ind w:left="765" w:right="0"/>
              <w:jc w:val="left"/>
              <w:rPr>
                <w:rFonts w:ascii="黑体" w:hAnsi="黑体" w:cs="黑体" w:eastAsia="黑体" w:hint="default"/>
                <w:sz w:val="20"/>
                <w:szCs w:val="20"/>
              </w:rPr>
            </w:pPr>
            <w:r>
              <w:rPr>
                <w:rFonts w:ascii="黑体" w:hAnsi="黑体" w:cs="黑体" w:eastAsia="黑体" w:hint="default"/>
                <w:sz w:val="20"/>
                <w:szCs w:val="20"/>
              </w:rPr>
              <w:t>沈阳用友</w:t>
            </w:r>
          </w:p>
        </w:tc>
        <w:tc>
          <w:tcPr>
            <w:tcW w:w="2478" w:type="dxa"/>
            <w:tcBorders>
              <w:top w:val="nil" w:sz="6" w:space="0" w:color="auto"/>
              <w:left w:val="nil" w:sz="6" w:space="0" w:color="auto"/>
              <w:bottom w:val="nil" w:sz="6" w:space="0" w:color="auto"/>
              <w:right w:val="nil" w:sz="6" w:space="0" w:color="auto"/>
            </w:tcBorders>
          </w:tcPr>
          <w:p>
            <w:pPr>
              <w:pStyle w:val="TableParagraph"/>
              <w:spacing w:line="211" w:lineRule="exact"/>
              <w:ind w:right="501"/>
              <w:jc w:val="right"/>
              <w:rPr>
                <w:rFonts w:ascii="黑体" w:hAnsi="黑体" w:cs="黑体" w:eastAsia="黑体" w:hint="default"/>
                <w:sz w:val="20"/>
                <w:szCs w:val="20"/>
              </w:rPr>
            </w:pPr>
            <w:r>
              <w:rPr>
                <w:rFonts w:ascii="黑体" w:hAnsi="黑体" w:cs="黑体" w:eastAsia="黑体" w:hint="default"/>
                <w:sz w:val="20"/>
                <w:szCs w:val="20"/>
              </w:rPr>
              <w:t>子公司</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3"/>
              <w:jc w:val="right"/>
              <w:rPr>
                <w:rFonts w:ascii="Arial" w:hAnsi="Arial" w:cs="Arial" w:eastAsia="Arial" w:hint="default"/>
                <w:sz w:val="20"/>
                <w:szCs w:val="20"/>
              </w:rPr>
            </w:pPr>
            <w:r>
              <w:rPr>
                <w:rFonts w:ascii="Arial"/>
                <w:sz w:val="20"/>
              </w:rPr>
              <w:t>2,411,404</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
              <w:jc w:val="right"/>
              <w:rPr>
                <w:rFonts w:ascii="Arial" w:hAnsi="Arial" w:cs="Arial" w:eastAsia="Arial" w:hint="default"/>
                <w:sz w:val="20"/>
                <w:szCs w:val="20"/>
              </w:rPr>
            </w:pPr>
            <w:r>
              <w:rPr>
                <w:rFonts w:ascii="Arial"/>
                <w:w w:val="100"/>
                <w:sz w:val="20"/>
              </w:rPr>
              <w:t>2</w:t>
            </w:r>
          </w:p>
        </w:tc>
      </w:tr>
      <w:tr>
        <w:trPr>
          <w:trHeight w:val="240"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19" w:lineRule="exact"/>
              <w:ind w:left="765" w:right="0"/>
              <w:jc w:val="left"/>
              <w:rPr>
                <w:rFonts w:ascii="黑体" w:hAnsi="黑体" w:cs="黑体" w:eastAsia="黑体" w:hint="default"/>
                <w:sz w:val="20"/>
                <w:szCs w:val="20"/>
              </w:rPr>
            </w:pPr>
            <w:r>
              <w:rPr>
                <w:rFonts w:ascii="黑体" w:hAnsi="黑体" w:cs="黑体" w:eastAsia="黑体" w:hint="default"/>
                <w:sz w:val="20"/>
                <w:szCs w:val="20"/>
              </w:rPr>
              <w:t>大连用友</w:t>
            </w:r>
          </w:p>
        </w:tc>
        <w:tc>
          <w:tcPr>
            <w:tcW w:w="2478" w:type="dxa"/>
            <w:tcBorders>
              <w:top w:val="nil" w:sz="6" w:space="0" w:color="auto"/>
              <w:left w:val="nil" w:sz="6" w:space="0" w:color="auto"/>
              <w:bottom w:val="nil" w:sz="6" w:space="0" w:color="auto"/>
              <w:right w:val="nil" w:sz="6" w:space="0" w:color="auto"/>
            </w:tcBorders>
          </w:tcPr>
          <w:p>
            <w:pPr>
              <w:pStyle w:val="TableParagraph"/>
              <w:spacing w:line="211" w:lineRule="exact"/>
              <w:ind w:right="501"/>
              <w:jc w:val="right"/>
              <w:rPr>
                <w:rFonts w:ascii="黑体" w:hAnsi="黑体" w:cs="黑体" w:eastAsia="黑体" w:hint="default"/>
                <w:sz w:val="20"/>
                <w:szCs w:val="20"/>
              </w:rPr>
            </w:pPr>
            <w:r>
              <w:rPr>
                <w:rFonts w:ascii="黑体" w:hAnsi="黑体" w:cs="黑体" w:eastAsia="黑体" w:hint="default"/>
                <w:sz w:val="20"/>
                <w:szCs w:val="20"/>
              </w:rPr>
              <w:t>子公司</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3"/>
              <w:jc w:val="right"/>
              <w:rPr>
                <w:rFonts w:ascii="Arial" w:hAnsi="Arial" w:cs="Arial" w:eastAsia="Arial" w:hint="default"/>
                <w:sz w:val="20"/>
                <w:szCs w:val="20"/>
              </w:rPr>
            </w:pPr>
            <w:r>
              <w:rPr>
                <w:rFonts w:ascii="Arial"/>
                <w:sz w:val="20"/>
              </w:rPr>
              <w:t>2,484,533</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
              <w:jc w:val="right"/>
              <w:rPr>
                <w:rFonts w:ascii="Arial" w:hAnsi="Arial" w:cs="Arial" w:eastAsia="Arial" w:hint="default"/>
                <w:sz w:val="20"/>
                <w:szCs w:val="20"/>
              </w:rPr>
            </w:pPr>
            <w:r>
              <w:rPr>
                <w:rFonts w:ascii="Arial"/>
                <w:w w:val="100"/>
                <w:sz w:val="20"/>
              </w:rPr>
              <w:t>2</w:t>
            </w:r>
          </w:p>
        </w:tc>
      </w:tr>
      <w:tr>
        <w:trPr>
          <w:trHeight w:val="240"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19" w:lineRule="exact"/>
              <w:ind w:left="765" w:right="0"/>
              <w:jc w:val="left"/>
              <w:rPr>
                <w:rFonts w:ascii="黑体" w:hAnsi="黑体" w:cs="黑体" w:eastAsia="黑体" w:hint="default"/>
                <w:sz w:val="20"/>
                <w:szCs w:val="20"/>
              </w:rPr>
            </w:pPr>
            <w:r>
              <w:rPr>
                <w:rFonts w:ascii="黑体" w:hAnsi="黑体" w:cs="黑体" w:eastAsia="黑体" w:hint="default"/>
                <w:sz w:val="20"/>
                <w:szCs w:val="20"/>
              </w:rPr>
              <w:t>广西用友</w:t>
            </w:r>
          </w:p>
        </w:tc>
        <w:tc>
          <w:tcPr>
            <w:tcW w:w="2478" w:type="dxa"/>
            <w:tcBorders>
              <w:top w:val="nil" w:sz="6" w:space="0" w:color="auto"/>
              <w:left w:val="nil" w:sz="6" w:space="0" w:color="auto"/>
              <w:bottom w:val="nil" w:sz="6" w:space="0" w:color="auto"/>
              <w:right w:val="nil" w:sz="6" w:space="0" w:color="auto"/>
            </w:tcBorders>
          </w:tcPr>
          <w:p>
            <w:pPr>
              <w:pStyle w:val="TableParagraph"/>
              <w:spacing w:line="211" w:lineRule="exact"/>
              <w:ind w:right="501"/>
              <w:jc w:val="right"/>
              <w:rPr>
                <w:rFonts w:ascii="黑体" w:hAnsi="黑体" w:cs="黑体" w:eastAsia="黑体" w:hint="default"/>
                <w:sz w:val="20"/>
                <w:szCs w:val="20"/>
              </w:rPr>
            </w:pPr>
            <w:r>
              <w:rPr>
                <w:rFonts w:ascii="黑体" w:hAnsi="黑体" w:cs="黑体" w:eastAsia="黑体" w:hint="default"/>
                <w:sz w:val="20"/>
                <w:szCs w:val="20"/>
              </w:rPr>
              <w:t>子公司</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1"/>
              <w:jc w:val="right"/>
              <w:rPr>
                <w:rFonts w:ascii="Arial" w:hAnsi="Arial" w:cs="Arial" w:eastAsia="Arial" w:hint="default"/>
                <w:sz w:val="20"/>
                <w:szCs w:val="20"/>
              </w:rPr>
            </w:pPr>
            <w:r>
              <w:rPr>
                <w:rFonts w:ascii="Arial"/>
                <w:sz w:val="20"/>
              </w:rPr>
              <w:t>220,641</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Arial" w:hAnsi="Arial" w:cs="Arial" w:eastAsia="Arial" w:hint="default"/>
                <w:sz w:val="20"/>
                <w:szCs w:val="20"/>
              </w:rPr>
            </w:pPr>
            <w:r>
              <w:rPr>
                <w:rFonts w:ascii="Arial"/>
                <w:sz w:val="20"/>
              </w:rPr>
              <w:t>&lt;1</w:t>
            </w:r>
          </w:p>
        </w:tc>
      </w:tr>
      <w:tr>
        <w:trPr>
          <w:trHeight w:val="240"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19" w:lineRule="exact"/>
              <w:ind w:left="765" w:right="0"/>
              <w:jc w:val="left"/>
              <w:rPr>
                <w:rFonts w:ascii="黑体" w:hAnsi="黑体" w:cs="黑体" w:eastAsia="黑体" w:hint="default"/>
                <w:sz w:val="20"/>
                <w:szCs w:val="20"/>
              </w:rPr>
            </w:pPr>
            <w:r>
              <w:rPr>
                <w:rFonts w:ascii="黑体" w:hAnsi="黑体" w:cs="黑体" w:eastAsia="黑体" w:hint="default"/>
                <w:sz w:val="20"/>
                <w:szCs w:val="20"/>
              </w:rPr>
              <w:t>山东用友</w:t>
            </w:r>
          </w:p>
        </w:tc>
        <w:tc>
          <w:tcPr>
            <w:tcW w:w="2478" w:type="dxa"/>
            <w:tcBorders>
              <w:top w:val="nil" w:sz="6" w:space="0" w:color="auto"/>
              <w:left w:val="nil" w:sz="6" w:space="0" w:color="auto"/>
              <w:bottom w:val="nil" w:sz="6" w:space="0" w:color="auto"/>
              <w:right w:val="nil" w:sz="6" w:space="0" w:color="auto"/>
            </w:tcBorders>
          </w:tcPr>
          <w:p>
            <w:pPr>
              <w:pStyle w:val="TableParagraph"/>
              <w:spacing w:line="211" w:lineRule="exact"/>
              <w:ind w:right="501"/>
              <w:jc w:val="right"/>
              <w:rPr>
                <w:rFonts w:ascii="黑体" w:hAnsi="黑体" w:cs="黑体" w:eastAsia="黑体" w:hint="default"/>
                <w:sz w:val="20"/>
                <w:szCs w:val="20"/>
              </w:rPr>
            </w:pPr>
            <w:r>
              <w:rPr>
                <w:rFonts w:ascii="黑体" w:hAnsi="黑体" w:cs="黑体" w:eastAsia="黑体" w:hint="default"/>
                <w:sz w:val="20"/>
                <w:szCs w:val="20"/>
              </w:rPr>
              <w:t>子公司</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3"/>
              <w:jc w:val="right"/>
              <w:rPr>
                <w:rFonts w:ascii="Arial" w:hAnsi="Arial" w:cs="Arial" w:eastAsia="Arial" w:hint="default"/>
                <w:sz w:val="20"/>
                <w:szCs w:val="20"/>
              </w:rPr>
            </w:pPr>
            <w:r>
              <w:rPr>
                <w:rFonts w:ascii="Arial"/>
                <w:sz w:val="20"/>
              </w:rPr>
              <w:t>4,781,015</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
              <w:jc w:val="right"/>
              <w:rPr>
                <w:rFonts w:ascii="Arial" w:hAnsi="Arial" w:cs="Arial" w:eastAsia="Arial" w:hint="default"/>
                <w:sz w:val="20"/>
                <w:szCs w:val="20"/>
              </w:rPr>
            </w:pPr>
            <w:r>
              <w:rPr>
                <w:rFonts w:ascii="Arial"/>
                <w:w w:val="100"/>
                <w:sz w:val="20"/>
              </w:rPr>
              <w:t>3</w:t>
            </w:r>
          </w:p>
        </w:tc>
      </w:tr>
      <w:tr>
        <w:trPr>
          <w:trHeight w:val="240"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19" w:lineRule="exact"/>
              <w:ind w:left="765" w:right="0"/>
              <w:jc w:val="left"/>
              <w:rPr>
                <w:rFonts w:ascii="黑体" w:hAnsi="黑体" w:cs="黑体" w:eastAsia="黑体" w:hint="default"/>
                <w:sz w:val="20"/>
                <w:szCs w:val="20"/>
              </w:rPr>
            </w:pPr>
            <w:r>
              <w:rPr>
                <w:rFonts w:ascii="黑体" w:hAnsi="黑体" w:cs="黑体" w:eastAsia="黑体" w:hint="default"/>
                <w:sz w:val="20"/>
                <w:szCs w:val="20"/>
              </w:rPr>
              <w:t>深圳用友软件</w:t>
            </w:r>
          </w:p>
        </w:tc>
        <w:tc>
          <w:tcPr>
            <w:tcW w:w="2478" w:type="dxa"/>
            <w:tcBorders>
              <w:top w:val="nil" w:sz="6" w:space="0" w:color="auto"/>
              <w:left w:val="nil" w:sz="6" w:space="0" w:color="auto"/>
              <w:bottom w:val="nil" w:sz="6" w:space="0" w:color="auto"/>
              <w:right w:val="nil" w:sz="6" w:space="0" w:color="auto"/>
            </w:tcBorders>
          </w:tcPr>
          <w:p>
            <w:pPr>
              <w:pStyle w:val="TableParagraph"/>
              <w:spacing w:line="211" w:lineRule="exact"/>
              <w:ind w:right="501"/>
              <w:jc w:val="right"/>
              <w:rPr>
                <w:rFonts w:ascii="黑体" w:hAnsi="黑体" w:cs="黑体" w:eastAsia="黑体" w:hint="default"/>
                <w:sz w:val="20"/>
                <w:szCs w:val="20"/>
              </w:rPr>
            </w:pPr>
            <w:r>
              <w:rPr>
                <w:rFonts w:ascii="黑体" w:hAnsi="黑体" w:cs="黑体" w:eastAsia="黑体" w:hint="default"/>
                <w:sz w:val="20"/>
                <w:szCs w:val="20"/>
              </w:rPr>
              <w:t>子公司</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3"/>
              <w:jc w:val="right"/>
              <w:rPr>
                <w:rFonts w:ascii="Arial" w:hAnsi="Arial" w:cs="Arial" w:eastAsia="Arial" w:hint="default"/>
                <w:sz w:val="20"/>
                <w:szCs w:val="20"/>
              </w:rPr>
            </w:pPr>
            <w:r>
              <w:rPr>
                <w:rFonts w:ascii="Arial"/>
                <w:sz w:val="20"/>
              </w:rPr>
              <w:t>7,109,239</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
              <w:jc w:val="right"/>
              <w:rPr>
                <w:rFonts w:ascii="Arial" w:hAnsi="Arial" w:cs="Arial" w:eastAsia="Arial" w:hint="default"/>
                <w:sz w:val="20"/>
                <w:szCs w:val="20"/>
              </w:rPr>
            </w:pPr>
            <w:r>
              <w:rPr>
                <w:rFonts w:ascii="Arial"/>
                <w:w w:val="100"/>
                <w:sz w:val="20"/>
              </w:rPr>
              <w:t>5</w:t>
            </w:r>
          </w:p>
        </w:tc>
      </w:tr>
      <w:tr>
        <w:trPr>
          <w:trHeight w:val="240"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19" w:lineRule="exact"/>
              <w:ind w:left="765" w:right="0"/>
              <w:jc w:val="left"/>
              <w:rPr>
                <w:rFonts w:ascii="黑体" w:hAnsi="黑体" w:cs="黑体" w:eastAsia="黑体" w:hint="default"/>
                <w:sz w:val="20"/>
                <w:szCs w:val="20"/>
              </w:rPr>
            </w:pPr>
            <w:r>
              <w:rPr>
                <w:rFonts w:ascii="黑体" w:hAnsi="黑体" w:cs="黑体" w:eastAsia="黑体" w:hint="default"/>
                <w:sz w:val="20"/>
                <w:szCs w:val="20"/>
              </w:rPr>
              <w:t>香港用友</w:t>
            </w:r>
          </w:p>
        </w:tc>
        <w:tc>
          <w:tcPr>
            <w:tcW w:w="2478" w:type="dxa"/>
            <w:tcBorders>
              <w:top w:val="nil" w:sz="6" w:space="0" w:color="auto"/>
              <w:left w:val="nil" w:sz="6" w:space="0" w:color="auto"/>
              <w:bottom w:val="nil" w:sz="6" w:space="0" w:color="auto"/>
              <w:right w:val="nil" w:sz="6" w:space="0" w:color="auto"/>
            </w:tcBorders>
          </w:tcPr>
          <w:p>
            <w:pPr>
              <w:pStyle w:val="TableParagraph"/>
              <w:spacing w:line="211" w:lineRule="exact"/>
              <w:ind w:right="501"/>
              <w:jc w:val="right"/>
              <w:rPr>
                <w:rFonts w:ascii="黑体" w:hAnsi="黑体" w:cs="黑体" w:eastAsia="黑体" w:hint="default"/>
                <w:sz w:val="20"/>
                <w:szCs w:val="20"/>
              </w:rPr>
            </w:pPr>
            <w:r>
              <w:rPr>
                <w:rFonts w:ascii="黑体" w:hAnsi="黑体" w:cs="黑体" w:eastAsia="黑体" w:hint="default"/>
                <w:sz w:val="20"/>
                <w:szCs w:val="20"/>
              </w:rPr>
              <w:t>子公司</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1"/>
              <w:jc w:val="right"/>
              <w:rPr>
                <w:rFonts w:ascii="Arial" w:hAnsi="Arial" w:cs="Arial" w:eastAsia="Arial" w:hint="default"/>
                <w:sz w:val="20"/>
                <w:szCs w:val="20"/>
              </w:rPr>
            </w:pPr>
            <w:r>
              <w:rPr>
                <w:rFonts w:ascii="Arial"/>
                <w:sz w:val="20"/>
              </w:rPr>
              <w:t>469,899</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Arial" w:hAnsi="Arial" w:cs="Arial" w:eastAsia="Arial" w:hint="default"/>
                <w:sz w:val="20"/>
                <w:szCs w:val="20"/>
              </w:rPr>
            </w:pPr>
            <w:r>
              <w:rPr>
                <w:rFonts w:ascii="Arial"/>
                <w:sz w:val="20"/>
              </w:rPr>
              <w:t>&lt;1</w:t>
            </w:r>
          </w:p>
        </w:tc>
      </w:tr>
      <w:tr>
        <w:trPr>
          <w:trHeight w:val="240"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19" w:lineRule="exact"/>
              <w:ind w:left="765" w:right="0"/>
              <w:jc w:val="left"/>
              <w:rPr>
                <w:rFonts w:ascii="黑体" w:hAnsi="黑体" w:cs="黑体" w:eastAsia="黑体" w:hint="default"/>
                <w:sz w:val="20"/>
                <w:szCs w:val="20"/>
              </w:rPr>
            </w:pPr>
            <w:r>
              <w:rPr>
                <w:rFonts w:ascii="黑体" w:hAnsi="黑体" w:cs="黑体" w:eastAsia="黑体" w:hint="default"/>
                <w:sz w:val="20"/>
                <w:szCs w:val="20"/>
              </w:rPr>
              <w:t>新加坡用友</w:t>
            </w:r>
          </w:p>
        </w:tc>
        <w:tc>
          <w:tcPr>
            <w:tcW w:w="2478" w:type="dxa"/>
            <w:tcBorders>
              <w:top w:val="nil" w:sz="6" w:space="0" w:color="auto"/>
              <w:left w:val="nil" w:sz="6" w:space="0" w:color="auto"/>
              <w:bottom w:val="nil" w:sz="6" w:space="0" w:color="auto"/>
              <w:right w:val="nil" w:sz="6" w:space="0" w:color="auto"/>
            </w:tcBorders>
          </w:tcPr>
          <w:p>
            <w:pPr>
              <w:pStyle w:val="TableParagraph"/>
              <w:spacing w:line="211" w:lineRule="exact"/>
              <w:ind w:right="501"/>
              <w:jc w:val="right"/>
              <w:rPr>
                <w:rFonts w:ascii="黑体" w:hAnsi="黑体" w:cs="黑体" w:eastAsia="黑体" w:hint="default"/>
                <w:sz w:val="20"/>
                <w:szCs w:val="20"/>
              </w:rPr>
            </w:pPr>
            <w:r>
              <w:rPr>
                <w:rFonts w:ascii="黑体" w:hAnsi="黑体" w:cs="黑体" w:eastAsia="黑体" w:hint="default"/>
                <w:sz w:val="20"/>
                <w:szCs w:val="20"/>
              </w:rPr>
              <w:t>子公司</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1"/>
              <w:jc w:val="right"/>
              <w:rPr>
                <w:rFonts w:ascii="Arial" w:hAnsi="Arial" w:cs="Arial" w:eastAsia="Arial" w:hint="default"/>
                <w:sz w:val="20"/>
                <w:szCs w:val="20"/>
              </w:rPr>
            </w:pPr>
            <w:r>
              <w:rPr>
                <w:rFonts w:ascii="Arial"/>
                <w:sz w:val="20"/>
              </w:rPr>
              <w:t>204,204</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Arial" w:hAnsi="Arial" w:cs="Arial" w:eastAsia="Arial" w:hint="default"/>
                <w:sz w:val="20"/>
                <w:szCs w:val="20"/>
              </w:rPr>
            </w:pPr>
            <w:r>
              <w:rPr>
                <w:rFonts w:ascii="Arial"/>
                <w:sz w:val="20"/>
              </w:rPr>
              <w:t>&lt;1</w:t>
            </w:r>
          </w:p>
        </w:tc>
      </w:tr>
      <w:tr>
        <w:trPr>
          <w:trHeight w:val="240"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19" w:lineRule="exact"/>
              <w:ind w:left="765" w:right="0"/>
              <w:jc w:val="left"/>
              <w:rPr>
                <w:rFonts w:ascii="黑体" w:hAnsi="黑体" w:cs="黑体" w:eastAsia="黑体" w:hint="default"/>
                <w:sz w:val="20"/>
                <w:szCs w:val="20"/>
              </w:rPr>
            </w:pPr>
            <w:r>
              <w:rPr>
                <w:rFonts w:ascii="黑体" w:hAnsi="黑体" w:cs="黑体" w:eastAsia="黑体" w:hint="default"/>
                <w:sz w:val="20"/>
                <w:szCs w:val="20"/>
              </w:rPr>
              <w:t>上海资源</w:t>
            </w:r>
          </w:p>
        </w:tc>
        <w:tc>
          <w:tcPr>
            <w:tcW w:w="2478" w:type="dxa"/>
            <w:tcBorders>
              <w:top w:val="nil" w:sz="6" w:space="0" w:color="auto"/>
              <w:left w:val="nil" w:sz="6" w:space="0" w:color="auto"/>
              <w:bottom w:val="nil" w:sz="6" w:space="0" w:color="auto"/>
              <w:right w:val="nil" w:sz="6" w:space="0" w:color="auto"/>
            </w:tcBorders>
          </w:tcPr>
          <w:p>
            <w:pPr>
              <w:pStyle w:val="TableParagraph"/>
              <w:spacing w:line="211" w:lineRule="exact"/>
              <w:ind w:right="501"/>
              <w:jc w:val="right"/>
              <w:rPr>
                <w:rFonts w:ascii="黑体" w:hAnsi="黑体" w:cs="黑体" w:eastAsia="黑体" w:hint="default"/>
                <w:sz w:val="20"/>
                <w:szCs w:val="20"/>
              </w:rPr>
            </w:pPr>
            <w:r>
              <w:rPr>
                <w:rFonts w:ascii="黑体" w:hAnsi="黑体" w:cs="黑体" w:eastAsia="黑体" w:hint="default"/>
                <w:sz w:val="20"/>
                <w:szCs w:val="20"/>
              </w:rPr>
              <w:t>子公司</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3"/>
              <w:jc w:val="right"/>
              <w:rPr>
                <w:rFonts w:ascii="Arial" w:hAnsi="Arial" w:cs="Arial" w:eastAsia="Arial" w:hint="default"/>
                <w:sz w:val="20"/>
                <w:szCs w:val="20"/>
              </w:rPr>
            </w:pPr>
            <w:r>
              <w:rPr>
                <w:rFonts w:ascii="Arial"/>
                <w:sz w:val="20"/>
              </w:rPr>
              <w:t>6,700,000</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
              <w:jc w:val="right"/>
              <w:rPr>
                <w:rFonts w:ascii="Arial" w:hAnsi="Arial" w:cs="Arial" w:eastAsia="Arial" w:hint="default"/>
                <w:sz w:val="20"/>
                <w:szCs w:val="20"/>
              </w:rPr>
            </w:pPr>
            <w:r>
              <w:rPr>
                <w:rFonts w:ascii="Arial"/>
                <w:w w:val="100"/>
                <w:sz w:val="20"/>
              </w:rPr>
              <w:t>5</w:t>
            </w:r>
          </w:p>
        </w:tc>
      </w:tr>
      <w:tr>
        <w:trPr>
          <w:trHeight w:val="240"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19" w:lineRule="exact"/>
              <w:ind w:left="765" w:right="0"/>
              <w:jc w:val="left"/>
              <w:rPr>
                <w:rFonts w:ascii="黑体" w:hAnsi="黑体" w:cs="黑体" w:eastAsia="黑体" w:hint="default"/>
                <w:sz w:val="20"/>
                <w:szCs w:val="20"/>
              </w:rPr>
            </w:pPr>
            <w:r>
              <w:rPr>
                <w:rFonts w:ascii="黑体" w:hAnsi="黑体" w:cs="黑体" w:eastAsia="黑体" w:hint="default"/>
                <w:sz w:val="20"/>
                <w:szCs w:val="20"/>
              </w:rPr>
              <w:t>江西用友</w:t>
            </w:r>
          </w:p>
        </w:tc>
        <w:tc>
          <w:tcPr>
            <w:tcW w:w="2478" w:type="dxa"/>
            <w:tcBorders>
              <w:top w:val="nil" w:sz="6" w:space="0" w:color="auto"/>
              <w:left w:val="nil" w:sz="6" w:space="0" w:color="auto"/>
              <w:bottom w:val="nil" w:sz="6" w:space="0" w:color="auto"/>
              <w:right w:val="nil" w:sz="6" w:space="0" w:color="auto"/>
            </w:tcBorders>
          </w:tcPr>
          <w:p>
            <w:pPr>
              <w:pStyle w:val="TableParagraph"/>
              <w:spacing w:line="211" w:lineRule="exact"/>
              <w:ind w:right="501"/>
              <w:jc w:val="right"/>
              <w:rPr>
                <w:rFonts w:ascii="黑体" w:hAnsi="黑体" w:cs="黑体" w:eastAsia="黑体" w:hint="default"/>
                <w:sz w:val="20"/>
                <w:szCs w:val="20"/>
              </w:rPr>
            </w:pPr>
            <w:r>
              <w:rPr>
                <w:rFonts w:ascii="黑体" w:hAnsi="黑体" w:cs="黑体" w:eastAsia="黑体" w:hint="default"/>
                <w:sz w:val="20"/>
                <w:szCs w:val="20"/>
              </w:rPr>
              <w:t>子公司</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3"/>
              <w:jc w:val="right"/>
              <w:rPr>
                <w:rFonts w:ascii="Arial" w:hAnsi="Arial" w:cs="Arial" w:eastAsia="Arial" w:hint="default"/>
                <w:sz w:val="20"/>
                <w:szCs w:val="20"/>
              </w:rPr>
            </w:pPr>
            <w:r>
              <w:rPr>
                <w:rFonts w:ascii="Arial"/>
                <w:sz w:val="20"/>
              </w:rPr>
              <w:t>1,913,748</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
              <w:jc w:val="right"/>
              <w:rPr>
                <w:rFonts w:ascii="Arial" w:hAnsi="Arial" w:cs="Arial" w:eastAsia="Arial" w:hint="default"/>
                <w:sz w:val="20"/>
                <w:szCs w:val="20"/>
              </w:rPr>
            </w:pPr>
            <w:r>
              <w:rPr>
                <w:rFonts w:ascii="Arial"/>
                <w:w w:val="100"/>
                <w:sz w:val="20"/>
              </w:rPr>
              <w:t>1</w:t>
            </w:r>
          </w:p>
        </w:tc>
      </w:tr>
      <w:tr>
        <w:trPr>
          <w:trHeight w:val="458"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19" w:lineRule="exact"/>
              <w:ind w:left="765"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2478" w:type="dxa"/>
            <w:tcBorders>
              <w:top w:val="nil" w:sz="6" w:space="0" w:color="auto"/>
              <w:left w:val="nil" w:sz="6" w:space="0" w:color="auto"/>
              <w:bottom w:val="nil" w:sz="6" w:space="0" w:color="auto"/>
              <w:right w:val="nil" w:sz="6" w:space="0" w:color="auto"/>
            </w:tcBorders>
          </w:tcPr>
          <w:p>
            <w:pPr>
              <w:pStyle w:val="TableParagraph"/>
              <w:spacing w:line="196" w:lineRule="exact"/>
              <w:ind w:left="374" w:right="0" w:firstLine="798"/>
              <w:jc w:val="left"/>
              <w:rPr>
                <w:rFonts w:ascii="黑体" w:hAnsi="黑体" w:cs="黑体" w:eastAsia="黑体" w:hint="default"/>
                <w:sz w:val="20"/>
                <w:szCs w:val="20"/>
              </w:rPr>
            </w:pPr>
            <w:r>
              <w:rPr>
                <w:rFonts w:ascii="黑体" w:hAnsi="黑体" w:cs="黑体" w:eastAsia="黑体" w:hint="default"/>
                <w:sz w:val="20"/>
                <w:szCs w:val="20"/>
              </w:rPr>
              <w:t>联营企业</w:t>
            </w:r>
          </w:p>
          <w:p>
            <w:pPr>
              <w:pStyle w:val="TableParagraph"/>
              <w:spacing w:line="247" w:lineRule="exact"/>
              <w:ind w:left="374" w:right="0"/>
              <w:jc w:val="left"/>
              <w:rPr>
                <w:rFonts w:ascii="黑体" w:hAnsi="黑体" w:cs="黑体" w:eastAsia="黑体" w:hint="default"/>
                <w:sz w:val="20"/>
                <w:szCs w:val="20"/>
              </w:rPr>
            </w:pPr>
            <w:r>
              <w:rPr>
                <w:rFonts w:ascii="黑体" w:hAnsi="黑体" w:cs="黑体" w:eastAsia="黑体" w:hint="default"/>
                <w:sz w:val="20"/>
                <w:szCs w:val="20"/>
              </w:rPr>
              <w:t>与本公司同受用友</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1"/>
              <w:jc w:val="right"/>
              <w:rPr>
                <w:rFonts w:ascii="Arial" w:hAnsi="Arial" w:cs="Arial" w:eastAsia="Arial" w:hint="default"/>
                <w:sz w:val="20"/>
                <w:szCs w:val="20"/>
              </w:rPr>
            </w:pPr>
            <w:r>
              <w:rPr>
                <w:rFonts w:ascii="Arial"/>
                <w:sz w:val="20"/>
              </w:rPr>
              <w:t>9,000</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Arial" w:hAnsi="Arial" w:cs="Arial" w:eastAsia="Arial" w:hint="default"/>
                <w:sz w:val="20"/>
                <w:szCs w:val="20"/>
              </w:rPr>
            </w:pPr>
            <w:r>
              <w:rPr>
                <w:rFonts w:ascii="Arial"/>
                <w:sz w:val="20"/>
              </w:rPr>
              <w:t>&lt;1</w:t>
            </w:r>
          </w:p>
        </w:tc>
      </w:tr>
      <w:tr>
        <w:trPr>
          <w:trHeight w:val="244"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23" w:lineRule="exact"/>
              <w:ind w:left="765" w:right="0"/>
              <w:jc w:val="left"/>
              <w:rPr>
                <w:rFonts w:ascii="黑体" w:hAnsi="黑体" w:cs="黑体" w:eastAsia="黑体" w:hint="default"/>
                <w:sz w:val="20"/>
                <w:szCs w:val="20"/>
              </w:rPr>
            </w:pPr>
            <w:r>
              <w:rPr>
                <w:rFonts w:ascii="黑体" w:hAnsi="黑体" w:cs="黑体" w:eastAsia="黑体" w:hint="default"/>
                <w:sz w:val="20"/>
                <w:szCs w:val="20"/>
              </w:rPr>
              <w:t>用友移动</w:t>
            </w:r>
          </w:p>
        </w:tc>
        <w:tc>
          <w:tcPr>
            <w:tcW w:w="2478" w:type="dxa"/>
            <w:tcBorders>
              <w:top w:val="nil" w:sz="6" w:space="0" w:color="auto"/>
              <w:left w:val="nil" w:sz="6" w:space="0" w:color="auto"/>
              <w:bottom w:val="nil" w:sz="6" w:space="0" w:color="auto"/>
              <w:right w:val="nil" w:sz="6" w:space="0" w:color="auto"/>
            </w:tcBorders>
          </w:tcPr>
          <w:p>
            <w:pPr>
              <w:pStyle w:val="TableParagraph"/>
              <w:spacing w:line="216" w:lineRule="exact"/>
              <w:ind w:right="501"/>
              <w:jc w:val="right"/>
              <w:rPr>
                <w:rFonts w:ascii="黑体" w:hAnsi="黑体" w:cs="黑体" w:eastAsia="黑体" w:hint="default"/>
                <w:sz w:val="20"/>
                <w:szCs w:val="20"/>
              </w:rPr>
            </w:pPr>
            <w:r>
              <w:rPr>
                <w:rFonts w:ascii="黑体" w:hAnsi="黑体" w:cs="黑体" w:eastAsia="黑体" w:hint="default"/>
                <w:spacing w:val="-1"/>
                <w:sz w:val="20"/>
                <w:szCs w:val="20"/>
              </w:rPr>
              <w:t>研究所控制</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82"/>
              <w:jc w:val="right"/>
              <w:rPr>
                <w:rFonts w:ascii="Arial" w:hAnsi="Arial" w:cs="Arial" w:eastAsia="Arial" w:hint="default"/>
                <w:sz w:val="20"/>
                <w:szCs w:val="20"/>
              </w:rPr>
            </w:pPr>
            <w:r>
              <w:rPr>
                <w:rFonts w:ascii="Arial"/>
                <w:spacing w:val="-1"/>
                <w:sz w:val="20"/>
              </w:rPr>
              <w:t>1,065,875</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4"/>
              <w:jc w:val="right"/>
              <w:rPr>
                <w:rFonts w:ascii="Arial" w:hAnsi="Arial" w:cs="Arial" w:eastAsia="Arial" w:hint="default"/>
                <w:sz w:val="20"/>
                <w:szCs w:val="20"/>
              </w:rPr>
            </w:pPr>
            <w:r>
              <w:rPr>
                <w:rFonts w:ascii="Arial"/>
                <w:w w:val="100"/>
                <w:sz w:val="20"/>
              </w:rPr>
              <w:t>1</w:t>
            </w:r>
          </w:p>
        </w:tc>
      </w:tr>
      <w:tr>
        <w:trPr>
          <w:trHeight w:val="249" w:hRule="exact"/>
        </w:trPr>
        <w:tc>
          <w:tcPr>
            <w:tcW w:w="2562" w:type="dxa"/>
            <w:tcBorders>
              <w:top w:val="nil" w:sz="6" w:space="0" w:color="auto"/>
              <w:left w:val="nil" w:sz="6" w:space="0" w:color="auto"/>
              <w:bottom w:val="nil" w:sz="6" w:space="0" w:color="auto"/>
              <w:right w:val="nil" w:sz="6" w:space="0" w:color="auto"/>
            </w:tcBorders>
          </w:tcPr>
          <w:p>
            <w:pPr>
              <w:pStyle w:val="TableParagraph"/>
              <w:spacing w:line="221" w:lineRule="exact"/>
              <w:ind w:left="765" w:right="0"/>
              <w:jc w:val="left"/>
              <w:rPr>
                <w:rFonts w:ascii="黑体" w:hAnsi="黑体" w:cs="黑体" w:eastAsia="黑体" w:hint="default"/>
                <w:sz w:val="20"/>
                <w:szCs w:val="20"/>
              </w:rPr>
            </w:pPr>
            <w:r>
              <w:rPr>
                <w:rFonts w:ascii="黑体" w:hAnsi="黑体" w:cs="黑体" w:eastAsia="黑体" w:hint="default"/>
                <w:sz w:val="20"/>
                <w:szCs w:val="20"/>
              </w:rPr>
              <w:t>邵凯</w:t>
            </w:r>
          </w:p>
        </w:tc>
        <w:tc>
          <w:tcPr>
            <w:tcW w:w="2478" w:type="dxa"/>
            <w:tcBorders>
              <w:top w:val="nil" w:sz="6" w:space="0" w:color="auto"/>
              <w:left w:val="nil" w:sz="6" w:space="0" w:color="auto"/>
              <w:bottom w:val="nil" w:sz="6" w:space="0" w:color="auto"/>
              <w:right w:val="nil" w:sz="6" w:space="0" w:color="auto"/>
            </w:tcBorders>
          </w:tcPr>
          <w:p>
            <w:pPr>
              <w:pStyle w:val="TableParagraph"/>
              <w:spacing w:line="211" w:lineRule="exact"/>
              <w:ind w:right="502"/>
              <w:jc w:val="right"/>
              <w:rPr>
                <w:rFonts w:ascii="黑体" w:hAnsi="黑体" w:cs="黑体" w:eastAsia="黑体" w:hint="default"/>
                <w:sz w:val="20"/>
                <w:szCs w:val="20"/>
              </w:rPr>
            </w:pPr>
            <w:r>
              <w:rPr>
                <w:rFonts w:ascii="黑体" w:hAnsi="黑体" w:cs="黑体" w:eastAsia="黑体" w:hint="default"/>
                <w:sz w:val="20"/>
                <w:szCs w:val="20"/>
              </w:rPr>
              <w:t>公司高管</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8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10,000,000</w:t>
            </w:r>
            <w:r>
              <w:rPr>
                <w:rFonts w:ascii="Arial"/>
                <w:spacing w:val="-1"/>
                <w:sz w:val="20"/>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7</w:t>
            </w:r>
            <w:r>
              <w:rPr>
                <w:rFonts w:ascii="Arial"/>
                <w:sz w:val="20"/>
              </w:rPr>
            </w:r>
          </w:p>
        </w:tc>
      </w:tr>
      <w:tr>
        <w:trPr>
          <w:trHeight w:val="359" w:hRule="exact"/>
        </w:trPr>
        <w:tc>
          <w:tcPr>
            <w:tcW w:w="2562" w:type="dxa"/>
            <w:tcBorders>
              <w:top w:val="nil" w:sz="6" w:space="0" w:color="auto"/>
              <w:left w:val="nil" w:sz="6" w:space="0" w:color="auto"/>
              <w:bottom w:val="nil" w:sz="6" w:space="0" w:color="auto"/>
              <w:right w:val="nil" w:sz="6" w:space="0" w:color="auto"/>
            </w:tcBorders>
          </w:tcPr>
          <w:p>
            <w:pPr/>
          </w:p>
        </w:tc>
        <w:tc>
          <w:tcPr>
            <w:tcW w:w="2478" w:type="dxa"/>
            <w:tcBorders>
              <w:top w:val="nil" w:sz="6" w:space="0" w:color="auto"/>
              <w:left w:val="nil" w:sz="6" w:space="0" w:color="auto"/>
              <w:bottom w:val="nil" w:sz="6" w:space="0" w:color="auto"/>
              <w:right w:val="nil" w:sz="6" w:space="0" w:color="auto"/>
            </w:tcBorders>
          </w:tcPr>
          <w:p>
            <w:pPr/>
          </w:p>
        </w:tc>
        <w:tc>
          <w:tcPr>
            <w:tcW w:w="1900" w:type="dxa"/>
            <w:tcBorders>
              <w:top w:val="nil" w:sz="6" w:space="0" w:color="auto"/>
              <w:left w:val="nil" w:sz="6" w:space="0" w:color="auto"/>
              <w:bottom w:val="nil" w:sz="6" w:space="0" w:color="auto"/>
              <w:right w:val="nil" w:sz="6" w:space="0" w:color="auto"/>
            </w:tcBorders>
          </w:tcPr>
          <w:p>
            <w:pPr>
              <w:pStyle w:val="TableParagraph"/>
              <w:spacing w:line="225" w:lineRule="exact"/>
              <w:ind w:right="281"/>
              <w:jc w:val="right"/>
              <w:rPr>
                <w:rFonts w:ascii="Arial" w:hAnsi="Arial" w:cs="Arial" w:eastAsia="Arial" w:hint="default"/>
                <w:sz w:val="20"/>
                <w:szCs w:val="20"/>
              </w:rPr>
            </w:pPr>
            <w:r>
              <w:rPr>
                <w:rFonts w:ascii="Arial"/>
                <w:w w:val="100"/>
                <w:sz w:val="20"/>
              </w:rPr>
            </w:r>
            <w:r>
              <w:rPr>
                <w:rFonts w:ascii="Arial"/>
                <w:spacing w:val="-1"/>
                <w:sz w:val="20"/>
                <w:u w:val="thick" w:color="000000"/>
              </w:rPr>
              <w:t>102,857,796</w:t>
            </w:r>
            <w:r>
              <w:rPr>
                <w:rFonts w:ascii="Arial"/>
                <w:spacing w:val="-1"/>
                <w:sz w:val="20"/>
              </w:rPr>
            </w:r>
          </w:p>
        </w:tc>
        <w:tc>
          <w:tcPr>
            <w:tcW w:w="1631" w:type="dxa"/>
            <w:tcBorders>
              <w:top w:val="nil" w:sz="6" w:space="0" w:color="auto"/>
              <w:left w:val="nil" w:sz="6" w:space="0" w:color="auto"/>
              <w:bottom w:val="nil" w:sz="6" w:space="0" w:color="auto"/>
              <w:right w:val="nil" w:sz="6" w:space="0" w:color="auto"/>
            </w:tcBorders>
          </w:tcPr>
          <w:p>
            <w:pPr>
              <w:pStyle w:val="TableParagraph"/>
              <w:spacing w:line="225" w:lineRule="exact"/>
              <w:ind w:right="34"/>
              <w:jc w:val="right"/>
              <w:rPr>
                <w:rFonts w:ascii="Arial" w:hAnsi="Arial" w:cs="Arial" w:eastAsia="Arial" w:hint="default"/>
                <w:sz w:val="20"/>
                <w:szCs w:val="20"/>
              </w:rPr>
            </w:pPr>
            <w:r>
              <w:rPr>
                <w:rFonts w:ascii="Arial"/>
                <w:w w:val="100"/>
                <w:sz w:val="20"/>
              </w:rPr>
            </w:r>
            <w:r>
              <w:rPr>
                <w:rFonts w:ascii="Arial"/>
                <w:sz w:val="20"/>
                <w:u w:val="thick" w:color="000000"/>
              </w:rPr>
              <w:t>71</w:t>
            </w:r>
            <w:r>
              <w:rPr>
                <w:rFonts w:ascii="Arial"/>
                <w:sz w:val="20"/>
              </w:rPr>
            </w:r>
          </w:p>
        </w:tc>
      </w:tr>
      <w:tr>
        <w:trPr>
          <w:trHeight w:val="447" w:hRule="exact"/>
        </w:trPr>
        <w:tc>
          <w:tcPr>
            <w:tcW w:w="2562" w:type="dxa"/>
            <w:tcBorders>
              <w:top w:val="nil" w:sz="6" w:space="0" w:color="auto"/>
              <w:left w:val="nil" w:sz="6" w:space="0" w:color="auto"/>
              <w:bottom w:val="nil" w:sz="6" w:space="0" w:color="auto"/>
              <w:right w:val="nil" w:sz="6" w:space="0" w:color="auto"/>
            </w:tcBorders>
          </w:tcPr>
          <w:p>
            <w:pPr>
              <w:pStyle w:val="TableParagraph"/>
              <w:tabs>
                <w:tab w:pos="723" w:val="left" w:leader="none"/>
              </w:tabs>
              <w:spacing w:line="240" w:lineRule="auto" w:before="77"/>
              <w:ind w:left="35" w:right="0"/>
              <w:jc w:val="left"/>
              <w:rPr>
                <w:rFonts w:ascii="黑体" w:hAnsi="黑体" w:cs="黑体" w:eastAsia="黑体" w:hint="default"/>
                <w:sz w:val="20"/>
                <w:szCs w:val="20"/>
              </w:rPr>
            </w:pPr>
            <w:r>
              <w:rPr>
                <w:rFonts w:ascii="Arial" w:hAnsi="Arial" w:cs="Arial" w:eastAsia="Arial" w:hint="default"/>
                <w:b/>
                <w:bCs/>
                <w:spacing w:val="-1"/>
                <w:sz w:val="20"/>
                <w:szCs w:val="20"/>
              </w:rPr>
              <w:t>7.</w:t>
              <w:tab/>
            </w:r>
            <w:r>
              <w:rPr>
                <w:rFonts w:ascii="黑体" w:hAnsi="黑体" w:cs="黑体" w:eastAsia="黑体" w:hint="default"/>
                <w:b/>
                <w:bCs/>
                <w:spacing w:val="1"/>
                <w:sz w:val="20"/>
                <w:szCs w:val="20"/>
              </w:rPr>
              <w:t>存货</w:t>
            </w:r>
            <w:r>
              <w:rPr>
                <w:rFonts w:ascii="黑体" w:hAnsi="黑体" w:cs="黑体" w:eastAsia="黑体" w:hint="default"/>
                <w:sz w:val="20"/>
                <w:szCs w:val="20"/>
              </w:rPr>
            </w:r>
          </w:p>
        </w:tc>
        <w:tc>
          <w:tcPr>
            <w:tcW w:w="2478" w:type="dxa"/>
            <w:tcBorders>
              <w:top w:val="nil" w:sz="6" w:space="0" w:color="auto"/>
              <w:left w:val="nil" w:sz="6" w:space="0" w:color="auto"/>
              <w:bottom w:val="nil" w:sz="6" w:space="0" w:color="auto"/>
              <w:right w:val="nil" w:sz="6" w:space="0" w:color="auto"/>
            </w:tcBorders>
          </w:tcPr>
          <w:p>
            <w:pPr/>
          </w:p>
        </w:tc>
        <w:tc>
          <w:tcPr>
            <w:tcW w:w="1900"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r>
    </w:tbl>
    <w:p>
      <w:pPr>
        <w:spacing w:line="240" w:lineRule="auto" w:before="13"/>
        <w:rPr>
          <w:rFonts w:ascii="黑体" w:hAnsi="黑体" w:cs="黑体" w:eastAsia="黑体" w:hint="default"/>
          <w:sz w:val="13"/>
          <w:szCs w:val="13"/>
        </w:rPr>
      </w:pPr>
    </w:p>
    <w:p>
      <w:pPr>
        <w:pStyle w:val="BodyText"/>
        <w:spacing w:line="261" w:lineRule="auto" w:before="38"/>
        <w:ind w:left="855" w:right="114" w:hanging="1"/>
        <w:jc w:val="left"/>
      </w:pPr>
      <w:r>
        <w:rPr>
          <w:spacing w:val="-3"/>
          <w:w w:val="100"/>
        </w:rPr>
        <w:t>本公司于</w:t>
      </w:r>
      <w:r>
        <w:rPr>
          <w:rFonts w:ascii="Arial" w:hAnsi="Arial" w:cs="Arial" w:eastAsia="Arial" w:hint="default"/>
          <w:spacing w:val="-3"/>
          <w:w w:val="100"/>
        </w:rPr>
        <w:t>2009</w:t>
      </w:r>
      <w:r>
        <w:rPr>
          <w:spacing w:val="-3"/>
          <w:w w:val="100"/>
        </w:rPr>
        <w:t>年</w:t>
      </w:r>
      <w:r>
        <w:rPr>
          <w:rFonts w:ascii="Arial" w:hAnsi="Arial" w:cs="Arial" w:eastAsia="Arial" w:hint="default"/>
          <w:spacing w:val="-3"/>
          <w:w w:val="100"/>
        </w:rPr>
        <w:t>12</w:t>
      </w:r>
      <w:r>
        <w:rPr>
          <w:spacing w:val="-3"/>
          <w:w w:val="100"/>
        </w:rPr>
        <w:t>月</w:t>
      </w:r>
      <w:r>
        <w:rPr>
          <w:rFonts w:ascii="Arial" w:hAnsi="Arial" w:cs="Arial" w:eastAsia="Arial" w:hint="default"/>
          <w:spacing w:val="-3"/>
          <w:w w:val="100"/>
        </w:rPr>
        <w:t>31</w:t>
      </w:r>
      <w:r>
        <w:rPr>
          <w:spacing w:val="-3"/>
          <w:w w:val="100"/>
        </w:rPr>
        <w:t>日的存货中不存在因遭受毁损、全部或部分陈旧过时或销售价格低</w:t>
      </w:r>
      <w:r>
        <w:rPr>
          <w:spacing w:val="-94"/>
          <w:w w:val="100"/>
        </w:rPr>
        <w:t> </w:t>
      </w:r>
      <w:r>
        <w:rPr>
          <w:spacing w:val="-94"/>
          <w:w w:val="100"/>
        </w:rPr>
      </w:r>
      <w:r>
        <w:rPr/>
        <w:t>于成本等原因，而使存货成本高于其可变现净值的情况，故不需计提存货跌价准备。</w:t>
      </w:r>
    </w:p>
    <w:p>
      <w:pPr>
        <w:spacing w:line="240" w:lineRule="auto" w:before="7"/>
        <w:rPr>
          <w:rFonts w:ascii="黑体" w:hAnsi="黑体" w:cs="黑体" w:eastAsia="黑体" w:hint="default"/>
          <w:sz w:val="27"/>
          <w:szCs w:val="27"/>
        </w:rPr>
      </w:pPr>
    </w:p>
    <w:p>
      <w:pPr>
        <w:pStyle w:val="BodyText"/>
        <w:tabs>
          <w:tab w:pos="6784" w:val="left" w:leader="none"/>
        </w:tabs>
        <w:spacing w:line="240" w:lineRule="auto"/>
        <w:ind w:left="3298" w:right="114"/>
        <w:jc w:val="left"/>
      </w:pPr>
      <w:r>
        <w:rPr>
          <w:rFonts w:ascii="Arial" w:hAnsi="Arial" w:cs="Arial" w:eastAsia="Arial" w:hint="default"/>
          <w:spacing w:val="-1"/>
        </w:rPr>
        <w:t>2009</w:t>
      </w:r>
      <w:r>
        <w:rPr>
          <w:spacing w:val="-1"/>
        </w:rPr>
        <w:t>年</w:t>
        <w:tab/>
      </w:r>
      <w:r>
        <w:rPr>
          <w:rFonts w:ascii="Arial" w:hAnsi="Arial" w:cs="Arial" w:eastAsia="Arial" w:hint="default"/>
          <w:spacing w:val="-1"/>
        </w:rPr>
        <w:t>2008</w:t>
      </w:r>
      <w:r>
        <w:rPr>
          <w:spacing w:val="-1"/>
        </w:rPr>
        <w:t>年</w:t>
      </w:r>
    </w:p>
    <w:tbl>
      <w:tblPr>
        <w:tblW w:w="0" w:type="auto"/>
        <w:jc w:val="left"/>
        <w:tblInd w:w="836" w:type="dxa"/>
        <w:tblLayout w:type="fixed"/>
        <w:tblCellMar>
          <w:top w:w="0" w:type="dxa"/>
          <w:left w:w="0" w:type="dxa"/>
          <w:bottom w:w="0" w:type="dxa"/>
          <w:right w:w="0" w:type="dxa"/>
        </w:tblCellMar>
        <w:tblLook w:val="01E0"/>
      </w:tblPr>
      <w:tblGrid>
        <w:gridCol w:w="1141"/>
        <w:gridCol w:w="1085"/>
        <w:gridCol w:w="1089"/>
        <w:gridCol w:w="1115"/>
        <w:gridCol w:w="303"/>
        <w:gridCol w:w="1087"/>
        <w:gridCol w:w="986"/>
        <w:gridCol w:w="1038"/>
      </w:tblGrid>
      <w:tr>
        <w:trPr>
          <w:trHeight w:val="783" w:hRule="exact"/>
        </w:trPr>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5"/>
              <w:ind w:right="0"/>
              <w:jc w:val="left"/>
              <w:rPr>
                <w:rFonts w:ascii="黑体" w:hAnsi="黑体" w:cs="黑体" w:eastAsia="黑体" w:hint="default"/>
                <w:sz w:val="17"/>
                <w:szCs w:val="17"/>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原材料</w:t>
            </w:r>
          </w:p>
        </w:tc>
        <w:tc>
          <w:tcPr>
            <w:tcW w:w="1085" w:type="dxa"/>
            <w:tcBorders>
              <w:top w:val="single" w:sz="4" w:space="0" w:color="000000"/>
              <w:left w:val="nil" w:sz="6" w:space="0" w:color="auto"/>
              <w:bottom w:val="nil" w:sz="6" w:space="0" w:color="auto"/>
              <w:right w:val="nil" w:sz="6" w:space="0" w:color="auto"/>
            </w:tcBorders>
          </w:tcPr>
          <w:p>
            <w:pPr>
              <w:pStyle w:val="TableParagraph"/>
              <w:spacing w:line="227" w:lineRule="exact"/>
              <w:ind w:left="307" w:right="0" w:hanging="88"/>
              <w:jc w:val="left"/>
              <w:rPr>
                <w:rFonts w:ascii="黑体" w:hAnsi="黑体" w:cs="黑体" w:eastAsia="黑体" w:hint="default"/>
                <w:sz w:val="20"/>
                <w:szCs w:val="20"/>
              </w:rPr>
            </w:pPr>
            <w:r>
              <w:rPr>
                <w:rFonts w:ascii="黑体" w:hAnsi="黑体" w:cs="黑体" w:eastAsia="黑体" w:hint="default"/>
                <w:sz w:val="20"/>
                <w:szCs w:val="20"/>
              </w:rPr>
              <w:t>账面余额</w:t>
            </w:r>
          </w:p>
          <w:p>
            <w:pPr>
              <w:pStyle w:val="TableParagraph"/>
              <w:spacing w:line="240" w:lineRule="auto" w:before="2"/>
              <w:ind w:right="0"/>
              <w:jc w:val="left"/>
              <w:rPr>
                <w:rFonts w:ascii="黑体" w:hAnsi="黑体" w:cs="黑体" w:eastAsia="黑体" w:hint="default"/>
                <w:sz w:val="23"/>
                <w:szCs w:val="23"/>
              </w:rPr>
            </w:pPr>
          </w:p>
          <w:p>
            <w:pPr>
              <w:pStyle w:val="TableParagraph"/>
              <w:spacing w:line="240" w:lineRule="auto"/>
              <w:ind w:left="307" w:right="0"/>
              <w:jc w:val="left"/>
              <w:rPr>
                <w:rFonts w:ascii="Arial" w:hAnsi="Arial" w:cs="Arial" w:eastAsia="Arial" w:hint="default"/>
                <w:sz w:val="20"/>
                <w:szCs w:val="20"/>
              </w:rPr>
            </w:pPr>
            <w:r>
              <w:rPr>
                <w:rFonts w:ascii="Arial"/>
                <w:sz w:val="20"/>
              </w:rPr>
              <w:t>299,518</w:t>
            </w:r>
          </w:p>
        </w:tc>
        <w:tc>
          <w:tcPr>
            <w:tcW w:w="1089" w:type="dxa"/>
            <w:tcBorders>
              <w:top w:val="single" w:sz="4" w:space="0" w:color="000000"/>
              <w:left w:val="nil" w:sz="6" w:space="0" w:color="auto"/>
              <w:bottom w:val="nil" w:sz="6" w:space="0" w:color="auto"/>
              <w:right w:val="nil" w:sz="6" w:space="0" w:color="auto"/>
            </w:tcBorders>
          </w:tcPr>
          <w:p>
            <w:pPr>
              <w:pStyle w:val="TableParagraph"/>
              <w:spacing w:line="227" w:lineRule="exact"/>
              <w:ind w:right="231"/>
              <w:jc w:val="right"/>
              <w:rPr>
                <w:rFonts w:ascii="黑体" w:hAnsi="黑体" w:cs="黑体" w:eastAsia="黑体" w:hint="default"/>
                <w:sz w:val="20"/>
                <w:szCs w:val="20"/>
              </w:rPr>
            </w:pPr>
            <w:r>
              <w:rPr>
                <w:rFonts w:ascii="黑体" w:hAnsi="黑体" w:cs="黑体" w:eastAsia="黑体" w:hint="default"/>
                <w:sz w:val="20"/>
                <w:szCs w:val="20"/>
              </w:rPr>
              <w:t>跌价准备</w:t>
            </w:r>
          </w:p>
          <w:p>
            <w:pPr>
              <w:pStyle w:val="TableParagraph"/>
              <w:spacing w:line="240" w:lineRule="auto" w:before="2"/>
              <w:ind w:right="0"/>
              <w:jc w:val="left"/>
              <w:rPr>
                <w:rFonts w:ascii="黑体" w:hAnsi="黑体" w:cs="黑体" w:eastAsia="黑体" w:hint="default"/>
                <w:sz w:val="23"/>
                <w:szCs w:val="23"/>
              </w:rPr>
            </w:pPr>
          </w:p>
          <w:p>
            <w:pPr>
              <w:pStyle w:val="TableParagraph"/>
              <w:spacing w:line="240" w:lineRule="auto"/>
              <w:ind w:right="223"/>
              <w:jc w:val="right"/>
              <w:rPr>
                <w:rFonts w:ascii="Arial" w:hAnsi="Arial" w:cs="Arial" w:eastAsia="Arial" w:hint="default"/>
                <w:sz w:val="20"/>
                <w:szCs w:val="20"/>
              </w:rPr>
            </w:pPr>
            <w:r>
              <w:rPr>
                <w:rFonts w:ascii="Arial"/>
                <w:w w:val="100"/>
                <w:sz w:val="20"/>
              </w:rPr>
              <w:t>-</w:t>
            </w:r>
          </w:p>
        </w:tc>
        <w:tc>
          <w:tcPr>
            <w:tcW w:w="1115" w:type="dxa"/>
            <w:tcBorders>
              <w:top w:val="single" w:sz="4" w:space="0" w:color="000000"/>
              <w:left w:val="nil" w:sz="6" w:space="0" w:color="auto"/>
              <w:bottom w:val="nil" w:sz="6" w:space="0" w:color="auto"/>
              <w:right w:val="nil" w:sz="6" w:space="0" w:color="auto"/>
            </w:tcBorders>
          </w:tcPr>
          <w:p>
            <w:pPr>
              <w:pStyle w:val="TableParagraph"/>
              <w:spacing w:line="227" w:lineRule="exact"/>
              <w:ind w:left="391" w:right="0" w:hanging="87"/>
              <w:jc w:val="left"/>
              <w:rPr>
                <w:rFonts w:ascii="黑体" w:hAnsi="黑体" w:cs="黑体" w:eastAsia="黑体" w:hint="default"/>
                <w:sz w:val="20"/>
                <w:szCs w:val="20"/>
              </w:rPr>
            </w:pPr>
            <w:r>
              <w:rPr>
                <w:rFonts w:ascii="黑体" w:hAnsi="黑体" w:cs="黑体" w:eastAsia="黑体" w:hint="default"/>
                <w:sz w:val="20"/>
                <w:szCs w:val="20"/>
              </w:rPr>
              <w:t>账面价值</w:t>
            </w:r>
          </w:p>
          <w:p>
            <w:pPr>
              <w:pStyle w:val="TableParagraph"/>
              <w:spacing w:line="240" w:lineRule="auto" w:before="2"/>
              <w:ind w:right="0"/>
              <w:jc w:val="left"/>
              <w:rPr>
                <w:rFonts w:ascii="黑体" w:hAnsi="黑体" w:cs="黑体" w:eastAsia="黑体" w:hint="default"/>
                <w:sz w:val="23"/>
                <w:szCs w:val="23"/>
              </w:rPr>
            </w:pPr>
          </w:p>
          <w:p>
            <w:pPr>
              <w:pStyle w:val="TableParagraph"/>
              <w:spacing w:line="240" w:lineRule="auto"/>
              <w:ind w:left="391" w:right="0"/>
              <w:jc w:val="left"/>
              <w:rPr>
                <w:rFonts w:ascii="Arial" w:hAnsi="Arial" w:cs="Arial" w:eastAsia="Arial" w:hint="default"/>
                <w:sz w:val="20"/>
                <w:szCs w:val="20"/>
              </w:rPr>
            </w:pPr>
            <w:r>
              <w:rPr>
                <w:rFonts w:ascii="Arial"/>
                <w:spacing w:val="-1"/>
                <w:sz w:val="20"/>
              </w:rPr>
              <w:t>299,518</w:t>
            </w:r>
          </w:p>
        </w:tc>
        <w:tc>
          <w:tcPr>
            <w:tcW w:w="303" w:type="dxa"/>
            <w:tcBorders>
              <w:top w:val="nil" w:sz="6" w:space="0" w:color="auto"/>
              <w:left w:val="nil" w:sz="6" w:space="0" w:color="auto"/>
              <w:bottom w:val="nil" w:sz="6" w:space="0" w:color="auto"/>
              <w:right w:val="nil" w:sz="6" w:space="0" w:color="auto"/>
            </w:tcBorders>
          </w:tcPr>
          <w:p>
            <w:pPr/>
          </w:p>
        </w:tc>
        <w:tc>
          <w:tcPr>
            <w:tcW w:w="1087" w:type="dxa"/>
            <w:tcBorders>
              <w:top w:val="single" w:sz="4" w:space="0" w:color="000000"/>
              <w:left w:val="nil" w:sz="6" w:space="0" w:color="auto"/>
              <w:bottom w:val="nil" w:sz="6" w:space="0" w:color="auto"/>
              <w:right w:val="nil" w:sz="6" w:space="0" w:color="auto"/>
            </w:tcBorders>
          </w:tcPr>
          <w:p>
            <w:pPr>
              <w:pStyle w:val="TableParagraph"/>
              <w:spacing w:line="227" w:lineRule="exact"/>
              <w:ind w:left="299" w:right="0" w:hanging="86"/>
              <w:jc w:val="left"/>
              <w:rPr>
                <w:rFonts w:ascii="黑体" w:hAnsi="黑体" w:cs="黑体" w:eastAsia="黑体" w:hint="default"/>
                <w:sz w:val="20"/>
                <w:szCs w:val="20"/>
              </w:rPr>
            </w:pPr>
            <w:r>
              <w:rPr>
                <w:rFonts w:ascii="黑体" w:hAnsi="黑体" w:cs="黑体" w:eastAsia="黑体" w:hint="default"/>
                <w:sz w:val="20"/>
                <w:szCs w:val="20"/>
              </w:rPr>
              <w:t>账面余额</w:t>
            </w:r>
          </w:p>
          <w:p>
            <w:pPr>
              <w:pStyle w:val="TableParagraph"/>
              <w:spacing w:line="240" w:lineRule="auto" w:before="2"/>
              <w:ind w:right="0"/>
              <w:jc w:val="left"/>
              <w:rPr>
                <w:rFonts w:ascii="黑体" w:hAnsi="黑体" w:cs="黑体" w:eastAsia="黑体" w:hint="default"/>
                <w:sz w:val="23"/>
                <w:szCs w:val="23"/>
              </w:rPr>
            </w:pPr>
          </w:p>
          <w:p>
            <w:pPr>
              <w:pStyle w:val="TableParagraph"/>
              <w:spacing w:line="240" w:lineRule="auto"/>
              <w:ind w:left="299" w:right="0"/>
              <w:jc w:val="left"/>
              <w:rPr>
                <w:rFonts w:ascii="Arial" w:hAnsi="Arial" w:cs="Arial" w:eastAsia="Arial" w:hint="default"/>
                <w:sz w:val="20"/>
                <w:szCs w:val="20"/>
              </w:rPr>
            </w:pPr>
            <w:r>
              <w:rPr>
                <w:rFonts w:ascii="Arial"/>
                <w:sz w:val="20"/>
              </w:rPr>
              <w:t>338,389</w:t>
            </w:r>
          </w:p>
        </w:tc>
        <w:tc>
          <w:tcPr>
            <w:tcW w:w="986" w:type="dxa"/>
            <w:tcBorders>
              <w:top w:val="single" w:sz="4" w:space="0" w:color="000000"/>
              <w:left w:val="nil" w:sz="6" w:space="0" w:color="auto"/>
              <w:bottom w:val="nil" w:sz="6" w:space="0" w:color="auto"/>
              <w:right w:val="nil" w:sz="6" w:space="0" w:color="auto"/>
            </w:tcBorders>
          </w:tcPr>
          <w:p>
            <w:pPr>
              <w:pStyle w:val="TableParagraph"/>
              <w:spacing w:line="227" w:lineRule="exact"/>
              <w:ind w:right="119"/>
              <w:jc w:val="right"/>
              <w:rPr>
                <w:rFonts w:ascii="黑体" w:hAnsi="黑体" w:cs="黑体" w:eastAsia="黑体" w:hint="default"/>
                <w:sz w:val="20"/>
                <w:szCs w:val="20"/>
              </w:rPr>
            </w:pPr>
            <w:r>
              <w:rPr>
                <w:rFonts w:ascii="黑体" w:hAnsi="黑体" w:cs="黑体" w:eastAsia="黑体" w:hint="default"/>
                <w:sz w:val="20"/>
                <w:szCs w:val="20"/>
              </w:rPr>
              <w:t>跌价准备</w:t>
            </w:r>
          </w:p>
          <w:p>
            <w:pPr>
              <w:pStyle w:val="TableParagraph"/>
              <w:spacing w:line="240" w:lineRule="auto" w:before="2"/>
              <w:ind w:right="0"/>
              <w:jc w:val="left"/>
              <w:rPr>
                <w:rFonts w:ascii="黑体" w:hAnsi="黑体" w:cs="黑体" w:eastAsia="黑体" w:hint="default"/>
                <w:sz w:val="23"/>
                <w:szCs w:val="23"/>
              </w:rPr>
            </w:pPr>
          </w:p>
          <w:p>
            <w:pPr>
              <w:pStyle w:val="TableParagraph"/>
              <w:spacing w:line="240" w:lineRule="auto"/>
              <w:ind w:right="111"/>
              <w:jc w:val="right"/>
              <w:rPr>
                <w:rFonts w:ascii="Arial" w:hAnsi="Arial" w:cs="Arial" w:eastAsia="Arial" w:hint="default"/>
                <w:sz w:val="20"/>
                <w:szCs w:val="20"/>
              </w:rPr>
            </w:pPr>
            <w:r>
              <w:rPr>
                <w:rFonts w:ascii="Arial"/>
                <w:w w:val="100"/>
                <w:sz w:val="20"/>
              </w:rPr>
              <w:t>-</w:t>
            </w:r>
          </w:p>
        </w:tc>
        <w:tc>
          <w:tcPr>
            <w:tcW w:w="1038" w:type="dxa"/>
            <w:tcBorders>
              <w:top w:val="single" w:sz="4" w:space="0" w:color="000000"/>
              <w:left w:val="nil" w:sz="6" w:space="0" w:color="auto"/>
              <w:bottom w:val="nil" w:sz="6" w:space="0" w:color="auto"/>
              <w:right w:val="nil" w:sz="6" w:space="0" w:color="auto"/>
            </w:tcBorders>
          </w:tcPr>
          <w:p>
            <w:pPr>
              <w:pStyle w:val="TableParagraph"/>
              <w:spacing w:line="227" w:lineRule="exact"/>
              <w:ind w:left="278" w:right="0" w:hanging="87"/>
              <w:jc w:val="left"/>
              <w:rPr>
                <w:rFonts w:ascii="黑体" w:hAnsi="黑体" w:cs="黑体" w:eastAsia="黑体" w:hint="default"/>
                <w:sz w:val="20"/>
                <w:szCs w:val="20"/>
              </w:rPr>
            </w:pPr>
            <w:r>
              <w:rPr>
                <w:rFonts w:ascii="黑体" w:hAnsi="黑体" w:cs="黑体" w:eastAsia="黑体" w:hint="default"/>
                <w:sz w:val="20"/>
                <w:szCs w:val="20"/>
              </w:rPr>
              <w:t>账面价值</w:t>
            </w:r>
          </w:p>
          <w:p>
            <w:pPr>
              <w:pStyle w:val="TableParagraph"/>
              <w:spacing w:line="240" w:lineRule="auto" w:before="2"/>
              <w:ind w:right="0"/>
              <w:jc w:val="left"/>
              <w:rPr>
                <w:rFonts w:ascii="黑体" w:hAnsi="黑体" w:cs="黑体" w:eastAsia="黑体" w:hint="default"/>
                <w:sz w:val="23"/>
                <w:szCs w:val="23"/>
              </w:rPr>
            </w:pPr>
          </w:p>
          <w:p>
            <w:pPr>
              <w:pStyle w:val="TableParagraph"/>
              <w:spacing w:line="240" w:lineRule="auto"/>
              <w:ind w:left="278" w:right="0"/>
              <w:jc w:val="left"/>
              <w:rPr>
                <w:rFonts w:ascii="Arial" w:hAnsi="Arial" w:cs="Arial" w:eastAsia="Arial" w:hint="default"/>
                <w:sz w:val="20"/>
                <w:szCs w:val="20"/>
              </w:rPr>
            </w:pPr>
            <w:r>
              <w:rPr>
                <w:rFonts w:ascii="Arial"/>
                <w:sz w:val="20"/>
              </w:rPr>
              <w:t>338,389</w:t>
            </w:r>
          </w:p>
        </w:tc>
      </w:tr>
      <w:tr>
        <w:trPr>
          <w:trHeight w:val="367" w:hRule="exact"/>
        </w:trPr>
        <w:tc>
          <w:tcPr>
            <w:tcW w:w="1141"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库存商品</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52"/>
              <w:jc w:val="right"/>
              <w:rPr>
                <w:rFonts w:ascii="Arial" w:hAnsi="Arial" w:cs="Arial" w:eastAsia="Arial" w:hint="default"/>
                <w:sz w:val="20"/>
                <w:szCs w:val="20"/>
              </w:rPr>
            </w:pPr>
            <w:r>
              <w:rPr>
                <w:rFonts w:ascii="Arial"/>
                <w:w w:val="100"/>
                <w:sz w:val="20"/>
              </w:rPr>
            </w:r>
            <w:r>
              <w:rPr>
                <w:rFonts w:ascii="Arial"/>
                <w:spacing w:val="-1"/>
                <w:sz w:val="20"/>
                <w:u w:val="single" w:color="000000"/>
              </w:rPr>
              <w:t>4,439,615</w:t>
            </w:r>
            <w:r>
              <w:rPr>
                <w:rFonts w:ascii="Arial"/>
                <w:spacing w:val="-1"/>
                <w:sz w:val="20"/>
              </w:rPr>
            </w:r>
          </w:p>
        </w:tc>
        <w:tc>
          <w:tcPr>
            <w:tcW w:w="1089" w:type="dxa"/>
            <w:tcBorders>
              <w:top w:val="nil" w:sz="6" w:space="0" w:color="auto"/>
              <w:left w:val="nil" w:sz="6" w:space="0" w:color="auto"/>
              <w:bottom w:val="nil" w:sz="6" w:space="0" w:color="auto"/>
              <w:right w:val="nil" w:sz="6" w:space="0" w:color="auto"/>
            </w:tcBorders>
          </w:tcPr>
          <w:p>
            <w:pPr>
              <w:pStyle w:val="TableParagraph"/>
              <w:tabs>
                <w:tab w:pos="797" w:val="left" w:leader="none"/>
              </w:tabs>
              <w:spacing w:line="240" w:lineRule="auto" w:before="7"/>
              <w:ind w:left="98"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right"/>
              <w:rPr>
                <w:rFonts w:ascii="Arial" w:hAnsi="Arial" w:cs="Arial" w:eastAsia="Arial" w:hint="default"/>
                <w:sz w:val="20"/>
                <w:szCs w:val="20"/>
              </w:rPr>
            </w:pPr>
            <w:r>
              <w:rPr>
                <w:rFonts w:ascii="Arial"/>
                <w:w w:val="100"/>
                <w:sz w:val="20"/>
              </w:rPr>
            </w:r>
            <w:r>
              <w:rPr>
                <w:rFonts w:ascii="Arial"/>
                <w:spacing w:val="-1"/>
                <w:sz w:val="20"/>
                <w:u w:val="single" w:color="000000"/>
              </w:rPr>
              <w:t>4,439,615</w:t>
            </w:r>
            <w:r>
              <w:rPr>
                <w:rFonts w:ascii="Arial"/>
                <w:spacing w:val="-1"/>
                <w:sz w:val="20"/>
              </w:rPr>
            </w:r>
          </w:p>
        </w:tc>
        <w:tc>
          <w:tcPr>
            <w:tcW w:w="303"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1"/>
              <w:jc w:val="right"/>
              <w:rPr>
                <w:rFonts w:ascii="Arial" w:hAnsi="Arial" w:cs="Arial" w:eastAsia="Arial" w:hint="default"/>
                <w:sz w:val="20"/>
                <w:szCs w:val="20"/>
              </w:rPr>
            </w:pPr>
            <w:r>
              <w:rPr>
                <w:rFonts w:ascii="Arial"/>
                <w:w w:val="100"/>
                <w:sz w:val="20"/>
              </w:rPr>
            </w:r>
            <w:r>
              <w:rPr>
                <w:rFonts w:ascii="Arial"/>
                <w:spacing w:val="-1"/>
                <w:sz w:val="20"/>
                <w:u w:val="single" w:color="000000"/>
              </w:rPr>
              <w:t>7,626,090</w:t>
            </w:r>
            <w:r>
              <w:rPr>
                <w:rFonts w:ascii="Arial"/>
                <w:spacing w:val="-1"/>
                <w:sz w:val="20"/>
              </w:rPr>
            </w:r>
          </w:p>
        </w:tc>
        <w:tc>
          <w:tcPr>
            <w:tcW w:w="986" w:type="dxa"/>
            <w:tcBorders>
              <w:top w:val="nil" w:sz="6" w:space="0" w:color="auto"/>
              <w:left w:val="nil" w:sz="6" w:space="0" w:color="auto"/>
              <w:bottom w:val="nil" w:sz="6" w:space="0" w:color="auto"/>
              <w:right w:val="nil" w:sz="6" w:space="0" w:color="auto"/>
            </w:tcBorders>
          </w:tcPr>
          <w:p>
            <w:pPr>
              <w:pStyle w:val="TableParagraph"/>
              <w:tabs>
                <w:tab w:pos="698" w:val="left" w:leader="none"/>
              </w:tabs>
              <w:spacing w:line="240" w:lineRule="auto" w:before="7"/>
              <w:ind w:right="1"/>
              <w:jc w:val="center"/>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w w:val="100"/>
                <w:sz w:val="20"/>
              </w:rPr>
            </w:r>
            <w:r>
              <w:rPr>
                <w:rFonts w:ascii="Arial"/>
                <w:spacing w:val="-1"/>
                <w:sz w:val="20"/>
                <w:u w:val="single" w:color="000000"/>
              </w:rPr>
              <w:t>7,626,090</w:t>
            </w:r>
            <w:r>
              <w:rPr>
                <w:rFonts w:ascii="Arial"/>
                <w:spacing w:val="-1"/>
                <w:sz w:val="20"/>
              </w:rPr>
            </w:r>
          </w:p>
        </w:tc>
      </w:tr>
      <w:tr>
        <w:trPr>
          <w:trHeight w:val="445" w:hRule="exact"/>
        </w:trPr>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52"/>
              <w:jc w:val="right"/>
              <w:rPr>
                <w:rFonts w:ascii="Arial" w:hAnsi="Arial" w:cs="Arial" w:eastAsia="Arial" w:hint="default"/>
                <w:sz w:val="20"/>
                <w:szCs w:val="20"/>
              </w:rPr>
            </w:pPr>
            <w:r>
              <w:rPr>
                <w:rFonts w:ascii="Arial"/>
                <w:w w:val="100"/>
                <w:sz w:val="20"/>
              </w:rPr>
            </w:r>
            <w:r>
              <w:rPr>
                <w:rFonts w:ascii="Arial"/>
                <w:spacing w:val="-1"/>
                <w:sz w:val="20"/>
                <w:u w:val="thick" w:color="000000"/>
              </w:rPr>
              <w:t>4,739,133</w:t>
            </w:r>
            <w:r>
              <w:rPr>
                <w:rFonts w:ascii="Arial"/>
                <w:spacing w:val="-1"/>
                <w:sz w:val="20"/>
              </w:rPr>
            </w:r>
          </w:p>
        </w:tc>
        <w:tc>
          <w:tcPr>
            <w:tcW w:w="1089" w:type="dxa"/>
            <w:tcBorders>
              <w:top w:val="nil" w:sz="6" w:space="0" w:color="auto"/>
              <w:left w:val="nil" w:sz="6" w:space="0" w:color="auto"/>
              <w:bottom w:val="nil" w:sz="6" w:space="0" w:color="auto"/>
              <w:right w:val="nil" w:sz="6" w:space="0" w:color="auto"/>
            </w:tcBorders>
          </w:tcPr>
          <w:p>
            <w:pPr>
              <w:pStyle w:val="TableParagraph"/>
              <w:tabs>
                <w:tab w:pos="797" w:val="left" w:leader="none"/>
              </w:tabs>
              <w:spacing w:line="240" w:lineRule="auto" w:before="119"/>
              <w:ind w:left="98"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0"/>
              <w:jc w:val="right"/>
              <w:rPr>
                <w:rFonts w:ascii="Arial" w:hAnsi="Arial" w:cs="Arial" w:eastAsia="Arial" w:hint="default"/>
                <w:sz w:val="20"/>
                <w:szCs w:val="20"/>
              </w:rPr>
            </w:pPr>
            <w:r>
              <w:rPr>
                <w:rFonts w:ascii="Arial"/>
                <w:w w:val="100"/>
                <w:sz w:val="20"/>
              </w:rPr>
            </w:r>
            <w:r>
              <w:rPr>
                <w:rFonts w:ascii="Arial"/>
                <w:spacing w:val="-1"/>
                <w:sz w:val="20"/>
                <w:u w:val="thick" w:color="000000"/>
              </w:rPr>
              <w:t>4,739,133</w:t>
            </w:r>
            <w:r>
              <w:rPr>
                <w:rFonts w:ascii="Arial"/>
                <w:spacing w:val="-1"/>
                <w:sz w:val="20"/>
              </w:rPr>
            </w:r>
          </w:p>
        </w:tc>
        <w:tc>
          <w:tcPr>
            <w:tcW w:w="303"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61"/>
              <w:jc w:val="right"/>
              <w:rPr>
                <w:rFonts w:ascii="Arial" w:hAnsi="Arial" w:cs="Arial" w:eastAsia="Arial" w:hint="default"/>
                <w:sz w:val="20"/>
                <w:szCs w:val="20"/>
              </w:rPr>
            </w:pPr>
            <w:r>
              <w:rPr>
                <w:rFonts w:ascii="Arial"/>
                <w:w w:val="100"/>
                <w:sz w:val="20"/>
              </w:rPr>
            </w:r>
            <w:r>
              <w:rPr>
                <w:rFonts w:ascii="Arial"/>
                <w:spacing w:val="-1"/>
                <w:sz w:val="20"/>
                <w:u w:val="thick" w:color="000000"/>
              </w:rPr>
              <w:t>7,964,479</w:t>
            </w:r>
            <w:r>
              <w:rPr>
                <w:rFonts w:ascii="Arial"/>
                <w:spacing w:val="-1"/>
                <w:sz w:val="20"/>
              </w:rPr>
            </w:r>
          </w:p>
        </w:tc>
        <w:tc>
          <w:tcPr>
            <w:tcW w:w="986" w:type="dxa"/>
            <w:tcBorders>
              <w:top w:val="nil" w:sz="6" w:space="0" w:color="auto"/>
              <w:left w:val="nil" w:sz="6" w:space="0" w:color="auto"/>
              <w:bottom w:val="nil" w:sz="6" w:space="0" w:color="auto"/>
              <w:right w:val="nil" w:sz="6" w:space="0" w:color="auto"/>
            </w:tcBorders>
          </w:tcPr>
          <w:p>
            <w:pPr>
              <w:pStyle w:val="TableParagraph"/>
              <w:tabs>
                <w:tab w:pos="698" w:val="left" w:leader="none"/>
              </w:tabs>
              <w:spacing w:line="240" w:lineRule="auto" w:before="119"/>
              <w:ind w:right="1"/>
              <w:jc w:val="center"/>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7,964,479</w:t>
            </w:r>
            <w:r>
              <w:rPr>
                <w:rFonts w:ascii="Arial"/>
                <w:spacing w:val="-1"/>
                <w:sz w:val="20"/>
              </w:rPr>
            </w:r>
          </w:p>
        </w:tc>
      </w:tr>
    </w:tbl>
    <w:p>
      <w:pPr>
        <w:spacing w:line="240" w:lineRule="auto" w:before="5"/>
        <w:rPr>
          <w:rFonts w:ascii="黑体" w:hAnsi="黑体" w:cs="黑体" w:eastAsia="黑体" w:hint="default"/>
          <w:sz w:val="13"/>
          <w:szCs w:val="13"/>
        </w:rPr>
      </w:pPr>
    </w:p>
    <w:p>
      <w:pPr>
        <w:pStyle w:val="BodyText"/>
        <w:spacing w:line="240" w:lineRule="auto" w:before="38"/>
        <w:ind w:left="855" w:right="114"/>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日无存货所有权受到限制（</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p>
    <w:p>
      <w:pPr>
        <w:spacing w:after="0" w:line="240" w:lineRule="auto"/>
        <w:jc w:val="left"/>
        <w:sectPr>
          <w:pgSz w:w="11910" w:h="16840"/>
          <w:pgMar w:header="958" w:footer="385" w:top="2560" w:bottom="580" w:left="1560" w:right="1520"/>
        </w:sectPr>
      </w:pPr>
    </w:p>
    <w:p>
      <w:pPr>
        <w:spacing w:line="240" w:lineRule="auto" w:before="0"/>
        <w:rPr>
          <w:rFonts w:ascii="黑体" w:hAnsi="黑体" w:cs="黑体" w:eastAsia="黑体" w:hint="default"/>
          <w:sz w:val="20"/>
          <w:szCs w:val="20"/>
        </w:rPr>
      </w:pPr>
    </w:p>
    <w:p>
      <w:pPr>
        <w:spacing w:before="177"/>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6"/>
        <w:rPr>
          <w:rFonts w:ascii="黑体" w:hAnsi="黑体" w:cs="黑体" w:eastAsia="黑体" w:hint="default"/>
          <w:b/>
          <w:bCs/>
          <w:sz w:val="22"/>
          <w:szCs w:val="22"/>
        </w:rPr>
      </w:pPr>
    </w:p>
    <w:p>
      <w:pPr>
        <w:tabs>
          <w:tab w:pos="790"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8.</w:t>
        <w:tab/>
      </w:r>
      <w:r>
        <w:rPr>
          <w:rFonts w:ascii="黑体" w:hAnsi="黑体" w:cs="黑体" w:eastAsia="黑体" w:hint="default"/>
          <w:b/>
          <w:bCs/>
          <w:sz w:val="20"/>
          <w:szCs w:val="20"/>
        </w:rPr>
        <w:t>其他流动资产</w:t>
      </w:r>
      <w:r>
        <w:rPr>
          <w:rFonts w:ascii="黑体" w:hAnsi="黑体" w:cs="黑体" w:eastAsia="黑体" w:hint="default"/>
          <w:sz w:val="20"/>
          <w:szCs w:val="20"/>
        </w:rPr>
      </w:r>
    </w:p>
    <w:p>
      <w:pPr>
        <w:spacing w:line="240" w:lineRule="auto" w:before="4"/>
        <w:rPr>
          <w:rFonts w:ascii="黑体" w:hAnsi="黑体" w:cs="黑体" w:eastAsia="黑体" w:hint="default"/>
          <w:b/>
          <w:bCs/>
          <w:sz w:val="19"/>
          <w:szCs w:val="19"/>
        </w:rPr>
      </w:pPr>
    </w:p>
    <w:p>
      <w:pPr>
        <w:pStyle w:val="BodyText"/>
        <w:tabs>
          <w:tab w:pos="6867" w:val="left" w:leader="none"/>
        </w:tabs>
        <w:spacing w:line="240" w:lineRule="auto" w:before="38"/>
        <w:ind w:left="4798" w:right="0"/>
        <w:jc w:val="left"/>
      </w:pPr>
      <w:r>
        <w:rPr>
          <w:rFonts w:ascii="Arial" w:hAnsi="Arial" w:cs="Arial" w:eastAsia="Arial" w:hint="default"/>
        </w:rPr>
        <w:t>2009</w:t>
      </w:r>
      <w:r>
        <w:rPr>
          <w:rFonts w:ascii="Arial" w:hAnsi="Arial" w:cs="Arial" w:eastAsia="Arial" w:hint="default"/>
          <w:spacing w:val="-6"/>
        </w:rPr>
        <w:t> </w:t>
      </w:r>
      <w:r>
        <w:rPr/>
        <w:t>年</w:t>
      </w:r>
      <w:r>
        <w:rPr>
          <w:spacing w:val="-52"/>
        </w:rPr>
        <w:t> </w:t>
      </w: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7"/>
        </w:rPr>
        <w:t> </w:t>
      </w:r>
      <w:r>
        <w:rPr/>
        <w:t>日</w:t>
        <w:tab/>
      </w:r>
      <w:r>
        <w:rPr>
          <w:rFonts w:ascii="Arial" w:hAnsi="Arial" w:cs="Arial" w:eastAsia="Arial" w:hint="default"/>
        </w:rPr>
        <w:t>2008</w:t>
      </w:r>
      <w:r>
        <w:rPr>
          <w:rFonts w:ascii="Arial" w:hAnsi="Arial" w:cs="Arial" w:eastAsia="Arial" w:hint="default"/>
          <w:spacing w:val="-6"/>
        </w:rPr>
        <w:t> </w:t>
      </w:r>
      <w:r>
        <w:rPr/>
        <w:t>年</w:t>
      </w:r>
      <w:r>
        <w:rPr>
          <w:spacing w:val="-52"/>
        </w:rPr>
        <w:t> </w:t>
      </w: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6"/>
        </w:rPr>
        <w:t> </w:t>
      </w:r>
      <w:r>
        <w:rPr/>
        <w:t>日</w:t>
      </w:r>
    </w:p>
    <w:p>
      <w:pPr>
        <w:spacing w:line="240" w:lineRule="auto" w:before="11"/>
        <w:rPr>
          <w:rFonts w:ascii="黑体" w:hAnsi="黑体" w:cs="黑体" w:eastAsia="黑体" w:hint="default"/>
          <w:sz w:val="17"/>
          <w:szCs w:val="17"/>
        </w:rPr>
      </w:pPr>
    </w:p>
    <w:p>
      <w:pPr>
        <w:pStyle w:val="BodyText"/>
        <w:tabs>
          <w:tab w:pos="5649" w:val="left" w:leader="none"/>
          <w:tab w:pos="7884" w:val="left" w:leader="none"/>
        </w:tabs>
        <w:spacing w:line="265" w:lineRule="exact"/>
        <w:ind w:left="823" w:right="0"/>
        <w:jc w:val="left"/>
        <w:rPr>
          <w:rFonts w:ascii="Arial" w:hAnsi="Arial" w:cs="Arial" w:eastAsia="Arial" w:hint="default"/>
        </w:rPr>
      </w:pPr>
      <w:r>
        <w:rPr>
          <w:spacing w:val="-1"/>
        </w:rPr>
        <w:t>待摊房租费用</w:t>
        <w:tab/>
      </w:r>
      <w:r>
        <w:rPr>
          <w:rFonts w:ascii="Arial" w:hAnsi="Arial" w:cs="Arial" w:eastAsia="Arial" w:hint="default"/>
          <w:spacing w:val="-1"/>
        </w:rPr>
        <w:t>1,058,428</w:t>
        <w:tab/>
        <w:t>855,829</w:t>
      </w:r>
    </w:p>
    <w:p>
      <w:pPr>
        <w:pStyle w:val="BodyText"/>
        <w:tabs>
          <w:tab w:pos="5627" w:val="left" w:leader="none"/>
          <w:tab w:pos="5926" w:val="left" w:leader="none"/>
          <w:tab w:pos="7884" w:val="left" w:leader="none"/>
        </w:tabs>
        <w:spacing w:line="261" w:lineRule="auto"/>
        <w:ind w:left="5649" w:right="194" w:hanging="4826"/>
        <w:jc w:val="left"/>
        <w:rPr>
          <w:rFonts w:ascii="Arial" w:hAnsi="Arial" w:cs="Arial" w:eastAsia="Arial" w:hint="default"/>
        </w:rPr>
      </w:pPr>
      <w:r>
        <w:rPr>
          <w:spacing w:val="-1"/>
        </w:rPr>
        <w:t>其他待摊费用</w:t>
        <w:tab/>
      </w:r>
      <w:r>
        <w:rPr>
          <w:rFonts w:ascii="Arial" w:hAnsi="Arial" w:cs="Arial" w:eastAsia="Arial" w:hint="default"/>
          <w:spacing w:val="-1"/>
        </w:rPr>
      </w:r>
      <w:r>
        <w:rPr>
          <w:rFonts w:ascii="Arial" w:hAnsi="Arial" w:cs="Arial" w:eastAsia="Arial" w:hint="default"/>
          <w:spacing w:val="-1"/>
          <w:u w:val="single" w:color="000000"/>
        </w:rPr>
        <w:t> </w:t>
        <w:tab/>
      </w:r>
      <w:r>
        <w:rPr>
          <w:rFonts w:ascii="Arial" w:hAnsi="Arial" w:cs="Arial" w:eastAsia="Arial" w:hint="default"/>
          <w:u w:val="single" w:color="000000"/>
        </w:rPr>
        <w:t>94,860</w:t>
      </w:r>
      <w:r>
        <w:rPr>
          <w:rFonts w:ascii="Arial" w:hAnsi="Arial" w:cs="Arial" w:eastAsia="Arial" w:hint="default"/>
        </w:rPr>
        <w:tab/>
      </w:r>
      <w:r>
        <w:rPr>
          <w:rFonts w:ascii="Arial" w:hAnsi="Arial" w:cs="Arial" w:eastAsia="Arial" w:hint="default"/>
          <w:u w:val="single" w:color="000000"/>
        </w:rPr>
        <w:t> 22,783</w:t>
      </w:r>
      <w:r>
        <w:rPr>
          <w:rFonts w:ascii="Arial" w:hAnsi="Arial" w:cs="Arial" w:eastAsia="Arial" w:hint="default"/>
          <w:w w:val="100"/>
        </w:rPr>
      </w:r>
      <w:r>
        <w:rPr>
          <w:rFonts w:ascii="Arial" w:hAnsi="Arial" w:cs="Arial" w:eastAsia="Arial" w:hint="default"/>
          <w:w w:val="100"/>
        </w:rPr>
        <w:t> </w:t>
      </w:r>
      <w:r>
        <w:rPr>
          <w:rFonts w:ascii="Arial" w:hAnsi="Arial" w:cs="Arial" w:eastAsia="Arial" w:hint="default"/>
          <w:spacing w:val="-1"/>
          <w:u w:val="thick" w:color="000000"/>
        </w:rPr>
        <w:t>1,153,288</w:t>
      </w:r>
      <w:r>
        <w:rPr>
          <w:rFonts w:ascii="Arial" w:hAnsi="Arial" w:cs="Arial" w:eastAsia="Arial" w:hint="default"/>
          <w:spacing w:val="-1"/>
        </w:rPr>
        <w:tab/>
      </w:r>
      <w:r>
        <w:rPr>
          <w:rFonts w:ascii="Arial" w:hAnsi="Arial" w:cs="Arial" w:eastAsia="Arial" w:hint="default"/>
          <w:spacing w:val="-1"/>
          <w:u w:val="thick" w:color="000000"/>
        </w:rPr>
        <w:t>878,612</w:t>
      </w:r>
      <w:r>
        <w:rPr>
          <w:rFonts w:ascii="Arial" w:hAnsi="Arial" w:cs="Arial" w:eastAsia="Arial" w:hint="default"/>
          <w:spacing w:val="-1"/>
        </w:rPr>
      </w:r>
    </w:p>
    <w:p>
      <w:pPr>
        <w:spacing w:line="240" w:lineRule="auto" w:before="1"/>
        <w:rPr>
          <w:rFonts w:ascii="Arial" w:hAnsi="Arial" w:cs="Arial" w:eastAsia="Arial" w:hint="default"/>
          <w:sz w:val="10"/>
          <w:szCs w:val="10"/>
        </w:rPr>
      </w:pPr>
    </w:p>
    <w:p>
      <w:pPr>
        <w:tabs>
          <w:tab w:pos="810" w:val="left" w:leader="none"/>
        </w:tabs>
        <w:spacing w:before="38"/>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9.</w:t>
        <w:tab/>
      </w:r>
      <w:r>
        <w:rPr>
          <w:rFonts w:ascii="黑体" w:hAnsi="黑体" w:cs="黑体" w:eastAsia="黑体" w:hint="default"/>
          <w:b/>
          <w:bCs/>
          <w:sz w:val="20"/>
          <w:szCs w:val="20"/>
        </w:rPr>
        <w:t>长期股权投资</w:t>
      </w:r>
      <w:r>
        <w:rPr>
          <w:rFonts w:ascii="黑体" w:hAnsi="黑体" w:cs="黑体" w:eastAsia="黑体" w:hint="default"/>
          <w:sz w:val="20"/>
          <w:szCs w:val="20"/>
        </w:rPr>
      </w:r>
    </w:p>
    <w:p>
      <w:pPr>
        <w:spacing w:line="240" w:lineRule="auto" w:before="2"/>
        <w:rPr>
          <w:rFonts w:ascii="黑体" w:hAnsi="黑体" w:cs="黑体" w:eastAsia="黑体" w:hint="default"/>
          <w:b/>
          <w:bCs/>
          <w:sz w:val="12"/>
          <w:szCs w:val="12"/>
        </w:rPr>
      </w:pPr>
    </w:p>
    <w:p>
      <w:pPr>
        <w:pStyle w:val="BodyText"/>
        <w:spacing w:line="265" w:lineRule="exact" w:before="38"/>
        <w:ind w:left="838" w:right="0"/>
        <w:jc w:val="left"/>
      </w:pPr>
      <w:r>
        <w:rPr>
          <w:rFonts w:ascii="Arial" w:hAnsi="Arial" w:cs="Arial" w:eastAsia="Arial" w:hint="default"/>
        </w:rPr>
        <w:t>2009</w:t>
      </w:r>
      <w:r>
        <w:rPr/>
        <w:t>年</w:t>
      </w:r>
    </w:p>
    <w:p>
      <w:pPr>
        <w:pStyle w:val="BodyText"/>
        <w:tabs>
          <w:tab w:pos="5443" w:val="left" w:leader="none"/>
          <w:tab w:pos="6564" w:val="left" w:leader="none"/>
          <w:tab w:pos="7823" w:val="left" w:leader="none"/>
        </w:tabs>
        <w:spacing w:line="251" w:lineRule="exact"/>
        <w:ind w:left="4172" w:right="0"/>
        <w:jc w:val="left"/>
      </w:pPr>
      <w:r>
        <w:rPr/>
        <w:t>年初余额</w:t>
        <w:tab/>
        <w:t>本年增加</w:t>
        <w:tab/>
        <w:t>本年减少</w:t>
        <w:tab/>
        <w:t>年末余额</w:t>
      </w:r>
    </w:p>
    <w:p>
      <w:pPr>
        <w:spacing w:line="240" w:lineRule="auto" w:before="0"/>
        <w:rPr>
          <w:rFonts w:ascii="黑体" w:hAnsi="黑体" w:cs="黑体" w:eastAsia="黑体" w:hint="default"/>
          <w:sz w:val="16"/>
          <w:szCs w:val="16"/>
        </w:rPr>
      </w:pPr>
    </w:p>
    <w:p>
      <w:pPr>
        <w:pStyle w:val="BodyText"/>
        <w:spacing w:line="253" w:lineRule="exact" w:before="38"/>
        <w:ind w:left="838" w:right="0"/>
        <w:jc w:val="left"/>
      </w:pPr>
      <w:r>
        <w:rPr/>
        <w:t>按成本法核算的股权投资</w:t>
      </w:r>
    </w:p>
    <w:p>
      <w:pPr>
        <w:pStyle w:val="BodyText"/>
        <w:spacing w:line="251" w:lineRule="exact"/>
        <w:ind w:left="838" w:right="0"/>
        <w:jc w:val="left"/>
      </w:pPr>
      <w:r>
        <w:rPr>
          <w:rFonts w:ascii="Arial" w:hAnsi="Arial" w:cs="Arial" w:eastAsia="Arial" w:hint="default"/>
        </w:rPr>
        <w:t>—</w:t>
      </w:r>
      <w:r>
        <w:rPr/>
        <w:t>无控制、共同控制及重大</w:t>
      </w:r>
    </w:p>
    <w:p>
      <w:pPr>
        <w:pStyle w:val="BodyText"/>
        <w:tabs>
          <w:tab w:pos="3455" w:val="left" w:leader="none"/>
          <w:tab w:pos="3971" w:val="left" w:leader="none"/>
          <w:tab w:pos="5382" w:val="left" w:leader="none"/>
          <w:tab w:pos="6503" w:val="left" w:leader="none"/>
          <w:tab w:pos="7651" w:val="left" w:leader="none"/>
        </w:tabs>
        <w:spacing w:line="250" w:lineRule="exact"/>
        <w:ind w:left="1235" w:right="0"/>
        <w:jc w:val="left"/>
        <w:rPr>
          <w:rFonts w:ascii="Arial" w:hAnsi="Arial" w:cs="Arial" w:eastAsia="Arial" w:hint="default"/>
        </w:rPr>
      </w:pPr>
      <w:r>
        <w:rPr>
          <w:spacing w:val="-1"/>
        </w:rPr>
        <w:t>影响之公司</w:t>
        <w:tab/>
      </w:r>
      <w:r>
        <w:rPr>
          <w:rFonts w:ascii="Arial" w:hAnsi="Arial" w:cs="Arial" w:eastAsia="Arial" w:hint="default"/>
          <w:spacing w:val="-1"/>
        </w:rPr>
        <w:t>(i)</w:t>
        <w:tab/>
        <w:t>27,585,597</w:t>
        <w:tab/>
        <w:t>5,000,000</w:t>
        <w:tab/>
        <w:t>7,024,000</w:t>
        <w:tab/>
        <w:t>25,561,597</w:t>
      </w:r>
    </w:p>
    <w:p>
      <w:pPr>
        <w:pStyle w:val="BodyText"/>
        <w:spacing w:line="266" w:lineRule="exact"/>
        <w:ind w:left="838" w:right="0"/>
        <w:jc w:val="left"/>
      </w:pPr>
      <w:r>
        <w:rPr/>
        <w:pict>
          <v:shape style="position:absolute;margin-left:248.814529pt;margin-top:2.993569pt;width:265.7pt;height:346.65pt;mso-position-horizontal-relative:page;mso-position-vertical-relative:paragraph;z-index:24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3"/>
                    <w:gridCol w:w="1284"/>
                    <w:gridCol w:w="1278"/>
                    <w:gridCol w:w="1117"/>
                    <w:gridCol w:w="1241"/>
                  </w:tblGrid>
                  <w:tr>
                    <w:trPr>
                      <w:trHeight w:val="535" w:hRule="exact"/>
                    </w:trPr>
                    <w:tc>
                      <w:tcPr>
                        <w:tcW w:w="393"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Arial" w:hAnsi="Arial" w:cs="Arial" w:eastAsia="Arial" w:hint="default"/>
                            <w:sz w:val="20"/>
                            <w:szCs w:val="20"/>
                          </w:rPr>
                        </w:pPr>
                        <w:r>
                          <w:rPr>
                            <w:rFonts w:ascii="Arial"/>
                            <w:sz w:val="20"/>
                          </w:rPr>
                          <w:t>(ii)</w:t>
                        </w:r>
                      </w:p>
                    </w:tc>
                    <w:tc>
                      <w:tcPr>
                        <w:tcW w:w="1284" w:type="dxa"/>
                        <w:tcBorders>
                          <w:top w:val="nil" w:sz="6" w:space="0" w:color="auto"/>
                          <w:left w:val="nil" w:sz="6" w:space="0" w:color="auto"/>
                          <w:bottom w:val="nil" w:sz="6" w:space="0" w:color="auto"/>
                          <w:right w:val="nil" w:sz="6" w:space="0" w:color="auto"/>
                        </w:tcBorders>
                      </w:tcPr>
                      <w:p>
                        <w:pPr>
                          <w:pStyle w:val="TableParagraph"/>
                          <w:spacing w:line="205" w:lineRule="exact"/>
                          <w:ind w:right="77"/>
                          <w:jc w:val="right"/>
                          <w:rPr>
                            <w:rFonts w:ascii="Arial" w:hAnsi="Arial" w:cs="Arial" w:eastAsia="Arial" w:hint="default"/>
                            <w:sz w:val="20"/>
                            <w:szCs w:val="20"/>
                          </w:rPr>
                        </w:pPr>
                        <w:r>
                          <w:rPr>
                            <w:rFonts w:ascii="Arial"/>
                            <w:spacing w:val="-1"/>
                            <w:sz w:val="20"/>
                          </w:rPr>
                          <w:t>504,678,344</w:t>
                        </w:r>
                      </w:p>
                    </w:tc>
                    <w:tc>
                      <w:tcPr>
                        <w:tcW w:w="1278" w:type="dxa"/>
                        <w:tcBorders>
                          <w:top w:val="nil" w:sz="6" w:space="0" w:color="auto"/>
                          <w:left w:val="nil" w:sz="6" w:space="0" w:color="auto"/>
                          <w:bottom w:val="nil" w:sz="6" w:space="0" w:color="auto"/>
                          <w:right w:val="nil" w:sz="6" w:space="0" w:color="auto"/>
                        </w:tcBorders>
                      </w:tcPr>
                      <w:p>
                        <w:pPr>
                          <w:pStyle w:val="TableParagraph"/>
                          <w:spacing w:line="205" w:lineRule="exact"/>
                          <w:ind w:right="56"/>
                          <w:jc w:val="right"/>
                          <w:rPr>
                            <w:rFonts w:ascii="Arial" w:hAnsi="Arial" w:cs="Arial" w:eastAsia="Arial" w:hint="default"/>
                            <w:sz w:val="20"/>
                            <w:szCs w:val="20"/>
                          </w:rPr>
                        </w:pPr>
                        <w:r>
                          <w:rPr>
                            <w:rFonts w:ascii="Arial"/>
                            <w:spacing w:val="-1"/>
                            <w:sz w:val="20"/>
                          </w:rPr>
                          <w:t>270,166,469</w:t>
                        </w:r>
                      </w:p>
                    </w:tc>
                    <w:tc>
                      <w:tcPr>
                        <w:tcW w:w="1117" w:type="dxa"/>
                        <w:tcBorders>
                          <w:top w:val="nil" w:sz="6" w:space="0" w:color="auto"/>
                          <w:left w:val="nil" w:sz="6" w:space="0" w:color="auto"/>
                          <w:bottom w:val="nil" w:sz="6" w:space="0" w:color="auto"/>
                          <w:right w:val="nil" w:sz="6" w:space="0" w:color="auto"/>
                        </w:tcBorders>
                      </w:tcPr>
                      <w:p>
                        <w:pPr>
                          <w:pStyle w:val="TableParagraph"/>
                          <w:spacing w:line="205" w:lineRule="exact"/>
                          <w:ind w:right="53"/>
                          <w:jc w:val="right"/>
                          <w:rPr>
                            <w:rFonts w:ascii="Arial" w:hAnsi="Arial" w:cs="Arial" w:eastAsia="Arial" w:hint="default"/>
                            <w:sz w:val="20"/>
                            <w:szCs w:val="20"/>
                          </w:rPr>
                        </w:pPr>
                        <w:r>
                          <w:rPr>
                            <w:rFonts w:ascii="Arial"/>
                            <w:spacing w:val="-1"/>
                            <w:sz w:val="20"/>
                          </w:rPr>
                          <w:t>600,000</w:t>
                        </w:r>
                      </w:p>
                    </w:tc>
                    <w:tc>
                      <w:tcPr>
                        <w:tcW w:w="1241" w:type="dxa"/>
                        <w:tcBorders>
                          <w:top w:val="nil" w:sz="6" w:space="0" w:color="auto"/>
                          <w:left w:val="nil" w:sz="6" w:space="0" w:color="auto"/>
                          <w:bottom w:val="nil" w:sz="6" w:space="0" w:color="auto"/>
                          <w:right w:val="nil" w:sz="6" w:space="0" w:color="auto"/>
                        </w:tcBorders>
                      </w:tcPr>
                      <w:p>
                        <w:pPr>
                          <w:pStyle w:val="TableParagraph"/>
                          <w:spacing w:line="205" w:lineRule="exact"/>
                          <w:ind w:right="33"/>
                          <w:jc w:val="right"/>
                          <w:rPr>
                            <w:rFonts w:ascii="Arial" w:hAnsi="Arial" w:cs="Arial" w:eastAsia="Arial" w:hint="default"/>
                            <w:sz w:val="20"/>
                            <w:szCs w:val="20"/>
                          </w:rPr>
                        </w:pPr>
                        <w:r>
                          <w:rPr>
                            <w:rFonts w:ascii="Arial"/>
                            <w:spacing w:val="-1"/>
                            <w:sz w:val="20"/>
                          </w:rPr>
                          <w:t>774,244,813</w:t>
                        </w:r>
                      </w:p>
                    </w:tc>
                  </w:tr>
                  <w:tr>
                    <w:trPr>
                      <w:trHeight w:val="562" w:hRule="exact"/>
                    </w:trPr>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23"/>
                            <w:szCs w:val="23"/>
                          </w:rPr>
                        </w:pPr>
                      </w:p>
                      <w:p>
                        <w:pPr>
                          <w:pStyle w:val="TableParagraph"/>
                          <w:spacing w:line="240" w:lineRule="auto"/>
                          <w:ind w:left="35" w:right="0"/>
                          <w:jc w:val="left"/>
                          <w:rPr>
                            <w:rFonts w:ascii="Arial" w:hAnsi="Arial" w:cs="Arial" w:eastAsia="Arial" w:hint="default"/>
                            <w:sz w:val="20"/>
                            <w:szCs w:val="20"/>
                          </w:rPr>
                        </w:pPr>
                        <w:r>
                          <w:rPr>
                            <w:rFonts w:ascii="Arial"/>
                            <w:sz w:val="20"/>
                          </w:rPr>
                          <w:t>(iii)</w:t>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23"/>
                            <w:szCs w:val="23"/>
                          </w:rPr>
                        </w:pPr>
                      </w:p>
                      <w:p>
                        <w:pPr>
                          <w:pStyle w:val="TableParagraph"/>
                          <w:spacing w:line="240" w:lineRule="auto"/>
                          <w:ind w:right="7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15,028,363</w:t>
                        </w:r>
                        <w:r>
                          <w:rPr>
                            <w:rFonts w:ascii="Arial"/>
                            <w:spacing w:val="-1"/>
                            <w:sz w:val="20"/>
                          </w:rPr>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23"/>
                            <w:szCs w:val="23"/>
                          </w:rPr>
                        </w:pPr>
                      </w:p>
                      <w:p>
                        <w:pPr>
                          <w:pStyle w:val="TableParagraph"/>
                          <w:spacing w:line="240" w:lineRule="auto"/>
                          <w:ind w:right="5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19,375,954</w:t>
                        </w:r>
                        <w:r>
                          <w:rPr>
                            <w:rFonts w:ascii="Arial"/>
                            <w:spacing w:val="-1"/>
                            <w:sz w:val="20"/>
                          </w:rPr>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23"/>
                            <w:szCs w:val="23"/>
                          </w:rPr>
                        </w:pPr>
                      </w:p>
                      <w:p>
                        <w:pPr>
                          <w:pStyle w:val="TableParagraph"/>
                          <w:spacing w:line="240" w:lineRule="auto"/>
                          <w:ind w:right="5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3"/>
                            <w:sz w:val="20"/>
                            <w:u w:val="single" w:color="000000"/>
                          </w:rPr>
                          <w:t> </w:t>
                        </w:r>
                        <w:r>
                          <w:rPr>
                            <w:rFonts w:ascii="Arial"/>
                            <w:spacing w:val="-1"/>
                            <w:sz w:val="20"/>
                            <w:u w:val="single" w:color="000000"/>
                          </w:rPr>
                          <w:t>135,765</w:t>
                        </w:r>
                        <w:r>
                          <w:rPr>
                            <w:rFonts w:ascii="Arial"/>
                            <w:spacing w:val="-1"/>
                            <w:sz w:val="20"/>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23"/>
                            <w:szCs w:val="23"/>
                          </w:rPr>
                        </w:pPr>
                      </w:p>
                      <w:p>
                        <w:pPr>
                          <w:pStyle w:val="TableParagraph"/>
                          <w:spacing w:line="240" w:lineRule="auto"/>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34,268,552</w:t>
                        </w:r>
                        <w:r>
                          <w:rPr>
                            <w:rFonts w:ascii="Arial"/>
                            <w:spacing w:val="-1"/>
                            <w:sz w:val="20"/>
                          </w:rPr>
                        </w:r>
                      </w:p>
                    </w:tc>
                  </w:tr>
                  <w:tr>
                    <w:trPr>
                      <w:trHeight w:val="627" w:hRule="exact"/>
                    </w:trPr>
                    <w:tc>
                      <w:tcPr>
                        <w:tcW w:w="393" w:type="dxa"/>
                        <w:tcBorders>
                          <w:top w:val="nil" w:sz="6" w:space="0" w:color="auto"/>
                          <w:left w:val="nil" w:sz="6" w:space="0" w:color="auto"/>
                          <w:bottom w:val="nil" w:sz="6" w:space="0" w:color="auto"/>
                          <w:right w:val="nil" w:sz="6" w:space="0" w:color="auto"/>
                        </w:tcBorders>
                      </w:tcPr>
                      <w:p>
                        <w:pP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77"/>
                          <w:jc w:val="right"/>
                          <w:rPr>
                            <w:rFonts w:ascii="Arial" w:hAnsi="Arial" w:cs="Arial" w:eastAsia="Arial" w:hint="default"/>
                            <w:sz w:val="20"/>
                            <w:szCs w:val="20"/>
                          </w:rPr>
                        </w:pPr>
                        <w:r>
                          <w:rPr>
                            <w:rFonts w:ascii="Arial"/>
                            <w:w w:val="100"/>
                            <w:sz w:val="20"/>
                          </w:rPr>
                        </w:r>
                        <w:r>
                          <w:rPr>
                            <w:rFonts w:ascii="Arial"/>
                            <w:spacing w:val="-1"/>
                            <w:sz w:val="20"/>
                            <w:u w:val="single" w:color="000000"/>
                          </w:rPr>
                          <w:t>547,292,304</w:t>
                        </w:r>
                        <w:r>
                          <w:rPr>
                            <w:rFonts w:ascii="Arial"/>
                            <w:spacing w:val="-1"/>
                            <w:sz w:val="20"/>
                          </w:rPr>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56"/>
                          <w:jc w:val="right"/>
                          <w:rPr>
                            <w:rFonts w:ascii="Arial" w:hAnsi="Arial" w:cs="Arial" w:eastAsia="Arial" w:hint="default"/>
                            <w:sz w:val="20"/>
                            <w:szCs w:val="20"/>
                          </w:rPr>
                        </w:pPr>
                        <w:r>
                          <w:rPr>
                            <w:rFonts w:ascii="Arial"/>
                            <w:w w:val="100"/>
                            <w:sz w:val="20"/>
                          </w:rPr>
                        </w:r>
                        <w:r>
                          <w:rPr>
                            <w:rFonts w:ascii="Arial"/>
                            <w:spacing w:val="-1"/>
                            <w:sz w:val="20"/>
                            <w:u w:val="single" w:color="000000"/>
                          </w:rPr>
                          <w:t>294,542,423</w:t>
                        </w:r>
                        <w:r>
                          <w:rPr>
                            <w:rFonts w:ascii="Arial"/>
                            <w:spacing w:val="-1"/>
                            <w:sz w:val="20"/>
                          </w:rPr>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53"/>
                          <w:jc w:val="right"/>
                          <w:rPr>
                            <w:rFonts w:ascii="Arial" w:hAnsi="Arial" w:cs="Arial" w:eastAsia="Arial" w:hint="default"/>
                            <w:sz w:val="20"/>
                            <w:szCs w:val="20"/>
                          </w:rPr>
                        </w:pPr>
                        <w:r>
                          <w:rPr>
                            <w:rFonts w:ascii="Arial"/>
                            <w:w w:val="100"/>
                            <w:sz w:val="20"/>
                          </w:rPr>
                        </w:r>
                        <w:r>
                          <w:rPr>
                            <w:rFonts w:ascii="Arial"/>
                            <w:spacing w:val="-1"/>
                            <w:sz w:val="20"/>
                            <w:u w:val="single" w:color="000000"/>
                          </w:rPr>
                          <w:t>7,759,765</w:t>
                        </w:r>
                        <w:r>
                          <w:rPr>
                            <w:rFonts w:ascii="Arial"/>
                            <w:spacing w:val="-1"/>
                            <w:sz w:val="20"/>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3"/>
                          <w:jc w:val="right"/>
                          <w:rPr>
                            <w:rFonts w:ascii="Arial" w:hAnsi="Arial" w:cs="Arial" w:eastAsia="Arial" w:hint="default"/>
                            <w:sz w:val="20"/>
                            <w:szCs w:val="20"/>
                          </w:rPr>
                        </w:pPr>
                        <w:r>
                          <w:rPr>
                            <w:rFonts w:ascii="Arial"/>
                            <w:w w:val="100"/>
                            <w:sz w:val="20"/>
                          </w:rPr>
                        </w:r>
                        <w:r>
                          <w:rPr>
                            <w:rFonts w:ascii="Arial"/>
                            <w:spacing w:val="-1"/>
                            <w:sz w:val="20"/>
                            <w:u w:val="single" w:color="000000"/>
                          </w:rPr>
                          <w:t>834,074,962</w:t>
                        </w:r>
                        <w:r>
                          <w:rPr>
                            <w:rFonts w:ascii="Arial"/>
                            <w:spacing w:val="-1"/>
                            <w:sz w:val="20"/>
                          </w:rPr>
                        </w:r>
                      </w:p>
                    </w:tc>
                  </w:tr>
                  <w:tr>
                    <w:trPr>
                      <w:trHeight w:val="627" w:hRule="exact"/>
                    </w:trPr>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8"/>
                            <w:szCs w:val="28"/>
                          </w:rPr>
                        </w:pPr>
                      </w:p>
                      <w:p>
                        <w:pPr>
                          <w:pStyle w:val="TableParagraph"/>
                          <w:spacing w:line="240" w:lineRule="auto"/>
                          <w:ind w:left="79" w:right="0"/>
                          <w:jc w:val="left"/>
                          <w:rPr>
                            <w:rFonts w:ascii="Arial" w:hAnsi="Arial" w:cs="Arial" w:eastAsia="Arial" w:hint="default"/>
                            <w:sz w:val="20"/>
                            <w:szCs w:val="20"/>
                          </w:rPr>
                        </w:pPr>
                        <w:r>
                          <w:rPr>
                            <w:rFonts w:ascii="Arial"/>
                            <w:sz w:val="20"/>
                          </w:rPr>
                          <w:t>(i)</w:t>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8"/>
                            <w:szCs w:val="28"/>
                          </w:rPr>
                        </w:pPr>
                      </w:p>
                      <w:p>
                        <w:pPr>
                          <w:pStyle w:val="TableParagraph"/>
                          <w:spacing w:line="240" w:lineRule="auto"/>
                          <w:ind w:right="79"/>
                          <w:jc w:val="right"/>
                          <w:rPr>
                            <w:rFonts w:ascii="Arial" w:hAnsi="Arial" w:cs="Arial" w:eastAsia="Arial" w:hint="default"/>
                            <w:sz w:val="20"/>
                            <w:szCs w:val="20"/>
                          </w:rPr>
                        </w:pPr>
                        <w:r>
                          <w:rPr>
                            <w:rFonts w:ascii="Arial"/>
                            <w:spacing w:val="-1"/>
                            <w:sz w:val="20"/>
                          </w:rPr>
                          <w:t>12,430,000</w:t>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8"/>
                            <w:szCs w:val="28"/>
                          </w:rPr>
                        </w:pPr>
                      </w:p>
                      <w:p>
                        <w:pPr>
                          <w:pStyle w:val="TableParagraph"/>
                          <w:spacing w:line="240" w:lineRule="auto"/>
                          <w:ind w:right="58"/>
                          <w:jc w:val="right"/>
                          <w:rPr>
                            <w:rFonts w:ascii="Arial" w:hAnsi="Arial" w:cs="Arial" w:eastAsia="Arial" w:hint="default"/>
                            <w:sz w:val="20"/>
                            <w:szCs w:val="20"/>
                          </w:rPr>
                        </w:pPr>
                        <w:r>
                          <w:rPr>
                            <w:rFonts w:ascii="Arial"/>
                            <w:w w:val="100"/>
                            <w:sz w:val="20"/>
                          </w:rPr>
                          <w:t>-</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8"/>
                            <w:szCs w:val="28"/>
                          </w:rPr>
                        </w:pPr>
                      </w:p>
                      <w:p>
                        <w:pPr>
                          <w:pStyle w:val="TableParagraph"/>
                          <w:spacing w:line="240" w:lineRule="auto"/>
                          <w:ind w:right="54"/>
                          <w:jc w:val="right"/>
                          <w:rPr>
                            <w:rFonts w:ascii="Arial" w:hAnsi="Arial" w:cs="Arial" w:eastAsia="Arial" w:hint="default"/>
                            <w:sz w:val="20"/>
                            <w:szCs w:val="20"/>
                          </w:rPr>
                        </w:pPr>
                        <w:r>
                          <w:rPr>
                            <w:rFonts w:ascii="Arial"/>
                            <w:spacing w:val="-1"/>
                            <w:sz w:val="20"/>
                          </w:rPr>
                          <w:t>6,430,000</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8"/>
                            <w:szCs w:val="28"/>
                          </w:rPr>
                        </w:pPr>
                      </w:p>
                      <w:p>
                        <w:pPr>
                          <w:pStyle w:val="TableParagraph"/>
                          <w:spacing w:line="240" w:lineRule="auto"/>
                          <w:ind w:right="34"/>
                          <w:jc w:val="right"/>
                          <w:rPr>
                            <w:rFonts w:ascii="Arial" w:hAnsi="Arial" w:cs="Arial" w:eastAsia="Arial" w:hint="default"/>
                            <w:sz w:val="20"/>
                            <w:szCs w:val="20"/>
                          </w:rPr>
                        </w:pPr>
                        <w:r>
                          <w:rPr>
                            <w:rFonts w:ascii="Arial"/>
                            <w:spacing w:val="-1"/>
                            <w:sz w:val="20"/>
                          </w:rPr>
                          <w:t>6,000,000</w:t>
                        </w:r>
                      </w:p>
                    </w:tc>
                  </w:tr>
                  <w:tr>
                    <w:trPr>
                      <w:trHeight w:val="254" w:hRule="exact"/>
                    </w:trPr>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1"/>
                          <w:ind w:left="56" w:right="0"/>
                          <w:jc w:val="left"/>
                          <w:rPr>
                            <w:rFonts w:ascii="Arial" w:hAnsi="Arial" w:cs="Arial" w:eastAsia="Arial" w:hint="default"/>
                            <w:sz w:val="20"/>
                            <w:szCs w:val="20"/>
                          </w:rPr>
                        </w:pPr>
                        <w:r>
                          <w:rPr>
                            <w:rFonts w:ascii="Arial"/>
                            <w:sz w:val="20"/>
                          </w:rPr>
                          <w:t>(ii)</w:t>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7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6,682,955</w:t>
                        </w:r>
                        <w:r>
                          <w:rPr>
                            <w:rFonts w:ascii="Arial"/>
                            <w:sz w:val="20"/>
                          </w:rPr>
                        </w:r>
                      </w:p>
                    </w:tc>
                    <w:tc>
                      <w:tcPr>
                        <w:tcW w:w="1278"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1"/>
                          <w:ind w:right="5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117"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1"/>
                          <w:ind w:right="5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6,682,955</w:t>
                        </w:r>
                        <w:r>
                          <w:rPr>
                            <w:rFonts w:ascii="Arial"/>
                            <w:sz w:val="20"/>
                          </w:rPr>
                        </w:r>
                      </w:p>
                    </w:tc>
                  </w:tr>
                  <w:tr>
                    <w:trPr>
                      <w:trHeight w:val="486" w:hRule="exact"/>
                    </w:trPr>
                    <w:tc>
                      <w:tcPr>
                        <w:tcW w:w="393" w:type="dxa"/>
                        <w:tcBorders>
                          <w:top w:val="nil" w:sz="6" w:space="0" w:color="auto"/>
                          <w:left w:val="nil" w:sz="6" w:space="0" w:color="auto"/>
                          <w:bottom w:val="nil" w:sz="6" w:space="0" w:color="auto"/>
                          <w:right w:val="nil" w:sz="6" w:space="0" w:color="auto"/>
                        </w:tcBorders>
                      </w:tcPr>
                      <w:p>
                        <w:pP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77"/>
                          <w:jc w:val="right"/>
                          <w:rPr>
                            <w:rFonts w:ascii="Arial" w:hAnsi="Arial" w:cs="Arial" w:eastAsia="Arial" w:hint="default"/>
                            <w:sz w:val="20"/>
                            <w:szCs w:val="20"/>
                          </w:rPr>
                        </w:pPr>
                        <w:r>
                          <w:rPr>
                            <w:rFonts w:ascii="Arial"/>
                            <w:w w:val="100"/>
                            <w:sz w:val="20"/>
                          </w:rPr>
                        </w:r>
                        <w:r>
                          <w:rPr>
                            <w:rFonts w:ascii="Arial"/>
                            <w:spacing w:val="-1"/>
                            <w:sz w:val="20"/>
                            <w:u w:val="thick" w:color="000000"/>
                          </w:rPr>
                          <w:t>528,179,349</w:t>
                        </w:r>
                        <w:r>
                          <w:rPr>
                            <w:rFonts w:ascii="Arial"/>
                            <w:spacing w:val="-1"/>
                            <w:sz w:val="20"/>
                          </w:rPr>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56"/>
                          <w:jc w:val="right"/>
                          <w:rPr>
                            <w:rFonts w:ascii="Arial" w:hAnsi="Arial" w:cs="Arial" w:eastAsia="Arial" w:hint="default"/>
                            <w:sz w:val="20"/>
                            <w:szCs w:val="20"/>
                          </w:rPr>
                        </w:pPr>
                        <w:r>
                          <w:rPr>
                            <w:rFonts w:ascii="Arial"/>
                            <w:w w:val="100"/>
                            <w:sz w:val="20"/>
                          </w:rPr>
                        </w:r>
                        <w:r>
                          <w:rPr>
                            <w:rFonts w:ascii="Arial"/>
                            <w:spacing w:val="-1"/>
                            <w:sz w:val="20"/>
                            <w:u w:val="thick" w:color="000000"/>
                          </w:rPr>
                          <w:t>294,542,423</w:t>
                        </w:r>
                        <w:r>
                          <w:rPr>
                            <w:rFonts w:ascii="Arial"/>
                            <w:spacing w:val="-1"/>
                            <w:sz w:val="20"/>
                          </w:rPr>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53"/>
                          <w:jc w:val="right"/>
                          <w:rPr>
                            <w:rFonts w:ascii="Arial" w:hAnsi="Arial" w:cs="Arial" w:eastAsia="Arial" w:hint="default"/>
                            <w:sz w:val="20"/>
                            <w:szCs w:val="20"/>
                          </w:rPr>
                        </w:pPr>
                        <w:r>
                          <w:rPr>
                            <w:rFonts w:ascii="Arial"/>
                            <w:w w:val="100"/>
                            <w:sz w:val="20"/>
                          </w:rPr>
                        </w:r>
                        <w:r>
                          <w:rPr>
                            <w:rFonts w:ascii="Arial"/>
                            <w:spacing w:val="-1"/>
                            <w:sz w:val="20"/>
                            <w:u w:val="thick" w:color="000000"/>
                          </w:rPr>
                          <w:t>1,329,765</w:t>
                        </w:r>
                        <w:r>
                          <w:rPr>
                            <w:rFonts w:ascii="Arial"/>
                            <w:spacing w:val="-1"/>
                            <w:sz w:val="20"/>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821,392,007</w:t>
                        </w:r>
                        <w:r>
                          <w:rPr>
                            <w:rFonts w:ascii="Arial"/>
                            <w:spacing w:val="-1"/>
                            <w:sz w:val="20"/>
                          </w:rPr>
                        </w:r>
                      </w:p>
                    </w:tc>
                  </w:tr>
                  <w:tr>
                    <w:trPr>
                      <w:trHeight w:val="736" w:hRule="exact"/>
                    </w:trPr>
                    <w:tc>
                      <w:tcPr>
                        <w:tcW w:w="393" w:type="dxa"/>
                        <w:tcBorders>
                          <w:top w:val="nil" w:sz="6" w:space="0" w:color="auto"/>
                          <w:left w:val="nil" w:sz="6" w:space="0" w:color="auto"/>
                          <w:bottom w:val="nil" w:sz="6" w:space="0" w:color="auto"/>
                          <w:right w:val="nil" w:sz="6" w:space="0" w:color="auto"/>
                        </w:tcBorders>
                      </w:tcPr>
                      <w:p>
                        <w:pP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15"/>
                            <w:szCs w:val="15"/>
                          </w:rPr>
                        </w:pPr>
                      </w:p>
                      <w:p>
                        <w:pPr>
                          <w:pStyle w:val="TableParagraph"/>
                          <w:spacing w:line="240" w:lineRule="auto"/>
                          <w:ind w:right="78"/>
                          <w:jc w:val="right"/>
                          <w:rPr>
                            <w:rFonts w:ascii="黑体" w:hAnsi="黑体" w:cs="黑体" w:eastAsia="黑体" w:hint="default"/>
                            <w:sz w:val="20"/>
                            <w:szCs w:val="20"/>
                          </w:rPr>
                        </w:pPr>
                        <w:r>
                          <w:rPr>
                            <w:rFonts w:ascii="黑体" w:hAnsi="黑体" w:cs="黑体" w:eastAsia="黑体" w:hint="default"/>
                            <w:sz w:val="20"/>
                            <w:szCs w:val="20"/>
                          </w:rPr>
                          <w:t>年初余额</w:t>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15"/>
                            <w:szCs w:val="15"/>
                          </w:rPr>
                        </w:pPr>
                      </w:p>
                      <w:p>
                        <w:pPr>
                          <w:pStyle w:val="TableParagraph"/>
                          <w:spacing w:line="240" w:lineRule="auto"/>
                          <w:ind w:right="84"/>
                          <w:jc w:val="right"/>
                          <w:rPr>
                            <w:rFonts w:ascii="黑体" w:hAnsi="黑体" w:cs="黑体" w:eastAsia="黑体" w:hint="default"/>
                            <w:sz w:val="20"/>
                            <w:szCs w:val="20"/>
                          </w:rPr>
                        </w:pPr>
                        <w:r>
                          <w:rPr>
                            <w:rFonts w:ascii="黑体" w:hAnsi="黑体" w:cs="黑体" w:eastAsia="黑体" w:hint="default"/>
                            <w:sz w:val="20"/>
                            <w:szCs w:val="20"/>
                          </w:rPr>
                          <w:t>本年增加</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15"/>
                            <w:szCs w:val="15"/>
                          </w:rPr>
                        </w:pPr>
                      </w:p>
                      <w:p>
                        <w:pPr>
                          <w:pStyle w:val="TableParagraph"/>
                          <w:spacing w:line="240" w:lineRule="auto"/>
                          <w:ind w:right="54"/>
                          <w:jc w:val="right"/>
                          <w:rPr>
                            <w:rFonts w:ascii="黑体" w:hAnsi="黑体" w:cs="黑体" w:eastAsia="黑体" w:hint="default"/>
                            <w:sz w:val="20"/>
                            <w:szCs w:val="20"/>
                          </w:rPr>
                        </w:pPr>
                        <w:r>
                          <w:rPr>
                            <w:rFonts w:ascii="黑体" w:hAnsi="黑体" w:cs="黑体" w:eastAsia="黑体" w:hint="default"/>
                            <w:sz w:val="20"/>
                            <w:szCs w:val="20"/>
                          </w:rPr>
                          <w:t>本年减少</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15"/>
                            <w:szCs w:val="15"/>
                          </w:rPr>
                        </w:pPr>
                      </w:p>
                      <w:p>
                        <w:pPr>
                          <w:pStyle w:val="TableParagraph"/>
                          <w:spacing w:line="240" w:lineRule="auto"/>
                          <w:ind w:right="62"/>
                          <w:jc w:val="right"/>
                          <w:rPr>
                            <w:rFonts w:ascii="黑体" w:hAnsi="黑体" w:cs="黑体" w:eastAsia="黑体" w:hint="default"/>
                            <w:sz w:val="20"/>
                            <w:szCs w:val="20"/>
                          </w:rPr>
                        </w:pPr>
                        <w:r>
                          <w:rPr>
                            <w:rFonts w:ascii="黑体" w:hAnsi="黑体" w:cs="黑体" w:eastAsia="黑体" w:hint="default"/>
                            <w:sz w:val="20"/>
                            <w:szCs w:val="20"/>
                          </w:rPr>
                          <w:t>年末余额</w:t>
                        </w:r>
                      </w:p>
                    </w:tc>
                  </w:tr>
                  <w:tr>
                    <w:trPr>
                      <w:trHeight w:val="504" w:hRule="exact"/>
                    </w:trPr>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9"/>
                            <w:szCs w:val="19"/>
                          </w:rPr>
                        </w:pPr>
                      </w:p>
                      <w:p>
                        <w:pPr>
                          <w:pStyle w:val="TableParagraph"/>
                          <w:spacing w:line="240" w:lineRule="auto"/>
                          <w:ind w:left="86" w:right="0"/>
                          <w:jc w:val="left"/>
                          <w:rPr>
                            <w:rFonts w:ascii="Arial" w:hAnsi="Arial" w:cs="Arial" w:eastAsia="Arial" w:hint="default"/>
                            <w:sz w:val="20"/>
                            <w:szCs w:val="20"/>
                          </w:rPr>
                        </w:pPr>
                        <w:r>
                          <w:rPr>
                            <w:rFonts w:ascii="Arial"/>
                            <w:sz w:val="20"/>
                          </w:rPr>
                          <w:t>(i)</w:t>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9"/>
                            <w:szCs w:val="19"/>
                          </w:rPr>
                        </w:pPr>
                      </w:p>
                      <w:p>
                        <w:pPr>
                          <w:pStyle w:val="TableParagraph"/>
                          <w:spacing w:line="240" w:lineRule="auto"/>
                          <w:ind w:right="78"/>
                          <w:jc w:val="right"/>
                          <w:rPr>
                            <w:rFonts w:ascii="Arial" w:hAnsi="Arial" w:cs="Arial" w:eastAsia="Arial" w:hint="default"/>
                            <w:sz w:val="20"/>
                            <w:szCs w:val="20"/>
                          </w:rPr>
                        </w:pPr>
                        <w:r>
                          <w:rPr>
                            <w:rFonts w:ascii="Arial"/>
                            <w:spacing w:val="-1"/>
                            <w:sz w:val="20"/>
                          </w:rPr>
                          <w:t>28,636,997</w:t>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9"/>
                            <w:szCs w:val="19"/>
                          </w:rPr>
                        </w:pPr>
                      </w:p>
                      <w:p>
                        <w:pPr>
                          <w:pStyle w:val="TableParagraph"/>
                          <w:spacing w:line="240" w:lineRule="auto"/>
                          <w:ind w:right="85"/>
                          <w:jc w:val="right"/>
                          <w:rPr>
                            <w:rFonts w:ascii="Arial" w:hAnsi="Arial" w:cs="Arial" w:eastAsia="Arial" w:hint="default"/>
                            <w:sz w:val="20"/>
                            <w:szCs w:val="20"/>
                          </w:rPr>
                        </w:pPr>
                        <w:r>
                          <w:rPr>
                            <w:rFonts w:ascii="Arial"/>
                            <w:w w:val="100"/>
                            <w:sz w:val="20"/>
                          </w:rPr>
                          <w:t>-</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9"/>
                            <w:szCs w:val="19"/>
                          </w:rPr>
                        </w:pPr>
                      </w:p>
                      <w:p>
                        <w:pPr>
                          <w:pStyle w:val="TableParagraph"/>
                          <w:spacing w:line="240" w:lineRule="auto"/>
                          <w:ind w:right="54"/>
                          <w:jc w:val="right"/>
                          <w:rPr>
                            <w:rFonts w:ascii="Arial" w:hAnsi="Arial" w:cs="Arial" w:eastAsia="Arial" w:hint="default"/>
                            <w:sz w:val="20"/>
                            <w:szCs w:val="20"/>
                          </w:rPr>
                        </w:pPr>
                        <w:r>
                          <w:rPr>
                            <w:rFonts w:ascii="Arial"/>
                            <w:spacing w:val="-1"/>
                            <w:sz w:val="20"/>
                          </w:rPr>
                          <w:t>1,051,400</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9"/>
                            <w:szCs w:val="19"/>
                          </w:rPr>
                        </w:pPr>
                      </w:p>
                      <w:p>
                        <w:pPr>
                          <w:pStyle w:val="TableParagraph"/>
                          <w:spacing w:line="240" w:lineRule="auto"/>
                          <w:ind w:right="62"/>
                          <w:jc w:val="right"/>
                          <w:rPr>
                            <w:rFonts w:ascii="Arial" w:hAnsi="Arial" w:cs="Arial" w:eastAsia="Arial" w:hint="default"/>
                            <w:sz w:val="20"/>
                            <w:szCs w:val="20"/>
                          </w:rPr>
                        </w:pPr>
                        <w:r>
                          <w:rPr>
                            <w:rFonts w:ascii="Arial"/>
                            <w:spacing w:val="-1"/>
                            <w:sz w:val="20"/>
                          </w:rPr>
                          <w:t>27,585,597</w:t>
                        </w:r>
                      </w:p>
                    </w:tc>
                  </w:tr>
                  <w:tr>
                    <w:trPr>
                      <w:trHeight w:val="510" w:hRule="exact"/>
                    </w:trPr>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1"/>
                          <w:ind w:left="64" w:right="0"/>
                          <w:jc w:val="left"/>
                          <w:rPr>
                            <w:rFonts w:ascii="Arial" w:hAnsi="Arial" w:cs="Arial" w:eastAsia="Arial" w:hint="default"/>
                            <w:sz w:val="20"/>
                            <w:szCs w:val="20"/>
                          </w:rPr>
                        </w:pPr>
                        <w:r>
                          <w:rPr>
                            <w:rFonts w:ascii="Arial"/>
                            <w:sz w:val="20"/>
                          </w:rPr>
                          <w:t>(ii)</w:t>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77"/>
                          <w:jc w:val="right"/>
                          <w:rPr>
                            <w:rFonts w:ascii="Arial" w:hAnsi="Arial" w:cs="Arial" w:eastAsia="Arial" w:hint="default"/>
                            <w:sz w:val="20"/>
                            <w:szCs w:val="20"/>
                          </w:rPr>
                        </w:pPr>
                        <w:r>
                          <w:rPr>
                            <w:rFonts w:ascii="Arial"/>
                            <w:spacing w:val="-1"/>
                            <w:sz w:val="20"/>
                          </w:rPr>
                          <w:t>164,757,344</w:t>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83"/>
                          <w:jc w:val="right"/>
                          <w:rPr>
                            <w:rFonts w:ascii="Arial" w:hAnsi="Arial" w:cs="Arial" w:eastAsia="Arial" w:hint="default"/>
                            <w:sz w:val="20"/>
                            <w:szCs w:val="20"/>
                          </w:rPr>
                        </w:pPr>
                        <w:r>
                          <w:rPr>
                            <w:rFonts w:ascii="Arial"/>
                            <w:spacing w:val="-1"/>
                            <w:sz w:val="20"/>
                          </w:rPr>
                          <w:t>354,130,000</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54"/>
                          <w:jc w:val="right"/>
                          <w:rPr>
                            <w:rFonts w:ascii="Arial" w:hAnsi="Arial" w:cs="Arial" w:eastAsia="Arial" w:hint="default"/>
                            <w:sz w:val="20"/>
                            <w:szCs w:val="20"/>
                          </w:rPr>
                        </w:pPr>
                        <w:r>
                          <w:rPr>
                            <w:rFonts w:ascii="Arial"/>
                            <w:spacing w:val="-1"/>
                            <w:sz w:val="20"/>
                          </w:rPr>
                          <w:t>14,209,000</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61"/>
                          <w:jc w:val="right"/>
                          <w:rPr>
                            <w:rFonts w:ascii="Arial" w:hAnsi="Arial" w:cs="Arial" w:eastAsia="Arial" w:hint="default"/>
                            <w:sz w:val="20"/>
                            <w:szCs w:val="20"/>
                          </w:rPr>
                        </w:pPr>
                        <w:r>
                          <w:rPr>
                            <w:rFonts w:ascii="Arial"/>
                            <w:spacing w:val="-1"/>
                            <w:sz w:val="20"/>
                          </w:rPr>
                          <w:t>504,678,344</w:t>
                        </w:r>
                      </w:p>
                    </w:tc>
                  </w:tr>
                  <w:tr>
                    <w:trPr>
                      <w:trHeight w:val="510" w:hRule="exact"/>
                    </w:trPr>
                    <w:tc>
                      <w:tcPr>
                        <w:tcW w:w="393" w:type="dxa"/>
                        <w:tcBorders>
                          <w:top w:val="nil" w:sz="6" w:space="0" w:color="auto"/>
                          <w:left w:val="nil" w:sz="6" w:space="0" w:color="auto"/>
                          <w:bottom w:val="nil" w:sz="6" w:space="0" w:color="auto"/>
                          <w:right w:val="nil" w:sz="6" w:space="0" w:color="auto"/>
                        </w:tcBorders>
                      </w:tcPr>
                      <w:p>
                        <w:pP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19"/>
                            <w:szCs w:val="19"/>
                          </w:rPr>
                        </w:pPr>
                      </w:p>
                      <w:p>
                        <w:pPr>
                          <w:pStyle w:val="TableParagraph"/>
                          <w:spacing w:line="240" w:lineRule="auto"/>
                          <w:ind w:right="7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11,449,561</w:t>
                        </w:r>
                        <w:r>
                          <w:rPr>
                            <w:rFonts w:ascii="Arial"/>
                            <w:spacing w:val="-1"/>
                            <w:sz w:val="20"/>
                          </w:rPr>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19"/>
                            <w:szCs w:val="19"/>
                          </w:rPr>
                        </w:pPr>
                      </w:p>
                      <w:p>
                        <w:pPr>
                          <w:pStyle w:val="TableParagraph"/>
                          <w:spacing w:line="240" w:lineRule="auto"/>
                          <w:ind w:right="8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3,578,802</w:t>
                        </w:r>
                        <w:r>
                          <w:rPr>
                            <w:rFonts w:ascii="Arial"/>
                            <w:sz w:val="20"/>
                          </w:rPr>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19"/>
                            <w:szCs w:val="19"/>
                          </w:rPr>
                        </w:pPr>
                      </w:p>
                      <w:p>
                        <w:pPr>
                          <w:pStyle w:val="TableParagraph"/>
                          <w:tabs>
                            <w:tab w:pos="899" w:val="left" w:leader="none"/>
                          </w:tabs>
                          <w:spacing w:line="240" w:lineRule="auto"/>
                          <w:ind w:right="5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19"/>
                            <w:szCs w:val="19"/>
                          </w:rPr>
                        </w:pPr>
                      </w:p>
                      <w:p>
                        <w:pPr>
                          <w:pStyle w:val="TableParagraph"/>
                          <w:spacing w:line="240" w:lineRule="auto"/>
                          <w:ind w:right="62"/>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8"/>
                            <w:sz w:val="20"/>
                            <w:u w:val="single" w:color="000000"/>
                          </w:rPr>
                          <w:t> </w:t>
                        </w:r>
                        <w:r>
                          <w:rPr>
                            <w:rFonts w:ascii="Arial"/>
                            <w:spacing w:val="-1"/>
                            <w:sz w:val="20"/>
                            <w:u w:val="single" w:color="000000"/>
                          </w:rPr>
                          <w:t>15,028,363</w:t>
                        </w:r>
                        <w:r>
                          <w:rPr>
                            <w:rFonts w:ascii="Arial"/>
                            <w:spacing w:val="-1"/>
                            <w:sz w:val="20"/>
                          </w:rPr>
                        </w:r>
                      </w:p>
                    </w:tc>
                  </w:tr>
                  <w:tr>
                    <w:trPr>
                      <w:trHeight w:val="499" w:hRule="exact"/>
                    </w:trPr>
                    <w:tc>
                      <w:tcPr>
                        <w:tcW w:w="393" w:type="dxa"/>
                        <w:tcBorders>
                          <w:top w:val="nil" w:sz="6" w:space="0" w:color="auto"/>
                          <w:left w:val="nil" w:sz="6" w:space="0" w:color="auto"/>
                          <w:bottom w:val="nil" w:sz="6" w:space="0" w:color="auto"/>
                          <w:right w:val="nil" w:sz="6" w:space="0" w:color="auto"/>
                        </w:tcBorders>
                      </w:tcPr>
                      <w:p>
                        <w:pP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77"/>
                          <w:jc w:val="right"/>
                          <w:rPr>
                            <w:rFonts w:ascii="Arial" w:hAnsi="Arial" w:cs="Arial" w:eastAsia="Arial" w:hint="default"/>
                            <w:sz w:val="20"/>
                            <w:szCs w:val="20"/>
                          </w:rPr>
                        </w:pPr>
                        <w:r>
                          <w:rPr>
                            <w:rFonts w:ascii="Arial"/>
                            <w:w w:val="100"/>
                            <w:sz w:val="20"/>
                          </w:rPr>
                        </w:r>
                        <w:r>
                          <w:rPr>
                            <w:rFonts w:ascii="Arial"/>
                            <w:spacing w:val="-1"/>
                            <w:sz w:val="20"/>
                            <w:u w:val="single" w:color="000000"/>
                          </w:rPr>
                          <w:t>204,843,902</w:t>
                        </w:r>
                        <w:r>
                          <w:rPr>
                            <w:rFonts w:ascii="Arial"/>
                            <w:spacing w:val="-1"/>
                            <w:sz w:val="20"/>
                          </w:rPr>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83"/>
                          <w:jc w:val="right"/>
                          <w:rPr>
                            <w:rFonts w:ascii="Arial" w:hAnsi="Arial" w:cs="Arial" w:eastAsia="Arial" w:hint="default"/>
                            <w:sz w:val="20"/>
                            <w:szCs w:val="20"/>
                          </w:rPr>
                        </w:pPr>
                        <w:r>
                          <w:rPr>
                            <w:rFonts w:ascii="Arial"/>
                            <w:w w:val="100"/>
                            <w:sz w:val="20"/>
                          </w:rPr>
                        </w:r>
                        <w:r>
                          <w:rPr>
                            <w:rFonts w:ascii="Arial"/>
                            <w:spacing w:val="-1"/>
                            <w:sz w:val="20"/>
                            <w:u w:val="single" w:color="000000"/>
                          </w:rPr>
                          <w:t>357,708,802</w:t>
                        </w:r>
                        <w:r>
                          <w:rPr>
                            <w:rFonts w:ascii="Arial"/>
                            <w:spacing w:val="-1"/>
                            <w:sz w:val="20"/>
                          </w:rPr>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54"/>
                          <w:jc w:val="right"/>
                          <w:rPr>
                            <w:rFonts w:ascii="Arial" w:hAnsi="Arial" w:cs="Arial" w:eastAsia="Arial" w:hint="default"/>
                            <w:sz w:val="20"/>
                            <w:szCs w:val="20"/>
                          </w:rPr>
                        </w:pPr>
                        <w:r>
                          <w:rPr>
                            <w:rFonts w:ascii="Arial"/>
                            <w:w w:val="100"/>
                            <w:sz w:val="20"/>
                          </w:rPr>
                        </w:r>
                        <w:r>
                          <w:rPr>
                            <w:rFonts w:ascii="Arial"/>
                            <w:spacing w:val="-1"/>
                            <w:sz w:val="20"/>
                            <w:u w:val="single" w:color="000000"/>
                          </w:rPr>
                          <w:t>15,260,400</w:t>
                        </w:r>
                        <w:r>
                          <w:rPr>
                            <w:rFonts w:ascii="Arial"/>
                            <w:spacing w:val="-1"/>
                            <w:sz w:val="20"/>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61"/>
                          <w:jc w:val="right"/>
                          <w:rPr>
                            <w:rFonts w:ascii="Arial" w:hAnsi="Arial" w:cs="Arial" w:eastAsia="Arial" w:hint="default"/>
                            <w:sz w:val="20"/>
                            <w:szCs w:val="20"/>
                          </w:rPr>
                        </w:pPr>
                        <w:r>
                          <w:rPr>
                            <w:rFonts w:ascii="Arial"/>
                            <w:w w:val="100"/>
                            <w:sz w:val="20"/>
                          </w:rPr>
                        </w:r>
                        <w:r>
                          <w:rPr>
                            <w:rFonts w:ascii="Arial"/>
                            <w:spacing w:val="-1"/>
                            <w:sz w:val="20"/>
                            <w:u w:val="single" w:color="000000"/>
                          </w:rPr>
                          <w:t>547,292,304</w:t>
                        </w:r>
                        <w:r>
                          <w:rPr>
                            <w:rFonts w:ascii="Arial"/>
                            <w:spacing w:val="-1"/>
                            <w:sz w:val="20"/>
                          </w:rPr>
                        </w:r>
                      </w:p>
                    </w:tc>
                  </w:tr>
                  <w:tr>
                    <w:trPr>
                      <w:trHeight w:val="499" w:hRule="exact"/>
                    </w:trPr>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sz w:val="18"/>
                            <w:szCs w:val="18"/>
                          </w:rPr>
                        </w:pPr>
                      </w:p>
                      <w:p>
                        <w:pPr>
                          <w:pStyle w:val="TableParagraph"/>
                          <w:spacing w:line="240" w:lineRule="auto"/>
                          <w:ind w:left="86" w:right="0"/>
                          <w:jc w:val="left"/>
                          <w:rPr>
                            <w:rFonts w:ascii="Arial" w:hAnsi="Arial" w:cs="Arial" w:eastAsia="Arial" w:hint="default"/>
                            <w:sz w:val="20"/>
                            <w:szCs w:val="20"/>
                          </w:rPr>
                        </w:pPr>
                        <w:r>
                          <w:rPr>
                            <w:rFonts w:ascii="Arial"/>
                            <w:sz w:val="20"/>
                          </w:rPr>
                          <w:t>(i)</w:t>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sz w:val="18"/>
                            <w:szCs w:val="18"/>
                          </w:rPr>
                        </w:pPr>
                      </w:p>
                      <w:p>
                        <w:pPr>
                          <w:pStyle w:val="TableParagraph"/>
                          <w:spacing w:line="240" w:lineRule="auto"/>
                          <w:ind w:right="78"/>
                          <w:jc w:val="right"/>
                          <w:rPr>
                            <w:rFonts w:ascii="Arial" w:hAnsi="Arial" w:cs="Arial" w:eastAsia="Arial" w:hint="default"/>
                            <w:sz w:val="20"/>
                            <w:szCs w:val="20"/>
                          </w:rPr>
                        </w:pPr>
                        <w:r>
                          <w:rPr>
                            <w:rFonts w:ascii="Arial"/>
                            <w:spacing w:val="-1"/>
                            <w:sz w:val="20"/>
                          </w:rPr>
                          <w:t>12,430,000</w:t>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sz w:val="18"/>
                            <w:szCs w:val="18"/>
                          </w:rPr>
                        </w:pPr>
                      </w:p>
                      <w:p>
                        <w:pPr>
                          <w:pStyle w:val="TableParagraph"/>
                          <w:spacing w:line="240" w:lineRule="auto"/>
                          <w:ind w:right="85"/>
                          <w:jc w:val="right"/>
                          <w:rPr>
                            <w:rFonts w:ascii="Arial" w:hAnsi="Arial" w:cs="Arial" w:eastAsia="Arial" w:hint="default"/>
                            <w:sz w:val="20"/>
                            <w:szCs w:val="20"/>
                          </w:rPr>
                        </w:pPr>
                        <w:r>
                          <w:rPr>
                            <w:rFonts w:ascii="Arial"/>
                            <w:w w:val="100"/>
                            <w:sz w:val="20"/>
                          </w:rPr>
                          <w:t>-</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sz w:val="18"/>
                            <w:szCs w:val="18"/>
                          </w:rPr>
                        </w:pPr>
                      </w:p>
                      <w:p>
                        <w:pPr>
                          <w:pStyle w:val="TableParagraph"/>
                          <w:spacing w:line="240" w:lineRule="auto"/>
                          <w:ind w:right="55"/>
                          <w:jc w:val="right"/>
                          <w:rPr>
                            <w:rFonts w:ascii="Arial" w:hAnsi="Arial" w:cs="Arial" w:eastAsia="Arial" w:hint="default"/>
                            <w:sz w:val="20"/>
                            <w:szCs w:val="20"/>
                          </w:rPr>
                        </w:pPr>
                        <w:r>
                          <w:rPr>
                            <w:rFonts w:ascii="Arial"/>
                            <w:w w:val="100"/>
                            <w:sz w:val="20"/>
                          </w:rPr>
                          <w:t>-</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sz w:val="18"/>
                            <w:szCs w:val="18"/>
                          </w:rPr>
                        </w:pPr>
                      </w:p>
                      <w:p>
                        <w:pPr>
                          <w:pStyle w:val="TableParagraph"/>
                          <w:spacing w:line="240" w:lineRule="auto"/>
                          <w:ind w:right="63"/>
                          <w:jc w:val="right"/>
                          <w:rPr>
                            <w:rFonts w:ascii="Arial" w:hAnsi="Arial" w:cs="Arial" w:eastAsia="Arial" w:hint="default"/>
                            <w:sz w:val="20"/>
                            <w:szCs w:val="20"/>
                          </w:rPr>
                        </w:pPr>
                        <w:r>
                          <w:rPr>
                            <w:rFonts w:ascii="Arial"/>
                            <w:spacing w:val="-1"/>
                            <w:sz w:val="20"/>
                          </w:rPr>
                          <w:t>12,430,000</w:t>
                        </w:r>
                      </w:p>
                    </w:tc>
                  </w:tr>
                  <w:tr>
                    <w:trPr>
                      <w:trHeight w:val="255" w:hRule="exact"/>
                    </w:trPr>
                    <w:tc>
                      <w:tcPr>
                        <w:tcW w:w="393" w:type="dxa"/>
                        <w:tcBorders>
                          <w:top w:val="nil" w:sz="6" w:space="0" w:color="auto"/>
                          <w:left w:val="nil" w:sz="6" w:space="0" w:color="auto"/>
                          <w:bottom w:val="nil" w:sz="6" w:space="0" w:color="auto"/>
                          <w:right w:val="nil" w:sz="6" w:space="0" w:color="auto"/>
                        </w:tcBorders>
                      </w:tcPr>
                      <w:p>
                        <w:pPr>
                          <w:pStyle w:val="TableParagraph"/>
                          <w:spacing w:line="240" w:lineRule="auto" w:before="1"/>
                          <w:ind w:left="63" w:right="0"/>
                          <w:jc w:val="left"/>
                          <w:rPr>
                            <w:rFonts w:ascii="Arial" w:hAnsi="Arial" w:cs="Arial" w:eastAsia="Arial" w:hint="default"/>
                            <w:sz w:val="20"/>
                            <w:szCs w:val="20"/>
                          </w:rPr>
                        </w:pPr>
                        <w:r>
                          <w:rPr>
                            <w:rFonts w:ascii="Arial"/>
                            <w:sz w:val="20"/>
                          </w:rPr>
                          <w:t>(ii)</w:t>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7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6,682,955</w:t>
                        </w:r>
                        <w:r>
                          <w:rPr>
                            <w:rFonts w:ascii="Arial"/>
                            <w:sz w:val="20"/>
                          </w:rPr>
                        </w:r>
                      </w:p>
                    </w:tc>
                    <w:tc>
                      <w:tcPr>
                        <w:tcW w:w="1278"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1"/>
                          <w:ind w:right="8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117"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1"/>
                          <w:ind w:right="5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6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6,682,955</w:t>
                        </w:r>
                        <w:r>
                          <w:rPr>
                            <w:rFonts w:ascii="Arial"/>
                            <w:sz w:val="20"/>
                          </w:rPr>
                        </w:r>
                      </w:p>
                    </w:tc>
                  </w:tr>
                  <w:tr>
                    <w:trPr>
                      <w:trHeight w:val="328" w:hRule="exact"/>
                    </w:trPr>
                    <w:tc>
                      <w:tcPr>
                        <w:tcW w:w="393" w:type="dxa"/>
                        <w:tcBorders>
                          <w:top w:val="nil" w:sz="6" w:space="0" w:color="auto"/>
                          <w:left w:val="nil" w:sz="6" w:space="0" w:color="auto"/>
                          <w:bottom w:val="nil" w:sz="6" w:space="0" w:color="auto"/>
                          <w:right w:val="nil" w:sz="6" w:space="0" w:color="auto"/>
                        </w:tcBorders>
                      </w:tcPr>
                      <w:p>
                        <w:pP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7"/>
                          <w:jc w:val="right"/>
                          <w:rPr>
                            <w:rFonts w:ascii="Arial" w:hAnsi="Arial" w:cs="Arial" w:eastAsia="Arial" w:hint="default"/>
                            <w:sz w:val="20"/>
                            <w:szCs w:val="20"/>
                          </w:rPr>
                        </w:pPr>
                        <w:r>
                          <w:rPr>
                            <w:rFonts w:ascii="Arial"/>
                            <w:w w:val="100"/>
                            <w:sz w:val="20"/>
                          </w:rPr>
                        </w:r>
                        <w:r>
                          <w:rPr>
                            <w:rFonts w:ascii="Arial"/>
                            <w:spacing w:val="-1"/>
                            <w:sz w:val="20"/>
                            <w:u w:val="thick" w:color="000000"/>
                          </w:rPr>
                          <w:t>185,730,947</w:t>
                        </w:r>
                        <w:r>
                          <w:rPr>
                            <w:rFonts w:ascii="Arial"/>
                            <w:spacing w:val="-1"/>
                            <w:sz w:val="20"/>
                          </w:rPr>
                        </w: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83"/>
                          <w:jc w:val="right"/>
                          <w:rPr>
                            <w:rFonts w:ascii="Arial" w:hAnsi="Arial" w:cs="Arial" w:eastAsia="Arial" w:hint="default"/>
                            <w:sz w:val="20"/>
                            <w:szCs w:val="20"/>
                          </w:rPr>
                        </w:pPr>
                        <w:r>
                          <w:rPr>
                            <w:rFonts w:ascii="Arial"/>
                            <w:w w:val="100"/>
                            <w:sz w:val="20"/>
                          </w:rPr>
                        </w:r>
                        <w:r>
                          <w:rPr>
                            <w:rFonts w:ascii="Arial"/>
                            <w:spacing w:val="-1"/>
                            <w:sz w:val="20"/>
                            <w:u w:val="thick" w:color="000000"/>
                          </w:rPr>
                          <w:t>357,708,802</w:t>
                        </w:r>
                        <w:r>
                          <w:rPr>
                            <w:rFonts w:ascii="Arial"/>
                            <w:spacing w:val="-1"/>
                            <w:sz w:val="20"/>
                          </w:rPr>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54"/>
                          <w:jc w:val="right"/>
                          <w:rPr>
                            <w:rFonts w:ascii="Arial" w:hAnsi="Arial" w:cs="Arial" w:eastAsia="Arial" w:hint="default"/>
                            <w:sz w:val="20"/>
                            <w:szCs w:val="20"/>
                          </w:rPr>
                        </w:pPr>
                        <w:r>
                          <w:rPr>
                            <w:rFonts w:ascii="Arial"/>
                            <w:w w:val="100"/>
                            <w:sz w:val="20"/>
                          </w:rPr>
                        </w:r>
                        <w:r>
                          <w:rPr>
                            <w:rFonts w:ascii="Arial"/>
                            <w:spacing w:val="-1"/>
                            <w:sz w:val="20"/>
                            <w:u w:val="thick" w:color="000000"/>
                          </w:rPr>
                          <w:t>15,260,400</w:t>
                        </w:r>
                        <w:r>
                          <w:rPr>
                            <w:rFonts w:ascii="Arial"/>
                            <w:spacing w:val="-1"/>
                            <w:sz w:val="20"/>
                          </w:rPr>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61"/>
                          <w:jc w:val="right"/>
                          <w:rPr>
                            <w:rFonts w:ascii="Arial" w:hAnsi="Arial" w:cs="Arial" w:eastAsia="Arial" w:hint="default"/>
                            <w:sz w:val="20"/>
                            <w:szCs w:val="20"/>
                          </w:rPr>
                        </w:pPr>
                        <w:r>
                          <w:rPr>
                            <w:rFonts w:ascii="Arial"/>
                            <w:w w:val="100"/>
                            <w:sz w:val="20"/>
                          </w:rPr>
                        </w:r>
                        <w:r>
                          <w:rPr>
                            <w:rFonts w:ascii="Arial"/>
                            <w:spacing w:val="-1"/>
                            <w:sz w:val="20"/>
                            <w:u w:val="thick" w:color="000000"/>
                          </w:rPr>
                          <w:t>528,179,349</w:t>
                        </w:r>
                        <w:r>
                          <w:rPr>
                            <w:rFonts w:ascii="Arial"/>
                            <w:spacing w:val="-1"/>
                            <w:sz w:val="20"/>
                          </w:rPr>
                        </w:r>
                      </w:p>
                    </w:tc>
                  </w:tr>
                </w:tbl>
                <w:p>
                  <w:pPr/>
                </w:p>
              </w:txbxContent>
            </v:textbox>
            <w10:wrap type="none"/>
          </v:shape>
        </w:pict>
      </w:r>
      <w:r>
        <w:rPr>
          <w:rFonts w:ascii="Arial" w:hAnsi="Arial" w:cs="Arial" w:eastAsia="Arial" w:hint="default"/>
        </w:rPr>
        <w:t>—</w:t>
      </w:r>
      <w:r>
        <w:rPr/>
        <w:t>子公司</w:t>
      </w:r>
    </w:p>
    <w:p>
      <w:pPr>
        <w:spacing w:line="240" w:lineRule="auto" w:before="12"/>
        <w:rPr>
          <w:rFonts w:ascii="黑体" w:hAnsi="黑体" w:cs="黑体" w:eastAsia="黑体" w:hint="default"/>
          <w:sz w:val="22"/>
          <w:szCs w:val="22"/>
        </w:rPr>
      </w:pPr>
    </w:p>
    <w:p>
      <w:pPr>
        <w:pStyle w:val="BodyText"/>
        <w:spacing w:line="259" w:lineRule="exact" w:before="38"/>
        <w:ind w:left="838" w:right="0"/>
        <w:jc w:val="left"/>
      </w:pPr>
      <w:r>
        <w:rPr/>
        <w:t>按权益法核算的股权投资</w:t>
      </w:r>
    </w:p>
    <w:p>
      <w:pPr>
        <w:pStyle w:val="BodyText"/>
        <w:spacing w:line="273" w:lineRule="exact"/>
        <w:ind w:left="838" w:right="0"/>
        <w:jc w:val="left"/>
      </w:pPr>
      <w:r>
        <w:rPr>
          <w:rFonts w:ascii="Arial" w:hAnsi="Arial" w:cs="Arial" w:eastAsia="Arial" w:hint="default"/>
        </w:rPr>
        <w:t>—</w:t>
      </w:r>
      <w:r>
        <w:rPr/>
        <w:t>联营企业</w:t>
      </w:r>
    </w:p>
    <w:p>
      <w:pPr>
        <w:spacing w:line="240" w:lineRule="auto" w:before="12"/>
        <w:rPr>
          <w:rFonts w:ascii="黑体" w:hAnsi="黑体" w:cs="黑体" w:eastAsia="黑体" w:hint="default"/>
          <w:sz w:val="14"/>
          <w:szCs w:val="14"/>
        </w:rPr>
      </w:pPr>
    </w:p>
    <w:p>
      <w:pPr>
        <w:pStyle w:val="BodyText"/>
        <w:spacing w:line="254" w:lineRule="exact" w:before="69"/>
        <w:ind w:left="838" w:right="5690"/>
        <w:jc w:val="left"/>
      </w:pPr>
      <w:r>
        <w:rPr/>
        <w:t>减</w:t>
      </w:r>
      <w:r>
        <w:rPr>
          <w:rFonts w:ascii="Arial" w:hAnsi="Arial" w:cs="Arial" w:eastAsia="Arial" w:hint="default"/>
        </w:rPr>
        <w:t>:</w:t>
      </w:r>
      <w:r>
        <w:rPr/>
        <w:t>长期股权投资减值准备</w:t>
      </w:r>
      <w:r>
        <w:rPr>
          <w:w w:val="100"/>
        </w:rPr>
        <w:t> </w:t>
      </w:r>
      <w:r>
        <w:rPr/>
        <w:t>按成本法核算的股权投资</w:t>
      </w:r>
    </w:p>
    <w:p>
      <w:pPr>
        <w:pStyle w:val="BodyText"/>
        <w:spacing w:line="211" w:lineRule="auto"/>
        <w:ind w:left="1235" w:right="5547" w:hanging="398"/>
        <w:jc w:val="left"/>
      </w:pPr>
      <w:r>
        <w:rPr>
          <w:rFonts w:ascii="Arial" w:hAnsi="Arial" w:cs="Arial" w:eastAsia="Arial" w:hint="default"/>
        </w:rPr>
        <w:t>—</w:t>
      </w:r>
      <w:r>
        <w:rPr/>
        <w:t>无控制、共同控制及重大</w:t>
      </w:r>
      <w:r>
        <w:rPr>
          <w:w w:val="100"/>
        </w:rPr>
        <w:t> </w:t>
      </w:r>
      <w:r>
        <w:rPr/>
        <w:t>影响之公司</w:t>
      </w:r>
    </w:p>
    <w:p>
      <w:pPr>
        <w:pStyle w:val="BodyText"/>
        <w:spacing w:line="273" w:lineRule="exact"/>
        <w:ind w:left="838" w:right="0"/>
        <w:jc w:val="left"/>
      </w:pPr>
      <w:r>
        <w:rPr>
          <w:rFonts w:ascii="Arial" w:hAnsi="Arial" w:cs="Arial" w:eastAsia="Arial" w:hint="default"/>
        </w:rPr>
        <w:t>—</w:t>
      </w:r>
      <w:r>
        <w:rPr/>
        <w:t>子公司</w:t>
      </w: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4"/>
          <w:szCs w:val="14"/>
        </w:rPr>
      </w:pPr>
    </w:p>
    <w:p>
      <w:pPr>
        <w:pStyle w:val="BodyText"/>
        <w:spacing w:line="240" w:lineRule="auto"/>
        <w:ind w:left="838" w:right="0"/>
        <w:jc w:val="left"/>
      </w:pPr>
      <w:r>
        <w:rPr>
          <w:rFonts w:ascii="Arial" w:hAnsi="Arial" w:cs="Arial" w:eastAsia="Arial" w:hint="default"/>
        </w:rPr>
        <w:t>2008</w:t>
      </w:r>
      <w:r>
        <w:rPr/>
        <w:t>年</w:t>
      </w:r>
    </w:p>
    <w:p>
      <w:pPr>
        <w:spacing w:line="240" w:lineRule="auto" w:before="12"/>
        <w:rPr>
          <w:rFonts w:ascii="黑体" w:hAnsi="黑体" w:cs="黑体" w:eastAsia="黑体" w:hint="default"/>
          <w:sz w:val="14"/>
          <w:szCs w:val="14"/>
        </w:rPr>
      </w:pPr>
    </w:p>
    <w:p>
      <w:pPr>
        <w:pStyle w:val="BodyText"/>
        <w:spacing w:line="253" w:lineRule="exact" w:before="38"/>
        <w:ind w:left="838" w:right="0"/>
        <w:jc w:val="left"/>
      </w:pPr>
      <w:r>
        <w:rPr/>
        <w:t>按成本法核算的股权投资</w:t>
      </w:r>
    </w:p>
    <w:p>
      <w:pPr>
        <w:pStyle w:val="BodyText"/>
        <w:spacing w:line="244" w:lineRule="exact" w:before="30"/>
        <w:ind w:left="1235" w:right="5547" w:hanging="398"/>
        <w:jc w:val="left"/>
      </w:pPr>
      <w:r>
        <w:rPr>
          <w:rFonts w:ascii="Arial" w:hAnsi="Arial" w:cs="Arial" w:eastAsia="Arial" w:hint="default"/>
        </w:rPr>
        <w:t>—</w:t>
      </w:r>
      <w:r>
        <w:rPr/>
        <w:t>无控制、共同控制及重大</w:t>
      </w:r>
      <w:r>
        <w:rPr>
          <w:w w:val="100"/>
        </w:rPr>
        <w:t> </w:t>
      </w:r>
      <w:r>
        <w:rPr/>
        <w:t>影响之公司</w:t>
      </w:r>
    </w:p>
    <w:p>
      <w:pPr>
        <w:pStyle w:val="BodyText"/>
        <w:spacing w:line="249" w:lineRule="exact"/>
        <w:ind w:left="838" w:right="0"/>
        <w:jc w:val="left"/>
      </w:pPr>
      <w:r>
        <w:rPr>
          <w:rFonts w:ascii="Arial" w:hAnsi="Arial" w:cs="Arial" w:eastAsia="Arial" w:hint="default"/>
        </w:rPr>
        <w:t>—</w:t>
      </w:r>
      <w:r>
        <w:rPr/>
        <w:t>子公司</w:t>
      </w:r>
    </w:p>
    <w:p>
      <w:pPr>
        <w:spacing w:line="240" w:lineRule="auto" w:before="12"/>
        <w:rPr>
          <w:rFonts w:ascii="黑体" w:hAnsi="黑体" w:cs="黑体" w:eastAsia="黑体" w:hint="default"/>
          <w:sz w:val="14"/>
          <w:szCs w:val="14"/>
        </w:rPr>
      </w:pPr>
    </w:p>
    <w:p>
      <w:pPr>
        <w:pStyle w:val="BodyText"/>
        <w:spacing w:line="259" w:lineRule="exact" w:before="38"/>
        <w:ind w:left="838" w:right="0"/>
        <w:jc w:val="left"/>
      </w:pPr>
      <w:r>
        <w:rPr/>
        <w:t>按权益法核算的股权投资</w:t>
      </w:r>
    </w:p>
    <w:p>
      <w:pPr>
        <w:pStyle w:val="BodyText"/>
        <w:spacing w:line="273" w:lineRule="exact"/>
        <w:ind w:left="838" w:right="0"/>
        <w:jc w:val="left"/>
      </w:pPr>
      <w:r>
        <w:rPr>
          <w:rFonts w:ascii="Arial" w:hAnsi="Arial" w:cs="Arial" w:eastAsia="Arial" w:hint="default"/>
        </w:rPr>
        <w:t>—</w:t>
      </w:r>
      <w:r>
        <w:rPr/>
        <w:t>联营企业</w:t>
      </w:r>
    </w:p>
    <w:p>
      <w:pPr>
        <w:spacing w:line="240" w:lineRule="auto" w:before="12"/>
        <w:rPr>
          <w:rFonts w:ascii="黑体" w:hAnsi="黑体" w:cs="黑体" w:eastAsia="黑体" w:hint="default"/>
          <w:sz w:val="14"/>
          <w:szCs w:val="14"/>
        </w:rPr>
      </w:pPr>
    </w:p>
    <w:p>
      <w:pPr>
        <w:pStyle w:val="BodyText"/>
        <w:spacing w:line="260" w:lineRule="exact" w:before="38"/>
        <w:ind w:left="838" w:right="0"/>
        <w:jc w:val="left"/>
      </w:pPr>
      <w:r>
        <w:rPr/>
        <w:t>减</w:t>
      </w:r>
      <w:r>
        <w:rPr>
          <w:rFonts w:ascii="Arial" w:hAnsi="Arial" w:cs="Arial" w:eastAsia="Arial" w:hint="default"/>
        </w:rPr>
        <w:t>:</w:t>
      </w:r>
      <w:r>
        <w:rPr/>
        <w:t>长期股权投资减值准备</w:t>
      </w:r>
    </w:p>
    <w:p>
      <w:pPr>
        <w:pStyle w:val="BodyText"/>
        <w:spacing w:line="244" w:lineRule="exact" w:before="22"/>
        <w:ind w:left="1235" w:right="5547" w:hanging="398"/>
        <w:jc w:val="left"/>
      </w:pPr>
      <w:r>
        <w:rPr>
          <w:rFonts w:ascii="Arial" w:hAnsi="Arial" w:cs="Arial" w:eastAsia="Arial" w:hint="default"/>
        </w:rPr>
        <w:t>—</w:t>
      </w:r>
      <w:r>
        <w:rPr/>
        <w:t>无控制、共同控制及重大</w:t>
      </w:r>
      <w:r>
        <w:rPr>
          <w:w w:val="100"/>
        </w:rPr>
        <w:t> </w:t>
      </w:r>
      <w:r>
        <w:rPr/>
        <w:t>影响之公司</w:t>
      </w:r>
    </w:p>
    <w:p>
      <w:pPr>
        <w:pStyle w:val="BodyText"/>
        <w:spacing w:line="248" w:lineRule="exact"/>
        <w:ind w:left="838" w:right="0"/>
        <w:jc w:val="left"/>
      </w:pPr>
      <w:r>
        <w:rPr>
          <w:rFonts w:ascii="Arial" w:hAnsi="Arial" w:cs="Arial" w:eastAsia="Arial" w:hint="default"/>
        </w:rPr>
        <w:t>—</w:t>
      </w:r>
      <w:r>
        <w:rPr/>
        <w:t>子公司</w:t>
      </w:r>
    </w:p>
    <w:p>
      <w:pPr>
        <w:spacing w:after="0" w:line="248" w:lineRule="exact"/>
        <w:jc w:val="left"/>
        <w:sectPr>
          <w:pgSz w:w="11910" w:h="16840"/>
          <w:pgMar w:header="958" w:footer="385" w:top="2560" w:bottom="580" w:left="1600" w:right="1500"/>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5"/>
          <w:szCs w:val="15"/>
        </w:rPr>
      </w:pPr>
    </w:p>
    <w:p>
      <w:pPr>
        <w:spacing w:before="0"/>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2"/>
        <w:rPr>
          <w:rFonts w:ascii="黑体" w:hAnsi="黑体" w:cs="黑体" w:eastAsia="黑体" w:hint="default"/>
          <w:b/>
          <w:bCs/>
          <w:sz w:val="15"/>
          <w:szCs w:val="15"/>
        </w:rPr>
      </w:pPr>
    </w:p>
    <w:p>
      <w:pPr>
        <w:tabs>
          <w:tab w:pos="768"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9.</w:t>
        <w:tab/>
      </w:r>
      <w:r>
        <w:rPr>
          <w:rFonts w:ascii="黑体" w:hAnsi="黑体" w:cs="黑体" w:eastAsia="黑体" w:hint="default"/>
          <w:b/>
          <w:bCs/>
          <w:sz w:val="20"/>
          <w:szCs w:val="20"/>
        </w:rPr>
        <w:t>长期股权投资（续）</w:t>
      </w:r>
      <w:r>
        <w:rPr>
          <w:rFonts w:ascii="黑体" w:hAnsi="黑体" w:cs="黑体" w:eastAsia="黑体" w:hint="default"/>
          <w:sz w:val="20"/>
          <w:szCs w:val="20"/>
        </w:rPr>
      </w:r>
    </w:p>
    <w:p>
      <w:pPr>
        <w:spacing w:line="240" w:lineRule="auto" w:before="12"/>
        <w:rPr>
          <w:rFonts w:ascii="黑体" w:hAnsi="黑体" w:cs="黑体" w:eastAsia="黑体" w:hint="default"/>
          <w:b/>
          <w:bCs/>
          <w:sz w:val="17"/>
          <w:szCs w:val="17"/>
        </w:rPr>
      </w:pPr>
    </w:p>
    <w:p>
      <w:pPr>
        <w:pStyle w:val="BodyText"/>
        <w:spacing w:line="240" w:lineRule="auto"/>
        <w:ind w:right="0"/>
        <w:jc w:val="left"/>
        <w:rPr>
          <w:rFonts w:ascii="Arial" w:hAnsi="Arial" w:cs="Arial" w:eastAsia="Arial" w:hint="default"/>
        </w:rPr>
      </w:pPr>
      <w:r>
        <w:rPr>
          <w:rFonts w:ascii="Arial" w:hAnsi="Arial" w:cs="Arial" w:eastAsia="Arial" w:hint="default"/>
        </w:rPr>
        <w:t>(i)  </w:t>
      </w:r>
      <w:r>
        <w:rPr>
          <w:rFonts w:ascii="Arial" w:hAnsi="Arial" w:cs="Arial" w:eastAsia="Arial" w:hint="default"/>
          <w:spacing w:val="24"/>
        </w:rPr>
        <w:t> </w:t>
      </w:r>
      <w:r>
        <w:rPr/>
        <w:t>按成本法核算的股权投资</w:t>
      </w:r>
      <w:r>
        <w:rPr>
          <w:rFonts w:ascii="Arial" w:hAnsi="Arial" w:cs="Arial" w:eastAsia="Arial" w:hint="default"/>
        </w:rPr>
        <w:t>-</w:t>
      </w:r>
      <w:r>
        <w:rPr/>
        <w:t>无控制、共同控制及重大影响之公司</w:t>
      </w:r>
      <w:r>
        <w:rPr>
          <w:rFonts w:ascii="Arial" w:hAnsi="Arial" w:cs="Arial" w:eastAsia="Arial" w:hint="default"/>
        </w:rPr>
        <w:t>:</w:t>
      </w:r>
    </w:p>
    <w:p>
      <w:pPr>
        <w:spacing w:line="240" w:lineRule="auto" w:before="10"/>
        <w:rPr>
          <w:rFonts w:ascii="Arial" w:hAnsi="Arial" w:cs="Arial" w:eastAsia="Arial" w:hint="default"/>
          <w:sz w:val="22"/>
          <w:szCs w:val="22"/>
        </w:rPr>
      </w:pPr>
    </w:p>
    <w:tbl>
      <w:tblPr>
        <w:tblW w:w="0" w:type="auto"/>
        <w:jc w:val="left"/>
        <w:tblInd w:w="803" w:type="dxa"/>
        <w:tblLayout w:type="fixed"/>
        <w:tblCellMar>
          <w:top w:w="0" w:type="dxa"/>
          <w:left w:w="0" w:type="dxa"/>
          <w:bottom w:w="0" w:type="dxa"/>
          <w:right w:w="0" w:type="dxa"/>
        </w:tblCellMar>
        <w:tblLook w:val="01E0"/>
      </w:tblPr>
      <w:tblGrid>
        <w:gridCol w:w="2165"/>
        <w:gridCol w:w="1059"/>
        <w:gridCol w:w="1360"/>
        <w:gridCol w:w="706"/>
        <w:gridCol w:w="1004"/>
        <w:gridCol w:w="872"/>
        <w:gridCol w:w="1548"/>
      </w:tblGrid>
      <w:tr>
        <w:trPr>
          <w:trHeight w:val="1097"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4"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p>
            <w:pPr>
              <w:pStyle w:val="TableParagraph"/>
              <w:spacing w:line="240" w:lineRule="auto" w:before="4"/>
              <w:ind w:right="0"/>
              <w:jc w:val="left"/>
              <w:rPr>
                <w:rFonts w:ascii="Arial" w:hAnsi="Arial" w:cs="Arial" w:eastAsia="Arial" w:hint="default"/>
                <w:sz w:val="20"/>
                <w:szCs w:val="20"/>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被投资企业名称</w:t>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Arial" w:hAnsi="Arial" w:cs="Arial" w:eastAsia="Arial" w:hint="default"/>
                <w:sz w:val="28"/>
                <w:szCs w:val="28"/>
              </w:rPr>
            </w:pPr>
          </w:p>
          <w:p>
            <w:pPr>
              <w:pStyle w:val="TableParagraph"/>
              <w:spacing w:line="254" w:lineRule="exact"/>
              <w:ind w:left="118" w:right="37" w:hanging="100"/>
              <w:jc w:val="left"/>
              <w:rPr>
                <w:rFonts w:ascii="黑体" w:hAnsi="黑体" w:cs="黑体" w:eastAsia="黑体" w:hint="default"/>
                <w:sz w:val="20"/>
                <w:szCs w:val="20"/>
              </w:rPr>
            </w:pPr>
            <w:r>
              <w:rPr>
                <w:rFonts w:ascii="黑体" w:hAnsi="黑体" w:cs="黑体" w:eastAsia="黑体" w:hint="default"/>
                <w:sz w:val="20"/>
                <w:szCs w:val="20"/>
              </w:rPr>
              <w:t>被投资企业</w:t>
            </w:r>
            <w:r>
              <w:rPr>
                <w:rFonts w:ascii="黑体" w:hAnsi="黑体" w:cs="黑体" w:eastAsia="黑体" w:hint="default"/>
                <w:w w:val="100"/>
                <w:sz w:val="20"/>
                <w:szCs w:val="20"/>
              </w:rPr>
              <w:t> </w:t>
            </w:r>
            <w:r>
              <w:rPr>
                <w:rFonts w:ascii="黑体" w:hAnsi="黑体" w:cs="黑体" w:eastAsia="黑体" w:hint="default"/>
                <w:sz w:val="20"/>
                <w:szCs w:val="20"/>
              </w:rPr>
              <w:t>经营期限</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20"/>
                <w:szCs w:val="20"/>
              </w:rPr>
            </w:pPr>
          </w:p>
          <w:p>
            <w:pPr>
              <w:pStyle w:val="TableParagraph"/>
              <w:spacing w:line="240" w:lineRule="auto"/>
              <w:ind w:right="0"/>
              <w:jc w:val="left"/>
              <w:rPr>
                <w:rFonts w:ascii="Arial" w:hAnsi="Arial" w:cs="Arial" w:eastAsia="Arial" w:hint="default"/>
                <w:sz w:val="20"/>
                <w:szCs w:val="20"/>
              </w:rPr>
            </w:pPr>
          </w:p>
          <w:p>
            <w:pPr>
              <w:pStyle w:val="TableParagraph"/>
              <w:spacing w:line="256" w:lineRule="exact" w:before="117"/>
              <w:ind w:left="517" w:right="38" w:hanging="1"/>
              <w:jc w:val="left"/>
              <w:rPr>
                <w:rFonts w:ascii="黑体" w:hAnsi="黑体" w:cs="黑体" w:eastAsia="黑体" w:hint="default"/>
                <w:sz w:val="20"/>
                <w:szCs w:val="20"/>
              </w:rPr>
            </w:pPr>
            <w:r>
              <w:rPr>
                <w:rFonts w:ascii="黑体" w:hAnsi="黑体" w:cs="黑体" w:eastAsia="黑体" w:hint="default"/>
                <w:sz w:val="20"/>
                <w:szCs w:val="20"/>
              </w:rPr>
              <w:t>注册资本</w:t>
            </w:r>
            <w:r>
              <w:rPr>
                <w:rFonts w:ascii="黑体" w:hAnsi="黑体" w:cs="黑体" w:eastAsia="黑体" w:hint="default"/>
                <w:w w:val="100"/>
                <w:sz w:val="20"/>
                <w:szCs w:val="20"/>
              </w:rPr>
              <w:t> </w:t>
            </w:r>
            <w:r>
              <w:rPr>
                <w:rFonts w:ascii="黑体" w:hAnsi="黑体" w:cs="黑体" w:eastAsia="黑体" w:hint="default"/>
                <w:sz w:val="20"/>
                <w:szCs w:val="20"/>
              </w:rPr>
              <w:t>人民币元</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20"/>
                <w:szCs w:val="20"/>
              </w:rPr>
            </w:pPr>
          </w:p>
          <w:p>
            <w:pPr>
              <w:pStyle w:val="TableParagraph"/>
              <w:spacing w:line="240" w:lineRule="auto"/>
              <w:ind w:right="0"/>
              <w:jc w:val="left"/>
              <w:rPr>
                <w:rFonts w:ascii="Arial" w:hAnsi="Arial" w:cs="Arial" w:eastAsia="Arial" w:hint="default"/>
                <w:sz w:val="20"/>
                <w:szCs w:val="20"/>
              </w:rPr>
            </w:pPr>
          </w:p>
          <w:p>
            <w:pPr>
              <w:pStyle w:val="TableParagraph"/>
              <w:spacing w:line="256" w:lineRule="exact" w:before="117"/>
              <w:ind w:left="141" w:right="161" w:hanging="1"/>
              <w:jc w:val="left"/>
              <w:rPr>
                <w:rFonts w:ascii="黑体" w:hAnsi="黑体" w:cs="黑体" w:eastAsia="黑体" w:hint="default"/>
                <w:sz w:val="20"/>
                <w:szCs w:val="20"/>
              </w:rPr>
            </w:pPr>
            <w:r>
              <w:rPr>
                <w:rFonts w:ascii="黑体" w:hAnsi="黑体" w:cs="黑体" w:eastAsia="黑体" w:hint="default"/>
                <w:sz w:val="20"/>
                <w:szCs w:val="20"/>
              </w:rPr>
              <w:t>股份</w:t>
            </w:r>
            <w:r>
              <w:rPr>
                <w:rFonts w:ascii="黑体" w:hAnsi="黑体" w:cs="黑体" w:eastAsia="黑体" w:hint="default"/>
                <w:w w:val="100"/>
                <w:sz w:val="20"/>
                <w:szCs w:val="20"/>
              </w:rPr>
              <w:t> </w:t>
            </w:r>
            <w:r>
              <w:rPr>
                <w:rFonts w:ascii="黑体" w:hAnsi="黑体" w:cs="黑体" w:eastAsia="黑体" w:hint="default"/>
                <w:sz w:val="20"/>
                <w:szCs w:val="20"/>
              </w:rPr>
              <w:t>类别</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20"/>
                <w:szCs w:val="20"/>
              </w:rPr>
            </w:pPr>
          </w:p>
          <w:p>
            <w:pPr>
              <w:pStyle w:val="TableParagraph"/>
              <w:spacing w:line="240" w:lineRule="auto" w:before="8"/>
              <w:ind w:right="0"/>
              <w:jc w:val="left"/>
              <w:rPr>
                <w:rFonts w:ascii="Arial" w:hAnsi="Arial" w:cs="Arial" w:eastAsia="Arial" w:hint="default"/>
                <w:sz w:val="27"/>
                <w:szCs w:val="27"/>
              </w:rPr>
            </w:pPr>
          </w:p>
          <w:p>
            <w:pPr>
              <w:pStyle w:val="TableParagraph"/>
              <w:spacing w:line="240" w:lineRule="auto"/>
              <w:ind w:right="47"/>
              <w:jc w:val="right"/>
              <w:rPr>
                <w:rFonts w:ascii="黑体" w:hAnsi="黑体" w:cs="黑体" w:eastAsia="黑体" w:hint="default"/>
                <w:sz w:val="20"/>
                <w:szCs w:val="20"/>
              </w:rPr>
            </w:pPr>
            <w:r>
              <w:rPr>
                <w:rFonts w:ascii="黑体" w:hAnsi="黑体" w:cs="黑体" w:eastAsia="黑体" w:hint="default"/>
                <w:sz w:val="20"/>
                <w:szCs w:val="20"/>
              </w:rPr>
              <w:t>股数</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Arial" w:hAnsi="Arial" w:cs="Arial" w:eastAsia="Arial" w:hint="default"/>
                <w:sz w:val="26"/>
                <w:szCs w:val="26"/>
              </w:rPr>
            </w:pPr>
          </w:p>
          <w:p>
            <w:pPr>
              <w:pStyle w:val="TableParagraph"/>
              <w:spacing w:line="232" w:lineRule="auto"/>
              <w:ind w:left="49" w:right="18"/>
              <w:jc w:val="both"/>
              <w:rPr>
                <w:rFonts w:ascii="黑体" w:hAnsi="黑体" w:cs="黑体" w:eastAsia="黑体" w:hint="default"/>
                <w:sz w:val="20"/>
                <w:szCs w:val="20"/>
              </w:rPr>
            </w:pPr>
            <w:r>
              <w:rPr>
                <w:rFonts w:ascii="黑体" w:hAnsi="黑体" w:cs="黑体" w:eastAsia="黑体" w:hint="default"/>
                <w:sz w:val="20"/>
                <w:szCs w:val="20"/>
              </w:rPr>
              <w:t>占被投资</w:t>
            </w:r>
            <w:r>
              <w:rPr>
                <w:rFonts w:ascii="黑体" w:hAnsi="黑体" w:cs="黑体" w:eastAsia="黑体" w:hint="default"/>
                <w:w w:val="100"/>
                <w:sz w:val="20"/>
                <w:szCs w:val="20"/>
              </w:rPr>
              <w:t> </w:t>
            </w:r>
            <w:r>
              <w:rPr>
                <w:rFonts w:ascii="黑体" w:hAnsi="黑体" w:cs="黑体" w:eastAsia="黑体" w:hint="default"/>
                <w:sz w:val="20"/>
                <w:szCs w:val="20"/>
              </w:rPr>
              <w:t>公司注册</w:t>
            </w:r>
            <w:r>
              <w:rPr>
                <w:rFonts w:ascii="黑体" w:hAnsi="黑体" w:cs="黑体" w:eastAsia="黑体" w:hint="default"/>
                <w:w w:val="100"/>
                <w:sz w:val="20"/>
                <w:szCs w:val="20"/>
              </w:rPr>
              <w:t> </w:t>
            </w:r>
            <w:r>
              <w:rPr>
                <w:rFonts w:ascii="黑体" w:hAnsi="黑体" w:cs="黑体" w:eastAsia="黑体" w:hint="default"/>
                <w:sz w:val="20"/>
                <w:szCs w:val="20"/>
              </w:rPr>
              <w:t>资本比例</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Arial" w:hAnsi="Arial" w:cs="Arial" w:eastAsia="Arial" w:hint="default"/>
                <w:sz w:val="25"/>
                <w:szCs w:val="25"/>
              </w:rPr>
            </w:pPr>
          </w:p>
          <w:p>
            <w:pPr>
              <w:pStyle w:val="TableParagraph"/>
              <w:spacing w:line="258" w:lineRule="exact"/>
              <w:ind w:left="311" w:right="0"/>
              <w:jc w:val="left"/>
              <w:rPr>
                <w:rFonts w:ascii="黑体" w:hAnsi="黑体" w:cs="黑体" w:eastAsia="黑体" w:hint="default"/>
                <w:sz w:val="20"/>
                <w:szCs w:val="20"/>
              </w:rPr>
            </w:pPr>
            <w:r>
              <w:rPr>
                <w:rFonts w:ascii="黑体" w:hAnsi="黑体" w:cs="黑体" w:eastAsia="黑体" w:hint="default"/>
                <w:sz w:val="20"/>
                <w:szCs w:val="20"/>
              </w:rPr>
              <w:t>实际投入金额</w:t>
            </w:r>
          </w:p>
          <w:p>
            <w:pPr>
              <w:pStyle w:val="TableParagraph"/>
              <w:spacing w:line="262" w:lineRule="exact"/>
              <w:ind w:left="20"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p>
            <w:pPr>
              <w:pStyle w:val="TableParagraph"/>
              <w:spacing w:line="251" w:lineRule="exact"/>
              <w:ind w:left="709" w:right="0"/>
              <w:jc w:val="left"/>
              <w:rPr>
                <w:rFonts w:ascii="黑体" w:hAnsi="黑体" w:cs="黑体" w:eastAsia="黑体" w:hint="default"/>
                <w:sz w:val="20"/>
                <w:szCs w:val="20"/>
              </w:rPr>
            </w:pPr>
            <w:r>
              <w:rPr>
                <w:rFonts w:ascii="黑体" w:hAnsi="黑体" w:cs="黑体" w:eastAsia="黑体" w:hint="default"/>
                <w:sz w:val="20"/>
                <w:szCs w:val="20"/>
              </w:rPr>
              <w:t>人民币元</w:t>
            </w:r>
          </w:p>
        </w:tc>
      </w:tr>
      <w:tr>
        <w:trPr>
          <w:trHeight w:val="255" w:hRule="exact"/>
        </w:trPr>
        <w:tc>
          <w:tcPr>
            <w:tcW w:w="2165" w:type="dxa"/>
            <w:tcBorders>
              <w:top w:val="nil" w:sz="6" w:space="0" w:color="auto"/>
              <w:left w:val="nil" w:sz="6" w:space="0" w:color="auto"/>
              <w:bottom w:val="nil" w:sz="6" w:space="0" w:color="auto"/>
              <w:right w:val="nil" w:sz="6" w:space="0" w:color="auto"/>
            </w:tcBorders>
          </w:tcPr>
          <w:p>
            <w:pPr/>
          </w:p>
        </w:tc>
        <w:tc>
          <w:tcPr>
            <w:tcW w:w="1059"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
        </w:tc>
        <w:tc>
          <w:tcPr>
            <w:tcW w:w="706" w:type="dxa"/>
            <w:tcBorders>
              <w:top w:val="nil" w:sz="6" w:space="0" w:color="auto"/>
              <w:left w:val="nil" w:sz="6" w:space="0" w:color="auto"/>
              <w:bottom w:val="nil" w:sz="6" w:space="0" w:color="auto"/>
              <w:right w:val="nil" w:sz="6" w:space="0" w:color="auto"/>
            </w:tcBorders>
          </w:tcPr>
          <w:p>
            <w:pPr/>
          </w:p>
        </w:tc>
        <w:tc>
          <w:tcPr>
            <w:tcW w:w="1004" w:type="dxa"/>
            <w:tcBorders>
              <w:top w:val="nil" w:sz="6" w:space="0" w:color="auto"/>
              <w:left w:val="nil" w:sz="6" w:space="0" w:color="auto"/>
              <w:bottom w:val="nil" w:sz="6" w:space="0" w:color="auto"/>
              <w:right w:val="nil" w:sz="6" w:space="0" w:color="auto"/>
            </w:tcBorders>
          </w:tcPr>
          <w:p>
            <w:pP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9"/>
              <w:jc w:val="right"/>
              <w:rPr>
                <w:rFonts w:ascii="Arial" w:hAnsi="Arial" w:cs="Arial" w:eastAsia="Arial" w:hint="default"/>
                <w:sz w:val="20"/>
                <w:szCs w:val="20"/>
              </w:rPr>
            </w:pPr>
            <w:r>
              <w:rPr>
                <w:rFonts w:ascii="Arial"/>
                <w:spacing w:val="-1"/>
                <w:sz w:val="20"/>
              </w:rPr>
              <w:t>(%)</w:t>
            </w:r>
          </w:p>
        </w:tc>
        <w:tc>
          <w:tcPr>
            <w:tcW w:w="1548" w:type="dxa"/>
            <w:tcBorders>
              <w:top w:val="nil" w:sz="6" w:space="0" w:color="auto"/>
              <w:left w:val="nil" w:sz="6" w:space="0" w:color="auto"/>
              <w:bottom w:val="nil" w:sz="6" w:space="0" w:color="auto"/>
              <w:right w:val="nil" w:sz="6" w:space="0" w:color="auto"/>
            </w:tcBorders>
          </w:tcPr>
          <w:p>
            <w:pPr/>
          </w:p>
        </w:tc>
      </w:tr>
      <w:tr>
        <w:trPr>
          <w:trHeight w:val="255"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北京瑞友科技有限公司</w:t>
            </w:r>
          </w:p>
        </w:tc>
        <w:tc>
          <w:tcPr>
            <w:tcW w:w="1059" w:type="dxa"/>
            <w:tcBorders>
              <w:top w:val="nil" w:sz="6" w:space="0" w:color="auto"/>
              <w:left w:val="nil" w:sz="6" w:space="0" w:color="auto"/>
              <w:bottom w:val="nil" w:sz="6" w:space="0" w:color="auto"/>
              <w:right w:val="nil" w:sz="6" w:space="0" w:color="auto"/>
            </w:tcBorders>
          </w:tcPr>
          <w:p>
            <w:pPr>
              <w:pStyle w:val="TableParagraph"/>
              <w:spacing w:line="238" w:lineRule="exact"/>
              <w:ind w:right="17"/>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9"/>
              <w:jc w:val="right"/>
              <w:rPr>
                <w:rFonts w:ascii="Arial" w:hAnsi="Arial" w:cs="Arial" w:eastAsia="Arial" w:hint="default"/>
                <w:sz w:val="20"/>
                <w:szCs w:val="20"/>
              </w:rPr>
            </w:pPr>
            <w:r>
              <w:rPr>
                <w:rFonts w:ascii="Arial"/>
                <w:spacing w:val="-1"/>
                <w:sz w:val="20"/>
              </w:rPr>
              <w:t>50,000,000</w:t>
            </w:r>
          </w:p>
        </w:tc>
        <w:tc>
          <w:tcPr>
            <w:tcW w:w="706" w:type="dxa"/>
            <w:tcBorders>
              <w:top w:val="nil" w:sz="6" w:space="0" w:color="auto"/>
              <w:left w:val="nil" w:sz="6" w:space="0" w:color="auto"/>
              <w:bottom w:val="nil" w:sz="6" w:space="0" w:color="auto"/>
              <w:right w:val="nil" w:sz="6" w:space="0" w:color="auto"/>
            </w:tcBorders>
          </w:tcPr>
          <w:p>
            <w:pPr>
              <w:pStyle w:val="TableParagraph"/>
              <w:spacing w:line="224" w:lineRule="exact"/>
              <w:ind w:right="21"/>
              <w:jc w:val="center"/>
              <w:rPr>
                <w:rFonts w:ascii="黑体" w:hAnsi="黑体" w:cs="黑体" w:eastAsia="黑体" w:hint="default"/>
                <w:sz w:val="20"/>
                <w:szCs w:val="20"/>
              </w:rPr>
            </w:pPr>
            <w:r>
              <w:rPr>
                <w:rFonts w:ascii="黑体" w:hAnsi="黑体" w:cs="黑体" w:eastAsia="黑体" w:hint="default"/>
                <w:sz w:val="20"/>
                <w:szCs w:val="20"/>
              </w:rPr>
              <w:t>法人股</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7"/>
              <w:jc w:val="right"/>
              <w:rPr>
                <w:rFonts w:ascii="Arial" w:hAnsi="Arial" w:cs="Arial" w:eastAsia="Arial" w:hint="default"/>
                <w:sz w:val="20"/>
                <w:szCs w:val="20"/>
              </w:rPr>
            </w:pPr>
            <w:r>
              <w:rPr>
                <w:rFonts w:ascii="Arial"/>
                <w:spacing w:val="-1"/>
                <w:sz w:val="20"/>
              </w:rPr>
              <w:t>9,362,600</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9"/>
              <w:jc w:val="right"/>
              <w:rPr>
                <w:rFonts w:ascii="Arial" w:hAnsi="Arial" w:cs="Arial" w:eastAsia="Arial" w:hint="default"/>
                <w:sz w:val="20"/>
                <w:szCs w:val="20"/>
              </w:rPr>
            </w:pPr>
            <w:r>
              <w:rPr>
                <w:rFonts w:ascii="Arial"/>
                <w:sz w:val="20"/>
              </w:rPr>
              <w:t>18.73</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4"/>
              <w:jc w:val="right"/>
              <w:rPr>
                <w:rFonts w:ascii="Arial" w:hAnsi="Arial" w:cs="Arial" w:eastAsia="Arial" w:hint="default"/>
                <w:sz w:val="20"/>
                <w:szCs w:val="20"/>
              </w:rPr>
            </w:pPr>
            <w:r>
              <w:rPr>
                <w:rFonts w:ascii="Arial"/>
                <w:spacing w:val="-1"/>
                <w:sz w:val="20"/>
              </w:rPr>
              <w:t>4,615,766</w:t>
            </w:r>
          </w:p>
        </w:tc>
      </w:tr>
      <w:tr>
        <w:trPr>
          <w:trHeight w:val="250"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中投信用担保有限公司</w:t>
            </w:r>
          </w:p>
        </w:tc>
        <w:tc>
          <w:tcPr>
            <w:tcW w:w="1059" w:type="dxa"/>
            <w:tcBorders>
              <w:top w:val="nil" w:sz="6" w:space="0" w:color="auto"/>
              <w:left w:val="nil" w:sz="6" w:space="0" w:color="auto"/>
              <w:bottom w:val="nil" w:sz="6" w:space="0" w:color="auto"/>
              <w:right w:val="nil" w:sz="6" w:space="0" w:color="auto"/>
            </w:tcBorders>
          </w:tcPr>
          <w:p>
            <w:pPr>
              <w:pStyle w:val="TableParagraph"/>
              <w:spacing w:line="237" w:lineRule="exact"/>
              <w:ind w:right="17"/>
              <w:jc w:val="center"/>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9"/>
              <w:jc w:val="right"/>
              <w:rPr>
                <w:rFonts w:ascii="Arial" w:hAnsi="Arial" w:cs="Arial" w:eastAsia="Arial" w:hint="default"/>
                <w:sz w:val="20"/>
                <w:szCs w:val="20"/>
              </w:rPr>
            </w:pPr>
            <w:r>
              <w:rPr>
                <w:rFonts w:ascii="Arial"/>
                <w:spacing w:val="-2"/>
                <w:sz w:val="20"/>
              </w:rPr>
              <w:t>1,000,000,000</w:t>
            </w:r>
          </w:p>
        </w:tc>
        <w:tc>
          <w:tcPr>
            <w:tcW w:w="706" w:type="dxa"/>
            <w:tcBorders>
              <w:top w:val="nil" w:sz="6" w:space="0" w:color="auto"/>
              <w:left w:val="nil" w:sz="6" w:space="0" w:color="auto"/>
              <w:bottom w:val="nil" w:sz="6" w:space="0" w:color="auto"/>
              <w:right w:val="nil" w:sz="6" w:space="0" w:color="auto"/>
            </w:tcBorders>
          </w:tcPr>
          <w:p>
            <w:pPr>
              <w:pStyle w:val="TableParagraph"/>
              <w:spacing w:line="223" w:lineRule="exact"/>
              <w:ind w:right="21"/>
              <w:jc w:val="center"/>
              <w:rPr>
                <w:rFonts w:ascii="黑体" w:hAnsi="黑体" w:cs="黑体" w:eastAsia="黑体" w:hint="default"/>
                <w:sz w:val="20"/>
                <w:szCs w:val="20"/>
              </w:rPr>
            </w:pPr>
            <w:r>
              <w:rPr>
                <w:rFonts w:ascii="黑体" w:hAnsi="黑体" w:cs="黑体" w:eastAsia="黑体" w:hint="default"/>
                <w:sz w:val="20"/>
                <w:szCs w:val="20"/>
              </w:rPr>
              <w:t>法人股</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7"/>
              <w:jc w:val="right"/>
              <w:rPr>
                <w:rFonts w:ascii="Arial" w:hAnsi="Arial" w:cs="Arial" w:eastAsia="Arial" w:hint="default"/>
                <w:sz w:val="20"/>
                <w:szCs w:val="20"/>
              </w:rPr>
            </w:pPr>
            <w:r>
              <w:rPr>
                <w:rFonts w:ascii="Arial"/>
                <w:spacing w:val="-1"/>
                <w:sz w:val="20"/>
              </w:rPr>
              <w:t>5,000,000</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9"/>
              <w:jc w:val="right"/>
              <w:rPr>
                <w:rFonts w:ascii="Arial" w:hAnsi="Arial" w:cs="Arial" w:eastAsia="Arial" w:hint="default"/>
                <w:sz w:val="20"/>
                <w:szCs w:val="20"/>
              </w:rPr>
            </w:pPr>
            <w:r>
              <w:rPr>
                <w:rFonts w:ascii="Arial"/>
                <w:spacing w:val="-1"/>
                <w:sz w:val="20"/>
              </w:rPr>
              <w:t>0.50</w:t>
            </w:r>
            <w:r>
              <w:rPr>
                <w:rFonts w:ascii="Arial"/>
                <w:sz w:val="20"/>
              </w:rPr>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4"/>
              <w:jc w:val="right"/>
              <w:rPr>
                <w:rFonts w:ascii="Arial" w:hAnsi="Arial" w:cs="Arial" w:eastAsia="Arial" w:hint="default"/>
                <w:sz w:val="20"/>
                <w:szCs w:val="20"/>
              </w:rPr>
            </w:pPr>
            <w:r>
              <w:rPr>
                <w:rFonts w:ascii="Arial"/>
                <w:spacing w:val="-1"/>
                <w:sz w:val="20"/>
              </w:rPr>
              <w:t>5,000,000</w:t>
            </w:r>
          </w:p>
        </w:tc>
      </w:tr>
      <w:tr>
        <w:trPr>
          <w:trHeight w:val="240"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18" w:lineRule="exact"/>
              <w:ind w:left="35" w:right="0"/>
              <w:jc w:val="left"/>
              <w:rPr>
                <w:rFonts w:ascii="黑体" w:hAnsi="黑体" w:cs="黑体" w:eastAsia="黑体" w:hint="default"/>
                <w:sz w:val="20"/>
                <w:szCs w:val="20"/>
              </w:rPr>
            </w:pPr>
            <w:r>
              <w:rPr>
                <w:rFonts w:ascii="黑体" w:hAnsi="黑体" w:cs="黑体" w:eastAsia="黑体" w:hint="default"/>
                <w:spacing w:val="8"/>
                <w:sz w:val="20"/>
                <w:szCs w:val="20"/>
              </w:rPr>
              <w:t>北京贯能管理技术服务</w:t>
            </w:r>
          </w:p>
        </w:tc>
        <w:tc>
          <w:tcPr>
            <w:tcW w:w="1059"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
        </w:tc>
        <w:tc>
          <w:tcPr>
            <w:tcW w:w="706" w:type="dxa"/>
            <w:tcBorders>
              <w:top w:val="nil" w:sz="6" w:space="0" w:color="auto"/>
              <w:left w:val="nil" w:sz="6" w:space="0" w:color="auto"/>
              <w:bottom w:val="nil" w:sz="6" w:space="0" w:color="auto"/>
              <w:right w:val="nil" w:sz="6" w:space="0" w:color="auto"/>
            </w:tcBorders>
          </w:tcPr>
          <w:p>
            <w:pPr/>
          </w:p>
        </w:tc>
        <w:tc>
          <w:tcPr>
            <w:tcW w:w="1004" w:type="dxa"/>
            <w:tcBorders>
              <w:top w:val="nil" w:sz="6" w:space="0" w:color="auto"/>
              <w:left w:val="nil" w:sz="6" w:space="0" w:color="auto"/>
              <w:bottom w:val="nil" w:sz="6" w:space="0" w:color="auto"/>
              <w:right w:val="nil" w:sz="6" w:space="0" w:color="auto"/>
            </w:tcBorders>
          </w:tcPr>
          <w:p>
            <w:pPr/>
          </w:p>
        </w:tc>
        <w:tc>
          <w:tcPr>
            <w:tcW w:w="872"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
        </w:tc>
      </w:tr>
      <w:tr>
        <w:trPr>
          <w:trHeight w:val="489"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14" w:lineRule="exact"/>
              <w:ind w:left="222" w:right="0"/>
              <w:jc w:val="left"/>
              <w:rPr>
                <w:rFonts w:ascii="黑体" w:hAnsi="黑体" w:cs="黑体" w:eastAsia="黑体" w:hint="default"/>
                <w:sz w:val="20"/>
                <w:szCs w:val="20"/>
              </w:rPr>
            </w:pPr>
            <w:r>
              <w:rPr>
                <w:rFonts w:ascii="黑体" w:hAnsi="黑体" w:cs="黑体" w:eastAsia="黑体" w:hint="default"/>
                <w:sz w:val="20"/>
                <w:szCs w:val="20"/>
              </w:rPr>
              <w:t>有限公司</w:t>
            </w:r>
          </w:p>
          <w:p>
            <w:pPr>
              <w:pStyle w:val="TableParagraph"/>
              <w:spacing w:line="253" w:lineRule="exact"/>
              <w:ind w:left="35" w:right="0"/>
              <w:jc w:val="left"/>
              <w:rPr>
                <w:rFonts w:ascii="黑体" w:hAnsi="黑体" w:cs="黑体" w:eastAsia="黑体" w:hint="default"/>
                <w:sz w:val="20"/>
                <w:szCs w:val="20"/>
              </w:rPr>
            </w:pPr>
            <w:r>
              <w:rPr>
                <w:rFonts w:ascii="黑体" w:hAnsi="黑体" w:cs="黑体" w:eastAsia="黑体" w:hint="default"/>
                <w:spacing w:val="8"/>
                <w:sz w:val="20"/>
                <w:szCs w:val="20"/>
              </w:rPr>
              <w:t>中企永联数据交换技术</w:t>
            </w:r>
          </w:p>
        </w:tc>
        <w:tc>
          <w:tcPr>
            <w:tcW w:w="1059" w:type="dxa"/>
            <w:tcBorders>
              <w:top w:val="nil" w:sz="6" w:space="0" w:color="auto"/>
              <w:left w:val="nil" w:sz="6" w:space="0" w:color="auto"/>
              <w:bottom w:val="nil" w:sz="6" w:space="0" w:color="auto"/>
              <w:right w:val="nil" w:sz="6" w:space="0" w:color="auto"/>
            </w:tcBorders>
          </w:tcPr>
          <w:p>
            <w:pPr>
              <w:pStyle w:val="TableParagraph"/>
              <w:spacing w:line="237" w:lineRule="exact"/>
              <w:ind w:right="17"/>
              <w:jc w:val="center"/>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9"/>
              <w:jc w:val="right"/>
              <w:rPr>
                <w:rFonts w:ascii="Arial" w:hAnsi="Arial" w:cs="Arial" w:eastAsia="Arial" w:hint="default"/>
                <w:sz w:val="20"/>
                <w:szCs w:val="20"/>
              </w:rPr>
            </w:pPr>
            <w:r>
              <w:rPr>
                <w:rFonts w:ascii="Arial"/>
                <w:spacing w:val="-1"/>
                <w:sz w:val="20"/>
              </w:rPr>
              <w:t>3,745,000</w:t>
            </w:r>
          </w:p>
        </w:tc>
        <w:tc>
          <w:tcPr>
            <w:tcW w:w="706" w:type="dxa"/>
            <w:tcBorders>
              <w:top w:val="nil" w:sz="6" w:space="0" w:color="auto"/>
              <w:left w:val="nil" w:sz="6" w:space="0" w:color="auto"/>
              <w:bottom w:val="nil" w:sz="6" w:space="0" w:color="auto"/>
              <w:right w:val="nil" w:sz="6" w:space="0" w:color="auto"/>
            </w:tcBorders>
          </w:tcPr>
          <w:p>
            <w:pPr>
              <w:pStyle w:val="TableParagraph"/>
              <w:spacing w:line="223" w:lineRule="exact"/>
              <w:ind w:right="21"/>
              <w:jc w:val="center"/>
              <w:rPr>
                <w:rFonts w:ascii="黑体" w:hAnsi="黑体" w:cs="黑体" w:eastAsia="黑体" w:hint="default"/>
                <w:sz w:val="20"/>
                <w:szCs w:val="20"/>
              </w:rPr>
            </w:pPr>
            <w:r>
              <w:rPr>
                <w:rFonts w:ascii="黑体" w:hAnsi="黑体" w:cs="黑体" w:eastAsia="黑体" w:hint="default"/>
                <w:sz w:val="20"/>
                <w:szCs w:val="20"/>
              </w:rPr>
              <w:t>法人股</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7"/>
              <w:jc w:val="right"/>
              <w:rPr>
                <w:rFonts w:ascii="Arial" w:hAnsi="Arial" w:cs="Arial" w:eastAsia="Arial" w:hint="default"/>
                <w:sz w:val="20"/>
                <w:szCs w:val="20"/>
              </w:rPr>
            </w:pPr>
            <w:r>
              <w:rPr>
                <w:rFonts w:ascii="Arial"/>
                <w:spacing w:val="-1"/>
                <w:sz w:val="20"/>
              </w:rPr>
              <w:t>745,255</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9"/>
              <w:jc w:val="right"/>
              <w:rPr>
                <w:rFonts w:ascii="Arial" w:hAnsi="Arial" w:cs="Arial" w:eastAsia="Arial" w:hint="default"/>
                <w:sz w:val="20"/>
                <w:szCs w:val="20"/>
              </w:rPr>
            </w:pPr>
            <w:r>
              <w:rPr>
                <w:rFonts w:ascii="Arial"/>
                <w:sz w:val="20"/>
              </w:rPr>
              <w:t>19.90</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5"/>
              <w:jc w:val="right"/>
              <w:rPr>
                <w:rFonts w:ascii="Arial" w:hAnsi="Arial" w:cs="Arial" w:eastAsia="Arial" w:hint="default"/>
                <w:sz w:val="20"/>
                <w:szCs w:val="20"/>
              </w:rPr>
            </w:pPr>
            <w:r>
              <w:rPr>
                <w:rFonts w:ascii="Arial"/>
                <w:spacing w:val="-1"/>
                <w:sz w:val="20"/>
              </w:rPr>
              <w:t>4,000,000</w:t>
            </w:r>
          </w:p>
        </w:tc>
      </w:tr>
      <w:tr>
        <w:trPr>
          <w:trHeight w:val="255"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22" w:lineRule="exact"/>
              <w:ind w:left="35" w:right="0"/>
              <w:jc w:val="left"/>
              <w:rPr>
                <w:rFonts w:ascii="黑体" w:hAnsi="黑体" w:cs="黑体" w:eastAsia="黑体" w:hint="default"/>
                <w:sz w:val="20"/>
                <w:szCs w:val="20"/>
              </w:rPr>
            </w:pPr>
            <w:r>
              <w:rPr>
                <w:rFonts w:ascii="黑体" w:hAnsi="黑体" w:cs="黑体" w:eastAsia="黑体" w:hint="default"/>
                <w:sz w:val="20"/>
                <w:szCs w:val="20"/>
              </w:rPr>
              <w:t>（北京）有限公司</w:t>
            </w:r>
          </w:p>
        </w:tc>
        <w:tc>
          <w:tcPr>
            <w:tcW w:w="1059" w:type="dxa"/>
            <w:tcBorders>
              <w:top w:val="nil" w:sz="6" w:space="0" w:color="auto"/>
              <w:left w:val="nil" w:sz="6" w:space="0" w:color="auto"/>
              <w:bottom w:val="nil" w:sz="6" w:space="0" w:color="auto"/>
              <w:right w:val="nil" w:sz="6" w:space="0" w:color="auto"/>
            </w:tcBorders>
          </w:tcPr>
          <w:p>
            <w:pPr>
              <w:pStyle w:val="TableParagraph"/>
              <w:spacing w:line="237" w:lineRule="exact"/>
              <w:ind w:right="17"/>
              <w:jc w:val="center"/>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9"/>
              <w:jc w:val="right"/>
              <w:rPr>
                <w:rFonts w:ascii="Arial" w:hAnsi="Arial" w:cs="Arial" w:eastAsia="Arial" w:hint="default"/>
                <w:sz w:val="20"/>
                <w:szCs w:val="20"/>
              </w:rPr>
            </w:pPr>
            <w:r>
              <w:rPr>
                <w:rFonts w:ascii="Arial"/>
                <w:spacing w:val="-1"/>
                <w:sz w:val="20"/>
              </w:rPr>
              <w:t>12,620,000</w:t>
            </w:r>
          </w:p>
        </w:tc>
        <w:tc>
          <w:tcPr>
            <w:tcW w:w="706" w:type="dxa"/>
            <w:tcBorders>
              <w:top w:val="nil" w:sz="6" w:space="0" w:color="auto"/>
              <w:left w:val="nil" w:sz="6" w:space="0" w:color="auto"/>
              <w:bottom w:val="nil" w:sz="6" w:space="0" w:color="auto"/>
              <w:right w:val="nil" w:sz="6" w:space="0" w:color="auto"/>
            </w:tcBorders>
          </w:tcPr>
          <w:p>
            <w:pPr>
              <w:pStyle w:val="TableParagraph"/>
              <w:spacing w:line="223" w:lineRule="exact"/>
              <w:ind w:right="21"/>
              <w:jc w:val="center"/>
              <w:rPr>
                <w:rFonts w:ascii="黑体" w:hAnsi="黑体" w:cs="黑体" w:eastAsia="黑体" w:hint="default"/>
                <w:sz w:val="20"/>
                <w:szCs w:val="20"/>
              </w:rPr>
            </w:pPr>
            <w:r>
              <w:rPr>
                <w:rFonts w:ascii="黑体" w:hAnsi="黑体" w:cs="黑体" w:eastAsia="黑体" w:hint="default"/>
                <w:sz w:val="20"/>
                <w:szCs w:val="20"/>
              </w:rPr>
              <w:t>法人股</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7"/>
              <w:jc w:val="right"/>
              <w:rPr>
                <w:rFonts w:ascii="Arial" w:hAnsi="Arial" w:cs="Arial" w:eastAsia="Arial" w:hint="default"/>
                <w:sz w:val="20"/>
                <w:szCs w:val="20"/>
              </w:rPr>
            </w:pPr>
            <w:r>
              <w:rPr>
                <w:rFonts w:ascii="Arial"/>
                <w:spacing w:val="-1"/>
                <w:sz w:val="20"/>
              </w:rPr>
              <w:t>2,500,022</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9"/>
              <w:jc w:val="right"/>
              <w:rPr>
                <w:rFonts w:ascii="Arial" w:hAnsi="Arial" w:cs="Arial" w:eastAsia="Arial" w:hint="default"/>
                <w:sz w:val="20"/>
                <w:szCs w:val="20"/>
              </w:rPr>
            </w:pPr>
            <w:r>
              <w:rPr>
                <w:rFonts w:ascii="Arial"/>
                <w:sz w:val="20"/>
              </w:rPr>
              <w:t>19.81</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4"/>
              <w:jc w:val="right"/>
              <w:rPr>
                <w:rFonts w:ascii="Arial" w:hAnsi="Arial" w:cs="Arial" w:eastAsia="Arial" w:hint="default"/>
                <w:sz w:val="20"/>
                <w:szCs w:val="20"/>
              </w:rPr>
            </w:pPr>
            <w:r>
              <w:rPr>
                <w:rFonts w:ascii="Arial"/>
                <w:spacing w:val="-1"/>
                <w:sz w:val="20"/>
              </w:rPr>
              <w:t>2,500,000</w:t>
            </w:r>
          </w:p>
        </w:tc>
      </w:tr>
      <w:tr>
        <w:trPr>
          <w:trHeight w:val="254"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中科方德软件有限公司</w:t>
            </w:r>
          </w:p>
        </w:tc>
        <w:tc>
          <w:tcPr>
            <w:tcW w:w="1059" w:type="dxa"/>
            <w:tcBorders>
              <w:top w:val="nil" w:sz="6" w:space="0" w:color="auto"/>
              <w:left w:val="nil" w:sz="6" w:space="0" w:color="auto"/>
              <w:bottom w:val="nil" w:sz="6" w:space="0" w:color="auto"/>
              <w:right w:val="nil" w:sz="6" w:space="0" w:color="auto"/>
            </w:tcBorders>
          </w:tcPr>
          <w:p>
            <w:pPr>
              <w:pStyle w:val="TableParagraph"/>
              <w:spacing w:line="237" w:lineRule="exact"/>
              <w:ind w:right="17"/>
              <w:jc w:val="center"/>
              <w:rPr>
                <w:rFonts w:ascii="黑体" w:hAnsi="黑体" w:cs="黑体" w:eastAsia="黑体" w:hint="default"/>
                <w:sz w:val="20"/>
                <w:szCs w:val="20"/>
              </w:rPr>
            </w:pPr>
            <w:r>
              <w:rPr>
                <w:rFonts w:ascii="Arial" w:hAnsi="Arial" w:cs="Arial" w:eastAsia="Arial" w:hint="default"/>
                <w:sz w:val="20"/>
                <w:szCs w:val="20"/>
              </w:rPr>
              <w:t>50</w:t>
            </w:r>
            <w:r>
              <w:rPr>
                <w:rFonts w:ascii="黑体" w:hAnsi="黑体" w:cs="黑体" w:eastAsia="黑体" w:hint="default"/>
                <w:sz w:val="20"/>
                <w:szCs w:val="20"/>
              </w:rPr>
              <w:t>年</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9"/>
              <w:jc w:val="right"/>
              <w:rPr>
                <w:rFonts w:ascii="Arial" w:hAnsi="Arial" w:cs="Arial" w:eastAsia="Arial" w:hint="default"/>
                <w:sz w:val="20"/>
                <w:szCs w:val="20"/>
              </w:rPr>
            </w:pPr>
            <w:r>
              <w:rPr>
                <w:rFonts w:ascii="Arial"/>
                <w:spacing w:val="-1"/>
                <w:sz w:val="20"/>
              </w:rPr>
              <w:t>52,000,000</w:t>
            </w:r>
          </w:p>
        </w:tc>
        <w:tc>
          <w:tcPr>
            <w:tcW w:w="706" w:type="dxa"/>
            <w:tcBorders>
              <w:top w:val="nil" w:sz="6" w:space="0" w:color="auto"/>
              <w:left w:val="nil" w:sz="6" w:space="0" w:color="auto"/>
              <w:bottom w:val="nil" w:sz="6" w:space="0" w:color="auto"/>
              <w:right w:val="nil" w:sz="6" w:space="0" w:color="auto"/>
            </w:tcBorders>
          </w:tcPr>
          <w:p>
            <w:pPr>
              <w:pStyle w:val="TableParagraph"/>
              <w:spacing w:line="223" w:lineRule="exact"/>
              <w:ind w:right="21"/>
              <w:jc w:val="center"/>
              <w:rPr>
                <w:rFonts w:ascii="黑体" w:hAnsi="黑体" w:cs="黑体" w:eastAsia="黑体" w:hint="default"/>
                <w:sz w:val="20"/>
                <w:szCs w:val="20"/>
              </w:rPr>
            </w:pPr>
            <w:r>
              <w:rPr>
                <w:rFonts w:ascii="黑体" w:hAnsi="黑体" w:cs="黑体" w:eastAsia="黑体" w:hint="default"/>
                <w:sz w:val="20"/>
                <w:szCs w:val="20"/>
              </w:rPr>
              <w:t>法人股</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7"/>
              <w:jc w:val="right"/>
              <w:rPr>
                <w:rFonts w:ascii="Arial" w:hAnsi="Arial" w:cs="Arial" w:eastAsia="Arial" w:hint="default"/>
                <w:sz w:val="20"/>
                <w:szCs w:val="20"/>
              </w:rPr>
            </w:pPr>
            <w:r>
              <w:rPr>
                <w:rFonts w:ascii="Arial"/>
                <w:spacing w:val="-1"/>
                <w:sz w:val="20"/>
              </w:rPr>
              <w:t>2,002,000</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9"/>
              <w:jc w:val="right"/>
              <w:rPr>
                <w:rFonts w:ascii="Arial" w:hAnsi="Arial" w:cs="Arial" w:eastAsia="Arial" w:hint="default"/>
                <w:sz w:val="20"/>
                <w:szCs w:val="20"/>
              </w:rPr>
            </w:pPr>
            <w:r>
              <w:rPr>
                <w:rFonts w:ascii="Arial"/>
                <w:spacing w:val="-1"/>
                <w:sz w:val="20"/>
              </w:rPr>
              <w:t>3.85</w:t>
            </w:r>
            <w:r>
              <w:rPr>
                <w:rFonts w:ascii="Arial"/>
                <w:sz w:val="20"/>
              </w:rPr>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4"/>
              <w:jc w:val="right"/>
              <w:rPr>
                <w:rFonts w:ascii="Arial" w:hAnsi="Arial" w:cs="Arial" w:eastAsia="Arial" w:hint="default"/>
                <w:sz w:val="20"/>
                <w:szCs w:val="20"/>
              </w:rPr>
            </w:pPr>
            <w:r>
              <w:rPr>
                <w:rFonts w:ascii="Arial"/>
                <w:spacing w:val="-1"/>
                <w:sz w:val="20"/>
              </w:rPr>
              <w:t>2,000,000</w:t>
            </w:r>
          </w:p>
        </w:tc>
      </w:tr>
      <w:tr>
        <w:trPr>
          <w:trHeight w:val="249"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杭州优智软件有限公司</w:t>
            </w:r>
          </w:p>
        </w:tc>
        <w:tc>
          <w:tcPr>
            <w:tcW w:w="1059" w:type="dxa"/>
            <w:tcBorders>
              <w:top w:val="nil" w:sz="6" w:space="0" w:color="auto"/>
              <w:left w:val="nil" w:sz="6" w:space="0" w:color="auto"/>
              <w:bottom w:val="nil" w:sz="6" w:space="0" w:color="auto"/>
              <w:right w:val="nil" w:sz="6" w:space="0" w:color="auto"/>
            </w:tcBorders>
          </w:tcPr>
          <w:p>
            <w:pPr>
              <w:pStyle w:val="TableParagraph"/>
              <w:spacing w:line="237" w:lineRule="exact"/>
              <w:ind w:right="17"/>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9"/>
              <w:jc w:val="right"/>
              <w:rPr>
                <w:rFonts w:ascii="Arial" w:hAnsi="Arial" w:cs="Arial" w:eastAsia="Arial" w:hint="default"/>
                <w:sz w:val="20"/>
                <w:szCs w:val="20"/>
              </w:rPr>
            </w:pPr>
            <w:r>
              <w:rPr>
                <w:rFonts w:ascii="Arial"/>
                <w:spacing w:val="-1"/>
                <w:sz w:val="20"/>
              </w:rPr>
              <w:t>500,000</w:t>
            </w:r>
          </w:p>
        </w:tc>
        <w:tc>
          <w:tcPr>
            <w:tcW w:w="706" w:type="dxa"/>
            <w:tcBorders>
              <w:top w:val="nil" w:sz="6" w:space="0" w:color="auto"/>
              <w:left w:val="nil" w:sz="6" w:space="0" w:color="auto"/>
              <w:bottom w:val="nil" w:sz="6" w:space="0" w:color="auto"/>
              <w:right w:val="nil" w:sz="6" w:space="0" w:color="auto"/>
            </w:tcBorders>
          </w:tcPr>
          <w:p>
            <w:pPr>
              <w:pStyle w:val="TableParagraph"/>
              <w:spacing w:line="223" w:lineRule="exact"/>
              <w:ind w:right="21"/>
              <w:jc w:val="center"/>
              <w:rPr>
                <w:rFonts w:ascii="黑体" w:hAnsi="黑体" w:cs="黑体" w:eastAsia="黑体" w:hint="default"/>
                <w:sz w:val="20"/>
                <w:szCs w:val="20"/>
              </w:rPr>
            </w:pPr>
            <w:r>
              <w:rPr>
                <w:rFonts w:ascii="黑体" w:hAnsi="黑体" w:cs="黑体" w:eastAsia="黑体" w:hint="default"/>
                <w:sz w:val="20"/>
                <w:szCs w:val="20"/>
              </w:rPr>
              <w:t>法人股</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7"/>
              <w:jc w:val="right"/>
              <w:rPr>
                <w:rFonts w:ascii="Arial" w:hAnsi="Arial" w:cs="Arial" w:eastAsia="Arial" w:hint="default"/>
                <w:sz w:val="20"/>
                <w:szCs w:val="20"/>
              </w:rPr>
            </w:pPr>
            <w:r>
              <w:rPr>
                <w:rFonts w:ascii="Arial"/>
                <w:sz w:val="20"/>
              </w:rPr>
              <w:t>99,000</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9"/>
              <w:jc w:val="right"/>
              <w:rPr>
                <w:rFonts w:ascii="Arial" w:hAnsi="Arial" w:cs="Arial" w:eastAsia="Arial" w:hint="default"/>
                <w:sz w:val="20"/>
                <w:szCs w:val="20"/>
              </w:rPr>
            </w:pPr>
            <w:r>
              <w:rPr>
                <w:rFonts w:ascii="Arial"/>
                <w:sz w:val="20"/>
              </w:rPr>
              <w:t>19.80</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4"/>
              <w:jc w:val="right"/>
              <w:rPr>
                <w:rFonts w:ascii="Arial" w:hAnsi="Arial" w:cs="Arial" w:eastAsia="Arial" w:hint="default"/>
                <w:sz w:val="20"/>
                <w:szCs w:val="20"/>
              </w:rPr>
            </w:pPr>
            <w:r>
              <w:rPr>
                <w:rFonts w:ascii="Arial"/>
                <w:spacing w:val="-1"/>
                <w:sz w:val="20"/>
              </w:rPr>
              <w:t>2,000,000</w:t>
            </w:r>
          </w:p>
        </w:tc>
      </w:tr>
      <w:tr>
        <w:trPr>
          <w:trHeight w:val="240"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18" w:lineRule="exact"/>
              <w:ind w:left="35" w:right="0"/>
              <w:jc w:val="left"/>
              <w:rPr>
                <w:rFonts w:ascii="黑体" w:hAnsi="黑体" w:cs="黑体" w:eastAsia="黑体" w:hint="default"/>
                <w:sz w:val="20"/>
                <w:szCs w:val="20"/>
              </w:rPr>
            </w:pPr>
            <w:r>
              <w:rPr>
                <w:rFonts w:ascii="黑体" w:hAnsi="黑体" w:cs="黑体" w:eastAsia="黑体" w:hint="default"/>
                <w:spacing w:val="9"/>
                <w:sz w:val="20"/>
                <w:szCs w:val="20"/>
              </w:rPr>
              <w:t>用友医院管理软件有限</w:t>
            </w:r>
            <w:r>
              <w:rPr>
                <w:rFonts w:ascii="黑体" w:hAnsi="黑体" w:cs="黑体" w:eastAsia="黑体" w:hint="default"/>
                <w:sz w:val="20"/>
                <w:szCs w:val="20"/>
              </w:rPr>
            </w:r>
          </w:p>
        </w:tc>
        <w:tc>
          <w:tcPr>
            <w:tcW w:w="1059"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
        </w:tc>
        <w:tc>
          <w:tcPr>
            <w:tcW w:w="706" w:type="dxa"/>
            <w:tcBorders>
              <w:top w:val="nil" w:sz="6" w:space="0" w:color="auto"/>
              <w:left w:val="nil" w:sz="6" w:space="0" w:color="auto"/>
              <w:bottom w:val="nil" w:sz="6" w:space="0" w:color="auto"/>
              <w:right w:val="nil" w:sz="6" w:space="0" w:color="auto"/>
            </w:tcBorders>
          </w:tcPr>
          <w:p>
            <w:pPr/>
          </w:p>
        </w:tc>
        <w:tc>
          <w:tcPr>
            <w:tcW w:w="1004" w:type="dxa"/>
            <w:tcBorders>
              <w:top w:val="nil" w:sz="6" w:space="0" w:color="auto"/>
              <w:left w:val="nil" w:sz="6" w:space="0" w:color="auto"/>
              <w:bottom w:val="nil" w:sz="6" w:space="0" w:color="auto"/>
              <w:right w:val="nil" w:sz="6" w:space="0" w:color="auto"/>
            </w:tcBorders>
          </w:tcPr>
          <w:p>
            <w:pPr/>
          </w:p>
        </w:tc>
        <w:tc>
          <w:tcPr>
            <w:tcW w:w="872"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
        </w:tc>
      </w:tr>
      <w:tr>
        <w:trPr>
          <w:trHeight w:val="232"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22" w:lineRule="exact"/>
              <w:ind w:left="207" w:right="0"/>
              <w:jc w:val="left"/>
              <w:rPr>
                <w:rFonts w:ascii="黑体" w:hAnsi="黑体" w:cs="黑体" w:eastAsia="黑体" w:hint="default"/>
                <w:sz w:val="20"/>
                <w:szCs w:val="20"/>
              </w:rPr>
            </w:pPr>
            <w:r>
              <w:rPr>
                <w:rFonts w:ascii="黑体" w:hAnsi="黑体" w:cs="黑体" w:eastAsia="黑体" w:hint="default"/>
                <w:sz w:val="20"/>
                <w:szCs w:val="20"/>
              </w:rPr>
              <w:t>公司</w:t>
            </w:r>
          </w:p>
        </w:tc>
        <w:tc>
          <w:tcPr>
            <w:tcW w:w="1059" w:type="dxa"/>
            <w:tcBorders>
              <w:top w:val="nil" w:sz="6" w:space="0" w:color="auto"/>
              <w:left w:val="nil" w:sz="6" w:space="0" w:color="auto"/>
              <w:bottom w:val="nil" w:sz="6" w:space="0" w:color="auto"/>
              <w:right w:val="nil" w:sz="6" w:space="0" w:color="auto"/>
            </w:tcBorders>
          </w:tcPr>
          <w:p>
            <w:pPr>
              <w:pStyle w:val="TableParagraph"/>
              <w:spacing w:line="237" w:lineRule="exact"/>
              <w:ind w:right="17"/>
              <w:jc w:val="center"/>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8"/>
              <w:jc w:val="right"/>
              <w:rPr>
                <w:rFonts w:ascii="Arial" w:hAnsi="Arial" w:cs="Arial" w:eastAsia="Arial" w:hint="default"/>
                <w:sz w:val="20"/>
                <w:szCs w:val="20"/>
              </w:rPr>
            </w:pPr>
            <w:r>
              <w:rPr>
                <w:rFonts w:ascii="Arial"/>
                <w:spacing w:val="-1"/>
                <w:sz w:val="20"/>
              </w:rPr>
              <w:t>4,000,000</w:t>
            </w:r>
          </w:p>
        </w:tc>
        <w:tc>
          <w:tcPr>
            <w:tcW w:w="706" w:type="dxa"/>
            <w:tcBorders>
              <w:top w:val="nil" w:sz="6" w:space="0" w:color="auto"/>
              <w:left w:val="nil" w:sz="6" w:space="0" w:color="auto"/>
              <w:bottom w:val="nil" w:sz="6" w:space="0" w:color="auto"/>
              <w:right w:val="nil" w:sz="6" w:space="0" w:color="auto"/>
            </w:tcBorders>
          </w:tcPr>
          <w:p>
            <w:pPr>
              <w:pStyle w:val="TableParagraph"/>
              <w:spacing w:line="223" w:lineRule="exact"/>
              <w:ind w:right="21"/>
              <w:jc w:val="center"/>
              <w:rPr>
                <w:rFonts w:ascii="黑体" w:hAnsi="黑体" w:cs="黑体" w:eastAsia="黑体" w:hint="default"/>
                <w:sz w:val="20"/>
                <w:szCs w:val="20"/>
              </w:rPr>
            </w:pPr>
            <w:r>
              <w:rPr>
                <w:rFonts w:ascii="黑体" w:hAnsi="黑体" w:cs="黑体" w:eastAsia="黑体" w:hint="default"/>
                <w:sz w:val="20"/>
                <w:szCs w:val="20"/>
              </w:rPr>
              <w:t>法人股</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7"/>
              <w:jc w:val="right"/>
              <w:rPr>
                <w:rFonts w:ascii="Arial" w:hAnsi="Arial" w:cs="Arial" w:eastAsia="Arial" w:hint="default"/>
                <w:sz w:val="20"/>
                <w:szCs w:val="20"/>
              </w:rPr>
            </w:pPr>
            <w:r>
              <w:rPr>
                <w:rFonts w:ascii="Arial"/>
                <w:spacing w:val="-1"/>
                <w:sz w:val="20"/>
              </w:rPr>
              <w:t>800,000</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9"/>
              <w:jc w:val="right"/>
              <w:rPr>
                <w:rFonts w:ascii="Arial" w:hAnsi="Arial" w:cs="Arial" w:eastAsia="Arial" w:hint="default"/>
                <w:sz w:val="20"/>
                <w:szCs w:val="20"/>
              </w:rPr>
            </w:pPr>
            <w:r>
              <w:rPr>
                <w:rFonts w:ascii="Arial"/>
                <w:sz w:val="20"/>
              </w:rPr>
              <w:t>20.00</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4"/>
              <w:jc w:val="right"/>
              <w:rPr>
                <w:rFonts w:ascii="Arial" w:hAnsi="Arial" w:cs="Arial" w:eastAsia="Arial" w:hint="default"/>
                <w:sz w:val="20"/>
                <w:szCs w:val="20"/>
              </w:rPr>
            </w:pPr>
            <w:r>
              <w:rPr>
                <w:rFonts w:ascii="Arial"/>
                <w:spacing w:val="-1"/>
                <w:sz w:val="20"/>
              </w:rPr>
              <w:t>445,831</w:t>
            </w:r>
          </w:p>
        </w:tc>
      </w:tr>
    </w:tbl>
    <w:p>
      <w:pPr>
        <w:pStyle w:val="BodyText"/>
        <w:spacing w:line="227" w:lineRule="exact"/>
        <w:ind w:left="838" w:right="0"/>
        <w:jc w:val="left"/>
      </w:pPr>
      <w:r>
        <w:rPr>
          <w:spacing w:val="9"/>
        </w:rPr>
        <w:t>深圳市新希元软件技术</w:t>
      </w:r>
      <w:r>
        <w:rPr/>
      </w:r>
    </w:p>
    <w:p>
      <w:pPr>
        <w:pStyle w:val="BodyText"/>
        <w:tabs>
          <w:tab w:pos="3083" w:val="left" w:leader="none"/>
          <w:tab w:pos="4252" w:val="left" w:leader="none"/>
          <w:tab w:pos="7243" w:val="left" w:leader="none"/>
          <w:tab w:pos="8285" w:val="left" w:leader="none"/>
        </w:tabs>
        <w:spacing w:line="257" w:lineRule="exact"/>
        <w:ind w:left="807" w:right="0"/>
        <w:jc w:val="center"/>
        <w:rPr>
          <w:rFonts w:ascii="Arial" w:hAnsi="Arial" w:cs="Arial" w:eastAsia="Arial" w:hint="default"/>
        </w:rPr>
      </w:pPr>
      <w:r>
        <w:rPr/>
        <w:t>有限公司</w:t>
        <w:tab/>
        <w:t>长期</w:t>
        <w:tab/>
      </w:r>
      <w:r>
        <w:rPr>
          <w:rFonts w:ascii="Arial" w:hAnsi="Arial" w:cs="Arial" w:eastAsia="Arial" w:hint="default"/>
        </w:rPr>
        <w:t>6,234,400 </w:t>
      </w:r>
      <w:r>
        <w:rPr/>
        <w:t>法人股</w:t>
      </w:r>
      <w:r>
        <w:rPr>
          <w:spacing w:val="48"/>
        </w:rPr>
        <w:t> </w:t>
      </w:r>
      <w:r>
        <w:rPr>
          <w:rFonts w:ascii="Arial" w:hAnsi="Arial" w:cs="Arial" w:eastAsia="Arial" w:hint="default"/>
        </w:rPr>
        <w:t>1,234,411</w:t>
        <w:tab/>
        <w:t>19.80</w:t>
        <w:tab/>
      </w:r>
      <w:r>
        <w:rPr>
          <w:rFonts w:ascii="Arial" w:hAnsi="Arial" w:cs="Arial" w:eastAsia="Arial" w:hint="default"/>
          <w:u w:val="single" w:color="000000"/>
        </w:rPr>
        <w:t> 5,000,000</w:t>
      </w:r>
      <w:r>
        <w:rPr>
          <w:rFonts w:ascii="Arial" w:hAnsi="Arial" w:cs="Arial" w:eastAsia="Arial" w:hint="default"/>
        </w:rPr>
      </w:r>
    </w:p>
    <w:p>
      <w:pPr>
        <w:pStyle w:val="BodyText"/>
        <w:tabs>
          <w:tab w:pos="8478" w:val="left" w:leader="none"/>
        </w:tabs>
        <w:spacing w:line="265" w:lineRule="exact"/>
        <w:ind w:left="838" w:right="0"/>
        <w:jc w:val="left"/>
        <w:rPr>
          <w:rFonts w:ascii="Arial" w:hAnsi="Arial" w:cs="Arial" w:eastAsia="Arial" w:hint="default"/>
        </w:rPr>
      </w:pPr>
      <w:r>
        <w:rPr/>
        <w:t>合计</w:t>
        <w:tab/>
      </w:r>
      <w:r>
        <w:rPr>
          <w:rFonts w:ascii="Arial" w:hAnsi="Arial" w:cs="Arial" w:eastAsia="Arial" w:hint="default"/>
        </w:rPr>
      </w:r>
      <w:r>
        <w:rPr>
          <w:rFonts w:ascii="Arial" w:hAnsi="Arial" w:cs="Arial" w:eastAsia="Arial" w:hint="default"/>
          <w:u w:val="thick" w:color="000000"/>
        </w:rPr>
        <w:t>25,561,597</w:t>
      </w:r>
      <w:r>
        <w:rPr>
          <w:rFonts w:ascii="Arial" w:hAnsi="Arial" w:cs="Arial" w:eastAsia="Arial" w:hint="default"/>
        </w:rPr>
      </w:r>
    </w:p>
    <w:p>
      <w:pPr>
        <w:spacing w:line="240" w:lineRule="auto" w:before="11"/>
        <w:rPr>
          <w:rFonts w:ascii="Arial" w:hAnsi="Arial" w:cs="Arial" w:eastAsia="Arial" w:hint="default"/>
          <w:sz w:val="16"/>
          <w:szCs w:val="16"/>
        </w:rPr>
      </w:pPr>
    </w:p>
    <w:p>
      <w:pPr>
        <w:pStyle w:val="BodyText"/>
        <w:spacing w:line="253" w:lineRule="exact" w:before="38"/>
        <w:ind w:left="838" w:right="0"/>
        <w:jc w:val="left"/>
      </w:pPr>
      <w:r>
        <w:rPr/>
        <w:t>股权投资减值准备：</w:t>
      </w:r>
    </w:p>
    <w:p>
      <w:pPr>
        <w:pStyle w:val="BodyText"/>
        <w:spacing w:line="244" w:lineRule="exact"/>
        <w:ind w:left="838" w:right="0"/>
        <w:jc w:val="left"/>
      </w:pPr>
      <w:r>
        <w:rPr>
          <w:spacing w:val="9"/>
        </w:rPr>
        <w:t>北京贯能管理技术服务</w:t>
      </w:r>
      <w:r>
        <w:rPr/>
      </w:r>
    </w:p>
    <w:p>
      <w:pPr>
        <w:pStyle w:val="BodyText"/>
        <w:tabs>
          <w:tab w:pos="7456" w:val="left" w:leader="none"/>
        </w:tabs>
        <w:spacing w:line="257" w:lineRule="exact"/>
        <w:ind w:left="0" w:right="107"/>
        <w:jc w:val="right"/>
        <w:rPr>
          <w:rFonts w:ascii="Arial" w:hAnsi="Arial" w:cs="Arial" w:eastAsia="Arial" w:hint="default"/>
        </w:rPr>
      </w:pPr>
      <w:r>
        <w:rPr/>
        <w:t>有限公司</w:t>
        <w:tab/>
      </w:r>
      <w:r>
        <w:rPr>
          <w:rFonts w:ascii="Arial" w:hAnsi="Arial" w:cs="Arial" w:eastAsia="Arial" w:hint="default"/>
        </w:rPr>
        <w:t>( 4,000,000</w:t>
      </w:r>
      <w:r>
        <w:rPr>
          <w:rFonts w:ascii="Arial" w:hAnsi="Arial" w:cs="Arial" w:eastAsia="Arial" w:hint="default"/>
          <w:spacing w:val="-30"/>
        </w:rPr>
        <w:t> </w:t>
      </w:r>
      <w:r>
        <w:rPr>
          <w:rFonts w:ascii="Arial" w:hAnsi="Arial" w:cs="Arial" w:eastAsia="Arial" w:hint="default"/>
        </w:rPr>
        <w:t>)</w:t>
      </w:r>
    </w:p>
    <w:p>
      <w:pPr>
        <w:pStyle w:val="BodyText"/>
        <w:tabs>
          <w:tab w:pos="8467" w:val="left" w:leader="none"/>
        </w:tabs>
        <w:spacing w:line="265" w:lineRule="exact"/>
        <w:ind w:left="838" w:right="0"/>
        <w:jc w:val="left"/>
        <w:rPr>
          <w:rFonts w:ascii="Arial" w:hAnsi="Arial" w:cs="Arial" w:eastAsia="Arial" w:hint="default"/>
        </w:rPr>
      </w:pPr>
      <w:r>
        <w:rPr>
          <w:spacing w:val="-1"/>
        </w:rPr>
        <w:t>杭州优智软件有限公司</w:t>
        <w:tab/>
      </w:r>
      <w:r>
        <w:rPr>
          <w:rFonts w:ascii="Arial" w:hAnsi="Arial" w:cs="Arial" w:eastAsia="Arial" w:hint="default"/>
        </w:rPr>
        <w:t>( </w:t>
      </w:r>
      <w:r>
        <w:rPr>
          <w:rFonts w:ascii="Arial" w:hAnsi="Arial" w:cs="Arial" w:eastAsia="Arial" w:hint="default"/>
          <w:u w:val="single" w:color="000000"/>
        </w:rPr>
        <w:t> </w:t>
      </w:r>
      <w:r>
        <w:rPr>
          <w:rFonts w:ascii="Arial" w:hAnsi="Arial" w:cs="Arial" w:eastAsia="Arial" w:hint="default"/>
          <w:spacing w:val="-1"/>
          <w:u w:val="single" w:color="000000"/>
        </w:rPr>
        <w:t>2,000,000</w:t>
      </w:r>
      <w:r>
        <w:rPr>
          <w:rFonts w:ascii="Arial" w:hAnsi="Arial" w:cs="Arial" w:eastAsia="Arial" w:hint="default"/>
          <w:spacing w:val="-20"/>
          <w:u w:val="single" w:color="000000"/>
        </w:rPr>
        <w:t> </w:t>
      </w:r>
      <w:r>
        <w:rPr>
          <w:rFonts w:ascii="Arial" w:hAnsi="Arial" w:cs="Arial" w:eastAsia="Arial" w:hint="default"/>
          <w:spacing w:val="-20"/>
        </w:rPr>
      </w:r>
      <w:r>
        <w:rPr>
          <w:rFonts w:ascii="Arial" w:hAnsi="Arial" w:cs="Arial" w:eastAsia="Arial" w:hint="default"/>
        </w:rPr>
        <w:t>)</w:t>
      </w:r>
    </w:p>
    <w:p>
      <w:pPr>
        <w:pStyle w:val="BodyText"/>
        <w:spacing w:line="240" w:lineRule="auto" w:before="24"/>
        <w:ind w:left="0" w:right="107"/>
        <w:jc w:val="right"/>
        <w:rPr>
          <w:rFonts w:ascii="Arial" w:hAnsi="Arial" w:cs="Arial" w:eastAsia="Arial" w:hint="default"/>
        </w:rPr>
      </w:pPr>
      <w:r>
        <w:rPr>
          <w:rFonts w:ascii="Arial"/>
        </w:rPr>
        <w:t>( </w:t>
      </w:r>
      <w:r>
        <w:rPr>
          <w:rFonts w:ascii="Arial"/>
          <w:u w:val="thick" w:color="000000"/>
        </w:rPr>
        <w:t> 6,000,000</w:t>
      </w:r>
      <w:r>
        <w:rPr>
          <w:rFonts w:ascii="Arial"/>
          <w:spacing w:val="-29"/>
          <w:u w:val="thick" w:color="000000"/>
        </w:rPr>
        <w:t> </w:t>
      </w:r>
      <w:r>
        <w:rPr>
          <w:rFonts w:ascii="Arial"/>
          <w:spacing w:val="-29"/>
        </w:rPr>
      </w:r>
      <w:r>
        <w:rPr>
          <w:rFonts w:ascii="Arial"/>
        </w:rPr>
        <w:t>)</w:t>
      </w:r>
    </w:p>
    <w:p>
      <w:pPr>
        <w:spacing w:after="0" w:line="240" w:lineRule="auto"/>
        <w:jc w:val="right"/>
        <w:rPr>
          <w:rFonts w:ascii="Arial" w:hAnsi="Arial" w:cs="Arial" w:eastAsia="Arial" w:hint="default"/>
        </w:rPr>
        <w:sectPr>
          <w:pgSz w:w="11910" w:h="16840"/>
          <w:pgMar w:header="958" w:footer="385" w:top="2560" w:bottom="580" w:left="1600" w:right="620"/>
        </w:sectPr>
      </w:pPr>
    </w:p>
    <w:p>
      <w:pPr>
        <w:spacing w:line="240" w:lineRule="auto" w:before="0"/>
        <w:rPr>
          <w:rFonts w:ascii="Arial" w:hAnsi="Arial" w:cs="Arial" w:eastAsia="Arial" w:hint="default"/>
          <w:sz w:val="20"/>
          <w:szCs w:val="20"/>
        </w:rPr>
      </w:pPr>
    </w:p>
    <w:p>
      <w:pPr>
        <w:spacing w:line="240" w:lineRule="auto" w:before="11"/>
        <w:rPr>
          <w:rFonts w:ascii="Arial" w:hAnsi="Arial" w:cs="Arial" w:eastAsia="Arial" w:hint="default"/>
          <w:sz w:val="18"/>
          <w:szCs w:val="18"/>
        </w:rPr>
      </w:pPr>
    </w:p>
    <w:p>
      <w:pPr>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3"/>
        <w:rPr>
          <w:rFonts w:ascii="黑体" w:hAnsi="黑体" w:cs="黑体" w:eastAsia="黑体" w:hint="default"/>
          <w:b/>
          <w:bCs/>
          <w:sz w:val="17"/>
          <w:szCs w:val="17"/>
        </w:rPr>
      </w:pPr>
    </w:p>
    <w:p>
      <w:pPr>
        <w:tabs>
          <w:tab w:pos="768"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9.</w:t>
        <w:tab/>
      </w:r>
      <w:r>
        <w:rPr>
          <w:rFonts w:ascii="黑体" w:hAnsi="黑体" w:cs="黑体" w:eastAsia="黑体" w:hint="default"/>
          <w:b/>
          <w:bCs/>
          <w:sz w:val="20"/>
          <w:szCs w:val="20"/>
        </w:rPr>
        <w:t>长期股权投资（续）</w:t>
      </w:r>
      <w:r>
        <w:rPr>
          <w:rFonts w:ascii="黑体" w:hAnsi="黑体" w:cs="黑体" w:eastAsia="黑体" w:hint="default"/>
          <w:sz w:val="20"/>
          <w:szCs w:val="20"/>
        </w:rPr>
      </w:r>
    </w:p>
    <w:p>
      <w:pPr>
        <w:spacing w:line="240" w:lineRule="auto" w:before="11"/>
        <w:rPr>
          <w:rFonts w:ascii="黑体" w:hAnsi="黑体" w:cs="黑体" w:eastAsia="黑体" w:hint="default"/>
          <w:b/>
          <w:bCs/>
          <w:sz w:val="16"/>
          <w:szCs w:val="16"/>
        </w:rPr>
      </w:pPr>
    </w:p>
    <w:p>
      <w:pPr>
        <w:pStyle w:val="BodyText"/>
        <w:spacing w:line="240" w:lineRule="auto"/>
        <w:ind w:right="0"/>
        <w:jc w:val="left"/>
        <w:rPr>
          <w:rFonts w:ascii="Arial" w:hAnsi="Arial" w:cs="Arial" w:eastAsia="Arial" w:hint="default"/>
        </w:rPr>
      </w:pPr>
      <w:r>
        <w:rPr>
          <w:rFonts w:ascii="Arial" w:hAnsi="Arial" w:cs="Arial" w:eastAsia="Arial" w:hint="default"/>
        </w:rPr>
        <w:t>(i)  </w:t>
      </w:r>
      <w:r>
        <w:rPr>
          <w:rFonts w:ascii="Arial" w:hAnsi="Arial" w:cs="Arial" w:eastAsia="Arial" w:hint="default"/>
          <w:spacing w:val="22"/>
        </w:rPr>
        <w:t> </w:t>
      </w:r>
      <w:r>
        <w:rPr/>
        <w:t>按成本法核算的股权投资</w:t>
      </w:r>
      <w:r>
        <w:rPr>
          <w:rFonts w:ascii="Arial" w:hAnsi="Arial" w:cs="Arial" w:eastAsia="Arial" w:hint="default"/>
        </w:rPr>
        <w:t>-</w:t>
      </w:r>
      <w:r>
        <w:rPr/>
        <w:t>无控制、共同控制及重大影响之公司</w:t>
      </w:r>
      <w:r>
        <w:rPr>
          <w:rFonts w:ascii="Arial" w:hAnsi="Arial" w:cs="Arial" w:eastAsia="Arial" w:hint="default"/>
        </w:rPr>
        <w:t>(</w:t>
      </w:r>
      <w:r>
        <w:rPr/>
        <w:t>续</w:t>
      </w:r>
      <w:r>
        <w:rPr>
          <w:rFonts w:ascii="Arial" w:hAnsi="Arial" w:cs="Arial" w:eastAsia="Arial" w:hint="default"/>
        </w:rPr>
        <w:t>):</w:t>
      </w:r>
    </w:p>
    <w:p>
      <w:pPr>
        <w:spacing w:line="240" w:lineRule="auto" w:before="7"/>
        <w:rPr>
          <w:rFonts w:ascii="Arial" w:hAnsi="Arial" w:cs="Arial" w:eastAsia="Arial" w:hint="default"/>
          <w:sz w:val="15"/>
          <w:szCs w:val="15"/>
        </w:rPr>
      </w:pPr>
    </w:p>
    <w:p>
      <w:pPr>
        <w:pStyle w:val="BodyText"/>
        <w:spacing w:line="265" w:lineRule="exact" w:before="38"/>
        <w:ind w:left="838" w:right="0"/>
        <w:jc w:val="left"/>
      </w:pPr>
      <w:r>
        <w:rPr>
          <w:rFonts w:ascii="Arial" w:hAnsi="Arial" w:cs="Arial" w:eastAsia="Arial" w:hint="default"/>
        </w:rPr>
        <w:t>2008</w:t>
      </w:r>
      <w:r>
        <w:rPr/>
        <w:t>年</w:t>
      </w:r>
    </w:p>
    <w:p>
      <w:pPr>
        <w:pStyle w:val="BodyText"/>
        <w:tabs>
          <w:tab w:pos="7177" w:val="left" w:leader="none"/>
          <w:tab w:pos="8285" w:val="left" w:leader="none"/>
        </w:tabs>
        <w:spacing w:line="251" w:lineRule="exact"/>
        <w:ind w:left="2987" w:right="0"/>
        <w:jc w:val="left"/>
      </w:pPr>
      <w:r>
        <w:rPr>
          <w:spacing w:val="-1"/>
        </w:rPr>
        <w:t>被投资企业</w:t>
        <w:tab/>
      </w:r>
      <w:r>
        <w:rPr/>
        <w:t>占被投资</w:t>
        <w:tab/>
      </w:r>
      <w:r>
        <w:rPr>
          <w:spacing w:val="-1"/>
        </w:rPr>
        <w:t>实际投入金额</w:t>
      </w:r>
    </w:p>
    <w:p>
      <w:pPr>
        <w:pStyle w:val="BodyText"/>
        <w:tabs>
          <w:tab w:pos="3087" w:val="left" w:leader="none"/>
          <w:tab w:pos="4522" w:val="left" w:leader="none"/>
          <w:tab w:pos="6680" w:val="left" w:leader="none"/>
        </w:tabs>
        <w:spacing w:line="259" w:lineRule="exact"/>
        <w:ind w:left="838" w:right="0"/>
        <w:jc w:val="left"/>
      </w:pPr>
      <w:r>
        <w:rPr>
          <w:spacing w:val="-1"/>
        </w:rPr>
        <w:t>被投资企业名称</w:t>
        <w:tab/>
      </w:r>
      <w:r>
        <w:rPr/>
        <w:t>经营期限</w:t>
        <w:tab/>
        <w:t>注册资本</w:t>
      </w:r>
      <w:r>
        <w:rPr>
          <w:spacing w:val="85"/>
        </w:rPr>
        <w:t> </w:t>
      </w:r>
      <w:r>
        <w:rPr/>
        <w:t>股份</w:t>
        <w:tab/>
        <w:t>股数</w:t>
      </w:r>
      <w:r>
        <w:rPr>
          <w:spacing w:val="12"/>
        </w:rPr>
        <w:t> </w:t>
      </w:r>
      <w:r>
        <w:rPr/>
        <w:t>公司注册</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w:t>
      </w:r>
    </w:p>
    <w:p>
      <w:pPr>
        <w:pStyle w:val="BodyText"/>
        <w:tabs>
          <w:tab w:pos="7178" w:val="left" w:leader="none"/>
          <w:tab w:pos="8684" w:val="left" w:leader="none"/>
        </w:tabs>
        <w:spacing w:line="251" w:lineRule="exact"/>
        <w:ind w:left="4522" w:right="0"/>
        <w:jc w:val="left"/>
      </w:pPr>
      <w:r>
        <w:rPr/>
        <w:t>人民币元</w:t>
      </w:r>
      <w:r>
        <w:rPr>
          <w:spacing w:val="85"/>
        </w:rPr>
        <w:t> </w:t>
      </w:r>
      <w:r>
        <w:rPr/>
        <w:t>类别</w:t>
        <w:tab/>
        <w:t>资本比例</w:t>
        <w:tab/>
        <w:t>人民币元</w:t>
      </w:r>
    </w:p>
    <w:p>
      <w:pPr>
        <w:pStyle w:val="BodyText"/>
        <w:spacing w:line="220" w:lineRule="exact" w:before="38"/>
        <w:ind w:left="0" w:right="1762"/>
        <w:jc w:val="right"/>
        <w:rPr>
          <w:rFonts w:ascii="Arial" w:hAnsi="Arial" w:cs="Arial" w:eastAsia="Arial" w:hint="default"/>
        </w:rPr>
      </w:pPr>
      <w:r>
        <w:rPr>
          <w:rFonts w:ascii="Arial"/>
          <w:spacing w:val="-1"/>
        </w:rPr>
        <w:t>(%)</w:t>
      </w:r>
    </w:p>
    <w:p>
      <w:pPr>
        <w:pStyle w:val="BodyText"/>
        <w:tabs>
          <w:tab w:pos="3277" w:val="left" w:leader="none"/>
          <w:tab w:pos="4322" w:val="left" w:leader="none"/>
          <w:tab w:pos="7478" w:val="left" w:leader="none"/>
          <w:tab w:pos="8595" w:val="left" w:leader="none"/>
        </w:tabs>
        <w:spacing w:line="250" w:lineRule="exact"/>
        <w:ind w:left="838" w:right="0"/>
        <w:jc w:val="left"/>
        <w:rPr>
          <w:rFonts w:ascii="Arial" w:hAnsi="Arial" w:cs="Arial" w:eastAsia="Arial" w:hint="default"/>
        </w:rPr>
      </w:pPr>
      <w:r>
        <w:rPr/>
        <w:t>联成互动</w:t>
        <w:tab/>
      </w:r>
      <w:r>
        <w:rPr>
          <w:rFonts w:ascii="Arial" w:hAnsi="Arial" w:cs="Arial" w:eastAsia="Arial" w:hint="default"/>
        </w:rPr>
        <w:t>30</w:t>
      </w:r>
      <w:r>
        <w:rPr/>
        <w:t>年</w:t>
        <w:tab/>
      </w:r>
      <w:r>
        <w:rPr>
          <w:rFonts w:ascii="Arial" w:hAnsi="Arial" w:cs="Arial" w:eastAsia="Arial" w:hint="default"/>
        </w:rPr>
        <w:t>18,000,000 </w:t>
      </w:r>
      <w:r>
        <w:rPr/>
        <w:t>法人股 </w:t>
      </w:r>
      <w:r>
        <w:rPr>
          <w:spacing w:val="3"/>
        </w:rPr>
        <w:t> </w:t>
      </w:r>
      <w:r>
        <w:rPr>
          <w:rFonts w:ascii="Arial" w:hAnsi="Arial" w:cs="Arial" w:eastAsia="Arial" w:hint="default"/>
        </w:rPr>
        <w:t>3,564,000</w:t>
        <w:tab/>
        <w:t>19.80</w:t>
        <w:tab/>
        <w:t>5,330,000</w:t>
      </w:r>
    </w:p>
    <w:p>
      <w:pPr>
        <w:pStyle w:val="BodyText"/>
        <w:spacing w:line="238" w:lineRule="exact"/>
        <w:ind w:left="838" w:right="0"/>
        <w:jc w:val="left"/>
      </w:pPr>
      <w:r>
        <w:rPr>
          <w:spacing w:val="9"/>
        </w:rPr>
        <w:t>北京用友软件工程有限</w:t>
      </w:r>
      <w:r>
        <w:rPr/>
      </w:r>
    </w:p>
    <w:p>
      <w:pPr>
        <w:pStyle w:val="BodyText"/>
        <w:tabs>
          <w:tab w:pos="3018" w:val="left" w:leader="none"/>
          <w:tab w:pos="4063" w:val="left" w:leader="none"/>
          <w:tab w:pos="7219" w:val="left" w:leader="none"/>
          <w:tab w:pos="8336" w:val="left" w:leader="none"/>
        </w:tabs>
        <w:spacing w:line="257" w:lineRule="exact"/>
        <w:ind w:left="752" w:right="0"/>
        <w:jc w:val="center"/>
        <w:rPr>
          <w:rFonts w:ascii="Arial" w:hAnsi="Arial" w:cs="Arial" w:eastAsia="Arial" w:hint="default"/>
        </w:rPr>
      </w:pPr>
      <w:r>
        <w:rPr/>
        <w:t>公司</w:t>
        <w:tab/>
      </w:r>
      <w:r>
        <w:rPr>
          <w:rFonts w:ascii="Arial" w:hAnsi="Arial" w:cs="Arial" w:eastAsia="Arial" w:hint="default"/>
        </w:rPr>
        <w:t>10</w:t>
      </w:r>
      <w:r>
        <w:rPr/>
        <w:t>年</w:t>
        <w:tab/>
      </w:r>
      <w:r>
        <w:rPr>
          <w:rFonts w:ascii="Arial" w:hAnsi="Arial" w:cs="Arial" w:eastAsia="Arial" w:hint="default"/>
        </w:rPr>
        <w:t>50,000,000 </w:t>
      </w:r>
      <w:r>
        <w:rPr/>
        <w:t>法人股 </w:t>
      </w:r>
      <w:r>
        <w:rPr>
          <w:spacing w:val="3"/>
        </w:rPr>
        <w:t> </w:t>
      </w:r>
      <w:r>
        <w:rPr>
          <w:rFonts w:ascii="Arial" w:hAnsi="Arial" w:cs="Arial" w:eastAsia="Arial" w:hint="default"/>
        </w:rPr>
        <w:t>9,362,600</w:t>
        <w:tab/>
        <w:t>18.73</w:t>
        <w:tab/>
        <w:t>4,615,766</w:t>
      </w:r>
    </w:p>
    <w:p>
      <w:pPr>
        <w:pStyle w:val="BodyText"/>
        <w:tabs>
          <w:tab w:pos="3276" w:val="left" w:leader="none"/>
          <w:tab w:pos="4044" w:val="left" w:leader="none"/>
          <w:tab w:pos="7589" w:val="left" w:leader="none"/>
          <w:tab w:pos="8594" w:val="left" w:leader="none"/>
        </w:tabs>
        <w:spacing w:line="249" w:lineRule="exact"/>
        <w:ind w:left="838" w:right="0"/>
        <w:jc w:val="left"/>
        <w:rPr>
          <w:rFonts w:ascii="Arial" w:hAnsi="Arial" w:cs="Arial" w:eastAsia="Arial" w:hint="default"/>
        </w:rPr>
      </w:pPr>
      <w:r>
        <w:rPr>
          <w:spacing w:val="-1"/>
        </w:rPr>
        <w:t>中投信用担保有限公司</w:t>
        <w:tab/>
      </w:r>
      <w:r>
        <w:rPr>
          <w:rFonts w:ascii="Arial" w:hAnsi="Arial" w:cs="Arial" w:eastAsia="Arial" w:hint="default"/>
        </w:rPr>
        <w:t>20</w:t>
      </w:r>
      <w:r>
        <w:rPr/>
        <w:t>年</w:t>
        <w:tab/>
      </w:r>
      <w:r>
        <w:rPr>
          <w:rFonts w:ascii="Arial" w:hAnsi="Arial" w:cs="Arial" w:eastAsia="Arial" w:hint="default"/>
          <w:spacing w:val="-2"/>
        </w:rPr>
        <w:t>1,000,000,000</w:t>
      </w:r>
      <w:r>
        <w:rPr>
          <w:rFonts w:ascii="Arial" w:hAnsi="Arial" w:cs="Arial" w:eastAsia="Arial" w:hint="default"/>
        </w:rPr>
        <w:t>  </w:t>
      </w:r>
      <w:r>
        <w:rPr/>
        <w:t>法人股</w:t>
      </w:r>
      <w:r>
        <w:rPr>
          <w:spacing w:val="78"/>
        </w:rPr>
        <w:t> </w:t>
      </w:r>
      <w:r>
        <w:rPr>
          <w:rFonts w:ascii="Arial" w:hAnsi="Arial" w:cs="Arial" w:eastAsia="Arial" w:hint="default"/>
          <w:spacing w:val="-1"/>
        </w:rPr>
        <w:t>5,000,000</w:t>
        <w:tab/>
      </w:r>
      <w:r>
        <w:rPr>
          <w:rFonts w:ascii="Arial" w:hAnsi="Arial" w:cs="Arial" w:eastAsia="Arial" w:hint="default"/>
        </w:rPr>
        <w:t>0.50</w:t>
        <w:tab/>
      </w:r>
      <w:r>
        <w:rPr>
          <w:rFonts w:ascii="Arial" w:hAnsi="Arial" w:cs="Arial" w:eastAsia="Arial" w:hint="default"/>
          <w:spacing w:val="-1"/>
        </w:rPr>
        <w:t>5,000,000</w:t>
      </w:r>
    </w:p>
    <w:p>
      <w:pPr>
        <w:pStyle w:val="BodyText"/>
        <w:spacing w:line="237" w:lineRule="exact"/>
        <w:ind w:left="838" w:right="0"/>
        <w:jc w:val="left"/>
      </w:pPr>
      <w:r>
        <w:rPr>
          <w:spacing w:val="9"/>
        </w:rPr>
        <w:t>北京贯能管理技术服务</w:t>
      </w:r>
      <w:r>
        <w:rPr/>
      </w:r>
    </w:p>
    <w:p>
      <w:pPr>
        <w:pStyle w:val="BodyText"/>
        <w:tabs>
          <w:tab w:pos="3016" w:val="left" w:leader="none"/>
          <w:tab w:pos="4173" w:val="left" w:leader="none"/>
          <w:tab w:pos="6097" w:val="left" w:leader="none"/>
          <w:tab w:pos="7217" w:val="left" w:leader="none"/>
          <w:tab w:pos="8335" w:val="left" w:leader="none"/>
        </w:tabs>
        <w:spacing w:line="251" w:lineRule="exact"/>
        <w:ind w:left="751" w:right="0"/>
        <w:jc w:val="center"/>
        <w:rPr>
          <w:rFonts w:ascii="Arial" w:hAnsi="Arial" w:cs="Arial" w:eastAsia="Arial" w:hint="default"/>
        </w:rPr>
      </w:pPr>
      <w:r>
        <w:rPr/>
        <w:t>有限公司</w:t>
        <w:tab/>
      </w:r>
      <w:r>
        <w:rPr>
          <w:rFonts w:ascii="Arial" w:hAnsi="Arial" w:cs="Arial" w:eastAsia="Arial" w:hint="default"/>
        </w:rPr>
        <w:t>20</w:t>
      </w:r>
      <w:r>
        <w:rPr/>
        <w:t>年</w:t>
        <w:tab/>
      </w:r>
      <w:r>
        <w:rPr>
          <w:rFonts w:ascii="Arial" w:hAnsi="Arial" w:cs="Arial" w:eastAsia="Arial" w:hint="default"/>
          <w:spacing w:val="-1"/>
        </w:rPr>
        <w:t>3,745,000</w:t>
      </w:r>
      <w:r>
        <w:rPr>
          <w:rFonts w:ascii="Arial" w:hAnsi="Arial" w:cs="Arial" w:eastAsia="Arial" w:hint="default"/>
          <w:spacing w:val="29"/>
        </w:rPr>
        <w:t> </w:t>
      </w:r>
      <w:r>
        <w:rPr/>
        <w:t>法人股</w:t>
        <w:tab/>
      </w:r>
      <w:r>
        <w:rPr>
          <w:rFonts w:ascii="Arial" w:hAnsi="Arial" w:cs="Arial" w:eastAsia="Arial" w:hint="default"/>
          <w:spacing w:val="-1"/>
        </w:rPr>
        <w:t>745,255</w:t>
        <w:tab/>
      </w:r>
      <w:r>
        <w:rPr>
          <w:rFonts w:ascii="Arial" w:hAnsi="Arial" w:cs="Arial" w:eastAsia="Arial" w:hint="default"/>
        </w:rPr>
        <w:t>19.90</w:t>
        <w:tab/>
      </w:r>
      <w:r>
        <w:rPr>
          <w:rFonts w:ascii="Arial" w:hAnsi="Arial" w:cs="Arial" w:eastAsia="Arial" w:hint="default"/>
          <w:spacing w:val="-1"/>
        </w:rPr>
        <w:t>4,000,000</w:t>
      </w:r>
    </w:p>
    <w:p>
      <w:pPr>
        <w:pStyle w:val="BodyText"/>
        <w:spacing w:line="246" w:lineRule="exact"/>
        <w:ind w:left="837" w:right="0"/>
        <w:jc w:val="left"/>
      </w:pPr>
      <w:r>
        <w:rPr>
          <w:spacing w:val="9"/>
        </w:rPr>
        <w:t>中企永联数据交换技术</w:t>
      </w:r>
      <w:r>
        <w:rPr/>
      </w:r>
    </w:p>
    <w:p>
      <w:pPr>
        <w:spacing w:line="240" w:lineRule="auto" w:before="1"/>
        <w:rPr>
          <w:rFonts w:ascii="黑体" w:hAnsi="黑体" w:cs="黑体" w:eastAsia="黑体" w:hint="default"/>
          <w:sz w:val="3"/>
          <w:szCs w:val="3"/>
        </w:rPr>
      </w:pPr>
    </w:p>
    <w:tbl>
      <w:tblPr>
        <w:tblW w:w="0" w:type="auto"/>
        <w:jc w:val="left"/>
        <w:tblInd w:w="802" w:type="dxa"/>
        <w:tblLayout w:type="fixed"/>
        <w:tblCellMar>
          <w:top w:w="0" w:type="dxa"/>
          <w:left w:w="0" w:type="dxa"/>
          <w:bottom w:w="0" w:type="dxa"/>
          <w:right w:w="0" w:type="dxa"/>
        </w:tblCellMar>
        <w:tblLook w:val="01E0"/>
      </w:tblPr>
      <w:tblGrid>
        <w:gridCol w:w="2310"/>
        <w:gridCol w:w="899"/>
        <w:gridCol w:w="1354"/>
        <w:gridCol w:w="734"/>
        <w:gridCol w:w="1180"/>
        <w:gridCol w:w="1008"/>
        <w:gridCol w:w="1234"/>
      </w:tblGrid>
      <w:tr>
        <w:trPr>
          <w:trHeight w:val="236" w:hRule="exact"/>
        </w:trPr>
        <w:tc>
          <w:tcPr>
            <w:tcW w:w="2310" w:type="dxa"/>
            <w:tcBorders>
              <w:top w:val="nil" w:sz="6" w:space="0" w:color="auto"/>
              <w:left w:val="nil" w:sz="6" w:space="0" w:color="auto"/>
              <w:bottom w:val="nil" w:sz="6" w:space="0" w:color="auto"/>
              <w:right w:val="nil" w:sz="6" w:space="0" w:color="auto"/>
            </w:tcBorders>
          </w:tcPr>
          <w:p>
            <w:pPr>
              <w:pStyle w:val="TableParagraph"/>
              <w:spacing w:line="205" w:lineRule="exact"/>
              <w:ind w:left="208" w:right="0"/>
              <w:jc w:val="left"/>
              <w:rPr>
                <w:rFonts w:ascii="黑体" w:hAnsi="黑体" w:cs="黑体" w:eastAsia="黑体" w:hint="default"/>
                <w:sz w:val="20"/>
                <w:szCs w:val="20"/>
              </w:rPr>
            </w:pPr>
            <w:r>
              <w:rPr>
                <w:rFonts w:ascii="黑体" w:hAnsi="黑体" w:cs="黑体" w:eastAsia="黑体" w:hint="default"/>
                <w:sz w:val="20"/>
                <w:szCs w:val="20"/>
              </w:rPr>
              <w:t>（北京）有限公司</w:t>
            </w:r>
          </w:p>
        </w:tc>
        <w:tc>
          <w:tcPr>
            <w:tcW w:w="899" w:type="dxa"/>
            <w:tcBorders>
              <w:top w:val="nil" w:sz="6" w:space="0" w:color="auto"/>
              <w:left w:val="nil" w:sz="6" w:space="0" w:color="auto"/>
              <w:bottom w:val="nil" w:sz="6" w:space="0" w:color="auto"/>
              <w:right w:val="nil" w:sz="6" w:space="0" w:color="auto"/>
            </w:tcBorders>
          </w:tcPr>
          <w:p>
            <w:pPr>
              <w:pStyle w:val="TableParagraph"/>
              <w:spacing w:line="219" w:lineRule="exact"/>
              <w:ind w:left="164" w:right="0"/>
              <w:jc w:val="left"/>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1354" w:type="dxa"/>
            <w:tcBorders>
              <w:top w:val="nil" w:sz="6" w:space="0" w:color="auto"/>
              <w:left w:val="nil" w:sz="6" w:space="0" w:color="auto"/>
              <w:bottom w:val="nil" w:sz="6" w:space="0" w:color="auto"/>
              <w:right w:val="nil" w:sz="6" w:space="0" w:color="auto"/>
            </w:tcBorders>
          </w:tcPr>
          <w:p>
            <w:pPr>
              <w:pStyle w:val="TableParagraph"/>
              <w:spacing w:line="218" w:lineRule="exact"/>
              <w:ind w:right="39"/>
              <w:jc w:val="right"/>
              <w:rPr>
                <w:rFonts w:ascii="Arial" w:hAnsi="Arial" w:cs="Arial" w:eastAsia="Arial" w:hint="default"/>
                <w:sz w:val="20"/>
                <w:szCs w:val="20"/>
              </w:rPr>
            </w:pPr>
            <w:r>
              <w:rPr>
                <w:rFonts w:ascii="Arial"/>
                <w:spacing w:val="-1"/>
                <w:sz w:val="20"/>
              </w:rPr>
              <w:t>12,620,000</w:t>
            </w:r>
          </w:p>
        </w:tc>
        <w:tc>
          <w:tcPr>
            <w:tcW w:w="734" w:type="dxa"/>
            <w:tcBorders>
              <w:top w:val="nil" w:sz="6" w:space="0" w:color="auto"/>
              <w:left w:val="nil" w:sz="6" w:space="0" w:color="auto"/>
              <w:bottom w:val="nil" w:sz="6" w:space="0" w:color="auto"/>
              <w:right w:val="nil" w:sz="6" w:space="0" w:color="auto"/>
            </w:tcBorders>
          </w:tcPr>
          <w:p>
            <w:pPr>
              <w:pStyle w:val="TableParagraph"/>
              <w:spacing w:line="205" w:lineRule="exact"/>
              <w:ind w:right="47"/>
              <w:jc w:val="center"/>
              <w:rPr>
                <w:rFonts w:ascii="黑体" w:hAnsi="黑体" w:cs="黑体" w:eastAsia="黑体" w:hint="default"/>
                <w:sz w:val="20"/>
                <w:szCs w:val="20"/>
              </w:rPr>
            </w:pPr>
            <w:r>
              <w:rPr>
                <w:rFonts w:ascii="黑体" w:hAnsi="黑体" w:cs="黑体" w:eastAsia="黑体" w:hint="default"/>
                <w:sz w:val="20"/>
                <w:szCs w:val="20"/>
              </w:rPr>
              <w:t>法人股</w:t>
            </w:r>
          </w:p>
        </w:tc>
        <w:tc>
          <w:tcPr>
            <w:tcW w:w="1180" w:type="dxa"/>
            <w:tcBorders>
              <w:top w:val="nil" w:sz="6" w:space="0" w:color="auto"/>
              <w:left w:val="nil" w:sz="6" w:space="0" w:color="auto"/>
              <w:bottom w:val="nil" w:sz="6" w:space="0" w:color="auto"/>
              <w:right w:val="nil" w:sz="6" w:space="0" w:color="auto"/>
            </w:tcBorders>
          </w:tcPr>
          <w:p>
            <w:pPr>
              <w:pStyle w:val="TableParagraph"/>
              <w:spacing w:line="218" w:lineRule="exact"/>
              <w:ind w:right="196"/>
              <w:jc w:val="right"/>
              <w:rPr>
                <w:rFonts w:ascii="Arial" w:hAnsi="Arial" w:cs="Arial" w:eastAsia="Arial" w:hint="default"/>
                <w:sz w:val="20"/>
                <w:szCs w:val="20"/>
              </w:rPr>
            </w:pPr>
            <w:r>
              <w:rPr>
                <w:rFonts w:ascii="Arial"/>
                <w:spacing w:val="-1"/>
                <w:sz w:val="20"/>
              </w:rPr>
              <w:t>2,500,022</w:t>
            </w:r>
          </w:p>
        </w:tc>
        <w:tc>
          <w:tcPr>
            <w:tcW w:w="1008" w:type="dxa"/>
            <w:tcBorders>
              <w:top w:val="nil" w:sz="6" w:space="0" w:color="auto"/>
              <w:left w:val="nil" w:sz="6" w:space="0" w:color="auto"/>
              <w:bottom w:val="nil" w:sz="6" w:space="0" w:color="auto"/>
              <w:right w:val="nil" w:sz="6" w:space="0" w:color="auto"/>
            </w:tcBorders>
          </w:tcPr>
          <w:p>
            <w:pPr>
              <w:pStyle w:val="TableParagraph"/>
              <w:spacing w:line="218" w:lineRule="exact"/>
              <w:ind w:right="305"/>
              <w:jc w:val="right"/>
              <w:rPr>
                <w:rFonts w:ascii="Arial" w:hAnsi="Arial" w:cs="Arial" w:eastAsia="Arial" w:hint="default"/>
                <w:sz w:val="20"/>
                <w:szCs w:val="20"/>
              </w:rPr>
            </w:pPr>
            <w:r>
              <w:rPr>
                <w:rFonts w:ascii="Arial"/>
                <w:sz w:val="20"/>
              </w:rPr>
              <w:t>19.81</w:t>
            </w:r>
          </w:p>
        </w:tc>
        <w:tc>
          <w:tcPr>
            <w:tcW w:w="1234" w:type="dxa"/>
            <w:tcBorders>
              <w:top w:val="nil" w:sz="6" w:space="0" w:color="auto"/>
              <w:left w:val="nil" w:sz="6" w:space="0" w:color="auto"/>
              <w:bottom w:val="nil" w:sz="6" w:space="0" w:color="auto"/>
              <w:right w:val="nil" w:sz="6" w:space="0" w:color="auto"/>
            </w:tcBorders>
          </w:tcPr>
          <w:p>
            <w:pPr>
              <w:pStyle w:val="TableParagraph"/>
              <w:spacing w:line="218" w:lineRule="exact"/>
              <w:ind w:right="33"/>
              <w:jc w:val="right"/>
              <w:rPr>
                <w:rFonts w:ascii="Arial" w:hAnsi="Arial" w:cs="Arial" w:eastAsia="Arial" w:hint="default"/>
                <w:sz w:val="20"/>
                <w:szCs w:val="20"/>
              </w:rPr>
            </w:pPr>
            <w:r>
              <w:rPr>
                <w:rFonts w:ascii="Arial"/>
                <w:spacing w:val="-1"/>
                <w:sz w:val="20"/>
              </w:rPr>
              <w:t>2,500,000</w:t>
            </w:r>
          </w:p>
        </w:tc>
      </w:tr>
      <w:tr>
        <w:trPr>
          <w:trHeight w:val="255" w:hRule="exact"/>
        </w:trPr>
        <w:tc>
          <w:tcPr>
            <w:tcW w:w="2310"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中科方德软件有限公司</w:t>
            </w:r>
          </w:p>
        </w:tc>
        <w:tc>
          <w:tcPr>
            <w:tcW w:w="899" w:type="dxa"/>
            <w:tcBorders>
              <w:top w:val="nil" w:sz="6" w:space="0" w:color="auto"/>
              <w:left w:val="nil" w:sz="6" w:space="0" w:color="auto"/>
              <w:bottom w:val="nil" w:sz="6" w:space="0" w:color="auto"/>
              <w:right w:val="nil" w:sz="6" w:space="0" w:color="auto"/>
            </w:tcBorders>
          </w:tcPr>
          <w:p>
            <w:pPr>
              <w:pStyle w:val="TableParagraph"/>
              <w:spacing w:line="237" w:lineRule="exact"/>
              <w:ind w:left="164" w:right="0"/>
              <w:jc w:val="left"/>
              <w:rPr>
                <w:rFonts w:ascii="黑体" w:hAnsi="黑体" w:cs="黑体" w:eastAsia="黑体" w:hint="default"/>
                <w:sz w:val="20"/>
                <w:szCs w:val="20"/>
              </w:rPr>
            </w:pPr>
            <w:r>
              <w:rPr>
                <w:rFonts w:ascii="Arial" w:hAnsi="Arial" w:cs="Arial" w:eastAsia="Arial" w:hint="default"/>
                <w:sz w:val="20"/>
                <w:szCs w:val="20"/>
              </w:rPr>
              <w:t>50</w:t>
            </w:r>
            <w:r>
              <w:rPr>
                <w:rFonts w:ascii="黑体" w:hAnsi="黑体" w:cs="黑体" w:eastAsia="黑体" w:hint="default"/>
                <w:sz w:val="20"/>
                <w:szCs w:val="20"/>
              </w:rPr>
              <w:t>年</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9"/>
              <w:jc w:val="right"/>
              <w:rPr>
                <w:rFonts w:ascii="Arial" w:hAnsi="Arial" w:cs="Arial" w:eastAsia="Arial" w:hint="default"/>
                <w:sz w:val="20"/>
                <w:szCs w:val="20"/>
              </w:rPr>
            </w:pPr>
            <w:r>
              <w:rPr>
                <w:rFonts w:ascii="Arial"/>
                <w:spacing w:val="-1"/>
                <w:sz w:val="20"/>
              </w:rPr>
              <w:t>52,000,000</w:t>
            </w:r>
          </w:p>
        </w:tc>
        <w:tc>
          <w:tcPr>
            <w:tcW w:w="734" w:type="dxa"/>
            <w:tcBorders>
              <w:top w:val="nil" w:sz="6" w:space="0" w:color="auto"/>
              <w:left w:val="nil" w:sz="6" w:space="0" w:color="auto"/>
              <w:bottom w:val="nil" w:sz="6" w:space="0" w:color="auto"/>
              <w:right w:val="nil" w:sz="6" w:space="0" w:color="auto"/>
            </w:tcBorders>
          </w:tcPr>
          <w:p>
            <w:pPr>
              <w:pStyle w:val="TableParagraph"/>
              <w:spacing w:line="223" w:lineRule="exact"/>
              <w:ind w:right="47"/>
              <w:jc w:val="center"/>
              <w:rPr>
                <w:rFonts w:ascii="黑体" w:hAnsi="黑体" w:cs="黑体" w:eastAsia="黑体" w:hint="default"/>
                <w:sz w:val="20"/>
                <w:szCs w:val="20"/>
              </w:rPr>
            </w:pPr>
            <w:r>
              <w:rPr>
                <w:rFonts w:ascii="黑体" w:hAnsi="黑体" w:cs="黑体" w:eastAsia="黑体" w:hint="default"/>
                <w:sz w:val="20"/>
                <w:szCs w:val="20"/>
              </w:rPr>
              <w:t>法人股</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96"/>
              <w:jc w:val="right"/>
              <w:rPr>
                <w:rFonts w:ascii="Arial" w:hAnsi="Arial" w:cs="Arial" w:eastAsia="Arial" w:hint="default"/>
                <w:sz w:val="20"/>
                <w:szCs w:val="20"/>
              </w:rPr>
            </w:pPr>
            <w:r>
              <w:rPr>
                <w:rFonts w:ascii="Arial"/>
                <w:spacing w:val="-1"/>
                <w:sz w:val="20"/>
              </w:rPr>
              <w:t>2,002,000</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05"/>
              <w:jc w:val="right"/>
              <w:rPr>
                <w:rFonts w:ascii="Arial" w:hAnsi="Arial" w:cs="Arial" w:eastAsia="Arial" w:hint="default"/>
                <w:sz w:val="20"/>
                <w:szCs w:val="20"/>
              </w:rPr>
            </w:pPr>
            <w:r>
              <w:rPr>
                <w:rFonts w:ascii="Arial"/>
                <w:sz w:val="20"/>
              </w:rPr>
              <w:t>3.85</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Arial" w:hAnsi="Arial" w:cs="Arial" w:eastAsia="Arial" w:hint="default"/>
                <w:sz w:val="20"/>
                <w:szCs w:val="20"/>
              </w:rPr>
            </w:pPr>
            <w:r>
              <w:rPr>
                <w:rFonts w:ascii="Arial"/>
                <w:spacing w:val="-1"/>
                <w:sz w:val="20"/>
              </w:rPr>
              <w:t>2,000,000</w:t>
            </w:r>
          </w:p>
        </w:tc>
      </w:tr>
      <w:tr>
        <w:trPr>
          <w:trHeight w:val="490" w:hRule="exact"/>
        </w:trPr>
        <w:tc>
          <w:tcPr>
            <w:tcW w:w="2310" w:type="dxa"/>
            <w:tcBorders>
              <w:top w:val="nil" w:sz="6" w:space="0" w:color="auto"/>
              <w:left w:val="nil" w:sz="6" w:space="0" w:color="auto"/>
              <w:bottom w:val="nil" w:sz="6" w:space="0" w:color="auto"/>
              <w:right w:val="nil" w:sz="6" w:space="0" w:color="auto"/>
            </w:tcBorders>
          </w:tcPr>
          <w:p>
            <w:pPr>
              <w:pStyle w:val="TableParagraph"/>
              <w:spacing w:line="244" w:lineRule="exact"/>
              <w:ind w:left="35" w:right="161"/>
              <w:jc w:val="left"/>
              <w:rPr>
                <w:rFonts w:ascii="黑体" w:hAnsi="黑体" w:cs="黑体" w:eastAsia="黑体" w:hint="default"/>
                <w:sz w:val="20"/>
                <w:szCs w:val="20"/>
              </w:rPr>
            </w:pPr>
            <w:r>
              <w:rPr>
                <w:rFonts w:ascii="黑体" w:hAnsi="黑体" w:cs="黑体" w:eastAsia="黑体" w:hint="default"/>
                <w:sz w:val="20"/>
                <w:szCs w:val="20"/>
              </w:rPr>
              <w:t>杭州优智软件有限公司</w:t>
            </w:r>
            <w:r>
              <w:rPr>
                <w:rFonts w:ascii="黑体" w:hAnsi="黑体" w:cs="黑体" w:eastAsia="黑体" w:hint="default"/>
                <w:w w:val="100"/>
                <w:sz w:val="20"/>
                <w:szCs w:val="20"/>
              </w:rPr>
              <w:t> </w:t>
            </w:r>
            <w:r>
              <w:rPr>
                <w:rFonts w:ascii="黑体" w:hAnsi="黑体" w:cs="黑体" w:eastAsia="黑体" w:hint="default"/>
                <w:spacing w:val="9"/>
                <w:sz w:val="20"/>
                <w:szCs w:val="20"/>
              </w:rPr>
              <w:t>北京汉普管理咨询有限</w:t>
            </w:r>
            <w:r>
              <w:rPr>
                <w:rFonts w:ascii="黑体" w:hAnsi="黑体" w:cs="黑体" w:eastAsia="黑体" w:hint="default"/>
                <w:sz w:val="20"/>
                <w:szCs w:val="20"/>
              </w:rPr>
            </w:r>
          </w:p>
        </w:tc>
        <w:tc>
          <w:tcPr>
            <w:tcW w:w="899" w:type="dxa"/>
            <w:tcBorders>
              <w:top w:val="nil" w:sz="6" w:space="0" w:color="auto"/>
              <w:left w:val="nil" w:sz="6" w:space="0" w:color="auto"/>
              <w:bottom w:val="nil" w:sz="6" w:space="0" w:color="auto"/>
              <w:right w:val="nil" w:sz="6" w:space="0" w:color="auto"/>
            </w:tcBorders>
          </w:tcPr>
          <w:p>
            <w:pPr>
              <w:pStyle w:val="TableParagraph"/>
              <w:spacing w:line="238" w:lineRule="exact"/>
              <w:ind w:left="164" w:right="0"/>
              <w:jc w:val="left"/>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9"/>
              <w:jc w:val="right"/>
              <w:rPr>
                <w:rFonts w:ascii="Arial" w:hAnsi="Arial" w:cs="Arial" w:eastAsia="Arial" w:hint="default"/>
                <w:sz w:val="20"/>
                <w:szCs w:val="20"/>
              </w:rPr>
            </w:pPr>
            <w:r>
              <w:rPr>
                <w:rFonts w:ascii="Arial"/>
                <w:spacing w:val="-1"/>
                <w:sz w:val="20"/>
              </w:rPr>
              <w:t>500,000</w:t>
            </w:r>
          </w:p>
        </w:tc>
        <w:tc>
          <w:tcPr>
            <w:tcW w:w="734" w:type="dxa"/>
            <w:tcBorders>
              <w:top w:val="nil" w:sz="6" w:space="0" w:color="auto"/>
              <w:left w:val="nil" w:sz="6" w:space="0" w:color="auto"/>
              <w:bottom w:val="nil" w:sz="6" w:space="0" w:color="auto"/>
              <w:right w:val="nil" w:sz="6" w:space="0" w:color="auto"/>
            </w:tcBorders>
          </w:tcPr>
          <w:p>
            <w:pPr>
              <w:pStyle w:val="TableParagraph"/>
              <w:spacing w:line="224" w:lineRule="exact"/>
              <w:ind w:right="48"/>
              <w:jc w:val="center"/>
              <w:rPr>
                <w:rFonts w:ascii="黑体" w:hAnsi="黑体" w:cs="黑体" w:eastAsia="黑体" w:hint="default"/>
                <w:sz w:val="20"/>
                <w:szCs w:val="20"/>
              </w:rPr>
            </w:pPr>
            <w:r>
              <w:rPr>
                <w:rFonts w:ascii="黑体" w:hAnsi="黑体" w:cs="黑体" w:eastAsia="黑体" w:hint="default"/>
                <w:sz w:val="20"/>
                <w:szCs w:val="20"/>
              </w:rPr>
              <w:t>法人股</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96"/>
              <w:jc w:val="right"/>
              <w:rPr>
                <w:rFonts w:ascii="Arial" w:hAnsi="Arial" w:cs="Arial" w:eastAsia="Arial" w:hint="default"/>
                <w:sz w:val="20"/>
                <w:szCs w:val="20"/>
              </w:rPr>
            </w:pPr>
            <w:r>
              <w:rPr>
                <w:rFonts w:ascii="Arial"/>
                <w:sz w:val="20"/>
              </w:rPr>
              <w:t>99,000</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06"/>
              <w:jc w:val="right"/>
              <w:rPr>
                <w:rFonts w:ascii="Arial" w:hAnsi="Arial" w:cs="Arial" w:eastAsia="Arial" w:hint="default"/>
                <w:sz w:val="20"/>
                <w:szCs w:val="20"/>
              </w:rPr>
            </w:pPr>
            <w:r>
              <w:rPr>
                <w:rFonts w:ascii="Arial"/>
                <w:sz w:val="20"/>
              </w:rPr>
              <w:t>19.80</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Arial" w:hAnsi="Arial" w:cs="Arial" w:eastAsia="Arial" w:hint="default"/>
                <w:sz w:val="20"/>
                <w:szCs w:val="20"/>
              </w:rPr>
            </w:pPr>
            <w:r>
              <w:rPr>
                <w:rFonts w:ascii="Arial"/>
                <w:spacing w:val="-1"/>
                <w:sz w:val="20"/>
              </w:rPr>
              <w:t>2,000,000</w:t>
            </w:r>
          </w:p>
        </w:tc>
      </w:tr>
      <w:tr>
        <w:trPr>
          <w:trHeight w:val="231" w:hRule="exact"/>
        </w:trPr>
        <w:tc>
          <w:tcPr>
            <w:tcW w:w="2310"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黑体" w:hAnsi="黑体" w:cs="黑体" w:eastAsia="黑体" w:hint="default"/>
                <w:sz w:val="20"/>
                <w:szCs w:val="20"/>
              </w:rPr>
            </w:pPr>
            <w:r>
              <w:rPr>
                <w:rFonts w:ascii="黑体" w:hAnsi="黑体" w:cs="黑体" w:eastAsia="黑体" w:hint="default"/>
                <w:sz w:val="20"/>
                <w:szCs w:val="20"/>
              </w:rPr>
              <w:t>公司</w:t>
            </w:r>
          </w:p>
        </w:tc>
        <w:tc>
          <w:tcPr>
            <w:tcW w:w="899" w:type="dxa"/>
            <w:tcBorders>
              <w:top w:val="nil" w:sz="6" w:space="0" w:color="auto"/>
              <w:left w:val="nil" w:sz="6" w:space="0" w:color="auto"/>
              <w:bottom w:val="nil" w:sz="6" w:space="0" w:color="auto"/>
              <w:right w:val="nil" w:sz="6" w:space="0" w:color="auto"/>
            </w:tcBorders>
          </w:tcPr>
          <w:p>
            <w:pPr>
              <w:pStyle w:val="TableParagraph"/>
              <w:spacing w:line="237" w:lineRule="exact"/>
              <w:ind w:left="163" w:right="0"/>
              <w:jc w:val="left"/>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9"/>
              <w:jc w:val="right"/>
              <w:rPr>
                <w:rFonts w:ascii="Arial" w:hAnsi="Arial" w:cs="Arial" w:eastAsia="Arial" w:hint="default"/>
                <w:sz w:val="20"/>
                <w:szCs w:val="20"/>
              </w:rPr>
            </w:pPr>
            <w:r>
              <w:rPr>
                <w:rFonts w:ascii="Arial"/>
                <w:spacing w:val="-1"/>
                <w:sz w:val="20"/>
              </w:rPr>
              <w:t>500,000</w:t>
            </w:r>
          </w:p>
        </w:tc>
        <w:tc>
          <w:tcPr>
            <w:tcW w:w="734" w:type="dxa"/>
            <w:tcBorders>
              <w:top w:val="nil" w:sz="6" w:space="0" w:color="auto"/>
              <w:left w:val="nil" w:sz="6" w:space="0" w:color="auto"/>
              <w:bottom w:val="nil" w:sz="6" w:space="0" w:color="auto"/>
              <w:right w:val="nil" w:sz="6" w:space="0" w:color="auto"/>
            </w:tcBorders>
          </w:tcPr>
          <w:p>
            <w:pPr>
              <w:pStyle w:val="TableParagraph"/>
              <w:spacing w:line="223" w:lineRule="exact"/>
              <w:ind w:right="48"/>
              <w:jc w:val="center"/>
              <w:rPr>
                <w:rFonts w:ascii="黑体" w:hAnsi="黑体" w:cs="黑体" w:eastAsia="黑体" w:hint="default"/>
                <w:sz w:val="20"/>
                <w:szCs w:val="20"/>
              </w:rPr>
            </w:pPr>
            <w:r>
              <w:rPr>
                <w:rFonts w:ascii="黑体" w:hAnsi="黑体" w:cs="黑体" w:eastAsia="黑体" w:hint="default"/>
                <w:sz w:val="20"/>
                <w:szCs w:val="20"/>
              </w:rPr>
              <w:t>法人股</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97"/>
              <w:jc w:val="right"/>
              <w:rPr>
                <w:rFonts w:ascii="Arial" w:hAnsi="Arial" w:cs="Arial" w:eastAsia="Arial" w:hint="default"/>
                <w:sz w:val="20"/>
                <w:szCs w:val="20"/>
              </w:rPr>
            </w:pPr>
            <w:r>
              <w:rPr>
                <w:rFonts w:ascii="Arial"/>
                <w:spacing w:val="-1"/>
                <w:sz w:val="20"/>
              </w:rPr>
              <w:t>100,000</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06"/>
              <w:jc w:val="right"/>
              <w:rPr>
                <w:rFonts w:ascii="Arial" w:hAnsi="Arial" w:cs="Arial" w:eastAsia="Arial" w:hint="default"/>
                <w:sz w:val="20"/>
                <w:szCs w:val="20"/>
              </w:rPr>
            </w:pPr>
            <w:r>
              <w:rPr>
                <w:rFonts w:ascii="Arial"/>
                <w:sz w:val="20"/>
              </w:rPr>
              <w:t>20.00</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4"/>
              <w:jc w:val="right"/>
              <w:rPr>
                <w:rFonts w:ascii="Arial" w:hAnsi="Arial" w:cs="Arial" w:eastAsia="Arial" w:hint="default"/>
                <w:sz w:val="20"/>
                <w:szCs w:val="20"/>
              </w:rPr>
            </w:pPr>
            <w:r>
              <w:rPr>
                <w:rFonts w:ascii="Arial"/>
                <w:spacing w:val="-1"/>
                <w:sz w:val="20"/>
              </w:rPr>
              <w:t>700,000</w:t>
            </w:r>
          </w:p>
        </w:tc>
      </w:tr>
    </w:tbl>
    <w:p>
      <w:pPr>
        <w:pStyle w:val="BodyText"/>
        <w:spacing w:line="226" w:lineRule="exact"/>
        <w:ind w:left="838" w:right="0"/>
        <w:jc w:val="left"/>
      </w:pPr>
      <w:r>
        <w:rPr>
          <w:spacing w:val="9"/>
        </w:rPr>
        <w:t>深圳市硕旺管理咨询有</w:t>
      </w:r>
      <w:r>
        <w:rPr/>
      </w:r>
    </w:p>
    <w:p>
      <w:pPr>
        <w:pStyle w:val="BodyText"/>
        <w:tabs>
          <w:tab w:pos="3276" w:val="left" w:leader="none"/>
          <w:tab w:pos="4433" w:val="left" w:leader="none"/>
          <w:tab w:pos="6356" w:val="left" w:leader="none"/>
          <w:tab w:pos="7589" w:val="left" w:leader="none"/>
          <w:tab w:pos="8761" w:val="left" w:leader="none"/>
        </w:tabs>
        <w:spacing w:line="251" w:lineRule="exact"/>
        <w:ind w:left="1011" w:right="0"/>
        <w:jc w:val="left"/>
        <w:rPr>
          <w:rFonts w:ascii="Arial" w:hAnsi="Arial" w:cs="Arial" w:eastAsia="Arial" w:hint="default"/>
        </w:rPr>
      </w:pPr>
      <w:r>
        <w:rPr/>
        <w:t>限公司</w:t>
        <w:tab/>
      </w:r>
      <w:r>
        <w:rPr>
          <w:rFonts w:ascii="Arial" w:hAnsi="Arial" w:cs="Arial" w:eastAsia="Arial" w:hint="default"/>
        </w:rPr>
        <w:t>10</w:t>
      </w:r>
      <w:r>
        <w:rPr/>
        <w:t>年</w:t>
        <w:tab/>
      </w:r>
      <w:r>
        <w:rPr>
          <w:rFonts w:ascii="Arial" w:hAnsi="Arial" w:cs="Arial" w:eastAsia="Arial" w:hint="default"/>
          <w:spacing w:val="-1"/>
        </w:rPr>
        <w:t>5,000,000</w:t>
      </w:r>
      <w:r>
        <w:rPr>
          <w:rFonts w:ascii="Arial" w:hAnsi="Arial" w:cs="Arial" w:eastAsia="Arial" w:hint="default"/>
          <w:spacing w:val="29"/>
        </w:rPr>
        <w:t> </w:t>
      </w:r>
      <w:r>
        <w:rPr/>
        <w:t>法人股</w:t>
        <w:tab/>
      </w:r>
      <w:r>
        <w:rPr>
          <w:rFonts w:ascii="Arial" w:hAnsi="Arial" w:cs="Arial" w:eastAsia="Arial" w:hint="default"/>
          <w:spacing w:val="-1"/>
        </w:rPr>
        <w:t>250,000</w:t>
        <w:tab/>
      </w:r>
      <w:r>
        <w:rPr>
          <w:rFonts w:ascii="Arial" w:hAnsi="Arial" w:cs="Arial" w:eastAsia="Arial" w:hint="default"/>
        </w:rPr>
        <w:t>5.00</w:t>
        <w:tab/>
      </w:r>
      <w:r>
        <w:rPr>
          <w:rFonts w:ascii="Arial" w:hAnsi="Arial" w:cs="Arial" w:eastAsia="Arial" w:hint="default"/>
          <w:spacing w:val="-1"/>
        </w:rPr>
        <w:t>250,000</w:t>
      </w:r>
    </w:p>
    <w:p>
      <w:pPr>
        <w:pStyle w:val="BodyText"/>
        <w:spacing w:line="237" w:lineRule="exact"/>
        <w:ind w:left="838" w:right="0"/>
        <w:jc w:val="left"/>
      </w:pPr>
      <w:r>
        <w:rPr>
          <w:spacing w:val="9"/>
        </w:rPr>
        <w:t>西安用友财务软件有限</w:t>
      </w:r>
      <w:r>
        <w:rPr/>
      </w:r>
    </w:p>
    <w:p>
      <w:pPr>
        <w:pStyle w:val="BodyText"/>
        <w:tabs>
          <w:tab w:pos="3276" w:val="left" w:leader="none"/>
          <w:tab w:pos="4600" w:val="left" w:leader="none"/>
          <w:tab w:pos="6467" w:val="left" w:leader="none"/>
          <w:tab w:pos="7477" w:val="left" w:leader="none"/>
          <w:tab w:pos="8871" w:val="left" w:leader="none"/>
        </w:tabs>
        <w:spacing w:line="252" w:lineRule="exact"/>
        <w:ind w:left="1010" w:right="0"/>
        <w:jc w:val="left"/>
        <w:rPr>
          <w:rFonts w:ascii="Arial" w:hAnsi="Arial" w:cs="Arial" w:eastAsia="Arial" w:hint="default"/>
        </w:rPr>
      </w:pPr>
      <w:r>
        <w:rPr/>
        <w:t>责任公司</w:t>
        <w:tab/>
      </w:r>
      <w:r>
        <w:rPr>
          <w:rFonts w:ascii="Arial" w:hAnsi="Arial" w:cs="Arial" w:eastAsia="Arial" w:hint="default"/>
        </w:rPr>
        <w:t>10</w:t>
      </w:r>
      <w:r>
        <w:rPr/>
        <w:t>年</w:t>
        <w:tab/>
      </w:r>
      <w:r>
        <w:rPr>
          <w:rFonts w:ascii="Arial" w:hAnsi="Arial" w:cs="Arial" w:eastAsia="Arial" w:hint="default"/>
        </w:rPr>
        <w:t>500,000</w:t>
      </w:r>
      <w:r>
        <w:rPr>
          <w:rFonts w:ascii="Arial" w:hAnsi="Arial" w:cs="Arial" w:eastAsia="Arial" w:hint="default"/>
          <w:spacing w:val="27"/>
        </w:rPr>
        <w:t> </w:t>
      </w:r>
      <w:r>
        <w:rPr/>
        <w:t>法人股</w:t>
        <w:tab/>
      </w:r>
      <w:r>
        <w:rPr>
          <w:rFonts w:ascii="Arial" w:hAnsi="Arial" w:cs="Arial" w:eastAsia="Arial" w:hint="default"/>
        </w:rPr>
        <w:t>90,000</w:t>
        <w:tab/>
        <w:t>18.00</w:t>
        <w:tab/>
        <w:t>90,000</w:t>
      </w:r>
    </w:p>
    <w:p>
      <w:pPr>
        <w:pStyle w:val="BodyText"/>
        <w:spacing w:line="238" w:lineRule="exact"/>
        <w:ind w:left="837" w:right="0"/>
        <w:jc w:val="left"/>
      </w:pPr>
      <w:r>
        <w:rPr>
          <w:spacing w:val="9"/>
        </w:rPr>
        <w:t>汕头巿用友软件有限公</w:t>
      </w:r>
      <w:r>
        <w:rPr/>
      </w:r>
    </w:p>
    <w:p>
      <w:pPr>
        <w:pStyle w:val="BodyText"/>
        <w:tabs>
          <w:tab w:pos="3276" w:val="left" w:leader="none"/>
          <w:tab w:pos="4599" w:val="left" w:leader="none"/>
          <w:tab w:pos="6466" w:val="left" w:leader="none"/>
          <w:tab w:pos="7477" w:val="left" w:leader="none"/>
          <w:tab w:pos="8871" w:val="left" w:leader="none"/>
        </w:tabs>
        <w:spacing w:line="251" w:lineRule="exact"/>
        <w:ind w:left="1010" w:right="0"/>
        <w:jc w:val="left"/>
        <w:rPr>
          <w:rFonts w:ascii="Arial" w:hAnsi="Arial" w:cs="Arial" w:eastAsia="Arial" w:hint="default"/>
        </w:rPr>
      </w:pPr>
      <w:r>
        <w:rPr/>
        <w:t>司</w:t>
        <w:tab/>
      </w:r>
      <w:r>
        <w:rPr>
          <w:rFonts w:ascii="Arial" w:hAnsi="Arial" w:cs="Arial" w:eastAsia="Arial" w:hint="default"/>
        </w:rPr>
        <w:t>10</w:t>
      </w:r>
      <w:r>
        <w:rPr/>
        <w:t>年</w:t>
        <w:tab/>
      </w:r>
      <w:r>
        <w:rPr>
          <w:rFonts w:ascii="Arial" w:hAnsi="Arial" w:cs="Arial" w:eastAsia="Arial" w:hint="default"/>
        </w:rPr>
        <w:t>300,000</w:t>
      </w:r>
      <w:r>
        <w:rPr>
          <w:rFonts w:ascii="Arial" w:hAnsi="Arial" w:cs="Arial" w:eastAsia="Arial" w:hint="default"/>
          <w:spacing w:val="27"/>
        </w:rPr>
        <w:t> </w:t>
      </w:r>
      <w:r>
        <w:rPr/>
        <w:t>法人股</w:t>
        <w:tab/>
      </w:r>
      <w:r>
        <w:rPr>
          <w:rFonts w:ascii="Arial" w:hAnsi="Arial" w:cs="Arial" w:eastAsia="Arial" w:hint="default"/>
        </w:rPr>
        <w:t>60,000</w:t>
        <w:tab/>
        <w:t>20.00</w:t>
        <w:tab/>
        <w:t>60,000</w:t>
      </w:r>
    </w:p>
    <w:p>
      <w:pPr>
        <w:pStyle w:val="BodyText"/>
        <w:spacing w:line="237" w:lineRule="exact"/>
        <w:ind w:left="837" w:right="0"/>
        <w:jc w:val="left"/>
      </w:pPr>
      <w:r>
        <w:rPr>
          <w:spacing w:val="9"/>
        </w:rPr>
        <w:t>用友医院管理软件有限</w:t>
      </w:r>
      <w:r>
        <w:rPr/>
      </w:r>
    </w:p>
    <w:p>
      <w:pPr>
        <w:pStyle w:val="BodyText"/>
        <w:tabs>
          <w:tab w:pos="3275" w:val="left" w:leader="none"/>
          <w:tab w:pos="4432" w:val="left" w:leader="none"/>
          <w:tab w:pos="6356" w:val="left" w:leader="none"/>
          <w:tab w:pos="7476" w:val="left" w:leader="none"/>
          <w:tab w:pos="8760" w:val="left" w:leader="none"/>
        </w:tabs>
        <w:spacing w:line="251" w:lineRule="exact"/>
        <w:ind w:left="1010" w:right="0"/>
        <w:jc w:val="left"/>
        <w:rPr>
          <w:rFonts w:ascii="Arial" w:hAnsi="Arial" w:cs="Arial" w:eastAsia="Arial" w:hint="default"/>
        </w:rPr>
      </w:pPr>
      <w:r>
        <w:rPr/>
        <w:t>公司</w:t>
        <w:tab/>
      </w:r>
      <w:r>
        <w:rPr>
          <w:rFonts w:ascii="Arial" w:hAnsi="Arial" w:cs="Arial" w:eastAsia="Arial" w:hint="default"/>
        </w:rPr>
        <w:t>20</w:t>
      </w:r>
      <w:r>
        <w:rPr/>
        <w:t>年</w:t>
        <w:tab/>
      </w:r>
      <w:r>
        <w:rPr>
          <w:rFonts w:ascii="Arial" w:hAnsi="Arial" w:cs="Arial" w:eastAsia="Arial" w:hint="default"/>
          <w:spacing w:val="-1"/>
        </w:rPr>
        <w:t>4,000,000</w:t>
      </w:r>
      <w:r>
        <w:rPr>
          <w:rFonts w:ascii="Arial" w:hAnsi="Arial" w:cs="Arial" w:eastAsia="Arial" w:hint="default"/>
          <w:spacing w:val="29"/>
        </w:rPr>
        <w:t> </w:t>
      </w:r>
      <w:r>
        <w:rPr/>
        <w:t>法人股</w:t>
        <w:tab/>
      </w:r>
      <w:r>
        <w:rPr>
          <w:rFonts w:ascii="Arial" w:hAnsi="Arial" w:cs="Arial" w:eastAsia="Arial" w:hint="default"/>
          <w:spacing w:val="-1"/>
        </w:rPr>
        <w:t>800,000</w:t>
        <w:tab/>
      </w:r>
      <w:r>
        <w:rPr>
          <w:rFonts w:ascii="Arial" w:hAnsi="Arial" w:cs="Arial" w:eastAsia="Arial" w:hint="default"/>
        </w:rPr>
        <w:t>20.00</w:t>
        <w:tab/>
      </w:r>
      <w:r>
        <w:rPr>
          <w:rFonts w:ascii="Arial" w:hAnsi="Arial" w:cs="Arial" w:eastAsia="Arial" w:hint="default"/>
          <w:spacing w:val="-1"/>
        </w:rPr>
        <w:t>445,831</w:t>
      </w:r>
    </w:p>
    <w:p>
      <w:pPr>
        <w:pStyle w:val="BodyText"/>
        <w:spacing w:line="246" w:lineRule="exact"/>
        <w:ind w:left="837" w:right="0"/>
        <w:jc w:val="left"/>
      </w:pPr>
      <w:r>
        <w:rPr>
          <w:spacing w:val="9"/>
        </w:rPr>
        <w:t>北京用友天创咨询有限</w:t>
      </w:r>
      <w:r>
        <w:rPr/>
      </w:r>
    </w:p>
    <w:p>
      <w:pPr>
        <w:spacing w:line="240" w:lineRule="auto" w:before="1"/>
        <w:rPr>
          <w:rFonts w:ascii="黑体" w:hAnsi="黑体" w:cs="黑体" w:eastAsia="黑体" w:hint="default"/>
          <w:sz w:val="3"/>
          <w:szCs w:val="3"/>
        </w:rPr>
      </w:pPr>
    </w:p>
    <w:tbl>
      <w:tblPr>
        <w:tblW w:w="0" w:type="auto"/>
        <w:jc w:val="left"/>
        <w:tblInd w:w="803" w:type="dxa"/>
        <w:tblLayout w:type="fixed"/>
        <w:tblCellMar>
          <w:top w:w="0" w:type="dxa"/>
          <w:left w:w="0" w:type="dxa"/>
          <w:bottom w:w="0" w:type="dxa"/>
          <w:right w:w="0" w:type="dxa"/>
        </w:tblCellMar>
        <w:tblLook w:val="01E0"/>
      </w:tblPr>
      <w:tblGrid>
        <w:gridCol w:w="2309"/>
        <w:gridCol w:w="954"/>
        <w:gridCol w:w="1298"/>
        <w:gridCol w:w="817"/>
        <w:gridCol w:w="1097"/>
        <w:gridCol w:w="909"/>
        <w:gridCol w:w="1444"/>
      </w:tblGrid>
      <w:tr>
        <w:trPr>
          <w:trHeight w:val="236" w:hRule="exact"/>
        </w:trPr>
        <w:tc>
          <w:tcPr>
            <w:tcW w:w="2309" w:type="dxa"/>
            <w:tcBorders>
              <w:top w:val="nil" w:sz="6" w:space="0" w:color="auto"/>
              <w:left w:val="nil" w:sz="6" w:space="0" w:color="auto"/>
              <w:bottom w:val="nil" w:sz="6" w:space="0" w:color="auto"/>
              <w:right w:val="nil" w:sz="6" w:space="0" w:color="auto"/>
            </w:tcBorders>
          </w:tcPr>
          <w:p>
            <w:pPr>
              <w:pStyle w:val="TableParagraph"/>
              <w:spacing w:line="204" w:lineRule="exact"/>
              <w:ind w:left="207" w:right="0"/>
              <w:jc w:val="left"/>
              <w:rPr>
                <w:rFonts w:ascii="黑体" w:hAnsi="黑体" w:cs="黑体" w:eastAsia="黑体" w:hint="default"/>
                <w:sz w:val="20"/>
                <w:szCs w:val="20"/>
              </w:rPr>
            </w:pPr>
            <w:r>
              <w:rPr>
                <w:rFonts w:ascii="黑体" w:hAnsi="黑体" w:cs="黑体" w:eastAsia="黑体" w:hint="default"/>
                <w:sz w:val="20"/>
                <w:szCs w:val="20"/>
              </w:rPr>
              <w:t>责任公司</w:t>
            </w:r>
          </w:p>
        </w:tc>
        <w:tc>
          <w:tcPr>
            <w:tcW w:w="954" w:type="dxa"/>
            <w:tcBorders>
              <w:top w:val="nil" w:sz="6" w:space="0" w:color="auto"/>
              <w:left w:val="nil" w:sz="6" w:space="0" w:color="auto"/>
              <w:bottom w:val="nil" w:sz="6" w:space="0" w:color="auto"/>
              <w:right w:val="nil" w:sz="6" w:space="0" w:color="auto"/>
            </w:tcBorders>
          </w:tcPr>
          <w:p>
            <w:pPr>
              <w:pStyle w:val="TableParagraph"/>
              <w:spacing w:line="219" w:lineRule="exact"/>
              <w:ind w:left="163" w:right="0"/>
              <w:jc w:val="left"/>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1298" w:type="dxa"/>
            <w:tcBorders>
              <w:top w:val="nil" w:sz="6" w:space="0" w:color="auto"/>
              <w:left w:val="nil" w:sz="6" w:space="0" w:color="auto"/>
              <w:bottom w:val="nil" w:sz="6" w:space="0" w:color="auto"/>
              <w:right w:val="nil" w:sz="6" w:space="0" w:color="auto"/>
            </w:tcBorders>
          </w:tcPr>
          <w:p>
            <w:pPr>
              <w:pStyle w:val="TableParagraph"/>
              <w:spacing w:line="218" w:lineRule="exact"/>
              <w:ind w:left="366" w:right="0"/>
              <w:jc w:val="left"/>
              <w:rPr>
                <w:rFonts w:ascii="Arial" w:hAnsi="Arial" w:cs="Arial" w:eastAsia="Arial" w:hint="default"/>
                <w:sz w:val="20"/>
                <w:szCs w:val="20"/>
              </w:rPr>
            </w:pPr>
            <w:r>
              <w:rPr>
                <w:rFonts w:ascii="Arial"/>
                <w:sz w:val="20"/>
              </w:rPr>
              <w:t>3,000,000</w:t>
            </w:r>
          </w:p>
        </w:tc>
        <w:tc>
          <w:tcPr>
            <w:tcW w:w="817" w:type="dxa"/>
            <w:tcBorders>
              <w:top w:val="nil" w:sz="6" w:space="0" w:color="auto"/>
              <w:left w:val="nil" w:sz="6" w:space="0" w:color="auto"/>
              <w:bottom w:val="nil" w:sz="6" w:space="0" w:color="auto"/>
              <w:right w:val="nil" w:sz="6" w:space="0" w:color="auto"/>
            </w:tcBorders>
          </w:tcPr>
          <w:p>
            <w:pPr>
              <w:pStyle w:val="TableParagraph"/>
              <w:spacing w:line="205" w:lineRule="exact"/>
              <w:ind w:left="41" w:right="0"/>
              <w:jc w:val="left"/>
              <w:rPr>
                <w:rFonts w:ascii="黑体" w:hAnsi="黑体" w:cs="黑体" w:eastAsia="黑体" w:hint="default"/>
                <w:sz w:val="20"/>
                <w:szCs w:val="20"/>
              </w:rPr>
            </w:pPr>
            <w:r>
              <w:rPr>
                <w:rFonts w:ascii="黑体" w:hAnsi="黑体" w:cs="黑体" w:eastAsia="黑体" w:hint="default"/>
                <w:sz w:val="20"/>
                <w:szCs w:val="20"/>
              </w:rPr>
              <w:t>法人股</w:t>
            </w:r>
          </w:p>
        </w:tc>
        <w:tc>
          <w:tcPr>
            <w:tcW w:w="1097" w:type="dxa"/>
            <w:tcBorders>
              <w:top w:val="nil" w:sz="6" w:space="0" w:color="auto"/>
              <w:left w:val="nil" w:sz="6" w:space="0" w:color="auto"/>
              <w:bottom w:val="nil" w:sz="6" w:space="0" w:color="auto"/>
              <w:right w:val="nil" w:sz="6" w:space="0" w:color="auto"/>
            </w:tcBorders>
          </w:tcPr>
          <w:p>
            <w:pPr>
              <w:pStyle w:val="TableParagraph"/>
              <w:spacing w:line="218" w:lineRule="exact"/>
              <w:ind w:left="174" w:right="0"/>
              <w:jc w:val="left"/>
              <w:rPr>
                <w:rFonts w:ascii="Arial" w:hAnsi="Arial" w:cs="Arial" w:eastAsia="Arial" w:hint="default"/>
                <w:sz w:val="20"/>
                <w:szCs w:val="20"/>
              </w:rPr>
            </w:pPr>
            <w:r>
              <w:rPr>
                <w:rFonts w:ascii="Arial"/>
                <w:sz w:val="20"/>
              </w:rPr>
              <w:t>594,000</w:t>
            </w:r>
          </w:p>
        </w:tc>
        <w:tc>
          <w:tcPr>
            <w:tcW w:w="909" w:type="dxa"/>
            <w:tcBorders>
              <w:top w:val="nil" w:sz="6" w:space="0" w:color="auto"/>
              <w:left w:val="nil" w:sz="6" w:space="0" w:color="auto"/>
              <w:bottom w:val="nil" w:sz="6" w:space="0" w:color="auto"/>
              <w:right w:val="nil" w:sz="6" w:space="0" w:color="auto"/>
            </w:tcBorders>
          </w:tcPr>
          <w:p>
            <w:pPr>
              <w:pStyle w:val="TableParagraph"/>
              <w:spacing w:line="218" w:lineRule="exact"/>
              <w:ind w:left="198" w:right="0"/>
              <w:jc w:val="left"/>
              <w:rPr>
                <w:rFonts w:ascii="Arial" w:hAnsi="Arial" w:cs="Arial" w:eastAsia="Arial" w:hint="default"/>
                <w:sz w:val="20"/>
                <w:szCs w:val="20"/>
              </w:rPr>
            </w:pPr>
            <w:r>
              <w:rPr>
                <w:rFonts w:ascii="Arial"/>
                <w:sz w:val="20"/>
              </w:rPr>
              <w:t>19.80</w:t>
            </w:r>
          </w:p>
        </w:tc>
        <w:tc>
          <w:tcPr>
            <w:tcW w:w="1444" w:type="dxa"/>
            <w:tcBorders>
              <w:top w:val="nil" w:sz="6" w:space="0" w:color="auto"/>
              <w:left w:val="nil" w:sz="6" w:space="0" w:color="auto"/>
              <w:bottom w:val="nil" w:sz="6" w:space="0" w:color="auto"/>
              <w:right w:val="nil" w:sz="6" w:space="0" w:color="auto"/>
            </w:tcBorders>
          </w:tcPr>
          <w:p>
            <w:pPr>
              <w:pStyle w:val="TableParagraph"/>
              <w:tabs>
                <w:tab w:pos="297" w:val="left" w:leader="none"/>
              </w:tabs>
              <w:spacing w:line="218" w:lineRule="exact"/>
              <w:ind w:right="14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594,000</w:t>
            </w:r>
            <w:r>
              <w:rPr>
                <w:rFonts w:ascii="Arial"/>
                <w:sz w:val="20"/>
              </w:rPr>
            </w:r>
          </w:p>
        </w:tc>
      </w:tr>
      <w:tr>
        <w:trPr>
          <w:trHeight w:val="382" w:hRule="exact"/>
        </w:trPr>
        <w:tc>
          <w:tcPr>
            <w:tcW w:w="2309"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954"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nil" w:sz="6" w:space="0" w:color="auto"/>
            </w:tcBorders>
          </w:tcPr>
          <w:p>
            <w:pPr/>
          </w:p>
        </w:tc>
        <w:tc>
          <w:tcPr>
            <w:tcW w:w="817" w:type="dxa"/>
            <w:tcBorders>
              <w:top w:val="nil" w:sz="6" w:space="0" w:color="auto"/>
              <w:left w:val="nil" w:sz="6" w:space="0" w:color="auto"/>
              <w:bottom w:val="nil" w:sz="6" w:space="0" w:color="auto"/>
              <w:right w:val="nil" w:sz="6" w:space="0" w:color="auto"/>
            </w:tcBorders>
          </w:tcPr>
          <w:p>
            <w:pPr/>
          </w:p>
        </w:tc>
        <w:tc>
          <w:tcPr>
            <w:tcW w:w="1097" w:type="dxa"/>
            <w:tcBorders>
              <w:top w:val="nil" w:sz="6" w:space="0" w:color="auto"/>
              <w:left w:val="nil" w:sz="6" w:space="0" w:color="auto"/>
              <w:bottom w:val="nil" w:sz="6" w:space="0" w:color="auto"/>
              <w:right w:val="nil" w:sz="6" w:space="0" w:color="auto"/>
            </w:tcBorders>
          </w:tcPr>
          <w:p>
            <w:pPr/>
          </w:p>
        </w:tc>
        <w:tc>
          <w:tcPr>
            <w:tcW w:w="909"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3"/>
              <w:jc w:val="right"/>
              <w:rPr>
                <w:rFonts w:ascii="Arial" w:hAnsi="Arial" w:cs="Arial" w:eastAsia="Arial" w:hint="default"/>
                <w:sz w:val="20"/>
                <w:szCs w:val="20"/>
              </w:rPr>
            </w:pPr>
            <w:r>
              <w:rPr>
                <w:rFonts w:ascii="Arial"/>
                <w:w w:val="100"/>
                <w:sz w:val="20"/>
              </w:rPr>
            </w:r>
            <w:r>
              <w:rPr>
                <w:rFonts w:ascii="Arial"/>
                <w:spacing w:val="-1"/>
                <w:sz w:val="20"/>
                <w:u w:val="thick" w:color="000000"/>
              </w:rPr>
              <w:t>27,585,597</w:t>
            </w:r>
            <w:r>
              <w:rPr>
                <w:rFonts w:ascii="Arial"/>
                <w:spacing w:val="-1"/>
                <w:sz w:val="20"/>
              </w:rPr>
            </w:r>
          </w:p>
        </w:tc>
      </w:tr>
      <w:tr>
        <w:trPr>
          <w:trHeight w:val="378" w:hRule="exact"/>
        </w:trPr>
        <w:tc>
          <w:tcPr>
            <w:tcW w:w="2309"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黑体" w:hAnsi="黑体" w:cs="黑体" w:eastAsia="黑体" w:hint="default"/>
                <w:sz w:val="20"/>
                <w:szCs w:val="20"/>
              </w:rPr>
            </w:pPr>
            <w:r>
              <w:rPr>
                <w:rFonts w:ascii="黑体" w:hAnsi="黑体" w:cs="黑体" w:eastAsia="黑体" w:hint="default"/>
                <w:sz w:val="20"/>
                <w:szCs w:val="20"/>
              </w:rPr>
              <w:t>股权投资减值准备：</w:t>
            </w:r>
          </w:p>
        </w:tc>
        <w:tc>
          <w:tcPr>
            <w:tcW w:w="6519" w:type="dxa"/>
            <w:gridSpan w:val="6"/>
            <w:tcBorders>
              <w:top w:val="nil" w:sz="6" w:space="0" w:color="auto"/>
              <w:left w:val="nil" w:sz="6" w:space="0" w:color="auto"/>
              <w:bottom w:val="nil" w:sz="6" w:space="0" w:color="auto"/>
              <w:right w:val="nil" w:sz="6" w:space="0" w:color="auto"/>
            </w:tcBorders>
          </w:tcPr>
          <w:p>
            <w:pPr/>
          </w:p>
        </w:tc>
      </w:tr>
      <w:tr>
        <w:trPr>
          <w:trHeight w:val="254" w:hRule="exact"/>
        </w:trPr>
        <w:tc>
          <w:tcPr>
            <w:tcW w:w="2309" w:type="dxa"/>
            <w:tcBorders>
              <w:top w:val="nil" w:sz="6" w:space="0" w:color="auto"/>
              <w:left w:val="nil" w:sz="6" w:space="0" w:color="auto"/>
              <w:bottom w:val="nil" w:sz="6" w:space="0" w:color="auto"/>
              <w:right w:val="nil" w:sz="6" w:space="0" w:color="auto"/>
            </w:tcBorders>
          </w:tcPr>
          <w:p>
            <w:pPr>
              <w:pStyle w:val="TableParagraph"/>
              <w:spacing w:line="227" w:lineRule="exact"/>
              <w:ind w:left="35" w:right="0"/>
              <w:jc w:val="left"/>
              <w:rPr>
                <w:rFonts w:ascii="黑体" w:hAnsi="黑体" w:cs="黑体" w:eastAsia="黑体" w:hint="default"/>
                <w:sz w:val="20"/>
                <w:szCs w:val="20"/>
              </w:rPr>
            </w:pPr>
            <w:r>
              <w:rPr>
                <w:rFonts w:ascii="黑体" w:hAnsi="黑体" w:cs="黑体" w:eastAsia="黑体" w:hint="default"/>
                <w:sz w:val="20"/>
                <w:szCs w:val="20"/>
              </w:rPr>
              <w:t>联成互动</w:t>
            </w:r>
          </w:p>
        </w:tc>
        <w:tc>
          <w:tcPr>
            <w:tcW w:w="6519"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Arial" w:hAnsi="Arial" w:cs="Arial" w:eastAsia="Arial" w:hint="default"/>
                <w:sz w:val="20"/>
                <w:szCs w:val="20"/>
              </w:rPr>
            </w:pPr>
            <w:r>
              <w:rPr>
                <w:rFonts w:ascii="Arial"/>
                <w:sz w:val="20"/>
              </w:rPr>
              <w:t>(  5,330,000</w:t>
            </w:r>
            <w:r>
              <w:rPr>
                <w:rFonts w:ascii="Arial"/>
                <w:spacing w:val="-4"/>
                <w:sz w:val="20"/>
              </w:rPr>
              <w:t> </w:t>
            </w:r>
            <w:r>
              <w:rPr>
                <w:rFonts w:ascii="Arial"/>
                <w:sz w:val="20"/>
              </w:rPr>
              <w:t>)</w:t>
            </w:r>
          </w:p>
        </w:tc>
      </w:tr>
      <w:tr>
        <w:trPr>
          <w:trHeight w:val="240" w:hRule="exact"/>
        </w:trPr>
        <w:tc>
          <w:tcPr>
            <w:tcW w:w="2309" w:type="dxa"/>
            <w:tcBorders>
              <w:top w:val="nil" w:sz="6" w:space="0" w:color="auto"/>
              <w:left w:val="nil" w:sz="6" w:space="0" w:color="auto"/>
              <w:bottom w:val="nil" w:sz="6" w:space="0" w:color="auto"/>
              <w:right w:val="nil" w:sz="6" w:space="0" w:color="auto"/>
            </w:tcBorders>
          </w:tcPr>
          <w:p>
            <w:pPr>
              <w:pStyle w:val="TableParagraph"/>
              <w:spacing w:line="218" w:lineRule="exact"/>
              <w:ind w:left="35" w:right="0"/>
              <w:jc w:val="left"/>
              <w:rPr>
                <w:rFonts w:ascii="黑体" w:hAnsi="黑体" w:cs="黑体" w:eastAsia="黑体" w:hint="default"/>
                <w:sz w:val="20"/>
                <w:szCs w:val="20"/>
              </w:rPr>
            </w:pPr>
            <w:r>
              <w:rPr>
                <w:rFonts w:ascii="黑体" w:hAnsi="黑体" w:cs="黑体" w:eastAsia="黑体" w:hint="default"/>
                <w:spacing w:val="9"/>
                <w:sz w:val="20"/>
                <w:szCs w:val="20"/>
              </w:rPr>
              <w:t>北京贯能管理技术服务</w:t>
            </w:r>
            <w:r>
              <w:rPr>
                <w:rFonts w:ascii="黑体" w:hAnsi="黑体" w:cs="黑体" w:eastAsia="黑体" w:hint="default"/>
                <w:sz w:val="20"/>
                <w:szCs w:val="20"/>
              </w:rPr>
            </w:r>
          </w:p>
        </w:tc>
        <w:tc>
          <w:tcPr>
            <w:tcW w:w="6519" w:type="dxa"/>
            <w:gridSpan w:val="6"/>
            <w:tcBorders>
              <w:top w:val="nil" w:sz="6" w:space="0" w:color="auto"/>
              <w:left w:val="nil" w:sz="6" w:space="0" w:color="auto"/>
              <w:bottom w:val="nil" w:sz="6" w:space="0" w:color="auto"/>
              <w:right w:val="nil" w:sz="6" w:space="0" w:color="auto"/>
            </w:tcBorders>
          </w:tcPr>
          <w:p>
            <w:pPr/>
          </w:p>
        </w:tc>
      </w:tr>
      <w:tr>
        <w:trPr>
          <w:trHeight w:val="255" w:hRule="exact"/>
        </w:trPr>
        <w:tc>
          <w:tcPr>
            <w:tcW w:w="2309" w:type="dxa"/>
            <w:tcBorders>
              <w:top w:val="nil" w:sz="6" w:space="0" w:color="auto"/>
              <w:left w:val="nil" w:sz="6" w:space="0" w:color="auto"/>
              <w:bottom w:val="nil" w:sz="6" w:space="0" w:color="auto"/>
              <w:right w:val="nil" w:sz="6" w:space="0" w:color="auto"/>
            </w:tcBorders>
          </w:tcPr>
          <w:p>
            <w:pPr>
              <w:pStyle w:val="TableParagraph"/>
              <w:spacing w:line="222" w:lineRule="exact"/>
              <w:ind w:left="207" w:right="0"/>
              <w:jc w:val="left"/>
              <w:rPr>
                <w:rFonts w:ascii="黑体" w:hAnsi="黑体" w:cs="黑体" w:eastAsia="黑体" w:hint="default"/>
                <w:sz w:val="20"/>
                <w:szCs w:val="20"/>
              </w:rPr>
            </w:pPr>
            <w:r>
              <w:rPr>
                <w:rFonts w:ascii="黑体" w:hAnsi="黑体" w:cs="黑体" w:eastAsia="黑体" w:hint="default"/>
                <w:sz w:val="20"/>
                <w:szCs w:val="20"/>
              </w:rPr>
              <w:t>有限公司</w:t>
            </w:r>
          </w:p>
        </w:tc>
        <w:tc>
          <w:tcPr>
            <w:tcW w:w="6519"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Arial" w:hAnsi="Arial" w:cs="Arial" w:eastAsia="Arial" w:hint="default"/>
                <w:sz w:val="20"/>
                <w:szCs w:val="20"/>
              </w:rPr>
            </w:pPr>
            <w:r>
              <w:rPr>
                <w:rFonts w:ascii="Arial"/>
                <w:sz w:val="20"/>
              </w:rPr>
              <w:t>(  4,000,000</w:t>
            </w:r>
            <w:r>
              <w:rPr>
                <w:rFonts w:ascii="Arial"/>
                <w:spacing w:val="-3"/>
                <w:sz w:val="20"/>
              </w:rPr>
              <w:t> </w:t>
            </w:r>
            <w:r>
              <w:rPr>
                <w:rFonts w:ascii="Arial"/>
                <w:sz w:val="20"/>
              </w:rPr>
              <w:t>)</w:t>
            </w:r>
          </w:p>
        </w:tc>
      </w:tr>
      <w:tr>
        <w:trPr>
          <w:trHeight w:val="489" w:hRule="exact"/>
        </w:trPr>
        <w:tc>
          <w:tcPr>
            <w:tcW w:w="2309" w:type="dxa"/>
            <w:tcBorders>
              <w:top w:val="nil" w:sz="6" w:space="0" w:color="auto"/>
              <w:left w:val="nil" w:sz="6" w:space="0" w:color="auto"/>
              <w:bottom w:val="nil" w:sz="6" w:space="0" w:color="auto"/>
              <w:right w:val="nil" w:sz="6" w:space="0" w:color="auto"/>
            </w:tcBorders>
          </w:tcPr>
          <w:p>
            <w:pPr>
              <w:pStyle w:val="TableParagraph"/>
              <w:spacing w:line="244" w:lineRule="exact"/>
              <w:ind w:left="35" w:right="161"/>
              <w:jc w:val="left"/>
              <w:rPr>
                <w:rFonts w:ascii="黑体" w:hAnsi="黑体" w:cs="黑体" w:eastAsia="黑体" w:hint="default"/>
                <w:sz w:val="20"/>
                <w:szCs w:val="20"/>
              </w:rPr>
            </w:pPr>
            <w:r>
              <w:rPr>
                <w:rFonts w:ascii="黑体" w:hAnsi="黑体" w:cs="黑体" w:eastAsia="黑体" w:hint="default"/>
                <w:sz w:val="20"/>
                <w:szCs w:val="20"/>
              </w:rPr>
              <w:t>杭州优智软件有限公司</w:t>
            </w:r>
            <w:r>
              <w:rPr>
                <w:rFonts w:ascii="黑体" w:hAnsi="黑体" w:cs="黑体" w:eastAsia="黑体" w:hint="default"/>
                <w:w w:val="100"/>
                <w:sz w:val="20"/>
                <w:szCs w:val="20"/>
              </w:rPr>
              <w:t> </w:t>
            </w:r>
            <w:r>
              <w:rPr>
                <w:rFonts w:ascii="黑体" w:hAnsi="黑体" w:cs="黑体" w:eastAsia="黑体" w:hint="default"/>
                <w:spacing w:val="9"/>
                <w:sz w:val="20"/>
                <w:szCs w:val="20"/>
              </w:rPr>
              <w:t>北京汉普管理咨询有限</w:t>
            </w:r>
            <w:r>
              <w:rPr>
                <w:rFonts w:ascii="黑体" w:hAnsi="黑体" w:cs="黑体" w:eastAsia="黑体" w:hint="default"/>
                <w:sz w:val="20"/>
                <w:szCs w:val="20"/>
              </w:rPr>
            </w:r>
          </w:p>
        </w:tc>
        <w:tc>
          <w:tcPr>
            <w:tcW w:w="6519"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Arial" w:hAnsi="Arial" w:cs="Arial" w:eastAsia="Arial" w:hint="default"/>
                <w:sz w:val="20"/>
                <w:szCs w:val="20"/>
              </w:rPr>
            </w:pPr>
            <w:r>
              <w:rPr>
                <w:rFonts w:ascii="Arial"/>
                <w:sz w:val="20"/>
              </w:rPr>
              <w:t>(  2,000,000</w:t>
            </w:r>
            <w:r>
              <w:rPr>
                <w:rFonts w:ascii="Arial"/>
                <w:spacing w:val="-3"/>
                <w:sz w:val="20"/>
              </w:rPr>
              <w:t> </w:t>
            </w:r>
            <w:r>
              <w:rPr>
                <w:rFonts w:ascii="Arial"/>
                <w:sz w:val="20"/>
              </w:rPr>
              <w:t>)</w:t>
            </w:r>
          </w:p>
        </w:tc>
      </w:tr>
      <w:tr>
        <w:trPr>
          <w:trHeight w:val="231" w:hRule="exact"/>
        </w:trPr>
        <w:tc>
          <w:tcPr>
            <w:tcW w:w="2309"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黑体" w:hAnsi="黑体" w:cs="黑体" w:eastAsia="黑体" w:hint="default"/>
                <w:sz w:val="20"/>
                <w:szCs w:val="20"/>
              </w:rPr>
            </w:pPr>
            <w:r>
              <w:rPr>
                <w:rFonts w:ascii="黑体" w:hAnsi="黑体" w:cs="黑体" w:eastAsia="黑体" w:hint="default"/>
                <w:sz w:val="20"/>
                <w:szCs w:val="20"/>
              </w:rPr>
              <w:t>公司</w:t>
            </w:r>
          </w:p>
        </w:tc>
        <w:tc>
          <w:tcPr>
            <w:tcW w:w="6519" w:type="dxa"/>
            <w:gridSpan w:val="6"/>
            <w:tcBorders>
              <w:top w:val="nil" w:sz="6" w:space="0" w:color="auto"/>
              <w:left w:val="nil" w:sz="6" w:space="0" w:color="auto"/>
              <w:bottom w:val="nil" w:sz="6" w:space="0" w:color="auto"/>
              <w:right w:val="nil" w:sz="6" w:space="0" w:color="auto"/>
            </w:tcBorders>
          </w:tcPr>
          <w:p>
            <w:pPr>
              <w:pStyle w:val="TableParagraph"/>
              <w:tabs>
                <w:tab w:pos="365" w:val="left" w:leader="none"/>
              </w:tabs>
              <w:spacing w:line="240" w:lineRule="auto" w:before="5"/>
              <w:ind w:right="33"/>
              <w:jc w:val="right"/>
              <w:rPr>
                <w:rFonts w:ascii="Arial" w:hAnsi="Arial" w:cs="Arial" w:eastAsia="Arial" w:hint="default"/>
                <w:sz w:val="20"/>
                <w:szCs w:val="20"/>
              </w:rPr>
            </w:pPr>
            <w:r>
              <w:rPr>
                <w:rFonts w:ascii="Arial"/>
                <w:sz w:val="20"/>
              </w:rPr>
              <w:t>(</w:t>
              <w:tab/>
              <w:t>700,000</w:t>
            </w:r>
            <w:r>
              <w:rPr>
                <w:rFonts w:ascii="Arial"/>
                <w:spacing w:val="-13"/>
                <w:sz w:val="20"/>
              </w:rPr>
              <w:t> </w:t>
            </w:r>
            <w:r>
              <w:rPr>
                <w:rFonts w:ascii="Arial"/>
                <w:sz w:val="20"/>
              </w:rPr>
              <w:t>)</w:t>
            </w:r>
          </w:p>
        </w:tc>
      </w:tr>
    </w:tbl>
    <w:p>
      <w:pPr>
        <w:pStyle w:val="BodyText"/>
        <w:spacing w:line="227" w:lineRule="exact"/>
        <w:ind w:left="838" w:right="0"/>
        <w:jc w:val="left"/>
      </w:pPr>
      <w:r>
        <w:rPr>
          <w:spacing w:val="9"/>
        </w:rPr>
        <w:t>深圳市硕旺管理咨询有</w:t>
      </w:r>
      <w:r>
        <w:rPr/>
      </w:r>
    </w:p>
    <w:p>
      <w:pPr>
        <w:pStyle w:val="BodyText"/>
        <w:tabs>
          <w:tab w:pos="8395" w:val="left" w:leader="none"/>
          <w:tab w:pos="8761" w:val="left" w:leader="none"/>
        </w:tabs>
        <w:spacing w:line="251" w:lineRule="exact"/>
        <w:ind w:left="1011" w:right="0"/>
        <w:jc w:val="left"/>
        <w:rPr>
          <w:rFonts w:ascii="Arial" w:hAnsi="Arial" w:cs="Arial" w:eastAsia="Arial" w:hint="default"/>
        </w:rPr>
      </w:pPr>
      <w:r>
        <w:rPr/>
        <w:t>限公司</w:t>
        <w:tab/>
      </w:r>
      <w:r>
        <w:rPr>
          <w:rFonts w:ascii="Arial" w:hAnsi="Arial" w:cs="Arial" w:eastAsia="Arial" w:hint="default"/>
        </w:rPr>
        <w:t>(</w:t>
        <w:tab/>
        <w:t>250,000</w:t>
      </w:r>
      <w:r>
        <w:rPr>
          <w:rFonts w:ascii="Arial" w:hAnsi="Arial" w:cs="Arial" w:eastAsia="Arial" w:hint="default"/>
          <w:spacing w:val="-13"/>
        </w:rPr>
        <w:t> </w:t>
      </w:r>
      <w:r>
        <w:rPr>
          <w:rFonts w:ascii="Arial" w:hAnsi="Arial" w:cs="Arial" w:eastAsia="Arial" w:hint="default"/>
        </w:rPr>
        <w:t>)</w:t>
      </w:r>
    </w:p>
    <w:p>
      <w:pPr>
        <w:pStyle w:val="BodyText"/>
        <w:spacing w:line="237" w:lineRule="exact"/>
        <w:ind w:left="838" w:right="0"/>
        <w:jc w:val="left"/>
      </w:pPr>
      <w:r>
        <w:rPr>
          <w:spacing w:val="9"/>
        </w:rPr>
        <w:t>西安用友财务软件有限</w:t>
      </w:r>
      <w:r>
        <w:rPr/>
      </w:r>
    </w:p>
    <w:p>
      <w:pPr>
        <w:pStyle w:val="BodyText"/>
        <w:tabs>
          <w:tab w:pos="8406" w:val="left" w:leader="none"/>
          <w:tab w:pos="8872" w:val="left" w:leader="none"/>
        </w:tabs>
        <w:spacing w:line="252" w:lineRule="exact"/>
        <w:ind w:left="1011" w:right="0"/>
        <w:jc w:val="left"/>
        <w:rPr>
          <w:rFonts w:ascii="Arial" w:hAnsi="Arial" w:cs="Arial" w:eastAsia="Arial" w:hint="default"/>
        </w:rPr>
      </w:pPr>
      <w:r>
        <w:rPr/>
        <w:t>责任公司</w:t>
        <w:tab/>
      </w:r>
      <w:r>
        <w:rPr>
          <w:rFonts w:ascii="Arial" w:hAnsi="Arial" w:cs="Arial" w:eastAsia="Arial" w:hint="default"/>
        </w:rPr>
        <w:t>(</w:t>
        <w:tab/>
        <w:t>90,000</w:t>
      </w:r>
      <w:r>
        <w:rPr>
          <w:rFonts w:ascii="Arial" w:hAnsi="Arial" w:cs="Arial" w:eastAsia="Arial" w:hint="default"/>
          <w:spacing w:val="-12"/>
        </w:rPr>
        <w:t> </w:t>
      </w:r>
      <w:r>
        <w:rPr>
          <w:rFonts w:ascii="Arial" w:hAnsi="Arial" w:cs="Arial" w:eastAsia="Arial" w:hint="default"/>
        </w:rPr>
        <w:t>)</w:t>
      </w:r>
    </w:p>
    <w:p>
      <w:pPr>
        <w:pStyle w:val="BodyText"/>
        <w:spacing w:line="237" w:lineRule="exact"/>
        <w:ind w:left="838" w:right="0"/>
        <w:jc w:val="left"/>
      </w:pPr>
      <w:r>
        <w:rPr>
          <w:spacing w:val="9"/>
        </w:rPr>
        <w:t>汕头市用友软件有限公</w:t>
      </w:r>
      <w:r>
        <w:rPr/>
      </w:r>
    </w:p>
    <w:p>
      <w:pPr>
        <w:pStyle w:val="BodyText"/>
        <w:tabs>
          <w:tab w:pos="8406" w:val="left" w:leader="none"/>
          <w:tab w:pos="8872" w:val="left" w:leader="none"/>
        </w:tabs>
        <w:spacing w:line="267" w:lineRule="exact"/>
        <w:ind w:left="1011" w:right="0"/>
        <w:jc w:val="left"/>
        <w:rPr>
          <w:rFonts w:ascii="Arial" w:hAnsi="Arial" w:cs="Arial" w:eastAsia="Arial" w:hint="default"/>
        </w:rPr>
      </w:pPr>
      <w:r>
        <w:rPr/>
        <w:t>司</w:t>
        <w:tab/>
      </w:r>
      <w:r>
        <w:rPr>
          <w:rFonts w:ascii="Arial" w:hAnsi="Arial" w:cs="Arial" w:eastAsia="Arial" w:hint="default"/>
        </w:rPr>
        <w:t>(</w:t>
      </w:r>
      <w:r>
        <w:rPr>
          <w:rFonts w:ascii="Arial" w:hAnsi="Arial" w:cs="Arial" w:eastAsia="Arial" w:hint="default"/>
          <w:u w:val="single" w:color="000000"/>
        </w:rPr>
        <w:t> </w:t>
        <w:tab/>
        <w:t>60,000</w:t>
      </w:r>
      <w:r>
        <w:rPr>
          <w:rFonts w:ascii="Arial" w:hAnsi="Arial" w:cs="Arial" w:eastAsia="Arial" w:hint="default"/>
          <w:spacing w:val="-12"/>
          <w:u w:val="single" w:color="000000"/>
        </w:rPr>
        <w:t> </w:t>
      </w:r>
      <w:r>
        <w:rPr>
          <w:rFonts w:ascii="Arial" w:hAnsi="Arial" w:cs="Arial" w:eastAsia="Arial" w:hint="default"/>
          <w:spacing w:val="-12"/>
        </w:rPr>
      </w:r>
      <w:r>
        <w:rPr>
          <w:rFonts w:ascii="Arial" w:hAnsi="Arial" w:cs="Arial" w:eastAsia="Arial" w:hint="default"/>
        </w:rPr>
        <w:t>)</w:t>
      </w:r>
    </w:p>
    <w:p>
      <w:pPr>
        <w:pStyle w:val="BodyText"/>
        <w:spacing w:line="240" w:lineRule="auto" w:before="24"/>
        <w:ind w:left="0" w:right="146"/>
        <w:jc w:val="right"/>
        <w:rPr>
          <w:rFonts w:ascii="Arial" w:hAnsi="Arial" w:cs="Arial" w:eastAsia="Arial" w:hint="default"/>
        </w:rPr>
      </w:pPr>
      <w:r>
        <w:rPr>
          <w:rFonts w:ascii="Arial"/>
        </w:rPr>
        <w:t>(</w:t>
      </w:r>
      <w:r>
        <w:rPr>
          <w:rFonts w:ascii="Arial"/>
          <w:u w:val="thick" w:color="000000"/>
        </w:rPr>
        <w:t>12,430,000</w:t>
      </w:r>
      <w:r>
        <w:rPr>
          <w:rFonts w:ascii="Arial"/>
          <w:spacing w:val="-14"/>
          <w:u w:val="thick" w:color="000000"/>
        </w:rPr>
        <w:t> </w:t>
      </w:r>
      <w:r>
        <w:rPr>
          <w:rFonts w:ascii="Arial"/>
          <w:spacing w:val="-14"/>
        </w:rPr>
      </w:r>
      <w:r>
        <w:rPr>
          <w:rFonts w:ascii="Arial"/>
        </w:rPr>
        <w:t>)</w:t>
      </w:r>
    </w:p>
    <w:p>
      <w:pPr>
        <w:spacing w:after="0" w:line="240" w:lineRule="auto"/>
        <w:jc w:val="right"/>
        <w:rPr>
          <w:rFonts w:ascii="Arial" w:hAnsi="Arial" w:cs="Arial" w:eastAsia="Arial" w:hint="default"/>
        </w:rPr>
        <w:sectPr>
          <w:pgSz w:w="11910" w:h="16840"/>
          <w:pgMar w:header="958" w:footer="385" w:top="2560" w:bottom="580" w:left="1600" w:right="560"/>
        </w:sectPr>
      </w:pPr>
    </w:p>
    <w:p>
      <w:pPr>
        <w:spacing w:line="240" w:lineRule="auto" w:before="0"/>
        <w:rPr>
          <w:rFonts w:ascii="Arial" w:hAnsi="Arial" w:cs="Arial" w:eastAsia="Arial" w:hint="default"/>
          <w:sz w:val="20"/>
          <w:szCs w:val="20"/>
        </w:rPr>
      </w:pPr>
    </w:p>
    <w:p>
      <w:pPr>
        <w:spacing w:line="240" w:lineRule="auto" w:before="11"/>
        <w:rPr>
          <w:rFonts w:ascii="Arial" w:hAnsi="Arial" w:cs="Arial" w:eastAsia="Arial" w:hint="default"/>
          <w:sz w:val="18"/>
          <w:szCs w:val="18"/>
        </w:rPr>
      </w:pPr>
    </w:p>
    <w:p>
      <w:pPr>
        <w:spacing w:before="38"/>
        <w:ind w:left="101" w:right="2984"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5"/>
          <w:szCs w:val="15"/>
        </w:rPr>
      </w:pPr>
    </w:p>
    <w:p>
      <w:pPr>
        <w:tabs>
          <w:tab w:pos="768" w:val="left" w:leader="none"/>
        </w:tabs>
        <w:spacing w:before="0"/>
        <w:ind w:left="101" w:right="2984" w:firstLine="0"/>
        <w:jc w:val="left"/>
        <w:rPr>
          <w:rFonts w:ascii="黑体" w:hAnsi="黑体" w:cs="黑体" w:eastAsia="黑体" w:hint="default"/>
          <w:sz w:val="20"/>
          <w:szCs w:val="20"/>
        </w:rPr>
      </w:pPr>
      <w:r>
        <w:rPr>
          <w:rFonts w:ascii="Arial" w:hAnsi="Arial" w:cs="Arial" w:eastAsia="Arial" w:hint="default"/>
          <w:b/>
          <w:bCs/>
          <w:spacing w:val="-1"/>
          <w:sz w:val="20"/>
          <w:szCs w:val="20"/>
        </w:rPr>
        <w:t>9.</w:t>
        <w:tab/>
      </w:r>
      <w:r>
        <w:rPr>
          <w:rFonts w:ascii="黑体" w:hAnsi="黑体" w:cs="黑体" w:eastAsia="黑体" w:hint="default"/>
          <w:b/>
          <w:bCs/>
          <w:sz w:val="20"/>
          <w:szCs w:val="20"/>
        </w:rPr>
        <w:t>长期股权投资（续）</w:t>
      </w:r>
      <w:r>
        <w:rPr>
          <w:rFonts w:ascii="黑体" w:hAnsi="黑体" w:cs="黑体" w:eastAsia="黑体" w:hint="default"/>
          <w:sz w:val="20"/>
          <w:szCs w:val="20"/>
        </w:rPr>
      </w:r>
    </w:p>
    <w:p>
      <w:pPr>
        <w:spacing w:line="240" w:lineRule="auto" w:before="3"/>
        <w:rPr>
          <w:rFonts w:ascii="黑体" w:hAnsi="黑体" w:cs="黑体" w:eastAsia="黑体" w:hint="default"/>
          <w:b/>
          <w:bCs/>
          <w:sz w:val="15"/>
          <w:szCs w:val="15"/>
        </w:rPr>
      </w:pPr>
    </w:p>
    <w:p>
      <w:pPr>
        <w:pStyle w:val="BodyText"/>
        <w:spacing w:line="240" w:lineRule="auto"/>
        <w:ind w:right="2984"/>
        <w:jc w:val="left"/>
      </w:pPr>
      <w:r>
        <w:rPr>
          <w:rFonts w:ascii="Arial" w:hAnsi="Arial" w:cs="Arial" w:eastAsia="Arial" w:hint="default"/>
        </w:rPr>
        <w:t>(ii)  </w:t>
      </w:r>
      <w:r>
        <w:rPr>
          <w:rFonts w:ascii="Arial" w:hAnsi="Arial" w:cs="Arial" w:eastAsia="Arial" w:hint="default"/>
          <w:spacing w:val="28"/>
        </w:rPr>
        <w:t> </w:t>
      </w:r>
      <w:r>
        <w:rPr/>
        <w:t>按成本法核算的股权投资</w:t>
      </w:r>
      <w:r>
        <w:rPr>
          <w:rFonts w:ascii="Arial" w:hAnsi="Arial" w:cs="Arial" w:eastAsia="Arial" w:hint="default"/>
        </w:rPr>
        <w:t>-</w:t>
      </w:r>
      <w:r>
        <w:rPr/>
        <w:t>子公司</w:t>
      </w:r>
    </w:p>
    <w:p>
      <w:pPr>
        <w:spacing w:line="240" w:lineRule="auto" w:before="8"/>
        <w:rPr>
          <w:rFonts w:ascii="黑体" w:hAnsi="黑体" w:cs="黑体" w:eastAsia="黑体" w:hint="default"/>
          <w:sz w:val="13"/>
          <w:szCs w:val="13"/>
        </w:rPr>
      </w:pPr>
    </w:p>
    <w:tbl>
      <w:tblPr>
        <w:tblW w:w="0" w:type="auto"/>
        <w:jc w:val="left"/>
        <w:tblInd w:w="775" w:type="dxa"/>
        <w:tblLayout w:type="fixed"/>
        <w:tblCellMar>
          <w:top w:w="0" w:type="dxa"/>
          <w:left w:w="0" w:type="dxa"/>
          <w:bottom w:w="0" w:type="dxa"/>
          <w:right w:w="0" w:type="dxa"/>
        </w:tblCellMar>
        <w:tblLook w:val="01E0"/>
      </w:tblPr>
      <w:tblGrid>
        <w:gridCol w:w="2016"/>
        <w:gridCol w:w="909"/>
        <w:gridCol w:w="1240"/>
        <w:gridCol w:w="1188"/>
        <w:gridCol w:w="1094"/>
        <w:gridCol w:w="892"/>
        <w:gridCol w:w="1148"/>
        <w:gridCol w:w="500"/>
      </w:tblGrid>
      <w:tr>
        <w:trPr>
          <w:trHeight w:val="587"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66" w:lineRule="exact" w:before="38"/>
              <w:ind w:left="35"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p>
            <w:pPr>
              <w:pStyle w:val="TableParagraph"/>
              <w:spacing w:line="251" w:lineRule="exact"/>
              <w:ind w:left="35" w:right="0"/>
              <w:jc w:val="left"/>
              <w:rPr>
                <w:rFonts w:ascii="黑体" w:hAnsi="黑体" w:cs="黑体" w:eastAsia="黑体" w:hint="default"/>
                <w:sz w:val="20"/>
                <w:szCs w:val="20"/>
              </w:rPr>
            </w:pPr>
            <w:r>
              <w:rPr>
                <w:rFonts w:ascii="黑体" w:hAnsi="黑体" w:cs="黑体" w:eastAsia="黑体" w:hint="default"/>
                <w:sz w:val="20"/>
                <w:szCs w:val="20"/>
              </w:rPr>
              <w:t>公司名称</w:t>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22"/>
                <w:szCs w:val="22"/>
              </w:rPr>
            </w:pPr>
          </w:p>
          <w:p>
            <w:pPr>
              <w:pStyle w:val="TableParagraph"/>
              <w:spacing w:line="240" w:lineRule="auto"/>
              <w:ind w:left="6" w:right="0"/>
              <w:jc w:val="center"/>
              <w:rPr>
                <w:rFonts w:ascii="黑体" w:hAnsi="黑体" w:cs="黑体" w:eastAsia="黑体" w:hint="default"/>
                <w:sz w:val="20"/>
                <w:szCs w:val="20"/>
              </w:rPr>
            </w:pPr>
            <w:r>
              <w:rPr>
                <w:rFonts w:ascii="黑体" w:hAnsi="黑体" w:cs="黑体" w:eastAsia="黑体" w:hint="default"/>
                <w:sz w:val="20"/>
                <w:szCs w:val="20"/>
              </w:rPr>
              <w:t>投资期限</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22"/>
                <w:szCs w:val="22"/>
              </w:rPr>
            </w:pPr>
          </w:p>
          <w:p>
            <w:pPr>
              <w:pStyle w:val="TableParagraph"/>
              <w:spacing w:line="240" w:lineRule="auto"/>
              <w:ind w:right="75"/>
              <w:jc w:val="right"/>
              <w:rPr>
                <w:rFonts w:ascii="Arial" w:hAnsi="Arial" w:cs="Arial" w:eastAsia="Arial" w:hint="default"/>
                <w:sz w:val="20"/>
                <w:szCs w:val="20"/>
              </w:rPr>
            </w:pPr>
            <w:r>
              <w:rPr>
                <w:rFonts w:ascii="黑体" w:hAnsi="黑体" w:cs="黑体" w:eastAsia="黑体" w:hint="default"/>
                <w:spacing w:val="-1"/>
                <w:sz w:val="20"/>
                <w:szCs w:val="20"/>
              </w:rPr>
              <w:t>投资比例</w:t>
            </w:r>
            <w:r>
              <w:rPr>
                <w:rFonts w:ascii="Arial" w:hAnsi="Arial" w:cs="Arial" w:eastAsia="Arial" w:hint="default"/>
                <w:spacing w:val="-1"/>
                <w:sz w:val="20"/>
                <w:szCs w:val="20"/>
              </w:rPr>
              <w:t>(%)</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22"/>
                <w:szCs w:val="22"/>
              </w:rPr>
            </w:pPr>
          </w:p>
          <w:p>
            <w:pPr>
              <w:pStyle w:val="TableParagraph"/>
              <w:spacing w:line="240" w:lineRule="auto"/>
              <w:ind w:right="64"/>
              <w:jc w:val="right"/>
              <w:rPr>
                <w:rFonts w:ascii="黑体" w:hAnsi="黑体" w:cs="黑体" w:eastAsia="黑体" w:hint="default"/>
                <w:sz w:val="20"/>
                <w:szCs w:val="20"/>
              </w:rPr>
            </w:pPr>
            <w:r>
              <w:rPr>
                <w:rFonts w:ascii="黑体" w:hAnsi="黑体" w:cs="黑体" w:eastAsia="黑体" w:hint="default"/>
                <w:sz w:val="20"/>
                <w:szCs w:val="20"/>
              </w:rPr>
              <w:t>年初余额</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22"/>
                <w:szCs w:val="22"/>
              </w:rPr>
            </w:pPr>
          </w:p>
          <w:p>
            <w:pPr>
              <w:pStyle w:val="TableParagraph"/>
              <w:spacing w:line="240" w:lineRule="auto"/>
              <w:ind w:right="24"/>
              <w:jc w:val="right"/>
              <w:rPr>
                <w:rFonts w:ascii="黑体" w:hAnsi="黑体" w:cs="黑体" w:eastAsia="黑体" w:hint="default"/>
                <w:sz w:val="20"/>
                <w:szCs w:val="20"/>
              </w:rPr>
            </w:pPr>
            <w:r>
              <w:rPr>
                <w:rFonts w:ascii="黑体" w:hAnsi="黑体" w:cs="黑体" w:eastAsia="黑体" w:hint="default"/>
                <w:sz w:val="20"/>
                <w:szCs w:val="20"/>
              </w:rPr>
              <w:t>本年增加</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22"/>
                <w:szCs w:val="22"/>
              </w:rPr>
            </w:pPr>
          </w:p>
          <w:p>
            <w:pPr>
              <w:pStyle w:val="TableParagraph"/>
              <w:spacing w:line="240" w:lineRule="auto"/>
              <w:ind w:right="63"/>
              <w:jc w:val="right"/>
              <w:rPr>
                <w:rFonts w:ascii="黑体" w:hAnsi="黑体" w:cs="黑体" w:eastAsia="黑体" w:hint="default"/>
                <w:sz w:val="20"/>
                <w:szCs w:val="20"/>
              </w:rPr>
            </w:pPr>
            <w:r>
              <w:rPr>
                <w:rFonts w:ascii="黑体" w:hAnsi="黑体" w:cs="黑体" w:eastAsia="黑体" w:hint="default"/>
                <w:sz w:val="20"/>
                <w:szCs w:val="20"/>
              </w:rPr>
              <w:t>本年减少</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22"/>
                <w:szCs w:val="22"/>
              </w:rPr>
            </w:pPr>
          </w:p>
          <w:p>
            <w:pPr>
              <w:pStyle w:val="TableParagraph"/>
              <w:spacing w:line="240" w:lineRule="auto"/>
              <w:ind w:right="77"/>
              <w:jc w:val="right"/>
              <w:rPr>
                <w:rFonts w:ascii="黑体" w:hAnsi="黑体" w:cs="黑体" w:eastAsia="黑体" w:hint="default"/>
                <w:sz w:val="20"/>
                <w:szCs w:val="20"/>
              </w:rPr>
            </w:pPr>
            <w:r>
              <w:rPr>
                <w:rFonts w:ascii="黑体" w:hAnsi="黑体" w:cs="黑体" w:eastAsia="黑体" w:hint="default"/>
                <w:sz w:val="20"/>
                <w:szCs w:val="20"/>
              </w:rPr>
              <w:t>年末余额</w:t>
            </w:r>
          </w:p>
        </w:tc>
        <w:tc>
          <w:tcPr>
            <w:tcW w:w="500" w:type="dxa"/>
            <w:vMerge w:val="restart"/>
            <w:tcBorders>
              <w:top w:val="nil" w:sz="6" w:space="0" w:color="auto"/>
              <w:left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重庆用友</w:t>
            </w:r>
          </w:p>
        </w:tc>
        <w:tc>
          <w:tcPr>
            <w:tcW w:w="909" w:type="dxa"/>
            <w:tcBorders>
              <w:top w:val="nil" w:sz="6" w:space="0" w:color="auto"/>
              <w:left w:val="nil" w:sz="6" w:space="0" w:color="auto"/>
              <w:bottom w:val="nil" w:sz="6" w:space="0" w:color="auto"/>
              <w:right w:val="nil" w:sz="6" w:space="0" w:color="auto"/>
            </w:tcBorders>
          </w:tcPr>
          <w:p>
            <w:pPr>
              <w:pStyle w:val="TableParagraph"/>
              <w:spacing w:line="223" w:lineRule="exact"/>
              <w:ind w:left="7" w:right="0"/>
              <w:jc w:val="center"/>
              <w:rPr>
                <w:rFonts w:ascii="黑体" w:hAnsi="黑体" w:cs="黑体" w:eastAsia="黑体" w:hint="default"/>
                <w:sz w:val="20"/>
                <w:szCs w:val="20"/>
              </w:rPr>
            </w:pPr>
            <w:r>
              <w:rPr>
                <w:rFonts w:ascii="黑体" w:hAnsi="黑体" w:cs="黑体" w:eastAsia="黑体" w:hint="default"/>
                <w:sz w:val="20"/>
                <w:szCs w:val="20"/>
              </w:rPr>
              <w:t>长期</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6"/>
              <w:jc w:val="right"/>
              <w:rPr>
                <w:rFonts w:ascii="Arial" w:hAnsi="Arial" w:cs="Arial" w:eastAsia="Arial" w:hint="default"/>
                <w:sz w:val="20"/>
                <w:szCs w:val="20"/>
              </w:rPr>
            </w:pPr>
            <w:r>
              <w:rPr>
                <w:rFonts w:ascii="Arial"/>
                <w:sz w:val="20"/>
              </w:rPr>
              <w:t>81.88</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675,000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spacing w:val="-1"/>
                <w:sz w:val="20"/>
              </w:rPr>
              <w:t>675,000</w:t>
            </w:r>
          </w:p>
        </w:tc>
        <w:tc>
          <w:tcPr>
            <w:tcW w:w="500" w:type="dxa"/>
            <w:vMerge/>
            <w:tcBorders>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深圳灏麓梵</w:t>
            </w:r>
          </w:p>
        </w:tc>
        <w:tc>
          <w:tcPr>
            <w:tcW w:w="909" w:type="dxa"/>
            <w:tcBorders>
              <w:top w:val="nil" w:sz="6" w:space="0" w:color="auto"/>
              <w:left w:val="nil" w:sz="6" w:space="0" w:color="auto"/>
              <w:bottom w:val="nil" w:sz="6" w:space="0" w:color="auto"/>
              <w:right w:val="nil" w:sz="6" w:space="0" w:color="auto"/>
            </w:tcBorders>
          </w:tcPr>
          <w:p>
            <w:pPr>
              <w:pStyle w:val="TableParagraph"/>
              <w:spacing w:line="238" w:lineRule="exact"/>
              <w:ind w:left="7" w:right="0"/>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z w:val="20"/>
              </w:rPr>
              <w:t>100.00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900,000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spacing w:val="-1"/>
                <w:sz w:val="20"/>
              </w:rPr>
              <w:t>100,000</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1,000,000</w:t>
            </w:r>
          </w:p>
        </w:tc>
        <w:tc>
          <w:tcPr>
            <w:tcW w:w="500" w:type="dxa"/>
            <w:tcBorders>
              <w:top w:val="nil" w:sz="6" w:space="0" w:color="auto"/>
              <w:left w:val="nil" w:sz="6" w:space="0" w:color="auto"/>
              <w:bottom w:val="nil" w:sz="6" w:space="0" w:color="auto"/>
              <w:right w:val="nil" w:sz="6" w:space="0" w:color="auto"/>
            </w:tcBorders>
          </w:tcPr>
          <w:p>
            <w:pPr>
              <w:pStyle w:val="TableParagraph"/>
              <w:spacing w:line="238" w:lineRule="exact"/>
              <w:ind w:right="12"/>
              <w:jc w:val="center"/>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武汉用友</w:t>
            </w:r>
          </w:p>
        </w:tc>
        <w:tc>
          <w:tcPr>
            <w:tcW w:w="909" w:type="dxa"/>
            <w:tcBorders>
              <w:top w:val="nil" w:sz="6" w:space="0" w:color="auto"/>
              <w:left w:val="nil" w:sz="6" w:space="0" w:color="auto"/>
              <w:bottom w:val="nil" w:sz="6" w:space="0" w:color="auto"/>
              <w:right w:val="nil" w:sz="6" w:space="0" w:color="auto"/>
            </w:tcBorders>
          </w:tcPr>
          <w:p>
            <w:pPr>
              <w:pStyle w:val="TableParagraph"/>
              <w:spacing w:line="237" w:lineRule="exact"/>
              <w:ind w:left="7" w:right="0"/>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z w:val="20"/>
              </w:rPr>
              <w:t>95.00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1,470,000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1,470,000</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广东用友</w:t>
            </w:r>
          </w:p>
        </w:tc>
        <w:tc>
          <w:tcPr>
            <w:tcW w:w="909" w:type="dxa"/>
            <w:tcBorders>
              <w:top w:val="nil" w:sz="6" w:space="0" w:color="auto"/>
              <w:left w:val="nil" w:sz="6" w:space="0" w:color="auto"/>
              <w:bottom w:val="nil" w:sz="6" w:space="0" w:color="auto"/>
              <w:right w:val="nil" w:sz="6" w:space="0" w:color="auto"/>
            </w:tcBorders>
          </w:tcPr>
          <w:p>
            <w:pPr>
              <w:pStyle w:val="TableParagraph"/>
              <w:spacing w:line="238" w:lineRule="exact"/>
              <w:ind w:left="7" w:right="0"/>
              <w:jc w:val="center"/>
              <w:rPr>
                <w:rFonts w:ascii="黑体" w:hAnsi="黑体" w:cs="黑体" w:eastAsia="黑体" w:hint="default"/>
                <w:sz w:val="20"/>
                <w:szCs w:val="20"/>
              </w:rPr>
            </w:pPr>
            <w:r>
              <w:rPr>
                <w:rFonts w:ascii="Arial" w:hAnsi="Arial" w:cs="Arial" w:eastAsia="Arial" w:hint="default"/>
                <w:sz w:val="20"/>
                <w:szCs w:val="20"/>
              </w:rPr>
              <w:t>17</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sz w:val="20"/>
              </w:rPr>
              <w:t>90.00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7,890,000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7,890,000</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天津用友</w:t>
            </w:r>
          </w:p>
        </w:tc>
        <w:tc>
          <w:tcPr>
            <w:tcW w:w="909" w:type="dxa"/>
            <w:tcBorders>
              <w:top w:val="nil" w:sz="6" w:space="0" w:color="auto"/>
              <w:left w:val="nil" w:sz="6" w:space="0" w:color="auto"/>
              <w:bottom w:val="nil" w:sz="6" w:space="0" w:color="auto"/>
              <w:right w:val="nil" w:sz="6" w:space="0" w:color="auto"/>
            </w:tcBorders>
          </w:tcPr>
          <w:p>
            <w:pPr>
              <w:pStyle w:val="TableParagraph"/>
              <w:spacing w:line="237" w:lineRule="exact"/>
              <w:ind w:left="7" w:right="0"/>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sz w:val="20"/>
              </w:rPr>
              <w:t>90.00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2,970,000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2,970,000</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安徽用友</w:t>
            </w:r>
          </w:p>
        </w:tc>
        <w:tc>
          <w:tcPr>
            <w:tcW w:w="909" w:type="dxa"/>
            <w:tcBorders>
              <w:top w:val="nil" w:sz="6" w:space="0" w:color="auto"/>
              <w:left w:val="nil" w:sz="6" w:space="0" w:color="auto"/>
              <w:bottom w:val="nil" w:sz="6" w:space="0" w:color="auto"/>
              <w:right w:val="nil" w:sz="6" w:space="0" w:color="auto"/>
            </w:tcBorders>
          </w:tcPr>
          <w:p>
            <w:pPr>
              <w:pStyle w:val="TableParagraph"/>
              <w:spacing w:line="238" w:lineRule="exact"/>
              <w:ind w:left="6" w:right="0"/>
              <w:jc w:val="center"/>
              <w:rPr>
                <w:rFonts w:ascii="黑体" w:hAnsi="黑体" w:cs="黑体" w:eastAsia="黑体" w:hint="default"/>
                <w:sz w:val="20"/>
                <w:szCs w:val="20"/>
              </w:rPr>
            </w:pPr>
            <w:r>
              <w:rPr>
                <w:rFonts w:ascii="Arial" w:hAnsi="Arial" w:cs="Arial" w:eastAsia="Arial" w:hint="default"/>
                <w:sz w:val="20"/>
                <w:szCs w:val="20"/>
              </w:rPr>
              <w:t>7</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6"/>
              <w:jc w:val="right"/>
              <w:rPr>
                <w:rFonts w:ascii="Arial" w:hAnsi="Arial" w:cs="Arial" w:eastAsia="Arial" w:hint="default"/>
                <w:sz w:val="20"/>
                <w:szCs w:val="20"/>
              </w:rPr>
            </w:pPr>
            <w:r>
              <w:rPr>
                <w:rFonts w:ascii="Arial"/>
                <w:sz w:val="20"/>
              </w:rPr>
              <w:t>82.00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876,000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spacing w:val="-1"/>
                <w:sz w:val="20"/>
              </w:rPr>
              <w:t>876,000</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6"/>
              <w:ind w:left="35" w:right="0"/>
              <w:jc w:val="left"/>
              <w:rPr>
                <w:rFonts w:ascii="Arial" w:hAnsi="Arial" w:cs="Arial" w:eastAsia="Arial" w:hint="default"/>
                <w:sz w:val="20"/>
                <w:szCs w:val="20"/>
              </w:rPr>
            </w:pPr>
            <w:r>
              <w:rPr>
                <w:rFonts w:ascii="Arial"/>
                <w:sz w:val="20"/>
              </w:rPr>
              <w:t>UF</w:t>
            </w:r>
            <w:r>
              <w:rPr>
                <w:rFonts w:ascii="Arial"/>
                <w:spacing w:val="-2"/>
                <w:sz w:val="20"/>
              </w:rPr>
              <w:t> </w:t>
            </w:r>
            <w:r>
              <w:rPr>
                <w:rFonts w:ascii="Arial"/>
                <w:sz w:val="20"/>
              </w:rPr>
              <w:t>INTERNATIONAL</w:t>
            </w:r>
          </w:p>
        </w:tc>
        <w:tc>
          <w:tcPr>
            <w:tcW w:w="909" w:type="dxa"/>
            <w:tcBorders>
              <w:top w:val="nil" w:sz="6" w:space="0" w:color="auto"/>
              <w:left w:val="nil" w:sz="6" w:space="0" w:color="auto"/>
              <w:bottom w:val="nil" w:sz="6" w:space="0" w:color="auto"/>
              <w:right w:val="nil" w:sz="6" w:space="0" w:color="auto"/>
            </w:tcBorders>
          </w:tcPr>
          <w:p>
            <w:pPr>
              <w:pStyle w:val="TableParagraph"/>
              <w:spacing w:line="223" w:lineRule="exact"/>
              <w:ind w:left="6" w:right="0"/>
              <w:jc w:val="center"/>
              <w:rPr>
                <w:rFonts w:ascii="黑体" w:hAnsi="黑体" w:cs="黑体" w:eastAsia="黑体" w:hint="default"/>
                <w:sz w:val="20"/>
                <w:szCs w:val="20"/>
              </w:rPr>
            </w:pPr>
            <w:r>
              <w:rPr>
                <w:rFonts w:ascii="黑体" w:hAnsi="黑体" w:cs="黑体" w:eastAsia="黑体" w:hint="default"/>
                <w:sz w:val="20"/>
                <w:szCs w:val="20"/>
              </w:rPr>
              <w:t>长期</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z w:val="20"/>
              </w:rPr>
              <w:t>100.00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8,218,060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spacing w:val="-1"/>
                <w:sz w:val="20"/>
              </w:rPr>
              <w:t>13,710,799</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spacing w:val="-1"/>
                <w:sz w:val="20"/>
              </w:rPr>
              <w:t>21,928,859</w:t>
            </w:r>
          </w:p>
        </w:tc>
        <w:tc>
          <w:tcPr>
            <w:tcW w:w="500" w:type="dxa"/>
            <w:tcBorders>
              <w:top w:val="nil" w:sz="6" w:space="0" w:color="auto"/>
              <w:left w:val="nil" w:sz="6" w:space="0" w:color="auto"/>
              <w:bottom w:val="nil" w:sz="6" w:space="0" w:color="auto"/>
              <w:right w:val="nil" w:sz="6" w:space="0" w:color="auto"/>
            </w:tcBorders>
          </w:tcPr>
          <w:p>
            <w:pPr>
              <w:pStyle w:val="TableParagraph"/>
              <w:spacing w:line="237" w:lineRule="exact"/>
              <w:ind w:right="12"/>
              <w:jc w:val="center"/>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2)</w:t>
            </w: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用友华表</w:t>
            </w:r>
          </w:p>
        </w:tc>
        <w:tc>
          <w:tcPr>
            <w:tcW w:w="909" w:type="dxa"/>
            <w:tcBorders>
              <w:top w:val="nil" w:sz="6" w:space="0" w:color="auto"/>
              <w:left w:val="nil" w:sz="6" w:space="0" w:color="auto"/>
              <w:bottom w:val="nil" w:sz="6" w:space="0" w:color="auto"/>
              <w:right w:val="nil" w:sz="6" w:space="0" w:color="auto"/>
            </w:tcBorders>
          </w:tcPr>
          <w:p>
            <w:pPr>
              <w:pStyle w:val="TableParagraph"/>
              <w:spacing w:line="238" w:lineRule="exact"/>
              <w:ind w:left="7" w:right="0"/>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98.00</w:t>
            </w:r>
            <w:r>
              <w:rPr>
                <w:rFonts w:ascii="Arial"/>
                <w:sz w:val="20"/>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10,500,000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spacing w:val="-1"/>
                <w:sz w:val="20"/>
              </w:rPr>
              <w:t>5,670,128</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spacing w:val="-1"/>
                <w:sz w:val="20"/>
              </w:rPr>
              <w:t>16,170,128</w:t>
            </w:r>
          </w:p>
        </w:tc>
        <w:tc>
          <w:tcPr>
            <w:tcW w:w="500" w:type="dxa"/>
            <w:tcBorders>
              <w:top w:val="nil" w:sz="6" w:space="0" w:color="auto"/>
              <w:left w:val="nil" w:sz="6" w:space="0" w:color="auto"/>
              <w:bottom w:val="nil" w:sz="6" w:space="0" w:color="auto"/>
              <w:right w:val="nil" w:sz="6" w:space="0" w:color="auto"/>
            </w:tcBorders>
          </w:tcPr>
          <w:p>
            <w:pPr>
              <w:pStyle w:val="TableParagraph"/>
              <w:spacing w:line="238" w:lineRule="exact"/>
              <w:ind w:right="12"/>
              <w:jc w:val="center"/>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3)</w:t>
            </w: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用友艾福斯</w:t>
            </w:r>
          </w:p>
        </w:tc>
        <w:tc>
          <w:tcPr>
            <w:tcW w:w="909" w:type="dxa"/>
            <w:tcBorders>
              <w:top w:val="nil" w:sz="6" w:space="0" w:color="auto"/>
              <w:left w:val="nil" w:sz="6" w:space="0" w:color="auto"/>
              <w:bottom w:val="nil" w:sz="6" w:space="0" w:color="auto"/>
              <w:right w:val="nil" w:sz="6" w:space="0" w:color="auto"/>
            </w:tcBorders>
          </w:tcPr>
          <w:p>
            <w:pPr>
              <w:pStyle w:val="TableParagraph"/>
              <w:spacing w:line="237" w:lineRule="exact"/>
              <w:ind w:left="7" w:right="0"/>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z w:val="20"/>
              </w:rPr>
              <w:t>75.00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8,300,000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8,300,000</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用友政务</w:t>
            </w:r>
          </w:p>
        </w:tc>
        <w:tc>
          <w:tcPr>
            <w:tcW w:w="909" w:type="dxa"/>
            <w:tcBorders>
              <w:top w:val="nil" w:sz="6" w:space="0" w:color="auto"/>
              <w:left w:val="nil" w:sz="6" w:space="0" w:color="auto"/>
              <w:bottom w:val="nil" w:sz="6" w:space="0" w:color="auto"/>
              <w:right w:val="nil" w:sz="6" w:space="0" w:color="auto"/>
            </w:tcBorders>
          </w:tcPr>
          <w:p>
            <w:pPr>
              <w:pStyle w:val="TableParagraph"/>
              <w:spacing w:line="238" w:lineRule="exact"/>
              <w:ind w:left="7" w:right="0"/>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68.00</w:t>
            </w:r>
            <w:r>
              <w:rPr>
                <w:rFonts w:ascii="Arial"/>
                <w:sz w:val="20"/>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42,699,284</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spacing w:val="-1"/>
                <w:sz w:val="20"/>
              </w:rPr>
              <w:t>42,699,284</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用友金融</w:t>
            </w:r>
          </w:p>
        </w:tc>
        <w:tc>
          <w:tcPr>
            <w:tcW w:w="909" w:type="dxa"/>
            <w:tcBorders>
              <w:top w:val="nil" w:sz="6" w:space="0" w:color="auto"/>
              <w:left w:val="nil" w:sz="6" w:space="0" w:color="auto"/>
              <w:bottom w:val="nil" w:sz="6" w:space="0" w:color="auto"/>
              <w:right w:val="nil" w:sz="6" w:space="0" w:color="auto"/>
            </w:tcBorders>
          </w:tcPr>
          <w:p>
            <w:pPr>
              <w:pStyle w:val="TableParagraph"/>
              <w:spacing w:line="237" w:lineRule="exact"/>
              <w:ind w:left="7" w:right="0"/>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z w:val="20"/>
              </w:rPr>
              <w:t>100.00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30,000,000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spacing w:val="-1"/>
                <w:sz w:val="20"/>
              </w:rPr>
              <w:t>30,000,000</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浙江用友</w:t>
            </w:r>
          </w:p>
        </w:tc>
        <w:tc>
          <w:tcPr>
            <w:tcW w:w="909" w:type="dxa"/>
            <w:tcBorders>
              <w:top w:val="nil" w:sz="6" w:space="0" w:color="auto"/>
              <w:left w:val="nil" w:sz="6" w:space="0" w:color="auto"/>
              <w:bottom w:val="nil" w:sz="6" w:space="0" w:color="auto"/>
              <w:right w:val="nil" w:sz="6" w:space="0" w:color="auto"/>
            </w:tcBorders>
          </w:tcPr>
          <w:p>
            <w:pPr>
              <w:pStyle w:val="TableParagraph"/>
              <w:spacing w:line="238" w:lineRule="exact"/>
              <w:ind w:left="7" w:right="0"/>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z w:val="20"/>
              </w:rPr>
              <w:t>90.00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4,500,000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4,500,000</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沈阳用友</w:t>
            </w:r>
          </w:p>
        </w:tc>
        <w:tc>
          <w:tcPr>
            <w:tcW w:w="909" w:type="dxa"/>
            <w:tcBorders>
              <w:top w:val="nil" w:sz="6" w:space="0" w:color="auto"/>
              <w:left w:val="nil" w:sz="6" w:space="0" w:color="auto"/>
              <w:bottom w:val="nil" w:sz="6" w:space="0" w:color="auto"/>
              <w:right w:val="nil" w:sz="6" w:space="0" w:color="auto"/>
            </w:tcBorders>
          </w:tcPr>
          <w:p>
            <w:pPr>
              <w:pStyle w:val="TableParagraph"/>
              <w:spacing w:line="237" w:lineRule="exact"/>
              <w:ind w:left="7" w:right="0"/>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sz w:val="20"/>
              </w:rPr>
              <w:t>90.00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2,700,000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2,700,000</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大连用友</w:t>
            </w:r>
          </w:p>
        </w:tc>
        <w:tc>
          <w:tcPr>
            <w:tcW w:w="909" w:type="dxa"/>
            <w:tcBorders>
              <w:top w:val="nil" w:sz="6" w:space="0" w:color="auto"/>
              <w:left w:val="nil" w:sz="6" w:space="0" w:color="auto"/>
              <w:bottom w:val="nil" w:sz="6" w:space="0" w:color="auto"/>
              <w:right w:val="nil" w:sz="6" w:space="0" w:color="auto"/>
            </w:tcBorders>
          </w:tcPr>
          <w:p>
            <w:pPr>
              <w:pStyle w:val="TableParagraph"/>
              <w:spacing w:line="238" w:lineRule="exact"/>
              <w:ind w:left="7" w:right="0"/>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sz w:val="20"/>
              </w:rPr>
              <w:t>90.00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2,700,000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2,700,000</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广西用友</w:t>
            </w:r>
          </w:p>
        </w:tc>
        <w:tc>
          <w:tcPr>
            <w:tcW w:w="909" w:type="dxa"/>
            <w:tcBorders>
              <w:top w:val="nil" w:sz="6" w:space="0" w:color="auto"/>
              <w:left w:val="nil" w:sz="6" w:space="0" w:color="auto"/>
              <w:bottom w:val="nil" w:sz="6" w:space="0" w:color="auto"/>
              <w:right w:val="nil" w:sz="6" w:space="0" w:color="auto"/>
            </w:tcBorders>
          </w:tcPr>
          <w:p>
            <w:pPr>
              <w:pStyle w:val="TableParagraph"/>
              <w:spacing w:line="237" w:lineRule="exact"/>
              <w:ind w:left="7" w:right="0"/>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sz w:val="20"/>
              </w:rPr>
              <w:t>90.00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2,700,000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2,700,000</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用友烟草</w:t>
            </w:r>
          </w:p>
        </w:tc>
        <w:tc>
          <w:tcPr>
            <w:tcW w:w="909" w:type="dxa"/>
            <w:tcBorders>
              <w:top w:val="nil" w:sz="6" w:space="0" w:color="auto"/>
              <w:left w:val="nil" w:sz="6" w:space="0" w:color="auto"/>
              <w:bottom w:val="nil" w:sz="6" w:space="0" w:color="auto"/>
              <w:right w:val="nil" w:sz="6" w:space="0" w:color="auto"/>
            </w:tcBorders>
          </w:tcPr>
          <w:p>
            <w:pPr>
              <w:pStyle w:val="TableParagraph"/>
              <w:spacing w:line="238" w:lineRule="exact"/>
              <w:ind w:left="7" w:right="0"/>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76.00</w:t>
            </w:r>
            <w:r>
              <w:rPr>
                <w:rFonts w:ascii="Arial"/>
                <w:sz w:val="20"/>
              </w:rPr>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15,800,000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spacing w:val="-1"/>
                <w:sz w:val="20"/>
              </w:rPr>
              <w:t>600,000</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spacing w:val="-1"/>
                <w:sz w:val="20"/>
              </w:rPr>
              <w:t>15,200,000</w:t>
            </w:r>
          </w:p>
        </w:tc>
        <w:tc>
          <w:tcPr>
            <w:tcW w:w="500" w:type="dxa"/>
            <w:tcBorders>
              <w:top w:val="nil" w:sz="6" w:space="0" w:color="auto"/>
              <w:left w:val="nil" w:sz="6" w:space="0" w:color="auto"/>
              <w:bottom w:val="nil" w:sz="6" w:space="0" w:color="auto"/>
              <w:right w:val="nil" w:sz="6" w:space="0" w:color="auto"/>
            </w:tcBorders>
          </w:tcPr>
          <w:p>
            <w:pPr>
              <w:pStyle w:val="TableParagraph"/>
              <w:spacing w:line="238" w:lineRule="exact"/>
              <w:ind w:right="12"/>
              <w:jc w:val="center"/>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4)</w:t>
            </w: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深圳用友软件</w:t>
            </w:r>
          </w:p>
        </w:tc>
        <w:tc>
          <w:tcPr>
            <w:tcW w:w="909" w:type="dxa"/>
            <w:tcBorders>
              <w:top w:val="nil" w:sz="6" w:space="0" w:color="auto"/>
              <w:left w:val="nil" w:sz="6" w:space="0" w:color="auto"/>
              <w:bottom w:val="nil" w:sz="6" w:space="0" w:color="auto"/>
              <w:right w:val="nil" w:sz="6" w:space="0" w:color="auto"/>
            </w:tcBorders>
          </w:tcPr>
          <w:p>
            <w:pPr>
              <w:pStyle w:val="TableParagraph"/>
              <w:spacing w:line="237" w:lineRule="exact"/>
              <w:ind w:left="7" w:right="0"/>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z w:val="20"/>
              </w:rPr>
              <w:t>90.00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4,500,000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4,500,000</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苏州用友</w:t>
            </w:r>
          </w:p>
        </w:tc>
        <w:tc>
          <w:tcPr>
            <w:tcW w:w="909" w:type="dxa"/>
            <w:tcBorders>
              <w:top w:val="nil" w:sz="6" w:space="0" w:color="auto"/>
              <w:left w:val="nil" w:sz="6" w:space="0" w:color="auto"/>
              <w:bottom w:val="nil" w:sz="6" w:space="0" w:color="auto"/>
              <w:right w:val="nil" w:sz="6" w:space="0" w:color="auto"/>
            </w:tcBorders>
          </w:tcPr>
          <w:p>
            <w:pPr>
              <w:pStyle w:val="TableParagraph"/>
              <w:spacing w:line="238" w:lineRule="exact"/>
              <w:ind w:left="7" w:right="0"/>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sz w:val="20"/>
              </w:rPr>
              <w:t>90.00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2,700,000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2,700,000</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山东用友</w:t>
            </w:r>
          </w:p>
        </w:tc>
        <w:tc>
          <w:tcPr>
            <w:tcW w:w="909" w:type="dxa"/>
            <w:tcBorders>
              <w:top w:val="nil" w:sz="6" w:space="0" w:color="auto"/>
              <w:left w:val="nil" w:sz="6" w:space="0" w:color="auto"/>
              <w:bottom w:val="nil" w:sz="6" w:space="0" w:color="auto"/>
              <w:right w:val="nil" w:sz="6" w:space="0" w:color="auto"/>
            </w:tcBorders>
          </w:tcPr>
          <w:p>
            <w:pPr>
              <w:pStyle w:val="TableParagraph"/>
              <w:spacing w:line="237" w:lineRule="exact"/>
              <w:ind w:left="7" w:right="0"/>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sz w:val="20"/>
              </w:rPr>
              <w:t>90.00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4,500,000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4,500,000</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江西用友</w:t>
            </w:r>
          </w:p>
        </w:tc>
        <w:tc>
          <w:tcPr>
            <w:tcW w:w="909" w:type="dxa"/>
            <w:tcBorders>
              <w:top w:val="nil" w:sz="6" w:space="0" w:color="auto"/>
              <w:left w:val="nil" w:sz="6" w:space="0" w:color="auto"/>
              <w:bottom w:val="nil" w:sz="6" w:space="0" w:color="auto"/>
              <w:right w:val="nil" w:sz="6" w:space="0" w:color="auto"/>
            </w:tcBorders>
          </w:tcPr>
          <w:p>
            <w:pPr>
              <w:pStyle w:val="TableParagraph"/>
              <w:spacing w:line="238" w:lineRule="exact"/>
              <w:ind w:left="7" w:right="0"/>
              <w:jc w:val="center"/>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z w:val="20"/>
              </w:rPr>
              <w:t>100.00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20,000,000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spacing w:val="-1"/>
                <w:sz w:val="20"/>
              </w:rPr>
              <w:t>20,000,000</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湖南用友</w:t>
            </w:r>
          </w:p>
        </w:tc>
        <w:tc>
          <w:tcPr>
            <w:tcW w:w="909" w:type="dxa"/>
            <w:tcBorders>
              <w:top w:val="nil" w:sz="6" w:space="0" w:color="auto"/>
              <w:left w:val="nil" w:sz="6" w:space="0" w:color="auto"/>
              <w:bottom w:val="nil" w:sz="6" w:space="0" w:color="auto"/>
              <w:right w:val="nil" w:sz="6" w:space="0" w:color="auto"/>
            </w:tcBorders>
          </w:tcPr>
          <w:p>
            <w:pPr>
              <w:pStyle w:val="TableParagraph"/>
              <w:spacing w:line="237" w:lineRule="exact"/>
              <w:ind w:left="7" w:right="0"/>
              <w:jc w:val="center"/>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z w:val="20"/>
              </w:rPr>
              <w:t>90.00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2,700,000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2,700,000</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内蒙古用友</w:t>
            </w:r>
          </w:p>
        </w:tc>
        <w:tc>
          <w:tcPr>
            <w:tcW w:w="909" w:type="dxa"/>
            <w:tcBorders>
              <w:top w:val="nil" w:sz="6" w:space="0" w:color="auto"/>
              <w:left w:val="nil" w:sz="6" w:space="0" w:color="auto"/>
              <w:bottom w:val="nil" w:sz="6" w:space="0" w:color="auto"/>
              <w:right w:val="nil" w:sz="6" w:space="0" w:color="auto"/>
            </w:tcBorders>
          </w:tcPr>
          <w:p>
            <w:pPr>
              <w:pStyle w:val="TableParagraph"/>
              <w:spacing w:line="238" w:lineRule="exact"/>
              <w:ind w:left="7" w:right="0"/>
              <w:jc w:val="center"/>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sz w:val="20"/>
              </w:rPr>
              <w:t>90.00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5"/>
              <w:jc w:val="right"/>
              <w:rPr>
                <w:rFonts w:ascii="Arial" w:hAnsi="Arial" w:cs="Arial" w:eastAsia="Arial" w:hint="default"/>
                <w:sz w:val="20"/>
                <w:szCs w:val="20"/>
              </w:rPr>
            </w:pPr>
            <w:r>
              <w:rPr>
                <w:rFonts w:ascii="Arial"/>
                <w:spacing w:val="-1"/>
                <w:sz w:val="20"/>
              </w:rPr>
              <w:t>2,700,000</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3"/>
              <w:jc w:val="right"/>
              <w:rPr>
                <w:rFonts w:ascii="Arial" w:hAnsi="Arial" w:cs="Arial" w:eastAsia="Arial" w:hint="default"/>
                <w:sz w:val="20"/>
                <w:szCs w:val="20"/>
              </w:rPr>
            </w:pPr>
            <w:r>
              <w:rPr>
                <w:rFonts w:ascii="Arial"/>
                <w:w w:val="100"/>
                <w:sz w:val="20"/>
              </w:rPr>
              <w:t>-</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4"/>
              <w:jc w:val="right"/>
              <w:rPr>
                <w:rFonts w:ascii="Arial" w:hAnsi="Arial" w:cs="Arial" w:eastAsia="Arial" w:hint="default"/>
                <w:sz w:val="20"/>
                <w:szCs w:val="20"/>
              </w:rPr>
            </w:pPr>
            <w:r>
              <w:rPr>
                <w:rFonts w:ascii="Arial"/>
                <w:w w:val="100"/>
                <w:sz w:val="20"/>
              </w:rPr>
              <w:t>-</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2,700,000</w:t>
            </w: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北京方正春元</w:t>
            </w:r>
          </w:p>
        </w:tc>
        <w:tc>
          <w:tcPr>
            <w:tcW w:w="909" w:type="dxa"/>
            <w:tcBorders>
              <w:top w:val="nil" w:sz="6" w:space="0" w:color="auto"/>
              <w:left w:val="nil" w:sz="6" w:space="0" w:color="auto"/>
              <w:bottom w:val="nil" w:sz="6" w:space="0" w:color="auto"/>
              <w:right w:val="nil" w:sz="6" w:space="0" w:color="auto"/>
            </w:tcBorders>
          </w:tcPr>
          <w:p>
            <w:pPr>
              <w:pStyle w:val="TableParagraph"/>
              <w:spacing w:line="237" w:lineRule="exact"/>
              <w:ind w:left="7" w:right="0"/>
              <w:jc w:val="center"/>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352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6"/>
              <w:ind w:left="548" w:right="0"/>
              <w:jc w:val="left"/>
              <w:rPr>
                <w:rFonts w:ascii="Arial" w:hAnsi="Arial" w:cs="Arial" w:eastAsia="Arial" w:hint="default"/>
                <w:sz w:val="20"/>
                <w:szCs w:val="20"/>
              </w:rPr>
            </w:pPr>
            <w:r>
              <w:rPr>
                <w:rFonts w:ascii="Arial"/>
                <w:sz w:val="20"/>
              </w:rPr>
              <w:t>100.00 324,680,000 </w:t>
            </w:r>
            <w:r>
              <w:rPr>
                <w:rFonts w:ascii="Arial"/>
                <w:spacing w:val="55"/>
                <w:sz w:val="20"/>
              </w:rPr>
              <w:t> </w:t>
            </w:r>
            <w:r>
              <w:rPr>
                <w:rFonts w:ascii="Arial"/>
                <w:sz w:val="20"/>
              </w:rPr>
              <w:t>57,000,000</w:t>
            </w:r>
          </w:p>
        </w:tc>
        <w:tc>
          <w:tcPr>
            <w:tcW w:w="20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
              <w:ind w:left="758" w:right="0"/>
              <w:jc w:val="left"/>
              <w:rPr>
                <w:rFonts w:ascii="Arial" w:hAnsi="Arial" w:cs="Arial" w:eastAsia="Arial" w:hint="default"/>
                <w:sz w:val="20"/>
                <w:szCs w:val="20"/>
              </w:rPr>
            </w:pPr>
            <w:r>
              <w:rPr>
                <w:rFonts w:ascii="Arial"/>
                <w:sz w:val="20"/>
              </w:rPr>
              <w:t>-</w:t>
            </w:r>
            <w:r>
              <w:rPr>
                <w:rFonts w:ascii="Arial"/>
                <w:spacing w:val="-33"/>
                <w:sz w:val="20"/>
              </w:rPr>
              <w:t> </w:t>
            </w:r>
            <w:r>
              <w:rPr>
                <w:rFonts w:ascii="Arial"/>
                <w:sz w:val="20"/>
              </w:rPr>
              <w:t>381,680,000</w:t>
            </w:r>
          </w:p>
        </w:tc>
        <w:tc>
          <w:tcPr>
            <w:tcW w:w="500" w:type="dxa"/>
            <w:tcBorders>
              <w:top w:val="nil" w:sz="6" w:space="0" w:color="auto"/>
              <w:left w:val="nil" w:sz="6" w:space="0" w:color="auto"/>
              <w:bottom w:val="nil" w:sz="6" w:space="0" w:color="auto"/>
              <w:right w:val="nil" w:sz="6" w:space="0" w:color="auto"/>
            </w:tcBorders>
          </w:tcPr>
          <w:p>
            <w:pPr>
              <w:pStyle w:val="TableParagraph"/>
              <w:spacing w:line="237" w:lineRule="exact"/>
              <w:ind w:right="12"/>
              <w:jc w:val="center"/>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5)</w:t>
            </w: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用友审计</w:t>
            </w:r>
          </w:p>
        </w:tc>
        <w:tc>
          <w:tcPr>
            <w:tcW w:w="909" w:type="dxa"/>
            <w:tcBorders>
              <w:top w:val="nil" w:sz="6" w:space="0" w:color="auto"/>
              <w:left w:val="nil" w:sz="6" w:space="0" w:color="auto"/>
              <w:bottom w:val="nil" w:sz="6" w:space="0" w:color="auto"/>
              <w:right w:val="nil" w:sz="6" w:space="0" w:color="auto"/>
            </w:tcBorders>
          </w:tcPr>
          <w:p>
            <w:pPr>
              <w:pStyle w:val="TableParagraph"/>
              <w:spacing w:line="238" w:lineRule="exact"/>
              <w:ind w:left="7" w:right="0"/>
              <w:jc w:val="center"/>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3522" w:type="dxa"/>
            <w:gridSpan w:val="3"/>
            <w:tcBorders>
              <w:top w:val="nil" w:sz="6" w:space="0" w:color="auto"/>
              <w:left w:val="nil" w:sz="6" w:space="0" w:color="auto"/>
              <w:bottom w:val="nil" w:sz="6" w:space="0" w:color="auto"/>
              <w:right w:val="nil" w:sz="6" w:space="0" w:color="auto"/>
            </w:tcBorders>
          </w:tcPr>
          <w:p>
            <w:pPr>
              <w:pStyle w:val="TableParagraph"/>
              <w:tabs>
                <w:tab w:pos="2253" w:val="left" w:leader="none"/>
              </w:tabs>
              <w:spacing w:line="240" w:lineRule="auto" w:before="6"/>
              <w:ind w:left="659" w:right="0"/>
              <w:jc w:val="left"/>
              <w:rPr>
                <w:rFonts w:ascii="Arial" w:hAnsi="Arial" w:cs="Arial" w:eastAsia="Arial" w:hint="default"/>
                <w:sz w:val="20"/>
                <w:szCs w:val="20"/>
              </w:rPr>
            </w:pPr>
            <w:r>
              <w:rPr>
                <w:rFonts w:ascii="Arial"/>
                <w:spacing w:val="-1"/>
                <w:sz w:val="20"/>
              </w:rPr>
              <w:t>82.00</w:t>
              <w:tab/>
            </w:r>
            <w:r>
              <w:rPr>
                <w:rFonts w:ascii="Arial"/>
                <w:sz w:val="20"/>
              </w:rPr>
              <w:t>-  </w:t>
            </w:r>
            <w:r>
              <w:rPr>
                <w:rFonts w:ascii="Arial"/>
                <w:spacing w:val="9"/>
                <w:sz w:val="20"/>
              </w:rPr>
              <w:t> </w:t>
            </w:r>
            <w:r>
              <w:rPr>
                <w:rFonts w:ascii="Arial"/>
                <w:spacing w:val="-1"/>
                <w:sz w:val="20"/>
              </w:rPr>
              <w:t>13,685,542</w:t>
            </w:r>
          </w:p>
        </w:tc>
        <w:tc>
          <w:tcPr>
            <w:tcW w:w="20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
              <w:ind w:left="758" w:right="0"/>
              <w:jc w:val="left"/>
              <w:rPr>
                <w:rFonts w:ascii="Arial" w:hAnsi="Arial" w:cs="Arial" w:eastAsia="Arial" w:hint="default"/>
                <w:sz w:val="20"/>
                <w:szCs w:val="20"/>
              </w:rPr>
            </w:pPr>
            <w:r>
              <w:rPr>
                <w:rFonts w:ascii="Arial"/>
                <w:sz w:val="20"/>
              </w:rPr>
              <w:t>- </w:t>
            </w:r>
            <w:r>
              <w:rPr>
                <w:rFonts w:ascii="Arial"/>
                <w:spacing w:val="14"/>
                <w:sz w:val="20"/>
              </w:rPr>
              <w:t> </w:t>
            </w:r>
            <w:r>
              <w:rPr>
                <w:rFonts w:ascii="Arial"/>
                <w:sz w:val="20"/>
              </w:rPr>
              <w:t>13,685,542</w:t>
            </w:r>
          </w:p>
        </w:tc>
        <w:tc>
          <w:tcPr>
            <w:tcW w:w="500" w:type="dxa"/>
            <w:tcBorders>
              <w:top w:val="nil" w:sz="6" w:space="0" w:color="auto"/>
              <w:left w:val="nil" w:sz="6" w:space="0" w:color="auto"/>
              <w:bottom w:val="nil" w:sz="6" w:space="0" w:color="auto"/>
              <w:right w:val="nil" w:sz="6" w:space="0" w:color="auto"/>
            </w:tcBorders>
          </w:tcPr>
          <w:p>
            <w:pPr>
              <w:pStyle w:val="TableParagraph"/>
              <w:spacing w:line="238" w:lineRule="exact"/>
              <w:ind w:right="12"/>
              <w:jc w:val="center"/>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6)</w:t>
            </w: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用友医疗</w:t>
            </w:r>
          </w:p>
        </w:tc>
        <w:tc>
          <w:tcPr>
            <w:tcW w:w="909" w:type="dxa"/>
            <w:tcBorders>
              <w:top w:val="nil" w:sz="6" w:space="0" w:color="auto"/>
              <w:left w:val="nil" w:sz="6" w:space="0" w:color="auto"/>
              <w:bottom w:val="nil" w:sz="6" w:space="0" w:color="auto"/>
              <w:right w:val="nil" w:sz="6" w:space="0" w:color="auto"/>
            </w:tcBorders>
          </w:tcPr>
          <w:p>
            <w:pPr>
              <w:pStyle w:val="TableParagraph"/>
              <w:spacing w:line="237" w:lineRule="exact"/>
              <w:ind w:left="7" w:right="0"/>
              <w:jc w:val="center"/>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3522" w:type="dxa"/>
            <w:gridSpan w:val="3"/>
            <w:tcBorders>
              <w:top w:val="nil" w:sz="6" w:space="0" w:color="auto"/>
              <w:left w:val="nil" w:sz="6" w:space="0" w:color="auto"/>
              <w:bottom w:val="nil" w:sz="6" w:space="0" w:color="auto"/>
              <w:right w:val="nil" w:sz="6" w:space="0" w:color="auto"/>
            </w:tcBorders>
          </w:tcPr>
          <w:p>
            <w:pPr>
              <w:pStyle w:val="TableParagraph"/>
              <w:tabs>
                <w:tab w:pos="2253" w:val="left" w:leader="none"/>
              </w:tabs>
              <w:spacing w:line="240" w:lineRule="auto" w:before="6"/>
              <w:ind w:left="548" w:right="0"/>
              <w:jc w:val="left"/>
              <w:rPr>
                <w:rFonts w:ascii="Arial" w:hAnsi="Arial" w:cs="Arial" w:eastAsia="Arial" w:hint="default"/>
                <w:sz w:val="20"/>
                <w:szCs w:val="20"/>
              </w:rPr>
            </w:pPr>
            <w:r>
              <w:rPr>
                <w:rFonts w:ascii="Arial"/>
                <w:sz w:val="20"/>
              </w:rPr>
              <w:t>100.00</w:t>
              <w:tab/>
              <w:t>-</w:t>
            </w:r>
            <w:r>
              <w:rPr>
                <w:rFonts w:ascii="Arial"/>
                <w:spacing w:val="8"/>
                <w:sz w:val="20"/>
              </w:rPr>
              <w:t> </w:t>
            </w:r>
            <w:r>
              <w:rPr>
                <w:rFonts w:ascii="Arial"/>
                <w:sz w:val="20"/>
              </w:rPr>
              <w:t>100,000,000</w:t>
            </w:r>
          </w:p>
        </w:tc>
        <w:tc>
          <w:tcPr>
            <w:tcW w:w="20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
              <w:ind w:left="758" w:right="0"/>
              <w:jc w:val="left"/>
              <w:rPr>
                <w:rFonts w:ascii="Arial" w:hAnsi="Arial" w:cs="Arial" w:eastAsia="Arial" w:hint="default"/>
                <w:sz w:val="20"/>
                <w:szCs w:val="20"/>
              </w:rPr>
            </w:pPr>
            <w:r>
              <w:rPr>
                <w:rFonts w:ascii="Arial"/>
                <w:sz w:val="20"/>
              </w:rPr>
              <w:t>-</w:t>
            </w:r>
            <w:r>
              <w:rPr>
                <w:rFonts w:ascii="Arial"/>
                <w:spacing w:val="-33"/>
                <w:sz w:val="20"/>
              </w:rPr>
              <w:t> </w:t>
            </w:r>
            <w:r>
              <w:rPr>
                <w:rFonts w:ascii="Arial"/>
                <w:sz w:val="20"/>
              </w:rPr>
              <w:t>100,000,000</w:t>
            </w:r>
          </w:p>
        </w:tc>
        <w:tc>
          <w:tcPr>
            <w:tcW w:w="500" w:type="dxa"/>
            <w:tcBorders>
              <w:top w:val="nil" w:sz="6" w:space="0" w:color="auto"/>
              <w:left w:val="nil" w:sz="6" w:space="0" w:color="auto"/>
              <w:bottom w:val="nil" w:sz="6" w:space="0" w:color="auto"/>
              <w:right w:val="nil" w:sz="6" w:space="0" w:color="auto"/>
            </w:tcBorders>
          </w:tcPr>
          <w:p>
            <w:pPr>
              <w:pStyle w:val="TableParagraph"/>
              <w:spacing w:line="237" w:lineRule="exact"/>
              <w:ind w:right="12"/>
              <w:jc w:val="center"/>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7)</w:t>
            </w: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38" w:lineRule="exact"/>
              <w:ind w:left="35" w:right="0"/>
              <w:jc w:val="left"/>
              <w:rPr>
                <w:rFonts w:ascii="Arial" w:hAnsi="Arial" w:cs="Arial" w:eastAsia="Arial" w:hint="default"/>
                <w:sz w:val="20"/>
                <w:szCs w:val="20"/>
              </w:rPr>
            </w:pPr>
            <w:r>
              <w:rPr>
                <w:rFonts w:ascii="黑体" w:hAnsi="黑体" w:cs="黑体" w:eastAsia="黑体" w:hint="default"/>
                <w:sz w:val="20"/>
                <w:szCs w:val="20"/>
              </w:rPr>
              <w:t>用友</w:t>
            </w:r>
            <w:r>
              <w:rPr>
                <w:rFonts w:ascii="Arial" w:hAnsi="Arial" w:cs="Arial" w:eastAsia="Arial" w:hint="default"/>
                <w:sz w:val="20"/>
                <w:szCs w:val="20"/>
              </w:rPr>
              <w:t>(</w:t>
            </w:r>
            <w:r>
              <w:rPr>
                <w:rFonts w:ascii="黑体" w:hAnsi="黑体" w:cs="黑体" w:eastAsia="黑体" w:hint="default"/>
                <w:sz w:val="20"/>
                <w:szCs w:val="20"/>
              </w:rPr>
              <w:t>南昌</w:t>
            </w:r>
            <w:r>
              <w:rPr>
                <w:rFonts w:ascii="Arial" w:hAnsi="Arial" w:cs="Arial" w:eastAsia="Arial" w:hint="default"/>
                <w:sz w:val="20"/>
                <w:szCs w:val="20"/>
              </w:rPr>
              <w:t>)</w:t>
            </w:r>
          </w:p>
        </w:tc>
        <w:tc>
          <w:tcPr>
            <w:tcW w:w="909" w:type="dxa"/>
            <w:tcBorders>
              <w:top w:val="nil" w:sz="6" w:space="0" w:color="auto"/>
              <w:left w:val="nil" w:sz="6" w:space="0" w:color="auto"/>
              <w:bottom w:val="nil" w:sz="6" w:space="0" w:color="auto"/>
              <w:right w:val="nil" w:sz="6" w:space="0" w:color="auto"/>
            </w:tcBorders>
          </w:tcPr>
          <w:p>
            <w:pPr>
              <w:pStyle w:val="TableParagraph"/>
              <w:spacing w:line="238" w:lineRule="exact"/>
              <w:ind w:left="7" w:right="0"/>
              <w:jc w:val="center"/>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3522" w:type="dxa"/>
            <w:gridSpan w:val="3"/>
            <w:tcBorders>
              <w:top w:val="nil" w:sz="6" w:space="0" w:color="auto"/>
              <w:left w:val="nil" w:sz="6" w:space="0" w:color="auto"/>
              <w:bottom w:val="nil" w:sz="6" w:space="0" w:color="auto"/>
              <w:right w:val="nil" w:sz="6" w:space="0" w:color="auto"/>
            </w:tcBorders>
          </w:tcPr>
          <w:p>
            <w:pPr>
              <w:pStyle w:val="TableParagraph"/>
              <w:tabs>
                <w:tab w:pos="2252" w:val="left" w:leader="none"/>
              </w:tabs>
              <w:spacing w:line="240" w:lineRule="auto" w:before="6"/>
              <w:ind w:left="548" w:right="0"/>
              <w:jc w:val="left"/>
              <w:rPr>
                <w:rFonts w:ascii="Arial" w:hAnsi="Arial" w:cs="Arial" w:eastAsia="Arial" w:hint="default"/>
                <w:sz w:val="20"/>
                <w:szCs w:val="20"/>
              </w:rPr>
            </w:pPr>
            <w:r>
              <w:rPr>
                <w:rFonts w:ascii="Arial"/>
                <w:sz w:val="20"/>
              </w:rPr>
              <w:t>100.00</w:t>
            </w:r>
            <w:r>
              <w:rPr>
                <w:rFonts w:ascii="Arial"/>
                <w:sz w:val="20"/>
                <w:u w:val="single" w:color="000000"/>
              </w:rPr>
              <w:t> </w:t>
              <w:tab/>
              <w:t>-  </w:t>
            </w:r>
            <w:r>
              <w:rPr>
                <w:rFonts w:ascii="Arial"/>
                <w:spacing w:val="10"/>
                <w:sz w:val="20"/>
                <w:u w:val="single" w:color="000000"/>
              </w:rPr>
              <w:t> </w:t>
            </w:r>
            <w:r>
              <w:rPr>
                <w:rFonts w:ascii="Arial"/>
                <w:spacing w:val="10"/>
                <w:sz w:val="20"/>
              </w:rPr>
            </w:r>
            <w:r>
              <w:rPr>
                <w:rFonts w:ascii="Arial"/>
                <w:spacing w:val="10"/>
                <w:sz w:val="20"/>
                <w:u w:val="single" w:color="000000"/>
              </w:rPr>
              <w:t> </w:t>
            </w:r>
            <w:r>
              <w:rPr>
                <w:rFonts w:ascii="Arial"/>
                <w:sz w:val="20"/>
                <w:u w:val="single" w:color="000000"/>
              </w:rPr>
              <w:t>80,000,000</w:t>
            </w:r>
            <w:r>
              <w:rPr>
                <w:rFonts w:ascii="Arial"/>
                <w:sz w:val="20"/>
              </w:rPr>
            </w:r>
          </w:p>
        </w:tc>
        <w:tc>
          <w:tcPr>
            <w:tcW w:w="2039" w:type="dxa"/>
            <w:gridSpan w:val="2"/>
            <w:tcBorders>
              <w:top w:val="nil" w:sz="6" w:space="0" w:color="auto"/>
              <w:left w:val="nil" w:sz="6" w:space="0" w:color="auto"/>
              <w:bottom w:val="nil" w:sz="6" w:space="0" w:color="auto"/>
              <w:right w:val="nil" w:sz="6" w:space="0" w:color="auto"/>
            </w:tcBorders>
          </w:tcPr>
          <w:p>
            <w:pPr>
              <w:pStyle w:val="TableParagraph"/>
              <w:tabs>
                <w:tab w:pos="758" w:val="left" w:leader="none"/>
              </w:tabs>
              <w:spacing w:line="240" w:lineRule="auto" w:before="6"/>
              <w:ind w:left="159"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 </w:t>
            </w:r>
            <w:r>
              <w:rPr>
                <w:rFonts w:ascii="Arial"/>
                <w:spacing w:val="22"/>
                <w:sz w:val="20"/>
                <w:u w:val="single" w:color="000000"/>
              </w:rPr>
              <w:t> </w:t>
            </w:r>
            <w:r>
              <w:rPr>
                <w:rFonts w:ascii="Arial"/>
                <w:sz w:val="20"/>
                <w:u w:val="single" w:color="000000"/>
              </w:rPr>
              <w:t>80,000,000</w:t>
            </w:r>
            <w:r>
              <w:rPr>
                <w:rFonts w:ascii="Arial"/>
                <w:sz w:val="20"/>
              </w:rPr>
            </w:r>
          </w:p>
        </w:tc>
        <w:tc>
          <w:tcPr>
            <w:tcW w:w="500" w:type="dxa"/>
            <w:tcBorders>
              <w:top w:val="nil" w:sz="6" w:space="0" w:color="auto"/>
              <w:left w:val="nil" w:sz="6" w:space="0" w:color="auto"/>
              <w:bottom w:val="nil" w:sz="6" w:space="0" w:color="auto"/>
              <w:right w:val="nil" w:sz="6" w:space="0" w:color="auto"/>
            </w:tcBorders>
          </w:tcPr>
          <w:p>
            <w:pPr>
              <w:pStyle w:val="TableParagraph"/>
              <w:spacing w:line="238" w:lineRule="exact"/>
              <w:ind w:right="12"/>
              <w:jc w:val="center"/>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8)</w:t>
            </w:r>
          </w:p>
        </w:tc>
      </w:tr>
      <w:tr>
        <w:trPr>
          <w:trHeight w:val="363"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909" w:type="dxa"/>
            <w:tcBorders>
              <w:top w:val="nil" w:sz="6" w:space="0" w:color="auto"/>
              <w:left w:val="nil" w:sz="6" w:space="0" w:color="auto"/>
              <w:bottom w:val="nil" w:sz="6" w:space="0" w:color="auto"/>
              <w:right w:val="nil" w:sz="6" w:space="0" w:color="auto"/>
            </w:tcBorders>
          </w:tcPr>
          <w:p>
            <w:pPr/>
          </w:p>
        </w:tc>
        <w:tc>
          <w:tcPr>
            <w:tcW w:w="352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6"/>
              <w:ind w:left="1248" w:right="0"/>
              <w:jc w:val="left"/>
              <w:rPr>
                <w:rFonts w:ascii="Arial" w:hAnsi="Arial" w:cs="Arial" w:eastAsia="Arial" w:hint="default"/>
                <w:sz w:val="20"/>
                <w:szCs w:val="20"/>
              </w:rPr>
            </w:pPr>
            <w:r>
              <w:rPr>
                <w:rFonts w:ascii="Arial"/>
                <w:w w:val="100"/>
                <w:sz w:val="20"/>
              </w:rPr>
            </w:r>
            <w:r>
              <w:rPr>
                <w:rFonts w:ascii="Arial"/>
                <w:sz w:val="20"/>
                <w:u w:val="thick" w:color="000000"/>
              </w:rPr>
              <w:t>504,678,344270,166,469</w:t>
            </w:r>
            <w:r>
              <w:rPr>
                <w:rFonts w:ascii="Arial"/>
                <w:sz w:val="20"/>
              </w:rPr>
            </w:r>
          </w:p>
        </w:tc>
        <w:tc>
          <w:tcPr>
            <w:tcW w:w="20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
              <w:ind w:left="102" w:right="0"/>
              <w:jc w:val="left"/>
              <w:rPr>
                <w:rFonts w:ascii="Arial" w:hAnsi="Arial" w:cs="Arial" w:eastAsia="Arial" w:hint="default"/>
                <w:sz w:val="20"/>
                <w:szCs w:val="20"/>
              </w:rPr>
            </w:pPr>
            <w:r>
              <w:rPr>
                <w:rFonts w:ascii="Arial"/>
                <w:w w:val="100"/>
                <w:sz w:val="20"/>
              </w:rPr>
            </w:r>
            <w:r>
              <w:rPr>
                <w:rFonts w:ascii="Arial"/>
                <w:sz w:val="20"/>
                <w:u w:val="thick" w:color="000000"/>
              </w:rPr>
              <w:t>600,000774,244,813</w:t>
            </w:r>
            <w:r>
              <w:rPr>
                <w:rFonts w:ascii="Arial"/>
                <w:sz w:val="20"/>
              </w:rPr>
            </w:r>
          </w:p>
        </w:tc>
        <w:tc>
          <w:tcPr>
            <w:tcW w:w="500" w:type="dxa"/>
            <w:tcBorders>
              <w:top w:val="nil" w:sz="6" w:space="0" w:color="auto"/>
              <w:left w:val="nil" w:sz="6" w:space="0" w:color="auto"/>
              <w:bottom w:val="nil" w:sz="6" w:space="0" w:color="auto"/>
              <w:right w:val="nil" w:sz="6" w:space="0" w:color="auto"/>
            </w:tcBorders>
          </w:tcPr>
          <w:p>
            <w:pPr/>
          </w:p>
        </w:tc>
      </w:tr>
      <w:tr>
        <w:trPr>
          <w:trHeight w:val="364"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黑体" w:hAnsi="黑体" w:cs="黑体" w:eastAsia="黑体" w:hint="default"/>
                <w:sz w:val="20"/>
                <w:szCs w:val="20"/>
              </w:rPr>
            </w:pPr>
            <w:r>
              <w:rPr>
                <w:rFonts w:ascii="黑体" w:hAnsi="黑体" w:cs="黑体" w:eastAsia="黑体" w:hint="default"/>
                <w:sz w:val="20"/>
                <w:szCs w:val="20"/>
              </w:rPr>
              <w:t>股权投资减值准备</w:t>
            </w:r>
          </w:p>
        </w:tc>
        <w:tc>
          <w:tcPr>
            <w:tcW w:w="909" w:type="dxa"/>
            <w:tcBorders>
              <w:top w:val="nil" w:sz="6" w:space="0" w:color="auto"/>
              <w:left w:val="nil" w:sz="6" w:space="0" w:color="auto"/>
              <w:bottom w:val="nil" w:sz="6" w:space="0" w:color="auto"/>
              <w:right w:val="nil" w:sz="6" w:space="0" w:color="auto"/>
            </w:tcBorders>
          </w:tcPr>
          <w:p>
            <w:pPr/>
          </w:p>
        </w:tc>
        <w:tc>
          <w:tcPr>
            <w:tcW w:w="3522" w:type="dxa"/>
            <w:gridSpan w:val="3"/>
            <w:tcBorders>
              <w:top w:val="nil" w:sz="6" w:space="0" w:color="auto"/>
              <w:left w:val="nil" w:sz="6" w:space="0" w:color="auto"/>
              <w:bottom w:val="nil" w:sz="6" w:space="0" w:color="auto"/>
              <w:right w:val="nil" w:sz="6" w:space="0" w:color="auto"/>
            </w:tcBorders>
          </w:tcPr>
          <w:p>
            <w:pPr/>
          </w:p>
        </w:tc>
        <w:tc>
          <w:tcPr>
            <w:tcW w:w="2039" w:type="dxa"/>
            <w:gridSpan w:val="2"/>
            <w:tcBorders>
              <w:top w:val="nil" w:sz="6" w:space="0" w:color="auto"/>
              <w:left w:val="nil" w:sz="6" w:space="0" w:color="auto"/>
              <w:bottom w:val="nil" w:sz="6" w:space="0" w:color="auto"/>
              <w:right w:val="nil" w:sz="6" w:space="0" w:color="auto"/>
            </w:tcBorders>
          </w:tcPr>
          <w:p>
            <w:pPr/>
          </w:p>
        </w:tc>
        <w:tc>
          <w:tcPr>
            <w:tcW w:w="500" w:type="dxa"/>
            <w:tcBorders>
              <w:top w:val="nil" w:sz="6" w:space="0" w:color="auto"/>
              <w:left w:val="nil" w:sz="6" w:space="0" w:color="auto"/>
              <w:bottom w:val="nil" w:sz="6" w:space="0" w:color="auto"/>
              <w:right w:val="nil" w:sz="6" w:space="0" w:color="auto"/>
            </w:tcBorders>
          </w:tcPr>
          <w:p>
            <w:pPr/>
          </w:p>
        </w:tc>
      </w:tr>
      <w:tr>
        <w:trPr>
          <w:trHeight w:val="255"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6"/>
              <w:ind w:left="35" w:right="0"/>
              <w:jc w:val="left"/>
              <w:rPr>
                <w:rFonts w:ascii="Arial" w:hAnsi="Arial" w:cs="Arial" w:eastAsia="Arial" w:hint="default"/>
                <w:sz w:val="20"/>
                <w:szCs w:val="20"/>
              </w:rPr>
            </w:pPr>
            <w:r>
              <w:rPr>
                <w:rFonts w:ascii="Arial"/>
                <w:sz w:val="20"/>
              </w:rPr>
              <w:t>UF</w:t>
            </w:r>
            <w:r>
              <w:rPr>
                <w:rFonts w:ascii="Arial"/>
                <w:spacing w:val="-2"/>
                <w:sz w:val="20"/>
              </w:rPr>
              <w:t> </w:t>
            </w:r>
            <w:r>
              <w:rPr>
                <w:rFonts w:ascii="Arial"/>
                <w:sz w:val="20"/>
              </w:rPr>
              <w:t>INTERNATIONAL</w:t>
            </w:r>
          </w:p>
        </w:tc>
        <w:tc>
          <w:tcPr>
            <w:tcW w:w="909" w:type="dxa"/>
            <w:tcBorders>
              <w:top w:val="nil" w:sz="6" w:space="0" w:color="auto"/>
              <w:left w:val="nil" w:sz="6" w:space="0" w:color="auto"/>
              <w:bottom w:val="nil" w:sz="6" w:space="0" w:color="auto"/>
              <w:right w:val="nil" w:sz="6" w:space="0" w:color="auto"/>
            </w:tcBorders>
          </w:tcPr>
          <w:p>
            <w:pPr/>
          </w:p>
        </w:tc>
        <w:tc>
          <w:tcPr>
            <w:tcW w:w="3522" w:type="dxa"/>
            <w:gridSpan w:val="3"/>
            <w:tcBorders>
              <w:top w:val="nil" w:sz="6" w:space="0" w:color="auto"/>
              <w:left w:val="nil" w:sz="6" w:space="0" w:color="auto"/>
              <w:bottom w:val="nil" w:sz="6" w:space="0" w:color="auto"/>
              <w:right w:val="nil" w:sz="6" w:space="0" w:color="auto"/>
            </w:tcBorders>
          </w:tcPr>
          <w:p>
            <w:pPr/>
          </w:p>
        </w:tc>
        <w:tc>
          <w:tcPr>
            <w:tcW w:w="20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
              <w:ind w:left="794" w:right="0"/>
              <w:jc w:val="left"/>
              <w:rPr>
                <w:rFonts w:ascii="Arial" w:hAnsi="Arial" w:cs="Arial" w:eastAsia="Arial" w:hint="default"/>
                <w:sz w:val="20"/>
                <w:szCs w:val="20"/>
              </w:rPr>
            </w:pPr>
            <w:r>
              <w:rPr>
                <w:rFonts w:ascii="Arial"/>
                <w:sz w:val="20"/>
              </w:rPr>
              <w:t>(  </w:t>
            </w:r>
            <w:r>
              <w:rPr>
                <w:rFonts w:ascii="Arial"/>
                <w:spacing w:val="32"/>
                <w:sz w:val="20"/>
              </w:rPr>
              <w:t> </w:t>
            </w:r>
            <w:r>
              <w:rPr>
                <w:rFonts w:ascii="Arial"/>
                <w:sz w:val="20"/>
              </w:rPr>
              <w:t>6,300,755)</w:t>
            </w:r>
          </w:p>
        </w:tc>
        <w:tc>
          <w:tcPr>
            <w:tcW w:w="500" w:type="dxa"/>
            <w:tcBorders>
              <w:top w:val="nil" w:sz="6" w:space="0" w:color="auto"/>
              <w:left w:val="nil" w:sz="6" w:space="0" w:color="auto"/>
              <w:bottom w:val="nil" w:sz="6" w:space="0" w:color="auto"/>
              <w:right w:val="nil" w:sz="6" w:space="0" w:color="auto"/>
            </w:tcBorders>
          </w:tcPr>
          <w:p>
            <w:pPr/>
          </w:p>
        </w:tc>
      </w:tr>
      <w:tr>
        <w:trPr>
          <w:trHeight w:val="259"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用友华表</w:t>
            </w:r>
          </w:p>
        </w:tc>
        <w:tc>
          <w:tcPr>
            <w:tcW w:w="909" w:type="dxa"/>
            <w:tcBorders>
              <w:top w:val="nil" w:sz="6" w:space="0" w:color="auto"/>
              <w:left w:val="nil" w:sz="6" w:space="0" w:color="auto"/>
              <w:bottom w:val="nil" w:sz="6" w:space="0" w:color="auto"/>
              <w:right w:val="nil" w:sz="6" w:space="0" w:color="auto"/>
            </w:tcBorders>
          </w:tcPr>
          <w:p>
            <w:pPr/>
          </w:p>
        </w:tc>
        <w:tc>
          <w:tcPr>
            <w:tcW w:w="3522" w:type="dxa"/>
            <w:gridSpan w:val="3"/>
            <w:tcBorders>
              <w:top w:val="nil" w:sz="6" w:space="0" w:color="auto"/>
              <w:left w:val="nil" w:sz="6" w:space="0" w:color="auto"/>
              <w:bottom w:val="nil" w:sz="6" w:space="0" w:color="auto"/>
              <w:right w:val="nil" w:sz="6" w:space="0" w:color="auto"/>
            </w:tcBorders>
          </w:tcPr>
          <w:p>
            <w:pPr/>
          </w:p>
        </w:tc>
        <w:tc>
          <w:tcPr>
            <w:tcW w:w="2039" w:type="dxa"/>
            <w:gridSpan w:val="2"/>
            <w:tcBorders>
              <w:top w:val="nil" w:sz="6" w:space="0" w:color="auto"/>
              <w:left w:val="nil" w:sz="6" w:space="0" w:color="auto"/>
              <w:bottom w:val="nil" w:sz="6" w:space="0" w:color="auto"/>
              <w:right w:val="nil" w:sz="6" w:space="0" w:color="auto"/>
            </w:tcBorders>
          </w:tcPr>
          <w:p>
            <w:pPr>
              <w:pStyle w:val="TableParagraph"/>
              <w:tabs>
                <w:tab w:pos="1228" w:val="left" w:leader="none"/>
              </w:tabs>
              <w:spacing w:line="240" w:lineRule="auto" w:before="6"/>
              <w:ind w:left="801" w:right="0"/>
              <w:jc w:val="left"/>
              <w:rPr>
                <w:rFonts w:ascii="Arial" w:hAnsi="Arial" w:cs="Arial" w:eastAsia="Arial" w:hint="default"/>
                <w:sz w:val="20"/>
                <w:szCs w:val="20"/>
              </w:rPr>
            </w:pPr>
            <w:r>
              <w:rPr>
                <w:rFonts w:ascii="Arial"/>
                <w:sz w:val="20"/>
              </w:rPr>
              <w:t>(</w:t>
            </w:r>
            <w:r>
              <w:rPr>
                <w:rFonts w:ascii="Arial"/>
                <w:sz w:val="20"/>
                <w:u w:val="single" w:color="000000"/>
              </w:rPr>
              <w:t> </w:t>
              <w:tab/>
              <w:t>382,200</w:t>
            </w:r>
            <w:r>
              <w:rPr>
                <w:rFonts w:ascii="Arial"/>
                <w:sz w:val="20"/>
              </w:rPr>
              <w:t>)</w:t>
            </w:r>
          </w:p>
        </w:tc>
        <w:tc>
          <w:tcPr>
            <w:tcW w:w="500" w:type="dxa"/>
            <w:tcBorders>
              <w:top w:val="nil" w:sz="6" w:space="0" w:color="auto"/>
              <w:left w:val="nil" w:sz="6" w:space="0" w:color="auto"/>
              <w:bottom w:val="nil" w:sz="6" w:space="0" w:color="auto"/>
              <w:right w:val="nil" w:sz="6" w:space="0" w:color="auto"/>
            </w:tcBorders>
          </w:tcPr>
          <w:p>
            <w:pPr/>
          </w:p>
        </w:tc>
      </w:tr>
      <w:tr>
        <w:trPr>
          <w:trHeight w:val="328" w:hRule="exact"/>
        </w:trPr>
        <w:tc>
          <w:tcPr>
            <w:tcW w:w="2016" w:type="dxa"/>
            <w:tcBorders>
              <w:top w:val="nil" w:sz="6" w:space="0" w:color="auto"/>
              <w:left w:val="nil" w:sz="6" w:space="0" w:color="auto"/>
              <w:bottom w:val="nil" w:sz="6" w:space="0" w:color="auto"/>
              <w:right w:val="nil" w:sz="6" w:space="0" w:color="auto"/>
            </w:tcBorders>
          </w:tcPr>
          <w:p>
            <w:pPr/>
          </w:p>
        </w:tc>
        <w:tc>
          <w:tcPr>
            <w:tcW w:w="909" w:type="dxa"/>
            <w:tcBorders>
              <w:top w:val="nil" w:sz="6" w:space="0" w:color="auto"/>
              <w:left w:val="nil" w:sz="6" w:space="0" w:color="auto"/>
              <w:bottom w:val="nil" w:sz="6" w:space="0" w:color="auto"/>
              <w:right w:val="nil" w:sz="6" w:space="0" w:color="auto"/>
            </w:tcBorders>
          </w:tcPr>
          <w:p>
            <w:pPr/>
          </w:p>
        </w:tc>
        <w:tc>
          <w:tcPr>
            <w:tcW w:w="3522" w:type="dxa"/>
            <w:gridSpan w:val="3"/>
            <w:tcBorders>
              <w:top w:val="nil" w:sz="6" w:space="0" w:color="auto"/>
              <w:left w:val="nil" w:sz="6" w:space="0" w:color="auto"/>
              <w:bottom w:val="nil" w:sz="6" w:space="0" w:color="auto"/>
              <w:right w:val="nil" w:sz="6" w:space="0" w:color="auto"/>
            </w:tcBorders>
          </w:tcPr>
          <w:p>
            <w:pPr/>
          </w:p>
        </w:tc>
        <w:tc>
          <w:tcPr>
            <w:tcW w:w="20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
              <w:ind w:left="814" w:right="0"/>
              <w:jc w:val="left"/>
              <w:rPr>
                <w:rFonts w:ascii="Arial" w:hAnsi="Arial" w:cs="Arial" w:eastAsia="Arial" w:hint="default"/>
                <w:sz w:val="20"/>
                <w:szCs w:val="20"/>
              </w:rPr>
            </w:pPr>
            <w:r>
              <w:rPr>
                <w:rFonts w:ascii="Arial"/>
                <w:sz w:val="20"/>
              </w:rPr>
              <w:t>(  </w:t>
            </w:r>
            <w:r>
              <w:rPr>
                <w:rFonts w:ascii="Arial"/>
                <w:spacing w:val="6"/>
                <w:sz w:val="20"/>
              </w:rPr>
              <w:t> </w:t>
            </w:r>
            <w:r>
              <w:rPr>
                <w:rFonts w:ascii="Arial"/>
                <w:spacing w:val="6"/>
                <w:sz w:val="20"/>
                <w:u w:val="thick" w:color="000000"/>
              </w:rPr>
              <w:t> </w:t>
            </w:r>
            <w:r>
              <w:rPr>
                <w:rFonts w:ascii="Arial"/>
                <w:sz w:val="20"/>
                <w:u w:val="thick" w:color="000000"/>
              </w:rPr>
              <w:t>6,682,955</w:t>
            </w:r>
            <w:r>
              <w:rPr>
                <w:rFonts w:ascii="Arial"/>
                <w:sz w:val="20"/>
              </w:rPr>
              <w:t>)</w:t>
            </w:r>
          </w:p>
        </w:tc>
        <w:tc>
          <w:tcPr>
            <w:tcW w:w="500"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958" w:footer="385" w:top="2560" w:bottom="580" w:left="1600" w:right="440"/>
        </w:sectPr>
      </w:pPr>
    </w:p>
    <w:p>
      <w:pPr>
        <w:spacing w:line="240" w:lineRule="auto" w:before="0"/>
        <w:rPr>
          <w:rFonts w:ascii="黑体" w:hAnsi="黑体" w:cs="黑体" w:eastAsia="黑体" w:hint="default"/>
          <w:sz w:val="20"/>
          <w:szCs w:val="20"/>
        </w:rPr>
      </w:pPr>
    </w:p>
    <w:p>
      <w:pPr>
        <w:spacing w:line="240" w:lineRule="auto" w:before="4"/>
        <w:rPr>
          <w:rFonts w:ascii="黑体" w:hAnsi="黑体" w:cs="黑体" w:eastAsia="黑体" w:hint="default"/>
          <w:sz w:val="16"/>
          <w:szCs w:val="16"/>
        </w:rPr>
      </w:pPr>
    </w:p>
    <w:p>
      <w:pPr>
        <w:spacing w:before="0"/>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3"/>
        <w:rPr>
          <w:rFonts w:ascii="黑体" w:hAnsi="黑体" w:cs="黑体" w:eastAsia="黑体" w:hint="default"/>
          <w:b/>
          <w:bCs/>
          <w:sz w:val="15"/>
          <w:szCs w:val="15"/>
        </w:rPr>
      </w:pPr>
    </w:p>
    <w:p>
      <w:pPr>
        <w:tabs>
          <w:tab w:pos="768"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9.</w:t>
        <w:tab/>
      </w:r>
      <w:r>
        <w:rPr>
          <w:rFonts w:ascii="黑体" w:hAnsi="黑体" w:cs="黑体" w:eastAsia="黑体" w:hint="default"/>
          <w:b/>
          <w:bCs/>
          <w:sz w:val="20"/>
          <w:szCs w:val="20"/>
        </w:rPr>
        <w:t>长期股权投资（续）</w:t>
      </w:r>
      <w:r>
        <w:rPr>
          <w:rFonts w:ascii="黑体" w:hAnsi="黑体" w:cs="黑体" w:eastAsia="黑体" w:hint="default"/>
          <w:sz w:val="20"/>
          <w:szCs w:val="20"/>
        </w:rPr>
      </w:r>
    </w:p>
    <w:p>
      <w:pPr>
        <w:spacing w:line="240" w:lineRule="auto" w:before="12"/>
        <w:rPr>
          <w:rFonts w:ascii="黑体" w:hAnsi="黑体" w:cs="黑体" w:eastAsia="黑体" w:hint="default"/>
          <w:b/>
          <w:bCs/>
          <w:sz w:val="17"/>
          <w:szCs w:val="17"/>
        </w:rPr>
      </w:pPr>
    </w:p>
    <w:p>
      <w:pPr>
        <w:pStyle w:val="BodyText"/>
        <w:spacing w:line="240" w:lineRule="auto"/>
        <w:ind w:right="0"/>
        <w:jc w:val="left"/>
      </w:pPr>
      <w:r>
        <w:rPr>
          <w:rFonts w:ascii="Arial" w:hAnsi="Arial" w:cs="Arial" w:eastAsia="Arial" w:hint="default"/>
        </w:rPr>
        <w:t>(ii)  </w:t>
      </w:r>
      <w:r>
        <w:rPr>
          <w:rFonts w:ascii="Arial" w:hAnsi="Arial" w:cs="Arial" w:eastAsia="Arial" w:hint="default"/>
          <w:spacing w:val="27"/>
        </w:rPr>
        <w:t> </w:t>
      </w:r>
      <w:r>
        <w:rPr/>
        <w:t>按成本法核算的股权投资</w:t>
      </w:r>
      <w:r>
        <w:rPr>
          <w:rFonts w:ascii="Arial" w:hAnsi="Arial" w:cs="Arial" w:eastAsia="Arial" w:hint="default"/>
        </w:rPr>
        <w:t>-</w:t>
      </w:r>
      <w:r>
        <w:rPr/>
        <w:t>子公司（续）</w:t>
      </w:r>
    </w:p>
    <w:p>
      <w:pPr>
        <w:spacing w:line="240" w:lineRule="auto" w:before="2"/>
        <w:rPr>
          <w:rFonts w:ascii="黑体" w:hAnsi="黑体" w:cs="黑体" w:eastAsia="黑体" w:hint="default"/>
          <w:sz w:val="25"/>
          <w:szCs w:val="25"/>
        </w:rPr>
      </w:pPr>
    </w:p>
    <w:p>
      <w:pPr>
        <w:pStyle w:val="BodyText"/>
        <w:spacing w:line="260" w:lineRule="exact"/>
        <w:ind w:left="1234" w:right="195" w:hanging="425"/>
        <w:jc w:val="both"/>
      </w:pPr>
      <w:r>
        <w:rPr>
          <w:spacing w:val="-1"/>
        </w:rPr>
        <w:t>注</w:t>
      </w:r>
      <w:r>
        <w:rPr>
          <w:rFonts w:ascii="Arial" w:hAnsi="Arial" w:cs="Arial" w:eastAsia="Arial" w:hint="default"/>
          <w:spacing w:val="-1"/>
        </w:rPr>
        <w:t>1.</w:t>
      </w:r>
      <w:r>
        <w:rPr>
          <w:rFonts w:ascii="Arial" w:hAnsi="Arial" w:cs="Arial" w:eastAsia="Arial" w:hint="default"/>
          <w:spacing w:val="31"/>
        </w:rPr>
        <w:t> </w:t>
      </w:r>
      <w:r>
        <w:rPr>
          <w:spacing w:val="-2"/>
        </w:rPr>
        <w:t>由于深圳灏麓梵的少数股东已事实注销，本公司于本年将应收其少数股东的投资款人</w:t>
      </w:r>
      <w:r>
        <w:rPr>
          <w:spacing w:val="-90"/>
        </w:rPr>
        <w:t> </w:t>
      </w:r>
      <w:r>
        <w:rPr>
          <w:spacing w:val="-90"/>
        </w:rPr>
      </w:r>
      <w:r>
        <w:rPr/>
        <w:t>民币</w:t>
      </w:r>
      <w:r>
        <w:rPr>
          <w:rFonts w:ascii="Arial" w:hAnsi="Arial" w:cs="Arial" w:eastAsia="Arial" w:hint="default"/>
        </w:rPr>
        <w:t>100,000</w:t>
      </w:r>
      <w:r>
        <w:rPr/>
        <w:t>元转入了本公司对深圳灏麓梵的投资成本。</w:t>
      </w:r>
    </w:p>
    <w:p>
      <w:pPr>
        <w:spacing w:line="240" w:lineRule="auto" w:before="7"/>
        <w:rPr>
          <w:rFonts w:ascii="黑体" w:hAnsi="黑体" w:cs="黑体" w:eastAsia="黑体" w:hint="default"/>
          <w:sz w:val="17"/>
          <w:szCs w:val="17"/>
        </w:rPr>
      </w:pPr>
    </w:p>
    <w:p>
      <w:pPr>
        <w:pStyle w:val="BodyText"/>
        <w:spacing w:line="260" w:lineRule="exact"/>
        <w:ind w:left="1234" w:right="195" w:hanging="425"/>
        <w:jc w:val="both"/>
      </w:pPr>
      <w:r>
        <w:rPr/>
        <w:t>注</w:t>
      </w:r>
      <w:r>
        <w:rPr>
          <w:rFonts w:ascii="Arial" w:hAnsi="Arial" w:cs="Arial" w:eastAsia="Arial" w:hint="default"/>
        </w:rPr>
        <w:t>2. </w:t>
      </w:r>
      <w:r>
        <w:rPr/>
        <w:t>根据</w:t>
      </w:r>
      <w:r>
        <w:rPr>
          <w:rFonts w:ascii="Arial" w:hAnsi="Arial" w:cs="Arial" w:eastAsia="Arial" w:hint="default"/>
        </w:rPr>
        <w:t>2007</w:t>
      </w:r>
      <w:r>
        <w:rPr/>
        <w:t>年</w:t>
      </w:r>
      <w:r>
        <w:rPr>
          <w:rFonts w:ascii="Arial" w:hAnsi="Arial" w:cs="Arial" w:eastAsia="Arial" w:hint="default"/>
        </w:rPr>
        <w:t>10</w:t>
      </w:r>
      <w:r>
        <w:rPr/>
        <w:t>月</w:t>
      </w:r>
      <w:r>
        <w:rPr>
          <w:rFonts w:ascii="Arial" w:hAnsi="Arial" w:cs="Arial" w:eastAsia="Arial" w:hint="default"/>
        </w:rPr>
        <w:t>11</w:t>
      </w:r>
      <w:r>
        <w:rPr/>
        <w:t>日公司第三届董事会</w:t>
      </w:r>
      <w:r>
        <w:rPr>
          <w:rFonts w:ascii="Arial" w:hAnsi="Arial" w:cs="Arial" w:eastAsia="Arial" w:hint="default"/>
        </w:rPr>
        <w:t>2007</w:t>
      </w:r>
      <w:r>
        <w:rPr/>
        <w:t>年第九次会议决议，本公司于</w:t>
      </w:r>
      <w:r>
        <w:rPr>
          <w:rFonts w:ascii="Arial" w:hAnsi="Arial" w:cs="Arial" w:eastAsia="Arial" w:hint="default"/>
        </w:rPr>
        <w:t>2009</w:t>
      </w:r>
      <w:r>
        <w:rPr/>
        <w:t>年</w:t>
      </w:r>
      <w:r>
        <w:rPr>
          <w:rFonts w:ascii="Arial" w:hAnsi="Arial" w:cs="Arial" w:eastAsia="Arial" w:hint="default"/>
        </w:rPr>
        <w:t>2</w:t>
      </w:r>
      <w:r>
        <w:rPr>
          <w:rFonts w:ascii="Arial" w:hAnsi="Arial" w:cs="Arial" w:eastAsia="Arial" w:hint="default"/>
          <w:spacing w:val="-47"/>
        </w:rPr>
        <w:t> </w:t>
      </w:r>
      <w:r>
        <w:rPr/>
        <w:t>月</w:t>
      </w:r>
      <w:r>
        <w:rPr>
          <w:rFonts w:ascii="Arial" w:hAnsi="Arial" w:cs="Arial" w:eastAsia="Arial" w:hint="default"/>
        </w:rPr>
        <w:t>20</w:t>
      </w:r>
      <w:r>
        <w:rPr/>
        <w:t>日认购</w:t>
      </w:r>
      <w:r>
        <w:rPr>
          <w:rFonts w:ascii="Arial" w:hAnsi="Arial" w:cs="Arial" w:eastAsia="Arial" w:hint="default"/>
        </w:rPr>
        <w:t>UF</w:t>
      </w:r>
      <w:r>
        <w:rPr>
          <w:rFonts w:ascii="Arial" w:hAnsi="Arial" w:cs="Arial" w:eastAsia="Arial" w:hint="default"/>
          <w:spacing w:val="20"/>
        </w:rPr>
        <w:t> </w:t>
      </w:r>
      <w:r>
        <w:rPr>
          <w:rFonts w:ascii="Arial" w:hAnsi="Arial" w:cs="Arial" w:eastAsia="Arial" w:hint="default"/>
          <w:spacing w:val="-4"/>
        </w:rPr>
        <w:t>INTERNATIONAL</w:t>
      </w:r>
      <w:r>
        <w:rPr>
          <w:spacing w:val="-4"/>
        </w:rPr>
        <w:t>发行的股票</w:t>
      </w:r>
      <w:r>
        <w:rPr>
          <w:rFonts w:ascii="Arial" w:hAnsi="Arial" w:cs="Arial" w:eastAsia="Arial" w:hint="default"/>
          <w:spacing w:val="-4"/>
        </w:rPr>
        <w:t>10,000</w:t>
      </w:r>
      <w:r>
        <w:rPr>
          <w:spacing w:val="-4"/>
        </w:rPr>
        <w:t>股，每股面值</w:t>
      </w:r>
      <w:r>
        <w:rPr>
          <w:rFonts w:ascii="Arial" w:hAnsi="Arial" w:cs="Arial" w:eastAsia="Arial" w:hint="default"/>
          <w:spacing w:val="-4"/>
        </w:rPr>
        <w:t>1</w:t>
      </w:r>
      <w:r>
        <w:rPr>
          <w:spacing w:val="-4"/>
        </w:rPr>
        <w:t>美元，认购价为每</w:t>
      </w:r>
      <w:r>
        <w:rPr>
          <w:w w:val="100"/>
        </w:rPr>
        <w:t> </w:t>
      </w:r>
      <w:r>
        <w:rPr/>
        <w:t>股</w:t>
      </w:r>
      <w:r>
        <w:rPr>
          <w:rFonts w:ascii="Arial" w:hAnsi="Arial" w:cs="Arial" w:eastAsia="Arial" w:hint="default"/>
        </w:rPr>
        <w:t>200</w:t>
      </w:r>
      <w:r>
        <w:rPr/>
        <w:t>美元，共计人民币</w:t>
      </w:r>
      <w:r>
        <w:rPr>
          <w:rFonts w:ascii="Arial" w:hAnsi="Arial" w:cs="Arial" w:eastAsia="Arial" w:hint="default"/>
        </w:rPr>
        <w:t>13,710,799</w:t>
      </w:r>
      <w:r>
        <w:rPr/>
        <w:t>元。</w:t>
      </w:r>
      <w:r>
        <w:rPr>
          <w:rFonts w:ascii="Arial" w:hAnsi="Arial" w:cs="Arial" w:eastAsia="Arial" w:hint="default"/>
        </w:rPr>
        <w:t>UF</w:t>
      </w:r>
      <w:r>
        <w:rPr>
          <w:rFonts w:ascii="Arial" w:hAnsi="Arial" w:cs="Arial" w:eastAsia="Arial" w:hint="default"/>
          <w:spacing w:val="-4"/>
        </w:rPr>
        <w:t> </w:t>
      </w:r>
      <w:r>
        <w:rPr>
          <w:rFonts w:ascii="Arial" w:hAnsi="Arial" w:cs="Arial" w:eastAsia="Arial" w:hint="default"/>
        </w:rPr>
        <w:t>INTERNATIONAL</w:t>
      </w:r>
      <w:r>
        <w:rPr/>
        <w:t>为本公司</w:t>
      </w:r>
      <w:r>
        <w:rPr>
          <w:rFonts w:ascii="Arial" w:hAnsi="Arial" w:cs="Arial" w:eastAsia="Arial" w:hint="default"/>
        </w:rPr>
        <w:t>100%</w:t>
      </w:r>
      <w:r>
        <w:rPr/>
        <w:t>持股的</w:t>
      </w:r>
      <w:r>
        <w:rPr>
          <w:w w:val="100"/>
        </w:rPr>
        <w:t> </w:t>
      </w:r>
      <w:r>
        <w:rPr/>
        <w:t>海外子公司，于国外实行预授股权，以认购发行的股票的方式进行增资。</w:t>
      </w:r>
    </w:p>
    <w:p>
      <w:pPr>
        <w:spacing w:line="240" w:lineRule="auto" w:before="5"/>
        <w:rPr>
          <w:rFonts w:ascii="黑体" w:hAnsi="黑体" w:cs="黑体" w:eastAsia="黑体" w:hint="default"/>
          <w:sz w:val="26"/>
          <w:szCs w:val="26"/>
        </w:rPr>
      </w:pPr>
    </w:p>
    <w:p>
      <w:pPr>
        <w:pStyle w:val="BodyText"/>
        <w:spacing w:line="228" w:lineRule="auto"/>
        <w:ind w:left="1234" w:right="192" w:hanging="426"/>
        <w:jc w:val="both"/>
      </w:pPr>
      <w:r>
        <w:rPr/>
        <w:t>注</w:t>
      </w:r>
      <w:r>
        <w:rPr>
          <w:rFonts w:ascii="Arial" w:hAnsi="Arial" w:cs="Arial" w:eastAsia="Arial" w:hint="default"/>
        </w:rPr>
        <w:t>3.</w:t>
      </w:r>
      <w:r>
        <w:rPr>
          <w:rFonts w:ascii="Arial" w:hAnsi="Arial" w:cs="Arial" w:eastAsia="Arial" w:hint="default"/>
          <w:spacing w:val="-13"/>
        </w:rPr>
        <w:t> </w:t>
      </w:r>
      <w:r>
        <w:rPr/>
        <w:t>根据</w:t>
      </w:r>
      <w:r>
        <w:rPr>
          <w:rFonts w:ascii="Arial" w:hAnsi="Arial" w:cs="Arial" w:eastAsia="Arial" w:hint="default"/>
        </w:rPr>
        <w:t>2009</w:t>
      </w:r>
      <w:r>
        <w:rPr/>
        <w:t>年</w:t>
      </w:r>
      <w:r>
        <w:rPr>
          <w:rFonts w:ascii="Arial" w:hAnsi="Arial" w:cs="Arial" w:eastAsia="Arial" w:hint="default"/>
        </w:rPr>
        <w:t>9</w:t>
      </w:r>
      <w:r>
        <w:rPr/>
        <w:t>月</w:t>
      </w:r>
      <w:r>
        <w:rPr>
          <w:rFonts w:ascii="Arial" w:hAnsi="Arial" w:cs="Arial" w:eastAsia="Arial" w:hint="default"/>
        </w:rPr>
        <w:t>1</w:t>
      </w:r>
      <w:r>
        <w:rPr/>
        <w:t>日公司第四届董事会</w:t>
      </w:r>
      <w:r>
        <w:rPr>
          <w:rFonts w:ascii="Arial" w:hAnsi="Arial" w:cs="Arial" w:eastAsia="Arial" w:hint="default"/>
        </w:rPr>
        <w:t>2009</w:t>
      </w:r>
      <w:r>
        <w:rPr/>
        <w:t>年第七次会议决议，本公司于</w:t>
      </w:r>
      <w:r>
        <w:rPr>
          <w:rFonts w:ascii="Arial" w:hAnsi="Arial" w:cs="Arial" w:eastAsia="Arial" w:hint="default"/>
        </w:rPr>
        <w:t>2009</w:t>
      </w:r>
      <w:r>
        <w:rPr/>
        <w:t>年</w:t>
      </w:r>
      <w:r>
        <w:rPr>
          <w:rFonts w:ascii="Arial" w:hAnsi="Arial" w:cs="Arial" w:eastAsia="Arial" w:hint="default"/>
        </w:rPr>
        <w:t>9</w:t>
      </w:r>
      <w:r>
        <w:rPr/>
        <w:t>月</w:t>
      </w:r>
      <w:r>
        <w:rPr>
          <w:rFonts w:ascii="Arial" w:hAnsi="Arial" w:cs="Arial" w:eastAsia="Arial" w:hint="default"/>
        </w:rPr>
        <w:t>8</w:t>
      </w:r>
      <w:r>
        <w:rPr>
          <w:rFonts w:ascii="Arial" w:hAnsi="Arial" w:cs="Arial" w:eastAsia="Arial" w:hint="default"/>
          <w:w w:val="100"/>
        </w:rPr>
        <w:t> </w:t>
      </w:r>
      <w:r>
        <w:rPr>
          <w:spacing w:val="-2"/>
        </w:rPr>
        <w:t>日与用友华表的自然人股东唐爱平签订了股权转让协议，收购唐爱平持有的用友华表</w:t>
      </w:r>
      <w:r>
        <w:rPr>
          <w:w w:val="100"/>
        </w:rPr>
        <w:t> </w:t>
      </w:r>
      <w:r>
        <w:rPr>
          <w:rFonts w:ascii="Arial" w:hAnsi="Arial" w:cs="Arial" w:eastAsia="Arial" w:hint="default"/>
        </w:rPr>
        <w:t>28%</w:t>
      </w:r>
      <w:r>
        <w:rPr/>
        <w:t>的股权，收购价为人民币</w:t>
      </w:r>
      <w:r>
        <w:rPr>
          <w:rFonts w:ascii="Arial" w:hAnsi="Arial" w:cs="Arial" w:eastAsia="Arial" w:hint="default"/>
        </w:rPr>
        <w:t>5,670,128</w:t>
      </w:r>
      <w:r>
        <w:rPr/>
        <w:t>元，收购后，本公司持有用友华表</w:t>
      </w:r>
      <w:r>
        <w:rPr>
          <w:rFonts w:ascii="Arial" w:hAnsi="Arial" w:cs="Arial" w:eastAsia="Arial" w:hint="default"/>
        </w:rPr>
        <w:t>98%</w:t>
      </w:r>
      <w:r>
        <w:rPr/>
        <w:t>的股</w:t>
      </w:r>
      <w:r>
        <w:rPr>
          <w:spacing w:val="1"/>
          <w:w w:val="100"/>
        </w:rPr>
        <w:t> </w:t>
      </w:r>
      <w:r>
        <w:rPr/>
        <w:t>权。此次收购业经中青瑞会计师事务所有限公司进行专项审计，并于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15</w:t>
      </w:r>
      <w:r>
        <w:rPr>
          <w:rFonts w:ascii="Arial" w:hAnsi="Arial" w:cs="Arial" w:eastAsia="Arial" w:hint="default"/>
          <w:spacing w:val="-2"/>
          <w:w w:val="100"/>
        </w:rPr>
        <w:t> </w:t>
      </w:r>
      <w:r>
        <w:rPr>
          <w:spacing w:val="-3"/>
          <w:w w:val="100"/>
        </w:rPr>
        <w:t>日出具了中青瑞审字</w:t>
      </w:r>
      <w:r>
        <w:rPr>
          <w:rFonts w:ascii="Arial" w:hAnsi="Arial" w:cs="Arial" w:eastAsia="Arial" w:hint="default"/>
          <w:spacing w:val="-3"/>
          <w:w w:val="100"/>
        </w:rPr>
        <w:t>[2009]162</w:t>
      </w:r>
      <w:r>
        <w:rPr>
          <w:spacing w:val="-3"/>
          <w:w w:val="100"/>
        </w:rPr>
        <w:t>号专项审计报告书。该报告书以</w:t>
      </w:r>
      <w:r>
        <w:rPr>
          <w:rFonts w:ascii="Arial" w:hAnsi="Arial" w:cs="Arial" w:eastAsia="Arial" w:hint="default"/>
          <w:spacing w:val="-3"/>
          <w:w w:val="100"/>
        </w:rPr>
        <w:t>2009</w:t>
      </w:r>
      <w:r>
        <w:rPr>
          <w:spacing w:val="-3"/>
          <w:w w:val="100"/>
        </w:rPr>
        <w:t>年</w:t>
      </w:r>
      <w:r>
        <w:rPr>
          <w:rFonts w:ascii="Arial" w:hAnsi="Arial" w:cs="Arial" w:eastAsia="Arial" w:hint="default"/>
          <w:spacing w:val="-3"/>
          <w:w w:val="100"/>
        </w:rPr>
        <w:t>9</w:t>
      </w:r>
      <w:r>
        <w:rPr>
          <w:spacing w:val="-3"/>
          <w:w w:val="100"/>
        </w:rPr>
        <w:t>月</w:t>
      </w:r>
      <w:r>
        <w:rPr>
          <w:rFonts w:ascii="Arial" w:hAnsi="Arial" w:cs="Arial" w:eastAsia="Arial" w:hint="default"/>
          <w:spacing w:val="-3"/>
          <w:w w:val="100"/>
        </w:rPr>
        <w:t>30</w:t>
      </w:r>
      <w:r>
        <w:rPr>
          <w:spacing w:val="-3"/>
          <w:w w:val="100"/>
        </w:rPr>
        <w:t>日资产交</w:t>
      </w:r>
      <w:r>
        <w:rPr>
          <w:w w:val="100"/>
        </w:rPr>
        <w:t> </w:t>
      </w:r>
      <w:r>
        <w:rPr>
          <w:spacing w:val="2"/>
        </w:rPr>
        <w:t>接日为审计报告日，被收购少数股权应分占用友华表经审计的净资产份额为人民币</w:t>
      </w:r>
      <w:r>
        <w:rPr>
          <w:w w:val="100"/>
        </w:rPr>
        <w:t> </w:t>
      </w:r>
      <w:r>
        <w:rPr>
          <w:rFonts w:ascii="Arial" w:hAnsi="Arial" w:cs="Arial" w:eastAsia="Arial" w:hint="default"/>
          <w:spacing w:val="-1"/>
        </w:rPr>
        <w:t>3,383,627</w:t>
      </w:r>
      <w:r>
        <w:rPr>
          <w:spacing w:val="-1"/>
        </w:rPr>
        <w:t>元，因此，收购价款与净资产的差额人民币</w:t>
      </w:r>
      <w:r>
        <w:rPr>
          <w:rFonts w:ascii="Arial" w:hAnsi="Arial" w:cs="Arial" w:eastAsia="Arial" w:hint="default"/>
          <w:spacing w:val="-1"/>
        </w:rPr>
        <w:t>2,286,501</w:t>
      </w:r>
      <w:r>
        <w:rPr>
          <w:spacing w:val="-1"/>
        </w:rPr>
        <w:t>元计入本集团资本公</w:t>
      </w:r>
      <w:r>
        <w:rPr>
          <w:w w:val="100"/>
        </w:rPr>
        <w:t> </w:t>
      </w:r>
      <w:r>
        <w:rPr/>
        <w:t>积。截至</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日，相关工商变更登记已经完成。</w:t>
      </w:r>
    </w:p>
    <w:p>
      <w:pPr>
        <w:spacing w:line="240" w:lineRule="auto" w:before="7"/>
        <w:rPr>
          <w:rFonts w:ascii="黑体" w:hAnsi="黑体" w:cs="黑体" w:eastAsia="黑体" w:hint="default"/>
          <w:sz w:val="27"/>
          <w:szCs w:val="27"/>
        </w:rPr>
      </w:pPr>
    </w:p>
    <w:p>
      <w:pPr>
        <w:pStyle w:val="BodyText"/>
        <w:spacing w:line="225" w:lineRule="auto"/>
        <w:ind w:left="1234" w:right="193" w:hanging="426"/>
        <w:jc w:val="both"/>
      </w:pPr>
      <w:r>
        <w:rPr>
          <w:spacing w:val="-1"/>
        </w:rPr>
        <w:t>注</w:t>
      </w:r>
      <w:r>
        <w:rPr>
          <w:rFonts w:ascii="Arial" w:hAnsi="Arial" w:cs="Arial" w:eastAsia="Arial" w:hint="default"/>
          <w:spacing w:val="-1"/>
        </w:rPr>
        <w:t>4.</w:t>
      </w:r>
      <w:r>
        <w:rPr>
          <w:rFonts w:ascii="Arial" w:hAnsi="Arial" w:cs="Arial" w:eastAsia="Arial" w:hint="default"/>
          <w:spacing w:val="38"/>
        </w:rPr>
        <w:t> </w:t>
      </w:r>
      <w:r>
        <w:rPr>
          <w:spacing w:val="-2"/>
        </w:rPr>
        <w:t>根据</w:t>
      </w:r>
      <w:r>
        <w:rPr>
          <w:rFonts w:ascii="Arial" w:hAnsi="Arial" w:cs="Arial" w:eastAsia="Arial" w:hint="default"/>
          <w:spacing w:val="-2"/>
        </w:rPr>
        <w:t>2009</w:t>
      </w:r>
      <w:r>
        <w:rPr>
          <w:spacing w:val="-2"/>
        </w:rPr>
        <w:t>年</w:t>
      </w:r>
      <w:r>
        <w:rPr>
          <w:rFonts w:ascii="Arial" w:hAnsi="Arial" w:cs="Arial" w:eastAsia="Arial" w:hint="default"/>
          <w:spacing w:val="-2"/>
        </w:rPr>
        <w:t>10</w:t>
      </w:r>
      <w:r>
        <w:rPr>
          <w:spacing w:val="-2"/>
        </w:rPr>
        <w:t>月</w:t>
      </w:r>
      <w:r>
        <w:rPr>
          <w:rFonts w:ascii="Arial" w:hAnsi="Arial" w:cs="Arial" w:eastAsia="Arial" w:hint="default"/>
          <w:spacing w:val="-2"/>
        </w:rPr>
        <w:t>30</w:t>
      </w:r>
      <w:r>
        <w:rPr>
          <w:spacing w:val="-2"/>
        </w:rPr>
        <w:t>日公司第四届董事会</w:t>
      </w:r>
      <w:r>
        <w:rPr>
          <w:rFonts w:ascii="Arial" w:hAnsi="Arial" w:cs="Arial" w:eastAsia="Arial" w:hint="default"/>
          <w:spacing w:val="-2"/>
        </w:rPr>
        <w:t>2009</w:t>
      </w:r>
      <w:r>
        <w:rPr>
          <w:spacing w:val="-2"/>
        </w:rPr>
        <w:t>年第十次会议决议，本公司于</w:t>
      </w:r>
      <w:r>
        <w:rPr>
          <w:rFonts w:ascii="Arial" w:hAnsi="Arial" w:cs="Arial" w:eastAsia="Arial" w:hint="default"/>
          <w:spacing w:val="-2"/>
        </w:rPr>
        <w:t>2009</w:t>
      </w:r>
      <w:r>
        <w:rPr>
          <w:spacing w:val="-2"/>
        </w:rPr>
        <w:t>年</w:t>
      </w:r>
      <w:r>
        <w:rPr>
          <w:rFonts w:ascii="Arial" w:hAnsi="Arial" w:cs="Arial" w:eastAsia="Arial" w:hint="default"/>
          <w:spacing w:val="-2"/>
        </w:rPr>
        <w:t>10</w:t>
      </w:r>
      <w:r>
        <w:rPr>
          <w:rFonts w:ascii="Arial" w:hAnsi="Arial" w:cs="Arial" w:eastAsia="Arial" w:hint="default"/>
          <w:spacing w:val="-40"/>
        </w:rPr>
        <w:t> </w:t>
      </w:r>
      <w:r>
        <w:rPr>
          <w:spacing w:val="-2"/>
        </w:rPr>
        <w:t>月</w:t>
      </w:r>
      <w:r>
        <w:rPr>
          <w:rFonts w:ascii="Arial" w:hAnsi="Arial" w:cs="Arial" w:eastAsia="Arial" w:hint="default"/>
          <w:spacing w:val="-2"/>
        </w:rPr>
        <w:t>30</w:t>
      </w:r>
      <w:r>
        <w:rPr>
          <w:spacing w:val="-2"/>
        </w:rPr>
        <w:t>日与用友烟草的核心管理人员樊冠军签订了股权转让协议，将本公司持有用友烟</w:t>
      </w:r>
      <w:r>
        <w:rPr>
          <w:w w:val="100"/>
        </w:rPr>
        <w:t> </w:t>
      </w:r>
      <w:r>
        <w:rPr/>
        <w:t>草的账面成本为人民币</w:t>
      </w:r>
      <w:r>
        <w:rPr>
          <w:rFonts w:ascii="Arial" w:hAnsi="Arial" w:cs="Arial" w:eastAsia="Arial" w:hint="default"/>
        </w:rPr>
        <w:t>600,000</w:t>
      </w:r>
      <w:r>
        <w:rPr/>
        <w:t>元的</w:t>
      </w:r>
      <w:r>
        <w:rPr>
          <w:rFonts w:ascii="Arial" w:hAnsi="Arial" w:cs="Arial" w:eastAsia="Arial" w:hint="default"/>
        </w:rPr>
        <w:t>3%</w:t>
      </w:r>
      <w:r>
        <w:rPr/>
        <w:t>股权以人民币</w:t>
      </w:r>
      <w:r>
        <w:rPr>
          <w:rFonts w:ascii="Arial" w:hAnsi="Arial" w:cs="Arial" w:eastAsia="Arial" w:hint="default"/>
        </w:rPr>
        <w:t>781,737</w:t>
      </w:r>
      <w:r>
        <w:rPr/>
        <w:t>元的转让价格转让给樊</w:t>
      </w:r>
      <w:r>
        <w:rPr>
          <w:w w:val="100"/>
        </w:rPr>
        <w:t> </w:t>
      </w:r>
      <w:r>
        <w:rPr/>
        <w:t>冠军，转让后，本公司持有用友烟草</w:t>
      </w:r>
      <w:r>
        <w:rPr>
          <w:rFonts w:ascii="Arial" w:hAnsi="Arial" w:cs="Arial" w:eastAsia="Arial" w:hint="default"/>
        </w:rPr>
        <w:t>76%</w:t>
      </w:r>
      <w:r>
        <w:rPr/>
        <w:t>的股权。截至</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日，相关工商</w:t>
      </w:r>
      <w:r>
        <w:rPr>
          <w:spacing w:val="2"/>
          <w:w w:val="100"/>
        </w:rPr>
        <w:t> </w:t>
      </w:r>
      <w:r>
        <w:rPr/>
        <w:t>变更登记已经完成。</w:t>
      </w:r>
    </w:p>
    <w:p>
      <w:pPr>
        <w:spacing w:line="240" w:lineRule="auto" w:before="6"/>
        <w:rPr>
          <w:rFonts w:ascii="黑体" w:hAnsi="黑体" w:cs="黑体" w:eastAsia="黑体" w:hint="default"/>
          <w:sz w:val="18"/>
          <w:szCs w:val="18"/>
        </w:rPr>
      </w:pPr>
    </w:p>
    <w:p>
      <w:pPr>
        <w:pStyle w:val="BodyText"/>
        <w:spacing w:line="228" w:lineRule="auto"/>
        <w:ind w:left="1234" w:right="0" w:hanging="425"/>
        <w:jc w:val="left"/>
      </w:pPr>
      <w:r>
        <w:rPr/>
        <w:t>注</w:t>
      </w:r>
      <w:r>
        <w:rPr>
          <w:rFonts w:ascii="Arial" w:hAnsi="Arial" w:cs="Arial" w:eastAsia="Arial" w:hint="default"/>
        </w:rPr>
        <w:t>5. </w:t>
      </w:r>
      <w:r>
        <w:rPr>
          <w:spacing w:val="-3"/>
        </w:rPr>
        <w:t>根据</w:t>
      </w:r>
      <w:r>
        <w:rPr>
          <w:rFonts w:ascii="Arial" w:hAnsi="Arial" w:cs="Arial" w:eastAsia="Arial" w:hint="default"/>
          <w:spacing w:val="-3"/>
        </w:rPr>
        <w:t>2008</w:t>
      </w:r>
      <w:r>
        <w:rPr>
          <w:spacing w:val="-3"/>
        </w:rPr>
        <w:t>年</w:t>
      </w:r>
      <w:r>
        <w:rPr>
          <w:rFonts w:ascii="Arial" w:hAnsi="Arial" w:cs="Arial" w:eastAsia="Arial" w:hint="default"/>
          <w:spacing w:val="-3"/>
        </w:rPr>
        <w:t>10</w:t>
      </w:r>
      <w:r>
        <w:rPr>
          <w:spacing w:val="-3"/>
        </w:rPr>
        <w:t>月，本公司与方正春元的</w:t>
      </w:r>
      <w:r>
        <w:rPr>
          <w:rFonts w:ascii="Arial" w:hAnsi="Arial" w:cs="Arial" w:eastAsia="Arial" w:hint="default"/>
          <w:spacing w:val="-3"/>
        </w:rPr>
        <w:t>18</w:t>
      </w:r>
      <w:r>
        <w:rPr>
          <w:spacing w:val="-3"/>
        </w:rPr>
        <w:t>名自然人股东（以下简称</w:t>
      </w:r>
      <w:r>
        <w:rPr>
          <w:rFonts w:ascii="Arial" w:hAnsi="Arial" w:cs="Arial" w:eastAsia="Arial" w:hint="default"/>
          <w:spacing w:val="-3"/>
        </w:rPr>
        <w:t>“</w:t>
      </w:r>
      <w:r>
        <w:rPr>
          <w:spacing w:val="-3"/>
        </w:rPr>
        <w:t>自然人股东</w:t>
      </w:r>
      <w:r>
        <w:rPr>
          <w:rFonts w:ascii="Arial" w:hAnsi="Arial" w:cs="Arial" w:eastAsia="Arial" w:hint="default"/>
          <w:spacing w:val="-3"/>
        </w:rPr>
        <w:t>”</w:t>
      </w:r>
      <w:r>
        <w:rPr>
          <w:spacing w:val="-3"/>
        </w:rPr>
        <w:t>）和</w:t>
      </w:r>
      <w:r>
        <w:rPr>
          <w:spacing w:val="-54"/>
        </w:rPr>
        <w:t> </w:t>
      </w:r>
      <w:r>
        <w:rPr>
          <w:spacing w:val="-4"/>
        </w:rPr>
        <w:t>北大方正投资有限公司（以下简称</w:t>
      </w:r>
      <w:r>
        <w:rPr>
          <w:rFonts w:ascii="Arial" w:hAnsi="Arial" w:cs="Arial" w:eastAsia="Arial" w:hint="default"/>
          <w:spacing w:val="-4"/>
        </w:rPr>
        <w:t>“</w:t>
      </w:r>
      <w:r>
        <w:rPr>
          <w:spacing w:val="-4"/>
        </w:rPr>
        <w:t>方正投资</w:t>
      </w:r>
      <w:r>
        <w:rPr>
          <w:rFonts w:ascii="Arial" w:hAnsi="Arial" w:cs="Arial" w:eastAsia="Arial" w:hint="default"/>
          <w:spacing w:val="-4"/>
        </w:rPr>
        <w:t>”</w:t>
      </w:r>
      <w:r>
        <w:rPr>
          <w:spacing w:val="-4"/>
        </w:rPr>
        <w:t>）（统称</w:t>
      </w:r>
      <w:r>
        <w:rPr>
          <w:rFonts w:ascii="Arial" w:hAnsi="Arial" w:cs="Arial" w:eastAsia="Arial" w:hint="default"/>
          <w:spacing w:val="-4"/>
        </w:rPr>
        <w:t>“</w:t>
      </w:r>
      <w:r>
        <w:rPr>
          <w:spacing w:val="-4"/>
        </w:rPr>
        <w:t>转让方</w:t>
      </w:r>
      <w:r>
        <w:rPr>
          <w:rFonts w:ascii="Arial" w:hAnsi="Arial" w:cs="Arial" w:eastAsia="Arial" w:hint="default"/>
          <w:spacing w:val="-4"/>
        </w:rPr>
        <w:t>”</w:t>
      </w:r>
      <w:r>
        <w:rPr>
          <w:spacing w:val="-4"/>
        </w:rPr>
        <w:t>）签署的股权并购框架</w:t>
      </w:r>
      <w:r>
        <w:rPr>
          <w:w w:val="100"/>
        </w:rPr>
        <w:t> </w:t>
      </w:r>
      <w:r>
        <w:rPr/>
        <w:t>协议，转让方将合计持有的方正春元</w:t>
      </w:r>
      <w:r>
        <w:rPr>
          <w:rFonts w:ascii="Arial" w:hAnsi="Arial" w:cs="Arial" w:eastAsia="Arial" w:hint="default"/>
        </w:rPr>
        <w:t>100%</w:t>
      </w:r>
      <w:r>
        <w:rPr/>
        <w:t>股权转让给本公司，其中方正春元自然人</w:t>
      </w:r>
      <w:r>
        <w:rPr>
          <w:w w:val="100"/>
        </w:rPr>
        <w:t> </w:t>
      </w:r>
      <w:r>
        <w:rPr>
          <w:spacing w:val="8"/>
        </w:rPr>
        <w:t>股东和方正投资分别持有方正春元的股份为</w:t>
      </w:r>
      <w:r>
        <w:rPr>
          <w:rFonts w:ascii="Arial" w:hAnsi="Arial" w:cs="Arial" w:eastAsia="Arial" w:hint="default"/>
          <w:spacing w:val="8"/>
        </w:rPr>
        <w:t>85%</w:t>
      </w:r>
      <w:r>
        <w:rPr>
          <w:spacing w:val="8"/>
        </w:rPr>
        <w:t>和</w:t>
      </w:r>
      <w:r>
        <w:rPr>
          <w:rFonts w:ascii="Arial" w:hAnsi="Arial" w:cs="Arial" w:eastAsia="Arial" w:hint="default"/>
          <w:spacing w:val="8"/>
        </w:rPr>
        <w:t>15%</w:t>
      </w:r>
      <w:r>
        <w:rPr>
          <w:spacing w:val="8"/>
        </w:rPr>
        <w:t>，转让价款分别为人民币</w:t>
      </w:r>
      <w:r>
        <w:rPr>
          <w:w w:val="100"/>
        </w:rPr>
        <w:t> </w:t>
      </w:r>
      <w:r>
        <w:rPr>
          <w:rFonts w:ascii="Arial" w:hAnsi="Arial" w:cs="Arial" w:eastAsia="Arial" w:hint="default"/>
        </w:rPr>
        <w:t>323,000,000</w:t>
      </w:r>
      <w:r>
        <w:rPr/>
        <w:t>元和人民币</w:t>
      </w:r>
      <w:r>
        <w:rPr>
          <w:rFonts w:ascii="Arial" w:hAnsi="Arial" w:cs="Arial" w:eastAsia="Arial" w:hint="default"/>
        </w:rPr>
        <w:t>57,000,000</w:t>
      </w:r>
      <w:r>
        <w:rPr/>
        <w:t>元。协议规定自然人股东和方正投资的股份转让</w:t>
      </w:r>
      <w:r>
        <w:rPr>
          <w:w w:val="100"/>
        </w:rPr>
        <w:t> </w:t>
      </w:r>
      <w:r>
        <w:rPr/>
        <w:t>交割分两次完成。截至</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日，自然人股东的股份转让已经完成。方正投</w:t>
      </w:r>
      <w:r>
        <w:rPr>
          <w:w w:val="100"/>
        </w:rPr>
        <w:t> </w:t>
      </w:r>
      <w:r>
        <w:rPr/>
        <w:t>资作为国有企业，其持有的方正春元的股权应按照国务院国有资产监督管理委员会、</w:t>
      </w:r>
      <w:r>
        <w:rPr>
          <w:w w:val="100"/>
        </w:rPr>
        <w:t> </w:t>
      </w:r>
      <w:r>
        <w:rPr/>
        <w:t>财政部颁布的现行有效的《企业国有产权转让管理暂行办法》、国有资产评估及有关</w:t>
      </w:r>
      <w:r>
        <w:rPr>
          <w:w w:val="100"/>
        </w:rPr>
        <w:t> </w:t>
      </w:r>
      <w:r>
        <w:rPr/>
        <w:t>法律的规定在产权交易所公开转让其持有的方正春元的股权。根据</w:t>
      </w:r>
      <w:r>
        <w:rPr>
          <w:rFonts w:ascii="Arial" w:hAnsi="Arial" w:cs="Arial" w:eastAsia="Arial" w:hint="default"/>
        </w:rPr>
        <w:t>2009</w:t>
      </w:r>
      <w:r>
        <w:rPr/>
        <w:t>年</w:t>
      </w:r>
      <w:r>
        <w:rPr>
          <w:rFonts w:ascii="Arial" w:hAnsi="Arial" w:cs="Arial" w:eastAsia="Arial" w:hint="default"/>
        </w:rPr>
        <w:t>11</w:t>
      </w:r>
      <w:r>
        <w:rPr/>
        <w:t>月</w:t>
      </w:r>
      <w:r>
        <w:rPr>
          <w:rFonts w:ascii="Arial" w:hAnsi="Arial" w:cs="Arial" w:eastAsia="Arial" w:hint="default"/>
        </w:rPr>
        <w:t>11</w:t>
      </w:r>
      <w:r>
        <w:rPr/>
        <w:t>日</w:t>
      </w:r>
      <w:r>
        <w:rPr>
          <w:w w:val="100"/>
        </w:rPr>
        <w:t> </w:t>
      </w:r>
      <w:r>
        <w:rPr/>
        <w:t>本公司与方正投资签署的出资转让协议及企业国有产权交易凭证及</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17</w:t>
      </w:r>
      <w:r>
        <w:rPr/>
        <w:t>日</w:t>
      </w:r>
      <w:r>
        <w:rPr>
          <w:w w:val="100"/>
        </w:rPr>
        <w:t> </w:t>
      </w:r>
      <w:r>
        <w:rPr>
          <w:spacing w:val="-1"/>
        </w:rPr>
        <w:t>的股权转让款支付凭证，方正投资所持有方正春元</w:t>
      </w:r>
      <w:r>
        <w:rPr>
          <w:rFonts w:ascii="Arial" w:hAnsi="Arial" w:cs="Arial" w:eastAsia="Arial" w:hint="default"/>
          <w:spacing w:val="-1"/>
        </w:rPr>
        <w:t>15%</w:t>
      </w:r>
      <w:r>
        <w:rPr>
          <w:spacing w:val="-1"/>
        </w:rPr>
        <w:t>股权于</w:t>
      </w: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月完成转让。</w:t>
      </w:r>
      <w:r>
        <w:rPr>
          <w:w w:val="100"/>
        </w:rPr>
        <w:t> </w:t>
      </w:r>
      <w:r>
        <w:rPr/>
        <w:t>截至</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日，与该事项相关的工商变更登记已经完成。此次被收购的</w:t>
      </w:r>
      <w:r>
        <w:rPr>
          <w:rFonts w:ascii="Arial" w:hAnsi="Arial" w:cs="Arial" w:eastAsia="Arial" w:hint="default"/>
        </w:rPr>
        <w:t>15%</w:t>
      </w:r>
      <w:r>
        <w:rPr>
          <w:rFonts w:ascii="Arial" w:hAnsi="Arial" w:cs="Arial" w:eastAsia="Arial" w:hint="default"/>
          <w:w w:val="100"/>
        </w:rPr>
        <w:t> </w:t>
      </w:r>
      <w:r>
        <w:rPr/>
        <w:t>股权应分占用</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日经审计的净资产份额为人民币</w:t>
      </w:r>
      <w:r>
        <w:rPr>
          <w:rFonts w:ascii="Arial" w:hAnsi="Arial" w:cs="Arial" w:eastAsia="Arial" w:hint="default"/>
        </w:rPr>
        <w:t>14,814,635</w:t>
      </w:r>
      <w:r>
        <w:rPr/>
        <w:t>元，因此，</w:t>
      </w:r>
      <w:r>
        <w:rPr>
          <w:w w:val="100"/>
        </w:rPr>
        <w:t> </w:t>
      </w:r>
      <w:r>
        <w:rPr/>
        <w:t>收购价款与净资产的差额人民币</w:t>
      </w:r>
      <w:r>
        <w:rPr>
          <w:rFonts w:ascii="Arial" w:hAnsi="Arial" w:cs="Arial" w:eastAsia="Arial" w:hint="default"/>
        </w:rPr>
        <w:t>42,185,365</w:t>
      </w:r>
      <w:r>
        <w:rPr/>
        <w:t>元计入本集团资本公积。</w:t>
      </w:r>
    </w:p>
    <w:p>
      <w:pPr>
        <w:spacing w:after="0" w:line="228" w:lineRule="auto"/>
        <w:jc w:val="left"/>
        <w:sectPr>
          <w:pgSz w:w="11910" w:h="16840"/>
          <w:pgMar w:header="958" w:footer="385" w:top="2560" w:bottom="580" w:left="1600" w:right="1500"/>
        </w:sect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4"/>
          <w:szCs w:val="14"/>
        </w:rPr>
      </w:pPr>
    </w:p>
    <w:p>
      <w:pPr>
        <w:spacing w:before="38"/>
        <w:ind w:left="101" w:right="112"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3"/>
        <w:rPr>
          <w:rFonts w:ascii="黑体" w:hAnsi="黑体" w:cs="黑体" w:eastAsia="黑体" w:hint="default"/>
          <w:b/>
          <w:bCs/>
          <w:sz w:val="15"/>
          <w:szCs w:val="15"/>
        </w:rPr>
      </w:pPr>
    </w:p>
    <w:p>
      <w:pPr>
        <w:tabs>
          <w:tab w:pos="768" w:val="left" w:leader="none"/>
        </w:tabs>
        <w:spacing w:before="0"/>
        <w:ind w:left="101" w:right="112" w:firstLine="0"/>
        <w:jc w:val="left"/>
        <w:rPr>
          <w:rFonts w:ascii="黑体" w:hAnsi="黑体" w:cs="黑体" w:eastAsia="黑体" w:hint="default"/>
          <w:sz w:val="20"/>
          <w:szCs w:val="20"/>
        </w:rPr>
      </w:pPr>
      <w:r>
        <w:rPr>
          <w:rFonts w:ascii="Arial" w:hAnsi="Arial" w:cs="Arial" w:eastAsia="Arial" w:hint="default"/>
          <w:b/>
          <w:bCs/>
          <w:spacing w:val="-1"/>
          <w:sz w:val="20"/>
          <w:szCs w:val="20"/>
        </w:rPr>
        <w:t>9.</w:t>
        <w:tab/>
      </w:r>
      <w:r>
        <w:rPr>
          <w:rFonts w:ascii="黑体" w:hAnsi="黑体" w:cs="黑体" w:eastAsia="黑体" w:hint="default"/>
          <w:b/>
          <w:bCs/>
          <w:sz w:val="20"/>
          <w:szCs w:val="20"/>
        </w:rPr>
        <w:t>长期股权投资（续）</w:t>
      </w:r>
      <w:r>
        <w:rPr>
          <w:rFonts w:ascii="黑体" w:hAnsi="黑体" w:cs="黑体" w:eastAsia="黑体" w:hint="default"/>
          <w:sz w:val="20"/>
          <w:szCs w:val="20"/>
        </w:rPr>
      </w:r>
    </w:p>
    <w:p>
      <w:pPr>
        <w:spacing w:line="240" w:lineRule="auto" w:before="12"/>
        <w:rPr>
          <w:rFonts w:ascii="黑体" w:hAnsi="黑体" w:cs="黑体" w:eastAsia="黑体" w:hint="default"/>
          <w:b/>
          <w:bCs/>
          <w:sz w:val="17"/>
          <w:szCs w:val="17"/>
        </w:rPr>
      </w:pPr>
    </w:p>
    <w:p>
      <w:pPr>
        <w:pStyle w:val="BodyText"/>
        <w:spacing w:line="240" w:lineRule="auto"/>
        <w:ind w:right="112"/>
        <w:jc w:val="left"/>
      </w:pPr>
      <w:r>
        <w:rPr>
          <w:rFonts w:ascii="Arial" w:hAnsi="Arial" w:cs="Arial" w:eastAsia="Arial" w:hint="default"/>
        </w:rPr>
        <w:t>(ii)  </w:t>
      </w:r>
      <w:r>
        <w:rPr>
          <w:rFonts w:ascii="Arial" w:hAnsi="Arial" w:cs="Arial" w:eastAsia="Arial" w:hint="default"/>
          <w:spacing w:val="27"/>
        </w:rPr>
        <w:t> </w:t>
      </w:r>
      <w:r>
        <w:rPr/>
        <w:t>按成本法核算的股权投资</w:t>
      </w:r>
      <w:r>
        <w:rPr>
          <w:rFonts w:ascii="Arial" w:hAnsi="Arial" w:cs="Arial" w:eastAsia="Arial" w:hint="default"/>
        </w:rPr>
        <w:t>-</w:t>
      </w:r>
      <w:r>
        <w:rPr/>
        <w:t>子公司（续）</w:t>
      </w:r>
    </w:p>
    <w:p>
      <w:pPr>
        <w:spacing w:line="240" w:lineRule="auto" w:before="1"/>
        <w:rPr>
          <w:rFonts w:ascii="黑体" w:hAnsi="黑体" w:cs="黑体" w:eastAsia="黑体" w:hint="default"/>
          <w:sz w:val="24"/>
          <w:szCs w:val="24"/>
        </w:rPr>
      </w:pPr>
    </w:p>
    <w:p>
      <w:pPr>
        <w:pStyle w:val="BodyText"/>
        <w:spacing w:line="228" w:lineRule="auto"/>
        <w:ind w:left="1234" w:right="168" w:hanging="425"/>
        <w:jc w:val="both"/>
      </w:pPr>
      <w:r>
        <w:rPr/>
        <w:t>注</w:t>
      </w:r>
      <w:r>
        <w:rPr>
          <w:rFonts w:ascii="Arial" w:hAnsi="Arial" w:cs="Arial" w:eastAsia="Arial" w:hint="default"/>
        </w:rPr>
        <w:t>6. </w:t>
      </w:r>
      <w:r>
        <w:rPr/>
        <w:t>继本公司于</w:t>
      </w:r>
      <w:r>
        <w:rPr>
          <w:rFonts w:ascii="Arial" w:hAnsi="Arial" w:cs="Arial" w:eastAsia="Arial" w:hint="default"/>
        </w:rPr>
        <w:t>2009</w:t>
      </w:r>
      <w:r>
        <w:rPr/>
        <w:t>年</w:t>
      </w:r>
      <w:r>
        <w:rPr>
          <w:rFonts w:ascii="Arial" w:hAnsi="Arial" w:cs="Arial" w:eastAsia="Arial" w:hint="default"/>
        </w:rPr>
        <w:t>4</w:t>
      </w:r>
      <w:r>
        <w:rPr/>
        <w:t>月</w:t>
      </w:r>
      <w:r>
        <w:rPr>
          <w:rFonts w:ascii="Arial" w:hAnsi="Arial" w:cs="Arial" w:eastAsia="Arial" w:hint="default"/>
        </w:rPr>
        <w:t>29</w:t>
      </w:r>
      <w:r>
        <w:rPr/>
        <w:t>日以人民币</w:t>
      </w:r>
      <w:r>
        <w:rPr>
          <w:rFonts w:ascii="Arial" w:hAnsi="Arial" w:cs="Arial" w:eastAsia="Arial" w:hint="default"/>
        </w:rPr>
        <w:t>1,100,000</w:t>
      </w:r>
      <w:r>
        <w:rPr/>
        <w:t>元的价格收购自然人股东合计持有的</w:t>
      </w:r>
      <w:r>
        <w:rPr>
          <w:spacing w:val="-71"/>
        </w:rPr>
        <w:t> </w:t>
      </w:r>
      <w:r>
        <w:rPr>
          <w:spacing w:val="-71"/>
        </w:rPr>
      </w:r>
      <w:r>
        <w:rPr>
          <w:spacing w:val="-3"/>
          <w:w w:val="100"/>
        </w:rPr>
        <w:t>用友审计</w:t>
      </w:r>
      <w:r>
        <w:rPr>
          <w:rFonts w:ascii="Arial" w:hAnsi="Arial" w:cs="Arial" w:eastAsia="Arial" w:hint="default"/>
          <w:spacing w:val="-3"/>
          <w:w w:val="100"/>
        </w:rPr>
        <w:t>17%</w:t>
      </w:r>
      <w:r>
        <w:rPr>
          <w:spacing w:val="-3"/>
          <w:w w:val="100"/>
        </w:rPr>
        <w:t>的股权，用友审计由本公司的联营企业变更成为本公司的子公司后</w:t>
      </w:r>
      <w:r>
        <w:rPr>
          <w:rFonts w:ascii="Arial" w:hAnsi="Arial" w:cs="Arial" w:eastAsia="Arial" w:hint="default"/>
          <w:spacing w:val="-3"/>
          <w:w w:val="100"/>
        </w:rPr>
        <w:t>(</w:t>
      </w:r>
      <w:r>
        <w:rPr>
          <w:spacing w:val="-3"/>
          <w:w w:val="100"/>
        </w:rPr>
        <w:t>详情</w:t>
      </w:r>
      <w:r>
        <w:rPr>
          <w:w w:val="100"/>
        </w:rPr>
        <w:t> </w:t>
      </w:r>
      <w:r>
        <w:rPr>
          <w:spacing w:val="-2"/>
        </w:rPr>
        <w:t>参见附注四、</w:t>
      </w:r>
      <w:r>
        <w:rPr>
          <w:rFonts w:ascii="Arial" w:hAnsi="Arial" w:cs="Arial" w:eastAsia="Arial" w:hint="default"/>
          <w:spacing w:val="-2"/>
        </w:rPr>
        <w:t>4)</w:t>
      </w:r>
      <w:r>
        <w:rPr>
          <w:spacing w:val="-2"/>
        </w:rPr>
        <w:t>，根据</w:t>
      </w:r>
      <w:r>
        <w:rPr>
          <w:rFonts w:ascii="Arial" w:hAnsi="Arial" w:cs="Arial" w:eastAsia="Arial" w:hint="default"/>
          <w:spacing w:val="-2"/>
        </w:rPr>
        <w:t>2009</w:t>
      </w:r>
      <w:r>
        <w:rPr>
          <w:spacing w:val="-2"/>
        </w:rPr>
        <w:t>年</w:t>
      </w:r>
      <w:r>
        <w:rPr>
          <w:rFonts w:ascii="Arial" w:hAnsi="Arial" w:cs="Arial" w:eastAsia="Arial" w:hint="default"/>
          <w:spacing w:val="-2"/>
        </w:rPr>
        <w:t>6</w:t>
      </w:r>
      <w:r>
        <w:rPr>
          <w:spacing w:val="-2"/>
        </w:rPr>
        <w:t>月</w:t>
      </w:r>
      <w:r>
        <w:rPr>
          <w:rFonts w:ascii="Arial" w:hAnsi="Arial" w:cs="Arial" w:eastAsia="Arial" w:hint="default"/>
          <w:spacing w:val="-2"/>
        </w:rPr>
        <w:t>16</w:t>
      </w:r>
      <w:r>
        <w:rPr>
          <w:spacing w:val="-2"/>
        </w:rPr>
        <w:t>日公司第四届董事会</w:t>
      </w:r>
      <w:r>
        <w:rPr>
          <w:rFonts w:ascii="Arial" w:hAnsi="Arial" w:cs="Arial" w:eastAsia="Arial" w:hint="default"/>
          <w:spacing w:val="-2"/>
        </w:rPr>
        <w:t>2009</w:t>
      </w:r>
      <w:r>
        <w:rPr>
          <w:spacing w:val="-2"/>
        </w:rPr>
        <w:t>年第五次会议决议，本</w:t>
      </w:r>
      <w:r>
        <w:rPr>
          <w:w w:val="100"/>
        </w:rPr>
        <w:t> </w:t>
      </w:r>
      <w:r>
        <w:rPr>
          <w:spacing w:val="4"/>
        </w:rPr>
        <w:t>公司于</w:t>
      </w:r>
      <w:r>
        <w:rPr>
          <w:rFonts w:ascii="Arial" w:hAnsi="Arial" w:cs="Arial" w:eastAsia="Arial" w:hint="default"/>
          <w:spacing w:val="4"/>
        </w:rPr>
        <w:t>2009</w:t>
      </w:r>
      <w:r>
        <w:rPr>
          <w:spacing w:val="4"/>
        </w:rPr>
        <w:t>年</w:t>
      </w:r>
      <w:r>
        <w:rPr>
          <w:rFonts w:ascii="Arial" w:hAnsi="Arial" w:cs="Arial" w:eastAsia="Arial" w:hint="default"/>
          <w:spacing w:val="4"/>
        </w:rPr>
        <w:t>7</w:t>
      </w:r>
      <w:r>
        <w:rPr>
          <w:spacing w:val="4"/>
        </w:rPr>
        <w:t>月</w:t>
      </w:r>
      <w:r>
        <w:rPr>
          <w:rFonts w:ascii="Arial" w:hAnsi="Arial" w:cs="Arial" w:eastAsia="Arial" w:hint="default"/>
          <w:spacing w:val="4"/>
        </w:rPr>
        <w:t>11</w:t>
      </w:r>
      <w:r>
        <w:rPr>
          <w:spacing w:val="4"/>
        </w:rPr>
        <w:t>日以现金人民币</w:t>
      </w:r>
      <w:r>
        <w:rPr>
          <w:rFonts w:ascii="Arial" w:hAnsi="Arial" w:cs="Arial" w:eastAsia="Arial" w:hint="default"/>
          <w:spacing w:val="4"/>
        </w:rPr>
        <w:t>11,385,542</w:t>
      </w:r>
      <w:r>
        <w:rPr>
          <w:spacing w:val="4"/>
        </w:rPr>
        <w:t>元向用友审计增资，其中，人民币</w:t>
      </w:r>
      <w:r>
        <w:rPr>
          <w:spacing w:val="6"/>
          <w:w w:val="100"/>
        </w:rPr>
        <w:t> </w:t>
      </w:r>
      <w:r>
        <w:rPr>
          <w:rFonts w:ascii="Arial" w:hAnsi="Arial" w:cs="Arial" w:eastAsia="Arial" w:hint="default"/>
          <w:spacing w:val="-1"/>
        </w:rPr>
        <w:t>6,385,542</w:t>
      </w:r>
      <w:r>
        <w:rPr>
          <w:spacing w:val="-1"/>
        </w:rPr>
        <w:t>元作为用友审计的新增实收资本，其余人民币</w:t>
      </w:r>
      <w:r>
        <w:rPr>
          <w:rFonts w:ascii="Arial" w:hAnsi="Arial" w:cs="Arial" w:eastAsia="Arial" w:hint="default"/>
          <w:spacing w:val="-1"/>
        </w:rPr>
        <w:t>5,000,000</w:t>
      </w:r>
      <w:r>
        <w:rPr>
          <w:spacing w:val="-1"/>
        </w:rPr>
        <w:t>元计入用友审计的</w:t>
      </w:r>
      <w:r>
        <w:rPr>
          <w:w w:val="100"/>
        </w:rPr>
        <w:t> </w:t>
      </w:r>
      <w:r>
        <w:rPr>
          <w:spacing w:val="-2"/>
        </w:rPr>
        <w:t>资本公积。增资后，用友审计注册资本增至人民币</w:t>
      </w:r>
      <w:r>
        <w:rPr>
          <w:rFonts w:ascii="Arial" w:hAnsi="Arial" w:cs="Arial" w:eastAsia="Arial" w:hint="default"/>
          <w:spacing w:val="-2"/>
        </w:rPr>
        <w:t>10,000,000</w:t>
      </w:r>
      <w:r>
        <w:rPr>
          <w:spacing w:val="-2"/>
        </w:rPr>
        <w:t>元，本公司持有用友审</w:t>
      </w:r>
      <w:r>
        <w:rPr>
          <w:w w:val="100"/>
        </w:rPr>
        <w:t> </w:t>
      </w:r>
      <w:r>
        <w:rPr>
          <w:spacing w:val="-1"/>
        </w:rPr>
        <w:t>计的股权比例由</w:t>
      </w:r>
      <w:r>
        <w:rPr>
          <w:rFonts w:ascii="Arial" w:hAnsi="Arial" w:cs="Arial" w:eastAsia="Arial" w:hint="default"/>
          <w:spacing w:val="-1"/>
        </w:rPr>
        <w:t>50.2%</w:t>
      </w:r>
      <w:r>
        <w:rPr>
          <w:spacing w:val="-1"/>
        </w:rPr>
        <w:t>上升至</w:t>
      </w:r>
      <w:r>
        <w:rPr>
          <w:rFonts w:ascii="Arial" w:hAnsi="Arial" w:cs="Arial" w:eastAsia="Arial" w:hint="default"/>
          <w:spacing w:val="-1"/>
        </w:rPr>
        <w:t>82%</w:t>
      </w:r>
      <w:r>
        <w:rPr>
          <w:spacing w:val="-1"/>
        </w:rPr>
        <w:t>。因增资款与少数股权被稀释之分占用友审计经评</w:t>
      </w:r>
      <w:r>
        <w:rPr>
          <w:w w:val="100"/>
        </w:rPr>
        <w:t> </w:t>
      </w:r>
      <w:r>
        <w:rPr>
          <w:spacing w:val="2"/>
        </w:rPr>
        <w:t>估的净资产份额的差额人民币</w:t>
      </w:r>
      <w:r>
        <w:rPr>
          <w:rFonts w:ascii="Arial" w:hAnsi="Arial" w:cs="Arial" w:eastAsia="Arial" w:hint="default"/>
          <w:spacing w:val="2"/>
        </w:rPr>
        <w:t>832,494</w:t>
      </w:r>
      <w:r>
        <w:rPr>
          <w:spacing w:val="2"/>
        </w:rPr>
        <w:t>元计入本集团资本公积。截至</w:t>
      </w:r>
      <w:r>
        <w:rPr>
          <w:rFonts w:ascii="Arial" w:hAnsi="Arial" w:cs="Arial" w:eastAsia="Arial" w:hint="default"/>
          <w:spacing w:val="2"/>
        </w:rPr>
        <w:t>2009</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rFonts w:ascii="Arial" w:hAnsi="Arial" w:cs="Arial" w:eastAsia="Arial" w:hint="default"/>
          <w:w w:val="100"/>
        </w:rPr>
        <w:t> </w:t>
      </w:r>
      <w:r>
        <w:rPr>
          <w:spacing w:val="-2"/>
        </w:rPr>
        <w:t>日，与收购相关转让手续以及与增资相关的验资及工商变更登记均已完成，并取得了</w:t>
      </w:r>
      <w:r>
        <w:rPr>
          <w:w w:val="100"/>
        </w:rPr>
        <w:t> </w:t>
      </w:r>
      <w:r>
        <w:rPr/>
        <w:t>变更后的企业法人营业执照。</w:t>
      </w:r>
    </w:p>
    <w:p>
      <w:pPr>
        <w:spacing w:line="240" w:lineRule="auto" w:before="7"/>
        <w:rPr>
          <w:rFonts w:ascii="黑体" w:hAnsi="黑体" w:cs="黑体" w:eastAsia="黑体" w:hint="default"/>
          <w:sz w:val="28"/>
          <w:szCs w:val="28"/>
        </w:rPr>
      </w:pPr>
    </w:p>
    <w:p>
      <w:pPr>
        <w:pStyle w:val="BodyText"/>
        <w:spacing w:line="225" w:lineRule="auto"/>
        <w:ind w:left="1234" w:right="173" w:hanging="425"/>
        <w:jc w:val="both"/>
      </w:pPr>
      <w:r>
        <w:rPr/>
        <w:t>注</w:t>
      </w:r>
      <w:r>
        <w:rPr>
          <w:rFonts w:ascii="Arial" w:hAnsi="Arial" w:cs="Arial" w:eastAsia="Arial" w:hint="default"/>
        </w:rPr>
        <w:t>7.</w:t>
      </w:r>
      <w:r>
        <w:rPr>
          <w:rFonts w:ascii="Arial" w:hAnsi="Arial" w:cs="Arial" w:eastAsia="Arial" w:hint="default"/>
          <w:spacing w:val="39"/>
        </w:rPr>
        <w:t> </w:t>
      </w:r>
      <w:r>
        <w:rPr/>
        <w:t>根据</w:t>
      </w:r>
      <w:r>
        <w:rPr>
          <w:rFonts w:ascii="Arial" w:hAnsi="Arial" w:cs="Arial" w:eastAsia="Arial" w:hint="default"/>
        </w:rPr>
        <w:t>2009</w:t>
      </w:r>
      <w:r>
        <w:rPr/>
        <w:t>年</w:t>
      </w:r>
      <w:r>
        <w:rPr>
          <w:rFonts w:ascii="Arial" w:hAnsi="Arial" w:cs="Arial" w:eastAsia="Arial" w:hint="default"/>
        </w:rPr>
        <w:t>9</w:t>
      </w:r>
      <w:r>
        <w:rPr/>
        <w:t>月</w:t>
      </w:r>
      <w:r>
        <w:rPr>
          <w:rFonts w:ascii="Arial" w:hAnsi="Arial" w:cs="Arial" w:eastAsia="Arial" w:hint="default"/>
        </w:rPr>
        <w:t>1</w:t>
      </w:r>
      <w:r>
        <w:rPr/>
        <w:t>日公司第四届董事会</w:t>
      </w:r>
      <w:r>
        <w:rPr>
          <w:rFonts w:ascii="Arial" w:hAnsi="Arial" w:cs="Arial" w:eastAsia="Arial" w:hint="default"/>
        </w:rPr>
        <w:t>2009</w:t>
      </w:r>
      <w:r>
        <w:rPr/>
        <w:t>年第七次会议决议，为加快公司在医疗卫</w:t>
      </w:r>
      <w:r>
        <w:rPr>
          <w:spacing w:val="-87"/>
        </w:rPr>
        <w:t> </w:t>
      </w:r>
      <w:r>
        <w:rPr>
          <w:spacing w:val="-87"/>
        </w:rPr>
      </w:r>
      <w:r>
        <w:rPr>
          <w:spacing w:val="-1"/>
        </w:rPr>
        <w:t>生行业推进信息化业务，本公司于</w:t>
      </w:r>
      <w:r>
        <w:rPr>
          <w:rFonts w:ascii="Arial" w:hAnsi="Arial" w:cs="Arial" w:eastAsia="Arial" w:hint="default"/>
          <w:spacing w:val="-1"/>
        </w:rPr>
        <w:t>2009</w:t>
      </w:r>
      <w:r>
        <w:rPr>
          <w:spacing w:val="-1"/>
        </w:rPr>
        <w:t>年</w:t>
      </w:r>
      <w:r>
        <w:rPr>
          <w:rFonts w:ascii="Arial" w:hAnsi="Arial" w:cs="Arial" w:eastAsia="Arial" w:hint="default"/>
          <w:spacing w:val="-1"/>
        </w:rPr>
        <w:t>9</w:t>
      </w:r>
      <w:r>
        <w:rPr>
          <w:spacing w:val="-1"/>
        </w:rPr>
        <w:t>月</w:t>
      </w:r>
      <w:r>
        <w:rPr>
          <w:rFonts w:ascii="Arial" w:hAnsi="Arial" w:cs="Arial" w:eastAsia="Arial" w:hint="default"/>
          <w:spacing w:val="-1"/>
        </w:rPr>
        <w:t>26</w:t>
      </w:r>
      <w:r>
        <w:rPr>
          <w:spacing w:val="-1"/>
        </w:rPr>
        <w:t>日成立全资子公司用友医疗，注册资</w:t>
      </w:r>
      <w:r>
        <w:rPr>
          <w:w w:val="100"/>
        </w:rPr>
        <w:t> </w:t>
      </w:r>
      <w:r>
        <w:rPr>
          <w:spacing w:val="-2"/>
        </w:rPr>
        <w:t>本人民币</w:t>
      </w:r>
      <w:r>
        <w:rPr>
          <w:rFonts w:ascii="Arial" w:hAnsi="Arial" w:cs="Arial" w:eastAsia="Arial" w:hint="default"/>
          <w:spacing w:val="-2"/>
        </w:rPr>
        <w:t>100,000,000</w:t>
      </w:r>
      <w:r>
        <w:rPr>
          <w:spacing w:val="-2"/>
        </w:rPr>
        <w:t>元，本公司以现金方式出资。截至</w:t>
      </w:r>
      <w:r>
        <w:rPr>
          <w:rFonts w:ascii="Arial" w:hAnsi="Arial" w:cs="Arial" w:eastAsia="Arial" w:hint="default"/>
          <w:spacing w:val="-2"/>
        </w:rPr>
        <w:t>2009</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日，与该事项</w:t>
      </w:r>
      <w:r>
        <w:rPr>
          <w:w w:val="100"/>
        </w:rPr>
        <w:t> </w:t>
      </w:r>
      <w:r>
        <w:rPr/>
        <w:t>相关的验资及工商注册登记已经完成，并取得企业法人营业执照。</w:t>
      </w:r>
    </w:p>
    <w:p>
      <w:pPr>
        <w:spacing w:line="240" w:lineRule="auto" w:before="7"/>
        <w:rPr>
          <w:rFonts w:ascii="黑体" w:hAnsi="黑体" w:cs="黑体" w:eastAsia="黑体" w:hint="default"/>
          <w:sz w:val="28"/>
          <w:szCs w:val="28"/>
        </w:rPr>
      </w:pPr>
    </w:p>
    <w:p>
      <w:pPr>
        <w:pStyle w:val="BodyText"/>
        <w:spacing w:line="225" w:lineRule="auto"/>
        <w:ind w:left="1234" w:right="173" w:hanging="425"/>
        <w:jc w:val="both"/>
      </w:pPr>
      <w:r>
        <w:rPr/>
        <w:t>注</w:t>
      </w:r>
      <w:r>
        <w:rPr>
          <w:rFonts w:ascii="Arial" w:hAnsi="Arial" w:cs="Arial" w:eastAsia="Arial" w:hint="default"/>
        </w:rPr>
        <w:t>8.</w:t>
      </w:r>
      <w:r>
        <w:rPr>
          <w:rFonts w:ascii="Arial" w:hAnsi="Arial" w:cs="Arial" w:eastAsia="Arial" w:hint="default"/>
          <w:spacing w:val="39"/>
        </w:rPr>
        <w:t> </w:t>
      </w:r>
      <w:r>
        <w:rPr/>
        <w:t>根据</w:t>
      </w:r>
      <w:r>
        <w:rPr>
          <w:rFonts w:ascii="Arial" w:hAnsi="Arial" w:cs="Arial" w:eastAsia="Arial" w:hint="default"/>
        </w:rPr>
        <w:t>2009</w:t>
      </w:r>
      <w:r>
        <w:rPr/>
        <w:t>年</w:t>
      </w:r>
      <w:r>
        <w:rPr>
          <w:rFonts w:ascii="Arial" w:hAnsi="Arial" w:cs="Arial" w:eastAsia="Arial" w:hint="default"/>
        </w:rPr>
        <w:t>8</w:t>
      </w:r>
      <w:r>
        <w:rPr/>
        <w:t>月</w:t>
      </w:r>
      <w:r>
        <w:rPr>
          <w:rFonts w:ascii="Arial" w:hAnsi="Arial" w:cs="Arial" w:eastAsia="Arial" w:hint="default"/>
        </w:rPr>
        <w:t>8</w:t>
      </w:r>
      <w:r>
        <w:rPr/>
        <w:t>日公司第四届董事会</w:t>
      </w:r>
      <w:r>
        <w:rPr>
          <w:rFonts w:ascii="Arial" w:hAnsi="Arial" w:cs="Arial" w:eastAsia="Arial" w:hint="default"/>
        </w:rPr>
        <w:t>2009</w:t>
      </w:r>
      <w:r>
        <w:rPr/>
        <w:t>年第六次会议决议，为加快公司主要用于</w:t>
      </w:r>
      <w:r>
        <w:rPr>
          <w:spacing w:val="-87"/>
        </w:rPr>
        <w:t> </w:t>
      </w:r>
      <w:r>
        <w:rPr>
          <w:spacing w:val="-87"/>
        </w:rPr>
      </w:r>
      <w:r>
        <w:rPr>
          <w:spacing w:val="-1"/>
        </w:rPr>
        <w:t>代码研发中心和呼叫中心的基地建设，本公司于</w:t>
      </w:r>
      <w:r>
        <w:rPr>
          <w:rFonts w:ascii="Arial" w:hAnsi="Arial" w:cs="Arial" w:eastAsia="Arial" w:hint="default"/>
          <w:spacing w:val="-1"/>
        </w:rPr>
        <w:t>2009</w:t>
      </w:r>
      <w:r>
        <w:rPr>
          <w:spacing w:val="-1"/>
        </w:rPr>
        <w:t>年</w:t>
      </w:r>
      <w:r>
        <w:rPr>
          <w:rFonts w:ascii="Arial" w:hAnsi="Arial" w:cs="Arial" w:eastAsia="Arial" w:hint="default"/>
          <w:spacing w:val="-1"/>
        </w:rPr>
        <w:t>8</w:t>
      </w:r>
      <w:r>
        <w:rPr>
          <w:spacing w:val="-1"/>
        </w:rPr>
        <w:t>月</w:t>
      </w:r>
      <w:r>
        <w:rPr>
          <w:rFonts w:ascii="Arial" w:hAnsi="Arial" w:cs="Arial" w:eastAsia="Arial" w:hint="default"/>
          <w:spacing w:val="-1"/>
        </w:rPr>
        <w:t>31</w:t>
      </w:r>
      <w:r>
        <w:rPr>
          <w:spacing w:val="-1"/>
        </w:rPr>
        <w:t>日成立全资子公司用友</w:t>
      </w:r>
      <w:r>
        <w:rPr>
          <w:w w:val="100"/>
        </w:rPr>
        <w:t> </w:t>
      </w:r>
      <w:r>
        <w:rPr>
          <w:rFonts w:ascii="Arial" w:hAnsi="Arial" w:cs="Arial" w:eastAsia="Arial" w:hint="default"/>
          <w:spacing w:val="-2"/>
        </w:rPr>
        <w:t>(</w:t>
      </w:r>
      <w:r>
        <w:rPr>
          <w:spacing w:val="-2"/>
        </w:rPr>
        <w:t>南昌</w:t>
      </w:r>
      <w:r>
        <w:rPr>
          <w:rFonts w:ascii="Arial" w:hAnsi="Arial" w:cs="Arial" w:eastAsia="Arial" w:hint="default"/>
          <w:spacing w:val="-2"/>
        </w:rPr>
        <w:t>)</w:t>
      </w:r>
      <w:r>
        <w:rPr>
          <w:spacing w:val="-2"/>
        </w:rPr>
        <w:t>，注册资本人民币</w:t>
      </w:r>
      <w:r>
        <w:rPr>
          <w:rFonts w:ascii="Arial" w:hAnsi="Arial" w:cs="Arial" w:eastAsia="Arial" w:hint="default"/>
          <w:spacing w:val="-2"/>
        </w:rPr>
        <w:t>10,000,000</w:t>
      </w:r>
      <w:r>
        <w:rPr>
          <w:spacing w:val="-2"/>
        </w:rPr>
        <w:t>元，本公司以现金方式出资。根据</w:t>
      </w:r>
      <w:r>
        <w:rPr>
          <w:rFonts w:ascii="Arial" w:hAnsi="Arial" w:cs="Arial" w:eastAsia="Arial" w:hint="default"/>
          <w:spacing w:val="-2"/>
        </w:rPr>
        <w:t>2009</w:t>
      </w:r>
      <w:r>
        <w:rPr>
          <w:spacing w:val="-2"/>
        </w:rPr>
        <w:t>年</w:t>
      </w:r>
      <w:r>
        <w:rPr>
          <w:rFonts w:ascii="Arial" w:hAnsi="Arial" w:cs="Arial" w:eastAsia="Arial" w:hint="default"/>
          <w:spacing w:val="-2"/>
        </w:rPr>
        <w:t>10</w:t>
      </w:r>
      <w:r>
        <w:rPr>
          <w:spacing w:val="-2"/>
        </w:rPr>
        <w:t>月</w:t>
      </w:r>
      <w:r>
        <w:rPr>
          <w:rFonts w:ascii="Arial" w:hAnsi="Arial" w:cs="Arial" w:eastAsia="Arial" w:hint="default"/>
          <w:spacing w:val="-2"/>
        </w:rPr>
        <w:t>31</w:t>
      </w:r>
      <w:r>
        <w:rPr>
          <w:rFonts w:ascii="Arial" w:hAnsi="Arial" w:cs="Arial" w:eastAsia="Arial" w:hint="default"/>
          <w:w w:val="100"/>
        </w:rPr>
        <w:t> </w:t>
      </w:r>
      <w:r>
        <w:rPr/>
        <w:t>日公司第四届董事会</w:t>
      </w:r>
      <w:r>
        <w:rPr>
          <w:rFonts w:ascii="Arial" w:hAnsi="Arial" w:cs="Arial" w:eastAsia="Arial" w:hint="default"/>
        </w:rPr>
        <w:t>2009</w:t>
      </w:r>
      <w:r>
        <w:rPr/>
        <w:t>年第十次会议决议，本公司于</w:t>
      </w:r>
      <w:r>
        <w:rPr>
          <w:rFonts w:ascii="Arial" w:hAnsi="Arial" w:cs="Arial" w:eastAsia="Arial" w:hint="default"/>
        </w:rPr>
        <w:t>2009</w:t>
      </w:r>
      <w:r>
        <w:rPr/>
        <w:t>年</w:t>
      </w:r>
      <w:r>
        <w:rPr>
          <w:rFonts w:ascii="Arial" w:hAnsi="Arial" w:cs="Arial" w:eastAsia="Arial" w:hint="default"/>
        </w:rPr>
        <w:t>11</w:t>
      </w:r>
      <w:r>
        <w:rPr/>
        <w:t>月</w:t>
      </w:r>
      <w:r>
        <w:rPr>
          <w:rFonts w:ascii="Arial" w:hAnsi="Arial" w:cs="Arial" w:eastAsia="Arial" w:hint="default"/>
        </w:rPr>
        <w:t>13</w:t>
      </w:r>
      <w:r>
        <w:rPr/>
        <w:t>日以现金方式</w:t>
      </w:r>
      <w:r>
        <w:rPr>
          <w:w w:val="100"/>
        </w:rPr>
        <w:t> </w:t>
      </w:r>
      <w:r>
        <w:rPr>
          <w:spacing w:val="15"/>
        </w:rPr>
        <w:t>向用友</w:t>
      </w:r>
      <w:r>
        <w:rPr>
          <w:rFonts w:ascii="Arial" w:hAnsi="Arial" w:cs="Arial" w:eastAsia="Arial" w:hint="default"/>
          <w:spacing w:val="15"/>
        </w:rPr>
        <w:t>(</w:t>
      </w:r>
      <w:r>
        <w:rPr>
          <w:rFonts w:ascii="Arial" w:hAnsi="Arial" w:cs="Arial" w:eastAsia="Arial" w:hint="default"/>
          <w:spacing w:val="-28"/>
        </w:rPr>
        <w:t> </w:t>
      </w:r>
      <w:r>
        <w:rPr>
          <w:spacing w:val="13"/>
        </w:rPr>
        <w:t>南昌</w:t>
      </w:r>
      <w:r>
        <w:rPr>
          <w:rFonts w:ascii="Arial" w:hAnsi="Arial" w:cs="Arial" w:eastAsia="Arial" w:hint="default"/>
          <w:spacing w:val="13"/>
        </w:rPr>
        <w:t>)</w:t>
      </w:r>
      <w:r>
        <w:rPr>
          <w:rFonts w:ascii="Arial" w:hAnsi="Arial" w:cs="Arial" w:eastAsia="Arial" w:hint="default"/>
          <w:spacing w:val="-28"/>
        </w:rPr>
        <w:t> </w:t>
      </w:r>
      <w:r>
        <w:rPr>
          <w:spacing w:val="16"/>
        </w:rPr>
        <w:t>增资人民币</w:t>
      </w:r>
      <w:r>
        <w:rPr>
          <w:spacing w:val="-75"/>
        </w:rPr>
        <w:t> </w:t>
      </w:r>
      <w:r>
        <w:rPr>
          <w:rFonts w:ascii="Arial" w:hAnsi="Arial" w:cs="Arial" w:eastAsia="Arial" w:hint="default"/>
        </w:rPr>
        <w:t>70,000,000</w:t>
      </w:r>
      <w:r>
        <w:rPr>
          <w:rFonts w:ascii="Arial" w:hAnsi="Arial" w:cs="Arial" w:eastAsia="Arial" w:hint="default"/>
          <w:spacing w:val="-29"/>
        </w:rPr>
        <w:t> </w:t>
      </w:r>
      <w:r>
        <w:rPr>
          <w:spacing w:val="18"/>
        </w:rPr>
        <w:t>元，增资后用友</w:t>
      </w:r>
      <w:r>
        <w:rPr>
          <w:rFonts w:ascii="Arial" w:hAnsi="Arial" w:cs="Arial" w:eastAsia="Arial" w:hint="default"/>
          <w:spacing w:val="18"/>
        </w:rPr>
        <w:t>(</w:t>
      </w:r>
      <w:r>
        <w:rPr>
          <w:rFonts w:ascii="Arial" w:hAnsi="Arial" w:cs="Arial" w:eastAsia="Arial" w:hint="default"/>
          <w:spacing w:val="-29"/>
        </w:rPr>
        <w:t> </w:t>
      </w:r>
      <w:r>
        <w:rPr>
          <w:spacing w:val="13"/>
        </w:rPr>
        <w:t>南昌</w:t>
      </w:r>
      <w:r>
        <w:rPr>
          <w:rFonts w:ascii="Arial" w:hAnsi="Arial" w:cs="Arial" w:eastAsia="Arial" w:hint="default"/>
          <w:spacing w:val="13"/>
        </w:rPr>
        <w:t>)</w:t>
      </w:r>
      <w:r>
        <w:rPr>
          <w:rFonts w:ascii="Arial" w:hAnsi="Arial" w:cs="Arial" w:eastAsia="Arial" w:hint="default"/>
          <w:spacing w:val="-29"/>
        </w:rPr>
        <w:t> </w:t>
      </w:r>
      <w:r>
        <w:rPr>
          <w:spacing w:val="18"/>
        </w:rPr>
        <w:t>注册资本为人民币</w:t>
      </w:r>
      <w:r>
        <w:rPr>
          <w:w w:val="100"/>
        </w:rPr>
        <w:t> </w:t>
      </w:r>
      <w:r>
        <w:rPr>
          <w:rFonts w:ascii="Arial" w:hAnsi="Arial" w:cs="Arial" w:eastAsia="Arial" w:hint="default"/>
        </w:rPr>
        <w:t>80,000,000</w:t>
      </w:r>
      <w:r>
        <w:rPr/>
        <w:t>元。截至</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日，与该事项相关的验资及工商注册登记已经完</w:t>
      </w:r>
      <w:r>
        <w:rPr>
          <w:w w:val="100"/>
        </w:rPr>
        <w:t> </w:t>
      </w:r>
      <w:r>
        <w:rPr/>
        <w:t>成，并取得企业法人营业执照。</w:t>
      </w:r>
    </w:p>
    <w:p>
      <w:pPr>
        <w:spacing w:after="0" w:line="225" w:lineRule="auto"/>
        <w:jc w:val="both"/>
        <w:sectPr>
          <w:pgSz w:w="11910" w:h="16840"/>
          <w:pgMar w:header="958" w:footer="385" w:top="2560" w:bottom="580" w:left="1600" w:right="1520"/>
        </w:sectPr>
      </w:pPr>
    </w:p>
    <w:p>
      <w:pPr>
        <w:spacing w:line="240" w:lineRule="auto" w:before="2"/>
        <w:rPr>
          <w:rFonts w:ascii="黑体" w:hAnsi="黑体" w:cs="黑体" w:eastAsia="黑体" w:hint="default"/>
          <w:sz w:val="27"/>
          <w:szCs w:val="27"/>
        </w:rPr>
      </w:pPr>
    </w:p>
    <w:p>
      <w:pPr>
        <w:spacing w:before="38"/>
        <w:ind w:left="101" w:right="0"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3"/>
        <w:rPr>
          <w:rFonts w:ascii="黑体" w:hAnsi="黑体" w:cs="黑体" w:eastAsia="黑体" w:hint="default"/>
          <w:b/>
          <w:bCs/>
          <w:sz w:val="15"/>
          <w:szCs w:val="15"/>
        </w:rPr>
      </w:pPr>
    </w:p>
    <w:p>
      <w:pPr>
        <w:tabs>
          <w:tab w:pos="768" w:val="left" w:leader="none"/>
        </w:tabs>
        <w:spacing w:before="0"/>
        <w:ind w:left="101" w:right="0" w:firstLine="0"/>
        <w:jc w:val="left"/>
        <w:rPr>
          <w:rFonts w:ascii="黑体" w:hAnsi="黑体" w:cs="黑体" w:eastAsia="黑体" w:hint="default"/>
          <w:sz w:val="20"/>
          <w:szCs w:val="20"/>
        </w:rPr>
      </w:pPr>
      <w:r>
        <w:rPr>
          <w:rFonts w:ascii="Arial" w:hAnsi="Arial" w:cs="Arial" w:eastAsia="Arial" w:hint="default"/>
          <w:b/>
          <w:bCs/>
          <w:spacing w:val="-1"/>
          <w:sz w:val="20"/>
          <w:szCs w:val="20"/>
        </w:rPr>
        <w:t>9.</w:t>
        <w:tab/>
      </w:r>
      <w:r>
        <w:rPr>
          <w:rFonts w:ascii="黑体" w:hAnsi="黑体" w:cs="黑体" w:eastAsia="黑体" w:hint="default"/>
          <w:b/>
          <w:bCs/>
          <w:sz w:val="20"/>
          <w:szCs w:val="20"/>
        </w:rPr>
        <w:t>长期股权投资（续）</w:t>
      </w:r>
      <w:r>
        <w:rPr>
          <w:rFonts w:ascii="黑体" w:hAnsi="黑体" w:cs="黑体" w:eastAsia="黑体" w:hint="default"/>
          <w:sz w:val="20"/>
          <w:szCs w:val="20"/>
        </w:rPr>
      </w:r>
    </w:p>
    <w:p>
      <w:pPr>
        <w:spacing w:line="240" w:lineRule="auto" w:before="12"/>
        <w:rPr>
          <w:rFonts w:ascii="黑体" w:hAnsi="黑体" w:cs="黑体" w:eastAsia="黑体" w:hint="default"/>
          <w:b/>
          <w:bCs/>
          <w:sz w:val="17"/>
          <w:szCs w:val="17"/>
        </w:rPr>
      </w:pPr>
    </w:p>
    <w:p>
      <w:pPr>
        <w:pStyle w:val="BodyText"/>
        <w:spacing w:line="240" w:lineRule="auto"/>
        <w:ind w:right="0"/>
        <w:jc w:val="left"/>
      </w:pPr>
      <w:r>
        <w:rPr>
          <w:rFonts w:ascii="Arial" w:hAnsi="Arial" w:cs="Arial" w:eastAsia="Arial" w:hint="default"/>
        </w:rPr>
        <w:t>(ii)  </w:t>
      </w:r>
      <w:r>
        <w:rPr>
          <w:rFonts w:ascii="Arial" w:hAnsi="Arial" w:cs="Arial" w:eastAsia="Arial" w:hint="default"/>
          <w:spacing w:val="27"/>
        </w:rPr>
        <w:t> </w:t>
      </w:r>
      <w:r>
        <w:rPr/>
        <w:t>按成本法核算的股权投资</w:t>
      </w:r>
      <w:r>
        <w:rPr>
          <w:rFonts w:ascii="Arial" w:hAnsi="Arial" w:cs="Arial" w:eastAsia="Arial" w:hint="default"/>
        </w:rPr>
        <w:t>-</w:t>
      </w:r>
      <w:r>
        <w:rPr/>
        <w:t>子公司（续）</w:t>
      </w:r>
    </w:p>
    <w:p>
      <w:pPr>
        <w:spacing w:line="240" w:lineRule="auto" w:before="1"/>
        <w:rPr>
          <w:rFonts w:ascii="黑体" w:hAnsi="黑体" w:cs="黑体" w:eastAsia="黑体" w:hint="default"/>
          <w:sz w:val="20"/>
          <w:szCs w:val="20"/>
        </w:rPr>
      </w:pPr>
    </w:p>
    <w:tbl>
      <w:tblPr>
        <w:tblW w:w="0" w:type="auto"/>
        <w:jc w:val="left"/>
        <w:tblInd w:w="775" w:type="dxa"/>
        <w:tblLayout w:type="fixed"/>
        <w:tblCellMar>
          <w:top w:w="0" w:type="dxa"/>
          <w:left w:w="0" w:type="dxa"/>
          <w:bottom w:w="0" w:type="dxa"/>
          <w:right w:w="0" w:type="dxa"/>
        </w:tblCellMar>
        <w:tblLook w:val="01E0"/>
      </w:tblPr>
      <w:tblGrid>
        <w:gridCol w:w="1988"/>
        <w:gridCol w:w="903"/>
        <w:gridCol w:w="913"/>
        <w:gridCol w:w="1220"/>
        <w:gridCol w:w="1259"/>
        <w:gridCol w:w="1125"/>
        <w:gridCol w:w="1331"/>
      </w:tblGrid>
      <w:tr>
        <w:trPr>
          <w:trHeight w:val="582"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65" w:lineRule="exact" w:before="38"/>
              <w:ind w:left="35"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p>
            <w:pPr>
              <w:pStyle w:val="TableParagraph"/>
              <w:spacing w:line="251" w:lineRule="exact"/>
              <w:ind w:left="35" w:right="0"/>
              <w:jc w:val="left"/>
              <w:rPr>
                <w:rFonts w:ascii="黑体" w:hAnsi="黑体" w:cs="黑体" w:eastAsia="黑体" w:hint="default"/>
                <w:sz w:val="20"/>
                <w:szCs w:val="20"/>
              </w:rPr>
            </w:pPr>
            <w:r>
              <w:rPr>
                <w:rFonts w:ascii="黑体" w:hAnsi="黑体" w:cs="黑体" w:eastAsia="黑体" w:hint="default"/>
                <w:sz w:val="20"/>
                <w:szCs w:val="20"/>
              </w:rPr>
              <w:t>公司名称</w:t>
            </w:r>
          </w:p>
        </w:tc>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2"/>
                <w:szCs w:val="22"/>
              </w:rPr>
            </w:pPr>
          </w:p>
          <w:p>
            <w:pPr>
              <w:pStyle w:val="TableParagraph"/>
              <w:spacing w:line="240" w:lineRule="auto"/>
              <w:ind w:right="41"/>
              <w:jc w:val="center"/>
              <w:rPr>
                <w:rFonts w:ascii="黑体" w:hAnsi="黑体" w:cs="黑体" w:eastAsia="黑体" w:hint="default"/>
                <w:sz w:val="20"/>
                <w:szCs w:val="20"/>
              </w:rPr>
            </w:pPr>
            <w:r>
              <w:rPr>
                <w:rFonts w:ascii="黑体" w:hAnsi="黑体" w:cs="黑体" w:eastAsia="黑体" w:hint="default"/>
                <w:sz w:val="20"/>
                <w:szCs w:val="20"/>
              </w:rPr>
              <w:t>投资期限</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2"/>
                <w:szCs w:val="22"/>
              </w:rPr>
            </w:pPr>
          </w:p>
          <w:p>
            <w:pPr>
              <w:pStyle w:val="TableParagraph"/>
              <w:spacing w:line="240" w:lineRule="auto"/>
              <w:ind w:right="37"/>
              <w:jc w:val="right"/>
              <w:rPr>
                <w:rFonts w:ascii="黑体" w:hAnsi="黑体" w:cs="黑体" w:eastAsia="黑体" w:hint="default"/>
                <w:sz w:val="20"/>
                <w:szCs w:val="20"/>
              </w:rPr>
            </w:pPr>
            <w:r>
              <w:rPr>
                <w:rFonts w:ascii="黑体" w:hAnsi="黑体" w:cs="黑体" w:eastAsia="黑体" w:hint="default"/>
                <w:sz w:val="20"/>
                <w:szCs w:val="20"/>
              </w:rPr>
              <w:t>投资比例</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2"/>
                <w:szCs w:val="22"/>
              </w:rPr>
            </w:pPr>
          </w:p>
          <w:p>
            <w:pPr>
              <w:pStyle w:val="TableParagraph"/>
              <w:spacing w:line="240" w:lineRule="auto"/>
              <w:ind w:right="66"/>
              <w:jc w:val="right"/>
              <w:rPr>
                <w:rFonts w:ascii="黑体" w:hAnsi="黑体" w:cs="黑体" w:eastAsia="黑体" w:hint="default"/>
                <w:sz w:val="20"/>
                <w:szCs w:val="20"/>
              </w:rPr>
            </w:pPr>
            <w:r>
              <w:rPr>
                <w:rFonts w:ascii="黑体" w:hAnsi="黑体" w:cs="黑体" w:eastAsia="黑体" w:hint="default"/>
                <w:sz w:val="20"/>
                <w:szCs w:val="20"/>
              </w:rPr>
              <w:t>年初余额</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2"/>
                <w:szCs w:val="22"/>
              </w:rPr>
            </w:pPr>
          </w:p>
          <w:p>
            <w:pPr>
              <w:pStyle w:val="TableParagraph"/>
              <w:spacing w:line="240" w:lineRule="auto"/>
              <w:ind w:right="77"/>
              <w:jc w:val="right"/>
              <w:rPr>
                <w:rFonts w:ascii="黑体" w:hAnsi="黑体" w:cs="黑体" w:eastAsia="黑体" w:hint="default"/>
                <w:sz w:val="20"/>
                <w:szCs w:val="20"/>
              </w:rPr>
            </w:pPr>
            <w:r>
              <w:rPr>
                <w:rFonts w:ascii="黑体" w:hAnsi="黑体" w:cs="黑体" w:eastAsia="黑体" w:hint="default"/>
                <w:sz w:val="20"/>
                <w:szCs w:val="20"/>
              </w:rPr>
              <w:t>本年增加</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2"/>
                <w:szCs w:val="22"/>
              </w:rPr>
            </w:pPr>
          </w:p>
          <w:p>
            <w:pPr>
              <w:pStyle w:val="TableParagraph"/>
              <w:spacing w:line="240" w:lineRule="auto"/>
              <w:ind w:right="42"/>
              <w:jc w:val="right"/>
              <w:rPr>
                <w:rFonts w:ascii="黑体" w:hAnsi="黑体" w:cs="黑体" w:eastAsia="黑体" w:hint="default"/>
                <w:sz w:val="20"/>
                <w:szCs w:val="20"/>
              </w:rPr>
            </w:pPr>
            <w:r>
              <w:rPr>
                <w:rFonts w:ascii="黑体" w:hAnsi="黑体" w:cs="黑体" w:eastAsia="黑体" w:hint="default"/>
                <w:sz w:val="20"/>
                <w:szCs w:val="20"/>
              </w:rPr>
              <w:t>本年减少</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2"/>
                <w:szCs w:val="22"/>
              </w:rPr>
            </w:pPr>
          </w:p>
          <w:p>
            <w:pPr>
              <w:pStyle w:val="TableParagraph"/>
              <w:spacing w:line="240" w:lineRule="auto"/>
              <w:ind w:right="97"/>
              <w:jc w:val="right"/>
              <w:rPr>
                <w:rFonts w:ascii="黑体" w:hAnsi="黑体" w:cs="黑体" w:eastAsia="黑体" w:hint="default"/>
                <w:sz w:val="20"/>
                <w:szCs w:val="20"/>
              </w:rPr>
            </w:pPr>
            <w:r>
              <w:rPr>
                <w:rFonts w:ascii="黑体" w:hAnsi="黑体" w:cs="黑体" w:eastAsia="黑体" w:hint="default"/>
                <w:sz w:val="20"/>
                <w:szCs w:val="20"/>
              </w:rPr>
              <w:t>年末余额</w:t>
            </w:r>
          </w:p>
        </w:tc>
      </w:tr>
      <w:tr>
        <w:trPr>
          <w:trHeight w:val="259"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8" w:lineRule="exact"/>
              <w:ind w:left="35" w:right="0"/>
              <w:jc w:val="left"/>
              <w:rPr>
                <w:rFonts w:ascii="黑体" w:hAnsi="黑体" w:cs="黑体" w:eastAsia="黑体" w:hint="default"/>
                <w:sz w:val="20"/>
                <w:szCs w:val="20"/>
              </w:rPr>
            </w:pPr>
            <w:r>
              <w:rPr>
                <w:rFonts w:ascii="黑体" w:hAnsi="黑体" w:cs="黑体" w:eastAsia="黑体" w:hint="default"/>
                <w:sz w:val="20"/>
                <w:szCs w:val="20"/>
              </w:rPr>
              <w:t>重庆用友</w:t>
            </w:r>
          </w:p>
        </w:tc>
        <w:tc>
          <w:tcPr>
            <w:tcW w:w="903" w:type="dxa"/>
            <w:tcBorders>
              <w:top w:val="nil" w:sz="6" w:space="0" w:color="auto"/>
              <w:left w:val="nil" w:sz="6" w:space="0" w:color="auto"/>
              <w:bottom w:val="nil" w:sz="6" w:space="0" w:color="auto"/>
              <w:right w:val="nil" w:sz="6" w:space="0" w:color="auto"/>
            </w:tcBorders>
          </w:tcPr>
          <w:p>
            <w:pPr>
              <w:pStyle w:val="TableParagraph"/>
              <w:spacing w:line="228" w:lineRule="exact"/>
              <w:ind w:right="41"/>
              <w:jc w:val="center"/>
              <w:rPr>
                <w:rFonts w:ascii="黑体" w:hAnsi="黑体" w:cs="黑体" w:eastAsia="黑体" w:hint="default"/>
                <w:sz w:val="20"/>
                <w:szCs w:val="20"/>
              </w:rPr>
            </w:pPr>
            <w:r>
              <w:rPr>
                <w:rFonts w:ascii="黑体" w:hAnsi="黑体" w:cs="黑体" w:eastAsia="黑体" w:hint="default"/>
                <w:sz w:val="20"/>
                <w:szCs w:val="20"/>
              </w:rPr>
              <w:t>长期</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6"/>
              <w:jc w:val="right"/>
              <w:rPr>
                <w:rFonts w:ascii="Arial" w:hAnsi="Arial" w:cs="Arial" w:eastAsia="Arial" w:hint="default"/>
                <w:sz w:val="20"/>
                <w:szCs w:val="20"/>
              </w:rPr>
            </w:pPr>
            <w:r>
              <w:rPr>
                <w:rFonts w:ascii="Arial"/>
                <w:sz w:val="20"/>
              </w:rPr>
              <w:t>81.88%</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6"/>
              <w:jc w:val="right"/>
              <w:rPr>
                <w:rFonts w:ascii="Arial" w:hAnsi="Arial" w:cs="Arial" w:eastAsia="Arial" w:hint="default"/>
                <w:sz w:val="20"/>
                <w:szCs w:val="20"/>
              </w:rPr>
            </w:pPr>
            <w:r>
              <w:rPr>
                <w:rFonts w:ascii="Arial"/>
                <w:spacing w:val="-1"/>
                <w:sz w:val="20"/>
              </w:rPr>
              <w:t>675,000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2"/>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97"/>
              <w:jc w:val="right"/>
              <w:rPr>
                <w:rFonts w:ascii="Arial" w:hAnsi="Arial" w:cs="Arial" w:eastAsia="Arial" w:hint="default"/>
                <w:sz w:val="20"/>
                <w:szCs w:val="20"/>
              </w:rPr>
            </w:pPr>
            <w:r>
              <w:rPr>
                <w:rFonts w:ascii="Arial"/>
                <w:spacing w:val="-1"/>
                <w:sz w:val="20"/>
              </w:rPr>
              <w:t>675,000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深圳用友科技</w:t>
            </w:r>
          </w:p>
        </w:tc>
        <w:tc>
          <w:tcPr>
            <w:tcW w:w="903" w:type="dxa"/>
            <w:tcBorders>
              <w:top w:val="nil" w:sz="6" w:space="0" w:color="auto"/>
              <w:left w:val="nil" w:sz="6" w:space="0" w:color="auto"/>
              <w:bottom w:val="nil" w:sz="6" w:space="0" w:color="auto"/>
              <w:right w:val="nil" w:sz="6" w:space="0" w:color="auto"/>
            </w:tcBorders>
          </w:tcPr>
          <w:p>
            <w:pPr>
              <w:pStyle w:val="TableParagraph"/>
              <w:spacing w:line="237" w:lineRule="exact"/>
              <w:ind w:right="43"/>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
              <w:jc w:val="right"/>
              <w:rPr>
                <w:rFonts w:ascii="Arial" w:hAnsi="Arial" w:cs="Arial" w:eastAsia="Arial" w:hint="default"/>
                <w:sz w:val="20"/>
                <w:szCs w:val="20"/>
              </w:rPr>
            </w:pPr>
            <w:r>
              <w:rPr>
                <w:rFonts w:ascii="Arial"/>
                <w:sz w:val="20"/>
              </w:rPr>
              <w:t>90%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Arial" w:hAnsi="Arial" w:cs="Arial" w:eastAsia="Arial" w:hint="default"/>
                <w:sz w:val="20"/>
                <w:szCs w:val="20"/>
              </w:rPr>
            </w:pPr>
            <w:r>
              <w:rPr>
                <w:rFonts w:ascii="Arial"/>
                <w:spacing w:val="-1"/>
                <w:sz w:val="20"/>
              </w:rPr>
              <w:t>900,000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3"/>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8"/>
              <w:jc w:val="right"/>
              <w:rPr>
                <w:rFonts w:ascii="Arial" w:hAnsi="Arial" w:cs="Arial" w:eastAsia="Arial" w:hint="default"/>
                <w:sz w:val="20"/>
                <w:szCs w:val="20"/>
              </w:rPr>
            </w:pPr>
            <w:r>
              <w:rPr>
                <w:rFonts w:ascii="Arial"/>
                <w:spacing w:val="-1"/>
                <w:sz w:val="20"/>
              </w:rPr>
              <w:t>900,000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武汉用友</w:t>
            </w:r>
          </w:p>
        </w:tc>
        <w:tc>
          <w:tcPr>
            <w:tcW w:w="903" w:type="dxa"/>
            <w:tcBorders>
              <w:top w:val="nil" w:sz="6" w:space="0" w:color="auto"/>
              <w:left w:val="nil" w:sz="6" w:space="0" w:color="auto"/>
              <w:bottom w:val="nil" w:sz="6" w:space="0" w:color="auto"/>
              <w:right w:val="nil" w:sz="6" w:space="0" w:color="auto"/>
            </w:tcBorders>
          </w:tcPr>
          <w:p>
            <w:pPr>
              <w:pStyle w:val="TableParagraph"/>
              <w:spacing w:line="238" w:lineRule="exact"/>
              <w:ind w:right="43"/>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
              <w:jc w:val="right"/>
              <w:rPr>
                <w:rFonts w:ascii="Arial" w:hAnsi="Arial" w:cs="Arial" w:eastAsia="Arial" w:hint="default"/>
                <w:sz w:val="20"/>
                <w:szCs w:val="20"/>
              </w:rPr>
            </w:pPr>
            <w:r>
              <w:rPr>
                <w:rFonts w:ascii="Arial"/>
                <w:sz w:val="20"/>
              </w:rPr>
              <w:t>95%</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Arial" w:hAnsi="Arial" w:cs="Arial" w:eastAsia="Arial" w:hint="default"/>
                <w:sz w:val="20"/>
                <w:szCs w:val="20"/>
              </w:rPr>
            </w:pPr>
            <w:r>
              <w:rPr>
                <w:rFonts w:ascii="Arial"/>
                <w:spacing w:val="-1"/>
                <w:sz w:val="20"/>
              </w:rPr>
              <w:t>1,470,000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Arial" w:hAnsi="Arial" w:cs="Arial" w:eastAsia="Arial" w:hint="default"/>
                <w:sz w:val="20"/>
                <w:szCs w:val="20"/>
              </w:rPr>
            </w:pPr>
            <w:r>
              <w:rPr>
                <w:rFonts w:ascii="Arial"/>
                <w:spacing w:val="-1"/>
                <w:sz w:val="20"/>
              </w:rPr>
              <w:t>1,470,000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广东用友</w:t>
            </w:r>
          </w:p>
        </w:tc>
        <w:tc>
          <w:tcPr>
            <w:tcW w:w="903" w:type="dxa"/>
            <w:tcBorders>
              <w:top w:val="nil" w:sz="6" w:space="0" w:color="auto"/>
              <w:left w:val="nil" w:sz="6" w:space="0" w:color="auto"/>
              <w:bottom w:val="nil" w:sz="6" w:space="0" w:color="auto"/>
              <w:right w:val="nil" w:sz="6" w:space="0" w:color="auto"/>
            </w:tcBorders>
          </w:tcPr>
          <w:p>
            <w:pPr>
              <w:pStyle w:val="TableParagraph"/>
              <w:spacing w:line="237" w:lineRule="exact"/>
              <w:ind w:right="43"/>
              <w:jc w:val="center"/>
              <w:rPr>
                <w:rFonts w:ascii="黑体" w:hAnsi="黑体" w:cs="黑体" w:eastAsia="黑体" w:hint="default"/>
                <w:sz w:val="20"/>
                <w:szCs w:val="20"/>
              </w:rPr>
            </w:pPr>
            <w:r>
              <w:rPr>
                <w:rFonts w:ascii="Arial" w:hAnsi="Arial" w:cs="Arial" w:eastAsia="Arial" w:hint="default"/>
                <w:sz w:val="20"/>
                <w:szCs w:val="20"/>
              </w:rPr>
              <w:t>17</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
              <w:jc w:val="right"/>
              <w:rPr>
                <w:rFonts w:ascii="Arial" w:hAnsi="Arial" w:cs="Arial" w:eastAsia="Arial" w:hint="default"/>
                <w:sz w:val="20"/>
                <w:szCs w:val="20"/>
              </w:rPr>
            </w:pPr>
            <w:r>
              <w:rPr>
                <w:rFonts w:ascii="Arial"/>
                <w:sz w:val="20"/>
              </w:rPr>
              <w:t>90%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Arial" w:hAnsi="Arial" w:cs="Arial" w:eastAsia="Arial" w:hint="default"/>
                <w:sz w:val="20"/>
                <w:szCs w:val="20"/>
              </w:rPr>
            </w:pPr>
            <w:r>
              <w:rPr>
                <w:rFonts w:ascii="Arial"/>
                <w:spacing w:val="-1"/>
                <w:sz w:val="20"/>
              </w:rPr>
              <w:t>3,840,000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spacing w:val="-1"/>
                <w:sz w:val="20"/>
              </w:rPr>
              <w:t>4,050,000</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Arial" w:hAnsi="Arial" w:cs="Arial" w:eastAsia="Arial" w:hint="default"/>
                <w:sz w:val="20"/>
                <w:szCs w:val="20"/>
              </w:rPr>
            </w:pPr>
            <w:r>
              <w:rPr>
                <w:rFonts w:ascii="Arial"/>
                <w:spacing w:val="-1"/>
                <w:sz w:val="20"/>
              </w:rPr>
              <w:t>7,890,000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天津用友</w:t>
            </w:r>
          </w:p>
        </w:tc>
        <w:tc>
          <w:tcPr>
            <w:tcW w:w="903" w:type="dxa"/>
            <w:tcBorders>
              <w:top w:val="nil" w:sz="6" w:space="0" w:color="auto"/>
              <w:left w:val="nil" w:sz="6" w:space="0" w:color="auto"/>
              <w:bottom w:val="nil" w:sz="6" w:space="0" w:color="auto"/>
              <w:right w:val="nil" w:sz="6" w:space="0" w:color="auto"/>
            </w:tcBorders>
          </w:tcPr>
          <w:p>
            <w:pPr>
              <w:pStyle w:val="TableParagraph"/>
              <w:spacing w:line="238" w:lineRule="exact"/>
              <w:ind w:right="43"/>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
              <w:jc w:val="right"/>
              <w:rPr>
                <w:rFonts w:ascii="Arial" w:hAnsi="Arial" w:cs="Arial" w:eastAsia="Arial" w:hint="default"/>
                <w:sz w:val="20"/>
                <w:szCs w:val="20"/>
              </w:rPr>
            </w:pPr>
            <w:r>
              <w:rPr>
                <w:rFonts w:ascii="Arial"/>
                <w:sz w:val="20"/>
              </w:rPr>
              <w:t>90%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Arial" w:hAnsi="Arial" w:cs="Arial" w:eastAsia="Arial" w:hint="default"/>
                <w:sz w:val="20"/>
                <w:szCs w:val="20"/>
              </w:rPr>
            </w:pPr>
            <w:r>
              <w:rPr>
                <w:rFonts w:ascii="Arial"/>
                <w:spacing w:val="-1"/>
                <w:sz w:val="20"/>
              </w:rPr>
              <w:t>2,970,000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Arial" w:hAnsi="Arial" w:cs="Arial" w:eastAsia="Arial" w:hint="default"/>
                <w:sz w:val="20"/>
                <w:szCs w:val="20"/>
              </w:rPr>
            </w:pPr>
            <w:r>
              <w:rPr>
                <w:rFonts w:ascii="Arial"/>
                <w:spacing w:val="-1"/>
                <w:sz w:val="20"/>
              </w:rPr>
              <w:t>2,970,000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安徽用友</w:t>
            </w:r>
          </w:p>
        </w:tc>
        <w:tc>
          <w:tcPr>
            <w:tcW w:w="903" w:type="dxa"/>
            <w:tcBorders>
              <w:top w:val="nil" w:sz="6" w:space="0" w:color="auto"/>
              <w:left w:val="nil" w:sz="6" w:space="0" w:color="auto"/>
              <w:bottom w:val="nil" w:sz="6" w:space="0" w:color="auto"/>
              <w:right w:val="nil" w:sz="6" w:space="0" w:color="auto"/>
            </w:tcBorders>
          </w:tcPr>
          <w:p>
            <w:pPr>
              <w:pStyle w:val="TableParagraph"/>
              <w:spacing w:line="237" w:lineRule="exact"/>
              <w:ind w:right="41"/>
              <w:jc w:val="center"/>
              <w:rPr>
                <w:rFonts w:ascii="黑体" w:hAnsi="黑体" w:cs="黑体" w:eastAsia="黑体" w:hint="default"/>
                <w:sz w:val="20"/>
                <w:szCs w:val="20"/>
              </w:rPr>
            </w:pPr>
            <w:r>
              <w:rPr>
                <w:rFonts w:ascii="Arial" w:hAnsi="Arial" w:cs="Arial" w:eastAsia="Arial" w:hint="default"/>
                <w:sz w:val="20"/>
                <w:szCs w:val="20"/>
              </w:rPr>
              <w:t>7</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
              <w:jc w:val="right"/>
              <w:rPr>
                <w:rFonts w:ascii="Arial" w:hAnsi="Arial" w:cs="Arial" w:eastAsia="Arial" w:hint="default"/>
                <w:sz w:val="20"/>
                <w:szCs w:val="20"/>
              </w:rPr>
            </w:pPr>
            <w:r>
              <w:rPr>
                <w:rFonts w:ascii="Arial"/>
                <w:sz w:val="20"/>
              </w:rPr>
              <w:t>82%</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Arial" w:hAnsi="Arial" w:cs="Arial" w:eastAsia="Arial" w:hint="default"/>
                <w:sz w:val="20"/>
                <w:szCs w:val="20"/>
              </w:rPr>
            </w:pPr>
            <w:r>
              <w:rPr>
                <w:rFonts w:ascii="Arial"/>
                <w:spacing w:val="-1"/>
                <w:sz w:val="20"/>
              </w:rPr>
              <w:t>876,000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3"/>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8"/>
              <w:jc w:val="right"/>
              <w:rPr>
                <w:rFonts w:ascii="Arial" w:hAnsi="Arial" w:cs="Arial" w:eastAsia="Arial" w:hint="default"/>
                <w:sz w:val="20"/>
                <w:szCs w:val="20"/>
              </w:rPr>
            </w:pPr>
            <w:r>
              <w:rPr>
                <w:rFonts w:ascii="Arial"/>
                <w:spacing w:val="-1"/>
                <w:sz w:val="20"/>
              </w:rPr>
              <w:t>876,000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6"/>
              <w:ind w:left="35" w:right="0"/>
              <w:jc w:val="left"/>
              <w:rPr>
                <w:rFonts w:ascii="Arial" w:hAnsi="Arial" w:cs="Arial" w:eastAsia="Arial" w:hint="default"/>
                <w:sz w:val="20"/>
                <w:szCs w:val="20"/>
              </w:rPr>
            </w:pPr>
            <w:r>
              <w:rPr>
                <w:rFonts w:ascii="Arial"/>
                <w:sz w:val="20"/>
              </w:rPr>
              <w:t>UF</w:t>
            </w:r>
            <w:r>
              <w:rPr>
                <w:rFonts w:ascii="Arial"/>
                <w:spacing w:val="-2"/>
                <w:sz w:val="20"/>
              </w:rPr>
              <w:t> </w:t>
            </w:r>
            <w:r>
              <w:rPr>
                <w:rFonts w:ascii="Arial"/>
                <w:sz w:val="20"/>
              </w:rPr>
              <w:t>INTERNATIONAL</w:t>
            </w:r>
          </w:p>
        </w:tc>
        <w:tc>
          <w:tcPr>
            <w:tcW w:w="903" w:type="dxa"/>
            <w:tcBorders>
              <w:top w:val="nil" w:sz="6" w:space="0" w:color="auto"/>
              <w:left w:val="nil" w:sz="6" w:space="0" w:color="auto"/>
              <w:bottom w:val="nil" w:sz="6" w:space="0" w:color="auto"/>
              <w:right w:val="nil" w:sz="6" w:space="0" w:color="auto"/>
            </w:tcBorders>
          </w:tcPr>
          <w:p>
            <w:pPr>
              <w:pStyle w:val="TableParagraph"/>
              <w:spacing w:line="224" w:lineRule="exact"/>
              <w:ind w:right="41"/>
              <w:jc w:val="center"/>
              <w:rPr>
                <w:rFonts w:ascii="黑体" w:hAnsi="黑体" w:cs="黑体" w:eastAsia="黑体" w:hint="default"/>
                <w:sz w:val="20"/>
                <w:szCs w:val="20"/>
              </w:rPr>
            </w:pPr>
            <w:r>
              <w:rPr>
                <w:rFonts w:ascii="黑体" w:hAnsi="黑体" w:cs="黑体" w:eastAsia="黑体" w:hint="default"/>
                <w:sz w:val="20"/>
                <w:szCs w:val="20"/>
              </w:rPr>
              <w:t>长期</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
              <w:jc w:val="right"/>
              <w:rPr>
                <w:rFonts w:ascii="Arial" w:hAnsi="Arial" w:cs="Arial" w:eastAsia="Arial" w:hint="default"/>
                <w:sz w:val="20"/>
                <w:szCs w:val="20"/>
              </w:rPr>
            </w:pPr>
            <w:r>
              <w:rPr>
                <w:rFonts w:ascii="Arial"/>
                <w:sz w:val="20"/>
              </w:rPr>
              <w:t>100%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Arial" w:hAnsi="Arial" w:cs="Arial" w:eastAsia="Arial" w:hint="default"/>
                <w:sz w:val="20"/>
                <w:szCs w:val="20"/>
              </w:rPr>
            </w:pPr>
            <w:r>
              <w:rPr>
                <w:rFonts w:ascii="Arial"/>
                <w:spacing w:val="-1"/>
                <w:sz w:val="20"/>
              </w:rPr>
              <w:t>8,218,060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3"/>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Arial" w:hAnsi="Arial" w:cs="Arial" w:eastAsia="Arial" w:hint="default"/>
                <w:sz w:val="20"/>
                <w:szCs w:val="20"/>
              </w:rPr>
            </w:pPr>
            <w:r>
              <w:rPr>
                <w:rFonts w:ascii="Arial"/>
                <w:spacing w:val="-1"/>
                <w:sz w:val="20"/>
              </w:rPr>
              <w:t>8,218,060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用友华表</w:t>
            </w:r>
          </w:p>
        </w:tc>
        <w:tc>
          <w:tcPr>
            <w:tcW w:w="903" w:type="dxa"/>
            <w:tcBorders>
              <w:top w:val="nil" w:sz="6" w:space="0" w:color="auto"/>
              <w:left w:val="nil" w:sz="6" w:space="0" w:color="auto"/>
              <w:bottom w:val="nil" w:sz="6" w:space="0" w:color="auto"/>
              <w:right w:val="nil" w:sz="6" w:space="0" w:color="auto"/>
            </w:tcBorders>
          </w:tcPr>
          <w:p>
            <w:pPr>
              <w:pStyle w:val="TableParagraph"/>
              <w:spacing w:line="237" w:lineRule="exact"/>
              <w:ind w:right="43"/>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
              <w:jc w:val="right"/>
              <w:rPr>
                <w:rFonts w:ascii="Arial" w:hAnsi="Arial" w:cs="Arial" w:eastAsia="Arial" w:hint="default"/>
                <w:sz w:val="20"/>
                <w:szCs w:val="20"/>
              </w:rPr>
            </w:pPr>
            <w:r>
              <w:rPr>
                <w:rFonts w:ascii="Arial"/>
                <w:sz w:val="20"/>
              </w:rPr>
              <w:t>70%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7"/>
              <w:jc w:val="right"/>
              <w:rPr>
                <w:rFonts w:ascii="Arial" w:hAnsi="Arial" w:cs="Arial" w:eastAsia="Arial" w:hint="default"/>
                <w:sz w:val="20"/>
                <w:szCs w:val="20"/>
              </w:rPr>
            </w:pPr>
            <w:r>
              <w:rPr>
                <w:rFonts w:ascii="Arial"/>
                <w:spacing w:val="-1"/>
                <w:sz w:val="20"/>
              </w:rPr>
              <w:t>10,500,000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3"/>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8"/>
              <w:jc w:val="right"/>
              <w:rPr>
                <w:rFonts w:ascii="Arial" w:hAnsi="Arial" w:cs="Arial" w:eastAsia="Arial" w:hint="default"/>
                <w:sz w:val="20"/>
                <w:szCs w:val="20"/>
              </w:rPr>
            </w:pPr>
            <w:r>
              <w:rPr>
                <w:rFonts w:ascii="Arial"/>
                <w:spacing w:val="-1"/>
                <w:sz w:val="20"/>
              </w:rPr>
              <w:t>10,500,000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用友艾福斯</w:t>
            </w:r>
          </w:p>
        </w:tc>
        <w:tc>
          <w:tcPr>
            <w:tcW w:w="903" w:type="dxa"/>
            <w:tcBorders>
              <w:top w:val="nil" w:sz="6" w:space="0" w:color="auto"/>
              <w:left w:val="nil" w:sz="6" w:space="0" w:color="auto"/>
              <w:bottom w:val="nil" w:sz="6" w:space="0" w:color="auto"/>
              <w:right w:val="nil" w:sz="6" w:space="0" w:color="auto"/>
            </w:tcBorders>
          </w:tcPr>
          <w:p>
            <w:pPr>
              <w:pStyle w:val="TableParagraph"/>
              <w:spacing w:line="238" w:lineRule="exact"/>
              <w:ind w:right="43"/>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
              <w:jc w:val="right"/>
              <w:rPr>
                <w:rFonts w:ascii="Arial" w:hAnsi="Arial" w:cs="Arial" w:eastAsia="Arial" w:hint="default"/>
                <w:sz w:val="20"/>
                <w:szCs w:val="20"/>
              </w:rPr>
            </w:pPr>
            <w:r>
              <w:rPr>
                <w:rFonts w:ascii="Arial"/>
                <w:sz w:val="20"/>
              </w:rPr>
              <w:t>75%</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Arial" w:hAnsi="Arial" w:cs="Arial" w:eastAsia="Arial" w:hint="default"/>
                <w:sz w:val="20"/>
                <w:szCs w:val="20"/>
              </w:rPr>
            </w:pPr>
            <w:r>
              <w:rPr>
                <w:rFonts w:ascii="Arial"/>
                <w:spacing w:val="-1"/>
                <w:sz w:val="20"/>
              </w:rPr>
              <w:t>8,300,000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Arial" w:hAnsi="Arial" w:cs="Arial" w:eastAsia="Arial" w:hint="default"/>
                <w:sz w:val="20"/>
                <w:szCs w:val="20"/>
              </w:rPr>
            </w:pPr>
            <w:r>
              <w:rPr>
                <w:rFonts w:ascii="Arial"/>
                <w:spacing w:val="-1"/>
                <w:sz w:val="20"/>
              </w:rPr>
              <w:t>8,300,000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用友政务</w:t>
            </w:r>
          </w:p>
        </w:tc>
        <w:tc>
          <w:tcPr>
            <w:tcW w:w="903" w:type="dxa"/>
            <w:tcBorders>
              <w:top w:val="nil" w:sz="6" w:space="0" w:color="auto"/>
              <w:left w:val="nil" w:sz="6" w:space="0" w:color="auto"/>
              <w:bottom w:val="nil" w:sz="6" w:space="0" w:color="auto"/>
              <w:right w:val="nil" w:sz="6" w:space="0" w:color="auto"/>
            </w:tcBorders>
          </w:tcPr>
          <w:p>
            <w:pPr>
              <w:pStyle w:val="TableParagraph"/>
              <w:spacing w:line="237" w:lineRule="exact"/>
              <w:ind w:right="43"/>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
              <w:jc w:val="right"/>
              <w:rPr>
                <w:rFonts w:ascii="Arial" w:hAnsi="Arial" w:cs="Arial" w:eastAsia="Arial" w:hint="default"/>
                <w:sz w:val="20"/>
                <w:szCs w:val="20"/>
              </w:rPr>
            </w:pPr>
            <w:r>
              <w:rPr>
                <w:rFonts w:ascii="Arial"/>
                <w:sz w:val="20"/>
              </w:rPr>
              <w:t>68%</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7"/>
              <w:jc w:val="right"/>
              <w:rPr>
                <w:rFonts w:ascii="Arial" w:hAnsi="Arial" w:cs="Arial" w:eastAsia="Arial" w:hint="default"/>
                <w:sz w:val="20"/>
                <w:szCs w:val="20"/>
              </w:rPr>
            </w:pPr>
            <w:r>
              <w:rPr>
                <w:rFonts w:ascii="Arial"/>
                <w:spacing w:val="-1"/>
                <w:sz w:val="20"/>
              </w:rPr>
              <w:t>42,699,284</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3"/>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8"/>
              <w:jc w:val="right"/>
              <w:rPr>
                <w:rFonts w:ascii="Arial" w:hAnsi="Arial" w:cs="Arial" w:eastAsia="Arial" w:hint="default"/>
                <w:sz w:val="20"/>
                <w:szCs w:val="20"/>
              </w:rPr>
            </w:pPr>
            <w:r>
              <w:rPr>
                <w:rFonts w:ascii="Arial"/>
                <w:spacing w:val="-1"/>
                <w:sz w:val="20"/>
              </w:rPr>
              <w:t>42,699,284</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用友金融</w:t>
            </w:r>
          </w:p>
        </w:tc>
        <w:tc>
          <w:tcPr>
            <w:tcW w:w="903" w:type="dxa"/>
            <w:tcBorders>
              <w:top w:val="nil" w:sz="6" w:space="0" w:color="auto"/>
              <w:left w:val="nil" w:sz="6" w:space="0" w:color="auto"/>
              <w:bottom w:val="nil" w:sz="6" w:space="0" w:color="auto"/>
              <w:right w:val="nil" w:sz="6" w:space="0" w:color="auto"/>
            </w:tcBorders>
          </w:tcPr>
          <w:p>
            <w:pPr>
              <w:pStyle w:val="TableParagraph"/>
              <w:spacing w:line="238" w:lineRule="exact"/>
              <w:ind w:right="43"/>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
              <w:jc w:val="right"/>
              <w:rPr>
                <w:rFonts w:ascii="Arial" w:hAnsi="Arial" w:cs="Arial" w:eastAsia="Arial" w:hint="default"/>
                <w:sz w:val="20"/>
                <w:szCs w:val="20"/>
              </w:rPr>
            </w:pPr>
            <w:r>
              <w:rPr>
                <w:rFonts w:ascii="Arial"/>
                <w:sz w:val="20"/>
              </w:rPr>
              <w:t>100%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7"/>
              <w:jc w:val="right"/>
              <w:rPr>
                <w:rFonts w:ascii="Arial" w:hAnsi="Arial" w:cs="Arial" w:eastAsia="Arial" w:hint="default"/>
                <w:sz w:val="20"/>
                <w:szCs w:val="20"/>
              </w:rPr>
            </w:pPr>
            <w:r>
              <w:rPr>
                <w:rFonts w:ascii="Arial"/>
                <w:spacing w:val="-1"/>
                <w:sz w:val="20"/>
              </w:rPr>
              <w:t>30,000,000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3"/>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8"/>
              <w:jc w:val="right"/>
              <w:rPr>
                <w:rFonts w:ascii="Arial" w:hAnsi="Arial" w:cs="Arial" w:eastAsia="Arial" w:hint="default"/>
                <w:sz w:val="20"/>
                <w:szCs w:val="20"/>
              </w:rPr>
            </w:pPr>
            <w:r>
              <w:rPr>
                <w:rFonts w:ascii="Arial"/>
                <w:spacing w:val="-1"/>
                <w:sz w:val="20"/>
              </w:rPr>
              <w:t>30,000,000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浙江用友</w:t>
            </w:r>
          </w:p>
        </w:tc>
        <w:tc>
          <w:tcPr>
            <w:tcW w:w="903" w:type="dxa"/>
            <w:tcBorders>
              <w:top w:val="nil" w:sz="6" w:space="0" w:color="auto"/>
              <w:left w:val="nil" w:sz="6" w:space="0" w:color="auto"/>
              <w:bottom w:val="nil" w:sz="6" w:space="0" w:color="auto"/>
              <w:right w:val="nil" w:sz="6" w:space="0" w:color="auto"/>
            </w:tcBorders>
          </w:tcPr>
          <w:p>
            <w:pPr>
              <w:pStyle w:val="TableParagraph"/>
              <w:spacing w:line="237" w:lineRule="exact"/>
              <w:ind w:right="43"/>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
              <w:jc w:val="right"/>
              <w:rPr>
                <w:rFonts w:ascii="Arial" w:hAnsi="Arial" w:cs="Arial" w:eastAsia="Arial" w:hint="default"/>
                <w:sz w:val="20"/>
                <w:szCs w:val="20"/>
              </w:rPr>
            </w:pPr>
            <w:r>
              <w:rPr>
                <w:rFonts w:ascii="Arial"/>
                <w:sz w:val="20"/>
              </w:rPr>
              <w:t>90%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Arial" w:hAnsi="Arial" w:cs="Arial" w:eastAsia="Arial" w:hint="default"/>
                <w:sz w:val="20"/>
                <w:szCs w:val="20"/>
              </w:rPr>
            </w:pPr>
            <w:r>
              <w:rPr>
                <w:rFonts w:ascii="Arial"/>
                <w:spacing w:val="-1"/>
                <w:sz w:val="20"/>
              </w:rPr>
              <w:t>4,500,000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Arial" w:hAnsi="Arial" w:cs="Arial" w:eastAsia="Arial" w:hint="default"/>
                <w:sz w:val="20"/>
                <w:szCs w:val="20"/>
              </w:rPr>
            </w:pPr>
            <w:r>
              <w:rPr>
                <w:rFonts w:ascii="Arial"/>
                <w:spacing w:val="-1"/>
                <w:sz w:val="20"/>
              </w:rPr>
              <w:t>4,500,000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沈阳用友</w:t>
            </w:r>
          </w:p>
        </w:tc>
        <w:tc>
          <w:tcPr>
            <w:tcW w:w="903" w:type="dxa"/>
            <w:tcBorders>
              <w:top w:val="nil" w:sz="6" w:space="0" w:color="auto"/>
              <w:left w:val="nil" w:sz="6" w:space="0" w:color="auto"/>
              <w:bottom w:val="nil" w:sz="6" w:space="0" w:color="auto"/>
              <w:right w:val="nil" w:sz="6" w:space="0" w:color="auto"/>
            </w:tcBorders>
          </w:tcPr>
          <w:p>
            <w:pPr>
              <w:pStyle w:val="TableParagraph"/>
              <w:spacing w:line="238" w:lineRule="exact"/>
              <w:ind w:right="43"/>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
              <w:jc w:val="right"/>
              <w:rPr>
                <w:rFonts w:ascii="Arial" w:hAnsi="Arial" w:cs="Arial" w:eastAsia="Arial" w:hint="default"/>
                <w:sz w:val="20"/>
                <w:szCs w:val="20"/>
              </w:rPr>
            </w:pPr>
            <w:r>
              <w:rPr>
                <w:rFonts w:ascii="Arial"/>
                <w:sz w:val="20"/>
              </w:rPr>
              <w:t>90%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Arial" w:hAnsi="Arial" w:cs="Arial" w:eastAsia="Arial" w:hint="default"/>
                <w:sz w:val="20"/>
                <w:szCs w:val="20"/>
              </w:rPr>
            </w:pPr>
            <w:r>
              <w:rPr>
                <w:rFonts w:ascii="Arial"/>
                <w:spacing w:val="-1"/>
                <w:sz w:val="20"/>
              </w:rPr>
              <w:t>2,700,000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Arial" w:hAnsi="Arial" w:cs="Arial" w:eastAsia="Arial" w:hint="default"/>
                <w:sz w:val="20"/>
                <w:szCs w:val="20"/>
              </w:rPr>
            </w:pPr>
            <w:r>
              <w:rPr>
                <w:rFonts w:ascii="Arial"/>
                <w:spacing w:val="-1"/>
                <w:sz w:val="20"/>
              </w:rPr>
              <w:t>2,700,000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大连用友</w:t>
            </w:r>
          </w:p>
        </w:tc>
        <w:tc>
          <w:tcPr>
            <w:tcW w:w="903" w:type="dxa"/>
            <w:tcBorders>
              <w:top w:val="nil" w:sz="6" w:space="0" w:color="auto"/>
              <w:left w:val="nil" w:sz="6" w:space="0" w:color="auto"/>
              <w:bottom w:val="nil" w:sz="6" w:space="0" w:color="auto"/>
              <w:right w:val="nil" w:sz="6" w:space="0" w:color="auto"/>
            </w:tcBorders>
          </w:tcPr>
          <w:p>
            <w:pPr>
              <w:pStyle w:val="TableParagraph"/>
              <w:spacing w:line="237" w:lineRule="exact"/>
              <w:ind w:right="43"/>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
              <w:jc w:val="right"/>
              <w:rPr>
                <w:rFonts w:ascii="Arial" w:hAnsi="Arial" w:cs="Arial" w:eastAsia="Arial" w:hint="default"/>
                <w:sz w:val="20"/>
                <w:szCs w:val="20"/>
              </w:rPr>
            </w:pPr>
            <w:r>
              <w:rPr>
                <w:rFonts w:ascii="Arial"/>
                <w:sz w:val="20"/>
              </w:rPr>
              <w:t>90%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Arial" w:hAnsi="Arial" w:cs="Arial" w:eastAsia="Arial" w:hint="default"/>
                <w:sz w:val="20"/>
                <w:szCs w:val="20"/>
              </w:rPr>
            </w:pPr>
            <w:r>
              <w:rPr>
                <w:rFonts w:ascii="Arial"/>
                <w:spacing w:val="-1"/>
                <w:sz w:val="20"/>
              </w:rPr>
              <w:t>2,700,000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Arial" w:hAnsi="Arial" w:cs="Arial" w:eastAsia="Arial" w:hint="default"/>
                <w:sz w:val="20"/>
                <w:szCs w:val="20"/>
              </w:rPr>
            </w:pPr>
            <w:r>
              <w:rPr>
                <w:rFonts w:ascii="Arial"/>
                <w:spacing w:val="-1"/>
                <w:sz w:val="20"/>
              </w:rPr>
              <w:t>2,700,000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广西用友</w:t>
            </w:r>
          </w:p>
        </w:tc>
        <w:tc>
          <w:tcPr>
            <w:tcW w:w="903" w:type="dxa"/>
            <w:tcBorders>
              <w:top w:val="nil" w:sz="6" w:space="0" w:color="auto"/>
              <w:left w:val="nil" w:sz="6" w:space="0" w:color="auto"/>
              <w:bottom w:val="nil" w:sz="6" w:space="0" w:color="auto"/>
              <w:right w:val="nil" w:sz="6" w:space="0" w:color="auto"/>
            </w:tcBorders>
          </w:tcPr>
          <w:p>
            <w:pPr>
              <w:pStyle w:val="TableParagraph"/>
              <w:spacing w:line="238" w:lineRule="exact"/>
              <w:ind w:right="43"/>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
              <w:jc w:val="right"/>
              <w:rPr>
                <w:rFonts w:ascii="Arial" w:hAnsi="Arial" w:cs="Arial" w:eastAsia="Arial" w:hint="default"/>
                <w:sz w:val="20"/>
                <w:szCs w:val="20"/>
              </w:rPr>
            </w:pPr>
            <w:r>
              <w:rPr>
                <w:rFonts w:ascii="Arial"/>
                <w:sz w:val="20"/>
              </w:rPr>
              <w:t>90%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Arial" w:hAnsi="Arial" w:cs="Arial" w:eastAsia="Arial" w:hint="default"/>
                <w:sz w:val="20"/>
                <w:szCs w:val="20"/>
              </w:rPr>
            </w:pPr>
            <w:r>
              <w:rPr>
                <w:rFonts w:ascii="Arial"/>
                <w:spacing w:val="-1"/>
                <w:sz w:val="20"/>
              </w:rPr>
              <w:t>2,700,000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Arial" w:hAnsi="Arial" w:cs="Arial" w:eastAsia="Arial" w:hint="default"/>
                <w:sz w:val="20"/>
                <w:szCs w:val="20"/>
              </w:rPr>
            </w:pPr>
            <w:r>
              <w:rPr>
                <w:rFonts w:ascii="Arial"/>
                <w:spacing w:val="-1"/>
                <w:sz w:val="20"/>
              </w:rPr>
              <w:t>2,700,000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用友烟草</w:t>
            </w:r>
          </w:p>
        </w:tc>
        <w:tc>
          <w:tcPr>
            <w:tcW w:w="903" w:type="dxa"/>
            <w:tcBorders>
              <w:top w:val="nil" w:sz="6" w:space="0" w:color="auto"/>
              <w:left w:val="nil" w:sz="6" w:space="0" w:color="auto"/>
              <w:bottom w:val="nil" w:sz="6" w:space="0" w:color="auto"/>
              <w:right w:val="nil" w:sz="6" w:space="0" w:color="auto"/>
            </w:tcBorders>
          </w:tcPr>
          <w:p>
            <w:pPr>
              <w:pStyle w:val="TableParagraph"/>
              <w:spacing w:line="237" w:lineRule="exact"/>
              <w:ind w:right="43"/>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
              <w:jc w:val="right"/>
              <w:rPr>
                <w:rFonts w:ascii="Arial" w:hAnsi="Arial" w:cs="Arial" w:eastAsia="Arial" w:hint="default"/>
                <w:sz w:val="20"/>
                <w:szCs w:val="20"/>
              </w:rPr>
            </w:pPr>
            <w:r>
              <w:rPr>
                <w:rFonts w:ascii="Arial"/>
                <w:sz w:val="20"/>
              </w:rPr>
              <w:t>79%</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7"/>
              <w:jc w:val="right"/>
              <w:rPr>
                <w:rFonts w:ascii="Arial" w:hAnsi="Arial" w:cs="Arial" w:eastAsia="Arial" w:hint="default"/>
                <w:sz w:val="20"/>
                <w:szCs w:val="20"/>
              </w:rPr>
            </w:pPr>
            <w:r>
              <w:rPr>
                <w:rFonts w:ascii="Arial"/>
                <w:spacing w:val="-1"/>
                <w:sz w:val="20"/>
              </w:rPr>
              <w:t>20,000,000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8"/>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
              <w:jc w:val="right"/>
              <w:rPr>
                <w:rFonts w:ascii="Arial" w:hAnsi="Arial" w:cs="Arial" w:eastAsia="Arial" w:hint="default"/>
                <w:sz w:val="20"/>
                <w:szCs w:val="20"/>
              </w:rPr>
            </w:pPr>
            <w:r>
              <w:rPr>
                <w:rFonts w:ascii="Arial"/>
                <w:spacing w:val="-1"/>
                <w:sz w:val="20"/>
              </w:rPr>
              <w:t>4,200,000</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Arial" w:hAnsi="Arial" w:cs="Arial" w:eastAsia="Arial" w:hint="default"/>
                <w:sz w:val="20"/>
                <w:szCs w:val="20"/>
              </w:rPr>
            </w:pPr>
            <w:r>
              <w:rPr>
                <w:rFonts w:ascii="Arial"/>
                <w:spacing w:val="-1"/>
                <w:sz w:val="20"/>
              </w:rPr>
              <w:t>15,800,000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用友移动</w:t>
            </w:r>
          </w:p>
        </w:tc>
        <w:tc>
          <w:tcPr>
            <w:tcW w:w="903" w:type="dxa"/>
            <w:tcBorders>
              <w:top w:val="nil" w:sz="6" w:space="0" w:color="auto"/>
              <w:left w:val="nil" w:sz="6" w:space="0" w:color="auto"/>
              <w:bottom w:val="nil" w:sz="6" w:space="0" w:color="auto"/>
              <w:right w:val="nil" w:sz="6" w:space="0" w:color="auto"/>
            </w:tcBorders>
          </w:tcPr>
          <w:p>
            <w:pPr>
              <w:pStyle w:val="TableParagraph"/>
              <w:spacing w:line="238" w:lineRule="exact"/>
              <w:ind w:right="43"/>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8"/>
              <w:jc w:val="right"/>
              <w:rPr>
                <w:rFonts w:ascii="Arial" w:hAnsi="Arial" w:cs="Arial" w:eastAsia="Arial" w:hint="default"/>
                <w:sz w:val="20"/>
                <w:szCs w:val="20"/>
              </w:rPr>
            </w:pPr>
            <w:r>
              <w:rPr>
                <w:rFonts w:ascii="Arial"/>
                <w:w w:val="100"/>
                <w:sz w:val="20"/>
              </w:rPr>
              <w:t>-</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Arial" w:hAnsi="Arial" w:cs="Arial" w:eastAsia="Arial" w:hint="default"/>
                <w:sz w:val="20"/>
                <w:szCs w:val="20"/>
              </w:rPr>
            </w:pPr>
            <w:r>
              <w:rPr>
                <w:rFonts w:ascii="Arial"/>
                <w:spacing w:val="-1"/>
                <w:sz w:val="20"/>
              </w:rPr>
              <w:t>10,009,000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
              <w:jc w:val="right"/>
              <w:rPr>
                <w:rFonts w:ascii="Arial" w:hAnsi="Arial" w:cs="Arial" w:eastAsia="Arial" w:hint="default"/>
                <w:sz w:val="20"/>
                <w:szCs w:val="20"/>
              </w:rPr>
            </w:pPr>
            <w:r>
              <w:rPr>
                <w:rFonts w:ascii="Arial"/>
                <w:spacing w:val="-1"/>
                <w:sz w:val="20"/>
              </w:rPr>
              <w:t>10,009,000</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8"/>
              <w:jc w:val="right"/>
              <w:rPr>
                <w:rFonts w:ascii="Arial" w:hAnsi="Arial" w:cs="Arial" w:eastAsia="Arial" w:hint="default"/>
                <w:sz w:val="20"/>
                <w:szCs w:val="20"/>
              </w:rPr>
            </w:pPr>
            <w:r>
              <w:rPr>
                <w:rFonts w:ascii="Arial"/>
                <w:w w:val="100"/>
                <w:sz w:val="20"/>
              </w:rPr>
              <w:t>-</w:t>
            </w:r>
          </w:p>
        </w:tc>
      </w:tr>
      <w:tr>
        <w:trPr>
          <w:trHeight w:val="256"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深圳用友软件</w:t>
            </w:r>
          </w:p>
        </w:tc>
        <w:tc>
          <w:tcPr>
            <w:tcW w:w="903" w:type="dxa"/>
            <w:tcBorders>
              <w:top w:val="nil" w:sz="6" w:space="0" w:color="auto"/>
              <w:left w:val="nil" w:sz="6" w:space="0" w:color="auto"/>
              <w:bottom w:val="nil" w:sz="6" w:space="0" w:color="auto"/>
              <w:right w:val="nil" w:sz="6" w:space="0" w:color="auto"/>
            </w:tcBorders>
          </w:tcPr>
          <w:p>
            <w:pPr>
              <w:pStyle w:val="TableParagraph"/>
              <w:spacing w:line="237" w:lineRule="exact"/>
              <w:ind w:right="43"/>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6"/>
              <w:jc w:val="right"/>
              <w:rPr>
                <w:rFonts w:ascii="Arial" w:hAnsi="Arial" w:cs="Arial" w:eastAsia="Arial" w:hint="default"/>
                <w:sz w:val="20"/>
                <w:szCs w:val="20"/>
              </w:rPr>
            </w:pPr>
            <w:r>
              <w:rPr>
                <w:rFonts w:ascii="Arial"/>
                <w:sz w:val="20"/>
              </w:rPr>
              <w:t>90%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6"/>
              <w:jc w:val="right"/>
              <w:rPr>
                <w:rFonts w:ascii="Arial" w:hAnsi="Arial" w:cs="Arial" w:eastAsia="Arial" w:hint="default"/>
                <w:sz w:val="20"/>
                <w:szCs w:val="20"/>
              </w:rPr>
            </w:pPr>
            <w:r>
              <w:rPr>
                <w:rFonts w:ascii="Arial"/>
                <w:spacing w:val="-1"/>
                <w:sz w:val="20"/>
              </w:rPr>
              <w:t>4,500,000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42"/>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97"/>
              <w:jc w:val="right"/>
              <w:rPr>
                <w:rFonts w:ascii="Arial" w:hAnsi="Arial" w:cs="Arial" w:eastAsia="Arial" w:hint="default"/>
                <w:sz w:val="20"/>
                <w:szCs w:val="20"/>
              </w:rPr>
            </w:pPr>
            <w:r>
              <w:rPr>
                <w:rFonts w:ascii="Arial"/>
                <w:spacing w:val="-1"/>
                <w:sz w:val="20"/>
              </w:rPr>
              <w:t>4,500,000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苏州用友</w:t>
            </w:r>
          </w:p>
        </w:tc>
        <w:tc>
          <w:tcPr>
            <w:tcW w:w="903" w:type="dxa"/>
            <w:tcBorders>
              <w:top w:val="nil" w:sz="6" w:space="0" w:color="auto"/>
              <w:left w:val="nil" w:sz="6" w:space="0" w:color="auto"/>
              <w:bottom w:val="nil" w:sz="6" w:space="0" w:color="auto"/>
              <w:right w:val="nil" w:sz="6" w:space="0" w:color="auto"/>
            </w:tcBorders>
          </w:tcPr>
          <w:p>
            <w:pPr>
              <w:pStyle w:val="TableParagraph"/>
              <w:spacing w:line="238" w:lineRule="exact"/>
              <w:ind w:right="42"/>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6"/>
              <w:jc w:val="right"/>
              <w:rPr>
                <w:rFonts w:ascii="Arial" w:hAnsi="Arial" w:cs="Arial" w:eastAsia="Arial" w:hint="default"/>
                <w:sz w:val="20"/>
                <w:szCs w:val="20"/>
              </w:rPr>
            </w:pPr>
            <w:r>
              <w:rPr>
                <w:rFonts w:ascii="Arial"/>
                <w:sz w:val="20"/>
              </w:rPr>
              <w:t>90%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Arial" w:hAnsi="Arial" w:cs="Arial" w:eastAsia="Arial" w:hint="default"/>
                <w:sz w:val="20"/>
                <w:szCs w:val="20"/>
              </w:rPr>
            </w:pPr>
            <w:r>
              <w:rPr>
                <w:rFonts w:ascii="Arial"/>
                <w:spacing w:val="-1"/>
                <w:sz w:val="20"/>
              </w:rPr>
              <w:t>2,700,000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Arial" w:hAnsi="Arial" w:cs="Arial" w:eastAsia="Arial" w:hint="default"/>
                <w:sz w:val="20"/>
                <w:szCs w:val="20"/>
              </w:rPr>
            </w:pPr>
            <w:r>
              <w:rPr>
                <w:rFonts w:ascii="Arial"/>
                <w:spacing w:val="-1"/>
                <w:sz w:val="20"/>
              </w:rPr>
              <w:t>2,700,000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山东用友</w:t>
            </w:r>
          </w:p>
        </w:tc>
        <w:tc>
          <w:tcPr>
            <w:tcW w:w="903" w:type="dxa"/>
            <w:tcBorders>
              <w:top w:val="nil" w:sz="6" w:space="0" w:color="auto"/>
              <w:left w:val="nil" w:sz="6" w:space="0" w:color="auto"/>
              <w:bottom w:val="nil" w:sz="6" w:space="0" w:color="auto"/>
              <w:right w:val="nil" w:sz="6" w:space="0" w:color="auto"/>
            </w:tcBorders>
          </w:tcPr>
          <w:p>
            <w:pPr>
              <w:pStyle w:val="TableParagraph"/>
              <w:spacing w:line="237" w:lineRule="exact"/>
              <w:ind w:right="42"/>
              <w:jc w:val="center"/>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6"/>
              <w:jc w:val="right"/>
              <w:rPr>
                <w:rFonts w:ascii="Arial" w:hAnsi="Arial" w:cs="Arial" w:eastAsia="Arial" w:hint="default"/>
                <w:sz w:val="20"/>
                <w:szCs w:val="20"/>
              </w:rPr>
            </w:pPr>
            <w:r>
              <w:rPr>
                <w:rFonts w:ascii="Arial"/>
                <w:sz w:val="20"/>
              </w:rPr>
              <w:t>90%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Arial" w:hAnsi="Arial" w:cs="Arial" w:eastAsia="Arial" w:hint="default"/>
                <w:sz w:val="20"/>
                <w:szCs w:val="20"/>
              </w:rPr>
            </w:pPr>
            <w:r>
              <w:rPr>
                <w:rFonts w:ascii="Arial"/>
                <w:spacing w:val="-1"/>
                <w:sz w:val="20"/>
              </w:rPr>
              <w:t>4,500,000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7"/>
              <w:jc w:val="right"/>
              <w:rPr>
                <w:rFonts w:ascii="Arial" w:hAnsi="Arial" w:cs="Arial" w:eastAsia="Arial" w:hint="default"/>
                <w:sz w:val="20"/>
                <w:szCs w:val="20"/>
              </w:rPr>
            </w:pPr>
            <w:r>
              <w:rPr>
                <w:rFonts w:ascii="Arial"/>
                <w:w w:val="100"/>
                <w:sz w:val="20"/>
              </w:rPr>
              <w:t>-</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Arial" w:hAnsi="Arial" w:cs="Arial" w:eastAsia="Arial" w:hint="default"/>
                <w:sz w:val="20"/>
                <w:szCs w:val="20"/>
              </w:rPr>
            </w:pPr>
            <w:r>
              <w:rPr>
                <w:rFonts w:ascii="Arial"/>
                <w:spacing w:val="-1"/>
                <w:sz w:val="20"/>
              </w:rPr>
              <w:t>4,500,000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江西用友</w:t>
            </w:r>
          </w:p>
        </w:tc>
        <w:tc>
          <w:tcPr>
            <w:tcW w:w="903" w:type="dxa"/>
            <w:tcBorders>
              <w:top w:val="nil" w:sz="6" w:space="0" w:color="auto"/>
              <w:left w:val="nil" w:sz="6" w:space="0" w:color="auto"/>
              <w:bottom w:val="nil" w:sz="6" w:space="0" w:color="auto"/>
              <w:right w:val="nil" w:sz="6" w:space="0" w:color="auto"/>
            </w:tcBorders>
          </w:tcPr>
          <w:p>
            <w:pPr>
              <w:pStyle w:val="TableParagraph"/>
              <w:spacing w:line="238" w:lineRule="exact"/>
              <w:ind w:right="42"/>
              <w:jc w:val="center"/>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6"/>
              <w:jc w:val="right"/>
              <w:rPr>
                <w:rFonts w:ascii="Arial" w:hAnsi="Arial" w:cs="Arial" w:eastAsia="Arial" w:hint="default"/>
                <w:sz w:val="20"/>
                <w:szCs w:val="20"/>
              </w:rPr>
            </w:pPr>
            <w:r>
              <w:rPr>
                <w:rFonts w:ascii="Arial"/>
                <w:sz w:val="20"/>
              </w:rPr>
              <w:t>100%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7"/>
              <w:jc w:val="right"/>
              <w:rPr>
                <w:rFonts w:ascii="Arial" w:hAnsi="Arial" w:cs="Arial" w:eastAsia="Arial" w:hint="default"/>
                <w:sz w:val="20"/>
                <w:szCs w:val="20"/>
              </w:rPr>
            </w:pPr>
            <w:r>
              <w:rPr>
                <w:rFonts w:ascii="Arial"/>
                <w:w w:val="100"/>
                <w:sz w:val="20"/>
              </w:rPr>
              <w:t>-</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6"/>
              <w:jc w:val="right"/>
              <w:rPr>
                <w:rFonts w:ascii="Arial" w:hAnsi="Arial" w:cs="Arial" w:eastAsia="Arial" w:hint="default"/>
                <w:sz w:val="20"/>
                <w:szCs w:val="20"/>
              </w:rPr>
            </w:pPr>
            <w:r>
              <w:rPr>
                <w:rFonts w:ascii="Arial"/>
                <w:spacing w:val="-1"/>
                <w:sz w:val="20"/>
              </w:rPr>
              <w:t>20,000,000</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Arial" w:hAnsi="Arial" w:cs="Arial" w:eastAsia="Arial" w:hint="default"/>
                <w:sz w:val="20"/>
                <w:szCs w:val="20"/>
              </w:rPr>
            </w:pPr>
            <w:r>
              <w:rPr>
                <w:rFonts w:ascii="Arial"/>
                <w:spacing w:val="-1"/>
                <w:sz w:val="20"/>
              </w:rPr>
              <w:t>20,000,000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湖南用友</w:t>
            </w:r>
          </w:p>
        </w:tc>
        <w:tc>
          <w:tcPr>
            <w:tcW w:w="903" w:type="dxa"/>
            <w:tcBorders>
              <w:top w:val="nil" w:sz="6" w:space="0" w:color="auto"/>
              <w:left w:val="nil" w:sz="6" w:space="0" w:color="auto"/>
              <w:bottom w:val="nil" w:sz="6" w:space="0" w:color="auto"/>
              <w:right w:val="nil" w:sz="6" w:space="0" w:color="auto"/>
            </w:tcBorders>
          </w:tcPr>
          <w:p>
            <w:pPr>
              <w:pStyle w:val="TableParagraph"/>
              <w:spacing w:line="237" w:lineRule="exact"/>
              <w:ind w:right="42"/>
              <w:jc w:val="center"/>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6"/>
              <w:jc w:val="right"/>
              <w:rPr>
                <w:rFonts w:ascii="Arial" w:hAnsi="Arial" w:cs="Arial" w:eastAsia="Arial" w:hint="default"/>
                <w:sz w:val="20"/>
                <w:szCs w:val="20"/>
              </w:rPr>
            </w:pPr>
            <w:r>
              <w:rPr>
                <w:rFonts w:ascii="Arial"/>
                <w:sz w:val="20"/>
              </w:rPr>
              <w:t>90%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Arial" w:hAnsi="Arial" w:cs="Arial" w:eastAsia="Arial" w:hint="default"/>
                <w:sz w:val="20"/>
                <w:szCs w:val="20"/>
              </w:rPr>
            </w:pPr>
            <w:r>
              <w:rPr>
                <w:rFonts w:ascii="Arial"/>
                <w:w w:val="100"/>
                <w:sz w:val="20"/>
              </w:rPr>
              <w:t>-</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6"/>
              <w:jc w:val="right"/>
              <w:rPr>
                <w:rFonts w:ascii="Arial" w:hAnsi="Arial" w:cs="Arial" w:eastAsia="Arial" w:hint="default"/>
                <w:sz w:val="20"/>
                <w:szCs w:val="20"/>
              </w:rPr>
            </w:pPr>
            <w:r>
              <w:rPr>
                <w:rFonts w:ascii="Arial"/>
                <w:spacing w:val="-1"/>
                <w:sz w:val="20"/>
              </w:rPr>
              <w:t>2,700,000</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Arial" w:hAnsi="Arial" w:cs="Arial" w:eastAsia="Arial" w:hint="default"/>
                <w:sz w:val="20"/>
                <w:szCs w:val="20"/>
              </w:rPr>
            </w:pPr>
            <w:r>
              <w:rPr>
                <w:rFonts w:ascii="Arial"/>
                <w:spacing w:val="-1"/>
                <w:sz w:val="20"/>
              </w:rPr>
              <w:t>2,700,000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内蒙古用友</w:t>
            </w:r>
          </w:p>
        </w:tc>
        <w:tc>
          <w:tcPr>
            <w:tcW w:w="903" w:type="dxa"/>
            <w:tcBorders>
              <w:top w:val="nil" w:sz="6" w:space="0" w:color="auto"/>
              <w:left w:val="nil" w:sz="6" w:space="0" w:color="auto"/>
              <w:bottom w:val="nil" w:sz="6" w:space="0" w:color="auto"/>
              <w:right w:val="nil" w:sz="6" w:space="0" w:color="auto"/>
            </w:tcBorders>
          </w:tcPr>
          <w:p>
            <w:pPr>
              <w:pStyle w:val="TableParagraph"/>
              <w:spacing w:line="238" w:lineRule="exact"/>
              <w:ind w:right="42"/>
              <w:jc w:val="center"/>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6"/>
              <w:jc w:val="right"/>
              <w:rPr>
                <w:rFonts w:ascii="Arial" w:hAnsi="Arial" w:cs="Arial" w:eastAsia="Arial" w:hint="default"/>
                <w:sz w:val="20"/>
                <w:szCs w:val="20"/>
              </w:rPr>
            </w:pPr>
            <w:r>
              <w:rPr>
                <w:rFonts w:ascii="Arial"/>
                <w:sz w:val="20"/>
              </w:rPr>
              <w:t>90%</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Arial" w:hAnsi="Arial" w:cs="Arial" w:eastAsia="Arial" w:hint="default"/>
                <w:sz w:val="20"/>
                <w:szCs w:val="20"/>
              </w:rPr>
            </w:pPr>
            <w:r>
              <w:rPr>
                <w:rFonts w:ascii="Arial"/>
                <w:w w:val="100"/>
                <w:sz w:val="20"/>
              </w:rPr>
              <w:t>-</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6"/>
              <w:jc w:val="right"/>
              <w:rPr>
                <w:rFonts w:ascii="Arial" w:hAnsi="Arial" w:cs="Arial" w:eastAsia="Arial" w:hint="default"/>
                <w:sz w:val="20"/>
                <w:szCs w:val="20"/>
              </w:rPr>
            </w:pPr>
            <w:r>
              <w:rPr>
                <w:rFonts w:ascii="Arial"/>
                <w:spacing w:val="-1"/>
                <w:sz w:val="20"/>
              </w:rPr>
              <w:t>2,700,000</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Arial" w:hAnsi="Arial" w:cs="Arial" w:eastAsia="Arial" w:hint="default"/>
                <w:sz w:val="20"/>
                <w:szCs w:val="20"/>
              </w:rPr>
            </w:pPr>
            <w:r>
              <w:rPr>
                <w:rFonts w:ascii="Arial"/>
                <w:spacing w:val="-1"/>
                <w:sz w:val="20"/>
              </w:rPr>
              <w:t>2,700,000</w:t>
            </w: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黑体" w:hAnsi="黑体" w:cs="黑体" w:eastAsia="黑体" w:hint="default"/>
                <w:sz w:val="20"/>
                <w:szCs w:val="20"/>
              </w:rPr>
            </w:pPr>
            <w:r>
              <w:rPr>
                <w:rFonts w:ascii="黑体" w:hAnsi="黑体" w:cs="黑体" w:eastAsia="黑体" w:hint="default"/>
                <w:sz w:val="20"/>
                <w:szCs w:val="20"/>
              </w:rPr>
              <w:t>北京方正春元</w:t>
            </w:r>
          </w:p>
        </w:tc>
        <w:tc>
          <w:tcPr>
            <w:tcW w:w="903" w:type="dxa"/>
            <w:tcBorders>
              <w:top w:val="nil" w:sz="6" w:space="0" w:color="auto"/>
              <w:left w:val="nil" w:sz="6" w:space="0" w:color="auto"/>
              <w:bottom w:val="nil" w:sz="6" w:space="0" w:color="auto"/>
              <w:right w:val="nil" w:sz="6" w:space="0" w:color="auto"/>
            </w:tcBorders>
          </w:tcPr>
          <w:p>
            <w:pPr>
              <w:pStyle w:val="TableParagraph"/>
              <w:spacing w:line="237" w:lineRule="exact"/>
              <w:ind w:right="42"/>
              <w:jc w:val="center"/>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6"/>
              <w:jc w:val="right"/>
              <w:rPr>
                <w:rFonts w:ascii="Arial" w:hAnsi="Arial" w:cs="Arial" w:eastAsia="Arial" w:hint="default"/>
                <w:sz w:val="20"/>
                <w:szCs w:val="20"/>
              </w:rPr>
            </w:pPr>
            <w:r>
              <w:rPr>
                <w:rFonts w:ascii="Arial"/>
                <w:sz w:val="20"/>
              </w:rPr>
              <w:t>85%</w:t>
            </w:r>
          </w:p>
        </w:tc>
        <w:tc>
          <w:tcPr>
            <w:tcW w:w="1220"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6"/>
              <w:ind w:right="6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5"/>
              <w:jc w:val="right"/>
              <w:rPr>
                <w:rFonts w:ascii="Arial" w:hAnsi="Arial" w:cs="Arial" w:eastAsia="Arial" w:hint="default"/>
                <w:sz w:val="20"/>
                <w:szCs w:val="20"/>
              </w:rPr>
            </w:pPr>
            <w:r>
              <w:rPr>
                <w:rFonts w:ascii="Arial"/>
                <w:w w:val="100"/>
                <w:sz w:val="20"/>
              </w:rPr>
            </w:r>
            <w:r>
              <w:rPr>
                <w:rFonts w:ascii="Arial"/>
                <w:spacing w:val="-1"/>
                <w:sz w:val="20"/>
                <w:u w:val="single" w:color="000000"/>
              </w:rPr>
              <w:t>324,680,000</w:t>
            </w:r>
            <w:r>
              <w:rPr>
                <w:rFonts w:ascii="Arial"/>
                <w:spacing w:val="-1"/>
                <w:sz w:val="20"/>
              </w:rPr>
            </w:r>
          </w:p>
        </w:tc>
        <w:tc>
          <w:tcPr>
            <w:tcW w:w="1125"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6"/>
              <w:ind w:right="42"/>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6"/>
              <w:jc w:val="right"/>
              <w:rPr>
                <w:rFonts w:ascii="Arial" w:hAnsi="Arial" w:cs="Arial" w:eastAsia="Arial" w:hint="default"/>
                <w:sz w:val="20"/>
                <w:szCs w:val="20"/>
              </w:rPr>
            </w:pPr>
            <w:r>
              <w:rPr>
                <w:rFonts w:ascii="Arial"/>
                <w:w w:val="100"/>
                <w:sz w:val="20"/>
              </w:rPr>
            </w:r>
            <w:r>
              <w:rPr>
                <w:rFonts w:ascii="Arial"/>
                <w:spacing w:val="-1"/>
                <w:sz w:val="20"/>
                <w:u w:val="single" w:color="000000"/>
              </w:rPr>
              <w:t>324,680,000</w:t>
            </w:r>
            <w:r>
              <w:rPr>
                <w:rFonts w:ascii="Arial"/>
                <w:spacing w:val="-1"/>
                <w:sz w:val="20"/>
              </w:rPr>
            </w:r>
          </w:p>
        </w:tc>
      </w:tr>
      <w:tr>
        <w:trPr>
          <w:trHeight w:val="364"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903"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5"/>
              <w:jc w:val="right"/>
              <w:rPr>
                <w:rFonts w:ascii="Arial" w:hAnsi="Arial" w:cs="Arial" w:eastAsia="Arial" w:hint="default"/>
                <w:sz w:val="20"/>
                <w:szCs w:val="20"/>
              </w:rPr>
            </w:pPr>
            <w:r>
              <w:rPr>
                <w:rFonts w:ascii="Arial"/>
                <w:w w:val="100"/>
                <w:sz w:val="20"/>
              </w:rPr>
            </w:r>
            <w:r>
              <w:rPr>
                <w:rFonts w:ascii="Arial"/>
                <w:spacing w:val="-1"/>
                <w:sz w:val="20"/>
                <w:u w:val="thick" w:color="000000"/>
              </w:rPr>
              <w:t>164,757,344</w:t>
            </w:r>
            <w:r>
              <w:rPr>
                <w:rFonts w:ascii="Arial"/>
                <w:spacing w:val="-1"/>
                <w:sz w:val="20"/>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5"/>
              <w:jc w:val="right"/>
              <w:rPr>
                <w:rFonts w:ascii="Arial" w:hAnsi="Arial" w:cs="Arial" w:eastAsia="Arial" w:hint="default"/>
                <w:sz w:val="20"/>
                <w:szCs w:val="20"/>
              </w:rPr>
            </w:pPr>
            <w:r>
              <w:rPr>
                <w:rFonts w:ascii="Arial"/>
                <w:w w:val="100"/>
                <w:sz w:val="20"/>
              </w:rPr>
            </w:r>
            <w:r>
              <w:rPr>
                <w:rFonts w:ascii="Arial"/>
                <w:spacing w:val="-1"/>
                <w:sz w:val="20"/>
                <w:u w:val="thick" w:color="000000"/>
              </w:rPr>
              <w:t>354,130,000</w:t>
            </w:r>
            <w:r>
              <w:rPr>
                <w:rFonts w:ascii="Arial"/>
                <w:spacing w:val="-1"/>
                <w:sz w:val="20"/>
              </w:rPr>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
              <w:jc w:val="right"/>
              <w:rPr>
                <w:rFonts w:ascii="Arial" w:hAnsi="Arial" w:cs="Arial" w:eastAsia="Arial" w:hint="default"/>
                <w:sz w:val="20"/>
                <w:szCs w:val="20"/>
              </w:rPr>
            </w:pPr>
            <w:r>
              <w:rPr>
                <w:rFonts w:ascii="Arial"/>
                <w:w w:val="100"/>
                <w:sz w:val="20"/>
              </w:rPr>
            </w:r>
            <w:r>
              <w:rPr>
                <w:rFonts w:ascii="Arial"/>
                <w:spacing w:val="-1"/>
                <w:sz w:val="20"/>
                <w:u w:val="thick" w:color="000000"/>
              </w:rPr>
              <w:t>14,209,000</w:t>
            </w:r>
            <w:r>
              <w:rPr>
                <w:rFonts w:ascii="Arial"/>
                <w:spacing w:val="-1"/>
                <w:sz w:val="20"/>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6"/>
              <w:jc w:val="right"/>
              <w:rPr>
                <w:rFonts w:ascii="Arial" w:hAnsi="Arial" w:cs="Arial" w:eastAsia="Arial" w:hint="default"/>
                <w:sz w:val="20"/>
                <w:szCs w:val="20"/>
              </w:rPr>
            </w:pPr>
            <w:r>
              <w:rPr>
                <w:rFonts w:ascii="Arial"/>
                <w:w w:val="100"/>
                <w:sz w:val="20"/>
              </w:rPr>
            </w:r>
            <w:r>
              <w:rPr>
                <w:rFonts w:ascii="Arial"/>
                <w:spacing w:val="-1"/>
                <w:sz w:val="20"/>
                <w:u w:val="thick" w:color="000000"/>
              </w:rPr>
              <w:t>504,678,344</w:t>
            </w:r>
            <w:r>
              <w:rPr>
                <w:rFonts w:ascii="Arial"/>
                <w:spacing w:val="-1"/>
                <w:sz w:val="20"/>
              </w:rPr>
            </w:r>
          </w:p>
        </w:tc>
      </w:tr>
      <w:tr>
        <w:trPr>
          <w:trHeight w:val="363"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黑体" w:hAnsi="黑体" w:cs="黑体" w:eastAsia="黑体" w:hint="default"/>
                <w:sz w:val="20"/>
                <w:szCs w:val="20"/>
              </w:rPr>
            </w:pPr>
            <w:r>
              <w:rPr>
                <w:rFonts w:ascii="黑体" w:hAnsi="黑体" w:cs="黑体" w:eastAsia="黑体" w:hint="default"/>
                <w:sz w:val="20"/>
                <w:szCs w:val="20"/>
              </w:rPr>
              <w:t>股权投资减值准备</w:t>
            </w:r>
          </w:p>
        </w:tc>
        <w:tc>
          <w:tcPr>
            <w:tcW w:w="903"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1220"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
        </w:tc>
        <w:tc>
          <w:tcPr>
            <w:tcW w:w="1331" w:type="dxa"/>
            <w:tcBorders>
              <w:top w:val="nil" w:sz="6" w:space="0" w:color="auto"/>
              <w:left w:val="nil" w:sz="6" w:space="0" w:color="auto"/>
              <w:bottom w:val="nil" w:sz="6" w:space="0" w:color="auto"/>
              <w:right w:val="nil" w:sz="6" w:space="0" w:color="auto"/>
            </w:tcBorders>
          </w:tcPr>
          <w:p>
            <w:pPr/>
          </w:p>
        </w:tc>
      </w:tr>
      <w:tr>
        <w:trPr>
          <w:trHeight w:val="255"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6"/>
              <w:ind w:left="35" w:right="0"/>
              <w:jc w:val="left"/>
              <w:rPr>
                <w:rFonts w:ascii="Arial" w:hAnsi="Arial" w:cs="Arial" w:eastAsia="Arial" w:hint="default"/>
                <w:sz w:val="20"/>
                <w:szCs w:val="20"/>
              </w:rPr>
            </w:pPr>
            <w:r>
              <w:rPr>
                <w:rFonts w:ascii="Arial"/>
                <w:sz w:val="20"/>
              </w:rPr>
              <w:t>UF</w:t>
            </w:r>
            <w:r>
              <w:rPr>
                <w:rFonts w:ascii="Arial"/>
                <w:spacing w:val="-2"/>
                <w:sz w:val="20"/>
              </w:rPr>
              <w:t> </w:t>
            </w:r>
            <w:r>
              <w:rPr>
                <w:rFonts w:ascii="Arial"/>
                <w:sz w:val="20"/>
              </w:rPr>
              <w:t>INTERNATIONAL</w:t>
            </w:r>
          </w:p>
        </w:tc>
        <w:tc>
          <w:tcPr>
            <w:tcW w:w="903"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1220"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Arial" w:hAnsi="Arial" w:cs="Arial" w:eastAsia="Arial" w:hint="default"/>
                <w:sz w:val="20"/>
                <w:szCs w:val="20"/>
              </w:rPr>
            </w:pPr>
            <w:r>
              <w:rPr>
                <w:rFonts w:ascii="Arial"/>
                <w:sz w:val="20"/>
              </w:rPr>
              <w:t>(   6,300,755</w:t>
            </w:r>
            <w:r>
              <w:rPr>
                <w:rFonts w:ascii="Arial"/>
                <w:spacing w:val="4"/>
                <w:sz w:val="20"/>
              </w:rPr>
              <w:t> </w:t>
            </w:r>
            <w:r>
              <w:rPr>
                <w:rFonts w:ascii="Arial"/>
                <w:sz w:val="20"/>
              </w:rPr>
              <w:t>)</w:t>
            </w:r>
          </w:p>
        </w:tc>
      </w:tr>
      <w:tr>
        <w:trPr>
          <w:trHeight w:val="259" w:hRule="exact"/>
        </w:trPr>
        <w:tc>
          <w:tcPr>
            <w:tcW w:w="1988"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用友华表</w:t>
            </w:r>
          </w:p>
        </w:tc>
        <w:tc>
          <w:tcPr>
            <w:tcW w:w="903"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1220"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
        </w:tc>
        <w:tc>
          <w:tcPr>
            <w:tcW w:w="1331" w:type="dxa"/>
            <w:tcBorders>
              <w:top w:val="nil" w:sz="6" w:space="0" w:color="auto"/>
              <w:left w:val="nil" w:sz="6" w:space="0" w:color="auto"/>
              <w:bottom w:val="nil" w:sz="6" w:space="0" w:color="auto"/>
              <w:right w:val="nil" w:sz="6" w:space="0" w:color="auto"/>
            </w:tcBorders>
          </w:tcPr>
          <w:p>
            <w:pPr>
              <w:pStyle w:val="TableParagraph"/>
              <w:tabs>
                <w:tab w:pos="427" w:val="left" w:leader="none"/>
              </w:tabs>
              <w:spacing w:line="240" w:lineRule="auto" w:before="7"/>
              <w:ind w:right="33"/>
              <w:jc w:val="right"/>
              <w:rPr>
                <w:rFonts w:ascii="Arial" w:hAnsi="Arial" w:cs="Arial" w:eastAsia="Arial" w:hint="default"/>
                <w:sz w:val="20"/>
                <w:szCs w:val="20"/>
              </w:rPr>
            </w:pPr>
            <w:r>
              <w:rPr>
                <w:rFonts w:ascii="Arial"/>
                <w:sz w:val="20"/>
              </w:rPr>
              <w:t>(</w:t>
            </w:r>
            <w:r>
              <w:rPr>
                <w:rFonts w:ascii="Arial"/>
                <w:sz w:val="20"/>
                <w:u w:val="single" w:color="000000"/>
              </w:rPr>
              <w:t> </w:t>
              <w:tab/>
              <w:t>382,200</w:t>
            </w:r>
            <w:r>
              <w:rPr>
                <w:rFonts w:ascii="Arial"/>
                <w:spacing w:val="-34"/>
                <w:sz w:val="20"/>
                <w:u w:val="single" w:color="000000"/>
              </w:rPr>
              <w:t> </w:t>
            </w:r>
            <w:r>
              <w:rPr>
                <w:rFonts w:ascii="Arial"/>
                <w:spacing w:val="-34"/>
                <w:sz w:val="20"/>
              </w:rPr>
            </w:r>
            <w:r>
              <w:rPr>
                <w:rFonts w:ascii="Arial"/>
                <w:sz w:val="20"/>
              </w:rPr>
              <w:t>)</w:t>
            </w:r>
          </w:p>
        </w:tc>
      </w:tr>
      <w:tr>
        <w:trPr>
          <w:trHeight w:val="327" w:hRule="exact"/>
        </w:trPr>
        <w:tc>
          <w:tcPr>
            <w:tcW w:w="1988" w:type="dxa"/>
            <w:tcBorders>
              <w:top w:val="nil" w:sz="6" w:space="0" w:color="auto"/>
              <w:left w:val="nil" w:sz="6" w:space="0" w:color="auto"/>
              <w:bottom w:val="nil" w:sz="6" w:space="0" w:color="auto"/>
              <w:right w:val="nil" w:sz="6" w:space="0" w:color="auto"/>
            </w:tcBorders>
          </w:tcPr>
          <w:p>
            <w:pPr/>
          </w:p>
        </w:tc>
        <w:tc>
          <w:tcPr>
            <w:tcW w:w="903"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1220"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3"/>
              <w:jc w:val="right"/>
              <w:rPr>
                <w:rFonts w:ascii="Arial" w:hAnsi="Arial" w:cs="Arial" w:eastAsia="Arial" w:hint="default"/>
                <w:sz w:val="20"/>
                <w:szCs w:val="20"/>
              </w:rPr>
            </w:pPr>
            <w:r>
              <w:rPr>
                <w:rFonts w:ascii="Arial"/>
                <w:sz w:val="20"/>
              </w:rPr>
              <w:t>(   </w:t>
            </w:r>
            <w:r>
              <w:rPr>
                <w:rFonts w:ascii="Arial"/>
                <w:sz w:val="20"/>
                <w:u w:val="thick" w:color="000000"/>
              </w:rPr>
              <w:t> 6,682,955</w:t>
            </w:r>
            <w:r>
              <w:rPr>
                <w:rFonts w:ascii="Arial"/>
                <w:spacing w:val="3"/>
                <w:sz w:val="20"/>
                <w:u w:val="thick" w:color="000000"/>
              </w:rPr>
              <w:t> </w:t>
            </w:r>
            <w:r>
              <w:rPr>
                <w:rFonts w:ascii="Arial"/>
                <w:spacing w:val="3"/>
                <w:sz w:val="20"/>
              </w:rPr>
            </w:r>
            <w:r>
              <w:rPr>
                <w:rFonts w:ascii="Arial"/>
                <w:sz w:val="20"/>
              </w:rPr>
              <w:t>)</w:t>
            </w:r>
          </w:p>
        </w:tc>
      </w:tr>
    </w:tbl>
    <w:p>
      <w:pPr>
        <w:spacing w:after="0" w:line="240" w:lineRule="auto"/>
        <w:jc w:val="right"/>
        <w:rPr>
          <w:rFonts w:ascii="Arial" w:hAnsi="Arial" w:cs="Arial" w:eastAsia="Arial" w:hint="default"/>
          <w:sz w:val="20"/>
          <w:szCs w:val="20"/>
        </w:rPr>
        <w:sectPr>
          <w:pgSz w:w="11910" w:h="16840"/>
          <w:pgMar w:header="958" w:footer="385" w:top="2560" w:bottom="580" w:left="1600" w:right="680"/>
        </w:sectPr>
      </w:pPr>
    </w:p>
    <w:p>
      <w:pPr>
        <w:spacing w:line="240" w:lineRule="auto" w:before="12"/>
        <w:rPr>
          <w:rFonts w:ascii="黑体" w:hAnsi="黑体" w:cs="黑体" w:eastAsia="黑体" w:hint="default"/>
          <w:sz w:val="10"/>
          <w:szCs w:val="10"/>
        </w:rPr>
      </w:pPr>
    </w:p>
    <w:p>
      <w:pPr>
        <w:spacing w:before="38"/>
        <w:ind w:left="153" w:right="0"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2"/>
        <w:rPr>
          <w:rFonts w:ascii="黑体" w:hAnsi="黑体" w:cs="黑体" w:eastAsia="黑体" w:hint="default"/>
          <w:b/>
          <w:bCs/>
          <w:sz w:val="12"/>
          <w:szCs w:val="12"/>
        </w:rPr>
      </w:pPr>
    </w:p>
    <w:tbl>
      <w:tblPr>
        <w:tblW w:w="0" w:type="auto"/>
        <w:jc w:val="left"/>
        <w:tblInd w:w="118" w:type="dxa"/>
        <w:tblLayout w:type="fixed"/>
        <w:tblCellMar>
          <w:top w:w="0" w:type="dxa"/>
          <w:left w:w="0" w:type="dxa"/>
          <w:bottom w:w="0" w:type="dxa"/>
          <w:right w:w="0" w:type="dxa"/>
        </w:tblCellMar>
        <w:tblLook w:val="01E0"/>
      </w:tblPr>
      <w:tblGrid>
        <w:gridCol w:w="3976"/>
        <w:gridCol w:w="896"/>
        <w:gridCol w:w="4110"/>
        <w:gridCol w:w="118"/>
        <w:gridCol w:w="1121"/>
        <w:gridCol w:w="4457"/>
      </w:tblGrid>
      <w:tr>
        <w:trPr>
          <w:trHeight w:val="1015" w:hRule="exact"/>
        </w:trPr>
        <w:tc>
          <w:tcPr>
            <w:tcW w:w="3976" w:type="dxa"/>
            <w:tcBorders>
              <w:top w:val="nil" w:sz="6" w:space="0" w:color="auto"/>
              <w:left w:val="nil" w:sz="6" w:space="0" w:color="auto"/>
              <w:bottom w:val="nil" w:sz="6" w:space="0" w:color="auto"/>
              <w:right w:val="nil" w:sz="6" w:space="0" w:color="auto"/>
            </w:tcBorders>
          </w:tcPr>
          <w:p>
            <w:pPr>
              <w:pStyle w:val="TableParagraph"/>
              <w:tabs>
                <w:tab w:pos="702" w:val="left" w:leader="none"/>
              </w:tabs>
              <w:spacing w:line="240" w:lineRule="auto" w:before="38"/>
              <w:ind w:left="35" w:right="0"/>
              <w:jc w:val="left"/>
              <w:rPr>
                <w:rFonts w:ascii="黑体" w:hAnsi="黑体" w:cs="黑体" w:eastAsia="黑体" w:hint="default"/>
                <w:sz w:val="20"/>
                <w:szCs w:val="20"/>
              </w:rPr>
            </w:pPr>
            <w:r>
              <w:rPr>
                <w:rFonts w:ascii="Arial" w:hAnsi="Arial" w:cs="Arial" w:eastAsia="Arial" w:hint="default"/>
                <w:b/>
                <w:bCs/>
                <w:spacing w:val="-1"/>
                <w:sz w:val="20"/>
                <w:szCs w:val="20"/>
              </w:rPr>
              <w:t>9.</w:t>
              <w:tab/>
            </w:r>
            <w:r>
              <w:rPr>
                <w:rFonts w:ascii="黑体" w:hAnsi="黑体" w:cs="黑体" w:eastAsia="黑体" w:hint="default"/>
                <w:b/>
                <w:bCs/>
                <w:sz w:val="20"/>
                <w:szCs w:val="20"/>
              </w:rPr>
              <w:t>长期股权投资（续）</w:t>
            </w:r>
            <w:r>
              <w:rPr>
                <w:rFonts w:ascii="黑体" w:hAnsi="黑体" w:cs="黑体" w:eastAsia="黑体" w:hint="default"/>
                <w:sz w:val="20"/>
                <w:szCs w:val="20"/>
              </w:rPr>
            </w:r>
          </w:p>
          <w:p>
            <w:pPr>
              <w:pStyle w:val="TableParagraph"/>
              <w:spacing w:line="240" w:lineRule="auto" w:before="12"/>
              <w:ind w:right="0"/>
              <w:jc w:val="left"/>
              <w:rPr>
                <w:rFonts w:ascii="黑体" w:hAnsi="黑体" w:cs="黑体" w:eastAsia="黑体" w:hint="default"/>
                <w:b/>
                <w:bCs/>
                <w:sz w:val="17"/>
                <w:szCs w:val="17"/>
              </w:rPr>
            </w:pPr>
          </w:p>
          <w:p>
            <w:pPr>
              <w:pStyle w:val="TableParagraph"/>
              <w:spacing w:line="240" w:lineRule="auto"/>
              <w:ind w:left="35" w:right="0"/>
              <w:jc w:val="left"/>
              <w:rPr>
                <w:rFonts w:ascii="黑体" w:hAnsi="黑体" w:cs="黑体" w:eastAsia="黑体" w:hint="default"/>
                <w:sz w:val="20"/>
                <w:szCs w:val="20"/>
              </w:rPr>
            </w:pPr>
            <w:r>
              <w:rPr>
                <w:rFonts w:ascii="Arial" w:hAnsi="Arial" w:cs="Arial" w:eastAsia="Arial" w:hint="default"/>
                <w:sz w:val="20"/>
                <w:szCs w:val="20"/>
              </w:rPr>
              <w:t>(iii)  </w:t>
            </w:r>
            <w:r>
              <w:rPr>
                <w:rFonts w:ascii="Arial" w:hAnsi="Arial" w:cs="Arial" w:eastAsia="Arial" w:hint="default"/>
                <w:spacing w:val="30"/>
                <w:sz w:val="20"/>
                <w:szCs w:val="20"/>
              </w:rPr>
              <w:t> </w:t>
            </w:r>
            <w:r>
              <w:rPr>
                <w:rFonts w:ascii="黑体" w:hAnsi="黑体" w:cs="黑体" w:eastAsia="黑体" w:hint="default"/>
                <w:sz w:val="20"/>
                <w:szCs w:val="20"/>
              </w:rPr>
              <w:t>按权益法核算的股权投资</w:t>
            </w:r>
            <w:r>
              <w:rPr>
                <w:rFonts w:ascii="Arial" w:hAnsi="Arial" w:cs="Arial" w:eastAsia="Arial" w:hint="default"/>
                <w:sz w:val="20"/>
                <w:szCs w:val="20"/>
              </w:rPr>
              <w:t>-</w:t>
            </w:r>
            <w:r>
              <w:rPr>
                <w:rFonts w:ascii="黑体" w:hAnsi="黑体" w:cs="黑体" w:eastAsia="黑体" w:hint="default"/>
                <w:sz w:val="20"/>
                <w:szCs w:val="20"/>
              </w:rPr>
              <w:t>联营企业</w:t>
            </w:r>
          </w:p>
        </w:tc>
        <w:tc>
          <w:tcPr>
            <w:tcW w:w="10702" w:type="dxa"/>
            <w:gridSpan w:val="5"/>
            <w:vMerge w:val="restart"/>
            <w:tcBorders>
              <w:top w:val="nil" w:sz="6" w:space="0" w:color="auto"/>
              <w:left w:val="nil" w:sz="6" w:space="0" w:color="auto"/>
              <w:right w:val="nil" w:sz="6" w:space="0" w:color="auto"/>
            </w:tcBorders>
          </w:tcPr>
          <w:p>
            <w:pPr/>
          </w:p>
        </w:tc>
      </w:tr>
      <w:tr>
        <w:trPr>
          <w:trHeight w:val="590" w:hRule="exact"/>
        </w:trPr>
        <w:tc>
          <w:tcPr>
            <w:tcW w:w="3976"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10702" w:type="dxa"/>
            <w:gridSpan w:val="5"/>
            <w:vMerge/>
            <w:tcBorders>
              <w:left w:val="nil" w:sz="6" w:space="0" w:color="auto"/>
              <w:bottom w:val="nil" w:sz="6" w:space="0" w:color="auto"/>
              <w:right w:val="nil" w:sz="6" w:space="0" w:color="auto"/>
            </w:tcBorders>
          </w:tcPr>
          <w:p>
            <w:pPr/>
          </w:p>
        </w:tc>
      </w:tr>
      <w:tr>
        <w:trPr>
          <w:trHeight w:val="422" w:hRule="exact"/>
        </w:trPr>
        <w:tc>
          <w:tcPr>
            <w:tcW w:w="3976" w:type="dxa"/>
            <w:tcBorders>
              <w:top w:val="nil" w:sz="6" w:space="0" w:color="auto"/>
              <w:left w:val="nil" w:sz="6" w:space="0" w:color="auto"/>
              <w:bottom w:val="nil" w:sz="6" w:space="0" w:color="auto"/>
              <w:right w:val="nil" w:sz="6" w:space="0" w:color="auto"/>
            </w:tcBorders>
          </w:tcPr>
          <w:p>
            <w:pPr/>
          </w:p>
        </w:tc>
        <w:tc>
          <w:tcPr>
            <w:tcW w:w="896" w:type="dxa"/>
            <w:tcBorders>
              <w:top w:val="nil" w:sz="6" w:space="0" w:color="auto"/>
              <w:left w:val="nil" w:sz="6" w:space="0" w:color="auto"/>
              <w:bottom w:val="nil" w:sz="6" w:space="0" w:color="auto"/>
              <w:right w:val="nil" w:sz="6" w:space="0" w:color="auto"/>
            </w:tcBorders>
          </w:tcPr>
          <w:p>
            <w:pPr/>
          </w:p>
        </w:tc>
        <w:tc>
          <w:tcPr>
            <w:tcW w:w="4110" w:type="dxa"/>
            <w:tcBorders>
              <w:top w:val="nil" w:sz="6" w:space="0" w:color="auto"/>
              <w:left w:val="nil" w:sz="6" w:space="0" w:color="auto"/>
              <w:bottom w:val="single" w:sz="4" w:space="0" w:color="000000"/>
              <w:right w:val="nil" w:sz="6" w:space="0" w:color="auto"/>
            </w:tcBorders>
          </w:tcPr>
          <w:p>
            <w:pPr>
              <w:pStyle w:val="TableParagraph"/>
              <w:spacing w:line="240" w:lineRule="auto" w:before="124"/>
              <w:ind w:right="0"/>
              <w:jc w:val="center"/>
              <w:rPr>
                <w:rFonts w:ascii="黑体" w:hAnsi="黑体" w:cs="黑体" w:eastAsia="黑体" w:hint="default"/>
                <w:sz w:val="20"/>
                <w:szCs w:val="20"/>
              </w:rPr>
            </w:pPr>
            <w:r>
              <w:rPr>
                <w:rFonts w:ascii="黑体" w:hAnsi="黑体" w:cs="黑体" w:eastAsia="黑体" w:hint="default"/>
                <w:sz w:val="20"/>
                <w:szCs w:val="20"/>
              </w:rPr>
              <w:t>投资成本</w:t>
            </w:r>
          </w:p>
        </w:tc>
        <w:tc>
          <w:tcPr>
            <w:tcW w:w="118" w:type="dxa"/>
            <w:tcBorders>
              <w:top w:val="nil" w:sz="6" w:space="0" w:color="auto"/>
              <w:left w:val="nil" w:sz="6" w:space="0" w:color="auto"/>
              <w:bottom w:val="nil" w:sz="6" w:space="0" w:color="auto"/>
              <w:right w:val="nil" w:sz="6" w:space="0" w:color="auto"/>
            </w:tcBorders>
          </w:tcPr>
          <w:p>
            <w:pPr/>
          </w:p>
        </w:tc>
        <w:tc>
          <w:tcPr>
            <w:tcW w:w="1121" w:type="dxa"/>
            <w:tcBorders>
              <w:top w:val="nil" w:sz="6" w:space="0" w:color="auto"/>
              <w:left w:val="nil" w:sz="6" w:space="0" w:color="auto"/>
              <w:bottom w:val="single" w:sz="4" w:space="0" w:color="000000"/>
              <w:right w:val="nil" w:sz="6" w:space="0" w:color="auto"/>
            </w:tcBorders>
          </w:tcPr>
          <w:p>
            <w:pPr/>
          </w:p>
        </w:tc>
        <w:tc>
          <w:tcPr>
            <w:tcW w:w="4457" w:type="dxa"/>
            <w:tcBorders>
              <w:top w:val="nil" w:sz="6" w:space="0" w:color="auto"/>
              <w:left w:val="nil" w:sz="6" w:space="0" w:color="auto"/>
              <w:bottom w:val="single" w:sz="4" w:space="0" w:color="000000"/>
              <w:right w:val="nil" w:sz="6" w:space="0" w:color="auto"/>
            </w:tcBorders>
          </w:tcPr>
          <w:p>
            <w:pPr>
              <w:pStyle w:val="TableParagraph"/>
              <w:spacing w:line="240" w:lineRule="auto" w:before="124"/>
              <w:ind w:left="358" w:right="0"/>
              <w:jc w:val="left"/>
              <w:rPr>
                <w:rFonts w:ascii="黑体" w:hAnsi="黑体" w:cs="黑体" w:eastAsia="黑体" w:hint="default"/>
                <w:sz w:val="20"/>
                <w:szCs w:val="20"/>
              </w:rPr>
            </w:pPr>
            <w:r>
              <w:rPr>
                <w:rFonts w:ascii="黑体" w:hAnsi="黑体" w:cs="黑体" w:eastAsia="黑体" w:hint="default"/>
                <w:sz w:val="20"/>
                <w:szCs w:val="20"/>
              </w:rPr>
              <w:t>溢利</w:t>
            </w:r>
            <w:r>
              <w:rPr>
                <w:rFonts w:ascii="Arial" w:hAnsi="Arial" w:cs="Arial" w:eastAsia="Arial" w:hint="default"/>
                <w:sz w:val="20"/>
                <w:szCs w:val="20"/>
              </w:rPr>
              <w:t>/(</w:t>
            </w:r>
            <w:r>
              <w:rPr>
                <w:rFonts w:ascii="黑体" w:hAnsi="黑体" w:cs="黑体" w:eastAsia="黑体" w:hint="default"/>
                <w:sz w:val="20"/>
                <w:szCs w:val="20"/>
              </w:rPr>
              <w:t>亏损</w:t>
            </w:r>
            <w:r>
              <w:rPr>
                <w:rFonts w:ascii="Arial" w:hAnsi="Arial" w:cs="Arial" w:eastAsia="Arial" w:hint="default"/>
                <w:sz w:val="20"/>
                <w:szCs w:val="20"/>
              </w:rPr>
              <w:t>)</w:t>
            </w:r>
            <w:r>
              <w:rPr>
                <w:rFonts w:ascii="黑体" w:hAnsi="黑体" w:cs="黑体" w:eastAsia="黑体" w:hint="default"/>
                <w:sz w:val="20"/>
                <w:szCs w:val="20"/>
              </w:rPr>
              <w:t>调整数</w:t>
            </w:r>
          </w:p>
        </w:tc>
      </w:tr>
      <w:tr>
        <w:trPr>
          <w:trHeight w:val="465" w:hRule="exact"/>
        </w:trPr>
        <w:tc>
          <w:tcPr>
            <w:tcW w:w="3976" w:type="dxa"/>
            <w:tcBorders>
              <w:top w:val="nil" w:sz="6" w:space="0" w:color="auto"/>
              <w:left w:val="nil" w:sz="6" w:space="0" w:color="auto"/>
              <w:bottom w:val="nil" w:sz="6" w:space="0" w:color="auto"/>
              <w:right w:val="nil" w:sz="6" w:space="0" w:color="auto"/>
            </w:tcBorders>
          </w:tcPr>
          <w:p>
            <w:pPr>
              <w:pStyle w:val="TableParagraph"/>
              <w:spacing w:line="203" w:lineRule="exact"/>
              <w:ind w:right="93"/>
              <w:jc w:val="right"/>
              <w:rPr>
                <w:rFonts w:ascii="黑体" w:hAnsi="黑体" w:cs="黑体" w:eastAsia="黑体" w:hint="default"/>
                <w:sz w:val="18"/>
                <w:szCs w:val="18"/>
              </w:rPr>
            </w:pPr>
            <w:r>
              <w:rPr>
                <w:rFonts w:ascii="黑体" w:hAnsi="黑体" w:cs="黑体" w:eastAsia="黑体" w:hint="default"/>
                <w:sz w:val="18"/>
                <w:szCs w:val="18"/>
              </w:rPr>
              <w:t>占被投资</w:t>
            </w:r>
          </w:p>
          <w:p>
            <w:pPr>
              <w:pStyle w:val="TableParagraph"/>
              <w:tabs>
                <w:tab w:pos="1095" w:val="left" w:leader="none"/>
              </w:tabs>
              <w:spacing w:line="235" w:lineRule="exact"/>
              <w:ind w:right="93"/>
              <w:jc w:val="right"/>
              <w:rPr>
                <w:rFonts w:ascii="黑体" w:hAnsi="黑体" w:cs="黑体" w:eastAsia="黑体" w:hint="default"/>
                <w:sz w:val="18"/>
                <w:szCs w:val="18"/>
              </w:rPr>
            </w:pPr>
            <w:r>
              <w:rPr>
                <w:rFonts w:ascii="黑体" w:hAnsi="黑体" w:cs="黑体" w:eastAsia="黑体" w:hint="default"/>
                <w:sz w:val="18"/>
                <w:szCs w:val="18"/>
              </w:rPr>
              <w:t>投资</w:t>
              <w:tab/>
              <w:t>注册</w:t>
            </w:r>
            <w:r>
              <w:rPr>
                <w:rFonts w:ascii="黑体" w:hAnsi="黑体" w:cs="黑体" w:eastAsia="黑体" w:hint="default"/>
                <w:spacing w:val="41"/>
                <w:sz w:val="18"/>
                <w:szCs w:val="18"/>
              </w:rPr>
              <w:t> </w:t>
            </w:r>
            <w:r>
              <w:rPr>
                <w:rFonts w:ascii="黑体" w:hAnsi="黑体" w:cs="黑体" w:eastAsia="黑体" w:hint="default"/>
                <w:sz w:val="18"/>
                <w:szCs w:val="18"/>
              </w:rPr>
              <w:t>单位注册</w:t>
            </w:r>
          </w:p>
        </w:tc>
        <w:tc>
          <w:tcPr>
            <w:tcW w:w="8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b/>
                <w:bCs/>
                <w:sz w:val="15"/>
                <w:szCs w:val="15"/>
              </w:rPr>
            </w:pPr>
          </w:p>
          <w:p>
            <w:pPr>
              <w:pStyle w:val="TableParagraph"/>
              <w:spacing w:line="240" w:lineRule="auto"/>
              <w:ind w:right="0"/>
              <w:jc w:val="right"/>
              <w:rPr>
                <w:rFonts w:ascii="黑体" w:hAnsi="黑体" w:cs="黑体" w:eastAsia="黑体" w:hint="default"/>
                <w:sz w:val="18"/>
                <w:szCs w:val="18"/>
              </w:rPr>
            </w:pPr>
            <w:r>
              <w:rPr>
                <w:rFonts w:ascii="黑体" w:hAnsi="黑体" w:cs="黑体" w:eastAsia="黑体" w:hint="default"/>
                <w:sz w:val="18"/>
                <w:szCs w:val="18"/>
              </w:rPr>
              <w:t>初始</w:t>
            </w:r>
          </w:p>
        </w:tc>
        <w:tc>
          <w:tcPr>
            <w:tcW w:w="4110" w:type="dxa"/>
            <w:tcBorders>
              <w:top w:val="single" w:sz="4" w:space="0" w:color="000000"/>
              <w:left w:val="nil" w:sz="6" w:space="0" w:color="auto"/>
              <w:bottom w:val="nil" w:sz="6" w:space="0" w:color="auto"/>
              <w:right w:val="nil" w:sz="6" w:space="0" w:color="auto"/>
            </w:tcBorders>
          </w:tcPr>
          <w:p>
            <w:pPr/>
          </w:p>
        </w:tc>
        <w:tc>
          <w:tcPr>
            <w:tcW w:w="118" w:type="dxa"/>
            <w:tcBorders>
              <w:top w:val="nil" w:sz="6" w:space="0" w:color="auto"/>
              <w:left w:val="nil" w:sz="6" w:space="0" w:color="auto"/>
              <w:bottom w:val="nil" w:sz="6" w:space="0" w:color="auto"/>
              <w:right w:val="nil" w:sz="6" w:space="0" w:color="auto"/>
            </w:tcBorders>
          </w:tcPr>
          <w:p>
            <w:pPr/>
          </w:p>
        </w:tc>
        <w:tc>
          <w:tcPr>
            <w:tcW w:w="1121" w:type="dxa"/>
            <w:tcBorders>
              <w:top w:val="single" w:sz="4" w:space="0" w:color="000000"/>
              <w:left w:val="nil" w:sz="6" w:space="0" w:color="auto"/>
              <w:bottom w:val="nil" w:sz="6" w:space="0" w:color="auto"/>
              <w:right w:val="nil" w:sz="6" w:space="0" w:color="auto"/>
            </w:tcBorders>
          </w:tcPr>
          <w:p>
            <w:pPr/>
          </w:p>
        </w:tc>
        <w:tc>
          <w:tcPr>
            <w:tcW w:w="4457" w:type="dxa"/>
            <w:tcBorders>
              <w:top w:val="single" w:sz="4" w:space="0" w:color="000000"/>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b/>
                <w:bCs/>
                <w:sz w:val="15"/>
                <w:szCs w:val="15"/>
              </w:rPr>
            </w:pPr>
          </w:p>
          <w:p>
            <w:pPr>
              <w:pStyle w:val="TableParagraph"/>
              <w:spacing w:line="240" w:lineRule="auto"/>
              <w:ind w:left="560" w:right="0"/>
              <w:jc w:val="left"/>
              <w:rPr>
                <w:rFonts w:ascii="黑体" w:hAnsi="黑体" w:cs="黑体" w:eastAsia="黑体" w:hint="default"/>
                <w:sz w:val="18"/>
                <w:szCs w:val="18"/>
              </w:rPr>
            </w:pPr>
            <w:r>
              <w:rPr>
                <w:rFonts w:ascii="黑体" w:hAnsi="黑体" w:cs="黑体" w:eastAsia="黑体" w:hint="default"/>
                <w:sz w:val="18"/>
                <w:szCs w:val="18"/>
              </w:rPr>
              <w:t>本年分占</w:t>
            </w:r>
          </w:p>
        </w:tc>
      </w:tr>
      <w:tr>
        <w:trPr>
          <w:trHeight w:val="249" w:hRule="exact"/>
        </w:trPr>
        <w:tc>
          <w:tcPr>
            <w:tcW w:w="3976" w:type="dxa"/>
            <w:tcBorders>
              <w:top w:val="nil" w:sz="6" w:space="0" w:color="auto"/>
              <w:left w:val="nil" w:sz="6" w:space="0" w:color="auto"/>
              <w:bottom w:val="nil" w:sz="6" w:space="0" w:color="auto"/>
              <w:right w:val="nil" w:sz="6" w:space="0" w:color="auto"/>
            </w:tcBorders>
          </w:tcPr>
          <w:p>
            <w:pPr>
              <w:pStyle w:val="TableParagraph"/>
              <w:tabs>
                <w:tab w:pos="1572" w:val="left" w:leader="none"/>
                <w:tab w:pos="2668" w:val="left" w:leader="none"/>
              </w:tabs>
              <w:spacing w:line="208" w:lineRule="exact"/>
              <w:ind w:left="35" w:right="0"/>
              <w:jc w:val="left"/>
              <w:rPr>
                <w:rFonts w:ascii="黑体" w:hAnsi="黑体" w:cs="黑体" w:eastAsia="黑体" w:hint="default"/>
                <w:sz w:val="18"/>
                <w:szCs w:val="18"/>
              </w:rPr>
            </w:pPr>
            <w:r>
              <w:rPr>
                <w:rFonts w:ascii="黑体" w:hAnsi="黑体" w:cs="黑体" w:eastAsia="黑体" w:hint="default"/>
                <w:sz w:val="18"/>
                <w:szCs w:val="18"/>
              </w:rPr>
              <w:t>被投资单位名称</w:t>
              <w:tab/>
              <w:t>期限</w:t>
              <w:tab/>
              <w:t>资本</w:t>
            </w:r>
            <w:r>
              <w:rPr>
                <w:rFonts w:ascii="黑体" w:hAnsi="黑体" w:cs="黑体" w:eastAsia="黑体" w:hint="default"/>
                <w:spacing w:val="41"/>
                <w:sz w:val="18"/>
                <w:szCs w:val="18"/>
              </w:rPr>
              <w:t> </w:t>
            </w:r>
            <w:r>
              <w:rPr>
                <w:rFonts w:ascii="黑体" w:hAnsi="黑体" w:cs="黑体" w:eastAsia="黑体" w:hint="default"/>
                <w:sz w:val="18"/>
                <w:szCs w:val="18"/>
              </w:rPr>
              <w:t>资本比例</w:t>
            </w:r>
          </w:p>
        </w:tc>
        <w:tc>
          <w:tcPr>
            <w:tcW w:w="896" w:type="dxa"/>
            <w:tcBorders>
              <w:top w:val="nil" w:sz="6" w:space="0" w:color="auto"/>
              <w:left w:val="nil" w:sz="6" w:space="0" w:color="auto"/>
              <w:bottom w:val="nil" w:sz="6" w:space="0" w:color="auto"/>
              <w:right w:val="nil" w:sz="6" w:space="0" w:color="auto"/>
            </w:tcBorders>
          </w:tcPr>
          <w:p>
            <w:pPr>
              <w:pStyle w:val="TableParagraph"/>
              <w:spacing w:line="208" w:lineRule="exact"/>
              <w:ind w:right="0"/>
              <w:jc w:val="right"/>
              <w:rPr>
                <w:rFonts w:ascii="黑体" w:hAnsi="黑体" w:cs="黑体" w:eastAsia="黑体" w:hint="default"/>
                <w:sz w:val="18"/>
                <w:szCs w:val="18"/>
              </w:rPr>
            </w:pPr>
            <w:r>
              <w:rPr>
                <w:rFonts w:ascii="黑体" w:hAnsi="黑体" w:cs="黑体" w:eastAsia="黑体" w:hint="default"/>
                <w:sz w:val="18"/>
                <w:szCs w:val="18"/>
              </w:rPr>
              <w:t>投资额</w:t>
            </w:r>
          </w:p>
        </w:tc>
        <w:tc>
          <w:tcPr>
            <w:tcW w:w="4110" w:type="dxa"/>
            <w:tcBorders>
              <w:top w:val="nil" w:sz="6" w:space="0" w:color="auto"/>
              <w:left w:val="nil" w:sz="6" w:space="0" w:color="auto"/>
              <w:bottom w:val="nil" w:sz="6" w:space="0" w:color="auto"/>
              <w:right w:val="nil" w:sz="6" w:space="0" w:color="auto"/>
            </w:tcBorders>
          </w:tcPr>
          <w:p>
            <w:pPr>
              <w:pStyle w:val="TableParagraph"/>
              <w:tabs>
                <w:tab w:pos="992" w:val="left" w:leader="none"/>
                <w:tab w:pos="1984" w:val="left" w:leader="none"/>
                <w:tab w:pos="3118" w:val="left" w:leader="none"/>
              </w:tabs>
              <w:spacing w:line="206" w:lineRule="exact"/>
              <w:ind w:right="0"/>
              <w:jc w:val="right"/>
              <w:rPr>
                <w:rFonts w:ascii="黑体" w:hAnsi="黑体" w:cs="黑体" w:eastAsia="黑体" w:hint="default"/>
                <w:sz w:val="18"/>
                <w:szCs w:val="18"/>
              </w:rPr>
            </w:pPr>
            <w:r>
              <w:rPr>
                <w:rFonts w:ascii="黑体" w:hAnsi="黑体" w:cs="黑体" w:eastAsia="黑体" w:hint="default"/>
                <w:sz w:val="18"/>
                <w:szCs w:val="18"/>
              </w:rPr>
              <w:t>年初余额</w:t>
              <w:tab/>
              <w:t>本年增加</w:t>
              <w:tab/>
              <w:t>本年减少</w:t>
              <w:tab/>
              <w:t>年末余额</w:t>
            </w:r>
          </w:p>
        </w:tc>
        <w:tc>
          <w:tcPr>
            <w:tcW w:w="118" w:type="dxa"/>
            <w:tcBorders>
              <w:top w:val="nil" w:sz="6" w:space="0" w:color="auto"/>
              <w:left w:val="nil" w:sz="6" w:space="0" w:color="auto"/>
              <w:bottom w:val="nil" w:sz="6" w:space="0" w:color="auto"/>
              <w:right w:val="nil" w:sz="6" w:space="0" w:color="auto"/>
            </w:tcBorders>
          </w:tcPr>
          <w:p>
            <w:pPr/>
          </w:p>
        </w:tc>
        <w:tc>
          <w:tcPr>
            <w:tcW w:w="1121" w:type="dxa"/>
            <w:tcBorders>
              <w:top w:val="nil" w:sz="6" w:space="0" w:color="auto"/>
              <w:left w:val="nil" w:sz="6" w:space="0" w:color="auto"/>
              <w:bottom w:val="nil" w:sz="6" w:space="0" w:color="auto"/>
              <w:right w:val="nil" w:sz="6" w:space="0" w:color="auto"/>
            </w:tcBorders>
          </w:tcPr>
          <w:p>
            <w:pPr>
              <w:pStyle w:val="TableParagraph"/>
              <w:spacing w:line="206" w:lineRule="exact"/>
              <w:ind w:left="279" w:right="0"/>
              <w:jc w:val="left"/>
              <w:rPr>
                <w:rFonts w:ascii="黑体" w:hAnsi="黑体" w:cs="黑体" w:eastAsia="黑体" w:hint="default"/>
                <w:sz w:val="18"/>
                <w:szCs w:val="18"/>
              </w:rPr>
            </w:pPr>
            <w:r>
              <w:rPr>
                <w:rFonts w:ascii="黑体" w:hAnsi="黑体" w:cs="黑体" w:eastAsia="黑体" w:hint="default"/>
                <w:sz w:val="18"/>
                <w:szCs w:val="18"/>
              </w:rPr>
              <w:t>年初余额</w:t>
            </w:r>
          </w:p>
        </w:tc>
        <w:tc>
          <w:tcPr>
            <w:tcW w:w="4457" w:type="dxa"/>
            <w:tcBorders>
              <w:top w:val="nil" w:sz="6" w:space="0" w:color="auto"/>
              <w:left w:val="nil" w:sz="6" w:space="0" w:color="auto"/>
              <w:bottom w:val="nil" w:sz="6" w:space="0" w:color="auto"/>
              <w:right w:val="nil" w:sz="6" w:space="0" w:color="auto"/>
            </w:tcBorders>
          </w:tcPr>
          <w:p>
            <w:pPr>
              <w:pStyle w:val="TableParagraph"/>
              <w:tabs>
                <w:tab w:pos="1673" w:val="left" w:leader="none"/>
                <w:tab w:pos="3311" w:val="left" w:leader="none"/>
              </w:tabs>
              <w:spacing w:line="220" w:lineRule="exact"/>
              <w:ind w:right="33"/>
              <w:jc w:val="right"/>
              <w:rPr>
                <w:rFonts w:ascii="黑体" w:hAnsi="黑体" w:cs="黑体" w:eastAsia="黑体" w:hint="default"/>
                <w:sz w:val="18"/>
                <w:szCs w:val="18"/>
              </w:rPr>
            </w:pPr>
            <w:r>
              <w:rPr>
                <w:rFonts w:ascii="黑体" w:hAnsi="黑体" w:cs="黑体" w:eastAsia="黑体" w:hint="default"/>
                <w:spacing w:val="-1"/>
                <w:sz w:val="18"/>
                <w:szCs w:val="18"/>
              </w:rPr>
              <w:t>利润</w:t>
            </w:r>
            <w:r>
              <w:rPr>
                <w:rFonts w:ascii="Arial" w:hAnsi="Arial" w:cs="Arial" w:eastAsia="Arial" w:hint="default"/>
                <w:spacing w:val="-1"/>
                <w:sz w:val="18"/>
                <w:szCs w:val="18"/>
              </w:rPr>
              <w:t>/(</w:t>
            </w:r>
            <w:r>
              <w:rPr>
                <w:rFonts w:ascii="黑体" w:hAnsi="黑体" w:cs="黑体" w:eastAsia="黑体" w:hint="default"/>
                <w:spacing w:val="-1"/>
                <w:sz w:val="18"/>
                <w:szCs w:val="18"/>
              </w:rPr>
              <w:t>亏损</w:t>
            </w:r>
            <w:r>
              <w:rPr>
                <w:rFonts w:ascii="Arial" w:hAnsi="Arial" w:cs="Arial" w:eastAsia="Arial" w:hint="default"/>
                <w:spacing w:val="-1"/>
                <w:sz w:val="18"/>
                <w:szCs w:val="18"/>
              </w:rPr>
              <w:t>)</w:t>
              <w:tab/>
            </w:r>
            <w:r>
              <w:rPr>
                <w:rFonts w:ascii="黑体" w:hAnsi="黑体" w:cs="黑体" w:eastAsia="黑体" w:hint="default"/>
                <w:sz w:val="18"/>
                <w:szCs w:val="18"/>
              </w:rPr>
              <w:t>转出</w:t>
            </w:r>
            <w:r>
              <w:rPr>
                <w:rFonts w:ascii="黑体" w:hAnsi="黑体" w:cs="黑体" w:eastAsia="黑体" w:hint="default"/>
                <w:spacing w:val="1"/>
                <w:sz w:val="18"/>
                <w:szCs w:val="18"/>
              </w:rPr>
              <w:t> </w:t>
            </w:r>
            <w:r>
              <w:rPr>
                <w:rFonts w:ascii="黑体" w:hAnsi="黑体" w:cs="黑体" w:eastAsia="黑体" w:hint="default"/>
                <w:sz w:val="18"/>
                <w:szCs w:val="18"/>
              </w:rPr>
              <w:t>累计增减数</w:t>
              <w:tab/>
              <w:t>年末余额</w:t>
            </w:r>
          </w:p>
        </w:tc>
      </w:tr>
      <w:tr>
        <w:trPr>
          <w:trHeight w:val="382" w:hRule="exact"/>
        </w:trPr>
        <w:tc>
          <w:tcPr>
            <w:tcW w:w="3976" w:type="dxa"/>
            <w:tcBorders>
              <w:top w:val="nil" w:sz="6" w:space="0" w:color="auto"/>
              <w:left w:val="nil" w:sz="6" w:space="0" w:color="auto"/>
              <w:bottom w:val="nil" w:sz="6" w:space="0" w:color="auto"/>
              <w:right w:val="nil" w:sz="6" w:space="0" w:color="auto"/>
            </w:tcBorders>
          </w:tcPr>
          <w:p>
            <w:pPr/>
          </w:p>
        </w:tc>
        <w:tc>
          <w:tcPr>
            <w:tcW w:w="896" w:type="dxa"/>
            <w:tcBorders>
              <w:top w:val="nil" w:sz="6" w:space="0" w:color="auto"/>
              <w:left w:val="nil" w:sz="6" w:space="0" w:color="auto"/>
              <w:bottom w:val="nil" w:sz="6" w:space="0" w:color="auto"/>
              <w:right w:val="nil" w:sz="6" w:space="0" w:color="auto"/>
            </w:tcBorders>
          </w:tcPr>
          <w:p>
            <w:pPr/>
          </w:p>
        </w:tc>
        <w:tc>
          <w:tcPr>
            <w:tcW w:w="4110" w:type="dxa"/>
            <w:tcBorders>
              <w:top w:val="nil" w:sz="6" w:space="0" w:color="auto"/>
              <w:left w:val="nil" w:sz="6" w:space="0" w:color="auto"/>
              <w:bottom w:val="nil" w:sz="6" w:space="0" w:color="auto"/>
              <w:right w:val="nil" w:sz="6" w:space="0" w:color="auto"/>
            </w:tcBorders>
          </w:tcPr>
          <w:p>
            <w:pPr/>
          </w:p>
        </w:tc>
        <w:tc>
          <w:tcPr>
            <w:tcW w:w="118" w:type="dxa"/>
            <w:tcBorders>
              <w:top w:val="nil" w:sz="6" w:space="0" w:color="auto"/>
              <w:left w:val="nil" w:sz="6" w:space="0" w:color="auto"/>
              <w:bottom w:val="nil" w:sz="6" w:space="0" w:color="auto"/>
              <w:right w:val="nil" w:sz="6" w:space="0" w:color="auto"/>
            </w:tcBorders>
          </w:tcPr>
          <w:p>
            <w:pPr/>
          </w:p>
        </w:tc>
        <w:tc>
          <w:tcPr>
            <w:tcW w:w="1121" w:type="dxa"/>
            <w:tcBorders>
              <w:top w:val="nil" w:sz="6" w:space="0" w:color="auto"/>
              <w:left w:val="nil" w:sz="6" w:space="0" w:color="auto"/>
              <w:bottom w:val="nil" w:sz="6" w:space="0" w:color="auto"/>
              <w:right w:val="nil" w:sz="6" w:space="0" w:color="auto"/>
            </w:tcBorders>
          </w:tcPr>
          <w:p>
            <w:pPr/>
          </w:p>
        </w:tc>
        <w:tc>
          <w:tcPr>
            <w:tcW w:w="4457" w:type="dxa"/>
            <w:tcBorders>
              <w:top w:val="nil" w:sz="6" w:space="0" w:color="auto"/>
              <w:left w:val="nil" w:sz="6" w:space="0" w:color="auto"/>
              <w:bottom w:val="nil" w:sz="6" w:space="0" w:color="auto"/>
              <w:right w:val="nil" w:sz="6" w:space="0" w:color="auto"/>
            </w:tcBorders>
          </w:tcPr>
          <w:p>
            <w:pPr>
              <w:pStyle w:val="TableParagraph"/>
              <w:spacing w:line="226" w:lineRule="exact"/>
              <w:ind w:left="60" w:right="0"/>
              <w:jc w:val="left"/>
              <w:rPr>
                <w:rFonts w:ascii="Arial" w:hAnsi="Arial" w:cs="Arial" w:eastAsia="Arial" w:hint="default"/>
                <w:sz w:val="18"/>
                <w:szCs w:val="18"/>
              </w:rPr>
            </w:pPr>
            <w:r>
              <w:rPr>
                <w:rFonts w:ascii="Arial" w:hAnsi="Arial" w:cs="Arial" w:eastAsia="Arial" w:hint="default"/>
                <w:sz w:val="18"/>
                <w:szCs w:val="18"/>
              </w:rPr>
              <w:t>(</w:t>
            </w:r>
            <w:r>
              <w:rPr>
                <w:rFonts w:ascii="黑体" w:hAnsi="黑体" w:cs="黑体" w:eastAsia="黑体" w:hint="default"/>
                <w:sz w:val="18"/>
                <w:szCs w:val="18"/>
              </w:rPr>
              <w:t>附注十三、</w:t>
            </w:r>
            <w:r>
              <w:rPr>
                <w:rFonts w:ascii="Arial" w:hAnsi="Arial" w:cs="Arial" w:eastAsia="Arial" w:hint="default"/>
                <w:sz w:val="18"/>
                <w:szCs w:val="18"/>
              </w:rPr>
              <w:t>32)</w:t>
            </w:r>
          </w:p>
        </w:tc>
      </w:tr>
      <w:tr>
        <w:trPr>
          <w:trHeight w:val="382" w:hRule="exact"/>
        </w:trPr>
        <w:tc>
          <w:tcPr>
            <w:tcW w:w="3976" w:type="dxa"/>
            <w:tcBorders>
              <w:top w:val="nil" w:sz="6" w:space="0" w:color="auto"/>
              <w:left w:val="nil" w:sz="6" w:space="0" w:color="auto"/>
              <w:bottom w:val="nil" w:sz="6" w:space="0" w:color="auto"/>
              <w:right w:val="nil" w:sz="6" w:space="0" w:color="auto"/>
            </w:tcBorders>
          </w:tcPr>
          <w:p>
            <w:pPr>
              <w:pStyle w:val="TableParagraph"/>
              <w:tabs>
                <w:tab w:pos="1562" w:val="left" w:leader="none"/>
                <w:tab w:pos="2228" w:val="left" w:leader="none"/>
                <w:tab w:pos="3520" w:val="left" w:leader="none"/>
              </w:tabs>
              <w:spacing w:line="240" w:lineRule="auto" w:before="105"/>
              <w:ind w:left="35" w:right="0"/>
              <w:jc w:val="left"/>
              <w:rPr>
                <w:rFonts w:ascii="Arial" w:hAnsi="Arial" w:cs="Arial" w:eastAsia="Arial" w:hint="default"/>
                <w:sz w:val="18"/>
                <w:szCs w:val="18"/>
              </w:rPr>
            </w:pPr>
            <w:r>
              <w:rPr>
                <w:rFonts w:ascii="黑体" w:hAnsi="黑体" w:cs="黑体" w:eastAsia="黑体" w:hint="default"/>
                <w:sz w:val="18"/>
                <w:szCs w:val="18"/>
              </w:rPr>
              <w:t>用友致远</w:t>
              <w:tab/>
            </w:r>
            <w:r>
              <w:rPr>
                <w:rFonts w:ascii="Arial" w:hAnsi="Arial" w:cs="Arial" w:eastAsia="Arial" w:hint="default"/>
                <w:spacing w:val="-1"/>
                <w:sz w:val="18"/>
                <w:szCs w:val="18"/>
              </w:rPr>
              <w:t>10</w:t>
            </w:r>
            <w:r>
              <w:rPr>
                <w:rFonts w:ascii="黑体" w:hAnsi="黑体" w:cs="黑体" w:eastAsia="黑体" w:hint="default"/>
                <w:spacing w:val="-1"/>
                <w:sz w:val="18"/>
                <w:szCs w:val="18"/>
              </w:rPr>
              <w:t>年</w:t>
              <w:tab/>
            </w:r>
            <w:r>
              <w:rPr>
                <w:rFonts w:ascii="Arial" w:hAnsi="Arial" w:cs="Arial" w:eastAsia="Arial" w:hint="default"/>
                <w:spacing w:val="-1"/>
                <w:sz w:val="18"/>
                <w:szCs w:val="18"/>
              </w:rPr>
              <w:t>5,384,600</w:t>
              <w:tab/>
              <w:t>35%</w:t>
            </w:r>
            <w:r>
              <w:rPr>
                <w:rFonts w:ascii="Arial" w:hAnsi="Arial" w:cs="Arial" w:eastAsia="Arial" w:hint="default"/>
                <w:sz w:val="18"/>
                <w:szCs w:val="18"/>
              </w:rPr>
            </w:r>
          </w:p>
        </w:tc>
        <w:tc>
          <w:tcPr>
            <w:tcW w:w="896"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
              <w:jc w:val="right"/>
              <w:rPr>
                <w:rFonts w:ascii="Arial" w:hAnsi="Arial" w:cs="Arial" w:eastAsia="Arial" w:hint="default"/>
                <w:sz w:val="18"/>
                <w:szCs w:val="18"/>
              </w:rPr>
            </w:pPr>
            <w:r>
              <w:rPr>
                <w:rFonts w:ascii="Arial"/>
                <w:spacing w:val="-1"/>
                <w:sz w:val="18"/>
              </w:rPr>
              <w:t>1,500,000</w:t>
            </w:r>
          </w:p>
        </w:tc>
        <w:tc>
          <w:tcPr>
            <w:tcW w:w="4110" w:type="dxa"/>
            <w:tcBorders>
              <w:top w:val="nil" w:sz="6" w:space="0" w:color="auto"/>
              <w:left w:val="nil" w:sz="6" w:space="0" w:color="auto"/>
              <w:bottom w:val="nil" w:sz="6" w:space="0" w:color="auto"/>
              <w:right w:val="nil" w:sz="6" w:space="0" w:color="auto"/>
            </w:tcBorders>
          </w:tcPr>
          <w:p>
            <w:pPr>
              <w:pStyle w:val="TableParagraph"/>
              <w:tabs>
                <w:tab w:pos="2724" w:val="left" w:leader="none"/>
                <w:tab w:pos="3017" w:val="left" w:leader="none"/>
              </w:tabs>
              <w:spacing w:line="240" w:lineRule="auto" w:before="146"/>
              <w:ind w:right="0"/>
              <w:jc w:val="right"/>
              <w:rPr>
                <w:rFonts w:ascii="Arial" w:hAnsi="Arial" w:cs="Arial" w:eastAsia="Arial" w:hint="default"/>
                <w:sz w:val="18"/>
                <w:szCs w:val="18"/>
              </w:rPr>
            </w:pPr>
            <w:r>
              <w:rPr>
                <w:rFonts w:ascii="Arial"/>
                <w:spacing w:val="-1"/>
                <w:sz w:val="18"/>
              </w:rPr>
              <w:t>1,500,000</w:t>
            </w:r>
            <w:r>
              <w:rPr>
                <w:rFonts w:ascii="Arial"/>
                <w:spacing w:val="47"/>
                <w:sz w:val="18"/>
              </w:rPr>
              <w:t> </w:t>
            </w:r>
            <w:r>
              <w:rPr>
                <w:rFonts w:ascii="Arial"/>
                <w:spacing w:val="-1"/>
                <w:sz w:val="18"/>
              </w:rPr>
              <w:t>12,425,126</w:t>
              <w:tab/>
            </w:r>
            <w:r>
              <w:rPr>
                <w:rFonts w:ascii="Arial"/>
                <w:sz w:val="18"/>
              </w:rPr>
              <w:t>-</w:t>
              <w:tab/>
            </w:r>
            <w:r>
              <w:rPr>
                <w:rFonts w:ascii="Arial"/>
                <w:spacing w:val="-1"/>
                <w:sz w:val="18"/>
              </w:rPr>
              <w:t>13,925,126</w:t>
            </w:r>
          </w:p>
        </w:tc>
        <w:tc>
          <w:tcPr>
            <w:tcW w:w="118" w:type="dxa"/>
            <w:tcBorders>
              <w:top w:val="nil" w:sz="6" w:space="0" w:color="auto"/>
              <w:left w:val="nil" w:sz="6" w:space="0" w:color="auto"/>
              <w:bottom w:val="nil" w:sz="6" w:space="0" w:color="auto"/>
              <w:right w:val="nil" w:sz="6" w:space="0" w:color="auto"/>
            </w:tcBorders>
          </w:tcPr>
          <w:p>
            <w:pP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200" w:right="0"/>
              <w:jc w:val="left"/>
              <w:rPr>
                <w:rFonts w:ascii="Arial" w:hAnsi="Arial" w:cs="Arial" w:eastAsia="Arial" w:hint="default"/>
                <w:sz w:val="18"/>
                <w:szCs w:val="18"/>
              </w:rPr>
            </w:pPr>
            <w:r>
              <w:rPr>
                <w:rFonts w:ascii="Arial"/>
                <w:sz w:val="18"/>
              </w:rPr>
              <w:t>8,559,881</w:t>
            </w:r>
          </w:p>
        </w:tc>
        <w:tc>
          <w:tcPr>
            <w:tcW w:w="4457" w:type="dxa"/>
            <w:tcBorders>
              <w:top w:val="nil" w:sz="6" w:space="0" w:color="auto"/>
              <w:left w:val="nil" w:sz="6" w:space="0" w:color="auto"/>
              <w:bottom w:val="nil" w:sz="6" w:space="0" w:color="auto"/>
              <w:right w:val="nil" w:sz="6" w:space="0" w:color="auto"/>
            </w:tcBorders>
          </w:tcPr>
          <w:p>
            <w:pPr>
              <w:pStyle w:val="TableParagraph"/>
              <w:tabs>
                <w:tab w:pos="1882" w:val="left" w:leader="none"/>
              </w:tabs>
              <w:spacing w:line="240" w:lineRule="auto" w:before="146"/>
              <w:ind w:right="34"/>
              <w:jc w:val="right"/>
              <w:rPr>
                <w:rFonts w:ascii="Arial" w:hAnsi="Arial" w:cs="Arial" w:eastAsia="Arial" w:hint="default"/>
                <w:sz w:val="18"/>
                <w:szCs w:val="18"/>
              </w:rPr>
            </w:pPr>
            <w:r>
              <w:rPr>
                <w:rFonts w:ascii="Arial"/>
                <w:spacing w:val="-1"/>
                <w:sz w:val="18"/>
              </w:rPr>
              <w:t>5,355,003</w:t>
              <w:tab/>
            </w:r>
            <w:r>
              <w:rPr>
                <w:rFonts w:ascii="Arial"/>
                <w:sz w:val="18"/>
              </w:rPr>
              <w:t>-  </w:t>
            </w:r>
            <w:r>
              <w:rPr>
                <w:rFonts w:ascii="Arial"/>
                <w:spacing w:val="-1"/>
                <w:sz w:val="18"/>
              </w:rPr>
              <w:t>13,914,884</w:t>
            </w:r>
            <w:r>
              <w:rPr>
                <w:rFonts w:ascii="Arial"/>
                <w:sz w:val="18"/>
              </w:rPr>
              <w:t> </w:t>
            </w:r>
            <w:r>
              <w:rPr>
                <w:rFonts w:ascii="Arial"/>
                <w:spacing w:val="2"/>
                <w:sz w:val="18"/>
              </w:rPr>
              <w:t> </w:t>
            </w:r>
            <w:r>
              <w:rPr>
                <w:rFonts w:ascii="Arial"/>
                <w:spacing w:val="-1"/>
                <w:sz w:val="18"/>
              </w:rPr>
              <w:t>27,840,010</w:t>
            </w:r>
          </w:p>
        </w:tc>
      </w:tr>
      <w:tr>
        <w:trPr>
          <w:trHeight w:val="255" w:hRule="exact"/>
        </w:trPr>
        <w:tc>
          <w:tcPr>
            <w:tcW w:w="3976" w:type="dxa"/>
            <w:tcBorders>
              <w:top w:val="nil" w:sz="6" w:space="0" w:color="auto"/>
              <w:left w:val="nil" w:sz="6" w:space="0" w:color="auto"/>
              <w:bottom w:val="nil" w:sz="6" w:space="0" w:color="auto"/>
              <w:right w:val="nil" w:sz="6" w:space="0" w:color="auto"/>
            </w:tcBorders>
          </w:tcPr>
          <w:p>
            <w:pPr>
              <w:pStyle w:val="TableParagraph"/>
              <w:tabs>
                <w:tab w:pos="1562" w:val="left" w:leader="none"/>
                <w:tab w:pos="2378" w:val="left" w:leader="none"/>
                <w:tab w:pos="3521" w:val="left" w:leader="none"/>
              </w:tabs>
              <w:spacing w:line="226" w:lineRule="exact"/>
              <w:ind w:left="35" w:right="0"/>
              <w:jc w:val="left"/>
              <w:rPr>
                <w:rFonts w:ascii="Arial" w:hAnsi="Arial" w:cs="Arial" w:eastAsia="Arial" w:hint="default"/>
                <w:sz w:val="18"/>
                <w:szCs w:val="18"/>
              </w:rPr>
            </w:pPr>
            <w:r>
              <w:rPr>
                <w:rFonts w:ascii="黑体" w:hAnsi="黑体" w:cs="黑体" w:eastAsia="黑体" w:hint="default"/>
                <w:sz w:val="18"/>
                <w:szCs w:val="18"/>
              </w:rPr>
              <w:t>用友商用表单</w:t>
              <w:tab/>
            </w:r>
            <w:r>
              <w:rPr>
                <w:rFonts w:ascii="Arial" w:hAnsi="Arial" w:cs="Arial" w:eastAsia="Arial" w:hint="default"/>
                <w:spacing w:val="-1"/>
                <w:sz w:val="18"/>
                <w:szCs w:val="18"/>
              </w:rPr>
              <w:t>10</w:t>
            </w:r>
            <w:r>
              <w:rPr>
                <w:rFonts w:ascii="黑体" w:hAnsi="黑体" w:cs="黑体" w:eastAsia="黑体" w:hint="default"/>
                <w:spacing w:val="-1"/>
                <w:sz w:val="18"/>
                <w:szCs w:val="18"/>
              </w:rPr>
              <w:t>年</w:t>
              <w:tab/>
            </w:r>
            <w:r>
              <w:rPr>
                <w:rFonts w:ascii="Arial" w:hAnsi="Arial" w:cs="Arial" w:eastAsia="Arial" w:hint="default"/>
                <w:spacing w:val="-1"/>
                <w:sz w:val="18"/>
                <w:szCs w:val="18"/>
              </w:rPr>
              <w:t>500,000</w:t>
              <w:tab/>
              <w:t>40%</w:t>
            </w:r>
            <w:r>
              <w:rPr>
                <w:rFonts w:ascii="Arial" w:hAnsi="Arial" w:cs="Arial" w:eastAsia="Arial" w:hint="default"/>
                <w:sz w:val="18"/>
                <w:szCs w:val="18"/>
              </w:rPr>
            </w:r>
          </w:p>
        </w:tc>
        <w:tc>
          <w:tcPr>
            <w:tcW w:w="89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0"/>
              <w:jc w:val="right"/>
              <w:rPr>
                <w:rFonts w:ascii="Arial" w:hAnsi="Arial" w:cs="Arial" w:eastAsia="Arial" w:hint="default"/>
                <w:sz w:val="18"/>
                <w:szCs w:val="18"/>
              </w:rPr>
            </w:pPr>
            <w:r>
              <w:rPr>
                <w:rFonts w:ascii="Arial"/>
                <w:spacing w:val="-1"/>
                <w:sz w:val="18"/>
              </w:rPr>
              <w:t>200,000</w:t>
            </w:r>
          </w:p>
        </w:tc>
        <w:tc>
          <w:tcPr>
            <w:tcW w:w="4110" w:type="dxa"/>
            <w:tcBorders>
              <w:top w:val="nil" w:sz="6" w:space="0" w:color="auto"/>
              <w:left w:val="nil" w:sz="6" w:space="0" w:color="auto"/>
              <w:bottom w:val="nil" w:sz="6" w:space="0" w:color="auto"/>
              <w:right w:val="nil" w:sz="6" w:space="0" w:color="auto"/>
            </w:tcBorders>
          </w:tcPr>
          <w:p>
            <w:pPr>
              <w:pStyle w:val="TableParagraph"/>
              <w:tabs>
                <w:tab w:pos="1581" w:val="left" w:leader="none"/>
                <w:tab w:pos="2573" w:val="left" w:leader="none"/>
                <w:tab w:pos="3118" w:val="left" w:leader="none"/>
              </w:tabs>
              <w:spacing w:line="240" w:lineRule="auto" w:before="18"/>
              <w:ind w:right="0"/>
              <w:jc w:val="right"/>
              <w:rPr>
                <w:rFonts w:ascii="Arial" w:hAnsi="Arial" w:cs="Arial" w:eastAsia="Arial" w:hint="default"/>
                <w:sz w:val="18"/>
                <w:szCs w:val="18"/>
              </w:rPr>
            </w:pPr>
            <w:r>
              <w:rPr>
                <w:rFonts w:ascii="Arial"/>
                <w:spacing w:val="-1"/>
                <w:sz w:val="18"/>
              </w:rPr>
              <w:t>200,000</w:t>
              <w:tab/>
            </w:r>
            <w:r>
              <w:rPr>
                <w:rFonts w:ascii="Arial"/>
                <w:sz w:val="18"/>
              </w:rPr>
              <w:t>-</w:t>
              <w:tab/>
              <w:t>-</w:t>
              <w:tab/>
            </w:r>
            <w:r>
              <w:rPr>
                <w:rFonts w:ascii="Arial"/>
                <w:spacing w:val="-1"/>
                <w:sz w:val="18"/>
              </w:rPr>
              <w:t>200,000</w:t>
            </w:r>
          </w:p>
        </w:tc>
        <w:tc>
          <w:tcPr>
            <w:tcW w:w="118" w:type="dxa"/>
            <w:tcBorders>
              <w:top w:val="nil" w:sz="6" w:space="0" w:color="auto"/>
              <w:left w:val="nil" w:sz="6" w:space="0" w:color="auto"/>
              <w:bottom w:val="nil" w:sz="6" w:space="0" w:color="auto"/>
              <w:right w:val="nil" w:sz="6" w:space="0" w:color="auto"/>
            </w:tcBorders>
          </w:tcPr>
          <w:p>
            <w:pP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00" w:right="0"/>
              <w:jc w:val="left"/>
              <w:rPr>
                <w:rFonts w:ascii="Arial" w:hAnsi="Arial" w:cs="Arial" w:eastAsia="Arial" w:hint="default"/>
                <w:sz w:val="18"/>
                <w:szCs w:val="18"/>
              </w:rPr>
            </w:pPr>
            <w:r>
              <w:rPr>
                <w:rFonts w:ascii="Arial"/>
                <w:sz w:val="18"/>
              </w:rPr>
              <w:t>3,705,398</w:t>
            </w:r>
          </w:p>
        </w:tc>
        <w:tc>
          <w:tcPr>
            <w:tcW w:w="4457" w:type="dxa"/>
            <w:tcBorders>
              <w:top w:val="nil" w:sz="6" w:space="0" w:color="auto"/>
              <w:left w:val="nil" w:sz="6" w:space="0" w:color="auto"/>
              <w:bottom w:val="nil" w:sz="6" w:space="0" w:color="auto"/>
              <w:right w:val="nil" w:sz="6" w:space="0" w:color="auto"/>
            </w:tcBorders>
          </w:tcPr>
          <w:p>
            <w:pPr>
              <w:pStyle w:val="TableParagraph"/>
              <w:tabs>
                <w:tab w:pos="1882" w:val="left" w:leader="none"/>
                <w:tab w:pos="3141" w:val="left" w:leader="none"/>
              </w:tabs>
              <w:spacing w:line="240" w:lineRule="auto" w:before="18"/>
              <w:ind w:right="33"/>
              <w:jc w:val="right"/>
              <w:rPr>
                <w:rFonts w:ascii="Arial" w:hAnsi="Arial" w:cs="Arial" w:eastAsia="Arial" w:hint="default"/>
                <w:sz w:val="18"/>
                <w:szCs w:val="18"/>
              </w:rPr>
            </w:pPr>
            <w:r>
              <w:rPr>
                <w:rFonts w:ascii="Arial"/>
                <w:spacing w:val="-1"/>
                <w:sz w:val="18"/>
              </w:rPr>
              <w:t>1,635,677</w:t>
              <w:tab/>
            </w:r>
            <w:r>
              <w:rPr>
                <w:rFonts w:ascii="Arial"/>
                <w:sz w:val="18"/>
              </w:rPr>
              <w:t>-  </w:t>
            </w:r>
            <w:r>
              <w:rPr>
                <w:rFonts w:ascii="Arial"/>
                <w:spacing w:val="43"/>
                <w:sz w:val="18"/>
              </w:rPr>
              <w:t> </w:t>
            </w:r>
            <w:r>
              <w:rPr>
                <w:rFonts w:ascii="Arial"/>
                <w:spacing w:val="-1"/>
                <w:sz w:val="18"/>
              </w:rPr>
              <w:t>5,341,075</w:t>
              <w:tab/>
              <w:t>5,541,075</w:t>
            </w:r>
          </w:p>
        </w:tc>
      </w:tr>
      <w:tr>
        <w:trPr>
          <w:trHeight w:val="255" w:hRule="exact"/>
        </w:trPr>
        <w:tc>
          <w:tcPr>
            <w:tcW w:w="3976" w:type="dxa"/>
            <w:tcBorders>
              <w:top w:val="nil" w:sz="6" w:space="0" w:color="auto"/>
              <w:left w:val="nil" w:sz="6" w:space="0" w:color="auto"/>
              <w:bottom w:val="nil" w:sz="6" w:space="0" w:color="auto"/>
              <w:right w:val="nil" w:sz="6" w:space="0" w:color="auto"/>
            </w:tcBorders>
          </w:tcPr>
          <w:p>
            <w:pPr>
              <w:pStyle w:val="TableParagraph"/>
              <w:tabs>
                <w:tab w:pos="1562" w:val="left" w:leader="none"/>
                <w:tab w:pos="2378" w:val="left" w:leader="none"/>
                <w:tab w:pos="3520" w:val="left" w:leader="none"/>
              </w:tabs>
              <w:spacing w:line="226" w:lineRule="exact"/>
              <w:ind w:left="35" w:right="0"/>
              <w:jc w:val="left"/>
              <w:rPr>
                <w:rFonts w:ascii="Arial" w:hAnsi="Arial" w:cs="Arial" w:eastAsia="Arial" w:hint="default"/>
                <w:sz w:val="18"/>
                <w:szCs w:val="18"/>
              </w:rPr>
            </w:pPr>
            <w:r>
              <w:rPr>
                <w:rFonts w:ascii="黑体" w:hAnsi="黑体" w:cs="黑体" w:eastAsia="黑体" w:hint="default"/>
                <w:sz w:val="18"/>
                <w:szCs w:val="18"/>
              </w:rPr>
              <w:t>西玛永泰</w:t>
              <w:tab/>
            </w:r>
            <w:r>
              <w:rPr>
                <w:rFonts w:ascii="Arial" w:hAnsi="Arial" w:cs="Arial" w:eastAsia="Arial" w:hint="default"/>
                <w:spacing w:val="-1"/>
                <w:sz w:val="18"/>
                <w:szCs w:val="18"/>
              </w:rPr>
              <w:t>20</w:t>
            </w:r>
            <w:r>
              <w:rPr>
                <w:rFonts w:ascii="黑体" w:hAnsi="黑体" w:cs="黑体" w:eastAsia="黑体" w:hint="default"/>
                <w:spacing w:val="-1"/>
                <w:sz w:val="18"/>
                <w:szCs w:val="18"/>
              </w:rPr>
              <w:t>年</w:t>
              <w:tab/>
            </w:r>
            <w:r>
              <w:rPr>
                <w:rFonts w:ascii="Arial" w:hAnsi="Arial" w:cs="Arial" w:eastAsia="Arial" w:hint="default"/>
                <w:spacing w:val="-1"/>
                <w:sz w:val="18"/>
                <w:szCs w:val="18"/>
              </w:rPr>
              <w:t>500,000</w:t>
              <w:tab/>
              <w:t>40%</w:t>
            </w:r>
            <w:r>
              <w:rPr>
                <w:rFonts w:ascii="Arial" w:hAnsi="Arial" w:cs="Arial" w:eastAsia="Arial" w:hint="default"/>
                <w:sz w:val="18"/>
                <w:szCs w:val="18"/>
              </w:rPr>
            </w:r>
          </w:p>
        </w:tc>
        <w:tc>
          <w:tcPr>
            <w:tcW w:w="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0"/>
              <w:jc w:val="right"/>
              <w:rPr>
                <w:rFonts w:ascii="Arial" w:hAnsi="Arial" w:cs="Arial" w:eastAsia="Arial" w:hint="default"/>
                <w:sz w:val="18"/>
                <w:szCs w:val="18"/>
              </w:rPr>
            </w:pPr>
            <w:r>
              <w:rPr>
                <w:rFonts w:ascii="Arial"/>
                <w:spacing w:val="-1"/>
                <w:sz w:val="18"/>
              </w:rPr>
              <w:t>200,000</w:t>
            </w:r>
          </w:p>
        </w:tc>
        <w:tc>
          <w:tcPr>
            <w:tcW w:w="4110" w:type="dxa"/>
            <w:tcBorders>
              <w:top w:val="nil" w:sz="6" w:space="0" w:color="auto"/>
              <w:left w:val="nil" w:sz="6" w:space="0" w:color="auto"/>
              <w:bottom w:val="nil" w:sz="6" w:space="0" w:color="auto"/>
              <w:right w:val="nil" w:sz="6" w:space="0" w:color="auto"/>
            </w:tcBorders>
          </w:tcPr>
          <w:p>
            <w:pPr>
              <w:pStyle w:val="TableParagraph"/>
              <w:tabs>
                <w:tab w:pos="1581" w:val="left" w:leader="none"/>
                <w:tab w:pos="2573" w:val="left" w:leader="none"/>
                <w:tab w:pos="3118" w:val="left" w:leader="none"/>
              </w:tabs>
              <w:spacing w:line="240" w:lineRule="auto" w:before="19"/>
              <w:ind w:right="1"/>
              <w:jc w:val="right"/>
              <w:rPr>
                <w:rFonts w:ascii="Arial" w:hAnsi="Arial" w:cs="Arial" w:eastAsia="Arial" w:hint="default"/>
                <w:sz w:val="18"/>
                <w:szCs w:val="18"/>
              </w:rPr>
            </w:pPr>
            <w:r>
              <w:rPr>
                <w:rFonts w:ascii="Arial"/>
                <w:spacing w:val="-1"/>
                <w:sz w:val="18"/>
              </w:rPr>
              <w:t>200,000</w:t>
              <w:tab/>
            </w:r>
            <w:r>
              <w:rPr>
                <w:rFonts w:ascii="Arial"/>
                <w:sz w:val="18"/>
              </w:rPr>
              <w:t>-</w:t>
              <w:tab/>
              <w:t>-</w:t>
              <w:tab/>
            </w:r>
            <w:r>
              <w:rPr>
                <w:rFonts w:ascii="Arial"/>
                <w:spacing w:val="-1"/>
                <w:sz w:val="18"/>
              </w:rPr>
              <w:t>200,000</w:t>
            </w:r>
          </w:p>
        </w:tc>
        <w:tc>
          <w:tcPr>
            <w:tcW w:w="118" w:type="dxa"/>
            <w:tcBorders>
              <w:top w:val="nil" w:sz="6" w:space="0" w:color="auto"/>
              <w:left w:val="nil" w:sz="6" w:space="0" w:color="auto"/>
              <w:bottom w:val="nil" w:sz="6" w:space="0" w:color="auto"/>
              <w:right w:val="nil" w:sz="6" w:space="0" w:color="auto"/>
            </w:tcBorders>
          </w:tcPr>
          <w:p>
            <w:pP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8"/>
              <w:jc w:val="right"/>
              <w:rPr>
                <w:rFonts w:ascii="Arial" w:hAnsi="Arial" w:cs="Arial" w:eastAsia="Arial" w:hint="default"/>
                <w:sz w:val="18"/>
                <w:szCs w:val="18"/>
              </w:rPr>
            </w:pPr>
            <w:r>
              <w:rPr>
                <w:rFonts w:ascii="Arial"/>
                <w:spacing w:val="-1"/>
                <w:sz w:val="18"/>
              </w:rPr>
              <w:t>727,319</w:t>
            </w:r>
          </w:p>
        </w:tc>
        <w:tc>
          <w:tcPr>
            <w:tcW w:w="4457" w:type="dxa"/>
            <w:tcBorders>
              <w:top w:val="nil" w:sz="6" w:space="0" w:color="auto"/>
              <w:left w:val="nil" w:sz="6" w:space="0" w:color="auto"/>
              <w:bottom w:val="nil" w:sz="6" w:space="0" w:color="auto"/>
              <w:right w:val="nil" w:sz="6" w:space="0" w:color="auto"/>
            </w:tcBorders>
          </w:tcPr>
          <w:p>
            <w:pPr>
              <w:pStyle w:val="TableParagraph"/>
              <w:tabs>
                <w:tab w:pos="330" w:val="left" w:leader="none"/>
                <w:tab w:pos="1963" w:val="left" w:leader="none"/>
                <w:tab w:pos="2365" w:val="left" w:leader="none"/>
                <w:tab w:pos="3371" w:val="left" w:leader="none"/>
              </w:tabs>
              <w:spacing w:line="240" w:lineRule="auto" w:before="19"/>
              <w:ind w:right="33"/>
              <w:jc w:val="right"/>
              <w:rPr>
                <w:rFonts w:ascii="Arial" w:hAnsi="Arial" w:cs="Arial" w:eastAsia="Arial" w:hint="default"/>
                <w:sz w:val="18"/>
                <w:szCs w:val="18"/>
              </w:rPr>
            </w:pPr>
            <w:r>
              <w:rPr>
                <w:rFonts w:ascii="Arial"/>
                <w:sz w:val="18"/>
              </w:rPr>
              <w:t>(</w:t>
              <w:tab/>
            </w:r>
            <w:r>
              <w:rPr>
                <w:rFonts w:ascii="Arial"/>
                <w:spacing w:val="-1"/>
                <w:sz w:val="18"/>
              </w:rPr>
              <w:t>39,852)</w:t>
              <w:tab/>
            </w:r>
            <w:r>
              <w:rPr>
                <w:rFonts w:ascii="Arial"/>
                <w:sz w:val="18"/>
              </w:rPr>
              <w:t>-</w:t>
              <w:tab/>
            </w:r>
            <w:r>
              <w:rPr>
                <w:rFonts w:ascii="Arial"/>
                <w:spacing w:val="-1"/>
                <w:sz w:val="18"/>
              </w:rPr>
              <w:t>687,467</w:t>
              <w:tab/>
              <w:t>887,467</w:t>
            </w:r>
          </w:p>
        </w:tc>
      </w:tr>
      <w:tr>
        <w:trPr>
          <w:trHeight w:val="260" w:hRule="exact"/>
        </w:trPr>
        <w:tc>
          <w:tcPr>
            <w:tcW w:w="3976" w:type="dxa"/>
            <w:tcBorders>
              <w:top w:val="nil" w:sz="6" w:space="0" w:color="auto"/>
              <w:left w:val="nil" w:sz="6" w:space="0" w:color="auto"/>
              <w:bottom w:val="nil" w:sz="6" w:space="0" w:color="auto"/>
              <w:right w:val="nil" w:sz="6" w:space="0" w:color="auto"/>
            </w:tcBorders>
          </w:tcPr>
          <w:p>
            <w:pPr>
              <w:pStyle w:val="TableParagraph"/>
              <w:tabs>
                <w:tab w:pos="1562" w:val="left" w:leader="none"/>
                <w:tab w:pos="2228" w:val="left" w:leader="none"/>
                <w:tab w:pos="3370" w:val="left" w:leader="none"/>
              </w:tabs>
              <w:spacing w:line="226" w:lineRule="exact"/>
              <w:ind w:left="35" w:right="0"/>
              <w:jc w:val="left"/>
              <w:rPr>
                <w:rFonts w:ascii="Arial" w:hAnsi="Arial" w:cs="Arial" w:eastAsia="Arial" w:hint="default"/>
                <w:sz w:val="18"/>
                <w:szCs w:val="18"/>
              </w:rPr>
            </w:pPr>
            <w:r>
              <w:rPr>
                <w:rFonts w:ascii="黑体" w:hAnsi="黑体" w:cs="黑体" w:eastAsia="黑体" w:hint="default"/>
                <w:sz w:val="18"/>
                <w:szCs w:val="18"/>
              </w:rPr>
              <w:t>用友审计</w:t>
              <w:tab/>
            </w:r>
            <w:r>
              <w:rPr>
                <w:rFonts w:ascii="Arial" w:hAnsi="Arial" w:cs="Arial" w:eastAsia="Arial" w:hint="default"/>
                <w:spacing w:val="-1"/>
                <w:sz w:val="18"/>
                <w:szCs w:val="18"/>
              </w:rPr>
              <w:t>20</w:t>
            </w:r>
            <w:r>
              <w:rPr>
                <w:rFonts w:ascii="黑体" w:hAnsi="黑体" w:cs="黑体" w:eastAsia="黑体" w:hint="default"/>
                <w:spacing w:val="-1"/>
                <w:sz w:val="18"/>
                <w:szCs w:val="18"/>
              </w:rPr>
              <w:t>年</w:t>
              <w:tab/>
            </w:r>
            <w:r>
              <w:rPr>
                <w:rFonts w:ascii="Arial" w:hAnsi="Arial" w:cs="Arial" w:eastAsia="Arial" w:hint="default"/>
                <w:spacing w:val="-1"/>
                <w:sz w:val="18"/>
                <w:szCs w:val="18"/>
              </w:rPr>
              <w:t>3,614,458</w:t>
              <w:tab/>
              <w:t>33.2%</w:t>
            </w:r>
            <w:r>
              <w:rPr>
                <w:rFonts w:ascii="Arial" w:hAnsi="Arial" w:cs="Arial" w:eastAsia="Arial" w:hint="default"/>
                <w:sz w:val="18"/>
                <w:szCs w:val="18"/>
              </w:rPr>
            </w:r>
          </w:p>
        </w:tc>
        <w:tc>
          <w:tcPr>
            <w:tcW w:w="89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0"/>
              <w:jc w:val="right"/>
              <w:rPr>
                <w:rFonts w:ascii="Arial" w:hAnsi="Arial" w:cs="Arial" w:eastAsia="Arial" w:hint="default"/>
                <w:sz w:val="18"/>
                <w:szCs w:val="18"/>
              </w:rPr>
            </w:pPr>
            <w:r>
              <w:rPr>
                <w:rFonts w:ascii="Arial"/>
                <w:spacing w:val="-1"/>
                <w:sz w:val="18"/>
              </w:rPr>
              <w:t>1,200,000</w:t>
            </w:r>
          </w:p>
        </w:tc>
        <w:tc>
          <w:tcPr>
            <w:tcW w:w="4110" w:type="dxa"/>
            <w:tcBorders>
              <w:top w:val="nil" w:sz="6" w:space="0" w:color="auto"/>
              <w:left w:val="nil" w:sz="6" w:space="0" w:color="auto"/>
              <w:bottom w:val="nil" w:sz="6" w:space="0" w:color="auto"/>
              <w:right w:val="nil" w:sz="6" w:space="0" w:color="auto"/>
            </w:tcBorders>
          </w:tcPr>
          <w:p>
            <w:pPr>
              <w:pStyle w:val="TableParagraph"/>
              <w:tabs>
                <w:tab w:pos="1731" w:val="left" w:leader="none"/>
                <w:tab w:pos="3858" w:val="left" w:leader="none"/>
              </w:tabs>
              <w:spacing w:line="240" w:lineRule="auto" w:before="18"/>
              <w:ind w:right="0"/>
              <w:jc w:val="right"/>
              <w:rPr>
                <w:rFonts w:ascii="Arial" w:hAnsi="Arial" w:cs="Arial" w:eastAsia="Arial" w:hint="default"/>
                <w:sz w:val="18"/>
                <w:szCs w:val="18"/>
              </w:rPr>
            </w:pPr>
            <w:r>
              <w:rPr>
                <w:rFonts w:ascii="Arial"/>
                <w:w w:val="99"/>
                <w:sz w:val="18"/>
              </w:rPr>
            </w:r>
            <w:r>
              <w:rPr>
                <w:rFonts w:ascii="Arial"/>
                <w:spacing w:val="-1"/>
                <w:sz w:val="18"/>
                <w:u w:val="single" w:color="000000"/>
              </w:rPr>
              <w:t>1,200,000</w:t>
              <w:tab/>
            </w:r>
            <w:r>
              <w:rPr>
                <w:rFonts w:ascii="Arial"/>
                <w:sz w:val="18"/>
                <w:u w:val="single" w:color="000000"/>
              </w:rPr>
              <w:t>- </w:t>
            </w:r>
            <w:r>
              <w:rPr>
                <w:rFonts w:ascii="Arial"/>
                <w:spacing w:val="33"/>
                <w:sz w:val="18"/>
                <w:u w:val="single" w:color="000000"/>
              </w:rPr>
              <w:t> </w:t>
            </w:r>
            <w:r>
              <w:rPr>
                <w:rFonts w:ascii="Arial"/>
                <w:spacing w:val="33"/>
                <w:sz w:val="18"/>
              </w:rPr>
            </w:r>
            <w:r>
              <w:rPr>
                <w:rFonts w:ascii="Arial"/>
                <w:spacing w:val="-1"/>
                <w:sz w:val="18"/>
              </w:rPr>
              <w:t>(</w:t>
            </w:r>
            <w:r>
              <w:rPr>
                <w:rFonts w:ascii="Arial"/>
                <w:spacing w:val="-1"/>
                <w:sz w:val="18"/>
                <w:u w:val="single" w:color="000000"/>
              </w:rPr>
              <w:t>1,200,000</w:t>
            </w:r>
            <w:r>
              <w:rPr>
                <w:rFonts w:ascii="Arial"/>
                <w:spacing w:val="-1"/>
                <w:sz w:val="18"/>
              </w:rPr>
              <w:t>)</w:t>
            </w:r>
            <w:r>
              <w:rPr>
                <w:rFonts w:ascii="Arial"/>
                <w:spacing w:val="-1"/>
                <w:sz w:val="18"/>
                <w:u w:val="single" w:color="000000"/>
              </w:rPr>
              <w:t> </w:t>
              <w:tab/>
            </w:r>
            <w:r>
              <w:rPr>
                <w:rFonts w:ascii="Arial"/>
                <w:sz w:val="18"/>
                <w:u w:val="single" w:color="000000"/>
              </w:rPr>
              <w:t>-</w:t>
            </w:r>
            <w:r>
              <w:rPr>
                <w:rFonts w:ascii="Arial"/>
                <w:sz w:val="18"/>
              </w:rPr>
            </w:r>
          </w:p>
        </w:tc>
        <w:tc>
          <w:tcPr>
            <w:tcW w:w="118" w:type="dxa"/>
            <w:tcBorders>
              <w:top w:val="nil" w:sz="6" w:space="0" w:color="auto"/>
              <w:left w:val="nil" w:sz="6" w:space="0" w:color="auto"/>
              <w:bottom w:val="nil" w:sz="6" w:space="0" w:color="auto"/>
              <w:right w:val="nil" w:sz="6" w:space="0" w:color="auto"/>
            </w:tcBorders>
          </w:tcPr>
          <w:p>
            <w:pP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58"/>
              <w:jc w:val="right"/>
              <w:rPr>
                <w:rFonts w:ascii="Arial" w:hAnsi="Arial" w:cs="Arial" w:eastAsia="Arial" w:hint="default"/>
                <w:sz w:val="18"/>
                <w:szCs w:val="18"/>
              </w:rPr>
            </w:pPr>
            <w:r>
              <w:rPr>
                <w:rFonts w:ascii="Arial"/>
                <w:sz w:val="18"/>
              </w:rPr>
              <w:t>(</w:t>
            </w:r>
            <w:r>
              <w:rPr>
                <w:rFonts w:ascii="Arial"/>
                <w:spacing w:val="19"/>
                <w:sz w:val="18"/>
              </w:rPr>
              <w:t> </w:t>
            </w:r>
            <w:r>
              <w:rPr>
                <w:rFonts w:ascii="Arial"/>
                <w:spacing w:val="19"/>
                <w:sz w:val="18"/>
                <w:u w:val="single" w:color="000000"/>
              </w:rPr>
              <w:t> </w:t>
            </w:r>
            <w:r>
              <w:rPr>
                <w:rFonts w:ascii="Arial"/>
                <w:sz w:val="18"/>
                <w:u w:val="single" w:color="000000"/>
              </w:rPr>
              <w:t>1,064,235</w:t>
            </w:r>
            <w:r>
              <w:rPr>
                <w:rFonts w:ascii="Arial"/>
                <w:sz w:val="18"/>
              </w:rPr>
              <w:t>)</w:t>
            </w:r>
          </w:p>
        </w:tc>
        <w:tc>
          <w:tcPr>
            <w:tcW w:w="4457" w:type="dxa"/>
            <w:tcBorders>
              <w:top w:val="nil" w:sz="6" w:space="0" w:color="auto"/>
              <w:left w:val="nil" w:sz="6" w:space="0" w:color="auto"/>
              <w:bottom w:val="nil" w:sz="6" w:space="0" w:color="auto"/>
              <w:right w:val="nil" w:sz="6" w:space="0" w:color="auto"/>
            </w:tcBorders>
          </w:tcPr>
          <w:p>
            <w:pPr>
              <w:pStyle w:val="TableParagraph"/>
              <w:tabs>
                <w:tab w:pos="810" w:val="left" w:leader="none"/>
                <w:tab w:pos="1124" w:val="left" w:leader="none"/>
                <w:tab w:pos="2945" w:val="left" w:leader="none"/>
                <w:tab w:pos="3951" w:val="left" w:leader="none"/>
              </w:tabs>
              <w:spacing w:line="240" w:lineRule="auto" w:before="18"/>
              <w:ind w:right="3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tab/>
            </w:r>
            <w:r>
              <w:rPr>
                <w:rFonts w:ascii="Arial"/>
                <w:sz w:val="18"/>
                <w:u w:val="single" w:color="000000"/>
              </w:rPr>
              <w:t> </w:t>
            </w:r>
            <w:r>
              <w:rPr>
                <w:rFonts w:ascii="Arial"/>
                <w:spacing w:val="-1"/>
                <w:sz w:val="18"/>
                <w:u w:val="single" w:color="000000"/>
              </w:rPr>
              <w:t>1,064,235</w:t>
              <w:tab/>
            </w:r>
            <w:r>
              <w:rPr>
                <w:rFonts w:ascii="Arial"/>
                <w:sz w:val="18"/>
                <w:u w:val="single" w:color="000000"/>
              </w:rPr>
              <w:t>-</w:t>
            </w:r>
            <w:r>
              <w:rPr>
                <w:rFonts w:ascii="Arial"/>
                <w:sz w:val="18"/>
              </w:rPr>
            </w:r>
            <w:r>
              <w:rPr>
                <w:rFonts w:ascii="Arial"/>
                <w:sz w:val="18"/>
                <w:u w:val="single" w:color="000000"/>
              </w:rPr>
              <w:t> </w:t>
              <w:tab/>
              <w:t>-</w:t>
            </w:r>
            <w:r>
              <w:rPr>
                <w:rFonts w:ascii="Arial"/>
                <w:sz w:val="18"/>
              </w:rPr>
            </w:r>
          </w:p>
        </w:tc>
      </w:tr>
      <w:tr>
        <w:trPr>
          <w:trHeight w:val="318" w:hRule="exact"/>
        </w:trPr>
        <w:tc>
          <w:tcPr>
            <w:tcW w:w="3976" w:type="dxa"/>
            <w:tcBorders>
              <w:top w:val="nil" w:sz="6" w:space="0" w:color="auto"/>
              <w:left w:val="nil" w:sz="6" w:space="0" w:color="auto"/>
              <w:bottom w:val="nil" w:sz="6" w:space="0" w:color="auto"/>
              <w:right w:val="nil" w:sz="6" w:space="0" w:color="auto"/>
            </w:tcBorders>
          </w:tcPr>
          <w:p>
            <w:pPr/>
          </w:p>
        </w:tc>
        <w:tc>
          <w:tcPr>
            <w:tcW w:w="896" w:type="dxa"/>
            <w:tcBorders>
              <w:top w:val="nil" w:sz="6" w:space="0" w:color="auto"/>
              <w:left w:val="nil" w:sz="6" w:space="0" w:color="auto"/>
              <w:bottom w:val="nil" w:sz="6" w:space="0" w:color="auto"/>
              <w:right w:val="nil" w:sz="6" w:space="0" w:color="auto"/>
            </w:tcBorders>
          </w:tcPr>
          <w:p>
            <w:pPr/>
          </w:p>
        </w:tc>
        <w:tc>
          <w:tcPr>
            <w:tcW w:w="411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right"/>
              <w:rPr>
                <w:rFonts w:ascii="Arial" w:hAnsi="Arial" w:cs="Arial" w:eastAsia="Arial" w:hint="default"/>
                <w:sz w:val="18"/>
                <w:szCs w:val="18"/>
              </w:rPr>
            </w:pPr>
            <w:r>
              <w:rPr>
                <w:rFonts w:ascii="Arial"/>
                <w:w w:val="99"/>
                <w:sz w:val="18"/>
              </w:rPr>
            </w:r>
            <w:r>
              <w:rPr>
                <w:rFonts w:ascii="Arial"/>
                <w:sz w:val="18"/>
                <w:u w:val="thick" w:color="000000"/>
              </w:rPr>
              <w:t>3,100,000  </w:t>
            </w:r>
            <w:r>
              <w:rPr>
                <w:rFonts w:ascii="Arial"/>
                <w:sz w:val="18"/>
              </w:rPr>
            </w:r>
            <w:r>
              <w:rPr>
                <w:rFonts w:ascii="Arial"/>
                <w:sz w:val="18"/>
                <w:u w:val="thick" w:color="000000"/>
              </w:rPr>
              <w:t>12,425,126  </w:t>
            </w:r>
            <w:r>
              <w:rPr>
                <w:rFonts w:ascii="Arial"/>
                <w:sz w:val="18"/>
              </w:rPr>
              <w:t>(</w:t>
            </w:r>
            <w:r>
              <w:rPr>
                <w:rFonts w:ascii="Arial"/>
                <w:sz w:val="18"/>
                <w:u w:val="thick" w:color="000000"/>
              </w:rPr>
              <w:t>1,200,000</w:t>
            </w:r>
            <w:r>
              <w:rPr>
                <w:rFonts w:ascii="Arial"/>
                <w:sz w:val="18"/>
              </w:rPr>
              <w:t>)  </w:t>
            </w:r>
            <w:r>
              <w:rPr>
                <w:rFonts w:ascii="Arial"/>
                <w:spacing w:val="17"/>
                <w:sz w:val="18"/>
              </w:rPr>
              <w:t> </w:t>
            </w:r>
            <w:r>
              <w:rPr>
                <w:rFonts w:ascii="Arial"/>
                <w:sz w:val="18"/>
                <w:u w:val="thick" w:color="000000"/>
              </w:rPr>
              <w:t>14,325,126</w:t>
            </w:r>
            <w:r>
              <w:rPr>
                <w:rFonts w:ascii="Arial"/>
                <w:sz w:val="18"/>
              </w:rPr>
            </w:r>
          </w:p>
        </w:tc>
        <w:tc>
          <w:tcPr>
            <w:tcW w:w="118" w:type="dxa"/>
            <w:tcBorders>
              <w:top w:val="nil" w:sz="6" w:space="0" w:color="auto"/>
              <w:left w:val="nil" w:sz="6" w:space="0" w:color="auto"/>
              <w:bottom w:val="nil" w:sz="6" w:space="0" w:color="auto"/>
              <w:right w:val="nil" w:sz="6" w:space="0" w:color="auto"/>
            </w:tcBorders>
          </w:tcPr>
          <w:p>
            <w:pP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9" w:right="0"/>
              <w:jc w:val="left"/>
              <w:rPr>
                <w:rFonts w:ascii="Arial" w:hAnsi="Arial" w:cs="Arial" w:eastAsia="Arial" w:hint="default"/>
                <w:sz w:val="18"/>
                <w:szCs w:val="18"/>
              </w:rPr>
            </w:pPr>
            <w:r>
              <w:rPr>
                <w:rFonts w:ascii="Arial"/>
                <w:w w:val="99"/>
                <w:sz w:val="18"/>
              </w:rPr>
            </w:r>
            <w:r>
              <w:rPr>
                <w:rFonts w:ascii="Arial"/>
                <w:sz w:val="18"/>
                <w:u w:val="thick" w:color="000000"/>
              </w:rPr>
              <w:t>11,928,363</w:t>
            </w:r>
            <w:r>
              <w:rPr>
                <w:rFonts w:ascii="Arial"/>
                <w:sz w:val="18"/>
              </w:rPr>
            </w:r>
          </w:p>
        </w:tc>
        <w:tc>
          <w:tcPr>
            <w:tcW w:w="4457" w:type="dxa"/>
            <w:tcBorders>
              <w:top w:val="nil" w:sz="6" w:space="0" w:color="auto"/>
              <w:left w:val="nil" w:sz="6" w:space="0" w:color="auto"/>
              <w:bottom w:val="nil" w:sz="6" w:space="0" w:color="auto"/>
              <w:right w:val="nil" w:sz="6" w:space="0" w:color="auto"/>
            </w:tcBorders>
          </w:tcPr>
          <w:p>
            <w:pPr>
              <w:pStyle w:val="TableParagraph"/>
              <w:tabs>
                <w:tab w:pos="1053" w:val="left" w:leader="none"/>
              </w:tabs>
              <w:spacing w:line="240" w:lineRule="auto" w:before="15"/>
              <w:ind w:right="33"/>
              <w:jc w:val="right"/>
              <w:rPr>
                <w:rFonts w:ascii="Arial" w:hAnsi="Arial" w:cs="Arial" w:eastAsia="Arial" w:hint="default"/>
                <w:sz w:val="18"/>
                <w:szCs w:val="18"/>
              </w:rPr>
            </w:pPr>
            <w:r>
              <w:rPr>
                <w:rFonts w:ascii="Arial"/>
                <w:w w:val="99"/>
                <w:sz w:val="18"/>
              </w:rPr>
            </w:r>
            <w:r>
              <w:rPr>
                <w:rFonts w:ascii="Arial"/>
                <w:spacing w:val="-1"/>
                <w:sz w:val="18"/>
                <w:u w:val="thick" w:color="000000"/>
              </w:rPr>
              <w:t>6,950,828</w:t>
            </w:r>
            <w:r>
              <w:rPr>
                <w:rFonts w:ascii="Arial"/>
                <w:spacing w:val="-1"/>
                <w:sz w:val="18"/>
              </w:rPr>
              <w:tab/>
            </w:r>
            <w:r>
              <w:rPr>
                <w:rFonts w:ascii="Arial"/>
                <w:spacing w:val="-1"/>
                <w:sz w:val="18"/>
                <w:u w:val="thick" w:color="000000"/>
              </w:rPr>
              <w:t> 1,064,235</w:t>
            </w:r>
            <w:r>
              <w:rPr>
                <w:rFonts w:ascii="Arial"/>
                <w:sz w:val="18"/>
                <w:u w:val="thick" w:color="000000"/>
              </w:rPr>
              <w:t>  </w:t>
            </w:r>
            <w:r>
              <w:rPr>
                <w:rFonts w:ascii="Arial"/>
                <w:sz w:val="18"/>
              </w:rPr>
            </w:r>
            <w:r>
              <w:rPr>
                <w:rFonts w:ascii="Arial"/>
                <w:spacing w:val="-1"/>
                <w:sz w:val="18"/>
                <w:u w:val="thick" w:color="000000"/>
              </w:rPr>
              <w:t>19,943,426</w:t>
            </w:r>
            <w:r>
              <w:rPr>
                <w:rFonts w:ascii="Arial"/>
                <w:sz w:val="18"/>
                <w:u w:val="thick" w:color="000000"/>
              </w:rPr>
              <w:t> </w:t>
            </w:r>
            <w:r>
              <w:rPr>
                <w:rFonts w:ascii="Arial"/>
                <w:spacing w:val="4"/>
                <w:sz w:val="18"/>
                <w:u w:val="thick" w:color="000000"/>
              </w:rPr>
              <w:t> </w:t>
            </w:r>
            <w:r>
              <w:rPr>
                <w:rFonts w:ascii="Arial"/>
                <w:spacing w:val="4"/>
                <w:sz w:val="18"/>
              </w:rPr>
            </w:r>
            <w:r>
              <w:rPr>
                <w:rFonts w:ascii="Arial"/>
                <w:spacing w:val="-1"/>
                <w:sz w:val="18"/>
                <w:u w:val="thick" w:color="000000"/>
              </w:rPr>
              <w:t>34,268,552</w:t>
            </w:r>
            <w:r>
              <w:rPr>
                <w:rFonts w:ascii="Arial"/>
                <w:spacing w:val="-1"/>
                <w:sz w:val="18"/>
              </w:rPr>
            </w:r>
          </w:p>
        </w:tc>
      </w:tr>
    </w:tbl>
    <w:p>
      <w:pPr>
        <w:spacing w:after="0" w:line="240" w:lineRule="auto"/>
        <w:jc w:val="right"/>
        <w:rPr>
          <w:rFonts w:ascii="Arial" w:hAnsi="Arial" w:cs="Arial" w:eastAsia="Arial" w:hint="default"/>
          <w:sz w:val="18"/>
          <w:szCs w:val="18"/>
        </w:rPr>
        <w:sectPr>
          <w:headerReference w:type="default" r:id="rId78"/>
          <w:footerReference w:type="default" r:id="rId79"/>
          <w:pgSz w:w="16840" w:h="11910" w:orient="landscape"/>
          <w:pgMar w:header="958" w:footer="835" w:top="2560" w:bottom="1020" w:left="980" w:right="960"/>
        </w:sectPr>
      </w:pPr>
    </w:p>
    <w:p>
      <w:pPr>
        <w:spacing w:line="240" w:lineRule="auto" w:before="4"/>
        <w:rPr>
          <w:rFonts w:ascii="黑体" w:hAnsi="黑体" w:cs="黑体" w:eastAsia="黑体" w:hint="default"/>
          <w:b/>
          <w:bCs/>
          <w:sz w:val="14"/>
          <w:szCs w:val="14"/>
        </w:rPr>
      </w:pPr>
    </w:p>
    <w:p>
      <w:pPr>
        <w:spacing w:before="38"/>
        <w:ind w:left="113" w:right="0"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3"/>
        <w:rPr>
          <w:rFonts w:ascii="黑体" w:hAnsi="黑体" w:cs="黑体" w:eastAsia="黑体" w:hint="default"/>
          <w:b/>
          <w:bCs/>
          <w:sz w:val="15"/>
          <w:szCs w:val="15"/>
        </w:rPr>
      </w:pPr>
    </w:p>
    <w:p>
      <w:pPr>
        <w:tabs>
          <w:tab w:pos="780" w:val="left" w:leader="none"/>
        </w:tabs>
        <w:spacing w:before="0"/>
        <w:ind w:left="113" w:right="0" w:firstLine="0"/>
        <w:jc w:val="left"/>
        <w:rPr>
          <w:rFonts w:ascii="黑体" w:hAnsi="黑体" w:cs="黑体" w:eastAsia="黑体" w:hint="default"/>
          <w:sz w:val="20"/>
          <w:szCs w:val="20"/>
        </w:rPr>
      </w:pPr>
      <w:r>
        <w:rPr>
          <w:rFonts w:ascii="Arial" w:hAnsi="Arial" w:cs="Arial" w:eastAsia="Arial" w:hint="default"/>
          <w:b/>
          <w:bCs/>
          <w:spacing w:val="-1"/>
          <w:sz w:val="20"/>
          <w:szCs w:val="20"/>
        </w:rPr>
        <w:t>9.</w:t>
        <w:tab/>
      </w:r>
      <w:r>
        <w:rPr>
          <w:rFonts w:ascii="黑体" w:hAnsi="黑体" w:cs="黑体" w:eastAsia="黑体" w:hint="default"/>
          <w:b/>
          <w:bCs/>
          <w:sz w:val="20"/>
          <w:szCs w:val="20"/>
        </w:rPr>
        <w:t>长期股权投资（续）</w:t>
      </w:r>
      <w:r>
        <w:rPr>
          <w:rFonts w:ascii="黑体" w:hAnsi="黑体" w:cs="黑体" w:eastAsia="黑体" w:hint="default"/>
          <w:sz w:val="20"/>
          <w:szCs w:val="20"/>
        </w:rPr>
      </w:r>
    </w:p>
    <w:p>
      <w:pPr>
        <w:spacing w:line="240" w:lineRule="auto" w:before="10"/>
        <w:rPr>
          <w:rFonts w:ascii="黑体" w:hAnsi="黑体" w:cs="黑体" w:eastAsia="黑体" w:hint="default"/>
          <w:b/>
          <w:bCs/>
          <w:sz w:val="17"/>
          <w:szCs w:val="17"/>
        </w:rPr>
      </w:pPr>
    </w:p>
    <w:p>
      <w:pPr>
        <w:pStyle w:val="BodyText"/>
        <w:tabs>
          <w:tab w:pos="779" w:val="left" w:leader="none"/>
        </w:tabs>
        <w:spacing w:line="240" w:lineRule="auto"/>
        <w:ind w:left="113" w:right="0"/>
        <w:jc w:val="left"/>
      </w:pPr>
      <w:r>
        <w:rPr>
          <w:rFonts w:ascii="Arial" w:hAnsi="Arial" w:cs="Arial" w:eastAsia="Arial" w:hint="default"/>
        </w:rPr>
        <w:t>(iii)</w:t>
        <w:tab/>
      </w:r>
      <w:r>
        <w:rPr/>
        <w:t>按权益法核算的股权投资</w:t>
      </w:r>
      <w:r>
        <w:rPr>
          <w:rFonts w:ascii="Arial" w:hAnsi="Arial" w:cs="Arial" w:eastAsia="Arial" w:hint="default"/>
        </w:rPr>
        <w:t>-</w:t>
      </w:r>
      <w:r>
        <w:rPr/>
        <w:t>联营企业</w:t>
      </w:r>
    </w:p>
    <w:p>
      <w:pPr>
        <w:spacing w:line="240" w:lineRule="auto" w:before="11"/>
        <w:rPr>
          <w:rFonts w:ascii="黑体" w:hAnsi="黑体" w:cs="黑体" w:eastAsia="黑体" w:hint="default"/>
          <w:sz w:val="21"/>
          <w:szCs w:val="21"/>
        </w:rPr>
      </w:pPr>
    </w:p>
    <w:p>
      <w:pPr>
        <w:spacing w:after="0" w:line="240" w:lineRule="auto"/>
        <w:rPr>
          <w:rFonts w:ascii="黑体" w:hAnsi="黑体" w:cs="黑体" w:eastAsia="黑体" w:hint="default"/>
          <w:sz w:val="21"/>
          <w:szCs w:val="21"/>
        </w:rPr>
        <w:sectPr>
          <w:footerReference w:type="default" r:id="rId80"/>
          <w:pgSz w:w="16840" w:h="11910" w:orient="landscape"/>
          <w:pgMar w:footer="835" w:header="958" w:top="2560" w:bottom="1020" w:left="1020" w:right="980"/>
        </w:sectPr>
      </w:pPr>
    </w:p>
    <w:p>
      <w:pPr>
        <w:pStyle w:val="BodyText"/>
        <w:spacing w:line="240" w:lineRule="auto" w:before="38"/>
        <w:ind w:left="771" w:right="-19"/>
        <w:jc w:val="left"/>
      </w:pPr>
      <w:r>
        <w:rPr>
          <w:rFonts w:ascii="Arial" w:hAnsi="Arial" w:cs="Arial" w:eastAsia="Arial" w:hint="default"/>
        </w:rPr>
        <w:t>2008</w:t>
      </w:r>
      <w:r>
        <w:rPr/>
        <w:t>年</w:t>
      </w:r>
    </w:p>
    <w:p>
      <w:pPr>
        <w:spacing w:line="240" w:lineRule="auto" w:before="4"/>
        <w:rPr>
          <w:rFonts w:ascii="黑体" w:hAnsi="黑体" w:cs="黑体" w:eastAsia="黑体" w:hint="default"/>
          <w:sz w:val="24"/>
          <w:szCs w:val="24"/>
        </w:rPr>
      </w:pPr>
      <w:r>
        <w:rPr/>
        <w:br w:type="column"/>
      </w:r>
      <w:r>
        <w:rPr>
          <w:rFonts w:ascii="黑体"/>
          <w:sz w:val="24"/>
        </w:rPr>
      </w:r>
    </w:p>
    <w:p>
      <w:pPr>
        <w:pStyle w:val="BodyText"/>
        <w:spacing w:line="268" w:lineRule="exact"/>
        <w:ind w:left="2688" w:right="4285"/>
        <w:jc w:val="center"/>
      </w:pPr>
      <w:r>
        <w:rPr>
          <w:rFonts w:ascii="Arial" w:hAnsi="Arial" w:cs="Arial" w:eastAsia="Arial" w:hint="default"/>
        </w:rPr>
        <w:t>2008</w:t>
      </w:r>
      <w:r>
        <w:rPr/>
        <w:t>年</w:t>
      </w:r>
    </w:p>
    <w:p>
      <w:pPr>
        <w:pStyle w:val="BodyText"/>
        <w:tabs>
          <w:tab w:pos="2893" w:val="left" w:leader="none"/>
        </w:tabs>
        <w:spacing w:line="268" w:lineRule="exact"/>
        <w:ind w:left="771" w:right="0"/>
        <w:jc w:val="left"/>
      </w:pPr>
      <w:r>
        <w:rPr/>
        <w:pict>
          <v:group style="position:absolute;margin-left:428.210999pt;margin-top:14.534501pt;width:60.15pt;height:.1pt;mso-position-horizontal-relative:page;mso-position-vertical-relative:paragraph;z-index:-1131616" coordorigin="8564,291" coordsize="1203,2">
            <v:shape style="position:absolute;left:8564;top:291;width:1203;height:2" coordorigin="8564,291" coordsize="1203,0" path="m8564,291l9767,291e" filled="false" stroked="true" strokeweight=".48pt" strokecolor="#000000">
              <v:path arrowok="t"/>
            </v:shape>
            <w10:wrap type="none"/>
          </v:group>
        </w:pict>
      </w:r>
      <w:r>
        <w:rPr/>
        <w:pict>
          <v:group style="position:absolute;margin-left:494.151001pt;margin-top:14.534501pt;width:199.8pt;height:.1pt;mso-position-horizontal-relative:page;mso-position-vertical-relative:paragraph;z-index:-1131592" coordorigin="9883,291" coordsize="3996,2">
            <v:shape style="position:absolute;left:9883;top:291;width:3996;height:2" coordorigin="9883,291" coordsize="3996,0" path="m9883,291l13879,291e" filled="false" stroked="true" strokeweight=".48pt" strokecolor="#000000">
              <v:path arrowok="t"/>
            </v:shape>
            <w10:wrap type="none"/>
          </v:group>
        </w:pict>
      </w:r>
      <w:r>
        <w:rPr/>
        <w:t>投资成本</w:t>
        <w:tab/>
        <w:t>溢利</w:t>
      </w:r>
      <w:r>
        <w:rPr>
          <w:rFonts w:ascii="Arial" w:hAnsi="Arial" w:cs="Arial" w:eastAsia="Arial" w:hint="default"/>
        </w:rPr>
        <w:t>/(</w:t>
      </w:r>
      <w:r>
        <w:rPr/>
        <w:t>亏损</w:t>
      </w:r>
      <w:r>
        <w:rPr>
          <w:rFonts w:ascii="Arial" w:hAnsi="Arial" w:cs="Arial" w:eastAsia="Arial" w:hint="default"/>
        </w:rPr>
        <w:t>)</w:t>
      </w:r>
      <w:r>
        <w:rPr/>
        <w:t>调整数</w:t>
      </w:r>
    </w:p>
    <w:p>
      <w:pPr>
        <w:spacing w:after="0" w:line="268" w:lineRule="exact"/>
        <w:jc w:val="left"/>
        <w:sectPr>
          <w:type w:val="continuous"/>
          <w:pgSz w:w="16840" w:h="11910" w:orient="landscape"/>
          <w:pgMar w:top="900" w:bottom="280" w:left="1020" w:right="980"/>
          <w:cols w:num="2" w:equalWidth="0">
            <w:col w:w="1418" w:space="5763"/>
            <w:col w:w="7659"/>
          </w:cols>
        </w:sectPr>
      </w:pPr>
    </w:p>
    <w:p>
      <w:pPr>
        <w:spacing w:line="240" w:lineRule="auto" w:before="3"/>
        <w:rPr>
          <w:rFonts w:ascii="黑体" w:hAnsi="黑体" w:cs="黑体" w:eastAsia="黑体" w:hint="default"/>
          <w:sz w:val="19"/>
          <w:szCs w:val="19"/>
        </w:rPr>
      </w:pPr>
    </w:p>
    <w:p>
      <w:pPr>
        <w:pStyle w:val="BodyText"/>
        <w:spacing w:line="240" w:lineRule="auto"/>
        <w:ind w:left="757" w:right="-12"/>
        <w:jc w:val="left"/>
      </w:pPr>
      <w:r>
        <w:rPr>
          <w:spacing w:val="-1"/>
        </w:rPr>
        <w:t>被投资单位名称</w:t>
      </w:r>
    </w:p>
    <w:p>
      <w:pPr>
        <w:pStyle w:val="BodyText"/>
        <w:tabs>
          <w:tab w:pos="2004" w:val="left" w:leader="none"/>
        </w:tabs>
        <w:spacing w:line="253" w:lineRule="exact"/>
        <w:ind w:left="759" w:right="-18"/>
        <w:jc w:val="left"/>
      </w:pPr>
      <w:r>
        <w:rPr/>
        <w:br w:type="column"/>
      </w:r>
      <w:r>
        <w:rPr/>
        <w:t>投资</w:t>
        <w:tab/>
        <w:t>注册</w:t>
      </w:r>
      <w:r>
        <w:rPr>
          <w:spacing w:val="-40"/>
        </w:rPr>
        <w:t> </w:t>
      </w:r>
      <w:r>
        <w:rPr/>
        <w:t>占被投资单位</w:t>
      </w:r>
    </w:p>
    <w:p>
      <w:pPr>
        <w:pStyle w:val="BodyText"/>
        <w:tabs>
          <w:tab w:pos="2004" w:val="left" w:leader="none"/>
        </w:tabs>
        <w:spacing w:line="260" w:lineRule="exact"/>
        <w:ind w:left="757" w:right="-18"/>
        <w:jc w:val="left"/>
      </w:pPr>
      <w:r>
        <w:rPr/>
        <w:t>期限</w:t>
        <w:tab/>
        <w:t>资本</w:t>
      </w:r>
      <w:r>
        <w:rPr>
          <w:spacing w:val="-40"/>
        </w:rPr>
        <w:t> </w:t>
      </w:r>
      <w:r>
        <w:rPr/>
        <w:t>注册资本比例</w:t>
      </w:r>
    </w:p>
    <w:p>
      <w:pPr>
        <w:pStyle w:val="BodyText"/>
        <w:spacing w:line="260" w:lineRule="exact" w:before="18"/>
        <w:ind w:left="523" w:right="-18" w:firstLine="200"/>
        <w:jc w:val="left"/>
      </w:pPr>
      <w:r>
        <w:rPr/>
        <w:br w:type="column"/>
      </w:r>
      <w:r>
        <w:rPr/>
        <w:t>初始</w:t>
      </w:r>
      <w:r>
        <w:rPr>
          <w:w w:val="100"/>
        </w:rPr>
        <w:t> </w:t>
      </w:r>
      <w:r>
        <w:rPr/>
        <w:t>投资额</w:t>
      </w:r>
    </w:p>
    <w:p>
      <w:pPr>
        <w:spacing w:line="253" w:lineRule="exact" w:before="0"/>
        <w:ind w:left="561" w:right="-18" w:firstLine="0"/>
        <w:jc w:val="left"/>
        <w:rPr>
          <w:rFonts w:ascii="黑体" w:hAnsi="黑体" w:cs="黑体" w:eastAsia="黑体" w:hint="default"/>
          <w:sz w:val="20"/>
          <w:szCs w:val="20"/>
        </w:rPr>
      </w:pPr>
      <w:r>
        <w:rPr/>
        <w:br w:type="column"/>
      </w:r>
      <w:r>
        <w:rPr>
          <w:rFonts w:ascii="黑体" w:hAnsi="黑体" w:cs="黑体" w:eastAsia="黑体" w:hint="default"/>
          <w:sz w:val="20"/>
          <w:szCs w:val="20"/>
        </w:rPr>
        <w:t>年初及</w:t>
      </w:r>
    </w:p>
    <w:p>
      <w:pPr>
        <w:pStyle w:val="BodyText"/>
        <w:tabs>
          <w:tab w:pos="1620" w:val="left" w:leader="none"/>
        </w:tabs>
        <w:spacing w:line="260" w:lineRule="exact"/>
        <w:ind w:left="360" w:right="-18"/>
        <w:jc w:val="left"/>
      </w:pPr>
      <w:r>
        <w:rPr/>
        <w:t>年末余额</w:t>
        <w:tab/>
        <w:t>年初余额</w:t>
      </w:r>
    </w:p>
    <w:p>
      <w:pPr>
        <w:pStyle w:val="BodyText"/>
        <w:spacing w:line="253" w:lineRule="exact"/>
        <w:ind w:left="597" w:right="0"/>
        <w:jc w:val="left"/>
      </w:pPr>
      <w:r>
        <w:rPr/>
        <w:br w:type="column"/>
      </w:r>
      <w:r>
        <w:rPr/>
        <w:t>本年分占</w:t>
      </w:r>
    </w:p>
    <w:p>
      <w:pPr>
        <w:pStyle w:val="BodyText"/>
        <w:tabs>
          <w:tab w:pos="1810" w:val="left" w:leader="none"/>
          <w:tab w:pos="3314" w:val="left" w:leader="none"/>
        </w:tabs>
        <w:spacing w:line="275" w:lineRule="exact"/>
        <w:ind w:left="410" w:right="0"/>
        <w:jc w:val="left"/>
      </w:pPr>
      <w:r>
        <w:rPr>
          <w:spacing w:val="-1"/>
        </w:rPr>
        <w:t>利润</w:t>
      </w:r>
      <w:r>
        <w:rPr>
          <w:rFonts w:ascii="Arial" w:hAnsi="Arial" w:cs="Arial" w:eastAsia="Arial" w:hint="default"/>
          <w:spacing w:val="-1"/>
        </w:rPr>
        <w:t>/(</w:t>
      </w:r>
      <w:r>
        <w:rPr>
          <w:spacing w:val="-1"/>
        </w:rPr>
        <w:t>亏损</w:t>
      </w:r>
      <w:r>
        <w:rPr>
          <w:rFonts w:ascii="Arial" w:hAnsi="Arial" w:cs="Arial" w:eastAsia="Arial" w:hint="default"/>
          <w:spacing w:val="-1"/>
        </w:rPr>
        <w:t>)</w:t>
        <w:tab/>
      </w:r>
      <w:r>
        <w:rPr>
          <w:spacing w:val="-1"/>
        </w:rPr>
        <w:t>累计增减数</w:t>
        <w:tab/>
      </w:r>
      <w:r>
        <w:rPr/>
        <w:t>年末余额</w:t>
      </w:r>
    </w:p>
    <w:p>
      <w:pPr>
        <w:spacing w:before="14"/>
        <w:ind w:left="315" w:right="0" w:firstLine="0"/>
        <w:jc w:val="left"/>
        <w:rPr>
          <w:rFonts w:ascii="Arial" w:hAnsi="Arial" w:cs="Arial" w:eastAsia="Arial" w:hint="default"/>
          <w:sz w:val="16"/>
          <w:szCs w:val="16"/>
        </w:rPr>
      </w:pPr>
      <w:r>
        <w:rPr>
          <w:rFonts w:ascii="Arial" w:hAnsi="Arial" w:cs="Arial" w:eastAsia="Arial" w:hint="default"/>
          <w:sz w:val="16"/>
          <w:szCs w:val="16"/>
        </w:rPr>
        <w:t>(</w:t>
      </w:r>
      <w:r>
        <w:rPr>
          <w:rFonts w:ascii="黑体" w:hAnsi="黑体" w:cs="黑体" w:eastAsia="黑体" w:hint="default"/>
          <w:sz w:val="16"/>
          <w:szCs w:val="16"/>
        </w:rPr>
        <w:t>附注十三、</w:t>
      </w:r>
      <w:r>
        <w:rPr>
          <w:rFonts w:ascii="Arial" w:hAnsi="Arial" w:cs="Arial" w:eastAsia="Arial" w:hint="default"/>
          <w:sz w:val="16"/>
          <w:szCs w:val="16"/>
        </w:rPr>
        <w:t>32)</w:t>
      </w:r>
    </w:p>
    <w:p>
      <w:pPr>
        <w:spacing w:after="0"/>
        <w:jc w:val="left"/>
        <w:rPr>
          <w:rFonts w:ascii="Arial" w:hAnsi="Arial" w:cs="Arial" w:eastAsia="Arial" w:hint="default"/>
          <w:sz w:val="16"/>
          <w:szCs w:val="16"/>
        </w:rPr>
        <w:sectPr>
          <w:type w:val="continuous"/>
          <w:pgSz w:w="16840" w:h="11910" w:orient="landscape"/>
          <w:pgMar w:top="900" w:bottom="280" w:left="1020" w:right="980"/>
          <w:cols w:num="5" w:equalWidth="0">
            <w:col w:w="2159" w:space="560"/>
            <w:col w:w="3667" w:space="40"/>
            <w:col w:w="1126" w:space="40"/>
            <w:col w:w="2423" w:space="40"/>
            <w:col w:w="4785"/>
          </w:cols>
        </w:sectPr>
      </w:pPr>
    </w:p>
    <w:p>
      <w:pPr>
        <w:spacing w:line="240" w:lineRule="auto" w:before="5"/>
        <w:rPr>
          <w:rFonts w:ascii="Arial" w:hAnsi="Arial" w:cs="Arial" w:eastAsia="Arial" w:hint="default"/>
          <w:sz w:val="16"/>
          <w:szCs w:val="16"/>
        </w:rPr>
      </w:pPr>
    </w:p>
    <w:tbl>
      <w:tblPr>
        <w:tblW w:w="0" w:type="auto"/>
        <w:jc w:val="left"/>
        <w:tblInd w:w="723" w:type="dxa"/>
        <w:tblLayout w:type="fixed"/>
        <w:tblCellMar>
          <w:top w:w="0" w:type="dxa"/>
          <w:left w:w="0" w:type="dxa"/>
          <w:bottom w:w="0" w:type="dxa"/>
          <w:right w:w="0" w:type="dxa"/>
        </w:tblCellMar>
        <w:tblLook w:val="01E0"/>
      </w:tblPr>
      <w:tblGrid>
        <w:gridCol w:w="1984"/>
        <w:gridCol w:w="1349"/>
        <w:gridCol w:w="1415"/>
        <w:gridCol w:w="1052"/>
        <w:gridCol w:w="1184"/>
        <w:gridCol w:w="1181"/>
        <w:gridCol w:w="1385"/>
        <w:gridCol w:w="1394"/>
        <w:gridCol w:w="1375"/>
        <w:gridCol w:w="1163"/>
      </w:tblGrid>
      <w:tr>
        <w:trPr>
          <w:trHeight w:val="335" w:hRule="exact"/>
        </w:trPr>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6"/>
              <w:jc w:val="right"/>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44"/>
              <w:jc w:val="right"/>
              <w:rPr>
                <w:rFonts w:ascii="Arial" w:hAnsi="Arial" w:cs="Arial" w:eastAsia="Arial" w:hint="default"/>
                <w:sz w:val="20"/>
                <w:szCs w:val="20"/>
              </w:rPr>
            </w:pPr>
            <w:r>
              <w:rPr>
                <w:rFonts w:ascii="Arial"/>
                <w:spacing w:val="-1"/>
                <w:sz w:val="20"/>
              </w:rPr>
              <w:t>5,000,000</w:t>
            </w:r>
          </w:p>
        </w:tc>
        <w:tc>
          <w:tcPr>
            <w:tcW w:w="10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5"/>
              <w:jc w:val="right"/>
              <w:rPr>
                <w:rFonts w:ascii="Arial" w:hAnsi="Arial" w:cs="Arial" w:eastAsia="Arial" w:hint="default"/>
                <w:sz w:val="20"/>
                <w:szCs w:val="20"/>
              </w:rPr>
            </w:pPr>
            <w:r>
              <w:rPr>
                <w:rFonts w:ascii="Arial"/>
                <w:spacing w:val="-1"/>
                <w:sz w:val="20"/>
              </w:rPr>
              <w:t>30%</w:t>
            </w:r>
            <w:r>
              <w:rPr>
                <w:rFonts w:ascii="Arial"/>
                <w:sz w:val="20"/>
              </w:rPr>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4"/>
              <w:jc w:val="right"/>
              <w:rPr>
                <w:rFonts w:ascii="Arial" w:hAnsi="Arial" w:cs="Arial" w:eastAsia="Arial" w:hint="default"/>
                <w:sz w:val="20"/>
                <w:szCs w:val="20"/>
              </w:rPr>
            </w:pPr>
            <w:r>
              <w:rPr>
                <w:rFonts w:ascii="Arial"/>
                <w:spacing w:val="-1"/>
                <w:sz w:val="20"/>
              </w:rPr>
              <w:t>1,500,000</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2"/>
              <w:jc w:val="right"/>
              <w:rPr>
                <w:rFonts w:ascii="Arial" w:hAnsi="Arial" w:cs="Arial" w:eastAsia="Arial" w:hint="default"/>
                <w:sz w:val="20"/>
                <w:szCs w:val="20"/>
              </w:rPr>
            </w:pPr>
            <w:r>
              <w:rPr>
                <w:rFonts w:ascii="Arial"/>
                <w:spacing w:val="-1"/>
                <w:sz w:val="20"/>
              </w:rPr>
              <w:t>1,500,000</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34" w:right="0"/>
              <w:jc w:val="left"/>
              <w:rPr>
                <w:rFonts w:ascii="Arial" w:hAnsi="Arial" w:cs="Arial" w:eastAsia="Arial" w:hint="default"/>
                <w:sz w:val="20"/>
                <w:szCs w:val="20"/>
              </w:rPr>
            </w:pPr>
            <w:r>
              <w:rPr>
                <w:rFonts w:ascii="Arial"/>
                <w:sz w:val="20"/>
              </w:rPr>
              <w:t>5,335,339</w:t>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76" w:right="0"/>
              <w:jc w:val="center"/>
              <w:rPr>
                <w:rFonts w:ascii="Arial" w:hAnsi="Arial" w:cs="Arial" w:eastAsia="Arial" w:hint="default"/>
                <w:sz w:val="20"/>
                <w:szCs w:val="20"/>
              </w:rPr>
            </w:pPr>
            <w:r>
              <w:rPr>
                <w:rFonts w:ascii="Arial"/>
                <w:sz w:val="20"/>
              </w:rPr>
              <w:t>3,224,542</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4"/>
              <w:jc w:val="right"/>
              <w:rPr>
                <w:rFonts w:ascii="Arial" w:hAnsi="Arial" w:cs="Arial" w:eastAsia="Arial" w:hint="default"/>
                <w:sz w:val="20"/>
                <w:szCs w:val="20"/>
              </w:rPr>
            </w:pPr>
            <w:r>
              <w:rPr>
                <w:rFonts w:ascii="Arial"/>
                <w:spacing w:val="-1"/>
                <w:sz w:val="20"/>
              </w:rPr>
              <w:t>8,559,881</w:t>
            </w:r>
          </w:p>
        </w:tc>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Arial" w:hAnsi="Arial" w:cs="Arial" w:eastAsia="Arial" w:hint="default"/>
                <w:sz w:val="20"/>
                <w:szCs w:val="20"/>
              </w:rPr>
            </w:pPr>
            <w:r>
              <w:rPr>
                <w:rFonts w:ascii="Arial"/>
                <w:spacing w:val="-1"/>
                <w:sz w:val="20"/>
              </w:rPr>
              <w:t>10,059,881</w:t>
            </w:r>
          </w:p>
        </w:tc>
      </w:tr>
      <w:tr>
        <w:trPr>
          <w:trHeight w:val="296" w:hRule="exact"/>
        </w:trPr>
        <w:tc>
          <w:tcPr>
            <w:tcW w:w="1984"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用友商用表单</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exact"/>
              <w:ind w:right="176"/>
              <w:jc w:val="right"/>
              <w:rPr>
                <w:rFonts w:ascii="黑体" w:hAnsi="黑体" w:cs="黑体" w:eastAsia="黑体" w:hint="default"/>
                <w:sz w:val="20"/>
                <w:szCs w:val="20"/>
              </w:rPr>
            </w:pPr>
            <w:r>
              <w:rPr>
                <w:rFonts w:ascii="Arial" w:hAnsi="Arial" w:cs="Arial" w:eastAsia="Arial" w:hint="default"/>
                <w:sz w:val="20"/>
                <w:szCs w:val="20"/>
              </w:rPr>
              <w:t>10</w:t>
            </w:r>
            <w:r>
              <w:rPr>
                <w:rFonts w:ascii="黑体" w:hAnsi="黑体" w:cs="黑体" w:eastAsia="黑体" w:hint="default"/>
                <w:sz w:val="20"/>
                <w:szCs w:val="20"/>
              </w:rPr>
              <w:t>年</w:t>
            </w: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44"/>
              <w:jc w:val="right"/>
              <w:rPr>
                <w:rFonts w:ascii="Arial" w:hAnsi="Arial" w:cs="Arial" w:eastAsia="Arial" w:hint="default"/>
                <w:sz w:val="20"/>
                <w:szCs w:val="20"/>
              </w:rPr>
            </w:pPr>
            <w:r>
              <w:rPr>
                <w:rFonts w:ascii="Arial"/>
                <w:spacing w:val="-1"/>
                <w:sz w:val="20"/>
              </w:rPr>
              <w:t>500,000</w:t>
            </w:r>
          </w:p>
        </w:tc>
        <w:tc>
          <w:tcPr>
            <w:tcW w:w="10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35"/>
              <w:jc w:val="right"/>
              <w:rPr>
                <w:rFonts w:ascii="Arial" w:hAnsi="Arial" w:cs="Arial" w:eastAsia="Arial" w:hint="default"/>
                <w:sz w:val="20"/>
                <w:szCs w:val="20"/>
              </w:rPr>
            </w:pPr>
            <w:r>
              <w:rPr>
                <w:rFonts w:ascii="Arial"/>
                <w:sz w:val="20"/>
              </w:rPr>
              <w:t>40%</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54"/>
              <w:jc w:val="right"/>
              <w:rPr>
                <w:rFonts w:ascii="Arial" w:hAnsi="Arial" w:cs="Arial" w:eastAsia="Arial" w:hint="default"/>
                <w:sz w:val="20"/>
                <w:szCs w:val="20"/>
              </w:rPr>
            </w:pPr>
            <w:r>
              <w:rPr>
                <w:rFonts w:ascii="Arial"/>
                <w:spacing w:val="-1"/>
                <w:sz w:val="20"/>
              </w:rPr>
              <w:t>200,000</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33"/>
              <w:jc w:val="right"/>
              <w:rPr>
                <w:rFonts w:ascii="Arial" w:hAnsi="Arial" w:cs="Arial" w:eastAsia="Arial" w:hint="default"/>
                <w:sz w:val="20"/>
                <w:szCs w:val="20"/>
              </w:rPr>
            </w:pPr>
            <w:r>
              <w:rPr>
                <w:rFonts w:ascii="Arial"/>
                <w:spacing w:val="-1"/>
                <w:sz w:val="20"/>
              </w:rPr>
              <w:t>200,000</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9"/>
              <w:ind w:left="234" w:right="0"/>
              <w:jc w:val="left"/>
              <w:rPr>
                <w:rFonts w:ascii="Arial" w:hAnsi="Arial" w:cs="Arial" w:eastAsia="Arial" w:hint="default"/>
                <w:sz w:val="20"/>
                <w:szCs w:val="20"/>
              </w:rPr>
            </w:pPr>
            <w:r>
              <w:rPr>
                <w:rFonts w:ascii="Arial"/>
                <w:sz w:val="20"/>
              </w:rPr>
              <w:t>2,445,373</w:t>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9"/>
              <w:ind w:left="77" w:right="0"/>
              <w:jc w:val="center"/>
              <w:rPr>
                <w:rFonts w:ascii="Arial" w:hAnsi="Arial" w:cs="Arial" w:eastAsia="Arial" w:hint="default"/>
                <w:sz w:val="20"/>
                <w:szCs w:val="20"/>
              </w:rPr>
            </w:pPr>
            <w:r>
              <w:rPr>
                <w:rFonts w:ascii="Arial"/>
                <w:sz w:val="20"/>
              </w:rPr>
              <w:t>1,260,025</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74"/>
              <w:jc w:val="right"/>
              <w:rPr>
                <w:rFonts w:ascii="Arial" w:hAnsi="Arial" w:cs="Arial" w:eastAsia="Arial" w:hint="default"/>
                <w:sz w:val="20"/>
                <w:szCs w:val="20"/>
              </w:rPr>
            </w:pPr>
            <w:r>
              <w:rPr>
                <w:rFonts w:ascii="Arial"/>
                <w:spacing w:val="-1"/>
                <w:sz w:val="20"/>
              </w:rPr>
              <w:t>3,705,398</w:t>
            </w:r>
          </w:p>
        </w:tc>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Arial" w:hAnsi="Arial" w:cs="Arial" w:eastAsia="Arial" w:hint="default"/>
                <w:sz w:val="20"/>
                <w:szCs w:val="20"/>
              </w:rPr>
            </w:pPr>
            <w:r>
              <w:rPr>
                <w:rFonts w:ascii="Arial"/>
                <w:spacing w:val="-1"/>
                <w:sz w:val="20"/>
              </w:rPr>
              <w:t>3,905,398</w:t>
            </w:r>
          </w:p>
        </w:tc>
      </w:tr>
      <w:tr>
        <w:trPr>
          <w:trHeight w:val="338" w:hRule="exact"/>
        </w:trPr>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西玛永泰</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ind w:right="176"/>
              <w:jc w:val="right"/>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344"/>
              <w:jc w:val="right"/>
              <w:rPr>
                <w:rFonts w:ascii="Arial" w:hAnsi="Arial" w:cs="Arial" w:eastAsia="Arial" w:hint="default"/>
                <w:sz w:val="20"/>
                <w:szCs w:val="20"/>
              </w:rPr>
            </w:pPr>
            <w:r>
              <w:rPr>
                <w:rFonts w:ascii="Arial"/>
                <w:spacing w:val="-1"/>
                <w:sz w:val="20"/>
              </w:rPr>
              <w:t>500,000</w:t>
            </w:r>
          </w:p>
        </w:tc>
        <w:tc>
          <w:tcPr>
            <w:tcW w:w="1052"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35"/>
              <w:jc w:val="right"/>
              <w:rPr>
                <w:rFonts w:ascii="Arial" w:hAnsi="Arial" w:cs="Arial" w:eastAsia="Arial" w:hint="default"/>
                <w:sz w:val="20"/>
                <w:szCs w:val="20"/>
              </w:rPr>
            </w:pPr>
            <w:r>
              <w:rPr>
                <w:rFonts w:ascii="Arial"/>
                <w:sz w:val="20"/>
              </w:rPr>
              <w:t>40%</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54"/>
              <w:jc w:val="right"/>
              <w:rPr>
                <w:rFonts w:ascii="Arial" w:hAnsi="Arial" w:cs="Arial" w:eastAsia="Arial" w:hint="default"/>
                <w:sz w:val="20"/>
                <w:szCs w:val="20"/>
              </w:rPr>
            </w:pPr>
            <w:r>
              <w:rPr>
                <w:rFonts w:ascii="Arial"/>
                <w:spacing w:val="-1"/>
                <w:sz w:val="20"/>
              </w:rPr>
              <w:t>200,000</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33"/>
              <w:jc w:val="right"/>
              <w:rPr>
                <w:rFonts w:ascii="Arial" w:hAnsi="Arial" w:cs="Arial" w:eastAsia="Arial" w:hint="default"/>
                <w:sz w:val="20"/>
                <w:szCs w:val="20"/>
              </w:rPr>
            </w:pPr>
            <w:r>
              <w:rPr>
                <w:rFonts w:ascii="Arial"/>
                <w:spacing w:val="-1"/>
                <w:sz w:val="20"/>
              </w:rPr>
              <w:t>200,000</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401" w:right="0"/>
              <w:jc w:val="left"/>
              <w:rPr>
                <w:rFonts w:ascii="Arial" w:hAnsi="Arial" w:cs="Arial" w:eastAsia="Arial" w:hint="default"/>
                <w:sz w:val="20"/>
                <w:szCs w:val="20"/>
              </w:rPr>
            </w:pPr>
            <w:r>
              <w:rPr>
                <w:rFonts w:ascii="Arial"/>
                <w:sz w:val="20"/>
              </w:rPr>
              <w:t>921,697</w:t>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45"/>
              <w:ind w:left="45" w:right="0"/>
              <w:jc w:val="center"/>
              <w:rPr>
                <w:rFonts w:ascii="Arial" w:hAnsi="Arial" w:cs="Arial" w:eastAsia="Arial" w:hint="default"/>
                <w:sz w:val="20"/>
                <w:szCs w:val="20"/>
              </w:rPr>
            </w:pPr>
            <w:r>
              <w:rPr>
                <w:rFonts w:ascii="Arial"/>
                <w:sz w:val="20"/>
              </w:rPr>
              <w:t>(  </w:t>
            </w:r>
            <w:r>
              <w:rPr>
                <w:rFonts w:ascii="Arial"/>
                <w:spacing w:val="37"/>
                <w:sz w:val="20"/>
              </w:rPr>
              <w:t> </w:t>
            </w:r>
            <w:r>
              <w:rPr>
                <w:rFonts w:ascii="Arial"/>
                <w:sz w:val="20"/>
              </w:rPr>
              <w:t>194,378)</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75"/>
              <w:jc w:val="right"/>
              <w:rPr>
                <w:rFonts w:ascii="Arial" w:hAnsi="Arial" w:cs="Arial" w:eastAsia="Arial" w:hint="default"/>
                <w:sz w:val="20"/>
                <w:szCs w:val="20"/>
              </w:rPr>
            </w:pPr>
            <w:r>
              <w:rPr>
                <w:rFonts w:ascii="Arial"/>
                <w:spacing w:val="-1"/>
                <w:sz w:val="20"/>
              </w:rPr>
              <w:t>727,319</w:t>
            </w:r>
          </w:p>
        </w:tc>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34"/>
              <w:jc w:val="right"/>
              <w:rPr>
                <w:rFonts w:ascii="Arial" w:hAnsi="Arial" w:cs="Arial" w:eastAsia="Arial" w:hint="default"/>
                <w:sz w:val="20"/>
                <w:szCs w:val="20"/>
              </w:rPr>
            </w:pPr>
            <w:r>
              <w:rPr>
                <w:rFonts w:ascii="Arial"/>
                <w:spacing w:val="-1"/>
                <w:sz w:val="20"/>
              </w:rPr>
              <w:t>927,319</w:t>
            </w:r>
          </w:p>
        </w:tc>
      </w:tr>
      <w:tr>
        <w:trPr>
          <w:trHeight w:val="342" w:hRule="exact"/>
        </w:trPr>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6"/>
              <w:ind w:left="35" w:right="0"/>
              <w:jc w:val="left"/>
              <w:rPr>
                <w:rFonts w:ascii="黑体" w:hAnsi="黑体" w:cs="黑体" w:eastAsia="黑体" w:hint="default"/>
                <w:sz w:val="20"/>
                <w:szCs w:val="20"/>
              </w:rPr>
            </w:pPr>
            <w:r>
              <w:rPr>
                <w:rFonts w:ascii="黑体" w:hAnsi="黑体" w:cs="黑体" w:eastAsia="黑体" w:hint="default"/>
                <w:sz w:val="20"/>
                <w:szCs w:val="20"/>
              </w:rPr>
              <w:t>用友审计</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76"/>
              <w:jc w:val="right"/>
              <w:rPr>
                <w:rFonts w:ascii="黑体" w:hAnsi="黑体" w:cs="黑体" w:eastAsia="黑体" w:hint="default"/>
                <w:sz w:val="20"/>
                <w:szCs w:val="20"/>
              </w:rPr>
            </w:pPr>
            <w:r>
              <w:rPr>
                <w:rFonts w:ascii="Arial" w:hAnsi="Arial" w:cs="Arial" w:eastAsia="Arial" w:hint="default"/>
                <w:sz w:val="20"/>
                <w:szCs w:val="20"/>
              </w:rPr>
              <w:t>20</w:t>
            </w:r>
            <w:r>
              <w:rPr>
                <w:rFonts w:ascii="黑体" w:hAnsi="黑体" w:cs="黑体" w:eastAsia="黑体" w:hint="default"/>
                <w:sz w:val="20"/>
                <w:szCs w:val="20"/>
              </w:rPr>
              <w:t>年</w:t>
            </w: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44"/>
              <w:jc w:val="right"/>
              <w:rPr>
                <w:rFonts w:ascii="Arial" w:hAnsi="Arial" w:cs="Arial" w:eastAsia="Arial" w:hint="default"/>
                <w:sz w:val="20"/>
                <w:szCs w:val="20"/>
              </w:rPr>
            </w:pPr>
            <w:r>
              <w:rPr>
                <w:rFonts w:ascii="Arial"/>
                <w:spacing w:val="-1"/>
                <w:sz w:val="20"/>
              </w:rPr>
              <w:t>3,614,458</w:t>
            </w:r>
          </w:p>
        </w:tc>
        <w:tc>
          <w:tcPr>
            <w:tcW w:w="105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35"/>
              <w:jc w:val="right"/>
              <w:rPr>
                <w:rFonts w:ascii="Arial" w:hAnsi="Arial" w:cs="Arial" w:eastAsia="Arial" w:hint="default"/>
                <w:sz w:val="20"/>
                <w:szCs w:val="20"/>
              </w:rPr>
            </w:pPr>
            <w:r>
              <w:rPr>
                <w:rFonts w:ascii="Arial"/>
                <w:spacing w:val="-1"/>
                <w:sz w:val="20"/>
              </w:rPr>
              <w:t>33.2%</w:t>
            </w:r>
            <w:r>
              <w:rPr>
                <w:rFonts w:ascii="Arial"/>
                <w:sz w:val="20"/>
              </w:rPr>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55"/>
              <w:jc w:val="right"/>
              <w:rPr>
                <w:rFonts w:ascii="Arial" w:hAnsi="Arial" w:cs="Arial" w:eastAsia="Arial" w:hint="default"/>
                <w:sz w:val="20"/>
                <w:szCs w:val="20"/>
              </w:rPr>
            </w:pPr>
            <w:r>
              <w:rPr>
                <w:rFonts w:ascii="Arial"/>
                <w:spacing w:val="-1"/>
                <w:sz w:val="20"/>
              </w:rPr>
              <w:t>1,200,000</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32"/>
              <w:jc w:val="right"/>
              <w:rPr>
                <w:rFonts w:ascii="Arial" w:hAnsi="Arial" w:cs="Arial" w:eastAsia="Arial" w:hint="default"/>
                <w:sz w:val="20"/>
                <w:szCs w:val="20"/>
              </w:rPr>
            </w:pPr>
            <w:r>
              <w:rPr>
                <w:rFonts w:ascii="Arial"/>
                <w:w w:val="100"/>
                <w:sz w:val="20"/>
              </w:rPr>
            </w:r>
            <w:r>
              <w:rPr>
                <w:rFonts w:ascii="Arial"/>
                <w:spacing w:val="-1"/>
                <w:sz w:val="20"/>
                <w:u w:val="single" w:color="000000"/>
              </w:rPr>
              <w:t>1,200,000</w:t>
            </w:r>
            <w:r>
              <w:rPr>
                <w:rFonts w:ascii="Arial"/>
                <w:spacing w:val="-1"/>
                <w:sz w:val="20"/>
              </w:rPr>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34" w:right="0"/>
              <w:jc w:val="left"/>
              <w:rPr>
                <w:rFonts w:ascii="Arial" w:hAnsi="Arial" w:cs="Arial" w:eastAsia="Arial" w:hint="default"/>
                <w:sz w:val="20"/>
                <w:szCs w:val="20"/>
              </w:rPr>
            </w:pPr>
            <w:r>
              <w:rPr>
                <w:rFonts w:ascii="Arial"/>
                <w:sz w:val="20"/>
              </w:rPr>
              <w:t>(  </w:t>
            </w:r>
            <w:r>
              <w:rPr>
                <w:rFonts w:ascii="Arial"/>
                <w:spacing w:val="36"/>
                <w:sz w:val="20"/>
              </w:rPr>
              <w:t> </w:t>
            </w:r>
            <w:r>
              <w:rPr>
                <w:rFonts w:ascii="Arial"/>
                <w:spacing w:val="36"/>
                <w:sz w:val="20"/>
                <w:u w:val="single" w:color="000000"/>
              </w:rPr>
              <w:t> </w:t>
            </w:r>
            <w:r>
              <w:rPr>
                <w:rFonts w:ascii="Arial"/>
                <w:sz w:val="20"/>
                <w:u w:val="single" w:color="000000"/>
              </w:rPr>
              <w:t>352,848</w:t>
            </w:r>
            <w:r>
              <w:rPr>
                <w:rFonts w:ascii="Arial"/>
                <w:sz w:val="20"/>
              </w:rPr>
              <w:t>)</w:t>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52"/>
              <w:ind w:left="47" w:right="0"/>
              <w:jc w:val="center"/>
              <w:rPr>
                <w:rFonts w:ascii="Arial" w:hAnsi="Arial" w:cs="Arial" w:eastAsia="Arial" w:hint="default"/>
                <w:sz w:val="20"/>
                <w:szCs w:val="20"/>
              </w:rPr>
            </w:pPr>
            <w:r>
              <w:rPr>
                <w:rFonts w:ascii="Arial"/>
                <w:sz w:val="20"/>
              </w:rPr>
              <w:t>(  </w:t>
            </w:r>
            <w:r>
              <w:rPr>
                <w:rFonts w:ascii="Arial"/>
                <w:spacing w:val="36"/>
                <w:sz w:val="20"/>
              </w:rPr>
              <w:t> </w:t>
            </w:r>
            <w:r>
              <w:rPr>
                <w:rFonts w:ascii="Arial"/>
                <w:spacing w:val="36"/>
                <w:sz w:val="20"/>
                <w:u w:val="single" w:color="000000"/>
              </w:rPr>
              <w:t> </w:t>
            </w:r>
            <w:r>
              <w:rPr>
                <w:rFonts w:ascii="Arial"/>
                <w:sz w:val="20"/>
                <w:u w:val="single" w:color="000000"/>
              </w:rPr>
              <w:t>711,387</w:t>
            </w:r>
            <w:r>
              <w:rPr>
                <w:rFonts w:ascii="Arial"/>
                <w:sz w:val="20"/>
              </w:rPr>
              <w:t>)</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2"/>
              <w:jc w:val="right"/>
              <w:rPr>
                <w:rFonts w:ascii="Arial" w:hAnsi="Arial" w:cs="Arial" w:eastAsia="Arial" w:hint="default"/>
                <w:sz w:val="20"/>
                <w:szCs w:val="20"/>
              </w:rPr>
            </w:pPr>
            <w:r>
              <w:rPr>
                <w:rFonts w:ascii="Arial"/>
                <w:sz w:val="20"/>
              </w:rPr>
              <w:t>(</w:t>
            </w:r>
            <w:r>
              <w:rPr>
                <w:rFonts w:ascii="Arial"/>
                <w:spacing w:val="39"/>
                <w:sz w:val="20"/>
              </w:rPr>
              <w:t> </w:t>
            </w:r>
            <w:r>
              <w:rPr>
                <w:rFonts w:ascii="Arial"/>
                <w:spacing w:val="39"/>
                <w:sz w:val="20"/>
                <w:u w:val="single" w:color="000000"/>
              </w:rPr>
              <w:t> </w:t>
            </w:r>
            <w:r>
              <w:rPr>
                <w:rFonts w:ascii="Arial"/>
                <w:sz w:val="20"/>
                <w:u w:val="single" w:color="000000"/>
              </w:rPr>
              <w:t>1,064,235</w:t>
            </w:r>
            <w:r>
              <w:rPr>
                <w:rFonts w:ascii="Arial"/>
                <w:sz w:val="20"/>
              </w:rPr>
              <w:t>)</w:t>
            </w:r>
          </w:p>
        </w:tc>
        <w:tc>
          <w:tcPr>
            <w:tcW w:w="1163"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52"/>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135,765</w:t>
            </w:r>
            <w:r>
              <w:rPr>
                <w:rFonts w:ascii="Arial"/>
                <w:sz w:val="20"/>
              </w:rPr>
            </w:r>
          </w:p>
        </w:tc>
      </w:tr>
      <w:tr>
        <w:trPr>
          <w:trHeight w:val="365" w:hRule="exact"/>
        </w:trPr>
        <w:tc>
          <w:tcPr>
            <w:tcW w:w="1984" w:type="dxa"/>
            <w:tcBorders>
              <w:top w:val="nil" w:sz="6" w:space="0" w:color="auto"/>
              <w:left w:val="nil" w:sz="6" w:space="0" w:color="auto"/>
              <w:bottom w:val="nil" w:sz="6" w:space="0" w:color="auto"/>
              <w:right w:val="nil" w:sz="6" w:space="0" w:color="auto"/>
            </w:tcBorders>
          </w:tcPr>
          <w:p>
            <w:pPr/>
          </w:p>
        </w:tc>
        <w:tc>
          <w:tcPr>
            <w:tcW w:w="1349"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nil" w:sz="6" w:space="0" w:color="auto"/>
              <w:right w:val="nil" w:sz="6" w:space="0" w:color="auto"/>
            </w:tcBorders>
          </w:tcPr>
          <w:p>
            <w:pPr/>
          </w:p>
        </w:tc>
        <w:tc>
          <w:tcPr>
            <w:tcW w:w="1052" w:type="dxa"/>
            <w:tcBorders>
              <w:top w:val="nil" w:sz="6" w:space="0" w:color="auto"/>
              <w:left w:val="nil" w:sz="6" w:space="0" w:color="auto"/>
              <w:bottom w:val="nil" w:sz="6" w:space="0" w:color="auto"/>
              <w:right w:val="nil" w:sz="6" w:space="0" w:color="auto"/>
            </w:tcBorders>
          </w:tcPr>
          <w:p>
            <w:pPr/>
          </w:p>
        </w:tc>
        <w:tc>
          <w:tcPr>
            <w:tcW w:w="1184"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2"/>
              <w:jc w:val="right"/>
              <w:rPr>
                <w:rFonts w:ascii="Arial" w:hAnsi="Arial" w:cs="Arial" w:eastAsia="Arial" w:hint="default"/>
                <w:sz w:val="20"/>
                <w:szCs w:val="20"/>
              </w:rPr>
            </w:pPr>
            <w:r>
              <w:rPr>
                <w:rFonts w:ascii="Arial"/>
                <w:w w:val="100"/>
                <w:sz w:val="20"/>
              </w:rPr>
            </w:r>
            <w:r>
              <w:rPr>
                <w:rFonts w:ascii="Arial"/>
                <w:spacing w:val="-1"/>
                <w:sz w:val="20"/>
                <w:u w:val="thick" w:color="000000"/>
              </w:rPr>
              <w:t>3,100,000</w:t>
            </w:r>
            <w:r>
              <w:rPr>
                <w:rFonts w:ascii="Arial"/>
                <w:spacing w:val="-1"/>
                <w:sz w:val="20"/>
              </w:rPr>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35" w:right="0"/>
              <w:jc w:val="left"/>
              <w:rPr>
                <w:rFonts w:ascii="Arial" w:hAnsi="Arial" w:cs="Arial" w:eastAsia="Arial" w:hint="default"/>
                <w:sz w:val="20"/>
                <w:szCs w:val="20"/>
              </w:rPr>
            </w:pPr>
            <w:r>
              <w:rPr>
                <w:rFonts w:ascii="Arial"/>
                <w:w w:val="100"/>
                <w:sz w:val="20"/>
              </w:rPr>
            </w:r>
            <w:r>
              <w:rPr>
                <w:rFonts w:ascii="Arial"/>
                <w:sz w:val="20"/>
                <w:u w:val="thick" w:color="000000"/>
              </w:rPr>
              <w:t>8,349,561</w:t>
            </w:r>
            <w:r>
              <w:rPr>
                <w:rFonts w:ascii="Arial"/>
                <w:sz w:val="20"/>
              </w:rPr>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7" w:right="0"/>
              <w:jc w:val="center"/>
              <w:rPr>
                <w:rFonts w:ascii="Arial" w:hAnsi="Arial" w:cs="Arial" w:eastAsia="Arial" w:hint="default"/>
                <w:sz w:val="20"/>
                <w:szCs w:val="20"/>
              </w:rPr>
            </w:pPr>
            <w:r>
              <w:rPr>
                <w:rFonts w:ascii="Arial"/>
                <w:w w:val="100"/>
                <w:sz w:val="20"/>
              </w:rPr>
            </w:r>
            <w:r>
              <w:rPr>
                <w:rFonts w:ascii="Arial"/>
                <w:sz w:val="20"/>
                <w:u w:val="thick" w:color="000000"/>
              </w:rPr>
              <w:t>3,578,802</w:t>
            </w:r>
            <w:r>
              <w:rPr>
                <w:rFonts w:ascii="Arial"/>
                <w:sz w:val="20"/>
              </w:rPr>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74"/>
              <w:jc w:val="right"/>
              <w:rPr>
                <w:rFonts w:ascii="Arial" w:hAnsi="Arial" w:cs="Arial" w:eastAsia="Arial" w:hint="default"/>
                <w:sz w:val="20"/>
                <w:szCs w:val="20"/>
              </w:rPr>
            </w:pPr>
            <w:r>
              <w:rPr>
                <w:rFonts w:ascii="Arial"/>
                <w:w w:val="100"/>
                <w:sz w:val="20"/>
              </w:rPr>
            </w:r>
            <w:r>
              <w:rPr>
                <w:rFonts w:ascii="Arial"/>
                <w:spacing w:val="-1"/>
                <w:sz w:val="20"/>
                <w:u w:val="thick" w:color="000000"/>
              </w:rPr>
              <w:t>11,928,363</w:t>
            </w:r>
            <w:r>
              <w:rPr>
                <w:rFonts w:ascii="Arial"/>
                <w:spacing w:val="-1"/>
                <w:sz w:val="20"/>
              </w:rPr>
            </w:r>
          </w:p>
        </w:tc>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15,028,363</w:t>
            </w:r>
            <w:r>
              <w:rPr>
                <w:rFonts w:ascii="Arial"/>
                <w:spacing w:val="-1"/>
                <w:sz w:val="20"/>
              </w:rPr>
            </w:r>
          </w:p>
        </w:tc>
      </w:tr>
    </w:tbl>
    <w:p>
      <w:pPr>
        <w:spacing w:after="0" w:line="240" w:lineRule="auto"/>
        <w:jc w:val="right"/>
        <w:rPr>
          <w:rFonts w:ascii="Arial" w:hAnsi="Arial" w:cs="Arial" w:eastAsia="Arial" w:hint="default"/>
          <w:sz w:val="20"/>
          <w:szCs w:val="20"/>
        </w:rPr>
        <w:sectPr>
          <w:type w:val="continuous"/>
          <w:pgSz w:w="16840" w:h="11910" w:orient="landscape"/>
          <w:pgMar w:top="900" w:bottom="280" w:left="1020" w:right="980"/>
        </w:sectPr>
      </w:pPr>
    </w:p>
    <w:p>
      <w:pPr>
        <w:spacing w:line="240" w:lineRule="auto" w:before="6"/>
        <w:rPr>
          <w:rFonts w:ascii="Arial" w:hAnsi="Arial" w:cs="Arial" w:eastAsia="Arial" w:hint="default"/>
          <w:sz w:val="20"/>
          <w:szCs w:val="20"/>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6"/>
        <w:rPr>
          <w:rFonts w:ascii="黑体" w:hAnsi="黑体" w:cs="黑体" w:eastAsia="黑体" w:hint="default"/>
          <w:b/>
          <w:bCs/>
          <w:sz w:val="14"/>
          <w:szCs w:val="14"/>
        </w:rPr>
      </w:pPr>
    </w:p>
    <w:tbl>
      <w:tblPr>
        <w:tblW w:w="0" w:type="auto"/>
        <w:jc w:val="left"/>
        <w:tblInd w:w="106" w:type="dxa"/>
        <w:tblLayout w:type="fixed"/>
        <w:tblCellMar>
          <w:top w:w="0" w:type="dxa"/>
          <w:left w:w="0" w:type="dxa"/>
          <w:bottom w:w="0" w:type="dxa"/>
          <w:right w:w="0" w:type="dxa"/>
        </w:tblCellMar>
        <w:tblLook w:val="01E0"/>
      </w:tblPr>
      <w:tblGrid>
        <w:gridCol w:w="2154"/>
        <w:gridCol w:w="1369"/>
        <w:gridCol w:w="1035"/>
        <w:gridCol w:w="1147"/>
        <w:gridCol w:w="1153"/>
        <w:gridCol w:w="211"/>
        <w:gridCol w:w="1258"/>
        <w:gridCol w:w="1292"/>
      </w:tblGrid>
      <w:tr>
        <w:trPr>
          <w:trHeight w:val="1003" w:hRule="exact"/>
        </w:trPr>
        <w:tc>
          <w:tcPr>
            <w:tcW w:w="2154" w:type="dxa"/>
            <w:tcBorders>
              <w:top w:val="nil" w:sz="6" w:space="0" w:color="auto"/>
              <w:left w:val="nil" w:sz="6" w:space="0" w:color="auto"/>
              <w:bottom w:val="nil" w:sz="6" w:space="0" w:color="auto"/>
              <w:right w:val="nil" w:sz="6" w:space="0" w:color="auto"/>
            </w:tcBorders>
          </w:tcPr>
          <w:p>
            <w:pPr>
              <w:pStyle w:val="TableParagraph"/>
              <w:tabs>
                <w:tab w:pos="712" w:val="left" w:leader="none"/>
              </w:tabs>
              <w:spacing w:line="240" w:lineRule="auto" w:before="38"/>
              <w:ind w:left="35" w:right="0"/>
              <w:jc w:val="left"/>
              <w:rPr>
                <w:rFonts w:ascii="黑体" w:hAnsi="黑体" w:cs="黑体" w:eastAsia="黑体" w:hint="default"/>
                <w:sz w:val="20"/>
                <w:szCs w:val="20"/>
              </w:rPr>
            </w:pPr>
            <w:r>
              <w:rPr>
                <w:rFonts w:ascii="Arial" w:hAnsi="Arial" w:cs="Arial" w:eastAsia="Arial" w:hint="default"/>
                <w:b/>
                <w:bCs/>
                <w:spacing w:val="-1"/>
                <w:sz w:val="20"/>
                <w:szCs w:val="20"/>
              </w:rPr>
              <w:t>10.</w:t>
              <w:tab/>
            </w:r>
            <w:r>
              <w:rPr>
                <w:rFonts w:ascii="黑体" w:hAnsi="黑体" w:cs="黑体" w:eastAsia="黑体" w:hint="default"/>
                <w:b/>
                <w:bCs/>
                <w:spacing w:val="1"/>
                <w:sz w:val="20"/>
                <w:szCs w:val="20"/>
              </w:rPr>
              <w:t>固定资产</w:t>
            </w:r>
            <w:r>
              <w:rPr>
                <w:rFonts w:ascii="黑体" w:hAnsi="黑体" w:cs="黑体" w:eastAsia="黑体" w:hint="default"/>
                <w:sz w:val="20"/>
                <w:szCs w:val="20"/>
              </w:rPr>
            </w:r>
          </w:p>
          <w:p>
            <w:pPr>
              <w:pStyle w:val="TableParagraph"/>
              <w:spacing w:line="240" w:lineRule="auto" w:before="10"/>
              <w:ind w:right="0"/>
              <w:jc w:val="left"/>
              <w:rPr>
                <w:rFonts w:ascii="黑体" w:hAnsi="黑体" w:cs="黑体" w:eastAsia="黑体" w:hint="default"/>
                <w:b/>
                <w:bCs/>
                <w:sz w:val="17"/>
                <w:szCs w:val="17"/>
              </w:rPr>
            </w:pPr>
          </w:p>
          <w:p>
            <w:pPr>
              <w:pStyle w:val="TableParagraph"/>
              <w:spacing w:line="240" w:lineRule="auto"/>
              <w:ind w:right="7"/>
              <w:jc w:val="center"/>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7465" w:type="dxa"/>
            <w:gridSpan w:val="7"/>
            <w:tcBorders>
              <w:top w:val="nil" w:sz="6" w:space="0" w:color="auto"/>
              <w:left w:val="nil" w:sz="6" w:space="0" w:color="auto"/>
              <w:bottom w:val="nil" w:sz="6" w:space="0" w:color="auto"/>
              <w:right w:val="nil" w:sz="6" w:space="0" w:color="auto"/>
            </w:tcBorders>
          </w:tcPr>
          <w:p>
            <w:pPr/>
          </w:p>
        </w:tc>
      </w:tr>
      <w:tr>
        <w:trPr>
          <w:trHeight w:val="424" w:hRule="exact"/>
        </w:trPr>
        <w:tc>
          <w:tcPr>
            <w:tcW w:w="2154"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27"/>
              <w:jc w:val="right"/>
              <w:rPr>
                <w:rFonts w:ascii="黑体" w:hAnsi="黑体" w:cs="黑体" w:eastAsia="黑体" w:hint="default"/>
                <w:sz w:val="20"/>
                <w:szCs w:val="20"/>
              </w:rPr>
            </w:pPr>
            <w:r>
              <w:rPr>
                <w:rFonts w:ascii="黑体" w:hAnsi="黑体" w:cs="黑体" w:eastAsia="黑体" w:hint="default"/>
                <w:sz w:val="20"/>
                <w:szCs w:val="20"/>
              </w:rPr>
              <w:t>年初数</w:t>
            </w:r>
          </w:p>
        </w:tc>
        <w:tc>
          <w:tcPr>
            <w:tcW w:w="1035" w:type="dxa"/>
            <w:tcBorders>
              <w:top w:val="nil" w:sz="6" w:space="0" w:color="auto"/>
              <w:left w:val="nil" w:sz="6" w:space="0" w:color="auto"/>
              <w:bottom w:val="single" w:sz="4" w:space="0" w:color="000000"/>
              <w:right w:val="nil" w:sz="6" w:space="0" w:color="auto"/>
            </w:tcBorders>
          </w:tcPr>
          <w:p>
            <w:pPr/>
          </w:p>
        </w:tc>
        <w:tc>
          <w:tcPr>
            <w:tcW w:w="1147" w:type="dxa"/>
            <w:tcBorders>
              <w:top w:val="nil" w:sz="6" w:space="0" w:color="auto"/>
              <w:left w:val="nil" w:sz="6" w:space="0" w:color="auto"/>
              <w:bottom w:val="single" w:sz="4" w:space="0" w:color="000000"/>
              <w:right w:val="nil" w:sz="6" w:space="0" w:color="auto"/>
            </w:tcBorders>
          </w:tcPr>
          <w:p>
            <w:pPr>
              <w:pStyle w:val="TableParagraph"/>
              <w:spacing w:line="240" w:lineRule="auto" w:before="124"/>
              <w:ind w:right="151"/>
              <w:jc w:val="right"/>
              <w:rPr>
                <w:rFonts w:ascii="黑体" w:hAnsi="黑体" w:cs="黑体" w:eastAsia="黑体" w:hint="default"/>
                <w:sz w:val="20"/>
                <w:szCs w:val="20"/>
              </w:rPr>
            </w:pPr>
            <w:r>
              <w:rPr>
                <w:rFonts w:ascii="黑体" w:hAnsi="黑体" w:cs="黑体" w:eastAsia="黑体" w:hint="default"/>
                <w:sz w:val="20"/>
                <w:szCs w:val="20"/>
              </w:rPr>
              <w:t>本年增加</w:t>
            </w:r>
          </w:p>
        </w:tc>
        <w:tc>
          <w:tcPr>
            <w:tcW w:w="1153" w:type="dxa"/>
            <w:tcBorders>
              <w:top w:val="nil" w:sz="6" w:space="0" w:color="auto"/>
              <w:left w:val="nil" w:sz="6" w:space="0" w:color="auto"/>
              <w:bottom w:val="single" w:sz="4" w:space="0" w:color="000000"/>
              <w:right w:val="nil" w:sz="6" w:space="0" w:color="auto"/>
            </w:tcBorders>
          </w:tcPr>
          <w:p>
            <w:pP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4"/>
              <w:ind w:left="539" w:right="0"/>
              <w:jc w:val="left"/>
              <w:rPr>
                <w:rFonts w:ascii="黑体" w:hAnsi="黑体" w:cs="黑体" w:eastAsia="黑体" w:hint="default"/>
                <w:sz w:val="20"/>
                <w:szCs w:val="20"/>
              </w:rPr>
            </w:pPr>
            <w:r>
              <w:rPr>
                <w:rFonts w:ascii="黑体" w:hAnsi="黑体" w:cs="黑体" w:eastAsia="黑体" w:hint="default"/>
                <w:sz w:val="20"/>
                <w:szCs w:val="20"/>
              </w:rPr>
              <w:t>本年减少</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33"/>
              <w:jc w:val="right"/>
              <w:rPr>
                <w:rFonts w:ascii="黑体" w:hAnsi="黑体" w:cs="黑体" w:eastAsia="黑体" w:hint="default"/>
                <w:sz w:val="20"/>
                <w:szCs w:val="20"/>
              </w:rPr>
            </w:pPr>
            <w:r>
              <w:rPr>
                <w:rFonts w:ascii="黑体" w:hAnsi="黑体" w:cs="黑体" w:eastAsia="黑体" w:hint="default"/>
                <w:sz w:val="20"/>
                <w:szCs w:val="20"/>
              </w:rPr>
              <w:t>年末数</w:t>
            </w:r>
          </w:p>
        </w:tc>
      </w:tr>
      <w:tr>
        <w:trPr>
          <w:trHeight w:val="262" w:hRule="exact"/>
        </w:trPr>
        <w:tc>
          <w:tcPr>
            <w:tcW w:w="2154"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
        </w:tc>
        <w:tc>
          <w:tcPr>
            <w:tcW w:w="1035" w:type="dxa"/>
            <w:tcBorders>
              <w:top w:val="single" w:sz="4" w:space="0" w:color="000000"/>
              <w:left w:val="nil" w:sz="6" w:space="0" w:color="auto"/>
              <w:bottom w:val="nil" w:sz="6" w:space="0" w:color="auto"/>
              <w:right w:val="nil" w:sz="6" w:space="0" w:color="auto"/>
            </w:tcBorders>
          </w:tcPr>
          <w:p>
            <w:pPr/>
          </w:p>
        </w:tc>
        <w:tc>
          <w:tcPr>
            <w:tcW w:w="1147" w:type="dxa"/>
            <w:tcBorders>
              <w:top w:val="single" w:sz="4" w:space="0" w:color="000000"/>
              <w:left w:val="nil" w:sz="6" w:space="0" w:color="auto"/>
              <w:bottom w:val="nil" w:sz="6" w:space="0" w:color="auto"/>
              <w:right w:val="nil" w:sz="6" w:space="0" w:color="auto"/>
            </w:tcBorders>
          </w:tcPr>
          <w:p>
            <w:pPr>
              <w:pStyle w:val="TableParagraph"/>
              <w:spacing w:line="227" w:lineRule="exact"/>
              <w:ind w:right="135"/>
              <w:jc w:val="right"/>
              <w:rPr>
                <w:rFonts w:ascii="黑体" w:hAnsi="黑体" w:cs="黑体" w:eastAsia="黑体" w:hint="default"/>
                <w:sz w:val="20"/>
                <w:szCs w:val="20"/>
              </w:rPr>
            </w:pPr>
            <w:r>
              <w:rPr>
                <w:rFonts w:ascii="黑体" w:hAnsi="黑体" w:cs="黑体" w:eastAsia="黑体" w:hint="default"/>
                <w:sz w:val="20"/>
                <w:szCs w:val="20"/>
              </w:rPr>
              <w:t>在建工程</w:t>
            </w:r>
          </w:p>
        </w:tc>
        <w:tc>
          <w:tcPr>
            <w:tcW w:w="1153" w:type="dxa"/>
            <w:tcBorders>
              <w:top w:val="single" w:sz="4" w:space="0" w:color="000000"/>
              <w:left w:val="nil" w:sz="6" w:space="0" w:color="auto"/>
              <w:bottom w:val="nil" w:sz="6" w:space="0" w:color="auto"/>
              <w:right w:val="nil" w:sz="6" w:space="0" w:color="auto"/>
            </w:tcBorders>
          </w:tcPr>
          <w:p>
            <w:pPr/>
          </w:p>
        </w:tc>
        <w:tc>
          <w:tcPr>
            <w:tcW w:w="1469" w:type="dxa"/>
            <w:gridSpan w:val="2"/>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nil" w:sz="6" w:space="0" w:color="auto"/>
            </w:tcBorders>
          </w:tcPr>
          <w:p>
            <w:pPr/>
          </w:p>
        </w:tc>
      </w:tr>
      <w:tr>
        <w:trPr>
          <w:trHeight w:val="517" w:hRule="exact"/>
        </w:trPr>
        <w:tc>
          <w:tcPr>
            <w:tcW w:w="2154"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
        </w:tc>
        <w:tc>
          <w:tcPr>
            <w:tcW w:w="1035" w:type="dxa"/>
            <w:tcBorders>
              <w:top w:val="nil" w:sz="6" w:space="0" w:color="auto"/>
              <w:left w:val="nil" w:sz="6" w:space="0" w:color="auto"/>
              <w:bottom w:val="nil" w:sz="6" w:space="0" w:color="auto"/>
              <w:right w:val="nil" w:sz="6" w:space="0" w:color="auto"/>
            </w:tcBorders>
          </w:tcPr>
          <w:p>
            <w:pPr>
              <w:pStyle w:val="TableParagraph"/>
              <w:spacing w:line="230" w:lineRule="exact"/>
              <w:ind w:right="116"/>
              <w:jc w:val="right"/>
              <w:rPr>
                <w:rFonts w:ascii="黑体" w:hAnsi="黑体" w:cs="黑体" w:eastAsia="黑体" w:hint="default"/>
                <w:sz w:val="20"/>
                <w:szCs w:val="20"/>
              </w:rPr>
            </w:pPr>
            <w:r>
              <w:rPr>
                <w:rFonts w:ascii="黑体" w:hAnsi="黑体" w:cs="黑体" w:eastAsia="黑体" w:hint="default"/>
                <w:sz w:val="20"/>
                <w:szCs w:val="20"/>
              </w:rPr>
              <w:t>收购</w:t>
            </w:r>
          </w:p>
        </w:tc>
        <w:tc>
          <w:tcPr>
            <w:tcW w:w="1147" w:type="dxa"/>
            <w:tcBorders>
              <w:top w:val="nil" w:sz="6" w:space="0" w:color="auto"/>
              <w:left w:val="nil" w:sz="6" w:space="0" w:color="auto"/>
              <w:bottom w:val="nil" w:sz="6" w:space="0" w:color="auto"/>
              <w:right w:val="nil" w:sz="6" w:space="0" w:color="auto"/>
            </w:tcBorders>
          </w:tcPr>
          <w:p>
            <w:pPr>
              <w:pStyle w:val="TableParagraph"/>
              <w:spacing w:line="230" w:lineRule="exact"/>
              <w:ind w:right="135"/>
              <w:jc w:val="right"/>
              <w:rPr>
                <w:rFonts w:ascii="黑体" w:hAnsi="黑体" w:cs="黑体" w:eastAsia="黑体" w:hint="default"/>
                <w:sz w:val="20"/>
                <w:szCs w:val="20"/>
              </w:rPr>
            </w:pPr>
            <w:r>
              <w:rPr>
                <w:rFonts w:ascii="黑体" w:hAnsi="黑体" w:cs="黑体" w:eastAsia="黑体" w:hint="default"/>
                <w:sz w:val="20"/>
                <w:szCs w:val="20"/>
              </w:rPr>
              <w:t>转入增加</w:t>
            </w:r>
          </w:p>
        </w:tc>
        <w:tc>
          <w:tcPr>
            <w:tcW w:w="1153" w:type="dxa"/>
            <w:tcBorders>
              <w:top w:val="nil" w:sz="6" w:space="0" w:color="auto"/>
              <w:left w:val="nil" w:sz="6" w:space="0" w:color="auto"/>
              <w:bottom w:val="nil" w:sz="6" w:space="0" w:color="auto"/>
              <w:right w:val="nil" w:sz="6" w:space="0" w:color="auto"/>
            </w:tcBorders>
          </w:tcPr>
          <w:p>
            <w:pPr>
              <w:pStyle w:val="TableParagraph"/>
              <w:spacing w:line="230" w:lineRule="exact"/>
              <w:ind w:right="0"/>
              <w:jc w:val="right"/>
              <w:rPr>
                <w:rFonts w:ascii="黑体" w:hAnsi="黑体" w:cs="黑体" w:eastAsia="黑体" w:hint="default"/>
                <w:sz w:val="20"/>
                <w:szCs w:val="20"/>
              </w:rPr>
            </w:pPr>
            <w:r>
              <w:rPr>
                <w:rFonts w:ascii="黑体" w:hAnsi="黑体" w:cs="黑体" w:eastAsia="黑体" w:hint="default"/>
                <w:sz w:val="20"/>
                <w:szCs w:val="20"/>
              </w:rPr>
              <w:t>其他增加</w:t>
            </w:r>
          </w:p>
        </w:tc>
        <w:tc>
          <w:tcPr>
            <w:tcW w:w="1469" w:type="dxa"/>
            <w:gridSpan w:val="2"/>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nil" w:sz="6" w:space="0" w:color="auto"/>
            </w:tcBorders>
          </w:tcPr>
          <w:p>
            <w:pPr/>
          </w:p>
        </w:tc>
      </w:tr>
      <w:tr>
        <w:trPr>
          <w:trHeight w:val="520"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b/>
                <w:bCs/>
                <w:sz w:val="17"/>
                <w:szCs w:val="17"/>
              </w:rPr>
            </w:pPr>
          </w:p>
          <w:p>
            <w:pPr>
              <w:pStyle w:val="TableParagraph"/>
              <w:spacing w:line="240" w:lineRule="auto"/>
              <w:ind w:left="726" w:right="0"/>
              <w:jc w:val="left"/>
              <w:rPr>
                <w:rFonts w:ascii="黑体" w:hAnsi="黑体" w:cs="黑体" w:eastAsia="黑体" w:hint="default"/>
                <w:sz w:val="20"/>
                <w:szCs w:val="20"/>
              </w:rPr>
            </w:pPr>
            <w:r>
              <w:rPr>
                <w:rFonts w:ascii="黑体" w:hAnsi="黑体" w:cs="黑体" w:eastAsia="黑体" w:hint="default"/>
                <w:sz w:val="20"/>
                <w:szCs w:val="20"/>
              </w:rPr>
              <w:t>房屋及建筑物</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b/>
                <w:bCs/>
                <w:sz w:val="20"/>
                <w:szCs w:val="20"/>
              </w:rPr>
            </w:pPr>
          </w:p>
          <w:p>
            <w:pPr>
              <w:pStyle w:val="TableParagraph"/>
              <w:spacing w:line="240" w:lineRule="auto"/>
              <w:ind w:right="226"/>
              <w:jc w:val="right"/>
              <w:rPr>
                <w:rFonts w:ascii="Arial" w:hAnsi="Arial" w:cs="Arial" w:eastAsia="Arial" w:hint="default"/>
                <w:sz w:val="20"/>
                <w:szCs w:val="20"/>
              </w:rPr>
            </w:pPr>
            <w:r>
              <w:rPr>
                <w:rFonts w:ascii="Arial"/>
                <w:spacing w:val="-1"/>
                <w:sz w:val="20"/>
              </w:rPr>
              <w:t>372,530,152</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b/>
                <w:bCs/>
                <w:sz w:val="20"/>
                <w:szCs w:val="20"/>
              </w:rPr>
            </w:pPr>
          </w:p>
          <w:p>
            <w:pPr>
              <w:pStyle w:val="TableParagraph"/>
              <w:spacing w:line="240" w:lineRule="auto"/>
              <w:ind w:right="116"/>
              <w:jc w:val="right"/>
              <w:rPr>
                <w:rFonts w:ascii="Arial" w:hAnsi="Arial" w:cs="Arial" w:eastAsia="Arial" w:hint="default"/>
                <w:sz w:val="20"/>
                <w:szCs w:val="20"/>
              </w:rPr>
            </w:pPr>
            <w:r>
              <w:rPr>
                <w:rFonts w:ascii="Arial"/>
                <w:w w:val="100"/>
                <w:sz w:val="20"/>
              </w:rPr>
              <w:t>-</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b/>
                <w:bCs/>
                <w:sz w:val="20"/>
                <w:szCs w:val="20"/>
              </w:rPr>
            </w:pPr>
          </w:p>
          <w:p>
            <w:pPr>
              <w:pStyle w:val="TableParagraph"/>
              <w:spacing w:line="240" w:lineRule="auto"/>
              <w:ind w:right="135"/>
              <w:jc w:val="right"/>
              <w:rPr>
                <w:rFonts w:ascii="Arial" w:hAnsi="Arial" w:cs="Arial" w:eastAsia="Arial" w:hint="default"/>
                <w:sz w:val="20"/>
                <w:szCs w:val="20"/>
              </w:rPr>
            </w:pPr>
            <w:r>
              <w:rPr>
                <w:rFonts w:ascii="Arial"/>
                <w:spacing w:val="-1"/>
                <w:sz w:val="20"/>
              </w:rPr>
              <w:t>2,283,966</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b/>
                <w:bCs/>
                <w:sz w:val="20"/>
                <w:szCs w:val="20"/>
              </w:rPr>
            </w:pPr>
          </w:p>
          <w:p>
            <w:pPr>
              <w:pStyle w:val="TableParagraph"/>
              <w:spacing w:line="240" w:lineRule="auto"/>
              <w:ind w:right="0"/>
              <w:jc w:val="right"/>
              <w:rPr>
                <w:rFonts w:ascii="Arial" w:hAnsi="Arial" w:cs="Arial" w:eastAsia="Arial" w:hint="default"/>
                <w:sz w:val="20"/>
                <w:szCs w:val="20"/>
              </w:rPr>
            </w:pPr>
            <w:r>
              <w:rPr>
                <w:rFonts w:ascii="Arial"/>
                <w:spacing w:val="-1"/>
                <w:sz w:val="20"/>
              </w:rPr>
              <w:t>572,789</w:t>
            </w: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b/>
                <w:bCs/>
                <w:sz w:val="20"/>
                <w:szCs w:val="20"/>
              </w:rPr>
            </w:pPr>
          </w:p>
          <w:p>
            <w:pPr>
              <w:pStyle w:val="TableParagraph"/>
              <w:spacing w:line="240" w:lineRule="auto"/>
              <w:ind w:left="618" w:right="0"/>
              <w:jc w:val="left"/>
              <w:rPr>
                <w:rFonts w:ascii="Arial" w:hAnsi="Arial" w:cs="Arial" w:eastAsia="Arial" w:hint="default"/>
                <w:sz w:val="20"/>
                <w:szCs w:val="20"/>
              </w:rPr>
            </w:pPr>
            <w:r>
              <w:rPr>
                <w:rFonts w:ascii="Arial"/>
                <w:sz w:val="20"/>
              </w:rPr>
              <w:t>683,787</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b/>
                <w:bCs/>
                <w:sz w:val="20"/>
                <w:szCs w:val="20"/>
              </w:rPr>
            </w:pPr>
          </w:p>
          <w:p>
            <w:pPr>
              <w:pStyle w:val="TableParagraph"/>
              <w:spacing w:line="240" w:lineRule="auto"/>
              <w:ind w:right="48"/>
              <w:jc w:val="right"/>
              <w:rPr>
                <w:rFonts w:ascii="Arial" w:hAnsi="Arial" w:cs="Arial" w:eastAsia="Arial" w:hint="default"/>
                <w:sz w:val="20"/>
                <w:szCs w:val="20"/>
              </w:rPr>
            </w:pPr>
            <w:r>
              <w:rPr>
                <w:rFonts w:ascii="Arial"/>
                <w:spacing w:val="-1"/>
                <w:sz w:val="20"/>
              </w:rPr>
              <w:t>374,703,120</w:t>
            </w:r>
          </w:p>
        </w:tc>
      </w:tr>
      <w:tr>
        <w:trPr>
          <w:trHeight w:val="259"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26" w:lineRule="exact"/>
              <w:ind w:left="726" w:right="0"/>
              <w:jc w:val="left"/>
              <w:rPr>
                <w:rFonts w:ascii="黑体" w:hAnsi="黑体" w:cs="黑体" w:eastAsia="黑体" w:hint="default"/>
                <w:sz w:val="20"/>
                <w:szCs w:val="20"/>
              </w:rPr>
            </w:pPr>
            <w:r>
              <w:rPr>
                <w:rFonts w:ascii="黑体" w:hAnsi="黑体" w:cs="黑体" w:eastAsia="黑体" w:hint="default"/>
                <w:sz w:val="20"/>
                <w:szCs w:val="20"/>
              </w:rPr>
              <w:t>机器设备</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7"/>
              <w:jc w:val="right"/>
              <w:rPr>
                <w:rFonts w:ascii="Arial" w:hAnsi="Arial" w:cs="Arial" w:eastAsia="Arial" w:hint="default"/>
                <w:sz w:val="20"/>
                <w:szCs w:val="20"/>
              </w:rPr>
            </w:pPr>
            <w:r>
              <w:rPr>
                <w:rFonts w:ascii="Arial"/>
                <w:spacing w:val="-1"/>
                <w:sz w:val="20"/>
              </w:rPr>
              <w:t>69,769,952</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17"/>
              <w:jc w:val="right"/>
              <w:rPr>
                <w:rFonts w:ascii="Arial" w:hAnsi="Arial" w:cs="Arial" w:eastAsia="Arial" w:hint="default"/>
                <w:sz w:val="20"/>
                <w:szCs w:val="20"/>
              </w:rPr>
            </w:pPr>
            <w:r>
              <w:rPr>
                <w:rFonts w:ascii="Arial"/>
                <w:w w:val="100"/>
                <w:sz w:val="20"/>
              </w:rPr>
              <w:t>-</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36"/>
              <w:jc w:val="right"/>
              <w:rPr>
                <w:rFonts w:ascii="Arial" w:hAnsi="Arial" w:cs="Arial" w:eastAsia="Arial" w:hint="default"/>
                <w:sz w:val="20"/>
                <w:szCs w:val="20"/>
              </w:rPr>
            </w:pPr>
            <w:r>
              <w:rPr>
                <w:rFonts w:ascii="Arial"/>
                <w:w w:val="100"/>
                <w:sz w:val="20"/>
              </w:rPr>
              <w:t>-</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
              <w:jc w:val="right"/>
              <w:rPr>
                <w:rFonts w:ascii="Arial" w:hAnsi="Arial" w:cs="Arial" w:eastAsia="Arial" w:hint="default"/>
                <w:sz w:val="20"/>
                <w:szCs w:val="20"/>
              </w:rPr>
            </w:pPr>
            <w:r>
              <w:rPr>
                <w:rFonts w:ascii="Arial"/>
                <w:spacing w:val="-1"/>
                <w:sz w:val="20"/>
              </w:rPr>
              <w:t>3,500</w:t>
            </w:r>
            <w:r>
              <w:rPr>
                <w:rFonts w:ascii="Arial"/>
                <w:sz w:val="20"/>
              </w:rPr>
            </w: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126"/>
              <w:jc w:val="right"/>
              <w:rPr>
                <w:rFonts w:ascii="Arial" w:hAnsi="Arial" w:cs="Arial" w:eastAsia="Arial" w:hint="default"/>
                <w:sz w:val="20"/>
                <w:szCs w:val="20"/>
              </w:rPr>
            </w:pPr>
            <w:r>
              <w:rPr>
                <w:rFonts w:ascii="Arial"/>
                <w:w w:val="100"/>
                <w:sz w:val="20"/>
              </w:rPr>
              <w:t>-</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0"/>
              <w:jc w:val="right"/>
              <w:rPr>
                <w:rFonts w:ascii="Arial" w:hAnsi="Arial" w:cs="Arial" w:eastAsia="Arial" w:hint="default"/>
                <w:sz w:val="20"/>
                <w:szCs w:val="20"/>
              </w:rPr>
            </w:pPr>
            <w:r>
              <w:rPr>
                <w:rFonts w:ascii="Arial"/>
                <w:spacing w:val="-1"/>
                <w:sz w:val="20"/>
              </w:rPr>
              <w:t>69,773,452</w:t>
            </w:r>
          </w:p>
        </w:tc>
      </w:tr>
      <w:tr>
        <w:trPr>
          <w:trHeight w:val="259"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26" w:lineRule="exact"/>
              <w:ind w:left="726" w:right="0"/>
              <w:jc w:val="left"/>
              <w:rPr>
                <w:rFonts w:ascii="黑体" w:hAnsi="黑体" w:cs="黑体" w:eastAsia="黑体" w:hint="default"/>
                <w:sz w:val="20"/>
                <w:szCs w:val="20"/>
              </w:rPr>
            </w:pPr>
            <w:r>
              <w:rPr>
                <w:rFonts w:ascii="黑体" w:hAnsi="黑体" w:cs="黑体" w:eastAsia="黑体" w:hint="default"/>
                <w:sz w:val="20"/>
                <w:szCs w:val="20"/>
              </w:rPr>
              <w:t>运输工具</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7"/>
              <w:jc w:val="right"/>
              <w:rPr>
                <w:rFonts w:ascii="Arial" w:hAnsi="Arial" w:cs="Arial" w:eastAsia="Arial" w:hint="default"/>
                <w:sz w:val="20"/>
                <w:szCs w:val="20"/>
              </w:rPr>
            </w:pPr>
            <w:r>
              <w:rPr>
                <w:rFonts w:ascii="Arial"/>
                <w:spacing w:val="-1"/>
                <w:sz w:val="20"/>
              </w:rPr>
              <w:t>22,467,725</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16"/>
              <w:jc w:val="right"/>
              <w:rPr>
                <w:rFonts w:ascii="Arial" w:hAnsi="Arial" w:cs="Arial" w:eastAsia="Arial" w:hint="default"/>
                <w:sz w:val="20"/>
                <w:szCs w:val="20"/>
              </w:rPr>
            </w:pPr>
            <w:r>
              <w:rPr>
                <w:rFonts w:ascii="Arial"/>
                <w:spacing w:val="-1"/>
                <w:sz w:val="20"/>
              </w:rPr>
              <w:t>103,677</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36"/>
              <w:jc w:val="right"/>
              <w:rPr>
                <w:rFonts w:ascii="Arial" w:hAnsi="Arial" w:cs="Arial" w:eastAsia="Arial" w:hint="default"/>
                <w:sz w:val="20"/>
                <w:szCs w:val="20"/>
              </w:rPr>
            </w:pPr>
            <w:r>
              <w:rPr>
                <w:rFonts w:ascii="Arial"/>
                <w:w w:val="100"/>
                <w:sz w:val="20"/>
              </w:rPr>
              <w:t>-</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right"/>
              <w:rPr>
                <w:rFonts w:ascii="Arial" w:hAnsi="Arial" w:cs="Arial" w:eastAsia="Arial" w:hint="default"/>
                <w:sz w:val="20"/>
                <w:szCs w:val="20"/>
              </w:rPr>
            </w:pPr>
            <w:r>
              <w:rPr>
                <w:rFonts w:ascii="Arial"/>
                <w:spacing w:val="-1"/>
                <w:sz w:val="20"/>
              </w:rPr>
              <w:t>5,161,687</w:t>
            </w: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left="451" w:right="0"/>
              <w:jc w:val="left"/>
              <w:rPr>
                <w:rFonts w:ascii="Arial" w:hAnsi="Arial" w:cs="Arial" w:eastAsia="Arial" w:hint="default"/>
                <w:sz w:val="20"/>
                <w:szCs w:val="20"/>
              </w:rPr>
            </w:pPr>
            <w:r>
              <w:rPr>
                <w:rFonts w:ascii="Arial"/>
                <w:sz w:val="20"/>
              </w:rPr>
              <w:t>1,455,811</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0"/>
              <w:jc w:val="right"/>
              <w:rPr>
                <w:rFonts w:ascii="Arial" w:hAnsi="Arial" w:cs="Arial" w:eastAsia="Arial" w:hint="default"/>
                <w:sz w:val="20"/>
                <w:szCs w:val="20"/>
              </w:rPr>
            </w:pPr>
            <w:r>
              <w:rPr>
                <w:rFonts w:ascii="Arial"/>
                <w:spacing w:val="-1"/>
                <w:sz w:val="20"/>
              </w:rPr>
              <w:t>26,277,278</w:t>
            </w:r>
          </w:p>
        </w:tc>
      </w:tr>
      <w:tr>
        <w:trPr>
          <w:trHeight w:val="261"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26" w:lineRule="exact"/>
              <w:ind w:left="726" w:right="0"/>
              <w:jc w:val="left"/>
              <w:rPr>
                <w:rFonts w:ascii="黑体" w:hAnsi="黑体" w:cs="黑体" w:eastAsia="黑体" w:hint="default"/>
                <w:sz w:val="20"/>
                <w:szCs w:val="20"/>
              </w:rPr>
            </w:pPr>
            <w:r>
              <w:rPr>
                <w:rFonts w:ascii="黑体" w:hAnsi="黑体" w:cs="黑体" w:eastAsia="黑体" w:hint="default"/>
                <w:sz w:val="20"/>
                <w:szCs w:val="20"/>
              </w:rPr>
              <w:t>办公及电子设备</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6"/>
              <w:jc w:val="right"/>
              <w:rPr>
                <w:rFonts w:ascii="Arial" w:hAnsi="Arial" w:cs="Arial" w:eastAsia="Arial" w:hint="default"/>
                <w:sz w:val="20"/>
                <w:szCs w:val="20"/>
              </w:rPr>
            </w:pPr>
            <w:r>
              <w:rPr>
                <w:rFonts w:ascii="Arial"/>
                <w:w w:val="100"/>
                <w:sz w:val="20"/>
              </w:rPr>
            </w:r>
            <w:r>
              <w:rPr>
                <w:rFonts w:ascii="Arial"/>
                <w:spacing w:val="-1"/>
                <w:sz w:val="20"/>
                <w:u w:val="single" w:color="000000"/>
              </w:rPr>
              <w:t>135,639,258</w:t>
            </w:r>
            <w:r>
              <w:rPr>
                <w:rFonts w:ascii="Arial"/>
                <w:spacing w:val="-1"/>
                <w:sz w:val="20"/>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1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3"/>
                <w:sz w:val="20"/>
                <w:u w:val="single" w:color="000000"/>
              </w:rPr>
              <w:t> </w:t>
            </w:r>
            <w:r>
              <w:rPr>
                <w:rFonts w:ascii="Arial"/>
                <w:spacing w:val="-1"/>
                <w:sz w:val="20"/>
                <w:u w:val="single" w:color="000000"/>
              </w:rPr>
              <w:t>996,343</w:t>
            </w:r>
            <w:r>
              <w:rPr>
                <w:rFonts w:ascii="Arial"/>
                <w:spacing w:val="-1"/>
                <w:sz w:val="20"/>
              </w:rPr>
            </w:r>
          </w:p>
        </w:tc>
        <w:tc>
          <w:tcPr>
            <w:tcW w:w="1147"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13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right"/>
              <w:rPr>
                <w:rFonts w:ascii="Arial" w:hAnsi="Arial" w:cs="Arial" w:eastAsia="Arial" w:hint="default"/>
                <w:sz w:val="20"/>
                <w:szCs w:val="20"/>
              </w:rPr>
            </w:pPr>
            <w:r>
              <w:rPr>
                <w:rFonts w:ascii="Arial"/>
                <w:w w:val="100"/>
                <w:sz w:val="20"/>
              </w:rPr>
            </w:r>
            <w:r>
              <w:rPr>
                <w:rFonts w:ascii="Arial"/>
                <w:spacing w:val="-1"/>
                <w:sz w:val="20"/>
                <w:u w:val="single" w:color="000000"/>
              </w:rPr>
              <w:t>23,478,299</w:t>
            </w:r>
            <w:r>
              <w:rPr>
                <w:rFonts w:ascii="Arial"/>
                <w:spacing w:val="-1"/>
                <w:sz w:val="20"/>
              </w:rPr>
            </w: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left="339" w:right="0"/>
              <w:jc w:val="left"/>
              <w:rPr>
                <w:rFonts w:ascii="Arial" w:hAnsi="Arial" w:cs="Arial" w:eastAsia="Arial" w:hint="default"/>
                <w:sz w:val="20"/>
                <w:szCs w:val="20"/>
              </w:rPr>
            </w:pPr>
            <w:r>
              <w:rPr>
                <w:rFonts w:ascii="Arial"/>
                <w:w w:val="100"/>
                <w:sz w:val="20"/>
              </w:rPr>
            </w:r>
            <w:r>
              <w:rPr>
                <w:rFonts w:ascii="Arial"/>
                <w:sz w:val="20"/>
                <w:u w:val="single" w:color="000000"/>
              </w:rPr>
              <w:t>11,280,361</w:t>
            </w:r>
            <w:r>
              <w:rPr>
                <w:rFonts w:ascii="Arial"/>
                <w:sz w:val="20"/>
              </w:rPr>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8"/>
              <w:jc w:val="right"/>
              <w:rPr>
                <w:rFonts w:ascii="Arial" w:hAnsi="Arial" w:cs="Arial" w:eastAsia="Arial" w:hint="default"/>
                <w:sz w:val="20"/>
                <w:szCs w:val="20"/>
              </w:rPr>
            </w:pPr>
            <w:r>
              <w:rPr>
                <w:rFonts w:ascii="Arial"/>
                <w:w w:val="100"/>
                <w:sz w:val="20"/>
              </w:rPr>
            </w:r>
            <w:r>
              <w:rPr>
                <w:rFonts w:ascii="Arial"/>
                <w:spacing w:val="-1"/>
                <w:sz w:val="20"/>
                <w:u w:val="single" w:color="000000"/>
              </w:rPr>
              <w:t>148,833,539</w:t>
            </w:r>
            <w:r>
              <w:rPr>
                <w:rFonts w:ascii="Arial"/>
                <w:spacing w:val="-1"/>
                <w:sz w:val="20"/>
              </w:rPr>
            </w:r>
          </w:p>
        </w:tc>
      </w:tr>
      <w:tr>
        <w:trPr>
          <w:trHeight w:val="381" w:hRule="exact"/>
        </w:trPr>
        <w:tc>
          <w:tcPr>
            <w:tcW w:w="2154"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26"/>
              <w:jc w:val="right"/>
              <w:rPr>
                <w:rFonts w:ascii="Arial" w:hAnsi="Arial" w:cs="Arial" w:eastAsia="Arial" w:hint="default"/>
                <w:sz w:val="20"/>
                <w:szCs w:val="20"/>
              </w:rPr>
            </w:pPr>
            <w:r>
              <w:rPr>
                <w:rFonts w:ascii="Arial"/>
                <w:w w:val="100"/>
                <w:sz w:val="20"/>
              </w:rPr>
            </w:r>
            <w:r>
              <w:rPr>
                <w:rFonts w:ascii="Arial"/>
                <w:spacing w:val="-1"/>
                <w:sz w:val="20"/>
                <w:u w:val="thick" w:color="000000"/>
              </w:rPr>
              <w:t>600,407,087</w:t>
            </w:r>
            <w:r>
              <w:rPr>
                <w:rFonts w:ascii="Arial"/>
                <w:spacing w:val="-1"/>
                <w:sz w:val="20"/>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16"/>
              <w:jc w:val="right"/>
              <w:rPr>
                <w:rFonts w:ascii="Arial" w:hAnsi="Arial" w:cs="Arial" w:eastAsia="Arial" w:hint="default"/>
                <w:sz w:val="20"/>
                <w:szCs w:val="20"/>
              </w:rPr>
            </w:pPr>
            <w:r>
              <w:rPr>
                <w:rFonts w:ascii="Arial"/>
                <w:w w:val="100"/>
                <w:sz w:val="20"/>
              </w:rPr>
            </w:r>
            <w:r>
              <w:rPr>
                <w:rFonts w:ascii="Arial"/>
                <w:spacing w:val="-1"/>
                <w:sz w:val="20"/>
                <w:u w:val="thick" w:color="000000"/>
              </w:rPr>
              <w:t>1,100,020</w:t>
            </w:r>
            <w:r>
              <w:rPr>
                <w:rFonts w:ascii="Arial"/>
                <w:spacing w:val="-1"/>
                <w:sz w:val="20"/>
              </w:rPr>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36"/>
              <w:jc w:val="right"/>
              <w:rPr>
                <w:rFonts w:ascii="Arial" w:hAnsi="Arial" w:cs="Arial" w:eastAsia="Arial" w:hint="default"/>
                <w:sz w:val="20"/>
                <w:szCs w:val="20"/>
              </w:rPr>
            </w:pPr>
            <w:r>
              <w:rPr>
                <w:rFonts w:ascii="Arial"/>
                <w:w w:val="100"/>
                <w:sz w:val="20"/>
              </w:rPr>
            </w:r>
            <w:r>
              <w:rPr>
                <w:rFonts w:ascii="Arial"/>
                <w:spacing w:val="-1"/>
                <w:sz w:val="20"/>
                <w:u w:val="thick" w:color="000000"/>
              </w:rPr>
              <w:t>2,283,966</w:t>
            </w:r>
            <w:r>
              <w:rPr>
                <w:rFonts w:ascii="Arial"/>
                <w:spacing w:val="-1"/>
                <w:sz w:val="20"/>
              </w:rPr>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right"/>
              <w:rPr>
                <w:rFonts w:ascii="Arial" w:hAnsi="Arial" w:cs="Arial" w:eastAsia="Arial" w:hint="default"/>
                <w:sz w:val="20"/>
                <w:szCs w:val="20"/>
              </w:rPr>
            </w:pPr>
            <w:r>
              <w:rPr>
                <w:rFonts w:ascii="Arial"/>
                <w:w w:val="100"/>
                <w:sz w:val="20"/>
              </w:rPr>
            </w:r>
            <w:r>
              <w:rPr>
                <w:rFonts w:ascii="Arial"/>
                <w:spacing w:val="-1"/>
                <w:sz w:val="20"/>
                <w:u w:val="thick" w:color="000000"/>
              </w:rPr>
              <w:t>29,216,275</w:t>
            </w:r>
            <w:r>
              <w:rPr>
                <w:rFonts w:ascii="Arial"/>
                <w:spacing w:val="-1"/>
                <w:sz w:val="20"/>
              </w:rPr>
            </w: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
              <w:ind w:left="339" w:right="0"/>
              <w:jc w:val="left"/>
              <w:rPr>
                <w:rFonts w:ascii="Arial" w:hAnsi="Arial" w:cs="Arial" w:eastAsia="Arial" w:hint="default"/>
                <w:sz w:val="20"/>
                <w:szCs w:val="20"/>
              </w:rPr>
            </w:pPr>
            <w:r>
              <w:rPr>
                <w:rFonts w:ascii="Arial"/>
                <w:w w:val="100"/>
                <w:sz w:val="20"/>
              </w:rPr>
            </w:r>
            <w:r>
              <w:rPr>
                <w:rFonts w:ascii="Arial"/>
                <w:sz w:val="20"/>
                <w:u w:val="thick" w:color="000000"/>
              </w:rPr>
              <w:t>13,419,959</w:t>
            </w:r>
            <w:r>
              <w:rPr>
                <w:rFonts w:ascii="Arial"/>
                <w:sz w:val="20"/>
              </w:rPr>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48"/>
              <w:jc w:val="right"/>
              <w:rPr>
                <w:rFonts w:ascii="Arial" w:hAnsi="Arial" w:cs="Arial" w:eastAsia="Arial" w:hint="default"/>
                <w:sz w:val="20"/>
                <w:szCs w:val="20"/>
              </w:rPr>
            </w:pPr>
            <w:r>
              <w:rPr>
                <w:rFonts w:ascii="Arial"/>
                <w:w w:val="100"/>
                <w:sz w:val="20"/>
              </w:rPr>
            </w:r>
            <w:r>
              <w:rPr>
                <w:rFonts w:ascii="Arial"/>
                <w:spacing w:val="-1"/>
                <w:sz w:val="20"/>
                <w:u w:val="thick" w:color="000000"/>
              </w:rPr>
              <w:t>619,587,389</w:t>
            </w:r>
            <w:r>
              <w:rPr>
                <w:rFonts w:ascii="Arial"/>
                <w:spacing w:val="-1"/>
                <w:sz w:val="20"/>
              </w:rPr>
            </w:r>
          </w:p>
        </w:tc>
      </w:tr>
      <w:tr>
        <w:trPr>
          <w:trHeight w:val="383"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26" w:right="0"/>
              <w:jc w:val="left"/>
              <w:rPr>
                <w:rFonts w:ascii="黑体" w:hAnsi="黑体" w:cs="黑体" w:eastAsia="黑体" w:hint="default"/>
                <w:sz w:val="20"/>
                <w:szCs w:val="20"/>
              </w:rPr>
            </w:pPr>
            <w:r>
              <w:rPr>
                <w:rFonts w:ascii="黑体" w:hAnsi="黑体" w:cs="黑体" w:eastAsia="黑体" w:hint="default"/>
                <w:sz w:val="20"/>
                <w:szCs w:val="20"/>
              </w:rPr>
              <w:t>累计折旧</w:t>
            </w:r>
          </w:p>
        </w:tc>
        <w:tc>
          <w:tcPr>
            <w:tcW w:w="1369" w:type="dxa"/>
            <w:tcBorders>
              <w:top w:val="nil" w:sz="6" w:space="0" w:color="auto"/>
              <w:left w:val="nil" w:sz="6" w:space="0" w:color="auto"/>
              <w:bottom w:val="nil" w:sz="6" w:space="0" w:color="auto"/>
              <w:right w:val="nil" w:sz="6" w:space="0" w:color="auto"/>
            </w:tcBorders>
          </w:tcPr>
          <w:p>
            <w:pPr/>
          </w:p>
        </w:tc>
        <w:tc>
          <w:tcPr>
            <w:tcW w:w="3335" w:type="dxa"/>
            <w:gridSpan w:val="3"/>
            <w:tcBorders>
              <w:top w:val="nil" w:sz="6" w:space="0" w:color="auto"/>
              <w:left w:val="nil" w:sz="6" w:space="0" w:color="auto"/>
              <w:bottom w:val="nil" w:sz="6" w:space="0" w:color="auto"/>
              <w:right w:val="nil" w:sz="6" w:space="0" w:color="auto"/>
            </w:tcBorders>
          </w:tcPr>
          <w:p>
            <w:pPr/>
          </w:p>
        </w:tc>
        <w:tc>
          <w:tcPr>
            <w:tcW w:w="1469" w:type="dxa"/>
            <w:gridSpan w:val="2"/>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nil" w:sz="6" w:space="0" w:color="auto"/>
            </w:tcBorders>
          </w:tcPr>
          <w:p>
            <w:pPr/>
          </w:p>
        </w:tc>
      </w:tr>
      <w:tr>
        <w:trPr>
          <w:trHeight w:val="263"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30" w:lineRule="exact"/>
              <w:ind w:left="726" w:right="0"/>
              <w:jc w:val="left"/>
              <w:rPr>
                <w:rFonts w:ascii="黑体" w:hAnsi="黑体" w:cs="黑体" w:eastAsia="黑体" w:hint="default"/>
                <w:sz w:val="20"/>
                <w:szCs w:val="20"/>
              </w:rPr>
            </w:pPr>
            <w:r>
              <w:rPr>
                <w:rFonts w:ascii="黑体" w:hAnsi="黑体" w:cs="黑体" w:eastAsia="黑体" w:hint="default"/>
                <w:sz w:val="20"/>
                <w:szCs w:val="20"/>
              </w:rPr>
              <w:t>房屋及建筑物</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27"/>
              <w:jc w:val="right"/>
              <w:rPr>
                <w:rFonts w:ascii="Arial" w:hAnsi="Arial" w:cs="Arial" w:eastAsia="Arial" w:hint="default"/>
                <w:sz w:val="20"/>
                <w:szCs w:val="20"/>
              </w:rPr>
            </w:pPr>
            <w:r>
              <w:rPr>
                <w:rFonts w:ascii="Arial"/>
                <w:spacing w:val="-1"/>
                <w:sz w:val="20"/>
              </w:rPr>
              <w:t>15,390,746</w:t>
            </w:r>
          </w:p>
        </w:tc>
        <w:tc>
          <w:tcPr>
            <w:tcW w:w="3335" w:type="dxa"/>
            <w:gridSpan w:val="3"/>
            <w:tcBorders>
              <w:top w:val="nil" w:sz="6" w:space="0" w:color="auto"/>
              <w:left w:val="nil" w:sz="6" w:space="0" w:color="auto"/>
              <w:bottom w:val="nil" w:sz="6" w:space="0" w:color="auto"/>
              <w:right w:val="nil" w:sz="6" w:space="0" w:color="auto"/>
            </w:tcBorders>
          </w:tcPr>
          <w:p>
            <w:pPr>
              <w:pStyle w:val="TableParagraph"/>
              <w:tabs>
                <w:tab w:pos="1976" w:val="left" w:leader="none"/>
                <w:tab w:pos="2441" w:val="left" w:leader="none"/>
              </w:tabs>
              <w:spacing w:line="240" w:lineRule="auto" w:before="12"/>
              <w:ind w:left="849" w:right="0"/>
              <w:jc w:val="left"/>
              <w:rPr>
                <w:rFonts w:ascii="Arial" w:hAnsi="Arial" w:cs="Arial" w:eastAsia="Arial" w:hint="default"/>
                <w:sz w:val="20"/>
                <w:szCs w:val="20"/>
              </w:rPr>
            </w:pPr>
            <w:r>
              <w:rPr>
                <w:rFonts w:ascii="Arial"/>
                <w:sz w:val="20"/>
              </w:rPr>
              <w:t>-</w:t>
              <w:tab/>
              <w:t>-</w:t>
              <w:tab/>
            </w:r>
            <w:r>
              <w:rPr>
                <w:rFonts w:ascii="Arial"/>
                <w:spacing w:val="-1"/>
                <w:sz w:val="20"/>
              </w:rPr>
              <w:t>8,733,461</w:t>
            </w: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
              <w:ind w:left="728" w:right="0"/>
              <w:jc w:val="left"/>
              <w:rPr>
                <w:rFonts w:ascii="Arial" w:hAnsi="Arial" w:cs="Arial" w:eastAsia="Arial" w:hint="default"/>
                <w:sz w:val="20"/>
                <w:szCs w:val="20"/>
              </w:rPr>
            </w:pPr>
            <w:r>
              <w:rPr>
                <w:rFonts w:ascii="Arial"/>
                <w:sz w:val="20"/>
              </w:rPr>
              <w:t>44,660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0"/>
              <w:jc w:val="right"/>
              <w:rPr>
                <w:rFonts w:ascii="Arial" w:hAnsi="Arial" w:cs="Arial" w:eastAsia="Arial" w:hint="default"/>
                <w:sz w:val="20"/>
                <w:szCs w:val="20"/>
              </w:rPr>
            </w:pPr>
            <w:r>
              <w:rPr>
                <w:rFonts w:ascii="Arial"/>
                <w:spacing w:val="-1"/>
                <w:sz w:val="20"/>
              </w:rPr>
              <w:t>24,079,547</w:t>
            </w:r>
          </w:p>
        </w:tc>
      </w:tr>
      <w:tr>
        <w:trPr>
          <w:trHeight w:val="259"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26" w:lineRule="exact"/>
              <w:ind w:left="726" w:right="0"/>
              <w:jc w:val="left"/>
              <w:rPr>
                <w:rFonts w:ascii="黑体" w:hAnsi="黑体" w:cs="黑体" w:eastAsia="黑体" w:hint="default"/>
                <w:sz w:val="20"/>
                <w:szCs w:val="20"/>
              </w:rPr>
            </w:pPr>
            <w:r>
              <w:rPr>
                <w:rFonts w:ascii="黑体" w:hAnsi="黑体" w:cs="黑体" w:eastAsia="黑体" w:hint="default"/>
                <w:sz w:val="20"/>
                <w:szCs w:val="20"/>
              </w:rPr>
              <w:t>机器设备</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7"/>
              <w:jc w:val="right"/>
              <w:rPr>
                <w:rFonts w:ascii="Arial" w:hAnsi="Arial" w:cs="Arial" w:eastAsia="Arial" w:hint="default"/>
                <w:sz w:val="20"/>
                <w:szCs w:val="20"/>
              </w:rPr>
            </w:pPr>
            <w:r>
              <w:rPr>
                <w:rFonts w:ascii="Arial"/>
                <w:spacing w:val="-1"/>
                <w:sz w:val="20"/>
              </w:rPr>
              <w:t>8,133,657</w:t>
            </w:r>
          </w:p>
        </w:tc>
        <w:tc>
          <w:tcPr>
            <w:tcW w:w="3335" w:type="dxa"/>
            <w:gridSpan w:val="3"/>
            <w:tcBorders>
              <w:top w:val="nil" w:sz="6" w:space="0" w:color="auto"/>
              <w:left w:val="nil" w:sz="6" w:space="0" w:color="auto"/>
              <w:bottom w:val="nil" w:sz="6" w:space="0" w:color="auto"/>
              <w:right w:val="nil" w:sz="6" w:space="0" w:color="auto"/>
            </w:tcBorders>
          </w:tcPr>
          <w:p>
            <w:pPr>
              <w:pStyle w:val="TableParagraph"/>
              <w:tabs>
                <w:tab w:pos="1976" w:val="left" w:leader="none"/>
                <w:tab w:pos="2441" w:val="left" w:leader="none"/>
              </w:tabs>
              <w:spacing w:line="240" w:lineRule="auto" w:before="8"/>
              <w:ind w:left="849" w:right="0"/>
              <w:jc w:val="left"/>
              <w:rPr>
                <w:rFonts w:ascii="Arial" w:hAnsi="Arial" w:cs="Arial" w:eastAsia="Arial" w:hint="default"/>
                <w:sz w:val="20"/>
                <w:szCs w:val="20"/>
              </w:rPr>
            </w:pPr>
            <w:r>
              <w:rPr>
                <w:rFonts w:ascii="Arial"/>
                <w:sz w:val="20"/>
              </w:rPr>
              <w:t>-</w:t>
              <w:tab/>
              <w:t>-</w:t>
              <w:tab/>
            </w:r>
            <w:r>
              <w:rPr>
                <w:rFonts w:ascii="Arial"/>
                <w:spacing w:val="-1"/>
                <w:sz w:val="20"/>
              </w:rPr>
              <w:t>2,410,342</w:t>
            </w: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126"/>
              <w:jc w:val="right"/>
              <w:rPr>
                <w:rFonts w:ascii="Arial" w:hAnsi="Arial" w:cs="Arial" w:eastAsia="Arial" w:hint="default"/>
                <w:sz w:val="20"/>
                <w:szCs w:val="20"/>
              </w:rPr>
            </w:pPr>
            <w:r>
              <w:rPr>
                <w:rFonts w:ascii="Arial"/>
                <w:w w:val="100"/>
                <w:sz w:val="20"/>
              </w:rPr>
              <w:t>-</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9"/>
              <w:jc w:val="right"/>
              <w:rPr>
                <w:rFonts w:ascii="Arial" w:hAnsi="Arial" w:cs="Arial" w:eastAsia="Arial" w:hint="default"/>
                <w:sz w:val="20"/>
                <w:szCs w:val="20"/>
              </w:rPr>
            </w:pPr>
            <w:r>
              <w:rPr>
                <w:rFonts w:ascii="Arial"/>
                <w:spacing w:val="-1"/>
                <w:sz w:val="20"/>
              </w:rPr>
              <w:t>10,543,999</w:t>
            </w:r>
          </w:p>
        </w:tc>
      </w:tr>
      <w:tr>
        <w:trPr>
          <w:trHeight w:val="259"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26" w:lineRule="exact"/>
              <w:ind w:left="726" w:right="0"/>
              <w:jc w:val="left"/>
              <w:rPr>
                <w:rFonts w:ascii="黑体" w:hAnsi="黑体" w:cs="黑体" w:eastAsia="黑体" w:hint="default"/>
                <w:sz w:val="20"/>
                <w:szCs w:val="20"/>
              </w:rPr>
            </w:pPr>
            <w:r>
              <w:rPr>
                <w:rFonts w:ascii="黑体" w:hAnsi="黑体" w:cs="黑体" w:eastAsia="黑体" w:hint="default"/>
                <w:sz w:val="20"/>
                <w:szCs w:val="20"/>
              </w:rPr>
              <w:t>运输工具</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7"/>
              <w:jc w:val="right"/>
              <w:rPr>
                <w:rFonts w:ascii="Arial" w:hAnsi="Arial" w:cs="Arial" w:eastAsia="Arial" w:hint="default"/>
                <w:sz w:val="20"/>
                <w:szCs w:val="20"/>
              </w:rPr>
            </w:pPr>
            <w:r>
              <w:rPr>
                <w:rFonts w:ascii="Arial"/>
                <w:spacing w:val="-1"/>
                <w:sz w:val="20"/>
              </w:rPr>
              <w:t>13,932,642</w:t>
            </w:r>
          </w:p>
        </w:tc>
        <w:tc>
          <w:tcPr>
            <w:tcW w:w="3335" w:type="dxa"/>
            <w:gridSpan w:val="3"/>
            <w:tcBorders>
              <w:top w:val="nil" w:sz="6" w:space="0" w:color="auto"/>
              <w:left w:val="nil" w:sz="6" w:space="0" w:color="auto"/>
              <w:bottom w:val="nil" w:sz="6" w:space="0" w:color="auto"/>
              <w:right w:val="nil" w:sz="6" w:space="0" w:color="auto"/>
            </w:tcBorders>
          </w:tcPr>
          <w:p>
            <w:pPr>
              <w:pStyle w:val="TableParagraph"/>
              <w:tabs>
                <w:tab w:pos="1976" w:val="left" w:leader="none"/>
                <w:tab w:pos="2441" w:val="left" w:leader="none"/>
              </w:tabs>
              <w:spacing w:line="240" w:lineRule="auto" w:before="8"/>
              <w:ind w:left="849" w:right="0"/>
              <w:jc w:val="left"/>
              <w:rPr>
                <w:rFonts w:ascii="Arial" w:hAnsi="Arial" w:cs="Arial" w:eastAsia="Arial" w:hint="default"/>
                <w:sz w:val="20"/>
                <w:szCs w:val="20"/>
              </w:rPr>
            </w:pPr>
            <w:r>
              <w:rPr>
                <w:rFonts w:ascii="Arial"/>
                <w:sz w:val="20"/>
              </w:rPr>
              <w:t>-</w:t>
              <w:tab/>
              <w:t>-</w:t>
              <w:tab/>
            </w:r>
            <w:r>
              <w:rPr>
                <w:rFonts w:ascii="Arial"/>
                <w:spacing w:val="-1"/>
                <w:sz w:val="20"/>
              </w:rPr>
              <w:t>2,866,647</w:t>
            </w: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left="617" w:right="0"/>
              <w:jc w:val="left"/>
              <w:rPr>
                <w:rFonts w:ascii="Arial" w:hAnsi="Arial" w:cs="Arial" w:eastAsia="Arial" w:hint="default"/>
                <w:sz w:val="20"/>
                <w:szCs w:val="20"/>
              </w:rPr>
            </w:pPr>
            <w:r>
              <w:rPr>
                <w:rFonts w:ascii="Arial"/>
                <w:sz w:val="20"/>
              </w:rPr>
              <w:t>980,429</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0"/>
              <w:jc w:val="right"/>
              <w:rPr>
                <w:rFonts w:ascii="Arial" w:hAnsi="Arial" w:cs="Arial" w:eastAsia="Arial" w:hint="default"/>
                <w:sz w:val="20"/>
                <w:szCs w:val="20"/>
              </w:rPr>
            </w:pPr>
            <w:r>
              <w:rPr>
                <w:rFonts w:ascii="Arial"/>
                <w:spacing w:val="-1"/>
                <w:sz w:val="20"/>
              </w:rPr>
              <w:t>15,818,860</w:t>
            </w:r>
          </w:p>
        </w:tc>
      </w:tr>
      <w:tr>
        <w:trPr>
          <w:trHeight w:val="276"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26" w:lineRule="exact"/>
              <w:ind w:left="726" w:right="0"/>
              <w:jc w:val="left"/>
              <w:rPr>
                <w:rFonts w:ascii="黑体" w:hAnsi="黑体" w:cs="黑体" w:eastAsia="黑体" w:hint="default"/>
                <w:sz w:val="20"/>
                <w:szCs w:val="20"/>
              </w:rPr>
            </w:pPr>
            <w:r>
              <w:rPr>
                <w:rFonts w:ascii="黑体" w:hAnsi="黑体" w:cs="黑体" w:eastAsia="黑体" w:hint="default"/>
                <w:sz w:val="20"/>
                <w:szCs w:val="20"/>
              </w:rPr>
              <w:t>办公及电子设备</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70,572,812</w:t>
            </w:r>
            <w:r>
              <w:rPr>
                <w:rFonts w:ascii="Arial"/>
                <w:spacing w:val="-1"/>
                <w:sz w:val="20"/>
              </w:rPr>
            </w:r>
          </w:p>
        </w:tc>
        <w:tc>
          <w:tcPr>
            <w:tcW w:w="3335" w:type="dxa"/>
            <w:gridSpan w:val="3"/>
            <w:tcBorders>
              <w:top w:val="nil" w:sz="6" w:space="0" w:color="auto"/>
              <w:left w:val="nil" w:sz="6" w:space="0" w:color="auto"/>
              <w:bottom w:val="nil" w:sz="6" w:space="0" w:color="auto"/>
              <w:right w:val="nil" w:sz="6" w:space="0" w:color="auto"/>
            </w:tcBorders>
          </w:tcPr>
          <w:p>
            <w:pPr>
              <w:pStyle w:val="TableParagraph"/>
              <w:tabs>
                <w:tab w:pos="849" w:val="left" w:leader="none"/>
                <w:tab w:pos="1177" w:val="left" w:leader="none"/>
                <w:tab w:pos="1976" w:val="left" w:leader="none"/>
                <w:tab w:pos="2330" w:val="left" w:leader="none"/>
              </w:tabs>
              <w:spacing w:line="240" w:lineRule="auto" w:before="8"/>
              <w:ind w:left="50"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tab/>
            </w:r>
            <w:r>
              <w:rPr>
                <w:rFonts w:ascii="Arial"/>
                <w:sz w:val="20"/>
                <w:u w:val="single" w:color="000000"/>
              </w:rPr>
              <w:t> </w:t>
              <w:tab/>
              <w:t>-</w:t>
            </w:r>
            <w:r>
              <w:rPr>
                <w:rFonts w:ascii="Arial"/>
                <w:sz w:val="20"/>
              </w:rPr>
              <w:tab/>
            </w:r>
            <w:r>
              <w:rPr>
                <w:rFonts w:ascii="Arial"/>
                <w:spacing w:val="-1"/>
                <w:sz w:val="20"/>
                <w:u w:val="single" w:color="000000"/>
              </w:rPr>
              <w:t>23,122,882</w:t>
            </w:r>
            <w:r>
              <w:rPr>
                <w:rFonts w:ascii="Arial"/>
                <w:spacing w:val="-1"/>
                <w:sz w:val="20"/>
              </w:rPr>
            </w: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left="339" w:right="0"/>
              <w:jc w:val="left"/>
              <w:rPr>
                <w:rFonts w:ascii="Arial" w:hAnsi="Arial" w:cs="Arial" w:eastAsia="Arial" w:hint="default"/>
                <w:sz w:val="20"/>
                <w:szCs w:val="20"/>
              </w:rPr>
            </w:pPr>
            <w:r>
              <w:rPr>
                <w:rFonts w:ascii="Arial"/>
                <w:w w:val="100"/>
                <w:sz w:val="20"/>
              </w:rPr>
            </w:r>
            <w:r>
              <w:rPr>
                <w:rFonts w:ascii="Arial"/>
                <w:sz w:val="20"/>
                <w:u w:val="single" w:color="000000"/>
              </w:rPr>
              <w:t>10,429,141</w:t>
            </w:r>
            <w:r>
              <w:rPr>
                <w:rFonts w:ascii="Arial"/>
                <w:sz w:val="20"/>
              </w:rPr>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83,266,553</w:t>
            </w:r>
            <w:r>
              <w:rPr>
                <w:rFonts w:ascii="Arial"/>
                <w:spacing w:val="-1"/>
                <w:sz w:val="20"/>
              </w:rPr>
            </w:r>
          </w:p>
        </w:tc>
      </w:tr>
      <w:tr>
        <w:trPr>
          <w:trHeight w:val="395" w:hRule="exact"/>
        </w:trPr>
        <w:tc>
          <w:tcPr>
            <w:tcW w:w="2154"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26"/>
              <w:jc w:val="right"/>
              <w:rPr>
                <w:rFonts w:ascii="Arial" w:hAnsi="Arial" w:cs="Arial" w:eastAsia="Arial" w:hint="default"/>
                <w:sz w:val="20"/>
                <w:szCs w:val="20"/>
              </w:rPr>
            </w:pPr>
            <w:r>
              <w:rPr>
                <w:rFonts w:ascii="Arial"/>
                <w:w w:val="100"/>
                <w:sz w:val="20"/>
              </w:rPr>
            </w:r>
            <w:r>
              <w:rPr>
                <w:rFonts w:ascii="Arial"/>
                <w:spacing w:val="-1"/>
                <w:sz w:val="20"/>
                <w:u w:val="thick" w:color="000000"/>
              </w:rPr>
              <w:t>108,029,857</w:t>
            </w:r>
            <w:r>
              <w:rPr>
                <w:rFonts w:ascii="Arial"/>
                <w:spacing w:val="-1"/>
                <w:sz w:val="20"/>
              </w:rPr>
            </w:r>
          </w:p>
        </w:tc>
        <w:tc>
          <w:tcPr>
            <w:tcW w:w="3335" w:type="dxa"/>
            <w:gridSpan w:val="3"/>
            <w:tcBorders>
              <w:top w:val="nil" w:sz="6" w:space="0" w:color="auto"/>
              <w:left w:val="nil" w:sz="6" w:space="0" w:color="auto"/>
              <w:bottom w:val="nil" w:sz="6" w:space="0" w:color="auto"/>
              <w:right w:val="nil" w:sz="6" w:space="0" w:color="auto"/>
            </w:tcBorders>
          </w:tcPr>
          <w:p>
            <w:pPr>
              <w:pStyle w:val="TableParagraph"/>
              <w:tabs>
                <w:tab w:pos="849" w:val="left" w:leader="none"/>
                <w:tab w:pos="1177" w:val="left" w:leader="none"/>
                <w:tab w:pos="1976" w:val="left" w:leader="none"/>
                <w:tab w:pos="2330" w:val="left" w:leader="none"/>
              </w:tabs>
              <w:spacing w:line="240" w:lineRule="auto" w:before="16"/>
              <w:ind w:left="50"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tab/>
            </w:r>
            <w:r>
              <w:rPr>
                <w:rFonts w:ascii="Arial"/>
                <w:sz w:val="20"/>
                <w:u w:val="thick" w:color="000000"/>
              </w:rPr>
              <w:t> </w:t>
              <w:tab/>
              <w:t>-</w:t>
            </w:r>
            <w:r>
              <w:rPr>
                <w:rFonts w:ascii="Arial"/>
                <w:sz w:val="20"/>
              </w:rPr>
              <w:tab/>
            </w:r>
            <w:r>
              <w:rPr>
                <w:rFonts w:ascii="Arial"/>
                <w:spacing w:val="-1"/>
                <w:sz w:val="20"/>
                <w:u w:val="thick" w:color="000000"/>
              </w:rPr>
              <w:t>37,133,332</w:t>
            </w:r>
            <w:r>
              <w:rPr>
                <w:rFonts w:ascii="Arial"/>
                <w:spacing w:val="-1"/>
                <w:sz w:val="20"/>
              </w:rPr>
            </w: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6"/>
              <w:ind w:left="339" w:right="0"/>
              <w:jc w:val="left"/>
              <w:rPr>
                <w:rFonts w:ascii="Arial" w:hAnsi="Arial" w:cs="Arial" w:eastAsia="Arial" w:hint="default"/>
                <w:sz w:val="20"/>
                <w:szCs w:val="20"/>
              </w:rPr>
            </w:pPr>
            <w:r>
              <w:rPr>
                <w:rFonts w:ascii="Arial"/>
                <w:w w:val="100"/>
                <w:sz w:val="20"/>
              </w:rPr>
            </w:r>
            <w:r>
              <w:rPr>
                <w:rFonts w:ascii="Arial"/>
                <w:sz w:val="20"/>
                <w:u w:val="thick" w:color="000000"/>
              </w:rPr>
              <w:t>11,454,230</w:t>
            </w:r>
            <w:r>
              <w:rPr>
                <w:rFonts w:ascii="Arial"/>
                <w:sz w:val="20"/>
              </w:rPr>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8"/>
              <w:jc w:val="right"/>
              <w:rPr>
                <w:rFonts w:ascii="Arial" w:hAnsi="Arial" w:cs="Arial" w:eastAsia="Arial" w:hint="default"/>
                <w:sz w:val="20"/>
                <w:szCs w:val="20"/>
              </w:rPr>
            </w:pPr>
            <w:r>
              <w:rPr>
                <w:rFonts w:ascii="Arial"/>
                <w:w w:val="100"/>
                <w:sz w:val="20"/>
              </w:rPr>
            </w:r>
            <w:r>
              <w:rPr>
                <w:rFonts w:ascii="Arial"/>
                <w:spacing w:val="-1"/>
                <w:sz w:val="20"/>
                <w:u w:val="thick" w:color="000000"/>
              </w:rPr>
              <w:t>133,708,959</w:t>
            </w:r>
            <w:r>
              <w:rPr>
                <w:rFonts w:ascii="Arial"/>
                <w:spacing w:val="-1"/>
                <w:sz w:val="20"/>
              </w:rPr>
            </w:r>
          </w:p>
        </w:tc>
      </w:tr>
      <w:tr>
        <w:trPr>
          <w:trHeight w:val="383"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26" w:right="0"/>
              <w:jc w:val="left"/>
              <w:rPr>
                <w:rFonts w:ascii="黑体" w:hAnsi="黑体" w:cs="黑体" w:eastAsia="黑体" w:hint="default"/>
                <w:sz w:val="20"/>
                <w:szCs w:val="20"/>
              </w:rPr>
            </w:pPr>
            <w:r>
              <w:rPr>
                <w:rFonts w:ascii="黑体" w:hAnsi="黑体" w:cs="黑体" w:eastAsia="黑体" w:hint="default"/>
                <w:sz w:val="20"/>
                <w:szCs w:val="20"/>
              </w:rPr>
              <w:t>账面净值</w:t>
            </w:r>
          </w:p>
        </w:tc>
        <w:tc>
          <w:tcPr>
            <w:tcW w:w="1369" w:type="dxa"/>
            <w:tcBorders>
              <w:top w:val="nil" w:sz="6" w:space="0" w:color="auto"/>
              <w:left w:val="nil" w:sz="6" w:space="0" w:color="auto"/>
              <w:bottom w:val="nil" w:sz="6" w:space="0" w:color="auto"/>
              <w:right w:val="nil" w:sz="6" w:space="0" w:color="auto"/>
            </w:tcBorders>
          </w:tcPr>
          <w:p>
            <w:pPr/>
          </w:p>
        </w:tc>
        <w:tc>
          <w:tcPr>
            <w:tcW w:w="1035" w:type="dxa"/>
            <w:tcBorders>
              <w:top w:val="nil" w:sz="6" w:space="0" w:color="auto"/>
              <w:left w:val="nil" w:sz="6" w:space="0" w:color="auto"/>
              <w:bottom w:val="nil" w:sz="6" w:space="0" w:color="auto"/>
              <w:right w:val="nil" w:sz="6" w:space="0" w:color="auto"/>
            </w:tcBorders>
          </w:tcPr>
          <w:p>
            <w:pPr/>
          </w:p>
        </w:tc>
        <w:tc>
          <w:tcPr>
            <w:tcW w:w="1147" w:type="dxa"/>
            <w:tcBorders>
              <w:top w:val="nil" w:sz="6" w:space="0" w:color="auto"/>
              <w:left w:val="nil" w:sz="6" w:space="0" w:color="auto"/>
              <w:bottom w:val="nil" w:sz="6" w:space="0" w:color="auto"/>
              <w:right w:val="nil" w:sz="6" w:space="0" w:color="auto"/>
            </w:tcBorders>
          </w:tcPr>
          <w:p>
            <w:pPr/>
          </w:p>
        </w:tc>
        <w:tc>
          <w:tcPr>
            <w:tcW w:w="1364" w:type="dxa"/>
            <w:gridSpan w:val="2"/>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nil" w:sz="6" w:space="0" w:color="auto"/>
            </w:tcBorders>
          </w:tcPr>
          <w:p>
            <w:pPr/>
          </w:p>
        </w:tc>
      </w:tr>
      <w:tr>
        <w:trPr>
          <w:trHeight w:val="263"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30" w:lineRule="exact"/>
              <w:ind w:left="726" w:right="0"/>
              <w:jc w:val="left"/>
              <w:rPr>
                <w:rFonts w:ascii="黑体" w:hAnsi="黑体" w:cs="黑体" w:eastAsia="黑体" w:hint="default"/>
                <w:sz w:val="20"/>
                <w:szCs w:val="20"/>
              </w:rPr>
            </w:pPr>
            <w:r>
              <w:rPr>
                <w:rFonts w:ascii="黑体" w:hAnsi="黑体" w:cs="黑体" w:eastAsia="黑体" w:hint="default"/>
                <w:sz w:val="20"/>
                <w:szCs w:val="20"/>
              </w:rPr>
              <w:t>房屋及建筑物</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26"/>
              <w:jc w:val="right"/>
              <w:rPr>
                <w:rFonts w:ascii="Arial" w:hAnsi="Arial" w:cs="Arial" w:eastAsia="Arial" w:hint="default"/>
                <w:sz w:val="20"/>
                <w:szCs w:val="20"/>
              </w:rPr>
            </w:pPr>
            <w:r>
              <w:rPr>
                <w:rFonts w:ascii="Arial"/>
                <w:spacing w:val="-1"/>
                <w:sz w:val="20"/>
              </w:rPr>
              <w:t>357,139,406</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16"/>
              <w:jc w:val="right"/>
              <w:rPr>
                <w:rFonts w:ascii="Arial" w:hAnsi="Arial" w:cs="Arial" w:eastAsia="Arial" w:hint="default"/>
                <w:sz w:val="20"/>
                <w:szCs w:val="20"/>
              </w:rPr>
            </w:pPr>
            <w:r>
              <w:rPr>
                <w:rFonts w:ascii="Arial"/>
                <w:w w:val="100"/>
                <w:sz w:val="20"/>
              </w:rPr>
              <w:t>-</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36"/>
              <w:jc w:val="right"/>
              <w:rPr>
                <w:rFonts w:ascii="Arial" w:hAnsi="Arial" w:cs="Arial" w:eastAsia="Arial" w:hint="default"/>
                <w:sz w:val="20"/>
                <w:szCs w:val="20"/>
              </w:rPr>
            </w:pPr>
            <w:r>
              <w:rPr>
                <w:rFonts w:ascii="Arial"/>
                <w:spacing w:val="-1"/>
                <w:sz w:val="20"/>
              </w:rPr>
              <w:t>2,283,966</w:t>
            </w:r>
          </w:p>
        </w:tc>
        <w:tc>
          <w:tcPr>
            <w:tcW w:w="13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left="138" w:right="0"/>
              <w:jc w:val="left"/>
              <w:rPr>
                <w:rFonts w:ascii="Arial" w:hAnsi="Arial" w:cs="Arial" w:eastAsia="Arial" w:hint="default"/>
                <w:sz w:val="20"/>
                <w:szCs w:val="20"/>
              </w:rPr>
            </w:pPr>
            <w:r>
              <w:rPr>
                <w:rFonts w:ascii="Arial"/>
                <w:sz w:val="20"/>
              </w:rPr>
              <w:t>( 8,160,672</w:t>
            </w:r>
            <w:r>
              <w:rPr>
                <w:rFonts w:ascii="Arial"/>
                <w:spacing w:val="-18"/>
                <w:sz w:val="20"/>
              </w:rPr>
              <w:t> </w:t>
            </w:r>
            <w:r>
              <w:rPr>
                <w:rFonts w:ascii="Arial"/>
                <w:sz w:val="20"/>
              </w:rPr>
              <w:t>)</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26"/>
              <w:jc w:val="right"/>
              <w:rPr>
                <w:rFonts w:ascii="Arial" w:hAnsi="Arial" w:cs="Arial" w:eastAsia="Arial" w:hint="default"/>
                <w:sz w:val="20"/>
                <w:szCs w:val="20"/>
              </w:rPr>
            </w:pPr>
            <w:r>
              <w:rPr>
                <w:rFonts w:ascii="Arial"/>
                <w:spacing w:val="-1"/>
                <w:sz w:val="20"/>
              </w:rPr>
              <w:t>639,127</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9"/>
              <w:jc w:val="right"/>
              <w:rPr>
                <w:rFonts w:ascii="Arial" w:hAnsi="Arial" w:cs="Arial" w:eastAsia="Arial" w:hint="default"/>
                <w:sz w:val="20"/>
                <w:szCs w:val="20"/>
              </w:rPr>
            </w:pPr>
            <w:r>
              <w:rPr>
                <w:rFonts w:ascii="Arial"/>
                <w:spacing w:val="-1"/>
                <w:sz w:val="20"/>
              </w:rPr>
              <w:t>350,623,573</w:t>
            </w:r>
          </w:p>
        </w:tc>
      </w:tr>
      <w:tr>
        <w:trPr>
          <w:trHeight w:val="260"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27" w:lineRule="exact"/>
              <w:ind w:left="726" w:right="0"/>
              <w:jc w:val="left"/>
              <w:rPr>
                <w:rFonts w:ascii="黑体" w:hAnsi="黑体" w:cs="黑体" w:eastAsia="黑体" w:hint="default"/>
                <w:sz w:val="20"/>
                <w:szCs w:val="20"/>
              </w:rPr>
            </w:pPr>
            <w:r>
              <w:rPr>
                <w:rFonts w:ascii="黑体" w:hAnsi="黑体" w:cs="黑体" w:eastAsia="黑体" w:hint="default"/>
                <w:sz w:val="20"/>
                <w:szCs w:val="20"/>
              </w:rPr>
              <w:t>机器设备</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7"/>
              <w:jc w:val="right"/>
              <w:rPr>
                <w:rFonts w:ascii="Arial" w:hAnsi="Arial" w:cs="Arial" w:eastAsia="Arial" w:hint="default"/>
                <w:sz w:val="20"/>
                <w:szCs w:val="20"/>
              </w:rPr>
            </w:pPr>
            <w:r>
              <w:rPr>
                <w:rFonts w:ascii="Arial"/>
                <w:spacing w:val="-1"/>
                <w:sz w:val="20"/>
              </w:rPr>
              <w:t>61,636,295</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16"/>
              <w:jc w:val="right"/>
              <w:rPr>
                <w:rFonts w:ascii="Arial" w:hAnsi="Arial" w:cs="Arial" w:eastAsia="Arial" w:hint="default"/>
                <w:sz w:val="20"/>
                <w:szCs w:val="20"/>
              </w:rPr>
            </w:pPr>
            <w:r>
              <w:rPr>
                <w:rFonts w:ascii="Arial"/>
                <w:w w:val="100"/>
                <w:sz w:val="20"/>
              </w:rPr>
              <w:t>-</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36"/>
              <w:jc w:val="right"/>
              <w:rPr>
                <w:rFonts w:ascii="Arial" w:hAnsi="Arial" w:cs="Arial" w:eastAsia="Arial" w:hint="default"/>
                <w:sz w:val="20"/>
                <w:szCs w:val="20"/>
              </w:rPr>
            </w:pPr>
            <w:r>
              <w:rPr>
                <w:rFonts w:ascii="Arial"/>
                <w:w w:val="100"/>
                <w:sz w:val="20"/>
              </w:rPr>
              <w:t>-</w:t>
            </w:r>
          </w:p>
        </w:tc>
        <w:tc>
          <w:tcPr>
            <w:tcW w:w="13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left="137" w:right="0"/>
              <w:jc w:val="left"/>
              <w:rPr>
                <w:rFonts w:ascii="Arial" w:hAnsi="Arial" w:cs="Arial" w:eastAsia="Arial" w:hint="default"/>
                <w:sz w:val="20"/>
                <w:szCs w:val="20"/>
              </w:rPr>
            </w:pPr>
            <w:r>
              <w:rPr>
                <w:rFonts w:ascii="Arial"/>
                <w:sz w:val="20"/>
              </w:rPr>
              <w:t>( 2,406,842</w:t>
            </w:r>
            <w:r>
              <w:rPr>
                <w:rFonts w:ascii="Arial"/>
                <w:spacing w:val="-24"/>
                <w:sz w:val="20"/>
              </w:rPr>
              <w:t> </w:t>
            </w:r>
            <w:r>
              <w:rPr>
                <w:rFonts w:ascii="Arial"/>
                <w:sz w:val="20"/>
              </w:rPr>
              <w:t>)</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6"/>
              <w:jc w:val="right"/>
              <w:rPr>
                <w:rFonts w:ascii="Arial" w:hAnsi="Arial" w:cs="Arial" w:eastAsia="Arial" w:hint="default"/>
                <w:sz w:val="20"/>
                <w:szCs w:val="20"/>
              </w:rPr>
            </w:pPr>
            <w:r>
              <w:rPr>
                <w:rFonts w:ascii="Arial"/>
                <w:w w:val="100"/>
                <w:sz w:val="20"/>
              </w:rPr>
              <w:t>-</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0"/>
              <w:jc w:val="right"/>
              <w:rPr>
                <w:rFonts w:ascii="Arial" w:hAnsi="Arial" w:cs="Arial" w:eastAsia="Arial" w:hint="default"/>
                <w:sz w:val="20"/>
                <w:szCs w:val="20"/>
              </w:rPr>
            </w:pPr>
            <w:r>
              <w:rPr>
                <w:rFonts w:ascii="Arial"/>
                <w:spacing w:val="-1"/>
                <w:sz w:val="20"/>
              </w:rPr>
              <w:t>59,229,453</w:t>
            </w:r>
          </w:p>
        </w:tc>
      </w:tr>
      <w:tr>
        <w:trPr>
          <w:trHeight w:val="259"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26" w:lineRule="exact"/>
              <w:ind w:left="726" w:right="0"/>
              <w:jc w:val="left"/>
              <w:rPr>
                <w:rFonts w:ascii="黑体" w:hAnsi="黑体" w:cs="黑体" w:eastAsia="黑体" w:hint="default"/>
                <w:sz w:val="20"/>
                <w:szCs w:val="20"/>
              </w:rPr>
            </w:pPr>
            <w:r>
              <w:rPr>
                <w:rFonts w:ascii="黑体" w:hAnsi="黑体" w:cs="黑体" w:eastAsia="黑体" w:hint="default"/>
                <w:sz w:val="20"/>
                <w:szCs w:val="20"/>
              </w:rPr>
              <w:t>运输工具</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7"/>
              <w:jc w:val="right"/>
              <w:rPr>
                <w:rFonts w:ascii="Arial" w:hAnsi="Arial" w:cs="Arial" w:eastAsia="Arial" w:hint="default"/>
                <w:sz w:val="20"/>
                <w:szCs w:val="20"/>
              </w:rPr>
            </w:pPr>
            <w:r>
              <w:rPr>
                <w:rFonts w:ascii="Arial"/>
                <w:spacing w:val="-1"/>
                <w:sz w:val="20"/>
              </w:rPr>
              <w:t>8,535,083</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16"/>
              <w:jc w:val="right"/>
              <w:rPr>
                <w:rFonts w:ascii="Arial" w:hAnsi="Arial" w:cs="Arial" w:eastAsia="Arial" w:hint="default"/>
                <w:sz w:val="20"/>
                <w:szCs w:val="20"/>
              </w:rPr>
            </w:pPr>
            <w:r>
              <w:rPr>
                <w:rFonts w:ascii="Arial"/>
                <w:spacing w:val="-1"/>
                <w:sz w:val="20"/>
              </w:rPr>
              <w:t>103,677</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36"/>
              <w:jc w:val="right"/>
              <w:rPr>
                <w:rFonts w:ascii="Arial" w:hAnsi="Arial" w:cs="Arial" w:eastAsia="Arial" w:hint="default"/>
                <w:sz w:val="20"/>
                <w:szCs w:val="20"/>
              </w:rPr>
            </w:pPr>
            <w:r>
              <w:rPr>
                <w:rFonts w:ascii="Arial"/>
                <w:w w:val="100"/>
                <w:sz w:val="20"/>
              </w:rPr>
              <w:t>-</w:t>
            </w:r>
          </w:p>
        </w:tc>
        <w:tc>
          <w:tcPr>
            <w:tcW w:w="13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left="260" w:right="0"/>
              <w:jc w:val="left"/>
              <w:rPr>
                <w:rFonts w:ascii="Arial" w:hAnsi="Arial" w:cs="Arial" w:eastAsia="Arial" w:hint="default"/>
                <w:sz w:val="20"/>
                <w:szCs w:val="20"/>
              </w:rPr>
            </w:pPr>
            <w:r>
              <w:rPr>
                <w:rFonts w:ascii="Arial"/>
                <w:sz w:val="20"/>
              </w:rPr>
              <w:t>2,295,040</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6"/>
              <w:jc w:val="right"/>
              <w:rPr>
                <w:rFonts w:ascii="Arial" w:hAnsi="Arial" w:cs="Arial" w:eastAsia="Arial" w:hint="default"/>
                <w:sz w:val="20"/>
                <w:szCs w:val="20"/>
              </w:rPr>
            </w:pPr>
            <w:r>
              <w:rPr>
                <w:rFonts w:ascii="Arial"/>
                <w:spacing w:val="-1"/>
                <w:sz w:val="20"/>
              </w:rPr>
              <w:t>475,382</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0"/>
              <w:jc w:val="right"/>
              <w:rPr>
                <w:rFonts w:ascii="Arial" w:hAnsi="Arial" w:cs="Arial" w:eastAsia="Arial" w:hint="default"/>
                <w:sz w:val="20"/>
                <w:szCs w:val="20"/>
              </w:rPr>
            </w:pPr>
            <w:r>
              <w:rPr>
                <w:rFonts w:ascii="Arial"/>
                <w:spacing w:val="-1"/>
                <w:sz w:val="20"/>
              </w:rPr>
              <w:t>10,458,418</w:t>
            </w:r>
          </w:p>
        </w:tc>
      </w:tr>
      <w:tr>
        <w:trPr>
          <w:trHeight w:val="261"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26" w:lineRule="exact"/>
              <w:ind w:left="726" w:right="0"/>
              <w:jc w:val="left"/>
              <w:rPr>
                <w:rFonts w:ascii="黑体" w:hAnsi="黑体" w:cs="黑体" w:eastAsia="黑体" w:hint="default"/>
                <w:sz w:val="20"/>
                <w:szCs w:val="20"/>
              </w:rPr>
            </w:pPr>
            <w:r>
              <w:rPr>
                <w:rFonts w:ascii="黑体" w:hAnsi="黑体" w:cs="黑体" w:eastAsia="黑体" w:hint="default"/>
                <w:sz w:val="20"/>
                <w:szCs w:val="20"/>
              </w:rPr>
              <w:t>办公及电子设备</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65,066,446</w:t>
            </w:r>
            <w:r>
              <w:rPr>
                <w:rFonts w:ascii="Arial"/>
                <w:spacing w:val="-1"/>
                <w:sz w:val="20"/>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1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3"/>
                <w:sz w:val="20"/>
                <w:u w:val="single" w:color="000000"/>
              </w:rPr>
              <w:t> </w:t>
            </w:r>
            <w:r>
              <w:rPr>
                <w:rFonts w:ascii="Arial"/>
                <w:spacing w:val="-1"/>
                <w:sz w:val="20"/>
                <w:u w:val="single" w:color="000000"/>
              </w:rPr>
              <w:t>996,343</w:t>
            </w:r>
            <w:r>
              <w:rPr>
                <w:rFonts w:ascii="Arial"/>
                <w:spacing w:val="-1"/>
                <w:sz w:val="20"/>
              </w:rPr>
            </w:r>
          </w:p>
        </w:tc>
        <w:tc>
          <w:tcPr>
            <w:tcW w:w="1147"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13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left="226"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355,417</w:t>
            </w:r>
            <w:r>
              <w:rPr>
                <w:rFonts w:ascii="Arial"/>
                <w:sz w:val="20"/>
              </w:rPr>
            </w:r>
          </w:p>
        </w:tc>
        <w:tc>
          <w:tcPr>
            <w:tcW w:w="1258"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8"/>
              <w:ind w:right="12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851,220</w:t>
            </w:r>
            <w:r>
              <w:rPr>
                <w:rFonts w:ascii="Arial"/>
                <w:sz w:val="20"/>
              </w:rPr>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65,566,986</w:t>
            </w:r>
            <w:r>
              <w:rPr>
                <w:rFonts w:ascii="Arial"/>
                <w:spacing w:val="-1"/>
                <w:sz w:val="20"/>
              </w:rPr>
            </w:r>
          </w:p>
        </w:tc>
      </w:tr>
      <w:tr>
        <w:trPr>
          <w:trHeight w:val="228" w:hRule="exact"/>
        </w:trPr>
        <w:tc>
          <w:tcPr>
            <w:tcW w:w="2154"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26"/>
              <w:jc w:val="right"/>
              <w:rPr>
                <w:rFonts w:ascii="Arial" w:hAnsi="Arial" w:cs="Arial" w:eastAsia="Arial" w:hint="default"/>
                <w:sz w:val="20"/>
                <w:szCs w:val="20"/>
              </w:rPr>
            </w:pPr>
            <w:r>
              <w:rPr>
                <w:rFonts w:ascii="Arial"/>
                <w:w w:val="100"/>
                <w:sz w:val="20"/>
              </w:rPr>
            </w:r>
            <w:r>
              <w:rPr>
                <w:rFonts w:ascii="Arial"/>
                <w:spacing w:val="-1"/>
                <w:sz w:val="20"/>
                <w:u w:val="thick" w:color="000000"/>
              </w:rPr>
              <w:t>492,377,230</w:t>
            </w:r>
            <w:r>
              <w:rPr>
                <w:rFonts w:ascii="Arial"/>
                <w:spacing w:val="-1"/>
                <w:sz w:val="20"/>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16"/>
              <w:jc w:val="right"/>
              <w:rPr>
                <w:rFonts w:ascii="Arial" w:hAnsi="Arial" w:cs="Arial" w:eastAsia="Arial" w:hint="default"/>
                <w:sz w:val="20"/>
                <w:szCs w:val="20"/>
              </w:rPr>
            </w:pPr>
            <w:r>
              <w:rPr>
                <w:rFonts w:ascii="Arial"/>
                <w:w w:val="100"/>
                <w:sz w:val="20"/>
              </w:rPr>
            </w:r>
            <w:r>
              <w:rPr>
                <w:rFonts w:ascii="Arial"/>
                <w:spacing w:val="-1"/>
                <w:sz w:val="20"/>
                <w:u w:val="thick" w:color="000000"/>
              </w:rPr>
              <w:t>1,100,020</w:t>
            </w:r>
            <w:r>
              <w:rPr>
                <w:rFonts w:ascii="Arial"/>
                <w:spacing w:val="-1"/>
                <w:sz w:val="20"/>
              </w:rPr>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36"/>
              <w:jc w:val="right"/>
              <w:rPr>
                <w:rFonts w:ascii="Arial" w:hAnsi="Arial" w:cs="Arial" w:eastAsia="Arial" w:hint="default"/>
                <w:sz w:val="20"/>
                <w:szCs w:val="20"/>
              </w:rPr>
            </w:pPr>
            <w:r>
              <w:rPr>
                <w:rFonts w:ascii="Arial"/>
                <w:w w:val="100"/>
                <w:sz w:val="20"/>
              </w:rPr>
            </w:r>
            <w:r>
              <w:rPr>
                <w:rFonts w:ascii="Arial"/>
                <w:spacing w:val="-1"/>
                <w:sz w:val="20"/>
                <w:u w:val="thick" w:color="000000"/>
              </w:rPr>
              <w:t>2,283,966</w:t>
            </w:r>
            <w:r>
              <w:rPr>
                <w:rFonts w:ascii="Arial"/>
                <w:spacing w:val="-1"/>
                <w:sz w:val="20"/>
              </w:rPr>
            </w:r>
          </w:p>
        </w:tc>
        <w:tc>
          <w:tcPr>
            <w:tcW w:w="13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
              <w:ind w:left="137" w:right="0"/>
              <w:jc w:val="left"/>
              <w:rPr>
                <w:rFonts w:ascii="Arial" w:hAnsi="Arial" w:cs="Arial" w:eastAsia="Arial" w:hint="default"/>
                <w:sz w:val="20"/>
                <w:szCs w:val="20"/>
              </w:rPr>
            </w:pPr>
            <w:r>
              <w:rPr>
                <w:rFonts w:ascii="Arial"/>
                <w:sz w:val="20"/>
              </w:rPr>
              <w:t>( </w:t>
            </w:r>
            <w:r>
              <w:rPr>
                <w:rFonts w:ascii="Arial"/>
                <w:sz w:val="20"/>
                <w:u w:val="thick" w:color="000000"/>
              </w:rPr>
              <w:t> 7,917,057</w:t>
            </w:r>
            <w:r>
              <w:rPr>
                <w:rFonts w:ascii="Arial"/>
                <w:spacing w:val="-18"/>
                <w:sz w:val="20"/>
                <w:u w:val="thick" w:color="000000"/>
              </w:rPr>
              <w:t> </w:t>
            </w:r>
            <w:r>
              <w:rPr>
                <w:rFonts w:ascii="Arial"/>
                <w:spacing w:val="-18"/>
                <w:sz w:val="20"/>
              </w:rPr>
            </w:r>
            <w:r>
              <w:rPr>
                <w:rFonts w:ascii="Arial"/>
                <w:sz w:val="20"/>
              </w:rPr>
              <w:t>)</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25"/>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3"/>
                <w:sz w:val="20"/>
                <w:u w:val="thick" w:color="000000"/>
              </w:rPr>
              <w:t> </w:t>
            </w:r>
            <w:r>
              <w:rPr>
                <w:rFonts w:ascii="Arial"/>
                <w:sz w:val="20"/>
                <w:u w:val="thick" w:color="000000"/>
              </w:rPr>
              <w:t>1,965,729</w:t>
            </w:r>
            <w:r>
              <w:rPr>
                <w:rFonts w:ascii="Arial"/>
                <w:sz w:val="20"/>
              </w:rPr>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48"/>
              <w:jc w:val="right"/>
              <w:rPr>
                <w:rFonts w:ascii="Arial" w:hAnsi="Arial" w:cs="Arial" w:eastAsia="Arial" w:hint="default"/>
                <w:sz w:val="20"/>
                <w:szCs w:val="20"/>
              </w:rPr>
            </w:pPr>
            <w:r>
              <w:rPr>
                <w:rFonts w:ascii="Arial"/>
                <w:w w:val="100"/>
                <w:sz w:val="20"/>
              </w:rPr>
            </w:r>
            <w:r>
              <w:rPr>
                <w:rFonts w:ascii="Arial"/>
                <w:spacing w:val="-1"/>
                <w:sz w:val="20"/>
                <w:u w:val="thick" w:color="000000"/>
              </w:rPr>
              <w:t>485,878,430</w:t>
            </w:r>
            <w:r>
              <w:rPr>
                <w:rFonts w:ascii="Arial"/>
                <w:spacing w:val="-1"/>
                <w:sz w:val="20"/>
              </w:rPr>
            </w:r>
          </w:p>
        </w:tc>
      </w:tr>
      <w:tr>
        <w:trPr>
          <w:trHeight w:val="539"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b/>
                <w:bCs/>
                <w:sz w:val="18"/>
                <w:szCs w:val="18"/>
              </w:rPr>
            </w:pPr>
          </w:p>
          <w:p>
            <w:pPr>
              <w:pStyle w:val="TableParagraph"/>
              <w:spacing w:line="240" w:lineRule="auto"/>
              <w:ind w:left="726" w:right="0"/>
              <w:jc w:val="left"/>
              <w:rPr>
                <w:rFonts w:ascii="黑体" w:hAnsi="黑体" w:cs="黑体" w:eastAsia="黑体" w:hint="default"/>
                <w:sz w:val="20"/>
                <w:szCs w:val="20"/>
              </w:rPr>
            </w:pPr>
            <w:r>
              <w:rPr>
                <w:rFonts w:ascii="黑体" w:hAnsi="黑体" w:cs="黑体" w:eastAsia="黑体" w:hint="default"/>
                <w:sz w:val="20"/>
                <w:szCs w:val="20"/>
              </w:rPr>
              <w:t>减值准备</w:t>
            </w:r>
          </w:p>
        </w:tc>
        <w:tc>
          <w:tcPr>
            <w:tcW w:w="1369" w:type="dxa"/>
            <w:tcBorders>
              <w:top w:val="nil" w:sz="6" w:space="0" w:color="auto"/>
              <w:left w:val="nil" w:sz="6" w:space="0" w:color="auto"/>
              <w:bottom w:val="nil" w:sz="6" w:space="0" w:color="auto"/>
              <w:right w:val="nil" w:sz="6" w:space="0" w:color="auto"/>
            </w:tcBorders>
          </w:tcPr>
          <w:p>
            <w:pPr/>
          </w:p>
        </w:tc>
        <w:tc>
          <w:tcPr>
            <w:tcW w:w="1035" w:type="dxa"/>
            <w:tcBorders>
              <w:top w:val="nil" w:sz="6" w:space="0" w:color="auto"/>
              <w:left w:val="nil" w:sz="6" w:space="0" w:color="auto"/>
              <w:bottom w:val="nil" w:sz="6" w:space="0" w:color="auto"/>
              <w:right w:val="nil" w:sz="6" w:space="0" w:color="auto"/>
            </w:tcBorders>
          </w:tcPr>
          <w:p>
            <w:pPr/>
          </w:p>
        </w:tc>
        <w:tc>
          <w:tcPr>
            <w:tcW w:w="1147" w:type="dxa"/>
            <w:tcBorders>
              <w:top w:val="nil" w:sz="6" w:space="0" w:color="auto"/>
              <w:left w:val="nil" w:sz="6" w:space="0" w:color="auto"/>
              <w:bottom w:val="nil" w:sz="6" w:space="0" w:color="auto"/>
              <w:right w:val="nil" w:sz="6" w:space="0" w:color="auto"/>
            </w:tcBorders>
          </w:tcPr>
          <w:p>
            <w:pPr/>
          </w:p>
        </w:tc>
        <w:tc>
          <w:tcPr>
            <w:tcW w:w="1153" w:type="dxa"/>
            <w:tcBorders>
              <w:top w:val="nil" w:sz="6" w:space="0" w:color="auto"/>
              <w:left w:val="nil" w:sz="6" w:space="0" w:color="auto"/>
              <w:bottom w:val="nil" w:sz="6" w:space="0" w:color="auto"/>
              <w:right w:val="nil" w:sz="6" w:space="0" w:color="auto"/>
            </w:tcBorders>
          </w:tcPr>
          <w:p>
            <w:pPr/>
          </w:p>
        </w:tc>
        <w:tc>
          <w:tcPr>
            <w:tcW w:w="211" w:type="dxa"/>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nil" w:sz="6" w:space="0" w:color="auto"/>
            </w:tcBorders>
          </w:tcPr>
          <w:p>
            <w:pPr/>
          </w:p>
        </w:tc>
      </w:tr>
      <w:tr>
        <w:trPr>
          <w:trHeight w:val="263" w:hRule="exact"/>
        </w:trPr>
        <w:tc>
          <w:tcPr>
            <w:tcW w:w="4557" w:type="dxa"/>
            <w:gridSpan w:val="3"/>
            <w:tcBorders>
              <w:top w:val="nil" w:sz="6" w:space="0" w:color="auto"/>
              <w:left w:val="nil" w:sz="6" w:space="0" w:color="auto"/>
              <w:bottom w:val="nil" w:sz="6" w:space="0" w:color="auto"/>
              <w:right w:val="nil" w:sz="6" w:space="0" w:color="auto"/>
            </w:tcBorders>
          </w:tcPr>
          <w:p>
            <w:pPr>
              <w:pStyle w:val="TableParagraph"/>
              <w:tabs>
                <w:tab w:pos="3225" w:val="left" w:leader="none"/>
                <w:tab w:pos="4371" w:val="left" w:leader="none"/>
              </w:tabs>
              <w:spacing w:line="240" w:lineRule="exact"/>
              <w:ind w:left="726" w:right="0"/>
              <w:jc w:val="left"/>
              <w:rPr>
                <w:rFonts w:ascii="Arial" w:hAnsi="Arial" w:cs="Arial" w:eastAsia="Arial" w:hint="default"/>
                <w:sz w:val="20"/>
                <w:szCs w:val="20"/>
              </w:rPr>
            </w:pPr>
            <w:r>
              <w:rPr>
                <w:rFonts w:ascii="黑体" w:hAnsi="黑体" w:cs="黑体" w:eastAsia="黑体" w:hint="default"/>
                <w:spacing w:val="-1"/>
                <w:sz w:val="20"/>
                <w:szCs w:val="20"/>
              </w:rPr>
              <w:t>房屋及建筑物</w:t>
              <w:tab/>
            </w:r>
            <w:r>
              <w:rPr>
                <w:rFonts w:ascii="Arial" w:hAnsi="Arial" w:cs="Arial" w:eastAsia="Arial" w:hint="default"/>
                <w:sz w:val="20"/>
                <w:szCs w:val="20"/>
              </w:rPr>
              <w:t>-</w:t>
              <w:tab/>
              <w:t>-</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36"/>
              <w:jc w:val="right"/>
              <w:rPr>
                <w:rFonts w:ascii="Arial" w:hAnsi="Arial" w:cs="Arial" w:eastAsia="Arial" w:hint="default"/>
                <w:sz w:val="20"/>
                <w:szCs w:val="20"/>
              </w:rPr>
            </w:pPr>
            <w:r>
              <w:rPr>
                <w:rFonts w:ascii="Arial"/>
                <w:w w:val="100"/>
                <w:sz w:val="20"/>
              </w:rPr>
              <w:t>-</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
              <w:jc w:val="right"/>
              <w:rPr>
                <w:rFonts w:ascii="Arial" w:hAnsi="Arial" w:cs="Arial" w:eastAsia="Arial" w:hint="default"/>
                <w:sz w:val="20"/>
                <w:szCs w:val="20"/>
              </w:rPr>
            </w:pPr>
            <w:r>
              <w:rPr>
                <w:rFonts w:ascii="Arial"/>
                <w:w w:val="100"/>
                <w:sz w:val="20"/>
              </w:rPr>
              <w:t>-</w:t>
            </w: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126"/>
              <w:jc w:val="right"/>
              <w:rPr>
                <w:rFonts w:ascii="Arial" w:hAnsi="Arial" w:cs="Arial" w:eastAsia="Arial" w:hint="default"/>
                <w:sz w:val="20"/>
                <w:szCs w:val="20"/>
              </w:rPr>
            </w:pPr>
            <w:r>
              <w:rPr>
                <w:rFonts w:ascii="Arial"/>
                <w:w w:val="100"/>
                <w:sz w:val="20"/>
              </w:rPr>
              <w:t>-</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0"/>
              <w:jc w:val="right"/>
              <w:rPr>
                <w:rFonts w:ascii="Arial" w:hAnsi="Arial" w:cs="Arial" w:eastAsia="Arial" w:hint="default"/>
                <w:sz w:val="20"/>
                <w:szCs w:val="20"/>
              </w:rPr>
            </w:pPr>
            <w:r>
              <w:rPr>
                <w:rFonts w:ascii="Arial"/>
                <w:w w:val="100"/>
                <w:sz w:val="20"/>
              </w:rPr>
              <w:t>-</w:t>
            </w:r>
          </w:p>
        </w:tc>
      </w:tr>
      <w:tr>
        <w:trPr>
          <w:trHeight w:val="259" w:hRule="exact"/>
        </w:trPr>
        <w:tc>
          <w:tcPr>
            <w:tcW w:w="4557" w:type="dxa"/>
            <w:gridSpan w:val="3"/>
            <w:tcBorders>
              <w:top w:val="nil" w:sz="6" w:space="0" w:color="auto"/>
              <w:left w:val="nil" w:sz="6" w:space="0" w:color="auto"/>
              <w:bottom w:val="nil" w:sz="6" w:space="0" w:color="auto"/>
              <w:right w:val="nil" w:sz="6" w:space="0" w:color="auto"/>
            </w:tcBorders>
          </w:tcPr>
          <w:p>
            <w:pPr>
              <w:pStyle w:val="TableParagraph"/>
              <w:tabs>
                <w:tab w:pos="3225" w:val="left" w:leader="none"/>
                <w:tab w:pos="4371" w:val="left" w:leader="none"/>
              </w:tabs>
              <w:spacing w:line="237" w:lineRule="exact"/>
              <w:ind w:left="726" w:right="0"/>
              <w:jc w:val="left"/>
              <w:rPr>
                <w:rFonts w:ascii="Arial" w:hAnsi="Arial" w:cs="Arial" w:eastAsia="Arial" w:hint="default"/>
                <w:sz w:val="20"/>
                <w:szCs w:val="20"/>
              </w:rPr>
            </w:pPr>
            <w:r>
              <w:rPr>
                <w:rFonts w:ascii="黑体" w:hAnsi="黑体" w:cs="黑体" w:eastAsia="黑体" w:hint="default"/>
                <w:sz w:val="20"/>
                <w:szCs w:val="20"/>
              </w:rPr>
              <w:t>机器设备</w:t>
              <w:tab/>
            </w:r>
            <w:r>
              <w:rPr>
                <w:rFonts w:ascii="Arial" w:hAnsi="Arial" w:cs="Arial" w:eastAsia="Arial" w:hint="default"/>
                <w:sz w:val="20"/>
                <w:szCs w:val="20"/>
              </w:rPr>
              <w:t>-</w:t>
              <w:tab/>
              <w:t>-</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6"/>
              <w:jc w:val="right"/>
              <w:rPr>
                <w:rFonts w:ascii="Arial" w:hAnsi="Arial" w:cs="Arial" w:eastAsia="Arial" w:hint="default"/>
                <w:sz w:val="20"/>
                <w:szCs w:val="20"/>
              </w:rPr>
            </w:pPr>
            <w:r>
              <w:rPr>
                <w:rFonts w:ascii="Arial"/>
                <w:w w:val="100"/>
                <w:sz w:val="20"/>
              </w:rPr>
              <w:t>-</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
              <w:jc w:val="right"/>
              <w:rPr>
                <w:rFonts w:ascii="Arial" w:hAnsi="Arial" w:cs="Arial" w:eastAsia="Arial" w:hint="default"/>
                <w:sz w:val="20"/>
                <w:szCs w:val="20"/>
              </w:rPr>
            </w:pPr>
            <w:r>
              <w:rPr>
                <w:rFonts w:ascii="Arial"/>
                <w:w w:val="100"/>
                <w:sz w:val="20"/>
              </w:rPr>
              <w:t>-</w:t>
            </w: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
              <w:ind w:right="126"/>
              <w:jc w:val="right"/>
              <w:rPr>
                <w:rFonts w:ascii="Arial" w:hAnsi="Arial" w:cs="Arial" w:eastAsia="Arial" w:hint="default"/>
                <w:sz w:val="20"/>
                <w:szCs w:val="20"/>
              </w:rPr>
            </w:pPr>
            <w:r>
              <w:rPr>
                <w:rFonts w:ascii="Arial"/>
                <w:w w:val="100"/>
                <w:sz w:val="20"/>
              </w:rPr>
              <w:t>-</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50"/>
              <w:jc w:val="right"/>
              <w:rPr>
                <w:rFonts w:ascii="Arial" w:hAnsi="Arial" w:cs="Arial" w:eastAsia="Arial" w:hint="default"/>
                <w:sz w:val="20"/>
                <w:szCs w:val="20"/>
              </w:rPr>
            </w:pPr>
            <w:r>
              <w:rPr>
                <w:rFonts w:ascii="Arial"/>
                <w:w w:val="100"/>
                <w:sz w:val="20"/>
              </w:rPr>
              <w:t>-</w:t>
            </w:r>
          </w:p>
        </w:tc>
      </w:tr>
      <w:tr>
        <w:trPr>
          <w:trHeight w:val="260" w:hRule="exact"/>
        </w:trPr>
        <w:tc>
          <w:tcPr>
            <w:tcW w:w="4557" w:type="dxa"/>
            <w:gridSpan w:val="3"/>
            <w:tcBorders>
              <w:top w:val="nil" w:sz="6" w:space="0" w:color="auto"/>
              <w:left w:val="nil" w:sz="6" w:space="0" w:color="auto"/>
              <w:bottom w:val="nil" w:sz="6" w:space="0" w:color="auto"/>
              <w:right w:val="nil" w:sz="6" w:space="0" w:color="auto"/>
            </w:tcBorders>
          </w:tcPr>
          <w:p>
            <w:pPr>
              <w:pStyle w:val="TableParagraph"/>
              <w:tabs>
                <w:tab w:pos="3225" w:val="left" w:leader="none"/>
                <w:tab w:pos="4371" w:val="left" w:leader="none"/>
              </w:tabs>
              <w:spacing w:line="237" w:lineRule="exact"/>
              <w:ind w:left="726" w:right="0"/>
              <w:jc w:val="left"/>
              <w:rPr>
                <w:rFonts w:ascii="Arial" w:hAnsi="Arial" w:cs="Arial" w:eastAsia="Arial" w:hint="default"/>
                <w:sz w:val="20"/>
                <w:szCs w:val="20"/>
              </w:rPr>
            </w:pPr>
            <w:r>
              <w:rPr>
                <w:rFonts w:ascii="黑体" w:hAnsi="黑体" w:cs="黑体" w:eastAsia="黑体" w:hint="default"/>
                <w:sz w:val="20"/>
                <w:szCs w:val="20"/>
              </w:rPr>
              <w:t>运输工具</w:t>
              <w:tab/>
            </w:r>
            <w:r>
              <w:rPr>
                <w:rFonts w:ascii="Arial" w:hAnsi="Arial" w:cs="Arial" w:eastAsia="Arial" w:hint="default"/>
                <w:sz w:val="20"/>
                <w:szCs w:val="20"/>
              </w:rPr>
              <w:t>-</w:t>
              <w:tab/>
              <w:t>-</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6"/>
              <w:jc w:val="right"/>
              <w:rPr>
                <w:rFonts w:ascii="Arial" w:hAnsi="Arial" w:cs="Arial" w:eastAsia="Arial" w:hint="default"/>
                <w:sz w:val="20"/>
                <w:szCs w:val="20"/>
              </w:rPr>
            </w:pPr>
            <w:r>
              <w:rPr>
                <w:rFonts w:ascii="Arial"/>
                <w:w w:val="100"/>
                <w:sz w:val="20"/>
              </w:rPr>
              <w:t>-</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
              <w:jc w:val="right"/>
              <w:rPr>
                <w:rFonts w:ascii="Arial" w:hAnsi="Arial" w:cs="Arial" w:eastAsia="Arial" w:hint="default"/>
                <w:sz w:val="20"/>
                <w:szCs w:val="20"/>
              </w:rPr>
            </w:pPr>
            <w:r>
              <w:rPr>
                <w:rFonts w:ascii="Arial"/>
                <w:w w:val="100"/>
                <w:sz w:val="20"/>
              </w:rPr>
              <w:t>-</w:t>
            </w: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
              <w:ind w:right="126"/>
              <w:jc w:val="right"/>
              <w:rPr>
                <w:rFonts w:ascii="Arial" w:hAnsi="Arial" w:cs="Arial" w:eastAsia="Arial" w:hint="default"/>
                <w:sz w:val="20"/>
                <w:szCs w:val="20"/>
              </w:rPr>
            </w:pPr>
            <w:r>
              <w:rPr>
                <w:rFonts w:ascii="Arial"/>
                <w:w w:val="100"/>
                <w:sz w:val="20"/>
              </w:rPr>
              <w:t>-</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50"/>
              <w:jc w:val="right"/>
              <w:rPr>
                <w:rFonts w:ascii="Arial" w:hAnsi="Arial" w:cs="Arial" w:eastAsia="Arial" w:hint="default"/>
                <w:sz w:val="20"/>
                <w:szCs w:val="20"/>
              </w:rPr>
            </w:pPr>
            <w:r>
              <w:rPr>
                <w:rFonts w:ascii="Arial"/>
                <w:w w:val="100"/>
                <w:sz w:val="20"/>
              </w:rPr>
              <w:t>-</w:t>
            </w:r>
          </w:p>
        </w:tc>
      </w:tr>
      <w:tr>
        <w:trPr>
          <w:trHeight w:val="258" w:hRule="exact"/>
        </w:trPr>
        <w:tc>
          <w:tcPr>
            <w:tcW w:w="4557" w:type="dxa"/>
            <w:gridSpan w:val="3"/>
            <w:tcBorders>
              <w:top w:val="nil" w:sz="6" w:space="0" w:color="auto"/>
              <w:left w:val="nil" w:sz="6" w:space="0" w:color="auto"/>
              <w:bottom w:val="nil" w:sz="6" w:space="0" w:color="auto"/>
              <w:right w:val="nil" w:sz="6" w:space="0" w:color="auto"/>
            </w:tcBorders>
          </w:tcPr>
          <w:p>
            <w:pPr>
              <w:pStyle w:val="TableParagraph"/>
              <w:tabs>
                <w:tab w:pos="3224" w:val="left" w:leader="none"/>
                <w:tab w:pos="3572" w:val="left" w:leader="none"/>
                <w:tab w:pos="4372" w:val="left" w:leader="none"/>
              </w:tabs>
              <w:spacing w:line="237" w:lineRule="exact"/>
              <w:ind w:left="726" w:right="0"/>
              <w:jc w:val="left"/>
              <w:rPr>
                <w:rFonts w:ascii="Arial" w:hAnsi="Arial" w:cs="Arial" w:eastAsia="Arial" w:hint="default"/>
                <w:sz w:val="20"/>
                <w:szCs w:val="20"/>
              </w:rPr>
            </w:pPr>
            <w:r>
              <w:rPr>
                <w:rFonts w:ascii="黑体" w:hAnsi="黑体" w:cs="黑体" w:eastAsia="黑体" w:hint="default"/>
                <w:spacing w:val="-1"/>
                <w:sz w:val="20"/>
                <w:szCs w:val="20"/>
              </w:rPr>
              <w:t>办公及电子设备</w:t>
            </w:r>
            <w:r>
              <w:rPr>
                <w:rFonts w:ascii="Arial" w:hAnsi="Arial" w:cs="Arial" w:eastAsia="Arial" w:hint="default"/>
                <w:spacing w:val="-1"/>
                <w:sz w:val="20"/>
                <w:szCs w:val="20"/>
              </w:rPr>
            </w:r>
            <w:r>
              <w:rPr>
                <w:rFonts w:ascii="Arial" w:hAnsi="Arial" w:cs="Arial" w:eastAsia="Arial" w:hint="default"/>
                <w:spacing w:val="-1"/>
                <w:sz w:val="20"/>
                <w:szCs w:val="20"/>
                <w:u w:val="single" w:color="000000"/>
              </w:rPr>
              <w:t> </w:t>
              <w:tab/>
            </w:r>
            <w:r>
              <w:rPr>
                <w:rFonts w:ascii="Arial" w:hAnsi="Arial" w:cs="Arial" w:eastAsia="Arial" w:hint="default"/>
                <w:sz w:val="20"/>
                <w:szCs w:val="20"/>
                <w:u w:val="single" w:color="000000"/>
              </w:rPr>
              <w:t>-</w:t>
            </w:r>
            <w:r>
              <w:rPr>
                <w:rFonts w:ascii="Arial" w:hAnsi="Arial" w:cs="Arial" w:eastAsia="Arial" w:hint="default"/>
                <w:sz w:val="20"/>
                <w:szCs w:val="20"/>
              </w:rPr>
              <w:tab/>
            </w:r>
            <w:r>
              <w:rPr>
                <w:rFonts w:ascii="Arial" w:hAnsi="Arial" w:cs="Arial" w:eastAsia="Arial" w:hint="default"/>
                <w:sz w:val="20"/>
                <w:szCs w:val="20"/>
                <w:u w:val="single" w:color="000000"/>
              </w:rPr>
              <w:t> </w:t>
              <w:tab/>
              <w:t>-</w:t>
            </w:r>
            <w:r>
              <w:rPr>
                <w:rFonts w:ascii="Arial" w:hAnsi="Arial" w:cs="Arial" w:eastAsia="Arial" w:hint="default"/>
                <w:sz w:val="20"/>
                <w:szCs w:val="20"/>
              </w:rPr>
            </w:r>
          </w:p>
        </w:tc>
        <w:tc>
          <w:tcPr>
            <w:tcW w:w="1147"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5"/>
              <w:ind w:right="13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153"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5"/>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469" w:type="dxa"/>
            <w:gridSpan w:val="2"/>
            <w:tcBorders>
              <w:top w:val="nil" w:sz="6" w:space="0" w:color="auto"/>
              <w:left w:val="nil" w:sz="6" w:space="0" w:color="auto"/>
              <w:bottom w:val="nil" w:sz="6" w:space="0" w:color="auto"/>
              <w:right w:val="nil" w:sz="6" w:space="0" w:color="auto"/>
            </w:tcBorders>
          </w:tcPr>
          <w:p>
            <w:pPr>
              <w:pStyle w:val="TableParagraph"/>
              <w:tabs>
                <w:tab w:pos="1274" w:val="left" w:leader="none"/>
              </w:tabs>
              <w:spacing w:line="240" w:lineRule="auto" w:before="5"/>
              <w:ind w:left="375"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292"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5"/>
              <w:ind w:right="5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381" w:hRule="exact"/>
        </w:trPr>
        <w:tc>
          <w:tcPr>
            <w:tcW w:w="4557" w:type="dxa"/>
            <w:gridSpan w:val="3"/>
            <w:tcBorders>
              <w:top w:val="nil" w:sz="6" w:space="0" w:color="auto"/>
              <w:left w:val="nil" w:sz="6" w:space="0" w:color="auto"/>
              <w:bottom w:val="nil" w:sz="6" w:space="0" w:color="auto"/>
              <w:right w:val="nil" w:sz="6" w:space="0" w:color="auto"/>
            </w:tcBorders>
          </w:tcPr>
          <w:p>
            <w:pPr>
              <w:pStyle w:val="TableParagraph"/>
              <w:tabs>
                <w:tab w:pos="3224" w:val="left" w:leader="none"/>
                <w:tab w:pos="3572" w:val="left" w:leader="none"/>
                <w:tab w:pos="4372" w:val="left" w:leader="none"/>
              </w:tabs>
              <w:spacing w:line="240" w:lineRule="auto" w:before="2"/>
              <w:ind w:left="2226"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tab/>
            </w:r>
            <w:r>
              <w:rPr>
                <w:rFonts w:ascii="Arial"/>
                <w:sz w:val="20"/>
                <w:u w:val="thick" w:color="000000"/>
              </w:rPr>
              <w:t> </w:t>
              <w:tab/>
              <w:t>-</w:t>
            </w:r>
            <w:r>
              <w:rPr>
                <w:rFonts w:ascii="Arial"/>
                <w:sz w:val="20"/>
              </w:rPr>
            </w:r>
          </w:p>
        </w:tc>
        <w:tc>
          <w:tcPr>
            <w:tcW w:w="1147"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2"/>
              <w:ind w:right="136"/>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153"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2"/>
              <w:ind w:right="0"/>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469" w:type="dxa"/>
            <w:gridSpan w:val="2"/>
            <w:tcBorders>
              <w:top w:val="nil" w:sz="6" w:space="0" w:color="auto"/>
              <w:left w:val="nil" w:sz="6" w:space="0" w:color="auto"/>
              <w:bottom w:val="nil" w:sz="6" w:space="0" w:color="auto"/>
              <w:right w:val="nil" w:sz="6" w:space="0" w:color="auto"/>
            </w:tcBorders>
          </w:tcPr>
          <w:p>
            <w:pPr>
              <w:pStyle w:val="TableParagraph"/>
              <w:tabs>
                <w:tab w:pos="1274" w:val="left" w:leader="none"/>
              </w:tabs>
              <w:spacing w:line="240" w:lineRule="auto" w:before="2"/>
              <w:ind w:left="375"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292"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2"/>
              <w:ind w:right="51"/>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r>
      <w:tr>
        <w:trPr>
          <w:trHeight w:val="383"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26" w:right="0"/>
              <w:jc w:val="left"/>
              <w:rPr>
                <w:rFonts w:ascii="黑体" w:hAnsi="黑体" w:cs="黑体" w:eastAsia="黑体" w:hint="default"/>
                <w:sz w:val="20"/>
                <w:szCs w:val="20"/>
              </w:rPr>
            </w:pPr>
            <w:r>
              <w:rPr>
                <w:rFonts w:ascii="黑体" w:hAnsi="黑体" w:cs="黑体" w:eastAsia="黑体" w:hint="default"/>
                <w:sz w:val="20"/>
                <w:szCs w:val="20"/>
              </w:rPr>
              <w:t>账面价值</w:t>
            </w:r>
          </w:p>
        </w:tc>
        <w:tc>
          <w:tcPr>
            <w:tcW w:w="1369" w:type="dxa"/>
            <w:tcBorders>
              <w:top w:val="nil" w:sz="6" w:space="0" w:color="auto"/>
              <w:left w:val="nil" w:sz="6" w:space="0" w:color="auto"/>
              <w:bottom w:val="nil" w:sz="6" w:space="0" w:color="auto"/>
              <w:right w:val="nil" w:sz="6" w:space="0" w:color="auto"/>
            </w:tcBorders>
          </w:tcPr>
          <w:p>
            <w:pPr/>
          </w:p>
        </w:tc>
        <w:tc>
          <w:tcPr>
            <w:tcW w:w="1035" w:type="dxa"/>
            <w:tcBorders>
              <w:top w:val="nil" w:sz="6" w:space="0" w:color="auto"/>
              <w:left w:val="nil" w:sz="6" w:space="0" w:color="auto"/>
              <w:bottom w:val="nil" w:sz="6" w:space="0" w:color="auto"/>
              <w:right w:val="nil" w:sz="6" w:space="0" w:color="auto"/>
            </w:tcBorders>
          </w:tcPr>
          <w:p>
            <w:pPr/>
          </w:p>
        </w:tc>
        <w:tc>
          <w:tcPr>
            <w:tcW w:w="1147" w:type="dxa"/>
            <w:tcBorders>
              <w:top w:val="nil" w:sz="6" w:space="0" w:color="auto"/>
              <w:left w:val="nil" w:sz="6" w:space="0" w:color="auto"/>
              <w:bottom w:val="nil" w:sz="6" w:space="0" w:color="auto"/>
              <w:right w:val="nil" w:sz="6" w:space="0" w:color="auto"/>
            </w:tcBorders>
          </w:tcPr>
          <w:p>
            <w:pPr/>
          </w:p>
        </w:tc>
        <w:tc>
          <w:tcPr>
            <w:tcW w:w="1364" w:type="dxa"/>
            <w:gridSpan w:val="2"/>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nil" w:sz="6" w:space="0" w:color="auto"/>
            </w:tcBorders>
          </w:tcPr>
          <w:p>
            <w:pPr/>
          </w:p>
        </w:tc>
      </w:tr>
      <w:tr>
        <w:trPr>
          <w:trHeight w:val="263"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30" w:lineRule="exact"/>
              <w:ind w:left="726" w:right="0"/>
              <w:jc w:val="left"/>
              <w:rPr>
                <w:rFonts w:ascii="黑体" w:hAnsi="黑体" w:cs="黑体" w:eastAsia="黑体" w:hint="default"/>
                <w:sz w:val="20"/>
                <w:szCs w:val="20"/>
              </w:rPr>
            </w:pPr>
            <w:r>
              <w:rPr>
                <w:rFonts w:ascii="黑体" w:hAnsi="黑体" w:cs="黑体" w:eastAsia="黑体" w:hint="default"/>
                <w:sz w:val="20"/>
                <w:szCs w:val="20"/>
              </w:rPr>
              <w:t>房屋及建筑物</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26"/>
              <w:jc w:val="right"/>
              <w:rPr>
                <w:rFonts w:ascii="Arial" w:hAnsi="Arial" w:cs="Arial" w:eastAsia="Arial" w:hint="default"/>
                <w:sz w:val="20"/>
                <w:szCs w:val="20"/>
              </w:rPr>
            </w:pPr>
            <w:r>
              <w:rPr>
                <w:rFonts w:ascii="Arial"/>
                <w:spacing w:val="-1"/>
                <w:sz w:val="20"/>
              </w:rPr>
              <w:t>357,139,406</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16"/>
              <w:jc w:val="right"/>
              <w:rPr>
                <w:rFonts w:ascii="Arial" w:hAnsi="Arial" w:cs="Arial" w:eastAsia="Arial" w:hint="default"/>
                <w:sz w:val="20"/>
                <w:szCs w:val="20"/>
              </w:rPr>
            </w:pPr>
            <w:r>
              <w:rPr>
                <w:rFonts w:ascii="Arial"/>
                <w:w w:val="100"/>
                <w:sz w:val="20"/>
              </w:rPr>
              <w:t>-</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36"/>
              <w:jc w:val="right"/>
              <w:rPr>
                <w:rFonts w:ascii="Arial" w:hAnsi="Arial" w:cs="Arial" w:eastAsia="Arial" w:hint="default"/>
                <w:sz w:val="20"/>
                <w:szCs w:val="20"/>
              </w:rPr>
            </w:pPr>
            <w:r>
              <w:rPr>
                <w:rFonts w:ascii="Arial"/>
                <w:spacing w:val="-1"/>
                <w:sz w:val="20"/>
              </w:rPr>
              <w:t>2,283,966</w:t>
            </w:r>
          </w:p>
        </w:tc>
        <w:tc>
          <w:tcPr>
            <w:tcW w:w="13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left="138" w:right="0"/>
              <w:jc w:val="left"/>
              <w:rPr>
                <w:rFonts w:ascii="Arial" w:hAnsi="Arial" w:cs="Arial" w:eastAsia="Arial" w:hint="default"/>
                <w:sz w:val="20"/>
                <w:szCs w:val="20"/>
              </w:rPr>
            </w:pPr>
            <w:r>
              <w:rPr>
                <w:rFonts w:ascii="Arial"/>
                <w:sz w:val="20"/>
              </w:rPr>
              <w:t>( 8,160,672</w:t>
            </w:r>
            <w:r>
              <w:rPr>
                <w:rFonts w:ascii="Arial"/>
                <w:spacing w:val="-18"/>
                <w:sz w:val="20"/>
              </w:rPr>
              <w:t> </w:t>
            </w:r>
            <w:r>
              <w:rPr>
                <w:rFonts w:ascii="Arial"/>
                <w:sz w:val="20"/>
              </w:rPr>
              <w:t>)</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26"/>
              <w:jc w:val="right"/>
              <w:rPr>
                <w:rFonts w:ascii="Arial" w:hAnsi="Arial" w:cs="Arial" w:eastAsia="Arial" w:hint="default"/>
                <w:sz w:val="20"/>
                <w:szCs w:val="20"/>
              </w:rPr>
            </w:pPr>
            <w:r>
              <w:rPr>
                <w:rFonts w:ascii="Arial"/>
                <w:spacing w:val="-1"/>
                <w:sz w:val="20"/>
              </w:rPr>
              <w:t>639,127</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9"/>
              <w:jc w:val="right"/>
              <w:rPr>
                <w:rFonts w:ascii="Arial" w:hAnsi="Arial" w:cs="Arial" w:eastAsia="Arial" w:hint="default"/>
                <w:sz w:val="20"/>
                <w:szCs w:val="20"/>
              </w:rPr>
            </w:pPr>
            <w:r>
              <w:rPr>
                <w:rFonts w:ascii="Arial"/>
                <w:spacing w:val="-1"/>
                <w:sz w:val="20"/>
              </w:rPr>
              <w:t>350,623,573</w:t>
            </w:r>
          </w:p>
        </w:tc>
      </w:tr>
      <w:tr>
        <w:trPr>
          <w:trHeight w:val="259"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26" w:lineRule="exact"/>
              <w:ind w:left="726" w:right="0"/>
              <w:jc w:val="left"/>
              <w:rPr>
                <w:rFonts w:ascii="黑体" w:hAnsi="黑体" w:cs="黑体" w:eastAsia="黑体" w:hint="default"/>
                <w:sz w:val="20"/>
                <w:szCs w:val="20"/>
              </w:rPr>
            </w:pPr>
            <w:r>
              <w:rPr>
                <w:rFonts w:ascii="黑体" w:hAnsi="黑体" w:cs="黑体" w:eastAsia="黑体" w:hint="default"/>
                <w:sz w:val="20"/>
                <w:szCs w:val="20"/>
              </w:rPr>
              <w:t>机器设备</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7"/>
              <w:jc w:val="right"/>
              <w:rPr>
                <w:rFonts w:ascii="Arial" w:hAnsi="Arial" w:cs="Arial" w:eastAsia="Arial" w:hint="default"/>
                <w:sz w:val="20"/>
                <w:szCs w:val="20"/>
              </w:rPr>
            </w:pPr>
            <w:r>
              <w:rPr>
                <w:rFonts w:ascii="Arial"/>
                <w:spacing w:val="-1"/>
                <w:sz w:val="20"/>
              </w:rPr>
              <w:t>61,636,295</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16"/>
              <w:jc w:val="right"/>
              <w:rPr>
                <w:rFonts w:ascii="Arial" w:hAnsi="Arial" w:cs="Arial" w:eastAsia="Arial" w:hint="default"/>
                <w:sz w:val="20"/>
                <w:szCs w:val="20"/>
              </w:rPr>
            </w:pPr>
            <w:r>
              <w:rPr>
                <w:rFonts w:ascii="Arial"/>
                <w:w w:val="100"/>
                <w:sz w:val="20"/>
              </w:rPr>
              <w:t>-</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36"/>
              <w:jc w:val="right"/>
              <w:rPr>
                <w:rFonts w:ascii="Arial" w:hAnsi="Arial" w:cs="Arial" w:eastAsia="Arial" w:hint="default"/>
                <w:sz w:val="20"/>
                <w:szCs w:val="20"/>
              </w:rPr>
            </w:pPr>
            <w:r>
              <w:rPr>
                <w:rFonts w:ascii="Arial"/>
                <w:w w:val="100"/>
                <w:sz w:val="20"/>
              </w:rPr>
              <w:t>-</w:t>
            </w:r>
          </w:p>
        </w:tc>
        <w:tc>
          <w:tcPr>
            <w:tcW w:w="13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left="137" w:right="0"/>
              <w:jc w:val="left"/>
              <w:rPr>
                <w:rFonts w:ascii="Arial" w:hAnsi="Arial" w:cs="Arial" w:eastAsia="Arial" w:hint="default"/>
                <w:sz w:val="20"/>
                <w:szCs w:val="20"/>
              </w:rPr>
            </w:pPr>
            <w:r>
              <w:rPr>
                <w:rFonts w:ascii="Arial"/>
                <w:sz w:val="20"/>
              </w:rPr>
              <w:t>( 2,406,842</w:t>
            </w:r>
            <w:r>
              <w:rPr>
                <w:rFonts w:ascii="Arial"/>
                <w:spacing w:val="-24"/>
                <w:sz w:val="20"/>
              </w:rPr>
              <w:t> </w:t>
            </w:r>
            <w:r>
              <w:rPr>
                <w:rFonts w:ascii="Arial"/>
                <w:sz w:val="20"/>
              </w:rPr>
              <w:t>)</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6"/>
              <w:jc w:val="right"/>
              <w:rPr>
                <w:rFonts w:ascii="Arial" w:hAnsi="Arial" w:cs="Arial" w:eastAsia="Arial" w:hint="default"/>
                <w:sz w:val="20"/>
                <w:szCs w:val="20"/>
              </w:rPr>
            </w:pPr>
            <w:r>
              <w:rPr>
                <w:rFonts w:ascii="Arial"/>
                <w:w w:val="100"/>
                <w:sz w:val="20"/>
              </w:rPr>
              <w:t>-</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0"/>
              <w:jc w:val="right"/>
              <w:rPr>
                <w:rFonts w:ascii="Arial" w:hAnsi="Arial" w:cs="Arial" w:eastAsia="Arial" w:hint="default"/>
                <w:sz w:val="20"/>
                <w:szCs w:val="20"/>
              </w:rPr>
            </w:pPr>
            <w:r>
              <w:rPr>
                <w:rFonts w:ascii="Arial"/>
                <w:spacing w:val="-1"/>
                <w:sz w:val="20"/>
              </w:rPr>
              <w:t>59,229,453</w:t>
            </w:r>
          </w:p>
        </w:tc>
      </w:tr>
      <w:tr>
        <w:trPr>
          <w:trHeight w:val="259"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26" w:lineRule="exact"/>
              <w:ind w:left="726" w:right="0"/>
              <w:jc w:val="left"/>
              <w:rPr>
                <w:rFonts w:ascii="黑体" w:hAnsi="黑体" w:cs="黑体" w:eastAsia="黑体" w:hint="default"/>
                <w:sz w:val="20"/>
                <w:szCs w:val="20"/>
              </w:rPr>
            </w:pPr>
            <w:r>
              <w:rPr>
                <w:rFonts w:ascii="黑体" w:hAnsi="黑体" w:cs="黑体" w:eastAsia="黑体" w:hint="default"/>
                <w:sz w:val="20"/>
                <w:szCs w:val="20"/>
              </w:rPr>
              <w:t>运输工具</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7"/>
              <w:jc w:val="right"/>
              <w:rPr>
                <w:rFonts w:ascii="Arial" w:hAnsi="Arial" w:cs="Arial" w:eastAsia="Arial" w:hint="default"/>
                <w:sz w:val="20"/>
                <w:szCs w:val="20"/>
              </w:rPr>
            </w:pPr>
            <w:r>
              <w:rPr>
                <w:rFonts w:ascii="Arial"/>
                <w:spacing w:val="-1"/>
                <w:sz w:val="20"/>
              </w:rPr>
              <w:t>8,535,083</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16"/>
              <w:jc w:val="right"/>
              <w:rPr>
                <w:rFonts w:ascii="Arial" w:hAnsi="Arial" w:cs="Arial" w:eastAsia="Arial" w:hint="default"/>
                <w:sz w:val="20"/>
                <w:szCs w:val="20"/>
              </w:rPr>
            </w:pPr>
            <w:r>
              <w:rPr>
                <w:rFonts w:ascii="Arial"/>
                <w:spacing w:val="-1"/>
                <w:sz w:val="20"/>
              </w:rPr>
              <w:t>103,677</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36"/>
              <w:jc w:val="right"/>
              <w:rPr>
                <w:rFonts w:ascii="Arial" w:hAnsi="Arial" w:cs="Arial" w:eastAsia="Arial" w:hint="default"/>
                <w:sz w:val="20"/>
                <w:szCs w:val="20"/>
              </w:rPr>
            </w:pPr>
            <w:r>
              <w:rPr>
                <w:rFonts w:ascii="Arial"/>
                <w:w w:val="100"/>
                <w:sz w:val="20"/>
              </w:rPr>
              <w:t>-</w:t>
            </w:r>
          </w:p>
        </w:tc>
        <w:tc>
          <w:tcPr>
            <w:tcW w:w="13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left="260" w:right="0"/>
              <w:jc w:val="left"/>
              <w:rPr>
                <w:rFonts w:ascii="Arial" w:hAnsi="Arial" w:cs="Arial" w:eastAsia="Arial" w:hint="default"/>
                <w:sz w:val="20"/>
                <w:szCs w:val="20"/>
              </w:rPr>
            </w:pPr>
            <w:r>
              <w:rPr>
                <w:rFonts w:ascii="Arial"/>
                <w:sz w:val="20"/>
              </w:rPr>
              <w:t>2,295,040</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6"/>
              <w:jc w:val="right"/>
              <w:rPr>
                <w:rFonts w:ascii="Arial" w:hAnsi="Arial" w:cs="Arial" w:eastAsia="Arial" w:hint="default"/>
                <w:sz w:val="20"/>
                <w:szCs w:val="20"/>
              </w:rPr>
            </w:pPr>
            <w:r>
              <w:rPr>
                <w:rFonts w:ascii="Arial"/>
                <w:spacing w:val="-1"/>
                <w:sz w:val="20"/>
              </w:rPr>
              <w:t>475,382</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0"/>
              <w:jc w:val="right"/>
              <w:rPr>
                <w:rFonts w:ascii="Arial" w:hAnsi="Arial" w:cs="Arial" w:eastAsia="Arial" w:hint="default"/>
                <w:sz w:val="20"/>
                <w:szCs w:val="20"/>
              </w:rPr>
            </w:pPr>
            <w:r>
              <w:rPr>
                <w:rFonts w:ascii="Arial"/>
                <w:spacing w:val="-1"/>
                <w:sz w:val="20"/>
              </w:rPr>
              <w:t>10,458,418</w:t>
            </w:r>
          </w:p>
        </w:tc>
      </w:tr>
      <w:tr>
        <w:trPr>
          <w:trHeight w:val="261" w:hRule="exact"/>
        </w:trPr>
        <w:tc>
          <w:tcPr>
            <w:tcW w:w="2154" w:type="dxa"/>
            <w:tcBorders>
              <w:top w:val="nil" w:sz="6" w:space="0" w:color="auto"/>
              <w:left w:val="nil" w:sz="6" w:space="0" w:color="auto"/>
              <w:bottom w:val="nil" w:sz="6" w:space="0" w:color="auto"/>
              <w:right w:val="nil" w:sz="6" w:space="0" w:color="auto"/>
            </w:tcBorders>
          </w:tcPr>
          <w:p>
            <w:pPr>
              <w:pStyle w:val="TableParagraph"/>
              <w:spacing w:line="226" w:lineRule="exact"/>
              <w:ind w:left="726" w:right="0"/>
              <w:jc w:val="left"/>
              <w:rPr>
                <w:rFonts w:ascii="黑体" w:hAnsi="黑体" w:cs="黑体" w:eastAsia="黑体" w:hint="default"/>
                <w:sz w:val="20"/>
                <w:szCs w:val="20"/>
              </w:rPr>
            </w:pPr>
            <w:r>
              <w:rPr>
                <w:rFonts w:ascii="黑体" w:hAnsi="黑体" w:cs="黑体" w:eastAsia="黑体" w:hint="default"/>
                <w:sz w:val="20"/>
                <w:szCs w:val="20"/>
              </w:rPr>
              <w:t>办公及电子设备</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65,066,446</w:t>
            </w:r>
            <w:r>
              <w:rPr>
                <w:rFonts w:ascii="Arial"/>
                <w:spacing w:val="-1"/>
                <w:sz w:val="20"/>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1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3"/>
                <w:sz w:val="20"/>
                <w:u w:val="single" w:color="000000"/>
              </w:rPr>
              <w:t> </w:t>
            </w:r>
            <w:r>
              <w:rPr>
                <w:rFonts w:ascii="Arial"/>
                <w:spacing w:val="-1"/>
                <w:sz w:val="20"/>
                <w:u w:val="single" w:color="000000"/>
              </w:rPr>
              <w:t>996,343</w:t>
            </w:r>
            <w:r>
              <w:rPr>
                <w:rFonts w:ascii="Arial"/>
                <w:spacing w:val="-1"/>
                <w:sz w:val="20"/>
              </w:rPr>
            </w:r>
          </w:p>
        </w:tc>
        <w:tc>
          <w:tcPr>
            <w:tcW w:w="1147"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13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left="226"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355,417</w:t>
            </w:r>
            <w:r>
              <w:rPr>
                <w:rFonts w:ascii="Arial"/>
                <w:sz w:val="20"/>
              </w:rPr>
            </w:r>
          </w:p>
        </w:tc>
        <w:tc>
          <w:tcPr>
            <w:tcW w:w="1258" w:type="dxa"/>
            <w:tcBorders>
              <w:top w:val="nil" w:sz="6" w:space="0" w:color="auto"/>
              <w:left w:val="nil" w:sz="6" w:space="0" w:color="auto"/>
              <w:bottom w:val="nil" w:sz="6" w:space="0" w:color="auto"/>
              <w:right w:val="nil" w:sz="6" w:space="0" w:color="auto"/>
            </w:tcBorders>
          </w:tcPr>
          <w:p>
            <w:pPr>
              <w:pStyle w:val="TableParagraph"/>
              <w:tabs>
                <w:tab w:pos="279" w:val="left" w:leader="none"/>
              </w:tabs>
              <w:spacing w:line="240" w:lineRule="auto" w:before="8"/>
              <w:ind w:right="12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851,220</w:t>
            </w:r>
            <w:r>
              <w:rPr>
                <w:rFonts w:ascii="Arial"/>
                <w:sz w:val="20"/>
              </w:rPr>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65,566,986</w:t>
            </w:r>
            <w:r>
              <w:rPr>
                <w:rFonts w:ascii="Arial"/>
                <w:spacing w:val="-1"/>
                <w:sz w:val="20"/>
              </w:rPr>
            </w:r>
          </w:p>
        </w:tc>
      </w:tr>
      <w:tr>
        <w:trPr>
          <w:trHeight w:val="328" w:hRule="exact"/>
        </w:trPr>
        <w:tc>
          <w:tcPr>
            <w:tcW w:w="2154"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26"/>
              <w:jc w:val="right"/>
              <w:rPr>
                <w:rFonts w:ascii="Arial" w:hAnsi="Arial" w:cs="Arial" w:eastAsia="Arial" w:hint="default"/>
                <w:sz w:val="20"/>
                <w:szCs w:val="20"/>
              </w:rPr>
            </w:pPr>
            <w:r>
              <w:rPr>
                <w:rFonts w:ascii="Arial"/>
                <w:w w:val="100"/>
                <w:sz w:val="20"/>
              </w:rPr>
            </w:r>
            <w:r>
              <w:rPr>
                <w:rFonts w:ascii="Arial"/>
                <w:spacing w:val="-1"/>
                <w:sz w:val="20"/>
                <w:u w:val="thick" w:color="000000"/>
              </w:rPr>
              <w:t>492,377,230</w:t>
            </w:r>
            <w:r>
              <w:rPr>
                <w:rFonts w:ascii="Arial"/>
                <w:spacing w:val="-1"/>
                <w:sz w:val="20"/>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16"/>
              <w:jc w:val="right"/>
              <w:rPr>
                <w:rFonts w:ascii="Arial" w:hAnsi="Arial" w:cs="Arial" w:eastAsia="Arial" w:hint="default"/>
                <w:sz w:val="20"/>
                <w:szCs w:val="20"/>
              </w:rPr>
            </w:pPr>
            <w:r>
              <w:rPr>
                <w:rFonts w:ascii="Arial"/>
                <w:w w:val="100"/>
                <w:sz w:val="20"/>
              </w:rPr>
            </w:r>
            <w:r>
              <w:rPr>
                <w:rFonts w:ascii="Arial"/>
                <w:spacing w:val="-1"/>
                <w:sz w:val="20"/>
                <w:u w:val="thick" w:color="000000"/>
              </w:rPr>
              <w:t>1,100,020</w:t>
            </w:r>
            <w:r>
              <w:rPr>
                <w:rFonts w:ascii="Arial"/>
                <w:spacing w:val="-1"/>
                <w:sz w:val="20"/>
              </w:rPr>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36"/>
              <w:jc w:val="right"/>
              <w:rPr>
                <w:rFonts w:ascii="Arial" w:hAnsi="Arial" w:cs="Arial" w:eastAsia="Arial" w:hint="default"/>
                <w:sz w:val="20"/>
                <w:szCs w:val="20"/>
              </w:rPr>
            </w:pPr>
            <w:r>
              <w:rPr>
                <w:rFonts w:ascii="Arial"/>
                <w:w w:val="100"/>
                <w:sz w:val="20"/>
              </w:rPr>
            </w:r>
            <w:r>
              <w:rPr>
                <w:rFonts w:ascii="Arial"/>
                <w:spacing w:val="-1"/>
                <w:sz w:val="20"/>
                <w:u w:val="thick" w:color="000000"/>
              </w:rPr>
              <w:t>2,283,966</w:t>
            </w:r>
            <w:r>
              <w:rPr>
                <w:rFonts w:ascii="Arial"/>
                <w:spacing w:val="-1"/>
                <w:sz w:val="20"/>
              </w:rPr>
            </w:r>
          </w:p>
        </w:tc>
        <w:tc>
          <w:tcPr>
            <w:tcW w:w="13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
              <w:ind w:left="137" w:right="0"/>
              <w:jc w:val="left"/>
              <w:rPr>
                <w:rFonts w:ascii="Arial" w:hAnsi="Arial" w:cs="Arial" w:eastAsia="Arial" w:hint="default"/>
                <w:sz w:val="20"/>
                <w:szCs w:val="20"/>
              </w:rPr>
            </w:pPr>
            <w:r>
              <w:rPr>
                <w:rFonts w:ascii="Arial"/>
                <w:sz w:val="20"/>
              </w:rPr>
              <w:t>( </w:t>
            </w:r>
            <w:r>
              <w:rPr>
                <w:rFonts w:ascii="Arial"/>
                <w:sz w:val="20"/>
                <w:u w:val="thick" w:color="000000"/>
              </w:rPr>
              <w:t> 7,917,057</w:t>
            </w:r>
            <w:r>
              <w:rPr>
                <w:rFonts w:ascii="Arial"/>
                <w:spacing w:val="-18"/>
                <w:sz w:val="20"/>
                <w:u w:val="thick" w:color="000000"/>
              </w:rPr>
              <w:t> </w:t>
            </w:r>
            <w:r>
              <w:rPr>
                <w:rFonts w:ascii="Arial"/>
                <w:spacing w:val="-18"/>
                <w:sz w:val="20"/>
              </w:rPr>
            </w:r>
            <w:r>
              <w:rPr>
                <w:rFonts w:ascii="Arial"/>
                <w:sz w:val="20"/>
              </w:rPr>
              <w:t>)</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25"/>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3"/>
                <w:sz w:val="20"/>
                <w:u w:val="thick" w:color="000000"/>
              </w:rPr>
              <w:t> </w:t>
            </w:r>
            <w:r>
              <w:rPr>
                <w:rFonts w:ascii="Arial"/>
                <w:sz w:val="20"/>
                <w:u w:val="thick" w:color="000000"/>
              </w:rPr>
              <w:t>1,965,729</w:t>
            </w:r>
            <w:r>
              <w:rPr>
                <w:rFonts w:ascii="Arial"/>
                <w:sz w:val="20"/>
              </w:rPr>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48"/>
              <w:jc w:val="right"/>
              <w:rPr>
                <w:rFonts w:ascii="Arial" w:hAnsi="Arial" w:cs="Arial" w:eastAsia="Arial" w:hint="default"/>
                <w:sz w:val="20"/>
                <w:szCs w:val="20"/>
              </w:rPr>
            </w:pPr>
            <w:r>
              <w:rPr>
                <w:rFonts w:ascii="Arial"/>
                <w:w w:val="100"/>
                <w:sz w:val="20"/>
              </w:rPr>
            </w:r>
            <w:r>
              <w:rPr>
                <w:rFonts w:ascii="Arial"/>
                <w:spacing w:val="-1"/>
                <w:sz w:val="20"/>
                <w:u w:val="thick" w:color="000000"/>
              </w:rPr>
              <w:t>485,878,430</w:t>
            </w:r>
            <w:r>
              <w:rPr>
                <w:rFonts w:ascii="Arial"/>
                <w:spacing w:val="-1"/>
                <w:sz w:val="20"/>
              </w:rPr>
            </w:r>
          </w:p>
        </w:tc>
      </w:tr>
    </w:tbl>
    <w:p>
      <w:pPr>
        <w:spacing w:after="0" w:line="240" w:lineRule="auto"/>
        <w:jc w:val="right"/>
        <w:rPr>
          <w:rFonts w:ascii="Arial" w:hAnsi="Arial" w:cs="Arial" w:eastAsia="Arial" w:hint="default"/>
          <w:sz w:val="20"/>
          <w:szCs w:val="20"/>
        </w:rPr>
        <w:sectPr>
          <w:headerReference w:type="default" r:id="rId81"/>
          <w:footerReference w:type="default" r:id="rId82"/>
          <w:pgSz w:w="11910" w:h="16840"/>
          <w:pgMar w:header="958" w:footer="466" w:top="2560" w:bottom="660" w:left="1560" w:right="0"/>
          <w:pgNumType w:start="140"/>
        </w:sectPr>
      </w:pP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25"/>
          <w:szCs w:val="25"/>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7"/>
        <w:rPr>
          <w:rFonts w:ascii="黑体" w:hAnsi="黑体" w:cs="黑体" w:eastAsia="黑体" w:hint="default"/>
          <w:b/>
          <w:bCs/>
          <w:sz w:val="18"/>
          <w:szCs w:val="18"/>
        </w:rPr>
      </w:pPr>
    </w:p>
    <w:tbl>
      <w:tblPr>
        <w:tblW w:w="0" w:type="auto"/>
        <w:jc w:val="left"/>
        <w:tblInd w:w="106" w:type="dxa"/>
        <w:tblLayout w:type="fixed"/>
        <w:tblCellMar>
          <w:top w:w="0" w:type="dxa"/>
          <w:left w:w="0" w:type="dxa"/>
          <w:bottom w:w="0" w:type="dxa"/>
          <w:right w:w="0" w:type="dxa"/>
        </w:tblCellMar>
        <w:tblLook w:val="01E0"/>
      </w:tblPr>
      <w:tblGrid>
        <w:gridCol w:w="2314"/>
        <w:gridCol w:w="1493"/>
        <w:gridCol w:w="2411"/>
        <w:gridCol w:w="1526"/>
        <w:gridCol w:w="1257"/>
      </w:tblGrid>
      <w:tr>
        <w:trPr>
          <w:trHeight w:val="986" w:hRule="exact"/>
        </w:trPr>
        <w:tc>
          <w:tcPr>
            <w:tcW w:w="2314" w:type="dxa"/>
            <w:tcBorders>
              <w:top w:val="nil" w:sz="6" w:space="0" w:color="auto"/>
              <w:left w:val="nil" w:sz="6" w:space="0" w:color="auto"/>
              <w:bottom w:val="nil" w:sz="6" w:space="0" w:color="auto"/>
              <w:right w:val="nil" w:sz="6" w:space="0" w:color="auto"/>
            </w:tcBorders>
          </w:tcPr>
          <w:p>
            <w:pPr>
              <w:pStyle w:val="TableParagraph"/>
              <w:tabs>
                <w:tab w:pos="677" w:val="left" w:leader="none"/>
              </w:tabs>
              <w:spacing w:line="240" w:lineRule="auto" w:before="38"/>
              <w:ind w:right="156"/>
              <w:jc w:val="center"/>
              <w:rPr>
                <w:rFonts w:ascii="黑体" w:hAnsi="黑体" w:cs="黑体" w:eastAsia="黑体" w:hint="default"/>
                <w:sz w:val="20"/>
                <w:szCs w:val="20"/>
              </w:rPr>
            </w:pPr>
            <w:r>
              <w:rPr>
                <w:rFonts w:ascii="Arial" w:hAnsi="Arial" w:cs="Arial" w:eastAsia="Arial" w:hint="default"/>
                <w:b/>
                <w:bCs/>
                <w:spacing w:val="-1"/>
                <w:sz w:val="20"/>
                <w:szCs w:val="20"/>
              </w:rPr>
              <w:t>10.</w:t>
              <w:tab/>
            </w:r>
            <w:r>
              <w:rPr>
                <w:rFonts w:ascii="黑体" w:hAnsi="黑体" w:cs="黑体" w:eastAsia="黑体" w:hint="default"/>
                <w:b/>
                <w:bCs/>
                <w:sz w:val="20"/>
                <w:szCs w:val="20"/>
              </w:rPr>
              <w:t>固定资产（续）</w:t>
            </w:r>
            <w:r>
              <w:rPr>
                <w:rFonts w:ascii="黑体" w:hAnsi="黑体" w:cs="黑体" w:eastAsia="黑体" w:hint="default"/>
                <w:sz w:val="20"/>
                <w:szCs w:val="20"/>
              </w:rPr>
            </w:r>
          </w:p>
          <w:p>
            <w:pPr>
              <w:pStyle w:val="TableParagraph"/>
              <w:spacing w:line="240" w:lineRule="auto" w:before="12"/>
              <w:ind w:right="0"/>
              <w:jc w:val="left"/>
              <w:rPr>
                <w:rFonts w:ascii="黑体" w:hAnsi="黑体" w:cs="黑体" w:eastAsia="黑体" w:hint="default"/>
                <w:b/>
                <w:bCs/>
                <w:sz w:val="19"/>
                <w:szCs w:val="19"/>
              </w:rPr>
            </w:pPr>
          </w:p>
          <w:p>
            <w:pPr>
              <w:pStyle w:val="TableParagraph"/>
              <w:spacing w:line="240" w:lineRule="auto"/>
              <w:ind w:right="168"/>
              <w:jc w:val="center"/>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c>
          <w:tcPr>
            <w:tcW w:w="6686" w:type="dxa"/>
            <w:gridSpan w:val="4"/>
            <w:tcBorders>
              <w:top w:val="nil" w:sz="6" w:space="0" w:color="auto"/>
              <w:left w:val="nil" w:sz="6" w:space="0" w:color="auto"/>
              <w:bottom w:val="nil" w:sz="6" w:space="0" w:color="auto"/>
              <w:right w:val="nil" w:sz="6" w:space="0" w:color="auto"/>
            </w:tcBorders>
          </w:tcPr>
          <w:p>
            <w:pPr/>
          </w:p>
        </w:tc>
      </w:tr>
      <w:tr>
        <w:trPr>
          <w:trHeight w:val="377" w:hRule="exact"/>
        </w:trPr>
        <w:tc>
          <w:tcPr>
            <w:tcW w:w="231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30"/>
              <w:jc w:val="right"/>
              <w:rPr>
                <w:rFonts w:ascii="黑体" w:hAnsi="黑体" w:cs="黑体" w:eastAsia="黑体" w:hint="default"/>
                <w:sz w:val="20"/>
                <w:szCs w:val="20"/>
              </w:rPr>
            </w:pPr>
            <w:r>
              <w:rPr>
                <w:rFonts w:ascii="黑体" w:hAnsi="黑体" w:cs="黑体" w:eastAsia="黑体" w:hint="default"/>
                <w:sz w:val="20"/>
                <w:szCs w:val="20"/>
              </w:rPr>
              <w:t>年初数</w:t>
            </w:r>
          </w:p>
        </w:tc>
        <w:tc>
          <w:tcPr>
            <w:tcW w:w="2411" w:type="dxa"/>
            <w:tcBorders>
              <w:top w:val="nil" w:sz="6" w:space="0" w:color="auto"/>
              <w:left w:val="nil" w:sz="6" w:space="0" w:color="auto"/>
              <w:bottom w:val="single" w:sz="4" w:space="0" w:color="000000"/>
              <w:right w:val="nil" w:sz="6" w:space="0" w:color="auto"/>
            </w:tcBorders>
          </w:tcPr>
          <w:p>
            <w:pPr>
              <w:pStyle w:val="TableParagraph"/>
              <w:spacing w:line="240" w:lineRule="auto" w:before="79"/>
              <w:ind w:left="760" w:right="0"/>
              <w:jc w:val="left"/>
              <w:rPr>
                <w:rFonts w:ascii="黑体" w:hAnsi="黑体" w:cs="黑体" w:eastAsia="黑体" w:hint="default"/>
                <w:sz w:val="20"/>
                <w:szCs w:val="20"/>
              </w:rPr>
            </w:pPr>
            <w:r>
              <w:rPr>
                <w:rFonts w:ascii="黑体" w:hAnsi="黑体" w:cs="黑体" w:eastAsia="黑体" w:hint="default"/>
                <w:sz w:val="20"/>
                <w:szCs w:val="20"/>
              </w:rPr>
              <w:t>本年增加</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25" w:right="0"/>
              <w:jc w:val="left"/>
              <w:rPr>
                <w:rFonts w:ascii="黑体" w:hAnsi="黑体" w:cs="黑体" w:eastAsia="黑体" w:hint="default"/>
                <w:sz w:val="20"/>
                <w:szCs w:val="20"/>
              </w:rPr>
            </w:pPr>
            <w:r>
              <w:rPr>
                <w:rFonts w:ascii="黑体" w:hAnsi="黑体" w:cs="黑体" w:eastAsia="黑体" w:hint="default"/>
                <w:sz w:val="20"/>
                <w:szCs w:val="20"/>
              </w:rPr>
              <w:t>本年减少</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5"/>
              <w:jc w:val="right"/>
              <w:rPr>
                <w:rFonts w:ascii="黑体" w:hAnsi="黑体" w:cs="黑体" w:eastAsia="黑体" w:hint="default"/>
                <w:sz w:val="20"/>
                <w:szCs w:val="20"/>
              </w:rPr>
            </w:pPr>
            <w:r>
              <w:rPr>
                <w:rFonts w:ascii="黑体" w:hAnsi="黑体" w:cs="黑体" w:eastAsia="黑体" w:hint="default"/>
                <w:sz w:val="20"/>
                <w:szCs w:val="20"/>
              </w:rPr>
              <w:t>年末数</w:t>
            </w:r>
          </w:p>
        </w:tc>
      </w:tr>
      <w:tr>
        <w:trPr>
          <w:trHeight w:val="389" w:hRule="exact"/>
        </w:trPr>
        <w:tc>
          <w:tcPr>
            <w:tcW w:w="231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
        </w:tc>
        <w:tc>
          <w:tcPr>
            <w:tcW w:w="2411" w:type="dxa"/>
            <w:tcBorders>
              <w:top w:val="single" w:sz="4" w:space="0" w:color="000000"/>
              <w:left w:val="nil" w:sz="6" w:space="0" w:color="auto"/>
              <w:bottom w:val="nil" w:sz="6" w:space="0" w:color="auto"/>
              <w:right w:val="nil" w:sz="6" w:space="0" w:color="auto"/>
            </w:tcBorders>
          </w:tcPr>
          <w:p>
            <w:pPr>
              <w:pStyle w:val="TableParagraph"/>
              <w:tabs>
                <w:tab w:pos="1918" w:val="left" w:leader="none"/>
              </w:tabs>
              <w:spacing w:line="227" w:lineRule="exact"/>
              <w:ind w:left="500" w:right="0"/>
              <w:jc w:val="left"/>
              <w:rPr>
                <w:rFonts w:ascii="黑体" w:hAnsi="黑体" w:cs="黑体" w:eastAsia="黑体" w:hint="default"/>
                <w:sz w:val="20"/>
                <w:szCs w:val="20"/>
              </w:rPr>
            </w:pPr>
            <w:r>
              <w:rPr>
                <w:rFonts w:ascii="黑体" w:hAnsi="黑体" w:cs="黑体" w:eastAsia="黑体" w:hint="default"/>
                <w:sz w:val="20"/>
                <w:szCs w:val="20"/>
              </w:rPr>
              <w:t>收购</w:t>
              <w:tab/>
              <w:t>其他</w:t>
            </w:r>
          </w:p>
        </w:tc>
        <w:tc>
          <w:tcPr>
            <w:tcW w:w="1526"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
        </w:tc>
      </w:tr>
      <w:tr>
        <w:trPr>
          <w:trHeight w:val="394"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96"/>
              <w:ind w:left="764" w:right="0"/>
              <w:jc w:val="left"/>
              <w:rPr>
                <w:rFonts w:ascii="黑体" w:hAnsi="黑体" w:cs="黑体" w:eastAsia="黑体" w:hint="default"/>
                <w:sz w:val="20"/>
                <w:szCs w:val="20"/>
              </w:rPr>
            </w:pPr>
            <w:r>
              <w:rPr>
                <w:rFonts w:ascii="黑体" w:hAnsi="黑体" w:cs="黑体" w:eastAsia="黑体" w:hint="default"/>
                <w:sz w:val="20"/>
                <w:szCs w:val="20"/>
              </w:rPr>
              <w:t>原价</w:t>
            </w:r>
          </w:p>
        </w:tc>
        <w:tc>
          <w:tcPr>
            <w:tcW w:w="1493" w:type="dxa"/>
            <w:tcBorders>
              <w:top w:val="nil" w:sz="6" w:space="0" w:color="auto"/>
              <w:left w:val="nil" w:sz="6" w:space="0" w:color="auto"/>
              <w:bottom w:val="nil" w:sz="6" w:space="0" w:color="auto"/>
              <w:right w:val="nil" w:sz="6" w:space="0" w:color="auto"/>
            </w:tcBorders>
          </w:tcPr>
          <w:p>
            <w:pPr/>
          </w:p>
        </w:tc>
        <w:tc>
          <w:tcPr>
            <w:tcW w:w="2411"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
        </w:tc>
      </w:tr>
      <w:tr>
        <w:trPr>
          <w:trHeight w:val="26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36" w:lineRule="exact"/>
              <w:ind w:left="764" w:right="0"/>
              <w:jc w:val="left"/>
              <w:rPr>
                <w:rFonts w:ascii="黑体" w:hAnsi="黑体" w:cs="黑体" w:eastAsia="黑体" w:hint="default"/>
                <w:sz w:val="20"/>
                <w:szCs w:val="20"/>
              </w:rPr>
            </w:pPr>
            <w:r>
              <w:rPr>
                <w:rFonts w:ascii="黑体" w:hAnsi="黑体" w:cs="黑体" w:eastAsia="黑体" w:hint="default"/>
                <w:sz w:val="20"/>
                <w:szCs w:val="20"/>
              </w:rPr>
              <w:t>房屋及建筑物</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8"/>
              <w:jc w:val="right"/>
              <w:rPr>
                <w:rFonts w:ascii="Arial" w:hAnsi="Arial" w:cs="Arial" w:eastAsia="Arial" w:hint="default"/>
                <w:sz w:val="20"/>
                <w:szCs w:val="20"/>
              </w:rPr>
            </w:pPr>
            <w:r>
              <w:rPr>
                <w:rFonts w:ascii="Arial"/>
                <w:spacing w:val="-1"/>
                <w:sz w:val="20"/>
              </w:rPr>
              <w:t>556,500,261</w:t>
            </w:r>
          </w:p>
        </w:tc>
        <w:tc>
          <w:tcPr>
            <w:tcW w:w="2411" w:type="dxa"/>
            <w:tcBorders>
              <w:top w:val="nil" w:sz="6" w:space="0" w:color="auto"/>
              <w:left w:val="nil" w:sz="6" w:space="0" w:color="auto"/>
              <w:bottom w:val="nil" w:sz="6" w:space="0" w:color="auto"/>
              <w:right w:val="nil" w:sz="6" w:space="0" w:color="auto"/>
            </w:tcBorders>
          </w:tcPr>
          <w:p>
            <w:pPr>
              <w:pStyle w:val="TableParagraph"/>
              <w:tabs>
                <w:tab w:pos="2253" w:val="left" w:leader="none"/>
              </w:tabs>
              <w:spacing w:line="240" w:lineRule="auto" w:before="18"/>
              <w:ind w:left="835" w:right="0"/>
              <w:jc w:val="left"/>
              <w:rPr>
                <w:rFonts w:ascii="Arial" w:hAnsi="Arial" w:cs="Arial" w:eastAsia="Arial" w:hint="default"/>
                <w:sz w:val="20"/>
                <w:szCs w:val="20"/>
              </w:rPr>
            </w:pPr>
            <w:r>
              <w:rPr>
                <w:rFonts w:ascii="Arial"/>
                <w:sz w:val="20"/>
              </w:rPr>
              <w:t>-</w:t>
              <w:tab/>
              <w:t>-</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16" w:right="0"/>
              <w:jc w:val="left"/>
              <w:rPr>
                <w:rFonts w:ascii="Arial" w:hAnsi="Arial" w:cs="Arial" w:eastAsia="Arial" w:hint="default"/>
                <w:sz w:val="20"/>
                <w:szCs w:val="20"/>
              </w:rPr>
            </w:pPr>
            <w:r>
              <w:rPr>
                <w:rFonts w:ascii="Arial"/>
                <w:sz w:val="20"/>
              </w:rPr>
              <w:t>183,970,109</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3"/>
              <w:jc w:val="right"/>
              <w:rPr>
                <w:rFonts w:ascii="Arial" w:hAnsi="Arial" w:cs="Arial" w:eastAsia="Arial" w:hint="default"/>
                <w:sz w:val="20"/>
                <w:szCs w:val="20"/>
              </w:rPr>
            </w:pPr>
            <w:r>
              <w:rPr>
                <w:rFonts w:ascii="Arial"/>
                <w:spacing w:val="-1"/>
                <w:sz w:val="20"/>
              </w:rPr>
              <w:t>372,530,152</w:t>
            </w:r>
          </w:p>
        </w:tc>
      </w:tr>
      <w:tr>
        <w:trPr>
          <w:trHeight w:val="25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26" w:lineRule="exact"/>
              <w:ind w:left="764" w:right="0"/>
              <w:jc w:val="left"/>
              <w:rPr>
                <w:rFonts w:ascii="黑体" w:hAnsi="黑体" w:cs="黑体" w:eastAsia="黑体" w:hint="default"/>
                <w:sz w:val="20"/>
                <w:szCs w:val="20"/>
              </w:rPr>
            </w:pPr>
            <w:r>
              <w:rPr>
                <w:rFonts w:ascii="黑体" w:hAnsi="黑体" w:cs="黑体" w:eastAsia="黑体" w:hint="default"/>
                <w:sz w:val="20"/>
                <w:szCs w:val="20"/>
              </w:rPr>
              <w:t>机器设备</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9"/>
              <w:jc w:val="right"/>
              <w:rPr>
                <w:rFonts w:ascii="Arial" w:hAnsi="Arial" w:cs="Arial" w:eastAsia="Arial" w:hint="default"/>
                <w:sz w:val="20"/>
                <w:szCs w:val="20"/>
              </w:rPr>
            </w:pPr>
            <w:r>
              <w:rPr>
                <w:rFonts w:ascii="Arial"/>
                <w:spacing w:val="-1"/>
                <w:sz w:val="20"/>
              </w:rPr>
              <w:t>46,788,088</w:t>
            </w:r>
          </w:p>
        </w:tc>
        <w:tc>
          <w:tcPr>
            <w:tcW w:w="2411" w:type="dxa"/>
            <w:tcBorders>
              <w:top w:val="nil" w:sz="6" w:space="0" w:color="auto"/>
              <w:left w:val="nil" w:sz="6" w:space="0" w:color="auto"/>
              <w:bottom w:val="nil" w:sz="6" w:space="0" w:color="auto"/>
              <w:right w:val="nil" w:sz="6" w:space="0" w:color="auto"/>
            </w:tcBorders>
          </w:tcPr>
          <w:p>
            <w:pPr>
              <w:pStyle w:val="TableParagraph"/>
              <w:tabs>
                <w:tab w:pos="1318" w:val="left" w:leader="none"/>
              </w:tabs>
              <w:spacing w:line="240" w:lineRule="auto" w:before="8"/>
              <w:ind w:left="835" w:right="0"/>
              <w:jc w:val="left"/>
              <w:rPr>
                <w:rFonts w:ascii="Arial" w:hAnsi="Arial" w:cs="Arial" w:eastAsia="Arial" w:hint="default"/>
                <w:sz w:val="20"/>
                <w:szCs w:val="20"/>
              </w:rPr>
            </w:pPr>
            <w:r>
              <w:rPr>
                <w:rFonts w:ascii="Arial"/>
                <w:sz w:val="20"/>
              </w:rPr>
              <w:t>-</w:t>
              <w:tab/>
              <w:t>38,911,655</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8"/>
              <w:ind w:left="326" w:right="0"/>
              <w:jc w:val="left"/>
              <w:rPr>
                <w:rFonts w:ascii="Arial" w:hAnsi="Arial" w:cs="Arial" w:eastAsia="Arial" w:hint="default"/>
                <w:sz w:val="20"/>
                <w:szCs w:val="20"/>
              </w:rPr>
            </w:pPr>
            <w:r>
              <w:rPr>
                <w:rFonts w:ascii="Arial"/>
                <w:sz w:val="20"/>
              </w:rPr>
              <w:t>15,929,791</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69,769,952</w:t>
            </w:r>
          </w:p>
        </w:tc>
      </w:tr>
      <w:tr>
        <w:trPr>
          <w:trHeight w:val="25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26" w:lineRule="exact"/>
              <w:ind w:left="764" w:right="0"/>
              <w:jc w:val="left"/>
              <w:rPr>
                <w:rFonts w:ascii="黑体" w:hAnsi="黑体" w:cs="黑体" w:eastAsia="黑体" w:hint="default"/>
                <w:sz w:val="20"/>
                <w:szCs w:val="20"/>
              </w:rPr>
            </w:pPr>
            <w:r>
              <w:rPr>
                <w:rFonts w:ascii="黑体" w:hAnsi="黑体" w:cs="黑体" w:eastAsia="黑体" w:hint="default"/>
                <w:sz w:val="20"/>
                <w:szCs w:val="20"/>
              </w:rPr>
              <w:t>运输工具</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9"/>
              <w:jc w:val="right"/>
              <w:rPr>
                <w:rFonts w:ascii="Arial" w:hAnsi="Arial" w:cs="Arial" w:eastAsia="Arial" w:hint="default"/>
                <w:sz w:val="20"/>
                <w:szCs w:val="20"/>
              </w:rPr>
            </w:pPr>
            <w:r>
              <w:rPr>
                <w:rFonts w:ascii="Arial"/>
                <w:spacing w:val="-1"/>
                <w:sz w:val="20"/>
              </w:rPr>
              <w:t>22,034,042</w:t>
            </w:r>
          </w:p>
        </w:tc>
        <w:tc>
          <w:tcPr>
            <w:tcW w:w="2411" w:type="dxa"/>
            <w:tcBorders>
              <w:top w:val="nil" w:sz="6" w:space="0" w:color="auto"/>
              <w:left w:val="nil" w:sz="6" w:space="0" w:color="auto"/>
              <w:bottom w:val="nil" w:sz="6" w:space="0" w:color="auto"/>
              <w:right w:val="nil" w:sz="6" w:space="0" w:color="auto"/>
            </w:tcBorders>
          </w:tcPr>
          <w:p>
            <w:pPr>
              <w:pStyle w:val="TableParagraph"/>
              <w:tabs>
                <w:tab w:pos="1430" w:val="left" w:leader="none"/>
              </w:tabs>
              <w:spacing w:line="240" w:lineRule="auto" w:before="8"/>
              <w:ind w:left="835" w:right="0"/>
              <w:jc w:val="left"/>
              <w:rPr>
                <w:rFonts w:ascii="Arial" w:hAnsi="Arial" w:cs="Arial" w:eastAsia="Arial" w:hint="default"/>
                <w:sz w:val="20"/>
                <w:szCs w:val="20"/>
              </w:rPr>
            </w:pPr>
            <w:r>
              <w:rPr>
                <w:rFonts w:ascii="Arial"/>
                <w:sz w:val="20"/>
              </w:rPr>
              <w:t>-</w:t>
              <w:tab/>
              <w:t>2,414,336</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8"/>
              <w:ind w:left="438" w:right="0"/>
              <w:jc w:val="left"/>
              <w:rPr>
                <w:rFonts w:ascii="Arial" w:hAnsi="Arial" w:cs="Arial" w:eastAsia="Arial" w:hint="default"/>
                <w:sz w:val="20"/>
                <w:szCs w:val="20"/>
              </w:rPr>
            </w:pPr>
            <w:r>
              <w:rPr>
                <w:rFonts w:ascii="Arial"/>
                <w:sz w:val="20"/>
              </w:rPr>
              <w:t>1,980,653</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22,467,725</w:t>
            </w:r>
          </w:p>
        </w:tc>
      </w:tr>
      <w:tr>
        <w:trPr>
          <w:trHeight w:val="261"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26" w:lineRule="exact"/>
              <w:ind w:left="764" w:right="0"/>
              <w:jc w:val="left"/>
              <w:rPr>
                <w:rFonts w:ascii="黑体" w:hAnsi="黑体" w:cs="黑体" w:eastAsia="黑体" w:hint="default"/>
                <w:sz w:val="20"/>
                <w:szCs w:val="20"/>
              </w:rPr>
            </w:pPr>
            <w:r>
              <w:rPr>
                <w:rFonts w:ascii="黑体" w:hAnsi="黑体" w:cs="黑体" w:eastAsia="黑体" w:hint="default"/>
                <w:sz w:val="20"/>
                <w:szCs w:val="20"/>
              </w:rPr>
              <w:t>办公及电子设备</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8"/>
              <w:jc w:val="right"/>
              <w:rPr>
                <w:rFonts w:ascii="Arial" w:hAnsi="Arial" w:cs="Arial" w:eastAsia="Arial" w:hint="default"/>
                <w:sz w:val="20"/>
                <w:szCs w:val="20"/>
              </w:rPr>
            </w:pPr>
            <w:r>
              <w:rPr>
                <w:rFonts w:ascii="Arial"/>
                <w:w w:val="100"/>
                <w:sz w:val="20"/>
              </w:rPr>
            </w:r>
            <w:r>
              <w:rPr>
                <w:rFonts w:ascii="Arial"/>
                <w:spacing w:val="-1"/>
                <w:sz w:val="20"/>
                <w:u w:val="single" w:color="000000"/>
              </w:rPr>
              <w:t>139,982,880</w:t>
            </w:r>
            <w:r>
              <w:rPr>
                <w:rFonts w:ascii="Arial"/>
                <w:spacing w:val="-1"/>
                <w:sz w:val="20"/>
              </w:rPr>
            </w:r>
          </w:p>
        </w:tc>
        <w:tc>
          <w:tcPr>
            <w:tcW w:w="2411" w:type="dxa"/>
            <w:tcBorders>
              <w:top w:val="nil" w:sz="6" w:space="0" w:color="auto"/>
              <w:left w:val="nil" w:sz="6" w:space="0" w:color="auto"/>
              <w:bottom w:val="nil" w:sz="6" w:space="0" w:color="auto"/>
              <w:right w:val="nil" w:sz="6" w:space="0" w:color="auto"/>
            </w:tcBorders>
          </w:tcPr>
          <w:p>
            <w:pPr>
              <w:pStyle w:val="TableParagraph"/>
              <w:tabs>
                <w:tab w:pos="1318" w:val="left" w:leader="none"/>
              </w:tabs>
              <w:spacing w:line="240" w:lineRule="auto" w:before="8"/>
              <w:ind w:left="178" w:right="0"/>
              <w:jc w:val="left"/>
              <w:rPr>
                <w:rFonts w:ascii="Arial" w:hAnsi="Arial" w:cs="Arial" w:eastAsia="Arial" w:hint="default"/>
                <w:sz w:val="20"/>
                <w:szCs w:val="20"/>
              </w:rPr>
            </w:pPr>
            <w:r>
              <w:rPr>
                <w:rFonts w:ascii="Arial"/>
                <w:w w:val="100"/>
                <w:sz w:val="20"/>
              </w:rPr>
            </w:r>
            <w:r>
              <w:rPr>
                <w:rFonts w:ascii="Arial"/>
                <w:spacing w:val="-1"/>
                <w:sz w:val="20"/>
                <w:u w:val="single" w:color="000000"/>
              </w:rPr>
              <w:t>939,804</w:t>
            </w:r>
            <w:r>
              <w:rPr>
                <w:rFonts w:ascii="Arial"/>
                <w:spacing w:val="-1"/>
                <w:sz w:val="20"/>
              </w:rPr>
              <w:tab/>
            </w:r>
            <w:r>
              <w:rPr>
                <w:rFonts w:ascii="Arial"/>
                <w:spacing w:val="-1"/>
                <w:sz w:val="20"/>
                <w:u w:val="single" w:color="000000"/>
              </w:rPr>
              <w:t>28,641,381</w:t>
            </w:r>
            <w:r>
              <w:rPr>
                <w:rFonts w:ascii="Arial"/>
                <w:spacing w:val="-1"/>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8"/>
              <w:ind w:left="228"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33,924,807</w:t>
            </w:r>
            <w:r>
              <w:rPr>
                <w:rFonts w:ascii="Arial"/>
                <w:sz w:val="20"/>
              </w:rPr>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spacing w:val="-1"/>
                <w:sz w:val="20"/>
                <w:u w:val="single" w:color="000000"/>
              </w:rPr>
              <w:t>135,639,258</w:t>
            </w:r>
            <w:r>
              <w:rPr>
                <w:rFonts w:ascii="Arial"/>
                <w:spacing w:val="-1"/>
                <w:sz w:val="20"/>
              </w:rPr>
            </w:r>
          </w:p>
        </w:tc>
      </w:tr>
      <w:tr>
        <w:trPr>
          <w:trHeight w:val="381" w:hRule="exact"/>
        </w:trPr>
        <w:tc>
          <w:tcPr>
            <w:tcW w:w="231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28"/>
              <w:jc w:val="right"/>
              <w:rPr>
                <w:rFonts w:ascii="Arial" w:hAnsi="Arial" w:cs="Arial" w:eastAsia="Arial" w:hint="default"/>
                <w:sz w:val="20"/>
                <w:szCs w:val="20"/>
              </w:rPr>
            </w:pPr>
            <w:r>
              <w:rPr>
                <w:rFonts w:ascii="Arial"/>
                <w:w w:val="100"/>
                <w:sz w:val="20"/>
              </w:rPr>
            </w:r>
            <w:r>
              <w:rPr>
                <w:rFonts w:ascii="Arial"/>
                <w:spacing w:val="-1"/>
                <w:sz w:val="20"/>
                <w:u w:val="thick" w:color="000000"/>
              </w:rPr>
              <w:t>765,305,271</w:t>
            </w:r>
            <w:r>
              <w:rPr>
                <w:rFonts w:ascii="Arial"/>
                <w:spacing w:val="-1"/>
                <w:sz w:val="20"/>
              </w:rPr>
            </w:r>
          </w:p>
        </w:tc>
        <w:tc>
          <w:tcPr>
            <w:tcW w:w="2411" w:type="dxa"/>
            <w:tcBorders>
              <w:top w:val="nil" w:sz="6" w:space="0" w:color="auto"/>
              <w:left w:val="nil" w:sz="6" w:space="0" w:color="auto"/>
              <w:bottom w:val="nil" w:sz="6" w:space="0" w:color="auto"/>
              <w:right w:val="nil" w:sz="6" w:space="0" w:color="auto"/>
            </w:tcBorders>
          </w:tcPr>
          <w:p>
            <w:pPr>
              <w:pStyle w:val="TableParagraph"/>
              <w:tabs>
                <w:tab w:pos="1318" w:val="left" w:leader="none"/>
              </w:tabs>
              <w:spacing w:line="240" w:lineRule="auto" w:before="2"/>
              <w:ind w:left="178" w:right="0"/>
              <w:jc w:val="left"/>
              <w:rPr>
                <w:rFonts w:ascii="Arial" w:hAnsi="Arial" w:cs="Arial" w:eastAsia="Arial" w:hint="default"/>
                <w:sz w:val="20"/>
                <w:szCs w:val="20"/>
              </w:rPr>
            </w:pPr>
            <w:r>
              <w:rPr>
                <w:rFonts w:ascii="Arial"/>
                <w:w w:val="100"/>
                <w:sz w:val="20"/>
              </w:rPr>
            </w:r>
            <w:r>
              <w:rPr>
                <w:rFonts w:ascii="Arial"/>
                <w:spacing w:val="-1"/>
                <w:sz w:val="20"/>
                <w:u w:val="thick" w:color="000000"/>
              </w:rPr>
              <w:t>939,804</w:t>
            </w:r>
            <w:r>
              <w:rPr>
                <w:rFonts w:ascii="Arial"/>
                <w:spacing w:val="-1"/>
                <w:sz w:val="20"/>
              </w:rPr>
              <w:tab/>
            </w:r>
            <w:r>
              <w:rPr>
                <w:rFonts w:ascii="Arial"/>
                <w:spacing w:val="-1"/>
                <w:sz w:val="20"/>
                <w:u w:val="thick" w:color="000000"/>
              </w:rPr>
              <w:t>69,967,372</w:t>
            </w:r>
            <w:r>
              <w:rPr>
                <w:rFonts w:ascii="Arial"/>
                <w:spacing w:val="-1"/>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
              <w:ind w:left="216" w:right="0"/>
              <w:jc w:val="left"/>
              <w:rPr>
                <w:rFonts w:ascii="Arial" w:hAnsi="Arial" w:cs="Arial" w:eastAsia="Arial" w:hint="default"/>
                <w:sz w:val="20"/>
                <w:szCs w:val="20"/>
              </w:rPr>
            </w:pPr>
            <w:r>
              <w:rPr>
                <w:rFonts w:ascii="Arial"/>
                <w:w w:val="100"/>
                <w:sz w:val="20"/>
              </w:rPr>
            </w:r>
            <w:r>
              <w:rPr>
                <w:rFonts w:ascii="Arial"/>
                <w:sz w:val="20"/>
                <w:u w:val="thick" w:color="000000"/>
              </w:rPr>
              <w:t>235,805,360</w:t>
            </w:r>
            <w:r>
              <w:rPr>
                <w:rFonts w:ascii="Arial"/>
                <w:sz w:val="20"/>
              </w:rPr>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600,407,087</w:t>
            </w:r>
            <w:r>
              <w:rPr>
                <w:rFonts w:ascii="Arial"/>
                <w:spacing w:val="-1"/>
                <w:sz w:val="20"/>
              </w:rPr>
            </w:r>
          </w:p>
        </w:tc>
      </w:tr>
      <w:tr>
        <w:trPr>
          <w:trHeight w:val="383"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64" w:right="0"/>
              <w:jc w:val="left"/>
              <w:rPr>
                <w:rFonts w:ascii="黑体" w:hAnsi="黑体" w:cs="黑体" w:eastAsia="黑体" w:hint="default"/>
                <w:sz w:val="20"/>
                <w:szCs w:val="20"/>
              </w:rPr>
            </w:pPr>
            <w:r>
              <w:rPr>
                <w:rFonts w:ascii="黑体" w:hAnsi="黑体" w:cs="黑体" w:eastAsia="黑体" w:hint="default"/>
                <w:sz w:val="20"/>
                <w:szCs w:val="20"/>
              </w:rPr>
              <w:t>累计折旧</w:t>
            </w:r>
          </w:p>
        </w:tc>
        <w:tc>
          <w:tcPr>
            <w:tcW w:w="1493" w:type="dxa"/>
            <w:tcBorders>
              <w:top w:val="nil" w:sz="6" w:space="0" w:color="auto"/>
              <w:left w:val="nil" w:sz="6" w:space="0" w:color="auto"/>
              <w:bottom w:val="nil" w:sz="6" w:space="0" w:color="auto"/>
              <w:right w:val="nil" w:sz="6" w:space="0" w:color="auto"/>
            </w:tcBorders>
          </w:tcPr>
          <w:p>
            <w:pPr/>
          </w:p>
        </w:tc>
        <w:tc>
          <w:tcPr>
            <w:tcW w:w="2411"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
        </w:tc>
      </w:tr>
      <w:tr>
        <w:trPr>
          <w:trHeight w:val="263"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30" w:lineRule="exact"/>
              <w:ind w:left="764" w:right="0"/>
              <w:jc w:val="left"/>
              <w:rPr>
                <w:rFonts w:ascii="黑体" w:hAnsi="黑体" w:cs="黑体" w:eastAsia="黑体" w:hint="default"/>
                <w:sz w:val="20"/>
                <w:szCs w:val="20"/>
              </w:rPr>
            </w:pPr>
            <w:r>
              <w:rPr>
                <w:rFonts w:ascii="黑体" w:hAnsi="黑体" w:cs="黑体" w:eastAsia="黑体" w:hint="default"/>
                <w:sz w:val="20"/>
                <w:szCs w:val="20"/>
              </w:rPr>
              <w:t>房屋及建筑物</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29"/>
              <w:jc w:val="right"/>
              <w:rPr>
                <w:rFonts w:ascii="Arial" w:hAnsi="Arial" w:cs="Arial" w:eastAsia="Arial" w:hint="default"/>
                <w:sz w:val="20"/>
                <w:szCs w:val="20"/>
              </w:rPr>
            </w:pPr>
            <w:r>
              <w:rPr>
                <w:rFonts w:ascii="Arial"/>
                <w:spacing w:val="-1"/>
                <w:sz w:val="20"/>
              </w:rPr>
              <w:t>21,243,392</w:t>
            </w:r>
          </w:p>
        </w:tc>
        <w:tc>
          <w:tcPr>
            <w:tcW w:w="2411" w:type="dxa"/>
            <w:tcBorders>
              <w:top w:val="nil" w:sz="6" w:space="0" w:color="auto"/>
              <w:left w:val="nil" w:sz="6" w:space="0" w:color="auto"/>
              <w:bottom w:val="nil" w:sz="6" w:space="0" w:color="auto"/>
              <w:right w:val="nil" w:sz="6" w:space="0" w:color="auto"/>
            </w:tcBorders>
          </w:tcPr>
          <w:p>
            <w:pPr>
              <w:pStyle w:val="TableParagraph"/>
              <w:tabs>
                <w:tab w:pos="1430" w:val="left" w:leader="none"/>
              </w:tabs>
              <w:spacing w:line="240" w:lineRule="auto" w:before="12"/>
              <w:ind w:left="835" w:right="0"/>
              <w:jc w:val="left"/>
              <w:rPr>
                <w:rFonts w:ascii="Arial" w:hAnsi="Arial" w:cs="Arial" w:eastAsia="Arial" w:hint="default"/>
                <w:sz w:val="20"/>
                <w:szCs w:val="20"/>
              </w:rPr>
            </w:pPr>
            <w:r>
              <w:rPr>
                <w:rFonts w:ascii="Arial"/>
                <w:sz w:val="20"/>
              </w:rPr>
              <w:t>-</w:t>
              <w:tab/>
              <w:t>2,980,661</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38" w:right="0"/>
              <w:jc w:val="left"/>
              <w:rPr>
                <w:rFonts w:ascii="Arial" w:hAnsi="Arial" w:cs="Arial" w:eastAsia="Arial" w:hint="default"/>
                <w:sz w:val="20"/>
                <w:szCs w:val="20"/>
              </w:rPr>
            </w:pPr>
            <w:r>
              <w:rPr>
                <w:rFonts w:ascii="Arial"/>
                <w:sz w:val="20"/>
              </w:rPr>
              <w:t>8,833,307</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4"/>
              <w:jc w:val="right"/>
              <w:rPr>
                <w:rFonts w:ascii="Arial" w:hAnsi="Arial" w:cs="Arial" w:eastAsia="Arial" w:hint="default"/>
                <w:sz w:val="20"/>
                <w:szCs w:val="20"/>
              </w:rPr>
            </w:pPr>
            <w:r>
              <w:rPr>
                <w:rFonts w:ascii="Arial"/>
                <w:spacing w:val="-1"/>
                <w:sz w:val="20"/>
              </w:rPr>
              <w:t>15,390,746</w:t>
            </w:r>
          </w:p>
        </w:tc>
      </w:tr>
      <w:tr>
        <w:trPr>
          <w:trHeight w:val="25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26" w:lineRule="exact"/>
              <w:ind w:left="764" w:right="0"/>
              <w:jc w:val="left"/>
              <w:rPr>
                <w:rFonts w:ascii="黑体" w:hAnsi="黑体" w:cs="黑体" w:eastAsia="黑体" w:hint="default"/>
                <w:sz w:val="20"/>
                <w:szCs w:val="20"/>
              </w:rPr>
            </w:pPr>
            <w:r>
              <w:rPr>
                <w:rFonts w:ascii="黑体" w:hAnsi="黑体" w:cs="黑体" w:eastAsia="黑体" w:hint="default"/>
                <w:sz w:val="20"/>
                <w:szCs w:val="20"/>
              </w:rPr>
              <w:t>机器设备</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9"/>
              <w:jc w:val="right"/>
              <w:rPr>
                <w:rFonts w:ascii="Arial" w:hAnsi="Arial" w:cs="Arial" w:eastAsia="Arial" w:hint="default"/>
                <w:sz w:val="20"/>
                <w:szCs w:val="20"/>
              </w:rPr>
            </w:pPr>
            <w:r>
              <w:rPr>
                <w:rFonts w:ascii="Arial"/>
                <w:spacing w:val="-1"/>
                <w:sz w:val="20"/>
              </w:rPr>
              <w:t>15,756,838</w:t>
            </w:r>
          </w:p>
        </w:tc>
        <w:tc>
          <w:tcPr>
            <w:tcW w:w="2411" w:type="dxa"/>
            <w:tcBorders>
              <w:top w:val="nil" w:sz="6" w:space="0" w:color="auto"/>
              <w:left w:val="nil" w:sz="6" w:space="0" w:color="auto"/>
              <w:bottom w:val="nil" w:sz="6" w:space="0" w:color="auto"/>
              <w:right w:val="nil" w:sz="6" w:space="0" w:color="auto"/>
            </w:tcBorders>
          </w:tcPr>
          <w:p>
            <w:pPr>
              <w:pStyle w:val="TableParagraph"/>
              <w:tabs>
                <w:tab w:pos="1430" w:val="left" w:leader="none"/>
              </w:tabs>
              <w:spacing w:line="240" w:lineRule="auto" w:before="8"/>
              <w:ind w:left="835" w:right="0"/>
              <w:jc w:val="left"/>
              <w:rPr>
                <w:rFonts w:ascii="Arial" w:hAnsi="Arial" w:cs="Arial" w:eastAsia="Arial" w:hint="default"/>
                <w:sz w:val="20"/>
                <w:szCs w:val="20"/>
              </w:rPr>
            </w:pPr>
            <w:r>
              <w:rPr>
                <w:rFonts w:ascii="Arial"/>
                <w:sz w:val="20"/>
              </w:rPr>
              <w:t>-</w:t>
              <w:tab/>
              <w:t>8,586,484</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8"/>
              <w:ind w:left="326" w:right="0"/>
              <w:jc w:val="left"/>
              <w:rPr>
                <w:rFonts w:ascii="Arial" w:hAnsi="Arial" w:cs="Arial" w:eastAsia="Arial" w:hint="default"/>
                <w:sz w:val="20"/>
                <w:szCs w:val="20"/>
              </w:rPr>
            </w:pPr>
            <w:r>
              <w:rPr>
                <w:rFonts w:ascii="Arial"/>
                <w:sz w:val="20"/>
              </w:rPr>
              <w:t>16,209,665</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8,133,657</w:t>
            </w:r>
          </w:p>
        </w:tc>
      </w:tr>
      <w:tr>
        <w:trPr>
          <w:trHeight w:val="25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26" w:lineRule="exact"/>
              <w:ind w:left="764" w:right="0"/>
              <w:jc w:val="left"/>
              <w:rPr>
                <w:rFonts w:ascii="黑体" w:hAnsi="黑体" w:cs="黑体" w:eastAsia="黑体" w:hint="default"/>
                <w:sz w:val="20"/>
                <w:szCs w:val="20"/>
              </w:rPr>
            </w:pPr>
            <w:r>
              <w:rPr>
                <w:rFonts w:ascii="黑体" w:hAnsi="黑体" w:cs="黑体" w:eastAsia="黑体" w:hint="default"/>
                <w:sz w:val="20"/>
                <w:szCs w:val="20"/>
              </w:rPr>
              <w:t>运输工具</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9"/>
              <w:jc w:val="right"/>
              <w:rPr>
                <w:rFonts w:ascii="Arial" w:hAnsi="Arial" w:cs="Arial" w:eastAsia="Arial" w:hint="default"/>
                <w:sz w:val="20"/>
                <w:szCs w:val="20"/>
              </w:rPr>
            </w:pPr>
            <w:r>
              <w:rPr>
                <w:rFonts w:ascii="Arial"/>
                <w:spacing w:val="-1"/>
                <w:sz w:val="20"/>
              </w:rPr>
              <w:t>12,670,744</w:t>
            </w:r>
          </w:p>
        </w:tc>
        <w:tc>
          <w:tcPr>
            <w:tcW w:w="2411" w:type="dxa"/>
            <w:tcBorders>
              <w:top w:val="nil" w:sz="6" w:space="0" w:color="auto"/>
              <w:left w:val="nil" w:sz="6" w:space="0" w:color="auto"/>
              <w:bottom w:val="nil" w:sz="6" w:space="0" w:color="auto"/>
              <w:right w:val="nil" w:sz="6" w:space="0" w:color="auto"/>
            </w:tcBorders>
          </w:tcPr>
          <w:p>
            <w:pPr>
              <w:pStyle w:val="TableParagraph"/>
              <w:tabs>
                <w:tab w:pos="1430" w:val="left" w:leader="none"/>
              </w:tabs>
              <w:spacing w:line="240" w:lineRule="auto" w:before="8"/>
              <w:ind w:left="835" w:right="0"/>
              <w:jc w:val="left"/>
              <w:rPr>
                <w:rFonts w:ascii="Arial" w:hAnsi="Arial" w:cs="Arial" w:eastAsia="Arial" w:hint="default"/>
                <w:sz w:val="20"/>
                <w:szCs w:val="20"/>
              </w:rPr>
            </w:pPr>
            <w:r>
              <w:rPr>
                <w:rFonts w:ascii="Arial"/>
                <w:sz w:val="20"/>
              </w:rPr>
              <w:t>-</w:t>
              <w:tab/>
              <w:t>2,918,234</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8"/>
              <w:ind w:left="438" w:right="0"/>
              <w:jc w:val="left"/>
              <w:rPr>
                <w:rFonts w:ascii="Arial" w:hAnsi="Arial" w:cs="Arial" w:eastAsia="Arial" w:hint="default"/>
                <w:sz w:val="20"/>
                <w:szCs w:val="20"/>
              </w:rPr>
            </w:pPr>
            <w:r>
              <w:rPr>
                <w:rFonts w:ascii="Arial"/>
                <w:sz w:val="20"/>
              </w:rPr>
              <w:t>1,656,336</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13,932,642</w:t>
            </w:r>
          </w:p>
        </w:tc>
      </w:tr>
      <w:tr>
        <w:trPr>
          <w:trHeight w:val="261"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26" w:lineRule="exact"/>
              <w:ind w:left="764" w:right="0"/>
              <w:jc w:val="left"/>
              <w:rPr>
                <w:rFonts w:ascii="黑体" w:hAnsi="黑体" w:cs="黑体" w:eastAsia="黑体" w:hint="default"/>
                <w:sz w:val="20"/>
                <w:szCs w:val="20"/>
              </w:rPr>
            </w:pPr>
            <w:r>
              <w:rPr>
                <w:rFonts w:ascii="黑体" w:hAnsi="黑体" w:cs="黑体" w:eastAsia="黑体" w:hint="default"/>
                <w:sz w:val="20"/>
                <w:szCs w:val="20"/>
              </w:rPr>
              <w:t>办公及电子设备</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79,915,574</w:t>
            </w:r>
            <w:r>
              <w:rPr>
                <w:rFonts w:ascii="Arial"/>
                <w:spacing w:val="-1"/>
                <w:sz w:val="20"/>
              </w:rPr>
            </w:r>
          </w:p>
        </w:tc>
        <w:tc>
          <w:tcPr>
            <w:tcW w:w="2411" w:type="dxa"/>
            <w:tcBorders>
              <w:top w:val="nil" w:sz="6" w:space="0" w:color="auto"/>
              <w:left w:val="nil" w:sz="6" w:space="0" w:color="auto"/>
              <w:bottom w:val="nil" w:sz="6" w:space="0" w:color="auto"/>
              <w:right w:val="nil" w:sz="6" w:space="0" w:color="auto"/>
            </w:tcBorders>
          </w:tcPr>
          <w:p>
            <w:pPr>
              <w:pStyle w:val="TableParagraph"/>
              <w:tabs>
                <w:tab w:pos="835" w:val="left" w:leader="none"/>
                <w:tab w:pos="1318" w:val="left" w:leader="none"/>
              </w:tabs>
              <w:spacing w:line="240" w:lineRule="auto" w:before="8"/>
              <w:ind w:left="196"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tab/>
            </w:r>
            <w:r>
              <w:rPr>
                <w:rFonts w:ascii="Arial"/>
                <w:sz w:val="20"/>
                <w:u w:val="single" w:color="000000"/>
              </w:rPr>
              <w:t>20,769,424</w:t>
            </w:r>
            <w:r>
              <w:rPr>
                <w:rFonts w:ascii="Arial"/>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8"/>
              <w:ind w:left="228"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30,112,186</w:t>
            </w:r>
            <w:r>
              <w:rPr>
                <w:rFonts w:ascii="Arial"/>
                <w:sz w:val="20"/>
              </w:rPr>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70,572,812</w:t>
            </w:r>
            <w:r>
              <w:rPr>
                <w:rFonts w:ascii="Arial"/>
                <w:spacing w:val="-1"/>
                <w:sz w:val="20"/>
              </w:rPr>
            </w:r>
          </w:p>
        </w:tc>
      </w:tr>
      <w:tr>
        <w:trPr>
          <w:trHeight w:val="381" w:hRule="exact"/>
        </w:trPr>
        <w:tc>
          <w:tcPr>
            <w:tcW w:w="231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28"/>
              <w:jc w:val="right"/>
              <w:rPr>
                <w:rFonts w:ascii="Arial" w:hAnsi="Arial" w:cs="Arial" w:eastAsia="Arial" w:hint="default"/>
                <w:sz w:val="20"/>
                <w:szCs w:val="20"/>
              </w:rPr>
            </w:pPr>
            <w:r>
              <w:rPr>
                <w:rFonts w:ascii="Arial"/>
                <w:w w:val="100"/>
                <w:sz w:val="20"/>
              </w:rPr>
            </w:r>
            <w:r>
              <w:rPr>
                <w:rFonts w:ascii="Arial"/>
                <w:spacing w:val="-1"/>
                <w:sz w:val="20"/>
                <w:u w:val="thick" w:color="000000"/>
              </w:rPr>
              <w:t>129,586,548</w:t>
            </w:r>
            <w:r>
              <w:rPr>
                <w:rFonts w:ascii="Arial"/>
                <w:spacing w:val="-1"/>
                <w:sz w:val="20"/>
              </w:rPr>
            </w:r>
          </w:p>
        </w:tc>
        <w:tc>
          <w:tcPr>
            <w:tcW w:w="2411" w:type="dxa"/>
            <w:tcBorders>
              <w:top w:val="nil" w:sz="6" w:space="0" w:color="auto"/>
              <w:left w:val="nil" w:sz="6" w:space="0" w:color="auto"/>
              <w:bottom w:val="nil" w:sz="6" w:space="0" w:color="auto"/>
              <w:right w:val="nil" w:sz="6" w:space="0" w:color="auto"/>
            </w:tcBorders>
          </w:tcPr>
          <w:p>
            <w:pPr>
              <w:pStyle w:val="TableParagraph"/>
              <w:tabs>
                <w:tab w:pos="835" w:val="left" w:leader="none"/>
                <w:tab w:pos="1318" w:val="left" w:leader="none"/>
              </w:tabs>
              <w:spacing w:line="240" w:lineRule="auto" w:before="2"/>
              <w:ind w:left="196"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tab/>
            </w:r>
            <w:r>
              <w:rPr>
                <w:rFonts w:ascii="Arial"/>
                <w:sz w:val="20"/>
                <w:u w:val="thick" w:color="000000"/>
              </w:rPr>
              <w:t>35,254,803</w:t>
            </w:r>
            <w:r>
              <w:rPr>
                <w:rFonts w:ascii="Arial"/>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
              <w:ind w:left="228"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z w:val="20"/>
                <w:u w:val="thick" w:color="000000"/>
              </w:rPr>
              <w:t>56,811,494</w:t>
            </w:r>
            <w:r>
              <w:rPr>
                <w:rFonts w:ascii="Arial"/>
                <w:sz w:val="20"/>
              </w:rPr>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108,029,857</w:t>
            </w:r>
            <w:r>
              <w:rPr>
                <w:rFonts w:ascii="Arial"/>
                <w:spacing w:val="-1"/>
                <w:sz w:val="20"/>
              </w:rPr>
            </w:r>
          </w:p>
        </w:tc>
      </w:tr>
      <w:tr>
        <w:trPr>
          <w:trHeight w:val="383"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64" w:right="0"/>
              <w:jc w:val="left"/>
              <w:rPr>
                <w:rFonts w:ascii="黑体" w:hAnsi="黑体" w:cs="黑体" w:eastAsia="黑体" w:hint="default"/>
                <w:sz w:val="20"/>
                <w:szCs w:val="20"/>
              </w:rPr>
            </w:pPr>
            <w:r>
              <w:rPr>
                <w:rFonts w:ascii="黑体" w:hAnsi="黑体" w:cs="黑体" w:eastAsia="黑体" w:hint="default"/>
                <w:sz w:val="20"/>
                <w:szCs w:val="20"/>
              </w:rPr>
              <w:t>账面净值</w:t>
            </w:r>
          </w:p>
        </w:tc>
        <w:tc>
          <w:tcPr>
            <w:tcW w:w="1493" w:type="dxa"/>
            <w:tcBorders>
              <w:top w:val="nil" w:sz="6" w:space="0" w:color="auto"/>
              <w:left w:val="nil" w:sz="6" w:space="0" w:color="auto"/>
              <w:bottom w:val="nil" w:sz="6" w:space="0" w:color="auto"/>
              <w:right w:val="nil" w:sz="6" w:space="0" w:color="auto"/>
            </w:tcBorders>
          </w:tcPr>
          <w:p>
            <w:pPr/>
          </w:p>
        </w:tc>
        <w:tc>
          <w:tcPr>
            <w:tcW w:w="2411"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
        </w:tc>
      </w:tr>
      <w:tr>
        <w:trPr>
          <w:trHeight w:val="263"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30" w:lineRule="exact"/>
              <w:ind w:left="764" w:right="0"/>
              <w:jc w:val="left"/>
              <w:rPr>
                <w:rFonts w:ascii="黑体" w:hAnsi="黑体" w:cs="黑体" w:eastAsia="黑体" w:hint="default"/>
                <w:sz w:val="20"/>
                <w:szCs w:val="20"/>
              </w:rPr>
            </w:pPr>
            <w:r>
              <w:rPr>
                <w:rFonts w:ascii="黑体" w:hAnsi="黑体" w:cs="黑体" w:eastAsia="黑体" w:hint="default"/>
                <w:sz w:val="20"/>
                <w:szCs w:val="20"/>
              </w:rPr>
              <w:t>房屋及建筑物</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28"/>
              <w:jc w:val="right"/>
              <w:rPr>
                <w:rFonts w:ascii="Arial" w:hAnsi="Arial" w:cs="Arial" w:eastAsia="Arial" w:hint="default"/>
                <w:sz w:val="20"/>
                <w:szCs w:val="20"/>
              </w:rPr>
            </w:pPr>
            <w:r>
              <w:rPr>
                <w:rFonts w:ascii="Arial"/>
                <w:spacing w:val="-1"/>
                <w:sz w:val="20"/>
              </w:rPr>
              <w:t>535,256,869</w:t>
            </w:r>
          </w:p>
        </w:tc>
        <w:tc>
          <w:tcPr>
            <w:tcW w:w="2411" w:type="dxa"/>
            <w:tcBorders>
              <w:top w:val="nil" w:sz="6" w:space="0" w:color="auto"/>
              <w:left w:val="nil" w:sz="6" w:space="0" w:color="auto"/>
              <w:bottom w:val="nil" w:sz="6" w:space="0" w:color="auto"/>
              <w:right w:val="nil" w:sz="6" w:space="0" w:color="auto"/>
            </w:tcBorders>
          </w:tcPr>
          <w:p>
            <w:pPr>
              <w:pStyle w:val="TableParagraph"/>
              <w:tabs>
                <w:tab w:pos="440" w:val="left" w:leader="none"/>
              </w:tabs>
              <w:spacing w:line="240" w:lineRule="auto" w:before="11"/>
              <w:ind w:right="0"/>
              <w:jc w:val="right"/>
              <w:rPr>
                <w:rFonts w:ascii="Arial" w:hAnsi="Arial" w:cs="Arial" w:eastAsia="Arial" w:hint="default"/>
                <w:sz w:val="20"/>
                <w:szCs w:val="20"/>
              </w:rPr>
            </w:pPr>
            <w:r>
              <w:rPr>
                <w:rFonts w:ascii="Arial"/>
                <w:sz w:val="20"/>
              </w:rPr>
              <w:t>-</w:t>
              <w:tab/>
              <w:t>( 2,980,661 )</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16" w:right="0"/>
              <w:jc w:val="left"/>
              <w:rPr>
                <w:rFonts w:ascii="Arial" w:hAnsi="Arial" w:cs="Arial" w:eastAsia="Arial" w:hint="default"/>
                <w:sz w:val="20"/>
                <w:szCs w:val="20"/>
              </w:rPr>
            </w:pPr>
            <w:r>
              <w:rPr>
                <w:rFonts w:ascii="Arial"/>
                <w:sz w:val="20"/>
              </w:rPr>
              <w:t>175,136,802</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Arial" w:hAnsi="Arial" w:cs="Arial" w:eastAsia="Arial" w:hint="default"/>
                <w:sz w:val="20"/>
                <w:szCs w:val="20"/>
              </w:rPr>
            </w:pPr>
            <w:r>
              <w:rPr>
                <w:rFonts w:ascii="Arial"/>
                <w:spacing w:val="-1"/>
                <w:sz w:val="20"/>
              </w:rPr>
              <w:t>357,139,406</w:t>
            </w:r>
          </w:p>
        </w:tc>
      </w:tr>
      <w:tr>
        <w:trPr>
          <w:trHeight w:val="260"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26" w:lineRule="exact"/>
              <w:ind w:left="764" w:right="0"/>
              <w:jc w:val="left"/>
              <w:rPr>
                <w:rFonts w:ascii="黑体" w:hAnsi="黑体" w:cs="黑体" w:eastAsia="黑体" w:hint="default"/>
                <w:sz w:val="20"/>
                <w:szCs w:val="20"/>
              </w:rPr>
            </w:pPr>
            <w:r>
              <w:rPr>
                <w:rFonts w:ascii="黑体" w:hAnsi="黑体" w:cs="黑体" w:eastAsia="黑体" w:hint="default"/>
                <w:sz w:val="20"/>
                <w:szCs w:val="20"/>
              </w:rPr>
              <w:t>机器设备</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9"/>
              <w:jc w:val="right"/>
              <w:rPr>
                <w:rFonts w:ascii="Arial" w:hAnsi="Arial" w:cs="Arial" w:eastAsia="Arial" w:hint="default"/>
                <w:sz w:val="20"/>
                <w:szCs w:val="20"/>
              </w:rPr>
            </w:pPr>
            <w:r>
              <w:rPr>
                <w:rFonts w:ascii="Arial"/>
                <w:spacing w:val="-1"/>
                <w:sz w:val="20"/>
              </w:rPr>
              <w:t>31,031,250</w:t>
            </w:r>
          </w:p>
        </w:tc>
        <w:tc>
          <w:tcPr>
            <w:tcW w:w="2411" w:type="dxa"/>
            <w:tcBorders>
              <w:top w:val="nil" w:sz="6" w:space="0" w:color="auto"/>
              <w:left w:val="nil" w:sz="6" w:space="0" w:color="auto"/>
              <w:bottom w:val="nil" w:sz="6" w:space="0" w:color="auto"/>
              <w:right w:val="nil" w:sz="6" w:space="0" w:color="auto"/>
            </w:tcBorders>
          </w:tcPr>
          <w:p>
            <w:pPr>
              <w:pStyle w:val="TableParagraph"/>
              <w:tabs>
                <w:tab w:pos="1319" w:val="left" w:leader="none"/>
              </w:tabs>
              <w:spacing w:line="240" w:lineRule="auto" w:before="8"/>
              <w:ind w:left="835" w:right="0"/>
              <w:jc w:val="left"/>
              <w:rPr>
                <w:rFonts w:ascii="Arial" w:hAnsi="Arial" w:cs="Arial" w:eastAsia="Arial" w:hint="default"/>
                <w:sz w:val="20"/>
                <w:szCs w:val="20"/>
              </w:rPr>
            </w:pPr>
            <w:r>
              <w:rPr>
                <w:rFonts w:ascii="Arial"/>
                <w:sz w:val="20"/>
              </w:rPr>
              <w:t>-</w:t>
              <w:tab/>
              <w:t>30,325,171</w:t>
            </w:r>
          </w:p>
        </w:tc>
        <w:tc>
          <w:tcPr>
            <w:tcW w:w="1526" w:type="dxa"/>
            <w:tcBorders>
              <w:top w:val="nil" w:sz="6" w:space="0" w:color="auto"/>
              <w:left w:val="nil" w:sz="6" w:space="0" w:color="auto"/>
              <w:bottom w:val="nil" w:sz="6" w:space="0" w:color="auto"/>
              <w:right w:val="nil" w:sz="6" w:space="0" w:color="auto"/>
            </w:tcBorders>
          </w:tcPr>
          <w:p>
            <w:pPr>
              <w:pStyle w:val="TableParagraph"/>
              <w:tabs>
                <w:tab w:pos="465" w:val="left" w:leader="none"/>
              </w:tabs>
              <w:spacing w:line="240" w:lineRule="auto" w:before="8"/>
              <w:ind w:right="105"/>
              <w:jc w:val="right"/>
              <w:rPr>
                <w:rFonts w:ascii="Arial" w:hAnsi="Arial" w:cs="Arial" w:eastAsia="Arial" w:hint="default"/>
                <w:sz w:val="20"/>
                <w:szCs w:val="20"/>
              </w:rPr>
            </w:pPr>
            <w:r>
              <w:rPr>
                <w:rFonts w:ascii="Arial"/>
                <w:sz w:val="20"/>
              </w:rPr>
              <w:t>(</w:t>
              <w:tab/>
              <w:t>279,874</w:t>
            </w:r>
            <w:r>
              <w:rPr>
                <w:rFonts w:ascii="Arial"/>
                <w:spacing w:val="-34"/>
                <w:sz w:val="20"/>
              </w:rPr>
              <w:t> </w:t>
            </w:r>
            <w:r>
              <w:rPr>
                <w:rFonts w:ascii="Arial"/>
                <w:sz w:val="20"/>
              </w:rPr>
              <w:t>)</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61,636,295</w:t>
            </w:r>
          </w:p>
        </w:tc>
      </w:tr>
      <w:tr>
        <w:trPr>
          <w:trHeight w:val="260"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27" w:lineRule="exact"/>
              <w:ind w:left="764" w:right="0"/>
              <w:jc w:val="left"/>
              <w:rPr>
                <w:rFonts w:ascii="黑体" w:hAnsi="黑体" w:cs="黑体" w:eastAsia="黑体" w:hint="default"/>
                <w:sz w:val="20"/>
                <w:szCs w:val="20"/>
              </w:rPr>
            </w:pPr>
            <w:r>
              <w:rPr>
                <w:rFonts w:ascii="黑体" w:hAnsi="黑体" w:cs="黑体" w:eastAsia="黑体" w:hint="default"/>
                <w:sz w:val="20"/>
                <w:szCs w:val="20"/>
              </w:rPr>
              <w:t>运输工具</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9"/>
              <w:jc w:val="right"/>
              <w:rPr>
                <w:rFonts w:ascii="Arial" w:hAnsi="Arial" w:cs="Arial" w:eastAsia="Arial" w:hint="default"/>
                <w:sz w:val="20"/>
                <w:szCs w:val="20"/>
              </w:rPr>
            </w:pPr>
            <w:r>
              <w:rPr>
                <w:rFonts w:ascii="Arial"/>
                <w:spacing w:val="-1"/>
                <w:sz w:val="20"/>
              </w:rPr>
              <w:t>9,363,298</w:t>
            </w:r>
          </w:p>
        </w:tc>
        <w:tc>
          <w:tcPr>
            <w:tcW w:w="2411" w:type="dxa"/>
            <w:tcBorders>
              <w:top w:val="nil" w:sz="6" w:space="0" w:color="auto"/>
              <w:left w:val="nil" w:sz="6" w:space="0" w:color="auto"/>
              <w:bottom w:val="nil" w:sz="6" w:space="0" w:color="auto"/>
              <w:right w:val="nil" w:sz="6" w:space="0" w:color="auto"/>
            </w:tcBorders>
          </w:tcPr>
          <w:p>
            <w:pPr>
              <w:pStyle w:val="TableParagraph"/>
              <w:tabs>
                <w:tab w:pos="395" w:val="left" w:leader="none"/>
                <w:tab w:pos="761" w:val="left" w:leader="none"/>
              </w:tabs>
              <w:spacing w:line="240" w:lineRule="auto" w:before="8"/>
              <w:ind w:right="0"/>
              <w:jc w:val="right"/>
              <w:rPr>
                <w:rFonts w:ascii="Arial" w:hAnsi="Arial" w:cs="Arial" w:eastAsia="Arial" w:hint="default"/>
                <w:sz w:val="20"/>
                <w:szCs w:val="20"/>
              </w:rPr>
            </w:pPr>
            <w:r>
              <w:rPr>
                <w:rFonts w:ascii="Arial"/>
                <w:sz w:val="20"/>
              </w:rPr>
              <w:t>-</w:t>
              <w:tab/>
              <w:t>(</w:t>
              <w:tab/>
              <w:t>503,898</w:t>
            </w:r>
            <w:r>
              <w:rPr>
                <w:rFonts w:ascii="Arial"/>
                <w:spacing w:val="-33"/>
                <w:sz w:val="20"/>
              </w:rPr>
              <w:t> </w:t>
            </w:r>
            <w:r>
              <w:rPr>
                <w:rFonts w:ascii="Arial"/>
                <w:sz w:val="20"/>
              </w:rPr>
              <w:t>)</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5"/>
              <w:jc w:val="right"/>
              <w:rPr>
                <w:rFonts w:ascii="Arial" w:hAnsi="Arial" w:cs="Arial" w:eastAsia="Arial" w:hint="default"/>
                <w:sz w:val="20"/>
                <w:szCs w:val="20"/>
              </w:rPr>
            </w:pPr>
            <w:r>
              <w:rPr>
                <w:rFonts w:ascii="Arial"/>
                <w:spacing w:val="-1"/>
                <w:sz w:val="20"/>
              </w:rPr>
              <w:t>324,317</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8,535,083</w:t>
            </w:r>
          </w:p>
        </w:tc>
      </w:tr>
      <w:tr>
        <w:trPr>
          <w:trHeight w:val="264"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26" w:lineRule="exact"/>
              <w:ind w:left="764" w:right="0"/>
              <w:jc w:val="left"/>
              <w:rPr>
                <w:rFonts w:ascii="黑体" w:hAnsi="黑体" w:cs="黑体" w:eastAsia="黑体" w:hint="default"/>
                <w:sz w:val="20"/>
                <w:szCs w:val="20"/>
              </w:rPr>
            </w:pPr>
            <w:r>
              <w:rPr>
                <w:rFonts w:ascii="黑体" w:hAnsi="黑体" w:cs="黑体" w:eastAsia="黑体" w:hint="default"/>
                <w:sz w:val="20"/>
                <w:szCs w:val="20"/>
              </w:rPr>
              <w:t>办公及电子设备</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60,067,306</w:t>
            </w:r>
            <w:r>
              <w:rPr>
                <w:rFonts w:ascii="Arial"/>
                <w:spacing w:val="-1"/>
                <w:sz w:val="20"/>
              </w:rPr>
            </w:r>
          </w:p>
        </w:tc>
        <w:tc>
          <w:tcPr>
            <w:tcW w:w="2411" w:type="dxa"/>
            <w:tcBorders>
              <w:top w:val="nil" w:sz="6" w:space="0" w:color="auto"/>
              <w:left w:val="nil" w:sz="6" w:space="0" w:color="auto"/>
              <w:bottom w:val="nil" w:sz="6" w:space="0" w:color="auto"/>
              <w:right w:val="nil" w:sz="6" w:space="0" w:color="auto"/>
            </w:tcBorders>
          </w:tcPr>
          <w:p>
            <w:pPr>
              <w:pStyle w:val="TableParagraph"/>
              <w:tabs>
                <w:tab w:pos="1329" w:val="left" w:leader="none"/>
              </w:tabs>
              <w:spacing w:line="240" w:lineRule="auto" w:before="8"/>
              <w:ind w:left="178" w:right="0"/>
              <w:jc w:val="left"/>
              <w:rPr>
                <w:rFonts w:ascii="Arial" w:hAnsi="Arial" w:cs="Arial" w:eastAsia="Arial" w:hint="default"/>
                <w:sz w:val="20"/>
                <w:szCs w:val="20"/>
              </w:rPr>
            </w:pPr>
            <w:r>
              <w:rPr>
                <w:rFonts w:ascii="Arial"/>
                <w:w w:val="100"/>
                <w:sz w:val="20"/>
              </w:rPr>
            </w:r>
            <w:r>
              <w:rPr>
                <w:rFonts w:ascii="Arial"/>
                <w:spacing w:val="-1"/>
                <w:sz w:val="20"/>
                <w:u w:val="single" w:color="000000"/>
              </w:rPr>
              <w:t>939,804</w:t>
            </w:r>
            <w:r>
              <w:rPr>
                <w:rFonts w:ascii="Arial"/>
                <w:spacing w:val="-1"/>
                <w:sz w:val="20"/>
              </w:rPr>
              <w:tab/>
            </w:r>
            <w:r>
              <w:rPr>
                <w:rFonts w:ascii="Arial"/>
                <w:spacing w:val="-1"/>
                <w:sz w:val="20"/>
                <w:u w:val="single" w:color="000000"/>
              </w:rPr>
              <w:t> </w:t>
            </w:r>
            <w:r>
              <w:rPr>
                <w:rFonts w:ascii="Arial"/>
                <w:sz w:val="20"/>
                <w:u w:val="single" w:color="000000"/>
              </w:rPr>
              <w:t>7,871,957</w:t>
            </w:r>
            <w:r>
              <w:rPr>
                <w:rFonts w:ascii="Arial"/>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8"/>
              <w:ind w:left="239"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3,812,621</w:t>
            </w:r>
            <w:r>
              <w:rPr>
                <w:rFonts w:ascii="Arial"/>
                <w:sz w:val="20"/>
              </w:rPr>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65,066,446</w:t>
            </w:r>
            <w:r>
              <w:rPr>
                <w:rFonts w:ascii="Arial"/>
                <w:spacing w:val="-1"/>
                <w:sz w:val="20"/>
              </w:rPr>
            </w:r>
          </w:p>
        </w:tc>
      </w:tr>
      <w:tr>
        <w:trPr>
          <w:trHeight w:val="383" w:hRule="exact"/>
        </w:trPr>
        <w:tc>
          <w:tcPr>
            <w:tcW w:w="231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28"/>
              <w:jc w:val="right"/>
              <w:rPr>
                <w:rFonts w:ascii="Arial" w:hAnsi="Arial" w:cs="Arial" w:eastAsia="Arial" w:hint="default"/>
                <w:sz w:val="20"/>
                <w:szCs w:val="20"/>
              </w:rPr>
            </w:pPr>
            <w:r>
              <w:rPr>
                <w:rFonts w:ascii="Arial"/>
                <w:w w:val="100"/>
                <w:sz w:val="20"/>
              </w:rPr>
            </w:r>
            <w:r>
              <w:rPr>
                <w:rFonts w:ascii="Arial"/>
                <w:spacing w:val="-1"/>
                <w:sz w:val="20"/>
                <w:u w:val="thick" w:color="000000"/>
              </w:rPr>
              <w:t>635,718,723</w:t>
            </w:r>
            <w:r>
              <w:rPr>
                <w:rFonts w:ascii="Arial"/>
                <w:spacing w:val="-1"/>
                <w:sz w:val="20"/>
              </w:rPr>
            </w:r>
          </w:p>
        </w:tc>
        <w:tc>
          <w:tcPr>
            <w:tcW w:w="2411" w:type="dxa"/>
            <w:tcBorders>
              <w:top w:val="nil" w:sz="6" w:space="0" w:color="auto"/>
              <w:left w:val="nil" w:sz="6" w:space="0" w:color="auto"/>
              <w:bottom w:val="nil" w:sz="6" w:space="0" w:color="auto"/>
              <w:right w:val="nil" w:sz="6" w:space="0" w:color="auto"/>
            </w:tcBorders>
          </w:tcPr>
          <w:p>
            <w:pPr>
              <w:pStyle w:val="TableParagraph"/>
              <w:tabs>
                <w:tab w:pos="1318" w:val="left" w:leader="none"/>
              </w:tabs>
              <w:spacing w:line="240" w:lineRule="auto" w:before="4"/>
              <w:ind w:left="178" w:right="0"/>
              <w:jc w:val="left"/>
              <w:rPr>
                <w:rFonts w:ascii="Arial" w:hAnsi="Arial" w:cs="Arial" w:eastAsia="Arial" w:hint="default"/>
                <w:sz w:val="20"/>
                <w:szCs w:val="20"/>
              </w:rPr>
            </w:pPr>
            <w:r>
              <w:rPr>
                <w:rFonts w:ascii="Arial"/>
                <w:w w:val="100"/>
                <w:sz w:val="20"/>
              </w:rPr>
            </w:r>
            <w:r>
              <w:rPr>
                <w:rFonts w:ascii="Arial"/>
                <w:spacing w:val="-1"/>
                <w:sz w:val="20"/>
                <w:u w:val="thick" w:color="000000"/>
              </w:rPr>
              <w:t>939,804</w:t>
            </w:r>
            <w:r>
              <w:rPr>
                <w:rFonts w:ascii="Arial"/>
                <w:spacing w:val="-1"/>
                <w:sz w:val="20"/>
              </w:rPr>
              <w:tab/>
            </w:r>
            <w:r>
              <w:rPr>
                <w:rFonts w:ascii="Arial"/>
                <w:spacing w:val="-1"/>
                <w:sz w:val="20"/>
                <w:u w:val="thick" w:color="000000"/>
              </w:rPr>
              <w:t>34,712,569</w:t>
            </w:r>
            <w:r>
              <w:rPr>
                <w:rFonts w:ascii="Arial"/>
                <w:spacing w:val="-1"/>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4"/>
              <w:ind w:left="216" w:right="0"/>
              <w:jc w:val="left"/>
              <w:rPr>
                <w:rFonts w:ascii="Arial" w:hAnsi="Arial" w:cs="Arial" w:eastAsia="Arial" w:hint="default"/>
                <w:sz w:val="20"/>
                <w:szCs w:val="20"/>
              </w:rPr>
            </w:pPr>
            <w:r>
              <w:rPr>
                <w:rFonts w:ascii="Arial"/>
                <w:w w:val="100"/>
                <w:sz w:val="20"/>
              </w:rPr>
            </w:r>
            <w:r>
              <w:rPr>
                <w:rFonts w:ascii="Arial"/>
                <w:sz w:val="20"/>
                <w:u w:val="thick" w:color="000000"/>
              </w:rPr>
              <w:t>178,993,866</w:t>
            </w:r>
            <w:r>
              <w:rPr>
                <w:rFonts w:ascii="Arial"/>
                <w:sz w:val="20"/>
              </w:rPr>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492,377,230</w:t>
            </w:r>
            <w:r>
              <w:rPr>
                <w:rFonts w:ascii="Arial"/>
                <w:spacing w:val="-1"/>
                <w:sz w:val="20"/>
              </w:rPr>
            </w:r>
          </w:p>
        </w:tc>
      </w:tr>
      <w:tr>
        <w:trPr>
          <w:trHeight w:val="383"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64" w:right="0"/>
              <w:jc w:val="left"/>
              <w:rPr>
                <w:rFonts w:ascii="黑体" w:hAnsi="黑体" w:cs="黑体" w:eastAsia="黑体" w:hint="default"/>
                <w:sz w:val="20"/>
                <w:szCs w:val="20"/>
              </w:rPr>
            </w:pPr>
            <w:r>
              <w:rPr>
                <w:rFonts w:ascii="黑体" w:hAnsi="黑体" w:cs="黑体" w:eastAsia="黑体" w:hint="default"/>
                <w:sz w:val="20"/>
                <w:szCs w:val="20"/>
              </w:rPr>
              <w:t>减值准备</w:t>
            </w:r>
          </w:p>
        </w:tc>
        <w:tc>
          <w:tcPr>
            <w:tcW w:w="1493" w:type="dxa"/>
            <w:tcBorders>
              <w:top w:val="nil" w:sz="6" w:space="0" w:color="auto"/>
              <w:left w:val="nil" w:sz="6" w:space="0" w:color="auto"/>
              <w:bottom w:val="nil" w:sz="6" w:space="0" w:color="auto"/>
              <w:right w:val="nil" w:sz="6" w:space="0" w:color="auto"/>
            </w:tcBorders>
          </w:tcPr>
          <w:p>
            <w:pPr/>
          </w:p>
        </w:tc>
        <w:tc>
          <w:tcPr>
            <w:tcW w:w="2411"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
        </w:tc>
      </w:tr>
      <w:tr>
        <w:trPr>
          <w:trHeight w:val="263"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30" w:lineRule="exact"/>
              <w:ind w:left="764" w:right="0"/>
              <w:jc w:val="left"/>
              <w:rPr>
                <w:rFonts w:ascii="黑体" w:hAnsi="黑体" w:cs="黑体" w:eastAsia="黑体" w:hint="default"/>
                <w:sz w:val="20"/>
                <w:szCs w:val="20"/>
              </w:rPr>
            </w:pPr>
            <w:r>
              <w:rPr>
                <w:rFonts w:ascii="黑体" w:hAnsi="黑体" w:cs="黑体" w:eastAsia="黑体" w:hint="default"/>
                <w:sz w:val="20"/>
                <w:szCs w:val="20"/>
              </w:rPr>
              <w:t>房屋及建筑物</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31"/>
              <w:jc w:val="right"/>
              <w:rPr>
                <w:rFonts w:ascii="Arial" w:hAnsi="Arial" w:cs="Arial" w:eastAsia="Arial" w:hint="default"/>
                <w:sz w:val="20"/>
                <w:szCs w:val="20"/>
              </w:rPr>
            </w:pPr>
            <w:r>
              <w:rPr>
                <w:rFonts w:ascii="Arial"/>
                <w:w w:val="100"/>
                <w:sz w:val="20"/>
              </w:rPr>
              <w:t>-</w:t>
            </w:r>
          </w:p>
        </w:tc>
        <w:tc>
          <w:tcPr>
            <w:tcW w:w="2411" w:type="dxa"/>
            <w:tcBorders>
              <w:top w:val="nil" w:sz="6" w:space="0" w:color="auto"/>
              <w:left w:val="nil" w:sz="6" w:space="0" w:color="auto"/>
              <w:bottom w:val="nil" w:sz="6" w:space="0" w:color="auto"/>
              <w:right w:val="nil" w:sz="6" w:space="0" w:color="auto"/>
            </w:tcBorders>
          </w:tcPr>
          <w:p>
            <w:pPr>
              <w:pStyle w:val="TableParagraph"/>
              <w:tabs>
                <w:tab w:pos="2253" w:val="left" w:leader="none"/>
              </w:tabs>
              <w:spacing w:line="240" w:lineRule="auto" w:before="11"/>
              <w:ind w:left="835" w:right="0"/>
              <w:jc w:val="left"/>
              <w:rPr>
                <w:rFonts w:ascii="Arial" w:hAnsi="Arial" w:cs="Arial" w:eastAsia="Arial" w:hint="default"/>
                <w:sz w:val="20"/>
                <w:szCs w:val="20"/>
              </w:rPr>
            </w:pPr>
            <w:r>
              <w:rPr>
                <w:rFonts w:ascii="Arial"/>
                <w:sz w:val="20"/>
              </w:rPr>
              <w:t>-</w:t>
              <w:tab/>
              <w:t>-</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95"/>
              <w:jc w:val="right"/>
              <w:rPr>
                <w:rFonts w:ascii="Arial" w:hAnsi="Arial" w:cs="Arial" w:eastAsia="Arial" w:hint="default"/>
                <w:sz w:val="20"/>
                <w:szCs w:val="20"/>
              </w:rPr>
            </w:pPr>
            <w:r>
              <w:rPr>
                <w:rFonts w:ascii="Arial"/>
                <w:w w:val="100"/>
                <w:sz w:val="20"/>
              </w:rPr>
              <w:t>-</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4"/>
              <w:jc w:val="right"/>
              <w:rPr>
                <w:rFonts w:ascii="Arial" w:hAnsi="Arial" w:cs="Arial" w:eastAsia="Arial" w:hint="default"/>
                <w:sz w:val="20"/>
                <w:szCs w:val="20"/>
              </w:rPr>
            </w:pPr>
            <w:r>
              <w:rPr>
                <w:rFonts w:ascii="Arial"/>
                <w:w w:val="100"/>
                <w:sz w:val="20"/>
              </w:rPr>
              <w:t>-</w:t>
            </w:r>
          </w:p>
        </w:tc>
      </w:tr>
      <w:tr>
        <w:trPr>
          <w:trHeight w:val="25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26" w:lineRule="exact"/>
              <w:ind w:left="764" w:right="0"/>
              <w:jc w:val="left"/>
              <w:rPr>
                <w:rFonts w:ascii="黑体" w:hAnsi="黑体" w:cs="黑体" w:eastAsia="黑体" w:hint="default"/>
                <w:sz w:val="20"/>
                <w:szCs w:val="20"/>
              </w:rPr>
            </w:pPr>
            <w:r>
              <w:rPr>
                <w:rFonts w:ascii="黑体" w:hAnsi="黑体" w:cs="黑体" w:eastAsia="黑体" w:hint="default"/>
                <w:sz w:val="20"/>
                <w:szCs w:val="20"/>
              </w:rPr>
              <w:t>机器设备</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31"/>
              <w:jc w:val="right"/>
              <w:rPr>
                <w:rFonts w:ascii="Arial" w:hAnsi="Arial" w:cs="Arial" w:eastAsia="Arial" w:hint="default"/>
                <w:sz w:val="20"/>
                <w:szCs w:val="20"/>
              </w:rPr>
            </w:pPr>
            <w:r>
              <w:rPr>
                <w:rFonts w:ascii="Arial"/>
                <w:w w:val="100"/>
                <w:sz w:val="20"/>
              </w:rPr>
              <w:t>-</w:t>
            </w:r>
          </w:p>
        </w:tc>
        <w:tc>
          <w:tcPr>
            <w:tcW w:w="2411" w:type="dxa"/>
            <w:tcBorders>
              <w:top w:val="nil" w:sz="6" w:space="0" w:color="auto"/>
              <w:left w:val="nil" w:sz="6" w:space="0" w:color="auto"/>
              <w:bottom w:val="nil" w:sz="6" w:space="0" w:color="auto"/>
              <w:right w:val="nil" w:sz="6" w:space="0" w:color="auto"/>
            </w:tcBorders>
          </w:tcPr>
          <w:p>
            <w:pPr>
              <w:pStyle w:val="TableParagraph"/>
              <w:tabs>
                <w:tab w:pos="2253" w:val="left" w:leader="none"/>
              </w:tabs>
              <w:spacing w:line="240" w:lineRule="auto" w:before="8"/>
              <w:ind w:left="835" w:right="0"/>
              <w:jc w:val="left"/>
              <w:rPr>
                <w:rFonts w:ascii="Arial" w:hAnsi="Arial" w:cs="Arial" w:eastAsia="Arial" w:hint="default"/>
                <w:sz w:val="20"/>
                <w:szCs w:val="20"/>
              </w:rPr>
            </w:pPr>
            <w:r>
              <w:rPr>
                <w:rFonts w:ascii="Arial"/>
                <w:sz w:val="20"/>
              </w:rPr>
              <w:t>-</w:t>
              <w:tab/>
              <w:t>-</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5"/>
              <w:jc w:val="right"/>
              <w:rPr>
                <w:rFonts w:ascii="Arial" w:hAnsi="Arial" w:cs="Arial" w:eastAsia="Arial" w:hint="default"/>
                <w:sz w:val="20"/>
                <w:szCs w:val="20"/>
              </w:rPr>
            </w:pPr>
            <w:r>
              <w:rPr>
                <w:rFonts w:ascii="Arial"/>
                <w:w w:val="100"/>
                <w:sz w:val="20"/>
              </w:rPr>
              <w:t>-</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w w:val="100"/>
                <w:sz w:val="20"/>
              </w:rPr>
              <w:t>-</w:t>
            </w:r>
          </w:p>
        </w:tc>
      </w:tr>
      <w:tr>
        <w:trPr>
          <w:trHeight w:val="260"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26" w:lineRule="exact"/>
              <w:ind w:left="764" w:right="0"/>
              <w:jc w:val="left"/>
              <w:rPr>
                <w:rFonts w:ascii="黑体" w:hAnsi="黑体" w:cs="黑体" w:eastAsia="黑体" w:hint="default"/>
                <w:sz w:val="20"/>
                <w:szCs w:val="20"/>
              </w:rPr>
            </w:pPr>
            <w:r>
              <w:rPr>
                <w:rFonts w:ascii="黑体" w:hAnsi="黑体" w:cs="黑体" w:eastAsia="黑体" w:hint="default"/>
                <w:sz w:val="20"/>
                <w:szCs w:val="20"/>
              </w:rPr>
              <w:t>运输工具</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31"/>
              <w:jc w:val="right"/>
              <w:rPr>
                <w:rFonts w:ascii="Arial" w:hAnsi="Arial" w:cs="Arial" w:eastAsia="Arial" w:hint="default"/>
                <w:sz w:val="20"/>
                <w:szCs w:val="20"/>
              </w:rPr>
            </w:pPr>
            <w:r>
              <w:rPr>
                <w:rFonts w:ascii="Arial"/>
                <w:w w:val="100"/>
                <w:sz w:val="20"/>
              </w:rPr>
              <w:t>-</w:t>
            </w:r>
          </w:p>
        </w:tc>
        <w:tc>
          <w:tcPr>
            <w:tcW w:w="2411" w:type="dxa"/>
            <w:tcBorders>
              <w:top w:val="nil" w:sz="6" w:space="0" w:color="auto"/>
              <w:left w:val="nil" w:sz="6" w:space="0" w:color="auto"/>
              <w:bottom w:val="nil" w:sz="6" w:space="0" w:color="auto"/>
              <w:right w:val="nil" w:sz="6" w:space="0" w:color="auto"/>
            </w:tcBorders>
          </w:tcPr>
          <w:p>
            <w:pPr>
              <w:pStyle w:val="TableParagraph"/>
              <w:tabs>
                <w:tab w:pos="2253" w:val="left" w:leader="none"/>
              </w:tabs>
              <w:spacing w:line="240" w:lineRule="auto" w:before="8"/>
              <w:ind w:left="835" w:right="0"/>
              <w:jc w:val="left"/>
              <w:rPr>
                <w:rFonts w:ascii="Arial" w:hAnsi="Arial" w:cs="Arial" w:eastAsia="Arial" w:hint="default"/>
                <w:sz w:val="20"/>
                <w:szCs w:val="20"/>
              </w:rPr>
            </w:pPr>
            <w:r>
              <w:rPr>
                <w:rFonts w:ascii="Arial"/>
                <w:sz w:val="20"/>
              </w:rPr>
              <w:t>-</w:t>
              <w:tab/>
              <w:t>-</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5"/>
              <w:jc w:val="right"/>
              <w:rPr>
                <w:rFonts w:ascii="Arial" w:hAnsi="Arial" w:cs="Arial" w:eastAsia="Arial" w:hint="default"/>
                <w:sz w:val="20"/>
                <w:szCs w:val="20"/>
              </w:rPr>
            </w:pPr>
            <w:r>
              <w:rPr>
                <w:rFonts w:ascii="Arial"/>
                <w:w w:val="100"/>
                <w:sz w:val="20"/>
              </w:rPr>
              <w:t>-</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w w:val="100"/>
                <w:sz w:val="20"/>
              </w:rPr>
              <w:t>-</w:t>
            </w:r>
          </w:p>
        </w:tc>
      </w:tr>
      <w:tr>
        <w:trPr>
          <w:trHeight w:val="262"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27" w:lineRule="exact"/>
              <w:ind w:left="764" w:right="0"/>
              <w:jc w:val="left"/>
              <w:rPr>
                <w:rFonts w:ascii="黑体" w:hAnsi="黑体" w:cs="黑体" w:eastAsia="黑体" w:hint="default"/>
                <w:sz w:val="20"/>
                <w:szCs w:val="20"/>
              </w:rPr>
            </w:pPr>
            <w:r>
              <w:rPr>
                <w:rFonts w:ascii="黑体" w:hAnsi="黑体" w:cs="黑体" w:eastAsia="黑体" w:hint="default"/>
                <w:sz w:val="20"/>
                <w:szCs w:val="20"/>
              </w:rPr>
              <w:t>办公及电子设备</w:t>
            </w:r>
          </w:p>
        </w:tc>
        <w:tc>
          <w:tcPr>
            <w:tcW w:w="1493"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8"/>
              <w:ind w:right="23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2411" w:type="dxa"/>
            <w:tcBorders>
              <w:top w:val="nil" w:sz="6" w:space="0" w:color="auto"/>
              <w:left w:val="nil" w:sz="6" w:space="0" w:color="auto"/>
              <w:bottom w:val="nil" w:sz="6" w:space="0" w:color="auto"/>
              <w:right w:val="nil" w:sz="6" w:space="0" w:color="auto"/>
            </w:tcBorders>
          </w:tcPr>
          <w:p>
            <w:pPr>
              <w:pStyle w:val="TableParagraph"/>
              <w:tabs>
                <w:tab w:pos="835" w:val="left" w:leader="none"/>
                <w:tab w:pos="1354" w:val="left" w:leader="none"/>
                <w:tab w:pos="2253" w:val="left" w:leader="none"/>
              </w:tabs>
              <w:spacing w:line="240" w:lineRule="auto" w:before="9"/>
              <w:ind w:left="136"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tab/>
            </w:r>
            <w:r>
              <w:rPr>
                <w:rFonts w:ascii="Arial"/>
                <w:sz w:val="20"/>
                <w:u w:val="single" w:color="000000"/>
              </w:rPr>
              <w:t> </w:t>
              <w:tab/>
              <w:t>-</w:t>
            </w:r>
            <w:r>
              <w:rPr>
                <w:rFonts w:ascii="Arial"/>
                <w:sz w:val="20"/>
              </w:rPr>
            </w:r>
          </w:p>
        </w:tc>
        <w:tc>
          <w:tcPr>
            <w:tcW w:w="1526" w:type="dxa"/>
            <w:tcBorders>
              <w:top w:val="nil" w:sz="6" w:space="0" w:color="auto"/>
              <w:left w:val="nil" w:sz="6" w:space="0" w:color="auto"/>
              <w:bottom w:val="nil" w:sz="6" w:space="0" w:color="auto"/>
              <w:right w:val="nil" w:sz="6" w:space="0" w:color="auto"/>
            </w:tcBorders>
          </w:tcPr>
          <w:p>
            <w:pPr>
              <w:pStyle w:val="TableParagraph"/>
              <w:tabs>
                <w:tab w:pos="1260" w:val="left" w:leader="none"/>
              </w:tabs>
              <w:spacing w:line="240" w:lineRule="auto" w:before="9"/>
              <w:ind w:left="261"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257"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9"/>
              <w:ind w:right="3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381" w:hRule="exact"/>
        </w:trPr>
        <w:tc>
          <w:tcPr>
            <w:tcW w:w="231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2"/>
              <w:ind w:right="230"/>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2411" w:type="dxa"/>
            <w:tcBorders>
              <w:top w:val="nil" w:sz="6" w:space="0" w:color="auto"/>
              <w:left w:val="nil" w:sz="6" w:space="0" w:color="auto"/>
              <w:bottom w:val="nil" w:sz="6" w:space="0" w:color="auto"/>
              <w:right w:val="nil" w:sz="6" w:space="0" w:color="auto"/>
            </w:tcBorders>
          </w:tcPr>
          <w:p>
            <w:pPr>
              <w:pStyle w:val="TableParagraph"/>
              <w:tabs>
                <w:tab w:pos="835" w:val="left" w:leader="none"/>
                <w:tab w:pos="1354" w:val="left" w:leader="none"/>
                <w:tab w:pos="2253" w:val="left" w:leader="none"/>
              </w:tabs>
              <w:spacing w:line="240" w:lineRule="auto" w:before="2"/>
              <w:ind w:left="136"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tab/>
            </w:r>
            <w:r>
              <w:rPr>
                <w:rFonts w:ascii="Arial"/>
                <w:sz w:val="20"/>
                <w:u w:val="thick" w:color="000000"/>
              </w:rPr>
              <w:t> </w:t>
              <w:tab/>
              <w:t>-</w:t>
            </w:r>
            <w:r>
              <w:rPr>
                <w:rFonts w:ascii="Arial"/>
                <w:sz w:val="20"/>
              </w:rPr>
            </w:r>
          </w:p>
        </w:tc>
        <w:tc>
          <w:tcPr>
            <w:tcW w:w="1526" w:type="dxa"/>
            <w:tcBorders>
              <w:top w:val="nil" w:sz="6" w:space="0" w:color="auto"/>
              <w:left w:val="nil" w:sz="6" w:space="0" w:color="auto"/>
              <w:bottom w:val="nil" w:sz="6" w:space="0" w:color="auto"/>
              <w:right w:val="nil" w:sz="6" w:space="0" w:color="auto"/>
            </w:tcBorders>
          </w:tcPr>
          <w:p>
            <w:pPr>
              <w:pStyle w:val="TableParagraph"/>
              <w:tabs>
                <w:tab w:pos="1260" w:val="left" w:leader="none"/>
              </w:tabs>
              <w:spacing w:line="240" w:lineRule="auto" w:before="2"/>
              <w:ind w:left="261"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257"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2"/>
              <w:ind w:right="35"/>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r>
      <w:tr>
        <w:trPr>
          <w:trHeight w:val="383"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64" w:right="0"/>
              <w:jc w:val="left"/>
              <w:rPr>
                <w:rFonts w:ascii="黑体" w:hAnsi="黑体" w:cs="黑体" w:eastAsia="黑体" w:hint="default"/>
                <w:sz w:val="20"/>
                <w:szCs w:val="20"/>
              </w:rPr>
            </w:pPr>
            <w:r>
              <w:rPr>
                <w:rFonts w:ascii="黑体" w:hAnsi="黑体" w:cs="黑体" w:eastAsia="黑体" w:hint="default"/>
                <w:sz w:val="20"/>
                <w:szCs w:val="20"/>
              </w:rPr>
              <w:t>账面价值</w:t>
            </w:r>
          </w:p>
        </w:tc>
        <w:tc>
          <w:tcPr>
            <w:tcW w:w="1493" w:type="dxa"/>
            <w:tcBorders>
              <w:top w:val="nil" w:sz="6" w:space="0" w:color="auto"/>
              <w:left w:val="nil" w:sz="6" w:space="0" w:color="auto"/>
              <w:bottom w:val="nil" w:sz="6" w:space="0" w:color="auto"/>
              <w:right w:val="nil" w:sz="6" w:space="0" w:color="auto"/>
            </w:tcBorders>
          </w:tcPr>
          <w:p>
            <w:pPr/>
          </w:p>
        </w:tc>
        <w:tc>
          <w:tcPr>
            <w:tcW w:w="2411"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
        </w:tc>
      </w:tr>
      <w:tr>
        <w:trPr>
          <w:trHeight w:val="263"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30" w:lineRule="exact"/>
              <w:ind w:left="764" w:right="0"/>
              <w:jc w:val="left"/>
              <w:rPr>
                <w:rFonts w:ascii="黑体" w:hAnsi="黑体" w:cs="黑体" w:eastAsia="黑体" w:hint="default"/>
                <w:sz w:val="20"/>
                <w:szCs w:val="20"/>
              </w:rPr>
            </w:pPr>
            <w:r>
              <w:rPr>
                <w:rFonts w:ascii="黑体" w:hAnsi="黑体" w:cs="黑体" w:eastAsia="黑体" w:hint="default"/>
                <w:sz w:val="20"/>
                <w:szCs w:val="20"/>
              </w:rPr>
              <w:t>房屋及建筑物</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28"/>
              <w:jc w:val="right"/>
              <w:rPr>
                <w:rFonts w:ascii="Arial" w:hAnsi="Arial" w:cs="Arial" w:eastAsia="Arial" w:hint="default"/>
                <w:sz w:val="20"/>
                <w:szCs w:val="20"/>
              </w:rPr>
            </w:pPr>
            <w:r>
              <w:rPr>
                <w:rFonts w:ascii="Arial"/>
                <w:spacing w:val="-1"/>
                <w:sz w:val="20"/>
              </w:rPr>
              <w:t>535,256,869</w:t>
            </w:r>
          </w:p>
        </w:tc>
        <w:tc>
          <w:tcPr>
            <w:tcW w:w="2411" w:type="dxa"/>
            <w:tcBorders>
              <w:top w:val="nil" w:sz="6" w:space="0" w:color="auto"/>
              <w:left w:val="nil" w:sz="6" w:space="0" w:color="auto"/>
              <w:bottom w:val="nil" w:sz="6" w:space="0" w:color="auto"/>
              <w:right w:val="nil" w:sz="6" w:space="0" w:color="auto"/>
            </w:tcBorders>
          </w:tcPr>
          <w:p>
            <w:pPr>
              <w:pStyle w:val="TableParagraph"/>
              <w:tabs>
                <w:tab w:pos="440" w:val="left" w:leader="none"/>
              </w:tabs>
              <w:spacing w:line="240" w:lineRule="auto" w:before="11"/>
              <w:ind w:right="0"/>
              <w:jc w:val="right"/>
              <w:rPr>
                <w:rFonts w:ascii="Arial" w:hAnsi="Arial" w:cs="Arial" w:eastAsia="Arial" w:hint="default"/>
                <w:sz w:val="20"/>
                <w:szCs w:val="20"/>
              </w:rPr>
            </w:pPr>
            <w:r>
              <w:rPr>
                <w:rFonts w:ascii="Arial"/>
                <w:sz w:val="20"/>
              </w:rPr>
              <w:t>-</w:t>
              <w:tab/>
              <w:t>( 2,980,661 )</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16" w:right="0"/>
              <w:jc w:val="left"/>
              <w:rPr>
                <w:rFonts w:ascii="Arial" w:hAnsi="Arial" w:cs="Arial" w:eastAsia="Arial" w:hint="default"/>
                <w:sz w:val="20"/>
                <w:szCs w:val="20"/>
              </w:rPr>
            </w:pPr>
            <w:r>
              <w:rPr>
                <w:rFonts w:ascii="Arial"/>
                <w:sz w:val="20"/>
              </w:rPr>
              <w:t>175,136,802</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Arial" w:hAnsi="Arial" w:cs="Arial" w:eastAsia="Arial" w:hint="default"/>
                <w:sz w:val="20"/>
                <w:szCs w:val="20"/>
              </w:rPr>
            </w:pPr>
            <w:r>
              <w:rPr>
                <w:rFonts w:ascii="Arial"/>
                <w:spacing w:val="-1"/>
                <w:sz w:val="20"/>
              </w:rPr>
              <w:t>357,139,406</w:t>
            </w:r>
          </w:p>
        </w:tc>
      </w:tr>
      <w:tr>
        <w:trPr>
          <w:trHeight w:val="25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26" w:lineRule="exact"/>
              <w:ind w:left="764" w:right="0"/>
              <w:jc w:val="left"/>
              <w:rPr>
                <w:rFonts w:ascii="黑体" w:hAnsi="黑体" w:cs="黑体" w:eastAsia="黑体" w:hint="default"/>
                <w:sz w:val="20"/>
                <w:szCs w:val="20"/>
              </w:rPr>
            </w:pPr>
            <w:r>
              <w:rPr>
                <w:rFonts w:ascii="黑体" w:hAnsi="黑体" w:cs="黑体" w:eastAsia="黑体" w:hint="default"/>
                <w:sz w:val="20"/>
                <w:szCs w:val="20"/>
              </w:rPr>
              <w:t>机器设备</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9"/>
              <w:jc w:val="right"/>
              <w:rPr>
                <w:rFonts w:ascii="Arial" w:hAnsi="Arial" w:cs="Arial" w:eastAsia="Arial" w:hint="default"/>
                <w:sz w:val="20"/>
                <w:szCs w:val="20"/>
              </w:rPr>
            </w:pPr>
            <w:r>
              <w:rPr>
                <w:rFonts w:ascii="Arial"/>
                <w:spacing w:val="-1"/>
                <w:sz w:val="20"/>
              </w:rPr>
              <w:t>31,031,250</w:t>
            </w:r>
          </w:p>
        </w:tc>
        <w:tc>
          <w:tcPr>
            <w:tcW w:w="2411" w:type="dxa"/>
            <w:tcBorders>
              <w:top w:val="nil" w:sz="6" w:space="0" w:color="auto"/>
              <w:left w:val="nil" w:sz="6" w:space="0" w:color="auto"/>
              <w:bottom w:val="nil" w:sz="6" w:space="0" w:color="auto"/>
              <w:right w:val="nil" w:sz="6" w:space="0" w:color="auto"/>
            </w:tcBorders>
          </w:tcPr>
          <w:p>
            <w:pPr>
              <w:pStyle w:val="TableParagraph"/>
              <w:tabs>
                <w:tab w:pos="1319" w:val="left" w:leader="none"/>
              </w:tabs>
              <w:spacing w:line="240" w:lineRule="auto" w:before="8"/>
              <w:ind w:left="835" w:right="0"/>
              <w:jc w:val="left"/>
              <w:rPr>
                <w:rFonts w:ascii="Arial" w:hAnsi="Arial" w:cs="Arial" w:eastAsia="Arial" w:hint="default"/>
                <w:sz w:val="20"/>
                <w:szCs w:val="20"/>
              </w:rPr>
            </w:pPr>
            <w:r>
              <w:rPr>
                <w:rFonts w:ascii="Arial"/>
                <w:sz w:val="20"/>
              </w:rPr>
              <w:t>-</w:t>
              <w:tab/>
              <w:t>30,325,171</w:t>
            </w:r>
          </w:p>
        </w:tc>
        <w:tc>
          <w:tcPr>
            <w:tcW w:w="1526" w:type="dxa"/>
            <w:tcBorders>
              <w:top w:val="nil" w:sz="6" w:space="0" w:color="auto"/>
              <w:left w:val="nil" w:sz="6" w:space="0" w:color="auto"/>
              <w:bottom w:val="nil" w:sz="6" w:space="0" w:color="auto"/>
              <w:right w:val="nil" w:sz="6" w:space="0" w:color="auto"/>
            </w:tcBorders>
          </w:tcPr>
          <w:p>
            <w:pPr>
              <w:pStyle w:val="TableParagraph"/>
              <w:tabs>
                <w:tab w:pos="465" w:val="left" w:leader="none"/>
              </w:tabs>
              <w:spacing w:line="240" w:lineRule="auto" w:before="8"/>
              <w:ind w:right="105"/>
              <w:jc w:val="right"/>
              <w:rPr>
                <w:rFonts w:ascii="Arial" w:hAnsi="Arial" w:cs="Arial" w:eastAsia="Arial" w:hint="default"/>
                <w:sz w:val="20"/>
                <w:szCs w:val="20"/>
              </w:rPr>
            </w:pPr>
            <w:r>
              <w:rPr>
                <w:rFonts w:ascii="Arial"/>
                <w:sz w:val="20"/>
              </w:rPr>
              <w:t>(</w:t>
              <w:tab/>
              <w:t>279,874</w:t>
            </w:r>
            <w:r>
              <w:rPr>
                <w:rFonts w:ascii="Arial"/>
                <w:spacing w:val="-34"/>
                <w:sz w:val="20"/>
              </w:rPr>
              <w:t> </w:t>
            </w:r>
            <w:r>
              <w:rPr>
                <w:rFonts w:ascii="Arial"/>
                <w:sz w:val="20"/>
              </w:rPr>
              <w:t>)</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61,636,295</w:t>
            </w:r>
          </w:p>
        </w:tc>
      </w:tr>
      <w:tr>
        <w:trPr>
          <w:trHeight w:val="25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26" w:lineRule="exact"/>
              <w:ind w:left="764" w:right="0"/>
              <w:jc w:val="left"/>
              <w:rPr>
                <w:rFonts w:ascii="黑体" w:hAnsi="黑体" w:cs="黑体" w:eastAsia="黑体" w:hint="default"/>
                <w:sz w:val="20"/>
                <w:szCs w:val="20"/>
              </w:rPr>
            </w:pPr>
            <w:r>
              <w:rPr>
                <w:rFonts w:ascii="黑体" w:hAnsi="黑体" w:cs="黑体" w:eastAsia="黑体" w:hint="default"/>
                <w:sz w:val="20"/>
                <w:szCs w:val="20"/>
              </w:rPr>
              <w:t>运输工具</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9"/>
              <w:jc w:val="right"/>
              <w:rPr>
                <w:rFonts w:ascii="Arial" w:hAnsi="Arial" w:cs="Arial" w:eastAsia="Arial" w:hint="default"/>
                <w:sz w:val="20"/>
                <w:szCs w:val="20"/>
              </w:rPr>
            </w:pPr>
            <w:r>
              <w:rPr>
                <w:rFonts w:ascii="Arial"/>
                <w:spacing w:val="-1"/>
                <w:sz w:val="20"/>
              </w:rPr>
              <w:t>9,363,298</w:t>
            </w:r>
          </w:p>
        </w:tc>
        <w:tc>
          <w:tcPr>
            <w:tcW w:w="2411" w:type="dxa"/>
            <w:tcBorders>
              <w:top w:val="nil" w:sz="6" w:space="0" w:color="auto"/>
              <w:left w:val="nil" w:sz="6" w:space="0" w:color="auto"/>
              <w:bottom w:val="nil" w:sz="6" w:space="0" w:color="auto"/>
              <w:right w:val="nil" w:sz="6" w:space="0" w:color="auto"/>
            </w:tcBorders>
          </w:tcPr>
          <w:p>
            <w:pPr>
              <w:pStyle w:val="TableParagraph"/>
              <w:tabs>
                <w:tab w:pos="395" w:val="left" w:leader="none"/>
                <w:tab w:pos="761" w:val="left" w:leader="none"/>
              </w:tabs>
              <w:spacing w:line="240" w:lineRule="auto" w:before="8"/>
              <w:ind w:right="0"/>
              <w:jc w:val="right"/>
              <w:rPr>
                <w:rFonts w:ascii="Arial" w:hAnsi="Arial" w:cs="Arial" w:eastAsia="Arial" w:hint="default"/>
                <w:sz w:val="20"/>
                <w:szCs w:val="20"/>
              </w:rPr>
            </w:pPr>
            <w:r>
              <w:rPr>
                <w:rFonts w:ascii="Arial"/>
                <w:sz w:val="20"/>
              </w:rPr>
              <w:t>-</w:t>
              <w:tab/>
              <w:t>(</w:t>
              <w:tab/>
              <w:t>503,898</w:t>
            </w:r>
            <w:r>
              <w:rPr>
                <w:rFonts w:ascii="Arial"/>
                <w:spacing w:val="-33"/>
                <w:sz w:val="20"/>
              </w:rPr>
              <w:t> </w:t>
            </w:r>
            <w:r>
              <w:rPr>
                <w:rFonts w:ascii="Arial"/>
                <w:sz w:val="20"/>
              </w:rPr>
              <w:t>)</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5"/>
              <w:jc w:val="right"/>
              <w:rPr>
                <w:rFonts w:ascii="Arial" w:hAnsi="Arial" w:cs="Arial" w:eastAsia="Arial" w:hint="default"/>
                <w:sz w:val="20"/>
                <w:szCs w:val="20"/>
              </w:rPr>
            </w:pPr>
            <w:r>
              <w:rPr>
                <w:rFonts w:ascii="Arial"/>
                <w:spacing w:val="-1"/>
                <w:sz w:val="20"/>
              </w:rPr>
              <w:t>324,317</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8,535,083</w:t>
            </w:r>
          </w:p>
        </w:tc>
      </w:tr>
      <w:tr>
        <w:trPr>
          <w:trHeight w:val="262"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26" w:lineRule="exact"/>
              <w:ind w:left="764" w:right="0"/>
              <w:jc w:val="left"/>
              <w:rPr>
                <w:rFonts w:ascii="黑体" w:hAnsi="黑体" w:cs="黑体" w:eastAsia="黑体" w:hint="default"/>
                <w:sz w:val="20"/>
                <w:szCs w:val="20"/>
              </w:rPr>
            </w:pPr>
            <w:r>
              <w:rPr>
                <w:rFonts w:ascii="黑体" w:hAnsi="黑体" w:cs="黑体" w:eastAsia="黑体" w:hint="default"/>
                <w:sz w:val="20"/>
                <w:szCs w:val="20"/>
              </w:rPr>
              <w:t>办公及电子设备</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60,067,306</w:t>
            </w:r>
            <w:r>
              <w:rPr>
                <w:rFonts w:ascii="Arial"/>
                <w:spacing w:val="-1"/>
                <w:sz w:val="20"/>
              </w:rPr>
            </w:r>
          </w:p>
        </w:tc>
        <w:tc>
          <w:tcPr>
            <w:tcW w:w="2411" w:type="dxa"/>
            <w:tcBorders>
              <w:top w:val="nil" w:sz="6" w:space="0" w:color="auto"/>
              <w:left w:val="nil" w:sz="6" w:space="0" w:color="auto"/>
              <w:bottom w:val="nil" w:sz="6" w:space="0" w:color="auto"/>
              <w:right w:val="nil" w:sz="6" w:space="0" w:color="auto"/>
            </w:tcBorders>
          </w:tcPr>
          <w:p>
            <w:pPr>
              <w:pStyle w:val="TableParagraph"/>
              <w:tabs>
                <w:tab w:pos="1329" w:val="left" w:leader="none"/>
              </w:tabs>
              <w:spacing w:line="240" w:lineRule="auto" w:before="8"/>
              <w:ind w:left="178" w:right="0"/>
              <w:jc w:val="left"/>
              <w:rPr>
                <w:rFonts w:ascii="Arial" w:hAnsi="Arial" w:cs="Arial" w:eastAsia="Arial" w:hint="default"/>
                <w:sz w:val="20"/>
                <w:szCs w:val="20"/>
              </w:rPr>
            </w:pPr>
            <w:r>
              <w:rPr>
                <w:rFonts w:ascii="Arial"/>
                <w:w w:val="100"/>
                <w:sz w:val="20"/>
              </w:rPr>
            </w:r>
            <w:r>
              <w:rPr>
                <w:rFonts w:ascii="Arial"/>
                <w:spacing w:val="-1"/>
                <w:sz w:val="20"/>
                <w:u w:val="single" w:color="000000"/>
              </w:rPr>
              <w:t>939,804</w:t>
            </w:r>
            <w:r>
              <w:rPr>
                <w:rFonts w:ascii="Arial"/>
                <w:spacing w:val="-1"/>
                <w:sz w:val="20"/>
              </w:rPr>
              <w:tab/>
            </w:r>
            <w:r>
              <w:rPr>
                <w:rFonts w:ascii="Arial"/>
                <w:spacing w:val="-1"/>
                <w:sz w:val="20"/>
                <w:u w:val="single" w:color="000000"/>
              </w:rPr>
              <w:t> </w:t>
            </w:r>
            <w:r>
              <w:rPr>
                <w:rFonts w:ascii="Arial"/>
                <w:sz w:val="20"/>
                <w:u w:val="single" w:color="000000"/>
              </w:rPr>
              <w:t>7,871,957</w:t>
            </w:r>
            <w:r>
              <w:rPr>
                <w:rFonts w:ascii="Arial"/>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8"/>
              <w:ind w:left="239"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3,812,621</w:t>
            </w:r>
            <w:r>
              <w:rPr>
                <w:rFonts w:ascii="Arial"/>
                <w:sz w:val="20"/>
              </w:rPr>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65,066,446</w:t>
            </w:r>
            <w:r>
              <w:rPr>
                <w:rFonts w:ascii="Arial"/>
                <w:spacing w:val="-1"/>
                <w:sz w:val="20"/>
              </w:rPr>
            </w:r>
          </w:p>
        </w:tc>
      </w:tr>
      <w:tr>
        <w:trPr>
          <w:trHeight w:val="329" w:hRule="exact"/>
        </w:trPr>
        <w:tc>
          <w:tcPr>
            <w:tcW w:w="2314"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8"/>
              <w:jc w:val="right"/>
              <w:rPr>
                <w:rFonts w:ascii="Arial" w:hAnsi="Arial" w:cs="Arial" w:eastAsia="Arial" w:hint="default"/>
                <w:sz w:val="20"/>
                <w:szCs w:val="20"/>
              </w:rPr>
            </w:pPr>
            <w:r>
              <w:rPr>
                <w:rFonts w:ascii="Arial"/>
                <w:w w:val="100"/>
                <w:sz w:val="20"/>
              </w:rPr>
            </w:r>
            <w:r>
              <w:rPr>
                <w:rFonts w:ascii="Arial"/>
                <w:spacing w:val="-1"/>
                <w:sz w:val="20"/>
                <w:u w:val="thick" w:color="000000"/>
              </w:rPr>
              <w:t>635,718,723</w:t>
            </w:r>
            <w:r>
              <w:rPr>
                <w:rFonts w:ascii="Arial"/>
                <w:spacing w:val="-1"/>
                <w:sz w:val="20"/>
              </w:rPr>
            </w:r>
          </w:p>
        </w:tc>
        <w:tc>
          <w:tcPr>
            <w:tcW w:w="2411" w:type="dxa"/>
            <w:tcBorders>
              <w:top w:val="nil" w:sz="6" w:space="0" w:color="auto"/>
              <w:left w:val="nil" w:sz="6" w:space="0" w:color="auto"/>
              <w:bottom w:val="nil" w:sz="6" w:space="0" w:color="auto"/>
              <w:right w:val="nil" w:sz="6" w:space="0" w:color="auto"/>
            </w:tcBorders>
          </w:tcPr>
          <w:p>
            <w:pPr>
              <w:pStyle w:val="TableParagraph"/>
              <w:tabs>
                <w:tab w:pos="1318" w:val="left" w:leader="none"/>
              </w:tabs>
              <w:spacing w:line="240" w:lineRule="auto" w:before="3"/>
              <w:ind w:left="178" w:right="0"/>
              <w:jc w:val="left"/>
              <w:rPr>
                <w:rFonts w:ascii="Arial" w:hAnsi="Arial" w:cs="Arial" w:eastAsia="Arial" w:hint="default"/>
                <w:sz w:val="20"/>
                <w:szCs w:val="20"/>
              </w:rPr>
            </w:pPr>
            <w:r>
              <w:rPr>
                <w:rFonts w:ascii="Arial"/>
                <w:w w:val="100"/>
                <w:sz w:val="20"/>
              </w:rPr>
            </w:r>
            <w:r>
              <w:rPr>
                <w:rFonts w:ascii="Arial"/>
                <w:spacing w:val="-1"/>
                <w:sz w:val="20"/>
                <w:u w:val="thick" w:color="000000"/>
              </w:rPr>
              <w:t>939,804</w:t>
            </w:r>
            <w:r>
              <w:rPr>
                <w:rFonts w:ascii="Arial"/>
                <w:spacing w:val="-1"/>
                <w:sz w:val="20"/>
              </w:rPr>
              <w:tab/>
            </w:r>
            <w:r>
              <w:rPr>
                <w:rFonts w:ascii="Arial"/>
                <w:spacing w:val="-1"/>
                <w:sz w:val="20"/>
                <w:u w:val="thick" w:color="000000"/>
              </w:rPr>
              <w:t>34,712,569</w:t>
            </w:r>
            <w:r>
              <w:rPr>
                <w:rFonts w:ascii="Arial"/>
                <w:spacing w:val="-1"/>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3"/>
              <w:ind w:left="216" w:right="0"/>
              <w:jc w:val="left"/>
              <w:rPr>
                <w:rFonts w:ascii="Arial" w:hAnsi="Arial" w:cs="Arial" w:eastAsia="Arial" w:hint="default"/>
                <w:sz w:val="20"/>
                <w:szCs w:val="20"/>
              </w:rPr>
            </w:pPr>
            <w:r>
              <w:rPr>
                <w:rFonts w:ascii="Arial"/>
                <w:w w:val="100"/>
                <w:sz w:val="20"/>
              </w:rPr>
            </w:r>
            <w:r>
              <w:rPr>
                <w:rFonts w:ascii="Arial"/>
                <w:sz w:val="20"/>
                <w:u w:val="thick" w:color="000000"/>
              </w:rPr>
              <w:t>178,993,866</w:t>
            </w:r>
            <w:r>
              <w:rPr>
                <w:rFonts w:ascii="Arial"/>
                <w:sz w:val="20"/>
              </w:rPr>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492,377,230</w:t>
            </w:r>
            <w:r>
              <w:rPr>
                <w:rFonts w:ascii="Arial"/>
                <w:spacing w:val="-1"/>
                <w:sz w:val="20"/>
              </w:rPr>
            </w:r>
          </w:p>
        </w:tc>
      </w:tr>
    </w:tbl>
    <w:p>
      <w:pPr>
        <w:spacing w:after="0" w:line="240" w:lineRule="auto"/>
        <w:jc w:val="right"/>
        <w:rPr>
          <w:rFonts w:ascii="Arial" w:hAnsi="Arial" w:cs="Arial" w:eastAsia="Arial" w:hint="default"/>
          <w:sz w:val="20"/>
          <w:szCs w:val="20"/>
        </w:rPr>
        <w:sectPr>
          <w:pgSz w:w="11910" w:h="16840"/>
          <w:pgMar w:header="958" w:footer="466" w:top="2560" w:bottom="660" w:left="1560" w:right="0"/>
        </w:sectPr>
      </w:pP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25"/>
          <w:szCs w:val="25"/>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6"/>
        <w:rPr>
          <w:rFonts w:ascii="黑体" w:hAnsi="黑体" w:cs="黑体" w:eastAsia="黑体" w:hint="default"/>
          <w:b/>
          <w:bCs/>
          <w:sz w:val="21"/>
          <w:szCs w:val="21"/>
        </w:rPr>
      </w:pPr>
    </w:p>
    <w:p>
      <w:pPr>
        <w:tabs>
          <w:tab w:pos="819" w:val="left" w:leader="none"/>
        </w:tabs>
        <w:spacing w:before="0"/>
        <w:ind w:left="141" w:right="1058" w:firstLine="0"/>
        <w:jc w:val="left"/>
        <w:rPr>
          <w:rFonts w:ascii="黑体" w:hAnsi="黑体" w:cs="黑体" w:eastAsia="黑体" w:hint="default"/>
          <w:sz w:val="20"/>
          <w:szCs w:val="20"/>
        </w:rPr>
      </w:pPr>
      <w:r>
        <w:rPr>
          <w:rFonts w:ascii="Arial" w:hAnsi="Arial" w:cs="Arial" w:eastAsia="Arial" w:hint="default"/>
          <w:b/>
          <w:bCs/>
          <w:spacing w:val="-1"/>
          <w:sz w:val="20"/>
          <w:szCs w:val="20"/>
        </w:rPr>
        <w:t>10.</w:t>
        <w:tab/>
      </w:r>
      <w:r>
        <w:rPr>
          <w:rFonts w:ascii="黑体" w:hAnsi="黑体" w:cs="黑体" w:eastAsia="黑体" w:hint="default"/>
          <w:b/>
          <w:bCs/>
          <w:sz w:val="20"/>
          <w:szCs w:val="20"/>
        </w:rPr>
        <w:t>固定资产（续）</w:t>
      </w:r>
      <w:r>
        <w:rPr>
          <w:rFonts w:ascii="黑体" w:hAnsi="黑体" w:cs="黑体" w:eastAsia="黑体" w:hint="default"/>
          <w:sz w:val="20"/>
          <w:szCs w:val="20"/>
        </w:rPr>
      </w:r>
    </w:p>
    <w:p>
      <w:pPr>
        <w:spacing w:line="240" w:lineRule="auto" w:before="6"/>
        <w:rPr>
          <w:rFonts w:ascii="黑体" w:hAnsi="黑体" w:cs="黑体" w:eastAsia="黑体" w:hint="default"/>
          <w:b/>
          <w:bCs/>
          <w:sz w:val="21"/>
          <w:szCs w:val="21"/>
        </w:rPr>
      </w:pPr>
    </w:p>
    <w:p>
      <w:pPr>
        <w:pStyle w:val="BodyText"/>
        <w:spacing w:line="261" w:lineRule="auto"/>
        <w:ind w:left="855" w:right="1692"/>
        <w:jc w:val="both"/>
      </w:pPr>
      <w:r>
        <w:rPr>
          <w:rFonts w:ascii="Arial" w:hAnsi="Arial" w:cs="Arial" w:eastAsia="Arial" w:hint="default"/>
          <w:spacing w:val="-4"/>
        </w:rPr>
        <w:t>2009</w:t>
      </w:r>
      <w:r>
        <w:rPr>
          <w:spacing w:val="-4"/>
        </w:rPr>
        <w:t>年，计提的折旧金额为人民币</w:t>
      </w:r>
      <w:r>
        <w:rPr>
          <w:rFonts w:ascii="Arial" w:hAnsi="Arial" w:cs="Arial" w:eastAsia="Arial" w:hint="default"/>
          <w:spacing w:val="-4"/>
        </w:rPr>
        <w:t>37,133,332</w:t>
      </w:r>
      <w:r>
        <w:rPr>
          <w:spacing w:val="-4"/>
        </w:rPr>
        <w:t>元（</w:t>
      </w:r>
      <w:r>
        <w:rPr>
          <w:rFonts w:ascii="Arial" w:hAnsi="Arial" w:cs="Arial" w:eastAsia="Arial" w:hint="default"/>
          <w:spacing w:val="-4"/>
        </w:rPr>
        <w:t>2008</w:t>
      </w:r>
      <w:r>
        <w:rPr>
          <w:spacing w:val="-4"/>
        </w:rPr>
        <w:t>年：人民币</w:t>
      </w:r>
      <w:r>
        <w:rPr>
          <w:rFonts w:ascii="Arial" w:hAnsi="Arial" w:cs="Arial" w:eastAsia="Arial" w:hint="default"/>
          <w:spacing w:val="-4"/>
        </w:rPr>
        <w:t>35,254,803</w:t>
      </w:r>
      <w:r>
        <w:rPr>
          <w:spacing w:val="-4"/>
        </w:rPr>
        <w:t>元）。</w:t>
      </w:r>
      <w:r>
        <w:rPr>
          <w:rFonts w:ascii="Arial" w:hAnsi="Arial" w:cs="Arial" w:eastAsia="Arial" w:hint="default"/>
          <w:spacing w:val="-4"/>
        </w:rPr>
        <w:t>2009</w:t>
      </w:r>
      <w:r>
        <w:rPr>
          <w:rFonts w:ascii="Arial" w:hAnsi="Arial" w:cs="Arial" w:eastAsia="Arial" w:hint="default"/>
          <w:spacing w:val="-3"/>
        </w:rPr>
        <w:t> </w:t>
      </w:r>
      <w:r>
        <w:rPr>
          <w:rFonts w:ascii="Arial" w:hAnsi="Arial" w:cs="Arial" w:eastAsia="Arial" w:hint="default"/>
          <w:spacing w:val="-3"/>
        </w:rPr>
      </w:r>
      <w:r>
        <w:rPr/>
        <w:t>年，由在建工程转入固定资产原值的金额为人民币</w:t>
      </w:r>
      <w:r>
        <w:rPr>
          <w:rFonts w:ascii="Arial" w:hAnsi="Arial" w:cs="Arial" w:eastAsia="Arial" w:hint="default"/>
        </w:rPr>
        <w:t>2,283,966</w:t>
      </w:r>
      <w:r>
        <w:rPr/>
        <w:t>元（</w:t>
      </w:r>
      <w:r>
        <w:rPr>
          <w:rFonts w:ascii="Arial" w:hAnsi="Arial" w:cs="Arial" w:eastAsia="Arial" w:hint="default"/>
        </w:rPr>
        <w:t>2008</w:t>
      </w:r>
      <w:r>
        <w:rPr/>
        <w:t>年由固定资产转入</w:t>
      </w:r>
      <w:r>
        <w:rPr>
          <w:spacing w:val="-50"/>
        </w:rPr>
        <w:t> </w:t>
      </w:r>
      <w:r>
        <w:rPr/>
        <w:t>在建工程账面价值：人民币</w:t>
      </w:r>
      <w:r>
        <w:rPr>
          <w:rFonts w:ascii="Arial" w:hAnsi="Arial" w:cs="Arial" w:eastAsia="Arial" w:hint="default"/>
        </w:rPr>
        <w:t>11,938,211</w:t>
      </w:r>
      <w:r>
        <w:rPr/>
        <w:t>元）。</w:t>
      </w:r>
    </w:p>
    <w:p>
      <w:pPr>
        <w:spacing w:line="240" w:lineRule="auto" w:before="12"/>
        <w:rPr>
          <w:rFonts w:ascii="黑体" w:hAnsi="黑体" w:cs="黑体" w:eastAsia="黑体" w:hint="default"/>
          <w:sz w:val="17"/>
          <w:szCs w:val="17"/>
        </w:rPr>
      </w:pPr>
    </w:p>
    <w:p>
      <w:pPr>
        <w:pStyle w:val="BodyText"/>
        <w:spacing w:line="268" w:lineRule="auto"/>
        <w:ind w:left="855" w:right="1694" w:hanging="1"/>
        <w:jc w:val="both"/>
      </w:pPr>
      <w:r>
        <w:rPr>
          <w:spacing w:val="-3"/>
        </w:rPr>
        <w:t>本公司于</w:t>
      </w:r>
      <w:r>
        <w:rPr>
          <w:rFonts w:ascii="Arial" w:hAnsi="Arial" w:cs="Arial" w:eastAsia="Arial" w:hint="default"/>
          <w:spacing w:val="-3"/>
        </w:rPr>
        <w:t>2009</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日的固定资产中不存在由于市价持续下跌、或技术陈旧、损坏、长</w:t>
      </w:r>
      <w:r>
        <w:rPr>
          <w:spacing w:val="-78"/>
        </w:rPr>
        <w:t> </w:t>
      </w:r>
      <w:r>
        <w:rPr>
          <w:spacing w:val="-78"/>
        </w:rPr>
      </w:r>
      <w:r>
        <w:rPr>
          <w:spacing w:val="-1"/>
        </w:rPr>
        <w:t>期闲置等原因导致固定资产可收回金额低于账面价值的情况，故不需计提固定资产减值准</w:t>
      </w:r>
      <w:r>
        <w:rPr>
          <w:spacing w:val="-82"/>
        </w:rPr>
        <w:t> </w:t>
      </w:r>
      <w:r>
        <w:rPr>
          <w:spacing w:val="-82"/>
        </w:rPr>
      </w:r>
      <w:r>
        <w:rPr/>
        <w:t>备。</w:t>
      </w:r>
    </w:p>
    <w:p>
      <w:pPr>
        <w:spacing w:line="240" w:lineRule="auto" w:before="9"/>
        <w:rPr>
          <w:rFonts w:ascii="黑体" w:hAnsi="黑体" w:cs="黑体" w:eastAsia="黑体" w:hint="default"/>
          <w:sz w:val="18"/>
          <w:szCs w:val="18"/>
        </w:rPr>
      </w:pPr>
    </w:p>
    <w:p>
      <w:pPr>
        <w:pStyle w:val="BodyText"/>
        <w:spacing w:line="261" w:lineRule="auto"/>
        <w:ind w:left="856" w:right="1694" w:hanging="1"/>
        <w:jc w:val="both"/>
      </w:pPr>
      <w:r>
        <w:rPr>
          <w:spacing w:val="-3"/>
        </w:rPr>
        <w:t>于</w:t>
      </w:r>
      <w:r>
        <w:rPr>
          <w:rFonts w:ascii="Arial" w:hAnsi="Arial" w:cs="Arial" w:eastAsia="Arial" w:hint="default"/>
          <w:spacing w:val="-3"/>
        </w:rPr>
        <w:t>2009</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日，本公司没有重大暂时闲置及已退废和准备处置的固定资产，亦无所有</w:t>
      </w:r>
      <w:r>
        <w:rPr>
          <w:spacing w:val="-82"/>
        </w:rPr>
        <w:t> </w:t>
      </w:r>
      <w:r>
        <w:rPr>
          <w:spacing w:val="-82"/>
        </w:rPr>
      </w:r>
      <w:r>
        <w:rPr/>
        <w:t>权受到限制的固定资产</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r>
        <w:rPr>
          <w:rFonts w:ascii="Arial" w:hAnsi="Arial" w:cs="Arial" w:eastAsia="Arial" w:hint="default"/>
        </w:rPr>
        <w:t>)</w:t>
      </w:r>
      <w:r>
        <w:rPr/>
        <w:t>。</w:t>
      </w:r>
    </w:p>
    <w:p>
      <w:pPr>
        <w:spacing w:after="0" w:line="261" w:lineRule="auto"/>
        <w:jc w:val="both"/>
        <w:sectPr>
          <w:pgSz w:w="11910" w:h="16840"/>
          <w:pgMar w:header="958" w:footer="466" w:top="2560" w:bottom="660" w:left="156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688"/>
        <w:gridCol w:w="3061"/>
        <w:gridCol w:w="2885"/>
        <w:gridCol w:w="1157"/>
        <w:gridCol w:w="1331"/>
      </w:tblGrid>
      <w:tr>
        <w:trPr>
          <w:trHeight w:val="1038" w:hRule="exact"/>
        </w:trPr>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sz w:val="20"/>
                <w:szCs w:val="20"/>
              </w:rPr>
            </w:r>
          </w:p>
          <w:p>
            <w:pPr>
              <w:pStyle w:val="TableParagraph"/>
              <w:spacing w:line="240" w:lineRule="auto" w:before="8"/>
              <w:ind w:right="0"/>
              <w:jc w:val="left"/>
              <w:rPr>
                <w:rFonts w:ascii="Times New Roman" w:hAnsi="Times New Roman" w:cs="Times New Roman" w:eastAsia="Times New Roman" w:hint="default"/>
                <w:sz w:val="28"/>
                <w:szCs w:val="28"/>
              </w:rPr>
            </w:pPr>
          </w:p>
          <w:p>
            <w:pPr>
              <w:pStyle w:val="TableParagraph"/>
              <w:spacing w:line="240" w:lineRule="auto"/>
              <w:ind w:left="35" w:right="0"/>
              <w:jc w:val="left"/>
              <w:rPr>
                <w:rFonts w:ascii="黑体" w:hAnsi="黑体" w:cs="黑体" w:eastAsia="黑体" w:hint="default"/>
                <w:sz w:val="20"/>
                <w:szCs w:val="20"/>
              </w:rPr>
            </w:pPr>
            <w:r>
              <w:rPr>
                <w:rFonts w:ascii="Arial" w:hAnsi="Arial" w:cs="Arial" w:eastAsia="Arial" w:hint="default"/>
                <w:b/>
                <w:bCs/>
                <w:sz w:val="20"/>
                <w:szCs w:val="20"/>
              </w:rPr>
              <w:t>11</w:t>
            </w:r>
            <w:r>
              <w:rPr>
                <w:rFonts w:ascii="黑体" w:hAnsi="黑体" w:cs="黑体" w:eastAsia="黑体" w:hint="default"/>
                <w:b/>
                <w:bCs/>
                <w:sz w:val="20"/>
                <w:szCs w:val="20"/>
              </w:rPr>
              <w:t>．</w:t>
            </w:r>
            <w:r>
              <w:rPr>
                <w:rFonts w:ascii="黑体" w:hAnsi="黑体" w:cs="黑体" w:eastAsia="黑体" w:hint="default"/>
                <w:sz w:val="20"/>
                <w:szCs w:val="20"/>
              </w:rPr>
            </w: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0" w:right="0"/>
              <w:jc w:val="left"/>
              <w:rPr>
                <w:rFonts w:ascii="黑体" w:hAnsi="黑体" w:cs="黑体" w:eastAsia="黑体" w:hint="default"/>
                <w:sz w:val="20"/>
                <w:szCs w:val="20"/>
              </w:rPr>
            </w:pPr>
            <w:r>
              <w:rPr>
                <w:rFonts w:ascii="黑体" w:hAnsi="黑体" w:cs="黑体" w:eastAsia="黑体" w:hint="default"/>
                <w:b/>
                <w:bCs/>
                <w:w w:val="95"/>
                <w:sz w:val="20"/>
                <w:szCs w:val="20"/>
              </w:rPr>
              <w:t>公司财务报表主要项目注释（续）</w:t>
            </w:r>
            <w:r>
              <w:rPr>
                <w:rFonts w:ascii="黑体" w:hAnsi="黑体" w:cs="黑体" w:eastAsia="黑体" w:hint="default"/>
                <w:sz w:val="20"/>
                <w:szCs w:val="20"/>
              </w:rPr>
            </w:r>
          </w:p>
          <w:p>
            <w:pPr>
              <w:pStyle w:val="TableParagraph"/>
              <w:spacing w:line="240" w:lineRule="auto" w:before="8"/>
              <w:ind w:right="0"/>
              <w:jc w:val="left"/>
              <w:rPr>
                <w:rFonts w:ascii="Times New Roman" w:hAnsi="Times New Roman" w:cs="Times New Roman" w:eastAsia="Times New Roman" w:hint="default"/>
                <w:sz w:val="28"/>
                <w:szCs w:val="28"/>
              </w:rPr>
            </w:pPr>
          </w:p>
          <w:p>
            <w:pPr>
              <w:pStyle w:val="TableParagraph"/>
              <w:spacing w:line="240" w:lineRule="auto"/>
              <w:ind w:left="70" w:right="0"/>
              <w:jc w:val="left"/>
              <w:rPr>
                <w:rFonts w:ascii="黑体" w:hAnsi="黑体" w:cs="黑体" w:eastAsia="黑体" w:hint="default"/>
                <w:sz w:val="20"/>
                <w:szCs w:val="20"/>
              </w:rPr>
            </w:pPr>
            <w:r>
              <w:rPr>
                <w:rFonts w:ascii="黑体" w:hAnsi="黑体" w:cs="黑体" w:eastAsia="黑体" w:hint="default"/>
                <w:b/>
                <w:bCs/>
                <w:sz w:val="20"/>
                <w:szCs w:val="20"/>
              </w:rPr>
              <w:t>无形资产</w:t>
            </w:r>
            <w:r>
              <w:rPr>
                <w:rFonts w:ascii="黑体" w:hAnsi="黑体" w:cs="黑体" w:eastAsia="黑体" w:hint="default"/>
                <w:sz w:val="20"/>
                <w:szCs w:val="20"/>
              </w:rPr>
            </w:r>
          </w:p>
        </w:tc>
        <w:tc>
          <w:tcPr>
            <w:tcW w:w="5373" w:type="dxa"/>
            <w:gridSpan w:val="3"/>
            <w:vMerge w:val="restart"/>
            <w:tcBorders>
              <w:top w:val="nil" w:sz="6" w:space="0" w:color="auto"/>
              <w:left w:val="nil" w:sz="6" w:space="0" w:color="auto"/>
              <w:right w:val="nil" w:sz="6" w:space="0" w:color="auto"/>
            </w:tcBorders>
          </w:tcPr>
          <w:p>
            <w:pPr/>
          </w:p>
        </w:tc>
      </w:tr>
      <w:tr>
        <w:trPr>
          <w:trHeight w:val="487"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61"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5373" w:type="dxa"/>
            <w:gridSpan w:val="3"/>
            <w:vMerge/>
            <w:tcBorders>
              <w:left w:val="nil" w:sz="6" w:space="0" w:color="auto"/>
              <w:bottom w:val="nil" w:sz="6" w:space="0" w:color="auto"/>
              <w:right w:val="nil" w:sz="6" w:space="0" w:color="auto"/>
            </w:tcBorders>
          </w:tcPr>
          <w:p>
            <w:pPr/>
          </w:p>
        </w:tc>
      </w:tr>
      <w:tr>
        <w:trPr>
          <w:trHeight w:val="377"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single" w:sz="4" w:space="0" w:color="000000"/>
              <w:right w:val="nil" w:sz="6" w:space="0" w:color="auto"/>
            </w:tcBorders>
          </w:tcPr>
          <w:p>
            <w:pPr>
              <w:pStyle w:val="TableParagraph"/>
              <w:spacing w:line="240" w:lineRule="auto" w:before="79"/>
              <w:ind w:right="375"/>
              <w:jc w:val="right"/>
              <w:rPr>
                <w:rFonts w:ascii="黑体" w:hAnsi="黑体" w:cs="黑体" w:eastAsia="黑体" w:hint="default"/>
                <w:sz w:val="20"/>
                <w:szCs w:val="20"/>
              </w:rPr>
            </w:pPr>
            <w:r>
              <w:rPr>
                <w:rFonts w:ascii="黑体" w:hAnsi="黑体" w:cs="黑体" w:eastAsia="黑体" w:hint="default"/>
                <w:sz w:val="20"/>
                <w:szCs w:val="20"/>
              </w:rPr>
              <w:t>年初数</w:t>
            </w:r>
          </w:p>
        </w:tc>
        <w:tc>
          <w:tcPr>
            <w:tcW w:w="2885" w:type="dxa"/>
            <w:tcBorders>
              <w:top w:val="nil" w:sz="6" w:space="0" w:color="auto"/>
              <w:left w:val="nil" w:sz="6" w:space="0" w:color="auto"/>
              <w:bottom w:val="single" w:sz="4" w:space="0" w:color="000000"/>
              <w:right w:val="nil" w:sz="6" w:space="0" w:color="auto"/>
            </w:tcBorders>
          </w:tcPr>
          <w:p>
            <w:pPr>
              <w:pStyle w:val="TableParagraph"/>
              <w:spacing w:line="240" w:lineRule="auto" w:before="79"/>
              <w:ind w:left="710" w:right="0"/>
              <w:jc w:val="left"/>
              <w:rPr>
                <w:rFonts w:ascii="黑体" w:hAnsi="黑体" w:cs="黑体" w:eastAsia="黑体" w:hint="default"/>
                <w:sz w:val="20"/>
                <w:szCs w:val="20"/>
              </w:rPr>
            </w:pPr>
            <w:r>
              <w:rPr>
                <w:rFonts w:ascii="黑体" w:hAnsi="黑体" w:cs="黑体" w:eastAsia="黑体" w:hint="default"/>
                <w:sz w:val="20"/>
                <w:szCs w:val="20"/>
              </w:rPr>
              <w:t>本年增加</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0"/>
              <w:jc w:val="right"/>
              <w:rPr>
                <w:rFonts w:ascii="黑体" w:hAnsi="黑体" w:cs="黑体" w:eastAsia="黑体" w:hint="default"/>
                <w:sz w:val="20"/>
                <w:szCs w:val="20"/>
              </w:rPr>
            </w:pPr>
            <w:r>
              <w:rPr>
                <w:rFonts w:ascii="黑体" w:hAnsi="黑体" w:cs="黑体" w:eastAsia="黑体" w:hint="default"/>
                <w:sz w:val="20"/>
                <w:szCs w:val="20"/>
              </w:rPr>
              <w:t>本年减少</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5"/>
              <w:jc w:val="right"/>
              <w:rPr>
                <w:rFonts w:ascii="黑体" w:hAnsi="黑体" w:cs="黑体" w:eastAsia="黑体" w:hint="default"/>
                <w:sz w:val="20"/>
                <w:szCs w:val="20"/>
              </w:rPr>
            </w:pPr>
            <w:r>
              <w:rPr>
                <w:rFonts w:ascii="黑体" w:hAnsi="黑体" w:cs="黑体" w:eastAsia="黑体" w:hint="default"/>
                <w:sz w:val="20"/>
                <w:szCs w:val="20"/>
              </w:rPr>
              <w:t>年末数</w:t>
            </w:r>
          </w:p>
        </w:tc>
      </w:tr>
      <w:tr>
        <w:trPr>
          <w:trHeight w:val="389"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single" w:sz="4" w:space="0" w:color="000000"/>
              <w:left w:val="nil" w:sz="6" w:space="0" w:color="auto"/>
              <w:bottom w:val="nil" w:sz="6" w:space="0" w:color="auto"/>
              <w:right w:val="nil" w:sz="6" w:space="0" w:color="auto"/>
            </w:tcBorders>
          </w:tcPr>
          <w:p>
            <w:pPr/>
          </w:p>
        </w:tc>
        <w:tc>
          <w:tcPr>
            <w:tcW w:w="2885" w:type="dxa"/>
            <w:tcBorders>
              <w:top w:val="single" w:sz="4" w:space="0" w:color="000000"/>
              <w:left w:val="nil" w:sz="6" w:space="0" w:color="auto"/>
              <w:bottom w:val="nil" w:sz="6" w:space="0" w:color="auto"/>
              <w:right w:val="nil" w:sz="6" w:space="0" w:color="auto"/>
            </w:tcBorders>
          </w:tcPr>
          <w:p>
            <w:pPr>
              <w:pStyle w:val="TableParagraph"/>
              <w:tabs>
                <w:tab w:pos="1913" w:val="left" w:leader="none"/>
              </w:tabs>
              <w:spacing w:line="227" w:lineRule="exact"/>
              <w:ind w:left="496" w:right="0"/>
              <w:jc w:val="left"/>
              <w:rPr>
                <w:rFonts w:ascii="黑体" w:hAnsi="黑体" w:cs="黑体" w:eastAsia="黑体" w:hint="default"/>
                <w:sz w:val="20"/>
                <w:szCs w:val="20"/>
              </w:rPr>
            </w:pPr>
            <w:r>
              <w:rPr>
                <w:rFonts w:ascii="黑体" w:hAnsi="黑体" w:cs="黑体" w:eastAsia="黑体" w:hint="default"/>
                <w:sz w:val="20"/>
                <w:szCs w:val="20"/>
              </w:rPr>
              <w:t>收购</w:t>
              <w:tab/>
              <w:t>其他</w:t>
            </w:r>
          </w:p>
        </w:tc>
        <w:tc>
          <w:tcPr>
            <w:tcW w:w="1157" w:type="dxa"/>
            <w:tcBorders>
              <w:top w:val="nil" w:sz="6" w:space="0" w:color="auto"/>
              <w:left w:val="nil" w:sz="6" w:space="0" w:color="auto"/>
              <w:bottom w:val="nil" w:sz="6" w:space="0" w:color="auto"/>
              <w:right w:val="nil" w:sz="6" w:space="0" w:color="auto"/>
            </w:tcBorders>
          </w:tcPr>
          <w:p>
            <w:pPr/>
          </w:p>
        </w:tc>
        <w:tc>
          <w:tcPr>
            <w:tcW w:w="1331" w:type="dxa"/>
            <w:tcBorders>
              <w:top w:val="nil" w:sz="6" w:space="0" w:color="auto"/>
              <w:left w:val="nil" w:sz="6" w:space="0" w:color="auto"/>
              <w:bottom w:val="nil" w:sz="6" w:space="0" w:color="auto"/>
              <w:right w:val="nil" w:sz="6" w:space="0" w:color="auto"/>
            </w:tcBorders>
          </w:tcPr>
          <w:p>
            <w:pPr/>
          </w:p>
        </w:tc>
      </w:tr>
      <w:tr>
        <w:trPr>
          <w:trHeight w:val="387"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96"/>
              <w:ind w:left="76" w:right="0"/>
              <w:jc w:val="left"/>
              <w:rPr>
                <w:rFonts w:ascii="黑体" w:hAnsi="黑体" w:cs="黑体" w:eastAsia="黑体" w:hint="default"/>
                <w:sz w:val="20"/>
                <w:szCs w:val="20"/>
              </w:rPr>
            </w:pPr>
            <w:r>
              <w:rPr>
                <w:rFonts w:ascii="黑体" w:hAnsi="黑体" w:cs="黑体" w:eastAsia="黑体" w:hint="default"/>
                <w:sz w:val="20"/>
                <w:szCs w:val="20"/>
              </w:rPr>
              <w:t>原价</w:t>
            </w:r>
          </w:p>
        </w:tc>
        <w:tc>
          <w:tcPr>
            <w:tcW w:w="2885"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
        </w:tc>
        <w:tc>
          <w:tcPr>
            <w:tcW w:w="1331" w:type="dxa"/>
            <w:tcBorders>
              <w:top w:val="nil" w:sz="6" w:space="0" w:color="auto"/>
              <w:left w:val="nil" w:sz="6" w:space="0" w:color="auto"/>
              <w:bottom w:val="nil" w:sz="6" w:space="0" w:color="auto"/>
              <w:right w:val="nil" w:sz="6" w:space="0" w:color="auto"/>
            </w:tcBorders>
          </w:tcPr>
          <w:p>
            <w:pPr/>
          </w:p>
        </w:tc>
      </w:tr>
      <w:tr>
        <w:trPr>
          <w:trHeight w:val="263"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tabs>
                <w:tab w:pos="1571" w:val="left" w:leader="none"/>
              </w:tabs>
              <w:spacing w:line="244" w:lineRule="exact"/>
              <w:ind w:left="76" w:right="0"/>
              <w:jc w:val="left"/>
              <w:rPr>
                <w:rFonts w:ascii="Arial" w:hAnsi="Arial" w:cs="Arial" w:eastAsia="Arial" w:hint="default"/>
                <w:sz w:val="20"/>
                <w:szCs w:val="20"/>
              </w:rPr>
            </w:pPr>
            <w:r>
              <w:rPr>
                <w:rFonts w:ascii="黑体" w:hAnsi="黑体" w:cs="黑体" w:eastAsia="黑体" w:hint="default"/>
                <w:spacing w:val="-1"/>
                <w:sz w:val="20"/>
                <w:szCs w:val="20"/>
              </w:rPr>
              <w:t>土地使用权</w:t>
              <w:tab/>
            </w:r>
            <w:r>
              <w:rPr>
                <w:rFonts w:ascii="Arial" w:hAnsi="Arial" w:cs="Arial" w:eastAsia="Arial" w:hint="default"/>
                <w:spacing w:val="-1"/>
                <w:sz w:val="20"/>
                <w:szCs w:val="20"/>
              </w:rPr>
              <w:t>285,333,043</w:t>
            </w:r>
          </w:p>
        </w:tc>
        <w:tc>
          <w:tcPr>
            <w:tcW w:w="2885" w:type="dxa"/>
            <w:tcBorders>
              <w:top w:val="nil" w:sz="6" w:space="0" w:color="auto"/>
              <w:left w:val="nil" w:sz="6" w:space="0" w:color="auto"/>
              <w:bottom w:val="nil" w:sz="6" w:space="0" w:color="auto"/>
              <w:right w:val="nil" w:sz="6" w:space="0" w:color="auto"/>
            </w:tcBorders>
          </w:tcPr>
          <w:p>
            <w:pPr>
              <w:pStyle w:val="TableParagraph"/>
              <w:tabs>
                <w:tab w:pos="1425" w:val="left" w:leader="none"/>
              </w:tabs>
              <w:spacing w:line="240" w:lineRule="auto" w:before="11"/>
              <w:ind w:left="831" w:right="0"/>
              <w:jc w:val="left"/>
              <w:rPr>
                <w:rFonts w:ascii="Arial" w:hAnsi="Arial" w:cs="Arial" w:eastAsia="Arial" w:hint="default"/>
                <w:sz w:val="20"/>
                <w:szCs w:val="20"/>
              </w:rPr>
            </w:pPr>
            <w:r>
              <w:rPr>
                <w:rFonts w:ascii="Arial"/>
                <w:sz w:val="20"/>
              </w:rPr>
              <w:t>-</w:t>
              <w:tab/>
              <w:t>8,629,627</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9"/>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Arial" w:hAnsi="Arial" w:cs="Arial" w:eastAsia="Arial" w:hint="default"/>
                <w:sz w:val="20"/>
                <w:szCs w:val="20"/>
              </w:rPr>
            </w:pPr>
            <w:r>
              <w:rPr>
                <w:rFonts w:ascii="Arial"/>
                <w:spacing w:val="-1"/>
                <w:sz w:val="20"/>
              </w:rPr>
              <w:t>293,962,670</w:t>
            </w:r>
          </w:p>
        </w:tc>
      </w:tr>
      <w:tr>
        <w:trPr>
          <w:trHeight w:val="260"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tabs>
                <w:tab w:pos="1682" w:val="left" w:leader="none"/>
              </w:tabs>
              <w:spacing w:line="240" w:lineRule="exact"/>
              <w:ind w:left="76" w:right="0"/>
              <w:jc w:val="left"/>
              <w:rPr>
                <w:rFonts w:ascii="Arial" w:hAnsi="Arial" w:cs="Arial" w:eastAsia="Arial" w:hint="default"/>
                <w:sz w:val="20"/>
                <w:szCs w:val="20"/>
              </w:rPr>
            </w:pPr>
            <w:r>
              <w:rPr>
                <w:rFonts w:ascii="黑体" w:hAnsi="黑体" w:cs="黑体" w:eastAsia="黑体" w:hint="default"/>
                <w:spacing w:val="-1"/>
                <w:sz w:val="20"/>
                <w:szCs w:val="20"/>
              </w:rPr>
              <w:t>软件使用权</w:t>
              <w:tab/>
            </w:r>
            <w:r>
              <w:rPr>
                <w:rFonts w:ascii="Arial" w:hAnsi="Arial" w:cs="Arial" w:eastAsia="Arial" w:hint="default"/>
                <w:spacing w:val="-1"/>
                <w:sz w:val="20"/>
                <w:szCs w:val="20"/>
              </w:rPr>
              <w:t>20,000,000</w:t>
            </w:r>
          </w:p>
        </w:tc>
        <w:tc>
          <w:tcPr>
            <w:tcW w:w="2885" w:type="dxa"/>
            <w:tcBorders>
              <w:top w:val="nil" w:sz="6" w:space="0" w:color="auto"/>
              <w:left w:val="nil" w:sz="6" w:space="0" w:color="auto"/>
              <w:bottom w:val="nil" w:sz="6" w:space="0" w:color="auto"/>
              <w:right w:val="nil" w:sz="6" w:space="0" w:color="auto"/>
            </w:tcBorders>
          </w:tcPr>
          <w:p>
            <w:pPr>
              <w:pStyle w:val="TableParagraph"/>
              <w:tabs>
                <w:tab w:pos="2248" w:val="left" w:leader="none"/>
              </w:tabs>
              <w:spacing w:line="240" w:lineRule="auto" w:before="8"/>
              <w:ind w:left="831" w:right="0"/>
              <w:jc w:val="left"/>
              <w:rPr>
                <w:rFonts w:ascii="Arial" w:hAnsi="Arial" w:cs="Arial" w:eastAsia="Arial" w:hint="default"/>
                <w:sz w:val="20"/>
                <w:szCs w:val="20"/>
              </w:rPr>
            </w:pPr>
            <w:r>
              <w:rPr>
                <w:rFonts w:ascii="Arial"/>
                <w:sz w:val="20"/>
              </w:rPr>
              <w:t>-</w:t>
              <w:tab/>
              <w:t>-</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80"/>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5"/>
              <w:jc w:val="right"/>
              <w:rPr>
                <w:rFonts w:ascii="Arial" w:hAnsi="Arial" w:cs="Arial" w:eastAsia="Arial" w:hint="default"/>
                <w:sz w:val="20"/>
                <w:szCs w:val="20"/>
              </w:rPr>
            </w:pPr>
            <w:r>
              <w:rPr>
                <w:rFonts w:ascii="Arial"/>
                <w:spacing w:val="-1"/>
                <w:sz w:val="20"/>
              </w:rPr>
              <w:t>20,000,000</w:t>
            </w:r>
          </w:p>
        </w:tc>
      </w:tr>
      <w:tr>
        <w:trPr>
          <w:trHeight w:val="262"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tabs>
                <w:tab w:pos="1583" w:val="left" w:leader="none"/>
              </w:tabs>
              <w:spacing w:line="241" w:lineRule="exact"/>
              <w:ind w:left="76" w:right="0"/>
              <w:jc w:val="left"/>
              <w:rPr>
                <w:rFonts w:ascii="Arial" w:hAnsi="Arial" w:cs="Arial" w:eastAsia="Arial" w:hint="default"/>
                <w:sz w:val="20"/>
                <w:szCs w:val="20"/>
              </w:rPr>
            </w:pPr>
            <w:r>
              <w:rPr>
                <w:rFonts w:ascii="黑体" w:hAnsi="黑体" w:cs="黑体" w:eastAsia="黑体" w:hint="default"/>
                <w:spacing w:val="-1"/>
                <w:sz w:val="20"/>
                <w:szCs w:val="20"/>
              </w:rPr>
              <w:t>软件著作权</w:t>
              <w:tab/>
            </w:r>
            <w:r>
              <w:rPr>
                <w:rFonts w:ascii="Arial" w:hAnsi="Arial" w:cs="Arial" w:eastAsia="Arial" w:hint="default"/>
                <w:spacing w:val="-1"/>
                <w:sz w:val="20"/>
                <w:szCs w:val="20"/>
              </w:rPr>
            </w:r>
            <w:r>
              <w:rPr>
                <w:rFonts w:ascii="Arial" w:hAnsi="Arial" w:cs="Arial" w:eastAsia="Arial" w:hint="default"/>
                <w:spacing w:val="-1"/>
                <w:sz w:val="20"/>
                <w:szCs w:val="20"/>
                <w:u w:val="single" w:color="000000"/>
              </w:rPr>
              <w:t> 28,417,300</w:t>
            </w:r>
            <w:r>
              <w:rPr>
                <w:rFonts w:ascii="Arial" w:hAnsi="Arial" w:cs="Arial" w:eastAsia="Arial" w:hint="default"/>
                <w:spacing w:val="-1"/>
                <w:sz w:val="20"/>
                <w:szCs w:val="20"/>
              </w:rPr>
            </w:r>
          </w:p>
        </w:tc>
        <w:tc>
          <w:tcPr>
            <w:tcW w:w="2885" w:type="dxa"/>
            <w:tcBorders>
              <w:top w:val="nil" w:sz="6" w:space="0" w:color="auto"/>
              <w:left w:val="nil" w:sz="6" w:space="0" w:color="auto"/>
              <w:bottom w:val="nil" w:sz="6" w:space="0" w:color="auto"/>
              <w:right w:val="nil" w:sz="6" w:space="0" w:color="auto"/>
            </w:tcBorders>
          </w:tcPr>
          <w:p>
            <w:pPr>
              <w:pStyle w:val="TableParagraph"/>
              <w:tabs>
                <w:tab w:pos="1349" w:val="left" w:leader="none"/>
                <w:tab w:pos="2249" w:val="left" w:leader="none"/>
              </w:tabs>
              <w:spacing w:line="240" w:lineRule="auto" w:before="8"/>
              <w:ind w:left="8" w:right="0"/>
              <w:jc w:val="left"/>
              <w:rPr>
                <w:rFonts w:ascii="Arial" w:hAnsi="Arial" w:cs="Arial" w:eastAsia="Arial" w:hint="default"/>
                <w:sz w:val="20"/>
                <w:szCs w:val="20"/>
              </w:rPr>
            </w:pPr>
            <w:r>
              <w:rPr>
                <w:rFonts w:ascii="Arial"/>
                <w:w w:val="100"/>
                <w:sz w:val="20"/>
              </w:rPr>
            </w:r>
            <w:r>
              <w:rPr>
                <w:rFonts w:ascii="Arial"/>
                <w:spacing w:val="-1"/>
                <w:sz w:val="20"/>
                <w:u w:val="single" w:color="000000"/>
              </w:rPr>
              <w:t>9,000,365</w:t>
            </w:r>
            <w:r>
              <w:rPr>
                <w:rFonts w:ascii="Arial"/>
                <w:spacing w:val="-1"/>
                <w:sz w:val="20"/>
              </w:rPr>
              <w:tab/>
            </w:r>
            <w:r>
              <w:rPr>
                <w:rFonts w:ascii="Arial"/>
                <w:spacing w:val="-1"/>
                <w:sz w:val="20"/>
                <w:u w:val="single" w:color="000000"/>
              </w:rPr>
              <w:t> </w:t>
              <w:tab/>
            </w:r>
            <w:r>
              <w:rPr>
                <w:rFonts w:ascii="Arial"/>
                <w:sz w:val="20"/>
                <w:u w:val="single" w:color="000000"/>
              </w:rPr>
              <w:t>-</w:t>
            </w:r>
            <w:r>
              <w:rPr>
                <w:rFonts w:ascii="Arial"/>
                <w:sz w:val="20"/>
              </w:rPr>
            </w:r>
          </w:p>
        </w:tc>
        <w:tc>
          <w:tcPr>
            <w:tcW w:w="1157"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17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37,417,665</w:t>
            </w:r>
            <w:r>
              <w:rPr>
                <w:rFonts w:ascii="Arial"/>
                <w:spacing w:val="-1"/>
                <w:sz w:val="20"/>
              </w:rPr>
            </w:r>
          </w:p>
        </w:tc>
      </w:tr>
      <w:tr>
        <w:trPr>
          <w:trHeight w:val="381"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73"/>
              <w:jc w:val="right"/>
              <w:rPr>
                <w:rFonts w:ascii="Arial" w:hAnsi="Arial" w:cs="Arial" w:eastAsia="Arial" w:hint="default"/>
                <w:sz w:val="20"/>
                <w:szCs w:val="20"/>
              </w:rPr>
            </w:pPr>
            <w:r>
              <w:rPr>
                <w:rFonts w:ascii="Arial"/>
                <w:w w:val="100"/>
                <w:sz w:val="20"/>
              </w:rPr>
            </w:r>
            <w:r>
              <w:rPr>
                <w:rFonts w:ascii="Arial"/>
                <w:spacing w:val="-1"/>
                <w:sz w:val="20"/>
                <w:u w:val="thick" w:color="000000"/>
              </w:rPr>
              <w:t>333,750,343</w:t>
            </w:r>
            <w:r>
              <w:rPr>
                <w:rFonts w:ascii="Arial"/>
                <w:spacing w:val="-1"/>
                <w:sz w:val="20"/>
              </w:rPr>
            </w:r>
          </w:p>
        </w:tc>
        <w:tc>
          <w:tcPr>
            <w:tcW w:w="2885" w:type="dxa"/>
            <w:tcBorders>
              <w:top w:val="nil" w:sz="6" w:space="0" w:color="auto"/>
              <w:left w:val="nil" w:sz="6" w:space="0" w:color="auto"/>
              <w:bottom w:val="nil" w:sz="6" w:space="0" w:color="auto"/>
              <w:right w:val="nil" w:sz="6" w:space="0" w:color="auto"/>
            </w:tcBorders>
          </w:tcPr>
          <w:p>
            <w:pPr>
              <w:pStyle w:val="TableParagraph"/>
              <w:tabs>
                <w:tab w:pos="1324" w:val="left" w:leader="none"/>
              </w:tabs>
              <w:spacing w:line="240" w:lineRule="auto" w:before="2"/>
              <w:ind w:left="8" w:right="0"/>
              <w:jc w:val="left"/>
              <w:rPr>
                <w:rFonts w:ascii="Arial" w:hAnsi="Arial" w:cs="Arial" w:eastAsia="Arial" w:hint="default"/>
                <w:sz w:val="20"/>
                <w:szCs w:val="20"/>
              </w:rPr>
            </w:pPr>
            <w:r>
              <w:rPr>
                <w:rFonts w:ascii="Arial"/>
                <w:w w:val="100"/>
                <w:sz w:val="20"/>
              </w:rPr>
            </w:r>
            <w:r>
              <w:rPr>
                <w:rFonts w:ascii="Arial"/>
                <w:spacing w:val="-1"/>
                <w:sz w:val="20"/>
                <w:u w:val="thick" w:color="000000"/>
              </w:rPr>
              <w:t>9,000,365</w:t>
            </w:r>
            <w:r>
              <w:rPr>
                <w:rFonts w:ascii="Arial"/>
                <w:spacing w:val="-1"/>
                <w:sz w:val="20"/>
              </w:rPr>
              <w:tab/>
            </w:r>
            <w:r>
              <w:rPr>
                <w:rFonts w:ascii="Arial"/>
                <w:spacing w:val="-1"/>
                <w:sz w:val="20"/>
                <w:u w:val="thick" w:color="000000"/>
              </w:rPr>
              <w:t> </w:t>
            </w:r>
            <w:r>
              <w:rPr>
                <w:rFonts w:ascii="Arial"/>
                <w:sz w:val="20"/>
                <w:u w:val="thick" w:color="000000"/>
              </w:rPr>
              <w:t>8,629,627</w:t>
            </w:r>
            <w:r>
              <w:rPr>
                <w:rFonts w:ascii="Arial"/>
                <w:sz w:val="20"/>
              </w:rPr>
            </w:r>
          </w:p>
        </w:tc>
        <w:tc>
          <w:tcPr>
            <w:tcW w:w="1157"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2"/>
              <w:ind w:right="179"/>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351,380,335</w:t>
            </w:r>
            <w:r>
              <w:rPr>
                <w:rFonts w:ascii="Arial"/>
                <w:spacing w:val="-1"/>
                <w:sz w:val="20"/>
              </w:rPr>
            </w:r>
          </w:p>
        </w:tc>
      </w:tr>
      <w:tr>
        <w:trPr>
          <w:trHeight w:val="383"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6" w:right="0"/>
              <w:jc w:val="left"/>
              <w:rPr>
                <w:rFonts w:ascii="黑体" w:hAnsi="黑体" w:cs="黑体" w:eastAsia="黑体" w:hint="default"/>
                <w:sz w:val="20"/>
                <w:szCs w:val="20"/>
              </w:rPr>
            </w:pPr>
            <w:r>
              <w:rPr>
                <w:rFonts w:ascii="黑体" w:hAnsi="黑体" w:cs="黑体" w:eastAsia="黑体" w:hint="default"/>
                <w:sz w:val="20"/>
                <w:szCs w:val="20"/>
              </w:rPr>
              <w:t>累计摊销</w:t>
            </w:r>
          </w:p>
        </w:tc>
        <w:tc>
          <w:tcPr>
            <w:tcW w:w="2885"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
        </w:tc>
        <w:tc>
          <w:tcPr>
            <w:tcW w:w="1331" w:type="dxa"/>
            <w:tcBorders>
              <w:top w:val="nil" w:sz="6" w:space="0" w:color="auto"/>
              <w:left w:val="nil" w:sz="6" w:space="0" w:color="auto"/>
              <w:bottom w:val="nil" w:sz="6" w:space="0" w:color="auto"/>
              <w:right w:val="nil" w:sz="6" w:space="0" w:color="auto"/>
            </w:tcBorders>
          </w:tcPr>
          <w:p>
            <w:pPr/>
          </w:p>
        </w:tc>
      </w:tr>
      <w:tr>
        <w:trPr>
          <w:trHeight w:val="263"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tabs>
                <w:tab w:pos="1682" w:val="left" w:leader="none"/>
              </w:tabs>
              <w:spacing w:line="244" w:lineRule="exact"/>
              <w:ind w:left="76" w:right="0"/>
              <w:jc w:val="left"/>
              <w:rPr>
                <w:rFonts w:ascii="Arial" w:hAnsi="Arial" w:cs="Arial" w:eastAsia="Arial" w:hint="default"/>
                <w:sz w:val="20"/>
                <w:szCs w:val="20"/>
              </w:rPr>
            </w:pPr>
            <w:r>
              <w:rPr>
                <w:rFonts w:ascii="黑体" w:hAnsi="黑体" w:cs="黑体" w:eastAsia="黑体" w:hint="default"/>
                <w:spacing w:val="-1"/>
                <w:sz w:val="20"/>
                <w:szCs w:val="20"/>
              </w:rPr>
              <w:t>土地使用权</w:t>
              <w:tab/>
            </w:r>
            <w:r>
              <w:rPr>
                <w:rFonts w:ascii="Arial" w:hAnsi="Arial" w:cs="Arial" w:eastAsia="Arial" w:hint="default"/>
                <w:spacing w:val="-1"/>
                <w:sz w:val="20"/>
                <w:szCs w:val="20"/>
              </w:rPr>
              <w:t>11,207,029</w:t>
            </w:r>
          </w:p>
        </w:tc>
        <w:tc>
          <w:tcPr>
            <w:tcW w:w="2885" w:type="dxa"/>
            <w:tcBorders>
              <w:top w:val="nil" w:sz="6" w:space="0" w:color="auto"/>
              <w:left w:val="nil" w:sz="6" w:space="0" w:color="auto"/>
              <w:bottom w:val="nil" w:sz="6" w:space="0" w:color="auto"/>
              <w:right w:val="nil" w:sz="6" w:space="0" w:color="auto"/>
            </w:tcBorders>
          </w:tcPr>
          <w:p>
            <w:pPr>
              <w:pStyle w:val="TableParagraph"/>
              <w:tabs>
                <w:tab w:pos="1425" w:val="left" w:leader="none"/>
              </w:tabs>
              <w:spacing w:line="240" w:lineRule="auto" w:before="11"/>
              <w:ind w:left="831" w:right="0"/>
              <w:jc w:val="left"/>
              <w:rPr>
                <w:rFonts w:ascii="Arial" w:hAnsi="Arial" w:cs="Arial" w:eastAsia="Arial" w:hint="default"/>
                <w:sz w:val="20"/>
                <w:szCs w:val="20"/>
              </w:rPr>
            </w:pPr>
            <w:r>
              <w:rPr>
                <w:rFonts w:ascii="Arial"/>
                <w:sz w:val="20"/>
              </w:rPr>
              <w:t>-</w:t>
              <w:tab/>
              <w:t>6,420,728</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80"/>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4"/>
              <w:jc w:val="right"/>
              <w:rPr>
                <w:rFonts w:ascii="Arial" w:hAnsi="Arial" w:cs="Arial" w:eastAsia="Arial" w:hint="default"/>
                <w:sz w:val="20"/>
                <w:szCs w:val="20"/>
              </w:rPr>
            </w:pPr>
            <w:r>
              <w:rPr>
                <w:rFonts w:ascii="Arial"/>
                <w:spacing w:val="-1"/>
                <w:sz w:val="20"/>
              </w:rPr>
              <w:t>17,627,757</w:t>
            </w:r>
          </w:p>
        </w:tc>
      </w:tr>
      <w:tr>
        <w:trPr>
          <w:trHeight w:val="259"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tabs>
                <w:tab w:pos="1682" w:val="left" w:leader="none"/>
              </w:tabs>
              <w:spacing w:line="240" w:lineRule="exact"/>
              <w:ind w:left="76" w:right="0"/>
              <w:jc w:val="left"/>
              <w:rPr>
                <w:rFonts w:ascii="Arial" w:hAnsi="Arial" w:cs="Arial" w:eastAsia="Arial" w:hint="default"/>
                <w:sz w:val="20"/>
                <w:szCs w:val="20"/>
              </w:rPr>
            </w:pPr>
            <w:r>
              <w:rPr>
                <w:rFonts w:ascii="黑体" w:hAnsi="黑体" w:cs="黑体" w:eastAsia="黑体" w:hint="default"/>
                <w:spacing w:val="-1"/>
                <w:sz w:val="20"/>
                <w:szCs w:val="20"/>
              </w:rPr>
              <w:t>软件使用权</w:t>
              <w:tab/>
            </w:r>
            <w:r>
              <w:rPr>
                <w:rFonts w:ascii="Arial" w:hAnsi="Arial" w:cs="Arial" w:eastAsia="Arial" w:hint="default"/>
                <w:spacing w:val="-1"/>
                <w:sz w:val="20"/>
                <w:szCs w:val="20"/>
              </w:rPr>
              <w:t>13,000,000</w:t>
            </w:r>
          </w:p>
        </w:tc>
        <w:tc>
          <w:tcPr>
            <w:tcW w:w="2885" w:type="dxa"/>
            <w:tcBorders>
              <w:top w:val="nil" w:sz="6" w:space="0" w:color="auto"/>
              <w:left w:val="nil" w:sz="6" w:space="0" w:color="auto"/>
              <w:bottom w:val="nil" w:sz="6" w:space="0" w:color="auto"/>
              <w:right w:val="nil" w:sz="6" w:space="0" w:color="auto"/>
            </w:tcBorders>
          </w:tcPr>
          <w:p>
            <w:pPr>
              <w:pStyle w:val="TableParagraph"/>
              <w:tabs>
                <w:tab w:pos="1425" w:val="left" w:leader="none"/>
              </w:tabs>
              <w:spacing w:line="240" w:lineRule="auto" w:before="8"/>
              <w:ind w:left="831" w:right="0"/>
              <w:jc w:val="left"/>
              <w:rPr>
                <w:rFonts w:ascii="Arial" w:hAnsi="Arial" w:cs="Arial" w:eastAsia="Arial" w:hint="default"/>
                <w:sz w:val="20"/>
                <w:szCs w:val="20"/>
              </w:rPr>
            </w:pPr>
            <w:r>
              <w:rPr>
                <w:rFonts w:ascii="Arial"/>
                <w:sz w:val="20"/>
              </w:rPr>
              <w:t>-</w:t>
              <w:tab/>
              <w:t>2,000,000</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80"/>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15,000,000</w:t>
            </w:r>
          </w:p>
        </w:tc>
      </w:tr>
      <w:tr>
        <w:trPr>
          <w:trHeight w:val="259"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tabs>
                <w:tab w:pos="1594" w:val="left" w:leader="none"/>
              </w:tabs>
              <w:spacing w:line="240" w:lineRule="exact"/>
              <w:ind w:left="76" w:right="0"/>
              <w:jc w:val="left"/>
              <w:rPr>
                <w:rFonts w:ascii="Arial" w:hAnsi="Arial" w:cs="Arial" w:eastAsia="Arial" w:hint="default"/>
                <w:sz w:val="20"/>
                <w:szCs w:val="20"/>
              </w:rPr>
            </w:pPr>
            <w:r>
              <w:rPr>
                <w:rFonts w:ascii="黑体" w:hAnsi="黑体" w:cs="黑体" w:eastAsia="黑体" w:hint="default"/>
                <w:spacing w:val="-1"/>
                <w:sz w:val="20"/>
                <w:szCs w:val="20"/>
              </w:rPr>
              <w:t>软件著作权</w:t>
              <w:tab/>
            </w:r>
            <w:r>
              <w:rPr>
                <w:rFonts w:ascii="Arial" w:hAnsi="Arial" w:cs="Arial" w:eastAsia="Arial" w:hint="default"/>
                <w:spacing w:val="-1"/>
                <w:sz w:val="20"/>
                <w:szCs w:val="20"/>
              </w:rPr>
            </w:r>
            <w:r>
              <w:rPr>
                <w:rFonts w:ascii="Arial" w:hAnsi="Arial" w:cs="Arial" w:eastAsia="Arial" w:hint="default"/>
                <w:spacing w:val="-1"/>
                <w:sz w:val="20"/>
                <w:szCs w:val="20"/>
                <w:u w:val="single" w:color="000000"/>
              </w:rPr>
              <w:t> </w:t>
            </w:r>
            <w:r>
              <w:rPr>
                <w:rFonts w:ascii="Arial" w:hAnsi="Arial" w:cs="Arial" w:eastAsia="Arial" w:hint="default"/>
                <w:sz w:val="20"/>
                <w:szCs w:val="20"/>
                <w:u w:val="single" w:color="000000"/>
              </w:rPr>
              <w:t>6,540,832</w:t>
            </w:r>
            <w:r>
              <w:rPr>
                <w:rFonts w:ascii="Arial" w:hAnsi="Arial" w:cs="Arial" w:eastAsia="Arial" w:hint="default"/>
                <w:sz w:val="20"/>
                <w:szCs w:val="20"/>
              </w:rPr>
            </w:r>
          </w:p>
        </w:tc>
        <w:tc>
          <w:tcPr>
            <w:tcW w:w="2885" w:type="dxa"/>
            <w:tcBorders>
              <w:top w:val="nil" w:sz="6" w:space="0" w:color="auto"/>
              <w:left w:val="nil" w:sz="6" w:space="0" w:color="auto"/>
              <w:bottom w:val="nil" w:sz="6" w:space="0" w:color="auto"/>
              <w:right w:val="nil" w:sz="6" w:space="0" w:color="auto"/>
            </w:tcBorders>
          </w:tcPr>
          <w:p>
            <w:pPr>
              <w:pStyle w:val="TableParagraph"/>
              <w:tabs>
                <w:tab w:pos="831" w:val="left" w:leader="none"/>
                <w:tab w:pos="1324" w:val="left" w:leader="none"/>
              </w:tabs>
              <w:spacing w:line="240" w:lineRule="auto" w:before="8"/>
              <w:ind w:left="32"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tab/>
            </w:r>
            <w:r>
              <w:rPr>
                <w:rFonts w:ascii="Arial"/>
                <w:sz w:val="20"/>
                <w:u w:val="single" w:color="000000"/>
              </w:rPr>
              <w:t> 4,459,114</w:t>
            </w:r>
            <w:r>
              <w:rPr>
                <w:rFonts w:ascii="Arial"/>
                <w:sz w:val="20"/>
              </w:rPr>
            </w:r>
          </w:p>
        </w:tc>
        <w:tc>
          <w:tcPr>
            <w:tcW w:w="1157"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17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10,999,946</w:t>
            </w:r>
            <w:r>
              <w:rPr>
                <w:rFonts w:ascii="Arial"/>
                <w:spacing w:val="-1"/>
                <w:sz w:val="20"/>
              </w:rPr>
            </w:r>
          </w:p>
        </w:tc>
      </w:tr>
      <w:tr>
        <w:trPr>
          <w:trHeight w:val="388"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7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pacing w:val="-1"/>
                <w:sz w:val="20"/>
                <w:u w:val="thick" w:color="000000"/>
              </w:rPr>
              <w:t>30,747,861</w:t>
            </w:r>
            <w:r>
              <w:rPr>
                <w:rFonts w:ascii="Arial"/>
                <w:spacing w:val="-1"/>
                <w:sz w:val="20"/>
              </w:rPr>
            </w:r>
          </w:p>
        </w:tc>
        <w:tc>
          <w:tcPr>
            <w:tcW w:w="2885" w:type="dxa"/>
            <w:tcBorders>
              <w:top w:val="nil" w:sz="6" w:space="0" w:color="auto"/>
              <w:left w:val="nil" w:sz="6" w:space="0" w:color="auto"/>
              <w:bottom w:val="nil" w:sz="6" w:space="0" w:color="auto"/>
              <w:right w:val="nil" w:sz="6" w:space="0" w:color="auto"/>
            </w:tcBorders>
          </w:tcPr>
          <w:p>
            <w:pPr>
              <w:pStyle w:val="TableParagraph"/>
              <w:tabs>
                <w:tab w:pos="831" w:val="left" w:leader="none"/>
                <w:tab w:pos="1313" w:val="left" w:leader="none"/>
              </w:tabs>
              <w:spacing w:line="240" w:lineRule="exact"/>
              <w:ind w:left="32" w:right="0"/>
              <w:jc w:val="left"/>
              <w:rPr>
                <w:rFonts w:ascii="Arial" w:hAnsi="Arial" w:cs="Arial" w:eastAsia="Arial" w:hint="default"/>
                <w:sz w:val="20"/>
                <w:szCs w:val="20"/>
              </w:rPr>
            </w:pPr>
            <w:r>
              <w:rPr>
                <w:rFonts w:ascii="Arial" w:hAnsi="Arial" w:cs="Arial" w:eastAsia="Arial" w:hint="default"/>
                <w:w w:val="100"/>
                <w:sz w:val="20"/>
                <w:szCs w:val="20"/>
              </w:rPr>
            </w:r>
            <w:r>
              <w:rPr>
                <w:rFonts w:ascii="Arial" w:hAnsi="Arial" w:cs="Arial" w:eastAsia="Arial" w:hint="default"/>
                <w:w w:val="100"/>
                <w:sz w:val="20"/>
                <w:szCs w:val="20"/>
                <w:u w:val="thick" w:color="000000"/>
              </w:rPr>
              <w:t> </w:t>
            </w:r>
            <w:r>
              <w:rPr>
                <w:rFonts w:ascii="Arial" w:hAnsi="Arial" w:cs="Arial" w:eastAsia="Arial" w:hint="default"/>
                <w:sz w:val="20"/>
                <w:szCs w:val="20"/>
                <w:u w:val="thick" w:color="000000"/>
              </w:rPr>
              <w:tab/>
              <w:t>-</w:t>
            </w:r>
            <w:r>
              <w:rPr>
                <w:rFonts w:ascii="Arial" w:hAnsi="Arial" w:cs="Arial" w:eastAsia="Arial" w:hint="default"/>
                <w:sz w:val="20"/>
                <w:szCs w:val="20"/>
              </w:rPr>
              <w:tab/>
            </w:r>
            <w:r>
              <w:rPr>
                <w:rFonts w:ascii="Arial" w:hAnsi="Arial" w:cs="Arial" w:eastAsia="Arial" w:hint="default"/>
                <w:sz w:val="20"/>
                <w:szCs w:val="20"/>
                <w:u w:val="thick" w:color="000000"/>
              </w:rPr>
              <w:t>12,879,842</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p>
        </w:tc>
        <w:tc>
          <w:tcPr>
            <w:tcW w:w="1157"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179"/>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pacing w:val="-1"/>
                <w:sz w:val="20"/>
                <w:u w:val="thick" w:color="000000"/>
              </w:rPr>
              <w:t>43,627,703</w:t>
            </w:r>
            <w:r>
              <w:rPr>
                <w:rFonts w:ascii="Arial"/>
                <w:spacing w:val="-1"/>
                <w:sz w:val="20"/>
              </w:rPr>
            </w:r>
          </w:p>
        </w:tc>
      </w:tr>
      <w:tr>
        <w:trPr>
          <w:trHeight w:val="383"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6" w:right="0"/>
              <w:jc w:val="left"/>
              <w:rPr>
                <w:rFonts w:ascii="黑体" w:hAnsi="黑体" w:cs="黑体" w:eastAsia="黑体" w:hint="default"/>
                <w:sz w:val="20"/>
                <w:szCs w:val="20"/>
              </w:rPr>
            </w:pPr>
            <w:r>
              <w:rPr>
                <w:rFonts w:ascii="黑体" w:hAnsi="黑体" w:cs="黑体" w:eastAsia="黑体" w:hint="default"/>
                <w:sz w:val="20"/>
                <w:szCs w:val="20"/>
              </w:rPr>
              <w:t>账面净值</w:t>
            </w:r>
          </w:p>
        </w:tc>
        <w:tc>
          <w:tcPr>
            <w:tcW w:w="2885"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
        </w:tc>
        <w:tc>
          <w:tcPr>
            <w:tcW w:w="1331" w:type="dxa"/>
            <w:tcBorders>
              <w:top w:val="nil" w:sz="6" w:space="0" w:color="auto"/>
              <w:left w:val="nil" w:sz="6" w:space="0" w:color="auto"/>
              <w:bottom w:val="nil" w:sz="6" w:space="0" w:color="auto"/>
              <w:right w:val="nil" w:sz="6" w:space="0" w:color="auto"/>
            </w:tcBorders>
          </w:tcPr>
          <w:p>
            <w:pPr/>
          </w:p>
        </w:tc>
      </w:tr>
      <w:tr>
        <w:trPr>
          <w:trHeight w:val="263"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tabs>
                <w:tab w:pos="1571" w:val="left" w:leader="none"/>
              </w:tabs>
              <w:spacing w:line="244" w:lineRule="exact"/>
              <w:ind w:left="76" w:right="0"/>
              <w:jc w:val="left"/>
              <w:rPr>
                <w:rFonts w:ascii="Arial" w:hAnsi="Arial" w:cs="Arial" w:eastAsia="Arial" w:hint="default"/>
                <w:sz w:val="20"/>
                <w:szCs w:val="20"/>
              </w:rPr>
            </w:pPr>
            <w:r>
              <w:rPr>
                <w:rFonts w:ascii="黑体" w:hAnsi="黑体" w:cs="黑体" w:eastAsia="黑体" w:hint="default"/>
                <w:spacing w:val="-1"/>
                <w:sz w:val="20"/>
                <w:szCs w:val="20"/>
              </w:rPr>
              <w:t>土地使用权</w:t>
              <w:tab/>
            </w:r>
            <w:r>
              <w:rPr>
                <w:rFonts w:ascii="Arial" w:hAnsi="Arial" w:cs="Arial" w:eastAsia="Arial" w:hint="default"/>
                <w:spacing w:val="-1"/>
                <w:sz w:val="20"/>
                <w:szCs w:val="20"/>
              </w:rPr>
              <w:t>274,126,014</w:t>
            </w:r>
          </w:p>
        </w:tc>
        <w:tc>
          <w:tcPr>
            <w:tcW w:w="2885" w:type="dxa"/>
            <w:tcBorders>
              <w:top w:val="nil" w:sz="6" w:space="0" w:color="auto"/>
              <w:left w:val="nil" w:sz="6" w:space="0" w:color="auto"/>
              <w:bottom w:val="nil" w:sz="6" w:space="0" w:color="auto"/>
              <w:right w:val="nil" w:sz="6" w:space="0" w:color="auto"/>
            </w:tcBorders>
          </w:tcPr>
          <w:p>
            <w:pPr>
              <w:pStyle w:val="TableParagraph"/>
              <w:tabs>
                <w:tab w:pos="1425" w:val="left" w:leader="none"/>
              </w:tabs>
              <w:spacing w:line="240" w:lineRule="auto" w:before="11"/>
              <w:ind w:left="831" w:right="0"/>
              <w:jc w:val="left"/>
              <w:rPr>
                <w:rFonts w:ascii="Arial" w:hAnsi="Arial" w:cs="Arial" w:eastAsia="Arial" w:hint="default"/>
                <w:sz w:val="20"/>
                <w:szCs w:val="20"/>
              </w:rPr>
            </w:pPr>
            <w:r>
              <w:rPr>
                <w:rFonts w:ascii="Arial"/>
                <w:sz w:val="20"/>
              </w:rPr>
              <w:t>-</w:t>
              <w:tab/>
              <w:t>2,208,899</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9"/>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Arial" w:hAnsi="Arial" w:cs="Arial" w:eastAsia="Arial" w:hint="default"/>
                <w:sz w:val="20"/>
                <w:szCs w:val="20"/>
              </w:rPr>
            </w:pPr>
            <w:r>
              <w:rPr>
                <w:rFonts w:ascii="Arial"/>
                <w:spacing w:val="-1"/>
                <w:sz w:val="20"/>
              </w:rPr>
              <w:t>276,334,913</w:t>
            </w:r>
          </w:p>
        </w:tc>
      </w:tr>
      <w:tr>
        <w:trPr>
          <w:trHeight w:val="259"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tabs>
                <w:tab w:pos="1793" w:val="left" w:leader="none"/>
              </w:tabs>
              <w:spacing w:line="240" w:lineRule="exact"/>
              <w:ind w:left="76" w:right="0"/>
              <w:jc w:val="left"/>
              <w:rPr>
                <w:rFonts w:ascii="Arial" w:hAnsi="Arial" w:cs="Arial" w:eastAsia="Arial" w:hint="default"/>
                <w:sz w:val="20"/>
                <w:szCs w:val="20"/>
              </w:rPr>
            </w:pPr>
            <w:r>
              <w:rPr>
                <w:rFonts w:ascii="黑体" w:hAnsi="黑体" w:cs="黑体" w:eastAsia="黑体" w:hint="default"/>
                <w:spacing w:val="-1"/>
                <w:sz w:val="20"/>
                <w:szCs w:val="20"/>
              </w:rPr>
              <w:t>软件使用权</w:t>
              <w:tab/>
            </w:r>
            <w:r>
              <w:rPr>
                <w:rFonts w:ascii="Arial" w:hAnsi="Arial" w:cs="Arial" w:eastAsia="Arial" w:hint="default"/>
                <w:spacing w:val="-1"/>
                <w:sz w:val="20"/>
                <w:szCs w:val="20"/>
              </w:rPr>
              <w:t>7,000,000</w:t>
            </w:r>
          </w:p>
        </w:tc>
        <w:tc>
          <w:tcPr>
            <w:tcW w:w="2885" w:type="dxa"/>
            <w:tcBorders>
              <w:top w:val="nil" w:sz="6" w:space="0" w:color="auto"/>
              <w:left w:val="nil" w:sz="6" w:space="0" w:color="auto"/>
              <w:bottom w:val="nil" w:sz="6" w:space="0" w:color="auto"/>
              <w:right w:val="nil" w:sz="6" w:space="0" w:color="auto"/>
            </w:tcBorders>
          </w:tcPr>
          <w:p>
            <w:pPr>
              <w:pStyle w:val="TableParagraph"/>
              <w:tabs>
                <w:tab w:pos="1303" w:val="left" w:leader="none"/>
              </w:tabs>
              <w:spacing w:line="240" w:lineRule="auto" w:before="8"/>
              <w:ind w:left="831" w:right="0"/>
              <w:jc w:val="left"/>
              <w:rPr>
                <w:rFonts w:ascii="Arial" w:hAnsi="Arial" w:cs="Arial" w:eastAsia="Arial" w:hint="default"/>
                <w:sz w:val="20"/>
                <w:szCs w:val="20"/>
              </w:rPr>
            </w:pPr>
            <w:r>
              <w:rPr>
                <w:rFonts w:ascii="Arial"/>
                <w:sz w:val="20"/>
              </w:rPr>
              <w:t>-</w:t>
              <w:tab/>
              <w:t>( 2,000,000</w:t>
            </w:r>
            <w:r>
              <w:rPr>
                <w:rFonts w:ascii="Arial"/>
                <w:spacing w:val="-35"/>
                <w:sz w:val="20"/>
              </w:rPr>
              <w:t> </w:t>
            </w:r>
            <w:r>
              <w:rPr>
                <w:rFonts w:ascii="Arial"/>
                <w:sz w:val="20"/>
              </w:rPr>
              <w:t>)</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79"/>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5,000,000</w:t>
            </w:r>
          </w:p>
        </w:tc>
      </w:tr>
      <w:tr>
        <w:trPr>
          <w:trHeight w:val="261"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tabs>
                <w:tab w:pos="1583" w:val="left" w:leader="none"/>
              </w:tabs>
              <w:spacing w:line="240" w:lineRule="exact"/>
              <w:ind w:left="76" w:right="0"/>
              <w:jc w:val="left"/>
              <w:rPr>
                <w:rFonts w:ascii="Arial" w:hAnsi="Arial" w:cs="Arial" w:eastAsia="Arial" w:hint="default"/>
                <w:sz w:val="20"/>
                <w:szCs w:val="20"/>
              </w:rPr>
            </w:pPr>
            <w:r>
              <w:rPr>
                <w:rFonts w:ascii="黑体" w:hAnsi="黑体" w:cs="黑体" w:eastAsia="黑体" w:hint="default"/>
                <w:spacing w:val="-1"/>
                <w:sz w:val="20"/>
                <w:szCs w:val="20"/>
              </w:rPr>
              <w:t>软件著作权</w:t>
              <w:tab/>
            </w:r>
            <w:r>
              <w:rPr>
                <w:rFonts w:ascii="Arial" w:hAnsi="Arial" w:cs="Arial" w:eastAsia="Arial" w:hint="default"/>
                <w:spacing w:val="-1"/>
                <w:sz w:val="20"/>
                <w:szCs w:val="20"/>
              </w:rPr>
            </w:r>
            <w:r>
              <w:rPr>
                <w:rFonts w:ascii="Arial" w:hAnsi="Arial" w:cs="Arial" w:eastAsia="Arial" w:hint="default"/>
                <w:spacing w:val="-1"/>
                <w:sz w:val="20"/>
                <w:szCs w:val="20"/>
                <w:u w:val="single" w:color="000000"/>
              </w:rPr>
              <w:t> 21,876,468</w:t>
            </w:r>
            <w:r>
              <w:rPr>
                <w:rFonts w:ascii="Arial" w:hAnsi="Arial" w:cs="Arial" w:eastAsia="Arial" w:hint="default"/>
                <w:spacing w:val="-1"/>
                <w:sz w:val="20"/>
                <w:szCs w:val="20"/>
              </w:rPr>
            </w:r>
          </w:p>
        </w:tc>
        <w:tc>
          <w:tcPr>
            <w:tcW w:w="2885" w:type="dxa"/>
            <w:tcBorders>
              <w:top w:val="nil" w:sz="6" w:space="0" w:color="auto"/>
              <w:left w:val="nil" w:sz="6" w:space="0" w:color="auto"/>
              <w:bottom w:val="nil" w:sz="6" w:space="0" w:color="auto"/>
              <w:right w:val="nil" w:sz="6" w:space="0" w:color="auto"/>
            </w:tcBorders>
          </w:tcPr>
          <w:p>
            <w:pPr>
              <w:pStyle w:val="TableParagraph"/>
              <w:tabs>
                <w:tab w:pos="1303" w:val="left" w:leader="none"/>
              </w:tabs>
              <w:spacing w:line="240" w:lineRule="auto" w:before="8"/>
              <w:ind w:left="8" w:right="0"/>
              <w:jc w:val="left"/>
              <w:rPr>
                <w:rFonts w:ascii="Arial" w:hAnsi="Arial" w:cs="Arial" w:eastAsia="Arial" w:hint="default"/>
                <w:sz w:val="20"/>
                <w:szCs w:val="20"/>
              </w:rPr>
            </w:pPr>
            <w:r>
              <w:rPr>
                <w:rFonts w:ascii="Arial"/>
                <w:w w:val="100"/>
                <w:sz w:val="20"/>
              </w:rPr>
            </w:r>
            <w:r>
              <w:rPr>
                <w:rFonts w:ascii="Arial"/>
                <w:spacing w:val="-1"/>
                <w:sz w:val="20"/>
                <w:u w:val="single" w:color="000000"/>
              </w:rPr>
              <w:t>9,000,365</w:t>
            </w:r>
            <w:r>
              <w:rPr>
                <w:rFonts w:ascii="Arial"/>
                <w:spacing w:val="-1"/>
                <w:sz w:val="20"/>
              </w:rPr>
              <w:tab/>
            </w:r>
            <w:r>
              <w:rPr>
                <w:rFonts w:ascii="Arial"/>
                <w:sz w:val="20"/>
              </w:rPr>
              <w:t>( </w:t>
            </w:r>
            <w:r>
              <w:rPr>
                <w:rFonts w:ascii="Arial"/>
                <w:sz w:val="20"/>
                <w:u w:val="single" w:color="000000"/>
              </w:rPr>
              <w:t> </w:t>
            </w:r>
            <w:r>
              <w:rPr>
                <w:rFonts w:ascii="Arial"/>
                <w:spacing w:val="-1"/>
                <w:sz w:val="20"/>
                <w:u w:val="single" w:color="000000"/>
              </w:rPr>
              <w:t>4,459,114</w:t>
            </w:r>
            <w:r>
              <w:rPr>
                <w:rFonts w:ascii="Arial"/>
                <w:spacing w:val="-25"/>
                <w:sz w:val="20"/>
                <w:u w:val="single" w:color="000000"/>
              </w:rPr>
              <w:t> </w:t>
            </w:r>
            <w:r>
              <w:rPr>
                <w:rFonts w:ascii="Arial"/>
                <w:spacing w:val="-25"/>
                <w:sz w:val="20"/>
              </w:rPr>
            </w:r>
            <w:r>
              <w:rPr>
                <w:rFonts w:ascii="Arial"/>
                <w:sz w:val="20"/>
              </w:rPr>
              <w:t>)</w:t>
            </w:r>
          </w:p>
        </w:tc>
        <w:tc>
          <w:tcPr>
            <w:tcW w:w="1157"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17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26,417,719</w:t>
            </w:r>
            <w:r>
              <w:rPr>
                <w:rFonts w:ascii="Arial"/>
                <w:spacing w:val="-1"/>
                <w:sz w:val="20"/>
              </w:rPr>
            </w:r>
          </w:p>
        </w:tc>
      </w:tr>
      <w:tr>
        <w:trPr>
          <w:trHeight w:val="381"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73"/>
              <w:jc w:val="right"/>
              <w:rPr>
                <w:rFonts w:ascii="Arial" w:hAnsi="Arial" w:cs="Arial" w:eastAsia="Arial" w:hint="default"/>
                <w:sz w:val="20"/>
                <w:szCs w:val="20"/>
              </w:rPr>
            </w:pPr>
            <w:r>
              <w:rPr>
                <w:rFonts w:ascii="Arial"/>
                <w:w w:val="100"/>
                <w:sz w:val="20"/>
              </w:rPr>
            </w:r>
            <w:r>
              <w:rPr>
                <w:rFonts w:ascii="Arial"/>
                <w:spacing w:val="-1"/>
                <w:sz w:val="20"/>
                <w:u w:val="thick" w:color="000000"/>
              </w:rPr>
              <w:t>303,002,482</w:t>
            </w:r>
            <w:r>
              <w:rPr>
                <w:rFonts w:ascii="Arial"/>
                <w:spacing w:val="-1"/>
                <w:sz w:val="20"/>
              </w:rPr>
            </w:r>
          </w:p>
        </w:tc>
        <w:tc>
          <w:tcPr>
            <w:tcW w:w="2885" w:type="dxa"/>
            <w:tcBorders>
              <w:top w:val="nil" w:sz="6" w:space="0" w:color="auto"/>
              <w:left w:val="nil" w:sz="6" w:space="0" w:color="auto"/>
              <w:bottom w:val="nil" w:sz="6" w:space="0" w:color="auto"/>
              <w:right w:val="nil" w:sz="6" w:space="0" w:color="auto"/>
            </w:tcBorders>
          </w:tcPr>
          <w:p>
            <w:pPr>
              <w:pStyle w:val="TableParagraph"/>
              <w:tabs>
                <w:tab w:pos="1303" w:val="left" w:leader="none"/>
              </w:tabs>
              <w:spacing w:line="240" w:lineRule="auto" w:before="2"/>
              <w:ind w:left="8" w:right="0"/>
              <w:jc w:val="left"/>
              <w:rPr>
                <w:rFonts w:ascii="Arial" w:hAnsi="Arial" w:cs="Arial" w:eastAsia="Arial" w:hint="default"/>
                <w:sz w:val="20"/>
                <w:szCs w:val="20"/>
              </w:rPr>
            </w:pPr>
            <w:r>
              <w:rPr>
                <w:rFonts w:ascii="Arial"/>
                <w:w w:val="100"/>
                <w:sz w:val="20"/>
              </w:rPr>
            </w:r>
            <w:r>
              <w:rPr>
                <w:rFonts w:ascii="Arial"/>
                <w:spacing w:val="-1"/>
                <w:sz w:val="20"/>
                <w:u w:val="thick" w:color="000000"/>
              </w:rPr>
              <w:t>9,000,365</w:t>
            </w:r>
            <w:r>
              <w:rPr>
                <w:rFonts w:ascii="Arial"/>
                <w:spacing w:val="-1"/>
                <w:sz w:val="20"/>
              </w:rPr>
              <w:tab/>
            </w:r>
            <w:r>
              <w:rPr>
                <w:rFonts w:ascii="Arial"/>
                <w:sz w:val="20"/>
              </w:rPr>
              <w:t>( </w:t>
            </w:r>
            <w:r>
              <w:rPr>
                <w:rFonts w:ascii="Arial"/>
                <w:sz w:val="20"/>
                <w:u w:val="thick" w:color="000000"/>
              </w:rPr>
              <w:t> </w:t>
            </w:r>
            <w:r>
              <w:rPr>
                <w:rFonts w:ascii="Arial"/>
                <w:spacing w:val="-1"/>
                <w:sz w:val="20"/>
                <w:u w:val="thick" w:color="000000"/>
              </w:rPr>
              <w:t>4,250,215</w:t>
            </w:r>
            <w:r>
              <w:rPr>
                <w:rFonts w:ascii="Arial"/>
                <w:spacing w:val="-25"/>
                <w:sz w:val="20"/>
                <w:u w:val="thick" w:color="000000"/>
              </w:rPr>
              <w:t> </w:t>
            </w:r>
            <w:r>
              <w:rPr>
                <w:rFonts w:ascii="Arial"/>
                <w:spacing w:val="-25"/>
                <w:sz w:val="20"/>
              </w:rPr>
            </w:r>
            <w:r>
              <w:rPr>
                <w:rFonts w:ascii="Arial"/>
                <w:sz w:val="20"/>
              </w:rPr>
              <w:t>)</w:t>
            </w:r>
          </w:p>
        </w:tc>
        <w:tc>
          <w:tcPr>
            <w:tcW w:w="1157"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2"/>
              <w:ind w:right="179"/>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307,752,632</w:t>
            </w:r>
            <w:r>
              <w:rPr>
                <w:rFonts w:ascii="Arial"/>
                <w:spacing w:val="-1"/>
                <w:sz w:val="20"/>
              </w:rPr>
            </w:r>
          </w:p>
        </w:tc>
      </w:tr>
      <w:tr>
        <w:trPr>
          <w:trHeight w:val="383"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6" w:right="0"/>
              <w:jc w:val="left"/>
              <w:rPr>
                <w:rFonts w:ascii="黑体" w:hAnsi="黑体" w:cs="黑体" w:eastAsia="黑体" w:hint="default"/>
                <w:sz w:val="20"/>
                <w:szCs w:val="20"/>
              </w:rPr>
            </w:pPr>
            <w:r>
              <w:rPr>
                <w:rFonts w:ascii="黑体" w:hAnsi="黑体" w:cs="黑体" w:eastAsia="黑体" w:hint="default"/>
                <w:sz w:val="20"/>
                <w:szCs w:val="20"/>
              </w:rPr>
              <w:t>减值准备</w:t>
            </w:r>
          </w:p>
        </w:tc>
        <w:tc>
          <w:tcPr>
            <w:tcW w:w="2885"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
        </w:tc>
        <w:tc>
          <w:tcPr>
            <w:tcW w:w="1331" w:type="dxa"/>
            <w:tcBorders>
              <w:top w:val="nil" w:sz="6" w:space="0" w:color="auto"/>
              <w:left w:val="nil" w:sz="6" w:space="0" w:color="auto"/>
              <w:bottom w:val="nil" w:sz="6" w:space="0" w:color="auto"/>
              <w:right w:val="nil" w:sz="6" w:space="0" w:color="auto"/>
            </w:tcBorders>
          </w:tcPr>
          <w:p>
            <w:pPr/>
          </w:p>
        </w:tc>
      </w:tr>
      <w:tr>
        <w:trPr>
          <w:trHeight w:val="784"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tabs>
                <w:tab w:pos="2617" w:val="left" w:leader="none"/>
              </w:tabs>
              <w:spacing w:line="236" w:lineRule="exact"/>
              <w:ind w:left="76" w:right="0"/>
              <w:jc w:val="left"/>
              <w:rPr>
                <w:rFonts w:ascii="Arial" w:hAnsi="Arial" w:cs="Arial" w:eastAsia="Arial" w:hint="default"/>
                <w:sz w:val="20"/>
                <w:szCs w:val="20"/>
              </w:rPr>
            </w:pPr>
            <w:r>
              <w:rPr>
                <w:rFonts w:ascii="黑体" w:hAnsi="黑体" w:cs="黑体" w:eastAsia="黑体" w:hint="default"/>
                <w:spacing w:val="-1"/>
                <w:sz w:val="20"/>
                <w:szCs w:val="20"/>
              </w:rPr>
              <w:t>土地使用权</w:t>
              <w:tab/>
            </w:r>
            <w:r>
              <w:rPr>
                <w:rFonts w:ascii="Arial" w:hAnsi="Arial" w:cs="Arial" w:eastAsia="Arial" w:hint="default"/>
                <w:sz w:val="20"/>
                <w:szCs w:val="20"/>
              </w:rPr>
              <w:t>-</w:t>
            </w:r>
          </w:p>
          <w:p>
            <w:pPr>
              <w:pStyle w:val="TableParagraph"/>
              <w:tabs>
                <w:tab w:pos="2617" w:val="left" w:leader="none"/>
              </w:tabs>
              <w:spacing w:line="259" w:lineRule="exact"/>
              <w:ind w:left="76" w:right="0"/>
              <w:jc w:val="left"/>
              <w:rPr>
                <w:rFonts w:ascii="Arial" w:hAnsi="Arial" w:cs="Arial" w:eastAsia="Arial" w:hint="default"/>
                <w:sz w:val="20"/>
                <w:szCs w:val="20"/>
              </w:rPr>
            </w:pPr>
            <w:r>
              <w:rPr>
                <w:rFonts w:ascii="黑体" w:hAnsi="黑体" w:cs="黑体" w:eastAsia="黑体" w:hint="default"/>
                <w:spacing w:val="-1"/>
                <w:sz w:val="20"/>
                <w:szCs w:val="20"/>
              </w:rPr>
              <w:t>软件使用权</w:t>
              <w:tab/>
            </w:r>
            <w:r>
              <w:rPr>
                <w:rFonts w:ascii="Arial" w:hAnsi="Arial" w:cs="Arial" w:eastAsia="Arial" w:hint="default"/>
                <w:sz w:val="20"/>
                <w:szCs w:val="20"/>
              </w:rPr>
              <w:t>-</w:t>
            </w:r>
          </w:p>
          <w:p>
            <w:pPr>
              <w:pStyle w:val="TableParagraph"/>
              <w:tabs>
                <w:tab w:pos="1617" w:val="left" w:leader="none"/>
                <w:tab w:pos="2616" w:val="left" w:leader="none"/>
              </w:tabs>
              <w:spacing w:line="268" w:lineRule="exact"/>
              <w:ind w:left="76" w:right="0"/>
              <w:jc w:val="left"/>
              <w:rPr>
                <w:rFonts w:ascii="Arial" w:hAnsi="Arial" w:cs="Arial" w:eastAsia="Arial" w:hint="default"/>
                <w:sz w:val="20"/>
                <w:szCs w:val="20"/>
              </w:rPr>
            </w:pPr>
            <w:r>
              <w:rPr>
                <w:rFonts w:ascii="黑体" w:hAnsi="黑体" w:cs="黑体" w:eastAsia="黑体" w:hint="default"/>
                <w:spacing w:val="-1"/>
                <w:sz w:val="20"/>
                <w:szCs w:val="20"/>
              </w:rPr>
              <w:t>软件著作权</w:t>
              <w:tab/>
            </w:r>
            <w:r>
              <w:rPr>
                <w:rFonts w:ascii="Arial" w:hAnsi="Arial" w:cs="Arial" w:eastAsia="Arial" w:hint="default"/>
                <w:spacing w:val="-1"/>
                <w:sz w:val="20"/>
                <w:szCs w:val="20"/>
              </w:rPr>
            </w:r>
            <w:r>
              <w:rPr>
                <w:rFonts w:ascii="Arial" w:hAnsi="Arial" w:cs="Arial" w:eastAsia="Arial" w:hint="default"/>
                <w:spacing w:val="-1"/>
                <w:sz w:val="20"/>
                <w:szCs w:val="20"/>
                <w:u w:val="single" w:color="000000"/>
              </w:rPr>
              <w:t> </w:t>
              <w:tab/>
            </w:r>
            <w:r>
              <w:rPr>
                <w:rFonts w:ascii="Arial" w:hAnsi="Arial" w:cs="Arial" w:eastAsia="Arial" w:hint="default"/>
                <w:sz w:val="20"/>
                <w:szCs w:val="20"/>
                <w:u w:val="single" w:color="000000"/>
              </w:rPr>
              <w:t>-</w:t>
            </w:r>
            <w:r>
              <w:rPr>
                <w:rFonts w:ascii="Arial" w:hAnsi="Arial" w:cs="Arial" w:eastAsia="Arial" w:hint="default"/>
                <w:sz w:val="20"/>
                <w:szCs w:val="20"/>
              </w:rPr>
            </w:r>
          </w:p>
        </w:tc>
        <w:tc>
          <w:tcPr>
            <w:tcW w:w="2885" w:type="dxa"/>
            <w:tcBorders>
              <w:top w:val="nil" w:sz="6" w:space="0" w:color="auto"/>
              <w:left w:val="nil" w:sz="6" w:space="0" w:color="auto"/>
              <w:bottom w:val="nil" w:sz="6" w:space="0" w:color="auto"/>
              <w:right w:val="nil" w:sz="6" w:space="0" w:color="auto"/>
            </w:tcBorders>
          </w:tcPr>
          <w:p>
            <w:pPr>
              <w:pStyle w:val="TableParagraph"/>
              <w:tabs>
                <w:tab w:pos="2248" w:val="left" w:leader="none"/>
              </w:tabs>
              <w:spacing w:line="240" w:lineRule="auto" w:before="12"/>
              <w:ind w:left="831" w:right="0"/>
              <w:jc w:val="left"/>
              <w:rPr>
                <w:rFonts w:ascii="Arial" w:hAnsi="Arial" w:cs="Arial" w:eastAsia="Arial" w:hint="default"/>
                <w:sz w:val="20"/>
                <w:szCs w:val="20"/>
              </w:rPr>
            </w:pPr>
            <w:r>
              <w:rPr>
                <w:rFonts w:ascii="Arial"/>
                <w:sz w:val="20"/>
              </w:rPr>
              <w:t>-</w:t>
              <w:tab/>
              <w:t>-</w:t>
            </w:r>
          </w:p>
          <w:p>
            <w:pPr>
              <w:pStyle w:val="TableParagraph"/>
              <w:tabs>
                <w:tab w:pos="2248" w:val="left" w:leader="none"/>
              </w:tabs>
              <w:spacing w:line="240" w:lineRule="auto" w:before="29"/>
              <w:ind w:left="831" w:right="0"/>
              <w:jc w:val="left"/>
              <w:rPr>
                <w:rFonts w:ascii="Arial" w:hAnsi="Arial" w:cs="Arial" w:eastAsia="Arial" w:hint="default"/>
                <w:sz w:val="20"/>
                <w:szCs w:val="20"/>
              </w:rPr>
            </w:pPr>
            <w:r>
              <w:rPr>
                <w:rFonts w:ascii="Arial"/>
                <w:sz w:val="20"/>
              </w:rPr>
              <w:t>-</w:t>
              <w:tab/>
              <w:t>-</w:t>
            </w:r>
          </w:p>
          <w:p>
            <w:pPr>
              <w:pStyle w:val="TableParagraph"/>
              <w:tabs>
                <w:tab w:pos="831" w:val="left" w:leader="none"/>
                <w:tab w:pos="1409" w:val="left" w:leader="none"/>
                <w:tab w:pos="2248" w:val="left" w:leader="none"/>
              </w:tabs>
              <w:spacing w:line="240" w:lineRule="auto" w:before="29"/>
              <w:ind w:left="32"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tab/>
            </w:r>
            <w:r>
              <w:rPr>
                <w:rFonts w:ascii="Arial"/>
                <w:sz w:val="20"/>
                <w:u w:val="single" w:color="000000"/>
              </w:rPr>
              <w:t> </w:t>
              <w:tab/>
              <w:t>-</w:t>
            </w:r>
            <w:r>
              <w:rPr>
                <w:rFonts w:ascii="Arial"/>
                <w:sz w:val="20"/>
              </w:rPr>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80"/>
              <w:jc w:val="right"/>
              <w:rPr>
                <w:rFonts w:ascii="Arial" w:hAnsi="Arial" w:cs="Arial" w:eastAsia="Arial" w:hint="default"/>
                <w:sz w:val="20"/>
                <w:szCs w:val="20"/>
              </w:rPr>
            </w:pPr>
            <w:r>
              <w:rPr>
                <w:rFonts w:ascii="Arial"/>
                <w:w w:val="100"/>
                <w:sz w:val="20"/>
              </w:rPr>
              <w:t>-</w:t>
            </w:r>
          </w:p>
          <w:p>
            <w:pPr>
              <w:pStyle w:val="TableParagraph"/>
              <w:spacing w:line="240" w:lineRule="auto" w:before="29"/>
              <w:ind w:right="180"/>
              <w:jc w:val="right"/>
              <w:rPr>
                <w:rFonts w:ascii="Arial" w:hAnsi="Arial" w:cs="Arial" w:eastAsia="Arial" w:hint="default"/>
                <w:sz w:val="20"/>
                <w:szCs w:val="20"/>
              </w:rPr>
            </w:pPr>
            <w:r>
              <w:rPr>
                <w:rFonts w:ascii="Arial"/>
                <w:w w:val="100"/>
                <w:sz w:val="20"/>
              </w:rPr>
              <w:t>-</w:t>
            </w:r>
          </w:p>
          <w:p>
            <w:pPr>
              <w:pStyle w:val="TableParagraph"/>
              <w:tabs>
                <w:tab w:pos="799" w:val="left" w:leader="none"/>
              </w:tabs>
              <w:spacing w:line="240" w:lineRule="auto" w:before="29"/>
              <w:ind w:right="17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5"/>
              <w:jc w:val="right"/>
              <w:rPr>
                <w:rFonts w:ascii="Arial" w:hAnsi="Arial" w:cs="Arial" w:eastAsia="Arial" w:hint="default"/>
                <w:sz w:val="20"/>
                <w:szCs w:val="20"/>
              </w:rPr>
            </w:pPr>
            <w:r>
              <w:rPr>
                <w:rFonts w:ascii="Arial"/>
                <w:w w:val="100"/>
                <w:sz w:val="20"/>
              </w:rPr>
              <w:t>-</w:t>
            </w:r>
          </w:p>
          <w:p>
            <w:pPr>
              <w:pStyle w:val="TableParagraph"/>
              <w:spacing w:line="240" w:lineRule="auto" w:before="29"/>
              <w:ind w:right="35"/>
              <w:jc w:val="right"/>
              <w:rPr>
                <w:rFonts w:ascii="Arial" w:hAnsi="Arial" w:cs="Arial" w:eastAsia="Arial" w:hint="default"/>
                <w:sz w:val="20"/>
                <w:szCs w:val="20"/>
              </w:rPr>
            </w:pPr>
            <w:r>
              <w:rPr>
                <w:rFonts w:ascii="Arial"/>
                <w:w w:val="100"/>
                <w:sz w:val="20"/>
              </w:rPr>
              <w:t>-</w:t>
            </w:r>
          </w:p>
          <w:p>
            <w:pPr>
              <w:pStyle w:val="TableParagraph"/>
              <w:tabs>
                <w:tab w:pos="998" w:val="left" w:leader="none"/>
              </w:tabs>
              <w:spacing w:line="240" w:lineRule="auto" w:before="29"/>
              <w:ind w:right="3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381"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2"/>
              <w:ind w:right="375"/>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2885" w:type="dxa"/>
            <w:tcBorders>
              <w:top w:val="nil" w:sz="6" w:space="0" w:color="auto"/>
              <w:left w:val="nil" w:sz="6" w:space="0" w:color="auto"/>
              <w:bottom w:val="nil" w:sz="6" w:space="0" w:color="auto"/>
              <w:right w:val="nil" w:sz="6" w:space="0" w:color="auto"/>
            </w:tcBorders>
          </w:tcPr>
          <w:p>
            <w:pPr>
              <w:pStyle w:val="TableParagraph"/>
              <w:tabs>
                <w:tab w:pos="831" w:val="left" w:leader="none"/>
                <w:tab w:pos="1409" w:val="left" w:leader="none"/>
                <w:tab w:pos="2248" w:val="left" w:leader="none"/>
              </w:tabs>
              <w:spacing w:line="240" w:lineRule="auto" w:before="2"/>
              <w:ind w:left="32"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tab/>
            </w:r>
            <w:r>
              <w:rPr>
                <w:rFonts w:ascii="Arial"/>
                <w:sz w:val="20"/>
                <w:u w:val="thick" w:color="000000"/>
              </w:rPr>
              <w:t> </w:t>
              <w:tab/>
              <w:t>-</w:t>
            </w:r>
            <w:r>
              <w:rPr>
                <w:rFonts w:ascii="Arial"/>
                <w:sz w:val="20"/>
              </w:rPr>
            </w:r>
          </w:p>
        </w:tc>
        <w:tc>
          <w:tcPr>
            <w:tcW w:w="1157"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2"/>
              <w:ind w:right="179"/>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331"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2"/>
              <w:ind w:right="36"/>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r>
      <w:tr>
        <w:trPr>
          <w:trHeight w:val="383"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6" w:right="0"/>
              <w:jc w:val="left"/>
              <w:rPr>
                <w:rFonts w:ascii="黑体" w:hAnsi="黑体" w:cs="黑体" w:eastAsia="黑体" w:hint="default"/>
                <w:sz w:val="20"/>
                <w:szCs w:val="20"/>
              </w:rPr>
            </w:pPr>
            <w:r>
              <w:rPr>
                <w:rFonts w:ascii="黑体" w:hAnsi="黑体" w:cs="黑体" w:eastAsia="黑体" w:hint="default"/>
                <w:sz w:val="20"/>
                <w:szCs w:val="20"/>
              </w:rPr>
              <w:t>账面价值</w:t>
            </w:r>
          </w:p>
        </w:tc>
        <w:tc>
          <w:tcPr>
            <w:tcW w:w="2885"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
        </w:tc>
        <w:tc>
          <w:tcPr>
            <w:tcW w:w="1331" w:type="dxa"/>
            <w:tcBorders>
              <w:top w:val="nil" w:sz="6" w:space="0" w:color="auto"/>
              <w:left w:val="nil" w:sz="6" w:space="0" w:color="auto"/>
              <w:bottom w:val="nil" w:sz="6" w:space="0" w:color="auto"/>
              <w:right w:val="nil" w:sz="6" w:space="0" w:color="auto"/>
            </w:tcBorders>
          </w:tcPr>
          <w:p>
            <w:pPr/>
          </w:p>
        </w:tc>
      </w:tr>
      <w:tr>
        <w:trPr>
          <w:trHeight w:val="263"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tabs>
                <w:tab w:pos="1571" w:val="left" w:leader="none"/>
              </w:tabs>
              <w:spacing w:line="244" w:lineRule="exact"/>
              <w:ind w:left="76" w:right="0"/>
              <w:jc w:val="left"/>
              <w:rPr>
                <w:rFonts w:ascii="Arial" w:hAnsi="Arial" w:cs="Arial" w:eastAsia="Arial" w:hint="default"/>
                <w:sz w:val="20"/>
                <w:szCs w:val="20"/>
              </w:rPr>
            </w:pPr>
            <w:r>
              <w:rPr>
                <w:rFonts w:ascii="黑体" w:hAnsi="黑体" w:cs="黑体" w:eastAsia="黑体" w:hint="default"/>
                <w:spacing w:val="-1"/>
                <w:sz w:val="20"/>
                <w:szCs w:val="20"/>
              </w:rPr>
              <w:t>土地使用权</w:t>
              <w:tab/>
            </w:r>
            <w:r>
              <w:rPr>
                <w:rFonts w:ascii="Arial" w:hAnsi="Arial" w:cs="Arial" w:eastAsia="Arial" w:hint="default"/>
                <w:spacing w:val="-1"/>
                <w:sz w:val="20"/>
                <w:szCs w:val="20"/>
              </w:rPr>
              <w:t>274,126,014</w:t>
            </w:r>
          </w:p>
        </w:tc>
        <w:tc>
          <w:tcPr>
            <w:tcW w:w="2885" w:type="dxa"/>
            <w:tcBorders>
              <w:top w:val="nil" w:sz="6" w:space="0" w:color="auto"/>
              <w:left w:val="nil" w:sz="6" w:space="0" w:color="auto"/>
              <w:bottom w:val="nil" w:sz="6" w:space="0" w:color="auto"/>
              <w:right w:val="nil" w:sz="6" w:space="0" w:color="auto"/>
            </w:tcBorders>
          </w:tcPr>
          <w:p>
            <w:pPr>
              <w:pStyle w:val="TableParagraph"/>
              <w:tabs>
                <w:tab w:pos="1425" w:val="left" w:leader="none"/>
              </w:tabs>
              <w:spacing w:line="240" w:lineRule="auto" w:before="11"/>
              <w:ind w:left="831" w:right="0"/>
              <w:jc w:val="left"/>
              <w:rPr>
                <w:rFonts w:ascii="Arial" w:hAnsi="Arial" w:cs="Arial" w:eastAsia="Arial" w:hint="default"/>
                <w:sz w:val="20"/>
                <w:szCs w:val="20"/>
              </w:rPr>
            </w:pPr>
            <w:r>
              <w:rPr>
                <w:rFonts w:ascii="Arial"/>
                <w:sz w:val="20"/>
              </w:rPr>
              <w:t>-</w:t>
              <w:tab/>
              <w:t>2,208,899</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80"/>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Arial" w:hAnsi="Arial" w:cs="Arial" w:eastAsia="Arial" w:hint="default"/>
                <w:sz w:val="20"/>
                <w:szCs w:val="20"/>
              </w:rPr>
            </w:pPr>
            <w:r>
              <w:rPr>
                <w:rFonts w:ascii="Arial"/>
                <w:spacing w:val="-1"/>
                <w:sz w:val="20"/>
              </w:rPr>
              <w:t>276,334,913</w:t>
            </w:r>
          </w:p>
        </w:tc>
      </w:tr>
      <w:tr>
        <w:trPr>
          <w:trHeight w:val="260"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tabs>
                <w:tab w:pos="1793" w:val="left" w:leader="none"/>
              </w:tabs>
              <w:spacing w:line="240" w:lineRule="exact"/>
              <w:ind w:left="76" w:right="0"/>
              <w:jc w:val="left"/>
              <w:rPr>
                <w:rFonts w:ascii="Arial" w:hAnsi="Arial" w:cs="Arial" w:eastAsia="Arial" w:hint="default"/>
                <w:sz w:val="20"/>
                <w:szCs w:val="20"/>
              </w:rPr>
            </w:pPr>
            <w:r>
              <w:rPr>
                <w:rFonts w:ascii="黑体" w:hAnsi="黑体" w:cs="黑体" w:eastAsia="黑体" w:hint="default"/>
                <w:spacing w:val="-1"/>
                <w:sz w:val="20"/>
                <w:szCs w:val="20"/>
              </w:rPr>
              <w:t>软件使用权</w:t>
              <w:tab/>
            </w:r>
            <w:r>
              <w:rPr>
                <w:rFonts w:ascii="Arial" w:hAnsi="Arial" w:cs="Arial" w:eastAsia="Arial" w:hint="default"/>
                <w:spacing w:val="-1"/>
                <w:sz w:val="20"/>
                <w:szCs w:val="20"/>
              </w:rPr>
              <w:t>7,000,000</w:t>
            </w:r>
          </w:p>
        </w:tc>
        <w:tc>
          <w:tcPr>
            <w:tcW w:w="2885" w:type="dxa"/>
            <w:tcBorders>
              <w:top w:val="nil" w:sz="6" w:space="0" w:color="auto"/>
              <w:left w:val="nil" w:sz="6" w:space="0" w:color="auto"/>
              <w:bottom w:val="nil" w:sz="6" w:space="0" w:color="auto"/>
              <w:right w:val="nil" w:sz="6" w:space="0" w:color="auto"/>
            </w:tcBorders>
          </w:tcPr>
          <w:p>
            <w:pPr>
              <w:pStyle w:val="TableParagraph"/>
              <w:tabs>
                <w:tab w:pos="1303" w:val="left" w:leader="none"/>
              </w:tabs>
              <w:spacing w:line="240" w:lineRule="auto" w:before="8"/>
              <w:ind w:left="831" w:right="0"/>
              <w:jc w:val="left"/>
              <w:rPr>
                <w:rFonts w:ascii="Arial" w:hAnsi="Arial" w:cs="Arial" w:eastAsia="Arial" w:hint="default"/>
                <w:sz w:val="20"/>
                <w:szCs w:val="20"/>
              </w:rPr>
            </w:pPr>
            <w:r>
              <w:rPr>
                <w:rFonts w:ascii="Arial"/>
                <w:sz w:val="20"/>
              </w:rPr>
              <w:t>-</w:t>
              <w:tab/>
              <w:t>( 2,000,000</w:t>
            </w:r>
            <w:r>
              <w:rPr>
                <w:rFonts w:ascii="Arial"/>
                <w:spacing w:val="-35"/>
                <w:sz w:val="20"/>
              </w:rPr>
              <w:t> </w:t>
            </w:r>
            <w:r>
              <w:rPr>
                <w:rFonts w:ascii="Arial"/>
                <w:sz w:val="20"/>
              </w:rPr>
              <w:t>)</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79"/>
              <w:jc w:val="right"/>
              <w:rPr>
                <w:rFonts w:ascii="Arial" w:hAnsi="Arial" w:cs="Arial" w:eastAsia="Arial" w:hint="default"/>
                <w:sz w:val="20"/>
                <w:szCs w:val="20"/>
              </w:rPr>
            </w:pPr>
            <w:r>
              <w:rPr>
                <w:rFonts w:ascii="Arial"/>
                <w:w w:val="100"/>
                <w:sz w:val="20"/>
              </w:rPr>
              <w:t>-</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5,000,000</w:t>
            </w:r>
          </w:p>
        </w:tc>
      </w:tr>
      <w:tr>
        <w:trPr>
          <w:trHeight w:val="262"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tabs>
                <w:tab w:pos="1583" w:val="left" w:leader="none"/>
              </w:tabs>
              <w:spacing w:line="241" w:lineRule="exact"/>
              <w:ind w:left="76" w:right="0"/>
              <w:jc w:val="left"/>
              <w:rPr>
                <w:rFonts w:ascii="Arial" w:hAnsi="Arial" w:cs="Arial" w:eastAsia="Arial" w:hint="default"/>
                <w:sz w:val="20"/>
                <w:szCs w:val="20"/>
              </w:rPr>
            </w:pPr>
            <w:r>
              <w:rPr>
                <w:rFonts w:ascii="黑体" w:hAnsi="黑体" w:cs="黑体" w:eastAsia="黑体" w:hint="default"/>
                <w:spacing w:val="-1"/>
                <w:sz w:val="20"/>
                <w:szCs w:val="20"/>
              </w:rPr>
              <w:t>软件著作权</w:t>
              <w:tab/>
            </w:r>
            <w:r>
              <w:rPr>
                <w:rFonts w:ascii="Arial" w:hAnsi="Arial" w:cs="Arial" w:eastAsia="Arial" w:hint="default"/>
                <w:spacing w:val="-1"/>
                <w:sz w:val="20"/>
                <w:szCs w:val="20"/>
              </w:rPr>
            </w:r>
            <w:r>
              <w:rPr>
                <w:rFonts w:ascii="Arial" w:hAnsi="Arial" w:cs="Arial" w:eastAsia="Arial" w:hint="default"/>
                <w:spacing w:val="-1"/>
                <w:sz w:val="20"/>
                <w:szCs w:val="20"/>
                <w:u w:val="single" w:color="000000"/>
              </w:rPr>
              <w:t> 21,876,468</w:t>
            </w:r>
            <w:r>
              <w:rPr>
                <w:rFonts w:ascii="Arial" w:hAnsi="Arial" w:cs="Arial" w:eastAsia="Arial" w:hint="default"/>
                <w:spacing w:val="-1"/>
                <w:sz w:val="20"/>
                <w:szCs w:val="20"/>
              </w:rPr>
            </w:r>
          </w:p>
        </w:tc>
        <w:tc>
          <w:tcPr>
            <w:tcW w:w="2885" w:type="dxa"/>
            <w:tcBorders>
              <w:top w:val="nil" w:sz="6" w:space="0" w:color="auto"/>
              <w:left w:val="nil" w:sz="6" w:space="0" w:color="auto"/>
              <w:bottom w:val="nil" w:sz="6" w:space="0" w:color="auto"/>
              <w:right w:val="nil" w:sz="6" w:space="0" w:color="auto"/>
            </w:tcBorders>
          </w:tcPr>
          <w:p>
            <w:pPr>
              <w:pStyle w:val="TableParagraph"/>
              <w:tabs>
                <w:tab w:pos="1303" w:val="left" w:leader="none"/>
              </w:tabs>
              <w:spacing w:line="240" w:lineRule="auto" w:before="8"/>
              <w:ind w:left="8" w:right="0"/>
              <w:jc w:val="left"/>
              <w:rPr>
                <w:rFonts w:ascii="Arial" w:hAnsi="Arial" w:cs="Arial" w:eastAsia="Arial" w:hint="default"/>
                <w:sz w:val="20"/>
                <w:szCs w:val="20"/>
              </w:rPr>
            </w:pPr>
            <w:r>
              <w:rPr>
                <w:rFonts w:ascii="Arial"/>
                <w:w w:val="100"/>
                <w:sz w:val="20"/>
              </w:rPr>
            </w:r>
            <w:r>
              <w:rPr>
                <w:rFonts w:ascii="Arial"/>
                <w:spacing w:val="-1"/>
                <w:sz w:val="20"/>
                <w:u w:val="single" w:color="000000"/>
              </w:rPr>
              <w:t>9,000,365</w:t>
            </w:r>
            <w:r>
              <w:rPr>
                <w:rFonts w:ascii="Arial"/>
                <w:spacing w:val="-1"/>
                <w:sz w:val="20"/>
              </w:rPr>
              <w:tab/>
            </w:r>
            <w:r>
              <w:rPr>
                <w:rFonts w:ascii="Arial"/>
                <w:sz w:val="20"/>
              </w:rPr>
              <w:t>( </w:t>
            </w:r>
            <w:r>
              <w:rPr>
                <w:rFonts w:ascii="Arial"/>
                <w:sz w:val="20"/>
                <w:u w:val="single" w:color="000000"/>
              </w:rPr>
              <w:t> </w:t>
            </w:r>
            <w:r>
              <w:rPr>
                <w:rFonts w:ascii="Arial"/>
                <w:spacing w:val="-1"/>
                <w:sz w:val="20"/>
                <w:u w:val="single" w:color="000000"/>
              </w:rPr>
              <w:t>4,459,114</w:t>
            </w:r>
            <w:r>
              <w:rPr>
                <w:rFonts w:ascii="Arial"/>
                <w:spacing w:val="-25"/>
                <w:sz w:val="20"/>
                <w:u w:val="single" w:color="000000"/>
              </w:rPr>
              <w:t> </w:t>
            </w:r>
            <w:r>
              <w:rPr>
                <w:rFonts w:ascii="Arial"/>
                <w:spacing w:val="-25"/>
                <w:sz w:val="20"/>
              </w:rPr>
            </w:r>
            <w:r>
              <w:rPr>
                <w:rFonts w:ascii="Arial"/>
                <w:sz w:val="20"/>
              </w:rPr>
              <w:t>)</w:t>
            </w:r>
          </w:p>
        </w:tc>
        <w:tc>
          <w:tcPr>
            <w:tcW w:w="1157"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17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26,417,719</w:t>
            </w:r>
            <w:r>
              <w:rPr>
                <w:rFonts w:ascii="Arial"/>
                <w:spacing w:val="-1"/>
                <w:sz w:val="20"/>
              </w:rPr>
            </w:r>
          </w:p>
        </w:tc>
      </w:tr>
      <w:tr>
        <w:trPr>
          <w:trHeight w:val="328" w:hRule="exact"/>
        </w:trPr>
        <w:tc>
          <w:tcPr>
            <w:tcW w:w="688" w:type="dxa"/>
            <w:tcBorders>
              <w:top w:val="nil" w:sz="6" w:space="0" w:color="auto"/>
              <w:left w:val="nil" w:sz="6" w:space="0" w:color="auto"/>
              <w:bottom w:val="nil" w:sz="6" w:space="0" w:color="auto"/>
              <w:right w:val="nil" w:sz="6" w:space="0" w:color="auto"/>
            </w:tcBorders>
          </w:tcPr>
          <w:p>
            <w:pP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73"/>
              <w:jc w:val="right"/>
              <w:rPr>
                <w:rFonts w:ascii="Arial" w:hAnsi="Arial" w:cs="Arial" w:eastAsia="Arial" w:hint="default"/>
                <w:sz w:val="20"/>
                <w:szCs w:val="20"/>
              </w:rPr>
            </w:pPr>
            <w:r>
              <w:rPr>
                <w:rFonts w:ascii="Arial"/>
                <w:w w:val="100"/>
                <w:sz w:val="20"/>
              </w:rPr>
            </w:r>
            <w:r>
              <w:rPr>
                <w:rFonts w:ascii="Arial"/>
                <w:spacing w:val="-1"/>
                <w:sz w:val="20"/>
                <w:u w:val="thick" w:color="000000"/>
              </w:rPr>
              <w:t>303,002,482</w:t>
            </w:r>
            <w:r>
              <w:rPr>
                <w:rFonts w:ascii="Arial"/>
                <w:spacing w:val="-1"/>
                <w:sz w:val="20"/>
              </w:rPr>
            </w:r>
          </w:p>
        </w:tc>
        <w:tc>
          <w:tcPr>
            <w:tcW w:w="2885" w:type="dxa"/>
            <w:tcBorders>
              <w:top w:val="nil" w:sz="6" w:space="0" w:color="auto"/>
              <w:left w:val="nil" w:sz="6" w:space="0" w:color="auto"/>
              <w:bottom w:val="nil" w:sz="6" w:space="0" w:color="auto"/>
              <w:right w:val="nil" w:sz="6" w:space="0" w:color="auto"/>
            </w:tcBorders>
          </w:tcPr>
          <w:p>
            <w:pPr>
              <w:pStyle w:val="TableParagraph"/>
              <w:tabs>
                <w:tab w:pos="1303" w:val="left" w:leader="none"/>
              </w:tabs>
              <w:spacing w:line="240" w:lineRule="auto" w:before="2"/>
              <w:ind w:left="8" w:right="0"/>
              <w:jc w:val="left"/>
              <w:rPr>
                <w:rFonts w:ascii="Arial" w:hAnsi="Arial" w:cs="Arial" w:eastAsia="Arial" w:hint="default"/>
                <w:sz w:val="20"/>
                <w:szCs w:val="20"/>
              </w:rPr>
            </w:pPr>
            <w:r>
              <w:rPr>
                <w:rFonts w:ascii="Arial"/>
                <w:w w:val="100"/>
                <w:sz w:val="20"/>
              </w:rPr>
            </w:r>
            <w:r>
              <w:rPr>
                <w:rFonts w:ascii="Arial"/>
                <w:spacing w:val="-1"/>
                <w:sz w:val="20"/>
                <w:u w:val="thick" w:color="000000"/>
              </w:rPr>
              <w:t>9,000,365</w:t>
            </w:r>
            <w:r>
              <w:rPr>
                <w:rFonts w:ascii="Arial"/>
                <w:spacing w:val="-1"/>
                <w:sz w:val="20"/>
              </w:rPr>
              <w:tab/>
            </w:r>
            <w:r>
              <w:rPr>
                <w:rFonts w:ascii="Arial"/>
                <w:sz w:val="20"/>
              </w:rPr>
              <w:t>( </w:t>
            </w:r>
            <w:r>
              <w:rPr>
                <w:rFonts w:ascii="Arial"/>
                <w:sz w:val="20"/>
                <w:u w:val="thick" w:color="000000"/>
              </w:rPr>
              <w:t> </w:t>
            </w:r>
            <w:r>
              <w:rPr>
                <w:rFonts w:ascii="Arial"/>
                <w:spacing w:val="-1"/>
                <w:sz w:val="20"/>
                <w:u w:val="thick" w:color="000000"/>
              </w:rPr>
              <w:t>4,250,215</w:t>
            </w:r>
            <w:r>
              <w:rPr>
                <w:rFonts w:ascii="Arial"/>
                <w:spacing w:val="-25"/>
                <w:sz w:val="20"/>
                <w:u w:val="thick" w:color="000000"/>
              </w:rPr>
              <w:t> </w:t>
            </w:r>
            <w:r>
              <w:rPr>
                <w:rFonts w:ascii="Arial"/>
                <w:spacing w:val="-25"/>
                <w:sz w:val="20"/>
              </w:rPr>
            </w:r>
            <w:r>
              <w:rPr>
                <w:rFonts w:ascii="Arial"/>
                <w:sz w:val="20"/>
              </w:rPr>
              <w:t>)</w:t>
            </w:r>
          </w:p>
        </w:tc>
        <w:tc>
          <w:tcPr>
            <w:tcW w:w="1157"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2"/>
              <w:ind w:right="179"/>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307,752,632</w:t>
            </w:r>
            <w:r>
              <w:rPr>
                <w:rFonts w:ascii="Arial"/>
                <w:spacing w:val="-1"/>
                <w:sz w:val="20"/>
              </w:rPr>
            </w:r>
          </w:p>
        </w:tc>
      </w:tr>
    </w:tbl>
    <w:p>
      <w:pPr>
        <w:spacing w:after="0" w:line="240" w:lineRule="auto"/>
        <w:jc w:val="right"/>
        <w:rPr>
          <w:rFonts w:ascii="Arial" w:hAnsi="Arial" w:cs="Arial" w:eastAsia="Arial" w:hint="default"/>
          <w:sz w:val="20"/>
          <w:szCs w:val="20"/>
        </w:rPr>
        <w:sectPr>
          <w:pgSz w:w="11910" w:h="16840"/>
          <w:pgMar w:header="958" w:footer="466" w:top="2560" w:bottom="660" w:left="156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7"/>
          <w:szCs w:val="27"/>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3"/>
        <w:rPr>
          <w:rFonts w:ascii="黑体" w:hAnsi="黑体" w:cs="黑体" w:eastAsia="黑体" w:hint="default"/>
          <w:b/>
          <w:bCs/>
          <w:sz w:val="25"/>
          <w:szCs w:val="25"/>
        </w:rPr>
      </w:pPr>
    </w:p>
    <w:p>
      <w:pPr>
        <w:tabs>
          <w:tab w:pos="865" w:val="left" w:leader="none"/>
        </w:tabs>
        <w:spacing w:before="0"/>
        <w:ind w:left="141" w:right="1058" w:firstLine="0"/>
        <w:jc w:val="left"/>
        <w:rPr>
          <w:rFonts w:ascii="黑体" w:hAnsi="黑体" w:cs="黑体" w:eastAsia="黑体" w:hint="default"/>
          <w:sz w:val="20"/>
          <w:szCs w:val="20"/>
        </w:rPr>
      </w:pPr>
      <w:r>
        <w:rPr>
          <w:rFonts w:ascii="Arial" w:hAnsi="Arial" w:cs="Arial" w:eastAsia="Arial" w:hint="default"/>
          <w:b/>
          <w:bCs/>
          <w:sz w:val="20"/>
          <w:szCs w:val="20"/>
        </w:rPr>
        <w:t>11</w:t>
      </w:r>
      <w:r>
        <w:rPr>
          <w:rFonts w:ascii="黑体" w:hAnsi="黑体" w:cs="黑体" w:eastAsia="黑体" w:hint="default"/>
          <w:b/>
          <w:bCs/>
          <w:sz w:val="20"/>
          <w:szCs w:val="20"/>
        </w:rPr>
        <w:t>．</w:t>
        <w:tab/>
        <w:t>无形资产（续）</w:t>
      </w:r>
      <w:r>
        <w:rPr>
          <w:rFonts w:ascii="黑体" w:hAnsi="黑体" w:cs="黑体" w:eastAsia="黑体" w:hint="default"/>
          <w:sz w:val="20"/>
          <w:szCs w:val="20"/>
        </w:rPr>
      </w:r>
    </w:p>
    <w:p>
      <w:pPr>
        <w:spacing w:line="240" w:lineRule="auto" w:before="13"/>
        <w:rPr>
          <w:rFonts w:ascii="黑体" w:hAnsi="黑体" w:cs="黑体" w:eastAsia="黑体" w:hint="default"/>
          <w:b/>
          <w:bCs/>
          <w:sz w:val="15"/>
          <w:szCs w:val="15"/>
        </w:rPr>
      </w:pPr>
    </w:p>
    <w:p>
      <w:pPr>
        <w:pStyle w:val="BodyText"/>
        <w:spacing w:line="240" w:lineRule="auto"/>
        <w:ind w:left="837" w:right="8822"/>
        <w:jc w:val="center"/>
      </w:pPr>
      <w:r>
        <w:rPr>
          <w:rFonts w:ascii="Arial" w:hAnsi="Arial" w:cs="Arial" w:eastAsia="Arial" w:hint="default"/>
        </w:rPr>
        <w:t>2008</w:t>
      </w:r>
      <w:r>
        <w:rPr/>
        <w:t>年</w:t>
      </w:r>
    </w:p>
    <w:p>
      <w:pPr>
        <w:spacing w:line="240" w:lineRule="auto" w:before="4"/>
        <w:rPr>
          <w:rFonts w:ascii="黑体" w:hAnsi="黑体" w:cs="黑体" w:eastAsia="黑体" w:hint="default"/>
          <w:sz w:val="23"/>
          <w:szCs w:val="23"/>
        </w:rPr>
      </w:pPr>
    </w:p>
    <w:tbl>
      <w:tblPr>
        <w:tblW w:w="0" w:type="auto"/>
        <w:jc w:val="left"/>
        <w:tblInd w:w="836" w:type="dxa"/>
        <w:tblLayout w:type="fixed"/>
        <w:tblCellMar>
          <w:top w:w="0" w:type="dxa"/>
          <w:left w:w="0" w:type="dxa"/>
          <w:bottom w:w="0" w:type="dxa"/>
          <w:right w:w="0" w:type="dxa"/>
        </w:tblCellMar>
        <w:tblLook w:val="01E0"/>
      </w:tblPr>
      <w:tblGrid>
        <w:gridCol w:w="1210"/>
        <w:gridCol w:w="1517"/>
        <w:gridCol w:w="3021"/>
        <w:gridCol w:w="1150"/>
        <w:gridCol w:w="1347"/>
      </w:tblGrid>
      <w:tr>
        <w:trPr>
          <w:trHeight w:val="337" w:hRule="exact"/>
        </w:trPr>
        <w:tc>
          <w:tcPr>
            <w:tcW w:w="1210" w:type="dxa"/>
            <w:vMerge w:val="restart"/>
            <w:tcBorders>
              <w:top w:val="nil" w:sz="6" w:space="0" w:color="auto"/>
              <w:left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29"/>
              <w:jc w:val="right"/>
              <w:rPr>
                <w:rFonts w:ascii="黑体" w:hAnsi="黑体" w:cs="黑体" w:eastAsia="黑体" w:hint="default"/>
                <w:sz w:val="20"/>
                <w:szCs w:val="20"/>
              </w:rPr>
            </w:pPr>
            <w:r>
              <w:rPr>
                <w:rFonts w:ascii="黑体" w:hAnsi="黑体" w:cs="黑体" w:eastAsia="黑体" w:hint="default"/>
                <w:sz w:val="20"/>
                <w:szCs w:val="20"/>
              </w:rPr>
              <w:t>年初数</w:t>
            </w:r>
          </w:p>
        </w:tc>
        <w:tc>
          <w:tcPr>
            <w:tcW w:w="3021"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left="850" w:right="0"/>
              <w:jc w:val="left"/>
              <w:rPr>
                <w:rFonts w:ascii="黑体" w:hAnsi="黑体" w:cs="黑体" w:eastAsia="黑体" w:hint="default"/>
                <w:sz w:val="20"/>
                <w:szCs w:val="20"/>
              </w:rPr>
            </w:pPr>
            <w:r>
              <w:rPr>
                <w:rFonts w:ascii="黑体" w:hAnsi="黑体" w:cs="黑体" w:eastAsia="黑体" w:hint="default"/>
                <w:sz w:val="20"/>
                <w:szCs w:val="20"/>
              </w:rPr>
              <w:t>本年增加</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6"/>
              <w:jc w:val="right"/>
              <w:rPr>
                <w:rFonts w:ascii="黑体" w:hAnsi="黑体" w:cs="黑体" w:eastAsia="黑体" w:hint="default"/>
                <w:sz w:val="20"/>
                <w:szCs w:val="20"/>
              </w:rPr>
            </w:pPr>
            <w:r>
              <w:rPr>
                <w:rFonts w:ascii="黑体" w:hAnsi="黑体" w:cs="黑体" w:eastAsia="黑体" w:hint="default"/>
                <w:sz w:val="20"/>
                <w:szCs w:val="20"/>
              </w:rPr>
              <w:t>本年减少</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5"/>
              <w:jc w:val="right"/>
              <w:rPr>
                <w:rFonts w:ascii="黑体" w:hAnsi="黑体" w:cs="黑体" w:eastAsia="黑体" w:hint="default"/>
                <w:sz w:val="20"/>
                <w:szCs w:val="20"/>
              </w:rPr>
            </w:pPr>
            <w:r>
              <w:rPr>
                <w:rFonts w:ascii="黑体" w:hAnsi="黑体" w:cs="黑体" w:eastAsia="黑体" w:hint="default"/>
                <w:sz w:val="20"/>
                <w:szCs w:val="20"/>
              </w:rPr>
              <w:t>年末数</w:t>
            </w:r>
          </w:p>
        </w:tc>
      </w:tr>
      <w:tr>
        <w:trPr>
          <w:trHeight w:val="389" w:hRule="exact"/>
        </w:trPr>
        <w:tc>
          <w:tcPr>
            <w:tcW w:w="1210" w:type="dxa"/>
            <w:vMerge/>
            <w:tcBorders>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
        </w:tc>
        <w:tc>
          <w:tcPr>
            <w:tcW w:w="3021" w:type="dxa"/>
            <w:tcBorders>
              <w:top w:val="single" w:sz="4" w:space="0" w:color="000000"/>
              <w:left w:val="nil" w:sz="6" w:space="0" w:color="auto"/>
              <w:bottom w:val="nil" w:sz="6" w:space="0" w:color="auto"/>
              <w:right w:val="nil" w:sz="6" w:space="0" w:color="auto"/>
            </w:tcBorders>
          </w:tcPr>
          <w:p>
            <w:pPr>
              <w:pStyle w:val="TableParagraph"/>
              <w:tabs>
                <w:tab w:pos="1700" w:val="left" w:leader="none"/>
              </w:tabs>
              <w:spacing w:line="227" w:lineRule="exact"/>
              <w:ind w:left="334" w:right="0"/>
              <w:jc w:val="left"/>
              <w:rPr>
                <w:rFonts w:ascii="黑体" w:hAnsi="黑体" w:cs="黑体" w:eastAsia="黑体" w:hint="default"/>
                <w:sz w:val="20"/>
                <w:szCs w:val="20"/>
              </w:rPr>
            </w:pPr>
            <w:r>
              <w:rPr>
                <w:rFonts w:ascii="黑体" w:hAnsi="黑体" w:cs="黑体" w:eastAsia="黑体" w:hint="default"/>
                <w:sz w:val="20"/>
                <w:szCs w:val="20"/>
              </w:rPr>
              <w:t>收购</w:t>
              <w:tab/>
              <w:t>其他</w:t>
            </w:r>
          </w:p>
        </w:tc>
        <w:tc>
          <w:tcPr>
            <w:tcW w:w="1150"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
        </w:tc>
      </w:tr>
      <w:tr>
        <w:trPr>
          <w:trHeight w:val="388"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96"/>
              <w:ind w:left="35" w:right="0"/>
              <w:jc w:val="left"/>
              <w:rPr>
                <w:rFonts w:ascii="黑体" w:hAnsi="黑体" w:cs="黑体" w:eastAsia="黑体" w:hint="default"/>
                <w:sz w:val="20"/>
                <w:szCs w:val="20"/>
              </w:rPr>
            </w:pPr>
            <w:r>
              <w:rPr>
                <w:rFonts w:ascii="黑体" w:hAnsi="黑体" w:cs="黑体" w:eastAsia="黑体" w:hint="default"/>
                <w:sz w:val="20"/>
                <w:szCs w:val="20"/>
              </w:rPr>
              <w:t>原价</w:t>
            </w:r>
          </w:p>
        </w:tc>
        <w:tc>
          <w:tcPr>
            <w:tcW w:w="1517" w:type="dxa"/>
            <w:tcBorders>
              <w:top w:val="nil" w:sz="6" w:space="0" w:color="auto"/>
              <w:left w:val="nil" w:sz="6" w:space="0" w:color="auto"/>
              <w:bottom w:val="nil" w:sz="6" w:space="0" w:color="auto"/>
              <w:right w:val="nil" w:sz="6" w:space="0" w:color="auto"/>
            </w:tcBorders>
          </w:tcPr>
          <w:p>
            <w:pPr/>
          </w:p>
        </w:tc>
        <w:tc>
          <w:tcPr>
            <w:tcW w:w="3021"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
        </w:tc>
      </w:tr>
      <w:tr>
        <w:trPr>
          <w:trHeight w:val="263"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30" w:lineRule="exact"/>
              <w:ind w:left="35" w:right="0"/>
              <w:jc w:val="left"/>
              <w:rPr>
                <w:rFonts w:ascii="黑体" w:hAnsi="黑体" w:cs="黑体" w:eastAsia="黑体" w:hint="default"/>
                <w:sz w:val="20"/>
                <w:szCs w:val="20"/>
              </w:rPr>
            </w:pPr>
            <w:r>
              <w:rPr>
                <w:rFonts w:ascii="黑体" w:hAnsi="黑体" w:cs="黑体" w:eastAsia="黑体" w:hint="default"/>
                <w:sz w:val="20"/>
                <w:szCs w:val="20"/>
              </w:rPr>
              <w:t>土地使用权</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28"/>
              <w:jc w:val="right"/>
              <w:rPr>
                <w:rFonts w:ascii="Arial" w:hAnsi="Arial" w:cs="Arial" w:eastAsia="Arial" w:hint="default"/>
                <w:sz w:val="20"/>
                <w:szCs w:val="20"/>
              </w:rPr>
            </w:pPr>
            <w:r>
              <w:rPr>
                <w:rFonts w:ascii="Arial"/>
                <w:spacing w:val="-1"/>
                <w:sz w:val="20"/>
              </w:rPr>
              <w:t>77,887,591</w:t>
            </w:r>
          </w:p>
        </w:tc>
        <w:tc>
          <w:tcPr>
            <w:tcW w:w="3021" w:type="dxa"/>
            <w:tcBorders>
              <w:top w:val="nil" w:sz="6" w:space="0" w:color="auto"/>
              <w:left w:val="nil" w:sz="6" w:space="0" w:color="auto"/>
              <w:bottom w:val="nil" w:sz="6" w:space="0" w:color="auto"/>
              <w:right w:val="nil" w:sz="6" w:space="0" w:color="auto"/>
            </w:tcBorders>
          </w:tcPr>
          <w:p>
            <w:pPr>
              <w:pStyle w:val="TableParagraph"/>
              <w:tabs>
                <w:tab w:pos="1387" w:val="left" w:leader="none"/>
              </w:tabs>
              <w:spacing w:line="240" w:lineRule="auto" w:before="12"/>
              <w:ind w:left="1000" w:right="0"/>
              <w:jc w:val="left"/>
              <w:rPr>
                <w:rFonts w:ascii="Arial" w:hAnsi="Arial" w:cs="Arial" w:eastAsia="Arial" w:hint="default"/>
                <w:sz w:val="20"/>
                <w:szCs w:val="20"/>
              </w:rPr>
            </w:pPr>
            <w:r>
              <w:rPr>
                <w:rFonts w:ascii="Arial"/>
                <w:sz w:val="20"/>
              </w:rPr>
              <w:t>-</w:t>
              <w:tab/>
              <w:t>209,794,872</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96"/>
              <w:jc w:val="right"/>
              <w:rPr>
                <w:rFonts w:ascii="Arial" w:hAnsi="Arial" w:cs="Arial" w:eastAsia="Arial" w:hint="default"/>
                <w:sz w:val="20"/>
                <w:szCs w:val="20"/>
              </w:rPr>
            </w:pPr>
            <w:r>
              <w:rPr>
                <w:rFonts w:ascii="Arial"/>
                <w:spacing w:val="-1"/>
                <w:sz w:val="20"/>
              </w:rPr>
              <w:t>2,349,420</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Arial" w:hAnsi="Arial" w:cs="Arial" w:eastAsia="Arial" w:hint="default"/>
                <w:sz w:val="20"/>
                <w:szCs w:val="20"/>
              </w:rPr>
            </w:pPr>
            <w:r>
              <w:rPr>
                <w:rFonts w:ascii="Arial"/>
                <w:spacing w:val="-1"/>
                <w:sz w:val="20"/>
              </w:rPr>
              <w:t>285,333,043</w:t>
            </w:r>
          </w:p>
        </w:tc>
      </w:tr>
      <w:tr>
        <w:trPr>
          <w:trHeight w:val="259"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软件使用权</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8"/>
              <w:jc w:val="right"/>
              <w:rPr>
                <w:rFonts w:ascii="Arial" w:hAnsi="Arial" w:cs="Arial" w:eastAsia="Arial" w:hint="default"/>
                <w:sz w:val="20"/>
                <w:szCs w:val="20"/>
              </w:rPr>
            </w:pPr>
            <w:r>
              <w:rPr>
                <w:rFonts w:ascii="Arial"/>
                <w:spacing w:val="-1"/>
                <w:sz w:val="20"/>
              </w:rPr>
              <w:t>20,000,000</w:t>
            </w:r>
          </w:p>
        </w:tc>
        <w:tc>
          <w:tcPr>
            <w:tcW w:w="3021" w:type="dxa"/>
            <w:tcBorders>
              <w:top w:val="nil" w:sz="6" w:space="0" w:color="auto"/>
              <w:left w:val="nil" w:sz="6" w:space="0" w:color="auto"/>
              <w:bottom w:val="nil" w:sz="6" w:space="0" w:color="auto"/>
              <w:right w:val="nil" w:sz="6" w:space="0" w:color="auto"/>
            </w:tcBorders>
          </w:tcPr>
          <w:p>
            <w:pPr>
              <w:pStyle w:val="TableParagraph"/>
              <w:tabs>
                <w:tab w:pos="2432" w:val="left" w:leader="none"/>
              </w:tabs>
              <w:spacing w:line="240" w:lineRule="auto" w:before="8"/>
              <w:ind w:left="1000" w:right="0"/>
              <w:jc w:val="left"/>
              <w:rPr>
                <w:rFonts w:ascii="Arial" w:hAnsi="Arial" w:cs="Arial" w:eastAsia="Arial" w:hint="default"/>
                <w:sz w:val="20"/>
                <w:szCs w:val="20"/>
              </w:rPr>
            </w:pPr>
            <w:r>
              <w:rPr>
                <w:rFonts w:ascii="Arial"/>
                <w:sz w:val="20"/>
              </w:rPr>
              <w:t>-</w:t>
              <w:tab/>
              <w:t>-</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7"/>
              <w:jc w:val="right"/>
              <w:rPr>
                <w:rFonts w:ascii="Arial" w:hAnsi="Arial" w:cs="Arial" w:eastAsia="Arial" w:hint="default"/>
                <w:sz w:val="20"/>
                <w:szCs w:val="20"/>
              </w:rPr>
            </w:pPr>
            <w:r>
              <w:rPr>
                <w:rFonts w:ascii="Arial"/>
                <w:w w:val="100"/>
                <w:sz w:val="20"/>
              </w:rPr>
              <w:t>-</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20,000,000</w:t>
            </w:r>
          </w:p>
        </w:tc>
      </w:tr>
      <w:tr>
        <w:trPr>
          <w:trHeight w:val="261"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软件著作权</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11,450,000</w:t>
            </w:r>
            <w:r>
              <w:rPr>
                <w:rFonts w:ascii="Arial"/>
                <w:spacing w:val="-1"/>
                <w:sz w:val="20"/>
              </w:rPr>
            </w:r>
          </w:p>
        </w:tc>
        <w:tc>
          <w:tcPr>
            <w:tcW w:w="3021" w:type="dxa"/>
            <w:tcBorders>
              <w:top w:val="nil" w:sz="6" w:space="0" w:color="auto"/>
              <w:left w:val="nil" w:sz="6" w:space="0" w:color="auto"/>
              <w:bottom w:val="nil" w:sz="6" w:space="0" w:color="auto"/>
              <w:right w:val="nil" w:sz="6" w:space="0" w:color="auto"/>
            </w:tcBorders>
          </w:tcPr>
          <w:p>
            <w:pPr>
              <w:pStyle w:val="TableParagraph"/>
              <w:tabs>
                <w:tab w:pos="1393" w:val="left" w:leader="none"/>
                <w:tab w:pos="2432" w:val="left" w:leader="none"/>
              </w:tabs>
              <w:spacing w:line="240" w:lineRule="auto" w:before="8"/>
              <w:ind w:left="66" w:right="0"/>
              <w:jc w:val="left"/>
              <w:rPr>
                <w:rFonts w:ascii="Arial" w:hAnsi="Arial" w:cs="Arial" w:eastAsia="Arial" w:hint="default"/>
                <w:sz w:val="20"/>
                <w:szCs w:val="20"/>
              </w:rPr>
            </w:pPr>
            <w:r>
              <w:rPr>
                <w:rFonts w:ascii="Arial"/>
                <w:w w:val="100"/>
                <w:sz w:val="20"/>
              </w:rPr>
            </w:r>
            <w:r>
              <w:rPr>
                <w:rFonts w:ascii="Arial"/>
                <w:spacing w:val="-1"/>
                <w:sz w:val="20"/>
                <w:u w:val="single" w:color="000000"/>
              </w:rPr>
              <w:t>16,967,300</w:t>
            </w:r>
            <w:r>
              <w:rPr>
                <w:rFonts w:ascii="Arial"/>
                <w:spacing w:val="-1"/>
                <w:sz w:val="20"/>
              </w:rPr>
              <w:tab/>
            </w:r>
            <w:r>
              <w:rPr>
                <w:rFonts w:ascii="Arial"/>
                <w:spacing w:val="-1"/>
                <w:sz w:val="20"/>
                <w:u w:val="single" w:color="000000"/>
              </w:rPr>
              <w:t> </w:t>
              <w:tab/>
            </w:r>
            <w:r>
              <w:rPr>
                <w:rFonts w:ascii="Arial"/>
                <w:sz w:val="20"/>
                <w:u w:val="single" w:color="000000"/>
              </w:rPr>
              <w:t>-</w:t>
            </w:r>
            <w:r>
              <w:rPr>
                <w:rFonts w:ascii="Arial"/>
                <w:sz w:val="20"/>
              </w:rPr>
            </w:r>
          </w:p>
        </w:tc>
        <w:tc>
          <w:tcPr>
            <w:tcW w:w="1150"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19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28,417,300</w:t>
            </w:r>
            <w:r>
              <w:rPr>
                <w:rFonts w:ascii="Arial"/>
                <w:spacing w:val="-1"/>
                <w:sz w:val="20"/>
              </w:rPr>
            </w:r>
          </w:p>
        </w:tc>
      </w:tr>
      <w:tr>
        <w:trPr>
          <w:trHeight w:val="381" w:hRule="exact"/>
        </w:trPr>
        <w:tc>
          <w:tcPr>
            <w:tcW w:w="1210"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27"/>
              <w:jc w:val="right"/>
              <w:rPr>
                <w:rFonts w:ascii="Arial" w:hAnsi="Arial" w:cs="Arial" w:eastAsia="Arial" w:hint="default"/>
                <w:sz w:val="20"/>
                <w:szCs w:val="20"/>
              </w:rPr>
            </w:pPr>
            <w:r>
              <w:rPr>
                <w:rFonts w:ascii="Arial"/>
                <w:w w:val="100"/>
                <w:sz w:val="20"/>
              </w:rPr>
            </w:r>
            <w:r>
              <w:rPr>
                <w:rFonts w:ascii="Arial"/>
                <w:spacing w:val="-1"/>
                <w:sz w:val="20"/>
                <w:u w:val="thick" w:color="000000"/>
              </w:rPr>
              <w:t>109,337,591</w:t>
            </w:r>
            <w:r>
              <w:rPr>
                <w:rFonts w:ascii="Arial"/>
                <w:spacing w:val="-1"/>
                <w:sz w:val="20"/>
              </w:rPr>
            </w:r>
          </w:p>
        </w:tc>
        <w:tc>
          <w:tcPr>
            <w:tcW w:w="3021" w:type="dxa"/>
            <w:tcBorders>
              <w:top w:val="nil" w:sz="6" w:space="0" w:color="auto"/>
              <w:left w:val="nil" w:sz="6" w:space="0" w:color="auto"/>
              <w:bottom w:val="nil" w:sz="6" w:space="0" w:color="auto"/>
              <w:right w:val="nil" w:sz="6" w:space="0" w:color="auto"/>
            </w:tcBorders>
          </w:tcPr>
          <w:p>
            <w:pPr>
              <w:pStyle w:val="TableParagraph"/>
              <w:tabs>
                <w:tab w:pos="1387" w:val="left" w:leader="none"/>
              </w:tabs>
              <w:spacing w:line="240" w:lineRule="auto" w:before="2"/>
              <w:ind w:left="66" w:right="0"/>
              <w:jc w:val="left"/>
              <w:rPr>
                <w:rFonts w:ascii="Arial" w:hAnsi="Arial" w:cs="Arial" w:eastAsia="Arial" w:hint="default"/>
                <w:sz w:val="20"/>
                <w:szCs w:val="20"/>
              </w:rPr>
            </w:pPr>
            <w:r>
              <w:rPr>
                <w:rFonts w:ascii="Arial"/>
                <w:w w:val="100"/>
                <w:sz w:val="20"/>
              </w:rPr>
            </w:r>
            <w:r>
              <w:rPr>
                <w:rFonts w:ascii="Arial"/>
                <w:spacing w:val="-1"/>
                <w:sz w:val="20"/>
                <w:u w:val="thick" w:color="000000"/>
              </w:rPr>
              <w:t>16,967,300</w:t>
            </w:r>
            <w:r>
              <w:rPr>
                <w:rFonts w:ascii="Arial"/>
                <w:spacing w:val="-1"/>
                <w:sz w:val="20"/>
              </w:rPr>
              <w:tab/>
            </w:r>
            <w:r>
              <w:rPr>
                <w:rFonts w:ascii="Arial"/>
                <w:spacing w:val="-1"/>
                <w:sz w:val="20"/>
                <w:u w:val="thick" w:color="000000"/>
              </w:rPr>
              <w:t>209,794,872</w:t>
            </w:r>
            <w:r>
              <w:rPr>
                <w:rFonts w:ascii="Arial"/>
                <w:spacing w:val="-1"/>
                <w:sz w:val="20"/>
              </w:rPr>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96"/>
              <w:jc w:val="right"/>
              <w:rPr>
                <w:rFonts w:ascii="Arial" w:hAnsi="Arial" w:cs="Arial" w:eastAsia="Arial" w:hint="default"/>
                <w:sz w:val="20"/>
                <w:szCs w:val="20"/>
              </w:rPr>
            </w:pPr>
            <w:r>
              <w:rPr>
                <w:rFonts w:ascii="Arial"/>
                <w:w w:val="100"/>
                <w:sz w:val="20"/>
              </w:rPr>
            </w:r>
            <w:r>
              <w:rPr>
                <w:rFonts w:ascii="Arial"/>
                <w:spacing w:val="-1"/>
                <w:sz w:val="20"/>
                <w:u w:val="thick" w:color="000000"/>
              </w:rPr>
              <w:t>2,349,420</w:t>
            </w:r>
            <w:r>
              <w:rPr>
                <w:rFonts w:ascii="Arial"/>
                <w:spacing w:val="-1"/>
                <w:sz w:val="20"/>
              </w:rPr>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333,750,343</w:t>
            </w:r>
            <w:r>
              <w:rPr>
                <w:rFonts w:ascii="Arial"/>
                <w:spacing w:val="-1"/>
                <w:sz w:val="20"/>
              </w:rPr>
            </w:r>
          </w:p>
        </w:tc>
      </w:tr>
      <w:tr>
        <w:trPr>
          <w:trHeight w:val="383"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黑体" w:hAnsi="黑体" w:cs="黑体" w:eastAsia="黑体" w:hint="default"/>
                <w:sz w:val="20"/>
                <w:szCs w:val="20"/>
              </w:rPr>
            </w:pPr>
            <w:r>
              <w:rPr>
                <w:rFonts w:ascii="黑体" w:hAnsi="黑体" w:cs="黑体" w:eastAsia="黑体" w:hint="default"/>
                <w:sz w:val="20"/>
                <w:szCs w:val="20"/>
              </w:rPr>
              <w:t>累计摊销</w:t>
            </w:r>
          </w:p>
        </w:tc>
        <w:tc>
          <w:tcPr>
            <w:tcW w:w="1517" w:type="dxa"/>
            <w:tcBorders>
              <w:top w:val="nil" w:sz="6" w:space="0" w:color="auto"/>
              <w:left w:val="nil" w:sz="6" w:space="0" w:color="auto"/>
              <w:bottom w:val="nil" w:sz="6" w:space="0" w:color="auto"/>
              <w:right w:val="nil" w:sz="6" w:space="0" w:color="auto"/>
            </w:tcBorders>
          </w:tcPr>
          <w:p>
            <w:pPr/>
          </w:p>
        </w:tc>
        <w:tc>
          <w:tcPr>
            <w:tcW w:w="3021"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
        </w:tc>
      </w:tr>
      <w:tr>
        <w:trPr>
          <w:trHeight w:val="263"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30" w:lineRule="exact"/>
              <w:ind w:left="35" w:right="0"/>
              <w:jc w:val="left"/>
              <w:rPr>
                <w:rFonts w:ascii="黑体" w:hAnsi="黑体" w:cs="黑体" w:eastAsia="黑体" w:hint="default"/>
                <w:sz w:val="20"/>
                <w:szCs w:val="20"/>
              </w:rPr>
            </w:pPr>
            <w:r>
              <w:rPr>
                <w:rFonts w:ascii="黑体" w:hAnsi="黑体" w:cs="黑体" w:eastAsia="黑体" w:hint="default"/>
                <w:sz w:val="20"/>
                <w:szCs w:val="20"/>
              </w:rPr>
              <w:t>土地使用权</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28"/>
              <w:jc w:val="right"/>
              <w:rPr>
                <w:rFonts w:ascii="Arial" w:hAnsi="Arial" w:cs="Arial" w:eastAsia="Arial" w:hint="default"/>
                <w:sz w:val="20"/>
                <w:szCs w:val="20"/>
              </w:rPr>
            </w:pPr>
            <w:r>
              <w:rPr>
                <w:rFonts w:ascii="Arial"/>
                <w:spacing w:val="-1"/>
                <w:sz w:val="20"/>
              </w:rPr>
              <w:t>738,199</w:t>
            </w:r>
          </w:p>
        </w:tc>
        <w:tc>
          <w:tcPr>
            <w:tcW w:w="3021" w:type="dxa"/>
            <w:tcBorders>
              <w:top w:val="nil" w:sz="6" w:space="0" w:color="auto"/>
              <w:left w:val="nil" w:sz="6" w:space="0" w:color="auto"/>
              <w:bottom w:val="nil" w:sz="6" w:space="0" w:color="auto"/>
              <w:right w:val="nil" w:sz="6" w:space="0" w:color="auto"/>
            </w:tcBorders>
          </w:tcPr>
          <w:p>
            <w:pPr>
              <w:pStyle w:val="TableParagraph"/>
              <w:tabs>
                <w:tab w:pos="1497" w:val="left" w:leader="none"/>
              </w:tabs>
              <w:spacing w:line="240" w:lineRule="auto" w:before="11"/>
              <w:ind w:left="1000" w:right="0"/>
              <w:jc w:val="left"/>
              <w:rPr>
                <w:rFonts w:ascii="Arial" w:hAnsi="Arial" w:cs="Arial" w:eastAsia="Arial" w:hint="default"/>
                <w:sz w:val="20"/>
                <w:szCs w:val="20"/>
              </w:rPr>
            </w:pPr>
            <w:r>
              <w:rPr>
                <w:rFonts w:ascii="Arial"/>
                <w:sz w:val="20"/>
              </w:rPr>
              <w:t>-</w:t>
              <w:tab/>
              <w:t>11,067,932</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96"/>
              <w:jc w:val="right"/>
              <w:rPr>
                <w:rFonts w:ascii="Arial" w:hAnsi="Arial" w:cs="Arial" w:eastAsia="Arial" w:hint="default"/>
                <w:sz w:val="20"/>
                <w:szCs w:val="20"/>
              </w:rPr>
            </w:pPr>
            <w:r>
              <w:rPr>
                <w:rFonts w:ascii="Arial"/>
                <w:spacing w:val="-1"/>
                <w:sz w:val="20"/>
              </w:rPr>
              <w:t>599,102</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Arial" w:hAnsi="Arial" w:cs="Arial" w:eastAsia="Arial" w:hint="default"/>
                <w:sz w:val="20"/>
                <w:szCs w:val="20"/>
              </w:rPr>
            </w:pPr>
            <w:r>
              <w:rPr>
                <w:rFonts w:ascii="Arial"/>
                <w:spacing w:val="-1"/>
                <w:sz w:val="20"/>
              </w:rPr>
              <w:t>11,207,029</w:t>
            </w:r>
          </w:p>
        </w:tc>
      </w:tr>
      <w:tr>
        <w:trPr>
          <w:trHeight w:val="259"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软件使用权</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8"/>
              <w:jc w:val="right"/>
              <w:rPr>
                <w:rFonts w:ascii="Arial" w:hAnsi="Arial" w:cs="Arial" w:eastAsia="Arial" w:hint="default"/>
                <w:sz w:val="20"/>
                <w:szCs w:val="20"/>
              </w:rPr>
            </w:pPr>
            <w:r>
              <w:rPr>
                <w:rFonts w:ascii="Arial"/>
                <w:spacing w:val="-2"/>
                <w:sz w:val="20"/>
              </w:rPr>
              <w:t>11,000,000</w:t>
            </w:r>
            <w:r>
              <w:rPr>
                <w:rFonts w:ascii="Arial"/>
                <w:sz w:val="20"/>
              </w:rPr>
            </w:r>
          </w:p>
        </w:tc>
        <w:tc>
          <w:tcPr>
            <w:tcW w:w="3021" w:type="dxa"/>
            <w:tcBorders>
              <w:top w:val="nil" w:sz="6" w:space="0" w:color="auto"/>
              <w:left w:val="nil" w:sz="6" w:space="0" w:color="auto"/>
              <w:bottom w:val="nil" w:sz="6" w:space="0" w:color="auto"/>
              <w:right w:val="nil" w:sz="6" w:space="0" w:color="auto"/>
            </w:tcBorders>
          </w:tcPr>
          <w:p>
            <w:pPr>
              <w:pStyle w:val="TableParagraph"/>
              <w:tabs>
                <w:tab w:pos="1608" w:val="left" w:leader="none"/>
              </w:tabs>
              <w:spacing w:line="240" w:lineRule="auto" w:before="8"/>
              <w:ind w:left="1000" w:right="0"/>
              <w:jc w:val="left"/>
              <w:rPr>
                <w:rFonts w:ascii="Arial" w:hAnsi="Arial" w:cs="Arial" w:eastAsia="Arial" w:hint="default"/>
                <w:sz w:val="20"/>
                <w:szCs w:val="20"/>
              </w:rPr>
            </w:pPr>
            <w:r>
              <w:rPr>
                <w:rFonts w:ascii="Arial"/>
                <w:sz w:val="20"/>
              </w:rPr>
              <w:t>-</w:t>
              <w:tab/>
              <w:t>2,000,000</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7"/>
              <w:jc w:val="right"/>
              <w:rPr>
                <w:rFonts w:ascii="Arial" w:hAnsi="Arial" w:cs="Arial" w:eastAsia="Arial" w:hint="default"/>
                <w:sz w:val="20"/>
                <w:szCs w:val="20"/>
              </w:rPr>
            </w:pPr>
            <w:r>
              <w:rPr>
                <w:rFonts w:ascii="Arial"/>
                <w:w w:val="100"/>
                <w:sz w:val="20"/>
              </w:rPr>
              <w:t>-</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13,000,000</w:t>
            </w:r>
          </w:p>
        </w:tc>
      </w:tr>
      <w:tr>
        <w:trPr>
          <w:trHeight w:val="260"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软件著作权</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5,175,833</w:t>
            </w:r>
            <w:r>
              <w:rPr>
                <w:rFonts w:ascii="Arial"/>
                <w:sz w:val="20"/>
              </w:rPr>
            </w:r>
          </w:p>
        </w:tc>
        <w:tc>
          <w:tcPr>
            <w:tcW w:w="3021" w:type="dxa"/>
            <w:tcBorders>
              <w:top w:val="nil" w:sz="6" w:space="0" w:color="auto"/>
              <w:left w:val="nil" w:sz="6" w:space="0" w:color="auto"/>
              <w:bottom w:val="nil" w:sz="6" w:space="0" w:color="auto"/>
              <w:right w:val="nil" w:sz="6" w:space="0" w:color="auto"/>
            </w:tcBorders>
          </w:tcPr>
          <w:p>
            <w:pPr>
              <w:pStyle w:val="TableParagraph"/>
              <w:tabs>
                <w:tab w:pos="1001" w:val="left" w:leader="none"/>
                <w:tab w:pos="1409" w:val="left" w:leader="none"/>
              </w:tabs>
              <w:spacing w:line="240" w:lineRule="auto" w:before="8"/>
              <w:ind w:left="102"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tab/>
            </w:r>
            <w:r>
              <w:rPr>
                <w:rFonts w:ascii="Arial"/>
                <w:sz w:val="20"/>
                <w:u w:val="single" w:color="000000"/>
              </w:rPr>
              <w:t> 1,364,999</w:t>
            </w:r>
            <w:r>
              <w:rPr>
                <w:rFonts w:ascii="Arial"/>
                <w:sz w:val="20"/>
              </w:rPr>
            </w:r>
          </w:p>
        </w:tc>
        <w:tc>
          <w:tcPr>
            <w:tcW w:w="1150"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19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6,540,832</w:t>
            </w:r>
            <w:r>
              <w:rPr>
                <w:rFonts w:ascii="Arial"/>
                <w:sz w:val="20"/>
              </w:rPr>
            </w:r>
          </w:p>
        </w:tc>
      </w:tr>
      <w:tr>
        <w:trPr>
          <w:trHeight w:val="388" w:hRule="exact"/>
        </w:trPr>
        <w:tc>
          <w:tcPr>
            <w:tcW w:w="1210"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7"/>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pacing w:val="-1"/>
                <w:sz w:val="20"/>
                <w:u w:val="thick" w:color="000000"/>
              </w:rPr>
              <w:t>16,914,032</w:t>
            </w:r>
            <w:r>
              <w:rPr>
                <w:rFonts w:ascii="Arial"/>
                <w:spacing w:val="-1"/>
                <w:sz w:val="20"/>
              </w:rPr>
            </w:r>
          </w:p>
        </w:tc>
        <w:tc>
          <w:tcPr>
            <w:tcW w:w="3021" w:type="dxa"/>
            <w:tcBorders>
              <w:top w:val="nil" w:sz="6" w:space="0" w:color="auto"/>
              <w:left w:val="nil" w:sz="6" w:space="0" w:color="auto"/>
              <w:bottom w:val="nil" w:sz="6" w:space="0" w:color="auto"/>
              <w:right w:val="nil" w:sz="6" w:space="0" w:color="auto"/>
            </w:tcBorders>
          </w:tcPr>
          <w:p>
            <w:pPr>
              <w:pStyle w:val="TableParagraph"/>
              <w:tabs>
                <w:tab w:pos="1001" w:val="left" w:leader="none"/>
                <w:tab w:pos="1399" w:val="left" w:leader="none"/>
              </w:tabs>
              <w:spacing w:line="241" w:lineRule="exact"/>
              <w:ind w:left="102" w:right="0"/>
              <w:jc w:val="left"/>
              <w:rPr>
                <w:rFonts w:ascii="Arial" w:hAnsi="Arial" w:cs="Arial" w:eastAsia="Arial" w:hint="default"/>
                <w:sz w:val="20"/>
                <w:szCs w:val="20"/>
              </w:rPr>
            </w:pPr>
            <w:r>
              <w:rPr>
                <w:rFonts w:ascii="Arial" w:hAnsi="Arial" w:cs="Arial" w:eastAsia="Arial" w:hint="default"/>
                <w:w w:val="100"/>
                <w:sz w:val="20"/>
                <w:szCs w:val="20"/>
              </w:rPr>
            </w:r>
            <w:r>
              <w:rPr>
                <w:rFonts w:ascii="Arial" w:hAnsi="Arial" w:cs="Arial" w:eastAsia="Arial" w:hint="default"/>
                <w:w w:val="100"/>
                <w:sz w:val="20"/>
                <w:szCs w:val="20"/>
                <w:u w:val="thick" w:color="000000"/>
              </w:rPr>
              <w:t> </w:t>
            </w:r>
            <w:r>
              <w:rPr>
                <w:rFonts w:ascii="Arial" w:hAnsi="Arial" w:cs="Arial" w:eastAsia="Arial" w:hint="default"/>
                <w:sz w:val="20"/>
                <w:szCs w:val="20"/>
                <w:u w:val="thick" w:color="000000"/>
              </w:rPr>
              <w:tab/>
              <w:t>-</w:t>
            </w:r>
            <w:r>
              <w:rPr>
                <w:rFonts w:ascii="Arial" w:hAnsi="Arial" w:cs="Arial" w:eastAsia="Arial" w:hint="default"/>
                <w:sz w:val="20"/>
                <w:szCs w:val="20"/>
              </w:rPr>
              <w:tab/>
            </w:r>
            <w:r>
              <w:rPr>
                <w:rFonts w:ascii="Arial" w:hAnsi="Arial" w:cs="Arial" w:eastAsia="Arial" w:hint="default"/>
                <w:sz w:val="20"/>
                <w:szCs w:val="20"/>
                <w:u w:val="thick" w:color="000000"/>
              </w:rPr>
              <w:t> 14,432,931</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6"/>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7"/>
                <w:sz w:val="20"/>
                <w:u w:val="thick" w:color="000000"/>
              </w:rPr>
              <w:t> </w:t>
            </w:r>
            <w:r>
              <w:rPr>
                <w:rFonts w:ascii="Arial"/>
                <w:spacing w:val="-1"/>
                <w:sz w:val="20"/>
                <w:u w:val="thick" w:color="000000"/>
              </w:rPr>
              <w:t>599,102</w:t>
            </w:r>
            <w:r>
              <w:rPr>
                <w:rFonts w:ascii="Arial"/>
                <w:spacing w:val="-1"/>
                <w:sz w:val="20"/>
              </w:rPr>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pacing w:val="-1"/>
                <w:sz w:val="20"/>
                <w:u w:val="thick" w:color="000000"/>
              </w:rPr>
              <w:t>30,747,861</w:t>
            </w:r>
            <w:r>
              <w:rPr>
                <w:rFonts w:ascii="Arial"/>
                <w:spacing w:val="-1"/>
                <w:sz w:val="20"/>
              </w:rPr>
            </w:r>
          </w:p>
        </w:tc>
      </w:tr>
      <w:tr>
        <w:trPr>
          <w:trHeight w:val="382"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黑体" w:hAnsi="黑体" w:cs="黑体" w:eastAsia="黑体" w:hint="default"/>
                <w:sz w:val="20"/>
                <w:szCs w:val="20"/>
              </w:rPr>
            </w:pPr>
            <w:r>
              <w:rPr>
                <w:rFonts w:ascii="黑体" w:hAnsi="黑体" w:cs="黑体" w:eastAsia="黑体" w:hint="default"/>
                <w:sz w:val="20"/>
                <w:szCs w:val="20"/>
              </w:rPr>
              <w:t>账面净值</w:t>
            </w:r>
          </w:p>
        </w:tc>
        <w:tc>
          <w:tcPr>
            <w:tcW w:w="1517" w:type="dxa"/>
            <w:tcBorders>
              <w:top w:val="nil" w:sz="6" w:space="0" w:color="auto"/>
              <w:left w:val="nil" w:sz="6" w:space="0" w:color="auto"/>
              <w:bottom w:val="nil" w:sz="6" w:space="0" w:color="auto"/>
              <w:right w:val="nil" w:sz="6" w:space="0" w:color="auto"/>
            </w:tcBorders>
          </w:tcPr>
          <w:p>
            <w:pPr/>
          </w:p>
        </w:tc>
        <w:tc>
          <w:tcPr>
            <w:tcW w:w="3021"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
        </w:tc>
      </w:tr>
      <w:tr>
        <w:trPr>
          <w:trHeight w:val="263"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30" w:lineRule="exact"/>
              <w:ind w:left="35" w:right="0"/>
              <w:jc w:val="left"/>
              <w:rPr>
                <w:rFonts w:ascii="黑体" w:hAnsi="黑体" w:cs="黑体" w:eastAsia="黑体" w:hint="default"/>
                <w:sz w:val="20"/>
                <w:szCs w:val="20"/>
              </w:rPr>
            </w:pPr>
            <w:r>
              <w:rPr>
                <w:rFonts w:ascii="黑体" w:hAnsi="黑体" w:cs="黑体" w:eastAsia="黑体" w:hint="default"/>
                <w:sz w:val="20"/>
                <w:szCs w:val="20"/>
              </w:rPr>
              <w:t>土地使用权</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28"/>
              <w:jc w:val="right"/>
              <w:rPr>
                <w:rFonts w:ascii="Arial" w:hAnsi="Arial" w:cs="Arial" w:eastAsia="Arial" w:hint="default"/>
                <w:sz w:val="20"/>
                <w:szCs w:val="20"/>
              </w:rPr>
            </w:pPr>
            <w:r>
              <w:rPr>
                <w:rFonts w:ascii="Arial"/>
                <w:spacing w:val="-1"/>
                <w:sz w:val="20"/>
              </w:rPr>
              <w:t>77,149,392</w:t>
            </w:r>
          </w:p>
        </w:tc>
        <w:tc>
          <w:tcPr>
            <w:tcW w:w="3021" w:type="dxa"/>
            <w:tcBorders>
              <w:top w:val="nil" w:sz="6" w:space="0" w:color="auto"/>
              <w:left w:val="nil" w:sz="6" w:space="0" w:color="auto"/>
              <w:bottom w:val="nil" w:sz="6" w:space="0" w:color="auto"/>
              <w:right w:val="nil" w:sz="6" w:space="0" w:color="auto"/>
            </w:tcBorders>
          </w:tcPr>
          <w:p>
            <w:pPr>
              <w:pStyle w:val="TableParagraph"/>
              <w:tabs>
                <w:tab w:pos="1387" w:val="left" w:leader="none"/>
              </w:tabs>
              <w:spacing w:line="240" w:lineRule="auto" w:before="11"/>
              <w:ind w:left="1000" w:right="0"/>
              <w:jc w:val="left"/>
              <w:rPr>
                <w:rFonts w:ascii="Arial" w:hAnsi="Arial" w:cs="Arial" w:eastAsia="Arial" w:hint="default"/>
                <w:sz w:val="20"/>
                <w:szCs w:val="20"/>
              </w:rPr>
            </w:pPr>
            <w:r>
              <w:rPr>
                <w:rFonts w:ascii="Arial"/>
                <w:sz w:val="20"/>
              </w:rPr>
              <w:t>-</w:t>
              <w:tab/>
              <w:t>198,726,940</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96"/>
              <w:jc w:val="right"/>
              <w:rPr>
                <w:rFonts w:ascii="Arial" w:hAnsi="Arial" w:cs="Arial" w:eastAsia="Arial" w:hint="default"/>
                <w:sz w:val="20"/>
                <w:szCs w:val="20"/>
              </w:rPr>
            </w:pPr>
            <w:r>
              <w:rPr>
                <w:rFonts w:ascii="Arial"/>
                <w:spacing w:val="-1"/>
                <w:sz w:val="20"/>
              </w:rPr>
              <w:t>1,750,318</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Arial" w:hAnsi="Arial" w:cs="Arial" w:eastAsia="Arial" w:hint="default"/>
                <w:sz w:val="20"/>
                <w:szCs w:val="20"/>
              </w:rPr>
            </w:pPr>
            <w:r>
              <w:rPr>
                <w:rFonts w:ascii="Arial"/>
                <w:spacing w:val="-1"/>
                <w:sz w:val="20"/>
              </w:rPr>
              <w:t>274,126,014</w:t>
            </w:r>
          </w:p>
        </w:tc>
      </w:tr>
      <w:tr>
        <w:trPr>
          <w:trHeight w:val="260"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27" w:lineRule="exact"/>
              <w:ind w:left="35" w:right="0"/>
              <w:jc w:val="left"/>
              <w:rPr>
                <w:rFonts w:ascii="黑体" w:hAnsi="黑体" w:cs="黑体" w:eastAsia="黑体" w:hint="default"/>
                <w:sz w:val="20"/>
                <w:szCs w:val="20"/>
              </w:rPr>
            </w:pPr>
            <w:r>
              <w:rPr>
                <w:rFonts w:ascii="黑体" w:hAnsi="黑体" w:cs="黑体" w:eastAsia="黑体" w:hint="default"/>
                <w:sz w:val="20"/>
                <w:szCs w:val="20"/>
              </w:rPr>
              <w:t>软件使用权</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8"/>
              <w:jc w:val="right"/>
              <w:rPr>
                <w:rFonts w:ascii="Arial" w:hAnsi="Arial" w:cs="Arial" w:eastAsia="Arial" w:hint="default"/>
                <w:sz w:val="20"/>
                <w:szCs w:val="20"/>
              </w:rPr>
            </w:pPr>
            <w:r>
              <w:rPr>
                <w:rFonts w:ascii="Arial"/>
                <w:spacing w:val="-1"/>
                <w:sz w:val="20"/>
              </w:rPr>
              <w:t>9,000,000</w:t>
            </w:r>
          </w:p>
        </w:tc>
        <w:tc>
          <w:tcPr>
            <w:tcW w:w="3021" w:type="dxa"/>
            <w:tcBorders>
              <w:top w:val="nil" w:sz="6" w:space="0" w:color="auto"/>
              <w:left w:val="nil" w:sz="6" w:space="0" w:color="auto"/>
              <w:bottom w:val="nil" w:sz="6" w:space="0" w:color="auto"/>
              <w:right w:val="nil" w:sz="6" w:space="0" w:color="auto"/>
            </w:tcBorders>
          </w:tcPr>
          <w:p>
            <w:pPr>
              <w:pStyle w:val="TableParagraph"/>
              <w:tabs>
                <w:tab w:pos="1343" w:val="left" w:leader="none"/>
              </w:tabs>
              <w:spacing w:line="240" w:lineRule="auto" w:before="8"/>
              <w:ind w:left="1001" w:right="0"/>
              <w:jc w:val="left"/>
              <w:rPr>
                <w:rFonts w:ascii="Arial" w:hAnsi="Arial" w:cs="Arial" w:eastAsia="Arial" w:hint="default"/>
                <w:sz w:val="20"/>
                <w:szCs w:val="20"/>
              </w:rPr>
            </w:pPr>
            <w:r>
              <w:rPr>
                <w:rFonts w:ascii="Arial"/>
                <w:sz w:val="20"/>
              </w:rPr>
              <w:t>-</w:t>
              <w:tab/>
              <w:t>(  </w:t>
            </w:r>
            <w:r>
              <w:rPr>
                <w:rFonts w:ascii="Arial"/>
                <w:spacing w:val="49"/>
                <w:sz w:val="20"/>
              </w:rPr>
              <w:t> </w:t>
            </w:r>
            <w:r>
              <w:rPr>
                <w:rFonts w:ascii="Arial"/>
                <w:sz w:val="20"/>
              </w:rPr>
              <w:t>2,000,000)</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6"/>
              <w:jc w:val="right"/>
              <w:rPr>
                <w:rFonts w:ascii="Arial" w:hAnsi="Arial" w:cs="Arial" w:eastAsia="Arial" w:hint="default"/>
                <w:sz w:val="20"/>
                <w:szCs w:val="20"/>
              </w:rPr>
            </w:pPr>
            <w:r>
              <w:rPr>
                <w:rFonts w:ascii="Arial"/>
                <w:w w:val="100"/>
                <w:sz w:val="20"/>
              </w:rPr>
              <w:t>-</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7,000,000</w:t>
            </w:r>
          </w:p>
        </w:tc>
      </w:tr>
      <w:tr>
        <w:trPr>
          <w:trHeight w:val="261"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软件著作权</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6,274,167</w:t>
            </w:r>
            <w:r>
              <w:rPr>
                <w:rFonts w:ascii="Arial"/>
                <w:sz w:val="20"/>
              </w:rPr>
            </w:r>
          </w:p>
        </w:tc>
        <w:tc>
          <w:tcPr>
            <w:tcW w:w="3021" w:type="dxa"/>
            <w:tcBorders>
              <w:top w:val="nil" w:sz="6" w:space="0" w:color="auto"/>
              <w:left w:val="nil" w:sz="6" w:space="0" w:color="auto"/>
              <w:bottom w:val="nil" w:sz="6" w:space="0" w:color="auto"/>
              <w:right w:val="nil" w:sz="6" w:space="0" w:color="auto"/>
            </w:tcBorders>
          </w:tcPr>
          <w:p>
            <w:pPr>
              <w:pStyle w:val="TableParagraph"/>
              <w:tabs>
                <w:tab w:pos="1342" w:val="left" w:leader="none"/>
              </w:tabs>
              <w:spacing w:line="240" w:lineRule="auto" w:before="8"/>
              <w:ind w:left="66" w:right="0"/>
              <w:jc w:val="left"/>
              <w:rPr>
                <w:rFonts w:ascii="Arial" w:hAnsi="Arial" w:cs="Arial" w:eastAsia="Arial" w:hint="default"/>
                <w:sz w:val="20"/>
                <w:szCs w:val="20"/>
              </w:rPr>
            </w:pPr>
            <w:r>
              <w:rPr>
                <w:rFonts w:ascii="Arial"/>
                <w:w w:val="100"/>
                <w:sz w:val="20"/>
              </w:rPr>
            </w:r>
            <w:r>
              <w:rPr>
                <w:rFonts w:ascii="Arial"/>
                <w:spacing w:val="-1"/>
                <w:sz w:val="20"/>
                <w:u w:val="single" w:color="000000"/>
              </w:rPr>
              <w:t>16,967,300</w:t>
            </w:r>
            <w:r>
              <w:rPr>
                <w:rFonts w:ascii="Arial"/>
                <w:spacing w:val="-1"/>
                <w:sz w:val="20"/>
              </w:rPr>
              <w:tab/>
            </w:r>
            <w:r>
              <w:rPr>
                <w:rFonts w:ascii="Arial"/>
                <w:sz w:val="20"/>
              </w:rPr>
              <w:t>(  </w:t>
            </w:r>
            <w:r>
              <w:rPr>
                <w:rFonts w:ascii="Arial"/>
                <w:spacing w:val="38"/>
                <w:sz w:val="20"/>
              </w:rPr>
              <w:t> </w:t>
            </w:r>
            <w:r>
              <w:rPr>
                <w:rFonts w:ascii="Arial"/>
                <w:spacing w:val="38"/>
                <w:sz w:val="20"/>
                <w:u w:val="single" w:color="000000"/>
              </w:rPr>
              <w:t> </w:t>
            </w:r>
            <w:r>
              <w:rPr>
                <w:rFonts w:ascii="Arial"/>
                <w:spacing w:val="1"/>
                <w:sz w:val="20"/>
                <w:u w:val="single" w:color="000000"/>
              </w:rPr>
              <w:t>1,364,999</w:t>
            </w:r>
            <w:r>
              <w:rPr>
                <w:rFonts w:ascii="Arial"/>
                <w:spacing w:val="1"/>
                <w:sz w:val="20"/>
              </w:rPr>
              <w:t>)</w:t>
            </w:r>
          </w:p>
        </w:tc>
        <w:tc>
          <w:tcPr>
            <w:tcW w:w="1150"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19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21,876,468</w:t>
            </w:r>
            <w:r>
              <w:rPr>
                <w:rFonts w:ascii="Arial"/>
                <w:spacing w:val="-1"/>
                <w:sz w:val="20"/>
              </w:rPr>
            </w:r>
          </w:p>
        </w:tc>
      </w:tr>
      <w:tr>
        <w:trPr>
          <w:trHeight w:val="381" w:hRule="exact"/>
        </w:trPr>
        <w:tc>
          <w:tcPr>
            <w:tcW w:w="1210"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27"/>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pacing w:val="-1"/>
                <w:sz w:val="20"/>
                <w:u w:val="thick" w:color="000000"/>
              </w:rPr>
              <w:t>92,423,559</w:t>
            </w:r>
            <w:r>
              <w:rPr>
                <w:rFonts w:ascii="Arial"/>
                <w:spacing w:val="-1"/>
                <w:sz w:val="20"/>
              </w:rPr>
            </w:r>
          </w:p>
        </w:tc>
        <w:tc>
          <w:tcPr>
            <w:tcW w:w="3021" w:type="dxa"/>
            <w:tcBorders>
              <w:top w:val="nil" w:sz="6" w:space="0" w:color="auto"/>
              <w:left w:val="nil" w:sz="6" w:space="0" w:color="auto"/>
              <w:bottom w:val="nil" w:sz="6" w:space="0" w:color="auto"/>
              <w:right w:val="nil" w:sz="6" w:space="0" w:color="auto"/>
            </w:tcBorders>
          </w:tcPr>
          <w:p>
            <w:pPr>
              <w:pStyle w:val="TableParagraph"/>
              <w:tabs>
                <w:tab w:pos="1387" w:val="left" w:leader="none"/>
              </w:tabs>
              <w:spacing w:line="240" w:lineRule="auto" w:before="2"/>
              <w:ind w:left="66" w:right="0"/>
              <w:jc w:val="left"/>
              <w:rPr>
                <w:rFonts w:ascii="Arial" w:hAnsi="Arial" w:cs="Arial" w:eastAsia="Arial" w:hint="default"/>
                <w:sz w:val="20"/>
                <w:szCs w:val="20"/>
              </w:rPr>
            </w:pPr>
            <w:r>
              <w:rPr>
                <w:rFonts w:ascii="Arial"/>
                <w:w w:val="100"/>
                <w:sz w:val="20"/>
              </w:rPr>
            </w:r>
            <w:r>
              <w:rPr>
                <w:rFonts w:ascii="Arial"/>
                <w:spacing w:val="-1"/>
                <w:sz w:val="20"/>
                <w:u w:val="thick" w:color="000000"/>
              </w:rPr>
              <w:t>16,967,300</w:t>
            </w:r>
            <w:r>
              <w:rPr>
                <w:rFonts w:ascii="Arial"/>
                <w:spacing w:val="-1"/>
                <w:sz w:val="20"/>
              </w:rPr>
              <w:tab/>
            </w:r>
            <w:r>
              <w:rPr>
                <w:rFonts w:ascii="Arial"/>
                <w:spacing w:val="-1"/>
                <w:sz w:val="20"/>
                <w:u w:val="thick" w:color="000000"/>
              </w:rPr>
              <w:t>195,361,941</w:t>
            </w:r>
            <w:r>
              <w:rPr>
                <w:rFonts w:ascii="Arial"/>
                <w:spacing w:val="-1"/>
                <w:sz w:val="20"/>
              </w:rPr>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96"/>
              <w:jc w:val="right"/>
              <w:rPr>
                <w:rFonts w:ascii="Arial" w:hAnsi="Arial" w:cs="Arial" w:eastAsia="Arial" w:hint="default"/>
                <w:sz w:val="20"/>
                <w:szCs w:val="20"/>
              </w:rPr>
            </w:pPr>
            <w:r>
              <w:rPr>
                <w:rFonts w:ascii="Arial"/>
                <w:w w:val="100"/>
                <w:sz w:val="20"/>
              </w:rPr>
            </w:r>
            <w:r>
              <w:rPr>
                <w:rFonts w:ascii="Arial"/>
                <w:spacing w:val="-1"/>
                <w:sz w:val="20"/>
                <w:u w:val="thick" w:color="000000"/>
              </w:rPr>
              <w:t>1,750,318</w:t>
            </w:r>
            <w:r>
              <w:rPr>
                <w:rFonts w:ascii="Arial"/>
                <w:spacing w:val="-1"/>
                <w:sz w:val="20"/>
              </w:rPr>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303,002,482</w:t>
            </w:r>
            <w:r>
              <w:rPr>
                <w:rFonts w:ascii="Arial"/>
                <w:spacing w:val="-1"/>
                <w:sz w:val="20"/>
              </w:rPr>
            </w:r>
          </w:p>
        </w:tc>
      </w:tr>
      <w:tr>
        <w:trPr>
          <w:trHeight w:val="383"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黑体" w:hAnsi="黑体" w:cs="黑体" w:eastAsia="黑体" w:hint="default"/>
                <w:sz w:val="20"/>
                <w:szCs w:val="20"/>
              </w:rPr>
            </w:pPr>
            <w:r>
              <w:rPr>
                <w:rFonts w:ascii="黑体" w:hAnsi="黑体" w:cs="黑体" w:eastAsia="黑体" w:hint="default"/>
                <w:sz w:val="20"/>
                <w:szCs w:val="20"/>
              </w:rPr>
              <w:t>减值准备</w:t>
            </w:r>
          </w:p>
        </w:tc>
        <w:tc>
          <w:tcPr>
            <w:tcW w:w="1517" w:type="dxa"/>
            <w:tcBorders>
              <w:top w:val="nil" w:sz="6" w:space="0" w:color="auto"/>
              <w:left w:val="nil" w:sz="6" w:space="0" w:color="auto"/>
              <w:bottom w:val="nil" w:sz="6" w:space="0" w:color="auto"/>
              <w:right w:val="nil" w:sz="6" w:space="0" w:color="auto"/>
            </w:tcBorders>
          </w:tcPr>
          <w:p>
            <w:pPr/>
          </w:p>
        </w:tc>
        <w:tc>
          <w:tcPr>
            <w:tcW w:w="3021"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
        </w:tc>
      </w:tr>
      <w:tr>
        <w:trPr>
          <w:trHeight w:val="263"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30" w:lineRule="exact"/>
              <w:ind w:left="35" w:right="0"/>
              <w:jc w:val="left"/>
              <w:rPr>
                <w:rFonts w:ascii="黑体" w:hAnsi="黑体" w:cs="黑体" w:eastAsia="黑体" w:hint="default"/>
                <w:sz w:val="20"/>
                <w:szCs w:val="20"/>
              </w:rPr>
            </w:pPr>
            <w:r>
              <w:rPr>
                <w:rFonts w:ascii="黑体" w:hAnsi="黑体" w:cs="黑体" w:eastAsia="黑体" w:hint="default"/>
                <w:sz w:val="20"/>
                <w:szCs w:val="20"/>
              </w:rPr>
              <w:t>土地使用权</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28"/>
              <w:jc w:val="right"/>
              <w:rPr>
                <w:rFonts w:ascii="Arial" w:hAnsi="Arial" w:cs="Arial" w:eastAsia="Arial" w:hint="default"/>
                <w:sz w:val="20"/>
                <w:szCs w:val="20"/>
              </w:rPr>
            </w:pPr>
            <w:r>
              <w:rPr>
                <w:rFonts w:ascii="Arial"/>
                <w:w w:val="100"/>
                <w:sz w:val="20"/>
              </w:rPr>
              <w:t>-</w:t>
            </w:r>
          </w:p>
        </w:tc>
        <w:tc>
          <w:tcPr>
            <w:tcW w:w="3021" w:type="dxa"/>
            <w:tcBorders>
              <w:top w:val="nil" w:sz="6" w:space="0" w:color="auto"/>
              <w:left w:val="nil" w:sz="6" w:space="0" w:color="auto"/>
              <w:bottom w:val="nil" w:sz="6" w:space="0" w:color="auto"/>
              <w:right w:val="nil" w:sz="6" w:space="0" w:color="auto"/>
            </w:tcBorders>
          </w:tcPr>
          <w:p>
            <w:pPr>
              <w:pStyle w:val="TableParagraph"/>
              <w:tabs>
                <w:tab w:pos="2432" w:val="left" w:leader="none"/>
              </w:tabs>
              <w:spacing w:line="240" w:lineRule="auto" w:before="11"/>
              <w:ind w:left="1000" w:right="0"/>
              <w:jc w:val="left"/>
              <w:rPr>
                <w:rFonts w:ascii="Arial" w:hAnsi="Arial" w:cs="Arial" w:eastAsia="Arial" w:hint="default"/>
                <w:sz w:val="20"/>
                <w:szCs w:val="20"/>
              </w:rPr>
            </w:pPr>
            <w:r>
              <w:rPr>
                <w:rFonts w:ascii="Arial"/>
                <w:sz w:val="20"/>
              </w:rPr>
              <w:t>-</w:t>
              <w:tab/>
              <w:t>-</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97"/>
              <w:jc w:val="right"/>
              <w:rPr>
                <w:rFonts w:ascii="Arial" w:hAnsi="Arial" w:cs="Arial" w:eastAsia="Arial" w:hint="default"/>
                <w:sz w:val="20"/>
                <w:szCs w:val="20"/>
              </w:rPr>
            </w:pPr>
            <w:r>
              <w:rPr>
                <w:rFonts w:ascii="Arial"/>
                <w:w w:val="100"/>
                <w:sz w:val="20"/>
              </w:rPr>
              <w:t>-</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4"/>
              <w:jc w:val="right"/>
              <w:rPr>
                <w:rFonts w:ascii="Arial" w:hAnsi="Arial" w:cs="Arial" w:eastAsia="Arial" w:hint="default"/>
                <w:sz w:val="20"/>
                <w:szCs w:val="20"/>
              </w:rPr>
            </w:pPr>
            <w:r>
              <w:rPr>
                <w:rFonts w:ascii="Arial"/>
                <w:w w:val="100"/>
                <w:sz w:val="20"/>
              </w:rPr>
              <w:t>-</w:t>
            </w:r>
          </w:p>
        </w:tc>
      </w:tr>
      <w:tr>
        <w:trPr>
          <w:trHeight w:val="259"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软件使用权</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8"/>
              <w:jc w:val="right"/>
              <w:rPr>
                <w:rFonts w:ascii="Arial" w:hAnsi="Arial" w:cs="Arial" w:eastAsia="Arial" w:hint="default"/>
                <w:sz w:val="20"/>
                <w:szCs w:val="20"/>
              </w:rPr>
            </w:pPr>
            <w:r>
              <w:rPr>
                <w:rFonts w:ascii="Arial"/>
                <w:w w:val="100"/>
                <w:sz w:val="20"/>
              </w:rPr>
              <w:t>-</w:t>
            </w:r>
          </w:p>
        </w:tc>
        <w:tc>
          <w:tcPr>
            <w:tcW w:w="3021" w:type="dxa"/>
            <w:tcBorders>
              <w:top w:val="nil" w:sz="6" w:space="0" w:color="auto"/>
              <w:left w:val="nil" w:sz="6" w:space="0" w:color="auto"/>
              <w:bottom w:val="nil" w:sz="6" w:space="0" w:color="auto"/>
              <w:right w:val="nil" w:sz="6" w:space="0" w:color="auto"/>
            </w:tcBorders>
          </w:tcPr>
          <w:p>
            <w:pPr>
              <w:pStyle w:val="TableParagraph"/>
              <w:tabs>
                <w:tab w:pos="2432" w:val="left" w:leader="none"/>
              </w:tabs>
              <w:spacing w:line="240" w:lineRule="auto" w:before="8"/>
              <w:ind w:left="1000" w:right="0"/>
              <w:jc w:val="left"/>
              <w:rPr>
                <w:rFonts w:ascii="Arial" w:hAnsi="Arial" w:cs="Arial" w:eastAsia="Arial" w:hint="default"/>
                <w:sz w:val="20"/>
                <w:szCs w:val="20"/>
              </w:rPr>
            </w:pPr>
            <w:r>
              <w:rPr>
                <w:rFonts w:ascii="Arial"/>
                <w:sz w:val="20"/>
              </w:rPr>
              <w:t>-</w:t>
              <w:tab/>
              <w:t>-</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7"/>
              <w:jc w:val="right"/>
              <w:rPr>
                <w:rFonts w:ascii="Arial" w:hAnsi="Arial" w:cs="Arial" w:eastAsia="Arial" w:hint="default"/>
                <w:sz w:val="20"/>
                <w:szCs w:val="20"/>
              </w:rPr>
            </w:pPr>
            <w:r>
              <w:rPr>
                <w:rFonts w:ascii="Arial"/>
                <w:w w:val="100"/>
                <w:sz w:val="20"/>
              </w:rPr>
              <w:t>-</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w w:val="100"/>
                <w:sz w:val="20"/>
              </w:rPr>
              <w:t>-</w:t>
            </w:r>
          </w:p>
        </w:tc>
      </w:tr>
      <w:tr>
        <w:trPr>
          <w:trHeight w:val="261"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软件著作权</w:t>
            </w:r>
          </w:p>
        </w:tc>
        <w:tc>
          <w:tcPr>
            <w:tcW w:w="1517"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8"/>
              <w:ind w:right="22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3021" w:type="dxa"/>
            <w:tcBorders>
              <w:top w:val="nil" w:sz="6" w:space="0" w:color="auto"/>
              <w:left w:val="nil" w:sz="6" w:space="0" w:color="auto"/>
              <w:bottom w:val="nil" w:sz="6" w:space="0" w:color="auto"/>
              <w:right w:val="nil" w:sz="6" w:space="0" w:color="auto"/>
            </w:tcBorders>
          </w:tcPr>
          <w:p>
            <w:pPr>
              <w:pStyle w:val="TableParagraph"/>
              <w:tabs>
                <w:tab w:pos="1001" w:val="left" w:leader="none"/>
                <w:tab w:pos="1432" w:val="left" w:leader="none"/>
                <w:tab w:pos="2431" w:val="left" w:leader="none"/>
              </w:tabs>
              <w:spacing w:line="240" w:lineRule="auto" w:before="8"/>
              <w:ind w:left="102"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tab/>
            </w:r>
            <w:r>
              <w:rPr>
                <w:rFonts w:ascii="Arial"/>
                <w:sz w:val="20"/>
                <w:u w:val="single" w:color="000000"/>
              </w:rPr>
              <w:t> </w:t>
              <w:tab/>
              <w:t>-</w:t>
            </w:r>
            <w:r>
              <w:rPr>
                <w:rFonts w:ascii="Arial"/>
                <w:sz w:val="20"/>
              </w:rPr>
            </w:r>
          </w:p>
        </w:tc>
        <w:tc>
          <w:tcPr>
            <w:tcW w:w="1150"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19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47" w:type="dxa"/>
            <w:tcBorders>
              <w:top w:val="nil" w:sz="6" w:space="0" w:color="auto"/>
              <w:left w:val="nil" w:sz="6" w:space="0" w:color="auto"/>
              <w:bottom w:val="nil" w:sz="6" w:space="0" w:color="auto"/>
              <w:right w:val="nil" w:sz="6" w:space="0" w:color="auto"/>
            </w:tcBorders>
          </w:tcPr>
          <w:p>
            <w:pPr>
              <w:pStyle w:val="TableParagraph"/>
              <w:tabs>
                <w:tab w:pos="1039" w:val="left" w:leader="none"/>
              </w:tabs>
              <w:spacing w:line="240" w:lineRule="auto" w:before="8"/>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381" w:hRule="exact"/>
        </w:trPr>
        <w:tc>
          <w:tcPr>
            <w:tcW w:w="1210"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2"/>
              <w:ind w:right="229"/>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3021" w:type="dxa"/>
            <w:tcBorders>
              <w:top w:val="nil" w:sz="6" w:space="0" w:color="auto"/>
              <w:left w:val="nil" w:sz="6" w:space="0" w:color="auto"/>
              <w:bottom w:val="nil" w:sz="6" w:space="0" w:color="auto"/>
              <w:right w:val="nil" w:sz="6" w:space="0" w:color="auto"/>
            </w:tcBorders>
          </w:tcPr>
          <w:p>
            <w:pPr>
              <w:pStyle w:val="TableParagraph"/>
              <w:tabs>
                <w:tab w:pos="1001" w:val="left" w:leader="none"/>
                <w:tab w:pos="1432" w:val="left" w:leader="none"/>
                <w:tab w:pos="2431" w:val="left" w:leader="none"/>
              </w:tabs>
              <w:spacing w:line="240" w:lineRule="auto" w:before="2"/>
              <w:ind w:left="102"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tab/>
            </w:r>
            <w:r>
              <w:rPr>
                <w:rFonts w:ascii="Arial"/>
                <w:sz w:val="20"/>
                <w:u w:val="thick" w:color="000000"/>
              </w:rPr>
              <w:t> </w:t>
              <w:tab/>
              <w:t>-</w:t>
            </w:r>
            <w:r>
              <w:rPr>
                <w:rFonts w:ascii="Arial"/>
                <w:sz w:val="20"/>
              </w:rPr>
            </w:r>
          </w:p>
        </w:tc>
        <w:tc>
          <w:tcPr>
            <w:tcW w:w="1150"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2"/>
              <w:ind w:right="196"/>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347" w:type="dxa"/>
            <w:tcBorders>
              <w:top w:val="nil" w:sz="6" w:space="0" w:color="auto"/>
              <w:left w:val="nil" w:sz="6" w:space="0" w:color="auto"/>
              <w:bottom w:val="nil" w:sz="6" w:space="0" w:color="auto"/>
              <w:right w:val="nil" w:sz="6" w:space="0" w:color="auto"/>
            </w:tcBorders>
          </w:tcPr>
          <w:p>
            <w:pPr>
              <w:pStyle w:val="TableParagraph"/>
              <w:tabs>
                <w:tab w:pos="1039" w:val="left" w:leader="none"/>
              </w:tabs>
              <w:spacing w:line="240" w:lineRule="auto" w:before="2"/>
              <w:ind w:right="34"/>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r>
      <w:tr>
        <w:trPr>
          <w:trHeight w:val="383"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黑体" w:hAnsi="黑体" w:cs="黑体" w:eastAsia="黑体" w:hint="default"/>
                <w:sz w:val="20"/>
                <w:szCs w:val="20"/>
              </w:rPr>
            </w:pPr>
            <w:r>
              <w:rPr>
                <w:rFonts w:ascii="黑体" w:hAnsi="黑体" w:cs="黑体" w:eastAsia="黑体" w:hint="default"/>
                <w:sz w:val="20"/>
                <w:szCs w:val="20"/>
              </w:rPr>
              <w:t>账面价值</w:t>
            </w:r>
          </w:p>
        </w:tc>
        <w:tc>
          <w:tcPr>
            <w:tcW w:w="1517" w:type="dxa"/>
            <w:tcBorders>
              <w:top w:val="nil" w:sz="6" w:space="0" w:color="auto"/>
              <w:left w:val="nil" w:sz="6" w:space="0" w:color="auto"/>
              <w:bottom w:val="nil" w:sz="6" w:space="0" w:color="auto"/>
              <w:right w:val="nil" w:sz="6" w:space="0" w:color="auto"/>
            </w:tcBorders>
          </w:tcPr>
          <w:p>
            <w:pPr/>
          </w:p>
        </w:tc>
        <w:tc>
          <w:tcPr>
            <w:tcW w:w="3021"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
        </w:tc>
      </w:tr>
      <w:tr>
        <w:trPr>
          <w:trHeight w:val="263"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30" w:lineRule="exact"/>
              <w:ind w:left="35" w:right="0"/>
              <w:jc w:val="left"/>
              <w:rPr>
                <w:rFonts w:ascii="黑体" w:hAnsi="黑体" w:cs="黑体" w:eastAsia="黑体" w:hint="default"/>
                <w:sz w:val="20"/>
                <w:szCs w:val="20"/>
              </w:rPr>
            </w:pPr>
            <w:r>
              <w:rPr>
                <w:rFonts w:ascii="黑体" w:hAnsi="黑体" w:cs="黑体" w:eastAsia="黑体" w:hint="default"/>
                <w:sz w:val="20"/>
                <w:szCs w:val="20"/>
              </w:rPr>
              <w:t>土地使用权</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28"/>
              <w:jc w:val="right"/>
              <w:rPr>
                <w:rFonts w:ascii="Arial" w:hAnsi="Arial" w:cs="Arial" w:eastAsia="Arial" w:hint="default"/>
                <w:sz w:val="20"/>
                <w:szCs w:val="20"/>
              </w:rPr>
            </w:pPr>
            <w:r>
              <w:rPr>
                <w:rFonts w:ascii="Arial"/>
                <w:spacing w:val="-1"/>
                <w:sz w:val="20"/>
              </w:rPr>
              <w:t>77,149,392</w:t>
            </w:r>
          </w:p>
        </w:tc>
        <w:tc>
          <w:tcPr>
            <w:tcW w:w="3021" w:type="dxa"/>
            <w:tcBorders>
              <w:top w:val="nil" w:sz="6" w:space="0" w:color="auto"/>
              <w:left w:val="nil" w:sz="6" w:space="0" w:color="auto"/>
              <w:bottom w:val="nil" w:sz="6" w:space="0" w:color="auto"/>
              <w:right w:val="nil" w:sz="6" w:space="0" w:color="auto"/>
            </w:tcBorders>
          </w:tcPr>
          <w:p>
            <w:pPr>
              <w:pStyle w:val="TableParagraph"/>
              <w:tabs>
                <w:tab w:pos="1387" w:val="left" w:leader="none"/>
              </w:tabs>
              <w:spacing w:line="240" w:lineRule="auto" w:before="12"/>
              <w:ind w:left="1000" w:right="0"/>
              <w:jc w:val="left"/>
              <w:rPr>
                <w:rFonts w:ascii="Arial" w:hAnsi="Arial" w:cs="Arial" w:eastAsia="Arial" w:hint="default"/>
                <w:sz w:val="20"/>
                <w:szCs w:val="20"/>
              </w:rPr>
            </w:pPr>
            <w:r>
              <w:rPr>
                <w:rFonts w:ascii="Arial"/>
                <w:sz w:val="20"/>
              </w:rPr>
              <w:t>-</w:t>
              <w:tab/>
              <w:t>198,726,940</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96"/>
              <w:jc w:val="right"/>
              <w:rPr>
                <w:rFonts w:ascii="Arial" w:hAnsi="Arial" w:cs="Arial" w:eastAsia="Arial" w:hint="default"/>
                <w:sz w:val="20"/>
                <w:szCs w:val="20"/>
              </w:rPr>
            </w:pPr>
            <w:r>
              <w:rPr>
                <w:rFonts w:ascii="Arial"/>
                <w:spacing w:val="-1"/>
                <w:sz w:val="20"/>
              </w:rPr>
              <w:t>1,750,318</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Arial" w:hAnsi="Arial" w:cs="Arial" w:eastAsia="Arial" w:hint="default"/>
                <w:sz w:val="20"/>
                <w:szCs w:val="20"/>
              </w:rPr>
            </w:pPr>
            <w:r>
              <w:rPr>
                <w:rFonts w:ascii="Arial"/>
                <w:spacing w:val="-1"/>
                <w:sz w:val="20"/>
              </w:rPr>
              <w:t>274,126,014</w:t>
            </w:r>
          </w:p>
        </w:tc>
      </w:tr>
      <w:tr>
        <w:trPr>
          <w:trHeight w:val="259"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软件使用权</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8"/>
              <w:jc w:val="right"/>
              <w:rPr>
                <w:rFonts w:ascii="Arial" w:hAnsi="Arial" w:cs="Arial" w:eastAsia="Arial" w:hint="default"/>
                <w:sz w:val="20"/>
                <w:szCs w:val="20"/>
              </w:rPr>
            </w:pPr>
            <w:r>
              <w:rPr>
                <w:rFonts w:ascii="Arial"/>
                <w:spacing w:val="-1"/>
                <w:sz w:val="20"/>
              </w:rPr>
              <w:t>9,000,000</w:t>
            </w:r>
          </w:p>
        </w:tc>
        <w:tc>
          <w:tcPr>
            <w:tcW w:w="3021" w:type="dxa"/>
            <w:tcBorders>
              <w:top w:val="nil" w:sz="6" w:space="0" w:color="auto"/>
              <w:left w:val="nil" w:sz="6" w:space="0" w:color="auto"/>
              <w:bottom w:val="nil" w:sz="6" w:space="0" w:color="auto"/>
              <w:right w:val="nil" w:sz="6" w:space="0" w:color="auto"/>
            </w:tcBorders>
          </w:tcPr>
          <w:p>
            <w:pPr>
              <w:pStyle w:val="TableParagraph"/>
              <w:tabs>
                <w:tab w:pos="1343" w:val="left" w:leader="none"/>
              </w:tabs>
              <w:spacing w:line="240" w:lineRule="auto" w:before="8"/>
              <w:ind w:left="1001" w:right="0"/>
              <w:jc w:val="left"/>
              <w:rPr>
                <w:rFonts w:ascii="Arial" w:hAnsi="Arial" w:cs="Arial" w:eastAsia="Arial" w:hint="default"/>
                <w:sz w:val="20"/>
                <w:szCs w:val="20"/>
              </w:rPr>
            </w:pPr>
            <w:r>
              <w:rPr>
                <w:rFonts w:ascii="Arial"/>
                <w:sz w:val="20"/>
              </w:rPr>
              <w:t>-</w:t>
              <w:tab/>
              <w:t>(  </w:t>
            </w:r>
            <w:r>
              <w:rPr>
                <w:rFonts w:ascii="Arial"/>
                <w:spacing w:val="49"/>
                <w:sz w:val="20"/>
              </w:rPr>
              <w:t> </w:t>
            </w:r>
            <w:r>
              <w:rPr>
                <w:rFonts w:ascii="Arial"/>
                <w:sz w:val="20"/>
              </w:rPr>
              <w:t>2,000,000)</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6"/>
              <w:jc w:val="right"/>
              <w:rPr>
                <w:rFonts w:ascii="Arial" w:hAnsi="Arial" w:cs="Arial" w:eastAsia="Arial" w:hint="default"/>
                <w:sz w:val="20"/>
                <w:szCs w:val="20"/>
              </w:rPr>
            </w:pPr>
            <w:r>
              <w:rPr>
                <w:rFonts w:ascii="Arial"/>
                <w:w w:val="100"/>
                <w:sz w:val="20"/>
              </w:rPr>
              <w:t>-</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7,000,000</w:t>
            </w:r>
          </w:p>
        </w:tc>
      </w:tr>
      <w:tr>
        <w:trPr>
          <w:trHeight w:val="261" w:hRule="exact"/>
        </w:trPr>
        <w:tc>
          <w:tcPr>
            <w:tcW w:w="121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软件著作权</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2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6,274,167</w:t>
            </w:r>
            <w:r>
              <w:rPr>
                <w:rFonts w:ascii="Arial"/>
                <w:sz w:val="20"/>
              </w:rPr>
            </w:r>
          </w:p>
        </w:tc>
        <w:tc>
          <w:tcPr>
            <w:tcW w:w="3021" w:type="dxa"/>
            <w:tcBorders>
              <w:top w:val="nil" w:sz="6" w:space="0" w:color="auto"/>
              <w:left w:val="nil" w:sz="6" w:space="0" w:color="auto"/>
              <w:bottom w:val="nil" w:sz="6" w:space="0" w:color="auto"/>
              <w:right w:val="nil" w:sz="6" w:space="0" w:color="auto"/>
            </w:tcBorders>
          </w:tcPr>
          <w:p>
            <w:pPr>
              <w:pStyle w:val="TableParagraph"/>
              <w:tabs>
                <w:tab w:pos="1342" w:val="left" w:leader="none"/>
              </w:tabs>
              <w:spacing w:line="240" w:lineRule="auto" w:before="8"/>
              <w:ind w:left="66" w:right="0"/>
              <w:jc w:val="left"/>
              <w:rPr>
                <w:rFonts w:ascii="Arial" w:hAnsi="Arial" w:cs="Arial" w:eastAsia="Arial" w:hint="default"/>
                <w:sz w:val="20"/>
                <w:szCs w:val="20"/>
              </w:rPr>
            </w:pPr>
            <w:r>
              <w:rPr>
                <w:rFonts w:ascii="Arial"/>
                <w:w w:val="100"/>
                <w:sz w:val="20"/>
              </w:rPr>
            </w:r>
            <w:r>
              <w:rPr>
                <w:rFonts w:ascii="Arial"/>
                <w:spacing w:val="-1"/>
                <w:sz w:val="20"/>
                <w:u w:val="single" w:color="000000"/>
              </w:rPr>
              <w:t>16,967,300</w:t>
            </w:r>
            <w:r>
              <w:rPr>
                <w:rFonts w:ascii="Arial"/>
                <w:spacing w:val="-1"/>
                <w:sz w:val="20"/>
              </w:rPr>
              <w:tab/>
            </w:r>
            <w:r>
              <w:rPr>
                <w:rFonts w:ascii="Arial"/>
                <w:sz w:val="20"/>
              </w:rPr>
              <w:t>(  </w:t>
            </w:r>
            <w:r>
              <w:rPr>
                <w:rFonts w:ascii="Arial"/>
                <w:spacing w:val="38"/>
                <w:sz w:val="20"/>
              </w:rPr>
              <w:t> </w:t>
            </w:r>
            <w:r>
              <w:rPr>
                <w:rFonts w:ascii="Arial"/>
                <w:spacing w:val="38"/>
                <w:sz w:val="20"/>
                <w:u w:val="single" w:color="000000"/>
              </w:rPr>
              <w:t> </w:t>
            </w:r>
            <w:r>
              <w:rPr>
                <w:rFonts w:ascii="Arial"/>
                <w:spacing w:val="1"/>
                <w:sz w:val="20"/>
                <w:u w:val="single" w:color="000000"/>
              </w:rPr>
              <w:t>1,364,999</w:t>
            </w:r>
            <w:r>
              <w:rPr>
                <w:rFonts w:ascii="Arial"/>
                <w:spacing w:val="1"/>
                <w:sz w:val="20"/>
              </w:rPr>
              <w:t>)</w:t>
            </w:r>
          </w:p>
        </w:tc>
        <w:tc>
          <w:tcPr>
            <w:tcW w:w="1150"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19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21,876,468</w:t>
            </w:r>
            <w:r>
              <w:rPr>
                <w:rFonts w:ascii="Arial"/>
                <w:spacing w:val="-1"/>
                <w:sz w:val="20"/>
              </w:rPr>
            </w:r>
          </w:p>
        </w:tc>
      </w:tr>
      <w:tr>
        <w:trPr>
          <w:trHeight w:val="328" w:hRule="exact"/>
        </w:trPr>
        <w:tc>
          <w:tcPr>
            <w:tcW w:w="1210"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27"/>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pacing w:val="-1"/>
                <w:sz w:val="20"/>
                <w:u w:val="thick" w:color="000000"/>
              </w:rPr>
              <w:t>92,423,559</w:t>
            </w:r>
            <w:r>
              <w:rPr>
                <w:rFonts w:ascii="Arial"/>
                <w:spacing w:val="-1"/>
                <w:sz w:val="20"/>
              </w:rPr>
            </w:r>
          </w:p>
        </w:tc>
        <w:tc>
          <w:tcPr>
            <w:tcW w:w="3021" w:type="dxa"/>
            <w:tcBorders>
              <w:top w:val="nil" w:sz="6" w:space="0" w:color="auto"/>
              <w:left w:val="nil" w:sz="6" w:space="0" w:color="auto"/>
              <w:bottom w:val="nil" w:sz="6" w:space="0" w:color="auto"/>
              <w:right w:val="nil" w:sz="6" w:space="0" w:color="auto"/>
            </w:tcBorders>
          </w:tcPr>
          <w:p>
            <w:pPr>
              <w:pStyle w:val="TableParagraph"/>
              <w:tabs>
                <w:tab w:pos="1387" w:val="left" w:leader="none"/>
              </w:tabs>
              <w:spacing w:line="240" w:lineRule="auto" w:before="2"/>
              <w:ind w:left="66" w:right="0"/>
              <w:jc w:val="left"/>
              <w:rPr>
                <w:rFonts w:ascii="Arial" w:hAnsi="Arial" w:cs="Arial" w:eastAsia="Arial" w:hint="default"/>
                <w:sz w:val="20"/>
                <w:szCs w:val="20"/>
              </w:rPr>
            </w:pPr>
            <w:r>
              <w:rPr>
                <w:rFonts w:ascii="Arial"/>
                <w:w w:val="100"/>
                <w:sz w:val="20"/>
              </w:rPr>
            </w:r>
            <w:r>
              <w:rPr>
                <w:rFonts w:ascii="Arial"/>
                <w:spacing w:val="-1"/>
                <w:sz w:val="20"/>
                <w:u w:val="thick" w:color="000000"/>
              </w:rPr>
              <w:t>16,967,300</w:t>
            </w:r>
            <w:r>
              <w:rPr>
                <w:rFonts w:ascii="Arial"/>
                <w:spacing w:val="-1"/>
                <w:sz w:val="20"/>
              </w:rPr>
              <w:tab/>
            </w:r>
            <w:r>
              <w:rPr>
                <w:rFonts w:ascii="Arial"/>
                <w:spacing w:val="-1"/>
                <w:sz w:val="20"/>
                <w:u w:val="thick" w:color="000000"/>
              </w:rPr>
              <w:t>195,361,941</w:t>
            </w:r>
            <w:r>
              <w:rPr>
                <w:rFonts w:ascii="Arial"/>
                <w:spacing w:val="-1"/>
                <w:sz w:val="20"/>
              </w:rPr>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96"/>
              <w:jc w:val="right"/>
              <w:rPr>
                <w:rFonts w:ascii="Arial" w:hAnsi="Arial" w:cs="Arial" w:eastAsia="Arial" w:hint="default"/>
                <w:sz w:val="20"/>
                <w:szCs w:val="20"/>
              </w:rPr>
            </w:pPr>
            <w:r>
              <w:rPr>
                <w:rFonts w:ascii="Arial"/>
                <w:w w:val="100"/>
                <w:sz w:val="20"/>
              </w:rPr>
            </w:r>
            <w:r>
              <w:rPr>
                <w:rFonts w:ascii="Arial"/>
                <w:spacing w:val="-1"/>
                <w:sz w:val="20"/>
                <w:u w:val="thick" w:color="000000"/>
              </w:rPr>
              <w:t>1,750,318</w:t>
            </w:r>
            <w:r>
              <w:rPr>
                <w:rFonts w:ascii="Arial"/>
                <w:spacing w:val="-1"/>
                <w:sz w:val="20"/>
              </w:rPr>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303,002,482</w:t>
            </w:r>
            <w:r>
              <w:rPr>
                <w:rFonts w:ascii="Arial"/>
                <w:spacing w:val="-1"/>
                <w:sz w:val="20"/>
              </w:rPr>
            </w:r>
          </w:p>
        </w:tc>
      </w:tr>
    </w:tbl>
    <w:p>
      <w:pPr>
        <w:spacing w:line="240" w:lineRule="auto" w:before="8"/>
        <w:rPr>
          <w:rFonts w:ascii="黑体" w:hAnsi="黑体" w:cs="黑体" w:eastAsia="黑体" w:hint="default"/>
          <w:sz w:val="17"/>
          <w:szCs w:val="17"/>
        </w:rPr>
      </w:pPr>
    </w:p>
    <w:p>
      <w:pPr>
        <w:pStyle w:val="BodyText"/>
        <w:spacing w:line="261" w:lineRule="auto" w:before="38"/>
        <w:ind w:left="1273" w:right="1694" w:hanging="424"/>
        <w:jc w:val="both"/>
      </w:pPr>
      <w:r>
        <w:rPr/>
        <w:t>注</w:t>
      </w:r>
      <w:r>
        <w:rPr>
          <w:rFonts w:ascii="Arial" w:hAnsi="Arial" w:cs="Arial" w:eastAsia="Arial" w:hint="default"/>
        </w:rPr>
        <w:t>1. 2009</w:t>
      </w:r>
      <w:r>
        <w:rPr/>
        <w:t>年无形资产摊销金额为人民币</w:t>
      </w:r>
      <w:r>
        <w:rPr>
          <w:rFonts w:ascii="Arial" w:hAnsi="Arial" w:cs="Arial" w:eastAsia="Arial" w:hint="default"/>
        </w:rPr>
        <w:t>12,879,842</w:t>
      </w:r>
      <w:r>
        <w:rPr/>
        <w:t>元，</w:t>
      </w:r>
      <w:r>
        <w:rPr>
          <w:rFonts w:ascii="Arial" w:hAnsi="Arial" w:cs="Arial" w:eastAsia="Arial" w:hint="default"/>
        </w:rPr>
        <w:t>2008</w:t>
      </w:r>
      <w:r>
        <w:rPr/>
        <w:t>年无形资产摊销金额为人民</w:t>
      </w:r>
      <w:r>
        <w:rPr>
          <w:spacing w:val="-84"/>
        </w:rPr>
        <w:t> </w:t>
      </w:r>
      <w:r>
        <w:rPr>
          <w:spacing w:val="-3"/>
        </w:rPr>
        <w:t>币</w:t>
      </w:r>
      <w:r>
        <w:rPr>
          <w:rFonts w:ascii="Arial" w:hAnsi="Arial" w:cs="Arial" w:eastAsia="Arial" w:hint="default"/>
          <w:spacing w:val="-3"/>
        </w:rPr>
        <w:t>12,634,091</w:t>
      </w:r>
      <w:r>
        <w:rPr>
          <w:spacing w:val="-3"/>
        </w:rPr>
        <w:t>元，</w:t>
      </w:r>
      <w:r>
        <w:rPr>
          <w:rFonts w:ascii="Arial" w:hAnsi="Arial" w:cs="Arial" w:eastAsia="Arial" w:hint="default"/>
          <w:spacing w:val="-3"/>
        </w:rPr>
        <w:t>2008</w:t>
      </w:r>
      <w:r>
        <w:rPr>
          <w:spacing w:val="-3"/>
        </w:rPr>
        <w:t>年的其他增加是由于将土地使用权从固定资产重分类至无形资</w:t>
      </w:r>
      <w:r>
        <w:rPr>
          <w:w w:val="100"/>
        </w:rPr>
        <w:t> </w:t>
      </w:r>
      <w:r>
        <w:rPr/>
        <w:t>产时，同时将已计提的累计折旧人民币</w:t>
      </w:r>
      <w:r>
        <w:rPr>
          <w:rFonts w:ascii="Arial" w:hAnsi="Arial" w:cs="Arial" w:eastAsia="Arial" w:hint="default"/>
        </w:rPr>
        <w:t>1,798,840</w:t>
      </w:r>
      <w:r>
        <w:rPr/>
        <w:t>元重分类入无形资产的累计摊销。</w:t>
      </w:r>
    </w:p>
    <w:p>
      <w:pPr>
        <w:spacing w:line="240" w:lineRule="auto" w:before="3"/>
        <w:rPr>
          <w:rFonts w:ascii="黑体" w:hAnsi="黑体" w:cs="黑体" w:eastAsia="黑体" w:hint="default"/>
          <w:sz w:val="23"/>
          <w:szCs w:val="23"/>
        </w:rPr>
      </w:pPr>
    </w:p>
    <w:p>
      <w:pPr>
        <w:pStyle w:val="BodyText"/>
        <w:spacing w:line="240" w:lineRule="auto"/>
        <w:ind w:left="855" w:right="1058"/>
        <w:jc w:val="left"/>
      </w:pPr>
      <w:r>
        <w:rPr>
          <w:rFonts w:ascii="Arial" w:hAnsi="Arial" w:cs="Arial" w:eastAsia="Arial" w:hint="default"/>
          <w:spacing w:val="-3"/>
        </w:rPr>
        <w:t>2009</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日，本集团不存在无形资产所有权受到限制情况（</w:t>
      </w:r>
      <w:r>
        <w:rPr>
          <w:rFonts w:ascii="Arial" w:hAnsi="Arial" w:cs="Arial" w:eastAsia="Arial" w:hint="default"/>
          <w:spacing w:val="-3"/>
        </w:rPr>
        <w:t>2008</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日：无）。</w:t>
      </w:r>
    </w:p>
    <w:p>
      <w:pPr>
        <w:spacing w:after="0" w:line="240" w:lineRule="auto"/>
        <w:jc w:val="left"/>
        <w:sectPr>
          <w:pgSz w:w="11910" w:h="16840"/>
          <w:pgMar w:header="958" w:footer="466" w:top="2560" w:bottom="660" w:left="1560" w:right="0"/>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25"/>
          <w:szCs w:val="25"/>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4"/>
        <w:rPr>
          <w:rFonts w:ascii="黑体" w:hAnsi="黑体" w:cs="黑体" w:eastAsia="黑体" w:hint="default"/>
          <w:b/>
          <w:bCs/>
          <w:sz w:val="27"/>
          <w:szCs w:val="27"/>
        </w:rPr>
      </w:pPr>
    </w:p>
    <w:p>
      <w:pPr>
        <w:tabs>
          <w:tab w:pos="819" w:val="left" w:leader="none"/>
        </w:tabs>
        <w:spacing w:before="0"/>
        <w:ind w:left="141" w:right="1058" w:firstLine="0"/>
        <w:jc w:val="left"/>
        <w:rPr>
          <w:rFonts w:ascii="黑体" w:hAnsi="黑体" w:cs="黑体" w:eastAsia="黑体" w:hint="default"/>
          <w:sz w:val="20"/>
          <w:szCs w:val="20"/>
        </w:rPr>
      </w:pPr>
      <w:r>
        <w:rPr>
          <w:rFonts w:ascii="Arial" w:hAnsi="Arial" w:cs="Arial" w:eastAsia="Arial" w:hint="default"/>
          <w:b/>
          <w:bCs/>
          <w:spacing w:val="-1"/>
          <w:sz w:val="20"/>
          <w:szCs w:val="20"/>
        </w:rPr>
        <w:t>12.</w:t>
        <w:tab/>
      </w:r>
      <w:r>
        <w:rPr>
          <w:rFonts w:ascii="黑体" w:hAnsi="黑体" w:cs="黑体" w:eastAsia="黑体" w:hint="default"/>
          <w:b/>
          <w:bCs/>
          <w:spacing w:val="1"/>
          <w:sz w:val="20"/>
          <w:szCs w:val="20"/>
        </w:rPr>
        <w:t>商誉</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tbl>
      <w:tblPr>
        <w:tblW w:w="0" w:type="auto"/>
        <w:jc w:val="left"/>
        <w:tblInd w:w="815" w:type="dxa"/>
        <w:tblLayout w:type="fixed"/>
        <w:tblCellMar>
          <w:top w:w="0" w:type="dxa"/>
          <w:left w:w="0" w:type="dxa"/>
          <w:bottom w:w="0" w:type="dxa"/>
          <w:right w:w="0" w:type="dxa"/>
        </w:tblCellMar>
        <w:tblLook w:val="01E0"/>
      </w:tblPr>
      <w:tblGrid>
        <w:gridCol w:w="2067"/>
        <w:gridCol w:w="2498"/>
        <w:gridCol w:w="1599"/>
        <w:gridCol w:w="1703"/>
      </w:tblGrid>
      <w:tr>
        <w:trPr>
          <w:trHeight w:val="998"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p>
            <w:pPr>
              <w:pStyle w:val="TableParagraph"/>
              <w:spacing w:line="240" w:lineRule="auto" w:before="12"/>
              <w:ind w:right="0"/>
              <w:jc w:val="left"/>
              <w:rPr>
                <w:rFonts w:ascii="黑体" w:hAnsi="黑体" w:cs="黑体" w:eastAsia="黑体" w:hint="default"/>
                <w:b/>
                <w:bCs/>
                <w:sz w:val="19"/>
                <w:szCs w:val="19"/>
              </w:rPr>
            </w:pPr>
          </w:p>
          <w:p>
            <w:pPr>
              <w:pStyle w:val="TableParagraph"/>
              <w:spacing w:line="240" w:lineRule="auto"/>
              <w:ind w:left="55" w:right="0"/>
              <w:jc w:val="left"/>
              <w:rPr>
                <w:rFonts w:ascii="黑体" w:hAnsi="黑体" w:cs="黑体" w:eastAsia="黑体" w:hint="default"/>
                <w:sz w:val="20"/>
                <w:szCs w:val="20"/>
              </w:rPr>
            </w:pPr>
            <w:r>
              <w:rPr>
                <w:rFonts w:ascii="黑体" w:hAnsi="黑体" w:cs="黑体" w:eastAsia="黑体" w:hint="default"/>
                <w:sz w:val="20"/>
                <w:szCs w:val="20"/>
              </w:rPr>
              <w:t>被收购对象</w:t>
            </w:r>
          </w:p>
        </w:tc>
        <w:tc>
          <w:tcPr>
            <w:tcW w:w="24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2"/>
              <w:ind w:right="0"/>
              <w:jc w:val="left"/>
              <w:rPr>
                <w:rFonts w:ascii="黑体" w:hAnsi="黑体" w:cs="黑体" w:eastAsia="黑体" w:hint="default"/>
                <w:b/>
                <w:bCs/>
                <w:sz w:val="23"/>
                <w:szCs w:val="23"/>
              </w:rPr>
            </w:pPr>
          </w:p>
          <w:p>
            <w:pPr>
              <w:pStyle w:val="TableParagraph"/>
              <w:spacing w:line="240" w:lineRule="auto"/>
              <w:ind w:right="418"/>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1</w:t>
            </w:r>
            <w:r>
              <w:rPr>
                <w:rFonts w:ascii="黑体" w:hAnsi="黑体" w:cs="黑体" w:eastAsia="黑体" w:hint="default"/>
                <w:spacing w:val="-1"/>
                <w:sz w:val="20"/>
                <w:szCs w:val="20"/>
              </w:rPr>
              <w:t>月</w:t>
            </w:r>
            <w:r>
              <w:rPr>
                <w:rFonts w:ascii="Arial" w:hAnsi="Arial" w:cs="Arial" w:eastAsia="Arial" w:hint="default"/>
                <w:spacing w:val="-1"/>
                <w:sz w:val="20"/>
                <w:szCs w:val="20"/>
              </w:rPr>
              <w:t>1</w:t>
            </w:r>
            <w:r>
              <w:rPr>
                <w:rFonts w:ascii="黑体" w:hAnsi="黑体" w:cs="黑体" w:eastAsia="黑体" w:hint="default"/>
                <w:spacing w:val="-1"/>
                <w:sz w:val="20"/>
                <w:szCs w:val="20"/>
              </w:rPr>
              <w:t>日</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2"/>
              <w:ind w:right="0"/>
              <w:jc w:val="left"/>
              <w:rPr>
                <w:rFonts w:ascii="黑体" w:hAnsi="黑体" w:cs="黑体" w:eastAsia="黑体" w:hint="default"/>
                <w:b/>
                <w:bCs/>
                <w:sz w:val="23"/>
                <w:szCs w:val="23"/>
              </w:rPr>
            </w:pPr>
          </w:p>
          <w:p>
            <w:pPr>
              <w:pStyle w:val="TableParagraph"/>
              <w:spacing w:line="240" w:lineRule="auto"/>
              <w:ind w:right="174"/>
              <w:jc w:val="right"/>
              <w:rPr>
                <w:rFonts w:ascii="黑体" w:hAnsi="黑体" w:cs="黑体" w:eastAsia="黑体" w:hint="default"/>
                <w:sz w:val="20"/>
                <w:szCs w:val="20"/>
              </w:rPr>
            </w:pPr>
            <w:r>
              <w:rPr>
                <w:rFonts w:ascii="黑体" w:hAnsi="黑体" w:cs="黑体" w:eastAsia="黑体" w:hint="default"/>
                <w:sz w:val="20"/>
                <w:szCs w:val="20"/>
              </w:rPr>
              <w:t>本年增加</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2"/>
              <w:ind w:right="0"/>
              <w:jc w:val="left"/>
              <w:rPr>
                <w:rFonts w:ascii="黑体" w:hAnsi="黑体" w:cs="黑体" w:eastAsia="黑体" w:hint="default"/>
                <w:b/>
                <w:bCs/>
                <w:sz w:val="23"/>
                <w:szCs w:val="23"/>
              </w:rPr>
            </w:pPr>
          </w:p>
          <w:p>
            <w:pPr>
              <w:pStyle w:val="TableParagraph"/>
              <w:spacing w:line="240" w:lineRule="auto"/>
              <w:ind w:right="33"/>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r>
      <w:tr>
        <w:trPr>
          <w:trHeight w:val="386"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91"/>
              <w:ind w:left="55" w:right="0"/>
              <w:jc w:val="left"/>
              <w:rPr>
                <w:rFonts w:ascii="黑体" w:hAnsi="黑体" w:cs="黑体" w:eastAsia="黑体" w:hint="default"/>
                <w:sz w:val="20"/>
                <w:szCs w:val="20"/>
              </w:rPr>
            </w:pPr>
            <w:r>
              <w:rPr>
                <w:rFonts w:ascii="黑体" w:hAnsi="黑体" w:cs="黑体" w:eastAsia="黑体" w:hint="default"/>
                <w:sz w:val="20"/>
                <w:szCs w:val="20"/>
              </w:rPr>
              <w:t>特博深</w:t>
            </w:r>
          </w:p>
        </w:tc>
        <w:tc>
          <w:tcPr>
            <w:tcW w:w="2498"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418"/>
              <w:jc w:val="right"/>
              <w:rPr>
                <w:rFonts w:ascii="Arial" w:hAnsi="Arial" w:cs="Arial" w:eastAsia="Arial" w:hint="default"/>
                <w:sz w:val="20"/>
                <w:szCs w:val="20"/>
              </w:rPr>
            </w:pPr>
            <w:r>
              <w:rPr>
                <w:rFonts w:ascii="Arial"/>
                <w:spacing w:val="-1"/>
                <w:sz w:val="20"/>
              </w:rPr>
              <w:t>38,070,000</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74"/>
              <w:jc w:val="right"/>
              <w:rPr>
                <w:rFonts w:ascii="Arial" w:hAnsi="Arial" w:cs="Arial" w:eastAsia="Arial" w:hint="default"/>
                <w:sz w:val="20"/>
                <w:szCs w:val="20"/>
              </w:rPr>
            </w:pPr>
            <w:r>
              <w:rPr>
                <w:rFonts w:ascii="Arial"/>
                <w:w w:val="100"/>
                <w:sz w:val="20"/>
              </w:rPr>
              <w:t>-</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34"/>
              <w:jc w:val="right"/>
              <w:rPr>
                <w:rFonts w:ascii="Arial" w:hAnsi="Arial" w:cs="Arial" w:eastAsia="Arial" w:hint="default"/>
                <w:sz w:val="20"/>
                <w:szCs w:val="20"/>
              </w:rPr>
            </w:pPr>
            <w:r>
              <w:rPr>
                <w:rFonts w:ascii="Arial"/>
                <w:spacing w:val="-1"/>
                <w:sz w:val="20"/>
              </w:rPr>
              <w:t>38,070,000</w:t>
            </w:r>
          </w:p>
        </w:tc>
      </w:tr>
      <w:tr>
        <w:trPr>
          <w:trHeight w:val="259"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26" w:lineRule="exact"/>
              <w:ind w:left="55" w:right="0"/>
              <w:jc w:val="left"/>
              <w:rPr>
                <w:rFonts w:ascii="黑体" w:hAnsi="黑体" w:cs="黑体" w:eastAsia="黑体" w:hint="default"/>
                <w:sz w:val="20"/>
                <w:szCs w:val="20"/>
              </w:rPr>
            </w:pPr>
            <w:r>
              <w:rPr>
                <w:rFonts w:ascii="黑体" w:hAnsi="黑体" w:cs="黑体" w:eastAsia="黑体" w:hint="default"/>
                <w:sz w:val="20"/>
                <w:szCs w:val="20"/>
              </w:rPr>
              <w:t>上海天诺坛网</w:t>
            </w:r>
          </w:p>
        </w:tc>
        <w:tc>
          <w:tcPr>
            <w:tcW w:w="24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18"/>
              <w:jc w:val="right"/>
              <w:rPr>
                <w:rFonts w:ascii="Arial" w:hAnsi="Arial" w:cs="Arial" w:eastAsia="Arial" w:hint="default"/>
                <w:sz w:val="20"/>
                <w:szCs w:val="20"/>
              </w:rPr>
            </w:pPr>
            <w:r>
              <w:rPr>
                <w:rFonts w:ascii="Arial"/>
                <w:spacing w:val="-1"/>
                <w:sz w:val="20"/>
              </w:rPr>
              <w:t>12,659,937</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74"/>
              <w:jc w:val="right"/>
              <w:rPr>
                <w:rFonts w:ascii="Arial" w:hAnsi="Arial" w:cs="Arial" w:eastAsia="Arial" w:hint="default"/>
                <w:sz w:val="20"/>
                <w:szCs w:val="20"/>
              </w:rPr>
            </w:pPr>
            <w:r>
              <w:rPr>
                <w:rFonts w:ascii="Arial"/>
                <w:w w:val="100"/>
                <w:sz w:val="20"/>
              </w:rPr>
              <w:t>-</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12,659,937</w:t>
            </w:r>
          </w:p>
        </w:tc>
      </w:tr>
      <w:tr>
        <w:trPr>
          <w:trHeight w:val="259"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26" w:lineRule="exact"/>
              <w:ind w:left="55" w:right="0"/>
              <w:jc w:val="left"/>
              <w:rPr>
                <w:rFonts w:ascii="黑体" w:hAnsi="黑体" w:cs="黑体" w:eastAsia="黑体" w:hint="default"/>
                <w:sz w:val="20"/>
                <w:szCs w:val="20"/>
              </w:rPr>
            </w:pPr>
            <w:r>
              <w:rPr>
                <w:rFonts w:ascii="黑体" w:hAnsi="黑体" w:cs="黑体" w:eastAsia="黑体" w:hint="default"/>
                <w:sz w:val="20"/>
                <w:szCs w:val="20"/>
              </w:rPr>
              <w:t>重庆迈特</w:t>
            </w:r>
          </w:p>
        </w:tc>
        <w:tc>
          <w:tcPr>
            <w:tcW w:w="24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18"/>
              <w:jc w:val="right"/>
              <w:rPr>
                <w:rFonts w:ascii="Arial" w:hAnsi="Arial" w:cs="Arial" w:eastAsia="Arial" w:hint="default"/>
                <w:sz w:val="20"/>
                <w:szCs w:val="20"/>
              </w:rPr>
            </w:pPr>
            <w:r>
              <w:rPr>
                <w:rFonts w:ascii="Arial"/>
                <w:w w:val="100"/>
                <w:sz w:val="20"/>
              </w:rPr>
              <w:t>-</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74"/>
              <w:jc w:val="right"/>
              <w:rPr>
                <w:rFonts w:ascii="Arial" w:hAnsi="Arial" w:cs="Arial" w:eastAsia="Arial" w:hint="default"/>
                <w:sz w:val="20"/>
                <w:szCs w:val="20"/>
              </w:rPr>
            </w:pPr>
            <w:r>
              <w:rPr>
                <w:rFonts w:ascii="Arial"/>
                <w:spacing w:val="-1"/>
                <w:sz w:val="20"/>
              </w:rPr>
              <w:t>5,709,400</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5,709,400</w:t>
            </w:r>
          </w:p>
        </w:tc>
      </w:tr>
      <w:tr>
        <w:trPr>
          <w:trHeight w:val="260"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26" w:lineRule="exact"/>
              <w:ind w:left="55" w:right="0"/>
              <w:jc w:val="left"/>
              <w:rPr>
                <w:rFonts w:ascii="黑体" w:hAnsi="黑体" w:cs="黑体" w:eastAsia="黑体" w:hint="default"/>
                <w:sz w:val="20"/>
                <w:szCs w:val="20"/>
              </w:rPr>
            </w:pPr>
            <w:r>
              <w:rPr>
                <w:rFonts w:ascii="黑体" w:hAnsi="黑体" w:cs="黑体" w:eastAsia="黑体" w:hint="default"/>
                <w:sz w:val="20"/>
                <w:szCs w:val="20"/>
              </w:rPr>
              <w:t>恒聚哈久</w:t>
            </w:r>
          </w:p>
        </w:tc>
        <w:tc>
          <w:tcPr>
            <w:tcW w:w="24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18"/>
              <w:jc w:val="right"/>
              <w:rPr>
                <w:rFonts w:ascii="Arial" w:hAnsi="Arial" w:cs="Arial" w:eastAsia="Arial" w:hint="default"/>
                <w:sz w:val="20"/>
                <w:szCs w:val="20"/>
              </w:rPr>
            </w:pPr>
            <w:r>
              <w:rPr>
                <w:rFonts w:ascii="Arial"/>
                <w:w w:val="100"/>
                <w:sz w:val="20"/>
              </w:rPr>
              <w:t>-</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74"/>
              <w:jc w:val="right"/>
              <w:rPr>
                <w:rFonts w:ascii="Arial" w:hAnsi="Arial" w:cs="Arial" w:eastAsia="Arial" w:hint="default"/>
                <w:sz w:val="20"/>
                <w:szCs w:val="20"/>
              </w:rPr>
            </w:pPr>
            <w:r>
              <w:rPr>
                <w:rFonts w:ascii="Arial"/>
                <w:spacing w:val="-1"/>
                <w:sz w:val="20"/>
              </w:rPr>
              <w:t>18,318,993</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18,318,993</w:t>
            </w:r>
          </w:p>
        </w:tc>
      </w:tr>
      <w:tr>
        <w:trPr>
          <w:trHeight w:val="270"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27" w:lineRule="exact"/>
              <w:ind w:left="55" w:right="0"/>
              <w:jc w:val="left"/>
              <w:rPr>
                <w:rFonts w:ascii="黑体" w:hAnsi="黑体" w:cs="黑体" w:eastAsia="黑体" w:hint="default"/>
                <w:sz w:val="20"/>
                <w:szCs w:val="20"/>
              </w:rPr>
            </w:pPr>
            <w:r>
              <w:rPr>
                <w:rFonts w:ascii="黑体" w:hAnsi="黑体" w:cs="黑体" w:eastAsia="黑体" w:hint="default"/>
                <w:sz w:val="20"/>
                <w:szCs w:val="20"/>
              </w:rPr>
              <w:t>时空超越</w:t>
            </w:r>
          </w:p>
        </w:tc>
        <w:tc>
          <w:tcPr>
            <w:tcW w:w="2498"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8"/>
              <w:ind w:right="41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75"/>
              <w:jc w:val="right"/>
              <w:rPr>
                <w:rFonts w:ascii="Arial" w:hAnsi="Arial" w:cs="Arial" w:eastAsia="Arial" w:hint="default"/>
                <w:sz w:val="20"/>
                <w:szCs w:val="20"/>
              </w:rPr>
            </w:pPr>
            <w:r>
              <w:rPr>
                <w:rFonts w:ascii="Arial"/>
                <w:w w:val="100"/>
                <w:sz w:val="20"/>
              </w:rPr>
            </w:r>
            <w:r>
              <w:rPr>
                <w:rFonts w:ascii="Arial"/>
                <w:spacing w:val="-1"/>
                <w:sz w:val="20"/>
                <w:u w:val="single" w:color="000000"/>
              </w:rPr>
              <w:t>35,997,518</w:t>
            </w:r>
            <w:r>
              <w:rPr>
                <w:rFonts w:ascii="Arial"/>
                <w:spacing w:val="-1"/>
                <w:sz w:val="20"/>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35,997,518</w:t>
            </w:r>
            <w:r>
              <w:rPr>
                <w:rFonts w:ascii="Arial"/>
                <w:spacing w:val="-1"/>
                <w:sz w:val="20"/>
              </w:rPr>
            </w:r>
          </w:p>
        </w:tc>
      </w:tr>
      <w:tr>
        <w:trPr>
          <w:trHeight w:val="335" w:hRule="exact"/>
        </w:trPr>
        <w:tc>
          <w:tcPr>
            <w:tcW w:w="2067" w:type="dxa"/>
            <w:tcBorders>
              <w:top w:val="nil" w:sz="6" w:space="0" w:color="auto"/>
              <w:left w:val="nil" w:sz="6" w:space="0" w:color="auto"/>
              <w:bottom w:val="nil" w:sz="6" w:space="0" w:color="auto"/>
              <w:right w:val="nil" w:sz="6" w:space="0" w:color="auto"/>
            </w:tcBorders>
          </w:tcPr>
          <w:p>
            <w:pPr/>
          </w:p>
        </w:tc>
        <w:tc>
          <w:tcPr>
            <w:tcW w:w="249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19"/>
              <w:jc w:val="right"/>
              <w:rPr>
                <w:rFonts w:ascii="Arial" w:hAnsi="Arial" w:cs="Arial" w:eastAsia="Arial" w:hint="default"/>
                <w:sz w:val="20"/>
                <w:szCs w:val="20"/>
              </w:rPr>
            </w:pPr>
            <w:r>
              <w:rPr>
                <w:rFonts w:ascii="Arial"/>
                <w:w w:val="100"/>
                <w:sz w:val="20"/>
              </w:rPr>
            </w:r>
            <w:r>
              <w:rPr>
                <w:rFonts w:ascii="Arial"/>
                <w:spacing w:val="-1"/>
                <w:sz w:val="20"/>
                <w:u w:val="thick" w:color="000000"/>
              </w:rPr>
              <w:t>50,729,937</w:t>
            </w:r>
            <w:r>
              <w:rPr>
                <w:rFonts w:ascii="Arial"/>
                <w:spacing w:val="-1"/>
                <w:sz w:val="20"/>
              </w:rPr>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75"/>
              <w:jc w:val="right"/>
              <w:rPr>
                <w:rFonts w:ascii="Arial" w:hAnsi="Arial" w:cs="Arial" w:eastAsia="Arial" w:hint="default"/>
                <w:sz w:val="20"/>
                <w:szCs w:val="20"/>
              </w:rPr>
            </w:pPr>
            <w:r>
              <w:rPr>
                <w:rFonts w:ascii="Arial"/>
                <w:w w:val="100"/>
                <w:sz w:val="20"/>
              </w:rPr>
            </w:r>
            <w:r>
              <w:rPr>
                <w:rFonts w:ascii="Arial"/>
                <w:spacing w:val="-1"/>
                <w:sz w:val="20"/>
                <w:u w:val="thick" w:color="000000"/>
              </w:rPr>
              <w:t>60,025,911</w:t>
            </w:r>
            <w:r>
              <w:rPr>
                <w:rFonts w:ascii="Arial"/>
                <w:spacing w:val="-1"/>
                <w:sz w:val="20"/>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110,755,848</w:t>
            </w:r>
            <w:r>
              <w:rPr>
                <w:rFonts w:ascii="Arial"/>
                <w:spacing w:val="-1"/>
                <w:sz w:val="20"/>
              </w:rPr>
            </w:r>
          </w:p>
        </w:tc>
      </w:tr>
    </w:tbl>
    <w:p>
      <w:pPr>
        <w:spacing w:line="240" w:lineRule="auto" w:before="3"/>
        <w:rPr>
          <w:rFonts w:ascii="黑体" w:hAnsi="黑体" w:cs="黑体" w:eastAsia="黑体" w:hint="default"/>
          <w:b/>
          <w:bCs/>
          <w:sz w:val="10"/>
          <w:szCs w:val="10"/>
        </w:rPr>
      </w:pPr>
    </w:p>
    <w:p>
      <w:pPr>
        <w:pStyle w:val="BodyText"/>
        <w:spacing w:line="312" w:lineRule="auto" w:before="38"/>
        <w:ind w:left="1401" w:right="1058" w:hanging="551"/>
        <w:jc w:val="left"/>
      </w:pPr>
      <w:r>
        <w:rPr/>
        <w:t>注</w:t>
      </w:r>
      <w:r>
        <w:rPr>
          <w:rFonts w:ascii="Arial" w:hAnsi="Arial" w:cs="Arial" w:eastAsia="Arial" w:hint="default"/>
        </w:rPr>
        <w:t>1</w:t>
      </w:r>
      <w:r>
        <w:rPr/>
        <w:t>．</w:t>
      </w:r>
      <w:r>
        <w:rPr>
          <w:spacing w:val="-32"/>
        </w:rPr>
        <w:t> </w:t>
      </w:r>
      <w:r>
        <w:rPr/>
        <w:t>商誉的增加主要为本公司于本年内收购重庆迈特、上海恒聚哈久、时空超越等公司</w:t>
      </w:r>
      <w:r>
        <w:rPr>
          <w:spacing w:val="-88"/>
        </w:rPr>
        <w:t> </w:t>
      </w:r>
      <w:r>
        <w:rPr>
          <w:spacing w:val="-88"/>
        </w:rPr>
      </w:r>
      <w:r>
        <w:rPr/>
        <w:t>的资产及业务，因收购对价高于所收购资产的公允价值所致。参见附注五、</w:t>
      </w:r>
      <w:r>
        <w:rPr>
          <w:rFonts w:ascii="Arial" w:hAnsi="Arial" w:cs="Arial" w:eastAsia="Arial" w:hint="default"/>
        </w:rPr>
        <w:t>15</w:t>
      </w:r>
      <w:r>
        <w:rPr/>
        <w:t>。</w:t>
      </w:r>
    </w:p>
    <w:p>
      <w:pPr>
        <w:spacing w:line="240" w:lineRule="auto" w:before="12"/>
        <w:rPr>
          <w:rFonts w:ascii="黑体" w:hAnsi="黑体" w:cs="黑体" w:eastAsia="黑体" w:hint="default"/>
          <w:sz w:val="15"/>
          <w:szCs w:val="15"/>
        </w:rPr>
      </w:pPr>
    </w:p>
    <w:tbl>
      <w:tblPr>
        <w:tblW w:w="0" w:type="auto"/>
        <w:jc w:val="left"/>
        <w:tblInd w:w="106" w:type="dxa"/>
        <w:tblLayout w:type="fixed"/>
        <w:tblCellMar>
          <w:top w:w="0" w:type="dxa"/>
          <w:left w:w="0" w:type="dxa"/>
          <w:bottom w:w="0" w:type="dxa"/>
          <w:right w:w="0" w:type="dxa"/>
        </w:tblCellMar>
        <w:tblLook w:val="01E0"/>
      </w:tblPr>
      <w:tblGrid>
        <w:gridCol w:w="2773"/>
        <w:gridCol w:w="1387"/>
        <w:gridCol w:w="1435"/>
        <w:gridCol w:w="1519"/>
        <w:gridCol w:w="1462"/>
      </w:tblGrid>
      <w:tr>
        <w:trPr>
          <w:trHeight w:val="999"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44"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p>
            <w:pPr>
              <w:pStyle w:val="TableParagraph"/>
              <w:spacing w:line="240" w:lineRule="auto" w:before="13"/>
              <w:ind w:right="0"/>
              <w:jc w:val="left"/>
              <w:rPr>
                <w:rFonts w:ascii="黑体" w:hAnsi="黑体" w:cs="黑体" w:eastAsia="黑体" w:hint="default"/>
                <w:sz w:val="19"/>
                <w:szCs w:val="19"/>
              </w:rPr>
            </w:pPr>
          </w:p>
          <w:p>
            <w:pPr>
              <w:pStyle w:val="TableParagraph"/>
              <w:spacing w:line="240" w:lineRule="auto"/>
              <w:ind w:left="764" w:right="0"/>
              <w:jc w:val="left"/>
              <w:rPr>
                <w:rFonts w:ascii="黑体" w:hAnsi="黑体" w:cs="黑体" w:eastAsia="黑体" w:hint="default"/>
                <w:sz w:val="20"/>
                <w:szCs w:val="20"/>
              </w:rPr>
            </w:pPr>
            <w:r>
              <w:rPr>
                <w:rFonts w:ascii="黑体" w:hAnsi="黑体" w:cs="黑体" w:eastAsia="黑体" w:hint="default"/>
                <w:sz w:val="20"/>
                <w:szCs w:val="20"/>
              </w:rPr>
              <w:t>被收购对象</w:t>
            </w:r>
          </w:p>
        </w:tc>
        <w:tc>
          <w:tcPr>
            <w:tcW w:w="2822"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0"/>
              <w:ind w:right="0"/>
              <w:jc w:val="left"/>
              <w:rPr>
                <w:rFonts w:ascii="黑体" w:hAnsi="黑体" w:cs="黑体" w:eastAsia="黑体" w:hint="default"/>
                <w:sz w:val="24"/>
                <w:szCs w:val="24"/>
              </w:rPr>
            </w:pPr>
          </w:p>
          <w:p>
            <w:pPr>
              <w:pStyle w:val="TableParagraph"/>
              <w:spacing w:line="240" w:lineRule="auto"/>
              <w:ind w:left="813"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r>
              <w:rPr>
                <w:rFonts w:ascii="Arial" w:hAnsi="Arial" w:cs="Arial" w:eastAsia="Arial" w:hint="default"/>
                <w:sz w:val="20"/>
                <w:szCs w:val="20"/>
              </w:rPr>
              <w:t>1</w:t>
            </w:r>
            <w:r>
              <w:rPr>
                <w:rFonts w:ascii="黑体" w:hAnsi="黑体" w:cs="黑体" w:eastAsia="黑体" w:hint="default"/>
                <w:sz w:val="20"/>
                <w:szCs w:val="20"/>
              </w:rPr>
              <w:t>月</w:t>
            </w:r>
            <w:r>
              <w:rPr>
                <w:rFonts w:ascii="Arial" w:hAnsi="Arial" w:cs="Arial" w:eastAsia="Arial" w:hint="default"/>
                <w:sz w:val="20"/>
                <w:szCs w:val="20"/>
              </w:rPr>
              <w:t>1</w:t>
            </w:r>
            <w:r>
              <w:rPr>
                <w:rFonts w:ascii="黑体" w:hAnsi="黑体" w:cs="黑体" w:eastAsia="黑体" w:hint="default"/>
                <w:sz w:val="20"/>
                <w:szCs w:val="20"/>
              </w:rPr>
              <w:t>日</w:t>
            </w:r>
          </w:p>
        </w:tc>
        <w:tc>
          <w:tcPr>
            <w:tcW w:w="2981"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0"/>
              <w:ind w:right="0"/>
              <w:jc w:val="left"/>
              <w:rPr>
                <w:rFonts w:ascii="黑体" w:hAnsi="黑体" w:cs="黑体" w:eastAsia="黑体" w:hint="default"/>
                <w:sz w:val="24"/>
                <w:szCs w:val="24"/>
              </w:rPr>
            </w:pPr>
          </w:p>
          <w:p>
            <w:pPr>
              <w:pStyle w:val="TableParagraph"/>
              <w:tabs>
                <w:tab w:pos="1455" w:val="left" w:leader="none"/>
              </w:tabs>
              <w:spacing w:line="240" w:lineRule="auto"/>
              <w:ind w:left="300" w:right="0"/>
              <w:jc w:val="left"/>
              <w:rPr>
                <w:rFonts w:ascii="黑体" w:hAnsi="黑体" w:cs="黑体" w:eastAsia="黑体" w:hint="default"/>
                <w:sz w:val="20"/>
                <w:szCs w:val="20"/>
              </w:rPr>
            </w:pPr>
            <w:r>
              <w:rPr>
                <w:rFonts w:ascii="黑体" w:hAnsi="黑体" w:cs="黑体" w:eastAsia="黑体" w:hint="default"/>
                <w:sz w:val="20"/>
                <w:szCs w:val="20"/>
              </w:rPr>
              <w:t>本年增加</w:t>
              <w:tab/>
            </w:r>
            <w:r>
              <w:rPr>
                <w:rFonts w:ascii="Arial" w:hAnsi="Arial" w:cs="Arial" w:eastAsia="Arial" w:hint="default"/>
                <w:sz w:val="20"/>
                <w:szCs w:val="20"/>
              </w:rPr>
              <w:t>2008</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tc>
      </w:tr>
      <w:tr>
        <w:trPr>
          <w:trHeight w:val="386"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65" w:right="0"/>
              <w:jc w:val="left"/>
              <w:rPr>
                <w:rFonts w:ascii="黑体" w:hAnsi="黑体" w:cs="黑体" w:eastAsia="黑体" w:hint="default"/>
                <w:sz w:val="20"/>
                <w:szCs w:val="20"/>
              </w:rPr>
            </w:pPr>
            <w:r>
              <w:rPr>
                <w:rFonts w:ascii="黑体" w:hAnsi="黑体" w:cs="黑体" w:eastAsia="黑体" w:hint="default"/>
                <w:sz w:val="20"/>
                <w:szCs w:val="20"/>
              </w:rPr>
              <w:t>特博深</w:t>
            </w:r>
          </w:p>
        </w:tc>
        <w:tc>
          <w:tcPr>
            <w:tcW w:w="282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4"/>
              <w:ind w:right="739"/>
              <w:jc w:val="right"/>
              <w:rPr>
                <w:rFonts w:ascii="Arial" w:hAnsi="Arial" w:cs="Arial" w:eastAsia="Arial" w:hint="default"/>
                <w:sz w:val="20"/>
                <w:szCs w:val="20"/>
              </w:rPr>
            </w:pPr>
            <w:r>
              <w:rPr>
                <w:rFonts w:ascii="Arial"/>
                <w:w w:val="100"/>
                <w:sz w:val="20"/>
              </w:rPr>
              <w:t>-</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00" w:right="0"/>
              <w:jc w:val="left"/>
              <w:rPr>
                <w:rFonts w:ascii="Arial" w:hAnsi="Arial" w:cs="Arial" w:eastAsia="Arial" w:hint="default"/>
                <w:sz w:val="20"/>
                <w:szCs w:val="20"/>
              </w:rPr>
            </w:pPr>
            <w:r>
              <w:rPr>
                <w:rFonts w:ascii="Arial"/>
                <w:sz w:val="20"/>
              </w:rPr>
              <w:t>38,070,000</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
              <w:jc w:val="right"/>
              <w:rPr>
                <w:rFonts w:ascii="Arial" w:hAnsi="Arial" w:cs="Arial" w:eastAsia="Arial" w:hint="default"/>
                <w:sz w:val="20"/>
                <w:szCs w:val="20"/>
              </w:rPr>
            </w:pPr>
            <w:r>
              <w:rPr>
                <w:rFonts w:ascii="Arial"/>
                <w:spacing w:val="-1"/>
                <w:sz w:val="20"/>
              </w:rPr>
              <w:t>38,070,000</w:t>
            </w:r>
          </w:p>
        </w:tc>
      </w:tr>
      <w:tr>
        <w:trPr>
          <w:trHeight w:val="269"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227" w:lineRule="exact"/>
              <w:ind w:right="805"/>
              <w:jc w:val="right"/>
              <w:rPr>
                <w:rFonts w:ascii="黑体" w:hAnsi="黑体" w:cs="黑体" w:eastAsia="黑体" w:hint="default"/>
                <w:sz w:val="20"/>
                <w:szCs w:val="20"/>
              </w:rPr>
            </w:pPr>
            <w:r>
              <w:rPr>
                <w:rFonts w:ascii="黑体" w:hAnsi="黑体" w:cs="黑体" w:eastAsia="黑体" w:hint="default"/>
                <w:spacing w:val="-1"/>
                <w:sz w:val="20"/>
                <w:szCs w:val="20"/>
              </w:rPr>
              <w:t>上海天诺坛网</w:t>
            </w:r>
          </w:p>
        </w:tc>
        <w:tc>
          <w:tcPr>
            <w:tcW w:w="2822" w:type="dxa"/>
            <w:gridSpan w:val="2"/>
            <w:tcBorders>
              <w:top w:val="nil" w:sz="6" w:space="0" w:color="auto"/>
              <w:left w:val="nil" w:sz="6" w:space="0" w:color="auto"/>
              <w:bottom w:val="nil" w:sz="6" w:space="0" w:color="auto"/>
              <w:right w:val="nil" w:sz="6" w:space="0" w:color="auto"/>
            </w:tcBorders>
          </w:tcPr>
          <w:p>
            <w:pPr>
              <w:pStyle w:val="TableParagraph"/>
              <w:tabs>
                <w:tab w:pos="2013" w:val="left" w:leader="none"/>
              </w:tabs>
              <w:spacing w:line="240" w:lineRule="auto" w:before="8"/>
              <w:ind w:left="1014"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8"/>
              <w:ind w:left="100" w:right="0"/>
              <w:jc w:val="left"/>
              <w:rPr>
                <w:rFonts w:ascii="Arial" w:hAnsi="Arial" w:cs="Arial" w:eastAsia="Arial" w:hint="default"/>
                <w:sz w:val="20"/>
                <w:szCs w:val="20"/>
              </w:rPr>
            </w:pPr>
            <w:r>
              <w:rPr>
                <w:rFonts w:ascii="Arial"/>
                <w:w w:val="100"/>
                <w:sz w:val="20"/>
              </w:rPr>
            </w:r>
            <w:r>
              <w:rPr>
                <w:rFonts w:ascii="Arial"/>
                <w:sz w:val="20"/>
                <w:u w:val="single" w:color="000000"/>
              </w:rPr>
              <w:t>12,659,937</w:t>
            </w:r>
            <w:r>
              <w:rPr>
                <w:rFonts w:ascii="Arial"/>
                <w:sz w:val="20"/>
              </w:rPr>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spacing w:val="-1"/>
                <w:sz w:val="20"/>
                <w:u w:val="single" w:color="000000"/>
              </w:rPr>
              <w:t>12,659,937</w:t>
            </w:r>
            <w:r>
              <w:rPr>
                <w:rFonts w:ascii="Arial"/>
                <w:spacing w:val="-1"/>
                <w:sz w:val="20"/>
              </w:rPr>
            </w:r>
          </w:p>
        </w:tc>
      </w:tr>
      <w:tr>
        <w:trPr>
          <w:trHeight w:val="402" w:hRule="exact"/>
        </w:trPr>
        <w:tc>
          <w:tcPr>
            <w:tcW w:w="2773" w:type="dxa"/>
            <w:tcBorders>
              <w:top w:val="nil" w:sz="6" w:space="0" w:color="auto"/>
              <w:left w:val="nil" w:sz="6" w:space="0" w:color="auto"/>
              <w:bottom w:val="nil" w:sz="6" w:space="0" w:color="auto"/>
              <w:right w:val="nil" w:sz="6" w:space="0" w:color="auto"/>
            </w:tcBorders>
          </w:tcPr>
          <w:p>
            <w:pPr/>
          </w:p>
        </w:tc>
        <w:tc>
          <w:tcPr>
            <w:tcW w:w="2822" w:type="dxa"/>
            <w:gridSpan w:val="2"/>
            <w:tcBorders>
              <w:top w:val="nil" w:sz="6" w:space="0" w:color="auto"/>
              <w:left w:val="nil" w:sz="6" w:space="0" w:color="auto"/>
              <w:bottom w:val="nil" w:sz="6" w:space="0" w:color="auto"/>
              <w:right w:val="nil" w:sz="6" w:space="0" w:color="auto"/>
            </w:tcBorders>
          </w:tcPr>
          <w:p>
            <w:pPr>
              <w:pStyle w:val="TableParagraph"/>
              <w:tabs>
                <w:tab w:pos="2012" w:val="left" w:leader="none"/>
              </w:tabs>
              <w:spacing w:line="240" w:lineRule="auto" w:before="9"/>
              <w:ind w:left="1014"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9"/>
              <w:ind w:left="100" w:right="0"/>
              <w:jc w:val="left"/>
              <w:rPr>
                <w:rFonts w:ascii="Arial" w:hAnsi="Arial" w:cs="Arial" w:eastAsia="Arial" w:hint="default"/>
                <w:sz w:val="20"/>
                <w:szCs w:val="20"/>
              </w:rPr>
            </w:pPr>
            <w:r>
              <w:rPr>
                <w:rFonts w:ascii="Arial"/>
                <w:w w:val="100"/>
                <w:sz w:val="20"/>
              </w:rPr>
            </w:r>
            <w:r>
              <w:rPr>
                <w:rFonts w:ascii="Arial"/>
                <w:sz w:val="20"/>
                <w:u w:val="thick" w:color="000000"/>
              </w:rPr>
              <w:t>50,729,937</w:t>
            </w:r>
            <w:r>
              <w:rPr>
                <w:rFonts w:ascii="Arial"/>
                <w:sz w:val="20"/>
              </w:rPr>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50,729,937</w:t>
            </w:r>
            <w:r>
              <w:rPr>
                <w:rFonts w:ascii="Arial"/>
                <w:spacing w:val="-1"/>
                <w:sz w:val="20"/>
              </w:rPr>
            </w:r>
          </w:p>
        </w:tc>
      </w:tr>
      <w:tr>
        <w:trPr>
          <w:trHeight w:val="540" w:hRule="exact"/>
        </w:trPr>
        <w:tc>
          <w:tcPr>
            <w:tcW w:w="2773" w:type="dxa"/>
            <w:tcBorders>
              <w:top w:val="nil" w:sz="6" w:space="0" w:color="auto"/>
              <w:left w:val="nil" w:sz="6" w:space="0" w:color="auto"/>
              <w:bottom w:val="nil" w:sz="6" w:space="0" w:color="auto"/>
              <w:right w:val="nil" w:sz="6" w:space="0" w:color="auto"/>
            </w:tcBorders>
          </w:tcPr>
          <w:p>
            <w:pPr>
              <w:pStyle w:val="TableParagraph"/>
              <w:tabs>
                <w:tab w:pos="719" w:val="left" w:leader="none"/>
              </w:tabs>
              <w:spacing w:line="240" w:lineRule="auto" w:before="105"/>
              <w:ind w:right="810"/>
              <w:jc w:val="right"/>
              <w:rPr>
                <w:rFonts w:ascii="黑体" w:hAnsi="黑体" w:cs="黑体" w:eastAsia="黑体" w:hint="default"/>
                <w:sz w:val="20"/>
                <w:szCs w:val="20"/>
              </w:rPr>
            </w:pPr>
            <w:r>
              <w:rPr>
                <w:rFonts w:ascii="Arial" w:hAnsi="Arial" w:cs="Arial" w:eastAsia="Arial" w:hint="default"/>
                <w:b/>
                <w:bCs/>
                <w:spacing w:val="-1"/>
                <w:sz w:val="20"/>
                <w:szCs w:val="20"/>
              </w:rPr>
              <w:t>13.</w:t>
              <w:tab/>
            </w:r>
            <w:r>
              <w:rPr>
                <w:rFonts w:ascii="黑体" w:hAnsi="黑体" w:cs="黑体" w:eastAsia="黑体" w:hint="default"/>
                <w:b/>
                <w:bCs/>
                <w:sz w:val="20"/>
                <w:szCs w:val="20"/>
              </w:rPr>
              <w:t>长期待摊费用</w:t>
            </w:r>
            <w:r>
              <w:rPr>
                <w:rFonts w:ascii="黑体" w:hAnsi="黑体" w:cs="黑体" w:eastAsia="黑体" w:hint="default"/>
                <w:sz w:val="20"/>
                <w:szCs w:val="20"/>
              </w:rPr>
            </w:r>
          </w:p>
        </w:tc>
        <w:tc>
          <w:tcPr>
            <w:tcW w:w="2822" w:type="dxa"/>
            <w:gridSpan w:val="2"/>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
        </w:tc>
      </w:tr>
      <w:tr>
        <w:trPr>
          <w:trHeight w:val="519"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749"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2822" w:type="dxa"/>
            <w:gridSpan w:val="2"/>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
        </w:tc>
      </w:tr>
      <w:tr>
        <w:trPr>
          <w:trHeight w:val="537" w:hRule="exact"/>
        </w:trPr>
        <w:tc>
          <w:tcPr>
            <w:tcW w:w="41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4"/>
              <w:ind w:right="355"/>
              <w:jc w:val="right"/>
              <w:rPr>
                <w:rFonts w:ascii="黑体" w:hAnsi="黑体" w:cs="黑体" w:eastAsia="黑体" w:hint="default"/>
                <w:sz w:val="20"/>
                <w:szCs w:val="20"/>
              </w:rPr>
            </w:pPr>
            <w:r>
              <w:rPr>
                <w:rFonts w:ascii="黑体" w:hAnsi="黑体" w:cs="黑体" w:eastAsia="黑体" w:hint="default"/>
                <w:sz w:val="20"/>
                <w:szCs w:val="20"/>
              </w:rPr>
              <w:t>年初数</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27"/>
              <w:jc w:val="right"/>
              <w:rPr>
                <w:rFonts w:ascii="黑体" w:hAnsi="黑体" w:cs="黑体" w:eastAsia="黑体" w:hint="default"/>
                <w:sz w:val="20"/>
                <w:szCs w:val="20"/>
              </w:rPr>
            </w:pPr>
            <w:r>
              <w:rPr>
                <w:rFonts w:ascii="黑体" w:hAnsi="黑体" w:cs="黑体" w:eastAsia="黑体" w:hint="default"/>
                <w:sz w:val="20"/>
                <w:szCs w:val="20"/>
              </w:rPr>
              <w:t>本年增加</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
              <w:jc w:val="right"/>
              <w:rPr>
                <w:rFonts w:ascii="黑体" w:hAnsi="黑体" w:cs="黑体" w:eastAsia="黑体" w:hint="default"/>
                <w:sz w:val="20"/>
                <w:szCs w:val="20"/>
              </w:rPr>
            </w:pPr>
            <w:r>
              <w:rPr>
                <w:rFonts w:ascii="黑体" w:hAnsi="黑体" w:cs="黑体" w:eastAsia="黑体" w:hint="default"/>
                <w:sz w:val="20"/>
                <w:szCs w:val="20"/>
              </w:rPr>
              <w:t>本年摊销</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黑体" w:hAnsi="黑体" w:cs="黑体" w:eastAsia="黑体" w:hint="default"/>
                <w:sz w:val="20"/>
                <w:szCs w:val="20"/>
              </w:rPr>
            </w:pPr>
            <w:r>
              <w:rPr>
                <w:rFonts w:ascii="黑体" w:hAnsi="黑体" w:cs="黑体" w:eastAsia="黑体" w:hint="default"/>
                <w:sz w:val="20"/>
                <w:szCs w:val="20"/>
              </w:rPr>
              <w:t>年末数</w:t>
            </w:r>
          </w:p>
        </w:tc>
      </w:tr>
      <w:tr>
        <w:trPr>
          <w:trHeight w:val="471" w:hRule="exact"/>
        </w:trPr>
        <w:tc>
          <w:tcPr>
            <w:tcW w:w="4161" w:type="dxa"/>
            <w:gridSpan w:val="2"/>
            <w:tcBorders>
              <w:top w:val="nil" w:sz="6" w:space="0" w:color="auto"/>
              <w:left w:val="nil" w:sz="6" w:space="0" w:color="auto"/>
              <w:bottom w:val="nil" w:sz="6" w:space="0" w:color="auto"/>
              <w:right w:val="nil" w:sz="6" w:space="0" w:color="auto"/>
            </w:tcBorders>
          </w:tcPr>
          <w:p>
            <w:pPr>
              <w:pStyle w:val="TableParagraph"/>
              <w:tabs>
                <w:tab w:pos="2919" w:val="left" w:leader="none"/>
              </w:tabs>
              <w:spacing w:line="240" w:lineRule="auto" w:before="165"/>
              <w:ind w:left="754" w:right="0"/>
              <w:jc w:val="left"/>
              <w:rPr>
                <w:rFonts w:ascii="Arial" w:hAnsi="Arial" w:cs="Arial" w:eastAsia="Arial" w:hint="default"/>
                <w:sz w:val="20"/>
                <w:szCs w:val="20"/>
              </w:rPr>
            </w:pPr>
            <w:r>
              <w:rPr>
                <w:rFonts w:ascii="黑体" w:hAnsi="黑体" w:cs="黑体" w:eastAsia="黑体" w:hint="default"/>
                <w:position w:val="-5"/>
                <w:sz w:val="20"/>
                <w:szCs w:val="20"/>
              </w:rPr>
              <w:t>装修费</w:t>
              <w:tab/>
            </w:r>
            <w:r>
              <w:rPr>
                <w:rFonts w:ascii="Arial" w:hAnsi="Arial" w:cs="Arial" w:eastAsia="Arial" w:hint="default"/>
                <w:sz w:val="20"/>
                <w:szCs w:val="20"/>
              </w:rPr>
              <w:t>2,417,273</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165"/>
              <w:ind w:right="119"/>
              <w:jc w:val="right"/>
              <w:rPr>
                <w:rFonts w:ascii="Arial" w:hAnsi="Arial" w:cs="Arial" w:eastAsia="Arial" w:hint="default"/>
                <w:sz w:val="20"/>
                <w:szCs w:val="20"/>
              </w:rPr>
            </w:pPr>
            <w:r>
              <w:rPr>
                <w:rFonts w:ascii="Arial"/>
                <w:spacing w:val="-1"/>
                <w:sz w:val="20"/>
              </w:rPr>
              <w:t>6,393,167</w:t>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65"/>
              <w:ind w:right="2"/>
              <w:jc w:val="right"/>
              <w:rPr>
                <w:rFonts w:ascii="Arial" w:hAnsi="Arial" w:cs="Arial" w:eastAsia="Arial" w:hint="default"/>
                <w:sz w:val="20"/>
                <w:szCs w:val="20"/>
              </w:rPr>
            </w:pPr>
            <w:r>
              <w:rPr>
                <w:rFonts w:ascii="Arial"/>
                <w:spacing w:val="-1"/>
                <w:sz w:val="20"/>
              </w:rPr>
              <w:t>1,792,709</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165"/>
              <w:ind w:right="33"/>
              <w:jc w:val="right"/>
              <w:rPr>
                <w:rFonts w:ascii="Arial" w:hAnsi="Arial" w:cs="Arial" w:eastAsia="Arial" w:hint="default"/>
                <w:sz w:val="20"/>
                <w:szCs w:val="20"/>
              </w:rPr>
            </w:pPr>
            <w:r>
              <w:rPr>
                <w:rFonts w:ascii="Arial"/>
                <w:spacing w:val="-1"/>
                <w:sz w:val="20"/>
              </w:rPr>
              <w:t>7,017,731</w:t>
            </w:r>
          </w:p>
        </w:tc>
      </w:tr>
      <w:tr>
        <w:trPr>
          <w:trHeight w:val="360" w:hRule="exact"/>
        </w:trPr>
        <w:tc>
          <w:tcPr>
            <w:tcW w:w="4161" w:type="dxa"/>
            <w:gridSpan w:val="2"/>
            <w:tcBorders>
              <w:top w:val="nil" w:sz="6" w:space="0" w:color="auto"/>
              <w:left w:val="nil" w:sz="6" w:space="0" w:color="auto"/>
              <w:bottom w:val="nil" w:sz="6" w:space="0" w:color="auto"/>
              <w:right w:val="nil" w:sz="6" w:space="0" w:color="auto"/>
            </w:tcBorders>
          </w:tcPr>
          <w:p>
            <w:pPr>
              <w:pStyle w:val="TableParagraph"/>
              <w:tabs>
                <w:tab w:pos="2808" w:val="left" w:leader="none"/>
              </w:tabs>
              <w:spacing w:line="240" w:lineRule="auto" w:before="18"/>
              <w:ind w:left="754" w:right="0"/>
              <w:jc w:val="left"/>
              <w:rPr>
                <w:rFonts w:ascii="Arial" w:hAnsi="Arial" w:cs="Arial" w:eastAsia="Arial" w:hint="default"/>
                <w:sz w:val="20"/>
                <w:szCs w:val="20"/>
              </w:rPr>
            </w:pPr>
            <w:r>
              <w:rPr>
                <w:rFonts w:ascii="黑体" w:hAnsi="黑体" w:cs="黑体" w:eastAsia="黑体" w:hint="default"/>
                <w:sz w:val="20"/>
                <w:szCs w:val="20"/>
              </w:rPr>
              <w:t>其他</w:t>
              <w:tab/>
            </w:r>
            <w:r>
              <w:rPr>
                <w:rFonts w:ascii="Arial" w:hAnsi="Arial" w:cs="Arial" w:eastAsia="Arial" w:hint="default"/>
                <w:position w:val="1"/>
                <w:sz w:val="20"/>
                <w:szCs w:val="20"/>
              </w:rPr>
            </w:r>
            <w:r>
              <w:rPr>
                <w:rFonts w:ascii="Arial" w:hAnsi="Arial" w:cs="Arial" w:eastAsia="Arial" w:hint="default"/>
                <w:position w:val="1"/>
                <w:sz w:val="20"/>
                <w:szCs w:val="20"/>
                <w:u w:val="single" w:color="000000"/>
              </w:rPr>
              <w:t>20,111,681</w:t>
            </w:r>
            <w:r>
              <w:rPr>
                <w:rFonts w:ascii="Arial" w:hAnsi="Arial" w:cs="Arial" w:eastAsia="Arial" w:hint="default"/>
                <w:sz w:val="20"/>
                <w:szCs w:val="20"/>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2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5,259,720</w:t>
            </w:r>
            <w:r>
              <w:rPr>
                <w:rFonts w:ascii="Arial"/>
                <w:sz w:val="20"/>
              </w:rPr>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
              <w:jc w:val="right"/>
              <w:rPr>
                <w:rFonts w:ascii="Arial" w:hAnsi="Arial" w:cs="Arial" w:eastAsia="Arial" w:hint="default"/>
                <w:sz w:val="20"/>
                <w:szCs w:val="20"/>
              </w:rPr>
            </w:pPr>
            <w:r>
              <w:rPr>
                <w:rFonts w:ascii="Arial"/>
                <w:w w:val="100"/>
                <w:sz w:val="20"/>
              </w:rPr>
            </w:r>
            <w:r>
              <w:rPr>
                <w:rFonts w:ascii="Arial"/>
                <w:spacing w:val="-1"/>
                <w:sz w:val="20"/>
                <w:u w:val="single" w:color="000000"/>
              </w:rPr>
              <w:t>4,145,665</w:t>
            </w:r>
            <w:r>
              <w:rPr>
                <w:rFonts w:ascii="Arial"/>
                <w:spacing w:val="-1"/>
                <w:sz w:val="20"/>
              </w:rPr>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Arial" w:hAnsi="Arial" w:cs="Arial" w:eastAsia="Arial" w:hint="default"/>
                <w:sz w:val="20"/>
                <w:szCs w:val="20"/>
              </w:rPr>
            </w:pPr>
            <w:r>
              <w:rPr>
                <w:rFonts w:ascii="Arial"/>
                <w:w w:val="100"/>
                <w:sz w:val="20"/>
              </w:rPr>
            </w:r>
            <w:r>
              <w:rPr>
                <w:rFonts w:ascii="Arial"/>
                <w:spacing w:val="-1"/>
                <w:sz w:val="20"/>
                <w:u w:val="single" w:color="000000"/>
              </w:rPr>
              <w:t>21,225,736</w:t>
            </w:r>
            <w:r>
              <w:rPr>
                <w:rFonts w:ascii="Arial"/>
                <w:spacing w:val="-1"/>
                <w:sz w:val="20"/>
              </w:rPr>
            </w:r>
          </w:p>
        </w:tc>
      </w:tr>
      <w:tr>
        <w:trPr>
          <w:trHeight w:val="280" w:hRule="exact"/>
        </w:trPr>
        <w:tc>
          <w:tcPr>
            <w:tcW w:w="41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right="348"/>
              <w:jc w:val="right"/>
              <w:rPr>
                <w:rFonts w:ascii="Arial" w:hAnsi="Arial" w:cs="Arial" w:eastAsia="Arial" w:hint="default"/>
                <w:sz w:val="20"/>
                <w:szCs w:val="20"/>
              </w:rPr>
            </w:pPr>
            <w:r>
              <w:rPr>
                <w:rFonts w:ascii="Arial"/>
                <w:w w:val="100"/>
                <w:sz w:val="20"/>
              </w:rPr>
            </w:r>
            <w:r>
              <w:rPr>
                <w:rFonts w:ascii="Arial"/>
                <w:spacing w:val="-1"/>
                <w:sz w:val="20"/>
                <w:u w:val="thick" w:color="000000"/>
              </w:rPr>
              <w:t>22,528,954</w:t>
            </w:r>
            <w:r>
              <w:rPr>
                <w:rFonts w:ascii="Arial"/>
                <w:spacing w:val="-1"/>
                <w:sz w:val="20"/>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20"/>
              <w:jc w:val="right"/>
              <w:rPr>
                <w:rFonts w:ascii="Arial" w:hAnsi="Arial" w:cs="Arial" w:eastAsia="Arial" w:hint="default"/>
                <w:sz w:val="20"/>
                <w:szCs w:val="20"/>
              </w:rPr>
            </w:pPr>
            <w:r>
              <w:rPr>
                <w:rFonts w:ascii="Arial"/>
                <w:w w:val="100"/>
                <w:sz w:val="20"/>
              </w:rPr>
            </w:r>
            <w:r>
              <w:rPr>
                <w:rFonts w:ascii="Arial"/>
                <w:spacing w:val="-1"/>
                <w:sz w:val="20"/>
                <w:u w:val="thick" w:color="000000"/>
              </w:rPr>
              <w:t>11,652,887</w:t>
            </w:r>
            <w:r>
              <w:rPr>
                <w:rFonts w:ascii="Arial"/>
                <w:spacing w:val="-1"/>
                <w:sz w:val="20"/>
              </w:rPr>
            </w: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
              <w:jc w:val="right"/>
              <w:rPr>
                <w:rFonts w:ascii="Arial" w:hAnsi="Arial" w:cs="Arial" w:eastAsia="Arial" w:hint="default"/>
                <w:sz w:val="20"/>
                <w:szCs w:val="20"/>
              </w:rPr>
            </w:pPr>
            <w:r>
              <w:rPr>
                <w:rFonts w:ascii="Arial"/>
                <w:w w:val="100"/>
                <w:sz w:val="20"/>
              </w:rPr>
            </w:r>
            <w:r>
              <w:rPr>
                <w:rFonts w:ascii="Arial"/>
                <w:spacing w:val="-1"/>
                <w:sz w:val="20"/>
                <w:u w:val="thick" w:color="000000"/>
              </w:rPr>
              <w:t>5,938,374</w:t>
            </w:r>
            <w:r>
              <w:rPr>
                <w:rFonts w:ascii="Arial"/>
                <w:spacing w:val="-1"/>
                <w:sz w:val="20"/>
              </w:rPr>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28,243,467</w:t>
            </w:r>
            <w:r>
              <w:rPr>
                <w:rFonts w:ascii="Arial"/>
                <w:spacing w:val="-1"/>
                <w:sz w:val="20"/>
              </w:rPr>
            </w:r>
          </w:p>
        </w:tc>
      </w:tr>
      <w:tr>
        <w:trPr>
          <w:trHeight w:val="645"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黑体" w:hAnsi="黑体" w:cs="黑体" w:eastAsia="黑体" w:hint="default"/>
                <w:sz w:val="20"/>
                <w:szCs w:val="20"/>
              </w:rPr>
            </w:pPr>
          </w:p>
          <w:p>
            <w:pPr>
              <w:pStyle w:val="TableParagraph"/>
              <w:spacing w:line="240" w:lineRule="auto"/>
              <w:ind w:left="749"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c>
          <w:tcPr>
            <w:tcW w:w="1387"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
        </w:tc>
      </w:tr>
    </w:tbl>
    <w:p>
      <w:pPr>
        <w:spacing w:line="240" w:lineRule="auto" w:before="2"/>
        <w:rPr>
          <w:rFonts w:ascii="黑体" w:hAnsi="黑体" w:cs="黑体" w:eastAsia="黑体" w:hint="default"/>
          <w:sz w:val="6"/>
          <w:szCs w:val="6"/>
        </w:rPr>
      </w:pPr>
    </w:p>
    <w:p>
      <w:pPr>
        <w:pStyle w:val="BodyText"/>
        <w:tabs>
          <w:tab w:pos="4799" w:val="left" w:leader="none"/>
          <w:tab w:pos="6416" w:val="left" w:leader="none"/>
          <w:tab w:pos="8043" w:val="left" w:leader="none"/>
        </w:tabs>
        <w:spacing w:line="240" w:lineRule="auto" w:before="38"/>
        <w:ind w:left="3349" w:right="1058"/>
        <w:jc w:val="left"/>
      </w:pPr>
      <w:r>
        <w:rPr/>
        <w:t>年初数</w:t>
        <w:tab/>
        <w:t>本年增加</w:t>
        <w:tab/>
        <w:t>本年摊销</w:t>
        <w:tab/>
        <w:t>年末数</w:t>
      </w:r>
    </w:p>
    <w:p>
      <w:pPr>
        <w:spacing w:line="240" w:lineRule="auto" w:before="3"/>
        <w:rPr>
          <w:rFonts w:ascii="黑体" w:hAnsi="黑体" w:cs="黑体" w:eastAsia="黑体" w:hint="default"/>
          <w:sz w:val="24"/>
          <w:szCs w:val="24"/>
        </w:rPr>
      </w:pPr>
    </w:p>
    <w:p>
      <w:pPr>
        <w:pStyle w:val="BodyText"/>
        <w:tabs>
          <w:tab w:pos="3066" w:val="left" w:leader="none"/>
          <w:tab w:pos="4711" w:val="left" w:leader="none"/>
          <w:tab w:pos="6334" w:val="left" w:leader="none"/>
          <w:tab w:pos="7761" w:val="left" w:leader="none"/>
        </w:tabs>
        <w:spacing w:line="240" w:lineRule="auto"/>
        <w:ind w:left="860" w:right="1058"/>
        <w:jc w:val="left"/>
        <w:rPr>
          <w:rFonts w:ascii="Arial" w:hAnsi="Arial" w:cs="Arial" w:eastAsia="Arial" w:hint="default"/>
        </w:rPr>
      </w:pPr>
      <w:r>
        <w:rPr>
          <w:position w:val="-5"/>
        </w:rPr>
        <w:t>装修费</w:t>
        <w:tab/>
      </w:r>
      <w:r>
        <w:rPr>
          <w:rFonts w:ascii="Arial" w:hAnsi="Arial" w:cs="Arial" w:eastAsia="Arial" w:hint="default"/>
          <w:spacing w:val="-1"/>
        </w:rPr>
        <w:t>1,692,921</w:t>
        <w:tab/>
        <w:t>2,627,181</w:t>
        <w:tab/>
        <w:t>1,902,829</w:t>
        <w:tab/>
        <w:t>2,417,273</w:t>
      </w:r>
    </w:p>
    <w:p>
      <w:pPr>
        <w:spacing w:line="240" w:lineRule="auto" w:before="3"/>
        <w:rPr>
          <w:rFonts w:ascii="Arial" w:hAnsi="Arial" w:cs="Arial" w:eastAsia="Arial" w:hint="default"/>
          <w:sz w:val="3"/>
          <w:szCs w:val="3"/>
        </w:rPr>
      </w:pPr>
    </w:p>
    <w:tbl>
      <w:tblPr>
        <w:tblW w:w="0" w:type="auto"/>
        <w:jc w:val="left"/>
        <w:tblInd w:w="825" w:type="dxa"/>
        <w:tblLayout w:type="fixed"/>
        <w:tblCellMar>
          <w:top w:w="0" w:type="dxa"/>
          <w:left w:w="0" w:type="dxa"/>
          <w:bottom w:w="0" w:type="dxa"/>
          <w:right w:w="0" w:type="dxa"/>
        </w:tblCellMar>
        <w:tblLook w:val="01E0"/>
      </w:tblPr>
      <w:tblGrid>
        <w:gridCol w:w="1282"/>
        <w:gridCol w:w="2193"/>
        <w:gridCol w:w="1685"/>
        <w:gridCol w:w="1452"/>
        <w:gridCol w:w="1249"/>
      </w:tblGrid>
      <w:tr>
        <w:trPr>
          <w:trHeight w:val="352" w:hRule="exact"/>
        </w:trPr>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42"/>
              <w:jc w:val="right"/>
              <w:rPr>
                <w:rFonts w:ascii="Arial" w:hAnsi="Arial" w:cs="Arial" w:eastAsia="Arial" w:hint="default"/>
                <w:sz w:val="20"/>
                <w:szCs w:val="20"/>
              </w:rPr>
            </w:pPr>
            <w:r>
              <w:rPr>
                <w:rFonts w:ascii="Arial"/>
                <w:w w:val="100"/>
                <w:sz w:val="20"/>
              </w:rPr>
            </w:r>
            <w:r>
              <w:rPr>
                <w:rFonts w:ascii="Arial"/>
                <w:spacing w:val="-1"/>
                <w:sz w:val="20"/>
                <w:u w:val="single" w:color="000000"/>
              </w:rPr>
              <w:t>20,653,432</w:t>
            </w:r>
            <w:r>
              <w:rPr>
                <w:rFonts w:ascii="Arial"/>
                <w:spacing w:val="-1"/>
                <w:sz w:val="20"/>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4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2,507,533</w:t>
            </w:r>
            <w:r>
              <w:rPr>
                <w:rFonts w:ascii="Arial"/>
                <w:sz w:val="20"/>
              </w:rPr>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10"/>
              <w:jc w:val="right"/>
              <w:rPr>
                <w:rFonts w:ascii="Arial" w:hAnsi="Arial" w:cs="Arial" w:eastAsia="Arial" w:hint="default"/>
                <w:sz w:val="20"/>
                <w:szCs w:val="20"/>
              </w:rPr>
            </w:pPr>
            <w:r>
              <w:rPr>
                <w:rFonts w:ascii="Arial"/>
                <w:w w:val="100"/>
                <w:sz w:val="20"/>
              </w:rPr>
            </w:r>
            <w:r>
              <w:rPr>
                <w:rFonts w:ascii="Arial"/>
                <w:spacing w:val="-1"/>
                <w:sz w:val="20"/>
                <w:u w:val="single" w:color="000000"/>
              </w:rPr>
              <w:t>3,049,284</w:t>
            </w:r>
            <w:r>
              <w:rPr>
                <w:rFonts w:ascii="Arial"/>
                <w:spacing w:val="-1"/>
                <w:sz w:val="20"/>
              </w:rPr>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3"/>
              <w:jc w:val="right"/>
              <w:rPr>
                <w:rFonts w:ascii="Arial" w:hAnsi="Arial" w:cs="Arial" w:eastAsia="Arial" w:hint="default"/>
                <w:sz w:val="20"/>
                <w:szCs w:val="20"/>
              </w:rPr>
            </w:pPr>
            <w:r>
              <w:rPr>
                <w:rFonts w:ascii="Arial"/>
                <w:w w:val="100"/>
                <w:sz w:val="20"/>
              </w:rPr>
            </w:r>
            <w:r>
              <w:rPr>
                <w:rFonts w:ascii="Arial"/>
                <w:spacing w:val="-1"/>
                <w:sz w:val="20"/>
                <w:u w:val="single" w:color="000000"/>
              </w:rPr>
              <w:t>20,111,681</w:t>
            </w:r>
            <w:r>
              <w:rPr>
                <w:rFonts w:ascii="Arial"/>
                <w:spacing w:val="-1"/>
                <w:sz w:val="20"/>
              </w:rPr>
            </w:r>
          </w:p>
        </w:tc>
      </w:tr>
      <w:tr>
        <w:trPr>
          <w:trHeight w:val="380" w:hRule="exact"/>
        </w:trPr>
        <w:tc>
          <w:tcPr>
            <w:tcW w:w="1282" w:type="dxa"/>
            <w:tcBorders>
              <w:top w:val="nil" w:sz="6" w:space="0" w:color="auto"/>
              <w:left w:val="nil" w:sz="6" w:space="0" w:color="auto"/>
              <w:bottom w:val="nil" w:sz="6" w:space="0" w:color="auto"/>
              <w:right w:val="nil" w:sz="6" w:space="0" w:color="auto"/>
            </w:tcBorders>
          </w:tcPr>
          <w:p>
            <w:pP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42"/>
              <w:jc w:val="right"/>
              <w:rPr>
                <w:rFonts w:ascii="Arial" w:hAnsi="Arial" w:cs="Arial" w:eastAsia="Arial" w:hint="default"/>
                <w:sz w:val="20"/>
                <w:szCs w:val="20"/>
              </w:rPr>
            </w:pPr>
            <w:r>
              <w:rPr>
                <w:rFonts w:ascii="Arial"/>
                <w:w w:val="100"/>
                <w:sz w:val="20"/>
              </w:rPr>
            </w:r>
            <w:r>
              <w:rPr>
                <w:rFonts w:ascii="Arial"/>
                <w:spacing w:val="-1"/>
                <w:sz w:val="20"/>
                <w:u w:val="thick" w:color="000000"/>
              </w:rPr>
              <w:t>22,346,353</w:t>
            </w:r>
            <w:r>
              <w:rPr>
                <w:rFonts w:ascii="Arial"/>
                <w:spacing w:val="-1"/>
                <w:sz w:val="20"/>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47"/>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z w:val="20"/>
                <w:u w:val="thick" w:color="000000"/>
              </w:rPr>
              <w:t>5,134,714</w:t>
            </w:r>
            <w:r>
              <w:rPr>
                <w:rFonts w:ascii="Arial"/>
                <w:sz w:val="20"/>
              </w:rPr>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10"/>
              <w:jc w:val="right"/>
              <w:rPr>
                <w:rFonts w:ascii="Arial" w:hAnsi="Arial" w:cs="Arial" w:eastAsia="Arial" w:hint="default"/>
                <w:sz w:val="20"/>
                <w:szCs w:val="20"/>
              </w:rPr>
            </w:pPr>
            <w:r>
              <w:rPr>
                <w:rFonts w:ascii="Arial"/>
                <w:w w:val="100"/>
                <w:sz w:val="20"/>
              </w:rPr>
            </w:r>
            <w:r>
              <w:rPr>
                <w:rFonts w:ascii="Arial"/>
                <w:spacing w:val="-1"/>
                <w:sz w:val="20"/>
                <w:u w:val="thick" w:color="000000"/>
              </w:rPr>
              <w:t>4,952,113</w:t>
            </w:r>
            <w:r>
              <w:rPr>
                <w:rFonts w:ascii="Arial"/>
                <w:spacing w:val="-1"/>
                <w:sz w:val="20"/>
              </w:rPr>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22,528,954</w:t>
            </w:r>
            <w:r>
              <w:rPr>
                <w:rFonts w:ascii="Arial"/>
                <w:spacing w:val="-1"/>
                <w:sz w:val="20"/>
              </w:rPr>
            </w:r>
          </w:p>
        </w:tc>
      </w:tr>
    </w:tbl>
    <w:p>
      <w:pPr>
        <w:spacing w:after="0" w:line="240" w:lineRule="auto"/>
        <w:jc w:val="right"/>
        <w:rPr>
          <w:rFonts w:ascii="Arial" w:hAnsi="Arial" w:cs="Arial" w:eastAsia="Arial" w:hint="default"/>
          <w:sz w:val="20"/>
          <w:szCs w:val="20"/>
        </w:rPr>
        <w:sectPr>
          <w:pgSz w:w="11910" w:h="16840"/>
          <w:pgMar w:header="958" w:footer="466" w:top="2560" w:bottom="660" w:left="1560" w:right="0"/>
        </w:sect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8"/>
        <w:rPr>
          <w:rFonts w:ascii="Arial" w:hAnsi="Arial" w:cs="Arial" w:eastAsia="Arial" w:hint="default"/>
          <w:sz w:val="19"/>
          <w:szCs w:val="19"/>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6"/>
        <w:rPr>
          <w:rFonts w:ascii="黑体" w:hAnsi="黑体" w:cs="黑体" w:eastAsia="黑体" w:hint="default"/>
          <w:b/>
          <w:bCs/>
          <w:sz w:val="27"/>
          <w:szCs w:val="27"/>
        </w:rPr>
      </w:pPr>
    </w:p>
    <w:tbl>
      <w:tblPr>
        <w:tblW w:w="0" w:type="auto"/>
        <w:jc w:val="left"/>
        <w:tblInd w:w="106" w:type="dxa"/>
        <w:tblLayout w:type="fixed"/>
        <w:tblCellMar>
          <w:top w:w="0" w:type="dxa"/>
          <w:left w:w="0" w:type="dxa"/>
          <w:bottom w:w="0" w:type="dxa"/>
          <w:right w:w="0" w:type="dxa"/>
        </w:tblCellMar>
        <w:tblLook w:val="01E0"/>
      </w:tblPr>
      <w:tblGrid>
        <w:gridCol w:w="4340"/>
        <w:gridCol w:w="2392"/>
        <w:gridCol w:w="1843"/>
      </w:tblGrid>
      <w:tr>
        <w:trPr>
          <w:trHeight w:val="1090" w:hRule="exact"/>
        </w:trPr>
        <w:tc>
          <w:tcPr>
            <w:tcW w:w="4340" w:type="dxa"/>
            <w:tcBorders>
              <w:top w:val="nil" w:sz="6" w:space="0" w:color="auto"/>
              <w:left w:val="nil" w:sz="6" w:space="0" w:color="auto"/>
              <w:bottom w:val="nil" w:sz="6" w:space="0" w:color="auto"/>
              <w:right w:val="nil" w:sz="6" w:space="0" w:color="auto"/>
            </w:tcBorders>
          </w:tcPr>
          <w:p>
            <w:pPr>
              <w:pStyle w:val="TableParagraph"/>
              <w:tabs>
                <w:tab w:pos="712" w:val="left" w:leader="none"/>
              </w:tabs>
              <w:spacing w:line="240" w:lineRule="auto" w:before="38"/>
              <w:ind w:left="35" w:right="0"/>
              <w:jc w:val="left"/>
              <w:rPr>
                <w:rFonts w:ascii="黑体" w:hAnsi="黑体" w:cs="黑体" w:eastAsia="黑体" w:hint="default"/>
                <w:sz w:val="20"/>
                <w:szCs w:val="20"/>
              </w:rPr>
            </w:pPr>
            <w:r>
              <w:rPr>
                <w:rFonts w:ascii="Arial" w:hAnsi="Arial" w:cs="Arial" w:eastAsia="Arial" w:hint="default"/>
                <w:b/>
                <w:bCs/>
                <w:spacing w:val="-1"/>
                <w:sz w:val="20"/>
                <w:szCs w:val="20"/>
              </w:rPr>
              <w:t>14.</w:t>
              <w:tab/>
            </w:r>
            <w:r>
              <w:rPr>
                <w:rFonts w:ascii="黑体" w:hAnsi="黑体" w:cs="黑体" w:eastAsia="黑体" w:hint="default"/>
                <w:b/>
                <w:bCs/>
                <w:sz w:val="20"/>
                <w:szCs w:val="20"/>
              </w:rPr>
              <w:t>递延所得税资产</w:t>
            </w:r>
            <w:r>
              <w:rPr>
                <w:rFonts w:ascii="Arial" w:hAnsi="Arial" w:cs="Arial" w:eastAsia="Arial" w:hint="default"/>
                <w:b/>
                <w:bCs/>
                <w:sz w:val="20"/>
                <w:szCs w:val="20"/>
              </w:rPr>
              <w:t>/</w:t>
            </w:r>
            <w:r>
              <w:rPr>
                <w:rFonts w:ascii="黑体" w:hAnsi="黑体" w:cs="黑体" w:eastAsia="黑体" w:hint="default"/>
                <w:b/>
                <w:bCs/>
                <w:sz w:val="20"/>
                <w:szCs w:val="20"/>
              </w:rPr>
              <w:t>负债</w:t>
            </w:r>
            <w:r>
              <w:rPr>
                <w:rFonts w:ascii="黑体" w:hAnsi="黑体" w:cs="黑体" w:eastAsia="黑体" w:hint="default"/>
                <w:sz w:val="20"/>
                <w:szCs w:val="20"/>
              </w:rPr>
            </w:r>
          </w:p>
          <w:p>
            <w:pPr>
              <w:pStyle w:val="TableParagraph"/>
              <w:spacing w:line="240" w:lineRule="auto" w:before="10"/>
              <w:ind w:right="0"/>
              <w:jc w:val="left"/>
              <w:rPr>
                <w:rFonts w:ascii="黑体" w:hAnsi="黑体" w:cs="黑体" w:eastAsia="黑体" w:hint="default"/>
                <w:b/>
                <w:bCs/>
                <w:sz w:val="24"/>
                <w:szCs w:val="24"/>
              </w:rPr>
            </w:pPr>
          </w:p>
          <w:p>
            <w:pPr>
              <w:pStyle w:val="TableParagraph"/>
              <w:spacing w:line="240" w:lineRule="auto"/>
              <w:ind w:left="749" w:right="0"/>
              <w:jc w:val="left"/>
              <w:rPr>
                <w:rFonts w:ascii="黑体" w:hAnsi="黑体" w:cs="黑体" w:eastAsia="黑体" w:hint="default"/>
                <w:sz w:val="20"/>
                <w:szCs w:val="20"/>
              </w:rPr>
            </w:pPr>
            <w:r>
              <w:rPr>
                <w:rFonts w:ascii="黑体" w:hAnsi="黑体" w:cs="黑体" w:eastAsia="黑体" w:hint="default"/>
                <w:sz w:val="20"/>
                <w:szCs w:val="20"/>
              </w:rPr>
              <w:t>已确认的递延所得税资产和负债</w:t>
            </w:r>
          </w:p>
        </w:tc>
        <w:tc>
          <w:tcPr>
            <w:tcW w:w="4236" w:type="dxa"/>
            <w:gridSpan w:val="2"/>
            <w:tcBorders>
              <w:top w:val="nil" w:sz="6" w:space="0" w:color="auto"/>
              <w:left w:val="nil" w:sz="6" w:space="0" w:color="auto"/>
              <w:bottom w:val="nil" w:sz="6" w:space="0" w:color="auto"/>
              <w:right w:val="nil" w:sz="6" w:space="0" w:color="auto"/>
            </w:tcBorders>
          </w:tcPr>
          <w:p>
            <w:pPr/>
          </w:p>
        </w:tc>
      </w:tr>
      <w:tr>
        <w:trPr>
          <w:trHeight w:val="551" w:hRule="exact"/>
        </w:trPr>
        <w:tc>
          <w:tcPr>
            <w:tcW w:w="4340" w:type="dxa"/>
            <w:tcBorders>
              <w:top w:val="nil" w:sz="6" w:space="0" w:color="auto"/>
              <w:left w:val="nil" w:sz="6" w:space="0" w:color="auto"/>
              <w:bottom w:val="nil" w:sz="6" w:space="0" w:color="auto"/>
              <w:right w:val="nil" w:sz="6" w:space="0" w:color="auto"/>
            </w:tcBorders>
          </w:tcPr>
          <w:p>
            <w:pP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316"/>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33"/>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r>
      <w:tr>
        <w:trPr>
          <w:trHeight w:val="383"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55" w:right="0"/>
              <w:jc w:val="left"/>
              <w:rPr>
                <w:rFonts w:ascii="黑体" w:hAnsi="黑体" w:cs="黑体" w:eastAsia="黑体" w:hint="default"/>
                <w:sz w:val="20"/>
                <w:szCs w:val="20"/>
              </w:rPr>
            </w:pPr>
            <w:r>
              <w:rPr>
                <w:rFonts w:ascii="黑体" w:hAnsi="黑体" w:cs="黑体" w:eastAsia="黑体" w:hint="default"/>
                <w:sz w:val="20"/>
                <w:szCs w:val="20"/>
              </w:rPr>
              <w:t>递延所得税资产</w:t>
            </w:r>
          </w:p>
        </w:tc>
        <w:tc>
          <w:tcPr>
            <w:tcW w:w="2392"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nil" w:sz="6" w:space="0" w:color="auto"/>
            </w:tcBorders>
          </w:tcPr>
          <w:p>
            <w:pPr/>
          </w:p>
        </w:tc>
      </w:tr>
      <w:tr>
        <w:trPr>
          <w:trHeight w:val="263"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30" w:lineRule="exact"/>
              <w:ind w:left="755" w:right="0"/>
              <w:jc w:val="left"/>
              <w:rPr>
                <w:rFonts w:ascii="黑体" w:hAnsi="黑体" w:cs="黑体" w:eastAsia="黑体" w:hint="default"/>
                <w:sz w:val="20"/>
                <w:szCs w:val="20"/>
              </w:rPr>
            </w:pPr>
            <w:r>
              <w:rPr>
                <w:rFonts w:ascii="黑体" w:hAnsi="黑体" w:cs="黑体" w:eastAsia="黑体" w:hint="default"/>
                <w:sz w:val="20"/>
                <w:szCs w:val="20"/>
              </w:rPr>
              <w:t>交易性金融资产公允价值变动损失</w:t>
            </w: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16"/>
              <w:jc w:val="right"/>
              <w:rPr>
                <w:rFonts w:ascii="Arial" w:hAnsi="Arial" w:cs="Arial" w:eastAsia="Arial" w:hint="default"/>
                <w:sz w:val="20"/>
                <w:szCs w:val="20"/>
              </w:rPr>
            </w:pPr>
            <w:r>
              <w:rPr>
                <w:rFonts w:ascii="Arial"/>
                <w:w w:val="100"/>
                <w:sz w:val="20"/>
              </w:rPr>
              <w:t>-</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Arial" w:hAnsi="Arial" w:cs="Arial" w:eastAsia="Arial" w:hint="default"/>
                <w:sz w:val="20"/>
                <w:szCs w:val="20"/>
              </w:rPr>
            </w:pPr>
            <w:r>
              <w:rPr>
                <w:rFonts w:ascii="Arial"/>
                <w:spacing w:val="-1"/>
                <w:sz w:val="20"/>
              </w:rPr>
              <w:t>7,423,267</w:t>
            </w:r>
          </w:p>
        </w:tc>
      </w:tr>
      <w:tr>
        <w:trPr>
          <w:trHeight w:val="259"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26" w:lineRule="exact"/>
              <w:ind w:left="755" w:right="0"/>
              <w:jc w:val="left"/>
              <w:rPr>
                <w:rFonts w:ascii="黑体" w:hAnsi="黑体" w:cs="黑体" w:eastAsia="黑体" w:hint="default"/>
                <w:sz w:val="20"/>
                <w:szCs w:val="20"/>
              </w:rPr>
            </w:pPr>
            <w:r>
              <w:rPr>
                <w:rFonts w:ascii="黑体" w:hAnsi="黑体" w:cs="黑体" w:eastAsia="黑体" w:hint="default"/>
                <w:sz w:val="20"/>
                <w:szCs w:val="20"/>
              </w:rPr>
              <w:t>预提费用</w:t>
            </w: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15"/>
              <w:jc w:val="right"/>
              <w:rPr>
                <w:rFonts w:ascii="Arial" w:hAnsi="Arial" w:cs="Arial" w:eastAsia="Arial" w:hint="default"/>
                <w:sz w:val="20"/>
                <w:szCs w:val="20"/>
              </w:rPr>
            </w:pPr>
            <w:r>
              <w:rPr>
                <w:rFonts w:ascii="Arial"/>
                <w:spacing w:val="-1"/>
                <w:sz w:val="20"/>
              </w:rPr>
              <w:t>556,220</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57,998</w:t>
            </w:r>
          </w:p>
        </w:tc>
      </w:tr>
      <w:tr>
        <w:trPr>
          <w:trHeight w:val="259"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26" w:lineRule="exact"/>
              <w:ind w:left="755" w:right="0"/>
              <w:jc w:val="left"/>
              <w:rPr>
                <w:rFonts w:ascii="黑体" w:hAnsi="黑体" w:cs="黑体" w:eastAsia="黑体" w:hint="default"/>
                <w:sz w:val="20"/>
                <w:szCs w:val="20"/>
              </w:rPr>
            </w:pPr>
            <w:r>
              <w:rPr>
                <w:rFonts w:ascii="黑体" w:hAnsi="黑体" w:cs="黑体" w:eastAsia="黑体" w:hint="default"/>
                <w:sz w:val="20"/>
                <w:szCs w:val="20"/>
              </w:rPr>
              <w:t>固定资产折旧差异</w:t>
            </w: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15"/>
              <w:jc w:val="right"/>
              <w:rPr>
                <w:rFonts w:ascii="Arial" w:hAnsi="Arial" w:cs="Arial" w:eastAsia="Arial" w:hint="default"/>
                <w:sz w:val="20"/>
                <w:szCs w:val="20"/>
              </w:rPr>
            </w:pPr>
            <w:r>
              <w:rPr>
                <w:rFonts w:ascii="Arial"/>
                <w:sz w:val="20"/>
              </w:rPr>
              <w:t>34,386</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213,043</w:t>
            </w:r>
          </w:p>
        </w:tc>
      </w:tr>
      <w:tr>
        <w:trPr>
          <w:trHeight w:val="260"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26" w:lineRule="exact"/>
              <w:ind w:left="755" w:right="0"/>
              <w:jc w:val="left"/>
              <w:rPr>
                <w:rFonts w:ascii="黑体" w:hAnsi="黑体" w:cs="黑体" w:eastAsia="黑体" w:hint="default"/>
                <w:sz w:val="20"/>
                <w:szCs w:val="20"/>
              </w:rPr>
            </w:pPr>
            <w:r>
              <w:rPr>
                <w:rFonts w:ascii="黑体" w:hAnsi="黑体" w:cs="黑体" w:eastAsia="黑体" w:hint="default"/>
                <w:sz w:val="20"/>
                <w:szCs w:val="20"/>
              </w:rPr>
              <w:t>政府补助</w:t>
            </w: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15"/>
              <w:jc w:val="right"/>
              <w:rPr>
                <w:rFonts w:ascii="Arial" w:hAnsi="Arial" w:cs="Arial" w:eastAsia="Arial" w:hint="default"/>
                <w:sz w:val="20"/>
                <w:szCs w:val="20"/>
              </w:rPr>
            </w:pPr>
            <w:r>
              <w:rPr>
                <w:rFonts w:ascii="Arial"/>
                <w:spacing w:val="-1"/>
                <w:sz w:val="20"/>
              </w:rPr>
              <w:t>900,000</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w:t>
            </w:r>
          </w:p>
        </w:tc>
      </w:tr>
      <w:tr>
        <w:trPr>
          <w:trHeight w:val="262"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27" w:lineRule="exact"/>
              <w:ind w:left="755" w:right="0"/>
              <w:jc w:val="left"/>
              <w:rPr>
                <w:rFonts w:ascii="黑体" w:hAnsi="黑体" w:cs="黑体" w:eastAsia="黑体" w:hint="default"/>
                <w:sz w:val="20"/>
                <w:szCs w:val="20"/>
              </w:rPr>
            </w:pPr>
            <w:r>
              <w:rPr>
                <w:rFonts w:ascii="黑体" w:hAnsi="黑体" w:cs="黑体" w:eastAsia="黑体" w:hint="default"/>
                <w:sz w:val="20"/>
                <w:szCs w:val="20"/>
              </w:rPr>
              <w:t>未支付的应付职工薪酬</w:t>
            </w: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16"/>
              <w:jc w:val="right"/>
              <w:rPr>
                <w:rFonts w:ascii="Arial" w:hAnsi="Arial" w:cs="Arial" w:eastAsia="Arial" w:hint="default"/>
                <w:sz w:val="20"/>
                <w:szCs w:val="20"/>
              </w:rPr>
            </w:pPr>
            <w:r>
              <w:rPr>
                <w:rFonts w:ascii="Arial"/>
                <w:w w:val="100"/>
                <w:sz w:val="20"/>
              </w:rPr>
            </w:r>
            <w:r>
              <w:rPr>
                <w:rFonts w:ascii="Arial"/>
                <w:spacing w:val="-1"/>
                <w:sz w:val="20"/>
                <w:u w:val="single" w:color="000000"/>
              </w:rPr>
              <w:t>24,733,185</w:t>
            </w:r>
            <w:r>
              <w:rPr>
                <w:rFonts w:ascii="Arial"/>
                <w:spacing w:val="-1"/>
                <w:sz w:val="20"/>
              </w:rPr>
            </w:r>
          </w:p>
        </w:tc>
        <w:tc>
          <w:tcPr>
            <w:tcW w:w="1843"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9"/>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384" w:hRule="exact"/>
        </w:trPr>
        <w:tc>
          <w:tcPr>
            <w:tcW w:w="4340" w:type="dxa"/>
            <w:tcBorders>
              <w:top w:val="nil" w:sz="6" w:space="0" w:color="auto"/>
              <w:left w:val="nil" w:sz="6" w:space="0" w:color="auto"/>
              <w:bottom w:val="nil" w:sz="6" w:space="0" w:color="auto"/>
              <w:right w:val="nil" w:sz="6" w:space="0" w:color="auto"/>
            </w:tcBorders>
          </w:tcPr>
          <w:p>
            <w:pP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16"/>
              <w:jc w:val="right"/>
              <w:rPr>
                <w:rFonts w:ascii="Arial" w:hAnsi="Arial" w:cs="Arial" w:eastAsia="Arial" w:hint="default"/>
                <w:sz w:val="20"/>
                <w:szCs w:val="20"/>
              </w:rPr>
            </w:pPr>
            <w:r>
              <w:rPr>
                <w:rFonts w:ascii="Arial"/>
                <w:w w:val="100"/>
                <w:sz w:val="20"/>
              </w:rPr>
            </w:r>
            <w:r>
              <w:rPr>
                <w:rFonts w:ascii="Arial"/>
                <w:spacing w:val="-1"/>
                <w:sz w:val="20"/>
                <w:u w:val="thick" w:color="000000"/>
              </w:rPr>
              <w:t>26,223,791</w:t>
            </w:r>
            <w:r>
              <w:rPr>
                <w:rFonts w:ascii="Arial"/>
                <w:spacing w:val="-1"/>
                <w:sz w:val="20"/>
              </w:rPr>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z w:val="20"/>
                <w:u w:val="thick" w:color="000000"/>
              </w:rPr>
              <w:t>7,694,308</w:t>
            </w:r>
            <w:r>
              <w:rPr>
                <w:rFonts w:ascii="Arial"/>
                <w:sz w:val="20"/>
              </w:rPr>
            </w:r>
          </w:p>
        </w:tc>
      </w:tr>
      <w:tr>
        <w:trPr>
          <w:trHeight w:val="386"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95"/>
              <w:ind w:left="755" w:right="0"/>
              <w:jc w:val="left"/>
              <w:rPr>
                <w:rFonts w:ascii="黑体" w:hAnsi="黑体" w:cs="黑体" w:eastAsia="黑体" w:hint="default"/>
                <w:sz w:val="20"/>
                <w:szCs w:val="20"/>
              </w:rPr>
            </w:pPr>
            <w:r>
              <w:rPr>
                <w:rFonts w:ascii="黑体" w:hAnsi="黑体" w:cs="黑体" w:eastAsia="黑体" w:hint="default"/>
                <w:sz w:val="20"/>
                <w:szCs w:val="20"/>
              </w:rPr>
              <w:t>递延所得税负债</w:t>
            </w:r>
          </w:p>
        </w:tc>
        <w:tc>
          <w:tcPr>
            <w:tcW w:w="2392"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nil" w:sz="6" w:space="0" w:color="auto"/>
            </w:tcBorders>
          </w:tcPr>
          <w:p>
            <w:pPr/>
          </w:p>
        </w:tc>
      </w:tr>
      <w:tr>
        <w:trPr>
          <w:trHeight w:val="337"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30" w:lineRule="exact"/>
              <w:ind w:left="755" w:right="0"/>
              <w:jc w:val="left"/>
              <w:rPr>
                <w:rFonts w:ascii="黑体" w:hAnsi="黑体" w:cs="黑体" w:eastAsia="黑体" w:hint="default"/>
                <w:sz w:val="20"/>
                <w:szCs w:val="20"/>
              </w:rPr>
            </w:pPr>
            <w:r>
              <w:rPr>
                <w:rFonts w:ascii="黑体" w:hAnsi="黑体" w:cs="黑体" w:eastAsia="黑体" w:hint="default"/>
                <w:sz w:val="20"/>
                <w:szCs w:val="20"/>
              </w:rPr>
              <w:t>可供出售金融资产公允价值变动</w:t>
            </w:r>
          </w:p>
        </w:tc>
        <w:tc>
          <w:tcPr>
            <w:tcW w:w="2392"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11"/>
              <w:ind w:right="316"/>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22,840,955</w:t>
            </w:r>
            <w:r>
              <w:rPr>
                <w:rFonts w:ascii="Arial"/>
                <w:spacing w:val="-1"/>
                <w:sz w:val="20"/>
              </w:rPr>
            </w:r>
          </w:p>
        </w:tc>
      </w:tr>
    </w:tbl>
    <w:p>
      <w:pPr>
        <w:spacing w:line="240" w:lineRule="auto" w:before="2"/>
        <w:rPr>
          <w:rFonts w:ascii="黑体" w:hAnsi="黑体" w:cs="黑体" w:eastAsia="黑体" w:hint="default"/>
          <w:b/>
          <w:bCs/>
          <w:sz w:val="13"/>
          <w:szCs w:val="13"/>
        </w:rPr>
      </w:pPr>
    </w:p>
    <w:p>
      <w:pPr>
        <w:pStyle w:val="BodyText"/>
        <w:spacing w:line="240" w:lineRule="auto" w:before="38"/>
        <w:ind w:left="855" w:right="1058"/>
        <w:jc w:val="left"/>
      </w:pPr>
      <w:r>
        <w:rPr/>
        <w:t>引起暂时性差异的资产或负债项目对应的暂时性差异如下：</w:t>
      </w:r>
    </w:p>
    <w:p>
      <w:pPr>
        <w:spacing w:line="240" w:lineRule="auto" w:before="4"/>
        <w:rPr>
          <w:rFonts w:ascii="黑体" w:hAnsi="黑体" w:cs="黑体" w:eastAsia="黑体" w:hint="default"/>
          <w:sz w:val="21"/>
          <w:szCs w:val="21"/>
        </w:rPr>
      </w:pPr>
    </w:p>
    <w:tbl>
      <w:tblPr>
        <w:tblW w:w="0" w:type="auto"/>
        <w:jc w:val="left"/>
        <w:tblInd w:w="826" w:type="dxa"/>
        <w:tblLayout w:type="fixed"/>
        <w:tblCellMar>
          <w:top w:w="0" w:type="dxa"/>
          <w:left w:w="0" w:type="dxa"/>
          <w:bottom w:w="0" w:type="dxa"/>
          <w:right w:w="0" w:type="dxa"/>
        </w:tblCellMar>
        <w:tblLook w:val="01E0"/>
      </w:tblPr>
      <w:tblGrid>
        <w:gridCol w:w="3620"/>
        <w:gridCol w:w="2393"/>
        <w:gridCol w:w="1844"/>
      </w:tblGrid>
      <w:tr>
        <w:trPr>
          <w:trHeight w:val="845" w:hRule="exact"/>
        </w:trPr>
        <w:tc>
          <w:tcPr>
            <w:tcW w:w="36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4"/>
              <w:ind w:right="0"/>
              <w:jc w:val="left"/>
              <w:rPr>
                <w:rFonts w:ascii="黑体" w:hAnsi="黑体" w:cs="黑体" w:eastAsia="黑体" w:hint="default"/>
                <w:sz w:val="22"/>
                <w:szCs w:val="22"/>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递延所得税资产</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16"/>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r>
      <w:tr>
        <w:trPr>
          <w:trHeight w:val="263" w:hRule="exact"/>
        </w:trPr>
        <w:tc>
          <w:tcPr>
            <w:tcW w:w="3620" w:type="dxa"/>
            <w:tcBorders>
              <w:top w:val="nil" w:sz="6" w:space="0" w:color="auto"/>
              <w:left w:val="nil" w:sz="6" w:space="0" w:color="auto"/>
              <w:bottom w:val="nil" w:sz="6" w:space="0" w:color="auto"/>
              <w:right w:val="nil" w:sz="6" w:space="0" w:color="auto"/>
            </w:tcBorders>
          </w:tcPr>
          <w:p>
            <w:pPr>
              <w:pStyle w:val="TableParagraph"/>
              <w:spacing w:line="230" w:lineRule="exact"/>
              <w:ind w:left="35" w:right="0"/>
              <w:jc w:val="left"/>
              <w:rPr>
                <w:rFonts w:ascii="黑体" w:hAnsi="黑体" w:cs="黑体" w:eastAsia="黑体" w:hint="default"/>
                <w:sz w:val="20"/>
                <w:szCs w:val="20"/>
              </w:rPr>
            </w:pPr>
            <w:r>
              <w:rPr>
                <w:rFonts w:ascii="黑体" w:hAnsi="黑体" w:cs="黑体" w:eastAsia="黑体" w:hint="default"/>
                <w:sz w:val="20"/>
                <w:szCs w:val="20"/>
              </w:rPr>
              <w:t>交易性金融资产公允价值变动损失</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16"/>
              <w:jc w:val="right"/>
              <w:rPr>
                <w:rFonts w:ascii="Arial" w:hAnsi="Arial" w:cs="Arial" w:eastAsia="Arial" w:hint="default"/>
                <w:sz w:val="20"/>
                <w:szCs w:val="20"/>
              </w:rPr>
            </w:pPr>
            <w:r>
              <w:rPr>
                <w:rFonts w:ascii="Arial"/>
                <w:w w:val="100"/>
                <w:sz w:val="20"/>
              </w:rPr>
              <w:t>-</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4"/>
              <w:jc w:val="right"/>
              <w:rPr>
                <w:rFonts w:ascii="Arial" w:hAnsi="Arial" w:cs="Arial" w:eastAsia="Arial" w:hint="default"/>
                <w:sz w:val="20"/>
                <w:szCs w:val="20"/>
              </w:rPr>
            </w:pPr>
            <w:r>
              <w:rPr>
                <w:rFonts w:ascii="Arial"/>
                <w:spacing w:val="-1"/>
                <w:sz w:val="20"/>
              </w:rPr>
              <w:t>74,232,671</w:t>
            </w:r>
          </w:p>
        </w:tc>
      </w:tr>
      <w:tr>
        <w:trPr>
          <w:trHeight w:val="259" w:hRule="exact"/>
        </w:trPr>
        <w:tc>
          <w:tcPr>
            <w:tcW w:w="362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预提费用</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16"/>
              <w:jc w:val="right"/>
              <w:rPr>
                <w:rFonts w:ascii="Arial" w:hAnsi="Arial" w:cs="Arial" w:eastAsia="Arial" w:hint="default"/>
                <w:sz w:val="20"/>
                <w:szCs w:val="20"/>
              </w:rPr>
            </w:pPr>
            <w:r>
              <w:rPr>
                <w:rFonts w:ascii="Arial"/>
                <w:spacing w:val="-1"/>
                <w:sz w:val="20"/>
              </w:rPr>
              <w:t>2,914,881</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579,977</w:t>
            </w:r>
          </w:p>
        </w:tc>
      </w:tr>
      <w:tr>
        <w:trPr>
          <w:trHeight w:val="260" w:hRule="exact"/>
        </w:trPr>
        <w:tc>
          <w:tcPr>
            <w:tcW w:w="362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固定资产折旧差异</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16"/>
              <w:jc w:val="right"/>
              <w:rPr>
                <w:rFonts w:ascii="Arial" w:hAnsi="Arial" w:cs="Arial" w:eastAsia="Arial" w:hint="default"/>
                <w:sz w:val="20"/>
                <w:szCs w:val="20"/>
              </w:rPr>
            </w:pPr>
            <w:r>
              <w:rPr>
                <w:rFonts w:ascii="Arial"/>
                <w:spacing w:val="-1"/>
                <w:sz w:val="20"/>
              </w:rPr>
              <w:t>137,545</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2,130,437</w:t>
            </w:r>
          </w:p>
        </w:tc>
      </w:tr>
      <w:tr>
        <w:trPr>
          <w:trHeight w:val="260" w:hRule="exact"/>
        </w:trPr>
        <w:tc>
          <w:tcPr>
            <w:tcW w:w="3620" w:type="dxa"/>
            <w:tcBorders>
              <w:top w:val="nil" w:sz="6" w:space="0" w:color="auto"/>
              <w:left w:val="nil" w:sz="6" w:space="0" w:color="auto"/>
              <w:bottom w:val="nil" w:sz="6" w:space="0" w:color="auto"/>
              <w:right w:val="nil" w:sz="6" w:space="0" w:color="auto"/>
            </w:tcBorders>
          </w:tcPr>
          <w:p>
            <w:pPr>
              <w:pStyle w:val="TableParagraph"/>
              <w:spacing w:line="227" w:lineRule="exact"/>
              <w:ind w:left="35" w:right="0"/>
              <w:jc w:val="left"/>
              <w:rPr>
                <w:rFonts w:ascii="黑体" w:hAnsi="黑体" w:cs="黑体" w:eastAsia="黑体" w:hint="default"/>
                <w:sz w:val="20"/>
                <w:szCs w:val="20"/>
              </w:rPr>
            </w:pPr>
            <w:r>
              <w:rPr>
                <w:rFonts w:ascii="黑体" w:hAnsi="黑体" w:cs="黑体" w:eastAsia="黑体" w:hint="default"/>
                <w:sz w:val="20"/>
                <w:szCs w:val="20"/>
              </w:rPr>
              <w:t>政府补助</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16"/>
              <w:jc w:val="right"/>
              <w:rPr>
                <w:rFonts w:ascii="Arial" w:hAnsi="Arial" w:cs="Arial" w:eastAsia="Arial" w:hint="default"/>
                <w:sz w:val="20"/>
                <w:szCs w:val="20"/>
              </w:rPr>
            </w:pPr>
            <w:r>
              <w:rPr>
                <w:rFonts w:ascii="Arial"/>
                <w:spacing w:val="-1"/>
                <w:sz w:val="20"/>
              </w:rPr>
              <w:t>9,000,000</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w w:val="100"/>
                <w:sz w:val="20"/>
              </w:rPr>
              <w:t>-</w:t>
            </w:r>
          </w:p>
        </w:tc>
      </w:tr>
      <w:tr>
        <w:trPr>
          <w:trHeight w:val="261" w:hRule="exact"/>
        </w:trPr>
        <w:tc>
          <w:tcPr>
            <w:tcW w:w="362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未支付的应付职工薪酬</w:t>
            </w: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15"/>
              <w:jc w:val="right"/>
              <w:rPr>
                <w:rFonts w:ascii="Arial" w:hAnsi="Arial" w:cs="Arial" w:eastAsia="Arial" w:hint="default"/>
                <w:sz w:val="20"/>
                <w:szCs w:val="20"/>
              </w:rPr>
            </w:pPr>
            <w:r>
              <w:rPr>
                <w:rFonts w:ascii="Arial"/>
                <w:w w:val="100"/>
                <w:sz w:val="20"/>
              </w:rPr>
            </w:r>
            <w:r>
              <w:rPr>
                <w:rFonts w:ascii="Arial"/>
                <w:spacing w:val="-1"/>
                <w:sz w:val="20"/>
                <w:u w:val="single" w:color="000000"/>
              </w:rPr>
              <w:t>208,279,448</w:t>
            </w:r>
            <w:r>
              <w:rPr>
                <w:rFonts w:ascii="Arial"/>
                <w:spacing w:val="-1"/>
                <w:sz w:val="20"/>
              </w:rPr>
            </w:r>
          </w:p>
        </w:tc>
        <w:tc>
          <w:tcPr>
            <w:tcW w:w="1844"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8"/>
              <w:ind w:right="3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381" w:hRule="exact"/>
        </w:trPr>
        <w:tc>
          <w:tcPr>
            <w:tcW w:w="3620" w:type="dxa"/>
            <w:tcBorders>
              <w:top w:val="nil" w:sz="6" w:space="0" w:color="auto"/>
              <w:left w:val="nil" w:sz="6" w:space="0" w:color="auto"/>
              <w:bottom w:val="nil" w:sz="6" w:space="0" w:color="auto"/>
              <w:right w:val="nil" w:sz="6" w:space="0" w:color="auto"/>
            </w:tcBorders>
          </w:tcPr>
          <w:p>
            <w:pPr/>
          </w:p>
        </w:tc>
        <w:tc>
          <w:tcPr>
            <w:tcW w:w="239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15"/>
              <w:jc w:val="right"/>
              <w:rPr>
                <w:rFonts w:ascii="Arial" w:hAnsi="Arial" w:cs="Arial" w:eastAsia="Arial" w:hint="default"/>
                <w:sz w:val="20"/>
                <w:szCs w:val="20"/>
              </w:rPr>
            </w:pPr>
            <w:r>
              <w:rPr>
                <w:rFonts w:ascii="Arial"/>
                <w:w w:val="100"/>
                <w:sz w:val="20"/>
              </w:rPr>
            </w:r>
            <w:r>
              <w:rPr>
                <w:rFonts w:ascii="Arial"/>
                <w:spacing w:val="-1"/>
                <w:sz w:val="20"/>
                <w:u w:val="thick" w:color="000000"/>
              </w:rPr>
              <w:t>220,331,874</w:t>
            </w:r>
            <w:r>
              <w:rPr>
                <w:rFonts w:ascii="Arial"/>
                <w:spacing w:val="-1"/>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pacing w:val="-1"/>
                <w:sz w:val="20"/>
                <w:u w:val="thick" w:color="000000"/>
              </w:rPr>
              <w:t>76,943,085</w:t>
            </w:r>
            <w:r>
              <w:rPr>
                <w:rFonts w:ascii="Arial"/>
                <w:spacing w:val="-1"/>
                <w:sz w:val="20"/>
              </w:rPr>
            </w:r>
          </w:p>
        </w:tc>
      </w:tr>
      <w:tr>
        <w:trPr>
          <w:trHeight w:val="383" w:hRule="exact"/>
        </w:trPr>
        <w:tc>
          <w:tcPr>
            <w:tcW w:w="3620"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黑体" w:hAnsi="黑体" w:cs="黑体" w:eastAsia="黑体" w:hint="default"/>
                <w:sz w:val="20"/>
                <w:szCs w:val="20"/>
              </w:rPr>
            </w:pPr>
            <w:r>
              <w:rPr>
                <w:rFonts w:ascii="黑体" w:hAnsi="黑体" w:cs="黑体" w:eastAsia="黑体" w:hint="default"/>
                <w:sz w:val="20"/>
                <w:szCs w:val="20"/>
              </w:rPr>
              <w:t>递延所得税负债</w:t>
            </w:r>
          </w:p>
        </w:tc>
        <w:tc>
          <w:tcPr>
            <w:tcW w:w="2393"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r>
      <w:tr>
        <w:trPr>
          <w:trHeight w:val="337" w:hRule="exact"/>
        </w:trPr>
        <w:tc>
          <w:tcPr>
            <w:tcW w:w="3620" w:type="dxa"/>
            <w:tcBorders>
              <w:top w:val="nil" w:sz="6" w:space="0" w:color="auto"/>
              <w:left w:val="nil" w:sz="6" w:space="0" w:color="auto"/>
              <w:bottom w:val="nil" w:sz="6" w:space="0" w:color="auto"/>
              <w:right w:val="nil" w:sz="6" w:space="0" w:color="auto"/>
            </w:tcBorders>
          </w:tcPr>
          <w:p>
            <w:pPr>
              <w:pStyle w:val="TableParagraph"/>
              <w:spacing w:line="230" w:lineRule="exact"/>
              <w:ind w:left="35" w:right="0"/>
              <w:jc w:val="left"/>
              <w:rPr>
                <w:rFonts w:ascii="黑体" w:hAnsi="黑体" w:cs="黑体" w:eastAsia="黑体" w:hint="default"/>
                <w:sz w:val="20"/>
                <w:szCs w:val="20"/>
              </w:rPr>
            </w:pPr>
            <w:r>
              <w:rPr>
                <w:rFonts w:ascii="黑体" w:hAnsi="黑体" w:cs="黑体" w:eastAsia="黑体" w:hint="default"/>
                <w:sz w:val="20"/>
                <w:szCs w:val="20"/>
              </w:rPr>
              <w:t>可供出售金融资产公允价值变动</w:t>
            </w:r>
          </w:p>
        </w:tc>
        <w:tc>
          <w:tcPr>
            <w:tcW w:w="2393" w:type="dxa"/>
            <w:tcBorders>
              <w:top w:val="nil" w:sz="6" w:space="0" w:color="auto"/>
              <w:left w:val="nil" w:sz="6" w:space="0" w:color="auto"/>
              <w:bottom w:val="nil" w:sz="6" w:space="0" w:color="auto"/>
              <w:right w:val="nil" w:sz="6" w:space="0" w:color="auto"/>
            </w:tcBorders>
          </w:tcPr>
          <w:p>
            <w:pPr>
              <w:pStyle w:val="TableParagraph"/>
              <w:tabs>
                <w:tab w:pos="998" w:val="left" w:leader="none"/>
              </w:tabs>
              <w:spacing w:line="240" w:lineRule="auto" w:before="11"/>
              <w:ind w:right="318"/>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228,409,550</w:t>
            </w:r>
            <w:r>
              <w:rPr>
                <w:rFonts w:ascii="Arial"/>
                <w:spacing w:val="-1"/>
                <w:sz w:val="20"/>
              </w:rPr>
            </w:r>
          </w:p>
        </w:tc>
      </w:tr>
    </w:tbl>
    <w:p>
      <w:pPr>
        <w:spacing w:after="0" w:line="240" w:lineRule="auto"/>
        <w:jc w:val="right"/>
        <w:rPr>
          <w:rFonts w:ascii="Arial" w:hAnsi="Arial" w:cs="Arial" w:eastAsia="Arial" w:hint="default"/>
          <w:sz w:val="20"/>
          <w:szCs w:val="20"/>
        </w:rPr>
        <w:sectPr>
          <w:pgSz w:w="11910" w:h="16840"/>
          <w:pgMar w:header="958" w:footer="466" w:top="2560" w:bottom="660" w:left="1560" w:right="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9"/>
          <w:szCs w:val="29"/>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6"/>
        <w:rPr>
          <w:rFonts w:ascii="黑体" w:hAnsi="黑体" w:cs="黑体" w:eastAsia="黑体" w:hint="default"/>
          <w:b/>
          <w:bCs/>
          <w:sz w:val="26"/>
          <w:szCs w:val="26"/>
        </w:rPr>
      </w:pPr>
    </w:p>
    <w:p>
      <w:pPr>
        <w:tabs>
          <w:tab w:pos="841" w:val="left" w:leader="none"/>
        </w:tabs>
        <w:spacing w:before="0"/>
        <w:ind w:left="141" w:right="1058" w:firstLine="0"/>
        <w:jc w:val="left"/>
        <w:rPr>
          <w:rFonts w:ascii="黑体" w:hAnsi="黑体" w:cs="黑体" w:eastAsia="黑体" w:hint="default"/>
          <w:sz w:val="20"/>
          <w:szCs w:val="20"/>
        </w:rPr>
      </w:pPr>
      <w:r>
        <w:rPr>
          <w:rFonts w:ascii="Arial" w:hAnsi="Arial" w:cs="Arial" w:eastAsia="Arial" w:hint="default"/>
          <w:b/>
          <w:bCs/>
          <w:spacing w:val="-1"/>
          <w:sz w:val="20"/>
          <w:szCs w:val="20"/>
        </w:rPr>
        <w:t>15.</w:t>
        <w:tab/>
      </w:r>
      <w:r>
        <w:rPr>
          <w:rFonts w:ascii="黑体" w:hAnsi="黑体" w:cs="黑体" w:eastAsia="黑体" w:hint="default"/>
          <w:b/>
          <w:bCs/>
          <w:sz w:val="20"/>
          <w:szCs w:val="20"/>
        </w:rPr>
        <w:t>资产减值准备</w:t>
      </w:r>
      <w:r>
        <w:rPr>
          <w:rFonts w:ascii="黑体" w:hAnsi="黑体" w:cs="黑体" w:eastAsia="黑体" w:hint="default"/>
          <w:sz w:val="20"/>
          <w:szCs w:val="20"/>
        </w:rPr>
      </w:r>
    </w:p>
    <w:p>
      <w:pPr>
        <w:spacing w:line="240" w:lineRule="auto" w:before="12"/>
        <w:rPr>
          <w:rFonts w:ascii="黑体" w:hAnsi="黑体" w:cs="黑体" w:eastAsia="黑体" w:hint="default"/>
          <w:b/>
          <w:bCs/>
          <w:sz w:val="26"/>
          <w:szCs w:val="26"/>
        </w:rPr>
      </w:pPr>
    </w:p>
    <w:p>
      <w:pPr>
        <w:pStyle w:val="BodyText"/>
        <w:spacing w:line="268" w:lineRule="exact" w:before="38"/>
        <w:ind w:left="849" w:right="1058"/>
        <w:jc w:val="left"/>
      </w:pPr>
      <w:r>
        <w:rPr>
          <w:rFonts w:ascii="Arial" w:hAnsi="Arial" w:cs="Arial" w:eastAsia="Arial" w:hint="default"/>
        </w:rPr>
        <w:t>2009</w:t>
      </w:r>
      <w:r>
        <w:rPr/>
        <w:t>年</w:t>
      </w:r>
    </w:p>
    <w:p>
      <w:pPr>
        <w:pStyle w:val="BodyText"/>
        <w:tabs>
          <w:tab w:pos="4635" w:val="left" w:leader="none"/>
          <w:tab w:pos="5833" w:val="left" w:leader="none"/>
          <w:tab w:pos="7980" w:val="left" w:leader="none"/>
        </w:tabs>
        <w:spacing w:line="268" w:lineRule="exact"/>
        <w:ind w:left="3374" w:right="1058"/>
        <w:jc w:val="left"/>
      </w:pPr>
      <w:r>
        <w:rPr>
          <w:rFonts w:ascii="Arial" w:hAnsi="Arial" w:cs="Arial" w:eastAsia="Arial" w:hint="default"/>
          <w:spacing w:val="-1"/>
        </w:rPr>
        <w:t>2009</w:t>
      </w:r>
      <w:r>
        <w:rPr>
          <w:spacing w:val="-1"/>
        </w:rPr>
        <w:t>年</w:t>
        <w:tab/>
      </w:r>
      <w:r>
        <w:rPr/>
        <w:t>本年</w:t>
        <w:tab/>
        <w:t>本年减少</w:t>
        <w:tab/>
      </w:r>
      <w:r>
        <w:rPr>
          <w:rFonts w:ascii="Arial" w:hAnsi="Arial" w:cs="Arial" w:eastAsia="Arial" w:hint="default"/>
          <w:spacing w:val="-1"/>
        </w:rPr>
        <w:t>2009</w:t>
      </w:r>
      <w:r>
        <w:rPr>
          <w:spacing w:val="-1"/>
        </w:rPr>
        <w:t>年</w:t>
      </w:r>
    </w:p>
    <w:tbl>
      <w:tblPr>
        <w:tblW w:w="0" w:type="auto"/>
        <w:jc w:val="left"/>
        <w:tblInd w:w="814" w:type="dxa"/>
        <w:tblLayout w:type="fixed"/>
        <w:tblCellMar>
          <w:top w:w="0" w:type="dxa"/>
          <w:left w:w="0" w:type="dxa"/>
          <w:bottom w:w="0" w:type="dxa"/>
          <w:right w:w="0" w:type="dxa"/>
        </w:tblCellMar>
        <w:tblLook w:val="01E0"/>
      </w:tblPr>
      <w:tblGrid>
        <w:gridCol w:w="2120"/>
        <w:gridCol w:w="1152"/>
        <w:gridCol w:w="1199"/>
        <w:gridCol w:w="1936"/>
        <w:gridCol w:w="1441"/>
      </w:tblGrid>
      <w:tr>
        <w:trPr>
          <w:trHeight w:val="780"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
              <w:ind w:right="0"/>
              <w:jc w:val="left"/>
              <w:rPr>
                <w:rFonts w:ascii="黑体" w:hAnsi="黑体" w:cs="黑体" w:eastAsia="黑体" w:hint="default"/>
                <w:sz w:val="17"/>
                <w:szCs w:val="17"/>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坏账准备</w:t>
            </w:r>
          </w:p>
        </w:tc>
        <w:tc>
          <w:tcPr>
            <w:tcW w:w="1152" w:type="dxa"/>
            <w:tcBorders>
              <w:top w:val="nil" w:sz="6" w:space="0" w:color="auto"/>
              <w:left w:val="nil" w:sz="6" w:space="0" w:color="auto"/>
              <w:bottom w:val="nil" w:sz="6" w:space="0" w:color="auto"/>
              <w:right w:val="nil" w:sz="6" w:space="0" w:color="auto"/>
            </w:tcBorders>
          </w:tcPr>
          <w:p>
            <w:pPr>
              <w:pStyle w:val="TableParagraph"/>
              <w:spacing w:line="246" w:lineRule="exact"/>
              <w:ind w:left="461"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月</w:t>
            </w:r>
            <w:r>
              <w:rPr>
                <w:rFonts w:ascii="Arial" w:hAnsi="Arial" w:cs="Arial" w:eastAsia="Arial" w:hint="default"/>
                <w:sz w:val="20"/>
                <w:szCs w:val="20"/>
              </w:rPr>
              <w:t>1</w:t>
            </w:r>
            <w:r>
              <w:rPr>
                <w:rFonts w:ascii="黑体" w:hAnsi="黑体" w:cs="黑体" w:eastAsia="黑体" w:hint="default"/>
                <w:sz w:val="20"/>
                <w:szCs w:val="20"/>
              </w:rPr>
              <w:t>日</w:t>
            </w:r>
          </w:p>
          <w:p>
            <w:pPr>
              <w:pStyle w:val="TableParagraph"/>
              <w:spacing w:line="240" w:lineRule="auto" w:before="8"/>
              <w:ind w:right="0"/>
              <w:jc w:val="left"/>
              <w:rPr>
                <w:rFonts w:ascii="黑体" w:hAnsi="黑体" w:cs="黑体" w:eastAsia="黑体" w:hint="default"/>
                <w:sz w:val="21"/>
                <w:szCs w:val="21"/>
              </w:rPr>
            </w:pPr>
          </w:p>
          <w:p>
            <w:pPr>
              <w:pStyle w:val="TableParagraph"/>
              <w:spacing w:line="240" w:lineRule="auto"/>
              <w:ind w:left="83" w:right="0"/>
              <w:jc w:val="left"/>
              <w:rPr>
                <w:rFonts w:ascii="Arial" w:hAnsi="Arial" w:cs="Arial" w:eastAsia="Arial" w:hint="default"/>
                <w:sz w:val="20"/>
                <w:szCs w:val="20"/>
              </w:rPr>
            </w:pPr>
            <w:r>
              <w:rPr>
                <w:rFonts w:ascii="Arial"/>
                <w:sz w:val="20"/>
              </w:rPr>
              <w:t>20,236,435</w:t>
            </w:r>
          </w:p>
        </w:tc>
        <w:tc>
          <w:tcPr>
            <w:tcW w:w="1199" w:type="dxa"/>
            <w:tcBorders>
              <w:top w:val="nil" w:sz="6" w:space="0" w:color="auto"/>
              <w:left w:val="nil" w:sz="6" w:space="0" w:color="auto"/>
              <w:bottom w:val="nil" w:sz="6" w:space="0" w:color="auto"/>
              <w:right w:val="nil" w:sz="6" w:space="0" w:color="auto"/>
            </w:tcBorders>
          </w:tcPr>
          <w:p>
            <w:pPr>
              <w:pStyle w:val="TableParagraph"/>
              <w:spacing w:line="232" w:lineRule="exact"/>
              <w:ind w:left="59" w:right="0" w:firstLine="490"/>
              <w:jc w:val="left"/>
              <w:rPr>
                <w:rFonts w:ascii="黑体" w:hAnsi="黑体" w:cs="黑体" w:eastAsia="黑体" w:hint="default"/>
                <w:sz w:val="20"/>
                <w:szCs w:val="20"/>
              </w:rPr>
            </w:pPr>
            <w:r>
              <w:rPr>
                <w:rFonts w:ascii="黑体" w:hAnsi="黑体" w:cs="黑体" w:eastAsia="黑体" w:hint="default"/>
                <w:sz w:val="20"/>
                <w:szCs w:val="20"/>
              </w:rPr>
              <w:t>计提</w:t>
            </w:r>
          </w:p>
          <w:p>
            <w:pPr>
              <w:pStyle w:val="TableParagraph"/>
              <w:spacing w:line="240" w:lineRule="auto" w:before="9"/>
              <w:ind w:right="0"/>
              <w:jc w:val="left"/>
              <w:rPr>
                <w:rFonts w:ascii="黑体" w:hAnsi="黑体" w:cs="黑体" w:eastAsia="黑体" w:hint="default"/>
                <w:sz w:val="22"/>
                <w:szCs w:val="22"/>
              </w:rPr>
            </w:pPr>
          </w:p>
          <w:p>
            <w:pPr>
              <w:pStyle w:val="TableParagraph"/>
              <w:spacing w:line="240" w:lineRule="auto"/>
              <w:ind w:left="59" w:right="0"/>
              <w:jc w:val="left"/>
              <w:rPr>
                <w:rFonts w:ascii="Arial" w:hAnsi="Arial" w:cs="Arial" w:eastAsia="Arial" w:hint="default"/>
                <w:sz w:val="20"/>
                <w:szCs w:val="20"/>
              </w:rPr>
            </w:pPr>
            <w:r>
              <w:rPr>
                <w:rFonts w:ascii="Arial"/>
                <w:sz w:val="20"/>
              </w:rPr>
              <w:t>5,995,895</w:t>
            </w:r>
          </w:p>
        </w:tc>
        <w:tc>
          <w:tcPr>
            <w:tcW w:w="1936" w:type="dxa"/>
            <w:tcBorders>
              <w:top w:val="single" w:sz="4" w:space="0" w:color="000000"/>
              <w:left w:val="nil" w:sz="6" w:space="0" w:color="auto"/>
              <w:bottom w:val="nil" w:sz="6" w:space="0" w:color="auto"/>
              <w:right w:val="nil" w:sz="6" w:space="0" w:color="auto"/>
            </w:tcBorders>
          </w:tcPr>
          <w:p>
            <w:pPr>
              <w:pStyle w:val="TableParagraph"/>
              <w:tabs>
                <w:tab w:pos="1520" w:val="left" w:leader="none"/>
              </w:tabs>
              <w:spacing w:line="227" w:lineRule="exact"/>
              <w:ind w:left="39" w:right="0" w:firstLine="489"/>
              <w:jc w:val="left"/>
              <w:rPr>
                <w:rFonts w:ascii="黑体" w:hAnsi="黑体" w:cs="黑体" w:eastAsia="黑体" w:hint="default"/>
                <w:sz w:val="20"/>
                <w:szCs w:val="20"/>
              </w:rPr>
            </w:pPr>
            <w:r>
              <w:rPr>
                <w:rFonts w:ascii="黑体" w:hAnsi="黑体" w:cs="黑体" w:eastAsia="黑体" w:hint="default"/>
                <w:sz w:val="20"/>
                <w:szCs w:val="20"/>
              </w:rPr>
              <w:t>转回</w:t>
              <w:tab/>
              <w:t>转销</w:t>
            </w:r>
          </w:p>
          <w:p>
            <w:pPr>
              <w:pStyle w:val="TableParagraph"/>
              <w:spacing w:line="240" w:lineRule="auto" w:before="9"/>
              <w:ind w:right="0"/>
              <w:jc w:val="left"/>
              <w:rPr>
                <w:rFonts w:ascii="黑体" w:hAnsi="黑体" w:cs="黑体" w:eastAsia="黑体" w:hint="default"/>
                <w:sz w:val="22"/>
                <w:szCs w:val="22"/>
              </w:rPr>
            </w:pPr>
          </w:p>
          <w:p>
            <w:pPr>
              <w:pStyle w:val="TableParagraph"/>
              <w:spacing w:line="240" w:lineRule="auto"/>
              <w:ind w:left="39" w:right="0"/>
              <w:jc w:val="left"/>
              <w:rPr>
                <w:rFonts w:ascii="Arial" w:hAnsi="Arial" w:cs="Arial" w:eastAsia="Arial" w:hint="default"/>
                <w:sz w:val="20"/>
                <w:szCs w:val="20"/>
              </w:rPr>
            </w:pPr>
            <w:r>
              <w:rPr>
                <w:rFonts w:ascii="Arial"/>
                <w:sz w:val="20"/>
              </w:rPr>
              <w:t>3,007,078</w:t>
            </w:r>
            <w:r>
              <w:rPr>
                <w:rFonts w:ascii="Arial"/>
                <w:spacing w:val="40"/>
                <w:sz w:val="20"/>
              </w:rPr>
              <w:t> </w:t>
            </w:r>
            <w:r>
              <w:rPr>
                <w:rFonts w:ascii="Arial"/>
                <w:sz w:val="20"/>
              </w:rPr>
              <w:t>1,827,338</w:t>
            </w:r>
          </w:p>
        </w:tc>
        <w:tc>
          <w:tcPr>
            <w:tcW w:w="1441" w:type="dxa"/>
            <w:tcBorders>
              <w:top w:val="nil" w:sz="6" w:space="0" w:color="auto"/>
              <w:left w:val="nil" w:sz="6" w:space="0" w:color="auto"/>
              <w:bottom w:val="nil" w:sz="6" w:space="0" w:color="auto"/>
              <w:right w:val="nil" w:sz="6" w:space="0" w:color="auto"/>
            </w:tcBorders>
          </w:tcPr>
          <w:p>
            <w:pPr>
              <w:pStyle w:val="TableParagraph"/>
              <w:spacing w:line="246" w:lineRule="exact"/>
              <w:ind w:left="522" w:right="0"/>
              <w:jc w:val="center"/>
              <w:rPr>
                <w:rFonts w:ascii="黑体" w:hAnsi="黑体" w:cs="黑体" w:eastAsia="黑体" w:hint="default"/>
                <w:sz w:val="20"/>
                <w:szCs w:val="20"/>
              </w:rPr>
            </w:pP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p>
            <w:pPr>
              <w:pStyle w:val="TableParagraph"/>
              <w:spacing w:line="240" w:lineRule="auto" w:before="8"/>
              <w:ind w:right="0"/>
              <w:jc w:val="left"/>
              <w:rPr>
                <w:rFonts w:ascii="黑体" w:hAnsi="黑体" w:cs="黑体" w:eastAsia="黑体" w:hint="default"/>
                <w:sz w:val="21"/>
                <w:szCs w:val="21"/>
              </w:rPr>
            </w:pPr>
          </w:p>
          <w:p>
            <w:pPr>
              <w:pStyle w:val="TableParagraph"/>
              <w:spacing w:line="240" w:lineRule="auto"/>
              <w:ind w:left="365" w:right="0"/>
              <w:jc w:val="center"/>
              <w:rPr>
                <w:rFonts w:ascii="Arial" w:hAnsi="Arial" w:cs="Arial" w:eastAsia="Arial" w:hint="default"/>
                <w:sz w:val="20"/>
                <w:szCs w:val="20"/>
              </w:rPr>
            </w:pPr>
            <w:r>
              <w:rPr>
                <w:rFonts w:ascii="Arial"/>
                <w:sz w:val="20"/>
              </w:rPr>
              <w:t>21,397,914</w:t>
            </w:r>
          </w:p>
        </w:tc>
      </w:tr>
      <w:tr>
        <w:trPr>
          <w:trHeight w:val="389"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长期股权投资减值准备</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5"/>
              <w:jc w:val="right"/>
              <w:rPr>
                <w:rFonts w:ascii="Arial" w:hAnsi="Arial" w:cs="Arial" w:eastAsia="Arial" w:hint="default"/>
                <w:sz w:val="20"/>
                <w:szCs w:val="20"/>
              </w:rPr>
            </w:pPr>
            <w:r>
              <w:rPr>
                <w:rFonts w:ascii="Arial"/>
                <w:w w:val="100"/>
                <w:sz w:val="20"/>
              </w:rPr>
            </w:r>
            <w:r>
              <w:rPr>
                <w:rFonts w:ascii="Arial"/>
                <w:spacing w:val="-1"/>
                <w:sz w:val="20"/>
                <w:u w:val="single" w:color="000000"/>
              </w:rPr>
              <w:t>19,112,955</w:t>
            </w:r>
            <w:r>
              <w:rPr>
                <w:rFonts w:ascii="Arial"/>
                <w:spacing w:val="-1"/>
                <w:sz w:val="20"/>
              </w:rPr>
            </w:r>
          </w:p>
        </w:tc>
        <w:tc>
          <w:tcPr>
            <w:tcW w:w="1199"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24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936"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12"/>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pacing w:val="37"/>
                <w:sz w:val="20"/>
                <w:u w:val="single" w:color="000000"/>
              </w:rPr>
              <w:t> </w:t>
            </w:r>
            <w:r>
              <w:rPr>
                <w:rFonts w:ascii="Arial"/>
                <w:spacing w:val="37"/>
                <w:sz w:val="20"/>
              </w:rPr>
            </w:r>
            <w:r>
              <w:rPr>
                <w:rFonts w:ascii="Arial"/>
                <w:sz w:val="20"/>
                <w:u w:val="single" w:color="000000"/>
              </w:rPr>
              <w:t>6,430,000</w:t>
            </w:r>
            <w:r>
              <w:rPr>
                <w:rFonts w:ascii="Arial"/>
                <w:sz w:val="20"/>
              </w:rPr>
            </w:r>
          </w:p>
        </w:tc>
        <w:tc>
          <w:tcPr>
            <w:tcW w:w="14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w w:val="100"/>
                <w:sz w:val="20"/>
              </w:rPr>
            </w:r>
            <w:r>
              <w:rPr>
                <w:rFonts w:ascii="Arial"/>
                <w:spacing w:val="-1"/>
                <w:sz w:val="20"/>
                <w:u w:val="single" w:color="000000"/>
              </w:rPr>
              <w:t>12,682,955</w:t>
            </w:r>
            <w:r>
              <w:rPr>
                <w:rFonts w:ascii="Arial"/>
                <w:spacing w:val="-1"/>
                <w:sz w:val="20"/>
              </w:rPr>
            </w:r>
          </w:p>
        </w:tc>
      </w:tr>
      <w:tr>
        <w:trPr>
          <w:trHeight w:val="531" w:hRule="exact"/>
        </w:trPr>
        <w:tc>
          <w:tcPr>
            <w:tcW w:w="2120" w:type="dxa"/>
            <w:tcBorders>
              <w:top w:val="nil" w:sz="6" w:space="0" w:color="auto"/>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65"/>
              <w:jc w:val="right"/>
              <w:rPr>
                <w:rFonts w:ascii="Arial" w:hAnsi="Arial" w:cs="Arial" w:eastAsia="Arial" w:hint="default"/>
                <w:sz w:val="20"/>
                <w:szCs w:val="20"/>
              </w:rPr>
            </w:pPr>
            <w:r>
              <w:rPr>
                <w:rFonts w:ascii="Arial"/>
                <w:w w:val="100"/>
                <w:sz w:val="20"/>
              </w:rPr>
            </w:r>
            <w:r>
              <w:rPr>
                <w:rFonts w:ascii="Arial"/>
                <w:spacing w:val="-1"/>
                <w:sz w:val="20"/>
                <w:u w:val="thick" w:color="000000"/>
              </w:rPr>
              <w:t>39,349,390</w:t>
            </w:r>
            <w:r>
              <w:rPr>
                <w:rFonts w:ascii="Arial"/>
                <w:spacing w:val="-1"/>
                <w:sz w:val="20"/>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247"/>
              <w:jc w:val="right"/>
              <w:rPr>
                <w:rFonts w:ascii="Arial" w:hAnsi="Arial" w:cs="Arial" w:eastAsia="Arial" w:hint="default"/>
                <w:sz w:val="20"/>
                <w:szCs w:val="20"/>
              </w:rPr>
            </w:pPr>
            <w:r>
              <w:rPr>
                <w:rFonts w:ascii="Arial"/>
                <w:w w:val="100"/>
                <w:sz w:val="20"/>
              </w:rPr>
            </w:r>
            <w:r>
              <w:rPr>
                <w:rFonts w:ascii="Arial"/>
                <w:spacing w:val="-1"/>
                <w:sz w:val="20"/>
                <w:u w:val="thick" w:color="000000"/>
              </w:rPr>
              <w:t>5,995,895</w:t>
            </w:r>
            <w:r>
              <w:rPr>
                <w:rFonts w:ascii="Arial"/>
                <w:spacing w:val="-1"/>
                <w:sz w:val="20"/>
              </w:rPr>
            </w:r>
          </w:p>
        </w:tc>
        <w:tc>
          <w:tcPr>
            <w:tcW w:w="1936"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2"/>
              <w:jc w:val="right"/>
              <w:rPr>
                <w:rFonts w:ascii="Arial" w:hAnsi="Arial" w:cs="Arial" w:eastAsia="Arial" w:hint="default"/>
                <w:sz w:val="20"/>
                <w:szCs w:val="20"/>
              </w:rPr>
            </w:pPr>
            <w:r>
              <w:rPr>
                <w:rFonts w:ascii="Arial"/>
                <w:w w:val="100"/>
                <w:sz w:val="20"/>
              </w:rPr>
            </w:r>
            <w:r>
              <w:rPr>
                <w:rFonts w:ascii="Arial"/>
                <w:sz w:val="20"/>
                <w:u w:val="thick" w:color="000000"/>
              </w:rPr>
              <w:t>3,007,078</w:t>
            </w:r>
            <w:r>
              <w:rPr>
                <w:rFonts w:ascii="Arial"/>
                <w:spacing w:val="29"/>
                <w:sz w:val="20"/>
                <w:u w:val="thick" w:color="000000"/>
              </w:rPr>
              <w:t> </w:t>
            </w:r>
            <w:r>
              <w:rPr>
                <w:rFonts w:ascii="Arial"/>
                <w:spacing w:val="29"/>
                <w:sz w:val="20"/>
              </w:rPr>
            </w:r>
            <w:r>
              <w:rPr>
                <w:rFonts w:ascii="Arial"/>
                <w:sz w:val="20"/>
                <w:u w:val="thick" w:color="000000"/>
              </w:rPr>
              <w:t>8,257,338</w:t>
            </w:r>
            <w:r>
              <w:rPr>
                <w:rFonts w:ascii="Arial"/>
                <w:sz w:val="20"/>
              </w:rPr>
            </w:r>
          </w:p>
        </w:tc>
        <w:tc>
          <w:tcPr>
            <w:tcW w:w="1441"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4"/>
              <w:jc w:val="right"/>
              <w:rPr>
                <w:rFonts w:ascii="Arial" w:hAnsi="Arial" w:cs="Arial" w:eastAsia="Arial" w:hint="default"/>
                <w:sz w:val="20"/>
                <w:szCs w:val="20"/>
              </w:rPr>
            </w:pPr>
            <w:r>
              <w:rPr>
                <w:rFonts w:ascii="Arial"/>
                <w:w w:val="100"/>
                <w:sz w:val="20"/>
              </w:rPr>
            </w:r>
            <w:r>
              <w:rPr>
                <w:rFonts w:ascii="Arial"/>
                <w:spacing w:val="-1"/>
                <w:sz w:val="20"/>
                <w:u w:val="thick" w:color="000000"/>
              </w:rPr>
              <w:t>34,080,869</w:t>
            </w:r>
            <w:r>
              <w:rPr>
                <w:rFonts w:ascii="Arial"/>
                <w:spacing w:val="-1"/>
                <w:sz w:val="20"/>
              </w:rPr>
            </w:r>
          </w:p>
        </w:tc>
      </w:tr>
      <w:tr>
        <w:trPr>
          <w:trHeight w:val="673"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35"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8"/>
                <w:szCs w:val="28"/>
              </w:rPr>
            </w:pPr>
          </w:p>
          <w:p>
            <w:pPr>
              <w:pStyle w:val="TableParagraph"/>
              <w:spacing w:line="240" w:lineRule="auto"/>
              <w:ind w:right="35"/>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8"/>
                <w:szCs w:val="28"/>
              </w:rPr>
            </w:pPr>
          </w:p>
          <w:p>
            <w:pPr>
              <w:pStyle w:val="TableParagraph"/>
              <w:spacing w:line="240" w:lineRule="auto"/>
              <w:ind w:right="268"/>
              <w:jc w:val="right"/>
              <w:rPr>
                <w:rFonts w:ascii="黑体" w:hAnsi="黑体" w:cs="黑体" w:eastAsia="黑体" w:hint="default"/>
                <w:sz w:val="20"/>
                <w:szCs w:val="20"/>
              </w:rPr>
            </w:pPr>
            <w:r>
              <w:rPr>
                <w:rFonts w:ascii="黑体" w:hAnsi="黑体" w:cs="黑体" w:eastAsia="黑体" w:hint="default"/>
                <w:sz w:val="20"/>
                <w:szCs w:val="20"/>
              </w:rPr>
              <w:t>本年</w:t>
            </w:r>
          </w:p>
        </w:tc>
        <w:tc>
          <w:tcPr>
            <w:tcW w:w="1936" w:type="dxa"/>
            <w:tcBorders>
              <w:top w:val="nil" w:sz="6" w:space="0" w:color="auto"/>
              <w:left w:val="nil" w:sz="6" w:space="0" w:color="auto"/>
              <w:bottom w:val="single" w:sz="4" w:space="0" w:color="000000"/>
              <w:right w:val="nil" w:sz="6" w:space="0" w:color="auto"/>
            </w:tcBorders>
          </w:tcPr>
          <w:p>
            <w:pPr>
              <w:pStyle w:val="TableParagraph"/>
              <w:spacing w:line="240" w:lineRule="auto" w:before="8"/>
              <w:ind w:right="0"/>
              <w:jc w:val="left"/>
              <w:rPr>
                <w:rFonts w:ascii="黑体" w:hAnsi="黑体" w:cs="黑体" w:eastAsia="黑体" w:hint="default"/>
                <w:sz w:val="28"/>
                <w:szCs w:val="28"/>
              </w:rPr>
            </w:pPr>
          </w:p>
          <w:p>
            <w:pPr>
              <w:pStyle w:val="TableParagraph"/>
              <w:spacing w:line="240" w:lineRule="auto"/>
              <w:ind w:left="509" w:right="0"/>
              <w:jc w:val="left"/>
              <w:rPr>
                <w:rFonts w:ascii="黑体" w:hAnsi="黑体" w:cs="黑体" w:eastAsia="黑体" w:hint="default"/>
                <w:sz w:val="20"/>
                <w:szCs w:val="20"/>
              </w:rPr>
            </w:pPr>
            <w:r>
              <w:rPr>
                <w:rFonts w:ascii="黑体" w:hAnsi="黑体" w:cs="黑体" w:eastAsia="黑体" w:hint="default"/>
                <w:sz w:val="20"/>
                <w:szCs w:val="20"/>
              </w:rPr>
              <w:t>本年减少</w:t>
            </w:r>
          </w:p>
        </w:tc>
        <w:tc>
          <w:tcPr>
            <w:tcW w:w="14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8"/>
                <w:szCs w:val="28"/>
              </w:rPr>
            </w:pPr>
          </w:p>
          <w:p>
            <w:pPr>
              <w:pStyle w:val="TableParagraph"/>
              <w:spacing w:line="240" w:lineRule="auto"/>
              <w:ind w:right="33"/>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394" w:hRule="exact"/>
        </w:trPr>
        <w:tc>
          <w:tcPr>
            <w:tcW w:w="2120" w:type="dxa"/>
            <w:tcBorders>
              <w:top w:val="nil" w:sz="6" w:space="0" w:color="auto"/>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Style w:val="TableParagraph"/>
              <w:spacing w:line="246" w:lineRule="exact"/>
              <w:ind w:right="35"/>
              <w:jc w:val="righ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月</w:t>
            </w:r>
            <w:r>
              <w:rPr>
                <w:rFonts w:ascii="Arial" w:hAnsi="Arial" w:cs="Arial" w:eastAsia="Arial" w:hint="default"/>
                <w:sz w:val="20"/>
                <w:szCs w:val="20"/>
              </w:rPr>
              <w:t>1</w:t>
            </w:r>
            <w:r>
              <w:rPr>
                <w:rFonts w:ascii="黑体" w:hAnsi="黑体" w:cs="黑体" w:eastAsia="黑体" w:hint="default"/>
                <w:sz w:val="20"/>
                <w:szCs w:val="20"/>
              </w:rPr>
              <w:t>日</w:t>
            </w:r>
          </w:p>
        </w:tc>
        <w:tc>
          <w:tcPr>
            <w:tcW w:w="1199" w:type="dxa"/>
            <w:tcBorders>
              <w:top w:val="nil" w:sz="6" w:space="0" w:color="auto"/>
              <w:left w:val="nil" w:sz="6" w:space="0" w:color="auto"/>
              <w:bottom w:val="nil" w:sz="6" w:space="0" w:color="auto"/>
              <w:right w:val="nil" w:sz="6" w:space="0" w:color="auto"/>
            </w:tcBorders>
          </w:tcPr>
          <w:p>
            <w:pPr>
              <w:pStyle w:val="TableParagraph"/>
              <w:spacing w:line="232" w:lineRule="exact"/>
              <w:ind w:right="268"/>
              <w:jc w:val="right"/>
              <w:rPr>
                <w:rFonts w:ascii="黑体" w:hAnsi="黑体" w:cs="黑体" w:eastAsia="黑体" w:hint="default"/>
                <w:sz w:val="20"/>
                <w:szCs w:val="20"/>
              </w:rPr>
            </w:pPr>
            <w:r>
              <w:rPr>
                <w:rFonts w:ascii="黑体" w:hAnsi="黑体" w:cs="黑体" w:eastAsia="黑体" w:hint="default"/>
                <w:sz w:val="20"/>
                <w:szCs w:val="20"/>
              </w:rPr>
              <w:t>计提</w:t>
            </w:r>
          </w:p>
        </w:tc>
        <w:tc>
          <w:tcPr>
            <w:tcW w:w="1936" w:type="dxa"/>
            <w:tcBorders>
              <w:top w:val="single" w:sz="4" w:space="0" w:color="000000"/>
              <w:left w:val="nil" w:sz="6" w:space="0" w:color="auto"/>
              <w:bottom w:val="nil" w:sz="6" w:space="0" w:color="auto"/>
              <w:right w:val="nil" w:sz="6" w:space="0" w:color="auto"/>
            </w:tcBorders>
          </w:tcPr>
          <w:p>
            <w:pPr>
              <w:pStyle w:val="TableParagraph"/>
              <w:tabs>
                <w:tab w:pos="992" w:val="left" w:leader="none"/>
              </w:tabs>
              <w:spacing w:line="227" w:lineRule="exact"/>
              <w:ind w:right="1"/>
              <w:jc w:val="right"/>
              <w:rPr>
                <w:rFonts w:ascii="黑体" w:hAnsi="黑体" w:cs="黑体" w:eastAsia="黑体" w:hint="default"/>
                <w:sz w:val="20"/>
                <w:szCs w:val="20"/>
              </w:rPr>
            </w:pPr>
            <w:r>
              <w:rPr>
                <w:rFonts w:ascii="黑体" w:hAnsi="黑体" w:cs="黑体" w:eastAsia="黑体" w:hint="default"/>
                <w:sz w:val="20"/>
                <w:szCs w:val="20"/>
              </w:rPr>
              <w:t>转回</w:t>
              <w:tab/>
              <w:t>转销</w:t>
            </w:r>
          </w:p>
        </w:tc>
        <w:tc>
          <w:tcPr>
            <w:tcW w:w="1441"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r>
      <w:tr>
        <w:trPr>
          <w:trHeight w:val="386"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黑体" w:hAnsi="黑体" w:cs="黑体" w:eastAsia="黑体" w:hint="default"/>
                <w:sz w:val="20"/>
                <w:szCs w:val="20"/>
              </w:rPr>
            </w:pPr>
            <w:r>
              <w:rPr>
                <w:rFonts w:ascii="黑体" w:hAnsi="黑体" w:cs="黑体" w:eastAsia="黑体" w:hint="default"/>
                <w:sz w:val="20"/>
                <w:szCs w:val="20"/>
              </w:rPr>
              <w:t>坏账准备</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36"/>
              <w:jc w:val="right"/>
              <w:rPr>
                <w:rFonts w:ascii="Arial" w:hAnsi="Arial" w:cs="Arial" w:eastAsia="Arial" w:hint="default"/>
                <w:sz w:val="20"/>
                <w:szCs w:val="20"/>
              </w:rPr>
            </w:pPr>
            <w:r>
              <w:rPr>
                <w:rFonts w:ascii="Arial"/>
                <w:spacing w:val="-1"/>
                <w:sz w:val="20"/>
              </w:rPr>
              <w:t>16,744,991</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68"/>
              <w:jc w:val="right"/>
              <w:rPr>
                <w:rFonts w:ascii="Arial" w:hAnsi="Arial" w:cs="Arial" w:eastAsia="Arial" w:hint="default"/>
                <w:sz w:val="20"/>
                <w:szCs w:val="20"/>
              </w:rPr>
            </w:pPr>
            <w:r>
              <w:rPr>
                <w:rFonts w:ascii="Arial"/>
                <w:spacing w:val="-1"/>
                <w:sz w:val="20"/>
              </w:rPr>
              <w:t>4,373,488</w:t>
            </w:r>
          </w:p>
        </w:tc>
        <w:tc>
          <w:tcPr>
            <w:tcW w:w="1936" w:type="dxa"/>
            <w:tcBorders>
              <w:top w:val="nil" w:sz="6" w:space="0" w:color="auto"/>
              <w:left w:val="nil" w:sz="6" w:space="0" w:color="auto"/>
              <w:bottom w:val="nil" w:sz="6" w:space="0" w:color="auto"/>
              <w:right w:val="nil" w:sz="6" w:space="0" w:color="auto"/>
            </w:tcBorders>
          </w:tcPr>
          <w:p>
            <w:pPr>
              <w:pStyle w:val="TableParagraph"/>
              <w:tabs>
                <w:tab w:pos="992" w:val="left" w:leader="none"/>
              </w:tabs>
              <w:spacing w:line="240" w:lineRule="auto" w:before="135"/>
              <w:ind w:right="1"/>
              <w:jc w:val="right"/>
              <w:rPr>
                <w:rFonts w:ascii="Arial" w:hAnsi="Arial" w:cs="Arial" w:eastAsia="Arial" w:hint="default"/>
                <w:sz w:val="20"/>
                <w:szCs w:val="20"/>
              </w:rPr>
            </w:pPr>
            <w:r>
              <w:rPr>
                <w:rFonts w:ascii="Arial"/>
                <w:spacing w:val="-1"/>
                <w:sz w:val="20"/>
              </w:rPr>
              <w:t>115,000</w:t>
              <w:tab/>
              <w:t>767,044</w:t>
            </w:r>
          </w:p>
        </w:tc>
        <w:tc>
          <w:tcPr>
            <w:tcW w:w="1441"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33"/>
              <w:jc w:val="right"/>
              <w:rPr>
                <w:rFonts w:ascii="Arial" w:hAnsi="Arial" w:cs="Arial" w:eastAsia="Arial" w:hint="default"/>
                <w:sz w:val="20"/>
                <w:szCs w:val="20"/>
              </w:rPr>
            </w:pPr>
            <w:r>
              <w:rPr>
                <w:rFonts w:ascii="Arial"/>
                <w:spacing w:val="-1"/>
                <w:sz w:val="20"/>
              </w:rPr>
              <w:t>20,236,435</w:t>
            </w:r>
          </w:p>
        </w:tc>
      </w:tr>
      <w:tr>
        <w:trPr>
          <w:trHeight w:val="389" w:hRule="exact"/>
        </w:trPr>
        <w:tc>
          <w:tcPr>
            <w:tcW w:w="212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长期股权投资减值准备</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6"/>
              <w:jc w:val="right"/>
              <w:rPr>
                <w:rFonts w:ascii="Arial" w:hAnsi="Arial" w:cs="Arial" w:eastAsia="Arial" w:hint="default"/>
                <w:sz w:val="20"/>
                <w:szCs w:val="20"/>
              </w:rPr>
            </w:pPr>
            <w:r>
              <w:rPr>
                <w:rFonts w:ascii="Arial"/>
                <w:w w:val="100"/>
                <w:sz w:val="20"/>
              </w:rPr>
            </w:r>
            <w:r>
              <w:rPr>
                <w:rFonts w:ascii="Arial"/>
                <w:spacing w:val="-1"/>
                <w:sz w:val="20"/>
                <w:u w:val="single" w:color="000000"/>
              </w:rPr>
              <w:t>19,112,955</w:t>
            </w:r>
            <w:r>
              <w:rPr>
                <w:rFonts w:ascii="Arial"/>
                <w:spacing w:val="-1"/>
                <w:sz w:val="20"/>
              </w:rPr>
            </w:r>
          </w:p>
        </w:tc>
        <w:tc>
          <w:tcPr>
            <w:tcW w:w="1199"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26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936" w:type="dxa"/>
            <w:tcBorders>
              <w:top w:val="nil" w:sz="6" w:space="0" w:color="auto"/>
              <w:left w:val="nil" w:sz="6" w:space="0" w:color="auto"/>
              <w:bottom w:val="nil" w:sz="6" w:space="0" w:color="auto"/>
              <w:right w:val="nil" w:sz="6" w:space="0" w:color="auto"/>
            </w:tcBorders>
          </w:tcPr>
          <w:p>
            <w:pPr>
              <w:pStyle w:val="TableParagraph"/>
              <w:tabs>
                <w:tab w:pos="638" w:val="left" w:leader="none"/>
                <w:tab w:pos="962" w:val="left" w:leader="none"/>
                <w:tab w:pos="1630" w:val="left" w:leader="none"/>
              </w:tabs>
              <w:spacing w:line="240" w:lineRule="auto" w:before="8"/>
              <w:ind w:right="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tab/>
            </w:r>
            <w:r>
              <w:rPr>
                <w:rFonts w:ascii="Arial"/>
                <w:sz w:val="20"/>
                <w:u w:val="single" w:color="000000"/>
              </w:rPr>
              <w:t> </w:t>
              <w:tab/>
              <w:t>-</w:t>
            </w:r>
            <w:r>
              <w:rPr>
                <w:rFonts w:ascii="Arial"/>
                <w:sz w:val="20"/>
              </w:rPr>
            </w:r>
          </w:p>
        </w:tc>
        <w:tc>
          <w:tcPr>
            <w:tcW w:w="14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spacing w:val="-1"/>
                <w:sz w:val="20"/>
                <w:u w:val="single" w:color="000000"/>
              </w:rPr>
              <w:t>19,112,955</w:t>
            </w:r>
            <w:r>
              <w:rPr>
                <w:rFonts w:ascii="Arial"/>
                <w:spacing w:val="-1"/>
                <w:sz w:val="20"/>
              </w:rPr>
            </w:r>
          </w:p>
        </w:tc>
      </w:tr>
      <w:tr>
        <w:trPr>
          <w:trHeight w:val="456" w:hRule="exact"/>
        </w:trPr>
        <w:tc>
          <w:tcPr>
            <w:tcW w:w="2120" w:type="dxa"/>
            <w:tcBorders>
              <w:top w:val="nil" w:sz="6" w:space="0" w:color="auto"/>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6"/>
              <w:jc w:val="right"/>
              <w:rPr>
                <w:rFonts w:ascii="Arial" w:hAnsi="Arial" w:cs="Arial" w:eastAsia="Arial" w:hint="default"/>
                <w:sz w:val="20"/>
                <w:szCs w:val="20"/>
              </w:rPr>
            </w:pPr>
            <w:r>
              <w:rPr>
                <w:rFonts w:ascii="Arial"/>
                <w:w w:val="100"/>
                <w:sz w:val="20"/>
              </w:rPr>
            </w:r>
            <w:r>
              <w:rPr>
                <w:rFonts w:ascii="Arial"/>
                <w:spacing w:val="-1"/>
                <w:sz w:val="20"/>
                <w:u w:val="thick" w:color="000000"/>
              </w:rPr>
              <w:t>35,857,946</w:t>
            </w:r>
            <w:r>
              <w:rPr>
                <w:rFonts w:ascii="Arial"/>
                <w:spacing w:val="-1"/>
                <w:sz w:val="20"/>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269"/>
              <w:jc w:val="right"/>
              <w:rPr>
                <w:rFonts w:ascii="Arial" w:hAnsi="Arial" w:cs="Arial" w:eastAsia="Arial" w:hint="default"/>
                <w:sz w:val="20"/>
                <w:szCs w:val="20"/>
              </w:rPr>
            </w:pPr>
            <w:r>
              <w:rPr>
                <w:rFonts w:ascii="Arial"/>
                <w:w w:val="100"/>
                <w:sz w:val="20"/>
              </w:rPr>
            </w:r>
            <w:r>
              <w:rPr>
                <w:rFonts w:ascii="Arial"/>
                <w:spacing w:val="-1"/>
                <w:sz w:val="20"/>
                <w:u w:val="thick" w:color="000000"/>
              </w:rPr>
              <w:t>4,373,488</w:t>
            </w:r>
            <w:r>
              <w:rPr>
                <w:rFonts w:ascii="Arial"/>
                <w:spacing w:val="-1"/>
                <w:sz w:val="20"/>
              </w:rPr>
            </w:r>
          </w:p>
        </w:tc>
        <w:tc>
          <w:tcPr>
            <w:tcW w:w="1936" w:type="dxa"/>
            <w:tcBorders>
              <w:top w:val="nil" w:sz="6" w:space="0" w:color="auto"/>
              <w:left w:val="nil" w:sz="6" w:space="0" w:color="auto"/>
              <w:bottom w:val="nil" w:sz="6" w:space="0" w:color="auto"/>
              <w:right w:val="nil" w:sz="6" w:space="0" w:color="auto"/>
            </w:tcBorders>
          </w:tcPr>
          <w:p>
            <w:pPr>
              <w:pStyle w:val="TableParagraph"/>
              <w:tabs>
                <w:tab w:pos="992" w:val="left" w:leader="none"/>
              </w:tabs>
              <w:spacing w:line="240" w:lineRule="auto" w:before="130"/>
              <w:ind w:right="1"/>
              <w:jc w:val="right"/>
              <w:rPr>
                <w:rFonts w:ascii="Arial" w:hAnsi="Arial" w:cs="Arial" w:eastAsia="Arial" w:hint="default"/>
                <w:sz w:val="20"/>
                <w:szCs w:val="20"/>
              </w:rPr>
            </w:pPr>
            <w:r>
              <w:rPr>
                <w:rFonts w:ascii="Arial"/>
                <w:w w:val="100"/>
                <w:sz w:val="20"/>
              </w:rPr>
            </w:r>
            <w:r>
              <w:rPr>
                <w:rFonts w:ascii="Arial"/>
                <w:spacing w:val="-1"/>
                <w:sz w:val="20"/>
                <w:u w:val="thick" w:color="000000"/>
              </w:rPr>
              <w:t>115,000</w:t>
            </w:r>
            <w:r>
              <w:rPr>
                <w:rFonts w:ascii="Arial"/>
                <w:spacing w:val="-1"/>
                <w:sz w:val="20"/>
              </w:rPr>
              <w:tab/>
            </w:r>
            <w:r>
              <w:rPr>
                <w:rFonts w:ascii="Arial"/>
                <w:spacing w:val="-1"/>
                <w:sz w:val="20"/>
                <w:u w:val="thick" w:color="000000"/>
              </w:rPr>
              <w:t>767,044</w:t>
            </w:r>
            <w:r>
              <w:rPr>
                <w:rFonts w:ascii="Arial"/>
                <w:spacing w:val="-1"/>
                <w:sz w:val="20"/>
              </w:rPr>
            </w:r>
          </w:p>
        </w:tc>
        <w:tc>
          <w:tcPr>
            <w:tcW w:w="1441"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39,349,390</w:t>
            </w:r>
            <w:r>
              <w:rPr>
                <w:rFonts w:ascii="Arial"/>
                <w:spacing w:val="-1"/>
                <w:sz w:val="20"/>
              </w:rPr>
            </w:r>
          </w:p>
        </w:tc>
      </w:tr>
    </w:tbl>
    <w:p>
      <w:pPr>
        <w:spacing w:line="240" w:lineRule="auto" w:before="3"/>
        <w:rPr>
          <w:rFonts w:ascii="黑体" w:hAnsi="黑体" w:cs="黑体" w:eastAsia="黑体" w:hint="default"/>
          <w:sz w:val="17"/>
          <w:szCs w:val="17"/>
        </w:rPr>
      </w:pPr>
    </w:p>
    <w:p>
      <w:pPr>
        <w:tabs>
          <w:tab w:pos="860" w:val="left" w:leader="none"/>
        </w:tabs>
        <w:spacing w:line="468" w:lineRule="auto" w:before="38"/>
        <w:ind w:left="855" w:right="5775" w:hanging="714"/>
        <w:jc w:val="left"/>
        <w:rPr>
          <w:rFonts w:ascii="黑体" w:hAnsi="黑体" w:cs="黑体" w:eastAsia="黑体" w:hint="default"/>
          <w:sz w:val="20"/>
          <w:szCs w:val="20"/>
        </w:rPr>
      </w:pPr>
      <w:r>
        <w:rPr>
          <w:rFonts w:ascii="Arial" w:hAnsi="Arial" w:cs="Arial" w:eastAsia="Arial" w:hint="default"/>
          <w:b/>
          <w:bCs/>
          <w:spacing w:val="-1"/>
          <w:sz w:val="20"/>
          <w:szCs w:val="20"/>
        </w:rPr>
        <w:t>16.</w:t>
        <w:tab/>
        <w:tab/>
      </w:r>
      <w:r>
        <w:rPr>
          <w:rFonts w:ascii="黑体" w:hAnsi="黑体" w:cs="黑体" w:eastAsia="黑体" w:hint="default"/>
          <w:b/>
          <w:bCs/>
          <w:sz w:val="20"/>
          <w:szCs w:val="20"/>
        </w:rPr>
        <w:t>应付账款</w:t>
      </w:r>
      <w:r>
        <w:rPr>
          <w:rFonts w:ascii="黑体" w:hAnsi="黑体" w:cs="黑体" w:eastAsia="黑体" w:hint="default"/>
          <w:b/>
          <w:bCs/>
          <w:spacing w:val="1"/>
          <w:w w:val="99"/>
          <w:sz w:val="20"/>
          <w:szCs w:val="20"/>
        </w:rPr>
        <w:t> </w:t>
      </w:r>
      <w:r>
        <w:rPr>
          <w:rFonts w:ascii="黑体" w:hAnsi="黑体" w:cs="黑体" w:eastAsia="黑体" w:hint="default"/>
          <w:spacing w:val="-1"/>
          <w:sz w:val="20"/>
          <w:szCs w:val="20"/>
        </w:rPr>
        <w:t>应付账款不计息，并通常在</w:t>
      </w:r>
      <w:r>
        <w:rPr>
          <w:rFonts w:ascii="Arial" w:hAnsi="Arial" w:cs="Arial" w:eastAsia="Arial" w:hint="default"/>
          <w:spacing w:val="-1"/>
          <w:sz w:val="20"/>
          <w:szCs w:val="20"/>
        </w:rPr>
        <w:t>2</w:t>
      </w:r>
      <w:r>
        <w:rPr>
          <w:rFonts w:ascii="黑体" w:hAnsi="黑体" w:cs="黑体" w:eastAsia="黑体" w:hint="default"/>
          <w:spacing w:val="-1"/>
          <w:sz w:val="20"/>
          <w:szCs w:val="20"/>
        </w:rPr>
        <w:t>个月内清偿。</w:t>
      </w:r>
    </w:p>
    <w:p>
      <w:pPr>
        <w:pStyle w:val="BodyText"/>
        <w:spacing w:line="268" w:lineRule="exact"/>
        <w:ind w:left="855" w:right="1058"/>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日，本账户余额中并无持本公司</w:t>
      </w:r>
      <w:r>
        <w:rPr>
          <w:rFonts w:ascii="Arial" w:hAnsi="Arial" w:cs="Arial" w:eastAsia="Arial" w:hint="default"/>
        </w:rPr>
        <w:t>5%</w:t>
      </w:r>
      <w:r>
        <w:rPr/>
        <w:t>或以上表决权股份的股东单位的款项</w:t>
      </w:r>
    </w:p>
    <w:p>
      <w:pPr>
        <w:pStyle w:val="BodyText"/>
        <w:spacing w:line="268" w:lineRule="exact"/>
        <w:ind w:left="855" w:right="1058"/>
        <w:jc w:val="left"/>
      </w:pPr>
      <w:r>
        <w:rPr/>
        <w:t>（</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p>
    <w:p>
      <w:pPr>
        <w:spacing w:line="240" w:lineRule="auto" w:before="4"/>
        <w:rPr>
          <w:rFonts w:ascii="黑体" w:hAnsi="黑体" w:cs="黑体" w:eastAsia="黑体" w:hint="default"/>
          <w:sz w:val="13"/>
          <w:szCs w:val="13"/>
        </w:rPr>
      </w:pPr>
    </w:p>
    <w:tbl>
      <w:tblPr>
        <w:tblW w:w="0" w:type="auto"/>
        <w:jc w:val="left"/>
        <w:tblInd w:w="816" w:type="dxa"/>
        <w:tblLayout w:type="fixed"/>
        <w:tblCellMar>
          <w:top w:w="0" w:type="dxa"/>
          <w:left w:w="0" w:type="dxa"/>
          <w:bottom w:w="0" w:type="dxa"/>
          <w:right w:w="0" w:type="dxa"/>
        </w:tblCellMar>
        <w:tblLook w:val="01E0"/>
      </w:tblPr>
      <w:tblGrid>
        <w:gridCol w:w="2987"/>
        <w:gridCol w:w="2895"/>
        <w:gridCol w:w="1985"/>
      </w:tblGrid>
      <w:tr>
        <w:trPr>
          <w:trHeight w:val="939" w:hRule="exact"/>
        </w:trPr>
        <w:tc>
          <w:tcPr>
            <w:tcW w:w="298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9" w:right="0"/>
              <w:jc w:val="left"/>
              <w:rPr>
                <w:rFonts w:ascii="黑体" w:hAnsi="黑体" w:cs="黑体" w:eastAsia="黑体" w:hint="default"/>
                <w:sz w:val="20"/>
                <w:szCs w:val="20"/>
              </w:rPr>
            </w:pPr>
            <w:r>
              <w:rPr>
                <w:rFonts w:ascii="黑体" w:hAnsi="黑体" w:cs="黑体" w:eastAsia="黑体" w:hint="default"/>
                <w:sz w:val="20"/>
                <w:szCs w:val="20"/>
              </w:rPr>
              <w:t>应付关联方款项如下：</w:t>
            </w: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5"/>
              <w:ind w:right="0"/>
              <w:jc w:val="left"/>
              <w:rPr>
                <w:rFonts w:ascii="黑体" w:hAnsi="黑体" w:cs="黑体" w:eastAsia="黑体" w:hint="default"/>
                <w:sz w:val="20"/>
                <w:szCs w:val="20"/>
              </w:rPr>
            </w:pPr>
          </w:p>
          <w:p>
            <w:pPr>
              <w:pStyle w:val="TableParagraph"/>
              <w:spacing w:line="240" w:lineRule="auto"/>
              <w:ind w:right="457"/>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5"/>
              <w:ind w:right="0"/>
              <w:jc w:val="left"/>
              <w:rPr>
                <w:rFonts w:ascii="黑体" w:hAnsi="黑体" w:cs="黑体" w:eastAsia="黑体" w:hint="default"/>
                <w:sz w:val="20"/>
                <w:szCs w:val="20"/>
              </w:rPr>
            </w:pPr>
          </w:p>
          <w:p>
            <w:pPr>
              <w:pStyle w:val="TableParagraph"/>
              <w:spacing w:line="240" w:lineRule="auto"/>
              <w:ind w:right="33"/>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r>
      <w:tr>
        <w:trPr>
          <w:trHeight w:val="374" w:hRule="exact"/>
        </w:trPr>
        <w:tc>
          <w:tcPr>
            <w:tcW w:w="298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黑体" w:hAnsi="黑体" w:cs="黑体" w:eastAsia="黑体" w:hint="default"/>
                <w:sz w:val="20"/>
                <w:szCs w:val="20"/>
              </w:rPr>
              <w:t>用友艾福斯</w:t>
            </w: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456"/>
              <w:jc w:val="right"/>
              <w:rPr>
                <w:rFonts w:ascii="Arial" w:hAnsi="Arial" w:cs="Arial" w:eastAsia="Arial" w:hint="default"/>
                <w:sz w:val="20"/>
                <w:szCs w:val="20"/>
              </w:rPr>
            </w:pPr>
            <w:r>
              <w:rPr>
                <w:rFonts w:ascii="Arial"/>
                <w:sz w:val="20"/>
              </w:rPr>
              <w:t>1,240,000</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Arial" w:hAnsi="Arial" w:cs="Arial" w:eastAsia="Arial" w:hint="default"/>
                <w:sz w:val="20"/>
                <w:szCs w:val="20"/>
              </w:rPr>
            </w:pPr>
            <w:r>
              <w:rPr>
                <w:rFonts w:ascii="Arial"/>
                <w:w w:val="100"/>
                <w:sz w:val="20"/>
              </w:rPr>
              <w:t>-</w:t>
            </w:r>
          </w:p>
        </w:tc>
      </w:tr>
      <w:tr>
        <w:trPr>
          <w:trHeight w:val="249" w:hRule="exact"/>
        </w:trPr>
        <w:tc>
          <w:tcPr>
            <w:tcW w:w="2987"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5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3"/>
                <w:sz w:val="20"/>
                <w:u w:val="single" w:color="000000"/>
              </w:rPr>
              <w:t> </w:t>
            </w:r>
            <w:r>
              <w:rPr>
                <w:rFonts w:ascii="Arial"/>
                <w:spacing w:val="-1"/>
                <w:sz w:val="20"/>
                <w:u w:val="single" w:color="000000"/>
              </w:rPr>
              <w:t>208,640</w:t>
            </w:r>
            <w:r>
              <w:rPr>
                <w:rFonts w:ascii="Arial"/>
                <w:spacing w:val="-1"/>
                <w:sz w:val="20"/>
              </w:rPr>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sz w:val="20"/>
                <w:u w:val="single" w:color="000000"/>
              </w:rPr>
              <w:t>9,500</w:t>
            </w:r>
            <w:r>
              <w:rPr>
                <w:rFonts w:ascii="Arial"/>
                <w:sz w:val="20"/>
              </w:rPr>
            </w:r>
          </w:p>
        </w:tc>
      </w:tr>
      <w:tr>
        <w:trPr>
          <w:trHeight w:val="315" w:hRule="exact"/>
        </w:trPr>
        <w:tc>
          <w:tcPr>
            <w:tcW w:w="2987" w:type="dxa"/>
            <w:tcBorders>
              <w:top w:val="nil" w:sz="6" w:space="0" w:color="auto"/>
              <w:left w:val="nil" w:sz="6" w:space="0" w:color="auto"/>
              <w:bottom w:val="nil" w:sz="6" w:space="0" w:color="auto"/>
              <w:right w:val="nil" w:sz="6" w:space="0" w:color="auto"/>
            </w:tcBorders>
          </w:tcPr>
          <w:p>
            <w:pPr/>
          </w:p>
        </w:tc>
        <w:tc>
          <w:tcPr>
            <w:tcW w:w="2895" w:type="dxa"/>
            <w:tcBorders>
              <w:top w:val="nil" w:sz="6" w:space="0" w:color="auto"/>
              <w:left w:val="nil" w:sz="6" w:space="0" w:color="auto"/>
              <w:bottom w:val="nil" w:sz="6" w:space="0" w:color="auto"/>
              <w:right w:val="nil" w:sz="6" w:space="0" w:color="auto"/>
            </w:tcBorders>
          </w:tcPr>
          <w:p>
            <w:pPr>
              <w:pStyle w:val="TableParagraph"/>
              <w:spacing w:line="220" w:lineRule="exact"/>
              <w:ind w:right="457"/>
              <w:jc w:val="right"/>
              <w:rPr>
                <w:rFonts w:ascii="Arial" w:hAnsi="Arial" w:cs="Arial" w:eastAsia="Arial" w:hint="default"/>
                <w:sz w:val="20"/>
                <w:szCs w:val="20"/>
              </w:rPr>
            </w:pPr>
            <w:r>
              <w:rPr>
                <w:rFonts w:ascii="Arial"/>
                <w:w w:val="100"/>
                <w:sz w:val="20"/>
              </w:rPr>
            </w:r>
            <w:r>
              <w:rPr>
                <w:rFonts w:ascii="Arial"/>
                <w:spacing w:val="-1"/>
                <w:sz w:val="20"/>
                <w:u w:val="thick" w:color="000000"/>
              </w:rPr>
              <w:t>1,448,640</w:t>
            </w:r>
            <w:r>
              <w:rPr>
                <w:rFonts w:ascii="Arial"/>
                <w:spacing w:val="-1"/>
                <w:sz w:val="20"/>
              </w:rPr>
            </w:r>
          </w:p>
        </w:tc>
        <w:tc>
          <w:tcPr>
            <w:tcW w:w="1985" w:type="dxa"/>
            <w:tcBorders>
              <w:top w:val="nil" w:sz="6" w:space="0" w:color="auto"/>
              <w:left w:val="nil" w:sz="6" w:space="0" w:color="auto"/>
              <w:bottom w:val="nil" w:sz="6" w:space="0" w:color="auto"/>
              <w:right w:val="nil" w:sz="6" w:space="0" w:color="auto"/>
            </w:tcBorders>
          </w:tcPr>
          <w:p>
            <w:pPr>
              <w:pStyle w:val="TableParagraph"/>
              <w:spacing w:line="220" w:lineRule="exact"/>
              <w:ind w:right="33"/>
              <w:jc w:val="right"/>
              <w:rPr>
                <w:rFonts w:ascii="Arial" w:hAnsi="Arial" w:cs="Arial" w:eastAsia="Arial" w:hint="default"/>
                <w:sz w:val="20"/>
                <w:szCs w:val="20"/>
              </w:rPr>
            </w:pPr>
            <w:r>
              <w:rPr>
                <w:rFonts w:ascii="Arial"/>
                <w:w w:val="100"/>
                <w:sz w:val="20"/>
              </w:rPr>
            </w:r>
            <w:r>
              <w:rPr>
                <w:rFonts w:ascii="Arial"/>
                <w:sz w:val="20"/>
                <w:u w:val="thick" w:color="000000"/>
              </w:rPr>
              <w:t>9,500</w:t>
            </w:r>
            <w:r>
              <w:rPr>
                <w:rFonts w:ascii="Arial"/>
                <w:sz w:val="20"/>
              </w:rPr>
            </w:r>
          </w:p>
        </w:tc>
      </w:tr>
    </w:tbl>
    <w:p>
      <w:pPr>
        <w:spacing w:line="240" w:lineRule="auto" w:before="3"/>
        <w:rPr>
          <w:rFonts w:ascii="黑体" w:hAnsi="黑体" w:cs="黑体" w:eastAsia="黑体" w:hint="default"/>
          <w:sz w:val="6"/>
          <w:szCs w:val="6"/>
        </w:rPr>
      </w:pPr>
    </w:p>
    <w:p>
      <w:pPr>
        <w:pStyle w:val="BodyText"/>
        <w:spacing w:line="240" w:lineRule="auto" w:before="38"/>
        <w:ind w:left="855" w:right="1058"/>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日，无账龄超过</w:t>
      </w:r>
      <w:r>
        <w:rPr>
          <w:rFonts w:ascii="Arial" w:hAnsi="Arial" w:cs="Arial" w:eastAsia="Arial" w:hint="default"/>
        </w:rPr>
        <w:t>1</w:t>
      </w:r>
      <w:r>
        <w:rPr/>
        <w:t>年的大额应付账款</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r>
        <w:rPr>
          <w:rFonts w:ascii="Arial" w:hAnsi="Arial" w:cs="Arial" w:eastAsia="Arial" w:hint="default"/>
        </w:rPr>
        <w:t>)</w:t>
      </w:r>
      <w:r>
        <w:rPr/>
        <w:t>。</w:t>
      </w:r>
    </w:p>
    <w:p>
      <w:pPr>
        <w:spacing w:after="0" w:line="240" w:lineRule="auto"/>
        <w:jc w:val="left"/>
        <w:sectPr>
          <w:pgSz w:w="11910" w:h="16840"/>
          <w:pgMar w:header="958" w:footer="466" w:top="2560" w:bottom="660" w:left="1560" w:right="0"/>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5"/>
          <w:szCs w:val="15"/>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6"/>
        <w:rPr>
          <w:rFonts w:ascii="黑体" w:hAnsi="黑体" w:cs="黑体" w:eastAsia="黑体" w:hint="default"/>
          <w:b/>
          <w:bCs/>
          <w:sz w:val="14"/>
          <w:szCs w:val="14"/>
        </w:rPr>
      </w:pPr>
    </w:p>
    <w:tbl>
      <w:tblPr>
        <w:tblW w:w="0" w:type="auto"/>
        <w:jc w:val="left"/>
        <w:tblInd w:w="106" w:type="dxa"/>
        <w:tblLayout w:type="fixed"/>
        <w:tblCellMar>
          <w:top w:w="0" w:type="dxa"/>
          <w:left w:w="0" w:type="dxa"/>
          <w:bottom w:w="0" w:type="dxa"/>
          <w:right w:w="0" w:type="dxa"/>
        </w:tblCellMar>
        <w:tblLook w:val="01E0"/>
      </w:tblPr>
      <w:tblGrid>
        <w:gridCol w:w="4098"/>
        <w:gridCol w:w="1592"/>
        <w:gridCol w:w="797"/>
        <w:gridCol w:w="1482"/>
        <w:gridCol w:w="595"/>
      </w:tblGrid>
      <w:tr>
        <w:trPr>
          <w:trHeight w:val="1313" w:hRule="exact"/>
        </w:trPr>
        <w:tc>
          <w:tcPr>
            <w:tcW w:w="4098" w:type="dxa"/>
            <w:tcBorders>
              <w:top w:val="nil" w:sz="6" w:space="0" w:color="auto"/>
              <w:left w:val="nil" w:sz="6" w:space="0" w:color="auto"/>
              <w:bottom w:val="nil" w:sz="6" w:space="0" w:color="auto"/>
              <w:right w:val="nil" w:sz="6" w:space="0" w:color="auto"/>
            </w:tcBorders>
          </w:tcPr>
          <w:p>
            <w:pPr>
              <w:pStyle w:val="TableParagraph"/>
              <w:tabs>
                <w:tab w:pos="754" w:val="left" w:leader="none"/>
              </w:tabs>
              <w:spacing w:line="424" w:lineRule="auto" w:before="38"/>
              <w:ind w:left="749" w:right="289" w:hanging="715"/>
              <w:jc w:val="left"/>
              <w:rPr>
                <w:rFonts w:ascii="Arial" w:hAnsi="Arial" w:cs="Arial" w:eastAsia="Arial" w:hint="default"/>
                <w:sz w:val="20"/>
                <w:szCs w:val="20"/>
              </w:rPr>
            </w:pPr>
            <w:r>
              <w:rPr>
                <w:rFonts w:ascii="Arial" w:hAnsi="Arial" w:cs="Arial" w:eastAsia="Arial" w:hint="default"/>
                <w:b/>
                <w:bCs/>
                <w:spacing w:val="-1"/>
                <w:sz w:val="20"/>
                <w:szCs w:val="20"/>
              </w:rPr>
              <w:t>17.</w:t>
              <w:tab/>
              <w:tab/>
            </w:r>
            <w:r>
              <w:rPr>
                <w:rFonts w:ascii="黑体" w:hAnsi="黑体" w:cs="黑体" w:eastAsia="黑体" w:hint="default"/>
                <w:b/>
                <w:bCs/>
                <w:sz w:val="20"/>
                <w:szCs w:val="20"/>
              </w:rPr>
              <w:t>预收款项</w:t>
            </w:r>
            <w:r>
              <w:rPr>
                <w:rFonts w:ascii="黑体" w:hAnsi="黑体" w:cs="黑体" w:eastAsia="黑体" w:hint="default"/>
                <w:b/>
                <w:bCs/>
                <w:w w:val="99"/>
                <w:sz w:val="20"/>
                <w:szCs w:val="20"/>
              </w:rPr>
              <w:t> </w:t>
            </w:r>
            <w:r>
              <w:rPr>
                <w:rFonts w:ascii="黑体" w:hAnsi="黑体" w:cs="黑体" w:eastAsia="黑体" w:hint="default"/>
                <w:spacing w:val="-1"/>
                <w:sz w:val="20"/>
                <w:szCs w:val="20"/>
              </w:rPr>
              <w:t>预收款项的余额及其账龄分析如下</w:t>
            </w:r>
            <w:r>
              <w:rPr>
                <w:rFonts w:ascii="Arial" w:hAnsi="Arial" w:cs="Arial" w:eastAsia="Arial" w:hint="default"/>
                <w:spacing w:val="-1"/>
                <w:sz w:val="20"/>
                <w:szCs w:val="20"/>
              </w:rPr>
              <w:t>:</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0"/>
              <w:ind w:right="0"/>
              <w:jc w:val="left"/>
              <w:rPr>
                <w:rFonts w:ascii="黑体" w:hAnsi="黑体" w:cs="黑体" w:eastAsia="黑体" w:hint="default"/>
                <w:b/>
                <w:bCs/>
                <w:sz w:val="17"/>
                <w:szCs w:val="17"/>
              </w:rPr>
            </w:pPr>
          </w:p>
          <w:p>
            <w:pPr>
              <w:pStyle w:val="TableParagraph"/>
              <w:spacing w:line="240" w:lineRule="auto"/>
              <w:ind w:right="185"/>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0"/>
              <w:ind w:right="0"/>
              <w:jc w:val="left"/>
              <w:rPr>
                <w:rFonts w:ascii="黑体" w:hAnsi="黑体" w:cs="黑体" w:eastAsia="黑体" w:hint="default"/>
                <w:b/>
                <w:bCs/>
                <w:sz w:val="17"/>
                <w:szCs w:val="17"/>
              </w:rPr>
            </w:pPr>
          </w:p>
          <w:p>
            <w:pPr>
              <w:pStyle w:val="TableParagraph"/>
              <w:spacing w:line="240" w:lineRule="auto"/>
              <w:ind w:right="208"/>
              <w:jc w:val="right"/>
              <w:rPr>
                <w:rFonts w:ascii="黑体" w:hAnsi="黑体" w:cs="黑体" w:eastAsia="黑体" w:hint="default"/>
                <w:sz w:val="20"/>
                <w:szCs w:val="20"/>
              </w:rPr>
            </w:pPr>
            <w:r>
              <w:rPr>
                <w:rFonts w:ascii="黑体" w:hAnsi="黑体" w:cs="黑体" w:eastAsia="黑体" w:hint="default"/>
                <w:sz w:val="20"/>
                <w:szCs w:val="20"/>
              </w:rPr>
              <w:t>比例</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0"/>
              <w:ind w:right="0"/>
              <w:jc w:val="left"/>
              <w:rPr>
                <w:rFonts w:ascii="黑体" w:hAnsi="黑体" w:cs="黑体" w:eastAsia="黑体" w:hint="default"/>
                <w:b/>
                <w:bCs/>
                <w:sz w:val="17"/>
                <w:szCs w:val="17"/>
              </w:rPr>
            </w:pPr>
          </w:p>
          <w:p>
            <w:pPr>
              <w:pStyle w:val="TableParagraph"/>
              <w:spacing w:line="240" w:lineRule="auto"/>
              <w:ind w:right="157"/>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c>
          <w:tcPr>
            <w:tcW w:w="5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0"/>
              <w:ind w:right="0"/>
              <w:jc w:val="left"/>
              <w:rPr>
                <w:rFonts w:ascii="黑体" w:hAnsi="黑体" w:cs="黑体" w:eastAsia="黑体" w:hint="default"/>
                <w:b/>
                <w:bCs/>
                <w:sz w:val="17"/>
                <w:szCs w:val="17"/>
              </w:rPr>
            </w:pPr>
          </w:p>
          <w:p>
            <w:pPr>
              <w:pStyle w:val="TableParagraph"/>
              <w:spacing w:line="240" w:lineRule="auto"/>
              <w:ind w:right="33"/>
              <w:jc w:val="right"/>
              <w:rPr>
                <w:rFonts w:ascii="黑体" w:hAnsi="黑体" w:cs="黑体" w:eastAsia="黑体" w:hint="default"/>
                <w:sz w:val="20"/>
                <w:szCs w:val="20"/>
              </w:rPr>
            </w:pPr>
            <w:r>
              <w:rPr>
                <w:rFonts w:ascii="黑体" w:hAnsi="黑体" w:cs="黑体" w:eastAsia="黑体" w:hint="default"/>
                <w:spacing w:val="-1"/>
                <w:sz w:val="20"/>
                <w:szCs w:val="20"/>
              </w:rPr>
              <w:t>比例</w:t>
            </w:r>
          </w:p>
        </w:tc>
      </w:tr>
      <w:tr>
        <w:trPr>
          <w:trHeight w:val="387" w:hRule="exact"/>
        </w:trPr>
        <w:tc>
          <w:tcPr>
            <w:tcW w:w="4098"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exact"/>
              <w:ind w:right="185"/>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07"/>
              <w:jc w:val="right"/>
              <w:rPr>
                <w:rFonts w:ascii="Arial" w:hAnsi="Arial" w:cs="Arial" w:eastAsia="Arial" w:hint="default"/>
                <w:sz w:val="20"/>
                <w:szCs w:val="20"/>
              </w:rPr>
            </w:pPr>
            <w:r>
              <w:rPr>
                <w:rFonts w:ascii="Arial"/>
                <w:w w:val="100"/>
                <w:sz w:val="20"/>
              </w:rPr>
              <w:t>%</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exact"/>
              <w:ind w:right="157"/>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59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w w:val="100"/>
                <w:sz w:val="20"/>
              </w:rPr>
              <w:t>%</w:t>
            </w:r>
          </w:p>
        </w:tc>
      </w:tr>
      <w:tr>
        <w:trPr>
          <w:trHeight w:val="387" w:hRule="exact"/>
        </w:trPr>
        <w:tc>
          <w:tcPr>
            <w:tcW w:w="4098"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44"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年以内</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84"/>
              <w:jc w:val="right"/>
              <w:rPr>
                <w:rFonts w:ascii="Arial" w:hAnsi="Arial" w:cs="Arial" w:eastAsia="Arial" w:hint="default"/>
                <w:sz w:val="20"/>
                <w:szCs w:val="20"/>
              </w:rPr>
            </w:pPr>
            <w:r>
              <w:rPr>
                <w:rFonts w:ascii="Arial"/>
                <w:spacing w:val="-1"/>
                <w:sz w:val="20"/>
              </w:rPr>
              <w:t>173,438,545</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08"/>
              <w:jc w:val="right"/>
              <w:rPr>
                <w:rFonts w:ascii="Arial" w:hAnsi="Arial" w:cs="Arial" w:eastAsia="Arial" w:hint="default"/>
                <w:sz w:val="20"/>
                <w:szCs w:val="20"/>
              </w:rPr>
            </w:pPr>
            <w:r>
              <w:rPr>
                <w:rFonts w:ascii="Arial"/>
                <w:sz w:val="20"/>
              </w:rPr>
              <w:t>86</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56"/>
              <w:jc w:val="right"/>
              <w:rPr>
                <w:rFonts w:ascii="Arial" w:hAnsi="Arial" w:cs="Arial" w:eastAsia="Arial" w:hint="default"/>
                <w:sz w:val="20"/>
                <w:szCs w:val="20"/>
              </w:rPr>
            </w:pPr>
            <w:r>
              <w:rPr>
                <w:rFonts w:ascii="Arial"/>
                <w:spacing w:val="-1"/>
                <w:sz w:val="20"/>
              </w:rPr>
              <w:t>138,716,505</w:t>
            </w:r>
          </w:p>
        </w:tc>
        <w:tc>
          <w:tcPr>
            <w:tcW w:w="595"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33"/>
              <w:jc w:val="right"/>
              <w:rPr>
                <w:rFonts w:ascii="Arial" w:hAnsi="Arial" w:cs="Arial" w:eastAsia="Arial" w:hint="default"/>
                <w:sz w:val="20"/>
                <w:szCs w:val="20"/>
              </w:rPr>
            </w:pPr>
            <w:r>
              <w:rPr>
                <w:rFonts w:ascii="Arial"/>
                <w:sz w:val="20"/>
              </w:rPr>
              <w:t>86</w:t>
            </w:r>
          </w:p>
        </w:tc>
      </w:tr>
      <w:tr>
        <w:trPr>
          <w:trHeight w:val="259" w:hRule="exact"/>
        </w:trPr>
        <w:tc>
          <w:tcPr>
            <w:tcW w:w="4098" w:type="dxa"/>
            <w:tcBorders>
              <w:top w:val="nil" w:sz="6" w:space="0" w:color="auto"/>
              <w:left w:val="nil" w:sz="6" w:space="0" w:color="auto"/>
              <w:bottom w:val="nil" w:sz="6" w:space="0" w:color="auto"/>
              <w:right w:val="nil" w:sz="6" w:space="0" w:color="auto"/>
            </w:tcBorders>
          </w:tcPr>
          <w:p>
            <w:pPr>
              <w:pStyle w:val="TableParagraph"/>
              <w:spacing w:line="240" w:lineRule="exact"/>
              <w:ind w:left="744"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至</w:t>
            </w:r>
            <w:r>
              <w:rPr>
                <w:rFonts w:ascii="Arial" w:hAnsi="Arial" w:cs="Arial" w:eastAsia="Arial" w:hint="default"/>
                <w:sz w:val="20"/>
                <w:szCs w:val="20"/>
              </w:rPr>
              <w:t>2</w:t>
            </w:r>
            <w:r>
              <w:rPr>
                <w:rFonts w:ascii="黑体" w:hAnsi="黑体" w:cs="黑体" w:eastAsia="黑体" w:hint="default"/>
                <w:sz w:val="20"/>
                <w:szCs w:val="20"/>
              </w:rPr>
              <w:t>年</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85"/>
              <w:jc w:val="right"/>
              <w:rPr>
                <w:rFonts w:ascii="Arial" w:hAnsi="Arial" w:cs="Arial" w:eastAsia="Arial" w:hint="default"/>
                <w:sz w:val="20"/>
                <w:szCs w:val="20"/>
              </w:rPr>
            </w:pPr>
            <w:r>
              <w:rPr>
                <w:rFonts w:ascii="Arial"/>
                <w:spacing w:val="-1"/>
                <w:sz w:val="20"/>
              </w:rPr>
              <w:t>15,384,535</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08"/>
              <w:jc w:val="right"/>
              <w:rPr>
                <w:rFonts w:ascii="Arial" w:hAnsi="Arial" w:cs="Arial" w:eastAsia="Arial" w:hint="default"/>
                <w:sz w:val="20"/>
                <w:szCs w:val="20"/>
              </w:rPr>
            </w:pPr>
            <w:r>
              <w:rPr>
                <w:rFonts w:ascii="Arial"/>
                <w:w w:val="100"/>
                <w:sz w:val="20"/>
              </w:rPr>
              <w:t>8</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57"/>
              <w:jc w:val="right"/>
              <w:rPr>
                <w:rFonts w:ascii="Arial" w:hAnsi="Arial" w:cs="Arial" w:eastAsia="Arial" w:hint="default"/>
                <w:sz w:val="20"/>
                <w:szCs w:val="20"/>
              </w:rPr>
            </w:pPr>
            <w:r>
              <w:rPr>
                <w:rFonts w:ascii="Arial"/>
                <w:spacing w:val="-1"/>
                <w:sz w:val="20"/>
              </w:rPr>
              <w:t>13,884,015</w:t>
            </w:r>
          </w:p>
        </w:tc>
        <w:tc>
          <w:tcPr>
            <w:tcW w:w="59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4"/>
              <w:jc w:val="right"/>
              <w:rPr>
                <w:rFonts w:ascii="Arial" w:hAnsi="Arial" w:cs="Arial" w:eastAsia="Arial" w:hint="default"/>
                <w:sz w:val="20"/>
                <w:szCs w:val="20"/>
              </w:rPr>
            </w:pPr>
            <w:r>
              <w:rPr>
                <w:rFonts w:ascii="Arial"/>
                <w:w w:val="100"/>
                <w:sz w:val="20"/>
              </w:rPr>
              <w:t>9</w:t>
            </w:r>
          </w:p>
        </w:tc>
      </w:tr>
      <w:tr>
        <w:trPr>
          <w:trHeight w:val="259" w:hRule="exact"/>
        </w:trPr>
        <w:tc>
          <w:tcPr>
            <w:tcW w:w="4098" w:type="dxa"/>
            <w:tcBorders>
              <w:top w:val="nil" w:sz="6" w:space="0" w:color="auto"/>
              <w:left w:val="nil" w:sz="6" w:space="0" w:color="auto"/>
              <w:bottom w:val="nil" w:sz="6" w:space="0" w:color="auto"/>
              <w:right w:val="nil" w:sz="6" w:space="0" w:color="auto"/>
            </w:tcBorders>
          </w:tcPr>
          <w:p>
            <w:pPr>
              <w:pStyle w:val="TableParagraph"/>
              <w:spacing w:line="240" w:lineRule="exact"/>
              <w:ind w:left="744" w:right="0"/>
              <w:jc w:val="left"/>
              <w:rPr>
                <w:rFonts w:ascii="黑体" w:hAnsi="黑体" w:cs="黑体" w:eastAsia="黑体" w:hint="default"/>
                <w:sz w:val="20"/>
                <w:szCs w:val="20"/>
              </w:rPr>
            </w:pPr>
            <w:r>
              <w:rPr>
                <w:rFonts w:ascii="Arial" w:hAnsi="Arial" w:cs="Arial" w:eastAsia="Arial" w:hint="default"/>
                <w:sz w:val="20"/>
                <w:szCs w:val="20"/>
              </w:rPr>
              <w:t>2</w:t>
            </w:r>
            <w:r>
              <w:rPr>
                <w:rFonts w:ascii="黑体" w:hAnsi="黑体" w:cs="黑体" w:eastAsia="黑体" w:hint="default"/>
                <w:sz w:val="20"/>
                <w:szCs w:val="20"/>
              </w:rPr>
              <w:t>至</w:t>
            </w:r>
            <w:r>
              <w:rPr>
                <w:rFonts w:ascii="Arial" w:hAnsi="Arial" w:cs="Arial" w:eastAsia="Arial" w:hint="default"/>
                <w:sz w:val="20"/>
                <w:szCs w:val="20"/>
              </w:rPr>
              <w:t>3</w:t>
            </w:r>
            <w:r>
              <w:rPr>
                <w:rFonts w:ascii="黑体" w:hAnsi="黑体" w:cs="黑体" w:eastAsia="黑体" w:hint="default"/>
                <w:sz w:val="20"/>
                <w:szCs w:val="20"/>
              </w:rPr>
              <w:t>年</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85"/>
              <w:jc w:val="right"/>
              <w:rPr>
                <w:rFonts w:ascii="Arial" w:hAnsi="Arial" w:cs="Arial" w:eastAsia="Arial" w:hint="default"/>
                <w:sz w:val="20"/>
                <w:szCs w:val="20"/>
              </w:rPr>
            </w:pPr>
            <w:r>
              <w:rPr>
                <w:rFonts w:ascii="Arial"/>
                <w:spacing w:val="-1"/>
                <w:sz w:val="20"/>
              </w:rPr>
              <w:t>7,482,542</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08"/>
              <w:jc w:val="right"/>
              <w:rPr>
                <w:rFonts w:ascii="Arial" w:hAnsi="Arial" w:cs="Arial" w:eastAsia="Arial" w:hint="default"/>
                <w:sz w:val="20"/>
                <w:szCs w:val="20"/>
              </w:rPr>
            </w:pPr>
            <w:r>
              <w:rPr>
                <w:rFonts w:ascii="Arial"/>
                <w:w w:val="100"/>
                <w:sz w:val="20"/>
              </w:rPr>
              <w:t>3</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57"/>
              <w:jc w:val="right"/>
              <w:rPr>
                <w:rFonts w:ascii="Arial" w:hAnsi="Arial" w:cs="Arial" w:eastAsia="Arial" w:hint="default"/>
                <w:sz w:val="20"/>
                <w:szCs w:val="20"/>
              </w:rPr>
            </w:pPr>
            <w:r>
              <w:rPr>
                <w:rFonts w:ascii="Arial"/>
                <w:spacing w:val="-1"/>
                <w:sz w:val="20"/>
              </w:rPr>
              <w:t>4,720,624</w:t>
            </w:r>
          </w:p>
        </w:tc>
        <w:tc>
          <w:tcPr>
            <w:tcW w:w="59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w w:val="100"/>
                <w:sz w:val="20"/>
              </w:rPr>
              <w:t>3</w:t>
            </w:r>
          </w:p>
        </w:tc>
      </w:tr>
      <w:tr>
        <w:trPr>
          <w:trHeight w:val="261" w:hRule="exact"/>
        </w:trPr>
        <w:tc>
          <w:tcPr>
            <w:tcW w:w="4098" w:type="dxa"/>
            <w:tcBorders>
              <w:top w:val="nil" w:sz="6" w:space="0" w:color="auto"/>
              <w:left w:val="nil" w:sz="6" w:space="0" w:color="auto"/>
              <w:bottom w:val="nil" w:sz="6" w:space="0" w:color="auto"/>
              <w:right w:val="nil" w:sz="6" w:space="0" w:color="auto"/>
            </w:tcBorders>
          </w:tcPr>
          <w:p>
            <w:pPr>
              <w:pStyle w:val="TableParagraph"/>
              <w:spacing w:line="240" w:lineRule="exact"/>
              <w:ind w:left="744" w:right="0"/>
              <w:jc w:val="left"/>
              <w:rPr>
                <w:rFonts w:ascii="黑体" w:hAnsi="黑体" w:cs="黑体" w:eastAsia="黑体" w:hint="default"/>
                <w:sz w:val="20"/>
                <w:szCs w:val="20"/>
              </w:rPr>
            </w:pPr>
            <w:r>
              <w:rPr>
                <w:rFonts w:ascii="Arial" w:hAnsi="Arial" w:cs="Arial" w:eastAsia="Arial" w:hint="default"/>
                <w:sz w:val="20"/>
                <w:szCs w:val="20"/>
              </w:rPr>
              <w:t>3</w:t>
            </w:r>
            <w:r>
              <w:rPr>
                <w:rFonts w:ascii="黑体" w:hAnsi="黑体" w:cs="黑体" w:eastAsia="黑体" w:hint="default"/>
                <w:sz w:val="20"/>
                <w:szCs w:val="20"/>
              </w:rPr>
              <w:t>年以上</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8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3"/>
                <w:sz w:val="20"/>
                <w:u w:val="single" w:color="000000"/>
              </w:rPr>
              <w:t> </w:t>
            </w:r>
            <w:r>
              <w:rPr>
                <w:rFonts w:ascii="Arial"/>
                <w:sz w:val="20"/>
                <w:u w:val="single" w:color="000000"/>
              </w:rPr>
              <w:t>6,288,582</w:t>
            </w:r>
            <w:r>
              <w:rPr>
                <w:rFonts w:ascii="Arial"/>
                <w:sz w:val="20"/>
              </w:rPr>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0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3</w:t>
            </w:r>
            <w:r>
              <w:rPr>
                <w:rFonts w:ascii="Arial"/>
                <w:sz w:val="20"/>
              </w:rPr>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5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3,550,378</w:t>
            </w:r>
            <w:r>
              <w:rPr>
                <w:rFonts w:ascii="Arial"/>
                <w:sz w:val="20"/>
              </w:rPr>
            </w:r>
          </w:p>
        </w:tc>
        <w:tc>
          <w:tcPr>
            <w:tcW w:w="5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2</w:t>
            </w:r>
            <w:r>
              <w:rPr>
                <w:rFonts w:ascii="Arial"/>
                <w:sz w:val="20"/>
              </w:rPr>
            </w:r>
          </w:p>
        </w:tc>
      </w:tr>
      <w:tr>
        <w:trPr>
          <w:trHeight w:val="328" w:hRule="exact"/>
        </w:trPr>
        <w:tc>
          <w:tcPr>
            <w:tcW w:w="4098"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84"/>
              <w:jc w:val="right"/>
              <w:rPr>
                <w:rFonts w:ascii="Arial" w:hAnsi="Arial" w:cs="Arial" w:eastAsia="Arial" w:hint="default"/>
                <w:sz w:val="20"/>
                <w:szCs w:val="20"/>
              </w:rPr>
            </w:pPr>
            <w:r>
              <w:rPr>
                <w:rFonts w:ascii="Arial"/>
                <w:w w:val="100"/>
                <w:sz w:val="20"/>
              </w:rPr>
            </w:r>
            <w:r>
              <w:rPr>
                <w:rFonts w:ascii="Arial"/>
                <w:spacing w:val="-1"/>
                <w:sz w:val="20"/>
                <w:u w:val="thick" w:color="000000"/>
              </w:rPr>
              <w:t>202,594,204</w:t>
            </w:r>
            <w:r>
              <w:rPr>
                <w:rFonts w:ascii="Arial"/>
                <w:spacing w:val="-1"/>
                <w:sz w:val="20"/>
              </w:rPr>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08"/>
              <w:jc w:val="right"/>
              <w:rPr>
                <w:rFonts w:ascii="Arial" w:hAnsi="Arial" w:cs="Arial" w:eastAsia="Arial" w:hint="default"/>
                <w:sz w:val="20"/>
                <w:szCs w:val="20"/>
              </w:rPr>
            </w:pPr>
            <w:r>
              <w:rPr>
                <w:rFonts w:ascii="Arial"/>
                <w:w w:val="100"/>
                <w:sz w:val="20"/>
              </w:rPr>
            </w:r>
            <w:r>
              <w:rPr>
                <w:rFonts w:ascii="Arial"/>
                <w:sz w:val="20"/>
                <w:u w:val="thick" w:color="000000"/>
              </w:rPr>
              <w:t>100</w:t>
            </w:r>
            <w:r>
              <w:rPr>
                <w:rFonts w:ascii="Arial"/>
                <w:sz w:val="20"/>
              </w:rPr>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56"/>
              <w:jc w:val="right"/>
              <w:rPr>
                <w:rFonts w:ascii="Arial" w:hAnsi="Arial" w:cs="Arial" w:eastAsia="Arial" w:hint="default"/>
                <w:sz w:val="20"/>
                <w:szCs w:val="20"/>
              </w:rPr>
            </w:pPr>
            <w:r>
              <w:rPr>
                <w:rFonts w:ascii="Arial"/>
                <w:w w:val="100"/>
                <w:sz w:val="20"/>
              </w:rPr>
            </w:r>
            <w:r>
              <w:rPr>
                <w:rFonts w:ascii="Arial"/>
                <w:spacing w:val="-1"/>
                <w:sz w:val="20"/>
                <w:u w:val="thick" w:color="000000"/>
              </w:rPr>
              <w:t>160,871,522</w:t>
            </w:r>
            <w:r>
              <w:rPr>
                <w:rFonts w:ascii="Arial"/>
                <w:spacing w:val="-1"/>
                <w:sz w:val="20"/>
              </w:rPr>
            </w:r>
          </w:p>
        </w:tc>
        <w:tc>
          <w:tcPr>
            <w:tcW w:w="59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sz w:val="20"/>
                <w:u w:val="thick" w:color="000000"/>
              </w:rPr>
              <w:t>100</w:t>
            </w:r>
            <w:r>
              <w:rPr>
                <w:rFonts w:ascii="Arial"/>
                <w:sz w:val="20"/>
              </w:rPr>
            </w:r>
          </w:p>
        </w:tc>
      </w:tr>
    </w:tbl>
    <w:p>
      <w:pPr>
        <w:spacing w:line="240" w:lineRule="auto" w:before="2"/>
        <w:rPr>
          <w:rFonts w:ascii="黑体" w:hAnsi="黑体" w:cs="黑体" w:eastAsia="黑体" w:hint="default"/>
          <w:b/>
          <w:bCs/>
          <w:sz w:val="6"/>
          <w:szCs w:val="6"/>
        </w:rPr>
      </w:pPr>
    </w:p>
    <w:p>
      <w:pPr>
        <w:pStyle w:val="BodyText"/>
        <w:spacing w:line="240" w:lineRule="auto" w:before="38"/>
        <w:ind w:left="855" w:right="1058"/>
        <w:jc w:val="left"/>
      </w:pPr>
      <w:r>
        <w:rPr>
          <w:spacing w:val="-1"/>
        </w:rPr>
        <w:t>预收款项为预收客户有关软件销售及维护服务收入的款项。该款项按照收入确认的会计政</w:t>
      </w:r>
      <w:r>
        <w:rPr>
          <w:spacing w:val="-80"/>
        </w:rPr>
        <w:t> </w:t>
      </w:r>
      <w:r>
        <w:rPr>
          <w:spacing w:val="-80"/>
        </w:rPr>
      </w:r>
      <w:r>
        <w:rPr/>
        <w:t>策应于以后年度确认收入。</w:t>
      </w:r>
    </w:p>
    <w:p>
      <w:pPr>
        <w:spacing w:line="240" w:lineRule="auto" w:before="4"/>
        <w:rPr>
          <w:rFonts w:ascii="黑体" w:hAnsi="黑体" w:cs="黑体" w:eastAsia="黑体" w:hint="default"/>
          <w:sz w:val="19"/>
          <w:szCs w:val="19"/>
        </w:rPr>
      </w:pPr>
    </w:p>
    <w:p>
      <w:pPr>
        <w:pStyle w:val="BodyText"/>
        <w:spacing w:line="260" w:lineRule="exact"/>
        <w:ind w:left="850" w:right="1058" w:firstLine="4"/>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日，本账户余额中并无持本公司</w:t>
      </w:r>
      <w:r>
        <w:rPr>
          <w:rFonts w:ascii="Arial" w:hAnsi="Arial" w:cs="Arial" w:eastAsia="Arial" w:hint="default"/>
        </w:rPr>
        <w:t>5%</w:t>
      </w:r>
      <w:r>
        <w:rPr/>
        <w:t>或以上表决权股份的股东单位或关联</w:t>
      </w:r>
      <w:r>
        <w:rPr>
          <w:spacing w:val="-93"/>
        </w:rPr>
        <w:t> </w:t>
      </w:r>
      <w:r>
        <w:rPr/>
        <w:t>方的款项</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r>
        <w:rPr>
          <w:rFonts w:ascii="Arial" w:hAnsi="Arial" w:cs="Arial" w:eastAsia="Arial" w:hint="default"/>
        </w:rPr>
        <w:t>)</w:t>
      </w:r>
      <w:r>
        <w:rPr/>
        <w:t>。</w:t>
      </w:r>
    </w:p>
    <w:p>
      <w:pPr>
        <w:spacing w:line="240" w:lineRule="auto" w:before="8"/>
        <w:rPr>
          <w:rFonts w:ascii="黑体" w:hAnsi="黑体" w:cs="黑体" w:eastAsia="黑体" w:hint="default"/>
          <w:sz w:val="15"/>
          <w:szCs w:val="15"/>
        </w:rPr>
      </w:pPr>
    </w:p>
    <w:p>
      <w:pPr>
        <w:pStyle w:val="BodyText"/>
        <w:spacing w:line="240" w:lineRule="auto"/>
        <w:ind w:left="850" w:right="1058"/>
        <w:jc w:val="left"/>
      </w:pPr>
      <w:r>
        <w:rPr>
          <w:w w:val="100"/>
        </w:rPr>
        <w:t>于</w:t>
      </w:r>
      <w:r>
        <w:rPr>
          <w:rFonts w:ascii="Arial" w:hAnsi="Arial" w:cs="Arial" w:eastAsia="Arial" w:hint="default"/>
          <w:w w:val="100"/>
        </w:rPr>
        <w:t>20</w:t>
      </w:r>
      <w:r>
        <w:rPr>
          <w:rFonts w:ascii="Arial" w:hAnsi="Arial" w:cs="Arial" w:eastAsia="Arial" w:hint="default"/>
          <w:spacing w:val="-2"/>
          <w:w w:val="100"/>
        </w:rPr>
        <w:t>0</w:t>
      </w:r>
      <w:r>
        <w:rPr>
          <w:rFonts w:ascii="Arial" w:hAnsi="Arial" w:cs="Arial" w:eastAsia="Arial" w:hint="default"/>
          <w:w w:val="100"/>
        </w:rPr>
        <w:t>9</w:t>
      </w:r>
      <w:r>
        <w:rPr>
          <w:w w:val="100"/>
        </w:rPr>
        <w:t>年</w:t>
      </w:r>
      <w:r>
        <w:rPr>
          <w:rFonts w:ascii="Arial" w:hAnsi="Arial" w:cs="Arial" w:eastAsia="Arial" w:hint="default"/>
          <w:spacing w:val="-2"/>
          <w:w w:val="100"/>
        </w:rPr>
        <w:t>1</w:t>
      </w:r>
      <w:r>
        <w:rPr>
          <w:rFonts w:ascii="Arial" w:hAnsi="Arial" w:cs="Arial" w:eastAsia="Arial" w:hint="default"/>
          <w:spacing w:val="-1"/>
          <w:w w:val="100"/>
        </w:rPr>
        <w:t>2</w:t>
      </w:r>
      <w:r>
        <w:rPr>
          <w:w w:val="100"/>
        </w:rPr>
        <w:t>月</w:t>
      </w:r>
      <w:r>
        <w:rPr>
          <w:rFonts w:ascii="Arial" w:hAnsi="Arial" w:cs="Arial" w:eastAsia="Arial" w:hint="default"/>
          <w:w w:val="100"/>
        </w:rPr>
        <w:t>31</w:t>
      </w:r>
      <w:r>
        <w:rPr>
          <w:spacing w:val="-2"/>
          <w:w w:val="100"/>
        </w:rPr>
        <w:t>日</w:t>
      </w:r>
      <w:r>
        <w:rPr>
          <w:spacing w:val="-99"/>
          <w:w w:val="100"/>
        </w:rPr>
        <w:t>，</w:t>
      </w:r>
      <w:r>
        <w:rPr>
          <w:spacing w:val="-2"/>
          <w:w w:val="100"/>
        </w:rPr>
        <w:t>本账</w:t>
      </w:r>
      <w:r>
        <w:rPr>
          <w:w w:val="100"/>
        </w:rPr>
        <w:t>户余额</w:t>
      </w:r>
      <w:r>
        <w:rPr>
          <w:spacing w:val="-2"/>
          <w:w w:val="100"/>
        </w:rPr>
        <w:t>中</w:t>
      </w:r>
      <w:r>
        <w:rPr>
          <w:w w:val="100"/>
        </w:rPr>
        <w:t>无</w:t>
      </w:r>
      <w:r>
        <w:rPr>
          <w:spacing w:val="-2"/>
          <w:w w:val="100"/>
        </w:rPr>
        <w:t>账</w:t>
      </w:r>
      <w:r>
        <w:rPr>
          <w:w w:val="100"/>
        </w:rPr>
        <w:t>龄超过</w:t>
      </w:r>
      <w:r>
        <w:rPr>
          <w:rFonts w:ascii="Arial" w:hAnsi="Arial" w:cs="Arial" w:eastAsia="Arial" w:hint="default"/>
          <w:spacing w:val="-1"/>
          <w:w w:val="100"/>
        </w:rPr>
        <w:t>1</w:t>
      </w:r>
      <w:r>
        <w:rPr>
          <w:w w:val="100"/>
        </w:rPr>
        <w:t>年</w:t>
      </w:r>
      <w:r>
        <w:rPr>
          <w:spacing w:val="-2"/>
          <w:w w:val="100"/>
        </w:rPr>
        <w:t>的</w:t>
      </w:r>
      <w:r>
        <w:rPr>
          <w:w w:val="100"/>
        </w:rPr>
        <w:t>大额预</w:t>
      </w:r>
      <w:r>
        <w:rPr>
          <w:spacing w:val="-2"/>
          <w:w w:val="100"/>
        </w:rPr>
        <w:t>收</w:t>
      </w:r>
      <w:r>
        <w:rPr>
          <w:w w:val="100"/>
        </w:rPr>
        <w:t>款</w:t>
      </w:r>
      <w:r>
        <w:rPr>
          <w:spacing w:val="-100"/>
          <w:w w:val="100"/>
        </w:rPr>
        <w:t>项</w:t>
      </w:r>
      <w:r>
        <w:rPr>
          <w:w w:val="100"/>
        </w:rPr>
        <w:t>（</w:t>
      </w:r>
      <w:r>
        <w:rPr>
          <w:rFonts w:ascii="Arial" w:hAnsi="Arial" w:cs="Arial" w:eastAsia="Arial" w:hint="default"/>
          <w:w w:val="100"/>
        </w:rPr>
        <w:t>2</w:t>
      </w:r>
      <w:r>
        <w:rPr>
          <w:rFonts w:ascii="Arial" w:hAnsi="Arial" w:cs="Arial" w:eastAsia="Arial" w:hint="default"/>
          <w:spacing w:val="-2"/>
          <w:w w:val="100"/>
        </w:rPr>
        <w:t>0</w:t>
      </w:r>
      <w:r>
        <w:rPr>
          <w:rFonts w:ascii="Arial" w:hAnsi="Arial" w:cs="Arial" w:eastAsia="Arial" w:hint="default"/>
          <w:w w:val="100"/>
        </w:rPr>
        <w:t>08</w:t>
      </w:r>
      <w:r>
        <w:rPr>
          <w:spacing w:val="-2"/>
          <w:w w:val="100"/>
        </w:rPr>
        <w:t>年</w:t>
      </w:r>
      <w:r>
        <w:rPr>
          <w:rFonts w:ascii="Arial" w:hAnsi="Arial" w:cs="Arial" w:eastAsia="Arial" w:hint="default"/>
          <w:w w:val="100"/>
        </w:rPr>
        <w:t>12</w:t>
      </w:r>
      <w:r>
        <w:rPr>
          <w:spacing w:val="-2"/>
          <w:w w:val="100"/>
        </w:rPr>
        <w:t>月</w:t>
      </w:r>
      <w:r>
        <w:rPr>
          <w:rFonts w:ascii="Arial" w:hAnsi="Arial" w:cs="Arial" w:eastAsia="Arial" w:hint="default"/>
          <w:w w:val="100"/>
        </w:rPr>
        <w:t>31</w:t>
      </w:r>
      <w:r>
        <w:rPr>
          <w:spacing w:val="-2"/>
          <w:w w:val="100"/>
        </w:rPr>
        <w:t>日</w:t>
      </w:r>
      <w:r>
        <w:rPr>
          <w:spacing w:val="-99"/>
          <w:w w:val="100"/>
        </w:rPr>
        <w:t>：</w:t>
      </w:r>
      <w:r>
        <w:rPr>
          <w:spacing w:val="-2"/>
          <w:w w:val="100"/>
        </w:rPr>
        <w:t>无</w:t>
      </w:r>
      <w:r>
        <w:rPr>
          <w:spacing w:val="-99"/>
          <w:w w:val="100"/>
        </w:rPr>
        <w:t>）</w:t>
      </w:r>
      <w:r>
        <w:rPr>
          <w:w w:val="100"/>
        </w:rPr>
        <w:t>。</w:t>
      </w:r>
    </w:p>
    <w:p>
      <w:pPr>
        <w:spacing w:after="0" w:line="240" w:lineRule="auto"/>
        <w:jc w:val="left"/>
        <w:sectPr>
          <w:pgSz w:w="11910" w:h="16840"/>
          <w:pgMar w:header="958" w:footer="466" w:top="2560" w:bottom="660" w:left="1560" w:right="0"/>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5"/>
          <w:szCs w:val="15"/>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61" w:val="left" w:leader="none"/>
        </w:tabs>
        <w:spacing w:before="0"/>
        <w:ind w:left="141" w:right="1058" w:firstLine="0"/>
        <w:jc w:val="left"/>
        <w:rPr>
          <w:rFonts w:ascii="黑体" w:hAnsi="黑体" w:cs="黑体" w:eastAsia="黑体" w:hint="default"/>
          <w:sz w:val="20"/>
          <w:szCs w:val="20"/>
        </w:rPr>
      </w:pPr>
      <w:r>
        <w:rPr>
          <w:rFonts w:ascii="Arial" w:hAnsi="Arial" w:cs="Arial" w:eastAsia="Arial" w:hint="default"/>
          <w:b/>
          <w:bCs/>
          <w:spacing w:val="-1"/>
          <w:sz w:val="20"/>
          <w:szCs w:val="20"/>
        </w:rPr>
        <w:t>18.</w:t>
        <w:tab/>
      </w:r>
      <w:r>
        <w:rPr>
          <w:rFonts w:ascii="黑体" w:hAnsi="黑体" w:cs="黑体" w:eastAsia="黑体" w:hint="default"/>
          <w:b/>
          <w:bCs/>
          <w:sz w:val="20"/>
          <w:szCs w:val="20"/>
        </w:rPr>
        <w:t>应付职工薪酬</w:t>
      </w:r>
      <w:r>
        <w:rPr>
          <w:rFonts w:ascii="黑体" w:hAnsi="黑体" w:cs="黑体" w:eastAsia="黑体" w:hint="default"/>
          <w:sz w:val="20"/>
          <w:szCs w:val="20"/>
        </w:rPr>
      </w:r>
    </w:p>
    <w:p>
      <w:pPr>
        <w:spacing w:line="240" w:lineRule="auto" w:before="6"/>
        <w:rPr>
          <w:rFonts w:ascii="黑体" w:hAnsi="黑体" w:cs="黑体" w:eastAsia="黑体" w:hint="default"/>
          <w:b/>
          <w:bCs/>
          <w:sz w:val="16"/>
          <w:szCs w:val="16"/>
        </w:rPr>
      </w:pPr>
    </w:p>
    <w:p>
      <w:pPr>
        <w:pStyle w:val="BodyText"/>
        <w:spacing w:line="240" w:lineRule="auto" w:before="38"/>
        <w:ind w:left="5903" w:right="3727"/>
        <w:jc w:val="center"/>
      </w:pPr>
      <w:r>
        <w:rPr>
          <w:rFonts w:ascii="Arial" w:hAnsi="Arial" w:cs="Arial" w:eastAsia="Arial" w:hint="default"/>
        </w:rPr>
        <w:t>2009</w:t>
      </w:r>
      <w:r>
        <w:rPr/>
        <w:t>年</w:t>
      </w:r>
    </w:p>
    <w:tbl>
      <w:tblPr>
        <w:tblW w:w="0" w:type="auto"/>
        <w:jc w:val="left"/>
        <w:tblInd w:w="815" w:type="dxa"/>
        <w:tblLayout w:type="fixed"/>
        <w:tblCellMar>
          <w:top w:w="0" w:type="dxa"/>
          <w:left w:w="0" w:type="dxa"/>
          <w:bottom w:w="0" w:type="dxa"/>
          <w:right w:w="0" w:type="dxa"/>
        </w:tblCellMar>
        <w:tblLook w:val="01E0"/>
      </w:tblPr>
      <w:tblGrid>
        <w:gridCol w:w="2437"/>
        <w:gridCol w:w="1501"/>
        <w:gridCol w:w="1540"/>
        <w:gridCol w:w="1684"/>
        <w:gridCol w:w="1365"/>
      </w:tblGrid>
      <w:tr>
        <w:trPr>
          <w:trHeight w:val="935"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9"/>
              <w:ind w:right="0"/>
              <w:jc w:val="left"/>
              <w:rPr>
                <w:rFonts w:ascii="黑体" w:hAnsi="黑体" w:cs="黑体" w:eastAsia="黑体" w:hint="default"/>
                <w:sz w:val="26"/>
                <w:szCs w:val="26"/>
              </w:rPr>
            </w:pPr>
          </w:p>
          <w:p>
            <w:pPr>
              <w:pStyle w:val="TableParagraph"/>
              <w:spacing w:line="240" w:lineRule="auto"/>
              <w:ind w:left="53" w:right="0"/>
              <w:jc w:val="left"/>
              <w:rPr>
                <w:rFonts w:ascii="黑体" w:hAnsi="黑体" w:cs="黑体" w:eastAsia="黑体" w:hint="default"/>
                <w:sz w:val="20"/>
                <w:szCs w:val="20"/>
              </w:rPr>
            </w:pPr>
            <w:r>
              <w:rPr>
                <w:rFonts w:ascii="黑体" w:hAnsi="黑体" w:cs="黑体" w:eastAsia="黑体" w:hint="default"/>
                <w:sz w:val="20"/>
                <w:szCs w:val="20"/>
              </w:rPr>
              <w:t>工资、奖金、津贴和补贴</w:t>
            </w:r>
          </w:p>
        </w:tc>
        <w:tc>
          <w:tcPr>
            <w:tcW w:w="1501" w:type="dxa"/>
            <w:tcBorders>
              <w:top w:val="single" w:sz="4" w:space="0" w:color="000000"/>
              <w:left w:val="nil" w:sz="6" w:space="0" w:color="auto"/>
              <w:bottom w:val="nil" w:sz="6" w:space="0" w:color="auto"/>
              <w:right w:val="nil" w:sz="6" w:space="0" w:color="auto"/>
            </w:tcBorders>
          </w:tcPr>
          <w:p>
            <w:pPr>
              <w:pStyle w:val="TableParagraph"/>
              <w:spacing w:line="240" w:lineRule="auto" w:before="6"/>
              <w:ind w:left="147" w:right="0" w:firstLine="333"/>
              <w:jc w:val="left"/>
              <w:rPr>
                <w:rFonts w:ascii="黑体" w:hAnsi="黑体" w:cs="黑体" w:eastAsia="黑体" w:hint="default"/>
                <w:sz w:val="20"/>
                <w:szCs w:val="20"/>
              </w:rPr>
            </w:pPr>
            <w:r>
              <w:rPr>
                <w:rFonts w:ascii="黑体" w:hAnsi="黑体" w:cs="黑体" w:eastAsia="黑体" w:hint="default"/>
                <w:sz w:val="20"/>
                <w:szCs w:val="20"/>
              </w:rPr>
              <w:t>年初余额</w:t>
            </w: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37"/>
              <w:ind w:left="147" w:right="0"/>
              <w:jc w:val="left"/>
              <w:rPr>
                <w:rFonts w:ascii="Arial" w:hAnsi="Arial" w:cs="Arial" w:eastAsia="Arial" w:hint="default"/>
                <w:sz w:val="20"/>
                <w:szCs w:val="20"/>
              </w:rPr>
            </w:pPr>
            <w:r>
              <w:rPr>
                <w:rFonts w:ascii="Arial"/>
                <w:sz w:val="20"/>
              </w:rPr>
              <w:t>109,850,287</w:t>
            </w:r>
          </w:p>
        </w:tc>
        <w:tc>
          <w:tcPr>
            <w:tcW w:w="1540" w:type="dxa"/>
            <w:tcBorders>
              <w:top w:val="single" w:sz="4" w:space="0" w:color="000000"/>
              <w:left w:val="nil" w:sz="6" w:space="0" w:color="auto"/>
              <w:bottom w:val="nil" w:sz="6" w:space="0" w:color="auto"/>
              <w:right w:val="nil" w:sz="6" w:space="0" w:color="auto"/>
            </w:tcBorders>
          </w:tcPr>
          <w:p>
            <w:pPr>
              <w:pStyle w:val="TableParagraph"/>
              <w:spacing w:line="240" w:lineRule="auto" w:before="6"/>
              <w:ind w:left="218" w:right="0" w:firstLine="332"/>
              <w:jc w:val="left"/>
              <w:rPr>
                <w:rFonts w:ascii="黑体" w:hAnsi="黑体" w:cs="黑体" w:eastAsia="黑体" w:hint="default"/>
                <w:sz w:val="20"/>
                <w:szCs w:val="20"/>
              </w:rPr>
            </w:pPr>
            <w:r>
              <w:rPr>
                <w:rFonts w:ascii="黑体" w:hAnsi="黑体" w:cs="黑体" w:eastAsia="黑体" w:hint="default"/>
                <w:sz w:val="20"/>
                <w:szCs w:val="20"/>
              </w:rPr>
              <w:t>本年增加</w:t>
            </w: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37"/>
              <w:ind w:left="218" w:right="0"/>
              <w:jc w:val="left"/>
              <w:rPr>
                <w:rFonts w:ascii="Arial" w:hAnsi="Arial" w:cs="Arial" w:eastAsia="Arial" w:hint="default"/>
                <w:sz w:val="20"/>
                <w:szCs w:val="20"/>
              </w:rPr>
            </w:pPr>
            <w:r>
              <w:rPr>
                <w:rFonts w:ascii="Arial"/>
                <w:sz w:val="20"/>
              </w:rPr>
              <w:t>624,688,901</w:t>
            </w:r>
          </w:p>
        </w:tc>
        <w:tc>
          <w:tcPr>
            <w:tcW w:w="1684" w:type="dxa"/>
            <w:tcBorders>
              <w:top w:val="single" w:sz="4" w:space="0" w:color="000000"/>
              <w:left w:val="nil" w:sz="6" w:space="0" w:color="auto"/>
              <w:bottom w:val="nil" w:sz="6" w:space="0" w:color="auto"/>
              <w:right w:val="nil" w:sz="6" w:space="0" w:color="auto"/>
            </w:tcBorders>
          </w:tcPr>
          <w:p>
            <w:pPr>
              <w:pStyle w:val="TableParagraph"/>
              <w:spacing w:line="240" w:lineRule="auto" w:before="6"/>
              <w:ind w:left="253" w:right="0" w:firstLine="333"/>
              <w:jc w:val="left"/>
              <w:rPr>
                <w:rFonts w:ascii="黑体" w:hAnsi="黑体" w:cs="黑体" w:eastAsia="黑体" w:hint="default"/>
                <w:sz w:val="20"/>
                <w:szCs w:val="20"/>
              </w:rPr>
            </w:pPr>
            <w:r>
              <w:rPr>
                <w:rFonts w:ascii="黑体" w:hAnsi="黑体" w:cs="黑体" w:eastAsia="黑体" w:hint="default"/>
                <w:sz w:val="20"/>
                <w:szCs w:val="20"/>
              </w:rPr>
              <w:t>本年减少</w:t>
            </w: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37"/>
              <w:ind w:left="253" w:right="0"/>
              <w:jc w:val="left"/>
              <w:rPr>
                <w:rFonts w:ascii="Arial" w:hAnsi="Arial" w:cs="Arial" w:eastAsia="Arial" w:hint="default"/>
                <w:sz w:val="20"/>
                <w:szCs w:val="20"/>
              </w:rPr>
            </w:pPr>
            <w:r>
              <w:rPr>
                <w:rFonts w:ascii="Arial"/>
                <w:sz w:val="20"/>
              </w:rPr>
              <w:t>526,259,740</w:t>
            </w:r>
          </w:p>
        </w:tc>
        <w:tc>
          <w:tcPr>
            <w:tcW w:w="1365" w:type="dxa"/>
            <w:tcBorders>
              <w:top w:val="single" w:sz="4" w:space="0" w:color="000000"/>
              <w:left w:val="nil" w:sz="6" w:space="0" w:color="auto"/>
              <w:bottom w:val="nil" w:sz="6" w:space="0" w:color="auto"/>
              <w:right w:val="nil" w:sz="6" w:space="0" w:color="auto"/>
            </w:tcBorders>
          </w:tcPr>
          <w:p>
            <w:pPr>
              <w:pStyle w:val="TableParagraph"/>
              <w:spacing w:line="240" w:lineRule="auto" w:before="6"/>
              <w:ind w:left="189" w:right="0" w:firstLine="310"/>
              <w:jc w:val="left"/>
              <w:rPr>
                <w:rFonts w:ascii="黑体" w:hAnsi="黑体" w:cs="黑体" w:eastAsia="黑体" w:hint="default"/>
                <w:sz w:val="20"/>
                <w:szCs w:val="20"/>
              </w:rPr>
            </w:pPr>
            <w:r>
              <w:rPr>
                <w:rFonts w:ascii="黑体" w:hAnsi="黑体" w:cs="黑体" w:eastAsia="黑体" w:hint="default"/>
                <w:sz w:val="20"/>
                <w:szCs w:val="20"/>
              </w:rPr>
              <w:t>年末余额</w:t>
            </w: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37"/>
              <w:ind w:left="189" w:right="0"/>
              <w:jc w:val="left"/>
              <w:rPr>
                <w:rFonts w:ascii="Arial" w:hAnsi="Arial" w:cs="Arial" w:eastAsia="Arial" w:hint="default"/>
                <w:sz w:val="20"/>
                <w:szCs w:val="20"/>
              </w:rPr>
            </w:pPr>
            <w:r>
              <w:rPr>
                <w:rFonts w:ascii="Arial"/>
                <w:sz w:val="20"/>
              </w:rPr>
              <w:t>208,279,448</w:t>
            </w:r>
          </w:p>
        </w:tc>
      </w:tr>
      <w:tr>
        <w:trPr>
          <w:trHeight w:val="30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38" w:lineRule="exact"/>
              <w:ind w:left="53" w:right="0"/>
              <w:jc w:val="left"/>
              <w:rPr>
                <w:rFonts w:ascii="黑体" w:hAnsi="黑体" w:cs="黑体" w:eastAsia="黑体" w:hint="default"/>
                <w:sz w:val="20"/>
                <w:szCs w:val="20"/>
              </w:rPr>
            </w:pPr>
            <w:r>
              <w:rPr>
                <w:rFonts w:ascii="黑体" w:hAnsi="黑体" w:cs="黑体" w:eastAsia="黑体" w:hint="default"/>
                <w:sz w:val="20"/>
                <w:szCs w:val="20"/>
              </w:rPr>
              <w:t>社会保险费</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39"/>
              <w:jc w:val="right"/>
              <w:rPr>
                <w:rFonts w:ascii="Arial" w:hAnsi="Arial" w:cs="Arial" w:eastAsia="Arial" w:hint="default"/>
                <w:sz w:val="20"/>
                <w:szCs w:val="20"/>
              </w:rPr>
            </w:pPr>
            <w:r>
              <w:rPr>
                <w:rFonts w:ascii="Arial"/>
                <w:spacing w:val="-1"/>
                <w:sz w:val="20"/>
              </w:rPr>
              <w:t>7,683,261</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07"/>
              <w:jc w:val="right"/>
              <w:rPr>
                <w:rFonts w:ascii="Arial" w:hAnsi="Arial" w:cs="Arial" w:eastAsia="Arial" w:hint="default"/>
                <w:sz w:val="20"/>
                <w:szCs w:val="20"/>
              </w:rPr>
            </w:pPr>
            <w:r>
              <w:rPr>
                <w:rFonts w:ascii="Arial"/>
                <w:spacing w:val="-1"/>
                <w:sz w:val="20"/>
              </w:rPr>
              <w:t>77,694,725</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16"/>
              <w:jc w:val="right"/>
              <w:rPr>
                <w:rFonts w:ascii="Arial" w:hAnsi="Arial" w:cs="Arial" w:eastAsia="Arial" w:hint="default"/>
                <w:sz w:val="20"/>
                <w:szCs w:val="20"/>
              </w:rPr>
            </w:pPr>
            <w:r>
              <w:rPr>
                <w:rFonts w:ascii="Arial"/>
                <w:spacing w:val="-2"/>
                <w:sz w:val="20"/>
              </w:rPr>
              <w:t>67,890,682</w:t>
            </w:r>
            <w:r>
              <w:rPr>
                <w:rFonts w:ascii="Arial"/>
                <w:sz w:val="20"/>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62"/>
              <w:jc w:val="right"/>
              <w:rPr>
                <w:rFonts w:ascii="Arial" w:hAnsi="Arial" w:cs="Arial" w:eastAsia="Arial" w:hint="default"/>
                <w:sz w:val="20"/>
                <w:szCs w:val="20"/>
              </w:rPr>
            </w:pPr>
            <w:r>
              <w:rPr>
                <w:rFonts w:ascii="Arial"/>
                <w:spacing w:val="-1"/>
                <w:sz w:val="20"/>
              </w:rPr>
              <w:t>17,487,304</w:t>
            </w:r>
          </w:p>
        </w:tc>
      </w:tr>
      <w:tr>
        <w:trPr>
          <w:trHeight w:val="30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38" w:lineRule="exact"/>
              <w:ind w:left="52" w:right="0"/>
              <w:jc w:val="left"/>
              <w:rPr>
                <w:rFonts w:ascii="黑体" w:hAnsi="黑体" w:cs="黑体" w:eastAsia="黑体" w:hint="default"/>
                <w:sz w:val="20"/>
                <w:szCs w:val="20"/>
              </w:rPr>
            </w:pPr>
            <w:r>
              <w:rPr>
                <w:rFonts w:ascii="黑体" w:hAnsi="黑体" w:cs="黑体" w:eastAsia="黑体" w:hint="default"/>
                <w:sz w:val="20"/>
                <w:szCs w:val="20"/>
              </w:rPr>
              <w:t>其中：基本养老保险费</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39"/>
              <w:jc w:val="right"/>
              <w:rPr>
                <w:rFonts w:ascii="Arial" w:hAnsi="Arial" w:cs="Arial" w:eastAsia="Arial" w:hint="default"/>
                <w:sz w:val="20"/>
                <w:szCs w:val="20"/>
              </w:rPr>
            </w:pPr>
            <w:r>
              <w:rPr>
                <w:rFonts w:ascii="Arial"/>
                <w:spacing w:val="-1"/>
                <w:sz w:val="20"/>
              </w:rPr>
              <w:t>5,797,185</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07"/>
              <w:jc w:val="right"/>
              <w:rPr>
                <w:rFonts w:ascii="Arial" w:hAnsi="Arial" w:cs="Arial" w:eastAsia="Arial" w:hint="default"/>
                <w:sz w:val="20"/>
                <w:szCs w:val="20"/>
              </w:rPr>
            </w:pPr>
            <w:r>
              <w:rPr>
                <w:rFonts w:ascii="Arial"/>
                <w:spacing w:val="-1"/>
                <w:sz w:val="20"/>
              </w:rPr>
              <w:t>55,046,432</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16"/>
              <w:jc w:val="right"/>
              <w:rPr>
                <w:rFonts w:ascii="Arial" w:hAnsi="Arial" w:cs="Arial" w:eastAsia="Arial" w:hint="default"/>
                <w:sz w:val="20"/>
                <w:szCs w:val="20"/>
              </w:rPr>
            </w:pPr>
            <w:r>
              <w:rPr>
                <w:rFonts w:ascii="Arial"/>
                <w:spacing w:val="-2"/>
                <w:sz w:val="20"/>
              </w:rPr>
              <w:t>48,411,413</w:t>
            </w:r>
            <w:r>
              <w:rPr>
                <w:rFonts w:ascii="Arial"/>
                <w:sz w:val="20"/>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62"/>
              <w:jc w:val="right"/>
              <w:rPr>
                <w:rFonts w:ascii="Arial" w:hAnsi="Arial" w:cs="Arial" w:eastAsia="Arial" w:hint="default"/>
                <w:sz w:val="20"/>
                <w:szCs w:val="20"/>
              </w:rPr>
            </w:pPr>
            <w:r>
              <w:rPr>
                <w:rFonts w:ascii="Arial"/>
                <w:spacing w:val="-1"/>
                <w:sz w:val="20"/>
              </w:rPr>
              <w:t>12,432,204</w:t>
            </w:r>
          </w:p>
        </w:tc>
      </w:tr>
      <w:tr>
        <w:trPr>
          <w:trHeight w:val="30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38" w:lineRule="exact"/>
              <w:ind w:left="622" w:right="0"/>
              <w:jc w:val="left"/>
              <w:rPr>
                <w:rFonts w:ascii="黑体" w:hAnsi="黑体" w:cs="黑体" w:eastAsia="黑体" w:hint="default"/>
                <w:sz w:val="20"/>
                <w:szCs w:val="20"/>
              </w:rPr>
            </w:pPr>
            <w:r>
              <w:rPr>
                <w:rFonts w:ascii="黑体" w:hAnsi="黑体" w:cs="黑体" w:eastAsia="黑体" w:hint="default"/>
                <w:sz w:val="20"/>
                <w:szCs w:val="20"/>
              </w:rPr>
              <w:t>医疗保险费</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39"/>
              <w:jc w:val="right"/>
              <w:rPr>
                <w:rFonts w:ascii="Arial" w:hAnsi="Arial" w:cs="Arial" w:eastAsia="Arial" w:hint="default"/>
                <w:sz w:val="20"/>
                <w:szCs w:val="20"/>
              </w:rPr>
            </w:pPr>
            <w:r>
              <w:rPr>
                <w:rFonts w:ascii="Arial"/>
                <w:spacing w:val="-1"/>
                <w:sz w:val="20"/>
              </w:rPr>
              <w:t>1,563,271</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07"/>
              <w:jc w:val="right"/>
              <w:rPr>
                <w:rFonts w:ascii="Arial" w:hAnsi="Arial" w:cs="Arial" w:eastAsia="Arial" w:hint="default"/>
                <w:sz w:val="20"/>
                <w:szCs w:val="20"/>
              </w:rPr>
            </w:pPr>
            <w:r>
              <w:rPr>
                <w:rFonts w:ascii="Arial"/>
                <w:spacing w:val="-1"/>
                <w:sz w:val="20"/>
              </w:rPr>
              <w:t>18,478,619</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16"/>
              <w:jc w:val="right"/>
              <w:rPr>
                <w:rFonts w:ascii="Arial" w:hAnsi="Arial" w:cs="Arial" w:eastAsia="Arial" w:hint="default"/>
                <w:sz w:val="20"/>
                <w:szCs w:val="20"/>
              </w:rPr>
            </w:pPr>
            <w:r>
              <w:rPr>
                <w:rFonts w:ascii="Arial"/>
                <w:spacing w:val="-2"/>
                <w:sz w:val="20"/>
              </w:rPr>
              <w:t>16,018,285</w:t>
            </w:r>
            <w:r>
              <w:rPr>
                <w:rFonts w:ascii="Arial"/>
                <w:sz w:val="20"/>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62"/>
              <w:jc w:val="right"/>
              <w:rPr>
                <w:rFonts w:ascii="Arial" w:hAnsi="Arial" w:cs="Arial" w:eastAsia="Arial" w:hint="default"/>
                <w:sz w:val="20"/>
                <w:szCs w:val="20"/>
              </w:rPr>
            </w:pPr>
            <w:r>
              <w:rPr>
                <w:rFonts w:ascii="Arial"/>
                <w:spacing w:val="-1"/>
                <w:sz w:val="20"/>
              </w:rPr>
              <w:t>4,023,605</w:t>
            </w:r>
          </w:p>
        </w:tc>
      </w:tr>
      <w:tr>
        <w:trPr>
          <w:trHeight w:val="30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38" w:lineRule="exact"/>
              <w:ind w:left="637" w:right="0"/>
              <w:jc w:val="left"/>
              <w:rPr>
                <w:rFonts w:ascii="黑体" w:hAnsi="黑体" w:cs="黑体" w:eastAsia="黑体" w:hint="default"/>
                <w:sz w:val="20"/>
                <w:szCs w:val="20"/>
              </w:rPr>
            </w:pPr>
            <w:r>
              <w:rPr>
                <w:rFonts w:ascii="黑体" w:hAnsi="黑体" w:cs="黑体" w:eastAsia="黑体" w:hint="default"/>
                <w:sz w:val="20"/>
                <w:szCs w:val="20"/>
              </w:rPr>
              <w:t>失业保险费</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39"/>
              <w:jc w:val="right"/>
              <w:rPr>
                <w:rFonts w:ascii="Arial" w:hAnsi="Arial" w:cs="Arial" w:eastAsia="Arial" w:hint="default"/>
                <w:sz w:val="20"/>
                <w:szCs w:val="20"/>
              </w:rPr>
            </w:pPr>
            <w:r>
              <w:rPr>
                <w:rFonts w:ascii="Arial"/>
                <w:spacing w:val="-1"/>
                <w:sz w:val="20"/>
              </w:rPr>
              <w:t>246,794</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06"/>
              <w:jc w:val="right"/>
              <w:rPr>
                <w:rFonts w:ascii="Arial" w:hAnsi="Arial" w:cs="Arial" w:eastAsia="Arial" w:hint="default"/>
                <w:sz w:val="20"/>
                <w:szCs w:val="20"/>
              </w:rPr>
            </w:pPr>
            <w:r>
              <w:rPr>
                <w:rFonts w:ascii="Arial"/>
                <w:spacing w:val="-1"/>
                <w:sz w:val="20"/>
              </w:rPr>
              <w:t>2,932,273</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17"/>
              <w:jc w:val="right"/>
              <w:rPr>
                <w:rFonts w:ascii="Arial" w:hAnsi="Arial" w:cs="Arial" w:eastAsia="Arial" w:hint="default"/>
                <w:sz w:val="20"/>
                <w:szCs w:val="20"/>
              </w:rPr>
            </w:pPr>
            <w:r>
              <w:rPr>
                <w:rFonts w:ascii="Arial"/>
                <w:spacing w:val="-1"/>
                <w:sz w:val="20"/>
              </w:rPr>
              <w:t>2,376,516</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61"/>
              <w:jc w:val="right"/>
              <w:rPr>
                <w:rFonts w:ascii="Arial" w:hAnsi="Arial" w:cs="Arial" w:eastAsia="Arial" w:hint="default"/>
                <w:sz w:val="20"/>
                <w:szCs w:val="20"/>
              </w:rPr>
            </w:pPr>
            <w:r>
              <w:rPr>
                <w:rFonts w:ascii="Arial"/>
                <w:spacing w:val="-1"/>
                <w:sz w:val="20"/>
              </w:rPr>
              <w:t>802,551</w:t>
            </w:r>
          </w:p>
        </w:tc>
      </w:tr>
      <w:tr>
        <w:trPr>
          <w:trHeight w:val="30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38" w:lineRule="exact"/>
              <w:ind w:left="650" w:right="0"/>
              <w:jc w:val="left"/>
              <w:rPr>
                <w:rFonts w:ascii="黑体" w:hAnsi="黑体" w:cs="黑体" w:eastAsia="黑体" w:hint="default"/>
                <w:sz w:val="20"/>
                <w:szCs w:val="20"/>
              </w:rPr>
            </w:pPr>
            <w:r>
              <w:rPr>
                <w:rFonts w:ascii="黑体" w:hAnsi="黑体" w:cs="黑体" w:eastAsia="黑体" w:hint="default"/>
                <w:sz w:val="20"/>
                <w:szCs w:val="20"/>
              </w:rPr>
              <w:t>工伤保险费</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39"/>
              <w:jc w:val="right"/>
              <w:rPr>
                <w:rFonts w:ascii="Arial" w:hAnsi="Arial" w:cs="Arial" w:eastAsia="Arial" w:hint="default"/>
                <w:sz w:val="20"/>
                <w:szCs w:val="20"/>
              </w:rPr>
            </w:pPr>
            <w:r>
              <w:rPr>
                <w:rFonts w:ascii="Arial"/>
                <w:sz w:val="20"/>
              </w:rPr>
              <w:t>51,286</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06"/>
              <w:jc w:val="right"/>
              <w:rPr>
                <w:rFonts w:ascii="Arial" w:hAnsi="Arial" w:cs="Arial" w:eastAsia="Arial" w:hint="default"/>
                <w:sz w:val="20"/>
                <w:szCs w:val="20"/>
              </w:rPr>
            </w:pPr>
            <w:r>
              <w:rPr>
                <w:rFonts w:ascii="Arial"/>
                <w:spacing w:val="-1"/>
                <w:sz w:val="20"/>
              </w:rPr>
              <w:t>551,037</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16"/>
              <w:jc w:val="right"/>
              <w:rPr>
                <w:rFonts w:ascii="Arial" w:hAnsi="Arial" w:cs="Arial" w:eastAsia="Arial" w:hint="default"/>
                <w:sz w:val="20"/>
                <w:szCs w:val="20"/>
              </w:rPr>
            </w:pPr>
            <w:r>
              <w:rPr>
                <w:rFonts w:ascii="Arial"/>
                <w:spacing w:val="-1"/>
                <w:sz w:val="20"/>
              </w:rPr>
              <w:t>489,935</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62"/>
              <w:jc w:val="right"/>
              <w:rPr>
                <w:rFonts w:ascii="Arial" w:hAnsi="Arial" w:cs="Arial" w:eastAsia="Arial" w:hint="default"/>
                <w:sz w:val="20"/>
                <w:szCs w:val="20"/>
              </w:rPr>
            </w:pPr>
            <w:r>
              <w:rPr>
                <w:rFonts w:ascii="Arial"/>
                <w:spacing w:val="-1"/>
                <w:sz w:val="20"/>
              </w:rPr>
              <w:t>112,388</w:t>
            </w:r>
          </w:p>
        </w:tc>
      </w:tr>
      <w:tr>
        <w:trPr>
          <w:trHeight w:val="30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38" w:lineRule="exact"/>
              <w:ind w:left="623" w:right="0"/>
              <w:jc w:val="left"/>
              <w:rPr>
                <w:rFonts w:ascii="黑体" w:hAnsi="黑体" w:cs="黑体" w:eastAsia="黑体" w:hint="default"/>
                <w:sz w:val="20"/>
                <w:szCs w:val="20"/>
              </w:rPr>
            </w:pPr>
            <w:r>
              <w:rPr>
                <w:rFonts w:ascii="黑体" w:hAnsi="黑体" w:cs="黑体" w:eastAsia="黑体" w:hint="default"/>
                <w:sz w:val="20"/>
                <w:szCs w:val="20"/>
              </w:rPr>
              <w:t>生育保险费</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39"/>
              <w:jc w:val="right"/>
              <w:rPr>
                <w:rFonts w:ascii="Arial" w:hAnsi="Arial" w:cs="Arial" w:eastAsia="Arial" w:hint="default"/>
                <w:sz w:val="20"/>
                <w:szCs w:val="20"/>
              </w:rPr>
            </w:pPr>
            <w:r>
              <w:rPr>
                <w:rFonts w:ascii="Arial"/>
                <w:sz w:val="20"/>
              </w:rPr>
              <w:t>24,725</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06"/>
              <w:jc w:val="right"/>
              <w:rPr>
                <w:rFonts w:ascii="Arial" w:hAnsi="Arial" w:cs="Arial" w:eastAsia="Arial" w:hint="default"/>
                <w:sz w:val="20"/>
                <w:szCs w:val="20"/>
              </w:rPr>
            </w:pPr>
            <w:r>
              <w:rPr>
                <w:rFonts w:ascii="Arial"/>
                <w:spacing w:val="-1"/>
                <w:sz w:val="20"/>
              </w:rPr>
              <w:t>686,364</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16"/>
              <w:jc w:val="right"/>
              <w:rPr>
                <w:rFonts w:ascii="Arial" w:hAnsi="Arial" w:cs="Arial" w:eastAsia="Arial" w:hint="default"/>
                <w:sz w:val="20"/>
                <w:szCs w:val="20"/>
              </w:rPr>
            </w:pPr>
            <w:r>
              <w:rPr>
                <w:rFonts w:ascii="Arial"/>
                <w:spacing w:val="-1"/>
                <w:sz w:val="20"/>
              </w:rPr>
              <w:t>594,533</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62"/>
              <w:jc w:val="right"/>
              <w:rPr>
                <w:rFonts w:ascii="Arial" w:hAnsi="Arial" w:cs="Arial" w:eastAsia="Arial" w:hint="default"/>
                <w:sz w:val="20"/>
                <w:szCs w:val="20"/>
              </w:rPr>
            </w:pPr>
            <w:r>
              <w:rPr>
                <w:rFonts w:ascii="Arial"/>
                <w:spacing w:val="-1"/>
                <w:sz w:val="20"/>
              </w:rPr>
              <w:t>116,556</w:t>
            </w:r>
          </w:p>
        </w:tc>
      </w:tr>
      <w:tr>
        <w:trPr>
          <w:trHeight w:val="30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38" w:lineRule="exact"/>
              <w:ind w:left="35" w:right="0"/>
              <w:jc w:val="left"/>
              <w:rPr>
                <w:rFonts w:ascii="黑体" w:hAnsi="黑体" w:cs="黑体" w:eastAsia="黑体" w:hint="default"/>
                <w:sz w:val="20"/>
                <w:szCs w:val="20"/>
              </w:rPr>
            </w:pPr>
            <w:r>
              <w:rPr>
                <w:rFonts w:ascii="黑体" w:hAnsi="黑体" w:cs="黑体" w:eastAsia="黑体" w:hint="default"/>
                <w:sz w:val="20"/>
                <w:szCs w:val="20"/>
              </w:rPr>
              <w:t>住房公积金</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39"/>
              <w:jc w:val="right"/>
              <w:rPr>
                <w:rFonts w:ascii="Arial" w:hAnsi="Arial" w:cs="Arial" w:eastAsia="Arial" w:hint="default"/>
                <w:sz w:val="20"/>
                <w:szCs w:val="20"/>
              </w:rPr>
            </w:pPr>
            <w:r>
              <w:rPr>
                <w:rFonts w:ascii="Arial"/>
                <w:spacing w:val="-1"/>
                <w:sz w:val="20"/>
              </w:rPr>
              <w:t>2,781,378</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07"/>
              <w:jc w:val="right"/>
              <w:rPr>
                <w:rFonts w:ascii="Arial" w:hAnsi="Arial" w:cs="Arial" w:eastAsia="Arial" w:hint="default"/>
                <w:sz w:val="20"/>
                <w:szCs w:val="20"/>
              </w:rPr>
            </w:pPr>
            <w:r>
              <w:rPr>
                <w:rFonts w:ascii="Arial"/>
                <w:spacing w:val="-1"/>
                <w:sz w:val="20"/>
              </w:rPr>
              <w:t>61,800,659</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16"/>
              <w:jc w:val="right"/>
              <w:rPr>
                <w:rFonts w:ascii="Arial" w:hAnsi="Arial" w:cs="Arial" w:eastAsia="Arial" w:hint="default"/>
                <w:sz w:val="20"/>
                <w:szCs w:val="20"/>
              </w:rPr>
            </w:pPr>
            <w:r>
              <w:rPr>
                <w:rFonts w:ascii="Arial"/>
                <w:spacing w:val="-2"/>
                <w:sz w:val="20"/>
              </w:rPr>
              <w:t>59,682,274</w:t>
            </w:r>
            <w:r>
              <w:rPr>
                <w:rFonts w:ascii="Arial"/>
                <w:sz w:val="20"/>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62"/>
              <w:jc w:val="right"/>
              <w:rPr>
                <w:rFonts w:ascii="Arial" w:hAnsi="Arial" w:cs="Arial" w:eastAsia="Arial" w:hint="default"/>
                <w:sz w:val="20"/>
                <w:szCs w:val="20"/>
              </w:rPr>
            </w:pPr>
            <w:r>
              <w:rPr>
                <w:rFonts w:ascii="Arial"/>
                <w:spacing w:val="-1"/>
                <w:sz w:val="20"/>
              </w:rPr>
              <w:t>4,899,763</w:t>
            </w:r>
          </w:p>
        </w:tc>
      </w:tr>
      <w:tr>
        <w:trPr>
          <w:trHeight w:val="298"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38" w:lineRule="exact"/>
              <w:ind w:left="52" w:right="0"/>
              <w:jc w:val="left"/>
              <w:rPr>
                <w:rFonts w:ascii="黑体" w:hAnsi="黑体" w:cs="黑体" w:eastAsia="黑体" w:hint="default"/>
                <w:sz w:val="20"/>
                <w:szCs w:val="20"/>
              </w:rPr>
            </w:pPr>
            <w:r>
              <w:rPr>
                <w:rFonts w:ascii="黑体" w:hAnsi="黑体" w:cs="黑体" w:eastAsia="黑体" w:hint="default"/>
                <w:sz w:val="20"/>
                <w:szCs w:val="20"/>
              </w:rPr>
              <w:t>工会经费和职工教育经费</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39"/>
              <w:jc w:val="right"/>
              <w:rPr>
                <w:rFonts w:ascii="Arial" w:hAnsi="Arial" w:cs="Arial" w:eastAsia="Arial" w:hint="default"/>
                <w:sz w:val="20"/>
                <w:szCs w:val="20"/>
              </w:rPr>
            </w:pPr>
            <w:r>
              <w:rPr>
                <w:rFonts w:ascii="Arial"/>
                <w:spacing w:val="-1"/>
                <w:sz w:val="20"/>
              </w:rPr>
              <w:t>6,497,438</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06"/>
              <w:jc w:val="right"/>
              <w:rPr>
                <w:rFonts w:ascii="Arial" w:hAnsi="Arial" w:cs="Arial" w:eastAsia="Arial" w:hint="default"/>
                <w:sz w:val="20"/>
                <w:szCs w:val="20"/>
              </w:rPr>
            </w:pPr>
            <w:r>
              <w:rPr>
                <w:rFonts w:ascii="Arial"/>
                <w:spacing w:val="-1"/>
                <w:sz w:val="20"/>
              </w:rPr>
              <w:t>402,237</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16"/>
              <w:jc w:val="right"/>
              <w:rPr>
                <w:rFonts w:ascii="Arial" w:hAnsi="Arial" w:cs="Arial" w:eastAsia="Arial" w:hint="default"/>
                <w:sz w:val="20"/>
                <w:szCs w:val="20"/>
              </w:rPr>
            </w:pPr>
            <w:r>
              <w:rPr>
                <w:rFonts w:ascii="Arial"/>
                <w:spacing w:val="-1"/>
                <w:sz w:val="20"/>
              </w:rPr>
              <w:t>704,884</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61"/>
              <w:jc w:val="right"/>
              <w:rPr>
                <w:rFonts w:ascii="Arial" w:hAnsi="Arial" w:cs="Arial" w:eastAsia="Arial" w:hint="default"/>
                <w:sz w:val="20"/>
                <w:szCs w:val="20"/>
              </w:rPr>
            </w:pPr>
            <w:r>
              <w:rPr>
                <w:rFonts w:ascii="Arial"/>
                <w:spacing w:val="-1"/>
                <w:sz w:val="20"/>
              </w:rPr>
              <w:t>6,194,791</w:t>
            </w:r>
          </w:p>
        </w:tc>
      </w:tr>
    </w:tbl>
    <w:p>
      <w:pPr>
        <w:pStyle w:val="BodyText"/>
        <w:tabs>
          <w:tab w:pos="3446" w:val="left" w:leader="none"/>
          <w:tab w:pos="4444" w:val="left" w:leader="none"/>
          <w:tab w:pos="4972" w:val="left" w:leader="none"/>
          <w:tab w:pos="5583" w:val="left" w:leader="none"/>
          <w:tab w:pos="6481" w:val="left" w:leader="none"/>
          <w:tab w:pos="7046" w:val="left" w:leader="none"/>
          <w:tab w:pos="8168" w:val="left" w:leader="none"/>
          <w:tab w:pos="8667" w:val="left" w:leader="none"/>
        </w:tabs>
        <w:spacing w:line="297" w:lineRule="auto" w:before="5"/>
        <w:ind w:left="3400" w:right="1058" w:hanging="2533"/>
        <w:jc w:val="left"/>
        <w:rPr>
          <w:rFonts w:ascii="Arial" w:hAnsi="Arial" w:cs="Arial" w:eastAsia="Arial" w:hint="default"/>
        </w:rPr>
      </w:pPr>
      <w:r>
        <w:rPr>
          <w:position w:val="1"/>
        </w:rPr>
        <w:t>其他</w:t>
        <w:tab/>
        <w:tab/>
      </w:r>
      <w:r>
        <w:rPr>
          <w:rFonts w:ascii="Arial" w:hAnsi="Arial" w:cs="Arial" w:eastAsia="Arial" w:hint="default"/>
        </w:rPr>
      </w:r>
      <w:r>
        <w:rPr>
          <w:rFonts w:ascii="Arial" w:hAnsi="Arial" w:cs="Arial" w:eastAsia="Arial" w:hint="default"/>
          <w:u w:val="single" w:color="000000"/>
        </w:rPr>
        <w:t> </w:t>
        <w:tab/>
        <w:t>-</w:t>
      </w:r>
      <w:r>
        <w:rPr>
          <w:rFonts w:ascii="Arial" w:hAnsi="Arial" w:cs="Arial" w:eastAsia="Arial" w:hint="default"/>
        </w:rPr>
        <w:tab/>
      </w:r>
      <w:r>
        <w:rPr>
          <w:rFonts w:ascii="Arial" w:hAnsi="Arial" w:cs="Arial" w:eastAsia="Arial" w:hint="default"/>
          <w:u w:val="single" w:color="000000"/>
        </w:rPr>
        <w:t> </w:t>
        <w:tab/>
      </w:r>
      <w:r>
        <w:rPr>
          <w:rFonts w:ascii="Arial" w:hAnsi="Arial" w:cs="Arial" w:eastAsia="Arial" w:hint="default"/>
          <w:spacing w:val="-1"/>
          <w:u w:val="single" w:color="000000"/>
        </w:rPr>
        <w:t>6,896</w:t>
      </w:r>
      <w:r>
        <w:rPr>
          <w:rFonts w:ascii="Arial" w:hAnsi="Arial" w:cs="Arial" w:eastAsia="Arial" w:hint="default"/>
          <w:spacing w:val="-1"/>
        </w:rPr>
        <w:tab/>
      </w:r>
      <w:r>
        <w:rPr>
          <w:rFonts w:ascii="Arial" w:hAnsi="Arial" w:cs="Arial" w:eastAsia="Arial" w:hint="default"/>
        </w:rPr>
        <w:t>(</w:t>
      </w:r>
      <w:r>
        <w:rPr>
          <w:rFonts w:ascii="Arial" w:hAnsi="Arial" w:cs="Arial" w:eastAsia="Arial" w:hint="default"/>
          <w:u w:val="single" w:color="000000"/>
        </w:rPr>
        <w:t> </w:t>
        <w:tab/>
        <w:t>31,457</w:t>
      </w:r>
      <w:r>
        <w:rPr>
          <w:rFonts w:ascii="Arial" w:hAnsi="Arial" w:cs="Arial" w:eastAsia="Arial" w:hint="default"/>
          <w:spacing w:val="7"/>
          <w:u w:val="single" w:color="000000"/>
        </w:rPr>
        <w:t> </w:t>
      </w:r>
      <w:r>
        <w:rPr>
          <w:rFonts w:ascii="Arial" w:hAnsi="Arial" w:cs="Arial" w:eastAsia="Arial" w:hint="default"/>
          <w:spacing w:val="7"/>
        </w:rPr>
      </w:r>
      <w:r>
        <w:rPr>
          <w:rFonts w:ascii="Arial" w:hAnsi="Arial" w:cs="Arial" w:eastAsia="Arial" w:hint="default"/>
        </w:rPr>
        <w:t>)</w:t>
        <w:tab/>
      </w:r>
      <w:r>
        <w:rPr>
          <w:rFonts w:ascii="Arial" w:hAnsi="Arial" w:cs="Arial" w:eastAsia="Arial" w:hint="default"/>
          <w:w w:val="100"/>
        </w:rPr>
      </w:r>
      <w:r>
        <w:rPr>
          <w:rFonts w:ascii="Arial" w:hAnsi="Arial" w:cs="Arial" w:eastAsia="Arial" w:hint="default"/>
          <w:w w:val="100"/>
          <w:u w:val="single" w:color="000000"/>
        </w:rPr>
        <w:t> </w:t>
      </w:r>
      <w:r>
        <w:rPr>
          <w:rFonts w:ascii="Arial" w:hAnsi="Arial" w:cs="Arial" w:eastAsia="Arial" w:hint="default"/>
          <w:u w:val="single" w:color="000000"/>
        </w:rPr>
        <w:tab/>
        <w:t> 38,353</w:t>
      </w:r>
      <w:r>
        <w:rPr>
          <w:rFonts w:ascii="Arial" w:hAnsi="Arial" w:cs="Arial" w:eastAsia="Arial" w:hint="default"/>
          <w:spacing w:val="13"/>
          <w:u w:val="single" w:color="000000"/>
        </w:rPr>
        <w:t> </w:t>
      </w:r>
      <w:r>
        <w:rPr>
          <w:rFonts w:ascii="Arial" w:hAnsi="Arial" w:cs="Arial" w:eastAsia="Arial" w:hint="default"/>
          <w:spacing w:val="13"/>
        </w:rPr>
      </w:r>
      <w:r>
        <w:rPr>
          <w:rFonts w:ascii="Arial" w:hAnsi="Arial" w:cs="Arial" w:eastAsia="Arial" w:hint="default"/>
          <w:spacing w:val="13"/>
        </w:rPr>
      </w:r>
      <w:r>
        <w:rPr>
          <w:rFonts w:ascii="Arial" w:hAnsi="Arial" w:cs="Arial" w:eastAsia="Arial" w:hint="default"/>
          <w:spacing w:val="-1"/>
          <w:u w:val="thick" w:color="000000"/>
        </w:rPr>
        <w:t>126,812,364</w:t>
      </w:r>
      <w:r>
        <w:rPr>
          <w:rFonts w:ascii="Arial" w:hAnsi="Arial" w:cs="Arial" w:eastAsia="Arial" w:hint="default"/>
          <w:spacing w:val="-1"/>
        </w:rPr>
        <w:tab/>
      </w:r>
      <w:r>
        <w:rPr>
          <w:rFonts w:ascii="Arial" w:hAnsi="Arial" w:cs="Arial" w:eastAsia="Arial" w:hint="default"/>
          <w:spacing w:val="-1"/>
          <w:u w:val="thick" w:color="000000"/>
        </w:rPr>
        <w:t>764,593,418</w:t>
      </w:r>
      <w:r>
        <w:rPr>
          <w:rFonts w:ascii="Arial" w:hAnsi="Arial" w:cs="Arial" w:eastAsia="Arial" w:hint="default"/>
          <w:spacing w:val="-1"/>
        </w:rPr>
        <w:tab/>
      </w:r>
      <w:r>
        <w:rPr>
          <w:rFonts w:ascii="Arial" w:hAnsi="Arial" w:cs="Arial" w:eastAsia="Arial" w:hint="default"/>
          <w:spacing w:val="-1"/>
          <w:u w:val="thick" w:color="000000"/>
        </w:rPr>
        <w:t>654,506,123</w:t>
      </w:r>
      <w:r>
        <w:rPr>
          <w:rFonts w:ascii="Arial" w:hAnsi="Arial" w:cs="Arial" w:eastAsia="Arial" w:hint="default"/>
          <w:w w:val="100"/>
        </w:rPr>
      </w:r>
      <w:r>
        <w:rPr>
          <w:rFonts w:ascii="Arial" w:hAnsi="Arial" w:cs="Arial" w:eastAsia="Arial" w:hint="default"/>
        </w:rPr>
        <w:tab/>
      </w:r>
      <w:r>
        <w:rPr>
          <w:rFonts w:ascii="Arial" w:hAnsi="Arial" w:cs="Arial" w:eastAsia="Arial" w:hint="default"/>
          <w:w w:val="3"/>
        </w:rPr>
        <w:t> </w:t>
      </w:r>
      <w:r>
        <w:rPr>
          <w:rFonts w:ascii="Arial" w:hAnsi="Arial" w:cs="Arial" w:eastAsia="Arial" w:hint="default"/>
          <w:w w:val="100"/>
        </w:rPr>
      </w:r>
      <w:r>
        <w:rPr>
          <w:rFonts w:ascii="Arial" w:hAnsi="Arial" w:cs="Arial" w:eastAsia="Arial" w:hint="default"/>
          <w:u w:val="thick" w:color="000000"/>
        </w:rPr>
        <w:t>236,899,659</w:t>
      </w:r>
      <w:r>
        <w:rPr>
          <w:rFonts w:ascii="Arial" w:hAnsi="Arial" w:cs="Arial" w:eastAsia="Arial" w:hint="default"/>
        </w:rPr>
      </w:r>
    </w:p>
    <w:p>
      <w:pPr>
        <w:spacing w:line="240" w:lineRule="auto" w:before="0"/>
        <w:rPr>
          <w:rFonts w:ascii="Arial" w:hAnsi="Arial" w:cs="Arial" w:eastAsia="Arial" w:hint="default"/>
          <w:sz w:val="20"/>
          <w:szCs w:val="20"/>
        </w:rPr>
      </w:pPr>
    </w:p>
    <w:p>
      <w:pPr>
        <w:spacing w:line="240" w:lineRule="auto" w:before="3"/>
        <w:rPr>
          <w:rFonts w:ascii="Arial" w:hAnsi="Arial" w:cs="Arial" w:eastAsia="Arial" w:hint="default"/>
          <w:sz w:val="16"/>
          <w:szCs w:val="16"/>
        </w:rPr>
      </w:pPr>
    </w:p>
    <w:p>
      <w:pPr>
        <w:pStyle w:val="BodyText"/>
        <w:spacing w:line="240" w:lineRule="auto"/>
        <w:ind w:left="5888" w:right="3741"/>
        <w:jc w:val="center"/>
      </w:pPr>
      <w:r>
        <w:rPr>
          <w:rFonts w:ascii="Arial" w:hAnsi="Arial" w:cs="Arial" w:eastAsia="Arial" w:hint="default"/>
        </w:rPr>
        <w:t>2008</w:t>
      </w:r>
      <w:r>
        <w:rPr/>
        <w:t>年</w:t>
      </w:r>
    </w:p>
    <w:tbl>
      <w:tblPr>
        <w:tblW w:w="0" w:type="auto"/>
        <w:jc w:val="left"/>
        <w:tblInd w:w="815" w:type="dxa"/>
        <w:tblLayout w:type="fixed"/>
        <w:tblCellMar>
          <w:top w:w="0" w:type="dxa"/>
          <w:left w:w="0" w:type="dxa"/>
          <w:bottom w:w="0" w:type="dxa"/>
          <w:right w:w="0" w:type="dxa"/>
        </w:tblCellMar>
        <w:tblLook w:val="01E0"/>
      </w:tblPr>
      <w:tblGrid>
        <w:gridCol w:w="2438"/>
        <w:gridCol w:w="1485"/>
        <w:gridCol w:w="1585"/>
        <w:gridCol w:w="1570"/>
        <w:gridCol w:w="1358"/>
      </w:tblGrid>
      <w:tr>
        <w:trPr>
          <w:trHeight w:val="936" w:hRule="exact"/>
        </w:trPr>
        <w:tc>
          <w:tcPr>
            <w:tcW w:w="243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2"/>
              <w:ind w:right="0"/>
              <w:jc w:val="left"/>
              <w:rPr>
                <w:rFonts w:ascii="黑体" w:hAnsi="黑体" w:cs="黑体" w:eastAsia="黑体" w:hint="default"/>
                <w:sz w:val="26"/>
                <w:szCs w:val="26"/>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工资、奖金、津贴和补贴</w:t>
            </w:r>
          </w:p>
        </w:tc>
        <w:tc>
          <w:tcPr>
            <w:tcW w:w="1485" w:type="dxa"/>
            <w:tcBorders>
              <w:top w:val="single" w:sz="4" w:space="0" w:color="000000"/>
              <w:left w:val="nil" w:sz="6" w:space="0" w:color="auto"/>
              <w:bottom w:val="nil" w:sz="6" w:space="0" w:color="auto"/>
              <w:right w:val="nil" w:sz="6" w:space="0" w:color="auto"/>
            </w:tcBorders>
          </w:tcPr>
          <w:p>
            <w:pPr>
              <w:pStyle w:val="TableParagraph"/>
              <w:spacing w:line="240" w:lineRule="auto" w:before="8"/>
              <w:ind w:left="147" w:right="0" w:firstLine="311"/>
              <w:jc w:val="left"/>
              <w:rPr>
                <w:rFonts w:ascii="黑体" w:hAnsi="黑体" w:cs="黑体" w:eastAsia="黑体" w:hint="default"/>
                <w:sz w:val="20"/>
                <w:szCs w:val="20"/>
              </w:rPr>
            </w:pPr>
            <w:r>
              <w:rPr>
                <w:rFonts w:ascii="黑体" w:hAnsi="黑体" w:cs="黑体" w:eastAsia="黑体" w:hint="default"/>
                <w:sz w:val="20"/>
                <w:szCs w:val="20"/>
              </w:rPr>
              <w:t>年初余额</w:t>
            </w: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34"/>
              <w:ind w:left="147" w:right="0"/>
              <w:jc w:val="left"/>
              <w:rPr>
                <w:rFonts w:ascii="Arial" w:hAnsi="Arial" w:cs="Arial" w:eastAsia="Arial" w:hint="default"/>
                <w:sz w:val="20"/>
                <w:szCs w:val="20"/>
              </w:rPr>
            </w:pPr>
            <w:r>
              <w:rPr>
                <w:rFonts w:ascii="Arial"/>
                <w:sz w:val="20"/>
              </w:rPr>
              <w:t>106,088,639</w:t>
            </w:r>
          </w:p>
        </w:tc>
        <w:tc>
          <w:tcPr>
            <w:tcW w:w="1585" w:type="dxa"/>
            <w:tcBorders>
              <w:top w:val="single" w:sz="4" w:space="0" w:color="000000"/>
              <w:left w:val="nil" w:sz="6" w:space="0" w:color="auto"/>
              <w:bottom w:val="nil" w:sz="6" w:space="0" w:color="auto"/>
              <w:right w:val="nil" w:sz="6" w:space="0" w:color="auto"/>
            </w:tcBorders>
          </w:tcPr>
          <w:p>
            <w:pPr>
              <w:pStyle w:val="TableParagraph"/>
              <w:spacing w:line="240" w:lineRule="auto" w:before="8"/>
              <w:ind w:left="234" w:right="0" w:firstLine="311"/>
              <w:jc w:val="left"/>
              <w:rPr>
                <w:rFonts w:ascii="黑体" w:hAnsi="黑体" w:cs="黑体" w:eastAsia="黑体" w:hint="default"/>
                <w:sz w:val="20"/>
                <w:szCs w:val="20"/>
              </w:rPr>
            </w:pPr>
            <w:r>
              <w:rPr>
                <w:rFonts w:ascii="黑体" w:hAnsi="黑体" w:cs="黑体" w:eastAsia="黑体" w:hint="default"/>
                <w:sz w:val="20"/>
                <w:szCs w:val="20"/>
              </w:rPr>
              <w:t>本年增加</w:t>
            </w: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34"/>
              <w:ind w:left="234" w:right="0"/>
              <w:jc w:val="left"/>
              <w:rPr>
                <w:rFonts w:ascii="Arial" w:hAnsi="Arial" w:cs="Arial" w:eastAsia="Arial" w:hint="default"/>
                <w:sz w:val="20"/>
                <w:szCs w:val="20"/>
              </w:rPr>
            </w:pPr>
            <w:r>
              <w:rPr>
                <w:rFonts w:ascii="Arial"/>
                <w:sz w:val="20"/>
              </w:rPr>
              <w:t>478,562,993</w:t>
            </w:r>
          </w:p>
        </w:tc>
        <w:tc>
          <w:tcPr>
            <w:tcW w:w="1570" w:type="dxa"/>
            <w:tcBorders>
              <w:top w:val="single" w:sz="4" w:space="0" w:color="000000"/>
              <w:left w:val="nil" w:sz="6" w:space="0" w:color="auto"/>
              <w:bottom w:val="nil" w:sz="6" w:space="0" w:color="auto"/>
              <w:right w:val="nil" w:sz="6" w:space="0" w:color="auto"/>
            </w:tcBorders>
          </w:tcPr>
          <w:p>
            <w:pPr>
              <w:pStyle w:val="TableParagraph"/>
              <w:spacing w:line="240" w:lineRule="auto" w:before="8"/>
              <w:ind w:left="247" w:right="0" w:firstLine="311"/>
              <w:jc w:val="left"/>
              <w:rPr>
                <w:rFonts w:ascii="黑体" w:hAnsi="黑体" w:cs="黑体" w:eastAsia="黑体" w:hint="default"/>
                <w:sz w:val="20"/>
                <w:szCs w:val="20"/>
              </w:rPr>
            </w:pPr>
            <w:r>
              <w:rPr>
                <w:rFonts w:ascii="黑体" w:hAnsi="黑体" w:cs="黑体" w:eastAsia="黑体" w:hint="default"/>
                <w:sz w:val="20"/>
                <w:szCs w:val="20"/>
              </w:rPr>
              <w:t>本年减少</w:t>
            </w: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34"/>
              <w:ind w:left="247" w:right="0"/>
              <w:jc w:val="left"/>
              <w:rPr>
                <w:rFonts w:ascii="Arial" w:hAnsi="Arial" w:cs="Arial" w:eastAsia="Arial" w:hint="default"/>
                <w:sz w:val="20"/>
                <w:szCs w:val="20"/>
              </w:rPr>
            </w:pPr>
            <w:r>
              <w:rPr>
                <w:rFonts w:ascii="Arial"/>
                <w:sz w:val="20"/>
              </w:rPr>
              <w:t>474,801,345</w:t>
            </w:r>
          </w:p>
        </w:tc>
        <w:tc>
          <w:tcPr>
            <w:tcW w:w="1358" w:type="dxa"/>
            <w:tcBorders>
              <w:top w:val="single" w:sz="4" w:space="0" w:color="000000"/>
              <w:left w:val="nil" w:sz="6" w:space="0" w:color="auto"/>
              <w:bottom w:val="nil" w:sz="6" w:space="0" w:color="auto"/>
              <w:right w:val="nil" w:sz="6" w:space="0" w:color="auto"/>
            </w:tcBorders>
          </w:tcPr>
          <w:p>
            <w:pPr>
              <w:pStyle w:val="TableParagraph"/>
              <w:spacing w:line="240" w:lineRule="auto" w:before="8"/>
              <w:ind w:left="209" w:right="0" w:firstLine="311"/>
              <w:jc w:val="left"/>
              <w:rPr>
                <w:rFonts w:ascii="黑体" w:hAnsi="黑体" w:cs="黑体" w:eastAsia="黑体" w:hint="default"/>
                <w:sz w:val="20"/>
                <w:szCs w:val="20"/>
              </w:rPr>
            </w:pPr>
            <w:r>
              <w:rPr>
                <w:rFonts w:ascii="黑体" w:hAnsi="黑体" w:cs="黑体" w:eastAsia="黑体" w:hint="default"/>
                <w:sz w:val="20"/>
                <w:szCs w:val="20"/>
              </w:rPr>
              <w:t>年末余额</w:t>
            </w:r>
          </w:p>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34"/>
              <w:ind w:left="209" w:right="0"/>
              <w:jc w:val="left"/>
              <w:rPr>
                <w:rFonts w:ascii="Arial" w:hAnsi="Arial" w:cs="Arial" w:eastAsia="Arial" w:hint="default"/>
                <w:sz w:val="20"/>
                <w:szCs w:val="20"/>
              </w:rPr>
            </w:pPr>
            <w:r>
              <w:rPr>
                <w:rFonts w:ascii="Arial"/>
                <w:sz w:val="20"/>
              </w:rPr>
              <w:t>109,850,287</w:t>
            </w:r>
          </w:p>
        </w:tc>
      </w:tr>
      <w:tr>
        <w:trPr>
          <w:trHeight w:val="300" w:hRule="exact"/>
        </w:trPr>
        <w:tc>
          <w:tcPr>
            <w:tcW w:w="2438"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黑体" w:hAnsi="黑体" w:cs="黑体" w:eastAsia="黑体" w:hint="default"/>
                <w:sz w:val="20"/>
                <w:szCs w:val="20"/>
              </w:rPr>
            </w:pPr>
            <w:r>
              <w:rPr>
                <w:rFonts w:ascii="黑体" w:hAnsi="黑体" w:cs="黑体" w:eastAsia="黑体" w:hint="default"/>
                <w:sz w:val="20"/>
                <w:szCs w:val="20"/>
              </w:rPr>
              <w:t>职工福利费</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23"/>
              <w:jc w:val="right"/>
              <w:rPr>
                <w:rFonts w:ascii="Arial" w:hAnsi="Arial" w:cs="Arial" w:eastAsia="Arial" w:hint="default"/>
                <w:sz w:val="20"/>
                <w:szCs w:val="20"/>
              </w:rPr>
            </w:pPr>
            <w:r>
              <w:rPr>
                <w:rFonts w:ascii="Arial"/>
                <w:spacing w:val="-1"/>
                <w:sz w:val="20"/>
              </w:rPr>
              <w:t>8,029,087</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6"/>
              <w:jc w:val="right"/>
              <w:rPr>
                <w:rFonts w:ascii="Arial" w:hAnsi="Arial" w:cs="Arial" w:eastAsia="Arial" w:hint="default"/>
                <w:sz w:val="20"/>
                <w:szCs w:val="20"/>
              </w:rPr>
            </w:pPr>
            <w:r>
              <w:rPr>
                <w:rFonts w:ascii="Arial"/>
                <w:w w:val="100"/>
                <w:sz w:val="20"/>
              </w:rPr>
              <w:t>-</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8"/>
              <w:jc w:val="right"/>
              <w:rPr>
                <w:rFonts w:ascii="Arial" w:hAnsi="Arial" w:cs="Arial" w:eastAsia="Arial" w:hint="default"/>
                <w:sz w:val="20"/>
                <w:szCs w:val="20"/>
              </w:rPr>
            </w:pPr>
            <w:r>
              <w:rPr>
                <w:rFonts w:ascii="Arial"/>
                <w:spacing w:val="-1"/>
                <w:sz w:val="20"/>
              </w:rPr>
              <w:t>8,029,087</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w w:val="100"/>
                <w:sz w:val="20"/>
              </w:rPr>
              <w:t>-</w:t>
            </w:r>
          </w:p>
        </w:tc>
      </w:tr>
      <w:tr>
        <w:trPr>
          <w:trHeight w:val="300" w:hRule="exact"/>
        </w:trPr>
        <w:tc>
          <w:tcPr>
            <w:tcW w:w="2438"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黑体" w:hAnsi="黑体" w:cs="黑体" w:eastAsia="黑体" w:hint="default"/>
                <w:sz w:val="20"/>
                <w:szCs w:val="20"/>
              </w:rPr>
            </w:pPr>
            <w:r>
              <w:rPr>
                <w:rFonts w:ascii="黑体" w:hAnsi="黑体" w:cs="黑体" w:eastAsia="黑体" w:hint="default"/>
                <w:sz w:val="20"/>
                <w:szCs w:val="20"/>
              </w:rPr>
              <w:t>社会保险费</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23"/>
              <w:jc w:val="right"/>
              <w:rPr>
                <w:rFonts w:ascii="Arial" w:hAnsi="Arial" w:cs="Arial" w:eastAsia="Arial" w:hint="default"/>
                <w:sz w:val="20"/>
                <w:szCs w:val="20"/>
              </w:rPr>
            </w:pPr>
            <w:r>
              <w:rPr>
                <w:rFonts w:ascii="Arial"/>
                <w:spacing w:val="-1"/>
                <w:sz w:val="20"/>
              </w:rPr>
              <w:t>5,257,313</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6"/>
              <w:jc w:val="right"/>
              <w:rPr>
                <w:rFonts w:ascii="Arial" w:hAnsi="Arial" w:cs="Arial" w:eastAsia="Arial" w:hint="default"/>
                <w:sz w:val="20"/>
                <w:szCs w:val="20"/>
              </w:rPr>
            </w:pPr>
            <w:r>
              <w:rPr>
                <w:rFonts w:ascii="Arial"/>
                <w:spacing w:val="-1"/>
                <w:sz w:val="20"/>
              </w:rPr>
              <w:t>64,046,500</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8"/>
              <w:jc w:val="right"/>
              <w:rPr>
                <w:rFonts w:ascii="Arial" w:hAnsi="Arial" w:cs="Arial" w:eastAsia="Arial" w:hint="default"/>
                <w:sz w:val="20"/>
                <w:szCs w:val="20"/>
              </w:rPr>
            </w:pPr>
            <w:r>
              <w:rPr>
                <w:rFonts w:ascii="Arial"/>
                <w:spacing w:val="-1"/>
                <w:sz w:val="20"/>
              </w:rPr>
              <w:t>61,620,552</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spacing w:val="-1"/>
                <w:sz w:val="20"/>
              </w:rPr>
              <w:t>7,683,261</w:t>
            </w:r>
          </w:p>
        </w:tc>
      </w:tr>
      <w:tr>
        <w:trPr>
          <w:trHeight w:val="300" w:hRule="exact"/>
        </w:trPr>
        <w:tc>
          <w:tcPr>
            <w:tcW w:w="2438"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黑体" w:hAnsi="黑体" w:cs="黑体" w:eastAsia="黑体" w:hint="default"/>
                <w:sz w:val="20"/>
                <w:szCs w:val="20"/>
              </w:rPr>
            </w:pPr>
            <w:r>
              <w:rPr>
                <w:rFonts w:ascii="黑体" w:hAnsi="黑体" w:cs="黑体" w:eastAsia="黑体" w:hint="default"/>
                <w:sz w:val="20"/>
                <w:szCs w:val="20"/>
              </w:rPr>
              <w:t>其中：基本养老保险费</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23"/>
              <w:jc w:val="right"/>
              <w:rPr>
                <w:rFonts w:ascii="Arial" w:hAnsi="Arial" w:cs="Arial" w:eastAsia="Arial" w:hint="default"/>
                <w:sz w:val="20"/>
                <w:szCs w:val="20"/>
              </w:rPr>
            </w:pPr>
            <w:r>
              <w:rPr>
                <w:rFonts w:ascii="Arial"/>
                <w:spacing w:val="-1"/>
                <w:sz w:val="20"/>
              </w:rPr>
              <w:t>4,213,809</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6"/>
              <w:jc w:val="right"/>
              <w:rPr>
                <w:rFonts w:ascii="Arial" w:hAnsi="Arial" w:cs="Arial" w:eastAsia="Arial" w:hint="default"/>
                <w:sz w:val="20"/>
                <w:szCs w:val="20"/>
              </w:rPr>
            </w:pPr>
            <w:r>
              <w:rPr>
                <w:rFonts w:ascii="Arial"/>
                <w:spacing w:val="-1"/>
                <w:sz w:val="20"/>
              </w:rPr>
              <w:t>39,050,713</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8"/>
              <w:jc w:val="right"/>
              <w:rPr>
                <w:rFonts w:ascii="Arial" w:hAnsi="Arial" w:cs="Arial" w:eastAsia="Arial" w:hint="default"/>
                <w:sz w:val="20"/>
                <w:szCs w:val="20"/>
              </w:rPr>
            </w:pPr>
            <w:r>
              <w:rPr>
                <w:rFonts w:ascii="Arial"/>
                <w:spacing w:val="-1"/>
                <w:sz w:val="20"/>
              </w:rPr>
              <w:t>37,467,337</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spacing w:val="-1"/>
                <w:sz w:val="20"/>
              </w:rPr>
              <w:t>5,797,185</w:t>
            </w:r>
          </w:p>
        </w:tc>
      </w:tr>
      <w:tr>
        <w:trPr>
          <w:trHeight w:val="300" w:hRule="exact"/>
        </w:trPr>
        <w:tc>
          <w:tcPr>
            <w:tcW w:w="2438" w:type="dxa"/>
            <w:tcBorders>
              <w:top w:val="nil" w:sz="6" w:space="0" w:color="auto"/>
              <w:left w:val="nil" w:sz="6" w:space="0" w:color="auto"/>
              <w:bottom w:val="nil" w:sz="6" w:space="0" w:color="auto"/>
              <w:right w:val="nil" w:sz="6" w:space="0" w:color="auto"/>
            </w:tcBorders>
          </w:tcPr>
          <w:p>
            <w:pPr>
              <w:pStyle w:val="TableParagraph"/>
              <w:spacing w:line="239" w:lineRule="exact"/>
              <w:ind w:left="637" w:right="0"/>
              <w:jc w:val="left"/>
              <w:rPr>
                <w:rFonts w:ascii="黑体" w:hAnsi="黑体" w:cs="黑体" w:eastAsia="黑体" w:hint="default"/>
                <w:sz w:val="20"/>
                <w:szCs w:val="20"/>
              </w:rPr>
            </w:pPr>
            <w:r>
              <w:rPr>
                <w:rFonts w:ascii="黑体" w:hAnsi="黑体" w:cs="黑体" w:eastAsia="黑体" w:hint="default"/>
                <w:sz w:val="20"/>
                <w:szCs w:val="20"/>
              </w:rPr>
              <w:t>医疗保险费</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23"/>
              <w:jc w:val="right"/>
              <w:rPr>
                <w:rFonts w:ascii="Arial" w:hAnsi="Arial" w:cs="Arial" w:eastAsia="Arial" w:hint="default"/>
                <w:sz w:val="20"/>
                <w:szCs w:val="20"/>
              </w:rPr>
            </w:pPr>
            <w:r>
              <w:rPr>
                <w:rFonts w:ascii="Arial"/>
                <w:spacing w:val="-1"/>
                <w:sz w:val="20"/>
              </w:rPr>
              <w:t>861,814</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6"/>
              <w:jc w:val="right"/>
              <w:rPr>
                <w:rFonts w:ascii="Arial" w:hAnsi="Arial" w:cs="Arial" w:eastAsia="Arial" w:hint="default"/>
                <w:sz w:val="20"/>
                <w:szCs w:val="20"/>
              </w:rPr>
            </w:pPr>
            <w:r>
              <w:rPr>
                <w:rFonts w:ascii="Arial"/>
                <w:spacing w:val="-1"/>
                <w:sz w:val="20"/>
              </w:rPr>
              <w:t>20,566,571</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9"/>
              <w:jc w:val="right"/>
              <w:rPr>
                <w:rFonts w:ascii="Arial" w:hAnsi="Arial" w:cs="Arial" w:eastAsia="Arial" w:hint="default"/>
                <w:sz w:val="20"/>
                <w:szCs w:val="20"/>
              </w:rPr>
            </w:pPr>
            <w:r>
              <w:rPr>
                <w:rFonts w:ascii="Arial"/>
                <w:spacing w:val="-1"/>
                <w:sz w:val="20"/>
              </w:rPr>
              <w:t>19,865,114</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spacing w:val="-1"/>
                <w:sz w:val="20"/>
              </w:rPr>
              <w:t>1,563,271</w:t>
            </w:r>
          </w:p>
        </w:tc>
      </w:tr>
      <w:tr>
        <w:trPr>
          <w:trHeight w:val="300" w:hRule="exact"/>
        </w:trPr>
        <w:tc>
          <w:tcPr>
            <w:tcW w:w="2438" w:type="dxa"/>
            <w:tcBorders>
              <w:top w:val="nil" w:sz="6" w:space="0" w:color="auto"/>
              <w:left w:val="nil" w:sz="6" w:space="0" w:color="auto"/>
              <w:bottom w:val="nil" w:sz="6" w:space="0" w:color="auto"/>
              <w:right w:val="nil" w:sz="6" w:space="0" w:color="auto"/>
            </w:tcBorders>
          </w:tcPr>
          <w:p>
            <w:pPr>
              <w:pStyle w:val="TableParagraph"/>
              <w:spacing w:line="239" w:lineRule="exact"/>
              <w:ind w:left="637" w:right="0"/>
              <w:jc w:val="left"/>
              <w:rPr>
                <w:rFonts w:ascii="黑体" w:hAnsi="黑体" w:cs="黑体" w:eastAsia="黑体" w:hint="default"/>
                <w:sz w:val="20"/>
                <w:szCs w:val="20"/>
              </w:rPr>
            </w:pPr>
            <w:r>
              <w:rPr>
                <w:rFonts w:ascii="黑体" w:hAnsi="黑体" w:cs="黑体" w:eastAsia="黑体" w:hint="default"/>
                <w:sz w:val="20"/>
                <w:szCs w:val="20"/>
              </w:rPr>
              <w:t>失业保险费</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23"/>
              <w:jc w:val="right"/>
              <w:rPr>
                <w:rFonts w:ascii="Arial" w:hAnsi="Arial" w:cs="Arial" w:eastAsia="Arial" w:hint="default"/>
                <w:sz w:val="20"/>
                <w:szCs w:val="20"/>
              </w:rPr>
            </w:pPr>
            <w:r>
              <w:rPr>
                <w:rFonts w:ascii="Arial"/>
                <w:spacing w:val="-1"/>
                <w:sz w:val="20"/>
              </w:rPr>
              <w:t>107,217</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5"/>
              <w:jc w:val="right"/>
              <w:rPr>
                <w:rFonts w:ascii="Arial" w:hAnsi="Arial" w:cs="Arial" w:eastAsia="Arial" w:hint="default"/>
                <w:sz w:val="20"/>
                <w:szCs w:val="20"/>
              </w:rPr>
            </w:pPr>
            <w:r>
              <w:rPr>
                <w:rFonts w:ascii="Arial"/>
                <w:spacing w:val="-1"/>
                <w:sz w:val="20"/>
              </w:rPr>
              <w:t>3,186,101</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8"/>
              <w:jc w:val="right"/>
              <w:rPr>
                <w:rFonts w:ascii="Arial" w:hAnsi="Arial" w:cs="Arial" w:eastAsia="Arial" w:hint="default"/>
                <w:sz w:val="20"/>
                <w:szCs w:val="20"/>
              </w:rPr>
            </w:pPr>
            <w:r>
              <w:rPr>
                <w:rFonts w:ascii="Arial"/>
                <w:spacing w:val="-1"/>
                <w:sz w:val="20"/>
              </w:rPr>
              <w:t>3,046,524</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spacing w:val="-1"/>
                <w:sz w:val="20"/>
              </w:rPr>
              <w:t>246,794</w:t>
            </w:r>
          </w:p>
        </w:tc>
      </w:tr>
      <w:tr>
        <w:trPr>
          <w:trHeight w:val="300" w:hRule="exact"/>
        </w:trPr>
        <w:tc>
          <w:tcPr>
            <w:tcW w:w="2438" w:type="dxa"/>
            <w:tcBorders>
              <w:top w:val="nil" w:sz="6" w:space="0" w:color="auto"/>
              <w:left w:val="nil" w:sz="6" w:space="0" w:color="auto"/>
              <w:bottom w:val="nil" w:sz="6" w:space="0" w:color="auto"/>
              <w:right w:val="nil" w:sz="6" w:space="0" w:color="auto"/>
            </w:tcBorders>
          </w:tcPr>
          <w:p>
            <w:pPr>
              <w:pStyle w:val="TableParagraph"/>
              <w:spacing w:line="239" w:lineRule="exact"/>
              <w:ind w:left="623" w:right="0"/>
              <w:jc w:val="left"/>
              <w:rPr>
                <w:rFonts w:ascii="黑体" w:hAnsi="黑体" w:cs="黑体" w:eastAsia="黑体" w:hint="default"/>
                <w:sz w:val="20"/>
                <w:szCs w:val="20"/>
              </w:rPr>
            </w:pPr>
            <w:r>
              <w:rPr>
                <w:rFonts w:ascii="黑体" w:hAnsi="黑体" w:cs="黑体" w:eastAsia="黑体" w:hint="default"/>
                <w:sz w:val="20"/>
                <w:szCs w:val="20"/>
              </w:rPr>
              <w:t>工伤保险费</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23"/>
              <w:jc w:val="right"/>
              <w:rPr>
                <w:rFonts w:ascii="Arial" w:hAnsi="Arial" w:cs="Arial" w:eastAsia="Arial" w:hint="default"/>
                <w:sz w:val="20"/>
                <w:szCs w:val="20"/>
              </w:rPr>
            </w:pPr>
            <w:r>
              <w:rPr>
                <w:rFonts w:ascii="Arial"/>
                <w:sz w:val="20"/>
              </w:rPr>
              <w:t>34,151</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5"/>
              <w:jc w:val="right"/>
              <w:rPr>
                <w:rFonts w:ascii="Arial" w:hAnsi="Arial" w:cs="Arial" w:eastAsia="Arial" w:hint="default"/>
                <w:sz w:val="20"/>
                <w:szCs w:val="20"/>
              </w:rPr>
            </w:pPr>
            <w:r>
              <w:rPr>
                <w:rFonts w:ascii="Arial"/>
                <w:spacing w:val="-1"/>
                <w:sz w:val="20"/>
              </w:rPr>
              <w:t>610,960</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8"/>
              <w:jc w:val="right"/>
              <w:rPr>
                <w:rFonts w:ascii="Arial" w:hAnsi="Arial" w:cs="Arial" w:eastAsia="Arial" w:hint="default"/>
                <w:sz w:val="20"/>
                <w:szCs w:val="20"/>
              </w:rPr>
            </w:pPr>
            <w:r>
              <w:rPr>
                <w:rFonts w:ascii="Arial"/>
                <w:spacing w:val="-1"/>
                <w:sz w:val="20"/>
              </w:rPr>
              <w:t>593,825</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sz w:val="20"/>
              </w:rPr>
              <w:t>51,286</w:t>
            </w:r>
          </w:p>
        </w:tc>
      </w:tr>
      <w:tr>
        <w:trPr>
          <w:trHeight w:val="300" w:hRule="exact"/>
        </w:trPr>
        <w:tc>
          <w:tcPr>
            <w:tcW w:w="2438" w:type="dxa"/>
            <w:tcBorders>
              <w:top w:val="nil" w:sz="6" w:space="0" w:color="auto"/>
              <w:left w:val="nil" w:sz="6" w:space="0" w:color="auto"/>
              <w:bottom w:val="nil" w:sz="6" w:space="0" w:color="auto"/>
              <w:right w:val="nil" w:sz="6" w:space="0" w:color="auto"/>
            </w:tcBorders>
          </w:tcPr>
          <w:p>
            <w:pPr>
              <w:pStyle w:val="TableParagraph"/>
              <w:spacing w:line="239" w:lineRule="exact"/>
              <w:ind w:left="608" w:right="0"/>
              <w:jc w:val="left"/>
              <w:rPr>
                <w:rFonts w:ascii="黑体" w:hAnsi="黑体" w:cs="黑体" w:eastAsia="黑体" w:hint="default"/>
                <w:sz w:val="20"/>
                <w:szCs w:val="20"/>
              </w:rPr>
            </w:pPr>
            <w:r>
              <w:rPr>
                <w:rFonts w:ascii="黑体" w:hAnsi="黑体" w:cs="黑体" w:eastAsia="黑体" w:hint="default"/>
                <w:sz w:val="20"/>
                <w:szCs w:val="20"/>
              </w:rPr>
              <w:t>生育保险费</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23"/>
              <w:jc w:val="right"/>
              <w:rPr>
                <w:rFonts w:ascii="Arial" w:hAnsi="Arial" w:cs="Arial" w:eastAsia="Arial" w:hint="default"/>
                <w:sz w:val="20"/>
                <w:szCs w:val="20"/>
              </w:rPr>
            </w:pPr>
            <w:r>
              <w:rPr>
                <w:rFonts w:ascii="Arial"/>
                <w:sz w:val="20"/>
              </w:rPr>
              <w:t>40,322</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5"/>
              <w:jc w:val="right"/>
              <w:rPr>
                <w:rFonts w:ascii="Arial" w:hAnsi="Arial" w:cs="Arial" w:eastAsia="Arial" w:hint="default"/>
                <w:sz w:val="20"/>
                <w:szCs w:val="20"/>
              </w:rPr>
            </w:pPr>
            <w:r>
              <w:rPr>
                <w:rFonts w:ascii="Arial"/>
                <w:spacing w:val="-1"/>
                <w:sz w:val="20"/>
              </w:rPr>
              <w:t>632,155</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8"/>
              <w:jc w:val="right"/>
              <w:rPr>
                <w:rFonts w:ascii="Arial" w:hAnsi="Arial" w:cs="Arial" w:eastAsia="Arial" w:hint="default"/>
                <w:sz w:val="20"/>
                <w:szCs w:val="20"/>
              </w:rPr>
            </w:pPr>
            <w:r>
              <w:rPr>
                <w:rFonts w:ascii="Arial"/>
                <w:spacing w:val="-1"/>
                <w:sz w:val="20"/>
              </w:rPr>
              <w:t>647,752</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sz w:val="20"/>
              </w:rPr>
              <w:t>24,725</w:t>
            </w:r>
          </w:p>
        </w:tc>
      </w:tr>
      <w:tr>
        <w:trPr>
          <w:trHeight w:val="300" w:hRule="exact"/>
        </w:trPr>
        <w:tc>
          <w:tcPr>
            <w:tcW w:w="2438"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黑体" w:hAnsi="黑体" w:cs="黑体" w:eastAsia="黑体" w:hint="default"/>
                <w:sz w:val="20"/>
                <w:szCs w:val="20"/>
              </w:rPr>
            </w:pPr>
            <w:r>
              <w:rPr>
                <w:rFonts w:ascii="黑体" w:hAnsi="黑体" w:cs="黑体" w:eastAsia="黑体" w:hint="default"/>
                <w:sz w:val="20"/>
                <w:szCs w:val="20"/>
              </w:rPr>
              <w:t>住房公积金</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23"/>
              <w:jc w:val="right"/>
              <w:rPr>
                <w:rFonts w:ascii="Arial" w:hAnsi="Arial" w:cs="Arial" w:eastAsia="Arial" w:hint="default"/>
                <w:sz w:val="20"/>
                <w:szCs w:val="20"/>
              </w:rPr>
            </w:pPr>
            <w:r>
              <w:rPr>
                <w:rFonts w:ascii="Arial"/>
                <w:spacing w:val="-1"/>
                <w:sz w:val="20"/>
              </w:rPr>
              <w:t>1,259,846</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6"/>
              <w:jc w:val="right"/>
              <w:rPr>
                <w:rFonts w:ascii="Arial" w:hAnsi="Arial" w:cs="Arial" w:eastAsia="Arial" w:hint="default"/>
                <w:sz w:val="20"/>
                <w:szCs w:val="20"/>
              </w:rPr>
            </w:pPr>
            <w:r>
              <w:rPr>
                <w:rFonts w:ascii="Arial"/>
                <w:spacing w:val="-1"/>
                <w:sz w:val="20"/>
              </w:rPr>
              <w:t>49,527,538</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8"/>
              <w:jc w:val="right"/>
              <w:rPr>
                <w:rFonts w:ascii="Arial" w:hAnsi="Arial" w:cs="Arial" w:eastAsia="Arial" w:hint="default"/>
                <w:sz w:val="20"/>
                <w:szCs w:val="20"/>
              </w:rPr>
            </w:pPr>
            <w:r>
              <w:rPr>
                <w:rFonts w:ascii="Arial"/>
                <w:spacing w:val="-1"/>
                <w:sz w:val="20"/>
              </w:rPr>
              <w:t>48,006,006</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Arial" w:hAnsi="Arial" w:cs="Arial" w:eastAsia="Arial" w:hint="default"/>
                <w:sz w:val="20"/>
                <w:szCs w:val="20"/>
              </w:rPr>
            </w:pPr>
            <w:r>
              <w:rPr>
                <w:rFonts w:ascii="Arial"/>
                <w:spacing w:val="-1"/>
                <w:sz w:val="20"/>
              </w:rPr>
              <w:t>2,781,378</w:t>
            </w:r>
          </w:p>
        </w:tc>
      </w:tr>
      <w:tr>
        <w:trPr>
          <w:trHeight w:val="311" w:hRule="exact"/>
        </w:trPr>
        <w:tc>
          <w:tcPr>
            <w:tcW w:w="2438"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黑体" w:hAnsi="黑体" w:cs="黑体" w:eastAsia="黑体" w:hint="default"/>
                <w:sz w:val="20"/>
                <w:szCs w:val="20"/>
              </w:rPr>
            </w:pPr>
            <w:r>
              <w:rPr>
                <w:rFonts w:ascii="黑体" w:hAnsi="黑体" w:cs="黑体" w:eastAsia="黑体" w:hint="default"/>
                <w:sz w:val="20"/>
                <w:szCs w:val="20"/>
              </w:rPr>
              <w:t>工会经费和职工教育经费</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22"/>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7,036,668</w:t>
            </w:r>
            <w:r>
              <w:rPr>
                <w:rFonts w:ascii="Arial"/>
                <w:sz w:val="20"/>
              </w:rPr>
            </w:r>
          </w:p>
        </w:tc>
        <w:tc>
          <w:tcPr>
            <w:tcW w:w="1585"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35"/>
              <w:ind w:right="23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347,541</w:t>
            </w:r>
            <w:r>
              <w:rPr>
                <w:rFonts w:ascii="Arial"/>
                <w:sz w:val="20"/>
              </w:rPr>
            </w:r>
          </w:p>
        </w:tc>
        <w:tc>
          <w:tcPr>
            <w:tcW w:w="1570"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35"/>
              <w:ind w:right="20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886,771</w:t>
            </w:r>
            <w:r>
              <w:rPr>
                <w:rFonts w:ascii="Arial"/>
                <w:sz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6,497,438</w:t>
            </w:r>
            <w:r>
              <w:rPr>
                <w:rFonts w:ascii="Arial"/>
                <w:sz w:val="20"/>
              </w:rPr>
            </w:r>
          </w:p>
        </w:tc>
      </w:tr>
      <w:tr>
        <w:trPr>
          <w:trHeight w:val="350" w:hRule="exact"/>
        </w:trPr>
        <w:tc>
          <w:tcPr>
            <w:tcW w:w="2438"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21"/>
              <w:jc w:val="right"/>
              <w:rPr>
                <w:rFonts w:ascii="Arial" w:hAnsi="Arial" w:cs="Arial" w:eastAsia="Arial" w:hint="default"/>
                <w:sz w:val="20"/>
                <w:szCs w:val="20"/>
              </w:rPr>
            </w:pPr>
            <w:r>
              <w:rPr>
                <w:rFonts w:ascii="Arial"/>
                <w:w w:val="100"/>
                <w:sz w:val="20"/>
              </w:rPr>
            </w:r>
            <w:r>
              <w:rPr>
                <w:rFonts w:ascii="Arial"/>
                <w:spacing w:val="-1"/>
                <w:sz w:val="20"/>
                <w:u w:val="thick" w:color="000000"/>
              </w:rPr>
              <w:t>127,671,553</w:t>
            </w:r>
            <w:r>
              <w:rPr>
                <w:rFonts w:ascii="Arial"/>
                <w:spacing w:val="-1"/>
                <w:sz w:val="20"/>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34"/>
              <w:jc w:val="right"/>
              <w:rPr>
                <w:rFonts w:ascii="Arial" w:hAnsi="Arial" w:cs="Arial" w:eastAsia="Arial" w:hint="default"/>
                <w:sz w:val="20"/>
                <w:szCs w:val="20"/>
              </w:rPr>
            </w:pPr>
            <w:r>
              <w:rPr>
                <w:rFonts w:ascii="Arial"/>
                <w:w w:val="100"/>
                <w:sz w:val="20"/>
              </w:rPr>
            </w:r>
            <w:r>
              <w:rPr>
                <w:rFonts w:ascii="Arial"/>
                <w:spacing w:val="-1"/>
                <w:sz w:val="20"/>
                <w:u w:val="thick" w:color="000000"/>
              </w:rPr>
              <w:t>592,484,572</w:t>
            </w:r>
            <w:r>
              <w:rPr>
                <w:rFonts w:ascii="Arial"/>
                <w:spacing w:val="-1"/>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07"/>
              <w:jc w:val="right"/>
              <w:rPr>
                <w:rFonts w:ascii="Arial" w:hAnsi="Arial" w:cs="Arial" w:eastAsia="Arial" w:hint="default"/>
                <w:sz w:val="20"/>
                <w:szCs w:val="20"/>
              </w:rPr>
            </w:pPr>
            <w:r>
              <w:rPr>
                <w:rFonts w:ascii="Arial"/>
                <w:w w:val="100"/>
                <w:sz w:val="20"/>
              </w:rPr>
            </w:r>
            <w:r>
              <w:rPr>
                <w:rFonts w:ascii="Arial"/>
                <w:spacing w:val="-1"/>
                <w:sz w:val="20"/>
                <w:u w:val="thick" w:color="000000"/>
              </w:rPr>
              <w:t>593,343,761</w:t>
            </w:r>
            <w:r>
              <w:rPr>
                <w:rFonts w:ascii="Arial"/>
                <w:spacing w:val="-1"/>
                <w:sz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126,812,364</w:t>
            </w:r>
            <w:r>
              <w:rPr>
                <w:rFonts w:ascii="Arial"/>
                <w:spacing w:val="-1"/>
                <w:sz w:val="20"/>
              </w:rPr>
            </w:r>
          </w:p>
        </w:tc>
      </w:tr>
    </w:tbl>
    <w:p>
      <w:pPr>
        <w:spacing w:after="0" w:line="240" w:lineRule="auto"/>
        <w:jc w:val="right"/>
        <w:rPr>
          <w:rFonts w:ascii="Arial" w:hAnsi="Arial" w:cs="Arial" w:eastAsia="Arial" w:hint="default"/>
          <w:sz w:val="20"/>
          <w:szCs w:val="20"/>
        </w:rPr>
        <w:sectPr>
          <w:pgSz w:w="11910" w:h="16840"/>
          <w:pgMar w:header="958" w:footer="466" w:top="2560" w:bottom="660" w:left="1560" w:right="0"/>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5"/>
          <w:szCs w:val="15"/>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6"/>
        <w:rPr>
          <w:rFonts w:ascii="黑体" w:hAnsi="黑体" w:cs="黑体" w:eastAsia="黑体" w:hint="default"/>
          <w:b/>
          <w:bCs/>
          <w:sz w:val="14"/>
          <w:szCs w:val="14"/>
        </w:rPr>
      </w:pPr>
    </w:p>
    <w:tbl>
      <w:tblPr>
        <w:tblW w:w="0" w:type="auto"/>
        <w:jc w:val="left"/>
        <w:tblInd w:w="106" w:type="dxa"/>
        <w:tblLayout w:type="fixed"/>
        <w:tblCellMar>
          <w:top w:w="0" w:type="dxa"/>
          <w:left w:w="0" w:type="dxa"/>
          <w:bottom w:w="0" w:type="dxa"/>
          <w:right w:w="0" w:type="dxa"/>
        </w:tblCellMar>
        <w:tblLook w:val="01E0"/>
      </w:tblPr>
      <w:tblGrid>
        <w:gridCol w:w="4487"/>
        <w:gridCol w:w="2366"/>
        <w:gridCol w:w="1709"/>
      </w:tblGrid>
      <w:tr>
        <w:trPr>
          <w:trHeight w:val="917" w:hRule="exact"/>
        </w:trPr>
        <w:tc>
          <w:tcPr>
            <w:tcW w:w="4487" w:type="dxa"/>
            <w:tcBorders>
              <w:top w:val="nil" w:sz="6" w:space="0" w:color="auto"/>
              <w:left w:val="nil" w:sz="6" w:space="0" w:color="auto"/>
              <w:bottom w:val="nil" w:sz="6" w:space="0" w:color="auto"/>
              <w:right w:val="nil" w:sz="6" w:space="0" w:color="auto"/>
            </w:tcBorders>
          </w:tcPr>
          <w:p>
            <w:pPr>
              <w:pStyle w:val="TableParagraph"/>
              <w:tabs>
                <w:tab w:pos="712" w:val="left" w:leader="none"/>
              </w:tabs>
              <w:spacing w:line="240" w:lineRule="auto" w:before="38"/>
              <w:ind w:left="35" w:right="0"/>
              <w:jc w:val="left"/>
              <w:rPr>
                <w:rFonts w:ascii="黑体" w:hAnsi="黑体" w:cs="黑体" w:eastAsia="黑体" w:hint="default"/>
                <w:sz w:val="20"/>
                <w:szCs w:val="20"/>
              </w:rPr>
            </w:pPr>
            <w:r>
              <w:rPr>
                <w:rFonts w:ascii="Arial" w:hAnsi="Arial" w:cs="Arial" w:eastAsia="Arial" w:hint="default"/>
                <w:b/>
                <w:bCs/>
                <w:spacing w:val="-1"/>
                <w:sz w:val="20"/>
                <w:szCs w:val="20"/>
              </w:rPr>
              <w:t>19.</w:t>
              <w:tab/>
            </w:r>
            <w:r>
              <w:rPr>
                <w:rFonts w:ascii="黑体" w:hAnsi="黑体" w:cs="黑体" w:eastAsia="黑体" w:hint="default"/>
                <w:b/>
                <w:bCs/>
                <w:spacing w:val="1"/>
                <w:sz w:val="20"/>
                <w:szCs w:val="20"/>
              </w:rPr>
              <w:t>应交税费</w:t>
            </w:r>
            <w:r>
              <w:rPr>
                <w:rFonts w:ascii="黑体" w:hAnsi="黑体" w:cs="黑体" w:eastAsia="黑体" w:hint="default"/>
                <w:sz w:val="20"/>
                <w:szCs w:val="20"/>
              </w:rPr>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5"/>
              <w:ind w:right="0"/>
              <w:jc w:val="left"/>
              <w:rPr>
                <w:rFonts w:ascii="黑体" w:hAnsi="黑体" w:cs="黑体" w:eastAsia="黑体" w:hint="default"/>
                <w:b/>
                <w:bCs/>
                <w:sz w:val="20"/>
                <w:szCs w:val="20"/>
              </w:rPr>
            </w:pPr>
          </w:p>
          <w:p>
            <w:pPr>
              <w:pStyle w:val="TableParagraph"/>
              <w:spacing w:line="240" w:lineRule="auto"/>
              <w:ind w:right="167"/>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5"/>
              <w:ind w:right="0"/>
              <w:jc w:val="left"/>
              <w:rPr>
                <w:rFonts w:ascii="黑体" w:hAnsi="黑体" w:cs="黑体" w:eastAsia="黑体" w:hint="default"/>
                <w:b/>
                <w:bCs/>
                <w:sz w:val="20"/>
                <w:szCs w:val="20"/>
              </w:rPr>
            </w:pPr>
          </w:p>
          <w:p>
            <w:pPr>
              <w:pStyle w:val="TableParagraph"/>
              <w:spacing w:line="240" w:lineRule="auto"/>
              <w:ind w:right="33"/>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r>
      <w:tr>
        <w:trPr>
          <w:trHeight w:val="352" w:hRule="exact"/>
        </w:trPr>
        <w:tc>
          <w:tcPr>
            <w:tcW w:w="448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757" w:right="0"/>
              <w:jc w:val="left"/>
              <w:rPr>
                <w:rFonts w:ascii="黑体" w:hAnsi="黑体" w:cs="黑体" w:eastAsia="黑体" w:hint="default"/>
                <w:sz w:val="20"/>
                <w:szCs w:val="20"/>
              </w:rPr>
            </w:pPr>
            <w:r>
              <w:rPr>
                <w:rFonts w:ascii="黑体" w:hAnsi="黑体" w:cs="黑体" w:eastAsia="黑体" w:hint="default"/>
                <w:sz w:val="20"/>
                <w:szCs w:val="20"/>
              </w:rPr>
              <w:t>增值税</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68"/>
              <w:jc w:val="right"/>
              <w:rPr>
                <w:rFonts w:ascii="Arial" w:hAnsi="Arial" w:cs="Arial" w:eastAsia="Arial" w:hint="default"/>
                <w:sz w:val="20"/>
                <w:szCs w:val="20"/>
              </w:rPr>
            </w:pPr>
            <w:r>
              <w:rPr>
                <w:rFonts w:ascii="Arial"/>
                <w:spacing w:val="-1"/>
                <w:sz w:val="20"/>
              </w:rPr>
              <w:t>63,829,351</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4"/>
              <w:jc w:val="right"/>
              <w:rPr>
                <w:rFonts w:ascii="Arial" w:hAnsi="Arial" w:cs="Arial" w:eastAsia="Arial" w:hint="default"/>
                <w:sz w:val="20"/>
                <w:szCs w:val="20"/>
              </w:rPr>
            </w:pPr>
            <w:r>
              <w:rPr>
                <w:rFonts w:ascii="Arial"/>
                <w:spacing w:val="-1"/>
                <w:sz w:val="20"/>
              </w:rPr>
              <w:t>41,003,372</w:t>
            </w:r>
          </w:p>
        </w:tc>
      </w:tr>
      <w:tr>
        <w:trPr>
          <w:trHeight w:val="259" w:hRule="exact"/>
        </w:trPr>
        <w:tc>
          <w:tcPr>
            <w:tcW w:w="4487" w:type="dxa"/>
            <w:tcBorders>
              <w:top w:val="nil" w:sz="6" w:space="0" w:color="auto"/>
              <w:left w:val="nil" w:sz="6" w:space="0" w:color="auto"/>
              <w:bottom w:val="nil" w:sz="6" w:space="0" w:color="auto"/>
              <w:right w:val="nil" w:sz="6" w:space="0" w:color="auto"/>
            </w:tcBorders>
          </w:tcPr>
          <w:p>
            <w:pPr>
              <w:pStyle w:val="TableParagraph"/>
              <w:spacing w:line="226" w:lineRule="exact"/>
              <w:ind w:left="757" w:right="0"/>
              <w:jc w:val="left"/>
              <w:rPr>
                <w:rFonts w:ascii="黑体" w:hAnsi="黑体" w:cs="黑体" w:eastAsia="黑体" w:hint="default"/>
                <w:sz w:val="20"/>
                <w:szCs w:val="20"/>
              </w:rPr>
            </w:pPr>
            <w:r>
              <w:rPr>
                <w:rFonts w:ascii="黑体" w:hAnsi="黑体" w:cs="黑体" w:eastAsia="黑体" w:hint="default"/>
                <w:sz w:val="20"/>
                <w:szCs w:val="20"/>
              </w:rPr>
              <w:t>营业税</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68"/>
              <w:jc w:val="right"/>
              <w:rPr>
                <w:rFonts w:ascii="Arial" w:hAnsi="Arial" w:cs="Arial" w:eastAsia="Arial" w:hint="default"/>
                <w:sz w:val="20"/>
                <w:szCs w:val="20"/>
              </w:rPr>
            </w:pPr>
            <w:r>
              <w:rPr>
                <w:rFonts w:ascii="Arial"/>
                <w:spacing w:val="-1"/>
                <w:sz w:val="20"/>
              </w:rPr>
              <w:t>3,421,831</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1,354,650</w:t>
            </w:r>
          </w:p>
        </w:tc>
      </w:tr>
      <w:tr>
        <w:trPr>
          <w:trHeight w:val="260" w:hRule="exact"/>
        </w:trPr>
        <w:tc>
          <w:tcPr>
            <w:tcW w:w="4487" w:type="dxa"/>
            <w:tcBorders>
              <w:top w:val="nil" w:sz="6" w:space="0" w:color="auto"/>
              <w:left w:val="nil" w:sz="6" w:space="0" w:color="auto"/>
              <w:bottom w:val="nil" w:sz="6" w:space="0" w:color="auto"/>
              <w:right w:val="nil" w:sz="6" w:space="0" w:color="auto"/>
            </w:tcBorders>
          </w:tcPr>
          <w:p>
            <w:pPr>
              <w:pStyle w:val="TableParagraph"/>
              <w:spacing w:line="226" w:lineRule="exact"/>
              <w:ind w:left="757" w:right="0"/>
              <w:jc w:val="left"/>
              <w:rPr>
                <w:rFonts w:ascii="黑体" w:hAnsi="黑体" w:cs="黑体" w:eastAsia="黑体" w:hint="default"/>
                <w:sz w:val="20"/>
                <w:szCs w:val="20"/>
              </w:rPr>
            </w:pPr>
            <w:r>
              <w:rPr>
                <w:rFonts w:ascii="黑体" w:hAnsi="黑体" w:cs="黑体" w:eastAsia="黑体" w:hint="default"/>
                <w:sz w:val="20"/>
                <w:szCs w:val="20"/>
              </w:rPr>
              <w:t>企业所得税</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68"/>
              <w:jc w:val="right"/>
              <w:rPr>
                <w:rFonts w:ascii="Arial" w:hAnsi="Arial" w:cs="Arial" w:eastAsia="Arial" w:hint="default"/>
                <w:sz w:val="20"/>
                <w:szCs w:val="20"/>
              </w:rPr>
            </w:pPr>
            <w:r>
              <w:rPr>
                <w:rFonts w:ascii="Arial"/>
                <w:spacing w:val="-1"/>
                <w:sz w:val="20"/>
              </w:rPr>
              <w:t>42,458,793</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14,248,245</w:t>
            </w:r>
          </w:p>
        </w:tc>
      </w:tr>
      <w:tr>
        <w:trPr>
          <w:trHeight w:val="260" w:hRule="exact"/>
        </w:trPr>
        <w:tc>
          <w:tcPr>
            <w:tcW w:w="4487" w:type="dxa"/>
            <w:tcBorders>
              <w:top w:val="nil" w:sz="6" w:space="0" w:color="auto"/>
              <w:left w:val="nil" w:sz="6" w:space="0" w:color="auto"/>
              <w:bottom w:val="nil" w:sz="6" w:space="0" w:color="auto"/>
              <w:right w:val="nil" w:sz="6" w:space="0" w:color="auto"/>
            </w:tcBorders>
          </w:tcPr>
          <w:p>
            <w:pPr>
              <w:pStyle w:val="TableParagraph"/>
              <w:spacing w:line="227" w:lineRule="exact"/>
              <w:ind w:left="757" w:right="0"/>
              <w:jc w:val="left"/>
              <w:rPr>
                <w:rFonts w:ascii="黑体" w:hAnsi="黑体" w:cs="黑体" w:eastAsia="黑体" w:hint="default"/>
                <w:sz w:val="20"/>
                <w:szCs w:val="20"/>
              </w:rPr>
            </w:pPr>
            <w:r>
              <w:rPr>
                <w:rFonts w:ascii="黑体" w:hAnsi="黑体" w:cs="黑体" w:eastAsia="黑体" w:hint="default"/>
                <w:sz w:val="20"/>
                <w:szCs w:val="20"/>
              </w:rPr>
              <w:t>个人所得税</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68"/>
              <w:jc w:val="right"/>
              <w:rPr>
                <w:rFonts w:ascii="Arial" w:hAnsi="Arial" w:cs="Arial" w:eastAsia="Arial" w:hint="default"/>
                <w:sz w:val="20"/>
                <w:szCs w:val="20"/>
              </w:rPr>
            </w:pPr>
            <w:r>
              <w:rPr>
                <w:rFonts w:ascii="Arial"/>
                <w:spacing w:val="-1"/>
                <w:sz w:val="20"/>
              </w:rPr>
              <w:t>3,564,958</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18,708,640</w:t>
            </w:r>
          </w:p>
        </w:tc>
      </w:tr>
      <w:tr>
        <w:trPr>
          <w:trHeight w:val="259" w:hRule="exact"/>
        </w:trPr>
        <w:tc>
          <w:tcPr>
            <w:tcW w:w="4487" w:type="dxa"/>
            <w:tcBorders>
              <w:top w:val="nil" w:sz="6" w:space="0" w:color="auto"/>
              <w:left w:val="nil" w:sz="6" w:space="0" w:color="auto"/>
              <w:bottom w:val="nil" w:sz="6" w:space="0" w:color="auto"/>
              <w:right w:val="nil" w:sz="6" w:space="0" w:color="auto"/>
            </w:tcBorders>
          </w:tcPr>
          <w:p>
            <w:pPr>
              <w:pStyle w:val="TableParagraph"/>
              <w:spacing w:line="226" w:lineRule="exact"/>
              <w:ind w:left="757" w:right="0"/>
              <w:jc w:val="left"/>
              <w:rPr>
                <w:rFonts w:ascii="黑体" w:hAnsi="黑体" w:cs="黑体" w:eastAsia="黑体" w:hint="default"/>
                <w:sz w:val="20"/>
                <w:szCs w:val="20"/>
              </w:rPr>
            </w:pPr>
            <w:r>
              <w:rPr>
                <w:rFonts w:ascii="黑体" w:hAnsi="黑体" w:cs="黑体" w:eastAsia="黑体" w:hint="default"/>
                <w:sz w:val="20"/>
                <w:szCs w:val="20"/>
              </w:rPr>
              <w:t>城建税及教育费附加</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68"/>
              <w:jc w:val="right"/>
              <w:rPr>
                <w:rFonts w:ascii="Arial" w:hAnsi="Arial" w:cs="Arial" w:eastAsia="Arial" w:hint="default"/>
                <w:sz w:val="20"/>
                <w:szCs w:val="20"/>
              </w:rPr>
            </w:pPr>
            <w:r>
              <w:rPr>
                <w:rFonts w:ascii="Arial"/>
                <w:spacing w:val="-1"/>
                <w:sz w:val="20"/>
              </w:rPr>
              <w:t>5,248,892</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3,395,040</w:t>
            </w:r>
          </w:p>
        </w:tc>
      </w:tr>
      <w:tr>
        <w:trPr>
          <w:trHeight w:val="389" w:hRule="exact"/>
        </w:trPr>
        <w:tc>
          <w:tcPr>
            <w:tcW w:w="4487" w:type="dxa"/>
            <w:tcBorders>
              <w:top w:val="nil" w:sz="6" w:space="0" w:color="auto"/>
              <w:left w:val="nil" w:sz="6" w:space="0" w:color="auto"/>
              <w:bottom w:val="nil" w:sz="6" w:space="0" w:color="auto"/>
              <w:right w:val="nil" w:sz="6" w:space="0" w:color="auto"/>
            </w:tcBorders>
          </w:tcPr>
          <w:p>
            <w:pPr>
              <w:pStyle w:val="TableParagraph"/>
              <w:spacing w:line="226" w:lineRule="exact"/>
              <w:ind w:left="757"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2366"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8"/>
              <w:ind w:right="16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193,328</w:t>
            </w:r>
            <w:r>
              <w:rPr>
                <w:rFonts w:ascii="Arial"/>
                <w:sz w:val="20"/>
              </w:rPr>
            </w:r>
          </w:p>
        </w:tc>
        <w:tc>
          <w:tcPr>
            <w:tcW w:w="1709"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8"/>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141,505</w:t>
            </w:r>
            <w:r>
              <w:rPr>
                <w:rFonts w:ascii="Arial"/>
                <w:sz w:val="20"/>
              </w:rPr>
            </w:r>
          </w:p>
        </w:tc>
      </w:tr>
      <w:tr>
        <w:trPr>
          <w:trHeight w:val="496" w:hRule="exact"/>
        </w:trPr>
        <w:tc>
          <w:tcPr>
            <w:tcW w:w="4487" w:type="dxa"/>
            <w:tcBorders>
              <w:top w:val="nil" w:sz="6" w:space="0" w:color="auto"/>
              <w:left w:val="nil" w:sz="6" w:space="0" w:color="auto"/>
              <w:bottom w:val="nil" w:sz="6" w:space="0" w:color="auto"/>
              <w:right w:val="nil" w:sz="6" w:space="0" w:color="auto"/>
            </w:tcBorders>
          </w:tcPr>
          <w:p>
            <w:pP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66"/>
              <w:jc w:val="right"/>
              <w:rPr>
                <w:rFonts w:ascii="Arial" w:hAnsi="Arial" w:cs="Arial" w:eastAsia="Arial" w:hint="default"/>
                <w:sz w:val="20"/>
                <w:szCs w:val="20"/>
              </w:rPr>
            </w:pPr>
            <w:r>
              <w:rPr>
                <w:rFonts w:ascii="Arial"/>
                <w:w w:val="100"/>
                <w:sz w:val="20"/>
              </w:rPr>
            </w:r>
            <w:r>
              <w:rPr>
                <w:rFonts w:ascii="Arial"/>
                <w:spacing w:val="-1"/>
                <w:sz w:val="20"/>
                <w:u w:val="thick" w:color="000000"/>
              </w:rPr>
              <w:t>118,717,153</w:t>
            </w:r>
            <w:r>
              <w:rPr>
                <w:rFonts w:ascii="Arial"/>
                <w:spacing w:val="-1"/>
                <w:sz w:val="20"/>
              </w:rPr>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4"/>
              <w:jc w:val="right"/>
              <w:rPr>
                <w:rFonts w:ascii="Arial" w:hAnsi="Arial" w:cs="Arial" w:eastAsia="Arial" w:hint="default"/>
                <w:sz w:val="20"/>
                <w:szCs w:val="20"/>
              </w:rPr>
            </w:pPr>
            <w:r>
              <w:rPr>
                <w:rFonts w:ascii="Arial"/>
                <w:w w:val="100"/>
                <w:sz w:val="20"/>
              </w:rPr>
            </w:r>
            <w:r>
              <w:rPr>
                <w:rFonts w:ascii="Arial"/>
                <w:spacing w:val="-1"/>
                <w:sz w:val="20"/>
                <w:u w:val="thick" w:color="000000"/>
              </w:rPr>
              <w:t>78,851,452</w:t>
            </w:r>
            <w:r>
              <w:rPr>
                <w:rFonts w:ascii="Arial"/>
                <w:spacing w:val="-1"/>
                <w:sz w:val="20"/>
              </w:rPr>
            </w:r>
          </w:p>
        </w:tc>
      </w:tr>
      <w:tr>
        <w:trPr>
          <w:trHeight w:val="490" w:hRule="exact"/>
        </w:trPr>
        <w:tc>
          <w:tcPr>
            <w:tcW w:w="4487" w:type="dxa"/>
            <w:tcBorders>
              <w:top w:val="nil" w:sz="6" w:space="0" w:color="auto"/>
              <w:left w:val="nil" w:sz="6" w:space="0" w:color="auto"/>
              <w:bottom w:val="nil" w:sz="6" w:space="0" w:color="auto"/>
              <w:right w:val="nil" w:sz="6" w:space="0" w:color="auto"/>
            </w:tcBorders>
          </w:tcPr>
          <w:p>
            <w:pPr>
              <w:pStyle w:val="TableParagraph"/>
              <w:tabs>
                <w:tab w:pos="754" w:val="left" w:leader="none"/>
              </w:tabs>
              <w:spacing w:line="240" w:lineRule="auto" w:before="79"/>
              <w:ind w:left="35" w:right="0"/>
              <w:jc w:val="left"/>
              <w:rPr>
                <w:rFonts w:ascii="黑体" w:hAnsi="黑体" w:cs="黑体" w:eastAsia="黑体" w:hint="default"/>
                <w:sz w:val="20"/>
                <w:szCs w:val="20"/>
              </w:rPr>
            </w:pPr>
            <w:r>
              <w:rPr>
                <w:rFonts w:ascii="Arial" w:hAnsi="Arial" w:cs="Arial" w:eastAsia="Arial" w:hint="default"/>
                <w:b/>
                <w:bCs/>
                <w:spacing w:val="-1"/>
                <w:sz w:val="20"/>
                <w:szCs w:val="20"/>
              </w:rPr>
              <w:t>20.</w:t>
              <w:tab/>
            </w:r>
            <w:r>
              <w:rPr>
                <w:rFonts w:ascii="黑体" w:hAnsi="黑体" w:cs="黑体" w:eastAsia="黑体" w:hint="default"/>
                <w:b/>
                <w:bCs/>
                <w:sz w:val="20"/>
                <w:szCs w:val="20"/>
              </w:rPr>
              <w:t>其他应付款</w:t>
            </w:r>
            <w:r>
              <w:rPr>
                <w:rFonts w:ascii="黑体" w:hAnsi="黑体" w:cs="黑体" w:eastAsia="黑体" w:hint="default"/>
                <w:sz w:val="20"/>
                <w:szCs w:val="20"/>
              </w:rPr>
            </w:r>
          </w:p>
        </w:tc>
        <w:tc>
          <w:tcPr>
            <w:tcW w:w="2366"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nil" w:sz="6" w:space="0" w:color="auto"/>
            </w:tcBorders>
          </w:tcPr>
          <w:p>
            <w:pPr/>
          </w:p>
        </w:tc>
      </w:tr>
      <w:tr>
        <w:trPr>
          <w:trHeight w:val="466" w:hRule="exact"/>
        </w:trPr>
        <w:tc>
          <w:tcPr>
            <w:tcW w:w="4487" w:type="dxa"/>
            <w:tcBorders>
              <w:top w:val="nil" w:sz="6" w:space="0" w:color="auto"/>
              <w:left w:val="nil" w:sz="6" w:space="0" w:color="auto"/>
              <w:bottom w:val="nil" w:sz="6" w:space="0" w:color="auto"/>
              <w:right w:val="nil" w:sz="6" w:space="0" w:color="auto"/>
            </w:tcBorders>
          </w:tcPr>
          <w:p>
            <w:pP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2"/>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47"/>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r>
      <w:tr>
        <w:trPr>
          <w:trHeight w:val="350" w:hRule="exact"/>
        </w:trPr>
        <w:tc>
          <w:tcPr>
            <w:tcW w:w="448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771" w:right="0"/>
              <w:jc w:val="left"/>
              <w:rPr>
                <w:rFonts w:ascii="黑体" w:hAnsi="黑体" w:cs="黑体" w:eastAsia="黑体" w:hint="default"/>
                <w:sz w:val="20"/>
                <w:szCs w:val="20"/>
              </w:rPr>
            </w:pPr>
            <w:r>
              <w:rPr>
                <w:rFonts w:ascii="黑体" w:hAnsi="黑体" w:cs="黑体" w:eastAsia="黑体" w:hint="default"/>
                <w:sz w:val="20"/>
                <w:szCs w:val="20"/>
              </w:rPr>
              <w:t>押金</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68"/>
              <w:jc w:val="right"/>
              <w:rPr>
                <w:rFonts w:ascii="Arial" w:hAnsi="Arial" w:cs="Arial" w:eastAsia="Arial" w:hint="default"/>
                <w:sz w:val="20"/>
                <w:szCs w:val="20"/>
              </w:rPr>
            </w:pPr>
            <w:r>
              <w:rPr>
                <w:rFonts w:ascii="Arial"/>
                <w:spacing w:val="-1"/>
                <w:sz w:val="20"/>
              </w:rPr>
              <w:t>5,935,550</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34"/>
              <w:jc w:val="right"/>
              <w:rPr>
                <w:rFonts w:ascii="Arial" w:hAnsi="Arial" w:cs="Arial" w:eastAsia="Arial" w:hint="default"/>
                <w:sz w:val="20"/>
                <w:szCs w:val="20"/>
              </w:rPr>
            </w:pPr>
            <w:r>
              <w:rPr>
                <w:rFonts w:ascii="Arial"/>
                <w:spacing w:val="-1"/>
                <w:sz w:val="20"/>
              </w:rPr>
              <w:t>4,444,541</w:t>
            </w:r>
          </w:p>
        </w:tc>
      </w:tr>
      <w:tr>
        <w:trPr>
          <w:trHeight w:val="259" w:hRule="exact"/>
        </w:trPr>
        <w:tc>
          <w:tcPr>
            <w:tcW w:w="4487" w:type="dxa"/>
            <w:tcBorders>
              <w:top w:val="nil" w:sz="6" w:space="0" w:color="auto"/>
              <w:left w:val="nil" w:sz="6" w:space="0" w:color="auto"/>
              <w:bottom w:val="nil" w:sz="6" w:space="0" w:color="auto"/>
              <w:right w:val="nil" w:sz="6" w:space="0" w:color="auto"/>
            </w:tcBorders>
          </w:tcPr>
          <w:p>
            <w:pPr>
              <w:pStyle w:val="TableParagraph"/>
              <w:spacing w:line="226" w:lineRule="exact"/>
              <w:ind w:left="771" w:right="0"/>
              <w:jc w:val="left"/>
              <w:rPr>
                <w:rFonts w:ascii="黑体" w:hAnsi="黑体" w:cs="黑体" w:eastAsia="黑体" w:hint="default"/>
                <w:sz w:val="20"/>
                <w:szCs w:val="20"/>
              </w:rPr>
            </w:pPr>
            <w:r>
              <w:rPr>
                <w:rFonts w:ascii="黑体" w:hAnsi="黑体" w:cs="黑体" w:eastAsia="黑体" w:hint="default"/>
                <w:sz w:val="20"/>
                <w:szCs w:val="20"/>
              </w:rPr>
              <w:t>广告费</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68"/>
              <w:jc w:val="right"/>
              <w:rPr>
                <w:rFonts w:ascii="Arial" w:hAnsi="Arial" w:cs="Arial" w:eastAsia="Arial" w:hint="default"/>
                <w:sz w:val="20"/>
                <w:szCs w:val="20"/>
              </w:rPr>
            </w:pPr>
            <w:r>
              <w:rPr>
                <w:rFonts w:ascii="Arial"/>
                <w:spacing w:val="-1"/>
                <w:sz w:val="20"/>
              </w:rPr>
              <w:t>110,792</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z w:val="20"/>
              </w:rPr>
              <w:t>30,000</w:t>
            </w:r>
          </w:p>
        </w:tc>
      </w:tr>
      <w:tr>
        <w:trPr>
          <w:trHeight w:val="259" w:hRule="exact"/>
        </w:trPr>
        <w:tc>
          <w:tcPr>
            <w:tcW w:w="4487" w:type="dxa"/>
            <w:tcBorders>
              <w:top w:val="nil" w:sz="6" w:space="0" w:color="auto"/>
              <w:left w:val="nil" w:sz="6" w:space="0" w:color="auto"/>
              <w:bottom w:val="nil" w:sz="6" w:space="0" w:color="auto"/>
              <w:right w:val="nil" w:sz="6" w:space="0" w:color="auto"/>
            </w:tcBorders>
          </w:tcPr>
          <w:p>
            <w:pPr>
              <w:pStyle w:val="TableParagraph"/>
              <w:spacing w:line="226" w:lineRule="exact"/>
              <w:ind w:left="771" w:right="0"/>
              <w:jc w:val="left"/>
              <w:rPr>
                <w:rFonts w:ascii="黑体" w:hAnsi="黑体" w:cs="黑体" w:eastAsia="黑体" w:hint="default"/>
                <w:sz w:val="20"/>
                <w:szCs w:val="20"/>
              </w:rPr>
            </w:pPr>
            <w:r>
              <w:rPr>
                <w:rFonts w:ascii="黑体" w:hAnsi="黑体" w:cs="黑体" w:eastAsia="黑体" w:hint="default"/>
                <w:sz w:val="20"/>
                <w:szCs w:val="20"/>
              </w:rPr>
              <w:t>房租</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68"/>
              <w:jc w:val="right"/>
              <w:rPr>
                <w:rFonts w:ascii="Arial" w:hAnsi="Arial" w:cs="Arial" w:eastAsia="Arial" w:hint="default"/>
                <w:sz w:val="20"/>
                <w:szCs w:val="20"/>
              </w:rPr>
            </w:pPr>
            <w:r>
              <w:rPr>
                <w:rFonts w:ascii="Arial"/>
                <w:sz w:val="20"/>
              </w:rPr>
              <w:t>97,314</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168,575</w:t>
            </w:r>
          </w:p>
        </w:tc>
      </w:tr>
      <w:tr>
        <w:trPr>
          <w:trHeight w:val="260" w:hRule="exact"/>
        </w:trPr>
        <w:tc>
          <w:tcPr>
            <w:tcW w:w="4487" w:type="dxa"/>
            <w:tcBorders>
              <w:top w:val="nil" w:sz="6" w:space="0" w:color="auto"/>
              <w:left w:val="nil" w:sz="6" w:space="0" w:color="auto"/>
              <w:bottom w:val="nil" w:sz="6" w:space="0" w:color="auto"/>
              <w:right w:val="nil" w:sz="6" w:space="0" w:color="auto"/>
            </w:tcBorders>
          </w:tcPr>
          <w:p>
            <w:pPr>
              <w:pStyle w:val="TableParagraph"/>
              <w:spacing w:line="240" w:lineRule="exact"/>
              <w:ind w:left="771" w:right="0"/>
              <w:jc w:val="left"/>
              <w:rPr>
                <w:rFonts w:ascii="Arial" w:hAnsi="Arial" w:cs="Arial" w:eastAsia="Arial" w:hint="default"/>
                <w:sz w:val="20"/>
                <w:szCs w:val="20"/>
              </w:rPr>
            </w:pPr>
            <w:r>
              <w:rPr>
                <w:rFonts w:ascii="黑体" w:hAnsi="黑体" w:cs="黑体" w:eastAsia="黑体" w:hint="default"/>
                <w:sz w:val="20"/>
                <w:szCs w:val="20"/>
              </w:rPr>
              <w:t>应付软件园建设款</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68"/>
              <w:jc w:val="right"/>
              <w:rPr>
                <w:rFonts w:ascii="Arial" w:hAnsi="Arial" w:cs="Arial" w:eastAsia="Arial" w:hint="default"/>
                <w:sz w:val="20"/>
                <w:szCs w:val="20"/>
              </w:rPr>
            </w:pPr>
            <w:r>
              <w:rPr>
                <w:rFonts w:ascii="Arial"/>
                <w:spacing w:val="-1"/>
                <w:sz w:val="20"/>
              </w:rPr>
              <w:t>11,092,876</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29,366,818</w:t>
            </w:r>
          </w:p>
        </w:tc>
      </w:tr>
      <w:tr>
        <w:trPr>
          <w:trHeight w:val="260" w:hRule="exact"/>
        </w:trPr>
        <w:tc>
          <w:tcPr>
            <w:tcW w:w="4487" w:type="dxa"/>
            <w:tcBorders>
              <w:top w:val="nil" w:sz="6" w:space="0" w:color="auto"/>
              <w:left w:val="nil" w:sz="6" w:space="0" w:color="auto"/>
              <w:bottom w:val="nil" w:sz="6" w:space="0" w:color="auto"/>
              <w:right w:val="nil" w:sz="6" w:space="0" w:color="auto"/>
            </w:tcBorders>
          </w:tcPr>
          <w:p>
            <w:pPr>
              <w:pStyle w:val="TableParagraph"/>
              <w:spacing w:line="240" w:lineRule="exact"/>
              <w:ind w:left="771" w:right="0"/>
              <w:jc w:val="left"/>
              <w:rPr>
                <w:rFonts w:ascii="Arial" w:hAnsi="Arial" w:cs="Arial" w:eastAsia="Arial" w:hint="default"/>
                <w:sz w:val="20"/>
                <w:szCs w:val="20"/>
              </w:rPr>
            </w:pPr>
            <w:r>
              <w:rPr>
                <w:rFonts w:ascii="黑体" w:hAnsi="黑体" w:cs="黑体" w:eastAsia="黑体" w:hint="default"/>
                <w:sz w:val="20"/>
                <w:szCs w:val="20"/>
              </w:rPr>
              <w:t>应付土地开发建设费</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2)</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68"/>
              <w:jc w:val="right"/>
              <w:rPr>
                <w:rFonts w:ascii="Arial" w:hAnsi="Arial" w:cs="Arial" w:eastAsia="Arial" w:hint="default"/>
                <w:sz w:val="20"/>
                <w:szCs w:val="20"/>
              </w:rPr>
            </w:pPr>
            <w:r>
              <w:rPr>
                <w:rFonts w:ascii="Arial"/>
                <w:spacing w:val="-1"/>
                <w:sz w:val="20"/>
              </w:rPr>
              <w:t>89,596,620</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89,596,620</w:t>
            </w:r>
          </w:p>
        </w:tc>
      </w:tr>
      <w:tr>
        <w:trPr>
          <w:trHeight w:val="259" w:hRule="exact"/>
        </w:trPr>
        <w:tc>
          <w:tcPr>
            <w:tcW w:w="4487" w:type="dxa"/>
            <w:tcBorders>
              <w:top w:val="nil" w:sz="6" w:space="0" w:color="auto"/>
              <w:left w:val="nil" w:sz="6" w:space="0" w:color="auto"/>
              <w:bottom w:val="nil" w:sz="6" w:space="0" w:color="auto"/>
              <w:right w:val="nil" w:sz="6" w:space="0" w:color="auto"/>
            </w:tcBorders>
          </w:tcPr>
          <w:p>
            <w:pPr>
              <w:pStyle w:val="TableParagraph"/>
              <w:spacing w:line="240" w:lineRule="exact"/>
              <w:ind w:left="771" w:right="0"/>
              <w:jc w:val="left"/>
              <w:rPr>
                <w:rFonts w:ascii="Arial" w:hAnsi="Arial" w:cs="Arial" w:eastAsia="Arial" w:hint="default"/>
                <w:sz w:val="20"/>
                <w:szCs w:val="20"/>
              </w:rPr>
            </w:pPr>
            <w:r>
              <w:rPr>
                <w:rFonts w:ascii="黑体" w:hAnsi="黑体" w:cs="黑体" w:eastAsia="黑体" w:hint="default"/>
                <w:sz w:val="20"/>
                <w:szCs w:val="20"/>
              </w:rPr>
              <w:t>资产业务收购款</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3)</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68"/>
              <w:jc w:val="right"/>
              <w:rPr>
                <w:rFonts w:ascii="Arial" w:hAnsi="Arial" w:cs="Arial" w:eastAsia="Arial" w:hint="default"/>
                <w:sz w:val="20"/>
                <w:szCs w:val="20"/>
              </w:rPr>
            </w:pPr>
            <w:r>
              <w:rPr>
                <w:rFonts w:ascii="Arial"/>
                <w:spacing w:val="-1"/>
                <w:sz w:val="20"/>
              </w:rPr>
              <w:t>54,473,335</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4"/>
              <w:jc w:val="right"/>
              <w:rPr>
                <w:rFonts w:ascii="Arial" w:hAnsi="Arial" w:cs="Arial" w:eastAsia="Arial" w:hint="default"/>
                <w:sz w:val="20"/>
                <w:szCs w:val="20"/>
              </w:rPr>
            </w:pPr>
            <w:r>
              <w:rPr>
                <w:rFonts w:ascii="Arial"/>
                <w:spacing w:val="-1"/>
                <w:sz w:val="20"/>
              </w:rPr>
              <w:t>25,400,000</w:t>
            </w:r>
          </w:p>
        </w:tc>
      </w:tr>
      <w:tr>
        <w:trPr>
          <w:trHeight w:val="259" w:hRule="exact"/>
        </w:trPr>
        <w:tc>
          <w:tcPr>
            <w:tcW w:w="4487" w:type="dxa"/>
            <w:tcBorders>
              <w:top w:val="nil" w:sz="6" w:space="0" w:color="auto"/>
              <w:left w:val="nil" w:sz="6" w:space="0" w:color="auto"/>
              <w:bottom w:val="nil" w:sz="6" w:space="0" w:color="auto"/>
              <w:right w:val="nil" w:sz="6" w:space="0" w:color="auto"/>
            </w:tcBorders>
          </w:tcPr>
          <w:p>
            <w:pPr>
              <w:pStyle w:val="TableParagraph"/>
              <w:spacing w:line="240" w:lineRule="exact"/>
              <w:ind w:left="771" w:right="0"/>
              <w:jc w:val="left"/>
              <w:rPr>
                <w:rFonts w:ascii="Arial" w:hAnsi="Arial" w:cs="Arial" w:eastAsia="Arial" w:hint="default"/>
                <w:sz w:val="20"/>
                <w:szCs w:val="20"/>
              </w:rPr>
            </w:pPr>
            <w:r>
              <w:rPr>
                <w:rFonts w:ascii="黑体" w:hAnsi="黑体" w:cs="黑体" w:eastAsia="黑体" w:hint="default"/>
                <w:sz w:val="20"/>
                <w:szCs w:val="20"/>
              </w:rPr>
              <w:t>股权收购款</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4)</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67"/>
              <w:jc w:val="right"/>
              <w:rPr>
                <w:rFonts w:ascii="Arial" w:hAnsi="Arial" w:cs="Arial" w:eastAsia="Arial" w:hint="default"/>
                <w:sz w:val="20"/>
                <w:szCs w:val="20"/>
              </w:rPr>
            </w:pPr>
            <w:r>
              <w:rPr>
                <w:rFonts w:ascii="Arial"/>
                <w:spacing w:val="-1"/>
                <w:sz w:val="20"/>
              </w:rPr>
              <w:t>96,900,000</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spacing w:val="-1"/>
                <w:sz w:val="20"/>
              </w:rPr>
              <w:t>161,500,000</w:t>
            </w:r>
          </w:p>
        </w:tc>
      </w:tr>
      <w:tr>
        <w:trPr>
          <w:trHeight w:val="389" w:hRule="exact"/>
        </w:trPr>
        <w:tc>
          <w:tcPr>
            <w:tcW w:w="4487" w:type="dxa"/>
            <w:tcBorders>
              <w:top w:val="nil" w:sz="6" w:space="0" w:color="auto"/>
              <w:left w:val="nil" w:sz="6" w:space="0" w:color="auto"/>
              <w:bottom w:val="nil" w:sz="6" w:space="0" w:color="auto"/>
              <w:right w:val="nil" w:sz="6" w:space="0" w:color="auto"/>
            </w:tcBorders>
          </w:tcPr>
          <w:p>
            <w:pPr>
              <w:pStyle w:val="TableParagraph"/>
              <w:spacing w:line="225" w:lineRule="exact"/>
              <w:ind w:left="771"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6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42,381,901</w:t>
            </w:r>
            <w:r>
              <w:rPr>
                <w:rFonts w:ascii="Arial"/>
                <w:spacing w:val="-1"/>
                <w:sz w:val="20"/>
              </w:rPr>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18,698,857</w:t>
            </w:r>
            <w:r>
              <w:rPr>
                <w:rFonts w:ascii="Arial"/>
                <w:spacing w:val="-1"/>
                <w:sz w:val="20"/>
              </w:rPr>
            </w:r>
          </w:p>
        </w:tc>
      </w:tr>
      <w:tr>
        <w:trPr>
          <w:trHeight w:val="496" w:hRule="exact"/>
        </w:trPr>
        <w:tc>
          <w:tcPr>
            <w:tcW w:w="4487" w:type="dxa"/>
            <w:tcBorders>
              <w:top w:val="nil" w:sz="6" w:space="0" w:color="auto"/>
              <w:left w:val="nil" w:sz="6" w:space="0" w:color="auto"/>
              <w:bottom w:val="nil" w:sz="6" w:space="0" w:color="auto"/>
              <w:right w:val="nil" w:sz="6" w:space="0" w:color="auto"/>
            </w:tcBorders>
          </w:tcPr>
          <w:p>
            <w:pP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66"/>
              <w:jc w:val="right"/>
              <w:rPr>
                <w:rFonts w:ascii="Arial" w:hAnsi="Arial" w:cs="Arial" w:eastAsia="Arial" w:hint="default"/>
                <w:sz w:val="20"/>
                <w:szCs w:val="20"/>
              </w:rPr>
            </w:pPr>
            <w:r>
              <w:rPr>
                <w:rFonts w:ascii="Arial"/>
                <w:w w:val="100"/>
                <w:sz w:val="20"/>
              </w:rPr>
            </w:r>
            <w:r>
              <w:rPr>
                <w:rFonts w:ascii="Arial"/>
                <w:spacing w:val="-1"/>
                <w:sz w:val="20"/>
                <w:u w:val="thick" w:color="000000"/>
              </w:rPr>
              <w:t>300,588,388</w:t>
            </w:r>
            <w:r>
              <w:rPr>
                <w:rFonts w:ascii="Arial"/>
                <w:spacing w:val="-1"/>
                <w:sz w:val="20"/>
              </w:rPr>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329,205,411</w:t>
            </w:r>
            <w:r>
              <w:rPr>
                <w:rFonts w:ascii="Arial"/>
                <w:spacing w:val="-1"/>
                <w:sz w:val="20"/>
              </w:rPr>
            </w:r>
          </w:p>
        </w:tc>
      </w:tr>
      <w:tr>
        <w:trPr>
          <w:trHeight w:val="1227" w:hRule="exact"/>
        </w:trPr>
        <w:tc>
          <w:tcPr>
            <w:tcW w:w="4487" w:type="dxa"/>
            <w:tcBorders>
              <w:top w:val="nil" w:sz="6" w:space="0" w:color="auto"/>
              <w:left w:val="nil" w:sz="6" w:space="0" w:color="auto"/>
              <w:bottom w:val="nil" w:sz="6" w:space="0" w:color="auto"/>
              <w:right w:val="nil" w:sz="6" w:space="0" w:color="auto"/>
            </w:tcBorders>
          </w:tcPr>
          <w:p>
            <w:pPr>
              <w:pStyle w:val="TableParagraph"/>
              <w:spacing w:line="260" w:lineRule="exact" w:before="104"/>
              <w:ind w:left="749" w:right="689"/>
              <w:jc w:val="left"/>
              <w:rPr>
                <w:rFonts w:ascii="黑体" w:hAnsi="黑体" w:cs="黑体" w:eastAsia="黑体" w:hint="default"/>
                <w:sz w:val="20"/>
                <w:szCs w:val="20"/>
              </w:rPr>
            </w:pPr>
            <w:r>
              <w:rPr>
                <w:rFonts w:ascii="黑体" w:hAnsi="黑体" w:cs="黑体" w:eastAsia="黑体" w:hint="default"/>
                <w:spacing w:val="-1"/>
                <w:sz w:val="20"/>
                <w:szCs w:val="20"/>
              </w:rPr>
              <w:t>注</w:t>
            </w:r>
            <w:r>
              <w:rPr>
                <w:rFonts w:ascii="Arial" w:hAnsi="Arial" w:cs="Arial" w:eastAsia="Arial" w:hint="default"/>
                <w:spacing w:val="-1"/>
                <w:sz w:val="20"/>
                <w:szCs w:val="20"/>
              </w:rPr>
              <w:t>1</w:t>
            </w:r>
            <w:r>
              <w:rPr>
                <w:rFonts w:ascii="黑体" w:hAnsi="黑体" w:cs="黑体" w:eastAsia="黑体" w:hint="default"/>
                <w:spacing w:val="-1"/>
                <w:sz w:val="20"/>
                <w:szCs w:val="20"/>
              </w:rPr>
              <w:t>．详情参见附注五、</w:t>
            </w:r>
            <w:r>
              <w:rPr>
                <w:rFonts w:ascii="Arial" w:hAnsi="Arial" w:cs="Arial" w:eastAsia="Arial" w:hint="default"/>
                <w:spacing w:val="-1"/>
                <w:sz w:val="20"/>
                <w:szCs w:val="20"/>
              </w:rPr>
              <w:t>25</w:t>
            </w:r>
            <w:r>
              <w:rPr>
                <w:rFonts w:ascii="黑体" w:hAnsi="黑体" w:cs="黑体" w:eastAsia="黑体" w:hint="default"/>
                <w:spacing w:val="-1"/>
                <w:sz w:val="20"/>
                <w:szCs w:val="20"/>
              </w:rPr>
              <w:t>、注</w:t>
            </w:r>
            <w:r>
              <w:rPr>
                <w:rFonts w:ascii="Arial" w:hAnsi="Arial" w:cs="Arial" w:eastAsia="Arial" w:hint="default"/>
                <w:spacing w:val="-1"/>
                <w:sz w:val="20"/>
                <w:szCs w:val="20"/>
              </w:rPr>
              <w:t>1</w:t>
            </w:r>
            <w:r>
              <w:rPr>
                <w:rFonts w:ascii="黑体" w:hAnsi="黑体" w:cs="黑体" w:eastAsia="黑体" w:hint="default"/>
                <w:spacing w:val="-1"/>
                <w:sz w:val="20"/>
                <w:szCs w:val="20"/>
              </w:rPr>
              <w:t>。</w:t>
            </w:r>
            <w:r>
              <w:rPr>
                <w:rFonts w:ascii="黑体" w:hAnsi="黑体" w:cs="黑体" w:eastAsia="黑体" w:hint="default"/>
                <w:spacing w:val="-85"/>
                <w:sz w:val="20"/>
                <w:szCs w:val="20"/>
              </w:rPr>
              <w:t> </w:t>
            </w:r>
            <w:r>
              <w:rPr>
                <w:rFonts w:ascii="黑体" w:hAnsi="黑体" w:cs="黑体" w:eastAsia="黑体" w:hint="default"/>
                <w:sz w:val="20"/>
                <w:szCs w:val="20"/>
              </w:rPr>
              <w:t>注</w:t>
            </w:r>
            <w:r>
              <w:rPr>
                <w:rFonts w:ascii="Arial" w:hAnsi="Arial" w:cs="Arial" w:eastAsia="Arial" w:hint="default"/>
                <w:sz w:val="20"/>
                <w:szCs w:val="20"/>
              </w:rPr>
              <w:t>2</w:t>
            </w:r>
            <w:r>
              <w:rPr>
                <w:rFonts w:ascii="黑体" w:hAnsi="黑体" w:cs="黑体" w:eastAsia="黑体" w:hint="default"/>
                <w:sz w:val="20"/>
                <w:szCs w:val="20"/>
              </w:rPr>
              <w:t>．详情参见附注五、</w:t>
            </w:r>
            <w:r>
              <w:rPr>
                <w:rFonts w:ascii="Arial" w:hAnsi="Arial" w:cs="Arial" w:eastAsia="Arial" w:hint="default"/>
                <w:sz w:val="20"/>
                <w:szCs w:val="20"/>
              </w:rPr>
              <w:t>14</w:t>
            </w:r>
            <w:r>
              <w:rPr>
                <w:rFonts w:ascii="黑体" w:hAnsi="黑体" w:cs="黑体" w:eastAsia="黑体" w:hint="default"/>
                <w:sz w:val="20"/>
                <w:szCs w:val="20"/>
              </w:rPr>
              <w:t>。</w:t>
            </w:r>
            <w:r>
              <w:rPr>
                <w:rFonts w:ascii="黑体" w:hAnsi="黑体" w:cs="黑体" w:eastAsia="黑体" w:hint="default"/>
                <w:w w:val="100"/>
                <w:sz w:val="20"/>
                <w:szCs w:val="20"/>
              </w:rPr>
              <w:t> </w:t>
            </w:r>
            <w:r>
              <w:rPr>
                <w:rFonts w:ascii="黑体" w:hAnsi="黑体" w:cs="黑体" w:eastAsia="黑体" w:hint="default"/>
                <w:spacing w:val="-1"/>
                <w:sz w:val="20"/>
                <w:szCs w:val="20"/>
              </w:rPr>
              <w:t>注</w:t>
            </w:r>
            <w:r>
              <w:rPr>
                <w:rFonts w:ascii="Arial" w:hAnsi="Arial" w:cs="Arial" w:eastAsia="Arial" w:hint="default"/>
                <w:spacing w:val="-1"/>
                <w:sz w:val="20"/>
                <w:szCs w:val="20"/>
              </w:rPr>
              <w:t>3</w:t>
            </w:r>
            <w:r>
              <w:rPr>
                <w:rFonts w:ascii="黑体" w:hAnsi="黑体" w:cs="黑体" w:eastAsia="黑体" w:hint="default"/>
                <w:spacing w:val="-1"/>
                <w:sz w:val="20"/>
                <w:szCs w:val="20"/>
              </w:rPr>
              <w:t>．详情参见附注五、</w:t>
            </w:r>
            <w:r>
              <w:rPr>
                <w:rFonts w:ascii="Arial" w:hAnsi="Arial" w:cs="Arial" w:eastAsia="Arial" w:hint="default"/>
                <w:spacing w:val="-1"/>
                <w:sz w:val="20"/>
                <w:szCs w:val="20"/>
              </w:rPr>
              <w:t>25</w:t>
            </w:r>
            <w:r>
              <w:rPr>
                <w:rFonts w:ascii="黑体" w:hAnsi="黑体" w:cs="黑体" w:eastAsia="黑体" w:hint="default"/>
                <w:spacing w:val="-1"/>
                <w:sz w:val="20"/>
                <w:szCs w:val="20"/>
              </w:rPr>
              <w:t>、注</w:t>
            </w:r>
            <w:r>
              <w:rPr>
                <w:rFonts w:ascii="Arial" w:hAnsi="Arial" w:cs="Arial" w:eastAsia="Arial" w:hint="default"/>
                <w:spacing w:val="-1"/>
                <w:sz w:val="20"/>
                <w:szCs w:val="20"/>
              </w:rPr>
              <w:t>3</w:t>
            </w:r>
            <w:r>
              <w:rPr>
                <w:rFonts w:ascii="黑体" w:hAnsi="黑体" w:cs="黑体" w:eastAsia="黑体" w:hint="default"/>
                <w:spacing w:val="-1"/>
                <w:sz w:val="20"/>
                <w:szCs w:val="20"/>
              </w:rPr>
              <w:t>。</w:t>
            </w:r>
            <w:r>
              <w:rPr>
                <w:rFonts w:ascii="黑体" w:hAnsi="黑体" w:cs="黑体" w:eastAsia="黑体" w:hint="default"/>
                <w:spacing w:val="-85"/>
                <w:sz w:val="20"/>
                <w:szCs w:val="20"/>
              </w:rPr>
              <w:t> </w:t>
            </w:r>
            <w:r>
              <w:rPr>
                <w:rFonts w:ascii="黑体" w:hAnsi="黑体" w:cs="黑体" w:eastAsia="黑体" w:hint="default"/>
                <w:sz w:val="20"/>
                <w:szCs w:val="20"/>
              </w:rPr>
              <w:t>注</w:t>
            </w:r>
            <w:r>
              <w:rPr>
                <w:rFonts w:ascii="Arial" w:hAnsi="Arial" w:cs="Arial" w:eastAsia="Arial" w:hint="default"/>
                <w:sz w:val="20"/>
                <w:szCs w:val="20"/>
              </w:rPr>
              <w:t>4.</w:t>
            </w:r>
            <w:r>
              <w:rPr>
                <w:rFonts w:ascii="Arial" w:hAnsi="Arial" w:cs="Arial" w:eastAsia="Arial" w:hint="default"/>
                <w:spacing w:val="43"/>
                <w:sz w:val="20"/>
                <w:szCs w:val="20"/>
              </w:rPr>
              <w:t> </w:t>
            </w:r>
            <w:r>
              <w:rPr>
                <w:rFonts w:ascii="黑体" w:hAnsi="黑体" w:cs="黑体" w:eastAsia="黑体" w:hint="default"/>
                <w:sz w:val="20"/>
                <w:szCs w:val="20"/>
              </w:rPr>
              <w:t>详情参见附注五、</w:t>
            </w:r>
            <w:r>
              <w:rPr>
                <w:rFonts w:ascii="Arial" w:hAnsi="Arial" w:cs="Arial" w:eastAsia="Arial" w:hint="default"/>
                <w:sz w:val="20"/>
                <w:szCs w:val="20"/>
              </w:rPr>
              <w:t>25</w:t>
            </w:r>
            <w:r>
              <w:rPr>
                <w:rFonts w:ascii="黑体" w:hAnsi="黑体" w:cs="黑体" w:eastAsia="黑体" w:hint="default"/>
                <w:sz w:val="20"/>
                <w:szCs w:val="20"/>
              </w:rPr>
              <w:t>、注</w:t>
            </w:r>
            <w:r>
              <w:rPr>
                <w:rFonts w:ascii="Arial" w:hAnsi="Arial" w:cs="Arial" w:eastAsia="Arial" w:hint="default"/>
                <w:sz w:val="20"/>
                <w:szCs w:val="20"/>
              </w:rPr>
              <w:t>4</w:t>
            </w:r>
            <w:r>
              <w:rPr>
                <w:rFonts w:ascii="黑体" w:hAnsi="黑体" w:cs="黑体" w:eastAsia="黑体" w:hint="default"/>
                <w:sz w:val="20"/>
                <w:szCs w:val="20"/>
              </w:rPr>
              <w:t>。</w:t>
            </w:r>
          </w:p>
        </w:tc>
        <w:tc>
          <w:tcPr>
            <w:tcW w:w="2366"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nil" w:sz="6" w:space="0" w:color="auto"/>
            </w:tcBorders>
          </w:tcPr>
          <w:p>
            <w:pPr/>
          </w:p>
        </w:tc>
      </w:tr>
    </w:tbl>
    <w:p>
      <w:pPr>
        <w:spacing w:line="240" w:lineRule="auto" w:before="2"/>
        <w:rPr>
          <w:rFonts w:ascii="黑体" w:hAnsi="黑体" w:cs="黑体" w:eastAsia="黑体" w:hint="default"/>
          <w:b/>
          <w:bCs/>
          <w:sz w:val="6"/>
          <w:szCs w:val="6"/>
        </w:rPr>
      </w:pPr>
    </w:p>
    <w:p>
      <w:pPr>
        <w:pStyle w:val="BodyText"/>
        <w:spacing w:line="268" w:lineRule="exact" w:before="38"/>
        <w:ind w:left="855" w:right="1058"/>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日，本账户余额中并无持本公司</w:t>
      </w:r>
      <w:r>
        <w:rPr>
          <w:rFonts w:ascii="Arial" w:hAnsi="Arial" w:cs="Arial" w:eastAsia="Arial" w:hint="default"/>
        </w:rPr>
        <w:t>5%</w:t>
      </w:r>
      <w:r>
        <w:rPr/>
        <w:t>或以上表决权股份的股东单位的款项</w:t>
      </w:r>
    </w:p>
    <w:p>
      <w:pPr>
        <w:pStyle w:val="BodyText"/>
        <w:spacing w:line="268" w:lineRule="exact"/>
        <w:ind w:left="855" w:right="1058"/>
        <w:jc w:val="left"/>
      </w:pP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日：无</w:t>
      </w:r>
      <w:r>
        <w:rPr>
          <w:rFonts w:ascii="Arial" w:hAnsi="Arial" w:cs="Arial" w:eastAsia="Arial" w:hint="default"/>
        </w:rPr>
        <w:t>)</w:t>
      </w:r>
      <w:r>
        <w:rPr/>
        <w:t>。</w:t>
      </w:r>
    </w:p>
    <w:p>
      <w:pPr>
        <w:spacing w:after="0" w:line="268" w:lineRule="exact"/>
        <w:jc w:val="left"/>
        <w:sectPr>
          <w:pgSz w:w="11910" w:h="16840"/>
          <w:pgMar w:header="958" w:footer="466" w:top="2560" w:bottom="660" w:left="1560" w:right="0"/>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5"/>
          <w:szCs w:val="15"/>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61" w:val="left" w:leader="none"/>
        </w:tabs>
        <w:spacing w:before="0"/>
        <w:ind w:left="141" w:right="1058" w:firstLine="0"/>
        <w:jc w:val="left"/>
        <w:rPr>
          <w:rFonts w:ascii="黑体" w:hAnsi="黑体" w:cs="黑体" w:eastAsia="黑体" w:hint="default"/>
          <w:sz w:val="20"/>
          <w:szCs w:val="20"/>
        </w:rPr>
      </w:pPr>
      <w:r>
        <w:rPr>
          <w:rFonts w:ascii="Arial" w:hAnsi="Arial" w:cs="Arial" w:eastAsia="Arial" w:hint="default"/>
          <w:b/>
          <w:bCs/>
          <w:spacing w:val="-1"/>
          <w:sz w:val="20"/>
          <w:szCs w:val="20"/>
        </w:rPr>
        <w:t>20.</w:t>
        <w:tab/>
      </w:r>
      <w:r>
        <w:rPr>
          <w:rFonts w:ascii="黑体" w:hAnsi="黑体" w:cs="黑体" w:eastAsia="黑体" w:hint="default"/>
          <w:b/>
          <w:bCs/>
          <w:sz w:val="20"/>
          <w:szCs w:val="20"/>
        </w:rPr>
        <w:t>其他应付款（续）</w:t>
      </w:r>
      <w:r>
        <w:rPr>
          <w:rFonts w:ascii="黑体" w:hAnsi="黑体" w:cs="黑体" w:eastAsia="黑体" w:hint="default"/>
          <w:sz w:val="20"/>
          <w:szCs w:val="20"/>
        </w:rPr>
      </w:r>
    </w:p>
    <w:p>
      <w:pPr>
        <w:spacing w:line="240" w:lineRule="auto" w:before="4"/>
        <w:rPr>
          <w:rFonts w:ascii="黑体" w:hAnsi="黑体" w:cs="黑体" w:eastAsia="黑体" w:hint="default"/>
          <w:b/>
          <w:bCs/>
          <w:sz w:val="16"/>
          <w:szCs w:val="16"/>
        </w:rPr>
      </w:pPr>
    </w:p>
    <w:p>
      <w:pPr>
        <w:pStyle w:val="BodyText"/>
        <w:spacing w:line="240" w:lineRule="auto"/>
        <w:ind w:left="855" w:right="1058"/>
        <w:jc w:val="left"/>
      </w:pPr>
      <w:r>
        <w:rPr/>
        <w:t>应付关联方款项如下：</w:t>
      </w:r>
    </w:p>
    <w:p>
      <w:pPr>
        <w:spacing w:line="240" w:lineRule="auto" w:before="6"/>
        <w:rPr>
          <w:rFonts w:ascii="黑体" w:hAnsi="黑体" w:cs="黑体" w:eastAsia="黑体" w:hint="default"/>
          <w:sz w:val="14"/>
          <w:szCs w:val="14"/>
        </w:rPr>
      </w:pPr>
    </w:p>
    <w:p>
      <w:pPr>
        <w:pStyle w:val="BodyText"/>
        <w:tabs>
          <w:tab w:pos="7150" w:val="left" w:leader="none"/>
        </w:tabs>
        <w:spacing w:line="240" w:lineRule="auto" w:before="38"/>
        <w:ind w:left="4742" w:right="1058"/>
        <w:jc w:val="left"/>
      </w:pP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tab/>
      </w:r>
      <w:r>
        <w:rPr>
          <w:rFonts w:ascii="Arial" w:hAnsi="Arial" w:cs="Arial" w:eastAsia="Arial" w:hint="default"/>
          <w:spacing w:val="-1"/>
        </w:rPr>
        <w:t>2008</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r>
    </w:p>
    <w:p>
      <w:pPr>
        <w:spacing w:line="240" w:lineRule="auto" w:before="4"/>
        <w:rPr>
          <w:rFonts w:ascii="黑体" w:hAnsi="黑体" w:cs="黑体" w:eastAsia="黑体" w:hint="default"/>
          <w:sz w:val="16"/>
          <w:szCs w:val="16"/>
        </w:rPr>
      </w:pPr>
    </w:p>
    <w:p>
      <w:pPr>
        <w:pStyle w:val="BodyText"/>
        <w:spacing w:line="260" w:lineRule="exact"/>
        <w:ind w:left="856" w:right="1058"/>
        <w:jc w:val="left"/>
      </w:pPr>
      <w:r>
        <w:rPr/>
        <w:t>联营企业</w:t>
      </w:r>
    </w:p>
    <w:p>
      <w:pPr>
        <w:pStyle w:val="BodyText"/>
        <w:tabs>
          <w:tab w:pos="5496" w:val="left" w:leader="none"/>
          <w:tab w:pos="8016" w:val="left" w:leader="none"/>
        </w:tabs>
        <w:spacing w:line="275" w:lineRule="exact"/>
        <w:ind w:left="1065" w:right="1058"/>
        <w:jc w:val="left"/>
        <w:rPr>
          <w:rFonts w:ascii="Arial" w:hAnsi="Arial" w:cs="Arial" w:eastAsia="Arial" w:hint="default"/>
        </w:rPr>
      </w:pPr>
      <w:r>
        <w:rPr/>
        <w:t>用友致远</w:t>
        <w:tab/>
      </w:r>
      <w:r>
        <w:rPr>
          <w:rFonts w:ascii="Arial" w:hAnsi="Arial" w:cs="Arial" w:eastAsia="Arial" w:hint="default"/>
        </w:rPr>
        <w:t>202,513</w:t>
        <w:tab/>
        <w:t>15,000</w:t>
      </w:r>
    </w:p>
    <w:p>
      <w:pPr>
        <w:spacing w:line="240" w:lineRule="auto" w:before="7"/>
        <w:rPr>
          <w:rFonts w:ascii="Arial" w:hAnsi="Arial" w:cs="Arial" w:eastAsia="Arial" w:hint="default"/>
          <w:sz w:val="18"/>
          <w:szCs w:val="18"/>
        </w:rPr>
      </w:pPr>
    </w:p>
    <w:p>
      <w:pPr>
        <w:pStyle w:val="BodyText"/>
        <w:spacing w:line="240" w:lineRule="auto"/>
        <w:ind w:left="855" w:right="1058"/>
        <w:jc w:val="left"/>
      </w:pPr>
      <w:r>
        <w:rPr/>
        <w:t>子公司</w:t>
      </w:r>
    </w:p>
    <w:p>
      <w:pPr>
        <w:spacing w:line="240" w:lineRule="auto" w:before="1"/>
        <w:rPr>
          <w:rFonts w:ascii="黑体" w:hAnsi="黑体" w:cs="黑体" w:eastAsia="黑体" w:hint="default"/>
          <w:sz w:val="3"/>
          <w:szCs w:val="3"/>
        </w:rPr>
      </w:pPr>
    </w:p>
    <w:tbl>
      <w:tblPr>
        <w:tblW w:w="0" w:type="auto"/>
        <w:jc w:val="left"/>
        <w:tblInd w:w="1016" w:type="dxa"/>
        <w:tblLayout w:type="fixed"/>
        <w:tblCellMar>
          <w:top w:w="0" w:type="dxa"/>
          <w:left w:w="0" w:type="dxa"/>
          <w:bottom w:w="0" w:type="dxa"/>
          <w:right w:w="0" w:type="dxa"/>
        </w:tblCellMar>
        <w:tblLook w:val="01E0"/>
      </w:tblPr>
      <w:tblGrid>
        <w:gridCol w:w="2619"/>
        <w:gridCol w:w="3289"/>
        <w:gridCol w:w="1740"/>
      </w:tblGrid>
      <w:tr>
        <w:trPr>
          <w:trHeight w:val="252" w:hRule="exact"/>
        </w:trPr>
        <w:tc>
          <w:tcPr>
            <w:tcW w:w="2619" w:type="dxa"/>
            <w:tcBorders>
              <w:top w:val="nil" w:sz="6" w:space="0" w:color="auto"/>
              <w:left w:val="nil" w:sz="6" w:space="0" w:color="auto"/>
              <w:bottom w:val="nil" w:sz="6" w:space="0" w:color="auto"/>
              <w:right w:val="nil" w:sz="6" w:space="0" w:color="auto"/>
            </w:tcBorders>
          </w:tcPr>
          <w:p>
            <w:pPr>
              <w:pStyle w:val="TableParagraph"/>
              <w:spacing w:line="219"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用友金融</w:t>
            </w:r>
          </w:p>
        </w:tc>
        <w:tc>
          <w:tcPr>
            <w:tcW w:w="328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701"/>
              <w:jc w:val="right"/>
              <w:rPr>
                <w:rFonts w:ascii="Arial" w:hAnsi="Arial" w:cs="Arial" w:eastAsia="Arial" w:hint="default"/>
                <w:sz w:val="20"/>
                <w:szCs w:val="20"/>
              </w:rPr>
            </w:pPr>
            <w:r>
              <w:rPr>
                <w:rFonts w:ascii="Arial"/>
                <w:spacing w:val="-1"/>
                <w:sz w:val="20"/>
              </w:rPr>
              <w:t>23,000,000</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3"/>
              <w:jc w:val="right"/>
              <w:rPr>
                <w:rFonts w:ascii="Arial" w:hAnsi="Arial" w:cs="Arial" w:eastAsia="Arial" w:hint="default"/>
                <w:sz w:val="20"/>
                <w:szCs w:val="20"/>
              </w:rPr>
            </w:pPr>
            <w:r>
              <w:rPr>
                <w:rFonts w:ascii="Arial"/>
                <w:spacing w:val="-1"/>
                <w:sz w:val="20"/>
              </w:rPr>
              <w:t>23,000,000</w:t>
            </w:r>
          </w:p>
        </w:tc>
      </w:tr>
      <w:tr>
        <w:trPr>
          <w:trHeight w:val="259" w:hRule="exact"/>
        </w:trPr>
        <w:tc>
          <w:tcPr>
            <w:tcW w:w="2619"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深圳灏麓梵</w:t>
            </w:r>
          </w:p>
        </w:tc>
        <w:tc>
          <w:tcPr>
            <w:tcW w:w="32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701"/>
              <w:jc w:val="right"/>
              <w:rPr>
                <w:rFonts w:ascii="Arial" w:hAnsi="Arial" w:cs="Arial" w:eastAsia="Arial" w:hint="default"/>
                <w:sz w:val="20"/>
                <w:szCs w:val="20"/>
              </w:rPr>
            </w:pPr>
            <w:r>
              <w:rPr>
                <w:rFonts w:ascii="Arial"/>
                <w:sz w:val="20"/>
              </w:rPr>
              <w:t>1,000,000</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1,000,000</w:t>
            </w:r>
          </w:p>
        </w:tc>
      </w:tr>
      <w:tr>
        <w:trPr>
          <w:trHeight w:val="259" w:hRule="exact"/>
        </w:trPr>
        <w:tc>
          <w:tcPr>
            <w:tcW w:w="2619"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天津用友</w:t>
            </w:r>
          </w:p>
        </w:tc>
        <w:tc>
          <w:tcPr>
            <w:tcW w:w="32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701"/>
              <w:jc w:val="right"/>
              <w:rPr>
                <w:rFonts w:ascii="Arial" w:hAnsi="Arial" w:cs="Arial" w:eastAsia="Arial" w:hint="default"/>
                <w:sz w:val="20"/>
                <w:szCs w:val="20"/>
              </w:rPr>
            </w:pPr>
            <w:r>
              <w:rPr>
                <w:rFonts w:ascii="Arial"/>
                <w:sz w:val="20"/>
              </w:rPr>
              <w:t>223,473</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305,178</w:t>
            </w:r>
          </w:p>
        </w:tc>
      </w:tr>
      <w:tr>
        <w:trPr>
          <w:trHeight w:val="259" w:hRule="exact"/>
        </w:trPr>
        <w:tc>
          <w:tcPr>
            <w:tcW w:w="2619"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用友烟草</w:t>
            </w:r>
          </w:p>
        </w:tc>
        <w:tc>
          <w:tcPr>
            <w:tcW w:w="32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701"/>
              <w:jc w:val="right"/>
              <w:rPr>
                <w:rFonts w:ascii="Arial" w:hAnsi="Arial" w:cs="Arial" w:eastAsia="Arial" w:hint="default"/>
                <w:sz w:val="20"/>
                <w:szCs w:val="20"/>
              </w:rPr>
            </w:pPr>
            <w:r>
              <w:rPr>
                <w:rFonts w:ascii="Arial"/>
                <w:sz w:val="20"/>
              </w:rPr>
              <w:t>10,000</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w:t>
            </w:r>
          </w:p>
        </w:tc>
      </w:tr>
      <w:tr>
        <w:trPr>
          <w:trHeight w:val="333" w:hRule="exact"/>
        </w:trPr>
        <w:tc>
          <w:tcPr>
            <w:tcW w:w="2619"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用友艾福斯</w:t>
            </w:r>
          </w:p>
        </w:tc>
        <w:tc>
          <w:tcPr>
            <w:tcW w:w="32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701"/>
              <w:jc w:val="right"/>
              <w:rPr>
                <w:rFonts w:ascii="Arial" w:hAnsi="Arial" w:cs="Arial" w:eastAsia="Arial" w:hint="default"/>
                <w:sz w:val="20"/>
                <w:szCs w:val="20"/>
              </w:rPr>
            </w:pPr>
            <w:r>
              <w:rPr>
                <w:rFonts w:ascii="Arial"/>
                <w:sz w:val="20"/>
              </w:rPr>
              <w:t>5,000</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w:t>
            </w:r>
          </w:p>
        </w:tc>
      </w:tr>
    </w:tbl>
    <w:p>
      <w:pPr>
        <w:spacing w:line="240" w:lineRule="auto" w:before="3"/>
        <w:rPr>
          <w:rFonts w:ascii="黑体" w:hAnsi="黑体" w:cs="黑体" w:eastAsia="黑体" w:hint="default"/>
          <w:sz w:val="6"/>
          <w:szCs w:val="6"/>
        </w:rPr>
      </w:pPr>
    </w:p>
    <w:p>
      <w:pPr>
        <w:pStyle w:val="BodyText"/>
        <w:spacing w:line="240" w:lineRule="auto" w:before="38"/>
        <w:ind w:left="850" w:right="1058"/>
        <w:jc w:val="left"/>
      </w:pPr>
      <w:r>
        <w:rPr/>
        <w:t>董事、监事及关键管理人员</w:t>
      </w:r>
    </w:p>
    <w:p>
      <w:pPr>
        <w:spacing w:line="240" w:lineRule="auto" w:before="1"/>
        <w:rPr>
          <w:rFonts w:ascii="黑体" w:hAnsi="黑体" w:cs="黑体" w:eastAsia="黑体" w:hint="default"/>
          <w:sz w:val="3"/>
          <w:szCs w:val="3"/>
        </w:rPr>
      </w:pPr>
    </w:p>
    <w:tbl>
      <w:tblPr>
        <w:tblW w:w="0" w:type="auto"/>
        <w:jc w:val="left"/>
        <w:tblInd w:w="1014" w:type="dxa"/>
        <w:tblLayout w:type="fixed"/>
        <w:tblCellMar>
          <w:top w:w="0" w:type="dxa"/>
          <w:left w:w="0" w:type="dxa"/>
          <w:bottom w:w="0" w:type="dxa"/>
          <w:right w:w="0" w:type="dxa"/>
        </w:tblCellMar>
        <w:tblLook w:val="01E0"/>
      </w:tblPr>
      <w:tblGrid>
        <w:gridCol w:w="2418"/>
        <w:gridCol w:w="3491"/>
        <w:gridCol w:w="1741"/>
      </w:tblGrid>
      <w:tr>
        <w:trPr>
          <w:trHeight w:val="252"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19" w:lineRule="exact"/>
              <w:ind w:left="35" w:right="0"/>
              <w:jc w:val="left"/>
              <w:rPr>
                <w:rFonts w:ascii="黑体" w:hAnsi="黑体" w:cs="黑体" w:eastAsia="黑体" w:hint="default"/>
                <w:sz w:val="20"/>
                <w:szCs w:val="20"/>
              </w:rPr>
            </w:pPr>
            <w:r>
              <w:rPr>
                <w:rFonts w:ascii="黑体" w:hAnsi="黑体" w:cs="黑体" w:eastAsia="黑体" w:hint="default"/>
                <w:sz w:val="20"/>
                <w:szCs w:val="20"/>
              </w:rPr>
              <w:t>黄义璋</w:t>
            </w:r>
          </w:p>
        </w:tc>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701"/>
              <w:jc w:val="right"/>
              <w:rPr>
                <w:rFonts w:ascii="Arial" w:hAnsi="Arial" w:cs="Arial" w:eastAsia="Arial" w:hint="default"/>
                <w:sz w:val="20"/>
                <w:szCs w:val="20"/>
              </w:rPr>
            </w:pPr>
            <w:r>
              <w:rPr>
                <w:rFonts w:ascii="Arial"/>
                <w:sz w:val="20"/>
              </w:rPr>
              <w:t>33,145</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3"/>
              <w:jc w:val="right"/>
              <w:rPr>
                <w:rFonts w:ascii="Arial" w:hAnsi="Arial" w:cs="Arial" w:eastAsia="Arial" w:hint="default"/>
                <w:sz w:val="20"/>
                <w:szCs w:val="20"/>
              </w:rPr>
            </w:pPr>
            <w:r>
              <w:rPr>
                <w:rFonts w:ascii="Arial"/>
                <w:w w:val="100"/>
                <w:sz w:val="20"/>
              </w:rPr>
              <w:t>-</w:t>
            </w:r>
          </w:p>
        </w:tc>
      </w:tr>
      <w:tr>
        <w:trPr>
          <w:trHeight w:val="26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吴健</w:t>
            </w:r>
          </w:p>
        </w:tc>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701"/>
              <w:jc w:val="right"/>
              <w:rPr>
                <w:rFonts w:ascii="Arial" w:hAnsi="Arial" w:cs="Arial" w:eastAsia="Arial" w:hint="default"/>
                <w:sz w:val="20"/>
                <w:szCs w:val="20"/>
              </w:rPr>
            </w:pPr>
            <w:r>
              <w:rPr>
                <w:rFonts w:ascii="Arial"/>
                <w:sz w:val="20"/>
              </w:rPr>
              <w:t>264,178</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269,018</w:t>
            </w:r>
          </w:p>
        </w:tc>
      </w:tr>
      <w:tr>
        <w:trPr>
          <w:trHeight w:val="26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27" w:lineRule="exact"/>
              <w:ind w:left="35" w:right="0"/>
              <w:jc w:val="left"/>
              <w:rPr>
                <w:rFonts w:ascii="黑体" w:hAnsi="黑体" w:cs="黑体" w:eastAsia="黑体" w:hint="default"/>
                <w:sz w:val="20"/>
                <w:szCs w:val="20"/>
              </w:rPr>
            </w:pPr>
            <w:r>
              <w:rPr>
                <w:rFonts w:ascii="黑体" w:hAnsi="黑体" w:cs="黑体" w:eastAsia="黑体" w:hint="default"/>
                <w:sz w:val="20"/>
                <w:szCs w:val="20"/>
              </w:rPr>
              <w:t>王文京</w:t>
            </w:r>
          </w:p>
        </w:tc>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701"/>
              <w:jc w:val="right"/>
              <w:rPr>
                <w:rFonts w:ascii="Arial" w:hAnsi="Arial" w:cs="Arial" w:eastAsia="Arial" w:hint="default"/>
                <w:sz w:val="20"/>
                <w:szCs w:val="20"/>
              </w:rPr>
            </w:pPr>
            <w:r>
              <w:rPr>
                <w:rFonts w:ascii="Arial"/>
                <w:w w:val="100"/>
                <w:sz w:val="20"/>
              </w:rPr>
              <w:t>-</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25,850</w:t>
            </w:r>
          </w:p>
        </w:tc>
      </w:tr>
      <w:tr>
        <w:trPr>
          <w:trHeight w:val="259"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欧阳青</w:t>
            </w:r>
          </w:p>
        </w:tc>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701"/>
              <w:jc w:val="right"/>
              <w:rPr>
                <w:rFonts w:ascii="Arial" w:hAnsi="Arial" w:cs="Arial" w:eastAsia="Arial" w:hint="default"/>
                <w:sz w:val="20"/>
                <w:szCs w:val="20"/>
              </w:rPr>
            </w:pPr>
            <w:r>
              <w:rPr>
                <w:rFonts w:ascii="Arial"/>
                <w:w w:val="100"/>
                <w:sz w:val="20"/>
              </w:rPr>
              <w:t>-</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18,608</w:t>
            </w:r>
          </w:p>
        </w:tc>
      </w:tr>
      <w:tr>
        <w:trPr>
          <w:trHeight w:val="376"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郭延生</w:t>
            </w:r>
          </w:p>
        </w:tc>
        <w:tc>
          <w:tcPr>
            <w:tcW w:w="3491" w:type="dxa"/>
            <w:tcBorders>
              <w:top w:val="nil" w:sz="6" w:space="0" w:color="auto"/>
              <w:left w:val="nil" w:sz="6" w:space="0" w:color="auto"/>
              <w:bottom w:val="nil" w:sz="6" w:space="0" w:color="auto"/>
              <w:right w:val="nil" w:sz="6" w:space="0" w:color="auto"/>
            </w:tcBorders>
          </w:tcPr>
          <w:p>
            <w:pPr>
              <w:pStyle w:val="TableParagraph"/>
              <w:tabs>
                <w:tab w:pos="938" w:val="left" w:leader="none"/>
              </w:tabs>
              <w:spacing w:line="240" w:lineRule="auto" w:before="8"/>
              <w:ind w:right="70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741" w:type="dxa"/>
            <w:tcBorders>
              <w:top w:val="nil" w:sz="6" w:space="0" w:color="auto"/>
              <w:left w:val="nil" w:sz="6" w:space="0" w:color="auto"/>
              <w:bottom w:val="nil" w:sz="6" w:space="0" w:color="auto"/>
              <w:right w:val="nil" w:sz="6" w:space="0" w:color="auto"/>
            </w:tcBorders>
          </w:tcPr>
          <w:p>
            <w:pPr>
              <w:pStyle w:val="TableParagraph"/>
              <w:tabs>
                <w:tab w:pos="499" w:val="left" w:leader="none"/>
              </w:tabs>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2,000</w:t>
            </w:r>
            <w:r>
              <w:rPr>
                <w:rFonts w:ascii="Arial"/>
                <w:sz w:val="20"/>
              </w:rPr>
            </w:r>
          </w:p>
        </w:tc>
      </w:tr>
      <w:tr>
        <w:trPr>
          <w:trHeight w:val="442" w:hRule="exact"/>
        </w:trPr>
        <w:tc>
          <w:tcPr>
            <w:tcW w:w="2418" w:type="dxa"/>
            <w:tcBorders>
              <w:top w:val="nil" w:sz="6" w:space="0" w:color="auto"/>
              <w:left w:val="nil" w:sz="6" w:space="0" w:color="auto"/>
              <w:bottom w:val="nil" w:sz="6" w:space="0" w:color="auto"/>
              <w:right w:val="nil" w:sz="6" w:space="0" w:color="auto"/>
            </w:tcBorders>
          </w:tcPr>
          <w:p>
            <w:pPr/>
          </w:p>
        </w:tc>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701"/>
              <w:jc w:val="right"/>
              <w:rPr>
                <w:rFonts w:ascii="Arial" w:hAnsi="Arial" w:cs="Arial" w:eastAsia="Arial" w:hint="default"/>
                <w:sz w:val="20"/>
                <w:szCs w:val="20"/>
              </w:rPr>
            </w:pPr>
            <w:r>
              <w:rPr>
                <w:rFonts w:ascii="Arial"/>
                <w:w w:val="100"/>
                <w:sz w:val="20"/>
              </w:rPr>
            </w:r>
            <w:r>
              <w:rPr>
                <w:rFonts w:ascii="Arial"/>
                <w:spacing w:val="-1"/>
                <w:sz w:val="20"/>
                <w:u w:val="thick" w:color="000000"/>
              </w:rPr>
              <w:t>24,738,309</w:t>
            </w:r>
            <w:r>
              <w:rPr>
                <w:rFonts w:ascii="Arial"/>
                <w:spacing w:val="-1"/>
                <w:sz w:val="20"/>
              </w:rPr>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24,635,654</w:t>
            </w:r>
            <w:r>
              <w:rPr>
                <w:rFonts w:ascii="Arial"/>
                <w:spacing w:val="-1"/>
                <w:sz w:val="20"/>
              </w:rPr>
            </w:r>
          </w:p>
        </w:tc>
      </w:tr>
    </w:tbl>
    <w:p>
      <w:pPr>
        <w:spacing w:line="240" w:lineRule="auto" w:before="2"/>
        <w:rPr>
          <w:rFonts w:ascii="黑体" w:hAnsi="黑体" w:cs="黑体" w:eastAsia="黑体" w:hint="default"/>
          <w:sz w:val="6"/>
          <w:szCs w:val="6"/>
        </w:rPr>
      </w:pPr>
    </w:p>
    <w:p>
      <w:pPr>
        <w:pStyle w:val="BodyText"/>
        <w:spacing w:line="240" w:lineRule="auto" w:before="38"/>
        <w:ind w:left="855" w:right="1058"/>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日，账龄超过</w:t>
      </w:r>
      <w:r>
        <w:rPr>
          <w:rFonts w:ascii="Arial" w:hAnsi="Arial" w:cs="Arial" w:eastAsia="Arial" w:hint="default"/>
        </w:rPr>
        <w:t>1</w:t>
      </w:r>
      <w:r>
        <w:rPr/>
        <w:t>年的大额款如下：</w:t>
      </w:r>
    </w:p>
    <w:p>
      <w:pPr>
        <w:spacing w:line="240" w:lineRule="auto" w:before="5"/>
        <w:rPr>
          <w:rFonts w:ascii="黑体" w:hAnsi="黑体" w:cs="黑体" w:eastAsia="黑体" w:hint="default"/>
          <w:sz w:val="13"/>
          <w:szCs w:val="13"/>
        </w:rPr>
      </w:pPr>
    </w:p>
    <w:tbl>
      <w:tblPr>
        <w:tblW w:w="0" w:type="auto"/>
        <w:jc w:val="left"/>
        <w:tblInd w:w="812" w:type="dxa"/>
        <w:tblLayout w:type="fixed"/>
        <w:tblCellMar>
          <w:top w:w="0" w:type="dxa"/>
          <w:left w:w="0" w:type="dxa"/>
          <w:bottom w:w="0" w:type="dxa"/>
          <w:right w:w="0" w:type="dxa"/>
        </w:tblCellMar>
        <w:tblLook w:val="01E0"/>
      </w:tblPr>
      <w:tblGrid>
        <w:gridCol w:w="3710"/>
        <w:gridCol w:w="1891"/>
        <w:gridCol w:w="2252"/>
      </w:tblGrid>
      <w:tr>
        <w:trPr>
          <w:trHeight w:val="823" w:hRule="exact"/>
        </w:trPr>
        <w:tc>
          <w:tcPr>
            <w:tcW w:w="37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5"/>
              <w:ind w:right="0"/>
              <w:jc w:val="left"/>
              <w:rPr>
                <w:rFonts w:ascii="黑体" w:hAnsi="黑体" w:cs="黑体" w:eastAsia="黑体" w:hint="default"/>
                <w:sz w:val="20"/>
                <w:szCs w:val="20"/>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方正春元自然人股东</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73" w:right="0" w:firstLine="200"/>
              <w:jc w:val="left"/>
              <w:rPr>
                <w:rFonts w:ascii="黑体" w:hAnsi="黑体" w:cs="黑体" w:eastAsia="黑体" w:hint="default"/>
                <w:sz w:val="20"/>
                <w:szCs w:val="20"/>
              </w:rPr>
            </w:pPr>
            <w:r>
              <w:rPr>
                <w:rFonts w:ascii="黑体" w:hAnsi="黑体" w:cs="黑体" w:eastAsia="黑体" w:hint="default"/>
                <w:sz w:val="20"/>
                <w:szCs w:val="20"/>
              </w:rPr>
              <w:t>应付金额</w:t>
            </w:r>
          </w:p>
          <w:p>
            <w:pPr>
              <w:pStyle w:val="TableParagraph"/>
              <w:spacing w:line="240" w:lineRule="auto" w:before="10"/>
              <w:ind w:right="0"/>
              <w:jc w:val="left"/>
              <w:rPr>
                <w:rFonts w:ascii="黑体" w:hAnsi="黑体" w:cs="黑体" w:eastAsia="黑体" w:hint="default"/>
                <w:sz w:val="20"/>
                <w:szCs w:val="20"/>
              </w:rPr>
            </w:pPr>
          </w:p>
          <w:p>
            <w:pPr>
              <w:pStyle w:val="TableParagraph"/>
              <w:spacing w:line="240" w:lineRule="auto"/>
              <w:ind w:left="673" w:right="0"/>
              <w:jc w:val="left"/>
              <w:rPr>
                <w:rFonts w:ascii="Arial" w:hAnsi="Arial" w:cs="Arial" w:eastAsia="Arial" w:hint="default"/>
                <w:sz w:val="20"/>
                <w:szCs w:val="20"/>
              </w:rPr>
            </w:pPr>
            <w:r>
              <w:rPr>
                <w:rFonts w:ascii="Arial"/>
                <w:sz w:val="20"/>
              </w:rPr>
              <w:t>96,900,000</w:t>
            </w:r>
          </w:p>
        </w:tc>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15" w:right="0" w:firstLine="1000"/>
              <w:jc w:val="left"/>
              <w:rPr>
                <w:rFonts w:ascii="黑体" w:hAnsi="黑体" w:cs="黑体" w:eastAsia="黑体" w:hint="default"/>
                <w:sz w:val="20"/>
                <w:szCs w:val="20"/>
              </w:rPr>
            </w:pPr>
            <w:r>
              <w:rPr>
                <w:rFonts w:ascii="黑体" w:hAnsi="黑体" w:cs="黑体" w:eastAsia="黑体" w:hint="default"/>
                <w:sz w:val="20"/>
                <w:szCs w:val="20"/>
              </w:rPr>
              <w:t>未结转原因</w:t>
            </w:r>
          </w:p>
          <w:p>
            <w:pPr>
              <w:pStyle w:val="TableParagraph"/>
              <w:spacing w:line="240" w:lineRule="auto" w:before="5"/>
              <w:ind w:right="0"/>
              <w:jc w:val="left"/>
              <w:rPr>
                <w:rFonts w:ascii="黑体" w:hAnsi="黑体" w:cs="黑体" w:eastAsia="黑体" w:hint="default"/>
                <w:sz w:val="17"/>
                <w:szCs w:val="17"/>
              </w:rPr>
            </w:pPr>
          </w:p>
          <w:p>
            <w:pPr>
              <w:pStyle w:val="TableParagraph"/>
              <w:spacing w:line="240" w:lineRule="auto"/>
              <w:ind w:left="215" w:right="0"/>
              <w:jc w:val="left"/>
              <w:rPr>
                <w:rFonts w:ascii="黑体" w:hAnsi="黑体" w:cs="黑体" w:eastAsia="黑体" w:hint="default"/>
                <w:sz w:val="20"/>
                <w:szCs w:val="20"/>
              </w:rPr>
            </w:pPr>
            <w:r>
              <w:rPr>
                <w:rFonts w:ascii="黑体" w:hAnsi="黑体" w:cs="黑体" w:eastAsia="黑体" w:hint="default"/>
                <w:sz w:val="20"/>
                <w:szCs w:val="20"/>
              </w:rPr>
              <w:t>未到合同约定的付款日</w:t>
            </w:r>
          </w:p>
        </w:tc>
      </w:tr>
      <w:tr>
        <w:trPr>
          <w:trHeight w:val="259" w:hRule="exact"/>
        </w:trPr>
        <w:tc>
          <w:tcPr>
            <w:tcW w:w="371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北京中关村永丰基地发展有限公司</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13"/>
              <w:jc w:val="right"/>
              <w:rPr>
                <w:rFonts w:ascii="Arial" w:hAnsi="Arial" w:cs="Arial" w:eastAsia="Arial" w:hint="default"/>
                <w:sz w:val="20"/>
                <w:szCs w:val="20"/>
              </w:rPr>
            </w:pPr>
            <w:r>
              <w:rPr>
                <w:rFonts w:ascii="Arial"/>
                <w:spacing w:val="-1"/>
                <w:sz w:val="20"/>
              </w:rPr>
              <w:t>89,596,620</w:t>
            </w:r>
          </w:p>
        </w:tc>
        <w:tc>
          <w:tcPr>
            <w:tcW w:w="2252" w:type="dxa"/>
            <w:tcBorders>
              <w:top w:val="nil" w:sz="6" w:space="0" w:color="auto"/>
              <w:left w:val="nil" w:sz="6" w:space="0" w:color="auto"/>
              <w:bottom w:val="nil" w:sz="6" w:space="0" w:color="auto"/>
              <w:right w:val="nil" w:sz="6" w:space="0" w:color="auto"/>
            </w:tcBorders>
          </w:tcPr>
          <w:p>
            <w:pPr>
              <w:pStyle w:val="TableParagraph"/>
              <w:spacing w:line="226" w:lineRule="exact"/>
              <w:ind w:right="33"/>
              <w:jc w:val="right"/>
              <w:rPr>
                <w:rFonts w:ascii="黑体" w:hAnsi="黑体" w:cs="黑体" w:eastAsia="黑体" w:hint="default"/>
                <w:sz w:val="20"/>
                <w:szCs w:val="20"/>
              </w:rPr>
            </w:pPr>
            <w:r>
              <w:rPr>
                <w:rFonts w:ascii="黑体" w:hAnsi="黑体" w:cs="黑体" w:eastAsia="黑体" w:hint="default"/>
                <w:spacing w:val="-1"/>
                <w:sz w:val="20"/>
                <w:szCs w:val="20"/>
              </w:rPr>
              <w:t>未到合同约定的付款日</w:t>
            </w:r>
          </w:p>
        </w:tc>
      </w:tr>
      <w:tr>
        <w:trPr>
          <w:trHeight w:val="333" w:hRule="exact"/>
        </w:trPr>
        <w:tc>
          <w:tcPr>
            <w:tcW w:w="3710"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特博深</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13"/>
              <w:jc w:val="right"/>
              <w:rPr>
                <w:rFonts w:ascii="Arial" w:hAnsi="Arial" w:cs="Arial" w:eastAsia="Arial" w:hint="default"/>
                <w:sz w:val="20"/>
                <w:szCs w:val="20"/>
              </w:rPr>
            </w:pPr>
            <w:r>
              <w:rPr>
                <w:rFonts w:ascii="Arial"/>
                <w:spacing w:val="-1"/>
                <w:sz w:val="20"/>
              </w:rPr>
              <w:t>4,900,000</w:t>
            </w:r>
          </w:p>
        </w:tc>
        <w:tc>
          <w:tcPr>
            <w:tcW w:w="2252" w:type="dxa"/>
            <w:tcBorders>
              <w:top w:val="nil" w:sz="6" w:space="0" w:color="auto"/>
              <w:left w:val="nil" w:sz="6" w:space="0" w:color="auto"/>
              <w:bottom w:val="nil" w:sz="6" w:space="0" w:color="auto"/>
              <w:right w:val="nil" w:sz="6" w:space="0" w:color="auto"/>
            </w:tcBorders>
          </w:tcPr>
          <w:p>
            <w:pPr>
              <w:pStyle w:val="TableParagraph"/>
              <w:spacing w:line="226" w:lineRule="exact"/>
              <w:ind w:right="33"/>
              <w:jc w:val="right"/>
              <w:rPr>
                <w:rFonts w:ascii="黑体" w:hAnsi="黑体" w:cs="黑体" w:eastAsia="黑体" w:hint="default"/>
                <w:sz w:val="20"/>
                <w:szCs w:val="20"/>
              </w:rPr>
            </w:pPr>
            <w:r>
              <w:rPr>
                <w:rFonts w:ascii="黑体" w:hAnsi="黑体" w:cs="黑体" w:eastAsia="黑体" w:hint="default"/>
                <w:spacing w:val="-1"/>
                <w:sz w:val="20"/>
                <w:szCs w:val="20"/>
              </w:rPr>
              <w:t>未到合同约定的付款日</w:t>
            </w:r>
          </w:p>
        </w:tc>
      </w:tr>
    </w:tbl>
    <w:p>
      <w:pPr>
        <w:spacing w:line="240" w:lineRule="auto" w:before="3"/>
        <w:rPr>
          <w:rFonts w:ascii="黑体" w:hAnsi="黑体" w:cs="黑体" w:eastAsia="黑体" w:hint="default"/>
          <w:sz w:val="6"/>
          <w:szCs w:val="6"/>
        </w:rPr>
      </w:pPr>
    </w:p>
    <w:p>
      <w:pPr>
        <w:pStyle w:val="BodyText"/>
        <w:spacing w:line="424" w:lineRule="auto" w:before="38"/>
        <w:ind w:left="856" w:right="1058"/>
        <w:jc w:val="left"/>
      </w:pPr>
      <w:r>
        <w:rPr>
          <w:spacing w:val="-1"/>
        </w:rPr>
        <w:t>以上账龄超过</w:t>
      </w:r>
      <w:r>
        <w:rPr>
          <w:rFonts w:ascii="Arial" w:hAnsi="Arial" w:cs="Arial" w:eastAsia="Arial" w:hint="default"/>
          <w:spacing w:val="-1"/>
        </w:rPr>
        <w:t>1</w:t>
      </w:r>
      <w:r>
        <w:rPr>
          <w:spacing w:val="-1"/>
        </w:rPr>
        <w:t>年的大额其他应付款，资产负债表日后无已偿还的金额。</w:t>
      </w:r>
      <w:r>
        <w:rPr>
          <w:spacing w:val="-76"/>
        </w:rPr>
        <w:t> </w:t>
      </w:r>
      <w:r>
        <w:rPr>
          <w:spacing w:val="-76"/>
        </w:rPr>
      </w:r>
      <w:r>
        <w:rPr/>
        <w:t>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日，本账户余额中无账龄超过</w:t>
      </w:r>
      <w:r>
        <w:rPr>
          <w:rFonts w:ascii="Arial" w:hAnsi="Arial" w:cs="Arial" w:eastAsia="Arial" w:hint="default"/>
        </w:rPr>
        <w:t>1</w:t>
      </w:r>
      <w:r>
        <w:rPr/>
        <w:t>年的大额款项。</w:t>
      </w:r>
    </w:p>
    <w:p>
      <w:pPr>
        <w:spacing w:after="0" w:line="424" w:lineRule="auto"/>
        <w:jc w:val="left"/>
        <w:sectPr>
          <w:pgSz w:w="11910" w:h="16840"/>
          <w:pgMar w:header="958" w:footer="466" w:top="2560" w:bottom="660" w:left="1560" w:right="0"/>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5"/>
          <w:szCs w:val="15"/>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50" w:val="left" w:leader="none"/>
        </w:tabs>
        <w:spacing w:line="424" w:lineRule="auto" w:before="0"/>
        <w:ind w:left="855" w:right="8286" w:hanging="714"/>
        <w:jc w:val="left"/>
        <w:rPr>
          <w:rFonts w:ascii="黑体" w:hAnsi="黑体" w:cs="黑体" w:eastAsia="黑体" w:hint="default"/>
          <w:sz w:val="20"/>
          <w:szCs w:val="20"/>
        </w:rPr>
      </w:pPr>
      <w:r>
        <w:rPr>
          <w:rFonts w:ascii="Arial" w:hAnsi="Arial" w:cs="Arial" w:eastAsia="Arial" w:hint="default"/>
          <w:b/>
          <w:bCs/>
          <w:spacing w:val="-1"/>
          <w:sz w:val="20"/>
          <w:szCs w:val="20"/>
        </w:rPr>
        <w:t>21.</w:t>
        <w:tab/>
      </w:r>
      <w:r>
        <w:rPr>
          <w:rFonts w:ascii="黑体" w:hAnsi="黑体" w:cs="黑体" w:eastAsia="黑体" w:hint="default"/>
          <w:b/>
          <w:bCs/>
          <w:sz w:val="20"/>
          <w:szCs w:val="20"/>
        </w:rPr>
        <w:t>其他流动负债</w:t>
      </w:r>
      <w:r>
        <w:rPr>
          <w:rFonts w:ascii="黑体" w:hAnsi="黑体" w:cs="黑体" w:eastAsia="黑体" w:hint="default"/>
          <w:b/>
          <w:bCs/>
          <w:w w:val="99"/>
          <w:sz w:val="20"/>
          <w:szCs w:val="20"/>
        </w:rPr>
        <w:t> </w:t>
      </w:r>
      <w:r>
        <w:rPr>
          <w:rFonts w:ascii="黑体" w:hAnsi="黑体" w:cs="黑体" w:eastAsia="黑体" w:hint="default"/>
          <w:sz w:val="20"/>
          <w:szCs w:val="20"/>
        </w:rPr>
        <w:t>预提费用</w:t>
      </w:r>
    </w:p>
    <w:p>
      <w:pPr>
        <w:pStyle w:val="BodyText"/>
        <w:tabs>
          <w:tab w:pos="7146" w:val="left" w:leader="none"/>
        </w:tabs>
        <w:spacing w:line="240" w:lineRule="auto" w:before="74"/>
        <w:ind w:left="5426" w:right="1058"/>
        <w:jc w:val="left"/>
      </w:pP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tab/>
      </w:r>
      <w:r>
        <w:rPr>
          <w:rFonts w:ascii="Arial" w:hAnsi="Arial" w:cs="Arial" w:eastAsia="Arial" w:hint="default"/>
          <w:spacing w:val="-1"/>
        </w:rPr>
        <w:t>2008</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r>
    </w:p>
    <w:p>
      <w:pPr>
        <w:spacing w:line="240" w:lineRule="auto" w:before="3"/>
        <w:rPr>
          <w:rFonts w:ascii="黑体" w:hAnsi="黑体" w:cs="黑体" w:eastAsia="黑体" w:hint="default"/>
          <w:sz w:val="18"/>
          <w:szCs w:val="18"/>
        </w:rPr>
      </w:pPr>
    </w:p>
    <w:p>
      <w:pPr>
        <w:pStyle w:val="BodyText"/>
        <w:tabs>
          <w:tab w:pos="6026" w:val="left" w:leader="none"/>
          <w:tab w:pos="7746" w:val="left" w:leader="none"/>
        </w:tabs>
        <w:spacing w:line="268" w:lineRule="exact"/>
        <w:ind w:left="878" w:right="1058"/>
        <w:jc w:val="left"/>
        <w:rPr>
          <w:rFonts w:ascii="Arial" w:hAnsi="Arial" w:cs="Arial" w:eastAsia="Arial" w:hint="default"/>
        </w:rPr>
      </w:pPr>
      <w:r>
        <w:rPr/>
        <w:t>审计费</w:t>
        <w:tab/>
      </w:r>
      <w:r>
        <w:rPr>
          <w:rFonts w:ascii="Arial" w:hAnsi="Arial" w:cs="Arial" w:eastAsia="Arial" w:hint="default"/>
          <w:spacing w:val="-1"/>
        </w:rPr>
        <w:t>1,150,000</w:t>
        <w:tab/>
        <w:t>1,200,000</w:t>
      </w:r>
    </w:p>
    <w:p>
      <w:pPr>
        <w:pStyle w:val="BodyText"/>
        <w:tabs>
          <w:tab w:pos="6193" w:val="left" w:leader="none"/>
          <w:tab w:pos="8023" w:val="left" w:leader="none"/>
        </w:tabs>
        <w:spacing w:line="259" w:lineRule="exact"/>
        <w:ind w:left="878" w:right="1058"/>
        <w:jc w:val="left"/>
        <w:rPr>
          <w:rFonts w:ascii="Arial" w:hAnsi="Arial" w:cs="Arial" w:eastAsia="Arial" w:hint="default"/>
        </w:rPr>
      </w:pPr>
      <w:r>
        <w:rPr/>
        <w:t>房租</w:t>
        <w:tab/>
      </w:r>
      <w:r>
        <w:rPr>
          <w:rFonts w:ascii="Arial" w:hAnsi="Arial" w:cs="Arial" w:eastAsia="Arial" w:hint="default"/>
          <w:spacing w:val="-1"/>
        </w:rPr>
        <w:t>128,331</w:t>
        <w:tab/>
      </w:r>
      <w:r>
        <w:rPr>
          <w:rFonts w:ascii="Arial" w:hAnsi="Arial" w:cs="Arial" w:eastAsia="Arial" w:hint="default"/>
        </w:rPr>
        <w:t>24,432</w:t>
      </w:r>
    </w:p>
    <w:p>
      <w:pPr>
        <w:pStyle w:val="BodyText"/>
        <w:tabs>
          <w:tab w:pos="6193" w:val="left" w:leader="none"/>
          <w:tab w:pos="7913" w:val="left" w:leader="none"/>
        </w:tabs>
        <w:spacing w:line="259" w:lineRule="exact"/>
        <w:ind w:left="878" w:right="1058"/>
        <w:jc w:val="left"/>
        <w:rPr>
          <w:rFonts w:ascii="Arial" w:hAnsi="Arial" w:cs="Arial" w:eastAsia="Arial" w:hint="default"/>
        </w:rPr>
      </w:pPr>
      <w:r>
        <w:rPr>
          <w:spacing w:val="-1"/>
        </w:rPr>
        <w:t>专业咨询费</w:t>
        <w:tab/>
      </w:r>
      <w:r>
        <w:rPr>
          <w:rFonts w:ascii="Arial" w:hAnsi="Arial" w:cs="Arial" w:eastAsia="Arial" w:hint="default"/>
          <w:spacing w:val="-1"/>
        </w:rPr>
        <w:t>500,000</w:t>
        <w:tab/>
        <w:t>233,774</w:t>
      </w:r>
    </w:p>
    <w:p>
      <w:pPr>
        <w:pStyle w:val="BodyText"/>
        <w:tabs>
          <w:tab w:pos="6026" w:val="left" w:leader="none"/>
          <w:tab w:pos="7712" w:val="left" w:leader="none"/>
        </w:tabs>
        <w:spacing w:line="268" w:lineRule="exact"/>
        <w:ind w:left="878" w:right="1058"/>
        <w:jc w:val="left"/>
        <w:rPr>
          <w:rFonts w:ascii="Arial" w:hAnsi="Arial" w:cs="Arial" w:eastAsia="Arial" w:hint="default"/>
        </w:rPr>
      </w:pPr>
      <w:r>
        <w:rPr/>
        <w:t>其他</w:t>
        <w:tab/>
      </w:r>
      <w:r>
        <w:rPr>
          <w:rFonts w:ascii="Arial" w:hAnsi="Arial" w:cs="Arial" w:eastAsia="Arial" w:hint="default"/>
        </w:rPr>
      </w:r>
      <w:r>
        <w:rPr>
          <w:rFonts w:ascii="Arial" w:hAnsi="Arial" w:cs="Arial" w:eastAsia="Arial" w:hint="default"/>
          <w:spacing w:val="-1"/>
          <w:u w:val="single" w:color="000000"/>
        </w:rPr>
        <w:t>1,136,550</w:t>
      </w:r>
      <w:r>
        <w:rPr>
          <w:rFonts w:ascii="Arial" w:hAnsi="Arial" w:cs="Arial" w:eastAsia="Arial" w:hint="default"/>
          <w:spacing w:val="-1"/>
        </w:rPr>
        <w:tab/>
      </w:r>
      <w:r>
        <w:rPr>
          <w:rFonts w:ascii="Arial" w:hAnsi="Arial" w:cs="Arial" w:eastAsia="Arial" w:hint="default"/>
          <w:spacing w:val="-1"/>
          <w:u w:val="single" w:color="000000"/>
        </w:rPr>
        <w:t> </w:t>
      </w:r>
      <w:r>
        <w:rPr>
          <w:rFonts w:ascii="Arial" w:hAnsi="Arial" w:cs="Arial" w:eastAsia="Arial" w:hint="default"/>
          <w:u w:val="single" w:color="000000"/>
        </w:rPr>
        <w:t>904,034</w:t>
      </w:r>
      <w:r>
        <w:rPr>
          <w:rFonts w:ascii="Arial" w:hAnsi="Arial" w:cs="Arial" w:eastAsia="Arial" w:hint="default"/>
        </w:rPr>
      </w:r>
    </w:p>
    <w:p>
      <w:pPr>
        <w:pStyle w:val="BodyText"/>
        <w:tabs>
          <w:tab w:pos="7745" w:val="left" w:leader="none"/>
        </w:tabs>
        <w:spacing w:line="240" w:lineRule="auto" w:before="23"/>
        <w:ind w:left="6026" w:right="1058"/>
        <w:jc w:val="left"/>
        <w:rPr>
          <w:rFonts w:ascii="Arial" w:hAnsi="Arial" w:cs="Arial" w:eastAsia="Arial" w:hint="default"/>
        </w:rPr>
      </w:pPr>
      <w:r>
        <w:rPr>
          <w:rFonts w:ascii="Arial"/>
          <w:w w:val="100"/>
        </w:rPr>
      </w:r>
      <w:r>
        <w:rPr>
          <w:rFonts w:ascii="Arial"/>
          <w:spacing w:val="-1"/>
          <w:u w:val="thick" w:color="000000"/>
        </w:rPr>
        <w:t>2,914,881</w:t>
      </w:r>
      <w:r>
        <w:rPr>
          <w:rFonts w:ascii="Arial"/>
          <w:spacing w:val="-1"/>
        </w:rPr>
        <w:tab/>
      </w:r>
      <w:r>
        <w:rPr>
          <w:rFonts w:ascii="Arial"/>
          <w:spacing w:val="-1"/>
          <w:u w:val="thick" w:color="000000"/>
        </w:rPr>
        <w:t>2,362,240</w:t>
      </w:r>
      <w:r>
        <w:rPr>
          <w:rFonts w:ascii="Arial"/>
          <w:spacing w:val="-1"/>
        </w:rPr>
      </w:r>
    </w:p>
    <w:p>
      <w:pPr>
        <w:spacing w:line="240" w:lineRule="auto" w:before="11"/>
        <w:rPr>
          <w:rFonts w:ascii="Arial" w:hAnsi="Arial" w:cs="Arial" w:eastAsia="Arial" w:hint="default"/>
          <w:sz w:val="19"/>
          <w:szCs w:val="19"/>
        </w:rPr>
      </w:pPr>
    </w:p>
    <w:p>
      <w:pPr>
        <w:tabs>
          <w:tab w:pos="850" w:val="left" w:leader="none"/>
        </w:tabs>
        <w:spacing w:before="38"/>
        <w:ind w:left="141" w:right="1058" w:firstLine="0"/>
        <w:jc w:val="left"/>
        <w:rPr>
          <w:rFonts w:ascii="黑体" w:hAnsi="黑体" w:cs="黑体" w:eastAsia="黑体" w:hint="default"/>
          <w:sz w:val="20"/>
          <w:szCs w:val="20"/>
        </w:rPr>
      </w:pPr>
      <w:r>
        <w:rPr>
          <w:rFonts w:ascii="Arial" w:hAnsi="Arial" w:cs="Arial" w:eastAsia="Arial" w:hint="default"/>
          <w:b/>
          <w:bCs/>
          <w:spacing w:val="-1"/>
          <w:sz w:val="20"/>
          <w:szCs w:val="20"/>
        </w:rPr>
        <w:t>22.</w:t>
        <w:tab/>
      </w:r>
      <w:r>
        <w:rPr>
          <w:rFonts w:ascii="黑体" w:hAnsi="黑体" w:cs="黑体" w:eastAsia="黑体" w:hint="default"/>
          <w:b/>
          <w:bCs/>
          <w:sz w:val="20"/>
          <w:szCs w:val="20"/>
        </w:rPr>
        <w:t>其他非流动负债</w:t>
      </w:r>
      <w:r>
        <w:rPr>
          <w:rFonts w:ascii="黑体" w:hAnsi="黑体" w:cs="黑体" w:eastAsia="黑体" w:hint="default"/>
          <w:sz w:val="20"/>
          <w:szCs w:val="20"/>
        </w:rPr>
      </w:r>
    </w:p>
    <w:p>
      <w:pPr>
        <w:spacing w:line="240" w:lineRule="auto" w:before="0"/>
        <w:rPr>
          <w:rFonts w:ascii="黑体" w:hAnsi="黑体" w:cs="黑体" w:eastAsia="黑体" w:hint="default"/>
          <w:b/>
          <w:bCs/>
          <w:sz w:val="17"/>
          <w:szCs w:val="17"/>
        </w:rPr>
      </w:pPr>
    </w:p>
    <w:p>
      <w:pPr>
        <w:pStyle w:val="BodyText"/>
        <w:tabs>
          <w:tab w:pos="7995" w:val="left" w:leader="none"/>
        </w:tabs>
        <w:spacing w:line="240" w:lineRule="auto" w:before="38"/>
        <w:ind w:left="6295" w:right="1058"/>
        <w:jc w:val="left"/>
      </w:pPr>
      <w:r>
        <w:rPr>
          <w:rFonts w:ascii="Arial" w:hAnsi="Arial" w:cs="Arial" w:eastAsia="Arial" w:hint="default"/>
          <w:spacing w:val="-1"/>
        </w:rPr>
        <w:t>2009</w:t>
      </w:r>
      <w:r>
        <w:rPr>
          <w:spacing w:val="-1"/>
        </w:rPr>
        <w:t>年</w:t>
        <w:tab/>
      </w:r>
      <w:r>
        <w:rPr>
          <w:rFonts w:ascii="Arial" w:hAnsi="Arial" w:cs="Arial" w:eastAsia="Arial" w:hint="default"/>
          <w:spacing w:val="-1"/>
        </w:rPr>
        <w:t>2008</w:t>
      </w:r>
      <w:r>
        <w:rPr>
          <w:spacing w:val="-1"/>
        </w:rPr>
        <w:t>年</w:t>
      </w:r>
    </w:p>
    <w:p>
      <w:pPr>
        <w:spacing w:line="240" w:lineRule="auto" w:before="3"/>
        <w:rPr>
          <w:rFonts w:ascii="黑体" w:hAnsi="黑体" w:cs="黑体" w:eastAsia="黑体" w:hint="default"/>
          <w:sz w:val="18"/>
          <w:szCs w:val="18"/>
        </w:rPr>
      </w:pPr>
    </w:p>
    <w:p>
      <w:pPr>
        <w:pStyle w:val="BodyText"/>
        <w:tabs>
          <w:tab w:pos="5938" w:val="left" w:leader="none"/>
          <w:tab w:pos="7639" w:val="left" w:leader="none"/>
        </w:tabs>
        <w:spacing w:line="240" w:lineRule="auto"/>
        <w:ind w:left="869" w:right="1058"/>
        <w:jc w:val="left"/>
        <w:rPr>
          <w:rFonts w:ascii="Arial" w:hAnsi="Arial" w:cs="Arial" w:eastAsia="Arial" w:hint="default"/>
        </w:rPr>
      </w:pPr>
      <w:r>
        <w:rPr/>
        <w:t>递延收益</w:t>
        <w:tab/>
      </w:r>
      <w:r>
        <w:rPr>
          <w:rFonts w:ascii="Arial" w:hAnsi="Arial" w:cs="Arial" w:eastAsia="Arial" w:hint="default"/>
        </w:rPr>
      </w:r>
      <w:r>
        <w:rPr>
          <w:rFonts w:ascii="Arial" w:hAnsi="Arial" w:cs="Arial" w:eastAsia="Arial" w:hint="default"/>
          <w:spacing w:val="-1"/>
          <w:u w:val="thick" w:color="000000"/>
        </w:rPr>
        <w:t>13,230,000</w:t>
      </w:r>
      <w:r>
        <w:rPr>
          <w:rFonts w:ascii="Arial" w:hAnsi="Arial" w:cs="Arial" w:eastAsia="Arial" w:hint="default"/>
          <w:spacing w:val="-1"/>
        </w:rPr>
        <w:tab/>
      </w:r>
      <w:r>
        <w:rPr>
          <w:rFonts w:ascii="Arial" w:hAnsi="Arial" w:cs="Arial" w:eastAsia="Arial" w:hint="default"/>
          <w:spacing w:val="-1"/>
          <w:u w:val="thick" w:color="000000"/>
        </w:rPr>
        <w:t>22,391,800</w:t>
      </w:r>
      <w:r>
        <w:rPr>
          <w:rFonts w:ascii="Arial" w:hAnsi="Arial" w:cs="Arial" w:eastAsia="Arial" w:hint="default"/>
          <w:spacing w:val="-1"/>
        </w:rPr>
      </w:r>
    </w:p>
    <w:p>
      <w:pPr>
        <w:spacing w:line="240" w:lineRule="auto" w:before="1"/>
        <w:rPr>
          <w:rFonts w:ascii="Arial" w:hAnsi="Arial" w:cs="Arial" w:eastAsia="Arial" w:hint="default"/>
          <w:sz w:val="15"/>
          <w:szCs w:val="15"/>
        </w:rPr>
      </w:pPr>
    </w:p>
    <w:p>
      <w:pPr>
        <w:pStyle w:val="BodyText"/>
        <w:spacing w:line="240" w:lineRule="auto" w:before="38"/>
        <w:ind w:left="855" w:right="1058"/>
        <w:jc w:val="left"/>
      </w:pPr>
      <w:r>
        <w:rPr/>
        <w:t>其中</w:t>
      </w:r>
      <w:r>
        <w:rPr>
          <w:rFonts w:ascii="Arial" w:hAnsi="Arial" w:cs="Arial" w:eastAsia="Arial" w:hint="default"/>
        </w:rPr>
        <w:t>,</w:t>
      </w:r>
      <w:r>
        <w:rPr/>
        <w:t>递延收益如下：</w:t>
      </w:r>
    </w:p>
    <w:p>
      <w:pPr>
        <w:spacing w:line="240" w:lineRule="auto" w:before="5"/>
        <w:rPr>
          <w:rFonts w:ascii="黑体" w:hAnsi="黑体" w:cs="黑体" w:eastAsia="黑体" w:hint="default"/>
          <w:sz w:val="13"/>
          <w:szCs w:val="13"/>
        </w:rPr>
      </w:pPr>
    </w:p>
    <w:p>
      <w:pPr>
        <w:pStyle w:val="BodyText"/>
        <w:tabs>
          <w:tab w:pos="7155" w:val="left" w:leader="none"/>
        </w:tabs>
        <w:spacing w:line="240" w:lineRule="auto" w:before="38"/>
        <w:ind w:left="5454" w:right="1058"/>
        <w:jc w:val="left"/>
      </w:pP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tab/>
      </w:r>
      <w:r>
        <w:rPr>
          <w:rFonts w:ascii="Arial" w:hAnsi="Arial" w:cs="Arial" w:eastAsia="Arial" w:hint="default"/>
          <w:spacing w:val="-1"/>
        </w:rPr>
        <w:t>2008</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r>
    </w:p>
    <w:p>
      <w:pPr>
        <w:spacing w:line="240" w:lineRule="auto" w:before="3"/>
        <w:rPr>
          <w:rFonts w:ascii="黑体" w:hAnsi="黑体" w:cs="黑体" w:eastAsia="黑体" w:hint="default"/>
          <w:sz w:val="18"/>
          <w:szCs w:val="18"/>
        </w:rPr>
      </w:pPr>
    </w:p>
    <w:p>
      <w:pPr>
        <w:pStyle w:val="BodyText"/>
        <w:spacing w:line="268" w:lineRule="exact"/>
        <w:ind w:left="855" w:right="1058"/>
        <w:jc w:val="left"/>
      </w:pPr>
      <w:r>
        <w:rPr>
          <w:spacing w:val="-4"/>
        </w:rPr>
        <w:t>北京市科学技术委员会：“基于</w:t>
      </w:r>
      <w:r>
        <w:rPr>
          <w:rFonts w:ascii="Arial" w:hAnsi="Arial" w:cs="Arial" w:eastAsia="Arial" w:hint="default"/>
          <w:spacing w:val="-4"/>
        </w:rPr>
        <w:t>SOA</w:t>
      </w:r>
      <w:r>
        <w:rPr>
          <w:spacing w:val="-4"/>
        </w:rPr>
        <w:t>架构的新</w:t>
      </w:r>
    </w:p>
    <w:p>
      <w:pPr>
        <w:pStyle w:val="BodyText"/>
        <w:tabs>
          <w:tab w:pos="6878" w:val="left" w:leader="none"/>
          <w:tab w:pos="7755" w:val="left" w:leader="none"/>
        </w:tabs>
        <w:spacing w:line="259" w:lineRule="exact"/>
        <w:ind w:left="1065" w:right="1058"/>
        <w:jc w:val="left"/>
        <w:rPr>
          <w:rFonts w:ascii="Arial" w:hAnsi="Arial" w:cs="Arial" w:eastAsia="Arial" w:hint="default"/>
        </w:rPr>
      </w:pPr>
      <w:r>
        <w:rPr>
          <w:spacing w:val="-1"/>
        </w:rPr>
        <w:t>一代企业管理应用系统</w:t>
      </w:r>
      <w:r>
        <w:rPr>
          <w:rFonts w:ascii="Arial" w:hAnsi="Arial" w:cs="Arial" w:eastAsia="Arial" w:hint="default"/>
          <w:spacing w:val="-1"/>
        </w:rPr>
        <w:t>(U9)</w:t>
      </w:r>
      <w:r>
        <w:rPr>
          <w:spacing w:val="-1"/>
        </w:rPr>
        <w:t>研发及产业化”</w:t>
        <w:tab/>
      </w:r>
      <w:r>
        <w:rPr>
          <w:rFonts w:ascii="Arial" w:hAnsi="Arial" w:cs="Arial" w:eastAsia="Arial" w:hint="default"/>
        </w:rPr>
        <w:t>-</w:t>
        <w:tab/>
      </w:r>
      <w:r>
        <w:rPr>
          <w:rFonts w:ascii="Arial" w:hAnsi="Arial" w:cs="Arial" w:eastAsia="Arial" w:hint="default"/>
          <w:spacing w:val="-1"/>
        </w:rPr>
        <w:t>7,336,300</w:t>
      </w:r>
    </w:p>
    <w:p>
      <w:pPr>
        <w:pStyle w:val="BodyText"/>
        <w:spacing w:line="252" w:lineRule="exact"/>
        <w:ind w:left="841" w:right="1058"/>
        <w:jc w:val="left"/>
      </w:pPr>
      <w:r>
        <w:rPr>
          <w:spacing w:val="-3"/>
        </w:rPr>
        <w:t>北京市发展与改革委员会：“基于移动应用技</w:t>
      </w:r>
    </w:p>
    <w:p>
      <w:pPr>
        <w:pStyle w:val="BodyText"/>
        <w:tabs>
          <w:tab w:pos="6055" w:val="left" w:leader="none"/>
          <w:tab w:pos="8578" w:val="left" w:leader="none"/>
        </w:tabs>
        <w:spacing w:line="266" w:lineRule="exact"/>
        <w:ind w:left="1051" w:right="1058"/>
        <w:jc w:val="left"/>
        <w:rPr>
          <w:rFonts w:ascii="Arial" w:hAnsi="Arial" w:cs="Arial" w:eastAsia="Arial" w:hint="default"/>
        </w:rPr>
      </w:pPr>
      <w:r>
        <w:rPr>
          <w:spacing w:val="-1"/>
        </w:rPr>
        <w:t>术的企业管理信息系统的研发及应用”</w:t>
        <w:tab/>
      </w:r>
      <w:r>
        <w:rPr>
          <w:rFonts w:ascii="Arial" w:hAnsi="Arial" w:cs="Arial" w:eastAsia="Arial" w:hint="default"/>
          <w:spacing w:val="-1"/>
        </w:rPr>
        <w:t>9,000,000</w:t>
        <w:tab/>
      </w:r>
      <w:r>
        <w:rPr>
          <w:rFonts w:ascii="Arial" w:hAnsi="Arial" w:cs="Arial" w:eastAsia="Arial" w:hint="default"/>
        </w:rPr>
        <w:t>-</w:t>
      </w:r>
    </w:p>
    <w:p>
      <w:pPr>
        <w:pStyle w:val="BodyText"/>
        <w:tabs>
          <w:tab w:pos="6878" w:val="left" w:leader="none"/>
          <w:tab w:pos="7755" w:val="left" w:leader="none"/>
        </w:tabs>
        <w:spacing w:line="260" w:lineRule="exact"/>
        <w:ind w:left="841" w:right="1058"/>
        <w:jc w:val="left"/>
        <w:rPr>
          <w:rFonts w:ascii="Arial" w:hAnsi="Arial" w:cs="Arial" w:eastAsia="Arial" w:hint="default"/>
        </w:rPr>
      </w:pPr>
      <w:r>
        <w:rPr>
          <w:spacing w:val="-1"/>
        </w:rPr>
        <w:t>面向网络和移动应用的</w:t>
      </w:r>
      <w:r>
        <w:rPr>
          <w:rFonts w:ascii="Arial" w:hAnsi="Arial" w:cs="Arial" w:eastAsia="Arial" w:hint="default"/>
          <w:spacing w:val="-1"/>
        </w:rPr>
        <w:t>ERP</w:t>
      </w:r>
      <w:r>
        <w:rPr>
          <w:spacing w:val="-1"/>
        </w:rPr>
        <w:t>系统产业化项目</w:t>
        <w:tab/>
      </w:r>
      <w:r>
        <w:rPr>
          <w:rFonts w:ascii="Arial" w:hAnsi="Arial" w:cs="Arial" w:eastAsia="Arial" w:hint="default"/>
        </w:rPr>
        <w:t>-</w:t>
        <w:tab/>
      </w:r>
      <w:r>
        <w:rPr>
          <w:rFonts w:ascii="Arial" w:hAnsi="Arial" w:cs="Arial" w:eastAsia="Arial" w:hint="default"/>
          <w:spacing w:val="-1"/>
        </w:rPr>
        <w:t>6,000,000</w:t>
      </w:r>
    </w:p>
    <w:p>
      <w:pPr>
        <w:pStyle w:val="BodyText"/>
        <w:spacing w:line="260" w:lineRule="exact"/>
        <w:ind w:left="841" w:right="1058"/>
        <w:jc w:val="left"/>
      </w:pPr>
      <w:r>
        <w:rPr/>
        <w:t>国家</w:t>
      </w:r>
      <w:r>
        <w:rPr>
          <w:rFonts w:ascii="Arial" w:hAnsi="Arial" w:cs="Arial" w:eastAsia="Arial" w:hint="default"/>
        </w:rPr>
        <w:t>863</w:t>
      </w:r>
      <w:r>
        <w:rPr/>
        <w:t>计划：业务驱动的多企业资源协调管</w:t>
      </w:r>
    </w:p>
    <w:p>
      <w:pPr>
        <w:pStyle w:val="BodyText"/>
        <w:tabs>
          <w:tab w:pos="6055" w:val="left" w:leader="none"/>
          <w:tab w:pos="7755" w:val="left" w:leader="none"/>
        </w:tabs>
        <w:spacing w:line="259" w:lineRule="exact"/>
        <w:ind w:left="1065" w:right="1058"/>
        <w:jc w:val="left"/>
        <w:rPr>
          <w:rFonts w:ascii="Arial" w:hAnsi="Arial" w:cs="Arial" w:eastAsia="Arial" w:hint="default"/>
        </w:rPr>
      </w:pPr>
      <w:r>
        <w:rPr>
          <w:spacing w:val="-1"/>
        </w:rPr>
        <w:t>理系统研发</w:t>
        <w:tab/>
      </w:r>
      <w:r>
        <w:rPr>
          <w:rFonts w:ascii="Arial" w:hAnsi="Arial" w:cs="Arial" w:eastAsia="Arial" w:hint="default"/>
          <w:spacing w:val="-1"/>
        </w:rPr>
        <w:t>3,040,000</w:t>
        <w:tab/>
        <w:t>3,040,000</w:t>
      </w:r>
    </w:p>
    <w:p>
      <w:pPr>
        <w:pStyle w:val="BodyText"/>
        <w:tabs>
          <w:tab w:pos="6878" w:val="left" w:leader="none"/>
          <w:tab w:pos="7755" w:val="left" w:leader="none"/>
        </w:tabs>
        <w:spacing w:line="259" w:lineRule="exact"/>
        <w:ind w:left="841" w:right="1058"/>
        <w:jc w:val="left"/>
        <w:rPr>
          <w:rFonts w:ascii="Arial" w:hAnsi="Arial" w:cs="Arial" w:eastAsia="Arial" w:hint="default"/>
        </w:rPr>
      </w:pPr>
      <w:r>
        <w:rPr>
          <w:spacing w:val="-1"/>
        </w:rPr>
        <w:t>基于移动应用技术的企业管理信息系统研发</w:t>
        <w:tab/>
      </w:r>
      <w:r>
        <w:rPr>
          <w:rFonts w:ascii="Arial" w:hAnsi="Arial" w:cs="Arial" w:eastAsia="Arial" w:hint="default"/>
        </w:rPr>
        <w:t>-</w:t>
        <w:tab/>
      </w:r>
      <w:r>
        <w:rPr>
          <w:rFonts w:ascii="Arial" w:hAnsi="Arial" w:cs="Arial" w:eastAsia="Arial" w:hint="default"/>
          <w:spacing w:val="-1"/>
        </w:rPr>
        <w:t>2,400,000</w:t>
      </w:r>
    </w:p>
    <w:p>
      <w:pPr>
        <w:pStyle w:val="BodyText"/>
        <w:tabs>
          <w:tab w:pos="6878" w:val="left" w:leader="none"/>
          <w:tab w:pos="7755" w:val="left" w:leader="none"/>
        </w:tabs>
        <w:spacing w:line="259" w:lineRule="exact"/>
        <w:ind w:left="841" w:right="1058"/>
        <w:jc w:val="left"/>
        <w:rPr>
          <w:rFonts w:ascii="Arial" w:hAnsi="Arial" w:cs="Arial" w:eastAsia="Arial" w:hint="default"/>
        </w:rPr>
      </w:pPr>
      <w:r>
        <w:rPr>
          <w:spacing w:val="-1"/>
        </w:rPr>
        <w:t>新型软件产业链项目</w:t>
      </w:r>
      <w:r>
        <w:rPr>
          <w:rFonts w:ascii="Arial" w:hAnsi="Arial" w:cs="Arial" w:eastAsia="Arial" w:hint="default"/>
          <w:spacing w:val="-1"/>
        </w:rPr>
        <w:t>(</w:t>
      </w:r>
      <w:r>
        <w:rPr>
          <w:spacing w:val="-1"/>
        </w:rPr>
        <w:t>以大带小</w:t>
      </w:r>
      <w:r>
        <w:rPr>
          <w:rFonts w:ascii="Arial" w:hAnsi="Arial" w:cs="Arial" w:eastAsia="Arial" w:hint="default"/>
          <w:spacing w:val="-1"/>
        </w:rPr>
        <w:t>)</w:t>
        <w:tab/>
      </w:r>
      <w:r>
        <w:rPr>
          <w:rFonts w:ascii="Arial" w:hAnsi="Arial" w:cs="Arial" w:eastAsia="Arial" w:hint="default"/>
        </w:rPr>
        <w:t>-</w:t>
        <w:tab/>
      </w:r>
      <w:r>
        <w:rPr>
          <w:rFonts w:ascii="Arial" w:hAnsi="Arial" w:cs="Arial" w:eastAsia="Arial" w:hint="default"/>
          <w:spacing w:val="-1"/>
        </w:rPr>
        <w:t>1,000,000</w:t>
      </w:r>
    </w:p>
    <w:p>
      <w:pPr>
        <w:pStyle w:val="BodyText"/>
        <w:spacing w:line="259" w:lineRule="exact"/>
        <w:ind w:left="855" w:right="1058"/>
        <w:jc w:val="left"/>
      </w:pPr>
      <w:r>
        <w:rPr>
          <w:spacing w:val="-3"/>
        </w:rPr>
        <w:t>国家</w:t>
      </w:r>
      <w:r>
        <w:rPr>
          <w:rFonts w:ascii="Arial" w:hAnsi="Arial" w:cs="Arial" w:eastAsia="Arial" w:hint="default"/>
          <w:spacing w:val="-3"/>
        </w:rPr>
        <w:t>863</w:t>
      </w:r>
      <w:r>
        <w:rPr>
          <w:spacing w:val="-3"/>
        </w:rPr>
        <w:t>计划：</w:t>
      </w:r>
      <w:r>
        <w:rPr>
          <w:rFonts w:ascii="Arial" w:hAnsi="Arial" w:cs="Arial" w:eastAsia="Arial" w:hint="default"/>
          <w:spacing w:val="-3"/>
        </w:rPr>
        <w:t>RFID</w:t>
      </w:r>
      <w:r>
        <w:rPr>
          <w:spacing w:val="-3"/>
        </w:rPr>
        <w:t>的信息集成管理技术研究</w:t>
      </w:r>
    </w:p>
    <w:p>
      <w:pPr>
        <w:pStyle w:val="BodyText"/>
        <w:tabs>
          <w:tab w:pos="6055" w:val="left" w:leader="none"/>
          <w:tab w:pos="7755" w:val="left" w:leader="none"/>
        </w:tabs>
        <w:spacing w:line="259" w:lineRule="exact"/>
        <w:ind w:left="1065" w:right="1058"/>
        <w:jc w:val="left"/>
        <w:rPr>
          <w:rFonts w:ascii="Arial" w:hAnsi="Arial" w:cs="Arial" w:eastAsia="Arial" w:hint="default"/>
        </w:rPr>
      </w:pPr>
      <w:r>
        <w:rPr/>
        <w:t>与开发</w:t>
        <w:tab/>
      </w:r>
      <w:r>
        <w:rPr>
          <w:rFonts w:ascii="Arial" w:hAnsi="Arial" w:cs="Arial" w:eastAsia="Arial" w:hint="default"/>
          <w:spacing w:val="-1"/>
        </w:rPr>
        <w:t>1,190,000</w:t>
        <w:tab/>
        <w:t>1,190,000</w:t>
      </w:r>
    </w:p>
    <w:p>
      <w:pPr>
        <w:pStyle w:val="BodyText"/>
        <w:tabs>
          <w:tab w:pos="6878" w:val="left" w:leader="none"/>
          <w:tab w:pos="8578" w:val="left" w:leader="none"/>
        </w:tabs>
        <w:spacing w:line="260" w:lineRule="exact"/>
        <w:ind w:left="841" w:right="1058"/>
        <w:jc w:val="left"/>
        <w:rPr>
          <w:rFonts w:ascii="Arial" w:hAnsi="Arial" w:cs="Arial" w:eastAsia="Arial" w:hint="default"/>
        </w:rPr>
      </w:pPr>
      <w:r>
        <w:rPr>
          <w:spacing w:val="-1"/>
        </w:rPr>
        <w:t>政府公共财政管理信息系统开发及推广项目</w:t>
        <w:tab/>
      </w:r>
      <w:r>
        <w:rPr>
          <w:rFonts w:ascii="Arial" w:hAnsi="Arial" w:cs="Arial" w:eastAsia="Arial" w:hint="default"/>
        </w:rPr>
        <w:t>-</w:t>
        <w:tab/>
        <w:t>-</w:t>
      </w:r>
    </w:p>
    <w:p>
      <w:pPr>
        <w:pStyle w:val="BodyText"/>
        <w:tabs>
          <w:tab w:pos="6878" w:val="left" w:leader="none"/>
          <w:tab w:pos="8578" w:val="left" w:leader="none"/>
        </w:tabs>
        <w:spacing w:line="260" w:lineRule="exact"/>
        <w:ind w:left="841" w:right="1058"/>
        <w:jc w:val="left"/>
        <w:rPr>
          <w:rFonts w:ascii="Arial" w:hAnsi="Arial" w:cs="Arial" w:eastAsia="Arial" w:hint="default"/>
        </w:rPr>
      </w:pPr>
      <w:r>
        <w:rPr>
          <w:spacing w:val="-1"/>
        </w:rPr>
        <w:t>自主创新科技专项</w:t>
        <w:tab/>
      </w:r>
      <w:r>
        <w:rPr>
          <w:rFonts w:ascii="Arial" w:hAnsi="Arial" w:cs="Arial" w:eastAsia="Arial" w:hint="default"/>
        </w:rPr>
        <w:t>-</w:t>
        <w:tab/>
        <w:t>-</w:t>
      </w:r>
    </w:p>
    <w:p>
      <w:pPr>
        <w:pStyle w:val="BodyText"/>
        <w:spacing w:line="252" w:lineRule="exact"/>
        <w:ind w:left="855" w:right="1058"/>
        <w:jc w:val="left"/>
      </w:pPr>
      <w:r>
        <w:rPr/>
        <w:t>行政事业单位资产管理信息系统开发及推广</w:t>
      </w:r>
    </w:p>
    <w:p>
      <w:pPr>
        <w:pStyle w:val="BodyText"/>
        <w:tabs>
          <w:tab w:pos="6878" w:val="left" w:leader="none"/>
          <w:tab w:pos="8578" w:val="left" w:leader="none"/>
        </w:tabs>
        <w:spacing w:line="266" w:lineRule="exact"/>
        <w:ind w:left="1051" w:right="1058"/>
        <w:jc w:val="left"/>
        <w:rPr>
          <w:rFonts w:ascii="Arial" w:hAnsi="Arial" w:cs="Arial" w:eastAsia="Arial" w:hint="default"/>
        </w:rPr>
      </w:pPr>
      <w:r>
        <w:rPr/>
        <w:t>项目</w:t>
        <w:tab/>
      </w:r>
      <w:r>
        <w:rPr>
          <w:rFonts w:ascii="Arial" w:hAnsi="Arial" w:cs="Arial" w:eastAsia="Arial" w:hint="default"/>
        </w:rPr>
        <w:t>-</w:t>
        <w:tab/>
        <w:t>-</w:t>
      </w:r>
    </w:p>
    <w:p>
      <w:pPr>
        <w:pStyle w:val="BodyText"/>
        <w:tabs>
          <w:tab w:pos="6878" w:val="left" w:leader="none"/>
          <w:tab w:pos="7922" w:val="left" w:leader="none"/>
        </w:tabs>
        <w:spacing w:line="259" w:lineRule="exact"/>
        <w:ind w:left="841" w:right="1058"/>
        <w:jc w:val="left"/>
        <w:rPr>
          <w:rFonts w:ascii="Arial" w:hAnsi="Arial" w:cs="Arial" w:eastAsia="Arial" w:hint="default"/>
        </w:rPr>
      </w:pPr>
      <w:r>
        <w:rPr>
          <w:spacing w:val="-1"/>
        </w:rPr>
        <w:t>非公经济发展支持专项资金</w:t>
        <w:tab/>
      </w:r>
      <w:r>
        <w:rPr>
          <w:rFonts w:ascii="Arial" w:hAnsi="Arial" w:cs="Arial" w:eastAsia="Arial" w:hint="default"/>
        </w:rPr>
        <w:t>-</w:t>
        <w:tab/>
      </w:r>
      <w:r>
        <w:rPr>
          <w:rFonts w:ascii="Arial" w:hAnsi="Arial" w:cs="Arial" w:eastAsia="Arial" w:hint="default"/>
          <w:spacing w:val="-1"/>
        </w:rPr>
        <w:t>300,000</w:t>
      </w:r>
    </w:p>
    <w:p>
      <w:pPr>
        <w:tabs>
          <w:tab w:pos="5942" w:val="left" w:leader="none"/>
          <w:tab w:pos="6872" w:val="left" w:leader="none"/>
          <w:tab w:pos="7654" w:val="left" w:leader="none"/>
        </w:tabs>
        <w:spacing w:line="272" w:lineRule="exact" w:before="0"/>
        <w:ind w:left="841" w:right="1058" w:firstLine="0"/>
        <w:jc w:val="left"/>
        <w:rPr>
          <w:rFonts w:ascii="Arial" w:hAnsi="Arial" w:cs="Arial" w:eastAsia="Arial" w:hint="default"/>
          <w:sz w:val="20"/>
          <w:szCs w:val="20"/>
        </w:rPr>
      </w:pPr>
      <w:r>
        <w:rPr>
          <w:rFonts w:ascii="黑体" w:hAnsi="黑体" w:cs="黑体" w:eastAsia="黑体" w:hint="default"/>
          <w:sz w:val="20"/>
          <w:szCs w:val="20"/>
        </w:rPr>
        <w:t>其他</w:t>
        <w:tab/>
      </w:r>
      <w:r>
        <w:rPr>
          <w:rFonts w:ascii="Arial" w:hAnsi="Arial" w:cs="Arial" w:eastAsia="Arial" w:hint="default"/>
          <w:sz w:val="22"/>
          <w:szCs w:val="22"/>
        </w:rPr>
      </w:r>
      <w:r>
        <w:rPr>
          <w:rFonts w:ascii="Arial" w:hAnsi="Arial" w:cs="Arial" w:eastAsia="Arial" w:hint="default"/>
          <w:sz w:val="22"/>
          <w:szCs w:val="22"/>
          <w:u w:val="single" w:color="000000"/>
        </w:rPr>
        <w:t> </w:t>
        <w:tab/>
      </w:r>
      <w:r>
        <w:rPr>
          <w:rFonts w:ascii="Arial" w:hAnsi="Arial" w:cs="Arial" w:eastAsia="Arial" w:hint="default"/>
          <w:w w:val="95"/>
          <w:sz w:val="22"/>
          <w:szCs w:val="22"/>
          <w:u w:val="single" w:color="000000"/>
        </w:rPr>
        <w:t>-</w:t>
      </w:r>
      <w:r>
        <w:rPr>
          <w:rFonts w:ascii="Arial" w:hAnsi="Arial" w:cs="Arial" w:eastAsia="Arial" w:hint="default"/>
          <w:w w:val="95"/>
          <w:sz w:val="22"/>
          <w:szCs w:val="22"/>
        </w:rPr>
        <w:tab/>
      </w:r>
      <w:r>
        <w:rPr>
          <w:rFonts w:ascii="Arial" w:hAnsi="Arial" w:cs="Arial" w:eastAsia="Arial" w:hint="default"/>
          <w:w w:val="95"/>
          <w:sz w:val="20"/>
          <w:szCs w:val="20"/>
        </w:rPr>
      </w:r>
      <w:r>
        <w:rPr>
          <w:rFonts w:ascii="Arial" w:hAnsi="Arial" w:cs="Arial" w:eastAsia="Arial" w:hint="default"/>
          <w:w w:val="95"/>
          <w:sz w:val="20"/>
          <w:szCs w:val="20"/>
          <w:u w:val="single" w:color="000000"/>
        </w:rPr>
        <w:t> </w:t>
      </w:r>
      <w:r>
        <w:rPr>
          <w:rFonts w:ascii="Arial" w:hAnsi="Arial" w:cs="Arial" w:eastAsia="Arial" w:hint="default"/>
          <w:sz w:val="20"/>
          <w:szCs w:val="20"/>
          <w:u w:val="single" w:color="000000"/>
        </w:rPr>
        <w:t>1,125,500</w:t>
      </w:r>
      <w:r>
        <w:rPr>
          <w:rFonts w:ascii="Arial" w:hAnsi="Arial" w:cs="Arial" w:eastAsia="Arial" w:hint="default"/>
          <w:sz w:val="20"/>
          <w:szCs w:val="20"/>
        </w:rPr>
      </w:r>
    </w:p>
    <w:p>
      <w:pPr>
        <w:pStyle w:val="BodyText"/>
        <w:tabs>
          <w:tab w:pos="7643" w:val="left" w:leader="none"/>
        </w:tabs>
        <w:spacing w:line="240" w:lineRule="auto" w:before="21"/>
        <w:ind w:left="5943" w:right="1058"/>
        <w:jc w:val="left"/>
        <w:rPr>
          <w:rFonts w:ascii="Arial" w:hAnsi="Arial" w:cs="Arial" w:eastAsia="Arial" w:hint="default"/>
        </w:rPr>
      </w:pPr>
      <w:r>
        <w:rPr>
          <w:rFonts w:ascii="Arial"/>
          <w:w w:val="100"/>
        </w:rPr>
      </w:r>
      <w:r>
        <w:rPr>
          <w:rFonts w:ascii="Arial"/>
          <w:spacing w:val="-1"/>
          <w:u w:val="thick" w:color="000000"/>
        </w:rPr>
        <w:t>13,230,000</w:t>
      </w:r>
      <w:r>
        <w:rPr>
          <w:rFonts w:ascii="Arial"/>
          <w:spacing w:val="-1"/>
        </w:rPr>
        <w:tab/>
      </w:r>
      <w:r>
        <w:rPr>
          <w:rFonts w:ascii="Arial"/>
          <w:spacing w:val="-1"/>
          <w:u w:val="thick" w:color="000000"/>
        </w:rPr>
        <w:t>22,391,800</w:t>
      </w:r>
      <w:r>
        <w:rPr>
          <w:rFonts w:ascii="Arial"/>
          <w:spacing w:val="-1"/>
        </w:rPr>
      </w:r>
    </w:p>
    <w:p>
      <w:pPr>
        <w:spacing w:after="0" w:line="240" w:lineRule="auto"/>
        <w:jc w:val="left"/>
        <w:rPr>
          <w:rFonts w:ascii="Arial" w:hAnsi="Arial" w:cs="Arial" w:eastAsia="Arial" w:hint="default"/>
        </w:rPr>
        <w:sectPr>
          <w:pgSz w:w="11910" w:h="16840"/>
          <w:pgMar w:header="958" w:footer="466" w:top="2560" w:bottom="660" w:left="1560" w:right="0"/>
        </w:sect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before="175"/>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7"/>
        <w:rPr>
          <w:rFonts w:ascii="黑体" w:hAnsi="黑体" w:cs="黑体" w:eastAsia="黑体" w:hint="default"/>
          <w:b/>
          <w:bCs/>
          <w:sz w:val="18"/>
          <w:szCs w:val="18"/>
        </w:rPr>
      </w:pPr>
    </w:p>
    <w:tbl>
      <w:tblPr>
        <w:tblW w:w="0" w:type="auto"/>
        <w:jc w:val="left"/>
        <w:tblInd w:w="106" w:type="dxa"/>
        <w:tblLayout w:type="fixed"/>
        <w:tblCellMar>
          <w:top w:w="0" w:type="dxa"/>
          <w:left w:w="0" w:type="dxa"/>
          <w:bottom w:w="0" w:type="dxa"/>
          <w:right w:w="0" w:type="dxa"/>
        </w:tblCellMar>
        <w:tblLook w:val="01E0"/>
      </w:tblPr>
      <w:tblGrid>
        <w:gridCol w:w="2758"/>
        <w:gridCol w:w="1435"/>
        <w:gridCol w:w="4544"/>
      </w:tblGrid>
      <w:tr>
        <w:trPr>
          <w:trHeight w:val="870" w:hRule="exact"/>
        </w:trPr>
        <w:tc>
          <w:tcPr>
            <w:tcW w:w="2758" w:type="dxa"/>
            <w:tcBorders>
              <w:top w:val="nil" w:sz="6" w:space="0" w:color="auto"/>
              <w:left w:val="nil" w:sz="6" w:space="0" w:color="auto"/>
              <w:bottom w:val="nil" w:sz="6" w:space="0" w:color="auto"/>
              <w:right w:val="nil" w:sz="6" w:space="0" w:color="auto"/>
            </w:tcBorders>
          </w:tcPr>
          <w:p>
            <w:pPr>
              <w:pStyle w:val="TableParagraph"/>
              <w:tabs>
                <w:tab w:pos="712" w:val="left" w:leader="none"/>
              </w:tabs>
              <w:spacing w:line="240" w:lineRule="auto" w:before="38"/>
              <w:ind w:left="35" w:right="0"/>
              <w:jc w:val="left"/>
              <w:rPr>
                <w:rFonts w:ascii="黑体" w:hAnsi="黑体" w:cs="黑体" w:eastAsia="黑体" w:hint="default"/>
                <w:sz w:val="20"/>
                <w:szCs w:val="20"/>
              </w:rPr>
            </w:pPr>
            <w:r>
              <w:rPr>
                <w:rFonts w:ascii="Arial" w:hAnsi="Arial" w:cs="Arial" w:eastAsia="Arial" w:hint="default"/>
                <w:b/>
                <w:bCs/>
                <w:spacing w:val="-1"/>
                <w:sz w:val="20"/>
                <w:szCs w:val="20"/>
              </w:rPr>
              <w:t>23.</w:t>
              <w:tab/>
            </w:r>
            <w:r>
              <w:rPr>
                <w:rFonts w:ascii="黑体" w:hAnsi="黑体" w:cs="黑体" w:eastAsia="黑体" w:hint="default"/>
                <w:b/>
                <w:bCs/>
                <w:spacing w:val="1"/>
                <w:sz w:val="20"/>
                <w:szCs w:val="20"/>
              </w:rPr>
              <w:t>资本公积</w:t>
            </w:r>
            <w:r>
              <w:rPr>
                <w:rFonts w:ascii="黑体" w:hAnsi="黑体" w:cs="黑体" w:eastAsia="黑体" w:hint="default"/>
                <w:sz w:val="20"/>
                <w:szCs w:val="20"/>
              </w:rPr>
            </w:r>
          </w:p>
          <w:p>
            <w:pPr>
              <w:pStyle w:val="TableParagraph"/>
              <w:spacing w:line="240" w:lineRule="auto" w:before="12"/>
              <w:ind w:right="0"/>
              <w:jc w:val="left"/>
              <w:rPr>
                <w:rFonts w:ascii="黑体" w:hAnsi="黑体" w:cs="黑体" w:eastAsia="黑体" w:hint="default"/>
                <w:b/>
                <w:bCs/>
                <w:sz w:val="19"/>
                <w:szCs w:val="19"/>
              </w:rPr>
            </w:pPr>
          </w:p>
          <w:p>
            <w:pPr>
              <w:pStyle w:val="TableParagraph"/>
              <w:spacing w:line="240" w:lineRule="auto"/>
              <w:ind w:left="744"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5978" w:type="dxa"/>
            <w:gridSpan w:val="2"/>
            <w:tcBorders>
              <w:top w:val="nil" w:sz="6" w:space="0" w:color="auto"/>
              <w:left w:val="nil" w:sz="6" w:space="0" w:color="auto"/>
              <w:bottom w:val="nil" w:sz="6" w:space="0" w:color="auto"/>
              <w:right w:val="nil" w:sz="6" w:space="0" w:color="auto"/>
            </w:tcBorders>
          </w:tcPr>
          <w:p>
            <w:pPr/>
          </w:p>
        </w:tc>
      </w:tr>
      <w:tr>
        <w:trPr>
          <w:trHeight w:val="383" w:hRule="exact"/>
        </w:trPr>
        <w:tc>
          <w:tcPr>
            <w:tcW w:w="2758"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225" w:lineRule="exact"/>
              <w:ind w:right="108"/>
              <w:jc w:val="right"/>
              <w:rPr>
                <w:rFonts w:ascii="黑体" w:hAnsi="黑体" w:cs="黑体" w:eastAsia="黑体" w:hint="default"/>
                <w:sz w:val="20"/>
                <w:szCs w:val="20"/>
              </w:rPr>
            </w:pPr>
            <w:r>
              <w:rPr>
                <w:rFonts w:ascii="黑体" w:hAnsi="黑体" w:cs="黑体" w:eastAsia="黑体" w:hint="default"/>
                <w:sz w:val="20"/>
                <w:szCs w:val="20"/>
              </w:rPr>
              <w:t>年初余额</w:t>
            </w:r>
          </w:p>
        </w:tc>
        <w:tc>
          <w:tcPr>
            <w:tcW w:w="4544" w:type="dxa"/>
            <w:tcBorders>
              <w:top w:val="nil" w:sz="6" w:space="0" w:color="auto"/>
              <w:left w:val="nil" w:sz="6" w:space="0" w:color="auto"/>
              <w:bottom w:val="nil" w:sz="6" w:space="0" w:color="auto"/>
              <w:right w:val="nil" w:sz="6" w:space="0" w:color="auto"/>
            </w:tcBorders>
          </w:tcPr>
          <w:p>
            <w:pPr>
              <w:pStyle w:val="TableParagraph"/>
              <w:tabs>
                <w:tab w:pos="1689" w:val="left" w:leader="none"/>
                <w:tab w:pos="3284" w:val="left" w:leader="none"/>
              </w:tabs>
              <w:spacing w:line="225" w:lineRule="exact"/>
              <w:ind w:right="35"/>
              <w:jc w:val="right"/>
              <w:rPr>
                <w:rFonts w:ascii="黑体" w:hAnsi="黑体" w:cs="黑体" w:eastAsia="黑体" w:hint="default"/>
                <w:sz w:val="20"/>
                <w:szCs w:val="20"/>
              </w:rPr>
            </w:pPr>
            <w:r>
              <w:rPr>
                <w:rFonts w:ascii="黑体" w:hAnsi="黑体" w:cs="黑体" w:eastAsia="黑体" w:hint="default"/>
                <w:sz w:val="20"/>
                <w:szCs w:val="20"/>
              </w:rPr>
              <w:t>本年增加</w:t>
              <w:tab/>
              <w:t>本年减少</w:t>
              <w:tab/>
              <w:t>年末余额</w:t>
            </w:r>
          </w:p>
        </w:tc>
      </w:tr>
      <w:tr>
        <w:trPr>
          <w:trHeight w:val="391"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40" w:lineRule="auto" w:before="96"/>
              <w:ind w:left="744" w:right="0"/>
              <w:jc w:val="left"/>
              <w:rPr>
                <w:rFonts w:ascii="黑体" w:hAnsi="黑体" w:cs="黑体" w:eastAsia="黑体" w:hint="default"/>
                <w:sz w:val="20"/>
                <w:szCs w:val="20"/>
              </w:rPr>
            </w:pPr>
            <w:r>
              <w:rPr>
                <w:rFonts w:ascii="黑体" w:hAnsi="黑体" w:cs="黑体" w:eastAsia="黑体" w:hint="default"/>
                <w:sz w:val="20"/>
                <w:szCs w:val="20"/>
              </w:rPr>
              <w:t>股本溢价</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07"/>
              <w:jc w:val="right"/>
              <w:rPr>
                <w:rFonts w:ascii="Arial" w:hAnsi="Arial" w:cs="Arial" w:eastAsia="Arial" w:hint="default"/>
                <w:sz w:val="20"/>
                <w:szCs w:val="20"/>
              </w:rPr>
            </w:pPr>
            <w:r>
              <w:rPr>
                <w:rFonts w:ascii="Arial"/>
                <w:spacing w:val="-1"/>
                <w:sz w:val="20"/>
              </w:rPr>
              <w:t>674,321,970</w:t>
            </w:r>
          </w:p>
        </w:tc>
        <w:tc>
          <w:tcPr>
            <w:tcW w:w="454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4"/>
              <w:jc w:val="right"/>
              <w:rPr>
                <w:rFonts w:ascii="Arial" w:hAnsi="Arial" w:cs="Arial" w:eastAsia="Arial" w:hint="default"/>
                <w:sz w:val="20"/>
                <w:szCs w:val="20"/>
              </w:rPr>
            </w:pPr>
            <w:r>
              <w:rPr>
                <w:rFonts w:ascii="Arial" w:hAnsi="Arial" w:cs="Arial" w:eastAsia="Arial" w:hint="default"/>
                <w:sz w:val="20"/>
                <w:szCs w:val="20"/>
              </w:rPr>
              <w:t>259,536,445(</w:t>
            </w:r>
            <w:r>
              <w:rPr>
                <w:rFonts w:ascii="黑体" w:hAnsi="黑体" w:cs="黑体" w:eastAsia="黑体" w:hint="default"/>
                <w:sz w:val="20"/>
                <w:szCs w:val="20"/>
              </w:rPr>
              <w:t>注</w:t>
            </w:r>
            <w:r>
              <w:rPr>
                <w:rFonts w:ascii="Arial" w:hAnsi="Arial" w:cs="Arial" w:eastAsia="Arial" w:hint="default"/>
                <w:sz w:val="20"/>
                <w:szCs w:val="20"/>
              </w:rPr>
              <w:t>1)  139,998,893(</w:t>
            </w:r>
            <w:r>
              <w:rPr>
                <w:rFonts w:ascii="黑体" w:hAnsi="黑体" w:cs="黑体" w:eastAsia="黑体" w:hint="default"/>
                <w:sz w:val="20"/>
                <w:szCs w:val="20"/>
              </w:rPr>
              <w:t>注</w:t>
            </w:r>
            <w:r>
              <w:rPr>
                <w:rFonts w:ascii="Arial" w:hAnsi="Arial" w:cs="Arial" w:eastAsia="Arial" w:hint="default"/>
                <w:sz w:val="20"/>
                <w:szCs w:val="20"/>
              </w:rPr>
              <w:t>1)</w:t>
            </w:r>
            <w:r>
              <w:rPr>
                <w:rFonts w:ascii="Arial" w:hAnsi="Arial" w:cs="Arial" w:eastAsia="Arial" w:hint="default"/>
                <w:spacing w:val="1"/>
                <w:sz w:val="20"/>
                <w:szCs w:val="20"/>
              </w:rPr>
              <w:t> </w:t>
            </w:r>
            <w:r>
              <w:rPr>
                <w:rFonts w:ascii="Arial" w:hAnsi="Arial" w:cs="Arial" w:eastAsia="Arial" w:hint="default"/>
                <w:sz w:val="20"/>
                <w:szCs w:val="20"/>
              </w:rPr>
              <w:t>793,859,522</w:t>
            </w:r>
          </w:p>
        </w:tc>
      </w:tr>
      <w:tr>
        <w:trPr>
          <w:trHeight w:val="259"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25" w:lineRule="exact"/>
              <w:ind w:left="744" w:right="0"/>
              <w:jc w:val="left"/>
              <w:rPr>
                <w:rFonts w:ascii="黑体" w:hAnsi="黑体" w:cs="黑体" w:eastAsia="黑体" w:hint="default"/>
                <w:sz w:val="20"/>
                <w:szCs w:val="20"/>
              </w:rPr>
            </w:pPr>
            <w:r>
              <w:rPr>
                <w:rFonts w:ascii="黑体" w:hAnsi="黑体" w:cs="黑体" w:eastAsia="黑体" w:hint="default"/>
                <w:sz w:val="20"/>
                <w:szCs w:val="20"/>
              </w:rPr>
              <w:t>新股申购冻结资金利息</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08"/>
              <w:jc w:val="right"/>
              <w:rPr>
                <w:rFonts w:ascii="Arial" w:hAnsi="Arial" w:cs="Arial" w:eastAsia="Arial" w:hint="default"/>
                <w:sz w:val="20"/>
                <w:szCs w:val="20"/>
              </w:rPr>
            </w:pPr>
            <w:r>
              <w:rPr>
                <w:rFonts w:ascii="Arial"/>
                <w:spacing w:val="-1"/>
                <w:sz w:val="20"/>
              </w:rPr>
              <w:t>20,148,153</w:t>
            </w:r>
          </w:p>
        </w:tc>
        <w:tc>
          <w:tcPr>
            <w:tcW w:w="4544" w:type="dxa"/>
            <w:tcBorders>
              <w:top w:val="nil" w:sz="6" w:space="0" w:color="auto"/>
              <w:left w:val="nil" w:sz="6" w:space="0" w:color="auto"/>
              <w:bottom w:val="nil" w:sz="6" w:space="0" w:color="auto"/>
              <w:right w:val="nil" w:sz="6" w:space="0" w:color="auto"/>
            </w:tcBorders>
          </w:tcPr>
          <w:p>
            <w:pPr>
              <w:pStyle w:val="TableParagraph"/>
              <w:tabs>
                <w:tab w:pos="1689" w:val="left" w:leader="none"/>
                <w:tab w:pos="2349" w:val="left" w:leader="none"/>
              </w:tabs>
              <w:spacing w:line="240" w:lineRule="auto" w:before="7"/>
              <w:ind w:right="35"/>
              <w:jc w:val="right"/>
              <w:rPr>
                <w:rFonts w:ascii="Arial" w:hAnsi="Arial" w:cs="Arial" w:eastAsia="Arial" w:hint="default"/>
                <w:sz w:val="20"/>
                <w:szCs w:val="20"/>
              </w:rPr>
            </w:pPr>
            <w:r>
              <w:rPr>
                <w:rFonts w:ascii="Arial"/>
                <w:sz w:val="20"/>
              </w:rPr>
              <w:t>-</w:t>
              <w:tab/>
              <w:t>-</w:t>
              <w:tab/>
            </w:r>
            <w:r>
              <w:rPr>
                <w:rFonts w:ascii="Arial"/>
                <w:spacing w:val="-1"/>
                <w:sz w:val="20"/>
              </w:rPr>
              <w:t>20,148,153</w:t>
            </w:r>
          </w:p>
        </w:tc>
      </w:tr>
      <w:tr>
        <w:trPr>
          <w:trHeight w:val="515"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25" w:lineRule="exact"/>
              <w:ind w:left="744" w:right="0"/>
              <w:jc w:val="left"/>
              <w:rPr>
                <w:rFonts w:ascii="黑体" w:hAnsi="黑体" w:cs="黑体" w:eastAsia="黑体" w:hint="default"/>
                <w:sz w:val="20"/>
                <w:szCs w:val="20"/>
              </w:rPr>
            </w:pPr>
            <w:r>
              <w:rPr>
                <w:rFonts w:ascii="黑体" w:hAnsi="黑体" w:cs="黑体" w:eastAsia="黑体" w:hint="default"/>
                <w:sz w:val="20"/>
                <w:szCs w:val="20"/>
              </w:rPr>
              <w:t>关联交易差价</w:t>
            </w:r>
          </w:p>
          <w:p>
            <w:pPr>
              <w:pStyle w:val="TableParagraph"/>
              <w:spacing w:line="260" w:lineRule="exact"/>
              <w:ind w:left="745" w:right="0"/>
              <w:jc w:val="left"/>
              <w:rPr>
                <w:rFonts w:ascii="黑体" w:hAnsi="黑体" w:cs="黑体" w:eastAsia="黑体" w:hint="default"/>
                <w:sz w:val="20"/>
                <w:szCs w:val="20"/>
              </w:rPr>
            </w:pPr>
            <w:r>
              <w:rPr>
                <w:rFonts w:ascii="黑体" w:hAnsi="黑体" w:cs="黑体" w:eastAsia="黑体" w:hint="default"/>
                <w:sz w:val="20"/>
                <w:szCs w:val="20"/>
              </w:rPr>
              <w:t>可供出售金融资产公允</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Arial" w:hAnsi="Arial" w:cs="Arial" w:eastAsia="Arial" w:hint="default"/>
                <w:sz w:val="20"/>
                <w:szCs w:val="20"/>
              </w:rPr>
            </w:pPr>
            <w:r>
              <w:rPr>
                <w:rFonts w:ascii="Arial"/>
                <w:spacing w:val="-1"/>
                <w:sz w:val="20"/>
              </w:rPr>
              <w:t>17,969,348</w:t>
            </w:r>
          </w:p>
        </w:tc>
        <w:tc>
          <w:tcPr>
            <w:tcW w:w="4544" w:type="dxa"/>
            <w:tcBorders>
              <w:top w:val="nil" w:sz="6" w:space="0" w:color="auto"/>
              <w:left w:val="nil" w:sz="6" w:space="0" w:color="auto"/>
              <w:bottom w:val="nil" w:sz="6" w:space="0" w:color="auto"/>
              <w:right w:val="nil" w:sz="6" w:space="0" w:color="auto"/>
            </w:tcBorders>
          </w:tcPr>
          <w:p>
            <w:pPr>
              <w:pStyle w:val="TableParagraph"/>
              <w:tabs>
                <w:tab w:pos="1689" w:val="left" w:leader="none"/>
                <w:tab w:pos="2349" w:val="left" w:leader="none"/>
              </w:tabs>
              <w:spacing w:line="240" w:lineRule="auto" w:before="8"/>
              <w:ind w:right="35"/>
              <w:jc w:val="right"/>
              <w:rPr>
                <w:rFonts w:ascii="Arial" w:hAnsi="Arial" w:cs="Arial" w:eastAsia="Arial" w:hint="default"/>
                <w:sz w:val="20"/>
                <w:szCs w:val="20"/>
              </w:rPr>
            </w:pPr>
            <w:r>
              <w:rPr>
                <w:rFonts w:ascii="Arial"/>
                <w:sz w:val="20"/>
              </w:rPr>
              <w:t>-</w:t>
              <w:tab/>
              <w:t>-</w:t>
              <w:tab/>
            </w:r>
            <w:r>
              <w:rPr>
                <w:rFonts w:ascii="Arial"/>
                <w:spacing w:val="-1"/>
                <w:sz w:val="20"/>
              </w:rPr>
              <w:t>17,969,348</w:t>
            </w:r>
          </w:p>
        </w:tc>
      </w:tr>
      <w:tr>
        <w:trPr>
          <w:trHeight w:val="264"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31" w:lineRule="exact"/>
              <w:ind w:right="93"/>
              <w:jc w:val="center"/>
              <w:rPr>
                <w:rFonts w:ascii="黑体" w:hAnsi="黑体" w:cs="黑体" w:eastAsia="黑体" w:hint="default"/>
                <w:sz w:val="20"/>
                <w:szCs w:val="20"/>
              </w:rPr>
            </w:pPr>
            <w:r>
              <w:rPr>
                <w:rFonts w:ascii="黑体" w:hAnsi="黑体" w:cs="黑体" w:eastAsia="黑体" w:hint="default"/>
                <w:sz w:val="20"/>
                <w:szCs w:val="20"/>
              </w:rPr>
              <w:t>价值变动</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7"/>
              <w:jc w:val="right"/>
              <w:rPr>
                <w:rFonts w:ascii="Arial" w:hAnsi="Arial" w:cs="Arial" w:eastAsia="Arial" w:hint="default"/>
                <w:sz w:val="20"/>
                <w:szCs w:val="20"/>
              </w:rPr>
            </w:pPr>
            <w:r>
              <w:rPr>
                <w:rFonts w:ascii="Arial"/>
                <w:spacing w:val="-1"/>
                <w:sz w:val="20"/>
              </w:rPr>
              <w:t>205,568,592</w:t>
            </w:r>
          </w:p>
        </w:tc>
        <w:tc>
          <w:tcPr>
            <w:tcW w:w="4544" w:type="dxa"/>
            <w:tcBorders>
              <w:top w:val="nil" w:sz="6" w:space="0" w:color="auto"/>
              <w:left w:val="nil" w:sz="6" w:space="0" w:color="auto"/>
              <w:bottom w:val="nil" w:sz="6" w:space="0" w:color="auto"/>
              <w:right w:val="nil" w:sz="6" w:space="0" w:color="auto"/>
            </w:tcBorders>
          </w:tcPr>
          <w:p>
            <w:pPr>
              <w:pStyle w:val="TableParagraph"/>
              <w:tabs>
                <w:tab w:pos="644" w:val="left" w:leader="none"/>
                <w:tab w:pos="3284" w:val="left" w:leader="none"/>
              </w:tabs>
              <w:spacing w:line="244" w:lineRule="exact"/>
              <w:ind w:right="35"/>
              <w:jc w:val="right"/>
              <w:rPr>
                <w:rFonts w:ascii="Arial" w:hAnsi="Arial" w:cs="Arial" w:eastAsia="Arial" w:hint="default"/>
                <w:sz w:val="20"/>
                <w:szCs w:val="20"/>
              </w:rPr>
            </w:pPr>
            <w:r>
              <w:rPr>
                <w:rFonts w:ascii="Arial" w:hAnsi="Arial" w:cs="Arial" w:eastAsia="Arial" w:hint="default"/>
                <w:sz w:val="20"/>
                <w:szCs w:val="20"/>
              </w:rPr>
              <w:t>-</w:t>
              <w:tab/>
              <w:t>205,568,592(</w:t>
            </w:r>
            <w:r>
              <w:rPr>
                <w:rFonts w:ascii="黑体" w:hAnsi="黑体" w:cs="黑体" w:eastAsia="黑体" w:hint="default"/>
                <w:sz w:val="20"/>
                <w:szCs w:val="20"/>
              </w:rPr>
              <w:t>注</w:t>
            </w:r>
            <w:r>
              <w:rPr>
                <w:rFonts w:ascii="Arial" w:hAnsi="Arial" w:cs="Arial" w:eastAsia="Arial" w:hint="default"/>
                <w:sz w:val="20"/>
                <w:szCs w:val="20"/>
              </w:rPr>
              <w:t>2)</w:t>
              <w:tab/>
              <w:t>-</w:t>
            </w:r>
          </w:p>
        </w:tc>
      </w:tr>
      <w:tr>
        <w:trPr>
          <w:trHeight w:val="260"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26" w:lineRule="exact"/>
              <w:ind w:left="744" w:right="0"/>
              <w:jc w:val="left"/>
              <w:rPr>
                <w:rFonts w:ascii="黑体" w:hAnsi="黑体" w:cs="黑体" w:eastAsia="黑体" w:hint="default"/>
                <w:sz w:val="20"/>
                <w:szCs w:val="20"/>
              </w:rPr>
            </w:pPr>
            <w:r>
              <w:rPr>
                <w:rFonts w:ascii="黑体" w:hAnsi="黑体" w:cs="黑体" w:eastAsia="黑体" w:hint="default"/>
                <w:sz w:val="20"/>
                <w:szCs w:val="20"/>
              </w:rPr>
              <w:t>股权激励成本</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9"/>
              <w:jc w:val="right"/>
              <w:rPr>
                <w:rFonts w:ascii="Arial" w:hAnsi="Arial" w:cs="Arial" w:eastAsia="Arial" w:hint="default"/>
                <w:sz w:val="20"/>
                <w:szCs w:val="20"/>
              </w:rPr>
            </w:pPr>
            <w:r>
              <w:rPr>
                <w:rFonts w:ascii="Arial"/>
                <w:spacing w:val="-1"/>
                <w:sz w:val="20"/>
              </w:rPr>
              <w:t>44,057,590</w:t>
            </w:r>
          </w:p>
        </w:tc>
        <w:tc>
          <w:tcPr>
            <w:tcW w:w="4544" w:type="dxa"/>
            <w:tcBorders>
              <w:top w:val="nil" w:sz="6" w:space="0" w:color="auto"/>
              <w:left w:val="nil" w:sz="6" w:space="0" w:color="auto"/>
              <w:bottom w:val="nil" w:sz="6" w:space="0" w:color="auto"/>
              <w:right w:val="nil" w:sz="6" w:space="0" w:color="auto"/>
            </w:tcBorders>
          </w:tcPr>
          <w:p>
            <w:pPr>
              <w:pStyle w:val="TableParagraph"/>
              <w:tabs>
                <w:tab w:pos="1856" w:val="left" w:leader="none"/>
              </w:tabs>
              <w:spacing w:line="240" w:lineRule="exact"/>
              <w:ind w:right="35"/>
              <w:jc w:val="right"/>
              <w:rPr>
                <w:rFonts w:ascii="Arial" w:hAnsi="Arial" w:cs="Arial" w:eastAsia="Arial" w:hint="default"/>
                <w:sz w:val="20"/>
                <w:szCs w:val="20"/>
              </w:rPr>
            </w:pPr>
            <w:r>
              <w:rPr>
                <w:rFonts w:ascii="Arial" w:hAnsi="Arial" w:cs="Arial" w:eastAsia="Arial" w:hint="default"/>
                <w:spacing w:val="-1"/>
                <w:sz w:val="20"/>
                <w:szCs w:val="20"/>
              </w:rPr>
              <w:t>8,249,607(</w:t>
            </w:r>
            <w:r>
              <w:rPr>
                <w:rFonts w:ascii="黑体" w:hAnsi="黑体" w:cs="黑体" w:eastAsia="黑体" w:hint="default"/>
                <w:spacing w:val="-1"/>
                <w:sz w:val="20"/>
                <w:szCs w:val="20"/>
              </w:rPr>
              <w:t>注</w:t>
            </w:r>
            <w:r>
              <w:rPr>
                <w:rFonts w:ascii="Arial" w:hAnsi="Arial" w:cs="Arial" w:eastAsia="Arial" w:hint="default"/>
                <w:spacing w:val="-1"/>
                <w:sz w:val="20"/>
                <w:szCs w:val="20"/>
              </w:rPr>
              <w:t>3)</w:t>
              <w:tab/>
            </w:r>
            <w:r>
              <w:rPr>
                <w:rFonts w:ascii="Arial" w:hAnsi="Arial" w:cs="Arial" w:eastAsia="Arial" w:hint="default"/>
                <w:sz w:val="20"/>
                <w:szCs w:val="20"/>
              </w:rPr>
              <w:t>219,490(</w:t>
            </w:r>
            <w:r>
              <w:rPr>
                <w:rFonts w:ascii="黑体" w:hAnsi="黑体" w:cs="黑体" w:eastAsia="黑体" w:hint="default"/>
                <w:sz w:val="20"/>
                <w:szCs w:val="20"/>
              </w:rPr>
              <w:t>注</w:t>
            </w:r>
            <w:r>
              <w:rPr>
                <w:rFonts w:ascii="Arial" w:hAnsi="Arial" w:cs="Arial" w:eastAsia="Arial" w:hint="default"/>
                <w:sz w:val="20"/>
                <w:szCs w:val="20"/>
              </w:rPr>
              <w:t>3) </w:t>
            </w:r>
            <w:r>
              <w:rPr>
                <w:rFonts w:ascii="Arial" w:hAnsi="Arial" w:cs="Arial" w:eastAsia="Arial" w:hint="default"/>
                <w:spacing w:val="37"/>
                <w:sz w:val="20"/>
                <w:szCs w:val="20"/>
              </w:rPr>
              <w:t> </w:t>
            </w:r>
            <w:r>
              <w:rPr>
                <w:rFonts w:ascii="Arial" w:hAnsi="Arial" w:cs="Arial" w:eastAsia="Arial" w:hint="default"/>
                <w:spacing w:val="-1"/>
                <w:sz w:val="20"/>
                <w:szCs w:val="20"/>
              </w:rPr>
              <w:t>52,087,707</w:t>
            </w:r>
          </w:p>
        </w:tc>
      </w:tr>
      <w:tr>
        <w:trPr>
          <w:trHeight w:val="259"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25" w:lineRule="exact"/>
              <w:ind w:left="744"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0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26,556,651</w:t>
            </w:r>
            <w:r>
              <w:rPr>
                <w:rFonts w:ascii="Arial"/>
                <w:spacing w:val="-1"/>
                <w:sz w:val="20"/>
              </w:rPr>
            </w:r>
          </w:p>
        </w:tc>
        <w:tc>
          <w:tcPr>
            <w:tcW w:w="4544" w:type="dxa"/>
            <w:tcBorders>
              <w:top w:val="nil" w:sz="6" w:space="0" w:color="auto"/>
              <w:left w:val="nil" w:sz="6" w:space="0" w:color="auto"/>
              <w:bottom w:val="nil" w:sz="6" w:space="0" w:color="auto"/>
              <w:right w:val="nil" w:sz="6" w:space="0" w:color="auto"/>
            </w:tcBorders>
          </w:tcPr>
          <w:p>
            <w:pPr>
              <w:pStyle w:val="TableParagraph"/>
              <w:tabs>
                <w:tab w:pos="998" w:val="left" w:leader="none"/>
                <w:tab w:pos="1689" w:val="left" w:leader="none"/>
                <w:tab w:pos="2688" w:val="left" w:leader="none"/>
                <w:tab w:pos="3250" w:val="left" w:leader="none"/>
              </w:tabs>
              <w:spacing w:line="240" w:lineRule="auto" w:before="8"/>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tab/>
            </w:r>
            <w:r>
              <w:rPr>
                <w:rFonts w:ascii="Arial"/>
                <w:sz w:val="20"/>
                <w:u w:val="single" w:color="000000"/>
              </w:rPr>
              <w:t> </w:t>
              <w:tab/>
              <w:t>-</w:t>
            </w:r>
            <w:r>
              <w:rPr>
                <w:rFonts w:ascii="Arial"/>
                <w:sz w:val="20"/>
              </w:rPr>
              <w:tab/>
            </w:r>
            <w:r>
              <w:rPr>
                <w:rFonts w:ascii="Arial"/>
                <w:sz w:val="20"/>
                <w:u w:val="single" w:color="000000"/>
              </w:rPr>
              <w:t> </w:t>
            </w:r>
            <w:r>
              <w:rPr>
                <w:rFonts w:ascii="Arial"/>
                <w:spacing w:val="-1"/>
                <w:sz w:val="20"/>
                <w:u w:val="single" w:color="000000"/>
              </w:rPr>
              <w:t>26,556,651</w:t>
            </w:r>
            <w:r>
              <w:rPr>
                <w:rFonts w:ascii="Arial"/>
                <w:spacing w:val="-1"/>
                <w:sz w:val="20"/>
              </w:rPr>
            </w:r>
          </w:p>
        </w:tc>
      </w:tr>
      <w:tr>
        <w:trPr>
          <w:trHeight w:val="374"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26" w:lineRule="exact"/>
              <w:ind w:left="744"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7"/>
              <w:jc w:val="right"/>
              <w:rPr>
                <w:rFonts w:ascii="Arial" w:hAnsi="Arial" w:cs="Arial" w:eastAsia="Arial" w:hint="default"/>
                <w:sz w:val="20"/>
                <w:szCs w:val="20"/>
              </w:rPr>
            </w:pPr>
            <w:r>
              <w:rPr>
                <w:rFonts w:ascii="Arial"/>
                <w:w w:val="100"/>
                <w:sz w:val="20"/>
              </w:rPr>
            </w:r>
            <w:r>
              <w:rPr>
                <w:rFonts w:ascii="Arial"/>
                <w:spacing w:val="-1"/>
                <w:sz w:val="20"/>
                <w:u w:val="thick" w:color="000000"/>
              </w:rPr>
              <w:t>988,622,304</w:t>
            </w:r>
            <w:r>
              <w:rPr>
                <w:rFonts w:ascii="Arial"/>
                <w:spacing w:val="-1"/>
                <w:sz w:val="20"/>
              </w:rPr>
            </w:r>
          </w:p>
        </w:tc>
        <w:tc>
          <w:tcPr>
            <w:tcW w:w="4544" w:type="dxa"/>
            <w:tcBorders>
              <w:top w:val="nil" w:sz="6" w:space="0" w:color="auto"/>
              <w:left w:val="nil" w:sz="6" w:space="0" w:color="auto"/>
              <w:bottom w:val="nil" w:sz="6" w:space="0" w:color="auto"/>
              <w:right w:val="nil" w:sz="6" w:space="0" w:color="auto"/>
            </w:tcBorders>
          </w:tcPr>
          <w:p>
            <w:pPr>
              <w:pStyle w:val="TableParagraph"/>
              <w:tabs>
                <w:tab w:pos="1689" w:val="left" w:leader="none"/>
                <w:tab w:pos="3284" w:val="left" w:leader="none"/>
              </w:tabs>
              <w:spacing w:line="240" w:lineRule="auto" w:before="8"/>
              <w:ind w:right="34"/>
              <w:jc w:val="right"/>
              <w:rPr>
                <w:rFonts w:ascii="Arial" w:hAnsi="Arial" w:cs="Arial" w:eastAsia="Arial" w:hint="default"/>
                <w:sz w:val="20"/>
                <w:szCs w:val="20"/>
              </w:rPr>
            </w:pPr>
            <w:r>
              <w:rPr>
                <w:rFonts w:ascii="Arial"/>
                <w:w w:val="100"/>
                <w:sz w:val="20"/>
              </w:rPr>
            </w:r>
            <w:r>
              <w:rPr>
                <w:rFonts w:ascii="Arial"/>
                <w:spacing w:val="-1"/>
                <w:sz w:val="20"/>
                <w:u w:val="thick" w:color="000000"/>
              </w:rPr>
              <w:t>267,786,052</w:t>
            </w:r>
            <w:r>
              <w:rPr>
                <w:rFonts w:ascii="Arial"/>
                <w:spacing w:val="-1"/>
                <w:sz w:val="20"/>
              </w:rPr>
              <w:tab/>
            </w:r>
            <w:r>
              <w:rPr>
                <w:rFonts w:ascii="Arial"/>
                <w:spacing w:val="-1"/>
                <w:sz w:val="20"/>
                <w:u w:val="thick" w:color="000000"/>
              </w:rPr>
              <w:t>345,786,975</w:t>
            </w:r>
            <w:r>
              <w:rPr>
                <w:rFonts w:ascii="Arial"/>
                <w:spacing w:val="-1"/>
                <w:sz w:val="20"/>
              </w:rPr>
              <w:tab/>
            </w:r>
            <w:r>
              <w:rPr>
                <w:rFonts w:ascii="Arial"/>
                <w:spacing w:val="-1"/>
                <w:sz w:val="20"/>
                <w:u w:val="thick" w:color="000000"/>
              </w:rPr>
              <w:t>910,621,381</w:t>
            </w:r>
            <w:r>
              <w:rPr>
                <w:rFonts w:ascii="Arial"/>
                <w:spacing w:val="-1"/>
                <w:sz w:val="20"/>
              </w:rPr>
            </w:r>
          </w:p>
        </w:tc>
      </w:tr>
      <w:tr>
        <w:trPr>
          <w:trHeight w:val="758"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744"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b/>
                <w:bCs/>
                <w:sz w:val="25"/>
                <w:szCs w:val="25"/>
              </w:rPr>
            </w:pPr>
          </w:p>
          <w:p>
            <w:pPr>
              <w:pStyle w:val="TableParagraph"/>
              <w:spacing w:line="240" w:lineRule="auto"/>
              <w:ind w:right="120"/>
              <w:jc w:val="right"/>
              <w:rPr>
                <w:rFonts w:ascii="黑体" w:hAnsi="黑体" w:cs="黑体" w:eastAsia="黑体" w:hint="default"/>
                <w:sz w:val="20"/>
                <w:szCs w:val="20"/>
              </w:rPr>
            </w:pPr>
            <w:r>
              <w:rPr>
                <w:rFonts w:ascii="黑体" w:hAnsi="黑体" w:cs="黑体" w:eastAsia="黑体" w:hint="default"/>
                <w:sz w:val="20"/>
                <w:szCs w:val="20"/>
              </w:rPr>
              <w:t>年初余额</w:t>
            </w:r>
          </w:p>
        </w:tc>
        <w:tc>
          <w:tcPr>
            <w:tcW w:w="454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b/>
                <w:bCs/>
                <w:sz w:val="25"/>
                <w:szCs w:val="25"/>
              </w:rPr>
            </w:pPr>
          </w:p>
          <w:p>
            <w:pPr>
              <w:pStyle w:val="TableParagraph"/>
              <w:tabs>
                <w:tab w:pos="1691" w:val="left" w:leader="none"/>
                <w:tab w:pos="3290" w:val="left" w:leader="none"/>
              </w:tabs>
              <w:spacing w:line="240" w:lineRule="auto"/>
              <w:ind w:right="35"/>
              <w:jc w:val="right"/>
              <w:rPr>
                <w:rFonts w:ascii="黑体" w:hAnsi="黑体" w:cs="黑体" w:eastAsia="黑体" w:hint="default"/>
                <w:sz w:val="20"/>
                <w:szCs w:val="20"/>
              </w:rPr>
            </w:pPr>
            <w:r>
              <w:rPr>
                <w:rFonts w:ascii="黑体" w:hAnsi="黑体" w:cs="黑体" w:eastAsia="黑体" w:hint="default"/>
                <w:sz w:val="20"/>
                <w:szCs w:val="20"/>
              </w:rPr>
              <w:t>本年增加</w:t>
              <w:tab/>
              <w:t>本年减少</w:t>
              <w:tab/>
              <w:t>年末余额</w:t>
            </w:r>
          </w:p>
        </w:tc>
      </w:tr>
      <w:tr>
        <w:trPr>
          <w:trHeight w:val="391"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40" w:lineRule="auto" w:before="96"/>
              <w:ind w:left="744" w:right="0"/>
              <w:jc w:val="left"/>
              <w:rPr>
                <w:rFonts w:ascii="黑体" w:hAnsi="黑体" w:cs="黑体" w:eastAsia="黑体" w:hint="default"/>
                <w:sz w:val="20"/>
                <w:szCs w:val="20"/>
              </w:rPr>
            </w:pPr>
            <w:r>
              <w:rPr>
                <w:rFonts w:ascii="黑体" w:hAnsi="黑体" w:cs="黑体" w:eastAsia="黑体" w:hint="default"/>
                <w:sz w:val="20"/>
                <w:szCs w:val="20"/>
              </w:rPr>
              <w:t>股本溢价</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20"/>
              <w:jc w:val="right"/>
              <w:rPr>
                <w:rFonts w:ascii="Arial" w:hAnsi="Arial" w:cs="Arial" w:eastAsia="Arial" w:hint="default"/>
                <w:sz w:val="20"/>
                <w:szCs w:val="20"/>
              </w:rPr>
            </w:pPr>
            <w:r>
              <w:rPr>
                <w:rFonts w:ascii="Arial"/>
                <w:spacing w:val="-1"/>
                <w:sz w:val="20"/>
              </w:rPr>
              <w:t>853,996,464</w:t>
            </w:r>
          </w:p>
        </w:tc>
        <w:tc>
          <w:tcPr>
            <w:tcW w:w="454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Arial" w:hAnsi="Arial" w:cs="Arial" w:eastAsia="Arial" w:hint="default"/>
                <w:sz w:val="20"/>
                <w:szCs w:val="20"/>
              </w:rPr>
            </w:pPr>
            <w:r>
              <w:rPr>
                <w:rFonts w:ascii="Arial" w:hAnsi="Arial" w:cs="Arial" w:eastAsia="Arial" w:hint="default"/>
                <w:sz w:val="20"/>
                <w:szCs w:val="20"/>
              </w:rPr>
              <w:t>51,686,706(</w:t>
            </w:r>
            <w:r>
              <w:rPr>
                <w:rFonts w:ascii="黑体" w:hAnsi="黑体" w:cs="黑体" w:eastAsia="黑体" w:hint="default"/>
                <w:sz w:val="20"/>
                <w:szCs w:val="20"/>
              </w:rPr>
              <w:t>注</w:t>
            </w:r>
            <w:r>
              <w:rPr>
                <w:rFonts w:ascii="Arial" w:hAnsi="Arial" w:cs="Arial" w:eastAsia="Arial" w:hint="default"/>
                <w:sz w:val="20"/>
                <w:szCs w:val="20"/>
              </w:rPr>
              <w:t>1) </w:t>
            </w:r>
            <w:r>
              <w:rPr>
                <w:rFonts w:ascii="Arial" w:hAnsi="Arial" w:cs="Arial" w:eastAsia="Arial" w:hint="default"/>
                <w:spacing w:val="20"/>
                <w:sz w:val="20"/>
                <w:szCs w:val="20"/>
              </w:rPr>
              <w:t> </w:t>
            </w:r>
            <w:r>
              <w:rPr>
                <w:rFonts w:ascii="Arial" w:hAnsi="Arial" w:cs="Arial" w:eastAsia="Arial" w:hint="default"/>
                <w:sz w:val="20"/>
                <w:szCs w:val="20"/>
              </w:rPr>
              <w:t>231,361,200</w:t>
            </w:r>
            <w:r>
              <w:rPr>
                <w:rFonts w:ascii="Arial" w:hAnsi="Arial" w:cs="Arial" w:eastAsia="Arial" w:hint="default"/>
                <w:spacing w:val="-37"/>
                <w:sz w:val="20"/>
                <w:szCs w:val="20"/>
              </w:rPr>
              <w:t> </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r>
              <w:rPr>
                <w:rFonts w:ascii="Arial" w:hAnsi="Arial" w:cs="Arial" w:eastAsia="Arial" w:hint="default"/>
                <w:spacing w:val="-33"/>
                <w:sz w:val="20"/>
                <w:szCs w:val="20"/>
              </w:rPr>
              <w:t> </w:t>
            </w:r>
            <w:r>
              <w:rPr>
                <w:rFonts w:ascii="Arial" w:hAnsi="Arial" w:cs="Arial" w:eastAsia="Arial" w:hint="default"/>
                <w:sz w:val="20"/>
                <w:szCs w:val="20"/>
              </w:rPr>
              <w:t>674,321,970</w:t>
            </w:r>
          </w:p>
        </w:tc>
      </w:tr>
      <w:tr>
        <w:trPr>
          <w:trHeight w:val="259"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26" w:lineRule="exact"/>
              <w:ind w:left="744" w:right="0"/>
              <w:jc w:val="left"/>
              <w:rPr>
                <w:rFonts w:ascii="黑体" w:hAnsi="黑体" w:cs="黑体" w:eastAsia="黑体" w:hint="default"/>
                <w:sz w:val="20"/>
                <w:szCs w:val="20"/>
              </w:rPr>
            </w:pPr>
            <w:r>
              <w:rPr>
                <w:rFonts w:ascii="黑体" w:hAnsi="黑体" w:cs="黑体" w:eastAsia="黑体" w:hint="default"/>
                <w:sz w:val="20"/>
                <w:szCs w:val="20"/>
              </w:rPr>
              <w:t>新股申购冻结资金利息</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20"/>
              <w:jc w:val="right"/>
              <w:rPr>
                <w:rFonts w:ascii="Arial" w:hAnsi="Arial" w:cs="Arial" w:eastAsia="Arial" w:hint="default"/>
                <w:sz w:val="20"/>
                <w:szCs w:val="20"/>
              </w:rPr>
            </w:pPr>
            <w:r>
              <w:rPr>
                <w:rFonts w:ascii="Arial"/>
                <w:spacing w:val="-1"/>
                <w:sz w:val="20"/>
              </w:rPr>
              <w:t>20,148,153</w:t>
            </w:r>
          </w:p>
        </w:tc>
        <w:tc>
          <w:tcPr>
            <w:tcW w:w="4544" w:type="dxa"/>
            <w:tcBorders>
              <w:top w:val="nil" w:sz="6" w:space="0" w:color="auto"/>
              <w:left w:val="nil" w:sz="6" w:space="0" w:color="auto"/>
              <w:bottom w:val="nil" w:sz="6" w:space="0" w:color="auto"/>
              <w:right w:val="nil" w:sz="6" w:space="0" w:color="auto"/>
            </w:tcBorders>
          </w:tcPr>
          <w:p>
            <w:pPr>
              <w:pStyle w:val="TableParagraph"/>
              <w:tabs>
                <w:tab w:pos="1691" w:val="left" w:leader="none"/>
                <w:tab w:pos="2355" w:val="left" w:leader="none"/>
              </w:tabs>
              <w:spacing w:line="240" w:lineRule="auto" w:before="7"/>
              <w:ind w:right="34"/>
              <w:jc w:val="right"/>
              <w:rPr>
                <w:rFonts w:ascii="Arial" w:hAnsi="Arial" w:cs="Arial" w:eastAsia="Arial" w:hint="default"/>
                <w:sz w:val="20"/>
                <w:szCs w:val="20"/>
              </w:rPr>
            </w:pPr>
            <w:r>
              <w:rPr>
                <w:rFonts w:ascii="Arial"/>
                <w:sz w:val="20"/>
              </w:rPr>
              <w:t>-</w:t>
              <w:tab/>
              <w:t>-</w:t>
              <w:tab/>
            </w:r>
            <w:r>
              <w:rPr>
                <w:rFonts w:ascii="Arial"/>
                <w:spacing w:val="-1"/>
                <w:sz w:val="20"/>
              </w:rPr>
              <w:t>20,148,153</w:t>
            </w:r>
          </w:p>
        </w:tc>
      </w:tr>
      <w:tr>
        <w:trPr>
          <w:trHeight w:val="515"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25" w:lineRule="exact"/>
              <w:ind w:left="744" w:right="0"/>
              <w:jc w:val="left"/>
              <w:rPr>
                <w:rFonts w:ascii="黑体" w:hAnsi="黑体" w:cs="黑体" w:eastAsia="黑体" w:hint="default"/>
                <w:sz w:val="20"/>
                <w:szCs w:val="20"/>
              </w:rPr>
            </w:pPr>
            <w:r>
              <w:rPr>
                <w:rFonts w:ascii="黑体" w:hAnsi="黑体" w:cs="黑体" w:eastAsia="黑体" w:hint="default"/>
                <w:sz w:val="20"/>
                <w:szCs w:val="20"/>
              </w:rPr>
              <w:t>关联交易差价</w:t>
            </w:r>
          </w:p>
          <w:p>
            <w:pPr>
              <w:pStyle w:val="TableParagraph"/>
              <w:spacing w:line="260" w:lineRule="exact"/>
              <w:ind w:left="745" w:right="0"/>
              <w:jc w:val="left"/>
              <w:rPr>
                <w:rFonts w:ascii="黑体" w:hAnsi="黑体" w:cs="黑体" w:eastAsia="黑体" w:hint="default"/>
                <w:sz w:val="20"/>
                <w:szCs w:val="20"/>
              </w:rPr>
            </w:pPr>
            <w:r>
              <w:rPr>
                <w:rFonts w:ascii="黑体" w:hAnsi="黑体" w:cs="黑体" w:eastAsia="黑体" w:hint="default"/>
                <w:sz w:val="20"/>
                <w:szCs w:val="20"/>
              </w:rPr>
              <w:t>可供出售金融资产公允</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0"/>
              <w:jc w:val="right"/>
              <w:rPr>
                <w:rFonts w:ascii="Arial" w:hAnsi="Arial" w:cs="Arial" w:eastAsia="Arial" w:hint="default"/>
                <w:sz w:val="20"/>
                <w:szCs w:val="20"/>
              </w:rPr>
            </w:pPr>
            <w:r>
              <w:rPr>
                <w:rFonts w:ascii="Arial"/>
                <w:spacing w:val="-1"/>
                <w:sz w:val="20"/>
              </w:rPr>
              <w:t>17,969,348</w:t>
            </w:r>
          </w:p>
        </w:tc>
        <w:tc>
          <w:tcPr>
            <w:tcW w:w="4544" w:type="dxa"/>
            <w:tcBorders>
              <w:top w:val="nil" w:sz="6" w:space="0" w:color="auto"/>
              <w:left w:val="nil" w:sz="6" w:space="0" w:color="auto"/>
              <w:bottom w:val="nil" w:sz="6" w:space="0" w:color="auto"/>
              <w:right w:val="nil" w:sz="6" w:space="0" w:color="auto"/>
            </w:tcBorders>
          </w:tcPr>
          <w:p>
            <w:pPr>
              <w:pStyle w:val="TableParagraph"/>
              <w:tabs>
                <w:tab w:pos="1691" w:val="left" w:leader="none"/>
                <w:tab w:pos="2355" w:val="left" w:leader="none"/>
              </w:tabs>
              <w:spacing w:line="240" w:lineRule="auto" w:before="8"/>
              <w:ind w:right="34"/>
              <w:jc w:val="right"/>
              <w:rPr>
                <w:rFonts w:ascii="Arial" w:hAnsi="Arial" w:cs="Arial" w:eastAsia="Arial" w:hint="default"/>
                <w:sz w:val="20"/>
                <w:szCs w:val="20"/>
              </w:rPr>
            </w:pPr>
            <w:r>
              <w:rPr>
                <w:rFonts w:ascii="Arial"/>
                <w:sz w:val="20"/>
              </w:rPr>
              <w:t>-</w:t>
              <w:tab/>
              <w:t>-</w:t>
              <w:tab/>
            </w:r>
            <w:r>
              <w:rPr>
                <w:rFonts w:ascii="Arial"/>
                <w:spacing w:val="-1"/>
                <w:sz w:val="20"/>
              </w:rPr>
              <w:t>17,969,348</w:t>
            </w:r>
          </w:p>
        </w:tc>
      </w:tr>
      <w:tr>
        <w:trPr>
          <w:trHeight w:val="263"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30" w:lineRule="exact"/>
              <w:ind w:right="93"/>
              <w:jc w:val="center"/>
              <w:rPr>
                <w:rFonts w:ascii="黑体" w:hAnsi="黑体" w:cs="黑体" w:eastAsia="黑体" w:hint="default"/>
                <w:sz w:val="20"/>
                <w:szCs w:val="20"/>
              </w:rPr>
            </w:pPr>
            <w:r>
              <w:rPr>
                <w:rFonts w:ascii="黑体" w:hAnsi="黑体" w:cs="黑体" w:eastAsia="黑体" w:hint="default"/>
                <w:sz w:val="20"/>
                <w:szCs w:val="20"/>
              </w:rPr>
              <w:t>价值变动</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9"/>
              <w:jc w:val="right"/>
              <w:rPr>
                <w:rFonts w:ascii="Arial" w:hAnsi="Arial" w:cs="Arial" w:eastAsia="Arial" w:hint="default"/>
                <w:sz w:val="20"/>
                <w:szCs w:val="20"/>
              </w:rPr>
            </w:pPr>
            <w:r>
              <w:rPr>
                <w:rFonts w:ascii="Arial"/>
                <w:spacing w:val="-1"/>
                <w:sz w:val="20"/>
              </w:rPr>
              <w:t>782,093,925</w:t>
            </w:r>
          </w:p>
        </w:tc>
        <w:tc>
          <w:tcPr>
            <w:tcW w:w="4544" w:type="dxa"/>
            <w:tcBorders>
              <w:top w:val="nil" w:sz="6" w:space="0" w:color="auto"/>
              <w:left w:val="nil" w:sz="6" w:space="0" w:color="auto"/>
              <w:bottom w:val="nil" w:sz="6" w:space="0" w:color="auto"/>
              <w:right w:val="nil" w:sz="6" w:space="0" w:color="auto"/>
            </w:tcBorders>
          </w:tcPr>
          <w:p>
            <w:pPr>
              <w:pStyle w:val="TableParagraph"/>
              <w:tabs>
                <w:tab w:pos="646" w:val="left" w:leader="none"/>
              </w:tabs>
              <w:spacing w:line="244" w:lineRule="exact"/>
              <w:ind w:right="33"/>
              <w:jc w:val="right"/>
              <w:rPr>
                <w:rFonts w:ascii="Arial" w:hAnsi="Arial" w:cs="Arial" w:eastAsia="Arial" w:hint="default"/>
                <w:sz w:val="20"/>
                <w:szCs w:val="20"/>
              </w:rPr>
            </w:pPr>
            <w:r>
              <w:rPr>
                <w:rFonts w:ascii="Arial" w:hAnsi="Arial" w:cs="Arial" w:eastAsia="Arial" w:hint="default"/>
                <w:sz w:val="20"/>
                <w:szCs w:val="20"/>
              </w:rPr>
              <w:t>-</w:t>
              <w:tab/>
              <w:t>576,525,333</w:t>
            </w:r>
            <w:r>
              <w:rPr>
                <w:rFonts w:ascii="Arial" w:hAnsi="Arial" w:cs="Arial" w:eastAsia="Arial" w:hint="default"/>
                <w:spacing w:val="-38"/>
                <w:sz w:val="20"/>
                <w:szCs w:val="20"/>
              </w:rPr>
              <w:t> </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2)</w:t>
            </w:r>
            <w:r>
              <w:rPr>
                <w:rFonts w:ascii="Arial" w:hAnsi="Arial" w:cs="Arial" w:eastAsia="Arial" w:hint="default"/>
                <w:spacing w:val="-33"/>
                <w:sz w:val="20"/>
                <w:szCs w:val="20"/>
              </w:rPr>
              <w:t> </w:t>
            </w:r>
            <w:r>
              <w:rPr>
                <w:rFonts w:ascii="Arial" w:hAnsi="Arial" w:cs="Arial" w:eastAsia="Arial" w:hint="default"/>
                <w:sz w:val="20"/>
                <w:szCs w:val="20"/>
              </w:rPr>
              <w:t>205,568,592</w:t>
            </w:r>
          </w:p>
        </w:tc>
      </w:tr>
      <w:tr>
        <w:trPr>
          <w:trHeight w:val="260"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25" w:lineRule="exact"/>
              <w:ind w:left="744" w:right="0"/>
              <w:jc w:val="left"/>
              <w:rPr>
                <w:rFonts w:ascii="黑体" w:hAnsi="黑体" w:cs="黑体" w:eastAsia="黑体" w:hint="default"/>
                <w:sz w:val="20"/>
                <w:szCs w:val="20"/>
              </w:rPr>
            </w:pPr>
            <w:r>
              <w:rPr>
                <w:rFonts w:ascii="黑体" w:hAnsi="黑体" w:cs="黑体" w:eastAsia="黑体" w:hint="default"/>
                <w:sz w:val="20"/>
                <w:szCs w:val="20"/>
              </w:rPr>
              <w:t>股权激励成本</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21"/>
              <w:jc w:val="right"/>
              <w:rPr>
                <w:rFonts w:ascii="Arial" w:hAnsi="Arial" w:cs="Arial" w:eastAsia="Arial" w:hint="default"/>
                <w:sz w:val="20"/>
                <w:szCs w:val="20"/>
              </w:rPr>
            </w:pPr>
            <w:r>
              <w:rPr>
                <w:rFonts w:ascii="Arial"/>
                <w:spacing w:val="-1"/>
                <w:sz w:val="20"/>
              </w:rPr>
              <w:t>6,488,291</w:t>
            </w:r>
          </w:p>
        </w:tc>
        <w:tc>
          <w:tcPr>
            <w:tcW w:w="4544" w:type="dxa"/>
            <w:tcBorders>
              <w:top w:val="nil" w:sz="6" w:space="0" w:color="auto"/>
              <w:left w:val="nil" w:sz="6" w:space="0" w:color="auto"/>
              <w:bottom w:val="nil" w:sz="6" w:space="0" w:color="auto"/>
              <w:right w:val="nil" w:sz="6" w:space="0" w:color="auto"/>
            </w:tcBorders>
          </w:tcPr>
          <w:p>
            <w:pPr>
              <w:pStyle w:val="TableParagraph"/>
              <w:tabs>
                <w:tab w:pos="1970" w:val="left" w:leader="none"/>
              </w:tabs>
              <w:spacing w:line="240" w:lineRule="exact"/>
              <w:ind w:right="34"/>
              <w:jc w:val="right"/>
              <w:rPr>
                <w:rFonts w:ascii="Arial" w:hAnsi="Arial" w:cs="Arial" w:eastAsia="Arial" w:hint="default"/>
                <w:sz w:val="20"/>
                <w:szCs w:val="20"/>
              </w:rPr>
            </w:pPr>
            <w:r>
              <w:rPr>
                <w:rFonts w:ascii="Arial" w:hAnsi="Arial" w:cs="Arial" w:eastAsia="Arial" w:hint="default"/>
                <w:sz w:val="20"/>
                <w:szCs w:val="20"/>
              </w:rPr>
              <w:t>38,243,800(</w:t>
            </w:r>
            <w:r>
              <w:rPr>
                <w:rFonts w:ascii="黑体" w:hAnsi="黑体" w:cs="黑体" w:eastAsia="黑体" w:hint="default"/>
                <w:sz w:val="20"/>
                <w:szCs w:val="20"/>
              </w:rPr>
              <w:t>注</w:t>
            </w:r>
            <w:r>
              <w:rPr>
                <w:rFonts w:ascii="Arial" w:hAnsi="Arial" w:cs="Arial" w:eastAsia="Arial" w:hint="default"/>
                <w:sz w:val="20"/>
                <w:szCs w:val="20"/>
              </w:rPr>
              <w:t>3)</w:t>
              <w:tab/>
              <w:t>674,501 (</w:t>
            </w:r>
            <w:r>
              <w:rPr>
                <w:rFonts w:ascii="黑体" w:hAnsi="黑体" w:cs="黑体" w:eastAsia="黑体" w:hint="default"/>
                <w:sz w:val="20"/>
                <w:szCs w:val="20"/>
              </w:rPr>
              <w:t>注</w:t>
            </w:r>
            <w:r>
              <w:rPr>
                <w:rFonts w:ascii="Arial" w:hAnsi="Arial" w:cs="Arial" w:eastAsia="Arial" w:hint="default"/>
                <w:sz w:val="20"/>
                <w:szCs w:val="20"/>
              </w:rPr>
              <w:t>3)</w:t>
            </w:r>
            <w:r>
              <w:rPr>
                <w:rFonts w:ascii="Arial" w:hAnsi="Arial" w:cs="Arial" w:eastAsia="Arial" w:hint="default"/>
                <w:spacing w:val="30"/>
                <w:sz w:val="20"/>
                <w:szCs w:val="20"/>
              </w:rPr>
              <w:t> </w:t>
            </w:r>
            <w:r>
              <w:rPr>
                <w:rFonts w:ascii="Arial" w:hAnsi="Arial" w:cs="Arial" w:eastAsia="Arial" w:hint="default"/>
                <w:sz w:val="20"/>
                <w:szCs w:val="20"/>
              </w:rPr>
              <w:t>44,057,590</w:t>
            </w:r>
          </w:p>
        </w:tc>
      </w:tr>
      <w:tr>
        <w:trPr>
          <w:trHeight w:val="259"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26" w:lineRule="exact"/>
              <w:ind w:left="744"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1435"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8"/>
              <w:ind w:right="12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26,556,651</w:t>
            </w:r>
            <w:r>
              <w:rPr>
                <w:rFonts w:ascii="Arial"/>
                <w:spacing w:val="-1"/>
                <w:sz w:val="20"/>
              </w:rPr>
            </w:r>
          </w:p>
        </w:tc>
        <w:tc>
          <w:tcPr>
            <w:tcW w:w="4544" w:type="dxa"/>
            <w:tcBorders>
              <w:top w:val="nil" w:sz="6" w:space="0" w:color="auto"/>
              <w:left w:val="nil" w:sz="6" w:space="0" w:color="auto"/>
              <w:bottom w:val="nil" w:sz="6" w:space="0" w:color="auto"/>
              <w:right w:val="nil" w:sz="6" w:space="0" w:color="auto"/>
            </w:tcBorders>
          </w:tcPr>
          <w:p>
            <w:pPr>
              <w:pStyle w:val="TableParagraph"/>
              <w:tabs>
                <w:tab w:pos="899" w:val="left" w:leader="none"/>
                <w:tab w:pos="1591" w:val="left" w:leader="none"/>
                <w:tab w:pos="2589" w:val="left" w:leader="none"/>
                <w:tab w:pos="3155" w:val="left" w:leader="none"/>
              </w:tabs>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tab/>
            </w:r>
            <w:r>
              <w:rPr>
                <w:rFonts w:ascii="Arial"/>
                <w:sz w:val="20"/>
                <w:u w:val="single" w:color="000000"/>
              </w:rPr>
              <w:t> </w:t>
              <w:tab/>
              <w:t>-</w:t>
            </w:r>
            <w:r>
              <w:rPr>
                <w:rFonts w:ascii="Arial"/>
                <w:sz w:val="20"/>
              </w:rPr>
              <w:tab/>
            </w:r>
            <w:r>
              <w:rPr>
                <w:rFonts w:ascii="Arial"/>
                <w:sz w:val="20"/>
                <w:u w:val="single" w:color="000000"/>
              </w:rPr>
              <w:t> </w:t>
            </w:r>
            <w:r>
              <w:rPr>
                <w:rFonts w:ascii="Arial"/>
                <w:spacing w:val="-1"/>
                <w:sz w:val="20"/>
                <w:u w:val="single" w:color="000000"/>
              </w:rPr>
              <w:t>26,556,651</w:t>
            </w:r>
            <w:r>
              <w:rPr>
                <w:rFonts w:ascii="Arial"/>
                <w:spacing w:val="-1"/>
                <w:sz w:val="20"/>
              </w:rPr>
            </w:r>
          </w:p>
        </w:tc>
      </w:tr>
      <w:tr>
        <w:trPr>
          <w:trHeight w:val="334" w:hRule="exact"/>
        </w:trPr>
        <w:tc>
          <w:tcPr>
            <w:tcW w:w="2758" w:type="dxa"/>
            <w:tcBorders>
              <w:top w:val="nil" w:sz="6" w:space="0" w:color="auto"/>
              <w:left w:val="nil" w:sz="6" w:space="0" w:color="auto"/>
              <w:bottom w:val="nil" w:sz="6" w:space="0" w:color="auto"/>
              <w:right w:val="nil" w:sz="6" w:space="0" w:color="auto"/>
            </w:tcBorders>
          </w:tcPr>
          <w:p>
            <w:pPr>
              <w:pStyle w:val="TableParagraph"/>
              <w:spacing w:line="226" w:lineRule="exact"/>
              <w:ind w:left="744"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0"/>
              <w:jc w:val="right"/>
              <w:rPr>
                <w:rFonts w:ascii="Arial" w:hAnsi="Arial" w:cs="Arial" w:eastAsia="Arial" w:hint="default"/>
                <w:sz w:val="20"/>
                <w:szCs w:val="20"/>
              </w:rPr>
            </w:pPr>
            <w:r>
              <w:rPr>
                <w:rFonts w:ascii="Arial"/>
                <w:w w:val="100"/>
                <w:sz w:val="20"/>
              </w:rPr>
            </w:r>
            <w:r>
              <w:rPr>
                <w:rFonts w:ascii="Arial"/>
                <w:spacing w:val="-2"/>
                <w:sz w:val="20"/>
                <w:u w:val="thick" w:color="000000"/>
              </w:rPr>
              <w:t>1,707,252,832</w:t>
            </w:r>
            <w:r>
              <w:rPr>
                <w:rFonts w:ascii="Arial"/>
                <w:spacing w:val="-2"/>
                <w:sz w:val="20"/>
              </w:rPr>
            </w:r>
          </w:p>
        </w:tc>
        <w:tc>
          <w:tcPr>
            <w:tcW w:w="4544" w:type="dxa"/>
            <w:tcBorders>
              <w:top w:val="nil" w:sz="6" w:space="0" w:color="auto"/>
              <w:left w:val="nil" w:sz="6" w:space="0" w:color="auto"/>
              <w:bottom w:val="nil" w:sz="6" w:space="0" w:color="auto"/>
              <w:right w:val="nil" w:sz="6" w:space="0" w:color="auto"/>
            </w:tcBorders>
          </w:tcPr>
          <w:p>
            <w:pPr>
              <w:pStyle w:val="TableParagraph"/>
              <w:tabs>
                <w:tab w:pos="1581" w:val="left" w:leader="none"/>
                <w:tab w:pos="3179" w:val="left" w:leader="none"/>
              </w:tabs>
              <w:spacing w:line="240" w:lineRule="auto" w:before="8"/>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89,930,506</w:t>
            </w:r>
            <w:r>
              <w:rPr>
                <w:rFonts w:ascii="Arial"/>
                <w:spacing w:val="-1"/>
                <w:sz w:val="20"/>
              </w:rPr>
              <w:tab/>
            </w:r>
            <w:r>
              <w:rPr>
                <w:rFonts w:ascii="Arial"/>
                <w:spacing w:val="-1"/>
                <w:sz w:val="20"/>
                <w:u w:val="thick" w:color="000000"/>
              </w:rPr>
              <w:t>808,561,034</w:t>
            </w:r>
            <w:r>
              <w:rPr>
                <w:rFonts w:ascii="Arial"/>
                <w:spacing w:val="-1"/>
                <w:sz w:val="20"/>
              </w:rPr>
              <w:tab/>
            </w:r>
            <w:r>
              <w:rPr>
                <w:rFonts w:ascii="Arial"/>
                <w:spacing w:val="-1"/>
                <w:sz w:val="20"/>
                <w:u w:val="thick" w:color="000000"/>
              </w:rPr>
              <w:t>988,622,304</w:t>
            </w:r>
            <w:r>
              <w:rPr>
                <w:rFonts w:ascii="Arial"/>
                <w:spacing w:val="-1"/>
                <w:sz w:val="20"/>
              </w:rPr>
            </w:r>
          </w:p>
        </w:tc>
      </w:tr>
    </w:tbl>
    <w:p>
      <w:pPr>
        <w:spacing w:line="240" w:lineRule="auto" w:before="2"/>
        <w:rPr>
          <w:rFonts w:ascii="黑体" w:hAnsi="黑体" w:cs="黑体" w:eastAsia="黑体" w:hint="default"/>
          <w:b/>
          <w:bCs/>
          <w:sz w:val="6"/>
          <w:szCs w:val="6"/>
        </w:rPr>
      </w:pPr>
    </w:p>
    <w:p>
      <w:pPr>
        <w:pStyle w:val="BodyText"/>
        <w:spacing w:line="225" w:lineRule="auto" w:before="52"/>
        <w:ind w:left="855" w:right="6824"/>
        <w:jc w:val="left"/>
      </w:pPr>
      <w:r>
        <w:rPr/>
        <w:t>注</w:t>
      </w:r>
      <w:r>
        <w:rPr>
          <w:rFonts w:ascii="Arial" w:hAnsi="Arial" w:cs="Arial" w:eastAsia="Arial" w:hint="default"/>
        </w:rPr>
        <w:t>1</w:t>
      </w:r>
      <w:r>
        <w:rPr/>
        <w:t>．参见附注五、</w:t>
      </w:r>
      <w:r>
        <w:rPr>
          <w:rFonts w:ascii="Arial" w:hAnsi="Arial" w:cs="Arial" w:eastAsia="Arial" w:hint="default"/>
        </w:rPr>
        <w:t>28</w:t>
      </w:r>
      <w:r>
        <w:rPr/>
        <w:t>、注</w:t>
      </w:r>
      <w:r>
        <w:rPr>
          <w:rFonts w:ascii="Arial" w:hAnsi="Arial" w:cs="Arial" w:eastAsia="Arial" w:hint="default"/>
        </w:rPr>
        <w:t>3</w:t>
      </w:r>
      <w:r>
        <w:rPr/>
        <w:t>。</w:t>
      </w:r>
      <w:r>
        <w:rPr>
          <w:w w:val="100"/>
        </w:rPr>
        <w:t> </w:t>
      </w:r>
      <w:r>
        <w:rPr/>
        <w:t>注</w:t>
      </w:r>
      <w:r>
        <w:rPr>
          <w:rFonts w:ascii="Arial" w:hAnsi="Arial" w:cs="Arial" w:eastAsia="Arial" w:hint="default"/>
        </w:rPr>
        <w:t>2</w:t>
      </w:r>
      <w:r>
        <w:rPr/>
        <w:t>．参见附注五、</w:t>
      </w:r>
      <w:r>
        <w:rPr>
          <w:rFonts w:ascii="Arial" w:hAnsi="Arial" w:cs="Arial" w:eastAsia="Arial" w:hint="default"/>
        </w:rPr>
        <w:t>9</w:t>
      </w:r>
      <w:r>
        <w:rPr/>
        <w:t>。</w:t>
      </w:r>
      <w:r>
        <w:rPr>
          <w:w w:val="100"/>
        </w:rPr>
        <w:t> </w:t>
      </w:r>
      <w:r>
        <w:rPr/>
        <w:t>注</w:t>
      </w:r>
      <w:r>
        <w:rPr>
          <w:rFonts w:ascii="Arial" w:hAnsi="Arial" w:cs="Arial" w:eastAsia="Arial" w:hint="default"/>
        </w:rPr>
        <w:t>3</w:t>
      </w:r>
      <w:r>
        <w:rPr/>
        <w:t>．参见附注七。</w:t>
      </w:r>
    </w:p>
    <w:p>
      <w:pPr>
        <w:tabs>
          <w:tab w:pos="861" w:val="left" w:leader="none"/>
        </w:tabs>
        <w:spacing w:before="169"/>
        <w:ind w:left="141" w:right="1058" w:firstLine="0"/>
        <w:jc w:val="left"/>
        <w:rPr>
          <w:rFonts w:ascii="黑体" w:hAnsi="黑体" w:cs="黑体" w:eastAsia="黑体" w:hint="default"/>
          <w:sz w:val="20"/>
          <w:szCs w:val="20"/>
        </w:rPr>
      </w:pPr>
      <w:r>
        <w:rPr>
          <w:rFonts w:ascii="Arial" w:hAnsi="Arial" w:cs="Arial" w:eastAsia="Arial" w:hint="default"/>
          <w:b/>
          <w:bCs/>
          <w:spacing w:val="-1"/>
          <w:sz w:val="20"/>
          <w:szCs w:val="20"/>
        </w:rPr>
        <w:t>24.</w:t>
        <w:tab/>
      </w:r>
      <w:r>
        <w:rPr>
          <w:rFonts w:ascii="黑体" w:hAnsi="黑体" w:cs="黑体" w:eastAsia="黑体" w:hint="default"/>
          <w:b/>
          <w:bCs/>
          <w:sz w:val="20"/>
          <w:szCs w:val="20"/>
        </w:rPr>
        <w:t>盈余公积</w:t>
      </w:r>
      <w:r>
        <w:rPr>
          <w:rFonts w:ascii="黑体" w:hAnsi="黑体" w:cs="黑体" w:eastAsia="黑体" w:hint="default"/>
          <w:sz w:val="20"/>
          <w:szCs w:val="20"/>
        </w:rPr>
      </w:r>
    </w:p>
    <w:p>
      <w:pPr>
        <w:pStyle w:val="BodyText"/>
        <w:spacing w:line="240" w:lineRule="auto" w:before="168"/>
        <w:ind w:left="850" w:right="1058"/>
        <w:jc w:val="left"/>
      </w:pPr>
      <w:r>
        <w:rPr/>
        <w:pict>
          <v:shape style="position:absolute;margin-left:296.510010pt;margin-top:6.468753pt;width:223.25pt;height:165.55pt;mso-position-horizontal-relative:page;mso-position-vertical-relative:paragraph;z-index:24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92"/>
                    <w:gridCol w:w="1575"/>
                    <w:gridCol w:w="1397"/>
                  </w:tblGrid>
                  <w:tr>
                    <w:trPr>
                      <w:trHeight w:val="835" w:hRule="exact"/>
                    </w:trPr>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firstLine="315"/>
                          <w:jc w:val="left"/>
                          <w:rPr>
                            <w:rFonts w:ascii="黑体" w:hAnsi="黑体" w:cs="黑体" w:eastAsia="黑体" w:hint="default"/>
                            <w:sz w:val="20"/>
                            <w:szCs w:val="20"/>
                          </w:rPr>
                        </w:pPr>
                        <w:r>
                          <w:rPr>
                            <w:rFonts w:ascii="黑体" w:hAnsi="黑体" w:cs="黑体" w:eastAsia="黑体" w:hint="default"/>
                            <w:sz w:val="20"/>
                            <w:szCs w:val="20"/>
                          </w:rPr>
                          <w:t>年初余额</w:t>
                        </w:r>
                      </w:p>
                      <w:p>
                        <w:pPr>
                          <w:pStyle w:val="TableParagraph"/>
                          <w:spacing w:line="240" w:lineRule="auto" w:before="10"/>
                          <w:ind w:right="0"/>
                          <w:jc w:val="left"/>
                          <w:rPr>
                            <w:rFonts w:ascii="黑体" w:hAnsi="黑体" w:cs="黑体" w:eastAsia="黑体" w:hint="default"/>
                            <w:sz w:val="20"/>
                            <w:szCs w:val="20"/>
                          </w:rPr>
                        </w:pPr>
                      </w:p>
                      <w:p>
                        <w:pPr>
                          <w:pStyle w:val="TableParagraph"/>
                          <w:spacing w:line="240" w:lineRule="auto"/>
                          <w:ind w:left="35" w:right="0"/>
                          <w:jc w:val="left"/>
                          <w:rPr>
                            <w:rFonts w:ascii="Arial" w:hAnsi="Arial" w:cs="Arial" w:eastAsia="Arial" w:hint="default"/>
                            <w:sz w:val="20"/>
                            <w:szCs w:val="20"/>
                          </w:rPr>
                        </w:pPr>
                        <w:r>
                          <w:rPr>
                            <w:rFonts w:ascii="Arial"/>
                            <w:sz w:val="20"/>
                          </w:rPr>
                          <w:t>155,941,696</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5" w:right="0" w:firstLine="205"/>
                          <w:jc w:val="left"/>
                          <w:rPr>
                            <w:rFonts w:ascii="黑体" w:hAnsi="黑体" w:cs="黑体" w:eastAsia="黑体" w:hint="default"/>
                            <w:sz w:val="20"/>
                            <w:szCs w:val="20"/>
                          </w:rPr>
                        </w:pPr>
                        <w:r>
                          <w:rPr>
                            <w:rFonts w:ascii="黑体" w:hAnsi="黑体" w:cs="黑体" w:eastAsia="黑体" w:hint="default"/>
                            <w:sz w:val="20"/>
                            <w:szCs w:val="20"/>
                          </w:rPr>
                          <w:t>本年增加</w:t>
                        </w:r>
                      </w:p>
                      <w:p>
                        <w:pPr>
                          <w:pStyle w:val="TableParagraph"/>
                          <w:spacing w:line="240" w:lineRule="auto" w:before="0"/>
                          <w:ind w:right="0"/>
                          <w:jc w:val="left"/>
                          <w:rPr>
                            <w:rFonts w:ascii="黑体" w:hAnsi="黑体" w:cs="黑体" w:eastAsia="黑体" w:hint="default"/>
                            <w:sz w:val="22"/>
                            <w:szCs w:val="22"/>
                          </w:rPr>
                        </w:pPr>
                      </w:p>
                      <w:p>
                        <w:pPr>
                          <w:pStyle w:val="TableParagraph"/>
                          <w:spacing w:line="240" w:lineRule="auto"/>
                          <w:ind w:left="355" w:right="0"/>
                          <w:jc w:val="left"/>
                          <w:rPr>
                            <w:rFonts w:ascii="Arial" w:hAnsi="Arial" w:cs="Arial" w:eastAsia="Arial" w:hint="default"/>
                            <w:sz w:val="20"/>
                            <w:szCs w:val="20"/>
                          </w:rPr>
                        </w:pPr>
                        <w:r>
                          <w:rPr>
                            <w:rFonts w:ascii="Arial"/>
                            <w:sz w:val="20"/>
                          </w:rPr>
                          <w:t>54,402,376</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30" w:right="0" w:firstLine="315"/>
                          <w:jc w:val="left"/>
                          <w:rPr>
                            <w:rFonts w:ascii="黑体" w:hAnsi="黑体" w:cs="黑体" w:eastAsia="黑体" w:hint="default"/>
                            <w:sz w:val="20"/>
                            <w:szCs w:val="20"/>
                          </w:rPr>
                        </w:pPr>
                        <w:r>
                          <w:rPr>
                            <w:rFonts w:ascii="黑体" w:hAnsi="黑体" w:cs="黑体" w:eastAsia="黑体" w:hint="default"/>
                            <w:sz w:val="20"/>
                            <w:szCs w:val="20"/>
                          </w:rPr>
                          <w:t>年末余额</w:t>
                        </w:r>
                      </w:p>
                      <w:p>
                        <w:pPr>
                          <w:pStyle w:val="TableParagraph"/>
                          <w:spacing w:line="240" w:lineRule="auto" w:before="0"/>
                          <w:ind w:right="0"/>
                          <w:jc w:val="left"/>
                          <w:rPr>
                            <w:rFonts w:ascii="黑体" w:hAnsi="黑体" w:cs="黑体" w:eastAsia="黑体" w:hint="default"/>
                            <w:sz w:val="22"/>
                            <w:szCs w:val="22"/>
                          </w:rPr>
                        </w:pPr>
                      </w:p>
                      <w:p>
                        <w:pPr>
                          <w:pStyle w:val="TableParagraph"/>
                          <w:spacing w:line="240" w:lineRule="auto"/>
                          <w:ind w:left="230" w:right="0"/>
                          <w:jc w:val="left"/>
                          <w:rPr>
                            <w:rFonts w:ascii="Arial" w:hAnsi="Arial" w:cs="Arial" w:eastAsia="Arial" w:hint="default"/>
                            <w:sz w:val="20"/>
                            <w:szCs w:val="20"/>
                          </w:rPr>
                        </w:pPr>
                        <w:r>
                          <w:rPr>
                            <w:rFonts w:ascii="Arial"/>
                            <w:sz w:val="20"/>
                          </w:rPr>
                          <w:t>210,344,072</w:t>
                        </w:r>
                      </w:p>
                    </w:tc>
                  </w:tr>
                  <w:tr>
                    <w:trPr>
                      <w:trHeight w:val="259" w:hRule="exact"/>
                    </w:trPr>
                    <w:tc>
                      <w:tcPr>
                        <w:tcW w:w="1492" w:type="dxa"/>
                        <w:tcBorders>
                          <w:top w:val="nil" w:sz="6" w:space="0" w:color="auto"/>
                          <w:left w:val="nil" w:sz="6" w:space="0" w:color="auto"/>
                          <w:bottom w:val="nil" w:sz="6" w:space="0" w:color="auto"/>
                          <w:right w:val="nil" w:sz="6" w:space="0" w:color="auto"/>
                        </w:tcBorders>
                      </w:tcPr>
                      <w:p>
                        <w:pPr>
                          <w:pStyle w:val="TableParagraph"/>
                          <w:spacing w:line="226" w:lineRule="exact"/>
                          <w:ind w:right="33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33,568,804</w:t>
                        </w:r>
                        <w:r>
                          <w:rPr>
                            <w:rFonts w:ascii="Arial"/>
                            <w:spacing w:val="-1"/>
                            <w:sz w:val="20"/>
                          </w:rPr>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32"/>
                          <w:jc w:val="right"/>
                          <w:rPr>
                            <w:rFonts w:ascii="Arial" w:hAnsi="Arial" w:cs="Arial" w:eastAsia="Arial" w:hint="default"/>
                            <w:sz w:val="20"/>
                            <w:szCs w:val="20"/>
                          </w:rPr>
                        </w:pPr>
                        <w:r>
                          <w:rPr>
                            <w:rFonts w:ascii="Arial"/>
                            <w:w w:val="100"/>
                            <w:sz w:val="20"/>
                          </w:rPr>
                        </w:r>
                        <w:r>
                          <w:rPr>
                            <w:rFonts w:ascii="Arial"/>
                            <w:spacing w:val="-1"/>
                            <w:sz w:val="20"/>
                            <w:u w:val="single" w:color="000000"/>
                          </w:rPr>
                          <w:t>27,360,823</w:t>
                        </w:r>
                        <w:r>
                          <w:rPr>
                            <w:rFonts w:ascii="Arial"/>
                            <w:spacing w:val="-1"/>
                            <w:sz w:val="20"/>
                          </w:rPr>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60,929,627</w:t>
                        </w:r>
                        <w:r>
                          <w:rPr>
                            <w:rFonts w:ascii="Arial"/>
                            <w:spacing w:val="-1"/>
                            <w:sz w:val="20"/>
                          </w:rPr>
                        </w:r>
                      </w:p>
                    </w:tc>
                  </w:tr>
                  <w:tr>
                    <w:trPr>
                      <w:trHeight w:val="642" w:hRule="exact"/>
                    </w:trPr>
                    <w:tc>
                      <w:tcPr>
                        <w:tcW w:w="1492" w:type="dxa"/>
                        <w:tcBorders>
                          <w:top w:val="nil" w:sz="6" w:space="0" w:color="auto"/>
                          <w:left w:val="nil" w:sz="6" w:space="0" w:color="auto"/>
                          <w:bottom w:val="nil" w:sz="6" w:space="0" w:color="auto"/>
                          <w:right w:val="nil" w:sz="6" w:space="0" w:color="auto"/>
                        </w:tcBorders>
                      </w:tcPr>
                      <w:p>
                        <w:pPr>
                          <w:pStyle w:val="TableParagraph"/>
                          <w:spacing w:line="226" w:lineRule="exact"/>
                          <w:ind w:right="336"/>
                          <w:jc w:val="right"/>
                          <w:rPr>
                            <w:rFonts w:ascii="Arial" w:hAnsi="Arial" w:cs="Arial" w:eastAsia="Arial" w:hint="default"/>
                            <w:sz w:val="20"/>
                            <w:szCs w:val="20"/>
                          </w:rPr>
                        </w:pPr>
                        <w:r>
                          <w:rPr>
                            <w:rFonts w:ascii="Arial"/>
                            <w:w w:val="100"/>
                            <w:sz w:val="20"/>
                          </w:rPr>
                        </w:r>
                        <w:r>
                          <w:rPr>
                            <w:rFonts w:ascii="Arial"/>
                            <w:spacing w:val="-1"/>
                            <w:sz w:val="20"/>
                            <w:u w:val="thick" w:color="000000"/>
                          </w:rPr>
                          <w:t>189,510,500</w:t>
                        </w:r>
                        <w:r>
                          <w:rPr>
                            <w:rFonts w:ascii="Arial"/>
                            <w:spacing w:val="-1"/>
                            <w:sz w:val="20"/>
                          </w:rPr>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32"/>
                          <w:jc w:val="right"/>
                          <w:rPr>
                            <w:rFonts w:ascii="Arial" w:hAnsi="Arial" w:cs="Arial" w:eastAsia="Arial" w:hint="default"/>
                            <w:sz w:val="20"/>
                            <w:szCs w:val="20"/>
                          </w:rPr>
                        </w:pPr>
                        <w:r>
                          <w:rPr>
                            <w:rFonts w:ascii="Arial"/>
                            <w:w w:val="100"/>
                            <w:sz w:val="20"/>
                          </w:rPr>
                        </w:r>
                        <w:r>
                          <w:rPr>
                            <w:rFonts w:ascii="Arial"/>
                            <w:spacing w:val="-1"/>
                            <w:sz w:val="20"/>
                            <w:u w:val="thick" w:color="000000"/>
                          </w:rPr>
                          <w:t>81,763,199</w:t>
                        </w:r>
                        <w:r>
                          <w:rPr>
                            <w:rFonts w:ascii="Arial"/>
                            <w:spacing w:val="-1"/>
                            <w:sz w:val="20"/>
                          </w:rPr>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9"/>
                          <w:jc w:val="right"/>
                          <w:rPr>
                            <w:rFonts w:ascii="Arial" w:hAnsi="Arial" w:cs="Arial" w:eastAsia="Arial" w:hint="default"/>
                            <w:sz w:val="20"/>
                            <w:szCs w:val="20"/>
                          </w:rPr>
                        </w:pPr>
                        <w:r>
                          <w:rPr>
                            <w:rFonts w:ascii="Arial"/>
                            <w:w w:val="100"/>
                            <w:sz w:val="20"/>
                          </w:rPr>
                        </w:r>
                        <w:r>
                          <w:rPr>
                            <w:rFonts w:ascii="Arial"/>
                            <w:spacing w:val="-1"/>
                            <w:sz w:val="20"/>
                            <w:u w:val="thick" w:color="000000"/>
                          </w:rPr>
                          <w:t>271,273,699</w:t>
                        </w:r>
                        <w:r>
                          <w:rPr>
                            <w:rFonts w:ascii="Arial"/>
                            <w:spacing w:val="-1"/>
                            <w:sz w:val="20"/>
                          </w:rPr>
                        </w:r>
                      </w:p>
                    </w:tc>
                  </w:tr>
                  <w:tr>
                    <w:trPr>
                      <w:trHeight w:val="734" w:hRule="exact"/>
                    </w:trPr>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26"/>
                            <w:szCs w:val="26"/>
                          </w:rPr>
                        </w:pPr>
                      </w:p>
                      <w:p>
                        <w:pPr>
                          <w:pStyle w:val="TableParagraph"/>
                          <w:spacing w:line="240" w:lineRule="auto"/>
                          <w:ind w:right="359"/>
                          <w:jc w:val="right"/>
                          <w:rPr>
                            <w:rFonts w:ascii="黑体" w:hAnsi="黑体" w:cs="黑体" w:eastAsia="黑体" w:hint="default"/>
                            <w:sz w:val="20"/>
                            <w:szCs w:val="20"/>
                          </w:rPr>
                        </w:pPr>
                        <w:r>
                          <w:rPr>
                            <w:rFonts w:ascii="黑体" w:hAnsi="黑体" w:cs="黑体" w:eastAsia="黑体" w:hint="default"/>
                            <w:sz w:val="20"/>
                            <w:szCs w:val="20"/>
                          </w:rPr>
                          <w:t>年初余额</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26"/>
                            <w:szCs w:val="26"/>
                          </w:rPr>
                        </w:pPr>
                      </w:p>
                      <w:p>
                        <w:pPr>
                          <w:pStyle w:val="TableParagraph"/>
                          <w:spacing w:line="240" w:lineRule="auto"/>
                          <w:ind w:right="232"/>
                          <w:jc w:val="right"/>
                          <w:rPr>
                            <w:rFonts w:ascii="黑体" w:hAnsi="黑体" w:cs="黑体" w:eastAsia="黑体" w:hint="default"/>
                            <w:sz w:val="20"/>
                            <w:szCs w:val="20"/>
                          </w:rPr>
                        </w:pPr>
                        <w:r>
                          <w:rPr>
                            <w:rFonts w:ascii="黑体" w:hAnsi="黑体" w:cs="黑体" w:eastAsia="黑体" w:hint="default"/>
                            <w:sz w:val="20"/>
                            <w:szCs w:val="20"/>
                          </w:rPr>
                          <w:t>本年增加</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26"/>
                            <w:szCs w:val="26"/>
                          </w:rPr>
                        </w:pPr>
                      </w:p>
                      <w:p>
                        <w:pPr>
                          <w:pStyle w:val="TableParagraph"/>
                          <w:spacing w:line="240" w:lineRule="auto"/>
                          <w:ind w:right="56"/>
                          <w:jc w:val="right"/>
                          <w:rPr>
                            <w:rFonts w:ascii="黑体" w:hAnsi="黑体" w:cs="黑体" w:eastAsia="黑体" w:hint="default"/>
                            <w:sz w:val="20"/>
                            <w:szCs w:val="20"/>
                          </w:rPr>
                        </w:pPr>
                        <w:r>
                          <w:rPr>
                            <w:rFonts w:ascii="黑体" w:hAnsi="黑体" w:cs="黑体" w:eastAsia="黑体" w:hint="default"/>
                            <w:sz w:val="20"/>
                            <w:szCs w:val="20"/>
                          </w:rPr>
                          <w:t>年末余额</w:t>
                        </w:r>
                      </w:p>
                    </w:tc>
                  </w:tr>
                  <w:tr>
                    <w:trPr>
                      <w:trHeight w:val="358" w:hRule="exact"/>
                    </w:trPr>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341"/>
                          <w:jc w:val="right"/>
                          <w:rPr>
                            <w:rFonts w:ascii="Arial" w:hAnsi="Arial" w:cs="Arial" w:eastAsia="Arial" w:hint="default"/>
                            <w:sz w:val="20"/>
                            <w:szCs w:val="20"/>
                          </w:rPr>
                        </w:pPr>
                        <w:r>
                          <w:rPr>
                            <w:rFonts w:ascii="Arial"/>
                            <w:spacing w:val="-1"/>
                            <w:sz w:val="20"/>
                          </w:rPr>
                          <w:t>115,986,839</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215"/>
                          <w:jc w:val="right"/>
                          <w:rPr>
                            <w:rFonts w:ascii="Arial" w:hAnsi="Arial" w:cs="Arial" w:eastAsia="Arial" w:hint="default"/>
                            <w:sz w:val="20"/>
                            <w:szCs w:val="20"/>
                          </w:rPr>
                        </w:pPr>
                        <w:r>
                          <w:rPr>
                            <w:rFonts w:ascii="Arial"/>
                            <w:spacing w:val="-1"/>
                            <w:sz w:val="20"/>
                          </w:rPr>
                          <w:t>39,954,857</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37"/>
                          <w:jc w:val="right"/>
                          <w:rPr>
                            <w:rFonts w:ascii="Arial" w:hAnsi="Arial" w:cs="Arial" w:eastAsia="Arial" w:hint="default"/>
                            <w:sz w:val="20"/>
                            <w:szCs w:val="20"/>
                          </w:rPr>
                        </w:pPr>
                        <w:r>
                          <w:rPr>
                            <w:rFonts w:ascii="Arial"/>
                            <w:spacing w:val="-1"/>
                            <w:sz w:val="20"/>
                          </w:rPr>
                          <w:t>155,941,696</w:t>
                        </w:r>
                      </w:p>
                    </w:tc>
                  </w:tr>
                  <w:tr>
                    <w:trPr>
                      <w:trHeight w:val="255" w:hRule="exact"/>
                    </w:trPr>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13,591,376</w:t>
                        </w:r>
                        <w:r>
                          <w:rPr>
                            <w:rFonts w:ascii="Arial"/>
                            <w:spacing w:val="-1"/>
                            <w:sz w:val="20"/>
                          </w:rPr>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11"/>
                          <w:jc w:val="right"/>
                          <w:rPr>
                            <w:rFonts w:ascii="Arial" w:hAnsi="Arial" w:cs="Arial" w:eastAsia="Arial" w:hint="default"/>
                            <w:sz w:val="20"/>
                            <w:szCs w:val="20"/>
                          </w:rPr>
                        </w:pPr>
                        <w:r>
                          <w:rPr>
                            <w:rFonts w:ascii="Arial"/>
                            <w:w w:val="100"/>
                            <w:sz w:val="20"/>
                          </w:rPr>
                        </w:r>
                        <w:r>
                          <w:rPr>
                            <w:rFonts w:ascii="Arial"/>
                            <w:spacing w:val="-1"/>
                            <w:sz w:val="20"/>
                            <w:u w:val="single" w:color="000000"/>
                          </w:rPr>
                          <w:t>19,977,428</w:t>
                        </w:r>
                        <w:r>
                          <w:rPr>
                            <w:rFonts w:ascii="Arial"/>
                            <w:spacing w:val="-1"/>
                            <w:sz w:val="20"/>
                          </w:rPr>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33,568,804</w:t>
                        </w:r>
                        <w:r>
                          <w:rPr>
                            <w:rFonts w:ascii="Arial"/>
                            <w:spacing w:val="-1"/>
                            <w:sz w:val="20"/>
                          </w:rPr>
                        </w:r>
                      </w:p>
                    </w:tc>
                  </w:tr>
                  <w:tr>
                    <w:trPr>
                      <w:trHeight w:val="227" w:hRule="exact"/>
                    </w:trPr>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6"/>
                          <w:jc w:val="right"/>
                          <w:rPr>
                            <w:rFonts w:ascii="Arial" w:hAnsi="Arial" w:cs="Arial" w:eastAsia="Arial" w:hint="default"/>
                            <w:sz w:val="20"/>
                            <w:szCs w:val="20"/>
                          </w:rPr>
                        </w:pPr>
                        <w:r>
                          <w:rPr>
                            <w:rFonts w:ascii="Arial"/>
                            <w:w w:val="100"/>
                            <w:sz w:val="20"/>
                          </w:rPr>
                        </w:r>
                        <w:r>
                          <w:rPr>
                            <w:rFonts w:ascii="Arial"/>
                            <w:spacing w:val="-1"/>
                            <w:sz w:val="20"/>
                            <w:u w:val="thick" w:color="000000"/>
                          </w:rPr>
                          <w:t>129,578,215</w:t>
                        </w:r>
                        <w:r>
                          <w:rPr>
                            <w:rFonts w:ascii="Arial"/>
                            <w:spacing w:val="-1"/>
                            <w:sz w:val="20"/>
                          </w:rPr>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211"/>
                          <w:jc w:val="right"/>
                          <w:rPr>
                            <w:rFonts w:ascii="Arial" w:hAnsi="Arial" w:cs="Arial" w:eastAsia="Arial" w:hint="default"/>
                            <w:sz w:val="20"/>
                            <w:szCs w:val="20"/>
                          </w:rPr>
                        </w:pPr>
                        <w:r>
                          <w:rPr>
                            <w:rFonts w:ascii="Arial"/>
                            <w:w w:val="100"/>
                            <w:sz w:val="20"/>
                          </w:rPr>
                        </w:r>
                        <w:r>
                          <w:rPr>
                            <w:rFonts w:ascii="Arial"/>
                            <w:spacing w:val="-1"/>
                            <w:sz w:val="20"/>
                            <w:u w:val="thick" w:color="000000"/>
                          </w:rPr>
                          <w:t>59,932,285</w:t>
                        </w:r>
                        <w:r>
                          <w:rPr>
                            <w:rFonts w:ascii="Arial"/>
                            <w:spacing w:val="-1"/>
                            <w:sz w:val="20"/>
                          </w:rPr>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189,510,500</w:t>
                        </w:r>
                        <w:r>
                          <w:rPr>
                            <w:rFonts w:ascii="Arial"/>
                            <w:spacing w:val="-1"/>
                            <w:sz w:val="20"/>
                          </w:rPr>
                        </w:r>
                      </w:p>
                    </w:tc>
                  </w:tr>
                </w:tbl>
                <w:p>
                  <w:pPr/>
                </w:p>
              </w:txbxContent>
            </v:textbox>
            <w10:wrap type="none"/>
          </v:shape>
        </w:pict>
      </w:r>
      <w:r>
        <w:rPr>
          <w:rFonts w:ascii="Arial" w:hAnsi="Arial" w:cs="Arial" w:eastAsia="Arial" w:hint="default"/>
        </w:rPr>
        <w:t>2009</w:t>
      </w:r>
      <w:r>
        <w:rPr/>
        <w:t>年</w:t>
      </w:r>
    </w:p>
    <w:p>
      <w:pPr>
        <w:spacing w:line="240" w:lineRule="auto" w:before="5"/>
        <w:rPr>
          <w:rFonts w:ascii="黑体" w:hAnsi="黑体" w:cs="黑体" w:eastAsia="黑体" w:hint="default"/>
          <w:sz w:val="13"/>
          <w:szCs w:val="13"/>
        </w:rPr>
      </w:pPr>
    </w:p>
    <w:p>
      <w:pPr>
        <w:pStyle w:val="BodyText"/>
        <w:spacing w:line="260" w:lineRule="exact" w:before="64"/>
        <w:ind w:left="850" w:right="7563"/>
        <w:jc w:val="left"/>
      </w:pPr>
      <w:r>
        <w:rPr/>
        <w:t>法定盈余公积</w:t>
      </w:r>
      <w:r>
        <w:rPr>
          <w:w w:val="100"/>
        </w:rPr>
        <w:t> </w:t>
      </w:r>
      <w:r>
        <w:rPr/>
        <w:t>任意盈余公积（注</w:t>
      </w:r>
      <w:r>
        <w:rPr>
          <w:rFonts w:ascii="Arial" w:hAnsi="Arial" w:cs="Arial" w:eastAsia="Arial" w:hint="default"/>
        </w:rPr>
        <w:t>1</w:t>
      </w:r>
      <w:r>
        <w:rPr/>
        <w:t>）</w:t>
      </w:r>
      <w:r>
        <w:rPr>
          <w:w w:val="100"/>
        </w:rPr>
        <w:t> </w:t>
      </w:r>
      <w:r>
        <w:rPr/>
        <w:t>合计</w:t>
      </w:r>
    </w:p>
    <w:p>
      <w:pPr>
        <w:spacing w:line="240" w:lineRule="auto" w:before="8"/>
        <w:rPr>
          <w:rFonts w:ascii="黑体" w:hAnsi="黑体" w:cs="黑体" w:eastAsia="黑体" w:hint="default"/>
          <w:sz w:val="12"/>
          <w:szCs w:val="12"/>
        </w:rPr>
      </w:pPr>
    </w:p>
    <w:p>
      <w:pPr>
        <w:pStyle w:val="BodyText"/>
        <w:spacing w:line="240" w:lineRule="auto" w:before="38"/>
        <w:ind w:left="855" w:right="0"/>
        <w:jc w:val="both"/>
      </w:pPr>
      <w:r>
        <w:rPr/>
        <w:t>注</w:t>
      </w:r>
      <w:r>
        <w:rPr>
          <w:rFonts w:ascii="Arial" w:hAnsi="Arial" w:cs="Arial" w:eastAsia="Arial" w:hint="default"/>
        </w:rPr>
        <w:t>1.  </w:t>
      </w:r>
      <w:r>
        <w:rPr>
          <w:rFonts w:ascii="Arial" w:hAnsi="Arial" w:cs="Arial" w:eastAsia="Arial" w:hint="default"/>
          <w:spacing w:val="10"/>
        </w:rPr>
        <w:t> </w:t>
      </w:r>
      <w:r>
        <w:rPr/>
        <w:t>参见附注五、</w:t>
      </w:r>
      <w:r>
        <w:rPr>
          <w:rFonts w:ascii="Arial" w:hAnsi="Arial" w:cs="Arial" w:eastAsia="Arial" w:hint="default"/>
        </w:rPr>
        <w:t>30</w:t>
      </w:r>
      <w:r>
        <w:rPr/>
        <w:t>。</w:t>
      </w:r>
    </w:p>
    <w:p>
      <w:pPr>
        <w:spacing w:line="240" w:lineRule="auto" w:before="5"/>
        <w:rPr>
          <w:rFonts w:ascii="黑体" w:hAnsi="黑体" w:cs="黑体" w:eastAsia="黑体" w:hint="default"/>
          <w:sz w:val="20"/>
          <w:szCs w:val="20"/>
        </w:rPr>
      </w:pPr>
    </w:p>
    <w:p>
      <w:pPr>
        <w:pStyle w:val="BodyText"/>
        <w:spacing w:line="240" w:lineRule="auto"/>
        <w:ind w:left="878" w:right="0"/>
        <w:jc w:val="both"/>
      </w:pPr>
      <w:r>
        <w:rPr>
          <w:rFonts w:ascii="Arial" w:hAnsi="Arial" w:cs="Arial" w:eastAsia="Arial" w:hint="default"/>
        </w:rPr>
        <w:t>2008</w:t>
      </w:r>
      <w:r>
        <w:rPr/>
        <w:t>年</w:t>
      </w:r>
    </w:p>
    <w:p>
      <w:pPr>
        <w:spacing w:line="240" w:lineRule="auto" w:before="5"/>
        <w:rPr>
          <w:rFonts w:ascii="黑体" w:hAnsi="黑体" w:cs="黑体" w:eastAsia="黑体" w:hint="default"/>
          <w:sz w:val="18"/>
          <w:szCs w:val="18"/>
        </w:rPr>
      </w:pPr>
    </w:p>
    <w:p>
      <w:pPr>
        <w:pStyle w:val="BodyText"/>
        <w:spacing w:line="232" w:lineRule="auto"/>
        <w:ind w:left="878" w:right="8262"/>
        <w:jc w:val="both"/>
      </w:pPr>
      <w:r>
        <w:rPr/>
        <w:t>法定盈余公积</w:t>
      </w:r>
      <w:r>
        <w:rPr>
          <w:w w:val="100"/>
        </w:rPr>
        <w:t> </w:t>
      </w:r>
      <w:r>
        <w:rPr/>
        <w:t>任意盈余公积</w:t>
      </w:r>
      <w:r>
        <w:rPr>
          <w:w w:val="100"/>
        </w:rPr>
        <w:t> </w:t>
      </w:r>
      <w:r>
        <w:rPr/>
        <w:t>合计</w:t>
      </w:r>
    </w:p>
    <w:p>
      <w:pPr>
        <w:spacing w:after="0" w:line="232" w:lineRule="auto"/>
        <w:jc w:val="both"/>
        <w:sectPr>
          <w:pgSz w:w="11910" w:h="16840"/>
          <w:pgMar w:header="958" w:footer="466" w:top="2560" w:bottom="660" w:left="156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1"/>
          <w:szCs w:val="11"/>
        </w:rPr>
      </w:pPr>
    </w:p>
    <w:tbl>
      <w:tblPr>
        <w:tblW w:w="0" w:type="auto"/>
        <w:jc w:val="left"/>
        <w:tblInd w:w="106" w:type="dxa"/>
        <w:tblLayout w:type="fixed"/>
        <w:tblCellMar>
          <w:top w:w="0" w:type="dxa"/>
          <w:left w:w="0" w:type="dxa"/>
          <w:bottom w:w="0" w:type="dxa"/>
          <w:right w:w="0" w:type="dxa"/>
        </w:tblCellMar>
        <w:tblLook w:val="01E0"/>
      </w:tblPr>
      <w:tblGrid>
        <w:gridCol w:w="691"/>
        <w:gridCol w:w="2172"/>
        <w:gridCol w:w="1494"/>
        <w:gridCol w:w="1200"/>
        <w:gridCol w:w="282"/>
        <w:gridCol w:w="1362"/>
        <w:gridCol w:w="1365"/>
      </w:tblGrid>
      <w:tr>
        <w:trPr>
          <w:trHeight w:val="1015" w:hRule="exact"/>
        </w:trPr>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sz w:val="20"/>
                <w:szCs w:val="20"/>
              </w:rPr>
            </w:r>
          </w:p>
          <w:p>
            <w:pPr>
              <w:pStyle w:val="TableParagraph"/>
              <w:spacing w:line="240" w:lineRule="auto" w:before="4"/>
              <w:ind w:right="0"/>
              <w:jc w:val="left"/>
              <w:rPr>
                <w:rFonts w:ascii="Times New Roman" w:hAnsi="Times New Roman" w:cs="Times New Roman" w:eastAsia="Times New Roman" w:hint="default"/>
                <w:sz w:val="28"/>
                <w:szCs w:val="28"/>
              </w:rPr>
            </w:pPr>
          </w:p>
          <w:p>
            <w:pPr>
              <w:pStyle w:val="TableParagraph"/>
              <w:spacing w:line="240" w:lineRule="auto"/>
              <w:ind w:left="35" w:right="0"/>
              <w:jc w:val="left"/>
              <w:rPr>
                <w:rFonts w:ascii="Arial" w:hAnsi="Arial" w:cs="Arial" w:eastAsia="Arial" w:hint="default"/>
                <w:sz w:val="20"/>
                <w:szCs w:val="20"/>
              </w:rPr>
            </w:pPr>
            <w:r>
              <w:rPr>
                <w:rFonts w:ascii="Arial"/>
                <w:b/>
                <w:sz w:val="20"/>
              </w:rPr>
              <w:t>25.</w:t>
            </w:r>
            <w:r>
              <w:rPr>
                <w:rFonts w:ascii="Arial"/>
                <w:sz w:val="20"/>
              </w:rPr>
            </w:r>
          </w:p>
        </w:tc>
        <w:tc>
          <w:tcPr>
            <w:tcW w:w="366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8"/>
              <w:ind w:left="47" w:right="0"/>
              <w:jc w:val="left"/>
              <w:rPr>
                <w:rFonts w:ascii="黑体" w:hAnsi="黑体" w:cs="黑体" w:eastAsia="黑体" w:hint="default"/>
                <w:sz w:val="20"/>
                <w:szCs w:val="20"/>
              </w:rPr>
            </w:pP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pStyle w:val="TableParagraph"/>
              <w:spacing w:line="240" w:lineRule="auto" w:before="5"/>
              <w:ind w:right="0"/>
              <w:jc w:val="left"/>
              <w:rPr>
                <w:rFonts w:ascii="Times New Roman" w:hAnsi="Times New Roman" w:cs="Times New Roman" w:eastAsia="Times New Roman" w:hint="default"/>
                <w:sz w:val="24"/>
                <w:szCs w:val="24"/>
              </w:rPr>
            </w:pPr>
          </w:p>
          <w:p>
            <w:pPr>
              <w:pStyle w:val="TableParagraph"/>
              <w:spacing w:line="240" w:lineRule="auto"/>
              <w:ind w:left="64" w:right="0"/>
              <w:jc w:val="left"/>
              <w:rPr>
                <w:rFonts w:ascii="黑体" w:hAnsi="黑体" w:cs="黑体" w:eastAsia="黑体" w:hint="default"/>
                <w:sz w:val="20"/>
                <w:szCs w:val="20"/>
              </w:rPr>
            </w:pPr>
            <w:r>
              <w:rPr>
                <w:rFonts w:ascii="黑体" w:hAnsi="黑体" w:cs="黑体" w:eastAsia="黑体" w:hint="default"/>
                <w:b/>
                <w:bCs/>
                <w:sz w:val="20"/>
                <w:szCs w:val="20"/>
              </w:rPr>
              <w:t>未分配利润</w:t>
            </w:r>
            <w:r>
              <w:rPr>
                <w:rFonts w:ascii="黑体" w:hAnsi="黑体" w:cs="黑体" w:eastAsia="黑体" w:hint="default"/>
                <w:sz w:val="20"/>
                <w:szCs w:val="20"/>
              </w:rPr>
            </w:r>
          </w:p>
        </w:tc>
        <w:tc>
          <w:tcPr>
            <w:tcW w:w="4209" w:type="dxa"/>
            <w:gridSpan w:val="4"/>
            <w:tcBorders>
              <w:top w:val="nil" w:sz="6" w:space="0" w:color="auto"/>
              <w:left w:val="nil" w:sz="6" w:space="0" w:color="auto"/>
              <w:bottom w:val="nil" w:sz="6" w:space="0" w:color="auto"/>
              <w:right w:val="nil" w:sz="6" w:space="0" w:color="auto"/>
            </w:tcBorders>
          </w:tcPr>
          <w:p>
            <w:pPr/>
          </w:p>
        </w:tc>
      </w:tr>
      <w:tr>
        <w:trPr>
          <w:trHeight w:val="523"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
        </w:tc>
        <w:tc>
          <w:tcPr>
            <w:tcW w:w="284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02"/>
              <w:ind w:right="105"/>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54"/>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380"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9"/>
              <w:ind w:left="43" w:right="0"/>
              <w:jc w:val="left"/>
              <w:rPr>
                <w:rFonts w:ascii="黑体" w:hAnsi="黑体" w:cs="黑体" w:eastAsia="黑体" w:hint="default"/>
                <w:sz w:val="20"/>
                <w:szCs w:val="20"/>
              </w:rPr>
            </w:pPr>
            <w:r>
              <w:rPr>
                <w:rFonts w:ascii="黑体" w:hAnsi="黑体" w:cs="黑体" w:eastAsia="黑体" w:hint="default"/>
                <w:sz w:val="20"/>
                <w:szCs w:val="20"/>
              </w:rPr>
              <w:t>上年年末未分配利润</w:t>
            </w:r>
          </w:p>
        </w:tc>
        <w:tc>
          <w:tcPr>
            <w:tcW w:w="284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29"/>
              <w:ind w:left="1624" w:right="0"/>
              <w:jc w:val="left"/>
              <w:rPr>
                <w:rFonts w:ascii="Arial" w:hAnsi="Arial" w:cs="Arial" w:eastAsia="Arial" w:hint="default"/>
                <w:sz w:val="20"/>
                <w:szCs w:val="20"/>
              </w:rPr>
            </w:pPr>
            <w:r>
              <w:rPr>
                <w:rFonts w:ascii="Arial"/>
                <w:sz w:val="20"/>
              </w:rPr>
              <w:t>486,817,782</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53"/>
              <w:jc w:val="right"/>
              <w:rPr>
                <w:rFonts w:ascii="Arial" w:hAnsi="Arial" w:cs="Arial" w:eastAsia="Arial" w:hint="default"/>
                <w:sz w:val="20"/>
                <w:szCs w:val="20"/>
              </w:rPr>
            </w:pPr>
            <w:r>
              <w:rPr>
                <w:rFonts w:ascii="Arial"/>
                <w:spacing w:val="-1"/>
                <w:sz w:val="20"/>
              </w:rPr>
              <w:t>378,562,699</w:t>
            </w:r>
          </w:p>
        </w:tc>
      </w:tr>
      <w:tr>
        <w:trPr>
          <w:trHeight w:val="255"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Style w:val="TableParagraph"/>
              <w:spacing w:line="226" w:lineRule="exact"/>
              <w:ind w:left="43" w:right="0"/>
              <w:jc w:val="left"/>
              <w:rPr>
                <w:rFonts w:ascii="黑体" w:hAnsi="黑体" w:cs="黑体" w:eastAsia="黑体" w:hint="default"/>
                <w:sz w:val="20"/>
                <w:szCs w:val="20"/>
              </w:rPr>
            </w:pPr>
            <w:r>
              <w:rPr>
                <w:rFonts w:ascii="黑体" w:hAnsi="黑体" w:cs="黑体" w:eastAsia="黑体" w:hint="default"/>
                <w:sz w:val="20"/>
                <w:szCs w:val="20"/>
              </w:rPr>
              <w:t>净利润</w:t>
            </w:r>
          </w:p>
        </w:tc>
        <w:tc>
          <w:tcPr>
            <w:tcW w:w="284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4"/>
              <w:ind w:left="1624" w:right="0"/>
              <w:jc w:val="left"/>
              <w:rPr>
                <w:rFonts w:ascii="Arial" w:hAnsi="Arial" w:cs="Arial" w:eastAsia="Arial" w:hint="default"/>
                <w:sz w:val="20"/>
                <w:szCs w:val="20"/>
              </w:rPr>
            </w:pPr>
            <w:r>
              <w:rPr>
                <w:rFonts w:ascii="Arial"/>
                <w:sz w:val="20"/>
              </w:rPr>
              <w:t>544,023,762</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53"/>
              <w:jc w:val="right"/>
              <w:rPr>
                <w:rFonts w:ascii="Arial" w:hAnsi="Arial" w:cs="Arial" w:eastAsia="Arial" w:hint="default"/>
                <w:sz w:val="20"/>
                <w:szCs w:val="20"/>
              </w:rPr>
            </w:pPr>
            <w:r>
              <w:rPr>
                <w:rFonts w:ascii="Arial"/>
                <w:spacing w:val="-1"/>
                <w:sz w:val="20"/>
              </w:rPr>
              <w:t>399,548,568</w:t>
            </w:r>
          </w:p>
        </w:tc>
      </w:tr>
      <w:tr>
        <w:trPr>
          <w:trHeight w:val="257"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Style w:val="TableParagraph"/>
              <w:spacing w:line="240" w:lineRule="exact"/>
              <w:ind w:left="43" w:right="0"/>
              <w:jc w:val="left"/>
              <w:rPr>
                <w:rFonts w:ascii="Arial" w:hAnsi="Arial" w:cs="Arial" w:eastAsia="Arial" w:hint="default"/>
                <w:sz w:val="20"/>
                <w:szCs w:val="20"/>
              </w:rPr>
            </w:pPr>
            <w:r>
              <w:rPr>
                <w:rFonts w:ascii="黑体" w:hAnsi="黑体" w:cs="黑体" w:eastAsia="黑体" w:hint="default"/>
                <w:sz w:val="20"/>
                <w:szCs w:val="20"/>
              </w:rPr>
              <w:t>其他转入</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p>
        </w:tc>
        <w:tc>
          <w:tcPr>
            <w:tcW w:w="284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
              <w:ind w:right="105"/>
              <w:jc w:val="right"/>
              <w:rPr>
                <w:rFonts w:ascii="Arial" w:hAnsi="Arial" w:cs="Arial" w:eastAsia="Arial" w:hint="default"/>
                <w:sz w:val="20"/>
                <w:szCs w:val="20"/>
              </w:rPr>
            </w:pPr>
            <w:r>
              <w:rPr>
                <w:rFonts w:ascii="Arial"/>
                <w:spacing w:val="-1"/>
                <w:sz w:val="20"/>
              </w:rPr>
              <w:t>904,600</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5"/>
              <w:jc w:val="right"/>
              <w:rPr>
                <w:rFonts w:ascii="Arial" w:hAnsi="Arial" w:cs="Arial" w:eastAsia="Arial" w:hint="default"/>
                <w:sz w:val="20"/>
                <w:szCs w:val="20"/>
              </w:rPr>
            </w:pPr>
            <w:r>
              <w:rPr>
                <w:rFonts w:ascii="Arial"/>
                <w:w w:val="100"/>
                <w:sz w:val="20"/>
              </w:rPr>
              <w:t>-</w:t>
            </w:r>
          </w:p>
        </w:tc>
      </w:tr>
      <w:tr>
        <w:trPr>
          <w:trHeight w:val="255"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Style w:val="TableParagraph"/>
              <w:spacing w:line="238" w:lineRule="exact"/>
              <w:ind w:left="43" w:right="0"/>
              <w:jc w:val="left"/>
              <w:rPr>
                <w:rFonts w:ascii="Arial" w:hAnsi="Arial" w:cs="Arial" w:eastAsia="Arial" w:hint="default"/>
                <w:sz w:val="20"/>
                <w:szCs w:val="20"/>
              </w:rPr>
            </w:pPr>
            <w:r>
              <w:rPr>
                <w:rFonts w:ascii="黑体" w:hAnsi="黑体" w:cs="黑体" w:eastAsia="黑体" w:hint="default"/>
                <w:sz w:val="20"/>
                <w:szCs w:val="20"/>
              </w:rPr>
              <w:t>减：提取法定盈余公积</w:t>
            </w:r>
            <w:r>
              <w:rPr>
                <w:rFonts w:ascii="Arial" w:hAnsi="Arial" w:cs="Arial" w:eastAsia="Arial" w:hint="default"/>
                <w:sz w:val="20"/>
                <w:szCs w:val="20"/>
              </w:rPr>
              <w:t>(</w:t>
            </w:r>
            <w:r>
              <w:rPr>
                <w:rFonts w:ascii="黑体" w:hAnsi="黑体" w:cs="黑体" w:eastAsia="黑体" w:hint="default"/>
                <w:sz w:val="20"/>
                <w:szCs w:val="20"/>
              </w:rPr>
              <w:t>附注五、</w:t>
            </w:r>
            <w:r>
              <w:rPr>
                <w:rFonts w:ascii="Arial" w:hAnsi="Arial" w:cs="Arial" w:eastAsia="Arial" w:hint="default"/>
                <w:sz w:val="20"/>
                <w:szCs w:val="20"/>
              </w:rPr>
              <w:t>30)</w:t>
            </w:r>
          </w:p>
        </w:tc>
        <w:tc>
          <w:tcPr>
            <w:tcW w:w="284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
              <w:ind w:left="1734" w:right="0"/>
              <w:jc w:val="left"/>
              <w:rPr>
                <w:rFonts w:ascii="Arial" w:hAnsi="Arial" w:cs="Arial" w:eastAsia="Arial" w:hint="default"/>
                <w:sz w:val="20"/>
                <w:szCs w:val="20"/>
              </w:rPr>
            </w:pPr>
            <w:r>
              <w:rPr>
                <w:rFonts w:ascii="Arial"/>
                <w:sz w:val="20"/>
              </w:rPr>
              <w:t>54,402,376</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54"/>
              <w:jc w:val="right"/>
              <w:rPr>
                <w:rFonts w:ascii="Arial" w:hAnsi="Arial" w:cs="Arial" w:eastAsia="Arial" w:hint="default"/>
                <w:sz w:val="20"/>
                <w:szCs w:val="20"/>
              </w:rPr>
            </w:pPr>
            <w:r>
              <w:rPr>
                <w:rFonts w:ascii="Arial"/>
                <w:spacing w:val="-1"/>
                <w:sz w:val="20"/>
              </w:rPr>
              <w:t>39,954,857</w:t>
            </w:r>
          </w:p>
        </w:tc>
      </w:tr>
      <w:tr>
        <w:trPr>
          <w:trHeight w:val="255"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Style w:val="TableParagraph"/>
              <w:spacing w:line="237" w:lineRule="exact"/>
              <w:ind w:left="440" w:right="0"/>
              <w:jc w:val="left"/>
              <w:rPr>
                <w:rFonts w:ascii="Arial" w:hAnsi="Arial" w:cs="Arial" w:eastAsia="Arial" w:hint="default"/>
                <w:sz w:val="20"/>
                <w:szCs w:val="20"/>
              </w:rPr>
            </w:pPr>
            <w:r>
              <w:rPr>
                <w:rFonts w:ascii="黑体" w:hAnsi="黑体" w:cs="黑体" w:eastAsia="黑体" w:hint="default"/>
                <w:sz w:val="20"/>
                <w:szCs w:val="20"/>
              </w:rPr>
              <w:t>提取任意盈余公积</w:t>
            </w:r>
            <w:r>
              <w:rPr>
                <w:rFonts w:ascii="Arial" w:hAnsi="Arial" w:cs="Arial" w:eastAsia="Arial" w:hint="default"/>
                <w:sz w:val="20"/>
                <w:szCs w:val="20"/>
              </w:rPr>
              <w:t>(</w:t>
            </w:r>
            <w:r>
              <w:rPr>
                <w:rFonts w:ascii="黑体" w:hAnsi="黑体" w:cs="黑体" w:eastAsia="黑体" w:hint="default"/>
                <w:sz w:val="20"/>
                <w:szCs w:val="20"/>
              </w:rPr>
              <w:t>附注五、</w:t>
            </w:r>
            <w:r>
              <w:rPr>
                <w:rFonts w:ascii="Arial" w:hAnsi="Arial" w:cs="Arial" w:eastAsia="Arial" w:hint="default"/>
                <w:sz w:val="20"/>
                <w:szCs w:val="20"/>
              </w:rPr>
              <w:t>30)</w:t>
            </w:r>
          </w:p>
        </w:tc>
        <w:tc>
          <w:tcPr>
            <w:tcW w:w="284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
              <w:ind w:left="1734" w:right="0"/>
              <w:jc w:val="left"/>
              <w:rPr>
                <w:rFonts w:ascii="Arial" w:hAnsi="Arial" w:cs="Arial" w:eastAsia="Arial" w:hint="default"/>
                <w:sz w:val="20"/>
                <w:szCs w:val="20"/>
              </w:rPr>
            </w:pPr>
            <w:r>
              <w:rPr>
                <w:rFonts w:ascii="Arial"/>
                <w:sz w:val="20"/>
              </w:rPr>
              <w:t>27,201,188</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54"/>
              <w:jc w:val="right"/>
              <w:rPr>
                <w:rFonts w:ascii="Arial" w:hAnsi="Arial" w:cs="Arial" w:eastAsia="Arial" w:hint="default"/>
                <w:sz w:val="20"/>
                <w:szCs w:val="20"/>
              </w:rPr>
            </w:pPr>
            <w:r>
              <w:rPr>
                <w:rFonts w:ascii="Arial"/>
                <w:spacing w:val="-1"/>
                <w:sz w:val="20"/>
              </w:rPr>
              <w:t>19,977,428</w:t>
            </w:r>
          </w:p>
        </w:tc>
      </w:tr>
      <w:tr>
        <w:trPr>
          <w:trHeight w:val="255"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Style w:val="TableParagraph"/>
              <w:spacing w:line="238" w:lineRule="exact"/>
              <w:ind w:left="440" w:right="0"/>
              <w:jc w:val="left"/>
              <w:rPr>
                <w:rFonts w:ascii="Arial" w:hAnsi="Arial" w:cs="Arial" w:eastAsia="Arial" w:hint="default"/>
                <w:sz w:val="20"/>
                <w:szCs w:val="20"/>
              </w:rPr>
            </w:pPr>
            <w:r>
              <w:rPr>
                <w:rFonts w:ascii="黑体" w:hAnsi="黑体" w:cs="黑体" w:eastAsia="黑体" w:hint="default"/>
                <w:sz w:val="20"/>
                <w:szCs w:val="20"/>
              </w:rPr>
              <w:t>已派发之现金股利</w:t>
            </w:r>
            <w:r>
              <w:rPr>
                <w:rFonts w:ascii="Arial" w:hAnsi="Arial" w:cs="Arial" w:eastAsia="Arial" w:hint="default"/>
                <w:sz w:val="20"/>
                <w:szCs w:val="20"/>
              </w:rPr>
              <w:t>(</w:t>
            </w:r>
            <w:r>
              <w:rPr>
                <w:rFonts w:ascii="黑体" w:hAnsi="黑体" w:cs="黑体" w:eastAsia="黑体" w:hint="default"/>
                <w:sz w:val="20"/>
                <w:szCs w:val="20"/>
              </w:rPr>
              <w:t>附注五、</w:t>
            </w:r>
            <w:r>
              <w:rPr>
                <w:rFonts w:ascii="Arial" w:hAnsi="Arial" w:cs="Arial" w:eastAsia="Arial" w:hint="default"/>
                <w:sz w:val="20"/>
                <w:szCs w:val="20"/>
              </w:rPr>
              <w:t>31)</w:t>
            </w:r>
          </w:p>
        </w:tc>
        <w:tc>
          <w:tcPr>
            <w:tcW w:w="284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
              <w:ind w:left="1624" w:right="0"/>
              <w:jc w:val="left"/>
              <w:rPr>
                <w:rFonts w:ascii="Arial" w:hAnsi="Arial" w:cs="Arial" w:eastAsia="Arial" w:hint="default"/>
                <w:sz w:val="20"/>
                <w:szCs w:val="20"/>
              </w:rPr>
            </w:pPr>
            <w:r>
              <w:rPr>
                <w:rFonts w:ascii="Arial"/>
                <w:w w:val="100"/>
                <w:sz w:val="20"/>
              </w:rPr>
            </w:r>
            <w:r>
              <w:rPr>
                <w:rFonts w:ascii="Arial"/>
                <w:sz w:val="20"/>
                <w:u w:val="single" w:color="000000"/>
              </w:rPr>
              <w:t>139,998,893</w:t>
            </w:r>
            <w:r>
              <w:rPr>
                <w:rFonts w:ascii="Arial"/>
                <w:sz w:val="20"/>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53"/>
              <w:jc w:val="right"/>
              <w:rPr>
                <w:rFonts w:ascii="Arial" w:hAnsi="Arial" w:cs="Arial" w:eastAsia="Arial" w:hint="default"/>
                <w:sz w:val="20"/>
                <w:szCs w:val="20"/>
              </w:rPr>
            </w:pPr>
            <w:r>
              <w:rPr>
                <w:rFonts w:ascii="Arial"/>
                <w:w w:val="100"/>
                <w:sz w:val="20"/>
              </w:rPr>
            </w:r>
            <w:r>
              <w:rPr>
                <w:rFonts w:ascii="Arial"/>
                <w:spacing w:val="-1"/>
                <w:sz w:val="20"/>
                <w:u w:val="single" w:color="000000"/>
              </w:rPr>
              <w:t>231,361,200</w:t>
            </w:r>
            <w:r>
              <w:rPr>
                <w:rFonts w:ascii="Arial"/>
                <w:spacing w:val="-1"/>
                <w:sz w:val="20"/>
              </w:rPr>
            </w:r>
          </w:p>
        </w:tc>
      </w:tr>
      <w:tr>
        <w:trPr>
          <w:trHeight w:val="367"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Style w:val="TableParagraph"/>
              <w:spacing w:line="223" w:lineRule="exact"/>
              <w:ind w:left="43" w:right="0"/>
              <w:jc w:val="left"/>
              <w:rPr>
                <w:rFonts w:ascii="黑体" w:hAnsi="黑体" w:cs="黑体" w:eastAsia="黑体" w:hint="default"/>
                <w:sz w:val="20"/>
                <w:szCs w:val="20"/>
              </w:rPr>
            </w:pPr>
            <w:r>
              <w:rPr>
                <w:rFonts w:ascii="黑体" w:hAnsi="黑体" w:cs="黑体" w:eastAsia="黑体" w:hint="default"/>
                <w:sz w:val="20"/>
                <w:szCs w:val="20"/>
              </w:rPr>
              <w:t>年末未分配利润</w:t>
            </w:r>
          </w:p>
        </w:tc>
        <w:tc>
          <w:tcPr>
            <w:tcW w:w="284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
              <w:ind w:left="1624" w:right="0"/>
              <w:jc w:val="left"/>
              <w:rPr>
                <w:rFonts w:ascii="Arial" w:hAnsi="Arial" w:cs="Arial" w:eastAsia="Arial" w:hint="default"/>
                <w:sz w:val="20"/>
                <w:szCs w:val="20"/>
              </w:rPr>
            </w:pPr>
            <w:r>
              <w:rPr>
                <w:rFonts w:ascii="Arial"/>
                <w:w w:val="100"/>
                <w:sz w:val="20"/>
              </w:rPr>
            </w:r>
            <w:r>
              <w:rPr>
                <w:rFonts w:ascii="Arial"/>
                <w:sz w:val="20"/>
                <w:u w:val="thick" w:color="000000"/>
              </w:rPr>
              <w:t>810,143,687</w:t>
            </w:r>
            <w:r>
              <w:rPr>
                <w:rFonts w:ascii="Arial"/>
                <w:sz w:val="20"/>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53"/>
              <w:jc w:val="right"/>
              <w:rPr>
                <w:rFonts w:ascii="Arial" w:hAnsi="Arial" w:cs="Arial" w:eastAsia="Arial" w:hint="default"/>
                <w:sz w:val="20"/>
                <w:szCs w:val="20"/>
              </w:rPr>
            </w:pPr>
            <w:r>
              <w:rPr>
                <w:rFonts w:ascii="Arial"/>
                <w:w w:val="100"/>
                <w:sz w:val="20"/>
              </w:rPr>
            </w:r>
            <w:r>
              <w:rPr>
                <w:rFonts w:ascii="Arial"/>
                <w:spacing w:val="-1"/>
                <w:sz w:val="20"/>
                <w:u w:val="thick" w:color="000000"/>
              </w:rPr>
              <w:t>486,817,782</w:t>
            </w:r>
            <w:r>
              <w:rPr>
                <w:rFonts w:ascii="Arial"/>
                <w:spacing w:val="-1"/>
                <w:sz w:val="20"/>
              </w:rPr>
            </w:r>
          </w:p>
        </w:tc>
      </w:tr>
      <w:tr>
        <w:trPr>
          <w:trHeight w:val="516"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9"/>
              <w:ind w:left="58" w:right="0"/>
              <w:jc w:val="left"/>
              <w:rPr>
                <w:rFonts w:ascii="黑体" w:hAnsi="黑体" w:cs="黑体" w:eastAsia="黑体" w:hint="default"/>
                <w:sz w:val="20"/>
                <w:szCs w:val="20"/>
              </w:rPr>
            </w:pPr>
            <w:r>
              <w:rPr>
                <w:rFonts w:ascii="黑体" w:hAnsi="黑体" w:cs="黑体" w:eastAsia="黑体" w:hint="default"/>
                <w:sz w:val="20"/>
                <w:szCs w:val="20"/>
              </w:rPr>
              <w:t>注</w:t>
            </w:r>
            <w:r>
              <w:rPr>
                <w:rFonts w:ascii="Arial" w:hAnsi="Arial" w:cs="Arial" w:eastAsia="Arial" w:hint="default"/>
                <w:sz w:val="20"/>
                <w:szCs w:val="20"/>
              </w:rPr>
              <w:t>1</w:t>
            </w:r>
            <w:r>
              <w:rPr>
                <w:rFonts w:ascii="黑体" w:hAnsi="黑体" w:cs="黑体" w:eastAsia="黑体" w:hint="default"/>
                <w:sz w:val="20"/>
                <w:szCs w:val="20"/>
              </w:rPr>
              <w:t>．</w:t>
            </w:r>
            <w:r>
              <w:rPr>
                <w:rFonts w:ascii="黑体" w:hAnsi="黑体" w:cs="黑体" w:eastAsia="黑体" w:hint="default"/>
                <w:spacing w:val="-68"/>
                <w:sz w:val="20"/>
                <w:szCs w:val="20"/>
              </w:rPr>
              <w:t> </w:t>
            </w:r>
            <w:r>
              <w:rPr>
                <w:rFonts w:ascii="黑体" w:hAnsi="黑体" w:cs="黑体" w:eastAsia="黑体" w:hint="default"/>
                <w:sz w:val="20"/>
                <w:szCs w:val="20"/>
              </w:rPr>
              <w:t>参见附注五、</w:t>
            </w:r>
            <w:r>
              <w:rPr>
                <w:rFonts w:ascii="Arial" w:hAnsi="Arial" w:cs="Arial" w:eastAsia="Arial" w:hint="default"/>
                <w:sz w:val="20"/>
                <w:szCs w:val="20"/>
              </w:rPr>
              <w:t>30</w:t>
            </w:r>
            <w:r>
              <w:rPr>
                <w:rFonts w:ascii="黑体" w:hAnsi="黑体" w:cs="黑体" w:eastAsia="黑体" w:hint="default"/>
                <w:sz w:val="20"/>
                <w:szCs w:val="20"/>
              </w:rPr>
              <w:t>、注</w:t>
            </w:r>
            <w:r>
              <w:rPr>
                <w:rFonts w:ascii="Arial" w:hAnsi="Arial" w:cs="Arial" w:eastAsia="Arial" w:hint="default"/>
                <w:sz w:val="20"/>
                <w:szCs w:val="20"/>
              </w:rPr>
              <w:t>1</w:t>
            </w:r>
            <w:r>
              <w:rPr>
                <w:rFonts w:ascii="黑体" w:hAnsi="黑体" w:cs="黑体" w:eastAsia="黑体" w:hint="default"/>
                <w:sz w:val="20"/>
                <w:szCs w:val="20"/>
              </w:rPr>
              <w:t>。</w:t>
            </w:r>
          </w:p>
        </w:tc>
        <w:tc>
          <w:tcPr>
            <w:tcW w:w="2844" w:type="dxa"/>
            <w:gridSpan w:val="3"/>
            <w:tcBorders>
              <w:top w:val="nil" w:sz="6" w:space="0" w:color="auto"/>
              <w:left w:val="nil" w:sz="6" w:space="0" w:color="auto"/>
              <w:bottom w:val="nil" w:sz="6" w:space="0" w:color="auto"/>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
        </w:tc>
      </w:tr>
      <w:tr>
        <w:trPr>
          <w:trHeight w:val="540" w:hRule="exact"/>
        </w:trPr>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5" w:right="0"/>
              <w:jc w:val="left"/>
              <w:rPr>
                <w:rFonts w:ascii="黑体" w:hAnsi="黑体" w:cs="黑体" w:eastAsia="黑体" w:hint="default"/>
                <w:sz w:val="20"/>
                <w:szCs w:val="20"/>
              </w:rPr>
            </w:pPr>
            <w:r>
              <w:rPr>
                <w:rFonts w:ascii="Arial" w:hAnsi="Arial" w:cs="Arial" w:eastAsia="Arial" w:hint="default"/>
                <w:b/>
                <w:bCs/>
                <w:sz w:val="20"/>
                <w:szCs w:val="20"/>
              </w:rPr>
              <w:t>26</w:t>
            </w:r>
            <w:r>
              <w:rPr>
                <w:rFonts w:ascii="黑体" w:hAnsi="黑体" w:cs="黑体" w:eastAsia="黑体" w:hint="default"/>
                <w:b/>
                <w:bCs/>
                <w:sz w:val="20"/>
                <w:szCs w:val="20"/>
              </w:rPr>
              <w:t>．</w:t>
            </w:r>
            <w:r>
              <w:rPr>
                <w:rFonts w:ascii="黑体" w:hAnsi="黑体" w:cs="黑体" w:eastAsia="黑体" w:hint="default"/>
                <w:sz w:val="20"/>
                <w:szCs w:val="20"/>
              </w:rPr>
            </w:r>
          </w:p>
        </w:tc>
        <w:tc>
          <w:tcPr>
            <w:tcW w:w="366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5"/>
              <w:ind w:left="67" w:right="0"/>
              <w:jc w:val="left"/>
              <w:rPr>
                <w:rFonts w:ascii="黑体" w:hAnsi="黑体" w:cs="黑体" w:eastAsia="黑体" w:hint="default"/>
                <w:sz w:val="20"/>
                <w:szCs w:val="20"/>
              </w:rPr>
            </w:pPr>
            <w:r>
              <w:rPr>
                <w:rFonts w:ascii="黑体" w:hAnsi="黑体" w:cs="黑体" w:eastAsia="黑体" w:hint="default"/>
                <w:b/>
                <w:bCs/>
                <w:sz w:val="20"/>
                <w:szCs w:val="20"/>
              </w:rPr>
              <w:t>营业收入及成本</w:t>
            </w:r>
            <w:r>
              <w:rPr>
                <w:rFonts w:ascii="黑体" w:hAnsi="黑体" w:cs="黑体" w:eastAsia="黑体" w:hint="default"/>
                <w:sz w:val="20"/>
                <w:szCs w:val="20"/>
              </w:rPr>
            </w:r>
          </w:p>
        </w:tc>
        <w:tc>
          <w:tcPr>
            <w:tcW w:w="2844" w:type="dxa"/>
            <w:gridSpan w:val="3"/>
            <w:tcBorders>
              <w:top w:val="nil" w:sz="6" w:space="0" w:color="auto"/>
              <w:left w:val="nil" w:sz="6" w:space="0" w:color="auto"/>
              <w:bottom w:val="nil" w:sz="6" w:space="0" w:color="auto"/>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
        </w:tc>
      </w:tr>
      <w:tr>
        <w:trPr>
          <w:trHeight w:val="398"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
        </w:tc>
        <w:tc>
          <w:tcPr>
            <w:tcW w:w="284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03"/>
              <w:ind w:right="85"/>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267"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Style w:val="TableParagraph"/>
              <w:spacing w:line="225" w:lineRule="exact"/>
              <w:ind w:left="49" w:right="0"/>
              <w:jc w:val="left"/>
              <w:rPr>
                <w:rFonts w:ascii="黑体" w:hAnsi="黑体" w:cs="黑体" w:eastAsia="黑体" w:hint="default"/>
                <w:sz w:val="20"/>
                <w:szCs w:val="20"/>
              </w:rPr>
            </w:pPr>
            <w:r>
              <w:rPr>
                <w:rFonts w:ascii="黑体" w:hAnsi="黑体" w:cs="黑体" w:eastAsia="黑体" w:hint="default"/>
                <w:sz w:val="20"/>
                <w:szCs w:val="20"/>
              </w:rPr>
              <w:t>主营业务收入</w:t>
            </w:r>
          </w:p>
        </w:tc>
        <w:tc>
          <w:tcPr>
            <w:tcW w:w="284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4"/>
              <w:ind w:left="1472" w:right="0"/>
              <w:jc w:val="left"/>
              <w:rPr>
                <w:rFonts w:ascii="Arial" w:hAnsi="Arial" w:cs="Arial" w:eastAsia="Arial" w:hint="default"/>
                <w:sz w:val="20"/>
                <w:szCs w:val="20"/>
              </w:rPr>
            </w:pPr>
            <w:r>
              <w:rPr>
                <w:rFonts w:ascii="Arial"/>
                <w:sz w:val="20"/>
              </w:rPr>
              <w:t>1,564,592,764</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spacing w:val="-2"/>
                <w:sz w:val="20"/>
              </w:rPr>
              <w:t>1,253,979,677</w:t>
            </w:r>
          </w:p>
        </w:tc>
      </w:tr>
      <w:tr>
        <w:trPr>
          <w:trHeight w:val="249"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Style w:val="TableParagraph"/>
              <w:spacing w:line="218" w:lineRule="exact"/>
              <w:ind w:left="49" w:right="0"/>
              <w:jc w:val="left"/>
              <w:rPr>
                <w:rFonts w:ascii="黑体" w:hAnsi="黑体" w:cs="黑体" w:eastAsia="黑体" w:hint="default"/>
                <w:sz w:val="20"/>
                <w:szCs w:val="20"/>
              </w:rPr>
            </w:pPr>
            <w:r>
              <w:rPr>
                <w:rFonts w:ascii="黑体" w:hAnsi="黑体" w:cs="黑体" w:eastAsia="黑体" w:hint="default"/>
                <w:sz w:val="20"/>
                <w:szCs w:val="20"/>
              </w:rPr>
              <w:t>其他业务收入</w:t>
            </w:r>
          </w:p>
        </w:tc>
        <w:tc>
          <w:tcPr>
            <w:tcW w:w="2844" w:type="dxa"/>
            <w:gridSpan w:val="3"/>
            <w:tcBorders>
              <w:top w:val="nil" w:sz="6" w:space="0" w:color="auto"/>
              <w:left w:val="nil" w:sz="6" w:space="0" w:color="auto"/>
              <w:bottom w:val="nil" w:sz="6" w:space="0" w:color="auto"/>
              <w:right w:val="nil" w:sz="6" w:space="0" w:color="auto"/>
            </w:tcBorders>
          </w:tcPr>
          <w:p>
            <w:pPr>
              <w:pStyle w:val="TableParagraph"/>
              <w:tabs>
                <w:tab w:pos="1749" w:val="left" w:leader="none"/>
              </w:tabs>
              <w:spacing w:line="240" w:lineRule="auto" w:before="16"/>
              <w:ind w:left="1450"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10,228,370</w:t>
            </w:r>
            <w:r>
              <w:rPr>
                <w:rFonts w:ascii="Arial"/>
                <w:sz w:val="20"/>
              </w:rPr>
            </w:r>
          </w:p>
        </w:tc>
        <w:tc>
          <w:tcPr>
            <w:tcW w:w="1365"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30" w:lineRule="exact"/>
              <w:ind w:right="3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9,815,429</w:t>
            </w:r>
            <w:r>
              <w:rPr>
                <w:rFonts w:ascii="Arial"/>
                <w:sz w:val="20"/>
              </w:rPr>
            </w:r>
          </w:p>
        </w:tc>
      </w:tr>
      <w:tr>
        <w:trPr>
          <w:trHeight w:val="356"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
        </w:tc>
        <w:tc>
          <w:tcPr>
            <w:tcW w:w="2844" w:type="dxa"/>
            <w:gridSpan w:val="3"/>
            <w:tcBorders>
              <w:top w:val="nil" w:sz="6" w:space="0" w:color="auto"/>
              <w:left w:val="nil" w:sz="6" w:space="0" w:color="auto"/>
              <w:bottom w:val="nil" w:sz="6" w:space="0" w:color="auto"/>
              <w:right w:val="nil" w:sz="6" w:space="0" w:color="auto"/>
            </w:tcBorders>
          </w:tcPr>
          <w:p>
            <w:pPr>
              <w:pStyle w:val="TableParagraph"/>
              <w:spacing w:line="228" w:lineRule="exact"/>
              <w:ind w:left="1471" w:right="0"/>
              <w:jc w:val="left"/>
              <w:rPr>
                <w:rFonts w:ascii="Arial" w:hAnsi="Arial" w:cs="Arial" w:eastAsia="Arial" w:hint="default"/>
                <w:sz w:val="20"/>
                <w:szCs w:val="20"/>
              </w:rPr>
            </w:pPr>
            <w:r>
              <w:rPr>
                <w:rFonts w:ascii="Arial"/>
                <w:w w:val="100"/>
                <w:sz w:val="20"/>
              </w:rPr>
            </w:r>
            <w:r>
              <w:rPr>
                <w:rFonts w:ascii="Arial"/>
                <w:sz w:val="20"/>
                <w:u w:val="double" w:color="000000"/>
              </w:rPr>
              <w:t>1,574,821,134</w:t>
            </w:r>
            <w:r>
              <w:rPr>
                <w:rFonts w:ascii="Arial"/>
                <w:sz w:val="20"/>
              </w:rPr>
            </w:r>
          </w:p>
        </w:tc>
        <w:tc>
          <w:tcPr>
            <w:tcW w:w="1365" w:type="dxa"/>
            <w:tcBorders>
              <w:top w:val="nil" w:sz="6" w:space="0" w:color="auto"/>
              <w:left w:val="nil" w:sz="6" w:space="0" w:color="auto"/>
              <w:bottom w:val="nil" w:sz="6" w:space="0" w:color="auto"/>
              <w:right w:val="nil" w:sz="6" w:space="0" w:color="auto"/>
            </w:tcBorders>
          </w:tcPr>
          <w:p>
            <w:pPr>
              <w:pStyle w:val="TableParagraph"/>
              <w:spacing w:line="211" w:lineRule="exact"/>
              <w:ind w:right="34"/>
              <w:jc w:val="right"/>
              <w:rPr>
                <w:rFonts w:ascii="Arial" w:hAnsi="Arial" w:cs="Arial" w:eastAsia="Arial" w:hint="default"/>
                <w:sz w:val="20"/>
                <w:szCs w:val="20"/>
              </w:rPr>
            </w:pPr>
            <w:r>
              <w:rPr>
                <w:rFonts w:ascii="Arial"/>
                <w:w w:val="100"/>
                <w:sz w:val="20"/>
              </w:rPr>
            </w:r>
            <w:r>
              <w:rPr>
                <w:rFonts w:ascii="Arial"/>
                <w:spacing w:val="-2"/>
                <w:sz w:val="20"/>
                <w:u w:val="double" w:color="000000"/>
              </w:rPr>
              <w:t>1,263,795,106</w:t>
            </w:r>
            <w:r>
              <w:rPr>
                <w:rFonts w:ascii="Arial"/>
                <w:spacing w:val="-2"/>
                <w:sz w:val="20"/>
              </w:rPr>
            </w:r>
          </w:p>
        </w:tc>
      </w:tr>
      <w:tr>
        <w:trPr>
          <w:trHeight w:val="367"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
        </w:tc>
        <w:tc>
          <w:tcPr>
            <w:tcW w:w="284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1"/>
              <w:ind w:right="84"/>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267"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Style w:val="TableParagraph"/>
              <w:spacing w:line="225" w:lineRule="exact"/>
              <w:ind w:left="35" w:right="0"/>
              <w:jc w:val="left"/>
              <w:rPr>
                <w:rFonts w:ascii="黑体" w:hAnsi="黑体" w:cs="黑体" w:eastAsia="黑体" w:hint="default"/>
                <w:sz w:val="20"/>
                <w:szCs w:val="20"/>
              </w:rPr>
            </w:pPr>
            <w:r>
              <w:rPr>
                <w:rFonts w:ascii="黑体" w:hAnsi="黑体" w:cs="黑体" w:eastAsia="黑体" w:hint="default"/>
                <w:sz w:val="20"/>
                <w:szCs w:val="20"/>
              </w:rPr>
              <w:t>主营业务成本</w:t>
            </w:r>
          </w:p>
        </w:tc>
        <w:tc>
          <w:tcPr>
            <w:tcW w:w="284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4"/>
              <w:ind w:left="1638" w:right="0"/>
              <w:jc w:val="left"/>
              <w:rPr>
                <w:rFonts w:ascii="Arial" w:hAnsi="Arial" w:cs="Arial" w:eastAsia="Arial" w:hint="default"/>
                <w:sz w:val="20"/>
                <w:szCs w:val="20"/>
              </w:rPr>
            </w:pPr>
            <w:r>
              <w:rPr>
                <w:rFonts w:ascii="Arial"/>
                <w:sz w:val="20"/>
              </w:rPr>
              <w:t>180,854,798</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4"/>
              <w:jc w:val="right"/>
              <w:rPr>
                <w:rFonts w:ascii="Arial" w:hAnsi="Arial" w:cs="Arial" w:eastAsia="Arial" w:hint="default"/>
                <w:sz w:val="20"/>
                <w:szCs w:val="20"/>
              </w:rPr>
            </w:pPr>
            <w:r>
              <w:rPr>
                <w:rFonts w:ascii="Arial"/>
                <w:spacing w:val="-1"/>
                <w:sz w:val="20"/>
              </w:rPr>
              <w:t>131,792,372</w:t>
            </w:r>
          </w:p>
        </w:tc>
      </w:tr>
      <w:tr>
        <w:trPr>
          <w:trHeight w:val="261"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Style w:val="TableParagraph"/>
              <w:spacing w:line="218" w:lineRule="exact"/>
              <w:ind w:left="35" w:right="0"/>
              <w:jc w:val="left"/>
              <w:rPr>
                <w:rFonts w:ascii="黑体" w:hAnsi="黑体" w:cs="黑体" w:eastAsia="黑体" w:hint="default"/>
                <w:sz w:val="20"/>
                <w:szCs w:val="20"/>
              </w:rPr>
            </w:pPr>
            <w:r>
              <w:rPr>
                <w:rFonts w:ascii="黑体" w:hAnsi="黑体" w:cs="黑体" w:eastAsia="黑体" w:hint="default"/>
                <w:sz w:val="20"/>
                <w:szCs w:val="20"/>
              </w:rPr>
              <w:t>其他业务成本</w:t>
            </w:r>
          </w:p>
        </w:tc>
        <w:tc>
          <w:tcPr>
            <w:tcW w:w="284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6"/>
              <w:ind w:left="1661"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3"/>
                <w:sz w:val="20"/>
                <w:u w:val="single" w:color="000000"/>
              </w:rPr>
              <w:t> </w:t>
            </w:r>
            <w:r>
              <w:rPr>
                <w:rFonts w:ascii="Arial"/>
                <w:sz w:val="20"/>
                <w:u w:val="single" w:color="000000"/>
              </w:rPr>
              <w:t>4,026,701</w:t>
            </w:r>
            <w:r>
              <w:rPr>
                <w:rFonts w:ascii="Arial"/>
                <w:sz w:val="20"/>
              </w:rPr>
            </w:r>
          </w:p>
        </w:tc>
        <w:tc>
          <w:tcPr>
            <w:tcW w:w="1365" w:type="dxa"/>
            <w:tcBorders>
              <w:top w:val="nil" w:sz="6" w:space="0" w:color="auto"/>
              <w:left w:val="nil" w:sz="6" w:space="0" w:color="auto"/>
              <w:bottom w:val="nil" w:sz="6" w:space="0" w:color="auto"/>
              <w:right w:val="nil" w:sz="6" w:space="0" w:color="auto"/>
            </w:tcBorders>
          </w:tcPr>
          <w:p>
            <w:pPr>
              <w:pStyle w:val="TableParagraph"/>
              <w:spacing w:line="230" w:lineRule="exact"/>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2,240,714</w:t>
            </w:r>
            <w:r>
              <w:rPr>
                <w:rFonts w:ascii="Arial"/>
                <w:sz w:val="20"/>
              </w:rPr>
            </w:r>
          </w:p>
        </w:tc>
      </w:tr>
      <w:tr>
        <w:trPr>
          <w:trHeight w:val="360"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
        </w:tc>
        <w:tc>
          <w:tcPr>
            <w:tcW w:w="2844" w:type="dxa"/>
            <w:gridSpan w:val="3"/>
            <w:tcBorders>
              <w:top w:val="nil" w:sz="6" w:space="0" w:color="auto"/>
              <w:left w:val="nil" w:sz="6" w:space="0" w:color="auto"/>
              <w:bottom w:val="nil" w:sz="6" w:space="0" w:color="auto"/>
              <w:right w:val="nil" w:sz="6" w:space="0" w:color="auto"/>
            </w:tcBorders>
          </w:tcPr>
          <w:p>
            <w:pPr>
              <w:pStyle w:val="TableParagraph"/>
              <w:spacing w:line="224" w:lineRule="exact"/>
              <w:ind w:left="1644" w:right="0"/>
              <w:jc w:val="left"/>
              <w:rPr>
                <w:rFonts w:ascii="Arial" w:hAnsi="Arial" w:cs="Arial" w:eastAsia="Arial" w:hint="default"/>
                <w:sz w:val="20"/>
                <w:szCs w:val="20"/>
              </w:rPr>
            </w:pPr>
            <w:r>
              <w:rPr>
                <w:rFonts w:ascii="Arial"/>
                <w:w w:val="100"/>
                <w:sz w:val="20"/>
              </w:rPr>
            </w:r>
            <w:r>
              <w:rPr>
                <w:rFonts w:ascii="Arial"/>
                <w:sz w:val="20"/>
                <w:u w:val="thick" w:color="000000"/>
              </w:rPr>
              <w:t>184,881,499</w:t>
            </w:r>
            <w:r>
              <w:rPr>
                <w:rFonts w:ascii="Arial"/>
                <w:sz w:val="20"/>
              </w:rPr>
            </w:r>
          </w:p>
        </w:tc>
        <w:tc>
          <w:tcPr>
            <w:tcW w:w="1365" w:type="dxa"/>
            <w:tcBorders>
              <w:top w:val="nil" w:sz="6" w:space="0" w:color="auto"/>
              <w:left w:val="nil" w:sz="6" w:space="0" w:color="auto"/>
              <w:bottom w:val="nil" w:sz="6" w:space="0" w:color="auto"/>
              <w:right w:val="nil" w:sz="6" w:space="0" w:color="auto"/>
            </w:tcBorders>
          </w:tcPr>
          <w:p>
            <w:pPr>
              <w:pStyle w:val="TableParagraph"/>
              <w:spacing w:line="224" w:lineRule="exact"/>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134,033,086</w:t>
            </w:r>
            <w:r>
              <w:rPr>
                <w:rFonts w:ascii="Arial"/>
                <w:spacing w:val="-1"/>
                <w:sz w:val="20"/>
              </w:rPr>
            </w:r>
          </w:p>
        </w:tc>
      </w:tr>
      <w:tr>
        <w:trPr>
          <w:trHeight w:val="341" w:hRule="exact"/>
        </w:trPr>
        <w:tc>
          <w:tcPr>
            <w:tcW w:w="691" w:type="dxa"/>
            <w:tcBorders>
              <w:top w:val="nil" w:sz="6" w:space="0" w:color="auto"/>
              <w:left w:val="nil" w:sz="6" w:space="0" w:color="auto"/>
              <w:bottom w:val="nil" w:sz="6" w:space="0" w:color="auto"/>
              <w:right w:val="nil" w:sz="6" w:space="0" w:color="auto"/>
            </w:tcBorders>
          </w:tcPr>
          <w:p>
            <w:pPr/>
          </w:p>
        </w:tc>
        <w:tc>
          <w:tcPr>
            <w:tcW w:w="366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9"/>
              <w:ind w:left="58" w:right="0"/>
              <w:jc w:val="left"/>
              <w:rPr>
                <w:rFonts w:ascii="黑体" w:hAnsi="黑体" w:cs="黑体" w:eastAsia="黑体" w:hint="default"/>
                <w:sz w:val="20"/>
                <w:szCs w:val="20"/>
              </w:rPr>
            </w:pPr>
            <w:r>
              <w:rPr>
                <w:rFonts w:ascii="黑体" w:hAnsi="黑体" w:cs="黑体" w:eastAsia="黑体" w:hint="default"/>
                <w:sz w:val="20"/>
                <w:szCs w:val="20"/>
              </w:rPr>
              <w:t>主营业收入及成本列示如下：</w:t>
            </w:r>
          </w:p>
        </w:tc>
        <w:tc>
          <w:tcPr>
            <w:tcW w:w="2844" w:type="dxa"/>
            <w:gridSpan w:val="3"/>
            <w:tcBorders>
              <w:top w:val="nil" w:sz="6" w:space="0" w:color="auto"/>
              <w:left w:val="nil" w:sz="6" w:space="0" w:color="auto"/>
              <w:bottom w:val="nil" w:sz="6" w:space="0" w:color="auto"/>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
        </w:tc>
      </w:tr>
      <w:tr>
        <w:trPr>
          <w:trHeight w:val="572" w:hRule="exact"/>
        </w:trPr>
        <w:tc>
          <w:tcPr>
            <w:tcW w:w="8567" w:type="dxa"/>
            <w:gridSpan w:val="7"/>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tabs>
                <w:tab w:pos="6806" w:val="left" w:leader="none"/>
              </w:tabs>
              <w:spacing w:line="240" w:lineRule="auto"/>
              <w:ind w:left="3830" w:right="0"/>
              <w:jc w:val="lef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tab/>
            </w: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262" w:hRule="exact"/>
        </w:trPr>
        <w:tc>
          <w:tcPr>
            <w:tcW w:w="2863" w:type="dxa"/>
            <w:gridSpan w:val="2"/>
            <w:tcBorders>
              <w:top w:val="nil" w:sz="6" w:space="0" w:color="auto"/>
              <w:left w:val="nil" w:sz="6" w:space="0" w:color="auto"/>
              <w:bottom w:val="nil" w:sz="6" w:space="0" w:color="auto"/>
              <w:right w:val="nil" w:sz="6" w:space="0" w:color="auto"/>
            </w:tcBorders>
          </w:tcPr>
          <w:p>
            <w:pPr/>
          </w:p>
        </w:tc>
        <w:tc>
          <w:tcPr>
            <w:tcW w:w="1494" w:type="dxa"/>
            <w:tcBorders>
              <w:top w:val="single" w:sz="4" w:space="0" w:color="000000"/>
              <w:left w:val="nil" w:sz="6" w:space="0" w:color="auto"/>
              <w:bottom w:val="nil" w:sz="6" w:space="0" w:color="auto"/>
              <w:right w:val="nil" w:sz="6" w:space="0" w:color="auto"/>
            </w:tcBorders>
          </w:tcPr>
          <w:p>
            <w:pPr>
              <w:pStyle w:val="TableParagraph"/>
              <w:spacing w:line="227" w:lineRule="exact"/>
              <w:ind w:right="79"/>
              <w:jc w:val="right"/>
              <w:rPr>
                <w:rFonts w:ascii="黑体" w:hAnsi="黑体" w:cs="黑体" w:eastAsia="黑体" w:hint="default"/>
                <w:sz w:val="20"/>
                <w:szCs w:val="20"/>
              </w:rPr>
            </w:pPr>
            <w:r>
              <w:rPr>
                <w:rFonts w:ascii="黑体" w:hAnsi="黑体" w:cs="黑体" w:eastAsia="黑体" w:hint="default"/>
                <w:sz w:val="20"/>
                <w:szCs w:val="20"/>
              </w:rPr>
              <w:t>收入</w:t>
            </w:r>
          </w:p>
        </w:tc>
        <w:tc>
          <w:tcPr>
            <w:tcW w:w="1200" w:type="dxa"/>
            <w:tcBorders>
              <w:top w:val="single" w:sz="4" w:space="0" w:color="000000"/>
              <w:left w:val="nil" w:sz="6" w:space="0" w:color="auto"/>
              <w:bottom w:val="nil" w:sz="6" w:space="0" w:color="auto"/>
              <w:right w:val="nil" w:sz="6" w:space="0" w:color="auto"/>
            </w:tcBorders>
          </w:tcPr>
          <w:p>
            <w:pPr>
              <w:pStyle w:val="TableParagraph"/>
              <w:spacing w:line="227" w:lineRule="exact"/>
              <w:ind w:right="3"/>
              <w:jc w:val="right"/>
              <w:rPr>
                <w:rFonts w:ascii="黑体" w:hAnsi="黑体" w:cs="黑体" w:eastAsia="黑体" w:hint="default"/>
                <w:sz w:val="20"/>
                <w:szCs w:val="20"/>
              </w:rPr>
            </w:pPr>
            <w:r>
              <w:rPr>
                <w:rFonts w:ascii="黑体" w:hAnsi="黑体" w:cs="黑体" w:eastAsia="黑体" w:hint="default"/>
                <w:sz w:val="20"/>
                <w:szCs w:val="20"/>
              </w:rPr>
              <w:t>成本</w:t>
            </w:r>
          </w:p>
        </w:tc>
        <w:tc>
          <w:tcPr>
            <w:tcW w:w="282" w:type="dxa"/>
            <w:tcBorders>
              <w:top w:val="nil" w:sz="6" w:space="0" w:color="auto"/>
              <w:left w:val="nil" w:sz="6" w:space="0" w:color="auto"/>
              <w:bottom w:val="nil" w:sz="6" w:space="0" w:color="auto"/>
              <w:right w:val="nil" w:sz="6" w:space="0" w:color="auto"/>
            </w:tcBorders>
          </w:tcPr>
          <w:p>
            <w:pPr/>
          </w:p>
        </w:tc>
        <w:tc>
          <w:tcPr>
            <w:tcW w:w="1362" w:type="dxa"/>
            <w:tcBorders>
              <w:top w:val="single" w:sz="4" w:space="0" w:color="000000"/>
              <w:left w:val="nil" w:sz="6" w:space="0" w:color="auto"/>
              <w:bottom w:val="nil" w:sz="6" w:space="0" w:color="auto"/>
              <w:right w:val="nil" w:sz="6" w:space="0" w:color="auto"/>
            </w:tcBorders>
          </w:tcPr>
          <w:p>
            <w:pPr>
              <w:pStyle w:val="TableParagraph"/>
              <w:spacing w:line="227" w:lineRule="exact"/>
              <w:ind w:right="38"/>
              <w:jc w:val="right"/>
              <w:rPr>
                <w:rFonts w:ascii="黑体" w:hAnsi="黑体" w:cs="黑体" w:eastAsia="黑体" w:hint="default"/>
                <w:sz w:val="20"/>
                <w:szCs w:val="20"/>
              </w:rPr>
            </w:pPr>
            <w:r>
              <w:rPr>
                <w:rFonts w:ascii="黑体" w:hAnsi="黑体" w:cs="黑体" w:eastAsia="黑体" w:hint="default"/>
                <w:sz w:val="20"/>
                <w:szCs w:val="20"/>
              </w:rPr>
              <w:t>收入</w:t>
            </w:r>
          </w:p>
        </w:tc>
        <w:tc>
          <w:tcPr>
            <w:tcW w:w="1365" w:type="dxa"/>
            <w:tcBorders>
              <w:top w:val="single" w:sz="4" w:space="0" w:color="000000"/>
              <w:left w:val="nil" w:sz="6" w:space="0" w:color="auto"/>
              <w:bottom w:val="nil" w:sz="6" w:space="0" w:color="auto"/>
              <w:right w:val="nil" w:sz="6" w:space="0" w:color="auto"/>
            </w:tcBorders>
          </w:tcPr>
          <w:p>
            <w:pPr>
              <w:pStyle w:val="TableParagraph"/>
              <w:spacing w:line="227" w:lineRule="exact"/>
              <w:ind w:right="37"/>
              <w:jc w:val="right"/>
              <w:rPr>
                <w:rFonts w:ascii="黑体" w:hAnsi="黑体" w:cs="黑体" w:eastAsia="黑体" w:hint="default"/>
                <w:sz w:val="20"/>
                <w:szCs w:val="20"/>
              </w:rPr>
            </w:pPr>
            <w:r>
              <w:rPr>
                <w:rFonts w:ascii="黑体" w:hAnsi="黑体" w:cs="黑体" w:eastAsia="黑体" w:hint="default"/>
                <w:sz w:val="20"/>
                <w:szCs w:val="20"/>
              </w:rPr>
              <w:t>成本</w:t>
            </w:r>
          </w:p>
        </w:tc>
      </w:tr>
      <w:tr>
        <w:trPr>
          <w:trHeight w:val="264" w:hRule="exact"/>
        </w:trPr>
        <w:tc>
          <w:tcPr>
            <w:tcW w:w="2863" w:type="dxa"/>
            <w:gridSpan w:val="2"/>
            <w:tcBorders>
              <w:top w:val="nil" w:sz="6" w:space="0" w:color="auto"/>
              <w:left w:val="nil" w:sz="6" w:space="0" w:color="auto"/>
              <w:bottom w:val="nil" w:sz="6" w:space="0" w:color="auto"/>
              <w:right w:val="nil" w:sz="6" w:space="0" w:color="auto"/>
            </w:tcBorders>
          </w:tcPr>
          <w:p>
            <w:pPr>
              <w:pStyle w:val="TableParagraph"/>
              <w:spacing w:line="230" w:lineRule="exact"/>
              <w:ind w:left="726" w:right="0"/>
              <w:jc w:val="left"/>
              <w:rPr>
                <w:rFonts w:ascii="黑体" w:hAnsi="黑体" w:cs="黑体" w:eastAsia="黑体" w:hint="default"/>
                <w:sz w:val="20"/>
                <w:szCs w:val="20"/>
              </w:rPr>
            </w:pPr>
            <w:r>
              <w:rPr>
                <w:rFonts w:ascii="黑体" w:hAnsi="黑体" w:cs="黑体" w:eastAsia="黑体" w:hint="default"/>
                <w:sz w:val="20"/>
                <w:szCs w:val="20"/>
              </w:rPr>
              <w:t>软件产品销售</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80"/>
              <w:jc w:val="right"/>
              <w:rPr>
                <w:rFonts w:ascii="Arial" w:hAnsi="Arial" w:cs="Arial" w:eastAsia="Arial" w:hint="default"/>
                <w:sz w:val="20"/>
                <w:szCs w:val="20"/>
              </w:rPr>
            </w:pPr>
            <w:r>
              <w:rPr>
                <w:rFonts w:ascii="Arial"/>
                <w:spacing w:val="-2"/>
                <w:sz w:val="20"/>
              </w:rPr>
              <w:t>1,101,532,669</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
              <w:jc w:val="right"/>
              <w:rPr>
                <w:rFonts w:ascii="Arial" w:hAnsi="Arial" w:cs="Arial" w:eastAsia="Arial" w:hint="default"/>
                <w:sz w:val="20"/>
                <w:szCs w:val="20"/>
              </w:rPr>
            </w:pPr>
            <w:r>
              <w:rPr>
                <w:rFonts w:ascii="Arial"/>
                <w:spacing w:val="-1"/>
                <w:sz w:val="20"/>
              </w:rPr>
              <w:t>30,844,994</w:t>
            </w:r>
          </w:p>
        </w:tc>
        <w:tc>
          <w:tcPr>
            <w:tcW w:w="282" w:type="dxa"/>
            <w:tcBorders>
              <w:top w:val="nil" w:sz="6" w:space="0" w:color="auto"/>
              <w:left w:val="nil" w:sz="6" w:space="0" w:color="auto"/>
              <w:bottom w:val="nil" w:sz="6" w:space="0" w:color="auto"/>
              <w:right w:val="nil" w:sz="6" w:space="0" w:color="auto"/>
            </w:tcBorders>
          </w:tcPr>
          <w:p>
            <w:pP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7"/>
              <w:jc w:val="right"/>
              <w:rPr>
                <w:rFonts w:ascii="Arial" w:hAnsi="Arial" w:cs="Arial" w:eastAsia="Arial" w:hint="default"/>
                <w:sz w:val="20"/>
                <w:szCs w:val="20"/>
              </w:rPr>
            </w:pPr>
            <w:r>
              <w:rPr>
                <w:rFonts w:ascii="Arial"/>
                <w:spacing w:val="-1"/>
                <w:sz w:val="20"/>
              </w:rPr>
              <w:t>956,356,184</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8"/>
              <w:jc w:val="right"/>
              <w:rPr>
                <w:rFonts w:ascii="Arial" w:hAnsi="Arial" w:cs="Arial" w:eastAsia="Arial" w:hint="default"/>
                <w:sz w:val="20"/>
                <w:szCs w:val="20"/>
              </w:rPr>
            </w:pPr>
            <w:r>
              <w:rPr>
                <w:rFonts w:ascii="Arial"/>
                <w:spacing w:val="-1"/>
                <w:sz w:val="20"/>
              </w:rPr>
              <w:t>32,552,926</w:t>
            </w:r>
          </w:p>
        </w:tc>
      </w:tr>
      <w:tr>
        <w:trPr>
          <w:trHeight w:val="259" w:hRule="exact"/>
        </w:trPr>
        <w:tc>
          <w:tcPr>
            <w:tcW w:w="2863" w:type="dxa"/>
            <w:gridSpan w:val="2"/>
            <w:tcBorders>
              <w:top w:val="nil" w:sz="6" w:space="0" w:color="auto"/>
              <w:left w:val="nil" w:sz="6" w:space="0" w:color="auto"/>
              <w:bottom w:val="nil" w:sz="6" w:space="0" w:color="auto"/>
              <w:right w:val="nil" w:sz="6" w:space="0" w:color="auto"/>
            </w:tcBorders>
          </w:tcPr>
          <w:p>
            <w:pPr>
              <w:pStyle w:val="TableParagraph"/>
              <w:spacing w:line="226" w:lineRule="exact"/>
              <w:ind w:left="725" w:right="0"/>
              <w:jc w:val="left"/>
              <w:rPr>
                <w:rFonts w:ascii="黑体" w:hAnsi="黑体" w:cs="黑体" w:eastAsia="黑体" w:hint="default"/>
                <w:sz w:val="20"/>
                <w:szCs w:val="20"/>
              </w:rPr>
            </w:pPr>
            <w:r>
              <w:rPr>
                <w:rFonts w:ascii="黑体" w:hAnsi="黑体" w:cs="黑体" w:eastAsia="黑体" w:hint="default"/>
                <w:sz w:val="20"/>
                <w:szCs w:val="20"/>
              </w:rPr>
              <w:t>技术服务及培训</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79"/>
              <w:jc w:val="right"/>
              <w:rPr>
                <w:rFonts w:ascii="Arial" w:hAnsi="Arial" w:cs="Arial" w:eastAsia="Arial" w:hint="default"/>
                <w:sz w:val="20"/>
                <w:szCs w:val="20"/>
              </w:rPr>
            </w:pPr>
            <w:r>
              <w:rPr>
                <w:rFonts w:ascii="Arial"/>
                <w:spacing w:val="-1"/>
                <w:sz w:val="20"/>
              </w:rPr>
              <w:t>400,953,833</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
              <w:jc w:val="right"/>
              <w:rPr>
                <w:rFonts w:ascii="Arial" w:hAnsi="Arial" w:cs="Arial" w:eastAsia="Arial" w:hint="default"/>
                <w:sz w:val="20"/>
                <w:szCs w:val="20"/>
              </w:rPr>
            </w:pPr>
            <w:r>
              <w:rPr>
                <w:rFonts w:ascii="Arial"/>
                <w:spacing w:val="-1"/>
                <w:sz w:val="20"/>
              </w:rPr>
              <w:t>100,311,155</w:t>
            </w:r>
          </w:p>
        </w:tc>
        <w:tc>
          <w:tcPr>
            <w:tcW w:w="282" w:type="dxa"/>
            <w:tcBorders>
              <w:top w:val="nil" w:sz="6" w:space="0" w:color="auto"/>
              <w:left w:val="nil" w:sz="6" w:space="0" w:color="auto"/>
              <w:bottom w:val="nil" w:sz="6" w:space="0" w:color="auto"/>
              <w:right w:val="nil" w:sz="6" w:space="0" w:color="auto"/>
            </w:tcBorders>
          </w:tcPr>
          <w:p>
            <w:pP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7"/>
              <w:jc w:val="right"/>
              <w:rPr>
                <w:rFonts w:ascii="Arial" w:hAnsi="Arial" w:cs="Arial" w:eastAsia="Arial" w:hint="default"/>
                <w:sz w:val="20"/>
                <w:szCs w:val="20"/>
              </w:rPr>
            </w:pPr>
            <w:r>
              <w:rPr>
                <w:rFonts w:ascii="Arial"/>
                <w:spacing w:val="-1"/>
                <w:sz w:val="20"/>
              </w:rPr>
              <w:t>248,823,818</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7"/>
              <w:jc w:val="right"/>
              <w:rPr>
                <w:rFonts w:ascii="Arial" w:hAnsi="Arial" w:cs="Arial" w:eastAsia="Arial" w:hint="default"/>
                <w:sz w:val="20"/>
                <w:szCs w:val="20"/>
              </w:rPr>
            </w:pPr>
            <w:r>
              <w:rPr>
                <w:rFonts w:ascii="Arial"/>
                <w:spacing w:val="-1"/>
                <w:sz w:val="20"/>
              </w:rPr>
              <w:t>63,249,692</w:t>
            </w:r>
          </w:p>
        </w:tc>
      </w:tr>
      <w:tr>
        <w:trPr>
          <w:trHeight w:val="259" w:hRule="exact"/>
        </w:trPr>
        <w:tc>
          <w:tcPr>
            <w:tcW w:w="2863" w:type="dxa"/>
            <w:gridSpan w:val="2"/>
            <w:tcBorders>
              <w:top w:val="nil" w:sz="6" w:space="0" w:color="auto"/>
              <w:left w:val="nil" w:sz="6" w:space="0" w:color="auto"/>
              <w:bottom w:val="nil" w:sz="6" w:space="0" w:color="auto"/>
              <w:right w:val="nil" w:sz="6" w:space="0" w:color="auto"/>
            </w:tcBorders>
          </w:tcPr>
          <w:p>
            <w:pPr>
              <w:pStyle w:val="TableParagraph"/>
              <w:spacing w:line="226" w:lineRule="exact"/>
              <w:ind w:left="725" w:right="0"/>
              <w:jc w:val="left"/>
              <w:rPr>
                <w:rFonts w:ascii="黑体" w:hAnsi="黑体" w:cs="黑体" w:eastAsia="黑体" w:hint="default"/>
                <w:sz w:val="20"/>
                <w:szCs w:val="20"/>
              </w:rPr>
            </w:pPr>
            <w:r>
              <w:rPr>
                <w:rFonts w:ascii="黑体" w:hAnsi="黑体" w:cs="黑体" w:eastAsia="黑体" w:hint="default"/>
                <w:sz w:val="20"/>
                <w:szCs w:val="20"/>
              </w:rPr>
              <w:t>外购商品销售</w:t>
            </w:r>
          </w:p>
        </w:tc>
        <w:tc>
          <w:tcPr>
            <w:tcW w:w="1494"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8"/>
              <w:ind w:right="8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62,106,262</w:t>
            </w:r>
            <w:r>
              <w:rPr>
                <w:rFonts w:ascii="Arial"/>
                <w:spacing w:val="-1"/>
                <w:sz w:val="20"/>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49,698,649</w:t>
            </w:r>
            <w:r>
              <w:rPr>
                <w:rFonts w:ascii="Arial"/>
                <w:spacing w:val="-1"/>
                <w:sz w:val="20"/>
              </w:rPr>
            </w:r>
          </w:p>
        </w:tc>
        <w:tc>
          <w:tcPr>
            <w:tcW w:w="282" w:type="dxa"/>
            <w:tcBorders>
              <w:top w:val="nil" w:sz="6" w:space="0" w:color="auto"/>
              <w:left w:val="nil" w:sz="6" w:space="0" w:color="auto"/>
              <w:bottom w:val="nil" w:sz="6" w:space="0" w:color="auto"/>
              <w:right w:val="nil" w:sz="6" w:space="0" w:color="auto"/>
            </w:tcBorders>
          </w:tcPr>
          <w:p>
            <w:pPr/>
          </w:p>
        </w:tc>
        <w:tc>
          <w:tcPr>
            <w:tcW w:w="1362"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8"/>
              <w:ind w:right="3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48,799,675</w:t>
            </w:r>
            <w:r>
              <w:rPr>
                <w:rFonts w:ascii="Arial"/>
                <w:spacing w:val="-1"/>
                <w:sz w:val="20"/>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35,989,754</w:t>
            </w:r>
            <w:r>
              <w:rPr>
                <w:rFonts w:ascii="Arial"/>
                <w:spacing w:val="-1"/>
                <w:sz w:val="20"/>
              </w:rPr>
            </w:r>
          </w:p>
        </w:tc>
      </w:tr>
      <w:tr>
        <w:trPr>
          <w:trHeight w:val="334" w:hRule="exact"/>
        </w:trPr>
        <w:tc>
          <w:tcPr>
            <w:tcW w:w="2863" w:type="dxa"/>
            <w:gridSpan w:val="2"/>
            <w:tcBorders>
              <w:top w:val="nil" w:sz="6" w:space="0" w:color="auto"/>
              <w:left w:val="nil" w:sz="6" w:space="0" w:color="auto"/>
              <w:bottom w:val="nil" w:sz="6" w:space="0" w:color="auto"/>
              <w:right w:val="nil" w:sz="6" w:space="0" w:color="auto"/>
            </w:tcBorders>
          </w:tcPr>
          <w:p>
            <w:pPr>
              <w:pStyle w:val="TableParagraph"/>
              <w:spacing w:line="226" w:lineRule="exact"/>
              <w:ind w:left="726"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0"/>
              <w:jc w:val="right"/>
              <w:rPr>
                <w:rFonts w:ascii="Arial" w:hAnsi="Arial" w:cs="Arial" w:eastAsia="Arial" w:hint="default"/>
                <w:sz w:val="20"/>
                <w:szCs w:val="20"/>
              </w:rPr>
            </w:pPr>
            <w:r>
              <w:rPr>
                <w:rFonts w:ascii="Arial"/>
                <w:w w:val="100"/>
                <w:sz w:val="20"/>
              </w:rPr>
            </w:r>
            <w:r>
              <w:rPr>
                <w:rFonts w:ascii="Arial"/>
                <w:spacing w:val="-2"/>
                <w:sz w:val="20"/>
                <w:u w:val="thick" w:color="000000"/>
              </w:rPr>
              <w:t>1,564,592,764</w:t>
            </w:r>
            <w:r>
              <w:rPr>
                <w:rFonts w:ascii="Arial"/>
                <w:spacing w:val="-2"/>
                <w:sz w:val="20"/>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
              <w:jc w:val="right"/>
              <w:rPr>
                <w:rFonts w:ascii="Arial" w:hAnsi="Arial" w:cs="Arial" w:eastAsia="Arial" w:hint="default"/>
                <w:sz w:val="20"/>
                <w:szCs w:val="20"/>
              </w:rPr>
            </w:pPr>
            <w:r>
              <w:rPr>
                <w:rFonts w:ascii="Arial"/>
                <w:w w:val="100"/>
                <w:sz w:val="20"/>
              </w:rPr>
            </w:r>
            <w:r>
              <w:rPr>
                <w:rFonts w:ascii="Arial"/>
                <w:spacing w:val="-1"/>
                <w:sz w:val="20"/>
                <w:u w:val="thick" w:color="000000"/>
              </w:rPr>
              <w:t>180,854,798</w:t>
            </w:r>
            <w:r>
              <w:rPr>
                <w:rFonts w:ascii="Arial"/>
                <w:spacing w:val="-1"/>
                <w:sz w:val="20"/>
              </w:rPr>
            </w:r>
          </w:p>
        </w:tc>
        <w:tc>
          <w:tcPr>
            <w:tcW w:w="282" w:type="dxa"/>
            <w:tcBorders>
              <w:top w:val="nil" w:sz="6" w:space="0" w:color="auto"/>
              <w:left w:val="nil" w:sz="6" w:space="0" w:color="auto"/>
              <w:bottom w:val="nil" w:sz="6" w:space="0" w:color="auto"/>
              <w:right w:val="nil" w:sz="6" w:space="0" w:color="auto"/>
            </w:tcBorders>
          </w:tcPr>
          <w:p>
            <w:pP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8"/>
              <w:jc w:val="right"/>
              <w:rPr>
                <w:rFonts w:ascii="Arial" w:hAnsi="Arial" w:cs="Arial" w:eastAsia="Arial" w:hint="default"/>
                <w:sz w:val="20"/>
                <w:szCs w:val="20"/>
              </w:rPr>
            </w:pPr>
            <w:r>
              <w:rPr>
                <w:rFonts w:ascii="Arial"/>
                <w:w w:val="100"/>
                <w:sz w:val="20"/>
              </w:rPr>
            </w:r>
            <w:r>
              <w:rPr>
                <w:rFonts w:ascii="Arial"/>
                <w:spacing w:val="-2"/>
                <w:sz w:val="20"/>
                <w:u w:val="thick" w:color="000000"/>
              </w:rPr>
              <w:t>1,253,979,677</w:t>
            </w:r>
            <w:r>
              <w:rPr>
                <w:rFonts w:ascii="Arial"/>
                <w:spacing w:val="-2"/>
                <w:sz w:val="20"/>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6"/>
              <w:jc w:val="right"/>
              <w:rPr>
                <w:rFonts w:ascii="Arial" w:hAnsi="Arial" w:cs="Arial" w:eastAsia="Arial" w:hint="default"/>
                <w:sz w:val="20"/>
                <w:szCs w:val="20"/>
              </w:rPr>
            </w:pPr>
            <w:r>
              <w:rPr>
                <w:rFonts w:ascii="Arial"/>
                <w:w w:val="100"/>
                <w:sz w:val="20"/>
              </w:rPr>
            </w:r>
            <w:r>
              <w:rPr>
                <w:rFonts w:ascii="Arial"/>
                <w:spacing w:val="-1"/>
                <w:sz w:val="20"/>
                <w:u w:val="thick" w:color="000000"/>
              </w:rPr>
              <w:t>131,792,372</w:t>
            </w:r>
            <w:r>
              <w:rPr>
                <w:rFonts w:ascii="Arial"/>
                <w:spacing w:val="-1"/>
                <w:sz w:val="20"/>
              </w:rPr>
            </w:r>
          </w:p>
        </w:tc>
      </w:tr>
    </w:tbl>
    <w:p>
      <w:pPr>
        <w:spacing w:line="240" w:lineRule="auto" w:before="1"/>
        <w:rPr>
          <w:rFonts w:ascii="Times New Roman" w:hAnsi="Times New Roman" w:cs="Times New Roman" w:eastAsia="Times New Roman" w:hint="default"/>
          <w:sz w:val="7"/>
          <w:szCs w:val="7"/>
        </w:rPr>
      </w:pPr>
    </w:p>
    <w:tbl>
      <w:tblPr>
        <w:tblW w:w="0" w:type="auto"/>
        <w:jc w:val="left"/>
        <w:tblInd w:w="797" w:type="dxa"/>
        <w:tblLayout w:type="fixed"/>
        <w:tblCellMar>
          <w:top w:w="0" w:type="dxa"/>
          <w:left w:w="0" w:type="dxa"/>
          <w:bottom w:w="0" w:type="dxa"/>
          <w:right w:w="0" w:type="dxa"/>
        </w:tblCellMar>
        <w:tblLook w:val="01E0"/>
      </w:tblPr>
      <w:tblGrid>
        <w:gridCol w:w="4227"/>
        <w:gridCol w:w="1447"/>
        <w:gridCol w:w="2197"/>
      </w:tblGrid>
      <w:tr>
        <w:trPr>
          <w:trHeight w:val="939" w:hRule="exact"/>
        </w:trPr>
        <w:tc>
          <w:tcPr>
            <w:tcW w:w="567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8"/>
              <w:ind w:left="57" w:right="0"/>
              <w:jc w:val="left"/>
              <w:rPr>
                <w:rFonts w:ascii="黑体" w:hAnsi="黑体" w:cs="黑体" w:eastAsia="黑体" w:hint="default"/>
                <w:sz w:val="20"/>
                <w:szCs w:val="20"/>
              </w:rPr>
            </w:pPr>
            <w:r>
              <w:rPr>
                <w:rFonts w:ascii="黑体" w:hAnsi="黑体" w:cs="黑体" w:eastAsia="黑体" w:hint="default"/>
                <w:sz w:val="20"/>
                <w:szCs w:val="20"/>
              </w:rPr>
              <w:t>本公司的主营业务收入及成本均来自中国境内。</w:t>
            </w:r>
          </w:p>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57"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年，前五名客户的营业收入如下：</w:t>
            </w:r>
          </w:p>
        </w:tc>
        <w:tc>
          <w:tcPr>
            <w:tcW w:w="2197" w:type="dxa"/>
            <w:tcBorders>
              <w:top w:val="nil" w:sz="6" w:space="0" w:color="auto"/>
              <w:left w:val="nil" w:sz="6" w:space="0" w:color="auto"/>
              <w:bottom w:val="nil" w:sz="6" w:space="0" w:color="auto"/>
              <w:right w:val="nil" w:sz="6" w:space="0" w:color="auto"/>
            </w:tcBorders>
          </w:tcPr>
          <w:p>
            <w:pPr/>
          </w:p>
        </w:tc>
      </w:tr>
      <w:tr>
        <w:trPr>
          <w:trHeight w:val="502" w:hRule="exact"/>
        </w:trPr>
        <w:tc>
          <w:tcPr>
            <w:tcW w:w="4227" w:type="dxa"/>
            <w:tcBorders>
              <w:top w:val="nil" w:sz="6" w:space="0" w:color="auto"/>
              <w:left w:val="nil" w:sz="6" w:space="0" w:color="auto"/>
              <w:bottom w:val="nil" w:sz="6" w:space="0" w:color="auto"/>
              <w:right w:val="nil" w:sz="6" w:space="0" w:color="auto"/>
            </w:tcBorders>
          </w:tcPr>
          <w:p>
            <w:pP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447"/>
              <w:jc w:val="right"/>
              <w:rPr>
                <w:rFonts w:ascii="黑体" w:hAnsi="黑体" w:cs="黑体" w:eastAsia="黑体" w:hint="default"/>
                <w:sz w:val="20"/>
                <w:szCs w:val="20"/>
              </w:rPr>
            </w:pPr>
            <w:r>
              <w:rPr>
                <w:rFonts w:ascii="黑体" w:hAnsi="黑体" w:cs="黑体" w:eastAsia="黑体" w:hint="default"/>
                <w:sz w:val="20"/>
                <w:szCs w:val="20"/>
              </w:rPr>
              <w:t>金额</w:t>
            </w:r>
          </w:p>
        </w:tc>
        <w:tc>
          <w:tcPr>
            <w:tcW w:w="219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8"/>
              <w:jc w:val="right"/>
              <w:rPr>
                <w:rFonts w:ascii="Arial" w:hAnsi="Arial" w:cs="Arial" w:eastAsia="Arial" w:hint="default"/>
                <w:sz w:val="20"/>
                <w:szCs w:val="20"/>
              </w:rPr>
            </w:pPr>
            <w:r>
              <w:rPr>
                <w:rFonts w:ascii="黑体" w:hAnsi="黑体" w:cs="黑体" w:eastAsia="黑体" w:hint="default"/>
                <w:spacing w:val="-1"/>
                <w:sz w:val="20"/>
                <w:szCs w:val="20"/>
              </w:rPr>
              <w:t>占营业收入比例</w:t>
            </w:r>
            <w:r>
              <w:rPr>
                <w:rFonts w:ascii="Arial" w:hAnsi="Arial" w:cs="Arial" w:eastAsia="Arial" w:hint="default"/>
                <w:spacing w:val="-1"/>
                <w:sz w:val="20"/>
                <w:szCs w:val="20"/>
              </w:rPr>
              <w:t>(%)</w:t>
            </w:r>
          </w:p>
        </w:tc>
      </w:tr>
      <w:tr>
        <w:trPr>
          <w:trHeight w:val="386" w:hRule="exact"/>
        </w:trPr>
        <w:tc>
          <w:tcPr>
            <w:tcW w:w="4227" w:type="dxa"/>
            <w:tcBorders>
              <w:top w:val="nil" w:sz="6" w:space="0" w:color="auto"/>
              <w:left w:val="nil" w:sz="6" w:space="0" w:color="auto"/>
              <w:bottom w:val="nil" w:sz="6" w:space="0" w:color="auto"/>
              <w:right w:val="nil" w:sz="6" w:space="0" w:color="auto"/>
            </w:tcBorders>
          </w:tcPr>
          <w:p>
            <w:pPr>
              <w:pStyle w:val="TableParagraph"/>
              <w:spacing w:line="240" w:lineRule="auto" w:before="91"/>
              <w:ind w:left="53" w:right="0"/>
              <w:jc w:val="left"/>
              <w:rPr>
                <w:rFonts w:ascii="黑体" w:hAnsi="黑体" w:cs="黑体" w:eastAsia="黑体" w:hint="default"/>
                <w:sz w:val="20"/>
                <w:szCs w:val="20"/>
              </w:rPr>
            </w:pPr>
            <w:r>
              <w:rPr>
                <w:rFonts w:ascii="黑体" w:hAnsi="黑体" w:cs="黑体" w:eastAsia="黑体" w:hint="default"/>
                <w:sz w:val="20"/>
                <w:szCs w:val="20"/>
              </w:rPr>
              <w:t>联通系统集成有限公司</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443"/>
              <w:jc w:val="right"/>
              <w:rPr>
                <w:rFonts w:ascii="Arial" w:hAnsi="Arial" w:cs="Arial" w:eastAsia="Arial" w:hint="default"/>
                <w:sz w:val="20"/>
                <w:szCs w:val="20"/>
              </w:rPr>
            </w:pPr>
            <w:r>
              <w:rPr>
                <w:rFonts w:ascii="Arial"/>
                <w:spacing w:val="-1"/>
                <w:sz w:val="20"/>
              </w:rPr>
              <w:t>6,782,400</w:t>
            </w:r>
          </w:p>
        </w:tc>
        <w:tc>
          <w:tcPr>
            <w:tcW w:w="2197"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
              <w:jc w:val="right"/>
              <w:rPr>
                <w:rFonts w:ascii="Arial" w:hAnsi="Arial" w:cs="Arial" w:eastAsia="Arial" w:hint="default"/>
                <w:sz w:val="20"/>
                <w:szCs w:val="20"/>
              </w:rPr>
            </w:pPr>
            <w:r>
              <w:rPr>
                <w:rFonts w:ascii="Arial"/>
                <w:sz w:val="20"/>
              </w:rPr>
              <w:t>&lt;1</w:t>
            </w:r>
          </w:p>
        </w:tc>
      </w:tr>
      <w:tr>
        <w:trPr>
          <w:trHeight w:val="260" w:hRule="exact"/>
        </w:trPr>
        <w:tc>
          <w:tcPr>
            <w:tcW w:w="4227" w:type="dxa"/>
            <w:tcBorders>
              <w:top w:val="nil" w:sz="6" w:space="0" w:color="auto"/>
              <w:left w:val="nil" w:sz="6" w:space="0" w:color="auto"/>
              <w:bottom w:val="nil" w:sz="6" w:space="0" w:color="auto"/>
              <w:right w:val="nil" w:sz="6" w:space="0" w:color="auto"/>
            </w:tcBorders>
          </w:tcPr>
          <w:p>
            <w:pPr>
              <w:pStyle w:val="TableParagraph"/>
              <w:spacing w:line="227" w:lineRule="exact"/>
              <w:ind w:left="35" w:right="0"/>
              <w:jc w:val="left"/>
              <w:rPr>
                <w:rFonts w:ascii="黑体" w:hAnsi="黑体" w:cs="黑体" w:eastAsia="黑体" w:hint="default"/>
                <w:sz w:val="20"/>
                <w:szCs w:val="20"/>
              </w:rPr>
            </w:pPr>
            <w:r>
              <w:rPr>
                <w:rFonts w:ascii="黑体" w:hAnsi="黑体" w:cs="黑体" w:eastAsia="黑体" w:hint="default"/>
                <w:sz w:val="20"/>
                <w:szCs w:val="20"/>
              </w:rPr>
              <w:t>山西同华电力有限公司</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42"/>
              <w:jc w:val="right"/>
              <w:rPr>
                <w:rFonts w:ascii="Arial" w:hAnsi="Arial" w:cs="Arial" w:eastAsia="Arial" w:hint="default"/>
                <w:sz w:val="20"/>
                <w:szCs w:val="20"/>
              </w:rPr>
            </w:pPr>
            <w:r>
              <w:rPr>
                <w:rFonts w:ascii="Arial"/>
                <w:sz w:val="20"/>
              </w:rPr>
              <w:t>6,091,025</w:t>
            </w:r>
          </w:p>
        </w:tc>
        <w:tc>
          <w:tcPr>
            <w:tcW w:w="219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&lt;1</w:t>
            </w:r>
          </w:p>
        </w:tc>
      </w:tr>
      <w:tr>
        <w:trPr>
          <w:trHeight w:val="259" w:hRule="exact"/>
        </w:trPr>
        <w:tc>
          <w:tcPr>
            <w:tcW w:w="4227"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宁夏宝丰能源集团有限公司</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43"/>
              <w:jc w:val="right"/>
              <w:rPr>
                <w:rFonts w:ascii="Arial" w:hAnsi="Arial" w:cs="Arial" w:eastAsia="Arial" w:hint="default"/>
                <w:sz w:val="20"/>
                <w:szCs w:val="20"/>
              </w:rPr>
            </w:pPr>
            <w:r>
              <w:rPr>
                <w:rFonts w:ascii="Arial"/>
                <w:spacing w:val="-1"/>
                <w:sz w:val="20"/>
              </w:rPr>
              <w:t>5,833,077</w:t>
            </w:r>
          </w:p>
        </w:tc>
        <w:tc>
          <w:tcPr>
            <w:tcW w:w="219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&lt;1</w:t>
            </w:r>
          </w:p>
        </w:tc>
      </w:tr>
      <w:tr>
        <w:trPr>
          <w:trHeight w:val="259" w:hRule="exact"/>
        </w:trPr>
        <w:tc>
          <w:tcPr>
            <w:tcW w:w="4227"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中国建筑第五工程局有限公司</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43"/>
              <w:jc w:val="right"/>
              <w:rPr>
                <w:rFonts w:ascii="Arial" w:hAnsi="Arial" w:cs="Arial" w:eastAsia="Arial" w:hint="default"/>
                <w:sz w:val="20"/>
                <w:szCs w:val="20"/>
              </w:rPr>
            </w:pPr>
            <w:r>
              <w:rPr>
                <w:rFonts w:ascii="Arial"/>
                <w:spacing w:val="-1"/>
                <w:sz w:val="20"/>
              </w:rPr>
              <w:t>4,713,675</w:t>
            </w:r>
          </w:p>
        </w:tc>
        <w:tc>
          <w:tcPr>
            <w:tcW w:w="219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&lt;1</w:t>
            </w:r>
          </w:p>
        </w:tc>
      </w:tr>
      <w:tr>
        <w:trPr>
          <w:trHeight w:val="260" w:hRule="exact"/>
        </w:trPr>
        <w:tc>
          <w:tcPr>
            <w:tcW w:w="4227" w:type="dxa"/>
            <w:tcBorders>
              <w:top w:val="nil" w:sz="6" w:space="0" w:color="auto"/>
              <w:left w:val="nil" w:sz="6" w:space="0" w:color="auto"/>
              <w:bottom w:val="nil" w:sz="6" w:space="0" w:color="auto"/>
              <w:right w:val="nil" w:sz="6" w:space="0" w:color="auto"/>
            </w:tcBorders>
          </w:tcPr>
          <w:p>
            <w:pPr>
              <w:pStyle w:val="TableParagraph"/>
              <w:spacing w:line="226" w:lineRule="exact"/>
              <w:ind w:left="37" w:right="0"/>
              <w:jc w:val="left"/>
              <w:rPr>
                <w:rFonts w:ascii="黑体" w:hAnsi="黑体" w:cs="黑体" w:eastAsia="黑体" w:hint="default"/>
                <w:sz w:val="20"/>
                <w:szCs w:val="20"/>
              </w:rPr>
            </w:pPr>
            <w:r>
              <w:rPr>
                <w:rFonts w:ascii="黑体" w:hAnsi="黑体" w:cs="黑体" w:eastAsia="黑体" w:hint="default"/>
                <w:sz w:val="20"/>
                <w:szCs w:val="20"/>
              </w:rPr>
              <w:t>北京奥博信达科技有限公司</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4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4,469,088</w:t>
            </w:r>
            <w:r>
              <w:rPr>
                <w:rFonts w:ascii="Arial"/>
                <w:sz w:val="20"/>
              </w:rPr>
            </w:r>
          </w:p>
        </w:tc>
        <w:tc>
          <w:tcPr>
            <w:tcW w:w="219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sz w:val="20"/>
                <w:u w:val="single" w:color="000000"/>
              </w:rPr>
              <w:t>&lt;1</w:t>
            </w:r>
            <w:r>
              <w:rPr>
                <w:rFonts w:ascii="Arial"/>
                <w:sz w:val="20"/>
              </w:rPr>
            </w:r>
          </w:p>
        </w:tc>
      </w:tr>
      <w:tr>
        <w:trPr>
          <w:trHeight w:val="334" w:hRule="exact"/>
        </w:trPr>
        <w:tc>
          <w:tcPr>
            <w:tcW w:w="4227"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43"/>
              <w:jc w:val="right"/>
              <w:rPr>
                <w:rFonts w:ascii="Arial" w:hAnsi="Arial" w:cs="Arial" w:eastAsia="Arial" w:hint="default"/>
                <w:sz w:val="20"/>
                <w:szCs w:val="20"/>
              </w:rPr>
            </w:pPr>
            <w:r>
              <w:rPr>
                <w:rFonts w:ascii="Arial"/>
                <w:w w:val="100"/>
                <w:sz w:val="20"/>
              </w:rPr>
            </w:r>
            <w:r>
              <w:rPr>
                <w:rFonts w:ascii="Arial"/>
                <w:spacing w:val="-1"/>
                <w:sz w:val="20"/>
                <w:u w:val="thick" w:color="000000"/>
              </w:rPr>
              <w:t>27,889,265</w:t>
            </w:r>
            <w:r>
              <w:rPr>
                <w:rFonts w:ascii="Arial"/>
                <w:spacing w:val="-1"/>
                <w:sz w:val="20"/>
              </w:rPr>
            </w:r>
          </w:p>
        </w:tc>
        <w:tc>
          <w:tcPr>
            <w:tcW w:w="219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8"/>
                <w:sz w:val="20"/>
                <w:u w:val="thick" w:color="000000"/>
              </w:rPr>
              <w:t> </w:t>
            </w:r>
            <w:r>
              <w:rPr>
                <w:rFonts w:ascii="Arial"/>
                <w:sz w:val="20"/>
                <w:u w:val="thick" w:color="000000"/>
              </w:rPr>
              <w:t>1</w:t>
            </w:r>
            <w:r>
              <w:rPr>
                <w:rFonts w:ascii="Arial"/>
                <w:sz w:val="20"/>
              </w:rPr>
            </w:r>
          </w:p>
        </w:tc>
      </w:tr>
    </w:tbl>
    <w:p>
      <w:pPr>
        <w:spacing w:after="0" w:line="240" w:lineRule="auto"/>
        <w:jc w:val="right"/>
        <w:rPr>
          <w:rFonts w:ascii="Arial" w:hAnsi="Arial" w:cs="Arial" w:eastAsia="Arial" w:hint="default"/>
          <w:sz w:val="20"/>
          <w:szCs w:val="20"/>
        </w:rPr>
        <w:sectPr>
          <w:pgSz w:w="11910" w:h="16840"/>
          <w:pgMar w:header="958" w:footer="466" w:top="2560" w:bottom="660" w:left="156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175"/>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6"/>
        <w:rPr>
          <w:rFonts w:ascii="黑体" w:hAnsi="黑体" w:cs="黑体" w:eastAsia="黑体" w:hint="default"/>
          <w:b/>
          <w:bCs/>
          <w:sz w:val="14"/>
          <w:szCs w:val="14"/>
        </w:rPr>
      </w:pPr>
    </w:p>
    <w:tbl>
      <w:tblPr>
        <w:tblW w:w="0" w:type="auto"/>
        <w:jc w:val="left"/>
        <w:tblInd w:w="106" w:type="dxa"/>
        <w:tblLayout w:type="fixed"/>
        <w:tblCellMar>
          <w:top w:w="0" w:type="dxa"/>
          <w:left w:w="0" w:type="dxa"/>
          <w:bottom w:w="0" w:type="dxa"/>
          <w:right w:w="0" w:type="dxa"/>
        </w:tblCellMar>
        <w:tblLook w:val="01E0"/>
      </w:tblPr>
      <w:tblGrid>
        <w:gridCol w:w="592"/>
        <w:gridCol w:w="4328"/>
        <w:gridCol w:w="1833"/>
        <w:gridCol w:w="600"/>
        <w:gridCol w:w="1305"/>
      </w:tblGrid>
      <w:tr>
        <w:trPr>
          <w:trHeight w:val="1440" w:hRule="exact"/>
        </w:trPr>
        <w:tc>
          <w:tcPr>
            <w:tcW w:w="59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Arial" w:hAnsi="Arial" w:cs="Arial" w:eastAsia="Arial" w:hint="default"/>
                <w:b/>
                <w:bCs/>
                <w:sz w:val="20"/>
                <w:szCs w:val="20"/>
              </w:rPr>
              <w:t>26</w:t>
            </w:r>
            <w:r>
              <w:rPr>
                <w:rFonts w:ascii="黑体" w:hAnsi="黑体" w:cs="黑体" w:eastAsia="黑体" w:hint="default"/>
                <w:b/>
                <w:bCs/>
                <w:sz w:val="20"/>
                <w:szCs w:val="20"/>
              </w:rPr>
              <w:t>．</w:t>
            </w:r>
            <w:r>
              <w:rPr>
                <w:rFonts w:ascii="黑体" w:hAnsi="黑体" w:cs="黑体" w:eastAsia="黑体" w:hint="default"/>
                <w:sz w:val="20"/>
                <w:szCs w:val="20"/>
              </w:rPr>
            </w:r>
          </w:p>
        </w:tc>
        <w:tc>
          <w:tcPr>
            <w:tcW w:w="432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66" w:right="0"/>
              <w:jc w:val="left"/>
              <w:rPr>
                <w:rFonts w:ascii="黑体" w:hAnsi="黑体" w:cs="黑体" w:eastAsia="黑体" w:hint="default"/>
                <w:sz w:val="20"/>
                <w:szCs w:val="20"/>
              </w:rPr>
            </w:pPr>
            <w:r>
              <w:rPr>
                <w:rFonts w:ascii="黑体" w:hAnsi="黑体" w:cs="黑体" w:eastAsia="黑体" w:hint="default"/>
                <w:b/>
                <w:bCs/>
                <w:sz w:val="20"/>
                <w:szCs w:val="20"/>
              </w:rPr>
              <w:t>营业收入及成本（续）</w:t>
            </w:r>
            <w:r>
              <w:rPr>
                <w:rFonts w:ascii="黑体" w:hAnsi="黑体" w:cs="黑体" w:eastAsia="黑体" w:hint="default"/>
                <w:sz w:val="20"/>
                <w:szCs w:val="20"/>
              </w:rPr>
            </w:r>
          </w:p>
          <w:p>
            <w:pPr>
              <w:pStyle w:val="TableParagraph"/>
              <w:spacing w:line="240" w:lineRule="auto" w:before="4"/>
              <w:ind w:right="0"/>
              <w:jc w:val="left"/>
              <w:rPr>
                <w:rFonts w:ascii="黑体" w:hAnsi="黑体" w:cs="黑体" w:eastAsia="黑体" w:hint="default"/>
                <w:b/>
                <w:bCs/>
                <w:sz w:val="17"/>
                <w:szCs w:val="17"/>
              </w:rPr>
            </w:pPr>
          </w:p>
          <w:p>
            <w:pPr>
              <w:pStyle w:val="TableParagraph"/>
              <w:spacing w:line="240" w:lineRule="auto"/>
              <w:ind w:left="156"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年，前五名客户的营业收入如下：</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9"/>
              <w:ind w:right="0"/>
              <w:jc w:val="left"/>
              <w:rPr>
                <w:rFonts w:ascii="黑体" w:hAnsi="黑体" w:cs="黑体" w:eastAsia="黑体" w:hint="default"/>
                <w:b/>
                <w:bCs/>
                <w:sz w:val="17"/>
                <w:szCs w:val="17"/>
              </w:rPr>
            </w:pPr>
          </w:p>
          <w:p>
            <w:pPr>
              <w:pStyle w:val="TableParagraph"/>
              <w:spacing w:line="240" w:lineRule="auto"/>
              <w:ind w:right="72"/>
              <w:jc w:val="right"/>
              <w:rPr>
                <w:rFonts w:ascii="黑体" w:hAnsi="黑体" w:cs="黑体" w:eastAsia="黑体" w:hint="default"/>
                <w:sz w:val="20"/>
                <w:szCs w:val="20"/>
              </w:rPr>
            </w:pPr>
            <w:r>
              <w:rPr>
                <w:rFonts w:ascii="黑体" w:hAnsi="黑体" w:cs="黑体" w:eastAsia="黑体" w:hint="default"/>
                <w:sz w:val="20"/>
                <w:szCs w:val="20"/>
              </w:rPr>
              <w:t>金额</w:t>
            </w:r>
          </w:p>
        </w:tc>
        <w:tc>
          <w:tcPr>
            <w:tcW w:w="1904"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9"/>
              <w:ind w:right="0"/>
              <w:jc w:val="left"/>
              <w:rPr>
                <w:rFonts w:ascii="黑体" w:hAnsi="黑体" w:cs="黑体" w:eastAsia="黑体" w:hint="default"/>
                <w:b/>
                <w:bCs/>
                <w:sz w:val="17"/>
                <w:szCs w:val="17"/>
              </w:rPr>
            </w:pPr>
          </w:p>
          <w:p>
            <w:pPr>
              <w:pStyle w:val="TableParagraph"/>
              <w:spacing w:line="240" w:lineRule="auto"/>
              <w:ind w:left="55" w:right="0"/>
              <w:jc w:val="left"/>
              <w:rPr>
                <w:rFonts w:ascii="Arial" w:hAnsi="Arial" w:cs="Arial" w:eastAsia="Arial" w:hint="default"/>
                <w:sz w:val="20"/>
                <w:szCs w:val="20"/>
              </w:rPr>
            </w:pPr>
            <w:r>
              <w:rPr>
                <w:rFonts w:ascii="黑体" w:hAnsi="黑体" w:cs="黑体" w:eastAsia="黑体" w:hint="default"/>
                <w:sz w:val="20"/>
                <w:szCs w:val="20"/>
              </w:rPr>
              <w:t>占营业收入比例</w:t>
            </w:r>
            <w:r>
              <w:rPr>
                <w:rFonts w:ascii="Arial" w:hAnsi="Arial" w:cs="Arial" w:eastAsia="Arial" w:hint="default"/>
                <w:sz w:val="20"/>
                <w:szCs w:val="20"/>
              </w:rPr>
              <w:t>(%)</w:t>
            </w:r>
          </w:p>
        </w:tc>
      </w:tr>
      <w:tr>
        <w:trPr>
          <w:trHeight w:val="386" w:hRule="exact"/>
        </w:trPr>
        <w:tc>
          <w:tcPr>
            <w:tcW w:w="592" w:type="dxa"/>
            <w:tcBorders>
              <w:top w:val="nil" w:sz="6" w:space="0" w:color="auto"/>
              <w:left w:val="nil" w:sz="6" w:space="0" w:color="auto"/>
              <w:bottom w:val="nil" w:sz="6" w:space="0" w:color="auto"/>
              <w:right w:val="nil" w:sz="6" w:space="0" w:color="auto"/>
            </w:tcBorders>
          </w:tcPr>
          <w:p>
            <w:pPr/>
          </w:p>
        </w:tc>
        <w:tc>
          <w:tcPr>
            <w:tcW w:w="4328"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33" w:right="0"/>
              <w:jc w:val="left"/>
              <w:rPr>
                <w:rFonts w:ascii="黑体" w:hAnsi="黑体" w:cs="黑体" w:eastAsia="黑体" w:hint="default"/>
                <w:sz w:val="20"/>
                <w:szCs w:val="20"/>
              </w:rPr>
            </w:pPr>
            <w:r>
              <w:rPr>
                <w:rFonts w:ascii="黑体" w:hAnsi="黑体" w:cs="黑体" w:eastAsia="黑体" w:hint="default"/>
                <w:sz w:val="20"/>
                <w:szCs w:val="20"/>
              </w:rPr>
              <w:t>航天信息股份有限公司</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53"/>
              <w:jc w:val="right"/>
              <w:rPr>
                <w:rFonts w:ascii="Arial" w:hAnsi="Arial" w:cs="Arial" w:eastAsia="Arial" w:hint="default"/>
                <w:sz w:val="20"/>
                <w:szCs w:val="20"/>
              </w:rPr>
            </w:pPr>
            <w:r>
              <w:rPr>
                <w:rFonts w:ascii="Arial"/>
                <w:spacing w:val="-1"/>
                <w:sz w:val="20"/>
              </w:rPr>
              <w:t>14,590,728</w:t>
            </w:r>
          </w:p>
        </w:tc>
        <w:tc>
          <w:tcPr>
            <w:tcW w:w="190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5"/>
              <w:ind w:right="115"/>
              <w:jc w:val="right"/>
              <w:rPr>
                <w:rFonts w:ascii="Arial" w:hAnsi="Arial" w:cs="Arial" w:eastAsia="Arial" w:hint="default"/>
                <w:sz w:val="20"/>
                <w:szCs w:val="20"/>
              </w:rPr>
            </w:pPr>
            <w:r>
              <w:rPr>
                <w:rFonts w:ascii="Arial"/>
                <w:w w:val="100"/>
                <w:sz w:val="20"/>
              </w:rPr>
              <w:t>1</w:t>
            </w:r>
          </w:p>
        </w:tc>
      </w:tr>
      <w:tr>
        <w:trPr>
          <w:trHeight w:val="259" w:hRule="exact"/>
        </w:trPr>
        <w:tc>
          <w:tcPr>
            <w:tcW w:w="592" w:type="dxa"/>
            <w:tcBorders>
              <w:top w:val="nil" w:sz="6" w:space="0" w:color="auto"/>
              <w:left w:val="nil" w:sz="6" w:space="0" w:color="auto"/>
              <w:bottom w:val="nil" w:sz="6" w:space="0" w:color="auto"/>
              <w:right w:val="nil" w:sz="6" w:space="0" w:color="auto"/>
            </w:tcBorders>
          </w:tcPr>
          <w:p>
            <w:pPr/>
          </w:p>
        </w:tc>
        <w:tc>
          <w:tcPr>
            <w:tcW w:w="4328" w:type="dxa"/>
            <w:tcBorders>
              <w:top w:val="nil" w:sz="6" w:space="0" w:color="auto"/>
              <w:left w:val="nil" w:sz="6" w:space="0" w:color="auto"/>
              <w:bottom w:val="nil" w:sz="6" w:space="0" w:color="auto"/>
              <w:right w:val="nil" w:sz="6" w:space="0" w:color="auto"/>
            </w:tcBorders>
          </w:tcPr>
          <w:p>
            <w:pPr>
              <w:pStyle w:val="TableParagraph"/>
              <w:spacing w:line="226" w:lineRule="exact"/>
              <w:ind w:left="133" w:right="0"/>
              <w:jc w:val="left"/>
              <w:rPr>
                <w:rFonts w:ascii="黑体" w:hAnsi="黑体" w:cs="黑体" w:eastAsia="黑体" w:hint="default"/>
                <w:sz w:val="20"/>
                <w:szCs w:val="20"/>
              </w:rPr>
            </w:pPr>
            <w:r>
              <w:rPr>
                <w:rFonts w:ascii="黑体" w:hAnsi="黑体" w:cs="黑体" w:eastAsia="黑体" w:hint="default"/>
                <w:sz w:val="20"/>
                <w:szCs w:val="20"/>
              </w:rPr>
              <w:t>中粮集团有限公司</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3"/>
              <w:jc w:val="right"/>
              <w:rPr>
                <w:rFonts w:ascii="Arial" w:hAnsi="Arial" w:cs="Arial" w:eastAsia="Arial" w:hint="default"/>
                <w:sz w:val="20"/>
                <w:szCs w:val="20"/>
              </w:rPr>
            </w:pPr>
            <w:r>
              <w:rPr>
                <w:rFonts w:ascii="Arial"/>
                <w:spacing w:val="-1"/>
                <w:sz w:val="20"/>
              </w:rPr>
              <w:t>5,567,467</w:t>
            </w:r>
          </w:p>
        </w:tc>
        <w:tc>
          <w:tcPr>
            <w:tcW w:w="190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115"/>
              <w:jc w:val="right"/>
              <w:rPr>
                <w:rFonts w:ascii="Arial" w:hAnsi="Arial" w:cs="Arial" w:eastAsia="Arial" w:hint="default"/>
                <w:sz w:val="20"/>
                <w:szCs w:val="20"/>
              </w:rPr>
            </w:pPr>
            <w:r>
              <w:rPr>
                <w:rFonts w:ascii="Arial"/>
                <w:sz w:val="20"/>
              </w:rPr>
              <w:t>&lt;1</w:t>
            </w:r>
          </w:p>
        </w:tc>
      </w:tr>
      <w:tr>
        <w:trPr>
          <w:trHeight w:val="259" w:hRule="exact"/>
        </w:trPr>
        <w:tc>
          <w:tcPr>
            <w:tcW w:w="592" w:type="dxa"/>
            <w:tcBorders>
              <w:top w:val="nil" w:sz="6" w:space="0" w:color="auto"/>
              <w:left w:val="nil" w:sz="6" w:space="0" w:color="auto"/>
              <w:bottom w:val="nil" w:sz="6" w:space="0" w:color="auto"/>
              <w:right w:val="nil" w:sz="6" w:space="0" w:color="auto"/>
            </w:tcBorders>
          </w:tcPr>
          <w:p>
            <w:pPr/>
          </w:p>
        </w:tc>
        <w:tc>
          <w:tcPr>
            <w:tcW w:w="4328" w:type="dxa"/>
            <w:tcBorders>
              <w:top w:val="nil" w:sz="6" w:space="0" w:color="auto"/>
              <w:left w:val="nil" w:sz="6" w:space="0" w:color="auto"/>
              <w:bottom w:val="nil" w:sz="6" w:space="0" w:color="auto"/>
              <w:right w:val="nil" w:sz="6" w:space="0" w:color="auto"/>
            </w:tcBorders>
          </w:tcPr>
          <w:p>
            <w:pPr>
              <w:pStyle w:val="TableParagraph"/>
              <w:spacing w:line="226" w:lineRule="exact"/>
              <w:ind w:left="133" w:right="0"/>
              <w:jc w:val="left"/>
              <w:rPr>
                <w:rFonts w:ascii="黑体" w:hAnsi="黑体" w:cs="黑体" w:eastAsia="黑体" w:hint="default"/>
                <w:sz w:val="20"/>
                <w:szCs w:val="20"/>
              </w:rPr>
            </w:pPr>
            <w:r>
              <w:rPr>
                <w:rFonts w:ascii="黑体" w:hAnsi="黑体" w:cs="黑体" w:eastAsia="黑体" w:hint="default"/>
                <w:sz w:val="20"/>
                <w:szCs w:val="20"/>
              </w:rPr>
              <w:t>天津市电力公司</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3"/>
              <w:jc w:val="right"/>
              <w:rPr>
                <w:rFonts w:ascii="Arial" w:hAnsi="Arial" w:cs="Arial" w:eastAsia="Arial" w:hint="default"/>
                <w:sz w:val="20"/>
                <w:szCs w:val="20"/>
              </w:rPr>
            </w:pPr>
            <w:r>
              <w:rPr>
                <w:rFonts w:ascii="Arial"/>
                <w:spacing w:val="-1"/>
                <w:sz w:val="20"/>
              </w:rPr>
              <w:t>4,637,607</w:t>
            </w:r>
          </w:p>
        </w:tc>
        <w:tc>
          <w:tcPr>
            <w:tcW w:w="190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115"/>
              <w:jc w:val="right"/>
              <w:rPr>
                <w:rFonts w:ascii="Arial" w:hAnsi="Arial" w:cs="Arial" w:eastAsia="Arial" w:hint="default"/>
                <w:sz w:val="20"/>
                <w:szCs w:val="20"/>
              </w:rPr>
            </w:pPr>
            <w:r>
              <w:rPr>
                <w:rFonts w:ascii="Arial"/>
                <w:sz w:val="20"/>
              </w:rPr>
              <w:t>&lt;1</w:t>
            </w:r>
          </w:p>
        </w:tc>
      </w:tr>
      <w:tr>
        <w:trPr>
          <w:trHeight w:val="259" w:hRule="exact"/>
        </w:trPr>
        <w:tc>
          <w:tcPr>
            <w:tcW w:w="592" w:type="dxa"/>
            <w:tcBorders>
              <w:top w:val="nil" w:sz="6" w:space="0" w:color="auto"/>
              <w:left w:val="nil" w:sz="6" w:space="0" w:color="auto"/>
              <w:bottom w:val="nil" w:sz="6" w:space="0" w:color="auto"/>
              <w:right w:val="nil" w:sz="6" w:space="0" w:color="auto"/>
            </w:tcBorders>
          </w:tcPr>
          <w:p>
            <w:pPr/>
          </w:p>
        </w:tc>
        <w:tc>
          <w:tcPr>
            <w:tcW w:w="4328" w:type="dxa"/>
            <w:tcBorders>
              <w:top w:val="nil" w:sz="6" w:space="0" w:color="auto"/>
              <w:left w:val="nil" w:sz="6" w:space="0" w:color="auto"/>
              <w:bottom w:val="nil" w:sz="6" w:space="0" w:color="auto"/>
              <w:right w:val="nil" w:sz="6" w:space="0" w:color="auto"/>
            </w:tcBorders>
          </w:tcPr>
          <w:p>
            <w:pPr>
              <w:pStyle w:val="TableParagraph"/>
              <w:spacing w:line="226" w:lineRule="exact"/>
              <w:ind w:left="133" w:right="0"/>
              <w:jc w:val="left"/>
              <w:rPr>
                <w:rFonts w:ascii="黑体" w:hAnsi="黑体" w:cs="黑体" w:eastAsia="黑体" w:hint="default"/>
                <w:sz w:val="20"/>
                <w:szCs w:val="20"/>
              </w:rPr>
            </w:pPr>
            <w:r>
              <w:rPr>
                <w:rFonts w:ascii="黑体" w:hAnsi="黑体" w:cs="黑体" w:eastAsia="黑体" w:hint="default"/>
                <w:sz w:val="20"/>
                <w:szCs w:val="20"/>
              </w:rPr>
              <w:t>神华集团海勃湾矿业有限责任公司</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3"/>
              <w:jc w:val="right"/>
              <w:rPr>
                <w:rFonts w:ascii="Arial" w:hAnsi="Arial" w:cs="Arial" w:eastAsia="Arial" w:hint="default"/>
                <w:sz w:val="20"/>
                <w:szCs w:val="20"/>
              </w:rPr>
            </w:pPr>
            <w:r>
              <w:rPr>
                <w:rFonts w:ascii="Arial"/>
                <w:spacing w:val="-1"/>
                <w:sz w:val="20"/>
              </w:rPr>
              <w:t>4,102,564</w:t>
            </w:r>
          </w:p>
        </w:tc>
        <w:tc>
          <w:tcPr>
            <w:tcW w:w="190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115"/>
              <w:jc w:val="right"/>
              <w:rPr>
                <w:rFonts w:ascii="Arial" w:hAnsi="Arial" w:cs="Arial" w:eastAsia="Arial" w:hint="default"/>
                <w:sz w:val="20"/>
                <w:szCs w:val="20"/>
              </w:rPr>
            </w:pPr>
            <w:r>
              <w:rPr>
                <w:rFonts w:ascii="Arial"/>
                <w:sz w:val="20"/>
              </w:rPr>
              <w:t>&lt;1</w:t>
            </w:r>
          </w:p>
        </w:tc>
      </w:tr>
      <w:tr>
        <w:trPr>
          <w:trHeight w:val="260" w:hRule="exact"/>
        </w:trPr>
        <w:tc>
          <w:tcPr>
            <w:tcW w:w="592" w:type="dxa"/>
            <w:tcBorders>
              <w:top w:val="nil" w:sz="6" w:space="0" w:color="auto"/>
              <w:left w:val="nil" w:sz="6" w:space="0" w:color="auto"/>
              <w:bottom w:val="nil" w:sz="6" w:space="0" w:color="auto"/>
              <w:right w:val="nil" w:sz="6" w:space="0" w:color="auto"/>
            </w:tcBorders>
          </w:tcPr>
          <w:p>
            <w:pPr/>
          </w:p>
        </w:tc>
        <w:tc>
          <w:tcPr>
            <w:tcW w:w="4328" w:type="dxa"/>
            <w:tcBorders>
              <w:top w:val="nil" w:sz="6" w:space="0" w:color="auto"/>
              <w:left w:val="nil" w:sz="6" w:space="0" w:color="auto"/>
              <w:bottom w:val="nil" w:sz="6" w:space="0" w:color="auto"/>
              <w:right w:val="nil" w:sz="6" w:space="0" w:color="auto"/>
            </w:tcBorders>
          </w:tcPr>
          <w:p>
            <w:pPr>
              <w:pStyle w:val="TableParagraph"/>
              <w:spacing w:line="226" w:lineRule="exact"/>
              <w:ind w:left="133" w:right="0"/>
              <w:jc w:val="left"/>
              <w:rPr>
                <w:rFonts w:ascii="黑体" w:hAnsi="黑体" w:cs="黑体" w:eastAsia="黑体" w:hint="default"/>
                <w:sz w:val="20"/>
                <w:szCs w:val="20"/>
              </w:rPr>
            </w:pPr>
            <w:r>
              <w:rPr>
                <w:rFonts w:ascii="黑体" w:hAnsi="黑体" w:cs="黑体" w:eastAsia="黑体" w:hint="default"/>
                <w:sz w:val="20"/>
                <w:szCs w:val="20"/>
              </w:rPr>
              <w:t>淮南矿业</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3,743,590</w:t>
            </w:r>
            <w:r>
              <w:rPr>
                <w:rFonts w:ascii="Arial"/>
                <w:sz w:val="20"/>
              </w:rPr>
            </w:r>
          </w:p>
        </w:tc>
        <w:tc>
          <w:tcPr>
            <w:tcW w:w="190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115"/>
              <w:jc w:val="right"/>
              <w:rPr>
                <w:rFonts w:ascii="Arial" w:hAnsi="Arial" w:cs="Arial" w:eastAsia="Arial" w:hint="default"/>
                <w:sz w:val="20"/>
                <w:szCs w:val="20"/>
              </w:rPr>
            </w:pPr>
            <w:r>
              <w:rPr>
                <w:rFonts w:ascii="Arial"/>
                <w:w w:val="100"/>
                <w:sz w:val="20"/>
              </w:rPr>
            </w:r>
            <w:r>
              <w:rPr>
                <w:rFonts w:ascii="Arial"/>
                <w:sz w:val="20"/>
                <w:u w:val="single" w:color="000000"/>
              </w:rPr>
              <w:t>&lt;1</w:t>
            </w:r>
            <w:r>
              <w:rPr>
                <w:rFonts w:ascii="Arial"/>
                <w:sz w:val="20"/>
              </w:rPr>
            </w:r>
          </w:p>
        </w:tc>
      </w:tr>
      <w:tr>
        <w:trPr>
          <w:trHeight w:val="374" w:hRule="exact"/>
        </w:trPr>
        <w:tc>
          <w:tcPr>
            <w:tcW w:w="592" w:type="dxa"/>
            <w:tcBorders>
              <w:top w:val="nil" w:sz="6" w:space="0" w:color="auto"/>
              <w:left w:val="nil" w:sz="6" w:space="0" w:color="auto"/>
              <w:bottom w:val="nil" w:sz="6" w:space="0" w:color="auto"/>
              <w:right w:val="nil" w:sz="6" w:space="0" w:color="auto"/>
            </w:tcBorders>
          </w:tcPr>
          <w:p>
            <w:pPr/>
          </w:p>
        </w:tc>
        <w:tc>
          <w:tcPr>
            <w:tcW w:w="4328" w:type="dxa"/>
            <w:tcBorders>
              <w:top w:val="nil" w:sz="6" w:space="0" w:color="auto"/>
              <w:left w:val="nil" w:sz="6" w:space="0" w:color="auto"/>
              <w:bottom w:val="nil" w:sz="6" w:space="0" w:color="auto"/>
              <w:right w:val="nil" w:sz="6" w:space="0" w:color="auto"/>
            </w:tcBorders>
          </w:tcPr>
          <w:p>
            <w:pPr>
              <w:pStyle w:val="TableParagraph"/>
              <w:spacing w:line="227" w:lineRule="exact"/>
              <w:ind w:left="133"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3"/>
              <w:jc w:val="right"/>
              <w:rPr>
                <w:rFonts w:ascii="Arial" w:hAnsi="Arial" w:cs="Arial" w:eastAsia="Arial" w:hint="default"/>
                <w:sz w:val="20"/>
                <w:szCs w:val="20"/>
              </w:rPr>
            </w:pPr>
            <w:r>
              <w:rPr>
                <w:rFonts w:ascii="Arial"/>
                <w:w w:val="100"/>
                <w:sz w:val="20"/>
              </w:rPr>
            </w:r>
            <w:r>
              <w:rPr>
                <w:rFonts w:ascii="Arial"/>
                <w:spacing w:val="-1"/>
                <w:sz w:val="20"/>
                <w:u w:val="thick" w:color="000000"/>
              </w:rPr>
              <w:t>32,641,956</w:t>
            </w:r>
            <w:r>
              <w:rPr>
                <w:rFonts w:ascii="Arial"/>
                <w:spacing w:val="-1"/>
                <w:sz w:val="20"/>
              </w:rPr>
            </w:r>
          </w:p>
        </w:tc>
        <w:tc>
          <w:tcPr>
            <w:tcW w:w="190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115"/>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z w:val="20"/>
                <w:u w:val="thick" w:color="000000"/>
              </w:rPr>
              <w:t>2</w:t>
            </w:r>
            <w:r>
              <w:rPr>
                <w:rFonts w:ascii="Arial"/>
                <w:sz w:val="20"/>
              </w:rPr>
            </w:r>
          </w:p>
        </w:tc>
      </w:tr>
      <w:tr>
        <w:trPr>
          <w:trHeight w:val="490" w:hRule="exact"/>
        </w:trPr>
        <w:tc>
          <w:tcPr>
            <w:tcW w:w="592"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35" w:right="0"/>
              <w:jc w:val="left"/>
              <w:rPr>
                <w:rFonts w:ascii="Arial" w:hAnsi="Arial" w:cs="Arial" w:eastAsia="Arial" w:hint="default"/>
                <w:sz w:val="20"/>
                <w:szCs w:val="20"/>
              </w:rPr>
            </w:pPr>
            <w:r>
              <w:rPr>
                <w:rFonts w:ascii="Arial"/>
                <w:b/>
                <w:sz w:val="20"/>
              </w:rPr>
              <w:t>27.</w:t>
            </w:r>
            <w:r>
              <w:rPr>
                <w:rFonts w:ascii="Arial"/>
                <w:sz w:val="20"/>
              </w:rPr>
            </w:r>
          </w:p>
        </w:tc>
        <w:tc>
          <w:tcPr>
            <w:tcW w:w="432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62" w:right="0"/>
              <w:jc w:val="left"/>
              <w:rPr>
                <w:rFonts w:ascii="黑体" w:hAnsi="黑体" w:cs="黑体" w:eastAsia="黑体" w:hint="default"/>
                <w:sz w:val="20"/>
                <w:szCs w:val="20"/>
              </w:rPr>
            </w:pPr>
            <w:r>
              <w:rPr>
                <w:rFonts w:ascii="黑体" w:hAnsi="黑体" w:cs="黑体" w:eastAsia="黑体" w:hint="default"/>
                <w:b/>
                <w:bCs/>
                <w:sz w:val="20"/>
                <w:szCs w:val="20"/>
              </w:rPr>
              <w:t>营业税金及附加</w:t>
            </w:r>
            <w:r>
              <w:rPr>
                <w:rFonts w:ascii="黑体" w:hAnsi="黑体" w:cs="黑体" w:eastAsia="黑体" w:hint="default"/>
                <w:sz w:val="20"/>
                <w:szCs w:val="20"/>
              </w:rPr>
            </w:r>
          </w:p>
        </w:tc>
        <w:tc>
          <w:tcPr>
            <w:tcW w:w="1833" w:type="dxa"/>
            <w:tcBorders>
              <w:top w:val="nil" w:sz="6" w:space="0" w:color="auto"/>
              <w:left w:val="nil" w:sz="6" w:space="0" w:color="auto"/>
              <w:bottom w:val="nil" w:sz="6" w:space="0" w:color="auto"/>
              <w:right w:val="nil" w:sz="6" w:space="0" w:color="auto"/>
            </w:tcBorders>
          </w:tcPr>
          <w:p>
            <w:pPr/>
          </w:p>
        </w:tc>
        <w:tc>
          <w:tcPr>
            <w:tcW w:w="1904" w:type="dxa"/>
            <w:gridSpan w:val="2"/>
            <w:tcBorders>
              <w:top w:val="nil" w:sz="6" w:space="0" w:color="auto"/>
              <w:left w:val="nil" w:sz="6" w:space="0" w:color="auto"/>
              <w:bottom w:val="nil" w:sz="6" w:space="0" w:color="auto"/>
              <w:right w:val="nil" w:sz="6" w:space="0" w:color="auto"/>
            </w:tcBorders>
          </w:tcPr>
          <w:p>
            <w:pPr/>
          </w:p>
        </w:tc>
      </w:tr>
      <w:tr>
        <w:trPr>
          <w:trHeight w:val="502" w:hRule="exact"/>
        </w:trPr>
        <w:tc>
          <w:tcPr>
            <w:tcW w:w="592" w:type="dxa"/>
            <w:tcBorders>
              <w:top w:val="nil" w:sz="6" w:space="0" w:color="auto"/>
              <w:left w:val="nil" w:sz="6" w:space="0" w:color="auto"/>
              <w:bottom w:val="nil" w:sz="6" w:space="0" w:color="auto"/>
              <w:right w:val="nil" w:sz="6" w:space="0" w:color="auto"/>
            </w:tcBorders>
          </w:tcPr>
          <w:p>
            <w:pPr/>
          </w:p>
        </w:tc>
        <w:tc>
          <w:tcPr>
            <w:tcW w:w="4328" w:type="dxa"/>
            <w:tcBorders>
              <w:top w:val="nil" w:sz="6" w:space="0" w:color="auto"/>
              <w:left w:val="nil" w:sz="6" w:space="0" w:color="auto"/>
              <w:bottom w:val="nil" w:sz="6" w:space="0" w:color="auto"/>
              <w:right w:val="nil" w:sz="6" w:space="0" w:color="auto"/>
            </w:tcBorders>
          </w:tcPr>
          <w:p>
            <w:pP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83"/>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90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9"/>
              <w:ind w:left="1112"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r>
      <w:tr>
        <w:trPr>
          <w:trHeight w:val="386" w:hRule="exact"/>
        </w:trPr>
        <w:tc>
          <w:tcPr>
            <w:tcW w:w="592" w:type="dxa"/>
            <w:tcBorders>
              <w:top w:val="nil" w:sz="6" w:space="0" w:color="auto"/>
              <w:left w:val="nil" w:sz="6" w:space="0" w:color="auto"/>
              <w:bottom w:val="nil" w:sz="6" w:space="0" w:color="auto"/>
              <w:right w:val="nil" w:sz="6" w:space="0" w:color="auto"/>
            </w:tcBorders>
          </w:tcPr>
          <w:p>
            <w:pPr/>
          </w:p>
        </w:tc>
        <w:tc>
          <w:tcPr>
            <w:tcW w:w="4328"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51" w:right="0"/>
              <w:jc w:val="left"/>
              <w:rPr>
                <w:rFonts w:ascii="黑体" w:hAnsi="黑体" w:cs="黑体" w:eastAsia="黑体" w:hint="default"/>
                <w:sz w:val="20"/>
                <w:szCs w:val="20"/>
              </w:rPr>
            </w:pPr>
            <w:r>
              <w:rPr>
                <w:rFonts w:ascii="黑体" w:hAnsi="黑体" w:cs="黑体" w:eastAsia="黑体" w:hint="default"/>
                <w:sz w:val="20"/>
                <w:szCs w:val="20"/>
              </w:rPr>
              <w:t>营业税</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83"/>
              <w:jc w:val="right"/>
              <w:rPr>
                <w:rFonts w:ascii="Arial" w:hAnsi="Arial" w:cs="Arial" w:eastAsia="Arial" w:hint="default"/>
                <w:sz w:val="20"/>
                <w:szCs w:val="20"/>
              </w:rPr>
            </w:pPr>
            <w:r>
              <w:rPr>
                <w:rFonts w:ascii="Arial"/>
                <w:spacing w:val="-1"/>
                <w:sz w:val="20"/>
              </w:rPr>
              <w:t>19,309,825</w:t>
            </w:r>
          </w:p>
        </w:tc>
        <w:tc>
          <w:tcPr>
            <w:tcW w:w="190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5"/>
              <w:ind w:left="755" w:right="0"/>
              <w:jc w:val="left"/>
              <w:rPr>
                <w:rFonts w:ascii="Arial" w:hAnsi="Arial" w:cs="Arial" w:eastAsia="Arial" w:hint="default"/>
                <w:sz w:val="20"/>
                <w:szCs w:val="20"/>
              </w:rPr>
            </w:pPr>
            <w:r>
              <w:rPr>
                <w:rFonts w:ascii="Arial"/>
                <w:sz w:val="20"/>
              </w:rPr>
              <w:t>16,263,712</w:t>
            </w:r>
          </w:p>
        </w:tc>
      </w:tr>
      <w:tr>
        <w:trPr>
          <w:trHeight w:val="259" w:hRule="exact"/>
        </w:trPr>
        <w:tc>
          <w:tcPr>
            <w:tcW w:w="592" w:type="dxa"/>
            <w:tcBorders>
              <w:top w:val="nil" w:sz="6" w:space="0" w:color="auto"/>
              <w:left w:val="nil" w:sz="6" w:space="0" w:color="auto"/>
              <w:bottom w:val="nil" w:sz="6" w:space="0" w:color="auto"/>
              <w:right w:val="nil" w:sz="6" w:space="0" w:color="auto"/>
            </w:tcBorders>
          </w:tcPr>
          <w:p>
            <w:pPr/>
          </w:p>
        </w:tc>
        <w:tc>
          <w:tcPr>
            <w:tcW w:w="4328" w:type="dxa"/>
            <w:tcBorders>
              <w:top w:val="nil" w:sz="6" w:space="0" w:color="auto"/>
              <w:left w:val="nil" w:sz="6" w:space="0" w:color="auto"/>
              <w:bottom w:val="nil" w:sz="6" w:space="0" w:color="auto"/>
              <w:right w:val="nil" w:sz="6" w:space="0" w:color="auto"/>
            </w:tcBorders>
          </w:tcPr>
          <w:p>
            <w:pPr>
              <w:pStyle w:val="TableParagraph"/>
              <w:spacing w:line="226" w:lineRule="exact"/>
              <w:ind w:left="151" w:right="0"/>
              <w:jc w:val="left"/>
              <w:rPr>
                <w:rFonts w:ascii="黑体" w:hAnsi="黑体" w:cs="黑体" w:eastAsia="黑体" w:hint="default"/>
                <w:sz w:val="20"/>
                <w:szCs w:val="20"/>
              </w:rPr>
            </w:pPr>
            <w:r>
              <w:rPr>
                <w:rFonts w:ascii="黑体" w:hAnsi="黑体" w:cs="黑体" w:eastAsia="黑体" w:hint="default"/>
                <w:sz w:val="20"/>
                <w:szCs w:val="20"/>
              </w:rPr>
              <w:t>城巿维护建设税</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3"/>
              <w:jc w:val="right"/>
              <w:rPr>
                <w:rFonts w:ascii="Arial" w:hAnsi="Arial" w:cs="Arial" w:eastAsia="Arial" w:hint="default"/>
                <w:sz w:val="20"/>
                <w:szCs w:val="20"/>
              </w:rPr>
            </w:pPr>
            <w:r>
              <w:rPr>
                <w:rFonts w:ascii="Arial"/>
                <w:spacing w:val="-1"/>
                <w:sz w:val="20"/>
              </w:rPr>
              <w:t>14,104,334</w:t>
            </w:r>
          </w:p>
        </w:tc>
        <w:tc>
          <w:tcPr>
            <w:tcW w:w="190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left="755" w:right="0"/>
              <w:jc w:val="left"/>
              <w:rPr>
                <w:rFonts w:ascii="Arial" w:hAnsi="Arial" w:cs="Arial" w:eastAsia="Arial" w:hint="default"/>
                <w:sz w:val="20"/>
                <w:szCs w:val="20"/>
              </w:rPr>
            </w:pPr>
            <w:r>
              <w:rPr>
                <w:rFonts w:ascii="Arial"/>
                <w:sz w:val="20"/>
              </w:rPr>
              <w:t>12,137,744</w:t>
            </w:r>
          </w:p>
        </w:tc>
      </w:tr>
      <w:tr>
        <w:trPr>
          <w:trHeight w:val="259" w:hRule="exact"/>
        </w:trPr>
        <w:tc>
          <w:tcPr>
            <w:tcW w:w="592" w:type="dxa"/>
            <w:tcBorders>
              <w:top w:val="nil" w:sz="6" w:space="0" w:color="auto"/>
              <w:left w:val="nil" w:sz="6" w:space="0" w:color="auto"/>
              <w:bottom w:val="nil" w:sz="6" w:space="0" w:color="auto"/>
              <w:right w:val="nil" w:sz="6" w:space="0" w:color="auto"/>
            </w:tcBorders>
          </w:tcPr>
          <w:p>
            <w:pPr/>
          </w:p>
        </w:tc>
        <w:tc>
          <w:tcPr>
            <w:tcW w:w="4328" w:type="dxa"/>
            <w:tcBorders>
              <w:top w:val="nil" w:sz="6" w:space="0" w:color="auto"/>
              <w:left w:val="nil" w:sz="6" w:space="0" w:color="auto"/>
              <w:bottom w:val="nil" w:sz="6" w:space="0" w:color="auto"/>
              <w:right w:val="nil" w:sz="6" w:space="0" w:color="auto"/>
            </w:tcBorders>
          </w:tcPr>
          <w:p>
            <w:pPr>
              <w:pStyle w:val="TableParagraph"/>
              <w:spacing w:line="226" w:lineRule="exact"/>
              <w:ind w:left="151" w:right="0"/>
              <w:jc w:val="left"/>
              <w:rPr>
                <w:rFonts w:ascii="黑体" w:hAnsi="黑体" w:cs="黑体" w:eastAsia="黑体" w:hint="default"/>
                <w:sz w:val="20"/>
                <w:szCs w:val="20"/>
              </w:rPr>
            </w:pPr>
            <w:r>
              <w:rPr>
                <w:rFonts w:ascii="黑体" w:hAnsi="黑体" w:cs="黑体" w:eastAsia="黑体" w:hint="default"/>
                <w:sz w:val="20"/>
                <w:szCs w:val="20"/>
              </w:rPr>
              <w:t>教育费附加</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3"/>
              <w:jc w:val="right"/>
              <w:rPr>
                <w:rFonts w:ascii="Arial" w:hAnsi="Arial" w:cs="Arial" w:eastAsia="Arial" w:hint="default"/>
                <w:sz w:val="20"/>
                <w:szCs w:val="20"/>
              </w:rPr>
            </w:pPr>
            <w:r>
              <w:rPr>
                <w:rFonts w:ascii="Arial"/>
                <w:spacing w:val="-1"/>
                <w:sz w:val="20"/>
              </w:rPr>
              <w:t>6,044,715</w:t>
            </w:r>
          </w:p>
        </w:tc>
        <w:tc>
          <w:tcPr>
            <w:tcW w:w="190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left="867" w:right="0"/>
              <w:jc w:val="left"/>
              <w:rPr>
                <w:rFonts w:ascii="Arial" w:hAnsi="Arial" w:cs="Arial" w:eastAsia="Arial" w:hint="default"/>
                <w:sz w:val="20"/>
                <w:szCs w:val="20"/>
              </w:rPr>
            </w:pPr>
            <w:r>
              <w:rPr>
                <w:rFonts w:ascii="Arial"/>
                <w:sz w:val="20"/>
              </w:rPr>
              <w:t>5,201,890</w:t>
            </w:r>
          </w:p>
        </w:tc>
      </w:tr>
      <w:tr>
        <w:trPr>
          <w:trHeight w:val="261" w:hRule="exact"/>
        </w:trPr>
        <w:tc>
          <w:tcPr>
            <w:tcW w:w="592" w:type="dxa"/>
            <w:tcBorders>
              <w:top w:val="nil" w:sz="6" w:space="0" w:color="auto"/>
              <w:left w:val="nil" w:sz="6" w:space="0" w:color="auto"/>
              <w:bottom w:val="nil" w:sz="6" w:space="0" w:color="auto"/>
              <w:right w:val="nil" w:sz="6" w:space="0" w:color="auto"/>
            </w:tcBorders>
          </w:tcPr>
          <w:p>
            <w:pPr/>
          </w:p>
        </w:tc>
        <w:tc>
          <w:tcPr>
            <w:tcW w:w="4328" w:type="dxa"/>
            <w:tcBorders>
              <w:top w:val="nil" w:sz="6" w:space="0" w:color="auto"/>
              <w:left w:val="nil" w:sz="6" w:space="0" w:color="auto"/>
              <w:bottom w:val="nil" w:sz="6" w:space="0" w:color="auto"/>
              <w:right w:val="nil" w:sz="6" w:space="0" w:color="auto"/>
            </w:tcBorders>
          </w:tcPr>
          <w:p>
            <w:pPr>
              <w:pStyle w:val="TableParagraph"/>
              <w:spacing w:line="226" w:lineRule="exact"/>
              <w:ind w:left="151"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1833"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8"/>
              <w:ind w:right="8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413,003</w:t>
            </w:r>
            <w:r>
              <w:rPr>
                <w:rFonts w:ascii="Arial"/>
                <w:sz w:val="20"/>
              </w:rPr>
            </w:r>
          </w:p>
        </w:tc>
        <w:tc>
          <w:tcPr>
            <w:tcW w:w="1904" w:type="dxa"/>
            <w:gridSpan w:val="2"/>
            <w:tcBorders>
              <w:top w:val="nil" w:sz="6" w:space="0" w:color="auto"/>
              <w:left w:val="nil" w:sz="6" w:space="0" w:color="auto"/>
              <w:bottom w:val="nil" w:sz="6" w:space="0" w:color="auto"/>
              <w:right w:val="nil" w:sz="6" w:space="0" w:color="auto"/>
            </w:tcBorders>
          </w:tcPr>
          <w:p>
            <w:pPr>
              <w:pStyle w:val="TableParagraph"/>
              <w:tabs>
                <w:tab w:pos="1033" w:val="left" w:leader="none"/>
              </w:tabs>
              <w:spacing w:line="240" w:lineRule="auto" w:before="8"/>
              <w:ind w:left="734"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333,788</w:t>
            </w:r>
            <w:r>
              <w:rPr>
                <w:rFonts w:ascii="Arial"/>
                <w:sz w:val="20"/>
              </w:rPr>
            </w:r>
          </w:p>
        </w:tc>
      </w:tr>
      <w:tr>
        <w:trPr>
          <w:trHeight w:val="369" w:hRule="exact"/>
        </w:trPr>
        <w:tc>
          <w:tcPr>
            <w:tcW w:w="592" w:type="dxa"/>
            <w:tcBorders>
              <w:top w:val="nil" w:sz="6" w:space="0" w:color="auto"/>
              <w:left w:val="nil" w:sz="6" w:space="0" w:color="auto"/>
              <w:bottom w:val="nil" w:sz="6" w:space="0" w:color="auto"/>
              <w:right w:val="nil" w:sz="6" w:space="0" w:color="auto"/>
            </w:tcBorders>
          </w:tcPr>
          <w:p>
            <w:pPr/>
          </w:p>
        </w:tc>
        <w:tc>
          <w:tcPr>
            <w:tcW w:w="4328" w:type="dxa"/>
            <w:tcBorders>
              <w:top w:val="nil" w:sz="6" w:space="0" w:color="auto"/>
              <w:left w:val="nil" w:sz="6" w:space="0" w:color="auto"/>
              <w:bottom w:val="nil" w:sz="6" w:space="0" w:color="auto"/>
              <w:right w:val="nil" w:sz="6" w:space="0" w:color="auto"/>
            </w:tcBorders>
          </w:tcPr>
          <w:p>
            <w:pP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83"/>
              <w:jc w:val="right"/>
              <w:rPr>
                <w:rFonts w:ascii="Arial" w:hAnsi="Arial" w:cs="Arial" w:eastAsia="Arial" w:hint="default"/>
                <w:sz w:val="20"/>
                <w:szCs w:val="20"/>
              </w:rPr>
            </w:pPr>
            <w:r>
              <w:rPr>
                <w:rFonts w:ascii="Arial"/>
                <w:w w:val="100"/>
                <w:sz w:val="20"/>
              </w:rPr>
            </w:r>
            <w:r>
              <w:rPr>
                <w:rFonts w:ascii="Arial"/>
                <w:spacing w:val="-1"/>
                <w:sz w:val="20"/>
                <w:u w:val="thick" w:color="000000"/>
              </w:rPr>
              <w:t>39,871,877</w:t>
            </w:r>
            <w:r>
              <w:rPr>
                <w:rFonts w:ascii="Arial"/>
                <w:spacing w:val="-1"/>
                <w:sz w:val="20"/>
              </w:rPr>
            </w:r>
          </w:p>
        </w:tc>
        <w:tc>
          <w:tcPr>
            <w:tcW w:w="190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
              <w:ind w:left="756" w:right="0"/>
              <w:jc w:val="left"/>
              <w:rPr>
                <w:rFonts w:ascii="Arial" w:hAnsi="Arial" w:cs="Arial" w:eastAsia="Arial" w:hint="default"/>
                <w:sz w:val="20"/>
                <w:szCs w:val="20"/>
              </w:rPr>
            </w:pPr>
            <w:r>
              <w:rPr>
                <w:rFonts w:ascii="Arial"/>
                <w:w w:val="100"/>
                <w:sz w:val="20"/>
              </w:rPr>
            </w:r>
            <w:r>
              <w:rPr>
                <w:rFonts w:ascii="Arial"/>
                <w:sz w:val="20"/>
                <w:u w:val="thick" w:color="000000"/>
              </w:rPr>
              <w:t>33,937,134</w:t>
            </w:r>
            <w:r>
              <w:rPr>
                <w:rFonts w:ascii="Arial"/>
                <w:sz w:val="20"/>
              </w:rPr>
            </w:r>
          </w:p>
        </w:tc>
      </w:tr>
      <w:tr>
        <w:trPr>
          <w:trHeight w:val="490" w:hRule="exact"/>
        </w:trPr>
        <w:tc>
          <w:tcPr>
            <w:tcW w:w="592"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35" w:right="0"/>
              <w:jc w:val="left"/>
              <w:rPr>
                <w:rFonts w:ascii="Arial" w:hAnsi="Arial" w:cs="Arial" w:eastAsia="Arial" w:hint="default"/>
                <w:sz w:val="20"/>
                <w:szCs w:val="20"/>
              </w:rPr>
            </w:pPr>
            <w:r>
              <w:rPr>
                <w:rFonts w:ascii="Arial"/>
                <w:b/>
                <w:sz w:val="20"/>
              </w:rPr>
              <w:t>28.</w:t>
            </w:r>
            <w:r>
              <w:rPr>
                <w:rFonts w:ascii="Arial"/>
                <w:sz w:val="20"/>
              </w:rPr>
            </w:r>
          </w:p>
        </w:tc>
        <w:tc>
          <w:tcPr>
            <w:tcW w:w="432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62" w:right="0"/>
              <w:jc w:val="left"/>
              <w:rPr>
                <w:rFonts w:ascii="黑体" w:hAnsi="黑体" w:cs="黑体" w:eastAsia="黑体" w:hint="default"/>
                <w:sz w:val="20"/>
                <w:szCs w:val="20"/>
              </w:rPr>
            </w:pPr>
            <w:r>
              <w:rPr>
                <w:rFonts w:ascii="黑体" w:hAnsi="黑体" w:cs="黑体" w:eastAsia="黑体" w:hint="default"/>
                <w:b/>
                <w:bCs/>
                <w:sz w:val="20"/>
                <w:szCs w:val="20"/>
              </w:rPr>
              <w:t>管理费用</w:t>
            </w:r>
            <w:r>
              <w:rPr>
                <w:rFonts w:ascii="黑体" w:hAnsi="黑体" w:cs="黑体" w:eastAsia="黑体" w:hint="default"/>
                <w:sz w:val="20"/>
                <w:szCs w:val="20"/>
              </w:rPr>
            </w:r>
          </w:p>
        </w:tc>
        <w:tc>
          <w:tcPr>
            <w:tcW w:w="1833" w:type="dxa"/>
            <w:tcBorders>
              <w:top w:val="nil" w:sz="6" w:space="0" w:color="auto"/>
              <w:left w:val="nil" w:sz="6" w:space="0" w:color="auto"/>
              <w:bottom w:val="nil" w:sz="6" w:space="0" w:color="auto"/>
              <w:right w:val="nil" w:sz="6" w:space="0" w:color="auto"/>
            </w:tcBorders>
          </w:tcPr>
          <w:p>
            <w:pPr/>
          </w:p>
        </w:tc>
        <w:tc>
          <w:tcPr>
            <w:tcW w:w="1904" w:type="dxa"/>
            <w:gridSpan w:val="2"/>
            <w:tcBorders>
              <w:top w:val="nil" w:sz="6" w:space="0" w:color="auto"/>
              <w:left w:val="nil" w:sz="6" w:space="0" w:color="auto"/>
              <w:bottom w:val="nil" w:sz="6" w:space="0" w:color="auto"/>
              <w:right w:val="nil" w:sz="6" w:space="0" w:color="auto"/>
            </w:tcBorders>
          </w:tcPr>
          <w:p>
            <w:pPr/>
          </w:p>
        </w:tc>
      </w:tr>
      <w:tr>
        <w:trPr>
          <w:trHeight w:val="489" w:hRule="exact"/>
        </w:trPr>
        <w:tc>
          <w:tcPr>
            <w:tcW w:w="592" w:type="dxa"/>
            <w:tcBorders>
              <w:top w:val="nil" w:sz="6" w:space="0" w:color="auto"/>
              <w:left w:val="nil" w:sz="6" w:space="0" w:color="auto"/>
              <w:bottom w:val="nil" w:sz="6" w:space="0" w:color="auto"/>
              <w:right w:val="nil" w:sz="6" w:space="0" w:color="auto"/>
            </w:tcBorders>
          </w:tcPr>
          <w:p>
            <w:pPr/>
          </w:p>
        </w:tc>
        <w:tc>
          <w:tcPr>
            <w:tcW w:w="676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8"/>
              <w:ind w:left="156" w:right="0"/>
              <w:jc w:val="left"/>
              <w:rPr>
                <w:rFonts w:ascii="Arial" w:hAnsi="Arial" w:cs="Arial" w:eastAsia="Arial" w:hint="default"/>
                <w:sz w:val="20"/>
                <w:szCs w:val="20"/>
              </w:rPr>
            </w:pPr>
            <w:r>
              <w:rPr>
                <w:rFonts w:ascii="黑体" w:hAnsi="黑体" w:cs="黑体" w:eastAsia="黑体" w:hint="default"/>
                <w:sz w:val="20"/>
                <w:szCs w:val="20"/>
              </w:rPr>
              <w:t>于</w:t>
            </w:r>
            <w:r>
              <w:rPr>
                <w:rFonts w:ascii="Arial" w:hAnsi="Arial" w:cs="Arial" w:eastAsia="Arial" w:hint="default"/>
                <w:sz w:val="20"/>
                <w:szCs w:val="20"/>
              </w:rPr>
              <w:t>2009</w:t>
            </w:r>
            <w:r>
              <w:rPr>
                <w:rFonts w:ascii="黑体" w:hAnsi="黑体" w:cs="黑体" w:eastAsia="黑体" w:hint="default"/>
                <w:sz w:val="20"/>
                <w:szCs w:val="20"/>
              </w:rPr>
              <w:t>及</w:t>
            </w:r>
            <w:r>
              <w:rPr>
                <w:rFonts w:ascii="Arial" w:hAnsi="Arial" w:cs="Arial" w:eastAsia="Arial" w:hint="default"/>
                <w:sz w:val="20"/>
                <w:szCs w:val="20"/>
              </w:rPr>
              <w:t>2008</w:t>
            </w:r>
            <w:r>
              <w:rPr>
                <w:rFonts w:ascii="黑体" w:hAnsi="黑体" w:cs="黑体" w:eastAsia="黑体" w:hint="default"/>
                <w:sz w:val="20"/>
                <w:szCs w:val="20"/>
              </w:rPr>
              <w:t>年度，本公司发生的研究及开发费用计入管理费用列示如下</w:t>
            </w:r>
            <w:r>
              <w:rPr>
                <w:rFonts w:ascii="Arial" w:hAnsi="Arial" w:cs="Arial" w:eastAsia="Arial" w:hint="default"/>
                <w:sz w:val="20"/>
                <w:szCs w:val="20"/>
              </w:rPr>
              <w:t>:</w:t>
            </w:r>
          </w:p>
        </w:tc>
        <w:tc>
          <w:tcPr>
            <w:tcW w:w="1305" w:type="dxa"/>
            <w:tcBorders>
              <w:top w:val="nil" w:sz="6" w:space="0" w:color="auto"/>
              <w:left w:val="nil" w:sz="6" w:space="0" w:color="auto"/>
              <w:bottom w:val="nil" w:sz="6" w:space="0" w:color="auto"/>
              <w:right w:val="nil" w:sz="6" w:space="0" w:color="auto"/>
            </w:tcBorders>
          </w:tcPr>
          <w:p>
            <w:pPr/>
          </w:p>
        </w:tc>
      </w:tr>
      <w:tr>
        <w:trPr>
          <w:trHeight w:val="502" w:hRule="exact"/>
        </w:trPr>
        <w:tc>
          <w:tcPr>
            <w:tcW w:w="592" w:type="dxa"/>
            <w:tcBorders>
              <w:top w:val="nil" w:sz="6" w:space="0" w:color="auto"/>
              <w:left w:val="nil" w:sz="6" w:space="0" w:color="auto"/>
              <w:bottom w:val="nil" w:sz="6" w:space="0" w:color="auto"/>
              <w:right w:val="nil" w:sz="6" w:space="0" w:color="auto"/>
            </w:tcBorders>
          </w:tcPr>
          <w:p>
            <w:pPr/>
          </w:p>
        </w:tc>
        <w:tc>
          <w:tcPr>
            <w:tcW w:w="676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9"/>
              <w:ind w:right="670"/>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24"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r>
      <w:tr>
        <w:trPr>
          <w:trHeight w:val="387" w:hRule="exact"/>
        </w:trPr>
        <w:tc>
          <w:tcPr>
            <w:tcW w:w="592" w:type="dxa"/>
            <w:tcBorders>
              <w:top w:val="nil" w:sz="6" w:space="0" w:color="auto"/>
              <w:left w:val="nil" w:sz="6" w:space="0" w:color="auto"/>
              <w:bottom w:val="nil" w:sz="6" w:space="0" w:color="auto"/>
              <w:right w:val="nil" w:sz="6" w:space="0" w:color="auto"/>
            </w:tcBorders>
          </w:tcPr>
          <w:p>
            <w:pPr/>
          </w:p>
        </w:tc>
        <w:tc>
          <w:tcPr>
            <w:tcW w:w="6761" w:type="dxa"/>
            <w:gridSpan w:val="3"/>
            <w:tcBorders>
              <w:top w:val="nil" w:sz="6" w:space="0" w:color="auto"/>
              <w:left w:val="nil" w:sz="6" w:space="0" w:color="auto"/>
              <w:bottom w:val="nil" w:sz="6" w:space="0" w:color="auto"/>
              <w:right w:val="nil" w:sz="6" w:space="0" w:color="auto"/>
            </w:tcBorders>
          </w:tcPr>
          <w:p>
            <w:pPr>
              <w:pStyle w:val="TableParagraph"/>
              <w:tabs>
                <w:tab w:pos="4975" w:val="left" w:leader="none"/>
              </w:tabs>
              <w:spacing w:line="240" w:lineRule="auto" w:before="91"/>
              <w:ind w:left="165" w:right="0"/>
              <w:jc w:val="left"/>
              <w:rPr>
                <w:rFonts w:ascii="Arial" w:hAnsi="Arial" w:cs="Arial" w:eastAsia="Arial" w:hint="default"/>
                <w:sz w:val="20"/>
                <w:szCs w:val="20"/>
              </w:rPr>
            </w:pPr>
            <w:r>
              <w:rPr>
                <w:rFonts w:ascii="黑体" w:hAnsi="黑体" w:cs="黑体" w:eastAsia="黑体" w:hint="default"/>
                <w:spacing w:val="-1"/>
                <w:sz w:val="20"/>
                <w:szCs w:val="20"/>
              </w:rPr>
              <w:t>研究及开发费用</w:t>
              <w:tab/>
            </w:r>
            <w:r>
              <w:rPr>
                <w:rFonts w:ascii="Arial" w:hAnsi="Arial" w:cs="Arial" w:eastAsia="Arial" w:hint="default"/>
                <w:spacing w:val="-1"/>
                <w:sz w:val="20"/>
                <w:szCs w:val="20"/>
              </w:rPr>
            </w:r>
            <w:r>
              <w:rPr>
                <w:rFonts w:ascii="Arial" w:hAnsi="Arial" w:cs="Arial" w:eastAsia="Arial" w:hint="default"/>
                <w:spacing w:val="-1"/>
                <w:sz w:val="20"/>
                <w:szCs w:val="20"/>
                <w:u w:val="thick" w:color="000000"/>
              </w:rPr>
              <w:t>219,270,361</w:t>
            </w:r>
            <w:r>
              <w:rPr>
                <w:rFonts w:ascii="Arial" w:hAnsi="Arial" w:cs="Arial" w:eastAsia="Arial" w:hint="default"/>
                <w:spacing w:val="-1"/>
                <w:sz w:val="20"/>
                <w:szCs w:val="20"/>
              </w:rPr>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57" w:right="0"/>
              <w:jc w:val="left"/>
              <w:rPr>
                <w:rFonts w:ascii="Arial" w:hAnsi="Arial" w:cs="Arial" w:eastAsia="Arial" w:hint="default"/>
                <w:sz w:val="20"/>
                <w:szCs w:val="20"/>
              </w:rPr>
            </w:pPr>
            <w:r>
              <w:rPr>
                <w:rFonts w:ascii="Arial"/>
                <w:w w:val="100"/>
                <w:sz w:val="20"/>
              </w:rPr>
            </w:r>
            <w:r>
              <w:rPr>
                <w:rFonts w:ascii="Arial"/>
                <w:sz w:val="20"/>
                <w:u w:val="thick" w:color="000000"/>
              </w:rPr>
              <w:t>192,971,746</w:t>
            </w:r>
            <w:r>
              <w:rPr>
                <w:rFonts w:ascii="Arial"/>
                <w:sz w:val="20"/>
              </w:rPr>
            </w:r>
          </w:p>
        </w:tc>
      </w:tr>
      <w:tr>
        <w:trPr>
          <w:trHeight w:val="374" w:hRule="exact"/>
        </w:trPr>
        <w:tc>
          <w:tcPr>
            <w:tcW w:w="592" w:type="dxa"/>
            <w:tcBorders>
              <w:top w:val="nil" w:sz="6" w:space="0" w:color="auto"/>
              <w:left w:val="nil" w:sz="6" w:space="0" w:color="auto"/>
              <w:bottom w:val="nil" w:sz="6" w:space="0" w:color="auto"/>
              <w:right w:val="nil" w:sz="6" w:space="0" w:color="auto"/>
            </w:tcBorders>
          </w:tcPr>
          <w:p>
            <w:pPr/>
          </w:p>
        </w:tc>
        <w:tc>
          <w:tcPr>
            <w:tcW w:w="6761" w:type="dxa"/>
            <w:gridSpan w:val="3"/>
            <w:tcBorders>
              <w:top w:val="nil" w:sz="6" w:space="0" w:color="auto"/>
              <w:left w:val="nil" w:sz="6" w:space="0" w:color="auto"/>
              <w:bottom w:val="nil" w:sz="6" w:space="0" w:color="auto"/>
              <w:right w:val="nil" w:sz="6" w:space="0" w:color="auto"/>
            </w:tcBorders>
          </w:tcPr>
          <w:p>
            <w:pPr>
              <w:pStyle w:val="TableParagraph"/>
              <w:tabs>
                <w:tab w:pos="5687" w:val="left" w:leader="none"/>
              </w:tabs>
              <w:spacing w:line="240" w:lineRule="exact"/>
              <w:ind w:left="164" w:right="0"/>
              <w:jc w:val="left"/>
              <w:rPr>
                <w:rFonts w:ascii="Arial" w:hAnsi="Arial" w:cs="Arial" w:eastAsia="Arial" w:hint="default"/>
                <w:sz w:val="20"/>
                <w:szCs w:val="20"/>
              </w:rPr>
            </w:pPr>
            <w:r>
              <w:rPr>
                <w:rFonts w:ascii="黑体" w:hAnsi="黑体" w:cs="黑体" w:eastAsia="黑体" w:hint="default"/>
                <w:spacing w:val="-1"/>
                <w:sz w:val="20"/>
                <w:szCs w:val="20"/>
              </w:rPr>
              <w:t>研究及开发费用占本公司主营业务收入的比例</w:t>
              <w:tab/>
            </w:r>
            <w:r>
              <w:rPr>
                <w:rFonts w:ascii="Arial" w:hAnsi="Arial" w:cs="Arial" w:eastAsia="Arial" w:hint="default"/>
                <w:sz w:val="20"/>
                <w:szCs w:val="20"/>
              </w:rPr>
              <w:t>14%</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8"/>
              <w:ind w:left="769" w:right="0"/>
              <w:jc w:val="left"/>
              <w:rPr>
                <w:rFonts w:ascii="Arial" w:hAnsi="Arial" w:cs="Arial" w:eastAsia="Arial" w:hint="default"/>
                <w:sz w:val="20"/>
                <w:szCs w:val="20"/>
              </w:rPr>
            </w:pPr>
            <w:r>
              <w:rPr>
                <w:rFonts w:ascii="Arial"/>
                <w:sz w:val="20"/>
              </w:rPr>
              <w:t>15%</w:t>
            </w:r>
          </w:p>
        </w:tc>
      </w:tr>
      <w:tr>
        <w:trPr>
          <w:trHeight w:val="490" w:hRule="exact"/>
        </w:trPr>
        <w:tc>
          <w:tcPr>
            <w:tcW w:w="59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Arial" w:hAnsi="Arial" w:cs="Arial" w:eastAsia="Arial" w:hint="default"/>
                <w:b/>
                <w:bCs/>
                <w:sz w:val="20"/>
                <w:szCs w:val="20"/>
              </w:rPr>
              <w:t>29</w:t>
            </w:r>
            <w:r>
              <w:rPr>
                <w:rFonts w:ascii="黑体" w:hAnsi="黑体" w:cs="黑体" w:eastAsia="黑体" w:hint="default"/>
                <w:b/>
                <w:bCs/>
                <w:sz w:val="20"/>
                <w:szCs w:val="20"/>
              </w:rPr>
              <w:t>．</w:t>
            </w:r>
            <w:r>
              <w:rPr>
                <w:rFonts w:ascii="黑体" w:hAnsi="黑体" w:cs="黑体" w:eastAsia="黑体" w:hint="default"/>
                <w:sz w:val="20"/>
                <w:szCs w:val="20"/>
              </w:rPr>
            </w:r>
          </w:p>
        </w:tc>
        <w:tc>
          <w:tcPr>
            <w:tcW w:w="676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9"/>
              <w:ind w:left="166" w:right="0"/>
              <w:jc w:val="left"/>
              <w:rPr>
                <w:rFonts w:ascii="黑体" w:hAnsi="黑体" w:cs="黑体" w:eastAsia="黑体" w:hint="default"/>
                <w:sz w:val="20"/>
                <w:szCs w:val="20"/>
              </w:rPr>
            </w:pPr>
            <w:r>
              <w:rPr>
                <w:rFonts w:ascii="黑体" w:hAnsi="黑体" w:cs="黑体" w:eastAsia="黑体" w:hint="default"/>
                <w:b/>
                <w:bCs/>
                <w:sz w:val="20"/>
                <w:szCs w:val="20"/>
              </w:rPr>
              <w:t>财务费用</w:t>
            </w:r>
            <w:r>
              <w:rPr>
                <w:rFonts w:ascii="黑体" w:hAnsi="黑体" w:cs="黑体" w:eastAsia="黑体" w:hint="default"/>
                <w:sz w:val="20"/>
                <w:szCs w:val="20"/>
              </w:rPr>
            </w:r>
          </w:p>
        </w:tc>
        <w:tc>
          <w:tcPr>
            <w:tcW w:w="1305" w:type="dxa"/>
            <w:tcBorders>
              <w:top w:val="nil" w:sz="6" w:space="0" w:color="auto"/>
              <w:left w:val="nil" w:sz="6" w:space="0" w:color="auto"/>
              <w:bottom w:val="nil" w:sz="6" w:space="0" w:color="auto"/>
              <w:right w:val="nil" w:sz="6" w:space="0" w:color="auto"/>
            </w:tcBorders>
          </w:tcPr>
          <w:p>
            <w:pPr/>
          </w:p>
        </w:tc>
      </w:tr>
      <w:tr>
        <w:trPr>
          <w:trHeight w:val="502" w:hRule="exact"/>
        </w:trPr>
        <w:tc>
          <w:tcPr>
            <w:tcW w:w="592" w:type="dxa"/>
            <w:tcBorders>
              <w:top w:val="nil" w:sz="6" w:space="0" w:color="auto"/>
              <w:left w:val="nil" w:sz="6" w:space="0" w:color="auto"/>
              <w:bottom w:val="nil" w:sz="6" w:space="0" w:color="auto"/>
              <w:right w:val="nil" w:sz="6" w:space="0" w:color="auto"/>
            </w:tcBorders>
          </w:tcPr>
          <w:p>
            <w:pPr/>
          </w:p>
        </w:tc>
        <w:tc>
          <w:tcPr>
            <w:tcW w:w="676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9"/>
              <w:ind w:right="666"/>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29"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r>
      <w:tr>
        <w:trPr>
          <w:trHeight w:val="386" w:hRule="exact"/>
        </w:trPr>
        <w:tc>
          <w:tcPr>
            <w:tcW w:w="592" w:type="dxa"/>
            <w:tcBorders>
              <w:top w:val="nil" w:sz="6" w:space="0" w:color="auto"/>
              <w:left w:val="nil" w:sz="6" w:space="0" w:color="auto"/>
              <w:bottom w:val="nil" w:sz="6" w:space="0" w:color="auto"/>
              <w:right w:val="nil" w:sz="6" w:space="0" w:color="auto"/>
            </w:tcBorders>
          </w:tcPr>
          <w:p>
            <w:pPr/>
          </w:p>
        </w:tc>
        <w:tc>
          <w:tcPr>
            <w:tcW w:w="6761" w:type="dxa"/>
            <w:gridSpan w:val="3"/>
            <w:tcBorders>
              <w:top w:val="nil" w:sz="6" w:space="0" w:color="auto"/>
              <w:left w:val="nil" w:sz="6" w:space="0" w:color="auto"/>
              <w:bottom w:val="nil" w:sz="6" w:space="0" w:color="auto"/>
              <w:right w:val="nil" w:sz="6" w:space="0" w:color="auto"/>
            </w:tcBorders>
          </w:tcPr>
          <w:p>
            <w:pPr>
              <w:pStyle w:val="TableParagraph"/>
              <w:tabs>
                <w:tab w:pos="5025" w:val="left" w:leader="none"/>
              </w:tabs>
              <w:spacing w:line="240" w:lineRule="auto" w:before="91"/>
              <w:ind w:left="165" w:right="0"/>
              <w:jc w:val="left"/>
              <w:rPr>
                <w:rFonts w:ascii="Arial" w:hAnsi="Arial" w:cs="Arial" w:eastAsia="Arial" w:hint="default"/>
                <w:sz w:val="20"/>
                <w:szCs w:val="20"/>
              </w:rPr>
            </w:pPr>
            <w:r>
              <w:rPr>
                <w:rFonts w:ascii="黑体" w:hAnsi="黑体" w:cs="黑体" w:eastAsia="黑体" w:hint="default"/>
                <w:sz w:val="20"/>
                <w:szCs w:val="20"/>
              </w:rPr>
              <w:t>利息收入</w:t>
              <w:tab/>
            </w:r>
            <w:r>
              <w:rPr>
                <w:rFonts w:ascii="Arial" w:hAnsi="Arial" w:cs="Arial" w:eastAsia="Arial" w:hint="default"/>
                <w:sz w:val="20"/>
                <w:szCs w:val="20"/>
              </w:rPr>
              <w:t>(10,890,380</w:t>
            </w:r>
            <w:r>
              <w:rPr>
                <w:rFonts w:ascii="Arial" w:hAnsi="Arial" w:cs="Arial" w:eastAsia="Arial" w:hint="default"/>
                <w:spacing w:val="-30"/>
                <w:sz w:val="20"/>
                <w:szCs w:val="20"/>
              </w:rPr>
              <w:t> </w:t>
            </w:r>
            <w:r>
              <w:rPr>
                <w:rFonts w:ascii="Arial" w:hAnsi="Arial" w:cs="Arial" w:eastAsia="Arial" w:hint="default"/>
                <w:sz w:val="20"/>
                <w:szCs w:val="20"/>
              </w:rPr>
              <w:t>)</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3"/>
              <w:jc w:val="right"/>
              <w:rPr>
                <w:rFonts w:ascii="Arial" w:hAnsi="Arial" w:cs="Arial" w:eastAsia="Arial" w:hint="default"/>
                <w:sz w:val="20"/>
                <w:szCs w:val="20"/>
              </w:rPr>
            </w:pPr>
            <w:r>
              <w:rPr>
                <w:rFonts w:ascii="Arial"/>
                <w:sz w:val="20"/>
              </w:rPr>
              <w:t>(9,354,345</w:t>
            </w:r>
            <w:r>
              <w:rPr>
                <w:rFonts w:ascii="Arial"/>
                <w:spacing w:val="-29"/>
                <w:sz w:val="20"/>
              </w:rPr>
              <w:t> </w:t>
            </w:r>
            <w:r>
              <w:rPr>
                <w:rFonts w:ascii="Arial"/>
                <w:sz w:val="20"/>
              </w:rPr>
              <w:t>)</w:t>
            </w:r>
          </w:p>
        </w:tc>
      </w:tr>
      <w:tr>
        <w:trPr>
          <w:trHeight w:val="259" w:hRule="exact"/>
        </w:trPr>
        <w:tc>
          <w:tcPr>
            <w:tcW w:w="592" w:type="dxa"/>
            <w:tcBorders>
              <w:top w:val="nil" w:sz="6" w:space="0" w:color="auto"/>
              <w:left w:val="nil" w:sz="6" w:space="0" w:color="auto"/>
              <w:bottom w:val="nil" w:sz="6" w:space="0" w:color="auto"/>
              <w:right w:val="nil" w:sz="6" w:space="0" w:color="auto"/>
            </w:tcBorders>
          </w:tcPr>
          <w:p>
            <w:pPr/>
          </w:p>
        </w:tc>
        <w:tc>
          <w:tcPr>
            <w:tcW w:w="6761" w:type="dxa"/>
            <w:gridSpan w:val="3"/>
            <w:tcBorders>
              <w:top w:val="nil" w:sz="6" w:space="0" w:color="auto"/>
              <w:left w:val="nil" w:sz="6" w:space="0" w:color="auto"/>
              <w:bottom w:val="nil" w:sz="6" w:space="0" w:color="auto"/>
              <w:right w:val="nil" w:sz="6" w:space="0" w:color="auto"/>
            </w:tcBorders>
          </w:tcPr>
          <w:p>
            <w:pPr>
              <w:pStyle w:val="TableParagraph"/>
              <w:tabs>
                <w:tab w:pos="6092" w:val="right" w:leader="none"/>
              </w:tabs>
              <w:spacing w:line="240" w:lineRule="exact"/>
              <w:ind w:left="165" w:right="0"/>
              <w:jc w:val="left"/>
              <w:rPr>
                <w:rFonts w:ascii="Arial" w:hAnsi="Arial" w:cs="Arial" w:eastAsia="Arial" w:hint="default"/>
                <w:sz w:val="20"/>
                <w:szCs w:val="20"/>
              </w:rPr>
            </w:pPr>
            <w:r>
              <w:rPr>
                <w:rFonts w:ascii="黑体" w:hAnsi="黑体" w:cs="黑体" w:eastAsia="黑体" w:hint="default"/>
                <w:sz w:val="20"/>
                <w:szCs w:val="20"/>
              </w:rPr>
              <w:t>汇兑损益</w:t>
            </w:r>
            <w:r>
              <w:rPr>
                <w:rFonts w:ascii="Arial" w:hAnsi="Arial" w:cs="Arial" w:eastAsia="Arial" w:hint="default"/>
                <w:sz w:val="20"/>
                <w:szCs w:val="20"/>
              </w:rPr>
              <w:tab/>
              <w:t>336</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8"/>
              <w:ind w:left="284" w:right="0"/>
              <w:jc w:val="left"/>
              <w:rPr>
                <w:rFonts w:ascii="Arial" w:hAnsi="Arial" w:cs="Arial" w:eastAsia="Arial" w:hint="default"/>
                <w:sz w:val="20"/>
                <w:szCs w:val="20"/>
              </w:rPr>
            </w:pPr>
            <w:r>
              <w:rPr>
                <w:rFonts w:ascii="Arial"/>
                <w:sz w:val="20"/>
              </w:rPr>
              <w:t>1,448,406</w:t>
            </w:r>
          </w:p>
        </w:tc>
      </w:tr>
      <w:tr>
        <w:trPr>
          <w:trHeight w:val="389" w:hRule="exact"/>
        </w:trPr>
        <w:tc>
          <w:tcPr>
            <w:tcW w:w="592" w:type="dxa"/>
            <w:tcBorders>
              <w:top w:val="nil" w:sz="6" w:space="0" w:color="auto"/>
              <w:left w:val="nil" w:sz="6" w:space="0" w:color="auto"/>
              <w:bottom w:val="nil" w:sz="6" w:space="0" w:color="auto"/>
              <w:right w:val="nil" w:sz="6" w:space="0" w:color="auto"/>
            </w:tcBorders>
          </w:tcPr>
          <w:p>
            <w:pPr/>
          </w:p>
        </w:tc>
        <w:tc>
          <w:tcPr>
            <w:tcW w:w="6761" w:type="dxa"/>
            <w:gridSpan w:val="3"/>
            <w:tcBorders>
              <w:top w:val="nil" w:sz="6" w:space="0" w:color="auto"/>
              <w:left w:val="nil" w:sz="6" w:space="0" w:color="auto"/>
              <w:bottom w:val="nil" w:sz="6" w:space="0" w:color="auto"/>
              <w:right w:val="nil" w:sz="6" w:space="0" w:color="auto"/>
            </w:tcBorders>
          </w:tcPr>
          <w:p>
            <w:pPr>
              <w:pStyle w:val="TableParagraph"/>
              <w:tabs>
                <w:tab w:pos="5069" w:val="left" w:leader="none"/>
                <w:tab w:pos="5368" w:val="left" w:leader="none"/>
              </w:tabs>
              <w:spacing w:line="240" w:lineRule="exact"/>
              <w:ind w:left="165" w:right="0"/>
              <w:jc w:val="left"/>
              <w:rPr>
                <w:rFonts w:ascii="Arial" w:hAnsi="Arial" w:cs="Arial" w:eastAsia="Arial" w:hint="default"/>
                <w:sz w:val="20"/>
                <w:szCs w:val="20"/>
              </w:rPr>
            </w:pPr>
            <w:r>
              <w:rPr>
                <w:rFonts w:ascii="黑体" w:hAnsi="黑体" w:cs="黑体" w:eastAsia="黑体" w:hint="default"/>
                <w:sz w:val="20"/>
                <w:szCs w:val="20"/>
              </w:rPr>
              <w:t>其他</w:t>
              <w:tab/>
            </w:r>
            <w:r>
              <w:rPr>
                <w:rFonts w:ascii="Arial" w:hAnsi="Arial" w:cs="Arial" w:eastAsia="Arial" w:hint="default"/>
                <w:sz w:val="20"/>
                <w:szCs w:val="20"/>
              </w:rPr>
            </w:r>
            <w:r>
              <w:rPr>
                <w:rFonts w:ascii="Arial" w:hAnsi="Arial" w:cs="Arial" w:eastAsia="Arial" w:hint="default"/>
                <w:sz w:val="20"/>
                <w:szCs w:val="20"/>
                <w:u w:val="single" w:color="000000"/>
              </w:rPr>
              <w:t> </w:t>
              <w:tab/>
              <w:t>655,206</w:t>
            </w:r>
            <w:r>
              <w:rPr>
                <w:rFonts w:ascii="Arial" w:hAnsi="Arial" w:cs="Arial" w:eastAsia="Arial" w:hint="default"/>
                <w:sz w:val="20"/>
                <w:szCs w:val="20"/>
              </w:rPr>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8"/>
              <w:ind w:left="251"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754,340</w:t>
            </w:r>
            <w:r>
              <w:rPr>
                <w:rFonts w:ascii="Arial"/>
                <w:sz w:val="20"/>
              </w:rPr>
            </w:r>
          </w:p>
        </w:tc>
      </w:tr>
      <w:tr>
        <w:trPr>
          <w:trHeight w:val="456" w:hRule="exact"/>
        </w:trPr>
        <w:tc>
          <w:tcPr>
            <w:tcW w:w="592" w:type="dxa"/>
            <w:tcBorders>
              <w:top w:val="nil" w:sz="6" w:space="0" w:color="auto"/>
              <w:left w:val="nil" w:sz="6" w:space="0" w:color="auto"/>
              <w:bottom w:val="nil" w:sz="6" w:space="0" w:color="auto"/>
              <w:right w:val="nil" w:sz="6" w:space="0" w:color="auto"/>
            </w:tcBorders>
          </w:tcPr>
          <w:p>
            <w:pPr/>
          </w:p>
        </w:tc>
        <w:tc>
          <w:tcPr>
            <w:tcW w:w="676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30"/>
              <w:ind w:right="571"/>
              <w:jc w:val="right"/>
              <w:rPr>
                <w:rFonts w:ascii="Arial" w:hAnsi="Arial" w:cs="Arial" w:eastAsia="Arial" w:hint="default"/>
                <w:sz w:val="20"/>
                <w:szCs w:val="20"/>
              </w:rPr>
            </w:pPr>
            <w:r>
              <w:rPr>
                <w:rFonts w:ascii="Arial"/>
                <w:sz w:val="20"/>
              </w:rPr>
              <w:t>(</w:t>
            </w:r>
            <w:r>
              <w:rPr>
                <w:rFonts w:ascii="Arial"/>
                <w:sz w:val="20"/>
                <w:u w:val="thick" w:color="000000"/>
              </w:rPr>
              <w:t>10,234,838</w:t>
            </w:r>
            <w:r>
              <w:rPr>
                <w:rFonts w:ascii="Arial"/>
                <w:spacing w:val="-30"/>
                <w:sz w:val="20"/>
                <w:u w:val="thick" w:color="000000"/>
              </w:rPr>
              <w:t> </w:t>
            </w:r>
            <w:r>
              <w:rPr>
                <w:rFonts w:ascii="Arial"/>
                <w:spacing w:val="-30"/>
                <w:sz w:val="20"/>
              </w:rPr>
            </w:r>
            <w:r>
              <w:rPr>
                <w:rFonts w:ascii="Arial"/>
                <w:sz w:val="20"/>
              </w:rPr>
              <w:t>)</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3"/>
              <w:jc w:val="right"/>
              <w:rPr>
                <w:rFonts w:ascii="Arial" w:hAnsi="Arial" w:cs="Arial" w:eastAsia="Arial" w:hint="default"/>
                <w:sz w:val="20"/>
                <w:szCs w:val="20"/>
              </w:rPr>
            </w:pPr>
            <w:r>
              <w:rPr>
                <w:rFonts w:ascii="Arial"/>
                <w:sz w:val="20"/>
              </w:rPr>
              <w:t>(</w:t>
            </w:r>
            <w:r>
              <w:rPr>
                <w:rFonts w:ascii="Arial"/>
                <w:sz w:val="20"/>
                <w:u w:val="thick" w:color="000000"/>
              </w:rPr>
              <w:t>7,151,599</w:t>
            </w:r>
            <w:r>
              <w:rPr>
                <w:rFonts w:ascii="Arial"/>
                <w:spacing w:val="-29"/>
                <w:sz w:val="20"/>
                <w:u w:val="thick" w:color="000000"/>
              </w:rPr>
              <w:t> </w:t>
            </w:r>
            <w:r>
              <w:rPr>
                <w:rFonts w:ascii="Arial"/>
                <w:spacing w:val="-29"/>
                <w:sz w:val="20"/>
              </w:rPr>
            </w:r>
            <w:r>
              <w:rPr>
                <w:rFonts w:ascii="Arial"/>
                <w:sz w:val="20"/>
              </w:rPr>
              <w:t>)</w:t>
            </w:r>
          </w:p>
        </w:tc>
      </w:tr>
    </w:tbl>
    <w:p>
      <w:pPr>
        <w:spacing w:after="0" w:line="240" w:lineRule="auto"/>
        <w:jc w:val="right"/>
        <w:rPr>
          <w:rFonts w:ascii="Arial" w:hAnsi="Arial" w:cs="Arial" w:eastAsia="Arial" w:hint="default"/>
          <w:sz w:val="20"/>
          <w:szCs w:val="20"/>
        </w:rPr>
        <w:sectPr>
          <w:pgSz w:w="11910" w:h="16840"/>
          <w:pgMar w:header="958" w:footer="466" w:top="2560" w:bottom="660" w:left="1560" w:right="0"/>
        </w:sectPr>
      </w:pP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15"/>
          <w:szCs w:val="15"/>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6"/>
        <w:rPr>
          <w:rFonts w:ascii="黑体" w:hAnsi="黑体" w:cs="黑体" w:eastAsia="黑体" w:hint="default"/>
          <w:b/>
          <w:bCs/>
          <w:sz w:val="14"/>
          <w:szCs w:val="14"/>
        </w:rPr>
      </w:pPr>
    </w:p>
    <w:tbl>
      <w:tblPr>
        <w:tblW w:w="0" w:type="auto"/>
        <w:jc w:val="left"/>
        <w:tblInd w:w="106" w:type="dxa"/>
        <w:tblLayout w:type="fixed"/>
        <w:tblCellMar>
          <w:top w:w="0" w:type="dxa"/>
          <w:left w:w="0" w:type="dxa"/>
          <w:bottom w:w="0" w:type="dxa"/>
          <w:right w:w="0" w:type="dxa"/>
        </w:tblCellMar>
        <w:tblLook w:val="01E0"/>
      </w:tblPr>
      <w:tblGrid>
        <w:gridCol w:w="597"/>
        <w:gridCol w:w="4413"/>
        <w:gridCol w:w="2106"/>
        <w:gridCol w:w="1525"/>
      </w:tblGrid>
      <w:tr>
        <w:trPr>
          <w:trHeight w:val="951" w:hRule="exact"/>
        </w:trPr>
        <w:tc>
          <w:tcPr>
            <w:tcW w:w="59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Arial" w:hAnsi="Arial" w:cs="Arial" w:eastAsia="Arial" w:hint="default"/>
                <w:b/>
                <w:bCs/>
                <w:sz w:val="20"/>
                <w:szCs w:val="20"/>
              </w:rPr>
              <w:t>30</w:t>
            </w:r>
            <w:r>
              <w:rPr>
                <w:rFonts w:ascii="黑体" w:hAnsi="黑体" w:cs="黑体" w:eastAsia="黑体" w:hint="default"/>
                <w:b/>
                <w:bCs/>
                <w:sz w:val="20"/>
                <w:szCs w:val="20"/>
              </w:rPr>
              <w:t>．</w:t>
            </w:r>
            <w:r>
              <w:rPr>
                <w:rFonts w:ascii="黑体" w:hAnsi="黑体" w:cs="黑体" w:eastAsia="黑体" w:hint="default"/>
                <w:sz w:val="20"/>
                <w:szCs w:val="20"/>
              </w:rPr>
            </w: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61" w:right="0"/>
              <w:jc w:val="left"/>
              <w:rPr>
                <w:rFonts w:ascii="黑体" w:hAnsi="黑体" w:cs="黑体" w:eastAsia="黑体" w:hint="default"/>
                <w:sz w:val="20"/>
                <w:szCs w:val="20"/>
              </w:rPr>
            </w:pPr>
            <w:r>
              <w:rPr>
                <w:rFonts w:ascii="黑体" w:hAnsi="黑体" w:cs="黑体" w:eastAsia="黑体" w:hint="default"/>
                <w:b/>
                <w:bCs/>
                <w:sz w:val="20"/>
                <w:szCs w:val="20"/>
              </w:rPr>
              <w:t>资产减值损失</w:t>
            </w:r>
            <w:r>
              <w:rPr>
                <w:rFonts w:ascii="黑体" w:hAnsi="黑体" w:cs="黑体" w:eastAsia="黑体" w:hint="default"/>
                <w:sz w:val="20"/>
                <w:szCs w:val="20"/>
              </w:rPr>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5"/>
              <w:ind w:right="0"/>
              <w:jc w:val="left"/>
              <w:rPr>
                <w:rFonts w:ascii="黑体" w:hAnsi="黑体" w:cs="黑体" w:eastAsia="黑体" w:hint="default"/>
                <w:b/>
                <w:bCs/>
                <w:sz w:val="20"/>
                <w:szCs w:val="20"/>
              </w:rPr>
            </w:pPr>
          </w:p>
          <w:p>
            <w:pPr>
              <w:pStyle w:val="TableParagraph"/>
              <w:spacing w:line="240" w:lineRule="auto"/>
              <w:ind w:left="1018"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5"/>
              <w:ind w:right="0"/>
              <w:jc w:val="left"/>
              <w:rPr>
                <w:rFonts w:ascii="黑体" w:hAnsi="黑体" w:cs="黑体" w:eastAsia="黑体" w:hint="default"/>
                <w:b/>
                <w:bCs/>
                <w:sz w:val="20"/>
                <w:szCs w:val="20"/>
              </w:rPr>
            </w:pPr>
          </w:p>
          <w:p>
            <w:pPr>
              <w:pStyle w:val="TableParagraph"/>
              <w:spacing w:line="240" w:lineRule="auto"/>
              <w:ind w:right="142"/>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502" w:hRule="exact"/>
        </w:trPr>
        <w:tc>
          <w:tcPr>
            <w:tcW w:w="597"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43" w:right="0"/>
              <w:jc w:val="left"/>
              <w:rPr>
                <w:rFonts w:ascii="黑体" w:hAnsi="黑体" w:cs="黑体" w:eastAsia="黑体" w:hint="default"/>
                <w:sz w:val="20"/>
                <w:szCs w:val="20"/>
              </w:rPr>
            </w:pPr>
            <w:r>
              <w:rPr>
                <w:rFonts w:ascii="黑体" w:hAnsi="黑体" w:cs="黑体" w:eastAsia="黑体" w:hint="default"/>
                <w:sz w:val="20"/>
                <w:szCs w:val="20"/>
              </w:rPr>
              <w:t>坏账损失</w:t>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774" w:right="0"/>
              <w:jc w:val="left"/>
              <w:rPr>
                <w:rFonts w:ascii="Arial" w:hAnsi="Arial" w:cs="Arial" w:eastAsia="Arial" w:hint="default"/>
                <w:sz w:val="20"/>
                <w:szCs w:val="20"/>
              </w:rPr>
            </w:pPr>
            <w:r>
              <w:rPr>
                <w:rFonts w:ascii="Arial"/>
                <w:w w:val="100"/>
                <w:sz w:val="20"/>
              </w:rPr>
            </w:r>
            <w:r>
              <w:rPr>
                <w:rFonts w:ascii="Arial"/>
                <w:sz w:val="20"/>
                <w:u w:val="thick" w:color="000000"/>
              </w:rPr>
              <w:t>2,988,817</w:t>
            </w:r>
            <w:r>
              <w:rPr>
                <w:rFonts w:ascii="Arial"/>
                <w:sz w:val="20"/>
              </w:rPr>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43"/>
              <w:jc w:val="right"/>
              <w:rPr>
                <w:rFonts w:ascii="Arial" w:hAnsi="Arial" w:cs="Arial" w:eastAsia="Arial" w:hint="default"/>
                <w:sz w:val="20"/>
                <w:szCs w:val="20"/>
              </w:rPr>
            </w:pPr>
            <w:r>
              <w:rPr>
                <w:rFonts w:ascii="Arial"/>
                <w:w w:val="100"/>
                <w:sz w:val="20"/>
              </w:rPr>
            </w:r>
            <w:r>
              <w:rPr>
                <w:rFonts w:ascii="Arial"/>
                <w:spacing w:val="-1"/>
                <w:sz w:val="20"/>
                <w:u w:val="thick" w:color="000000"/>
              </w:rPr>
              <w:t>4,258,488</w:t>
            </w:r>
            <w:r>
              <w:rPr>
                <w:rFonts w:ascii="Arial"/>
                <w:spacing w:val="-1"/>
                <w:sz w:val="20"/>
              </w:rPr>
            </w:r>
          </w:p>
        </w:tc>
      </w:tr>
      <w:tr>
        <w:trPr>
          <w:trHeight w:val="490" w:hRule="exact"/>
        </w:trPr>
        <w:tc>
          <w:tcPr>
            <w:tcW w:w="5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Arial" w:hAnsi="Arial" w:cs="Arial" w:eastAsia="Arial" w:hint="default"/>
                <w:b/>
                <w:bCs/>
                <w:sz w:val="20"/>
                <w:szCs w:val="20"/>
              </w:rPr>
              <w:t>31</w:t>
            </w:r>
            <w:r>
              <w:rPr>
                <w:rFonts w:ascii="黑体" w:hAnsi="黑体" w:cs="黑体" w:eastAsia="黑体" w:hint="default"/>
                <w:b/>
                <w:bCs/>
                <w:sz w:val="20"/>
                <w:szCs w:val="20"/>
              </w:rPr>
              <w:t>．</w:t>
            </w:r>
            <w:r>
              <w:rPr>
                <w:rFonts w:ascii="黑体" w:hAnsi="黑体" w:cs="黑体" w:eastAsia="黑体" w:hint="default"/>
                <w:sz w:val="20"/>
                <w:szCs w:val="20"/>
              </w:rPr>
            </w: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61" w:right="0"/>
              <w:jc w:val="left"/>
              <w:rPr>
                <w:rFonts w:ascii="Arial" w:hAnsi="Arial" w:cs="Arial" w:eastAsia="Arial" w:hint="default"/>
                <w:sz w:val="20"/>
                <w:szCs w:val="20"/>
              </w:rPr>
            </w:pPr>
            <w:r>
              <w:rPr>
                <w:rFonts w:ascii="黑体" w:hAnsi="黑体" w:cs="黑体" w:eastAsia="黑体" w:hint="default"/>
                <w:b/>
                <w:bCs/>
                <w:sz w:val="20"/>
                <w:szCs w:val="20"/>
              </w:rPr>
              <w:t>公允价值变动收益</w:t>
            </w:r>
            <w:r>
              <w:rPr>
                <w:rFonts w:ascii="Arial" w:hAnsi="Arial" w:cs="Arial" w:eastAsia="Arial" w:hint="default"/>
                <w:b/>
                <w:bCs/>
                <w:sz w:val="20"/>
                <w:szCs w:val="20"/>
              </w:rPr>
              <w:t>/(</w:t>
            </w:r>
            <w:r>
              <w:rPr>
                <w:rFonts w:ascii="黑体" w:hAnsi="黑体" w:cs="黑体" w:eastAsia="黑体" w:hint="default"/>
                <w:b/>
                <w:bCs/>
                <w:sz w:val="20"/>
                <w:szCs w:val="20"/>
              </w:rPr>
              <w:t>损失</w:t>
            </w:r>
            <w:r>
              <w:rPr>
                <w:rFonts w:ascii="Arial" w:hAnsi="Arial" w:cs="Arial" w:eastAsia="Arial" w:hint="default"/>
                <w:b/>
                <w:bCs/>
                <w:sz w:val="20"/>
                <w:szCs w:val="20"/>
              </w:rPr>
              <w:t>)</w:t>
            </w:r>
            <w:r>
              <w:rPr>
                <w:rFonts w:ascii="Arial" w:hAnsi="Arial" w:cs="Arial" w:eastAsia="Arial" w:hint="default"/>
                <w:sz w:val="20"/>
                <w:szCs w:val="20"/>
              </w:rPr>
            </w:r>
          </w:p>
        </w:tc>
        <w:tc>
          <w:tcPr>
            <w:tcW w:w="2106" w:type="dxa"/>
            <w:tcBorders>
              <w:top w:val="nil" w:sz="6" w:space="0" w:color="auto"/>
              <w:left w:val="nil" w:sz="6" w:space="0" w:color="auto"/>
              <w:bottom w:val="nil" w:sz="6" w:space="0" w:color="auto"/>
              <w:right w:val="nil" w:sz="6" w:space="0" w:color="auto"/>
            </w:tcBorders>
          </w:tcPr>
          <w:p>
            <w:pPr/>
          </w:p>
        </w:tc>
        <w:tc>
          <w:tcPr>
            <w:tcW w:w="1525" w:type="dxa"/>
            <w:tcBorders>
              <w:top w:val="nil" w:sz="6" w:space="0" w:color="auto"/>
              <w:left w:val="nil" w:sz="6" w:space="0" w:color="auto"/>
              <w:bottom w:val="nil" w:sz="6" w:space="0" w:color="auto"/>
              <w:right w:val="nil" w:sz="6" w:space="0" w:color="auto"/>
            </w:tcBorders>
          </w:tcPr>
          <w:p>
            <w:pPr/>
          </w:p>
        </w:tc>
      </w:tr>
      <w:tr>
        <w:trPr>
          <w:trHeight w:val="502" w:hRule="exact"/>
        </w:trPr>
        <w:tc>
          <w:tcPr>
            <w:tcW w:w="597"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019"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21"/>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616" w:hRule="exact"/>
        </w:trPr>
        <w:tc>
          <w:tcPr>
            <w:tcW w:w="597"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43" w:right="0"/>
              <w:jc w:val="left"/>
              <w:rPr>
                <w:rFonts w:ascii="黑体" w:hAnsi="黑体" w:cs="黑体" w:eastAsia="黑体" w:hint="default"/>
                <w:sz w:val="20"/>
                <w:szCs w:val="20"/>
              </w:rPr>
            </w:pPr>
            <w:r>
              <w:rPr>
                <w:rFonts w:ascii="黑体" w:hAnsi="黑体" w:cs="黑体" w:eastAsia="黑体" w:hint="default"/>
                <w:sz w:val="20"/>
                <w:szCs w:val="20"/>
              </w:rPr>
              <w:t>交易性金融资产</w:t>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663" w:right="0"/>
              <w:jc w:val="left"/>
              <w:rPr>
                <w:rFonts w:ascii="Arial" w:hAnsi="Arial" w:cs="Arial" w:eastAsia="Arial" w:hint="default"/>
                <w:sz w:val="20"/>
                <w:szCs w:val="20"/>
              </w:rPr>
            </w:pPr>
            <w:r>
              <w:rPr>
                <w:rFonts w:ascii="Arial"/>
                <w:w w:val="100"/>
                <w:sz w:val="20"/>
              </w:rPr>
            </w:r>
            <w:r>
              <w:rPr>
                <w:rFonts w:ascii="Arial"/>
                <w:sz w:val="20"/>
                <w:u w:val="thick" w:color="000000"/>
              </w:rPr>
              <w:t>46,903,611</w:t>
            </w:r>
            <w:r>
              <w:rPr>
                <w:rFonts w:ascii="Arial"/>
                <w:sz w:val="20"/>
              </w:rPr>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33"/>
              <w:jc w:val="right"/>
              <w:rPr>
                <w:rFonts w:ascii="Arial" w:hAnsi="Arial" w:cs="Arial" w:eastAsia="Arial" w:hint="default"/>
                <w:sz w:val="20"/>
                <w:szCs w:val="20"/>
              </w:rPr>
            </w:pPr>
            <w:r>
              <w:rPr>
                <w:rFonts w:ascii="Arial"/>
                <w:sz w:val="20"/>
              </w:rPr>
              <w:t>(</w:t>
            </w:r>
            <w:r>
              <w:rPr>
                <w:rFonts w:ascii="Arial"/>
                <w:sz w:val="20"/>
                <w:u w:val="thick" w:color="000000"/>
              </w:rPr>
              <w:t>74,232,671</w:t>
            </w:r>
            <w:r>
              <w:rPr>
                <w:rFonts w:ascii="Arial"/>
                <w:spacing w:val="-35"/>
                <w:sz w:val="20"/>
                <w:u w:val="thick" w:color="000000"/>
              </w:rPr>
              <w:t> </w:t>
            </w:r>
            <w:r>
              <w:rPr>
                <w:rFonts w:ascii="Arial"/>
                <w:spacing w:val="-35"/>
                <w:sz w:val="20"/>
              </w:rPr>
            </w:r>
            <w:r>
              <w:rPr>
                <w:rFonts w:ascii="Arial"/>
                <w:sz w:val="20"/>
              </w:rPr>
              <w:t>)</w:t>
            </w:r>
          </w:p>
        </w:tc>
      </w:tr>
      <w:tr>
        <w:trPr>
          <w:trHeight w:val="605" w:hRule="exact"/>
        </w:trPr>
        <w:tc>
          <w:tcPr>
            <w:tcW w:w="59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b/>
                <w:bCs/>
                <w:sz w:val="14"/>
                <w:szCs w:val="14"/>
              </w:rPr>
            </w:pPr>
          </w:p>
          <w:p>
            <w:pPr>
              <w:pStyle w:val="TableParagraph"/>
              <w:spacing w:line="240" w:lineRule="auto"/>
              <w:ind w:left="35" w:right="0"/>
              <w:jc w:val="left"/>
              <w:rPr>
                <w:rFonts w:ascii="黑体" w:hAnsi="黑体" w:cs="黑体" w:eastAsia="黑体" w:hint="default"/>
                <w:sz w:val="20"/>
                <w:szCs w:val="20"/>
              </w:rPr>
            </w:pPr>
            <w:r>
              <w:rPr>
                <w:rFonts w:ascii="Arial" w:hAnsi="Arial" w:cs="Arial" w:eastAsia="Arial" w:hint="default"/>
                <w:b/>
                <w:bCs/>
                <w:sz w:val="20"/>
                <w:szCs w:val="20"/>
              </w:rPr>
              <w:t>32</w:t>
            </w:r>
            <w:r>
              <w:rPr>
                <w:rFonts w:ascii="黑体" w:hAnsi="黑体" w:cs="黑体" w:eastAsia="黑体" w:hint="default"/>
                <w:b/>
                <w:bCs/>
                <w:sz w:val="20"/>
                <w:szCs w:val="20"/>
              </w:rPr>
              <w:t>．</w:t>
            </w:r>
            <w:r>
              <w:rPr>
                <w:rFonts w:ascii="黑体" w:hAnsi="黑体" w:cs="黑体" w:eastAsia="黑体" w:hint="default"/>
                <w:sz w:val="20"/>
                <w:szCs w:val="20"/>
              </w:rPr>
            </w: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b/>
                <w:bCs/>
                <w:sz w:val="14"/>
                <w:szCs w:val="14"/>
              </w:rPr>
            </w:pPr>
          </w:p>
          <w:p>
            <w:pPr>
              <w:pStyle w:val="TableParagraph"/>
              <w:spacing w:line="240" w:lineRule="auto"/>
              <w:ind w:left="161" w:right="0"/>
              <w:jc w:val="left"/>
              <w:rPr>
                <w:rFonts w:ascii="黑体" w:hAnsi="黑体" w:cs="黑体" w:eastAsia="黑体" w:hint="default"/>
                <w:sz w:val="20"/>
                <w:szCs w:val="20"/>
              </w:rPr>
            </w:pPr>
            <w:r>
              <w:rPr>
                <w:rFonts w:ascii="黑体" w:hAnsi="黑体" w:cs="黑体" w:eastAsia="黑体" w:hint="default"/>
                <w:b/>
                <w:bCs/>
                <w:sz w:val="20"/>
                <w:szCs w:val="20"/>
              </w:rPr>
              <w:t>投资收益</w:t>
            </w:r>
            <w:r>
              <w:rPr>
                <w:rFonts w:ascii="黑体" w:hAnsi="黑体" w:cs="黑体" w:eastAsia="黑体" w:hint="default"/>
                <w:sz w:val="20"/>
                <w:szCs w:val="20"/>
              </w:rPr>
            </w:r>
          </w:p>
        </w:tc>
        <w:tc>
          <w:tcPr>
            <w:tcW w:w="2106" w:type="dxa"/>
            <w:tcBorders>
              <w:top w:val="nil" w:sz="6" w:space="0" w:color="auto"/>
              <w:left w:val="nil" w:sz="6" w:space="0" w:color="auto"/>
              <w:bottom w:val="nil" w:sz="6" w:space="0" w:color="auto"/>
              <w:right w:val="nil" w:sz="6" w:space="0" w:color="auto"/>
            </w:tcBorders>
          </w:tcPr>
          <w:p>
            <w:pPr/>
          </w:p>
        </w:tc>
        <w:tc>
          <w:tcPr>
            <w:tcW w:w="1525" w:type="dxa"/>
            <w:tcBorders>
              <w:top w:val="nil" w:sz="6" w:space="0" w:color="auto"/>
              <w:left w:val="nil" w:sz="6" w:space="0" w:color="auto"/>
              <w:bottom w:val="nil" w:sz="6" w:space="0" w:color="auto"/>
              <w:right w:val="nil" w:sz="6" w:space="0" w:color="auto"/>
            </w:tcBorders>
          </w:tcPr>
          <w:p>
            <w:pPr/>
          </w:p>
        </w:tc>
      </w:tr>
      <w:tr>
        <w:trPr>
          <w:trHeight w:val="502" w:hRule="exact"/>
        </w:trPr>
        <w:tc>
          <w:tcPr>
            <w:tcW w:w="597"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31"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6"/>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386" w:hRule="exact"/>
        </w:trPr>
        <w:tc>
          <w:tcPr>
            <w:tcW w:w="597"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38" w:right="0"/>
              <w:jc w:val="left"/>
              <w:rPr>
                <w:rFonts w:ascii="黑体" w:hAnsi="黑体" w:cs="黑体" w:eastAsia="黑体" w:hint="default"/>
                <w:sz w:val="20"/>
                <w:szCs w:val="20"/>
              </w:rPr>
            </w:pPr>
            <w:r>
              <w:rPr>
                <w:rFonts w:ascii="黑体" w:hAnsi="黑体" w:cs="黑体" w:eastAsia="黑体" w:hint="default"/>
                <w:sz w:val="20"/>
                <w:szCs w:val="20"/>
              </w:rPr>
              <w:t>权益法核算的长期股权投资收益</w:t>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787" w:right="0"/>
              <w:jc w:val="left"/>
              <w:rPr>
                <w:rFonts w:ascii="Arial" w:hAnsi="Arial" w:cs="Arial" w:eastAsia="Arial" w:hint="default"/>
                <w:sz w:val="20"/>
                <w:szCs w:val="20"/>
              </w:rPr>
            </w:pPr>
            <w:r>
              <w:rPr>
                <w:rFonts w:ascii="Arial"/>
                <w:sz w:val="20"/>
              </w:rPr>
              <w:t>6,950,828</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06"/>
              <w:jc w:val="right"/>
              <w:rPr>
                <w:rFonts w:ascii="Arial" w:hAnsi="Arial" w:cs="Arial" w:eastAsia="Arial" w:hint="default"/>
                <w:sz w:val="20"/>
                <w:szCs w:val="20"/>
              </w:rPr>
            </w:pPr>
            <w:r>
              <w:rPr>
                <w:rFonts w:ascii="Arial"/>
                <w:spacing w:val="-1"/>
                <w:sz w:val="20"/>
              </w:rPr>
              <w:t>3,578,802</w:t>
            </w:r>
          </w:p>
        </w:tc>
      </w:tr>
      <w:tr>
        <w:trPr>
          <w:trHeight w:val="260" w:hRule="exact"/>
        </w:trPr>
        <w:tc>
          <w:tcPr>
            <w:tcW w:w="597"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exact"/>
              <w:ind w:left="174" w:right="0"/>
              <w:jc w:val="left"/>
              <w:rPr>
                <w:rFonts w:ascii="Arial" w:hAnsi="Arial" w:cs="Arial" w:eastAsia="Arial" w:hint="default"/>
                <w:sz w:val="20"/>
                <w:szCs w:val="20"/>
              </w:rPr>
            </w:pPr>
            <w:r>
              <w:rPr>
                <w:rFonts w:ascii="黑体" w:hAnsi="黑体" w:cs="黑体" w:eastAsia="黑体" w:hint="default"/>
                <w:sz w:val="20"/>
                <w:szCs w:val="20"/>
              </w:rPr>
              <w:t>处置长期股权投资产生的投资收益</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8"/>
              <w:ind w:left="954" w:right="0"/>
              <w:jc w:val="left"/>
              <w:rPr>
                <w:rFonts w:ascii="Arial" w:hAnsi="Arial" w:cs="Arial" w:eastAsia="Arial" w:hint="default"/>
                <w:sz w:val="20"/>
                <w:szCs w:val="20"/>
              </w:rPr>
            </w:pPr>
            <w:r>
              <w:rPr>
                <w:rFonts w:ascii="Arial"/>
                <w:sz w:val="20"/>
              </w:rPr>
              <w:t>181,737</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7"/>
              <w:jc w:val="right"/>
              <w:rPr>
                <w:rFonts w:ascii="Arial" w:hAnsi="Arial" w:cs="Arial" w:eastAsia="Arial" w:hint="default"/>
                <w:sz w:val="20"/>
                <w:szCs w:val="20"/>
              </w:rPr>
            </w:pPr>
            <w:r>
              <w:rPr>
                <w:rFonts w:ascii="Arial"/>
                <w:w w:val="100"/>
                <w:sz w:val="20"/>
              </w:rPr>
              <w:t>-</w:t>
            </w:r>
          </w:p>
        </w:tc>
      </w:tr>
      <w:tr>
        <w:trPr>
          <w:trHeight w:val="259" w:hRule="exact"/>
        </w:trPr>
        <w:tc>
          <w:tcPr>
            <w:tcW w:w="597"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25" w:lineRule="exact"/>
              <w:ind w:left="138" w:right="0"/>
              <w:jc w:val="left"/>
              <w:rPr>
                <w:rFonts w:ascii="黑体" w:hAnsi="黑体" w:cs="黑体" w:eastAsia="黑体" w:hint="default"/>
                <w:sz w:val="20"/>
                <w:szCs w:val="20"/>
              </w:rPr>
            </w:pPr>
            <w:r>
              <w:rPr>
                <w:rFonts w:ascii="黑体" w:hAnsi="黑体" w:cs="黑体" w:eastAsia="黑体" w:hint="default"/>
                <w:sz w:val="20"/>
                <w:szCs w:val="20"/>
              </w:rPr>
              <w:t>成本法核算的长期股权投资收益</w:t>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7"/>
              <w:ind w:left="675" w:right="0"/>
              <w:jc w:val="left"/>
              <w:rPr>
                <w:rFonts w:ascii="Arial" w:hAnsi="Arial" w:cs="Arial" w:eastAsia="Arial" w:hint="default"/>
                <w:sz w:val="20"/>
                <w:szCs w:val="20"/>
              </w:rPr>
            </w:pPr>
            <w:r>
              <w:rPr>
                <w:rFonts w:ascii="Arial"/>
                <w:sz w:val="20"/>
              </w:rPr>
              <w:t>12,202,658</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7"/>
              <w:ind w:left="414" w:right="0"/>
              <w:jc w:val="left"/>
              <w:rPr>
                <w:rFonts w:ascii="Arial" w:hAnsi="Arial" w:cs="Arial" w:eastAsia="Arial" w:hint="default"/>
                <w:sz w:val="20"/>
                <w:szCs w:val="20"/>
              </w:rPr>
            </w:pPr>
            <w:r>
              <w:rPr>
                <w:rFonts w:ascii="Arial"/>
                <w:sz w:val="20"/>
              </w:rPr>
              <w:t>12,574,671</w:t>
            </w:r>
          </w:p>
        </w:tc>
      </w:tr>
      <w:tr>
        <w:trPr>
          <w:trHeight w:val="260" w:hRule="exact"/>
        </w:trPr>
        <w:tc>
          <w:tcPr>
            <w:tcW w:w="597"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exact"/>
              <w:ind w:left="174" w:right="0"/>
              <w:jc w:val="left"/>
              <w:rPr>
                <w:rFonts w:ascii="黑体" w:hAnsi="黑体" w:cs="黑体" w:eastAsia="黑体" w:hint="default"/>
                <w:sz w:val="20"/>
                <w:szCs w:val="20"/>
              </w:rPr>
            </w:pPr>
            <w:r>
              <w:rPr>
                <w:rFonts w:ascii="黑体" w:hAnsi="黑体" w:cs="黑体" w:eastAsia="黑体" w:hint="default"/>
                <w:sz w:val="20"/>
                <w:szCs w:val="20"/>
              </w:rPr>
              <w:t>处置交易性金融资产取得的投资</w:t>
            </w:r>
            <w:r>
              <w:rPr>
                <w:rFonts w:ascii="Arial" w:hAnsi="Arial" w:cs="Arial" w:eastAsia="Arial" w:hint="default"/>
                <w:sz w:val="20"/>
                <w:szCs w:val="20"/>
              </w:rPr>
              <w:t>(</w:t>
            </w:r>
            <w:r>
              <w:rPr>
                <w:rFonts w:ascii="黑体" w:hAnsi="黑体" w:cs="黑体" w:eastAsia="黑体" w:hint="default"/>
                <w:sz w:val="20"/>
                <w:szCs w:val="20"/>
              </w:rPr>
              <w:t>损失</w:t>
            </w:r>
            <w:r>
              <w:rPr>
                <w:rFonts w:ascii="Arial" w:hAnsi="Arial" w:cs="Arial" w:eastAsia="Arial" w:hint="default"/>
                <w:sz w:val="20"/>
                <w:szCs w:val="20"/>
              </w:rPr>
              <w:t>)/</w:t>
            </w:r>
            <w:r>
              <w:rPr>
                <w:rFonts w:ascii="黑体" w:hAnsi="黑体" w:cs="黑体" w:eastAsia="黑体" w:hint="default"/>
                <w:sz w:val="20"/>
                <w:szCs w:val="20"/>
              </w:rPr>
              <w:t>收益</w:t>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8"/>
              <w:ind w:left="449" w:right="0"/>
              <w:jc w:val="left"/>
              <w:rPr>
                <w:rFonts w:ascii="Arial" w:hAnsi="Arial" w:cs="Arial" w:eastAsia="Arial" w:hint="default"/>
                <w:sz w:val="20"/>
                <w:szCs w:val="20"/>
              </w:rPr>
            </w:pPr>
            <w:r>
              <w:rPr>
                <w:rFonts w:ascii="Arial"/>
                <w:sz w:val="20"/>
              </w:rPr>
              <w:t>(   35,426,978</w:t>
            </w:r>
            <w:r>
              <w:rPr>
                <w:rFonts w:ascii="Arial"/>
                <w:spacing w:val="-13"/>
                <w:sz w:val="20"/>
              </w:rPr>
              <w:t> </w:t>
            </w:r>
            <w:r>
              <w:rPr>
                <w:rFonts w:ascii="Arial"/>
                <w:sz w:val="20"/>
              </w:rPr>
              <w:t>)</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8"/>
              <w:ind w:left="414" w:right="0"/>
              <w:jc w:val="left"/>
              <w:rPr>
                <w:rFonts w:ascii="Arial" w:hAnsi="Arial" w:cs="Arial" w:eastAsia="Arial" w:hint="default"/>
                <w:sz w:val="20"/>
                <w:szCs w:val="20"/>
              </w:rPr>
            </w:pPr>
            <w:r>
              <w:rPr>
                <w:rFonts w:ascii="Arial"/>
                <w:sz w:val="20"/>
              </w:rPr>
              <w:t>10,093,139</w:t>
            </w:r>
          </w:p>
        </w:tc>
      </w:tr>
      <w:tr>
        <w:trPr>
          <w:trHeight w:val="389" w:hRule="exact"/>
        </w:trPr>
        <w:tc>
          <w:tcPr>
            <w:tcW w:w="597"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26" w:lineRule="exact"/>
              <w:ind w:left="174" w:right="0"/>
              <w:jc w:val="left"/>
              <w:rPr>
                <w:rFonts w:ascii="黑体" w:hAnsi="黑体" w:cs="黑体" w:eastAsia="黑体" w:hint="default"/>
                <w:sz w:val="20"/>
                <w:szCs w:val="20"/>
              </w:rPr>
            </w:pPr>
            <w:r>
              <w:rPr>
                <w:rFonts w:ascii="黑体" w:hAnsi="黑体" w:cs="黑体" w:eastAsia="黑体" w:hint="default"/>
                <w:sz w:val="20"/>
                <w:szCs w:val="20"/>
              </w:rPr>
              <w:t>处置可供出售金融资产取得的投资收益</w:t>
            </w: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7"/>
              <w:ind w:left="565" w:right="0"/>
              <w:jc w:val="left"/>
              <w:rPr>
                <w:rFonts w:ascii="Arial" w:hAnsi="Arial" w:cs="Arial" w:eastAsia="Arial" w:hint="default"/>
                <w:sz w:val="20"/>
                <w:szCs w:val="20"/>
              </w:rPr>
            </w:pPr>
            <w:r>
              <w:rPr>
                <w:rFonts w:ascii="Arial"/>
                <w:w w:val="100"/>
                <w:sz w:val="20"/>
              </w:rPr>
            </w:r>
            <w:r>
              <w:rPr>
                <w:rFonts w:ascii="Arial"/>
                <w:sz w:val="20"/>
                <w:u w:val="single" w:color="000000"/>
              </w:rPr>
              <w:t>267,269,692</w:t>
            </w:r>
            <w:r>
              <w:rPr>
                <w:rFonts w:ascii="Arial"/>
                <w:sz w:val="20"/>
              </w:rPr>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7"/>
              <w:ind w:left="303" w:right="0"/>
              <w:jc w:val="left"/>
              <w:rPr>
                <w:rFonts w:ascii="Arial" w:hAnsi="Arial" w:cs="Arial" w:eastAsia="Arial" w:hint="default"/>
                <w:sz w:val="20"/>
                <w:szCs w:val="20"/>
              </w:rPr>
            </w:pPr>
            <w:r>
              <w:rPr>
                <w:rFonts w:ascii="Arial"/>
                <w:w w:val="100"/>
                <w:sz w:val="20"/>
              </w:rPr>
            </w:r>
            <w:r>
              <w:rPr>
                <w:rFonts w:ascii="Arial"/>
                <w:sz w:val="20"/>
                <w:u w:val="single" w:color="000000"/>
              </w:rPr>
              <w:t>189,519,537</w:t>
            </w:r>
            <w:r>
              <w:rPr>
                <w:rFonts w:ascii="Arial"/>
                <w:sz w:val="20"/>
              </w:rPr>
            </w:r>
          </w:p>
        </w:tc>
      </w:tr>
      <w:tr>
        <w:trPr>
          <w:trHeight w:val="456" w:hRule="exact"/>
        </w:trPr>
        <w:tc>
          <w:tcPr>
            <w:tcW w:w="597"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
        </w:tc>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565" w:right="0"/>
              <w:jc w:val="left"/>
              <w:rPr>
                <w:rFonts w:ascii="Arial" w:hAnsi="Arial" w:cs="Arial" w:eastAsia="Arial" w:hint="default"/>
                <w:sz w:val="20"/>
                <w:szCs w:val="20"/>
              </w:rPr>
            </w:pPr>
            <w:r>
              <w:rPr>
                <w:rFonts w:ascii="Arial"/>
                <w:w w:val="100"/>
                <w:sz w:val="20"/>
              </w:rPr>
            </w:r>
            <w:r>
              <w:rPr>
                <w:rFonts w:ascii="Arial"/>
                <w:sz w:val="20"/>
                <w:u w:val="thick" w:color="000000"/>
              </w:rPr>
              <w:t>251,177,937</w:t>
            </w:r>
            <w:r>
              <w:rPr>
                <w:rFonts w:ascii="Arial"/>
                <w:sz w:val="20"/>
              </w:rPr>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303" w:right="0"/>
              <w:jc w:val="left"/>
              <w:rPr>
                <w:rFonts w:ascii="Arial" w:hAnsi="Arial" w:cs="Arial" w:eastAsia="Arial" w:hint="default"/>
                <w:sz w:val="20"/>
                <w:szCs w:val="20"/>
              </w:rPr>
            </w:pPr>
            <w:r>
              <w:rPr>
                <w:rFonts w:ascii="Arial"/>
                <w:w w:val="100"/>
                <w:sz w:val="20"/>
              </w:rPr>
            </w:r>
            <w:r>
              <w:rPr>
                <w:rFonts w:ascii="Arial"/>
                <w:sz w:val="20"/>
                <w:u w:val="thick" w:color="000000"/>
              </w:rPr>
              <w:t>215,766,149</w:t>
            </w:r>
            <w:r>
              <w:rPr>
                <w:rFonts w:ascii="Arial"/>
                <w:sz w:val="20"/>
              </w:rPr>
            </w:r>
          </w:p>
        </w:tc>
      </w:tr>
    </w:tbl>
    <w:p>
      <w:pPr>
        <w:spacing w:line="240" w:lineRule="auto" w:before="2"/>
        <w:rPr>
          <w:rFonts w:ascii="黑体" w:hAnsi="黑体" w:cs="黑体" w:eastAsia="黑体" w:hint="default"/>
          <w:b/>
          <w:bCs/>
          <w:sz w:val="6"/>
          <w:szCs w:val="6"/>
        </w:rPr>
      </w:pPr>
    </w:p>
    <w:p>
      <w:pPr>
        <w:pStyle w:val="BodyText"/>
        <w:spacing w:line="225" w:lineRule="auto" w:before="52"/>
        <w:ind w:left="1417" w:right="1058" w:hanging="562"/>
        <w:jc w:val="left"/>
      </w:pPr>
      <w:r>
        <w:rPr/>
        <w:t>注</w:t>
      </w:r>
      <w:r>
        <w:rPr>
          <w:rFonts w:ascii="Arial" w:hAnsi="Arial" w:cs="Arial" w:eastAsia="Arial" w:hint="default"/>
        </w:rPr>
        <w:t>1. </w:t>
      </w:r>
      <w:r>
        <w:rPr>
          <w:spacing w:val="2"/>
        </w:rPr>
        <w:t>本公司于</w:t>
      </w:r>
      <w:r>
        <w:rPr>
          <w:rFonts w:ascii="Arial" w:hAnsi="Arial" w:cs="Arial" w:eastAsia="Arial" w:hint="default"/>
          <w:spacing w:val="2"/>
        </w:rPr>
        <w:t>2009</w:t>
      </w:r>
      <w:r>
        <w:rPr>
          <w:spacing w:val="2"/>
        </w:rPr>
        <w:t>年月</w:t>
      </w:r>
      <w:r>
        <w:rPr>
          <w:rFonts w:ascii="Arial" w:hAnsi="Arial" w:cs="Arial" w:eastAsia="Arial" w:hint="default"/>
          <w:spacing w:val="2"/>
        </w:rPr>
        <w:t>10</w:t>
      </w:r>
      <w:r>
        <w:rPr>
          <w:spacing w:val="2"/>
        </w:rPr>
        <w:t>月</w:t>
      </w:r>
      <w:r>
        <w:rPr>
          <w:rFonts w:ascii="Arial" w:hAnsi="Arial" w:cs="Arial" w:eastAsia="Arial" w:hint="default"/>
          <w:spacing w:val="2"/>
        </w:rPr>
        <w:t>30</w:t>
      </w:r>
      <w:r>
        <w:rPr>
          <w:spacing w:val="2"/>
        </w:rPr>
        <w:t>日与用友烟草核心管理人员樊冠军先生签订股权转让协</w:t>
      </w:r>
      <w:r>
        <w:rPr>
          <w:spacing w:val="-91"/>
        </w:rPr>
        <w:t> </w:t>
      </w:r>
      <w:r>
        <w:rPr>
          <w:spacing w:val="-91"/>
        </w:rPr>
      </w:r>
      <w:r>
        <w:rPr>
          <w:spacing w:val="-3"/>
        </w:rPr>
        <w:t>议书，向其转让本公司所持有的用友烟草</w:t>
      </w:r>
      <w:r>
        <w:rPr>
          <w:rFonts w:ascii="Arial" w:hAnsi="Arial" w:cs="Arial" w:eastAsia="Arial" w:hint="default"/>
          <w:spacing w:val="-3"/>
        </w:rPr>
        <w:t>3%</w:t>
      </w:r>
      <w:r>
        <w:rPr>
          <w:spacing w:val="-3"/>
        </w:rPr>
        <w:t>的股权，转让价格为人民币</w:t>
      </w:r>
      <w:r>
        <w:rPr>
          <w:rFonts w:ascii="Arial" w:hAnsi="Arial" w:cs="Arial" w:eastAsia="Arial" w:hint="default"/>
          <w:spacing w:val="-3"/>
        </w:rPr>
        <w:t>781,737</w:t>
      </w:r>
      <w:r>
        <w:rPr>
          <w:spacing w:val="-3"/>
        </w:rPr>
        <w:t>元，</w:t>
      </w:r>
      <w:r>
        <w:rPr>
          <w:w w:val="100"/>
        </w:rPr>
        <w:t> </w:t>
      </w:r>
      <w:r>
        <w:rPr>
          <w:spacing w:val="-3"/>
          <w:w w:val="100"/>
        </w:rPr>
        <w:t>转让价格与初始投资成本之差额人民币</w:t>
      </w:r>
      <w:r>
        <w:rPr>
          <w:rFonts w:ascii="Arial" w:hAnsi="Arial" w:cs="Arial" w:eastAsia="Arial" w:hint="default"/>
          <w:spacing w:val="-3"/>
          <w:w w:val="100"/>
        </w:rPr>
        <w:t>181,737</w:t>
      </w:r>
      <w:r>
        <w:rPr>
          <w:spacing w:val="-3"/>
          <w:w w:val="100"/>
        </w:rPr>
        <w:t>元确认为本公司投资收益。参见附注</w:t>
      </w:r>
      <w:r>
        <w:rPr>
          <w:w w:val="100"/>
        </w:rPr>
        <w:t> </w:t>
      </w:r>
      <w:r>
        <w:rPr/>
        <w:t>五、</w:t>
      </w:r>
      <w:r>
        <w:rPr>
          <w:rFonts w:ascii="Arial" w:hAnsi="Arial" w:cs="Arial" w:eastAsia="Arial" w:hint="default"/>
        </w:rPr>
        <w:t>29</w:t>
      </w:r>
      <w:r>
        <w:rPr/>
        <w:t>、注</w:t>
      </w:r>
      <w:r>
        <w:rPr>
          <w:rFonts w:ascii="Arial" w:hAnsi="Arial" w:cs="Arial" w:eastAsia="Arial" w:hint="default"/>
        </w:rPr>
        <w:t>1</w:t>
      </w:r>
      <w:r>
        <w:rPr/>
        <w:t>。</w:t>
      </w:r>
    </w:p>
    <w:p>
      <w:pPr>
        <w:spacing w:line="240" w:lineRule="auto" w:before="6"/>
        <w:rPr>
          <w:rFonts w:ascii="黑体" w:hAnsi="黑体" w:cs="黑体" w:eastAsia="黑体" w:hint="default"/>
          <w:sz w:val="16"/>
          <w:szCs w:val="16"/>
        </w:rPr>
      </w:pPr>
    </w:p>
    <w:p>
      <w:pPr>
        <w:pStyle w:val="BodyText"/>
        <w:spacing w:line="240" w:lineRule="auto"/>
        <w:ind w:left="855" w:right="1058"/>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日，本公司的投资收益的汇回均无重大限制。</w:t>
      </w:r>
    </w:p>
    <w:p>
      <w:pPr>
        <w:spacing w:after="0" w:line="240" w:lineRule="auto"/>
        <w:jc w:val="left"/>
        <w:sectPr>
          <w:pgSz w:w="11910" w:h="16840"/>
          <w:pgMar w:header="958" w:footer="466" w:top="2560" w:bottom="660" w:left="156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tbl>
      <w:tblPr>
        <w:tblW w:w="0" w:type="auto"/>
        <w:jc w:val="left"/>
        <w:tblInd w:w="106" w:type="dxa"/>
        <w:tblLayout w:type="fixed"/>
        <w:tblCellMar>
          <w:top w:w="0" w:type="dxa"/>
          <w:left w:w="0" w:type="dxa"/>
          <w:bottom w:w="0" w:type="dxa"/>
          <w:right w:w="0" w:type="dxa"/>
        </w:tblCellMar>
        <w:tblLook w:val="01E0"/>
      </w:tblPr>
      <w:tblGrid>
        <w:gridCol w:w="5323"/>
        <w:gridCol w:w="1814"/>
        <w:gridCol w:w="1436"/>
      </w:tblGrid>
      <w:tr>
        <w:trPr>
          <w:trHeight w:val="939"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tabs>
                <w:tab w:pos="694" w:val="left" w:leader="none"/>
              </w:tabs>
              <w:spacing w:line="240" w:lineRule="auto"/>
              <w:ind w:left="35" w:right="0"/>
              <w:jc w:val="left"/>
              <w:rPr>
                <w:rFonts w:ascii="黑体" w:hAnsi="黑体" w:cs="黑体" w:eastAsia="黑体" w:hint="default"/>
                <w:sz w:val="20"/>
                <w:szCs w:val="20"/>
              </w:rPr>
            </w:pPr>
            <w:r>
              <w:rPr>
                <w:rFonts w:ascii="Arial" w:hAnsi="Arial" w:cs="Arial" w:eastAsia="Arial" w:hint="default"/>
                <w:b/>
                <w:bCs/>
                <w:spacing w:val="-1"/>
                <w:sz w:val="20"/>
                <w:szCs w:val="20"/>
              </w:rPr>
              <w:t>33.</w:t>
              <w:tab/>
            </w:r>
            <w:r>
              <w:rPr>
                <w:rFonts w:ascii="黑体" w:hAnsi="黑体" w:cs="黑体" w:eastAsia="黑体" w:hint="default"/>
                <w:b/>
                <w:bCs/>
                <w:sz w:val="20"/>
                <w:szCs w:val="20"/>
              </w:rPr>
              <w:t>营业外收入</w:t>
            </w:r>
            <w:r>
              <w:rPr>
                <w:rFonts w:ascii="黑体" w:hAnsi="黑体" w:cs="黑体" w:eastAsia="黑体" w:hint="default"/>
                <w:sz w:val="20"/>
                <w:szCs w:val="20"/>
              </w:rPr>
            </w:r>
          </w:p>
        </w:tc>
        <w:tc>
          <w:tcPr>
            <w:tcW w:w="3250" w:type="dxa"/>
            <w:gridSpan w:val="2"/>
            <w:tcBorders>
              <w:top w:val="nil" w:sz="6" w:space="0" w:color="auto"/>
              <w:left w:val="nil" w:sz="6" w:space="0" w:color="auto"/>
              <w:bottom w:val="nil" w:sz="6" w:space="0" w:color="auto"/>
              <w:right w:val="nil" w:sz="6" w:space="0" w:color="auto"/>
            </w:tcBorders>
          </w:tcPr>
          <w:p>
            <w:pPr/>
          </w:p>
        </w:tc>
      </w:tr>
      <w:tr>
        <w:trPr>
          <w:trHeight w:val="502" w:hRule="exact"/>
        </w:trPr>
        <w:tc>
          <w:tcPr>
            <w:tcW w:w="5323" w:type="dxa"/>
            <w:tcBorders>
              <w:top w:val="nil" w:sz="6" w:space="0" w:color="auto"/>
              <w:left w:val="nil" w:sz="6" w:space="0" w:color="auto"/>
              <w:bottom w:val="nil" w:sz="6" w:space="0" w:color="auto"/>
              <w:right w:val="nil" w:sz="6" w:space="0" w:color="auto"/>
            </w:tcBorders>
          </w:tcPr>
          <w:p>
            <w:pP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68"/>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41"/>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386"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35" w:right="0"/>
              <w:jc w:val="left"/>
              <w:rPr>
                <w:rFonts w:ascii="黑体" w:hAnsi="黑体" w:cs="黑体" w:eastAsia="黑体" w:hint="default"/>
                <w:sz w:val="20"/>
                <w:szCs w:val="20"/>
              </w:rPr>
            </w:pPr>
            <w:r>
              <w:rPr>
                <w:rFonts w:ascii="黑体" w:hAnsi="黑体" w:cs="黑体" w:eastAsia="黑体" w:hint="default"/>
                <w:sz w:val="20"/>
                <w:szCs w:val="20"/>
              </w:rPr>
              <w:t>增值税退税返还</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67"/>
              <w:jc w:val="right"/>
              <w:rPr>
                <w:rFonts w:ascii="Arial" w:hAnsi="Arial" w:cs="Arial" w:eastAsia="Arial" w:hint="default"/>
                <w:sz w:val="20"/>
                <w:szCs w:val="20"/>
              </w:rPr>
            </w:pPr>
            <w:r>
              <w:rPr>
                <w:rFonts w:ascii="Arial"/>
                <w:spacing w:val="-1"/>
                <w:sz w:val="20"/>
              </w:rPr>
              <w:t>126,827,226</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40"/>
              <w:jc w:val="right"/>
              <w:rPr>
                <w:rFonts w:ascii="Arial" w:hAnsi="Arial" w:cs="Arial" w:eastAsia="Arial" w:hint="default"/>
                <w:sz w:val="20"/>
                <w:szCs w:val="20"/>
              </w:rPr>
            </w:pPr>
            <w:r>
              <w:rPr>
                <w:rFonts w:ascii="Arial"/>
                <w:spacing w:val="-1"/>
                <w:sz w:val="20"/>
              </w:rPr>
              <w:t>118,002,740</w:t>
            </w:r>
          </w:p>
        </w:tc>
      </w:tr>
      <w:tr>
        <w:trPr>
          <w:trHeight w:val="259"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26" w:lineRule="exact"/>
              <w:ind w:left="735" w:right="0"/>
              <w:jc w:val="left"/>
              <w:rPr>
                <w:rFonts w:ascii="黑体" w:hAnsi="黑体" w:cs="黑体" w:eastAsia="黑体" w:hint="default"/>
                <w:sz w:val="20"/>
                <w:szCs w:val="20"/>
              </w:rPr>
            </w:pPr>
            <w:r>
              <w:rPr>
                <w:rFonts w:ascii="黑体" w:hAnsi="黑体" w:cs="黑体" w:eastAsia="黑体" w:hint="default"/>
                <w:sz w:val="20"/>
                <w:szCs w:val="20"/>
              </w:rPr>
              <w:t>政府补助</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68"/>
              <w:jc w:val="right"/>
              <w:rPr>
                <w:rFonts w:ascii="Arial" w:hAnsi="Arial" w:cs="Arial" w:eastAsia="Arial" w:hint="default"/>
                <w:sz w:val="20"/>
                <w:szCs w:val="20"/>
              </w:rPr>
            </w:pPr>
            <w:r>
              <w:rPr>
                <w:rFonts w:ascii="Arial"/>
                <w:spacing w:val="-1"/>
                <w:sz w:val="20"/>
              </w:rPr>
              <w:t>44,523,440</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1"/>
              <w:jc w:val="right"/>
              <w:rPr>
                <w:rFonts w:ascii="Arial" w:hAnsi="Arial" w:cs="Arial" w:eastAsia="Arial" w:hint="default"/>
                <w:sz w:val="20"/>
                <w:szCs w:val="20"/>
              </w:rPr>
            </w:pPr>
            <w:r>
              <w:rPr>
                <w:rFonts w:ascii="Arial"/>
                <w:spacing w:val="-1"/>
                <w:sz w:val="20"/>
              </w:rPr>
              <w:t>34,786,607</w:t>
            </w:r>
          </w:p>
        </w:tc>
      </w:tr>
      <w:tr>
        <w:trPr>
          <w:trHeight w:val="259"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26" w:lineRule="exact"/>
              <w:ind w:left="735" w:right="0"/>
              <w:jc w:val="left"/>
              <w:rPr>
                <w:rFonts w:ascii="黑体" w:hAnsi="黑体" w:cs="黑体" w:eastAsia="黑体" w:hint="default"/>
                <w:sz w:val="20"/>
                <w:szCs w:val="20"/>
              </w:rPr>
            </w:pPr>
            <w:r>
              <w:rPr>
                <w:rFonts w:ascii="黑体" w:hAnsi="黑体" w:cs="黑体" w:eastAsia="黑体" w:hint="default"/>
                <w:sz w:val="20"/>
                <w:szCs w:val="20"/>
              </w:rPr>
              <w:t>固定资产清理收入</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68"/>
              <w:jc w:val="right"/>
              <w:rPr>
                <w:rFonts w:ascii="Arial" w:hAnsi="Arial" w:cs="Arial" w:eastAsia="Arial" w:hint="default"/>
                <w:sz w:val="20"/>
                <w:szCs w:val="20"/>
              </w:rPr>
            </w:pPr>
            <w:r>
              <w:rPr>
                <w:rFonts w:ascii="Arial"/>
                <w:spacing w:val="-1"/>
                <w:sz w:val="20"/>
              </w:rPr>
              <w:t>456,051</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1"/>
              <w:jc w:val="right"/>
              <w:rPr>
                <w:rFonts w:ascii="Arial" w:hAnsi="Arial" w:cs="Arial" w:eastAsia="Arial" w:hint="default"/>
                <w:sz w:val="20"/>
                <w:szCs w:val="20"/>
              </w:rPr>
            </w:pPr>
            <w:r>
              <w:rPr>
                <w:rFonts w:ascii="Arial"/>
                <w:spacing w:val="-1"/>
                <w:sz w:val="20"/>
              </w:rPr>
              <w:t>55,909,534</w:t>
            </w:r>
          </w:p>
        </w:tc>
      </w:tr>
      <w:tr>
        <w:trPr>
          <w:trHeight w:val="259"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26" w:lineRule="exact"/>
              <w:ind w:left="735" w:right="0"/>
              <w:jc w:val="left"/>
              <w:rPr>
                <w:rFonts w:ascii="黑体" w:hAnsi="黑体" w:cs="黑体" w:eastAsia="黑体" w:hint="default"/>
                <w:sz w:val="20"/>
                <w:szCs w:val="20"/>
              </w:rPr>
            </w:pPr>
            <w:r>
              <w:rPr>
                <w:rFonts w:ascii="黑体" w:hAnsi="黑体" w:cs="黑体" w:eastAsia="黑体" w:hint="default"/>
                <w:sz w:val="20"/>
                <w:szCs w:val="20"/>
              </w:rPr>
              <w:t>罚款净收入</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68"/>
              <w:jc w:val="right"/>
              <w:rPr>
                <w:rFonts w:ascii="Arial" w:hAnsi="Arial" w:cs="Arial" w:eastAsia="Arial" w:hint="default"/>
                <w:sz w:val="20"/>
                <w:szCs w:val="20"/>
              </w:rPr>
            </w:pPr>
            <w:r>
              <w:rPr>
                <w:rFonts w:ascii="Arial"/>
                <w:sz w:val="20"/>
              </w:rPr>
              <w:t>23,856</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1"/>
              <w:jc w:val="right"/>
              <w:rPr>
                <w:rFonts w:ascii="Arial" w:hAnsi="Arial" w:cs="Arial" w:eastAsia="Arial" w:hint="default"/>
                <w:sz w:val="20"/>
                <w:szCs w:val="20"/>
              </w:rPr>
            </w:pPr>
            <w:r>
              <w:rPr>
                <w:rFonts w:ascii="Arial"/>
                <w:sz w:val="20"/>
              </w:rPr>
              <w:t>25,948</w:t>
            </w:r>
          </w:p>
        </w:tc>
      </w:tr>
      <w:tr>
        <w:trPr>
          <w:trHeight w:val="389"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26" w:lineRule="exact"/>
              <w:ind w:left="735"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6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3"/>
                <w:sz w:val="20"/>
                <w:u w:val="single" w:color="000000"/>
              </w:rPr>
              <w:t> </w:t>
            </w:r>
            <w:r>
              <w:rPr>
                <w:rFonts w:ascii="Arial"/>
                <w:sz w:val="20"/>
                <w:u w:val="single" w:color="000000"/>
              </w:rPr>
              <w:t>2,285,073</w:t>
            </w:r>
            <w:r>
              <w:rPr>
                <w:rFonts w:ascii="Arial"/>
                <w:sz w:val="20"/>
              </w:rPr>
            </w:r>
          </w:p>
        </w:tc>
        <w:tc>
          <w:tcPr>
            <w:tcW w:w="1436"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8"/>
              <w:ind w:right="4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244,527</w:t>
            </w:r>
            <w:r>
              <w:rPr>
                <w:rFonts w:ascii="Arial"/>
                <w:sz w:val="20"/>
              </w:rPr>
            </w:r>
          </w:p>
        </w:tc>
      </w:tr>
      <w:tr>
        <w:trPr>
          <w:trHeight w:val="496" w:hRule="exact"/>
        </w:trPr>
        <w:tc>
          <w:tcPr>
            <w:tcW w:w="5323" w:type="dxa"/>
            <w:tcBorders>
              <w:top w:val="nil" w:sz="6" w:space="0" w:color="auto"/>
              <w:left w:val="nil" w:sz="6" w:space="0" w:color="auto"/>
              <w:bottom w:val="nil" w:sz="6" w:space="0" w:color="auto"/>
              <w:right w:val="nil" w:sz="6" w:space="0" w:color="auto"/>
            </w:tcBorders>
          </w:tcPr>
          <w:p>
            <w:pP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267"/>
              <w:jc w:val="right"/>
              <w:rPr>
                <w:rFonts w:ascii="Arial" w:hAnsi="Arial" w:cs="Arial" w:eastAsia="Arial" w:hint="default"/>
                <w:sz w:val="20"/>
                <w:szCs w:val="20"/>
              </w:rPr>
            </w:pPr>
            <w:r>
              <w:rPr>
                <w:rFonts w:ascii="Arial"/>
                <w:w w:val="100"/>
                <w:sz w:val="20"/>
              </w:rPr>
            </w:r>
            <w:r>
              <w:rPr>
                <w:rFonts w:ascii="Arial"/>
                <w:spacing w:val="-1"/>
                <w:sz w:val="20"/>
                <w:u w:val="thick" w:color="000000"/>
              </w:rPr>
              <w:t>174,115,646</w:t>
            </w:r>
            <w:r>
              <w:rPr>
                <w:rFonts w:ascii="Arial"/>
                <w:spacing w:val="-1"/>
                <w:sz w:val="20"/>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40"/>
              <w:jc w:val="right"/>
              <w:rPr>
                <w:rFonts w:ascii="Arial" w:hAnsi="Arial" w:cs="Arial" w:eastAsia="Arial" w:hint="default"/>
                <w:sz w:val="20"/>
                <w:szCs w:val="20"/>
              </w:rPr>
            </w:pPr>
            <w:r>
              <w:rPr>
                <w:rFonts w:ascii="Arial"/>
                <w:w w:val="100"/>
                <w:sz w:val="20"/>
              </w:rPr>
            </w:r>
            <w:r>
              <w:rPr>
                <w:rFonts w:ascii="Arial"/>
                <w:spacing w:val="-1"/>
                <w:sz w:val="20"/>
                <w:u w:val="thick" w:color="000000"/>
              </w:rPr>
              <w:t>208,969,356</w:t>
            </w:r>
            <w:r>
              <w:rPr>
                <w:rFonts w:ascii="Arial"/>
                <w:spacing w:val="-1"/>
                <w:sz w:val="20"/>
              </w:rPr>
            </w:r>
          </w:p>
        </w:tc>
      </w:tr>
      <w:tr>
        <w:trPr>
          <w:trHeight w:val="485"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749" w:right="0"/>
              <w:jc w:val="left"/>
              <w:rPr>
                <w:rFonts w:ascii="黑体" w:hAnsi="黑体" w:cs="黑体" w:eastAsia="黑体" w:hint="default"/>
                <w:sz w:val="20"/>
                <w:szCs w:val="20"/>
              </w:rPr>
            </w:pPr>
            <w:r>
              <w:rPr>
                <w:rFonts w:ascii="黑体" w:hAnsi="黑体" w:cs="黑体" w:eastAsia="黑体" w:hint="default"/>
                <w:sz w:val="20"/>
                <w:szCs w:val="20"/>
              </w:rPr>
              <w:t>计入当期损益的政府补助如下：</w:t>
            </w:r>
          </w:p>
        </w:tc>
        <w:tc>
          <w:tcPr>
            <w:tcW w:w="1814"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
        </w:tc>
      </w:tr>
      <w:tr>
        <w:trPr>
          <w:trHeight w:val="506" w:hRule="exact"/>
        </w:trPr>
        <w:tc>
          <w:tcPr>
            <w:tcW w:w="5323" w:type="dxa"/>
            <w:tcBorders>
              <w:top w:val="nil" w:sz="6" w:space="0" w:color="auto"/>
              <w:left w:val="nil" w:sz="6" w:space="0" w:color="auto"/>
              <w:bottom w:val="nil" w:sz="6" w:space="0" w:color="auto"/>
              <w:right w:val="nil" w:sz="6" w:space="0" w:color="auto"/>
            </w:tcBorders>
          </w:tcPr>
          <w:p>
            <w:pP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6"/>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2"/>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905"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60" w:lineRule="exact" w:before="117"/>
              <w:ind w:left="748" w:right="430"/>
              <w:jc w:val="left"/>
              <w:rPr>
                <w:rFonts w:ascii="黑体" w:hAnsi="黑体" w:cs="黑体" w:eastAsia="黑体" w:hint="default"/>
                <w:sz w:val="20"/>
                <w:szCs w:val="20"/>
              </w:rPr>
            </w:pPr>
            <w:r>
              <w:rPr>
                <w:rFonts w:ascii="黑体" w:hAnsi="黑体" w:cs="黑体" w:eastAsia="黑体" w:hint="default"/>
                <w:sz w:val="20"/>
                <w:szCs w:val="20"/>
              </w:rPr>
              <w:t>北京市高新技术成果转化项目基金</w:t>
            </w:r>
            <w:r>
              <w:rPr>
                <w:rFonts w:ascii="黑体" w:hAnsi="黑体" w:cs="黑体" w:eastAsia="黑体" w:hint="default"/>
                <w:w w:val="100"/>
                <w:sz w:val="20"/>
                <w:szCs w:val="20"/>
              </w:rPr>
              <w:t> </w:t>
            </w:r>
            <w:r>
              <w:rPr>
                <w:rFonts w:ascii="黑体" w:hAnsi="黑体" w:cs="黑体" w:eastAsia="黑体" w:hint="default"/>
                <w:spacing w:val="-5"/>
                <w:w w:val="100"/>
                <w:sz w:val="20"/>
                <w:szCs w:val="20"/>
              </w:rPr>
              <w:t>北京市科学技术委员会“基于</w:t>
            </w:r>
            <w:r>
              <w:rPr>
                <w:rFonts w:ascii="Arial" w:hAnsi="Arial" w:cs="Arial" w:eastAsia="Arial" w:hint="default"/>
                <w:spacing w:val="-5"/>
                <w:w w:val="100"/>
                <w:sz w:val="20"/>
                <w:szCs w:val="20"/>
              </w:rPr>
              <w:t>SOA</w:t>
            </w:r>
            <w:r>
              <w:rPr>
                <w:rFonts w:ascii="黑体" w:hAnsi="黑体" w:cs="黑体" w:eastAsia="黑体" w:hint="default"/>
                <w:spacing w:val="-5"/>
                <w:w w:val="100"/>
                <w:sz w:val="20"/>
                <w:szCs w:val="20"/>
              </w:rPr>
              <w:t>架构的新一代</w:t>
            </w:r>
          </w:p>
          <w:p>
            <w:pPr>
              <w:pStyle w:val="TableParagraph"/>
              <w:spacing w:line="249" w:lineRule="exact"/>
              <w:ind w:left="959" w:right="0"/>
              <w:jc w:val="left"/>
              <w:rPr>
                <w:rFonts w:ascii="黑体" w:hAnsi="黑体" w:cs="黑体" w:eastAsia="黑体" w:hint="default"/>
                <w:sz w:val="20"/>
                <w:szCs w:val="20"/>
              </w:rPr>
            </w:pPr>
            <w:r>
              <w:rPr>
                <w:rFonts w:ascii="黑体" w:hAnsi="黑体" w:cs="黑体" w:eastAsia="黑体" w:hint="default"/>
                <w:sz w:val="20"/>
                <w:szCs w:val="20"/>
              </w:rPr>
              <w:t>企业管理应用系统</w:t>
            </w:r>
            <w:r>
              <w:rPr>
                <w:rFonts w:ascii="Arial" w:hAnsi="Arial" w:cs="Arial" w:eastAsia="Arial" w:hint="default"/>
                <w:sz w:val="20"/>
                <w:szCs w:val="20"/>
              </w:rPr>
              <w:t>(U9)</w:t>
            </w:r>
            <w:r>
              <w:rPr>
                <w:rFonts w:ascii="黑体" w:hAnsi="黑体" w:cs="黑体" w:eastAsia="黑体" w:hint="default"/>
                <w:sz w:val="20"/>
                <w:szCs w:val="20"/>
              </w:rPr>
              <w:t>研发及产业化”</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16" w:right="0"/>
              <w:jc w:val="center"/>
              <w:rPr>
                <w:rFonts w:ascii="Arial" w:hAnsi="Arial" w:cs="Arial" w:eastAsia="Arial" w:hint="default"/>
                <w:sz w:val="20"/>
                <w:szCs w:val="20"/>
              </w:rPr>
            </w:pPr>
            <w:r>
              <w:rPr>
                <w:rFonts w:ascii="Arial"/>
                <w:sz w:val="20"/>
              </w:rPr>
              <w:t>16,105,200</w:t>
            </w:r>
          </w:p>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left="328" w:right="0"/>
              <w:jc w:val="center"/>
              <w:rPr>
                <w:rFonts w:ascii="Arial" w:hAnsi="Arial" w:cs="Arial" w:eastAsia="Arial" w:hint="default"/>
                <w:sz w:val="20"/>
                <w:szCs w:val="20"/>
              </w:rPr>
            </w:pPr>
            <w:r>
              <w:rPr>
                <w:rFonts w:ascii="Arial"/>
                <w:sz w:val="20"/>
              </w:rPr>
              <w:t>7,336,300</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53"/>
              <w:jc w:val="right"/>
              <w:rPr>
                <w:rFonts w:ascii="Arial" w:hAnsi="Arial" w:cs="Arial" w:eastAsia="Arial" w:hint="default"/>
                <w:sz w:val="20"/>
                <w:szCs w:val="20"/>
              </w:rPr>
            </w:pPr>
            <w:r>
              <w:rPr>
                <w:rFonts w:ascii="Arial"/>
                <w:spacing w:val="-1"/>
                <w:sz w:val="20"/>
              </w:rPr>
              <w:t>26,849,600</w:t>
            </w:r>
          </w:p>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right="53"/>
              <w:jc w:val="right"/>
              <w:rPr>
                <w:rFonts w:ascii="Arial" w:hAnsi="Arial" w:cs="Arial" w:eastAsia="Arial" w:hint="default"/>
                <w:sz w:val="20"/>
                <w:szCs w:val="20"/>
              </w:rPr>
            </w:pPr>
            <w:r>
              <w:rPr>
                <w:rFonts w:ascii="Arial"/>
                <w:w w:val="100"/>
                <w:sz w:val="20"/>
              </w:rPr>
              <w:t>-</w:t>
            </w:r>
          </w:p>
        </w:tc>
      </w:tr>
      <w:tr>
        <w:trPr>
          <w:trHeight w:val="518"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31" w:lineRule="exact"/>
              <w:ind w:left="315" w:right="0"/>
              <w:jc w:val="center"/>
              <w:rPr>
                <w:rFonts w:ascii="黑体" w:hAnsi="黑体" w:cs="黑体" w:eastAsia="黑体" w:hint="default"/>
                <w:sz w:val="20"/>
                <w:szCs w:val="20"/>
              </w:rPr>
            </w:pPr>
            <w:r>
              <w:rPr>
                <w:rFonts w:ascii="黑体" w:hAnsi="黑体" w:cs="黑体" w:eastAsia="黑体" w:hint="default"/>
                <w:w w:val="100"/>
                <w:sz w:val="20"/>
                <w:szCs w:val="20"/>
              </w:rPr>
              <w:t>北京市</w:t>
            </w:r>
            <w:r>
              <w:rPr>
                <w:rFonts w:ascii="黑体" w:hAnsi="黑体" w:cs="黑体" w:eastAsia="黑体" w:hint="default"/>
                <w:spacing w:val="-2"/>
                <w:w w:val="100"/>
                <w:sz w:val="20"/>
                <w:szCs w:val="20"/>
              </w:rPr>
              <w:t>发</w:t>
            </w:r>
            <w:r>
              <w:rPr>
                <w:rFonts w:ascii="黑体" w:hAnsi="黑体" w:cs="黑体" w:eastAsia="黑体" w:hint="default"/>
                <w:w w:val="100"/>
                <w:sz w:val="20"/>
                <w:szCs w:val="20"/>
              </w:rPr>
              <w:t>展</w:t>
            </w:r>
            <w:r>
              <w:rPr>
                <w:rFonts w:ascii="黑体" w:hAnsi="黑体" w:cs="黑体" w:eastAsia="黑体" w:hint="default"/>
                <w:spacing w:val="-2"/>
                <w:w w:val="100"/>
                <w:sz w:val="20"/>
                <w:szCs w:val="20"/>
              </w:rPr>
              <w:t>与</w:t>
            </w:r>
            <w:r>
              <w:rPr>
                <w:rFonts w:ascii="黑体" w:hAnsi="黑体" w:cs="黑体" w:eastAsia="黑体" w:hint="default"/>
                <w:w w:val="100"/>
                <w:sz w:val="20"/>
                <w:szCs w:val="20"/>
              </w:rPr>
              <w:t>改革委</w:t>
            </w:r>
            <w:r>
              <w:rPr>
                <w:rFonts w:ascii="黑体" w:hAnsi="黑体" w:cs="黑体" w:eastAsia="黑体" w:hint="default"/>
                <w:spacing w:val="-2"/>
                <w:w w:val="100"/>
                <w:sz w:val="20"/>
                <w:szCs w:val="20"/>
              </w:rPr>
              <w:t>员</w:t>
            </w:r>
            <w:r>
              <w:rPr>
                <w:rFonts w:ascii="黑体" w:hAnsi="黑体" w:cs="黑体" w:eastAsia="黑体" w:hint="default"/>
                <w:spacing w:val="-82"/>
                <w:w w:val="100"/>
                <w:sz w:val="20"/>
                <w:szCs w:val="20"/>
              </w:rPr>
              <w:t>会</w:t>
            </w:r>
            <w:r>
              <w:rPr>
                <w:rFonts w:ascii="黑体" w:hAnsi="黑体" w:cs="黑体" w:eastAsia="黑体" w:hint="default"/>
                <w:spacing w:val="-2"/>
                <w:w w:val="100"/>
                <w:sz w:val="20"/>
                <w:szCs w:val="20"/>
              </w:rPr>
              <w:t>“</w:t>
            </w:r>
            <w:r>
              <w:rPr>
                <w:rFonts w:ascii="黑体" w:hAnsi="黑体" w:cs="黑体" w:eastAsia="黑体" w:hint="default"/>
                <w:w w:val="100"/>
                <w:sz w:val="20"/>
                <w:szCs w:val="20"/>
              </w:rPr>
              <w:t>基于</w:t>
            </w:r>
            <w:r>
              <w:rPr>
                <w:rFonts w:ascii="Arial" w:hAnsi="Arial" w:cs="Arial" w:eastAsia="Arial" w:hint="default"/>
                <w:spacing w:val="-1"/>
                <w:w w:val="100"/>
                <w:sz w:val="20"/>
                <w:szCs w:val="20"/>
              </w:rPr>
              <w:t>SOA</w:t>
            </w:r>
            <w:r>
              <w:rPr>
                <w:rFonts w:ascii="黑体" w:hAnsi="黑体" w:cs="黑体" w:eastAsia="黑体" w:hint="default"/>
                <w:w w:val="100"/>
                <w:sz w:val="20"/>
                <w:szCs w:val="20"/>
              </w:rPr>
              <w:t>架</w:t>
            </w:r>
            <w:r>
              <w:rPr>
                <w:rFonts w:ascii="黑体" w:hAnsi="黑体" w:cs="黑体" w:eastAsia="黑体" w:hint="default"/>
                <w:spacing w:val="-2"/>
                <w:w w:val="100"/>
                <w:sz w:val="20"/>
                <w:szCs w:val="20"/>
              </w:rPr>
              <w:t>构</w:t>
            </w:r>
            <w:r>
              <w:rPr>
                <w:rFonts w:ascii="黑体" w:hAnsi="黑体" w:cs="黑体" w:eastAsia="黑体" w:hint="default"/>
                <w:w w:val="100"/>
                <w:sz w:val="20"/>
                <w:szCs w:val="20"/>
              </w:rPr>
              <w:t>的新一</w:t>
            </w:r>
          </w:p>
          <w:p>
            <w:pPr>
              <w:pStyle w:val="TableParagraph"/>
              <w:spacing w:line="268" w:lineRule="exact"/>
              <w:ind w:left="185" w:right="0"/>
              <w:jc w:val="center"/>
              <w:rPr>
                <w:rFonts w:ascii="黑体" w:hAnsi="黑体" w:cs="黑体" w:eastAsia="黑体" w:hint="default"/>
                <w:sz w:val="20"/>
                <w:szCs w:val="20"/>
              </w:rPr>
            </w:pPr>
            <w:r>
              <w:rPr>
                <w:rFonts w:ascii="黑体" w:hAnsi="黑体" w:cs="黑体" w:eastAsia="黑体" w:hint="default"/>
                <w:sz w:val="20"/>
                <w:szCs w:val="20"/>
              </w:rPr>
              <w:t>代企业管理应用系统</w:t>
            </w:r>
            <w:r>
              <w:rPr>
                <w:rFonts w:ascii="Arial" w:hAnsi="Arial" w:cs="Arial" w:eastAsia="Arial" w:hint="default"/>
                <w:sz w:val="20"/>
                <w:szCs w:val="20"/>
              </w:rPr>
              <w:t>(U9)</w:t>
            </w:r>
            <w:r>
              <w:rPr>
                <w:rFonts w:ascii="黑体" w:hAnsi="黑体" w:cs="黑体" w:eastAsia="黑体" w:hint="default"/>
                <w:sz w:val="20"/>
                <w:szCs w:val="20"/>
              </w:rPr>
              <w:t>研发及产业化”</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296"/>
              <w:jc w:val="right"/>
              <w:rPr>
                <w:rFonts w:ascii="Arial" w:hAnsi="Arial" w:cs="Arial" w:eastAsia="Arial" w:hint="default"/>
                <w:sz w:val="20"/>
                <w:szCs w:val="20"/>
              </w:rPr>
            </w:pPr>
            <w:r>
              <w:rPr>
                <w:rFonts w:ascii="Arial"/>
                <w:spacing w:val="-1"/>
                <w:sz w:val="20"/>
              </w:rPr>
              <w:t>3,000,000</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53"/>
              <w:jc w:val="right"/>
              <w:rPr>
                <w:rFonts w:ascii="Arial" w:hAnsi="Arial" w:cs="Arial" w:eastAsia="Arial" w:hint="default"/>
                <w:sz w:val="20"/>
                <w:szCs w:val="20"/>
              </w:rPr>
            </w:pPr>
            <w:r>
              <w:rPr>
                <w:rFonts w:ascii="Arial"/>
                <w:w w:val="100"/>
                <w:sz w:val="20"/>
              </w:rPr>
              <w:t>-</w:t>
            </w:r>
          </w:p>
        </w:tc>
      </w:tr>
      <w:tr>
        <w:trPr>
          <w:trHeight w:val="519"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31" w:lineRule="exact"/>
              <w:ind w:left="747" w:right="0"/>
              <w:jc w:val="left"/>
              <w:rPr>
                <w:rFonts w:ascii="黑体" w:hAnsi="黑体" w:cs="黑体" w:eastAsia="黑体" w:hint="default"/>
                <w:sz w:val="20"/>
                <w:szCs w:val="20"/>
              </w:rPr>
            </w:pPr>
            <w:r>
              <w:rPr>
                <w:rFonts w:ascii="黑体" w:hAnsi="黑体" w:cs="黑体" w:eastAsia="黑体" w:hint="default"/>
                <w:spacing w:val="-3"/>
                <w:sz w:val="20"/>
                <w:szCs w:val="20"/>
              </w:rPr>
              <w:t>国家</w:t>
            </w:r>
            <w:r>
              <w:rPr>
                <w:rFonts w:ascii="Arial" w:hAnsi="Arial" w:cs="Arial" w:eastAsia="Arial" w:hint="default"/>
                <w:spacing w:val="-3"/>
                <w:sz w:val="20"/>
                <w:szCs w:val="20"/>
              </w:rPr>
              <w:t>863</w:t>
            </w:r>
            <w:r>
              <w:rPr>
                <w:rFonts w:ascii="黑体" w:hAnsi="黑体" w:cs="黑体" w:eastAsia="黑体" w:hint="default"/>
                <w:spacing w:val="-3"/>
                <w:sz w:val="20"/>
                <w:szCs w:val="20"/>
              </w:rPr>
              <w:t>计划（企业协同系统研究费</w:t>
            </w:r>
            <w:r>
              <w:rPr>
                <w:rFonts w:ascii="Arial" w:hAnsi="Arial" w:cs="Arial" w:eastAsia="Arial" w:hint="default"/>
                <w:spacing w:val="-3"/>
                <w:sz w:val="20"/>
                <w:szCs w:val="20"/>
              </w:rPr>
              <w:t>/</w:t>
            </w:r>
            <w:r>
              <w:rPr>
                <w:rFonts w:ascii="黑体" w:hAnsi="黑体" w:cs="黑体" w:eastAsia="黑体" w:hint="default"/>
                <w:spacing w:val="-3"/>
                <w:sz w:val="20"/>
                <w:szCs w:val="20"/>
              </w:rPr>
              <w:t>电子信息产</w:t>
            </w:r>
          </w:p>
          <w:p>
            <w:pPr>
              <w:pStyle w:val="TableParagraph"/>
              <w:spacing w:line="253" w:lineRule="exact"/>
              <w:ind w:left="959" w:right="0"/>
              <w:jc w:val="left"/>
              <w:rPr>
                <w:rFonts w:ascii="黑体" w:hAnsi="黑体" w:cs="黑体" w:eastAsia="黑体" w:hint="default"/>
                <w:sz w:val="20"/>
                <w:szCs w:val="20"/>
              </w:rPr>
            </w:pPr>
            <w:r>
              <w:rPr>
                <w:rFonts w:ascii="黑体" w:hAnsi="黑体" w:cs="黑体" w:eastAsia="黑体" w:hint="default"/>
                <w:sz w:val="20"/>
                <w:szCs w:val="20"/>
              </w:rPr>
              <w:t>业发展基金）</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296"/>
              <w:jc w:val="right"/>
              <w:rPr>
                <w:rFonts w:ascii="Arial" w:hAnsi="Arial" w:cs="Arial" w:eastAsia="Arial" w:hint="default"/>
                <w:sz w:val="20"/>
                <w:szCs w:val="20"/>
              </w:rPr>
            </w:pPr>
            <w:r>
              <w:rPr>
                <w:rFonts w:ascii="Arial"/>
                <w:spacing w:val="-1"/>
                <w:sz w:val="20"/>
              </w:rPr>
              <w:t>3,556,000</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54"/>
              <w:jc w:val="right"/>
              <w:rPr>
                <w:rFonts w:ascii="Arial" w:hAnsi="Arial" w:cs="Arial" w:eastAsia="Arial" w:hint="default"/>
                <w:sz w:val="20"/>
                <w:szCs w:val="20"/>
              </w:rPr>
            </w:pPr>
            <w:r>
              <w:rPr>
                <w:rFonts w:ascii="Arial"/>
                <w:w w:val="100"/>
                <w:sz w:val="20"/>
              </w:rPr>
              <w:t>-</w:t>
            </w:r>
          </w:p>
        </w:tc>
      </w:tr>
      <w:tr>
        <w:trPr>
          <w:trHeight w:val="753"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25" w:lineRule="exact"/>
              <w:ind w:left="747" w:right="0"/>
              <w:jc w:val="left"/>
              <w:rPr>
                <w:rFonts w:ascii="黑体" w:hAnsi="黑体" w:cs="黑体" w:eastAsia="黑体" w:hint="default"/>
                <w:sz w:val="20"/>
                <w:szCs w:val="20"/>
              </w:rPr>
            </w:pPr>
            <w:r>
              <w:rPr>
                <w:rFonts w:ascii="黑体" w:hAnsi="黑体" w:cs="黑体" w:eastAsia="黑体" w:hint="default"/>
                <w:sz w:val="20"/>
                <w:szCs w:val="20"/>
              </w:rPr>
              <w:t>“以大带小”海淀区新型软件产业链发展模式</w:t>
            </w:r>
          </w:p>
          <w:p>
            <w:pPr>
              <w:pStyle w:val="TableParagraph"/>
              <w:spacing w:line="260" w:lineRule="exact" w:before="24"/>
              <w:ind w:left="959" w:right="561" w:hanging="212"/>
              <w:jc w:val="left"/>
              <w:rPr>
                <w:rFonts w:ascii="黑体" w:hAnsi="黑体" w:cs="黑体" w:eastAsia="黑体" w:hint="default"/>
                <w:sz w:val="20"/>
                <w:szCs w:val="20"/>
              </w:rPr>
            </w:pPr>
            <w:r>
              <w:rPr>
                <w:rFonts w:ascii="黑体" w:hAnsi="黑体" w:cs="黑体" w:eastAsia="黑体" w:hint="default"/>
                <w:spacing w:val="-1"/>
                <w:sz w:val="20"/>
                <w:szCs w:val="20"/>
              </w:rPr>
              <w:t>面向中小企业网络和移动应用的</w:t>
            </w:r>
            <w:r>
              <w:rPr>
                <w:rFonts w:ascii="Arial" w:hAnsi="Arial" w:cs="Arial" w:eastAsia="Arial" w:hint="default"/>
                <w:spacing w:val="-1"/>
                <w:sz w:val="20"/>
                <w:szCs w:val="20"/>
              </w:rPr>
              <w:t>ERP</w:t>
            </w:r>
            <w:r>
              <w:rPr>
                <w:rFonts w:ascii="黑体" w:hAnsi="黑体" w:cs="黑体" w:eastAsia="黑体" w:hint="default"/>
                <w:spacing w:val="-1"/>
                <w:sz w:val="20"/>
                <w:szCs w:val="20"/>
              </w:rPr>
              <w:t>系统产业</w:t>
            </w:r>
            <w:r>
              <w:rPr>
                <w:rFonts w:ascii="黑体" w:hAnsi="黑体" w:cs="黑体" w:eastAsia="黑体" w:hint="default"/>
                <w:spacing w:val="-84"/>
                <w:sz w:val="20"/>
                <w:szCs w:val="20"/>
              </w:rPr>
              <w:t> </w:t>
            </w:r>
            <w:r>
              <w:rPr>
                <w:rFonts w:ascii="黑体" w:hAnsi="黑体" w:cs="黑体" w:eastAsia="黑体" w:hint="default"/>
                <w:spacing w:val="-84"/>
                <w:sz w:val="20"/>
                <w:szCs w:val="20"/>
              </w:rPr>
            </w:r>
            <w:r>
              <w:rPr>
                <w:rFonts w:ascii="黑体" w:hAnsi="黑体" w:cs="黑体" w:eastAsia="黑体" w:hint="default"/>
                <w:sz w:val="20"/>
                <w:szCs w:val="20"/>
              </w:rPr>
              <w:t>化项目</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8"/>
              <w:ind w:left="625" w:right="0"/>
              <w:jc w:val="left"/>
              <w:rPr>
                <w:rFonts w:ascii="Arial" w:hAnsi="Arial" w:cs="Arial" w:eastAsia="Arial" w:hint="default"/>
                <w:sz w:val="20"/>
                <w:szCs w:val="20"/>
              </w:rPr>
            </w:pPr>
            <w:r>
              <w:rPr>
                <w:rFonts w:ascii="Arial"/>
                <w:sz w:val="20"/>
              </w:rPr>
              <w:t>1,000,000</w:t>
            </w:r>
          </w:p>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left="625" w:right="0"/>
              <w:jc w:val="left"/>
              <w:rPr>
                <w:rFonts w:ascii="Arial" w:hAnsi="Arial" w:cs="Arial" w:eastAsia="Arial" w:hint="default"/>
                <w:sz w:val="20"/>
                <w:szCs w:val="20"/>
              </w:rPr>
            </w:pPr>
            <w:r>
              <w:rPr>
                <w:rFonts w:ascii="Arial"/>
                <w:sz w:val="20"/>
              </w:rPr>
              <w:t>6,000,000</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w:t>
            </w:r>
          </w:p>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right="33"/>
              <w:jc w:val="right"/>
              <w:rPr>
                <w:rFonts w:ascii="Arial" w:hAnsi="Arial" w:cs="Arial" w:eastAsia="Arial" w:hint="default"/>
                <w:sz w:val="20"/>
                <w:szCs w:val="20"/>
              </w:rPr>
            </w:pPr>
            <w:r>
              <w:rPr>
                <w:rFonts w:ascii="Arial"/>
                <w:w w:val="100"/>
                <w:sz w:val="20"/>
              </w:rPr>
              <w:t>-</w:t>
            </w:r>
          </w:p>
        </w:tc>
      </w:tr>
      <w:tr>
        <w:trPr>
          <w:trHeight w:val="280"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50" w:lineRule="exact"/>
              <w:ind w:left="747" w:right="0"/>
              <w:jc w:val="left"/>
              <w:rPr>
                <w:rFonts w:ascii="黑体" w:hAnsi="黑体" w:cs="黑体" w:eastAsia="黑体" w:hint="default"/>
                <w:sz w:val="20"/>
                <w:szCs w:val="20"/>
              </w:rPr>
            </w:pPr>
            <w:r>
              <w:rPr>
                <w:rFonts w:ascii="黑体" w:hAnsi="黑体" w:cs="黑体" w:eastAsia="黑体" w:hint="default"/>
                <w:spacing w:val="-4"/>
                <w:sz w:val="20"/>
                <w:szCs w:val="20"/>
              </w:rPr>
              <w:t>北京高技术创业服务中心：基于移动应用技术的</w:t>
            </w:r>
          </w:p>
        </w:tc>
        <w:tc>
          <w:tcPr>
            <w:tcW w:w="1814"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
        </w:tc>
      </w:tr>
      <w:tr>
        <w:trPr>
          <w:trHeight w:val="263"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30" w:lineRule="exact"/>
              <w:ind w:left="959" w:right="0"/>
              <w:jc w:val="left"/>
              <w:rPr>
                <w:rFonts w:ascii="黑体" w:hAnsi="黑体" w:cs="黑体" w:eastAsia="黑体" w:hint="default"/>
                <w:sz w:val="20"/>
                <w:szCs w:val="20"/>
              </w:rPr>
            </w:pPr>
            <w:r>
              <w:rPr>
                <w:rFonts w:ascii="黑体" w:hAnsi="黑体" w:cs="黑体" w:eastAsia="黑体" w:hint="default"/>
                <w:sz w:val="20"/>
                <w:szCs w:val="20"/>
              </w:rPr>
              <w:t>企业管理信息系统的研发与应用</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96"/>
              <w:jc w:val="right"/>
              <w:rPr>
                <w:rFonts w:ascii="Arial" w:hAnsi="Arial" w:cs="Arial" w:eastAsia="Arial" w:hint="default"/>
                <w:sz w:val="20"/>
                <w:szCs w:val="20"/>
              </w:rPr>
            </w:pPr>
            <w:r>
              <w:rPr>
                <w:rFonts w:ascii="Arial"/>
                <w:spacing w:val="-1"/>
                <w:sz w:val="20"/>
              </w:rPr>
              <w:t>2,400,000</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4"/>
              <w:jc w:val="right"/>
              <w:rPr>
                <w:rFonts w:ascii="Arial" w:hAnsi="Arial" w:cs="Arial" w:eastAsia="Arial" w:hint="default"/>
                <w:sz w:val="20"/>
                <w:szCs w:val="20"/>
              </w:rPr>
            </w:pPr>
            <w:r>
              <w:rPr>
                <w:rFonts w:ascii="Arial"/>
                <w:w w:val="100"/>
                <w:sz w:val="20"/>
              </w:rPr>
              <w:t>-</w:t>
            </w:r>
          </w:p>
        </w:tc>
      </w:tr>
      <w:tr>
        <w:trPr>
          <w:trHeight w:val="259"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25" w:lineRule="exact"/>
              <w:ind w:left="747" w:right="0"/>
              <w:jc w:val="left"/>
              <w:rPr>
                <w:rFonts w:ascii="黑体" w:hAnsi="黑体" w:cs="黑体" w:eastAsia="黑体" w:hint="default"/>
                <w:sz w:val="20"/>
                <w:szCs w:val="20"/>
              </w:rPr>
            </w:pPr>
            <w:r>
              <w:rPr>
                <w:rFonts w:ascii="黑体" w:hAnsi="黑体" w:cs="黑体" w:eastAsia="黑体" w:hint="default"/>
                <w:sz w:val="20"/>
                <w:szCs w:val="20"/>
              </w:rPr>
              <w:t>班车补助</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96"/>
              <w:jc w:val="right"/>
              <w:rPr>
                <w:rFonts w:ascii="Arial" w:hAnsi="Arial" w:cs="Arial" w:eastAsia="Arial" w:hint="default"/>
                <w:sz w:val="20"/>
                <w:szCs w:val="20"/>
              </w:rPr>
            </w:pPr>
            <w:r>
              <w:rPr>
                <w:rFonts w:ascii="Arial"/>
                <w:spacing w:val="-1"/>
                <w:sz w:val="20"/>
              </w:rPr>
              <w:t>2,507,800</w:t>
            </w:r>
            <w:r>
              <w:rPr>
                <w:rFonts w:ascii="Arial"/>
                <w:sz w:val="20"/>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53"/>
              <w:jc w:val="right"/>
              <w:rPr>
                <w:rFonts w:ascii="Arial" w:hAnsi="Arial" w:cs="Arial" w:eastAsia="Arial" w:hint="default"/>
                <w:sz w:val="20"/>
                <w:szCs w:val="20"/>
              </w:rPr>
            </w:pPr>
            <w:r>
              <w:rPr>
                <w:rFonts w:ascii="Arial"/>
                <w:w w:val="100"/>
                <w:sz w:val="20"/>
              </w:rPr>
              <w:t>-</w:t>
            </w:r>
          </w:p>
        </w:tc>
      </w:tr>
      <w:tr>
        <w:trPr>
          <w:trHeight w:val="260"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26" w:lineRule="exact"/>
              <w:ind w:left="747" w:right="0"/>
              <w:jc w:val="left"/>
              <w:rPr>
                <w:rFonts w:ascii="黑体" w:hAnsi="黑体" w:cs="黑体" w:eastAsia="黑体" w:hint="default"/>
                <w:sz w:val="20"/>
                <w:szCs w:val="20"/>
              </w:rPr>
            </w:pPr>
            <w:r>
              <w:rPr>
                <w:rFonts w:ascii="黑体" w:hAnsi="黑体" w:cs="黑体" w:eastAsia="黑体" w:hint="default"/>
                <w:sz w:val="20"/>
                <w:szCs w:val="20"/>
              </w:rPr>
              <w:t>自主创新科技专项</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96"/>
              <w:jc w:val="right"/>
              <w:rPr>
                <w:rFonts w:ascii="Arial" w:hAnsi="Arial" w:cs="Arial" w:eastAsia="Arial" w:hint="default"/>
                <w:sz w:val="20"/>
                <w:szCs w:val="20"/>
              </w:rPr>
            </w:pPr>
            <w:r>
              <w:rPr>
                <w:rFonts w:ascii="Arial"/>
                <w:sz w:val="20"/>
              </w:rPr>
              <w:t>600,000</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4"/>
              <w:jc w:val="right"/>
              <w:rPr>
                <w:rFonts w:ascii="Arial" w:hAnsi="Arial" w:cs="Arial" w:eastAsia="Arial" w:hint="default"/>
                <w:sz w:val="20"/>
                <w:szCs w:val="20"/>
              </w:rPr>
            </w:pPr>
            <w:r>
              <w:rPr>
                <w:rFonts w:ascii="Arial"/>
                <w:w w:val="100"/>
                <w:sz w:val="20"/>
              </w:rPr>
              <w:t>-</w:t>
            </w:r>
          </w:p>
        </w:tc>
      </w:tr>
      <w:tr>
        <w:trPr>
          <w:trHeight w:val="260"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27" w:lineRule="exact"/>
              <w:ind w:left="747" w:right="0"/>
              <w:jc w:val="left"/>
              <w:rPr>
                <w:rFonts w:ascii="黑体" w:hAnsi="黑体" w:cs="黑体" w:eastAsia="黑体" w:hint="default"/>
                <w:sz w:val="20"/>
                <w:szCs w:val="20"/>
              </w:rPr>
            </w:pPr>
            <w:r>
              <w:rPr>
                <w:rFonts w:ascii="黑体" w:hAnsi="黑体" w:cs="黑体" w:eastAsia="黑体" w:hint="default"/>
                <w:sz w:val="20"/>
                <w:szCs w:val="20"/>
              </w:rPr>
              <w:t>营业税返还</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96"/>
              <w:jc w:val="right"/>
              <w:rPr>
                <w:rFonts w:ascii="Arial" w:hAnsi="Arial" w:cs="Arial" w:eastAsia="Arial" w:hint="default"/>
                <w:sz w:val="20"/>
                <w:szCs w:val="20"/>
              </w:rPr>
            </w:pPr>
            <w:r>
              <w:rPr>
                <w:rFonts w:ascii="Arial"/>
                <w:spacing w:val="-1"/>
                <w:sz w:val="20"/>
              </w:rPr>
              <w:t>1,030,000</w:t>
            </w:r>
            <w:r>
              <w:rPr>
                <w:rFonts w:ascii="Arial"/>
                <w:sz w:val="20"/>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3"/>
              <w:jc w:val="right"/>
              <w:rPr>
                <w:rFonts w:ascii="Arial" w:hAnsi="Arial" w:cs="Arial" w:eastAsia="Arial" w:hint="default"/>
                <w:sz w:val="20"/>
                <w:szCs w:val="20"/>
              </w:rPr>
            </w:pPr>
            <w:r>
              <w:rPr>
                <w:rFonts w:ascii="Arial"/>
                <w:w w:val="100"/>
                <w:sz w:val="20"/>
              </w:rPr>
              <w:t>-</w:t>
            </w:r>
          </w:p>
        </w:tc>
      </w:tr>
      <w:tr>
        <w:trPr>
          <w:trHeight w:val="259"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26" w:lineRule="exact"/>
              <w:ind w:left="747" w:right="0"/>
              <w:jc w:val="left"/>
              <w:rPr>
                <w:rFonts w:ascii="黑体" w:hAnsi="黑体" w:cs="黑体" w:eastAsia="黑体" w:hint="default"/>
                <w:sz w:val="20"/>
                <w:szCs w:val="20"/>
              </w:rPr>
            </w:pPr>
            <w:r>
              <w:rPr>
                <w:rFonts w:ascii="黑体" w:hAnsi="黑体" w:cs="黑体" w:eastAsia="黑体" w:hint="default"/>
                <w:sz w:val="20"/>
                <w:szCs w:val="20"/>
              </w:rPr>
              <w:t>非公经济发展支持专项资金</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96"/>
              <w:jc w:val="right"/>
              <w:rPr>
                <w:rFonts w:ascii="Arial" w:hAnsi="Arial" w:cs="Arial" w:eastAsia="Arial" w:hint="default"/>
                <w:sz w:val="20"/>
                <w:szCs w:val="20"/>
              </w:rPr>
            </w:pPr>
            <w:r>
              <w:rPr>
                <w:rFonts w:ascii="Arial"/>
                <w:sz w:val="20"/>
              </w:rPr>
              <w:t>300,000</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3"/>
              <w:jc w:val="right"/>
              <w:rPr>
                <w:rFonts w:ascii="Arial" w:hAnsi="Arial" w:cs="Arial" w:eastAsia="Arial" w:hint="default"/>
                <w:sz w:val="20"/>
                <w:szCs w:val="20"/>
              </w:rPr>
            </w:pPr>
            <w:r>
              <w:rPr>
                <w:rFonts w:ascii="Arial"/>
                <w:w w:val="100"/>
                <w:sz w:val="20"/>
              </w:rPr>
              <w:t>-</w:t>
            </w:r>
          </w:p>
        </w:tc>
      </w:tr>
      <w:tr>
        <w:trPr>
          <w:trHeight w:val="778"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32" w:lineRule="exact"/>
              <w:ind w:left="747" w:right="0"/>
              <w:jc w:val="left"/>
              <w:rPr>
                <w:rFonts w:ascii="黑体" w:hAnsi="黑体" w:cs="黑体" w:eastAsia="黑体" w:hint="default"/>
                <w:sz w:val="20"/>
                <w:szCs w:val="20"/>
              </w:rPr>
            </w:pPr>
            <w:r>
              <w:rPr>
                <w:rFonts w:ascii="黑体" w:hAnsi="黑体" w:cs="黑体" w:eastAsia="黑体" w:hint="default"/>
                <w:sz w:val="20"/>
                <w:szCs w:val="20"/>
              </w:rPr>
              <w:t>北京市</w:t>
            </w:r>
            <w:r>
              <w:rPr>
                <w:rFonts w:ascii="Arial" w:hAnsi="Arial" w:cs="Arial" w:eastAsia="Arial" w:hint="default"/>
                <w:sz w:val="20"/>
                <w:szCs w:val="20"/>
              </w:rPr>
              <w:t>B2B</w:t>
            </w:r>
            <w:r>
              <w:rPr>
                <w:rFonts w:ascii="黑体" w:hAnsi="黑体" w:cs="黑体" w:eastAsia="黑体" w:hint="default"/>
                <w:sz w:val="20"/>
                <w:szCs w:val="20"/>
              </w:rPr>
              <w:t>在线商务平台</w:t>
            </w:r>
          </w:p>
          <w:p>
            <w:pPr>
              <w:pStyle w:val="TableParagraph"/>
              <w:spacing w:line="260" w:lineRule="exact" w:before="17"/>
              <w:ind w:left="959" w:right="492" w:hanging="212"/>
              <w:jc w:val="left"/>
              <w:rPr>
                <w:rFonts w:ascii="黑体" w:hAnsi="黑体" w:cs="黑体" w:eastAsia="黑体" w:hint="default"/>
                <w:sz w:val="20"/>
                <w:szCs w:val="20"/>
              </w:rPr>
            </w:pPr>
            <w:r>
              <w:rPr>
                <w:rFonts w:ascii="黑体" w:hAnsi="黑体" w:cs="黑体" w:eastAsia="黑体" w:hint="default"/>
                <w:spacing w:val="-1"/>
                <w:sz w:val="20"/>
                <w:szCs w:val="20"/>
              </w:rPr>
              <w:t>国家</w:t>
            </w:r>
            <w:r>
              <w:rPr>
                <w:rFonts w:ascii="Arial" w:hAnsi="Arial" w:cs="Arial" w:eastAsia="Arial" w:hint="default"/>
                <w:spacing w:val="-1"/>
                <w:sz w:val="20"/>
                <w:szCs w:val="20"/>
              </w:rPr>
              <w:t>863</w:t>
            </w:r>
            <w:r>
              <w:rPr>
                <w:rFonts w:ascii="黑体" w:hAnsi="黑体" w:cs="黑体" w:eastAsia="黑体" w:hint="default"/>
                <w:spacing w:val="-1"/>
                <w:sz w:val="20"/>
                <w:szCs w:val="20"/>
              </w:rPr>
              <w:t>计划（</w:t>
            </w:r>
            <w:r>
              <w:rPr>
                <w:rFonts w:ascii="Arial" w:hAnsi="Arial" w:cs="Arial" w:eastAsia="Arial" w:hint="default"/>
                <w:spacing w:val="-1"/>
                <w:sz w:val="20"/>
                <w:szCs w:val="20"/>
              </w:rPr>
              <w:t>ERP-U8</w:t>
            </w:r>
            <w:r>
              <w:rPr>
                <w:rFonts w:ascii="黑体" w:hAnsi="黑体" w:cs="黑体" w:eastAsia="黑体" w:hint="default"/>
                <w:spacing w:val="-1"/>
                <w:sz w:val="20"/>
                <w:szCs w:val="20"/>
              </w:rPr>
              <w:t>）以</w:t>
            </w:r>
            <w:r>
              <w:rPr>
                <w:rFonts w:ascii="Arial" w:hAnsi="Arial" w:cs="Arial" w:eastAsia="Arial" w:hint="default"/>
                <w:spacing w:val="-1"/>
                <w:sz w:val="20"/>
                <w:szCs w:val="20"/>
              </w:rPr>
              <w:t>ERP</w:t>
            </w:r>
            <w:r>
              <w:rPr>
                <w:rFonts w:ascii="黑体" w:hAnsi="黑体" w:cs="黑体" w:eastAsia="黑体" w:hint="default"/>
                <w:spacing w:val="-1"/>
                <w:sz w:val="20"/>
                <w:szCs w:val="20"/>
              </w:rPr>
              <w:t>为核心的企业</w:t>
            </w:r>
            <w:r>
              <w:rPr>
                <w:rFonts w:ascii="黑体" w:hAnsi="黑体" w:cs="黑体" w:eastAsia="黑体" w:hint="default"/>
                <w:spacing w:val="-84"/>
                <w:sz w:val="20"/>
                <w:szCs w:val="20"/>
              </w:rPr>
              <w:t> </w:t>
            </w:r>
            <w:r>
              <w:rPr>
                <w:rFonts w:ascii="黑体" w:hAnsi="黑体" w:cs="黑体" w:eastAsia="黑体" w:hint="default"/>
                <w:spacing w:val="-84"/>
                <w:sz w:val="20"/>
                <w:szCs w:val="20"/>
              </w:rPr>
            </w:r>
            <w:r>
              <w:rPr>
                <w:rFonts w:ascii="黑体" w:hAnsi="黑体" w:cs="黑体" w:eastAsia="黑体" w:hint="default"/>
                <w:sz w:val="20"/>
                <w:szCs w:val="20"/>
              </w:rPr>
              <w:t>应用集成平台及集成构件的开发与应用</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96"/>
              <w:jc w:val="right"/>
              <w:rPr>
                <w:rFonts w:ascii="Arial" w:hAnsi="Arial" w:cs="Arial" w:eastAsia="Arial" w:hint="default"/>
                <w:sz w:val="20"/>
                <w:szCs w:val="20"/>
              </w:rPr>
            </w:pPr>
            <w:r>
              <w:rPr>
                <w:rFonts w:ascii="Arial"/>
                <w:w w:val="100"/>
                <w:sz w:val="20"/>
              </w:rPr>
              <w:t>-</w:t>
            </w:r>
          </w:p>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right="296"/>
              <w:jc w:val="right"/>
              <w:rPr>
                <w:rFonts w:ascii="Arial" w:hAnsi="Arial" w:cs="Arial" w:eastAsia="Arial" w:hint="default"/>
                <w:sz w:val="20"/>
                <w:szCs w:val="20"/>
              </w:rPr>
            </w:pPr>
            <w:r>
              <w:rPr>
                <w:rFonts w:ascii="Arial"/>
                <w:w w:val="100"/>
                <w:sz w:val="20"/>
              </w:rPr>
              <w:t>-</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8"/>
              <w:ind w:left="489" w:right="0"/>
              <w:jc w:val="left"/>
              <w:rPr>
                <w:rFonts w:ascii="Arial" w:hAnsi="Arial" w:cs="Arial" w:eastAsia="Arial" w:hint="default"/>
                <w:sz w:val="20"/>
                <w:szCs w:val="20"/>
              </w:rPr>
            </w:pPr>
            <w:r>
              <w:rPr>
                <w:rFonts w:ascii="Arial"/>
                <w:sz w:val="20"/>
              </w:rPr>
              <w:t>5,000,000</w:t>
            </w:r>
          </w:p>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left="488" w:right="0"/>
              <w:jc w:val="left"/>
              <w:rPr>
                <w:rFonts w:ascii="Arial" w:hAnsi="Arial" w:cs="Arial" w:eastAsia="Arial" w:hint="default"/>
                <w:sz w:val="20"/>
                <w:szCs w:val="20"/>
              </w:rPr>
            </w:pPr>
            <w:r>
              <w:rPr>
                <w:rFonts w:ascii="Arial"/>
                <w:sz w:val="20"/>
              </w:rPr>
              <w:t>1,000,000</w:t>
            </w:r>
          </w:p>
        </w:tc>
      </w:tr>
      <w:tr>
        <w:trPr>
          <w:trHeight w:val="259"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25" w:lineRule="exact"/>
              <w:ind w:left="748" w:right="0"/>
              <w:jc w:val="left"/>
              <w:rPr>
                <w:rFonts w:ascii="黑体" w:hAnsi="黑体" w:cs="黑体" w:eastAsia="黑体" w:hint="default"/>
                <w:sz w:val="20"/>
                <w:szCs w:val="20"/>
              </w:rPr>
            </w:pPr>
            <w:r>
              <w:rPr>
                <w:rFonts w:ascii="黑体" w:hAnsi="黑体" w:cs="黑体" w:eastAsia="黑体" w:hint="default"/>
                <w:sz w:val="20"/>
                <w:szCs w:val="20"/>
              </w:rPr>
              <w:t>中国驰名商标、中国名牌产品称号一次性奖励</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95"/>
              <w:jc w:val="right"/>
              <w:rPr>
                <w:rFonts w:ascii="Arial" w:hAnsi="Arial" w:cs="Arial" w:eastAsia="Arial" w:hint="default"/>
                <w:sz w:val="20"/>
                <w:szCs w:val="20"/>
              </w:rPr>
            </w:pPr>
            <w:r>
              <w:rPr>
                <w:rFonts w:ascii="Arial"/>
                <w:w w:val="100"/>
                <w:sz w:val="20"/>
              </w:rPr>
              <w:t>-</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51"/>
              <w:jc w:val="right"/>
              <w:rPr>
                <w:rFonts w:ascii="Arial" w:hAnsi="Arial" w:cs="Arial" w:eastAsia="Arial" w:hint="default"/>
                <w:sz w:val="20"/>
                <w:szCs w:val="20"/>
              </w:rPr>
            </w:pPr>
            <w:r>
              <w:rPr>
                <w:rFonts w:ascii="Arial"/>
                <w:sz w:val="20"/>
              </w:rPr>
              <w:t>1,000,000</w:t>
            </w:r>
          </w:p>
        </w:tc>
      </w:tr>
      <w:tr>
        <w:trPr>
          <w:trHeight w:val="264" w:hRule="exact"/>
        </w:trPr>
        <w:tc>
          <w:tcPr>
            <w:tcW w:w="5323" w:type="dxa"/>
            <w:tcBorders>
              <w:top w:val="nil" w:sz="6" w:space="0" w:color="auto"/>
              <w:left w:val="nil" w:sz="6" w:space="0" w:color="auto"/>
              <w:bottom w:val="nil" w:sz="6" w:space="0" w:color="auto"/>
              <w:right w:val="nil" w:sz="6" w:space="0" w:color="auto"/>
            </w:tcBorders>
          </w:tcPr>
          <w:p>
            <w:pPr>
              <w:pStyle w:val="TableParagraph"/>
              <w:spacing w:line="226" w:lineRule="exact"/>
              <w:ind w:left="748"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1814" w:type="dxa"/>
            <w:tcBorders>
              <w:top w:val="nil" w:sz="6" w:space="0" w:color="auto"/>
              <w:left w:val="nil" w:sz="6" w:space="0" w:color="auto"/>
              <w:bottom w:val="nil" w:sz="6" w:space="0" w:color="auto"/>
              <w:right w:val="nil" w:sz="6" w:space="0" w:color="auto"/>
            </w:tcBorders>
          </w:tcPr>
          <w:p>
            <w:pPr>
              <w:pStyle w:val="TableParagraph"/>
              <w:tabs>
                <w:tab w:pos="299" w:val="left" w:leader="none"/>
              </w:tabs>
              <w:spacing w:line="240" w:lineRule="auto" w:before="8"/>
              <w:ind w:right="29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688,140</w:t>
            </w:r>
            <w:r>
              <w:rPr>
                <w:rFonts w:ascii="Arial"/>
                <w:sz w:val="20"/>
              </w:rPr>
            </w:r>
          </w:p>
        </w:tc>
        <w:tc>
          <w:tcPr>
            <w:tcW w:w="1436"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9"/>
              <w:ind w:right="5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937,007</w:t>
            </w:r>
            <w:r>
              <w:rPr>
                <w:rFonts w:ascii="Arial"/>
                <w:sz w:val="20"/>
              </w:rPr>
            </w:r>
          </w:p>
        </w:tc>
      </w:tr>
      <w:tr>
        <w:trPr>
          <w:trHeight w:val="329" w:hRule="exact"/>
        </w:trPr>
        <w:tc>
          <w:tcPr>
            <w:tcW w:w="5323" w:type="dxa"/>
            <w:tcBorders>
              <w:top w:val="nil" w:sz="6" w:space="0" w:color="auto"/>
              <w:left w:val="nil" w:sz="6" w:space="0" w:color="auto"/>
              <w:bottom w:val="nil" w:sz="6" w:space="0" w:color="auto"/>
              <w:right w:val="nil" w:sz="6" w:space="0" w:color="auto"/>
            </w:tcBorders>
          </w:tcPr>
          <w:p>
            <w:pP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96"/>
              <w:jc w:val="right"/>
              <w:rPr>
                <w:rFonts w:ascii="Arial" w:hAnsi="Arial" w:cs="Arial" w:eastAsia="Arial" w:hint="default"/>
                <w:sz w:val="20"/>
                <w:szCs w:val="20"/>
              </w:rPr>
            </w:pPr>
            <w:r>
              <w:rPr>
                <w:rFonts w:ascii="Arial"/>
                <w:w w:val="100"/>
                <w:sz w:val="20"/>
              </w:rPr>
            </w:r>
            <w:r>
              <w:rPr>
                <w:rFonts w:ascii="Arial"/>
                <w:spacing w:val="-1"/>
                <w:sz w:val="20"/>
                <w:u w:val="thick" w:color="000000"/>
              </w:rPr>
              <w:t>44,523,440</w:t>
            </w:r>
            <w:r>
              <w:rPr>
                <w:rFonts w:ascii="Arial"/>
                <w:spacing w:val="-1"/>
                <w:sz w:val="20"/>
              </w:rPr>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3"/>
              <w:jc w:val="right"/>
              <w:rPr>
                <w:rFonts w:ascii="Arial" w:hAnsi="Arial" w:cs="Arial" w:eastAsia="Arial" w:hint="default"/>
                <w:sz w:val="20"/>
                <w:szCs w:val="20"/>
              </w:rPr>
            </w:pPr>
            <w:r>
              <w:rPr>
                <w:rFonts w:ascii="Arial"/>
                <w:w w:val="100"/>
                <w:sz w:val="20"/>
              </w:rPr>
            </w:r>
            <w:r>
              <w:rPr>
                <w:rFonts w:ascii="Arial"/>
                <w:spacing w:val="-1"/>
                <w:sz w:val="20"/>
                <w:u w:val="thick" w:color="000000"/>
              </w:rPr>
              <w:t>34,786,607</w:t>
            </w:r>
            <w:r>
              <w:rPr>
                <w:rFonts w:ascii="Arial"/>
                <w:spacing w:val="-1"/>
                <w:sz w:val="20"/>
              </w:rPr>
            </w:r>
          </w:p>
        </w:tc>
      </w:tr>
    </w:tbl>
    <w:p>
      <w:pPr>
        <w:spacing w:after="0" w:line="240" w:lineRule="auto"/>
        <w:jc w:val="right"/>
        <w:rPr>
          <w:rFonts w:ascii="Arial" w:hAnsi="Arial" w:cs="Arial" w:eastAsia="Arial" w:hint="default"/>
          <w:sz w:val="20"/>
          <w:szCs w:val="20"/>
        </w:rPr>
        <w:sectPr>
          <w:pgSz w:w="11910" w:h="16840"/>
          <w:pgMar w:header="958" w:footer="466" w:top="2560" w:bottom="660" w:left="156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6"/>
        <w:rPr>
          <w:rFonts w:ascii="黑体" w:hAnsi="黑体" w:cs="黑体" w:eastAsia="黑体" w:hint="default"/>
          <w:b/>
          <w:bCs/>
          <w:sz w:val="14"/>
          <w:szCs w:val="14"/>
        </w:rPr>
      </w:pPr>
    </w:p>
    <w:tbl>
      <w:tblPr>
        <w:tblW w:w="0" w:type="auto"/>
        <w:jc w:val="left"/>
        <w:tblInd w:w="106" w:type="dxa"/>
        <w:tblLayout w:type="fixed"/>
        <w:tblCellMar>
          <w:top w:w="0" w:type="dxa"/>
          <w:left w:w="0" w:type="dxa"/>
          <w:bottom w:w="0" w:type="dxa"/>
          <w:right w:w="0" w:type="dxa"/>
        </w:tblCellMar>
        <w:tblLook w:val="01E0"/>
      </w:tblPr>
      <w:tblGrid>
        <w:gridCol w:w="586"/>
        <w:gridCol w:w="4448"/>
        <w:gridCol w:w="2129"/>
        <w:gridCol w:w="1502"/>
      </w:tblGrid>
      <w:tr>
        <w:trPr>
          <w:trHeight w:val="951" w:hRule="exact"/>
        </w:trPr>
        <w:tc>
          <w:tcPr>
            <w:tcW w:w="58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Arial" w:hAnsi="Arial" w:cs="Arial" w:eastAsia="Arial" w:hint="default"/>
                <w:sz w:val="20"/>
                <w:szCs w:val="20"/>
              </w:rPr>
            </w:pPr>
            <w:r>
              <w:rPr>
                <w:rFonts w:ascii="Arial"/>
                <w:b/>
                <w:sz w:val="20"/>
              </w:rPr>
              <w:t>34.</w:t>
            </w:r>
            <w:r>
              <w:rPr>
                <w:rFonts w:ascii="Arial"/>
                <w:sz w:val="20"/>
              </w:rPr>
            </w:r>
          </w:p>
        </w:tc>
        <w:tc>
          <w:tcPr>
            <w:tcW w:w="444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7" w:right="0"/>
              <w:jc w:val="left"/>
              <w:rPr>
                <w:rFonts w:ascii="黑体" w:hAnsi="黑体" w:cs="黑体" w:eastAsia="黑体" w:hint="default"/>
                <w:sz w:val="20"/>
                <w:szCs w:val="20"/>
              </w:rPr>
            </w:pPr>
            <w:r>
              <w:rPr>
                <w:rFonts w:ascii="黑体" w:hAnsi="黑体" w:cs="黑体" w:eastAsia="黑体" w:hint="default"/>
                <w:b/>
                <w:bCs/>
                <w:sz w:val="20"/>
                <w:szCs w:val="20"/>
              </w:rPr>
              <w:t>营业外支出</w:t>
            </w:r>
            <w:r>
              <w:rPr>
                <w:rFonts w:ascii="黑体" w:hAnsi="黑体" w:cs="黑体" w:eastAsia="黑体" w:hint="default"/>
                <w:sz w:val="20"/>
                <w:szCs w:val="20"/>
              </w:rPr>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5"/>
              <w:ind w:right="0"/>
              <w:jc w:val="left"/>
              <w:rPr>
                <w:rFonts w:ascii="黑体" w:hAnsi="黑体" w:cs="黑体" w:eastAsia="黑体" w:hint="default"/>
                <w:b/>
                <w:bCs/>
                <w:sz w:val="20"/>
                <w:szCs w:val="20"/>
              </w:rPr>
            </w:pPr>
          </w:p>
          <w:p>
            <w:pPr>
              <w:pStyle w:val="TableParagraph"/>
              <w:spacing w:line="240" w:lineRule="auto"/>
              <w:ind w:right="249"/>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5"/>
              <w:ind w:right="0"/>
              <w:jc w:val="left"/>
              <w:rPr>
                <w:rFonts w:ascii="黑体" w:hAnsi="黑体" w:cs="黑体" w:eastAsia="黑体" w:hint="default"/>
                <w:b/>
                <w:bCs/>
                <w:sz w:val="20"/>
                <w:szCs w:val="20"/>
              </w:rPr>
            </w:pPr>
          </w:p>
          <w:p>
            <w:pPr>
              <w:pStyle w:val="TableParagraph"/>
              <w:spacing w:line="240" w:lineRule="auto"/>
              <w:ind w:right="131"/>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386"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50" w:right="0"/>
              <w:jc w:val="left"/>
              <w:rPr>
                <w:rFonts w:ascii="黑体" w:hAnsi="黑体" w:cs="黑体" w:eastAsia="黑体" w:hint="default"/>
                <w:sz w:val="20"/>
                <w:szCs w:val="20"/>
              </w:rPr>
            </w:pPr>
            <w:r>
              <w:rPr>
                <w:rFonts w:ascii="黑体" w:hAnsi="黑体" w:cs="黑体" w:eastAsia="黑体" w:hint="default"/>
                <w:sz w:val="20"/>
                <w:szCs w:val="20"/>
              </w:rPr>
              <w:t>注销分公司的净损失</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49"/>
              <w:jc w:val="right"/>
              <w:rPr>
                <w:rFonts w:ascii="Arial" w:hAnsi="Arial" w:cs="Arial" w:eastAsia="Arial" w:hint="default"/>
                <w:sz w:val="20"/>
                <w:szCs w:val="20"/>
              </w:rPr>
            </w:pPr>
            <w:r>
              <w:rPr>
                <w:rFonts w:ascii="Arial"/>
                <w:spacing w:val="-1"/>
                <w:sz w:val="20"/>
              </w:rPr>
              <w:t>3,321,974</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32"/>
              <w:jc w:val="right"/>
              <w:rPr>
                <w:rFonts w:ascii="Arial" w:hAnsi="Arial" w:cs="Arial" w:eastAsia="Arial" w:hint="default"/>
                <w:sz w:val="20"/>
                <w:szCs w:val="20"/>
              </w:rPr>
            </w:pPr>
            <w:r>
              <w:rPr>
                <w:rFonts w:ascii="Arial"/>
                <w:w w:val="100"/>
                <w:sz w:val="20"/>
              </w:rPr>
              <w:t>-</w:t>
            </w:r>
          </w:p>
        </w:tc>
      </w:tr>
      <w:tr>
        <w:trPr>
          <w:trHeight w:val="259"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26" w:lineRule="exact"/>
              <w:ind w:left="158" w:right="0"/>
              <w:jc w:val="left"/>
              <w:rPr>
                <w:rFonts w:ascii="黑体" w:hAnsi="黑体" w:cs="黑体" w:eastAsia="黑体" w:hint="default"/>
                <w:sz w:val="20"/>
                <w:szCs w:val="20"/>
              </w:rPr>
            </w:pPr>
            <w:r>
              <w:rPr>
                <w:rFonts w:ascii="黑体" w:hAnsi="黑体" w:cs="黑体" w:eastAsia="黑体" w:hint="default"/>
                <w:sz w:val="20"/>
                <w:szCs w:val="20"/>
              </w:rPr>
              <w:t>处置固定资产净损失</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49"/>
              <w:jc w:val="right"/>
              <w:rPr>
                <w:rFonts w:ascii="Arial" w:hAnsi="Arial" w:cs="Arial" w:eastAsia="Arial" w:hint="default"/>
                <w:sz w:val="20"/>
                <w:szCs w:val="20"/>
              </w:rPr>
            </w:pPr>
            <w:r>
              <w:rPr>
                <w:rFonts w:ascii="Arial"/>
                <w:spacing w:val="-1"/>
                <w:sz w:val="20"/>
              </w:rPr>
              <w:t>986,245</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31"/>
              <w:jc w:val="right"/>
              <w:rPr>
                <w:rFonts w:ascii="Arial" w:hAnsi="Arial" w:cs="Arial" w:eastAsia="Arial" w:hint="default"/>
                <w:sz w:val="20"/>
                <w:szCs w:val="20"/>
              </w:rPr>
            </w:pPr>
            <w:r>
              <w:rPr>
                <w:rFonts w:ascii="Arial"/>
                <w:spacing w:val="-1"/>
                <w:sz w:val="20"/>
              </w:rPr>
              <w:t>2,235,131</w:t>
            </w:r>
          </w:p>
        </w:tc>
      </w:tr>
      <w:tr>
        <w:trPr>
          <w:trHeight w:val="259"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26" w:lineRule="exact"/>
              <w:ind w:left="158" w:right="0"/>
              <w:jc w:val="left"/>
              <w:rPr>
                <w:rFonts w:ascii="黑体" w:hAnsi="黑体" w:cs="黑体" w:eastAsia="黑体" w:hint="default"/>
                <w:sz w:val="20"/>
                <w:szCs w:val="20"/>
              </w:rPr>
            </w:pPr>
            <w:r>
              <w:rPr>
                <w:rFonts w:ascii="黑体" w:hAnsi="黑体" w:cs="黑体" w:eastAsia="黑体" w:hint="default"/>
                <w:sz w:val="20"/>
                <w:szCs w:val="20"/>
              </w:rPr>
              <w:t>罚款支出</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49"/>
              <w:jc w:val="right"/>
              <w:rPr>
                <w:rFonts w:ascii="Arial" w:hAnsi="Arial" w:cs="Arial" w:eastAsia="Arial" w:hint="default"/>
                <w:sz w:val="20"/>
                <w:szCs w:val="20"/>
              </w:rPr>
            </w:pPr>
            <w:r>
              <w:rPr>
                <w:rFonts w:ascii="Arial"/>
                <w:spacing w:val="-1"/>
                <w:sz w:val="20"/>
              </w:rPr>
              <w:t>469,471</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31"/>
              <w:jc w:val="right"/>
              <w:rPr>
                <w:rFonts w:ascii="Arial" w:hAnsi="Arial" w:cs="Arial" w:eastAsia="Arial" w:hint="default"/>
                <w:sz w:val="20"/>
                <w:szCs w:val="20"/>
              </w:rPr>
            </w:pPr>
            <w:r>
              <w:rPr>
                <w:rFonts w:ascii="Arial"/>
                <w:sz w:val="20"/>
              </w:rPr>
              <w:t>2,932</w:t>
            </w:r>
          </w:p>
        </w:tc>
      </w:tr>
      <w:tr>
        <w:trPr>
          <w:trHeight w:val="259"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26" w:lineRule="exact"/>
              <w:ind w:left="158" w:right="0"/>
              <w:jc w:val="left"/>
              <w:rPr>
                <w:rFonts w:ascii="黑体" w:hAnsi="黑体" w:cs="黑体" w:eastAsia="黑体" w:hint="default"/>
                <w:sz w:val="20"/>
                <w:szCs w:val="20"/>
              </w:rPr>
            </w:pPr>
            <w:r>
              <w:rPr>
                <w:rFonts w:ascii="黑体" w:hAnsi="黑体" w:cs="黑体" w:eastAsia="黑体" w:hint="default"/>
                <w:sz w:val="20"/>
                <w:szCs w:val="20"/>
              </w:rPr>
              <w:t>捐赠支出</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49"/>
              <w:jc w:val="right"/>
              <w:rPr>
                <w:rFonts w:ascii="Arial" w:hAnsi="Arial" w:cs="Arial" w:eastAsia="Arial" w:hint="default"/>
                <w:sz w:val="20"/>
                <w:szCs w:val="20"/>
              </w:rPr>
            </w:pPr>
            <w:r>
              <w:rPr>
                <w:rFonts w:ascii="Arial"/>
                <w:sz w:val="20"/>
              </w:rPr>
              <w:t>11,300</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32"/>
              <w:jc w:val="right"/>
              <w:rPr>
                <w:rFonts w:ascii="Arial" w:hAnsi="Arial" w:cs="Arial" w:eastAsia="Arial" w:hint="default"/>
                <w:sz w:val="20"/>
                <w:szCs w:val="20"/>
              </w:rPr>
            </w:pPr>
            <w:r>
              <w:rPr>
                <w:rFonts w:ascii="Arial"/>
                <w:spacing w:val="-1"/>
                <w:sz w:val="20"/>
              </w:rPr>
              <w:t>549,266</w:t>
            </w:r>
          </w:p>
        </w:tc>
      </w:tr>
      <w:tr>
        <w:trPr>
          <w:trHeight w:val="259"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26" w:lineRule="exact"/>
              <w:ind w:left="158" w:right="0"/>
              <w:jc w:val="left"/>
              <w:rPr>
                <w:rFonts w:ascii="黑体" w:hAnsi="黑体" w:cs="黑体" w:eastAsia="黑体" w:hint="default"/>
                <w:sz w:val="20"/>
                <w:szCs w:val="20"/>
              </w:rPr>
            </w:pPr>
            <w:r>
              <w:rPr>
                <w:rFonts w:ascii="黑体" w:hAnsi="黑体" w:cs="黑体" w:eastAsia="黑体" w:hint="default"/>
                <w:sz w:val="20"/>
                <w:szCs w:val="20"/>
              </w:rPr>
              <w:t>固定资产盘亏</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49"/>
              <w:jc w:val="right"/>
              <w:rPr>
                <w:rFonts w:ascii="Arial" w:hAnsi="Arial" w:cs="Arial" w:eastAsia="Arial" w:hint="default"/>
                <w:sz w:val="20"/>
                <w:szCs w:val="20"/>
              </w:rPr>
            </w:pPr>
            <w:r>
              <w:rPr>
                <w:rFonts w:ascii="Arial"/>
                <w:sz w:val="20"/>
              </w:rPr>
              <w:t>10,735</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31"/>
              <w:jc w:val="right"/>
              <w:rPr>
                <w:rFonts w:ascii="Arial" w:hAnsi="Arial" w:cs="Arial" w:eastAsia="Arial" w:hint="default"/>
                <w:sz w:val="20"/>
                <w:szCs w:val="20"/>
              </w:rPr>
            </w:pPr>
            <w:r>
              <w:rPr>
                <w:rFonts w:ascii="Arial"/>
                <w:spacing w:val="-1"/>
                <w:sz w:val="20"/>
              </w:rPr>
              <w:t>3,149,405</w:t>
            </w:r>
          </w:p>
        </w:tc>
      </w:tr>
      <w:tr>
        <w:trPr>
          <w:trHeight w:val="390"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26" w:lineRule="exact"/>
              <w:ind w:left="158"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4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3"/>
                <w:sz w:val="20"/>
                <w:u w:val="single" w:color="000000"/>
              </w:rPr>
              <w:t> </w:t>
            </w:r>
            <w:r>
              <w:rPr>
                <w:rFonts w:ascii="Arial"/>
                <w:sz w:val="20"/>
                <w:u w:val="single" w:color="000000"/>
              </w:rPr>
              <w:t>776,985</w:t>
            </w:r>
            <w:r>
              <w:rPr>
                <w:rFonts w:ascii="Arial"/>
                <w:sz w:val="20"/>
              </w:rPr>
            </w:r>
          </w:p>
        </w:tc>
        <w:tc>
          <w:tcPr>
            <w:tcW w:w="1502" w:type="dxa"/>
            <w:tcBorders>
              <w:top w:val="nil" w:sz="6" w:space="0" w:color="auto"/>
              <w:left w:val="nil" w:sz="6" w:space="0" w:color="auto"/>
              <w:bottom w:val="nil" w:sz="6" w:space="0" w:color="auto"/>
              <w:right w:val="nil" w:sz="6" w:space="0" w:color="auto"/>
            </w:tcBorders>
          </w:tcPr>
          <w:p>
            <w:pPr>
              <w:pStyle w:val="TableParagraph"/>
              <w:tabs>
                <w:tab w:pos="799" w:val="left" w:leader="none"/>
              </w:tabs>
              <w:spacing w:line="240" w:lineRule="auto" w:before="8"/>
              <w:ind w:right="132"/>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496"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250"/>
              <w:jc w:val="right"/>
              <w:rPr>
                <w:rFonts w:ascii="Arial" w:hAnsi="Arial" w:cs="Arial" w:eastAsia="Arial" w:hint="default"/>
                <w:sz w:val="20"/>
                <w:szCs w:val="20"/>
              </w:rPr>
            </w:pPr>
            <w:r>
              <w:rPr>
                <w:rFonts w:ascii="Arial"/>
                <w:w w:val="100"/>
                <w:sz w:val="20"/>
              </w:rPr>
            </w:r>
            <w:r>
              <w:rPr>
                <w:rFonts w:ascii="Arial"/>
                <w:spacing w:val="-1"/>
                <w:sz w:val="20"/>
                <w:u w:val="thick" w:color="000000"/>
              </w:rPr>
              <w:t>5,576,710</w:t>
            </w:r>
            <w:r>
              <w:rPr>
                <w:rFonts w:ascii="Arial"/>
                <w:spacing w:val="-1"/>
                <w:sz w:val="20"/>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32"/>
              <w:jc w:val="right"/>
              <w:rPr>
                <w:rFonts w:ascii="Arial" w:hAnsi="Arial" w:cs="Arial" w:eastAsia="Arial" w:hint="default"/>
                <w:sz w:val="20"/>
                <w:szCs w:val="20"/>
              </w:rPr>
            </w:pPr>
            <w:r>
              <w:rPr>
                <w:rFonts w:ascii="Arial"/>
                <w:w w:val="100"/>
                <w:sz w:val="20"/>
              </w:rPr>
            </w:r>
            <w:r>
              <w:rPr>
                <w:rFonts w:ascii="Arial"/>
                <w:spacing w:val="-1"/>
                <w:sz w:val="20"/>
                <w:u w:val="thick" w:color="000000"/>
              </w:rPr>
              <w:t>5,936,734</w:t>
            </w:r>
            <w:r>
              <w:rPr>
                <w:rFonts w:ascii="Arial"/>
                <w:spacing w:val="-1"/>
                <w:sz w:val="20"/>
              </w:rPr>
            </w:r>
          </w:p>
        </w:tc>
      </w:tr>
      <w:tr>
        <w:trPr>
          <w:trHeight w:val="490" w:hRule="exact"/>
        </w:trPr>
        <w:tc>
          <w:tcPr>
            <w:tcW w:w="586"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Arial" w:hAnsi="Arial" w:cs="Arial" w:eastAsia="Arial" w:hint="default"/>
                <w:b/>
                <w:bCs/>
                <w:sz w:val="20"/>
                <w:szCs w:val="20"/>
              </w:rPr>
              <w:t>35</w:t>
            </w:r>
            <w:r>
              <w:rPr>
                <w:rFonts w:ascii="黑体" w:hAnsi="黑体" w:cs="黑体" w:eastAsia="黑体" w:hint="default"/>
                <w:b/>
                <w:bCs/>
                <w:sz w:val="20"/>
                <w:szCs w:val="20"/>
              </w:rPr>
              <w:t>．</w:t>
            </w:r>
            <w:r>
              <w:rPr>
                <w:rFonts w:ascii="黑体" w:hAnsi="黑体" w:cs="黑体" w:eastAsia="黑体" w:hint="default"/>
                <w:sz w:val="20"/>
                <w:szCs w:val="20"/>
              </w:rPr>
            </w:r>
          </w:p>
        </w:tc>
        <w:tc>
          <w:tcPr>
            <w:tcW w:w="444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72" w:right="0"/>
              <w:jc w:val="left"/>
              <w:rPr>
                <w:rFonts w:ascii="黑体" w:hAnsi="黑体" w:cs="黑体" w:eastAsia="黑体" w:hint="default"/>
                <w:sz w:val="20"/>
                <w:szCs w:val="20"/>
              </w:rPr>
            </w:pPr>
            <w:r>
              <w:rPr>
                <w:rFonts w:ascii="黑体" w:hAnsi="黑体" w:cs="黑体" w:eastAsia="黑体" w:hint="default"/>
                <w:b/>
                <w:bCs/>
                <w:sz w:val="20"/>
                <w:szCs w:val="20"/>
              </w:rPr>
              <w:t>所得税费用</w:t>
            </w:r>
            <w:r>
              <w:rPr>
                <w:rFonts w:ascii="黑体" w:hAnsi="黑体" w:cs="黑体" w:eastAsia="黑体" w:hint="default"/>
                <w:sz w:val="20"/>
                <w:szCs w:val="20"/>
              </w:rPr>
            </w:r>
          </w:p>
        </w:tc>
        <w:tc>
          <w:tcPr>
            <w:tcW w:w="212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r>
      <w:tr>
        <w:trPr>
          <w:trHeight w:val="502"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40"/>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22"/>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386"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55" w:right="0"/>
              <w:jc w:val="left"/>
              <w:rPr>
                <w:rFonts w:ascii="黑体" w:hAnsi="黑体" w:cs="黑体" w:eastAsia="黑体" w:hint="default"/>
                <w:sz w:val="20"/>
                <w:szCs w:val="20"/>
              </w:rPr>
            </w:pPr>
            <w:r>
              <w:rPr>
                <w:rFonts w:ascii="黑体" w:hAnsi="黑体" w:cs="黑体" w:eastAsia="黑体" w:hint="default"/>
                <w:sz w:val="20"/>
                <w:szCs w:val="20"/>
              </w:rPr>
              <w:t>当期所得税费用</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40"/>
              <w:jc w:val="right"/>
              <w:rPr>
                <w:rFonts w:ascii="Arial" w:hAnsi="Arial" w:cs="Arial" w:eastAsia="Arial" w:hint="default"/>
                <w:sz w:val="20"/>
                <w:szCs w:val="20"/>
              </w:rPr>
            </w:pPr>
            <w:r>
              <w:rPr>
                <w:rFonts w:ascii="Arial"/>
                <w:spacing w:val="-1"/>
                <w:sz w:val="20"/>
              </w:rPr>
              <w:t>65,228,235</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75" w:right="0"/>
              <w:jc w:val="left"/>
              <w:rPr>
                <w:rFonts w:ascii="Arial" w:hAnsi="Arial" w:cs="Arial" w:eastAsia="Arial" w:hint="default"/>
                <w:sz w:val="20"/>
                <w:szCs w:val="20"/>
              </w:rPr>
            </w:pPr>
            <w:r>
              <w:rPr>
                <w:rFonts w:ascii="Arial"/>
                <w:sz w:val="20"/>
              </w:rPr>
              <w:t>60,048,462</w:t>
            </w:r>
          </w:p>
        </w:tc>
      </w:tr>
      <w:tr>
        <w:trPr>
          <w:trHeight w:val="388"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26" w:lineRule="exact"/>
              <w:ind w:left="155" w:right="0"/>
              <w:jc w:val="left"/>
              <w:rPr>
                <w:rFonts w:ascii="黑体" w:hAnsi="黑体" w:cs="黑体" w:eastAsia="黑体" w:hint="default"/>
                <w:sz w:val="20"/>
                <w:szCs w:val="20"/>
              </w:rPr>
            </w:pPr>
            <w:r>
              <w:rPr>
                <w:rFonts w:ascii="黑体" w:hAnsi="黑体" w:cs="黑体" w:eastAsia="黑体" w:hint="default"/>
                <w:sz w:val="20"/>
                <w:szCs w:val="20"/>
              </w:rPr>
              <w:t>递延所得税费用</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65"/>
              <w:jc w:val="right"/>
              <w:rPr>
                <w:rFonts w:ascii="Arial" w:hAnsi="Arial" w:cs="Arial" w:eastAsia="Arial" w:hint="default"/>
                <w:sz w:val="20"/>
                <w:szCs w:val="20"/>
              </w:rPr>
            </w:pPr>
            <w:r>
              <w:rPr>
                <w:rFonts w:ascii="Arial"/>
                <w:sz w:val="20"/>
              </w:rPr>
              <w:t>(</w:t>
            </w:r>
            <w:r>
              <w:rPr>
                <w:rFonts w:ascii="Arial"/>
                <w:sz w:val="20"/>
                <w:u w:val="single" w:color="000000"/>
              </w:rPr>
              <w:t>18,529,483</w:t>
            </w:r>
            <w:r>
              <w:rPr>
                <w:rFonts w:ascii="Arial"/>
                <w:sz w:val="20"/>
              </w:rPr>
              <w:t>)</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z w:val="20"/>
              </w:rPr>
              <w:t>(  </w:t>
            </w:r>
            <w:r>
              <w:rPr>
                <w:rFonts w:ascii="Arial"/>
                <w:sz w:val="20"/>
                <w:u w:val="single" w:color="000000"/>
              </w:rPr>
              <w:t> 6,728,158</w:t>
            </w:r>
            <w:r>
              <w:rPr>
                <w:rFonts w:ascii="Arial"/>
                <w:spacing w:val="6"/>
                <w:sz w:val="20"/>
                <w:u w:val="single" w:color="000000"/>
              </w:rPr>
              <w:t> </w:t>
            </w:r>
            <w:r>
              <w:rPr>
                <w:rFonts w:ascii="Arial"/>
                <w:spacing w:val="6"/>
                <w:sz w:val="20"/>
              </w:rPr>
            </w:r>
            <w:r>
              <w:rPr>
                <w:rFonts w:ascii="Arial"/>
                <w:sz w:val="20"/>
              </w:rPr>
              <w:t>)</w:t>
            </w:r>
          </w:p>
        </w:tc>
      </w:tr>
      <w:tr>
        <w:trPr>
          <w:trHeight w:val="496"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240"/>
              <w:jc w:val="right"/>
              <w:rPr>
                <w:rFonts w:ascii="Arial" w:hAnsi="Arial" w:cs="Arial" w:eastAsia="Arial" w:hint="default"/>
                <w:sz w:val="20"/>
                <w:szCs w:val="20"/>
              </w:rPr>
            </w:pPr>
            <w:r>
              <w:rPr>
                <w:rFonts w:ascii="Arial"/>
                <w:w w:val="100"/>
                <w:sz w:val="20"/>
              </w:rPr>
            </w:r>
            <w:r>
              <w:rPr>
                <w:rFonts w:ascii="Arial"/>
                <w:spacing w:val="-1"/>
                <w:sz w:val="20"/>
                <w:u w:val="thick" w:color="000000"/>
              </w:rPr>
              <w:t>46,698,752</w:t>
            </w:r>
            <w:r>
              <w:rPr>
                <w:rFonts w:ascii="Arial"/>
                <w:spacing w:val="-1"/>
                <w:sz w:val="20"/>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375" w:right="0"/>
              <w:jc w:val="left"/>
              <w:rPr>
                <w:rFonts w:ascii="Arial" w:hAnsi="Arial" w:cs="Arial" w:eastAsia="Arial" w:hint="default"/>
                <w:sz w:val="20"/>
                <w:szCs w:val="20"/>
              </w:rPr>
            </w:pPr>
            <w:r>
              <w:rPr>
                <w:rFonts w:ascii="Arial"/>
                <w:w w:val="100"/>
                <w:sz w:val="20"/>
              </w:rPr>
            </w:r>
            <w:r>
              <w:rPr>
                <w:rFonts w:ascii="Arial"/>
                <w:sz w:val="20"/>
                <w:u w:val="thick" w:color="000000"/>
              </w:rPr>
              <w:t>53,320,304</w:t>
            </w:r>
            <w:r>
              <w:rPr>
                <w:rFonts w:ascii="Arial"/>
                <w:sz w:val="20"/>
              </w:rPr>
            </w:r>
          </w:p>
        </w:tc>
      </w:tr>
      <w:tr>
        <w:trPr>
          <w:trHeight w:val="485"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63" w:right="0"/>
              <w:jc w:val="left"/>
              <w:rPr>
                <w:rFonts w:ascii="黑体" w:hAnsi="黑体" w:cs="黑体" w:eastAsia="黑体" w:hint="default"/>
                <w:sz w:val="20"/>
                <w:szCs w:val="20"/>
              </w:rPr>
            </w:pPr>
            <w:r>
              <w:rPr>
                <w:rFonts w:ascii="黑体" w:hAnsi="黑体" w:cs="黑体" w:eastAsia="黑体" w:hint="default"/>
                <w:sz w:val="20"/>
                <w:szCs w:val="20"/>
              </w:rPr>
              <w:t>所得税费用与利润总额的关系列示如下：</w:t>
            </w:r>
          </w:p>
        </w:tc>
        <w:tc>
          <w:tcPr>
            <w:tcW w:w="212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r>
      <w:tr>
        <w:trPr>
          <w:trHeight w:val="506"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53"/>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3"/>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514"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54" w:right="0"/>
              <w:jc w:val="left"/>
              <w:rPr>
                <w:rFonts w:ascii="黑体" w:hAnsi="黑体" w:cs="黑体" w:eastAsia="黑体" w:hint="default"/>
                <w:sz w:val="20"/>
                <w:szCs w:val="20"/>
              </w:rPr>
            </w:pPr>
            <w:r>
              <w:rPr>
                <w:rFonts w:ascii="黑体" w:hAnsi="黑体" w:cs="黑体" w:eastAsia="黑体" w:hint="default"/>
                <w:sz w:val="20"/>
                <w:szCs w:val="20"/>
              </w:rPr>
              <w:t>利润总额</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52"/>
              <w:jc w:val="right"/>
              <w:rPr>
                <w:rFonts w:ascii="Arial" w:hAnsi="Arial" w:cs="Arial" w:eastAsia="Arial" w:hint="default"/>
                <w:sz w:val="20"/>
                <w:szCs w:val="20"/>
              </w:rPr>
            </w:pPr>
            <w:r>
              <w:rPr>
                <w:rFonts w:ascii="Arial"/>
                <w:spacing w:val="-1"/>
                <w:sz w:val="20"/>
              </w:rPr>
              <w:t>590,722,514</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64" w:right="0"/>
              <w:jc w:val="left"/>
              <w:rPr>
                <w:rFonts w:ascii="Arial" w:hAnsi="Arial" w:cs="Arial" w:eastAsia="Arial" w:hint="default"/>
                <w:sz w:val="20"/>
                <w:szCs w:val="20"/>
              </w:rPr>
            </w:pPr>
            <w:r>
              <w:rPr>
                <w:rFonts w:ascii="Arial"/>
                <w:sz w:val="20"/>
              </w:rPr>
              <w:t>452,868,872</w:t>
            </w:r>
          </w:p>
        </w:tc>
      </w:tr>
      <w:tr>
        <w:trPr>
          <w:trHeight w:val="387"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54" w:right="0"/>
              <w:jc w:val="left"/>
              <w:rPr>
                <w:rFonts w:ascii="Arial" w:hAnsi="Arial" w:cs="Arial" w:eastAsia="Arial" w:hint="default"/>
                <w:sz w:val="20"/>
                <w:szCs w:val="20"/>
              </w:rPr>
            </w:pPr>
            <w:r>
              <w:rPr>
                <w:rFonts w:ascii="黑体" w:hAnsi="黑体" w:cs="黑体" w:eastAsia="黑体" w:hint="default"/>
                <w:sz w:val="20"/>
                <w:szCs w:val="20"/>
              </w:rPr>
              <w:t>按适用的税率计算的税项</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53"/>
              <w:jc w:val="right"/>
              <w:rPr>
                <w:rFonts w:ascii="Arial" w:hAnsi="Arial" w:cs="Arial" w:eastAsia="Arial" w:hint="default"/>
                <w:sz w:val="20"/>
                <w:szCs w:val="20"/>
              </w:rPr>
            </w:pPr>
            <w:r>
              <w:rPr>
                <w:rFonts w:ascii="Arial"/>
                <w:spacing w:val="-1"/>
                <w:sz w:val="20"/>
              </w:rPr>
              <w:t>59,072,251</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74" w:right="0"/>
              <w:jc w:val="left"/>
              <w:rPr>
                <w:rFonts w:ascii="Arial" w:hAnsi="Arial" w:cs="Arial" w:eastAsia="Arial" w:hint="default"/>
                <w:sz w:val="20"/>
                <w:szCs w:val="20"/>
              </w:rPr>
            </w:pPr>
            <w:r>
              <w:rPr>
                <w:rFonts w:ascii="Arial"/>
                <w:sz w:val="20"/>
              </w:rPr>
              <w:t>45,286,887</w:t>
            </w:r>
          </w:p>
        </w:tc>
      </w:tr>
      <w:tr>
        <w:trPr>
          <w:trHeight w:val="259"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25" w:lineRule="exact"/>
              <w:ind w:left="154" w:right="0"/>
              <w:jc w:val="left"/>
              <w:rPr>
                <w:rFonts w:ascii="黑体" w:hAnsi="黑体" w:cs="黑体" w:eastAsia="黑体" w:hint="default"/>
                <w:sz w:val="20"/>
                <w:szCs w:val="20"/>
              </w:rPr>
            </w:pPr>
            <w:r>
              <w:rPr>
                <w:rFonts w:ascii="黑体" w:hAnsi="黑体" w:cs="黑体" w:eastAsia="黑体" w:hint="default"/>
                <w:sz w:val="20"/>
                <w:szCs w:val="20"/>
              </w:rPr>
              <w:t>某些分公司适用不同税率的影响</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53"/>
              <w:jc w:val="right"/>
              <w:rPr>
                <w:rFonts w:ascii="Arial" w:hAnsi="Arial" w:cs="Arial" w:eastAsia="Arial" w:hint="default"/>
                <w:sz w:val="20"/>
                <w:szCs w:val="20"/>
              </w:rPr>
            </w:pPr>
            <w:r>
              <w:rPr>
                <w:rFonts w:ascii="Arial"/>
                <w:spacing w:val="-1"/>
                <w:sz w:val="20"/>
              </w:rPr>
              <w:t>13,399,333</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24"/>
              <w:jc w:val="right"/>
              <w:rPr>
                <w:rFonts w:ascii="Arial" w:hAnsi="Arial" w:cs="Arial" w:eastAsia="Arial" w:hint="default"/>
                <w:sz w:val="20"/>
                <w:szCs w:val="20"/>
              </w:rPr>
            </w:pPr>
            <w:r>
              <w:rPr>
                <w:rFonts w:ascii="Arial"/>
                <w:w w:val="100"/>
                <w:sz w:val="20"/>
              </w:rPr>
              <w:t>-</w:t>
            </w:r>
          </w:p>
        </w:tc>
      </w:tr>
      <w:tr>
        <w:trPr>
          <w:trHeight w:val="260"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26" w:lineRule="exact"/>
              <w:ind w:left="154" w:right="0"/>
              <w:jc w:val="left"/>
              <w:rPr>
                <w:rFonts w:ascii="黑体" w:hAnsi="黑体" w:cs="黑体" w:eastAsia="黑体" w:hint="default"/>
                <w:sz w:val="20"/>
                <w:szCs w:val="20"/>
              </w:rPr>
            </w:pPr>
            <w:r>
              <w:rPr>
                <w:rFonts w:ascii="黑体" w:hAnsi="黑体" w:cs="黑体" w:eastAsia="黑体" w:hint="default"/>
                <w:sz w:val="20"/>
                <w:szCs w:val="20"/>
              </w:rPr>
              <w:t>归属于联营企业的损益的影响</w:t>
            </w:r>
          </w:p>
        </w:tc>
        <w:tc>
          <w:tcPr>
            <w:tcW w:w="2129" w:type="dxa"/>
            <w:tcBorders>
              <w:top w:val="nil" w:sz="6" w:space="0" w:color="auto"/>
              <w:left w:val="nil" w:sz="6" w:space="0" w:color="auto"/>
              <w:bottom w:val="nil" w:sz="6" w:space="0" w:color="auto"/>
              <w:right w:val="nil" w:sz="6" w:space="0" w:color="auto"/>
            </w:tcBorders>
          </w:tcPr>
          <w:p>
            <w:pPr>
              <w:pStyle w:val="TableParagraph"/>
              <w:tabs>
                <w:tab w:pos="465" w:val="left" w:leader="none"/>
              </w:tabs>
              <w:spacing w:line="240" w:lineRule="auto" w:before="8"/>
              <w:ind w:right="188"/>
              <w:jc w:val="right"/>
              <w:rPr>
                <w:rFonts w:ascii="Arial" w:hAnsi="Arial" w:cs="Arial" w:eastAsia="Arial" w:hint="default"/>
                <w:sz w:val="20"/>
                <w:szCs w:val="20"/>
              </w:rPr>
            </w:pPr>
            <w:r>
              <w:rPr>
                <w:rFonts w:ascii="Arial"/>
                <w:sz w:val="20"/>
              </w:rPr>
              <w:t>(</w:t>
              <w:tab/>
            </w:r>
            <w:r>
              <w:rPr>
                <w:rFonts w:ascii="Arial"/>
                <w:spacing w:val="-1"/>
                <w:sz w:val="20"/>
              </w:rPr>
              <w:t>695,083)</w:t>
            </w:r>
          </w:p>
        </w:tc>
        <w:tc>
          <w:tcPr>
            <w:tcW w:w="1502" w:type="dxa"/>
            <w:tcBorders>
              <w:top w:val="nil" w:sz="6" w:space="0" w:color="auto"/>
              <w:left w:val="nil" w:sz="6" w:space="0" w:color="auto"/>
              <w:bottom w:val="nil" w:sz="6" w:space="0" w:color="auto"/>
              <w:right w:val="nil" w:sz="6" w:space="0" w:color="auto"/>
            </w:tcBorders>
          </w:tcPr>
          <w:p>
            <w:pPr>
              <w:pStyle w:val="TableParagraph"/>
              <w:tabs>
                <w:tab w:pos="485" w:val="left" w:leader="none"/>
              </w:tabs>
              <w:spacing w:line="240" w:lineRule="auto" w:before="8"/>
              <w:ind w:right="60"/>
              <w:jc w:val="right"/>
              <w:rPr>
                <w:rFonts w:ascii="Arial" w:hAnsi="Arial" w:cs="Arial" w:eastAsia="Arial" w:hint="default"/>
                <w:sz w:val="20"/>
                <w:szCs w:val="20"/>
              </w:rPr>
            </w:pPr>
            <w:r>
              <w:rPr>
                <w:rFonts w:ascii="Arial"/>
                <w:sz w:val="20"/>
              </w:rPr>
              <w:t>(</w:t>
              <w:tab/>
            </w:r>
            <w:r>
              <w:rPr>
                <w:rFonts w:ascii="Arial"/>
                <w:spacing w:val="-1"/>
                <w:sz w:val="20"/>
              </w:rPr>
              <w:t>357,880)</w:t>
            </w:r>
          </w:p>
        </w:tc>
      </w:tr>
      <w:tr>
        <w:trPr>
          <w:trHeight w:val="260"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40" w:lineRule="exact"/>
              <w:ind w:left="154" w:right="0"/>
              <w:jc w:val="left"/>
              <w:rPr>
                <w:rFonts w:ascii="Arial" w:hAnsi="Arial" w:cs="Arial" w:eastAsia="Arial" w:hint="default"/>
                <w:sz w:val="20"/>
                <w:szCs w:val="20"/>
              </w:rPr>
            </w:pPr>
            <w:r>
              <w:rPr>
                <w:rFonts w:ascii="黑体" w:hAnsi="黑体" w:cs="黑体" w:eastAsia="黑体" w:hint="default"/>
                <w:sz w:val="20"/>
                <w:szCs w:val="20"/>
              </w:rPr>
              <w:t>无需纳税的收入的影响</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2)</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88"/>
              <w:jc w:val="right"/>
              <w:rPr>
                <w:rFonts w:ascii="Arial" w:hAnsi="Arial" w:cs="Arial" w:eastAsia="Arial" w:hint="default"/>
                <w:sz w:val="20"/>
                <w:szCs w:val="20"/>
              </w:rPr>
            </w:pPr>
            <w:r>
              <w:rPr>
                <w:rFonts w:ascii="Arial"/>
                <w:sz w:val="20"/>
              </w:rPr>
              <w:t>( </w:t>
            </w:r>
            <w:r>
              <w:rPr>
                <w:rFonts w:ascii="Arial"/>
                <w:spacing w:val="5"/>
                <w:sz w:val="20"/>
              </w:rPr>
              <w:t> </w:t>
            </w:r>
            <w:r>
              <w:rPr>
                <w:rFonts w:ascii="Arial"/>
                <w:sz w:val="20"/>
              </w:rPr>
              <w:t>17,135,067)</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0"/>
              <w:jc w:val="right"/>
              <w:rPr>
                <w:rFonts w:ascii="Arial" w:hAnsi="Arial" w:cs="Arial" w:eastAsia="Arial" w:hint="default"/>
                <w:sz w:val="20"/>
                <w:szCs w:val="20"/>
              </w:rPr>
            </w:pPr>
            <w:r>
              <w:rPr>
                <w:rFonts w:ascii="Arial"/>
                <w:sz w:val="20"/>
              </w:rPr>
              <w:t>( </w:t>
            </w:r>
            <w:r>
              <w:rPr>
                <w:rFonts w:ascii="Arial"/>
                <w:spacing w:val="14"/>
                <w:sz w:val="20"/>
              </w:rPr>
              <w:t> </w:t>
            </w:r>
            <w:r>
              <w:rPr>
                <w:rFonts w:ascii="Arial"/>
                <w:sz w:val="20"/>
              </w:rPr>
              <w:t>11,800,274)</w:t>
            </w:r>
          </w:p>
        </w:tc>
      </w:tr>
      <w:tr>
        <w:trPr>
          <w:trHeight w:val="259"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40" w:lineRule="exact"/>
              <w:ind w:left="154" w:right="0"/>
              <w:jc w:val="left"/>
              <w:rPr>
                <w:rFonts w:ascii="Arial" w:hAnsi="Arial" w:cs="Arial" w:eastAsia="Arial" w:hint="default"/>
                <w:sz w:val="20"/>
                <w:szCs w:val="20"/>
              </w:rPr>
            </w:pPr>
            <w:r>
              <w:rPr>
                <w:rFonts w:ascii="黑体" w:hAnsi="黑体" w:cs="黑体" w:eastAsia="黑体" w:hint="default"/>
                <w:sz w:val="20"/>
                <w:szCs w:val="20"/>
              </w:rPr>
              <w:t>当年研发费</w:t>
            </w:r>
            <w:r>
              <w:rPr>
                <w:rFonts w:ascii="Arial" w:hAnsi="Arial" w:cs="Arial" w:eastAsia="Arial" w:hint="default"/>
                <w:sz w:val="20"/>
                <w:szCs w:val="20"/>
              </w:rPr>
              <w:t>50%</w:t>
            </w:r>
            <w:r>
              <w:rPr>
                <w:rFonts w:ascii="黑体" w:hAnsi="黑体" w:cs="黑体" w:eastAsia="黑体" w:hint="default"/>
                <w:sz w:val="20"/>
                <w:szCs w:val="20"/>
              </w:rPr>
              <w:t>加计扣除的影响</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3)</w:t>
            </w:r>
          </w:p>
        </w:tc>
        <w:tc>
          <w:tcPr>
            <w:tcW w:w="2129" w:type="dxa"/>
            <w:tcBorders>
              <w:top w:val="nil" w:sz="6" w:space="0" w:color="auto"/>
              <w:left w:val="nil" w:sz="6" w:space="0" w:color="auto"/>
              <w:bottom w:val="nil" w:sz="6" w:space="0" w:color="auto"/>
              <w:right w:val="nil" w:sz="6" w:space="0" w:color="auto"/>
            </w:tcBorders>
          </w:tcPr>
          <w:p>
            <w:pPr>
              <w:pStyle w:val="TableParagraph"/>
              <w:tabs>
                <w:tab w:pos="286" w:val="left" w:leader="none"/>
              </w:tabs>
              <w:spacing w:line="240" w:lineRule="auto" w:before="7"/>
              <w:ind w:right="189"/>
              <w:jc w:val="right"/>
              <w:rPr>
                <w:rFonts w:ascii="Arial" w:hAnsi="Arial" w:cs="Arial" w:eastAsia="Arial" w:hint="default"/>
                <w:sz w:val="20"/>
                <w:szCs w:val="20"/>
              </w:rPr>
            </w:pPr>
            <w:r>
              <w:rPr>
                <w:rFonts w:ascii="Arial"/>
                <w:sz w:val="20"/>
              </w:rPr>
              <w:t>(</w:t>
              <w:tab/>
            </w:r>
            <w:r>
              <w:rPr>
                <w:rFonts w:ascii="Arial"/>
                <w:spacing w:val="-2"/>
                <w:sz w:val="20"/>
              </w:rPr>
              <w:t>7,075,816)</w:t>
            </w:r>
          </w:p>
        </w:tc>
        <w:tc>
          <w:tcPr>
            <w:tcW w:w="1502" w:type="dxa"/>
            <w:tcBorders>
              <w:top w:val="nil" w:sz="6" w:space="0" w:color="auto"/>
              <w:left w:val="nil" w:sz="6" w:space="0" w:color="auto"/>
              <w:bottom w:val="nil" w:sz="6" w:space="0" w:color="auto"/>
              <w:right w:val="nil" w:sz="6" w:space="0" w:color="auto"/>
            </w:tcBorders>
          </w:tcPr>
          <w:p>
            <w:pPr>
              <w:pStyle w:val="TableParagraph"/>
              <w:tabs>
                <w:tab w:pos="307" w:val="left" w:leader="none"/>
              </w:tabs>
              <w:spacing w:line="240" w:lineRule="auto" w:before="7"/>
              <w:ind w:right="60"/>
              <w:jc w:val="right"/>
              <w:rPr>
                <w:rFonts w:ascii="Arial" w:hAnsi="Arial" w:cs="Arial" w:eastAsia="Arial" w:hint="default"/>
                <w:sz w:val="20"/>
                <w:szCs w:val="20"/>
              </w:rPr>
            </w:pPr>
            <w:r>
              <w:rPr>
                <w:rFonts w:ascii="Arial"/>
                <w:sz w:val="20"/>
              </w:rPr>
              <w:t>(</w:t>
              <w:tab/>
            </w:r>
            <w:r>
              <w:rPr>
                <w:rFonts w:ascii="Arial"/>
                <w:spacing w:val="-2"/>
                <w:sz w:val="20"/>
              </w:rPr>
              <w:t>3,748,450)</w:t>
            </w:r>
          </w:p>
        </w:tc>
      </w:tr>
      <w:tr>
        <w:trPr>
          <w:trHeight w:val="259"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25" w:lineRule="exact"/>
              <w:ind w:left="154" w:right="0"/>
              <w:jc w:val="left"/>
              <w:rPr>
                <w:rFonts w:ascii="黑体" w:hAnsi="黑体" w:cs="黑体" w:eastAsia="黑体" w:hint="default"/>
                <w:sz w:val="20"/>
                <w:szCs w:val="20"/>
              </w:rPr>
            </w:pPr>
            <w:r>
              <w:rPr>
                <w:rFonts w:ascii="黑体" w:hAnsi="黑体" w:cs="黑体" w:eastAsia="黑体" w:hint="default"/>
                <w:sz w:val="20"/>
                <w:szCs w:val="20"/>
              </w:rPr>
              <w:t>汇算清缴差异</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88"/>
              <w:jc w:val="right"/>
              <w:rPr>
                <w:rFonts w:ascii="Arial" w:hAnsi="Arial" w:cs="Arial" w:eastAsia="Arial" w:hint="default"/>
                <w:sz w:val="20"/>
                <w:szCs w:val="20"/>
              </w:rPr>
            </w:pPr>
            <w:r>
              <w:rPr>
                <w:rFonts w:ascii="Arial"/>
                <w:sz w:val="20"/>
              </w:rPr>
              <w:t>( </w:t>
            </w:r>
            <w:r>
              <w:rPr>
                <w:rFonts w:ascii="Arial"/>
                <w:spacing w:val="5"/>
                <w:sz w:val="20"/>
              </w:rPr>
              <w:t> </w:t>
            </w:r>
            <w:r>
              <w:rPr>
                <w:rFonts w:ascii="Arial"/>
                <w:sz w:val="20"/>
              </w:rPr>
              <w:t>20,218,176)</w:t>
            </w:r>
          </w:p>
        </w:tc>
        <w:tc>
          <w:tcPr>
            <w:tcW w:w="1502" w:type="dxa"/>
            <w:tcBorders>
              <w:top w:val="nil" w:sz="6" w:space="0" w:color="auto"/>
              <w:left w:val="nil" w:sz="6" w:space="0" w:color="auto"/>
              <w:bottom w:val="nil" w:sz="6" w:space="0" w:color="auto"/>
              <w:right w:val="nil" w:sz="6" w:space="0" w:color="auto"/>
            </w:tcBorders>
          </w:tcPr>
          <w:p>
            <w:pPr>
              <w:pStyle w:val="TableParagraph"/>
              <w:tabs>
                <w:tab w:pos="485" w:val="left" w:leader="none"/>
              </w:tabs>
              <w:spacing w:line="240" w:lineRule="auto" w:before="7"/>
              <w:ind w:right="60"/>
              <w:jc w:val="right"/>
              <w:rPr>
                <w:rFonts w:ascii="Arial" w:hAnsi="Arial" w:cs="Arial" w:eastAsia="Arial" w:hint="default"/>
                <w:sz w:val="20"/>
                <w:szCs w:val="20"/>
              </w:rPr>
            </w:pPr>
            <w:r>
              <w:rPr>
                <w:rFonts w:ascii="Arial"/>
                <w:sz w:val="20"/>
              </w:rPr>
              <w:t>(</w:t>
              <w:tab/>
            </w:r>
            <w:r>
              <w:rPr>
                <w:rFonts w:ascii="Arial"/>
                <w:spacing w:val="-1"/>
                <w:sz w:val="20"/>
              </w:rPr>
              <w:t>464,586)</w:t>
            </w:r>
          </w:p>
        </w:tc>
      </w:tr>
      <w:tr>
        <w:trPr>
          <w:trHeight w:val="388"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41" w:lineRule="exact"/>
              <w:ind w:left="154" w:right="0"/>
              <w:jc w:val="left"/>
              <w:rPr>
                <w:rFonts w:ascii="Arial" w:hAnsi="Arial" w:cs="Arial" w:eastAsia="Arial" w:hint="default"/>
                <w:sz w:val="20"/>
                <w:szCs w:val="20"/>
              </w:rPr>
            </w:pPr>
            <w:r>
              <w:rPr>
                <w:rFonts w:ascii="黑体" w:hAnsi="黑体" w:cs="黑体" w:eastAsia="黑体" w:hint="default"/>
                <w:sz w:val="20"/>
                <w:szCs w:val="20"/>
              </w:rPr>
              <w:t>不可抵扣的税项费用的影响</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4)</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52"/>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19,351,310</w:t>
            </w:r>
            <w:r>
              <w:rPr>
                <w:rFonts w:ascii="Arial"/>
                <w:spacing w:val="-1"/>
                <w:sz w:val="20"/>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8"/>
              <w:ind w:left="276"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24,404,607</w:t>
            </w:r>
            <w:r>
              <w:rPr>
                <w:rFonts w:ascii="Arial"/>
                <w:sz w:val="20"/>
              </w:rPr>
            </w:r>
          </w:p>
        </w:tc>
      </w:tr>
      <w:tr>
        <w:trPr>
          <w:trHeight w:val="501"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54" w:right="0"/>
              <w:jc w:val="left"/>
              <w:rPr>
                <w:rFonts w:ascii="黑体" w:hAnsi="黑体" w:cs="黑体" w:eastAsia="黑体" w:hint="default"/>
                <w:sz w:val="20"/>
                <w:szCs w:val="20"/>
              </w:rPr>
            </w:pPr>
            <w:r>
              <w:rPr>
                <w:rFonts w:ascii="黑体" w:hAnsi="黑体" w:cs="黑体" w:eastAsia="黑体" w:hint="default"/>
                <w:sz w:val="20"/>
                <w:szCs w:val="20"/>
              </w:rPr>
              <w:t>按本公司实际税率计算的税项费用</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25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pacing w:val="-1"/>
                <w:sz w:val="20"/>
                <w:u w:val="thick" w:color="000000"/>
              </w:rPr>
              <w:t>46,698,752</w:t>
            </w:r>
            <w:r>
              <w:rPr>
                <w:rFonts w:ascii="Arial"/>
                <w:spacing w:val="-1"/>
                <w:sz w:val="20"/>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276"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z w:val="20"/>
                <w:u w:val="thick" w:color="000000"/>
              </w:rPr>
              <w:t>53,320,304</w:t>
            </w:r>
            <w:r>
              <w:rPr>
                <w:rFonts w:ascii="Arial"/>
                <w:sz w:val="20"/>
              </w:rPr>
            </w:r>
          </w:p>
        </w:tc>
      </w:tr>
      <w:tr>
        <w:trPr>
          <w:trHeight w:val="1227" w:hRule="exact"/>
        </w:trPr>
        <w:tc>
          <w:tcPr>
            <w:tcW w:w="586" w:type="dxa"/>
            <w:tcBorders>
              <w:top w:val="nil" w:sz="6" w:space="0" w:color="auto"/>
              <w:left w:val="nil" w:sz="6" w:space="0" w:color="auto"/>
              <w:bottom w:val="nil" w:sz="6" w:space="0" w:color="auto"/>
              <w:right w:val="nil" w:sz="6" w:space="0" w:color="auto"/>
            </w:tcBorders>
          </w:tcPr>
          <w:p>
            <w:pPr/>
          </w:p>
        </w:tc>
        <w:tc>
          <w:tcPr>
            <w:tcW w:w="4448" w:type="dxa"/>
            <w:tcBorders>
              <w:top w:val="nil" w:sz="6" w:space="0" w:color="auto"/>
              <w:left w:val="nil" w:sz="6" w:space="0" w:color="auto"/>
              <w:bottom w:val="nil" w:sz="6" w:space="0" w:color="auto"/>
              <w:right w:val="nil" w:sz="6" w:space="0" w:color="auto"/>
            </w:tcBorders>
          </w:tcPr>
          <w:p>
            <w:pPr>
              <w:pStyle w:val="TableParagraph"/>
              <w:spacing w:line="260" w:lineRule="exact" w:before="105"/>
              <w:ind w:left="163" w:right="2293"/>
              <w:jc w:val="both"/>
              <w:rPr>
                <w:rFonts w:ascii="黑体" w:hAnsi="黑体" w:cs="黑体" w:eastAsia="黑体" w:hint="default"/>
                <w:sz w:val="20"/>
                <w:szCs w:val="20"/>
              </w:rPr>
            </w:pPr>
            <w:r>
              <w:rPr>
                <w:rFonts w:ascii="黑体" w:hAnsi="黑体" w:cs="黑体" w:eastAsia="黑体" w:hint="default"/>
                <w:spacing w:val="-1"/>
                <w:sz w:val="20"/>
                <w:szCs w:val="20"/>
              </w:rPr>
              <w:t>注</w:t>
            </w:r>
            <w:r>
              <w:rPr>
                <w:rFonts w:ascii="Arial" w:hAnsi="Arial" w:cs="Arial" w:eastAsia="Arial" w:hint="default"/>
                <w:spacing w:val="-1"/>
                <w:sz w:val="20"/>
                <w:szCs w:val="20"/>
              </w:rPr>
              <w:t>1.</w:t>
            </w:r>
            <w:r>
              <w:rPr>
                <w:rFonts w:ascii="黑体" w:hAnsi="黑体" w:cs="黑体" w:eastAsia="黑体" w:hint="default"/>
                <w:spacing w:val="-1"/>
                <w:sz w:val="20"/>
                <w:szCs w:val="20"/>
              </w:rPr>
              <w:t>参见附注五、</w:t>
            </w:r>
            <w:r>
              <w:rPr>
                <w:rFonts w:ascii="Arial" w:hAnsi="Arial" w:cs="Arial" w:eastAsia="Arial" w:hint="default"/>
                <w:spacing w:val="-1"/>
                <w:sz w:val="20"/>
                <w:szCs w:val="20"/>
              </w:rPr>
              <w:t>41</w:t>
            </w:r>
            <w:r>
              <w:rPr>
                <w:rFonts w:ascii="黑体" w:hAnsi="黑体" w:cs="黑体" w:eastAsia="黑体" w:hint="default"/>
                <w:spacing w:val="-1"/>
                <w:sz w:val="20"/>
                <w:szCs w:val="20"/>
              </w:rPr>
              <w:t>。</w:t>
            </w:r>
            <w:r>
              <w:rPr>
                <w:rFonts w:ascii="黑体" w:hAnsi="黑体" w:cs="黑体" w:eastAsia="黑体" w:hint="default"/>
                <w:spacing w:val="-91"/>
                <w:sz w:val="20"/>
                <w:szCs w:val="20"/>
              </w:rPr>
              <w:t> </w:t>
            </w:r>
            <w:r>
              <w:rPr>
                <w:rFonts w:ascii="黑体" w:hAnsi="黑体" w:cs="黑体" w:eastAsia="黑体" w:hint="default"/>
                <w:spacing w:val="-1"/>
                <w:sz w:val="20"/>
                <w:szCs w:val="20"/>
              </w:rPr>
              <w:t>注</w:t>
            </w:r>
            <w:r>
              <w:rPr>
                <w:rFonts w:ascii="Arial" w:hAnsi="Arial" w:cs="Arial" w:eastAsia="Arial" w:hint="default"/>
                <w:spacing w:val="-1"/>
                <w:sz w:val="20"/>
                <w:szCs w:val="20"/>
              </w:rPr>
              <w:t>2.</w:t>
            </w:r>
            <w:r>
              <w:rPr>
                <w:rFonts w:ascii="黑体" w:hAnsi="黑体" w:cs="黑体" w:eastAsia="黑体" w:hint="default"/>
                <w:spacing w:val="-1"/>
                <w:sz w:val="20"/>
                <w:szCs w:val="20"/>
              </w:rPr>
              <w:t>参见附注五、</w:t>
            </w:r>
            <w:r>
              <w:rPr>
                <w:rFonts w:ascii="Arial" w:hAnsi="Arial" w:cs="Arial" w:eastAsia="Arial" w:hint="default"/>
                <w:spacing w:val="-1"/>
                <w:sz w:val="20"/>
                <w:szCs w:val="20"/>
              </w:rPr>
              <w:t>41</w:t>
            </w:r>
            <w:r>
              <w:rPr>
                <w:rFonts w:ascii="黑体" w:hAnsi="黑体" w:cs="黑体" w:eastAsia="黑体" w:hint="default"/>
                <w:spacing w:val="-1"/>
                <w:sz w:val="20"/>
                <w:szCs w:val="20"/>
              </w:rPr>
              <w:t>。</w:t>
            </w:r>
            <w:r>
              <w:rPr>
                <w:rFonts w:ascii="黑体" w:hAnsi="黑体" w:cs="黑体" w:eastAsia="黑体" w:hint="default"/>
                <w:spacing w:val="-91"/>
                <w:sz w:val="20"/>
                <w:szCs w:val="20"/>
              </w:rPr>
              <w:t> </w:t>
            </w:r>
            <w:r>
              <w:rPr>
                <w:rFonts w:ascii="黑体" w:hAnsi="黑体" w:cs="黑体" w:eastAsia="黑体" w:hint="default"/>
                <w:spacing w:val="-1"/>
                <w:sz w:val="20"/>
                <w:szCs w:val="20"/>
              </w:rPr>
              <w:t>注</w:t>
            </w:r>
            <w:r>
              <w:rPr>
                <w:rFonts w:ascii="Arial" w:hAnsi="Arial" w:cs="Arial" w:eastAsia="Arial" w:hint="default"/>
                <w:spacing w:val="-1"/>
                <w:sz w:val="20"/>
                <w:szCs w:val="20"/>
              </w:rPr>
              <w:t>3.</w:t>
            </w:r>
            <w:r>
              <w:rPr>
                <w:rFonts w:ascii="黑体" w:hAnsi="黑体" w:cs="黑体" w:eastAsia="黑体" w:hint="default"/>
                <w:spacing w:val="-1"/>
                <w:sz w:val="20"/>
                <w:szCs w:val="20"/>
              </w:rPr>
              <w:t>参见附注五、</w:t>
            </w:r>
            <w:r>
              <w:rPr>
                <w:rFonts w:ascii="Arial" w:hAnsi="Arial" w:cs="Arial" w:eastAsia="Arial" w:hint="default"/>
                <w:spacing w:val="-1"/>
                <w:sz w:val="20"/>
                <w:szCs w:val="20"/>
              </w:rPr>
              <w:t>41</w:t>
            </w:r>
            <w:r>
              <w:rPr>
                <w:rFonts w:ascii="黑体" w:hAnsi="黑体" w:cs="黑体" w:eastAsia="黑体" w:hint="default"/>
                <w:spacing w:val="-1"/>
                <w:sz w:val="20"/>
                <w:szCs w:val="20"/>
              </w:rPr>
              <w:t>。</w:t>
            </w:r>
            <w:r>
              <w:rPr>
                <w:rFonts w:ascii="黑体" w:hAnsi="黑体" w:cs="黑体" w:eastAsia="黑体" w:hint="default"/>
                <w:spacing w:val="-91"/>
                <w:sz w:val="20"/>
                <w:szCs w:val="20"/>
              </w:rPr>
              <w:t> </w:t>
            </w:r>
            <w:r>
              <w:rPr>
                <w:rFonts w:ascii="黑体" w:hAnsi="黑体" w:cs="黑体" w:eastAsia="黑体" w:hint="default"/>
                <w:spacing w:val="-1"/>
                <w:sz w:val="20"/>
                <w:szCs w:val="20"/>
              </w:rPr>
              <w:t>注</w:t>
            </w:r>
            <w:r>
              <w:rPr>
                <w:rFonts w:ascii="Arial" w:hAnsi="Arial" w:cs="Arial" w:eastAsia="Arial" w:hint="default"/>
                <w:spacing w:val="-1"/>
                <w:sz w:val="20"/>
                <w:szCs w:val="20"/>
              </w:rPr>
              <w:t>4.</w:t>
            </w:r>
            <w:r>
              <w:rPr>
                <w:rFonts w:ascii="黑体" w:hAnsi="黑体" w:cs="黑体" w:eastAsia="黑体" w:hint="default"/>
                <w:spacing w:val="-1"/>
                <w:sz w:val="20"/>
                <w:szCs w:val="20"/>
              </w:rPr>
              <w:t>参见附注五、</w:t>
            </w:r>
            <w:r>
              <w:rPr>
                <w:rFonts w:ascii="Arial" w:hAnsi="Arial" w:cs="Arial" w:eastAsia="Arial" w:hint="default"/>
                <w:spacing w:val="-1"/>
                <w:sz w:val="20"/>
                <w:szCs w:val="20"/>
              </w:rPr>
              <w:t>41</w:t>
            </w:r>
            <w:r>
              <w:rPr>
                <w:rFonts w:ascii="黑体" w:hAnsi="黑体" w:cs="黑体" w:eastAsia="黑体" w:hint="default"/>
                <w:spacing w:val="-1"/>
                <w:sz w:val="20"/>
                <w:szCs w:val="20"/>
              </w:rPr>
              <w:t>。</w:t>
            </w:r>
          </w:p>
        </w:tc>
        <w:tc>
          <w:tcPr>
            <w:tcW w:w="2129"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958" w:footer="466" w:top="2560" w:bottom="660" w:left="1560" w:right="0"/>
        </w:sectPr>
      </w:pP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15"/>
          <w:szCs w:val="15"/>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b/>
          <w:bCs/>
          <w:spacing w:val="-2"/>
          <w:sz w:val="20"/>
          <w:szCs w:val="20"/>
        </w:rPr>
        <w:t> </w:t>
      </w: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62" w:val="left" w:leader="none"/>
        </w:tabs>
        <w:spacing w:before="0"/>
        <w:ind w:left="123" w:right="1058" w:firstLine="0"/>
        <w:jc w:val="left"/>
        <w:rPr>
          <w:rFonts w:ascii="黑体" w:hAnsi="黑体" w:cs="黑体" w:eastAsia="黑体" w:hint="default"/>
          <w:sz w:val="20"/>
          <w:szCs w:val="20"/>
        </w:rPr>
      </w:pPr>
      <w:r>
        <w:rPr>
          <w:rFonts w:ascii="Arial" w:hAnsi="Arial" w:cs="Arial" w:eastAsia="Arial" w:hint="default"/>
          <w:b/>
          <w:bCs/>
          <w:spacing w:val="-1"/>
          <w:sz w:val="20"/>
          <w:szCs w:val="20"/>
        </w:rPr>
        <w:t>36.</w:t>
        <w:tab/>
      </w:r>
      <w:r>
        <w:rPr>
          <w:rFonts w:ascii="黑体" w:hAnsi="黑体" w:cs="黑体" w:eastAsia="黑体" w:hint="default"/>
          <w:b/>
          <w:bCs/>
          <w:sz w:val="20"/>
          <w:szCs w:val="20"/>
        </w:rPr>
        <w:t>每股收益</w:t>
      </w:r>
      <w:r>
        <w:rPr>
          <w:rFonts w:ascii="黑体" w:hAnsi="黑体" w:cs="黑体" w:eastAsia="黑体" w:hint="default"/>
          <w:sz w:val="20"/>
          <w:szCs w:val="20"/>
        </w:rPr>
      </w:r>
    </w:p>
    <w:p>
      <w:pPr>
        <w:spacing w:line="240" w:lineRule="auto" w:before="4"/>
        <w:rPr>
          <w:rFonts w:ascii="黑体" w:hAnsi="黑体" w:cs="黑体" w:eastAsia="黑体" w:hint="default"/>
          <w:b/>
          <w:bCs/>
          <w:sz w:val="18"/>
          <w:szCs w:val="18"/>
        </w:rPr>
      </w:pPr>
    </w:p>
    <w:p>
      <w:pPr>
        <w:pStyle w:val="BodyText"/>
        <w:spacing w:line="260" w:lineRule="exact"/>
        <w:ind w:left="855" w:right="1695"/>
        <w:jc w:val="both"/>
      </w:pPr>
      <w:r>
        <w:rPr>
          <w:spacing w:val="-1"/>
        </w:rPr>
        <w:t>基本每股收益按照归属于本公司普通股股东的当期净利润，除以发行在外普通股的加权平</w:t>
      </w:r>
      <w:r>
        <w:rPr>
          <w:spacing w:val="-80"/>
        </w:rPr>
        <w:t> </w:t>
      </w:r>
      <w:r>
        <w:rPr>
          <w:spacing w:val="-80"/>
        </w:rPr>
      </w:r>
      <w:r>
        <w:rPr>
          <w:spacing w:val="-1"/>
        </w:rPr>
        <w:t>均数计算。新发行普通股股数，根据发行合同的具体条款，从应收对价之日（一般为股票</w:t>
      </w:r>
      <w:r>
        <w:rPr>
          <w:spacing w:val="-82"/>
        </w:rPr>
        <w:t> </w:t>
      </w:r>
      <w:r>
        <w:rPr>
          <w:spacing w:val="-82"/>
        </w:rPr>
      </w:r>
      <w:r>
        <w:rPr/>
        <w:t>发行日）起计算确定。</w:t>
      </w:r>
    </w:p>
    <w:p>
      <w:pPr>
        <w:spacing w:line="240" w:lineRule="auto" w:before="8"/>
        <w:rPr>
          <w:rFonts w:ascii="黑体" w:hAnsi="黑体" w:cs="黑体" w:eastAsia="黑体" w:hint="default"/>
          <w:sz w:val="12"/>
          <w:szCs w:val="12"/>
        </w:rPr>
      </w:pPr>
    </w:p>
    <w:tbl>
      <w:tblPr>
        <w:tblW w:w="0" w:type="auto"/>
        <w:jc w:val="left"/>
        <w:tblInd w:w="106" w:type="dxa"/>
        <w:tblLayout w:type="fixed"/>
        <w:tblCellMar>
          <w:top w:w="0" w:type="dxa"/>
          <w:left w:w="0" w:type="dxa"/>
          <w:bottom w:w="0" w:type="dxa"/>
          <w:right w:w="0" w:type="dxa"/>
        </w:tblCellMar>
        <w:tblLook w:val="01E0"/>
      </w:tblPr>
      <w:tblGrid>
        <w:gridCol w:w="524"/>
        <w:gridCol w:w="4661"/>
        <w:gridCol w:w="1790"/>
        <w:gridCol w:w="1592"/>
      </w:tblGrid>
      <w:tr>
        <w:trPr>
          <w:trHeight w:val="951" w:hRule="exact"/>
        </w:trPr>
        <w:tc>
          <w:tcPr>
            <w:tcW w:w="524" w:type="dxa"/>
            <w:vMerge w:val="restart"/>
            <w:tcBorders>
              <w:top w:val="nil" w:sz="6" w:space="0" w:color="auto"/>
              <w:left w:val="nil" w:sz="6" w:space="0" w:color="auto"/>
              <w:right w:val="nil" w:sz="6" w:space="0" w:color="auto"/>
            </w:tcBorders>
          </w:tcPr>
          <w:p>
            <w:pPr/>
          </w:p>
        </w:tc>
        <w:tc>
          <w:tcPr>
            <w:tcW w:w="466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24" w:right="0"/>
              <w:jc w:val="left"/>
              <w:rPr>
                <w:rFonts w:ascii="黑体" w:hAnsi="黑体" w:cs="黑体" w:eastAsia="黑体" w:hint="default"/>
                <w:sz w:val="20"/>
                <w:szCs w:val="20"/>
              </w:rPr>
            </w:pPr>
            <w:r>
              <w:rPr>
                <w:rFonts w:ascii="黑体" w:hAnsi="黑体" w:cs="黑体" w:eastAsia="黑体" w:hint="default"/>
                <w:sz w:val="20"/>
                <w:szCs w:val="20"/>
              </w:rPr>
              <w:t>基本每股收益与稀释每股收益的具体计算如下：</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5"/>
              <w:ind w:right="0"/>
              <w:jc w:val="left"/>
              <w:rPr>
                <w:rFonts w:ascii="黑体" w:hAnsi="黑体" w:cs="黑体" w:eastAsia="黑体" w:hint="default"/>
                <w:sz w:val="20"/>
                <w:szCs w:val="20"/>
              </w:rPr>
            </w:pPr>
          </w:p>
          <w:p>
            <w:pPr>
              <w:pStyle w:val="TableParagraph"/>
              <w:spacing w:line="240" w:lineRule="auto"/>
              <w:ind w:right="440"/>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5"/>
              <w:ind w:right="0"/>
              <w:jc w:val="left"/>
              <w:rPr>
                <w:rFonts w:ascii="黑体" w:hAnsi="黑体" w:cs="黑体" w:eastAsia="黑体" w:hint="default"/>
                <w:sz w:val="20"/>
                <w:szCs w:val="20"/>
              </w:rPr>
            </w:pPr>
          </w:p>
          <w:p>
            <w:pPr>
              <w:pStyle w:val="TableParagraph"/>
              <w:spacing w:line="240" w:lineRule="auto"/>
              <w:ind w:right="48"/>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383" w:hRule="exact"/>
        </w:trPr>
        <w:tc>
          <w:tcPr>
            <w:tcW w:w="524" w:type="dxa"/>
            <w:vMerge/>
            <w:tcBorders>
              <w:left w:val="nil" w:sz="6" w:space="0" w:color="auto"/>
              <w:right w:val="nil" w:sz="6" w:space="0" w:color="auto"/>
            </w:tcBorders>
          </w:tcPr>
          <w:p>
            <w:pPr/>
          </w:p>
        </w:tc>
        <w:tc>
          <w:tcPr>
            <w:tcW w:w="4661" w:type="dxa"/>
            <w:tcBorders>
              <w:top w:val="nil" w:sz="6" w:space="0" w:color="auto"/>
              <w:left w:val="nil" w:sz="6" w:space="0" w:color="auto"/>
              <w:bottom w:val="nil" w:sz="6" w:space="0" w:color="auto"/>
              <w:right w:val="nil" w:sz="6" w:space="0" w:color="auto"/>
            </w:tcBorders>
          </w:tcPr>
          <w:p>
            <w:pPr>
              <w:pStyle w:val="TableParagraph"/>
              <w:spacing w:line="240" w:lineRule="auto" w:before="91"/>
              <w:ind w:left="216" w:right="0"/>
              <w:jc w:val="left"/>
              <w:rPr>
                <w:rFonts w:ascii="黑体" w:hAnsi="黑体" w:cs="黑体" w:eastAsia="黑体" w:hint="default"/>
                <w:sz w:val="20"/>
                <w:szCs w:val="20"/>
              </w:rPr>
            </w:pPr>
            <w:r>
              <w:rPr>
                <w:rFonts w:ascii="黑体" w:hAnsi="黑体" w:cs="黑体" w:eastAsia="黑体" w:hint="default"/>
                <w:sz w:val="20"/>
                <w:szCs w:val="20"/>
              </w:rPr>
              <w:t>收益</w:t>
            </w:r>
          </w:p>
        </w:tc>
        <w:tc>
          <w:tcPr>
            <w:tcW w:w="1790"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r>
      <w:tr>
        <w:trPr>
          <w:trHeight w:val="259" w:hRule="exact"/>
        </w:trPr>
        <w:tc>
          <w:tcPr>
            <w:tcW w:w="524" w:type="dxa"/>
            <w:vMerge/>
            <w:tcBorders>
              <w:left w:val="nil" w:sz="6" w:space="0" w:color="auto"/>
              <w:right w:val="nil" w:sz="6" w:space="0" w:color="auto"/>
            </w:tcBorders>
          </w:tcPr>
          <w:p>
            <w:pPr/>
          </w:p>
        </w:tc>
        <w:tc>
          <w:tcPr>
            <w:tcW w:w="4661" w:type="dxa"/>
            <w:tcBorders>
              <w:top w:val="nil" w:sz="6" w:space="0" w:color="auto"/>
              <w:left w:val="nil" w:sz="6" w:space="0" w:color="auto"/>
              <w:bottom w:val="nil" w:sz="6" w:space="0" w:color="auto"/>
              <w:right w:val="nil" w:sz="6" w:space="0" w:color="auto"/>
            </w:tcBorders>
          </w:tcPr>
          <w:p>
            <w:pPr>
              <w:pStyle w:val="TableParagraph"/>
              <w:spacing w:line="230" w:lineRule="exact"/>
              <w:ind w:left="216" w:right="0"/>
              <w:jc w:val="left"/>
              <w:rPr>
                <w:rFonts w:ascii="黑体" w:hAnsi="黑体" w:cs="黑体" w:eastAsia="黑体" w:hint="default"/>
                <w:sz w:val="20"/>
                <w:szCs w:val="20"/>
              </w:rPr>
            </w:pPr>
            <w:r>
              <w:rPr>
                <w:rFonts w:ascii="黑体" w:hAnsi="黑体" w:cs="黑体" w:eastAsia="黑体" w:hint="default"/>
                <w:sz w:val="20"/>
                <w:szCs w:val="20"/>
              </w:rPr>
              <w:t>归属于本公司普通股股东的当期净利润</w:t>
            </w:r>
          </w:p>
        </w:tc>
        <w:tc>
          <w:tcPr>
            <w:tcW w:w="1790"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r>
      <w:tr>
        <w:trPr>
          <w:trHeight w:val="391" w:hRule="exact"/>
        </w:trPr>
        <w:tc>
          <w:tcPr>
            <w:tcW w:w="524" w:type="dxa"/>
            <w:vMerge/>
            <w:tcBorders>
              <w:left w:val="nil" w:sz="6" w:space="0" w:color="auto"/>
              <w:right w:val="nil" w:sz="6" w:space="0" w:color="auto"/>
            </w:tcBorders>
          </w:tcPr>
          <w:p>
            <w:pPr/>
          </w:p>
        </w:tc>
        <w:tc>
          <w:tcPr>
            <w:tcW w:w="4661" w:type="dxa"/>
            <w:tcBorders>
              <w:top w:val="nil" w:sz="6" w:space="0" w:color="auto"/>
              <w:left w:val="nil" w:sz="6" w:space="0" w:color="auto"/>
              <w:bottom w:val="nil" w:sz="6" w:space="0" w:color="auto"/>
              <w:right w:val="nil" w:sz="6" w:space="0" w:color="auto"/>
            </w:tcBorders>
          </w:tcPr>
          <w:p>
            <w:pPr>
              <w:pStyle w:val="TableParagraph"/>
              <w:spacing w:line="230" w:lineRule="exact"/>
              <w:ind w:left="216" w:right="0"/>
              <w:jc w:val="left"/>
              <w:rPr>
                <w:rFonts w:ascii="黑体" w:hAnsi="黑体" w:cs="黑体" w:eastAsia="黑体" w:hint="default"/>
                <w:sz w:val="20"/>
                <w:szCs w:val="20"/>
              </w:rPr>
            </w:pPr>
            <w:r>
              <w:rPr>
                <w:rFonts w:ascii="黑体" w:hAnsi="黑体" w:cs="黑体" w:eastAsia="黑体" w:hint="default"/>
                <w:sz w:val="20"/>
                <w:szCs w:val="20"/>
              </w:rPr>
              <w:t>持续经营</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39"/>
              <w:jc w:val="right"/>
              <w:rPr>
                <w:rFonts w:ascii="Arial" w:hAnsi="Arial" w:cs="Arial" w:eastAsia="Arial" w:hint="default"/>
                <w:sz w:val="20"/>
                <w:szCs w:val="20"/>
              </w:rPr>
            </w:pPr>
            <w:r>
              <w:rPr>
                <w:rFonts w:ascii="Arial"/>
                <w:w w:val="100"/>
                <w:sz w:val="20"/>
              </w:rPr>
            </w:r>
            <w:r>
              <w:rPr>
                <w:rFonts w:ascii="Arial"/>
                <w:spacing w:val="-1"/>
                <w:sz w:val="20"/>
                <w:u w:val="thick" w:color="000000"/>
              </w:rPr>
              <w:t>544,023,762</w:t>
            </w:r>
            <w:r>
              <w:rPr>
                <w:rFonts w:ascii="Arial"/>
                <w:spacing w:val="-1"/>
                <w:sz w:val="20"/>
              </w:rPr>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7"/>
              <w:jc w:val="right"/>
              <w:rPr>
                <w:rFonts w:ascii="Arial" w:hAnsi="Arial" w:cs="Arial" w:eastAsia="Arial" w:hint="default"/>
                <w:sz w:val="20"/>
                <w:szCs w:val="20"/>
              </w:rPr>
            </w:pPr>
            <w:r>
              <w:rPr>
                <w:rFonts w:ascii="Arial"/>
                <w:w w:val="100"/>
                <w:sz w:val="20"/>
              </w:rPr>
            </w:r>
            <w:r>
              <w:rPr>
                <w:rFonts w:ascii="Arial"/>
                <w:spacing w:val="-1"/>
                <w:sz w:val="20"/>
                <w:u w:val="thick" w:color="000000"/>
              </w:rPr>
              <w:t>399,548,568</w:t>
            </w:r>
            <w:r>
              <w:rPr>
                <w:rFonts w:ascii="Arial"/>
                <w:spacing w:val="-1"/>
                <w:sz w:val="20"/>
              </w:rPr>
            </w:r>
          </w:p>
        </w:tc>
      </w:tr>
      <w:tr>
        <w:trPr>
          <w:trHeight w:val="383" w:hRule="exact"/>
        </w:trPr>
        <w:tc>
          <w:tcPr>
            <w:tcW w:w="524" w:type="dxa"/>
            <w:vMerge/>
            <w:tcBorders>
              <w:left w:val="nil" w:sz="6" w:space="0" w:color="auto"/>
              <w:right w:val="nil" w:sz="6" w:space="0" w:color="auto"/>
            </w:tcBorders>
          </w:tcPr>
          <w:p>
            <w:pPr/>
          </w:p>
        </w:tc>
        <w:tc>
          <w:tcPr>
            <w:tcW w:w="4661" w:type="dxa"/>
            <w:tcBorders>
              <w:top w:val="nil" w:sz="6" w:space="0" w:color="auto"/>
              <w:left w:val="nil" w:sz="6" w:space="0" w:color="auto"/>
              <w:bottom w:val="nil" w:sz="6" w:space="0" w:color="auto"/>
              <w:right w:val="nil" w:sz="6" w:space="0" w:color="auto"/>
            </w:tcBorders>
          </w:tcPr>
          <w:p>
            <w:pPr>
              <w:pStyle w:val="TableParagraph"/>
              <w:spacing w:line="240" w:lineRule="auto" w:before="92"/>
              <w:ind w:left="216" w:right="0"/>
              <w:jc w:val="left"/>
              <w:rPr>
                <w:rFonts w:ascii="黑体" w:hAnsi="黑体" w:cs="黑体" w:eastAsia="黑体" w:hint="default"/>
                <w:sz w:val="20"/>
                <w:szCs w:val="20"/>
              </w:rPr>
            </w:pPr>
            <w:r>
              <w:rPr>
                <w:rFonts w:ascii="黑体" w:hAnsi="黑体" w:cs="黑体" w:eastAsia="黑体" w:hint="default"/>
                <w:sz w:val="20"/>
                <w:szCs w:val="20"/>
              </w:rPr>
              <w:t>股份</w:t>
            </w:r>
          </w:p>
        </w:tc>
        <w:tc>
          <w:tcPr>
            <w:tcW w:w="1790"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r>
      <w:tr>
        <w:trPr>
          <w:trHeight w:val="493" w:hRule="exact"/>
        </w:trPr>
        <w:tc>
          <w:tcPr>
            <w:tcW w:w="524" w:type="dxa"/>
            <w:vMerge/>
            <w:tcBorders>
              <w:left w:val="nil" w:sz="6" w:space="0" w:color="auto"/>
              <w:bottom w:val="nil" w:sz="6" w:space="0" w:color="auto"/>
              <w:right w:val="nil" w:sz="6" w:space="0" w:color="auto"/>
            </w:tcBorders>
          </w:tcPr>
          <w:p>
            <w:pPr/>
          </w:p>
        </w:tc>
        <w:tc>
          <w:tcPr>
            <w:tcW w:w="4661" w:type="dxa"/>
            <w:tcBorders>
              <w:top w:val="nil" w:sz="6" w:space="0" w:color="auto"/>
              <w:left w:val="nil" w:sz="6" w:space="0" w:color="auto"/>
              <w:bottom w:val="nil" w:sz="6" w:space="0" w:color="auto"/>
              <w:right w:val="nil" w:sz="6" w:space="0" w:color="auto"/>
            </w:tcBorders>
          </w:tcPr>
          <w:p>
            <w:pPr>
              <w:pStyle w:val="TableParagraph"/>
              <w:spacing w:line="230" w:lineRule="exact"/>
              <w:ind w:left="216" w:right="0"/>
              <w:jc w:val="left"/>
              <w:rPr>
                <w:rFonts w:ascii="黑体" w:hAnsi="黑体" w:cs="黑体" w:eastAsia="黑体" w:hint="default"/>
                <w:sz w:val="20"/>
                <w:szCs w:val="20"/>
              </w:rPr>
            </w:pPr>
            <w:r>
              <w:rPr>
                <w:rFonts w:ascii="黑体" w:hAnsi="黑体" w:cs="黑体" w:eastAsia="黑体" w:hint="default"/>
                <w:sz w:val="20"/>
                <w:szCs w:val="20"/>
              </w:rPr>
              <w:t>本公司发行在外普通股的加权平均数</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39"/>
              <w:jc w:val="right"/>
              <w:rPr>
                <w:rFonts w:ascii="Arial" w:hAnsi="Arial" w:cs="Arial" w:eastAsia="Arial" w:hint="default"/>
                <w:sz w:val="20"/>
                <w:szCs w:val="20"/>
              </w:rPr>
            </w:pPr>
            <w:r>
              <w:rPr>
                <w:rFonts w:ascii="Arial"/>
                <w:w w:val="100"/>
                <w:sz w:val="20"/>
              </w:rPr>
            </w:r>
            <w:r>
              <w:rPr>
                <w:rFonts w:ascii="Arial"/>
                <w:spacing w:val="-1"/>
                <w:sz w:val="20"/>
                <w:u w:val="thick" w:color="000000"/>
              </w:rPr>
              <w:t>611,974,847</w:t>
            </w:r>
            <w:r>
              <w:rPr>
                <w:rFonts w:ascii="Arial"/>
                <w:spacing w:val="-1"/>
                <w:sz w:val="20"/>
              </w:rPr>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7"/>
              <w:jc w:val="right"/>
              <w:rPr>
                <w:rFonts w:ascii="Arial" w:hAnsi="Arial" w:cs="Arial" w:eastAsia="Arial" w:hint="default"/>
                <w:sz w:val="20"/>
                <w:szCs w:val="20"/>
              </w:rPr>
            </w:pPr>
            <w:r>
              <w:rPr>
                <w:rFonts w:ascii="Arial"/>
                <w:w w:val="100"/>
                <w:sz w:val="20"/>
              </w:rPr>
            </w:r>
            <w:r>
              <w:rPr>
                <w:rFonts w:ascii="Arial"/>
                <w:spacing w:val="-1"/>
                <w:sz w:val="20"/>
                <w:u w:val="thick" w:color="000000"/>
              </w:rPr>
              <w:t>602,348,408</w:t>
            </w:r>
            <w:r>
              <w:rPr>
                <w:rFonts w:ascii="Arial"/>
                <w:spacing w:val="-1"/>
                <w:sz w:val="20"/>
              </w:rPr>
            </w:r>
          </w:p>
        </w:tc>
      </w:tr>
      <w:tr>
        <w:trPr>
          <w:trHeight w:val="605" w:hRule="exact"/>
        </w:trPr>
        <w:tc>
          <w:tcPr>
            <w:tcW w:w="52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8"/>
                <w:szCs w:val="18"/>
              </w:rPr>
            </w:pPr>
          </w:p>
          <w:p>
            <w:pPr>
              <w:pStyle w:val="TableParagraph"/>
              <w:spacing w:line="240" w:lineRule="auto"/>
              <w:ind w:left="35" w:right="0"/>
              <w:jc w:val="left"/>
              <w:rPr>
                <w:rFonts w:ascii="Arial" w:hAnsi="Arial" w:cs="Arial" w:eastAsia="Arial" w:hint="default"/>
                <w:sz w:val="20"/>
                <w:szCs w:val="20"/>
              </w:rPr>
            </w:pPr>
            <w:r>
              <w:rPr>
                <w:rFonts w:ascii="Arial"/>
                <w:b/>
                <w:sz w:val="20"/>
              </w:rPr>
              <w:t>37.</w:t>
            </w:r>
            <w:r>
              <w:rPr>
                <w:rFonts w:ascii="Arial"/>
                <w:sz w:val="20"/>
              </w:rPr>
            </w:r>
          </w:p>
        </w:tc>
        <w:tc>
          <w:tcPr>
            <w:tcW w:w="466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sz w:val="14"/>
                <w:szCs w:val="14"/>
              </w:rPr>
            </w:pPr>
          </w:p>
          <w:p>
            <w:pPr>
              <w:pStyle w:val="TableParagraph"/>
              <w:spacing w:line="240" w:lineRule="auto"/>
              <w:ind w:left="210" w:right="0"/>
              <w:jc w:val="left"/>
              <w:rPr>
                <w:rFonts w:ascii="黑体" w:hAnsi="黑体" w:cs="黑体" w:eastAsia="黑体" w:hint="default"/>
                <w:sz w:val="20"/>
                <w:szCs w:val="20"/>
              </w:rPr>
            </w:pPr>
            <w:r>
              <w:rPr>
                <w:rFonts w:ascii="黑体" w:hAnsi="黑体" w:cs="黑体" w:eastAsia="黑体" w:hint="default"/>
                <w:b/>
                <w:bCs/>
                <w:sz w:val="20"/>
                <w:szCs w:val="20"/>
              </w:rPr>
              <w:t>现金流量表项目注释</w:t>
            </w:r>
            <w:r>
              <w:rPr>
                <w:rFonts w:ascii="黑体" w:hAnsi="黑体" w:cs="黑体" w:eastAsia="黑体" w:hint="default"/>
                <w:sz w:val="20"/>
                <w:szCs w:val="20"/>
              </w:rPr>
            </w:r>
          </w:p>
        </w:tc>
        <w:tc>
          <w:tcPr>
            <w:tcW w:w="1790"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r>
      <w:tr>
        <w:trPr>
          <w:trHeight w:val="485" w:hRule="exact"/>
        </w:trPr>
        <w:tc>
          <w:tcPr>
            <w:tcW w:w="524" w:type="dxa"/>
            <w:tcBorders>
              <w:top w:val="nil" w:sz="6" w:space="0" w:color="auto"/>
              <w:left w:val="nil" w:sz="6" w:space="0" w:color="auto"/>
              <w:bottom w:val="nil" w:sz="6" w:space="0" w:color="auto"/>
              <w:right w:val="nil" w:sz="6" w:space="0" w:color="auto"/>
            </w:tcBorders>
          </w:tcPr>
          <w:p>
            <w:pPr/>
          </w:p>
        </w:tc>
        <w:tc>
          <w:tcPr>
            <w:tcW w:w="466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25" w:right="0"/>
              <w:jc w:val="left"/>
              <w:rPr>
                <w:rFonts w:ascii="黑体" w:hAnsi="黑体" w:cs="黑体" w:eastAsia="黑体" w:hint="default"/>
                <w:sz w:val="20"/>
                <w:szCs w:val="20"/>
              </w:rPr>
            </w:pPr>
            <w:r>
              <w:rPr>
                <w:rFonts w:ascii="黑体" w:hAnsi="黑体" w:cs="黑体" w:eastAsia="黑体" w:hint="default"/>
                <w:sz w:val="20"/>
                <w:szCs w:val="20"/>
              </w:rPr>
              <w:t>支付的其他与经营活动有关的现金主要包括：</w:t>
            </w:r>
          </w:p>
        </w:tc>
        <w:tc>
          <w:tcPr>
            <w:tcW w:w="1790"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r>
      <w:tr>
        <w:trPr>
          <w:trHeight w:val="504" w:hRule="exact"/>
        </w:trPr>
        <w:tc>
          <w:tcPr>
            <w:tcW w:w="524" w:type="dxa"/>
            <w:tcBorders>
              <w:top w:val="nil" w:sz="6" w:space="0" w:color="auto"/>
              <w:left w:val="nil" w:sz="6" w:space="0" w:color="auto"/>
              <w:bottom w:val="nil" w:sz="6" w:space="0" w:color="auto"/>
              <w:right w:val="nil" w:sz="6" w:space="0" w:color="auto"/>
            </w:tcBorders>
          </w:tcPr>
          <w:p>
            <w:pPr/>
          </w:p>
        </w:tc>
        <w:tc>
          <w:tcPr>
            <w:tcW w:w="4661" w:type="dxa"/>
            <w:tcBorders>
              <w:top w:val="nil" w:sz="6" w:space="0" w:color="auto"/>
              <w:left w:val="nil" w:sz="6" w:space="0" w:color="auto"/>
              <w:bottom w:val="nil" w:sz="6" w:space="0" w:color="auto"/>
              <w:right w:val="nil" w:sz="6" w:space="0" w:color="auto"/>
            </w:tcBorders>
          </w:tcPr>
          <w:p>
            <w:pP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26"/>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369" w:hRule="exact"/>
        </w:trPr>
        <w:tc>
          <w:tcPr>
            <w:tcW w:w="524" w:type="dxa"/>
            <w:tcBorders>
              <w:top w:val="nil" w:sz="6" w:space="0" w:color="auto"/>
              <w:left w:val="nil" w:sz="6" w:space="0" w:color="auto"/>
              <w:bottom w:val="nil" w:sz="6" w:space="0" w:color="auto"/>
              <w:right w:val="nil" w:sz="6" w:space="0" w:color="auto"/>
            </w:tcBorders>
          </w:tcPr>
          <w:p>
            <w:pPr/>
          </w:p>
        </w:tc>
        <w:tc>
          <w:tcPr>
            <w:tcW w:w="4661" w:type="dxa"/>
            <w:tcBorders>
              <w:top w:val="nil" w:sz="6" w:space="0" w:color="auto"/>
              <w:left w:val="nil" w:sz="6" w:space="0" w:color="auto"/>
              <w:bottom w:val="nil" w:sz="6" w:space="0" w:color="auto"/>
              <w:right w:val="nil" w:sz="6" w:space="0" w:color="auto"/>
            </w:tcBorders>
          </w:tcPr>
          <w:p>
            <w:pPr>
              <w:pStyle w:val="TableParagraph"/>
              <w:spacing w:line="240" w:lineRule="auto" w:before="89"/>
              <w:ind w:left="248" w:right="0"/>
              <w:jc w:val="left"/>
              <w:rPr>
                <w:rFonts w:ascii="黑体" w:hAnsi="黑体" w:cs="黑体" w:eastAsia="黑体" w:hint="default"/>
                <w:sz w:val="20"/>
                <w:szCs w:val="20"/>
              </w:rPr>
            </w:pPr>
            <w:r>
              <w:rPr>
                <w:rFonts w:ascii="黑体" w:hAnsi="黑体" w:cs="黑体" w:eastAsia="黑体" w:hint="default"/>
                <w:sz w:val="20"/>
                <w:szCs w:val="20"/>
              </w:rPr>
              <w:t>业务宣传费</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426"/>
              <w:jc w:val="right"/>
              <w:rPr>
                <w:rFonts w:ascii="Arial" w:hAnsi="Arial" w:cs="Arial" w:eastAsia="Arial" w:hint="default"/>
                <w:sz w:val="20"/>
                <w:szCs w:val="20"/>
              </w:rPr>
            </w:pPr>
            <w:r>
              <w:rPr>
                <w:rFonts w:ascii="Arial"/>
                <w:spacing w:val="-1"/>
                <w:sz w:val="20"/>
              </w:rPr>
              <w:t>93,314,645</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52"/>
              <w:jc w:val="right"/>
              <w:rPr>
                <w:rFonts w:ascii="Arial" w:hAnsi="Arial" w:cs="Arial" w:eastAsia="Arial" w:hint="default"/>
                <w:sz w:val="20"/>
                <w:szCs w:val="20"/>
              </w:rPr>
            </w:pPr>
            <w:r>
              <w:rPr>
                <w:rFonts w:ascii="Arial"/>
                <w:spacing w:val="-1"/>
                <w:sz w:val="20"/>
              </w:rPr>
              <w:t>56,573,965</w:t>
            </w:r>
          </w:p>
        </w:tc>
      </w:tr>
      <w:tr>
        <w:trPr>
          <w:trHeight w:val="264" w:hRule="exact"/>
        </w:trPr>
        <w:tc>
          <w:tcPr>
            <w:tcW w:w="524" w:type="dxa"/>
            <w:tcBorders>
              <w:top w:val="nil" w:sz="6" w:space="0" w:color="auto"/>
              <w:left w:val="nil" w:sz="6" w:space="0" w:color="auto"/>
              <w:bottom w:val="nil" w:sz="6" w:space="0" w:color="auto"/>
              <w:right w:val="nil" w:sz="6" w:space="0" w:color="auto"/>
            </w:tcBorders>
          </w:tcPr>
          <w:p>
            <w:pPr/>
          </w:p>
        </w:tc>
        <w:tc>
          <w:tcPr>
            <w:tcW w:w="4661" w:type="dxa"/>
            <w:tcBorders>
              <w:top w:val="nil" w:sz="6" w:space="0" w:color="auto"/>
              <w:left w:val="nil" w:sz="6" w:space="0" w:color="auto"/>
              <w:bottom w:val="nil" w:sz="6" w:space="0" w:color="auto"/>
              <w:right w:val="nil" w:sz="6" w:space="0" w:color="auto"/>
            </w:tcBorders>
          </w:tcPr>
          <w:p>
            <w:pPr>
              <w:pStyle w:val="TableParagraph"/>
              <w:spacing w:line="236" w:lineRule="exact"/>
              <w:ind w:left="248" w:right="0"/>
              <w:jc w:val="left"/>
              <w:rPr>
                <w:rFonts w:ascii="黑体" w:hAnsi="黑体" w:cs="黑体" w:eastAsia="黑体" w:hint="default"/>
                <w:sz w:val="20"/>
                <w:szCs w:val="20"/>
              </w:rPr>
            </w:pPr>
            <w:r>
              <w:rPr>
                <w:rFonts w:ascii="黑体" w:hAnsi="黑体" w:cs="黑体" w:eastAsia="黑体" w:hint="default"/>
                <w:sz w:val="20"/>
                <w:szCs w:val="20"/>
              </w:rPr>
              <w:t>差旅交通费</w:t>
            </w:r>
          </w:p>
        </w:tc>
        <w:tc>
          <w:tcPr>
            <w:tcW w:w="1790" w:type="dxa"/>
            <w:tcBorders>
              <w:top w:val="nil" w:sz="6" w:space="0" w:color="auto"/>
              <w:left w:val="nil" w:sz="6" w:space="0" w:color="auto"/>
              <w:bottom w:val="nil" w:sz="6" w:space="0" w:color="auto"/>
              <w:right w:val="nil" w:sz="6" w:space="0" w:color="auto"/>
            </w:tcBorders>
          </w:tcPr>
          <w:p>
            <w:pPr>
              <w:pStyle w:val="TableParagraph"/>
              <w:spacing w:line="219" w:lineRule="exact"/>
              <w:ind w:right="426"/>
              <w:jc w:val="right"/>
              <w:rPr>
                <w:rFonts w:ascii="Arial" w:hAnsi="Arial" w:cs="Arial" w:eastAsia="Arial" w:hint="default"/>
                <w:sz w:val="20"/>
                <w:szCs w:val="20"/>
              </w:rPr>
            </w:pPr>
            <w:r>
              <w:rPr>
                <w:rFonts w:ascii="Arial"/>
                <w:spacing w:val="-1"/>
                <w:sz w:val="20"/>
              </w:rPr>
              <w:t>92,475,519</w:t>
            </w:r>
          </w:p>
        </w:tc>
        <w:tc>
          <w:tcPr>
            <w:tcW w:w="1592" w:type="dxa"/>
            <w:tcBorders>
              <w:top w:val="nil" w:sz="6" w:space="0" w:color="auto"/>
              <w:left w:val="nil" w:sz="6" w:space="0" w:color="auto"/>
              <w:bottom w:val="nil" w:sz="6" w:space="0" w:color="auto"/>
              <w:right w:val="nil" w:sz="6" w:space="0" w:color="auto"/>
            </w:tcBorders>
          </w:tcPr>
          <w:p>
            <w:pPr>
              <w:pStyle w:val="TableParagraph"/>
              <w:spacing w:line="219" w:lineRule="exact"/>
              <w:ind w:right="52"/>
              <w:jc w:val="right"/>
              <w:rPr>
                <w:rFonts w:ascii="Arial" w:hAnsi="Arial" w:cs="Arial" w:eastAsia="Arial" w:hint="default"/>
                <w:sz w:val="20"/>
                <w:szCs w:val="20"/>
              </w:rPr>
            </w:pPr>
            <w:r>
              <w:rPr>
                <w:rFonts w:ascii="Arial"/>
                <w:spacing w:val="-1"/>
                <w:sz w:val="20"/>
              </w:rPr>
              <w:t>82,757,209</w:t>
            </w:r>
          </w:p>
        </w:tc>
      </w:tr>
      <w:tr>
        <w:trPr>
          <w:trHeight w:val="257" w:hRule="exact"/>
        </w:trPr>
        <w:tc>
          <w:tcPr>
            <w:tcW w:w="524" w:type="dxa"/>
            <w:tcBorders>
              <w:top w:val="nil" w:sz="6" w:space="0" w:color="auto"/>
              <w:left w:val="nil" w:sz="6" w:space="0" w:color="auto"/>
              <w:bottom w:val="nil" w:sz="6" w:space="0" w:color="auto"/>
              <w:right w:val="nil" w:sz="6" w:space="0" w:color="auto"/>
            </w:tcBorders>
          </w:tcPr>
          <w:p>
            <w:pPr/>
          </w:p>
        </w:tc>
        <w:tc>
          <w:tcPr>
            <w:tcW w:w="4661" w:type="dxa"/>
            <w:tcBorders>
              <w:top w:val="nil" w:sz="6" w:space="0" w:color="auto"/>
              <w:left w:val="nil" w:sz="6" w:space="0" w:color="auto"/>
              <w:bottom w:val="nil" w:sz="6" w:space="0" w:color="auto"/>
              <w:right w:val="nil" w:sz="6" w:space="0" w:color="auto"/>
            </w:tcBorders>
          </w:tcPr>
          <w:p>
            <w:pPr>
              <w:pStyle w:val="TableParagraph"/>
              <w:spacing w:line="228" w:lineRule="exact"/>
              <w:ind w:left="248" w:right="0"/>
              <w:jc w:val="left"/>
              <w:rPr>
                <w:rFonts w:ascii="黑体" w:hAnsi="黑体" w:cs="黑体" w:eastAsia="黑体" w:hint="default"/>
                <w:sz w:val="20"/>
                <w:szCs w:val="20"/>
              </w:rPr>
            </w:pPr>
            <w:r>
              <w:rPr>
                <w:rFonts w:ascii="黑体" w:hAnsi="黑体" w:cs="黑体" w:eastAsia="黑体" w:hint="default"/>
                <w:sz w:val="20"/>
                <w:szCs w:val="20"/>
              </w:rPr>
              <w:t>租赁费及物业管理费</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26"/>
              <w:jc w:val="right"/>
              <w:rPr>
                <w:rFonts w:ascii="Arial" w:hAnsi="Arial" w:cs="Arial" w:eastAsia="Arial" w:hint="default"/>
                <w:sz w:val="20"/>
                <w:szCs w:val="20"/>
              </w:rPr>
            </w:pPr>
            <w:r>
              <w:rPr>
                <w:rFonts w:ascii="Arial"/>
                <w:spacing w:val="-1"/>
                <w:sz w:val="20"/>
              </w:rPr>
              <w:t>41,617,209</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52"/>
              <w:jc w:val="right"/>
              <w:rPr>
                <w:rFonts w:ascii="Arial" w:hAnsi="Arial" w:cs="Arial" w:eastAsia="Arial" w:hint="default"/>
                <w:sz w:val="20"/>
                <w:szCs w:val="20"/>
              </w:rPr>
            </w:pPr>
            <w:r>
              <w:rPr>
                <w:rFonts w:ascii="Arial"/>
                <w:spacing w:val="-1"/>
                <w:sz w:val="20"/>
              </w:rPr>
              <w:t>36,934,257</w:t>
            </w:r>
          </w:p>
        </w:tc>
      </w:tr>
      <w:tr>
        <w:trPr>
          <w:trHeight w:val="255" w:hRule="exact"/>
        </w:trPr>
        <w:tc>
          <w:tcPr>
            <w:tcW w:w="524" w:type="dxa"/>
            <w:tcBorders>
              <w:top w:val="nil" w:sz="6" w:space="0" w:color="auto"/>
              <w:left w:val="nil" w:sz="6" w:space="0" w:color="auto"/>
              <w:bottom w:val="nil" w:sz="6" w:space="0" w:color="auto"/>
              <w:right w:val="nil" w:sz="6" w:space="0" w:color="auto"/>
            </w:tcBorders>
          </w:tcPr>
          <w:p>
            <w:pPr/>
          </w:p>
        </w:tc>
        <w:tc>
          <w:tcPr>
            <w:tcW w:w="4661" w:type="dxa"/>
            <w:tcBorders>
              <w:top w:val="nil" w:sz="6" w:space="0" w:color="auto"/>
              <w:left w:val="nil" w:sz="6" w:space="0" w:color="auto"/>
              <w:bottom w:val="nil" w:sz="6" w:space="0" w:color="auto"/>
              <w:right w:val="nil" w:sz="6" w:space="0" w:color="auto"/>
            </w:tcBorders>
          </w:tcPr>
          <w:p>
            <w:pPr>
              <w:pStyle w:val="TableParagraph"/>
              <w:spacing w:line="225" w:lineRule="exact"/>
              <w:ind w:left="248" w:right="0"/>
              <w:jc w:val="left"/>
              <w:rPr>
                <w:rFonts w:ascii="黑体" w:hAnsi="黑体" w:cs="黑体" w:eastAsia="黑体" w:hint="default"/>
                <w:sz w:val="20"/>
                <w:szCs w:val="20"/>
              </w:rPr>
            </w:pPr>
            <w:r>
              <w:rPr>
                <w:rFonts w:ascii="黑体" w:hAnsi="黑体" w:cs="黑体" w:eastAsia="黑体" w:hint="default"/>
                <w:sz w:val="20"/>
                <w:szCs w:val="20"/>
              </w:rPr>
              <w:t>业务招待费</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426"/>
              <w:jc w:val="right"/>
              <w:rPr>
                <w:rFonts w:ascii="Arial" w:hAnsi="Arial" w:cs="Arial" w:eastAsia="Arial" w:hint="default"/>
                <w:sz w:val="20"/>
                <w:szCs w:val="20"/>
              </w:rPr>
            </w:pPr>
            <w:r>
              <w:rPr>
                <w:rFonts w:ascii="Arial"/>
                <w:spacing w:val="-1"/>
                <w:sz w:val="20"/>
              </w:rPr>
              <w:t>34,824,236</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2"/>
              <w:jc w:val="right"/>
              <w:rPr>
                <w:rFonts w:ascii="Arial" w:hAnsi="Arial" w:cs="Arial" w:eastAsia="Arial" w:hint="default"/>
                <w:sz w:val="20"/>
                <w:szCs w:val="20"/>
              </w:rPr>
            </w:pPr>
            <w:r>
              <w:rPr>
                <w:rFonts w:ascii="Arial"/>
                <w:spacing w:val="-1"/>
                <w:sz w:val="20"/>
              </w:rPr>
              <w:t>27,898,663</w:t>
            </w:r>
          </w:p>
        </w:tc>
      </w:tr>
      <w:tr>
        <w:trPr>
          <w:trHeight w:val="255" w:hRule="exact"/>
        </w:trPr>
        <w:tc>
          <w:tcPr>
            <w:tcW w:w="524" w:type="dxa"/>
            <w:tcBorders>
              <w:top w:val="nil" w:sz="6" w:space="0" w:color="auto"/>
              <w:left w:val="nil" w:sz="6" w:space="0" w:color="auto"/>
              <w:bottom w:val="nil" w:sz="6" w:space="0" w:color="auto"/>
              <w:right w:val="nil" w:sz="6" w:space="0" w:color="auto"/>
            </w:tcBorders>
          </w:tcPr>
          <w:p>
            <w:pPr/>
          </w:p>
        </w:tc>
        <w:tc>
          <w:tcPr>
            <w:tcW w:w="4661" w:type="dxa"/>
            <w:tcBorders>
              <w:top w:val="nil" w:sz="6" w:space="0" w:color="auto"/>
              <w:left w:val="nil" w:sz="6" w:space="0" w:color="auto"/>
              <w:bottom w:val="nil" w:sz="6" w:space="0" w:color="auto"/>
              <w:right w:val="nil" w:sz="6" w:space="0" w:color="auto"/>
            </w:tcBorders>
          </w:tcPr>
          <w:p>
            <w:pPr>
              <w:pStyle w:val="TableParagraph"/>
              <w:spacing w:line="226" w:lineRule="exact"/>
              <w:ind w:left="248" w:right="0"/>
              <w:jc w:val="left"/>
              <w:rPr>
                <w:rFonts w:ascii="黑体" w:hAnsi="黑体" w:cs="黑体" w:eastAsia="黑体" w:hint="default"/>
                <w:sz w:val="20"/>
                <w:szCs w:val="20"/>
              </w:rPr>
            </w:pPr>
            <w:r>
              <w:rPr>
                <w:rFonts w:ascii="黑体" w:hAnsi="黑体" w:cs="黑体" w:eastAsia="黑体" w:hint="default"/>
                <w:sz w:val="20"/>
                <w:szCs w:val="20"/>
              </w:rPr>
              <w:t>通讯费</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26"/>
              <w:jc w:val="right"/>
              <w:rPr>
                <w:rFonts w:ascii="Arial" w:hAnsi="Arial" w:cs="Arial" w:eastAsia="Arial" w:hint="default"/>
                <w:sz w:val="20"/>
                <w:szCs w:val="20"/>
              </w:rPr>
            </w:pPr>
            <w:r>
              <w:rPr>
                <w:rFonts w:ascii="Arial"/>
                <w:spacing w:val="-1"/>
                <w:sz w:val="20"/>
              </w:rPr>
              <w:t>18,061,562</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52"/>
              <w:jc w:val="right"/>
              <w:rPr>
                <w:rFonts w:ascii="Arial" w:hAnsi="Arial" w:cs="Arial" w:eastAsia="Arial" w:hint="default"/>
                <w:sz w:val="20"/>
                <w:szCs w:val="20"/>
              </w:rPr>
            </w:pPr>
            <w:r>
              <w:rPr>
                <w:rFonts w:ascii="Arial"/>
                <w:spacing w:val="-1"/>
                <w:sz w:val="20"/>
              </w:rPr>
              <w:t>12,049,186</w:t>
            </w:r>
          </w:p>
        </w:tc>
      </w:tr>
      <w:tr>
        <w:trPr>
          <w:trHeight w:val="255" w:hRule="exact"/>
        </w:trPr>
        <w:tc>
          <w:tcPr>
            <w:tcW w:w="524" w:type="dxa"/>
            <w:tcBorders>
              <w:top w:val="nil" w:sz="6" w:space="0" w:color="auto"/>
              <w:left w:val="nil" w:sz="6" w:space="0" w:color="auto"/>
              <w:bottom w:val="nil" w:sz="6" w:space="0" w:color="auto"/>
              <w:right w:val="nil" w:sz="6" w:space="0" w:color="auto"/>
            </w:tcBorders>
          </w:tcPr>
          <w:p>
            <w:pPr/>
          </w:p>
        </w:tc>
        <w:tc>
          <w:tcPr>
            <w:tcW w:w="4661" w:type="dxa"/>
            <w:tcBorders>
              <w:top w:val="nil" w:sz="6" w:space="0" w:color="auto"/>
              <w:left w:val="nil" w:sz="6" w:space="0" w:color="auto"/>
              <w:bottom w:val="nil" w:sz="6" w:space="0" w:color="auto"/>
              <w:right w:val="nil" w:sz="6" w:space="0" w:color="auto"/>
            </w:tcBorders>
          </w:tcPr>
          <w:p>
            <w:pPr>
              <w:pStyle w:val="TableParagraph"/>
              <w:spacing w:line="225" w:lineRule="exact"/>
              <w:ind w:left="248" w:right="0"/>
              <w:jc w:val="left"/>
              <w:rPr>
                <w:rFonts w:ascii="黑体" w:hAnsi="黑体" w:cs="黑体" w:eastAsia="黑体" w:hint="default"/>
                <w:sz w:val="20"/>
                <w:szCs w:val="20"/>
              </w:rPr>
            </w:pPr>
            <w:r>
              <w:rPr>
                <w:rFonts w:ascii="黑体" w:hAnsi="黑体" w:cs="黑体" w:eastAsia="黑体" w:hint="default"/>
                <w:sz w:val="20"/>
                <w:szCs w:val="20"/>
              </w:rPr>
              <w:t>办公费</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426"/>
              <w:jc w:val="right"/>
              <w:rPr>
                <w:rFonts w:ascii="Arial" w:hAnsi="Arial" w:cs="Arial" w:eastAsia="Arial" w:hint="default"/>
                <w:sz w:val="20"/>
                <w:szCs w:val="20"/>
              </w:rPr>
            </w:pPr>
            <w:r>
              <w:rPr>
                <w:rFonts w:ascii="Arial"/>
                <w:spacing w:val="-1"/>
                <w:sz w:val="20"/>
              </w:rPr>
              <w:t>15,425,127</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2"/>
              <w:jc w:val="right"/>
              <w:rPr>
                <w:rFonts w:ascii="Arial" w:hAnsi="Arial" w:cs="Arial" w:eastAsia="Arial" w:hint="default"/>
                <w:sz w:val="20"/>
                <w:szCs w:val="20"/>
              </w:rPr>
            </w:pPr>
            <w:r>
              <w:rPr>
                <w:rFonts w:ascii="Arial"/>
                <w:spacing w:val="-1"/>
                <w:sz w:val="20"/>
              </w:rPr>
              <w:t>14,486,575</w:t>
            </w:r>
          </w:p>
        </w:tc>
      </w:tr>
      <w:tr>
        <w:trPr>
          <w:trHeight w:val="255" w:hRule="exact"/>
        </w:trPr>
        <w:tc>
          <w:tcPr>
            <w:tcW w:w="524" w:type="dxa"/>
            <w:tcBorders>
              <w:top w:val="nil" w:sz="6" w:space="0" w:color="auto"/>
              <w:left w:val="nil" w:sz="6" w:space="0" w:color="auto"/>
              <w:bottom w:val="nil" w:sz="6" w:space="0" w:color="auto"/>
              <w:right w:val="nil" w:sz="6" w:space="0" w:color="auto"/>
            </w:tcBorders>
          </w:tcPr>
          <w:p>
            <w:pPr/>
          </w:p>
        </w:tc>
        <w:tc>
          <w:tcPr>
            <w:tcW w:w="4661" w:type="dxa"/>
            <w:tcBorders>
              <w:top w:val="nil" w:sz="6" w:space="0" w:color="auto"/>
              <w:left w:val="nil" w:sz="6" w:space="0" w:color="auto"/>
              <w:bottom w:val="nil" w:sz="6" w:space="0" w:color="auto"/>
              <w:right w:val="nil" w:sz="6" w:space="0" w:color="auto"/>
            </w:tcBorders>
          </w:tcPr>
          <w:p>
            <w:pPr>
              <w:pStyle w:val="TableParagraph"/>
              <w:spacing w:line="226" w:lineRule="exact"/>
              <w:ind w:left="248" w:right="0"/>
              <w:jc w:val="left"/>
              <w:rPr>
                <w:rFonts w:ascii="黑体" w:hAnsi="黑体" w:cs="黑体" w:eastAsia="黑体" w:hint="default"/>
                <w:sz w:val="20"/>
                <w:szCs w:val="20"/>
              </w:rPr>
            </w:pPr>
            <w:r>
              <w:rPr>
                <w:rFonts w:ascii="黑体" w:hAnsi="黑体" w:cs="黑体" w:eastAsia="黑体" w:hint="default"/>
                <w:sz w:val="20"/>
                <w:szCs w:val="20"/>
              </w:rPr>
              <w:t>邮托费</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26"/>
              <w:jc w:val="right"/>
              <w:rPr>
                <w:rFonts w:ascii="Arial" w:hAnsi="Arial" w:cs="Arial" w:eastAsia="Arial" w:hint="default"/>
                <w:sz w:val="20"/>
                <w:szCs w:val="20"/>
              </w:rPr>
            </w:pPr>
            <w:r>
              <w:rPr>
                <w:rFonts w:ascii="Arial"/>
                <w:spacing w:val="-1"/>
                <w:sz w:val="20"/>
              </w:rPr>
              <w:t>2,872,175</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52"/>
              <w:jc w:val="right"/>
              <w:rPr>
                <w:rFonts w:ascii="Arial" w:hAnsi="Arial" w:cs="Arial" w:eastAsia="Arial" w:hint="default"/>
                <w:sz w:val="20"/>
                <w:szCs w:val="20"/>
              </w:rPr>
            </w:pPr>
            <w:r>
              <w:rPr>
                <w:rFonts w:ascii="Arial"/>
                <w:spacing w:val="-1"/>
                <w:sz w:val="20"/>
              </w:rPr>
              <w:t>1,825,299</w:t>
            </w:r>
          </w:p>
        </w:tc>
      </w:tr>
      <w:tr>
        <w:trPr>
          <w:trHeight w:val="329" w:hRule="exact"/>
        </w:trPr>
        <w:tc>
          <w:tcPr>
            <w:tcW w:w="524" w:type="dxa"/>
            <w:tcBorders>
              <w:top w:val="nil" w:sz="6" w:space="0" w:color="auto"/>
              <w:left w:val="nil" w:sz="6" w:space="0" w:color="auto"/>
              <w:bottom w:val="nil" w:sz="6" w:space="0" w:color="auto"/>
              <w:right w:val="nil" w:sz="6" w:space="0" w:color="auto"/>
            </w:tcBorders>
          </w:tcPr>
          <w:p>
            <w:pPr/>
          </w:p>
        </w:tc>
        <w:tc>
          <w:tcPr>
            <w:tcW w:w="4661" w:type="dxa"/>
            <w:tcBorders>
              <w:top w:val="nil" w:sz="6" w:space="0" w:color="auto"/>
              <w:left w:val="nil" w:sz="6" w:space="0" w:color="auto"/>
              <w:bottom w:val="nil" w:sz="6" w:space="0" w:color="auto"/>
              <w:right w:val="nil" w:sz="6" w:space="0" w:color="auto"/>
            </w:tcBorders>
          </w:tcPr>
          <w:p>
            <w:pPr>
              <w:pStyle w:val="TableParagraph"/>
              <w:spacing w:line="225" w:lineRule="exact"/>
              <w:ind w:left="248" w:right="0"/>
              <w:jc w:val="left"/>
              <w:rPr>
                <w:rFonts w:ascii="黑体" w:hAnsi="黑体" w:cs="黑体" w:eastAsia="黑体" w:hint="default"/>
                <w:sz w:val="20"/>
                <w:szCs w:val="20"/>
              </w:rPr>
            </w:pPr>
            <w:r>
              <w:rPr>
                <w:rFonts w:ascii="黑体" w:hAnsi="黑体" w:cs="黑体" w:eastAsia="黑体" w:hint="default"/>
                <w:sz w:val="20"/>
                <w:szCs w:val="20"/>
              </w:rPr>
              <w:t>车辆费</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426"/>
              <w:jc w:val="right"/>
              <w:rPr>
                <w:rFonts w:ascii="Arial" w:hAnsi="Arial" w:cs="Arial" w:eastAsia="Arial" w:hint="default"/>
                <w:sz w:val="20"/>
                <w:szCs w:val="20"/>
              </w:rPr>
            </w:pPr>
            <w:r>
              <w:rPr>
                <w:rFonts w:ascii="Arial"/>
                <w:spacing w:val="-1"/>
                <w:sz w:val="20"/>
              </w:rPr>
              <w:t>4,067,086</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2"/>
              <w:jc w:val="right"/>
              <w:rPr>
                <w:rFonts w:ascii="Arial" w:hAnsi="Arial" w:cs="Arial" w:eastAsia="Arial" w:hint="default"/>
                <w:sz w:val="20"/>
                <w:szCs w:val="20"/>
              </w:rPr>
            </w:pPr>
            <w:r>
              <w:rPr>
                <w:rFonts w:ascii="Arial"/>
                <w:spacing w:val="-1"/>
                <w:sz w:val="20"/>
              </w:rPr>
              <w:t>3,671,116</w:t>
            </w:r>
          </w:p>
        </w:tc>
      </w:tr>
    </w:tbl>
    <w:p>
      <w:pPr>
        <w:spacing w:after="0" w:line="240" w:lineRule="auto"/>
        <w:jc w:val="right"/>
        <w:rPr>
          <w:rFonts w:ascii="Arial" w:hAnsi="Arial" w:cs="Arial" w:eastAsia="Arial" w:hint="default"/>
          <w:sz w:val="20"/>
          <w:szCs w:val="20"/>
        </w:rPr>
        <w:sectPr>
          <w:pgSz w:w="11910" w:h="16840"/>
          <w:pgMar w:header="958" w:footer="466" w:top="2560" w:bottom="660" w:left="1560" w:right="0"/>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5"/>
          <w:szCs w:val="15"/>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20" w:val="left" w:leader="none"/>
        </w:tabs>
        <w:spacing w:before="0"/>
        <w:ind w:left="141" w:right="1058" w:firstLine="0"/>
        <w:jc w:val="left"/>
        <w:rPr>
          <w:rFonts w:ascii="黑体" w:hAnsi="黑体" w:cs="黑体" w:eastAsia="黑体" w:hint="default"/>
          <w:sz w:val="20"/>
          <w:szCs w:val="20"/>
        </w:rPr>
      </w:pPr>
      <w:r>
        <w:rPr>
          <w:rFonts w:ascii="Arial" w:hAnsi="Arial" w:cs="Arial" w:eastAsia="Arial" w:hint="default"/>
          <w:b/>
          <w:bCs/>
          <w:spacing w:val="-1"/>
          <w:sz w:val="20"/>
          <w:szCs w:val="20"/>
        </w:rPr>
        <w:t>38.</w:t>
        <w:tab/>
      </w:r>
      <w:r>
        <w:rPr>
          <w:rFonts w:ascii="黑体" w:hAnsi="黑体" w:cs="黑体" w:eastAsia="黑体" w:hint="default"/>
          <w:b/>
          <w:bCs/>
          <w:sz w:val="20"/>
          <w:szCs w:val="20"/>
        </w:rPr>
        <w:t>现金流量表补充资料</w:t>
      </w:r>
      <w:r>
        <w:rPr>
          <w:rFonts w:ascii="黑体" w:hAnsi="黑体" w:cs="黑体" w:eastAsia="黑体" w:hint="default"/>
          <w:sz w:val="20"/>
          <w:szCs w:val="20"/>
        </w:rPr>
      </w:r>
    </w:p>
    <w:p>
      <w:pPr>
        <w:spacing w:line="240" w:lineRule="auto" w:before="5"/>
        <w:rPr>
          <w:rFonts w:ascii="黑体" w:hAnsi="黑体" w:cs="黑体" w:eastAsia="黑体" w:hint="default"/>
          <w:b/>
          <w:bCs/>
          <w:sz w:val="13"/>
          <w:szCs w:val="13"/>
        </w:rPr>
      </w:pPr>
    </w:p>
    <w:tbl>
      <w:tblPr>
        <w:tblW w:w="0" w:type="auto"/>
        <w:jc w:val="left"/>
        <w:tblInd w:w="815" w:type="dxa"/>
        <w:tblLayout w:type="fixed"/>
        <w:tblCellMar>
          <w:top w:w="0" w:type="dxa"/>
          <w:left w:w="0" w:type="dxa"/>
          <w:bottom w:w="0" w:type="dxa"/>
          <w:right w:w="0" w:type="dxa"/>
        </w:tblCellMar>
        <w:tblLook w:val="01E0"/>
      </w:tblPr>
      <w:tblGrid>
        <w:gridCol w:w="3423"/>
        <w:gridCol w:w="1197"/>
        <w:gridCol w:w="1799"/>
        <w:gridCol w:w="1520"/>
      </w:tblGrid>
      <w:tr>
        <w:trPr>
          <w:trHeight w:val="1926"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sz w:val="20"/>
                <w:szCs w:val="20"/>
              </w:rPr>
              <w:t>（</w:t>
            </w:r>
            <w:r>
              <w:rPr>
                <w:rFonts w:ascii="Arial" w:hAnsi="Arial" w:cs="Arial" w:eastAsia="Arial" w:hint="default"/>
                <w:sz w:val="20"/>
                <w:szCs w:val="20"/>
              </w:rPr>
              <w:t>1</w:t>
            </w:r>
            <w:r>
              <w:rPr>
                <w:rFonts w:ascii="黑体" w:hAnsi="黑体" w:cs="黑体" w:eastAsia="黑体" w:hint="default"/>
                <w:sz w:val="20"/>
                <w:szCs w:val="20"/>
              </w:rPr>
              <w:t>）</w:t>
            </w:r>
            <w:r>
              <w:rPr>
                <w:rFonts w:ascii="黑体" w:hAnsi="黑体" w:cs="黑体" w:eastAsia="黑体" w:hint="default"/>
                <w:spacing w:val="97"/>
                <w:sz w:val="20"/>
                <w:szCs w:val="20"/>
              </w:rPr>
              <w:t> </w:t>
            </w:r>
            <w:r>
              <w:rPr>
                <w:rFonts w:ascii="黑体" w:hAnsi="黑体" w:cs="黑体" w:eastAsia="黑体" w:hint="default"/>
                <w:sz w:val="20"/>
                <w:szCs w:val="20"/>
              </w:rPr>
              <w:t>现金流量表补充资料</w:t>
            </w: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2"/>
              <w:ind w:right="0"/>
              <w:jc w:val="left"/>
              <w:rPr>
                <w:rFonts w:ascii="黑体" w:hAnsi="黑体" w:cs="黑体" w:eastAsia="黑体" w:hint="default"/>
                <w:b/>
                <w:bCs/>
                <w:sz w:val="13"/>
                <w:szCs w:val="13"/>
              </w:rPr>
            </w:pPr>
          </w:p>
          <w:p>
            <w:pPr>
              <w:pStyle w:val="TableParagraph"/>
              <w:spacing w:line="424" w:lineRule="auto"/>
              <w:ind w:left="62" w:right="101"/>
              <w:jc w:val="left"/>
              <w:rPr>
                <w:rFonts w:ascii="黑体" w:hAnsi="黑体" w:cs="黑体" w:eastAsia="黑体" w:hint="default"/>
                <w:sz w:val="20"/>
                <w:szCs w:val="20"/>
              </w:rPr>
            </w:pPr>
            <w:r>
              <w:rPr>
                <w:rFonts w:ascii="黑体" w:hAnsi="黑体" w:cs="黑体" w:eastAsia="黑体" w:hint="default"/>
                <w:spacing w:val="-1"/>
                <w:sz w:val="20"/>
                <w:szCs w:val="20"/>
              </w:rPr>
              <w:t>将净利润调节为经营活动的现金流量</w:t>
            </w:r>
            <w:r>
              <w:rPr>
                <w:rFonts w:ascii="Arial" w:hAnsi="Arial" w:cs="Arial" w:eastAsia="Arial" w:hint="default"/>
                <w:spacing w:val="-1"/>
                <w:sz w:val="20"/>
                <w:szCs w:val="20"/>
              </w:rPr>
              <w:t>:</w:t>
            </w:r>
            <w:r>
              <w:rPr>
                <w:rFonts w:ascii="Arial" w:hAnsi="Arial" w:cs="Arial" w:eastAsia="Arial" w:hint="default"/>
                <w:spacing w:val="-40"/>
                <w:sz w:val="20"/>
                <w:szCs w:val="20"/>
              </w:rPr>
              <w:t> </w:t>
            </w:r>
            <w:r>
              <w:rPr>
                <w:rFonts w:ascii="黑体" w:hAnsi="黑体" w:cs="黑体" w:eastAsia="黑体" w:hint="default"/>
                <w:sz w:val="20"/>
                <w:szCs w:val="20"/>
              </w:rPr>
              <w:t>净利润</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5"/>
              <w:ind w:right="0"/>
              <w:jc w:val="left"/>
              <w:rPr>
                <w:rFonts w:ascii="黑体" w:hAnsi="黑体" w:cs="黑体" w:eastAsia="黑体" w:hint="default"/>
                <w:b/>
                <w:bCs/>
                <w:sz w:val="20"/>
                <w:szCs w:val="20"/>
              </w:rPr>
            </w:pPr>
          </w:p>
          <w:p>
            <w:pPr>
              <w:pStyle w:val="TableParagraph"/>
              <w:spacing w:line="240" w:lineRule="auto"/>
              <w:ind w:right="186"/>
              <w:jc w:val="center"/>
              <w:rPr>
                <w:rFonts w:ascii="黑体" w:hAnsi="黑体" w:cs="黑体" w:eastAsia="黑体" w:hint="default"/>
                <w:sz w:val="20"/>
                <w:szCs w:val="20"/>
              </w:rPr>
            </w:pPr>
            <w:r>
              <w:rPr>
                <w:rFonts w:ascii="黑体" w:hAnsi="黑体" w:cs="黑体" w:eastAsia="黑体" w:hint="default"/>
                <w:sz w:val="20"/>
                <w:szCs w:val="20"/>
              </w:rPr>
              <w:t>附注十二</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5"/>
              <w:ind w:right="0"/>
              <w:jc w:val="left"/>
              <w:rPr>
                <w:rFonts w:ascii="黑体" w:hAnsi="黑体" w:cs="黑体" w:eastAsia="黑体" w:hint="default"/>
                <w:b/>
                <w:bCs/>
                <w:sz w:val="20"/>
                <w:szCs w:val="20"/>
              </w:rPr>
            </w:pPr>
          </w:p>
          <w:p>
            <w:pPr>
              <w:pStyle w:val="TableParagraph"/>
              <w:spacing w:line="240" w:lineRule="auto"/>
              <w:ind w:left="834"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3"/>
              <w:ind w:right="0"/>
              <w:jc w:val="left"/>
              <w:rPr>
                <w:rFonts w:ascii="黑体" w:hAnsi="黑体" w:cs="黑体" w:eastAsia="黑体" w:hint="default"/>
                <w:b/>
                <w:bCs/>
                <w:sz w:val="18"/>
                <w:szCs w:val="18"/>
              </w:rPr>
            </w:pPr>
          </w:p>
          <w:p>
            <w:pPr>
              <w:pStyle w:val="TableParagraph"/>
              <w:spacing w:line="240" w:lineRule="auto"/>
              <w:ind w:left="367" w:right="0"/>
              <w:jc w:val="left"/>
              <w:rPr>
                <w:rFonts w:ascii="Arial" w:hAnsi="Arial" w:cs="Arial" w:eastAsia="Arial" w:hint="default"/>
                <w:sz w:val="20"/>
                <w:szCs w:val="20"/>
              </w:rPr>
            </w:pPr>
            <w:r>
              <w:rPr>
                <w:rFonts w:ascii="Arial"/>
                <w:sz w:val="20"/>
              </w:rPr>
              <w:t>544,023,762</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5"/>
              <w:ind w:right="0"/>
              <w:jc w:val="left"/>
              <w:rPr>
                <w:rFonts w:ascii="黑体" w:hAnsi="黑体" w:cs="黑体" w:eastAsia="黑体" w:hint="default"/>
                <w:b/>
                <w:bCs/>
                <w:sz w:val="20"/>
                <w:szCs w:val="20"/>
              </w:rPr>
            </w:pPr>
          </w:p>
          <w:p>
            <w:pPr>
              <w:pStyle w:val="TableParagraph"/>
              <w:spacing w:line="240" w:lineRule="auto"/>
              <w:ind w:left="737"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3"/>
              <w:ind w:right="0"/>
              <w:jc w:val="left"/>
              <w:rPr>
                <w:rFonts w:ascii="黑体" w:hAnsi="黑体" w:cs="黑体" w:eastAsia="黑体" w:hint="default"/>
                <w:b/>
                <w:bCs/>
                <w:sz w:val="16"/>
                <w:szCs w:val="16"/>
              </w:rPr>
            </w:pPr>
          </w:p>
          <w:p>
            <w:pPr>
              <w:pStyle w:val="TableParagraph"/>
              <w:spacing w:line="240" w:lineRule="auto"/>
              <w:ind w:left="270" w:right="0"/>
              <w:jc w:val="left"/>
              <w:rPr>
                <w:rFonts w:ascii="Arial" w:hAnsi="Arial" w:cs="Arial" w:eastAsia="Arial" w:hint="default"/>
                <w:sz w:val="20"/>
                <w:szCs w:val="20"/>
              </w:rPr>
            </w:pPr>
            <w:r>
              <w:rPr>
                <w:rFonts w:ascii="Arial"/>
                <w:sz w:val="20"/>
              </w:rPr>
              <w:t>399,548,568</w:t>
            </w:r>
          </w:p>
        </w:tc>
      </w:tr>
      <w:tr>
        <w:trPr>
          <w:trHeight w:val="374"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2" w:right="0"/>
              <w:jc w:val="left"/>
              <w:rPr>
                <w:rFonts w:ascii="黑体" w:hAnsi="黑体" w:cs="黑体" w:eastAsia="黑体" w:hint="default"/>
                <w:sz w:val="20"/>
                <w:szCs w:val="20"/>
              </w:rPr>
            </w:pPr>
            <w:r>
              <w:rPr>
                <w:rFonts w:ascii="黑体" w:hAnsi="黑体" w:cs="黑体" w:eastAsia="黑体" w:hint="default"/>
                <w:sz w:val="20"/>
                <w:szCs w:val="20"/>
              </w:rPr>
              <w:t>加</w:t>
            </w:r>
            <w:r>
              <w:rPr>
                <w:rFonts w:ascii="Arial" w:hAnsi="Arial" w:cs="Arial" w:eastAsia="Arial" w:hint="default"/>
                <w:sz w:val="20"/>
                <w:szCs w:val="20"/>
              </w:rPr>
              <w:t>:</w:t>
            </w:r>
            <w:r>
              <w:rPr>
                <w:rFonts w:ascii="黑体" w:hAnsi="黑体" w:cs="黑体" w:eastAsia="黑体" w:hint="default"/>
                <w:sz w:val="20"/>
                <w:szCs w:val="20"/>
              </w:rPr>
              <w:t>资产减值准备</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87"/>
              <w:jc w:val="center"/>
              <w:rPr>
                <w:rFonts w:ascii="Arial" w:hAnsi="Arial" w:cs="Arial" w:eastAsia="Arial" w:hint="default"/>
                <w:sz w:val="20"/>
                <w:szCs w:val="20"/>
              </w:rPr>
            </w:pPr>
            <w:r>
              <w:rPr>
                <w:rFonts w:ascii="Arial"/>
                <w:sz w:val="20"/>
              </w:rPr>
              <w:t>15</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16"/>
              <w:jc w:val="right"/>
              <w:rPr>
                <w:rFonts w:ascii="Arial" w:hAnsi="Arial" w:cs="Arial" w:eastAsia="Arial" w:hint="default"/>
                <w:sz w:val="20"/>
                <w:szCs w:val="20"/>
              </w:rPr>
            </w:pPr>
            <w:r>
              <w:rPr>
                <w:rFonts w:ascii="Arial"/>
                <w:spacing w:val="-1"/>
                <w:sz w:val="20"/>
              </w:rPr>
              <w:t>2,988,817</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35"/>
              <w:jc w:val="right"/>
              <w:rPr>
                <w:rFonts w:ascii="Arial" w:hAnsi="Arial" w:cs="Arial" w:eastAsia="Arial" w:hint="default"/>
                <w:sz w:val="20"/>
                <w:szCs w:val="20"/>
              </w:rPr>
            </w:pPr>
            <w:r>
              <w:rPr>
                <w:rFonts w:ascii="Arial"/>
                <w:spacing w:val="-1"/>
                <w:sz w:val="20"/>
              </w:rPr>
              <w:t>4,258,488</w:t>
            </w:r>
          </w:p>
        </w:tc>
      </w:tr>
      <w:tr>
        <w:trPr>
          <w:trHeight w:val="260"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19" w:lineRule="exact"/>
              <w:ind w:left="62" w:right="0"/>
              <w:jc w:val="left"/>
              <w:rPr>
                <w:rFonts w:ascii="黑体" w:hAnsi="黑体" w:cs="黑体" w:eastAsia="黑体" w:hint="default"/>
                <w:sz w:val="20"/>
                <w:szCs w:val="20"/>
              </w:rPr>
            </w:pPr>
            <w:r>
              <w:rPr>
                <w:rFonts w:ascii="黑体" w:hAnsi="黑体" w:cs="黑体" w:eastAsia="黑体" w:hint="default"/>
                <w:sz w:val="20"/>
                <w:szCs w:val="20"/>
              </w:rPr>
              <w:t>固定资产折旧</w:t>
            </w:r>
          </w:p>
        </w:tc>
        <w:tc>
          <w:tcPr>
            <w:tcW w:w="1197" w:type="dxa"/>
            <w:tcBorders>
              <w:top w:val="nil" w:sz="6" w:space="0" w:color="auto"/>
              <w:left w:val="nil" w:sz="6" w:space="0" w:color="auto"/>
              <w:bottom w:val="nil" w:sz="6" w:space="0" w:color="auto"/>
              <w:right w:val="nil" w:sz="6" w:space="0" w:color="auto"/>
            </w:tcBorders>
          </w:tcPr>
          <w:p>
            <w:pPr>
              <w:pStyle w:val="TableParagraph"/>
              <w:spacing w:line="228" w:lineRule="exact"/>
              <w:ind w:right="187"/>
              <w:jc w:val="center"/>
              <w:rPr>
                <w:rFonts w:ascii="Arial" w:hAnsi="Arial" w:cs="Arial" w:eastAsia="Arial" w:hint="default"/>
                <w:sz w:val="20"/>
                <w:szCs w:val="20"/>
              </w:rPr>
            </w:pPr>
            <w:r>
              <w:rPr>
                <w:rFonts w:ascii="Arial"/>
                <w:sz w:val="20"/>
              </w:rPr>
              <w:t>10</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78" w:right="0"/>
              <w:jc w:val="left"/>
              <w:rPr>
                <w:rFonts w:ascii="Arial" w:hAnsi="Arial" w:cs="Arial" w:eastAsia="Arial" w:hint="default"/>
                <w:sz w:val="20"/>
                <w:szCs w:val="20"/>
              </w:rPr>
            </w:pPr>
            <w:r>
              <w:rPr>
                <w:rFonts w:ascii="Arial"/>
                <w:sz w:val="20"/>
              </w:rPr>
              <w:t>37,133,332</w:t>
            </w:r>
          </w:p>
        </w:tc>
        <w:tc>
          <w:tcPr>
            <w:tcW w:w="1520" w:type="dxa"/>
            <w:tcBorders>
              <w:top w:val="nil" w:sz="6" w:space="0" w:color="auto"/>
              <w:left w:val="nil" w:sz="6" w:space="0" w:color="auto"/>
              <w:bottom w:val="nil" w:sz="6" w:space="0" w:color="auto"/>
              <w:right w:val="nil" w:sz="6" w:space="0" w:color="auto"/>
            </w:tcBorders>
          </w:tcPr>
          <w:p>
            <w:pPr>
              <w:pStyle w:val="TableParagraph"/>
              <w:spacing w:line="228" w:lineRule="exact"/>
              <w:ind w:left="380" w:right="0"/>
              <w:jc w:val="left"/>
              <w:rPr>
                <w:rFonts w:ascii="Arial" w:hAnsi="Arial" w:cs="Arial" w:eastAsia="Arial" w:hint="default"/>
                <w:sz w:val="20"/>
                <w:szCs w:val="20"/>
              </w:rPr>
            </w:pPr>
            <w:r>
              <w:rPr>
                <w:rFonts w:ascii="Arial"/>
                <w:sz w:val="20"/>
              </w:rPr>
              <w:t>35,254,803</w:t>
            </w:r>
          </w:p>
        </w:tc>
      </w:tr>
      <w:tr>
        <w:trPr>
          <w:trHeight w:val="260"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19" w:lineRule="exact"/>
              <w:ind w:left="62" w:right="0"/>
              <w:jc w:val="left"/>
              <w:rPr>
                <w:rFonts w:ascii="黑体" w:hAnsi="黑体" w:cs="黑体" w:eastAsia="黑体" w:hint="default"/>
                <w:sz w:val="20"/>
                <w:szCs w:val="20"/>
              </w:rPr>
            </w:pPr>
            <w:r>
              <w:rPr>
                <w:rFonts w:ascii="黑体" w:hAnsi="黑体" w:cs="黑体" w:eastAsia="黑体" w:hint="default"/>
                <w:sz w:val="20"/>
                <w:szCs w:val="20"/>
              </w:rPr>
              <w:t>无形资产摊销</w:t>
            </w:r>
          </w:p>
        </w:tc>
        <w:tc>
          <w:tcPr>
            <w:tcW w:w="1197" w:type="dxa"/>
            <w:tcBorders>
              <w:top w:val="nil" w:sz="6" w:space="0" w:color="auto"/>
              <w:left w:val="nil" w:sz="6" w:space="0" w:color="auto"/>
              <w:bottom w:val="nil" w:sz="6" w:space="0" w:color="auto"/>
              <w:right w:val="nil" w:sz="6" w:space="0" w:color="auto"/>
            </w:tcBorders>
          </w:tcPr>
          <w:p>
            <w:pPr>
              <w:pStyle w:val="TableParagraph"/>
              <w:spacing w:line="229" w:lineRule="exact"/>
              <w:ind w:right="187"/>
              <w:jc w:val="center"/>
              <w:rPr>
                <w:rFonts w:ascii="Arial" w:hAnsi="Arial" w:cs="Arial" w:eastAsia="Arial" w:hint="default"/>
                <w:sz w:val="20"/>
                <w:szCs w:val="20"/>
              </w:rPr>
            </w:pPr>
            <w:r>
              <w:rPr>
                <w:rFonts w:ascii="Arial"/>
                <w:sz w:val="20"/>
              </w:rPr>
              <w:t>11</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78" w:right="0"/>
              <w:jc w:val="left"/>
              <w:rPr>
                <w:rFonts w:ascii="Arial" w:hAnsi="Arial" w:cs="Arial" w:eastAsia="Arial" w:hint="default"/>
                <w:sz w:val="20"/>
                <w:szCs w:val="20"/>
              </w:rPr>
            </w:pPr>
            <w:r>
              <w:rPr>
                <w:rFonts w:ascii="Arial"/>
                <w:sz w:val="20"/>
              </w:rPr>
              <w:t>12,879,842</w:t>
            </w:r>
          </w:p>
        </w:tc>
        <w:tc>
          <w:tcPr>
            <w:tcW w:w="1520" w:type="dxa"/>
            <w:tcBorders>
              <w:top w:val="nil" w:sz="6" w:space="0" w:color="auto"/>
              <w:left w:val="nil" w:sz="6" w:space="0" w:color="auto"/>
              <w:bottom w:val="nil" w:sz="6" w:space="0" w:color="auto"/>
              <w:right w:val="nil" w:sz="6" w:space="0" w:color="auto"/>
            </w:tcBorders>
          </w:tcPr>
          <w:p>
            <w:pPr>
              <w:pStyle w:val="TableParagraph"/>
              <w:spacing w:line="229" w:lineRule="exact"/>
              <w:ind w:left="380" w:right="0"/>
              <w:jc w:val="left"/>
              <w:rPr>
                <w:rFonts w:ascii="Arial" w:hAnsi="Arial" w:cs="Arial" w:eastAsia="Arial" w:hint="default"/>
                <w:sz w:val="20"/>
                <w:szCs w:val="20"/>
              </w:rPr>
            </w:pPr>
            <w:r>
              <w:rPr>
                <w:rFonts w:ascii="Arial"/>
                <w:sz w:val="20"/>
              </w:rPr>
              <w:t>12,634,091</w:t>
            </w:r>
          </w:p>
        </w:tc>
      </w:tr>
      <w:tr>
        <w:trPr>
          <w:trHeight w:val="259"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19" w:lineRule="exact"/>
              <w:ind w:left="62" w:right="0"/>
              <w:jc w:val="left"/>
              <w:rPr>
                <w:rFonts w:ascii="黑体" w:hAnsi="黑体" w:cs="黑体" w:eastAsia="黑体" w:hint="default"/>
                <w:sz w:val="20"/>
                <w:szCs w:val="20"/>
              </w:rPr>
            </w:pPr>
            <w:r>
              <w:rPr>
                <w:rFonts w:ascii="黑体" w:hAnsi="黑体" w:cs="黑体" w:eastAsia="黑体" w:hint="default"/>
                <w:sz w:val="20"/>
                <w:szCs w:val="20"/>
              </w:rPr>
              <w:t>长期待摊费用摊销</w:t>
            </w:r>
          </w:p>
        </w:tc>
        <w:tc>
          <w:tcPr>
            <w:tcW w:w="1197" w:type="dxa"/>
            <w:tcBorders>
              <w:top w:val="nil" w:sz="6" w:space="0" w:color="auto"/>
              <w:left w:val="nil" w:sz="6" w:space="0" w:color="auto"/>
              <w:bottom w:val="nil" w:sz="6" w:space="0" w:color="auto"/>
              <w:right w:val="nil" w:sz="6" w:space="0" w:color="auto"/>
            </w:tcBorders>
          </w:tcPr>
          <w:p>
            <w:pPr>
              <w:pStyle w:val="TableParagraph"/>
              <w:spacing w:line="228" w:lineRule="exact"/>
              <w:ind w:right="187"/>
              <w:jc w:val="center"/>
              <w:rPr>
                <w:rFonts w:ascii="Arial" w:hAnsi="Arial" w:cs="Arial" w:eastAsia="Arial" w:hint="default"/>
                <w:sz w:val="20"/>
                <w:szCs w:val="20"/>
              </w:rPr>
            </w:pPr>
            <w:r>
              <w:rPr>
                <w:rFonts w:ascii="Arial"/>
                <w:sz w:val="20"/>
              </w:rPr>
              <w:t>13</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6"/>
              <w:jc w:val="right"/>
              <w:rPr>
                <w:rFonts w:ascii="Arial" w:hAnsi="Arial" w:cs="Arial" w:eastAsia="Arial" w:hint="default"/>
                <w:sz w:val="20"/>
                <w:szCs w:val="20"/>
              </w:rPr>
            </w:pPr>
            <w:r>
              <w:rPr>
                <w:rFonts w:ascii="Arial"/>
                <w:spacing w:val="-1"/>
                <w:sz w:val="20"/>
              </w:rPr>
              <w:t>5,938,374</w:t>
            </w:r>
          </w:p>
        </w:tc>
        <w:tc>
          <w:tcPr>
            <w:tcW w:w="1520" w:type="dxa"/>
            <w:tcBorders>
              <w:top w:val="nil" w:sz="6" w:space="0" w:color="auto"/>
              <w:left w:val="nil" w:sz="6" w:space="0" w:color="auto"/>
              <w:bottom w:val="nil" w:sz="6" w:space="0" w:color="auto"/>
              <w:right w:val="nil" w:sz="6" w:space="0" w:color="auto"/>
            </w:tcBorders>
          </w:tcPr>
          <w:p>
            <w:pPr>
              <w:pStyle w:val="TableParagraph"/>
              <w:spacing w:line="228" w:lineRule="exact"/>
              <w:ind w:right="134"/>
              <w:jc w:val="right"/>
              <w:rPr>
                <w:rFonts w:ascii="Arial" w:hAnsi="Arial" w:cs="Arial" w:eastAsia="Arial" w:hint="default"/>
                <w:sz w:val="20"/>
                <w:szCs w:val="20"/>
              </w:rPr>
            </w:pPr>
            <w:r>
              <w:rPr>
                <w:rFonts w:ascii="Arial"/>
                <w:spacing w:val="-1"/>
                <w:sz w:val="20"/>
              </w:rPr>
              <w:t>4,952,113</w:t>
            </w:r>
          </w:p>
        </w:tc>
      </w:tr>
      <w:tr>
        <w:trPr>
          <w:trHeight w:val="260"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33" w:lineRule="exact"/>
              <w:ind w:left="62" w:right="0"/>
              <w:jc w:val="left"/>
              <w:rPr>
                <w:rFonts w:ascii="Arial" w:hAnsi="Arial" w:cs="Arial" w:eastAsia="Arial" w:hint="default"/>
                <w:sz w:val="20"/>
                <w:szCs w:val="20"/>
              </w:rPr>
            </w:pPr>
            <w:r>
              <w:rPr>
                <w:rFonts w:ascii="黑体" w:hAnsi="黑体" w:cs="黑体" w:eastAsia="黑体" w:hint="default"/>
                <w:sz w:val="20"/>
                <w:szCs w:val="20"/>
              </w:rPr>
              <w:t>固定资产及无形资产处置损失</w:t>
            </w:r>
            <w:r>
              <w:rPr>
                <w:rFonts w:ascii="Arial" w:hAnsi="Arial" w:cs="Arial" w:eastAsia="Arial" w:hint="default"/>
                <w:sz w:val="20"/>
                <w:szCs w:val="20"/>
              </w:rPr>
              <w:t>/(</w:t>
            </w:r>
            <w:r>
              <w:rPr>
                <w:rFonts w:ascii="黑体" w:hAnsi="黑体" w:cs="黑体" w:eastAsia="黑体" w:hint="default"/>
                <w:sz w:val="20"/>
                <w:szCs w:val="20"/>
              </w:rPr>
              <w:t>收益</w:t>
            </w:r>
            <w:r>
              <w:rPr>
                <w:rFonts w:ascii="Arial" w:hAnsi="Arial" w:cs="Arial" w:eastAsia="Arial" w:hint="default"/>
                <w:sz w:val="20"/>
                <w:szCs w:val="20"/>
              </w:rPr>
              <w:t>)</w:t>
            </w:r>
          </w:p>
        </w:tc>
        <w:tc>
          <w:tcPr>
            <w:tcW w:w="1197" w:type="dxa"/>
            <w:tcBorders>
              <w:top w:val="nil" w:sz="6" w:space="0" w:color="auto"/>
              <w:left w:val="nil" w:sz="6" w:space="0" w:color="auto"/>
              <w:bottom w:val="nil" w:sz="6" w:space="0" w:color="auto"/>
              <w:right w:val="nil" w:sz="6" w:space="0" w:color="auto"/>
            </w:tcBorders>
          </w:tcPr>
          <w:p>
            <w:pP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6"/>
              <w:jc w:val="right"/>
              <w:rPr>
                <w:rFonts w:ascii="Arial" w:hAnsi="Arial" w:cs="Arial" w:eastAsia="Arial" w:hint="default"/>
                <w:sz w:val="20"/>
                <w:szCs w:val="20"/>
              </w:rPr>
            </w:pPr>
            <w:r>
              <w:rPr>
                <w:rFonts w:ascii="Arial"/>
                <w:spacing w:val="-1"/>
                <w:sz w:val="20"/>
              </w:rPr>
              <w:t>530,194</w:t>
            </w:r>
          </w:p>
        </w:tc>
        <w:tc>
          <w:tcPr>
            <w:tcW w:w="1520" w:type="dxa"/>
            <w:tcBorders>
              <w:top w:val="nil" w:sz="6" w:space="0" w:color="auto"/>
              <w:left w:val="nil" w:sz="6" w:space="0" w:color="auto"/>
              <w:bottom w:val="nil" w:sz="6" w:space="0" w:color="auto"/>
              <w:right w:val="nil" w:sz="6" w:space="0" w:color="auto"/>
            </w:tcBorders>
          </w:tcPr>
          <w:p>
            <w:pPr>
              <w:pStyle w:val="TableParagraph"/>
              <w:spacing w:line="229" w:lineRule="exact"/>
              <w:ind w:right="33"/>
              <w:jc w:val="right"/>
              <w:rPr>
                <w:rFonts w:ascii="Arial" w:hAnsi="Arial" w:cs="Arial" w:eastAsia="Arial" w:hint="default"/>
                <w:sz w:val="20"/>
                <w:szCs w:val="20"/>
              </w:rPr>
            </w:pPr>
            <w:r>
              <w:rPr>
                <w:rFonts w:ascii="Arial"/>
                <w:sz w:val="20"/>
              </w:rPr>
              <w:t>(  53,671,471</w:t>
            </w:r>
            <w:r>
              <w:rPr>
                <w:rFonts w:ascii="Arial"/>
                <w:spacing w:val="-14"/>
                <w:sz w:val="20"/>
              </w:rPr>
              <w:t> </w:t>
            </w:r>
            <w:r>
              <w:rPr>
                <w:rFonts w:ascii="Arial"/>
                <w:sz w:val="20"/>
              </w:rPr>
              <w:t>)</w:t>
            </w:r>
          </w:p>
        </w:tc>
      </w:tr>
      <w:tr>
        <w:trPr>
          <w:trHeight w:val="258"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33" w:lineRule="exact"/>
              <w:ind w:left="62" w:right="0"/>
              <w:jc w:val="left"/>
              <w:rPr>
                <w:rFonts w:ascii="黑体" w:hAnsi="黑体" w:cs="黑体" w:eastAsia="黑体" w:hint="default"/>
                <w:sz w:val="20"/>
                <w:szCs w:val="20"/>
              </w:rPr>
            </w:pPr>
            <w:r>
              <w:rPr>
                <w:rFonts w:ascii="黑体" w:hAnsi="黑体" w:cs="黑体" w:eastAsia="黑体" w:hint="default"/>
                <w:sz w:val="20"/>
                <w:szCs w:val="20"/>
              </w:rPr>
              <w:t>公允价值变动</w:t>
            </w:r>
            <w:r>
              <w:rPr>
                <w:rFonts w:ascii="Arial" w:hAnsi="Arial" w:cs="Arial" w:eastAsia="Arial" w:hint="default"/>
                <w:sz w:val="20"/>
                <w:szCs w:val="20"/>
              </w:rPr>
              <w:t>(</w:t>
            </w:r>
            <w:r>
              <w:rPr>
                <w:rFonts w:ascii="黑体" w:hAnsi="黑体" w:cs="黑体" w:eastAsia="黑体" w:hint="default"/>
                <w:sz w:val="20"/>
                <w:szCs w:val="20"/>
              </w:rPr>
              <w:t>收益</w:t>
            </w:r>
            <w:r>
              <w:rPr>
                <w:rFonts w:ascii="Arial" w:hAnsi="Arial" w:cs="Arial" w:eastAsia="Arial" w:hint="default"/>
                <w:sz w:val="20"/>
                <w:szCs w:val="20"/>
              </w:rPr>
              <w:t>)/</w:t>
            </w:r>
            <w:r>
              <w:rPr>
                <w:rFonts w:ascii="黑体" w:hAnsi="黑体" w:cs="黑体" w:eastAsia="黑体" w:hint="default"/>
                <w:sz w:val="20"/>
                <w:szCs w:val="20"/>
              </w:rPr>
              <w:t>损失</w:t>
            </w:r>
          </w:p>
        </w:tc>
        <w:tc>
          <w:tcPr>
            <w:tcW w:w="1197" w:type="dxa"/>
            <w:tcBorders>
              <w:top w:val="nil" w:sz="6" w:space="0" w:color="auto"/>
              <w:left w:val="nil" w:sz="6" w:space="0" w:color="auto"/>
              <w:bottom w:val="nil" w:sz="6" w:space="0" w:color="auto"/>
              <w:right w:val="nil" w:sz="6" w:space="0" w:color="auto"/>
            </w:tcBorders>
          </w:tcPr>
          <w:p>
            <w:pPr>
              <w:pStyle w:val="TableParagraph"/>
              <w:spacing w:line="229" w:lineRule="exact"/>
              <w:ind w:right="186"/>
              <w:jc w:val="center"/>
              <w:rPr>
                <w:rFonts w:ascii="Arial" w:hAnsi="Arial" w:cs="Arial" w:eastAsia="Arial" w:hint="default"/>
                <w:sz w:val="20"/>
                <w:szCs w:val="20"/>
              </w:rPr>
            </w:pPr>
            <w:r>
              <w:rPr>
                <w:rFonts w:ascii="Arial"/>
                <w:sz w:val="20"/>
              </w:rPr>
              <w:t>31</w:t>
            </w:r>
          </w:p>
        </w:tc>
        <w:tc>
          <w:tcPr>
            <w:tcW w:w="1799" w:type="dxa"/>
            <w:tcBorders>
              <w:top w:val="nil" w:sz="6" w:space="0" w:color="auto"/>
              <w:left w:val="nil" w:sz="6" w:space="0" w:color="auto"/>
              <w:bottom w:val="nil" w:sz="6" w:space="0" w:color="auto"/>
              <w:right w:val="nil" w:sz="6" w:space="0" w:color="auto"/>
            </w:tcBorders>
          </w:tcPr>
          <w:p>
            <w:pPr>
              <w:pStyle w:val="TableParagraph"/>
              <w:spacing w:line="246" w:lineRule="exact"/>
              <w:ind w:right="193"/>
              <w:jc w:val="right"/>
              <w:rPr>
                <w:rFonts w:ascii="Arial" w:hAnsi="Arial" w:cs="Arial" w:eastAsia="Arial" w:hint="default"/>
                <w:sz w:val="20"/>
                <w:szCs w:val="20"/>
              </w:rPr>
            </w:pPr>
            <w:r>
              <w:rPr>
                <w:rFonts w:ascii="Arial"/>
                <w:sz w:val="20"/>
              </w:rPr>
              <w:t>(  46,903,611</w:t>
            </w:r>
            <w:r>
              <w:rPr>
                <w:rFonts w:ascii="Arial"/>
                <w:spacing w:val="9"/>
                <w:sz w:val="20"/>
              </w:rPr>
              <w:t> </w:t>
            </w:r>
            <w:r>
              <w:rPr>
                <w:rFonts w:ascii="Arial"/>
                <w:position w:val="2"/>
                <w:sz w:val="20"/>
              </w:rPr>
              <w:t>)</w:t>
            </w:r>
            <w:r>
              <w:rPr>
                <w:rFonts w:ascii="Arial"/>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29" w:lineRule="exact"/>
              <w:ind w:left="380" w:right="0"/>
              <w:jc w:val="left"/>
              <w:rPr>
                <w:rFonts w:ascii="Arial" w:hAnsi="Arial" w:cs="Arial" w:eastAsia="Arial" w:hint="default"/>
                <w:sz w:val="20"/>
                <w:szCs w:val="20"/>
              </w:rPr>
            </w:pPr>
            <w:r>
              <w:rPr>
                <w:rFonts w:ascii="Arial"/>
                <w:sz w:val="20"/>
              </w:rPr>
              <w:t>74,232,671</w:t>
            </w:r>
          </w:p>
        </w:tc>
      </w:tr>
      <w:tr>
        <w:trPr>
          <w:trHeight w:val="260"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34" w:lineRule="exact"/>
              <w:ind w:left="62" w:right="0"/>
              <w:jc w:val="left"/>
              <w:rPr>
                <w:rFonts w:ascii="黑体" w:hAnsi="黑体" w:cs="黑体" w:eastAsia="黑体" w:hint="default"/>
                <w:sz w:val="20"/>
                <w:szCs w:val="20"/>
              </w:rPr>
            </w:pPr>
            <w:r>
              <w:rPr>
                <w:rFonts w:ascii="黑体" w:hAnsi="黑体" w:cs="黑体" w:eastAsia="黑体" w:hint="default"/>
                <w:sz w:val="20"/>
                <w:szCs w:val="20"/>
              </w:rPr>
              <w:t>管理费用</w:t>
            </w:r>
            <w:r>
              <w:rPr>
                <w:rFonts w:ascii="Arial" w:hAnsi="Arial" w:cs="Arial" w:eastAsia="Arial" w:hint="default"/>
                <w:sz w:val="20"/>
                <w:szCs w:val="20"/>
              </w:rPr>
              <w:t>-</w:t>
            </w:r>
            <w:r>
              <w:rPr>
                <w:rFonts w:ascii="黑体" w:hAnsi="黑体" w:cs="黑体" w:eastAsia="黑体" w:hint="default"/>
                <w:sz w:val="20"/>
                <w:szCs w:val="20"/>
              </w:rPr>
              <w:t>股权激励成本</w:t>
            </w:r>
          </w:p>
        </w:tc>
        <w:tc>
          <w:tcPr>
            <w:tcW w:w="1197" w:type="dxa"/>
            <w:tcBorders>
              <w:top w:val="nil" w:sz="6" w:space="0" w:color="auto"/>
              <w:left w:val="nil" w:sz="6" w:space="0" w:color="auto"/>
              <w:bottom w:val="nil" w:sz="6" w:space="0" w:color="auto"/>
              <w:right w:val="nil" w:sz="6" w:space="0" w:color="auto"/>
            </w:tcBorders>
          </w:tcPr>
          <w:p>
            <w:pPr>
              <w:pStyle w:val="TableParagraph"/>
              <w:spacing w:line="218" w:lineRule="exact"/>
              <w:ind w:right="185"/>
              <w:jc w:val="center"/>
              <w:rPr>
                <w:rFonts w:ascii="黑体" w:hAnsi="黑体" w:cs="黑体" w:eastAsia="黑体" w:hint="default"/>
                <w:sz w:val="20"/>
                <w:szCs w:val="20"/>
              </w:rPr>
            </w:pPr>
            <w:r>
              <w:rPr>
                <w:rFonts w:ascii="黑体" w:hAnsi="黑体" w:cs="黑体" w:eastAsia="黑体" w:hint="default"/>
                <w:sz w:val="20"/>
                <w:szCs w:val="20"/>
              </w:rPr>
              <w:t>附注七</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16"/>
              <w:jc w:val="right"/>
              <w:rPr>
                <w:rFonts w:ascii="Arial" w:hAnsi="Arial" w:cs="Arial" w:eastAsia="Arial" w:hint="default"/>
                <w:sz w:val="20"/>
                <w:szCs w:val="20"/>
              </w:rPr>
            </w:pPr>
            <w:r>
              <w:rPr>
                <w:rFonts w:ascii="Arial"/>
                <w:spacing w:val="-1"/>
                <w:sz w:val="20"/>
              </w:rPr>
              <w:t>8,249,607</w:t>
            </w:r>
          </w:p>
        </w:tc>
        <w:tc>
          <w:tcPr>
            <w:tcW w:w="1520" w:type="dxa"/>
            <w:tcBorders>
              <w:top w:val="nil" w:sz="6" w:space="0" w:color="auto"/>
              <w:left w:val="nil" w:sz="6" w:space="0" w:color="auto"/>
              <w:bottom w:val="nil" w:sz="6" w:space="0" w:color="auto"/>
              <w:right w:val="nil" w:sz="6" w:space="0" w:color="auto"/>
            </w:tcBorders>
          </w:tcPr>
          <w:p>
            <w:pPr>
              <w:pStyle w:val="TableParagraph"/>
              <w:spacing w:line="229" w:lineRule="exact"/>
              <w:ind w:left="381" w:right="0"/>
              <w:jc w:val="left"/>
              <w:rPr>
                <w:rFonts w:ascii="Arial" w:hAnsi="Arial" w:cs="Arial" w:eastAsia="Arial" w:hint="default"/>
                <w:sz w:val="20"/>
                <w:szCs w:val="20"/>
              </w:rPr>
            </w:pPr>
            <w:r>
              <w:rPr>
                <w:rFonts w:ascii="Arial"/>
                <w:sz w:val="20"/>
              </w:rPr>
              <w:t>38,243,800</w:t>
            </w:r>
          </w:p>
        </w:tc>
      </w:tr>
      <w:tr>
        <w:trPr>
          <w:trHeight w:val="259"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19" w:lineRule="exact"/>
              <w:ind w:left="62" w:right="0"/>
              <w:jc w:val="left"/>
              <w:rPr>
                <w:rFonts w:ascii="黑体" w:hAnsi="黑体" w:cs="黑体" w:eastAsia="黑体" w:hint="default"/>
                <w:sz w:val="20"/>
                <w:szCs w:val="20"/>
              </w:rPr>
            </w:pPr>
            <w:r>
              <w:rPr>
                <w:rFonts w:ascii="黑体" w:hAnsi="黑体" w:cs="黑体" w:eastAsia="黑体" w:hint="default"/>
                <w:sz w:val="20"/>
                <w:szCs w:val="20"/>
              </w:rPr>
              <w:t>财务费用</w:t>
            </w:r>
          </w:p>
        </w:tc>
        <w:tc>
          <w:tcPr>
            <w:tcW w:w="1197" w:type="dxa"/>
            <w:tcBorders>
              <w:top w:val="nil" w:sz="6" w:space="0" w:color="auto"/>
              <w:left w:val="nil" w:sz="6" w:space="0" w:color="auto"/>
              <w:bottom w:val="nil" w:sz="6" w:space="0" w:color="auto"/>
              <w:right w:val="nil" w:sz="6" w:space="0" w:color="auto"/>
            </w:tcBorders>
          </w:tcPr>
          <w:p>
            <w:pPr/>
          </w:p>
        </w:tc>
        <w:tc>
          <w:tcPr>
            <w:tcW w:w="1799" w:type="dxa"/>
            <w:tcBorders>
              <w:top w:val="nil" w:sz="6" w:space="0" w:color="auto"/>
              <w:left w:val="nil" w:sz="6" w:space="0" w:color="auto"/>
              <w:bottom w:val="nil" w:sz="6" w:space="0" w:color="auto"/>
              <w:right w:val="nil" w:sz="6" w:space="0" w:color="auto"/>
            </w:tcBorders>
          </w:tcPr>
          <w:p>
            <w:pPr>
              <w:pStyle w:val="TableParagraph"/>
              <w:spacing w:line="245" w:lineRule="exact"/>
              <w:ind w:right="193"/>
              <w:jc w:val="right"/>
              <w:rPr>
                <w:rFonts w:ascii="Arial" w:hAnsi="Arial" w:cs="Arial" w:eastAsia="Arial" w:hint="default"/>
                <w:sz w:val="20"/>
                <w:szCs w:val="20"/>
              </w:rPr>
            </w:pPr>
            <w:r>
              <w:rPr>
                <w:rFonts w:ascii="Arial"/>
                <w:sz w:val="20"/>
              </w:rPr>
              <w:t>(  10,890,044</w:t>
            </w:r>
            <w:r>
              <w:rPr>
                <w:rFonts w:ascii="Arial"/>
                <w:spacing w:val="9"/>
                <w:sz w:val="20"/>
              </w:rPr>
              <w:t> </w:t>
            </w:r>
            <w:r>
              <w:rPr>
                <w:rFonts w:ascii="Arial"/>
                <w:position w:val="2"/>
                <w:sz w:val="20"/>
              </w:rPr>
              <w:t>)</w:t>
            </w:r>
            <w:r>
              <w:rPr>
                <w:rFonts w:ascii="Arial"/>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28" w:lineRule="exact"/>
              <w:ind w:right="33"/>
              <w:jc w:val="right"/>
              <w:rPr>
                <w:rFonts w:ascii="Arial" w:hAnsi="Arial" w:cs="Arial" w:eastAsia="Arial" w:hint="default"/>
                <w:sz w:val="20"/>
                <w:szCs w:val="20"/>
              </w:rPr>
            </w:pPr>
            <w:r>
              <w:rPr>
                <w:rFonts w:ascii="Arial"/>
                <w:sz w:val="20"/>
              </w:rPr>
              <w:t>(   7,905,940</w:t>
            </w:r>
            <w:r>
              <w:rPr>
                <w:rFonts w:ascii="Arial"/>
                <w:spacing w:val="10"/>
                <w:sz w:val="20"/>
              </w:rPr>
              <w:t> </w:t>
            </w:r>
            <w:r>
              <w:rPr>
                <w:rFonts w:ascii="Arial"/>
                <w:sz w:val="20"/>
              </w:rPr>
              <w:t>)</w:t>
            </w:r>
          </w:p>
        </w:tc>
      </w:tr>
      <w:tr>
        <w:trPr>
          <w:trHeight w:val="260"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19" w:lineRule="exact"/>
              <w:ind w:left="62" w:right="0"/>
              <w:jc w:val="left"/>
              <w:rPr>
                <w:rFonts w:ascii="黑体" w:hAnsi="黑体" w:cs="黑体" w:eastAsia="黑体" w:hint="default"/>
                <w:sz w:val="20"/>
                <w:szCs w:val="20"/>
              </w:rPr>
            </w:pPr>
            <w:r>
              <w:rPr>
                <w:rFonts w:ascii="黑体" w:hAnsi="黑体" w:cs="黑体" w:eastAsia="黑体" w:hint="default"/>
                <w:sz w:val="20"/>
                <w:szCs w:val="20"/>
              </w:rPr>
              <w:t>投资收益</w:t>
            </w:r>
          </w:p>
        </w:tc>
        <w:tc>
          <w:tcPr>
            <w:tcW w:w="1197" w:type="dxa"/>
            <w:tcBorders>
              <w:top w:val="nil" w:sz="6" w:space="0" w:color="auto"/>
              <w:left w:val="nil" w:sz="6" w:space="0" w:color="auto"/>
              <w:bottom w:val="nil" w:sz="6" w:space="0" w:color="auto"/>
              <w:right w:val="nil" w:sz="6" w:space="0" w:color="auto"/>
            </w:tcBorders>
          </w:tcPr>
          <w:p>
            <w:pPr>
              <w:pStyle w:val="TableParagraph"/>
              <w:spacing w:line="228" w:lineRule="exact"/>
              <w:ind w:right="188"/>
              <w:jc w:val="center"/>
              <w:rPr>
                <w:rFonts w:ascii="Arial" w:hAnsi="Arial" w:cs="Arial" w:eastAsia="Arial" w:hint="default"/>
                <w:sz w:val="20"/>
                <w:szCs w:val="20"/>
              </w:rPr>
            </w:pPr>
            <w:r>
              <w:rPr>
                <w:rFonts w:ascii="Arial"/>
                <w:sz w:val="20"/>
              </w:rPr>
              <w:t>32</w:t>
            </w:r>
          </w:p>
        </w:tc>
        <w:tc>
          <w:tcPr>
            <w:tcW w:w="1799" w:type="dxa"/>
            <w:tcBorders>
              <w:top w:val="nil" w:sz="6" w:space="0" w:color="auto"/>
              <w:left w:val="nil" w:sz="6" w:space="0" w:color="auto"/>
              <w:bottom w:val="nil" w:sz="6" w:space="0" w:color="auto"/>
              <w:right w:val="nil" w:sz="6" w:space="0" w:color="auto"/>
            </w:tcBorders>
          </w:tcPr>
          <w:p>
            <w:pPr>
              <w:pStyle w:val="TableParagraph"/>
              <w:spacing w:line="245" w:lineRule="exact"/>
              <w:ind w:right="193"/>
              <w:jc w:val="right"/>
              <w:rPr>
                <w:rFonts w:ascii="Arial" w:hAnsi="Arial" w:cs="Arial" w:eastAsia="Arial" w:hint="default"/>
                <w:sz w:val="20"/>
                <w:szCs w:val="20"/>
              </w:rPr>
            </w:pPr>
            <w:r>
              <w:rPr>
                <w:rFonts w:ascii="Arial"/>
                <w:sz w:val="20"/>
              </w:rPr>
              <w:t>(251,177,937</w:t>
            </w:r>
            <w:r>
              <w:rPr>
                <w:rFonts w:ascii="Arial"/>
                <w:spacing w:val="-2"/>
                <w:sz w:val="20"/>
              </w:rPr>
              <w:t> </w:t>
            </w:r>
            <w:r>
              <w:rPr>
                <w:rFonts w:ascii="Arial"/>
                <w:position w:val="2"/>
                <w:sz w:val="20"/>
              </w:rPr>
              <w:t>)</w:t>
            </w:r>
            <w:r>
              <w:rPr>
                <w:rFonts w:ascii="Arial"/>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28" w:lineRule="exact"/>
              <w:ind w:right="34"/>
              <w:jc w:val="right"/>
              <w:rPr>
                <w:rFonts w:ascii="Arial" w:hAnsi="Arial" w:cs="Arial" w:eastAsia="Arial" w:hint="default"/>
                <w:sz w:val="20"/>
                <w:szCs w:val="20"/>
              </w:rPr>
            </w:pPr>
            <w:r>
              <w:rPr>
                <w:rFonts w:ascii="Arial"/>
                <w:sz w:val="20"/>
              </w:rPr>
              <w:t>(215,766,149</w:t>
            </w:r>
            <w:r>
              <w:rPr>
                <w:rFonts w:ascii="Arial"/>
                <w:spacing w:val="-25"/>
                <w:sz w:val="20"/>
              </w:rPr>
              <w:t> </w:t>
            </w:r>
            <w:r>
              <w:rPr>
                <w:rFonts w:ascii="Arial"/>
                <w:sz w:val="20"/>
              </w:rPr>
              <w:t>)</w:t>
            </w:r>
          </w:p>
        </w:tc>
      </w:tr>
      <w:tr>
        <w:trPr>
          <w:trHeight w:val="260"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19" w:lineRule="exact"/>
              <w:ind w:left="62" w:right="0"/>
              <w:jc w:val="left"/>
              <w:rPr>
                <w:rFonts w:ascii="黑体" w:hAnsi="黑体" w:cs="黑体" w:eastAsia="黑体" w:hint="default"/>
                <w:sz w:val="20"/>
                <w:szCs w:val="20"/>
              </w:rPr>
            </w:pPr>
            <w:r>
              <w:rPr>
                <w:rFonts w:ascii="黑体" w:hAnsi="黑体" w:cs="黑体" w:eastAsia="黑体" w:hint="default"/>
                <w:sz w:val="20"/>
                <w:szCs w:val="20"/>
              </w:rPr>
              <w:t>递延所得税资产的增加</w:t>
            </w:r>
          </w:p>
        </w:tc>
        <w:tc>
          <w:tcPr>
            <w:tcW w:w="1197" w:type="dxa"/>
            <w:tcBorders>
              <w:top w:val="nil" w:sz="6" w:space="0" w:color="auto"/>
              <w:left w:val="nil" w:sz="6" w:space="0" w:color="auto"/>
              <w:bottom w:val="nil" w:sz="6" w:space="0" w:color="auto"/>
              <w:right w:val="nil" w:sz="6" w:space="0" w:color="auto"/>
            </w:tcBorders>
          </w:tcPr>
          <w:p>
            <w:pPr>
              <w:pStyle w:val="TableParagraph"/>
              <w:spacing w:line="229" w:lineRule="exact"/>
              <w:ind w:right="186"/>
              <w:jc w:val="center"/>
              <w:rPr>
                <w:rFonts w:ascii="Arial" w:hAnsi="Arial" w:cs="Arial" w:eastAsia="Arial" w:hint="default"/>
                <w:sz w:val="20"/>
                <w:szCs w:val="20"/>
              </w:rPr>
            </w:pPr>
            <w:r>
              <w:rPr>
                <w:rFonts w:ascii="Arial"/>
                <w:sz w:val="20"/>
              </w:rPr>
              <w:t>14</w:t>
            </w:r>
          </w:p>
        </w:tc>
        <w:tc>
          <w:tcPr>
            <w:tcW w:w="1799" w:type="dxa"/>
            <w:tcBorders>
              <w:top w:val="nil" w:sz="6" w:space="0" w:color="auto"/>
              <w:left w:val="nil" w:sz="6" w:space="0" w:color="auto"/>
              <w:bottom w:val="nil" w:sz="6" w:space="0" w:color="auto"/>
              <w:right w:val="nil" w:sz="6" w:space="0" w:color="auto"/>
            </w:tcBorders>
          </w:tcPr>
          <w:p>
            <w:pPr>
              <w:pStyle w:val="TableParagraph"/>
              <w:spacing w:line="246" w:lineRule="exact"/>
              <w:ind w:right="193"/>
              <w:jc w:val="right"/>
              <w:rPr>
                <w:rFonts w:ascii="Arial" w:hAnsi="Arial" w:cs="Arial" w:eastAsia="Arial" w:hint="default"/>
                <w:sz w:val="20"/>
                <w:szCs w:val="20"/>
              </w:rPr>
            </w:pPr>
            <w:r>
              <w:rPr>
                <w:rFonts w:ascii="Arial"/>
                <w:sz w:val="20"/>
              </w:rPr>
              <w:t>(  18,529,483</w:t>
            </w:r>
            <w:r>
              <w:rPr>
                <w:rFonts w:ascii="Arial"/>
                <w:spacing w:val="9"/>
                <w:sz w:val="20"/>
              </w:rPr>
              <w:t> </w:t>
            </w:r>
            <w:r>
              <w:rPr>
                <w:rFonts w:ascii="Arial"/>
                <w:position w:val="2"/>
                <w:sz w:val="20"/>
              </w:rPr>
              <w:t>)</w:t>
            </w:r>
            <w:r>
              <w:rPr>
                <w:rFonts w:ascii="Arial"/>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29" w:lineRule="exact"/>
              <w:ind w:right="33"/>
              <w:jc w:val="right"/>
              <w:rPr>
                <w:rFonts w:ascii="Arial" w:hAnsi="Arial" w:cs="Arial" w:eastAsia="Arial" w:hint="default"/>
                <w:sz w:val="20"/>
                <w:szCs w:val="20"/>
              </w:rPr>
            </w:pPr>
            <w:r>
              <w:rPr>
                <w:rFonts w:ascii="Arial"/>
                <w:sz w:val="20"/>
              </w:rPr>
              <w:t>(   2,830,443</w:t>
            </w:r>
            <w:r>
              <w:rPr>
                <w:rFonts w:ascii="Arial"/>
                <w:spacing w:val="10"/>
                <w:sz w:val="20"/>
              </w:rPr>
              <w:t> </w:t>
            </w:r>
            <w:r>
              <w:rPr>
                <w:rFonts w:ascii="Arial"/>
                <w:sz w:val="20"/>
              </w:rPr>
              <w:t>)</w:t>
            </w:r>
          </w:p>
        </w:tc>
      </w:tr>
      <w:tr>
        <w:trPr>
          <w:trHeight w:val="259"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19" w:lineRule="exact"/>
              <w:ind w:left="62" w:right="0"/>
              <w:jc w:val="left"/>
              <w:rPr>
                <w:rFonts w:ascii="黑体" w:hAnsi="黑体" w:cs="黑体" w:eastAsia="黑体" w:hint="default"/>
                <w:sz w:val="20"/>
                <w:szCs w:val="20"/>
              </w:rPr>
            </w:pPr>
            <w:r>
              <w:rPr>
                <w:rFonts w:ascii="黑体" w:hAnsi="黑体" w:cs="黑体" w:eastAsia="黑体" w:hint="default"/>
                <w:sz w:val="20"/>
                <w:szCs w:val="20"/>
              </w:rPr>
              <w:t>递延所得税负债的减少</w:t>
            </w:r>
          </w:p>
        </w:tc>
        <w:tc>
          <w:tcPr>
            <w:tcW w:w="1197" w:type="dxa"/>
            <w:tcBorders>
              <w:top w:val="nil" w:sz="6" w:space="0" w:color="auto"/>
              <w:left w:val="nil" w:sz="6" w:space="0" w:color="auto"/>
              <w:bottom w:val="nil" w:sz="6" w:space="0" w:color="auto"/>
              <w:right w:val="nil" w:sz="6" w:space="0" w:color="auto"/>
            </w:tcBorders>
          </w:tcPr>
          <w:p>
            <w:pPr>
              <w:pStyle w:val="TableParagraph"/>
              <w:spacing w:line="228" w:lineRule="exact"/>
              <w:ind w:right="186"/>
              <w:jc w:val="center"/>
              <w:rPr>
                <w:rFonts w:ascii="Arial" w:hAnsi="Arial" w:cs="Arial" w:eastAsia="Arial" w:hint="default"/>
                <w:sz w:val="20"/>
                <w:szCs w:val="20"/>
              </w:rPr>
            </w:pPr>
            <w:r>
              <w:rPr>
                <w:rFonts w:ascii="Arial"/>
                <w:sz w:val="20"/>
              </w:rPr>
              <w:t>14</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6"/>
              <w:jc w:val="right"/>
              <w:rPr>
                <w:rFonts w:ascii="Arial" w:hAnsi="Arial" w:cs="Arial" w:eastAsia="Arial" w:hint="default"/>
                <w:sz w:val="20"/>
                <w:szCs w:val="20"/>
              </w:rPr>
            </w:pPr>
            <w:r>
              <w:rPr>
                <w:rFonts w:ascii="Arial"/>
                <w:w w:val="100"/>
                <w:sz w:val="20"/>
              </w:rPr>
              <w:t>-</w:t>
            </w:r>
          </w:p>
        </w:tc>
        <w:tc>
          <w:tcPr>
            <w:tcW w:w="1520" w:type="dxa"/>
            <w:tcBorders>
              <w:top w:val="nil" w:sz="6" w:space="0" w:color="auto"/>
              <w:left w:val="nil" w:sz="6" w:space="0" w:color="auto"/>
              <w:bottom w:val="nil" w:sz="6" w:space="0" w:color="auto"/>
              <w:right w:val="nil" w:sz="6" w:space="0" w:color="auto"/>
            </w:tcBorders>
          </w:tcPr>
          <w:p>
            <w:pPr>
              <w:pStyle w:val="TableParagraph"/>
              <w:spacing w:line="228" w:lineRule="exact"/>
              <w:ind w:right="33"/>
              <w:jc w:val="right"/>
              <w:rPr>
                <w:rFonts w:ascii="Arial" w:hAnsi="Arial" w:cs="Arial" w:eastAsia="Arial" w:hint="default"/>
                <w:sz w:val="20"/>
                <w:szCs w:val="20"/>
              </w:rPr>
            </w:pPr>
            <w:r>
              <w:rPr>
                <w:rFonts w:ascii="Arial"/>
                <w:sz w:val="20"/>
              </w:rPr>
              <w:t>(    3,897,715</w:t>
            </w:r>
            <w:r>
              <w:rPr>
                <w:rFonts w:ascii="Arial"/>
                <w:spacing w:val="-45"/>
                <w:sz w:val="20"/>
              </w:rPr>
              <w:t> </w:t>
            </w:r>
            <w:r>
              <w:rPr>
                <w:rFonts w:ascii="Arial"/>
                <w:sz w:val="20"/>
              </w:rPr>
              <w:t>)</w:t>
            </w:r>
          </w:p>
        </w:tc>
      </w:tr>
      <w:tr>
        <w:trPr>
          <w:trHeight w:val="259"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33" w:lineRule="exact"/>
              <w:ind w:left="62" w:right="0"/>
              <w:jc w:val="left"/>
              <w:rPr>
                <w:rFonts w:ascii="Arial" w:hAnsi="Arial" w:cs="Arial" w:eastAsia="Arial" w:hint="default"/>
                <w:sz w:val="20"/>
                <w:szCs w:val="20"/>
              </w:rPr>
            </w:pPr>
            <w:r>
              <w:rPr>
                <w:rFonts w:ascii="黑体" w:hAnsi="黑体" w:cs="黑体" w:eastAsia="黑体" w:hint="default"/>
                <w:sz w:val="20"/>
                <w:szCs w:val="20"/>
              </w:rPr>
              <w:t>存货的减少</w:t>
            </w:r>
            <w:r>
              <w:rPr>
                <w:rFonts w:ascii="Arial" w:hAnsi="Arial" w:cs="Arial" w:eastAsia="Arial" w:hint="default"/>
                <w:sz w:val="20"/>
                <w:szCs w:val="20"/>
              </w:rPr>
              <w:t>/(</w:t>
            </w:r>
            <w:r>
              <w:rPr>
                <w:rFonts w:ascii="黑体" w:hAnsi="黑体" w:cs="黑体" w:eastAsia="黑体" w:hint="default"/>
                <w:sz w:val="20"/>
                <w:szCs w:val="20"/>
              </w:rPr>
              <w:t>增加</w:t>
            </w:r>
            <w:r>
              <w:rPr>
                <w:rFonts w:ascii="Arial" w:hAnsi="Arial" w:cs="Arial" w:eastAsia="Arial" w:hint="default"/>
                <w:sz w:val="20"/>
                <w:szCs w:val="20"/>
              </w:rPr>
              <w:t>)</w:t>
            </w:r>
          </w:p>
        </w:tc>
        <w:tc>
          <w:tcPr>
            <w:tcW w:w="1197" w:type="dxa"/>
            <w:tcBorders>
              <w:top w:val="nil" w:sz="6" w:space="0" w:color="auto"/>
              <w:left w:val="nil" w:sz="6" w:space="0" w:color="auto"/>
              <w:bottom w:val="nil" w:sz="6" w:space="0" w:color="auto"/>
              <w:right w:val="nil" w:sz="6" w:space="0" w:color="auto"/>
            </w:tcBorders>
          </w:tcPr>
          <w:p>
            <w:pP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6"/>
              <w:jc w:val="right"/>
              <w:rPr>
                <w:rFonts w:ascii="Arial" w:hAnsi="Arial" w:cs="Arial" w:eastAsia="Arial" w:hint="default"/>
                <w:sz w:val="20"/>
                <w:szCs w:val="20"/>
              </w:rPr>
            </w:pPr>
            <w:r>
              <w:rPr>
                <w:rFonts w:ascii="Arial"/>
                <w:spacing w:val="-1"/>
                <w:sz w:val="20"/>
              </w:rPr>
              <w:t>3,767,286</w:t>
            </w:r>
          </w:p>
        </w:tc>
        <w:tc>
          <w:tcPr>
            <w:tcW w:w="1520" w:type="dxa"/>
            <w:tcBorders>
              <w:top w:val="nil" w:sz="6" w:space="0" w:color="auto"/>
              <w:left w:val="nil" w:sz="6" w:space="0" w:color="auto"/>
              <w:bottom w:val="nil" w:sz="6" w:space="0" w:color="auto"/>
              <w:right w:val="nil" w:sz="6" w:space="0" w:color="auto"/>
            </w:tcBorders>
          </w:tcPr>
          <w:p>
            <w:pPr>
              <w:pStyle w:val="TableParagraph"/>
              <w:spacing w:line="228" w:lineRule="exact"/>
              <w:ind w:right="33"/>
              <w:jc w:val="right"/>
              <w:rPr>
                <w:rFonts w:ascii="Arial" w:hAnsi="Arial" w:cs="Arial" w:eastAsia="Arial" w:hint="default"/>
                <w:sz w:val="20"/>
                <w:szCs w:val="20"/>
              </w:rPr>
            </w:pPr>
            <w:r>
              <w:rPr>
                <w:rFonts w:ascii="Arial"/>
                <w:sz w:val="20"/>
              </w:rPr>
              <w:t>(    3,237,294</w:t>
            </w:r>
            <w:r>
              <w:rPr>
                <w:rFonts w:ascii="Arial"/>
                <w:spacing w:val="-45"/>
                <w:sz w:val="20"/>
              </w:rPr>
              <w:t> </w:t>
            </w:r>
            <w:r>
              <w:rPr>
                <w:rFonts w:ascii="Arial"/>
                <w:sz w:val="20"/>
              </w:rPr>
              <w:t>)</w:t>
            </w:r>
          </w:p>
        </w:tc>
      </w:tr>
      <w:tr>
        <w:trPr>
          <w:trHeight w:val="259"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19" w:lineRule="exact"/>
              <w:ind w:left="62" w:right="0"/>
              <w:jc w:val="left"/>
              <w:rPr>
                <w:rFonts w:ascii="黑体" w:hAnsi="黑体" w:cs="黑体" w:eastAsia="黑体" w:hint="default"/>
                <w:sz w:val="20"/>
                <w:szCs w:val="20"/>
              </w:rPr>
            </w:pPr>
            <w:r>
              <w:rPr>
                <w:rFonts w:ascii="黑体" w:hAnsi="黑体" w:cs="黑体" w:eastAsia="黑体" w:hint="default"/>
                <w:sz w:val="20"/>
                <w:szCs w:val="20"/>
              </w:rPr>
              <w:t>经营性应收项目的增加</w:t>
            </w:r>
          </w:p>
        </w:tc>
        <w:tc>
          <w:tcPr>
            <w:tcW w:w="1197" w:type="dxa"/>
            <w:tcBorders>
              <w:top w:val="nil" w:sz="6" w:space="0" w:color="auto"/>
              <w:left w:val="nil" w:sz="6" w:space="0" w:color="auto"/>
              <w:bottom w:val="nil" w:sz="6" w:space="0" w:color="auto"/>
              <w:right w:val="nil" w:sz="6" w:space="0" w:color="auto"/>
            </w:tcBorders>
          </w:tcPr>
          <w:p>
            <w:pPr/>
          </w:p>
        </w:tc>
        <w:tc>
          <w:tcPr>
            <w:tcW w:w="1799" w:type="dxa"/>
            <w:tcBorders>
              <w:top w:val="nil" w:sz="6" w:space="0" w:color="auto"/>
              <w:left w:val="nil" w:sz="6" w:space="0" w:color="auto"/>
              <w:bottom w:val="nil" w:sz="6" w:space="0" w:color="auto"/>
              <w:right w:val="nil" w:sz="6" w:space="0" w:color="auto"/>
            </w:tcBorders>
          </w:tcPr>
          <w:p>
            <w:pPr>
              <w:pStyle w:val="TableParagraph"/>
              <w:spacing w:line="245" w:lineRule="exact"/>
              <w:ind w:right="192"/>
              <w:jc w:val="right"/>
              <w:rPr>
                <w:rFonts w:ascii="Arial" w:hAnsi="Arial" w:cs="Arial" w:eastAsia="Arial" w:hint="default"/>
                <w:sz w:val="20"/>
                <w:szCs w:val="20"/>
              </w:rPr>
            </w:pPr>
            <w:r>
              <w:rPr>
                <w:rFonts w:ascii="Arial"/>
                <w:sz w:val="20"/>
              </w:rPr>
              <w:t>(136,336,424</w:t>
            </w:r>
            <w:r>
              <w:rPr>
                <w:rFonts w:ascii="Arial"/>
                <w:spacing w:val="-2"/>
                <w:sz w:val="20"/>
              </w:rPr>
              <w:t> </w:t>
            </w:r>
            <w:r>
              <w:rPr>
                <w:rFonts w:ascii="Arial"/>
                <w:position w:val="2"/>
                <w:sz w:val="20"/>
              </w:rPr>
              <w:t>)</w:t>
            </w:r>
            <w:r>
              <w:rPr>
                <w:rFonts w:ascii="Arial"/>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28" w:lineRule="exact"/>
              <w:ind w:right="33"/>
              <w:jc w:val="right"/>
              <w:rPr>
                <w:rFonts w:ascii="Arial" w:hAnsi="Arial" w:cs="Arial" w:eastAsia="Arial" w:hint="default"/>
                <w:sz w:val="20"/>
                <w:szCs w:val="20"/>
              </w:rPr>
            </w:pPr>
            <w:r>
              <w:rPr>
                <w:rFonts w:ascii="Arial"/>
                <w:sz w:val="20"/>
              </w:rPr>
              <w:t>(106,858,289</w:t>
            </w:r>
            <w:r>
              <w:rPr>
                <w:rFonts w:ascii="Arial"/>
                <w:spacing w:val="-25"/>
                <w:sz w:val="20"/>
              </w:rPr>
              <w:t> </w:t>
            </w:r>
            <w:r>
              <w:rPr>
                <w:rFonts w:ascii="Arial"/>
                <w:sz w:val="20"/>
              </w:rPr>
              <w:t>)</w:t>
            </w:r>
          </w:p>
        </w:tc>
      </w:tr>
      <w:tr>
        <w:trPr>
          <w:trHeight w:val="259"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19" w:lineRule="exact"/>
              <w:ind w:left="62" w:right="0"/>
              <w:jc w:val="left"/>
              <w:rPr>
                <w:rFonts w:ascii="黑体" w:hAnsi="黑体" w:cs="黑体" w:eastAsia="黑体" w:hint="default"/>
                <w:sz w:val="20"/>
                <w:szCs w:val="20"/>
              </w:rPr>
            </w:pPr>
            <w:r>
              <w:rPr>
                <w:rFonts w:ascii="黑体" w:hAnsi="黑体" w:cs="黑体" w:eastAsia="黑体" w:hint="default"/>
                <w:sz w:val="20"/>
                <w:szCs w:val="20"/>
              </w:rPr>
              <w:t>经营性应付项目的增加</w:t>
            </w:r>
          </w:p>
        </w:tc>
        <w:tc>
          <w:tcPr>
            <w:tcW w:w="1197" w:type="dxa"/>
            <w:tcBorders>
              <w:top w:val="nil" w:sz="6" w:space="0" w:color="auto"/>
              <w:left w:val="nil" w:sz="6" w:space="0" w:color="auto"/>
              <w:bottom w:val="nil" w:sz="6" w:space="0" w:color="auto"/>
              <w:right w:val="nil" w:sz="6" w:space="0" w:color="auto"/>
            </w:tcBorders>
          </w:tcPr>
          <w:p>
            <w:pP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68" w:right="0"/>
              <w:jc w:val="left"/>
              <w:rPr>
                <w:rFonts w:ascii="Arial" w:hAnsi="Arial" w:cs="Arial" w:eastAsia="Arial" w:hint="default"/>
                <w:sz w:val="20"/>
                <w:szCs w:val="20"/>
              </w:rPr>
            </w:pPr>
            <w:r>
              <w:rPr>
                <w:rFonts w:ascii="Arial"/>
                <w:sz w:val="20"/>
              </w:rPr>
              <w:t>228,279,469</w:t>
            </w:r>
          </w:p>
        </w:tc>
        <w:tc>
          <w:tcPr>
            <w:tcW w:w="1520" w:type="dxa"/>
            <w:tcBorders>
              <w:top w:val="nil" w:sz="6" w:space="0" w:color="auto"/>
              <w:left w:val="nil" w:sz="6" w:space="0" w:color="auto"/>
              <w:bottom w:val="nil" w:sz="6" w:space="0" w:color="auto"/>
              <w:right w:val="nil" w:sz="6" w:space="0" w:color="auto"/>
            </w:tcBorders>
          </w:tcPr>
          <w:p>
            <w:pPr>
              <w:pStyle w:val="TableParagraph"/>
              <w:spacing w:line="228" w:lineRule="exact"/>
              <w:ind w:left="270" w:right="0"/>
              <w:jc w:val="left"/>
              <w:rPr>
                <w:rFonts w:ascii="Arial" w:hAnsi="Arial" w:cs="Arial" w:eastAsia="Arial" w:hint="default"/>
                <w:sz w:val="20"/>
                <w:szCs w:val="20"/>
              </w:rPr>
            </w:pPr>
            <w:r>
              <w:rPr>
                <w:rFonts w:ascii="Arial"/>
                <w:sz w:val="20"/>
              </w:rPr>
              <w:t>125,292,111</w:t>
            </w:r>
          </w:p>
        </w:tc>
      </w:tr>
      <w:tr>
        <w:trPr>
          <w:trHeight w:val="259"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19" w:lineRule="exact"/>
              <w:ind w:left="62"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1197" w:type="dxa"/>
            <w:tcBorders>
              <w:top w:val="nil" w:sz="6" w:space="0" w:color="auto"/>
              <w:left w:val="nil" w:sz="6" w:space="0" w:color="auto"/>
              <w:bottom w:val="nil" w:sz="6" w:space="0" w:color="auto"/>
              <w:right w:val="nil" w:sz="6" w:space="0" w:color="auto"/>
            </w:tcBorders>
          </w:tcPr>
          <w:p>
            <w:pPr/>
          </w:p>
        </w:tc>
        <w:tc>
          <w:tcPr>
            <w:tcW w:w="1799" w:type="dxa"/>
            <w:tcBorders>
              <w:top w:val="nil" w:sz="6" w:space="0" w:color="auto"/>
              <w:left w:val="nil" w:sz="6" w:space="0" w:color="auto"/>
              <w:bottom w:val="nil" w:sz="6" w:space="0" w:color="auto"/>
              <w:right w:val="nil" w:sz="6" w:space="0" w:color="auto"/>
            </w:tcBorders>
          </w:tcPr>
          <w:p>
            <w:pPr>
              <w:pStyle w:val="TableParagraph"/>
              <w:spacing w:line="245" w:lineRule="exact"/>
              <w:ind w:right="193"/>
              <w:jc w:val="right"/>
              <w:rPr>
                <w:rFonts w:ascii="Arial" w:hAnsi="Arial" w:cs="Arial" w:eastAsia="Arial" w:hint="default"/>
                <w:sz w:val="20"/>
                <w:szCs w:val="20"/>
              </w:rPr>
            </w:pPr>
            <w:r>
              <w:rPr>
                <w:rFonts w:ascii="Arial"/>
                <w:sz w:val="20"/>
              </w:rPr>
              <w:t>(    </w:t>
            </w:r>
            <w:r>
              <w:rPr>
                <w:rFonts w:ascii="Arial"/>
                <w:sz w:val="20"/>
                <w:u w:val="single" w:color="000000"/>
              </w:rPr>
              <w:t> 6,692,004</w:t>
            </w:r>
            <w:r>
              <w:rPr>
                <w:rFonts w:ascii="Arial"/>
                <w:spacing w:val="-23"/>
                <w:sz w:val="20"/>
                <w:u w:val="single" w:color="000000"/>
              </w:rPr>
              <w:t> </w:t>
            </w:r>
            <w:r>
              <w:rPr>
                <w:rFonts w:ascii="Arial"/>
                <w:spacing w:val="-23"/>
                <w:sz w:val="20"/>
              </w:rPr>
            </w:r>
            <w:r>
              <w:rPr>
                <w:rFonts w:ascii="Arial"/>
                <w:position w:val="2"/>
                <w:sz w:val="20"/>
              </w:rPr>
              <w:t>)</w:t>
            </w:r>
            <w:r>
              <w:rPr>
                <w:rFonts w:ascii="Arial"/>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29" w:lineRule="exact"/>
              <w:ind w:right="34"/>
              <w:jc w:val="right"/>
              <w:rPr>
                <w:rFonts w:ascii="Arial" w:hAnsi="Arial" w:cs="Arial" w:eastAsia="Arial" w:hint="default"/>
                <w:sz w:val="20"/>
                <w:szCs w:val="20"/>
              </w:rPr>
            </w:pPr>
            <w:r>
              <w:rPr>
                <w:rFonts w:ascii="Arial"/>
                <w:sz w:val="20"/>
              </w:rPr>
              <w:t>(   </w:t>
            </w:r>
            <w:r>
              <w:rPr>
                <w:rFonts w:ascii="Arial"/>
                <w:sz w:val="20"/>
                <w:u w:val="single" w:color="000000"/>
              </w:rPr>
              <w:t> 4,350,241</w:t>
            </w:r>
            <w:r>
              <w:rPr>
                <w:rFonts w:ascii="Arial"/>
                <w:spacing w:val="9"/>
                <w:sz w:val="20"/>
                <w:u w:val="single" w:color="000000"/>
              </w:rPr>
              <w:t> </w:t>
            </w:r>
            <w:r>
              <w:rPr>
                <w:rFonts w:ascii="Arial"/>
                <w:spacing w:val="9"/>
                <w:sz w:val="20"/>
              </w:rPr>
            </w:r>
            <w:r>
              <w:rPr>
                <w:rFonts w:ascii="Arial"/>
                <w:sz w:val="20"/>
              </w:rPr>
              <w:t>)</w:t>
            </w:r>
          </w:p>
        </w:tc>
      </w:tr>
      <w:tr>
        <w:trPr>
          <w:trHeight w:val="341" w:hRule="exact"/>
        </w:trPr>
        <w:tc>
          <w:tcPr>
            <w:tcW w:w="3423" w:type="dxa"/>
            <w:tcBorders>
              <w:top w:val="nil" w:sz="6" w:space="0" w:color="auto"/>
              <w:left w:val="nil" w:sz="6" w:space="0" w:color="auto"/>
              <w:bottom w:val="nil" w:sz="6" w:space="0" w:color="auto"/>
              <w:right w:val="nil" w:sz="6" w:space="0" w:color="auto"/>
            </w:tcBorders>
          </w:tcPr>
          <w:p>
            <w:pPr>
              <w:pStyle w:val="TableParagraph"/>
              <w:spacing w:line="219" w:lineRule="exact"/>
              <w:ind w:left="62" w:right="0"/>
              <w:jc w:val="left"/>
              <w:rPr>
                <w:rFonts w:ascii="黑体" w:hAnsi="黑体" w:cs="黑体" w:eastAsia="黑体" w:hint="default"/>
                <w:sz w:val="20"/>
                <w:szCs w:val="20"/>
              </w:rPr>
            </w:pPr>
            <w:r>
              <w:rPr>
                <w:rFonts w:ascii="黑体" w:hAnsi="黑体" w:cs="黑体" w:eastAsia="黑体" w:hint="default"/>
                <w:sz w:val="20"/>
                <w:szCs w:val="20"/>
              </w:rPr>
              <w:t>经营活动产生的现金流量净额</w:t>
            </w:r>
          </w:p>
        </w:tc>
        <w:tc>
          <w:tcPr>
            <w:tcW w:w="1197" w:type="dxa"/>
            <w:tcBorders>
              <w:top w:val="nil" w:sz="6" w:space="0" w:color="auto"/>
              <w:left w:val="nil" w:sz="6" w:space="0" w:color="auto"/>
              <w:bottom w:val="nil" w:sz="6" w:space="0" w:color="auto"/>
              <w:right w:val="nil" w:sz="6" w:space="0" w:color="auto"/>
            </w:tcBorders>
          </w:tcPr>
          <w:p>
            <w:pP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68" w:right="0"/>
              <w:jc w:val="left"/>
              <w:rPr>
                <w:rFonts w:ascii="Arial" w:hAnsi="Arial" w:cs="Arial" w:eastAsia="Arial" w:hint="default"/>
                <w:sz w:val="20"/>
                <w:szCs w:val="20"/>
              </w:rPr>
            </w:pPr>
            <w:r>
              <w:rPr>
                <w:rFonts w:ascii="Arial"/>
                <w:w w:val="100"/>
                <w:sz w:val="20"/>
              </w:rPr>
            </w:r>
            <w:r>
              <w:rPr>
                <w:rFonts w:ascii="Arial"/>
                <w:sz w:val="20"/>
                <w:u w:val="double" w:color="000000"/>
              </w:rPr>
              <w:t>373,261,180</w:t>
            </w:r>
            <w:r>
              <w:rPr>
                <w:rFonts w:ascii="Arial"/>
                <w:sz w:val="20"/>
              </w:rPr>
            </w:r>
          </w:p>
        </w:tc>
        <w:tc>
          <w:tcPr>
            <w:tcW w:w="1520" w:type="dxa"/>
            <w:tcBorders>
              <w:top w:val="nil" w:sz="6" w:space="0" w:color="auto"/>
              <w:left w:val="nil" w:sz="6" w:space="0" w:color="auto"/>
              <w:bottom w:val="nil" w:sz="6" w:space="0" w:color="auto"/>
              <w:right w:val="nil" w:sz="6" w:space="0" w:color="auto"/>
            </w:tcBorders>
          </w:tcPr>
          <w:p>
            <w:pPr>
              <w:pStyle w:val="TableParagraph"/>
              <w:spacing w:line="228" w:lineRule="exact"/>
              <w:ind w:left="270" w:right="0"/>
              <w:jc w:val="left"/>
              <w:rPr>
                <w:rFonts w:ascii="Arial" w:hAnsi="Arial" w:cs="Arial" w:eastAsia="Arial" w:hint="default"/>
                <w:sz w:val="20"/>
                <w:szCs w:val="20"/>
              </w:rPr>
            </w:pPr>
            <w:r>
              <w:rPr>
                <w:rFonts w:ascii="Arial"/>
                <w:w w:val="100"/>
                <w:sz w:val="20"/>
              </w:rPr>
            </w:r>
            <w:r>
              <w:rPr>
                <w:rFonts w:ascii="Arial"/>
                <w:sz w:val="20"/>
                <w:u w:val="double" w:color="000000"/>
              </w:rPr>
              <w:t>295,899,103</w:t>
            </w:r>
            <w:r>
              <w:rPr>
                <w:rFonts w:ascii="Arial"/>
                <w:sz w:val="20"/>
              </w:rPr>
            </w:r>
          </w:p>
        </w:tc>
      </w:tr>
    </w:tbl>
    <w:p>
      <w:pPr>
        <w:spacing w:line="240" w:lineRule="auto" w:before="0"/>
        <w:rPr>
          <w:rFonts w:ascii="黑体" w:hAnsi="黑体" w:cs="黑体" w:eastAsia="黑体" w:hint="default"/>
          <w:b/>
          <w:bCs/>
          <w:sz w:val="20"/>
          <w:szCs w:val="20"/>
        </w:rPr>
      </w:pPr>
    </w:p>
    <w:p>
      <w:pPr>
        <w:spacing w:line="240" w:lineRule="auto" w:before="3"/>
        <w:rPr>
          <w:rFonts w:ascii="黑体" w:hAnsi="黑体" w:cs="黑体" w:eastAsia="黑体" w:hint="default"/>
          <w:b/>
          <w:bCs/>
          <w:sz w:val="20"/>
          <w:szCs w:val="20"/>
        </w:rPr>
      </w:pPr>
    </w:p>
    <w:tbl>
      <w:tblPr>
        <w:tblW w:w="0" w:type="auto"/>
        <w:jc w:val="left"/>
        <w:tblInd w:w="876" w:type="dxa"/>
        <w:tblLayout w:type="fixed"/>
        <w:tblCellMar>
          <w:top w:w="0" w:type="dxa"/>
          <w:left w:w="0" w:type="dxa"/>
          <w:bottom w:w="0" w:type="dxa"/>
          <w:right w:w="0" w:type="dxa"/>
        </w:tblCellMar>
        <w:tblLook w:val="01E0"/>
      </w:tblPr>
      <w:tblGrid>
        <w:gridCol w:w="3596"/>
        <w:gridCol w:w="2756"/>
        <w:gridCol w:w="1452"/>
      </w:tblGrid>
      <w:tr>
        <w:trPr>
          <w:trHeight w:val="923" w:hRule="exact"/>
        </w:trPr>
        <w:tc>
          <w:tcPr>
            <w:tcW w:w="35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4"/>
              <w:ind w:right="0"/>
              <w:jc w:val="left"/>
              <w:rPr>
                <w:rFonts w:ascii="黑体" w:hAnsi="黑体" w:cs="黑体" w:eastAsia="黑体" w:hint="default"/>
                <w:b/>
                <w:bCs/>
                <w:sz w:val="20"/>
                <w:szCs w:val="20"/>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现金及现金等价物净变动：</w:t>
            </w:r>
          </w:p>
        </w:tc>
        <w:tc>
          <w:tcPr>
            <w:tcW w:w="275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81"/>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4"/>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374" w:hRule="exact"/>
        </w:trPr>
        <w:tc>
          <w:tcPr>
            <w:tcW w:w="3596"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5" w:right="0"/>
              <w:jc w:val="left"/>
              <w:rPr>
                <w:rFonts w:ascii="黑体" w:hAnsi="黑体" w:cs="黑体" w:eastAsia="黑体" w:hint="default"/>
                <w:sz w:val="20"/>
                <w:szCs w:val="20"/>
              </w:rPr>
            </w:pPr>
            <w:r>
              <w:rPr>
                <w:rFonts w:ascii="黑体" w:hAnsi="黑体" w:cs="黑体" w:eastAsia="黑体" w:hint="default"/>
                <w:sz w:val="20"/>
                <w:szCs w:val="20"/>
              </w:rPr>
              <w:t>现金的年末余额</w:t>
            </w:r>
          </w:p>
        </w:tc>
        <w:tc>
          <w:tcPr>
            <w:tcW w:w="275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81"/>
              <w:jc w:val="right"/>
              <w:rPr>
                <w:rFonts w:ascii="Arial" w:hAnsi="Arial" w:cs="Arial" w:eastAsia="Arial" w:hint="default"/>
                <w:sz w:val="20"/>
                <w:szCs w:val="20"/>
              </w:rPr>
            </w:pPr>
            <w:r>
              <w:rPr>
                <w:rFonts w:ascii="Arial"/>
                <w:spacing w:val="-1"/>
                <w:sz w:val="20"/>
              </w:rPr>
              <w:t>1,130,830,147</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53"/>
              <w:jc w:val="right"/>
              <w:rPr>
                <w:rFonts w:ascii="Arial" w:hAnsi="Arial" w:cs="Arial" w:eastAsia="Arial" w:hint="default"/>
                <w:sz w:val="20"/>
                <w:szCs w:val="20"/>
              </w:rPr>
            </w:pPr>
            <w:r>
              <w:rPr>
                <w:rFonts w:ascii="Arial"/>
                <w:spacing w:val="-1"/>
                <w:sz w:val="20"/>
              </w:rPr>
              <w:t>792,437,654</w:t>
            </w:r>
          </w:p>
        </w:tc>
      </w:tr>
      <w:tr>
        <w:trPr>
          <w:trHeight w:val="259" w:hRule="exact"/>
        </w:trPr>
        <w:tc>
          <w:tcPr>
            <w:tcW w:w="3596" w:type="dxa"/>
            <w:tcBorders>
              <w:top w:val="nil" w:sz="6" w:space="0" w:color="auto"/>
              <w:left w:val="nil" w:sz="6" w:space="0" w:color="auto"/>
              <w:bottom w:val="nil" w:sz="6" w:space="0" w:color="auto"/>
              <w:right w:val="nil" w:sz="6" w:space="0" w:color="auto"/>
            </w:tcBorders>
          </w:tcPr>
          <w:p>
            <w:pPr>
              <w:pStyle w:val="TableParagraph"/>
              <w:spacing w:line="240" w:lineRule="exact"/>
              <w:ind w:left="35" w:right="0"/>
              <w:jc w:val="left"/>
              <w:rPr>
                <w:rFonts w:ascii="黑体" w:hAnsi="黑体" w:cs="黑体" w:eastAsia="黑体" w:hint="default"/>
                <w:sz w:val="20"/>
                <w:szCs w:val="20"/>
              </w:rPr>
            </w:pPr>
            <w:r>
              <w:rPr>
                <w:rFonts w:ascii="黑体" w:hAnsi="黑体" w:cs="黑体" w:eastAsia="黑体" w:hint="default"/>
                <w:sz w:val="20"/>
                <w:szCs w:val="20"/>
              </w:rPr>
              <w:t>减：现金的年初余额</w:t>
            </w:r>
          </w:p>
        </w:tc>
        <w:tc>
          <w:tcPr>
            <w:tcW w:w="2756" w:type="dxa"/>
            <w:tcBorders>
              <w:top w:val="nil" w:sz="6" w:space="0" w:color="auto"/>
              <w:left w:val="nil" w:sz="6" w:space="0" w:color="auto"/>
              <w:bottom w:val="nil" w:sz="6" w:space="0" w:color="auto"/>
              <w:right w:val="nil" w:sz="6" w:space="0" w:color="auto"/>
            </w:tcBorders>
          </w:tcPr>
          <w:p>
            <w:pPr>
              <w:pStyle w:val="TableParagraph"/>
              <w:spacing w:line="223" w:lineRule="exact"/>
              <w:ind w:right="28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3"/>
                <w:sz w:val="20"/>
                <w:u w:val="single" w:color="000000"/>
              </w:rPr>
              <w:t> </w:t>
            </w:r>
            <w:r>
              <w:rPr>
                <w:rFonts w:ascii="Arial"/>
                <w:spacing w:val="-1"/>
                <w:sz w:val="20"/>
                <w:u w:val="single" w:color="000000"/>
              </w:rPr>
              <w:t>792,437,654</w:t>
            </w:r>
            <w:r>
              <w:rPr>
                <w:rFonts w:ascii="Arial"/>
                <w:spacing w:val="-1"/>
                <w:sz w:val="20"/>
              </w:rPr>
            </w:r>
          </w:p>
        </w:tc>
        <w:tc>
          <w:tcPr>
            <w:tcW w:w="1452" w:type="dxa"/>
            <w:tcBorders>
              <w:top w:val="nil" w:sz="6" w:space="0" w:color="auto"/>
              <w:left w:val="nil" w:sz="6" w:space="0" w:color="auto"/>
              <w:bottom w:val="nil" w:sz="6" w:space="0" w:color="auto"/>
              <w:right w:val="nil" w:sz="6" w:space="0" w:color="auto"/>
            </w:tcBorders>
          </w:tcPr>
          <w:p>
            <w:pPr>
              <w:pStyle w:val="TableParagraph"/>
              <w:spacing w:line="223" w:lineRule="exact"/>
              <w:ind w:right="53"/>
              <w:jc w:val="right"/>
              <w:rPr>
                <w:rFonts w:ascii="Arial" w:hAnsi="Arial" w:cs="Arial" w:eastAsia="Arial" w:hint="default"/>
                <w:sz w:val="20"/>
                <w:szCs w:val="20"/>
              </w:rPr>
            </w:pPr>
            <w:r>
              <w:rPr>
                <w:rFonts w:ascii="Arial"/>
                <w:w w:val="100"/>
                <w:sz w:val="20"/>
              </w:rPr>
            </w:r>
            <w:r>
              <w:rPr>
                <w:rFonts w:ascii="Arial"/>
                <w:spacing w:val="-1"/>
                <w:sz w:val="20"/>
                <w:u w:val="single" w:color="000000"/>
              </w:rPr>
              <w:t>708,217,284</w:t>
            </w:r>
            <w:r>
              <w:rPr>
                <w:rFonts w:ascii="Arial"/>
                <w:spacing w:val="-1"/>
                <w:sz w:val="20"/>
              </w:rPr>
            </w:r>
          </w:p>
        </w:tc>
      </w:tr>
      <w:tr>
        <w:trPr>
          <w:trHeight w:val="340" w:hRule="exact"/>
        </w:trPr>
        <w:tc>
          <w:tcPr>
            <w:tcW w:w="3596" w:type="dxa"/>
            <w:tcBorders>
              <w:top w:val="nil" w:sz="6" w:space="0" w:color="auto"/>
              <w:left w:val="nil" w:sz="6" w:space="0" w:color="auto"/>
              <w:bottom w:val="nil" w:sz="6" w:space="0" w:color="auto"/>
              <w:right w:val="nil" w:sz="6" w:space="0" w:color="auto"/>
            </w:tcBorders>
          </w:tcPr>
          <w:p>
            <w:pPr>
              <w:pStyle w:val="TableParagraph"/>
              <w:spacing w:line="240" w:lineRule="exact"/>
              <w:ind w:left="35" w:right="0"/>
              <w:jc w:val="left"/>
              <w:rPr>
                <w:rFonts w:ascii="黑体" w:hAnsi="黑体" w:cs="黑体" w:eastAsia="黑体" w:hint="default"/>
                <w:sz w:val="20"/>
                <w:szCs w:val="20"/>
              </w:rPr>
            </w:pPr>
            <w:r>
              <w:rPr>
                <w:rFonts w:ascii="黑体" w:hAnsi="黑体" w:cs="黑体" w:eastAsia="黑体" w:hint="default"/>
                <w:sz w:val="20"/>
                <w:szCs w:val="20"/>
              </w:rPr>
              <w:t>现金及现金等价物净增加额</w:t>
            </w:r>
          </w:p>
        </w:tc>
        <w:tc>
          <w:tcPr>
            <w:tcW w:w="2756" w:type="dxa"/>
            <w:tcBorders>
              <w:top w:val="nil" w:sz="6" w:space="0" w:color="auto"/>
              <w:left w:val="nil" w:sz="6" w:space="0" w:color="auto"/>
              <w:bottom w:val="nil" w:sz="6" w:space="0" w:color="auto"/>
              <w:right w:val="nil" w:sz="6" w:space="0" w:color="auto"/>
            </w:tcBorders>
          </w:tcPr>
          <w:p>
            <w:pPr>
              <w:pStyle w:val="TableParagraph"/>
              <w:spacing w:line="223" w:lineRule="exact"/>
              <w:ind w:right="281"/>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  </w:t>
            </w:r>
            <w:r>
              <w:rPr>
                <w:rFonts w:ascii="Arial"/>
                <w:spacing w:val="-24"/>
                <w:sz w:val="20"/>
                <w:u w:val="thick" w:color="000000"/>
              </w:rPr>
              <w:t> </w:t>
            </w:r>
            <w:r>
              <w:rPr>
                <w:rFonts w:ascii="Arial"/>
                <w:spacing w:val="-1"/>
                <w:sz w:val="20"/>
                <w:u w:val="thick" w:color="000000"/>
              </w:rPr>
              <w:t>338,392,493</w:t>
            </w:r>
            <w:r>
              <w:rPr>
                <w:rFonts w:ascii="Arial"/>
                <w:spacing w:val="-1"/>
                <w:sz w:val="20"/>
              </w:rPr>
            </w:r>
          </w:p>
        </w:tc>
        <w:tc>
          <w:tcPr>
            <w:tcW w:w="1452" w:type="dxa"/>
            <w:tcBorders>
              <w:top w:val="nil" w:sz="6" w:space="0" w:color="auto"/>
              <w:left w:val="nil" w:sz="6" w:space="0" w:color="auto"/>
              <w:bottom w:val="nil" w:sz="6" w:space="0" w:color="auto"/>
              <w:right w:val="nil" w:sz="6" w:space="0" w:color="auto"/>
            </w:tcBorders>
          </w:tcPr>
          <w:p>
            <w:pPr>
              <w:pStyle w:val="TableParagraph"/>
              <w:spacing w:line="223" w:lineRule="exact"/>
              <w:ind w:right="5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pacing w:val="-12"/>
                <w:sz w:val="20"/>
                <w:u w:val="thick" w:color="000000"/>
              </w:rPr>
              <w:t> </w:t>
            </w:r>
            <w:r>
              <w:rPr>
                <w:rFonts w:ascii="Arial"/>
                <w:spacing w:val="-1"/>
                <w:sz w:val="20"/>
                <w:u w:val="thick" w:color="000000"/>
              </w:rPr>
              <w:t>84,220,370</w:t>
            </w:r>
            <w:r>
              <w:rPr>
                <w:rFonts w:ascii="Arial"/>
                <w:spacing w:val="-1"/>
                <w:sz w:val="20"/>
              </w:rPr>
            </w:r>
          </w:p>
        </w:tc>
      </w:tr>
    </w:tbl>
    <w:p>
      <w:pPr>
        <w:spacing w:after="0" w:line="223" w:lineRule="exact"/>
        <w:jc w:val="right"/>
        <w:rPr>
          <w:rFonts w:ascii="Arial" w:hAnsi="Arial" w:cs="Arial" w:eastAsia="Arial" w:hint="default"/>
          <w:sz w:val="20"/>
          <w:szCs w:val="20"/>
        </w:rPr>
        <w:sectPr>
          <w:pgSz w:w="11910" w:h="16840"/>
          <w:pgMar w:header="958" w:footer="466" w:top="2560" w:bottom="660" w:left="1560" w:right="0"/>
        </w:sectPr>
      </w:pP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15"/>
          <w:szCs w:val="15"/>
        </w:rPr>
      </w:pPr>
    </w:p>
    <w:tbl>
      <w:tblPr>
        <w:tblW w:w="0" w:type="auto"/>
        <w:jc w:val="left"/>
        <w:tblInd w:w="106" w:type="dxa"/>
        <w:tblLayout w:type="fixed"/>
        <w:tblCellMar>
          <w:top w:w="0" w:type="dxa"/>
          <w:left w:w="0" w:type="dxa"/>
          <w:bottom w:w="0" w:type="dxa"/>
          <w:right w:w="0" w:type="dxa"/>
        </w:tblCellMar>
        <w:tblLook w:val="01E0"/>
      </w:tblPr>
      <w:tblGrid>
        <w:gridCol w:w="688"/>
        <w:gridCol w:w="6132"/>
        <w:gridCol w:w="1737"/>
      </w:tblGrid>
      <w:tr>
        <w:trPr>
          <w:trHeight w:val="939" w:hRule="exact"/>
        </w:trPr>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sz w:val="20"/>
                <w:szCs w:val="20"/>
              </w:rPr>
            </w:r>
          </w:p>
          <w:p>
            <w:pPr>
              <w:pStyle w:val="TableParagraph"/>
              <w:spacing w:line="240" w:lineRule="auto" w:before="11"/>
              <w:ind w:right="0"/>
              <w:jc w:val="left"/>
              <w:rPr>
                <w:rFonts w:ascii="黑体" w:hAnsi="黑体" w:cs="黑体" w:eastAsia="黑体" w:hint="default"/>
                <w:b/>
                <w:bCs/>
                <w:sz w:val="20"/>
                <w:szCs w:val="20"/>
              </w:rPr>
            </w:pPr>
          </w:p>
          <w:p>
            <w:pPr>
              <w:pStyle w:val="TableParagraph"/>
              <w:spacing w:line="240" w:lineRule="auto"/>
              <w:ind w:left="35" w:right="0"/>
              <w:jc w:val="left"/>
              <w:rPr>
                <w:rFonts w:ascii="Arial" w:hAnsi="Arial" w:cs="Arial" w:eastAsia="Arial" w:hint="default"/>
                <w:sz w:val="20"/>
                <w:szCs w:val="20"/>
              </w:rPr>
            </w:pPr>
            <w:r>
              <w:rPr>
                <w:rFonts w:ascii="Arial"/>
                <w:b/>
                <w:sz w:val="20"/>
              </w:rPr>
              <w:t>38.</w:t>
            </w:r>
            <w:r>
              <w:rPr>
                <w:rFonts w:ascii="Arial"/>
                <w:sz w:val="20"/>
              </w:rPr>
            </w:r>
          </w:p>
        </w:tc>
        <w:tc>
          <w:tcPr>
            <w:tcW w:w="613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0" w:right="0"/>
              <w:jc w:val="left"/>
              <w:rPr>
                <w:rFonts w:ascii="黑体" w:hAnsi="黑体" w:cs="黑体" w:eastAsia="黑体" w:hint="default"/>
                <w:sz w:val="20"/>
                <w:szCs w:val="20"/>
              </w:rPr>
            </w:pP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pStyle w:val="TableParagraph"/>
              <w:spacing w:line="240" w:lineRule="auto" w:before="5"/>
              <w:ind w:right="0"/>
              <w:jc w:val="left"/>
              <w:rPr>
                <w:rFonts w:ascii="黑体" w:hAnsi="黑体" w:cs="黑体" w:eastAsia="黑体" w:hint="default"/>
                <w:b/>
                <w:bCs/>
                <w:sz w:val="17"/>
                <w:szCs w:val="17"/>
              </w:rPr>
            </w:pPr>
          </w:p>
          <w:p>
            <w:pPr>
              <w:pStyle w:val="TableParagraph"/>
              <w:spacing w:line="240" w:lineRule="auto"/>
              <w:ind w:left="67" w:right="0"/>
              <w:jc w:val="left"/>
              <w:rPr>
                <w:rFonts w:ascii="黑体" w:hAnsi="黑体" w:cs="黑体" w:eastAsia="黑体" w:hint="default"/>
                <w:sz w:val="20"/>
                <w:szCs w:val="20"/>
              </w:rPr>
            </w:pPr>
            <w:r>
              <w:rPr>
                <w:rFonts w:ascii="黑体" w:hAnsi="黑体" w:cs="黑体" w:eastAsia="黑体" w:hint="default"/>
                <w:b/>
                <w:bCs/>
                <w:sz w:val="20"/>
                <w:szCs w:val="20"/>
              </w:rPr>
              <w:t>现金流量表补充资料（续）</w:t>
            </w:r>
            <w:r>
              <w:rPr>
                <w:rFonts w:ascii="黑体" w:hAnsi="黑体" w:cs="黑体" w:eastAsia="黑体" w:hint="default"/>
                <w:sz w:val="20"/>
                <w:szCs w:val="20"/>
              </w:rPr>
            </w:r>
          </w:p>
        </w:tc>
        <w:tc>
          <w:tcPr>
            <w:tcW w:w="1737" w:type="dxa"/>
            <w:vMerge w:val="restart"/>
            <w:tcBorders>
              <w:top w:val="nil" w:sz="6" w:space="0" w:color="auto"/>
              <w:left w:val="nil" w:sz="6" w:space="0" w:color="auto"/>
              <w:right w:val="nil" w:sz="6" w:space="0" w:color="auto"/>
            </w:tcBorders>
          </w:tcPr>
          <w:p>
            <w:pPr/>
          </w:p>
        </w:tc>
      </w:tr>
      <w:tr>
        <w:trPr>
          <w:trHeight w:val="490" w:hRule="exact"/>
        </w:trPr>
        <w:tc>
          <w:tcPr>
            <w:tcW w:w="688" w:type="dxa"/>
            <w:tcBorders>
              <w:top w:val="nil" w:sz="6" w:space="0" w:color="auto"/>
              <w:left w:val="nil" w:sz="6" w:space="0" w:color="auto"/>
              <w:bottom w:val="nil" w:sz="6" w:space="0" w:color="auto"/>
              <w:right w:val="nil" w:sz="6" w:space="0" w:color="auto"/>
            </w:tcBorders>
          </w:tcPr>
          <w:p>
            <w:pPr/>
          </w:p>
        </w:tc>
        <w:tc>
          <w:tcPr>
            <w:tcW w:w="613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6" w:right="0"/>
              <w:jc w:val="left"/>
              <w:rPr>
                <w:rFonts w:ascii="黑体" w:hAnsi="黑体" w:cs="黑体" w:eastAsia="黑体" w:hint="default"/>
                <w:sz w:val="20"/>
                <w:szCs w:val="20"/>
              </w:rPr>
            </w:pPr>
            <w:r>
              <w:rPr>
                <w:rFonts w:ascii="黑体" w:hAnsi="黑体" w:cs="黑体" w:eastAsia="黑体" w:hint="default"/>
                <w:sz w:val="20"/>
                <w:szCs w:val="20"/>
              </w:rPr>
              <w:t>（</w:t>
            </w:r>
            <w:r>
              <w:rPr>
                <w:rFonts w:ascii="Arial" w:hAnsi="Arial" w:cs="Arial" w:eastAsia="Arial" w:hint="default"/>
                <w:sz w:val="20"/>
                <w:szCs w:val="20"/>
              </w:rPr>
              <w:t>2</w:t>
            </w:r>
            <w:r>
              <w:rPr>
                <w:rFonts w:ascii="黑体" w:hAnsi="黑体" w:cs="黑体" w:eastAsia="黑体" w:hint="default"/>
                <w:sz w:val="20"/>
                <w:szCs w:val="20"/>
              </w:rPr>
              <w:t>）</w:t>
            </w:r>
            <w:r>
              <w:rPr>
                <w:rFonts w:ascii="黑体" w:hAnsi="黑体" w:cs="黑体" w:eastAsia="黑体" w:hint="default"/>
                <w:spacing w:val="99"/>
                <w:sz w:val="20"/>
                <w:szCs w:val="20"/>
              </w:rPr>
              <w:t> </w:t>
            </w:r>
            <w:r>
              <w:rPr>
                <w:rFonts w:ascii="黑体" w:hAnsi="黑体" w:cs="黑体" w:eastAsia="黑体" w:hint="default"/>
                <w:sz w:val="20"/>
                <w:szCs w:val="20"/>
              </w:rPr>
              <w:t>现金和现金等价物</w:t>
            </w:r>
          </w:p>
        </w:tc>
        <w:tc>
          <w:tcPr>
            <w:tcW w:w="1737" w:type="dxa"/>
            <w:vMerge/>
            <w:tcBorders>
              <w:left w:val="nil" w:sz="6" w:space="0" w:color="auto"/>
              <w:bottom w:val="nil" w:sz="6" w:space="0" w:color="auto"/>
              <w:right w:val="nil" w:sz="6" w:space="0" w:color="auto"/>
            </w:tcBorders>
          </w:tcPr>
          <w:p>
            <w:pPr/>
          </w:p>
        </w:tc>
      </w:tr>
      <w:tr>
        <w:trPr>
          <w:trHeight w:val="502" w:hRule="exact"/>
        </w:trPr>
        <w:tc>
          <w:tcPr>
            <w:tcW w:w="688" w:type="dxa"/>
            <w:tcBorders>
              <w:top w:val="nil" w:sz="6" w:space="0" w:color="auto"/>
              <w:left w:val="nil" w:sz="6" w:space="0" w:color="auto"/>
              <w:bottom w:val="nil" w:sz="6" w:space="0" w:color="auto"/>
              <w:right w:val="nil" w:sz="6" w:space="0" w:color="auto"/>
            </w:tcBorders>
          </w:tcPr>
          <w:p>
            <w:pPr/>
          </w:p>
        </w:tc>
        <w:tc>
          <w:tcPr>
            <w:tcW w:w="613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1"/>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23"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tc>
      </w:tr>
      <w:tr>
        <w:trPr>
          <w:trHeight w:val="386" w:hRule="exact"/>
        </w:trPr>
        <w:tc>
          <w:tcPr>
            <w:tcW w:w="688" w:type="dxa"/>
            <w:tcBorders>
              <w:top w:val="nil" w:sz="6" w:space="0" w:color="auto"/>
              <w:left w:val="nil" w:sz="6" w:space="0" w:color="auto"/>
              <w:bottom w:val="nil" w:sz="6" w:space="0" w:color="auto"/>
              <w:right w:val="nil" w:sz="6" w:space="0" w:color="auto"/>
            </w:tcBorders>
          </w:tcPr>
          <w:p>
            <w:pPr/>
          </w:p>
        </w:tc>
        <w:tc>
          <w:tcPr>
            <w:tcW w:w="6132" w:type="dxa"/>
            <w:tcBorders>
              <w:top w:val="nil" w:sz="6" w:space="0" w:color="auto"/>
              <w:left w:val="nil" w:sz="6" w:space="0" w:color="auto"/>
              <w:bottom w:val="nil" w:sz="6" w:space="0" w:color="auto"/>
              <w:right w:val="nil" w:sz="6" w:space="0" w:color="auto"/>
            </w:tcBorders>
          </w:tcPr>
          <w:p>
            <w:pPr>
              <w:pStyle w:val="TableParagraph"/>
              <w:tabs>
                <w:tab w:pos="4863" w:val="left" w:leader="none"/>
              </w:tabs>
              <w:spacing w:line="240" w:lineRule="auto" w:before="91"/>
              <w:ind w:left="66" w:right="-12"/>
              <w:jc w:val="left"/>
              <w:rPr>
                <w:rFonts w:ascii="Arial" w:hAnsi="Arial" w:cs="Arial" w:eastAsia="Arial" w:hint="default"/>
                <w:sz w:val="20"/>
                <w:szCs w:val="20"/>
              </w:rPr>
            </w:pPr>
            <w:r>
              <w:rPr>
                <w:rFonts w:ascii="黑体" w:hAnsi="黑体" w:cs="黑体" w:eastAsia="黑体" w:hint="default"/>
                <w:sz w:val="20"/>
                <w:szCs w:val="20"/>
              </w:rPr>
              <w:t>现金</w:t>
              <w:tab/>
            </w:r>
            <w:r>
              <w:rPr>
                <w:rFonts w:ascii="Arial" w:hAnsi="Arial" w:cs="Arial" w:eastAsia="Arial" w:hint="default"/>
                <w:spacing w:val="-1"/>
                <w:sz w:val="20"/>
                <w:szCs w:val="20"/>
              </w:rPr>
              <w:t>1,130,830,147</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601" w:right="0"/>
              <w:jc w:val="left"/>
              <w:rPr>
                <w:rFonts w:ascii="Arial" w:hAnsi="Arial" w:cs="Arial" w:eastAsia="Arial" w:hint="default"/>
                <w:sz w:val="20"/>
                <w:szCs w:val="20"/>
              </w:rPr>
            </w:pPr>
            <w:r>
              <w:rPr>
                <w:rFonts w:ascii="Arial"/>
                <w:sz w:val="20"/>
              </w:rPr>
              <w:t>792,437,654</w:t>
            </w:r>
          </w:p>
        </w:tc>
      </w:tr>
      <w:tr>
        <w:trPr>
          <w:trHeight w:val="259" w:hRule="exact"/>
        </w:trPr>
        <w:tc>
          <w:tcPr>
            <w:tcW w:w="688" w:type="dxa"/>
            <w:tcBorders>
              <w:top w:val="nil" w:sz="6" w:space="0" w:color="auto"/>
              <w:left w:val="nil" w:sz="6" w:space="0" w:color="auto"/>
              <w:bottom w:val="nil" w:sz="6" w:space="0" w:color="auto"/>
              <w:right w:val="nil" w:sz="6" w:space="0" w:color="auto"/>
            </w:tcBorders>
          </w:tcPr>
          <w:p>
            <w:pPr/>
          </w:p>
        </w:tc>
        <w:tc>
          <w:tcPr>
            <w:tcW w:w="6132" w:type="dxa"/>
            <w:tcBorders>
              <w:top w:val="nil" w:sz="6" w:space="0" w:color="auto"/>
              <w:left w:val="nil" w:sz="6" w:space="0" w:color="auto"/>
              <w:bottom w:val="nil" w:sz="6" w:space="0" w:color="auto"/>
              <w:right w:val="nil" w:sz="6" w:space="0" w:color="auto"/>
            </w:tcBorders>
          </w:tcPr>
          <w:p>
            <w:pPr>
              <w:pStyle w:val="TableParagraph"/>
              <w:tabs>
                <w:tab w:pos="5252" w:val="left" w:leader="none"/>
              </w:tabs>
              <w:spacing w:line="240" w:lineRule="exact"/>
              <w:ind w:left="243" w:right="-11"/>
              <w:jc w:val="left"/>
              <w:rPr>
                <w:rFonts w:ascii="Arial" w:hAnsi="Arial" w:cs="Arial" w:eastAsia="Arial" w:hint="default"/>
                <w:sz w:val="20"/>
                <w:szCs w:val="20"/>
              </w:rPr>
            </w:pPr>
            <w:r>
              <w:rPr>
                <w:rFonts w:ascii="黑体" w:hAnsi="黑体" w:cs="黑体" w:eastAsia="黑体" w:hint="default"/>
                <w:spacing w:val="-1"/>
                <w:sz w:val="20"/>
                <w:szCs w:val="20"/>
              </w:rPr>
              <w:t>其中：库存现金</w:t>
              <w:tab/>
            </w:r>
            <w:r>
              <w:rPr>
                <w:rFonts w:ascii="Arial" w:hAnsi="Arial" w:cs="Arial" w:eastAsia="Arial" w:hint="default"/>
                <w:spacing w:val="-1"/>
                <w:sz w:val="20"/>
                <w:szCs w:val="20"/>
              </w:rPr>
              <w:t>1,902,132</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8"/>
              <w:ind w:left="823" w:right="0"/>
              <w:jc w:val="left"/>
              <w:rPr>
                <w:rFonts w:ascii="Arial" w:hAnsi="Arial" w:cs="Arial" w:eastAsia="Arial" w:hint="default"/>
                <w:sz w:val="20"/>
                <w:szCs w:val="20"/>
              </w:rPr>
            </w:pPr>
            <w:r>
              <w:rPr>
                <w:rFonts w:ascii="Arial"/>
                <w:sz w:val="20"/>
              </w:rPr>
              <w:t>1,962,964</w:t>
            </w:r>
          </w:p>
        </w:tc>
      </w:tr>
      <w:tr>
        <w:trPr>
          <w:trHeight w:val="387" w:hRule="exact"/>
        </w:trPr>
        <w:tc>
          <w:tcPr>
            <w:tcW w:w="688" w:type="dxa"/>
            <w:tcBorders>
              <w:top w:val="nil" w:sz="6" w:space="0" w:color="auto"/>
              <w:left w:val="nil" w:sz="6" w:space="0" w:color="auto"/>
              <w:bottom w:val="nil" w:sz="6" w:space="0" w:color="auto"/>
              <w:right w:val="nil" w:sz="6" w:space="0" w:color="auto"/>
            </w:tcBorders>
          </w:tcPr>
          <w:p>
            <w:pPr/>
          </w:p>
        </w:tc>
        <w:tc>
          <w:tcPr>
            <w:tcW w:w="6132" w:type="dxa"/>
            <w:tcBorders>
              <w:top w:val="nil" w:sz="6" w:space="0" w:color="auto"/>
              <w:left w:val="nil" w:sz="6" w:space="0" w:color="auto"/>
              <w:bottom w:val="nil" w:sz="6" w:space="0" w:color="auto"/>
              <w:right w:val="nil" w:sz="6" w:space="0" w:color="auto"/>
            </w:tcBorders>
          </w:tcPr>
          <w:p>
            <w:pPr>
              <w:pStyle w:val="TableParagraph"/>
              <w:tabs>
                <w:tab w:pos="4863" w:val="left" w:leader="none"/>
              </w:tabs>
              <w:spacing w:line="240" w:lineRule="exact"/>
              <w:ind w:left="817" w:right="-11"/>
              <w:jc w:val="left"/>
              <w:rPr>
                <w:rFonts w:ascii="Arial" w:hAnsi="Arial" w:cs="Arial" w:eastAsia="Arial" w:hint="default"/>
                <w:sz w:val="20"/>
                <w:szCs w:val="20"/>
              </w:rPr>
            </w:pPr>
            <w:r>
              <w:rPr>
                <w:rFonts w:ascii="黑体" w:hAnsi="黑体" w:cs="黑体" w:eastAsia="黑体" w:hint="default"/>
                <w:spacing w:val="-1"/>
                <w:sz w:val="20"/>
                <w:szCs w:val="20"/>
              </w:rPr>
              <w:t>可随时用于支付的银行存款</w:t>
              <w:tab/>
            </w:r>
            <w:r>
              <w:rPr>
                <w:rFonts w:ascii="Arial" w:hAnsi="Arial" w:cs="Arial" w:eastAsia="Arial" w:hint="default"/>
                <w:spacing w:val="-1"/>
                <w:sz w:val="20"/>
                <w:szCs w:val="20"/>
              </w:rPr>
            </w:r>
            <w:r>
              <w:rPr>
                <w:rFonts w:ascii="Arial" w:hAnsi="Arial" w:cs="Arial" w:eastAsia="Arial" w:hint="default"/>
                <w:spacing w:val="-2"/>
                <w:sz w:val="20"/>
                <w:szCs w:val="20"/>
                <w:u w:val="thick" w:color="000000"/>
              </w:rPr>
              <w:t>1,128,928,015</w:t>
            </w:r>
            <w:r>
              <w:rPr>
                <w:rFonts w:ascii="Arial" w:hAnsi="Arial" w:cs="Arial" w:eastAsia="Arial" w:hint="default"/>
                <w:spacing w:val="-2"/>
                <w:sz w:val="20"/>
                <w:szCs w:val="20"/>
              </w:rPr>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8"/>
              <w:ind w:left="600" w:right="0"/>
              <w:jc w:val="left"/>
              <w:rPr>
                <w:rFonts w:ascii="Arial" w:hAnsi="Arial" w:cs="Arial" w:eastAsia="Arial" w:hint="default"/>
                <w:sz w:val="20"/>
                <w:szCs w:val="20"/>
              </w:rPr>
            </w:pPr>
            <w:r>
              <w:rPr>
                <w:rFonts w:ascii="Arial"/>
                <w:w w:val="100"/>
                <w:sz w:val="20"/>
              </w:rPr>
            </w:r>
            <w:r>
              <w:rPr>
                <w:rFonts w:ascii="Arial"/>
                <w:sz w:val="20"/>
                <w:u w:val="thick" w:color="000000"/>
              </w:rPr>
              <w:t>790,474,690</w:t>
            </w:r>
            <w:r>
              <w:rPr>
                <w:rFonts w:ascii="Arial"/>
                <w:sz w:val="20"/>
              </w:rPr>
            </w:r>
          </w:p>
        </w:tc>
      </w:tr>
      <w:tr>
        <w:trPr>
          <w:trHeight w:val="387" w:hRule="exact"/>
        </w:trPr>
        <w:tc>
          <w:tcPr>
            <w:tcW w:w="688" w:type="dxa"/>
            <w:tcBorders>
              <w:top w:val="nil" w:sz="6" w:space="0" w:color="auto"/>
              <w:left w:val="nil" w:sz="6" w:space="0" w:color="auto"/>
              <w:bottom w:val="nil" w:sz="6" w:space="0" w:color="auto"/>
              <w:right w:val="nil" w:sz="6" w:space="0" w:color="auto"/>
            </w:tcBorders>
          </w:tcPr>
          <w:p>
            <w:pPr/>
          </w:p>
        </w:tc>
        <w:tc>
          <w:tcPr>
            <w:tcW w:w="6132" w:type="dxa"/>
            <w:tcBorders>
              <w:top w:val="nil" w:sz="6" w:space="0" w:color="auto"/>
              <w:left w:val="nil" w:sz="6" w:space="0" w:color="auto"/>
              <w:bottom w:val="nil" w:sz="6" w:space="0" w:color="auto"/>
              <w:right w:val="nil" w:sz="6" w:space="0" w:color="auto"/>
            </w:tcBorders>
          </w:tcPr>
          <w:p>
            <w:pPr>
              <w:pStyle w:val="TableParagraph"/>
              <w:tabs>
                <w:tab w:pos="4863" w:val="left" w:leader="none"/>
              </w:tabs>
              <w:spacing w:line="240" w:lineRule="auto" w:before="91"/>
              <w:ind w:left="65" w:right="-11"/>
              <w:jc w:val="left"/>
              <w:rPr>
                <w:rFonts w:ascii="Arial" w:hAnsi="Arial" w:cs="Arial" w:eastAsia="Arial" w:hint="default"/>
                <w:sz w:val="20"/>
                <w:szCs w:val="20"/>
              </w:rPr>
            </w:pPr>
            <w:r>
              <w:rPr>
                <w:rFonts w:ascii="黑体" w:hAnsi="黑体" w:cs="黑体" w:eastAsia="黑体" w:hint="default"/>
                <w:spacing w:val="-1"/>
                <w:sz w:val="20"/>
                <w:szCs w:val="20"/>
              </w:rPr>
              <w:t>年末现金及现金等价物余额</w:t>
              <w:tab/>
            </w:r>
            <w:r>
              <w:rPr>
                <w:rFonts w:ascii="Arial" w:hAnsi="Arial" w:cs="Arial" w:eastAsia="Arial" w:hint="default"/>
                <w:spacing w:val="-1"/>
                <w:sz w:val="20"/>
                <w:szCs w:val="20"/>
              </w:rPr>
              <w:t>1,130,830,147</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601" w:right="0"/>
              <w:jc w:val="left"/>
              <w:rPr>
                <w:rFonts w:ascii="Arial" w:hAnsi="Arial" w:cs="Arial" w:eastAsia="Arial" w:hint="default"/>
                <w:sz w:val="20"/>
                <w:szCs w:val="20"/>
              </w:rPr>
            </w:pPr>
            <w:r>
              <w:rPr>
                <w:rFonts w:ascii="Arial"/>
                <w:sz w:val="20"/>
              </w:rPr>
              <w:t>792,437,654</w:t>
            </w:r>
          </w:p>
        </w:tc>
      </w:tr>
      <w:tr>
        <w:trPr>
          <w:trHeight w:val="374" w:hRule="exact"/>
        </w:trPr>
        <w:tc>
          <w:tcPr>
            <w:tcW w:w="688" w:type="dxa"/>
            <w:tcBorders>
              <w:top w:val="nil" w:sz="6" w:space="0" w:color="auto"/>
              <w:left w:val="nil" w:sz="6" w:space="0" w:color="auto"/>
              <w:bottom w:val="nil" w:sz="6" w:space="0" w:color="auto"/>
              <w:right w:val="nil" w:sz="6" w:space="0" w:color="auto"/>
            </w:tcBorders>
          </w:tcPr>
          <w:p>
            <w:pPr/>
          </w:p>
        </w:tc>
        <w:tc>
          <w:tcPr>
            <w:tcW w:w="6132" w:type="dxa"/>
            <w:tcBorders>
              <w:top w:val="nil" w:sz="6" w:space="0" w:color="auto"/>
              <w:left w:val="nil" w:sz="6" w:space="0" w:color="auto"/>
              <w:bottom w:val="nil" w:sz="6" w:space="0" w:color="auto"/>
              <w:right w:val="nil" w:sz="6" w:space="0" w:color="auto"/>
            </w:tcBorders>
          </w:tcPr>
          <w:p>
            <w:pPr>
              <w:pStyle w:val="TableParagraph"/>
              <w:tabs>
                <w:tab w:pos="4875" w:val="left" w:leader="none"/>
                <w:tab w:pos="6075" w:val="left" w:leader="none"/>
              </w:tabs>
              <w:spacing w:line="241" w:lineRule="exact"/>
              <w:ind w:left="271" w:right="-11"/>
              <w:jc w:val="left"/>
              <w:rPr>
                <w:rFonts w:ascii="Arial" w:hAnsi="Arial" w:cs="Arial" w:eastAsia="Arial" w:hint="default"/>
                <w:sz w:val="20"/>
                <w:szCs w:val="20"/>
              </w:rPr>
            </w:pPr>
            <w:r>
              <w:rPr>
                <w:rFonts w:ascii="黑体" w:hAnsi="黑体" w:cs="黑体" w:eastAsia="黑体" w:hint="default"/>
                <w:spacing w:val="-1"/>
                <w:sz w:val="20"/>
                <w:szCs w:val="20"/>
              </w:rPr>
              <w:t>其中：本公司使用受限制的现金和现金等价物</w:t>
              <w:tab/>
            </w:r>
            <w:r>
              <w:rPr>
                <w:rFonts w:ascii="Arial" w:hAnsi="Arial" w:cs="Arial" w:eastAsia="Arial" w:hint="default"/>
                <w:spacing w:val="-1"/>
                <w:sz w:val="20"/>
                <w:szCs w:val="20"/>
              </w:rPr>
            </w:r>
            <w:r>
              <w:rPr>
                <w:rFonts w:ascii="Arial" w:hAnsi="Arial" w:cs="Arial" w:eastAsia="Arial" w:hint="default"/>
                <w:spacing w:val="-1"/>
                <w:sz w:val="20"/>
                <w:szCs w:val="20"/>
                <w:u w:val="thick" w:color="000000"/>
              </w:rPr>
              <w:t> </w:t>
              <w:tab/>
            </w:r>
            <w:r>
              <w:rPr>
                <w:rFonts w:ascii="Arial" w:hAnsi="Arial" w:cs="Arial" w:eastAsia="Arial" w:hint="default"/>
                <w:sz w:val="20"/>
                <w:szCs w:val="20"/>
                <w:u w:val="thick" w:color="000000"/>
              </w:rPr>
              <w:t>-</w:t>
            </w:r>
            <w:r>
              <w:rPr>
                <w:rFonts w:ascii="Arial" w:hAnsi="Arial" w:cs="Arial" w:eastAsia="Arial" w:hint="default"/>
                <w:sz w:val="20"/>
                <w:szCs w:val="20"/>
              </w:rPr>
            </w:r>
          </w:p>
        </w:tc>
        <w:tc>
          <w:tcPr>
            <w:tcW w:w="1737" w:type="dxa"/>
            <w:tcBorders>
              <w:top w:val="nil" w:sz="6" w:space="0" w:color="auto"/>
              <w:left w:val="nil" w:sz="6" w:space="0" w:color="auto"/>
              <w:bottom w:val="nil" w:sz="6" w:space="0" w:color="auto"/>
              <w:right w:val="nil" w:sz="6" w:space="0" w:color="auto"/>
            </w:tcBorders>
          </w:tcPr>
          <w:p>
            <w:pPr>
              <w:pStyle w:val="TableParagraph"/>
              <w:tabs>
                <w:tab w:pos="1645" w:val="left" w:leader="none"/>
              </w:tabs>
              <w:spacing w:line="240" w:lineRule="auto" w:before="8"/>
              <w:ind w:left="646"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r>
      <w:tr>
        <w:trPr>
          <w:trHeight w:val="467" w:hRule="exact"/>
        </w:trPr>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35" w:right="0"/>
              <w:jc w:val="left"/>
              <w:rPr>
                <w:rFonts w:ascii="Arial" w:hAnsi="Arial" w:cs="Arial" w:eastAsia="Arial" w:hint="default"/>
                <w:sz w:val="20"/>
                <w:szCs w:val="20"/>
              </w:rPr>
            </w:pPr>
            <w:r>
              <w:rPr>
                <w:rFonts w:ascii="Arial"/>
                <w:b/>
                <w:sz w:val="20"/>
              </w:rPr>
              <w:t>39.</w:t>
            </w:r>
            <w:r>
              <w:rPr>
                <w:rFonts w:ascii="Arial"/>
                <w:sz w:val="20"/>
              </w:rPr>
            </w:r>
          </w:p>
        </w:tc>
        <w:tc>
          <w:tcPr>
            <w:tcW w:w="613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86" w:right="0"/>
              <w:jc w:val="left"/>
              <w:rPr>
                <w:rFonts w:ascii="黑体" w:hAnsi="黑体" w:cs="黑体" w:eastAsia="黑体" w:hint="default"/>
                <w:sz w:val="20"/>
                <w:szCs w:val="20"/>
              </w:rPr>
            </w:pPr>
            <w:r>
              <w:rPr>
                <w:rFonts w:ascii="黑体" w:hAnsi="黑体" w:cs="黑体" w:eastAsia="黑体" w:hint="default"/>
                <w:b/>
                <w:bCs/>
                <w:sz w:val="20"/>
                <w:szCs w:val="20"/>
              </w:rPr>
              <w:t>本公司与关联方之主要交易</w:t>
            </w:r>
            <w:r>
              <w:rPr>
                <w:rFonts w:ascii="黑体" w:hAnsi="黑体" w:cs="黑体" w:eastAsia="黑体" w:hint="default"/>
                <w:sz w:val="20"/>
                <w:szCs w:val="20"/>
              </w:rPr>
            </w:r>
          </w:p>
        </w:tc>
        <w:tc>
          <w:tcPr>
            <w:tcW w:w="1737" w:type="dxa"/>
            <w:tcBorders>
              <w:top w:val="nil" w:sz="6" w:space="0" w:color="auto"/>
              <w:left w:val="nil" w:sz="6" w:space="0" w:color="auto"/>
              <w:bottom w:val="nil" w:sz="6" w:space="0" w:color="auto"/>
              <w:right w:val="nil" w:sz="6" w:space="0" w:color="auto"/>
            </w:tcBorders>
          </w:tcPr>
          <w:p>
            <w:pPr/>
          </w:p>
        </w:tc>
      </w:tr>
      <w:tr>
        <w:trPr>
          <w:trHeight w:val="467" w:hRule="exact"/>
        </w:trPr>
        <w:tc>
          <w:tcPr>
            <w:tcW w:w="688" w:type="dxa"/>
            <w:tcBorders>
              <w:top w:val="nil" w:sz="6" w:space="0" w:color="auto"/>
              <w:left w:val="nil" w:sz="6" w:space="0" w:color="auto"/>
              <w:bottom w:val="nil" w:sz="6" w:space="0" w:color="auto"/>
              <w:right w:val="nil" w:sz="6" w:space="0" w:color="auto"/>
            </w:tcBorders>
          </w:tcPr>
          <w:p>
            <w:pPr/>
          </w:p>
        </w:tc>
        <w:tc>
          <w:tcPr>
            <w:tcW w:w="6132" w:type="dxa"/>
            <w:tcBorders>
              <w:top w:val="nil" w:sz="6" w:space="0" w:color="auto"/>
              <w:left w:val="nil" w:sz="6" w:space="0" w:color="auto"/>
              <w:bottom w:val="nil" w:sz="6" w:space="0" w:color="auto"/>
              <w:right w:val="nil" w:sz="6" w:space="0" w:color="auto"/>
            </w:tcBorders>
          </w:tcPr>
          <w:p>
            <w:pPr>
              <w:pStyle w:val="TableParagraph"/>
              <w:tabs>
                <w:tab w:pos="607" w:val="left" w:leader="none"/>
              </w:tabs>
              <w:spacing w:line="240" w:lineRule="auto" w:before="56"/>
              <w:ind w:left="61" w:right="0"/>
              <w:jc w:val="left"/>
              <w:rPr>
                <w:rFonts w:ascii="黑体" w:hAnsi="黑体" w:cs="黑体" w:eastAsia="黑体" w:hint="default"/>
                <w:sz w:val="20"/>
                <w:szCs w:val="20"/>
              </w:rPr>
            </w:pPr>
            <w:r>
              <w:rPr>
                <w:rFonts w:ascii="Arial" w:hAnsi="Arial" w:cs="Arial" w:eastAsia="Arial" w:hint="default"/>
                <w:sz w:val="20"/>
                <w:szCs w:val="20"/>
              </w:rPr>
              <w:t>(1)</w:t>
              <w:tab/>
            </w:r>
            <w:r>
              <w:rPr>
                <w:rFonts w:ascii="黑体" w:hAnsi="黑体" w:cs="黑体" w:eastAsia="黑体" w:hint="default"/>
                <w:sz w:val="20"/>
                <w:szCs w:val="20"/>
              </w:rPr>
              <w:t>向关联方销售商品：</w:t>
            </w:r>
          </w:p>
        </w:tc>
        <w:tc>
          <w:tcPr>
            <w:tcW w:w="1737" w:type="dxa"/>
            <w:tcBorders>
              <w:top w:val="nil" w:sz="6" w:space="0" w:color="auto"/>
              <w:left w:val="nil" w:sz="6" w:space="0" w:color="auto"/>
              <w:bottom w:val="nil" w:sz="6" w:space="0" w:color="auto"/>
              <w:right w:val="nil" w:sz="6" w:space="0" w:color="auto"/>
            </w:tcBorders>
          </w:tcPr>
          <w:p>
            <w:pPr/>
          </w:p>
        </w:tc>
      </w:tr>
      <w:tr>
        <w:trPr>
          <w:trHeight w:val="377" w:hRule="exact"/>
        </w:trPr>
        <w:tc>
          <w:tcPr>
            <w:tcW w:w="688" w:type="dxa"/>
            <w:tcBorders>
              <w:top w:val="nil" w:sz="6" w:space="0" w:color="auto"/>
              <w:left w:val="nil" w:sz="6" w:space="0" w:color="auto"/>
              <w:bottom w:val="nil" w:sz="6" w:space="0" w:color="auto"/>
              <w:right w:val="nil" w:sz="6" w:space="0" w:color="auto"/>
            </w:tcBorders>
          </w:tcPr>
          <w:p>
            <w:pPr/>
          </w:p>
        </w:tc>
        <w:tc>
          <w:tcPr>
            <w:tcW w:w="6132" w:type="dxa"/>
            <w:tcBorders>
              <w:top w:val="nil" w:sz="6" w:space="0" w:color="auto"/>
              <w:left w:val="nil" w:sz="6" w:space="0" w:color="auto"/>
              <w:bottom w:val="nil" w:sz="6" w:space="0" w:color="auto"/>
              <w:right w:val="nil" w:sz="6" w:space="0" w:color="auto"/>
            </w:tcBorders>
          </w:tcPr>
          <w:p>
            <w:pPr>
              <w:pStyle w:val="TableParagraph"/>
              <w:tabs>
                <w:tab w:pos="4077" w:val="left" w:leader="none"/>
              </w:tabs>
              <w:spacing w:line="240" w:lineRule="auto" w:before="79"/>
              <w:ind w:left="2668" w:right="0"/>
              <w:jc w:val="left"/>
              <w:rPr>
                <w:rFonts w:ascii="黑体" w:hAnsi="黑体" w:cs="黑体" w:eastAsia="黑体" w:hint="default"/>
                <w:sz w:val="20"/>
                <w:szCs w:val="20"/>
              </w:rPr>
            </w:pPr>
            <w:r>
              <w:rPr>
                <w:rFonts w:ascii="黑体" w:hAnsi="黑体" w:cs="黑体" w:eastAsia="黑体" w:hint="default"/>
                <w:sz w:val="20"/>
                <w:szCs w:val="20"/>
              </w:rPr>
              <w:t>注释</w:t>
              <w:tab/>
            </w:r>
            <w:r>
              <w:rPr>
                <w:rFonts w:ascii="Arial" w:hAnsi="Arial" w:cs="Arial" w:eastAsia="Arial" w:hint="default"/>
                <w:sz w:val="20"/>
                <w:szCs w:val="20"/>
              </w:rPr>
              <w:t>2009</w:t>
            </w:r>
            <w:r>
              <w:rPr>
                <w:rFonts w:ascii="黑体" w:hAnsi="黑体" w:cs="黑体" w:eastAsia="黑体" w:hint="default"/>
                <w:sz w:val="20"/>
                <w:szCs w:val="20"/>
              </w:rPr>
              <w:t>年</w:t>
            </w:r>
          </w:p>
        </w:tc>
        <w:tc>
          <w:tcPr>
            <w:tcW w:w="1737" w:type="dxa"/>
            <w:tcBorders>
              <w:top w:val="nil" w:sz="6" w:space="0" w:color="auto"/>
              <w:left w:val="nil" w:sz="6" w:space="0" w:color="auto"/>
              <w:bottom w:val="single" w:sz="4" w:space="0" w:color="000000"/>
              <w:right w:val="nil" w:sz="6" w:space="0" w:color="auto"/>
            </w:tcBorders>
          </w:tcPr>
          <w:p>
            <w:pPr>
              <w:pStyle w:val="TableParagraph"/>
              <w:spacing w:line="240" w:lineRule="auto" w:before="79"/>
              <w:ind w:left="451"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r>
      <w:tr>
        <w:trPr>
          <w:trHeight w:val="496" w:hRule="exact"/>
        </w:trPr>
        <w:tc>
          <w:tcPr>
            <w:tcW w:w="688" w:type="dxa"/>
            <w:tcBorders>
              <w:top w:val="nil" w:sz="6" w:space="0" w:color="auto"/>
              <w:left w:val="nil" w:sz="6" w:space="0" w:color="auto"/>
              <w:bottom w:val="nil" w:sz="6" w:space="0" w:color="auto"/>
              <w:right w:val="nil" w:sz="6" w:space="0" w:color="auto"/>
            </w:tcBorders>
          </w:tcPr>
          <w:p>
            <w:pPr/>
          </w:p>
        </w:tc>
        <w:tc>
          <w:tcPr>
            <w:tcW w:w="6132" w:type="dxa"/>
            <w:tcBorders>
              <w:top w:val="nil" w:sz="6" w:space="0" w:color="auto"/>
              <w:left w:val="nil" w:sz="6" w:space="0" w:color="auto"/>
              <w:bottom w:val="nil" w:sz="6" w:space="0" w:color="auto"/>
              <w:right w:val="nil" w:sz="6" w:space="0" w:color="auto"/>
            </w:tcBorders>
          </w:tcPr>
          <w:p>
            <w:pPr>
              <w:pStyle w:val="TableParagraph"/>
              <w:spacing w:line="216" w:lineRule="exact"/>
              <w:ind w:right="748"/>
              <w:jc w:val="right"/>
              <w:rPr>
                <w:rFonts w:ascii="黑体" w:hAnsi="黑体" w:cs="黑体" w:eastAsia="黑体" w:hint="default"/>
                <w:sz w:val="20"/>
                <w:szCs w:val="20"/>
              </w:rPr>
            </w:pPr>
            <w:r>
              <w:rPr>
                <w:rFonts w:ascii="黑体" w:hAnsi="黑体" w:cs="黑体" w:eastAsia="黑体" w:hint="default"/>
                <w:sz w:val="20"/>
                <w:szCs w:val="20"/>
              </w:rPr>
              <w:t>比例</w:t>
            </w:r>
          </w:p>
          <w:p>
            <w:pPr>
              <w:pStyle w:val="TableParagraph"/>
              <w:tabs>
                <w:tab w:pos="770" w:val="left" w:leader="none"/>
              </w:tabs>
              <w:spacing w:line="260" w:lineRule="exact"/>
              <w:ind w:right="749"/>
              <w:jc w:val="right"/>
              <w:rPr>
                <w:rFonts w:ascii="Arial" w:hAnsi="Arial" w:cs="Arial" w:eastAsia="Arial" w:hint="default"/>
                <w:sz w:val="20"/>
                <w:szCs w:val="20"/>
              </w:rPr>
            </w:pPr>
            <w:r>
              <w:rPr>
                <w:rFonts w:ascii="黑体" w:hAnsi="黑体" w:cs="黑体" w:eastAsia="黑体" w:hint="default"/>
                <w:sz w:val="20"/>
                <w:szCs w:val="20"/>
              </w:rPr>
              <w:t>金额</w:t>
              <w:tab/>
            </w:r>
            <w:r>
              <w:rPr>
                <w:rFonts w:ascii="Arial" w:hAnsi="Arial" w:cs="Arial" w:eastAsia="Arial" w:hint="default"/>
                <w:spacing w:val="-1"/>
                <w:sz w:val="20"/>
                <w:szCs w:val="20"/>
              </w:rPr>
              <w:t>(%)</w:t>
            </w:r>
          </w:p>
        </w:tc>
        <w:tc>
          <w:tcPr>
            <w:tcW w:w="1737" w:type="dxa"/>
            <w:tcBorders>
              <w:top w:val="single" w:sz="4" w:space="0" w:color="000000"/>
              <w:left w:val="nil" w:sz="6" w:space="0" w:color="auto"/>
              <w:bottom w:val="nil" w:sz="6" w:space="0" w:color="auto"/>
              <w:right w:val="nil" w:sz="6" w:space="0" w:color="auto"/>
            </w:tcBorders>
          </w:tcPr>
          <w:p>
            <w:pPr>
              <w:pStyle w:val="TableParagraph"/>
              <w:spacing w:line="212" w:lineRule="exact"/>
              <w:ind w:right="25"/>
              <w:jc w:val="right"/>
              <w:rPr>
                <w:rFonts w:ascii="黑体" w:hAnsi="黑体" w:cs="黑体" w:eastAsia="黑体" w:hint="default"/>
                <w:sz w:val="20"/>
                <w:szCs w:val="20"/>
              </w:rPr>
            </w:pPr>
            <w:r>
              <w:rPr>
                <w:rFonts w:ascii="黑体" w:hAnsi="黑体" w:cs="黑体" w:eastAsia="黑体" w:hint="default"/>
                <w:sz w:val="20"/>
                <w:szCs w:val="20"/>
              </w:rPr>
              <w:t>比例</w:t>
            </w:r>
          </w:p>
          <w:p>
            <w:pPr>
              <w:pStyle w:val="TableParagraph"/>
              <w:tabs>
                <w:tab w:pos="741" w:val="left" w:leader="none"/>
              </w:tabs>
              <w:spacing w:line="260" w:lineRule="exact"/>
              <w:ind w:right="27"/>
              <w:jc w:val="right"/>
              <w:rPr>
                <w:rFonts w:ascii="Arial" w:hAnsi="Arial" w:cs="Arial" w:eastAsia="Arial" w:hint="default"/>
                <w:sz w:val="20"/>
                <w:szCs w:val="20"/>
              </w:rPr>
            </w:pPr>
            <w:r>
              <w:rPr>
                <w:rFonts w:ascii="黑体" w:hAnsi="黑体" w:cs="黑体" w:eastAsia="黑体" w:hint="default"/>
                <w:sz w:val="20"/>
                <w:szCs w:val="20"/>
              </w:rPr>
              <w:t>金额</w:t>
              <w:tab/>
            </w:r>
            <w:r>
              <w:rPr>
                <w:rFonts w:ascii="Arial" w:hAnsi="Arial" w:cs="Arial" w:eastAsia="Arial" w:hint="default"/>
                <w:spacing w:val="-1"/>
                <w:sz w:val="20"/>
                <w:szCs w:val="20"/>
              </w:rPr>
              <w:t>(%)</w:t>
            </w:r>
          </w:p>
        </w:tc>
      </w:tr>
      <w:tr>
        <w:trPr>
          <w:trHeight w:val="245" w:hRule="exact"/>
        </w:trPr>
        <w:tc>
          <w:tcPr>
            <w:tcW w:w="688" w:type="dxa"/>
            <w:tcBorders>
              <w:top w:val="nil" w:sz="6" w:space="0" w:color="auto"/>
              <w:left w:val="nil" w:sz="6" w:space="0" w:color="auto"/>
              <w:bottom w:val="nil" w:sz="6" w:space="0" w:color="auto"/>
              <w:right w:val="nil" w:sz="6" w:space="0" w:color="auto"/>
            </w:tcBorders>
          </w:tcPr>
          <w:p>
            <w:pPr/>
          </w:p>
        </w:tc>
        <w:tc>
          <w:tcPr>
            <w:tcW w:w="6132" w:type="dxa"/>
            <w:tcBorders>
              <w:top w:val="nil" w:sz="6" w:space="0" w:color="auto"/>
              <w:left w:val="nil" w:sz="6" w:space="0" w:color="auto"/>
              <w:bottom w:val="nil" w:sz="6" w:space="0" w:color="auto"/>
              <w:right w:val="nil" w:sz="6" w:space="0" w:color="auto"/>
            </w:tcBorders>
          </w:tcPr>
          <w:p>
            <w:pPr>
              <w:pStyle w:val="TableParagraph"/>
              <w:spacing w:line="226" w:lineRule="exact"/>
              <w:ind w:left="56" w:right="0"/>
              <w:jc w:val="left"/>
              <w:rPr>
                <w:rFonts w:ascii="黑体" w:hAnsi="黑体" w:cs="黑体" w:eastAsia="黑体" w:hint="default"/>
                <w:sz w:val="20"/>
                <w:szCs w:val="20"/>
              </w:rPr>
            </w:pPr>
            <w:r>
              <w:rPr>
                <w:rFonts w:ascii="黑体" w:hAnsi="黑体" w:cs="黑体" w:eastAsia="黑体" w:hint="default"/>
                <w:sz w:val="20"/>
                <w:szCs w:val="20"/>
              </w:rPr>
              <w:t>子公司</w:t>
            </w:r>
          </w:p>
        </w:tc>
        <w:tc>
          <w:tcPr>
            <w:tcW w:w="1737" w:type="dxa"/>
            <w:tcBorders>
              <w:top w:val="nil" w:sz="6" w:space="0" w:color="auto"/>
              <w:left w:val="nil" w:sz="6" w:space="0" w:color="auto"/>
              <w:bottom w:val="nil" w:sz="6" w:space="0" w:color="auto"/>
              <w:right w:val="nil" w:sz="6" w:space="0" w:color="auto"/>
            </w:tcBorders>
          </w:tcPr>
          <w:p>
            <w:pPr/>
          </w:p>
        </w:tc>
      </w:tr>
    </w:tbl>
    <w:p>
      <w:pPr>
        <w:pStyle w:val="BodyText"/>
        <w:tabs>
          <w:tab w:pos="4491" w:val="left" w:leader="none"/>
          <w:tab w:pos="5952" w:val="left" w:leader="none"/>
          <w:tab w:pos="6980" w:val="left" w:leader="none"/>
          <w:tab w:pos="8634" w:val="right" w:leader="none"/>
        </w:tabs>
        <w:spacing w:line="246" w:lineRule="exact"/>
        <w:ind w:left="1037" w:right="0"/>
        <w:jc w:val="left"/>
        <w:rPr>
          <w:rFonts w:ascii="Arial" w:hAnsi="Arial" w:cs="Arial" w:eastAsia="Arial" w:hint="default"/>
        </w:rPr>
      </w:pPr>
      <w:r>
        <w:rPr/>
        <w:pict>
          <v:group style="position:absolute;margin-left:290.279999pt;margin-top:-37.024624pt;width:97.95pt;height:.1pt;mso-position-horizontal-relative:page;mso-position-vertical-relative:paragraph;z-index:-1131544" coordorigin="5806,-740" coordsize="1959,2">
            <v:shape style="position:absolute;left:5806;top:-740;width:1959;height:2" coordorigin="5806,-740" coordsize="1959,0" path="m5806,-740l7764,-740e" filled="false" stroked="true" strokeweight=".48pt" strokecolor="#000000">
              <v:path arrowok="t"/>
            </v:shape>
            <w10:wrap type="none"/>
          </v:group>
        </w:pict>
      </w:r>
      <w:r>
        <w:rPr/>
        <w:t>广东用友</w:t>
        <w:tab/>
      </w:r>
      <w:r>
        <w:rPr>
          <w:rFonts w:ascii="Arial" w:hAnsi="Arial" w:cs="Arial" w:eastAsia="Arial" w:hint="default"/>
          <w:spacing w:val="-1"/>
        </w:rPr>
        <w:t>30,607,500</w:t>
        <w:tab/>
      </w:r>
      <w:r>
        <w:rPr>
          <w:rFonts w:ascii="Arial" w:hAnsi="Arial" w:cs="Arial" w:eastAsia="Arial" w:hint="default"/>
        </w:rPr>
        <w:t>23</w:t>
        <w:tab/>
      </w:r>
      <w:r>
        <w:rPr>
          <w:rFonts w:ascii="Arial" w:hAnsi="Arial" w:cs="Arial" w:eastAsia="Arial" w:hint="default"/>
          <w:spacing w:val="-1"/>
        </w:rPr>
        <w:t>28,881,910</w:t>
        <w:tab/>
      </w:r>
      <w:r>
        <w:rPr>
          <w:rFonts w:ascii="Arial" w:hAnsi="Arial" w:cs="Arial" w:eastAsia="Arial" w:hint="default"/>
        </w:rPr>
        <w:t>22</w:t>
      </w:r>
    </w:p>
    <w:p>
      <w:pPr>
        <w:pStyle w:val="BodyText"/>
        <w:tabs>
          <w:tab w:pos="4491" w:val="left" w:leader="none"/>
          <w:tab w:pos="5952" w:val="left" w:leader="none"/>
          <w:tab w:pos="6980" w:val="left" w:leader="none"/>
          <w:tab w:pos="8634" w:val="right" w:leader="none"/>
        </w:tabs>
        <w:spacing w:line="259" w:lineRule="exact"/>
        <w:ind w:left="1037" w:right="0"/>
        <w:jc w:val="left"/>
        <w:rPr>
          <w:rFonts w:ascii="Arial" w:hAnsi="Arial" w:cs="Arial" w:eastAsia="Arial" w:hint="default"/>
        </w:rPr>
      </w:pPr>
      <w:r>
        <w:rPr/>
        <w:t>深圳用友</w:t>
        <w:tab/>
      </w:r>
      <w:r>
        <w:rPr>
          <w:rFonts w:ascii="Arial" w:hAnsi="Arial" w:cs="Arial" w:eastAsia="Arial" w:hint="default"/>
          <w:spacing w:val="-1"/>
        </w:rPr>
        <w:t>20,052,990</w:t>
        <w:tab/>
      </w:r>
      <w:r>
        <w:rPr>
          <w:rFonts w:ascii="Arial" w:hAnsi="Arial" w:cs="Arial" w:eastAsia="Arial" w:hint="default"/>
        </w:rPr>
        <w:t>15</w:t>
        <w:tab/>
      </w:r>
      <w:r>
        <w:rPr>
          <w:rFonts w:ascii="Arial" w:hAnsi="Arial" w:cs="Arial" w:eastAsia="Arial" w:hint="default"/>
          <w:spacing w:val="-1"/>
        </w:rPr>
        <w:t>28,320,646</w:t>
        <w:tab/>
      </w:r>
      <w:r>
        <w:rPr>
          <w:rFonts w:ascii="Arial" w:hAnsi="Arial" w:cs="Arial" w:eastAsia="Arial" w:hint="default"/>
        </w:rPr>
        <w:t>22</w:t>
      </w:r>
    </w:p>
    <w:p>
      <w:pPr>
        <w:pStyle w:val="BodyText"/>
        <w:tabs>
          <w:tab w:pos="4491" w:val="left" w:leader="none"/>
          <w:tab w:pos="5952" w:val="left" w:leader="none"/>
          <w:tab w:pos="6980" w:val="left" w:leader="none"/>
          <w:tab w:pos="8634" w:val="right" w:leader="none"/>
        </w:tabs>
        <w:spacing w:line="260" w:lineRule="exact"/>
        <w:ind w:left="1037" w:right="0"/>
        <w:jc w:val="left"/>
        <w:rPr>
          <w:rFonts w:ascii="Arial" w:hAnsi="Arial" w:cs="Arial" w:eastAsia="Arial" w:hint="default"/>
        </w:rPr>
      </w:pPr>
      <w:r>
        <w:rPr/>
        <w:t>浙江用友</w:t>
        <w:tab/>
      </w:r>
      <w:r>
        <w:rPr>
          <w:rFonts w:ascii="Arial" w:hAnsi="Arial" w:cs="Arial" w:eastAsia="Arial" w:hint="default"/>
          <w:spacing w:val="-1"/>
        </w:rPr>
        <w:t>17,049,146</w:t>
        <w:tab/>
      </w:r>
      <w:r>
        <w:rPr>
          <w:rFonts w:ascii="Arial" w:hAnsi="Arial" w:cs="Arial" w:eastAsia="Arial" w:hint="default"/>
        </w:rPr>
        <w:t>13</w:t>
        <w:tab/>
      </w:r>
      <w:r>
        <w:rPr>
          <w:rFonts w:ascii="Arial" w:hAnsi="Arial" w:cs="Arial" w:eastAsia="Arial" w:hint="default"/>
          <w:spacing w:val="-1"/>
        </w:rPr>
        <w:t>19,264,481</w:t>
        <w:tab/>
      </w:r>
      <w:r>
        <w:rPr>
          <w:rFonts w:ascii="Arial" w:hAnsi="Arial" w:cs="Arial" w:eastAsia="Arial" w:hint="default"/>
        </w:rPr>
        <w:t>15</w:t>
      </w:r>
    </w:p>
    <w:p>
      <w:pPr>
        <w:pStyle w:val="BodyText"/>
        <w:tabs>
          <w:tab w:pos="4603" w:val="left" w:leader="none"/>
          <w:tab w:pos="6063" w:val="left" w:leader="none"/>
          <w:tab w:pos="6980" w:val="left" w:leader="none"/>
          <w:tab w:pos="8634" w:val="right" w:leader="none"/>
        </w:tabs>
        <w:spacing w:line="260" w:lineRule="exact"/>
        <w:ind w:left="1037" w:right="0"/>
        <w:jc w:val="left"/>
        <w:rPr>
          <w:rFonts w:ascii="Arial" w:hAnsi="Arial" w:cs="Arial" w:eastAsia="Arial" w:hint="default"/>
        </w:rPr>
      </w:pPr>
      <w:r>
        <w:rPr/>
        <w:t>山东用友</w:t>
        <w:tab/>
      </w:r>
      <w:r>
        <w:rPr>
          <w:rFonts w:ascii="Arial" w:hAnsi="Arial" w:cs="Arial" w:eastAsia="Arial" w:hint="default"/>
          <w:spacing w:val="-1"/>
        </w:rPr>
        <w:t>6,909,310</w:t>
        <w:tab/>
      </w:r>
      <w:r>
        <w:rPr>
          <w:rFonts w:ascii="Arial" w:hAnsi="Arial" w:cs="Arial" w:eastAsia="Arial" w:hint="default"/>
        </w:rPr>
        <w:t>5</w:t>
        <w:tab/>
      </w:r>
      <w:r>
        <w:rPr>
          <w:rFonts w:ascii="Arial" w:hAnsi="Arial" w:cs="Arial" w:eastAsia="Arial" w:hint="default"/>
          <w:spacing w:val="-1"/>
        </w:rPr>
        <w:t>10,189,744</w:t>
        <w:tab/>
      </w:r>
      <w:r>
        <w:rPr>
          <w:rFonts w:ascii="Arial" w:hAnsi="Arial" w:cs="Arial" w:eastAsia="Arial" w:hint="default"/>
        </w:rPr>
        <w:t>8</w:t>
      </w:r>
    </w:p>
    <w:p>
      <w:pPr>
        <w:pStyle w:val="BodyText"/>
        <w:tabs>
          <w:tab w:pos="4491" w:val="left" w:leader="none"/>
          <w:tab w:pos="6063" w:val="left" w:leader="none"/>
          <w:tab w:pos="6980" w:val="left" w:leader="none"/>
          <w:tab w:pos="8635" w:val="right" w:leader="none"/>
        </w:tabs>
        <w:spacing w:line="259" w:lineRule="exact"/>
        <w:ind w:left="1037" w:right="0"/>
        <w:jc w:val="left"/>
        <w:rPr>
          <w:rFonts w:ascii="Arial" w:hAnsi="Arial" w:cs="Arial" w:eastAsia="Arial" w:hint="default"/>
        </w:rPr>
      </w:pPr>
      <w:r>
        <w:rPr/>
        <w:t>天津用友</w:t>
        <w:tab/>
      </w:r>
      <w:r>
        <w:rPr>
          <w:rFonts w:ascii="Arial" w:hAnsi="Arial" w:cs="Arial" w:eastAsia="Arial" w:hint="default"/>
          <w:spacing w:val="-1"/>
        </w:rPr>
        <w:t>11,849,612</w:t>
        <w:tab/>
      </w:r>
      <w:r>
        <w:rPr>
          <w:rFonts w:ascii="Arial" w:hAnsi="Arial" w:cs="Arial" w:eastAsia="Arial" w:hint="default"/>
        </w:rPr>
        <w:t>9</w:t>
        <w:tab/>
      </w:r>
      <w:r>
        <w:rPr>
          <w:rFonts w:ascii="Arial" w:hAnsi="Arial" w:cs="Arial" w:eastAsia="Arial" w:hint="default"/>
          <w:spacing w:val="-1"/>
        </w:rPr>
        <w:t>11,287,714</w:t>
        <w:tab/>
      </w:r>
      <w:r>
        <w:rPr>
          <w:rFonts w:ascii="Arial" w:hAnsi="Arial" w:cs="Arial" w:eastAsia="Arial" w:hint="default"/>
        </w:rPr>
        <w:t>9</w:t>
      </w:r>
    </w:p>
    <w:p>
      <w:pPr>
        <w:pStyle w:val="BodyText"/>
        <w:tabs>
          <w:tab w:pos="4603" w:val="left" w:leader="none"/>
          <w:tab w:pos="6063" w:val="left" w:leader="none"/>
          <w:tab w:pos="7092" w:val="left" w:leader="none"/>
          <w:tab w:pos="8635" w:val="right" w:leader="none"/>
        </w:tabs>
        <w:spacing w:line="259" w:lineRule="exact"/>
        <w:ind w:left="1037" w:right="0"/>
        <w:jc w:val="left"/>
        <w:rPr>
          <w:rFonts w:ascii="Arial" w:hAnsi="Arial" w:cs="Arial" w:eastAsia="Arial" w:hint="default"/>
        </w:rPr>
      </w:pPr>
      <w:r>
        <w:rPr/>
        <w:t>安徽用友</w:t>
        <w:tab/>
      </w:r>
      <w:r>
        <w:rPr>
          <w:rFonts w:ascii="Arial" w:hAnsi="Arial" w:cs="Arial" w:eastAsia="Arial" w:hint="default"/>
          <w:spacing w:val="-1"/>
        </w:rPr>
        <w:t>3,760,059</w:t>
        <w:tab/>
      </w:r>
      <w:r>
        <w:rPr>
          <w:rFonts w:ascii="Arial" w:hAnsi="Arial" w:cs="Arial" w:eastAsia="Arial" w:hint="default"/>
        </w:rPr>
        <w:t>3</w:t>
        <w:tab/>
      </w:r>
      <w:r>
        <w:rPr>
          <w:rFonts w:ascii="Arial" w:hAnsi="Arial" w:cs="Arial" w:eastAsia="Arial" w:hint="default"/>
          <w:spacing w:val="-1"/>
        </w:rPr>
        <w:t>3,333,020</w:t>
        <w:tab/>
      </w:r>
      <w:r>
        <w:rPr>
          <w:rFonts w:ascii="Arial" w:hAnsi="Arial" w:cs="Arial" w:eastAsia="Arial" w:hint="default"/>
        </w:rPr>
        <w:t>2</w:t>
      </w:r>
    </w:p>
    <w:p>
      <w:pPr>
        <w:pStyle w:val="BodyText"/>
        <w:tabs>
          <w:tab w:pos="4603" w:val="left" w:leader="none"/>
          <w:tab w:pos="6063" w:val="left" w:leader="none"/>
          <w:tab w:pos="7092" w:val="left" w:leader="none"/>
          <w:tab w:pos="8635" w:val="right" w:leader="none"/>
        </w:tabs>
        <w:spacing w:line="259" w:lineRule="exact"/>
        <w:ind w:left="1037" w:right="0"/>
        <w:jc w:val="left"/>
        <w:rPr>
          <w:rFonts w:ascii="Arial" w:hAnsi="Arial" w:cs="Arial" w:eastAsia="Arial" w:hint="default"/>
        </w:rPr>
      </w:pPr>
      <w:r>
        <w:rPr/>
        <w:t>沈阳用友</w:t>
        <w:tab/>
      </w:r>
      <w:r>
        <w:rPr>
          <w:rFonts w:ascii="Arial" w:hAnsi="Arial" w:cs="Arial" w:eastAsia="Arial" w:hint="default"/>
          <w:spacing w:val="-1"/>
        </w:rPr>
        <w:t>3,686,813</w:t>
        <w:tab/>
      </w:r>
      <w:r>
        <w:rPr>
          <w:rFonts w:ascii="Arial" w:hAnsi="Arial" w:cs="Arial" w:eastAsia="Arial" w:hint="default"/>
        </w:rPr>
        <w:t>3</w:t>
        <w:tab/>
      </w:r>
      <w:r>
        <w:rPr>
          <w:rFonts w:ascii="Arial" w:hAnsi="Arial" w:cs="Arial" w:eastAsia="Arial" w:hint="default"/>
          <w:spacing w:val="-1"/>
        </w:rPr>
        <w:t>3,647,952</w:t>
        <w:tab/>
      </w:r>
      <w:r>
        <w:rPr>
          <w:rFonts w:ascii="Arial" w:hAnsi="Arial" w:cs="Arial" w:eastAsia="Arial" w:hint="default"/>
        </w:rPr>
        <w:t>3</w:t>
      </w:r>
    </w:p>
    <w:p>
      <w:pPr>
        <w:pStyle w:val="BodyText"/>
        <w:tabs>
          <w:tab w:pos="4603" w:val="left" w:leader="none"/>
          <w:tab w:pos="6063" w:val="left" w:leader="none"/>
          <w:tab w:pos="7092" w:val="left" w:leader="none"/>
          <w:tab w:pos="8635" w:val="right" w:leader="none"/>
        </w:tabs>
        <w:spacing w:line="259" w:lineRule="exact"/>
        <w:ind w:left="1037" w:right="0"/>
        <w:jc w:val="left"/>
        <w:rPr>
          <w:rFonts w:ascii="Arial" w:hAnsi="Arial" w:cs="Arial" w:eastAsia="Arial" w:hint="default"/>
        </w:rPr>
      </w:pPr>
      <w:r>
        <w:rPr/>
        <w:t>大连用友</w:t>
        <w:tab/>
      </w:r>
      <w:r>
        <w:rPr>
          <w:rFonts w:ascii="Arial" w:hAnsi="Arial" w:cs="Arial" w:eastAsia="Arial" w:hint="default"/>
          <w:spacing w:val="-1"/>
        </w:rPr>
        <w:t>4,497,987</w:t>
        <w:tab/>
      </w:r>
      <w:r>
        <w:rPr>
          <w:rFonts w:ascii="Arial" w:hAnsi="Arial" w:cs="Arial" w:eastAsia="Arial" w:hint="default"/>
        </w:rPr>
        <w:t>4</w:t>
        <w:tab/>
      </w:r>
      <w:r>
        <w:rPr>
          <w:rFonts w:ascii="Arial" w:hAnsi="Arial" w:cs="Arial" w:eastAsia="Arial" w:hint="default"/>
          <w:spacing w:val="-1"/>
        </w:rPr>
        <w:t>4,537,989</w:t>
        <w:tab/>
      </w:r>
      <w:r>
        <w:rPr>
          <w:rFonts w:ascii="Arial" w:hAnsi="Arial" w:cs="Arial" w:eastAsia="Arial" w:hint="default"/>
        </w:rPr>
        <w:t>3</w:t>
      </w:r>
    </w:p>
    <w:p>
      <w:pPr>
        <w:pStyle w:val="BodyText"/>
        <w:tabs>
          <w:tab w:pos="4603" w:val="left" w:leader="none"/>
          <w:tab w:pos="6063" w:val="left" w:leader="none"/>
          <w:tab w:pos="7092" w:val="left" w:leader="none"/>
          <w:tab w:pos="8635" w:val="right" w:leader="none"/>
        </w:tabs>
        <w:spacing w:line="259" w:lineRule="exact"/>
        <w:ind w:left="1037" w:right="0"/>
        <w:jc w:val="left"/>
        <w:rPr>
          <w:rFonts w:ascii="Arial" w:hAnsi="Arial" w:cs="Arial" w:eastAsia="Arial" w:hint="default"/>
        </w:rPr>
      </w:pPr>
      <w:r>
        <w:rPr/>
        <w:t>广西用友</w:t>
        <w:tab/>
      </w:r>
      <w:r>
        <w:rPr>
          <w:rFonts w:ascii="Arial" w:hAnsi="Arial" w:cs="Arial" w:eastAsia="Arial" w:hint="default"/>
          <w:spacing w:val="-1"/>
        </w:rPr>
        <w:t>5,116,888</w:t>
        <w:tab/>
      </w:r>
      <w:r>
        <w:rPr>
          <w:rFonts w:ascii="Arial" w:hAnsi="Arial" w:cs="Arial" w:eastAsia="Arial" w:hint="default"/>
        </w:rPr>
        <w:t>4</w:t>
        <w:tab/>
      </w:r>
      <w:r>
        <w:rPr>
          <w:rFonts w:ascii="Arial" w:hAnsi="Arial" w:cs="Arial" w:eastAsia="Arial" w:hint="default"/>
          <w:spacing w:val="-1"/>
        </w:rPr>
        <w:t>3,016,053</w:t>
        <w:tab/>
      </w:r>
      <w:r>
        <w:rPr>
          <w:rFonts w:ascii="Arial" w:hAnsi="Arial" w:cs="Arial" w:eastAsia="Arial" w:hint="default"/>
        </w:rPr>
        <w:t>2</w:t>
      </w:r>
    </w:p>
    <w:p>
      <w:pPr>
        <w:pStyle w:val="BodyText"/>
        <w:tabs>
          <w:tab w:pos="4603" w:val="left" w:leader="none"/>
          <w:tab w:pos="6063" w:val="left" w:leader="none"/>
          <w:tab w:pos="7092" w:val="left" w:leader="none"/>
          <w:tab w:pos="8635" w:val="right" w:leader="none"/>
        </w:tabs>
        <w:spacing w:line="260" w:lineRule="exact"/>
        <w:ind w:left="1037" w:right="0"/>
        <w:jc w:val="left"/>
        <w:rPr>
          <w:rFonts w:ascii="Arial" w:hAnsi="Arial" w:cs="Arial" w:eastAsia="Arial" w:hint="default"/>
        </w:rPr>
      </w:pPr>
      <w:r>
        <w:rPr/>
        <w:t>武汉用友</w:t>
        <w:tab/>
      </w:r>
      <w:r>
        <w:rPr>
          <w:rFonts w:ascii="Arial" w:hAnsi="Arial" w:cs="Arial" w:eastAsia="Arial" w:hint="default"/>
          <w:spacing w:val="-1"/>
        </w:rPr>
        <w:t>5,928,017</w:t>
        <w:tab/>
      </w:r>
      <w:r>
        <w:rPr>
          <w:rFonts w:ascii="Arial" w:hAnsi="Arial" w:cs="Arial" w:eastAsia="Arial" w:hint="default"/>
        </w:rPr>
        <w:t>5</w:t>
        <w:tab/>
      </w:r>
      <w:r>
        <w:rPr>
          <w:rFonts w:ascii="Arial" w:hAnsi="Arial" w:cs="Arial" w:eastAsia="Arial" w:hint="default"/>
          <w:spacing w:val="-1"/>
        </w:rPr>
        <w:t>5,189,615</w:t>
        <w:tab/>
      </w:r>
      <w:r>
        <w:rPr>
          <w:rFonts w:ascii="Arial" w:hAnsi="Arial" w:cs="Arial" w:eastAsia="Arial" w:hint="default"/>
        </w:rPr>
        <w:t>4</w:t>
      </w:r>
    </w:p>
    <w:p>
      <w:pPr>
        <w:pStyle w:val="BodyText"/>
        <w:tabs>
          <w:tab w:pos="4491" w:val="left" w:leader="none"/>
          <w:tab w:pos="6063" w:val="left" w:leader="none"/>
          <w:tab w:pos="6980" w:val="left" w:leader="none"/>
          <w:tab w:pos="8635" w:val="right" w:leader="none"/>
        </w:tabs>
        <w:spacing w:line="260" w:lineRule="exact"/>
        <w:ind w:left="1037" w:right="0"/>
        <w:jc w:val="left"/>
        <w:rPr>
          <w:rFonts w:ascii="Arial" w:hAnsi="Arial" w:cs="Arial" w:eastAsia="Arial" w:hint="default"/>
        </w:rPr>
      </w:pPr>
      <w:r>
        <w:rPr/>
        <w:t>重庆用友</w:t>
        <w:tab/>
      </w:r>
      <w:r>
        <w:rPr>
          <w:rFonts w:ascii="Arial" w:hAnsi="Arial" w:cs="Arial" w:eastAsia="Arial" w:hint="default"/>
          <w:spacing w:val="-1"/>
        </w:rPr>
        <w:t>10,991,868</w:t>
        <w:tab/>
      </w:r>
      <w:r>
        <w:rPr>
          <w:rFonts w:ascii="Arial" w:hAnsi="Arial" w:cs="Arial" w:eastAsia="Arial" w:hint="default"/>
        </w:rPr>
        <w:t>8</w:t>
        <w:tab/>
      </w:r>
      <w:r>
        <w:rPr>
          <w:rFonts w:ascii="Arial" w:hAnsi="Arial" w:cs="Arial" w:eastAsia="Arial" w:hint="default"/>
          <w:spacing w:val="-1"/>
        </w:rPr>
        <w:t>10,422,514</w:t>
        <w:tab/>
      </w:r>
      <w:r>
        <w:rPr>
          <w:rFonts w:ascii="Arial" w:hAnsi="Arial" w:cs="Arial" w:eastAsia="Arial" w:hint="default"/>
        </w:rPr>
        <w:t>8</w:t>
      </w:r>
    </w:p>
    <w:p>
      <w:pPr>
        <w:pStyle w:val="BodyText"/>
        <w:tabs>
          <w:tab w:pos="4603" w:val="left" w:leader="none"/>
          <w:tab w:pos="6063" w:val="left" w:leader="none"/>
          <w:tab w:pos="7092" w:val="left" w:leader="none"/>
          <w:tab w:pos="8635" w:val="right" w:leader="none"/>
        </w:tabs>
        <w:spacing w:line="259" w:lineRule="exact"/>
        <w:ind w:left="1037" w:right="0"/>
        <w:jc w:val="left"/>
        <w:rPr>
          <w:rFonts w:ascii="Arial" w:hAnsi="Arial" w:cs="Arial" w:eastAsia="Arial" w:hint="default"/>
        </w:rPr>
      </w:pPr>
      <w:r>
        <w:rPr>
          <w:spacing w:val="-1"/>
        </w:rPr>
        <w:t>用友艾福斯</w:t>
        <w:tab/>
      </w:r>
      <w:r>
        <w:rPr>
          <w:rFonts w:ascii="Arial" w:hAnsi="Arial" w:cs="Arial" w:eastAsia="Arial" w:hint="default"/>
          <w:spacing w:val="-1"/>
        </w:rPr>
        <w:t>2,480,000</w:t>
        <w:tab/>
      </w:r>
      <w:r>
        <w:rPr>
          <w:rFonts w:ascii="Arial" w:hAnsi="Arial" w:cs="Arial" w:eastAsia="Arial" w:hint="default"/>
        </w:rPr>
        <w:t>2</w:t>
        <w:tab/>
      </w:r>
      <w:r>
        <w:rPr>
          <w:rFonts w:ascii="Arial" w:hAnsi="Arial" w:cs="Arial" w:eastAsia="Arial" w:hint="default"/>
          <w:spacing w:val="-1"/>
        </w:rPr>
        <w:t>2,165,780</w:t>
        <w:tab/>
      </w:r>
      <w:r>
        <w:rPr>
          <w:rFonts w:ascii="Arial" w:hAnsi="Arial" w:cs="Arial" w:eastAsia="Arial" w:hint="default"/>
        </w:rPr>
        <w:t>2</w:t>
      </w:r>
    </w:p>
    <w:p>
      <w:pPr>
        <w:pStyle w:val="BodyText"/>
        <w:tabs>
          <w:tab w:pos="4991" w:val="left" w:leader="none"/>
          <w:tab w:pos="6107" w:val="left" w:leader="none"/>
          <w:tab w:pos="7258" w:val="left" w:leader="none"/>
          <w:tab w:pos="8567" w:val="left" w:leader="none"/>
        </w:tabs>
        <w:spacing w:line="259" w:lineRule="exact"/>
        <w:ind w:left="1037" w:right="1058"/>
        <w:jc w:val="left"/>
        <w:rPr>
          <w:rFonts w:ascii="Arial" w:hAnsi="Arial" w:cs="Arial" w:eastAsia="Arial" w:hint="default"/>
        </w:rPr>
      </w:pPr>
      <w:r>
        <w:rPr/>
        <w:t>用友华表</w:t>
        <w:tab/>
      </w:r>
      <w:r>
        <w:rPr>
          <w:rFonts w:ascii="Arial" w:hAnsi="Arial" w:cs="Arial" w:eastAsia="Arial" w:hint="default"/>
        </w:rPr>
        <w:t>8,547</w:t>
        <w:tab/>
        <w:t>-</w:t>
        <w:tab/>
      </w:r>
      <w:r>
        <w:rPr>
          <w:rFonts w:ascii="Arial" w:hAnsi="Arial" w:cs="Arial" w:eastAsia="Arial" w:hint="default"/>
          <w:spacing w:val="-1"/>
        </w:rPr>
        <w:t>833,459</w:t>
        <w:tab/>
      </w:r>
      <w:r>
        <w:rPr>
          <w:rFonts w:ascii="Arial" w:hAnsi="Arial" w:cs="Arial" w:eastAsia="Arial" w:hint="default"/>
        </w:rPr>
        <w:t>-</w:t>
      </w:r>
    </w:p>
    <w:p>
      <w:pPr>
        <w:pStyle w:val="BodyText"/>
        <w:tabs>
          <w:tab w:pos="4880" w:val="left" w:leader="none"/>
          <w:tab w:pos="6107" w:val="left" w:leader="none"/>
          <w:tab w:pos="7915" w:val="left" w:leader="none"/>
          <w:tab w:pos="8567" w:val="left" w:leader="none"/>
        </w:tabs>
        <w:spacing w:line="259" w:lineRule="exact"/>
        <w:ind w:left="1037" w:right="1058"/>
        <w:jc w:val="left"/>
        <w:rPr>
          <w:rFonts w:ascii="Arial" w:hAnsi="Arial" w:cs="Arial" w:eastAsia="Arial" w:hint="default"/>
        </w:rPr>
      </w:pPr>
      <w:r>
        <w:rPr>
          <w:spacing w:val="-1"/>
        </w:rPr>
        <w:t>内蒙古用友</w:t>
        <w:tab/>
      </w:r>
      <w:r>
        <w:rPr>
          <w:rFonts w:ascii="Arial" w:hAnsi="Arial" w:cs="Arial" w:eastAsia="Arial" w:hint="default"/>
        </w:rPr>
        <w:t>20,222</w:t>
        <w:tab/>
        <w:t>-</w:t>
        <w:tab/>
        <w:t>-</w:t>
        <w:tab/>
        <w:t>-</w:t>
      </w:r>
    </w:p>
    <w:p>
      <w:pPr>
        <w:pStyle w:val="BodyText"/>
        <w:tabs>
          <w:tab w:pos="4769" w:val="left" w:leader="none"/>
          <w:tab w:pos="6108" w:val="left" w:leader="none"/>
          <w:tab w:pos="7915" w:val="left" w:leader="none"/>
          <w:tab w:pos="8568" w:val="left" w:leader="none"/>
        </w:tabs>
        <w:spacing w:line="259" w:lineRule="exact"/>
        <w:ind w:left="1037" w:right="1058"/>
        <w:jc w:val="left"/>
        <w:rPr>
          <w:rFonts w:ascii="Arial" w:hAnsi="Arial" w:cs="Arial" w:eastAsia="Arial" w:hint="default"/>
        </w:rPr>
      </w:pPr>
      <w:r>
        <w:rPr/>
        <w:t>用友烟草</w:t>
        <w:tab/>
      </w:r>
      <w:r>
        <w:rPr>
          <w:rFonts w:ascii="Arial" w:hAnsi="Arial" w:cs="Arial" w:eastAsia="Arial" w:hint="default"/>
          <w:spacing w:val="-1"/>
        </w:rPr>
        <w:t>262,742</w:t>
        <w:tab/>
      </w:r>
      <w:r>
        <w:rPr>
          <w:rFonts w:ascii="Arial" w:hAnsi="Arial" w:cs="Arial" w:eastAsia="Arial" w:hint="default"/>
        </w:rPr>
        <w:t>-</w:t>
        <w:tab/>
        <w:t>-</w:t>
        <w:tab/>
        <w:t>-</w:t>
      </w:r>
    </w:p>
    <w:p>
      <w:pPr>
        <w:pStyle w:val="BodyText"/>
        <w:tabs>
          <w:tab w:pos="4603" w:val="left" w:leader="none"/>
          <w:tab w:pos="6064" w:val="left" w:leader="none"/>
          <w:tab w:pos="7915" w:val="left" w:leader="none"/>
          <w:tab w:pos="8568" w:val="left" w:leader="none"/>
        </w:tabs>
        <w:spacing w:line="259" w:lineRule="exact"/>
        <w:ind w:left="1037" w:right="1058"/>
        <w:jc w:val="left"/>
        <w:rPr>
          <w:rFonts w:ascii="Arial" w:hAnsi="Arial" w:cs="Arial" w:eastAsia="Arial" w:hint="default"/>
        </w:rPr>
      </w:pPr>
      <w:r>
        <w:rPr/>
        <w:t>江西用友</w:t>
        <w:tab/>
      </w:r>
      <w:r>
        <w:rPr>
          <w:rFonts w:ascii="Arial" w:hAnsi="Arial" w:cs="Arial" w:eastAsia="Arial" w:hint="default"/>
          <w:spacing w:val="-1"/>
        </w:rPr>
        <w:t>4,715,703</w:t>
        <w:tab/>
      </w:r>
      <w:r>
        <w:rPr>
          <w:rFonts w:ascii="Arial" w:hAnsi="Arial" w:cs="Arial" w:eastAsia="Arial" w:hint="default"/>
        </w:rPr>
        <w:t>4</w:t>
        <w:tab/>
        <w:t>-</w:t>
        <w:tab/>
        <w:t>-</w:t>
      </w:r>
    </w:p>
    <w:p>
      <w:pPr>
        <w:pStyle w:val="BodyText"/>
        <w:tabs>
          <w:tab w:pos="4403" w:val="left" w:leader="none"/>
          <w:tab w:pos="5864" w:val="left" w:leader="none"/>
          <w:tab w:pos="6915" w:val="left" w:leader="none"/>
          <w:tab w:pos="7914" w:val="left" w:leader="none"/>
          <w:tab w:pos="8307" w:val="left" w:leader="none"/>
          <w:tab w:pos="8567" w:val="left" w:leader="none"/>
        </w:tabs>
        <w:spacing w:line="268" w:lineRule="exact"/>
        <w:ind w:left="1037" w:right="1058"/>
        <w:jc w:val="left"/>
        <w:rPr>
          <w:rFonts w:ascii="Arial" w:hAnsi="Arial" w:cs="Arial" w:eastAsia="Arial" w:hint="default"/>
        </w:rPr>
      </w:pPr>
      <w:r>
        <w:rPr/>
        <w:t>湖南用友</w:t>
        <w:tab/>
      </w:r>
      <w:r>
        <w:rPr>
          <w:rFonts w:ascii="Arial" w:hAnsi="Arial" w:cs="Arial" w:eastAsia="Arial" w:hint="default"/>
        </w:rPr>
      </w:r>
      <w:r>
        <w:rPr>
          <w:rFonts w:ascii="Arial" w:hAnsi="Arial" w:cs="Arial" w:eastAsia="Arial" w:hint="default"/>
          <w:u w:val="single" w:color="000000"/>
        </w:rPr>
        <w:t> 3,238,621</w:t>
      </w:r>
      <w:r>
        <w:rPr>
          <w:rFonts w:ascii="Arial" w:hAnsi="Arial" w:cs="Arial" w:eastAsia="Arial" w:hint="default"/>
        </w:rPr>
        <w:tab/>
      </w:r>
      <w:r>
        <w:rPr>
          <w:rFonts w:ascii="Arial" w:hAnsi="Arial" w:cs="Arial" w:eastAsia="Arial" w:hint="default"/>
          <w:u w:val="single" w:color="000000"/>
        </w:rPr>
        <w:t> 2</w:t>
      </w:r>
      <w:r>
        <w:rPr>
          <w:rFonts w:ascii="Arial" w:hAnsi="Arial" w:cs="Arial" w:eastAsia="Arial" w:hint="default"/>
        </w:rPr>
        <w:tab/>
      </w:r>
      <w:r>
        <w:rPr>
          <w:rFonts w:ascii="Arial" w:hAnsi="Arial" w:cs="Arial" w:eastAsia="Arial" w:hint="default"/>
          <w:u w:val="single" w:color="000000"/>
        </w:rPr>
        <w:t> </w:t>
        <w:tab/>
        <w:t>-</w:t>
      </w:r>
      <w:r>
        <w:rPr>
          <w:rFonts w:ascii="Arial" w:hAnsi="Arial" w:cs="Arial" w:eastAsia="Arial" w:hint="default"/>
        </w:rPr>
        <w:tab/>
      </w:r>
      <w:r>
        <w:rPr>
          <w:rFonts w:ascii="Arial" w:hAnsi="Arial" w:cs="Arial" w:eastAsia="Arial" w:hint="default"/>
          <w:u w:val="single" w:color="000000"/>
        </w:rPr>
        <w:t> </w:t>
        <w:tab/>
        <w:t>-</w:t>
      </w:r>
      <w:r>
        <w:rPr>
          <w:rFonts w:ascii="Arial" w:hAnsi="Arial" w:cs="Arial" w:eastAsia="Arial" w:hint="default"/>
        </w:rPr>
      </w:r>
    </w:p>
    <w:p>
      <w:pPr>
        <w:spacing w:line="240" w:lineRule="auto" w:before="6"/>
        <w:rPr>
          <w:rFonts w:ascii="Arial" w:hAnsi="Arial" w:cs="Arial" w:eastAsia="Arial" w:hint="default"/>
          <w:sz w:val="17"/>
          <w:szCs w:val="17"/>
        </w:rPr>
      </w:pPr>
    </w:p>
    <w:p>
      <w:pPr>
        <w:pStyle w:val="BodyText"/>
        <w:tabs>
          <w:tab w:pos="4381" w:val="left" w:leader="none"/>
          <w:tab w:pos="5840" w:val="left" w:leader="none"/>
          <w:tab w:pos="6869" w:val="left" w:leader="none"/>
          <w:tab w:pos="8300" w:val="left" w:leader="none"/>
        </w:tabs>
        <w:spacing w:line="240" w:lineRule="auto" w:before="38"/>
        <w:ind w:left="850" w:right="1058"/>
        <w:jc w:val="left"/>
        <w:rPr>
          <w:rFonts w:ascii="Arial" w:hAnsi="Arial" w:cs="Arial" w:eastAsia="Arial" w:hint="default"/>
        </w:rPr>
      </w:pPr>
      <w:r>
        <w:rPr/>
        <w:t>合计</w:t>
        <w:tab/>
      </w:r>
      <w:r>
        <w:rPr>
          <w:rFonts w:ascii="Arial" w:hAnsi="Arial" w:cs="Arial" w:eastAsia="Arial" w:hint="default"/>
        </w:rPr>
      </w:r>
      <w:r>
        <w:rPr>
          <w:rFonts w:ascii="Arial" w:hAnsi="Arial" w:cs="Arial" w:eastAsia="Arial" w:hint="default"/>
          <w:spacing w:val="-1"/>
          <w:u w:val="thick" w:color="000000"/>
        </w:rPr>
        <w:t>131,176,025</w:t>
      </w:r>
      <w:r>
        <w:rPr>
          <w:rFonts w:ascii="Arial" w:hAnsi="Arial" w:cs="Arial" w:eastAsia="Arial" w:hint="default"/>
          <w:spacing w:val="-1"/>
        </w:rPr>
        <w:tab/>
      </w:r>
      <w:r>
        <w:rPr>
          <w:rFonts w:ascii="Arial" w:hAnsi="Arial" w:cs="Arial" w:eastAsia="Arial" w:hint="default"/>
          <w:u w:val="thick" w:color="000000"/>
        </w:rPr>
        <w:t>100</w:t>
      </w:r>
      <w:r>
        <w:rPr>
          <w:rFonts w:ascii="Arial" w:hAnsi="Arial" w:cs="Arial" w:eastAsia="Arial" w:hint="default"/>
        </w:rPr>
        <w:tab/>
      </w:r>
      <w:r>
        <w:rPr>
          <w:rFonts w:ascii="Arial" w:hAnsi="Arial" w:cs="Arial" w:eastAsia="Arial" w:hint="default"/>
          <w:spacing w:val="-1"/>
          <w:u w:val="thick" w:color="000000"/>
        </w:rPr>
        <w:t>131,090,877</w:t>
      </w:r>
      <w:r>
        <w:rPr>
          <w:rFonts w:ascii="Arial" w:hAnsi="Arial" w:cs="Arial" w:eastAsia="Arial" w:hint="default"/>
          <w:spacing w:val="-1"/>
        </w:rPr>
        <w:tab/>
      </w:r>
      <w:r>
        <w:rPr>
          <w:rFonts w:ascii="Arial" w:hAnsi="Arial" w:cs="Arial" w:eastAsia="Arial" w:hint="default"/>
          <w:u w:val="thick" w:color="000000"/>
        </w:rPr>
        <w:t>100</w:t>
      </w:r>
      <w:r>
        <w:rPr>
          <w:rFonts w:ascii="Arial" w:hAnsi="Arial" w:cs="Arial" w:eastAsia="Arial" w:hint="default"/>
        </w:rPr>
      </w:r>
    </w:p>
    <w:p>
      <w:pPr>
        <w:spacing w:after="0" w:line="240" w:lineRule="auto"/>
        <w:jc w:val="left"/>
        <w:rPr>
          <w:rFonts w:ascii="Arial" w:hAnsi="Arial" w:cs="Arial" w:eastAsia="Arial" w:hint="default"/>
        </w:rPr>
        <w:sectPr>
          <w:pgSz w:w="11910" w:h="16840"/>
          <w:pgMar w:header="958" w:footer="466" w:top="2560" w:bottom="660" w:left="156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2"/>
          <w:szCs w:val="12"/>
        </w:rPr>
      </w:pPr>
    </w:p>
    <w:tbl>
      <w:tblPr>
        <w:tblW w:w="0" w:type="auto"/>
        <w:jc w:val="left"/>
        <w:tblInd w:w="106" w:type="dxa"/>
        <w:tblLayout w:type="fixed"/>
        <w:tblCellMar>
          <w:top w:w="0" w:type="dxa"/>
          <w:left w:w="0" w:type="dxa"/>
          <w:bottom w:w="0" w:type="dxa"/>
          <w:right w:w="0" w:type="dxa"/>
        </w:tblCellMar>
        <w:tblLook w:val="01E0"/>
      </w:tblPr>
      <w:tblGrid>
        <w:gridCol w:w="704"/>
        <w:gridCol w:w="3571"/>
        <w:gridCol w:w="1856"/>
        <w:gridCol w:w="417"/>
        <w:gridCol w:w="143"/>
        <w:gridCol w:w="1882"/>
      </w:tblGrid>
      <w:tr>
        <w:trPr>
          <w:trHeight w:val="936" w:hRule="exact"/>
        </w:trPr>
        <w:tc>
          <w:tcPr>
            <w:tcW w:w="70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sz w:val="20"/>
                <w:szCs w:val="20"/>
              </w:rPr>
            </w:r>
          </w:p>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left="35" w:right="0"/>
              <w:jc w:val="left"/>
              <w:rPr>
                <w:rFonts w:ascii="Arial" w:hAnsi="Arial" w:cs="Arial" w:eastAsia="Arial" w:hint="default"/>
                <w:sz w:val="20"/>
                <w:szCs w:val="20"/>
              </w:rPr>
            </w:pPr>
            <w:r>
              <w:rPr>
                <w:rFonts w:ascii="Arial"/>
                <w:b/>
                <w:sz w:val="20"/>
              </w:rPr>
              <w:t>39.</w:t>
            </w:r>
            <w:r>
              <w:rPr>
                <w:rFonts w:ascii="Arial"/>
                <w:sz w:val="20"/>
              </w:rPr>
            </w:r>
          </w:p>
        </w:tc>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0" w:right="0" w:hanging="17"/>
              <w:jc w:val="left"/>
              <w:rPr>
                <w:rFonts w:ascii="黑体" w:hAnsi="黑体" w:cs="黑体" w:eastAsia="黑体" w:hint="default"/>
                <w:sz w:val="20"/>
                <w:szCs w:val="20"/>
              </w:rPr>
            </w:pP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50" w:right="0"/>
              <w:jc w:val="left"/>
              <w:rPr>
                <w:rFonts w:ascii="黑体" w:hAnsi="黑体" w:cs="黑体" w:eastAsia="黑体" w:hint="default"/>
                <w:sz w:val="20"/>
                <w:szCs w:val="20"/>
              </w:rPr>
            </w:pPr>
            <w:r>
              <w:rPr>
                <w:rFonts w:ascii="黑体" w:hAnsi="黑体" w:cs="黑体" w:eastAsia="黑体" w:hint="default"/>
                <w:b/>
                <w:bCs/>
                <w:sz w:val="20"/>
                <w:szCs w:val="20"/>
              </w:rPr>
              <w:t>本公司与关联方之主要交易（续）</w:t>
            </w:r>
            <w:r>
              <w:rPr>
                <w:rFonts w:ascii="黑体" w:hAnsi="黑体" w:cs="黑体" w:eastAsia="黑体" w:hint="default"/>
                <w:sz w:val="20"/>
                <w:szCs w:val="20"/>
              </w:rPr>
            </w:r>
          </w:p>
        </w:tc>
        <w:tc>
          <w:tcPr>
            <w:tcW w:w="4297" w:type="dxa"/>
            <w:gridSpan w:val="4"/>
            <w:vMerge w:val="restart"/>
            <w:tcBorders>
              <w:top w:val="nil" w:sz="6" w:space="0" w:color="auto"/>
              <w:left w:val="nil" w:sz="6" w:space="0" w:color="auto"/>
              <w:right w:val="nil" w:sz="6" w:space="0" w:color="auto"/>
            </w:tcBorders>
          </w:tcPr>
          <w:p>
            <w:pPr/>
          </w:p>
        </w:tc>
      </w:tr>
      <w:tr>
        <w:trPr>
          <w:trHeight w:val="489" w:hRule="exact"/>
        </w:trPr>
        <w:tc>
          <w:tcPr>
            <w:tcW w:w="704" w:type="dxa"/>
            <w:tcBorders>
              <w:top w:val="nil" w:sz="6" w:space="0" w:color="auto"/>
              <w:left w:val="nil" w:sz="6" w:space="0" w:color="auto"/>
              <w:bottom w:val="nil" w:sz="6" w:space="0" w:color="auto"/>
              <w:right w:val="nil" w:sz="6" w:space="0" w:color="auto"/>
            </w:tcBorders>
          </w:tcPr>
          <w:p>
            <w:pPr/>
          </w:p>
        </w:tc>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78"/>
              <w:ind w:left="44" w:right="0"/>
              <w:jc w:val="left"/>
              <w:rPr>
                <w:rFonts w:ascii="黑体" w:hAnsi="黑体" w:cs="黑体" w:eastAsia="黑体" w:hint="default"/>
                <w:sz w:val="20"/>
                <w:szCs w:val="20"/>
              </w:rPr>
            </w:pPr>
            <w:r>
              <w:rPr>
                <w:rFonts w:ascii="Arial" w:hAnsi="Arial" w:cs="Arial" w:eastAsia="Arial" w:hint="default"/>
                <w:sz w:val="20"/>
                <w:szCs w:val="20"/>
              </w:rPr>
              <w:t>(2)  </w:t>
            </w:r>
            <w:r>
              <w:rPr>
                <w:rFonts w:ascii="Arial" w:hAnsi="Arial" w:cs="Arial" w:eastAsia="Arial" w:hint="default"/>
                <w:spacing w:val="30"/>
                <w:sz w:val="20"/>
                <w:szCs w:val="20"/>
              </w:rPr>
              <w:t> </w:t>
            </w:r>
            <w:r>
              <w:rPr>
                <w:rFonts w:ascii="黑体" w:hAnsi="黑体" w:cs="黑体" w:eastAsia="黑体" w:hint="default"/>
                <w:sz w:val="20"/>
                <w:szCs w:val="20"/>
              </w:rPr>
              <w:t>向关联方购买商品：</w:t>
            </w:r>
          </w:p>
        </w:tc>
        <w:tc>
          <w:tcPr>
            <w:tcW w:w="4297" w:type="dxa"/>
            <w:gridSpan w:val="4"/>
            <w:vMerge/>
            <w:tcBorders>
              <w:left w:val="nil" w:sz="6" w:space="0" w:color="auto"/>
              <w:bottom w:val="nil" w:sz="6" w:space="0" w:color="auto"/>
              <w:right w:val="nil" w:sz="6" w:space="0" w:color="auto"/>
            </w:tcBorders>
          </w:tcPr>
          <w:p>
            <w:pPr/>
          </w:p>
        </w:tc>
      </w:tr>
      <w:tr>
        <w:trPr>
          <w:trHeight w:val="377" w:hRule="exact"/>
        </w:trPr>
        <w:tc>
          <w:tcPr>
            <w:tcW w:w="704" w:type="dxa"/>
            <w:tcBorders>
              <w:top w:val="nil" w:sz="6" w:space="0" w:color="auto"/>
              <w:left w:val="nil" w:sz="6" w:space="0" w:color="auto"/>
              <w:bottom w:val="nil" w:sz="6" w:space="0" w:color="auto"/>
              <w:right w:val="nil" w:sz="6" w:space="0" w:color="auto"/>
            </w:tcBorders>
          </w:tcPr>
          <w:p>
            <w:pPr/>
          </w:p>
        </w:tc>
        <w:tc>
          <w:tcPr>
            <w:tcW w:w="3571" w:type="dxa"/>
            <w:tcBorders>
              <w:top w:val="nil" w:sz="6" w:space="0" w:color="auto"/>
              <w:left w:val="nil" w:sz="6" w:space="0" w:color="auto"/>
              <w:bottom w:val="nil" w:sz="6" w:space="0" w:color="auto"/>
              <w:right w:val="nil" w:sz="6" w:space="0" w:color="auto"/>
            </w:tcBorders>
          </w:tcPr>
          <w:p>
            <w:pPr/>
          </w:p>
        </w:tc>
        <w:tc>
          <w:tcPr>
            <w:tcW w:w="1856" w:type="dxa"/>
            <w:tcBorders>
              <w:top w:val="nil" w:sz="6" w:space="0" w:color="auto"/>
              <w:left w:val="nil" w:sz="6" w:space="0" w:color="auto"/>
              <w:bottom w:val="single" w:sz="4" w:space="0" w:color="000000"/>
              <w:right w:val="nil" w:sz="6" w:space="0" w:color="auto"/>
            </w:tcBorders>
          </w:tcPr>
          <w:p>
            <w:pPr>
              <w:pStyle w:val="TableParagraph"/>
              <w:spacing w:line="240" w:lineRule="auto" w:before="79"/>
              <w:ind w:left="598"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560" w:type="dxa"/>
            <w:gridSpan w:val="2"/>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single" w:sz="4" w:space="0" w:color="000000"/>
              <w:right w:val="nil" w:sz="6" w:space="0" w:color="auto"/>
            </w:tcBorders>
          </w:tcPr>
          <w:p>
            <w:pPr>
              <w:pStyle w:val="TableParagraph"/>
              <w:spacing w:line="240" w:lineRule="auto" w:before="79"/>
              <w:ind w:left="594"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r>
      <w:tr>
        <w:trPr>
          <w:trHeight w:val="394" w:hRule="exact"/>
        </w:trPr>
        <w:tc>
          <w:tcPr>
            <w:tcW w:w="704" w:type="dxa"/>
            <w:tcBorders>
              <w:top w:val="nil" w:sz="6" w:space="0" w:color="auto"/>
              <w:left w:val="nil" w:sz="6" w:space="0" w:color="auto"/>
              <w:bottom w:val="nil" w:sz="6" w:space="0" w:color="auto"/>
              <w:right w:val="nil" w:sz="6" w:space="0" w:color="auto"/>
            </w:tcBorders>
          </w:tcPr>
          <w:p>
            <w:pPr/>
          </w:p>
        </w:tc>
        <w:tc>
          <w:tcPr>
            <w:tcW w:w="3571" w:type="dxa"/>
            <w:tcBorders>
              <w:top w:val="nil" w:sz="6" w:space="0" w:color="auto"/>
              <w:left w:val="nil" w:sz="6" w:space="0" w:color="auto"/>
              <w:bottom w:val="nil" w:sz="6" w:space="0" w:color="auto"/>
              <w:right w:val="nil" w:sz="6" w:space="0" w:color="auto"/>
            </w:tcBorders>
          </w:tcPr>
          <w:p>
            <w:pPr/>
          </w:p>
        </w:tc>
        <w:tc>
          <w:tcPr>
            <w:tcW w:w="1856" w:type="dxa"/>
            <w:tcBorders>
              <w:top w:val="single" w:sz="4" w:space="0" w:color="000000"/>
              <w:left w:val="nil" w:sz="6" w:space="0" w:color="auto"/>
              <w:bottom w:val="nil" w:sz="6" w:space="0" w:color="auto"/>
              <w:right w:val="nil" w:sz="6" w:space="0" w:color="auto"/>
            </w:tcBorders>
          </w:tcPr>
          <w:p>
            <w:pPr>
              <w:pStyle w:val="TableParagraph"/>
              <w:spacing w:line="241" w:lineRule="exact"/>
              <w:ind w:right="0"/>
              <w:jc w:val="right"/>
              <w:rPr>
                <w:rFonts w:ascii="Arial" w:hAnsi="Arial" w:cs="Arial" w:eastAsia="Arial" w:hint="default"/>
                <w:sz w:val="20"/>
                <w:szCs w:val="20"/>
              </w:rPr>
            </w:pPr>
            <w:r>
              <w:rPr>
                <w:rFonts w:ascii="黑体" w:hAnsi="黑体" w:cs="黑体" w:eastAsia="黑体" w:hint="default"/>
                <w:sz w:val="20"/>
                <w:szCs w:val="20"/>
              </w:rPr>
              <w:t>金额</w:t>
            </w:r>
            <w:r>
              <w:rPr>
                <w:rFonts w:ascii="黑体" w:hAnsi="黑体" w:cs="黑体" w:eastAsia="黑体" w:hint="default"/>
                <w:spacing w:val="37"/>
                <w:sz w:val="20"/>
                <w:szCs w:val="20"/>
              </w:rPr>
              <w:t> </w:t>
            </w:r>
            <w:r>
              <w:rPr>
                <w:rFonts w:ascii="黑体" w:hAnsi="黑体" w:cs="黑体" w:eastAsia="黑体" w:hint="default"/>
                <w:sz w:val="20"/>
                <w:szCs w:val="20"/>
              </w:rPr>
              <w:t>比例</w:t>
            </w:r>
            <w:r>
              <w:rPr>
                <w:rFonts w:ascii="Arial" w:hAnsi="Arial" w:cs="Arial" w:eastAsia="Arial" w:hint="default"/>
                <w:sz w:val="20"/>
                <w:szCs w:val="20"/>
              </w:rPr>
              <w:t>(%)</w:t>
            </w:r>
          </w:p>
        </w:tc>
        <w:tc>
          <w:tcPr>
            <w:tcW w:w="560" w:type="dxa"/>
            <w:gridSpan w:val="2"/>
            <w:tcBorders>
              <w:top w:val="nil" w:sz="6" w:space="0" w:color="auto"/>
              <w:left w:val="nil" w:sz="6" w:space="0" w:color="auto"/>
              <w:bottom w:val="nil" w:sz="6" w:space="0" w:color="auto"/>
              <w:right w:val="nil" w:sz="6" w:space="0" w:color="auto"/>
            </w:tcBorders>
          </w:tcPr>
          <w:p>
            <w:pPr/>
          </w:p>
        </w:tc>
        <w:tc>
          <w:tcPr>
            <w:tcW w:w="1882" w:type="dxa"/>
            <w:tcBorders>
              <w:top w:val="single" w:sz="4" w:space="0" w:color="000000"/>
              <w:left w:val="nil" w:sz="6" w:space="0" w:color="auto"/>
              <w:bottom w:val="nil" w:sz="6" w:space="0" w:color="auto"/>
              <w:right w:val="nil" w:sz="6" w:space="0" w:color="auto"/>
            </w:tcBorders>
          </w:tcPr>
          <w:p>
            <w:pPr>
              <w:pStyle w:val="TableParagraph"/>
              <w:spacing w:line="241" w:lineRule="exact"/>
              <w:ind w:right="33"/>
              <w:jc w:val="right"/>
              <w:rPr>
                <w:rFonts w:ascii="Arial" w:hAnsi="Arial" w:cs="Arial" w:eastAsia="Arial" w:hint="default"/>
                <w:sz w:val="20"/>
                <w:szCs w:val="20"/>
              </w:rPr>
            </w:pPr>
            <w:r>
              <w:rPr>
                <w:rFonts w:ascii="黑体" w:hAnsi="黑体" w:cs="黑体" w:eastAsia="黑体" w:hint="default"/>
                <w:sz w:val="20"/>
                <w:szCs w:val="20"/>
              </w:rPr>
              <w:t>金额</w:t>
            </w:r>
            <w:r>
              <w:rPr>
                <w:rFonts w:ascii="黑体" w:hAnsi="黑体" w:cs="黑体" w:eastAsia="黑体" w:hint="default"/>
                <w:spacing w:val="37"/>
                <w:sz w:val="20"/>
                <w:szCs w:val="20"/>
              </w:rPr>
              <w:t> </w:t>
            </w:r>
            <w:r>
              <w:rPr>
                <w:rFonts w:ascii="黑体" w:hAnsi="黑体" w:cs="黑体" w:eastAsia="黑体" w:hint="default"/>
                <w:sz w:val="20"/>
                <w:szCs w:val="20"/>
              </w:rPr>
              <w:t>比例</w:t>
            </w:r>
            <w:r>
              <w:rPr>
                <w:rFonts w:ascii="Arial" w:hAnsi="Arial" w:cs="Arial" w:eastAsia="Arial" w:hint="default"/>
                <w:sz w:val="20"/>
                <w:szCs w:val="20"/>
              </w:rPr>
              <w:t>(%)</w:t>
            </w:r>
          </w:p>
        </w:tc>
      </w:tr>
      <w:tr>
        <w:trPr>
          <w:trHeight w:val="646" w:hRule="exact"/>
        </w:trPr>
        <w:tc>
          <w:tcPr>
            <w:tcW w:w="704" w:type="dxa"/>
            <w:tcBorders>
              <w:top w:val="nil" w:sz="6" w:space="0" w:color="auto"/>
              <w:left w:val="nil" w:sz="6" w:space="0" w:color="auto"/>
              <w:bottom w:val="nil" w:sz="6" w:space="0" w:color="auto"/>
              <w:right w:val="nil" w:sz="6" w:space="0" w:color="auto"/>
            </w:tcBorders>
          </w:tcPr>
          <w:p>
            <w:pPr/>
          </w:p>
        </w:tc>
        <w:tc>
          <w:tcPr>
            <w:tcW w:w="3571" w:type="dxa"/>
            <w:tcBorders>
              <w:top w:val="nil" w:sz="6" w:space="0" w:color="auto"/>
              <w:left w:val="nil" w:sz="6" w:space="0" w:color="auto"/>
              <w:bottom w:val="nil" w:sz="6" w:space="0" w:color="auto"/>
              <w:right w:val="nil" w:sz="6" w:space="0" w:color="auto"/>
            </w:tcBorders>
          </w:tcPr>
          <w:p>
            <w:pPr>
              <w:pStyle w:val="TableParagraph"/>
              <w:spacing w:line="260" w:lineRule="exact" w:before="117"/>
              <w:ind w:left="36" w:right="2332"/>
              <w:jc w:val="left"/>
              <w:rPr>
                <w:rFonts w:ascii="黑体" w:hAnsi="黑体" w:cs="黑体" w:eastAsia="黑体" w:hint="default"/>
                <w:sz w:val="20"/>
                <w:szCs w:val="20"/>
              </w:rPr>
            </w:pPr>
            <w:r>
              <w:rPr>
                <w:rFonts w:ascii="黑体" w:hAnsi="黑体" w:cs="黑体" w:eastAsia="黑体" w:hint="default"/>
                <w:sz w:val="20"/>
                <w:szCs w:val="20"/>
              </w:rPr>
              <w:t>用友审计</w:t>
            </w:r>
            <w:r>
              <w:rPr>
                <w:rFonts w:ascii="黑体" w:hAnsi="黑体" w:cs="黑体" w:eastAsia="黑体" w:hint="default"/>
                <w:w w:val="100"/>
                <w:sz w:val="20"/>
                <w:szCs w:val="20"/>
              </w:rPr>
              <w:t> </w:t>
            </w:r>
            <w:r>
              <w:rPr>
                <w:rFonts w:ascii="黑体" w:hAnsi="黑体" w:cs="黑体" w:eastAsia="黑体" w:hint="default"/>
                <w:sz w:val="20"/>
                <w:szCs w:val="20"/>
              </w:rPr>
              <w:t>用友华表软件</w:t>
            </w:r>
          </w:p>
        </w:tc>
        <w:tc>
          <w:tcPr>
            <w:tcW w:w="1856" w:type="dxa"/>
            <w:tcBorders>
              <w:top w:val="nil" w:sz="6" w:space="0" w:color="auto"/>
              <w:left w:val="nil" w:sz="6" w:space="0" w:color="auto"/>
              <w:bottom w:val="nil" w:sz="6" w:space="0" w:color="auto"/>
              <w:right w:val="nil" w:sz="6" w:space="0" w:color="auto"/>
            </w:tcBorders>
          </w:tcPr>
          <w:p>
            <w:pPr>
              <w:pStyle w:val="TableParagraph"/>
              <w:tabs>
                <w:tab w:pos="1744" w:val="left" w:leader="none"/>
              </w:tabs>
              <w:spacing w:line="240" w:lineRule="auto" w:before="135"/>
              <w:ind w:left="282" w:right="0"/>
              <w:jc w:val="left"/>
              <w:rPr>
                <w:rFonts w:ascii="Arial" w:hAnsi="Arial" w:cs="Arial" w:eastAsia="Arial" w:hint="default"/>
                <w:sz w:val="20"/>
                <w:szCs w:val="20"/>
              </w:rPr>
            </w:pPr>
            <w:r>
              <w:rPr>
                <w:rFonts w:ascii="Arial"/>
                <w:spacing w:val="-1"/>
                <w:sz w:val="20"/>
              </w:rPr>
              <w:t>217,778</w:t>
              <w:tab/>
            </w:r>
            <w:r>
              <w:rPr>
                <w:rFonts w:ascii="Arial"/>
                <w:sz w:val="20"/>
              </w:rPr>
              <w:t>2</w:t>
            </w:r>
          </w:p>
          <w:p>
            <w:pPr>
              <w:pStyle w:val="TableParagraph"/>
              <w:tabs>
                <w:tab w:pos="1787" w:val="left" w:leader="none"/>
              </w:tabs>
              <w:spacing w:line="240" w:lineRule="auto" w:before="29"/>
              <w:ind w:left="938" w:right="0"/>
              <w:jc w:val="left"/>
              <w:rPr>
                <w:rFonts w:ascii="Arial" w:hAnsi="Arial" w:cs="Arial" w:eastAsia="Arial" w:hint="default"/>
                <w:sz w:val="20"/>
                <w:szCs w:val="20"/>
              </w:rPr>
            </w:pPr>
            <w:r>
              <w:rPr>
                <w:rFonts w:ascii="Arial"/>
                <w:sz w:val="20"/>
              </w:rPr>
              <w:t>-</w:t>
              <w:tab/>
              <w:t>-</w:t>
            </w:r>
          </w:p>
        </w:tc>
        <w:tc>
          <w:tcPr>
            <w:tcW w:w="560" w:type="dxa"/>
            <w:gridSpan w:val="2"/>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Style w:val="TableParagraph"/>
              <w:tabs>
                <w:tab w:pos="1779" w:val="left" w:leader="none"/>
              </w:tabs>
              <w:spacing w:line="240" w:lineRule="auto" w:before="135"/>
              <w:ind w:left="930" w:right="0"/>
              <w:jc w:val="left"/>
              <w:rPr>
                <w:rFonts w:ascii="Arial" w:hAnsi="Arial" w:cs="Arial" w:eastAsia="Arial" w:hint="default"/>
                <w:sz w:val="20"/>
                <w:szCs w:val="20"/>
              </w:rPr>
            </w:pPr>
            <w:r>
              <w:rPr>
                <w:rFonts w:ascii="Arial"/>
                <w:sz w:val="20"/>
              </w:rPr>
              <w:t>-</w:t>
              <w:tab/>
              <w:t>-</w:t>
            </w:r>
          </w:p>
          <w:p>
            <w:pPr>
              <w:pStyle w:val="TableParagraph"/>
              <w:tabs>
                <w:tab w:pos="1623" w:val="left" w:leader="none"/>
              </w:tabs>
              <w:spacing w:line="240" w:lineRule="auto" w:before="29"/>
              <w:ind w:left="106" w:right="0"/>
              <w:jc w:val="left"/>
              <w:rPr>
                <w:rFonts w:ascii="Arial" w:hAnsi="Arial" w:cs="Arial" w:eastAsia="Arial" w:hint="default"/>
                <w:sz w:val="20"/>
                <w:szCs w:val="20"/>
              </w:rPr>
            </w:pPr>
            <w:r>
              <w:rPr>
                <w:rFonts w:ascii="Arial"/>
                <w:spacing w:val="-1"/>
                <w:sz w:val="20"/>
              </w:rPr>
              <w:t>1,196,142</w:t>
              <w:tab/>
            </w:r>
            <w:r>
              <w:rPr>
                <w:rFonts w:ascii="Arial"/>
                <w:sz w:val="20"/>
              </w:rPr>
              <w:t>15</w:t>
            </w:r>
          </w:p>
        </w:tc>
      </w:tr>
      <w:tr>
        <w:trPr>
          <w:trHeight w:val="260" w:hRule="exact"/>
        </w:trPr>
        <w:tc>
          <w:tcPr>
            <w:tcW w:w="704" w:type="dxa"/>
            <w:tcBorders>
              <w:top w:val="nil" w:sz="6" w:space="0" w:color="auto"/>
              <w:left w:val="nil" w:sz="6" w:space="0" w:color="auto"/>
              <w:bottom w:val="nil" w:sz="6" w:space="0" w:color="auto"/>
              <w:right w:val="nil" w:sz="6" w:space="0" w:color="auto"/>
            </w:tcBorders>
          </w:tcPr>
          <w:p>
            <w:pPr/>
          </w:p>
        </w:tc>
        <w:tc>
          <w:tcPr>
            <w:tcW w:w="3571" w:type="dxa"/>
            <w:tcBorders>
              <w:top w:val="nil" w:sz="6" w:space="0" w:color="auto"/>
              <w:left w:val="nil" w:sz="6" w:space="0" w:color="auto"/>
              <w:bottom w:val="nil" w:sz="6" w:space="0" w:color="auto"/>
              <w:right w:val="nil" w:sz="6" w:space="0" w:color="auto"/>
            </w:tcBorders>
          </w:tcPr>
          <w:p>
            <w:pPr>
              <w:pStyle w:val="TableParagraph"/>
              <w:spacing w:line="227" w:lineRule="exact"/>
              <w:ind w:left="36"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1856" w:type="dxa"/>
            <w:tcBorders>
              <w:top w:val="nil" w:sz="6" w:space="0" w:color="auto"/>
              <w:left w:val="nil" w:sz="6" w:space="0" w:color="auto"/>
              <w:bottom w:val="nil" w:sz="6" w:space="0" w:color="auto"/>
              <w:right w:val="nil" w:sz="6" w:space="0" w:color="auto"/>
            </w:tcBorders>
          </w:tcPr>
          <w:p>
            <w:pPr>
              <w:pStyle w:val="TableParagraph"/>
              <w:tabs>
                <w:tab w:pos="1628" w:val="left" w:leader="none"/>
              </w:tabs>
              <w:spacing w:line="240" w:lineRule="auto" w:before="8"/>
              <w:ind w:right="0"/>
              <w:jc w:val="right"/>
              <w:rPr>
                <w:rFonts w:ascii="Arial" w:hAnsi="Arial" w:cs="Arial" w:eastAsia="Arial" w:hint="default"/>
                <w:sz w:val="20"/>
                <w:szCs w:val="20"/>
              </w:rPr>
            </w:pPr>
            <w:r>
              <w:rPr>
                <w:rFonts w:ascii="Arial"/>
                <w:spacing w:val="-1"/>
                <w:sz w:val="20"/>
              </w:rPr>
              <w:t>10,839,612</w:t>
              <w:tab/>
            </w:r>
            <w:r>
              <w:rPr>
                <w:rFonts w:ascii="Arial"/>
                <w:sz w:val="20"/>
              </w:rPr>
              <w:t>88</w:t>
            </w:r>
          </w:p>
        </w:tc>
        <w:tc>
          <w:tcPr>
            <w:tcW w:w="560" w:type="dxa"/>
            <w:gridSpan w:val="2"/>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Style w:val="TableParagraph"/>
              <w:tabs>
                <w:tab w:pos="1516" w:val="left" w:leader="none"/>
              </w:tabs>
              <w:spacing w:line="240" w:lineRule="auto" w:before="8"/>
              <w:ind w:right="33"/>
              <w:jc w:val="right"/>
              <w:rPr>
                <w:rFonts w:ascii="Arial" w:hAnsi="Arial" w:cs="Arial" w:eastAsia="Arial" w:hint="default"/>
                <w:sz w:val="20"/>
                <w:szCs w:val="20"/>
              </w:rPr>
            </w:pPr>
            <w:r>
              <w:rPr>
                <w:rFonts w:ascii="Arial"/>
                <w:spacing w:val="-1"/>
                <w:sz w:val="20"/>
              </w:rPr>
              <w:t>5,082,305</w:t>
              <w:tab/>
            </w:r>
            <w:r>
              <w:rPr>
                <w:rFonts w:ascii="Arial"/>
                <w:sz w:val="20"/>
              </w:rPr>
              <w:t>62</w:t>
            </w:r>
          </w:p>
        </w:tc>
      </w:tr>
      <w:tr>
        <w:trPr>
          <w:trHeight w:val="261" w:hRule="exact"/>
        </w:trPr>
        <w:tc>
          <w:tcPr>
            <w:tcW w:w="704" w:type="dxa"/>
            <w:tcBorders>
              <w:top w:val="nil" w:sz="6" w:space="0" w:color="auto"/>
              <w:left w:val="nil" w:sz="6" w:space="0" w:color="auto"/>
              <w:bottom w:val="nil" w:sz="6" w:space="0" w:color="auto"/>
              <w:right w:val="nil" w:sz="6" w:space="0" w:color="auto"/>
            </w:tcBorders>
          </w:tcPr>
          <w:p>
            <w:pPr/>
          </w:p>
        </w:tc>
        <w:tc>
          <w:tcPr>
            <w:tcW w:w="3571" w:type="dxa"/>
            <w:tcBorders>
              <w:top w:val="nil" w:sz="6" w:space="0" w:color="auto"/>
              <w:left w:val="nil" w:sz="6" w:space="0" w:color="auto"/>
              <w:bottom w:val="nil" w:sz="6" w:space="0" w:color="auto"/>
              <w:right w:val="nil" w:sz="6" w:space="0" w:color="auto"/>
            </w:tcBorders>
          </w:tcPr>
          <w:p>
            <w:pPr>
              <w:pStyle w:val="TableParagraph"/>
              <w:spacing w:line="226" w:lineRule="exact"/>
              <w:ind w:left="36" w:right="0"/>
              <w:jc w:val="left"/>
              <w:rPr>
                <w:rFonts w:ascii="黑体" w:hAnsi="黑体" w:cs="黑体" w:eastAsia="黑体" w:hint="default"/>
                <w:sz w:val="20"/>
                <w:szCs w:val="20"/>
              </w:rPr>
            </w:pPr>
            <w:r>
              <w:rPr>
                <w:rFonts w:ascii="黑体" w:hAnsi="黑体" w:cs="黑体" w:eastAsia="黑体" w:hint="default"/>
                <w:sz w:val="20"/>
                <w:szCs w:val="20"/>
              </w:rPr>
              <w:t>用友商用表单</w:t>
            </w:r>
          </w:p>
        </w:tc>
        <w:tc>
          <w:tcPr>
            <w:tcW w:w="1856" w:type="dxa"/>
            <w:tcBorders>
              <w:top w:val="nil" w:sz="6" w:space="0" w:color="auto"/>
              <w:left w:val="nil" w:sz="6" w:space="0" w:color="auto"/>
              <w:bottom w:val="nil" w:sz="6" w:space="0" w:color="auto"/>
              <w:right w:val="nil" w:sz="6" w:space="0" w:color="auto"/>
            </w:tcBorders>
          </w:tcPr>
          <w:p>
            <w:pPr>
              <w:pStyle w:val="TableParagraph"/>
              <w:tabs>
                <w:tab w:pos="1517" w:val="left" w:leader="none"/>
              </w:tabs>
              <w:spacing w:line="240" w:lineRule="auto" w:before="8"/>
              <w:ind w:right="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z w:val="20"/>
                <w:u w:val="single" w:color="000000"/>
              </w:rPr>
              <w:t>1,240,598</w:t>
            </w:r>
            <w:r>
              <w:rPr>
                <w:rFonts w:ascii="Arial"/>
                <w:sz w:val="20"/>
              </w:rPr>
              <w:tab/>
            </w:r>
            <w:r>
              <w:rPr>
                <w:rFonts w:ascii="Arial"/>
                <w:sz w:val="20"/>
                <w:u w:val="single" w:color="000000"/>
              </w:rPr>
              <w:t> 10</w:t>
            </w:r>
            <w:r>
              <w:rPr>
                <w:rFonts w:ascii="Arial"/>
                <w:sz w:val="20"/>
              </w:rPr>
            </w:r>
          </w:p>
        </w:tc>
        <w:tc>
          <w:tcPr>
            <w:tcW w:w="560" w:type="dxa"/>
            <w:gridSpan w:val="2"/>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Style w:val="TableParagraph"/>
              <w:tabs>
                <w:tab w:pos="1417" w:val="left" w:leader="none"/>
              </w:tabs>
              <w:spacing w:line="240" w:lineRule="auto" w:before="8"/>
              <w:ind w:right="33"/>
              <w:jc w:val="right"/>
              <w:rPr>
                <w:rFonts w:ascii="Arial" w:hAnsi="Arial" w:cs="Arial" w:eastAsia="Arial" w:hint="default"/>
                <w:sz w:val="20"/>
                <w:szCs w:val="20"/>
              </w:rPr>
            </w:pPr>
            <w:r>
              <w:rPr>
                <w:rFonts w:ascii="Arial"/>
                <w:w w:val="100"/>
                <w:sz w:val="20"/>
              </w:rPr>
            </w:r>
            <w:r>
              <w:rPr>
                <w:rFonts w:ascii="Arial"/>
                <w:spacing w:val="-1"/>
                <w:sz w:val="20"/>
                <w:u w:val="single" w:color="000000"/>
              </w:rPr>
              <w:t>1,877,582</w:t>
            </w:r>
            <w:r>
              <w:rPr>
                <w:rFonts w:ascii="Arial"/>
                <w:spacing w:val="-1"/>
                <w:sz w:val="20"/>
              </w:rPr>
              <w:tab/>
            </w:r>
            <w:r>
              <w:rPr>
                <w:rFonts w:ascii="Arial"/>
                <w:spacing w:val="-1"/>
                <w:sz w:val="20"/>
                <w:u w:val="single" w:color="000000"/>
              </w:rPr>
              <w:t> </w:t>
            </w:r>
            <w:r>
              <w:rPr>
                <w:rFonts w:ascii="Arial"/>
                <w:sz w:val="20"/>
                <w:u w:val="single" w:color="000000"/>
              </w:rPr>
              <w:t>23</w:t>
            </w:r>
            <w:r>
              <w:rPr>
                <w:rFonts w:ascii="Arial"/>
                <w:sz w:val="20"/>
              </w:rPr>
            </w:r>
          </w:p>
        </w:tc>
      </w:tr>
      <w:tr>
        <w:trPr>
          <w:trHeight w:val="228" w:hRule="exact"/>
        </w:trPr>
        <w:tc>
          <w:tcPr>
            <w:tcW w:w="704" w:type="dxa"/>
            <w:tcBorders>
              <w:top w:val="nil" w:sz="6" w:space="0" w:color="auto"/>
              <w:left w:val="nil" w:sz="6" w:space="0" w:color="auto"/>
              <w:bottom w:val="nil" w:sz="6" w:space="0" w:color="auto"/>
              <w:right w:val="nil" w:sz="6" w:space="0" w:color="auto"/>
            </w:tcBorders>
          </w:tcPr>
          <w:p>
            <w:pPr/>
          </w:p>
        </w:tc>
        <w:tc>
          <w:tcPr>
            <w:tcW w:w="3571" w:type="dxa"/>
            <w:tcBorders>
              <w:top w:val="nil" w:sz="6" w:space="0" w:color="auto"/>
              <w:left w:val="nil" w:sz="6" w:space="0" w:color="auto"/>
              <w:bottom w:val="nil" w:sz="6" w:space="0" w:color="auto"/>
              <w:right w:val="nil" w:sz="6" w:space="0" w:color="auto"/>
            </w:tcBorders>
          </w:tcPr>
          <w:p>
            <w:pPr/>
          </w:p>
        </w:tc>
        <w:tc>
          <w:tcPr>
            <w:tcW w:w="1856" w:type="dxa"/>
            <w:tcBorders>
              <w:top w:val="nil" w:sz="6" w:space="0" w:color="auto"/>
              <w:left w:val="nil" w:sz="6" w:space="0" w:color="auto"/>
              <w:bottom w:val="nil" w:sz="6" w:space="0" w:color="auto"/>
              <w:right w:val="nil" w:sz="6" w:space="0" w:color="auto"/>
            </w:tcBorders>
          </w:tcPr>
          <w:p>
            <w:pPr>
              <w:pStyle w:val="TableParagraph"/>
              <w:tabs>
                <w:tab w:pos="1516" w:val="left" w:leader="none"/>
              </w:tabs>
              <w:spacing w:line="240" w:lineRule="auto" w:before="2"/>
              <w:ind w:right="0"/>
              <w:jc w:val="right"/>
              <w:rPr>
                <w:rFonts w:ascii="Arial" w:hAnsi="Arial" w:cs="Arial" w:eastAsia="Arial" w:hint="default"/>
                <w:sz w:val="20"/>
                <w:szCs w:val="20"/>
              </w:rPr>
            </w:pPr>
            <w:r>
              <w:rPr>
                <w:rFonts w:ascii="Arial"/>
                <w:w w:val="100"/>
                <w:sz w:val="20"/>
              </w:rPr>
            </w:r>
            <w:r>
              <w:rPr>
                <w:rFonts w:ascii="Arial"/>
                <w:spacing w:val="-1"/>
                <w:sz w:val="20"/>
                <w:u w:val="thick" w:color="000000"/>
              </w:rPr>
              <w:t>12,297,988</w:t>
            </w:r>
            <w:r>
              <w:rPr>
                <w:rFonts w:ascii="Arial"/>
                <w:spacing w:val="-1"/>
                <w:sz w:val="20"/>
              </w:rPr>
              <w:tab/>
            </w:r>
            <w:r>
              <w:rPr>
                <w:rFonts w:ascii="Arial"/>
                <w:sz w:val="20"/>
                <w:u w:val="thick" w:color="000000"/>
              </w:rPr>
              <w:t>100</w:t>
            </w:r>
            <w:r>
              <w:rPr>
                <w:rFonts w:ascii="Arial"/>
                <w:sz w:val="20"/>
              </w:rPr>
            </w:r>
          </w:p>
        </w:tc>
        <w:tc>
          <w:tcPr>
            <w:tcW w:w="560" w:type="dxa"/>
            <w:gridSpan w:val="2"/>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Style w:val="TableParagraph"/>
              <w:tabs>
                <w:tab w:pos="1405" w:val="left" w:leader="none"/>
              </w:tabs>
              <w:spacing w:line="240" w:lineRule="auto" w:before="2"/>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8,156,029</w:t>
            </w:r>
            <w:r>
              <w:rPr>
                <w:rFonts w:ascii="Arial"/>
                <w:spacing w:val="-1"/>
                <w:sz w:val="20"/>
              </w:rPr>
              <w:tab/>
            </w:r>
            <w:r>
              <w:rPr>
                <w:rFonts w:ascii="Arial"/>
                <w:sz w:val="20"/>
                <w:u w:val="thick" w:color="000000"/>
              </w:rPr>
              <w:t>100</w:t>
            </w:r>
            <w:r>
              <w:rPr>
                <w:rFonts w:ascii="Arial"/>
                <w:sz w:val="20"/>
              </w:rPr>
            </w:r>
          </w:p>
        </w:tc>
      </w:tr>
      <w:tr>
        <w:trPr>
          <w:trHeight w:val="630" w:hRule="exact"/>
        </w:trPr>
        <w:tc>
          <w:tcPr>
            <w:tcW w:w="8573"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749" w:right="0"/>
              <w:jc w:val="left"/>
              <w:rPr>
                <w:rFonts w:ascii="黑体" w:hAnsi="黑体" w:cs="黑体" w:eastAsia="黑体" w:hint="default"/>
                <w:sz w:val="20"/>
                <w:szCs w:val="20"/>
              </w:rPr>
            </w:pPr>
            <w:r>
              <w:rPr>
                <w:rFonts w:ascii="黑体" w:hAnsi="黑体" w:cs="黑体" w:eastAsia="黑体" w:hint="default"/>
                <w:sz w:val="20"/>
                <w:szCs w:val="20"/>
              </w:rPr>
              <w:t>于</w:t>
            </w:r>
            <w:r>
              <w:rPr>
                <w:rFonts w:ascii="Arial" w:hAnsi="Arial" w:cs="Arial" w:eastAsia="Arial" w:hint="default"/>
                <w:sz w:val="20"/>
                <w:szCs w:val="20"/>
              </w:rPr>
              <w:t>2009</w:t>
            </w:r>
            <w:r>
              <w:rPr>
                <w:rFonts w:ascii="黑体" w:hAnsi="黑体" w:cs="黑体" w:eastAsia="黑体" w:hint="default"/>
                <w:sz w:val="20"/>
                <w:szCs w:val="20"/>
              </w:rPr>
              <w:t>年，向关联方购买商品金额占本公司全部购买商品金额的</w:t>
            </w:r>
            <w:r>
              <w:rPr>
                <w:rFonts w:ascii="Arial" w:hAnsi="Arial" w:cs="Arial" w:eastAsia="Arial" w:hint="default"/>
                <w:sz w:val="20"/>
                <w:szCs w:val="20"/>
              </w:rPr>
              <w:t>14%</w:t>
            </w:r>
            <w:r>
              <w:rPr>
                <w:rFonts w:ascii="黑体" w:hAnsi="黑体" w:cs="黑体" w:eastAsia="黑体" w:hint="default"/>
                <w:sz w:val="20"/>
                <w:szCs w:val="20"/>
              </w:rPr>
              <w:t>（</w:t>
            </w:r>
            <w:r>
              <w:rPr>
                <w:rFonts w:ascii="Arial" w:hAnsi="Arial" w:cs="Arial" w:eastAsia="Arial" w:hint="default"/>
                <w:sz w:val="20"/>
                <w:szCs w:val="20"/>
              </w:rPr>
              <w:t>2008</w:t>
            </w:r>
            <w:r>
              <w:rPr>
                <w:rFonts w:ascii="黑体" w:hAnsi="黑体" w:cs="黑体" w:eastAsia="黑体" w:hint="default"/>
                <w:sz w:val="20"/>
                <w:szCs w:val="20"/>
              </w:rPr>
              <w:t>年：</w:t>
            </w:r>
            <w:r>
              <w:rPr>
                <w:rFonts w:ascii="Arial" w:hAnsi="Arial" w:cs="Arial" w:eastAsia="Arial" w:hint="default"/>
                <w:sz w:val="20"/>
                <w:szCs w:val="20"/>
              </w:rPr>
              <w:t>4%</w:t>
            </w:r>
            <w:r>
              <w:rPr>
                <w:rFonts w:ascii="黑体" w:hAnsi="黑体" w:cs="黑体" w:eastAsia="黑体" w:hint="default"/>
                <w:sz w:val="20"/>
                <w:szCs w:val="20"/>
              </w:rPr>
              <w:t>）。</w:t>
            </w:r>
          </w:p>
        </w:tc>
      </w:tr>
      <w:tr>
        <w:trPr>
          <w:trHeight w:val="637" w:hRule="exact"/>
        </w:trPr>
        <w:tc>
          <w:tcPr>
            <w:tcW w:w="427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9"/>
              <w:ind w:left="749" w:right="0"/>
              <w:jc w:val="left"/>
              <w:rPr>
                <w:rFonts w:ascii="黑体" w:hAnsi="黑体" w:cs="黑体" w:eastAsia="黑体" w:hint="default"/>
                <w:sz w:val="20"/>
                <w:szCs w:val="20"/>
              </w:rPr>
            </w:pPr>
            <w:r>
              <w:rPr>
                <w:rFonts w:ascii="Arial" w:hAnsi="Arial" w:cs="Arial" w:eastAsia="Arial" w:hint="default"/>
                <w:sz w:val="20"/>
                <w:szCs w:val="20"/>
              </w:rPr>
              <w:t>(3)  </w:t>
            </w:r>
            <w:r>
              <w:rPr>
                <w:rFonts w:ascii="Arial" w:hAnsi="Arial" w:cs="Arial" w:eastAsia="Arial" w:hint="default"/>
                <w:spacing w:val="30"/>
                <w:sz w:val="20"/>
                <w:szCs w:val="20"/>
              </w:rPr>
              <w:t> </w:t>
            </w:r>
            <w:r>
              <w:rPr>
                <w:rFonts w:ascii="黑体" w:hAnsi="黑体" w:cs="黑体" w:eastAsia="黑体" w:hint="default"/>
                <w:sz w:val="20"/>
                <w:szCs w:val="20"/>
              </w:rPr>
              <w:t>向关联方提供劳务：</w:t>
            </w:r>
          </w:p>
        </w:tc>
        <w:tc>
          <w:tcPr>
            <w:tcW w:w="1856" w:type="dxa"/>
            <w:tcBorders>
              <w:top w:val="nil" w:sz="6" w:space="0" w:color="auto"/>
              <w:left w:val="nil" w:sz="6" w:space="0" w:color="auto"/>
              <w:bottom w:val="single" w:sz="4"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9"/>
                <w:szCs w:val="29"/>
              </w:rPr>
            </w:pPr>
          </w:p>
          <w:p>
            <w:pPr>
              <w:pStyle w:val="TableParagraph"/>
              <w:spacing w:line="240" w:lineRule="auto"/>
              <w:ind w:left="632"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417" w:type="dxa"/>
            <w:tcBorders>
              <w:top w:val="nil" w:sz="6" w:space="0" w:color="auto"/>
              <w:left w:val="nil" w:sz="6" w:space="0" w:color="auto"/>
              <w:bottom w:val="nil" w:sz="6" w:space="0" w:color="auto"/>
              <w:right w:val="nil" w:sz="6" w:space="0" w:color="auto"/>
            </w:tcBorders>
          </w:tcPr>
          <w:p>
            <w:pPr/>
          </w:p>
        </w:tc>
        <w:tc>
          <w:tcPr>
            <w:tcW w:w="14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single" w:sz="4"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9"/>
                <w:szCs w:val="29"/>
              </w:rPr>
            </w:pPr>
          </w:p>
          <w:p>
            <w:pPr>
              <w:pStyle w:val="TableParagraph"/>
              <w:spacing w:line="240" w:lineRule="auto"/>
              <w:ind w:left="658"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r>
      <w:tr>
        <w:trPr>
          <w:trHeight w:val="394" w:hRule="exact"/>
        </w:trPr>
        <w:tc>
          <w:tcPr>
            <w:tcW w:w="4276" w:type="dxa"/>
            <w:gridSpan w:val="2"/>
            <w:tcBorders>
              <w:top w:val="nil" w:sz="6" w:space="0" w:color="auto"/>
              <w:left w:val="nil" w:sz="6" w:space="0" w:color="auto"/>
              <w:bottom w:val="nil" w:sz="6" w:space="0" w:color="auto"/>
              <w:right w:val="nil" w:sz="6" w:space="0" w:color="auto"/>
            </w:tcBorders>
          </w:tcPr>
          <w:p>
            <w:pPr/>
          </w:p>
        </w:tc>
        <w:tc>
          <w:tcPr>
            <w:tcW w:w="1856" w:type="dxa"/>
            <w:tcBorders>
              <w:top w:val="single" w:sz="4" w:space="0" w:color="000000"/>
              <w:left w:val="nil" w:sz="6" w:space="0" w:color="auto"/>
              <w:bottom w:val="nil" w:sz="6" w:space="0" w:color="auto"/>
              <w:right w:val="nil" w:sz="6" w:space="0" w:color="auto"/>
            </w:tcBorders>
          </w:tcPr>
          <w:p>
            <w:pPr>
              <w:pStyle w:val="TableParagraph"/>
              <w:spacing w:line="241" w:lineRule="exact"/>
              <w:ind w:right="62"/>
              <w:jc w:val="right"/>
              <w:rPr>
                <w:rFonts w:ascii="Arial" w:hAnsi="Arial" w:cs="Arial" w:eastAsia="Arial" w:hint="default"/>
                <w:sz w:val="20"/>
                <w:szCs w:val="20"/>
              </w:rPr>
            </w:pPr>
            <w:r>
              <w:rPr>
                <w:rFonts w:ascii="黑体" w:hAnsi="黑体" w:cs="黑体" w:eastAsia="黑体" w:hint="default"/>
                <w:sz w:val="20"/>
                <w:szCs w:val="20"/>
              </w:rPr>
              <w:t>金额</w:t>
            </w:r>
            <w:r>
              <w:rPr>
                <w:rFonts w:ascii="黑体" w:hAnsi="黑体" w:cs="黑体" w:eastAsia="黑体" w:hint="default"/>
                <w:spacing w:val="-25"/>
                <w:sz w:val="20"/>
                <w:szCs w:val="20"/>
              </w:rPr>
              <w:t> </w:t>
            </w:r>
            <w:r>
              <w:rPr>
                <w:rFonts w:ascii="黑体" w:hAnsi="黑体" w:cs="黑体" w:eastAsia="黑体" w:hint="default"/>
                <w:sz w:val="20"/>
                <w:szCs w:val="20"/>
              </w:rPr>
              <w:t>比例</w:t>
            </w:r>
            <w:r>
              <w:rPr>
                <w:rFonts w:ascii="Arial" w:hAnsi="Arial" w:cs="Arial" w:eastAsia="Arial" w:hint="default"/>
                <w:sz w:val="20"/>
                <w:szCs w:val="20"/>
              </w:rPr>
              <w:t>(%)</w:t>
            </w:r>
          </w:p>
        </w:tc>
        <w:tc>
          <w:tcPr>
            <w:tcW w:w="417" w:type="dxa"/>
            <w:tcBorders>
              <w:top w:val="nil" w:sz="6" w:space="0" w:color="auto"/>
              <w:left w:val="nil" w:sz="6" w:space="0" w:color="auto"/>
              <w:bottom w:val="nil" w:sz="6" w:space="0" w:color="auto"/>
              <w:right w:val="nil" w:sz="6" w:space="0" w:color="auto"/>
            </w:tcBorders>
          </w:tcPr>
          <w:p>
            <w:pPr/>
          </w:p>
        </w:tc>
        <w:tc>
          <w:tcPr>
            <w:tcW w:w="143" w:type="dxa"/>
            <w:tcBorders>
              <w:top w:val="nil" w:sz="6" w:space="0" w:color="auto"/>
              <w:left w:val="nil" w:sz="6" w:space="0" w:color="auto"/>
              <w:bottom w:val="nil" w:sz="6" w:space="0" w:color="auto"/>
              <w:right w:val="nil" w:sz="6" w:space="0" w:color="auto"/>
            </w:tcBorders>
          </w:tcPr>
          <w:p>
            <w:pPr/>
          </w:p>
        </w:tc>
        <w:tc>
          <w:tcPr>
            <w:tcW w:w="1882" w:type="dxa"/>
            <w:tcBorders>
              <w:top w:val="single" w:sz="4" w:space="0" w:color="000000"/>
              <w:left w:val="nil" w:sz="6" w:space="0" w:color="auto"/>
              <w:bottom w:val="nil" w:sz="6" w:space="0" w:color="auto"/>
              <w:right w:val="nil" w:sz="6" w:space="0" w:color="auto"/>
            </w:tcBorders>
          </w:tcPr>
          <w:p>
            <w:pPr>
              <w:pStyle w:val="TableParagraph"/>
              <w:spacing w:line="241" w:lineRule="exact"/>
              <w:ind w:right="33"/>
              <w:jc w:val="right"/>
              <w:rPr>
                <w:rFonts w:ascii="Arial" w:hAnsi="Arial" w:cs="Arial" w:eastAsia="Arial" w:hint="default"/>
                <w:sz w:val="20"/>
                <w:szCs w:val="20"/>
              </w:rPr>
            </w:pPr>
            <w:r>
              <w:rPr>
                <w:rFonts w:ascii="黑体" w:hAnsi="黑体" w:cs="黑体" w:eastAsia="黑体" w:hint="default"/>
                <w:sz w:val="20"/>
                <w:szCs w:val="20"/>
              </w:rPr>
              <w:t>金额</w:t>
            </w:r>
            <w:r>
              <w:rPr>
                <w:rFonts w:ascii="黑体" w:hAnsi="黑体" w:cs="黑体" w:eastAsia="黑体" w:hint="default"/>
                <w:spacing w:val="35"/>
                <w:sz w:val="20"/>
                <w:szCs w:val="20"/>
              </w:rPr>
              <w:t> </w:t>
            </w:r>
            <w:r>
              <w:rPr>
                <w:rFonts w:ascii="黑体" w:hAnsi="黑体" w:cs="黑体" w:eastAsia="黑体" w:hint="default"/>
                <w:sz w:val="20"/>
                <w:szCs w:val="20"/>
              </w:rPr>
              <w:t>比例</w:t>
            </w:r>
            <w:r>
              <w:rPr>
                <w:rFonts w:ascii="Arial" w:hAnsi="Arial" w:cs="Arial" w:eastAsia="Arial" w:hint="default"/>
                <w:sz w:val="20"/>
                <w:szCs w:val="20"/>
              </w:rPr>
              <w:t>(%)</w:t>
            </w:r>
          </w:p>
        </w:tc>
      </w:tr>
      <w:tr>
        <w:trPr>
          <w:trHeight w:val="386" w:hRule="exact"/>
        </w:trPr>
        <w:tc>
          <w:tcPr>
            <w:tcW w:w="427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1"/>
              <w:ind w:left="740" w:right="0"/>
              <w:jc w:val="left"/>
              <w:rPr>
                <w:rFonts w:ascii="黑体" w:hAnsi="黑体" w:cs="黑体" w:eastAsia="黑体" w:hint="default"/>
                <w:sz w:val="20"/>
                <w:szCs w:val="20"/>
              </w:rPr>
            </w:pPr>
            <w:r>
              <w:rPr>
                <w:rFonts w:ascii="黑体" w:hAnsi="黑体" w:cs="黑体" w:eastAsia="黑体" w:hint="default"/>
                <w:sz w:val="20"/>
                <w:szCs w:val="20"/>
              </w:rPr>
              <w:t>内蒙古用友</w:t>
            </w:r>
          </w:p>
        </w:tc>
        <w:tc>
          <w:tcPr>
            <w:tcW w:w="1856" w:type="dxa"/>
            <w:tcBorders>
              <w:top w:val="nil" w:sz="6" w:space="0" w:color="auto"/>
              <w:left w:val="nil" w:sz="6" w:space="0" w:color="auto"/>
              <w:bottom w:val="nil" w:sz="6" w:space="0" w:color="auto"/>
              <w:right w:val="nil" w:sz="6" w:space="0" w:color="auto"/>
            </w:tcBorders>
          </w:tcPr>
          <w:p>
            <w:pPr>
              <w:pStyle w:val="TableParagraph"/>
              <w:tabs>
                <w:tab w:pos="1177" w:val="left" w:leader="none"/>
              </w:tabs>
              <w:spacing w:line="240" w:lineRule="auto" w:before="135"/>
              <w:ind w:right="62"/>
              <w:jc w:val="right"/>
              <w:rPr>
                <w:rFonts w:ascii="Arial" w:hAnsi="Arial" w:cs="Arial" w:eastAsia="Arial" w:hint="default"/>
                <w:sz w:val="20"/>
                <w:szCs w:val="20"/>
              </w:rPr>
            </w:pPr>
            <w:r>
              <w:rPr>
                <w:rFonts w:ascii="Arial"/>
                <w:sz w:val="20"/>
              </w:rPr>
              <w:t>5,000</w:t>
              <w:tab/>
              <w:t>9</w:t>
            </w:r>
          </w:p>
        </w:tc>
        <w:tc>
          <w:tcPr>
            <w:tcW w:w="417" w:type="dxa"/>
            <w:tcBorders>
              <w:top w:val="nil" w:sz="6" w:space="0" w:color="auto"/>
              <w:left w:val="nil" w:sz="6" w:space="0" w:color="auto"/>
              <w:bottom w:val="nil" w:sz="6" w:space="0" w:color="auto"/>
              <w:right w:val="nil" w:sz="6" w:space="0" w:color="auto"/>
            </w:tcBorders>
          </w:tcPr>
          <w:p>
            <w:pPr/>
          </w:p>
        </w:tc>
        <w:tc>
          <w:tcPr>
            <w:tcW w:w="14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Style w:val="TableParagraph"/>
              <w:tabs>
                <w:tab w:pos="847" w:val="left" w:leader="none"/>
              </w:tabs>
              <w:spacing w:line="240" w:lineRule="auto" w:before="135"/>
              <w:ind w:right="33"/>
              <w:jc w:val="right"/>
              <w:rPr>
                <w:rFonts w:ascii="Arial" w:hAnsi="Arial" w:cs="Arial" w:eastAsia="Arial" w:hint="default"/>
                <w:sz w:val="20"/>
                <w:szCs w:val="20"/>
              </w:rPr>
            </w:pPr>
            <w:r>
              <w:rPr>
                <w:rFonts w:ascii="Arial"/>
                <w:sz w:val="20"/>
              </w:rPr>
              <w:t>-</w:t>
              <w:tab/>
              <w:t>-</w:t>
            </w:r>
          </w:p>
        </w:tc>
      </w:tr>
      <w:tr>
        <w:trPr>
          <w:trHeight w:val="261" w:hRule="exact"/>
        </w:trPr>
        <w:tc>
          <w:tcPr>
            <w:tcW w:w="4276" w:type="dxa"/>
            <w:gridSpan w:val="2"/>
            <w:tcBorders>
              <w:top w:val="nil" w:sz="6" w:space="0" w:color="auto"/>
              <w:left w:val="nil" w:sz="6" w:space="0" w:color="auto"/>
              <w:bottom w:val="nil" w:sz="6" w:space="0" w:color="auto"/>
              <w:right w:val="nil" w:sz="6" w:space="0" w:color="auto"/>
            </w:tcBorders>
          </w:tcPr>
          <w:p>
            <w:pPr>
              <w:pStyle w:val="TableParagraph"/>
              <w:spacing w:line="226" w:lineRule="exact"/>
              <w:ind w:left="740" w:right="0"/>
              <w:jc w:val="left"/>
              <w:rPr>
                <w:rFonts w:ascii="黑体" w:hAnsi="黑体" w:cs="黑体" w:eastAsia="黑体" w:hint="default"/>
                <w:sz w:val="20"/>
                <w:szCs w:val="20"/>
              </w:rPr>
            </w:pPr>
            <w:r>
              <w:rPr>
                <w:rFonts w:ascii="黑体" w:hAnsi="黑体" w:cs="黑体" w:eastAsia="黑体" w:hint="default"/>
                <w:sz w:val="20"/>
                <w:szCs w:val="20"/>
              </w:rPr>
              <w:t>用友政务</w:t>
            </w:r>
          </w:p>
        </w:tc>
        <w:tc>
          <w:tcPr>
            <w:tcW w:w="1856" w:type="dxa"/>
            <w:tcBorders>
              <w:top w:val="nil" w:sz="6" w:space="0" w:color="auto"/>
              <w:left w:val="nil" w:sz="6" w:space="0" w:color="auto"/>
              <w:bottom w:val="nil" w:sz="6" w:space="0" w:color="auto"/>
              <w:right w:val="nil" w:sz="6" w:space="0" w:color="auto"/>
            </w:tcBorders>
          </w:tcPr>
          <w:p>
            <w:pPr>
              <w:pStyle w:val="TableParagraph"/>
              <w:tabs>
                <w:tab w:pos="1077" w:val="left" w:leader="none"/>
              </w:tabs>
              <w:spacing w:line="240" w:lineRule="auto" w:before="8"/>
              <w:ind w:right="62"/>
              <w:jc w:val="right"/>
              <w:rPr>
                <w:rFonts w:ascii="Arial" w:hAnsi="Arial" w:cs="Arial" w:eastAsia="Arial" w:hint="default"/>
                <w:sz w:val="20"/>
                <w:szCs w:val="20"/>
              </w:rPr>
            </w:pPr>
            <w:r>
              <w:rPr>
                <w:rFonts w:ascii="Arial"/>
                <w:w w:val="100"/>
                <w:sz w:val="20"/>
              </w:rPr>
            </w:r>
            <w:r>
              <w:rPr>
                <w:rFonts w:ascii="Arial"/>
                <w:sz w:val="20"/>
                <w:u w:val="single" w:color="000000"/>
              </w:rPr>
              <w:t>50,000</w:t>
            </w:r>
            <w:r>
              <w:rPr>
                <w:rFonts w:ascii="Arial"/>
                <w:sz w:val="20"/>
              </w:rPr>
              <w:tab/>
            </w:r>
            <w:r>
              <w:rPr>
                <w:rFonts w:ascii="Arial"/>
                <w:sz w:val="20"/>
                <w:u w:val="single" w:color="000000"/>
              </w:rPr>
              <w:t> 91</w:t>
            </w:r>
            <w:r>
              <w:rPr>
                <w:rFonts w:ascii="Arial"/>
                <w:sz w:val="20"/>
              </w:rPr>
            </w:r>
          </w:p>
        </w:tc>
        <w:tc>
          <w:tcPr>
            <w:tcW w:w="417" w:type="dxa"/>
            <w:tcBorders>
              <w:top w:val="nil" w:sz="6" w:space="0" w:color="auto"/>
              <w:left w:val="nil" w:sz="6" w:space="0" w:color="auto"/>
              <w:bottom w:val="nil" w:sz="6" w:space="0" w:color="auto"/>
              <w:right w:val="nil" w:sz="6" w:space="0" w:color="auto"/>
            </w:tcBorders>
          </w:tcPr>
          <w:p>
            <w:pPr/>
          </w:p>
        </w:tc>
        <w:tc>
          <w:tcPr>
            <w:tcW w:w="14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Style w:val="TableParagraph"/>
              <w:tabs>
                <w:tab w:pos="598" w:val="left" w:leader="none"/>
                <w:tab w:pos="1147" w:val="left" w:leader="none"/>
                <w:tab w:pos="1446" w:val="left" w:leader="none"/>
              </w:tabs>
              <w:spacing w:line="240" w:lineRule="auto" w:before="8"/>
              <w:ind w:right="33"/>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tab/>
            </w:r>
            <w:r>
              <w:rPr>
                <w:rFonts w:ascii="Arial"/>
                <w:sz w:val="20"/>
                <w:u w:val="single" w:color="000000"/>
              </w:rPr>
              <w:t> </w:t>
              <w:tab/>
              <w:t>-</w:t>
            </w:r>
            <w:r>
              <w:rPr>
                <w:rFonts w:ascii="Arial"/>
                <w:sz w:val="20"/>
              </w:rPr>
            </w:r>
          </w:p>
        </w:tc>
      </w:tr>
      <w:tr>
        <w:trPr>
          <w:trHeight w:val="369" w:hRule="exact"/>
        </w:trPr>
        <w:tc>
          <w:tcPr>
            <w:tcW w:w="4276" w:type="dxa"/>
            <w:gridSpan w:val="2"/>
            <w:tcBorders>
              <w:top w:val="nil" w:sz="6" w:space="0" w:color="auto"/>
              <w:left w:val="nil" w:sz="6" w:space="0" w:color="auto"/>
              <w:bottom w:val="nil" w:sz="6" w:space="0" w:color="auto"/>
              <w:right w:val="nil" w:sz="6" w:space="0" w:color="auto"/>
            </w:tcBorders>
          </w:tcPr>
          <w:p>
            <w:pPr/>
          </w:p>
        </w:tc>
        <w:tc>
          <w:tcPr>
            <w:tcW w:w="1856" w:type="dxa"/>
            <w:tcBorders>
              <w:top w:val="nil" w:sz="6" w:space="0" w:color="auto"/>
              <w:left w:val="nil" w:sz="6" w:space="0" w:color="auto"/>
              <w:bottom w:val="nil" w:sz="6" w:space="0" w:color="auto"/>
              <w:right w:val="nil" w:sz="6" w:space="0" w:color="auto"/>
            </w:tcBorders>
          </w:tcPr>
          <w:p>
            <w:pPr>
              <w:pStyle w:val="TableParagraph"/>
              <w:tabs>
                <w:tab w:pos="1065" w:val="left" w:leader="none"/>
              </w:tabs>
              <w:spacing w:line="240" w:lineRule="auto" w:before="2"/>
              <w:ind w:right="62"/>
              <w:jc w:val="right"/>
              <w:rPr>
                <w:rFonts w:ascii="Arial" w:hAnsi="Arial" w:cs="Arial" w:eastAsia="Arial" w:hint="default"/>
                <w:sz w:val="20"/>
                <w:szCs w:val="20"/>
              </w:rPr>
            </w:pPr>
            <w:r>
              <w:rPr>
                <w:rFonts w:ascii="Arial"/>
                <w:w w:val="100"/>
                <w:sz w:val="20"/>
              </w:rPr>
            </w:r>
            <w:r>
              <w:rPr>
                <w:rFonts w:ascii="Arial"/>
                <w:sz w:val="20"/>
                <w:u w:val="thick" w:color="000000"/>
              </w:rPr>
              <w:t>55,000</w:t>
            </w:r>
            <w:r>
              <w:rPr>
                <w:rFonts w:ascii="Arial"/>
                <w:sz w:val="20"/>
              </w:rPr>
              <w:tab/>
            </w:r>
            <w:r>
              <w:rPr>
                <w:rFonts w:ascii="Arial"/>
                <w:sz w:val="20"/>
                <w:u w:val="thick" w:color="000000"/>
              </w:rPr>
              <w:t>100</w:t>
            </w:r>
            <w:r>
              <w:rPr>
                <w:rFonts w:ascii="Arial"/>
                <w:sz w:val="20"/>
              </w:rPr>
            </w:r>
          </w:p>
        </w:tc>
        <w:tc>
          <w:tcPr>
            <w:tcW w:w="417" w:type="dxa"/>
            <w:tcBorders>
              <w:top w:val="nil" w:sz="6" w:space="0" w:color="auto"/>
              <w:left w:val="nil" w:sz="6" w:space="0" w:color="auto"/>
              <w:bottom w:val="nil" w:sz="6" w:space="0" w:color="auto"/>
              <w:right w:val="nil" w:sz="6" w:space="0" w:color="auto"/>
            </w:tcBorders>
          </w:tcPr>
          <w:p>
            <w:pPr/>
          </w:p>
        </w:tc>
        <w:tc>
          <w:tcPr>
            <w:tcW w:w="14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Style w:val="TableParagraph"/>
              <w:tabs>
                <w:tab w:pos="598" w:val="left" w:leader="none"/>
                <w:tab w:pos="1147" w:val="left" w:leader="none"/>
                <w:tab w:pos="1446" w:val="left" w:leader="none"/>
              </w:tabs>
              <w:spacing w:line="240" w:lineRule="auto" w:before="2"/>
              <w:ind w:right="3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tab/>
            </w:r>
            <w:r>
              <w:rPr>
                <w:rFonts w:ascii="Arial"/>
                <w:sz w:val="20"/>
                <w:u w:val="thick" w:color="000000"/>
              </w:rPr>
              <w:t> </w:t>
              <w:tab/>
              <w:t>-</w:t>
            </w:r>
            <w:r>
              <w:rPr>
                <w:rFonts w:ascii="Arial"/>
                <w:sz w:val="20"/>
              </w:rPr>
            </w:r>
          </w:p>
        </w:tc>
      </w:tr>
      <w:tr>
        <w:trPr>
          <w:trHeight w:val="490" w:hRule="exact"/>
        </w:trPr>
        <w:tc>
          <w:tcPr>
            <w:tcW w:w="427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9"/>
              <w:ind w:left="749" w:right="0"/>
              <w:jc w:val="left"/>
              <w:rPr>
                <w:rFonts w:ascii="黑体" w:hAnsi="黑体" w:cs="黑体" w:eastAsia="黑体" w:hint="default"/>
                <w:sz w:val="20"/>
                <w:szCs w:val="20"/>
              </w:rPr>
            </w:pPr>
            <w:r>
              <w:rPr>
                <w:rFonts w:ascii="Arial" w:hAnsi="Arial" w:cs="Arial" w:eastAsia="Arial" w:hint="default"/>
                <w:sz w:val="20"/>
                <w:szCs w:val="20"/>
              </w:rPr>
              <w:t>(4)  </w:t>
            </w:r>
            <w:r>
              <w:rPr>
                <w:rFonts w:ascii="Arial" w:hAnsi="Arial" w:cs="Arial" w:eastAsia="Arial" w:hint="default"/>
                <w:spacing w:val="30"/>
                <w:sz w:val="20"/>
                <w:szCs w:val="20"/>
              </w:rPr>
              <w:t> </w:t>
            </w:r>
            <w:r>
              <w:rPr>
                <w:rFonts w:ascii="黑体" w:hAnsi="黑体" w:cs="黑体" w:eastAsia="黑体" w:hint="default"/>
                <w:sz w:val="20"/>
                <w:szCs w:val="20"/>
              </w:rPr>
              <w:t>向关联方购买劳务：</w:t>
            </w:r>
          </w:p>
        </w:tc>
        <w:tc>
          <w:tcPr>
            <w:tcW w:w="1856" w:type="dxa"/>
            <w:tcBorders>
              <w:top w:val="nil" w:sz="6" w:space="0" w:color="auto"/>
              <w:left w:val="nil" w:sz="6" w:space="0" w:color="auto"/>
              <w:bottom w:val="nil" w:sz="6" w:space="0" w:color="auto"/>
              <w:right w:val="nil" w:sz="6" w:space="0" w:color="auto"/>
            </w:tcBorders>
          </w:tcPr>
          <w:p>
            <w:pPr/>
          </w:p>
        </w:tc>
        <w:tc>
          <w:tcPr>
            <w:tcW w:w="417" w:type="dxa"/>
            <w:tcBorders>
              <w:top w:val="nil" w:sz="6" w:space="0" w:color="auto"/>
              <w:left w:val="nil" w:sz="6" w:space="0" w:color="auto"/>
              <w:bottom w:val="nil" w:sz="6" w:space="0" w:color="auto"/>
              <w:right w:val="nil" w:sz="6" w:space="0" w:color="auto"/>
            </w:tcBorders>
          </w:tcPr>
          <w:p>
            <w:pPr/>
          </w:p>
        </w:tc>
        <w:tc>
          <w:tcPr>
            <w:tcW w:w="14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
        </w:tc>
      </w:tr>
      <w:tr>
        <w:trPr>
          <w:trHeight w:val="378" w:hRule="exact"/>
        </w:trPr>
        <w:tc>
          <w:tcPr>
            <w:tcW w:w="4276" w:type="dxa"/>
            <w:gridSpan w:val="2"/>
            <w:tcBorders>
              <w:top w:val="nil" w:sz="6" w:space="0" w:color="auto"/>
              <w:left w:val="nil" w:sz="6" w:space="0" w:color="auto"/>
              <w:bottom w:val="nil" w:sz="6" w:space="0" w:color="auto"/>
              <w:right w:val="nil" w:sz="6" w:space="0" w:color="auto"/>
            </w:tcBorders>
          </w:tcPr>
          <w:p>
            <w:pPr/>
          </w:p>
        </w:tc>
        <w:tc>
          <w:tcPr>
            <w:tcW w:w="1856" w:type="dxa"/>
            <w:tcBorders>
              <w:top w:val="nil" w:sz="6" w:space="0" w:color="auto"/>
              <w:left w:val="nil" w:sz="6" w:space="0" w:color="auto"/>
              <w:bottom w:val="single" w:sz="4" w:space="0" w:color="000000"/>
              <w:right w:val="nil" w:sz="6" w:space="0" w:color="auto"/>
            </w:tcBorders>
          </w:tcPr>
          <w:p>
            <w:pPr>
              <w:pStyle w:val="TableParagraph"/>
              <w:spacing w:line="240" w:lineRule="auto" w:before="78"/>
              <w:ind w:left="664"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417" w:type="dxa"/>
            <w:tcBorders>
              <w:top w:val="nil" w:sz="6" w:space="0" w:color="auto"/>
              <w:left w:val="nil" w:sz="6" w:space="0" w:color="auto"/>
              <w:bottom w:val="nil" w:sz="6" w:space="0" w:color="auto"/>
              <w:right w:val="nil" w:sz="6" w:space="0" w:color="auto"/>
            </w:tcBorders>
          </w:tcPr>
          <w:p>
            <w:pPr/>
          </w:p>
        </w:tc>
        <w:tc>
          <w:tcPr>
            <w:tcW w:w="14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single" w:sz="4" w:space="0" w:color="000000"/>
              <w:right w:val="nil" w:sz="6" w:space="0" w:color="auto"/>
            </w:tcBorders>
          </w:tcPr>
          <w:p>
            <w:pPr>
              <w:pStyle w:val="TableParagraph"/>
              <w:spacing w:line="240" w:lineRule="auto" w:before="78"/>
              <w:ind w:left="658"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r>
      <w:tr>
        <w:trPr>
          <w:trHeight w:val="393" w:hRule="exact"/>
        </w:trPr>
        <w:tc>
          <w:tcPr>
            <w:tcW w:w="4276" w:type="dxa"/>
            <w:gridSpan w:val="2"/>
            <w:tcBorders>
              <w:top w:val="nil" w:sz="6" w:space="0" w:color="auto"/>
              <w:left w:val="nil" w:sz="6" w:space="0" w:color="auto"/>
              <w:bottom w:val="nil" w:sz="6" w:space="0" w:color="auto"/>
              <w:right w:val="nil" w:sz="6" w:space="0" w:color="auto"/>
            </w:tcBorders>
          </w:tcPr>
          <w:p>
            <w:pPr/>
          </w:p>
        </w:tc>
        <w:tc>
          <w:tcPr>
            <w:tcW w:w="1856" w:type="dxa"/>
            <w:tcBorders>
              <w:top w:val="single" w:sz="4" w:space="0" w:color="000000"/>
              <w:left w:val="nil" w:sz="6" w:space="0" w:color="auto"/>
              <w:bottom w:val="nil" w:sz="6" w:space="0" w:color="auto"/>
              <w:right w:val="nil" w:sz="6" w:space="0" w:color="auto"/>
            </w:tcBorders>
          </w:tcPr>
          <w:p>
            <w:pPr>
              <w:pStyle w:val="TableParagraph"/>
              <w:spacing w:line="241" w:lineRule="exact"/>
              <w:ind w:right="1"/>
              <w:jc w:val="right"/>
              <w:rPr>
                <w:rFonts w:ascii="Arial" w:hAnsi="Arial" w:cs="Arial" w:eastAsia="Arial" w:hint="default"/>
                <w:sz w:val="20"/>
                <w:szCs w:val="20"/>
              </w:rPr>
            </w:pPr>
            <w:r>
              <w:rPr>
                <w:rFonts w:ascii="黑体" w:hAnsi="黑体" w:cs="黑体" w:eastAsia="黑体" w:hint="default"/>
                <w:sz w:val="20"/>
                <w:szCs w:val="20"/>
              </w:rPr>
              <w:t>金额</w:t>
            </w:r>
            <w:r>
              <w:rPr>
                <w:rFonts w:ascii="黑体" w:hAnsi="黑体" w:cs="黑体" w:eastAsia="黑体" w:hint="default"/>
                <w:spacing w:val="37"/>
                <w:sz w:val="20"/>
                <w:szCs w:val="20"/>
              </w:rPr>
              <w:t> </w:t>
            </w:r>
            <w:r>
              <w:rPr>
                <w:rFonts w:ascii="黑体" w:hAnsi="黑体" w:cs="黑体" w:eastAsia="黑体" w:hint="default"/>
                <w:sz w:val="20"/>
                <w:szCs w:val="20"/>
              </w:rPr>
              <w:t>比例</w:t>
            </w:r>
            <w:r>
              <w:rPr>
                <w:rFonts w:ascii="Arial" w:hAnsi="Arial" w:cs="Arial" w:eastAsia="Arial" w:hint="default"/>
                <w:sz w:val="20"/>
                <w:szCs w:val="20"/>
              </w:rPr>
              <w:t>(%)</w:t>
            </w:r>
          </w:p>
        </w:tc>
        <w:tc>
          <w:tcPr>
            <w:tcW w:w="417" w:type="dxa"/>
            <w:tcBorders>
              <w:top w:val="nil" w:sz="6" w:space="0" w:color="auto"/>
              <w:left w:val="nil" w:sz="6" w:space="0" w:color="auto"/>
              <w:bottom w:val="nil" w:sz="6" w:space="0" w:color="auto"/>
              <w:right w:val="nil" w:sz="6" w:space="0" w:color="auto"/>
            </w:tcBorders>
          </w:tcPr>
          <w:p>
            <w:pPr/>
          </w:p>
        </w:tc>
        <w:tc>
          <w:tcPr>
            <w:tcW w:w="143" w:type="dxa"/>
            <w:tcBorders>
              <w:top w:val="nil" w:sz="6" w:space="0" w:color="auto"/>
              <w:left w:val="nil" w:sz="6" w:space="0" w:color="auto"/>
              <w:bottom w:val="nil" w:sz="6" w:space="0" w:color="auto"/>
              <w:right w:val="nil" w:sz="6" w:space="0" w:color="auto"/>
            </w:tcBorders>
          </w:tcPr>
          <w:p>
            <w:pPr/>
          </w:p>
        </w:tc>
        <w:tc>
          <w:tcPr>
            <w:tcW w:w="1882" w:type="dxa"/>
            <w:tcBorders>
              <w:top w:val="single" w:sz="4" w:space="0" w:color="000000"/>
              <w:left w:val="nil" w:sz="6" w:space="0" w:color="auto"/>
              <w:bottom w:val="nil" w:sz="6" w:space="0" w:color="auto"/>
              <w:right w:val="nil" w:sz="6" w:space="0" w:color="auto"/>
            </w:tcBorders>
          </w:tcPr>
          <w:p>
            <w:pPr>
              <w:pStyle w:val="TableParagraph"/>
              <w:spacing w:line="241" w:lineRule="exact"/>
              <w:ind w:right="33"/>
              <w:jc w:val="right"/>
              <w:rPr>
                <w:rFonts w:ascii="Arial" w:hAnsi="Arial" w:cs="Arial" w:eastAsia="Arial" w:hint="default"/>
                <w:sz w:val="20"/>
                <w:szCs w:val="20"/>
              </w:rPr>
            </w:pPr>
            <w:r>
              <w:rPr>
                <w:rFonts w:ascii="黑体" w:hAnsi="黑体" w:cs="黑体" w:eastAsia="黑体" w:hint="default"/>
                <w:sz w:val="20"/>
                <w:szCs w:val="20"/>
              </w:rPr>
              <w:t>金额</w:t>
            </w:r>
            <w:r>
              <w:rPr>
                <w:rFonts w:ascii="黑体" w:hAnsi="黑体" w:cs="黑体" w:eastAsia="黑体" w:hint="default"/>
                <w:spacing w:val="35"/>
                <w:sz w:val="20"/>
                <w:szCs w:val="20"/>
              </w:rPr>
              <w:t> </w:t>
            </w:r>
            <w:r>
              <w:rPr>
                <w:rFonts w:ascii="黑体" w:hAnsi="黑体" w:cs="黑体" w:eastAsia="黑体" w:hint="default"/>
                <w:sz w:val="20"/>
                <w:szCs w:val="20"/>
              </w:rPr>
              <w:t>比例</w:t>
            </w:r>
            <w:r>
              <w:rPr>
                <w:rFonts w:ascii="Arial" w:hAnsi="Arial" w:cs="Arial" w:eastAsia="Arial" w:hint="default"/>
                <w:sz w:val="20"/>
                <w:szCs w:val="20"/>
              </w:rPr>
              <w:t>(%)</w:t>
            </w:r>
          </w:p>
        </w:tc>
      </w:tr>
      <w:tr>
        <w:trPr>
          <w:trHeight w:val="501" w:hRule="exact"/>
        </w:trPr>
        <w:tc>
          <w:tcPr>
            <w:tcW w:w="427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1"/>
              <w:ind w:left="740" w:right="0"/>
              <w:jc w:val="left"/>
              <w:rPr>
                <w:rFonts w:ascii="黑体" w:hAnsi="黑体" w:cs="黑体" w:eastAsia="黑体" w:hint="default"/>
                <w:sz w:val="20"/>
                <w:szCs w:val="20"/>
              </w:rPr>
            </w:pPr>
            <w:r>
              <w:rPr>
                <w:rFonts w:ascii="黑体" w:hAnsi="黑体" w:cs="黑体" w:eastAsia="黑体" w:hint="default"/>
                <w:sz w:val="20"/>
                <w:szCs w:val="20"/>
              </w:rPr>
              <w:t>用友华表</w:t>
            </w:r>
          </w:p>
        </w:tc>
        <w:tc>
          <w:tcPr>
            <w:tcW w:w="1856" w:type="dxa"/>
            <w:tcBorders>
              <w:top w:val="nil" w:sz="6" w:space="0" w:color="auto"/>
              <w:left w:val="nil" w:sz="6" w:space="0" w:color="auto"/>
              <w:bottom w:val="nil" w:sz="6" w:space="0" w:color="auto"/>
              <w:right w:val="nil" w:sz="6" w:space="0" w:color="auto"/>
            </w:tcBorders>
          </w:tcPr>
          <w:p>
            <w:pPr>
              <w:pStyle w:val="TableParagraph"/>
              <w:tabs>
                <w:tab w:pos="598" w:val="left" w:leader="none"/>
                <w:tab w:pos="1149" w:val="left" w:leader="none"/>
                <w:tab w:pos="1448" w:val="left" w:leader="none"/>
              </w:tabs>
              <w:spacing w:line="240" w:lineRule="auto" w:before="134"/>
              <w:ind w:right="1"/>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tab/>
            </w:r>
            <w:r>
              <w:rPr>
                <w:rFonts w:ascii="Arial"/>
                <w:sz w:val="20"/>
                <w:u w:val="thick" w:color="000000"/>
              </w:rPr>
              <w:t> </w:t>
              <w:tab/>
              <w:t>-</w:t>
            </w:r>
            <w:r>
              <w:rPr>
                <w:rFonts w:ascii="Arial"/>
                <w:sz w:val="20"/>
              </w:rPr>
            </w:r>
          </w:p>
        </w:tc>
        <w:tc>
          <w:tcPr>
            <w:tcW w:w="417" w:type="dxa"/>
            <w:tcBorders>
              <w:top w:val="nil" w:sz="6" w:space="0" w:color="auto"/>
              <w:left w:val="nil" w:sz="6" w:space="0" w:color="auto"/>
              <w:bottom w:val="nil" w:sz="6" w:space="0" w:color="auto"/>
              <w:right w:val="nil" w:sz="6" w:space="0" w:color="auto"/>
            </w:tcBorders>
          </w:tcPr>
          <w:p>
            <w:pPr/>
          </w:p>
        </w:tc>
        <w:tc>
          <w:tcPr>
            <w:tcW w:w="14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Style w:val="TableParagraph"/>
              <w:tabs>
                <w:tab w:pos="1204" w:val="left" w:leader="none"/>
                <w:tab w:pos="1503" w:val="left" w:leader="none"/>
              </w:tabs>
              <w:spacing w:line="240" w:lineRule="auto" w:before="134"/>
              <w:ind w:right="33"/>
              <w:jc w:val="right"/>
              <w:rPr>
                <w:rFonts w:ascii="Arial" w:hAnsi="Arial" w:cs="Arial" w:eastAsia="Arial" w:hint="default"/>
                <w:sz w:val="20"/>
                <w:szCs w:val="20"/>
              </w:rPr>
            </w:pPr>
            <w:r>
              <w:rPr>
                <w:rFonts w:ascii="Arial"/>
                <w:w w:val="100"/>
                <w:sz w:val="20"/>
              </w:rPr>
            </w:r>
            <w:r>
              <w:rPr>
                <w:rFonts w:ascii="Arial"/>
                <w:spacing w:val="-1"/>
                <w:sz w:val="20"/>
                <w:u w:val="thick" w:color="000000"/>
              </w:rPr>
              <w:t>691,472</w:t>
            </w:r>
            <w:r>
              <w:rPr>
                <w:rFonts w:ascii="Arial"/>
                <w:spacing w:val="-1"/>
                <w:sz w:val="20"/>
              </w:rPr>
              <w:tab/>
            </w:r>
            <w:r>
              <w:rPr>
                <w:rFonts w:ascii="Arial"/>
                <w:spacing w:val="-1"/>
                <w:sz w:val="20"/>
                <w:u w:val="thick" w:color="000000"/>
              </w:rPr>
              <w:t> </w:t>
              <w:tab/>
            </w:r>
            <w:r>
              <w:rPr>
                <w:rFonts w:ascii="Arial"/>
                <w:sz w:val="20"/>
                <w:u w:val="thick" w:color="000000"/>
              </w:rPr>
              <w:t>-</w:t>
            </w:r>
            <w:r>
              <w:rPr>
                <w:rFonts w:ascii="Arial"/>
                <w:sz w:val="20"/>
              </w:rPr>
            </w:r>
          </w:p>
        </w:tc>
      </w:tr>
      <w:tr>
        <w:trPr>
          <w:trHeight w:val="490" w:hRule="exact"/>
        </w:trPr>
        <w:tc>
          <w:tcPr>
            <w:tcW w:w="427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9"/>
              <w:ind w:left="749" w:right="0"/>
              <w:jc w:val="left"/>
              <w:rPr>
                <w:rFonts w:ascii="黑体" w:hAnsi="黑体" w:cs="黑体" w:eastAsia="黑体" w:hint="default"/>
                <w:sz w:val="20"/>
                <w:szCs w:val="20"/>
              </w:rPr>
            </w:pPr>
            <w:r>
              <w:rPr>
                <w:rFonts w:ascii="Arial" w:hAnsi="Arial" w:cs="Arial" w:eastAsia="Arial" w:hint="default"/>
                <w:sz w:val="20"/>
                <w:szCs w:val="20"/>
              </w:rPr>
              <w:t>(5)  </w:t>
            </w:r>
            <w:r>
              <w:rPr>
                <w:rFonts w:ascii="Arial" w:hAnsi="Arial" w:cs="Arial" w:eastAsia="Arial" w:hint="default"/>
                <w:spacing w:val="30"/>
                <w:sz w:val="20"/>
                <w:szCs w:val="20"/>
              </w:rPr>
              <w:t> </w:t>
            </w:r>
            <w:r>
              <w:rPr>
                <w:rFonts w:ascii="黑体" w:hAnsi="黑体" w:cs="黑体" w:eastAsia="黑体" w:hint="default"/>
                <w:sz w:val="20"/>
                <w:szCs w:val="20"/>
              </w:rPr>
              <w:t>向关联方转让股权：</w:t>
            </w:r>
          </w:p>
        </w:tc>
        <w:tc>
          <w:tcPr>
            <w:tcW w:w="1856" w:type="dxa"/>
            <w:tcBorders>
              <w:top w:val="nil" w:sz="6" w:space="0" w:color="auto"/>
              <w:left w:val="nil" w:sz="6" w:space="0" w:color="auto"/>
              <w:bottom w:val="nil" w:sz="6" w:space="0" w:color="auto"/>
              <w:right w:val="nil" w:sz="6" w:space="0" w:color="auto"/>
            </w:tcBorders>
          </w:tcPr>
          <w:p>
            <w:pPr/>
          </w:p>
        </w:tc>
        <w:tc>
          <w:tcPr>
            <w:tcW w:w="417" w:type="dxa"/>
            <w:tcBorders>
              <w:top w:val="nil" w:sz="6" w:space="0" w:color="auto"/>
              <w:left w:val="nil" w:sz="6" w:space="0" w:color="auto"/>
              <w:bottom w:val="nil" w:sz="6" w:space="0" w:color="auto"/>
              <w:right w:val="nil" w:sz="6" w:space="0" w:color="auto"/>
            </w:tcBorders>
          </w:tcPr>
          <w:p>
            <w:pPr/>
          </w:p>
        </w:tc>
        <w:tc>
          <w:tcPr>
            <w:tcW w:w="14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
        </w:tc>
      </w:tr>
      <w:tr>
        <w:trPr>
          <w:trHeight w:val="377" w:hRule="exact"/>
        </w:trPr>
        <w:tc>
          <w:tcPr>
            <w:tcW w:w="427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9"/>
              <w:ind w:left="2769" w:right="0"/>
              <w:jc w:val="left"/>
              <w:rPr>
                <w:rFonts w:ascii="黑体" w:hAnsi="黑体" w:cs="黑体" w:eastAsia="黑体" w:hint="default"/>
                <w:sz w:val="20"/>
                <w:szCs w:val="20"/>
              </w:rPr>
            </w:pPr>
            <w:r>
              <w:rPr>
                <w:rFonts w:ascii="黑体" w:hAnsi="黑体" w:cs="黑体" w:eastAsia="黑体" w:hint="default"/>
                <w:sz w:val="20"/>
                <w:szCs w:val="20"/>
              </w:rPr>
              <w:t>交易类型</w:t>
            </w:r>
          </w:p>
        </w:tc>
        <w:tc>
          <w:tcPr>
            <w:tcW w:w="1856" w:type="dxa"/>
            <w:tcBorders>
              <w:top w:val="nil" w:sz="6" w:space="0" w:color="auto"/>
              <w:left w:val="nil" w:sz="6" w:space="0" w:color="auto"/>
              <w:bottom w:val="single" w:sz="4" w:space="0" w:color="000000"/>
              <w:right w:val="nil" w:sz="6" w:space="0" w:color="auto"/>
            </w:tcBorders>
          </w:tcPr>
          <w:p>
            <w:pPr>
              <w:pStyle w:val="TableParagraph"/>
              <w:spacing w:line="240" w:lineRule="auto" w:before="79"/>
              <w:ind w:left="622"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417" w:type="dxa"/>
            <w:tcBorders>
              <w:top w:val="nil" w:sz="6" w:space="0" w:color="auto"/>
              <w:left w:val="nil" w:sz="6" w:space="0" w:color="auto"/>
              <w:bottom w:val="nil" w:sz="6" w:space="0" w:color="auto"/>
              <w:right w:val="nil" w:sz="6" w:space="0" w:color="auto"/>
            </w:tcBorders>
          </w:tcPr>
          <w:p>
            <w:pPr/>
          </w:p>
        </w:tc>
        <w:tc>
          <w:tcPr>
            <w:tcW w:w="143" w:type="dxa"/>
            <w:tcBorders>
              <w:top w:val="nil" w:sz="6" w:space="0" w:color="auto"/>
              <w:left w:val="nil" w:sz="6" w:space="0" w:color="auto"/>
              <w:bottom w:val="single" w:sz="4" w:space="0" w:color="000000"/>
              <w:right w:val="nil" w:sz="6" w:space="0" w:color="auto"/>
            </w:tcBorders>
          </w:tcPr>
          <w:p>
            <w:pPr/>
          </w:p>
        </w:tc>
        <w:tc>
          <w:tcPr>
            <w:tcW w:w="1882" w:type="dxa"/>
            <w:tcBorders>
              <w:top w:val="nil" w:sz="6" w:space="0" w:color="auto"/>
              <w:left w:val="nil" w:sz="6" w:space="0" w:color="auto"/>
              <w:bottom w:val="single" w:sz="4" w:space="0" w:color="000000"/>
              <w:right w:val="nil" w:sz="6" w:space="0" w:color="auto"/>
            </w:tcBorders>
          </w:tcPr>
          <w:p>
            <w:pPr>
              <w:pStyle w:val="TableParagraph"/>
              <w:spacing w:line="240" w:lineRule="auto" w:before="79"/>
              <w:ind w:left="544"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r>
      <w:tr>
        <w:trPr>
          <w:trHeight w:val="394" w:hRule="exact"/>
        </w:trPr>
        <w:tc>
          <w:tcPr>
            <w:tcW w:w="4276" w:type="dxa"/>
            <w:gridSpan w:val="2"/>
            <w:tcBorders>
              <w:top w:val="nil" w:sz="6" w:space="0" w:color="auto"/>
              <w:left w:val="nil" w:sz="6" w:space="0" w:color="auto"/>
              <w:bottom w:val="nil" w:sz="6" w:space="0" w:color="auto"/>
              <w:right w:val="nil" w:sz="6" w:space="0" w:color="auto"/>
            </w:tcBorders>
          </w:tcPr>
          <w:p>
            <w:pPr/>
          </w:p>
        </w:tc>
        <w:tc>
          <w:tcPr>
            <w:tcW w:w="1856" w:type="dxa"/>
            <w:tcBorders>
              <w:top w:val="single" w:sz="4" w:space="0" w:color="000000"/>
              <w:left w:val="nil" w:sz="6" w:space="0" w:color="auto"/>
              <w:bottom w:val="nil" w:sz="6" w:space="0" w:color="auto"/>
              <w:right w:val="nil" w:sz="6" w:space="0" w:color="auto"/>
            </w:tcBorders>
          </w:tcPr>
          <w:p>
            <w:pPr>
              <w:pStyle w:val="TableParagraph"/>
              <w:spacing w:line="241" w:lineRule="exact"/>
              <w:ind w:right="15"/>
              <w:jc w:val="right"/>
              <w:rPr>
                <w:rFonts w:ascii="Arial" w:hAnsi="Arial" w:cs="Arial" w:eastAsia="Arial" w:hint="default"/>
                <w:sz w:val="20"/>
                <w:szCs w:val="20"/>
              </w:rPr>
            </w:pPr>
            <w:r>
              <w:rPr>
                <w:rFonts w:ascii="黑体" w:hAnsi="黑体" w:cs="黑体" w:eastAsia="黑体" w:hint="default"/>
                <w:sz w:val="20"/>
                <w:szCs w:val="20"/>
              </w:rPr>
              <w:t>金额</w:t>
            </w:r>
            <w:r>
              <w:rPr>
                <w:rFonts w:ascii="黑体" w:hAnsi="黑体" w:cs="黑体" w:eastAsia="黑体" w:hint="default"/>
                <w:spacing w:val="39"/>
                <w:sz w:val="20"/>
                <w:szCs w:val="20"/>
              </w:rPr>
              <w:t> </w:t>
            </w:r>
            <w:r>
              <w:rPr>
                <w:rFonts w:ascii="黑体" w:hAnsi="黑体" w:cs="黑体" w:eastAsia="黑体" w:hint="default"/>
                <w:sz w:val="20"/>
                <w:szCs w:val="20"/>
              </w:rPr>
              <w:t>比例</w:t>
            </w:r>
            <w:r>
              <w:rPr>
                <w:rFonts w:ascii="Arial" w:hAnsi="Arial" w:cs="Arial" w:eastAsia="Arial" w:hint="default"/>
                <w:sz w:val="20"/>
                <w:szCs w:val="20"/>
              </w:rPr>
              <w:t>(%)</w:t>
            </w:r>
          </w:p>
        </w:tc>
        <w:tc>
          <w:tcPr>
            <w:tcW w:w="417" w:type="dxa"/>
            <w:tcBorders>
              <w:top w:val="nil" w:sz="6" w:space="0" w:color="auto"/>
              <w:left w:val="nil" w:sz="6" w:space="0" w:color="auto"/>
              <w:bottom w:val="nil" w:sz="6" w:space="0" w:color="auto"/>
              <w:right w:val="nil" w:sz="6" w:space="0" w:color="auto"/>
            </w:tcBorders>
          </w:tcPr>
          <w:p>
            <w:pPr/>
          </w:p>
        </w:tc>
        <w:tc>
          <w:tcPr>
            <w:tcW w:w="143" w:type="dxa"/>
            <w:tcBorders>
              <w:top w:val="single" w:sz="4" w:space="0" w:color="000000"/>
              <w:left w:val="nil" w:sz="6" w:space="0" w:color="auto"/>
              <w:bottom w:val="nil" w:sz="6" w:space="0" w:color="auto"/>
              <w:right w:val="nil" w:sz="6" w:space="0" w:color="auto"/>
            </w:tcBorders>
          </w:tcPr>
          <w:p>
            <w:pPr/>
          </w:p>
        </w:tc>
        <w:tc>
          <w:tcPr>
            <w:tcW w:w="1882" w:type="dxa"/>
            <w:tcBorders>
              <w:top w:val="single" w:sz="4" w:space="0" w:color="000000"/>
              <w:left w:val="nil" w:sz="6" w:space="0" w:color="auto"/>
              <w:bottom w:val="nil" w:sz="6" w:space="0" w:color="auto"/>
              <w:right w:val="nil" w:sz="6" w:space="0" w:color="auto"/>
            </w:tcBorders>
          </w:tcPr>
          <w:p>
            <w:pPr>
              <w:pStyle w:val="TableParagraph"/>
              <w:spacing w:line="241" w:lineRule="exact"/>
              <w:ind w:right="48"/>
              <w:jc w:val="right"/>
              <w:rPr>
                <w:rFonts w:ascii="Arial" w:hAnsi="Arial" w:cs="Arial" w:eastAsia="Arial" w:hint="default"/>
                <w:sz w:val="20"/>
                <w:szCs w:val="20"/>
              </w:rPr>
            </w:pPr>
            <w:r>
              <w:rPr>
                <w:rFonts w:ascii="黑体" w:hAnsi="黑体" w:cs="黑体" w:eastAsia="黑体" w:hint="default"/>
                <w:sz w:val="20"/>
                <w:szCs w:val="20"/>
              </w:rPr>
              <w:t>金额</w:t>
            </w:r>
            <w:r>
              <w:rPr>
                <w:rFonts w:ascii="黑体" w:hAnsi="黑体" w:cs="黑体" w:eastAsia="黑体" w:hint="default"/>
                <w:spacing w:val="37"/>
                <w:sz w:val="20"/>
                <w:szCs w:val="20"/>
              </w:rPr>
              <w:t> </w:t>
            </w:r>
            <w:r>
              <w:rPr>
                <w:rFonts w:ascii="黑体" w:hAnsi="黑体" w:cs="黑体" w:eastAsia="黑体" w:hint="default"/>
                <w:sz w:val="20"/>
                <w:szCs w:val="20"/>
              </w:rPr>
              <w:t>比例</w:t>
            </w:r>
            <w:r>
              <w:rPr>
                <w:rFonts w:ascii="Arial" w:hAnsi="Arial" w:cs="Arial" w:eastAsia="Arial" w:hint="default"/>
                <w:sz w:val="20"/>
                <w:szCs w:val="20"/>
              </w:rPr>
              <w:t>(%)</w:t>
            </w:r>
          </w:p>
        </w:tc>
      </w:tr>
      <w:tr>
        <w:trPr>
          <w:trHeight w:val="461" w:hRule="exact"/>
        </w:trPr>
        <w:tc>
          <w:tcPr>
            <w:tcW w:w="4276" w:type="dxa"/>
            <w:gridSpan w:val="2"/>
            <w:tcBorders>
              <w:top w:val="nil" w:sz="6" w:space="0" w:color="auto"/>
              <w:left w:val="nil" w:sz="6" w:space="0" w:color="auto"/>
              <w:bottom w:val="nil" w:sz="6" w:space="0" w:color="auto"/>
              <w:right w:val="nil" w:sz="6" w:space="0" w:color="auto"/>
            </w:tcBorders>
          </w:tcPr>
          <w:p>
            <w:pPr>
              <w:pStyle w:val="TableParagraph"/>
              <w:tabs>
                <w:tab w:pos="2769" w:val="left" w:leader="none"/>
              </w:tabs>
              <w:spacing w:line="240" w:lineRule="auto" w:before="91"/>
              <w:ind w:left="740" w:right="0"/>
              <w:jc w:val="left"/>
              <w:rPr>
                <w:rFonts w:ascii="黑体" w:hAnsi="黑体" w:cs="黑体" w:eastAsia="黑体" w:hint="default"/>
                <w:sz w:val="20"/>
                <w:szCs w:val="20"/>
              </w:rPr>
            </w:pPr>
            <w:r>
              <w:rPr>
                <w:rFonts w:ascii="黑体" w:hAnsi="黑体" w:cs="黑体" w:eastAsia="黑体" w:hint="default"/>
                <w:spacing w:val="-1"/>
                <w:sz w:val="20"/>
                <w:szCs w:val="20"/>
              </w:rPr>
              <w:t>用友研究所</w:t>
              <w:tab/>
            </w:r>
            <w:r>
              <w:rPr>
                <w:rFonts w:ascii="黑体" w:hAnsi="黑体" w:cs="黑体" w:eastAsia="黑体" w:hint="default"/>
                <w:sz w:val="20"/>
                <w:szCs w:val="20"/>
              </w:rPr>
              <w:t>转让股权</w:t>
            </w:r>
          </w:p>
        </w:tc>
        <w:tc>
          <w:tcPr>
            <w:tcW w:w="1856" w:type="dxa"/>
            <w:tcBorders>
              <w:top w:val="nil" w:sz="6" w:space="0" w:color="auto"/>
              <w:left w:val="nil" w:sz="6" w:space="0" w:color="auto"/>
              <w:bottom w:val="nil" w:sz="6" w:space="0" w:color="auto"/>
              <w:right w:val="nil" w:sz="6" w:space="0" w:color="auto"/>
            </w:tcBorders>
          </w:tcPr>
          <w:p>
            <w:pPr>
              <w:pStyle w:val="TableParagraph"/>
              <w:tabs>
                <w:tab w:pos="599" w:val="left" w:leader="none"/>
                <w:tab w:pos="1150" w:val="left" w:leader="none"/>
                <w:tab w:pos="1449" w:val="left" w:leader="none"/>
              </w:tabs>
              <w:spacing w:line="240" w:lineRule="auto" w:before="135"/>
              <w:ind w:right="15"/>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tab/>
            </w:r>
            <w:r>
              <w:rPr>
                <w:rFonts w:ascii="Arial"/>
                <w:sz w:val="20"/>
                <w:u w:val="thick" w:color="000000"/>
              </w:rPr>
              <w:t> </w:t>
              <w:tab/>
              <w:t>-</w:t>
            </w:r>
            <w:r>
              <w:rPr>
                <w:rFonts w:ascii="Arial"/>
                <w:sz w:val="20"/>
              </w:rPr>
            </w:r>
          </w:p>
        </w:tc>
        <w:tc>
          <w:tcPr>
            <w:tcW w:w="417" w:type="dxa"/>
            <w:tcBorders>
              <w:top w:val="nil" w:sz="6" w:space="0" w:color="auto"/>
              <w:left w:val="nil" w:sz="6" w:space="0" w:color="auto"/>
              <w:bottom w:val="nil" w:sz="6" w:space="0" w:color="auto"/>
              <w:right w:val="nil" w:sz="6" w:space="0" w:color="auto"/>
            </w:tcBorders>
          </w:tcPr>
          <w:p>
            <w:pPr/>
          </w:p>
        </w:tc>
        <w:tc>
          <w:tcPr>
            <w:tcW w:w="14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Style w:val="TableParagraph"/>
              <w:tabs>
                <w:tab w:pos="1318" w:val="left" w:leader="none"/>
              </w:tabs>
              <w:spacing w:line="240" w:lineRule="auto" w:before="135"/>
              <w:ind w:left="-21" w:right="47"/>
              <w:jc w:val="right"/>
              <w:rPr>
                <w:rFonts w:ascii="Arial" w:hAnsi="Arial" w:cs="Arial" w:eastAsia="Arial" w:hint="default"/>
                <w:sz w:val="20"/>
                <w:szCs w:val="20"/>
              </w:rPr>
            </w:pPr>
            <w:r>
              <w:rPr>
                <w:rFonts w:ascii="Arial"/>
                <w:w w:val="100"/>
                <w:sz w:val="20"/>
              </w:rPr>
            </w:r>
            <w:r>
              <w:rPr>
                <w:rFonts w:ascii="Arial"/>
                <w:spacing w:val="-1"/>
                <w:sz w:val="20"/>
                <w:u w:val="thick" w:color="000000"/>
              </w:rPr>
              <w:t>10,000,000</w:t>
            </w:r>
            <w:r>
              <w:rPr>
                <w:rFonts w:ascii="Arial"/>
                <w:spacing w:val="-1"/>
                <w:sz w:val="20"/>
              </w:rPr>
              <w:tab/>
            </w:r>
            <w:r>
              <w:rPr>
                <w:rFonts w:ascii="Arial"/>
                <w:sz w:val="20"/>
                <w:u w:val="thick" w:color="000000"/>
              </w:rPr>
              <w:t>100%</w:t>
            </w:r>
            <w:r>
              <w:rPr>
                <w:rFonts w:ascii="Arial"/>
                <w:sz w:val="20"/>
              </w:rPr>
            </w:r>
          </w:p>
        </w:tc>
      </w:tr>
    </w:tbl>
    <w:p>
      <w:pPr>
        <w:spacing w:after="0" w:line="240" w:lineRule="auto"/>
        <w:jc w:val="right"/>
        <w:rPr>
          <w:rFonts w:ascii="Arial" w:hAnsi="Arial" w:cs="Arial" w:eastAsia="Arial" w:hint="default"/>
          <w:sz w:val="20"/>
          <w:szCs w:val="20"/>
        </w:rPr>
        <w:sectPr>
          <w:pgSz w:w="11910" w:h="16840"/>
          <w:pgMar w:header="958" w:footer="466" w:top="2560" w:bottom="660" w:left="156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19" w:val="left" w:leader="none"/>
        </w:tabs>
        <w:spacing w:before="0"/>
        <w:ind w:left="141" w:right="1058" w:firstLine="0"/>
        <w:jc w:val="left"/>
        <w:rPr>
          <w:rFonts w:ascii="黑体" w:hAnsi="黑体" w:cs="黑体" w:eastAsia="黑体" w:hint="default"/>
          <w:sz w:val="20"/>
          <w:szCs w:val="20"/>
        </w:rPr>
      </w:pPr>
      <w:r>
        <w:rPr>
          <w:rFonts w:ascii="Arial" w:hAnsi="Arial" w:cs="Arial" w:eastAsia="Arial" w:hint="default"/>
          <w:b/>
          <w:bCs/>
          <w:spacing w:val="-1"/>
          <w:sz w:val="20"/>
          <w:szCs w:val="20"/>
        </w:rPr>
        <w:t>39.</w:t>
        <w:tab/>
      </w:r>
      <w:r>
        <w:rPr>
          <w:rFonts w:ascii="黑体" w:hAnsi="黑体" w:cs="黑体" w:eastAsia="黑体" w:hint="default"/>
          <w:b/>
          <w:bCs/>
          <w:sz w:val="20"/>
          <w:szCs w:val="20"/>
        </w:rPr>
        <w:t>本公司与关联方之主要交易（续）</w:t>
      </w:r>
      <w:r>
        <w:rPr>
          <w:rFonts w:ascii="黑体" w:hAnsi="黑体" w:cs="黑体" w:eastAsia="黑体" w:hint="default"/>
          <w:sz w:val="20"/>
          <w:szCs w:val="20"/>
        </w:rPr>
      </w:r>
    </w:p>
    <w:p>
      <w:pPr>
        <w:spacing w:line="240" w:lineRule="auto" w:before="4"/>
        <w:rPr>
          <w:rFonts w:ascii="黑体" w:hAnsi="黑体" w:cs="黑体" w:eastAsia="黑体" w:hint="default"/>
          <w:b/>
          <w:bCs/>
          <w:sz w:val="16"/>
          <w:szCs w:val="16"/>
        </w:rPr>
      </w:pPr>
    </w:p>
    <w:p>
      <w:pPr>
        <w:pStyle w:val="BodyText"/>
        <w:spacing w:line="240" w:lineRule="auto"/>
        <w:ind w:left="855" w:right="1058"/>
        <w:jc w:val="left"/>
      </w:pPr>
      <w:r>
        <w:rPr>
          <w:rFonts w:ascii="Arial" w:hAnsi="Arial" w:cs="Arial" w:eastAsia="Arial" w:hint="default"/>
        </w:rPr>
        <w:t>(6)  </w:t>
      </w:r>
      <w:r>
        <w:rPr>
          <w:rFonts w:ascii="Arial" w:hAnsi="Arial" w:cs="Arial" w:eastAsia="Arial" w:hint="default"/>
          <w:spacing w:val="31"/>
        </w:rPr>
        <w:t> </w:t>
      </w:r>
      <w:r>
        <w:rPr/>
        <w:t>关联方租赁</w:t>
      </w:r>
    </w:p>
    <w:p>
      <w:pPr>
        <w:spacing w:line="240" w:lineRule="auto" w:before="5"/>
        <w:rPr>
          <w:rFonts w:ascii="黑体" w:hAnsi="黑体" w:cs="黑体" w:eastAsia="黑体" w:hint="default"/>
          <w:sz w:val="13"/>
          <w:szCs w:val="13"/>
        </w:rPr>
      </w:pPr>
    </w:p>
    <w:tbl>
      <w:tblPr>
        <w:tblW w:w="0" w:type="auto"/>
        <w:jc w:val="left"/>
        <w:tblInd w:w="812" w:type="dxa"/>
        <w:tblLayout w:type="fixed"/>
        <w:tblCellMar>
          <w:top w:w="0" w:type="dxa"/>
          <w:left w:w="0" w:type="dxa"/>
          <w:bottom w:w="0" w:type="dxa"/>
          <w:right w:w="0" w:type="dxa"/>
        </w:tblCellMar>
        <w:tblLook w:val="01E0"/>
      </w:tblPr>
      <w:tblGrid>
        <w:gridCol w:w="938"/>
        <w:gridCol w:w="974"/>
        <w:gridCol w:w="1552"/>
        <w:gridCol w:w="1003"/>
        <w:gridCol w:w="1389"/>
        <w:gridCol w:w="1303"/>
        <w:gridCol w:w="855"/>
      </w:tblGrid>
      <w:tr>
        <w:trPr>
          <w:trHeight w:val="831"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3"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6"/>
                <w:szCs w:val="16"/>
              </w:rPr>
            </w:pPr>
          </w:p>
          <w:p>
            <w:pPr>
              <w:pStyle w:val="TableParagraph"/>
              <w:spacing w:line="240" w:lineRule="auto"/>
              <w:ind w:right="0"/>
              <w:jc w:val="left"/>
              <w:rPr>
                <w:rFonts w:ascii="黑体" w:hAnsi="黑体" w:cs="黑体" w:eastAsia="黑体" w:hint="default"/>
                <w:sz w:val="16"/>
                <w:szCs w:val="16"/>
              </w:rPr>
            </w:pPr>
          </w:p>
          <w:p>
            <w:pPr>
              <w:pStyle w:val="TableParagraph"/>
              <w:spacing w:line="240" w:lineRule="auto" w:before="11"/>
              <w:ind w:right="0"/>
              <w:jc w:val="left"/>
              <w:rPr>
                <w:rFonts w:ascii="黑体" w:hAnsi="黑体" w:cs="黑体" w:eastAsia="黑体" w:hint="default"/>
                <w:sz w:val="11"/>
                <w:szCs w:val="11"/>
              </w:rPr>
            </w:pPr>
          </w:p>
          <w:p>
            <w:pPr>
              <w:pStyle w:val="TableParagraph"/>
              <w:spacing w:line="240" w:lineRule="auto"/>
              <w:ind w:right="54"/>
              <w:jc w:val="right"/>
              <w:rPr>
                <w:rFonts w:ascii="黑体" w:hAnsi="黑体" w:cs="黑体" w:eastAsia="黑体" w:hint="default"/>
                <w:sz w:val="16"/>
                <w:szCs w:val="16"/>
              </w:rPr>
            </w:pPr>
            <w:r>
              <w:rPr>
                <w:rFonts w:ascii="黑体" w:hAnsi="黑体" w:cs="黑体" w:eastAsia="黑体" w:hint="default"/>
                <w:w w:val="95"/>
                <w:sz w:val="16"/>
                <w:szCs w:val="16"/>
              </w:rPr>
              <w:t>租赁方</w:t>
            </w:r>
            <w:r>
              <w:rPr>
                <w:rFonts w:ascii="黑体" w:hAnsi="黑体" w:cs="黑体" w:eastAsia="黑体" w:hint="default"/>
                <w:sz w:val="16"/>
                <w:szCs w:val="16"/>
              </w:rPr>
            </w:r>
          </w:p>
        </w:tc>
        <w:tc>
          <w:tcPr>
            <w:tcW w:w="2554"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6"/>
                <w:szCs w:val="16"/>
              </w:rPr>
            </w:pPr>
          </w:p>
          <w:p>
            <w:pPr>
              <w:pStyle w:val="TableParagraph"/>
              <w:spacing w:line="240" w:lineRule="auto"/>
              <w:ind w:right="0"/>
              <w:jc w:val="left"/>
              <w:rPr>
                <w:rFonts w:ascii="黑体" w:hAnsi="黑体" w:cs="黑体" w:eastAsia="黑体" w:hint="default"/>
                <w:sz w:val="16"/>
                <w:szCs w:val="16"/>
              </w:rPr>
            </w:pPr>
          </w:p>
          <w:p>
            <w:pPr>
              <w:pStyle w:val="TableParagraph"/>
              <w:spacing w:line="240" w:lineRule="auto" w:before="11"/>
              <w:ind w:right="0"/>
              <w:jc w:val="left"/>
              <w:rPr>
                <w:rFonts w:ascii="黑体" w:hAnsi="黑体" w:cs="黑体" w:eastAsia="黑体" w:hint="default"/>
                <w:sz w:val="11"/>
                <w:szCs w:val="11"/>
              </w:rPr>
            </w:pPr>
          </w:p>
          <w:p>
            <w:pPr>
              <w:pStyle w:val="TableParagraph"/>
              <w:tabs>
                <w:tab w:pos="1706" w:val="left" w:leader="none"/>
              </w:tabs>
              <w:spacing w:line="240" w:lineRule="auto"/>
              <w:ind w:left="865" w:right="0"/>
              <w:jc w:val="left"/>
              <w:rPr>
                <w:rFonts w:ascii="黑体" w:hAnsi="黑体" w:cs="黑体" w:eastAsia="黑体" w:hint="default"/>
                <w:sz w:val="16"/>
                <w:szCs w:val="16"/>
              </w:rPr>
            </w:pPr>
            <w:r>
              <w:rPr>
                <w:rFonts w:ascii="黑体" w:hAnsi="黑体" w:cs="黑体" w:eastAsia="黑体" w:hint="default"/>
                <w:w w:val="95"/>
                <w:sz w:val="16"/>
                <w:szCs w:val="16"/>
              </w:rPr>
              <w:t>租赁资产</w:t>
              <w:tab/>
            </w:r>
            <w:r>
              <w:rPr>
                <w:rFonts w:ascii="黑体" w:hAnsi="黑体" w:cs="黑体" w:eastAsia="黑体" w:hint="default"/>
                <w:sz w:val="16"/>
                <w:szCs w:val="16"/>
              </w:rPr>
              <w:t>租赁资产</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6"/>
                <w:szCs w:val="16"/>
              </w:rPr>
            </w:pPr>
          </w:p>
          <w:p>
            <w:pPr>
              <w:pStyle w:val="TableParagraph"/>
              <w:spacing w:line="240" w:lineRule="auto"/>
              <w:ind w:right="0"/>
              <w:jc w:val="left"/>
              <w:rPr>
                <w:rFonts w:ascii="黑体" w:hAnsi="黑体" w:cs="黑体" w:eastAsia="黑体" w:hint="default"/>
                <w:sz w:val="16"/>
                <w:szCs w:val="16"/>
              </w:rPr>
            </w:pPr>
          </w:p>
          <w:p>
            <w:pPr>
              <w:pStyle w:val="TableParagraph"/>
              <w:spacing w:line="240" w:lineRule="auto" w:before="11"/>
              <w:ind w:right="0"/>
              <w:jc w:val="left"/>
              <w:rPr>
                <w:rFonts w:ascii="黑体" w:hAnsi="黑体" w:cs="黑体" w:eastAsia="黑体" w:hint="default"/>
                <w:sz w:val="11"/>
                <w:szCs w:val="11"/>
              </w:rPr>
            </w:pPr>
          </w:p>
          <w:p>
            <w:pPr>
              <w:pStyle w:val="TableParagraph"/>
              <w:spacing w:line="240" w:lineRule="auto"/>
              <w:ind w:right="131"/>
              <w:jc w:val="right"/>
              <w:rPr>
                <w:rFonts w:ascii="黑体" w:hAnsi="黑体" w:cs="黑体" w:eastAsia="黑体" w:hint="default"/>
                <w:sz w:val="16"/>
                <w:szCs w:val="16"/>
              </w:rPr>
            </w:pPr>
            <w:r>
              <w:rPr>
                <w:rFonts w:ascii="黑体" w:hAnsi="黑体" w:cs="黑体" w:eastAsia="黑体" w:hint="default"/>
                <w:w w:val="95"/>
                <w:sz w:val="16"/>
                <w:szCs w:val="16"/>
              </w:rPr>
              <w:t>租赁</w:t>
            </w:r>
            <w:r>
              <w:rPr>
                <w:rFonts w:ascii="黑体" w:hAnsi="黑体" w:cs="黑体" w:eastAsia="黑体" w:hint="default"/>
                <w:sz w:val="16"/>
                <w:szCs w:val="16"/>
              </w:rPr>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6"/>
                <w:szCs w:val="16"/>
              </w:rPr>
            </w:pPr>
          </w:p>
          <w:p>
            <w:pPr>
              <w:pStyle w:val="TableParagraph"/>
              <w:spacing w:line="240" w:lineRule="auto"/>
              <w:ind w:right="0"/>
              <w:jc w:val="left"/>
              <w:rPr>
                <w:rFonts w:ascii="黑体" w:hAnsi="黑体" w:cs="黑体" w:eastAsia="黑体" w:hint="default"/>
                <w:sz w:val="16"/>
                <w:szCs w:val="16"/>
              </w:rPr>
            </w:pPr>
          </w:p>
          <w:p>
            <w:pPr>
              <w:pStyle w:val="TableParagraph"/>
              <w:spacing w:line="240" w:lineRule="auto" w:before="11"/>
              <w:ind w:right="0"/>
              <w:jc w:val="left"/>
              <w:rPr>
                <w:rFonts w:ascii="黑体" w:hAnsi="黑体" w:cs="黑体" w:eastAsia="黑体" w:hint="default"/>
                <w:sz w:val="11"/>
                <w:szCs w:val="11"/>
              </w:rPr>
            </w:pPr>
          </w:p>
          <w:p>
            <w:pPr>
              <w:pStyle w:val="TableParagraph"/>
              <w:spacing w:line="240" w:lineRule="auto"/>
              <w:ind w:right="104"/>
              <w:jc w:val="right"/>
              <w:rPr>
                <w:rFonts w:ascii="黑体" w:hAnsi="黑体" w:cs="黑体" w:eastAsia="黑体" w:hint="default"/>
                <w:sz w:val="16"/>
                <w:szCs w:val="16"/>
              </w:rPr>
            </w:pPr>
            <w:r>
              <w:rPr>
                <w:rFonts w:ascii="黑体" w:hAnsi="黑体" w:cs="黑体" w:eastAsia="黑体" w:hint="default"/>
                <w:w w:val="95"/>
                <w:sz w:val="16"/>
                <w:szCs w:val="16"/>
              </w:rPr>
              <w:t>租赁</w:t>
            </w:r>
            <w:r>
              <w:rPr>
                <w:rFonts w:ascii="黑体" w:hAnsi="黑体" w:cs="黑体" w:eastAsia="黑体" w:hint="default"/>
                <w:sz w:val="16"/>
                <w:szCs w:val="16"/>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6"/>
                <w:szCs w:val="16"/>
              </w:rPr>
            </w:pPr>
          </w:p>
          <w:p>
            <w:pPr>
              <w:pStyle w:val="TableParagraph"/>
              <w:spacing w:line="240" w:lineRule="auto"/>
              <w:ind w:right="0"/>
              <w:jc w:val="left"/>
              <w:rPr>
                <w:rFonts w:ascii="黑体" w:hAnsi="黑体" w:cs="黑体" w:eastAsia="黑体" w:hint="default"/>
                <w:sz w:val="16"/>
                <w:szCs w:val="16"/>
              </w:rPr>
            </w:pPr>
          </w:p>
          <w:p>
            <w:pPr>
              <w:pStyle w:val="TableParagraph"/>
              <w:spacing w:line="240" w:lineRule="auto" w:before="11"/>
              <w:ind w:right="0"/>
              <w:jc w:val="left"/>
              <w:rPr>
                <w:rFonts w:ascii="黑体" w:hAnsi="黑体" w:cs="黑体" w:eastAsia="黑体" w:hint="default"/>
                <w:sz w:val="11"/>
                <w:szCs w:val="11"/>
              </w:rPr>
            </w:pPr>
          </w:p>
          <w:p>
            <w:pPr>
              <w:pStyle w:val="TableParagraph"/>
              <w:spacing w:line="240" w:lineRule="auto"/>
              <w:ind w:right="52"/>
              <w:jc w:val="right"/>
              <w:rPr>
                <w:rFonts w:ascii="黑体" w:hAnsi="黑体" w:cs="黑体" w:eastAsia="黑体" w:hint="default"/>
                <w:sz w:val="16"/>
                <w:szCs w:val="16"/>
              </w:rPr>
            </w:pPr>
            <w:r>
              <w:rPr>
                <w:rFonts w:ascii="黑体" w:hAnsi="黑体" w:cs="黑体" w:eastAsia="黑体" w:hint="default"/>
                <w:w w:val="95"/>
                <w:sz w:val="16"/>
                <w:szCs w:val="16"/>
              </w:rPr>
              <w:t>租赁</w:t>
            </w:r>
            <w:r>
              <w:rPr>
                <w:rFonts w:ascii="黑体" w:hAnsi="黑体" w:cs="黑体" w:eastAsia="黑体" w:hint="default"/>
                <w:sz w:val="16"/>
                <w:szCs w:val="16"/>
              </w:rPr>
            </w:r>
          </w:p>
        </w:tc>
      </w:tr>
      <w:tr>
        <w:trPr>
          <w:trHeight w:val="350" w:hRule="exact"/>
        </w:trPr>
        <w:tc>
          <w:tcPr>
            <w:tcW w:w="938"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Style w:val="TableParagraph"/>
              <w:spacing w:line="207" w:lineRule="exact"/>
              <w:ind w:right="54"/>
              <w:jc w:val="right"/>
              <w:rPr>
                <w:rFonts w:ascii="黑体" w:hAnsi="黑体" w:cs="黑体" w:eastAsia="黑体" w:hint="default"/>
                <w:sz w:val="16"/>
                <w:szCs w:val="16"/>
              </w:rPr>
            </w:pPr>
            <w:r>
              <w:rPr>
                <w:rFonts w:ascii="黑体" w:hAnsi="黑体" w:cs="黑体" w:eastAsia="黑体" w:hint="default"/>
                <w:w w:val="95"/>
                <w:sz w:val="16"/>
                <w:szCs w:val="16"/>
              </w:rPr>
              <w:t>名称</w:t>
            </w:r>
            <w:r>
              <w:rPr>
                <w:rFonts w:ascii="黑体" w:hAnsi="黑体" w:cs="黑体" w:eastAsia="黑体" w:hint="default"/>
                <w:sz w:val="16"/>
                <w:szCs w:val="16"/>
              </w:rPr>
            </w:r>
          </w:p>
        </w:tc>
        <w:tc>
          <w:tcPr>
            <w:tcW w:w="2554" w:type="dxa"/>
            <w:gridSpan w:val="2"/>
            <w:tcBorders>
              <w:top w:val="nil" w:sz="6" w:space="0" w:color="auto"/>
              <w:left w:val="nil" w:sz="6" w:space="0" w:color="auto"/>
              <w:bottom w:val="nil" w:sz="6" w:space="0" w:color="auto"/>
              <w:right w:val="nil" w:sz="6" w:space="0" w:color="auto"/>
            </w:tcBorders>
          </w:tcPr>
          <w:p>
            <w:pPr>
              <w:pStyle w:val="TableParagraph"/>
              <w:tabs>
                <w:tab w:pos="1706" w:val="left" w:leader="none"/>
              </w:tabs>
              <w:spacing w:line="207" w:lineRule="exact"/>
              <w:ind w:left="1184" w:right="0"/>
              <w:jc w:val="left"/>
              <w:rPr>
                <w:rFonts w:ascii="黑体" w:hAnsi="黑体" w:cs="黑体" w:eastAsia="黑体" w:hint="default"/>
                <w:sz w:val="16"/>
                <w:szCs w:val="16"/>
              </w:rPr>
            </w:pPr>
            <w:r>
              <w:rPr>
                <w:rFonts w:ascii="黑体" w:hAnsi="黑体" w:cs="黑体" w:eastAsia="黑体" w:hint="default"/>
                <w:w w:val="95"/>
                <w:sz w:val="16"/>
                <w:szCs w:val="16"/>
              </w:rPr>
              <w:t>情况</w:t>
              <w:tab/>
            </w:r>
            <w:r>
              <w:rPr>
                <w:rFonts w:ascii="黑体" w:hAnsi="黑体" w:cs="黑体" w:eastAsia="黑体" w:hint="default"/>
                <w:sz w:val="16"/>
                <w:szCs w:val="16"/>
              </w:rPr>
              <w:t>涉及金额</w:t>
            </w:r>
          </w:p>
        </w:tc>
        <w:tc>
          <w:tcPr>
            <w:tcW w:w="1389" w:type="dxa"/>
            <w:tcBorders>
              <w:top w:val="nil" w:sz="6" w:space="0" w:color="auto"/>
              <w:left w:val="nil" w:sz="6" w:space="0" w:color="auto"/>
              <w:bottom w:val="nil" w:sz="6" w:space="0" w:color="auto"/>
              <w:right w:val="nil" w:sz="6" w:space="0" w:color="auto"/>
            </w:tcBorders>
          </w:tcPr>
          <w:p>
            <w:pPr>
              <w:pStyle w:val="TableParagraph"/>
              <w:spacing w:line="207" w:lineRule="exact"/>
              <w:ind w:right="131"/>
              <w:jc w:val="right"/>
              <w:rPr>
                <w:rFonts w:ascii="黑体" w:hAnsi="黑体" w:cs="黑体" w:eastAsia="黑体" w:hint="default"/>
                <w:sz w:val="16"/>
                <w:szCs w:val="16"/>
              </w:rPr>
            </w:pPr>
            <w:r>
              <w:rPr>
                <w:rFonts w:ascii="黑体" w:hAnsi="黑体" w:cs="黑体" w:eastAsia="黑体" w:hint="default"/>
                <w:w w:val="95"/>
                <w:sz w:val="16"/>
                <w:szCs w:val="16"/>
              </w:rPr>
              <w:t>起始日</w:t>
            </w:r>
            <w:r>
              <w:rPr>
                <w:rFonts w:ascii="黑体" w:hAnsi="黑体" w:cs="黑体" w:eastAsia="黑体" w:hint="default"/>
                <w:sz w:val="16"/>
                <w:szCs w:val="16"/>
              </w:rPr>
            </w:r>
          </w:p>
        </w:tc>
        <w:tc>
          <w:tcPr>
            <w:tcW w:w="1303" w:type="dxa"/>
            <w:tcBorders>
              <w:top w:val="nil" w:sz="6" w:space="0" w:color="auto"/>
              <w:left w:val="nil" w:sz="6" w:space="0" w:color="auto"/>
              <w:bottom w:val="nil" w:sz="6" w:space="0" w:color="auto"/>
              <w:right w:val="nil" w:sz="6" w:space="0" w:color="auto"/>
            </w:tcBorders>
          </w:tcPr>
          <w:p>
            <w:pPr>
              <w:pStyle w:val="TableParagraph"/>
              <w:spacing w:line="207" w:lineRule="exact"/>
              <w:ind w:right="104"/>
              <w:jc w:val="right"/>
              <w:rPr>
                <w:rFonts w:ascii="黑体" w:hAnsi="黑体" w:cs="黑体" w:eastAsia="黑体" w:hint="default"/>
                <w:sz w:val="16"/>
                <w:szCs w:val="16"/>
              </w:rPr>
            </w:pPr>
            <w:r>
              <w:rPr>
                <w:rFonts w:ascii="黑体" w:hAnsi="黑体" w:cs="黑体" w:eastAsia="黑体" w:hint="default"/>
                <w:w w:val="95"/>
                <w:sz w:val="16"/>
                <w:szCs w:val="16"/>
              </w:rPr>
              <w:t>终止日</w:t>
            </w:r>
            <w:r>
              <w:rPr>
                <w:rFonts w:ascii="黑体" w:hAnsi="黑体" w:cs="黑体" w:eastAsia="黑体" w:hint="default"/>
                <w:sz w:val="16"/>
                <w:szCs w:val="16"/>
              </w:rPr>
            </w:r>
          </w:p>
        </w:tc>
        <w:tc>
          <w:tcPr>
            <w:tcW w:w="855" w:type="dxa"/>
            <w:tcBorders>
              <w:top w:val="nil" w:sz="6" w:space="0" w:color="auto"/>
              <w:left w:val="nil" w:sz="6" w:space="0" w:color="auto"/>
              <w:bottom w:val="nil" w:sz="6" w:space="0" w:color="auto"/>
              <w:right w:val="nil" w:sz="6" w:space="0" w:color="auto"/>
            </w:tcBorders>
          </w:tcPr>
          <w:p>
            <w:pPr>
              <w:pStyle w:val="TableParagraph"/>
              <w:spacing w:line="207" w:lineRule="exact"/>
              <w:ind w:right="52"/>
              <w:jc w:val="right"/>
              <w:rPr>
                <w:rFonts w:ascii="黑体" w:hAnsi="黑体" w:cs="黑体" w:eastAsia="黑体" w:hint="default"/>
                <w:sz w:val="16"/>
                <w:szCs w:val="16"/>
              </w:rPr>
            </w:pPr>
            <w:r>
              <w:rPr>
                <w:rFonts w:ascii="黑体" w:hAnsi="黑体" w:cs="黑体" w:eastAsia="黑体" w:hint="default"/>
                <w:w w:val="95"/>
                <w:sz w:val="16"/>
                <w:szCs w:val="16"/>
              </w:rPr>
              <w:t>收益</w:t>
            </w:r>
            <w:r>
              <w:rPr>
                <w:rFonts w:ascii="黑体" w:hAnsi="黑体" w:cs="黑体" w:eastAsia="黑体" w:hint="default"/>
                <w:sz w:val="16"/>
                <w:szCs w:val="16"/>
              </w:rPr>
            </w:r>
          </w:p>
        </w:tc>
      </w:tr>
      <w:tr>
        <w:trPr>
          <w:trHeight w:val="326"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5" w:right="0"/>
              <w:jc w:val="left"/>
              <w:rPr>
                <w:rFonts w:ascii="黑体" w:hAnsi="黑体" w:cs="黑体" w:eastAsia="黑体" w:hint="default"/>
                <w:sz w:val="16"/>
                <w:szCs w:val="16"/>
              </w:rPr>
            </w:pPr>
            <w:r>
              <w:rPr>
                <w:rFonts w:ascii="黑体" w:hAnsi="黑体" w:cs="黑体" w:eastAsia="黑体" w:hint="default"/>
                <w:sz w:val="16"/>
                <w:szCs w:val="16"/>
              </w:rPr>
              <w:t>用友政务</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03" w:right="0"/>
              <w:jc w:val="left"/>
              <w:rPr>
                <w:rFonts w:ascii="黑体" w:hAnsi="黑体" w:cs="黑体" w:eastAsia="黑体" w:hint="default"/>
                <w:sz w:val="16"/>
                <w:szCs w:val="16"/>
              </w:rPr>
            </w:pPr>
            <w:r>
              <w:rPr>
                <w:rFonts w:ascii="黑体" w:hAnsi="黑体" w:cs="黑体" w:eastAsia="黑体" w:hint="default"/>
                <w:sz w:val="16"/>
                <w:szCs w:val="16"/>
              </w:rPr>
              <w:t>用友股份</w:t>
            </w:r>
          </w:p>
        </w:tc>
        <w:tc>
          <w:tcPr>
            <w:tcW w:w="255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5"/>
              <w:ind w:left="46" w:right="0"/>
              <w:jc w:val="left"/>
              <w:rPr>
                <w:rFonts w:ascii="Arial" w:hAnsi="Arial" w:cs="Arial" w:eastAsia="Arial" w:hint="default"/>
                <w:sz w:val="16"/>
                <w:szCs w:val="16"/>
              </w:rPr>
            </w:pPr>
            <w:r>
              <w:rPr>
                <w:rFonts w:ascii="黑体" w:hAnsi="黑体" w:cs="黑体" w:eastAsia="黑体" w:hint="default"/>
                <w:position w:val="-1"/>
                <w:sz w:val="16"/>
                <w:szCs w:val="16"/>
              </w:rPr>
              <w:t>用友软件园</w:t>
            </w:r>
            <w:r>
              <w:rPr>
                <w:rFonts w:ascii="Arial" w:hAnsi="Arial" w:cs="Arial" w:eastAsia="Arial" w:hint="default"/>
                <w:position w:val="-1"/>
                <w:sz w:val="16"/>
                <w:szCs w:val="16"/>
              </w:rPr>
              <w:t>1</w:t>
            </w:r>
            <w:r>
              <w:rPr>
                <w:rFonts w:ascii="黑体" w:hAnsi="黑体" w:cs="黑体" w:eastAsia="黑体" w:hint="default"/>
                <w:position w:val="-1"/>
                <w:sz w:val="16"/>
                <w:szCs w:val="16"/>
              </w:rPr>
              <w:t>号楼</w:t>
            </w:r>
            <w:r>
              <w:rPr>
                <w:rFonts w:ascii="Arial" w:hAnsi="Arial" w:cs="Arial" w:eastAsia="Arial" w:hint="default"/>
                <w:position w:val="-1"/>
                <w:sz w:val="16"/>
                <w:szCs w:val="16"/>
              </w:rPr>
              <w:t>2</w:t>
            </w:r>
            <w:r>
              <w:rPr>
                <w:rFonts w:ascii="黑体" w:hAnsi="黑体" w:cs="黑体" w:eastAsia="黑体" w:hint="default"/>
                <w:position w:val="-1"/>
                <w:sz w:val="16"/>
                <w:szCs w:val="16"/>
              </w:rPr>
              <w:t>层</w:t>
            </w:r>
            <w:r>
              <w:rPr>
                <w:rFonts w:ascii="黑体" w:hAnsi="黑体" w:cs="黑体" w:eastAsia="黑体" w:hint="default"/>
                <w:spacing w:val="-42"/>
                <w:position w:val="-1"/>
                <w:sz w:val="16"/>
                <w:szCs w:val="16"/>
              </w:rPr>
              <w:t> </w:t>
            </w:r>
            <w:r>
              <w:rPr>
                <w:rFonts w:ascii="Arial" w:hAnsi="Arial" w:cs="Arial" w:eastAsia="Arial" w:hint="default"/>
                <w:sz w:val="16"/>
                <w:szCs w:val="16"/>
              </w:rPr>
              <w:t>11,598,139</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1"/>
              <w:jc w:val="right"/>
              <w:rPr>
                <w:rFonts w:ascii="黑体" w:hAnsi="黑体" w:cs="黑体" w:eastAsia="黑体" w:hint="default"/>
                <w:sz w:val="16"/>
                <w:szCs w:val="16"/>
              </w:rPr>
            </w:pPr>
            <w:r>
              <w:rPr>
                <w:rFonts w:ascii="Arial" w:hAnsi="Arial" w:cs="Arial" w:eastAsia="Arial" w:hint="default"/>
                <w:w w:val="95"/>
                <w:sz w:val="16"/>
                <w:szCs w:val="16"/>
              </w:rPr>
              <w:t>2008</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22</w:t>
            </w:r>
            <w:r>
              <w:rPr>
                <w:rFonts w:ascii="黑体" w:hAnsi="黑体" w:cs="黑体" w:eastAsia="黑体" w:hint="default"/>
                <w:w w:val="95"/>
                <w:sz w:val="16"/>
                <w:szCs w:val="16"/>
              </w:rPr>
              <w:t>日</w:t>
            </w:r>
            <w:r>
              <w:rPr>
                <w:rFonts w:ascii="黑体" w:hAnsi="黑体" w:cs="黑体" w:eastAsia="黑体" w:hint="default"/>
                <w:sz w:val="16"/>
                <w:szCs w:val="16"/>
              </w:rPr>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6"/>
              <w:jc w:val="right"/>
              <w:rPr>
                <w:rFonts w:ascii="黑体" w:hAnsi="黑体" w:cs="黑体" w:eastAsia="黑体" w:hint="default"/>
                <w:sz w:val="16"/>
                <w:szCs w:val="16"/>
              </w:rPr>
            </w:pPr>
            <w:r>
              <w:rPr>
                <w:rFonts w:ascii="Arial" w:hAnsi="Arial" w:cs="Arial" w:eastAsia="Arial" w:hint="default"/>
                <w:w w:val="95"/>
                <w:sz w:val="16"/>
                <w:szCs w:val="16"/>
              </w:rPr>
              <w:t>2010</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21</w:t>
            </w:r>
            <w:r>
              <w:rPr>
                <w:rFonts w:ascii="黑体" w:hAnsi="黑体" w:cs="黑体" w:eastAsia="黑体" w:hint="default"/>
                <w:w w:val="95"/>
                <w:sz w:val="16"/>
                <w:szCs w:val="16"/>
              </w:rPr>
              <w:t>日</w:t>
            </w:r>
            <w:r>
              <w:rPr>
                <w:rFonts w:ascii="黑体" w:hAnsi="黑体" w:cs="黑体" w:eastAsia="黑体" w:hint="default"/>
                <w:sz w:val="16"/>
                <w:szCs w:val="16"/>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3"/>
              <w:jc w:val="right"/>
              <w:rPr>
                <w:rFonts w:ascii="Arial" w:hAnsi="Arial" w:cs="Arial" w:eastAsia="Arial" w:hint="default"/>
                <w:sz w:val="16"/>
                <w:szCs w:val="16"/>
              </w:rPr>
            </w:pPr>
            <w:r>
              <w:rPr>
                <w:rFonts w:ascii="Arial"/>
                <w:w w:val="95"/>
                <w:sz w:val="16"/>
              </w:rPr>
              <w:t>1,504,373</w:t>
            </w:r>
            <w:r>
              <w:rPr>
                <w:rFonts w:ascii="Arial"/>
                <w:sz w:val="16"/>
              </w:rPr>
            </w:r>
          </w:p>
        </w:tc>
      </w:tr>
      <w:tr>
        <w:trPr>
          <w:trHeight w:val="220" w:hRule="exact"/>
        </w:trPr>
        <w:tc>
          <w:tcPr>
            <w:tcW w:w="938"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c>
          <w:tcPr>
            <w:tcW w:w="2554" w:type="dxa"/>
            <w:gridSpan w:val="2"/>
            <w:tcBorders>
              <w:top w:val="nil" w:sz="6" w:space="0" w:color="auto"/>
              <w:left w:val="nil" w:sz="6" w:space="0" w:color="auto"/>
              <w:bottom w:val="nil" w:sz="6" w:space="0" w:color="auto"/>
              <w:right w:val="nil" w:sz="6" w:space="0" w:color="auto"/>
            </w:tcBorders>
          </w:tcPr>
          <w:p>
            <w:pPr>
              <w:pStyle w:val="TableParagraph"/>
              <w:spacing w:line="212" w:lineRule="exact"/>
              <w:ind w:left="668" w:right="0"/>
              <w:jc w:val="left"/>
              <w:rPr>
                <w:rFonts w:ascii="黑体" w:hAnsi="黑体" w:cs="黑体" w:eastAsia="黑体" w:hint="default"/>
                <w:sz w:val="16"/>
                <w:szCs w:val="16"/>
              </w:rPr>
            </w:pPr>
            <w:r>
              <w:rPr>
                <w:rFonts w:ascii="Arial" w:hAnsi="Arial" w:cs="Arial" w:eastAsia="Arial" w:hint="default"/>
                <w:sz w:val="16"/>
                <w:szCs w:val="16"/>
              </w:rPr>
              <w:t>3770</w:t>
            </w:r>
            <w:r>
              <w:rPr>
                <w:rFonts w:ascii="黑体" w:hAnsi="黑体" w:cs="黑体" w:eastAsia="黑体" w:hint="default"/>
                <w:sz w:val="16"/>
                <w:szCs w:val="16"/>
              </w:rPr>
              <w:t>平方米</w:t>
            </w:r>
          </w:p>
        </w:tc>
        <w:tc>
          <w:tcPr>
            <w:tcW w:w="1389" w:type="dxa"/>
            <w:tcBorders>
              <w:top w:val="nil" w:sz="6" w:space="0" w:color="auto"/>
              <w:left w:val="nil" w:sz="6" w:space="0" w:color="auto"/>
              <w:bottom w:val="nil" w:sz="6" w:space="0" w:color="auto"/>
              <w:right w:val="nil" w:sz="6" w:space="0" w:color="auto"/>
            </w:tcBorders>
          </w:tcPr>
          <w:p>
            <w:pPr/>
          </w:p>
        </w:tc>
        <w:tc>
          <w:tcPr>
            <w:tcW w:w="1303" w:type="dxa"/>
            <w:tcBorders>
              <w:top w:val="nil" w:sz="6" w:space="0" w:color="auto"/>
              <w:left w:val="nil" w:sz="6" w:space="0" w:color="auto"/>
              <w:bottom w:val="nil" w:sz="6" w:space="0" w:color="auto"/>
              <w:right w:val="nil" w:sz="6" w:space="0" w:color="auto"/>
            </w:tcBorders>
          </w:tcPr>
          <w:p>
            <w:pPr/>
          </w:p>
        </w:tc>
        <w:tc>
          <w:tcPr>
            <w:tcW w:w="855" w:type="dxa"/>
            <w:tcBorders>
              <w:top w:val="nil" w:sz="6" w:space="0" w:color="auto"/>
              <w:left w:val="nil" w:sz="6" w:space="0" w:color="auto"/>
              <w:bottom w:val="nil" w:sz="6" w:space="0" w:color="auto"/>
              <w:right w:val="nil" w:sz="6" w:space="0" w:color="auto"/>
            </w:tcBorders>
          </w:tcPr>
          <w:p>
            <w:pPr/>
          </w:p>
        </w:tc>
      </w:tr>
      <w:tr>
        <w:trPr>
          <w:trHeight w:val="216"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176" w:lineRule="exact"/>
              <w:ind w:left="35" w:right="0"/>
              <w:jc w:val="left"/>
              <w:rPr>
                <w:rFonts w:ascii="黑体" w:hAnsi="黑体" w:cs="黑体" w:eastAsia="黑体" w:hint="default"/>
                <w:sz w:val="16"/>
                <w:szCs w:val="16"/>
              </w:rPr>
            </w:pPr>
            <w:r>
              <w:rPr>
                <w:rFonts w:ascii="黑体" w:hAnsi="黑体" w:cs="黑体" w:eastAsia="黑体" w:hint="default"/>
                <w:sz w:val="16"/>
                <w:szCs w:val="16"/>
              </w:rPr>
              <w:t>用友艾福斯</w:t>
            </w:r>
          </w:p>
        </w:tc>
        <w:tc>
          <w:tcPr>
            <w:tcW w:w="974" w:type="dxa"/>
            <w:tcBorders>
              <w:top w:val="nil" w:sz="6" w:space="0" w:color="auto"/>
              <w:left w:val="nil" w:sz="6" w:space="0" w:color="auto"/>
              <w:bottom w:val="nil" w:sz="6" w:space="0" w:color="auto"/>
              <w:right w:val="nil" w:sz="6" w:space="0" w:color="auto"/>
            </w:tcBorders>
          </w:tcPr>
          <w:p>
            <w:pPr>
              <w:pStyle w:val="TableParagraph"/>
              <w:spacing w:line="176" w:lineRule="exact"/>
              <w:ind w:left="103" w:right="0"/>
              <w:jc w:val="left"/>
              <w:rPr>
                <w:rFonts w:ascii="黑体" w:hAnsi="黑体" w:cs="黑体" w:eastAsia="黑体" w:hint="default"/>
                <w:sz w:val="16"/>
                <w:szCs w:val="16"/>
              </w:rPr>
            </w:pPr>
            <w:r>
              <w:rPr>
                <w:rFonts w:ascii="黑体" w:hAnsi="黑体" w:cs="黑体" w:eastAsia="黑体" w:hint="default"/>
                <w:sz w:val="16"/>
                <w:szCs w:val="16"/>
              </w:rPr>
              <w:t>用友股份</w:t>
            </w:r>
          </w:p>
        </w:tc>
        <w:tc>
          <w:tcPr>
            <w:tcW w:w="1552" w:type="dxa"/>
            <w:tcBorders>
              <w:top w:val="nil" w:sz="6" w:space="0" w:color="auto"/>
              <w:left w:val="nil" w:sz="6" w:space="0" w:color="auto"/>
              <w:bottom w:val="nil" w:sz="6" w:space="0" w:color="auto"/>
              <w:right w:val="nil" w:sz="6" w:space="0" w:color="auto"/>
            </w:tcBorders>
          </w:tcPr>
          <w:p>
            <w:pPr>
              <w:pStyle w:val="TableParagraph"/>
              <w:spacing w:line="187" w:lineRule="exact"/>
              <w:ind w:right="46"/>
              <w:jc w:val="right"/>
              <w:rPr>
                <w:rFonts w:ascii="黑体" w:hAnsi="黑体" w:cs="黑体" w:eastAsia="黑体" w:hint="default"/>
                <w:sz w:val="16"/>
                <w:szCs w:val="16"/>
              </w:rPr>
            </w:pPr>
            <w:r>
              <w:rPr>
                <w:rFonts w:ascii="黑体" w:hAnsi="黑体" w:cs="黑体" w:eastAsia="黑体" w:hint="default"/>
                <w:w w:val="95"/>
                <w:sz w:val="16"/>
                <w:szCs w:val="16"/>
              </w:rPr>
              <w:t>用友软件园</w:t>
            </w:r>
            <w:r>
              <w:rPr>
                <w:rFonts w:ascii="Arial" w:hAnsi="Arial" w:cs="Arial" w:eastAsia="Arial" w:hint="default"/>
                <w:w w:val="95"/>
                <w:sz w:val="16"/>
                <w:szCs w:val="16"/>
              </w:rPr>
              <w:t>1</w:t>
            </w:r>
            <w:r>
              <w:rPr>
                <w:rFonts w:ascii="黑体" w:hAnsi="黑体" w:cs="黑体" w:eastAsia="黑体" w:hint="default"/>
                <w:w w:val="95"/>
                <w:sz w:val="16"/>
                <w:szCs w:val="16"/>
              </w:rPr>
              <w:t>号楼</w:t>
            </w:r>
            <w:r>
              <w:rPr>
                <w:rFonts w:ascii="Arial" w:hAnsi="Arial" w:cs="Arial" w:eastAsia="Arial" w:hint="default"/>
                <w:w w:val="95"/>
                <w:sz w:val="16"/>
                <w:szCs w:val="16"/>
              </w:rPr>
              <w:t>3</w:t>
            </w:r>
            <w:r>
              <w:rPr>
                <w:rFonts w:ascii="黑体" w:hAnsi="黑体" w:cs="黑体" w:eastAsia="黑体" w:hint="default"/>
                <w:w w:val="95"/>
                <w:sz w:val="16"/>
                <w:szCs w:val="16"/>
              </w:rPr>
              <w:t>层</w:t>
            </w:r>
            <w:r>
              <w:rPr>
                <w:rFonts w:ascii="黑体" w:hAnsi="黑体" w:cs="黑体" w:eastAsia="黑体" w:hint="default"/>
                <w:sz w:val="16"/>
                <w:szCs w:val="16"/>
              </w:rPr>
            </w:r>
          </w:p>
        </w:tc>
        <w:tc>
          <w:tcPr>
            <w:tcW w:w="1003" w:type="dxa"/>
            <w:tcBorders>
              <w:top w:val="nil" w:sz="6" w:space="0" w:color="auto"/>
              <w:left w:val="nil" w:sz="6" w:space="0" w:color="auto"/>
              <w:bottom w:val="nil" w:sz="6" w:space="0" w:color="auto"/>
              <w:right w:val="nil" w:sz="6" w:space="0" w:color="auto"/>
            </w:tcBorders>
          </w:tcPr>
          <w:p>
            <w:pPr>
              <w:pStyle w:val="TableParagraph"/>
              <w:spacing w:line="163" w:lineRule="exact"/>
              <w:ind w:right="207"/>
              <w:jc w:val="right"/>
              <w:rPr>
                <w:rFonts w:ascii="Arial" w:hAnsi="Arial" w:cs="Arial" w:eastAsia="Arial" w:hint="default"/>
                <w:sz w:val="16"/>
                <w:szCs w:val="16"/>
              </w:rPr>
            </w:pPr>
            <w:r>
              <w:rPr>
                <w:rFonts w:ascii="Arial"/>
                <w:w w:val="95"/>
                <w:sz w:val="16"/>
              </w:rPr>
              <w:t>1,990,957</w:t>
            </w:r>
            <w:r>
              <w:rPr>
                <w:rFonts w:ascii="Arial"/>
                <w:sz w:val="16"/>
              </w:rPr>
            </w:r>
          </w:p>
        </w:tc>
        <w:tc>
          <w:tcPr>
            <w:tcW w:w="1389" w:type="dxa"/>
            <w:tcBorders>
              <w:top w:val="nil" w:sz="6" w:space="0" w:color="auto"/>
              <w:left w:val="nil" w:sz="6" w:space="0" w:color="auto"/>
              <w:bottom w:val="nil" w:sz="6" w:space="0" w:color="auto"/>
              <w:right w:val="nil" w:sz="6" w:space="0" w:color="auto"/>
            </w:tcBorders>
          </w:tcPr>
          <w:p>
            <w:pPr>
              <w:pStyle w:val="TableParagraph"/>
              <w:spacing w:line="187" w:lineRule="exact"/>
              <w:ind w:right="111"/>
              <w:jc w:val="right"/>
              <w:rPr>
                <w:rFonts w:ascii="黑体" w:hAnsi="黑体" w:cs="黑体" w:eastAsia="黑体" w:hint="default"/>
                <w:sz w:val="16"/>
                <w:szCs w:val="16"/>
              </w:rPr>
            </w:pPr>
            <w:r>
              <w:rPr>
                <w:rFonts w:ascii="Arial" w:hAnsi="Arial" w:cs="Arial" w:eastAsia="Arial" w:hint="default"/>
                <w:w w:val="95"/>
                <w:sz w:val="16"/>
                <w:szCs w:val="16"/>
              </w:rPr>
              <w:t>2008</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22</w:t>
            </w:r>
            <w:r>
              <w:rPr>
                <w:rFonts w:ascii="黑体" w:hAnsi="黑体" w:cs="黑体" w:eastAsia="黑体" w:hint="default"/>
                <w:w w:val="95"/>
                <w:sz w:val="16"/>
                <w:szCs w:val="16"/>
              </w:rPr>
              <w:t>日</w:t>
            </w:r>
            <w:r>
              <w:rPr>
                <w:rFonts w:ascii="黑体" w:hAnsi="黑体" w:cs="黑体" w:eastAsia="黑体" w:hint="default"/>
                <w:sz w:val="16"/>
                <w:szCs w:val="16"/>
              </w:rPr>
            </w:r>
          </w:p>
        </w:tc>
        <w:tc>
          <w:tcPr>
            <w:tcW w:w="1303" w:type="dxa"/>
            <w:tcBorders>
              <w:top w:val="nil" w:sz="6" w:space="0" w:color="auto"/>
              <w:left w:val="nil" w:sz="6" w:space="0" w:color="auto"/>
              <w:bottom w:val="nil" w:sz="6" w:space="0" w:color="auto"/>
              <w:right w:val="nil" w:sz="6" w:space="0" w:color="auto"/>
            </w:tcBorders>
          </w:tcPr>
          <w:p>
            <w:pPr>
              <w:pStyle w:val="TableParagraph"/>
              <w:spacing w:line="187" w:lineRule="exact"/>
              <w:ind w:right="86"/>
              <w:jc w:val="right"/>
              <w:rPr>
                <w:rFonts w:ascii="黑体" w:hAnsi="黑体" w:cs="黑体" w:eastAsia="黑体" w:hint="default"/>
                <w:sz w:val="16"/>
                <w:szCs w:val="16"/>
              </w:rPr>
            </w:pPr>
            <w:r>
              <w:rPr>
                <w:rFonts w:ascii="Arial" w:hAnsi="Arial" w:cs="Arial" w:eastAsia="Arial" w:hint="default"/>
                <w:w w:val="95"/>
                <w:sz w:val="16"/>
                <w:szCs w:val="16"/>
              </w:rPr>
              <w:t>2010</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21</w:t>
            </w:r>
            <w:r>
              <w:rPr>
                <w:rFonts w:ascii="黑体" w:hAnsi="黑体" w:cs="黑体" w:eastAsia="黑体" w:hint="default"/>
                <w:w w:val="95"/>
                <w:sz w:val="16"/>
                <w:szCs w:val="16"/>
              </w:rPr>
              <w:t>日</w:t>
            </w:r>
            <w:r>
              <w:rPr>
                <w:rFonts w:ascii="黑体" w:hAnsi="黑体" w:cs="黑体" w:eastAsia="黑体" w:hint="default"/>
                <w:sz w:val="16"/>
                <w:szCs w:val="16"/>
              </w:rPr>
            </w:r>
          </w:p>
        </w:tc>
        <w:tc>
          <w:tcPr>
            <w:tcW w:w="855" w:type="dxa"/>
            <w:tcBorders>
              <w:top w:val="nil" w:sz="6" w:space="0" w:color="auto"/>
              <w:left w:val="nil" w:sz="6" w:space="0" w:color="auto"/>
              <w:bottom w:val="nil" w:sz="6" w:space="0" w:color="auto"/>
              <w:right w:val="nil" w:sz="6" w:space="0" w:color="auto"/>
            </w:tcBorders>
          </w:tcPr>
          <w:p>
            <w:pPr>
              <w:pStyle w:val="TableParagraph"/>
              <w:spacing w:line="163" w:lineRule="exact"/>
              <w:ind w:right="33"/>
              <w:jc w:val="right"/>
              <w:rPr>
                <w:rFonts w:ascii="Arial" w:hAnsi="Arial" w:cs="Arial" w:eastAsia="Arial" w:hint="default"/>
                <w:sz w:val="16"/>
                <w:szCs w:val="16"/>
              </w:rPr>
            </w:pPr>
            <w:r>
              <w:rPr>
                <w:rFonts w:ascii="Arial"/>
                <w:w w:val="95"/>
                <w:sz w:val="16"/>
              </w:rPr>
              <w:t>213,832</w:t>
            </w:r>
            <w:r>
              <w:rPr>
                <w:rFonts w:ascii="Arial"/>
                <w:sz w:val="16"/>
              </w:rPr>
            </w:r>
          </w:p>
        </w:tc>
      </w:tr>
      <w:tr>
        <w:trPr>
          <w:trHeight w:val="200" w:hRule="exact"/>
        </w:trPr>
        <w:tc>
          <w:tcPr>
            <w:tcW w:w="938"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Style w:val="TableParagraph"/>
              <w:spacing w:line="192" w:lineRule="exact"/>
              <w:ind w:right="46"/>
              <w:jc w:val="right"/>
              <w:rPr>
                <w:rFonts w:ascii="黑体" w:hAnsi="黑体" w:cs="黑体" w:eastAsia="黑体" w:hint="default"/>
                <w:sz w:val="16"/>
                <w:szCs w:val="16"/>
              </w:rPr>
            </w:pPr>
            <w:r>
              <w:rPr>
                <w:rFonts w:ascii="Arial" w:hAnsi="Arial" w:cs="Arial" w:eastAsia="Arial" w:hint="default"/>
                <w:w w:val="95"/>
                <w:sz w:val="16"/>
                <w:szCs w:val="16"/>
              </w:rPr>
              <w:t>578.5</w:t>
            </w:r>
            <w:r>
              <w:rPr>
                <w:rFonts w:ascii="黑体" w:hAnsi="黑体" w:cs="黑体" w:eastAsia="黑体" w:hint="default"/>
                <w:w w:val="95"/>
                <w:sz w:val="16"/>
                <w:szCs w:val="16"/>
              </w:rPr>
              <w:t>平方米</w:t>
            </w:r>
            <w:r>
              <w:rPr>
                <w:rFonts w:ascii="黑体" w:hAnsi="黑体" w:cs="黑体" w:eastAsia="黑体" w:hint="default"/>
                <w:sz w:val="16"/>
                <w:szCs w:val="16"/>
              </w:rPr>
            </w:r>
          </w:p>
        </w:tc>
        <w:tc>
          <w:tcPr>
            <w:tcW w:w="1003" w:type="dxa"/>
            <w:tcBorders>
              <w:top w:val="nil" w:sz="6" w:space="0" w:color="auto"/>
              <w:left w:val="nil" w:sz="6" w:space="0" w:color="auto"/>
              <w:bottom w:val="nil" w:sz="6" w:space="0" w:color="auto"/>
              <w:right w:val="nil" w:sz="6" w:space="0" w:color="auto"/>
            </w:tcBorders>
          </w:tcPr>
          <w:p>
            <w:pPr/>
          </w:p>
        </w:tc>
        <w:tc>
          <w:tcPr>
            <w:tcW w:w="1389" w:type="dxa"/>
            <w:tcBorders>
              <w:top w:val="nil" w:sz="6" w:space="0" w:color="auto"/>
              <w:left w:val="nil" w:sz="6" w:space="0" w:color="auto"/>
              <w:bottom w:val="nil" w:sz="6" w:space="0" w:color="auto"/>
              <w:right w:val="nil" w:sz="6" w:space="0" w:color="auto"/>
            </w:tcBorders>
          </w:tcPr>
          <w:p>
            <w:pPr/>
          </w:p>
        </w:tc>
        <w:tc>
          <w:tcPr>
            <w:tcW w:w="1303" w:type="dxa"/>
            <w:tcBorders>
              <w:top w:val="nil" w:sz="6" w:space="0" w:color="auto"/>
              <w:left w:val="nil" w:sz="6" w:space="0" w:color="auto"/>
              <w:bottom w:val="nil" w:sz="6" w:space="0" w:color="auto"/>
              <w:right w:val="nil" w:sz="6" w:space="0" w:color="auto"/>
            </w:tcBorders>
          </w:tcPr>
          <w:p>
            <w:pPr/>
          </w:p>
        </w:tc>
        <w:tc>
          <w:tcPr>
            <w:tcW w:w="855" w:type="dxa"/>
            <w:tcBorders>
              <w:top w:val="nil" w:sz="6" w:space="0" w:color="auto"/>
              <w:left w:val="nil" w:sz="6" w:space="0" w:color="auto"/>
              <w:bottom w:val="nil" w:sz="6" w:space="0" w:color="auto"/>
              <w:right w:val="nil" w:sz="6" w:space="0" w:color="auto"/>
            </w:tcBorders>
          </w:tcPr>
          <w:p>
            <w:pPr/>
          </w:p>
        </w:tc>
      </w:tr>
      <w:tr>
        <w:trPr>
          <w:trHeight w:val="216"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189" w:lineRule="exact"/>
              <w:ind w:left="35" w:right="0"/>
              <w:jc w:val="left"/>
              <w:rPr>
                <w:rFonts w:ascii="黑体" w:hAnsi="黑体" w:cs="黑体" w:eastAsia="黑体" w:hint="default"/>
                <w:sz w:val="16"/>
                <w:szCs w:val="16"/>
              </w:rPr>
            </w:pPr>
            <w:r>
              <w:rPr>
                <w:rFonts w:ascii="黑体" w:hAnsi="黑体" w:cs="黑体" w:eastAsia="黑体" w:hint="default"/>
                <w:sz w:val="16"/>
                <w:szCs w:val="16"/>
              </w:rPr>
              <w:t>用友华表</w:t>
            </w:r>
          </w:p>
        </w:tc>
        <w:tc>
          <w:tcPr>
            <w:tcW w:w="974" w:type="dxa"/>
            <w:tcBorders>
              <w:top w:val="nil" w:sz="6" w:space="0" w:color="auto"/>
              <w:left w:val="nil" w:sz="6" w:space="0" w:color="auto"/>
              <w:bottom w:val="nil" w:sz="6" w:space="0" w:color="auto"/>
              <w:right w:val="nil" w:sz="6" w:space="0" w:color="auto"/>
            </w:tcBorders>
          </w:tcPr>
          <w:p>
            <w:pPr>
              <w:pStyle w:val="TableParagraph"/>
              <w:spacing w:line="189" w:lineRule="exact"/>
              <w:ind w:left="104" w:right="0"/>
              <w:jc w:val="left"/>
              <w:rPr>
                <w:rFonts w:ascii="黑体" w:hAnsi="黑体" w:cs="黑体" w:eastAsia="黑体" w:hint="default"/>
                <w:sz w:val="16"/>
                <w:szCs w:val="16"/>
              </w:rPr>
            </w:pPr>
            <w:r>
              <w:rPr>
                <w:rFonts w:ascii="黑体" w:hAnsi="黑体" w:cs="黑体" w:eastAsia="黑体" w:hint="default"/>
                <w:sz w:val="16"/>
                <w:szCs w:val="16"/>
              </w:rPr>
              <w:t>用友股份</w:t>
            </w:r>
          </w:p>
        </w:tc>
        <w:tc>
          <w:tcPr>
            <w:tcW w:w="1552" w:type="dxa"/>
            <w:tcBorders>
              <w:top w:val="nil" w:sz="6" w:space="0" w:color="auto"/>
              <w:left w:val="nil" w:sz="6" w:space="0" w:color="auto"/>
              <w:bottom w:val="nil" w:sz="6" w:space="0" w:color="auto"/>
              <w:right w:val="nil" w:sz="6" w:space="0" w:color="auto"/>
            </w:tcBorders>
          </w:tcPr>
          <w:p>
            <w:pPr>
              <w:pStyle w:val="TableParagraph"/>
              <w:spacing w:line="200" w:lineRule="exact"/>
              <w:ind w:right="45"/>
              <w:jc w:val="right"/>
              <w:rPr>
                <w:rFonts w:ascii="黑体" w:hAnsi="黑体" w:cs="黑体" w:eastAsia="黑体" w:hint="default"/>
                <w:sz w:val="16"/>
                <w:szCs w:val="16"/>
              </w:rPr>
            </w:pPr>
            <w:r>
              <w:rPr>
                <w:rFonts w:ascii="黑体" w:hAnsi="黑体" w:cs="黑体" w:eastAsia="黑体" w:hint="default"/>
                <w:w w:val="95"/>
                <w:sz w:val="16"/>
                <w:szCs w:val="16"/>
              </w:rPr>
              <w:t>用友软件园</w:t>
            </w:r>
            <w:r>
              <w:rPr>
                <w:rFonts w:ascii="Arial" w:hAnsi="Arial" w:cs="Arial" w:eastAsia="Arial" w:hint="default"/>
                <w:w w:val="95"/>
                <w:sz w:val="16"/>
                <w:szCs w:val="16"/>
              </w:rPr>
              <w:t>1</w:t>
            </w:r>
            <w:r>
              <w:rPr>
                <w:rFonts w:ascii="黑体" w:hAnsi="黑体" w:cs="黑体" w:eastAsia="黑体" w:hint="default"/>
                <w:w w:val="95"/>
                <w:sz w:val="16"/>
                <w:szCs w:val="16"/>
              </w:rPr>
              <w:t>号楼</w:t>
            </w:r>
            <w:r>
              <w:rPr>
                <w:rFonts w:ascii="Arial" w:hAnsi="Arial" w:cs="Arial" w:eastAsia="Arial" w:hint="default"/>
                <w:w w:val="95"/>
                <w:sz w:val="16"/>
                <w:szCs w:val="16"/>
              </w:rPr>
              <w:t>3</w:t>
            </w:r>
            <w:r>
              <w:rPr>
                <w:rFonts w:ascii="黑体" w:hAnsi="黑体" w:cs="黑体" w:eastAsia="黑体" w:hint="default"/>
                <w:w w:val="95"/>
                <w:sz w:val="16"/>
                <w:szCs w:val="16"/>
              </w:rPr>
              <w:t>层</w:t>
            </w:r>
            <w:r>
              <w:rPr>
                <w:rFonts w:ascii="黑体" w:hAnsi="黑体" w:cs="黑体" w:eastAsia="黑体" w:hint="default"/>
                <w:sz w:val="16"/>
                <w:szCs w:val="16"/>
              </w:rPr>
            </w:r>
          </w:p>
        </w:tc>
        <w:tc>
          <w:tcPr>
            <w:tcW w:w="1003" w:type="dxa"/>
            <w:tcBorders>
              <w:top w:val="nil" w:sz="6" w:space="0" w:color="auto"/>
              <w:left w:val="nil" w:sz="6" w:space="0" w:color="auto"/>
              <w:bottom w:val="nil" w:sz="6" w:space="0" w:color="auto"/>
              <w:right w:val="nil" w:sz="6" w:space="0" w:color="auto"/>
            </w:tcBorders>
          </w:tcPr>
          <w:p>
            <w:pPr>
              <w:pStyle w:val="TableParagraph"/>
              <w:spacing w:line="176" w:lineRule="exact"/>
              <w:ind w:right="207"/>
              <w:jc w:val="right"/>
              <w:rPr>
                <w:rFonts w:ascii="Arial" w:hAnsi="Arial" w:cs="Arial" w:eastAsia="Arial" w:hint="default"/>
                <w:sz w:val="16"/>
                <w:szCs w:val="16"/>
              </w:rPr>
            </w:pPr>
            <w:r>
              <w:rPr>
                <w:rFonts w:ascii="Arial"/>
                <w:w w:val="95"/>
                <w:sz w:val="16"/>
              </w:rPr>
              <w:t>1,682,246</w:t>
            </w:r>
            <w:r>
              <w:rPr>
                <w:rFonts w:ascii="Arial"/>
                <w:sz w:val="16"/>
              </w:rPr>
            </w:r>
          </w:p>
        </w:tc>
        <w:tc>
          <w:tcPr>
            <w:tcW w:w="1389" w:type="dxa"/>
            <w:tcBorders>
              <w:top w:val="nil" w:sz="6" w:space="0" w:color="auto"/>
              <w:left w:val="nil" w:sz="6" w:space="0" w:color="auto"/>
              <w:bottom w:val="nil" w:sz="6" w:space="0" w:color="auto"/>
              <w:right w:val="nil" w:sz="6" w:space="0" w:color="auto"/>
            </w:tcBorders>
          </w:tcPr>
          <w:p>
            <w:pPr>
              <w:pStyle w:val="TableParagraph"/>
              <w:spacing w:line="200" w:lineRule="exact"/>
              <w:ind w:right="111"/>
              <w:jc w:val="right"/>
              <w:rPr>
                <w:rFonts w:ascii="黑体" w:hAnsi="黑体" w:cs="黑体" w:eastAsia="黑体" w:hint="default"/>
                <w:sz w:val="16"/>
                <w:szCs w:val="16"/>
              </w:rPr>
            </w:pPr>
            <w:r>
              <w:rPr>
                <w:rFonts w:ascii="Arial" w:hAnsi="Arial" w:cs="Arial" w:eastAsia="Arial" w:hint="default"/>
                <w:w w:val="95"/>
                <w:sz w:val="16"/>
                <w:szCs w:val="16"/>
              </w:rPr>
              <w:t>2008</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22</w:t>
            </w:r>
            <w:r>
              <w:rPr>
                <w:rFonts w:ascii="黑体" w:hAnsi="黑体" w:cs="黑体" w:eastAsia="黑体" w:hint="default"/>
                <w:w w:val="95"/>
                <w:sz w:val="16"/>
                <w:szCs w:val="16"/>
              </w:rPr>
              <w:t>日</w:t>
            </w:r>
            <w:r>
              <w:rPr>
                <w:rFonts w:ascii="黑体" w:hAnsi="黑体" w:cs="黑体" w:eastAsia="黑体" w:hint="default"/>
                <w:sz w:val="16"/>
                <w:szCs w:val="16"/>
              </w:rPr>
            </w:r>
          </w:p>
        </w:tc>
        <w:tc>
          <w:tcPr>
            <w:tcW w:w="1303" w:type="dxa"/>
            <w:tcBorders>
              <w:top w:val="nil" w:sz="6" w:space="0" w:color="auto"/>
              <w:left w:val="nil" w:sz="6" w:space="0" w:color="auto"/>
              <w:bottom w:val="nil" w:sz="6" w:space="0" w:color="auto"/>
              <w:right w:val="nil" w:sz="6" w:space="0" w:color="auto"/>
            </w:tcBorders>
          </w:tcPr>
          <w:p>
            <w:pPr>
              <w:pStyle w:val="TableParagraph"/>
              <w:spacing w:line="200" w:lineRule="exact"/>
              <w:ind w:right="86"/>
              <w:jc w:val="right"/>
              <w:rPr>
                <w:rFonts w:ascii="黑体" w:hAnsi="黑体" w:cs="黑体" w:eastAsia="黑体" w:hint="default"/>
                <w:sz w:val="16"/>
                <w:szCs w:val="16"/>
              </w:rPr>
            </w:pPr>
            <w:r>
              <w:rPr>
                <w:rFonts w:ascii="Arial" w:hAnsi="Arial" w:cs="Arial" w:eastAsia="Arial" w:hint="default"/>
                <w:w w:val="95"/>
                <w:sz w:val="16"/>
                <w:szCs w:val="16"/>
              </w:rPr>
              <w:t>2010</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21</w:t>
            </w:r>
            <w:r>
              <w:rPr>
                <w:rFonts w:ascii="黑体" w:hAnsi="黑体" w:cs="黑体" w:eastAsia="黑体" w:hint="default"/>
                <w:w w:val="95"/>
                <w:sz w:val="16"/>
                <w:szCs w:val="16"/>
              </w:rPr>
              <w:t>日</w:t>
            </w:r>
            <w:r>
              <w:rPr>
                <w:rFonts w:ascii="黑体" w:hAnsi="黑体" w:cs="黑体" w:eastAsia="黑体" w:hint="default"/>
                <w:sz w:val="16"/>
                <w:szCs w:val="16"/>
              </w:rPr>
            </w:r>
          </w:p>
        </w:tc>
        <w:tc>
          <w:tcPr>
            <w:tcW w:w="855" w:type="dxa"/>
            <w:tcBorders>
              <w:top w:val="nil" w:sz="6" w:space="0" w:color="auto"/>
              <w:left w:val="nil" w:sz="6" w:space="0" w:color="auto"/>
              <w:bottom w:val="nil" w:sz="6" w:space="0" w:color="auto"/>
              <w:right w:val="nil" w:sz="6" w:space="0" w:color="auto"/>
            </w:tcBorders>
          </w:tcPr>
          <w:p>
            <w:pPr>
              <w:pStyle w:val="TableParagraph"/>
              <w:spacing w:line="176" w:lineRule="exact"/>
              <w:ind w:right="33"/>
              <w:jc w:val="right"/>
              <w:rPr>
                <w:rFonts w:ascii="Arial" w:hAnsi="Arial" w:cs="Arial" w:eastAsia="Arial" w:hint="default"/>
                <w:sz w:val="16"/>
                <w:szCs w:val="16"/>
              </w:rPr>
            </w:pPr>
            <w:r>
              <w:rPr>
                <w:rFonts w:ascii="Arial"/>
                <w:w w:val="95"/>
                <w:sz w:val="16"/>
              </w:rPr>
              <w:t>293,184</w:t>
            </w:r>
            <w:r>
              <w:rPr>
                <w:rFonts w:ascii="Arial"/>
                <w:sz w:val="16"/>
              </w:rPr>
            </w:r>
          </w:p>
        </w:tc>
      </w:tr>
      <w:tr>
        <w:trPr>
          <w:trHeight w:val="415"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13"/>
                <w:szCs w:val="13"/>
              </w:rPr>
            </w:pPr>
          </w:p>
          <w:p>
            <w:pPr>
              <w:pStyle w:val="TableParagraph"/>
              <w:spacing w:line="240" w:lineRule="auto"/>
              <w:ind w:left="35" w:right="0"/>
              <w:jc w:val="left"/>
              <w:rPr>
                <w:rFonts w:ascii="黑体" w:hAnsi="黑体" w:cs="黑体" w:eastAsia="黑体" w:hint="default"/>
                <w:sz w:val="16"/>
                <w:szCs w:val="16"/>
              </w:rPr>
            </w:pPr>
            <w:r>
              <w:rPr>
                <w:rFonts w:ascii="黑体" w:hAnsi="黑体" w:cs="黑体" w:eastAsia="黑体" w:hint="default"/>
                <w:sz w:val="16"/>
                <w:szCs w:val="16"/>
              </w:rPr>
              <w:t>用友医疗</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13"/>
                <w:szCs w:val="13"/>
              </w:rPr>
            </w:pPr>
          </w:p>
          <w:p>
            <w:pPr>
              <w:pStyle w:val="TableParagraph"/>
              <w:spacing w:line="240" w:lineRule="auto"/>
              <w:ind w:left="104" w:right="0"/>
              <w:jc w:val="left"/>
              <w:rPr>
                <w:rFonts w:ascii="黑体" w:hAnsi="黑体" w:cs="黑体" w:eastAsia="黑体" w:hint="default"/>
                <w:sz w:val="16"/>
                <w:szCs w:val="16"/>
              </w:rPr>
            </w:pPr>
            <w:r>
              <w:rPr>
                <w:rFonts w:ascii="黑体" w:hAnsi="黑体" w:cs="黑体" w:eastAsia="黑体" w:hint="default"/>
                <w:sz w:val="16"/>
                <w:szCs w:val="16"/>
              </w:rPr>
              <w:t>用友股份</w:t>
            </w:r>
          </w:p>
        </w:tc>
        <w:tc>
          <w:tcPr>
            <w:tcW w:w="1552" w:type="dxa"/>
            <w:tcBorders>
              <w:top w:val="nil" w:sz="6" w:space="0" w:color="auto"/>
              <w:left w:val="nil" w:sz="6" w:space="0" w:color="auto"/>
              <w:bottom w:val="nil" w:sz="6" w:space="0" w:color="auto"/>
              <w:right w:val="nil" w:sz="6" w:space="0" w:color="auto"/>
            </w:tcBorders>
          </w:tcPr>
          <w:p>
            <w:pPr>
              <w:pStyle w:val="TableParagraph"/>
              <w:spacing w:line="185" w:lineRule="exact"/>
              <w:ind w:left="47" w:right="0" w:firstLine="576"/>
              <w:jc w:val="left"/>
              <w:rPr>
                <w:rFonts w:ascii="黑体" w:hAnsi="黑体" w:cs="黑体" w:eastAsia="黑体" w:hint="default"/>
                <w:sz w:val="16"/>
                <w:szCs w:val="16"/>
              </w:rPr>
            </w:pPr>
            <w:r>
              <w:rPr>
                <w:rFonts w:ascii="Arial" w:hAnsi="Arial" w:cs="Arial" w:eastAsia="Arial" w:hint="default"/>
                <w:sz w:val="16"/>
                <w:szCs w:val="16"/>
              </w:rPr>
              <w:t>488.8</w:t>
            </w:r>
            <w:r>
              <w:rPr>
                <w:rFonts w:ascii="黑体" w:hAnsi="黑体" w:cs="黑体" w:eastAsia="黑体" w:hint="default"/>
                <w:sz w:val="16"/>
                <w:szCs w:val="16"/>
              </w:rPr>
              <w:t>平方米</w:t>
            </w:r>
          </w:p>
          <w:p>
            <w:pPr>
              <w:pStyle w:val="TableParagraph"/>
              <w:spacing w:line="214" w:lineRule="exact"/>
              <w:ind w:left="47" w:right="0"/>
              <w:jc w:val="left"/>
              <w:rPr>
                <w:rFonts w:ascii="黑体" w:hAnsi="黑体" w:cs="黑体" w:eastAsia="黑体" w:hint="default"/>
                <w:sz w:val="16"/>
                <w:szCs w:val="16"/>
              </w:rPr>
            </w:pPr>
            <w:r>
              <w:rPr>
                <w:rFonts w:ascii="黑体" w:hAnsi="黑体" w:cs="黑体" w:eastAsia="黑体" w:hint="default"/>
                <w:sz w:val="16"/>
                <w:szCs w:val="16"/>
              </w:rPr>
              <w:t>用友软件园</w:t>
            </w:r>
            <w:r>
              <w:rPr>
                <w:rFonts w:ascii="Arial" w:hAnsi="Arial" w:cs="Arial" w:eastAsia="Arial" w:hint="default"/>
                <w:sz w:val="16"/>
                <w:szCs w:val="16"/>
              </w:rPr>
              <w:t>1</w:t>
            </w:r>
            <w:r>
              <w:rPr>
                <w:rFonts w:ascii="黑体" w:hAnsi="黑体" w:cs="黑体" w:eastAsia="黑体" w:hint="default"/>
                <w:sz w:val="16"/>
                <w:szCs w:val="16"/>
              </w:rPr>
              <w:t>号楼</w:t>
            </w:r>
            <w:r>
              <w:rPr>
                <w:rFonts w:ascii="Arial" w:hAnsi="Arial" w:cs="Arial" w:eastAsia="Arial" w:hint="default"/>
                <w:sz w:val="16"/>
                <w:szCs w:val="16"/>
              </w:rPr>
              <w:t>3</w:t>
            </w:r>
            <w:r>
              <w:rPr>
                <w:rFonts w:ascii="黑体" w:hAnsi="黑体" w:cs="黑体" w:eastAsia="黑体" w:hint="default"/>
                <w:sz w:val="16"/>
                <w:szCs w:val="16"/>
              </w:rPr>
              <w:t>层</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14"/>
                <w:szCs w:val="14"/>
              </w:rPr>
            </w:pPr>
          </w:p>
          <w:p>
            <w:pPr>
              <w:pStyle w:val="TableParagraph"/>
              <w:spacing w:line="240" w:lineRule="auto"/>
              <w:ind w:right="207"/>
              <w:jc w:val="right"/>
              <w:rPr>
                <w:rFonts w:ascii="Arial" w:hAnsi="Arial" w:cs="Arial" w:eastAsia="Arial" w:hint="default"/>
                <w:sz w:val="16"/>
                <w:szCs w:val="16"/>
              </w:rPr>
            </w:pPr>
            <w:r>
              <w:rPr>
                <w:rFonts w:ascii="Arial"/>
                <w:w w:val="95"/>
                <w:sz w:val="16"/>
              </w:rPr>
              <w:t>322,132</w:t>
            </w:r>
            <w:r>
              <w:rPr>
                <w:rFonts w:ascii="Arial"/>
                <w:sz w:val="16"/>
              </w:rPr>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13"/>
                <w:szCs w:val="13"/>
              </w:rPr>
            </w:pPr>
          </w:p>
          <w:p>
            <w:pPr>
              <w:pStyle w:val="TableParagraph"/>
              <w:spacing w:line="240" w:lineRule="auto"/>
              <w:ind w:right="113"/>
              <w:jc w:val="right"/>
              <w:rPr>
                <w:rFonts w:ascii="黑体" w:hAnsi="黑体" w:cs="黑体" w:eastAsia="黑体" w:hint="default"/>
                <w:sz w:val="16"/>
                <w:szCs w:val="16"/>
              </w:rPr>
            </w:pPr>
            <w:r>
              <w:rPr>
                <w:rFonts w:ascii="Arial" w:hAnsi="Arial" w:cs="Arial" w:eastAsia="Arial" w:hint="default"/>
                <w:w w:val="95"/>
                <w:sz w:val="16"/>
                <w:szCs w:val="16"/>
              </w:rPr>
              <w:t>2009</w:t>
            </w:r>
            <w:r>
              <w:rPr>
                <w:rFonts w:ascii="黑体" w:hAnsi="黑体" w:cs="黑体" w:eastAsia="黑体" w:hint="default"/>
                <w:w w:val="95"/>
                <w:sz w:val="16"/>
                <w:szCs w:val="16"/>
              </w:rPr>
              <w:t>年</w:t>
            </w:r>
            <w:r>
              <w:rPr>
                <w:rFonts w:ascii="Arial" w:hAnsi="Arial" w:cs="Arial" w:eastAsia="Arial" w:hint="default"/>
                <w:w w:val="95"/>
                <w:sz w:val="16"/>
                <w:szCs w:val="16"/>
              </w:rPr>
              <w:t>10</w:t>
            </w:r>
            <w:r>
              <w:rPr>
                <w:rFonts w:ascii="黑体" w:hAnsi="黑体" w:cs="黑体" w:eastAsia="黑体" w:hint="default"/>
                <w:w w:val="95"/>
                <w:sz w:val="16"/>
                <w:szCs w:val="16"/>
              </w:rPr>
              <w:t>月</w:t>
            </w:r>
            <w:r>
              <w:rPr>
                <w:rFonts w:ascii="Arial" w:hAnsi="Arial" w:cs="Arial" w:eastAsia="Arial" w:hint="default"/>
                <w:w w:val="95"/>
                <w:sz w:val="16"/>
                <w:szCs w:val="16"/>
              </w:rPr>
              <w:t>1</w:t>
            </w:r>
            <w:r>
              <w:rPr>
                <w:rFonts w:ascii="黑体" w:hAnsi="黑体" w:cs="黑体" w:eastAsia="黑体" w:hint="default"/>
                <w:w w:val="95"/>
                <w:sz w:val="16"/>
                <w:szCs w:val="16"/>
              </w:rPr>
              <w:t>日</w:t>
            </w:r>
            <w:r>
              <w:rPr>
                <w:rFonts w:ascii="黑体" w:hAnsi="黑体" w:cs="黑体" w:eastAsia="黑体" w:hint="default"/>
                <w:sz w:val="16"/>
                <w:szCs w:val="16"/>
              </w:rPr>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13"/>
                <w:szCs w:val="13"/>
              </w:rPr>
            </w:pPr>
          </w:p>
          <w:p>
            <w:pPr>
              <w:pStyle w:val="TableParagraph"/>
              <w:spacing w:line="240" w:lineRule="auto"/>
              <w:ind w:right="86"/>
              <w:jc w:val="right"/>
              <w:rPr>
                <w:rFonts w:ascii="黑体" w:hAnsi="黑体" w:cs="黑体" w:eastAsia="黑体" w:hint="default"/>
                <w:sz w:val="16"/>
                <w:szCs w:val="16"/>
              </w:rPr>
            </w:pPr>
            <w:r>
              <w:rPr>
                <w:rFonts w:ascii="Arial" w:hAnsi="Arial" w:cs="Arial" w:eastAsia="Arial" w:hint="default"/>
                <w:w w:val="95"/>
                <w:sz w:val="16"/>
                <w:szCs w:val="16"/>
              </w:rPr>
              <w:t>2010</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21</w:t>
            </w:r>
            <w:r>
              <w:rPr>
                <w:rFonts w:ascii="黑体" w:hAnsi="黑体" w:cs="黑体" w:eastAsia="黑体" w:hint="default"/>
                <w:w w:val="95"/>
                <w:sz w:val="16"/>
                <w:szCs w:val="16"/>
              </w:rPr>
              <w:t>日</w:t>
            </w:r>
            <w:r>
              <w:rPr>
                <w:rFonts w:ascii="黑体" w:hAnsi="黑体" w:cs="黑体" w:eastAsia="黑体" w:hint="default"/>
                <w:sz w:val="16"/>
                <w:szCs w:val="16"/>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14"/>
                <w:szCs w:val="14"/>
              </w:rPr>
            </w:pPr>
          </w:p>
          <w:p>
            <w:pPr>
              <w:pStyle w:val="TableParagraph"/>
              <w:spacing w:line="240" w:lineRule="auto"/>
              <w:ind w:right="33"/>
              <w:jc w:val="right"/>
              <w:rPr>
                <w:rFonts w:ascii="Arial" w:hAnsi="Arial" w:cs="Arial" w:eastAsia="Arial" w:hint="default"/>
                <w:sz w:val="16"/>
                <w:szCs w:val="16"/>
              </w:rPr>
            </w:pPr>
            <w:r>
              <w:rPr>
                <w:rFonts w:ascii="Arial"/>
                <w:w w:val="95"/>
                <w:sz w:val="16"/>
              </w:rPr>
              <w:t>6,739</w:t>
            </w:r>
            <w:r>
              <w:rPr>
                <w:rFonts w:ascii="Arial"/>
                <w:sz w:val="16"/>
              </w:rPr>
            </w:r>
          </w:p>
        </w:tc>
      </w:tr>
      <w:tr>
        <w:trPr>
          <w:trHeight w:val="413"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13"/>
                <w:szCs w:val="13"/>
              </w:rPr>
            </w:pPr>
          </w:p>
          <w:p>
            <w:pPr>
              <w:pStyle w:val="TableParagraph"/>
              <w:spacing w:line="240" w:lineRule="auto"/>
              <w:ind w:left="35" w:right="0"/>
              <w:jc w:val="left"/>
              <w:rPr>
                <w:rFonts w:ascii="黑体" w:hAnsi="黑体" w:cs="黑体" w:eastAsia="黑体" w:hint="default"/>
                <w:sz w:val="16"/>
                <w:szCs w:val="16"/>
              </w:rPr>
            </w:pPr>
            <w:r>
              <w:rPr>
                <w:rFonts w:ascii="黑体" w:hAnsi="黑体" w:cs="黑体" w:eastAsia="黑体" w:hint="default"/>
                <w:sz w:val="16"/>
                <w:szCs w:val="16"/>
              </w:rPr>
              <w:t>用友移动</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13"/>
                <w:szCs w:val="13"/>
              </w:rPr>
            </w:pPr>
          </w:p>
          <w:p>
            <w:pPr>
              <w:pStyle w:val="TableParagraph"/>
              <w:spacing w:line="240" w:lineRule="auto"/>
              <w:ind w:left="103" w:right="0"/>
              <w:jc w:val="left"/>
              <w:rPr>
                <w:rFonts w:ascii="黑体" w:hAnsi="黑体" w:cs="黑体" w:eastAsia="黑体" w:hint="default"/>
                <w:sz w:val="16"/>
                <w:szCs w:val="16"/>
              </w:rPr>
            </w:pPr>
            <w:r>
              <w:rPr>
                <w:rFonts w:ascii="黑体" w:hAnsi="黑体" w:cs="黑体" w:eastAsia="黑体" w:hint="default"/>
                <w:sz w:val="16"/>
                <w:szCs w:val="16"/>
              </w:rPr>
              <w:t>用友股份</w:t>
            </w:r>
          </w:p>
        </w:tc>
        <w:tc>
          <w:tcPr>
            <w:tcW w:w="1552" w:type="dxa"/>
            <w:tcBorders>
              <w:top w:val="nil" w:sz="6" w:space="0" w:color="auto"/>
              <w:left w:val="nil" w:sz="6" w:space="0" w:color="auto"/>
              <w:bottom w:val="nil" w:sz="6" w:space="0" w:color="auto"/>
              <w:right w:val="nil" w:sz="6" w:space="0" w:color="auto"/>
            </w:tcBorders>
          </w:tcPr>
          <w:p>
            <w:pPr>
              <w:pStyle w:val="TableParagraph"/>
              <w:spacing w:line="184" w:lineRule="exact"/>
              <w:ind w:left="46" w:right="0" w:firstLine="667"/>
              <w:jc w:val="left"/>
              <w:rPr>
                <w:rFonts w:ascii="黑体" w:hAnsi="黑体" w:cs="黑体" w:eastAsia="黑体" w:hint="default"/>
                <w:sz w:val="16"/>
                <w:szCs w:val="16"/>
              </w:rPr>
            </w:pPr>
            <w:r>
              <w:rPr>
                <w:rFonts w:ascii="Arial" w:hAnsi="Arial" w:cs="Arial" w:eastAsia="Arial" w:hint="default"/>
                <w:sz w:val="16"/>
                <w:szCs w:val="16"/>
              </w:rPr>
              <w:t>93.6</w:t>
            </w:r>
            <w:r>
              <w:rPr>
                <w:rFonts w:ascii="黑体" w:hAnsi="黑体" w:cs="黑体" w:eastAsia="黑体" w:hint="default"/>
                <w:sz w:val="16"/>
                <w:szCs w:val="16"/>
              </w:rPr>
              <w:t>平方米</w:t>
            </w:r>
          </w:p>
          <w:p>
            <w:pPr>
              <w:pStyle w:val="TableParagraph"/>
              <w:spacing w:line="213" w:lineRule="exact"/>
              <w:ind w:left="46" w:right="0"/>
              <w:jc w:val="left"/>
              <w:rPr>
                <w:rFonts w:ascii="黑体" w:hAnsi="黑体" w:cs="黑体" w:eastAsia="黑体" w:hint="default"/>
                <w:sz w:val="16"/>
                <w:szCs w:val="16"/>
              </w:rPr>
            </w:pPr>
            <w:r>
              <w:rPr>
                <w:rFonts w:ascii="黑体" w:hAnsi="黑体" w:cs="黑体" w:eastAsia="黑体" w:hint="default"/>
                <w:sz w:val="16"/>
                <w:szCs w:val="16"/>
              </w:rPr>
              <w:t>用友软件园</w:t>
            </w:r>
            <w:r>
              <w:rPr>
                <w:rFonts w:ascii="Arial" w:hAnsi="Arial" w:cs="Arial" w:eastAsia="Arial" w:hint="default"/>
                <w:sz w:val="16"/>
                <w:szCs w:val="16"/>
              </w:rPr>
              <w:t>1</w:t>
            </w:r>
            <w:r>
              <w:rPr>
                <w:rFonts w:ascii="黑体" w:hAnsi="黑体" w:cs="黑体" w:eastAsia="黑体" w:hint="default"/>
                <w:sz w:val="16"/>
                <w:szCs w:val="16"/>
              </w:rPr>
              <w:t>号楼</w:t>
            </w:r>
            <w:r>
              <w:rPr>
                <w:rFonts w:ascii="Arial" w:hAnsi="Arial" w:cs="Arial" w:eastAsia="Arial" w:hint="default"/>
                <w:sz w:val="16"/>
                <w:szCs w:val="16"/>
              </w:rPr>
              <w:t>3</w:t>
            </w:r>
            <w:r>
              <w:rPr>
                <w:rFonts w:ascii="黑体" w:hAnsi="黑体" w:cs="黑体" w:eastAsia="黑体" w:hint="default"/>
                <w:sz w:val="16"/>
                <w:szCs w:val="16"/>
              </w:rPr>
              <w:t>层</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207"/>
              <w:jc w:val="right"/>
              <w:rPr>
                <w:rFonts w:ascii="Arial" w:hAnsi="Arial" w:cs="Arial" w:eastAsia="Arial" w:hint="default"/>
                <w:sz w:val="16"/>
                <w:szCs w:val="16"/>
              </w:rPr>
            </w:pPr>
            <w:r>
              <w:rPr>
                <w:rFonts w:ascii="Arial"/>
                <w:w w:val="95"/>
                <w:sz w:val="16"/>
              </w:rPr>
              <w:t>5,368,872</w:t>
            </w:r>
            <w:r>
              <w:rPr>
                <w:rFonts w:ascii="Arial"/>
                <w:sz w:val="16"/>
              </w:rPr>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13"/>
                <w:szCs w:val="13"/>
              </w:rPr>
            </w:pPr>
          </w:p>
          <w:p>
            <w:pPr>
              <w:pStyle w:val="TableParagraph"/>
              <w:spacing w:line="240" w:lineRule="auto"/>
              <w:ind w:right="111"/>
              <w:jc w:val="right"/>
              <w:rPr>
                <w:rFonts w:ascii="黑体" w:hAnsi="黑体" w:cs="黑体" w:eastAsia="黑体" w:hint="default"/>
                <w:sz w:val="16"/>
                <w:szCs w:val="16"/>
              </w:rPr>
            </w:pPr>
            <w:r>
              <w:rPr>
                <w:rFonts w:ascii="Arial" w:hAnsi="Arial" w:cs="Arial" w:eastAsia="Arial" w:hint="default"/>
                <w:w w:val="95"/>
                <w:sz w:val="16"/>
                <w:szCs w:val="16"/>
              </w:rPr>
              <w:t>2008</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22</w:t>
            </w:r>
            <w:r>
              <w:rPr>
                <w:rFonts w:ascii="黑体" w:hAnsi="黑体" w:cs="黑体" w:eastAsia="黑体" w:hint="default"/>
                <w:w w:val="95"/>
                <w:sz w:val="16"/>
                <w:szCs w:val="16"/>
              </w:rPr>
              <w:t>日</w:t>
            </w:r>
            <w:r>
              <w:rPr>
                <w:rFonts w:ascii="黑体" w:hAnsi="黑体" w:cs="黑体" w:eastAsia="黑体" w:hint="default"/>
                <w:sz w:val="16"/>
                <w:szCs w:val="16"/>
              </w:rPr>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13"/>
                <w:szCs w:val="13"/>
              </w:rPr>
            </w:pPr>
          </w:p>
          <w:p>
            <w:pPr>
              <w:pStyle w:val="TableParagraph"/>
              <w:spacing w:line="240" w:lineRule="auto"/>
              <w:ind w:right="86"/>
              <w:jc w:val="right"/>
              <w:rPr>
                <w:rFonts w:ascii="黑体" w:hAnsi="黑体" w:cs="黑体" w:eastAsia="黑体" w:hint="default"/>
                <w:sz w:val="16"/>
                <w:szCs w:val="16"/>
              </w:rPr>
            </w:pPr>
            <w:r>
              <w:rPr>
                <w:rFonts w:ascii="Arial" w:hAnsi="Arial" w:cs="Arial" w:eastAsia="Arial" w:hint="default"/>
                <w:w w:val="95"/>
                <w:sz w:val="16"/>
                <w:szCs w:val="16"/>
              </w:rPr>
              <w:t>2010</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21</w:t>
            </w:r>
            <w:r>
              <w:rPr>
                <w:rFonts w:ascii="黑体" w:hAnsi="黑体" w:cs="黑体" w:eastAsia="黑体" w:hint="default"/>
                <w:w w:val="95"/>
                <w:sz w:val="16"/>
                <w:szCs w:val="16"/>
              </w:rPr>
              <w:t>日</w:t>
            </w:r>
            <w:r>
              <w:rPr>
                <w:rFonts w:ascii="黑体" w:hAnsi="黑体" w:cs="黑体" w:eastAsia="黑体" w:hint="default"/>
                <w:sz w:val="16"/>
                <w:szCs w:val="16"/>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33"/>
              <w:jc w:val="righ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  </w:t>
            </w:r>
            <w:r>
              <w:rPr>
                <w:rFonts w:ascii="Arial"/>
                <w:spacing w:val="-17"/>
                <w:sz w:val="16"/>
                <w:u w:val="single" w:color="000000"/>
              </w:rPr>
              <w:t> </w:t>
            </w:r>
            <w:r>
              <w:rPr>
                <w:rFonts w:ascii="Arial"/>
                <w:w w:val="95"/>
                <w:sz w:val="16"/>
                <w:u w:val="single" w:color="000000"/>
              </w:rPr>
              <w:t>673,355</w:t>
            </w:r>
            <w:r>
              <w:rPr>
                <w:rFonts w:ascii="Arial"/>
                <w:w w:val="95"/>
                <w:sz w:val="16"/>
              </w:rPr>
            </w:r>
            <w:r>
              <w:rPr>
                <w:rFonts w:ascii="Arial"/>
                <w:sz w:val="16"/>
              </w:rPr>
            </w:r>
          </w:p>
        </w:tc>
      </w:tr>
      <w:tr>
        <w:trPr>
          <w:trHeight w:val="363" w:hRule="exact"/>
        </w:trPr>
        <w:tc>
          <w:tcPr>
            <w:tcW w:w="938"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Style w:val="TableParagraph"/>
              <w:spacing w:line="192" w:lineRule="exact"/>
              <w:ind w:right="45"/>
              <w:jc w:val="right"/>
              <w:rPr>
                <w:rFonts w:ascii="黑体" w:hAnsi="黑体" w:cs="黑体" w:eastAsia="黑体" w:hint="default"/>
                <w:sz w:val="16"/>
                <w:szCs w:val="16"/>
              </w:rPr>
            </w:pPr>
            <w:r>
              <w:rPr>
                <w:rFonts w:ascii="Arial" w:hAnsi="Arial" w:cs="Arial" w:eastAsia="Arial" w:hint="default"/>
                <w:w w:val="95"/>
                <w:sz w:val="16"/>
                <w:szCs w:val="16"/>
              </w:rPr>
              <w:t>1,560</w:t>
            </w:r>
            <w:r>
              <w:rPr>
                <w:rFonts w:ascii="黑体" w:hAnsi="黑体" w:cs="黑体" w:eastAsia="黑体" w:hint="default"/>
                <w:w w:val="95"/>
                <w:sz w:val="16"/>
                <w:szCs w:val="16"/>
              </w:rPr>
              <w:t>平方米</w:t>
            </w:r>
            <w:r>
              <w:rPr>
                <w:rFonts w:ascii="黑体" w:hAnsi="黑体" w:cs="黑体" w:eastAsia="黑体" w:hint="default"/>
                <w:sz w:val="16"/>
                <w:szCs w:val="16"/>
              </w:rPr>
            </w:r>
          </w:p>
        </w:tc>
        <w:tc>
          <w:tcPr>
            <w:tcW w:w="1003" w:type="dxa"/>
            <w:tcBorders>
              <w:top w:val="nil" w:sz="6" w:space="0" w:color="auto"/>
              <w:left w:val="nil" w:sz="6" w:space="0" w:color="auto"/>
              <w:bottom w:val="nil" w:sz="6" w:space="0" w:color="auto"/>
              <w:right w:val="nil" w:sz="6" w:space="0" w:color="auto"/>
            </w:tcBorders>
          </w:tcPr>
          <w:p>
            <w:pPr/>
          </w:p>
        </w:tc>
        <w:tc>
          <w:tcPr>
            <w:tcW w:w="1389" w:type="dxa"/>
            <w:tcBorders>
              <w:top w:val="nil" w:sz="6" w:space="0" w:color="auto"/>
              <w:left w:val="nil" w:sz="6" w:space="0" w:color="auto"/>
              <w:bottom w:val="nil" w:sz="6" w:space="0" w:color="auto"/>
              <w:right w:val="nil" w:sz="6" w:space="0" w:color="auto"/>
            </w:tcBorders>
          </w:tcPr>
          <w:p>
            <w:pPr/>
          </w:p>
        </w:tc>
        <w:tc>
          <w:tcPr>
            <w:tcW w:w="1303" w:type="dxa"/>
            <w:tcBorders>
              <w:top w:val="nil" w:sz="6" w:space="0" w:color="auto"/>
              <w:left w:val="nil" w:sz="6" w:space="0" w:color="auto"/>
              <w:bottom w:val="nil" w:sz="6" w:space="0" w:color="auto"/>
              <w:right w:val="nil" w:sz="6" w:space="0" w:color="auto"/>
            </w:tcBorders>
          </w:tcPr>
          <w:p>
            <w:pPr/>
          </w:p>
        </w:tc>
        <w:tc>
          <w:tcPr>
            <w:tcW w:w="855" w:type="dxa"/>
            <w:tcBorders>
              <w:top w:val="nil" w:sz="6" w:space="0" w:color="auto"/>
              <w:left w:val="nil" w:sz="6" w:space="0" w:color="auto"/>
              <w:bottom w:val="nil" w:sz="6" w:space="0" w:color="auto"/>
              <w:right w:val="nil" w:sz="6" w:space="0" w:color="auto"/>
            </w:tcBorders>
          </w:tcPr>
          <w:p>
            <w:pPr/>
          </w:p>
        </w:tc>
      </w:tr>
      <w:tr>
        <w:trPr>
          <w:trHeight w:val="478" w:hRule="exact"/>
        </w:trPr>
        <w:tc>
          <w:tcPr>
            <w:tcW w:w="938"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
        </w:tc>
        <w:tc>
          <w:tcPr>
            <w:tcW w:w="1389" w:type="dxa"/>
            <w:tcBorders>
              <w:top w:val="nil" w:sz="6" w:space="0" w:color="auto"/>
              <w:left w:val="nil" w:sz="6" w:space="0" w:color="auto"/>
              <w:bottom w:val="nil" w:sz="6" w:space="0" w:color="auto"/>
              <w:right w:val="nil" w:sz="6" w:space="0" w:color="auto"/>
            </w:tcBorders>
          </w:tcPr>
          <w:p>
            <w:pPr/>
          </w:p>
        </w:tc>
        <w:tc>
          <w:tcPr>
            <w:tcW w:w="1303" w:type="dxa"/>
            <w:tcBorders>
              <w:top w:val="nil" w:sz="6" w:space="0" w:color="auto"/>
              <w:left w:val="nil" w:sz="6" w:space="0" w:color="auto"/>
              <w:bottom w:val="nil" w:sz="6" w:space="0" w:color="auto"/>
              <w:right w:val="nil" w:sz="6" w:space="0" w:color="auto"/>
            </w:tcBorders>
          </w:tcPr>
          <w:p>
            <w:pP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sz w:val="11"/>
                <w:szCs w:val="11"/>
              </w:rPr>
            </w:pPr>
          </w:p>
          <w:p>
            <w:pPr>
              <w:pStyle w:val="TableParagraph"/>
              <w:spacing w:line="240" w:lineRule="auto"/>
              <w:ind w:right="52"/>
              <w:jc w:val="right"/>
              <w:rPr>
                <w:rFonts w:ascii="Arial" w:hAnsi="Arial" w:cs="Arial" w:eastAsia="Arial" w:hint="default"/>
                <w:sz w:val="16"/>
                <w:szCs w:val="16"/>
              </w:rPr>
            </w:pPr>
            <w:r>
              <w:rPr>
                <w:rFonts w:ascii="Arial"/>
                <w:w w:val="99"/>
                <w:sz w:val="16"/>
              </w:rPr>
            </w:r>
            <w:r>
              <w:rPr>
                <w:rFonts w:ascii="Arial"/>
                <w:w w:val="95"/>
                <w:sz w:val="16"/>
                <w:u w:val="thick" w:color="000000"/>
              </w:rPr>
              <w:t>2,691,483</w:t>
            </w:r>
            <w:r>
              <w:rPr>
                <w:rFonts w:ascii="Arial"/>
                <w:w w:val="95"/>
                <w:sz w:val="16"/>
              </w:rPr>
            </w:r>
            <w:r>
              <w:rPr>
                <w:rFonts w:ascii="Arial"/>
                <w:sz w:val="16"/>
              </w:rPr>
            </w:r>
          </w:p>
        </w:tc>
      </w:tr>
      <w:tr>
        <w:trPr>
          <w:trHeight w:val="509"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43"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c>
          <w:tcPr>
            <w:tcW w:w="974"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
        </w:tc>
        <w:tc>
          <w:tcPr>
            <w:tcW w:w="1389" w:type="dxa"/>
            <w:tcBorders>
              <w:top w:val="nil" w:sz="6" w:space="0" w:color="auto"/>
              <w:left w:val="nil" w:sz="6" w:space="0" w:color="auto"/>
              <w:bottom w:val="nil" w:sz="6" w:space="0" w:color="auto"/>
              <w:right w:val="nil" w:sz="6" w:space="0" w:color="auto"/>
            </w:tcBorders>
          </w:tcPr>
          <w:p>
            <w:pPr/>
          </w:p>
        </w:tc>
        <w:tc>
          <w:tcPr>
            <w:tcW w:w="1303" w:type="dxa"/>
            <w:tcBorders>
              <w:top w:val="nil" w:sz="6" w:space="0" w:color="auto"/>
              <w:left w:val="nil" w:sz="6" w:space="0" w:color="auto"/>
              <w:bottom w:val="nil" w:sz="6" w:space="0" w:color="auto"/>
              <w:right w:val="nil" w:sz="6" w:space="0" w:color="auto"/>
            </w:tcBorders>
          </w:tcPr>
          <w:p>
            <w:pPr/>
          </w:p>
        </w:tc>
        <w:tc>
          <w:tcPr>
            <w:tcW w:w="855" w:type="dxa"/>
            <w:tcBorders>
              <w:top w:val="nil" w:sz="6" w:space="0" w:color="auto"/>
              <w:left w:val="nil" w:sz="6" w:space="0" w:color="auto"/>
              <w:bottom w:val="nil" w:sz="6" w:space="0" w:color="auto"/>
              <w:right w:val="nil" w:sz="6" w:space="0" w:color="auto"/>
            </w:tcBorders>
          </w:tcPr>
          <w:p>
            <w:pPr/>
          </w:p>
        </w:tc>
      </w:tr>
      <w:tr>
        <w:trPr>
          <w:trHeight w:val="364" w:hRule="exact"/>
        </w:trPr>
        <w:tc>
          <w:tcPr>
            <w:tcW w:w="938"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4"/>
              <w:jc w:val="right"/>
              <w:rPr>
                <w:rFonts w:ascii="黑体" w:hAnsi="黑体" w:cs="黑体" w:eastAsia="黑体" w:hint="default"/>
                <w:sz w:val="16"/>
                <w:szCs w:val="16"/>
              </w:rPr>
            </w:pPr>
            <w:r>
              <w:rPr>
                <w:rFonts w:ascii="黑体" w:hAnsi="黑体" w:cs="黑体" w:eastAsia="黑体" w:hint="default"/>
                <w:w w:val="95"/>
                <w:sz w:val="16"/>
                <w:szCs w:val="16"/>
              </w:rPr>
              <w:t>租赁方</w:t>
            </w:r>
            <w:r>
              <w:rPr>
                <w:rFonts w:ascii="黑体" w:hAnsi="黑体" w:cs="黑体" w:eastAsia="黑体" w:hint="default"/>
                <w:sz w:val="16"/>
                <w:szCs w:val="16"/>
              </w:rPr>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8"/>
              <w:jc w:val="right"/>
              <w:rPr>
                <w:rFonts w:ascii="黑体" w:hAnsi="黑体" w:cs="黑体" w:eastAsia="黑体" w:hint="default"/>
                <w:sz w:val="16"/>
                <w:szCs w:val="16"/>
              </w:rPr>
            </w:pPr>
            <w:r>
              <w:rPr>
                <w:rFonts w:ascii="黑体" w:hAnsi="黑体" w:cs="黑体" w:eastAsia="黑体" w:hint="default"/>
                <w:w w:val="95"/>
                <w:sz w:val="16"/>
                <w:szCs w:val="16"/>
              </w:rPr>
              <w:t>租赁资产</w:t>
            </w:r>
            <w:r>
              <w:rPr>
                <w:rFonts w:ascii="黑体" w:hAnsi="黑体" w:cs="黑体" w:eastAsia="黑体" w:hint="default"/>
                <w:sz w:val="16"/>
                <w:szCs w:val="16"/>
              </w:rPr>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1"/>
              <w:jc w:val="right"/>
              <w:rPr>
                <w:rFonts w:ascii="黑体" w:hAnsi="黑体" w:cs="黑体" w:eastAsia="黑体" w:hint="default"/>
                <w:sz w:val="16"/>
                <w:szCs w:val="16"/>
              </w:rPr>
            </w:pPr>
            <w:r>
              <w:rPr>
                <w:rFonts w:ascii="黑体" w:hAnsi="黑体" w:cs="黑体" w:eastAsia="黑体" w:hint="default"/>
                <w:w w:val="95"/>
                <w:sz w:val="16"/>
                <w:szCs w:val="16"/>
              </w:rPr>
              <w:t>租赁资产</w:t>
            </w:r>
            <w:r>
              <w:rPr>
                <w:rFonts w:ascii="黑体" w:hAnsi="黑体" w:cs="黑体" w:eastAsia="黑体" w:hint="default"/>
                <w:sz w:val="16"/>
                <w:szCs w:val="16"/>
              </w:rPr>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10"/>
              <w:jc w:val="right"/>
              <w:rPr>
                <w:rFonts w:ascii="黑体" w:hAnsi="黑体" w:cs="黑体" w:eastAsia="黑体" w:hint="default"/>
                <w:sz w:val="16"/>
                <w:szCs w:val="16"/>
              </w:rPr>
            </w:pPr>
            <w:r>
              <w:rPr>
                <w:rFonts w:ascii="黑体" w:hAnsi="黑体" w:cs="黑体" w:eastAsia="黑体" w:hint="default"/>
                <w:w w:val="95"/>
                <w:sz w:val="16"/>
                <w:szCs w:val="16"/>
              </w:rPr>
              <w:t>租赁</w:t>
            </w:r>
            <w:r>
              <w:rPr>
                <w:rFonts w:ascii="黑体" w:hAnsi="黑体" w:cs="黑体" w:eastAsia="黑体" w:hint="default"/>
                <w:sz w:val="16"/>
                <w:szCs w:val="16"/>
              </w:rPr>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79"/>
              <w:jc w:val="right"/>
              <w:rPr>
                <w:rFonts w:ascii="黑体" w:hAnsi="黑体" w:cs="黑体" w:eastAsia="黑体" w:hint="default"/>
                <w:sz w:val="16"/>
                <w:szCs w:val="16"/>
              </w:rPr>
            </w:pPr>
            <w:r>
              <w:rPr>
                <w:rFonts w:ascii="黑体" w:hAnsi="黑体" w:cs="黑体" w:eastAsia="黑体" w:hint="default"/>
                <w:w w:val="95"/>
                <w:sz w:val="16"/>
                <w:szCs w:val="16"/>
              </w:rPr>
              <w:t>租赁</w:t>
            </w:r>
            <w:r>
              <w:rPr>
                <w:rFonts w:ascii="黑体" w:hAnsi="黑体" w:cs="黑体" w:eastAsia="黑体" w:hint="default"/>
                <w:sz w:val="16"/>
                <w:szCs w:val="16"/>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4"/>
              <w:jc w:val="right"/>
              <w:rPr>
                <w:rFonts w:ascii="黑体" w:hAnsi="黑体" w:cs="黑体" w:eastAsia="黑体" w:hint="default"/>
                <w:sz w:val="16"/>
                <w:szCs w:val="16"/>
              </w:rPr>
            </w:pPr>
            <w:r>
              <w:rPr>
                <w:rFonts w:ascii="黑体" w:hAnsi="黑体" w:cs="黑体" w:eastAsia="黑体" w:hint="default"/>
                <w:w w:val="95"/>
                <w:sz w:val="16"/>
                <w:szCs w:val="16"/>
              </w:rPr>
              <w:t>租赁</w:t>
            </w:r>
            <w:r>
              <w:rPr>
                <w:rFonts w:ascii="黑体" w:hAnsi="黑体" w:cs="黑体" w:eastAsia="黑体" w:hint="default"/>
                <w:sz w:val="16"/>
                <w:szCs w:val="16"/>
              </w:rPr>
            </w:r>
          </w:p>
        </w:tc>
      </w:tr>
      <w:tr>
        <w:trPr>
          <w:trHeight w:val="350" w:hRule="exact"/>
        </w:trPr>
        <w:tc>
          <w:tcPr>
            <w:tcW w:w="938"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Style w:val="TableParagraph"/>
              <w:spacing w:line="207" w:lineRule="exact"/>
              <w:ind w:right="44"/>
              <w:jc w:val="right"/>
              <w:rPr>
                <w:rFonts w:ascii="黑体" w:hAnsi="黑体" w:cs="黑体" w:eastAsia="黑体" w:hint="default"/>
                <w:sz w:val="16"/>
                <w:szCs w:val="16"/>
              </w:rPr>
            </w:pPr>
            <w:r>
              <w:rPr>
                <w:rFonts w:ascii="黑体" w:hAnsi="黑体" w:cs="黑体" w:eastAsia="黑体" w:hint="default"/>
                <w:w w:val="95"/>
                <w:sz w:val="16"/>
                <w:szCs w:val="16"/>
              </w:rPr>
              <w:t>名称</w:t>
            </w:r>
            <w:r>
              <w:rPr>
                <w:rFonts w:ascii="黑体" w:hAnsi="黑体" w:cs="黑体" w:eastAsia="黑体" w:hint="default"/>
                <w:sz w:val="16"/>
                <w:szCs w:val="16"/>
              </w:rPr>
            </w:r>
          </w:p>
        </w:tc>
        <w:tc>
          <w:tcPr>
            <w:tcW w:w="1552" w:type="dxa"/>
            <w:tcBorders>
              <w:top w:val="nil" w:sz="6" w:space="0" w:color="auto"/>
              <w:left w:val="nil" w:sz="6" w:space="0" w:color="auto"/>
              <w:bottom w:val="nil" w:sz="6" w:space="0" w:color="auto"/>
              <w:right w:val="nil" w:sz="6" w:space="0" w:color="auto"/>
            </w:tcBorders>
          </w:tcPr>
          <w:p>
            <w:pPr>
              <w:pStyle w:val="TableParagraph"/>
              <w:spacing w:line="207" w:lineRule="exact"/>
              <w:ind w:right="28"/>
              <w:jc w:val="right"/>
              <w:rPr>
                <w:rFonts w:ascii="黑体" w:hAnsi="黑体" w:cs="黑体" w:eastAsia="黑体" w:hint="default"/>
                <w:sz w:val="16"/>
                <w:szCs w:val="16"/>
              </w:rPr>
            </w:pPr>
            <w:r>
              <w:rPr>
                <w:rFonts w:ascii="黑体" w:hAnsi="黑体" w:cs="黑体" w:eastAsia="黑体" w:hint="default"/>
                <w:w w:val="95"/>
                <w:sz w:val="16"/>
                <w:szCs w:val="16"/>
              </w:rPr>
              <w:t>情况</w:t>
            </w:r>
            <w:r>
              <w:rPr>
                <w:rFonts w:ascii="黑体" w:hAnsi="黑体" w:cs="黑体" w:eastAsia="黑体" w:hint="default"/>
                <w:sz w:val="16"/>
                <w:szCs w:val="16"/>
              </w:rPr>
            </w:r>
          </w:p>
        </w:tc>
        <w:tc>
          <w:tcPr>
            <w:tcW w:w="1003" w:type="dxa"/>
            <w:tcBorders>
              <w:top w:val="nil" w:sz="6" w:space="0" w:color="auto"/>
              <w:left w:val="nil" w:sz="6" w:space="0" w:color="auto"/>
              <w:bottom w:val="nil" w:sz="6" w:space="0" w:color="auto"/>
              <w:right w:val="nil" w:sz="6" w:space="0" w:color="auto"/>
            </w:tcBorders>
          </w:tcPr>
          <w:p>
            <w:pPr>
              <w:pStyle w:val="TableParagraph"/>
              <w:spacing w:line="207" w:lineRule="exact"/>
              <w:ind w:right="171"/>
              <w:jc w:val="right"/>
              <w:rPr>
                <w:rFonts w:ascii="黑体" w:hAnsi="黑体" w:cs="黑体" w:eastAsia="黑体" w:hint="default"/>
                <w:sz w:val="16"/>
                <w:szCs w:val="16"/>
              </w:rPr>
            </w:pPr>
            <w:r>
              <w:rPr>
                <w:rFonts w:ascii="黑体" w:hAnsi="黑体" w:cs="黑体" w:eastAsia="黑体" w:hint="default"/>
                <w:w w:val="95"/>
                <w:sz w:val="16"/>
                <w:szCs w:val="16"/>
              </w:rPr>
              <w:t>涉及金额</w:t>
            </w:r>
            <w:r>
              <w:rPr>
                <w:rFonts w:ascii="黑体" w:hAnsi="黑体" w:cs="黑体" w:eastAsia="黑体" w:hint="default"/>
                <w:sz w:val="16"/>
                <w:szCs w:val="16"/>
              </w:rPr>
            </w:r>
          </w:p>
        </w:tc>
        <w:tc>
          <w:tcPr>
            <w:tcW w:w="1389" w:type="dxa"/>
            <w:tcBorders>
              <w:top w:val="nil" w:sz="6" w:space="0" w:color="auto"/>
              <w:left w:val="nil" w:sz="6" w:space="0" w:color="auto"/>
              <w:bottom w:val="nil" w:sz="6" w:space="0" w:color="auto"/>
              <w:right w:val="nil" w:sz="6" w:space="0" w:color="auto"/>
            </w:tcBorders>
          </w:tcPr>
          <w:p>
            <w:pPr>
              <w:pStyle w:val="TableParagraph"/>
              <w:spacing w:line="207" w:lineRule="exact"/>
              <w:ind w:right="110"/>
              <w:jc w:val="right"/>
              <w:rPr>
                <w:rFonts w:ascii="黑体" w:hAnsi="黑体" w:cs="黑体" w:eastAsia="黑体" w:hint="default"/>
                <w:sz w:val="16"/>
                <w:szCs w:val="16"/>
              </w:rPr>
            </w:pPr>
            <w:r>
              <w:rPr>
                <w:rFonts w:ascii="黑体" w:hAnsi="黑体" w:cs="黑体" w:eastAsia="黑体" w:hint="default"/>
                <w:w w:val="95"/>
                <w:sz w:val="16"/>
                <w:szCs w:val="16"/>
              </w:rPr>
              <w:t>起始日</w:t>
            </w:r>
            <w:r>
              <w:rPr>
                <w:rFonts w:ascii="黑体" w:hAnsi="黑体" w:cs="黑体" w:eastAsia="黑体" w:hint="default"/>
                <w:sz w:val="16"/>
                <w:szCs w:val="16"/>
              </w:rPr>
            </w:r>
          </w:p>
        </w:tc>
        <w:tc>
          <w:tcPr>
            <w:tcW w:w="1303" w:type="dxa"/>
            <w:tcBorders>
              <w:top w:val="nil" w:sz="6" w:space="0" w:color="auto"/>
              <w:left w:val="nil" w:sz="6" w:space="0" w:color="auto"/>
              <w:bottom w:val="nil" w:sz="6" w:space="0" w:color="auto"/>
              <w:right w:val="nil" w:sz="6" w:space="0" w:color="auto"/>
            </w:tcBorders>
          </w:tcPr>
          <w:p>
            <w:pPr>
              <w:pStyle w:val="TableParagraph"/>
              <w:spacing w:line="207" w:lineRule="exact"/>
              <w:ind w:right="79"/>
              <w:jc w:val="right"/>
              <w:rPr>
                <w:rFonts w:ascii="黑体" w:hAnsi="黑体" w:cs="黑体" w:eastAsia="黑体" w:hint="default"/>
                <w:sz w:val="16"/>
                <w:szCs w:val="16"/>
              </w:rPr>
            </w:pPr>
            <w:r>
              <w:rPr>
                <w:rFonts w:ascii="黑体" w:hAnsi="黑体" w:cs="黑体" w:eastAsia="黑体" w:hint="default"/>
                <w:w w:val="95"/>
                <w:sz w:val="16"/>
                <w:szCs w:val="16"/>
              </w:rPr>
              <w:t>终止日</w:t>
            </w:r>
            <w:r>
              <w:rPr>
                <w:rFonts w:ascii="黑体" w:hAnsi="黑体" w:cs="黑体" w:eastAsia="黑体" w:hint="default"/>
                <w:sz w:val="16"/>
                <w:szCs w:val="16"/>
              </w:rPr>
            </w:r>
          </w:p>
        </w:tc>
        <w:tc>
          <w:tcPr>
            <w:tcW w:w="855" w:type="dxa"/>
            <w:tcBorders>
              <w:top w:val="nil" w:sz="6" w:space="0" w:color="auto"/>
              <w:left w:val="nil" w:sz="6" w:space="0" w:color="auto"/>
              <w:bottom w:val="nil" w:sz="6" w:space="0" w:color="auto"/>
              <w:right w:val="nil" w:sz="6" w:space="0" w:color="auto"/>
            </w:tcBorders>
          </w:tcPr>
          <w:p>
            <w:pPr>
              <w:pStyle w:val="TableParagraph"/>
              <w:spacing w:line="207" w:lineRule="exact"/>
              <w:ind w:right="34"/>
              <w:jc w:val="right"/>
              <w:rPr>
                <w:rFonts w:ascii="黑体" w:hAnsi="黑体" w:cs="黑体" w:eastAsia="黑体" w:hint="default"/>
                <w:sz w:val="16"/>
                <w:szCs w:val="16"/>
              </w:rPr>
            </w:pPr>
            <w:r>
              <w:rPr>
                <w:rFonts w:ascii="黑体" w:hAnsi="黑体" w:cs="黑体" w:eastAsia="黑体" w:hint="default"/>
                <w:w w:val="95"/>
                <w:sz w:val="16"/>
                <w:szCs w:val="16"/>
              </w:rPr>
              <w:t>收益</w:t>
            </w:r>
            <w:r>
              <w:rPr>
                <w:rFonts w:ascii="黑体" w:hAnsi="黑体" w:cs="黑体" w:eastAsia="黑体" w:hint="default"/>
                <w:sz w:val="16"/>
                <w:szCs w:val="16"/>
              </w:rPr>
            </w:r>
          </w:p>
        </w:tc>
      </w:tr>
      <w:tr>
        <w:trPr>
          <w:trHeight w:val="326"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5" w:right="0"/>
              <w:jc w:val="left"/>
              <w:rPr>
                <w:rFonts w:ascii="黑体" w:hAnsi="黑体" w:cs="黑体" w:eastAsia="黑体" w:hint="default"/>
                <w:sz w:val="16"/>
                <w:szCs w:val="16"/>
              </w:rPr>
            </w:pPr>
            <w:r>
              <w:rPr>
                <w:rFonts w:ascii="黑体" w:hAnsi="黑体" w:cs="黑体" w:eastAsia="黑体" w:hint="default"/>
                <w:sz w:val="16"/>
                <w:szCs w:val="16"/>
              </w:rPr>
              <w:t>用友政务</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09" w:right="0"/>
              <w:jc w:val="left"/>
              <w:rPr>
                <w:rFonts w:ascii="黑体" w:hAnsi="黑体" w:cs="黑体" w:eastAsia="黑体" w:hint="default"/>
                <w:sz w:val="16"/>
                <w:szCs w:val="16"/>
              </w:rPr>
            </w:pPr>
            <w:r>
              <w:rPr>
                <w:rFonts w:ascii="黑体" w:hAnsi="黑体" w:cs="黑体" w:eastAsia="黑体" w:hint="default"/>
                <w:sz w:val="16"/>
                <w:szCs w:val="16"/>
              </w:rPr>
              <w:t>用友股份</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8"/>
              <w:jc w:val="right"/>
              <w:rPr>
                <w:rFonts w:ascii="黑体" w:hAnsi="黑体" w:cs="黑体" w:eastAsia="黑体" w:hint="default"/>
                <w:sz w:val="16"/>
                <w:szCs w:val="16"/>
              </w:rPr>
            </w:pPr>
            <w:r>
              <w:rPr>
                <w:rFonts w:ascii="黑体" w:hAnsi="黑体" w:cs="黑体" w:eastAsia="黑体" w:hint="default"/>
                <w:w w:val="95"/>
                <w:sz w:val="16"/>
                <w:szCs w:val="16"/>
              </w:rPr>
              <w:t>用友软件园</w:t>
            </w:r>
            <w:r>
              <w:rPr>
                <w:rFonts w:ascii="Arial" w:hAnsi="Arial" w:cs="Arial" w:eastAsia="Arial" w:hint="default"/>
                <w:w w:val="95"/>
                <w:sz w:val="16"/>
                <w:szCs w:val="16"/>
              </w:rPr>
              <w:t>1</w:t>
            </w:r>
            <w:r>
              <w:rPr>
                <w:rFonts w:ascii="黑体" w:hAnsi="黑体" w:cs="黑体" w:eastAsia="黑体" w:hint="default"/>
                <w:w w:val="95"/>
                <w:sz w:val="16"/>
                <w:szCs w:val="16"/>
              </w:rPr>
              <w:t>号楼</w:t>
            </w:r>
            <w:r>
              <w:rPr>
                <w:rFonts w:ascii="Arial" w:hAnsi="Arial" w:cs="Arial" w:eastAsia="Arial" w:hint="default"/>
                <w:w w:val="95"/>
                <w:sz w:val="16"/>
                <w:szCs w:val="16"/>
              </w:rPr>
              <w:t>2</w:t>
            </w:r>
            <w:r>
              <w:rPr>
                <w:rFonts w:ascii="黑体" w:hAnsi="黑体" w:cs="黑体" w:eastAsia="黑体" w:hint="default"/>
                <w:w w:val="95"/>
                <w:sz w:val="16"/>
                <w:szCs w:val="16"/>
              </w:rPr>
              <w:t>层</w:t>
            </w:r>
            <w:r>
              <w:rPr>
                <w:rFonts w:ascii="黑体" w:hAnsi="黑体" w:cs="黑体" w:eastAsia="黑体" w:hint="default"/>
                <w:sz w:val="16"/>
                <w:szCs w:val="16"/>
              </w:rPr>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71"/>
              <w:jc w:val="right"/>
              <w:rPr>
                <w:rFonts w:ascii="Arial" w:hAnsi="Arial" w:cs="Arial" w:eastAsia="Arial" w:hint="default"/>
                <w:sz w:val="16"/>
                <w:szCs w:val="16"/>
              </w:rPr>
            </w:pPr>
            <w:r>
              <w:rPr>
                <w:rFonts w:ascii="Arial"/>
                <w:w w:val="95"/>
                <w:sz w:val="16"/>
              </w:rPr>
              <w:t>11,688,476</w:t>
            </w:r>
            <w:r>
              <w:rPr>
                <w:rFonts w:ascii="Arial"/>
                <w:sz w:val="16"/>
              </w:rPr>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1"/>
              <w:jc w:val="right"/>
              <w:rPr>
                <w:rFonts w:ascii="黑体" w:hAnsi="黑体" w:cs="黑体" w:eastAsia="黑体" w:hint="default"/>
                <w:sz w:val="16"/>
                <w:szCs w:val="16"/>
              </w:rPr>
            </w:pPr>
            <w:r>
              <w:rPr>
                <w:rFonts w:ascii="Arial" w:hAnsi="Arial" w:cs="Arial" w:eastAsia="Arial" w:hint="default"/>
                <w:w w:val="95"/>
                <w:sz w:val="16"/>
                <w:szCs w:val="16"/>
              </w:rPr>
              <w:t>2008</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22</w:t>
            </w:r>
            <w:r>
              <w:rPr>
                <w:rFonts w:ascii="黑体" w:hAnsi="黑体" w:cs="黑体" w:eastAsia="黑体" w:hint="default"/>
                <w:w w:val="95"/>
                <w:sz w:val="16"/>
                <w:szCs w:val="16"/>
              </w:rPr>
              <w:t>日</w:t>
            </w:r>
            <w:r>
              <w:rPr>
                <w:rFonts w:ascii="黑体" w:hAnsi="黑体" w:cs="黑体" w:eastAsia="黑体" w:hint="default"/>
                <w:sz w:val="16"/>
                <w:szCs w:val="16"/>
              </w:rPr>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黑体" w:hAnsi="黑体" w:cs="黑体" w:eastAsia="黑体" w:hint="default"/>
                <w:sz w:val="16"/>
                <w:szCs w:val="16"/>
              </w:rPr>
            </w:pPr>
            <w:r>
              <w:rPr>
                <w:rFonts w:ascii="Arial" w:hAnsi="Arial" w:cs="Arial" w:eastAsia="Arial" w:hint="default"/>
                <w:w w:val="95"/>
                <w:sz w:val="16"/>
                <w:szCs w:val="16"/>
              </w:rPr>
              <w:t>2010</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21</w:t>
            </w:r>
            <w:r>
              <w:rPr>
                <w:rFonts w:ascii="黑体" w:hAnsi="黑体" w:cs="黑体" w:eastAsia="黑体" w:hint="default"/>
                <w:w w:val="95"/>
                <w:sz w:val="16"/>
                <w:szCs w:val="16"/>
              </w:rPr>
              <w:t>日</w:t>
            </w:r>
            <w:r>
              <w:rPr>
                <w:rFonts w:ascii="黑体" w:hAnsi="黑体" w:cs="黑体" w:eastAsia="黑体" w:hint="default"/>
                <w:sz w:val="16"/>
                <w:szCs w:val="16"/>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4"/>
              <w:jc w:val="right"/>
              <w:rPr>
                <w:rFonts w:ascii="Arial" w:hAnsi="Arial" w:cs="Arial" w:eastAsia="Arial" w:hint="default"/>
                <w:sz w:val="16"/>
                <w:szCs w:val="16"/>
              </w:rPr>
            </w:pPr>
            <w:r>
              <w:rPr>
                <w:rFonts w:ascii="Arial"/>
                <w:w w:val="95"/>
                <w:sz w:val="16"/>
              </w:rPr>
              <w:t>1,539,625</w:t>
            </w:r>
            <w:r>
              <w:rPr>
                <w:rFonts w:ascii="Arial"/>
                <w:sz w:val="16"/>
              </w:rPr>
            </w:r>
          </w:p>
        </w:tc>
      </w:tr>
      <w:tr>
        <w:trPr>
          <w:trHeight w:val="209" w:hRule="exact"/>
        </w:trPr>
        <w:tc>
          <w:tcPr>
            <w:tcW w:w="938"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Style w:val="TableParagraph"/>
              <w:spacing w:line="212" w:lineRule="exact"/>
              <w:ind w:right="28"/>
              <w:jc w:val="right"/>
              <w:rPr>
                <w:rFonts w:ascii="黑体" w:hAnsi="黑体" w:cs="黑体" w:eastAsia="黑体" w:hint="default"/>
                <w:sz w:val="16"/>
                <w:szCs w:val="16"/>
              </w:rPr>
            </w:pPr>
            <w:r>
              <w:rPr>
                <w:rFonts w:ascii="Arial" w:hAnsi="Arial" w:cs="Arial" w:eastAsia="Arial" w:hint="default"/>
                <w:w w:val="95"/>
                <w:sz w:val="16"/>
                <w:szCs w:val="16"/>
              </w:rPr>
              <w:t>3770</w:t>
            </w:r>
            <w:r>
              <w:rPr>
                <w:rFonts w:ascii="黑体" w:hAnsi="黑体" w:cs="黑体" w:eastAsia="黑体" w:hint="default"/>
                <w:w w:val="95"/>
                <w:sz w:val="16"/>
                <w:szCs w:val="16"/>
              </w:rPr>
              <w:t>平方米</w:t>
            </w:r>
            <w:r>
              <w:rPr>
                <w:rFonts w:ascii="黑体" w:hAnsi="黑体" w:cs="黑体" w:eastAsia="黑体" w:hint="default"/>
                <w:sz w:val="16"/>
                <w:szCs w:val="16"/>
              </w:rPr>
            </w:r>
          </w:p>
        </w:tc>
        <w:tc>
          <w:tcPr>
            <w:tcW w:w="1003" w:type="dxa"/>
            <w:tcBorders>
              <w:top w:val="nil" w:sz="6" w:space="0" w:color="auto"/>
              <w:left w:val="nil" w:sz="6" w:space="0" w:color="auto"/>
              <w:bottom w:val="nil" w:sz="6" w:space="0" w:color="auto"/>
              <w:right w:val="nil" w:sz="6" w:space="0" w:color="auto"/>
            </w:tcBorders>
          </w:tcPr>
          <w:p>
            <w:pPr/>
          </w:p>
        </w:tc>
        <w:tc>
          <w:tcPr>
            <w:tcW w:w="1389" w:type="dxa"/>
            <w:tcBorders>
              <w:top w:val="nil" w:sz="6" w:space="0" w:color="auto"/>
              <w:left w:val="nil" w:sz="6" w:space="0" w:color="auto"/>
              <w:bottom w:val="nil" w:sz="6" w:space="0" w:color="auto"/>
              <w:right w:val="nil" w:sz="6" w:space="0" w:color="auto"/>
            </w:tcBorders>
          </w:tcPr>
          <w:p>
            <w:pPr/>
          </w:p>
        </w:tc>
        <w:tc>
          <w:tcPr>
            <w:tcW w:w="1303" w:type="dxa"/>
            <w:tcBorders>
              <w:top w:val="nil" w:sz="6" w:space="0" w:color="auto"/>
              <w:left w:val="nil" w:sz="6" w:space="0" w:color="auto"/>
              <w:bottom w:val="nil" w:sz="6" w:space="0" w:color="auto"/>
              <w:right w:val="nil" w:sz="6" w:space="0" w:color="auto"/>
            </w:tcBorders>
          </w:tcPr>
          <w:p>
            <w:pPr/>
          </w:p>
        </w:tc>
        <w:tc>
          <w:tcPr>
            <w:tcW w:w="855"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958" w:footer="466" w:top="2560" w:bottom="660" w:left="1560" w:right="0"/>
        </w:sectPr>
      </w:pPr>
    </w:p>
    <w:p>
      <w:pPr>
        <w:spacing w:line="240" w:lineRule="auto" w:before="10"/>
        <w:rPr>
          <w:rFonts w:ascii="黑体" w:hAnsi="黑体" w:cs="黑体" w:eastAsia="黑体" w:hint="default"/>
          <w:sz w:val="18"/>
          <w:szCs w:val="18"/>
        </w:rPr>
      </w:pPr>
    </w:p>
    <w:p>
      <w:pPr>
        <w:tabs>
          <w:tab w:pos="1860" w:val="left" w:leader="none"/>
          <w:tab w:pos="2789" w:val="left" w:leader="none"/>
        </w:tabs>
        <w:spacing w:line="214" w:lineRule="exact" w:before="0"/>
        <w:ind w:left="847" w:right="-20" w:firstLine="0"/>
        <w:jc w:val="left"/>
        <w:rPr>
          <w:rFonts w:ascii="黑体" w:hAnsi="黑体" w:cs="黑体" w:eastAsia="黑体" w:hint="default"/>
          <w:sz w:val="16"/>
          <w:szCs w:val="16"/>
        </w:rPr>
      </w:pPr>
      <w:r>
        <w:rPr>
          <w:rFonts w:ascii="黑体" w:hAnsi="黑体" w:cs="黑体" w:eastAsia="黑体" w:hint="default"/>
          <w:w w:val="95"/>
          <w:sz w:val="16"/>
          <w:szCs w:val="16"/>
        </w:rPr>
        <w:t>用友艾福斯</w:t>
        <w:tab/>
        <w:t>用友股份</w:t>
        <w:tab/>
        <w:t>用友软件园</w:t>
      </w:r>
      <w:r>
        <w:rPr>
          <w:rFonts w:ascii="Arial" w:hAnsi="Arial" w:cs="Arial" w:eastAsia="Arial" w:hint="default"/>
          <w:w w:val="95"/>
          <w:sz w:val="16"/>
          <w:szCs w:val="16"/>
        </w:rPr>
        <w:t>1</w:t>
      </w:r>
      <w:r>
        <w:rPr>
          <w:rFonts w:ascii="黑体" w:hAnsi="黑体" w:cs="黑体" w:eastAsia="黑体" w:hint="default"/>
          <w:w w:val="95"/>
          <w:sz w:val="16"/>
          <w:szCs w:val="16"/>
        </w:rPr>
        <w:t>号楼</w:t>
      </w:r>
      <w:r>
        <w:rPr>
          <w:rFonts w:ascii="Arial" w:hAnsi="Arial" w:cs="Arial" w:eastAsia="Arial" w:hint="default"/>
          <w:w w:val="95"/>
          <w:sz w:val="16"/>
          <w:szCs w:val="16"/>
        </w:rPr>
        <w:t>3</w:t>
      </w:r>
      <w:r>
        <w:rPr>
          <w:rFonts w:ascii="黑体" w:hAnsi="黑体" w:cs="黑体" w:eastAsia="黑体" w:hint="default"/>
          <w:w w:val="95"/>
          <w:sz w:val="16"/>
          <w:szCs w:val="16"/>
        </w:rPr>
        <w:t>层</w:t>
      </w:r>
      <w:r>
        <w:rPr>
          <w:rFonts w:ascii="黑体" w:hAnsi="黑体" w:cs="黑体" w:eastAsia="黑体" w:hint="default"/>
          <w:sz w:val="16"/>
          <w:szCs w:val="16"/>
        </w:rPr>
      </w:r>
    </w:p>
    <w:p>
      <w:pPr>
        <w:spacing w:line="214" w:lineRule="exact" w:before="0"/>
        <w:ind w:left="848" w:right="-20" w:firstLine="2518"/>
        <w:jc w:val="left"/>
        <w:rPr>
          <w:rFonts w:ascii="黑体" w:hAnsi="黑体" w:cs="黑体" w:eastAsia="黑体" w:hint="default"/>
          <w:sz w:val="16"/>
          <w:szCs w:val="16"/>
        </w:rPr>
      </w:pPr>
      <w:r>
        <w:rPr>
          <w:rFonts w:ascii="Arial" w:hAnsi="Arial" w:cs="Arial" w:eastAsia="Arial" w:hint="default"/>
          <w:w w:val="95"/>
          <w:sz w:val="16"/>
          <w:szCs w:val="16"/>
        </w:rPr>
        <w:t>578.5</w:t>
      </w:r>
      <w:r>
        <w:rPr>
          <w:rFonts w:ascii="黑体" w:hAnsi="黑体" w:cs="黑体" w:eastAsia="黑体" w:hint="default"/>
          <w:w w:val="95"/>
          <w:sz w:val="16"/>
          <w:szCs w:val="16"/>
        </w:rPr>
        <w:t>平方米</w:t>
      </w:r>
      <w:r>
        <w:rPr>
          <w:rFonts w:ascii="黑体" w:hAnsi="黑体" w:cs="黑体" w:eastAsia="黑体" w:hint="default"/>
          <w:sz w:val="16"/>
          <w:szCs w:val="16"/>
        </w:rPr>
      </w:r>
    </w:p>
    <w:p>
      <w:pPr>
        <w:spacing w:line="240" w:lineRule="auto" w:before="6"/>
        <w:rPr>
          <w:rFonts w:ascii="黑体" w:hAnsi="黑体" w:cs="黑体" w:eastAsia="黑体" w:hint="default"/>
          <w:sz w:val="18"/>
          <w:szCs w:val="18"/>
        </w:rPr>
      </w:pPr>
    </w:p>
    <w:p>
      <w:pPr>
        <w:tabs>
          <w:tab w:pos="1860" w:val="left" w:leader="none"/>
          <w:tab w:pos="2789" w:val="left" w:leader="none"/>
        </w:tabs>
        <w:spacing w:line="214" w:lineRule="exact" w:before="0"/>
        <w:ind w:left="848" w:right="-20" w:firstLine="0"/>
        <w:jc w:val="left"/>
        <w:rPr>
          <w:rFonts w:ascii="黑体" w:hAnsi="黑体" w:cs="黑体" w:eastAsia="黑体" w:hint="default"/>
          <w:sz w:val="16"/>
          <w:szCs w:val="16"/>
        </w:rPr>
      </w:pPr>
      <w:r>
        <w:rPr>
          <w:rFonts w:ascii="黑体" w:hAnsi="黑体" w:cs="黑体" w:eastAsia="黑体" w:hint="default"/>
          <w:w w:val="95"/>
          <w:sz w:val="16"/>
          <w:szCs w:val="16"/>
        </w:rPr>
        <w:t>用友华表</w:t>
        <w:tab/>
        <w:t>用友股份</w:t>
        <w:tab/>
        <w:t>用友软件园</w:t>
      </w:r>
      <w:r>
        <w:rPr>
          <w:rFonts w:ascii="Arial" w:hAnsi="Arial" w:cs="Arial" w:eastAsia="Arial" w:hint="default"/>
          <w:w w:val="95"/>
          <w:sz w:val="16"/>
          <w:szCs w:val="16"/>
        </w:rPr>
        <w:t>1</w:t>
      </w:r>
      <w:r>
        <w:rPr>
          <w:rFonts w:ascii="黑体" w:hAnsi="黑体" w:cs="黑体" w:eastAsia="黑体" w:hint="default"/>
          <w:w w:val="95"/>
          <w:sz w:val="16"/>
          <w:szCs w:val="16"/>
        </w:rPr>
        <w:t>号楼</w:t>
      </w:r>
      <w:r>
        <w:rPr>
          <w:rFonts w:ascii="Arial" w:hAnsi="Arial" w:cs="Arial" w:eastAsia="Arial" w:hint="default"/>
          <w:w w:val="95"/>
          <w:sz w:val="16"/>
          <w:szCs w:val="16"/>
        </w:rPr>
        <w:t>3</w:t>
      </w:r>
      <w:r>
        <w:rPr>
          <w:rFonts w:ascii="黑体" w:hAnsi="黑体" w:cs="黑体" w:eastAsia="黑体" w:hint="default"/>
          <w:w w:val="95"/>
          <w:sz w:val="16"/>
          <w:szCs w:val="16"/>
        </w:rPr>
        <w:t>层</w:t>
      </w:r>
      <w:r>
        <w:rPr>
          <w:rFonts w:ascii="黑体" w:hAnsi="黑体" w:cs="黑体" w:eastAsia="黑体" w:hint="default"/>
          <w:sz w:val="16"/>
          <w:szCs w:val="16"/>
        </w:rPr>
      </w:r>
    </w:p>
    <w:p>
      <w:pPr>
        <w:spacing w:line="214" w:lineRule="exact" w:before="0"/>
        <w:ind w:left="847" w:right="-20" w:firstLine="2519"/>
        <w:jc w:val="left"/>
        <w:rPr>
          <w:rFonts w:ascii="黑体" w:hAnsi="黑体" w:cs="黑体" w:eastAsia="黑体" w:hint="default"/>
          <w:sz w:val="16"/>
          <w:szCs w:val="16"/>
        </w:rPr>
      </w:pPr>
      <w:r>
        <w:rPr>
          <w:rFonts w:ascii="Arial" w:hAnsi="Arial" w:cs="Arial" w:eastAsia="Arial" w:hint="default"/>
          <w:w w:val="95"/>
          <w:sz w:val="16"/>
          <w:szCs w:val="16"/>
        </w:rPr>
        <w:t>488.8</w:t>
      </w:r>
      <w:r>
        <w:rPr>
          <w:rFonts w:ascii="黑体" w:hAnsi="黑体" w:cs="黑体" w:eastAsia="黑体" w:hint="default"/>
          <w:w w:val="95"/>
          <w:sz w:val="16"/>
          <w:szCs w:val="16"/>
        </w:rPr>
        <w:t>平方米</w:t>
      </w:r>
      <w:r>
        <w:rPr>
          <w:rFonts w:ascii="黑体" w:hAnsi="黑体" w:cs="黑体" w:eastAsia="黑体" w:hint="default"/>
          <w:sz w:val="16"/>
          <w:szCs w:val="16"/>
        </w:rPr>
      </w:r>
    </w:p>
    <w:p>
      <w:pPr>
        <w:spacing w:line="240" w:lineRule="auto" w:before="5"/>
        <w:rPr>
          <w:rFonts w:ascii="黑体" w:hAnsi="黑体" w:cs="黑体" w:eastAsia="黑体" w:hint="default"/>
          <w:sz w:val="18"/>
          <w:szCs w:val="18"/>
        </w:rPr>
      </w:pPr>
    </w:p>
    <w:p>
      <w:pPr>
        <w:tabs>
          <w:tab w:pos="1859" w:val="left" w:leader="none"/>
          <w:tab w:pos="2788" w:val="left" w:leader="none"/>
        </w:tabs>
        <w:spacing w:line="214" w:lineRule="exact" w:before="0"/>
        <w:ind w:left="847" w:right="-20" w:firstLine="0"/>
        <w:jc w:val="left"/>
        <w:rPr>
          <w:rFonts w:ascii="黑体" w:hAnsi="黑体" w:cs="黑体" w:eastAsia="黑体" w:hint="default"/>
          <w:sz w:val="16"/>
          <w:szCs w:val="16"/>
        </w:rPr>
      </w:pPr>
      <w:r>
        <w:rPr>
          <w:rFonts w:ascii="黑体" w:hAnsi="黑体" w:cs="黑体" w:eastAsia="黑体" w:hint="default"/>
          <w:w w:val="95"/>
          <w:sz w:val="16"/>
          <w:szCs w:val="16"/>
        </w:rPr>
        <w:t>用友移动</w:t>
        <w:tab/>
        <w:t>用友股份</w:t>
        <w:tab/>
      </w:r>
      <w:r>
        <w:rPr>
          <w:rFonts w:ascii="黑体" w:hAnsi="黑体" w:cs="黑体" w:eastAsia="黑体" w:hint="default"/>
          <w:sz w:val="16"/>
          <w:szCs w:val="16"/>
        </w:rPr>
        <w:t>用友软件园</w:t>
      </w:r>
      <w:r>
        <w:rPr>
          <w:rFonts w:ascii="Arial" w:hAnsi="Arial" w:cs="Arial" w:eastAsia="Arial" w:hint="default"/>
          <w:sz w:val="16"/>
          <w:szCs w:val="16"/>
        </w:rPr>
        <w:t>1</w:t>
      </w:r>
      <w:r>
        <w:rPr>
          <w:rFonts w:ascii="黑体" w:hAnsi="黑体" w:cs="黑体" w:eastAsia="黑体" w:hint="default"/>
          <w:sz w:val="16"/>
          <w:szCs w:val="16"/>
        </w:rPr>
        <w:t>号楼</w:t>
      </w:r>
      <w:r>
        <w:rPr>
          <w:rFonts w:ascii="Arial" w:hAnsi="Arial" w:cs="Arial" w:eastAsia="Arial" w:hint="default"/>
          <w:sz w:val="16"/>
          <w:szCs w:val="16"/>
        </w:rPr>
        <w:t>3</w:t>
      </w:r>
      <w:r>
        <w:rPr>
          <w:rFonts w:ascii="黑体" w:hAnsi="黑体" w:cs="黑体" w:eastAsia="黑体" w:hint="default"/>
          <w:sz w:val="16"/>
          <w:szCs w:val="16"/>
        </w:rPr>
        <w:t>层</w:t>
      </w:r>
    </w:p>
    <w:p>
      <w:pPr>
        <w:spacing w:line="214" w:lineRule="exact" w:before="0"/>
        <w:ind w:left="0" w:right="0" w:firstLine="0"/>
        <w:jc w:val="right"/>
        <w:rPr>
          <w:rFonts w:ascii="黑体" w:hAnsi="黑体" w:cs="黑体" w:eastAsia="黑体" w:hint="default"/>
          <w:sz w:val="16"/>
          <w:szCs w:val="16"/>
        </w:rPr>
      </w:pPr>
      <w:r>
        <w:rPr>
          <w:rFonts w:ascii="Arial" w:hAnsi="Arial" w:cs="Arial" w:eastAsia="Arial" w:hint="default"/>
          <w:w w:val="95"/>
          <w:sz w:val="16"/>
          <w:szCs w:val="16"/>
        </w:rPr>
        <w:t>1,560</w:t>
      </w:r>
      <w:r>
        <w:rPr>
          <w:rFonts w:ascii="黑体" w:hAnsi="黑体" w:cs="黑体" w:eastAsia="黑体" w:hint="default"/>
          <w:w w:val="95"/>
          <w:sz w:val="16"/>
          <w:szCs w:val="16"/>
        </w:rPr>
        <w:t>平方米</w:t>
      </w:r>
      <w:r>
        <w:rPr>
          <w:rFonts w:ascii="黑体" w:hAnsi="黑体" w:cs="黑体" w:eastAsia="黑体" w:hint="default"/>
          <w:sz w:val="16"/>
          <w:szCs w:val="16"/>
        </w:rPr>
      </w:r>
    </w:p>
    <w:p>
      <w:pPr>
        <w:tabs>
          <w:tab w:pos="1334" w:val="left" w:leader="none"/>
        </w:tabs>
        <w:spacing w:line="211" w:lineRule="exact" w:before="0"/>
        <w:ind w:left="0" w:right="1288" w:firstLine="0"/>
        <w:jc w:val="center"/>
        <w:rPr>
          <w:rFonts w:ascii="黑体" w:hAnsi="黑体" w:cs="黑体" w:eastAsia="黑体" w:hint="default"/>
          <w:sz w:val="16"/>
          <w:szCs w:val="16"/>
        </w:rPr>
      </w:pPr>
      <w:r>
        <w:rPr>
          <w:w w:val="95"/>
        </w:rPr>
        <w:br w:type="column"/>
      </w:r>
      <w:r>
        <w:rPr>
          <w:rFonts w:ascii="Arial" w:hAnsi="Arial" w:cs="Arial" w:eastAsia="Arial" w:hint="default"/>
          <w:w w:val="95"/>
          <w:sz w:val="16"/>
          <w:szCs w:val="16"/>
        </w:rPr>
        <w:t>2007</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22</w:t>
      </w:r>
      <w:r>
        <w:rPr>
          <w:rFonts w:ascii="黑体" w:hAnsi="黑体" w:cs="黑体" w:eastAsia="黑体" w:hint="default"/>
          <w:w w:val="95"/>
          <w:sz w:val="16"/>
          <w:szCs w:val="16"/>
        </w:rPr>
        <w:t>日</w:t>
        <w:tab/>
      </w:r>
      <w:r>
        <w:rPr>
          <w:rFonts w:ascii="Arial" w:hAnsi="Arial" w:cs="Arial" w:eastAsia="Arial" w:hint="default"/>
          <w:sz w:val="16"/>
          <w:szCs w:val="16"/>
        </w:rPr>
        <w:t>2008</w:t>
      </w:r>
      <w:r>
        <w:rPr>
          <w:rFonts w:ascii="黑体" w:hAnsi="黑体" w:cs="黑体" w:eastAsia="黑体" w:hint="default"/>
          <w:sz w:val="16"/>
          <w:szCs w:val="16"/>
        </w:rPr>
        <w:t>年</w:t>
      </w:r>
      <w:r>
        <w:rPr>
          <w:rFonts w:ascii="Arial" w:hAnsi="Arial" w:cs="Arial" w:eastAsia="Arial" w:hint="default"/>
          <w:sz w:val="16"/>
          <w:szCs w:val="16"/>
        </w:rPr>
        <w:t>3</w:t>
      </w:r>
      <w:r>
        <w:rPr>
          <w:rFonts w:ascii="黑体" w:hAnsi="黑体" w:cs="黑体" w:eastAsia="黑体" w:hint="default"/>
          <w:sz w:val="16"/>
          <w:szCs w:val="16"/>
        </w:rPr>
        <w:t>月</w:t>
      </w:r>
      <w:r>
        <w:rPr>
          <w:rFonts w:ascii="Arial" w:hAnsi="Arial" w:cs="Arial" w:eastAsia="Arial" w:hint="default"/>
          <w:sz w:val="16"/>
          <w:szCs w:val="16"/>
        </w:rPr>
        <w:t>21</w:t>
      </w:r>
      <w:r>
        <w:rPr>
          <w:rFonts w:ascii="黑体" w:hAnsi="黑体" w:cs="黑体" w:eastAsia="黑体" w:hint="default"/>
          <w:sz w:val="16"/>
          <w:szCs w:val="16"/>
        </w:rPr>
        <w:t>日</w:t>
      </w:r>
    </w:p>
    <w:p>
      <w:pPr>
        <w:tabs>
          <w:tab w:pos="1057" w:val="left" w:leader="none"/>
          <w:tab w:pos="2391" w:val="left" w:leader="none"/>
          <w:tab w:pos="3817" w:val="left" w:leader="none"/>
        </w:tabs>
        <w:spacing w:before="35"/>
        <w:ind w:left="0" w:right="1444" w:firstLine="0"/>
        <w:jc w:val="center"/>
        <w:rPr>
          <w:rFonts w:ascii="Arial" w:hAnsi="Arial" w:cs="Arial" w:eastAsia="Arial" w:hint="default"/>
          <w:sz w:val="16"/>
          <w:szCs w:val="16"/>
        </w:rPr>
      </w:pPr>
      <w:r>
        <w:rPr>
          <w:rFonts w:ascii="Arial" w:hAnsi="Arial" w:cs="Arial" w:eastAsia="Arial" w:hint="default"/>
          <w:w w:val="95"/>
          <w:position w:val="2"/>
          <w:sz w:val="16"/>
          <w:szCs w:val="16"/>
        </w:rPr>
        <w:t>2,006,464</w:t>
        <w:tab/>
      </w:r>
      <w:r>
        <w:rPr>
          <w:rFonts w:ascii="Arial" w:hAnsi="Arial" w:cs="Arial" w:eastAsia="Arial" w:hint="default"/>
          <w:w w:val="95"/>
          <w:sz w:val="16"/>
          <w:szCs w:val="16"/>
        </w:rPr>
        <w:t>2008</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22</w:t>
      </w:r>
      <w:r>
        <w:rPr>
          <w:rFonts w:ascii="黑体" w:hAnsi="黑体" w:cs="黑体" w:eastAsia="黑体" w:hint="default"/>
          <w:w w:val="95"/>
          <w:sz w:val="16"/>
          <w:szCs w:val="16"/>
        </w:rPr>
        <w:t>日</w:t>
        <w:tab/>
      </w:r>
      <w:r>
        <w:rPr>
          <w:rFonts w:ascii="Arial" w:hAnsi="Arial" w:cs="Arial" w:eastAsia="Arial" w:hint="default"/>
          <w:w w:val="95"/>
          <w:sz w:val="16"/>
          <w:szCs w:val="16"/>
        </w:rPr>
        <w:t>2010</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21</w:t>
      </w:r>
      <w:r>
        <w:rPr>
          <w:rFonts w:ascii="黑体" w:hAnsi="黑体" w:cs="黑体" w:eastAsia="黑体" w:hint="default"/>
          <w:w w:val="95"/>
          <w:sz w:val="16"/>
          <w:szCs w:val="16"/>
        </w:rPr>
        <w:t>日</w:t>
        <w:tab/>
      </w:r>
      <w:r>
        <w:rPr>
          <w:rFonts w:ascii="Arial" w:hAnsi="Arial" w:cs="Arial" w:eastAsia="Arial" w:hint="default"/>
          <w:position w:val="2"/>
          <w:sz w:val="16"/>
          <w:szCs w:val="16"/>
        </w:rPr>
        <w:t>205,570</w:t>
      </w:r>
      <w:r>
        <w:rPr>
          <w:rFonts w:ascii="Arial" w:hAnsi="Arial" w:cs="Arial" w:eastAsia="Arial" w:hint="default"/>
          <w:sz w:val="16"/>
          <w:szCs w:val="16"/>
        </w:rPr>
      </w:r>
    </w:p>
    <w:p>
      <w:pPr>
        <w:spacing w:line="240" w:lineRule="auto" w:before="9"/>
        <w:rPr>
          <w:rFonts w:ascii="Arial" w:hAnsi="Arial" w:cs="Arial" w:eastAsia="Arial" w:hint="default"/>
          <w:sz w:val="16"/>
          <w:szCs w:val="16"/>
        </w:rPr>
      </w:pPr>
    </w:p>
    <w:p>
      <w:pPr>
        <w:tabs>
          <w:tab w:pos="1334" w:val="left" w:leader="none"/>
        </w:tabs>
        <w:spacing w:before="0"/>
        <w:ind w:left="0" w:right="1287" w:firstLine="0"/>
        <w:jc w:val="center"/>
        <w:rPr>
          <w:rFonts w:ascii="黑体" w:hAnsi="黑体" w:cs="黑体" w:eastAsia="黑体" w:hint="default"/>
          <w:sz w:val="16"/>
          <w:szCs w:val="16"/>
        </w:rPr>
      </w:pPr>
      <w:r>
        <w:rPr>
          <w:rFonts w:ascii="Arial" w:hAnsi="Arial" w:cs="Arial" w:eastAsia="Arial" w:hint="default"/>
          <w:w w:val="95"/>
          <w:sz w:val="16"/>
          <w:szCs w:val="16"/>
        </w:rPr>
        <w:t>2007</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22</w:t>
      </w:r>
      <w:r>
        <w:rPr>
          <w:rFonts w:ascii="黑体" w:hAnsi="黑体" w:cs="黑体" w:eastAsia="黑体" w:hint="default"/>
          <w:w w:val="95"/>
          <w:sz w:val="16"/>
          <w:szCs w:val="16"/>
        </w:rPr>
        <w:t>日</w:t>
        <w:tab/>
      </w:r>
      <w:r>
        <w:rPr>
          <w:rFonts w:ascii="Arial" w:hAnsi="Arial" w:cs="Arial" w:eastAsia="Arial" w:hint="default"/>
          <w:sz w:val="16"/>
          <w:szCs w:val="16"/>
        </w:rPr>
        <w:t>2008</w:t>
      </w:r>
      <w:r>
        <w:rPr>
          <w:rFonts w:ascii="黑体" w:hAnsi="黑体" w:cs="黑体" w:eastAsia="黑体" w:hint="default"/>
          <w:sz w:val="16"/>
          <w:szCs w:val="16"/>
        </w:rPr>
        <w:t>年</w:t>
      </w:r>
      <w:r>
        <w:rPr>
          <w:rFonts w:ascii="Arial" w:hAnsi="Arial" w:cs="Arial" w:eastAsia="Arial" w:hint="default"/>
          <w:sz w:val="16"/>
          <w:szCs w:val="16"/>
        </w:rPr>
        <w:t>3</w:t>
      </w:r>
      <w:r>
        <w:rPr>
          <w:rFonts w:ascii="黑体" w:hAnsi="黑体" w:cs="黑体" w:eastAsia="黑体" w:hint="default"/>
          <w:sz w:val="16"/>
          <w:szCs w:val="16"/>
        </w:rPr>
        <w:t>月</w:t>
      </w:r>
      <w:r>
        <w:rPr>
          <w:rFonts w:ascii="Arial" w:hAnsi="Arial" w:cs="Arial" w:eastAsia="Arial" w:hint="default"/>
          <w:sz w:val="16"/>
          <w:szCs w:val="16"/>
        </w:rPr>
        <w:t>21</w:t>
      </w:r>
      <w:r>
        <w:rPr>
          <w:rFonts w:ascii="黑体" w:hAnsi="黑体" w:cs="黑体" w:eastAsia="黑体" w:hint="default"/>
          <w:sz w:val="16"/>
          <w:szCs w:val="16"/>
        </w:rPr>
        <w:t>日</w:t>
      </w:r>
    </w:p>
    <w:p>
      <w:pPr>
        <w:tabs>
          <w:tab w:pos="1057" w:val="left" w:leader="none"/>
          <w:tab w:pos="2391" w:val="left" w:leader="none"/>
          <w:tab w:pos="3816" w:val="left" w:leader="none"/>
        </w:tabs>
        <w:spacing w:before="35"/>
        <w:ind w:left="0" w:right="1446" w:firstLine="0"/>
        <w:jc w:val="center"/>
        <w:rPr>
          <w:rFonts w:ascii="Arial" w:hAnsi="Arial" w:cs="Arial" w:eastAsia="Arial" w:hint="default"/>
          <w:sz w:val="16"/>
          <w:szCs w:val="16"/>
        </w:rPr>
      </w:pPr>
      <w:r>
        <w:rPr>
          <w:rFonts w:ascii="Arial" w:hAnsi="Arial" w:cs="Arial" w:eastAsia="Arial" w:hint="default"/>
          <w:w w:val="95"/>
          <w:position w:val="2"/>
          <w:sz w:val="16"/>
          <w:szCs w:val="16"/>
        </w:rPr>
        <w:t>1,695,349</w:t>
        <w:tab/>
      </w:r>
      <w:r>
        <w:rPr>
          <w:rFonts w:ascii="Arial" w:hAnsi="Arial" w:cs="Arial" w:eastAsia="Arial" w:hint="default"/>
          <w:w w:val="95"/>
          <w:sz w:val="16"/>
          <w:szCs w:val="16"/>
        </w:rPr>
        <w:t>2008</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22</w:t>
      </w:r>
      <w:r>
        <w:rPr>
          <w:rFonts w:ascii="黑体" w:hAnsi="黑体" w:cs="黑体" w:eastAsia="黑体" w:hint="default"/>
          <w:w w:val="95"/>
          <w:sz w:val="16"/>
          <w:szCs w:val="16"/>
        </w:rPr>
        <w:t>日</w:t>
        <w:tab/>
      </w:r>
      <w:r>
        <w:rPr>
          <w:rFonts w:ascii="Arial" w:hAnsi="Arial" w:cs="Arial" w:eastAsia="Arial" w:hint="default"/>
          <w:spacing w:val="-1"/>
          <w:sz w:val="16"/>
          <w:szCs w:val="16"/>
        </w:rPr>
        <w:t>2010</w:t>
      </w:r>
      <w:r>
        <w:rPr>
          <w:rFonts w:ascii="黑体" w:hAnsi="黑体" w:cs="黑体" w:eastAsia="黑体" w:hint="default"/>
          <w:spacing w:val="-1"/>
          <w:sz w:val="16"/>
          <w:szCs w:val="16"/>
        </w:rPr>
        <w:t>年</w:t>
      </w:r>
      <w:r>
        <w:rPr>
          <w:rFonts w:ascii="Arial" w:hAnsi="Arial" w:cs="Arial" w:eastAsia="Arial" w:hint="default"/>
          <w:spacing w:val="-1"/>
          <w:sz w:val="16"/>
          <w:szCs w:val="16"/>
        </w:rPr>
        <w:t>3</w:t>
      </w:r>
      <w:r>
        <w:rPr>
          <w:rFonts w:ascii="黑体" w:hAnsi="黑体" w:cs="黑体" w:eastAsia="黑体" w:hint="default"/>
          <w:spacing w:val="-1"/>
          <w:sz w:val="16"/>
          <w:szCs w:val="16"/>
        </w:rPr>
        <w:t>月</w:t>
      </w:r>
      <w:r>
        <w:rPr>
          <w:rFonts w:ascii="Arial" w:hAnsi="Arial" w:cs="Arial" w:eastAsia="Arial" w:hint="default"/>
          <w:spacing w:val="-1"/>
          <w:sz w:val="16"/>
          <w:szCs w:val="16"/>
        </w:rPr>
        <w:t>21</w:t>
      </w:r>
      <w:r>
        <w:rPr>
          <w:rFonts w:ascii="黑体" w:hAnsi="黑体" w:cs="黑体" w:eastAsia="黑体" w:hint="default"/>
          <w:spacing w:val="-1"/>
          <w:sz w:val="16"/>
          <w:szCs w:val="16"/>
        </w:rPr>
        <w:t>日</w:t>
        <w:tab/>
      </w:r>
      <w:r>
        <w:rPr>
          <w:rFonts w:ascii="Arial" w:hAnsi="Arial" w:cs="Arial" w:eastAsia="Arial" w:hint="default"/>
          <w:position w:val="2"/>
          <w:sz w:val="16"/>
          <w:szCs w:val="16"/>
        </w:rPr>
        <w:t>225,634</w:t>
      </w:r>
      <w:r>
        <w:rPr>
          <w:rFonts w:ascii="Arial" w:hAnsi="Arial" w:cs="Arial" w:eastAsia="Arial" w:hint="default"/>
          <w:sz w:val="16"/>
          <w:szCs w:val="16"/>
        </w:rPr>
      </w:r>
    </w:p>
    <w:p>
      <w:pPr>
        <w:spacing w:line="240" w:lineRule="auto" w:before="10"/>
        <w:rPr>
          <w:rFonts w:ascii="Arial" w:hAnsi="Arial" w:cs="Arial" w:eastAsia="Arial" w:hint="default"/>
          <w:sz w:val="16"/>
          <w:szCs w:val="16"/>
        </w:rPr>
      </w:pPr>
    </w:p>
    <w:p>
      <w:pPr>
        <w:tabs>
          <w:tab w:pos="1334" w:val="left" w:leader="none"/>
        </w:tabs>
        <w:spacing w:before="0"/>
        <w:ind w:left="0" w:right="1289" w:firstLine="0"/>
        <w:jc w:val="center"/>
        <w:rPr>
          <w:rFonts w:ascii="黑体" w:hAnsi="黑体" w:cs="黑体" w:eastAsia="黑体" w:hint="default"/>
          <w:sz w:val="16"/>
          <w:szCs w:val="16"/>
        </w:rPr>
      </w:pPr>
      <w:r>
        <w:rPr>
          <w:rFonts w:ascii="Arial" w:hAnsi="Arial" w:cs="Arial" w:eastAsia="Arial" w:hint="default"/>
          <w:w w:val="95"/>
          <w:sz w:val="16"/>
          <w:szCs w:val="16"/>
        </w:rPr>
        <w:t>2007</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22</w:t>
      </w:r>
      <w:r>
        <w:rPr>
          <w:rFonts w:ascii="黑体" w:hAnsi="黑体" w:cs="黑体" w:eastAsia="黑体" w:hint="default"/>
          <w:w w:val="95"/>
          <w:sz w:val="16"/>
          <w:szCs w:val="16"/>
        </w:rPr>
        <w:t>日</w:t>
        <w:tab/>
      </w:r>
      <w:r>
        <w:rPr>
          <w:rFonts w:ascii="Arial" w:hAnsi="Arial" w:cs="Arial" w:eastAsia="Arial" w:hint="default"/>
          <w:sz w:val="16"/>
          <w:szCs w:val="16"/>
        </w:rPr>
        <w:t>2008</w:t>
      </w:r>
      <w:r>
        <w:rPr>
          <w:rFonts w:ascii="黑体" w:hAnsi="黑体" w:cs="黑体" w:eastAsia="黑体" w:hint="default"/>
          <w:sz w:val="16"/>
          <w:szCs w:val="16"/>
        </w:rPr>
        <w:t>年</w:t>
      </w:r>
      <w:r>
        <w:rPr>
          <w:rFonts w:ascii="Arial" w:hAnsi="Arial" w:cs="Arial" w:eastAsia="Arial" w:hint="default"/>
          <w:sz w:val="16"/>
          <w:szCs w:val="16"/>
        </w:rPr>
        <w:t>3</w:t>
      </w:r>
      <w:r>
        <w:rPr>
          <w:rFonts w:ascii="黑体" w:hAnsi="黑体" w:cs="黑体" w:eastAsia="黑体" w:hint="default"/>
          <w:sz w:val="16"/>
          <w:szCs w:val="16"/>
        </w:rPr>
        <w:t>月</w:t>
      </w:r>
      <w:r>
        <w:rPr>
          <w:rFonts w:ascii="Arial" w:hAnsi="Arial" w:cs="Arial" w:eastAsia="Arial" w:hint="default"/>
          <w:sz w:val="16"/>
          <w:szCs w:val="16"/>
        </w:rPr>
        <w:t>21</w:t>
      </w:r>
      <w:r>
        <w:rPr>
          <w:rFonts w:ascii="黑体" w:hAnsi="黑体" w:cs="黑体" w:eastAsia="黑体" w:hint="default"/>
          <w:sz w:val="16"/>
          <w:szCs w:val="16"/>
        </w:rPr>
        <w:t>日</w:t>
      </w:r>
    </w:p>
    <w:p>
      <w:pPr>
        <w:tabs>
          <w:tab w:pos="1057" w:val="left" w:leader="none"/>
          <w:tab w:pos="2391" w:val="left" w:leader="none"/>
        </w:tabs>
        <w:spacing w:before="33"/>
        <w:ind w:left="0" w:right="1445" w:firstLine="0"/>
        <w:jc w:val="center"/>
        <w:rPr>
          <w:rFonts w:ascii="Arial" w:hAnsi="Arial" w:cs="Arial" w:eastAsia="Arial" w:hint="default"/>
          <w:sz w:val="16"/>
          <w:szCs w:val="16"/>
        </w:rPr>
      </w:pPr>
      <w:r>
        <w:rPr>
          <w:rFonts w:ascii="Arial" w:hAnsi="Arial" w:cs="Arial" w:eastAsia="Arial" w:hint="default"/>
          <w:w w:val="95"/>
          <w:position w:val="2"/>
          <w:sz w:val="16"/>
          <w:szCs w:val="16"/>
        </w:rPr>
        <w:t>5,410,689</w:t>
        <w:tab/>
      </w:r>
      <w:r>
        <w:rPr>
          <w:rFonts w:ascii="Arial" w:hAnsi="Arial" w:cs="Arial" w:eastAsia="Arial" w:hint="default"/>
          <w:w w:val="95"/>
          <w:sz w:val="16"/>
          <w:szCs w:val="16"/>
        </w:rPr>
        <w:t>2008</w:t>
      </w:r>
      <w:r>
        <w:rPr>
          <w:rFonts w:ascii="黑体" w:hAnsi="黑体" w:cs="黑体" w:eastAsia="黑体" w:hint="default"/>
          <w:w w:val="95"/>
          <w:sz w:val="16"/>
          <w:szCs w:val="16"/>
        </w:rPr>
        <w:t>年</w:t>
      </w:r>
      <w:r>
        <w:rPr>
          <w:rFonts w:ascii="Arial" w:hAnsi="Arial" w:cs="Arial" w:eastAsia="Arial" w:hint="default"/>
          <w:w w:val="95"/>
          <w:sz w:val="16"/>
          <w:szCs w:val="16"/>
        </w:rPr>
        <w:t>3</w:t>
      </w:r>
      <w:r>
        <w:rPr>
          <w:rFonts w:ascii="黑体" w:hAnsi="黑体" w:cs="黑体" w:eastAsia="黑体" w:hint="default"/>
          <w:w w:val="95"/>
          <w:sz w:val="16"/>
          <w:szCs w:val="16"/>
        </w:rPr>
        <w:t>月</w:t>
      </w:r>
      <w:r>
        <w:rPr>
          <w:rFonts w:ascii="Arial" w:hAnsi="Arial" w:cs="Arial" w:eastAsia="Arial" w:hint="default"/>
          <w:w w:val="95"/>
          <w:sz w:val="16"/>
          <w:szCs w:val="16"/>
        </w:rPr>
        <w:t>22</w:t>
      </w:r>
      <w:r>
        <w:rPr>
          <w:rFonts w:ascii="黑体" w:hAnsi="黑体" w:cs="黑体" w:eastAsia="黑体" w:hint="default"/>
          <w:w w:val="95"/>
          <w:sz w:val="16"/>
          <w:szCs w:val="16"/>
        </w:rPr>
        <w:t>日</w:t>
        <w:tab/>
      </w:r>
      <w:r>
        <w:rPr>
          <w:rFonts w:ascii="Arial" w:hAnsi="Arial" w:cs="Arial" w:eastAsia="Arial" w:hint="default"/>
          <w:sz w:val="16"/>
          <w:szCs w:val="16"/>
        </w:rPr>
        <w:t>2010</w:t>
      </w:r>
      <w:r>
        <w:rPr>
          <w:rFonts w:ascii="黑体" w:hAnsi="黑体" w:cs="黑体" w:eastAsia="黑体" w:hint="default"/>
          <w:sz w:val="16"/>
          <w:szCs w:val="16"/>
        </w:rPr>
        <w:t>年</w:t>
      </w:r>
      <w:r>
        <w:rPr>
          <w:rFonts w:ascii="Arial" w:hAnsi="Arial" w:cs="Arial" w:eastAsia="Arial" w:hint="default"/>
          <w:sz w:val="16"/>
          <w:szCs w:val="16"/>
        </w:rPr>
        <w:t>3</w:t>
      </w:r>
      <w:r>
        <w:rPr>
          <w:rFonts w:ascii="黑体" w:hAnsi="黑体" w:cs="黑体" w:eastAsia="黑体" w:hint="default"/>
          <w:sz w:val="16"/>
          <w:szCs w:val="16"/>
        </w:rPr>
        <w:t>月</w:t>
      </w:r>
      <w:r>
        <w:rPr>
          <w:rFonts w:ascii="Arial" w:hAnsi="Arial" w:cs="Arial" w:eastAsia="Arial" w:hint="default"/>
          <w:sz w:val="16"/>
          <w:szCs w:val="16"/>
        </w:rPr>
        <w:t>21</w:t>
      </w:r>
      <w:r>
        <w:rPr>
          <w:rFonts w:ascii="黑体" w:hAnsi="黑体" w:cs="黑体" w:eastAsia="黑体" w:hint="default"/>
          <w:sz w:val="16"/>
          <w:szCs w:val="16"/>
        </w:rPr>
        <w:t>日  </w:t>
      </w:r>
      <w:r>
        <w:rPr>
          <w:rFonts w:ascii="黑体" w:hAnsi="黑体" w:cs="黑体" w:eastAsia="黑体" w:hint="default"/>
          <w:spacing w:val="79"/>
          <w:sz w:val="16"/>
          <w:szCs w:val="16"/>
        </w:rPr>
        <w:t> </w:t>
      </w:r>
      <w:r>
        <w:rPr>
          <w:rFonts w:ascii="Arial" w:hAnsi="Arial" w:cs="Arial" w:eastAsia="Arial" w:hint="default"/>
          <w:spacing w:val="79"/>
          <w:position w:val="2"/>
          <w:sz w:val="16"/>
          <w:szCs w:val="16"/>
        </w:rPr>
      </w:r>
      <w:r>
        <w:rPr>
          <w:rFonts w:ascii="Arial" w:hAnsi="Arial" w:cs="Arial" w:eastAsia="Arial" w:hint="default"/>
          <w:spacing w:val="79"/>
          <w:position w:val="2"/>
          <w:sz w:val="16"/>
          <w:szCs w:val="16"/>
          <w:u w:val="single" w:color="000000"/>
        </w:rPr>
        <w:t> </w:t>
      </w:r>
      <w:r>
        <w:rPr>
          <w:rFonts w:ascii="Arial" w:hAnsi="Arial" w:cs="Arial" w:eastAsia="Arial" w:hint="default"/>
          <w:position w:val="2"/>
          <w:sz w:val="16"/>
          <w:szCs w:val="16"/>
          <w:u w:val="single" w:color="000000"/>
        </w:rPr>
        <w:t>611,113</w:t>
      </w:r>
      <w:r>
        <w:rPr>
          <w:rFonts w:ascii="Arial" w:hAnsi="Arial" w:cs="Arial" w:eastAsia="Arial" w:hint="default"/>
          <w:position w:val="2"/>
          <w:sz w:val="16"/>
          <w:szCs w:val="16"/>
        </w:rPr>
      </w:r>
      <w:r>
        <w:rPr>
          <w:rFonts w:ascii="Arial" w:hAnsi="Arial" w:cs="Arial" w:eastAsia="Arial" w:hint="default"/>
          <w:sz w:val="16"/>
          <w:szCs w:val="16"/>
        </w:rPr>
      </w:r>
    </w:p>
    <w:p>
      <w:pPr>
        <w:spacing w:after="0"/>
        <w:jc w:val="center"/>
        <w:rPr>
          <w:rFonts w:ascii="Arial" w:hAnsi="Arial" w:cs="Arial" w:eastAsia="Arial" w:hint="default"/>
          <w:sz w:val="16"/>
          <w:szCs w:val="16"/>
        </w:rPr>
        <w:sectPr>
          <w:type w:val="continuous"/>
          <w:pgSz w:w="11910" w:h="16840"/>
          <w:pgMar w:top="900" w:bottom="280" w:left="1560" w:right="0"/>
          <w:cols w:num="2" w:equalWidth="0">
            <w:col w:w="4247" w:space="40"/>
            <w:col w:w="6063"/>
          </w:cols>
        </w:sectPr>
      </w:pPr>
    </w:p>
    <w:p>
      <w:pPr>
        <w:spacing w:line="240" w:lineRule="auto" w:before="5"/>
        <w:rPr>
          <w:rFonts w:ascii="Arial" w:hAnsi="Arial" w:cs="Arial" w:eastAsia="Arial" w:hint="default"/>
          <w:sz w:val="21"/>
          <w:szCs w:val="21"/>
        </w:rPr>
      </w:pPr>
    </w:p>
    <w:p>
      <w:pPr>
        <w:spacing w:before="79"/>
        <w:ind w:left="0" w:right="1555" w:firstLine="0"/>
        <w:jc w:val="right"/>
        <w:rPr>
          <w:rFonts w:ascii="Arial" w:hAnsi="Arial" w:cs="Arial" w:eastAsia="Arial" w:hint="default"/>
          <w:sz w:val="16"/>
          <w:szCs w:val="16"/>
        </w:rPr>
      </w:pPr>
      <w:r>
        <w:rPr>
          <w:rFonts w:ascii="Arial"/>
          <w:w w:val="99"/>
          <w:sz w:val="16"/>
        </w:rPr>
      </w:r>
      <w:r>
        <w:rPr>
          <w:rFonts w:ascii="Arial"/>
          <w:w w:val="95"/>
          <w:sz w:val="16"/>
          <w:u w:val="thick" w:color="000000"/>
        </w:rPr>
        <w:t>2,581,942</w:t>
      </w:r>
      <w:r>
        <w:rPr>
          <w:rFonts w:ascii="Arial"/>
          <w:w w:val="95"/>
          <w:sz w:val="16"/>
        </w:rPr>
      </w:r>
      <w:r>
        <w:rPr>
          <w:rFonts w:ascii="Arial"/>
          <w:sz w:val="16"/>
        </w:rPr>
      </w:r>
    </w:p>
    <w:p>
      <w:pPr>
        <w:spacing w:after="0"/>
        <w:jc w:val="right"/>
        <w:rPr>
          <w:rFonts w:ascii="Arial" w:hAnsi="Arial" w:cs="Arial" w:eastAsia="Arial" w:hint="default"/>
          <w:sz w:val="16"/>
          <w:szCs w:val="16"/>
        </w:rPr>
        <w:sectPr>
          <w:type w:val="continuous"/>
          <w:pgSz w:w="11910" w:h="16840"/>
          <w:pgMar w:top="900" w:bottom="280" w:left="1560" w:right="0"/>
        </w:sectPr>
      </w:pPr>
    </w:p>
    <w:p>
      <w:pPr>
        <w:spacing w:line="240" w:lineRule="auto" w:before="0"/>
        <w:rPr>
          <w:rFonts w:ascii="Arial" w:hAnsi="Arial" w:cs="Arial" w:eastAsia="Arial" w:hint="default"/>
          <w:sz w:val="20"/>
          <w:szCs w:val="20"/>
        </w:rPr>
      </w:pPr>
    </w:p>
    <w:p>
      <w:pPr>
        <w:spacing w:line="240" w:lineRule="auto" w:before="5"/>
        <w:rPr>
          <w:rFonts w:ascii="Arial" w:hAnsi="Arial" w:cs="Arial" w:eastAsia="Arial" w:hint="default"/>
          <w:sz w:val="20"/>
          <w:szCs w:val="20"/>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819" w:val="left" w:leader="none"/>
        </w:tabs>
        <w:spacing w:before="0"/>
        <w:ind w:left="141" w:right="1058" w:firstLine="0"/>
        <w:jc w:val="left"/>
        <w:rPr>
          <w:rFonts w:ascii="黑体" w:hAnsi="黑体" w:cs="黑体" w:eastAsia="黑体" w:hint="default"/>
          <w:sz w:val="20"/>
          <w:szCs w:val="20"/>
        </w:rPr>
      </w:pPr>
      <w:r>
        <w:rPr>
          <w:rFonts w:ascii="Arial" w:hAnsi="Arial" w:cs="Arial" w:eastAsia="Arial" w:hint="default"/>
          <w:b/>
          <w:bCs/>
          <w:spacing w:val="-1"/>
          <w:sz w:val="20"/>
          <w:szCs w:val="20"/>
        </w:rPr>
        <w:t>39.</w:t>
        <w:tab/>
      </w:r>
      <w:r>
        <w:rPr>
          <w:rFonts w:ascii="黑体" w:hAnsi="黑体" w:cs="黑体" w:eastAsia="黑体" w:hint="default"/>
          <w:b/>
          <w:bCs/>
          <w:sz w:val="20"/>
          <w:szCs w:val="20"/>
        </w:rPr>
        <w:t>本公司与关联方之主要交易（续）</w:t>
      </w:r>
      <w:r>
        <w:rPr>
          <w:rFonts w:ascii="黑体" w:hAnsi="黑体" w:cs="黑体" w:eastAsia="黑体" w:hint="default"/>
          <w:sz w:val="20"/>
          <w:szCs w:val="20"/>
        </w:rPr>
      </w:r>
    </w:p>
    <w:p>
      <w:pPr>
        <w:spacing w:line="240" w:lineRule="auto" w:before="4"/>
        <w:rPr>
          <w:rFonts w:ascii="黑体" w:hAnsi="黑体" w:cs="黑体" w:eastAsia="黑体" w:hint="default"/>
          <w:b/>
          <w:bCs/>
          <w:sz w:val="16"/>
          <w:szCs w:val="16"/>
        </w:rPr>
      </w:pPr>
    </w:p>
    <w:p>
      <w:pPr>
        <w:pStyle w:val="BodyText"/>
        <w:spacing w:line="240" w:lineRule="auto"/>
        <w:ind w:left="855" w:right="1058"/>
        <w:jc w:val="left"/>
      </w:pPr>
      <w:r>
        <w:rPr>
          <w:rFonts w:ascii="Arial" w:hAnsi="Arial" w:cs="Arial" w:eastAsia="Arial" w:hint="default"/>
        </w:rPr>
        <w:t>(7)  </w:t>
      </w:r>
      <w:r>
        <w:rPr>
          <w:rFonts w:ascii="Arial" w:hAnsi="Arial" w:cs="Arial" w:eastAsia="Arial" w:hint="default"/>
          <w:spacing w:val="31"/>
        </w:rPr>
        <w:t> </w:t>
      </w:r>
      <w:r>
        <w:rPr/>
        <w:t>其他关联方交易</w:t>
      </w:r>
    </w:p>
    <w:p>
      <w:pPr>
        <w:spacing w:line="240" w:lineRule="auto" w:before="4"/>
        <w:rPr>
          <w:rFonts w:ascii="黑体" w:hAnsi="黑体" w:cs="黑体" w:eastAsia="黑体" w:hint="default"/>
          <w:sz w:val="16"/>
          <w:szCs w:val="16"/>
        </w:rPr>
      </w:pPr>
    </w:p>
    <w:p>
      <w:pPr>
        <w:pStyle w:val="BodyText"/>
        <w:tabs>
          <w:tab w:pos="4913" w:val="left" w:leader="none"/>
          <w:tab w:pos="7319" w:val="left" w:leader="none"/>
        </w:tabs>
        <w:spacing w:line="240" w:lineRule="auto"/>
        <w:ind w:left="847" w:right="1058"/>
        <w:jc w:val="left"/>
      </w:pPr>
      <w:r>
        <w:rPr>
          <w:spacing w:val="-1"/>
        </w:rPr>
        <w:t>主办会议收入</w:t>
        <w:tab/>
      </w:r>
      <w:r>
        <w:rPr>
          <w:rFonts w:ascii="Arial" w:hAnsi="Arial" w:cs="Arial" w:eastAsia="Arial" w:hint="default"/>
          <w:spacing w:val="-1"/>
        </w:rPr>
        <w:t>2009</w:t>
      </w:r>
      <w:r>
        <w:rPr>
          <w:spacing w:val="-1"/>
        </w:rPr>
        <w:t>年</w:t>
        <w:tab/>
      </w:r>
      <w:r>
        <w:rPr>
          <w:rFonts w:ascii="Arial" w:hAnsi="Arial" w:cs="Arial" w:eastAsia="Arial" w:hint="default"/>
          <w:spacing w:val="-1"/>
        </w:rPr>
        <w:t>2008</w:t>
      </w:r>
      <w:r>
        <w:rPr>
          <w:spacing w:val="-1"/>
        </w:rPr>
        <w:t>年</w:t>
      </w:r>
    </w:p>
    <w:tbl>
      <w:tblPr>
        <w:tblW w:w="0" w:type="auto"/>
        <w:jc w:val="left"/>
        <w:tblInd w:w="812" w:type="dxa"/>
        <w:tblLayout w:type="fixed"/>
        <w:tblCellMar>
          <w:top w:w="0" w:type="dxa"/>
          <w:left w:w="0" w:type="dxa"/>
          <w:bottom w:w="0" w:type="dxa"/>
          <w:right w:w="0" w:type="dxa"/>
        </w:tblCellMar>
        <w:tblLook w:val="01E0"/>
      </w:tblPr>
      <w:tblGrid>
        <w:gridCol w:w="3433"/>
        <w:gridCol w:w="1199"/>
        <w:gridCol w:w="784"/>
        <w:gridCol w:w="427"/>
        <w:gridCol w:w="1195"/>
        <w:gridCol w:w="798"/>
      </w:tblGrid>
      <w:tr>
        <w:trPr>
          <w:trHeight w:val="780" w:hRule="exact"/>
        </w:trPr>
        <w:tc>
          <w:tcPr>
            <w:tcW w:w="34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
              <w:ind w:right="0"/>
              <w:jc w:val="left"/>
              <w:rPr>
                <w:rFonts w:ascii="黑体" w:hAnsi="黑体" w:cs="黑体" w:eastAsia="黑体" w:hint="default"/>
                <w:sz w:val="17"/>
                <w:szCs w:val="17"/>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用友政务</w:t>
            </w:r>
          </w:p>
        </w:tc>
        <w:tc>
          <w:tcPr>
            <w:tcW w:w="1199" w:type="dxa"/>
            <w:tcBorders>
              <w:top w:val="single" w:sz="4" w:space="0" w:color="000000"/>
              <w:left w:val="nil" w:sz="6" w:space="0" w:color="auto"/>
              <w:bottom w:val="nil" w:sz="6" w:space="0" w:color="auto"/>
              <w:right w:val="nil" w:sz="6" w:space="0" w:color="auto"/>
            </w:tcBorders>
          </w:tcPr>
          <w:p>
            <w:pPr>
              <w:pStyle w:val="TableParagraph"/>
              <w:spacing w:line="227" w:lineRule="exact"/>
              <w:ind w:left="407" w:right="0" w:firstLine="322"/>
              <w:jc w:val="left"/>
              <w:rPr>
                <w:rFonts w:ascii="黑体" w:hAnsi="黑体" w:cs="黑体" w:eastAsia="黑体" w:hint="default"/>
                <w:sz w:val="20"/>
                <w:szCs w:val="20"/>
              </w:rPr>
            </w:pPr>
            <w:r>
              <w:rPr>
                <w:rFonts w:ascii="黑体" w:hAnsi="黑体" w:cs="黑体" w:eastAsia="黑体" w:hint="default"/>
                <w:sz w:val="20"/>
                <w:szCs w:val="20"/>
              </w:rPr>
              <w:t>金额</w:t>
            </w:r>
          </w:p>
          <w:p>
            <w:pPr>
              <w:pStyle w:val="TableParagraph"/>
              <w:spacing w:line="240" w:lineRule="auto" w:before="9"/>
              <w:ind w:right="0"/>
              <w:jc w:val="left"/>
              <w:rPr>
                <w:rFonts w:ascii="黑体" w:hAnsi="黑体" w:cs="黑体" w:eastAsia="黑体" w:hint="default"/>
                <w:sz w:val="22"/>
                <w:szCs w:val="22"/>
              </w:rPr>
            </w:pPr>
          </w:p>
          <w:p>
            <w:pPr>
              <w:pStyle w:val="TableParagraph"/>
              <w:spacing w:line="240" w:lineRule="auto"/>
              <w:ind w:left="407" w:right="0"/>
              <w:jc w:val="left"/>
              <w:rPr>
                <w:rFonts w:ascii="Arial" w:hAnsi="Arial" w:cs="Arial" w:eastAsia="Arial" w:hint="default"/>
                <w:sz w:val="20"/>
                <w:szCs w:val="20"/>
              </w:rPr>
            </w:pPr>
            <w:r>
              <w:rPr>
                <w:rFonts w:ascii="Arial"/>
                <w:sz w:val="20"/>
              </w:rPr>
              <w:t>267,630</w:t>
            </w:r>
          </w:p>
        </w:tc>
        <w:tc>
          <w:tcPr>
            <w:tcW w:w="784" w:type="dxa"/>
            <w:tcBorders>
              <w:top w:val="single" w:sz="4" w:space="0" w:color="000000"/>
              <w:left w:val="nil" w:sz="6" w:space="0" w:color="auto"/>
              <w:bottom w:val="nil" w:sz="6" w:space="0" w:color="auto"/>
              <w:right w:val="nil" w:sz="6" w:space="0" w:color="auto"/>
            </w:tcBorders>
          </w:tcPr>
          <w:p>
            <w:pPr>
              <w:pStyle w:val="TableParagraph"/>
              <w:spacing w:line="241" w:lineRule="exact"/>
              <w:ind w:right="1"/>
              <w:jc w:val="right"/>
              <w:rPr>
                <w:rFonts w:ascii="Arial" w:hAnsi="Arial" w:cs="Arial" w:eastAsia="Arial" w:hint="default"/>
                <w:sz w:val="20"/>
                <w:szCs w:val="20"/>
              </w:rPr>
            </w:pPr>
            <w:r>
              <w:rPr>
                <w:rFonts w:ascii="黑体" w:hAnsi="黑体" w:cs="黑体" w:eastAsia="黑体" w:hint="default"/>
                <w:spacing w:val="-1"/>
                <w:sz w:val="20"/>
                <w:szCs w:val="20"/>
              </w:rPr>
              <w:t>比例</w:t>
            </w:r>
            <w:r>
              <w:rPr>
                <w:rFonts w:ascii="Arial" w:hAnsi="Arial" w:cs="Arial" w:eastAsia="Arial" w:hint="default"/>
                <w:spacing w:val="-1"/>
                <w:sz w:val="20"/>
                <w:szCs w:val="20"/>
              </w:rPr>
              <w:t>(%)</w:t>
            </w:r>
          </w:p>
          <w:p>
            <w:pPr>
              <w:pStyle w:val="TableParagraph"/>
              <w:spacing w:line="240" w:lineRule="auto" w:before="8"/>
              <w:ind w:right="0"/>
              <w:jc w:val="left"/>
              <w:rPr>
                <w:rFonts w:ascii="黑体" w:hAnsi="黑体" w:cs="黑体" w:eastAsia="黑体" w:hint="default"/>
                <w:sz w:val="21"/>
                <w:szCs w:val="21"/>
              </w:rPr>
            </w:pPr>
          </w:p>
          <w:p>
            <w:pPr>
              <w:pStyle w:val="TableParagraph"/>
              <w:spacing w:line="240" w:lineRule="auto"/>
              <w:ind w:right="2"/>
              <w:jc w:val="right"/>
              <w:rPr>
                <w:rFonts w:ascii="Arial" w:hAnsi="Arial" w:cs="Arial" w:eastAsia="Arial" w:hint="default"/>
                <w:sz w:val="20"/>
                <w:szCs w:val="20"/>
              </w:rPr>
            </w:pPr>
            <w:r>
              <w:rPr>
                <w:rFonts w:ascii="Arial"/>
                <w:sz w:val="20"/>
              </w:rPr>
              <w:t>82</w:t>
            </w:r>
          </w:p>
        </w:tc>
        <w:tc>
          <w:tcPr>
            <w:tcW w:w="427" w:type="dxa"/>
            <w:tcBorders>
              <w:top w:val="nil" w:sz="6" w:space="0" w:color="auto"/>
              <w:left w:val="nil" w:sz="6" w:space="0" w:color="auto"/>
              <w:bottom w:val="nil" w:sz="6" w:space="0" w:color="auto"/>
              <w:right w:val="nil" w:sz="6" w:space="0" w:color="auto"/>
            </w:tcBorders>
          </w:tcPr>
          <w:p>
            <w:pPr/>
          </w:p>
        </w:tc>
        <w:tc>
          <w:tcPr>
            <w:tcW w:w="1195" w:type="dxa"/>
            <w:tcBorders>
              <w:top w:val="single" w:sz="4" w:space="0" w:color="000000"/>
              <w:left w:val="nil" w:sz="6" w:space="0" w:color="auto"/>
              <w:bottom w:val="nil" w:sz="6" w:space="0" w:color="auto"/>
              <w:right w:val="nil" w:sz="6" w:space="0" w:color="auto"/>
            </w:tcBorders>
          </w:tcPr>
          <w:p>
            <w:pPr>
              <w:pStyle w:val="TableParagraph"/>
              <w:spacing w:line="227" w:lineRule="exact"/>
              <w:ind w:right="62"/>
              <w:jc w:val="right"/>
              <w:rPr>
                <w:rFonts w:ascii="黑体" w:hAnsi="黑体" w:cs="黑体" w:eastAsia="黑体" w:hint="default"/>
                <w:sz w:val="20"/>
                <w:szCs w:val="20"/>
              </w:rPr>
            </w:pPr>
            <w:r>
              <w:rPr>
                <w:rFonts w:ascii="黑体" w:hAnsi="黑体" w:cs="黑体" w:eastAsia="黑体" w:hint="default"/>
                <w:sz w:val="20"/>
                <w:szCs w:val="20"/>
              </w:rPr>
              <w:t>金额</w:t>
            </w:r>
          </w:p>
          <w:p>
            <w:pPr>
              <w:pStyle w:val="TableParagraph"/>
              <w:spacing w:line="240" w:lineRule="auto" w:before="9"/>
              <w:ind w:right="0"/>
              <w:jc w:val="left"/>
              <w:rPr>
                <w:rFonts w:ascii="黑体" w:hAnsi="黑体" w:cs="黑体" w:eastAsia="黑体" w:hint="default"/>
                <w:sz w:val="22"/>
                <w:szCs w:val="22"/>
              </w:rPr>
            </w:pPr>
          </w:p>
          <w:p>
            <w:pPr>
              <w:pStyle w:val="TableParagraph"/>
              <w:spacing w:line="240" w:lineRule="auto"/>
              <w:ind w:right="63"/>
              <w:jc w:val="right"/>
              <w:rPr>
                <w:rFonts w:ascii="Arial" w:hAnsi="Arial" w:cs="Arial" w:eastAsia="Arial" w:hint="default"/>
                <w:sz w:val="20"/>
                <w:szCs w:val="20"/>
              </w:rPr>
            </w:pPr>
            <w:r>
              <w:rPr>
                <w:rFonts w:ascii="Arial"/>
                <w:w w:val="100"/>
                <w:sz w:val="20"/>
              </w:rPr>
              <w:t>-</w:t>
            </w:r>
          </w:p>
        </w:tc>
        <w:tc>
          <w:tcPr>
            <w:tcW w:w="798" w:type="dxa"/>
            <w:tcBorders>
              <w:top w:val="single" w:sz="4" w:space="0" w:color="000000"/>
              <w:left w:val="nil" w:sz="6" w:space="0" w:color="auto"/>
              <w:bottom w:val="nil" w:sz="6" w:space="0" w:color="auto"/>
              <w:right w:val="nil" w:sz="6" w:space="0" w:color="auto"/>
            </w:tcBorders>
          </w:tcPr>
          <w:p>
            <w:pPr>
              <w:pStyle w:val="TableParagraph"/>
              <w:spacing w:line="241" w:lineRule="exact"/>
              <w:ind w:right="18"/>
              <w:jc w:val="right"/>
              <w:rPr>
                <w:rFonts w:ascii="Arial" w:hAnsi="Arial" w:cs="Arial" w:eastAsia="Arial" w:hint="default"/>
                <w:sz w:val="20"/>
                <w:szCs w:val="20"/>
              </w:rPr>
            </w:pPr>
            <w:r>
              <w:rPr>
                <w:rFonts w:ascii="黑体" w:hAnsi="黑体" w:cs="黑体" w:eastAsia="黑体" w:hint="default"/>
                <w:spacing w:val="-1"/>
                <w:sz w:val="20"/>
                <w:szCs w:val="20"/>
              </w:rPr>
              <w:t>比例</w:t>
            </w:r>
            <w:r>
              <w:rPr>
                <w:rFonts w:ascii="Arial" w:hAnsi="Arial" w:cs="Arial" w:eastAsia="Arial" w:hint="default"/>
                <w:spacing w:val="-1"/>
                <w:sz w:val="20"/>
                <w:szCs w:val="20"/>
              </w:rPr>
              <w:t>(%)</w:t>
            </w:r>
          </w:p>
          <w:p>
            <w:pPr>
              <w:pStyle w:val="TableParagraph"/>
              <w:spacing w:line="240" w:lineRule="auto" w:before="8"/>
              <w:ind w:right="0"/>
              <w:jc w:val="left"/>
              <w:rPr>
                <w:rFonts w:ascii="黑体" w:hAnsi="黑体" w:cs="黑体" w:eastAsia="黑体" w:hint="default"/>
                <w:sz w:val="21"/>
                <w:szCs w:val="21"/>
              </w:rPr>
            </w:pPr>
          </w:p>
          <w:p>
            <w:pPr>
              <w:pStyle w:val="TableParagraph"/>
              <w:spacing w:line="240" w:lineRule="auto"/>
              <w:ind w:right="19"/>
              <w:jc w:val="right"/>
              <w:rPr>
                <w:rFonts w:ascii="Arial" w:hAnsi="Arial" w:cs="Arial" w:eastAsia="Arial" w:hint="default"/>
                <w:sz w:val="20"/>
                <w:szCs w:val="20"/>
              </w:rPr>
            </w:pPr>
            <w:r>
              <w:rPr>
                <w:rFonts w:ascii="Arial"/>
                <w:w w:val="100"/>
                <w:sz w:val="20"/>
              </w:rPr>
              <w:t>-</w:t>
            </w:r>
          </w:p>
        </w:tc>
      </w:tr>
      <w:tr>
        <w:trPr>
          <w:trHeight w:val="259" w:hRule="exact"/>
        </w:trPr>
        <w:tc>
          <w:tcPr>
            <w:tcW w:w="3433"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用友艾福斯</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5"/>
              <w:jc w:val="right"/>
              <w:rPr>
                <w:rFonts w:ascii="Arial" w:hAnsi="Arial" w:cs="Arial" w:eastAsia="Arial" w:hint="default"/>
                <w:sz w:val="20"/>
                <w:szCs w:val="20"/>
              </w:rPr>
            </w:pPr>
            <w:r>
              <w:rPr>
                <w:rFonts w:ascii="Arial"/>
                <w:sz w:val="20"/>
              </w:rPr>
              <w:t>1,782</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
              <w:jc w:val="right"/>
              <w:rPr>
                <w:rFonts w:ascii="Arial" w:hAnsi="Arial" w:cs="Arial" w:eastAsia="Arial" w:hint="default"/>
                <w:sz w:val="20"/>
                <w:szCs w:val="20"/>
              </w:rPr>
            </w:pPr>
            <w:r>
              <w:rPr>
                <w:rFonts w:ascii="Arial"/>
                <w:w w:val="100"/>
                <w:sz w:val="20"/>
              </w:rPr>
              <w:t>1</w:t>
            </w:r>
          </w:p>
        </w:tc>
        <w:tc>
          <w:tcPr>
            <w:tcW w:w="427"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
              <w:jc w:val="right"/>
              <w:rPr>
                <w:rFonts w:ascii="Arial" w:hAnsi="Arial" w:cs="Arial" w:eastAsia="Arial" w:hint="default"/>
                <w:sz w:val="20"/>
                <w:szCs w:val="20"/>
              </w:rPr>
            </w:pPr>
            <w:r>
              <w:rPr>
                <w:rFonts w:ascii="Arial"/>
                <w:w w:val="100"/>
                <w:sz w:val="20"/>
              </w:rPr>
              <w:t>-</w:t>
            </w: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8"/>
              <w:jc w:val="right"/>
              <w:rPr>
                <w:rFonts w:ascii="Arial" w:hAnsi="Arial" w:cs="Arial" w:eastAsia="Arial" w:hint="default"/>
                <w:sz w:val="20"/>
                <w:szCs w:val="20"/>
              </w:rPr>
            </w:pPr>
            <w:r>
              <w:rPr>
                <w:rFonts w:ascii="Arial"/>
                <w:w w:val="100"/>
                <w:sz w:val="20"/>
              </w:rPr>
              <w:t>-</w:t>
            </w:r>
          </w:p>
        </w:tc>
      </w:tr>
      <w:tr>
        <w:trPr>
          <w:trHeight w:val="259" w:hRule="exact"/>
        </w:trPr>
        <w:tc>
          <w:tcPr>
            <w:tcW w:w="3433"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用友华表</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5"/>
              <w:jc w:val="right"/>
              <w:rPr>
                <w:rFonts w:ascii="Arial" w:hAnsi="Arial" w:cs="Arial" w:eastAsia="Arial" w:hint="default"/>
                <w:sz w:val="20"/>
                <w:szCs w:val="20"/>
              </w:rPr>
            </w:pPr>
            <w:r>
              <w:rPr>
                <w:rFonts w:ascii="Arial"/>
                <w:sz w:val="20"/>
              </w:rPr>
              <w:t>21,350</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
              <w:jc w:val="right"/>
              <w:rPr>
                <w:rFonts w:ascii="Arial" w:hAnsi="Arial" w:cs="Arial" w:eastAsia="Arial" w:hint="default"/>
                <w:sz w:val="20"/>
                <w:szCs w:val="20"/>
              </w:rPr>
            </w:pPr>
            <w:r>
              <w:rPr>
                <w:rFonts w:ascii="Arial"/>
                <w:w w:val="100"/>
                <w:sz w:val="20"/>
              </w:rPr>
              <w:t>7</w:t>
            </w:r>
          </w:p>
        </w:tc>
        <w:tc>
          <w:tcPr>
            <w:tcW w:w="427"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
              <w:jc w:val="right"/>
              <w:rPr>
                <w:rFonts w:ascii="Arial" w:hAnsi="Arial" w:cs="Arial" w:eastAsia="Arial" w:hint="default"/>
                <w:sz w:val="20"/>
                <w:szCs w:val="20"/>
              </w:rPr>
            </w:pPr>
            <w:r>
              <w:rPr>
                <w:rFonts w:ascii="Arial"/>
                <w:w w:val="100"/>
                <w:sz w:val="20"/>
              </w:rPr>
              <w:t>-</w:t>
            </w: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8"/>
              <w:jc w:val="right"/>
              <w:rPr>
                <w:rFonts w:ascii="Arial" w:hAnsi="Arial" w:cs="Arial" w:eastAsia="Arial" w:hint="default"/>
                <w:sz w:val="20"/>
                <w:szCs w:val="20"/>
              </w:rPr>
            </w:pPr>
            <w:r>
              <w:rPr>
                <w:rFonts w:ascii="Arial"/>
                <w:w w:val="100"/>
                <w:sz w:val="20"/>
              </w:rPr>
              <w:t>-</w:t>
            </w:r>
          </w:p>
        </w:tc>
      </w:tr>
      <w:tr>
        <w:trPr>
          <w:trHeight w:val="260" w:hRule="exact"/>
        </w:trPr>
        <w:tc>
          <w:tcPr>
            <w:tcW w:w="3433"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用友审计</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5"/>
              <w:jc w:val="right"/>
              <w:rPr>
                <w:rFonts w:ascii="Arial" w:hAnsi="Arial" w:cs="Arial" w:eastAsia="Arial" w:hint="default"/>
                <w:sz w:val="20"/>
                <w:szCs w:val="20"/>
              </w:rPr>
            </w:pPr>
            <w:r>
              <w:rPr>
                <w:rFonts w:ascii="Arial"/>
                <w:sz w:val="20"/>
              </w:rPr>
              <w:t>4,800</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
              <w:jc w:val="right"/>
              <w:rPr>
                <w:rFonts w:ascii="Arial" w:hAnsi="Arial" w:cs="Arial" w:eastAsia="Arial" w:hint="default"/>
                <w:sz w:val="20"/>
                <w:szCs w:val="20"/>
              </w:rPr>
            </w:pPr>
            <w:r>
              <w:rPr>
                <w:rFonts w:ascii="Arial"/>
                <w:w w:val="100"/>
                <w:sz w:val="20"/>
              </w:rPr>
              <w:t>1</w:t>
            </w:r>
          </w:p>
        </w:tc>
        <w:tc>
          <w:tcPr>
            <w:tcW w:w="427"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
              <w:jc w:val="right"/>
              <w:rPr>
                <w:rFonts w:ascii="Arial" w:hAnsi="Arial" w:cs="Arial" w:eastAsia="Arial" w:hint="default"/>
                <w:sz w:val="20"/>
                <w:szCs w:val="20"/>
              </w:rPr>
            </w:pPr>
            <w:r>
              <w:rPr>
                <w:rFonts w:ascii="Arial"/>
                <w:w w:val="100"/>
                <w:sz w:val="20"/>
              </w:rPr>
              <w:t>-</w:t>
            </w: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8"/>
              <w:jc w:val="right"/>
              <w:rPr>
                <w:rFonts w:ascii="Arial" w:hAnsi="Arial" w:cs="Arial" w:eastAsia="Arial" w:hint="default"/>
                <w:sz w:val="20"/>
                <w:szCs w:val="20"/>
              </w:rPr>
            </w:pPr>
            <w:r>
              <w:rPr>
                <w:rFonts w:ascii="Arial"/>
                <w:w w:val="100"/>
                <w:sz w:val="20"/>
              </w:rPr>
              <w:t>-</w:t>
            </w:r>
          </w:p>
        </w:tc>
      </w:tr>
      <w:tr>
        <w:trPr>
          <w:trHeight w:val="260" w:hRule="exact"/>
        </w:trPr>
        <w:tc>
          <w:tcPr>
            <w:tcW w:w="3433" w:type="dxa"/>
            <w:tcBorders>
              <w:top w:val="nil" w:sz="6" w:space="0" w:color="auto"/>
              <w:left w:val="nil" w:sz="6" w:space="0" w:color="auto"/>
              <w:bottom w:val="nil" w:sz="6" w:space="0" w:color="auto"/>
              <w:right w:val="nil" w:sz="6" w:space="0" w:color="auto"/>
            </w:tcBorders>
          </w:tcPr>
          <w:p>
            <w:pPr>
              <w:pStyle w:val="TableParagraph"/>
              <w:spacing w:line="227" w:lineRule="exact"/>
              <w:ind w:left="35" w:right="0"/>
              <w:jc w:val="left"/>
              <w:rPr>
                <w:rFonts w:ascii="黑体" w:hAnsi="黑体" w:cs="黑体" w:eastAsia="黑体" w:hint="default"/>
                <w:sz w:val="20"/>
                <w:szCs w:val="20"/>
              </w:rPr>
            </w:pPr>
            <w:r>
              <w:rPr>
                <w:rFonts w:ascii="黑体" w:hAnsi="黑体" w:cs="黑体" w:eastAsia="黑体" w:hint="default"/>
                <w:sz w:val="20"/>
                <w:szCs w:val="20"/>
              </w:rPr>
              <w:t>方正春元</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5"/>
              <w:jc w:val="right"/>
              <w:rPr>
                <w:rFonts w:ascii="Arial" w:hAnsi="Arial" w:cs="Arial" w:eastAsia="Arial" w:hint="default"/>
                <w:sz w:val="20"/>
                <w:szCs w:val="20"/>
              </w:rPr>
            </w:pPr>
            <w:r>
              <w:rPr>
                <w:rFonts w:ascii="Arial"/>
                <w:sz w:val="20"/>
              </w:rPr>
              <w:t>20,100</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
              <w:jc w:val="right"/>
              <w:rPr>
                <w:rFonts w:ascii="Arial" w:hAnsi="Arial" w:cs="Arial" w:eastAsia="Arial" w:hint="default"/>
                <w:sz w:val="20"/>
                <w:szCs w:val="20"/>
              </w:rPr>
            </w:pPr>
            <w:r>
              <w:rPr>
                <w:rFonts w:ascii="Arial"/>
                <w:w w:val="100"/>
                <w:sz w:val="20"/>
              </w:rPr>
              <w:t>6</w:t>
            </w:r>
          </w:p>
        </w:tc>
        <w:tc>
          <w:tcPr>
            <w:tcW w:w="427"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
              <w:jc w:val="right"/>
              <w:rPr>
                <w:rFonts w:ascii="Arial" w:hAnsi="Arial" w:cs="Arial" w:eastAsia="Arial" w:hint="default"/>
                <w:sz w:val="20"/>
                <w:szCs w:val="20"/>
              </w:rPr>
            </w:pPr>
            <w:r>
              <w:rPr>
                <w:rFonts w:ascii="Arial"/>
                <w:w w:val="100"/>
                <w:sz w:val="20"/>
              </w:rPr>
              <w:t>-</w:t>
            </w: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8"/>
              <w:jc w:val="right"/>
              <w:rPr>
                <w:rFonts w:ascii="Arial" w:hAnsi="Arial" w:cs="Arial" w:eastAsia="Arial" w:hint="default"/>
                <w:sz w:val="20"/>
                <w:szCs w:val="20"/>
              </w:rPr>
            </w:pPr>
            <w:r>
              <w:rPr>
                <w:rFonts w:ascii="Arial"/>
                <w:w w:val="100"/>
                <w:sz w:val="20"/>
              </w:rPr>
              <w:t>-</w:t>
            </w:r>
          </w:p>
        </w:tc>
      </w:tr>
      <w:tr>
        <w:trPr>
          <w:trHeight w:val="259" w:hRule="exact"/>
        </w:trPr>
        <w:tc>
          <w:tcPr>
            <w:tcW w:w="3433"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用友移动</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5"/>
              <w:jc w:val="right"/>
              <w:rPr>
                <w:rFonts w:ascii="Arial" w:hAnsi="Arial" w:cs="Arial" w:eastAsia="Arial" w:hint="default"/>
                <w:sz w:val="20"/>
                <w:szCs w:val="20"/>
              </w:rPr>
            </w:pPr>
            <w:r>
              <w:rPr>
                <w:rFonts w:ascii="Arial"/>
                <w:sz w:val="20"/>
              </w:rPr>
              <w:t>5,023</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
              <w:jc w:val="right"/>
              <w:rPr>
                <w:rFonts w:ascii="Arial" w:hAnsi="Arial" w:cs="Arial" w:eastAsia="Arial" w:hint="default"/>
                <w:sz w:val="20"/>
                <w:szCs w:val="20"/>
              </w:rPr>
            </w:pPr>
            <w:r>
              <w:rPr>
                <w:rFonts w:ascii="Arial"/>
                <w:w w:val="100"/>
                <w:sz w:val="20"/>
              </w:rPr>
              <w:t>2</w:t>
            </w:r>
          </w:p>
        </w:tc>
        <w:tc>
          <w:tcPr>
            <w:tcW w:w="427"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
              <w:jc w:val="right"/>
              <w:rPr>
                <w:rFonts w:ascii="Arial" w:hAnsi="Arial" w:cs="Arial" w:eastAsia="Arial" w:hint="default"/>
                <w:sz w:val="20"/>
                <w:szCs w:val="20"/>
              </w:rPr>
            </w:pPr>
            <w:r>
              <w:rPr>
                <w:rFonts w:ascii="Arial"/>
                <w:w w:val="100"/>
                <w:sz w:val="20"/>
              </w:rPr>
              <w:t>-</w:t>
            </w: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8"/>
              <w:jc w:val="right"/>
              <w:rPr>
                <w:rFonts w:ascii="Arial" w:hAnsi="Arial" w:cs="Arial" w:eastAsia="Arial" w:hint="default"/>
                <w:sz w:val="20"/>
                <w:szCs w:val="20"/>
              </w:rPr>
            </w:pPr>
            <w:r>
              <w:rPr>
                <w:rFonts w:ascii="Arial"/>
                <w:w w:val="100"/>
                <w:sz w:val="20"/>
              </w:rPr>
              <w:t>-</w:t>
            </w:r>
          </w:p>
        </w:tc>
      </w:tr>
      <w:tr>
        <w:trPr>
          <w:trHeight w:val="259" w:hRule="exact"/>
        </w:trPr>
        <w:tc>
          <w:tcPr>
            <w:tcW w:w="3433"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5"/>
              <w:jc w:val="right"/>
              <w:rPr>
                <w:rFonts w:ascii="Arial" w:hAnsi="Arial" w:cs="Arial" w:eastAsia="Arial" w:hint="default"/>
                <w:sz w:val="20"/>
                <w:szCs w:val="20"/>
              </w:rPr>
            </w:pPr>
            <w:r>
              <w:rPr>
                <w:rFonts w:ascii="Arial"/>
                <w:sz w:val="20"/>
              </w:rPr>
              <w:t>900</w:t>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
              <w:jc w:val="right"/>
              <w:rPr>
                <w:rFonts w:ascii="Arial" w:hAnsi="Arial" w:cs="Arial" w:eastAsia="Arial" w:hint="default"/>
                <w:sz w:val="20"/>
                <w:szCs w:val="20"/>
              </w:rPr>
            </w:pPr>
            <w:r>
              <w:rPr>
                <w:rFonts w:ascii="Arial"/>
                <w:w w:val="100"/>
                <w:sz w:val="20"/>
              </w:rPr>
              <w:t>-</w:t>
            </w:r>
          </w:p>
        </w:tc>
        <w:tc>
          <w:tcPr>
            <w:tcW w:w="427"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
              <w:jc w:val="right"/>
              <w:rPr>
                <w:rFonts w:ascii="Arial" w:hAnsi="Arial" w:cs="Arial" w:eastAsia="Arial" w:hint="default"/>
                <w:sz w:val="20"/>
                <w:szCs w:val="20"/>
              </w:rPr>
            </w:pPr>
            <w:r>
              <w:rPr>
                <w:rFonts w:ascii="Arial"/>
                <w:w w:val="100"/>
                <w:sz w:val="20"/>
              </w:rPr>
              <w:t>-</w:t>
            </w: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
              <w:jc w:val="right"/>
              <w:rPr>
                <w:rFonts w:ascii="Arial" w:hAnsi="Arial" w:cs="Arial" w:eastAsia="Arial" w:hint="default"/>
                <w:sz w:val="20"/>
                <w:szCs w:val="20"/>
              </w:rPr>
            </w:pPr>
            <w:r>
              <w:rPr>
                <w:rFonts w:ascii="Arial"/>
                <w:w w:val="100"/>
                <w:sz w:val="20"/>
              </w:rPr>
              <w:t>-</w:t>
            </w:r>
          </w:p>
        </w:tc>
      </w:tr>
      <w:tr>
        <w:trPr>
          <w:trHeight w:val="389" w:hRule="exact"/>
        </w:trPr>
        <w:tc>
          <w:tcPr>
            <w:tcW w:w="3433"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用友科技</w:t>
            </w:r>
          </w:p>
        </w:tc>
        <w:tc>
          <w:tcPr>
            <w:tcW w:w="1199" w:type="dxa"/>
            <w:tcBorders>
              <w:top w:val="nil" w:sz="6" w:space="0" w:color="auto"/>
              <w:left w:val="nil" w:sz="6" w:space="0" w:color="auto"/>
              <w:bottom w:val="nil" w:sz="6" w:space="0" w:color="auto"/>
              <w:right w:val="nil" w:sz="6" w:space="0" w:color="auto"/>
            </w:tcBorders>
          </w:tcPr>
          <w:p>
            <w:pPr>
              <w:pStyle w:val="TableParagraph"/>
              <w:tabs>
                <w:tab w:pos="298" w:val="left" w:leader="none"/>
              </w:tabs>
              <w:spacing w:line="240" w:lineRule="auto" w:before="8"/>
              <w:ind w:right="6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2000</w:t>
            </w:r>
            <w:r>
              <w:rPr>
                <w:rFonts w:ascii="Arial"/>
                <w:sz w:val="20"/>
              </w:rPr>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1</w:t>
            </w:r>
            <w:r>
              <w:rPr>
                <w:rFonts w:ascii="Arial"/>
                <w:sz w:val="20"/>
              </w:rPr>
            </w:r>
          </w:p>
        </w:tc>
        <w:tc>
          <w:tcPr>
            <w:tcW w:w="427"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8"/>
              <w:ind w:right="64"/>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798"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8"/>
              <w:ind w:right="1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r>
      <w:tr>
        <w:trPr>
          <w:trHeight w:val="496" w:hRule="exact"/>
        </w:trPr>
        <w:tc>
          <w:tcPr>
            <w:tcW w:w="3433" w:type="dxa"/>
            <w:tcBorders>
              <w:top w:val="nil" w:sz="6" w:space="0" w:color="auto"/>
              <w:left w:val="nil" w:sz="6" w:space="0" w:color="auto"/>
              <w:bottom w:val="nil" w:sz="6" w:space="0" w:color="auto"/>
              <w:right w:val="nil" w:sz="6" w:space="0" w:color="auto"/>
            </w:tcBorders>
          </w:tcPr>
          <w:p>
            <w:pP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65"/>
              <w:jc w:val="right"/>
              <w:rPr>
                <w:rFonts w:ascii="Arial" w:hAnsi="Arial" w:cs="Arial" w:eastAsia="Arial" w:hint="default"/>
                <w:sz w:val="20"/>
                <w:szCs w:val="20"/>
              </w:rPr>
            </w:pPr>
            <w:r>
              <w:rPr>
                <w:rFonts w:ascii="Arial"/>
                <w:w w:val="100"/>
                <w:sz w:val="20"/>
              </w:rPr>
            </w:r>
            <w:r>
              <w:rPr>
                <w:rFonts w:ascii="Arial"/>
                <w:spacing w:val="-1"/>
                <w:sz w:val="20"/>
                <w:u w:val="thick" w:color="000000"/>
              </w:rPr>
              <w:t>323,585</w:t>
            </w:r>
            <w:r>
              <w:rPr>
                <w:rFonts w:ascii="Arial"/>
                <w:spacing w:val="-1"/>
                <w:sz w:val="20"/>
              </w:rPr>
            </w: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
              <w:jc w:val="right"/>
              <w:rPr>
                <w:rFonts w:ascii="Arial" w:hAnsi="Arial" w:cs="Arial" w:eastAsia="Arial" w:hint="default"/>
                <w:sz w:val="20"/>
                <w:szCs w:val="20"/>
              </w:rPr>
            </w:pPr>
            <w:r>
              <w:rPr>
                <w:rFonts w:ascii="Arial"/>
                <w:w w:val="100"/>
                <w:sz w:val="20"/>
              </w:rPr>
            </w:r>
            <w:r>
              <w:rPr>
                <w:rFonts w:ascii="Arial"/>
                <w:sz w:val="20"/>
                <w:u w:val="thick" w:color="000000"/>
              </w:rPr>
              <w:t>100</w:t>
            </w:r>
            <w:r>
              <w:rPr>
                <w:rFonts w:ascii="Arial"/>
                <w:sz w:val="20"/>
              </w:rPr>
            </w:r>
          </w:p>
        </w:tc>
        <w:tc>
          <w:tcPr>
            <w:tcW w:w="427"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130"/>
              <w:ind w:right="64"/>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c>
          <w:tcPr>
            <w:tcW w:w="798"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130"/>
              <w:ind w:right="18"/>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r>
      <w:tr>
        <w:trPr>
          <w:trHeight w:val="377" w:hRule="exact"/>
        </w:trPr>
        <w:tc>
          <w:tcPr>
            <w:tcW w:w="343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黑体" w:hAnsi="黑体" w:cs="黑体" w:eastAsia="黑体" w:hint="default"/>
                <w:sz w:val="20"/>
                <w:szCs w:val="20"/>
              </w:rPr>
            </w:pPr>
            <w:r>
              <w:rPr>
                <w:rFonts w:ascii="黑体" w:hAnsi="黑体" w:cs="黑体" w:eastAsia="黑体" w:hint="default"/>
                <w:sz w:val="20"/>
                <w:szCs w:val="20"/>
              </w:rPr>
              <w:t>培训收入</w:t>
            </w:r>
          </w:p>
        </w:tc>
        <w:tc>
          <w:tcPr>
            <w:tcW w:w="1982" w:type="dxa"/>
            <w:gridSpan w:val="2"/>
            <w:tcBorders>
              <w:top w:val="nil" w:sz="6" w:space="0" w:color="auto"/>
              <w:left w:val="nil" w:sz="6" w:space="0" w:color="auto"/>
              <w:bottom w:val="single" w:sz="4" w:space="0" w:color="000000"/>
              <w:right w:val="nil" w:sz="6" w:space="0" w:color="auto"/>
            </w:tcBorders>
          </w:tcPr>
          <w:p>
            <w:pPr>
              <w:pStyle w:val="TableParagraph"/>
              <w:spacing w:line="240" w:lineRule="auto" w:before="79"/>
              <w:ind w:left="2" w:right="0"/>
              <w:jc w:val="center"/>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427" w:type="dxa"/>
            <w:tcBorders>
              <w:top w:val="nil" w:sz="6" w:space="0" w:color="auto"/>
              <w:left w:val="nil" w:sz="6" w:space="0" w:color="auto"/>
              <w:bottom w:val="nil" w:sz="6" w:space="0" w:color="auto"/>
              <w:right w:val="nil" w:sz="6" w:space="0" w:color="auto"/>
            </w:tcBorders>
          </w:tcPr>
          <w:p>
            <w:pPr/>
          </w:p>
        </w:tc>
        <w:tc>
          <w:tcPr>
            <w:tcW w:w="1993" w:type="dxa"/>
            <w:gridSpan w:val="2"/>
            <w:tcBorders>
              <w:top w:val="nil" w:sz="6" w:space="0" w:color="auto"/>
              <w:left w:val="nil" w:sz="6" w:space="0" w:color="auto"/>
              <w:bottom w:val="single" w:sz="4" w:space="0" w:color="000000"/>
              <w:right w:val="nil" w:sz="6" w:space="0" w:color="auto"/>
            </w:tcBorders>
          </w:tcPr>
          <w:p>
            <w:pPr>
              <w:pStyle w:val="TableParagraph"/>
              <w:spacing w:line="240" w:lineRule="auto" w:before="79"/>
              <w:ind w:right="13"/>
              <w:jc w:val="center"/>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r>
      <w:tr>
        <w:trPr>
          <w:trHeight w:val="394" w:hRule="exact"/>
        </w:trPr>
        <w:tc>
          <w:tcPr>
            <w:tcW w:w="3433" w:type="dxa"/>
            <w:tcBorders>
              <w:top w:val="nil" w:sz="6" w:space="0" w:color="auto"/>
              <w:left w:val="nil" w:sz="6" w:space="0" w:color="auto"/>
              <w:bottom w:val="nil" w:sz="6" w:space="0" w:color="auto"/>
              <w:right w:val="nil" w:sz="6" w:space="0" w:color="auto"/>
            </w:tcBorders>
          </w:tcPr>
          <w:p>
            <w:pPr/>
          </w:p>
        </w:tc>
        <w:tc>
          <w:tcPr>
            <w:tcW w:w="1982" w:type="dxa"/>
            <w:gridSpan w:val="2"/>
            <w:tcBorders>
              <w:top w:val="single" w:sz="4" w:space="0" w:color="000000"/>
              <w:left w:val="nil" w:sz="6" w:space="0" w:color="auto"/>
              <w:bottom w:val="nil" w:sz="6" w:space="0" w:color="auto"/>
              <w:right w:val="nil" w:sz="6" w:space="0" w:color="auto"/>
            </w:tcBorders>
          </w:tcPr>
          <w:p>
            <w:pPr>
              <w:pStyle w:val="TableParagraph"/>
              <w:spacing w:line="241" w:lineRule="exact"/>
              <w:ind w:left="730" w:right="0"/>
              <w:jc w:val="left"/>
              <w:rPr>
                <w:rFonts w:ascii="Arial" w:hAnsi="Arial" w:cs="Arial" w:eastAsia="Arial" w:hint="default"/>
                <w:sz w:val="20"/>
                <w:szCs w:val="20"/>
              </w:rPr>
            </w:pPr>
            <w:r>
              <w:rPr>
                <w:rFonts w:ascii="黑体" w:hAnsi="黑体" w:cs="黑体" w:eastAsia="黑体" w:hint="default"/>
                <w:sz w:val="20"/>
                <w:szCs w:val="20"/>
              </w:rPr>
              <w:t>金额</w:t>
            </w:r>
            <w:r>
              <w:rPr>
                <w:rFonts w:ascii="黑体" w:hAnsi="黑体" w:cs="黑体" w:eastAsia="黑体" w:hint="default"/>
                <w:spacing w:val="37"/>
                <w:sz w:val="20"/>
                <w:szCs w:val="20"/>
              </w:rPr>
              <w:t> </w:t>
            </w:r>
            <w:r>
              <w:rPr>
                <w:rFonts w:ascii="黑体" w:hAnsi="黑体" w:cs="黑体" w:eastAsia="黑体" w:hint="default"/>
                <w:sz w:val="20"/>
                <w:szCs w:val="20"/>
              </w:rPr>
              <w:t>比例</w:t>
            </w:r>
            <w:r>
              <w:rPr>
                <w:rFonts w:ascii="Arial" w:hAnsi="Arial" w:cs="Arial" w:eastAsia="Arial" w:hint="default"/>
                <w:sz w:val="20"/>
                <w:szCs w:val="20"/>
              </w:rPr>
              <w:t>(%)</w:t>
            </w:r>
          </w:p>
        </w:tc>
        <w:tc>
          <w:tcPr>
            <w:tcW w:w="427" w:type="dxa"/>
            <w:tcBorders>
              <w:top w:val="nil" w:sz="6" w:space="0" w:color="auto"/>
              <w:left w:val="nil" w:sz="6" w:space="0" w:color="auto"/>
              <w:bottom w:val="nil" w:sz="6" w:space="0" w:color="auto"/>
              <w:right w:val="nil" w:sz="6" w:space="0" w:color="auto"/>
            </w:tcBorders>
          </w:tcPr>
          <w:p>
            <w:pPr/>
          </w:p>
        </w:tc>
        <w:tc>
          <w:tcPr>
            <w:tcW w:w="1993" w:type="dxa"/>
            <w:gridSpan w:val="2"/>
            <w:tcBorders>
              <w:top w:val="single" w:sz="4" w:space="0" w:color="000000"/>
              <w:left w:val="nil" w:sz="6" w:space="0" w:color="auto"/>
              <w:bottom w:val="nil" w:sz="6" w:space="0" w:color="auto"/>
              <w:right w:val="nil" w:sz="6" w:space="0" w:color="auto"/>
            </w:tcBorders>
          </w:tcPr>
          <w:p>
            <w:pPr>
              <w:pStyle w:val="TableParagraph"/>
              <w:spacing w:line="241" w:lineRule="exact"/>
              <w:ind w:left="729" w:right="0"/>
              <w:jc w:val="left"/>
              <w:rPr>
                <w:rFonts w:ascii="Arial" w:hAnsi="Arial" w:cs="Arial" w:eastAsia="Arial" w:hint="default"/>
                <w:sz w:val="20"/>
                <w:szCs w:val="20"/>
              </w:rPr>
            </w:pPr>
            <w:r>
              <w:rPr>
                <w:rFonts w:ascii="黑体" w:hAnsi="黑体" w:cs="黑体" w:eastAsia="黑体" w:hint="default"/>
                <w:sz w:val="20"/>
                <w:szCs w:val="20"/>
              </w:rPr>
              <w:t>金额</w:t>
            </w:r>
            <w:r>
              <w:rPr>
                <w:rFonts w:ascii="黑体" w:hAnsi="黑体" w:cs="黑体" w:eastAsia="黑体" w:hint="default"/>
                <w:spacing w:val="33"/>
                <w:sz w:val="20"/>
                <w:szCs w:val="20"/>
              </w:rPr>
              <w:t> </w:t>
            </w:r>
            <w:r>
              <w:rPr>
                <w:rFonts w:ascii="黑体" w:hAnsi="黑体" w:cs="黑体" w:eastAsia="黑体" w:hint="default"/>
                <w:sz w:val="20"/>
                <w:szCs w:val="20"/>
              </w:rPr>
              <w:t>比例</w:t>
            </w:r>
            <w:r>
              <w:rPr>
                <w:rFonts w:ascii="Arial" w:hAnsi="Arial" w:cs="Arial" w:eastAsia="Arial" w:hint="default"/>
                <w:sz w:val="20"/>
                <w:szCs w:val="20"/>
              </w:rPr>
              <w:t>(%)</w:t>
            </w:r>
          </w:p>
        </w:tc>
      </w:tr>
      <w:tr>
        <w:trPr>
          <w:trHeight w:val="629" w:hRule="exact"/>
        </w:trPr>
        <w:tc>
          <w:tcPr>
            <w:tcW w:w="343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1982" w:type="dxa"/>
            <w:gridSpan w:val="2"/>
            <w:tcBorders>
              <w:top w:val="nil" w:sz="6" w:space="0" w:color="auto"/>
              <w:left w:val="nil" w:sz="6" w:space="0" w:color="auto"/>
              <w:bottom w:val="nil" w:sz="6" w:space="0" w:color="auto"/>
              <w:right w:val="nil" w:sz="6" w:space="0" w:color="auto"/>
            </w:tcBorders>
          </w:tcPr>
          <w:p>
            <w:pPr>
              <w:pStyle w:val="TableParagraph"/>
              <w:tabs>
                <w:tab w:pos="1646" w:val="left" w:leader="none"/>
              </w:tabs>
              <w:spacing w:line="240" w:lineRule="auto" w:before="135"/>
              <w:ind w:left="518" w:right="0"/>
              <w:jc w:val="left"/>
              <w:rPr>
                <w:rFonts w:ascii="Arial" w:hAnsi="Arial" w:cs="Arial" w:eastAsia="Arial" w:hint="default"/>
                <w:sz w:val="20"/>
                <w:szCs w:val="20"/>
              </w:rPr>
            </w:pPr>
            <w:r>
              <w:rPr>
                <w:rFonts w:ascii="Arial"/>
                <w:w w:val="100"/>
                <w:sz w:val="20"/>
              </w:rPr>
            </w:r>
            <w:r>
              <w:rPr>
                <w:rFonts w:ascii="Arial"/>
                <w:sz w:val="20"/>
                <w:u w:val="thick" w:color="000000"/>
              </w:rPr>
              <w:t>40,861</w:t>
            </w:r>
            <w:r>
              <w:rPr>
                <w:rFonts w:ascii="Arial"/>
                <w:sz w:val="20"/>
              </w:rPr>
              <w:tab/>
            </w:r>
            <w:r>
              <w:rPr>
                <w:rFonts w:ascii="Arial"/>
                <w:sz w:val="20"/>
                <w:u w:val="thick" w:color="000000"/>
              </w:rPr>
              <w:t>100</w:t>
            </w:r>
            <w:r>
              <w:rPr>
                <w:rFonts w:ascii="Arial"/>
                <w:sz w:val="20"/>
              </w:rPr>
            </w:r>
          </w:p>
        </w:tc>
        <w:tc>
          <w:tcPr>
            <w:tcW w:w="427" w:type="dxa"/>
            <w:tcBorders>
              <w:top w:val="nil" w:sz="6" w:space="0" w:color="auto"/>
              <w:left w:val="nil" w:sz="6" w:space="0" w:color="auto"/>
              <w:bottom w:val="nil" w:sz="6" w:space="0" w:color="auto"/>
              <w:right w:val="nil" w:sz="6" w:space="0" w:color="auto"/>
            </w:tcBorders>
          </w:tcPr>
          <w:p>
            <w:pPr/>
          </w:p>
        </w:tc>
        <w:tc>
          <w:tcPr>
            <w:tcW w:w="1993" w:type="dxa"/>
            <w:gridSpan w:val="2"/>
            <w:tcBorders>
              <w:top w:val="nil" w:sz="6" w:space="0" w:color="auto"/>
              <w:left w:val="nil" w:sz="6" w:space="0" w:color="auto"/>
              <w:bottom w:val="nil" w:sz="6" w:space="0" w:color="auto"/>
              <w:right w:val="nil" w:sz="6" w:space="0" w:color="auto"/>
            </w:tcBorders>
          </w:tcPr>
          <w:p>
            <w:pPr>
              <w:pStyle w:val="TableParagraph"/>
              <w:tabs>
                <w:tab w:pos="1063" w:val="left" w:leader="none"/>
                <w:tab w:pos="1509" w:val="left" w:leader="none"/>
                <w:tab w:pos="1908" w:val="left" w:leader="none"/>
              </w:tabs>
              <w:spacing w:line="240" w:lineRule="auto" w:before="135"/>
              <w:ind w:left="164" w:right="0"/>
              <w:jc w:val="lef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tab/>
            </w:r>
            <w:r>
              <w:rPr>
                <w:rFonts w:ascii="Arial"/>
                <w:sz w:val="20"/>
                <w:u w:val="thick" w:color="000000"/>
              </w:rPr>
              <w:t> </w:t>
              <w:tab/>
              <w:t>-</w:t>
            </w:r>
            <w:r>
              <w:rPr>
                <w:rFonts w:ascii="Arial"/>
                <w:sz w:val="20"/>
              </w:rPr>
            </w:r>
          </w:p>
        </w:tc>
      </w:tr>
      <w:tr>
        <w:trPr>
          <w:trHeight w:val="505" w:hRule="exact"/>
        </w:trPr>
        <w:tc>
          <w:tcPr>
            <w:tcW w:w="3433" w:type="dxa"/>
            <w:tcBorders>
              <w:top w:val="nil" w:sz="6" w:space="0" w:color="auto"/>
              <w:left w:val="nil" w:sz="6" w:space="0" w:color="auto"/>
              <w:bottom w:val="nil" w:sz="6" w:space="0" w:color="auto"/>
              <w:right w:val="nil" w:sz="6" w:space="0" w:color="auto"/>
            </w:tcBorders>
          </w:tcPr>
          <w:p>
            <w:pPr/>
          </w:p>
        </w:tc>
        <w:tc>
          <w:tcPr>
            <w:tcW w:w="1982" w:type="dxa"/>
            <w:gridSpan w:val="2"/>
            <w:tcBorders>
              <w:top w:val="nil" w:sz="6" w:space="0" w:color="auto"/>
              <w:left w:val="nil" w:sz="6" w:space="0" w:color="auto"/>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left="689" w:right="0"/>
              <w:jc w:val="left"/>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tc>
        <w:tc>
          <w:tcPr>
            <w:tcW w:w="427" w:type="dxa"/>
            <w:tcBorders>
              <w:top w:val="nil" w:sz="6" w:space="0" w:color="auto"/>
              <w:left w:val="nil" w:sz="6" w:space="0" w:color="auto"/>
              <w:bottom w:val="nil" w:sz="6" w:space="0" w:color="auto"/>
              <w:right w:val="nil" w:sz="6" w:space="0" w:color="auto"/>
            </w:tcBorders>
          </w:tcPr>
          <w:p>
            <w:pPr/>
          </w:p>
        </w:tc>
        <w:tc>
          <w:tcPr>
            <w:tcW w:w="1993" w:type="dxa"/>
            <w:gridSpan w:val="2"/>
            <w:tcBorders>
              <w:top w:val="nil" w:sz="6" w:space="0" w:color="auto"/>
              <w:left w:val="nil" w:sz="6" w:space="0" w:color="auto"/>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left="688"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r>
      <w:tr>
        <w:trPr>
          <w:trHeight w:val="394" w:hRule="exact"/>
        </w:trPr>
        <w:tc>
          <w:tcPr>
            <w:tcW w:w="3433" w:type="dxa"/>
            <w:tcBorders>
              <w:top w:val="nil" w:sz="6" w:space="0" w:color="auto"/>
              <w:left w:val="nil" w:sz="6" w:space="0" w:color="auto"/>
              <w:bottom w:val="nil" w:sz="6" w:space="0" w:color="auto"/>
              <w:right w:val="nil" w:sz="6" w:space="0" w:color="auto"/>
            </w:tcBorders>
          </w:tcPr>
          <w:p>
            <w:pPr/>
          </w:p>
        </w:tc>
        <w:tc>
          <w:tcPr>
            <w:tcW w:w="1982" w:type="dxa"/>
            <w:gridSpan w:val="2"/>
            <w:tcBorders>
              <w:top w:val="single" w:sz="4" w:space="0" w:color="000000"/>
              <w:left w:val="nil" w:sz="6" w:space="0" w:color="auto"/>
              <w:bottom w:val="nil" w:sz="6" w:space="0" w:color="auto"/>
              <w:right w:val="nil" w:sz="6" w:space="0" w:color="auto"/>
            </w:tcBorders>
          </w:tcPr>
          <w:p>
            <w:pPr>
              <w:pStyle w:val="TableParagraph"/>
              <w:spacing w:line="241" w:lineRule="exact"/>
              <w:ind w:left="727" w:right="-4"/>
              <w:jc w:val="left"/>
              <w:rPr>
                <w:rFonts w:ascii="Arial" w:hAnsi="Arial" w:cs="Arial" w:eastAsia="Arial" w:hint="default"/>
                <w:sz w:val="20"/>
                <w:szCs w:val="20"/>
              </w:rPr>
            </w:pPr>
            <w:r>
              <w:rPr>
                <w:rFonts w:ascii="黑体" w:hAnsi="黑体" w:cs="黑体" w:eastAsia="黑体" w:hint="default"/>
                <w:sz w:val="20"/>
                <w:szCs w:val="20"/>
              </w:rPr>
              <w:t>金额</w:t>
            </w:r>
            <w:r>
              <w:rPr>
                <w:rFonts w:ascii="黑体" w:hAnsi="黑体" w:cs="黑体" w:eastAsia="黑体" w:hint="default"/>
                <w:spacing w:val="46"/>
                <w:sz w:val="20"/>
                <w:szCs w:val="20"/>
              </w:rPr>
              <w:t> </w:t>
            </w:r>
            <w:r>
              <w:rPr>
                <w:rFonts w:ascii="黑体" w:hAnsi="黑体" w:cs="黑体" w:eastAsia="黑体" w:hint="default"/>
                <w:sz w:val="20"/>
                <w:szCs w:val="20"/>
              </w:rPr>
              <w:t>比例</w:t>
            </w:r>
            <w:r>
              <w:rPr>
                <w:rFonts w:ascii="Arial" w:hAnsi="Arial" w:cs="Arial" w:eastAsia="Arial" w:hint="default"/>
                <w:sz w:val="20"/>
                <w:szCs w:val="20"/>
              </w:rPr>
              <w:t>(%)</w:t>
            </w:r>
          </w:p>
        </w:tc>
        <w:tc>
          <w:tcPr>
            <w:tcW w:w="427" w:type="dxa"/>
            <w:tcBorders>
              <w:top w:val="nil" w:sz="6" w:space="0" w:color="auto"/>
              <w:left w:val="nil" w:sz="6" w:space="0" w:color="auto"/>
              <w:bottom w:val="nil" w:sz="6" w:space="0" w:color="auto"/>
              <w:right w:val="nil" w:sz="6" w:space="0" w:color="auto"/>
            </w:tcBorders>
          </w:tcPr>
          <w:p>
            <w:pPr/>
          </w:p>
        </w:tc>
        <w:tc>
          <w:tcPr>
            <w:tcW w:w="1993" w:type="dxa"/>
            <w:gridSpan w:val="2"/>
            <w:tcBorders>
              <w:top w:val="single" w:sz="4" w:space="0" w:color="000000"/>
              <w:left w:val="nil" w:sz="6" w:space="0" w:color="auto"/>
              <w:bottom w:val="nil" w:sz="6" w:space="0" w:color="auto"/>
              <w:right w:val="nil" w:sz="6" w:space="0" w:color="auto"/>
            </w:tcBorders>
          </w:tcPr>
          <w:p>
            <w:pPr>
              <w:pStyle w:val="TableParagraph"/>
              <w:spacing w:line="241" w:lineRule="exact"/>
              <w:ind w:left="726" w:right="0"/>
              <w:jc w:val="left"/>
              <w:rPr>
                <w:rFonts w:ascii="Arial" w:hAnsi="Arial" w:cs="Arial" w:eastAsia="Arial" w:hint="default"/>
                <w:sz w:val="20"/>
                <w:szCs w:val="20"/>
              </w:rPr>
            </w:pPr>
            <w:r>
              <w:rPr>
                <w:rFonts w:ascii="黑体" w:hAnsi="黑体" w:cs="黑体" w:eastAsia="黑体" w:hint="default"/>
                <w:sz w:val="20"/>
                <w:szCs w:val="20"/>
              </w:rPr>
              <w:t>金额</w:t>
            </w:r>
            <w:r>
              <w:rPr>
                <w:rFonts w:ascii="黑体" w:hAnsi="黑体" w:cs="黑体" w:eastAsia="黑体" w:hint="default"/>
                <w:spacing w:val="47"/>
                <w:sz w:val="20"/>
                <w:szCs w:val="20"/>
              </w:rPr>
              <w:t> </w:t>
            </w:r>
            <w:r>
              <w:rPr>
                <w:rFonts w:ascii="黑体" w:hAnsi="黑体" w:cs="黑体" w:eastAsia="黑体" w:hint="default"/>
                <w:sz w:val="20"/>
                <w:szCs w:val="20"/>
              </w:rPr>
              <w:t>比例</w:t>
            </w:r>
            <w:r>
              <w:rPr>
                <w:rFonts w:ascii="Arial" w:hAnsi="Arial" w:cs="Arial" w:eastAsia="Arial" w:hint="default"/>
                <w:sz w:val="20"/>
                <w:szCs w:val="20"/>
              </w:rPr>
              <w:t>(%)</w:t>
            </w:r>
          </w:p>
        </w:tc>
      </w:tr>
      <w:tr>
        <w:trPr>
          <w:trHeight w:val="383" w:hRule="exact"/>
        </w:trPr>
        <w:tc>
          <w:tcPr>
            <w:tcW w:w="343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黑体" w:hAnsi="黑体" w:cs="黑体" w:eastAsia="黑体" w:hint="default"/>
                <w:sz w:val="20"/>
                <w:szCs w:val="20"/>
              </w:rPr>
            </w:pPr>
            <w:r>
              <w:rPr>
                <w:rFonts w:ascii="黑体" w:hAnsi="黑体" w:cs="黑体" w:eastAsia="黑体" w:hint="default"/>
                <w:sz w:val="20"/>
                <w:szCs w:val="20"/>
              </w:rPr>
              <w:t>董事、监事及关键</w:t>
            </w:r>
          </w:p>
        </w:tc>
        <w:tc>
          <w:tcPr>
            <w:tcW w:w="1982" w:type="dxa"/>
            <w:gridSpan w:val="2"/>
            <w:tcBorders>
              <w:top w:val="nil" w:sz="6" w:space="0" w:color="auto"/>
              <w:left w:val="nil" w:sz="6" w:space="0" w:color="auto"/>
              <w:bottom w:val="nil" w:sz="6" w:space="0" w:color="auto"/>
              <w:right w:val="nil" w:sz="6" w:space="0" w:color="auto"/>
            </w:tcBorders>
          </w:tcPr>
          <w:p>
            <w:pPr/>
          </w:p>
        </w:tc>
        <w:tc>
          <w:tcPr>
            <w:tcW w:w="427" w:type="dxa"/>
            <w:tcBorders>
              <w:top w:val="nil" w:sz="6" w:space="0" w:color="auto"/>
              <w:left w:val="nil" w:sz="6" w:space="0" w:color="auto"/>
              <w:bottom w:val="nil" w:sz="6" w:space="0" w:color="auto"/>
              <w:right w:val="nil" w:sz="6" w:space="0" w:color="auto"/>
            </w:tcBorders>
          </w:tcPr>
          <w:p>
            <w:pPr/>
          </w:p>
        </w:tc>
        <w:tc>
          <w:tcPr>
            <w:tcW w:w="1993" w:type="dxa"/>
            <w:gridSpan w:val="2"/>
            <w:tcBorders>
              <w:top w:val="nil" w:sz="6" w:space="0" w:color="auto"/>
              <w:left w:val="nil" w:sz="6" w:space="0" w:color="auto"/>
              <w:bottom w:val="nil" w:sz="6" w:space="0" w:color="auto"/>
              <w:right w:val="nil" w:sz="6" w:space="0" w:color="auto"/>
            </w:tcBorders>
          </w:tcPr>
          <w:p>
            <w:pPr/>
          </w:p>
        </w:tc>
      </w:tr>
      <w:tr>
        <w:trPr>
          <w:trHeight w:val="339" w:hRule="exact"/>
        </w:trPr>
        <w:tc>
          <w:tcPr>
            <w:tcW w:w="3433" w:type="dxa"/>
            <w:tcBorders>
              <w:top w:val="nil" w:sz="6" w:space="0" w:color="auto"/>
              <w:left w:val="nil" w:sz="6" w:space="0" w:color="auto"/>
              <w:bottom w:val="nil" w:sz="6" w:space="0" w:color="auto"/>
              <w:right w:val="nil" w:sz="6" w:space="0" w:color="auto"/>
            </w:tcBorders>
          </w:tcPr>
          <w:p>
            <w:pPr>
              <w:pStyle w:val="TableParagraph"/>
              <w:spacing w:line="230" w:lineRule="exact"/>
              <w:ind w:left="225" w:right="0"/>
              <w:jc w:val="left"/>
              <w:rPr>
                <w:rFonts w:ascii="黑体" w:hAnsi="黑体" w:cs="黑体" w:eastAsia="黑体" w:hint="default"/>
                <w:sz w:val="20"/>
                <w:szCs w:val="20"/>
              </w:rPr>
            </w:pPr>
            <w:r>
              <w:rPr>
                <w:rFonts w:ascii="黑体" w:hAnsi="黑体" w:cs="黑体" w:eastAsia="黑体" w:hint="default"/>
                <w:sz w:val="20"/>
                <w:szCs w:val="20"/>
              </w:rPr>
              <w:t>管理人员薪酬支出</w:t>
            </w:r>
          </w:p>
        </w:tc>
        <w:tc>
          <w:tcPr>
            <w:tcW w:w="1982" w:type="dxa"/>
            <w:gridSpan w:val="2"/>
            <w:tcBorders>
              <w:top w:val="nil" w:sz="6" w:space="0" w:color="auto"/>
              <w:left w:val="nil" w:sz="6" w:space="0" w:color="auto"/>
              <w:bottom w:val="nil" w:sz="6" w:space="0" w:color="auto"/>
              <w:right w:val="nil" w:sz="6" w:space="0" w:color="auto"/>
            </w:tcBorders>
          </w:tcPr>
          <w:p>
            <w:pPr>
              <w:pStyle w:val="TableParagraph"/>
              <w:tabs>
                <w:tab w:pos="1651" w:val="left" w:leader="none"/>
              </w:tabs>
              <w:spacing w:line="240" w:lineRule="auto" w:before="12"/>
              <w:ind w:left="126" w:right="-4"/>
              <w:jc w:val="left"/>
              <w:rPr>
                <w:rFonts w:ascii="Arial" w:hAnsi="Arial" w:cs="Arial" w:eastAsia="Arial" w:hint="default"/>
                <w:sz w:val="20"/>
                <w:szCs w:val="20"/>
              </w:rPr>
            </w:pPr>
            <w:r>
              <w:rPr>
                <w:rFonts w:ascii="Arial"/>
                <w:w w:val="100"/>
                <w:sz w:val="20"/>
              </w:rPr>
            </w:r>
            <w:r>
              <w:rPr>
                <w:rFonts w:ascii="Arial"/>
                <w:spacing w:val="-1"/>
                <w:sz w:val="20"/>
                <w:u w:val="thick" w:color="000000"/>
              </w:rPr>
              <w:t>22,894,330</w:t>
            </w:r>
            <w:r>
              <w:rPr>
                <w:rFonts w:ascii="Arial"/>
                <w:spacing w:val="-1"/>
                <w:sz w:val="20"/>
              </w:rPr>
              <w:tab/>
            </w:r>
            <w:r>
              <w:rPr>
                <w:rFonts w:ascii="Arial"/>
                <w:sz w:val="20"/>
                <w:u w:val="thick" w:color="000000"/>
              </w:rPr>
              <w:t>100</w:t>
            </w:r>
            <w:r>
              <w:rPr>
                <w:rFonts w:ascii="Arial"/>
                <w:sz w:val="20"/>
              </w:rPr>
            </w:r>
          </w:p>
        </w:tc>
        <w:tc>
          <w:tcPr>
            <w:tcW w:w="427" w:type="dxa"/>
            <w:tcBorders>
              <w:top w:val="nil" w:sz="6" w:space="0" w:color="auto"/>
              <w:left w:val="nil" w:sz="6" w:space="0" w:color="auto"/>
              <w:bottom w:val="nil" w:sz="6" w:space="0" w:color="auto"/>
              <w:right w:val="nil" w:sz="6" w:space="0" w:color="auto"/>
            </w:tcBorders>
          </w:tcPr>
          <w:p>
            <w:pPr/>
          </w:p>
        </w:tc>
        <w:tc>
          <w:tcPr>
            <w:tcW w:w="1993" w:type="dxa"/>
            <w:gridSpan w:val="2"/>
            <w:tcBorders>
              <w:top w:val="nil" w:sz="6" w:space="0" w:color="auto"/>
              <w:left w:val="nil" w:sz="6" w:space="0" w:color="auto"/>
              <w:bottom w:val="nil" w:sz="6" w:space="0" w:color="auto"/>
              <w:right w:val="nil" w:sz="6" w:space="0" w:color="auto"/>
            </w:tcBorders>
          </w:tcPr>
          <w:p>
            <w:pPr>
              <w:pStyle w:val="TableParagraph"/>
              <w:tabs>
                <w:tab w:pos="1651" w:val="left" w:leader="none"/>
              </w:tabs>
              <w:spacing w:line="240" w:lineRule="auto" w:before="13"/>
              <w:ind w:left="124" w:right="0"/>
              <w:jc w:val="left"/>
              <w:rPr>
                <w:rFonts w:ascii="Arial" w:hAnsi="Arial" w:cs="Arial" w:eastAsia="Arial" w:hint="default"/>
                <w:sz w:val="20"/>
                <w:szCs w:val="20"/>
              </w:rPr>
            </w:pPr>
            <w:r>
              <w:rPr>
                <w:rFonts w:ascii="Arial"/>
                <w:w w:val="100"/>
                <w:sz w:val="20"/>
              </w:rPr>
            </w:r>
            <w:r>
              <w:rPr>
                <w:rFonts w:ascii="Arial"/>
                <w:spacing w:val="-1"/>
                <w:sz w:val="20"/>
                <w:u w:val="thick" w:color="000000"/>
              </w:rPr>
              <w:t>24,950,153</w:t>
            </w:r>
            <w:r>
              <w:rPr>
                <w:rFonts w:ascii="Arial"/>
                <w:spacing w:val="-1"/>
                <w:sz w:val="20"/>
              </w:rPr>
              <w:tab/>
            </w:r>
            <w:r>
              <w:rPr>
                <w:rFonts w:ascii="Arial"/>
                <w:sz w:val="20"/>
                <w:u w:val="thick" w:color="000000"/>
              </w:rPr>
              <w:t>100</w:t>
            </w:r>
            <w:r>
              <w:rPr>
                <w:rFonts w:ascii="Arial"/>
                <w:sz w:val="20"/>
              </w:rPr>
            </w:r>
          </w:p>
        </w:tc>
      </w:tr>
    </w:tbl>
    <w:p>
      <w:pPr>
        <w:spacing w:line="240" w:lineRule="auto" w:before="11"/>
        <w:rPr>
          <w:rFonts w:ascii="黑体" w:hAnsi="黑体" w:cs="黑体" w:eastAsia="黑体" w:hint="default"/>
          <w:sz w:val="7"/>
          <w:szCs w:val="7"/>
        </w:rPr>
      </w:pPr>
    </w:p>
    <w:p>
      <w:pPr>
        <w:pStyle w:val="BodyText"/>
        <w:spacing w:line="260" w:lineRule="exact" w:before="64"/>
        <w:ind w:left="855" w:right="1058"/>
        <w:jc w:val="left"/>
      </w:pPr>
      <w:r>
        <w:rPr>
          <w:spacing w:val="-3"/>
        </w:rPr>
        <w:t>董事、监事及关键管理人员的年度报酬总额包括基本工资、奖金</w:t>
      </w:r>
      <w:r>
        <w:rPr>
          <w:rFonts w:ascii="Arial" w:hAnsi="Arial" w:cs="Arial" w:eastAsia="Arial" w:hint="default"/>
          <w:spacing w:val="-3"/>
        </w:rPr>
        <w:t>,</w:t>
      </w:r>
      <w:r>
        <w:rPr>
          <w:spacing w:val="-3"/>
        </w:rPr>
        <w:t>各项补贴及股权激励计划</w:t>
      </w:r>
      <w:r>
        <w:rPr>
          <w:spacing w:val="-56"/>
        </w:rPr>
        <w:t> </w:t>
      </w:r>
      <w:r>
        <w:rPr>
          <w:spacing w:val="-56"/>
        </w:rPr>
      </w:r>
      <w:r>
        <w:rPr/>
        <w:t>相关的成本费用。该报酬总额包括本集团为其代扣代缴的个人所得税。</w:t>
      </w:r>
    </w:p>
    <w:p>
      <w:pPr>
        <w:spacing w:line="240" w:lineRule="auto" w:before="8"/>
        <w:rPr>
          <w:rFonts w:ascii="黑体" w:hAnsi="黑体" w:cs="黑体" w:eastAsia="黑体" w:hint="default"/>
          <w:sz w:val="15"/>
          <w:szCs w:val="15"/>
        </w:rPr>
      </w:pPr>
    </w:p>
    <w:p>
      <w:pPr>
        <w:pStyle w:val="BodyText"/>
        <w:spacing w:line="240" w:lineRule="auto"/>
        <w:ind w:left="855" w:right="1058"/>
        <w:jc w:val="left"/>
      </w:pPr>
      <w:r>
        <w:rPr/>
        <w:t>本公司向关联方公司进行交易的价格由交易双方参照市场价格后协商确定。</w:t>
      </w:r>
    </w:p>
    <w:p>
      <w:pPr>
        <w:spacing w:line="240" w:lineRule="auto" w:before="5"/>
        <w:rPr>
          <w:rFonts w:ascii="黑体" w:hAnsi="黑体" w:cs="黑体" w:eastAsia="黑体" w:hint="default"/>
          <w:sz w:val="17"/>
          <w:szCs w:val="17"/>
        </w:rPr>
      </w:pPr>
    </w:p>
    <w:p>
      <w:pPr>
        <w:tabs>
          <w:tab w:pos="781" w:val="left" w:leader="none"/>
        </w:tabs>
        <w:spacing w:before="0"/>
        <w:ind w:left="141" w:right="1058" w:firstLine="0"/>
        <w:jc w:val="left"/>
        <w:rPr>
          <w:rFonts w:ascii="黑体" w:hAnsi="黑体" w:cs="黑体" w:eastAsia="黑体" w:hint="default"/>
          <w:sz w:val="20"/>
          <w:szCs w:val="20"/>
        </w:rPr>
      </w:pPr>
      <w:r>
        <w:rPr>
          <w:rFonts w:ascii="Arial" w:hAnsi="Arial" w:cs="Arial" w:eastAsia="Arial" w:hint="default"/>
          <w:b/>
          <w:bCs/>
          <w:spacing w:val="-1"/>
          <w:sz w:val="20"/>
          <w:szCs w:val="20"/>
        </w:rPr>
        <w:t>40.</w:t>
        <w:tab/>
      </w:r>
      <w:r>
        <w:rPr>
          <w:rFonts w:ascii="黑体" w:hAnsi="黑体" w:cs="黑体" w:eastAsia="黑体" w:hint="default"/>
          <w:b/>
          <w:bCs/>
          <w:sz w:val="20"/>
          <w:szCs w:val="20"/>
        </w:rPr>
        <w:t>关联方应收应付款项余额</w:t>
      </w:r>
      <w:r>
        <w:rPr>
          <w:rFonts w:ascii="黑体" w:hAnsi="黑体" w:cs="黑体" w:eastAsia="黑体" w:hint="default"/>
          <w:sz w:val="20"/>
          <w:szCs w:val="20"/>
        </w:rPr>
      </w:r>
    </w:p>
    <w:p>
      <w:pPr>
        <w:spacing w:line="240" w:lineRule="auto" w:before="5"/>
        <w:rPr>
          <w:rFonts w:ascii="黑体" w:hAnsi="黑体" w:cs="黑体" w:eastAsia="黑体" w:hint="default"/>
          <w:b/>
          <w:bCs/>
          <w:sz w:val="13"/>
          <w:szCs w:val="13"/>
        </w:rPr>
      </w:pPr>
    </w:p>
    <w:tbl>
      <w:tblPr>
        <w:tblW w:w="0" w:type="auto"/>
        <w:jc w:val="left"/>
        <w:tblInd w:w="812" w:type="dxa"/>
        <w:tblLayout w:type="fixed"/>
        <w:tblCellMar>
          <w:top w:w="0" w:type="dxa"/>
          <w:left w:w="0" w:type="dxa"/>
          <w:bottom w:w="0" w:type="dxa"/>
          <w:right w:w="0" w:type="dxa"/>
        </w:tblCellMar>
        <w:tblLook w:val="01E0"/>
      </w:tblPr>
      <w:tblGrid>
        <w:gridCol w:w="2926"/>
        <w:gridCol w:w="3267"/>
        <w:gridCol w:w="1663"/>
      </w:tblGrid>
      <w:tr>
        <w:trPr>
          <w:trHeight w:val="824"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3" w:right="0"/>
              <w:jc w:val="left"/>
              <w:rPr>
                <w:rFonts w:ascii="黑体" w:hAnsi="黑体" w:cs="黑体" w:eastAsia="黑体" w:hint="default"/>
                <w:sz w:val="20"/>
                <w:szCs w:val="20"/>
              </w:rPr>
            </w:pPr>
            <w:r>
              <w:rPr>
                <w:rFonts w:ascii="Arial" w:hAnsi="Arial" w:cs="Arial" w:eastAsia="Arial" w:hint="default"/>
                <w:sz w:val="20"/>
                <w:szCs w:val="20"/>
              </w:rPr>
              <w:t>(1)  </w:t>
            </w:r>
            <w:r>
              <w:rPr>
                <w:rFonts w:ascii="Arial" w:hAnsi="Arial" w:cs="Arial" w:eastAsia="Arial" w:hint="default"/>
                <w:spacing w:val="28"/>
                <w:sz w:val="20"/>
                <w:szCs w:val="20"/>
              </w:rPr>
              <w:t> </w:t>
            </w:r>
            <w:r>
              <w:rPr>
                <w:rFonts w:ascii="黑体" w:hAnsi="黑体" w:cs="黑体" w:eastAsia="黑体" w:hint="default"/>
                <w:sz w:val="20"/>
                <w:szCs w:val="20"/>
              </w:rPr>
              <w:t>应收账款</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5"/>
              <w:ind w:right="0"/>
              <w:jc w:val="left"/>
              <w:rPr>
                <w:rFonts w:ascii="黑体" w:hAnsi="黑体" w:cs="黑体" w:eastAsia="黑体" w:hint="default"/>
                <w:b/>
                <w:bCs/>
                <w:sz w:val="20"/>
                <w:szCs w:val="20"/>
              </w:rPr>
            </w:pPr>
          </w:p>
          <w:p>
            <w:pPr>
              <w:pStyle w:val="TableParagraph"/>
              <w:spacing w:line="240" w:lineRule="auto"/>
              <w:ind w:right="779"/>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66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5"/>
              <w:ind w:right="0"/>
              <w:jc w:val="left"/>
              <w:rPr>
                <w:rFonts w:ascii="黑体" w:hAnsi="黑体" w:cs="黑体" w:eastAsia="黑体" w:hint="default"/>
                <w:b/>
                <w:bCs/>
                <w:sz w:val="20"/>
                <w:szCs w:val="20"/>
              </w:rPr>
            </w:pPr>
          </w:p>
          <w:p>
            <w:pPr>
              <w:pStyle w:val="TableParagraph"/>
              <w:spacing w:line="240" w:lineRule="auto"/>
              <w:ind w:right="33"/>
              <w:jc w:val="right"/>
              <w:rPr>
                <w:rFonts w:ascii="黑体" w:hAnsi="黑体" w:cs="黑体" w:eastAsia="黑体" w:hint="default"/>
                <w:sz w:val="20"/>
                <w:szCs w:val="20"/>
              </w:rPr>
            </w:pPr>
            <w:r>
              <w:rPr>
                <w:rFonts w:ascii="Arial" w:hAnsi="Arial" w:cs="Arial" w:eastAsia="Arial" w:hint="default"/>
                <w:spacing w:val="-1"/>
                <w:sz w:val="20"/>
                <w:szCs w:val="20"/>
              </w:rPr>
              <w:t>2008</w:t>
            </w:r>
            <w:r>
              <w:rPr>
                <w:rFonts w:ascii="黑体" w:hAnsi="黑体" w:cs="黑体" w:eastAsia="黑体" w:hint="default"/>
                <w:spacing w:val="-1"/>
                <w:sz w:val="20"/>
                <w:szCs w:val="20"/>
              </w:rPr>
              <w:t>年</w:t>
            </w:r>
          </w:p>
        </w:tc>
      </w:tr>
      <w:tr>
        <w:trPr>
          <w:trHeight w:val="386" w:hRule="exact"/>
        </w:trPr>
        <w:tc>
          <w:tcPr>
            <w:tcW w:w="2926" w:type="dxa"/>
            <w:tcBorders>
              <w:top w:val="nil" w:sz="6" w:space="0" w:color="auto"/>
              <w:left w:val="nil" w:sz="6" w:space="0" w:color="auto"/>
              <w:bottom w:val="nil" w:sz="6" w:space="0" w:color="auto"/>
              <w:right w:val="nil" w:sz="6" w:space="0" w:color="auto"/>
            </w:tcBorders>
          </w:tcPr>
          <w:p>
            <w:pP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exact"/>
              <w:ind w:right="779"/>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1663" w:type="dxa"/>
            <w:tcBorders>
              <w:top w:val="nil" w:sz="6" w:space="0" w:color="auto"/>
              <w:left w:val="nil" w:sz="6" w:space="0" w:color="auto"/>
              <w:bottom w:val="nil" w:sz="6" w:space="0" w:color="auto"/>
              <w:right w:val="nil" w:sz="6" w:space="0" w:color="auto"/>
            </w:tcBorders>
          </w:tcPr>
          <w:p>
            <w:pPr>
              <w:pStyle w:val="TableParagraph"/>
              <w:spacing w:line="240" w:lineRule="exact"/>
              <w:ind w:right="33"/>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r>
      <w:tr>
        <w:trPr>
          <w:trHeight w:val="460" w:hRule="exact"/>
        </w:trPr>
        <w:tc>
          <w:tcPr>
            <w:tcW w:w="2926"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779"/>
              <w:jc w:val="right"/>
              <w:rPr>
                <w:rFonts w:ascii="Arial" w:hAnsi="Arial" w:cs="Arial" w:eastAsia="Arial" w:hint="default"/>
                <w:sz w:val="20"/>
                <w:szCs w:val="20"/>
              </w:rPr>
            </w:pPr>
            <w:r>
              <w:rPr>
                <w:rFonts w:ascii="Arial"/>
                <w:w w:val="100"/>
                <w:sz w:val="20"/>
              </w:rPr>
            </w:r>
            <w:r>
              <w:rPr>
                <w:rFonts w:ascii="Arial"/>
                <w:sz w:val="20"/>
                <w:u w:val="thick" w:color="000000"/>
              </w:rPr>
              <w:t>47,000</w:t>
            </w:r>
            <w:r>
              <w:rPr>
                <w:rFonts w:ascii="Arial"/>
                <w:sz w:val="20"/>
              </w:rPr>
            </w:r>
          </w:p>
        </w:tc>
        <w:tc>
          <w:tcPr>
            <w:tcW w:w="1663" w:type="dxa"/>
            <w:tcBorders>
              <w:top w:val="nil" w:sz="6" w:space="0" w:color="auto"/>
              <w:left w:val="nil" w:sz="6" w:space="0" w:color="auto"/>
              <w:bottom w:val="nil" w:sz="6" w:space="0" w:color="auto"/>
              <w:right w:val="nil" w:sz="6" w:space="0" w:color="auto"/>
            </w:tcBorders>
          </w:tcPr>
          <w:p>
            <w:pPr>
              <w:pStyle w:val="TableParagraph"/>
              <w:tabs>
                <w:tab w:pos="598" w:val="left" w:leader="none"/>
              </w:tabs>
              <w:spacing w:line="240" w:lineRule="auto" w:before="135"/>
              <w:ind w:right="3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w:t>
            </w:r>
            <w:r>
              <w:rPr>
                <w:rFonts w:ascii="Arial"/>
                <w:sz w:val="20"/>
              </w:rPr>
            </w:r>
          </w:p>
        </w:tc>
      </w:tr>
    </w:tbl>
    <w:p>
      <w:pPr>
        <w:spacing w:after="0" w:line="240" w:lineRule="auto"/>
        <w:jc w:val="right"/>
        <w:rPr>
          <w:rFonts w:ascii="Arial" w:hAnsi="Arial" w:cs="Arial" w:eastAsia="Arial" w:hint="default"/>
          <w:sz w:val="20"/>
          <w:szCs w:val="20"/>
        </w:rPr>
        <w:sectPr>
          <w:pgSz w:w="11910" w:h="16840"/>
          <w:pgMar w:header="958" w:footer="466" w:top="2560" w:bottom="660" w:left="1560" w:right="0"/>
        </w:sectPr>
      </w:pP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15"/>
          <w:szCs w:val="15"/>
        </w:rPr>
      </w:pPr>
    </w:p>
    <w:tbl>
      <w:tblPr>
        <w:tblW w:w="0" w:type="auto"/>
        <w:jc w:val="left"/>
        <w:tblInd w:w="106" w:type="dxa"/>
        <w:tblLayout w:type="fixed"/>
        <w:tblCellMar>
          <w:top w:w="0" w:type="dxa"/>
          <w:left w:w="0" w:type="dxa"/>
          <w:bottom w:w="0" w:type="dxa"/>
          <w:right w:w="0" w:type="dxa"/>
        </w:tblCellMar>
        <w:tblLook w:val="01E0"/>
      </w:tblPr>
      <w:tblGrid>
        <w:gridCol w:w="688"/>
        <w:gridCol w:w="3809"/>
        <w:gridCol w:w="2382"/>
        <w:gridCol w:w="1670"/>
      </w:tblGrid>
      <w:tr>
        <w:trPr>
          <w:trHeight w:val="939" w:hRule="exact"/>
        </w:trPr>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黑体" w:hAnsi="黑体" w:cs="黑体" w:eastAsia="黑体" w:hint="default"/>
                <w:sz w:val="20"/>
                <w:szCs w:val="20"/>
              </w:rPr>
            </w:pPr>
            <w:r>
              <w:rPr>
                <w:rFonts w:ascii="黑体" w:hAnsi="黑体" w:cs="黑体" w:eastAsia="黑体" w:hint="default"/>
                <w:b/>
                <w:bCs/>
                <w:sz w:val="20"/>
                <w:szCs w:val="20"/>
              </w:rPr>
              <w:t>十三、</w:t>
            </w:r>
            <w:r>
              <w:rPr>
                <w:rFonts w:ascii="黑体" w:hAnsi="黑体" w:cs="黑体" w:eastAsia="黑体" w:hint="default"/>
                <w:sz w:val="20"/>
                <w:szCs w:val="20"/>
              </w:rPr>
            </w:r>
          </w:p>
          <w:p>
            <w:pPr>
              <w:pStyle w:val="TableParagraph"/>
              <w:spacing w:line="240" w:lineRule="auto" w:before="11"/>
              <w:ind w:right="0"/>
              <w:jc w:val="left"/>
              <w:rPr>
                <w:rFonts w:ascii="黑体" w:hAnsi="黑体" w:cs="黑体" w:eastAsia="黑体" w:hint="default"/>
                <w:b/>
                <w:bCs/>
                <w:sz w:val="20"/>
                <w:szCs w:val="20"/>
              </w:rPr>
            </w:pPr>
          </w:p>
          <w:p>
            <w:pPr>
              <w:pStyle w:val="TableParagraph"/>
              <w:spacing w:line="240" w:lineRule="auto"/>
              <w:ind w:left="35" w:right="0"/>
              <w:jc w:val="left"/>
              <w:rPr>
                <w:rFonts w:ascii="Arial" w:hAnsi="Arial" w:cs="Arial" w:eastAsia="Arial" w:hint="default"/>
                <w:sz w:val="20"/>
                <w:szCs w:val="20"/>
              </w:rPr>
            </w:pPr>
            <w:r>
              <w:rPr>
                <w:rFonts w:ascii="Arial"/>
                <w:b/>
                <w:sz w:val="20"/>
              </w:rPr>
              <w:t>40.</w:t>
            </w:r>
            <w:r>
              <w:rPr>
                <w:rFonts w:ascii="Arial"/>
                <w:sz w:val="20"/>
              </w:rPr>
            </w:r>
          </w:p>
        </w:tc>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0" w:right="0"/>
              <w:jc w:val="left"/>
              <w:rPr>
                <w:rFonts w:ascii="黑体" w:hAnsi="黑体" w:cs="黑体" w:eastAsia="黑体" w:hint="default"/>
                <w:sz w:val="20"/>
                <w:szCs w:val="20"/>
              </w:rPr>
            </w:pPr>
            <w:r>
              <w:rPr>
                <w:rFonts w:ascii="黑体" w:hAnsi="黑体" w:cs="黑体" w:eastAsia="黑体" w:hint="default"/>
                <w:b/>
                <w:bCs/>
                <w:sz w:val="20"/>
                <w:szCs w:val="20"/>
              </w:rPr>
              <w:t>公司财务报表主要项目注释（续）</w:t>
            </w:r>
            <w:r>
              <w:rPr>
                <w:rFonts w:ascii="黑体" w:hAnsi="黑体" w:cs="黑体" w:eastAsia="黑体" w:hint="default"/>
                <w:sz w:val="20"/>
                <w:szCs w:val="20"/>
              </w:rPr>
            </w:r>
          </w:p>
          <w:p>
            <w:pPr>
              <w:pStyle w:val="TableParagraph"/>
              <w:spacing w:line="240" w:lineRule="auto" w:before="5"/>
              <w:ind w:right="0"/>
              <w:jc w:val="left"/>
              <w:rPr>
                <w:rFonts w:ascii="黑体" w:hAnsi="黑体" w:cs="黑体" w:eastAsia="黑体" w:hint="default"/>
                <w:b/>
                <w:bCs/>
                <w:sz w:val="17"/>
                <w:szCs w:val="17"/>
              </w:rPr>
            </w:pPr>
          </w:p>
          <w:p>
            <w:pPr>
              <w:pStyle w:val="TableParagraph"/>
              <w:spacing w:line="240" w:lineRule="auto"/>
              <w:ind w:left="67" w:right="0"/>
              <w:jc w:val="left"/>
              <w:rPr>
                <w:rFonts w:ascii="黑体" w:hAnsi="黑体" w:cs="黑体" w:eastAsia="黑体" w:hint="default"/>
                <w:sz w:val="20"/>
                <w:szCs w:val="20"/>
              </w:rPr>
            </w:pPr>
            <w:r>
              <w:rPr>
                <w:rFonts w:ascii="黑体" w:hAnsi="黑体" w:cs="黑体" w:eastAsia="黑体" w:hint="default"/>
                <w:b/>
                <w:bCs/>
                <w:sz w:val="20"/>
                <w:szCs w:val="20"/>
              </w:rPr>
              <w:t>关联方应收应付款项余额（续）</w:t>
            </w:r>
            <w:r>
              <w:rPr>
                <w:rFonts w:ascii="黑体" w:hAnsi="黑体" w:cs="黑体" w:eastAsia="黑体" w:hint="default"/>
                <w:sz w:val="20"/>
                <w:szCs w:val="20"/>
              </w:rPr>
            </w:r>
          </w:p>
        </w:tc>
        <w:tc>
          <w:tcPr>
            <w:tcW w:w="4052" w:type="dxa"/>
            <w:gridSpan w:val="2"/>
            <w:vMerge w:val="restart"/>
            <w:tcBorders>
              <w:top w:val="nil" w:sz="6" w:space="0" w:color="auto"/>
              <w:left w:val="nil" w:sz="6" w:space="0" w:color="auto"/>
              <w:right w:val="nil" w:sz="6" w:space="0" w:color="auto"/>
            </w:tcBorders>
          </w:tcPr>
          <w:p>
            <w:pPr/>
          </w:p>
        </w:tc>
      </w:tr>
      <w:tr>
        <w:trPr>
          <w:trHeight w:val="490"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61" w:right="0"/>
              <w:jc w:val="left"/>
              <w:rPr>
                <w:rFonts w:ascii="黑体" w:hAnsi="黑体" w:cs="黑体" w:eastAsia="黑体" w:hint="default"/>
                <w:sz w:val="20"/>
                <w:szCs w:val="20"/>
              </w:rPr>
            </w:pPr>
            <w:r>
              <w:rPr>
                <w:rFonts w:ascii="Arial" w:hAnsi="Arial" w:cs="Arial" w:eastAsia="Arial" w:hint="default"/>
                <w:sz w:val="20"/>
                <w:szCs w:val="20"/>
              </w:rPr>
              <w:t>(2)  </w:t>
            </w:r>
            <w:r>
              <w:rPr>
                <w:rFonts w:ascii="Arial" w:hAnsi="Arial" w:cs="Arial" w:eastAsia="Arial" w:hint="default"/>
                <w:spacing w:val="31"/>
                <w:sz w:val="20"/>
                <w:szCs w:val="20"/>
              </w:rPr>
              <w:t> </w:t>
            </w:r>
            <w:r>
              <w:rPr>
                <w:rFonts w:ascii="黑体" w:hAnsi="黑体" w:cs="黑体" w:eastAsia="黑体" w:hint="default"/>
                <w:sz w:val="20"/>
                <w:szCs w:val="20"/>
              </w:rPr>
              <w:t>其他应收款</w:t>
            </w:r>
          </w:p>
        </w:tc>
        <w:tc>
          <w:tcPr>
            <w:tcW w:w="4052" w:type="dxa"/>
            <w:gridSpan w:val="2"/>
            <w:vMerge/>
            <w:tcBorders>
              <w:left w:val="nil" w:sz="6" w:space="0" w:color="auto"/>
              <w:bottom w:val="nil" w:sz="6" w:space="0" w:color="auto"/>
              <w:right w:val="nil" w:sz="6" w:space="0" w:color="auto"/>
            </w:tcBorders>
          </w:tcPr>
          <w:p>
            <w:pPr/>
          </w:p>
        </w:tc>
      </w:tr>
      <w:tr>
        <w:trPr>
          <w:trHeight w:val="761"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
        </w:tc>
        <w:tc>
          <w:tcPr>
            <w:tcW w:w="2382" w:type="dxa"/>
            <w:tcBorders>
              <w:top w:val="nil" w:sz="6" w:space="0" w:color="auto"/>
              <w:left w:val="nil" w:sz="6" w:space="0" w:color="auto"/>
              <w:bottom w:val="nil" w:sz="6" w:space="0" w:color="auto"/>
              <w:right w:val="nil" w:sz="6" w:space="0" w:color="auto"/>
            </w:tcBorders>
          </w:tcPr>
          <w:p>
            <w:pPr>
              <w:pStyle w:val="TableParagraph"/>
              <w:spacing w:line="268" w:lineRule="exact" w:before="79"/>
              <w:ind w:left="470" w:right="0"/>
              <w:jc w:val="center"/>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p>
            <w:pPr>
              <w:pStyle w:val="TableParagraph"/>
              <w:spacing w:line="268" w:lineRule="exact"/>
              <w:ind w:left="270" w:right="0"/>
              <w:jc w:val="center"/>
              <w:rPr>
                <w:rFonts w:ascii="黑体" w:hAnsi="黑体" w:cs="黑体" w:eastAsia="黑体" w:hint="default"/>
                <w:sz w:val="20"/>
                <w:szCs w:val="20"/>
              </w:rPr>
            </w:pP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tc>
        <w:tc>
          <w:tcPr>
            <w:tcW w:w="1670" w:type="dxa"/>
            <w:tcBorders>
              <w:top w:val="nil" w:sz="6" w:space="0" w:color="auto"/>
              <w:left w:val="nil" w:sz="6" w:space="0" w:color="auto"/>
              <w:bottom w:val="nil" w:sz="6" w:space="0" w:color="auto"/>
              <w:right w:val="nil" w:sz="6" w:space="0" w:color="auto"/>
            </w:tcBorders>
          </w:tcPr>
          <w:p>
            <w:pPr>
              <w:pStyle w:val="TableParagraph"/>
              <w:spacing w:line="268" w:lineRule="exact" w:before="79"/>
              <w:ind w:left="954" w:right="0"/>
              <w:jc w:val="center"/>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p>
            <w:pPr>
              <w:pStyle w:val="TableParagraph"/>
              <w:spacing w:line="268" w:lineRule="exact"/>
              <w:ind w:left="754" w:right="0"/>
              <w:jc w:val="center"/>
              <w:rPr>
                <w:rFonts w:ascii="黑体" w:hAnsi="黑体" w:cs="黑体" w:eastAsia="黑体" w:hint="default"/>
                <w:sz w:val="20"/>
                <w:szCs w:val="20"/>
              </w:rPr>
            </w:pP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tc>
      </w:tr>
      <w:tr>
        <w:trPr>
          <w:trHeight w:val="383"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91"/>
              <w:ind w:left="70" w:right="0"/>
              <w:jc w:val="left"/>
              <w:rPr>
                <w:rFonts w:ascii="黑体" w:hAnsi="黑体" w:cs="黑体" w:eastAsia="黑体" w:hint="default"/>
                <w:sz w:val="20"/>
                <w:szCs w:val="20"/>
              </w:rPr>
            </w:pPr>
            <w:r>
              <w:rPr>
                <w:rFonts w:ascii="黑体" w:hAnsi="黑体" w:cs="黑体" w:eastAsia="黑体" w:hint="default"/>
                <w:sz w:val="20"/>
                <w:szCs w:val="20"/>
              </w:rPr>
              <w:t>子公司</w:t>
            </w:r>
          </w:p>
        </w:tc>
        <w:tc>
          <w:tcPr>
            <w:tcW w:w="2382" w:type="dxa"/>
            <w:tcBorders>
              <w:top w:val="nil" w:sz="6" w:space="0" w:color="auto"/>
              <w:left w:val="nil" w:sz="6" w:space="0" w:color="auto"/>
              <w:bottom w:val="nil" w:sz="6" w:space="0" w:color="auto"/>
              <w:right w:val="nil" w:sz="6" w:space="0" w:color="auto"/>
            </w:tcBorders>
          </w:tcPr>
          <w:p>
            <w:pPr/>
          </w:p>
        </w:tc>
        <w:tc>
          <w:tcPr>
            <w:tcW w:w="1670" w:type="dxa"/>
            <w:tcBorders>
              <w:top w:val="nil" w:sz="6" w:space="0" w:color="auto"/>
              <w:left w:val="nil" w:sz="6" w:space="0" w:color="auto"/>
              <w:bottom w:val="nil" w:sz="6" w:space="0" w:color="auto"/>
              <w:right w:val="nil" w:sz="6" w:space="0" w:color="auto"/>
            </w:tcBorders>
          </w:tcPr>
          <w:p>
            <w:pPr/>
          </w:p>
        </w:tc>
      </w:tr>
      <w:tr>
        <w:trPr>
          <w:trHeight w:val="263"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30" w:lineRule="exact"/>
              <w:ind w:left="257" w:right="0"/>
              <w:jc w:val="left"/>
              <w:rPr>
                <w:rFonts w:ascii="黑体" w:hAnsi="黑体" w:cs="黑体" w:eastAsia="黑体" w:hint="default"/>
                <w:sz w:val="20"/>
                <w:szCs w:val="20"/>
              </w:rPr>
            </w:pPr>
            <w:r>
              <w:rPr>
                <w:rFonts w:ascii="黑体" w:hAnsi="黑体" w:cs="黑体" w:eastAsia="黑体" w:hint="default"/>
                <w:sz w:val="20"/>
                <w:szCs w:val="20"/>
              </w:rPr>
              <w:t>用友艾福斯</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30"/>
              <w:jc w:val="right"/>
              <w:rPr>
                <w:rFonts w:ascii="Arial" w:hAnsi="Arial" w:cs="Arial" w:eastAsia="Arial" w:hint="default"/>
                <w:sz w:val="20"/>
                <w:szCs w:val="20"/>
              </w:rPr>
            </w:pPr>
            <w:r>
              <w:rPr>
                <w:rFonts w:ascii="Arial"/>
                <w:spacing w:val="-1"/>
                <w:sz w:val="20"/>
              </w:rPr>
              <w:t>8,278,375</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Arial" w:hAnsi="Arial" w:cs="Arial" w:eastAsia="Arial" w:hint="default"/>
                <w:sz w:val="20"/>
                <w:szCs w:val="20"/>
              </w:rPr>
            </w:pPr>
            <w:r>
              <w:rPr>
                <w:rFonts w:ascii="Arial"/>
                <w:spacing w:val="-1"/>
                <w:sz w:val="20"/>
              </w:rPr>
              <w:t>8,278,375</w:t>
            </w:r>
          </w:p>
        </w:tc>
      </w:tr>
      <w:tr>
        <w:trPr>
          <w:trHeight w:val="259"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26" w:lineRule="exact"/>
              <w:ind w:left="257" w:right="0"/>
              <w:jc w:val="left"/>
              <w:rPr>
                <w:rFonts w:ascii="黑体" w:hAnsi="黑体" w:cs="黑体" w:eastAsia="黑体" w:hint="default"/>
                <w:sz w:val="20"/>
                <w:szCs w:val="20"/>
              </w:rPr>
            </w:pPr>
            <w:r>
              <w:rPr>
                <w:rFonts w:ascii="黑体" w:hAnsi="黑体" w:cs="黑体" w:eastAsia="黑体" w:hint="default"/>
                <w:sz w:val="20"/>
                <w:szCs w:val="20"/>
              </w:rPr>
              <w:t>重庆用友</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0"/>
              <w:jc w:val="right"/>
              <w:rPr>
                <w:rFonts w:ascii="Arial" w:hAnsi="Arial" w:cs="Arial" w:eastAsia="Arial" w:hint="default"/>
                <w:sz w:val="20"/>
                <w:szCs w:val="20"/>
              </w:rPr>
            </w:pPr>
            <w:r>
              <w:rPr>
                <w:rFonts w:ascii="Arial"/>
                <w:spacing w:val="-1"/>
                <w:sz w:val="20"/>
              </w:rPr>
              <w:t>7,332,844</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4,334,820</w:t>
            </w:r>
          </w:p>
        </w:tc>
      </w:tr>
      <w:tr>
        <w:trPr>
          <w:trHeight w:val="259"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26" w:lineRule="exact"/>
              <w:ind w:left="257" w:right="0"/>
              <w:jc w:val="left"/>
              <w:rPr>
                <w:rFonts w:ascii="黑体" w:hAnsi="黑体" w:cs="黑体" w:eastAsia="黑体" w:hint="default"/>
                <w:sz w:val="20"/>
                <w:szCs w:val="20"/>
              </w:rPr>
            </w:pPr>
            <w:r>
              <w:rPr>
                <w:rFonts w:ascii="黑体" w:hAnsi="黑体" w:cs="黑体" w:eastAsia="黑体" w:hint="default"/>
                <w:sz w:val="20"/>
                <w:szCs w:val="20"/>
              </w:rPr>
              <w:t>武汉用友</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1"/>
              <w:jc w:val="right"/>
              <w:rPr>
                <w:rFonts w:ascii="Arial" w:hAnsi="Arial" w:cs="Arial" w:eastAsia="Arial" w:hint="default"/>
                <w:sz w:val="20"/>
                <w:szCs w:val="20"/>
              </w:rPr>
            </w:pPr>
            <w:r>
              <w:rPr>
                <w:rFonts w:ascii="Arial"/>
                <w:spacing w:val="-1"/>
                <w:sz w:val="20"/>
              </w:rPr>
              <w:t>13,189,195</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10,169,695</w:t>
            </w:r>
          </w:p>
        </w:tc>
      </w:tr>
      <w:tr>
        <w:trPr>
          <w:trHeight w:val="259"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26" w:lineRule="exact"/>
              <w:ind w:left="257" w:right="0"/>
              <w:jc w:val="left"/>
              <w:rPr>
                <w:rFonts w:ascii="黑体" w:hAnsi="黑体" w:cs="黑体" w:eastAsia="黑体" w:hint="default"/>
                <w:sz w:val="20"/>
                <w:szCs w:val="20"/>
              </w:rPr>
            </w:pPr>
            <w:r>
              <w:rPr>
                <w:rFonts w:ascii="黑体" w:hAnsi="黑体" w:cs="黑体" w:eastAsia="黑体" w:hint="default"/>
                <w:sz w:val="20"/>
                <w:szCs w:val="20"/>
              </w:rPr>
              <w:t>广东用友</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1"/>
              <w:jc w:val="right"/>
              <w:rPr>
                <w:rFonts w:ascii="Arial" w:hAnsi="Arial" w:cs="Arial" w:eastAsia="Arial" w:hint="default"/>
                <w:sz w:val="20"/>
                <w:szCs w:val="20"/>
              </w:rPr>
            </w:pPr>
            <w:r>
              <w:rPr>
                <w:rFonts w:ascii="Arial"/>
                <w:spacing w:val="-1"/>
                <w:sz w:val="20"/>
              </w:rPr>
              <w:t>20,496,749</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20,406,149</w:t>
            </w:r>
          </w:p>
        </w:tc>
      </w:tr>
      <w:tr>
        <w:trPr>
          <w:trHeight w:val="262"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26" w:lineRule="exact"/>
              <w:ind w:left="257" w:right="0"/>
              <w:jc w:val="left"/>
              <w:rPr>
                <w:rFonts w:ascii="黑体" w:hAnsi="黑体" w:cs="黑体" w:eastAsia="黑体" w:hint="default"/>
                <w:sz w:val="20"/>
                <w:szCs w:val="20"/>
              </w:rPr>
            </w:pPr>
            <w:r>
              <w:rPr>
                <w:rFonts w:ascii="黑体" w:hAnsi="黑体" w:cs="黑体" w:eastAsia="黑体" w:hint="default"/>
                <w:sz w:val="20"/>
                <w:szCs w:val="20"/>
              </w:rPr>
              <w:t>安徽用友</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0"/>
              <w:jc w:val="right"/>
              <w:rPr>
                <w:rFonts w:ascii="Arial" w:hAnsi="Arial" w:cs="Arial" w:eastAsia="Arial" w:hint="default"/>
                <w:sz w:val="20"/>
                <w:szCs w:val="20"/>
              </w:rPr>
            </w:pPr>
            <w:r>
              <w:rPr>
                <w:rFonts w:ascii="Arial"/>
                <w:spacing w:val="-1"/>
                <w:sz w:val="20"/>
              </w:rPr>
              <w:t>5,548,659</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5,437,088</w:t>
            </w:r>
          </w:p>
        </w:tc>
      </w:tr>
      <w:tr>
        <w:trPr>
          <w:trHeight w:val="254"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3"/>
              <w:ind w:left="257" w:right="0"/>
              <w:jc w:val="left"/>
              <w:rPr>
                <w:rFonts w:ascii="Arial" w:hAnsi="Arial" w:cs="Arial" w:eastAsia="Arial" w:hint="default"/>
                <w:sz w:val="20"/>
                <w:szCs w:val="20"/>
              </w:rPr>
            </w:pPr>
            <w:r>
              <w:rPr>
                <w:rFonts w:ascii="Arial"/>
                <w:sz w:val="20"/>
              </w:rPr>
              <w:t>UF</w:t>
            </w:r>
            <w:r>
              <w:rPr>
                <w:rFonts w:ascii="Arial"/>
                <w:spacing w:val="-15"/>
                <w:sz w:val="20"/>
              </w:rPr>
              <w:t> </w:t>
            </w:r>
            <w:r>
              <w:rPr>
                <w:rFonts w:ascii="Arial"/>
                <w:sz w:val="20"/>
              </w:rPr>
              <w:t>International</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631"/>
              <w:jc w:val="right"/>
              <w:rPr>
                <w:rFonts w:ascii="Arial" w:hAnsi="Arial" w:cs="Arial" w:eastAsia="Arial" w:hint="default"/>
                <w:sz w:val="20"/>
                <w:szCs w:val="20"/>
              </w:rPr>
            </w:pPr>
            <w:r>
              <w:rPr>
                <w:rFonts w:ascii="Arial"/>
                <w:spacing w:val="-1"/>
                <w:sz w:val="20"/>
              </w:rPr>
              <w:t>6,759,918</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Arial" w:hAnsi="Arial" w:cs="Arial" w:eastAsia="Arial" w:hint="default"/>
                <w:sz w:val="20"/>
                <w:szCs w:val="20"/>
              </w:rPr>
            </w:pPr>
            <w:r>
              <w:rPr>
                <w:rFonts w:ascii="Arial"/>
                <w:spacing w:val="-1"/>
                <w:sz w:val="20"/>
              </w:rPr>
              <w:t>6,766,254</w:t>
            </w:r>
          </w:p>
        </w:tc>
      </w:tr>
      <w:tr>
        <w:trPr>
          <w:trHeight w:val="259"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25" w:lineRule="exact"/>
              <w:ind w:left="257" w:right="0"/>
              <w:jc w:val="left"/>
              <w:rPr>
                <w:rFonts w:ascii="黑体" w:hAnsi="黑体" w:cs="黑体" w:eastAsia="黑体" w:hint="default"/>
                <w:sz w:val="20"/>
                <w:szCs w:val="20"/>
              </w:rPr>
            </w:pPr>
            <w:r>
              <w:rPr>
                <w:rFonts w:ascii="黑体" w:hAnsi="黑体" w:cs="黑体" w:eastAsia="黑体" w:hint="default"/>
                <w:sz w:val="20"/>
                <w:szCs w:val="20"/>
              </w:rPr>
              <w:t>浙江用友</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31"/>
              <w:jc w:val="right"/>
              <w:rPr>
                <w:rFonts w:ascii="Arial" w:hAnsi="Arial" w:cs="Arial" w:eastAsia="Arial" w:hint="default"/>
                <w:sz w:val="20"/>
                <w:szCs w:val="20"/>
              </w:rPr>
            </w:pPr>
            <w:r>
              <w:rPr>
                <w:rFonts w:ascii="Arial"/>
                <w:spacing w:val="-1"/>
                <w:sz w:val="20"/>
              </w:rPr>
              <w:t>11,143,678</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spacing w:val="-1"/>
                <w:sz w:val="20"/>
              </w:rPr>
              <w:t>10,095,857</w:t>
            </w:r>
          </w:p>
        </w:tc>
      </w:tr>
      <w:tr>
        <w:trPr>
          <w:trHeight w:val="259"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26" w:lineRule="exact"/>
              <w:ind w:left="257" w:right="0"/>
              <w:jc w:val="left"/>
              <w:rPr>
                <w:rFonts w:ascii="黑体" w:hAnsi="黑体" w:cs="黑体" w:eastAsia="黑体" w:hint="default"/>
                <w:sz w:val="20"/>
                <w:szCs w:val="20"/>
              </w:rPr>
            </w:pPr>
            <w:r>
              <w:rPr>
                <w:rFonts w:ascii="黑体" w:hAnsi="黑体" w:cs="黑体" w:eastAsia="黑体" w:hint="default"/>
                <w:sz w:val="20"/>
                <w:szCs w:val="20"/>
              </w:rPr>
              <w:t>沈阳用友</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0"/>
              <w:jc w:val="right"/>
              <w:rPr>
                <w:rFonts w:ascii="Arial" w:hAnsi="Arial" w:cs="Arial" w:eastAsia="Arial" w:hint="default"/>
                <w:sz w:val="20"/>
                <w:szCs w:val="20"/>
              </w:rPr>
            </w:pPr>
            <w:r>
              <w:rPr>
                <w:rFonts w:ascii="Arial"/>
                <w:spacing w:val="-1"/>
                <w:sz w:val="20"/>
              </w:rPr>
              <w:t>2,202,275</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2,411,404</w:t>
            </w:r>
          </w:p>
        </w:tc>
      </w:tr>
      <w:tr>
        <w:trPr>
          <w:trHeight w:val="259"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26" w:lineRule="exact"/>
              <w:ind w:left="257" w:right="0"/>
              <w:jc w:val="left"/>
              <w:rPr>
                <w:rFonts w:ascii="黑体" w:hAnsi="黑体" w:cs="黑体" w:eastAsia="黑体" w:hint="default"/>
                <w:sz w:val="20"/>
                <w:szCs w:val="20"/>
              </w:rPr>
            </w:pPr>
            <w:r>
              <w:rPr>
                <w:rFonts w:ascii="黑体" w:hAnsi="黑体" w:cs="黑体" w:eastAsia="黑体" w:hint="default"/>
                <w:sz w:val="20"/>
                <w:szCs w:val="20"/>
              </w:rPr>
              <w:t>大连用友</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0"/>
              <w:jc w:val="right"/>
              <w:rPr>
                <w:rFonts w:ascii="Arial" w:hAnsi="Arial" w:cs="Arial" w:eastAsia="Arial" w:hint="default"/>
                <w:sz w:val="20"/>
                <w:szCs w:val="20"/>
              </w:rPr>
            </w:pPr>
            <w:r>
              <w:rPr>
                <w:rFonts w:ascii="Arial"/>
                <w:spacing w:val="-1"/>
                <w:sz w:val="20"/>
              </w:rPr>
              <w:t>2,253,726</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2,484,533</w:t>
            </w:r>
          </w:p>
        </w:tc>
      </w:tr>
      <w:tr>
        <w:trPr>
          <w:trHeight w:val="260"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26" w:lineRule="exact"/>
              <w:ind w:left="257" w:right="0"/>
              <w:jc w:val="left"/>
              <w:rPr>
                <w:rFonts w:ascii="黑体" w:hAnsi="黑体" w:cs="黑体" w:eastAsia="黑体" w:hint="default"/>
                <w:sz w:val="20"/>
                <w:szCs w:val="20"/>
              </w:rPr>
            </w:pPr>
            <w:r>
              <w:rPr>
                <w:rFonts w:ascii="黑体" w:hAnsi="黑体" w:cs="黑体" w:eastAsia="黑体" w:hint="default"/>
                <w:sz w:val="20"/>
                <w:szCs w:val="20"/>
              </w:rPr>
              <w:t>广西用友</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1"/>
              <w:jc w:val="right"/>
              <w:rPr>
                <w:rFonts w:ascii="Arial" w:hAnsi="Arial" w:cs="Arial" w:eastAsia="Arial" w:hint="default"/>
                <w:sz w:val="20"/>
                <w:szCs w:val="20"/>
              </w:rPr>
            </w:pPr>
            <w:r>
              <w:rPr>
                <w:rFonts w:ascii="Arial"/>
                <w:spacing w:val="-1"/>
                <w:sz w:val="20"/>
              </w:rPr>
              <w:t>452,925</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220,641</w:t>
            </w:r>
          </w:p>
        </w:tc>
      </w:tr>
      <w:tr>
        <w:trPr>
          <w:trHeight w:val="260"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27" w:lineRule="exact"/>
              <w:ind w:left="257" w:right="0"/>
              <w:jc w:val="left"/>
              <w:rPr>
                <w:rFonts w:ascii="黑体" w:hAnsi="黑体" w:cs="黑体" w:eastAsia="黑体" w:hint="default"/>
                <w:sz w:val="20"/>
                <w:szCs w:val="20"/>
              </w:rPr>
            </w:pPr>
            <w:r>
              <w:rPr>
                <w:rFonts w:ascii="黑体" w:hAnsi="黑体" w:cs="黑体" w:eastAsia="黑体" w:hint="default"/>
                <w:sz w:val="20"/>
                <w:szCs w:val="20"/>
              </w:rPr>
              <w:t>山东用友</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0"/>
              <w:jc w:val="right"/>
              <w:rPr>
                <w:rFonts w:ascii="Arial" w:hAnsi="Arial" w:cs="Arial" w:eastAsia="Arial" w:hint="default"/>
                <w:sz w:val="20"/>
                <w:szCs w:val="20"/>
              </w:rPr>
            </w:pPr>
            <w:r>
              <w:rPr>
                <w:rFonts w:ascii="Arial"/>
                <w:spacing w:val="-1"/>
                <w:sz w:val="20"/>
              </w:rPr>
              <w:t>7,892,889</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4,781,015</w:t>
            </w:r>
          </w:p>
        </w:tc>
      </w:tr>
      <w:tr>
        <w:trPr>
          <w:trHeight w:val="259"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26" w:lineRule="exact"/>
              <w:ind w:left="257" w:right="0"/>
              <w:jc w:val="left"/>
              <w:rPr>
                <w:rFonts w:ascii="黑体" w:hAnsi="黑体" w:cs="黑体" w:eastAsia="黑体" w:hint="default"/>
                <w:sz w:val="20"/>
                <w:szCs w:val="20"/>
              </w:rPr>
            </w:pPr>
            <w:r>
              <w:rPr>
                <w:rFonts w:ascii="黑体" w:hAnsi="黑体" w:cs="黑体" w:eastAsia="黑体" w:hint="default"/>
                <w:sz w:val="20"/>
                <w:szCs w:val="20"/>
              </w:rPr>
              <w:t>深圳用友软件</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0"/>
              <w:jc w:val="right"/>
              <w:rPr>
                <w:rFonts w:ascii="Arial" w:hAnsi="Arial" w:cs="Arial" w:eastAsia="Arial" w:hint="default"/>
                <w:sz w:val="20"/>
                <w:szCs w:val="20"/>
              </w:rPr>
            </w:pPr>
            <w:r>
              <w:rPr>
                <w:rFonts w:ascii="Arial"/>
                <w:spacing w:val="-1"/>
                <w:sz w:val="20"/>
              </w:rPr>
              <w:t>18,921,828</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7,109,239</w:t>
            </w:r>
          </w:p>
        </w:tc>
      </w:tr>
      <w:tr>
        <w:trPr>
          <w:trHeight w:val="259"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26" w:lineRule="exact"/>
              <w:ind w:left="257" w:right="0"/>
              <w:jc w:val="left"/>
              <w:rPr>
                <w:rFonts w:ascii="黑体" w:hAnsi="黑体" w:cs="黑体" w:eastAsia="黑体" w:hint="default"/>
                <w:sz w:val="20"/>
                <w:szCs w:val="20"/>
              </w:rPr>
            </w:pPr>
            <w:r>
              <w:rPr>
                <w:rFonts w:ascii="黑体" w:hAnsi="黑体" w:cs="黑体" w:eastAsia="黑体" w:hint="default"/>
                <w:sz w:val="20"/>
                <w:szCs w:val="20"/>
              </w:rPr>
              <w:t>香港用友</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1"/>
              <w:jc w:val="right"/>
              <w:rPr>
                <w:rFonts w:ascii="Arial" w:hAnsi="Arial" w:cs="Arial" w:eastAsia="Arial" w:hint="default"/>
                <w:sz w:val="20"/>
                <w:szCs w:val="20"/>
              </w:rPr>
            </w:pPr>
            <w:r>
              <w:rPr>
                <w:rFonts w:ascii="Arial"/>
                <w:spacing w:val="-1"/>
                <w:sz w:val="20"/>
              </w:rPr>
              <w:t>502,388</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469,899</w:t>
            </w:r>
          </w:p>
        </w:tc>
      </w:tr>
      <w:tr>
        <w:trPr>
          <w:trHeight w:val="259"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26" w:lineRule="exact"/>
              <w:ind w:left="257" w:right="0"/>
              <w:jc w:val="left"/>
              <w:rPr>
                <w:rFonts w:ascii="黑体" w:hAnsi="黑体" w:cs="黑体" w:eastAsia="黑体" w:hint="default"/>
                <w:sz w:val="20"/>
                <w:szCs w:val="20"/>
              </w:rPr>
            </w:pPr>
            <w:r>
              <w:rPr>
                <w:rFonts w:ascii="黑体" w:hAnsi="黑体" w:cs="黑体" w:eastAsia="黑体" w:hint="default"/>
                <w:sz w:val="20"/>
                <w:szCs w:val="20"/>
              </w:rPr>
              <w:t>新加坡用友</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1"/>
              <w:jc w:val="right"/>
              <w:rPr>
                <w:rFonts w:ascii="Arial" w:hAnsi="Arial" w:cs="Arial" w:eastAsia="Arial" w:hint="default"/>
                <w:sz w:val="20"/>
                <w:szCs w:val="20"/>
              </w:rPr>
            </w:pPr>
            <w:r>
              <w:rPr>
                <w:rFonts w:ascii="Arial"/>
                <w:spacing w:val="-1"/>
                <w:sz w:val="20"/>
              </w:rPr>
              <w:t>211,736</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204,204</w:t>
            </w:r>
          </w:p>
        </w:tc>
      </w:tr>
      <w:tr>
        <w:trPr>
          <w:trHeight w:val="259"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26" w:lineRule="exact"/>
              <w:ind w:left="257" w:right="0"/>
              <w:jc w:val="left"/>
              <w:rPr>
                <w:rFonts w:ascii="黑体" w:hAnsi="黑体" w:cs="黑体" w:eastAsia="黑体" w:hint="default"/>
                <w:sz w:val="20"/>
                <w:szCs w:val="20"/>
              </w:rPr>
            </w:pPr>
            <w:r>
              <w:rPr>
                <w:rFonts w:ascii="黑体" w:hAnsi="黑体" w:cs="黑体" w:eastAsia="黑体" w:hint="default"/>
                <w:sz w:val="20"/>
                <w:szCs w:val="20"/>
              </w:rPr>
              <w:t>上海资源</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1"/>
              <w:jc w:val="right"/>
              <w:rPr>
                <w:rFonts w:ascii="Arial" w:hAnsi="Arial" w:cs="Arial" w:eastAsia="Arial" w:hint="default"/>
                <w:sz w:val="20"/>
                <w:szCs w:val="20"/>
              </w:rPr>
            </w:pPr>
            <w:r>
              <w:rPr>
                <w:rFonts w:ascii="Arial"/>
                <w:w w:val="100"/>
                <w:sz w:val="20"/>
              </w:rPr>
              <w:t>-</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6,700,000</w:t>
            </w:r>
          </w:p>
        </w:tc>
      </w:tr>
      <w:tr>
        <w:trPr>
          <w:trHeight w:val="259"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26" w:lineRule="exact"/>
              <w:ind w:left="257" w:right="0"/>
              <w:jc w:val="left"/>
              <w:rPr>
                <w:rFonts w:ascii="黑体" w:hAnsi="黑体" w:cs="黑体" w:eastAsia="黑体" w:hint="default"/>
                <w:sz w:val="20"/>
                <w:szCs w:val="20"/>
              </w:rPr>
            </w:pPr>
            <w:r>
              <w:rPr>
                <w:rFonts w:ascii="黑体" w:hAnsi="黑体" w:cs="黑体" w:eastAsia="黑体" w:hint="default"/>
                <w:sz w:val="20"/>
                <w:szCs w:val="20"/>
              </w:rPr>
              <w:t>江西用友</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0"/>
              <w:jc w:val="right"/>
              <w:rPr>
                <w:rFonts w:ascii="Arial" w:hAnsi="Arial" w:cs="Arial" w:eastAsia="Arial" w:hint="default"/>
                <w:sz w:val="20"/>
                <w:szCs w:val="20"/>
              </w:rPr>
            </w:pPr>
            <w:r>
              <w:rPr>
                <w:rFonts w:ascii="Arial"/>
                <w:spacing w:val="-1"/>
                <w:sz w:val="20"/>
              </w:rPr>
              <w:t>2,244,297</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1,913,748</w:t>
            </w:r>
          </w:p>
        </w:tc>
      </w:tr>
      <w:tr>
        <w:trPr>
          <w:trHeight w:val="260"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26" w:lineRule="exact"/>
              <w:ind w:left="257" w:right="0"/>
              <w:jc w:val="left"/>
              <w:rPr>
                <w:rFonts w:ascii="黑体" w:hAnsi="黑体" w:cs="黑体" w:eastAsia="黑体" w:hint="default"/>
                <w:sz w:val="20"/>
                <w:szCs w:val="20"/>
              </w:rPr>
            </w:pPr>
            <w:r>
              <w:rPr>
                <w:rFonts w:ascii="黑体" w:hAnsi="黑体" w:cs="黑体" w:eastAsia="黑体" w:hint="default"/>
                <w:sz w:val="20"/>
                <w:szCs w:val="20"/>
              </w:rPr>
              <w:t>内蒙古用友</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1"/>
              <w:jc w:val="right"/>
              <w:rPr>
                <w:rFonts w:ascii="Arial" w:hAnsi="Arial" w:cs="Arial" w:eastAsia="Arial" w:hint="default"/>
                <w:sz w:val="20"/>
                <w:szCs w:val="20"/>
              </w:rPr>
            </w:pPr>
            <w:r>
              <w:rPr>
                <w:rFonts w:ascii="Arial"/>
                <w:spacing w:val="-1"/>
                <w:sz w:val="20"/>
              </w:rPr>
              <w:t>394,778</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w:t>
            </w:r>
          </w:p>
        </w:tc>
      </w:tr>
      <w:tr>
        <w:trPr>
          <w:trHeight w:val="260"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41" w:lineRule="exact"/>
              <w:ind w:left="257" w:right="0"/>
              <w:jc w:val="left"/>
              <w:rPr>
                <w:rFonts w:ascii="Arial" w:hAnsi="Arial" w:cs="Arial" w:eastAsia="Arial" w:hint="default"/>
                <w:sz w:val="20"/>
                <w:szCs w:val="20"/>
              </w:rPr>
            </w:pPr>
            <w:r>
              <w:rPr>
                <w:rFonts w:ascii="黑体" w:hAnsi="黑体" w:cs="黑体" w:eastAsia="黑体" w:hint="default"/>
                <w:sz w:val="20"/>
                <w:szCs w:val="20"/>
              </w:rPr>
              <w:t>用友</w:t>
            </w:r>
            <w:r>
              <w:rPr>
                <w:rFonts w:ascii="Arial" w:hAnsi="Arial" w:cs="Arial" w:eastAsia="Arial" w:hint="default"/>
                <w:sz w:val="20"/>
                <w:szCs w:val="20"/>
              </w:rPr>
              <w:t>(</w:t>
            </w:r>
            <w:r>
              <w:rPr>
                <w:rFonts w:ascii="黑体" w:hAnsi="黑体" w:cs="黑体" w:eastAsia="黑体" w:hint="default"/>
                <w:sz w:val="20"/>
                <w:szCs w:val="20"/>
              </w:rPr>
              <w:t>南昌</w:t>
            </w:r>
            <w:r>
              <w:rPr>
                <w:rFonts w:ascii="Arial" w:hAnsi="Arial" w:cs="Arial" w:eastAsia="Arial" w:hint="default"/>
                <w:sz w:val="20"/>
                <w:szCs w:val="20"/>
              </w:rPr>
              <w:t>)</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631"/>
              <w:jc w:val="right"/>
              <w:rPr>
                <w:rFonts w:ascii="Arial" w:hAnsi="Arial" w:cs="Arial" w:eastAsia="Arial" w:hint="default"/>
                <w:sz w:val="20"/>
                <w:szCs w:val="20"/>
              </w:rPr>
            </w:pPr>
            <w:r>
              <w:rPr>
                <w:rFonts w:ascii="Arial"/>
                <w:spacing w:val="-1"/>
                <w:sz w:val="20"/>
              </w:rPr>
              <w:t>101,459</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w w:val="100"/>
                <w:sz w:val="20"/>
              </w:rPr>
              <w:t>-</w:t>
            </w:r>
          </w:p>
        </w:tc>
      </w:tr>
      <w:tr>
        <w:trPr>
          <w:trHeight w:val="333" w:hRule="exact"/>
        </w:trPr>
        <w:tc>
          <w:tcPr>
            <w:tcW w:w="688" w:type="dxa"/>
            <w:tcBorders>
              <w:top w:val="nil" w:sz="6" w:space="0" w:color="auto"/>
              <w:left w:val="nil" w:sz="6" w:space="0" w:color="auto"/>
              <w:bottom w:val="nil" w:sz="6" w:space="0" w:color="auto"/>
              <w:right w:val="nil" w:sz="6" w:space="0" w:color="auto"/>
            </w:tcBorders>
          </w:tcPr>
          <w:p>
            <w:pPr/>
          </w:p>
        </w:tc>
        <w:tc>
          <w:tcPr>
            <w:tcW w:w="3809" w:type="dxa"/>
            <w:tcBorders>
              <w:top w:val="nil" w:sz="6" w:space="0" w:color="auto"/>
              <w:left w:val="nil" w:sz="6" w:space="0" w:color="auto"/>
              <w:bottom w:val="nil" w:sz="6" w:space="0" w:color="auto"/>
              <w:right w:val="nil" w:sz="6" w:space="0" w:color="auto"/>
            </w:tcBorders>
          </w:tcPr>
          <w:p>
            <w:pPr>
              <w:pStyle w:val="TableParagraph"/>
              <w:spacing w:line="225" w:lineRule="exact"/>
              <w:ind w:left="257" w:right="0"/>
              <w:jc w:val="left"/>
              <w:rPr>
                <w:rFonts w:ascii="黑体" w:hAnsi="黑体" w:cs="黑体" w:eastAsia="黑体" w:hint="default"/>
                <w:sz w:val="20"/>
                <w:szCs w:val="20"/>
              </w:rPr>
            </w:pPr>
            <w:r>
              <w:rPr>
                <w:rFonts w:ascii="黑体" w:hAnsi="黑体" w:cs="黑体" w:eastAsia="黑体" w:hint="default"/>
                <w:sz w:val="20"/>
                <w:szCs w:val="20"/>
              </w:rPr>
              <w:t>湖南用友</w:t>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630"/>
              <w:jc w:val="right"/>
              <w:rPr>
                <w:rFonts w:ascii="Arial" w:hAnsi="Arial" w:cs="Arial" w:eastAsia="Arial" w:hint="default"/>
                <w:sz w:val="20"/>
                <w:szCs w:val="20"/>
              </w:rPr>
            </w:pPr>
            <w:r>
              <w:rPr>
                <w:rFonts w:ascii="Arial"/>
                <w:spacing w:val="-1"/>
                <w:sz w:val="20"/>
              </w:rPr>
              <w:t>3,444,961</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w w:val="100"/>
                <w:sz w:val="20"/>
              </w:rPr>
              <w:t>-</w:t>
            </w:r>
          </w:p>
        </w:tc>
      </w:tr>
    </w:tbl>
    <w:p>
      <w:pPr>
        <w:spacing w:line="240" w:lineRule="auto" w:before="1"/>
        <w:rPr>
          <w:rFonts w:ascii="黑体" w:hAnsi="黑体" w:cs="黑体" w:eastAsia="黑体" w:hint="default"/>
          <w:b/>
          <w:bCs/>
          <w:sz w:val="8"/>
          <w:szCs w:val="8"/>
        </w:rPr>
      </w:pPr>
    </w:p>
    <w:p>
      <w:pPr>
        <w:pStyle w:val="BodyText"/>
        <w:spacing w:line="261" w:lineRule="exact" w:before="38"/>
        <w:ind w:left="841" w:right="1058"/>
        <w:jc w:val="left"/>
      </w:pPr>
      <w:r>
        <w:rPr/>
        <w:t>联营企业</w:t>
      </w:r>
    </w:p>
    <w:p>
      <w:pPr>
        <w:pStyle w:val="BodyText"/>
        <w:tabs>
          <w:tab w:pos="5738" w:val="left" w:leader="none"/>
          <w:tab w:pos="8118" w:val="left" w:leader="none"/>
        </w:tabs>
        <w:spacing w:line="275" w:lineRule="exact"/>
        <w:ind w:left="1051" w:right="1058"/>
        <w:jc w:val="left"/>
        <w:rPr>
          <w:rFonts w:ascii="Arial" w:hAnsi="Arial" w:cs="Arial" w:eastAsia="Arial" w:hint="default"/>
        </w:rPr>
      </w:pPr>
      <w:r>
        <w:rPr/>
        <w:t>用友致远</w:t>
        <w:tab/>
      </w:r>
      <w:r>
        <w:rPr>
          <w:rFonts w:ascii="Arial" w:hAnsi="Arial" w:cs="Arial" w:eastAsia="Arial" w:hint="default"/>
        </w:rPr>
        <w:t>12,083</w:t>
        <w:tab/>
        <w:t>9,000</w:t>
      </w:r>
    </w:p>
    <w:p>
      <w:pPr>
        <w:spacing w:line="240" w:lineRule="auto" w:before="8"/>
        <w:rPr>
          <w:rFonts w:ascii="Arial" w:hAnsi="Arial" w:cs="Arial" w:eastAsia="Arial" w:hint="default"/>
          <w:sz w:val="20"/>
          <w:szCs w:val="20"/>
        </w:rPr>
      </w:pPr>
    </w:p>
    <w:p>
      <w:pPr>
        <w:pStyle w:val="BodyText"/>
        <w:spacing w:line="261" w:lineRule="exact"/>
        <w:ind w:left="836" w:right="1058"/>
        <w:jc w:val="left"/>
      </w:pPr>
      <w:r>
        <w:rPr/>
        <w:t>与本公司同受用友研究所控制</w:t>
      </w:r>
    </w:p>
    <w:p>
      <w:pPr>
        <w:pStyle w:val="BodyText"/>
        <w:tabs>
          <w:tab w:pos="5738" w:val="left" w:leader="none"/>
          <w:tab w:pos="7728" w:val="left" w:leader="none"/>
        </w:tabs>
        <w:spacing w:line="276" w:lineRule="exact"/>
        <w:ind w:left="1051" w:right="1058"/>
        <w:jc w:val="left"/>
        <w:rPr>
          <w:rFonts w:ascii="Arial" w:hAnsi="Arial" w:cs="Arial" w:eastAsia="Arial" w:hint="default"/>
        </w:rPr>
      </w:pPr>
      <w:r>
        <w:rPr/>
        <w:t>用友移动</w:t>
        <w:tab/>
      </w:r>
      <w:r>
        <w:rPr>
          <w:rFonts w:ascii="Arial" w:hAnsi="Arial" w:cs="Arial" w:eastAsia="Arial" w:hint="default"/>
        </w:rPr>
        <w:t>39,078</w:t>
        <w:tab/>
        <w:t>1,065,875</w:t>
      </w:r>
    </w:p>
    <w:p>
      <w:pPr>
        <w:spacing w:line="240" w:lineRule="auto" w:before="9"/>
        <w:rPr>
          <w:rFonts w:ascii="Arial" w:hAnsi="Arial" w:cs="Arial" w:eastAsia="Arial" w:hint="default"/>
          <w:sz w:val="20"/>
          <w:szCs w:val="20"/>
        </w:rPr>
      </w:pPr>
    </w:p>
    <w:p>
      <w:pPr>
        <w:pStyle w:val="BodyText"/>
        <w:spacing w:line="240" w:lineRule="auto"/>
        <w:ind w:left="864" w:right="1058"/>
        <w:jc w:val="left"/>
      </w:pPr>
      <w:r>
        <w:rPr/>
        <w:t>董事、监事及关键管理人员</w:t>
      </w:r>
    </w:p>
    <w:p>
      <w:pPr>
        <w:spacing w:line="240" w:lineRule="auto" w:before="1"/>
        <w:rPr>
          <w:rFonts w:ascii="黑体" w:hAnsi="黑体" w:cs="黑体" w:eastAsia="黑体" w:hint="default"/>
          <w:sz w:val="3"/>
          <w:szCs w:val="3"/>
        </w:rPr>
      </w:pPr>
    </w:p>
    <w:tbl>
      <w:tblPr>
        <w:tblW w:w="0" w:type="auto"/>
        <w:jc w:val="left"/>
        <w:tblInd w:w="810" w:type="dxa"/>
        <w:tblLayout w:type="fixed"/>
        <w:tblCellMar>
          <w:top w:w="0" w:type="dxa"/>
          <w:left w:w="0" w:type="dxa"/>
          <w:bottom w:w="0" w:type="dxa"/>
          <w:right w:w="0" w:type="dxa"/>
        </w:tblCellMar>
        <w:tblLook w:val="01E0"/>
      </w:tblPr>
      <w:tblGrid>
        <w:gridCol w:w="2859"/>
        <w:gridCol w:w="3274"/>
        <w:gridCol w:w="1727"/>
      </w:tblGrid>
      <w:tr>
        <w:trPr>
          <w:trHeight w:val="252" w:hRule="exact"/>
        </w:trPr>
        <w:tc>
          <w:tcPr>
            <w:tcW w:w="2859" w:type="dxa"/>
            <w:tcBorders>
              <w:top w:val="nil" w:sz="6" w:space="0" w:color="auto"/>
              <w:left w:val="nil" w:sz="6" w:space="0" w:color="auto"/>
              <w:bottom w:val="nil" w:sz="6" w:space="0" w:color="auto"/>
              <w:right w:val="nil" w:sz="6" w:space="0" w:color="auto"/>
            </w:tcBorders>
          </w:tcPr>
          <w:p>
            <w:pPr>
              <w:pStyle w:val="TableParagraph"/>
              <w:spacing w:line="219" w:lineRule="exact"/>
              <w:ind w:left="255" w:right="0"/>
              <w:jc w:val="left"/>
              <w:rPr>
                <w:rFonts w:ascii="黑体" w:hAnsi="黑体" w:cs="黑体" w:eastAsia="黑体" w:hint="default"/>
                <w:sz w:val="20"/>
                <w:szCs w:val="20"/>
              </w:rPr>
            </w:pPr>
            <w:r>
              <w:rPr>
                <w:rFonts w:ascii="黑体" w:hAnsi="黑体" w:cs="黑体" w:eastAsia="黑体" w:hint="default"/>
                <w:sz w:val="20"/>
                <w:szCs w:val="20"/>
              </w:rPr>
              <w:t>邵凯</w:t>
            </w:r>
          </w:p>
        </w:tc>
        <w:tc>
          <w:tcPr>
            <w:tcW w:w="3274" w:type="dxa"/>
            <w:tcBorders>
              <w:top w:val="nil" w:sz="6" w:space="0" w:color="auto"/>
              <w:left w:val="nil" w:sz="6" w:space="0" w:color="auto"/>
              <w:bottom w:val="nil" w:sz="6" w:space="0" w:color="auto"/>
              <w:right w:val="nil" w:sz="6" w:space="0" w:color="auto"/>
            </w:tcBorders>
          </w:tcPr>
          <w:p>
            <w:pPr>
              <w:pStyle w:val="TableParagraph"/>
              <w:tabs>
                <w:tab w:pos="1018" w:val="left" w:leader="none"/>
              </w:tabs>
              <w:spacing w:line="240" w:lineRule="auto" w:before="1"/>
              <w:ind w:right="589"/>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4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pacing w:val="-12"/>
                <w:sz w:val="20"/>
                <w:u w:val="single" w:color="000000"/>
              </w:rPr>
              <w:t> </w:t>
            </w:r>
            <w:r>
              <w:rPr>
                <w:rFonts w:ascii="Arial"/>
                <w:spacing w:val="-1"/>
                <w:sz w:val="20"/>
                <w:u w:val="single" w:color="000000"/>
              </w:rPr>
              <w:t>10,000,000</w:t>
            </w:r>
            <w:r>
              <w:rPr>
                <w:rFonts w:ascii="Arial"/>
                <w:spacing w:val="-1"/>
                <w:sz w:val="20"/>
              </w:rPr>
            </w:r>
          </w:p>
        </w:tc>
      </w:tr>
      <w:tr>
        <w:trPr>
          <w:trHeight w:val="374" w:hRule="exact"/>
        </w:trPr>
        <w:tc>
          <w:tcPr>
            <w:tcW w:w="2859" w:type="dxa"/>
            <w:tcBorders>
              <w:top w:val="nil" w:sz="6" w:space="0" w:color="auto"/>
              <w:left w:val="nil" w:sz="6" w:space="0" w:color="auto"/>
              <w:bottom w:val="nil" w:sz="6" w:space="0" w:color="auto"/>
              <w:right w:val="nil" w:sz="6" w:space="0" w:color="auto"/>
            </w:tcBorders>
          </w:tcPr>
          <w:p>
            <w:pPr>
              <w:pStyle w:val="TableParagraph"/>
              <w:spacing w:line="226" w:lineRule="exact"/>
              <w:ind w:left="53"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327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88"/>
              <w:jc w:val="right"/>
              <w:rPr>
                <w:rFonts w:ascii="Arial" w:hAnsi="Arial" w:cs="Arial" w:eastAsia="Arial" w:hint="default"/>
                <w:sz w:val="20"/>
                <w:szCs w:val="20"/>
              </w:rPr>
            </w:pPr>
            <w:r>
              <w:rPr>
                <w:rFonts w:ascii="Arial"/>
                <w:w w:val="100"/>
                <w:sz w:val="20"/>
              </w:rPr>
            </w:r>
            <w:r>
              <w:rPr>
                <w:rFonts w:ascii="Arial"/>
                <w:spacing w:val="-1"/>
                <w:sz w:val="20"/>
                <w:u w:val="thick" w:color="000000"/>
              </w:rPr>
              <w:t>111,423,841</w:t>
            </w:r>
            <w:r>
              <w:rPr>
                <w:rFonts w:ascii="Arial"/>
                <w:spacing w:val="-1"/>
                <w:sz w:val="20"/>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7"/>
              <w:jc w:val="right"/>
              <w:rPr>
                <w:rFonts w:ascii="Arial" w:hAnsi="Arial" w:cs="Arial" w:eastAsia="Arial" w:hint="default"/>
                <w:sz w:val="20"/>
                <w:szCs w:val="20"/>
              </w:rPr>
            </w:pPr>
            <w:r>
              <w:rPr>
                <w:rFonts w:ascii="Arial"/>
                <w:w w:val="100"/>
                <w:sz w:val="20"/>
              </w:rPr>
            </w:r>
            <w:r>
              <w:rPr>
                <w:rFonts w:ascii="Arial"/>
                <w:spacing w:val="-1"/>
                <w:sz w:val="20"/>
                <w:u w:val="thick" w:color="000000"/>
              </w:rPr>
              <w:t>102,857,796</w:t>
            </w:r>
            <w:r>
              <w:rPr>
                <w:rFonts w:ascii="Arial"/>
                <w:spacing w:val="-1"/>
                <w:sz w:val="20"/>
              </w:rPr>
            </w:r>
          </w:p>
        </w:tc>
      </w:tr>
      <w:tr>
        <w:trPr>
          <w:trHeight w:val="490" w:hRule="exact"/>
        </w:trPr>
        <w:tc>
          <w:tcPr>
            <w:tcW w:w="285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5" w:right="0"/>
              <w:jc w:val="left"/>
              <w:rPr>
                <w:rFonts w:ascii="黑体" w:hAnsi="黑体" w:cs="黑体" w:eastAsia="黑体" w:hint="default"/>
                <w:sz w:val="20"/>
                <w:szCs w:val="20"/>
              </w:rPr>
            </w:pPr>
            <w:r>
              <w:rPr>
                <w:rFonts w:ascii="Arial" w:hAnsi="Arial" w:cs="Arial" w:eastAsia="Arial" w:hint="default"/>
                <w:sz w:val="20"/>
                <w:szCs w:val="20"/>
              </w:rPr>
              <w:t>(3)  </w:t>
            </w:r>
            <w:r>
              <w:rPr>
                <w:rFonts w:ascii="Arial" w:hAnsi="Arial" w:cs="Arial" w:eastAsia="Arial" w:hint="default"/>
                <w:spacing w:val="28"/>
                <w:sz w:val="20"/>
                <w:szCs w:val="20"/>
              </w:rPr>
              <w:t> </w:t>
            </w:r>
            <w:r>
              <w:rPr>
                <w:rFonts w:ascii="黑体" w:hAnsi="黑体" w:cs="黑体" w:eastAsia="黑体" w:hint="default"/>
                <w:sz w:val="20"/>
                <w:szCs w:val="20"/>
              </w:rPr>
              <w:t>预付账款</w:t>
            </w:r>
          </w:p>
        </w:tc>
        <w:tc>
          <w:tcPr>
            <w:tcW w:w="3274" w:type="dxa"/>
            <w:tcBorders>
              <w:top w:val="nil" w:sz="6" w:space="0" w:color="auto"/>
              <w:left w:val="nil" w:sz="6" w:space="0" w:color="auto"/>
              <w:bottom w:val="nil" w:sz="6" w:space="0" w:color="auto"/>
              <w:right w:val="nil" w:sz="6" w:space="0" w:color="auto"/>
            </w:tcBorders>
          </w:tcPr>
          <w:p>
            <w:pPr/>
          </w:p>
        </w:tc>
        <w:tc>
          <w:tcPr>
            <w:tcW w:w="1727" w:type="dxa"/>
            <w:tcBorders>
              <w:top w:val="nil" w:sz="6" w:space="0" w:color="auto"/>
              <w:left w:val="nil" w:sz="6" w:space="0" w:color="auto"/>
              <w:bottom w:val="nil" w:sz="6" w:space="0" w:color="auto"/>
              <w:right w:val="nil" w:sz="6" w:space="0" w:color="auto"/>
            </w:tcBorders>
          </w:tcPr>
          <w:p>
            <w:pPr/>
          </w:p>
        </w:tc>
      </w:tr>
      <w:tr>
        <w:trPr>
          <w:trHeight w:val="761" w:hRule="exact"/>
        </w:trPr>
        <w:tc>
          <w:tcPr>
            <w:tcW w:w="2859" w:type="dxa"/>
            <w:tcBorders>
              <w:top w:val="nil" w:sz="6" w:space="0" w:color="auto"/>
              <w:left w:val="nil" w:sz="6" w:space="0" w:color="auto"/>
              <w:bottom w:val="nil" w:sz="6" w:space="0" w:color="auto"/>
              <w:right w:val="nil" w:sz="6" w:space="0" w:color="auto"/>
            </w:tcBorders>
          </w:tcPr>
          <w:p>
            <w:pPr/>
          </w:p>
        </w:tc>
        <w:tc>
          <w:tcPr>
            <w:tcW w:w="3274" w:type="dxa"/>
            <w:tcBorders>
              <w:top w:val="nil" w:sz="6" w:space="0" w:color="auto"/>
              <w:left w:val="nil" w:sz="6" w:space="0" w:color="auto"/>
              <w:bottom w:val="nil" w:sz="6" w:space="0" w:color="auto"/>
              <w:right w:val="nil" w:sz="6" w:space="0" w:color="auto"/>
            </w:tcBorders>
          </w:tcPr>
          <w:p>
            <w:pPr>
              <w:pStyle w:val="TableParagraph"/>
              <w:spacing w:line="268" w:lineRule="exact" w:before="79"/>
              <w:ind w:left="1472" w:right="0"/>
              <w:jc w:val="center"/>
              <w:rPr>
                <w:rFonts w:ascii="黑体" w:hAnsi="黑体" w:cs="黑体" w:eastAsia="黑体" w:hint="default"/>
                <w:sz w:val="20"/>
                <w:szCs w:val="20"/>
              </w:rPr>
            </w:pPr>
            <w:r>
              <w:rPr>
                <w:rFonts w:ascii="Arial" w:hAnsi="Arial" w:cs="Arial" w:eastAsia="Arial" w:hint="default"/>
                <w:sz w:val="20"/>
                <w:szCs w:val="20"/>
              </w:rPr>
              <w:t>2009</w:t>
            </w:r>
            <w:r>
              <w:rPr>
                <w:rFonts w:ascii="黑体" w:hAnsi="黑体" w:cs="黑体" w:eastAsia="黑体" w:hint="default"/>
                <w:sz w:val="20"/>
                <w:szCs w:val="20"/>
              </w:rPr>
              <w:t>年</w:t>
            </w:r>
          </w:p>
          <w:p>
            <w:pPr>
              <w:pStyle w:val="TableParagraph"/>
              <w:spacing w:line="268" w:lineRule="exact"/>
              <w:ind w:left="1272" w:right="0"/>
              <w:jc w:val="center"/>
              <w:rPr>
                <w:rFonts w:ascii="黑体" w:hAnsi="黑体" w:cs="黑体" w:eastAsia="黑体" w:hint="default"/>
                <w:sz w:val="20"/>
                <w:szCs w:val="20"/>
              </w:rPr>
            </w:pP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tc>
        <w:tc>
          <w:tcPr>
            <w:tcW w:w="1727" w:type="dxa"/>
            <w:tcBorders>
              <w:top w:val="nil" w:sz="6" w:space="0" w:color="auto"/>
              <w:left w:val="nil" w:sz="6" w:space="0" w:color="auto"/>
              <w:bottom w:val="nil" w:sz="6" w:space="0" w:color="auto"/>
              <w:right w:val="nil" w:sz="6" w:space="0" w:color="auto"/>
            </w:tcBorders>
          </w:tcPr>
          <w:p>
            <w:pPr>
              <w:pStyle w:val="TableParagraph"/>
              <w:spacing w:line="268" w:lineRule="exact" w:before="79"/>
              <w:ind w:left="1009" w:right="0"/>
              <w:jc w:val="center"/>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p>
            <w:pPr>
              <w:pStyle w:val="TableParagraph"/>
              <w:spacing w:line="268" w:lineRule="exact"/>
              <w:ind w:left="809" w:right="0"/>
              <w:jc w:val="center"/>
              <w:rPr>
                <w:rFonts w:ascii="黑体" w:hAnsi="黑体" w:cs="黑体" w:eastAsia="黑体" w:hint="default"/>
                <w:sz w:val="20"/>
                <w:szCs w:val="20"/>
              </w:rPr>
            </w:pP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p>
        </w:tc>
      </w:tr>
      <w:tr>
        <w:trPr>
          <w:trHeight w:val="461" w:hRule="exact"/>
        </w:trPr>
        <w:tc>
          <w:tcPr>
            <w:tcW w:w="2859"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3274" w:type="dxa"/>
            <w:tcBorders>
              <w:top w:val="nil" w:sz="6" w:space="0" w:color="auto"/>
              <w:left w:val="nil" w:sz="6" w:space="0" w:color="auto"/>
              <w:bottom w:val="nil" w:sz="6" w:space="0" w:color="auto"/>
              <w:right w:val="nil" w:sz="6" w:space="0" w:color="auto"/>
            </w:tcBorders>
          </w:tcPr>
          <w:p>
            <w:pPr>
              <w:pStyle w:val="TableParagraph"/>
              <w:tabs>
                <w:tab w:pos="398" w:val="left" w:leader="none"/>
              </w:tabs>
              <w:spacing w:line="240" w:lineRule="auto" w:before="135"/>
              <w:ind w:right="562"/>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104,372</w:t>
            </w:r>
            <w:r>
              <w:rPr>
                <w:rFonts w:ascii="Arial"/>
                <w:sz w:val="20"/>
              </w:rPr>
            </w:r>
          </w:p>
        </w:tc>
        <w:tc>
          <w:tcPr>
            <w:tcW w:w="1727" w:type="dxa"/>
            <w:tcBorders>
              <w:top w:val="nil" w:sz="6" w:space="0" w:color="auto"/>
              <w:left w:val="nil" w:sz="6" w:space="0" w:color="auto"/>
              <w:bottom w:val="nil" w:sz="6" w:space="0" w:color="auto"/>
              <w:right w:val="nil" w:sz="6" w:space="0" w:color="auto"/>
            </w:tcBorders>
          </w:tcPr>
          <w:p>
            <w:pPr>
              <w:pStyle w:val="TableParagraph"/>
              <w:tabs>
                <w:tab w:pos="499" w:val="left" w:leader="none"/>
              </w:tabs>
              <w:spacing w:line="240" w:lineRule="auto" w:before="135"/>
              <w:ind w:right="33"/>
              <w:jc w:val="right"/>
              <w:rPr>
                <w:rFonts w:ascii="Arial" w:hAnsi="Arial" w:cs="Arial" w:eastAsia="Arial" w:hint="default"/>
                <w:sz w:val="20"/>
                <w:szCs w:val="20"/>
              </w:rPr>
            </w:pPr>
            <w:r>
              <w:rPr>
                <w:rFonts w:ascii="Arial"/>
                <w:w w:val="100"/>
                <w:sz w:val="20"/>
              </w:rPr>
            </w:r>
            <w:r>
              <w:rPr>
                <w:rFonts w:ascii="Arial"/>
                <w:w w:val="100"/>
                <w:sz w:val="20"/>
                <w:u w:val="thick" w:color="000000"/>
              </w:rPr>
              <w:t> </w:t>
            </w:r>
            <w:r>
              <w:rPr>
                <w:rFonts w:ascii="Arial"/>
                <w:sz w:val="20"/>
                <w:u w:val="thick" w:color="000000"/>
              </w:rPr>
              <w:tab/>
              <w:t>36,047</w:t>
            </w:r>
            <w:r>
              <w:rPr>
                <w:rFonts w:ascii="Arial"/>
                <w:sz w:val="20"/>
              </w:rPr>
            </w:r>
          </w:p>
        </w:tc>
      </w:tr>
    </w:tbl>
    <w:p>
      <w:pPr>
        <w:spacing w:after="0" w:line="240" w:lineRule="auto"/>
        <w:jc w:val="right"/>
        <w:rPr>
          <w:rFonts w:ascii="Arial" w:hAnsi="Arial" w:cs="Arial" w:eastAsia="Arial" w:hint="default"/>
          <w:sz w:val="20"/>
          <w:szCs w:val="20"/>
        </w:rPr>
        <w:sectPr>
          <w:pgSz w:w="11910" w:h="16840"/>
          <w:pgMar w:header="958" w:footer="466" w:top="2560" w:bottom="660" w:left="1560" w:right="0"/>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25"/>
          <w:szCs w:val="25"/>
        </w:rPr>
      </w:pPr>
    </w:p>
    <w:p>
      <w:pPr>
        <w:spacing w:before="38"/>
        <w:ind w:left="141" w:right="1058" w:firstLine="0"/>
        <w:jc w:val="left"/>
        <w:rPr>
          <w:rFonts w:ascii="黑体" w:hAnsi="黑体" w:cs="黑体" w:eastAsia="黑体" w:hint="default"/>
          <w:sz w:val="20"/>
          <w:szCs w:val="20"/>
        </w:rPr>
      </w:pPr>
      <w:r>
        <w:rPr>
          <w:rFonts w:ascii="黑体" w:hAnsi="黑体" w:cs="黑体" w:eastAsia="黑体" w:hint="default"/>
          <w:b/>
          <w:bCs/>
          <w:sz w:val="20"/>
          <w:szCs w:val="20"/>
        </w:rPr>
        <w:t>十三、公司财务报表主要项目注释（续）</w:t>
      </w:r>
      <w:r>
        <w:rPr>
          <w:rFonts w:ascii="黑体" w:hAnsi="黑体" w:cs="黑体" w:eastAsia="黑体" w:hint="default"/>
          <w:sz w:val="20"/>
          <w:szCs w:val="20"/>
        </w:rPr>
      </w:r>
    </w:p>
    <w:p>
      <w:pPr>
        <w:spacing w:line="240" w:lineRule="auto" w:before="5"/>
        <w:rPr>
          <w:rFonts w:ascii="黑体" w:hAnsi="黑体" w:cs="黑体" w:eastAsia="黑体" w:hint="default"/>
          <w:b/>
          <w:bCs/>
          <w:sz w:val="17"/>
          <w:szCs w:val="17"/>
        </w:rPr>
      </w:pPr>
    </w:p>
    <w:p>
      <w:pPr>
        <w:tabs>
          <w:tab w:pos="781" w:val="left" w:leader="none"/>
        </w:tabs>
        <w:spacing w:before="0"/>
        <w:ind w:left="141" w:right="1058" w:firstLine="0"/>
        <w:jc w:val="left"/>
        <w:rPr>
          <w:rFonts w:ascii="黑体" w:hAnsi="黑体" w:cs="黑体" w:eastAsia="黑体" w:hint="default"/>
          <w:sz w:val="20"/>
          <w:szCs w:val="20"/>
        </w:rPr>
      </w:pPr>
      <w:r>
        <w:rPr>
          <w:rFonts w:ascii="Arial" w:hAnsi="Arial" w:cs="Arial" w:eastAsia="Arial" w:hint="default"/>
          <w:b/>
          <w:bCs/>
          <w:spacing w:val="-1"/>
          <w:sz w:val="20"/>
          <w:szCs w:val="20"/>
        </w:rPr>
        <w:t>40.</w:t>
        <w:tab/>
      </w:r>
      <w:r>
        <w:rPr>
          <w:rFonts w:ascii="黑体" w:hAnsi="黑体" w:cs="黑体" w:eastAsia="黑体" w:hint="default"/>
          <w:b/>
          <w:bCs/>
          <w:sz w:val="20"/>
          <w:szCs w:val="20"/>
        </w:rPr>
        <w:t>关联方应收应付款项余额（续）</w:t>
      </w:r>
      <w:r>
        <w:rPr>
          <w:rFonts w:ascii="黑体" w:hAnsi="黑体" w:cs="黑体" w:eastAsia="黑体" w:hint="default"/>
          <w:sz w:val="20"/>
          <w:szCs w:val="20"/>
        </w:rPr>
      </w:r>
    </w:p>
    <w:p>
      <w:pPr>
        <w:spacing w:line="240" w:lineRule="auto" w:before="3"/>
        <w:rPr>
          <w:rFonts w:ascii="黑体" w:hAnsi="黑体" w:cs="黑体" w:eastAsia="黑体" w:hint="default"/>
          <w:b/>
          <w:bCs/>
          <w:sz w:val="16"/>
          <w:szCs w:val="16"/>
        </w:rPr>
      </w:pPr>
    </w:p>
    <w:p>
      <w:pPr>
        <w:pStyle w:val="BodyText"/>
        <w:spacing w:line="240" w:lineRule="auto"/>
        <w:ind w:left="855" w:right="1058"/>
        <w:jc w:val="left"/>
      </w:pPr>
      <w:r>
        <w:rPr>
          <w:rFonts w:ascii="Arial" w:hAnsi="Arial" w:cs="Arial" w:eastAsia="Arial" w:hint="default"/>
        </w:rPr>
        <w:t>(4)  </w:t>
      </w:r>
      <w:r>
        <w:rPr>
          <w:rFonts w:ascii="Arial" w:hAnsi="Arial" w:cs="Arial" w:eastAsia="Arial" w:hint="default"/>
          <w:spacing w:val="28"/>
        </w:rPr>
        <w:t> </w:t>
      </w:r>
      <w:r>
        <w:rPr/>
        <w:t>应付账款</w:t>
      </w:r>
    </w:p>
    <w:p>
      <w:pPr>
        <w:spacing w:line="240" w:lineRule="auto" w:before="5"/>
        <w:rPr>
          <w:rFonts w:ascii="黑体" w:hAnsi="黑体" w:cs="黑体" w:eastAsia="黑体" w:hint="default"/>
          <w:sz w:val="13"/>
          <w:szCs w:val="13"/>
        </w:rPr>
      </w:pPr>
    </w:p>
    <w:p>
      <w:pPr>
        <w:spacing w:after="0" w:line="240" w:lineRule="auto"/>
        <w:rPr>
          <w:rFonts w:ascii="黑体" w:hAnsi="黑体" w:cs="黑体" w:eastAsia="黑体" w:hint="default"/>
          <w:sz w:val="13"/>
          <w:szCs w:val="13"/>
        </w:rPr>
        <w:sectPr>
          <w:pgSz w:w="11910" w:h="16840"/>
          <w:pgMar w:header="958" w:footer="466" w:top="2560" w:bottom="660" w:left="1560" w:right="0"/>
        </w:sect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22"/>
          <w:szCs w:val="22"/>
        </w:rPr>
      </w:pPr>
    </w:p>
    <w:p>
      <w:pPr>
        <w:pStyle w:val="BodyText"/>
        <w:spacing w:line="240" w:lineRule="auto"/>
        <w:ind w:left="836" w:right="-18"/>
        <w:jc w:val="left"/>
      </w:pPr>
      <w:r>
        <w:rPr/>
        <w:t>子公司</w:t>
      </w:r>
    </w:p>
    <w:p>
      <w:pPr>
        <w:pStyle w:val="BodyText"/>
        <w:tabs>
          <w:tab w:pos="1701" w:val="left" w:leader="none"/>
        </w:tabs>
        <w:spacing w:line="268" w:lineRule="exact" w:before="38"/>
        <w:ind w:left="0" w:right="671"/>
        <w:jc w:val="center"/>
      </w:pPr>
      <w:r>
        <w:rPr>
          <w:spacing w:val="-1"/>
        </w:rPr>
        <w:br w:type="column"/>
      </w:r>
      <w:r>
        <w:rPr>
          <w:rFonts w:ascii="Arial" w:hAnsi="Arial" w:cs="Arial" w:eastAsia="Arial" w:hint="default"/>
          <w:spacing w:val="-1"/>
        </w:rPr>
        <w:t>2009</w:t>
      </w:r>
      <w:r>
        <w:rPr>
          <w:spacing w:val="-1"/>
        </w:rPr>
        <w:t>年</w:t>
        <w:tab/>
      </w:r>
      <w:r>
        <w:rPr>
          <w:rFonts w:ascii="Arial" w:hAnsi="Arial" w:cs="Arial" w:eastAsia="Arial" w:hint="default"/>
          <w:spacing w:val="-1"/>
        </w:rPr>
        <w:t>2008</w:t>
      </w:r>
      <w:r>
        <w:rPr>
          <w:spacing w:val="-1"/>
        </w:rPr>
        <w:t>年</w:t>
      </w:r>
    </w:p>
    <w:p>
      <w:pPr>
        <w:pStyle w:val="BodyText"/>
        <w:tabs>
          <w:tab w:pos="1701" w:val="left" w:leader="none"/>
        </w:tabs>
        <w:spacing w:line="268" w:lineRule="exact"/>
        <w:ind w:left="0" w:right="871"/>
        <w:jc w:val="center"/>
      </w:pP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tab/>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w:t>
      </w:r>
    </w:p>
    <w:p>
      <w:pPr>
        <w:spacing w:after="0" w:line="268" w:lineRule="exact"/>
        <w:jc w:val="center"/>
        <w:sectPr>
          <w:type w:val="continuous"/>
          <w:pgSz w:w="11910" w:h="16840"/>
          <w:pgMar w:top="900" w:bottom="280" w:left="1560" w:right="0"/>
          <w:cols w:num="2" w:equalWidth="0">
            <w:col w:w="1438" w:space="3811"/>
            <w:col w:w="5101"/>
          </w:cols>
        </w:sectPr>
      </w:pPr>
    </w:p>
    <w:p>
      <w:pPr>
        <w:pStyle w:val="BodyText"/>
        <w:tabs>
          <w:tab w:pos="6042" w:val="left" w:leader="none"/>
          <w:tab w:pos="8567" w:val="left" w:leader="none"/>
        </w:tabs>
        <w:spacing w:line="275" w:lineRule="exact"/>
        <w:ind w:left="1051" w:right="1058"/>
        <w:jc w:val="left"/>
        <w:rPr>
          <w:rFonts w:ascii="Arial" w:hAnsi="Arial" w:cs="Arial" w:eastAsia="Arial" w:hint="default"/>
        </w:rPr>
      </w:pPr>
      <w:r>
        <w:rPr>
          <w:spacing w:val="-1"/>
        </w:rPr>
        <w:t>用友艾福斯</w:t>
        <w:tab/>
      </w:r>
      <w:r>
        <w:rPr>
          <w:rFonts w:ascii="Arial" w:hAnsi="Arial" w:cs="Arial" w:eastAsia="Arial" w:hint="default"/>
          <w:spacing w:val="-1"/>
        </w:rPr>
        <w:t>1,240,000</w:t>
        <w:tab/>
      </w:r>
      <w:r>
        <w:rPr>
          <w:rFonts w:ascii="Arial" w:hAnsi="Arial" w:cs="Arial" w:eastAsia="Arial" w:hint="default"/>
        </w:rPr>
        <w:t>-</w:t>
      </w:r>
    </w:p>
    <w:p>
      <w:pPr>
        <w:spacing w:line="240" w:lineRule="auto" w:before="7"/>
        <w:rPr>
          <w:rFonts w:ascii="Arial" w:hAnsi="Arial" w:cs="Arial" w:eastAsia="Arial" w:hint="default"/>
          <w:sz w:val="20"/>
          <w:szCs w:val="20"/>
        </w:rPr>
      </w:pPr>
    </w:p>
    <w:p>
      <w:pPr>
        <w:pStyle w:val="BodyText"/>
        <w:spacing w:line="260" w:lineRule="exact"/>
        <w:ind w:left="845" w:right="1058"/>
        <w:jc w:val="left"/>
      </w:pPr>
      <w:r>
        <w:rPr/>
        <w:t>联营企业</w:t>
      </w:r>
    </w:p>
    <w:p>
      <w:pPr>
        <w:pStyle w:val="BodyText"/>
        <w:tabs>
          <w:tab w:pos="6008" w:val="left" w:leader="none"/>
          <w:tab w:pos="8132" w:val="left" w:leader="none"/>
        </w:tabs>
        <w:spacing w:line="275" w:lineRule="exact"/>
        <w:ind w:left="1065" w:right="1058"/>
        <w:jc w:val="left"/>
        <w:rPr>
          <w:rFonts w:ascii="Arial" w:hAnsi="Arial" w:cs="Arial" w:eastAsia="Arial" w:hint="default"/>
        </w:rPr>
      </w:pPr>
      <w:r>
        <w:rPr/>
        <w:t>用友致远</w:t>
        <w:tab/>
      </w:r>
      <w:r>
        <w:rPr>
          <w:rFonts w:ascii="Arial" w:hAnsi="Arial" w:cs="Arial" w:eastAsia="Arial" w:hint="default"/>
        </w:rPr>
      </w:r>
      <w:r>
        <w:rPr>
          <w:rFonts w:ascii="Arial" w:hAnsi="Arial" w:cs="Arial" w:eastAsia="Arial" w:hint="default"/>
          <w:u w:val="single" w:color="000000"/>
        </w:rPr>
        <w:t> 208,640</w:t>
      </w:r>
      <w:r>
        <w:rPr>
          <w:rFonts w:ascii="Arial" w:hAnsi="Arial" w:cs="Arial" w:eastAsia="Arial" w:hint="default"/>
        </w:rPr>
        <w:tab/>
      </w:r>
      <w:r>
        <w:rPr>
          <w:rFonts w:ascii="Arial" w:hAnsi="Arial" w:cs="Arial" w:eastAsia="Arial" w:hint="default"/>
          <w:u w:val="single" w:color="000000"/>
        </w:rPr>
        <w:t>9,500</w:t>
      </w:r>
      <w:r>
        <w:rPr>
          <w:rFonts w:ascii="Arial" w:hAnsi="Arial" w:cs="Arial" w:eastAsia="Arial" w:hint="default"/>
        </w:rPr>
      </w:r>
    </w:p>
    <w:p>
      <w:pPr>
        <w:spacing w:line="240" w:lineRule="auto" w:before="11"/>
        <w:rPr>
          <w:rFonts w:ascii="Arial" w:hAnsi="Arial" w:cs="Arial" w:eastAsia="Arial" w:hint="default"/>
          <w:sz w:val="2"/>
          <w:szCs w:val="2"/>
        </w:rPr>
      </w:pPr>
    </w:p>
    <w:tbl>
      <w:tblPr>
        <w:tblW w:w="0" w:type="auto"/>
        <w:jc w:val="left"/>
        <w:tblInd w:w="819" w:type="dxa"/>
        <w:tblLayout w:type="fixed"/>
        <w:tblCellMar>
          <w:top w:w="0" w:type="dxa"/>
          <w:left w:w="0" w:type="dxa"/>
          <w:bottom w:w="0" w:type="dxa"/>
          <w:right w:w="0" w:type="dxa"/>
        </w:tblCellMar>
        <w:tblLook w:val="01E0"/>
      </w:tblPr>
      <w:tblGrid>
        <w:gridCol w:w="3288"/>
        <w:gridCol w:w="3167"/>
        <w:gridCol w:w="1395"/>
      </w:tblGrid>
      <w:tr>
        <w:trPr>
          <w:trHeight w:val="1221"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20"/>
                <w:szCs w:val="20"/>
              </w:rPr>
            </w:pPr>
          </w:p>
          <w:p>
            <w:pPr>
              <w:pStyle w:val="TableParagraph"/>
              <w:spacing w:line="240" w:lineRule="auto" w:before="10"/>
              <w:ind w:right="0"/>
              <w:jc w:val="left"/>
              <w:rPr>
                <w:rFonts w:ascii="Arial" w:hAnsi="Arial" w:cs="Arial" w:eastAsia="Arial" w:hint="default"/>
                <w:sz w:val="17"/>
                <w:szCs w:val="17"/>
              </w:rPr>
            </w:pPr>
          </w:p>
          <w:p>
            <w:pPr>
              <w:pStyle w:val="TableParagraph"/>
              <w:spacing w:line="240" w:lineRule="auto"/>
              <w:ind w:left="36" w:right="0"/>
              <w:jc w:val="left"/>
              <w:rPr>
                <w:rFonts w:ascii="黑体" w:hAnsi="黑体" w:cs="黑体" w:eastAsia="黑体" w:hint="default"/>
                <w:sz w:val="20"/>
                <w:szCs w:val="20"/>
              </w:rPr>
            </w:pPr>
            <w:r>
              <w:rPr>
                <w:rFonts w:ascii="Arial" w:hAnsi="Arial" w:cs="Arial" w:eastAsia="Arial" w:hint="default"/>
                <w:sz w:val="20"/>
                <w:szCs w:val="20"/>
              </w:rPr>
              <w:t>(5)  </w:t>
            </w:r>
            <w:r>
              <w:rPr>
                <w:rFonts w:ascii="Arial" w:hAnsi="Arial" w:cs="Arial" w:eastAsia="Arial" w:hint="default"/>
                <w:spacing w:val="31"/>
                <w:sz w:val="20"/>
                <w:szCs w:val="20"/>
              </w:rPr>
              <w:t> </w:t>
            </w:r>
            <w:r>
              <w:rPr>
                <w:rFonts w:ascii="黑体" w:hAnsi="黑体" w:cs="黑体" w:eastAsia="黑体" w:hint="default"/>
                <w:sz w:val="20"/>
                <w:szCs w:val="20"/>
              </w:rPr>
              <w:t>其他应付款</w:t>
            </w:r>
          </w:p>
        </w:tc>
        <w:tc>
          <w:tcPr>
            <w:tcW w:w="3167" w:type="dxa"/>
            <w:tcBorders>
              <w:top w:val="nil" w:sz="6" w:space="0" w:color="auto"/>
              <w:left w:val="nil" w:sz="6" w:space="0" w:color="auto"/>
              <w:bottom w:val="nil" w:sz="6" w:space="0" w:color="auto"/>
              <w:right w:val="nil" w:sz="6" w:space="0" w:color="auto"/>
            </w:tcBorders>
          </w:tcPr>
          <w:p>
            <w:pPr>
              <w:pStyle w:val="TableParagraph"/>
              <w:spacing w:line="221" w:lineRule="exact"/>
              <w:ind w:right="339"/>
              <w:jc w:val="right"/>
              <w:rPr>
                <w:rFonts w:ascii="Arial" w:hAnsi="Arial" w:cs="Arial" w:eastAsia="Arial" w:hint="default"/>
                <w:sz w:val="20"/>
                <w:szCs w:val="20"/>
              </w:rPr>
            </w:pPr>
            <w:r>
              <w:rPr>
                <w:rFonts w:ascii="Arial"/>
                <w:w w:val="100"/>
                <w:sz w:val="20"/>
              </w:rPr>
            </w:r>
            <w:r>
              <w:rPr>
                <w:rFonts w:ascii="Arial"/>
                <w:spacing w:val="-1"/>
                <w:sz w:val="20"/>
                <w:u w:val="thick" w:color="000000"/>
              </w:rPr>
              <w:t>1,448,640</w:t>
            </w:r>
            <w:r>
              <w:rPr>
                <w:rFonts w:ascii="Arial"/>
                <w:spacing w:val="-1"/>
                <w:sz w:val="20"/>
              </w:rPr>
            </w:r>
          </w:p>
          <w:p>
            <w:pPr>
              <w:pStyle w:val="TableParagraph"/>
              <w:spacing w:line="240" w:lineRule="auto"/>
              <w:ind w:right="0"/>
              <w:jc w:val="left"/>
              <w:rPr>
                <w:rFonts w:ascii="Arial" w:hAnsi="Arial" w:cs="Arial" w:eastAsia="Arial" w:hint="default"/>
                <w:sz w:val="20"/>
                <w:szCs w:val="20"/>
              </w:rPr>
            </w:pPr>
          </w:p>
          <w:p>
            <w:pPr>
              <w:pStyle w:val="TableParagraph"/>
              <w:spacing w:line="240" w:lineRule="auto"/>
              <w:ind w:right="0"/>
              <w:jc w:val="left"/>
              <w:rPr>
                <w:rFonts w:ascii="Arial" w:hAnsi="Arial" w:cs="Arial" w:eastAsia="Arial" w:hint="default"/>
                <w:sz w:val="20"/>
                <w:szCs w:val="20"/>
              </w:rPr>
            </w:pPr>
          </w:p>
          <w:p>
            <w:pPr>
              <w:pStyle w:val="TableParagraph"/>
              <w:spacing w:line="240" w:lineRule="auto" w:before="3"/>
              <w:ind w:right="0"/>
              <w:jc w:val="left"/>
              <w:rPr>
                <w:rFonts w:ascii="Arial" w:hAnsi="Arial" w:cs="Arial" w:eastAsia="Arial" w:hint="default"/>
                <w:sz w:val="21"/>
                <w:szCs w:val="21"/>
              </w:rPr>
            </w:pPr>
          </w:p>
          <w:p>
            <w:pPr>
              <w:pStyle w:val="TableParagraph"/>
              <w:spacing w:line="240" w:lineRule="auto"/>
              <w:ind w:right="356"/>
              <w:jc w:val="right"/>
              <w:rPr>
                <w:rFonts w:ascii="黑体" w:hAnsi="黑体" w:cs="黑体" w:eastAsia="黑体" w:hint="default"/>
                <w:sz w:val="20"/>
                <w:szCs w:val="20"/>
              </w:rPr>
            </w:pPr>
            <w:r>
              <w:rPr>
                <w:rFonts w:ascii="Arial" w:hAnsi="Arial" w:cs="Arial" w:eastAsia="Arial" w:hint="default"/>
                <w:spacing w:val="-1"/>
                <w:sz w:val="20"/>
                <w:szCs w:val="20"/>
              </w:rPr>
              <w:t>2009</w:t>
            </w:r>
            <w:r>
              <w:rPr>
                <w:rFonts w:ascii="黑体" w:hAnsi="黑体" w:cs="黑体" w:eastAsia="黑体" w:hint="default"/>
                <w:spacing w:val="-1"/>
                <w:sz w:val="20"/>
                <w:szCs w:val="20"/>
              </w:rPr>
              <w:t>年</w:t>
            </w:r>
          </w:p>
        </w:tc>
        <w:tc>
          <w:tcPr>
            <w:tcW w:w="1395" w:type="dxa"/>
            <w:tcBorders>
              <w:top w:val="nil" w:sz="6" w:space="0" w:color="auto"/>
              <w:left w:val="nil" w:sz="6" w:space="0" w:color="auto"/>
              <w:bottom w:val="nil" w:sz="6" w:space="0" w:color="auto"/>
              <w:right w:val="nil" w:sz="6" w:space="0" w:color="auto"/>
            </w:tcBorders>
          </w:tcPr>
          <w:p>
            <w:pPr>
              <w:pStyle w:val="TableParagraph"/>
              <w:spacing w:line="221" w:lineRule="exact"/>
              <w:ind w:left="823" w:right="0"/>
              <w:jc w:val="center"/>
              <w:rPr>
                <w:rFonts w:ascii="Arial" w:hAnsi="Arial" w:cs="Arial" w:eastAsia="Arial" w:hint="default"/>
                <w:sz w:val="20"/>
                <w:szCs w:val="20"/>
              </w:rPr>
            </w:pPr>
            <w:r>
              <w:rPr>
                <w:rFonts w:ascii="Arial"/>
                <w:w w:val="100"/>
                <w:sz w:val="20"/>
              </w:rPr>
            </w:r>
            <w:r>
              <w:rPr>
                <w:rFonts w:ascii="Arial"/>
                <w:sz w:val="20"/>
                <w:u w:val="thick" w:color="000000"/>
              </w:rPr>
              <w:t>9,500</w:t>
            </w:r>
            <w:r>
              <w:rPr>
                <w:rFonts w:ascii="Arial"/>
                <w:sz w:val="20"/>
              </w:rPr>
            </w:r>
          </w:p>
          <w:p>
            <w:pPr>
              <w:pStyle w:val="TableParagraph"/>
              <w:spacing w:line="240" w:lineRule="auto"/>
              <w:ind w:right="0"/>
              <w:jc w:val="left"/>
              <w:rPr>
                <w:rFonts w:ascii="Arial" w:hAnsi="Arial" w:cs="Arial" w:eastAsia="Arial" w:hint="default"/>
                <w:sz w:val="20"/>
                <w:szCs w:val="20"/>
              </w:rPr>
            </w:pPr>
          </w:p>
          <w:p>
            <w:pPr>
              <w:pStyle w:val="TableParagraph"/>
              <w:spacing w:line="240" w:lineRule="auto"/>
              <w:ind w:right="0"/>
              <w:jc w:val="left"/>
              <w:rPr>
                <w:rFonts w:ascii="Arial" w:hAnsi="Arial" w:cs="Arial" w:eastAsia="Arial" w:hint="default"/>
                <w:sz w:val="20"/>
                <w:szCs w:val="20"/>
              </w:rPr>
            </w:pPr>
          </w:p>
          <w:p>
            <w:pPr>
              <w:pStyle w:val="TableParagraph"/>
              <w:spacing w:line="240" w:lineRule="auto" w:before="3"/>
              <w:ind w:right="0"/>
              <w:jc w:val="left"/>
              <w:rPr>
                <w:rFonts w:ascii="Arial" w:hAnsi="Arial" w:cs="Arial" w:eastAsia="Arial" w:hint="default"/>
                <w:sz w:val="21"/>
                <w:szCs w:val="21"/>
              </w:rPr>
            </w:pPr>
          </w:p>
          <w:p>
            <w:pPr>
              <w:pStyle w:val="TableParagraph"/>
              <w:spacing w:line="240" w:lineRule="auto"/>
              <w:ind w:left="648" w:right="0"/>
              <w:jc w:val="center"/>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r>
      <w:tr>
        <w:trPr>
          <w:trHeight w:val="259" w:hRule="exact"/>
        </w:trPr>
        <w:tc>
          <w:tcPr>
            <w:tcW w:w="3288" w:type="dxa"/>
            <w:tcBorders>
              <w:top w:val="nil" w:sz="6" w:space="0" w:color="auto"/>
              <w:left w:val="nil" w:sz="6" w:space="0" w:color="auto"/>
              <w:bottom w:val="nil" w:sz="6" w:space="0" w:color="auto"/>
              <w:right w:val="nil" w:sz="6" w:space="0" w:color="auto"/>
            </w:tcBorders>
          </w:tcPr>
          <w:p>
            <w:pPr/>
          </w:p>
        </w:tc>
        <w:tc>
          <w:tcPr>
            <w:tcW w:w="3167" w:type="dxa"/>
            <w:tcBorders>
              <w:top w:val="nil" w:sz="6" w:space="0" w:color="auto"/>
              <w:left w:val="nil" w:sz="6" w:space="0" w:color="auto"/>
              <w:bottom w:val="nil" w:sz="6" w:space="0" w:color="auto"/>
              <w:right w:val="nil" w:sz="6" w:space="0" w:color="auto"/>
            </w:tcBorders>
          </w:tcPr>
          <w:p>
            <w:pPr>
              <w:pStyle w:val="TableParagraph"/>
              <w:spacing w:line="240" w:lineRule="exact"/>
              <w:ind w:right="356"/>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exact"/>
              <w:ind w:right="48"/>
              <w:jc w:val="right"/>
              <w:rPr>
                <w:rFonts w:ascii="黑体" w:hAnsi="黑体" w:cs="黑体" w:eastAsia="黑体" w:hint="default"/>
                <w:sz w:val="20"/>
                <w:szCs w:val="20"/>
              </w:rPr>
            </w:pP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r>
      <w:tr>
        <w:trPr>
          <w:trHeight w:val="255"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25" w:lineRule="exact"/>
              <w:ind w:left="35" w:right="0"/>
              <w:jc w:val="left"/>
              <w:rPr>
                <w:rFonts w:ascii="黑体" w:hAnsi="黑体" w:cs="黑体" w:eastAsia="黑体" w:hint="default"/>
                <w:sz w:val="20"/>
                <w:szCs w:val="20"/>
              </w:rPr>
            </w:pPr>
            <w:r>
              <w:rPr>
                <w:rFonts w:ascii="黑体" w:hAnsi="黑体" w:cs="黑体" w:eastAsia="黑体" w:hint="default"/>
                <w:sz w:val="20"/>
                <w:szCs w:val="20"/>
              </w:rPr>
              <w:t>联营企业</w:t>
            </w:r>
          </w:p>
        </w:tc>
        <w:tc>
          <w:tcPr>
            <w:tcW w:w="3167"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r>
      <w:tr>
        <w:trPr>
          <w:trHeight w:val="237"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30" w:lineRule="exact"/>
              <w:ind w:left="230" w:right="0"/>
              <w:jc w:val="left"/>
              <w:rPr>
                <w:rFonts w:ascii="黑体" w:hAnsi="黑体" w:cs="黑体" w:eastAsia="黑体" w:hint="default"/>
                <w:sz w:val="20"/>
                <w:szCs w:val="20"/>
              </w:rPr>
            </w:pPr>
            <w:r>
              <w:rPr>
                <w:rFonts w:ascii="黑体" w:hAnsi="黑体" w:cs="黑体" w:eastAsia="黑体" w:hint="default"/>
                <w:sz w:val="20"/>
                <w:szCs w:val="20"/>
              </w:rPr>
              <w:t>用友致远</w:t>
            </w:r>
          </w:p>
        </w:tc>
        <w:tc>
          <w:tcPr>
            <w:tcW w:w="316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56"/>
              <w:jc w:val="right"/>
              <w:rPr>
                <w:rFonts w:ascii="Arial" w:hAnsi="Arial" w:cs="Arial" w:eastAsia="Arial" w:hint="default"/>
                <w:sz w:val="20"/>
                <w:szCs w:val="20"/>
              </w:rPr>
            </w:pPr>
            <w:r>
              <w:rPr>
                <w:rFonts w:ascii="Arial"/>
                <w:spacing w:val="-1"/>
                <w:sz w:val="20"/>
              </w:rPr>
              <w:t>202,513</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8"/>
              <w:jc w:val="right"/>
              <w:rPr>
                <w:rFonts w:ascii="Arial" w:hAnsi="Arial" w:cs="Arial" w:eastAsia="Arial" w:hint="default"/>
                <w:sz w:val="20"/>
                <w:szCs w:val="20"/>
              </w:rPr>
            </w:pPr>
            <w:r>
              <w:rPr>
                <w:rFonts w:ascii="Arial"/>
                <w:sz w:val="20"/>
              </w:rPr>
              <w:t>15,000</w:t>
            </w:r>
          </w:p>
        </w:tc>
      </w:tr>
      <w:tr>
        <w:trPr>
          <w:trHeight w:val="537"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Arial" w:hAnsi="Arial" w:cs="Arial" w:eastAsia="Arial" w:hint="default"/>
                <w:sz w:val="21"/>
                <w:szCs w:val="21"/>
              </w:rPr>
            </w:pPr>
          </w:p>
          <w:p>
            <w:pPr>
              <w:pStyle w:val="TableParagraph"/>
              <w:spacing w:line="240" w:lineRule="auto"/>
              <w:ind w:left="34" w:right="0"/>
              <w:jc w:val="left"/>
              <w:rPr>
                <w:rFonts w:ascii="黑体" w:hAnsi="黑体" w:cs="黑体" w:eastAsia="黑体" w:hint="default"/>
                <w:sz w:val="20"/>
                <w:szCs w:val="20"/>
              </w:rPr>
            </w:pPr>
            <w:r>
              <w:rPr>
                <w:rFonts w:ascii="黑体" w:hAnsi="黑体" w:cs="黑体" w:eastAsia="黑体" w:hint="default"/>
                <w:sz w:val="20"/>
                <w:szCs w:val="20"/>
              </w:rPr>
              <w:t>子公司</w:t>
            </w:r>
          </w:p>
        </w:tc>
        <w:tc>
          <w:tcPr>
            <w:tcW w:w="3167"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r>
      <w:tr>
        <w:trPr>
          <w:trHeight w:val="271"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30" w:lineRule="exact"/>
              <w:ind w:left="216" w:right="0"/>
              <w:jc w:val="left"/>
              <w:rPr>
                <w:rFonts w:ascii="黑体" w:hAnsi="黑体" w:cs="黑体" w:eastAsia="黑体" w:hint="default"/>
                <w:sz w:val="20"/>
                <w:szCs w:val="20"/>
              </w:rPr>
            </w:pPr>
            <w:r>
              <w:rPr>
                <w:rFonts w:ascii="黑体" w:hAnsi="黑体" w:cs="黑体" w:eastAsia="黑体" w:hint="default"/>
                <w:sz w:val="20"/>
                <w:szCs w:val="20"/>
              </w:rPr>
              <w:t>用友金融</w:t>
            </w:r>
          </w:p>
        </w:tc>
        <w:tc>
          <w:tcPr>
            <w:tcW w:w="316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56"/>
              <w:jc w:val="right"/>
              <w:rPr>
                <w:rFonts w:ascii="Arial" w:hAnsi="Arial" w:cs="Arial" w:eastAsia="Arial" w:hint="default"/>
                <w:sz w:val="20"/>
                <w:szCs w:val="20"/>
              </w:rPr>
            </w:pPr>
            <w:r>
              <w:rPr>
                <w:rFonts w:ascii="Arial"/>
                <w:spacing w:val="-1"/>
                <w:sz w:val="20"/>
              </w:rPr>
              <w:t>23,000,000</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8"/>
              <w:jc w:val="right"/>
              <w:rPr>
                <w:rFonts w:ascii="Arial" w:hAnsi="Arial" w:cs="Arial" w:eastAsia="Arial" w:hint="default"/>
                <w:sz w:val="20"/>
                <w:szCs w:val="20"/>
              </w:rPr>
            </w:pPr>
            <w:r>
              <w:rPr>
                <w:rFonts w:ascii="Arial"/>
                <w:spacing w:val="-1"/>
                <w:sz w:val="20"/>
              </w:rPr>
              <w:t>23,000,000</w:t>
            </w:r>
          </w:p>
        </w:tc>
      </w:tr>
      <w:tr>
        <w:trPr>
          <w:trHeight w:val="259"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18" w:lineRule="exact"/>
              <w:ind w:left="216" w:right="0"/>
              <w:jc w:val="left"/>
              <w:rPr>
                <w:rFonts w:ascii="黑体" w:hAnsi="黑体" w:cs="黑体" w:eastAsia="黑体" w:hint="default"/>
                <w:sz w:val="20"/>
                <w:szCs w:val="20"/>
              </w:rPr>
            </w:pPr>
            <w:r>
              <w:rPr>
                <w:rFonts w:ascii="黑体" w:hAnsi="黑体" w:cs="黑体" w:eastAsia="黑体" w:hint="default"/>
                <w:sz w:val="20"/>
                <w:szCs w:val="20"/>
              </w:rPr>
              <w:t>深圳灏麓梵</w:t>
            </w:r>
          </w:p>
        </w:tc>
        <w:tc>
          <w:tcPr>
            <w:tcW w:w="316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56"/>
              <w:jc w:val="right"/>
              <w:rPr>
                <w:rFonts w:ascii="Arial" w:hAnsi="Arial" w:cs="Arial" w:eastAsia="Arial" w:hint="default"/>
                <w:sz w:val="20"/>
                <w:szCs w:val="20"/>
              </w:rPr>
            </w:pPr>
            <w:r>
              <w:rPr>
                <w:rFonts w:ascii="Arial"/>
                <w:spacing w:val="-1"/>
                <w:sz w:val="20"/>
              </w:rPr>
              <w:t>1,000,000</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8"/>
              <w:jc w:val="right"/>
              <w:rPr>
                <w:rFonts w:ascii="Arial" w:hAnsi="Arial" w:cs="Arial" w:eastAsia="Arial" w:hint="default"/>
                <w:sz w:val="20"/>
                <w:szCs w:val="20"/>
              </w:rPr>
            </w:pPr>
            <w:r>
              <w:rPr>
                <w:rFonts w:ascii="Arial"/>
                <w:spacing w:val="-1"/>
                <w:sz w:val="20"/>
              </w:rPr>
              <w:t>1,000,000</w:t>
            </w:r>
          </w:p>
        </w:tc>
      </w:tr>
      <w:tr>
        <w:trPr>
          <w:trHeight w:val="251"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18" w:lineRule="exact"/>
              <w:ind w:left="216" w:right="0"/>
              <w:jc w:val="left"/>
              <w:rPr>
                <w:rFonts w:ascii="黑体" w:hAnsi="黑体" w:cs="黑体" w:eastAsia="黑体" w:hint="default"/>
                <w:sz w:val="20"/>
                <w:szCs w:val="20"/>
              </w:rPr>
            </w:pPr>
            <w:r>
              <w:rPr>
                <w:rFonts w:ascii="黑体" w:hAnsi="黑体" w:cs="黑体" w:eastAsia="黑体" w:hint="default"/>
                <w:sz w:val="20"/>
                <w:szCs w:val="20"/>
              </w:rPr>
              <w:t>天津用友</w:t>
            </w:r>
          </w:p>
        </w:tc>
        <w:tc>
          <w:tcPr>
            <w:tcW w:w="3167" w:type="dxa"/>
            <w:tcBorders>
              <w:top w:val="nil" w:sz="6" w:space="0" w:color="auto"/>
              <w:left w:val="nil" w:sz="6" w:space="0" w:color="auto"/>
              <w:bottom w:val="nil" w:sz="6" w:space="0" w:color="auto"/>
              <w:right w:val="nil" w:sz="6" w:space="0" w:color="auto"/>
            </w:tcBorders>
          </w:tcPr>
          <w:p>
            <w:pPr>
              <w:pStyle w:val="TableParagraph"/>
              <w:spacing w:line="230" w:lineRule="exact"/>
              <w:ind w:right="356"/>
              <w:jc w:val="right"/>
              <w:rPr>
                <w:rFonts w:ascii="Arial" w:hAnsi="Arial" w:cs="Arial" w:eastAsia="Arial" w:hint="default"/>
                <w:sz w:val="20"/>
                <w:szCs w:val="20"/>
              </w:rPr>
            </w:pPr>
            <w:r>
              <w:rPr>
                <w:rFonts w:ascii="Arial"/>
                <w:spacing w:val="-1"/>
                <w:sz w:val="20"/>
              </w:rPr>
              <w:t>223,473</w:t>
            </w:r>
          </w:p>
        </w:tc>
        <w:tc>
          <w:tcPr>
            <w:tcW w:w="1395" w:type="dxa"/>
            <w:tcBorders>
              <w:top w:val="nil" w:sz="6" w:space="0" w:color="auto"/>
              <w:left w:val="nil" w:sz="6" w:space="0" w:color="auto"/>
              <w:bottom w:val="nil" w:sz="6" w:space="0" w:color="auto"/>
              <w:right w:val="nil" w:sz="6" w:space="0" w:color="auto"/>
            </w:tcBorders>
          </w:tcPr>
          <w:p>
            <w:pPr>
              <w:pStyle w:val="TableParagraph"/>
              <w:spacing w:line="230" w:lineRule="exact"/>
              <w:ind w:right="50"/>
              <w:jc w:val="right"/>
              <w:rPr>
                <w:rFonts w:ascii="Arial" w:hAnsi="Arial" w:cs="Arial" w:eastAsia="Arial" w:hint="default"/>
                <w:sz w:val="20"/>
                <w:szCs w:val="20"/>
              </w:rPr>
            </w:pPr>
            <w:r>
              <w:rPr>
                <w:rFonts w:ascii="Arial"/>
                <w:spacing w:val="-1"/>
                <w:sz w:val="20"/>
              </w:rPr>
              <w:t>305,178</w:t>
            </w:r>
          </w:p>
        </w:tc>
      </w:tr>
      <w:tr>
        <w:trPr>
          <w:trHeight w:val="268"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26" w:lineRule="exact"/>
              <w:ind w:left="216" w:right="0"/>
              <w:jc w:val="left"/>
              <w:rPr>
                <w:rFonts w:ascii="黑体" w:hAnsi="黑体" w:cs="黑体" w:eastAsia="黑体" w:hint="default"/>
                <w:sz w:val="20"/>
                <w:szCs w:val="20"/>
              </w:rPr>
            </w:pPr>
            <w:r>
              <w:rPr>
                <w:rFonts w:ascii="黑体" w:hAnsi="黑体" w:cs="黑体" w:eastAsia="黑体" w:hint="default"/>
                <w:sz w:val="20"/>
                <w:szCs w:val="20"/>
              </w:rPr>
              <w:t>用友烟草</w:t>
            </w:r>
          </w:p>
        </w:tc>
        <w:tc>
          <w:tcPr>
            <w:tcW w:w="316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56"/>
              <w:jc w:val="right"/>
              <w:rPr>
                <w:rFonts w:ascii="Arial" w:hAnsi="Arial" w:cs="Arial" w:eastAsia="Arial" w:hint="default"/>
                <w:sz w:val="20"/>
                <w:szCs w:val="20"/>
              </w:rPr>
            </w:pPr>
            <w:r>
              <w:rPr>
                <w:rFonts w:ascii="Arial"/>
                <w:sz w:val="20"/>
              </w:rPr>
              <w:t>10,000</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9"/>
              <w:jc w:val="right"/>
              <w:rPr>
                <w:rFonts w:ascii="Arial" w:hAnsi="Arial" w:cs="Arial" w:eastAsia="Arial" w:hint="default"/>
                <w:sz w:val="20"/>
                <w:szCs w:val="20"/>
              </w:rPr>
            </w:pPr>
            <w:r>
              <w:rPr>
                <w:rFonts w:ascii="Arial"/>
                <w:w w:val="100"/>
                <w:sz w:val="20"/>
              </w:rPr>
              <w:t>-</w:t>
            </w:r>
          </w:p>
        </w:tc>
      </w:tr>
      <w:tr>
        <w:trPr>
          <w:trHeight w:val="242"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18" w:lineRule="exact"/>
              <w:ind w:left="216" w:right="0"/>
              <w:jc w:val="left"/>
              <w:rPr>
                <w:rFonts w:ascii="黑体" w:hAnsi="黑体" w:cs="黑体" w:eastAsia="黑体" w:hint="default"/>
                <w:sz w:val="20"/>
                <w:szCs w:val="20"/>
              </w:rPr>
            </w:pPr>
            <w:r>
              <w:rPr>
                <w:rFonts w:ascii="黑体" w:hAnsi="黑体" w:cs="黑体" w:eastAsia="黑体" w:hint="default"/>
                <w:sz w:val="20"/>
                <w:szCs w:val="20"/>
              </w:rPr>
              <w:t>用友艾福斯</w:t>
            </w:r>
          </w:p>
        </w:tc>
        <w:tc>
          <w:tcPr>
            <w:tcW w:w="316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56"/>
              <w:jc w:val="right"/>
              <w:rPr>
                <w:rFonts w:ascii="Arial" w:hAnsi="Arial" w:cs="Arial" w:eastAsia="Arial" w:hint="default"/>
                <w:sz w:val="20"/>
                <w:szCs w:val="20"/>
              </w:rPr>
            </w:pPr>
            <w:r>
              <w:rPr>
                <w:rFonts w:ascii="Arial"/>
                <w:sz w:val="20"/>
              </w:rPr>
              <w:t>5,000</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9"/>
              <w:jc w:val="right"/>
              <w:rPr>
                <w:rFonts w:ascii="Arial" w:hAnsi="Arial" w:cs="Arial" w:eastAsia="Arial" w:hint="default"/>
                <w:sz w:val="20"/>
                <w:szCs w:val="20"/>
              </w:rPr>
            </w:pPr>
            <w:r>
              <w:rPr>
                <w:rFonts w:ascii="Arial"/>
                <w:w w:val="100"/>
                <w:sz w:val="20"/>
              </w:rPr>
              <w:t>-</w:t>
            </w:r>
          </w:p>
        </w:tc>
      </w:tr>
      <w:tr>
        <w:trPr>
          <w:trHeight w:val="520"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Arial" w:hAnsi="Arial" w:cs="Arial" w:eastAsia="Arial" w:hint="default"/>
                <w:sz w:val="19"/>
                <w:szCs w:val="19"/>
              </w:rPr>
            </w:pPr>
          </w:p>
          <w:p>
            <w:pPr>
              <w:pStyle w:val="TableParagraph"/>
              <w:spacing w:line="240" w:lineRule="auto"/>
              <w:ind w:left="35" w:right="0"/>
              <w:jc w:val="left"/>
              <w:rPr>
                <w:rFonts w:ascii="黑体" w:hAnsi="黑体" w:cs="黑体" w:eastAsia="黑体" w:hint="default"/>
                <w:sz w:val="20"/>
                <w:szCs w:val="20"/>
              </w:rPr>
            </w:pPr>
            <w:r>
              <w:rPr>
                <w:rFonts w:ascii="黑体" w:hAnsi="黑体" w:cs="黑体" w:eastAsia="黑体" w:hint="default"/>
                <w:sz w:val="20"/>
                <w:szCs w:val="20"/>
              </w:rPr>
              <w:t>董事、监事及关键管理人员</w:t>
            </w:r>
          </w:p>
        </w:tc>
        <w:tc>
          <w:tcPr>
            <w:tcW w:w="3167"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r>
      <w:tr>
        <w:trPr>
          <w:trHeight w:val="271"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30" w:lineRule="exact"/>
              <w:ind w:left="230" w:right="0"/>
              <w:jc w:val="left"/>
              <w:rPr>
                <w:rFonts w:ascii="黑体" w:hAnsi="黑体" w:cs="黑体" w:eastAsia="黑体" w:hint="default"/>
                <w:sz w:val="20"/>
                <w:szCs w:val="20"/>
              </w:rPr>
            </w:pPr>
            <w:r>
              <w:rPr>
                <w:rFonts w:ascii="黑体" w:hAnsi="黑体" w:cs="黑体" w:eastAsia="黑体" w:hint="default"/>
                <w:sz w:val="20"/>
                <w:szCs w:val="20"/>
              </w:rPr>
              <w:t>黄义璋</w:t>
            </w:r>
          </w:p>
        </w:tc>
        <w:tc>
          <w:tcPr>
            <w:tcW w:w="316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56"/>
              <w:jc w:val="right"/>
              <w:rPr>
                <w:rFonts w:ascii="Arial" w:hAnsi="Arial" w:cs="Arial" w:eastAsia="Arial" w:hint="default"/>
                <w:sz w:val="20"/>
                <w:szCs w:val="20"/>
              </w:rPr>
            </w:pPr>
            <w:r>
              <w:rPr>
                <w:rFonts w:ascii="Arial"/>
                <w:sz w:val="20"/>
              </w:rPr>
              <w:t>33,145</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8"/>
              <w:jc w:val="right"/>
              <w:rPr>
                <w:rFonts w:ascii="Arial" w:hAnsi="Arial" w:cs="Arial" w:eastAsia="Arial" w:hint="default"/>
                <w:sz w:val="20"/>
                <w:szCs w:val="20"/>
              </w:rPr>
            </w:pPr>
            <w:r>
              <w:rPr>
                <w:rFonts w:ascii="Arial"/>
                <w:w w:val="100"/>
                <w:sz w:val="20"/>
              </w:rPr>
              <w:t>-</w:t>
            </w:r>
          </w:p>
        </w:tc>
      </w:tr>
      <w:tr>
        <w:trPr>
          <w:trHeight w:val="259"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18" w:lineRule="exact"/>
              <w:ind w:left="230" w:right="0"/>
              <w:jc w:val="left"/>
              <w:rPr>
                <w:rFonts w:ascii="黑体" w:hAnsi="黑体" w:cs="黑体" w:eastAsia="黑体" w:hint="default"/>
                <w:sz w:val="20"/>
                <w:szCs w:val="20"/>
              </w:rPr>
            </w:pPr>
            <w:r>
              <w:rPr>
                <w:rFonts w:ascii="黑体" w:hAnsi="黑体" w:cs="黑体" w:eastAsia="黑体" w:hint="default"/>
                <w:sz w:val="20"/>
                <w:szCs w:val="20"/>
              </w:rPr>
              <w:t>吴健</w:t>
            </w:r>
          </w:p>
        </w:tc>
        <w:tc>
          <w:tcPr>
            <w:tcW w:w="316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56"/>
              <w:jc w:val="right"/>
              <w:rPr>
                <w:rFonts w:ascii="Arial" w:hAnsi="Arial" w:cs="Arial" w:eastAsia="Arial" w:hint="default"/>
                <w:sz w:val="20"/>
                <w:szCs w:val="20"/>
              </w:rPr>
            </w:pPr>
            <w:r>
              <w:rPr>
                <w:rFonts w:ascii="Arial"/>
                <w:spacing w:val="-1"/>
                <w:sz w:val="20"/>
              </w:rPr>
              <w:t>264,178</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8"/>
              <w:jc w:val="right"/>
              <w:rPr>
                <w:rFonts w:ascii="Arial" w:hAnsi="Arial" w:cs="Arial" w:eastAsia="Arial" w:hint="default"/>
                <w:sz w:val="20"/>
                <w:szCs w:val="20"/>
              </w:rPr>
            </w:pPr>
            <w:r>
              <w:rPr>
                <w:rFonts w:ascii="Arial"/>
                <w:spacing w:val="-1"/>
                <w:sz w:val="20"/>
              </w:rPr>
              <w:t>269,018</w:t>
            </w:r>
          </w:p>
        </w:tc>
      </w:tr>
      <w:tr>
        <w:trPr>
          <w:trHeight w:val="251"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18" w:lineRule="exact"/>
              <w:ind w:left="230" w:right="0"/>
              <w:jc w:val="left"/>
              <w:rPr>
                <w:rFonts w:ascii="黑体" w:hAnsi="黑体" w:cs="黑体" w:eastAsia="黑体" w:hint="default"/>
                <w:sz w:val="20"/>
                <w:szCs w:val="20"/>
              </w:rPr>
            </w:pPr>
            <w:r>
              <w:rPr>
                <w:rFonts w:ascii="黑体" w:hAnsi="黑体" w:cs="黑体" w:eastAsia="黑体" w:hint="default"/>
                <w:sz w:val="20"/>
                <w:szCs w:val="20"/>
              </w:rPr>
              <w:t>王文京</w:t>
            </w:r>
          </w:p>
        </w:tc>
        <w:tc>
          <w:tcPr>
            <w:tcW w:w="3167" w:type="dxa"/>
            <w:tcBorders>
              <w:top w:val="nil" w:sz="6" w:space="0" w:color="auto"/>
              <w:left w:val="nil" w:sz="6" w:space="0" w:color="auto"/>
              <w:bottom w:val="nil" w:sz="6" w:space="0" w:color="auto"/>
              <w:right w:val="nil" w:sz="6" w:space="0" w:color="auto"/>
            </w:tcBorders>
          </w:tcPr>
          <w:p>
            <w:pPr>
              <w:pStyle w:val="TableParagraph"/>
              <w:spacing w:line="230" w:lineRule="exact"/>
              <w:ind w:right="357"/>
              <w:jc w:val="right"/>
              <w:rPr>
                <w:rFonts w:ascii="Arial" w:hAnsi="Arial" w:cs="Arial" w:eastAsia="Arial" w:hint="default"/>
                <w:sz w:val="20"/>
                <w:szCs w:val="20"/>
              </w:rPr>
            </w:pPr>
            <w:r>
              <w:rPr>
                <w:rFonts w:ascii="Arial"/>
                <w:w w:val="100"/>
                <w:sz w:val="20"/>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30" w:lineRule="exact"/>
              <w:ind w:right="48"/>
              <w:jc w:val="right"/>
              <w:rPr>
                <w:rFonts w:ascii="Arial" w:hAnsi="Arial" w:cs="Arial" w:eastAsia="Arial" w:hint="default"/>
                <w:sz w:val="20"/>
                <w:szCs w:val="20"/>
              </w:rPr>
            </w:pPr>
            <w:r>
              <w:rPr>
                <w:rFonts w:ascii="Arial"/>
                <w:sz w:val="20"/>
              </w:rPr>
              <w:t>25,850</w:t>
            </w:r>
          </w:p>
        </w:tc>
      </w:tr>
      <w:tr>
        <w:trPr>
          <w:trHeight w:val="260"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27" w:lineRule="exact"/>
              <w:ind w:left="230" w:right="0"/>
              <w:jc w:val="left"/>
              <w:rPr>
                <w:rFonts w:ascii="黑体" w:hAnsi="黑体" w:cs="黑体" w:eastAsia="黑体" w:hint="default"/>
                <w:sz w:val="20"/>
                <w:szCs w:val="20"/>
              </w:rPr>
            </w:pPr>
            <w:r>
              <w:rPr>
                <w:rFonts w:ascii="黑体" w:hAnsi="黑体" w:cs="黑体" w:eastAsia="黑体" w:hint="default"/>
                <w:sz w:val="20"/>
                <w:szCs w:val="20"/>
              </w:rPr>
              <w:t>欧阳青</w:t>
            </w:r>
          </w:p>
        </w:tc>
        <w:tc>
          <w:tcPr>
            <w:tcW w:w="316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57"/>
              <w:jc w:val="right"/>
              <w:rPr>
                <w:rFonts w:ascii="Arial" w:hAnsi="Arial" w:cs="Arial" w:eastAsia="Arial" w:hint="default"/>
                <w:sz w:val="20"/>
                <w:szCs w:val="20"/>
              </w:rPr>
            </w:pPr>
            <w:r>
              <w:rPr>
                <w:rFonts w:ascii="Arial"/>
                <w:w w:val="100"/>
                <w:sz w:val="20"/>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8"/>
              <w:jc w:val="right"/>
              <w:rPr>
                <w:rFonts w:ascii="Arial" w:hAnsi="Arial" w:cs="Arial" w:eastAsia="Arial" w:hint="default"/>
                <w:sz w:val="20"/>
                <w:szCs w:val="20"/>
              </w:rPr>
            </w:pPr>
            <w:r>
              <w:rPr>
                <w:rFonts w:ascii="Arial"/>
                <w:sz w:val="20"/>
              </w:rPr>
              <w:t>18,608</w:t>
            </w:r>
          </w:p>
        </w:tc>
      </w:tr>
      <w:tr>
        <w:trPr>
          <w:trHeight w:val="259"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26" w:lineRule="exact"/>
              <w:ind w:left="230" w:right="0"/>
              <w:jc w:val="left"/>
              <w:rPr>
                <w:rFonts w:ascii="黑体" w:hAnsi="黑体" w:cs="黑体" w:eastAsia="黑体" w:hint="default"/>
                <w:sz w:val="20"/>
                <w:szCs w:val="20"/>
              </w:rPr>
            </w:pPr>
            <w:r>
              <w:rPr>
                <w:rFonts w:ascii="黑体" w:hAnsi="黑体" w:cs="黑体" w:eastAsia="黑体" w:hint="default"/>
                <w:sz w:val="20"/>
                <w:szCs w:val="20"/>
              </w:rPr>
              <w:t>郭延生</w:t>
            </w:r>
          </w:p>
        </w:tc>
        <w:tc>
          <w:tcPr>
            <w:tcW w:w="3167" w:type="dxa"/>
            <w:tcBorders>
              <w:top w:val="nil" w:sz="6" w:space="0" w:color="auto"/>
              <w:left w:val="nil" w:sz="6" w:space="0" w:color="auto"/>
              <w:bottom w:val="nil" w:sz="6" w:space="0" w:color="auto"/>
              <w:right w:val="nil" w:sz="6" w:space="0" w:color="auto"/>
            </w:tcBorders>
          </w:tcPr>
          <w:p>
            <w:pPr>
              <w:pStyle w:val="TableParagraph"/>
              <w:tabs>
                <w:tab w:pos="899" w:val="left" w:leader="none"/>
              </w:tabs>
              <w:spacing w:line="240" w:lineRule="auto" w:before="8"/>
              <w:ind w:right="35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395" w:type="dxa"/>
            <w:tcBorders>
              <w:top w:val="nil" w:sz="6" w:space="0" w:color="auto"/>
              <w:left w:val="nil" w:sz="6" w:space="0" w:color="auto"/>
              <w:bottom w:val="nil" w:sz="6" w:space="0" w:color="auto"/>
              <w:right w:val="nil" w:sz="6" w:space="0" w:color="auto"/>
            </w:tcBorders>
          </w:tcPr>
          <w:p>
            <w:pPr>
              <w:pStyle w:val="TableParagraph"/>
              <w:tabs>
                <w:tab w:pos="499" w:val="left" w:leader="none"/>
              </w:tabs>
              <w:spacing w:line="240" w:lineRule="auto" w:before="7"/>
              <w:ind w:right="4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2,000</w:t>
            </w:r>
            <w:r>
              <w:rPr>
                <w:rFonts w:ascii="Arial"/>
                <w:sz w:val="20"/>
              </w:rPr>
            </w:r>
          </w:p>
        </w:tc>
      </w:tr>
      <w:tr>
        <w:trPr>
          <w:trHeight w:val="333"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26" w:lineRule="exact"/>
              <w:ind w:left="35" w:right="0"/>
              <w:jc w:val="left"/>
              <w:rPr>
                <w:rFonts w:ascii="黑体" w:hAnsi="黑体" w:cs="黑体" w:eastAsia="黑体" w:hint="default"/>
                <w:sz w:val="20"/>
                <w:szCs w:val="20"/>
              </w:rPr>
            </w:pPr>
            <w:r>
              <w:rPr>
                <w:rFonts w:ascii="黑体" w:hAnsi="黑体" w:cs="黑体" w:eastAsia="黑体" w:hint="default"/>
                <w:sz w:val="20"/>
                <w:szCs w:val="20"/>
              </w:rPr>
              <w:t>合计</w:t>
            </w:r>
          </w:p>
        </w:tc>
        <w:tc>
          <w:tcPr>
            <w:tcW w:w="316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57"/>
              <w:jc w:val="right"/>
              <w:rPr>
                <w:rFonts w:ascii="Arial" w:hAnsi="Arial" w:cs="Arial" w:eastAsia="Arial" w:hint="default"/>
                <w:sz w:val="20"/>
                <w:szCs w:val="20"/>
              </w:rPr>
            </w:pPr>
            <w:r>
              <w:rPr>
                <w:rFonts w:ascii="Arial"/>
                <w:w w:val="100"/>
                <w:sz w:val="20"/>
              </w:rPr>
            </w:r>
            <w:r>
              <w:rPr>
                <w:rFonts w:ascii="Arial"/>
                <w:spacing w:val="-1"/>
                <w:sz w:val="20"/>
                <w:u w:val="thick" w:color="000000"/>
              </w:rPr>
              <w:t>24,738,309</w:t>
            </w:r>
            <w:r>
              <w:rPr>
                <w:rFonts w:ascii="Arial"/>
                <w:spacing w:val="-1"/>
                <w:sz w:val="20"/>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48"/>
              <w:jc w:val="right"/>
              <w:rPr>
                <w:rFonts w:ascii="Arial" w:hAnsi="Arial" w:cs="Arial" w:eastAsia="Arial" w:hint="default"/>
                <w:sz w:val="20"/>
                <w:szCs w:val="20"/>
              </w:rPr>
            </w:pPr>
            <w:r>
              <w:rPr>
                <w:rFonts w:ascii="Arial"/>
                <w:w w:val="100"/>
                <w:sz w:val="20"/>
              </w:rPr>
            </w:r>
            <w:r>
              <w:rPr>
                <w:rFonts w:ascii="Arial"/>
                <w:spacing w:val="-1"/>
                <w:sz w:val="20"/>
                <w:u w:val="thick" w:color="000000"/>
              </w:rPr>
              <w:t>24,635,654</w:t>
            </w:r>
            <w:r>
              <w:rPr>
                <w:rFonts w:ascii="Arial"/>
                <w:spacing w:val="-1"/>
                <w:sz w:val="20"/>
              </w:rPr>
            </w:r>
          </w:p>
        </w:tc>
      </w:tr>
    </w:tbl>
    <w:p>
      <w:pPr>
        <w:spacing w:line="240" w:lineRule="auto" w:before="4"/>
        <w:rPr>
          <w:rFonts w:ascii="Arial" w:hAnsi="Arial" w:cs="Arial" w:eastAsia="Arial" w:hint="default"/>
          <w:sz w:val="7"/>
          <w:szCs w:val="7"/>
        </w:rPr>
      </w:pPr>
    </w:p>
    <w:p>
      <w:pPr>
        <w:spacing w:before="38"/>
        <w:ind w:left="183" w:right="1058" w:firstLine="0"/>
        <w:jc w:val="left"/>
        <w:rPr>
          <w:rFonts w:ascii="黑体" w:hAnsi="黑体" w:cs="黑体" w:eastAsia="黑体" w:hint="default"/>
          <w:sz w:val="20"/>
          <w:szCs w:val="20"/>
        </w:rPr>
      </w:pPr>
      <w:r>
        <w:rPr>
          <w:rFonts w:ascii="黑体" w:hAnsi="黑体" w:cs="黑体" w:eastAsia="黑体" w:hint="default"/>
          <w:b/>
          <w:bCs/>
          <w:sz w:val="20"/>
          <w:szCs w:val="20"/>
        </w:rPr>
        <w:t>十四、比较数据</w:t>
      </w:r>
      <w:r>
        <w:rPr>
          <w:rFonts w:ascii="黑体" w:hAnsi="黑体" w:cs="黑体" w:eastAsia="黑体" w:hint="default"/>
          <w:sz w:val="20"/>
          <w:szCs w:val="20"/>
        </w:rPr>
      </w:r>
    </w:p>
    <w:p>
      <w:pPr>
        <w:spacing w:line="240" w:lineRule="auto" w:before="2"/>
        <w:rPr>
          <w:rFonts w:ascii="黑体" w:hAnsi="黑体" w:cs="黑体" w:eastAsia="黑体" w:hint="default"/>
          <w:b/>
          <w:bCs/>
          <w:sz w:val="17"/>
          <w:szCs w:val="17"/>
        </w:rPr>
      </w:pPr>
    </w:p>
    <w:p>
      <w:pPr>
        <w:pStyle w:val="BodyText"/>
        <w:spacing w:line="240" w:lineRule="auto"/>
        <w:ind w:left="855" w:right="1058"/>
        <w:jc w:val="left"/>
      </w:pPr>
      <w:r>
        <w:rPr/>
        <w:t>若干比较数据已经过重述</w:t>
      </w:r>
      <w:r>
        <w:rPr>
          <w:rFonts w:ascii="Arial" w:hAnsi="Arial" w:cs="Arial" w:eastAsia="Arial" w:hint="default"/>
        </w:rPr>
        <w:t>,</w:t>
      </w:r>
      <w:r>
        <w:rPr/>
        <w:t>以符合本年度之列报要求。</w:t>
      </w:r>
    </w:p>
    <w:p>
      <w:pPr>
        <w:spacing w:line="240" w:lineRule="auto" w:before="0"/>
        <w:rPr>
          <w:rFonts w:ascii="黑体" w:hAnsi="黑体" w:cs="黑体" w:eastAsia="黑体" w:hint="default"/>
          <w:sz w:val="20"/>
          <w:szCs w:val="20"/>
        </w:rPr>
      </w:pPr>
    </w:p>
    <w:p>
      <w:pPr>
        <w:spacing w:line="240" w:lineRule="auto" w:before="2"/>
        <w:rPr>
          <w:rFonts w:ascii="黑体" w:hAnsi="黑体" w:cs="黑体" w:eastAsia="黑体" w:hint="default"/>
          <w:sz w:val="14"/>
          <w:szCs w:val="14"/>
        </w:rPr>
      </w:pPr>
    </w:p>
    <w:p>
      <w:pPr>
        <w:spacing w:before="0"/>
        <w:ind w:left="183" w:right="1058" w:firstLine="0"/>
        <w:jc w:val="left"/>
        <w:rPr>
          <w:rFonts w:ascii="黑体" w:hAnsi="黑体" w:cs="黑体" w:eastAsia="黑体" w:hint="default"/>
          <w:sz w:val="20"/>
          <w:szCs w:val="20"/>
        </w:rPr>
      </w:pPr>
      <w:r>
        <w:rPr>
          <w:rFonts w:ascii="黑体" w:hAnsi="黑体" w:cs="黑体" w:eastAsia="黑体" w:hint="default"/>
          <w:b/>
          <w:bCs/>
          <w:sz w:val="20"/>
          <w:szCs w:val="20"/>
        </w:rPr>
        <w:t>十五、财务报表之批准</w:t>
      </w:r>
      <w:r>
        <w:rPr>
          <w:rFonts w:ascii="黑体" w:hAnsi="黑体" w:cs="黑体" w:eastAsia="黑体" w:hint="default"/>
          <w:sz w:val="20"/>
          <w:szCs w:val="20"/>
        </w:rPr>
      </w:r>
    </w:p>
    <w:p>
      <w:pPr>
        <w:spacing w:line="240" w:lineRule="auto" w:before="2"/>
        <w:rPr>
          <w:rFonts w:ascii="黑体" w:hAnsi="黑体" w:cs="黑体" w:eastAsia="黑体" w:hint="default"/>
          <w:b/>
          <w:bCs/>
          <w:sz w:val="19"/>
          <w:szCs w:val="19"/>
        </w:rPr>
      </w:pPr>
    </w:p>
    <w:p>
      <w:pPr>
        <w:pStyle w:val="BodyText"/>
        <w:spacing w:line="260" w:lineRule="exact"/>
        <w:ind w:left="855" w:right="1690"/>
        <w:jc w:val="left"/>
      </w:pPr>
      <w:r>
        <w:rPr/>
        <w:t>本财务报表业经本公司董事会于</w:t>
      </w:r>
      <w:r>
        <w:rPr>
          <w:rFonts w:ascii="Arial" w:hAnsi="Arial" w:cs="Arial" w:eastAsia="Arial" w:hint="default"/>
        </w:rPr>
        <w:t>2010</w:t>
      </w:r>
      <w:r>
        <w:rPr/>
        <w:t>年</w:t>
      </w:r>
      <w:r>
        <w:rPr>
          <w:rFonts w:ascii="Arial" w:hAnsi="Arial" w:cs="Arial" w:eastAsia="Arial" w:hint="default"/>
        </w:rPr>
        <w:t>3</w:t>
      </w:r>
      <w:r>
        <w:rPr/>
        <w:t>月</w:t>
      </w:r>
      <w:r>
        <w:rPr>
          <w:rFonts w:ascii="Arial" w:hAnsi="Arial" w:cs="Arial" w:eastAsia="Arial" w:hint="default"/>
        </w:rPr>
        <w:t>20</w:t>
      </w:r>
      <w:r>
        <w:rPr/>
        <w:t>日决议批准。根据本公司章程，本财务报表</w:t>
      </w:r>
      <w:r>
        <w:rPr>
          <w:spacing w:val="-88"/>
        </w:rPr>
        <w:t> </w:t>
      </w:r>
      <w:r>
        <w:rPr>
          <w:spacing w:val="-88"/>
        </w:rPr>
      </w:r>
      <w:r>
        <w:rPr/>
        <w:t>将提交股东会大会审议。</w:t>
      </w:r>
    </w:p>
    <w:p>
      <w:pPr>
        <w:spacing w:after="0" w:line="260" w:lineRule="exact"/>
        <w:jc w:val="left"/>
        <w:sectPr>
          <w:type w:val="continuous"/>
          <w:pgSz w:w="11910" w:h="16840"/>
          <w:pgMar w:top="900" w:bottom="280" w:left="1560" w:right="0"/>
        </w:sectPr>
      </w:pPr>
    </w:p>
    <w:p>
      <w:pPr>
        <w:spacing w:line="240" w:lineRule="auto" w:before="1"/>
        <w:rPr>
          <w:rFonts w:ascii="黑体" w:hAnsi="黑体" w:cs="黑体" w:eastAsia="黑体" w:hint="default"/>
          <w:sz w:val="18"/>
          <w:szCs w:val="18"/>
        </w:rPr>
      </w:pPr>
    </w:p>
    <w:p>
      <w:pPr>
        <w:tabs>
          <w:tab w:pos="861" w:val="left" w:leader="none"/>
        </w:tabs>
        <w:spacing w:before="38"/>
        <w:ind w:left="141" w:right="1058" w:firstLine="0"/>
        <w:jc w:val="left"/>
        <w:rPr>
          <w:rFonts w:ascii="黑体" w:hAnsi="黑体" w:cs="黑体" w:eastAsia="黑体" w:hint="default"/>
          <w:sz w:val="20"/>
          <w:szCs w:val="20"/>
        </w:rPr>
      </w:pPr>
      <w:r>
        <w:rPr>
          <w:rFonts w:ascii="Arial" w:hAnsi="Arial" w:cs="Arial" w:eastAsia="Arial" w:hint="default"/>
          <w:b/>
          <w:bCs/>
          <w:w w:val="95"/>
          <w:sz w:val="20"/>
          <w:szCs w:val="20"/>
        </w:rPr>
        <w:t>1</w:t>
      </w:r>
      <w:r>
        <w:rPr>
          <w:rFonts w:ascii="黑体" w:hAnsi="黑体" w:cs="黑体" w:eastAsia="黑体" w:hint="default"/>
          <w:b/>
          <w:bCs/>
          <w:w w:val="95"/>
          <w:sz w:val="20"/>
          <w:szCs w:val="20"/>
        </w:rPr>
        <w:t>、</w:t>
        <w:tab/>
      </w:r>
      <w:r>
        <w:rPr>
          <w:rFonts w:ascii="黑体" w:hAnsi="黑体" w:cs="黑体" w:eastAsia="黑体" w:hint="default"/>
          <w:b/>
          <w:bCs/>
          <w:sz w:val="20"/>
          <w:szCs w:val="20"/>
        </w:rPr>
        <w:t>非经常性损益明细表</w:t>
      </w:r>
      <w:r>
        <w:rPr>
          <w:rFonts w:ascii="黑体" w:hAnsi="黑体" w:cs="黑体" w:eastAsia="黑体" w:hint="default"/>
          <w:sz w:val="20"/>
          <w:szCs w:val="20"/>
        </w:rPr>
      </w:r>
    </w:p>
    <w:p>
      <w:pPr>
        <w:spacing w:line="240" w:lineRule="auto" w:before="7"/>
        <w:rPr>
          <w:rFonts w:ascii="黑体" w:hAnsi="黑体" w:cs="黑体" w:eastAsia="黑体" w:hint="default"/>
          <w:b/>
          <w:bCs/>
          <w:sz w:val="13"/>
          <w:szCs w:val="13"/>
        </w:rPr>
      </w:pPr>
    </w:p>
    <w:p>
      <w:pPr>
        <w:pStyle w:val="BodyText"/>
        <w:tabs>
          <w:tab w:pos="7908" w:val="left" w:leader="none"/>
        </w:tabs>
        <w:spacing w:line="240" w:lineRule="auto" w:before="38"/>
        <w:ind w:left="6206" w:right="1058"/>
        <w:jc w:val="left"/>
      </w:pPr>
      <w:r>
        <w:rPr>
          <w:rFonts w:ascii="Arial" w:hAnsi="Arial" w:cs="Arial" w:eastAsia="Arial" w:hint="default"/>
        </w:rPr>
        <w:t>2009</w:t>
      </w:r>
      <w:r>
        <w:rPr>
          <w:rFonts w:ascii="Arial" w:hAnsi="Arial" w:cs="Arial" w:eastAsia="Arial" w:hint="default"/>
          <w:spacing w:val="-6"/>
        </w:rPr>
        <w:t> </w:t>
      </w:r>
      <w:r>
        <w:rPr/>
        <w:t>年</w:t>
        <w:tab/>
      </w:r>
      <w:r>
        <w:rPr>
          <w:rFonts w:ascii="Arial" w:hAnsi="Arial" w:cs="Arial" w:eastAsia="Arial" w:hint="default"/>
        </w:rPr>
        <w:t>2008</w:t>
      </w:r>
      <w:r>
        <w:rPr>
          <w:rFonts w:ascii="Arial" w:hAnsi="Arial" w:cs="Arial" w:eastAsia="Arial" w:hint="default"/>
          <w:spacing w:val="-6"/>
        </w:rPr>
        <w:t> </w:t>
      </w:r>
      <w:r>
        <w:rPr/>
        <w:t>年</w:t>
      </w:r>
    </w:p>
    <w:p>
      <w:pPr>
        <w:spacing w:line="240" w:lineRule="auto" w:before="11"/>
        <w:rPr>
          <w:rFonts w:ascii="黑体" w:hAnsi="黑体" w:cs="黑体" w:eastAsia="黑体" w:hint="default"/>
          <w:sz w:val="16"/>
          <w:szCs w:val="16"/>
        </w:rPr>
      </w:pPr>
    </w:p>
    <w:p>
      <w:pPr>
        <w:pStyle w:val="BodyText"/>
        <w:spacing w:line="260" w:lineRule="exact"/>
        <w:ind w:left="850" w:right="1058"/>
        <w:jc w:val="left"/>
      </w:pPr>
      <w:r>
        <w:rPr/>
        <w:t>交易性金融资产、交易性金融负债产生的公允价值</w:t>
      </w:r>
    </w:p>
    <w:p>
      <w:pPr>
        <w:pStyle w:val="BodyText"/>
        <w:tabs>
          <w:tab w:pos="5917" w:val="left" w:leader="none"/>
          <w:tab w:pos="7452" w:val="left" w:leader="none"/>
        </w:tabs>
        <w:spacing w:line="266" w:lineRule="exact"/>
        <w:ind w:left="1062" w:right="1058"/>
        <w:jc w:val="left"/>
        <w:rPr>
          <w:rFonts w:ascii="Arial" w:hAnsi="Arial" w:cs="Arial" w:eastAsia="Arial" w:hint="default"/>
        </w:rPr>
      </w:pPr>
      <w:r>
        <w:rPr>
          <w:spacing w:val="-1"/>
        </w:rPr>
        <w:t>变动收益</w:t>
      </w:r>
      <w:r>
        <w:rPr>
          <w:rFonts w:ascii="Arial" w:hAnsi="Arial" w:cs="Arial" w:eastAsia="Arial" w:hint="default"/>
          <w:spacing w:val="-1"/>
        </w:rPr>
        <w:t>/(</w:t>
      </w:r>
      <w:r>
        <w:rPr>
          <w:spacing w:val="-1"/>
        </w:rPr>
        <w:t>损失</w:t>
      </w:r>
      <w:r>
        <w:rPr>
          <w:rFonts w:ascii="Arial" w:hAnsi="Arial" w:cs="Arial" w:eastAsia="Arial" w:hint="default"/>
          <w:spacing w:val="-1"/>
        </w:rPr>
        <w:t>)(</w:t>
      </w:r>
      <w:r>
        <w:rPr>
          <w:spacing w:val="-1"/>
        </w:rPr>
        <w:t>注</w:t>
      </w:r>
      <w:r>
        <w:rPr>
          <w:rFonts w:ascii="Arial" w:hAnsi="Arial" w:cs="Arial" w:eastAsia="Arial" w:hint="default"/>
          <w:spacing w:val="-1"/>
        </w:rPr>
        <w:t>1)</w:t>
        <w:tab/>
        <w:t>49,129,953</w:t>
        <w:tab/>
      </w:r>
      <w:r>
        <w:rPr>
          <w:rFonts w:ascii="Arial" w:hAnsi="Arial" w:cs="Arial" w:eastAsia="Arial" w:hint="default"/>
        </w:rPr>
        <w:t>(</w:t>
      </w:r>
      <w:r>
        <w:rPr>
          <w:rFonts w:ascii="Arial" w:hAnsi="Arial" w:cs="Arial" w:eastAsia="Arial" w:hint="default"/>
          <w:spacing w:val="51"/>
        </w:rPr>
        <w:t> </w:t>
      </w:r>
      <w:r>
        <w:rPr>
          <w:rFonts w:ascii="Arial" w:hAnsi="Arial" w:cs="Arial" w:eastAsia="Arial" w:hint="default"/>
        </w:rPr>
        <w:t>76,497,547)</w:t>
      </w:r>
    </w:p>
    <w:p>
      <w:pPr>
        <w:pStyle w:val="BodyText"/>
        <w:spacing w:line="253" w:lineRule="exact"/>
        <w:ind w:left="850" w:right="1058"/>
        <w:jc w:val="left"/>
      </w:pPr>
      <w:r>
        <w:rPr/>
        <w:t>处置交易性金融资产、交易性金融负债和可供出售</w:t>
      </w:r>
    </w:p>
    <w:p>
      <w:pPr>
        <w:spacing w:line="240" w:lineRule="auto" w:before="1"/>
        <w:rPr>
          <w:rFonts w:ascii="黑体" w:hAnsi="黑体" w:cs="黑体" w:eastAsia="黑体" w:hint="default"/>
          <w:sz w:val="3"/>
          <w:szCs w:val="3"/>
        </w:rPr>
      </w:pPr>
    </w:p>
    <w:tbl>
      <w:tblPr>
        <w:tblW w:w="0" w:type="auto"/>
        <w:jc w:val="left"/>
        <w:tblInd w:w="815" w:type="dxa"/>
        <w:tblLayout w:type="fixed"/>
        <w:tblCellMar>
          <w:top w:w="0" w:type="dxa"/>
          <w:left w:w="0" w:type="dxa"/>
          <w:bottom w:w="0" w:type="dxa"/>
          <w:right w:w="0" w:type="dxa"/>
        </w:tblCellMar>
        <w:tblLook w:val="01E0"/>
      </w:tblPr>
      <w:tblGrid>
        <w:gridCol w:w="4308"/>
        <w:gridCol w:w="2105"/>
        <w:gridCol w:w="1510"/>
      </w:tblGrid>
      <w:tr>
        <w:trPr>
          <w:trHeight w:val="253"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33" w:lineRule="exact"/>
              <w:ind w:left="246" w:right="0"/>
              <w:jc w:val="left"/>
              <w:rPr>
                <w:rFonts w:ascii="Arial" w:hAnsi="Arial" w:cs="Arial" w:eastAsia="Arial" w:hint="default"/>
                <w:sz w:val="20"/>
                <w:szCs w:val="20"/>
              </w:rPr>
            </w:pPr>
            <w:r>
              <w:rPr>
                <w:rFonts w:ascii="黑体" w:hAnsi="黑体" w:cs="黑体" w:eastAsia="黑体" w:hint="default"/>
                <w:sz w:val="20"/>
                <w:szCs w:val="20"/>
              </w:rPr>
              <w:t>金融资产取得的投资收益</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2)</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07"/>
              <w:jc w:val="right"/>
              <w:rPr>
                <w:rFonts w:ascii="Arial" w:hAnsi="Arial" w:cs="Arial" w:eastAsia="Arial" w:hint="default"/>
                <w:sz w:val="20"/>
                <w:szCs w:val="20"/>
              </w:rPr>
            </w:pPr>
            <w:r>
              <w:rPr>
                <w:rFonts w:ascii="Arial"/>
                <w:spacing w:val="-1"/>
                <w:sz w:val="20"/>
              </w:rPr>
              <w:t>230,593,283</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
              <w:ind w:left="278" w:right="0"/>
              <w:jc w:val="left"/>
              <w:rPr>
                <w:rFonts w:ascii="Arial" w:hAnsi="Arial" w:cs="Arial" w:eastAsia="Arial" w:hint="default"/>
                <w:sz w:val="20"/>
                <w:szCs w:val="20"/>
              </w:rPr>
            </w:pPr>
            <w:r>
              <w:rPr>
                <w:rFonts w:ascii="Arial"/>
                <w:sz w:val="20"/>
              </w:rPr>
              <w:t>193,173,851</w:t>
            </w:r>
          </w:p>
        </w:tc>
      </w:tr>
      <w:tr>
        <w:trPr>
          <w:trHeight w:val="259"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exact"/>
              <w:ind w:left="35" w:right="0"/>
              <w:jc w:val="left"/>
              <w:rPr>
                <w:rFonts w:ascii="Arial" w:hAnsi="Arial" w:cs="Arial" w:eastAsia="Arial" w:hint="default"/>
                <w:sz w:val="20"/>
                <w:szCs w:val="20"/>
              </w:rPr>
            </w:pPr>
            <w:r>
              <w:rPr>
                <w:rFonts w:ascii="黑体" w:hAnsi="黑体" w:cs="黑体" w:eastAsia="黑体" w:hint="default"/>
                <w:sz w:val="20"/>
                <w:szCs w:val="20"/>
              </w:rPr>
              <w:t>处置固定资产、无形资产</w:t>
            </w:r>
            <w:r>
              <w:rPr>
                <w:rFonts w:ascii="Arial" w:hAnsi="Arial" w:cs="Arial" w:eastAsia="Arial" w:hint="default"/>
                <w:sz w:val="20"/>
                <w:szCs w:val="20"/>
              </w:rPr>
              <w:t>(</w:t>
            </w:r>
            <w:r>
              <w:rPr>
                <w:rFonts w:ascii="黑体" w:hAnsi="黑体" w:cs="黑体" w:eastAsia="黑体" w:hint="default"/>
                <w:sz w:val="20"/>
                <w:szCs w:val="20"/>
              </w:rPr>
              <w:t>损失</w:t>
            </w:r>
            <w:r>
              <w:rPr>
                <w:rFonts w:ascii="Arial" w:hAnsi="Arial" w:cs="Arial" w:eastAsia="Arial" w:hint="default"/>
                <w:sz w:val="20"/>
                <w:szCs w:val="20"/>
              </w:rPr>
              <w:t>)/</w:t>
            </w:r>
            <w:r>
              <w:rPr>
                <w:rFonts w:ascii="黑体" w:hAnsi="黑体" w:cs="黑体" w:eastAsia="黑体" w:hint="default"/>
                <w:sz w:val="20"/>
                <w:szCs w:val="20"/>
              </w:rPr>
              <w:t>收益</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3)</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22"/>
              <w:jc w:val="right"/>
              <w:rPr>
                <w:rFonts w:ascii="Arial" w:hAnsi="Arial" w:cs="Arial" w:eastAsia="Arial" w:hint="default"/>
                <w:sz w:val="20"/>
                <w:szCs w:val="20"/>
              </w:rPr>
            </w:pPr>
            <w:r>
              <w:rPr>
                <w:rFonts w:ascii="Arial"/>
                <w:sz w:val="20"/>
              </w:rPr>
              <w:t>(  </w:t>
            </w:r>
            <w:r>
              <w:rPr>
                <w:rFonts w:ascii="Arial"/>
                <w:spacing w:val="51"/>
                <w:sz w:val="20"/>
              </w:rPr>
              <w:t> </w:t>
            </w:r>
            <w:r>
              <w:rPr>
                <w:rFonts w:ascii="Arial"/>
                <w:sz w:val="20"/>
              </w:rPr>
              <w:t>1,021,204)</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7"/>
              <w:ind w:left="390" w:right="0"/>
              <w:jc w:val="left"/>
              <w:rPr>
                <w:rFonts w:ascii="Arial" w:hAnsi="Arial" w:cs="Arial" w:eastAsia="Arial" w:hint="default"/>
                <w:sz w:val="20"/>
                <w:szCs w:val="20"/>
              </w:rPr>
            </w:pPr>
            <w:r>
              <w:rPr>
                <w:rFonts w:ascii="Arial"/>
                <w:sz w:val="20"/>
              </w:rPr>
              <w:t>53,567,510</w:t>
            </w:r>
          </w:p>
        </w:tc>
      </w:tr>
      <w:tr>
        <w:trPr>
          <w:trHeight w:val="260"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exact"/>
              <w:ind w:left="35" w:right="0"/>
              <w:jc w:val="left"/>
              <w:rPr>
                <w:rFonts w:ascii="Arial" w:hAnsi="Arial" w:cs="Arial" w:eastAsia="Arial" w:hint="default"/>
                <w:sz w:val="20"/>
                <w:szCs w:val="20"/>
              </w:rPr>
            </w:pPr>
            <w:r>
              <w:rPr>
                <w:rFonts w:ascii="黑体" w:hAnsi="黑体" w:cs="黑体" w:eastAsia="黑体" w:hint="default"/>
                <w:sz w:val="20"/>
                <w:szCs w:val="20"/>
              </w:rPr>
              <w:t>处置长期股权投资收益</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2)</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06"/>
              <w:jc w:val="right"/>
              <w:rPr>
                <w:rFonts w:ascii="Arial" w:hAnsi="Arial" w:cs="Arial" w:eastAsia="Arial" w:hint="default"/>
                <w:sz w:val="20"/>
                <w:szCs w:val="20"/>
              </w:rPr>
            </w:pPr>
            <w:r>
              <w:rPr>
                <w:rFonts w:ascii="Arial"/>
                <w:sz w:val="20"/>
              </w:rPr>
              <w:t>6,234,809</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15"/>
              <w:jc w:val="right"/>
              <w:rPr>
                <w:rFonts w:ascii="Arial" w:hAnsi="Arial" w:cs="Arial" w:eastAsia="Arial" w:hint="default"/>
                <w:sz w:val="20"/>
                <w:szCs w:val="20"/>
              </w:rPr>
            </w:pPr>
            <w:r>
              <w:rPr>
                <w:rFonts w:ascii="Arial"/>
                <w:sz w:val="20"/>
              </w:rPr>
              <w:t>3,371,319</w:t>
            </w:r>
          </w:p>
        </w:tc>
      </w:tr>
      <w:tr>
        <w:trPr>
          <w:trHeight w:val="260"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exact"/>
              <w:ind w:left="35" w:right="0"/>
              <w:jc w:val="left"/>
              <w:rPr>
                <w:rFonts w:ascii="Arial" w:hAnsi="Arial" w:cs="Arial" w:eastAsia="Arial" w:hint="default"/>
                <w:sz w:val="20"/>
                <w:szCs w:val="20"/>
              </w:rPr>
            </w:pPr>
            <w:r>
              <w:rPr>
                <w:rFonts w:ascii="黑体" w:hAnsi="黑体" w:cs="黑体" w:eastAsia="黑体" w:hint="default"/>
                <w:sz w:val="20"/>
                <w:szCs w:val="20"/>
              </w:rPr>
              <w:t>计入当期损益的政府补助</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4)</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08"/>
              <w:jc w:val="right"/>
              <w:rPr>
                <w:rFonts w:ascii="Arial" w:hAnsi="Arial" w:cs="Arial" w:eastAsia="Arial" w:hint="default"/>
                <w:sz w:val="20"/>
                <w:szCs w:val="20"/>
              </w:rPr>
            </w:pPr>
            <w:r>
              <w:rPr>
                <w:rFonts w:ascii="Arial"/>
                <w:spacing w:val="-1"/>
                <w:sz w:val="20"/>
              </w:rPr>
              <w:t>50,075,797</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90" w:right="0"/>
              <w:jc w:val="left"/>
              <w:rPr>
                <w:rFonts w:ascii="Arial" w:hAnsi="Arial" w:cs="Arial" w:eastAsia="Arial" w:hint="default"/>
                <w:sz w:val="20"/>
                <w:szCs w:val="20"/>
              </w:rPr>
            </w:pPr>
            <w:r>
              <w:rPr>
                <w:rFonts w:ascii="Arial"/>
                <w:sz w:val="20"/>
              </w:rPr>
              <w:t>35,152,380</w:t>
            </w:r>
          </w:p>
        </w:tc>
      </w:tr>
      <w:tr>
        <w:trPr>
          <w:trHeight w:val="259"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exact"/>
              <w:ind w:left="35" w:right="0"/>
              <w:jc w:val="left"/>
              <w:rPr>
                <w:rFonts w:ascii="Arial" w:hAnsi="Arial" w:cs="Arial" w:eastAsia="Arial" w:hint="default"/>
                <w:sz w:val="20"/>
                <w:szCs w:val="20"/>
              </w:rPr>
            </w:pPr>
            <w:r>
              <w:rPr>
                <w:rFonts w:ascii="黑体" w:hAnsi="黑体" w:cs="黑体" w:eastAsia="黑体" w:hint="default"/>
                <w:sz w:val="20"/>
                <w:szCs w:val="20"/>
              </w:rPr>
              <w:t>注销分公司的净损失</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5)</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22"/>
              <w:jc w:val="right"/>
              <w:rPr>
                <w:rFonts w:ascii="Arial" w:hAnsi="Arial" w:cs="Arial" w:eastAsia="Arial" w:hint="default"/>
                <w:sz w:val="20"/>
                <w:szCs w:val="20"/>
              </w:rPr>
            </w:pPr>
            <w:r>
              <w:rPr>
                <w:rFonts w:ascii="Arial"/>
                <w:sz w:val="20"/>
              </w:rPr>
              <w:t>(  </w:t>
            </w:r>
            <w:r>
              <w:rPr>
                <w:rFonts w:ascii="Arial"/>
                <w:spacing w:val="51"/>
                <w:sz w:val="20"/>
              </w:rPr>
              <w:t> </w:t>
            </w:r>
            <w:r>
              <w:rPr>
                <w:rFonts w:ascii="Arial"/>
                <w:sz w:val="20"/>
              </w:rPr>
              <w:t>3,321,974)</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16"/>
              <w:jc w:val="right"/>
              <w:rPr>
                <w:rFonts w:ascii="Arial" w:hAnsi="Arial" w:cs="Arial" w:eastAsia="Arial" w:hint="default"/>
                <w:sz w:val="20"/>
                <w:szCs w:val="20"/>
              </w:rPr>
            </w:pPr>
            <w:r>
              <w:rPr>
                <w:rFonts w:ascii="Arial"/>
                <w:w w:val="100"/>
                <w:sz w:val="20"/>
              </w:rPr>
              <w:t>-</w:t>
            </w:r>
          </w:p>
        </w:tc>
      </w:tr>
      <w:tr>
        <w:trPr>
          <w:trHeight w:val="391"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25" w:lineRule="exact"/>
              <w:ind w:left="35" w:right="0"/>
              <w:jc w:val="left"/>
              <w:rPr>
                <w:rFonts w:ascii="黑体" w:hAnsi="黑体" w:cs="黑体" w:eastAsia="黑体" w:hint="default"/>
                <w:sz w:val="20"/>
                <w:szCs w:val="20"/>
              </w:rPr>
            </w:pPr>
            <w:r>
              <w:rPr>
                <w:rFonts w:ascii="黑体" w:hAnsi="黑体" w:cs="黑体" w:eastAsia="黑体" w:hint="default"/>
                <w:sz w:val="20"/>
                <w:szCs w:val="20"/>
              </w:rPr>
              <w:t>除上述各项之外的其他营业外收支净额</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0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4"/>
                <w:sz w:val="20"/>
                <w:u w:val="single" w:color="000000"/>
              </w:rPr>
              <w:t> </w:t>
            </w:r>
            <w:r>
              <w:rPr>
                <w:rFonts w:ascii="Arial"/>
                <w:sz w:val="20"/>
                <w:u w:val="single" w:color="000000"/>
              </w:rPr>
              <w:t>2,131,783</w:t>
            </w:r>
            <w:r>
              <w:rPr>
                <w:rFonts w:ascii="Arial"/>
                <w:sz w:val="20"/>
              </w:rPr>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Arial" w:hAnsi="Arial" w:cs="Arial" w:eastAsia="Arial" w:hint="default"/>
                <w:sz w:val="20"/>
                <w:szCs w:val="20"/>
              </w:rPr>
            </w:pPr>
            <w:r>
              <w:rPr>
                <w:rFonts w:ascii="Arial"/>
                <w:sz w:val="20"/>
              </w:rPr>
              <w:t>(  </w:t>
            </w:r>
            <w:r>
              <w:rPr>
                <w:rFonts w:ascii="Arial"/>
                <w:spacing w:val="48"/>
                <w:sz w:val="20"/>
              </w:rPr>
              <w:t> </w:t>
            </w:r>
            <w:r>
              <w:rPr>
                <w:rFonts w:ascii="Arial"/>
                <w:spacing w:val="48"/>
                <w:sz w:val="20"/>
                <w:u w:val="single" w:color="000000"/>
              </w:rPr>
              <w:t> </w:t>
            </w:r>
            <w:r>
              <w:rPr>
                <w:rFonts w:ascii="Arial"/>
                <w:sz w:val="20"/>
                <w:u w:val="single" w:color="000000"/>
              </w:rPr>
              <w:t>3,596,245</w:t>
            </w:r>
            <w:r>
              <w:rPr>
                <w:rFonts w:ascii="Arial"/>
                <w:sz w:val="20"/>
              </w:rPr>
              <w:t>)</w:t>
            </w:r>
          </w:p>
        </w:tc>
      </w:tr>
      <w:tr>
        <w:trPr>
          <w:trHeight w:val="552"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auto" w:before="97"/>
              <w:ind w:left="35" w:right="0"/>
              <w:jc w:val="left"/>
              <w:rPr>
                <w:rFonts w:ascii="黑体" w:hAnsi="黑体" w:cs="黑体" w:eastAsia="黑体" w:hint="default"/>
                <w:sz w:val="20"/>
                <w:szCs w:val="20"/>
              </w:rPr>
            </w:pPr>
            <w:r>
              <w:rPr>
                <w:rFonts w:ascii="黑体" w:hAnsi="黑体" w:cs="黑体" w:eastAsia="黑体" w:hint="default"/>
                <w:sz w:val="20"/>
                <w:szCs w:val="20"/>
              </w:rPr>
              <w:t>所得税影响数</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23"/>
              <w:jc w:val="right"/>
              <w:rPr>
                <w:rFonts w:ascii="Arial" w:hAnsi="Arial" w:cs="Arial" w:eastAsia="Arial" w:hint="default"/>
                <w:sz w:val="20"/>
                <w:szCs w:val="20"/>
              </w:rPr>
            </w:pPr>
            <w:r>
              <w:rPr>
                <w:rFonts w:ascii="Arial"/>
                <w:sz w:val="20"/>
              </w:rPr>
              <w:t>(</w:t>
            </w:r>
            <w:r>
              <w:rPr>
                <w:rFonts w:ascii="Arial"/>
                <w:spacing w:val="21"/>
                <w:sz w:val="20"/>
              </w:rPr>
              <w:t> </w:t>
            </w:r>
            <w:r>
              <w:rPr>
                <w:rFonts w:ascii="Arial"/>
                <w:spacing w:val="21"/>
                <w:sz w:val="20"/>
                <w:u w:val="single" w:color="000000"/>
              </w:rPr>
              <w:t> </w:t>
            </w:r>
            <w:r>
              <w:rPr>
                <w:rFonts w:ascii="Arial"/>
                <w:sz w:val="20"/>
                <w:u w:val="single" w:color="000000"/>
              </w:rPr>
              <w:t>25,742,165</w:t>
            </w:r>
            <w:r>
              <w:rPr>
                <w:rFonts w:ascii="Arial"/>
                <w:sz w:val="20"/>
              </w:rPr>
              <w:t>)</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33"/>
              <w:jc w:val="right"/>
              <w:rPr>
                <w:rFonts w:ascii="Arial" w:hAnsi="Arial" w:cs="Arial" w:eastAsia="Arial" w:hint="default"/>
                <w:sz w:val="20"/>
                <w:szCs w:val="20"/>
              </w:rPr>
            </w:pPr>
            <w:r>
              <w:rPr>
                <w:rFonts w:ascii="Arial"/>
                <w:sz w:val="20"/>
              </w:rPr>
              <w:t>(</w:t>
            </w:r>
            <w:r>
              <w:rPr>
                <w:rFonts w:ascii="Arial"/>
                <w:spacing w:val="51"/>
                <w:sz w:val="20"/>
              </w:rPr>
              <w:t> </w:t>
            </w:r>
            <w:r>
              <w:rPr>
                <w:rFonts w:ascii="Arial"/>
                <w:spacing w:val="51"/>
                <w:sz w:val="20"/>
                <w:u w:val="single" w:color="000000"/>
              </w:rPr>
              <w:t> </w:t>
            </w:r>
            <w:r>
              <w:rPr>
                <w:rFonts w:ascii="Arial"/>
                <w:sz w:val="20"/>
                <w:u w:val="single" w:color="000000"/>
              </w:rPr>
              <w:t>36,600,737</w:t>
            </w:r>
            <w:r>
              <w:rPr>
                <w:rFonts w:ascii="Arial"/>
                <w:sz w:val="20"/>
              </w:rPr>
              <w:t>)</w:t>
            </w:r>
          </w:p>
        </w:tc>
      </w:tr>
      <w:tr>
        <w:trPr>
          <w:trHeight w:val="485" w:hRule="exact"/>
        </w:trPr>
        <w:tc>
          <w:tcPr>
            <w:tcW w:w="4308" w:type="dxa"/>
            <w:tcBorders>
              <w:top w:val="nil" w:sz="6" w:space="0" w:color="auto"/>
              <w:left w:val="nil" w:sz="6" w:space="0" w:color="auto"/>
              <w:bottom w:val="nil" w:sz="6" w:space="0" w:color="auto"/>
              <w:right w:val="nil" w:sz="6" w:space="0" w:color="auto"/>
            </w:tcBorders>
          </w:tcPr>
          <w:p>
            <w:pP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306"/>
              <w:jc w:val="right"/>
              <w:rPr>
                <w:rFonts w:ascii="Arial" w:hAnsi="Arial" w:cs="Arial" w:eastAsia="Arial" w:hint="default"/>
                <w:sz w:val="20"/>
                <w:szCs w:val="20"/>
              </w:rPr>
            </w:pPr>
            <w:r>
              <w:rPr>
                <w:rFonts w:ascii="Arial"/>
                <w:w w:val="100"/>
                <w:sz w:val="20"/>
              </w:rPr>
            </w:r>
            <w:r>
              <w:rPr>
                <w:rFonts w:ascii="Arial"/>
                <w:spacing w:val="-1"/>
                <w:sz w:val="20"/>
                <w:u w:val="thick" w:color="000000"/>
              </w:rPr>
              <w:t>308,080,282</w:t>
            </w:r>
            <w:r>
              <w:rPr>
                <w:rFonts w:ascii="Arial"/>
                <w:spacing w:val="-1"/>
                <w:sz w:val="20"/>
              </w:rPr>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279" w:right="0"/>
              <w:jc w:val="left"/>
              <w:rPr>
                <w:rFonts w:ascii="Arial" w:hAnsi="Arial" w:cs="Arial" w:eastAsia="Arial" w:hint="default"/>
                <w:sz w:val="20"/>
                <w:szCs w:val="20"/>
              </w:rPr>
            </w:pPr>
            <w:r>
              <w:rPr>
                <w:rFonts w:ascii="Arial"/>
                <w:w w:val="100"/>
                <w:sz w:val="20"/>
              </w:rPr>
            </w:r>
            <w:r>
              <w:rPr>
                <w:rFonts w:ascii="Arial"/>
                <w:sz w:val="20"/>
                <w:u w:val="thick" w:color="000000"/>
              </w:rPr>
              <w:t>168,570,531</w:t>
            </w:r>
            <w:r>
              <w:rPr>
                <w:rFonts w:ascii="Arial"/>
                <w:sz w:val="20"/>
              </w:rPr>
            </w:r>
          </w:p>
        </w:tc>
      </w:tr>
    </w:tbl>
    <w:p>
      <w:pPr>
        <w:spacing w:line="240" w:lineRule="auto" w:before="2"/>
        <w:rPr>
          <w:rFonts w:ascii="黑体" w:hAnsi="黑体" w:cs="黑体" w:eastAsia="黑体" w:hint="default"/>
          <w:sz w:val="6"/>
          <w:szCs w:val="6"/>
        </w:rPr>
      </w:pPr>
    </w:p>
    <w:p>
      <w:pPr>
        <w:pStyle w:val="BodyText"/>
        <w:spacing w:line="268" w:lineRule="exact" w:before="38"/>
        <w:ind w:left="855" w:right="1058"/>
        <w:jc w:val="left"/>
      </w:pPr>
      <w:r>
        <w:rPr/>
        <w:t>本集团对非经常性损益项目的确认依照《公开发行证券的公司信息披露解释性公告第</w:t>
      </w:r>
      <w:r>
        <w:rPr>
          <w:rFonts w:ascii="Arial" w:hAnsi="Arial" w:cs="Arial" w:eastAsia="Arial" w:hint="default"/>
        </w:rPr>
        <w:t>1</w:t>
      </w:r>
      <w:r>
        <w:rPr/>
        <w:t>号</w:t>
      </w:r>
    </w:p>
    <w:p>
      <w:pPr>
        <w:pStyle w:val="BodyText"/>
        <w:spacing w:line="424" w:lineRule="auto"/>
        <w:ind w:left="855" w:right="2842"/>
        <w:jc w:val="left"/>
      </w:pPr>
      <w:r>
        <w:rPr>
          <w:rFonts w:ascii="Arial" w:hAnsi="Arial" w:cs="Arial" w:eastAsia="Arial" w:hint="default"/>
          <w:spacing w:val="-1"/>
        </w:rPr>
        <w:t>——</w:t>
      </w:r>
      <w:r>
        <w:rPr>
          <w:spacing w:val="-1"/>
        </w:rPr>
        <w:t>非经常性损益》</w:t>
      </w:r>
      <w:r>
        <w:rPr>
          <w:rFonts w:ascii="Arial" w:hAnsi="Arial" w:cs="Arial" w:eastAsia="Arial" w:hint="default"/>
          <w:spacing w:val="-1"/>
        </w:rPr>
        <w:t>(</w:t>
      </w:r>
      <w:r>
        <w:rPr>
          <w:spacing w:val="-1"/>
        </w:rPr>
        <w:t>证监会公告</w:t>
      </w:r>
      <w:r>
        <w:rPr>
          <w:rFonts w:ascii="Arial" w:hAnsi="Arial" w:cs="Arial" w:eastAsia="Arial" w:hint="default"/>
          <w:spacing w:val="-1"/>
        </w:rPr>
        <w:t>[2008]43</w:t>
      </w:r>
      <w:r>
        <w:rPr>
          <w:spacing w:val="-1"/>
        </w:rPr>
        <w:t>号</w:t>
      </w:r>
      <w:r>
        <w:rPr>
          <w:rFonts w:ascii="Arial" w:hAnsi="Arial" w:cs="Arial" w:eastAsia="Arial" w:hint="default"/>
          <w:spacing w:val="-1"/>
        </w:rPr>
        <w:t>)</w:t>
      </w:r>
      <w:r>
        <w:rPr>
          <w:spacing w:val="-1"/>
        </w:rPr>
        <w:t>的规定执行。</w:t>
      </w:r>
      <w:r>
        <w:rPr>
          <w:spacing w:val="-74"/>
        </w:rPr>
        <w:t> </w:t>
      </w:r>
      <w:r>
        <w:rPr>
          <w:spacing w:val="-74"/>
        </w:rPr>
      </w:r>
      <w:r>
        <w:rPr/>
        <w:t>重大非经常性损益项目注释：</w:t>
      </w:r>
    </w:p>
    <w:p>
      <w:pPr>
        <w:pStyle w:val="BodyText"/>
        <w:spacing w:line="225" w:lineRule="auto" w:before="88"/>
        <w:ind w:left="855" w:right="2842"/>
        <w:jc w:val="left"/>
      </w:pPr>
      <w:r>
        <w:rPr/>
        <w:t>注</w:t>
      </w:r>
      <w:r>
        <w:rPr>
          <w:rFonts w:ascii="Arial" w:hAnsi="Arial" w:cs="Arial" w:eastAsia="Arial" w:hint="default"/>
        </w:rPr>
        <w:t>1</w:t>
      </w:r>
      <w:r>
        <w:rPr/>
        <w:t>、参见已审财务报表附注五、</w:t>
      </w:r>
      <w:r>
        <w:rPr>
          <w:rFonts w:ascii="Arial" w:hAnsi="Arial" w:cs="Arial" w:eastAsia="Arial" w:hint="default"/>
        </w:rPr>
        <w:t>37</w:t>
      </w:r>
      <w:r>
        <w:rPr/>
        <w:t>。</w:t>
      </w:r>
      <w:r>
        <w:rPr>
          <w:w w:val="100"/>
        </w:rPr>
        <w:t> </w:t>
      </w:r>
      <w:r>
        <w:rPr/>
        <w:t>注</w:t>
      </w:r>
      <w:r>
        <w:rPr>
          <w:rFonts w:ascii="Arial" w:hAnsi="Arial" w:cs="Arial" w:eastAsia="Arial" w:hint="default"/>
        </w:rPr>
        <w:t>2</w:t>
      </w:r>
      <w:r>
        <w:rPr/>
        <w:t>、参见已审财务报表附注五、</w:t>
      </w:r>
      <w:r>
        <w:rPr>
          <w:rFonts w:ascii="Arial" w:hAnsi="Arial" w:cs="Arial" w:eastAsia="Arial" w:hint="default"/>
        </w:rPr>
        <w:t>38</w:t>
      </w:r>
      <w:r>
        <w:rPr/>
        <w:t>。</w:t>
      </w:r>
      <w:r>
        <w:rPr>
          <w:w w:val="100"/>
        </w:rPr>
        <w:t> </w:t>
      </w:r>
      <w:r>
        <w:rPr>
          <w:spacing w:val="-1"/>
        </w:rPr>
        <w:t>注</w:t>
      </w:r>
      <w:r>
        <w:rPr>
          <w:rFonts w:ascii="Arial" w:hAnsi="Arial" w:cs="Arial" w:eastAsia="Arial" w:hint="default"/>
          <w:spacing w:val="-1"/>
        </w:rPr>
        <w:t>3</w:t>
      </w:r>
      <w:r>
        <w:rPr>
          <w:spacing w:val="-1"/>
        </w:rPr>
        <w:t>、参见已审财务报表附注五、</w:t>
      </w:r>
      <w:r>
        <w:rPr>
          <w:rFonts w:ascii="Arial" w:hAnsi="Arial" w:cs="Arial" w:eastAsia="Arial" w:hint="default"/>
          <w:spacing w:val="-1"/>
        </w:rPr>
        <w:t>39</w:t>
      </w:r>
      <w:r>
        <w:rPr>
          <w:spacing w:val="-1"/>
        </w:rPr>
        <w:t>及</w:t>
      </w:r>
      <w:r>
        <w:rPr>
          <w:rFonts w:ascii="Arial" w:hAnsi="Arial" w:cs="Arial" w:eastAsia="Arial" w:hint="default"/>
          <w:spacing w:val="-1"/>
        </w:rPr>
        <w:t>40</w:t>
      </w:r>
      <w:r>
        <w:rPr>
          <w:spacing w:val="-1"/>
        </w:rPr>
        <w:t>。</w:t>
      </w:r>
      <w:r>
        <w:rPr>
          <w:spacing w:val="-84"/>
        </w:rPr>
        <w:t> </w:t>
      </w:r>
      <w:r>
        <w:rPr/>
        <w:t>注</w:t>
      </w:r>
      <w:r>
        <w:rPr>
          <w:rFonts w:ascii="Arial" w:hAnsi="Arial" w:cs="Arial" w:eastAsia="Arial" w:hint="default"/>
        </w:rPr>
        <w:t>4</w:t>
      </w:r>
      <w:r>
        <w:rPr/>
        <w:t>、参见已审财务报表附注五、</w:t>
      </w:r>
      <w:r>
        <w:rPr>
          <w:rFonts w:ascii="Arial" w:hAnsi="Arial" w:cs="Arial" w:eastAsia="Arial" w:hint="default"/>
        </w:rPr>
        <w:t>39</w:t>
      </w:r>
      <w:r>
        <w:rPr/>
        <w:t>。</w:t>
      </w:r>
      <w:r>
        <w:rPr>
          <w:w w:val="100"/>
        </w:rPr>
        <w:t> </w:t>
      </w:r>
      <w:r>
        <w:rPr/>
        <w:t>注</w:t>
      </w:r>
      <w:r>
        <w:rPr>
          <w:rFonts w:ascii="Arial" w:hAnsi="Arial" w:cs="Arial" w:eastAsia="Arial" w:hint="default"/>
        </w:rPr>
        <w:t>5</w:t>
      </w:r>
      <w:r>
        <w:rPr/>
        <w:t>、参见已审财务报表附注五、</w:t>
      </w:r>
      <w:r>
        <w:rPr>
          <w:rFonts w:ascii="Arial" w:hAnsi="Arial" w:cs="Arial" w:eastAsia="Arial" w:hint="default"/>
        </w:rPr>
        <w:t>40</w:t>
      </w:r>
      <w:r>
        <w:rPr/>
        <w:t>。</w:t>
      </w:r>
    </w:p>
    <w:p>
      <w:pPr>
        <w:spacing w:line="240" w:lineRule="auto" w:before="6"/>
        <w:rPr>
          <w:rFonts w:ascii="黑体" w:hAnsi="黑体" w:cs="黑体" w:eastAsia="黑体" w:hint="default"/>
          <w:sz w:val="16"/>
          <w:szCs w:val="16"/>
        </w:rPr>
      </w:pPr>
    </w:p>
    <w:p>
      <w:pPr>
        <w:tabs>
          <w:tab w:pos="861" w:val="left" w:leader="none"/>
        </w:tabs>
        <w:spacing w:before="0"/>
        <w:ind w:left="141" w:right="1058" w:firstLine="0"/>
        <w:jc w:val="left"/>
        <w:rPr>
          <w:rFonts w:ascii="黑体" w:hAnsi="黑体" w:cs="黑体" w:eastAsia="黑体" w:hint="default"/>
          <w:sz w:val="20"/>
          <w:szCs w:val="20"/>
        </w:rPr>
      </w:pPr>
      <w:r>
        <w:rPr>
          <w:rFonts w:ascii="Arial" w:hAnsi="Arial" w:cs="Arial" w:eastAsia="Arial" w:hint="default"/>
          <w:b/>
          <w:bCs/>
          <w:w w:val="95"/>
          <w:sz w:val="20"/>
          <w:szCs w:val="20"/>
        </w:rPr>
        <w:t>2</w:t>
      </w:r>
      <w:r>
        <w:rPr>
          <w:rFonts w:ascii="黑体" w:hAnsi="黑体" w:cs="黑体" w:eastAsia="黑体" w:hint="default"/>
          <w:b/>
          <w:bCs/>
          <w:w w:val="95"/>
          <w:sz w:val="20"/>
          <w:szCs w:val="20"/>
        </w:rPr>
        <w:t>、</w:t>
        <w:tab/>
      </w:r>
      <w:r>
        <w:rPr>
          <w:rFonts w:ascii="黑体" w:hAnsi="黑体" w:cs="黑体" w:eastAsia="黑体" w:hint="default"/>
          <w:b/>
          <w:bCs/>
          <w:sz w:val="20"/>
          <w:szCs w:val="20"/>
        </w:rPr>
        <w:t>净资产收益率和每股收益</w:t>
      </w:r>
      <w:r>
        <w:rPr>
          <w:rFonts w:ascii="黑体" w:hAnsi="黑体" w:cs="黑体" w:eastAsia="黑体" w:hint="default"/>
          <w:sz w:val="20"/>
          <w:szCs w:val="20"/>
        </w:rPr>
      </w:r>
    </w:p>
    <w:p>
      <w:pPr>
        <w:spacing w:line="240" w:lineRule="auto" w:before="4"/>
        <w:rPr>
          <w:rFonts w:ascii="黑体" w:hAnsi="黑体" w:cs="黑体" w:eastAsia="黑体" w:hint="default"/>
          <w:b/>
          <w:bCs/>
          <w:sz w:val="16"/>
          <w:szCs w:val="16"/>
        </w:rPr>
      </w:pPr>
    </w:p>
    <w:p>
      <w:pPr>
        <w:pStyle w:val="BodyText"/>
        <w:spacing w:line="240" w:lineRule="auto"/>
        <w:ind w:left="855" w:right="1058"/>
        <w:jc w:val="left"/>
      </w:pPr>
      <w:r>
        <w:rPr>
          <w:rFonts w:ascii="Arial" w:hAnsi="Arial" w:cs="Arial" w:eastAsia="Arial" w:hint="default"/>
        </w:rPr>
        <w:t>2009</w:t>
      </w:r>
      <w:r>
        <w:rPr/>
        <w:t>年</w:t>
      </w:r>
    </w:p>
    <w:p>
      <w:pPr>
        <w:spacing w:line="240" w:lineRule="auto" w:before="4"/>
        <w:rPr>
          <w:rFonts w:ascii="黑体" w:hAnsi="黑体" w:cs="黑体" w:eastAsia="黑体" w:hint="default"/>
          <w:sz w:val="16"/>
          <w:szCs w:val="16"/>
        </w:rPr>
      </w:pPr>
    </w:p>
    <w:p>
      <w:pPr>
        <w:pStyle w:val="BodyText"/>
        <w:tabs>
          <w:tab w:pos="7276" w:val="left" w:leader="none"/>
        </w:tabs>
        <w:spacing w:line="272" w:lineRule="exact"/>
        <w:ind w:left="4068" w:right="1058"/>
        <w:jc w:val="left"/>
      </w:pPr>
      <w:r>
        <w:rPr>
          <w:spacing w:val="-1"/>
        </w:rPr>
        <w:t>加权平均净资产收益率</w:t>
      </w:r>
      <w:r>
        <w:rPr>
          <w:rFonts w:ascii="Arial" w:hAnsi="Arial" w:cs="Arial" w:eastAsia="Arial" w:hint="default"/>
          <w:spacing w:val="-1"/>
        </w:rPr>
        <w:t>(%)</w:t>
        <w:tab/>
      </w:r>
      <w:r>
        <w:rPr/>
        <w:t>每股收益</w:t>
      </w:r>
    </w:p>
    <w:p>
      <w:pPr>
        <w:pStyle w:val="BodyText"/>
        <w:tabs>
          <w:tab w:pos="928" w:val="left" w:leader="none"/>
        </w:tabs>
        <w:spacing w:line="258" w:lineRule="exact"/>
        <w:ind w:left="0" w:right="1759"/>
        <w:jc w:val="right"/>
      </w:pPr>
      <w:r>
        <w:rPr/>
        <w:pict>
          <v:group style="position:absolute;margin-left:269.040009pt;margin-top:1.329594pt;width:127.6pt;height:.1pt;mso-position-horizontal-relative:page;mso-position-vertical-relative:paragraph;z-index:2536" coordorigin="5381,27" coordsize="2552,2">
            <v:shape style="position:absolute;left:5381;top:27;width:2552;height:2" coordorigin="5381,27" coordsize="2552,0" path="m5381,27l7932,27e" filled="false" stroked="true" strokeweight=".48pt" strokecolor="#000000">
              <v:path arrowok="t"/>
            </v:shape>
            <w10:wrap type="none"/>
          </v:group>
        </w:pict>
      </w:r>
      <w:r>
        <w:rPr/>
        <w:pict>
          <v:group style="position:absolute;margin-left:411pt;margin-top:1.329594pt;width:95.8pt;height:.1pt;mso-position-horizontal-relative:page;mso-position-vertical-relative:paragraph;z-index:-1131496" coordorigin="8220,27" coordsize="1916,2">
            <v:shape style="position:absolute;left:8220;top:27;width:1916;height:2" coordorigin="8220,27" coordsize="1916,0" path="m8220,27l10135,27e" filled="false" stroked="true" strokeweight=".48pt" strokecolor="#000000">
              <v:path arrowok="t"/>
            </v:shape>
            <w10:wrap type="none"/>
          </v:group>
        </w:pict>
      </w:r>
      <w:r>
        <w:rPr/>
        <w:t>基本</w:t>
        <w:tab/>
        <w:t>稀释</w:t>
      </w:r>
    </w:p>
    <w:p>
      <w:pPr>
        <w:spacing w:line="240" w:lineRule="auto" w:before="6"/>
        <w:rPr>
          <w:rFonts w:ascii="黑体" w:hAnsi="黑体" w:cs="黑体" w:eastAsia="黑体" w:hint="default"/>
          <w:sz w:val="16"/>
          <w:szCs w:val="16"/>
        </w:rPr>
      </w:pPr>
    </w:p>
    <w:p>
      <w:pPr>
        <w:pStyle w:val="BodyText"/>
        <w:tabs>
          <w:tab w:pos="5848" w:val="left" w:leader="none"/>
          <w:tab w:pos="7235" w:val="left" w:leader="none"/>
          <w:tab w:pos="8554" w:val="right" w:leader="none"/>
        </w:tabs>
        <w:spacing w:line="268" w:lineRule="exact" w:before="38"/>
        <w:ind w:left="850" w:right="0"/>
        <w:jc w:val="left"/>
        <w:rPr>
          <w:rFonts w:ascii="Arial" w:hAnsi="Arial" w:cs="Arial" w:eastAsia="Arial" w:hint="default"/>
        </w:rPr>
      </w:pPr>
      <w:r>
        <w:rPr>
          <w:spacing w:val="-1"/>
        </w:rPr>
        <w:t>归属于公司普通股股东的净利润</w:t>
        <w:tab/>
      </w:r>
      <w:r>
        <w:rPr>
          <w:rFonts w:ascii="Arial" w:hAnsi="Arial" w:cs="Arial" w:eastAsia="Arial" w:hint="default"/>
        </w:rPr>
        <w:t>27.29</w:t>
        <w:tab/>
        <w:t>0.97</w:t>
        <w:tab/>
        <w:t>0.97</w:t>
      </w:r>
    </w:p>
    <w:p>
      <w:pPr>
        <w:pStyle w:val="BodyText"/>
        <w:spacing w:line="252" w:lineRule="exact"/>
        <w:ind w:left="850" w:right="1058"/>
        <w:jc w:val="left"/>
      </w:pPr>
      <w:r>
        <w:rPr/>
        <w:t>扣除非经常性损益后归属于公司</w:t>
      </w:r>
    </w:p>
    <w:p>
      <w:pPr>
        <w:pStyle w:val="BodyText"/>
        <w:tabs>
          <w:tab w:pos="5848" w:val="left" w:leader="none"/>
          <w:tab w:pos="7235" w:val="left" w:leader="none"/>
          <w:tab w:pos="8554" w:val="right" w:leader="none"/>
        </w:tabs>
        <w:spacing w:line="275" w:lineRule="exact"/>
        <w:ind w:left="1051" w:right="0"/>
        <w:jc w:val="left"/>
        <w:rPr>
          <w:rFonts w:ascii="Arial" w:hAnsi="Arial" w:cs="Arial" w:eastAsia="Arial" w:hint="default"/>
        </w:rPr>
      </w:pPr>
      <w:r>
        <w:rPr>
          <w:spacing w:val="-1"/>
        </w:rPr>
        <w:t>普通股股东的净利润</w:t>
        <w:tab/>
      </w:r>
      <w:r>
        <w:rPr>
          <w:rFonts w:ascii="Arial" w:hAnsi="Arial" w:cs="Arial" w:eastAsia="Arial" w:hint="default"/>
        </w:rPr>
        <w:t>13.13</w:t>
        <w:tab/>
        <w:t>0.47</w:t>
        <w:tab/>
        <w:t>0.47</w:t>
      </w:r>
    </w:p>
    <w:p>
      <w:pPr>
        <w:spacing w:line="240" w:lineRule="auto" w:before="2"/>
        <w:rPr>
          <w:rFonts w:ascii="Arial" w:hAnsi="Arial" w:cs="Arial" w:eastAsia="Arial" w:hint="default"/>
          <w:sz w:val="15"/>
          <w:szCs w:val="15"/>
        </w:rPr>
      </w:pPr>
    </w:p>
    <w:tbl>
      <w:tblPr>
        <w:tblW w:w="0" w:type="auto"/>
        <w:jc w:val="left"/>
        <w:tblInd w:w="815" w:type="dxa"/>
        <w:tblLayout w:type="fixed"/>
        <w:tblCellMar>
          <w:top w:w="0" w:type="dxa"/>
          <w:left w:w="0" w:type="dxa"/>
          <w:bottom w:w="0" w:type="dxa"/>
          <w:right w:w="0" w:type="dxa"/>
        </w:tblCellMar>
        <w:tblLook w:val="01E0"/>
      </w:tblPr>
      <w:tblGrid>
        <w:gridCol w:w="3005"/>
        <w:gridCol w:w="2559"/>
        <w:gridCol w:w="280"/>
        <w:gridCol w:w="1462"/>
        <w:gridCol w:w="496"/>
      </w:tblGrid>
      <w:tr>
        <w:trPr>
          <w:trHeight w:val="827" w:hRule="exact"/>
        </w:trPr>
        <w:tc>
          <w:tcPr>
            <w:tcW w:w="300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9" w:right="0"/>
              <w:jc w:val="left"/>
              <w:rPr>
                <w:rFonts w:ascii="黑体" w:hAnsi="黑体" w:cs="黑体" w:eastAsia="黑体" w:hint="default"/>
                <w:sz w:val="20"/>
                <w:szCs w:val="20"/>
              </w:rPr>
            </w:pPr>
            <w:r>
              <w:rPr>
                <w:rFonts w:ascii="Arial" w:hAnsi="Arial" w:cs="Arial" w:eastAsia="Arial" w:hint="default"/>
                <w:sz w:val="20"/>
                <w:szCs w:val="20"/>
              </w:rPr>
              <w:t>2008</w:t>
            </w:r>
            <w:r>
              <w:rPr>
                <w:rFonts w:ascii="黑体" w:hAnsi="黑体" w:cs="黑体" w:eastAsia="黑体" w:hint="default"/>
                <w:sz w:val="20"/>
                <w:szCs w:val="20"/>
              </w:rPr>
              <w:t>年</w:t>
            </w:r>
          </w:p>
        </w:tc>
        <w:tc>
          <w:tcPr>
            <w:tcW w:w="2559"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Arial" w:hAnsi="Arial" w:cs="Arial" w:eastAsia="Arial" w:hint="default"/>
                <w:sz w:val="20"/>
                <w:szCs w:val="20"/>
              </w:rPr>
            </w:pPr>
          </w:p>
          <w:p>
            <w:pPr>
              <w:pStyle w:val="TableParagraph"/>
              <w:spacing w:line="240" w:lineRule="auto" w:before="11"/>
              <w:ind w:right="0"/>
              <w:jc w:val="left"/>
              <w:rPr>
                <w:rFonts w:ascii="Arial" w:hAnsi="Arial" w:cs="Arial" w:eastAsia="Arial" w:hint="default"/>
                <w:sz w:val="25"/>
                <w:szCs w:val="25"/>
              </w:rPr>
            </w:pPr>
          </w:p>
          <w:p>
            <w:pPr>
              <w:pStyle w:val="TableParagraph"/>
              <w:spacing w:line="240" w:lineRule="auto"/>
              <w:ind w:right="0"/>
              <w:jc w:val="right"/>
              <w:rPr>
                <w:rFonts w:ascii="Arial" w:hAnsi="Arial" w:cs="Arial" w:eastAsia="Arial" w:hint="default"/>
                <w:sz w:val="20"/>
                <w:szCs w:val="20"/>
              </w:rPr>
            </w:pPr>
            <w:r>
              <w:rPr>
                <w:rFonts w:ascii="黑体" w:hAnsi="黑体" w:cs="黑体" w:eastAsia="黑体" w:hint="default"/>
                <w:spacing w:val="-1"/>
                <w:sz w:val="20"/>
                <w:szCs w:val="20"/>
              </w:rPr>
              <w:t>加权平均净资产收益率</w:t>
            </w:r>
            <w:r>
              <w:rPr>
                <w:rFonts w:ascii="Arial" w:hAnsi="Arial" w:cs="Arial" w:eastAsia="Arial" w:hint="default"/>
                <w:spacing w:val="-1"/>
                <w:sz w:val="20"/>
                <w:szCs w:val="20"/>
              </w:rPr>
              <w:t>(%)</w:t>
            </w:r>
          </w:p>
        </w:tc>
        <w:tc>
          <w:tcPr>
            <w:tcW w:w="280"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Arial" w:hAnsi="Arial" w:cs="Arial" w:eastAsia="Arial" w:hint="default"/>
                <w:sz w:val="20"/>
                <w:szCs w:val="20"/>
              </w:rPr>
            </w:pPr>
          </w:p>
          <w:p>
            <w:pPr>
              <w:pStyle w:val="TableParagraph"/>
              <w:spacing w:line="240" w:lineRule="auto" w:before="11"/>
              <w:ind w:right="0"/>
              <w:jc w:val="left"/>
              <w:rPr>
                <w:rFonts w:ascii="Arial" w:hAnsi="Arial" w:cs="Arial" w:eastAsia="Arial" w:hint="default"/>
                <w:sz w:val="25"/>
                <w:szCs w:val="25"/>
              </w:rPr>
            </w:pPr>
          </w:p>
          <w:p>
            <w:pPr>
              <w:pStyle w:val="TableParagraph"/>
              <w:spacing w:line="240" w:lineRule="auto"/>
              <w:ind w:left="616" w:right="0"/>
              <w:jc w:val="left"/>
              <w:rPr>
                <w:rFonts w:ascii="黑体" w:hAnsi="黑体" w:cs="黑体" w:eastAsia="黑体" w:hint="default"/>
                <w:sz w:val="20"/>
                <w:szCs w:val="20"/>
              </w:rPr>
            </w:pPr>
            <w:r>
              <w:rPr>
                <w:rFonts w:ascii="黑体" w:hAnsi="黑体" w:cs="黑体" w:eastAsia="黑体" w:hint="default"/>
                <w:sz w:val="20"/>
                <w:szCs w:val="20"/>
              </w:rPr>
              <w:t>每股收益</w:t>
            </w:r>
          </w:p>
        </w:tc>
        <w:tc>
          <w:tcPr>
            <w:tcW w:w="496" w:type="dxa"/>
            <w:tcBorders>
              <w:top w:val="nil" w:sz="6" w:space="0" w:color="auto"/>
              <w:left w:val="nil" w:sz="6" w:space="0" w:color="auto"/>
              <w:bottom w:val="single" w:sz="4" w:space="0" w:color="000000"/>
              <w:right w:val="nil" w:sz="6" w:space="0" w:color="auto"/>
            </w:tcBorders>
          </w:tcPr>
          <w:p>
            <w:pPr/>
          </w:p>
        </w:tc>
      </w:tr>
      <w:tr>
        <w:trPr>
          <w:trHeight w:val="389" w:hRule="exact"/>
        </w:trPr>
        <w:tc>
          <w:tcPr>
            <w:tcW w:w="3005" w:type="dxa"/>
            <w:tcBorders>
              <w:top w:val="nil" w:sz="6" w:space="0" w:color="auto"/>
              <w:left w:val="nil" w:sz="6" w:space="0" w:color="auto"/>
              <w:bottom w:val="nil" w:sz="6" w:space="0" w:color="auto"/>
              <w:right w:val="nil" w:sz="6" w:space="0" w:color="auto"/>
            </w:tcBorders>
          </w:tcPr>
          <w:p>
            <w:pPr/>
          </w:p>
        </w:tc>
        <w:tc>
          <w:tcPr>
            <w:tcW w:w="2559" w:type="dxa"/>
            <w:tcBorders>
              <w:top w:val="single" w:sz="4" w:space="0" w:color="000000"/>
              <w:left w:val="nil" w:sz="6" w:space="0" w:color="auto"/>
              <w:bottom w:val="nil" w:sz="6" w:space="0" w:color="auto"/>
              <w:right w:val="nil" w:sz="6" w:space="0" w:color="auto"/>
            </w:tcBorders>
          </w:tcPr>
          <w:p>
            <w:pPr/>
          </w:p>
        </w:tc>
        <w:tc>
          <w:tcPr>
            <w:tcW w:w="280" w:type="dxa"/>
            <w:tcBorders>
              <w:top w:val="nil" w:sz="6" w:space="0" w:color="auto"/>
              <w:left w:val="nil" w:sz="6" w:space="0" w:color="auto"/>
              <w:bottom w:val="nil" w:sz="6" w:space="0" w:color="auto"/>
              <w:right w:val="nil" w:sz="6" w:space="0" w:color="auto"/>
            </w:tcBorders>
          </w:tcPr>
          <w:p>
            <w:pPr/>
          </w:p>
        </w:tc>
        <w:tc>
          <w:tcPr>
            <w:tcW w:w="1462" w:type="dxa"/>
            <w:tcBorders>
              <w:top w:val="single" w:sz="4" w:space="0" w:color="000000"/>
              <w:left w:val="nil" w:sz="6" w:space="0" w:color="auto"/>
              <w:bottom w:val="nil" w:sz="6" w:space="0" w:color="auto"/>
              <w:right w:val="nil" w:sz="6" w:space="0" w:color="auto"/>
            </w:tcBorders>
          </w:tcPr>
          <w:p>
            <w:pPr>
              <w:pStyle w:val="TableParagraph"/>
              <w:spacing w:line="227" w:lineRule="exact"/>
              <w:ind w:left="592" w:right="0"/>
              <w:jc w:val="left"/>
              <w:rPr>
                <w:rFonts w:ascii="黑体" w:hAnsi="黑体" w:cs="黑体" w:eastAsia="黑体" w:hint="default"/>
                <w:sz w:val="20"/>
                <w:szCs w:val="20"/>
              </w:rPr>
            </w:pPr>
            <w:r>
              <w:rPr>
                <w:rFonts w:ascii="黑体" w:hAnsi="黑体" w:cs="黑体" w:eastAsia="黑体" w:hint="default"/>
                <w:sz w:val="20"/>
                <w:szCs w:val="20"/>
              </w:rPr>
              <w:t>基本</w:t>
            </w:r>
          </w:p>
        </w:tc>
        <w:tc>
          <w:tcPr>
            <w:tcW w:w="496" w:type="dxa"/>
            <w:tcBorders>
              <w:top w:val="single" w:sz="4" w:space="0" w:color="000000"/>
              <w:left w:val="nil" w:sz="6" w:space="0" w:color="auto"/>
              <w:bottom w:val="nil" w:sz="6" w:space="0" w:color="auto"/>
              <w:right w:val="nil" w:sz="6" w:space="0" w:color="auto"/>
            </w:tcBorders>
          </w:tcPr>
          <w:p>
            <w:pPr>
              <w:pStyle w:val="TableParagraph"/>
              <w:spacing w:line="227" w:lineRule="exact"/>
              <w:ind w:left="25" w:right="0"/>
              <w:jc w:val="center"/>
              <w:rPr>
                <w:rFonts w:ascii="黑体" w:hAnsi="黑体" w:cs="黑体" w:eastAsia="黑体" w:hint="default"/>
                <w:sz w:val="20"/>
                <w:szCs w:val="20"/>
              </w:rPr>
            </w:pPr>
            <w:r>
              <w:rPr>
                <w:rFonts w:ascii="黑体" w:hAnsi="黑体" w:cs="黑体" w:eastAsia="黑体" w:hint="default"/>
                <w:sz w:val="20"/>
                <w:szCs w:val="20"/>
              </w:rPr>
              <w:t>稀释</w:t>
            </w:r>
          </w:p>
        </w:tc>
      </w:tr>
      <w:tr>
        <w:trPr>
          <w:trHeight w:val="646" w:hRule="exact"/>
        </w:trPr>
        <w:tc>
          <w:tcPr>
            <w:tcW w:w="3005" w:type="dxa"/>
            <w:tcBorders>
              <w:top w:val="nil" w:sz="6" w:space="0" w:color="auto"/>
              <w:left w:val="nil" w:sz="6" w:space="0" w:color="auto"/>
              <w:bottom w:val="nil" w:sz="6" w:space="0" w:color="auto"/>
              <w:right w:val="nil" w:sz="6" w:space="0" w:color="auto"/>
            </w:tcBorders>
          </w:tcPr>
          <w:p>
            <w:pPr>
              <w:pStyle w:val="TableParagraph"/>
              <w:spacing w:line="260" w:lineRule="exact" w:before="121"/>
              <w:ind w:left="35" w:right="167"/>
              <w:jc w:val="left"/>
              <w:rPr>
                <w:rFonts w:ascii="黑体" w:hAnsi="黑体" w:cs="黑体" w:eastAsia="黑体" w:hint="default"/>
                <w:sz w:val="20"/>
                <w:szCs w:val="20"/>
              </w:rPr>
            </w:pPr>
            <w:r>
              <w:rPr>
                <w:rFonts w:ascii="黑体" w:hAnsi="黑体" w:cs="黑体" w:eastAsia="黑体" w:hint="default"/>
                <w:spacing w:val="-1"/>
                <w:sz w:val="20"/>
                <w:szCs w:val="20"/>
              </w:rPr>
              <w:t>归属于公司普通股股东的净利润</w:t>
            </w:r>
            <w:r>
              <w:rPr>
                <w:rFonts w:ascii="黑体" w:hAnsi="黑体" w:cs="黑体" w:eastAsia="黑体" w:hint="default"/>
                <w:spacing w:val="-89"/>
                <w:sz w:val="20"/>
                <w:szCs w:val="20"/>
              </w:rPr>
              <w:t> </w:t>
            </w:r>
            <w:r>
              <w:rPr>
                <w:rFonts w:ascii="黑体" w:hAnsi="黑体" w:cs="黑体" w:eastAsia="黑体" w:hint="default"/>
                <w:spacing w:val="-89"/>
                <w:sz w:val="20"/>
                <w:szCs w:val="20"/>
              </w:rPr>
            </w:r>
            <w:r>
              <w:rPr>
                <w:rFonts w:ascii="黑体" w:hAnsi="黑体" w:cs="黑体" w:eastAsia="黑体" w:hint="default"/>
                <w:spacing w:val="-1"/>
                <w:sz w:val="20"/>
                <w:szCs w:val="20"/>
              </w:rPr>
              <w:t>扣除非经常性损益后归属于公司</w:t>
            </w: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27"/>
              <w:jc w:val="right"/>
              <w:rPr>
                <w:rFonts w:ascii="Arial" w:hAnsi="Arial" w:cs="Arial" w:eastAsia="Arial" w:hint="default"/>
                <w:sz w:val="20"/>
                <w:szCs w:val="20"/>
              </w:rPr>
            </w:pPr>
            <w:r>
              <w:rPr>
                <w:rFonts w:ascii="Arial"/>
                <w:sz w:val="20"/>
              </w:rPr>
              <w:t>17.55</w:t>
            </w:r>
          </w:p>
        </w:tc>
        <w:tc>
          <w:tcPr>
            <w:tcW w:w="280"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575" w:right="0"/>
              <w:jc w:val="left"/>
              <w:rPr>
                <w:rFonts w:ascii="Arial" w:hAnsi="Arial" w:cs="Arial" w:eastAsia="Arial" w:hint="default"/>
                <w:sz w:val="20"/>
                <w:szCs w:val="20"/>
              </w:rPr>
            </w:pPr>
            <w:r>
              <w:rPr>
                <w:rFonts w:ascii="Arial"/>
                <w:sz w:val="20"/>
              </w:rPr>
              <w:t>0.65</w:t>
            </w:r>
          </w:p>
        </w:tc>
        <w:tc>
          <w:tcPr>
            <w:tcW w:w="496"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7"/>
              <w:jc w:val="center"/>
              <w:rPr>
                <w:rFonts w:ascii="Arial" w:hAnsi="Arial" w:cs="Arial" w:eastAsia="Arial" w:hint="default"/>
                <w:sz w:val="20"/>
                <w:szCs w:val="20"/>
              </w:rPr>
            </w:pPr>
            <w:r>
              <w:rPr>
                <w:rFonts w:ascii="Arial"/>
                <w:sz w:val="20"/>
              </w:rPr>
              <w:t>0.65</w:t>
            </w:r>
          </w:p>
        </w:tc>
      </w:tr>
      <w:tr>
        <w:trPr>
          <w:trHeight w:val="338" w:hRule="exact"/>
        </w:trPr>
        <w:tc>
          <w:tcPr>
            <w:tcW w:w="3005" w:type="dxa"/>
            <w:tcBorders>
              <w:top w:val="nil" w:sz="6" w:space="0" w:color="auto"/>
              <w:left w:val="nil" w:sz="6" w:space="0" w:color="auto"/>
              <w:bottom w:val="nil" w:sz="6" w:space="0" w:color="auto"/>
              <w:right w:val="nil" w:sz="6" w:space="0" w:color="auto"/>
            </w:tcBorders>
          </w:tcPr>
          <w:p>
            <w:pPr>
              <w:pStyle w:val="TableParagraph"/>
              <w:spacing w:line="230" w:lineRule="exact"/>
              <w:ind w:left="235" w:right="0"/>
              <w:jc w:val="left"/>
              <w:rPr>
                <w:rFonts w:ascii="黑体" w:hAnsi="黑体" w:cs="黑体" w:eastAsia="黑体" w:hint="default"/>
                <w:sz w:val="20"/>
                <w:szCs w:val="20"/>
              </w:rPr>
            </w:pPr>
            <w:r>
              <w:rPr>
                <w:rFonts w:ascii="黑体" w:hAnsi="黑体" w:cs="黑体" w:eastAsia="黑体" w:hint="default"/>
                <w:sz w:val="20"/>
                <w:szCs w:val="20"/>
              </w:rPr>
              <w:t>普通股股东的净利润</w:t>
            </w: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7"/>
              <w:jc w:val="right"/>
              <w:rPr>
                <w:rFonts w:ascii="Arial" w:hAnsi="Arial" w:cs="Arial" w:eastAsia="Arial" w:hint="default"/>
                <w:sz w:val="20"/>
                <w:szCs w:val="20"/>
              </w:rPr>
            </w:pPr>
            <w:r>
              <w:rPr>
                <w:rFonts w:ascii="Arial"/>
                <w:sz w:val="20"/>
              </w:rPr>
              <w:t>9.99</w:t>
            </w:r>
          </w:p>
        </w:tc>
        <w:tc>
          <w:tcPr>
            <w:tcW w:w="280"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76" w:right="0"/>
              <w:jc w:val="left"/>
              <w:rPr>
                <w:rFonts w:ascii="Arial" w:hAnsi="Arial" w:cs="Arial" w:eastAsia="Arial" w:hint="default"/>
                <w:sz w:val="20"/>
                <w:szCs w:val="20"/>
              </w:rPr>
            </w:pPr>
            <w:r>
              <w:rPr>
                <w:rFonts w:ascii="Arial"/>
                <w:sz w:val="20"/>
              </w:rPr>
              <w:t>0.37</w:t>
            </w:r>
          </w:p>
        </w:tc>
        <w:tc>
          <w:tcPr>
            <w:tcW w:w="49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
              <w:jc w:val="center"/>
              <w:rPr>
                <w:rFonts w:ascii="Arial" w:hAnsi="Arial" w:cs="Arial" w:eastAsia="Arial" w:hint="default"/>
                <w:sz w:val="20"/>
                <w:szCs w:val="20"/>
              </w:rPr>
            </w:pPr>
            <w:r>
              <w:rPr>
                <w:rFonts w:ascii="Arial"/>
                <w:sz w:val="20"/>
              </w:rPr>
              <w:t>0.37</w:t>
            </w:r>
          </w:p>
        </w:tc>
      </w:tr>
    </w:tbl>
    <w:p>
      <w:pPr>
        <w:pStyle w:val="BodyText"/>
        <w:spacing w:line="240" w:lineRule="auto" w:before="119"/>
        <w:ind w:left="855" w:right="1058"/>
        <w:jc w:val="left"/>
      </w:pPr>
      <w:r>
        <w:rPr/>
        <w:t>本公司无稀释性潜在普通股。</w:t>
      </w:r>
    </w:p>
    <w:p>
      <w:pPr>
        <w:spacing w:after="0" w:line="240" w:lineRule="auto"/>
        <w:jc w:val="left"/>
        <w:sectPr>
          <w:headerReference w:type="default" r:id="rId83"/>
          <w:pgSz w:w="11910" w:h="16840"/>
          <w:pgMar w:header="958" w:footer="466" w:top="2560" w:bottom="660" w:left="1560" w:right="0"/>
        </w:sectPr>
      </w:pPr>
    </w:p>
    <w:p>
      <w:pPr>
        <w:spacing w:line="240" w:lineRule="auto" w:before="1"/>
        <w:rPr>
          <w:rFonts w:ascii="黑体" w:hAnsi="黑体" w:cs="黑体" w:eastAsia="黑体" w:hint="default"/>
          <w:sz w:val="18"/>
          <w:szCs w:val="18"/>
        </w:rPr>
      </w:pPr>
    </w:p>
    <w:p>
      <w:pPr>
        <w:tabs>
          <w:tab w:pos="854" w:val="left" w:leader="none"/>
        </w:tabs>
        <w:spacing w:before="38"/>
        <w:ind w:left="141" w:right="1058" w:firstLine="0"/>
        <w:jc w:val="left"/>
        <w:rPr>
          <w:rFonts w:ascii="黑体" w:hAnsi="黑体" w:cs="黑体" w:eastAsia="黑体" w:hint="default"/>
          <w:sz w:val="20"/>
          <w:szCs w:val="20"/>
        </w:rPr>
      </w:pPr>
      <w:r>
        <w:rPr>
          <w:rFonts w:ascii="Arial" w:hAnsi="Arial" w:cs="Arial" w:eastAsia="Arial" w:hint="default"/>
          <w:b/>
          <w:bCs/>
          <w:w w:val="95"/>
          <w:sz w:val="20"/>
          <w:szCs w:val="20"/>
        </w:rPr>
        <w:t>3</w:t>
      </w:r>
      <w:r>
        <w:rPr>
          <w:rFonts w:ascii="黑体" w:hAnsi="黑体" w:cs="黑体" w:eastAsia="黑体" w:hint="default"/>
          <w:b/>
          <w:bCs/>
          <w:w w:val="95"/>
          <w:sz w:val="20"/>
          <w:szCs w:val="20"/>
        </w:rPr>
        <w:t>、</w:t>
        <w:tab/>
      </w:r>
      <w:r>
        <w:rPr>
          <w:rFonts w:ascii="黑体" w:hAnsi="黑体" w:cs="黑体" w:eastAsia="黑体" w:hint="default"/>
          <w:b/>
          <w:bCs/>
          <w:sz w:val="20"/>
          <w:szCs w:val="20"/>
        </w:rPr>
        <w:t>财务报表项目数据的变动分析</w:t>
      </w:r>
      <w:r>
        <w:rPr>
          <w:rFonts w:ascii="黑体" w:hAnsi="黑体" w:cs="黑体" w:eastAsia="黑体" w:hint="default"/>
          <w:sz w:val="20"/>
          <w:szCs w:val="20"/>
        </w:rPr>
      </w:r>
    </w:p>
    <w:p>
      <w:pPr>
        <w:spacing w:line="240" w:lineRule="auto" w:before="4"/>
        <w:rPr>
          <w:rFonts w:ascii="黑体" w:hAnsi="黑体" w:cs="黑体" w:eastAsia="黑体" w:hint="default"/>
          <w:b/>
          <w:bCs/>
          <w:sz w:val="16"/>
          <w:szCs w:val="16"/>
        </w:rPr>
      </w:pPr>
    </w:p>
    <w:p>
      <w:pPr>
        <w:pStyle w:val="BodyText"/>
        <w:spacing w:line="268" w:lineRule="exact"/>
        <w:ind w:left="855" w:right="1058"/>
        <w:jc w:val="left"/>
      </w:pPr>
      <w:r>
        <w:rPr>
          <w:w w:val="100"/>
        </w:rPr>
        <w:t>合并财</w:t>
      </w:r>
      <w:r>
        <w:rPr>
          <w:spacing w:val="-2"/>
          <w:w w:val="100"/>
        </w:rPr>
        <w:t>务</w:t>
      </w:r>
      <w:r>
        <w:rPr>
          <w:w w:val="100"/>
        </w:rPr>
        <w:t>报</w:t>
      </w:r>
      <w:r>
        <w:rPr>
          <w:spacing w:val="-2"/>
          <w:w w:val="100"/>
        </w:rPr>
        <w:t>表</w:t>
      </w:r>
      <w:r>
        <w:rPr>
          <w:w w:val="100"/>
        </w:rPr>
        <w:t>数据变</w:t>
      </w:r>
      <w:r>
        <w:rPr>
          <w:spacing w:val="-2"/>
          <w:w w:val="100"/>
        </w:rPr>
        <w:t>动</w:t>
      </w:r>
      <w:r>
        <w:rPr>
          <w:w w:val="100"/>
        </w:rPr>
        <w:t>幅</w:t>
      </w:r>
      <w:r>
        <w:rPr>
          <w:spacing w:val="-2"/>
          <w:w w:val="100"/>
        </w:rPr>
        <w:t>度</w:t>
      </w:r>
      <w:r>
        <w:rPr>
          <w:w w:val="100"/>
        </w:rPr>
        <w:t>达</w:t>
      </w:r>
      <w:r>
        <w:rPr>
          <w:rFonts w:ascii="Arial" w:hAnsi="Arial" w:cs="Arial" w:eastAsia="Arial" w:hint="default"/>
          <w:spacing w:val="-1"/>
          <w:w w:val="100"/>
        </w:rPr>
        <w:t>30%(</w:t>
      </w:r>
      <w:r>
        <w:rPr>
          <w:w w:val="100"/>
        </w:rPr>
        <w:t>含</w:t>
      </w:r>
      <w:r>
        <w:rPr>
          <w:rFonts w:ascii="Arial" w:hAnsi="Arial" w:cs="Arial" w:eastAsia="Arial" w:hint="default"/>
          <w:spacing w:val="-1"/>
          <w:w w:val="100"/>
        </w:rPr>
        <w:t>3</w:t>
      </w:r>
      <w:r>
        <w:rPr>
          <w:rFonts w:ascii="Arial" w:hAnsi="Arial" w:cs="Arial" w:eastAsia="Arial" w:hint="default"/>
          <w:spacing w:val="-2"/>
          <w:w w:val="100"/>
        </w:rPr>
        <w:t>0</w:t>
      </w:r>
      <w:r>
        <w:rPr>
          <w:rFonts w:ascii="Arial" w:hAnsi="Arial" w:cs="Arial" w:eastAsia="Arial" w:hint="default"/>
          <w:spacing w:val="-1"/>
          <w:w w:val="100"/>
        </w:rPr>
        <w:t>%</w:t>
      </w:r>
      <w:r>
        <w:rPr>
          <w:rFonts w:ascii="Arial" w:hAnsi="Arial" w:cs="Arial" w:eastAsia="Arial" w:hint="default"/>
          <w:w w:val="100"/>
        </w:rPr>
        <w:t>)</w:t>
      </w:r>
      <w:r>
        <w:rPr>
          <w:w w:val="100"/>
        </w:rPr>
        <w:t>以上</w:t>
      </w:r>
      <w:r>
        <w:rPr>
          <w:spacing w:val="-100"/>
          <w:w w:val="100"/>
        </w:rPr>
        <w:t>，</w:t>
      </w:r>
      <w:r>
        <w:rPr>
          <w:w w:val="100"/>
        </w:rPr>
        <w:t>或</w:t>
      </w:r>
      <w:r>
        <w:rPr>
          <w:spacing w:val="-2"/>
          <w:w w:val="100"/>
        </w:rPr>
        <w:t>占</w:t>
      </w:r>
      <w:r>
        <w:rPr>
          <w:w w:val="100"/>
        </w:rPr>
        <w:t>资产负</w:t>
      </w:r>
      <w:r>
        <w:rPr>
          <w:spacing w:val="-2"/>
          <w:w w:val="100"/>
        </w:rPr>
        <w:t>债</w:t>
      </w:r>
      <w:r>
        <w:rPr>
          <w:w w:val="100"/>
        </w:rPr>
        <w:t>表</w:t>
      </w:r>
      <w:r>
        <w:rPr>
          <w:spacing w:val="-2"/>
          <w:w w:val="100"/>
        </w:rPr>
        <w:t>日</w:t>
      </w:r>
      <w:r>
        <w:rPr>
          <w:w w:val="100"/>
        </w:rPr>
        <w:t>本集团</w:t>
      </w:r>
      <w:r>
        <w:rPr>
          <w:spacing w:val="-2"/>
          <w:w w:val="100"/>
        </w:rPr>
        <w:t>资</w:t>
      </w:r>
      <w:r>
        <w:rPr>
          <w:w w:val="100"/>
        </w:rPr>
        <w:t>产</w:t>
      </w:r>
      <w:r>
        <w:rPr>
          <w:spacing w:val="-2"/>
          <w:w w:val="100"/>
        </w:rPr>
        <w:t>总</w:t>
      </w:r>
      <w:r>
        <w:rPr>
          <w:w w:val="100"/>
        </w:rPr>
        <w:t>额</w:t>
      </w:r>
      <w:r>
        <w:rPr>
          <w:rFonts w:ascii="Arial" w:hAnsi="Arial" w:cs="Arial" w:eastAsia="Arial" w:hint="default"/>
          <w:spacing w:val="-1"/>
          <w:w w:val="100"/>
        </w:rPr>
        <w:t>5%</w:t>
      </w:r>
      <w:r>
        <w:rPr>
          <w:rFonts w:ascii="Arial" w:hAnsi="Arial" w:cs="Arial" w:eastAsia="Arial" w:hint="default"/>
          <w:w w:val="100"/>
        </w:rPr>
        <w:t>(</w:t>
      </w:r>
      <w:r>
        <w:rPr>
          <w:w w:val="100"/>
        </w:rPr>
        <w:t>含</w:t>
      </w:r>
    </w:p>
    <w:p>
      <w:pPr>
        <w:pStyle w:val="BodyText"/>
        <w:spacing w:line="268" w:lineRule="exact"/>
        <w:ind w:left="855" w:right="1058"/>
        <w:jc w:val="left"/>
      </w:pPr>
      <w:r>
        <w:rPr>
          <w:rFonts w:ascii="Arial" w:hAnsi="Arial" w:cs="Arial" w:eastAsia="Arial" w:hint="default"/>
        </w:rPr>
        <w:t>5%)</w:t>
      </w:r>
      <w:r>
        <w:rPr/>
        <w:t>或报告期利润总额</w:t>
      </w:r>
      <w:r>
        <w:rPr>
          <w:rFonts w:ascii="Arial" w:hAnsi="Arial" w:cs="Arial" w:eastAsia="Arial" w:hint="default"/>
        </w:rPr>
        <w:t>10%(</w:t>
      </w:r>
      <w:r>
        <w:rPr/>
        <w:t>含</w:t>
      </w:r>
      <w:r>
        <w:rPr>
          <w:rFonts w:ascii="Arial" w:hAnsi="Arial" w:cs="Arial" w:eastAsia="Arial" w:hint="default"/>
        </w:rPr>
        <w:t>10%)</w:t>
      </w:r>
      <w:r>
        <w:rPr/>
        <w:t>以上的项目分析。</w:t>
      </w:r>
    </w:p>
    <w:p>
      <w:pPr>
        <w:spacing w:line="240" w:lineRule="auto" w:before="7"/>
        <w:rPr>
          <w:rFonts w:ascii="黑体" w:hAnsi="黑体" w:cs="黑体" w:eastAsia="黑体" w:hint="default"/>
          <w:sz w:val="16"/>
          <w:szCs w:val="16"/>
        </w:rPr>
      </w:pPr>
    </w:p>
    <w:p>
      <w:pPr>
        <w:pStyle w:val="BodyText"/>
        <w:tabs>
          <w:tab w:pos="861" w:val="left" w:leader="none"/>
        </w:tabs>
        <w:spacing w:line="268" w:lineRule="exact"/>
        <w:ind w:left="141" w:right="1058"/>
        <w:jc w:val="left"/>
      </w:pPr>
      <w:r>
        <w:rPr>
          <w:rFonts w:ascii="Arial" w:hAnsi="Arial" w:cs="Arial" w:eastAsia="Arial" w:hint="default"/>
          <w:spacing w:val="-1"/>
        </w:rPr>
        <w:t>1.</w:t>
        <w:tab/>
      </w:r>
      <w:r>
        <w:rPr/>
        <w:t>货币资金</w:t>
      </w:r>
      <w:r>
        <w:rPr>
          <w:spacing w:val="-47"/>
        </w:rPr>
        <w:t> </w:t>
      </w:r>
      <w:r>
        <w:rPr>
          <w:rFonts w:ascii="Arial" w:hAnsi="Arial" w:cs="Arial" w:eastAsia="Arial" w:hint="default"/>
          <w:spacing w:val="-1"/>
        </w:rPr>
        <w:t>2009</w:t>
      </w:r>
      <w:r>
        <w:rPr>
          <w:rFonts w:ascii="Arial" w:hAnsi="Arial" w:cs="Arial" w:eastAsia="Arial" w:hint="default"/>
          <w:spacing w:val="-2"/>
        </w:rPr>
        <w:t> </w:t>
      </w:r>
      <w:r>
        <w:rPr/>
        <w:t>年</w:t>
      </w:r>
      <w:r>
        <w:rPr>
          <w:spacing w:val="-47"/>
        </w:rPr>
        <w:t> </w:t>
      </w:r>
      <w:r>
        <w:rPr>
          <w:rFonts w:ascii="Arial" w:hAnsi="Arial" w:cs="Arial" w:eastAsia="Arial" w:hint="default"/>
        </w:rPr>
        <w:t>12</w:t>
      </w:r>
      <w:r>
        <w:rPr>
          <w:rFonts w:ascii="Arial" w:hAnsi="Arial" w:cs="Arial" w:eastAsia="Arial" w:hint="default"/>
          <w:spacing w:val="-2"/>
        </w:rPr>
        <w:t> </w:t>
      </w:r>
      <w:r>
        <w:rPr/>
        <w:t>月</w:t>
      </w:r>
      <w:r>
        <w:rPr>
          <w:spacing w:val="-47"/>
        </w:rPr>
        <w:t> </w:t>
      </w:r>
      <w:r>
        <w:rPr>
          <w:rFonts w:ascii="Arial" w:hAnsi="Arial" w:cs="Arial" w:eastAsia="Arial" w:hint="default"/>
        </w:rPr>
        <w:t>31</w:t>
      </w:r>
      <w:r>
        <w:rPr>
          <w:rFonts w:ascii="Arial" w:hAnsi="Arial" w:cs="Arial" w:eastAsia="Arial" w:hint="default"/>
          <w:spacing w:val="-3"/>
        </w:rPr>
        <w:t> </w:t>
      </w:r>
      <w:r>
        <w:rPr>
          <w:spacing w:val="-1"/>
        </w:rPr>
        <w:t>日余额为人民币</w:t>
      </w:r>
      <w:r>
        <w:rPr>
          <w:spacing w:val="-47"/>
        </w:rPr>
        <w:t> </w:t>
      </w:r>
      <w:r>
        <w:rPr>
          <w:rFonts w:ascii="Arial" w:hAnsi="Arial" w:cs="Arial" w:eastAsia="Arial" w:hint="default"/>
          <w:spacing w:val="-1"/>
        </w:rPr>
        <w:t>1,625,137,464</w:t>
      </w:r>
      <w:r>
        <w:rPr>
          <w:rFonts w:ascii="Arial" w:hAnsi="Arial" w:cs="Arial" w:eastAsia="Arial" w:hint="default"/>
          <w:spacing w:val="-2"/>
        </w:rPr>
        <w:t> </w:t>
      </w:r>
      <w:r>
        <w:rPr/>
        <w:t>元，较</w:t>
      </w:r>
      <w:r>
        <w:rPr>
          <w:spacing w:val="-48"/>
        </w:rPr>
        <w:t> </w:t>
      </w:r>
      <w:r>
        <w:rPr>
          <w:rFonts w:ascii="Arial" w:hAnsi="Arial" w:cs="Arial" w:eastAsia="Arial" w:hint="default"/>
          <w:spacing w:val="-1"/>
        </w:rPr>
        <w:t>2008</w:t>
      </w:r>
      <w:r>
        <w:rPr>
          <w:rFonts w:ascii="Arial" w:hAnsi="Arial" w:cs="Arial" w:eastAsia="Arial" w:hint="default"/>
          <w:spacing w:val="-2"/>
        </w:rPr>
        <w:t> </w:t>
      </w:r>
      <w:r>
        <w:rPr/>
        <w:t>年</w:t>
      </w:r>
      <w:r>
        <w:rPr>
          <w:spacing w:val="-47"/>
        </w:rPr>
        <w:t> </w:t>
      </w:r>
      <w:r>
        <w:rPr>
          <w:rFonts w:ascii="Arial" w:hAnsi="Arial" w:cs="Arial" w:eastAsia="Arial" w:hint="default"/>
        </w:rPr>
        <w:t>12</w:t>
      </w:r>
      <w:r>
        <w:rPr>
          <w:rFonts w:ascii="Arial" w:hAnsi="Arial" w:cs="Arial" w:eastAsia="Arial" w:hint="default"/>
          <w:spacing w:val="-2"/>
        </w:rPr>
        <w:t> </w:t>
      </w:r>
      <w:r>
        <w:rPr/>
        <w:t>月</w:t>
      </w:r>
      <w:r>
        <w:rPr>
          <w:spacing w:val="-48"/>
        </w:rPr>
        <w:t> </w:t>
      </w:r>
      <w:r>
        <w:rPr>
          <w:rFonts w:ascii="Arial" w:hAnsi="Arial" w:cs="Arial" w:eastAsia="Arial" w:hint="default"/>
        </w:rPr>
        <w:t>31</w:t>
      </w:r>
      <w:r>
        <w:rPr>
          <w:rFonts w:ascii="Arial" w:hAnsi="Arial" w:cs="Arial" w:eastAsia="Arial" w:hint="default"/>
          <w:spacing w:val="-2"/>
        </w:rPr>
        <w:t> </w:t>
      </w:r>
      <w:r>
        <w:rPr/>
        <w:t>日余</w:t>
      </w:r>
    </w:p>
    <w:p>
      <w:pPr>
        <w:pStyle w:val="BodyText"/>
        <w:spacing w:line="259" w:lineRule="exact"/>
        <w:ind w:left="827" w:right="1058"/>
        <w:jc w:val="left"/>
        <w:rPr>
          <w:rFonts w:ascii="Arial" w:hAnsi="Arial" w:cs="Arial" w:eastAsia="Arial" w:hint="default"/>
        </w:rPr>
      </w:pPr>
      <w:r>
        <w:rPr/>
        <w:t>额增加</w:t>
      </w:r>
      <w:r>
        <w:rPr>
          <w:spacing w:val="-52"/>
        </w:rPr>
        <w:t> </w:t>
      </w:r>
      <w:r>
        <w:rPr>
          <w:rFonts w:ascii="Arial" w:hAnsi="Arial" w:cs="Arial" w:eastAsia="Arial" w:hint="default"/>
        </w:rPr>
        <w:t>50%</w:t>
      </w:r>
      <w:r>
        <w:rPr/>
        <w:t>，主要是本集团本年度经营活动产生的现金流量净额共计人民币</w:t>
      </w:r>
      <w:r>
        <w:rPr>
          <w:spacing w:val="-52"/>
        </w:rPr>
        <w:t> </w:t>
      </w:r>
      <w:r>
        <w:rPr>
          <w:rFonts w:ascii="Arial" w:hAnsi="Arial" w:cs="Arial" w:eastAsia="Arial" w:hint="default"/>
        </w:rPr>
        <w:t>399,957,719</w:t>
      </w:r>
    </w:p>
    <w:p>
      <w:pPr>
        <w:pStyle w:val="BodyText"/>
        <w:spacing w:line="259" w:lineRule="exact"/>
        <w:ind w:left="827" w:right="1058"/>
        <w:jc w:val="left"/>
      </w:pPr>
      <w:r>
        <w:rPr/>
        <w:t>元，投资活动产生的现金流量净额共计人民币</w:t>
      </w:r>
      <w:r>
        <w:rPr>
          <w:spacing w:val="-43"/>
        </w:rPr>
        <w:t> </w:t>
      </w:r>
      <w:r>
        <w:rPr>
          <w:rFonts w:ascii="Arial" w:hAnsi="Arial" w:cs="Arial" w:eastAsia="Arial" w:hint="default"/>
        </w:rPr>
        <w:t>8,344,495</w:t>
      </w:r>
      <w:r>
        <w:rPr>
          <w:rFonts w:ascii="Arial" w:hAnsi="Arial" w:cs="Arial" w:eastAsia="Arial" w:hint="default"/>
          <w:spacing w:val="2"/>
        </w:rPr>
        <w:t> </w:t>
      </w:r>
      <w:r>
        <w:rPr/>
        <w:t>元以及筹资活动产生的现金流量</w:t>
      </w:r>
    </w:p>
    <w:p>
      <w:pPr>
        <w:pStyle w:val="BodyText"/>
        <w:spacing w:line="268" w:lineRule="exact"/>
        <w:ind w:left="827" w:right="1058"/>
        <w:jc w:val="left"/>
      </w:pPr>
      <w:r>
        <w:rPr/>
        <w:t>净额共计人民币</w:t>
      </w:r>
      <w:r>
        <w:rPr>
          <w:spacing w:val="-58"/>
        </w:rPr>
        <w:t> </w:t>
      </w:r>
      <w:r>
        <w:rPr>
          <w:rFonts w:ascii="Arial" w:hAnsi="Arial" w:cs="Arial" w:eastAsia="Arial" w:hint="default"/>
        </w:rPr>
        <w:t>130,341,092</w:t>
      </w:r>
      <w:r>
        <w:rPr>
          <w:rFonts w:ascii="Arial" w:hAnsi="Arial" w:cs="Arial" w:eastAsia="Arial" w:hint="default"/>
          <w:spacing w:val="-14"/>
        </w:rPr>
        <w:t> </w:t>
      </w:r>
      <w:r>
        <w:rPr/>
        <w:t>元的净影响所致。详情参见已审财务报表合并现金流量表。</w:t>
      </w:r>
    </w:p>
    <w:p>
      <w:pPr>
        <w:spacing w:line="240" w:lineRule="auto" w:before="4"/>
        <w:rPr>
          <w:rFonts w:ascii="黑体" w:hAnsi="黑体" w:cs="黑体" w:eastAsia="黑体" w:hint="default"/>
          <w:sz w:val="16"/>
          <w:szCs w:val="16"/>
        </w:rPr>
      </w:pPr>
    </w:p>
    <w:p>
      <w:pPr>
        <w:pStyle w:val="BodyText"/>
        <w:tabs>
          <w:tab w:pos="861" w:val="left" w:leader="none"/>
        </w:tabs>
        <w:spacing w:line="268" w:lineRule="exact"/>
        <w:ind w:left="141" w:right="1058"/>
        <w:jc w:val="left"/>
      </w:pPr>
      <w:r>
        <w:rPr>
          <w:rFonts w:ascii="Arial" w:hAnsi="Arial" w:cs="Arial" w:eastAsia="Arial" w:hint="default"/>
          <w:spacing w:val="-1"/>
        </w:rPr>
        <w:t>2.</w:t>
        <w:tab/>
      </w:r>
      <w:r>
        <w:rPr>
          <w:spacing w:val="-1"/>
        </w:rPr>
        <w:t>交易性金融资产</w:t>
      </w:r>
      <w:r>
        <w:rPr/>
        <w:t> </w:t>
      </w:r>
      <w:r>
        <w:rPr>
          <w:rFonts w:ascii="Arial" w:hAnsi="Arial" w:cs="Arial" w:eastAsia="Arial" w:hint="default"/>
          <w:spacing w:val="-1"/>
        </w:rPr>
        <w:t>2009</w:t>
      </w:r>
      <w:r>
        <w:rPr>
          <w:rFonts w:ascii="Arial" w:hAnsi="Arial" w:cs="Arial" w:eastAsia="Arial" w:hint="default"/>
        </w:rPr>
        <w:t> </w:t>
      </w:r>
      <w:r>
        <w:rPr/>
        <w:t>年 </w:t>
      </w:r>
      <w:r>
        <w:rPr>
          <w:rFonts w:ascii="Arial" w:hAnsi="Arial" w:cs="Arial" w:eastAsia="Arial" w:hint="default"/>
          <w:spacing w:val="-1"/>
        </w:rPr>
        <w:t>12</w:t>
      </w:r>
      <w:r>
        <w:rPr>
          <w:rFonts w:ascii="Arial" w:hAnsi="Arial" w:cs="Arial" w:eastAsia="Arial" w:hint="default"/>
        </w:rPr>
        <w:t> </w:t>
      </w:r>
      <w:r>
        <w:rPr/>
        <w:t>月 </w:t>
      </w:r>
      <w:r>
        <w:rPr>
          <w:rFonts w:ascii="Arial" w:hAnsi="Arial" w:cs="Arial" w:eastAsia="Arial" w:hint="default"/>
          <w:spacing w:val="-1"/>
        </w:rPr>
        <w:t>31</w:t>
      </w:r>
      <w:r>
        <w:rPr>
          <w:rFonts w:ascii="Arial" w:hAnsi="Arial" w:cs="Arial" w:eastAsia="Arial" w:hint="default"/>
        </w:rPr>
        <w:t> </w:t>
      </w:r>
      <w:r>
        <w:rPr>
          <w:spacing w:val="-1"/>
        </w:rPr>
        <w:t>日余额为零，而</w:t>
      </w:r>
      <w:r>
        <w:rPr/>
        <w:t> </w:t>
      </w:r>
      <w:r>
        <w:rPr>
          <w:rFonts w:ascii="Arial" w:hAnsi="Arial" w:cs="Arial" w:eastAsia="Arial" w:hint="default"/>
          <w:spacing w:val="-1"/>
        </w:rPr>
        <w:t>2008</w:t>
      </w:r>
      <w:r>
        <w:rPr>
          <w:rFonts w:ascii="Arial" w:hAnsi="Arial" w:cs="Arial" w:eastAsia="Arial" w:hint="default"/>
        </w:rPr>
        <w:t> </w:t>
      </w:r>
      <w:r>
        <w:rPr/>
        <w:t>年 </w:t>
      </w:r>
      <w:r>
        <w:rPr>
          <w:rFonts w:ascii="Arial" w:hAnsi="Arial" w:cs="Arial" w:eastAsia="Arial" w:hint="default"/>
        </w:rPr>
        <w:t>12 </w:t>
      </w:r>
      <w:r>
        <w:rPr/>
        <w:t>月 </w:t>
      </w:r>
      <w:r>
        <w:rPr>
          <w:rFonts w:ascii="Arial" w:hAnsi="Arial" w:cs="Arial" w:eastAsia="Arial" w:hint="default"/>
        </w:rPr>
        <w:t>31 </w:t>
      </w:r>
      <w:r>
        <w:rPr>
          <w:rFonts w:ascii="Arial" w:hAnsi="Arial" w:cs="Arial" w:eastAsia="Arial" w:hint="default"/>
          <w:spacing w:val="34"/>
        </w:rPr>
        <w:t> </w:t>
      </w:r>
      <w:r>
        <w:rPr>
          <w:spacing w:val="-1"/>
        </w:rPr>
        <w:t>日余额为人民币</w:t>
      </w:r>
    </w:p>
    <w:p>
      <w:pPr>
        <w:pStyle w:val="BodyText"/>
        <w:spacing w:line="260" w:lineRule="exact" w:before="17"/>
        <w:ind w:left="861" w:right="1058"/>
        <w:jc w:val="left"/>
      </w:pPr>
      <w:r>
        <w:rPr>
          <w:rFonts w:ascii="Arial" w:hAnsi="Arial" w:cs="Arial" w:eastAsia="Arial" w:hint="default"/>
        </w:rPr>
        <w:t>60,503,942</w:t>
      </w:r>
      <w:r>
        <w:rPr>
          <w:rFonts w:ascii="Arial" w:hAnsi="Arial" w:cs="Arial" w:eastAsia="Arial" w:hint="default"/>
          <w:spacing w:val="-11"/>
        </w:rPr>
        <w:t> </w:t>
      </w:r>
      <w:r>
        <w:rPr/>
        <w:t>元，该余额是由基金投资构成，而</w:t>
      </w:r>
      <w:r>
        <w:rPr>
          <w:spacing w:val="-55"/>
        </w:rPr>
        <w:t> </w:t>
      </w:r>
      <w:r>
        <w:rPr>
          <w:rFonts w:ascii="Arial" w:hAnsi="Arial" w:cs="Arial" w:eastAsia="Arial" w:hint="default"/>
        </w:rPr>
        <w:t>2009</w:t>
      </w:r>
      <w:r>
        <w:rPr>
          <w:rFonts w:ascii="Arial" w:hAnsi="Arial" w:cs="Arial" w:eastAsia="Arial" w:hint="default"/>
          <w:spacing w:val="-11"/>
        </w:rPr>
        <w:t> </w:t>
      </w:r>
      <w:r>
        <w:rPr/>
        <w:t>年度本集团处置了所有的基金投资，</w:t>
      </w:r>
      <w:r>
        <w:rPr>
          <w:w w:val="100"/>
        </w:rPr>
        <w:t> </w:t>
      </w:r>
      <w:r>
        <w:rPr/>
        <w:t>故该科目余额为零。</w:t>
      </w:r>
    </w:p>
    <w:p>
      <w:pPr>
        <w:spacing w:line="240" w:lineRule="auto" w:before="8"/>
        <w:rPr>
          <w:rFonts w:ascii="黑体" w:hAnsi="黑体" w:cs="黑体" w:eastAsia="黑体" w:hint="default"/>
          <w:sz w:val="15"/>
          <w:szCs w:val="15"/>
        </w:rPr>
      </w:pPr>
    </w:p>
    <w:p>
      <w:pPr>
        <w:pStyle w:val="BodyText"/>
        <w:tabs>
          <w:tab w:pos="861" w:val="left" w:leader="none"/>
        </w:tabs>
        <w:spacing w:line="268" w:lineRule="exact"/>
        <w:ind w:left="141" w:right="1058"/>
        <w:jc w:val="left"/>
      </w:pPr>
      <w:r>
        <w:rPr>
          <w:rFonts w:ascii="Arial" w:hAnsi="Arial" w:cs="Arial" w:eastAsia="Arial" w:hint="default"/>
          <w:spacing w:val="-1"/>
          <w:w w:val="100"/>
        </w:rPr>
        <w:t>3</w:t>
      </w:r>
      <w:r>
        <w:rPr>
          <w:rFonts w:ascii="Arial" w:hAnsi="Arial" w:cs="Arial" w:eastAsia="Arial" w:hint="default"/>
          <w:w w:val="100"/>
        </w:rPr>
        <w:t>.</w:t>
      </w:r>
      <w:r>
        <w:rPr>
          <w:rFonts w:ascii="Arial" w:hAnsi="Arial" w:cs="Arial" w:eastAsia="Arial" w:hint="default"/>
        </w:rPr>
        <w:tab/>
      </w:r>
      <w:r>
        <w:rPr>
          <w:w w:val="100"/>
        </w:rPr>
        <w:t>应收</w:t>
      </w:r>
      <w:r>
        <w:rPr>
          <w:spacing w:val="-2"/>
          <w:w w:val="100"/>
        </w:rPr>
        <w:t>票</w:t>
      </w:r>
      <w:r>
        <w:rPr>
          <w:w w:val="100"/>
        </w:rPr>
        <w:t>据</w:t>
      </w:r>
      <w:r>
        <w:rPr>
          <w:spacing w:val="-50"/>
        </w:rPr>
        <w:t> </w:t>
      </w:r>
      <w:r>
        <w:rPr>
          <w:rFonts w:ascii="Arial" w:hAnsi="Arial" w:cs="Arial" w:eastAsia="Arial" w:hint="default"/>
          <w:w w:val="100"/>
        </w:rPr>
        <w:t>2</w:t>
      </w:r>
      <w:r>
        <w:rPr>
          <w:rFonts w:ascii="Arial" w:hAnsi="Arial" w:cs="Arial" w:eastAsia="Arial" w:hint="default"/>
          <w:spacing w:val="-2"/>
          <w:w w:val="100"/>
        </w:rPr>
        <w:t>00</w:t>
      </w:r>
      <w:r>
        <w:rPr>
          <w:rFonts w:ascii="Arial" w:hAnsi="Arial" w:cs="Arial" w:eastAsia="Arial" w:hint="default"/>
          <w:w w:val="100"/>
        </w:rPr>
        <w:t>9</w:t>
      </w:r>
      <w:r>
        <w:rPr>
          <w:rFonts w:ascii="Arial" w:hAnsi="Arial" w:cs="Arial" w:eastAsia="Arial" w:hint="default"/>
          <w:spacing w:val="-5"/>
        </w:rPr>
        <w:t> </w:t>
      </w:r>
      <w:r>
        <w:rPr>
          <w:w w:val="100"/>
        </w:rPr>
        <w:t>年</w:t>
      </w:r>
      <w:r>
        <w:rPr>
          <w:spacing w:val="-51"/>
        </w:rPr>
        <w:t> </w:t>
      </w:r>
      <w:r>
        <w:rPr>
          <w:rFonts w:ascii="Arial" w:hAnsi="Arial" w:cs="Arial" w:eastAsia="Arial" w:hint="default"/>
          <w:w w:val="100"/>
        </w:rPr>
        <w:t>12</w:t>
      </w:r>
      <w:r>
        <w:rPr>
          <w:rFonts w:ascii="Arial" w:hAnsi="Arial" w:cs="Arial" w:eastAsia="Arial" w:hint="default"/>
          <w:spacing w:val="-7"/>
        </w:rPr>
        <w:t> </w:t>
      </w:r>
      <w:r>
        <w:rPr>
          <w:w w:val="100"/>
        </w:rPr>
        <w:t>月</w:t>
      </w:r>
      <w:r>
        <w:rPr>
          <w:spacing w:val="-50"/>
        </w:rPr>
        <w:t> </w:t>
      </w:r>
      <w:r>
        <w:rPr>
          <w:rFonts w:ascii="Arial" w:hAnsi="Arial" w:cs="Arial" w:eastAsia="Arial" w:hint="default"/>
          <w:spacing w:val="-2"/>
          <w:w w:val="100"/>
        </w:rPr>
        <w:t>3</w:t>
      </w:r>
      <w:r>
        <w:rPr>
          <w:rFonts w:ascii="Arial" w:hAnsi="Arial" w:cs="Arial" w:eastAsia="Arial" w:hint="default"/>
          <w:w w:val="100"/>
        </w:rPr>
        <w:t>1</w:t>
      </w:r>
      <w:r>
        <w:rPr>
          <w:rFonts w:ascii="Arial" w:hAnsi="Arial" w:cs="Arial" w:eastAsia="Arial" w:hint="default"/>
          <w:spacing w:val="-7"/>
        </w:rPr>
        <w:t> </w:t>
      </w:r>
      <w:r>
        <w:rPr>
          <w:w w:val="100"/>
        </w:rPr>
        <w:t>日余额</w:t>
      </w:r>
      <w:r>
        <w:rPr>
          <w:spacing w:val="-2"/>
          <w:w w:val="100"/>
        </w:rPr>
        <w:t>为</w:t>
      </w:r>
      <w:r>
        <w:rPr>
          <w:w w:val="100"/>
        </w:rPr>
        <w:t>人</w:t>
      </w:r>
      <w:r>
        <w:rPr>
          <w:spacing w:val="-2"/>
          <w:w w:val="100"/>
        </w:rPr>
        <w:t>民</w:t>
      </w:r>
      <w:r>
        <w:rPr>
          <w:w w:val="100"/>
        </w:rPr>
        <w:t>币</w:t>
      </w:r>
      <w:r>
        <w:rPr>
          <w:spacing w:val="-50"/>
        </w:rPr>
        <w:t> </w:t>
      </w:r>
      <w:r>
        <w:rPr>
          <w:rFonts w:ascii="Arial" w:hAnsi="Arial" w:cs="Arial" w:eastAsia="Arial" w:hint="default"/>
          <w:spacing w:val="-1"/>
          <w:w w:val="100"/>
        </w:rPr>
        <w:t>22,</w:t>
      </w:r>
      <w:r>
        <w:rPr>
          <w:rFonts w:ascii="Arial" w:hAnsi="Arial" w:cs="Arial" w:eastAsia="Arial" w:hint="default"/>
          <w:spacing w:val="-2"/>
          <w:w w:val="100"/>
        </w:rPr>
        <w:t>7</w:t>
      </w:r>
      <w:r>
        <w:rPr>
          <w:rFonts w:ascii="Arial" w:hAnsi="Arial" w:cs="Arial" w:eastAsia="Arial" w:hint="default"/>
          <w:spacing w:val="-1"/>
          <w:w w:val="100"/>
        </w:rPr>
        <w:t>56,0</w:t>
      </w:r>
      <w:r>
        <w:rPr>
          <w:rFonts w:ascii="Arial" w:hAnsi="Arial" w:cs="Arial" w:eastAsia="Arial" w:hint="default"/>
          <w:spacing w:val="-2"/>
          <w:w w:val="100"/>
        </w:rPr>
        <w:t>0</w:t>
      </w:r>
      <w:r>
        <w:rPr>
          <w:rFonts w:ascii="Arial" w:hAnsi="Arial" w:cs="Arial" w:eastAsia="Arial" w:hint="default"/>
          <w:w w:val="100"/>
        </w:rPr>
        <w:t>0</w:t>
      </w:r>
      <w:r>
        <w:rPr>
          <w:rFonts w:ascii="Arial" w:hAnsi="Arial" w:cs="Arial" w:eastAsia="Arial" w:hint="default"/>
          <w:spacing w:val="-6"/>
        </w:rPr>
        <w:t> </w:t>
      </w:r>
      <w:r>
        <w:rPr>
          <w:w w:val="100"/>
        </w:rPr>
        <w:t>元</w:t>
      </w:r>
      <w:r>
        <w:rPr>
          <w:spacing w:val="-98"/>
          <w:w w:val="100"/>
        </w:rPr>
        <w:t>，</w:t>
      </w:r>
      <w:r>
        <w:rPr>
          <w:w w:val="100"/>
        </w:rPr>
        <w:t>较</w:t>
      </w:r>
      <w:r>
        <w:rPr>
          <w:spacing w:val="-50"/>
        </w:rPr>
        <w:t> </w:t>
      </w:r>
      <w:r>
        <w:rPr>
          <w:rFonts w:ascii="Arial" w:hAnsi="Arial" w:cs="Arial" w:eastAsia="Arial" w:hint="default"/>
          <w:w w:val="100"/>
        </w:rPr>
        <w:t>2</w:t>
      </w:r>
      <w:r>
        <w:rPr>
          <w:rFonts w:ascii="Arial" w:hAnsi="Arial" w:cs="Arial" w:eastAsia="Arial" w:hint="default"/>
          <w:spacing w:val="-2"/>
          <w:w w:val="100"/>
        </w:rPr>
        <w:t>0</w:t>
      </w:r>
      <w:r>
        <w:rPr>
          <w:rFonts w:ascii="Arial" w:hAnsi="Arial" w:cs="Arial" w:eastAsia="Arial" w:hint="default"/>
          <w:w w:val="100"/>
        </w:rPr>
        <w:t>08</w:t>
      </w:r>
      <w:r>
        <w:rPr>
          <w:rFonts w:ascii="Arial" w:hAnsi="Arial" w:cs="Arial" w:eastAsia="Arial" w:hint="default"/>
          <w:spacing w:val="-7"/>
        </w:rPr>
        <w:t> </w:t>
      </w:r>
      <w:r>
        <w:rPr>
          <w:w w:val="100"/>
        </w:rPr>
        <w:t>年</w:t>
      </w:r>
      <w:r>
        <w:rPr>
          <w:spacing w:val="-50"/>
        </w:rPr>
        <w:t> </w:t>
      </w:r>
      <w:r>
        <w:rPr>
          <w:rFonts w:ascii="Arial" w:hAnsi="Arial" w:cs="Arial" w:eastAsia="Arial" w:hint="default"/>
          <w:spacing w:val="-2"/>
          <w:w w:val="100"/>
        </w:rPr>
        <w:t>1</w:t>
      </w:r>
      <w:r>
        <w:rPr>
          <w:rFonts w:ascii="Arial" w:hAnsi="Arial" w:cs="Arial" w:eastAsia="Arial" w:hint="default"/>
          <w:w w:val="100"/>
        </w:rPr>
        <w:t>2</w:t>
      </w:r>
      <w:r>
        <w:rPr>
          <w:rFonts w:ascii="Arial" w:hAnsi="Arial" w:cs="Arial" w:eastAsia="Arial" w:hint="default"/>
          <w:spacing w:val="-5"/>
        </w:rPr>
        <w:t> </w:t>
      </w:r>
      <w:r>
        <w:rPr>
          <w:w w:val="100"/>
        </w:rPr>
        <w:t>月</w:t>
      </w:r>
      <w:r>
        <w:rPr>
          <w:spacing w:val="-51"/>
        </w:rPr>
        <w:t> </w:t>
      </w:r>
      <w:r>
        <w:rPr>
          <w:rFonts w:ascii="Arial" w:hAnsi="Arial" w:cs="Arial" w:eastAsia="Arial" w:hint="default"/>
          <w:w w:val="100"/>
        </w:rPr>
        <w:t>31</w:t>
      </w:r>
      <w:r>
        <w:rPr>
          <w:rFonts w:ascii="Arial" w:hAnsi="Arial" w:cs="Arial" w:eastAsia="Arial" w:hint="default"/>
          <w:spacing w:val="-7"/>
        </w:rPr>
        <w:t> </w:t>
      </w:r>
      <w:r>
        <w:rPr>
          <w:w w:val="100"/>
        </w:rPr>
        <w:t>日余额增</w:t>
      </w:r>
    </w:p>
    <w:p>
      <w:pPr>
        <w:pStyle w:val="BodyText"/>
        <w:spacing w:line="268" w:lineRule="exact"/>
        <w:ind w:left="861" w:right="1058"/>
        <w:jc w:val="left"/>
      </w:pPr>
      <w:r>
        <w:rPr/>
        <w:t>加</w:t>
      </w:r>
      <w:r>
        <w:rPr>
          <w:spacing w:val="-52"/>
        </w:rPr>
        <w:t> </w:t>
      </w:r>
      <w:r>
        <w:rPr>
          <w:rFonts w:ascii="Arial" w:hAnsi="Arial" w:cs="Arial" w:eastAsia="Arial" w:hint="default"/>
        </w:rPr>
        <w:t>867%</w:t>
      </w:r>
      <w:r>
        <w:rPr/>
        <w:t>，主要是由于应收票据</w:t>
      </w:r>
      <w:r>
        <w:rPr>
          <w:spacing w:val="-52"/>
        </w:rPr>
        <w:t> </w:t>
      </w:r>
      <w:r>
        <w:rPr>
          <w:rFonts w:ascii="Arial" w:hAnsi="Arial" w:cs="Arial" w:eastAsia="Arial" w:hint="default"/>
        </w:rPr>
        <w:t>2009</w:t>
      </w:r>
      <w:r>
        <w:rPr>
          <w:rFonts w:ascii="Arial" w:hAnsi="Arial" w:cs="Arial" w:eastAsia="Arial" w:hint="default"/>
          <w:spacing w:val="-7"/>
        </w:rPr>
        <w:t> </w:t>
      </w:r>
      <w:r>
        <w:rPr/>
        <w:t>年</w:t>
      </w:r>
      <w:r>
        <w:rPr>
          <w:spacing w:val="-53"/>
        </w:rPr>
        <w:t> </w:t>
      </w:r>
      <w:r>
        <w:rPr>
          <w:rFonts w:ascii="Arial" w:hAnsi="Arial" w:cs="Arial" w:eastAsia="Arial" w:hint="default"/>
        </w:rPr>
        <w:t>12</w:t>
      </w:r>
      <w:r>
        <w:rPr>
          <w:rFonts w:ascii="Arial" w:hAnsi="Arial" w:cs="Arial" w:eastAsia="Arial" w:hint="default"/>
          <w:spacing w:val="-9"/>
        </w:rPr>
        <w:t> </w:t>
      </w:r>
      <w:r>
        <w:rPr/>
        <w:t>月</w:t>
      </w:r>
      <w:r>
        <w:rPr>
          <w:spacing w:val="-52"/>
        </w:rPr>
        <w:t> </w:t>
      </w:r>
      <w:r>
        <w:rPr>
          <w:rFonts w:ascii="Arial" w:hAnsi="Arial" w:cs="Arial" w:eastAsia="Arial" w:hint="default"/>
        </w:rPr>
        <w:t>31</w:t>
      </w:r>
      <w:r>
        <w:rPr>
          <w:rFonts w:ascii="Arial" w:hAnsi="Arial" w:cs="Arial" w:eastAsia="Arial" w:hint="default"/>
          <w:spacing w:val="-7"/>
        </w:rPr>
        <w:t> </w:t>
      </w:r>
      <w:r>
        <w:rPr/>
        <w:t>日余额于本年底尚未到期所致。</w:t>
      </w:r>
    </w:p>
    <w:p>
      <w:pPr>
        <w:spacing w:line="240" w:lineRule="auto" w:before="4"/>
        <w:rPr>
          <w:rFonts w:ascii="黑体" w:hAnsi="黑体" w:cs="黑体" w:eastAsia="黑体" w:hint="default"/>
          <w:sz w:val="18"/>
          <w:szCs w:val="18"/>
        </w:rPr>
      </w:pPr>
    </w:p>
    <w:p>
      <w:pPr>
        <w:pStyle w:val="BodyText"/>
        <w:tabs>
          <w:tab w:pos="861" w:val="left" w:leader="none"/>
        </w:tabs>
        <w:spacing w:line="260" w:lineRule="exact"/>
        <w:ind w:left="861" w:right="1695" w:hanging="721"/>
        <w:jc w:val="left"/>
      </w:pPr>
      <w:r>
        <w:rPr>
          <w:rFonts w:ascii="Arial" w:hAnsi="Arial" w:cs="Arial" w:eastAsia="Arial" w:hint="default"/>
          <w:spacing w:val="-1"/>
        </w:rPr>
        <w:t>4.</w:t>
        <w:tab/>
      </w:r>
      <w:r>
        <w:rPr>
          <w:spacing w:val="-1"/>
        </w:rPr>
        <w:t>应收账款</w:t>
      </w:r>
      <w:r>
        <w:rPr>
          <w:spacing w:val="-49"/>
        </w:rPr>
        <w:t> </w:t>
      </w:r>
      <w:r>
        <w:rPr>
          <w:rFonts w:ascii="Arial" w:hAnsi="Arial" w:cs="Arial" w:eastAsia="Arial" w:hint="default"/>
          <w:spacing w:val="-1"/>
        </w:rPr>
        <w:t>2009</w:t>
      </w:r>
      <w:r>
        <w:rPr>
          <w:rFonts w:ascii="Arial" w:hAnsi="Arial" w:cs="Arial" w:eastAsia="Arial" w:hint="default"/>
          <w:spacing w:val="-4"/>
        </w:rPr>
        <w:t> </w:t>
      </w:r>
      <w:r>
        <w:rPr/>
        <w:t>年</w:t>
      </w:r>
      <w:r>
        <w:rPr>
          <w:spacing w:val="-50"/>
        </w:rPr>
        <w:t> </w:t>
      </w:r>
      <w:r>
        <w:rPr>
          <w:rFonts w:ascii="Arial" w:hAnsi="Arial" w:cs="Arial" w:eastAsia="Arial" w:hint="default"/>
        </w:rPr>
        <w:t>12</w:t>
      </w:r>
      <w:r>
        <w:rPr>
          <w:rFonts w:ascii="Arial" w:hAnsi="Arial" w:cs="Arial" w:eastAsia="Arial" w:hint="default"/>
          <w:spacing w:val="-6"/>
        </w:rPr>
        <w:t> </w:t>
      </w:r>
      <w:r>
        <w:rPr/>
        <w:t>月</w:t>
      </w:r>
      <w:r>
        <w:rPr>
          <w:spacing w:val="-49"/>
        </w:rPr>
        <w:t> </w:t>
      </w:r>
      <w:r>
        <w:rPr>
          <w:rFonts w:ascii="Arial" w:hAnsi="Arial" w:cs="Arial" w:eastAsia="Arial" w:hint="default"/>
          <w:spacing w:val="-1"/>
        </w:rPr>
        <w:t>31</w:t>
      </w:r>
      <w:r>
        <w:rPr>
          <w:rFonts w:ascii="Arial" w:hAnsi="Arial" w:cs="Arial" w:eastAsia="Arial" w:hint="default"/>
          <w:spacing w:val="-6"/>
        </w:rPr>
        <w:t> </w:t>
      </w:r>
      <w:r>
        <w:rPr>
          <w:spacing w:val="-1"/>
        </w:rPr>
        <w:t>日余额为人民币</w:t>
      </w:r>
      <w:r>
        <w:rPr>
          <w:spacing w:val="-49"/>
        </w:rPr>
        <w:t> </w:t>
      </w:r>
      <w:r>
        <w:rPr>
          <w:rFonts w:ascii="Arial" w:hAnsi="Arial" w:cs="Arial" w:eastAsia="Arial" w:hint="default"/>
          <w:spacing w:val="-1"/>
        </w:rPr>
        <w:t>510,883,978</w:t>
      </w:r>
      <w:r>
        <w:rPr>
          <w:rFonts w:ascii="Arial" w:hAnsi="Arial" w:cs="Arial" w:eastAsia="Arial" w:hint="default"/>
          <w:spacing w:val="-5"/>
        </w:rPr>
        <w:t> </w:t>
      </w:r>
      <w:r>
        <w:rPr>
          <w:spacing w:val="-3"/>
        </w:rPr>
        <w:t>元，较</w:t>
      </w:r>
      <w:r>
        <w:rPr>
          <w:spacing w:val="-49"/>
        </w:rPr>
        <w:t> </w:t>
      </w:r>
      <w:r>
        <w:rPr>
          <w:rFonts w:ascii="Arial" w:hAnsi="Arial" w:cs="Arial" w:eastAsia="Arial" w:hint="default"/>
          <w:spacing w:val="-1"/>
        </w:rPr>
        <w:t>2008</w:t>
      </w:r>
      <w:r>
        <w:rPr>
          <w:rFonts w:ascii="Arial" w:hAnsi="Arial" w:cs="Arial" w:eastAsia="Arial" w:hint="default"/>
          <w:spacing w:val="-6"/>
        </w:rPr>
        <w:t> </w:t>
      </w:r>
      <w:r>
        <w:rPr/>
        <w:t>年</w:t>
      </w:r>
      <w:r>
        <w:rPr>
          <w:spacing w:val="-49"/>
        </w:rPr>
        <w:t> </w:t>
      </w:r>
      <w:r>
        <w:rPr>
          <w:rFonts w:ascii="Arial" w:hAnsi="Arial" w:cs="Arial" w:eastAsia="Arial" w:hint="default"/>
          <w:spacing w:val="-1"/>
        </w:rPr>
        <w:t>12</w:t>
      </w:r>
      <w:r>
        <w:rPr>
          <w:rFonts w:ascii="Arial" w:hAnsi="Arial" w:cs="Arial" w:eastAsia="Arial" w:hint="default"/>
          <w:spacing w:val="-4"/>
        </w:rPr>
        <w:t> </w:t>
      </w:r>
      <w:r>
        <w:rPr/>
        <w:t>月</w:t>
      </w:r>
      <w:r>
        <w:rPr>
          <w:spacing w:val="-50"/>
        </w:rPr>
        <w:t> </w:t>
      </w:r>
      <w:r>
        <w:rPr>
          <w:rFonts w:ascii="Arial" w:hAnsi="Arial" w:cs="Arial" w:eastAsia="Arial" w:hint="default"/>
          <w:spacing w:val="-1"/>
        </w:rPr>
        <w:t>31</w:t>
      </w:r>
      <w:r>
        <w:rPr>
          <w:rFonts w:ascii="Arial" w:hAnsi="Arial" w:cs="Arial" w:eastAsia="Arial" w:hint="default"/>
          <w:spacing w:val="-4"/>
        </w:rPr>
        <w:t> </w:t>
      </w:r>
      <w:r>
        <w:rPr/>
        <w:t>日余额</w:t>
      </w:r>
      <w:r>
        <w:rPr>
          <w:w w:val="100"/>
        </w:rPr>
        <w:t> </w:t>
      </w:r>
      <w:r>
        <w:rPr/>
        <w:t>增加</w:t>
      </w:r>
      <w:r>
        <w:rPr>
          <w:spacing w:val="-56"/>
        </w:rPr>
        <w:t> </w:t>
      </w:r>
      <w:r>
        <w:rPr>
          <w:rFonts w:ascii="Arial" w:hAnsi="Arial" w:cs="Arial" w:eastAsia="Arial" w:hint="default"/>
        </w:rPr>
        <w:t>84%</w:t>
      </w:r>
      <w:r>
        <w:rPr/>
        <w:t>，主要是由于本年收入增加所致。</w:t>
      </w:r>
    </w:p>
    <w:p>
      <w:pPr>
        <w:spacing w:line="240" w:lineRule="auto" w:before="8"/>
        <w:rPr>
          <w:rFonts w:ascii="黑体" w:hAnsi="黑体" w:cs="黑体" w:eastAsia="黑体" w:hint="default"/>
          <w:sz w:val="15"/>
          <w:szCs w:val="15"/>
        </w:rPr>
      </w:pPr>
    </w:p>
    <w:p>
      <w:pPr>
        <w:pStyle w:val="BodyText"/>
        <w:tabs>
          <w:tab w:pos="861" w:val="left" w:leader="none"/>
        </w:tabs>
        <w:spacing w:line="268" w:lineRule="exact"/>
        <w:ind w:left="141" w:right="1058"/>
        <w:jc w:val="left"/>
      </w:pPr>
      <w:r>
        <w:rPr>
          <w:rFonts w:ascii="Arial" w:hAnsi="Arial" w:cs="Arial" w:eastAsia="Arial" w:hint="default"/>
          <w:spacing w:val="-1"/>
          <w:w w:val="100"/>
        </w:rPr>
        <w:t>5</w:t>
      </w:r>
      <w:r>
        <w:rPr>
          <w:rFonts w:ascii="Arial" w:hAnsi="Arial" w:cs="Arial" w:eastAsia="Arial" w:hint="default"/>
          <w:w w:val="100"/>
        </w:rPr>
        <w:t>.</w:t>
      </w:r>
      <w:r>
        <w:rPr>
          <w:rFonts w:ascii="Arial" w:hAnsi="Arial" w:cs="Arial" w:eastAsia="Arial" w:hint="default"/>
        </w:rPr>
        <w:tab/>
      </w:r>
      <w:r>
        <w:rPr>
          <w:w w:val="100"/>
        </w:rPr>
        <w:t>其他应</w:t>
      </w:r>
      <w:r>
        <w:rPr>
          <w:spacing w:val="-2"/>
          <w:w w:val="100"/>
        </w:rPr>
        <w:t>收</w:t>
      </w:r>
      <w:r>
        <w:rPr>
          <w:w w:val="100"/>
        </w:rPr>
        <w:t>款</w:t>
      </w:r>
      <w:r>
        <w:rPr>
          <w:spacing w:val="-50"/>
        </w:rPr>
        <w:t> </w:t>
      </w:r>
      <w:r>
        <w:rPr>
          <w:rFonts w:ascii="Arial" w:hAnsi="Arial" w:cs="Arial" w:eastAsia="Arial" w:hint="default"/>
          <w:spacing w:val="-2"/>
          <w:w w:val="100"/>
        </w:rPr>
        <w:t>2</w:t>
      </w:r>
      <w:r>
        <w:rPr>
          <w:rFonts w:ascii="Arial" w:hAnsi="Arial" w:cs="Arial" w:eastAsia="Arial" w:hint="default"/>
          <w:w w:val="100"/>
        </w:rPr>
        <w:t>009</w:t>
      </w:r>
      <w:r>
        <w:rPr>
          <w:rFonts w:ascii="Arial" w:hAnsi="Arial" w:cs="Arial" w:eastAsia="Arial" w:hint="default"/>
          <w:spacing w:val="-7"/>
        </w:rPr>
        <w:t> </w:t>
      </w:r>
      <w:r>
        <w:rPr>
          <w:w w:val="100"/>
        </w:rPr>
        <w:t>年</w:t>
      </w:r>
      <w:r>
        <w:rPr>
          <w:spacing w:val="-50"/>
        </w:rPr>
        <w:t> </w:t>
      </w:r>
      <w:r>
        <w:rPr>
          <w:rFonts w:ascii="Arial" w:hAnsi="Arial" w:cs="Arial" w:eastAsia="Arial" w:hint="default"/>
          <w:spacing w:val="-2"/>
          <w:w w:val="100"/>
        </w:rPr>
        <w:t>1</w:t>
      </w:r>
      <w:r>
        <w:rPr>
          <w:rFonts w:ascii="Arial" w:hAnsi="Arial" w:cs="Arial" w:eastAsia="Arial" w:hint="default"/>
          <w:w w:val="100"/>
        </w:rPr>
        <w:t>2</w:t>
      </w:r>
      <w:r>
        <w:rPr>
          <w:rFonts w:ascii="Arial" w:hAnsi="Arial" w:cs="Arial" w:eastAsia="Arial" w:hint="default"/>
          <w:spacing w:val="-7"/>
        </w:rPr>
        <w:t> </w:t>
      </w:r>
      <w:r>
        <w:rPr>
          <w:w w:val="100"/>
        </w:rPr>
        <w:t>月</w:t>
      </w:r>
      <w:r>
        <w:rPr>
          <w:spacing w:val="-51"/>
        </w:rPr>
        <w:t> </w:t>
      </w:r>
      <w:r>
        <w:rPr>
          <w:rFonts w:ascii="Arial" w:hAnsi="Arial" w:cs="Arial" w:eastAsia="Arial" w:hint="default"/>
          <w:w w:val="100"/>
        </w:rPr>
        <w:t>31</w:t>
      </w:r>
      <w:r>
        <w:rPr>
          <w:rFonts w:ascii="Arial" w:hAnsi="Arial" w:cs="Arial" w:eastAsia="Arial" w:hint="default"/>
          <w:spacing w:val="-5"/>
        </w:rPr>
        <w:t> </w:t>
      </w:r>
      <w:r>
        <w:rPr>
          <w:spacing w:val="-2"/>
          <w:w w:val="100"/>
        </w:rPr>
        <w:t>日</w:t>
      </w:r>
      <w:r>
        <w:rPr>
          <w:w w:val="100"/>
        </w:rPr>
        <w:t>余额</w:t>
      </w:r>
      <w:r>
        <w:rPr>
          <w:spacing w:val="-2"/>
          <w:w w:val="100"/>
        </w:rPr>
        <w:t>为</w:t>
      </w:r>
      <w:r>
        <w:rPr>
          <w:w w:val="100"/>
        </w:rPr>
        <w:t>人民币</w:t>
      </w:r>
      <w:r>
        <w:rPr>
          <w:spacing w:val="-51"/>
        </w:rPr>
        <w:t> </w:t>
      </w:r>
      <w:r>
        <w:rPr>
          <w:rFonts w:ascii="Arial" w:hAnsi="Arial" w:cs="Arial" w:eastAsia="Arial" w:hint="default"/>
          <w:w w:val="100"/>
        </w:rPr>
        <w:t>39,0</w:t>
      </w:r>
      <w:r>
        <w:rPr>
          <w:rFonts w:ascii="Arial" w:hAnsi="Arial" w:cs="Arial" w:eastAsia="Arial" w:hint="default"/>
          <w:spacing w:val="-1"/>
          <w:w w:val="100"/>
        </w:rPr>
        <w:t>7</w:t>
      </w:r>
      <w:r>
        <w:rPr>
          <w:rFonts w:ascii="Arial" w:hAnsi="Arial" w:cs="Arial" w:eastAsia="Arial" w:hint="default"/>
          <w:w w:val="100"/>
        </w:rPr>
        <w:t>1,261</w:t>
      </w:r>
      <w:r>
        <w:rPr>
          <w:rFonts w:ascii="Arial" w:hAnsi="Arial" w:cs="Arial" w:eastAsia="Arial" w:hint="default"/>
          <w:spacing w:val="-7"/>
        </w:rPr>
        <w:t> </w:t>
      </w:r>
      <w:r>
        <w:rPr>
          <w:w w:val="100"/>
        </w:rPr>
        <w:t>元</w:t>
      </w:r>
      <w:r>
        <w:rPr>
          <w:spacing w:val="-96"/>
          <w:w w:val="100"/>
        </w:rPr>
        <w:t>，</w:t>
      </w:r>
      <w:r>
        <w:rPr>
          <w:w w:val="100"/>
        </w:rPr>
        <w:t>较</w:t>
      </w:r>
      <w:r>
        <w:rPr>
          <w:spacing w:val="-51"/>
        </w:rPr>
        <w:t> </w:t>
      </w:r>
      <w:r>
        <w:rPr>
          <w:rFonts w:ascii="Arial" w:hAnsi="Arial" w:cs="Arial" w:eastAsia="Arial" w:hint="default"/>
          <w:spacing w:val="-2"/>
          <w:w w:val="100"/>
        </w:rPr>
        <w:t>2</w:t>
      </w:r>
      <w:r>
        <w:rPr>
          <w:rFonts w:ascii="Arial" w:hAnsi="Arial" w:cs="Arial" w:eastAsia="Arial" w:hint="default"/>
          <w:w w:val="100"/>
        </w:rPr>
        <w:t>008</w:t>
      </w:r>
      <w:r>
        <w:rPr>
          <w:rFonts w:ascii="Arial" w:hAnsi="Arial" w:cs="Arial" w:eastAsia="Arial" w:hint="default"/>
          <w:spacing w:val="-7"/>
        </w:rPr>
        <w:t> </w:t>
      </w:r>
      <w:r>
        <w:rPr>
          <w:w w:val="100"/>
        </w:rPr>
        <w:t>年</w:t>
      </w:r>
      <w:r>
        <w:rPr>
          <w:spacing w:val="-50"/>
        </w:rPr>
        <w:t> </w:t>
      </w:r>
      <w:r>
        <w:rPr>
          <w:rFonts w:ascii="Arial" w:hAnsi="Arial" w:cs="Arial" w:eastAsia="Arial" w:hint="default"/>
          <w:spacing w:val="-2"/>
          <w:w w:val="100"/>
        </w:rPr>
        <w:t>1</w:t>
      </w:r>
      <w:r>
        <w:rPr>
          <w:rFonts w:ascii="Arial" w:hAnsi="Arial" w:cs="Arial" w:eastAsia="Arial" w:hint="default"/>
          <w:w w:val="100"/>
        </w:rPr>
        <w:t>2</w:t>
      </w:r>
      <w:r>
        <w:rPr>
          <w:rFonts w:ascii="Arial" w:hAnsi="Arial" w:cs="Arial" w:eastAsia="Arial" w:hint="default"/>
          <w:spacing w:val="-7"/>
        </w:rPr>
        <w:t> </w:t>
      </w:r>
      <w:r>
        <w:rPr>
          <w:w w:val="100"/>
        </w:rPr>
        <w:t>月</w:t>
      </w:r>
      <w:r>
        <w:rPr>
          <w:spacing w:val="-51"/>
        </w:rPr>
        <w:t> </w:t>
      </w:r>
      <w:r>
        <w:rPr>
          <w:rFonts w:ascii="Arial" w:hAnsi="Arial" w:cs="Arial" w:eastAsia="Arial" w:hint="default"/>
          <w:w w:val="100"/>
        </w:rPr>
        <w:t>31</w:t>
      </w:r>
      <w:r>
        <w:rPr>
          <w:rFonts w:ascii="Arial" w:hAnsi="Arial" w:cs="Arial" w:eastAsia="Arial" w:hint="default"/>
          <w:spacing w:val="-5"/>
        </w:rPr>
        <w:t> </w:t>
      </w:r>
      <w:r>
        <w:rPr>
          <w:spacing w:val="-2"/>
          <w:w w:val="100"/>
        </w:rPr>
        <w:t>日</w:t>
      </w:r>
      <w:r>
        <w:rPr>
          <w:w w:val="100"/>
        </w:rPr>
        <w:t>余额</w:t>
      </w:r>
    </w:p>
    <w:p>
      <w:pPr>
        <w:pStyle w:val="BodyText"/>
        <w:spacing w:line="259" w:lineRule="exact"/>
        <w:ind w:left="860" w:right="1058"/>
        <w:jc w:val="left"/>
        <w:rPr>
          <w:rFonts w:ascii="Arial" w:hAnsi="Arial" w:cs="Arial" w:eastAsia="Arial" w:hint="default"/>
        </w:rPr>
      </w:pPr>
      <w:r>
        <w:rPr/>
        <w:t>减少</w:t>
      </w:r>
      <w:r>
        <w:rPr>
          <w:spacing w:val="-46"/>
        </w:rPr>
        <w:t> </w:t>
      </w:r>
      <w:r>
        <w:rPr>
          <w:rFonts w:ascii="Arial" w:hAnsi="Arial" w:cs="Arial" w:eastAsia="Arial" w:hint="default"/>
          <w:spacing w:val="-5"/>
        </w:rPr>
        <w:t>53%</w:t>
      </w:r>
      <w:r>
        <w:rPr>
          <w:spacing w:val="-5"/>
        </w:rPr>
        <w:t>，主要由于本公司出售用友大厦于</w:t>
      </w:r>
      <w:r>
        <w:rPr>
          <w:spacing w:val="-46"/>
        </w:rPr>
        <w:t> </w:t>
      </w:r>
      <w:r>
        <w:rPr>
          <w:rFonts w:ascii="Arial" w:hAnsi="Arial" w:cs="Arial" w:eastAsia="Arial" w:hint="default"/>
        </w:rPr>
        <w:t>2008</w:t>
      </w:r>
      <w:r>
        <w:rPr>
          <w:rFonts w:ascii="Arial" w:hAnsi="Arial" w:cs="Arial" w:eastAsia="Arial" w:hint="default"/>
          <w:spacing w:val="-4"/>
        </w:rPr>
        <w:t> </w:t>
      </w:r>
      <w:r>
        <w:rPr/>
        <w:t>年末尚未收到的款项人民币</w:t>
      </w:r>
      <w:r>
        <w:rPr>
          <w:spacing w:val="-46"/>
        </w:rPr>
        <w:t> </w:t>
      </w:r>
      <w:r>
        <w:rPr>
          <w:rFonts w:ascii="Arial" w:hAnsi="Arial" w:cs="Arial" w:eastAsia="Arial" w:hint="default"/>
        </w:rPr>
        <w:t>22,560,000</w:t>
      </w:r>
    </w:p>
    <w:p>
      <w:pPr>
        <w:pStyle w:val="BodyText"/>
        <w:spacing w:line="259" w:lineRule="exact"/>
        <w:ind w:left="860" w:right="1058"/>
        <w:jc w:val="left"/>
        <w:rPr>
          <w:rFonts w:ascii="Arial" w:hAnsi="Arial" w:cs="Arial" w:eastAsia="Arial" w:hint="default"/>
        </w:rPr>
      </w:pPr>
      <w:r>
        <w:rPr>
          <w:w w:val="100"/>
        </w:rPr>
        <w:t>元已于</w:t>
      </w:r>
      <w:r>
        <w:rPr>
          <w:spacing w:val="-62"/>
        </w:rPr>
        <w:t> </w:t>
      </w:r>
      <w:r>
        <w:rPr>
          <w:rFonts w:ascii="Arial" w:hAnsi="Arial" w:cs="Arial" w:eastAsia="Arial" w:hint="default"/>
          <w:w w:val="100"/>
        </w:rPr>
        <w:t>2</w:t>
      </w:r>
      <w:r>
        <w:rPr>
          <w:rFonts w:ascii="Arial" w:hAnsi="Arial" w:cs="Arial" w:eastAsia="Arial" w:hint="default"/>
          <w:spacing w:val="-2"/>
          <w:w w:val="100"/>
        </w:rPr>
        <w:t>0</w:t>
      </w:r>
      <w:r>
        <w:rPr>
          <w:rFonts w:ascii="Arial" w:hAnsi="Arial" w:cs="Arial" w:eastAsia="Arial" w:hint="default"/>
          <w:w w:val="100"/>
        </w:rPr>
        <w:t>09</w:t>
      </w:r>
      <w:r>
        <w:rPr>
          <w:rFonts w:ascii="Arial" w:hAnsi="Arial" w:cs="Arial" w:eastAsia="Arial" w:hint="default"/>
          <w:spacing w:val="-19"/>
        </w:rPr>
        <w:t> </w:t>
      </w:r>
      <w:r>
        <w:rPr>
          <w:w w:val="100"/>
        </w:rPr>
        <w:t>年在所</w:t>
      </w:r>
      <w:r>
        <w:rPr>
          <w:spacing w:val="-2"/>
          <w:w w:val="100"/>
        </w:rPr>
        <w:t>有</w:t>
      </w:r>
      <w:r>
        <w:rPr>
          <w:w w:val="100"/>
        </w:rPr>
        <w:t>权</w:t>
      </w:r>
      <w:r>
        <w:rPr>
          <w:spacing w:val="-2"/>
          <w:w w:val="100"/>
        </w:rPr>
        <w:t>转</w:t>
      </w:r>
      <w:r>
        <w:rPr>
          <w:w w:val="100"/>
        </w:rPr>
        <w:t>移手续</w:t>
      </w:r>
      <w:r>
        <w:rPr>
          <w:spacing w:val="-2"/>
          <w:w w:val="100"/>
        </w:rPr>
        <w:t>完</w:t>
      </w:r>
      <w:r>
        <w:rPr>
          <w:w w:val="100"/>
        </w:rPr>
        <w:t>成</w:t>
      </w:r>
      <w:r>
        <w:rPr>
          <w:spacing w:val="-2"/>
          <w:w w:val="100"/>
        </w:rPr>
        <w:t>后</w:t>
      </w:r>
      <w:r>
        <w:rPr>
          <w:w w:val="100"/>
        </w:rPr>
        <w:t>收回</w:t>
      </w:r>
      <w:r>
        <w:rPr>
          <w:spacing w:val="-101"/>
          <w:w w:val="100"/>
        </w:rPr>
        <w:t>，</w:t>
      </w:r>
      <w:r>
        <w:rPr>
          <w:w w:val="100"/>
        </w:rPr>
        <w:t>应收</w:t>
      </w:r>
      <w:r>
        <w:rPr>
          <w:spacing w:val="-2"/>
          <w:w w:val="100"/>
        </w:rPr>
        <w:t>邵</w:t>
      </w:r>
      <w:r>
        <w:rPr>
          <w:w w:val="100"/>
        </w:rPr>
        <w:t>凯款人民币</w:t>
      </w:r>
      <w:r>
        <w:rPr>
          <w:spacing w:val="-63"/>
        </w:rPr>
        <w:t> </w:t>
      </w:r>
      <w:r>
        <w:rPr>
          <w:rFonts w:ascii="Arial" w:hAnsi="Arial" w:cs="Arial" w:eastAsia="Arial" w:hint="default"/>
          <w:spacing w:val="-2"/>
          <w:w w:val="100"/>
        </w:rPr>
        <w:t>1</w:t>
      </w:r>
      <w:r>
        <w:rPr>
          <w:rFonts w:ascii="Arial" w:hAnsi="Arial" w:cs="Arial" w:eastAsia="Arial" w:hint="default"/>
          <w:w w:val="100"/>
        </w:rPr>
        <w:t>0</w:t>
      </w:r>
      <w:r>
        <w:rPr>
          <w:rFonts w:ascii="Arial" w:hAnsi="Arial" w:cs="Arial" w:eastAsia="Arial" w:hint="default"/>
          <w:spacing w:val="-1"/>
          <w:w w:val="100"/>
        </w:rPr>
        <w:t>,000,00</w:t>
      </w:r>
      <w:r>
        <w:rPr>
          <w:rFonts w:ascii="Arial" w:hAnsi="Arial" w:cs="Arial" w:eastAsia="Arial" w:hint="default"/>
          <w:w w:val="100"/>
        </w:rPr>
        <w:t>0</w:t>
      </w:r>
      <w:r>
        <w:rPr>
          <w:rFonts w:ascii="Arial" w:hAnsi="Arial" w:cs="Arial" w:eastAsia="Arial" w:hint="default"/>
          <w:spacing w:val="-19"/>
        </w:rPr>
        <w:t> </w:t>
      </w:r>
      <w:r>
        <w:rPr>
          <w:spacing w:val="-2"/>
          <w:w w:val="100"/>
        </w:rPr>
        <w:t>元</w:t>
      </w:r>
      <w:r>
        <w:rPr>
          <w:w w:val="100"/>
        </w:rPr>
        <w:t>已于</w:t>
      </w:r>
      <w:r>
        <w:rPr>
          <w:spacing w:val="-62"/>
        </w:rPr>
        <w:t> </w:t>
      </w:r>
      <w:r>
        <w:rPr>
          <w:rFonts w:ascii="Arial" w:hAnsi="Arial" w:cs="Arial" w:eastAsia="Arial" w:hint="default"/>
          <w:w w:val="100"/>
        </w:rPr>
        <w:t>2009</w:t>
      </w:r>
    </w:p>
    <w:p>
      <w:pPr>
        <w:pStyle w:val="BodyText"/>
        <w:spacing w:line="259" w:lineRule="exact"/>
        <w:ind w:left="861" w:right="1058"/>
        <w:jc w:val="left"/>
      </w:pPr>
      <w:r>
        <w:rPr/>
        <w:t>年收回。同时来源于 </w:t>
      </w:r>
      <w:r>
        <w:rPr>
          <w:rFonts w:ascii="Arial" w:hAnsi="Arial" w:cs="Arial" w:eastAsia="Arial" w:hint="default"/>
        </w:rPr>
        <w:t>2007 </w:t>
      </w:r>
      <w:r>
        <w:rPr/>
        <w:t>年和 </w:t>
      </w:r>
      <w:r>
        <w:rPr>
          <w:rFonts w:ascii="Arial" w:hAnsi="Arial" w:cs="Arial" w:eastAsia="Arial" w:hint="default"/>
        </w:rPr>
        <w:t>2008</w:t>
      </w:r>
      <w:r>
        <w:rPr>
          <w:rFonts w:ascii="Arial" w:hAnsi="Arial" w:cs="Arial" w:eastAsia="Arial" w:hint="default"/>
          <w:spacing w:val="-25"/>
        </w:rPr>
        <w:t> </w:t>
      </w:r>
      <w:r>
        <w:rPr/>
        <w:t>年实施股权激励计划应收员工的代扣代缴个人所得</w:t>
      </w:r>
    </w:p>
    <w:p>
      <w:pPr>
        <w:pStyle w:val="BodyText"/>
        <w:spacing w:line="268" w:lineRule="exact"/>
        <w:ind w:left="861" w:right="1058"/>
        <w:jc w:val="left"/>
      </w:pPr>
      <w:r>
        <w:rPr/>
        <w:t>税计人民币</w:t>
      </w:r>
      <w:r>
        <w:rPr>
          <w:spacing w:val="-54"/>
        </w:rPr>
        <w:t> </w:t>
      </w:r>
      <w:r>
        <w:rPr>
          <w:rFonts w:ascii="Arial" w:hAnsi="Arial" w:cs="Arial" w:eastAsia="Arial" w:hint="default"/>
        </w:rPr>
        <w:t>15,566,000</w:t>
      </w:r>
      <w:r>
        <w:rPr>
          <w:rFonts w:ascii="Arial" w:hAnsi="Arial" w:cs="Arial" w:eastAsia="Arial" w:hint="default"/>
          <w:spacing w:val="-10"/>
        </w:rPr>
        <w:t> </w:t>
      </w:r>
      <w:r>
        <w:rPr/>
        <w:t>元已于</w:t>
      </w:r>
      <w:r>
        <w:rPr>
          <w:spacing w:val="-54"/>
        </w:rPr>
        <w:t> </w:t>
      </w:r>
      <w:r>
        <w:rPr>
          <w:rFonts w:ascii="Arial" w:hAnsi="Arial" w:cs="Arial" w:eastAsia="Arial" w:hint="default"/>
        </w:rPr>
        <w:t>2009</w:t>
      </w:r>
      <w:r>
        <w:rPr>
          <w:rFonts w:ascii="Arial" w:hAnsi="Arial" w:cs="Arial" w:eastAsia="Arial" w:hint="default"/>
          <w:spacing w:val="-9"/>
        </w:rPr>
        <w:t> </w:t>
      </w:r>
      <w:r>
        <w:rPr/>
        <w:t>年缴纳结清所致。</w:t>
      </w:r>
    </w:p>
    <w:p>
      <w:pPr>
        <w:spacing w:line="240" w:lineRule="auto" w:before="4"/>
        <w:rPr>
          <w:rFonts w:ascii="黑体" w:hAnsi="黑体" w:cs="黑体" w:eastAsia="黑体" w:hint="default"/>
          <w:sz w:val="16"/>
          <w:szCs w:val="16"/>
        </w:rPr>
      </w:pPr>
    </w:p>
    <w:p>
      <w:pPr>
        <w:pStyle w:val="BodyText"/>
        <w:tabs>
          <w:tab w:pos="860" w:val="left" w:leader="none"/>
        </w:tabs>
        <w:spacing w:line="268" w:lineRule="exact"/>
        <w:ind w:left="140" w:right="1058"/>
        <w:jc w:val="left"/>
      </w:pPr>
      <w:r>
        <w:rPr>
          <w:rFonts w:ascii="Arial" w:hAnsi="Arial" w:cs="Arial" w:eastAsia="Arial" w:hint="default"/>
          <w:spacing w:val="-1"/>
        </w:rPr>
        <w:t>6.</w:t>
        <w:tab/>
      </w:r>
      <w:r>
        <w:rPr/>
        <w:t>存货</w:t>
      </w:r>
      <w:r>
        <w:rPr>
          <w:spacing w:val="-42"/>
        </w:rPr>
        <w:t> </w:t>
      </w:r>
      <w:r>
        <w:rPr>
          <w:rFonts w:ascii="Arial" w:hAnsi="Arial" w:cs="Arial" w:eastAsia="Arial" w:hint="default"/>
          <w:spacing w:val="-1"/>
        </w:rPr>
        <w:t>2009</w:t>
      </w:r>
      <w:r>
        <w:rPr>
          <w:rFonts w:ascii="Arial" w:hAnsi="Arial" w:cs="Arial" w:eastAsia="Arial" w:hint="default"/>
          <w:spacing w:val="2"/>
        </w:rPr>
        <w:t> </w:t>
      </w:r>
      <w:r>
        <w:rPr/>
        <w:t>年</w:t>
      </w:r>
      <w:r>
        <w:rPr>
          <w:spacing w:val="-43"/>
        </w:rPr>
        <w:t> </w:t>
      </w:r>
      <w:r>
        <w:rPr>
          <w:rFonts w:ascii="Arial" w:hAnsi="Arial" w:cs="Arial" w:eastAsia="Arial" w:hint="default"/>
        </w:rPr>
        <w:t>12</w:t>
      </w:r>
      <w:r>
        <w:rPr>
          <w:rFonts w:ascii="Arial" w:hAnsi="Arial" w:cs="Arial" w:eastAsia="Arial" w:hint="default"/>
          <w:spacing w:val="3"/>
        </w:rPr>
        <w:t> </w:t>
      </w:r>
      <w:r>
        <w:rPr/>
        <w:t>月</w:t>
      </w:r>
      <w:r>
        <w:rPr>
          <w:spacing w:val="-43"/>
        </w:rPr>
        <w:t> </w:t>
      </w:r>
      <w:r>
        <w:rPr>
          <w:rFonts w:ascii="Arial" w:hAnsi="Arial" w:cs="Arial" w:eastAsia="Arial" w:hint="default"/>
        </w:rPr>
        <w:t>31</w:t>
      </w:r>
      <w:r>
        <w:rPr>
          <w:rFonts w:ascii="Arial" w:hAnsi="Arial" w:cs="Arial" w:eastAsia="Arial" w:hint="default"/>
          <w:spacing w:val="3"/>
        </w:rPr>
        <w:t> </w:t>
      </w:r>
      <w:r>
        <w:rPr>
          <w:spacing w:val="-1"/>
        </w:rPr>
        <w:t>日余额为人民币</w:t>
      </w:r>
      <w:r>
        <w:rPr>
          <w:spacing w:val="-42"/>
        </w:rPr>
        <w:t> </w:t>
      </w:r>
      <w:r>
        <w:rPr>
          <w:rFonts w:ascii="Arial" w:hAnsi="Arial" w:cs="Arial" w:eastAsia="Arial" w:hint="default"/>
          <w:spacing w:val="-1"/>
        </w:rPr>
        <w:t>11,705,896</w:t>
      </w:r>
      <w:r>
        <w:rPr>
          <w:rFonts w:ascii="Arial" w:hAnsi="Arial" w:cs="Arial" w:eastAsia="Arial" w:hint="default"/>
          <w:spacing w:val="3"/>
        </w:rPr>
        <w:t> </w:t>
      </w:r>
      <w:r>
        <w:rPr>
          <w:spacing w:val="-1"/>
        </w:rPr>
        <w:t>元，较</w:t>
      </w:r>
      <w:r>
        <w:rPr>
          <w:spacing w:val="-42"/>
        </w:rPr>
        <w:t> </w:t>
      </w:r>
      <w:r>
        <w:rPr>
          <w:rFonts w:ascii="Arial" w:hAnsi="Arial" w:cs="Arial" w:eastAsia="Arial" w:hint="default"/>
          <w:spacing w:val="-1"/>
        </w:rPr>
        <w:t>2008</w:t>
      </w:r>
      <w:r>
        <w:rPr>
          <w:rFonts w:ascii="Arial" w:hAnsi="Arial" w:cs="Arial" w:eastAsia="Arial" w:hint="default"/>
          <w:spacing w:val="2"/>
        </w:rPr>
        <w:t> </w:t>
      </w:r>
      <w:r>
        <w:rPr/>
        <w:t>年</w:t>
      </w:r>
      <w:r>
        <w:rPr>
          <w:spacing w:val="-43"/>
        </w:rPr>
        <w:t> </w:t>
      </w:r>
      <w:r>
        <w:rPr>
          <w:rFonts w:ascii="Arial" w:hAnsi="Arial" w:cs="Arial" w:eastAsia="Arial" w:hint="default"/>
        </w:rPr>
        <w:t>12</w:t>
      </w:r>
      <w:r>
        <w:rPr>
          <w:rFonts w:ascii="Arial" w:hAnsi="Arial" w:cs="Arial" w:eastAsia="Arial" w:hint="default"/>
          <w:spacing w:val="3"/>
        </w:rPr>
        <w:t> </w:t>
      </w:r>
      <w:r>
        <w:rPr/>
        <w:t>月</w:t>
      </w:r>
      <w:r>
        <w:rPr>
          <w:spacing w:val="-43"/>
        </w:rPr>
        <w:t> </w:t>
      </w:r>
      <w:r>
        <w:rPr>
          <w:rFonts w:ascii="Arial" w:hAnsi="Arial" w:cs="Arial" w:eastAsia="Arial" w:hint="default"/>
        </w:rPr>
        <w:t>31</w:t>
      </w:r>
      <w:r>
        <w:rPr>
          <w:rFonts w:ascii="Arial" w:hAnsi="Arial" w:cs="Arial" w:eastAsia="Arial" w:hint="default"/>
          <w:spacing w:val="3"/>
        </w:rPr>
        <w:t> </w:t>
      </w:r>
      <w:r>
        <w:rPr>
          <w:spacing w:val="-1"/>
        </w:rPr>
        <w:t>日余额减少</w:t>
      </w:r>
    </w:p>
    <w:p>
      <w:pPr>
        <w:pStyle w:val="BodyText"/>
        <w:spacing w:line="259" w:lineRule="exact"/>
        <w:ind w:left="860" w:right="1058"/>
        <w:jc w:val="left"/>
      </w:pPr>
      <w:r>
        <w:rPr>
          <w:rFonts w:ascii="Arial" w:hAnsi="Arial" w:cs="Arial" w:eastAsia="Arial" w:hint="default"/>
          <w:spacing w:val="-3"/>
        </w:rPr>
        <w:t>19%</w:t>
      </w:r>
      <w:r>
        <w:rPr>
          <w:spacing w:val="-3"/>
        </w:rPr>
        <w:t>，主要是由于本公司</w:t>
      </w:r>
      <w:r>
        <w:rPr>
          <w:spacing w:val="-50"/>
        </w:rPr>
        <w:t> </w:t>
      </w:r>
      <w:r>
        <w:rPr>
          <w:rFonts w:ascii="Arial" w:hAnsi="Arial" w:cs="Arial" w:eastAsia="Arial" w:hint="default"/>
        </w:rPr>
        <w:t>2008</w:t>
      </w:r>
      <w:r>
        <w:rPr>
          <w:rFonts w:ascii="Arial" w:hAnsi="Arial" w:cs="Arial" w:eastAsia="Arial" w:hint="default"/>
          <w:spacing w:val="-7"/>
        </w:rPr>
        <w:t> </w:t>
      </w:r>
      <w:r>
        <w:rPr/>
        <w:t>年库存较多存货满足了</w:t>
      </w:r>
      <w:r>
        <w:rPr>
          <w:spacing w:val="-50"/>
        </w:rPr>
        <w:t> </w:t>
      </w:r>
      <w:r>
        <w:rPr>
          <w:rFonts w:ascii="Arial" w:hAnsi="Arial" w:cs="Arial" w:eastAsia="Arial" w:hint="default"/>
        </w:rPr>
        <w:t>2009</w:t>
      </w:r>
      <w:r>
        <w:rPr>
          <w:rFonts w:ascii="Arial" w:hAnsi="Arial" w:cs="Arial" w:eastAsia="Arial" w:hint="default"/>
          <w:spacing w:val="-7"/>
        </w:rPr>
        <w:t> </w:t>
      </w:r>
      <w:r>
        <w:rPr>
          <w:spacing w:val="-4"/>
        </w:rPr>
        <w:t>年的部分需求，且</w:t>
      </w:r>
      <w:r>
        <w:rPr>
          <w:spacing w:val="-51"/>
        </w:rPr>
        <w:t> </w:t>
      </w:r>
      <w:r>
        <w:rPr>
          <w:rFonts w:ascii="Arial" w:hAnsi="Arial" w:cs="Arial" w:eastAsia="Arial" w:hint="default"/>
        </w:rPr>
        <w:t>2009</w:t>
      </w:r>
      <w:r>
        <w:rPr>
          <w:rFonts w:ascii="Arial" w:hAnsi="Arial" w:cs="Arial" w:eastAsia="Arial" w:hint="default"/>
          <w:spacing w:val="-5"/>
        </w:rPr>
        <w:t> </w:t>
      </w:r>
      <w:r>
        <w:rPr/>
        <w:t>年下</w:t>
      </w:r>
    </w:p>
    <w:p>
      <w:pPr>
        <w:pStyle w:val="BodyText"/>
        <w:spacing w:line="268" w:lineRule="exact"/>
        <w:ind w:left="860" w:right="1058"/>
        <w:jc w:val="left"/>
      </w:pPr>
      <w:r>
        <w:rPr/>
        <w:t>半年销售力度加大导致</w:t>
      </w:r>
      <w:r>
        <w:rPr>
          <w:spacing w:val="-55"/>
        </w:rPr>
        <w:t> </w:t>
      </w:r>
      <w:r>
        <w:rPr>
          <w:rFonts w:ascii="Arial" w:hAnsi="Arial" w:cs="Arial" w:eastAsia="Arial" w:hint="default"/>
        </w:rPr>
        <w:t>2009</w:t>
      </w:r>
      <w:r>
        <w:rPr>
          <w:rFonts w:ascii="Arial" w:hAnsi="Arial" w:cs="Arial" w:eastAsia="Arial" w:hint="default"/>
          <w:spacing w:val="-10"/>
        </w:rPr>
        <w:t> </w:t>
      </w:r>
      <w:r>
        <w:rPr/>
        <w:t>年末的存货部分减少所致。</w:t>
      </w:r>
    </w:p>
    <w:p>
      <w:pPr>
        <w:spacing w:line="240" w:lineRule="auto" w:before="5"/>
        <w:rPr>
          <w:rFonts w:ascii="黑体" w:hAnsi="黑体" w:cs="黑体" w:eastAsia="黑体" w:hint="default"/>
          <w:sz w:val="16"/>
          <w:szCs w:val="16"/>
        </w:rPr>
      </w:pPr>
    </w:p>
    <w:p>
      <w:pPr>
        <w:pStyle w:val="BodyText"/>
        <w:tabs>
          <w:tab w:pos="860" w:val="left" w:leader="none"/>
        </w:tabs>
        <w:spacing w:line="268" w:lineRule="exact"/>
        <w:ind w:left="140" w:right="1058"/>
        <w:jc w:val="left"/>
      </w:pPr>
      <w:r>
        <w:rPr>
          <w:rFonts w:ascii="Arial" w:hAnsi="Arial" w:cs="Arial" w:eastAsia="Arial" w:hint="default"/>
          <w:spacing w:val="-1"/>
        </w:rPr>
        <w:t>7.</w:t>
        <w:tab/>
      </w:r>
      <w:r>
        <w:rPr>
          <w:spacing w:val="-1"/>
        </w:rPr>
        <w:t>可供出售金融资产</w:t>
      </w:r>
      <w:r>
        <w:rPr>
          <w:spacing w:val="-31"/>
        </w:rPr>
        <w:t> </w:t>
      </w:r>
      <w:r>
        <w:rPr>
          <w:rFonts w:ascii="Arial" w:hAnsi="Arial" w:cs="Arial" w:eastAsia="Arial" w:hint="default"/>
          <w:spacing w:val="-1"/>
        </w:rPr>
        <w:t>2009</w:t>
      </w:r>
      <w:r>
        <w:rPr>
          <w:rFonts w:ascii="Arial" w:hAnsi="Arial" w:cs="Arial" w:eastAsia="Arial" w:hint="default"/>
          <w:spacing w:val="12"/>
        </w:rPr>
        <w:t> </w:t>
      </w:r>
      <w:r>
        <w:rPr/>
        <w:t>年</w:t>
      </w:r>
      <w:r>
        <w:rPr>
          <w:spacing w:val="-31"/>
        </w:rPr>
        <w:t> </w:t>
      </w:r>
      <w:r>
        <w:rPr>
          <w:rFonts w:ascii="Arial" w:hAnsi="Arial" w:cs="Arial" w:eastAsia="Arial" w:hint="default"/>
        </w:rPr>
        <w:t>12</w:t>
      </w:r>
      <w:r>
        <w:rPr>
          <w:rFonts w:ascii="Arial" w:hAnsi="Arial" w:cs="Arial" w:eastAsia="Arial" w:hint="default"/>
          <w:spacing w:val="12"/>
        </w:rPr>
        <w:t> </w:t>
      </w:r>
      <w:r>
        <w:rPr/>
        <w:t>月</w:t>
      </w:r>
      <w:r>
        <w:rPr>
          <w:spacing w:val="-31"/>
        </w:rPr>
        <w:t> </w:t>
      </w:r>
      <w:r>
        <w:rPr>
          <w:rFonts w:ascii="Arial" w:hAnsi="Arial" w:cs="Arial" w:eastAsia="Arial" w:hint="default"/>
        </w:rPr>
        <w:t>31</w:t>
      </w:r>
      <w:r>
        <w:rPr>
          <w:rFonts w:ascii="Arial" w:hAnsi="Arial" w:cs="Arial" w:eastAsia="Arial" w:hint="default"/>
          <w:spacing w:val="12"/>
        </w:rPr>
        <w:t> </w:t>
      </w:r>
      <w:r>
        <w:rPr>
          <w:spacing w:val="-1"/>
        </w:rPr>
        <w:t>日余额为零，而</w:t>
      </w:r>
      <w:r>
        <w:rPr>
          <w:spacing w:val="-31"/>
        </w:rPr>
        <w:t> </w:t>
      </w:r>
      <w:r>
        <w:rPr>
          <w:rFonts w:ascii="Arial" w:hAnsi="Arial" w:cs="Arial" w:eastAsia="Arial" w:hint="default"/>
          <w:spacing w:val="-1"/>
        </w:rPr>
        <w:t>2008</w:t>
      </w:r>
      <w:r>
        <w:rPr>
          <w:rFonts w:ascii="Arial" w:hAnsi="Arial" w:cs="Arial" w:eastAsia="Arial" w:hint="default"/>
          <w:spacing w:val="15"/>
        </w:rPr>
        <w:t> </w:t>
      </w:r>
      <w:r>
        <w:rPr/>
        <w:t>年</w:t>
      </w:r>
      <w:r>
        <w:rPr>
          <w:spacing w:val="-31"/>
        </w:rPr>
        <w:t> </w:t>
      </w:r>
      <w:r>
        <w:rPr>
          <w:rFonts w:ascii="Arial" w:hAnsi="Arial" w:cs="Arial" w:eastAsia="Arial" w:hint="default"/>
          <w:spacing w:val="-1"/>
        </w:rPr>
        <w:t>12</w:t>
      </w:r>
      <w:r>
        <w:rPr>
          <w:rFonts w:ascii="Arial" w:hAnsi="Arial" w:cs="Arial" w:eastAsia="Arial" w:hint="default"/>
          <w:spacing w:val="13"/>
        </w:rPr>
        <w:t> </w:t>
      </w:r>
      <w:r>
        <w:rPr/>
        <w:t>月</w:t>
      </w:r>
      <w:r>
        <w:rPr>
          <w:spacing w:val="-31"/>
        </w:rPr>
        <w:t> </w:t>
      </w:r>
      <w:r>
        <w:rPr>
          <w:rFonts w:ascii="Arial" w:hAnsi="Arial" w:cs="Arial" w:eastAsia="Arial" w:hint="default"/>
          <w:spacing w:val="-1"/>
        </w:rPr>
        <w:t>31</w:t>
      </w:r>
      <w:r>
        <w:rPr>
          <w:rFonts w:ascii="Arial" w:hAnsi="Arial" w:cs="Arial" w:eastAsia="Arial" w:hint="default"/>
          <w:spacing w:val="13"/>
        </w:rPr>
        <w:t> </w:t>
      </w:r>
      <w:r>
        <w:rPr>
          <w:spacing w:val="-1"/>
        </w:rPr>
        <w:t>日余额为人民币</w:t>
      </w:r>
    </w:p>
    <w:p>
      <w:pPr>
        <w:pStyle w:val="BodyText"/>
        <w:spacing w:line="268" w:lineRule="exact"/>
        <w:ind w:left="861" w:right="1058"/>
        <w:jc w:val="left"/>
      </w:pPr>
      <w:r>
        <w:rPr>
          <w:rFonts w:ascii="Arial" w:hAnsi="Arial" w:cs="Arial" w:eastAsia="Arial" w:hint="default"/>
        </w:rPr>
        <w:t>276,210,000</w:t>
      </w:r>
      <w:r>
        <w:rPr>
          <w:rFonts w:ascii="Arial" w:hAnsi="Arial" w:cs="Arial" w:eastAsia="Arial" w:hint="default"/>
          <w:spacing w:val="-13"/>
        </w:rPr>
        <w:t> </w:t>
      </w:r>
      <w:r>
        <w:rPr/>
        <w:t>元，主要是由于本年度全部出售投资于北京银行的股权所致。</w:t>
      </w:r>
    </w:p>
    <w:p>
      <w:pPr>
        <w:spacing w:line="240" w:lineRule="auto" w:before="4"/>
        <w:rPr>
          <w:rFonts w:ascii="黑体" w:hAnsi="黑体" w:cs="黑体" w:eastAsia="黑体" w:hint="default"/>
          <w:sz w:val="18"/>
          <w:szCs w:val="18"/>
        </w:rPr>
      </w:pPr>
    </w:p>
    <w:p>
      <w:pPr>
        <w:pStyle w:val="BodyText"/>
        <w:spacing w:line="260" w:lineRule="exact"/>
        <w:ind w:left="860" w:right="1694" w:hanging="720"/>
        <w:jc w:val="both"/>
      </w:pPr>
      <w:r>
        <w:rPr>
          <w:rFonts w:ascii="Arial" w:hAnsi="Arial" w:cs="Arial" w:eastAsia="Arial" w:hint="default"/>
          <w:spacing w:val="-1"/>
          <w:w w:val="100"/>
        </w:rPr>
        <w:t>8.</w:t>
      </w:r>
      <w:r>
        <w:rPr>
          <w:rFonts w:ascii="Arial" w:hAnsi="Arial" w:cs="Arial" w:eastAsia="Arial" w:hint="default"/>
          <w:w w:val="100"/>
        </w:rPr>
        <w:t> </w:t>
      </w:r>
      <w:r>
        <w:rPr>
          <w:spacing w:val="-1"/>
          <w:w w:val="100"/>
        </w:rPr>
        <w:t>长期股权投资</w:t>
      </w:r>
      <w:r>
        <w:rPr>
          <w:spacing w:val="-50"/>
          <w:w w:val="100"/>
        </w:rPr>
        <w:t> </w:t>
      </w:r>
      <w:r>
        <w:rPr>
          <w:rFonts w:ascii="Arial" w:hAnsi="Arial" w:cs="Arial" w:eastAsia="Arial" w:hint="default"/>
          <w:spacing w:val="-1"/>
          <w:w w:val="100"/>
        </w:rPr>
        <w:t>2009</w:t>
      </w:r>
      <w:r>
        <w:rPr>
          <w:rFonts w:ascii="Arial" w:hAnsi="Arial" w:cs="Arial" w:eastAsia="Arial" w:hint="default"/>
          <w:spacing w:val="-7"/>
          <w:w w:val="100"/>
        </w:rPr>
        <w:t> </w:t>
      </w:r>
      <w:r>
        <w:rPr>
          <w:w w:val="100"/>
        </w:rPr>
        <w:t>年</w:t>
      </w:r>
      <w:r>
        <w:rPr>
          <w:spacing w:val="-50"/>
          <w:w w:val="100"/>
        </w:rPr>
        <w:t> </w:t>
      </w:r>
      <w:r>
        <w:rPr>
          <w:rFonts w:ascii="Arial" w:hAnsi="Arial" w:cs="Arial" w:eastAsia="Arial" w:hint="default"/>
          <w:spacing w:val="-1"/>
          <w:w w:val="100"/>
        </w:rPr>
        <w:t>12</w:t>
      </w:r>
      <w:r>
        <w:rPr>
          <w:rFonts w:ascii="Arial" w:hAnsi="Arial" w:cs="Arial" w:eastAsia="Arial" w:hint="default"/>
          <w:spacing w:val="-5"/>
          <w:w w:val="100"/>
        </w:rPr>
        <w:t> </w:t>
      </w:r>
      <w:r>
        <w:rPr>
          <w:w w:val="100"/>
        </w:rPr>
        <w:t>月</w:t>
      </w:r>
      <w:r>
        <w:rPr>
          <w:spacing w:val="-51"/>
          <w:w w:val="100"/>
        </w:rPr>
        <w:t> </w:t>
      </w:r>
      <w:r>
        <w:rPr>
          <w:rFonts w:ascii="Arial" w:hAnsi="Arial" w:cs="Arial" w:eastAsia="Arial" w:hint="default"/>
          <w:w w:val="100"/>
        </w:rPr>
        <w:t>31</w:t>
      </w:r>
      <w:r>
        <w:rPr>
          <w:rFonts w:ascii="Arial" w:hAnsi="Arial" w:cs="Arial" w:eastAsia="Arial" w:hint="default"/>
          <w:spacing w:val="-7"/>
          <w:w w:val="100"/>
        </w:rPr>
        <w:t> </w:t>
      </w:r>
      <w:r>
        <w:rPr>
          <w:spacing w:val="-1"/>
          <w:w w:val="100"/>
        </w:rPr>
        <w:t>日余额为人民币</w:t>
      </w:r>
      <w:r>
        <w:rPr>
          <w:spacing w:val="-50"/>
          <w:w w:val="100"/>
        </w:rPr>
        <w:t> </w:t>
      </w:r>
      <w:r>
        <w:rPr>
          <w:rFonts w:ascii="Arial" w:hAnsi="Arial" w:cs="Arial" w:eastAsia="Arial" w:hint="default"/>
          <w:spacing w:val="-1"/>
          <w:w w:val="100"/>
        </w:rPr>
        <w:t>56,611,563</w:t>
      </w:r>
      <w:r>
        <w:rPr>
          <w:rFonts w:ascii="Arial" w:hAnsi="Arial" w:cs="Arial" w:eastAsia="Arial" w:hint="default"/>
          <w:spacing w:val="-6"/>
          <w:w w:val="100"/>
        </w:rPr>
        <w:t> </w:t>
      </w:r>
      <w:r>
        <w:rPr>
          <w:spacing w:val="-33"/>
          <w:w w:val="100"/>
        </w:rPr>
        <w:t>元，较</w:t>
      </w:r>
      <w:r>
        <w:rPr>
          <w:spacing w:val="-50"/>
          <w:w w:val="100"/>
        </w:rPr>
        <w:t> </w:t>
      </w:r>
      <w:r>
        <w:rPr>
          <w:rFonts w:ascii="Arial" w:hAnsi="Arial" w:cs="Arial" w:eastAsia="Arial" w:hint="default"/>
          <w:spacing w:val="-1"/>
          <w:w w:val="100"/>
        </w:rPr>
        <w:t>2008</w:t>
      </w:r>
      <w:r>
        <w:rPr>
          <w:rFonts w:ascii="Arial" w:hAnsi="Arial" w:cs="Arial" w:eastAsia="Arial" w:hint="default"/>
          <w:spacing w:val="-7"/>
          <w:w w:val="100"/>
        </w:rPr>
        <w:t> </w:t>
      </w:r>
      <w:r>
        <w:rPr>
          <w:w w:val="100"/>
        </w:rPr>
        <w:t>年</w:t>
      </w:r>
      <w:r>
        <w:rPr>
          <w:spacing w:val="-50"/>
          <w:w w:val="100"/>
        </w:rPr>
        <w:t> </w:t>
      </w:r>
      <w:r>
        <w:rPr>
          <w:rFonts w:ascii="Arial" w:hAnsi="Arial" w:cs="Arial" w:eastAsia="Arial" w:hint="default"/>
          <w:spacing w:val="-1"/>
          <w:w w:val="100"/>
        </w:rPr>
        <w:t>12</w:t>
      </w:r>
      <w:r>
        <w:rPr>
          <w:rFonts w:ascii="Arial" w:hAnsi="Arial" w:cs="Arial" w:eastAsia="Arial" w:hint="default"/>
          <w:spacing w:val="-5"/>
          <w:w w:val="100"/>
        </w:rPr>
        <w:t> </w:t>
      </w:r>
      <w:r>
        <w:rPr>
          <w:w w:val="100"/>
        </w:rPr>
        <w:t>月</w:t>
      </w:r>
      <w:r>
        <w:rPr>
          <w:spacing w:val="-51"/>
          <w:w w:val="100"/>
        </w:rPr>
        <w:t> </w:t>
      </w:r>
      <w:r>
        <w:rPr>
          <w:rFonts w:ascii="Arial" w:hAnsi="Arial" w:cs="Arial" w:eastAsia="Arial" w:hint="default"/>
          <w:w w:val="100"/>
        </w:rPr>
        <w:t>31</w:t>
      </w:r>
      <w:r>
        <w:rPr>
          <w:rFonts w:ascii="Arial" w:hAnsi="Arial" w:cs="Arial" w:eastAsia="Arial" w:hint="default"/>
          <w:spacing w:val="-7"/>
          <w:w w:val="100"/>
        </w:rPr>
        <w:t> </w:t>
      </w:r>
      <w:r>
        <w:rPr>
          <w:w w:val="100"/>
        </w:rPr>
        <w:t>日余 </w:t>
      </w:r>
      <w:r>
        <w:rPr/>
        <w:t>额增加</w:t>
      </w:r>
      <w:r>
        <w:rPr>
          <w:spacing w:val="-42"/>
        </w:rPr>
        <w:t> </w:t>
      </w:r>
      <w:r>
        <w:rPr>
          <w:rFonts w:ascii="Arial" w:hAnsi="Arial" w:cs="Arial" w:eastAsia="Arial" w:hint="default"/>
        </w:rPr>
        <w:t>63%</w:t>
      </w:r>
      <w:r>
        <w:rPr/>
        <w:t>，主要是由于本公司本年度对用友致远的股权投资增加人民币</w:t>
      </w:r>
      <w:r>
        <w:rPr>
          <w:spacing w:val="-42"/>
        </w:rPr>
        <w:t> </w:t>
      </w:r>
      <w:r>
        <w:rPr>
          <w:rFonts w:ascii="Arial" w:hAnsi="Arial" w:cs="Arial" w:eastAsia="Arial" w:hint="default"/>
        </w:rPr>
        <w:t>12,425,126</w:t>
      </w:r>
      <w:r>
        <w:rPr>
          <w:rFonts w:ascii="Arial" w:hAnsi="Arial" w:cs="Arial" w:eastAsia="Arial" w:hint="default"/>
          <w:spacing w:val="2"/>
        </w:rPr>
        <w:t> </w:t>
      </w:r>
      <w:r>
        <w:rPr/>
        <w:t>元</w:t>
      </w:r>
      <w:r>
        <w:rPr>
          <w:w w:val="100"/>
        </w:rPr>
        <w:t> </w:t>
      </w:r>
      <w:r>
        <w:rPr/>
        <w:t>及对深圳市新希元软件技术有限公司的股权投资增加人民币</w:t>
      </w:r>
      <w:r>
        <w:rPr>
          <w:spacing w:val="-60"/>
        </w:rPr>
        <w:t> </w:t>
      </w:r>
      <w:r>
        <w:rPr>
          <w:rFonts w:ascii="Arial" w:hAnsi="Arial" w:cs="Arial" w:eastAsia="Arial" w:hint="default"/>
        </w:rPr>
        <w:t>5,000,000</w:t>
      </w:r>
      <w:r>
        <w:rPr>
          <w:rFonts w:ascii="Arial" w:hAnsi="Arial" w:cs="Arial" w:eastAsia="Arial" w:hint="default"/>
          <w:spacing w:val="-16"/>
        </w:rPr>
        <w:t> </w:t>
      </w:r>
      <w:r>
        <w:rPr/>
        <w:t>元以及本公司本年</w:t>
      </w:r>
    </w:p>
    <w:p>
      <w:pPr>
        <w:pStyle w:val="BodyText"/>
        <w:spacing w:line="251" w:lineRule="exact"/>
        <w:ind w:left="860" w:right="1058"/>
        <w:jc w:val="left"/>
      </w:pPr>
      <w:r>
        <w:rPr/>
        <w:t>度分占联营企业的损益增加人民币</w:t>
      </w:r>
      <w:r>
        <w:rPr>
          <w:spacing w:val="-53"/>
        </w:rPr>
        <w:t> </w:t>
      </w:r>
      <w:r>
        <w:rPr>
          <w:rFonts w:ascii="Arial" w:hAnsi="Arial" w:cs="Arial" w:eastAsia="Arial" w:hint="default"/>
        </w:rPr>
        <w:t>6,950,830</w:t>
      </w:r>
      <w:r>
        <w:rPr>
          <w:rFonts w:ascii="Arial" w:hAnsi="Arial" w:cs="Arial" w:eastAsia="Arial" w:hint="default"/>
          <w:spacing w:val="-9"/>
        </w:rPr>
        <w:t> </w:t>
      </w:r>
      <w:r>
        <w:rPr/>
        <w:t>元所致。</w:t>
      </w:r>
    </w:p>
    <w:p>
      <w:pPr>
        <w:spacing w:line="240" w:lineRule="auto" w:before="2"/>
        <w:rPr>
          <w:rFonts w:ascii="黑体" w:hAnsi="黑体" w:cs="黑体" w:eastAsia="黑体" w:hint="default"/>
          <w:sz w:val="18"/>
          <w:szCs w:val="18"/>
        </w:rPr>
      </w:pPr>
    </w:p>
    <w:p>
      <w:pPr>
        <w:pStyle w:val="BodyText"/>
        <w:tabs>
          <w:tab w:pos="860" w:val="left" w:leader="none"/>
        </w:tabs>
        <w:spacing w:line="260" w:lineRule="exact"/>
        <w:ind w:left="860" w:right="1697" w:hanging="720"/>
        <w:jc w:val="left"/>
      </w:pPr>
      <w:r>
        <w:rPr>
          <w:rFonts w:ascii="Arial" w:hAnsi="Arial" w:cs="Arial" w:eastAsia="Arial" w:hint="default"/>
          <w:spacing w:val="-1"/>
        </w:rPr>
        <w:t>9.</w:t>
        <w:tab/>
      </w:r>
      <w:r>
        <w:rPr>
          <w:spacing w:val="-1"/>
        </w:rPr>
        <w:t>固定资产</w:t>
      </w:r>
      <w:r>
        <w:rPr>
          <w:spacing w:val="-49"/>
        </w:rPr>
        <w:t> </w:t>
      </w:r>
      <w:r>
        <w:rPr>
          <w:rFonts w:ascii="Arial" w:hAnsi="Arial" w:cs="Arial" w:eastAsia="Arial" w:hint="default"/>
          <w:spacing w:val="-1"/>
        </w:rPr>
        <w:t>2009</w:t>
      </w:r>
      <w:r>
        <w:rPr>
          <w:rFonts w:ascii="Arial" w:hAnsi="Arial" w:cs="Arial" w:eastAsia="Arial" w:hint="default"/>
          <w:spacing w:val="-4"/>
        </w:rPr>
        <w:t> </w:t>
      </w:r>
      <w:r>
        <w:rPr/>
        <w:t>年</w:t>
      </w:r>
      <w:r>
        <w:rPr>
          <w:spacing w:val="-50"/>
        </w:rPr>
        <w:t> </w:t>
      </w:r>
      <w:r>
        <w:rPr>
          <w:rFonts w:ascii="Arial" w:hAnsi="Arial" w:cs="Arial" w:eastAsia="Arial" w:hint="default"/>
        </w:rPr>
        <w:t>12</w:t>
      </w:r>
      <w:r>
        <w:rPr>
          <w:rFonts w:ascii="Arial" w:hAnsi="Arial" w:cs="Arial" w:eastAsia="Arial" w:hint="default"/>
          <w:spacing w:val="-6"/>
        </w:rPr>
        <w:t> </w:t>
      </w:r>
      <w:r>
        <w:rPr/>
        <w:t>月</w:t>
      </w:r>
      <w:r>
        <w:rPr>
          <w:spacing w:val="-49"/>
        </w:rPr>
        <w:t> </w:t>
      </w:r>
      <w:r>
        <w:rPr>
          <w:rFonts w:ascii="Arial" w:hAnsi="Arial" w:cs="Arial" w:eastAsia="Arial" w:hint="default"/>
          <w:spacing w:val="-1"/>
        </w:rPr>
        <w:t>31</w:t>
      </w:r>
      <w:r>
        <w:rPr>
          <w:rFonts w:ascii="Arial" w:hAnsi="Arial" w:cs="Arial" w:eastAsia="Arial" w:hint="default"/>
          <w:spacing w:val="-6"/>
        </w:rPr>
        <w:t> </w:t>
      </w:r>
      <w:r>
        <w:rPr>
          <w:spacing w:val="-1"/>
        </w:rPr>
        <w:t>日余额为人民币</w:t>
      </w:r>
      <w:r>
        <w:rPr>
          <w:spacing w:val="-49"/>
        </w:rPr>
        <w:t> </w:t>
      </w:r>
      <w:r>
        <w:rPr>
          <w:rFonts w:ascii="Arial" w:hAnsi="Arial" w:cs="Arial" w:eastAsia="Arial" w:hint="default"/>
          <w:spacing w:val="-1"/>
        </w:rPr>
        <w:t>505,843,625</w:t>
      </w:r>
      <w:r>
        <w:rPr>
          <w:rFonts w:ascii="Arial" w:hAnsi="Arial" w:cs="Arial" w:eastAsia="Arial" w:hint="default"/>
          <w:spacing w:val="-5"/>
        </w:rPr>
        <w:t> </w:t>
      </w:r>
      <w:r>
        <w:rPr>
          <w:spacing w:val="-3"/>
        </w:rPr>
        <w:t>元，较</w:t>
      </w:r>
      <w:r>
        <w:rPr>
          <w:spacing w:val="-49"/>
        </w:rPr>
        <w:t> </w:t>
      </w:r>
      <w:r>
        <w:rPr>
          <w:rFonts w:ascii="Arial" w:hAnsi="Arial" w:cs="Arial" w:eastAsia="Arial" w:hint="default"/>
          <w:spacing w:val="-1"/>
        </w:rPr>
        <w:t>2008</w:t>
      </w:r>
      <w:r>
        <w:rPr>
          <w:rFonts w:ascii="Arial" w:hAnsi="Arial" w:cs="Arial" w:eastAsia="Arial" w:hint="default"/>
          <w:spacing w:val="-6"/>
        </w:rPr>
        <w:t> </w:t>
      </w:r>
      <w:r>
        <w:rPr/>
        <w:t>年</w:t>
      </w:r>
      <w:r>
        <w:rPr>
          <w:spacing w:val="-49"/>
        </w:rPr>
        <w:t> </w:t>
      </w:r>
      <w:r>
        <w:rPr>
          <w:rFonts w:ascii="Arial" w:hAnsi="Arial" w:cs="Arial" w:eastAsia="Arial" w:hint="default"/>
          <w:spacing w:val="-1"/>
        </w:rPr>
        <w:t>12</w:t>
      </w:r>
      <w:r>
        <w:rPr>
          <w:rFonts w:ascii="Arial" w:hAnsi="Arial" w:cs="Arial" w:eastAsia="Arial" w:hint="default"/>
          <w:spacing w:val="-4"/>
        </w:rPr>
        <w:t> </w:t>
      </w:r>
      <w:r>
        <w:rPr/>
        <w:t>月</w:t>
      </w:r>
      <w:r>
        <w:rPr>
          <w:spacing w:val="-50"/>
        </w:rPr>
        <w:t> </w:t>
      </w:r>
      <w:r>
        <w:rPr>
          <w:rFonts w:ascii="Arial" w:hAnsi="Arial" w:cs="Arial" w:eastAsia="Arial" w:hint="default"/>
          <w:spacing w:val="-1"/>
        </w:rPr>
        <w:t>31</w:t>
      </w:r>
      <w:r>
        <w:rPr>
          <w:rFonts w:ascii="Arial" w:hAnsi="Arial" w:cs="Arial" w:eastAsia="Arial" w:hint="default"/>
          <w:spacing w:val="-4"/>
        </w:rPr>
        <w:t> </w:t>
      </w:r>
      <w:r>
        <w:rPr/>
        <w:t>未有重</w:t>
      </w:r>
      <w:r>
        <w:rPr>
          <w:w w:val="100"/>
        </w:rPr>
        <w:t> </w:t>
      </w:r>
      <w:r>
        <w:rPr/>
        <w:t>大变化。</w:t>
      </w:r>
    </w:p>
    <w:p>
      <w:pPr>
        <w:spacing w:line="240" w:lineRule="auto" w:before="6"/>
        <w:rPr>
          <w:rFonts w:ascii="黑体" w:hAnsi="黑体" w:cs="黑体" w:eastAsia="黑体" w:hint="default"/>
          <w:sz w:val="27"/>
          <w:szCs w:val="27"/>
        </w:rPr>
      </w:pPr>
    </w:p>
    <w:p>
      <w:pPr>
        <w:pStyle w:val="BodyText"/>
        <w:spacing w:line="260" w:lineRule="exact"/>
        <w:ind w:left="860" w:right="1694" w:hanging="720"/>
        <w:jc w:val="both"/>
      </w:pPr>
      <w:r>
        <w:rPr>
          <w:rFonts w:ascii="Arial" w:hAnsi="Arial" w:cs="Arial" w:eastAsia="Arial" w:hint="default"/>
        </w:rPr>
        <w:t>10.</w:t>
      </w:r>
      <w:r>
        <w:rPr>
          <w:rFonts w:ascii="Arial" w:hAnsi="Arial" w:cs="Arial" w:eastAsia="Arial" w:hint="default"/>
          <w:spacing w:val="45"/>
        </w:rPr>
        <w:t> </w:t>
      </w:r>
      <w:r>
        <w:rPr/>
        <w:t>在建工程</w:t>
      </w:r>
      <w:r>
        <w:rPr>
          <w:spacing w:val="-51"/>
        </w:rPr>
        <w:t> </w:t>
      </w:r>
      <w:r>
        <w:rPr>
          <w:rFonts w:ascii="Arial" w:hAnsi="Arial" w:cs="Arial" w:eastAsia="Arial" w:hint="default"/>
        </w:rPr>
        <w:t>2009</w:t>
      </w:r>
      <w:r>
        <w:rPr>
          <w:rFonts w:ascii="Arial" w:hAnsi="Arial" w:cs="Arial" w:eastAsia="Arial" w:hint="default"/>
          <w:spacing w:val="-6"/>
        </w:rPr>
        <w:t> </w:t>
      </w:r>
      <w:r>
        <w:rPr/>
        <w:t>年</w:t>
      </w:r>
      <w:r>
        <w:rPr>
          <w:spacing w:val="-52"/>
        </w:rPr>
        <w:t> </w:t>
      </w: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8"/>
        </w:rPr>
        <w:t> </w:t>
      </w:r>
      <w:r>
        <w:rPr/>
        <w:t>日余额为人民币</w:t>
      </w:r>
      <w:r>
        <w:rPr>
          <w:spacing w:val="-51"/>
        </w:rPr>
        <w:t> </w:t>
      </w:r>
      <w:r>
        <w:rPr>
          <w:rFonts w:ascii="Arial" w:hAnsi="Arial" w:cs="Arial" w:eastAsia="Arial" w:hint="default"/>
        </w:rPr>
        <w:t>162,577,323</w:t>
      </w:r>
      <w:r>
        <w:rPr>
          <w:rFonts w:ascii="Arial" w:hAnsi="Arial" w:cs="Arial" w:eastAsia="Arial" w:hint="default"/>
          <w:spacing w:val="-7"/>
        </w:rPr>
        <w:t> </w:t>
      </w:r>
      <w:r>
        <w:rPr>
          <w:spacing w:val="-3"/>
        </w:rPr>
        <w:t>元，较</w:t>
      </w:r>
      <w:r>
        <w:rPr>
          <w:spacing w:val="-51"/>
        </w:rPr>
        <w:t> </w:t>
      </w:r>
      <w:r>
        <w:rPr>
          <w:rFonts w:ascii="Arial" w:hAnsi="Arial" w:cs="Arial" w:eastAsia="Arial" w:hint="default"/>
        </w:rPr>
        <w:t>2008</w:t>
      </w:r>
      <w:r>
        <w:rPr>
          <w:rFonts w:ascii="Arial" w:hAnsi="Arial" w:cs="Arial" w:eastAsia="Arial" w:hint="default"/>
          <w:spacing w:val="-8"/>
        </w:rPr>
        <w:t> </w:t>
      </w:r>
      <w:r>
        <w:rPr/>
        <w:t>年</w:t>
      </w:r>
      <w:r>
        <w:rPr>
          <w:spacing w:val="-51"/>
        </w:rPr>
        <w:t> </w:t>
      </w:r>
      <w:r>
        <w:rPr>
          <w:rFonts w:ascii="Arial" w:hAnsi="Arial" w:cs="Arial" w:eastAsia="Arial" w:hint="default"/>
        </w:rPr>
        <w:t>12</w:t>
      </w:r>
      <w:r>
        <w:rPr>
          <w:rFonts w:ascii="Arial" w:hAnsi="Arial" w:cs="Arial" w:eastAsia="Arial" w:hint="default"/>
          <w:spacing w:val="-6"/>
        </w:rPr>
        <w:t> </w:t>
      </w:r>
      <w:r>
        <w:rPr/>
        <w:t>月</w:t>
      </w:r>
      <w:r>
        <w:rPr>
          <w:spacing w:val="-52"/>
        </w:rPr>
        <w:t> </w:t>
      </w:r>
      <w:r>
        <w:rPr>
          <w:rFonts w:ascii="Arial" w:hAnsi="Arial" w:cs="Arial" w:eastAsia="Arial" w:hint="default"/>
        </w:rPr>
        <w:t>31</w:t>
      </w:r>
      <w:r>
        <w:rPr>
          <w:rFonts w:ascii="Arial" w:hAnsi="Arial" w:cs="Arial" w:eastAsia="Arial" w:hint="default"/>
          <w:spacing w:val="-6"/>
        </w:rPr>
        <w:t> </w:t>
      </w:r>
      <w:r>
        <w:rPr/>
        <w:t>日余额</w:t>
      </w:r>
      <w:r>
        <w:rPr>
          <w:w w:val="100"/>
        </w:rPr>
        <w:t> </w:t>
      </w:r>
      <w:r>
        <w:rPr/>
        <w:t>增加</w:t>
      </w:r>
      <w:r>
        <w:rPr>
          <w:spacing w:val="-49"/>
        </w:rPr>
        <w:t> </w:t>
      </w:r>
      <w:r>
        <w:rPr>
          <w:rFonts w:ascii="Arial" w:hAnsi="Arial" w:cs="Arial" w:eastAsia="Arial" w:hint="default"/>
        </w:rPr>
        <w:t>333%</w:t>
      </w:r>
      <w:r>
        <w:rPr/>
        <w:t>，主要是由于本公司本年度对用友软件园二期工程的投入增加</w:t>
      </w:r>
      <w:r>
        <w:rPr>
          <w:spacing w:val="-49"/>
        </w:rPr>
        <w:t> </w:t>
      </w:r>
      <w:r>
        <w:rPr>
          <w:rFonts w:ascii="Arial" w:hAnsi="Arial" w:cs="Arial" w:eastAsia="Arial" w:hint="default"/>
        </w:rPr>
        <w:t>127,328,597</w:t>
      </w:r>
      <w:r>
        <w:rPr>
          <w:rFonts w:ascii="Arial" w:hAnsi="Arial" w:cs="Arial" w:eastAsia="Arial" w:hint="default"/>
          <w:spacing w:val="-5"/>
        </w:rPr>
        <w:t> </w:t>
      </w:r>
      <w:r>
        <w:rPr/>
        <w:t>元</w:t>
      </w:r>
      <w:r>
        <w:rPr>
          <w:w w:val="100"/>
        </w:rPr>
        <w:t> </w:t>
      </w:r>
      <w:r>
        <w:rPr/>
        <w:t>所致。</w:t>
      </w:r>
    </w:p>
    <w:p>
      <w:pPr>
        <w:spacing w:line="240" w:lineRule="auto" w:before="7"/>
        <w:rPr>
          <w:rFonts w:ascii="黑体" w:hAnsi="黑体" w:cs="黑体" w:eastAsia="黑体" w:hint="default"/>
          <w:sz w:val="17"/>
          <w:szCs w:val="17"/>
        </w:rPr>
      </w:pPr>
    </w:p>
    <w:p>
      <w:pPr>
        <w:pStyle w:val="BodyText"/>
        <w:tabs>
          <w:tab w:pos="860" w:val="left" w:leader="none"/>
        </w:tabs>
        <w:spacing w:line="260" w:lineRule="exact"/>
        <w:ind w:left="860" w:right="1696" w:hanging="720"/>
        <w:jc w:val="left"/>
      </w:pPr>
      <w:r>
        <w:rPr>
          <w:rFonts w:ascii="Arial" w:hAnsi="Arial" w:cs="Arial" w:eastAsia="Arial" w:hint="default"/>
          <w:spacing w:val="-1"/>
        </w:rPr>
        <w:t>11.</w:t>
        <w:tab/>
      </w:r>
      <w:r>
        <w:rPr>
          <w:spacing w:val="-1"/>
        </w:rPr>
        <w:t>无形资产</w:t>
      </w:r>
      <w:r>
        <w:rPr>
          <w:spacing w:val="-49"/>
        </w:rPr>
        <w:t> </w:t>
      </w:r>
      <w:r>
        <w:rPr>
          <w:rFonts w:ascii="Arial" w:hAnsi="Arial" w:cs="Arial" w:eastAsia="Arial" w:hint="default"/>
          <w:spacing w:val="-1"/>
        </w:rPr>
        <w:t>2009</w:t>
      </w:r>
      <w:r>
        <w:rPr>
          <w:rFonts w:ascii="Arial" w:hAnsi="Arial" w:cs="Arial" w:eastAsia="Arial" w:hint="default"/>
          <w:spacing w:val="-4"/>
        </w:rPr>
        <w:t> </w:t>
      </w:r>
      <w:r>
        <w:rPr/>
        <w:t>年</w:t>
      </w:r>
      <w:r>
        <w:rPr>
          <w:spacing w:val="-50"/>
        </w:rPr>
        <w:t> </w:t>
      </w:r>
      <w:r>
        <w:rPr>
          <w:rFonts w:ascii="Arial" w:hAnsi="Arial" w:cs="Arial" w:eastAsia="Arial" w:hint="default"/>
        </w:rPr>
        <w:t>12</w:t>
      </w:r>
      <w:r>
        <w:rPr>
          <w:rFonts w:ascii="Arial" w:hAnsi="Arial" w:cs="Arial" w:eastAsia="Arial" w:hint="default"/>
          <w:spacing w:val="-6"/>
        </w:rPr>
        <w:t> </w:t>
      </w:r>
      <w:r>
        <w:rPr/>
        <w:t>月</w:t>
      </w:r>
      <w:r>
        <w:rPr>
          <w:spacing w:val="-49"/>
        </w:rPr>
        <w:t> </w:t>
      </w:r>
      <w:r>
        <w:rPr>
          <w:rFonts w:ascii="Arial" w:hAnsi="Arial" w:cs="Arial" w:eastAsia="Arial" w:hint="default"/>
          <w:spacing w:val="-1"/>
        </w:rPr>
        <w:t>31</w:t>
      </w:r>
      <w:r>
        <w:rPr>
          <w:rFonts w:ascii="Arial" w:hAnsi="Arial" w:cs="Arial" w:eastAsia="Arial" w:hint="default"/>
          <w:spacing w:val="-6"/>
        </w:rPr>
        <w:t> </w:t>
      </w:r>
      <w:r>
        <w:rPr>
          <w:spacing w:val="-1"/>
        </w:rPr>
        <w:t>日余额为人民币</w:t>
      </w:r>
      <w:r>
        <w:rPr>
          <w:spacing w:val="-49"/>
        </w:rPr>
        <w:t> </w:t>
      </w:r>
      <w:r>
        <w:rPr>
          <w:rFonts w:ascii="Arial" w:hAnsi="Arial" w:cs="Arial" w:eastAsia="Arial" w:hint="default"/>
          <w:spacing w:val="-1"/>
        </w:rPr>
        <w:t>333,714,328</w:t>
      </w:r>
      <w:r>
        <w:rPr>
          <w:rFonts w:ascii="Arial" w:hAnsi="Arial" w:cs="Arial" w:eastAsia="Arial" w:hint="default"/>
          <w:spacing w:val="-5"/>
        </w:rPr>
        <w:t> </w:t>
      </w:r>
      <w:r>
        <w:rPr>
          <w:spacing w:val="-3"/>
        </w:rPr>
        <w:t>元，较</w:t>
      </w:r>
      <w:r>
        <w:rPr>
          <w:spacing w:val="-49"/>
        </w:rPr>
        <w:t> </w:t>
      </w:r>
      <w:r>
        <w:rPr>
          <w:rFonts w:ascii="Arial" w:hAnsi="Arial" w:cs="Arial" w:eastAsia="Arial" w:hint="default"/>
          <w:spacing w:val="-1"/>
        </w:rPr>
        <w:t>2008</w:t>
      </w:r>
      <w:r>
        <w:rPr>
          <w:rFonts w:ascii="Arial" w:hAnsi="Arial" w:cs="Arial" w:eastAsia="Arial" w:hint="default"/>
          <w:spacing w:val="-6"/>
        </w:rPr>
        <w:t> </w:t>
      </w:r>
      <w:r>
        <w:rPr/>
        <w:t>年</w:t>
      </w:r>
      <w:r>
        <w:rPr>
          <w:spacing w:val="-49"/>
        </w:rPr>
        <w:t> </w:t>
      </w:r>
      <w:r>
        <w:rPr>
          <w:rFonts w:ascii="Arial" w:hAnsi="Arial" w:cs="Arial" w:eastAsia="Arial" w:hint="default"/>
          <w:spacing w:val="-1"/>
        </w:rPr>
        <w:t>12</w:t>
      </w:r>
      <w:r>
        <w:rPr>
          <w:rFonts w:ascii="Arial" w:hAnsi="Arial" w:cs="Arial" w:eastAsia="Arial" w:hint="default"/>
          <w:spacing w:val="-4"/>
        </w:rPr>
        <w:t> </w:t>
      </w:r>
      <w:r>
        <w:rPr/>
        <w:t>月</w:t>
      </w:r>
      <w:r>
        <w:rPr>
          <w:spacing w:val="-50"/>
        </w:rPr>
        <w:t> </w:t>
      </w:r>
      <w:r>
        <w:rPr>
          <w:rFonts w:ascii="Arial" w:hAnsi="Arial" w:cs="Arial" w:eastAsia="Arial" w:hint="default"/>
          <w:spacing w:val="-1"/>
        </w:rPr>
        <w:t>31</w:t>
      </w:r>
      <w:r>
        <w:rPr>
          <w:rFonts w:ascii="Arial" w:hAnsi="Arial" w:cs="Arial" w:eastAsia="Arial" w:hint="default"/>
          <w:spacing w:val="-4"/>
        </w:rPr>
        <w:t> </w:t>
      </w:r>
      <w:r>
        <w:rPr/>
        <w:t>未有重</w:t>
      </w:r>
      <w:r>
        <w:rPr>
          <w:w w:val="100"/>
        </w:rPr>
        <w:t> </w:t>
      </w:r>
      <w:r>
        <w:rPr/>
        <w:t>大变化。</w:t>
      </w:r>
    </w:p>
    <w:p>
      <w:pPr>
        <w:spacing w:after="0" w:line="260" w:lineRule="exact"/>
        <w:jc w:val="left"/>
        <w:sectPr>
          <w:headerReference w:type="default" r:id="rId84"/>
          <w:pgSz w:w="11910" w:h="16840"/>
          <w:pgMar w:header="958" w:footer="466" w:top="2560" w:bottom="660" w:left="1560" w:right="0"/>
        </w:sectPr>
      </w:pPr>
    </w:p>
    <w:p>
      <w:pPr>
        <w:spacing w:line="240" w:lineRule="auto" w:before="1"/>
        <w:rPr>
          <w:rFonts w:ascii="黑体" w:hAnsi="黑体" w:cs="黑体" w:eastAsia="黑体" w:hint="default"/>
          <w:sz w:val="18"/>
          <w:szCs w:val="18"/>
        </w:rPr>
      </w:pPr>
    </w:p>
    <w:p>
      <w:pPr>
        <w:tabs>
          <w:tab w:pos="861" w:val="left" w:leader="none"/>
        </w:tabs>
        <w:spacing w:before="38"/>
        <w:ind w:left="141" w:right="1058" w:firstLine="0"/>
        <w:jc w:val="left"/>
        <w:rPr>
          <w:rFonts w:ascii="Arial" w:hAnsi="Arial" w:cs="Arial" w:eastAsia="Arial" w:hint="default"/>
          <w:sz w:val="20"/>
          <w:szCs w:val="20"/>
        </w:rPr>
      </w:pPr>
      <w:r>
        <w:rPr>
          <w:rFonts w:ascii="Arial" w:hAnsi="Arial" w:cs="Arial" w:eastAsia="Arial" w:hint="default"/>
          <w:b/>
          <w:bCs/>
          <w:w w:val="95"/>
          <w:sz w:val="20"/>
          <w:szCs w:val="20"/>
        </w:rPr>
        <w:t>3</w:t>
      </w:r>
      <w:r>
        <w:rPr>
          <w:rFonts w:ascii="黑体" w:hAnsi="黑体" w:cs="黑体" w:eastAsia="黑体" w:hint="default"/>
          <w:b/>
          <w:bCs/>
          <w:w w:val="95"/>
          <w:sz w:val="20"/>
          <w:szCs w:val="20"/>
        </w:rPr>
        <w:t>、</w:t>
        <w:tab/>
      </w:r>
      <w:r>
        <w:rPr>
          <w:rFonts w:ascii="黑体" w:hAnsi="黑体" w:cs="黑体" w:eastAsia="黑体" w:hint="default"/>
          <w:b/>
          <w:bCs/>
          <w:sz w:val="20"/>
          <w:szCs w:val="20"/>
        </w:rPr>
        <w:t>财务报表项目数据的变动分析</w:t>
      </w:r>
      <w:r>
        <w:rPr>
          <w:rFonts w:ascii="Arial" w:hAnsi="Arial" w:cs="Arial" w:eastAsia="Arial" w:hint="default"/>
          <w:b/>
          <w:bCs/>
          <w:sz w:val="20"/>
          <w:szCs w:val="20"/>
        </w:rPr>
        <w:t>(</w:t>
      </w:r>
      <w:r>
        <w:rPr>
          <w:rFonts w:ascii="黑体" w:hAnsi="黑体" w:cs="黑体" w:eastAsia="黑体" w:hint="default"/>
          <w:b/>
          <w:bCs/>
          <w:sz w:val="20"/>
          <w:szCs w:val="20"/>
        </w:rPr>
        <w:t>续</w:t>
      </w:r>
      <w:r>
        <w:rPr>
          <w:rFonts w:ascii="Arial" w:hAnsi="Arial" w:cs="Arial" w:eastAsia="Arial" w:hint="default"/>
          <w:b/>
          <w:bCs/>
          <w:sz w:val="20"/>
          <w:szCs w:val="20"/>
        </w:rPr>
        <w:t>)</w:t>
      </w:r>
      <w:r>
        <w:rPr>
          <w:rFonts w:ascii="Arial" w:hAnsi="Arial" w:cs="Arial" w:eastAsia="Arial" w:hint="default"/>
          <w:sz w:val="20"/>
          <w:szCs w:val="20"/>
        </w:rPr>
      </w:r>
    </w:p>
    <w:p>
      <w:pPr>
        <w:spacing w:line="240" w:lineRule="auto" w:before="9"/>
        <w:rPr>
          <w:rFonts w:ascii="Arial" w:hAnsi="Arial" w:cs="Arial" w:eastAsia="Arial" w:hint="default"/>
          <w:b/>
          <w:bCs/>
          <w:sz w:val="18"/>
          <w:szCs w:val="18"/>
        </w:rPr>
      </w:pPr>
    </w:p>
    <w:p>
      <w:pPr>
        <w:pStyle w:val="BodyText"/>
        <w:tabs>
          <w:tab w:pos="861" w:val="left" w:leader="none"/>
        </w:tabs>
        <w:spacing w:line="268" w:lineRule="exact"/>
        <w:ind w:left="141" w:right="1058"/>
        <w:jc w:val="left"/>
      </w:pPr>
      <w:r>
        <w:rPr>
          <w:rFonts w:ascii="Arial" w:hAnsi="Arial" w:cs="Arial" w:eastAsia="Arial" w:hint="default"/>
          <w:spacing w:val="-1"/>
        </w:rPr>
        <w:t>12.</w:t>
        <w:tab/>
      </w:r>
      <w:r>
        <w:rPr/>
        <w:t>商誉</w:t>
      </w:r>
      <w:r>
        <w:rPr>
          <w:spacing w:val="-49"/>
        </w:rPr>
        <w:t> </w:t>
      </w:r>
      <w:r>
        <w:rPr>
          <w:rFonts w:ascii="Arial" w:hAnsi="Arial" w:cs="Arial" w:eastAsia="Arial" w:hint="default"/>
          <w:spacing w:val="-1"/>
        </w:rPr>
        <w:t>2009</w:t>
      </w:r>
      <w:r>
        <w:rPr>
          <w:rFonts w:ascii="Arial" w:hAnsi="Arial" w:cs="Arial" w:eastAsia="Arial" w:hint="default"/>
          <w:spacing w:val="-4"/>
        </w:rPr>
        <w:t> </w:t>
      </w:r>
      <w:r>
        <w:rPr/>
        <w:t>年</w:t>
      </w:r>
      <w:r>
        <w:rPr>
          <w:spacing w:val="-50"/>
        </w:rPr>
        <w:t> </w:t>
      </w:r>
      <w:r>
        <w:rPr>
          <w:rFonts w:ascii="Arial" w:hAnsi="Arial" w:cs="Arial" w:eastAsia="Arial" w:hint="default"/>
        </w:rPr>
        <w:t>12</w:t>
      </w:r>
      <w:r>
        <w:rPr>
          <w:rFonts w:ascii="Arial" w:hAnsi="Arial" w:cs="Arial" w:eastAsia="Arial" w:hint="default"/>
          <w:spacing w:val="-6"/>
        </w:rPr>
        <w:t> </w:t>
      </w:r>
      <w:r>
        <w:rPr/>
        <w:t>月</w:t>
      </w:r>
      <w:r>
        <w:rPr>
          <w:spacing w:val="-49"/>
        </w:rPr>
        <w:t> </w:t>
      </w:r>
      <w:r>
        <w:rPr>
          <w:rFonts w:ascii="Arial" w:hAnsi="Arial" w:cs="Arial" w:eastAsia="Arial" w:hint="default"/>
          <w:spacing w:val="-1"/>
        </w:rPr>
        <w:t>31</w:t>
      </w:r>
      <w:r>
        <w:rPr>
          <w:rFonts w:ascii="Arial" w:hAnsi="Arial" w:cs="Arial" w:eastAsia="Arial" w:hint="default"/>
          <w:spacing w:val="-4"/>
        </w:rPr>
        <w:t> </w:t>
      </w:r>
      <w:r>
        <w:rPr>
          <w:spacing w:val="-1"/>
        </w:rPr>
        <w:t>日余额为人民币</w:t>
      </w:r>
      <w:r>
        <w:rPr>
          <w:spacing w:val="-49"/>
        </w:rPr>
        <w:t> </w:t>
      </w:r>
      <w:r>
        <w:rPr>
          <w:rFonts w:ascii="Arial" w:hAnsi="Arial" w:cs="Arial" w:eastAsia="Arial" w:hint="default"/>
          <w:spacing w:val="-1"/>
        </w:rPr>
        <w:t>472,868,579</w:t>
      </w:r>
      <w:r>
        <w:rPr>
          <w:rFonts w:ascii="Arial" w:hAnsi="Arial" w:cs="Arial" w:eastAsia="Arial" w:hint="default"/>
          <w:spacing w:val="-6"/>
        </w:rPr>
        <w:t> </w:t>
      </w:r>
      <w:r>
        <w:rPr>
          <w:spacing w:val="-3"/>
        </w:rPr>
        <w:t>元，较</w:t>
      </w:r>
      <w:r>
        <w:rPr>
          <w:spacing w:val="-49"/>
        </w:rPr>
        <w:t> </w:t>
      </w:r>
      <w:r>
        <w:rPr>
          <w:rFonts w:ascii="Arial" w:hAnsi="Arial" w:cs="Arial" w:eastAsia="Arial" w:hint="default"/>
          <w:spacing w:val="-1"/>
        </w:rPr>
        <w:t>2008</w:t>
      </w:r>
      <w:r>
        <w:rPr>
          <w:rFonts w:ascii="Arial" w:hAnsi="Arial" w:cs="Arial" w:eastAsia="Arial" w:hint="default"/>
          <w:spacing w:val="-6"/>
        </w:rPr>
        <w:t> </w:t>
      </w:r>
      <w:r>
        <w:rPr/>
        <w:t>年</w:t>
      </w:r>
      <w:r>
        <w:rPr>
          <w:spacing w:val="-49"/>
        </w:rPr>
        <w:t> </w:t>
      </w:r>
      <w:r>
        <w:rPr>
          <w:rFonts w:ascii="Arial" w:hAnsi="Arial" w:cs="Arial" w:eastAsia="Arial" w:hint="default"/>
          <w:spacing w:val="-1"/>
        </w:rPr>
        <w:t>12</w:t>
      </w:r>
      <w:r>
        <w:rPr>
          <w:rFonts w:ascii="Arial" w:hAnsi="Arial" w:cs="Arial" w:eastAsia="Arial" w:hint="default"/>
          <w:spacing w:val="-4"/>
        </w:rPr>
        <w:t> </w:t>
      </w:r>
      <w:r>
        <w:rPr/>
        <w:t>月</w:t>
      </w:r>
      <w:r>
        <w:rPr>
          <w:spacing w:val="-50"/>
        </w:rPr>
        <w:t> </w:t>
      </w:r>
      <w:r>
        <w:rPr>
          <w:rFonts w:ascii="Arial" w:hAnsi="Arial" w:cs="Arial" w:eastAsia="Arial" w:hint="default"/>
        </w:rPr>
        <w:t>31</w:t>
      </w:r>
      <w:r>
        <w:rPr>
          <w:rFonts w:ascii="Arial" w:hAnsi="Arial" w:cs="Arial" w:eastAsia="Arial" w:hint="default"/>
          <w:spacing w:val="-6"/>
        </w:rPr>
        <w:t> </w:t>
      </w:r>
      <w:r>
        <w:rPr>
          <w:spacing w:val="-1"/>
        </w:rPr>
        <w:t>日余额增长</w:t>
      </w:r>
    </w:p>
    <w:p>
      <w:pPr>
        <w:pStyle w:val="BodyText"/>
        <w:spacing w:line="260" w:lineRule="exact" w:before="17"/>
        <w:ind w:left="861" w:right="1694"/>
        <w:jc w:val="both"/>
      </w:pPr>
      <w:r>
        <w:rPr>
          <w:rFonts w:ascii="Arial" w:hAnsi="Arial" w:cs="Arial" w:eastAsia="Arial" w:hint="default"/>
          <w:spacing w:val="-1"/>
        </w:rPr>
        <w:t>31%</w:t>
      </w:r>
      <w:r>
        <w:rPr>
          <w:spacing w:val="-1"/>
        </w:rPr>
        <w:t>，主要是由于本公司本年进行了一系列的股权收购活动和业务收购活动，合并成本大</w:t>
      </w:r>
      <w:r>
        <w:rPr>
          <w:spacing w:val="-86"/>
        </w:rPr>
        <w:t> </w:t>
      </w:r>
      <w:r>
        <w:rPr>
          <w:spacing w:val="-86"/>
        </w:rPr>
      </w:r>
      <w:r>
        <w:rPr>
          <w:spacing w:val="-2"/>
        </w:rPr>
        <w:t>于合并中取得的被购买方可辨认净资产公允价值份额的差额所致。详情参见已审财务报表</w:t>
      </w:r>
      <w:r>
        <w:rPr>
          <w:spacing w:val="-47"/>
        </w:rPr>
        <w:t> </w:t>
      </w:r>
      <w:r>
        <w:rPr>
          <w:spacing w:val="-47"/>
        </w:rPr>
      </w:r>
      <w:r>
        <w:rPr/>
        <w:t>附注五、</w:t>
      </w:r>
      <w:r>
        <w:rPr>
          <w:rFonts w:ascii="Arial" w:hAnsi="Arial" w:cs="Arial" w:eastAsia="Arial" w:hint="default"/>
        </w:rPr>
        <w:t>15</w:t>
      </w:r>
      <w:r>
        <w:rPr/>
        <w:t>。</w:t>
      </w:r>
    </w:p>
    <w:p>
      <w:pPr>
        <w:spacing w:line="240" w:lineRule="auto" w:before="8"/>
        <w:rPr>
          <w:rFonts w:ascii="黑体" w:hAnsi="黑体" w:cs="黑体" w:eastAsia="黑体" w:hint="default"/>
          <w:sz w:val="15"/>
          <w:szCs w:val="15"/>
        </w:rPr>
      </w:pPr>
    </w:p>
    <w:p>
      <w:pPr>
        <w:pStyle w:val="BodyText"/>
        <w:tabs>
          <w:tab w:pos="861" w:val="left" w:leader="none"/>
        </w:tabs>
        <w:spacing w:line="268" w:lineRule="exact"/>
        <w:ind w:left="141" w:right="1058"/>
        <w:jc w:val="left"/>
        <w:rPr>
          <w:rFonts w:ascii="Arial" w:hAnsi="Arial" w:cs="Arial" w:eastAsia="Arial" w:hint="default"/>
        </w:rPr>
      </w:pPr>
      <w:r>
        <w:rPr>
          <w:rFonts w:ascii="Arial" w:hAnsi="Arial" w:cs="Arial" w:eastAsia="Arial" w:hint="default"/>
          <w:spacing w:val="-1"/>
        </w:rPr>
        <w:t>13.</w:t>
        <w:tab/>
      </w:r>
      <w:r>
        <w:rPr>
          <w:spacing w:val="-1"/>
        </w:rPr>
        <w:t>递延所得税资产</w:t>
      </w:r>
      <w:r>
        <w:rPr>
          <w:spacing w:val="-37"/>
        </w:rPr>
        <w:t> </w:t>
      </w:r>
      <w:r>
        <w:rPr>
          <w:rFonts w:ascii="Arial" w:hAnsi="Arial" w:cs="Arial" w:eastAsia="Arial" w:hint="default"/>
          <w:spacing w:val="-1"/>
        </w:rPr>
        <w:t>2009</w:t>
      </w:r>
      <w:r>
        <w:rPr>
          <w:rFonts w:ascii="Arial" w:hAnsi="Arial" w:cs="Arial" w:eastAsia="Arial" w:hint="default"/>
          <w:spacing w:val="6"/>
        </w:rPr>
        <w:t> </w:t>
      </w:r>
      <w:r>
        <w:rPr/>
        <w:t>年</w:t>
      </w:r>
      <w:r>
        <w:rPr>
          <w:spacing w:val="-38"/>
        </w:rPr>
        <w:t> </w:t>
      </w:r>
      <w:r>
        <w:rPr>
          <w:rFonts w:ascii="Arial" w:hAnsi="Arial" w:cs="Arial" w:eastAsia="Arial" w:hint="default"/>
          <w:spacing w:val="-1"/>
        </w:rPr>
        <w:t>12</w:t>
      </w:r>
      <w:r>
        <w:rPr>
          <w:rFonts w:ascii="Arial" w:hAnsi="Arial" w:cs="Arial" w:eastAsia="Arial" w:hint="default"/>
          <w:spacing w:val="6"/>
        </w:rPr>
        <w:t> </w:t>
      </w:r>
      <w:r>
        <w:rPr/>
        <w:t>月</w:t>
      </w:r>
      <w:r>
        <w:rPr>
          <w:spacing w:val="-37"/>
        </w:rPr>
        <w:t> </w:t>
      </w:r>
      <w:r>
        <w:rPr>
          <w:rFonts w:ascii="Arial" w:hAnsi="Arial" w:cs="Arial" w:eastAsia="Arial" w:hint="default"/>
          <w:spacing w:val="-1"/>
        </w:rPr>
        <w:t>31</w:t>
      </w:r>
      <w:r>
        <w:rPr>
          <w:rFonts w:ascii="Arial" w:hAnsi="Arial" w:cs="Arial" w:eastAsia="Arial" w:hint="default"/>
          <w:spacing w:val="8"/>
        </w:rPr>
        <w:t> </w:t>
      </w:r>
      <w:r>
        <w:rPr>
          <w:spacing w:val="-1"/>
        </w:rPr>
        <w:t>日余额为人民币</w:t>
      </w:r>
      <w:r>
        <w:rPr>
          <w:spacing w:val="-37"/>
        </w:rPr>
        <w:t> </w:t>
      </w:r>
      <w:r>
        <w:rPr>
          <w:rFonts w:ascii="Arial" w:hAnsi="Arial" w:cs="Arial" w:eastAsia="Arial" w:hint="default"/>
          <w:spacing w:val="-1"/>
        </w:rPr>
        <w:t>39,130,782</w:t>
      </w:r>
      <w:r>
        <w:rPr>
          <w:rFonts w:ascii="Arial" w:hAnsi="Arial" w:cs="Arial" w:eastAsia="Arial" w:hint="default"/>
          <w:spacing w:val="7"/>
        </w:rPr>
        <w:t> </w:t>
      </w:r>
      <w:r>
        <w:rPr>
          <w:spacing w:val="-1"/>
        </w:rPr>
        <w:t>元，较</w:t>
      </w:r>
      <w:r>
        <w:rPr>
          <w:spacing w:val="-37"/>
        </w:rPr>
        <w:t> </w:t>
      </w:r>
      <w:r>
        <w:rPr>
          <w:rFonts w:ascii="Arial" w:hAnsi="Arial" w:cs="Arial" w:eastAsia="Arial" w:hint="default"/>
          <w:spacing w:val="-1"/>
        </w:rPr>
        <w:t>2008</w:t>
      </w:r>
      <w:r>
        <w:rPr>
          <w:rFonts w:ascii="Arial" w:hAnsi="Arial" w:cs="Arial" w:eastAsia="Arial" w:hint="default"/>
          <w:spacing w:val="6"/>
        </w:rPr>
        <w:t> </w:t>
      </w:r>
      <w:r>
        <w:rPr/>
        <w:t>年</w:t>
      </w:r>
      <w:r>
        <w:rPr>
          <w:spacing w:val="-37"/>
        </w:rPr>
        <w:t> </w:t>
      </w:r>
      <w:r>
        <w:rPr>
          <w:rFonts w:ascii="Arial" w:hAnsi="Arial" w:cs="Arial" w:eastAsia="Arial" w:hint="default"/>
          <w:spacing w:val="-1"/>
        </w:rPr>
        <w:t>12</w:t>
      </w:r>
      <w:r>
        <w:rPr>
          <w:rFonts w:ascii="Arial" w:hAnsi="Arial" w:cs="Arial" w:eastAsia="Arial" w:hint="default"/>
          <w:spacing w:val="6"/>
        </w:rPr>
        <w:t> </w:t>
      </w:r>
      <w:r>
        <w:rPr/>
        <w:t>月</w:t>
      </w:r>
      <w:r>
        <w:rPr>
          <w:spacing w:val="-37"/>
        </w:rPr>
        <w:t> </w:t>
      </w:r>
      <w:r>
        <w:rPr>
          <w:rFonts w:ascii="Arial" w:hAnsi="Arial" w:cs="Arial" w:eastAsia="Arial" w:hint="default"/>
        </w:rPr>
        <w:t>31</w:t>
      </w:r>
    </w:p>
    <w:p>
      <w:pPr>
        <w:pStyle w:val="BodyText"/>
        <w:spacing w:line="268" w:lineRule="exact"/>
        <w:ind w:left="860" w:right="0"/>
        <w:jc w:val="both"/>
      </w:pPr>
      <w:r>
        <w:rPr/>
        <w:t>日余额增长</w:t>
      </w:r>
      <w:r>
        <w:rPr>
          <w:spacing w:val="-61"/>
        </w:rPr>
        <w:t> </w:t>
      </w:r>
      <w:r>
        <w:rPr>
          <w:rFonts w:ascii="Arial" w:hAnsi="Arial" w:cs="Arial" w:eastAsia="Arial" w:hint="default"/>
        </w:rPr>
        <w:t>267%</w:t>
      </w:r>
      <w:r>
        <w:rPr/>
        <w:t>，主要是由于未支付的应付职工薪酬及其它可抵扣暂时性差异所致。</w:t>
      </w:r>
    </w:p>
    <w:p>
      <w:pPr>
        <w:spacing w:line="240" w:lineRule="auto" w:before="4"/>
        <w:rPr>
          <w:rFonts w:ascii="黑体" w:hAnsi="黑体" w:cs="黑体" w:eastAsia="黑体" w:hint="default"/>
          <w:sz w:val="16"/>
          <w:szCs w:val="16"/>
        </w:rPr>
      </w:pPr>
    </w:p>
    <w:p>
      <w:pPr>
        <w:pStyle w:val="BodyText"/>
        <w:tabs>
          <w:tab w:pos="860" w:val="left" w:leader="none"/>
        </w:tabs>
        <w:spacing w:line="268" w:lineRule="exact"/>
        <w:ind w:left="140" w:right="1058"/>
        <w:jc w:val="left"/>
      </w:pPr>
      <w:r>
        <w:rPr>
          <w:rFonts w:ascii="Arial" w:hAnsi="Arial" w:cs="Arial" w:eastAsia="Arial" w:hint="default"/>
          <w:spacing w:val="-1"/>
        </w:rPr>
        <w:t>14.</w:t>
        <w:tab/>
      </w:r>
      <w:r>
        <w:rPr>
          <w:spacing w:val="-1"/>
        </w:rPr>
        <w:t>应付票据及应付账款</w:t>
      </w:r>
      <w:r>
        <w:rPr>
          <w:spacing w:val="-33"/>
        </w:rPr>
        <w:t> </w:t>
      </w:r>
      <w:r>
        <w:rPr>
          <w:rFonts w:ascii="Arial" w:hAnsi="Arial" w:cs="Arial" w:eastAsia="Arial" w:hint="default"/>
          <w:spacing w:val="-1"/>
        </w:rPr>
        <w:t>2009</w:t>
      </w:r>
      <w:r>
        <w:rPr>
          <w:rFonts w:ascii="Arial" w:hAnsi="Arial" w:cs="Arial" w:eastAsia="Arial" w:hint="default"/>
          <w:spacing w:val="11"/>
        </w:rPr>
        <w:t> </w:t>
      </w:r>
      <w:r>
        <w:rPr/>
        <w:t>年</w:t>
      </w:r>
      <w:r>
        <w:rPr>
          <w:spacing w:val="-33"/>
        </w:rPr>
        <w:t> </w:t>
      </w:r>
      <w:r>
        <w:rPr>
          <w:rFonts w:ascii="Arial" w:hAnsi="Arial" w:cs="Arial" w:eastAsia="Arial" w:hint="default"/>
        </w:rPr>
        <w:t>12</w:t>
      </w:r>
      <w:r>
        <w:rPr>
          <w:rFonts w:ascii="Arial" w:hAnsi="Arial" w:cs="Arial" w:eastAsia="Arial" w:hint="default"/>
          <w:spacing w:val="12"/>
        </w:rPr>
        <w:t> </w:t>
      </w:r>
      <w:r>
        <w:rPr/>
        <w:t>月</w:t>
      </w:r>
      <w:r>
        <w:rPr>
          <w:spacing w:val="-33"/>
        </w:rPr>
        <w:t> </w:t>
      </w:r>
      <w:r>
        <w:rPr>
          <w:rFonts w:ascii="Arial" w:hAnsi="Arial" w:cs="Arial" w:eastAsia="Arial" w:hint="default"/>
          <w:spacing w:val="-1"/>
        </w:rPr>
        <w:t>31</w:t>
      </w:r>
      <w:r>
        <w:rPr>
          <w:rFonts w:ascii="Arial" w:hAnsi="Arial" w:cs="Arial" w:eastAsia="Arial" w:hint="default"/>
          <w:spacing w:val="11"/>
        </w:rPr>
        <w:t> </w:t>
      </w:r>
      <w:r>
        <w:rPr>
          <w:spacing w:val="-1"/>
        </w:rPr>
        <w:t>日余额共计为人民币</w:t>
      </w:r>
      <w:r>
        <w:rPr>
          <w:spacing w:val="-33"/>
        </w:rPr>
        <w:t> </w:t>
      </w:r>
      <w:r>
        <w:rPr>
          <w:rFonts w:ascii="Arial" w:hAnsi="Arial" w:cs="Arial" w:eastAsia="Arial" w:hint="default"/>
          <w:spacing w:val="-1"/>
        </w:rPr>
        <w:t>81,321,459</w:t>
      </w:r>
      <w:r>
        <w:rPr>
          <w:rFonts w:ascii="Arial" w:hAnsi="Arial" w:cs="Arial" w:eastAsia="Arial" w:hint="default"/>
          <w:spacing w:val="12"/>
        </w:rPr>
        <w:t> </w:t>
      </w:r>
      <w:r>
        <w:rPr>
          <w:spacing w:val="-2"/>
        </w:rPr>
        <w:t>元，较</w:t>
      </w:r>
      <w:r>
        <w:rPr>
          <w:spacing w:val="-33"/>
        </w:rPr>
        <w:t> </w:t>
      </w:r>
      <w:r>
        <w:rPr>
          <w:rFonts w:ascii="Arial" w:hAnsi="Arial" w:cs="Arial" w:eastAsia="Arial" w:hint="default"/>
        </w:rPr>
        <w:t>2008</w:t>
      </w:r>
      <w:r>
        <w:rPr>
          <w:rFonts w:ascii="Arial" w:hAnsi="Arial" w:cs="Arial" w:eastAsia="Arial" w:hint="default"/>
          <w:spacing w:val="12"/>
        </w:rPr>
        <w:t> </w:t>
      </w:r>
      <w:r>
        <w:rPr/>
        <w:t>年</w:t>
      </w:r>
    </w:p>
    <w:p>
      <w:pPr>
        <w:pStyle w:val="BodyText"/>
        <w:spacing w:line="260" w:lineRule="exact" w:before="17"/>
        <w:ind w:left="860" w:right="1695"/>
        <w:jc w:val="both"/>
      </w:pPr>
      <w:r>
        <w:rPr>
          <w:rFonts w:ascii="Arial" w:hAnsi="Arial" w:cs="Arial" w:eastAsia="Arial" w:hint="default"/>
        </w:rPr>
        <w:t>12</w:t>
      </w:r>
      <w:r>
        <w:rPr>
          <w:rFonts w:ascii="Arial" w:hAnsi="Arial" w:cs="Arial" w:eastAsia="Arial" w:hint="default"/>
          <w:spacing w:val="-4"/>
        </w:rPr>
        <w:t> </w:t>
      </w:r>
      <w:r>
        <w:rPr/>
        <w:t>月</w:t>
      </w:r>
      <w:r>
        <w:rPr>
          <w:spacing w:val="-47"/>
        </w:rPr>
        <w:t> </w:t>
      </w:r>
      <w:r>
        <w:rPr>
          <w:rFonts w:ascii="Arial" w:hAnsi="Arial" w:cs="Arial" w:eastAsia="Arial" w:hint="default"/>
        </w:rPr>
        <w:t>31</w:t>
      </w:r>
      <w:r>
        <w:rPr>
          <w:rFonts w:ascii="Arial" w:hAnsi="Arial" w:cs="Arial" w:eastAsia="Arial" w:hint="default"/>
          <w:spacing w:val="-2"/>
        </w:rPr>
        <w:t> </w:t>
      </w:r>
      <w:r>
        <w:rPr/>
        <w:t>日余额共计增长</w:t>
      </w:r>
      <w:r>
        <w:rPr>
          <w:spacing w:val="-47"/>
        </w:rPr>
        <w:t> </w:t>
      </w:r>
      <w:r>
        <w:rPr>
          <w:rFonts w:ascii="Arial" w:hAnsi="Arial" w:cs="Arial" w:eastAsia="Arial" w:hint="default"/>
          <w:spacing w:val="-3"/>
        </w:rPr>
        <w:t>98%</w:t>
      </w:r>
      <w:r>
        <w:rPr>
          <w:spacing w:val="-3"/>
        </w:rPr>
        <w:t>，主要是由于随着本年业务规模的增加，应付采购款也相应</w:t>
      </w:r>
      <w:r>
        <w:rPr>
          <w:w w:val="100"/>
        </w:rPr>
        <w:t> </w:t>
      </w:r>
      <w:r>
        <w:rPr/>
        <w:t>增加。</w:t>
      </w:r>
    </w:p>
    <w:p>
      <w:pPr>
        <w:spacing w:line="240" w:lineRule="auto" w:before="7"/>
        <w:rPr>
          <w:rFonts w:ascii="黑体" w:hAnsi="黑体" w:cs="黑体" w:eastAsia="黑体" w:hint="default"/>
          <w:sz w:val="17"/>
          <w:szCs w:val="17"/>
        </w:rPr>
      </w:pPr>
    </w:p>
    <w:p>
      <w:pPr>
        <w:pStyle w:val="BodyText"/>
        <w:spacing w:line="260" w:lineRule="exact"/>
        <w:ind w:left="859" w:right="1697" w:hanging="720"/>
        <w:jc w:val="both"/>
      </w:pPr>
      <w:r>
        <w:rPr>
          <w:rFonts w:ascii="Arial" w:hAnsi="Arial" w:cs="Arial" w:eastAsia="Arial" w:hint="default"/>
        </w:rPr>
        <w:t>15.</w:t>
      </w:r>
      <w:r>
        <w:rPr>
          <w:rFonts w:ascii="Arial" w:hAnsi="Arial" w:cs="Arial" w:eastAsia="Arial" w:hint="default"/>
          <w:spacing w:val="45"/>
        </w:rPr>
        <w:t> </w:t>
      </w:r>
      <w:r>
        <w:rPr/>
        <w:t>预收款项</w:t>
      </w:r>
      <w:r>
        <w:rPr>
          <w:spacing w:val="-51"/>
        </w:rPr>
        <w:t> </w:t>
      </w:r>
      <w:r>
        <w:rPr>
          <w:rFonts w:ascii="Arial" w:hAnsi="Arial" w:cs="Arial" w:eastAsia="Arial" w:hint="default"/>
        </w:rPr>
        <w:t>2009</w:t>
      </w:r>
      <w:r>
        <w:rPr>
          <w:rFonts w:ascii="Arial" w:hAnsi="Arial" w:cs="Arial" w:eastAsia="Arial" w:hint="default"/>
          <w:spacing w:val="-6"/>
        </w:rPr>
        <w:t> </w:t>
      </w:r>
      <w:r>
        <w:rPr/>
        <w:t>年</w:t>
      </w:r>
      <w:r>
        <w:rPr>
          <w:spacing w:val="-52"/>
        </w:rPr>
        <w:t> </w:t>
      </w: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8"/>
        </w:rPr>
        <w:t> </w:t>
      </w:r>
      <w:r>
        <w:rPr/>
        <w:t>日余额为人民币</w:t>
      </w:r>
      <w:r>
        <w:rPr>
          <w:spacing w:val="-51"/>
        </w:rPr>
        <w:t> </w:t>
      </w:r>
      <w:r>
        <w:rPr>
          <w:rFonts w:ascii="Arial" w:hAnsi="Arial" w:cs="Arial" w:eastAsia="Arial" w:hint="default"/>
        </w:rPr>
        <w:t>288,685,902</w:t>
      </w:r>
      <w:r>
        <w:rPr>
          <w:rFonts w:ascii="Arial" w:hAnsi="Arial" w:cs="Arial" w:eastAsia="Arial" w:hint="default"/>
          <w:spacing w:val="-7"/>
        </w:rPr>
        <w:t> </w:t>
      </w:r>
      <w:r>
        <w:rPr>
          <w:spacing w:val="-3"/>
        </w:rPr>
        <w:t>元，较</w:t>
      </w:r>
      <w:r>
        <w:rPr>
          <w:spacing w:val="-51"/>
        </w:rPr>
        <w:t> </w:t>
      </w:r>
      <w:r>
        <w:rPr>
          <w:rFonts w:ascii="Arial" w:hAnsi="Arial" w:cs="Arial" w:eastAsia="Arial" w:hint="default"/>
        </w:rPr>
        <w:t>2008</w:t>
      </w:r>
      <w:r>
        <w:rPr>
          <w:rFonts w:ascii="Arial" w:hAnsi="Arial" w:cs="Arial" w:eastAsia="Arial" w:hint="default"/>
          <w:spacing w:val="-8"/>
        </w:rPr>
        <w:t> </w:t>
      </w:r>
      <w:r>
        <w:rPr/>
        <w:t>年</w:t>
      </w:r>
      <w:r>
        <w:rPr>
          <w:spacing w:val="-51"/>
        </w:rPr>
        <w:t> </w:t>
      </w:r>
      <w:r>
        <w:rPr>
          <w:rFonts w:ascii="Arial" w:hAnsi="Arial" w:cs="Arial" w:eastAsia="Arial" w:hint="default"/>
        </w:rPr>
        <w:t>12</w:t>
      </w:r>
      <w:r>
        <w:rPr>
          <w:rFonts w:ascii="Arial" w:hAnsi="Arial" w:cs="Arial" w:eastAsia="Arial" w:hint="default"/>
          <w:spacing w:val="-6"/>
        </w:rPr>
        <w:t> </w:t>
      </w:r>
      <w:r>
        <w:rPr/>
        <w:t>月</w:t>
      </w:r>
      <w:r>
        <w:rPr>
          <w:spacing w:val="-52"/>
        </w:rPr>
        <w:t> </w:t>
      </w:r>
      <w:r>
        <w:rPr>
          <w:rFonts w:ascii="Arial" w:hAnsi="Arial" w:cs="Arial" w:eastAsia="Arial" w:hint="default"/>
        </w:rPr>
        <w:t>31</w:t>
      </w:r>
      <w:r>
        <w:rPr>
          <w:rFonts w:ascii="Arial" w:hAnsi="Arial" w:cs="Arial" w:eastAsia="Arial" w:hint="default"/>
          <w:spacing w:val="-6"/>
        </w:rPr>
        <w:t> </w:t>
      </w:r>
      <w:r>
        <w:rPr/>
        <w:t>日余额</w:t>
      </w:r>
      <w:r>
        <w:rPr>
          <w:w w:val="100"/>
        </w:rPr>
        <w:t> </w:t>
      </w:r>
      <w:r>
        <w:rPr/>
        <w:t>增长</w:t>
      </w:r>
      <w:r>
        <w:rPr>
          <w:spacing w:val="-60"/>
        </w:rPr>
        <w:t> </w:t>
      </w:r>
      <w:r>
        <w:rPr>
          <w:rFonts w:ascii="Arial" w:hAnsi="Arial" w:cs="Arial" w:eastAsia="Arial" w:hint="default"/>
        </w:rPr>
        <w:t>20%</w:t>
      </w:r>
      <w:r>
        <w:rPr/>
        <w:t>，主要是由于随着本年收入增加，预收客户款也相应增加。</w:t>
      </w:r>
    </w:p>
    <w:p>
      <w:pPr>
        <w:spacing w:line="240" w:lineRule="auto" w:before="8"/>
        <w:rPr>
          <w:rFonts w:ascii="黑体" w:hAnsi="黑体" w:cs="黑体" w:eastAsia="黑体" w:hint="default"/>
          <w:sz w:val="17"/>
          <w:szCs w:val="17"/>
        </w:rPr>
      </w:pPr>
    </w:p>
    <w:p>
      <w:pPr>
        <w:pStyle w:val="BodyText"/>
        <w:spacing w:line="260" w:lineRule="exact"/>
        <w:ind w:left="861" w:right="1695" w:hanging="722"/>
        <w:jc w:val="both"/>
      </w:pPr>
      <w:r>
        <w:rPr>
          <w:rFonts w:ascii="Arial" w:hAnsi="Arial" w:cs="Arial" w:eastAsia="Arial" w:hint="default"/>
        </w:rPr>
        <w:t>16.</w:t>
      </w:r>
      <w:r>
        <w:rPr>
          <w:rFonts w:ascii="Arial" w:hAnsi="Arial" w:cs="Arial" w:eastAsia="Arial" w:hint="default"/>
          <w:spacing w:val="46"/>
        </w:rPr>
        <w:t> </w:t>
      </w:r>
      <w:r>
        <w:rPr/>
        <w:t>应付职工薪酬</w:t>
      </w:r>
      <w:r>
        <w:rPr>
          <w:spacing w:val="-51"/>
        </w:rPr>
        <w:t> </w:t>
      </w:r>
      <w:r>
        <w:rPr>
          <w:rFonts w:ascii="Arial" w:hAnsi="Arial" w:cs="Arial" w:eastAsia="Arial" w:hint="default"/>
        </w:rPr>
        <w:t>2009</w:t>
      </w:r>
      <w:r>
        <w:rPr>
          <w:rFonts w:ascii="Arial" w:hAnsi="Arial" w:cs="Arial" w:eastAsia="Arial" w:hint="default"/>
          <w:spacing w:val="-8"/>
        </w:rPr>
        <w:t> </w:t>
      </w:r>
      <w:r>
        <w:rPr/>
        <w:t>年</w:t>
      </w:r>
      <w:r>
        <w:rPr>
          <w:spacing w:val="-51"/>
        </w:rPr>
        <w:t> </w:t>
      </w:r>
      <w:r>
        <w:rPr>
          <w:rFonts w:ascii="Arial" w:hAnsi="Arial" w:cs="Arial" w:eastAsia="Arial" w:hint="default"/>
        </w:rPr>
        <w:t>12</w:t>
      </w:r>
      <w:r>
        <w:rPr>
          <w:rFonts w:ascii="Arial" w:hAnsi="Arial" w:cs="Arial" w:eastAsia="Arial" w:hint="default"/>
          <w:spacing w:val="-6"/>
        </w:rPr>
        <w:t> </w:t>
      </w:r>
      <w:r>
        <w:rPr/>
        <w:t>月</w:t>
      </w:r>
      <w:r>
        <w:rPr>
          <w:spacing w:val="-52"/>
        </w:rPr>
        <w:t> </w:t>
      </w:r>
      <w:r>
        <w:rPr>
          <w:rFonts w:ascii="Arial" w:hAnsi="Arial" w:cs="Arial" w:eastAsia="Arial" w:hint="default"/>
        </w:rPr>
        <w:t>31</w:t>
      </w:r>
      <w:r>
        <w:rPr>
          <w:rFonts w:ascii="Arial" w:hAnsi="Arial" w:cs="Arial" w:eastAsia="Arial" w:hint="default"/>
          <w:spacing w:val="-6"/>
        </w:rPr>
        <w:t> </w:t>
      </w:r>
      <w:r>
        <w:rPr/>
        <w:t>日余额为人民币</w:t>
      </w:r>
      <w:r>
        <w:rPr>
          <w:spacing w:val="-51"/>
        </w:rPr>
        <w:t> </w:t>
      </w:r>
      <w:r>
        <w:rPr>
          <w:rFonts w:ascii="Arial" w:hAnsi="Arial" w:cs="Arial" w:eastAsia="Arial" w:hint="default"/>
        </w:rPr>
        <w:t>306,360,821</w:t>
      </w:r>
      <w:r>
        <w:rPr>
          <w:rFonts w:ascii="Arial" w:hAnsi="Arial" w:cs="Arial" w:eastAsia="Arial" w:hint="default"/>
          <w:spacing w:val="-8"/>
        </w:rPr>
        <w:t> </w:t>
      </w:r>
      <w:r>
        <w:rPr>
          <w:spacing w:val="-3"/>
        </w:rPr>
        <w:t>元，较</w:t>
      </w:r>
      <w:r>
        <w:rPr>
          <w:spacing w:val="-51"/>
        </w:rPr>
        <w:t> </w:t>
      </w:r>
      <w:r>
        <w:rPr>
          <w:rFonts w:ascii="Arial" w:hAnsi="Arial" w:cs="Arial" w:eastAsia="Arial" w:hint="default"/>
        </w:rPr>
        <w:t>2008</w:t>
      </w:r>
      <w:r>
        <w:rPr>
          <w:rFonts w:ascii="Arial" w:hAnsi="Arial" w:cs="Arial" w:eastAsia="Arial" w:hint="default"/>
          <w:spacing w:val="-8"/>
        </w:rPr>
        <w:t> </w:t>
      </w:r>
      <w:r>
        <w:rPr/>
        <w:t>年</w:t>
      </w:r>
      <w:r>
        <w:rPr>
          <w:spacing w:val="-51"/>
        </w:rPr>
        <w:t> </w:t>
      </w:r>
      <w:r>
        <w:rPr>
          <w:rFonts w:ascii="Arial" w:hAnsi="Arial" w:cs="Arial" w:eastAsia="Arial" w:hint="default"/>
        </w:rPr>
        <w:t>12</w:t>
      </w:r>
      <w:r>
        <w:rPr>
          <w:rFonts w:ascii="Arial" w:hAnsi="Arial" w:cs="Arial" w:eastAsia="Arial" w:hint="default"/>
          <w:spacing w:val="-6"/>
        </w:rPr>
        <w:t> </w:t>
      </w:r>
      <w:r>
        <w:rPr/>
        <w:t>月</w:t>
      </w:r>
      <w:r>
        <w:rPr>
          <w:spacing w:val="-52"/>
        </w:rPr>
        <w:t> </w:t>
      </w:r>
      <w:r>
        <w:rPr>
          <w:rFonts w:ascii="Arial" w:hAnsi="Arial" w:cs="Arial" w:eastAsia="Arial" w:hint="default"/>
        </w:rPr>
        <w:t>31</w:t>
      </w:r>
      <w:r>
        <w:rPr>
          <w:rFonts w:ascii="Arial" w:hAnsi="Arial" w:cs="Arial" w:eastAsia="Arial" w:hint="default"/>
          <w:spacing w:val="-8"/>
        </w:rPr>
        <w:t> </w:t>
      </w:r>
      <w:r>
        <w:rPr/>
        <w:t>日</w:t>
      </w:r>
      <w:r>
        <w:rPr>
          <w:w w:val="100"/>
        </w:rPr>
        <w:t> </w:t>
      </w:r>
      <w:r>
        <w:rPr/>
        <w:t>余额增长</w:t>
      </w:r>
      <w:r>
        <w:rPr>
          <w:spacing w:val="-27"/>
        </w:rPr>
        <w:t> </w:t>
      </w:r>
      <w:r>
        <w:rPr>
          <w:rFonts w:ascii="Arial" w:hAnsi="Arial" w:cs="Arial" w:eastAsia="Arial" w:hint="default"/>
          <w:spacing w:val="-3"/>
        </w:rPr>
        <w:t>58%</w:t>
      </w:r>
      <w:r>
        <w:rPr>
          <w:spacing w:val="-3"/>
        </w:rPr>
        <w:t>，主要是由于本公司规模扩大，人员增长，以及应付未付工资奖金、社保和</w:t>
      </w:r>
      <w:r>
        <w:rPr>
          <w:w w:val="100"/>
        </w:rPr>
        <w:t> </w:t>
      </w:r>
      <w:r>
        <w:rPr/>
        <w:t>住房公积金的增长所致。</w:t>
      </w:r>
    </w:p>
    <w:p>
      <w:pPr>
        <w:spacing w:line="240" w:lineRule="auto" w:before="7"/>
        <w:rPr>
          <w:rFonts w:ascii="黑体" w:hAnsi="黑体" w:cs="黑体" w:eastAsia="黑体" w:hint="default"/>
          <w:sz w:val="17"/>
          <w:szCs w:val="17"/>
        </w:rPr>
      </w:pPr>
    </w:p>
    <w:p>
      <w:pPr>
        <w:pStyle w:val="BodyText"/>
        <w:spacing w:line="260" w:lineRule="exact"/>
        <w:ind w:left="861" w:right="1695" w:hanging="720"/>
        <w:jc w:val="both"/>
      </w:pPr>
      <w:r>
        <w:rPr>
          <w:rFonts w:ascii="Arial" w:hAnsi="Arial" w:cs="Arial" w:eastAsia="Arial" w:hint="default"/>
        </w:rPr>
        <w:t>17.</w:t>
      </w:r>
      <w:r>
        <w:rPr>
          <w:rFonts w:ascii="Arial" w:hAnsi="Arial" w:cs="Arial" w:eastAsia="Arial" w:hint="default"/>
          <w:spacing w:val="45"/>
        </w:rPr>
        <w:t> </w:t>
      </w:r>
      <w:r>
        <w:rPr/>
        <w:t>应交税费</w:t>
      </w:r>
      <w:r>
        <w:rPr>
          <w:spacing w:val="-51"/>
        </w:rPr>
        <w:t> </w:t>
      </w:r>
      <w:r>
        <w:rPr>
          <w:rFonts w:ascii="Arial" w:hAnsi="Arial" w:cs="Arial" w:eastAsia="Arial" w:hint="default"/>
        </w:rPr>
        <w:t>2009</w:t>
      </w:r>
      <w:r>
        <w:rPr>
          <w:rFonts w:ascii="Arial" w:hAnsi="Arial" w:cs="Arial" w:eastAsia="Arial" w:hint="default"/>
          <w:spacing w:val="-6"/>
        </w:rPr>
        <w:t> </w:t>
      </w:r>
      <w:r>
        <w:rPr/>
        <w:t>年</w:t>
      </w:r>
      <w:r>
        <w:rPr>
          <w:spacing w:val="-52"/>
        </w:rPr>
        <w:t> </w:t>
      </w: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8"/>
        </w:rPr>
        <w:t> </w:t>
      </w:r>
      <w:r>
        <w:rPr/>
        <w:t>日余额为人民币</w:t>
      </w:r>
      <w:r>
        <w:rPr>
          <w:spacing w:val="-51"/>
        </w:rPr>
        <w:t> </w:t>
      </w:r>
      <w:r>
        <w:rPr>
          <w:rFonts w:ascii="Arial" w:hAnsi="Arial" w:cs="Arial" w:eastAsia="Arial" w:hint="default"/>
        </w:rPr>
        <w:t>184,856,541</w:t>
      </w:r>
      <w:r>
        <w:rPr>
          <w:rFonts w:ascii="Arial" w:hAnsi="Arial" w:cs="Arial" w:eastAsia="Arial" w:hint="default"/>
          <w:spacing w:val="-7"/>
        </w:rPr>
        <w:t> </w:t>
      </w:r>
      <w:r>
        <w:rPr>
          <w:spacing w:val="-3"/>
        </w:rPr>
        <w:t>元，较</w:t>
      </w:r>
      <w:r>
        <w:rPr>
          <w:spacing w:val="-51"/>
        </w:rPr>
        <w:t> </w:t>
      </w:r>
      <w:r>
        <w:rPr>
          <w:rFonts w:ascii="Arial" w:hAnsi="Arial" w:cs="Arial" w:eastAsia="Arial" w:hint="default"/>
        </w:rPr>
        <w:t>2008</w:t>
      </w:r>
      <w:r>
        <w:rPr>
          <w:rFonts w:ascii="Arial" w:hAnsi="Arial" w:cs="Arial" w:eastAsia="Arial" w:hint="default"/>
          <w:spacing w:val="-8"/>
        </w:rPr>
        <w:t> </w:t>
      </w:r>
      <w:r>
        <w:rPr/>
        <w:t>年</w:t>
      </w:r>
      <w:r>
        <w:rPr>
          <w:spacing w:val="-51"/>
        </w:rPr>
        <w:t> </w:t>
      </w:r>
      <w:r>
        <w:rPr>
          <w:rFonts w:ascii="Arial" w:hAnsi="Arial" w:cs="Arial" w:eastAsia="Arial" w:hint="default"/>
        </w:rPr>
        <w:t>12</w:t>
      </w:r>
      <w:r>
        <w:rPr>
          <w:rFonts w:ascii="Arial" w:hAnsi="Arial" w:cs="Arial" w:eastAsia="Arial" w:hint="default"/>
          <w:spacing w:val="-6"/>
        </w:rPr>
        <w:t> </w:t>
      </w:r>
      <w:r>
        <w:rPr/>
        <w:t>月</w:t>
      </w:r>
      <w:r>
        <w:rPr>
          <w:spacing w:val="-52"/>
        </w:rPr>
        <w:t> </w:t>
      </w:r>
      <w:r>
        <w:rPr>
          <w:rFonts w:ascii="Arial" w:hAnsi="Arial" w:cs="Arial" w:eastAsia="Arial" w:hint="default"/>
        </w:rPr>
        <w:t>31</w:t>
      </w:r>
      <w:r>
        <w:rPr>
          <w:rFonts w:ascii="Arial" w:hAnsi="Arial" w:cs="Arial" w:eastAsia="Arial" w:hint="default"/>
          <w:spacing w:val="-6"/>
        </w:rPr>
        <w:t> </w:t>
      </w:r>
      <w:r>
        <w:rPr/>
        <w:t>日余额</w:t>
      </w:r>
      <w:r>
        <w:rPr>
          <w:w w:val="100"/>
        </w:rPr>
        <w:t> </w:t>
      </w:r>
      <w:r>
        <w:rPr/>
        <w:t>增长</w:t>
      </w:r>
      <w:r>
        <w:rPr>
          <w:spacing w:val="-60"/>
        </w:rPr>
        <w:t> </w:t>
      </w:r>
      <w:r>
        <w:rPr>
          <w:rFonts w:ascii="Arial" w:hAnsi="Arial" w:cs="Arial" w:eastAsia="Arial" w:hint="default"/>
        </w:rPr>
        <w:t>67%</w:t>
      </w:r>
      <w:r>
        <w:rPr/>
        <w:t>，主要是由于随着本年收入及员工薪酬的增加</w:t>
      </w:r>
      <w:r>
        <w:rPr>
          <w:rFonts w:ascii="Arial" w:hAnsi="Arial" w:cs="Arial" w:eastAsia="Arial" w:hint="default"/>
        </w:rPr>
        <w:t>,</w:t>
      </w:r>
      <w:r>
        <w:rPr/>
        <w:t>各项应付税金也相应增加。</w:t>
      </w:r>
    </w:p>
    <w:p>
      <w:pPr>
        <w:spacing w:line="240" w:lineRule="auto" w:before="8"/>
        <w:rPr>
          <w:rFonts w:ascii="黑体" w:hAnsi="黑体" w:cs="黑体" w:eastAsia="黑体" w:hint="default"/>
          <w:sz w:val="15"/>
          <w:szCs w:val="15"/>
        </w:rPr>
      </w:pPr>
    </w:p>
    <w:p>
      <w:pPr>
        <w:pStyle w:val="BodyText"/>
        <w:tabs>
          <w:tab w:pos="861" w:val="left" w:leader="none"/>
        </w:tabs>
        <w:spacing w:line="268" w:lineRule="exact"/>
        <w:ind w:left="141" w:right="1058"/>
        <w:jc w:val="left"/>
      </w:pPr>
      <w:r>
        <w:rPr>
          <w:rFonts w:ascii="Arial" w:hAnsi="Arial" w:cs="Arial" w:eastAsia="Arial" w:hint="default"/>
          <w:spacing w:val="-1"/>
        </w:rPr>
        <w:t>18.</w:t>
        <w:tab/>
      </w:r>
      <w:r>
        <w:rPr>
          <w:spacing w:val="-1"/>
        </w:rPr>
        <w:t>应付股利</w:t>
      </w:r>
      <w:r>
        <w:rPr>
          <w:spacing w:val="-47"/>
        </w:rPr>
        <w:t> </w:t>
      </w:r>
      <w:r>
        <w:rPr>
          <w:rFonts w:ascii="Arial" w:hAnsi="Arial" w:cs="Arial" w:eastAsia="Arial" w:hint="default"/>
          <w:spacing w:val="-1"/>
        </w:rPr>
        <w:t>2009</w:t>
      </w:r>
      <w:r>
        <w:rPr>
          <w:rFonts w:ascii="Arial" w:hAnsi="Arial" w:cs="Arial" w:eastAsia="Arial" w:hint="default"/>
          <w:spacing w:val="-2"/>
        </w:rPr>
        <w:t> </w:t>
      </w:r>
      <w:r>
        <w:rPr/>
        <w:t>年</w:t>
      </w:r>
      <w:r>
        <w:rPr>
          <w:spacing w:val="-48"/>
        </w:rPr>
        <w:t> </w:t>
      </w:r>
      <w:r>
        <w:rPr>
          <w:rFonts w:ascii="Arial" w:hAnsi="Arial" w:cs="Arial" w:eastAsia="Arial" w:hint="default"/>
          <w:spacing w:val="-1"/>
        </w:rPr>
        <w:t>12</w:t>
      </w:r>
      <w:r>
        <w:rPr>
          <w:rFonts w:ascii="Arial" w:hAnsi="Arial" w:cs="Arial" w:eastAsia="Arial" w:hint="default"/>
          <w:spacing w:val="-2"/>
        </w:rPr>
        <w:t> </w:t>
      </w:r>
      <w:r>
        <w:rPr/>
        <w:t>月</w:t>
      </w:r>
      <w:r>
        <w:rPr>
          <w:spacing w:val="-48"/>
        </w:rPr>
        <w:t> </w:t>
      </w:r>
      <w:r>
        <w:rPr>
          <w:rFonts w:ascii="Arial" w:hAnsi="Arial" w:cs="Arial" w:eastAsia="Arial" w:hint="default"/>
        </w:rPr>
        <w:t>31</w:t>
      </w:r>
      <w:r>
        <w:rPr>
          <w:rFonts w:ascii="Arial" w:hAnsi="Arial" w:cs="Arial" w:eastAsia="Arial" w:hint="default"/>
          <w:spacing w:val="-3"/>
        </w:rPr>
        <w:t> </w:t>
      </w:r>
      <w:r>
        <w:rPr>
          <w:spacing w:val="-1"/>
        </w:rPr>
        <w:t>日余额为人民币</w:t>
      </w:r>
      <w:r>
        <w:rPr>
          <w:spacing w:val="-47"/>
        </w:rPr>
        <w:t> </w:t>
      </w:r>
      <w:r>
        <w:rPr>
          <w:rFonts w:ascii="Arial" w:hAnsi="Arial" w:cs="Arial" w:eastAsia="Arial" w:hint="default"/>
          <w:spacing w:val="-2"/>
        </w:rPr>
        <w:t>4,107,458</w:t>
      </w:r>
      <w:r>
        <w:rPr>
          <w:rFonts w:ascii="Arial" w:hAnsi="Arial" w:cs="Arial" w:eastAsia="Arial" w:hint="default"/>
          <w:spacing w:val="-4"/>
        </w:rPr>
        <w:t> </w:t>
      </w:r>
      <w:r>
        <w:rPr/>
        <w:t>元，较</w:t>
      </w:r>
      <w:r>
        <w:rPr>
          <w:spacing w:val="-48"/>
        </w:rPr>
        <w:t> </w:t>
      </w:r>
      <w:r>
        <w:rPr>
          <w:rFonts w:ascii="Arial" w:hAnsi="Arial" w:cs="Arial" w:eastAsia="Arial" w:hint="default"/>
          <w:spacing w:val="-1"/>
        </w:rPr>
        <w:t>2007</w:t>
      </w:r>
      <w:r>
        <w:rPr>
          <w:rFonts w:ascii="Arial" w:hAnsi="Arial" w:cs="Arial" w:eastAsia="Arial" w:hint="default"/>
          <w:spacing w:val="-3"/>
        </w:rPr>
        <w:t> </w:t>
      </w:r>
      <w:r>
        <w:rPr/>
        <w:t>年</w:t>
      </w:r>
      <w:r>
        <w:rPr>
          <w:spacing w:val="-47"/>
        </w:rPr>
        <w:t> </w:t>
      </w:r>
      <w:r>
        <w:rPr>
          <w:rFonts w:ascii="Arial" w:hAnsi="Arial" w:cs="Arial" w:eastAsia="Arial" w:hint="default"/>
          <w:spacing w:val="-1"/>
        </w:rPr>
        <w:t>12</w:t>
      </w:r>
      <w:r>
        <w:rPr>
          <w:rFonts w:ascii="Arial" w:hAnsi="Arial" w:cs="Arial" w:eastAsia="Arial" w:hint="default"/>
          <w:spacing w:val="-3"/>
        </w:rPr>
        <w:t> </w:t>
      </w:r>
      <w:r>
        <w:rPr/>
        <w:t>月</w:t>
      </w:r>
      <w:r>
        <w:rPr>
          <w:spacing w:val="-47"/>
        </w:rPr>
        <w:t> </w:t>
      </w:r>
      <w:r>
        <w:rPr>
          <w:rFonts w:ascii="Arial" w:hAnsi="Arial" w:cs="Arial" w:eastAsia="Arial" w:hint="default"/>
          <w:spacing w:val="-1"/>
        </w:rPr>
        <w:t>31</w:t>
      </w:r>
      <w:r>
        <w:rPr>
          <w:rFonts w:ascii="Arial" w:hAnsi="Arial" w:cs="Arial" w:eastAsia="Arial" w:hint="default"/>
          <w:spacing w:val="-3"/>
        </w:rPr>
        <w:t> </w:t>
      </w:r>
      <w:r>
        <w:rPr/>
        <w:t>日余额减</w:t>
      </w:r>
    </w:p>
    <w:p>
      <w:pPr>
        <w:pStyle w:val="BodyText"/>
        <w:spacing w:line="259" w:lineRule="exact"/>
        <w:ind w:left="861" w:right="0"/>
        <w:jc w:val="both"/>
      </w:pPr>
      <w:r>
        <w:rPr/>
        <w:t>少</w:t>
      </w:r>
      <w:r>
        <w:rPr>
          <w:spacing w:val="-43"/>
        </w:rPr>
        <w:t> </w:t>
      </w:r>
      <w:r>
        <w:rPr>
          <w:rFonts w:ascii="Arial" w:hAnsi="Arial" w:cs="Arial" w:eastAsia="Arial" w:hint="default"/>
        </w:rPr>
        <w:t>58%</w:t>
      </w:r>
      <w:r>
        <w:rPr/>
        <w:t>，主要是由于本公司之子公司方正春元于</w:t>
      </w:r>
      <w:r>
        <w:rPr>
          <w:spacing w:val="-44"/>
        </w:rPr>
        <w:t> </w:t>
      </w:r>
      <w:r>
        <w:rPr>
          <w:rFonts w:ascii="Arial" w:hAnsi="Arial" w:cs="Arial" w:eastAsia="Arial" w:hint="default"/>
        </w:rPr>
        <w:t>2009</w:t>
      </w:r>
      <w:r>
        <w:rPr>
          <w:rFonts w:ascii="Arial" w:hAnsi="Arial" w:cs="Arial" w:eastAsia="Arial" w:hint="default"/>
          <w:spacing w:val="2"/>
        </w:rPr>
        <w:t> </w:t>
      </w:r>
      <w:r>
        <w:rPr/>
        <w:t>年将</w:t>
      </w:r>
      <w:r>
        <w:rPr>
          <w:spacing w:val="-43"/>
        </w:rPr>
        <w:t> </w:t>
      </w:r>
      <w:r>
        <w:rPr>
          <w:rFonts w:ascii="Arial" w:hAnsi="Arial" w:cs="Arial" w:eastAsia="Arial" w:hint="default"/>
        </w:rPr>
        <w:t>2008</w:t>
      </w:r>
      <w:r>
        <w:rPr>
          <w:rFonts w:ascii="Arial" w:hAnsi="Arial" w:cs="Arial" w:eastAsia="Arial" w:hint="default"/>
          <w:spacing w:val="1"/>
        </w:rPr>
        <w:t> </w:t>
      </w:r>
      <w:r>
        <w:rPr/>
        <w:t>年利润分配方案中尚未</w:t>
      </w:r>
    </w:p>
    <w:p>
      <w:pPr>
        <w:pStyle w:val="BodyText"/>
        <w:spacing w:line="268" w:lineRule="exact"/>
        <w:ind w:left="861" w:right="0"/>
        <w:jc w:val="both"/>
      </w:pPr>
      <w:r>
        <w:rPr/>
        <w:t>向原股东支付的现金股利中的人民币</w:t>
      </w:r>
      <w:r>
        <w:rPr>
          <w:spacing w:val="-56"/>
        </w:rPr>
        <w:t> </w:t>
      </w:r>
      <w:r>
        <w:rPr>
          <w:rFonts w:ascii="Arial" w:hAnsi="Arial" w:cs="Arial" w:eastAsia="Arial" w:hint="default"/>
        </w:rPr>
        <w:t>8,300,000</w:t>
      </w:r>
      <w:r>
        <w:rPr>
          <w:rFonts w:ascii="Arial" w:hAnsi="Arial" w:cs="Arial" w:eastAsia="Arial" w:hint="default"/>
          <w:spacing w:val="-11"/>
        </w:rPr>
        <w:t> </w:t>
      </w:r>
      <w:r>
        <w:rPr/>
        <w:t>元支付所致。</w:t>
      </w:r>
    </w:p>
    <w:p>
      <w:pPr>
        <w:spacing w:line="240" w:lineRule="auto" w:before="4"/>
        <w:rPr>
          <w:rFonts w:ascii="黑体" w:hAnsi="黑体" w:cs="黑体" w:eastAsia="黑体" w:hint="default"/>
          <w:sz w:val="18"/>
          <w:szCs w:val="18"/>
        </w:rPr>
      </w:pPr>
    </w:p>
    <w:p>
      <w:pPr>
        <w:pStyle w:val="BodyText"/>
        <w:spacing w:line="260" w:lineRule="exact"/>
        <w:ind w:left="861" w:right="1694" w:hanging="720"/>
        <w:jc w:val="both"/>
      </w:pPr>
      <w:r>
        <w:rPr>
          <w:rFonts w:ascii="Arial" w:hAnsi="Arial" w:cs="Arial" w:eastAsia="Arial" w:hint="default"/>
        </w:rPr>
        <w:t>19.</w:t>
      </w:r>
      <w:r>
        <w:rPr>
          <w:rFonts w:ascii="Arial" w:hAnsi="Arial" w:cs="Arial" w:eastAsia="Arial" w:hint="default"/>
          <w:spacing w:val="51"/>
        </w:rPr>
        <w:t> </w:t>
      </w:r>
      <w:r>
        <w:rPr/>
        <w:t>其他应付款</w:t>
      </w:r>
      <w:r>
        <w:rPr>
          <w:spacing w:val="-51"/>
        </w:rPr>
        <w:t> </w:t>
      </w:r>
      <w:r>
        <w:rPr>
          <w:rFonts w:ascii="Arial" w:hAnsi="Arial" w:cs="Arial" w:eastAsia="Arial" w:hint="default"/>
        </w:rPr>
        <w:t>2009</w:t>
      </w:r>
      <w:r>
        <w:rPr>
          <w:rFonts w:ascii="Arial" w:hAnsi="Arial" w:cs="Arial" w:eastAsia="Arial" w:hint="default"/>
          <w:spacing w:val="-8"/>
        </w:rPr>
        <w:t> </w:t>
      </w:r>
      <w:r>
        <w:rPr/>
        <w:t>年</w:t>
      </w:r>
      <w:r>
        <w:rPr>
          <w:spacing w:val="-51"/>
        </w:rPr>
        <w:t> </w:t>
      </w:r>
      <w:r>
        <w:rPr>
          <w:rFonts w:ascii="Arial" w:hAnsi="Arial" w:cs="Arial" w:eastAsia="Arial" w:hint="default"/>
        </w:rPr>
        <w:t>12</w:t>
      </w:r>
      <w:r>
        <w:rPr>
          <w:rFonts w:ascii="Arial" w:hAnsi="Arial" w:cs="Arial" w:eastAsia="Arial" w:hint="default"/>
          <w:spacing w:val="-8"/>
        </w:rPr>
        <w:t> </w:t>
      </w:r>
      <w:r>
        <w:rPr/>
        <w:t>月</w:t>
      </w:r>
      <w:r>
        <w:rPr>
          <w:spacing w:val="-52"/>
        </w:rPr>
        <w:t> </w:t>
      </w:r>
      <w:r>
        <w:rPr>
          <w:rFonts w:ascii="Arial" w:hAnsi="Arial" w:cs="Arial" w:eastAsia="Arial" w:hint="default"/>
        </w:rPr>
        <w:t>31</w:t>
      </w:r>
      <w:r>
        <w:rPr>
          <w:rFonts w:ascii="Arial" w:hAnsi="Arial" w:cs="Arial" w:eastAsia="Arial" w:hint="default"/>
          <w:spacing w:val="-6"/>
        </w:rPr>
        <w:t> </w:t>
      </w:r>
      <w:r>
        <w:rPr/>
        <w:t>日余额为人民币</w:t>
      </w:r>
      <w:r>
        <w:rPr>
          <w:spacing w:val="-52"/>
        </w:rPr>
        <w:t> </w:t>
      </w:r>
      <w:r>
        <w:rPr>
          <w:rFonts w:ascii="Arial" w:hAnsi="Arial" w:cs="Arial" w:eastAsia="Arial" w:hint="default"/>
        </w:rPr>
        <w:t>321,716,550</w:t>
      </w:r>
      <w:r>
        <w:rPr>
          <w:rFonts w:ascii="Arial" w:hAnsi="Arial" w:cs="Arial" w:eastAsia="Arial" w:hint="default"/>
          <w:spacing w:val="-7"/>
        </w:rPr>
        <w:t> </w:t>
      </w:r>
      <w:r>
        <w:rPr>
          <w:spacing w:val="-3"/>
        </w:rPr>
        <w:t>元，较</w:t>
      </w:r>
      <w:r>
        <w:rPr>
          <w:spacing w:val="-51"/>
        </w:rPr>
        <w:t> </w:t>
      </w:r>
      <w:r>
        <w:rPr>
          <w:rFonts w:ascii="Arial" w:hAnsi="Arial" w:cs="Arial" w:eastAsia="Arial" w:hint="default"/>
        </w:rPr>
        <w:t>2008</w:t>
      </w:r>
      <w:r>
        <w:rPr>
          <w:rFonts w:ascii="Arial" w:hAnsi="Arial" w:cs="Arial" w:eastAsia="Arial" w:hint="default"/>
          <w:spacing w:val="-8"/>
        </w:rPr>
        <w:t> </w:t>
      </w:r>
      <w:r>
        <w:rPr/>
        <w:t>年</w:t>
      </w:r>
      <w:r>
        <w:rPr>
          <w:spacing w:val="-51"/>
        </w:rPr>
        <w:t> </w:t>
      </w:r>
      <w:r>
        <w:rPr>
          <w:rFonts w:ascii="Arial" w:hAnsi="Arial" w:cs="Arial" w:eastAsia="Arial" w:hint="default"/>
        </w:rPr>
        <w:t>12</w:t>
      </w:r>
      <w:r>
        <w:rPr>
          <w:rFonts w:ascii="Arial" w:hAnsi="Arial" w:cs="Arial" w:eastAsia="Arial" w:hint="default"/>
          <w:spacing w:val="-6"/>
        </w:rPr>
        <w:t> </w:t>
      </w:r>
      <w:r>
        <w:rPr/>
        <w:t>月</w:t>
      </w:r>
      <w:r>
        <w:rPr>
          <w:spacing w:val="-52"/>
        </w:rPr>
        <w:t> </w:t>
      </w:r>
      <w:r>
        <w:rPr>
          <w:rFonts w:ascii="Arial" w:hAnsi="Arial" w:cs="Arial" w:eastAsia="Arial" w:hint="default"/>
        </w:rPr>
        <w:t>31</w:t>
      </w:r>
      <w:r>
        <w:rPr>
          <w:rFonts w:ascii="Arial" w:hAnsi="Arial" w:cs="Arial" w:eastAsia="Arial" w:hint="default"/>
          <w:spacing w:val="-8"/>
        </w:rPr>
        <w:t> </w:t>
      </w:r>
      <w:r>
        <w:rPr/>
        <w:t>日余</w:t>
      </w:r>
      <w:r>
        <w:rPr>
          <w:w w:val="100"/>
        </w:rPr>
        <w:t> </w:t>
      </w:r>
      <w:r>
        <w:rPr/>
        <w:t>额未有重大变化。</w:t>
      </w:r>
    </w:p>
    <w:p>
      <w:pPr>
        <w:spacing w:line="240" w:lineRule="auto" w:before="9"/>
        <w:rPr>
          <w:rFonts w:ascii="黑体" w:hAnsi="黑体" w:cs="黑体" w:eastAsia="黑体" w:hint="default"/>
          <w:sz w:val="16"/>
          <w:szCs w:val="16"/>
        </w:rPr>
      </w:pPr>
    </w:p>
    <w:p>
      <w:pPr>
        <w:pStyle w:val="BodyText"/>
        <w:spacing w:line="225" w:lineRule="auto"/>
        <w:ind w:left="861" w:right="1694" w:hanging="721"/>
        <w:jc w:val="both"/>
      </w:pPr>
      <w:r>
        <w:rPr>
          <w:rFonts w:ascii="Arial" w:hAnsi="Arial" w:cs="Arial" w:eastAsia="Arial" w:hint="default"/>
        </w:rPr>
        <w:t>20.</w:t>
      </w:r>
      <w:r>
        <w:rPr>
          <w:rFonts w:ascii="Arial" w:hAnsi="Arial" w:cs="Arial" w:eastAsia="Arial" w:hint="default"/>
          <w:spacing w:val="47"/>
        </w:rPr>
        <w:t> </w:t>
      </w:r>
      <w:r>
        <w:rPr/>
        <w:t>其他流动负债</w:t>
      </w:r>
      <w:r>
        <w:rPr>
          <w:spacing w:val="-50"/>
        </w:rPr>
        <w:t> </w:t>
      </w:r>
      <w:r>
        <w:rPr>
          <w:rFonts w:ascii="Arial" w:hAnsi="Arial" w:cs="Arial" w:eastAsia="Arial" w:hint="default"/>
        </w:rPr>
        <w:t>2009</w:t>
      </w:r>
      <w:r>
        <w:rPr>
          <w:rFonts w:ascii="Arial" w:hAnsi="Arial" w:cs="Arial" w:eastAsia="Arial" w:hint="default"/>
          <w:spacing w:val="-6"/>
        </w:rPr>
        <w:t> </w:t>
      </w:r>
      <w:r>
        <w:rPr/>
        <w:t>年</w:t>
      </w:r>
      <w:r>
        <w:rPr>
          <w:spacing w:val="-50"/>
        </w:rPr>
        <w:t> </w:t>
      </w:r>
      <w:r>
        <w:rPr>
          <w:rFonts w:ascii="Arial" w:hAnsi="Arial" w:cs="Arial" w:eastAsia="Arial" w:hint="default"/>
        </w:rPr>
        <w:t>12</w:t>
      </w:r>
      <w:r>
        <w:rPr>
          <w:rFonts w:ascii="Arial" w:hAnsi="Arial" w:cs="Arial" w:eastAsia="Arial" w:hint="default"/>
          <w:spacing w:val="-5"/>
        </w:rPr>
        <w:t> </w:t>
      </w:r>
      <w:r>
        <w:rPr/>
        <w:t>月</w:t>
      </w:r>
      <w:r>
        <w:rPr>
          <w:spacing w:val="-51"/>
        </w:rPr>
        <w:t> </w:t>
      </w:r>
      <w:r>
        <w:rPr>
          <w:rFonts w:ascii="Arial" w:hAnsi="Arial" w:cs="Arial" w:eastAsia="Arial" w:hint="default"/>
        </w:rPr>
        <w:t>31</w:t>
      </w:r>
      <w:r>
        <w:rPr>
          <w:rFonts w:ascii="Arial" w:hAnsi="Arial" w:cs="Arial" w:eastAsia="Arial" w:hint="default"/>
          <w:spacing w:val="-5"/>
        </w:rPr>
        <w:t> </w:t>
      </w:r>
      <w:r>
        <w:rPr/>
        <w:t>日余额为人民币</w:t>
      </w:r>
      <w:r>
        <w:rPr>
          <w:spacing w:val="-50"/>
        </w:rPr>
        <w:t> </w:t>
      </w:r>
      <w:r>
        <w:rPr>
          <w:rFonts w:ascii="Arial" w:hAnsi="Arial" w:cs="Arial" w:eastAsia="Arial" w:hint="default"/>
        </w:rPr>
        <w:t>5,125,301</w:t>
      </w:r>
      <w:r>
        <w:rPr>
          <w:rFonts w:ascii="Arial" w:hAnsi="Arial" w:cs="Arial" w:eastAsia="Arial" w:hint="default"/>
          <w:spacing w:val="-5"/>
        </w:rPr>
        <w:t> </w:t>
      </w:r>
      <w:r>
        <w:rPr/>
        <w:t>元，较</w:t>
      </w:r>
      <w:r>
        <w:rPr>
          <w:spacing w:val="-50"/>
        </w:rPr>
        <w:t> </w:t>
      </w:r>
      <w:r>
        <w:rPr>
          <w:rFonts w:ascii="Arial" w:hAnsi="Arial" w:cs="Arial" w:eastAsia="Arial" w:hint="default"/>
        </w:rPr>
        <w:t>2008</w:t>
      </w:r>
      <w:r>
        <w:rPr>
          <w:rFonts w:ascii="Arial" w:hAnsi="Arial" w:cs="Arial" w:eastAsia="Arial" w:hint="default"/>
          <w:spacing w:val="-6"/>
        </w:rPr>
        <w:t> </w:t>
      </w:r>
      <w:r>
        <w:rPr/>
        <w:t>年</w:t>
      </w:r>
      <w:r>
        <w:rPr>
          <w:spacing w:val="-50"/>
        </w:rPr>
        <w:t> </w:t>
      </w:r>
      <w:r>
        <w:rPr>
          <w:rFonts w:ascii="Arial" w:hAnsi="Arial" w:cs="Arial" w:eastAsia="Arial" w:hint="default"/>
        </w:rPr>
        <w:t>12</w:t>
      </w:r>
      <w:r>
        <w:rPr>
          <w:rFonts w:ascii="Arial" w:hAnsi="Arial" w:cs="Arial" w:eastAsia="Arial" w:hint="default"/>
          <w:spacing w:val="-5"/>
        </w:rPr>
        <w:t> </w:t>
      </w:r>
      <w:r>
        <w:rPr/>
        <w:t>月</w:t>
      </w:r>
      <w:r>
        <w:rPr>
          <w:spacing w:val="-51"/>
        </w:rPr>
        <w:t> </w:t>
      </w:r>
      <w:r>
        <w:rPr>
          <w:rFonts w:ascii="Arial" w:hAnsi="Arial" w:cs="Arial" w:eastAsia="Arial" w:hint="default"/>
        </w:rPr>
        <w:t>31</w:t>
      </w:r>
      <w:r>
        <w:rPr>
          <w:rFonts w:ascii="Arial" w:hAnsi="Arial" w:cs="Arial" w:eastAsia="Arial" w:hint="default"/>
          <w:spacing w:val="-6"/>
        </w:rPr>
        <w:t> </w:t>
      </w:r>
      <w:r>
        <w:rPr/>
        <w:t>日余</w:t>
      </w:r>
      <w:r>
        <w:rPr>
          <w:w w:val="100"/>
        </w:rPr>
        <w:t> </w:t>
      </w:r>
      <w:r>
        <w:rPr/>
        <w:t>额增长</w:t>
      </w:r>
      <w:r>
        <w:rPr>
          <w:spacing w:val="-57"/>
        </w:rPr>
        <w:t> </w:t>
      </w:r>
      <w:r>
        <w:rPr>
          <w:rFonts w:ascii="Arial" w:hAnsi="Arial" w:cs="Arial" w:eastAsia="Arial" w:hint="default"/>
        </w:rPr>
        <w:t>14%</w:t>
      </w:r>
      <w:r>
        <w:rPr/>
        <w:t>，主要是由于本公司于</w:t>
      </w:r>
      <w:r>
        <w:rPr>
          <w:spacing w:val="-56"/>
        </w:rPr>
        <w:t> </w:t>
      </w:r>
      <w:r>
        <w:rPr>
          <w:rFonts w:ascii="Arial" w:hAnsi="Arial" w:cs="Arial" w:eastAsia="Arial" w:hint="default"/>
        </w:rPr>
        <w:t>2009</w:t>
      </w:r>
      <w:r>
        <w:rPr>
          <w:rFonts w:ascii="Arial" w:hAnsi="Arial" w:cs="Arial" w:eastAsia="Arial" w:hint="default"/>
          <w:spacing w:val="-11"/>
        </w:rPr>
        <w:t> </w:t>
      </w:r>
      <w:r>
        <w:rPr/>
        <w:t>年度预提但尚未支付的专业咨询费及其它费用所</w:t>
      </w:r>
      <w:r>
        <w:rPr>
          <w:w w:val="100"/>
        </w:rPr>
        <w:t> </w:t>
      </w:r>
      <w:r>
        <w:rPr/>
        <w:t>致。</w:t>
      </w:r>
    </w:p>
    <w:p>
      <w:pPr>
        <w:spacing w:line="240" w:lineRule="auto" w:before="7"/>
        <w:rPr>
          <w:rFonts w:ascii="黑体" w:hAnsi="黑体" w:cs="黑体" w:eastAsia="黑体" w:hint="default"/>
          <w:sz w:val="17"/>
          <w:szCs w:val="17"/>
        </w:rPr>
      </w:pPr>
    </w:p>
    <w:p>
      <w:pPr>
        <w:pStyle w:val="BodyText"/>
        <w:tabs>
          <w:tab w:pos="861" w:val="left" w:leader="none"/>
        </w:tabs>
        <w:spacing w:line="268" w:lineRule="exact"/>
        <w:ind w:left="141" w:right="1058"/>
        <w:jc w:val="left"/>
      </w:pPr>
      <w:r>
        <w:rPr>
          <w:rFonts w:ascii="Arial" w:hAnsi="Arial" w:cs="Arial" w:eastAsia="Arial" w:hint="default"/>
          <w:spacing w:val="-1"/>
        </w:rPr>
        <w:t>21.</w:t>
        <w:tab/>
      </w:r>
      <w:r>
        <w:rPr>
          <w:spacing w:val="-1"/>
        </w:rPr>
        <w:t>递延所得税负债</w:t>
      </w:r>
      <w:r>
        <w:rPr/>
        <w:t> </w:t>
      </w:r>
      <w:r>
        <w:rPr>
          <w:rFonts w:ascii="Arial" w:hAnsi="Arial" w:cs="Arial" w:eastAsia="Arial" w:hint="default"/>
          <w:spacing w:val="-1"/>
        </w:rPr>
        <w:t>2009</w:t>
      </w:r>
      <w:r>
        <w:rPr>
          <w:rFonts w:ascii="Arial" w:hAnsi="Arial" w:cs="Arial" w:eastAsia="Arial" w:hint="default"/>
        </w:rPr>
        <w:t> </w:t>
      </w:r>
      <w:r>
        <w:rPr/>
        <w:t>年 </w:t>
      </w:r>
      <w:r>
        <w:rPr>
          <w:rFonts w:ascii="Arial" w:hAnsi="Arial" w:cs="Arial" w:eastAsia="Arial" w:hint="default"/>
          <w:spacing w:val="-1"/>
        </w:rPr>
        <w:t>12</w:t>
      </w:r>
      <w:r>
        <w:rPr>
          <w:rFonts w:ascii="Arial" w:hAnsi="Arial" w:cs="Arial" w:eastAsia="Arial" w:hint="default"/>
        </w:rPr>
        <w:t> </w:t>
      </w:r>
      <w:r>
        <w:rPr/>
        <w:t>月 </w:t>
      </w:r>
      <w:r>
        <w:rPr>
          <w:rFonts w:ascii="Arial" w:hAnsi="Arial" w:cs="Arial" w:eastAsia="Arial" w:hint="default"/>
          <w:spacing w:val="-1"/>
        </w:rPr>
        <w:t>31</w:t>
      </w:r>
      <w:r>
        <w:rPr>
          <w:rFonts w:ascii="Arial" w:hAnsi="Arial" w:cs="Arial" w:eastAsia="Arial" w:hint="default"/>
        </w:rPr>
        <w:t> </w:t>
      </w:r>
      <w:r>
        <w:rPr>
          <w:spacing w:val="-1"/>
        </w:rPr>
        <w:t>日余额为零，而</w:t>
      </w:r>
      <w:r>
        <w:rPr/>
        <w:t> </w:t>
      </w:r>
      <w:r>
        <w:rPr>
          <w:rFonts w:ascii="Arial" w:hAnsi="Arial" w:cs="Arial" w:eastAsia="Arial" w:hint="default"/>
          <w:spacing w:val="-1"/>
        </w:rPr>
        <w:t>2008</w:t>
      </w:r>
      <w:r>
        <w:rPr>
          <w:rFonts w:ascii="Arial" w:hAnsi="Arial" w:cs="Arial" w:eastAsia="Arial" w:hint="default"/>
        </w:rPr>
        <w:t> </w:t>
      </w:r>
      <w:r>
        <w:rPr/>
        <w:t>年 </w:t>
      </w:r>
      <w:r>
        <w:rPr>
          <w:rFonts w:ascii="Arial" w:hAnsi="Arial" w:cs="Arial" w:eastAsia="Arial" w:hint="default"/>
        </w:rPr>
        <w:t>12 </w:t>
      </w:r>
      <w:r>
        <w:rPr/>
        <w:t>月 </w:t>
      </w:r>
      <w:r>
        <w:rPr>
          <w:rFonts w:ascii="Arial" w:hAnsi="Arial" w:cs="Arial" w:eastAsia="Arial" w:hint="default"/>
        </w:rPr>
        <w:t>31 </w:t>
      </w:r>
      <w:r>
        <w:rPr>
          <w:rFonts w:ascii="Arial" w:hAnsi="Arial" w:cs="Arial" w:eastAsia="Arial" w:hint="default"/>
          <w:spacing w:val="34"/>
        </w:rPr>
        <w:t> </w:t>
      </w:r>
      <w:r>
        <w:rPr>
          <w:spacing w:val="-1"/>
        </w:rPr>
        <w:t>日余额为人民币</w:t>
      </w:r>
    </w:p>
    <w:p>
      <w:pPr>
        <w:pStyle w:val="BodyText"/>
        <w:spacing w:line="260" w:lineRule="exact" w:before="17"/>
        <w:ind w:left="861" w:right="1693"/>
        <w:jc w:val="both"/>
      </w:pPr>
      <w:r>
        <w:rPr>
          <w:rFonts w:ascii="Arial" w:hAnsi="Arial" w:cs="Arial" w:eastAsia="Arial" w:hint="default"/>
        </w:rPr>
        <w:t>22,840,955</w:t>
      </w:r>
      <w:r>
        <w:rPr>
          <w:rFonts w:ascii="Arial" w:hAnsi="Arial" w:cs="Arial" w:eastAsia="Arial" w:hint="default"/>
          <w:spacing w:val="-14"/>
        </w:rPr>
        <w:t> </w:t>
      </w:r>
      <w:r>
        <w:rPr/>
        <w:t>元，主要是由于转回</w:t>
      </w:r>
      <w:r>
        <w:rPr>
          <w:spacing w:val="-58"/>
        </w:rPr>
        <w:t> </w:t>
      </w:r>
      <w:r>
        <w:rPr>
          <w:rFonts w:ascii="Arial" w:hAnsi="Arial" w:cs="Arial" w:eastAsia="Arial" w:hint="default"/>
        </w:rPr>
        <w:t>2008</w:t>
      </w:r>
      <w:r>
        <w:rPr>
          <w:rFonts w:ascii="Arial" w:hAnsi="Arial" w:cs="Arial" w:eastAsia="Arial" w:hint="default"/>
          <w:spacing w:val="-14"/>
        </w:rPr>
        <w:t> </w:t>
      </w:r>
      <w:r>
        <w:rPr/>
        <w:t>年可供出售金融资产公允价值变动收益产生的应纳</w:t>
      </w:r>
      <w:r>
        <w:rPr>
          <w:w w:val="100"/>
        </w:rPr>
        <w:t> </w:t>
      </w:r>
      <w:r>
        <w:rPr/>
        <w:t>税暂时性差异所致。</w:t>
      </w:r>
    </w:p>
    <w:p>
      <w:pPr>
        <w:spacing w:line="240" w:lineRule="auto" w:before="8"/>
        <w:rPr>
          <w:rFonts w:ascii="黑体" w:hAnsi="黑体" w:cs="黑体" w:eastAsia="黑体" w:hint="default"/>
          <w:sz w:val="15"/>
          <w:szCs w:val="15"/>
        </w:rPr>
      </w:pPr>
    </w:p>
    <w:p>
      <w:pPr>
        <w:pStyle w:val="BodyText"/>
        <w:tabs>
          <w:tab w:pos="861" w:val="left" w:leader="none"/>
        </w:tabs>
        <w:spacing w:line="268" w:lineRule="exact"/>
        <w:ind w:left="141" w:right="1058"/>
        <w:jc w:val="left"/>
      </w:pPr>
      <w:r>
        <w:rPr>
          <w:rFonts w:ascii="Arial" w:hAnsi="Arial" w:cs="Arial" w:eastAsia="Arial" w:hint="default"/>
          <w:spacing w:val="-1"/>
        </w:rPr>
        <w:t>22.</w:t>
        <w:tab/>
      </w:r>
      <w:r>
        <w:rPr/>
        <w:t>股本</w:t>
      </w:r>
      <w:r>
        <w:rPr>
          <w:spacing w:val="-49"/>
        </w:rPr>
        <w:t> </w:t>
      </w:r>
      <w:r>
        <w:rPr>
          <w:rFonts w:ascii="Arial" w:hAnsi="Arial" w:cs="Arial" w:eastAsia="Arial" w:hint="default"/>
          <w:spacing w:val="-1"/>
        </w:rPr>
        <w:t>2009</w:t>
      </w:r>
      <w:r>
        <w:rPr>
          <w:rFonts w:ascii="Arial" w:hAnsi="Arial" w:cs="Arial" w:eastAsia="Arial" w:hint="default"/>
          <w:spacing w:val="-4"/>
        </w:rPr>
        <w:t> </w:t>
      </w:r>
      <w:r>
        <w:rPr/>
        <w:t>年</w:t>
      </w:r>
      <w:r>
        <w:rPr>
          <w:spacing w:val="-50"/>
        </w:rPr>
        <w:t> </w:t>
      </w:r>
      <w:r>
        <w:rPr>
          <w:rFonts w:ascii="Arial" w:hAnsi="Arial" w:cs="Arial" w:eastAsia="Arial" w:hint="default"/>
        </w:rPr>
        <w:t>12</w:t>
      </w:r>
      <w:r>
        <w:rPr>
          <w:rFonts w:ascii="Arial" w:hAnsi="Arial" w:cs="Arial" w:eastAsia="Arial" w:hint="default"/>
          <w:spacing w:val="-6"/>
        </w:rPr>
        <w:t> </w:t>
      </w:r>
      <w:r>
        <w:rPr/>
        <w:t>月</w:t>
      </w:r>
      <w:r>
        <w:rPr>
          <w:spacing w:val="-49"/>
        </w:rPr>
        <w:t> </w:t>
      </w:r>
      <w:r>
        <w:rPr>
          <w:rFonts w:ascii="Arial" w:hAnsi="Arial" w:cs="Arial" w:eastAsia="Arial" w:hint="default"/>
          <w:spacing w:val="-1"/>
        </w:rPr>
        <w:t>31</w:t>
      </w:r>
      <w:r>
        <w:rPr>
          <w:rFonts w:ascii="Arial" w:hAnsi="Arial" w:cs="Arial" w:eastAsia="Arial" w:hint="default"/>
          <w:spacing w:val="-4"/>
        </w:rPr>
        <w:t> </w:t>
      </w:r>
      <w:r>
        <w:rPr>
          <w:spacing w:val="-1"/>
        </w:rPr>
        <w:t>日余额为人民币</w:t>
      </w:r>
      <w:r>
        <w:rPr>
          <w:spacing w:val="-49"/>
        </w:rPr>
        <w:t> </w:t>
      </w:r>
      <w:r>
        <w:rPr>
          <w:rFonts w:ascii="Arial" w:hAnsi="Arial" w:cs="Arial" w:eastAsia="Arial" w:hint="default"/>
          <w:spacing w:val="-1"/>
        </w:rPr>
        <w:t>627,858,850</w:t>
      </w:r>
      <w:r>
        <w:rPr>
          <w:rFonts w:ascii="Arial" w:hAnsi="Arial" w:cs="Arial" w:eastAsia="Arial" w:hint="default"/>
          <w:spacing w:val="-6"/>
        </w:rPr>
        <w:t> </w:t>
      </w:r>
      <w:r>
        <w:rPr>
          <w:spacing w:val="-3"/>
        </w:rPr>
        <w:t>元，较</w:t>
      </w:r>
      <w:r>
        <w:rPr>
          <w:spacing w:val="-49"/>
        </w:rPr>
        <w:t> </w:t>
      </w:r>
      <w:r>
        <w:rPr>
          <w:rFonts w:ascii="Arial" w:hAnsi="Arial" w:cs="Arial" w:eastAsia="Arial" w:hint="default"/>
          <w:spacing w:val="-1"/>
        </w:rPr>
        <w:t>2008</w:t>
      </w:r>
      <w:r>
        <w:rPr>
          <w:rFonts w:ascii="Arial" w:hAnsi="Arial" w:cs="Arial" w:eastAsia="Arial" w:hint="default"/>
          <w:spacing w:val="-6"/>
        </w:rPr>
        <w:t> </w:t>
      </w:r>
      <w:r>
        <w:rPr/>
        <w:t>年</w:t>
      </w:r>
      <w:r>
        <w:rPr>
          <w:spacing w:val="-49"/>
        </w:rPr>
        <w:t> </w:t>
      </w:r>
      <w:r>
        <w:rPr>
          <w:rFonts w:ascii="Arial" w:hAnsi="Arial" w:cs="Arial" w:eastAsia="Arial" w:hint="default"/>
          <w:spacing w:val="-1"/>
        </w:rPr>
        <w:t>12</w:t>
      </w:r>
      <w:r>
        <w:rPr>
          <w:rFonts w:ascii="Arial" w:hAnsi="Arial" w:cs="Arial" w:eastAsia="Arial" w:hint="default"/>
          <w:spacing w:val="-4"/>
        </w:rPr>
        <w:t> </w:t>
      </w:r>
      <w:r>
        <w:rPr/>
        <w:t>月</w:t>
      </w:r>
      <w:r>
        <w:rPr>
          <w:spacing w:val="-50"/>
        </w:rPr>
        <w:t> </w:t>
      </w:r>
      <w:r>
        <w:rPr>
          <w:rFonts w:ascii="Arial" w:hAnsi="Arial" w:cs="Arial" w:eastAsia="Arial" w:hint="default"/>
        </w:rPr>
        <w:t>31</w:t>
      </w:r>
      <w:r>
        <w:rPr>
          <w:rFonts w:ascii="Arial" w:hAnsi="Arial" w:cs="Arial" w:eastAsia="Arial" w:hint="default"/>
          <w:spacing w:val="-6"/>
        </w:rPr>
        <w:t> </w:t>
      </w:r>
      <w:r>
        <w:rPr>
          <w:spacing w:val="-1"/>
        </w:rPr>
        <w:t>日余额增长</w:t>
      </w:r>
    </w:p>
    <w:p>
      <w:pPr>
        <w:pStyle w:val="BodyText"/>
        <w:spacing w:line="259" w:lineRule="exact"/>
        <w:ind w:left="861" w:right="0"/>
        <w:jc w:val="both"/>
      </w:pPr>
      <w:r>
        <w:rPr>
          <w:rFonts w:ascii="Arial" w:hAnsi="Arial" w:cs="Arial" w:eastAsia="Arial" w:hint="default"/>
        </w:rPr>
        <w:t>35%</w:t>
      </w:r>
      <w:r>
        <w:rPr/>
        <w:t>，主要是由于本年资本公积转增股本共计人民币</w:t>
      </w:r>
      <w:r>
        <w:rPr>
          <w:spacing w:val="-72"/>
        </w:rPr>
        <w:t> </w:t>
      </w:r>
      <w:r>
        <w:rPr>
          <w:rFonts w:ascii="Arial" w:hAnsi="Arial" w:cs="Arial" w:eastAsia="Arial" w:hint="default"/>
        </w:rPr>
        <w:t>139,998,893</w:t>
      </w:r>
      <w:r>
        <w:rPr>
          <w:rFonts w:ascii="Arial" w:hAnsi="Arial" w:cs="Arial" w:eastAsia="Arial" w:hint="default"/>
          <w:spacing w:val="-28"/>
        </w:rPr>
        <w:t> </w:t>
      </w:r>
      <w:r>
        <w:rPr/>
        <w:t>元，以及本年集团实施</w:t>
      </w:r>
    </w:p>
    <w:p>
      <w:pPr>
        <w:pStyle w:val="BodyText"/>
        <w:spacing w:line="268" w:lineRule="exact"/>
        <w:ind w:left="861" w:right="0"/>
        <w:jc w:val="both"/>
      </w:pPr>
      <w:r>
        <w:rPr/>
        <w:t>股权激励计划所授予被激励对象股份</w:t>
      </w:r>
      <w:r>
        <w:rPr>
          <w:spacing w:val="-55"/>
        </w:rPr>
        <w:t> </w:t>
      </w:r>
      <w:r>
        <w:rPr>
          <w:rFonts w:ascii="Arial" w:hAnsi="Arial" w:cs="Arial" w:eastAsia="Arial" w:hint="default"/>
        </w:rPr>
        <w:t>21,196,982</w:t>
      </w:r>
      <w:r>
        <w:rPr>
          <w:rFonts w:ascii="Arial" w:hAnsi="Arial" w:cs="Arial" w:eastAsia="Arial" w:hint="default"/>
          <w:spacing w:val="-10"/>
        </w:rPr>
        <w:t> </w:t>
      </w:r>
      <w:r>
        <w:rPr/>
        <w:t>股共同影响所致。</w:t>
      </w:r>
    </w:p>
    <w:p>
      <w:pPr>
        <w:spacing w:line="240" w:lineRule="auto" w:before="5"/>
        <w:rPr>
          <w:rFonts w:ascii="黑体" w:hAnsi="黑体" w:cs="黑体" w:eastAsia="黑体" w:hint="default"/>
          <w:sz w:val="17"/>
          <w:szCs w:val="17"/>
        </w:rPr>
      </w:pPr>
    </w:p>
    <w:p>
      <w:pPr>
        <w:pStyle w:val="BodyText"/>
        <w:spacing w:line="225" w:lineRule="auto"/>
        <w:ind w:left="861" w:right="1694" w:hanging="720"/>
        <w:jc w:val="both"/>
      </w:pPr>
      <w:r>
        <w:rPr>
          <w:rFonts w:ascii="Arial" w:hAnsi="Arial" w:cs="Arial" w:eastAsia="Arial" w:hint="default"/>
        </w:rPr>
        <w:t>23.</w:t>
      </w:r>
      <w:r>
        <w:rPr>
          <w:rFonts w:ascii="Arial" w:hAnsi="Arial" w:cs="Arial" w:eastAsia="Arial" w:hint="default"/>
          <w:spacing w:val="45"/>
        </w:rPr>
        <w:t> </w:t>
      </w:r>
      <w:r>
        <w:rPr/>
        <w:t>资本公积</w:t>
      </w:r>
      <w:r>
        <w:rPr>
          <w:spacing w:val="-51"/>
        </w:rPr>
        <w:t> </w:t>
      </w:r>
      <w:r>
        <w:rPr>
          <w:rFonts w:ascii="Arial" w:hAnsi="Arial" w:cs="Arial" w:eastAsia="Arial" w:hint="default"/>
        </w:rPr>
        <w:t>2009</w:t>
      </w:r>
      <w:r>
        <w:rPr>
          <w:rFonts w:ascii="Arial" w:hAnsi="Arial" w:cs="Arial" w:eastAsia="Arial" w:hint="default"/>
          <w:spacing w:val="-6"/>
        </w:rPr>
        <w:t> </w:t>
      </w:r>
      <w:r>
        <w:rPr/>
        <w:t>年</w:t>
      </w:r>
      <w:r>
        <w:rPr>
          <w:spacing w:val="-52"/>
        </w:rPr>
        <w:t> </w:t>
      </w: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8"/>
        </w:rPr>
        <w:t> </w:t>
      </w:r>
      <w:r>
        <w:rPr/>
        <w:t>日余额为人民币</w:t>
      </w:r>
      <w:r>
        <w:rPr>
          <w:spacing w:val="-51"/>
        </w:rPr>
        <w:t> </w:t>
      </w:r>
      <w:r>
        <w:rPr>
          <w:rFonts w:ascii="Arial" w:hAnsi="Arial" w:cs="Arial" w:eastAsia="Arial" w:hint="default"/>
        </w:rPr>
        <w:t>862,842,262</w:t>
      </w:r>
      <w:r>
        <w:rPr>
          <w:rFonts w:ascii="Arial" w:hAnsi="Arial" w:cs="Arial" w:eastAsia="Arial" w:hint="default"/>
          <w:spacing w:val="-7"/>
        </w:rPr>
        <w:t> </w:t>
      </w:r>
      <w:r>
        <w:rPr>
          <w:spacing w:val="-3"/>
        </w:rPr>
        <w:t>元，较</w:t>
      </w:r>
      <w:r>
        <w:rPr>
          <w:spacing w:val="-51"/>
        </w:rPr>
        <w:t> </w:t>
      </w:r>
      <w:r>
        <w:rPr>
          <w:rFonts w:ascii="Arial" w:hAnsi="Arial" w:cs="Arial" w:eastAsia="Arial" w:hint="default"/>
        </w:rPr>
        <w:t>2008</w:t>
      </w:r>
      <w:r>
        <w:rPr>
          <w:rFonts w:ascii="Arial" w:hAnsi="Arial" w:cs="Arial" w:eastAsia="Arial" w:hint="default"/>
          <w:spacing w:val="-8"/>
        </w:rPr>
        <w:t> </w:t>
      </w:r>
      <w:r>
        <w:rPr/>
        <w:t>年</w:t>
      </w:r>
      <w:r>
        <w:rPr>
          <w:spacing w:val="-51"/>
        </w:rPr>
        <w:t> </w:t>
      </w:r>
      <w:r>
        <w:rPr>
          <w:rFonts w:ascii="Arial" w:hAnsi="Arial" w:cs="Arial" w:eastAsia="Arial" w:hint="default"/>
        </w:rPr>
        <w:t>12</w:t>
      </w:r>
      <w:r>
        <w:rPr>
          <w:rFonts w:ascii="Arial" w:hAnsi="Arial" w:cs="Arial" w:eastAsia="Arial" w:hint="default"/>
          <w:spacing w:val="-6"/>
        </w:rPr>
        <w:t> </w:t>
      </w:r>
      <w:r>
        <w:rPr/>
        <w:t>月</w:t>
      </w:r>
      <w:r>
        <w:rPr>
          <w:spacing w:val="-52"/>
        </w:rPr>
        <w:t> </w:t>
      </w:r>
      <w:r>
        <w:rPr>
          <w:rFonts w:ascii="Arial" w:hAnsi="Arial" w:cs="Arial" w:eastAsia="Arial" w:hint="default"/>
        </w:rPr>
        <w:t>31</w:t>
      </w:r>
      <w:r>
        <w:rPr>
          <w:rFonts w:ascii="Arial" w:hAnsi="Arial" w:cs="Arial" w:eastAsia="Arial" w:hint="default"/>
          <w:spacing w:val="-6"/>
        </w:rPr>
        <w:t> </w:t>
      </w:r>
      <w:r>
        <w:rPr/>
        <w:t>日余额</w:t>
      </w:r>
      <w:r>
        <w:rPr>
          <w:w w:val="100"/>
        </w:rPr>
        <w:t> </w:t>
      </w:r>
      <w:r>
        <w:rPr/>
        <w:t>下降</w:t>
      </w:r>
      <w:r>
        <w:rPr>
          <w:spacing w:val="-45"/>
        </w:rPr>
        <w:t> </w:t>
      </w:r>
      <w:r>
        <w:rPr>
          <w:rFonts w:ascii="Arial" w:hAnsi="Arial" w:cs="Arial" w:eastAsia="Arial" w:hint="default"/>
        </w:rPr>
        <w:t>12%</w:t>
      </w:r>
      <w:r>
        <w:rPr/>
        <w:t>，主要是由于本年本公司将持有的可供出售金融资产</w:t>
      </w:r>
      <w:r>
        <w:rPr>
          <w:rFonts w:ascii="Arial" w:hAnsi="Arial" w:cs="Arial" w:eastAsia="Arial" w:hint="default"/>
        </w:rPr>
        <w:t>-</w:t>
      </w:r>
      <w:r>
        <w:rPr/>
        <w:t>北京银行股票全部出售</w:t>
      </w:r>
      <w:r>
        <w:rPr>
          <w:rFonts w:ascii="Arial" w:hAnsi="Arial" w:cs="Arial" w:eastAsia="Arial" w:hint="default"/>
        </w:rPr>
        <w:t>,</w:t>
      </w:r>
      <w:r>
        <w:rPr/>
        <w:t>其</w:t>
      </w:r>
      <w:r>
        <w:rPr>
          <w:w w:val="100"/>
        </w:rPr>
        <w:t> </w:t>
      </w:r>
      <w:r>
        <w:rPr/>
        <w:t>在</w:t>
      </w:r>
      <w:r>
        <w:rPr>
          <w:spacing w:val="-61"/>
        </w:rPr>
        <w:t> </w:t>
      </w:r>
      <w:r>
        <w:rPr>
          <w:rFonts w:ascii="Arial" w:hAnsi="Arial" w:cs="Arial" w:eastAsia="Arial" w:hint="default"/>
        </w:rPr>
        <w:t>2008</w:t>
      </w:r>
      <w:r>
        <w:rPr>
          <w:rFonts w:ascii="Arial" w:hAnsi="Arial" w:cs="Arial" w:eastAsia="Arial" w:hint="default"/>
          <w:spacing w:val="-18"/>
        </w:rPr>
        <w:t> </w:t>
      </w:r>
      <w:r>
        <w:rPr/>
        <w:t>年末公允价值与初始投资成本之差</w:t>
      </w:r>
      <w:r>
        <w:rPr>
          <w:rFonts w:ascii="Arial" w:hAnsi="Arial" w:cs="Arial" w:eastAsia="Arial" w:hint="default"/>
        </w:rPr>
        <w:t>,</w:t>
      </w:r>
      <w:r>
        <w:rPr/>
        <w:t>并考虑其于未来期间出售形成的投资收益所带</w:t>
      </w:r>
      <w:r>
        <w:rPr>
          <w:w w:val="100"/>
        </w:rPr>
        <w:t> </w:t>
      </w:r>
      <w:r>
        <w:rPr/>
        <w:t>来的应纳税暂时性差异</w:t>
      </w:r>
      <w:r>
        <w:rPr>
          <w:rFonts w:ascii="Arial" w:hAnsi="Arial" w:cs="Arial" w:eastAsia="Arial" w:hint="default"/>
        </w:rPr>
        <w:t>,</w:t>
      </w:r>
      <w:r>
        <w:rPr/>
        <w:t>按</w:t>
      </w:r>
      <w:r>
        <w:rPr>
          <w:spacing w:val="21"/>
        </w:rPr>
        <w:t> </w:t>
      </w:r>
      <w:r>
        <w:rPr>
          <w:rFonts w:ascii="Arial" w:hAnsi="Arial" w:cs="Arial" w:eastAsia="Arial" w:hint="default"/>
        </w:rPr>
        <w:t>10%</w:t>
      </w:r>
      <w:r>
        <w:rPr/>
        <w:t>的税率计算递延所得税负债后计入资本公积的净影响人民</w:t>
      </w:r>
      <w:r>
        <w:rPr>
          <w:w w:val="100"/>
        </w:rPr>
        <w:t> </w:t>
      </w:r>
      <w:r>
        <w:rPr/>
        <w:t>币</w:t>
      </w:r>
      <w:r>
        <w:rPr>
          <w:spacing w:val="-54"/>
        </w:rPr>
        <w:t> </w:t>
      </w:r>
      <w:r>
        <w:rPr>
          <w:rFonts w:ascii="Arial" w:hAnsi="Arial" w:cs="Arial" w:eastAsia="Arial" w:hint="default"/>
        </w:rPr>
        <w:t>205,568,592</w:t>
      </w:r>
      <w:r>
        <w:rPr>
          <w:rFonts w:ascii="Arial" w:hAnsi="Arial" w:cs="Arial" w:eastAsia="Arial" w:hint="default"/>
          <w:spacing w:val="-10"/>
        </w:rPr>
        <w:t> </w:t>
      </w:r>
      <w:r>
        <w:rPr/>
        <w:t>元于</w:t>
      </w:r>
      <w:r>
        <w:rPr>
          <w:spacing w:val="-54"/>
        </w:rPr>
        <w:t> </w:t>
      </w:r>
      <w:r>
        <w:rPr>
          <w:rFonts w:ascii="Arial" w:hAnsi="Arial" w:cs="Arial" w:eastAsia="Arial" w:hint="default"/>
        </w:rPr>
        <w:t>2009</w:t>
      </w:r>
      <w:r>
        <w:rPr>
          <w:rFonts w:ascii="Arial" w:hAnsi="Arial" w:cs="Arial" w:eastAsia="Arial" w:hint="default"/>
          <w:spacing w:val="-11"/>
        </w:rPr>
        <w:t> </w:t>
      </w:r>
      <w:r>
        <w:rPr/>
        <w:t>年全部冲回所致。</w:t>
      </w:r>
    </w:p>
    <w:p>
      <w:pPr>
        <w:spacing w:line="240" w:lineRule="auto" w:before="7"/>
        <w:rPr>
          <w:rFonts w:ascii="黑体" w:hAnsi="黑体" w:cs="黑体" w:eastAsia="黑体" w:hint="default"/>
          <w:sz w:val="18"/>
          <w:szCs w:val="18"/>
        </w:rPr>
      </w:pPr>
    </w:p>
    <w:p>
      <w:pPr>
        <w:pStyle w:val="BodyText"/>
        <w:spacing w:line="260" w:lineRule="exact"/>
        <w:ind w:left="861" w:right="1694" w:hanging="721"/>
        <w:jc w:val="both"/>
      </w:pPr>
      <w:r>
        <w:rPr>
          <w:rFonts w:ascii="Arial" w:hAnsi="Arial" w:cs="Arial" w:eastAsia="Arial" w:hint="default"/>
        </w:rPr>
        <w:t>24.</w:t>
      </w:r>
      <w:r>
        <w:rPr>
          <w:rFonts w:ascii="Arial" w:hAnsi="Arial" w:cs="Arial" w:eastAsia="Arial" w:hint="default"/>
          <w:spacing w:val="45"/>
        </w:rPr>
        <w:t> </w:t>
      </w:r>
      <w:r>
        <w:rPr/>
        <w:t>盈余公积</w:t>
      </w:r>
      <w:r>
        <w:rPr>
          <w:spacing w:val="-51"/>
        </w:rPr>
        <w:t> </w:t>
      </w:r>
      <w:r>
        <w:rPr>
          <w:rFonts w:ascii="Arial" w:hAnsi="Arial" w:cs="Arial" w:eastAsia="Arial" w:hint="default"/>
        </w:rPr>
        <w:t>2009</w:t>
      </w:r>
      <w:r>
        <w:rPr>
          <w:rFonts w:ascii="Arial" w:hAnsi="Arial" w:cs="Arial" w:eastAsia="Arial" w:hint="default"/>
          <w:spacing w:val="-6"/>
        </w:rPr>
        <w:t> </w:t>
      </w:r>
      <w:r>
        <w:rPr/>
        <w:t>年</w:t>
      </w:r>
      <w:r>
        <w:rPr>
          <w:spacing w:val="-52"/>
        </w:rPr>
        <w:t> </w:t>
      </w:r>
      <w:r>
        <w:rPr>
          <w:rFonts w:ascii="Arial" w:hAnsi="Arial" w:cs="Arial" w:eastAsia="Arial" w:hint="default"/>
        </w:rPr>
        <w:t>12</w:t>
      </w:r>
      <w:r>
        <w:rPr>
          <w:rFonts w:ascii="Arial" w:hAnsi="Arial" w:cs="Arial" w:eastAsia="Arial" w:hint="default"/>
          <w:spacing w:val="-8"/>
        </w:rPr>
        <w:t> </w:t>
      </w:r>
      <w:r>
        <w:rPr/>
        <w:t>月</w:t>
      </w:r>
      <w:r>
        <w:rPr>
          <w:spacing w:val="-51"/>
        </w:rPr>
        <w:t> </w:t>
      </w:r>
      <w:r>
        <w:rPr>
          <w:rFonts w:ascii="Arial" w:hAnsi="Arial" w:cs="Arial" w:eastAsia="Arial" w:hint="default"/>
        </w:rPr>
        <w:t>31</w:t>
      </w:r>
      <w:r>
        <w:rPr>
          <w:rFonts w:ascii="Arial" w:hAnsi="Arial" w:cs="Arial" w:eastAsia="Arial" w:hint="default"/>
          <w:spacing w:val="-7"/>
        </w:rPr>
        <w:t> </w:t>
      </w:r>
      <w:r>
        <w:rPr/>
        <w:t>日余额为人民币</w:t>
      </w:r>
      <w:r>
        <w:rPr>
          <w:spacing w:val="-51"/>
        </w:rPr>
        <w:t> </w:t>
      </w:r>
      <w:r>
        <w:rPr>
          <w:rFonts w:ascii="Arial" w:hAnsi="Arial" w:cs="Arial" w:eastAsia="Arial" w:hint="default"/>
        </w:rPr>
        <w:t>271,273,699</w:t>
      </w:r>
      <w:r>
        <w:rPr>
          <w:rFonts w:ascii="Arial" w:hAnsi="Arial" w:cs="Arial" w:eastAsia="Arial" w:hint="default"/>
          <w:spacing w:val="-7"/>
        </w:rPr>
        <w:t> </w:t>
      </w:r>
      <w:r>
        <w:rPr>
          <w:spacing w:val="-3"/>
        </w:rPr>
        <w:t>元，较</w:t>
      </w:r>
      <w:r>
        <w:rPr>
          <w:spacing w:val="-51"/>
        </w:rPr>
        <w:t> </w:t>
      </w:r>
      <w:r>
        <w:rPr>
          <w:rFonts w:ascii="Arial" w:hAnsi="Arial" w:cs="Arial" w:eastAsia="Arial" w:hint="default"/>
        </w:rPr>
        <w:t>2008</w:t>
      </w:r>
      <w:r>
        <w:rPr>
          <w:rFonts w:ascii="Arial" w:hAnsi="Arial" w:cs="Arial" w:eastAsia="Arial" w:hint="default"/>
          <w:spacing w:val="-8"/>
        </w:rPr>
        <w:t> </w:t>
      </w:r>
      <w:r>
        <w:rPr/>
        <w:t>年</w:t>
      </w:r>
      <w:r>
        <w:rPr>
          <w:spacing w:val="-51"/>
        </w:rPr>
        <w:t> </w:t>
      </w:r>
      <w:r>
        <w:rPr>
          <w:rFonts w:ascii="Arial" w:hAnsi="Arial" w:cs="Arial" w:eastAsia="Arial" w:hint="default"/>
        </w:rPr>
        <w:t>12</w:t>
      </w:r>
      <w:r>
        <w:rPr>
          <w:rFonts w:ascii="Arial" w:hAnsi="Arial" w:cs="Arial" w:eastAsia="Arial" w:hint="default"/>
          <w:spacing w:val="-6"/>
        </w:rPr>
        <w:t> </w:t>
      </w:r>
      <w:r>
        <w:rPr/>
        <w:t>月</w:t>
      </w:r>
      <w:r>
        <w:rPr>
          <w:spacing w:val="-52"/>
        </w:rPr>
        <w:t> </w:t>
      </w:r>
      <w:r>
        <w:rPr>
          <w:rFonts w:ascii="Arial" w:hAnsi="Arial" w:cs="Arial" w:eastAsia="Arial" w:hint="default"/>
        </w:rPr>
        <w:t>31</w:t>
      </w:r>
      <w:r>
        <w:rPr>
          <w:rFonts w:ascii="Arial" w:hAnsi="Arial" w:cs="Arial" w:eastAsia="Arial" w:hint="default"/>
          <w:spacing w:val="-6"/>
        </w:rPr>
        <w:t> </w:t>
      </w:r>
      <w:r>
        <w:rPr/>
        <w:t>日余额</w:t>
      </w:r>
      <w:r>
        <w:rPr>
          <w:w w:val="100"/>
        </w:rPr>
        <w:t> </w:t>
      </w:r>
      <w:r>
        <w:rPr/>
        <w:t>增长</w:t>
      </w:r>
      <w:r>
        <w:rPr>
          <w:spacing w:val="-48"/>
        </w:rPr>
        <w:t> </w:t>
      </w:r>
      <w:r>
        <w:rPr>
          <w:rFonts w:ascii="Arial" w:hAnsi="Arial" w:cs="Arial" w:eastAsia="Arial" w:hint="default"/>
          <w:spacing w:val="-4"/>
        </w:rPr>
        <w:t>43%</w:t>
      </w:r>
      <w:r>
        <w:rPr>
          <w:spacing w:val="-4"/>
        </w:rPr>
        <w:t>，主要是由于本年公司根据净利润的</w:t>
      </w:r>
      <w:r>
        <w:rPr>
          <w:spacing w:val="-48"/>
        </w:rPr>
        <w:t> </w:t>
      </w:r>
      <w:r>
        <w:rPr>
          <w:rFonts w:ascii="Arial" w:hAnsi="Arial" w:cs="Arial" w:eastAsia="Arial" w:hint="default"/>
        </w:rPr>
        <w:t>10%</w:t>
      </w:r>
      <w:r>
        <w:rPr/>
        <w:t>及</w:t>
      </w:r>
      <w:r>
        <w:rPr>
          <w:spacing w:val="-48"/>
        </w:rPr>
        <w:t> </w:t>
      </w:r>
      <w:r>
        <w:rPr>
          <w:rFonts w:ascii="Arial" w:hAnsi="Arial" w:cs="Arial" w:eastAsia="Arial" w:hint="default"/>
        </w:rPr>
        <w:t>5%</w:t>
      </w:r>
      <w:r>
        <w:rPr/>
        <w:t>分别提取的法定盈余公积及任意</w:t>
      </w:r>
      <w:r>
        <w:rPr>
          <w:w w:val="100"/>
        </w:rPr>
        <w:t> </w:t>
      </w:r>
      <w:r>
        <w:rPr/>
        <w:t>盈余公积所致。</w:t>
      </w:r>
    </w:p>
    <w:p>
      <w:pPr>
        <w:spacing w:after="0" w:line="260" w:lineRule="exact"/>
        <w:jc w:val="both"/>
        <w:sectPr>
          <w:pgSz w:w="11910" w:h="16840"/>
          <w:pgMar w:header="958" w:footer="466" w:top="2560" w:bottom="660" w:left="1560" w:right="0"/>
        </w:sectPr>
      </w:pPr>
    </w:p>
    <w:p>
      <w:pPr>
        <w:spacing w:line="240" w:lineRule="auto" w:before="1"/>
        <w:rPr>
          <w:rFonts w:ascii="黑体" w:hAnsi="黑体" w:cs="黑体" w:eastAsia="黑体" w:hint="default"/>
          <w:sz w:val="18"/>
          <w:szCs w:val="18"/>
        </w:rPr>
      </w:pPr>
    </w:p>
    <w:p>
      <w:pPr>
        <w:tabs>
          <w:tab w:pos="861" w:val="left" w:leader="none"/>
        </w:tabs>
        <w:spacing w:before="38"/>
        <w:ind w:left="141" w:right="1058" w:firstLine="0"/>
        <w:jc w:val="left"/>
        <w:rPr>
          <w:rFonts w:ascii="Arial" w:hAnsi="Arial" w:cs="Arial" w:eastAsia="Arial" w:hint="default"/>
          <w:sz w:val="20"/>
          <w:szCs w:val="20"/>
        </w:rPr>
      </w:pPr>
      <w:r>
        <w:rPr>
          <w:rFonts w:ascii="Arial" w:hAnsi="Arial" w:cs="Arial" w:eastAsia="Arial" w:hint="default"/>
          <w:b/>
          <w:bCs/>
          <w:w w:val="95"/>
          <w:sz w:val="20"/>
          <w:szCs w:val="20"/>
        </w:rPr>
        <w:t>3</w:t>
      </w:r>
      <w:r>
        <w:rPr>
          <w:rFonts w:ascii="黑体" w:hAnsi="黑体" w:cs="黑体" w:eastAsia="黑体" w:hint="default"/>
          <w:b/>
          <w:bCs/>
          <w:w w:val="95"/>
          <w:sz w:val="20"/>
          <w:szCs w:val="20"/>
        </w:rPr>
        <w:t>、</w:t>
        <w:tab/>
      </w:r>
      <w:r>
        <w:rPr>
          <w:rFonts w:ascii="黑体" w:hAnsi="黑体" w:cs="黑体" w:eastAsia="黑体" w:hint="default"/>
          <w:b/>
          <w:bCs/>
          <w:sz w:val="20"/>
          <w:szCs w:val="20"/>
        </w:rPr>
        <w:t>财务报表项目数据的变动分析</w:t>
      </w:r>
      <w:r>
        <w:rPr>
          <w:rFonts w:ascii="Arial" w:hAnsi="Arial" w:cs="Arial" w:eastAsia="Arial" w:hint="default"/>
          <w:b/>
          <w:bCs/>
          <w:sz w:val="20"/>
          <w:szCs w:val="20"/>
        </w:rPr>
        <w:t>(</w:t>
      </w:r>
      <w:r>
        <w:rPr>
          <w:rFonts w:ascii="黑体" w:hAnsi="黑体" w:cs="黑体" w:eastAsia="黑体" w:hint="default"/>
          <w:b/>
          <w:bCs/>
          <w:sz w:val="20"/>
          <w:szCs w:val="20"/>
        </w:rPr>
        <w:t>续</w:t>
      </w:r>
      <w:r>
        <w:rPr>
          <w:rFonts w:ascii="Arial" w:hAnsi="Arial" w:cs="Arial" w:eastAsia="Arial" w:hint="default"/>
          <w:b/>
          <w:bCs/>
          <w:sz w:val="20"/>
          <w:szCs w:val="20"/>
        </w:rPr>
        <w:t>)</w:t>
      </w:r>
      <w:r>
        <w:rPr>
          <w:rFonts w:ascii="Arial" w:hAnsi="Arial" w:cs="Arial" w:eastAsia="Arial" w:hint="default"/>
          <w:sz w:val="20"/>
          <w:szCs w:val="20"/>
        </w:rPr>
      </w:r>
    </w:p>
    <w:p>
      <w:pPr>
        <w:spacing w:line="240" w:lineRule="auto" w:before="9"/>
        <w:rPr>
          <w:rFonts w:ascii="Arial" w:hAnsi="Arial" w:cs="Arial" w:eastAsia="Arial" w:hint="default"/>
          <w:b/>
          <w:bCs/>
          <w:sz w:val="18"/>
          <w:szCs w:val="18"/>
        </w:rPr>
      </w:pPr>
    </w:p>
    <w:p>
      <w:pPr>
        <w:pStyle w:val="BodyText"/>
        <w:tabs>
          <w:tab w:pos="861" w:val="left" w:leader="none"/>
        </w:tabs>
        <w:spacing w:line="268" w:lineRule="exact"/>
        <w:ind w:left="141" w:right="1058"/>
        <w:jc w:val="left"/>
      </w:pPr>
      <w:r>
        <w:rPr>
          <w:rFonts w:ascii="Arial" w:hAnsi="Arial" w:cs="Arial" w:eastAsia="Arial" w:hint="default"/>
          <w:spacing w:val="-1"/>
        </w:rPr>
        <w:t>25.</w:t>
        <w:tab/>
      </w:r>
      <w:r>
        <w:rPr>
          <w:spacing w:val="-1"/>
        </w:rPr>
        <w:t>未分配利润</w:t>
      </w:r>
      <w:r>
        <w:rPr>
          <w:spacing w:val="-48"/>
        </w:rPr>
        <w:t> </w:t>
      </w:r>
      <w:r>
        <w:rPr>
          <w:rFonts w:ascii="Arial" w:hAnsi="Arial" w:cs="Arial" w:eastAsia="Arial" w:hint="default"/>
          <w:spacing w:val="-1"/>
        </w:rPr>
        <w:t>2009</w:t>
      </w:r>
      <w:r>
        <w:rPr>
          <w:rFonts w:ascii="Arial" w:hAnsi="Arial" w:cs="Arial" w:eastAsia="Arial" w:hint="default"/>
          <w:spacing w:val="-5"/>
        </w:rPr>
        <w:t> </w:t>
      </w:r>
      <w:r>
        <w:rPr/>
        <w:t>年</w:t>
      </w:r>
      <w:r>
        <w:rPr>
          <w:spacing w:val="-48"/>
        </w:rPr>
        <w:t> </w:t>
      </w:r>
      <w:r>
        <w:rPr>
          <w:rFonts w:ascii="Arial" w:hAnsi="Arial" w:cs="Arial" w:eastAsia="Arial" w:hint="default"/>
          <w:spacing w:val="-1"/>
        </w:rPr>
        <w:t>12</w:t>
      </w:r>
      <w:r>
        <w:rPr>
          <w:rFonts w:ascii="Arial" w:hAnsi="Arial" w:cs="Arial" w:eastAsia="Arial" w:hint="default"/>
          <w:spacing w:val="-5"/>
        </w:rPr>
        <w:t> </w:t>
      </w:r>
      <w:r>
        <w:rPr/>
        <w:t>月</w:t>
      </w:r>
      <w:r>
        <w:rPr>
          <w:spacing w:val="-49"/>
        </w:rPr>
        <w:t> </w:t>
      </w:r>
      <w:r>
        <w:rPr>
          <w:rFonts w:ascii="Arial" w:hAnsi="Arial" w:cs="Arial" w:eastAsia="Arial" w:hint="default"/>
        </w:rPr>
        <w:t>31</w:t>
      </w:r>
      <w:r>
        <w:rPr>
          <w:rFonts w:ascii="Arial" w:hAnsi="Arial" w:cs="Arial" w:eastAsia="Arial" w:hint="default"/>
          <w:spacing w:val="-3"/>
        </w:rPr>
        <w:t> </w:t>
      </w:r>
      <w:r>
        <w:rPr>
          <w:spacing w:val="-1"/>
        </w:rPr>
        <w:t>日余额为人民币</w:t>
      </w:r>
      <w:r>
        <w:rPr>
          <w:spacing w:val="-49"/>
        </w:rPr>
        <w:t> </w:t>
      </w:r>
      <w:r>
        <w:rPr>
          <w:rFonts w:ascii="Arial" w:hAnsi="Arial" w:cs="Arial" w:eastAsia="Arial" w:hint="default"/>
          <w:spacing w:val="-1"/>
        </w:rPr>
        <w:t>818,666,807</w:t>
      </w:r>
      <w:r>
        <w:rPr>
          <w:rFonts w:ascii="Arial" w:hAnsi="Arial" w:cs="Arial" w:eastAsia="Arial" w:hint="default"/>
          <w:spacing w:val="-4"/>
        </w:rPr>
        <w:t> </w:t>
      </w:r>
      <w:r>
        <w:rPr>
          <w:spacing w:val="-3"/>
        </w:rPr>
        <w:t>元，比</w:t>
      </w:r>
      <w:r>
        <w:rPr>
          <w:spacing w:val="-48"/>
        </w:rPr>
        <w:t> </w:t>
      </w:r>
      <w:r>
        <w:rPr>
          <w:rFonts w:ascii="Arial" w:hAnsi="Arial" w:cs="Arial" w:eastAsia="Arial" w:hint="default"/>
          <w:spacing w:val="-1"/>
        </w:rPr>
        <w:t>2008</w:t>
      </w:r>
      <w:r>
        <w:rPr>
          <w:rFonts w:ascii="Arial" w:hAnsi="Arial" w:cs="Arial" w:eastAsia="Arial" w:hint="default"/>
          <w:spacing w:val="-5"/>
        </w:rPr>
        <w:t> </w:t>
      </w:r>
      <w:r>
        <w:rPr/>
        <w:t>年</w:t>
      </w:r>
      <w:r>
        <w:rPr>
          <w:spacing w:val="-48"/>
        </w:rPr>
        <w:t> </w:t>
      </w:r>
      <w:r>
        <w:rPr>
          <w:rFonts w:ascii="Arial" w:hAnsi="Arial" w:cs="Arial" w:eastAsia="Arial" w:hint="default"/>
          <w:spacing w:val="-1"/>
        </w:rPr>
        <w:t>12</w:t>
      </w:r>
      <w:r>
        <w:rPr>
          <w:rFonts w:ascii="Arial" w:hAnsi="Arial" w:cs="Arial" w:eastAsia="Arial" w:hint="default"/>
          <w:spacing w:val="-3"/>
        </w:rPr>
        <w:t> </w:t>
      </w:r>
      <w:r>
        <w:rPr/>
        <w:t>月</w:t>
      </w:r>
      <w:r>
        <w:rPr>
          <w:spacing w:val="-49"/>
        </w:rPr>
        <w:t> </w:t>
      </w:r>
      <w:r>
        <w:rPr>
          <w:rFonts w:ascii="Arial" w:hAnsi="Arial" w:cs="Arial" w:eastAsia="Arial" w:hint="default"/>
        </w:rPr>
        <w:t>31</w:t>
      </w:r>
      <w:r>
        <w:rPr>
          <w:rFonts w:ascii="Arial" w:hAnsi="Arial" w:cs="Arial" w:eastAsia="Arial" w:hint="default"/>
          <w:spacing w:val="-5"/>
        </w:rPr>
        <w:t> </w:t>
      </w:r>
      <w:r>
        <w:rPr/>
        <w:t>日余</w:t>
      </w:r>
    </w:p>
    <w:p>
      <w:pPr>
        <w:pStyle w:val="BodyText"/>
        <w:spacing w:line="259" w:lineRule="exact"/>
        <w:ind w:left="861" w:right="0"/>
        <w:jc w:val="both"/>
        <w:rPr>
          <w:rFonts w:ascii="Arial" w:hAnsi="Arial" w:cs="Arial" w:eastAsia="Arial" w:hint="default"/>
        </w:rPr>
      </w:pPr>
      <w:r>
        <w:rPr/>
        <w:t>额增长</w:t>
      </w:r>
      <w:r>
        <w:rPr>
          <w:spacing w:val="-48"/>
        </w:rPr>
        <w:t> </w:t>
      </w:r>
      <w:r>
        <w:rPr>
          <w:rFonts w:ascii="Arial" w:hAnsi="Arial" w:cs="Arial" w:eastAsia="Arial" w:hint="default"/>
        </w:rPr>
        <w:t>83%</w:t>
      </w:r>
      <w:r>
        <w:rPr/>
        <w:t>，主要是由于</w:t>
      </w:r>
      <w:r>
        <w:rPr>
          <w:spacing w:val="-48"/>
        </w:rPr>
        <w:t> </w:t>
      </w:r>
      <w:r>
        <w:rPr>
          <w:rFonts w:ascii="Arial" w:hAnsi="Arial" w:cs="Arial" w:eastAsia="Arial" w:hint="default"/>
        </w:rPr>
        <w:t>2009</w:t>
      </w:r>
      <w:r>
        <w:rPr>
          <w:rFonts w:ascii="Arial" w:hAnsi="Arial" w:cs="Arial" w:eastAsia="Arial" w:hint="default"/>
          <w:spacing w:val="-3"/>
        </w:rPr>
        <w:t> </w:t>
      </w:r>
      <w:r>
        <w:rPr/>
        <w:t>年公司实现的净利润转入未分配利润人民币</w:t>
      </w:r>
      <w:r>
        <w:rPr>
          <w:spacing w:val="-48"/>
        </w:rPr>
        <w:t> </w:t>
      </w:r>
      <w:r>
        <w:rPr>
          <w:rFonts w:ascii="Arial" w:hAnsi="Arial" w:cs="Arial" w:eastAsia="Arial" w:hint="default"/>
        </w:rPr>
        <w:t>593,699,966</w:t>
      </w:r>
    </w:p>
    <w:p>
      <w:pPr>
        <w:pStyle w:val="BodyText"/>
        <w:spacing w:line="260" w:lineRule="exact" w:before="17"/>
        <w:ind w:left="861" w:right="1694"/>
        <w:jc w:val="both"/>
      </w:pPr>
      <w:r>
        <w:rPr/>
        <w:t>元，同时派发现金股利人民币</w:t>
      </w:r>
      <w:r>
        <w:rPr>
          <w:spacing w:val="-38"/>
        </w:rPr>
        <w:t> </w:t>
      </w:r>
      <w:r>
        <w:rPr>
          <w:rFonts w:ascii="Arial" w:hAnsi="Arial" w:cs="Arial" w:eastAsia="Arial" w:hint="default"/>
        </w:rPr>
        <w:t>139,998,893</w:t>
      </w:r>
      <w:r>
        <w:rPr>
          <w:rFonts w:ascii="Arial" w:hAnsi="Arial" w:cs="Arial" w:eastAsia="Arial" w:hint="default"/>
          <w:spacing w:val="6"/>
        </w:rPr>
        <w:t> </w:t>
      </w:r>
      <w:r>
        <w:rPr/>
        <w:t>元及提取盈余公积人民币</w:t>
      </w:r>
      <w:r>
        <w:rPr>
          <w:spacing w:val="-38"/>
        </w:rPr>
        <w:t> </w:t>
      </w:r>
      <w:r>
        <w:rPr>
          <w:rFonts w:ascii="Arial" w:hAnsi="Arial" w:cs="Arial" w:eastAsia="Arial" w:hint="default"/>
        </w:rPr>
        <w:t>81,603,564</w:t>
      </w:r>
      <w:r>
        <w:rPr>
          <w:rFonts w:ascii="Arial" w:hAnsi="Arial" w:cs="Arial" w:eastAsia="Arial" w:hint="default"/>
          <w:spacing w:val="6"/>
        </w:rPr>
        <w:t> </w:t>
      </w:r>
      <w:r>
        <w:rPr/>
        <w:t>元共同</w:t>
      </w:r>
      <w:r>
        <w:rPr>
          <w:w w:val="100"/>
        </w:rPr>
        <w:t> </w:t>
      </w:r>
      <w:r>
        <w:rPr/>
        <w:t>影响所致。</w:t>
      </w:r>
    </w:p>
    <w:p>
      <w:pPr>
        <w:spacing w:line="240" w:lineRule="auto" w:before="7"/>
        <w:rPr>
          <w:rFonts w:ascii="黑体" w:hAnsi="黑体" w:cs="黑体" w:eastAsia="黑体" w:hint="default"/>
          <w:sz w:val="17"/>
          <w:szCs w:val="17"/>
        </w:rPr>
      </w:pPr>
    </w:p>
    <w:p>
      <w:pPr>
        <w:pStyle w:val="BodyText"/>
        <w:tabs>
          <w:tab w:pos="860" w:val="left" w:leader="none"/>
        </w:tabs>
        <w:spacing w:line="260" w:lineRule="exact"/>
        <w:ind w:left="860" w:right="1696" w:hanging="720"/>
        <w:jc w:val="left"/>
      </w:pPr>
      <w:r>
        <w:rPr>
          <w:rFonts w:ascii="Arial" w:hAnsi="Arial" w:cs="Arial" w:eastAsia="Arial" w:hint="default"/>
          <w:spacing w:val="-1"/>
        </w:rPr>
        <w:t>26.</w:t>
        <w:tab/>
      </w:r>
      <w:r>
        <w:rPr>
          <w:spacing w:val="-1"/>
        </w:rPr>
        <w:t>外币报表折算差额</w:t>
      </w:r>
      <w:r>
        <w:rPr>
          <w:spacing w:val="-43"/>
        </w:rPr>
        <w:t> </w:t>
      </w:r>
      <w:r>
        <w:rPr>
          <w:rFonts w:ascii="Arial" w:hAnsi="Arial" w:cs="Arial" w:eastAsia="Arial" w:hint="default"/>
        </w:rPr>
        <w:t>2009 </w:t>
      </w:r>
      <w:r>
        <w:rPr/>
        <w:t>年</w:t>
      </w:r>
      <w:r>
        <w:rPr>
          <w:spacing w:val="-44"/>
        </w:rPr>
        <w:t> </w:t>
      </w:r>
      <w:r>
        <w:rPr>
          <w:rFonts w:ascii="Arial" w:hAnsi="Arial" w:cs="Arial" w:eastAsia="Arial" w:hint="default"/>
        </w:rPr>
        <w:t>12</w:t>
      </w:r>
      <w:r>
        <w:rPr>
          <w:rFonts w:ascii="Arial" w:hAnsi="Arial" w:cs="Arial" w:eastAsia="Arial" w:hint="default"/>
          <w:spacing w:val="2"/>
        </w:rPr>
        <w:t> </w:t>
      </w:r>
      <w:r>
        <w:rPr/>
        <w:t>月</w:t>
      </w:r>
      <w:r>
        <w:rPr>
          <w:spacing w:val="-43"/>
        </w:rPr>
        <w:t> </w:t>
      </w:r>
      <w:r>
        <w:rPr>
          <w:rFonts w:ascii="Arial" w:hAnsi="Arial" w:cs="Arial" w:eastAsia="Arial" w:hint="default"/>
        </w:rPr>
        <w:t>31</w:t>
      </w:r>
      <w:r>
        <w:rPr>
          <w:rFonts w:ascii="Arial" w:hAnsi="Arial" w:cs="Arial" w:eastAsia="Arial" w:hint="default"/>
          <w:spacing w:val="2"/>
        </w:rPr>
        <w:t> </w:t>
      </w:r>
      <w:r>
        <w:rPr>
          <w:spacing w:val="-1"/>
        </w:rPr>
        <w:t>日余额为人民币</w:t>
      </w:r>
      <w:r>
        <w:rPr>
          <w:spacing w:val="-44"/>
        </w:rPr>
        <w:t> </w:t>
      </w:r>
      <w:r>
        <w:rPr>
          <w:rFonts w:ascii="Arial" w:hAnsi="Arial" w:cs="Arial" w:eastAsia="Arial" w:hint="default"/>
          <w:spacing w:val="-1"/>
        </w:rPr>
        <w:t>63,786</w:t>
      </w:r>
      <w:r>
        <w:rPr>
          <w:rFonts w:ascii="Arial" w:hAnsi="Arial" w:cs="Arial" w:eastAsia="Arial" w:hint="default"/>
          <w:spacing w:val="1"/>
        </w:rPr>
        <w:t> </w:t>
      </w:r>
      <w:r>
        <w:rPr/>
        <w:t>元，比</w:t>
      </w:r>
      <w:r>
        <w:rPr>
          <w:spacing w:val="-44"/>
        </w:rPr>
        <w:t> </w:t>
      </w:r>
      <w:r>
        <w:rPr>
          <w:rFonts w:ascii="Arial" w:hAnsi="Arial" w:cs="Arial" w:eastAsia="Arial" w:hint="default"/>
        </w:rPr>
        <w:t>2008</w:t>
      </w:r>
      <w:r>
        <w:rPr>
          <w:rFonts w:ascii="Arial" w:hAnsi="Arial" w:cs="Arial" w:eastAsia="Arial" w:hint="default"/>
          <w:spacing w:val="2"/>
        </w:rPr>
        <w:t> </w:t>
      </w:r>
      <w:r>
        <w:rPr/>
        <w:t>年</w:t>
      </w:r>
      <w:r>
        <w:rPr>
          <w:spacing w:val="-43"/>
        </w:rPr>
        <w:t> </w:t>
      </w:r>
      <w:r>
        <w:rPr>
          <w:rFonts w:ascii="Arial" w:hAnsi="Arial" w:cs="Arial" w:eastAsia="Arial" w:hint="default"/>
          <w:spacing w:val="-1"/>
        </w:rPr>
        <w:t>12</w:t>
      </w:r>
      <w:r>
        <w:rPr>
          <w:rFonts w:ascii="Arial" w:hAnsi="Arial" w:cs="Arial" w:eastAsia="Arial" w:hint="default"/>
        </w:rPr>
        <w:t> </w:t>
      </w:r>
      <w:r>
        <w:rPr/>
        <w:t>月</w:t>
      </w:r>
      <w:r>
        <w:rPr>
          <w:spacing w:val="-43"/>
        </w:rPr>
        <w:t> </w:t>
      </w:r>
      <w:r>
        <w:rPr>
          <w:rFonts w:ascii="Arial" w:hAnsi="Arial" w:cs="Arial" w:eastAsia="Arial" w:hint="default"/>
        </w:rPr>
        <w:t>31</w:t>
      </w:r>
      <w:r>
        <w:rPr>
          <w:rFonts w:ascii="Arial" w:hAnsi="Arial" w:cs="Arial" w:eastAsia="Arial" w:hint="default"/>
          <w:spacing w:val="3"/>
        </w:rPr>
        <w:t> </w:t>
      </w:r>
      <w:r>
        <w:rPr/>
        <w:t>日</w:t>
      </w:r>
      <w:r>
        <w:rPr>
          <w:w w:val="100"/>
        </w:rPr>
        <w:t> </w:t>
      </w:r>
      <w:r>
        <w:rPr/>
        <w:t>下降</w:t>
      </w:r>
      <w:r>
        <w:rPr>
          <w:spacing w:val="-56"/>
        </w:rPr>
        <w:t> </w:t>
      </w:r>
      <w:r>
        <w:rPr>
          <w:rFonts w:ascii="Arial" w:hAnsi="Arial" w:cs="Arial" w:eastAsia="Arial" w:hint="default"/>
        </w:rPr>
        <w:t>92%</w:t>
      </w:r>
      <w:r>
        <w:rPr/>
        <w:t>，主要是由于外币汇率波动所致。</w:t>
      </w:r>
    </w:p>
    <w:p>
      <w:pPr>
        <w:spacing w:line="240" w:lineRule="auto" w:before="7"/>
        <w:rPr>
          <w:rFonts w:ascii="黑体" w:hAnsi="黑体" w:cs="黑体" w:eastAsia="黑体" w:hint="default"/>
          <w:sz w:val="17"/>
          <w:szCs w:val="17"/>
        </w:rPr>
      </w:pPr>
    </w:p>
    <w:p>
      <w:pPr>
        <w:pStyle w:val="BodyText"/>
        <w:tabs>
          <w:tab w:pos="860" w:val="left" w:leader="none"/>
        </w:tabs>
        <w:spacing w:line="260" w:lineRule="exact"/>
        <w:ind w:left="860" w:right="1695" w:hanging="720"/>
        <w:jc w:val="left"/>
      </w:pPr>
      <w:r>
        <w:rPr>
          <w:rFonts w:ascii="Arial" w:hAnsi="Arial" w:cs="Arial" w:eastAsia="Arial" w:hint="default"/>
          <w:spacing w:val="-1"/>
        </w:rPr>
        <w:t>27.</w:t>
        <w:tab/>
      </w:r>
      <w:r>
        <w:rPr>
          <w:spacing w:val="-1"/>
        </w:rPr>
        <w:t>营业收入</w:t>
      </w:r>
      <w:r>
        <w:rPr>
          <w:spacing w:val="-36"/>
        </w:rPr>
        <w:t> </w:t>
      </w:r>
      <w:r>
        <w:rPr>
          <w:rFonts w:ascii="Arial" w:hAnsi="Arial" w:cs="Arial" w:eastAsia="Arial" w:hint="default"/>
          <w:spacing w:val="-1"/>
        </w:rPr>
        <w:t>2009</w:t>
      </w:r>
      <w:r>
        <w:rPr>
          <w:rFonts w:ascii="Arial" w:hAnsi="Arial" w:cs="Arial" w:eastAsia="Arial" w:hint="default"/>
          <w:spacing w:val="9"/>
        </w:rPr>
        <w:t> </w:t>
      </w:r>
      <w:r>
        <w:rPr>
          <w:spacing w:val="-1"/>
        </w:rPr>
        <w:t>年为人民币</w:t>
      </w:r>
      <w:r>
        <w:rPr>
          <w:spacing w:val="-36"/>
        </w:rPr>
        <w:t> </w:t>
      </w:r>
      <w:r>
        <w:rPr>
          <w:rFonts w:ascii="Arial" w:hAnsi="Arial" w:cs="Arial" w:eastAsia="Arial" w:hint="default"/>
          <w:spacing w:val="-1"/>
        </w:rPr>
        <w:t>2,347,005,714</w:t>
      </w:r>
      <w:r>
        <w:rPr>
          <w:rFonts w:ascii="Arial" w:hAnsi="Arial" w:cs="Arial" w:eastAsia="Arial" w:hint="default"/>
          <w:spacing w:val="8"/>
        </w:rPr>
        <w:t> </w:t>
      </w:r>
      <w:r>
        <w:rPr>
          <w:spacing w:val="-1"/>
        </w:rPr>
        <w:t>元，较</w:t>
      </w:r>
      <w:r>
        <w:rPr>
          <w:spacing w:val="-36"/>
        </w:rPr>
        <w:t> </w:t>
      </w:r>
      <w:r>
        <w:rPr>
          <w:rFonts w:ascii="Arial" w:hAnsi="Arial" w:cs="Arial" w:eastAsia="Arial" w:hint="default"/>
          <w:spacing w:val="-1"/>
        </w:rPr>
        <w:t>2008</w:t>
      </w:r>
      <w:r>
        <w:rPr>
          <w:rFonts w:ascii="Arial" w:hAnsi="Arial" w:cs="Arial" w:eastAsia="Arial" w:hint="default"/>
          <w:spacing w:val="8"/>
        </w:rPr>
        <w:t> </w:t>
      </w:r>
      <w:r>
        <w:rPr>
          <w:spacing w:val="-1"/>
        </w:rPr>
        <w:t>年增长</w:t>
      </w:r>
      <w:r>
        <w:rPr>
          <w:spacing w:val="-36"/>
        </w:rPr>
        <w:t> </w:t>
      </w:r>
      <w:r>
        <w:rPr>
          <w:rFonts w:ascii="Arial" w:hAnsi="Arial" w:cs="Arial" w:eastAsia="Arial" w:hint="default"/>
          <w:spacing w:val="-1"/>
        </w:rPr>
        <w:t>36%</w:t>
      </w:r>
      <w:r>
        <w:rPr>
          <w:spacing w:val="-1"/>
        </w:rPr>
        <w:t>，主要是由于本年度</w:t>
      </w:r>
      <w:r>
        <w:rPr>
          <w:w w:val="100"/>
        </w:rPr>
        <w:t> </w:t>
      </w:r>
      <w:r>
        <w:rPr/>
        <w:t>主营业务软件产品销售收入及实施维护和培训服务收入继续取得稳定增长所致。</w:t>
      </w:r>
    </w:p>
    <w:p>
      <w:pPr>
        <w:spacing w:line="240" w:lineRule="auto" w:before="7"/>
        <w:rPr>
          <w:rFonts w:ascii="黑体" w:hAnsi="黑体" w:cs="黑体" w:eastAsia="黑体" w:hint="default"/>
          <w:sz w:val="17"/>
          <w:szCs w:val="17"/>
        </w:rPr>
      </w:pPr>
    </w:p>
    <w:p>
      <w:pPr>
        <w:pStyle w:val="BodyText"/>
        <w:spacing w:line="260" w:lineRule="exact"/>
        <w:ind w:left="860" w:right="1695" w:hanging="721"/>
        <w:jc w:val="both"/>
      </w:pPr>
      <w:r>
        <w:rPr>
          <w:rFonts w:ascii="Arial" w:hAnsi="Arial" w:cs="Arial" w:eastAsia="Arial" w:hint="default"/>
        </w:rPr>
        <w:t>28.</w:t>
      </w:r>
      <w:r>
        <w:rPr>
          <w:rFonts w:ascii="Arial" w:hAnsi="Arial" w:cs="Arial" w:eastAsia="Arial" w:hint="default"/>
          <w:spacing w:val="48"/>
        </w:rPr>
        <w:t> </w:t>
      </w:r>
      <w:r>
        <w:rPr/>
        <w:t>营业成本</w:t>
      </w:r>
      <w:r>
        <w:rPr>
          <w:spacing w:val="-46"/>
        </w:rPr>
        <w:t> </w:t>
      </w:r>
      <w:r>
        <w:rPr>
          <w:rFonts w:ascii="Arial" w:hAnsi="Arial" w:cs="Arial" w:eastAsia="Arial" w:hint="default"/>
        </w:rPr>
        <w:t>2009</w:t>
      </w:r>
      <w:r>
        <w:rPr>
          <w:rFonts w:ascii="Arial" w:hAnsi="Arial" w:cs="Arial" w:eastAsia="Arial" w:hint="default"/>
          <w:spacing w:val="-2"/>
        </w:rPr>
        <w:t> </w:t>
      </w:r>
      <w:r>
        <w:rPr/>
        <w:t>年为人民币</w:t>
      </w:r>
      <w:r>
        <w:rPr>
          <w:spacing w:val="-48"/>
        </w:rPr>
        <w:t> </w:t>
      </w:r>
      <w:r>
        <w:rPr>
          <w:rFonts w:ascii="Arial" w:hAnsi="Arial" w:cs="Arial" w:eastAsia="Arial" w:hint="default"/>
        </w:rPr>
        <w:t>391,167,536</w:t>
      </w:r>
      <w:r>
        <w:rPr>
          <w:rFonts w:ascii="Arial" w:hAnsi="Arial" w:cs="Arial" w:eastAsia="Arial" w:hint="default"/>
          <w:spacing w:val="-3"/>
        </w:rPr>
        <w:t> </w:t>
      </w:r>
      <w:r>
        <w:rPr/>
        <w:t>元，较</w:t>
      </w:r>
      <w:r>
        <w:rPr>
          <w:spacing w:val="-47"/>
        </w:rPr>
        <w:t> </w:t>
      </w:r>
      <w:r>
        <w:rPr>
          <w:rFonts w:ascii="Arial" w:hAnsi="Arial" w:cs="Arial" w:eastAsia="Arial" w:hint="default"/>
        </w:rPr>
        <w:t>2008</w:t>
      </w:r>
      <w:r>
        <w:rPr>
          <w:rFonts w:ascii="Arial" w:hAnsi="Arial" w:cs="Arial" w:eastAsia="Arial" w:hint="default"/>
          <w:spacing w:val="-3"/>
        </w:rPr>
        <w:t> </w:t>
      </w:r>
      <w:r>
        <w:rPr/>
        <w:t>年增长</w:t>
      </w:r>
      <w:r>
        <w:rPr>
          <w:spacing w:val="-47"/>
        </w:rPr>
        <w:t> </w:t>
      </w:r>
      <w:r>
        <w:rPr>
          <w:rFonts w:ascii="Arial" w:hAnsi="Arial" w:cs="Arial" w:eastAsia="Arial" w:hint="default"/>
        </w:rPr>
        <w:t>84%</w:t>
      </w:r>
      <w:r>
        <w:rPr/>
        <w:t>，主要是由于销售收入</w:t>
      </w:r>
      <w:r>
        <w:rPr>
          <w:w w:val="100"/>
        </w:rPr>
        <w:t> </w:t>
      </w:r>
      <w:r>
        <w:rPr>
          <w:spacing w:val="-1"/>
        </w:rPr>
        <w:t>的稳定增长所对应的成本增长，以及为扩大市场份额，本公司鼓励实施技术咨询和项目外</w:t>
      </w:r>
      <w:r>
        <w:rPr>
          <w:w w:val="100"/>
        </w:rPr>
        <w:t> </w:t>
      </w:r>
      <w:r>
        <w:rPr/>
        <w:t>包，导致支付给培训咨询单位及外包单位的成本费用增长所致。</w:t>
      </w:r>
    </w:p>
    <w:p>
      <w:pPr>
        <w:spacing w:line="240" w:lineRule="auto" w:before="7"/>
        <w:rPr>
          <w:rFonts w:ascii="黑体" w:hAnsi="黑体" w:cs="黑体" w:eastAsia="黑体" w:hint="default"/>
          <w:sz w:val="17"/>
          <w:szCs w:val="17"/>
        </w:rPr>
      </w:pPr>
    </w:p>
    <w:p>
      <w:pPr>
        <w:pStyle w:val="BodyText"/>
        <w:tabs>
          <w:tab w:pos="860" w:val="left" w:leader="none"/>
        </w:tabs>
        <w:spacing w:line="260" w:lineRule="exact"/>
        <w:ind w:left="860" w:right="1694" w:hanging="721"/>
        <w:jc w:val="left"/>
      </w:pPr>
      <w:r>
        <w:rPr>
          <w:rFonts w:ascii="Arial" w:hAnsi="Arial" w:cs="Arial" w:eastAsia="Arial" w:hint="default"/>
          <w:spacing w:val="-1"/>
        </w:rPr>
        <w:t>29.</w:t>
        <w:tab/>
      </w:r>
      <w:r>
        <w:rPr>
          <w:spacing w:val="-1"/>
        </w:rPr>
        <w:t>营业税金及附加</w:t>
      </w:r>
      <w:r>
        <w:rPr>
          <w:spacing w:val="-45"/>
        </w:rPr>
        <w:t> </w:t>
      </w:r>
      <w:r>
        <w:rPr>
          <w:rFonts w:ascii="Arial" w:hAnsi="Arial" w:cs="Arial" w:eastAsia="Arial" w:hint="default"/>
          <w:spacing w:val="-1"/>
        </w:rPr>
        <w:t>2009</w:t>
      </w:r>
      <w:r>
        <w:rPr>
          <w:rFonts w:ascii="Arial" w:hAnsi="Arial" w:cs="Arial" w:eastAsia="Arial" w:hint="default"/>
          <w:spacing w:val="-2"/>
        </w:rPr>
        <w:t> </w:t>
      </w:r>
      <w:r>
        <w:rPr>
          <w:spacing w:val="-1"/>
        </w:rPr>
        <w:t>年为人民币</w:t>
      </w:r>
      <w:r>
        <w:rPr>
          <w:spacing w:val="-46"/>
        </w:rPr>
        <w:t> </w:t>
      </w:r>
      <w:r>
        <w:rPr>
          <w:rFonts w:ascii="Arial" w:hAnsi="Arial" w:cs="Arial" w:eastAsia="Arial" w:hint="default"/>
          <w:spacing w:val="-1"/>
        </w:rPr>
        <w:t>63,249,718</w:t>
      </w:r>
      <w:r>
        <w:rPr>
          <w:rFonts w:ascii="Arial" w:hAnsi="Arial" w:cs="Arial" w:eastAsia="Arial" w:hint="default"/>
          <w:spacing w:val="-2"/>
        </w:rPr>
        <w:t> </w:t>
      </w:r>
      <w:r>
        <w:rPr>
          <w:spacing w:val="-10"/>
        </w:rPr>
        <w:t>元，较</w:t>
      </w:r>
      <w:r>
        <w:rPr>
          <w:spacing w:val="-46"/>
        </w:rPr>
        <w:t> </w:t>
      </w:r>
      <w:r>
        <w:rPr>
          <w:rFonts w:ascii="Arial" w:hAnsi="Arial" w:cs="Arial" w:eastAsia="Arial" w:hint="default"/>
          <w:spacing w:val="-1"/>
        </w:rPr>
        <w:t>2008</w:t>
      </w:r>
      <w:r>
        <w:rPr>
          <w:rFonts w:ascii="Arial" w:hAnsi="Arial" w:cs="Arial" w:eastAsia="Arial" w:hint="default"/>
        </w:rPr>
        <w:t> </w:t>
      </w:r>
      <w:r>
        <w:rPr>
          <w:spacing w:val="-1"/>
        </w:rPr>
        <w:t>年增长</w:t>
      </w:r>
      <w:r>
        <w:rPr>
          <w:spacing w:val="-46"/>
        </w:rPr>
        <w:t> </w:t>
      </w:r>
      <w:r>
        <w:rPr>
          <w:rFonts w:ascii="Arial" w:hAnsi="Arial" w:cs="Arial" w:eastAsia="Arial" w:hint="default"/>
          <w:spacing w:val="-3"/>
        </w:rPr>
        <w:t>32%</w:t>
      </w:r>
      <w:r>
        <w:rPr>
          <w:spacing w:val="-3"/>
        </w:rPr>
        <w:t>，主要是由于本年</w:t>
      </w:r>
      <w:r>
        <w:rPr>
          <w:w w:val="100"/>
        </w:rPr>
        <w:t> </w:t>
      </w:r>
      <w:r>
        <w:rPr/>
        <w:t>度服务及培训收入增长较大，导致相应税金增长所致。</w:t>
      </w:r>
    </w:p>
    <w:p>
      <w:pPr>
        <w:spacing w:line="240" w:lineRule="auto" w:before="8"/>
        <w:rPr>
          <w:rFonts w:ascii="黑体" w:hAnsi="黑体" w:cs="黑体" w:eastAsia="黑体" w:hint="default"/>
          <w:sz w:val="17"/>
          <w:szCs w:val="17"/>
        </w:rPr>
      </w:pPr>
    </w:p>
    <w:p>
      <w:pPr>
        <w:pStyle w:val="BodyText"/>
        <w:tabs>
          <w:tab w:pos="860" w:val="left" w:leader="none"/>
        </w:tabs>
        <w:spacing w:line="260" w:lineRule="exact"/>
        <w:ind w:left="861" w:right="1694" w:hanging="721"/>
        <w:jc w:val="left"/>
      </w:pPr>
      <w:r>
        <w:rPr>
          <w:rFonts w:ascii="Arial" w:hAnsi="Arial" w:cs="Arial" w:eastAsia="Arial" w:hint="default"/>
          <w:spacing w:val="-1"/>
        </w:rPr>
        <w:t>30.</w:t>
        <w:tab/>
      </w:r>
      <w:r>
        <w:rPr>
          <w:spacing w:val="-1"/>
        </w:rPr>
        <w:t>销售费用</w:t>
      </w:r>
      <w:r>
        <w:rPr>
          <w:spacing w:val="-35"/>
        </w:rPr>
        <w:t> </w:t>
      </w:r>
      <w:r>
        <w:rPr>
          <w:rFonts w:ascii="Arial" w:hAnsi="Arial" w:cs="Arial" w:eastAsia="Arial" w:hint="default"/>
          <w:spacing w:val="-1"/>
        </w:rPr>
        <w:t>2009</w:t>
      </w:r>
      <w:r>
        <w:rPr>
          <w:rFonts w:ascii="Arial" w:hAnsi="Arial" w:cs="Arial" w:eastAsia="Arial" w:hint="default"/>
          <w:spacing w:val="9"/>
        </w:rPr>
        <w:t> </w:t>
      </w:r>
      <w:r>
        <w:rPr>
          <w:spacing w:val="-1"/>
        </w:rPr>
        <w:t>年为人民币</w:t>
      </w:r>
      <w:r>
        <w:rPr>
          <w:spacing w:val="-36"/>
        </w:rPr>
        <w:t> </w:t>
      </w:r>
      <w:r>
        <w:rPr>
          <w:rFonts w:ascii="Arial" w:hAnsi="Arial" w:cs="Arial" w:eastAsia="Arial" w:hint="default"/>
          <w:spacing w:val="-1"/>
        </w:rPr>
        <w:t>1,049,722,269</w:t>
      </w:r>
      <w:r>
        <w:rPr>
          <w:rFonts w:ascii="Arial" w:hAnsi="Arial" w:cs="Arial" w:eastAsia="Arial" w:hint="default"/>
          <w:spacing w:val="7"/>
        </w:rPr>
        <w:t> </w:t>
      </w:r>
      <w:r>
        <w:rPr>
          <w:spacing w:val="-1"/>
        </w:rPr>
        <w:t>元，较</w:t>
      </w:r>
      <w:r>
        <w:rPr>
          <w:spacing w:val="-36"/>
        </w:rPr>
        <w:t> </w:t>
      </w:r>
      <w:r>
        <w:rPr>
          <w:rFonts w:ascii="Arial" w:hAnsi="Arial" w:cs="Arial" w:eastAsia="Arial" w:hint="default"/>
          <w:spacing w:val="-1"/>
        </w:rPr>
        <w:t>2008</w:t>
      </w:r>
      <w:r>
        <w:rPr>
          <w:rFonts w:ascii="Arial" w:hAnsi="Arial" w:cs="Arial" w:eastAsia="Arial" w:hint="default"/>
          <w:spacing w:val="7"/>
        </w:rPr>
        <w:t> </w:t>
      </w:r>
      <w:r>
        <w:rPr>
          <w:spacing w:val="-1"/>
        </w:rPr>
        <w:t>年增长</w:t>
      </w:r>
      <w:r>
        <w:rPr>
          <w:spacing w:val="-36"/>
        </w:rPr>
        <w:t> </w:t>
      </w:r>
      <w:r>
        <w:rPr>
          <w:rFonts w:ascii="Arial" w:hAnsi="Arial" w:cs="Arial" w:eastAsia="Arial" w:hint="default"/>
          <w:spacing w:val="-1"/>
        </w:rPr>
        <w:t>35%</w:t>
      </w:r>
      <w:r>
        <w:rPr>
          <w:spacing w:val="-1"/>
        </w:rPr>
        <w:t>，主要是由于经营规</w:t>
      </w:r>
      <w:r>
        <w:rPr>
          <w:w w:val="100"/>
        </w:rPr>
        <w:t> </w:t>
      </w:r>
      <w:r>
        <w:rPr/>
        <w:t>模的扩大和人员增加，以及销售人员工资奖金总额的增长所致。</w:t>
      </w:r>
    </w:p>
    <w:p>
      <w:pPr>
        <w:spacing w:line="240" w:lineRule="auto" w:before="7"/>
        <w:rPr>
          <w:rFonts w:ascii="黑体" w:hAnsi="黑体" w:cs="黑体" w:eastAsia="黑体" w:hint="default"/>
          <w:sz w:val="17"/>
          <w:szCs w:val="17"/>
        </w:rPr>
      </w:pPr>
    </w:p>
    <w:p>
      <w:pPr>
        <w:pStyle w:val="BodyText"/>
        <w:tabs>
          <w:tab w:pos="861" w:val="left" w:leader="none"/>
        </w:tabs>
        <w:spacing w:line="260" w:lineRule="exact"/>
        <w:ind w:left="861" w:right="1695" w:hanging="721"/>
        <w:jc w:val="left"/>
      </w:pPr>
      <w:r>
        <w:rPr>
          <w:rFonts w:ascii="Arial" w:hAnsi="Arial" w:cs="Arial" w:eastAsia="Arial" w:hint="default"/>
          <w:spacing w:val="-1"/>
        </w:rPr>
        <w:t>31.</w:t>
        <w:tab/>
      </w:r>
      <w:r>
        <w:rPr>
          <w:spacing w:val="-1"/>
        </w:rPr>
        <w:t>管理费用</w:t>
      </w:r>
      <w:r>
        <w:rPr>
          <w:spacing w:val="-40"/>
        </w:rPr>
        <w:t> </w:t>
      </w:r>
      <w:r>
        <w:rPr>
          <w:rFonts w:ascii="Arial" w:hAnsi="Arial" w:cs="Arial" w:eastAsia="Arial" w:hint="default"/>
          <w:spacing w:val="-1"/>
        </w:rPr>
        <w:t>2009</w:t>
      </w:r>
      <w:r>
        <w:rPr>
          <w:rFonts w:ascii="Arial" w:hAnsi="Arial" w:cs="Arial" w:eastAsia="Arial" w:hint="default"/>
          <w:spacing w:val="4"/>
        </w:rPr>
        <w:t> </w:t>
      </w:r>
      <w:r>
        <w:rPr>
          <w:spacing w:val="-1"/>
        </w:rPr>
        <w:t>年为人民币</w:t>
      </w:r>
      <w:r>
        <w:rPr>
          <w:spacing w:val="-43"/>
        </w:rPr>
        <w:t> </w:t>
      </w:r>
      <w:r>
        <w:rPr>
          <w:rFonts w:ascii="Arial" w:hAnsi="Arial" w:cs="Arial" w:eastAsia="Arial" w:hint="default"/>
          <w:spacing w:val="-1"/>
        </w:rPr>
        <w:t>658,377,849</w:t>
      </w:r>
      <w:r>
        <w:rPr>
          <w:rFonts w:ascii="Arial" w:hAnsi="Arial" w:cs="Arial" w:eastAsia="Arial" w:hint="default"/>
          <w:spacing w:val="3"/>
        </w:rPr>
        <w:t> </w:t>
      </w:r>
      <w:r>
        <w:rPr/>
        <w:t>元，较</w:t>
      </w:r>
      <w:r>
        <w:rPr>
          <w:spacing w:val="-41"/>
        </w:rPr>
        <w:t> </w:t>
      </w:r>
      <w:r>
        <w:rPr>
          <w:rFonts w:ascii="Arial" w:hAnsi="Arial" w:cs="Arial" w:eastAsia="Arial" w:hint="default"/>
          <w:spacing w:val="-1"/>
        </w:rPr>
        <w:t>2008</w:t>
      </w:r>
      <w:r>
        <w:rPr>
          <w:rFonts w:ascii="Arial" w:hAnsi="Arial" w:cs="Arial" w:eastAsia="Arial" w:hint="default"/>
          <w:spacing w:val="3"/>
        </w:rPr>
        <w:t> </w:t>
      </w:r>
      <w:r>
        <w:rPr/>
        <w:t>年增长</w:t>
      </w:r>
      <w:r>
        <w:rPr>
          <w:spacing w:val="-41"/>
        </w:rPr>
        <w:t> </w:t>
      </w:r>
      <w:r>
        <w:rPr>
          <w:rFonts w:ascii="Arial" w:hAnsi="Arial" w:cs="Arial" w:eastAsia="Arial" w:hint="default"/>
          <w:spacing w:val="-1"/>
        </w:rPr>
        <w:t>16%</w:t>
      </w:r>
      <w:r>
        <w:rPr>
          <w:spacing w:val="-1"/>
        </w:rPr>
        <w:t>，主要是由于经营规模</w:t>
      </w:r>
      <w:r>
        <w:rPr>
          <w:w w:val="100"/>
        </w:rPr>
        <w:t> </w:t>
      </w:r>
      <w:r>
        <w:rPr/>
        <w:t>的扩大和人员增加，以及管理人员工资奖金总额的增长所致。</w:t>
      </w:r>
    </w:p>
    <w:p>
      <w:pPr>
        <w:spacing w:line="240" w:lineRule="auto" w:before="7"/>
        <w:rPr>
          <w:rFonts w:ascii="黑体" w:hAnsi="黑体" w:cs="黑体" w:eastAsia="黑体" w:hint="default"/>
          <w:sz w:val="17"/>
          <w:szCs w:val="17"/>
        </w:rPr>
      </w:pPr>
    </w:p>
    <w:p>
      <w:pPr>
        <w:pStyle w:val="BodyText"/>
        <w:tabs>
          <w:tab w:pos="861" w:val="left" w:leader="none"/>
        </w:tabs>
        <w:spacing w:line="260" w:lineRule="exact"/>
        <w:ind w:left="861" w:right="1694" w:hanging="720"/>
        <w:jc w:val="left"/>
      </w:pPr>
      <w:r>
        <w:rPr>
          <w:rFonts w:ascii="Arial" w:hAnsi="Arial" w:cs="Arial" w:eastAsia="Arial" w:hint="default"/>
          <w:spacing w:val="-1"/>
        </w:rPr>
        <w:t>32.</w:t>
        <w:tab/>
      </w:r>
      <w:r>
        <w:rPr>
          <w:spacing w:val="-1"/>
        </w:rPr>
        <w:t>财务费用为净收益人民币</w:t>
      </w:r>
      <w:r>
        <w:rPr/>
        <w:t> </w:t>
      </w:r>
      <w:r>
        <w:rPr>
          <w:rFonts w:ascii="Arial" w:hAnsi="Arial" w:cs="Arial" w:eastAsia="Arial" w:hint="default"/>
          <w:spacing w:val="-1"/>
        </w:rPr>
        <w:t>10,865,603</w:t>
      </w:r>
      <w:r>
        <w:rPr>
          <w:rFonts w:ascii="Arial" w:hAnsi="Arial" w:cs="Arial" w:eastAsia="Arial" w:hint="default"/>
        </w:rPr>
        <w:t> </w:t>
      </w:r>
      <w:r>
        <w:rPr>
          <w:spacing w:val="-1"/>
        </w:rPr>
        <w:t>元，较</w:t>
      </w:r>
      <w:r>
        <w:rPr/>
        <w:t> </w:t>
      </w:r>
      <w:r>
        <w:rPr>
          <w:rFonts w:ascii="Arial" w:hAnsi="Arial" w:cs="Arial" w:eastAsia="Arial" w:hint="default"/>
        </w:rPr>
        <w:t>2008 </w:t>
      </w:r>
      <w:r>
        <w:rPr>
          <w:spacing w:val="-1"/>
        </w:rPr>
        <w:t>年增长</w:t>
      </w:r>
      <w:r>
        <w:rPr>
          <w:spacing w:val="-48"/>
        </w:rPr>
        <w:t> </w:t>
      </w:r>
      <w:r>
        <w:rPr>
          <w:rFonts w:ascii="Arial" w:hAnsi="Arial" w:cs="Arial" w:eastAsia="Arial" w:hint="default"/>
          <w:spacing w:val="-1"/>
        </w:rPr>
        <w:t>31%</w:t>
      </w:r>
      <w:r>
        <w:rPr>
          <w:spacing w:val="-1"/>
        </w:rPr>
        <w:t>，主要是由于汇兑损益的</w:t>
      </w:r>
      <w:r>
        <w:rPr>
          <w:w w:val="100"/>
        </w:rPr>
        <w:t> </w:t>
      </w:r>
      <w:r>
        <w:rPr/>
        <w:t>减少所致。</w:t>
      </w:r>
    </w:p>
    <w:p>
      <w:pPr>
        <w:spacing w:line="240" w:lineRule="auto" w:before="5"/>
        <w:rPr>
          <w:rFonts w:ascii="黑体" w:hAnsi="黑体" w:cs="黑体" w:eastAsia="黑体" w:hint="default"/>
          <w:sz w:val="15"/>
          <w:szCs w:val="15"/>
        </w:rPr>
      </w:pPr>
    </w:p>
    <w:p>
      <w:pPr>
        <w:pStyle w:val="BodyText"/>
        <w:tabs>
          <w:tab w:pos="861" w:val="left" w:leader="none"/>
        </w:tabs>
        <w:spacing w:line="268" w:lineRule="exact"/>
        <w:ind w:left="141" w:right="1058"/>
        <w:jc w:val="left"/>
      </w:pPr>
      <w:r>
        <w:rPr>
          <w:rFonts w:ascii="Arial" w:hAnsi="Arial" w:cs="Arial" w:eastAsia="Arial" w:hint="default"/>
          <w:spacing w:val="-1"/>
        </w:rPr>
        <w:t>33.</w:t>
        <w:tab/>
      </w:r>
      <w:r>
        <w:rPr>
          <w:spacing w:val="3"/>
        </w:rPr>
        <w:t>资产减值损失</w:t>
      </w:r>
      <w:r>
        <w:rPr>
          <w:rFonts w:ascii="Arial" w:hAnsi="Arial" w:cs="Arial" w:eastAsia="Arial" w:hint="default"/>
          <w:spacing w:val="3"/>
        </w:rPr>
        <w:t>2009</w:t>
      </w:r>
      <w:r>
        <w:rPr>
          <w:spacing w:val="3"/>
        </w:rPr>
        <w:t>年为人民币</w:t>
      </w:r>
      <w:r>
        <w:rPr>
          <w:rFonts w:ascii="Arial" w:hAnsi="Arial" w:cs="Arial" w:eastAsia="Arial" w:hint="default"/>
          <w:spacing w:val="3"/>
        </w:rPr>
        <w:t>9,234,694</w:t>
      </w:r>
      <w:r>
        <w:rPr>
          <w:spacing w:val="3"/>
        </w:rPr>
        <w:t>元，较</w:t>
      </w:r>
      <w:r>
        <w:rPr>
          <w:rFonts w:ascii="Arial" w:hAnsi="Arial" w:cs="Arial" w:eastAsia="Arial" w:hint="default"/>
          <w:spacing w:val="3"/>
        </w:rPr>
        <w:t>2008</w:t>
      </w:r>
      <w:r>
        <w:rPr>
          <w:spacing w:val="3"/>
        </w:rPr>
        <w:t>年增长</w:t>
      </w:r>
      <w:r>
        <w:rPr>
          <w:rFonts w:ascii="Arial" w:hAnsi="Arial" w:cs="Arial" w:eastAsia="Arial" w:hint="default"/>
          <w:spacing w:val="3"/>
        </w:rPr>
        <w:t>32%</w:t>
      </w:r>
      <w:r>
        <w:rPr>
          <w:spacing w:val="3"/>
        </w:rPr>
        <w:t>，主要是由于本公司于</w:t>
      </w:r>
    </w:p>
    <w:p>
      <w:pPr>
        <w:pStyle w:val="BodyText"/>
        <w:spacing w:line="259" w:lineRule="exact"/>
        <w:ind w:left="861" w:right="0"/>
        <w:jc w:val="both"/>
      </w:pPr>
      <w:r>
        <w:rPr>
          <w:rFonts w:ascii="Arial" w:hAnsi="Arial" w:cs="Arial" w:eastAsia="Arial" w:hint="default"/>
        </w:rPr>
        <w:t>2009</w:t>
      </w:r>
      <w:r>
        <w:rPr>
          <w:rFonts w:ascii="Arial" w:hAnsi="Arial" w:cs="Arial" w:eastAsia="Arial" w:hint="default"/>
          <w:spacing w:val="-23"/>
        </w:rPr>
        <w:t> </w:t>
      </w:r>
      <w:r>
        <w:rPr>
          <w:spacing w:val="17"/>
        </w:rPr>
        <w:t>年计提长期股权投资减值准备人民币</w:t>
      </w:r>
      <w:r>
        <w:rPr>
          <w:spacing w:val="-70"/>
        </w:rPr>
        <w:t> </w:t>
      </w:r>
      <w:r>
        <w:rPr>
          <w:rFonts w:ascii="Arial" w:hAnsi="Arial" w:cs="Arial" w:eastAsia="Arial" w:hint="default"/>
        </w:rPr>
        <w:t>818,586</w:t>
      </w:r>
      <w:r>
        <w:rPr>
          <w:rFonts w:ascii="Arial" w:hAnsi="Arial" w:cs="Arial" w:eastAsia="Arial" w:hint="default"/>
          <w:spacing w:val="-25"/>
        </w:rPr>
        <w:t> </w:t>
      </w:r>
      <w:r>
        <w:rPr>
          <w:spacing w:val="17"/>
        </w:rPr>
        <w:t>元计提无形资产减值准备人民币</w:t>
      </w:r>
    </w:p>
    <w:p>
      <w:pPr>
        <w:pStyle w:val="BodyText"/>
        <w:spacing w:line="268" w:lineRule="exact"/>
        <w:ind w:left="861" w:right="0"/>
        <w:jc w:val="both"/>
      </w:pPr>
      <w:r>
        <w:rPr>
          <w:rFonts w:ascii="Arial" w:hAnsi="Arial" w:cs="Arial" w:eastAsia="Arial" w:hint="default"/>
        </w:rPr>
        <w:t>3,600,000</w:t>
      </w:r>
      <w:r>
        <w:rPr/>
        <w:t>元以及计提及转回应收款项坏账准备净影响人民币</w:t>
      </w:r>
      <w:r>
        <w:rPr>
          <w:rFonts w:ascii="Arial" w:hAnsi="Arial" w:cs="Arial" w:eastAsia="Arial" w:hint="default"/>
        </w:rPr>
        <w:t>4,816,108</w:t>
      </w:r>
      <w:r>
        <w:rPr/>
        <w:t>元共同影响所致。</w:t>
      </w:r>
    </w:p>
    <w:p>
      <w:pPr>
        <w:spacing w:line="240" w:lineRule="auto" w:before="7"/>
        <w:rPr>
          <w:rFonts w:ascii="黑体" w:hAnsi="黑体" w:cs="黑体" w:eastAsia="黑体" w:hint="default"/>
          <w:sz w:val="16"/>
          <w:szCs w:val="16"/>
        </w:rPr>
      </w:pPr>
    </w:p>
    <w:p>
      <w:pPr>
        <w:pStyle w:val="BodyText"/>
        <w:tabs>
          <w:tab w:pos="861" w:val="left" w:leader="none"/>
        </w:tabs>
        <w:spacing w:line="268" w:lineRule="exact"/>
        <w:ind w:left="141" w:right="1058"/>
        <w:jc w:val="left"/>
      </w:pPr>
      <w:r>
        <w:rPr>
          <w:rFonts w:ascii="Arial" w:hAnsi="Arial" w:cs="Arial" w:eastAsia="Arial" w:hint="default"/>
          <w:spacing w:val="-1"/>
        </w:rPr>
        <w:t>34.</w:t>
        <w:tab/>
      </w:r>
      <w:r>
        <w:rPr>
          <w:spacing w:val="2"/>
        </w:rPr>
        <w:t>公允价值变动收益</w:t>
      </w:r>
      <w:r>
        <w:rPr/>
        <w:t> </w:t>
      </w:r>
      <w:r>
        <w:rPr>
          <w:rFonts w:ascii="Arial" w:hAnsi="Arial" w:cs="Arial" w:eastAsia="Arial" w:hint="default"/>
          <w:spacing w:val="-1"/>
        </w:rPr>
        <w:t>2009</w:t>
      </w:r>
      <w:r>
        <w:rPr>
          <w:rFonts w:ascii="Arial" w:hAnsi="Arial" w:cs="Arial" w:eastAsia="Arial" w:hint="default"/>
        </w:rPr>
        <w:t>  </w:t>
      </w:r>
      <w:r>
        <w:rPr>
          <w:spacing w:val="2"/>
        </w:rPr>
        <w:t>年为人民币</w:t>
      </w:r>
      <w:r>
        <w:rPr/>
        <w:t> </w:t>
      </w:r>
      <w:r>
        <w:rPr>
          <w:rFonts w:ascii="Arial" w:hAnsi="Arial" w:cs="Arial" w:eastAsia="Arial" w:hint="default"/>
          <w:spacing w:val="-1"/>
        </w:rPr>
        <w:t>49,129,953</w:t>
      </w:r>
      <w:r>
        <w:rPr>
          <w:rFonts w:ascii="Arial" w:hAnsi="Arial" w:cs="Arial" w:eastAsia="Arial" w:hint="default"/>
        </w:rPr>
        <w:t>  </w:t>
      </w:r>
      <w:r>
        <w:rPr>
          <w:spacing w:val="1"/>
        </w:rPr>
        <w:t>元，而</w:t>
      </w:r>
      <w:r>
        <w:rPr/>
        <w:t> </w:t>
      </w:r>
      <w:r>
        <w:rPr>
          <w:rFonts w:ascii="Arial" w:hAnsi="Arial" w:cs="Arial" w:eastAsia="Arial" w:hint="default"/>
          <w:spacing w:val="-1"/>
        </w:rPr>
        <w:t>2008</w:t>
      </w:r>
      <w:r>
        <w:rPr>
          <w:rFonts w:ascii="Arial" w:hAnsi="Arial" w:cs="Arial" w:eastAsia="Arial" w:hint="default"/>
        </w:rPr>
        <w:t> </w:t>
      </w:r>
      <w:r>
        <w:rPr>
          <w:rFonts w:ascii="Arial" w:hAnsi="Arial" w:cs="Arial" w:eastAsia="Arial" w:hint="default"/>
          <w:spacing w:val="10"/>
        </w:rPr>
        <w:t> </w:t>
      </w:r>
      <w:r>
        <w:rPr>
          <w:spacing w:val="2"/>
        </w:rPr>
        <w:t>年为公允价值变动损失</w:t>
      </w:r>
      <w:r>
        <w:rPr/>
      </w:r>
    </w:p>
    <w:p>
      <w:pPr>
        <w:pStyle w:val="BodyText"/>
        <w:spacing w:line="260" w:lineRule="exact" w:before="17"/>
        <w:ind w:left="861" w:right="1694"/>
        <w:jc w:val="both"/>
      </w:pPr>
      <w:r>
        <w:rPr>
          <w:rFonts w:ascii="Arial" w:hAnsi="Arial" w:cs="Arial" w:eastAsia="Arial" w:hint="default"/>
        </w:rPr>
        <w:t>76,497,547 </w:t>
      </w:r>
      <w:r>
        <w:rPr/>
        <w:t>元，</w:t>
      </w:r>
      <w:r>
        <w:rPr>
          <w:rFonts w:ascii="Arial" w:hAnsi="Arial" w:cs="Arial" w:eastAsia="Arial" w:hint="default"/>
        </w:rPr>
        <w:t>2008 </w:t>
      </w:r>
      <w:r>
        <w:rPr/>
        <w:t>年度的公允价值变动损失源于 </w:t>
      </w:r>
      <w:r>
        <w:rPr>
          <w:rFonts w:ascii="Arial" w:hAnsi="Arial" w:cs="Arial" w:eastAsia="Arial" w:hint="default"/>
        </w:rPr>
        <w:t>2008</w:t>
      </w:r>
      <w:r>
        <w:rPr>
          <w:rFonts w:ascii="Arial" w:hAnsi="Arial" w:cs="Arial" w:eastAsia="Arial" w:hint="default"/>
          <w:spacing w:val="9"/>
        </w:rPr>
        <w:t> </w:t>
      </w:r>
      <w:r>
        <w:rPr/>
        <w:t>年国际金融危机的影响和国内</w:t>
      </w:r>
      <w:r>
        <w:rPr>
          <w:w w:val="100"/>
        </w:rPr>
        <w:t> </w:t>
      </w:r>
      <w:r>
        <w:rPr>
          <w:spacing w:val="-1"/>
        </w:rPr>
        <w:t>资本市场的持续走低，本集团持有的基金投资的公允价值不断下降，而本年度主要是由于</w:t>
      </w:r>
      <w:r>
        <w:rPr>
          <w:spacing w:val="-85"/>
        </w:rPr>
        <w:t> </w:t>
      </w:r>
      <w:r>
        <w:rPr>
          <w:spacing w:val="-85"/>
        </w:rPr>
      </w:r>
      <w:r>
        <w:rPr>
          <w:rFonts w:ascii="Arial" w:hAnsi="Arial" w:cs="Arial" w:eastAsia="Arial" w:hint="default"/>
        </w:rPr>
        <w:t>2009</w:t>
      </w:r>
      <w:r>
        <w:rPr>
          <w:rFonts w:ascii="Arial" w:hAnsi="Arial" w:cs="Arial" w:eastAsia="Arial" w:hint="default"/>
          <w:spacing w:val="-15"/>
        </w:rPr>
        <w:t> </w:t>
      </w:r>
      <w:r>
        <w:rPr/>
        <w:t>年本集团将持有的交易性金融资产全部卖出带来的公允价值变动收益所致。</w:t>
      </w:r>
    </w:p>
    <w:p>
      <w:pPr>
        <w:spacing w:line="240" w:lineRule="auto" w:before="8"/>
        <w:rPr>
          <w:rFonts w:ascii="黑体" w:hAnsi="黑体" w:cs="黑体" w:eastAsia="黑体" w:hint="default"/>
          <w:sz w:val="15"/>
          <w:szCs w:val="15"/>
        </w:rPr>
      </w:pPr>
    </w:p>
    <w:p>
      <w:pPr>
        <w:pStyle w:val="BodyText"/>
        <w:tabs>
          <w:tab w:pos="861" w:val="left" w:leader="none"/>
        </w:tabs>
        <w:spacing w:line="268" w:lineRule="exact"/>
        <w:ind w:left="141" w:right="1058"/>
        <w:jc w:val="left"/>
      </w:pPr>
      <w:r>
        <w:rPr>
          <w:rFonts w:ascii="Arial" w:hAnsi="Arial" w:cs="Arial" w:eastAsia="Arial" w:hint="default"/>
          <w:spacing w:val="-1"/>
        </w:rPr>
        <w:t>35.</w:t>
        <w:tab/>
      </w:r>
      <w:r>
        <w:rPr>
          <w:spacing w:val="-1"/>
        </w:rPr>
        <w:t>投资收益</w:t>
      </w:r>
      <w:r>
        <w:rPr>
          <w:spacing w:val="-40"/>
        </w:rPr>
        <w:t> </w:t>
      </w:r>
      <w:r>
        <w:rPr>
          <w:rFonts w:ascii="Arial" w:hAnsi="Arial" w:cs="Arial" w:eastAsia="Arial" w:hint="default"/>
          <w:spacing w:val="-1"/>
        </w:rPr>
        <w:t>2009</w:t>
      </w:r>
      <w:r>
        <w:rPr>
          <w:rFonts w:ascii="Arial" w:hAnsi="Arial" w:cs="Arial" w:eastAsia="Arial" w:hint="default"/>
          <w:spacing w:val="4"/>
        </w:rPr>
        <w:t> </w:t>
      </w:r>
      <w:r>
        <w:rPr>
          <w:spacing w:val="-1"/>
        </w:rPr>
        <w:t>年为人民币</w:t>
      </w:r>
      <w:r>
        <w:rPr>
          <w:spacing w:val="-43"/>
        </w:rPr>
        <w:t> </w:t>
      </w:r>
      <w:r>
        <w:rPr>
          <w:rFonts w:ascii="Arial" w:hAnsi="Arial" w:cs="Arial" w:eastAsia="Arial" w:hint="default"/>
          <w:spacing w:val="-1"/>
        </w:rPr>
        <w:t>243,978,920</w:t>
      </w:r>
      <w:r>
        <w:rPr>
          <w:rFonts w:ascii="Arial" w:hAnsi="Arial" w:cs="Arial" w:eastAsia="Arial" w:hint="default"/>
          <w:spacing w:val="3"/>
        </w:rPr>
        <w:t> </w:t>
      </w:r>
      <w:r>
        <w:rPr/>
        <w:t>元，较</w:t>
      </w:r>
      <w:r>
        <w:rPr>
          <w:spacing w:val="-41"/>
        </w:rPr>
        <w:t> </w:t>
      </w:r>
      <w:r>
        <w:rPr>
          <w:rFonts w:ascii="Arial" w:hAnsi="Arial" w:cs="Arial" w:eastAsia="Arial" w:hint="default"/>
          <w:spacing w:val="-1"/>
        </w:rPr>
        <w:t>2008</w:t>
      </w:r>
      <w:r>
        <w:rPr>
          <w:rFonts w:ascii="Arial" w:hAnsi="Arial" w:cs="Arial" w:eastAsia="Arial" w:hint="default"/>
          <w:spacing w:val="3"/>
        </w:rPr>
        <w:t> </w:t>
      </w:r>
      <w:r>
        <w:rPr/>
        <w:t>年增长</w:t>
      </w:r>
      <w:r>
        <w:rPr>
          <w:spacing w:val="-41"/>
        </w:rPr>
        <w:t> </w:t>
      </w:r>
      <w:r>
        <w:rPr>
          <w:rFonts w:ascii="Arial" w:hAnsi="Arial" w:cs="Arial" w:eastAsia="Arial" w:hint="default"/>
          <w:spacing w:val="-1"/>
        </w:rPr>
        <w:t>22%</w:t>
      </w:r>
      <w:r>
        <w:rPr>
          <w:spacing w:val="-1"/>
        </w:rPr>
        <w:t>，主要是由于本年度处</w:t>
      </w:r>
    </w:p>
    <w:p>
      <w:pPr>
        <w:pStyle w:val="BodyText"/>
        <w:spacing w:line="259" w:lineRule="exact"/>
        <w:ind w:left="861" w:right="0"/>
        <w:jc w:val="both"/>
      </w:pPr>
      <w:r>
        <w:rPr/>
        <w:t>置可供出售金融资产产生的收益增加人民币 </w:t>
      </w:r>
      <w:r>
        <w:rPr>
          <w:rFonts w:ascii="Arial" w:hAnsi="Arial" w:cs="Arial" w:eastAsia="Arial" w:hint="default"/>
        </w:rPr>
        <w:t>77,750,155</w:t>
      </w:r>
      <w:r>
        <w:rPr>
          <w:rFonts w:ascii="Arial" w:hAnsi="Arial" w:cs="Arial" w:eastAsia="Arial" w:hint="default"/>
          <w:spacing w:val="12"/>
        </w:rPr>
        <w:t> </w:t>
      </w:r>
      <w:r>
        <w:rPr/>
        <w:t>元及处置交易性金融资产产生的</w:t>
      </w:r>
    </w:p>
    <w:p>
      <w:pPr>
        <w:pStyle w:val="BodyText"/>
        <w:spacing w:line="268" w:lineRule="exact"/>
        <w:ind w:left="861" w:right="0"/>
        <w:jc w:val="both"/>
      </w:pPr>
      <w:r>
        <w:rPr/>
        <w:t>损失增加人民币</w:t>
      </w:r>
      <w:r>
        <w:rPr>
          <w:spacing w:val="-56"/>
        </w:rPr>
        <w:t> </w:t>
      </w:r>
      <w:r>
        <w:rPr>
          <w:rFonts w:ascii="Arial" w:hAnsi="Arial" w:cs="Arial" w:eastAsia="Arial" w:hint="default"/>
        </w:rPr>
        <w:t>40,330,724</w:t>
      </w:r>
      <w:r>
        <w:rPr>
          <w:rFonts w:ascii="Arial" w:hAnsi="Arial" w:cs="Arial" w:eastAsia="Arial" w:hint="default"/>
          <w:spacing w:val="-12"/>
        </w:rPr>
        <w:t> </w:t>
      </w:r>
      <w:r>
        <w:rPr/>
        <w:t>元的净影响所致。</w:t>
      </w:r>
    </w:p>
    <w:p>
      <w:pPr>
        <w:spacing w:line="240" w:lineRule="auto" w:before="5"/>
        <w:rPr>
          <w:rFonts w:ascii="黑体" w:hAnsi="黑体" w:cs="黑体" w:eastAsia="黑体" w:hint="default"/>
          <w:sz w:val="16"/>
          <w:szCs w:val="16"/>
        </w:rPr>
      </w:pPr>
    </w:p>
    <w:p>
      <w:pPr>
        <w:pStyle w:val="BodyText"/>
        <w:tabs>
          <w:tab w:pos="861" w:val="left" w:leader="none"/>
        </w:tabs>
        <w:spacing w:line="268" w:lineRule="exact"/>
        <w:ind w:left="141" w:right="1058"/>
        <w:jc w:val="left"/>
        <w:rPr>
          <w:rFonts w:ascii="Arial" w:hAnsi="Arial" w:cs="Arial" w:eastAsia="Arial" w:hint="default"/>
        </w:rPr>
      </w:pPr>
      <w:r>
        <w:rPr>
          <w:rFonts w:ascii="Arial" w:hAnsi="Arial" w:cs="Arial" w:eastAsia="Arial" w:hint="default"/>
          <w:spacing w:val="-1"/>
        </w:rPr>
        <w:t>36.</w:t>
        <w:tab/>
      </w:r>
      <w:r>
        <w:rPr>
          <w:spacing w:val="-1"/>
        </w:rPr>
        <w:t>营业外收入</w:t>
      </w:r>
      <w:r>
        <w:rPr>
          <w:spacing w:val="-47"/>
        </w:rPr>
        <w:t> </w:t>
      </w:r>
      <w:r>
        <w:rPr>
          <w:rFonts w:ascii="Arial" w:hAnsi="Arial" w:cs="Arial" w:eastAsia="Arial" w:hint="default"/>
          <w:spacing w:val="-1"/>
        </w:rPr>
        <w:t>2009</w:t>
      </w:r>
      <w:r>
        <w:rPr>
          <w:rFonts w:ascii="Arial" w:hAnsi="Arial" w:cs="Arial" w:eastAsia="Arial" w:hint="default"/>
          <w:spacing w:val="-4"/>
        </w:rPr>
        <w:t> </w:t>
      </w:r>
      <w:r>
        <w:rPr>
          <w:spacing w:val="-1"/>
        </w:rPr>
        <w:t>年为人民币</w:t>
      </w:r>
      <w:r>
        <w:rPr>
          <w:spacing w:val="-47"/>
        </w:rPr>
        <w:t> </w:t>
      </w:r>
      <w:r>
        <w:rPr>
          <w:rFonts w:ascii="Arial" w:hAnsi="Arial" w:cs="Arial" w:eastAsia="Arial" w:hint="default"/>
          <w:spacing w:val="-1"/>
        </w:rPr>
        <w:t>201,792,598</w:t>
      </w:r>
      <w:r>
        <w:rPr>
          <w:rFonts w:ascii="Arial" w:hAnsi="Arial" w:cs="Arial" w:eastAsia="Arial" w:hint="default"/>
          <w:spacing w:val="-3"/>
        </w:rPr>
        <w:t> </w:t>
      </w:r>
      <w:r>
        <w:rPr>
          <w:spacing w:val="-12"/>
        </w:rPr>
        <w:t>元，较</w:t>
      </w:r>
      <w:r>
        <w:rPr>
          <w:spacing w:val="-48"/>
        </w:rPr>
        <w:t> </w:t>
      </w:r>
      <w:r>
        <w:rPr>
          <w:rFonts w:ascii="Arial" w:hAnsi="Arial" w:cs="Arial" w:eastAsia="Arial" w:hint="default"/>
          <w:spacing w:val="-1"/>
        </w:rPr>
        <w:t>2008</w:t>
      </w:r>
      <w:r>
        <w:rPr>
          <w:rFonts w:ascii="Arial" w:hAnsi="Arial" w:cs="Arial" w:eastAsia="Arial" w:hint="default"/>
          <w:spacing w:val="-2"/>
        </w:rPr>
        <w:t> </w:t>
      </w:r>
      <w:r>
        <w:rPr>
          <w:spacing w:val="-1"/>
        </w:rPr>
        <w:t>年减少</w:t>
      </w:r>
      <w:r>
        <w:rPr>
          <w:spacing w:val="-47"/>
        </w:rPr>
        <w:t> </w:t>
      </w:r>
      <w:r>
        <w:rPr>
          <w:rFonts w:ascii="Arial" w:hAnsi="Arial" w:cs="Arial" w:eastAsia="Arial" w:hint="default"/>
          <w:spacing w:val="-4"/>
        </w:rPr>
        <w:t>10%</w:t>
      </w:r>
      <w:r>
        <w:rPr>
          <w:spacing w:val="-4"/>
        </w:rPr>
        <w:t>。这主要是由于</w:t>
      </w:r>
      <w:r>
        <w:rPr>
          <w:spacing w:val="-47"/>
        </w:rPr>
        <w:t> </w:t>
      </w:r>
      <w:r>
        <w:rPr>
          <w:rFonts w:ascii="Arial" w:hAnsi="Arial" w:cs="Arial" w:eastAsia="Arial" w:hint="default"/>
          <w:spacing w:val="-1"/>
        </w:rPr>
        <w:t>2008</w:t>
      </w:r>
    </w:p>
    <w:p>
      <w:pPr>
        <w:pStyle w:val="BodyText"/>
        <w:spacing w:line="268" w:lineRule="exact"/>
        <w:ind w:left="861" w:right="0"/>
        <w:jc w:val="both"/>
      </w:pPr>
      <w:r>
        <w:rPr/>
        <w:t>年度公司总部的用友大厦和大型</w:t>
      </w:r>
      <w:r>
        <w:rPr>
          <w:spacing w:val="-53"/>
        </w:rPr>
        <w:t> </w:t>
      </w:r>
      <w:r>
        <w:rPr>
          <w:rFonts w:ascii="Arial" w:hAnsi="Arial" w:cs="Arial" w:eastAsia="Arial" w:hint="default"/>
        </w:rPr>
        <w:t>IT</w:t>
      </w:r>
      <w:r>
        <w:rPr>
          <w:rFonts w:ascii="Arial" w:hAnsi="Arial" w:cs="Arial" w:eastAsia="Arial" w:hint="default"/>
          <w:spacing w:val="-10"/>
        </w:rPr>
        <w:t> </w:t>
      </w:r>
      <w:r>
        <w:rPr/>
        <w:t>设备处置净收益导致。</w:t>
      </w:r>
    </w:p>
    <w:p>
      <w:pPr>
        <w:spacing w:line="240" w:lineRule="auto" w:before="4"/>
        <w:rPr>
          <w:rFonts w:ascii="黑体" w:hAnsi="黑体" w:cs="黑体" w:eastAsia="黑体" w:hint="default"/>
          <w:sz w:val="16"/>
          <w:szCs w:val="16"/>
        </w:rPr>
      </w:pPr>
    </w:p>
    <w:p>
      <w:pPr>
        <w:pStyle w:val="BodyText"/>
        <w:tabs>
          <w:tab w:pos="861" w:val="left" w:leader="none"/>
        </w:tabs>
        <w:spacing w:line="240" w:lineRule="auto"/>
        <w:ind w:left="141" w:right="1058"/>
        <w:jc w:val="left"/>
      </w:pPr>
      <w:r>
        <w:rPr>
          <w:rFonts w:ascii="Arial" w:hAnsi="Arial" w:cs="Arial" w:eastAsia="Arial" w:hint="default"/>
          <w:spacing w:val="-1"/>
        </w:rPr>
        <w:t>37.</w:t>
        <w:tab/>
      </w:r>
      <w:r>
        <w:rPr>
          <w:spacing w:val="-1"/>
        </w:rPr>
        <w:t>营业外支出</w:t>
      </w:r>
      <w:r>
        <w:rPr>
          <w:spacing w:val="-45"/>
        </w:rPr>
        <w:t> </w:t>
      </w:r>
      <w:r>
        <w:rPr>
          <w:rFonts w:ascii="Arial" w:hAnsi="Arial" w:cs="Arial" w:eastAsia="Arial" w:hint="default"/>
          <w:spacing w:val="-1"/>
        </w:rPr>
        <w:t>2009</w:t>
      </w:r>
      <w:r>
        <w:rPr>
          <w:rFonts w:ascii="Arial" w:hAnsi="Arial" w:cs="Arial" w:eastAsia="Arial" w:hint="default"/>
          <w:spacing w:val="-2"/>
        </w:rPr>
        <w:t> </w:t>
      </w:r>
      <w:r>
        <w:rPr>
          <w:spacing w:val="-1"/>
        </w:rPr>
        <w:t>年为人民币</w:t>
      </w:r>
      <w:r>
        <w:rPr>
          <w:spacing w:val="-45"/>
        </w:rPr>
        <w:t> </w:t>
      </w:r>
      <w:r>
        <w:rPr>
          <w:rFonts w:ascii="Arial" w:hAnsi="Arial" w:cs="Arial" w:eastAsia="Arial" w:hint="default"/>
          <w:spacing w:val="-2"/>
        </w:rPr>
        <w:t>6,776,280 </w:t>
      </w:r>
      <w:r>
        <w:rPr/>
        <w:t>元，较</w:t>
      </w:r>
      <w:r>
        <w:rPr>
          <w:spacing w:val="-46"/>
        </w:rPr>
        <w:t> </w:t>
      </w:r>
      <w:r>
        <w:rPr>
          <w:rFonts w:ascii="Arial" w:hAnsi="Arial" w:cs="Arial" w:eastAsia="Arial" w:hint="default"/>
          <w:spacing w:val="-1"/>
        </w:rPr>
        <w:t>2008</w:t>
      </w:r>
      <w:r>
        <w:rPr>
          <w:rFonts w:ascii="Arial" w:hAnsi="Arial" w:cs="Arial" w:eastAsia="Arial" w:hint="default"/>
          <w:spacing w:val="-2"/>
        </w:rPr>
        <w:t> </w:t>
      </w:r>
      <w:r>
        <w:rPr>
          <w:spacing w:val="-1"/>
        </w:rPr>
        <w:t>年未有重大变化。</w:t>
      </w:r>
    </w:p>
    <w:p>
      <w:pPr>
        <w:spacing w:line="240" w:lineRule="auto" w:before="4"/>
        <w:rPr>
          <w:rFonts w:ascii="黑体" w:hAnsi="黑体" w:cs="黑体" w:eastAsia="黑体" w:hint="default"/>
          <w:sz w:val="16"/>
          <w:szCs w:val="16"/>
        </w:rPr>
      </w:pPr>
    </w:p>
    <w:p>
      <w:pPr>
        <w:pStyle w:val="BodyText"/>
        <w:tabs>
          <w:tab w:pos="861" w:val="left" w:leader="none"/>
        </w:tabs>
        <w:spacing w:line="240" w:lineRule="auto"/>
        <w:ind w:left="141" w:right="1058"/>
        <w:jc w:val="left"/>
      </w:pPr>
      <w:r>
        <w:rPr>
          <w:rFonts w:ascii="Arial" w:hAnsi="Arial" w:cs="Arial" w:eastAsia="Arial" w:hint="default"/>
          <w:spacing w:val="-1"/>
        </w:rPr>
        <w:t>38.</w:t>
        <w:tab/>
      </w:r>
      <w:r>
        <w:rPr>
          <w:spacing w:val="-1"/>
        </w:rPr>
        <w:t>所得税费用</w:t>
      </w:r>
      <w:r>
        <w:rPr>
          <w:spacing w:val="-45"/>
        </w:rPr>
        <w:t> </w:t>
      </w:r>
      <w:r>
        <w:rPr>
          <w:rFonts w:ascii="Arial" w:hAnsi="Arial" w:cs="Arial" w:eastAsia="Arial" w:hint="default"/>
          <w:spacing w:val="-1"/>
        </w:rPr>
        <w:t>2009</w:t>
      </w:r>
      <w:r>
        <w:rPr>
          <w:rFonts w:ascii="Arial" w:hAnsi="Arial" w:cs="Arial" w:eastAsia="Arial" w:hint="default"/>
          <w:spacing w:val="-2"/>
        </w:rPr>
        <w:t> </w:t>
      </w:r>
      <w:r>
        <w:rPr>
          <w:spacing w:val="-1"/>
        </w:rPr>
        <w:t>年为人民币</w:t>
      </w:r>
      <w:r>
        <w:rPr>
          <w:spacing w:val="-45"/>
        </w:rPr>
        <w:t> </w:t>
      </w:r>
      <w:r>
        <w:rPr>
          <w:rFonts w:ascii="Arial" w:hAnsi="Arial" w:cs="Arial" w:eastAsia="Arial" w:hint="default"/>
          <w:spacing w:val="-2"/>
        </w:rPr>
        <w:t>60,262,639</w:t>
      </w:r>
      <w:r>
        <w:rPr>
          <w:rFonts w:ascii="Arial" w:hAnsi="Arial" w:cs="Arial" w:eastAsia="Arial" w:hint="default"/>
          <w:spacing w:val="-1"/>
        </w:rPr>
        <w:t> </w:t>
      </w:r>
      <w:r>
        <w:rPr>
          <w:spacing w:val="-1"/>
        </w:rPr>
        <w:t>元，较</w:t>
      </w:r>
      <w:r>
        <w:rPr>
          <w:spacing w:val="-45"/>
        </w:rPr>
        <w:t> </w:t>
      </w:r>
      <w:r>
        <w:rPr>
          <w:rFonts w:ascii="Arial" w:hAnsi="Arial" w:cs="Arial" w:eastAsia="Arial" w:hint="default"/>
          <w:spacing w:val="-1"/>
        </w:rPr>
        <w:t>2008</w:t>
      </w:r>
      <w:r>
        <w:rPr>
          <w:rFonts w:ascii="Arial" w:hAnsi="Arial" w:cs="Arial" w:eastAsia="Arial" w:hint="default"/>
        </w:rPr>
        <w:t> </w:t>
      </w:r>
      <w:r>
        <w:rPr>
          <w:spacing w:val="-1"/>
        </w:rPr>
        <w:t>年未有重大变化。</w:t>
      </w:r>
    </w:p>
    <w:p>
      <w:pPr>
        <w:spacing w:line="240" w:lineRule="auto" w:before="0"/>
        <w:rPr>
          <w:rFonts w:ascii="黑体" w:hAnsi="黑体" w:cs="黑体" w:eastAsia="黑体" w:hint="default"/>
          <w:sz w:val="28"/>
          <w:szCs w:val="28"/>
        </w:rPr>
      </w:pPr>
    </w:p>
    <w:p>
      <w:pPr>
        <w:pStyle w:val="BodyText"/>
        <w:tabs>
          <w:tab w:pos="861" w:val="left" w:leader="none"/>
        </w:tabs>
        <w:spacing w:line="260" w:lineRule="exact"/>
        <w:ind w:left="861" w:right="1595" w:hanging="721"/>
        <w:jc w:val="left"/>
      </w:pPr>
      <w:r>
        <w:rPr>
          <w:rFonts w:ascii="Arial" w:hAnsi="Arial" w:cs="Arial" w:eastAsia="Arial" w:hint="default"/>
          <w:spacing w:val="-1"/>
        </w:rPr>
        <w:t>39.</w:t>
        <w:tab/>
      </w:r>
      <w:r>
        <w:rPr>
          <w:spacing w:val="-1"/>
        </w:rPr>
        <w:t>少数股东收益</w:t>
      </w:r>
      <w:r>
        <w:rPr>
          <w:rFonts w:ascii="Arial" w:hAnsi="Arial" w:cs="Arial" w:eastAsia="Arial" w:hint="default"/>
          <w:spacing w:val="-1"/>
        </w:rPr>
        <w:t>2009</w:t>
      </w:r>
      <w:r>
        <w:rPr>
          <w:spacing w:val="-1"/>
        </w:rPr>
        <w:t>年为人民币</w:t>
      </w:r>
      <w:r>
        <w:rPr>
          <w:rFonts w:ascii="Arial" w:hAnsi="Arial" w:cs="Arial" w:eastAsia="Arial" w:hint="default"/>
          <w:spacing w:val="-1"/>
        </w:rPr>
        <w:t>20,281,837</w:t>
      </w:r>
      <w:r>
        <w:rPr>
          <w:spacing w:val="-1"/>
        </w:rPr>
        <w:t>元，较</w:t>
      </w:r>
      <w:r>
        <w:rPr>
          <w:rFonts w:ascii="Arial" w:hAnsi="Arial" w:cs="Arial" w:eastAsia="Arial" w:hint="default"/>
          <w:spacing w:val="-1"/>
        </w:rPr>
        <w:t>2008</w:t>
      </w:r>
      <w:r>
        <w:rPr>
          <w:spacing w:val="-1"/>
        </w:rPr>
        <w:t>年增长</w:t>
      </w:r>
      <w:r>
        <w:rPr>
          <w:rFonts w:ascii="Arial" w:hAnsi="Arial" w:cs="Arial" w:eastAsia="Arial" w:hint="default"/>
          <w:spacing w:val="-1"/>
        </w:rPr>
        <w:t>64%</w:t>
      </w:r>
      <w:r>
        <w:rPr>
          <w:spacing w:val="-1"/>
        </w:rPr>
        <w:t>，主要是由于方正春元、</w:t>
      </w:r>
      <w:r>
        <w:rPr>
          <w:spacing w:val="-75"/>
        </w:rPr>
        <w:t> </w:t>
      </w:r>
      <w:r>
        <w:rPr>
          <w:spacing w:val="-75"/>
        </w:rPr>
      </w:r>
      <w:r>
        <w:rPr/>
        <w:t>用友政务和用友烟草及用友审计少数股东所分享的子公司本年盈利增加所致。</w:t>
      </w:r>
    </w:p>
    <w:p>
      <w:pPr>
        <w:spacing w:after="0" w:line="260" w:lineRule="exact"/>
        <w:jc w:val="left"/>
        <w:sectPr>
          <w:pgSz w:w="11910" w:h="16840"/>
          <w:pgMar w:header="958" w:footer="466" w:top="2560" w:bottom="660" w:left="1560" w:right="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22"/>
          <w:szCs w:val="22"/>
        </w:rPr>
      </w:pPr>
    </w:p>
    <w:p>
      <w:pPr>
        <w:pStyle w:val="Heading1"/>
        <w:spacing w:line="715" w:lineRule="auto"/>
        <w:ind w:left="2465" w:right="2461"/>
        <w:jc w:val="center"/>
        <w:rPr>
          <w:rFonts w:ascii="黑体" w:hAnsi="黑体" w:cs="黑体" w:eastAsia="黑体" w:hint="default"/>
          <w:b w:val="0"/>
          <w:bCs w:val="0"/>
        </w:rPr>
      </w:pPr>
      <w:bookmarkStart w:name="用友软件2009内控报告.pdf" w:id="32"/>
      <w:bookmarkEnd w:id="32"/>
      <w:r>
        <w:rPr>
          <w:b w:val="0"/>
          <w:bCs w:val="0"/>
        </w:rPr>
      </w:r>
      <w:r>
        <w:rPr>
          <w:rFonts w:ascii="黑体" w:hAnsi="黑体" w:cs="黑体" w:eastAsia="黑体" w:hint="default"/>
          <w:w w:val="95"/>
        </w:rPr>
        <w:t>用友软件股份有限公司</w:t>
      </w:r>
      <w:r>
        <w:rPr>
          <w:rFonts w:ascii="黑体" w:hAnsi="黑体" w:cs="黑体" w:eastAsia="黑体" w:hint="default"/>
          <w:spacing w:val="-1"/>
          <w:w w:val="95"/>
        </w:rPr>
        <w:t> </w:t>
      </w:r>
      <w:r>
        <w:rPr>
          <w:rFonts w:ascii="黑体" w:hAnsi="黑体" w:cs="黑体" w:eastAsia="黑体" w:hint="default"/>
        </w:rPr>
        <w:t>内部控制报告</w:t>
      </w:r>
      <w:r>
        <w:rPr>
          <w:rFonts w:ascii="黑体" w:hAnsi="黑体" w:cs="黑体" w:eastAsia="黑体" w:hint="default"/>
          <w:b w:val="0"/>
          <w:bCs w:val="0"/>
        </w:rPr>
      </w:r>
    </w:p>
    <w:p>
      <w:pPr>
        <w:spacing w:line="240" w:lineRule="auto" w:before="0"/>
        <w:rPr>
          <w:rFonts w:ascii="黑体" w:hAnsi="黑体" w:cs="黑体" w:eastAsia="黑体" w:hint="default"/>
          <w:b/>
          <w:bCs/>
          <w:sz w:val="36"/>
          <w:szCs w:val="36"/>
        </w:rPr>
      </w:pPr>
    </w:p>
    <w:p>
      <w:pPr>
        <w:spacing w:line="240" w:lineRule="auto" w:before="10"/>
        <w:rPr>
          <w:rFonts w:ascii="黑体" w:hAnsi="黑体" w:cs="黑体" w:eastAsia="黑体" w:hint="default"/>
          <w:b/>
          <w:bCs/>
          <w:sz w:val="44"/>
          <w:szCs w:val="44"/>
        </w:rPr>
      </w:pPr>
    </w:p>
    <w:p>
      <w:pPr>
        <w:pStyle w:val="Heading5"/>
        <w:spacing w:line="240" w:lineRule="auto" w:before="0"/>
        <w:ind w:left="2465" w:right="2357"/>
        <w:jc w:val="center"/>
        <w:rPr>
          <w:b w:val="0"/>
          <w:bCs w:val="0"/>
        </w:rPr>
      </w:pPr>
      <w:r>
        <w:rPr/>
        <w:t>二零零九年十二月三十一日</w:t>
      </w:r>
      <w:r>
        <w:rPr>
          <w:b w:val="0"/>
          <w:bCs w:val="0"/>
        </w:rPr>
      </w:r>
    </w:p>
    <w:p>
      <w:pPr>
        <w:spacing w:after="0" w:line="240" w:lineRule="auto"/>
        <w:jc w:val="center"/>
        <w:sectPr>
          <w:headerReference w:type="default" r:id="rId85"/>
          <w:footerReference w:type="default" r:id="rId86"/>
          <w:pgSz w:w="11910" w:h="16840"/>
          <w:pgMar w:header="0" w:footer="0" w:top="1600" w:bottom="280" w:left="1680" w:right="1680"/>
        </w:sectPr>
      </w:pPr>
    </w:p>
    <w:p>
      <w:pPr>
        <w:spacing w:line="240" w:lineRule="auto" w:before="0"/>
        <w:rPr>
          <w:rFonts w:ascii="黑体" w:hAnsi="黑体" w:cs="黑体" w:eastAsia="黑体" w:hint="default"/>
          <w:b/>
          <w:bCs/>
          <w:sz w:val="20"/>
          <w:szCs w:val="20"/>
        </w:rPr>
      </w:pPr>
    </w:p>
    <w:p>
      <w:pPr>
        <w:pStyle w:val="Heading7"/>
        <w:tabs>
          <w:tab w:pos="1801" w:val="left" w:leader="none"/>
        </w:tabs>
        <w:spacing w:line="240" w:lineRule="auto" w:before="162"/>
        <w:ind w:left="2" w:right="0"/>
        <w:jc w:val="center"/>
        <w:rPr>
          <w:rFonts w:ascii="黑体" w:hAnsi="黑体" w:cs="黑体" w:eastAsia="黑体" w:hint="default"/>
        </w:rPr>
      </w:pPr>
      <w:r>
        <w:rPr>
          <w:rFonts w:ascii="黑体" w:hAnsi="黑体" w:cs="黑体" w:eastAsia="黑体" w:hint="default"/>
        </w:rPr>
        <w:t>目</w:t>
        <w:tab/>
        <w:t>录</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9"/>
          <w:szCs w:val="29"/>
        </w:rPr>
      </w:pPr>
    </w:p>
    <w:tbl>
      <w:tblPr>
        <w:tblW w:w="0" w:type="auto"/>
        <w:jc w:val="left"/>
        <w:tblInd w:w="445" w:type="dxa"/>
        <w:tblLayout w:type="fixed"/>
        <w:tblCellMar>
          <w:top w:w="0" w:type="dxa"/>
          <w:left w:w="0" w:type="dxa"/>
          <w:bottom w:w="0" w:type="dxa"/>
          <w:right w:w="0" w:type="dxa"/>
        </w:tblCellMar>
        <w:tblLook w:val="01E0"/>
      </w:tblPr>
      <w:tblGrid>
        <w:gridCol w:w="635"/>
        <w:gridCol w:w="6180"/>
        <w:gridCol w:w="975"/>
      </w:tblGrid>
      <w:tr>
        <w:trPr>
          <w:trHeight w:val="531" w:hRule="exact"/>
        </w:trPr>
        <w:tc>
          <w:tcPr>
            <w:tcW w:w="6815" w:type="dxa"/>
            <w:gridSpan w:val="2"/>
            <w:tcBorders>
              <w:top w:val="nil" w:sz="6" w:space="0" w:color="auto"/>
              <w:left w:val="nil" w:sz="6" w:space="0" w:color="auto"/>
              <w:bottom w:val="nil" w:sz="6" w:space="0" w:color="auto"/>
              <w:right w:val="nil" w:sz="6" w:space="0" w:color="auto"/>
            </w:tcBorders>
          </w:tcPr>
          <w:p>
            <w:pP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3"/>
              <w:jc w:val="right"/>
              <w:rPr>
                <w:rFonts w:ascii="黑体" w:hAnsi="黑体" w:cs="黑体" w:eastAsia="黑体" w:hint="default"/>
                <w:sz w:val="24"/>
                <w:szCs w:val="24"/>
              </w:rPr>
            </w:pPr>
            <w:r>
              <w:rPr>
                <w:rFonts w:ascii="黑体" w:hAnsi="黑体" w:cs="黑体" w:eastAsia="黑体" w:hint="default"/>
                <w:sz w:val="24"/>
                <w:szCs w:val="24"/>
              </w:rPr>
              <w:t>页次</w:t>
            </w:r>
          </w:p>
        </w:tc>
      </w:tr>
      <w:tr>
        <w:trPr>
          <w:trHeight w:val="623" w:hRule="exact"/>
        </w:trPr>
        <w:tc>
          <w:tcPr>
            <w:tcW w:w="635"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35" w:right="0"/>
              <w:jc w:val="left"/>
              <w:rPr>
                <w:rFonts w:ascii="黑体" w:hAnsi="黑体" w:cs="黑体" w:eastAsia="黑体" w:hint="default"/>
                <w:sz w:val="24"/>
                <w:szCs w:val="24"/>
              </w:rPr>
            </w:pPr>
            <w:r>
              <w:rPr>
                <w:rFonts w:ascii="黑体" w:hAnsi="黑体" w:cs="黑体" w:eastAsia="黑体" w:hint="default"/>
                <w:sz w:val="24"/>
                <w:szCs w:val="24"/>
              </w:rPr>
              <w:t>一、</w:t>
            </w:r>
          </w:p>
        </w:tc>
        <w:tc>
          <w:tcPr>
            <w:tcW w:w="6180"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119" w:right="0"/>
              <w:jc w:val="left"/>
              <w:rPr>
                <w:rFonts w:ascii="黑体" w:hAnsi="黑体" w:cs="黑体" w:eastAsia="黑体" w:hint="default"/>
                <w:sz w:val="24"/>
                <w:szCs w:val="24"/>
              </w:rPr>
            </w:pPr>
            <w:r>
              <w:rPr>
                <w:rFonts w:ascii="黑体" w:hAnsi="黑体" w:cs="黑体" w:eastAsia="黑体" w:hint="default"/>
                <w:sz w:val="24"/>
                <w:szCs w:val="24"/>
              </w:rPr>
              <w:t>内部控制报告</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72"/>
              <w:jc w:val="right"/>
              <w:rPr>
                <w:rFonts w:ascii="黑体" w:hAnsi="黑体" w:cs="黑体" w:eastAsia="黑体" w:hint="default"/>
                <w:sz w:val="24"/>
                <w:szCs w:val="24"/>
              </w:rPr>
            </w:pPr>
            <w:r>
              <w:rPr>
                <w:rFonts w:ascii="黑体"/>
                <w:sz w:val="24"/>
              </w:rPr>
              <w:t>1</w:t>
            </w:r>
          </w:p>
        </w:tc>
      </w:tr>
      <w:tr>
        <w:trPr>
          <w:trHeight w:val="623" w:hRule="exact"/>
        </w:trPr>
        <w:tc>
          <w:tcPr>
            <w:tcW w:w="635"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35" w:right="0"/>
              <w:jc w:val="left"/>
              <w:rPr>
                <w:rFonts w:ascii="黑体" w:hAnsi="黑体" w:cs="黑体" w:eastAsia="黑体" w:hint="default"/>
                <w:sz w:val="24"/>
                <w:szCs w:val="24"/>
              </w:rPr>
            </w:pPr>
            <w:r>
              <w:rPr>
                <w:rFonts w:ascii="黑体" w:hAnsi="黑体" w:cs="黑体" w:eastAsia="黑体" w:hint="default"/>
                <w:sz w:val="24"/>
                <w:szCs w:val="24"/>
              </w:rPr>
              <w:t>二、</w:t>
            </w:r>
          </w:p>
        </w:tc>
        <w:tc>
          <w:tcPr>
            <w:tcW w:w="6180"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119" w:right="0"/>
              <w:jc w:val="left"/>
              <w:rPr>
                <w:rFonts w:ascii="黑体" w:hAnsi="黑体" w:cs="黑体" w:eastAsia="黑体" w:hint="default"/>
                <w:sz w:val="24"/>
                <w:szCs w:val="24"/>
              </w:rPr>
            </w:pPr>
            <w:r>
              <w:rPr>
                <w:rFonts w:ascii="黑体" w:hAnsi="黑体" w:cs="黑体" w:eastAsia="黑体" w:hint="default"/>
                <w:sz w:val="24"/>
                <w:szCs w:val="24"/>
              </w:rPr>
              <w:t>对公司的改进建议</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72"/>
              <w:jc w:val="right"/>
              <w:rPr>
                <w:rFonts w:ascii="黑体" w:hAnsi="黑体" w:cs="黑体" w:eastAsia="黑体" w:hint="default"/>
                <w:sz w:val="24"/>
                <w:szCs w:val="24"/>
              </w:rPr>
            </w:pPr>
            <w:r>
              <w:rPr>
                <w:rFonts w:ascii="黑体"/>
                <w:sz w:val="24"/>
              </w:rPr>
              <w:t>2-21</w:t>
            </w:r>
          </w:p>
        </w:tc>
      </w:tr>
      <w:tr>
        <w:trPr>
          <w:trHeight w:val="622" w:hRule="exact"/>
        </w:trPr>
        <w:tc>
          <w:tcPr>
            <w:tcW w:w="635"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35" w:right="0"/>
              <w:jc w:val="left"/>
              <w:rPr>
                <w:rFonts w:ascii="黑体" w:hAnsi="黑体" w:cs="黑体" w:eastAsia="黑体" w:hint="default"/>
                <w:sz w:val="24"/>
                <w:szCs w:val="24"/>
              </w:rPr>
            </w:pPr>
            <w:r>
              <w:rPr>
                <w:rFonts w:ascii="黑体" w:hAnsi="黑体" w:cs="黑体" w:eastAsia="黑体" w:hint="default"/>
                <w:sz w:val="24"/>
                <w:szCs w:val="24"/>
              </w:rPr>
              <w:t>三、</w:t>
            </w:r>
          </w:p>
        </w:tc>
        <w:tc>
          <w:tcPr>
            <w:tcW w:w="6180"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119" w:right="0"/>
              <w:jc w:val="left"/>
              <w:rPr>
                <w:rFonts w:ascii="黑体" w:hAnsi="黑体" w:cs="黑体" w:eastAsia="黑体" w:hint="default"/>
                <w:sz w:val="24"/>
                <w:szCs w:val="24"/>
              </w:rPr>
            </w:pPr>
            <w:r>
              <w:rPr>
                <w:rFonts w:ascii="黑体" w:hAnsi="黑体" w:cs="黑体" w:eastAsia="黑体" w:hint="default"/>
                <w:sz w:val="24"/>
                <w:szCs w:val="24"/>
              </w:rPr>
              <w:t>信息系统审计管理建议书</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72"/>
              <w:jc w:val="right"/>
              <w:rPr>
                <w:rFonts w:ascii="黑体" w:hAnsi="黑体" w:cs="黑体" w:eastAsia="黑体" w:hint="default"/>
                <w:sz w:val="24"/>
                <w:szCs w:val="24"/>
              </w:rPr>
            </w:pPr>
            <w:r>
              <w:rPr>
                <w:rFonts w:ascii="黑体"/>
                <w:sz w:val="24"/>
              </w:rPr>
              <w:t>22-41</w:t>
            </w:r>
          </w:p>
        </w:tc>
      </w:tr>
      <w:tr>
        <w:trPr>
          <w:trHeight w:val="531" w:hRule="exact"/>
        </w:trPr>
        <w:tc>
          <w:tcPr>
            <w:tcW w:w="635" w:type="dxa"/>
            <w:tcBorders>
              <w:top w:val="nil" w:sz="6" w:space="0" w:color="auto"/>
              <w:left w:val="nil" w:sz="6" w:space="0" w:color="auto"/>
              <w:bottom w:val="nil" w:sz="6" w:space="0" w:color="auto"/>
              <w:right w:val="nil" w:sz="6" w:space="0" w:color="auto"/>
            </w:tcBorders>
          </w:tcPr>
          <w:p>
            <w:pPr>
              <w:pStyle w:val="TableParagraph"/>
              <w:spacing w:line="240" w:lineRule="auto" w:before="116"/>
              <w:ind w:left="35" w:right="0"/>
              <w:jc w:val="left"/>
              <w:rPr>
                <w:rFonts w:ascii="黑体" w:hAnsi="黑体" w:cs="黑体" w:eastAsia="黑体" w:hint="default"/>
                <w:sz w:val="24"/>
                <w:szCs w:val="24"/>
              </w:rPr>
            </w:pPr>
            <w:r>
              <w:rPr>
                <w:rFonts w:ascii="黑体" w:hAnsi="黑体" w:cs="黑体" w:eastAsia="黑体" w:hint="default"/>
                <w:sz w:val="24"/>
                <w:szCs w:val="24"/>
              </w:rPr>
              <w:t>四、</w:t>
            </w:r>
          </w:p>
        </w:tc>
        <w:tc>
          <w:tcPr>
            <w:tcW w:w="6180" w:type="dxa"/>
            <w:tcBorders>
              <w:top w:val="nil" w:sz="6" w:space="0" w:color="auto"/>
              <w:left w:val="nil" w:sz="6" w:space="0" w:color="auto"/>
              <w:bottom w:val="nil" w:sz="6" w:space="0" w:color="auto"/>
              <w:right w:val="nil" w:sz="6" w:space="0" w:color="auto"/>
            </w:tcBorders>
          </w:tcPr>
          <w:p>
            <w:pPr>
              <w:pStyle w:val="TableParagraph"/>
              <w:spacing w:line="240" w:lineRule="auto" w:before="116"/>
              <w:ind w:left="119" w:right="0"/>
              <w:jc w:val="left"/>
              <w:rPr>
                <w:rFonts w:ascii="黑体" w:hAnsi="黑体" w:cs="黑体" w:eastAsia="黑体" w:hint="default"/>
                <w:sz w:val="24"/>
                <w:szCs w:val="24"/>
              </w:rPr>
            </w:pPr>
            <w:r>
              <w:rPr>
                <w:rFonts w:ascii="黑体" w:hAnsi="黑体" w:cs="黑体" w:eastAsia="黑体" w:hint="default"/>
                <w:sz w:val="24"/>
                <w:szCs w:val="24"/>
              </w:rPr>
              <w:t>附录《用友软件股份有限公司内控制度自我评估报告》</w:t>
            </w:r>
          </w:p>
        </w:tc>
        <w:tc>
          <w:tcPr>
            <w:tcW w:w="975" w:type="dxa"/>
            <w:tcBorders>
              <w:top w:val="nil" w:sz="6" w:space="0" w:color="auto"/>
              <w:left w:val="nil" w:sz="6" w:space="0" w:color="auto"/>
              <w:bottom w:val="nil" w:sz="6" w:space="0" w:color="auto"/>
              <w:right w:val="nil" w:sz="6" w:space="0" w:color="auto"/>
            </w:tcBorders>
          </w:tcPr>
          <w:p>
            <w:pPr/>
          </w:p>
        </w:tc>
      </w:tr>
    </w:tbl>
    <w:p>
      <w:pPr>
        <w:spacing w:after="0"/>
        <w:sectPr>
          <w:headerReference w:type="default" r:id="rId87"/>
          <w:footerReference w:type="default" r:id="rId88"/>
          <w:pgSz w:w="11910" w:h="16840"/>
          <w:pgMar w:header="0" w:footer="0" w:top="1600" w:bottom="280" w:left="1680" w:right="1680"/>
        </w:sectPr>
      </w:pPr>
    </w:p>
    <w:p>
      <w:pPr>
        <w:spacing w:line="240" w:lineRule="auto" w:before="12"/>
        <w:rPr>
          <w:rFonts w:ascii="黑体" w:hAnsi="黑体" w:cs="黑体" w:eastAsia="黑体" w:hint="default"/>
          <w:sz w:val="26"/>
          <w:szCs w:val="26"/>
        </w:rPr>
      </w:pPr>
    </w:p>
    <w:p>
      <w:pPr>
        <w:spacing w:before="13"/>
        <w:ind w:left="3130" w:right="3185" w:firstLine="0"/>
        <w:jc w:val="center"/>
        <w:rPr>
          <w:rFonts w:ascii="黑体" w:hAnsi="黑体" w:cs="黑体" w:eastAsia="黑体" w:hint="default"/>
          <w:sz w:val="28"/>
          <w:szCs w:val="28"/>
        </w:rPr>
      </w:pPr>
      <w:r>
        <w:rPr>
          <w:rFonts w:ascii="黑体" w:hAnsi="黑体" w:cs="黑体" w:eastAsia="黑体" w:hint="default"/>
          <w:b/>
          <w:bCs/>
          <w:sz w:val="28"/>
          <w:szCs w:val="28"/>
        </w:rPr>
        <w:t>内部控制制度报告</w:t>
      </w:r>
      <w:r>
        <w:rPr>
          <w:rFonts w:ascii="黑体" w:hAnsi="黑体" w:cs="黑体" w:eastAsia="黑体" w:hint="default"/>
          <w:sz w:val="28"/>
          <w:szCs w:val="28"/>
        </w:rPr>
      </w:r>
    </w:p>
    <w:p>
      <w:pPr>
        <w:spacing w:line="240" w:lineRule="auto" w:before="1"/>
        <w:rPr>
          <w:rFonts w:ascii="黑体" w:hAnsi="黑体" w:cs="黑体" w:eastAsia="黑体" w:hint="default"/>
          <w:b/>
          <w:bCs/>
          <w:sz w:val="31"/>
          <w:szCs w:val="31"/>
        </w:rPr>
      </w:pPr>
    </w:p>
    <w:p>
      <w:pPr>
        <w:spacing w:before="0"/>
        <w:ind w:left="4570" w:right="0" w:firstLine="0"/>
        <w:jc w:val="left"/>
        <w:rPr>
          <w:rFonts w:ascii="黑体" w:hAnsi="黑体" w:cs="黑体" w:eastAsia="黑体" w:hint="default"/>
          <w:sz w:val="22"/>
          <w:szCs w:val="22"/>
        </w:rPr>
      </w:pPr>
      <w:r>
        <w:rPr>
          <w:rFonts w:ascii="黑体" w:hAnsi="黑体" w:cs="黑体" w:eastAsia="黑体" w:hint="default"/>
          <w:sz w:val="21"/>
          <w:szCs w:val="21"/>
        </w:rPr>
        <w:t>安永华明（2010）专字</w:t>
      </w:r>
      <w:r>
        <w:rPr>
          <w:rFonts w:ascii="黑体" w:hAnsi="黑体" w:cs="黑体" w:eastAsia="黑体" w:hint="default"/>
          <w:sz w:val="22"/>
          <w:szCs w:val="22"/>
        </w:rPr>
        <w:t>第60469423_A01号</w:t>
      </w:r>
    </w:p>
    <w:p>
      <w:pPr>
        <w:spacing w:line="240" w:lineRule="auto" w:before="10"/>
        <w:rPr>
          <w:rFonts w:ascii="黑体" w:hAnsi="黑体" w:cs="黑体" w:eastAsia="黑体" w:hint="default"/>
          <w:sz w:val="20"/>
          <w:szCs w:val="20"/>
        </w:rPr>
      </w:pPr>
    </w:p>
    <w:p>
      <w:pPr>
        <w:spacing w:line="460" w:lineRule="atLeast" w:before="0"/>
        <w:ind w:left="839" w:right="0" w:hanging="438"/>
        <w:jc w:val="left"/>
        <w:rPr>
          <w:rFonts w:ascii="黑体" w:hAnsi="黑体" w:cs="黑体" w:eastAsia="黑体" w:hint="default"/>
          <w:sz w:val="22"/>
          <w:szCs w:val="22"/>
        </w:rPr>
      </w:pPr>
      <w:r>
        <w:rPr>
          <w:rFonts w:ascii="黑体" w:hAnsi="黑体" w:cs="黑体" w:eastAsia="黑体" w:hint="default"/>
          <w:sz w:val="22"/>
          <w:szCs w:val="22"/>
        </w:rPr>
        <w:t>用友软件股份有限公司董事会：</w:t>
      </w:r>
      <w:r>
        <w:rPr>
          <w:rFonts w:ascii="黑体" w:hAnsi="黑体" w:cs="黑体" w:eastAsia="黑体" w:hint="default"/>
          <w:w w:val="99"/>
          <w:sz w:val="22"/>
          <w:szCs w:val="22"/>
        </w:rPr>
        <w:t> </w:t>
      </w:r>
      <w:r>
        <w:rPr>
          <w:rFonts w:ascii="黑体" w:hAnsi="黑体" w:cs="黑体" w:eastAsia="黑体" w:hint="default"/>
          <w:spacing w:val="4"/>
          <w:sz w:val="22"/>
          <w:szCs w:val="22"/>
        </w:rPr>
        <w:t>我们审计了用友软件股份有限公司(以下简称“公司”或“贵公司”)及其子公</w:t>
      </w:r>
    </w:p>
    <w:p>
      <w:pPr>
        <w:spacing w:line="283" w:lineRule="auto" w:before="51"/>
        <w:ind w:left="400" w:right="110" w:firstLine="0"/>
        <w:jc w:val="both"/>
        <w:rPr>
          <w:rFonts w:ascii="黑体" w:hAnsi="黑体" w:cs="黑体" w:eastAsia="黑体" w:hint="default"/>
          <w:sz w:val="22"/>
          <w:szCs w:val="22"/>
        </w:rPr>
      </w:pPr>
      <w:r>
        <w:rPr>
          <w:rFonts w:ascii="黑体" w:hAnsi="黑体" w:cs="黑体" w:eastAsia="黑体" w:hint="default"/>
          <w:sz w:val="22"/>
          <w:szCs w:val="22"/>
        </w:rPr>
        <w:t>司(以下统称“贵集团”)财务报表，包括</w:t>
      </w:r>
      <w:r>
        <w:rPr>
          <w:rFonts w:ascii="黑体" w:hAnsi="黑体" w:cs="黑体" w:eastAsia="黑体" w:hint="default"/>
          <w:spacing w:val="-50"/>
          <w:sz w:val="22"/>
          <w:szCs w:val="22"/>
        </w:rPr>
        <w:t> </w:t>
      </w:r>
      <w:r>
        <w:rPr>
          <w:rFonts w:ascii="黑体" w:hAnsi="黑体" w:cs="黑体" w:eastAsia="黑体" w:hint="default"/>
          <w:sz w:val="22"/>
          <w:szCs w:val="22"/>
        </w:rPr>
        <w:t>2009</w:t>
      </w:r>
      <w:r>
        <w:rPr>
          <w:rFonts w:ascii="黑体" w:hAnsi="黑体" w:cs="黑体" w:eastAsia="黑体" w:hint="default"/>
          <w:spacing w:val="-50"/>
          <w:sz w:val="22"/>
          <w:szCs w:val="22"/>
        </w:rPr>
        <w:t> </w:t>
      </w:r>
      <w:r>
        <w:rPr>
          <w:rFonts w:ascii="黑体" w:hAnsi="黑体" w:cs="黑体" w:eastAsia="黑体" w:hint="default"/>
          <w:sz w:val="22"/>
          <w:szCs w:val="22"/>
        </w:rPr>
        <w:t>年</w:t>
      </w:r>
      <w:r>
        <w:rPr>
          <w:rFonts w:ascii="黑体" w:hAnsi="黑体" w:cs="黑体" w:eastAsia="黑体" w:hint="default"/>
          <w:spacing w:val="-50"/>
          <w:sz w:val="22"/>
          <w:szCs w:val="22"/>
        </w:rPr>
        <w:t> </w:t>
      </w:r>
      <w:r>
        <w:rPr>
          <w:rFonts w:ascii="黑体" w:hAnsi="黑体" w:cs="黑体" w:eastAsia="黑体" w:hint="default"/>
          <w:sz w:val="22"/>
          <w:szCs w:val="22"/>
        </w:rPr>
        <w:t>12</w:t>
      </w:r>
      <w:r>
        <w:rPr>
          <w:rFonts w:ascii="黑体" w:hAnsi="黑体" w:cs="黑体" w:eastAsia="黑体" w:hint="default"/>
          <w:spacing w:val="-49"/>
          <w:sz w:val="22"/>
          <w:szCs w:val="22"/>
        </w:rPr>
        <w:t> </w:t>
      </w:r>
      <w:r>
        <w:rPr>
          <w:rFonts w:ascii="黑体" w:hAnsi="黑体" w:cs="黑体" w:eastAsia="黑体" w:hint="default"/>
          <w:sz w:val="22"/>
          <w:szCs w:val="22"/>
        </w:rPr>
        <w:t>月</w:t>
      </w:r>
      <w:r>
        <w:rPr>
          <w:rFonts w:ascii="黑体" w:hAnsi="黑体" w:cs="黑体" w:eastAsia="黑体" w:hint="default"/>
          <w:spacing w:val="-50"/>
          <w:sz w:val="22"/>
          <w:szCs w:val="22"/>
        </w:rPr>
        <w:t> </w:t>
      </w:r>
      <w:r>
        <w:rPr>
          <w:rFonts w:ascii="黑体" w:hAnsi="黑体" w:cs="黑体" w:eastAsia="黑体" w:hint="default"/>
          <w:sz w:val="22"/>
          <w:szCs w:val="22"/>
        </w:rPr>
        <w:t>31</w:t>
      </w:r>
      <w:r>
        <w:rPr>
          <w:rFonts w:ascii="黑体" w:hAnsi="黑体" w:cs="黑体" w:eastAsia="黑体" w:hint="default"/>
          <w:spacing w:val="-50"/>
          <w:sz w:val="22"/>
          <w:szCs w:val="22"/>
        </w:rPr>
        <w:t> </w:t>
      </w:r>
      <w:r>
        <w:rPr>
          <w:rFonts w:ascii="黑体" w:hAnsi="黑体" w:cs="黑体" w:eastAsia="黑体" w:hint="default"/>
          <w:sz w:val="22"/>
          <w:szCs w:val="22"/>
        </w:rPr>
        <w:t>日的合并及公司的资产负</w:t>
      </w:r>
      <w:r>
        <w:rPr>
          <w:rFonts w:ascii="黑体" w:hAnsi="黑体" w:cs="黑体" w:eastAsia="黑体" w:hint="default"/>
          <w:w w:val="99"/>
          <w:sz w:val="22"/>
          <w:szCs w:val="22"/>
        </w:rPr>
        <w:t> </w:t>
      </w:r>
      <w:r>
        <w:rPr>
          <w:rFonts w:ascii="黑体" w:hAnsi="黑体" w:cs="黑体" w:eastAsia="黑体" w:hint="default"/>
          <w:sz w:val="22"/>
          <w:szCs w:val="22"/>
        </w:rPr>
        <w:t>债表，2009</w:t>
      </w:r>
      <w:r>
        <w:rPr>
          <w:rFonts w:ascii="黑体" w:hAnsi="黑体" w:cs="黑体" w:eastAsia="黑体" w:hint="default"/>
          <w:spacing w:val="26"/>
          <w:sz w:val="22"/>
          <w:szCs w:val="22"/>
        </w:rPr>
        <w:t> </w:t>
      </w:r>
      <w:r>
        <w:rPr>
          <w:rFonts w:ascii="黑体" w:hAnsi="黑体" w:cs="黑体" w:eastAsia="黑体" w:hint="default"/>
          <w:sz w:val="22"/>
          <w:szCs w:val="22"/>
        </w:rPr>
        <w:t>年度合并及公司的利润表、股东权益变动表和现金流量表以及财务报表</w:t>
      </w:r>
      <w:r>
        <w:rPr>
          <w:rFonts w:ascii="黑体" w:hAnsi="黑体" w:cs="黑体" w:eastAsia="黑体" w:hint="default"/>
          <w:spacing w:val="-102"/>
          <w:sz w:val="22"/>
          <w:szCs w:val="22"/>
        </w:rPr>
        <w:t> </w:t>
      </w:r>
      <w:r>
        <w:rPr>
          <w:rFonts w:ascii="黑体" w:hAnsi="黑体" w:cs="黑体" w:eastAsia="黑体" w:hint="default"/>
          <w:spacing w:val="-102"/>
          <w:sz w:val="22"/>
          <w:szCs w:val="22"/>
        </w:rPr>
      </w:r>
      <w:r>
        <w:rPr>
          <w:rFonts w:ascii="黑体" w:hAnsi="黑体" w:cs="黑体" w:eastAsia="黑体" w:hint="default"/>
          <w:sz w:val="22"/>
          <w:szCs w:val="22"/>
        </w:rPr>
        <w:t>附注，并于</w:t>
      </w:r>
      <w:r>
        <w:rPr>
          <w:rFonts w:ascii="黑体" w:hAnsi="黑体" w:cs="黑体" w:eastAsia="黑体" w:hint="default"/>
          <w:spacing w:val="-31"/>
          <w:sz w:val="22"/>
          <w:szCs w:val="22"/>
        </w:rPr>
        <w:t> </w:t>
      </w:r>
      <w:r>
        <w:rPr>
          <w:rFonts w:ascii="黑体" w:hAnsi="黑体" w:cs="黑体" w:eastAsia="黑体" w:hint="default"/>
          <w:sz w:val="22"/>
          <w:szCs w:val="22"/>
        </w:rPr>
        <w:t>2010</w:t>
      </w:r>
      <w:r>
        <w:rPr>
          <w:rFonts w:ascii="黑体" w:hAnsi="黑体" w:cs="黑体" w:eastAsia="黑体" w:hint="default"/>
          <w:spacing w:val="-31"/>
          <w:sz w:val="22"/>
          <w:szCs w:val="22"/>
        </w:rPr>
        <w:t> </w:t>
      </w:r>
      <w:r>
        <w:rPr>
          <w:rFonts w:ascii="黑体" w:hAnsi="黑体" w:cs="黑体" w:eastAsia="黑体" w:hint="default"/>
          <w:sz w:val="22"/>
          <w:szCs w:val="22"/>
        </w:rPr>
        <w:t>年</w:t>
      </w:r>
      <w:r>
        <w:rPr>
          <w:rFonts w:ascii="黑体" w:hAnsi="黑体" w:cs="黑体" w:eastAsia="黑体" w:hint="default"/>
          <w:spacing w:val="-32"/>
          <w:sz w:val="22"/>
          <w:szCs w:val="22"/>
        </w:rPr>
        <w:t> </w:t>
      </w:r>
      <w:r>
        <w:rPr>
          <w:rFonts w:ascii="黑体" w:hAnsi="黑体" w:cs="黑体" w:eastAsia="黑体" w:hint="default"/>
          <w:sz w:val="22"/>
          <w:szCs w:val="22"/>
        </w:rPr>
        <w:t>3</w:t>
      </w:r>
      <w:r>
        <w:rPr>
          <w:rFonts w:ascii="黑体" w:hAnsi="黑体" w:cs="黑体" w:eastAsia="黑体" w:hint="default"/>
          <w:spacing w:val="-33"/>
          <w:sz w:val="22"/>
          <w:szCs w:val="22"/>
        </w:rPr>
        <w:t> </w:t>
      </w:r>
      <w:r>
        <w:rPr>
          <w:rFonts w:ascii="黑体" w:hAnsi="黑体" w:cs="黑体" w:eastAsia="黑体" w:hint="default"/>
          <w:sz w:val="22"/>
          <w:szCs w:val="22"/>
        </w:rPr>
        <w:t>月</w:t>
      </w:r>
      <w:r>
        <w:rPr>
          <w:rFonts w:ascii="黑体" w:hAnsi="黑体" w:cs="黑体" w:eastAsia="黑体" w:hint="default"/>
          <w:spacing w:val="-32"/>
          <w:sz w:val="22"/>
          <w:szCs w:val="22"/>
        </w:rPr>
        <w:t> </w:t>
      </w:r>
      <w:r>
        <w:rPr>
          <w:rFonts w:ascii="黑体" w:hAnsi="黑体" w:cs="黑体" w:eastAsia="黑体" w:hint="default"/>
          <w:sz w:val="22"/>
          <w:szCs w:val="22"/>
        </w:rPr>
        <w:t>20</w:t>
      </w:r>
      <w:r>
        <w:rPr>
          <w:rFonts w:ascii="黑体" w:hAnsi="黑体" w:cs="黑体" w:eastAsia="黑体" w:hint="default"/>
          <w:spacing w:val="-31"/>
          <w:sz w:val="22"/>
          <w:szCs w:val="22"/>
        </w:rPr>
        <w:t> </w:t>
      </w:r>
      <w:r>
        <w:rPr>
          <w:rFonts w:ascii="黑体" w:hAnsi="黑体" w:cs="黑体" w:eastAsia="黑体" w:hint="default"/>
          <w:sz w:val="22"/>
          <w:szCs w:val="22"/>
        </w:rPr>
        <w:t>日出具了无保留意见的审计报告。我们的责任是在实施</w:t>
      </w:r>
      <w:r>
        <w:rPr>
          <w:rFonts w:ascii="黑体" w:hAnsi="黑体" w:cs="黑体" w:eastAsia="黑体" w:hint="default"/>
          <w:w w:val="99"/>
          <w:sz w:val="22"/>
          <w:szCs w:val="22"/>
        </w:rPr>
        <w:t> </w:t>
      </w:r>
      <w:r>
        <w:rPr>
          <w:rFonts w:ascii="黑体" w:hAnsi="黑体" w:cs="黑体" w:eastAsia="黑体" w:hint="default"/>
          <w:spacing w:val="4"/>
          <w:sz w:val="22"/>
          <w:szCs w:val="22"/>
        </w:rPr>
        <w:t>审计工作的基础上对财务报表发表审计意见。在审计过程中，我们研究和评价了贵</w:t>
      </w:r>
      <w:r>
        <w:rPr>
          <w:rFonts w:ascii="黑体" w:hAnsi="黑体" w:cs="黑体" w:eastAsia="黑体" w:hint="default"/>
          <w:w w:val="99"/>
          <w:sz w:val="22"/>
          <w:szCs w:val="22"/>
        </w:rPr>
        <w:t> </w:t>
      </w:r>
      <w:r>
        <w:rPr>
          <w:rFonts w:ascii="黑体" w:hAnsi="黑体" w:cs="黑体" w:eastAsia="黑体" w:hint="default"/>
          <w:spacing w:val="4"/>
          <w:sz w:val="22"/>
          <w:szCs w:val="22"/>
        </w:rPr>
        <w:t>集团与上述财务报表编制有关的内部控制，以确定我们实施财务报表审计的审计程</w:t>
      </w:r>
      <w:r>
        <w:rPr>
          <w:rFonts w:ascii="黑体" w:hAnsi="黑体" w:cs="黑体" w:eastAsia="黑体" w:hint="default"/>
          <w:w w:val="99"/>
          <w:sz w:val="22"/>
          <w:szCs w:val="22"/>
        </w:rPr>
        <w:t> </w:t>
      </w:r>
      <w:r>
        <w:rPr>
          <w:rFonts w:ascii="黑体" w:hAnsi="黑体" w:cs="黑体" w:eastAsia="黑体" w:hint="default"/>
          <w:spacing w:val="4"/>
          <w:sz w:val="22"/>
          <w:szCs w:val="22"/>
        </w:rPr>
        <w:t>序的性质、时间及范围。建立健全内部控制制度是贵公司的责任。注册会计师的研</w:t>
      </w:r>
      <w:r>
        <w:rPr>
          <w:rFonts w:ascii="黑体" w:hAnsi="黑体" w:cs="黑体" w:eastAsia="黑体" w:hint="default"/>
          <w:w w:val="99"/>
          <w:sz w:val="22"/>
          <w:szCs w:val="22"/>
        </w:rPr>
        <w:t> </w:t>
      </w:r>
      <w:r>
        <w:rPr>
          <w:rFonts w:ascii="黑体" w:hAnsi="黑体" w:cs="黑体" w:eastAsia="黑体" w:hint="default"/>
          <w:spacing w:val="4"/>
          <w:sz w:val="22"/>
          <w:szCs w:val="22"/>
        </w:rPr>
        <w:t>究和评价是在《中国注册会计师审计准则》的基础上，结合注册会计师的财务报表</w:t>
      </w:r>
      <w:r>
        <w:rPr>
          <w:rFonts w:ascii="黑体" w:hAnsi="黑体" w:cs="黑体" w:eastAsia="黑体" w:hint="default"/>
          <w:w w:val="99"/>
          <w:sz w:val="22"/>
          <w:szCs w:val="22"/>
        </w:rPr>
        <w:t> </w:t>
      </w:r>
      <w:r>
        <w:rPr>
          <w:rFonts w:ascii="黑体" w:hAnsi="黑体" w:cs="黑体" w:eastAsia="黑体" w:hint="default"/>
          <w:spacing w:val="11"/>
          <w:sz w:val="22"/>
          <w:szCs w:val="22"/>
        </w:rPr>
        <w:t>审计目的而进行的，而不是对内部控制的专门审核，并不是专为发现内部控制缺</w:t>
      </w:r>
      <w:r>
        <w:rPr>
          <w:rFonts w:ascii="黑体" w:hAnsi="黑体" w:cs="黑体" w:eastAsia="黑体" w:hint="default"/>
          <w:spacing w:val="12"/>
          <w:w w:val="99"/>
          <w:sz w:val="22"/>
          <w:szCs w:val="22"/>
        </w:rPr>
        <w:t> </w:t>
      </w:r>
      <w:r>
        <w:rPr>
          <w:rFonts w:ascii="黑体" w:hAnsi="黑体" w:cs="黑体" w:eastAsia="黑体" w:hint="default"/>
          <w:spacing w:val="4"/>
          <w:sz w:val="22"/>
          <w:szCs w:val="22"/>
        </w:rPr>
        <w:t>陷、欺诈及舞弊而进行的。在研究和评价过程中，我们结合贵集团的实际情况，实</w:t>
      </w:r>
      <w:r>
        <w:rPr>
          <w:rFonts w:ascii="黑体" w:hAnsi="黑体" w:cs="黑体" w:eastAsia="黑体" w:hint="default"/>
          <w:w w:val="99"/>
          <w:sz w:val="22"/>
          <w:szCs w:val="22"/>
        </w:rPr>
        <w:t> </w:t>
      </w:r>
      <w:r>
        <w:rPr>
          <w:rFonts w:ascii="黑体" w:hAnsi="黑体" w:cs="黑体" w:eastAsia="黑体" w:hint="default"/>
          <w:sz w:val="22"/>
          <w:szCs w:val="22"/>
        </w:rPr>
        <w:t>施了包括询问、检查、观察及抽查测试等我们认定为必要的研究和评价程序。</w:t>
      </w:r>
    </w:p>
    <w:p>
      <w:pPr>
        <w:spacing w:line="283" w:lineRule="auto" w:before="133"/>
        <w:ind w:left="400" w:right="119" w:firstLine="439"/>
        <w:jc w:val="both"/>
        <w:rPr>
          <w:rFonts w:ascii="黑体" w:hAnsi="黑体" w:cs="黑体" w:eastAsia="黑体" w:hint="default"/>
          <w:sz w:val="22"/>
          <w:szCs w:val="22"/>
        </w:rPr>
      </w:pPr>
      <w:r>
        <w:rPr>
          <w:rFonts w:ascii="黑体" w:hAnsi="黑体" w:cs="黑体" w:eastAsia="黑体" w:hint="default"/>
          <w:spacing w:val="4"/>
          <w:sz w:val="22"/>
          <w:szCs w:val="22"/>
        </w:rPr>
        <w:t>由于任何内部控制均具有固有限制，存在由于错误或舞弊而导致错误发生但未</w:t>
      </w:r>
      <w:r>
        <w:rPr>
          <w:rFonts w:ascii="黑体" w:hAnsi="黑体" w:cs="黑体" w:eastAsia="黑体" w:hint="default"/>
          <w:spacing w:val="4"/>
          <w:w w:val="99"/>
          <w:sz w:val="22"/>
          <w:szCs w:val="22"/>
        </w:rPr>
        <w:t> </w:t>
      </w:r>
      <w:r>
        <w:rPr>
          <w:rFonts w:ascii="黑体" w:hAnsi="黑体" w:cs="黑体" w:eastAsia="黑体" w:hint="default"/>
          <w:spacing w:val="4"/>
          <w:sz w:val="22"/>
          <w:szCs w:val="22"/>
        </w:rPr>
        <w:t>被发现的可能性。此外，根据内部控制评价结果推测未来内部控制有效性具有一定</w:t>
      </w:r>
      <w:r>
        <w:rPr>
          <w:rFonts w:ascii="黑体" w:hAnsi="黑体" w:cs="黑体" w:eastAsia="黑体" w:hint="default"/>
          <w:w w:val="99"/>
          <w:sz w:val="22"/>
          <w:szCs w:val="22"/>
        </w:rPr>
        <w:t> </w:t>
      </w:r>
      <w:r>
        <w:rPr>
          <w:rFonts w:ascii="黑体" w:hAnsi="黑体" w:cs="黑体" w:eastAsia="黑体" w:hint="default"/>
          <w:spacing w:val="4"/>
          <w:sz w:val="22"/>
          <w:szCs w:val="22"/>
        </w:rPr>
        <w:t>的风险，因为情况的变化可能导致内部控制变得不恰当，或对控制政策、程序遵循</w:t>
      </w:r>
      <w:r>
        <w:rPr>
          <w:rFonts w:ascii="黑体" w:hAnsi="黑体" w:cs="黑体" w:eastAsia="黑体" w:hint="default"/>
          <w:w w:val="99"/>
          <w:sz w:val="22"/>
          <w:szCs w:val="22"/>
        </w:rPr>
        <w:t> </w:t>
      </w:r>
      <w:r>
        <w:rPr>
          <w:rFonts w:ascii="黑体" w:hAnsi="黑体" w:cs="黑体" w:eastAsia="黑体" w:hint="default"/>
          <w:sz w:val="22"/>
          <w:szCs w:val="22"/>
        </w:rPr>
        <w:t>程度的降低。因此，在本期有效的内部控制，并不保证在未来也必然有效。</w:t>
      </w:r>
    </w:p>
    <w:p>
      <w:pPr>
        <w:spacing w:line="283" w:lineRule="auto" w:before="132"/>
        <w:ind w:left="400" w:right="119" w:firstLine="439"/>
        <w:jc w:val="both"/>
        <w:rPr>
          <w:rFonts w:ascii="黑体" w:hAnsi="黑体" w:cs="黑体" w:eastAsia="黑体" w:hint="default"/>
          <w:sz w:val="22"/>
          <w:szCs w:val="22"/>
        </w:rPr>
      </w:pPr>
      <w:r>
        <w:rPr>
          <w:rFonts w:ascii="黑体" w:hAnsi="黑体" w:cs="黑体" w:eastAsia="黑体" w:hint="default"/>
          <w:spacing w:val="4"/>
          <w:sz w:val="22"/>
          <w:szCs w:val="22"/>
        </w:rPr>
        <w:t>我们阅读了由贵公司管理层编写并后附的用友软件股份有限公司内部控制自查</w:t>
      </w:r>
      <w:r>
        <w:rPr>
          <w:rFonts w:ascii="黑体" w:hAnsi="黑体" w:cs="黑体" w:eastAsia="黑体" w:hint="default"/>
          <w:spacing w:val="4"/>
          <w:w w:val="99"/>
          <w:sz w:val="22"/>
          <w:szCs w:val="22"/>
        </w:rPr>
        <w:t> </w:t>
      </w:r>
      <w:r>
        <w:rPr>
          <w:rFonts w:ascii="黑体" w:hAnsi="黑体" w:cs="黑体" w:eastAsia="黑体" w:hint="default"/>
          <w:spacing w:val="4"/>
          <w:sz w:val="22"/>
          <w:szCs w:val="22"/>
        </w:rPr>
        <w:t>报告。根据我们的研究和评价，我们未发现贵公司编写的并后附的用友软件股份有</w:t>
      </w:r>
      <w:r>
        <w:rPr>
          <w:rFonts w:ascii="黑体" w:hAnsi="黑体" w:cs="黑体" w:eastAsia="黑体" w:hint="default"/>
          <w:w w:val="99"/>
          <w:sz w:val="22"/>
          <w:szCs w:val="22"/>
        </w:rPr>
        <w:t> </w:t>
      </w:r>
      <w:r>
        <w:rPr>
          <w:rFonts w:ascii="黑体" w:hAnsi="黑体" w:cs="黑体" w:eastAsia="黑体" w:hint="default"/>
          <w:spacing w:val="4"/>
          <w:sz w:val="22"/>
          <w:szCs w:val="22"/>
        </w:rPr>
        <w:t>限公司内部控制自查报告中与财务报表编制相关的内容与我们对贵公司和贵集团就</w:t>
      </w:r>
      <w:r>
        <w:rPr>
          <w:rFonts w:ascii="黑体" w:hAnsi="黑体" w:cs="黑体" w:eastAsia="黑体" w:hint="default"/>
          <w:w w:val="99"/>
          <w:sz w:val="22"/>
          <w:szCs w:val="22"/>
        </w:rPr>
        <w:t> </w:t>
      </w:r>
      <w:r>
        <w:rPr>
          <w:rFonts w:ascii="黑体" w:hAnsi="黑体" w:cs="黑体" w:eastAsia="黑体" w:hint="default"/>
          <w:sz w:val="22"/>
          <w:szCs w:val="22"/>
        </w:rPr>
        <w:t>上述财务报表的审计发现存在重大的不一致。</w:t>
      </w:r>
    </w:p>
    <w:p>
      <w:pPr>
        <w:spacing w:before="132"/>
        <w:ind w:left="839" w:right="0" w:firstLine="0"/>
        <w:jc w:val="left"/>
        <w:rPr>
          <w:rFonts w:ascii="黑体" w:hAnsi="黑体" w:cs="黑体" w:eastAsia="黑体" w:hint="default"/>
          <w:sz w:val="22"/>
          <w:szCs w:val="22"/>
        </w:rPr>
      </w:pPr>
      <w:r>
        <w:rPr>
          <w:rFonts w:ascii="黑体" w:hAnsi="黑体" w:cs="黑体" w:eastAsia="黑体" w:hint="default"/>
          <w:sz w:val="22"/>
          <w:szCs w:val="22"/>
        </w:rPr>
        <w:t>本报告只为针对贵公司</w:t>
      </w:r>
      <w:r>
        <w:rPr>
          <w:rFonts w:ascii="黑体" w:hAnsi="黑体" w:cs="黑体" w:eastAsia="黑体" w:hint="default"/>
          <w:spacing w:val="-57"/>
          <w:sz w:val="22"/>
          <w:szCs w:val="22"/>
        </w:rPr>
        <w:t> </w:t>
      </w:r>
      <w:r>
        <w:rPr>
          <w:rFonts w:ascii="黑体" w:hAnsi="黑体" w:cs="黑体" w:eastAsia="黑体" w:hint="default"/>
          <w:sz w:val="22"/>
          <w:szCs w:val="22"/>
        </w:rPr>
        <w:t>2009</w:t>
      </w:r>
      <w:r>
        <w:rPr>
          <w:rFonts w:ascii="黑体" w:hAnsi="黑体" w:cs="黑体" w:eastAsia="黑体" w:hint="default"/>
          <w:spacing w:val="-58"/>
          <w:sz w:val="22"/>
          <w:szCs w:val="22"/>
        </w:rPr>
        <w:t> </w:t>
      </w:r>
      <w:r>
        <w:rPr>
          <w:rFonts w:ascii="黑体" w:hAnsi="黑体" w:cs="黑体" w:eastAsia="黑体" w:hint="default"/>
          <w:sz w:val="22"/>
          <w:szCs w:val="22"/>
        </w:rPr>
        <w:t>年度年审需要而出具，并不存在其他使用目的。</w:t>
      </w:r>
    </w:p>
    <w:p>
      <w:pPr>
        <w:spacing w:line="240" w:lineRule="auto" w:before="0"/>
        <w:rPr>
          <w:rFonts w:ascii="黑体" w:hAnsi="黑体" w:cs="黑体" w:eastAsia="黑体" w:hint="default"/>
          <w:sz w:val="22"/>
          <w:szCs w:val="22"/>
        </w:rPr>
      </w:pPr>
    </w:p>
    <w:p>
      <w:pPr>
        <w:spacing w:line="240" w:lineRule="auto" w:before="0"/>
        <w:rPr>
          <w:rFonts w:ascii="黑体" w:hAnsi="黑体" w:cs="黑体" w:eastAsia="黑体" w:hint="default"/>
          <w:sz w:val="22"/>
          <w:szCs w:val="22"/>
        </w:rPr>
      </w:pPr>
    </w:p>
    <w:p>
      <w:pPr>
        <w:spacing w:line="240" w:lineRule="auto" w:before="0"/>
        <w:rPr>
          <w:rFonts w:ascii="黑体" w:hAnsi="黑体" w:cs="黑体" w:eastAsia="黑体" w:hint="default"/>
          <w:sz w:val="22"/>
          <w:szCs w:val="22"/>
        </w:rPr>
      </w:pPr>
    </w:p>
    <w:p>
      <w:pPr>
        <w:spacing w:line="240" w:lineRule="auto" w:before="0"/>
        <w:rPr>
          <w:rFonts w:ascii="黑体" w:hAnsi="黑体" w:cs="黑体" w:eastAsia="黑体" w:hint="default"/>
          <w:sz w:val="22"/>
          <w:szCs w:val="22"/>
        </w:rPr>
      </w:pPr>
    </w:p>
    <w:p>
      <w:pPr>
        <w:spacing w:line="240" w:lineRule="auto" w:before="9"/>
        <w:rPr>
          <w:rFonts w:ascii="黑体" w:hAnsi="黑体" w:cs="黑体" w:eastAsia="黑体" w:hint="default"/>
          <w:sz w:val="30"/>
          <w:szCs w:val="30"/>
        </w:rPr>
      </w:pPr>
    </w:p>
    <w:p>
      <w:pPr>
        <w:tabs>
          <w:tab w:pos="5461" w:val="left" w:leader="none"/>
          <w:tab w:pos="7758" w:val="left" w:leader="none"/>
        </w:tabs>
        <w:spacing w:before="0"/>
        <w:ind w:left="1020" w:right="0" w:hanging="621"/>
        <w:jc w:val="left"/>
        <w:rPr>
          <w:rFonts w:ascii="黑体" w:hAnsi="黑体" w:cs="黑体" w:eastAsia="黑体" w:hint="default"/>
          <w:sz w:val="22"/>
          <w:szCs w:val="22"/>
        </w:rPr>
      </w:pPr>
      <w:r>
        <w:rPr>
          <w:rFonts w:ascii="黑体" w:hAnsi="黑体" w:cs="黑体" w:eastAsia="黑体" w:hint="default"/>
          <w:w w:val="95"/>
          <w:sz w:val="22"/>
          <w:szCs w:val="22"/>
        </w:rPr>
        <w:t>安永华明会计师事务所</w:t>
        <w:tab/>
        <w:t>中国注册会计师</w:t>
        <w:tab/>
      </w:r>
      <w:r>
        <w:rPr>
          <w:rFonts w:ascii="黑体" w:hAnsi="黑体" w:cs="黑体" w:eastAsia="黑体" w:hint="default"/>
          <w:sz w:val="22"/>
          <w:szCs w:val="22"/>
        </w:rPr>
        <w:t>杨淑娟</w:t>
      </w:r>
    </w:p>
    <w:p>
      <w:pPr>
        <w:spacing w:line="240" w:lineRule="auto" w:before="0"/>
        <w:rPr>
          <w:rFonts w:ascii="黑体" w:hAnsi="黑体" w:cs="黑体" w:eastAsia="黑体" w:hint="default"/>
          <w:sz w:val="22"/>
          <w:szCs w:val="22"/>
        </w:rPr>
      </w:pPr>
    </w:p>
    <w:p>
      <w:pPr>
        <w:spacing w:line="240" w:lineRule="auto" w:before="0"/>
        <w:rPr>
          <w:rFonts w:ascii="黑体" w:hAnsi="黑体" w:cs="黑体" w:eastAsia="黑体" w:hint="default"/>
          <w:sz w:val="22"/>
          <w:szCs w:val="22"/>
        </w:rPr>
      </w:pPr>
    </w:p>
    <w:p>
      <w:pPr>
        <w:spacing w:line="240" w:lineRule="auto" w:before="0"/>
        <w:rPr>
          <w:rFonts w:ascii="黑体" w:hAnsi="黑体" w:cs="黑体" w:eastAsia="黑体" w:hint="default"/>
          <w:sz w:val="22"/>
          <w:szCs w:val="22"/>
        </w:rPr>
      </w:pPr>
    </w:p>
    <w:p>
      <w:pPr>
        <w:tabs>
          <w:tab w:pos="1900" w:val="left" w:leader="none"/>
          <w:tab w:pos="5421" w:val="left" w:leader="none"/>
          <w:tab w:pos="7758" w:val="left" w:leader="none"/>
        </w:tabs>
        <w:spacing w:line="576" w:lineRule="auto" w:before="177"/>
        <w:ind w:left="5697" w:right="184" w:hanging="4677"/>
        <w:jc w:val="left"/>
        <w:rPr>
          <w:rFonts w:ascii="黑体" w:hAnsi="黑体" w:cs="黑体" w:eastAsia="黑体" w:hint="default"/>
          <w:sz w:val="22"/>
          <w:szCs w:val="22"/>
        </w:rPr>
      </w:pPr>
      <w:r>
        <w:rPr>
          <w:rFonts w:ascii="黑体" w:hAnsi="黑体" w:cs="黑体" w:eastAsia="黑体" w:hint="default"/>
          <w:w w:val="95"/>
          <w:sz w:val="22"/>
          <w:szCs w:val="22"/>
        </w:rPr>
        <w:t>中国</w:t>
        <w:tab/>
        <w:t>北京</w:t>
        <w:tab/>
        <w:t>中国注册会计师</w:t>
        <w:tab/>
      </w:r>
      <w:r>
        <w:rPr>
          <w:rFonts w:ascii="黑体" w:hAnsi="黑体" w:cs="黑体" w:eastAsia="黑体" w:hint="default"/>
          <w:sz w:val="22"/>
          <w:szCs w:val="22"/>
        </w:rPr>
        <w:t>陈胜昔</w:t>
      </w:r>
      <w:r>
        <w:rPr>
          <w:rFonts w:ascii="黑体" w:hAnsi="黑体" w:cs="黑体" w:eastAsia="黑体" w:hint="default"/>
          <w:w w:val="99"/>
          <w:sz w:val="22"/>
          <w:szCs w:val="22"/>
        </w:rPr>
        <w:t> </w:t>
      </w:r>
      <w:r>
        <w:rPr>
          <w:rFonts w:ascii="黑体" w:hAnsi="黑体" w:cs="黑体" w:eastAsia="黑体" w:hint="default"/>
          <w:sz w:val="22"/>
          <w:szCs w:val="22"/>
        </w:rPr>
        <w:t>二零一零年三月二十日</w:t>
      </w:r>
    </w:p>
    <w:p>
      <w:pPr>
        <w:spacing w:line="240" w:lineRule="auto" w:before="3"/>
        <w:rPr>
          <w:rFonts w:ascii="黑体" w:hAnsi="黑体" w:cs="黑体" w:eastAsia="黑体" w:hint="default"/>
          <w:sz w:val="22"/>
          <w:szCs w:val="22"/>
        </w:rPr>
      </w:pPr>
    </w:p>
    <w:p>
      <w:pPr>
        <w:spacing w:before="69"/>
        <w:ind w:left="3128" w:right="3185" w:firstLine="0"/>
        <w:jc w:val="center"/>
        <w:rPr>
          <w:rFonts w:ascii="Times New Roman" w:hAnsi="Times New Roman" w:cs="Times New Roman" w:eastAsia="Times New Roman" w:hint="default"/>
          <w:sz w:val="24"/>
          <w:szCs w:val="24"/>
        </w:rPr>
      </w:pPr>
      <w:r>
        <w:rPr>
          <w:rFonts w:ascii="Times New Roman"/>
          <w:sz w:val="24"/>
        </w:rPr>
        <w:t>1</w:t>
      </w:r>
    </w:p>
    <w:p>
      <w:pPr>
        <w:spacing w:after="0"/>
        <w:jc w:val="center"/>
        <w:rPr>
          <w:rFonts w:ascii="Times New Roman" w:hAnsi="Times New Roman" w:cs="Times New Roman" w:eastAsia="Times New Roman" w:hint="default"/>
          <w:sz w:val="24"/>
          <w:szCs w:val="24"/>
        </w:rPr>
        <w:sectPr>
          <w:headerReference w:type="default" r:id="rId89"/>
          <w:footerReference w:type="default" r:id="rId90"/>
          <w:pgSz w:w="11910" w:h="16840"/>
          <w:pgMar w:header="0" w:footer="0" w:top="1600" w:bottom="280" w:left="1680" w:right="1620"/>
        </w:sectPr>
      </w:pPr>
    </w:p>
    <w:p>
      <w:pPr>
        <w:spacing w:line="240" w:lineRule="auto" w:before="6"/>
        <w:rPr>
          <w:rFonts w:ascii="Times New Roman" w:hAnsi="Times New Roman" w:cs="Times New Roman" w:eastAsia="Times New Roman" w:hint="default"/>
          <w:sz w:val="27"/>
          <w:szCs w:val="27"/>
        </w:rPr>
      </w:pPr>
    </w:p>
    <w:p>
      <w:pPr>
        <w:spacing w:before="31"/>
        <w:ind w:left="525" w:right="121"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发现</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6"/>
          <w:szCs w:val="16"/>
        </w:rPr>
      </w:pPr>
    </w:p>
    <w:p>
      <w:pPr>
        <w:spacing w:line="333" w:lineRule="auto" w:before="31"/>
        <w:ind w:left="525" w:right="99" w:firstLine="0"/>
        <w:jc w:val="both"/>
        <w:rPr>
          <w:rFonts w:ascii="黑体" w:hAnsi="黑体" w:cs="黑体" w:eastAsia="黑体" w:hint="default"/>
          <w:sz w:val="22"/>
          <w:szCs w:val="22"/>
        </w:rPr>
      </w:pPr>
      <w:r>
        <w:rPr>
          <w:rFonts w:ascii="黑体" w:hAnsi="黑体" w:cs="黑体" w:eastAsia="黑体" w:hint="default"/>
          <w:sz w:val="22"/>
          <w:szCs w:val="22"/>
        </w:rPr>
        <w:t>贵公司与各子公司在日常处理软件和实施混合收入的帐务时，虽然合同中有确切的软</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件和实施收入各自的金额，但是财务人员是按照开具增值税票或开具营业税票一并记</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入软件收入或者实施收入中。</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问题及影响</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99" w:firstLine="0"/>
        <w:jc w:val="both"/>
        <w:rPr>
          <w:rFonts w:ascii="黑体" w:hAnsi="黑体" w:cs="黑体" w:eastAsia="黑体" w:hint="default"/>
          <w:sz w:val="22"/>
          <w:szCs w:val="22"/>
        </w:rPr>
      </w:pPr>
      <w:r>
        <w:rPr>
          <w:rFonts w:ascii="黑体" w:hAnsi="黑体" w:cs="黑体" w:eastAsia="黑体" w:hint="default"/>
          <w:sz w:val="22"/>
          <w:szCs w:val="22"/>
        </w:rPr>
        <w:t>混合销售行为涉及缴纳增值税和营业税，但一项销售行为不可能既缴纳增值税又缴纳</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营业税。所以在对混合销售的帐务处理时就要根据税法要求缴纳增值税或者营业税。</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可是如果当混合收入能够分清销售和提供劳务的各自的收入金额时，一定要按照合同</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的规定分别确认软件收入和实施收入。</w:t>
      </w:r>
    </w:p>
    <w:p>
      <w:pPr>
        <w:spacing w:line="240" w:lineRule="auto" w:before="7"/>
        <w:rPr>
          <w:rFonts w:ascii="黑体" w:hAnsi="黑体" w:cs="黑体" w:eastAsia="黑体" w:hint="default"/>
          <w:sz w:val="32"/>
          <w:szCs w:val="32"/>
        </w:rPr>
      </w:pPr>
    </w:p>
    <w:p>
      <w:pPr>
        <w:spacing w:line="324" w:lineRule="auto" w:before="0"/>
        <w:ind w:left="525" w:right="98" w:firstLine="0"/>
        <w:jc w:val="both"/>
        <w:rPr>
          <w:rFonts w:ascii="黑体" w:hAnsi="黑体" w:cs="黑体" w:eastAsia="黑体" w:hint="default"/>
          <w:sz w:val="22"/>
          <w:szCs w:val="22"/>
        </w:rPr>
      </w:pPr>
      <w:r>
        <w:rPr>
          <w:rFonts w:ascii="黑体" w:hAnsi="黑体" w:cs="黑体" w:eastAsia="黑体" w:hint="default"/>
          <w:sz w:val="22"/>
          <w:szCs w:val="22"/>
        </w:rPr>
        <w:t>虽然管理层已在年末结账时对日常收入确认不恰当的地方进行统一调整，但日常账务</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处理时没有按照合同的规定分别确认软件收入和实施收入，可能会影响公司各期不同</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类别收入确认的准确性</w:t>
      </w:r>
      <w:r>
        <w:rPr>
          <w:rFonts w:ascii="Calibri" w:hAnsi="Calibri" w:cs="Calibri" w:eastAsia="Calibri" w:hint="default"/>
          <w:sz w:val="22"/>
          <w:szCs w:val="22"/>
        </w:rPr>
        <w:t>,</w:t>
      </w:r>
      <w:r>
        <w:rPr>
          <w:rFonts w:ascii="黑体" w:hAnsi="黑体" w:cs="黑体" w:eastAsia="黑体" w:hint="default"/>
          <w:sz w:val="22"/>
          <w:szCs w:val="22"/>
        </w:rPr>
        <w:t>使报表使用者不能及时准确获取公司的相关财务信息，导致管</w:t>
      </w:r>
      <w:r>
        <w:rPr>
          <w:rFonts w:ascii="黑体" w:hAnsi="黑体" w:cs="黑体" w:eastAsia="黑体" w:hint="default"/>
          <w:spacing w:val="-106"/>
          <w:sz w:val="22"/>
          <w:szCs w:val="22"/>
        </w:rPr>
        <w:t> </w:t>
      </w:r>
      <w:r>
        <w:rPr>
          <w:rFonts w:ascii="黑体" w:hAnsi="黑体" w:cs="黑体" w:eastAsia="黑体" w:hint="default"/>
          <w:spacing w:val="-106"/>
          <w:sz w:val="22"/>
          <w:szCs w:val="22"/>
        </w:rPr>
      </w:r>
      <w:r>
        <w:rPr>
          <w:rFonts w:ascii="黑体" w:hAnsi="黑体" w:cs="黑体" w:eastAsia="黑体" w:hint="default"/>
          <w:sz w:val="22"/>
          <w:szCs w:val="22"/>
        </w:rPr>
        <w:t>理层无法对当期经营成果以及对往来期间的预期作出正确判断。由于软件销售收入需</w:t>
      </w:r>
    </w:p>
    <w:p>
      <w:pPr>
        <w:spacing w:line="333" w:lineRule="auto" w:before="36"/>
        <w:ind w:left="525" w:right="99" w:firstLine="0"/>
        <w:jc w:val="both"/>
        <w:rPr>
          <w:rFonts w:ascii="黑体" w:hAnsi="黑体" w:cs="黑体" w:eastAsia="黑体" w:hint="default"/>
          <w:sz w:val="22"/>
          <w:szCs w:val="22"/>
        </w:rPr>
      </w:pPr>
      <w:r>
        <w:rPr>
          <w:rFonts w:ascii="黑体" w:hAnsi="黑体" w:cs="黑体" w:eastAsia="黑体" w:hint="default"/>
          <w:sz w:val="22"/>
          <w:szCs w:val="22"/>
        </w:rPr>
        <w:t>缴纳增值税，实施收入需缴纳营业税，收入确认的分类不明确可能面临相关税务机关</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在进行检查时，因对收入类别划分的异议而重新核算应交纳税费的风险。另外，年末</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结账时一次对收入确认进行调整，也增添了财务部门年末结账时额外的工作量。</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建议</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21" w:firstLine="0"/>
        <w:jc w:val="left"/>
        <w:rPr>
          <w:rFonts w:ascii="黑体" w:hAnsi="黑体" w:cs="黑体" w:eastAsia="黑体" w:hint="default"/>
          <w:sz w:val="22"/>
          <w:szCs w:val="22"/>
        </w:rPr>
      </w:pPr>
      <w:r>
        <w:rPr>
          <w:rFonts w:ascii="黑体" w:hAnsi="黑体" w:cs="黑体" w:eastAsia="黑体" w:hint="default"/>
          <w:sz w:val="22"/>
          <w:szCs w:val="22"/>
        </w:rPr>
        <w:t>建议贵集团在确认收入时，应严格区分软件销售收入和实施服务收入，在日常会计核</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算工作中按照出库单及实施进度以合同约定的金额分别进行记录。</w:t>
      </w:r>
    </w:p>
    <w:p>
      <w:pPr>
        <w:spacing w:line="240" w:lineRule="auto" w:before="8"/>
        <w:rPr>
          <w:rFonts w:ascii="黑体" w:hAnsi="黑体" w:cs="黑体" w:eastAsia="黑体" w:hint="default"/>
          <w:sz w:val="32"/>
          <w:szCs w:val="32"/>
        </w:rPr>
      </w:pPr>
    </w:p>
    <w:p>
      <w:pPr>
        <w:spacing w:before="0"/>
        <w:ind w:left="525" w:right="121"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管理层意见</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6"/>
          <w:szCs w:val="16"/>
        </w:rPr>
      </w:pPr>
    </w:p>
    <w:p>
      <w:pPr>
        <w:spacing w:before="31"/>
        <w:ind w:left="525" w:right="121" w:firstLine="0"/>
        <w:jc w:val="left"/>
        <w:rPr>
          <w:rFonts w:ascii="黑体" w:hAnsi="黑体" w:cs="黑体" w:eastAsia="黑体" w:hint="default"/>
          <w:sz w:val="22"/>
          <w:szCs w:val="22"/>
        </w:rPr>
      </w:pPr>
      <w:r>
        <w:rPr>
          <w:rFonts w:ascii="黑体" w:hAnsi="黑体" w:cs="黑体" w:eastAsia="黑体" w:hint="default"/>
          <w:sz w:val="22"/>
          <w:szCs w:val="22"/>
        </w:rPr>
        <w:t>我们接受建议，将按合同确认收入类别。</w:t>
      </w:r>
    </w:p>
    <w:p>
      <w:pPr>
        <w:spacing w:after="0"/>
        <w:jc w:val="left"/>
        <w:rPr>
          <w:rFonts w:ascii="黑体" w:hAnsi="黑体" w:cs="黑体" w:eastAsia="黑体" w:hint="default"/>
          <w:sz w:val="22"/>
          <w:szCs w:val="22"/>
        </w:rPr>
        <w:sectPr>
          <w:headerReference w:type="default" r:id="rId91"/>
          <w:footerReference w:type="default" r:id="rId92"/>
          <w:pgSz w:w="12240" w:h="15840"/>
          <w:pgMar w:header="1473" w:footer="755" w:top="1960" w:bottom="940" w:left="1700" w:right="1700"/>
          <w:pgNumType w:start="2"/>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15"/>
          <w:szCs w:val="15"/>
        </w:rPr>
      </w:pPr>
    </w:p>
    <w:p>
      <w:pPr>
        <w:spacing w:before="31"/>
        <w:ind w:left="526" w:right="121"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发现</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99" w:firstLine="0"/>
        <w:jc w:val="both"/>
        <w:rPr>
          <w:rFonts w:ascii="黑体" w:hAnsi="黑体" w:cs="黑体" w:eastAsia="黑体" w:hint="default"/>
          <w:sz w:val="22"/>
          <w:szCs w:val="22"/>
        </w:rPr>
      </w:pPr>
      <w:r>
        <w:rPr>
          <w:rFonts w:ascii="黑体" w:hAnsi="黑体" w:cs="黑体" w:eastAsia="黑体" w:hint="default"/>
          <w:sz w:val="22"/>
          <w:szCs w:val="22"/>
        </w:rPr>
        <w:t>贵公司总部销售合同的编号规则包含客户名、签订日期、序列号、及区分实施销售和</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软件销售的字母等，但其编号不连续；总部对于销售合同没有一套完整的合同清单并</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且没有安排专人负责保管。</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问题及影响</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99" w:firstLine="0"/>
        <w:jc w:val="both"/>
        <w:rPr>
          <w:rFonts w:ascii="黑体" w:hAnsi="黑体" w:cs="黑体" w:eastAsia="黑体" w:hint="default"/>
          <w:sz w:val="22"/>
          <w:szCs w:val="22"/>
        </w:rPr>
      </w:pPr>
      <w:r>
        <w:rPr>
          <w:rFonts w:ascii="黑体" w:hAnsi="黑体" w:cs="黑体" w:eastAsia="黑体" w:hint="default"/>
          <w:sz w:val="22"/>
          <w:szCs w:val="22"/>
        </w:rPr>
        <w:t>合同是开展业务的重要证明文件与依据，合同管理理应放在重要位置。虽然贵公司的</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重大销售收入会计处理均有合同及系统记录或其他文档的支持，但随着贵公司总部销</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售业务逐年增多，大量的合同如果没有妥善地管理将会影响甚大，如使用复杂且不连</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续的合同编号在合同丢失的时候很难被及时发现；缺乏完整的合同清单不便于管理层</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从整体上掌握销售合同的完整性，难以对销售收入的确认是否完整做出正确的判断及</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对未确认的销售作出估计与预期；合同是具有法律效力的协议文件，涉及到洽谈、草</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拟、签订、生效、变更、纠纷等各方面工作，没有专人负责可能导致合同的遗失及对</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重要事项的处理不当。</w:t>
      </w:r>
    </w:p>
    <w:p>
      <w:pPr>
        <w:spacing w:line="240" w:lineRule="auto" w:before="7"/>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建议</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21" w:firstLine="0"/>
        <w:jc w:val="left"/>
        <w:rPr>
          <w:rFonts w:ascii="黑体" w:hAnsi="黑体" w:cs="黑体" w:eastAsia="黑体" w:hint="default"/>
          <w:sz w:val="22"/>
          <w:szCs w:val="22"/>
        </w:rPr>
      </w:pPr>
      <w:r>
        <w:rPr>
          <w:rFonts w:ascii="黑体" w:hAnsi="黑体" w:cs="黑体" w:eastAsia="黑体" w:hint="default"/>
          <w:sz w:val="22"/>
          <w:szCs w:val="22"/>
        </w:rPr>
        <w:t>建议贵公司总部签订的销售合同连续编号，设置专人统一负责管理合同，按项目及时</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准确的登记记录，编制完整的合同清单。</w:t>
      </w:r>
    </w:p>
    <w:p>
      <w:pPr>
        <w:spacing w:line="240" w:lineRule="auto" w:before="8"/>
        <w:rPr>
          <w:rFonts w:ascii="黑体" w:hAnsi="黑体" w:cs="黑体" w:eastAsia="黑体" w:hint="default"/>
          <w:sz w:val="32"/>
          <w:szCs w:val="32"/>
        </w:rPr>
      </w:pPr>
    </w:p>
    <w:p>
      <w:pPr>
        <w:spacing w:before="0"/>
        <w:ind w:left="525" w:right="121"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管理层意见</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6"/>
          <w:szCs w:val="16"/>
        </w:rPr>
      </w:pPr>
    </w:p>
    <w:p>
      <w:pPr>
        <w:spacing w:line="333" w:lineRule="auto" w:before="31"/>
        <w:ind w:left="525" w:right="121" w:firstLine="0"/>
        <w:jc w:val="left"/>
        <w:rPr>
          <w:rFonts w:ascii="黑体" w:hAnsi="黑体" w:cs="黑体" w:eastAsia="黑体" w:hint="default"/>
          <w:sz w:val="22"/>
          <w:szCs w:val="22"/>
        </w:rPr>
      </w:pPr>
      <w:r>
        <w:rPr>
          <w:rFonts w:ascii="黑体" w:hAnsi="黑体" w:cs="黑体" w:eastAsia="黑体" w:hint="default"/>
          <w:sz w:val="22"/>
          <w:szCs w:val="22"/>
        </w:rPr>
        <w:t>我们接受建议，将要求公司总部专人管理合同，按项目准确登记，编制完整的合同清</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单。</w:t>
      </w:r>
    </w:p>
    <w:p>
      <w:pPr>
        <w:spacing w:after="0" w:line="333" w:lineRule="auto"/>
        <w:jc w:val="left"/>
        <w:rPr>
          <w:rFonts w:ascii="黑体" w:hAnsi="黑体" w:cs="黑体" w:eastAsia="黑体" w:hint="default"/>
          <w:sz w:val="22"/>
          <w:szCs w:val="22"/>
        </w:rPr>
        <w:sectPr>
          <w:headerReference w:type="default" r:id="rId93"/>
          <w:pgSz w:w="12240" w:h="15840"/>
          <w:pgMar w:header="1473" w:footer="755" w:top="1960" w:bottom="940" w:left="1700" w:right="170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15"/>
          <w:szCs w:val="15"/>
        </w:rPr>
      </w:pPr>
    </w:p>
    <w:p>
      <w:pPr>
        <w:spacing w:before="31"/>
        <w:ind w:left="526" w:right="107"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发现</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4" w:right="112" w:firstLine="1"/>
        <w:jc w:val="both"/>
        <w:rPr>
          <w:rFonts w:ascii="黑体" w:hAnsi="黑体" w:cs="黑体" w:eastAsia="黑体" w:hint="default"/>
          <w:sz w:val="22"/>
          <w:szCs w:val="22"/>
        </w:rPr>
      </w:pPr>
      <w:r>
        <w:rPr>
          <w:rFonts w:ascii="黑体" w:hAnsi="黑体" w:cs="黑体" w:eastAsia="黑体" w:hint="default"/>
          <w:sz w:val="22"/>
          <w:szCs w:val="22"/>
        </w:rPr>
        <w:t>贵公司之子公司北京用友政务软件有限公司（以下简称“用友政务”）及用友厦门烟</w:t>
      </w:r>
      <w:r>
        <w:rPr>
          <w:rFonts w:ascii="黑体" w:hAnsi="黑体" w:cs="黑体" w:eastAsia="黑体" w:hint="default"/>
          <w:spacing w:val="-54"/>
          <w:sz w:val="22"/>
          <w:szCs w:val="22"/>
        </w:rPr>
        <w:t> </w:t>
      </w:r>
      <w:r>
        <w:rPr>
          <w:rFonts w:ascii="黑体" w:hAnsi="黑体" w:cs="黑体" w:eastAsia="黑体" w:hint="default"/>
          <w:spacing w:val="-54"/>
          <w:sz w:val="22"/>
          <w:szCs w:val="22"/>
        </w:rPr>
      </w:r>
      <w:r>
        <w:rPr>
          <w:rFonts w:ascii="黑体" w:hAnsi="黑体" w:cs="黑体" w:eastAsia="黑体" w:hint="default"/>
          <w:sz w:val="22"/>
          <w:szCs w:val="22"/>
        </w:rPr>
        <w:t>草软件有限公司（以下简称“厦门烟草”）的部分合同缺少服务开始日期、结束日期</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pacing w:val="4"/>
          <w:sz w:val="22"/>
          <w:szCs w:val="22"/>
        </w:rPr>
        <w:t>或合同签订日期。截至到2010年2月份抽查到北京市财政局两份2009年维护合同仍然</w:t>
      </w:r>
      <w:r>
        <w:rPr>
          <w:rFonts w:ascii="黑体" w:hAnsi="黑体" w:cs="黑体" w:eastAsia="黑体" w:hint="default"/>
          <w:spacing w:val="-93"/>
          <w:sz w:val="22"/>
          <w:szCs w:val="22"/>
        </w:rPr>
        <w:t> </w:t>
      </w:r>
      <w:r>
        <w:rPr>
          <w:rFonts w:ascii="黑体" w:hAnsi="黑体" w:cs="黑体" w:eastAsia="黑体" w:hint="default"/>
          <w:spacing w:val="-93"/>
          <w:sz w:val="22"/>
          <w:szCs w:val="22"/>
        </w:rPr>
      </w:r>
      <w:r>
        <w:rPr>
          <w:rFonts w:ascii="黑体" w:hAnsi="黑体" w:cs="黑体" w:eastAsia="黑体" w:hint="default"/>
          <w:sz w:val="22"/>
          <w:szCs w:val="22"/>
        </w:rPr>
        <w:t>没有收回。</w:t>
      </w:r>
    </w:p>
    <w:p>
      <w:pPr>
        <w:spacing w:line="240" w:lineRule="auto" w:before="8"/>
        <w:rPr>
          <w:rFonts w:ascii="黑体" w:hAnsi="黑体" w:cs="黑体" w:eastAsia="黑体" w:hint="default"/>
          <w:sz w:val="32"/>
          <w:szCs w:val="32"/>
        </w:rPr>
      </w:pPr>
    </w:p>
    <w:p>
      <w:pPr>
        <w:spacing w:line="333" w:lineRule="auto" w:before="0"/>
        <w:ind w:left="525" w:right="115" w:hanging="2"/>
        <w:jc w:val="both"/>
        <w:rPr>
          <w:rFonts w:ascii="黑体" w:hAnsi="黑体" w:cs="黑体" w:eastAsia="黑体" w:hint="default"/>
          <w:sz w:val="22"/>
          <w:szCs w:val="22"/>
        </w:rPr>
      </w:pPr>
      <w:r>
        <w:rPr>
          <w:rFonts w:ascii="黑体" w:hAnsi="黑体" w:cs="黑体" w:eastAsia="黑体" w:hint="default"/>
          <w:sz w:val="22"/>
          <w:szCs w:val="22"/>
        </w:rPr>
        <w:t>贵公司之子公司用友政务于2008年度向北京市财政局提供运行维护服务，于2009年度</w:t>
      </w:r>
      <w:r>
        <w:rPr>
          <w:rFonts w:ascii="黑体" w:hAnsi="黑体" w:cs="黑体" w:eastAsia="黑体" w:hint="default"/>
          <w:spacing w:val="-52"/>
          <w:sz w:val="22"/>
          <w:szCs w:val="22"/>
        </w:rPr>
        <w:t> </w:t>
      </w:r>
      <w:r>
        <w:rPr>
          <w:rFonts w:ascii="黑体" w:hAnsi="黑体" w:cs="黑体" w:eastAsia="黑体" w:hint="default"/>
          <w:spacing w:val="-52"/>
          <w:sz w:val="22"/>
          <w:szCs w:val="22"/>
        </w:rPr>
      </w:r>
      <w:r>
        <w:rPr>
          <w:rFonts w:ascii="黑体" w:hAnsi="黑体" w:cs="黑体" w:eastAsia="黑体" w:hint="default"/>
          <w:sz w:val="22"/>
          <w:szCs w:val="22"/>
        </w:rPr>
        <w:t>签订相关维护合同，收取维护服务费，同时确认维护收入。</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问题及影响</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16" w:firstLine="0"/>
        <w:jc w:val="both"/>
        <w:rPr>
          <w:rFonts w:ascii="黑体" w:hAnsi="黑体" w:cs="黑体" w:eastAsia="黑体" w:hint="default"/>
          <w:sz w:val="22"/>
          <w:szCs w:val="22"/>
        </w:rPr>
      </w:pPr>
      <w:r>
        <w:rPr>
          <w:rFonts w:ascii="黑体" w:hAnsi="黑体" w:cs="黑体" w:eastAsia="黑体" w:hint="default"/>
          <w:sz w:val="22"/>
          <w:szCs w:val="22"/>
        </w:rPr>
        <w:t>针对维护服务，各时点的收入确认是以合同规定的服务时段直线法确认，合同相关日</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期的缺乏将可能影响收入无法在正确的期间确认；针对实施服务，大部分合同都规定</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pacing w:val="4"/>
          <w:sz w:val="22"/>
          <w:szCs w:val="22"/>
        </w:rPr>
        <w:t>了“甲方于本合同签订之日起x工作日内向乙方支付合同总价款的x%”，无合同签订</w:t>
      </w:r>
      <w:r>
        <w:rPr>
          <w:rFonts w:ascii="黑体" w:hAnsi="黑体" w:cs="黑体" w:eastAsia="黑体" w:hint="default"/>
          <w:spacing w:val="-93"/>
          <w:sz w:val="22"/>
          <w:szCs w:val="22"/>
        </w:rPr>
        <w:t> </w:t>
      </w:r>
      <w:r>
        <w:rPr>
          <w:rFonts w:ascii="黑体" w:hAnsi="黑体" w:cs="黑体" w:eastAsia="黑体" w:hint="default"/>
          <w:spacing w:val="-93"/>
          <w:sz w:val="22"/>
          <w:szCs w:val="22"/>
        </w:rPr>
      </w:r>
      <w:r>
        <w:rPr>
          <w:rFonts w:ascii="黑体" w:hAnsi="黑体" w:cs="黑体" w:eastAsia="黑体" w:hint="default"/>
          <w:sz w:val="22"/>
          <w:szCs w:val="22"/>
        </w:rPr>
        <w:t>日期，该笔账款收取缺乏依据。</w:t>
      </w:r>
    </w:p>
    <w:p>
      <w:pPr>
        <w:spacing w:line="240" w:lineRule="auto" w:before="7"/>
        <w:rPr>
          <w:rFonts w:ascii="黑体" w:hAnsi="黑体" w:cs="黑体" w:eastAsia="黑体" w:hint="default"/>
          <w:sz w:val="32"/>
          <w:szCs w:val="32"/>
        </w:rPr>
      </w:pPr>
    </w:p>
    <w:p>
      <w:pPr>
        <w:spacing w:line="333" w:lineRule="auto" w:before="0"/>
        <w:ind w:left="525" w:right="116" w:firstLine="0"/>
        <w:jc w:val="both"/>
        <w:rPr>
          <w:rFonts w:ascii="黑体" w:hAnsi="黑体" w:cs="黑体" w:eastAsia="黑体" w:hint="default"/>
          <w:sz w:val="22"/>
          <w:szCs w:val="22"/>
        </w:rPr>
      </w:pPr>
      <w:r>
        <w:rPr>
          <w:rFonts w:ascii="黑体" w:hAnsi="黑体" w:cs="黑体" w:eastAsia="黑体" w:hint="default"/>
          <w:spacing w:val="8"/>
          <w:sz w:val="22"/>
          <w:szCs w:val="22"/>
        </w:rPr>
        <w:t>合同不及时签订或者合同不及时从甲方取回，将直接影响维护收入的准确及时的确</w:t>
      </w:r>
      <w:r>
        <w:rPr>
          <w:rFonts w:ascii="黑体" w:hAnsi="黑体" w:cs="黑体" w:eastAsia="黑体" w:hint="default"/>
          <w:w w:val="99"/>
          <w:sz w:val="22"/>
          <w:szCs w:val="22"/>
        </w:rPr>
        <w:t> </w:t>
      </w:r>
      <w:r>
        <w:rPr>
          <w:rFonts w:ascii="黑体" w:hAnsi="黑体" w:cs="黑体" w:eastAsia="黑体" w:hint="default"/>
          <w:sz w:val="22"/>
          <w:szCs w:val="22"/>
        </w:rPr>
        <w:t>认，不能及时按照提供的服务数量确认收入，对日常业绩的统计数据的准确性造成影</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响，不利于管理层及时了解维护收入情况，报表使用者亦不能准确获取收入的相关信</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息。并且合同是项目收款的重要依据，合同缺失将给贵公司未来收款带来困难，无法</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及时收回服务款项，直接影响贵公司的经营业绩及现金流。服务提供与日常收入确认</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不在同一期间将面临年末结账时一次性调整的问题，增加财务部门年末结账的工作量</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和人工成本的支出。</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建议</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before="31"/>
        <w:ind w:left="525" w:right="107" w:firstLine="0"/>
        <w:jc w:val="left"/>
        <w:rPr>
          <w:rFonts w:ascii="黑体" w:hAnsi="黑体" w:cs="黑体" w:eastAsia="黑体" w:hint="default"/>
          <w:sz w:val="22"/>
          <w:szCs w:val="22"/>
        </w:rPr>
      </w:pPr>
      <w:r>
        <w:rPr>
          <w:rFonts w:ascii="黑体" w:hAnsi="黑体" w:cs="黑体" w:eastAsia="黑体" w:hint="default"/>
          <w:sz w:val="22"/>
          <w:szCs w:val="22"/>
        </w:rPr>
        <w:t>建议签订合同时完善合同日期，及时收回并妥善保管全部合同。</w:t>
      </w:r>
    </w:p>
    <w:p>
      <w:pPr>
        <w:spacing w:after="0"/>
        <w:jc w:val="left"/>
        <w:rPr>
          <w:rFonts w:ascii="黑体" w:hAnsi="黑体" w:cs="黑体" w:eastAsia="黑体" w:hint="default"/>
          <w:sz w:val="22"/>
          <w:szCs w:val="22"/>
        </w:rPr>
        <w:sectPr>
          <w:headerReference w:type="default" r:id="rId94"/>
          <w:pgSz w:w="12240" w:h="15840"/>
          <w:pgMar w:header="1473" w:footer="755" w:top="1960" w:bottom="940" w:left="1700" w:right="1680"/>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16"/>
          <w:szCs w:val="16"/>
        </w:rPr>
      </w:pPr>
    </w:p>
    <w:p>
      <w:pPr>
        <w:spacing w:before="0"/>
        <w:ind w:left="526" w:right="121"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管理层意见</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6"/>
          <w:szCs w:val="16"/>
        </w:rPr>
      </w:pPr>
    </w:p>
    <w:p>
      <w:pPr>
        <w:spacing w:line="333" w:lineRule="auto" w:before="31"/>
        <w:ind w:left="525" w:right="121" w:firstLine="0"/>
        <w:jc w:val="left"/>
        <w:rPr>
          <w:rFonts w:ascii="黑体" w:hAnsi="黑体" w:cs="黑体" w:eastAsia="黑体" w:hint="default"/>
          <w:sz w:val="22"/>
          <w:szCs w:val="22"/>
        </w:rPr>
      </w:pPr>
      <w:r>
        <w:rPr>
          <w:rFonts w:ascii="黑体" w:hAnsi="黑体" w:cs="黑体" w:eastAsia="黑体" w:hint="default"/>
          <w:sz w:val="22"/>
          <w:szCs w:val="22"/>
        </w:rPr>
        <w:t>我们接受建议，将要求用友政务、厦门烟草公司签订合同时完善合同日期，及时收回</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并妥善保管全部合同。</w:t>
      </w:r>
    </w:p>
    <w:p>
      <w:pPr>
        <w:spacing w:after="0" w:line="333" w:lineRule="auto"/>
        <w:jc w:val="left"/>
        <w:rPr>
          <w:rFonts w:ascii="黑体" w:hAnsi="黑体" w:cs="黑体" w:eastAsia="黑体" w:hint="default"/>
          <w:sz w:val="22"/>
          <w:szCs w:val="22"/>
        </w:rPr>
        <w:sectPr>
          <w:headerReference w:type="default" r:id="rId95"/>
          <w:pgSz w:w="12240" w:h="15840"/>
          <w:pgMar w:header="1473" w:footer="755" w:top="1960" w:bottom="940" w:left="1700" w:right="170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15"/>
          <w:szCs w:val="15"/>
        </w:rPr>
      </w:pPr>
    </w:p>
    <w:p>
      <w:pPr>
        <w:spacing w:before="31"/>
        <w:ind w:left="526" w:right="121"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发现</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99" w:firstLine="0"/>
        <w:jc w:val="both"/>
        <w:rPr>
          <w:rFonts w:ascii="黑体" w:hAnsi="黑体" w:cs="黑体" w:eastAsia="黑体" w:hint="default"/>
          <w:sz w:val="22"/>
          <w:szCs w:val="22"/>
        </w:rPr>
      </w:pPr>
      <w:r>
        <w:rPr>
          <w:rFonts w:ascii="黑体" w:hAnsi="黑体" w:cs="黑体" w:eastAsia="黑体" w:hint="default"/>
          <w:sz w:val="22"/>
          <w:szCs w:val="22"/>
        </w:rPr>
        <w:t>贵集团部分软件实施项目的进度报告不能按照每个项目的里程碑阶段及时获取，进度</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报告中的签字盖章不规范；部分实施日志记录不详细，无法从中获取明确的里程碑阶</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段；部分项目只有实施计划，没有明确的进度及验收报告。</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问题及影响</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6"/>
          <w:szCs w:val="16"/>
        </w:rPr>
      </w:pPr>
    </w:p>
    <w:p>
      <w:pPr>
        <w:spacing w:line="333" w:lineRule="auto" w:before="31"/>
        <w:ind w:left="525" w:right="99" w:firstLine="0"/>
        <w:jc w:val="both"/>
        <w:rPr>
          <w:rFonts w:ascii="黑体" w:hAnsi="黑体" w:cs="黑体" w:eastAsia="黑体" w:hint="default"/>
          <w:sz w:val="22"/>
          <w:szCs w:val="22"/>
        </w:rPr>
      </w:pPr>
      <w:r>
        <w:rPr>
          <w:rFonts w:ascii="黑体" w:hAnsi="黑体" w:cs="黑体" w:eastAsia="黑体" w:hint="default"/>
          <w:sz w:val="22"/>
          <w:szCs w:val="22"/>
        </w:rPr>
        <w:t>虽然业务部门会在年末结账时会配合财务部门会计处理上的需要，从外部单位获取相</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关的进度报告或其他支持性文件，以保证收入确认的合理准确。但是日常工作中，实</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施进度报告管理不完善，不利于管理层及时掌握及正确评估项目的实施情况，会增加</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公司对项目控制的难度。同时这一问题也影响财务上对收入确认及时准确的处理，导</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致管理层无法对当期经营成果以及预期作出正确判断，报表使用者亦不能及时准确获</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取公司的相关财务信息。进度报告是客户对相关服务认可的证明，不及时收取也会增</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加贵集团项目收款难度。且年末结账时一次性收集补充相关的进度报告或其他支持性</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文件，增加业务部门和财务部门年末结账的工作量和人工成本的支出。</w:t>
      </w:r>
    </w:p>
    <w:p>
      <w:pPr>
        <w:spacing w:line="240" w:lineRule="auto" w:before="7"/>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建议</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99" w:firstLine="0"/>
        <w:jc w:val="both"/>
        <w:rPr>
          <w:rFonts w:ascii="黑体" w:hAnsi="黑体" w:cs="黑体" w:eastAsia="黑体" w:hint="default"/>
          <w:sz w:val="22"/>
          <w:szCs w:val="22"/>
        </w:rPr>
      </w:pPr>
      <w:r>
        <w:rPr>
          <w:rFonts w:ascii="黑体" w:hAnsi="黑体" w:cs="黑体" w:eastAsia="黑体" w:hint="default"/>
          <w:sz w:val="22"/>
          <w:szCs w:val="22"/>
        </w:rPr>
        <w:t>建议贵集团完善实施进度报告管理体系，统一实施进度报告标准，项目进行到里程碑</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阶段及时获取相应的进度报告，加强实施日志的管理，便于管理层从整体上控制统筹</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项目进度和对当期经营成果的及时准确的了解把握及对未来经营预期的正确判断。</w:t>
      </w:r>
    </w:p>
    <w:p>
      <w:pPr>
        <w:spacing w:line="240" w:lineRule="auto" w:before="7"/>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管理层意见</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6"/>
          <w:szCs w:val="16"/>
        </w:rPr>
      </w:pPr>
    </w:p>
    <w:p>
      <w:pPr>
        <w:spacing w:line="333" w:lineRule="auto" w:before="31"/>
        <w:ind w:left="525" w:right="121" w:firstLine="0"/>
        <w:jc w:val="left"/>
        <w:rPr>
          <w:rFonts w:ascii="黑体" w:hAnsi="黑体" w:cs="黑体" w:eastAsia="黑体" w:hint="default"/>
          <w:sz w:val="22"/>
          <w:szCs w:val="22"/>
        </w:rPr>
      </w:pPr>
      <w:r>
        <w:rPr>
          <w:rFonts w:ascii="黑体" w:hAnsi="黑体" w:cs="黑体" w:eastAsia="黑体" w:hint="default"/>
          <w:sz w:val="22"/>
          <w:szCs w:val="22"/>
        </w:rPr>
        <w:t>我们接受建议，将完善实施进度报告管理体系，统一实施进度报告标准，项目进行到</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里程碑阶段及时获取相应的进度报告，加强实施日志的管理。</w:t>
      </w:r>
    </w:p>
    <w:p>
      <w:pPr>
        <w:spacing w:after="0" w:line="333" w:lineRule="auto"/>
        <w:jc w:val="left"/>
        <w:rPr>
          <w:rFonts w:ascii="黑体" w:hAnsi="黑体" w:cs="黑体" w:eastAsia="黑体" w:hint="default"/>
          <w:sz w:val="22"/>
          <w:szCs w:val="22"/>
        </w:rPr>
        <w:sectPr>
          <w:headerReference w:type="default" r:id="rId96"/>
          <w:pgSz w:w="12240" w:h="15840"/>
          <w:pgMar w:header="1473" w:footer="755" w:top="1960" w:bottom="940" w:left="1700" w:right="170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15"/>
          <w:szCs w:val="15"/>
        </w:rPr>
      </w:pPr>
    </w:p>
    <w:p>
      <w:pPr>
        <w:spacing w:before="31"/>
        <w:ind w:left="526" w:right="121"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发现</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99" w:firstLine="0"/>
        <w:jc w:val="both"/>
        <w:rPr>
          <w:rFonts w:ascii="黑体" w:hAnsi="黑体" w:cs="黑体" w:eastAsia="黑体" w:hint="default"/>
          <w:sz w:val="22"/>
          <w:szCs w:val="22"/>
        </w:rPr>
      </w:pPr>
      <w:r>
        <w:rPr>
          <w:rFonts w:ascii="黑体" w:hAnsi="黑体" w:cs="黑体" w:eastAsia="黑体" w:hint="default"/>
          <w:sz w:val="22"/>
          <w:szCs w:val="22"/>
        </w:rPr>
        <w:t>贵公司及各子公司部分软件发出给客户后，在日常管理中并未能及时记录销售收入以</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及应收账款，而是在实际收到款项时记入预收账款科目，待给客户开具发票后才转至</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收入。且该部分款项涉及的客户均为大客户，合同金额较大。</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问题及影响</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6"/>
          <w:szCs w:val="16"/>
        </w:rPr>
      </w:pPr>
    </w:p>
    <w:p>
      <w:pPr>
        <w:spacing w:line="333" w:lineRule="auto" w:before="31"/>
        <w:ind w:left="525" w:right="99" w:firstLine="0"/>
        <w:jc w:val="both"/>
        <w:rPr>
          <w:rFonts w:ascii="黑体" w:hAnsi="黑体" w:cs="黑体" w:eastAsia="黑体" w:hint="default"/>
          <w:sz w:val="22"/>
          <w:szCs w:val="22"/>
        </w:rPr>
      </w:pPr>
      <w:r>
        <w:rPr>
          <w:rFonts w:ascii="黑体" w:hAnsi="黑体" w:cs="黑体" w:eastAsia="黑体" w:hint="default"/>
          <w:sz w:val="22"/>
          <w:szCs w:val="22"/>
        </w:rPr>
        <w:t>按照会计准则的规定，企业在发出软件的同时就要进行软件销售收入的确认。虽然贵</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集团在年末结帐时，会对发出商品确认销售收入，并调整应收账款和预收账款等有关</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会计科目。但是贵集团在日常的帐务处理中不以发出软件确认收入，而是以给客户开</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具发票的时点确认收入。这样的收入确认方法对日常业绩的统计数据的准确性造成一</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定影响，也不利于管理层随时了解公司的实际销售情况。另外，未将销售收入以及应</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收账款及时在财务记录中体现，对划分应收账款的账龄，考虑应收账款的可收回性均</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产生一定的影响。由于已收款项记录于预收账款，可能导致在季度末或者年底进行收</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入调整时未能及时将已确认销售收入对应的应收账款与预收账款的余额抵消，使应收</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账款及预收账款的余额不能在报表中准确体现。</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建议</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6"/>
          <w:szCs w:val="16"/>
        </w:rPr>
      </w:pPr>
    </w:p>
    <w:p>
      <w:pPr>
        <w:spacing w:line="333" w:lineRule="auto" w:before="31"/>
        <w:ind w:left="525" w:right="99" w:firstLine="0"/>
        <w:jc w:val="both"/>
        <w:rPr>
          <w:rFonts w:ascii="黑体" w:hAnsi="黑体" w:cs="黑体" w:eastAsia="黑体" w:hint="default"/>
          <w:sz w:val="22"/>
          <w:szCs w:val="22"/>
        </w:rPr>
      </w:pPr>
      <w:r>
        <w:rPr>
          <w:rFonts w:ascii="黑体" w:hAnsi="黑体" w:cs="黑体" w:eastAsia="黑体" w:hint="default"/>
          <w:sz w:val="22"/>
          <w:szCs w:val="22"/>
        </w:rPr>
        <w:t>建议贵公司严格按照会计准则及会计政策的有关规定，在发出软件能够达到收入确认</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条件时即在账面予以确认，同时及时将应收账款与预收账款科目中所对应的客户名称</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核对，确保应确认收入的已收款项不会挂账在预收账款余额中。</w:t>
      </w:r>
    </w:p>
    <w:p>
      <w:pPr>
        <w:spacing w:line="240" w:lineRule="auto" w:before="8"/>
        <w:rPr>
          <w:rFonts w:ascii="黑体" w:hAnsi="黑体" w:cs="黑体" w:eastAsia="黑体" w:hint="default"/>
          <w:sz w:val="32"/>
          <w:szCs w:val="32"/>
        </w:rPr>
      </w:pPr>
    </w:p>
    <w:p>
      <w:pPr>
        <w:spacing w:line="333" w:lineRule="auto" w:before="0"/>
        <w:ind w:left="525" w:right="121" w:hanging="6"/>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管理层意见</w:t>
      </w:r>
      <w:r>
        <w:rPr>
          <w:rFonts w:ascii="黑体" w:hAnsi="黑体" w:cs="黑体" w:eastAsia="黑体" w:hint="default"/>
          <w:w w:val="99"/>
          <w:sz w:val="22"/>
          <w:szCs w:val="22"/>
        </w:rPr>
      </w:r>
      <w:r>
        <w:rPr>
          <w:rFonts w:ascii="黑体" w:hAnsi="黑体" w:cs="黑体" w:eastAsia="黑体" w:hint="default"/>
          <w:w w:val="99"/>
          <w:sz w:val="22"/>
          <w:szCs w:val="22"/>
        </w:rPr>
        <w:t> </w:t>
      </w:r>
      <w:r>
        <w:rPr>
          <w:rFonts w:ascii="黑体" w:hAnsi="黑体" w:cs="黑体" w:eastAsia="黑体" w:hint="default"/>
          <w:sz w:val="22"/>
          <w:szCs w:val="22"/>
        </w:rPr>
        <w:t>由于税务机关对纳税收入有明确要求，现账面确实未记录达到收入确认条件的发出软</w:t>
      </w:r>
      <w:r>
        <w:rPr>
          <w:rFonts w:ascii="黑体" w:hAnsi="黑体" w:cs="黑体" w:eastAsia="黑体" w:hint="default"/>
          <w:spacing w:val="-59"/>
          <w:sz w:val="22"/>
          <w:szCs w:val="22"/>
        </w:rPr>
        <w:t> </w:t>
      </w:r>
      <w:r>
        <w:rPr>
          <w:rFonts w:ascii="黑体" w:hAnsi="黑体" w:cs="黑体" w:eastAsia="黑体" w:hint="default"/>
          <w:spacing w:val="-59"/>
          <w:sz w:val="22"/>
          <w:szCs w:val="22"/>
        </w:rPr>
      </w:r>
      <w:r>
        <w:rPr>
          <w:rFonts w:ascii="黑体" w:hAnsi="黑体" w:cs="黑体" w:eastAsia="黑体" w:hint="default"/>
          <w:sz w:val="22"/>
          <w:szCs w:val="22"/>
        </w:rPr>
        <w:t>件。我们已与销售管理部、信息技术部多次开会讨论，并已初步建立起新销售管理系</w:t>
      </w:r>
      <w:r>
        <w:rPr>
          <w:rFonts w:ascii="黑体" w:hAnsi="黑体" w:cs="黑体" w:eastAsia="黑体" w:hint="default"/>
          <w:spacing w:val="-59"/>
          <w:sz w:val="22"/>
          <w:szCs w:val="22"/>
        </w:rPr>
        <w:t> </w:t>
      </w:r>
      <w:r>
        <w:rPr>
          <w:rFonts w:ascii="黑体" w:hAnsi="黑体" w:cs="黑体" w:eastAsia="黑体" w:hint="default"/>
          <w:spacing w:val="-59"/>
          <w:sz w:val="22"/>
          <w:szCs w:val="22"/>
        </w:rPr>
      </w:r>
      <w:r>
        <w:rPr>
          <w:rFonts w:ascii="黑体" w:hAnsi="黑体" w:cs="黑体" w:eastAsia="黑体" w:hint="default"/>
          <w:sz w:val="22"/>
          <w:szCs w:val="22"/>
        </w:rPr>
        <w:t>统，我们将继续完善新销售管理系统，争取在此系统中能准确记录发出软件及对应的</w:t>
      </w:r>
      <w:r>
        <w:rPr>
          <w:rFonts w:ascii="黑体" w:hAnsi="黑体" w:cs="黑体" w:eastAsia="黑体" w:hint="default"/>
          <w:spacing w:val="-59"/>
          <w:sz w:val="22"/>
          <w:szCs w:val="22"/>
        </w:rPr>
        <w:t> </w:t>
      </w:r>
      <w:r>
        <w:rPr>
          <w:rFonts w:ascii="黑体" w:hAnsi="黑体" w:cs="黑体" w:eastAsia="黑体" w:hint="default"/>
          <w:spacing w:val="-59"/>
          <w:sz w:val="22"/>
          <w:szCs w:val="22"/>
        </w:rPr>
      </w:r>
      <w:r>
        <w:rPr>
          <w:rFonts w:ascii="黑体" w:hAnsi="黑体" w:cs="黑体" w:eastAsia="黑体" w:hint="default"/>
          <w:sz w:val="22"/>
          <w:szCs w:val="22"/>
        </w:rPr>
        <w:t>预收账款、应收账款。</w:t>
      </w:r>
    </w:p>
    <w:p>
      <w:pPr>
        <w:spacing w:after="0" w:line="333" w:lineRule="auto"/>
        <w:jc w:val="left"/>
        <w:rPr>
          <w:rFonts w:ascii="黑体" w:hAnsi="黑体" w:cs="黑体" w:eastAsia="黑体" w:hint="default"/>
          <w:sz w:val="22"/>
          <w:szCs w:val="22"/>
        </w:rPr>
        <w:sectPr>
          <w:headerReference w:type="default" r:id="rId97"/>
          <w:pgSz w:w="12240" w:h="15840"/>
          <w:pgMar w:header="1753" w:footer="755" w:top="1960" w:bottom="940" w:left="1700" w:right="170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15"/>
          <w:szCs w:val="15"/>
        </w:rPr>
      </w:pPr>
    </w:p>
    <w:p>
      <w:pPr>
        <w:spacing w:before="31"/>
        <w:ind w:left="526" w:right="107"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发现</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07" w:firstLine="0"/>
        <w:jc w:val="left"/>
        <w:rPr>
          <w:rFonts w:ascii="黑体" w:hAnsi="黑体" w:cs="黑体" w:eastAsia="黑体" w:hint="default"/>
          <w:sz w:val="22"/>
          <w:szCs w:val="22"/>
        </w:rPr>
      </w:pPr>
      <w:r>
        <w:rPr>
          <w:rFonts w:ascii="黑体" w:hAnsi="黑体" w:cs="黑体" w:eastAsia="黑体" w:hint="default"/>
          <w:spacing w:val="8"/>
          <w:sz w:val="22"/>
          <w:szCs w:val="22"/>
        </w:rPr>
        <w:t>贵公司总部在年底将尚未发货但已收款且预期年后马上就发货的部分于年前确认收</w:t>
      </w:r>
      <w:r>
        <w:rPr>
          <w:rFonts w:ascii="黑体" w:hAnsi="黑体" w:cs="黑体" w:eastAsia="黑体" w:hint="default"/>
          <w:w w:val="99"/>
          <w:sz w:val="22"/>
          <w:szCs w:val="22"/>
        </w:rPr>
        <w:t> </w:t>
      </w:r>
      <w:r>
        <w:rPr>
          <w:rFonts w:ascii="黑体" w:hAnsi="黑体" w:cs="黑体" w:eastAsia="黑体" w:hint="default"/>
          <w:sz w:val="22"/>
          <w:szCs w:val="22"/>
        </w:rPr>
        <w:t>入。</w:t>
      </w:r>
    </w:p>
    <w:p>
      <w:pPr>
        <w:spacing w:line="240" w:lineRule="auto" w:before="7"/>
        <w:rPr>
          <w:rFonts w:ascii="黑体" w:hAnsi="黑体" w:cs="黑体" w:eastAsia="黑体" w:hint="default"/>
          <w:sz w:val="32"/>
          <w:szCs w:val="32"/>
        </w:rPr>
      </w:pPr>
    </w:p>
    <w:p>
      <w:pPr>
        <w:spacing w:before="0"/>
        <w:ind w:left="525" w:right="107"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问题及影响</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19" w:firstLine="0"/>
        <w:jc w:val="both"/>
        <w:rPr>
          <w:rFonts w:ascii="黑体" w:hAnsi="黑体" w:cs="黑体" w:eastAsia="黑体" w:hint="default"/>
          <w:sz w:val="22"/>
          <w:szCs w:val="22"/>
        </w:rPr>
      </w:pPr>
      <w:r>
        <w:rPr>
          <w:rFonts w:ascii="黑体" w:hAnsi="黑体" w:cs="黑体" w:eastAsia="黑体" w:hint="default"/>
          <w:sz w:val="22"/>
          <w:szCs w:val="22"/>
        </w:rPr>
        <w:t>软件尚未发出主要风险报酬没有转移，主要控制管理权没有转移，不符合会计准则上</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规定的收入确认条件。虽然上述发现对财务报表的影响金额不重大，且财务部门已经</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在年末结帐时作出相应的调整，但是年底将尚未发货但已经收款部分提前确认收入，</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不符合会计准则的要求。从而不能真实反映贵公司总部的收入数据，不利于管理层及</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时了解全面的真实财务信息。</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建议</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07" w:firstLine="0"/>
        <w:jc w:val="left"/>
        <w:rPr>
          <w:rFonts w:ascii="黑体" w:hAnsi="黑体" w:cs="黑体" w:eastAsia="黑体" w:hint="default"/>
          <w:sz w:val="22"/>
          <w:szCs w:val="22"/>
        </w:rPr>
      </w:pPr>
      <w:r>
        <w:rPr>
          <w:rFonts w:ascii="黑体" w:hAnsi="黑体" w:cs="黑体" w:eastAsia="黑体" w:hint="default"/>
          <w:sz w:val="22"/>
          <w:szCs w:val="22"/>
        </w:rPr>
        <w:t>建议贵公司根据会计准则在产品出库之后确认收入，提前收取的款项计入预收账款科</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目下。</w:t>
      </w:r>
    </w:p>
    <w:p>
      <w:pPr>
        <w:spacing w:line="240" w:lineRule="auto" w:before="8"/>
        <w:rPr>
          <w:rFonts w:ascii="黑体" w:hAnsi="黑体" w:cs="黑体" w:eastAsia="黑体" w:hint="default"/>
          <w:sz w:val="32"/>
          <w:szCs w:val="32"/>
        </w:rPr>
      </w:pPr>
    </w:p>
    <w:p>
      <w:pPr>
        <w:spacing w:before="0"/>
        <w:ind w:left="525" w:right="107"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管理层意见</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6"/>
          <w:szCs w:val="16"/>
        </w:rPr>
      </w:pPr>
    </w:p>
    <w:p>
      <w:pPr>
        <w:spacing w:line="333" w:lineRule="auto" w:before="31"/>
        <w:ind w:left="525" w:right="107" w:firstLine="0"/>
        <w:jc w:val="left"/>
        <w:rPr>
          <w:rFonts w:ascii="黑体" w:hAnsi="黑体" w:cs="黑体" w:eastAsia="黑体" w:hint="default"/>
          <w:sz w:val="22"/>
          <w:szCs w:val="22"/>
        </w:rPr>
      </w:pPr>
      <w:r>
        <w:rPr>
          <w:rFonts w:ascii="黑体" w:hAnsi="黑体" w:cs="黑体" w:eastAsia="黑体" w:hint="default"/>
          <w:sz w:val="22"/>
          <w:szCs w:val="22"/>
        </w:rPr>
        <w:t>由于税务机关对纳税收入有明确要求，我们将继续完善新销售管理系统，争取在此系</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统中能准确记录代出软件及对应的预收账款、应收账款。</w:t>
      </w:r>
    </w:p>
    <w:p>
      <w:pPr>
        <w:spacing w:after="0" w:line="333" w:lineRule="auto"/>
        <w:jc w:val="left"/>
        <w:rPr>
          <w:rFonts w:ascii="黑体" w:hAnsi="黑体" w:cs="黑体" w:eastAsia="黑体" w:hint="default"/>
          <w:sz w:val="22"/>
          <w:szCs w:val="22"/>
        </w:rPr>
        <w:sectPr>
          <w:headerReference w:type="default" r:id="rId98"/>
          <w:pgSz w:w="12240" w:h="15840"/>
          <w:pgMar w:header="1753" w:footer="755" w:top="1960" w:bottom="940" w:left="1700" w:right="16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15"/>
          <w:szCs w:val="15"/>
        </w:rPr>
      </w:pPr>
    </w:p>
    <w:p>
      <w:pPr>
        <w:spacing w:before="31"/>
        <w:ind w:left="526" w:right="107"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发现</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19" w:firstLine="0"/>
        <w:jc w:val="both"/>
        <w:rPr>
          <w:rFonts w:ascii="黑体" w:hAnsi="黑体" w:cs="黑体" w:eastAsia="黑体" w:hint="default"/>
          <w:sz w:val="22"/>
          <w:szCs w:val="22"/>
        </w:rPr>
      </w:pPr>
      <w:r>
        <w:rPr>
          <w:rFonts w:ascii="黑体" w:hAnsi="黑体" w:cs="黑体" w:eastAsia="黑体" w:hint="default"/>
          <w:sz w:val="22"/>
          <w:szCs w:val="22"/>
        </w:rPr>
        <w:t>贵公司总部对于政府补助项目的费用支出没有设立专门的明细科目进行核算。公司内</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负责与政府部门联络的工作人员收到部分项目拨付经费的相关文件后未及时提供给财</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务部门的工作人员，导致会计处理不及时。另外，部分专项应付款的帐务处理不符合</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会计准则的规定，不管项目是否结项，财务部门都在年末的时候将专项应付款一并转</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入营业外收入。</w:t>
      </w:r>
    </w:p>
    <w:p>
      <w:pPr>
        <w:spacing w:line="240" w:lineRule="auto" w:before="7"/>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问题及影响</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16" w:firstLine="0"/>
        <w:jc w:val="both"/>
        <w:rPr>
          <w:rFonts w:ascii="黑体" w:hAnsi="黑体" w:cs="黑体" w:eastAsia="黑体" w:hint="default"/>
          <w:sz w:val="22"/>
          <w:szCs w:val="22"/>
        </w:rPr>
      </w:pPr>
      <w:r>
        <w:rPr>
          <w:rFonts w:ascii="黑体" w:hAnsi="黑体" w:cs="黑体" w:eastAsia="黑体" w:hint="default"/>
          <w:sz w:val="22"/>
          <w:szCs w:val="22"/>
        </w:rPr>
        <w:t>对于政府资助资金的支出没有设立专门的明细科目核算，可能导致公司难以在日常核</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算中准确统计在国家批准的研发项目中的实际开支，在项目结项时不利于相关政府部</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pacing w:val="8"/>
          <w:sz w:val="22"/>
          <w:szCs w:val="22"/>
        </w:rPr>
        <w:t>门进行验收工作，因此存在由于项目不能顺利验收而被国家收回已拨付的资金的风</w:t>
      </w:r>
      <w:r>
        <w:rPr>
          <w:rFonts w:ascii="黑体" w:hAnsi="黑体" w:cs="黑体" w:eastAsia="黑体" w:hint="default"/>
          <w:w w:val="99"/>
          <w:sz w:val="22"/>
          <w:szCs w:val="22"/>
        </w:rPr>
        <w:t> </w:t>
      </w:r>
      <w:r>
        <w:rPr>
          <w:rFonts w:ascii="黑体" w:hAnsi="黑体" w:cs="黑体" w:eastAsia="黑体" w:hint="default"/>
          <w:sz w:val="22"/>
          <w:szCs w:val="22"/>
        </w:rPr>
        <w:t>险；公司内部有关部门沟通不足会导致帐务处理不及时或出现错误，如当款项拨付的</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时候不能正确判断其入账科目以及在项目结项验收后及时将其拨付资金转入营业外收</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pacing w:val="8"/>
          <w:sz w:val="22"/>
          <w:szCs w:val="22"/>
        </w:rPr>
        <w:t>入；虽然财务部门在年末结账时已对入帐错误的专项应付款及营业外收入进行了调</w:t>
      </w:r>
      <w:r>
        <w:rPr>
          <w:rFonts w:ascii="黑体" w:hAnsi="黑体" w:cs="黑体" w:eastAsia="黑体" w:hint="default"/>
          <w:w w:val="99"/>
          <w:sz w:val="22"/>
          <w:szCs w:val="22"/>
        </w:rPr>
        <w:t> </w:t>
      </w:r>
      <w:r>
        <w:rPr>
          <w:rFonts w:ascii="黑体" w:hAnsi="黑体" w:cs="黑体" w:eastAsia="黑体" w:hint="default"/>
          <w:sz w:val="22"/>
          <w:szCs w:val="22"/>
        </w:rPr>
        <w:t>整，但是贵公司总部对专项应付款的帐务处理的不恰当，会导致收入的确认时点不正</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确，影响管理层对公司经营状况的正确把握及分析。</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建议</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19" w:firstLine="0"/>
        <w:jc w:val="both"/>
        <w:rPr>
          <w:rFonts w:ascii="黑体" w:hAnsi="黑体" w:cs="黑体" w:eastAsia="黑体" w:hint="default"/>
          <w:sz w:val="22"/>
          <w:szCs w:val="22"/>
        </w:rPr>
      </w:pPr>
      <w:r>
        <w:rPr>
          <w:rFonts w:ascii="黑体" w:hAnsi="黑体" w:cs="黑体" w:eastAsia="黑体" w:hint="default"/>
          <w:sz w:val="22"/>
          <w:szCs w:val="22"/>
        </w:rPr>
        <w:t>建议贵集团总部的政府部门在收到政府拨款的批文时复印一份交给财务部门并同时设</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置专人统一保存管理，对于每个项目的进程相关费用支出要做好详细的登记记录并与</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财务部门及时沟通。建议总部对政府补助按照政府文件和会计准则的要求作出及时准</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确的账务处理。</w:t>
      </w:r>
    </w:p>
    <w:p>
      <w:pPr>
        <w:spacing w:line="240" w:lineRule="auto" w:before="7"/>
        <w:rPr>
          <w:rFonts w:ascii="黑体" w:hAnsi="黑体" w:cs="黑体" w:eastAsia="黑体" w:hint="default"/>
          <w:sz w:val="32"/>
          <w:szCs w:val="32"/>
        </w:rPr>
      </w:pPr>
    </w:p>
    <w:p>
      <w:pPr>
        <w:spacing w:line="333" w:lineRule="auto" w:before="0"/>
        <w:ind w:left="525" w:right="107"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管理层意见</w:t>
      </w:r>
      <w:r>
        <w:rPr>
          <w:rFonts w:ascii="黑体" w:hAnsi="黑体" w:cs="黑体" w:eastAsia="黑体" w:hint="default"/>
          <w:w w:val="99"/>
          <w:sz w:val="22"/>
          <w:szCs w:val="22"/>
        </w:rPr>
      </w:r>
      <w:r>
        <w:rPr>
          <w:rFonts w:ascii="黑体" w:hAnsi="黑体" w:cs="黑体" w:eastAsia="黑体" w:hint="default"/>
          <w:w w:val="99"/>
          <w:sz w:val="22"/>
          <w:szCs w:val="22"/>
        </w:rPr>
        <w:t> </w:t>
      </w:r>
      <w:r>
        <w:rPr>
          <w:rFonts w:ascii="黑体" w:hAnsi="黑体" w:cs="黑体" w:eastAsia="黑体" w:hint="default"/>
          <w:sz w:val="22"/>
          <w:szCs w:val="22"/>
        </w:rPr>
        <w:t>我们接受建议，将安排财务部门专人保存管理政府拨款的批文复印件，与业务部门商</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讨如何提高政府拨款财务核算的准确性和及时性。</w:t>
      </w:r>
    </w:p>
    <w:p>
      <w:pPr>
        <w:spacing w:after="0" w:line="333" w:lineRule="auto"/>
        <w:jc w:val="left"/>
        <w:rPr>
          <w:rFonts w:ascii="黑体" w:hAnsi="黑体" w:cs="黑体" w:eastAsia="黑体" w:hint="default"/>
          <w:sz w:val="22"/>
          <w:szCs w:val="22"/>
        </w:rPr>
        <w:sectPr>
          <w:headerReference w:type="default" r:id="rId99"/>
          <w:pgSz w:w="12240" w:h="15840"/>
          <w:pgMar w:header="1753" w:footer="755" w:top="1960" w:bottom="940" w:left="1700" w:right="16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5"/>
          <w:szCs w:val="15"/>
        </w:rPr>
      </w:pPr>
    </w:p>
    <w:p>
      <w:pPr>
        <w:spacing w:before="0"/>
        <w:ind w:left="534" w:right="107"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发现</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6" w:right="119" w:firstLine="0"/>
        <w:jc w:val="both"/>
        <w:rPr>
          <w:rFonts w:ascii="黑体" w:hAnsi="黑体" w:cs="黑体" w:eastAsia="黑体" w:hint="default"/>
          <w:sz w:val="22"/>
          <w:szCs w:val="22"/>
        </w:rPr>
      </w:pPr>
      <w:r>
        <w:rPr>
          <w:rFonts w:ascii="黑体" w:hAnsi="黑体" w:cs="黑体" w:eastAsia="黑体" w:hint="default"/>
          <w:sz w:val="22"/>
          <w:szCs w:val="22"/>
        </w:rPr>
        <w:t>贵集团各分子公司大部分是销售贵公司公司总部开发的软件，自身并无生产或自集团</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外的采购。由于大部分的分子公司自建立以来都是亏损状态，因此无需计提缴纳任何</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所得税。</w:t>
      </w:r>
    </w:p>
    <w:p>
      <w:pPr>
        <w:spacing w:line="240" w:lineRule="auto" w:before="8"/>
        <w:rPr>
          <w:rFonts w:ascii="黑体" w:hAnsi="黑体" w:cs="黑体" w:eastAsia="黑体" w:hint="default"/>
          <w:sz w:val="32"/>
          <w:szCs w:val="32"/>
        </w:rPr>
      </w:pPr>
    </w:p>
    <w:p>
      <w:pPr>
        <w:spacing w:before="0"/>
        <w:ind w:left="534"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问题及影响</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6"/>
          <w:szCs w:val="16"/>
        </w:rPr>
      </w:pPr>
    </w:p>
    <w:p>
      <w:pPr>
        <w:spacing w:line="333" w:lineRule="auto" w:before="31"/>
        <w:ind w:left="526" w:right="116" w:firstLine="0"/>
        <w:jc w:val="both"/>
        <w:rPr>
          <w:rFonts w:ascii="黑体" w:hAnsi="黑体" w:cs="黑体" w:eastAsia="黑体" w:hint="default"/>
          <w:sz w:val="22"/>
          <w:szCs w:val="22"/>
        </w:rPr>
      </w:pPr>
      <w:r>
        <w:rPr>
          <w:rFonts w:ascii="黑体" w:hAnsi="黑体" w:cs="黑体" w:eastAsia="黑体" w:hint="default"/>
          <w:sz w:val="22"/>
          <w:szCs w:val="22"/>
        </w:rPr>
        <w:t>由于贵公司总部及之各子公司适用的所得税税率以及享受的所得税优惠政策不同，集</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pacing w:val="8"/>
          <w:sz w:val="22"/>
          <w:szCs w:val="22"/>
        </w:rPr>
        <w:t>团的内部定价原则直接影响到公司及各子公司在各地的税负以及集团整体的税负水</w:t>
      </w:r>
      <w:r>
        <w:rPr>
          <w:rFonts w:ascii="黑体" w:hAnsi="黑体" w:cs="黑体" w:eastAsia="黑体" w:hint="default"/>
          <w:w w:val="99"/>
          <w:sz w:val="22"/>
          <w:szCs w:val="22"/>
        </w:rPr>
        <w:t> </w:t>
      </w:r>
      <w:r>
        <w:rPr>
          <w:rFonts w:ascii="黑体" w:hAnsi="黑体" w:cs="黑体" w:eastAsia="黑体" w:hint="default"/>
          <w:sz w:val="22"/>
          <w:szCs w:val="22"/>
        </w:rPr>
        <w:t>平。</w:t>
      </w:r>
    </w:p>
    <w:p>
      <w:pPr>
        <w:spacing w:line="240" w:lineRule="auto" w:before="8"/>
        <w:rPr>
          <w:rFonts w:ascii="黑体" w:hAnsi="黑体" w:cs="黑体" w:eastAsia="黑体" w:hint="default"/>
          <w:sz w:val="32"/>
          <w:szCs w:val="32"/>
        </w:rPr>
      </w:pPr>
    </w:p>
    <w:p>
      <w:pPr>
        <w:spacing w:line="333" w:lineRule="auto" w:before="0"/>
        <w:ind w:left="526" w:right="117" w:firstLine="0"/>
        <w:jc w:val="both"/>
        <w:rPr>
          <w:rFonts w:ascii="黑体" w:hAnsi="黑体" w:cs="黑体" w:eastAsia="黑体" w:hint="default"/>
          <w:sz w:val="22"/>
          <w:szCs w:val="22"/>
        </w:rPr>
      </w:pPr>
      <w:r>
        <w:rPr>
          <w:rFonts w:ascii="黑体" w:hAnsi="黑体" w:cs="黑体" w:eastAsia="黑体" w:hint="default"/>
          <w:sz w:val="22"/>
          <w:szCs w:val="22"/>
        </w:rPr>
        <w:t>2008年1月1日生效实施的新企业所得税法，用“特别纳税调整”一章强化了反避税措</w:t>
      </w:r>
      <w:r>
        <w:rPr>
          <w:rFonts w:ascii="黑体" w:hAnsi="黑体" w:cs="黑体" w:eastAsia="黑体" w:hint="default"/>
          <w:spacing w:val="-55"/>
          <w:sz w:val="22"/>
          <w:szCs w:val="22"/>
        </w:rPr>
        <w:t> </w:t>
      </w:r>
      <w:r>
        <w:rPr>
          <w:rFonts w:ascii="黑体" w:hAnsi="黑体" w:cs="黑体" w:eastAsia="黑体" w:hint="default"/>
          <w:spacing w:val="-55"/>
          <w:sz w:val="22"/>
          <w:szCs w:val="22"/>
        </w:rPr>
      </w:r>
      <w:r>
        <w:rPr>
          <w:rFonts w:ascii="黑体" w:hAnsi="黑体" w:cs="黑体" w:eastAsia="黑体" w:hint="default"/>
          <w:sz w:val="22"/>
          <w:szCs w:val="22"/>
        </w:rPr>
        <w:t>施。该章规定企业向税务机关报送年度企业所得税纳税申报表时，应当就其于关联方</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之间的业务往来，附送年度关联业务往来报告表。除申报关联交易、关联方和交易金</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额等之外，还包括交易金额占全部同类型交易的比例、关联交易的损益情况、关联交</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易所采用的转让定价方法。税务机关在进行关联业务调查时，企业及其关联方，以及</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与关联业务调查的其他企业，应当按照规定提供相关资料，否则税务机关有权依法核</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pacing w:val="4"/>
          <w:sz w:val="22"/>
          <w:szCs w:val="22"/>
        </w:rPr>
        <w:t>定其应纳税所得额。同时，2009年1月，国家税务总局关于印发《特别纳税调整实施</w:t>
      </w:r>
      <w:r>
        <w:rPr>
          <w:rFonts w:ascii="黑体" w:hAnsi="黑体" w:cs="黑体" w:eastAsia="黑体" w:hint="default"/>
          <w:spacing w:val="-92"/>
          <w:sz w:val="22"/>
          <w:szCs w:val="22"/>
        </w:rPr>
        <w:t> </w:t>
      </w:r>
      <w:r>
        <w:rPr>
          <w:rFonts w:ascii="黑体" w:hAnsi="黑体" w:cs="黑体" w:eastAsia="黑体" w:hint="default"/>
          <w:spacing w:val="-92"/>
          <w:sz w:val="22"/>
          <w:szCs w:val="22"/>
        </w:rPr>
      </w:r>
      <w:r>
        <w:rPr>
          <w:rFonts w:ascii="黑体" w:hAnsi="黑体" w:cs="黑体" w:eastAsia="黑体" w:hint="default"/>
          <w:sz w:val="22"/>
          <w:szCs w:val="22"/>
        </w:rPr>
        <w:t>办法[试行]》的通知</w:t>
      </w:r>
      <w:r>
        <w:rPr>
          <w:rFonts w:ascii="黑体" w:hAnsi="黑体" w:cs="黑体" w:eastAsia="黑体" w:hint="default"/>
          <w:spacing w:val="54"/>
          <w:sz w:val="22"/>
          <w:szCs w:val="22"/>
        </w:rPr>
        <w:t> </w:t>
      </w:r>
      <w:r>
        <w:rPr>
          <w:rFonts w:ascii="黑体" w:hAnsi="黑体" w:cs="黑体" w:eastAsia="黑体" w:hint="default"/>
          <w:sz w:val="22"/>
          <w:szCs w:val="22"/>
        </w:rPr>
        <w:t>（国税发[2009]2号）出台，要求企业按纳税年度准备、保存、</w:t>
      </w:r>
      <w:r>
        <w:rPr>
          <w:rFonts w:ascii="黑体" w:hAnsi="黑体" w:cs="黑体" w:eastAsia="黑体" w:hint="default"/>
          <w:spacing w:val="-104"/>
          <w:sz w:val="22"/>
          <w:szCs w:val="22"/>
        </w:rPr>
        <w:t> </w:t>
      </w:r>
      <w:r>
        <w:rPr>
          <w:rFonts w:ascii="黑体" w:hAnsi="黑体" w:cs="黑体" w:eastAsia="黑体" w:hint="default"/>
          <w:spacing w:val="-104"/>
          <w:sz w:val="22"/>
          <w:szCs w:val="22"/>
        </w:rPr>
      </w:r>
      <w:r>
        <w:rPr>
          <w:rFonts w:ascii="黑体" w:hAnsi="黑体" w:cs="黑体" w:eastAsia="黑体" w:hint="default"/>
          <w:sz w:val="22"/>
          <w:szCs w:val="22"/>
        </w:rPr>
        <w:t>并按税务机关要求提供其关联交易的同期资料。贵集团总部盈利而大部分负责销售的</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分子公司长期处于亏损状态将由于新法规的出台和实施，而招致税务机构怀疑贵集团</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可能存在内部转移定价不当的风险。</w:t>
      </w:r>
    </w:p>
    <w:p>
      <w:pPr>
        <w:spacing w:line="240" w:lineRule="auto" w:before="8"/>
        <w:rPr>
          <w:rFonts w:ascii="黑体" w:hAnsi="黑体" w:cs="黑体" w:eastAsia="黑体" w:hint="default"/>
          <w:sz w:val="32"/>
          <w:szCs w:val="32"/>
        </w:rPr>
      </w:pPr>
    </w:p>
    <w:p>
      <w:pPr>
        <w:spacing w:before="0"/>
        <w:ind w:left="526"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建议</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6"/>
          <w:szCs w:val="16"/>
        </w:rPr>
      </w:pPr>
    </w:p>
    <w:p>
      <w:pPr>
        <w:spacing w:line="333" w:lineRule="auto" w:before="31"/>
        <w:ind w:left="525" w:right="119" w:firstLine="0"/>
        <w:jc w:val="both"/>
        <w:rPr>
          <w:rFonts w:ascii="黑体" w:hAnsi="黑体" w:cs="黑体" w:eastAsia="黑体" w:hint="default"/>
          <w:sz w:val="22"/>
          <w:szCs w:val="22"/>
        </w:rPr>
      </w:pPr>
      <w:r>
        <w:rPr>
          <w:rFonts w:ascii="黑体" w:hAnsi="黑体" w:cs="黑体" w:eastAsia="黑体" w:hint="default"/>
          <w:sz w:val="22"/>
          <w:szCs w:val="22"/>
        </w:rPr>
        <w:t>建议贵集团尽早关注转移定价不当可能带来的税务质疑及风险，及早准备相关的关联</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交易定价原则文档，严格按照法规的相关要求确定关联交易定价方法及合理的定价区</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间并及时报送相关资料。</w:t>
      </w:r>
    </w:p>
    <w:p>
      <w:pPr>
        <w:spacing w:after="0" w:line="333" w:lineRule="auto"/>
        <w:jc w:val="both"/>
        <w:rPr>
          <w:rFonts w:ascii="黑体" w:hAnsi="黑体" w:cs="黑体" w:eastAsia="黑体" w:hint="default"/>
          <w:sz w:val="22"/>
          <w:szCs w:val="22"/>
        </w:rPr>
        <w:sectPr>
          <w:headerReference w:type="default" r:id="rId100"/>
          <w:pgSz w:w="12240" w:h="15840"/>
          <w:pgMar w:header="1753" w:footer="755" w:top="1980" w:bottom="940" w:left="1700" w:right="1680"/>
        </w:sectPr>
      </w:pPr>
    </w:p>
    <w:p>
      <w:pPr>
        <w:tabs>
          <w:tab w:pos="819" w:val="left" w:leader="none"/>
        </w:tabs>
        <w:spacing w:line="532" w:lineRule="auto" w:before="5"/>
        <w:ind w:left="526" w:right="4078" w:hanging="427"/>
        <w:jc w:val="left"/>
        <w:rPr>
          <w:rFonts w:ascii="黑体" w:hAnsi="黑体" w:cs="黑体" w:eastAsia="黑体" w:hint="default"/>
          <w:sz w:val="22"/>
          <w:szCs w:val="22"/>
        </w:rPr>
      </w:pPr>
      <w:r>
        <w:rPr>
          <w:rFonts w:ascii="黑体" w:hAnsi="黑体" w:cs="黑体" w:eastAsia="黑体" w:hint="default"/>
          <w:w w:val="95"/>
          <w:sz w:val="22"/>
          <w:szCs w:val="22"/>
        </w:rPr>
        <w:t>8.</w:t>
        <w:tab/>
        <w:tab/>
      </w:r>
      <w:r>
        <w:rPr>
          <w:rFonts w:ascii="黑体" w:hAnsi="黑体" w:cs="黑体" w:eastAsia="黑体" w:hint="default"/>
          <w:sz w:val="22"/>
          <w:szCs w:val="22"/>
        </w:rPr>
        <w:t>公司内部关联方交易定价（集团）（续）</w:t>
      </w:r>
      <w:r>
        <w:rPr>
          <w:rFonts w:ascii="黑体" w:hAnsi="黑体" w:cs="黑体" w:eastAsia="黑体" w:hint="default"/>
          <w:w w:val="99"/>
          <w:sz w:val="22"/>
          <w:szCs w:val="22"/>
        </w:rPr>
        <w:t> </w:t>
      </w:r>
      <w:r>
        <w:rPr>
          <w:rFonts w:ascii="黑体" w:hAnsi="黑体" w:cs="黑体" w:eastAsia="黑体" w:hint="default"/>
          <w:sz w:val="22"/>
          <w:szCs w:val="22"/>
          <w:u w:val="single" w:color="000000"/>
        </w:rPr>
        <w:t>管理层意见</w:t>
      </w:r>
      <w:r>
        <w:rPr>
          <w:rFonts w:ascii="黑体" w:hAnsi="黑体" w:cs="黑体" w:eastAsia="黑体" w:hint="default"/>
          <w:sz w:val="22"/>
          <w:szCs w:val="22"/>
        </w:rPr>
      </w:r>
    </w:p>
    <w:p>
      <w:pPr>
        <w:spacing w:line="240" w:lineRule="auto" w:before="3"/>
        <w:rPr>
          <w:rFonts w:ascii="黑体" w:hAnsi="黑体" w:cs="黑体" w:eastAsia="黑体" w:hint="default"/>
          <w:sz w:val="16"/>
          <w:szCs w:val="16"/>
        </w:rPr>
      </w:pPr>
    </w:p>
    <w:p>
      <w:pPr>
        <w:spacing w:line="333" w:lineRule="auto" w:before="31"/>
        <w:ind w:left="525" w:right="107" w:firstLine="0"/>
        <w:jc w:val="left"/>
        <w:rPr>
          <w:rFonts w:ascii="黑体" w:hAnsi="黑体" w:cs="黑体" w:eastAsia="黑体" w:hint="default"/>
          <w:sz w:val="22"/>
          <w:szCs w:val="22"/>
        </w:rPr>
      </w:pPr>
      <w:r>
        <w:rPr>
          <w:rFonts w:ascii="黑体" w:hAnsi="黑体" w:cs="黑体" w:eastAsia="黑体" w:hint="default"/>
          <w:sz w:val="22"/>
          <w:szCs w:val="22"/>
        </w:rPr>
        <w:t>公司已关注转移定价可能带来的税务质疑及风险，会尽早准备相关的关联交易定价原</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则文档，严格按照法规的相关要求确定关联交易定价方法及合理的定价区间。公司认</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为目前分子公司与普通经销商的结算价格政策相同，关联交易符合独立交易原则。</w:t>
      </w:r>
      <w:r>
        <w:rPr>
          <w:rFonts w:ascii="黑体" w:hAnsi="黑体" w:cs="黑体" w:eastAsia="黑体" w:hint="default"/>
          <w:w w:val="99"/>
          <w:sz w:val="22"/>
          <w:szCs w:val="22"/>
        </w:rPr>
        <w:t> </w:t>
      </w:r>
      <w:r>
        <w:rPr>
          <w:rFonts w:ascii="黑体" w:hAnsi="黑体" w:cs="黑体" w:eastAsia="黑体" w:hint="default"/>
          <w:sz w:val="22"/>
          <w:szCs w:val="22"/>
        </w:rPr>
        <w:t>2009年地区子公司亏损金额并不大，由于地区子公司不以盈利而是以扩大用友软件市</w:t>
      </w:r>
      <w:r>
        <w:rPr>
          <w:rFonts w:ascii="黑体" w:hAnsi="黑体" w:cs="黑体" w:eastAsia="黑体" w:hint="default"/>
          <w:spacing w:val="-55"/>
          <w:sz w:val="22"/>
          <w:szCs w:val="22"/>
        </w:rPr>
        <w:t> </w:t>
      </w:r>
      <w:r>
        <w:rPr>
          <w:rFonts w:ascii="黑体" w:hAnsi="黑体" w:cs="黑体" w:eastAsia="黑体" w:hint="default"/>
          <w:spacing w:val="-55"/>
          <w:sz w:val="22"/>
          <w:szCs w:val="22"/>
        </w:rPr>
      </w:r>
      <w:r>
        <w:rPr>
          <w:rFonts w:ascii="黑体" w:hAnsi="黑体" w:cs="黑体" w:eastAsia="黑体" w:hint="default"/>
          <w:spacing w:val="8"/>
          <w:sz w:val="22"/>
          <w:szCs w:val="22"/>
        </w:rPr>
        <w:t>场占有率为目标，投入时已考虑亏损因素，产生较小的亏损管理层认为符合公司战</w:t>
      </w:r>
      <w:r>
        <w:rPr>
          <w:rFonts w:ascii="黑体" w:hAnsi="黑体" w:cs="黑体" w:eastAsia="黑体" w:hint="default"/>
          <w:w w:val="99"/>
          <w:sz w:val="22"/>
          <w:szCs w:val="22"/>
        </w:rPr>
        <w:t> </w:t>
      </w:r>
      <w:r>
        <w:rPr>
          <w:rFonts w:ascii="黑体" w:hAnsi="黑体" w:cs="黑体" w:eastAsia="黑体" w:hint="default"/>
          <w:sz w:val="22"/>
          <w:szCs w:val="22"/>
        </w:rPr>
        <w:t>略。</w:t>
      </w:r>
      <w:r>
        <w:rPr>
          <w:rFonts w:ascii="黑体" w:hAnsi="黑体" w:cs="黑体" w:eastAsia="黑体" w:hint="default"/>
          <w:w w:val="99"/>
          <w:sz w:val="22"/>
          <w:szCs w:val="22"/>
        </w:rPr>
        <w:t> </w:t>
      </w:r>
      <w:r>
        <w:rPr>
          <w:rFonts w:ascii="黑体" w:hAnsi="黑体" w:cs="黑体" w:eastAsia="黑体" w:hint="default"/>
          <w:sz w:val="22"/>
          <w:szCs w:val="22"/>
        </w:rPr>
        <w:t>公司已准备按照“特别纳税调整”的规定向税务机关报送年度企业所得税纳税申报表</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pacing w:val="8"/>
          <w:sz w:val="22"/>
          <w:szCs w:val="22"/>
        </w:rPr>
        <w:t>时，就其于关联方之间的业务往来，附送年度关联业务往来报告表。除申报关联交</w:t>
      </w:r>
      <w:r>
        <w:rPr>
          <w:rFonts w:ascii="黑体" w:hAnsi="黑体" w:cs="黑体" w:eastAsia="黑体" w:hint="default"/>
          <w:w w:val="99"/>
          <w:sz w:val="22"/>
          <w:szCs w:val="22"/>
        </w:rPr>
        <w:t> </w:t>
      </w:r>
      <w:r>
        <w:rPr>
          <w:rFonts w:ascii="黑体" w:hAnsi="黑体" w:cs="黑体" w:eastAsia="黑体" w:hint="default"/>
          <w:sz w:val="22"/>
          <w:szCs w:val="22"/>
        </w:rPr>
        <w:t>易、关联方和交易金额等之外，还包括交易金额占全部同类型交易的比例、关联交易</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的损益情况、关联交易所采用的转让定价方法。</w:t>
      </w:r>
    </w:p>
    <w:p>
      <w:pPr>
        <w:spacing w:after="0" w:line="333" w:lineRule="auto"/>
        <w:jc w:val="left"/>
        <w:rPr>
          <w:rFonts w:ascii="黑体" w:hAnsi="黑体" w:cs="黑体" w:eastAsia="黑体" w:hint="default"/>
          <w:sz w:val="22"/>
          <w:szCs w:val="22"/>
        </w:rPr>
        <w:sectPr>
          <w:headerReference w:type="default" r:id="rId101"/>
          <w:pgSz w:w="12240" w:h="15840"/>
          <w:pgMar w:header="0" w:footer="755" w:top="1400" w:bottom="940" w:left="1700" w:right="16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5"/>
          <w:szCs w:val="15"/>
        </w:rPr>
      </w:pPr>
    </w:p>
    <w:p>
      <w:pPr>
        <w:spacing w:before="0"/>
        <w:ind w:left="547" w:right="0"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发现</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0" w:right="0" w:firstLine="5"/>
        <w:jc w:val="left"/>
        <w:rPr>
          <w:rFonts w:ascii="黑体" w:hAnsi="黑体" w:cs="黑体" w:eastAsia="黑体" w:hint="default"/>
          <w:sz w:val="22"/>
          <w:szCs w:val="22"/>
        </w:rPr>
      </w:pPr>
      <w:r>
        <w:rPr>
          <w:rFonts w:ascii="黑体" w:hAnsi="黑体" w:cs="黑体" w:eastAsia="黑体" w:hint="default"/>
          <w:spacing w:val="2"/>
          <w:sz w:val="22"/>
          <w:szCs w:val="22"/>
        </w:rPr>
        <w:t>贵公司总部与之分子公司之间存在经营性借款，且资金调拨无任何协议或合同，也不</w:t>
      </w:r>
      <w:r>
        <w:rPr>
          <w:rFonts w:ascii="黑体" w:hAnsi="黑体" w:cs="黑体" w:eastAsia="黑体" w:hint="default"/>
          <w:spacing w:val="-105"/>
          <w:sz w:val="22"/>
          <w:szCs w:val="22"/>
        </w:rPr>
        <w:t> </w:t>
      </w:r>
      <w:r>
        <w:rPr>
          <w:rFonts w:ascii="黑体" w:hAnsi="黑体" w:cs="黑体" w:eastAsia="黑体" w:hint="default"/>
          <w:spacing w:val="-105"/>
          <w:sz w:val="22"/>
          <w:szCs w:val="22"/>
        </w:rPr>
      </w:r>
      <w:r>
        <w:rPr>
          <w:rFonts w:ascii="黑体" w:hAnsi="黑体" w:cs="黑体" w:eastAsia="黑体" w:hint="default"/>
          <w:sz w:val="22"/>
          <w:szCs w:val="22"/>
        </w:rPr>
        <w:t>计利息。</w:t>
      </w:r>
    </w:p>
    <w:p>
      <w:pPr>
        <w:spacing w:line="240" w:lineRule="auto" w:before="7"/>
        <w:rPr>
          <w:rFonts w:ascii="黑体" w:hAnsi="黑体" w:cs="黑体" w:eastAsia="黑体" w:hint="default"/>
          <w:sz w:val="32"/>
          <w:szCs w:val="32"/>
        </w:rPr>
      </w:pPr>
    </w:p>
    <w:p>
      <w:pPr>
        <w:spacing w:before="0"/>
        <w:ind w:left="547" w:right="0"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问题及影响</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6" w:right="107" w:firstLine="0"/>
        <w:jc w:val="both"/>
        <w:rPr>
          <w:rFonts w:ascii="黑体" w:hAnsi="黑体" w:cs="黑体" w:eastAsia="黑体" w:hint="default"/>
          <w:sz w:val="22"/>
          <w:szCs w:val="22"/>
        </w:rPr>
      </w:pPr>
      <w:r>
        <w:rPr>
          <w:rFonts w:ascii="黑体" w:hAnsi="黑体" w:cs="黑体" w:eastAsia="黑体" w:hint="default"/>
          <w:spacing w:val="2"/>
          <w:sz w:val="22"/>
          <w:szCs w:val="22"/>
        </w:rPr>
        <w:t>根据税法规定：企业的任何资金借贷需要通过银行进行，并应该按照非关联方交易的</w:t>
      </w:r>
      <w:r>
        <w:rPr>
          <w:rFonts w:ascii="黑体" w:hAnsi="黑体" w:cs="黑体" w:eastAsia="黑体" w:hint="default"/>
          <w:spacing w:val="-100"/>
          <w:sz w:val="22"/>
          <w:szCs w:val="22"/>
        </w:rPr>
        <w:t> </w:t>
      </w:r>
      <w:r>
        <w:rPr>
          <w:rFonts w:ascii="黑体" w:hAnsi="黑体" w:cs="黑体" w:eastAsia="黑体" w:hint="default"/>
          <w:spacing w:val="-100"/>
          <w:sz w:val="22"/>
          <w:szCs w:val="22"/>
        </w:rPr>
      </w:r>
      <w:r>
        <w:rPr>
          <w:rFonts w:ascii="黑体" w:hAnsi="黑体" w:cs="黑体" w:eastAsia="黑体" w:hint="default"/>
          <w:spacing w:val="2"/>
          <w:sz w:val="22"/>
          <w:szCs w:val="22"/>
        </w:rPr>
        <w:t>原则计算其相应的贷款利息，收到利息的一方应作为收入缴纳营业税。总部的无息贷</w:t>
      </w:r>
      <w:r>
        <w:rPr>
          <w:rFonts w:ascii="黑体" w:hAnsi="黑体" w:cs="黑体" w:eastAsia="黑体" w:hint="default"/>
          <w:spacing w:val="-100"/>
          <w:sz w:val="22"/>
          <w:szCs w:val="22"/>
        </w:rPr>
        <w:t> </w:t>
      </w:r>
      <w:r>
        <w:rPr>
          <w:rFonts w:ascii="黑体" w:hAnsi="黑体" w:cs="黑体" w:eastAsia="黑体" w:hint="default"/>
          <w:spacing w:val="-100"/>
          <w:sz w:val="22"/>
          <w:szCs w:val="22"/>
        </w:rPr>
      </w:r>
      <w:r>
        <w:rPr>
          <w:rFonts w:ascii="黑体" w:hAnsi="黑体" w:cs="黑体" w:eastAsia="黑体" w:hint="default"/>
          <w:spacing w:val="2"/>
          <w:sz w:val="22"/>
          <w:szCs w:val="22"/>
        </w:rPr>
        <w:t>款有可能被主管税务局认为给予企业提供融通资金的服务，从而综合考虑企业间的转</w:t>
      </w:r>
      <w:r>
        <w:rPr>
          <w:rFonts w:ascii="黑体" w:hAnsi="黑体" w:cs="黑体" w:eastAsia="黑体" w:hint="default"/>
          <w:spacing w:val="-100"/>
          <w:sz w:val="22"/>
          <w:szCs w:val="22"/>
        </w:rPr>
        <w:t> </w:t>
      </w:r>
      <w:r>
        <w:rPr>
          <w:rFonts w:ascii="黑体" w:hAnsi="黑体" w:cs="黑体" w:eastAsia="黑体" w:hint="default"/>
          <w:spacing w:val="-100"/>
          <w:sz w:val="22"/>
          <w:szCs w:val="22"/>
        </w:rPr>
      </w:r>
      <w:r>
        <w:rPr>
          <w:rFonts w:ascii="黑体" w:hAnsi="黑体" w:cs="黑体" w:eastAsia="黑体" w:hint="default"/>
          <w:spacing w:val="2"/>
          <w:sz w:val="22"/>
          <w:szCs w:val="22"/>
        </w:rPr>
        <w:t>让定价问题。同时，对于收到利息的一方，也可能会被主管税务局认为少缴纳了营业</w:t>
      </w:r>
      <w:r>
        <w:rPr>
          <w:rFonts w:ascii="黑体" w:hAnsi="黑体" w:cs="黑体" w:eastAsia="黑体" w:hint="default"/>
          <w:spacing w:val="-100"/>
          <w:sz w:val="22"/>
          <w:szCs w:val="22"/>
        </w:rPr>
        <w:t> </w:t>
      </w:r>
      <w:r>
        <w:rPr>
          <w:rFonts w:ascii="黑体" w:hAnsi="黑体" w:cs="黑体" w:eastAsia="黑体" w:hint="default"/>
          <w:spacing w:val="-100"/>
          <w:sz w:val="22"/>
          <w:szCs w:val="22"/>
        </w:rPr>
      </w:r>
      <w:r>
        <w:rPr>
          <w:rFonts w:ascii="黑体" w:hAnsi="黑体" w:cs="黑体" w:eastAsia="黑体" w:hint="default"/>
          <w:sz w:val="22"/>
          <w:szCs w:val="22"/>
        </w:rPr>
        <w:t>税而导致税务处罚。</w:t>
      </w:r>
    </w:p>
    <w:p>
      <w:pPr>
        <w:spacing w:line="240" w:lineRule="auto" w:before="8"/>
        <w:rPr>
          <w:rFonts w:ascii="黑体" w:hAnsi="黑体" w:cs="黑体" w:eastAsia="黑体" w:hint="default"/>
          <w:sz w:val="32"/>
          <w:szCs w:val="32"/>
        </w:rPr>
      </w:pPr>
    </w:p>
    <w:p>
      <w:pPr>
        <w:spacing w:before="0"/>
        <w:ind w:left="526"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建议</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0" w:right="107" w:firstLine="5"/>
        <w:jc w:val="both"/>
        <w:rPr>
          <w:rFonts w:ascii="黑体" w:hAnsi="黑体" w:cs="黑体" w:eastAsia="黑体" w:hint="default"/>
          <w:sz w:val="22"/>
          <w:szCs w:val="22"/>
        </w:rPr>
      </w:pPr>
      <w:r>
        <w:rPr>
          <w:rFonts w:ascii="黑体" w:hAnsi="黑体" w:cs="黑体" w:eastAsia="黑体" w:hint="default"/>
          <w:spacing w:val="2"/>
          <w:sz w:val="22"/>
          <w:szCs w:val="22"/>
        </w:rPr>
        <w:t>建议贵集团对集团内部经营性借款的执行通过委托银行进行，并对具体金额进行记录</w:t>
      </w:r>
      <w:r>
        <w:rPr>
          <w:rFonts w:ascii="黑体" w:hAnsi="黑体" w:cs="黑体" w:eastAsia="黑体" w:hint="default"/>
          <w:spacing w:val="-105"/>
          <w:sz w:val="22"/>
          <w:szCs w:val="22"/>
        </w:rPr>
        <w:t> </w:t>
      </w:r>
      <w:r>
        <w:rPr>
          <w:rFonts w:ascii="黑体" w:hAnsi="黑体" w:cs="黑体" w:eastAsia="黑体" w:hint="default"/>
          <w:spacing w:val="-105"/>
          <w:sz w:val="22"/>
          <w:szCs w:val="22"/>
        </w:rPr>
      </w:r>
      <w:r>
        <w:rPr>
          <w:rFonts w:ascii="黑体" w:hAnsi="黑体" w:cs="黑体" w:eastAsia="黑体" w:hint="default"/>
          <w:spacing w:val="2"/>
          <w:sz w:val="22"/>
          <w:szCs w:val="22"/>
        </w:rPr>
        <w:t>统计，建立相关合同准备及备案制度。同时对于收到利息的一方，及时计算缴纳相关</w:t>
      </w:r>
      <w:r>
        <w:rPr>
          <w:rFonts w:ascii="黑体" w:hAnsi="黑体" w:cs="黑体" w:eastAsia="黑体" w:hint="default"/>
          <w:spacing w:val="-96"/>
          <w:sz w:val="22"/>
          <w:szCs w:val="22"/>
        </w:rPr>
        <w:t> </w:t>
      </w:r>
      <w:r>
        <w:rPr>
          <w:rFonts w:ascii="黑体" w:hAnsi="黑体" w:cs="黑体" w:eastAsia="黑体" w:hint="default"/>
          <w:spacing w:val="-96"/>
          <w:sz w:val="22"/>
          <w:szCs w:val="22"/>
        </w:rPr>
      </w:r>
      <w:r>
        <w:rPr>
          <w:rFonts w:ascii="黑体" w:hAnsi="黑体" w:cs="黑体" w:eastAsia="黑体" w:hint="default"/>
          <w:sz w:val="22"/>
          <w:szCs w:val="22"/>
        </w:rPr>
        <w:t>的营业税及所得税。</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管理层意见</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39" w:firstLine="0"/>
        <w:jc w:val="both"/>
        <w:rPr>
          <w:rFonts w:ascii="黑体" w:hAnsi="黑体" w:cs="黑体" w:eastAsia="黑体" w:hint="default"/>
          <w:sz w:val="22"/>
          <w:szCs w:val="22"/>
        </w:rPr>
      </w:pPr>
      <w:r>
        <w:rPr>
          <w:rFonts w:ascii="黑体" w:hAnsi="黑体" w:cs="黑体" w:eastAsia="黑体" w:hint="default"/>
          <w:sz w:val="22"/>
          <w:szCs w:val="22"/>
        </w:rPr>
        <w:t>我公司与分公司之间的资金往来是本企业内部正常的资金调度，不属于企业间资金借</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贷。我们接受贵所建议，今后将尽量避免我公司与子公司之间的资金往来，如果子公</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司出现资金短缺需要母公司提供资金支持，我们会参考贵所建议办理借贷手续。</w:t>
      </w:r>
    </w:p>
    <w:p>
      <w:pPr>
        <w:spacing w:after="0" w:line="333" w:lineRule="auto"/>
        <w:jc w:val="both"/>
        <w:rPr>
          <w:rFonts w:ascii="黑体" w:hAnsi="黑体" w:cs="黑体" w:eastAsia="黑体" w:hint="default"/>
          <w:sz w:val="22"/>
          <w:szCs w:val="22"/>
        </w:rPr>
        <w:sectPr>
          <w:headerReference w:type="default" r:id="rId102"/>
          <w:pgSz w:w="12240" w:h="15840"/>
          <w:pgMar w:header="1753" w:footer="755" w:top="1980" w:bottom="940" w:left="1700" w:right="166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5"/>
          <w:szCs w:val="15"/>
        </w:rPr>
      </w:pPr>
    </w:p>
    <w:p>
      <w:pPr>
        <w:spacing w:before="0"/>
        <w:ind w:left="525" w:right="107"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发现</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16" w:firstLine="0"/>
        <w:jc w:val="both"/>
        <w:rPr>
          <w:rFonts w:ascii="黑体" w:hAnsi="黑体" w:cs="黑体" w:eastAsia="黑体" w:hint="default"/>
          <w:sz w:val="22"/>
          <w:szCs w:val="22"/>
        </w:rPr>
      </w:pPr>
      <w:r>
        <w:rPr>
          <w:rFonts w:ascii="黑体" w:hAnsi="黑体" w:cs="黑体" w:eastAsia="黑体" w:hint="default"/>
          <w:sz w:val="22"/>
          <w:szCs w:val="22"/>
        </w:rPr>
        <w:t>贵公司总部自2008年下半年开始扩大股权并购、资产和业务并购的规模，2009年当年</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收购了重庆迈特科技有限责任公司、上海恒聚网络科技有限公司和上海哈久网络科技</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有限公司、北京时空超越科技有限公司等资产业务；并出资成立了用友医疗卫生信息</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系统有限公司、用友（南昌）产业基地和新希元软件技术有限公司等公司，以及其它</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一系列股权出售或收购活动。而该些投资业务未与财务部门及时沟通，导致相关财务</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记账滞后。</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问题及影响</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6"/>
          <w:szCs w:val="16"/>
        </w:rPr>
      </w:pPr>
    </w:p>
    <w:p>
      <w:pPr>
        <w:spacing w:line="333" w:lineRule="auto" w:before="31"/>
        <w:ind w:left="525" w:right="116" w:firstLine="0"/>
        <w:jc w:val="both"/>
        <w:rPr>
          <w:rFonts w:ascii="黑体" w:hAnsi="黑体" w:cs="黑体" w:eastAsia="黑体" w:hint="default"/>
          <w:sz w:val="22"/>
          <w:szCs w:val="22"/>
        </w:rPr>
      </w:pPr>
      <w:r>
        <w:rPr>
          <w:rFonts w:ascii="黑体" w:hAnsi="黑体" w:cs="黑体" w:eastAsia="黑体" w:hint="default"/>
          <w:sz w:val="22"/>
          <w:szCs w:val="22"/>
        </w:rPr>
        <w:t>虽然财务部门在年末结帐时已对各类投资活动进行了财务处理及调整，但是由于投资</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pacing w:val="8"/>
          <w:sz w:val="22"/>
          <w:szCs w:val="22"/>
        </w:rPr>
        <w:t>部门和财务部门未能及时沟通，导致财务报表不能及时反映公司已经完成的投资活</w:t>
      </w:r>
      <w:r>
        <w:rPr>
          <w:rFonts w:ascii="黑体" w:hAnsi="黑体" w:cs="黑体" w:eastAsia="黑体" w:hint="default"/>
          <w:w w:val="99"/>
          <w:sz w:val="22"/>
          <w:szCs w:val="22"/>
        </w:rPr>
        <w:t> </w:t>
      </w:r>
      <w:r>
        <w:rPr>
          <w:rFonts w:ascii="黑体" w:hAnsi="黑体" w:cs="黑体" w:eastAsia="黑体" w:hint="default"/>
          <w:sz w:val="22"/>
          <w:szCs w:val="22"/>
        </w:rPr>
        <w:t>动，并已并购企业对合并经营成果的贡献和对财务状况的影响，造成长期股权投资、</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商誉、固定资产、无形资产、存货和损益类等科目金额记录不完整不准确，同时，也</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不利于相关往来科目的管理。</w:t>
      </w:r>
    </w:p>
    <w:p>
      <w:pPr>
        <w:spacing w:line="240" w:lineRule="auto" w:before="7"/>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建议</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19" w:firstLine="0"/>
        <w:jc w:val="both"/>
        <w:rPr>
          <w:rFonts w:ascii="黑体" w:hAnsi="黑体" w:cs="黑体" w:eastAsia="黑体" w:hint="default"/>
          <w:sz w:val="22"/>
          <w:szCs w:val="22"/>
        </w:rPr>
      </w:pPr>
      <w:r>
        <w:rPr>
          <w:rFonts w:ascii="黑体" w:hAnsi="黑体" w:cs="黑体" w:eastAsia="黑体" w:hint="default"/>
          <w:sz w:val="22"/>
          <w:szCs w:val="22"/>
        </w:rPr>
        <w:t>公司投资部门和财务部门需要就该类业务及时沟通。投资业务完成前期，建议将与投</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资业务相关资料，尤其是协议和审计评估等事项结果及时地送至财务部门，由财务部</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门专门负责人员负责及时入帐。</w:t>
      </w:r>
    </w:p>
    <w:p>
      <w:pPr>
        <w:spacing w:line="240" w:lineRule="auto" w:before="7"/>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管理层意见</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07" w:firstLine="0"/>
        <w:jc w:val="left"/>
        <w:rPr>
          <w:rFonts w:ascii="黑体" w:hAnsi="黑体" w:cs="黑体" w:eastAsia="黑体" w:hint="default"/>
          <w:sz w:val="22"/>
          <w:szCs w:val="22"/>
        </w:rPr>
      </w:pPr>
      <w:r>
        <w:rPr>
          <w:rFonts w:ascii="黑体" w:hAnsi="黑体" w:cs="黑体" w:eastAsia="黑体" w:hint="default"/>
          <w:sz w:val="22"/>
          <w:szCs w:val="22"/>
        </w:rPr>
        <w:t>我们接受建议，将要求投资部门及时与财务部门沟通投资并购业务进展、将投资业务</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相关资料及时送至财务部门，财务部门专人负责及时入账。</w:t>
      </w:r>
    </w:p>
    <w:p>
      <w:pPr>
        <w:spacing w:after="0" w:line="333" w:lineRule="auto"/>
        <w:jc w:val="left"/>
        <w:rPr>
          <w:rFonts w:ascii="黑体" w:hAnsi="黑体" w:cs="黑体" w:eastAsia="黑体" w:hint="default"/>
          <w:sz w:val="22"/>
          <w:szCs w:val="22"/>
        </w:rPr>
        <w:sectPr>
          <w:headerReference w:type="default" r:id="rId103"/>
          <w:pgSz w:w="12240" w:h="15840"/>
          <w:pgMar w:header="1753" w:footer="755" w:top="1980" w:bottom="940" w:left="1700" w:right="16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15"/>
          <w:szCs w:val="15"/>
        </w:rPr>
      </w:pPr>
    </w:p>
    <w:p>
      <w:pPr>
        <w:spacing w:before="31"/>
        <w:ind w:left="526" w:right="107"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发现</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17" w:firstLine="0"/>
        <w:jc w:val="both"/>
        <w:rPr>
          <w:rFonts w:ascii="黑体" w:hAnsi="黑体" w:cs="黑体" w:eastAsia="黑体" w:hint="default"/>
          <w:sz w:val="22"/>
          <w:szCs w:val="22"/>
        </w:rPr>
      </w:pPr>
      <w:r>
        <w:rPr>
          <w:rFonts w:ascii="黑体" w:hAnsi="黑体" w:cs="黑体" w:eastAsia="黑体" w:hint="default"/>
          <w:spacing w:val="4"/>
          <w:sz w:val="22"/>
          <w:szCs w:val="22"/>
        </w:rPr>
        <w:t>（1）贵公司总部在日常核算在建工程时采用台帐与NC帐相结合的方式，NC账与合同</w:t>
      </w:r>
      <w:r>
        <w:rPr>
          <w:rFonts w:ascii="黑体" w:hAnsi="黑体" w:cs="黑体" w:eastAsia="黑体" w:hint="default"/>
          <w:w w:val="99"/>
          <w:sz w:val="22"/>
          <w:szCs w:val="22"/>
        </w:rPr>
        <w:t> </w:t>
      </w:r>
      <w:r>
        <w:rPr>
          <w:rFonts w:ascii="黑体" w:hAnsi="黑体" w:cs="黑体" w:eastAsia="黑体" w:hint="default"/>
          <w:sz w:val="22"/>
          <w:szCs w:val="22"/>
        </w:rPr>
        <w:t>的结合不够，从NC账上很难看出每个合同的信息，也不能从台帐亦或是NC账上看出建</w:t>
      </w:r>
      <w:r>
        <w:rPr>
          <w:rFonts w:ascii="黑体" w:hAnsi="黑体" w:cs="黑体" w:eastAsia="黑体" w:hint="default"/>
          <w:spacing w:val="-55"/>
          <w:sz w:val="22"/>
          <w:szCs w:val="22"/>
        </w:rPr>
        <w:t> </w:t>
      </w:r>
      <w:r>
        <w:rPr>
          <w:rFonts w:ascii="黑体" w:hAnsi="黑体" w:cs="黑体" w:eastAsia="黑体" w:hint="default"/>
          <w:spacing w:val="-55"/>
          <w:sz w:val="22"/>
          <w:szCs w:val="22"/>
        </w:rPr>
      </w:r>
      <w:r>
        <w:rPr>
          <w:rFonts w:ascii="黑体" w:hAnsi="黑体" w:cs="黑体" w:eastAsia="黑体" w:hint="default"/>
          <w:spacing w:val="4"/>
          <w:sz w:val="22"/>
          <w:szCs w:val="22"/>
        </w:rPr>
        <w:t>造同一个建筑物所对应的全部相关合同。（2）在帐务处理过程中财务人员将以前年</w:t>
      </w:r>
      <w:r>
        <w:rPr>
          <w:rFonts w:ascii="黑体" w:hAnsi="黑体" w:cs="黑体" w:eastAsia="黑体" w:hint="default"/>
          <w:spacing w:val="-89"/>
          <w:sz w:val="22"/>
          <w:szCs w:val="22"/>
        </w:rPr>
        <w:t> </w:t>
      </w:r>
      <w:r>
        <w:rPr>
          <w:rFonts w:ascii="黑体" w:hAnsi="黑体" w:cs="黑体" w:eastAsia="黑体" w:hint="default"/>
          <w:spacing w:val="-89"/>
          <w:sz w:val="22"/>
          <w:szCs w:val="22"/>
        </w:rPr>
      </w:r>
      <w:r>
        <w:rPr>
          <w:rFonts w:ascii="黑体" w:hAnsi="黑体" w:cs="黑体" w:eastAsia="黑体" w:hint="default"/>
          <w:spacing w:val="5"/>
          <w:sz w:val="22"/>
          <w:szCs w:val="22"/>
        </w:rPr>
        <w:t>度暂估从在建工程转入固定资产的放入“在建工程转固定资产”</w:t>
      </w:r>
      <w:r>
        <w:rPr>
          <w:rFonts w:ascii="黑体" w:hAnsi="黑体" w:cs="黑体" w:eastAsia="黑体" w:hint="default"/>
          <w:sz w:val="22"/>
          <w:szCs w:val="22"/>
        </w:rPr>
        <w:t> </w:t>
      </w:r>
      <w:r>
        <w:rPr>
          <w:rFonts w:ascii="黑体" w:hAnsi="黑体" w:cs="黑体" w:eastAsia="黑体" w:hint="default"/>
          <w:spacing w:val="4"/>
          <w:sz w:val="22"/>
          <w:szCs w:val="22"/>
        </w:rPr>
        <w:t>辅助账户下，其金</w:t>
      </w:r>
      <w:r>
        <w:rPr>
          <w:rFonts w:ascii="黑体" w:hAnsi="黑体" w:cs="黑体" w:eastAsia="黑体" w:hint="default"/>
          <w:w w:val="99"/>
          <w:sz w:val="22"/>
          <w:szCs w:val="22"/>
        </w:rPr>
        <w:t> </w:t>
      </w:r>
      <w:r>
        <w:rPr>
          <w:rFonts w:ascii="黑体" w:hAnsi="黑体" w:cs="黑体" w:eastAsia="黑体" w:hint="default"/>
          <w:sz w:val="22"/>
          <w:szCs w:val="22"/>
        </w:rPr>
        <w:t>额为负值，原因在于其暂估入账的时候是按合同金额全部转入固定资产科目下，帐务</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处理为借：固定资产，贷：在建工程，金额为合同全款，这样会导致按合同约定尚未</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pacing w:val="4"/>
          <w:sz w:val="22"/>
          <w:szCs w:val="22"/>
        </w:rPr>
        <w:t>付现的部分负债记录为在建工程的贷方余额。（3）财务人员在做帐过程中将部分在</w:t>
      </w:r>
      <w:r>
        <w:rPr>
          <w:rFonts w:ascii="黑体" w:hAnsi="黑体" w:cs="黑体" w:eastAsia="黑体" w:hint="default"/>
          <w:spacing w:val="-108"/>
          <w:sz w:val="22"/>
          <w:szCs w:val="22"/>
        </w:rPr>
        <w:t> </w:t>
      </w:r>
      <w:r>
        <w:rPr>
          <w:rFonts w:ascii="黑体" w:hAnsi="黑体" w:cs="黑体" w:eastAsia="黑体" w:hint="default"/>
          <w:spacing w:val="-108"/>
          <w:sz w:val="22"/>
          <w:szCs w:val="22"/>
        </w:rPr>
      </w:r>
      <w:r>
        <w:rPr>
          <w:rFonts w:ascii="黑体" w:hAnsi="黑体" w:cs="黑体" w:eastAsia="黑体" w:hint="default"/>
          <w:sz w:val="22"/>
          <w:szCs w:val="22"/>
        </w:rPr>
        <w:t>建工程转固以负数记在在建工程的借方，部分以正数记在贷方，记账不规范，导致在</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建工程科目的累计借方余额不代表本期固定资产真实的增加额，其累计贷方余额也不</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代表本期固定资产真实的转固额和处置额。</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问题及影响</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18" w:firstLine="0"/>
        <w:jc w:val="both"/>
        <w:rPr>
          <w:rFonts w:ascii="黑体" w:hAnsi="黑体" w:cs="黑体" w:eastAsia="黑体" w:hint="default"/>
          <w:sz w:val="22"/>
          <w:szCs w:val="22"/>
        </w:rPr>
      </w:pPr>
      <w:r>
        <w:rPr>
          <w:rFonts w:ascii="黑体" w:hAnsi="黑体" w:cs="黑体" w:eastAsia="黑体" w:hint="default"/>
          <w:sz w:val="22"/>
          <w:szCs w:val="22"/>
        </w:rPr>
        <w:t>虽然财务部门在年末结帐时，已对固定资产及在建工程的变动情况重新进行了财务处</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理的调整以保证不存在重大差异，但是合同记录没有对应相关的在建工程项目，可能</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导致在项目转固的时候会出现错误，因为当在建工程项目已验收合格或到达可使用的</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程度，就可以将其所有相关合同全部从在建工程转入固定资产，但是没有将合同和工</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程项目相联系可能会出现转固的差异。对于帐务处理的做法，我们认为其无法直观的</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从NC账上看出本年的增减变动，也无法和固定资产的帐务处理进行相应的勾稽关系核</w:t>
      </w:r>
      <w:r>
        <w:rPr>
          <w:rFonts w:ascii="黑体" w:hAnsi="黑体" w:cs="黑体" w:eastAsia="黑体" w:hint="default"/>
          <w:spacing w:val="-54"/>
          <w:sz w:val="22"/>
          <w:szCs w:val="22"/>
        </w:rPr>
        <w:t> </w:t>
      </w:r>
      <w:r>
        <w:rPr>
          <w:rFonts w:ascii="黑体" w:hAnsi="黑体" w:cs="黑体" w:eastAsia="黑体" w:hint="default"/>
          <w:spacing w:val="-54"/>
          <w:sz w:val="22"/>
          <w:szCs w:val="22"/>
        </w:rPr>
      </w:r>
      <w:r>
        <w:rPr>
          <w:rFonts w:ascii="黑体" w:hAnsi="黑体" w:cs="黑体" w:eastAsia="黑体" w:hint="default"/>
          <w:sz w:val="22"/>
          <w:szCs w:val="22"/>
        </w:rPr>
        <w:t>对。在建工程NC账户分类不合理直接导致了每个合同的信息与台帐和NC帐务信息无法</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对应。从而不利于在建工程的成本管理和相关财务信息的真实反映。</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建议</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6"/>
          <w:szCs w:val="16"/>
        </w:rPr>
      </w:pPr>
    </w:p>
    <w:p>
      <w:pPr>
        <w:spacing w:line="333" w:lineRule="auto" w:before="31"/>
        <w:ind w:left="525" w:right="118" w:firstLine="0"/>
        <w:jc w:val="both"/>
        <w:rPr>
          <w:rFonts w:ascii="黑体" w:hAnsi="黑体" w:cs="黑体" w:eastAsia="黑体" w:hint="default"/>
          <w:sz w:val="22"/>
          <w:szCs w:val="22"/>
        </w:rPr>
      </w:pPr>
      <w:r>
        <w:rPr>
          <w:rFonts w:ascii="黑体" w:hAnsi="黑体" w:cs="黑体" w:eastAsia="黑体" w:hint="default"/>
          <w:sz w:val="22"/>
          <w:szCs w:val="22"/>
        </w:rPr>
        <w:t>建议将在建工程NC帐户分类改为以建筑项目名称为辅助账户名称，并且从中能看到该</w:t>
      </w:r>
      <w:r>
        <w:rPr>
          <w:rFonts w:ascii="黑体" w:hAnsi="黑体" w:cs="黑体" w:eastAsia="黑体" w:hint="default"/>
          <w:spacing w:val="-54"/>
          <w:sz w:val="22"/>
          <w:szCs w:val="22"/>
        </w:rPr>
        <w:t> </w:t>
      </w:r>
      <w:r>
        <w:rPr>
          <w:rFonts w:ascii="黑体" w:hAnsi="黑体" w:cs="黑体" w:eastAsia="黑体" w:hint="default"/>
          <w:spacing w:val="-54"/>
          <w:sz w:val="22"/>
          <w:szCs w:val="22"/>
        </w:rPr>
      </w:r>
      <w:r>
        <w:rPr>
          <w:rFonts w:ascii="黑体" w:hAnsi="黑体" w:cs="黑体" w:eastAsia="黑体" w:hint="default"/>
          <w:sz w:val="22"/>
          <w:szCs w:val="22"/>
        </w:rPr>
        <w:t>项目对应的所有合同的信息及每年的变动情况，与台帐内容相符。同时进行正确的帐</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务处理。并且在NC账中，对应于各在建工程项目登记记录详细的完整的合同信息。</w:t>
      </w:r>
    </w:p>
    <w:p>
      <w:pPr>
        <w:spacing w:after="0" w:line="333" w:lineRule="auto"/>
        <w:jc w:val="both"/>
        <w:rPr>
          <w:rFonts w:ascii="黑体" w:hAnsi="黑体" w:cs="黑体" w:eastAsia="黑体" w:hint="default"/>
          <w:sz w:val="22"/>
          <w:szCs w:val="22"/>
        </w:rPr>
        <w:sectPr>
          <w:headerReference w:type="default" r:id="rId104"/>
          <w:pgSz w:w="12240" w:h="15840"/>
          <w:pgMar w:header="1753" w:footer="755" w:top="1960" w:bottom="940" w:left="1700" w:right="1680"/>
        </w:sectPr>
      </w:pPr>
    </w:p>
    <w:p>
      <w:pPr>
        <w:tabs>
          <w:tab w:pos="819" w:val="left" w:leader="none"/>
        </w:tabs>
        <w:spacing w:line="532" w:lineRule="auto" w:before="5"/>
        <w:ind w:left="526" w:right="3617" w:hanging="427"/>
        <w:jc w:val="left"/>
        <w:rPr>
          <w:rFonts w:ascii="黑体" w:hAnsi="黑体" w:cs="黑体" w:eastAsia="黑体" w:hint="default"/>
          <w:sz w:val="22"/>
          <w:szCs w:val="22"/>
        </w:rPr>
      </w:pPr>
      <w:r>
        <w:rPr>
          <w:rFonts w:ascii="黑体" w:hAnsi="黑体" w:cs="黑体" w:eastAsia="黑体" w:hint="default"/>
          <w:w w:val="95"/>
          <w:sz w:val="22"/>
          <w:szCs w:val="22"/>
        </w:rPr>
        <w:t>11.</w:t>
        <w:tab/>
        <w:tab/>
      </w:r>
      <w:r>
        <w:rPr>
          <w:rFonts w:ascii="黑体" w:hAnsi="黑体" w:cs="黑体" w:eastAsia="黑体" w:hint="default"/>
          <w:sz w:val="22"/>
          <w:szCs w:val="22"/>
        </w:rPr>
        <w:t>在建工程合同管理与财务处理（总部）（续）</w:t>
      </w:r>
      <w:r>
        <w:rPr>
          <w:rFonts w:ascii="黑体" w:hAnsi="黑体" w:cs="黑体" w:eastAsia="黑体" w:hint="default"/>
          <w:w w:val="99"/>
          <w:sz w:val="22"/>
          <w:szCs w:val="22"/>
        </w:rPr>
        <w:t> </w:t>
      </w:r>
      <w:r>
        <w:rPr>
          <w:rFonts w:ascii="黑体" w:hAnsi="黑体" w:cs="黑体" w:eastAsia="黑体" w:hint="default"/>
          <w:sz w:val="22"/>
          <w:szCs w:val="22"/>
          <w:u w:val="single" w:color="000000"/>
        </w:rPr>
        <w:t>管理层意见</w:t>
      </w:r>
      <w:r>
        <w:rPr>
          <w:rFonts w:ascii="黑体" w:hAnsi="黑体" w:cs="黑体" w:eastAsia="黑体" w:hint="default"/>
          <w:sz w:val="22"/>
          <w:szCs w:val="22"/>
        </w:rPr>
      </w:r>
    </w:p>
    <w:p>
      <w:pPr>
        <w:spacing w:line="240" w:lineRule="auto" w:before="3"/>
        <w:rPr>
          <w:rFonts w:ascii="黑体" w:hAnsi="黑体" w:cs="黑体" w:eastAsia="黑体" w:hint="default"/>
          <w:sz w:val="16"/>
          <w:szCs w:val="16"/>
        </w:rPr>
      </w:pPr>
    </w:p>
    <w:p>
      <w:pPr>
        <w:spacing w:line="333" w:lineRule="auto" w:before="31"/>
        <w:ind w:left="525" w:right="99" w:firstLine="0"/>
        <w:jc w:val="both"/>
        <w:rPr>
          <w:rFonts w:ascii="黑体" w:hAnsi="黑体" w:cs="黑体" w:eastAsia="黑体" w:hint="default"/>
          <w:sz w:val="22"/>
          <w:szCs w:val="22"/>
        </w:rPr>
      </w:pPr>
      <w:r>
        <w:rPr>
          <w:rFonts w:ascii="黑体" w:hAnsi="黑体" w:cs="黑体" w:eastAsia="黑体" w:hint="default"/>
          <w:sz w:val="22"/>
          <w:szCs w:val="22"/>
        </w:rPr>
        <w:t>我公司在建工程核算中是以工程名称为科目辅助名称，并以合同及客户为辅助项目进</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行核算。我们在以后的核算中将严格执行工程与相关合同匹配的原则，以减少结转时</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产生的差异调整。</w:t>
      </w:r>
    </w:p>
    <w:p>
      <w:pPr>
        <w:spacing w:after="0" w:line="333" w:lineRule="auto"/>
        <w:jc w:val="both"/>
        <w:rPr>
          <w:rFonts w:ascii="黑体" w:hAnsi="黑体" w:cs="黑体" w:eastAsia="黑体" w:hint="default"/>
          <w:sz w:val="22"/>
          <w:szCs w:val="22"/>
        </w:rPr>
        <w:sectPr>
          <w:headerReference w:type="default" r:id="rId105"/>
          <w:pgSz w:w="12240" w:h="15840"/>
          <w:pgMar w:header="0" w:footer="755" w:top="1400" w:bottom="940" w:left="1700" w:right="1700"/>
        </w:sectPr>
      </w:pPr>
    </w:p>
    <w:p>
      <w:pPr>
        <w:spacing w:line="240" w:lineRule="auto" w:before="6"/>
        <w:rPr>
          <w:rFonts w:ascii="黑体" w:hAnsi="黑体" w:cs="黑体" w:eastAsia="黑体" w:hint="default"/>
          <w:sz w:val="24"/>
          <w:szCs w:val="24"/>
        </w:rPr>
      </w:pPr>
    </w:p>
    <w:p>
      <w:pPr>
        <w:spacing w:before="31"/>
        <w:ind w:left="526" w:right="121"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发现</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6"/>
          <w:szCs w:val="16"/>
        </w:rPr>
      </w:pPr>
    </w:p>
    <w:p>
      <w:pPr>
        <w:spacing w:line="333" w:lineRule="auto" w:before="31"/>
        <w:ind w:left="525" w:right="121" w:firstLine="0"/>
        <w:jc w:val="left"/>
        <w:rPr>
          <w:rFonts w:ascii="黑体" w:hAnsi="黑体" w:cs="黑体" w:eastAsia="黑体" w:hint="default"/>
          <w:sz w:val="22"/>
          <w:szCs w:val="22"/>
        </w:rPr>
      </w:pPr>
      <w:r>
        <w:rPr>
          <w:rFonts w:ascii="黑体" w:hAnsi="黑体" w:cs="黑体" w:eastAsia="黑体" w:hint="default"/>
          <w:sz w:val="22"/>
          <w:szCs w:val="22"/>
        </w:rPr>
        <w:t>贵集团总部银行存款余额年底存在大量调节项，但是银行余额调节表上的调节项仅有</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金额列示，无相关款项性质或调节项凭证日期及凭证号。</w:t>
      </w:r>
    </w:p>
    <w:p>
      <w:pPr>
        <w:spacing w:line="240" w:lineRule="auto" w:before="8"/>
        <w:rPr>
          <w:rFonts w:ascii="黑体" w:hAnsi="黑体" w:cs="黑体" w:eastAsia="黑体" w:hint="default"/>
          <w:sz w:val="32"/>
          <w:szCs w:val="32"/>
        </w:rPr>
      </w:pPr>
    </w:p>
    <w:p>
      <w:pPr>
        <w:spacing w:before="0"/>
        <w:ind w:left="525" w:right="121"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问题及影响</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6"/>
          <w:szCs w:val="16"/>
        </w:rPr>
      </w:pPr>
    </w:p>
    <w:p>
      <w:pPr>
        <w:spacing w:line="333" w:lineRule="auto" w:before="31"/>
        <w:ind w:left="525" w:right="99" w:firstLine="0"/>
        <w:jc w:val="both"/>
        <w:rPr>
          <w:rFonts w:ascii="黑体" w:hAnsi="黑体" w:cs="黑体" w:eastAsia="黑体" w:hint="default"/>
          <w:sz w:val="22"/>
          <w:szCs w:val="22"/>
        </w:rPr>
      </w:pPr>
      <w:r>
        <w:rPr>
          <w:rFonts w:ascii="黑体" w:hAnsi="黑体" w:cs="黑体" w:eastAsia="黑体" w:hint="default"/>
          <w:sz w:val="22"/>
          <w:szCs w:val="22"/>
        </w:rPr>
        <w:t>银行余额调节表是检查公司财务账面货币资金，以及其他相关科目是否存在错误和舞</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弊的重要工具；能够纠正会计人员工作中的疏忽与漏洞，保证银行存款当月发生额及</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时入账的正确性。调节项目记录的完备性是银行余额调节表发挥其检查功能的基本依</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据，不完备的银行余额调节项目不仅影响了调节表的检查功能的有效执行，也加大了</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复核人员的工作量，降低了工作效率。</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建议</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6"/>
          <w:szCs w:val="16"/>
        </w:rPr>
      </w:pPr>
    </w:p>
    <w:p>
      <w:pPr>
        <w:spacing w:line="333" w:lineRule="auto" w:before="31"/>
        <w:ind w:left="525" w:right="121" w:firstLine="0"/>
        <w:jc w:val="left"/>
        <w:rPr>
          <w:rFonts w:ascii="黑体" w:hAnsi="黑体" w:cs="黑体" w:eastAsia="黑体" w:hint="default"/>
          <w:sz w:val="22"/>
          <w:szCs w:val="22"/>
        </w:rPr>
      </w:pPr>
      <w:r>
        <w:rPr>
          <w:rFonts w:ascii="黑体" w:hAnsi="黑体" w:cs="黑体" w:eastAsia="黑体" w:hint="default"/>
          <w:sz w:val="22"/>
          <w:szCs w:val="22"/>
        </w:rPr>
        <w:t>建议贵集团总部完善银行余额调节表要素，填写相应调节项日期、凭证号及性质以提</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高银行余额调节表的质量。</w:t>
      </w:r>
    </w:p>
    <w:p>
      <w:pPr>
        <w:spacing w:line="240" w:lineRule="auto" w:before="7"/>
        <w:rPr>
          <w:rFonts w:ascii="黑体" w:hAnsi="黑体" w:cs="黑体" w:eastAsia="黑体" w:hint="default"/>
          <w:sz w:val="32"/>
          <w:szCs w:val="32"/>
        </w:rPr>
      </w:pPr>
    </w:p>
    <w:p>
      <w:pPr>
        <w:spacing w:before="0"/>
        <w:ind w:left="520" w:right="121"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管理层意见</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21" w:firstLine="0"/>
        <w:jc w:val="left"/>
        <w:rPr>
          <w:rFonts w:ascii="黑体" w:hAnsi="黑体" w:cs="黑体" w:eastAsia="黑体" w:hint="default"/>
          <w:sz w:val="22"/>
          <w:szCs w:val="22"/>
        </w:rPr>
      </w:pPr>
      <w:r>
        <w:rPr>
          <w:rFonts w:ascii="黑体" w:hAnsi="黑体" w:cs="黑体" w:eastAsia="黑体" w:hint="default"/>
          <w:sz w:val="22"/>
          <w:szCs w:val="22"/>
        </w:rPr>
        <w:t>公司将要求股份总部、上海分公司在做银行余额调节表时填写完整相关要素，提高银</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行余额调节表质量。</w:t>
      </w:r>
    </w:p>
    <w:p>
      <w:pPr>
        <w:spacing w:after="0" w:line="333" w:lineRule="auto"/>
        <w:jc w:val="left"/>
        <w:rPr>
          <w:rFonts w:ascii="黑体" w:hAnsi="黑体" w:cs="黑体" w:eastAsia="黑体" w:hint="default"/>
          <w:sz w:val="22"/>
          <w:szCs w:val="22"/>
        </w:rPr>
        <w:sectPr>
          <w:headerReference w:type="default" r:id="rId106"/>
          <w:pgSz w:w="12240" w:h="15840"/>
          <w:pgMar w:header="1753" w:footer="755" w:top="1960" w:bottom="940" w:left="1700" w:right="170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15"/>
          <w:szCs w:val="15"/>
        </w:rPr>
      </w:pPr>
    </w:p>
    <w:p>
      <w:pPr>
        <w:spacing w:before="31"/>
        <w:ind w:left="526" w:right="121"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发现</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6"/>
          <w:szCs w:val="16"/>
        </w:rPr>
      </w:pPr>
    </w:p>
    <w:p>
      <w:pPr>
        <w:spacing w:line="333" w:lineRule="auto" w:before="31"/>
        <w:ind w:left="525" w:right="99" w:firstLine="0"/>
        <w:jc w:val="both"/>
        <w:rPr>
          <w:rFonts w:ascii="黑体" w:hAnsi="黑体" w:cs="黑体" w:eastAsia="黑体" w:hint="default"/>
          <w:sz w:val="22"/>
          <w:szCs w:val="22"/>
        </w:rPr>
      </w:pPr>
      <w:r>
        <w:rPr>
          <w:rFonts w:ascii="黑体" w:hAnsi="黑体" w:cs="黑体" w:eastAsia="黑体" w:hint="default"/>
          <w:sz w:val="22"/>
          <w:szCs w:val="22"/>
        </w:rPr>
        <w:t>贵公司之子公司厦门烟草将各月计提及缴交的失业保险、工伤保险及生育保险均计入</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应付职工薪酬中的医疗保险项目，贵公司之子公司北京方正春元科技发展有限公司将</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各月计提的奖金均计入费用中的工资明细项目，造成相关科目的明细项目混淆。</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问题及影响</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99" w:firstLine="0"/>
        <w:jc w:val="both"/>
        <w:rPr>
          <w:rFonts w:ascii="黑体" w:hAnsi="黑体" w:cs="黑体" w:eastAsia="黑体" w:hint="default"/>
          <w:sz w:val="22"/>
          <w:szCs w:val="22"/>
        </w:rPr>
      </w:pPr>
      <w:r>
        <w:rPr>
          <w:rFonts w:ascii="黑体" w:hAnsi="黑体" w:cs="黑体" w:eastAsia="黑体" w:hint="default"/>
          <w:sz w:val="22"/>
          <w:szCs w:val="22"/>
        </w:rPr>
        <w:t>虽然上述问题仅是科目内部明细项目的分类问题，对科目总额不会造成影响，但是由</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于用友烟草员工工作所在地较为分散，社会保险缴纳的管理难度较高，同时政府机构</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人力资源和社会保障局可能会对社会保险的缴交情况进行检查，若在日常核算中不将</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其进行严格区分，可能会加大财务部门及人事部门年末结账时的工作量，也不利于管</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理层对公司的社会保险的缴交情况进行有效的控制，影响到财务分析数据的精确性。</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由于方正春元员工各月工资基本稳定，但奖金依据业绩完成情况和公司政策会有一定</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程度的波动，若在费用中对工资和奖金不加区分，可能会导致管理层难以在日常工作</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中对同一类费用明细的变动情况进行准确分析，不利于管理层及时准确的掌握工资、</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奖金支出的发生情况，对各期工资、奖金支出进行有效的控制，以及对未来的费用支</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出进行合理预算。</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建议</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6"/>
          <w:szCs w:val="16"/>
        </w:rPr>
      </w:pPr>
    </w:p>
    <w:p>
      <w:pPr>
        <w:spacing w:line="333" w:lineRule="auto" w:before="31"/>
        <w:ind w:left="525" w:right="121" w:firstLine="0"/>
        <w:jc w:val="left"/>
        <w:rPr>
          <w:rFonts w:ascii="黑体" w:hAnsi="黑体" w:cs="黑体" w:eastAsia="黑体" w:hint="default"/>
          <w:sz w:val="22"/>
          <w:szCs w:val="22"/>
        </w:rPr>
      </w:pPr>
      <w:r>
        <w:rPr>
          <w:rFonts w:ascii="黑体" w:hAnsi="黑体" w:cs="黑体" w:eastAsia="黑体" w:hint="default"/>
          <w:sz w:val="22"/>
          <w:szCs w:val="22"/>
        </w:rPr>
        <w:t>建议在日常帐务处理中，严格按照按照各类业务的实际情况计入相应会计科目的明细</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项目。</w:t>
      </w:r>
    </w:p>
    <w:p>
      <w:pPr>
        <w:spacing w:line="240" w:lineRule="auto" w:before="8"/>
        <w:rPr>
          <w:rFonts w:ascii="黑体" w:hAnsi="黑体" w:cs="黑体" w:eastAsia="黑体" w:hint="default"/>
          <w:sz w:val="32"/>
          <w:szCs w:val="32"/>
        </w:rPr>
      </w:pPr>
    </w:p>
    <w:p>
      <w:pPr>
        <w:spacing w:before="0"/>
        <w:ind w:left="520" w:right="121"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管理层意见</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6"/>
          <w:szCs w:val="16"/>
        </w:rPr>
      </w:pPr>
    </w:p>
    <w:p>
      <w:pPr>
        <w:spacing w:line="333" w:lineRule="auto" w:before="31"/>
        <w:ind w:left="525" w:right="121" w:firstLine="0"/>
        <w:jc w:val="left"/>
        <w:rPr>
          <w:rFonts w:ascii="黑体" w:hAnsi="黑体" w:cs="黑体" w:eastAsia="黑体" w:hint="default"/>
          <w:sz w:val="22"/>
          <w:szCs w:val="22"/>
        </w:rPr>
      </w:pPr>
      <w:r>
        <w:rPr>
          <w:rFonts w:ascii="黑体" w:hAnsi="黑体" w:cs="黑体" w:eastAsia="黑体" w:hint="default"/>
          <w:sz w:val="22"/>
          <w:szCs w:val="22"/>
        </w:rPr>
        <w:t>我们接受建议，将要求厦门烟草、方正春元公司严格按照各类业务的实际情况计入相</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应会计科目的明细项目。</w:t>
      </w:r>
    </w:p>
    <w:p>
      <w:pPr>
        <w:spacing w:after="0" w:line="333" w:lineRule="auto"/>
        <w:jc w:val="left"/>
        <w:rPr>
          <w:rFonts w:ascii="黑体" w:hAnsi="黑体" w:cs="黑体" w:eastAsia="黑体" w:hint="default"/>
          <w:sz w:val="22"/>
          <w:szCs w:val="22"/>
        </w:rPr>
        <w:sectPr>
          <w:headerReference w:type="default" r:id="rId107"/>
          <w:pgSz w:w="12240" w:h="15840"/>
          <w:pgMar w:header="1753" w:footer="755" w:top="1960" w:bottom="940" w:left="1700" w:right="1700"/>
        </w:sectPr>
      </w:pPr>
    </w:p>
    <w:p>
      <w:pPr>
        <w:spacing w:line="240" w:lineRule="auto" w:before="0"/>
        <w:rPr>
          <w:rFonts w:ascii="黑体" w:hAnsi="黑体" w:cs="黑体" w:eastAsia="黑体" w:hint="default"/>
          <w:sz w:val="20"/>
          <w:szCs w:val="20"/>
        </w:rPr>
      </w:pPr>
    </w:p>
    <w:p>
      <w:pPr>
        <w:spacing w:line="240" w:lineRule="auto" w:before="4"/>
        <w:rPr>
          <w:rFonts w:ascii="黑体" w:hAnsi="黑体" w:cs="黑体" w:eastAsia="黑体" w:hint="default"/>
          <w:sz w:val="29"/>
          <w:szCs w:val="29"/>
        </w:rPr>
      </w:pPr>
    </w:p>
    <w:p>
      <w:pPr>
        <w:spacing w:before="31"/>
        <w:ind w:left="526" w:right="107"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发现</w:t>
      </w:r>
      <w:r>
        <w:rPr>
          <w:rFonts w:ascii="黑体" w:hAnsi="黑体" w:cs="黑体" w:eastAsia="黑体" w:hint="default"/>
          <w:sz w:val="22"/>
          <w:szCs w:val="22"/>
        </w:rPr>
      </w:r>
    </w:p>
    <w:p>
      <w:pPr>
        <w:spacing w:line="240" w:lineRule="auto" w:before="12"/>
        <w:rPr>
          <w:rFonts w:ascii="黑体" w:hAnsi="黑体" w:cs="黑体" w:eastAsia="黑体" w:hint="default"/>
          <w:sz w:val="24"/>
          <w:szCs w:val="24"/>
        </w:rPr>
      </w:pPr>
    </w:p>
    <w:p>
      <w:pPr>
        <w:spacing w:line="333" w:lineRule="auto" w:before="31"/>
        <w:ind w:left="525" w:right="107" w:firstLine="0"/>
        <w:jc w:val="left"/>
        <w:rPr>
          <w:rFonts w:ascii="黑体" w:hAnsi="黑体" w:cs="黑体" w:eastAsia="黑体" w:hint="default"/>
          <w:sz w:val="22"/>
          <w:szCs w:val="22"/>
        </w:rPr>
      </w:pPr>
      <w:r>
        <w:rPr>
          <w:rFonts w:ascii="黑体" w:hAnsi="黑体" w:cs="黑体" w:eastAsia="黑体" w:hint="default"/>
          <w:sz w:val="22"/>
          <w:szCs w:val="22"/>
        </w:rPr>
        <w:t>贵公司之北京分公司存在将应付实施外包的承包方的款项计入了其他应付款，而不是</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应付账款。</w:t>
      </w:r>
    </w:p>
    <w:p>
      <w:pPr>
        <w:spacing w:line="240" w:lineRule="auto" w:before="0"/>
        <w:rPr>
          <w:rFonts w:ascii="黑体" w:hAnsi="黑体" w:cs="黑体" w:eastAsia="黑体" w:hint="default"/>
          <w:sz w:val="18"/>
          <w:szCs w:val="18"/>
        </w:rPr>
      </w:pPr>
    </w:p>
    <w:p>
      <w:pPr>
        <w:spacing w:before="0"/>
        <w:ind w:left="525" w:right="107"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影响</w:t>
      </w:r>
      <w:r>
        <w:rPr>
          <w:rFonts w:ascii="黑体" w:hAnsi="黑体" w:cs="黑体" w:eastAsia="黑体" w:hint="default"/>
          <w:sz w:val="22"/>
          <w:szCs w:val="22"/>
        </w:rPr>
      </w:r>
    </w:p>
    <w:p>
      <w:pPr>
        <w:spacing w:line="240" w:lineRule="auto" w:before="12"/>
        <w:rPr>
          <w:rFonts w:ascii="黑体" w:hAnsi="黑体" w:cs="黑体" w:eastAsia="黑体" w:hint="default"/>
          <w:sz w:val="24"/>
          <w:szCs w:val="24"/>
        </w:rPr>
      </w:pPr>
    </w:p>
    <w:p>
      <w:pPr>
        <w:spacing w:line="333" w:lineRule="auto" w:before="31"/>
        <w:ind w:left="525" w:right="116" w:firstLine="0"/>
        <w:jc w:val="both"/>
        <w:rPr>
          <w:rFonts w:ascii="黑体" w:hAnsi="黑体" w:cs="黑体" w:eastAsia="黑体" w:hint="default"/>
          <w:sz w:val="22"/>
          <w:szCs w:val="22"/>
        </w:rPr>
      </w:pPr>
      <w:r>
        <w:rPr>
          <w:rFonts w:ascii="黑体" w:hAnsi="黑体" w:cs="黑体" w:eastAsia="黑体" w:hint="default"/>
          <w:spacing w:val="7"/>
          <w:sz w:val="22"/>
          <w:szCs w:val="22"/>
        </w:rPr>
        <w:t>北京分公司2009年12月31日在其他应付款中存在应付实施服务外包的款项为人民币</w:t>
      </w:r>
      <w:r>
        <w:rPr>
          <w:rFonts w:ascii="黑体" w:hAnsi="黑体" w:cs="黑体" w:eastAsia="黑体" w:hint="default"/>
          <w:w w:val="99"/>
          <w:sz w:val="22"/>
          <w:szCs w:val="22"/>
        </w:rPr>
        <w:t> </w:t>
      </w:r>
      <w:r>
        <w:rPr>
          <w:rFonts w:ascii="黑体" w:hAnsi="黑体" w:cs="黑体" w:eastAsia="黑体" w:hint="default"/>
          <w:spacing w:val="5"/>
          <w:w w:val="95"/>
          <w:sz w:val="22"/>
          <w:szCs w:val="22"/>
        </w:rPr>
        <w:t>280多万元，应计入应付账款。虽然财务部门已在年末结帐时将其进行重分类调整，</w:t>
      </w:r>
      <w:r>
        <w:rPr>
          <w:rFonts w:ascii="黑体" w:hAnsi="黑体" w:cs="黑体" w:eastAsia="黑体" w:hint="default"/>
          <w:spacing w:val="63"/>
          <w:w w:val="95"/>
          <w:sz w:val="22"/>
          <w:szCs w:val="22"/>
        </w:rPr>
        <w:t> </w:t>
      </w:r>
      <w:r>
        <w:rPr>
          <w:rFonts w:ascii="黑体" w:hAnsi="黑体" w:cs="黑体" w:eastAsia="黑体" w:hint="default"/>
          <w:spacing w:val="63"/>
          <w:w w:val="95"/>
          <w:sz w:val="22"/>
          <w:szCs w:val="22"/>
        </w:rPr>
      </w:r>
      <w:r>
        <w:rPr>
          <w:rFonts w:ascii="黑体" w:hAnsi="黑体" w:cs="黑体" w:eastAsia="黑体" w:hint="default"/>
          <w:sz w:val="22"/>
          <w:szCs w:val="22"/>
        </w:rPr>
        <w:t>但是考虑到随着北京分公司的业务不断扩大，实施服务的外包也会随之增加，如果继</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续计入其他应付款，就会导致外包性质的成本不能得以准确的反映。</w:t>
      </w:r>
    </w:p>
    <w:p>
      <w:pPr>
        <w:spacing w:line="240" w:lineRule="auto" w:before="0"/>
        <w:rPr>
          <w:rFonts w:ascii="黑体" w:hAnsi="黑体" w:cs="黑体" w:eastAsia="黑体" w:hint="default"/>
          <w:sz w:val="22"/>
          <w:szCs w:val="22"/>
        </w:rPr>
      </w:pPr>
    </w:p>
    <w:p>
      <w:pPr>
        <w:spacing w:line="240" w:lineRule="auto" w:before="11"/>
        <w:rPr>
          <w:rFonts w:ascii="黑体" w:hAnsi="黑体" w:cs="黑体" w:eastAsia="黑体" w:hint="default"/>
          <w:sz w:val="17"/>
          <w:szCs w:val="17"/>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建议</w:t>
      </w:r>
      <w:r>
        <w:rPr>
          <w:rFonts w:ascii="黑体" w:hAnsi="黑体" w:cs="黑体" w:eastAsia="黑体" w:hint="default"/>
          <w:sz w:val="22"/>
          <w:szCs w:val="22"/>
        </w:rPr>
      </w:r>
    </w:p>
    <w:p>
      <w:pPr>
        <w:spacing w:line="240" w:lineRule="auto" w:before="13"/>
        <w:rPr>
          <w:rFonts w:ascii="黑体" w:hAnsi="黑体" w:cs="黑体" w:eastAsia="黑体" w:hint="default"/>
          <w:sz w:val="24"/>
          <w:szCs w:val="24"/>
        </w:rPr>
      </w:pPr>
    </w:p>
    <w:p>
      <w:pPr>
        <w:spacing w:line="333" w:lineRule="auto" w:before="31"/>
        <w:ind w:left="525" w:right="107" w:firstLine="0"/>
        <w:jc w:val="left"/>
        <w:rPr>
          <w:rFonts w:ascii="黑体" w:hAnsi="黑体" w:cs="黑体" w:eastAsia="黑体" w:hint="default"/>
          <w:sz w:val="22"/>
          <w:szCs w:val="22"/>
        </w:rPr>
      </w:pPr>
      <w:r>
        <w:rPr>
          <w:rFonts w:ascii="黑体" w:hAnsi="黑体" w:cs="黑体" w:eastAsia="黑体" w:hint="default"/>
          <w:sz w:val="22"/>
          <w:szCs w:val="22"/>
        </w:rPr>
        <w:t>将主营业务性质的应付款项计入应付账款，而不是其他应付款，对流动负债的进行恰</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当记账和分类。</w:t>
      </w:r>
    </w:p>
    <w:p>
      <w:pPr>
        <w:spacing w:line="240" w:lineRule="auto" w:before="0"/>
        <w:rPr>
          <w:rFonts w:ascii="黑体" w:hAnsi="黑体" w:cs="黑体" w:eastAsia="黑体" w:hint="default"/>
          <w:sz w:val="18"/>
          <w:szCs w:val="18"/>
        </w:rPr>
      </w:pPr>
    </w:p>
    <w:p>
      <w:pPr>
        <w:spacing w:before="0"/>
        <w:ind w:left="525" w:right="107"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管理层意见</w:t>
      </w:r>
      <w:r>
        <w:rPr>
          <w:rFonts w:ascii="黑体" w:hAnsi="黑体" w:cs="黑体" w:eastAsia="黑体" w:hint="default"/>
          <w:sz w:val="22"/>
          <w:szCs w:val="22"/>
        </w:rPr>
      </w:r>
    </w:p>
    <w:p>
      <w:pPr>
        <w:spacing w:line="240" w:lineRule="auto" w:before="0"/>
        <w:rPr>
          <w:rFonts w:ascii="黑体" w:hAnsi="黑体" w:cs="黑体" w:eastAsia="黑体" w:hint="default"/>
          <w:sz w:val="25"/>
          <w:szCs w:val="25"/>
        </w:rPr>
      </w:pPr>
    </w:p>
    <w:p>
      <w:pPr>
        <w:spacing w:before="31"/>
        <w:ind w:left="525" w:right="107" w:firstLine="0"/>
        <w:jc w:val="left"/>
        <w:rPr>
          <w:rFonts w:ascii="黑体" w:hAnsi="黑体" w:cs="黑体" w:eastAsia="黑体" w:hint="default"/>
          <w:sz w:val="22"/>
          <w:szCs w:val="22"/>
        </w:rPr>
      </w:pPr>
      <w:r>
        <w:rPr>
          <w:rFonts w:ascii="黑体" w:hAnsi="黑体" w:cs="黑体" w:eastAsia="黑体" w:hint="default"/>
          <w:sz w:val="22"/>
          <w:szCs w:val="22"/>
        </w:rPr>
        <w:t>我们接受建议，将要求北京分公司公司对流动负债进行准确记账和分类。</w:t>
      </w:r>
    </w:p>
    <w:p>
      <w:pPr>
        <w:spacing w:after="0"/>
        <w:jc w:val="left"/>
        <w:rPr>
          <w:rFonts w:ascii="黑体" w:hAnsi="黑体" w:cs="黑体" w:eastAsia="黑体" w:hint="default"/>
          <w:sz w:val="22"/>
          <w:szCs w:val="22"/>
        </w:rPr>
        <w:sectPr>
          <w:headerReference w:type="default" r:id="rId108"/>
          <w:pgSz w:w="12240" w:h="15840"/>
          <w:pgMar w:header="1753" w:footer="755" w:top="1960" w:bottom="940" w:left="1700" w:right="1680"/>
        </w:sectPr>
      </w:pP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20"/>
          <w:szCs w:val="20"/>
        </w:rPr>
      </w:pPr>
    </w:p>
    <w:p>
      <w:pPr>
        <w:spacing w:before="31"/>
        <w:ind w:left="526" w:right="107"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发现</w:t>
      </w:r>
      <w:r>
        <w:rPr>
          <w:rFonts w:ascii="黑体" w:hAnsi="黑体" w:cs="黑体" w:eastAsia="黑体" w:hint="default"/>
          <w:sz w:val="22"/>
          <w:szCs w:val="22"/>
        </w:rPr>
      </w:r>
    </w:p>
    <w:p>
      <w:pPr>
        <w:spacing w:line="240" w:lineRule="auto" w:before="0"/>
        <w:rPr>
          <w:rFonts w:ascii="黑体" w:hAnsi="黑体" w:cs="黑体" w:eastAsia="黑体" w:hint="default"/>
          <w:sz w:val="25"/>
          <w:szCs w:val="25"/>
        </w:rPr>
      </w:pPr>
    </w:p>
    <w:p>
      <w:pPr>
        <w:spacing w:line="333" w:lineRule="auto" w:before="31"/>
        <w:ind w:left="525" w:right="117" w:firstLine="0"/>
        <w:jc w:val="both"/>
        <w:rPr>
          <w:rFonts w:ascii="黑体" w:hAnsi="黑体" w:cs="黑体" w:eastAsia="黑体" w:hint="default"/>
          <w:sz w:val="22"/>
          <w:szCs w:val="22"/>
        </w:rPr>
      </w:pPr>
      <w:r>
        <w:rPr>
          <w:rFonts w:ascii="黑体" w:hAnsi="黑体" w:cs="黑体" w:eastAsia="黑体" w:hint="default"/>
          <w:sz w:val="22"/>
          <w:szCs w:val="22"/>
        </w:rPr>
        <w:t>贵公司总部和子公司用友政务的总分支机构是合并纳税的，在进行2009年度企业所得</w:t>
      </w:r>
      <w:r>
        <w:rPr>
          <w:rFonts w:ascii="黑体" w:hAnsi="黑体" w:cs="黑体" w:eastAsia="黑体" w:hint="default"/>
          <w:spacing w:val="-55"/>
          <w:sz w:val="22"/>
          <w:szCs w:val="22"/>
        </w:rPr>
        <w:t> </w:t>
      </w:r>
      <w:r>
        <w:rPr>
          <w:rFonts w:ascii="黑体" w:hAnsi="黑体" w:cs="黑体" w:eastAsia="黑体" w:hint="default"/>
          <w:spacing w:val="-55"/>
          <w:sz w:val="22"/>
          <w:szCs w:val="22"/>
        </w:rPr>
      </w:r>
      <w:r>
        <w:rPr>
          <w:rFonts w:ascii="黑体" w:hAnsi="黑体" w:cs="黑体" w:eastAsia="黑体" w:hint="default"/>
          <w:sz w:val="22"/>
          <w:szCs w:val="22"/>
        </w:rPr>
        <w:t>税预缴时把总机构设立的独立生产经营职能的部门也当作一个分支机构并与其他分支</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pacing w:val="5"/>
          <w:w w:val="95"/>
          <w:sz w:val="22"/>
          <w:szCs w:val="22"/>
        </w:rPr>
        <w:t>机构一同参与了分支机构50%应纳税所得额的划分和计算，总机构的经营收入、职工</w:t>
      </w:r>
      <w:r>
        <w:rPr>
          <w:rFonts w:ascii="黑体" w:hAnsi="黑体" w:cs="黑体" w:eastAsia="黑体" w:hint="default"/>
          <w:spacing w:val="63"/>
          <w:w w:val="95"/>
          <w:sz w:val="22"/>
          <w:szCs w:val="22"/>
        </w:rPr>
        <w:t> </w:t>
      </w:r>
      <w:r>
        <w:rPr>
          <w:rFonts w:ascii="黑体" w:hAnsi="黑体" w:cs="黑体" w:eastAsia="黑体" w:hint="default"/>
          <w:spacing w:val="63"/>
          <w:w w:val="95"/>
          <w:sz w:val="22"/>
          <w:szCs w:val="22"/>
        </w:rPr>
      </w:r>
      <w:r>
        <w:rPr>
          <w:rFonts w:ascii="黑体" w:hAnsi="黑体" w:cs="黑体" w:eastAsia="黑体" w:hint="default"/>
          <w:sz w:val="22"/>
          <w:szCs w:val="22"/>
        </w:rPr>
        <w:t>工资和资产总额这三个因素采用的是总机构2009年全部的经营收入、职工工资和资产</w:t>
      </w:r>
      <w:r>
        <w:rPr>
          <w:rFonts w:ascii="黑体" w:hAnsi="黑体" w:cs="黑体" w:eastAsia="黑体" w:hint="default"/>
          <w:spacing w:val="-55"/>
          <w:sz w:val="22"/>
          <w:szCs w:val="22"/>
        </w:rPr>
        <w:t> </w:t>
      </w:r>
      <w:r>
        <w:rPr>
          <w:rFonts w:ascii="黑体" w:hAnsi="黑体" w:cs="黑体" w:eastAsia="黑体" w:hint="default"/>
          <w:spacing w:val="-55"/>
          <w:sz w:val="22"/>
          <w:szCs w:val="22"/>
        </w:rPr>
      </w:r>
      <w:r>
        <w:rPr>
          <w:rFonts w:ascii="黑体" w:hAnsi="黑体" w:cs="黑体" w:eastAsia="黑体" w:hint="default"/>
          <w:sz w:val="22"/>
          <w:szCs w:val="22"/>
        </w:rPr>
        <w:t>总额。</w:t>
      </w:r>
    </w:p>
    <w:p>
      <w:pPr>
        <w:spacing w:line="240" w:lineRule="auto" w:before="0"/>
        <w:rPr>
          <w:rFonts w:ascii="黑体" w:hAnsi="黑体" w:cs="黑体" w:eastAsia="黑体" w:hint="default"/>
          <w:sz w:val="18"/>
          <w:szCs w:val="18"/>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影响</w:t>
      </w:r>
      <w:r>
        <w:rPr>
          <w:rFonts w:ascii="黑体" w:hAnsi="黑体" w:cs="黑体" w:eastAsia="黑体" w:hint="default"/>
          <w:sz w:val="22"/>
          <w:szCs w:val="22"/>
        </w:rPr>
      </w:r>
    </w:p>
    <w:p>
      <w:pPr>
        <w:spacing w:line="240" w:lineRule="auto" w:before="0"/>
        <w:rPr>
          <w:rFonts w:ascii="黑体" w:hAnsi="黑体" w:cs="黑体" w:eastAsia="黑体" w:hint="default"/>
          <w:sz w:val="25"/>
          <w:szCs w:val="25"/>
        </w:rPr>
      </w:pPr>
    </w:p>
    <w:p>
      <w:pPr>
        <w:spacing w:line="333" w:lineRule="auto" w:before="31"/>
        <w:ind w:left="525" w:right="119" w:firstLine="0"/>
        <w:jc w:val="both"/>
        <w:rPr>
          <w:rFonts w:ascii="黑体" w:hAnsi="黑体" w:cs="黑体" w:eastAsia="黑体" w:hint="default"/>
          <w:sz w:val="22"/>
          <w:szCs w:val="22"/>
        </w:rPr>
      </w:pPr>
      <w:r>
        <w:rPr>
          <w:rFonts w:ascii="黑体" w:hAnsi="黑体" w:cs="黑体" w:eastAsia="黑体" w:hint="default"/>
          <w:sz w:val="22"/>
          <w:szCs w:val="22"/>
        </w:rPr>
        <w:t>根据国税发[28]号文的第10条的规定，总机构中设有独立生产经营职能部门、且具有</w:t>
      </w:r>
      <w:r>
        <w:rPr>
          <w:rFonts w:ascii="黑体" w:hAnsi="黑体" w:cs="黑体" w:eastAsia="黑体" w:hint="default"/>
          <w:spacing w:val="-56"/>
          <w:sz w:val="22"/>
          <w:szCs w:val="22"/>
        </w:rPr>
        <w:t> </w:t>
      </w:r>
      <w:r>
        <w:rPr>
          <w:rFonts w:ascii="黑体" w:hAnsi="黑体" w:cs="黑体" w:eastAsia="黑体" w:hint="default"/>
          <w:spacing w:val="-56"/>
          <w:sz w:val="22"/>
          <w:szCs w:val="22"/>
        </w:rPr>
      </w:r>
      <w:r>
        <w:rPr>
          <w:rFonts w:ascii="黑体" w:hAnsi="黑体" w:cs="黑体" w:eastAsia="黑体" w:hint="default"/>
          <w:sz w:val="22"/>
          <w:szCs w:val="22"/>
        </w:rPr>
        <w:t>独立生产经营职能的部门的经营收入、职工工资和资产总额与管理职能部门分开核算</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的，可看具有独立生产经营职能的部门视同一个分支机构，就地预缴企业所得税。具</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有独立生产经营职能部门与管理职能部门的经营收入、职工工资和资产总额不能分开</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核算的，具有独立生产经营职能的部门不得视同一个分支机构，不就地预缴企业所得</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税。</w:t>
      </w:r>
    </w:p>
    <w:p>
      <w:pPr>
        <w:spacing w:line="240" w:lineRule="auto" w:before="8"/>
        <w:rPr>
          <w:rFonts w:ascii="黑体" w:hAnsi="黑体" w:cs="黑体" w:eastAsia="黑体" w:hint="default"/>
          <w:sz w:val="32"/>
          <w:szCs w:val="32"/>
        </w:rPr>
      </w:pPr>
    </w:p>
    <w:p>
      <w:pPr>
        <w:spacing w:line="333" w:lineRule="auto" w:before="0"/>
        <w:ind w:left="525" w:right="117" w:firstLine="0"/>
        <w:jc w:val="both"/>
        <w:rPr>
          <w:rFonts w:ascii="黑体" w:hAnsi="黑体" w:cs="黑体" w:eastAsia="黑体" w:hint="default"/>
          <w:sz w:val="22"/>
          <w:szCs w:val="22"/>
        </w:rPr>
      </w:pPr>
      <w:r>
        <w:rPr>
          <w:rFonts w:ascii="黑体" w:hAnsi="黑体" w:cs="黑体" w:eastAsia="黑体" w:hint="default"/>
          <w:sz w:val="22"/>
          <w:szCs w:val="22"/>
        </w:rPr>
        <w:t>鉴于总部和用友政务的总机构同时也具有管理职能部门，上述测算方法有可能不被总</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公司和用友政务的主管税务机关认可，主管税务机关有可能要求总公司和用友政务拆</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分出属于总机构设立的独立生产经营职能部门和管理职能部门的经营收入、职工工资</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和资产总额，如果没有分开核算，无法拆分，总机构设立的独立生产经营职能的部门</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pacing w:val="5"/>
          <w:w w:val="95"/>
          <w:sz w:val="22"/>
          <w:szCs w:val="22"/>
        </w:rPr>
        <w:t>将不能当作一个分支机构与其他分支机构一同参与分支机构50%应纳税所得额的划分</w:t>
      </w:r>
      <w:r>
        <w:rPr>
          <w:rFonts w:ascii="黑体" w:hAnsi="黑体" w:cs="黑体" w:eastAsia="黑体" w:hint="default"/>
          <w:spacing w:val="63"/>
          <w:w w:val="95"/>
          <w:sz w:val="22"/>
          <w:szCs w:val="22"/>
        </w:rPr>
        <w:t> </w:t>
      </w:r>
      <w:r>
        <w:rPr>
          <w:rFonts w:ascii="黑体" w:hAnsi="黑体" w:cs="黑体" w:eastAsia="黑体" w:hint="default"/>
          <w:spacing w:val="63"/>
          <w:w w:val="95"/>
          <w:sz w:val="22"/>
          <w:szCs w:val="22"/>
        </w:rPr>
      </w:r>
      <w:r>
        <w:rPr>
          <w:rFonts w:ascii="黑体" w:hAnsi="黑体" w:cs="黑体" w:eastAsia="黑体" w:hint="default"/>
          <w:sz w:val="22"/>
          <w:szCs w:val="22"/>
        </w:rPr>
        <w:t>和计算。</w:t>
      </w:r>
    </w:p>
    <w:p>
      <w:pPr>
        <w:spacing w:line="240" w:lineRule="auto" w:before="0"/>
        <w:rPr>
          <w:rFonts w:ascii="黑体" w:hAnsi="黑体" w:cs="黑体" w:eastAsia="黑体" w:hint="default"/>
          <w:sz w:val="18"/>
          <w:szCs w:val="18"/>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建议</w:t>
      </w:r>
      <w:r>
        <w:rPr>
          <w:rFonts w:ascii="黑体" w:hAnsi="黑体" w:cs="黑体" w:eastAsia="黑体" w:hint="default"/>
          <w:sz w:val="22"/>
          <w:szCs w:val="22"/>
        </w:rPr>
      </w:r>
    </w:p>
    <w:p>
      <w:pPr>
        <w:spacing w:line="240" w:lineRule="auto" w:before="1"/>
        <w:rPr>
          <w:rFonts w:ascii="黑体" w:hAnsi="黑体" w:cs="黑体" w:eastAsia="黑体" w:hint="default"/>
          <w:sz w:val="19"/>
          <w:szCs w:val="19"/>
        </w:rPr>
      </w:pPr>
    </w:p>
    <w:p>
      <w:pPr>
        <w:spacing w:line="286" w:lineRule="exact" w:before="60"/>
        <w:ind w:left="525" w:right="175" w:firstLine="0"/>
        <w:jc w:val="left"/>
        <w:rPr>
          <w:rFonts w:ascii="黑体" w:hAnsi="黑体" w:cs="黑体" w:eastAsia="黑体" w:hint="default"/>
          <w:sz w:val="22"/>
          <w:szCs w:val="22"/>
        </w:rPr>
      </w:pPr>
      <w:r>
        <w:rPr>
          <w:rFonts w:ascii="黑体" w:hAnsi="黑体" w:cs="黑体" w:eastAsia="黑体" w:hint="default"/>
          <w:sz w:val="22"/>
          <w:szCs w:val="22"/>
        </w:rPr>
        <w:t>建议客户关注此事宜，在进行企业所得税汇算清缴之前与主管税务机关进行确认，以</w:t>
      </w:r>
      <w:r>
        <w:rPr>
          <w:rFonts w:ascii="黑体" w:hAnsi="黑体" w:cs="黑体" w:eastAsia="黑体" w:hint="default"/>
          <w:w w:val="99"/>
          <w:sz w:val="22"/>
          <w:szCs w:val="22"/>
        </w:rPr>
        <w:t> </w:t>
      </w:r>
      <w:r>
        <w:rPr>
          <w:rFonts w:ascii="黑体" w:hAnsi="黑体" w:cs="黑体" w:eastAsia="黑体" w:hint="default"/>
          <w:sz w:val="22"/>
          <w:szCs w:val="22"/>
        </w:rPr>
        <w:t>避免潜在的税务风险。</w:t>
      </w:r>
    </w:p>
    <w:p>
      <w:pPr>
        <w:spacing w:after="0" w:line="286" w:lineRule="exact"/>
        <w:jc w:val="left"/>
        <w:rPr>
          <w:rFonts w:ascii="黑体" w:hAnsi="黑体" w:cs="黑体" w:eastAsia="黑体" w:hint="default"/>
          <w:sz w:val="22"/>
          <w:szCs w:val="22"/>
        </w:rPr>
        <w:sectPr>
          <w:headerReference w:type="default" r:id="rId109"/>
          <w:pgSz w:w="12240" w:h="15840"/>
          <w:pgMar w:header="1753" w:footer="755" w:top="1960" w:bottom="940" w:left="1700" w:right="1680"/>
        </w:sectPr>
      </w:pP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20"/>
          <w:szCs w:val="20"/>
        </w:rPr>
      </w:pPr>
    </w:p>
    <w:p>
      <w:pPr>
        <w:spacing w:before="31"/>
        <w:ind w:left="526" w:right="107"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管理层意见</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2"/>
        <w:rPr>
          <w:rFonts w:ascii="黑体" w:hAnsi="黑体" w:cs="黑体" w:eastAsia="黑体" w:hint="default"/>
          <w:sz w:val="16"/>
          <w:szCs w:val="16"/>
        </w:rPr>
      </w:pPr>
    </w:p>
    <w:p>
      <w:pPr>
        <w:spacing w:line="333" w:lineRule="auto" w:before="0"/>
        <w:ind w:left="525" w:right="117" w:firstLine="0"/>
        <w:jc w:val="both"/>
        <w:rPr>
          <w:rFonts w:ascii="黑体" w:hAnsi="黑体" w:cs="黑体" w:eastAsia="黑体" w:hint="default"/>
          <w:sz w:val="22"/>
          <w:szCs w:val="22"/>
        </w:rPr>
      </w:pPr>
      <w:r>
        <w:rPr>
          <w:rFonts w:ascii="黑体" w:hAnsi="黑体" w:cs="黑体" w:eastAsia="黑体" w:hint="default"/>
          <w:sz w:val="22"/>
          <w:szCs w:val="22"/>
        </w:rPr>
        <w:t>我公司总部在进行2009年度企业所得税预缴时把总机构设立的独立生产经营职能的部</w:t>
      </w:r>
      <w:r>
        <w:rPr>
          <w:rFonts w:ascii="黑体" w:hAnsi="黑体" w:cs="黑体" w:eastAsia="黑体" w:hint="default"/>
          <w:spacing w:val="-55"/>
          <w:sz w:val="22"/>
          <w:szCs w:val="22"/>
        </w:rPr>
        <w:t> </w:t>
      </w:r>
      <w:r>
        <w:rPr>
          <w:rFonts w:ascii="黑体" w:hAnsi="黑体" w:cs="黑体" w:eastAsia="黑体" w:hint="default"/>
          <w:spacing w:val="-55"/>
          <w:sz w:val="22"/>
          <w:szCs w:val="22"/>
        </w:rPr>
      </w:r>
      <w:r>
        <w:rPr>
          <w:rFonts w:ascii="黑体" w:hAnsi="黑体" w:cs="黑体" w:eastAsia="黑体" w:hint="default"/>
          <w:spacing w:val="5"/>
          <w:w w:val="95"/>
          <w:sz w:val="22"/>
          <w:szCs w:val="22"/>
        </w:rPr>
        <w:t>门也当作一个分支机构并与其他分支机构一同参与了分支机构50%应纳税所得额的划</w:t>
      </w:r>
      <w:r>
        <w:rPr>
          <w:rFonts w:ascii="黑体" w:hAnsi="黑体" w:cs="黑体" w:eastAsia="黑体" w:hint="default"/>
          <w:spacing w:val="63"/>
          <w:w w:val="95"/>
          <w:sz w:val="22"/>
          <w:szCs w:val="22"/>
        </w:rPr>
        <w:t> </w:t>
      </w:r>
      <w:r>
        <w:rPr>
          <w:rFonts w:ascii="黑体" w:hAnsi="黑体" w:cs="黑体" w:eastAsia="黑体" w:hint="default"/>
          <w:spacing w:val="63"/>
          <w:w w:val="95"/>
          <w:sz w:val="22"/>
          <w:szCs w:val="22"/>
        </w:rPr>
      </w:r>
      <w:r>
        <w:rPr>
          <w:rFonts w:ascii="黑体" w:hAnsi="黑体" w:cs="黑体" w:eastAsia="黑体" w:hint="default"/>
          <w:sz w:val="22"/>
          <w:szCs w:val="22"/>
        </w:rPr>
        <w:t>分和计算，事前、事后多次与主管税务机关进行汇报，主管税务机关没有异议。</w:t>
      </w:r>
    </w:p>
    <w:p>
      <w:pPr>
        <w:spacing w:line="240" w:lineRule="auto" w:before="8"/>
        <w:rPr>
          <w:rFonts w:ascii="黑体" w:hAnsi="黑体" w:cs="黑体" w:eastAsia="黑体" w:hint="default"/>
          <w:sz w:val="32"/>
          <w:szCs w:val="32"/>
        </w:rPr>
      </w:pPr>
    </w:p>
    <w:p>
      <w:pPr>
        <w:spacing w:line="333" w:lineRule="auto" w:before="0"/>
        <w:ind w:left="525" w:right="119" w:firstLine="0"/>
        <w:jc w:val="both"/>
        <w:rPr>
          <w:rFonts w:ascii="黑体" w:hAnsi="黑体" w:cs="黑体" w:eastAsia="黑体" w:hint="default"/>
          <w:sz w:val="22"/>
          <w:szCs w:val="22"/>
        </w:rPr>
      </w:pPr>
      <w:r>
        <w:rPr>
          <w:rFonts w:ascii="黑体" w:hAnsi="黑体" w:cs="黑体" w:eastAsia="黑体" w:hint="default"/>
          <w:sz w:val="22"/>
          <w:szCs w:val="22"/>
        </w:rPr>
        <w:t>我公司总部具有管理职能部门经营收入、职工工资和资产总额基本上是分开核算的在</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计算各分支机构应分摊所得税款的比例时已经扣除。</w:t>
      </w:r>
    </w:p>
    <w:p>
      <w:pPr>
        <w:spacing w:line="240" w:lineRule="auto" w:before="8"/>
        <w:rPr>
          <w:rFonts w:ascii="黑体" w:hAnsi="黑体" w:cs="黑体" w:eastAsia="黑体" w:hint="default"/>
          <w:sz w:val="32"/>
          <w:szCs w:val="32"/>
        </w:rPr>
      </w:pPr>
    </w:p>
    <w:p>
      <w:pPr>
        <w:spacing w:line="333" w:lineRule="auto" w:before="0"/>
        <w:ind w:left="525" w:right="112" w:firstLine="0"/>
        <w:jc w:val="both"/>
        <w:rPr>
          <w:rFonts w:ascii="黑体" w:hAnsi="黑体" w:cs="黑体" w:eastAsia="黑体" w:hint="default"/>
          <w:sz w:val="22"/>
          <w:szCs w:val="22"/>
        </w:rPr>
      </w:pPr>
      <w:r>
        <w:rPr>
          <w:rFonts w:ascii="黑体" w:hAnsi="黑体" w:cs="黑体" w:eastAsia="黑体" w:hint="default"/>
          <w:sz w:val="22"/>
          <w:szCs w:val="22"/>
        </w:rPr>
        <w:t>国税发(2008)28号第二十八条</w:t>
      </w:r>
      <w:r>
        <w:rPr>
          <w:rFonts w:ascii="黑体" w:hAnsi="黑体" w:cs="黑体" w:eastAsia="黑体" w:hint="default"/>
          <w:spacing w:val="86"/>
          <w:sz w:val="22"/>
          <w:szCs w:val="22"/>
        </w:rPr>
        <w:t> </w:t>
      </w:r>
      <w:r>
        <w:rPr>
          <w:rFonts w:ascii="黑体" w:hAnsi="黑体" w:cs="黑体" w:eastAsia="黑体" w:hint="default"/>
          <w:spacing w:val="3"/>
          <w:sz w:val="22"/>
          <w:szCs w:val="22"/>
        </w:rPr>
        <w:t>分支机构所在地主管税务机关对总机构计算确定的分</w:t>
      </w:r>
      <w:r>
        <w:rPr>
          <w:rFonts w:ascii="黑体" w:hAnsi="黑体" w:cs="黑体" w:eastAsia="黑体" w:hint="default"/>
          <w:spacing w:val="-107"/>
          <w:sz w:val="22"/>
          <w:szCs w:val="22"/>
        </w:rPr>
        <w:t> </w:t>
      </w:r>
      <w:r>
        <w:rPr>
          <w:rFonts w:ascii="黑体" w:hAnsi="黑体" w:cs="黑体" w:eastAsia="黑体" w:hint="default"/>
          <w:spacing w:val="-107"/>
          <w:sz w:val="22"/>
          <w:szCs w:val="22"/>
        </w:rPr>
      </w:r>
      <w:r>
        <w:rPr>
          <w:rFonts w:ascii="黑体" w:hAnsi="黑体" w:cs="黑体" w:eastAsia="黑体" w:hint="default"/>
          <w:sz w:val="22"/>
          <w:szCs w:val="22"/>
        </w:rPr>
        <w:t>摊所得税款比例有异议的，应于收到《中华人民共和国企业所得税汇总纳税分支机构</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分配表》后30日内向企业总机构所在地主管税务机关提出书面复核建议，并附送相关</w:t>
      </w:r>
      <w:r>
        <w:rPr>
          <w:rFonts w:ascii="黑体" w:hAnsi="黑体" w:cs="黑体" w:eastAsia="黑体" w:hint="default"/>
          <w:spacing w:val="-52"/>
          <w:sz w:val="22"/>
          <w:szCs w:val="22"/>
        </w:rPr>
        <w:t> </w:t>
      </w:r>
      <w:r>
        <w:rPr>
          <w:rFonts w:ascii="黑体" w:hAnsi="黑体" w:cs="黑体" w:eastAsia="黑体" w:hint="default"/>
          <w:spacing w:val="-52"/>
          <w:sz w:val="22"/>
          <w:szCs w:val="22"/>
        </w:rPr>
      </w:r>
      <w:r>
        <w:rPr>
          <w:rFonts w:ascii="黑体" w:hAnsi="黑体" w:cs="黑体" w:eastAsia="黑体" w:hint="default"/>
          <w:sz w:val="22"/>
          <w:szCs w:val="22"/>
        </w:rPr>
        <w:t>数据资料。总机构所在地主管税务机关必须于收到复核建议后30日内，对分摊税款的</w:t>
      </w:r>
      <w:r>
        <w:rPr>
          <w:rFonts w:ascii="黑体" w:hAnsi="黑体" w:cs="黑体" w:eastAsia="黑体" w:hint="default"/>
          <w:spacing w:val="-54"/>
          <w:sz w:val="22"/>
          <w:szCs w:val="22"/>
        </w:rPr>
        <w:t> </w:t>
      </w:r>
      <w:r>
        <w:rPr>
          <w:rFonts w:ascii="黑体" w:hAnsi="黑体" w:cs="黑体" w:eastAsia="黑体" w:hint="default"/>
          <w:spacing w:val="-54"/>
          <w:sz w:val="22"/>
          <w:szCs w:val="22"/>
        </w:rPr>
      </w:r>
      <w:r>
        <w:rPr>
          <w:rFonts w:ascii="黑体" w:hAnsi="黑体" w:cs="黑体" w:eastAsia="黑体" w:hint="default"/>
          <w:sz w:val="22"/>
          <w:szCs w:val="22"/>
        </w:rPr>
        <w:t>比例进行复核，并作出调整或维持原比例的决定。分支机构所在地主管税务机关应执</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行总机构所在地主管税务机关的复核决定。</w:t>
      </w:r>
    </w:p>
    <w:p>
      <w:pPr>
        <w:spacing w:line="240" w:lineRule="auto" w:before="8"/>
        <w:rPr>
          <w:rFonts w:ascii="黑体" w:hAnsi="黑体" w:cs="黑体" w:eastAsia="黑体" w:hint="default"/>
          <w:sz w:val="32"/>
          <w:szCs w:val="32"/>
        </w:rPr>
      </w:pPr>
    </w:p>
    <w:p>
      <w:pPr>
        <w:spacing w:line="333" w:lineRule="auto" w:before="0"/>
        <w:ind w:left="525" w:right="112" w:firstLine="0"/>
        <w:jc w:val="both"/>
        <w:rPr>
          <w:rFonts w:ascii="黑体" w:hAnsi="黑体" w:cs="黑体" w:eastAsia="黑体" w:hint="default"/>
          <w:sz w:val="22"/>
          <w:szCs w:val="22"/>
        </w:rPr>
      </w:pPr>
      <w:r>
        <w:rPr>
          <w:rFonts w:ascii="黑体" w:hAnsi="黑体" w:cs="黑体" w:eastAsia="黑体" w:hint="default"/>
          <w:spacing w:val="4"/>
          <w:sz w:val="22"/>
          <w:szCs w:val="22"/>
        </w:rPr>
        <w:t>2009年的分摊所得税款比例分别于2008年12月和2009年6月确定，复核时间已过，税</w:t>
      </w:r>
      <w:r>
        <w:rPr>
          <w:rFonts w:ascii="黑体" w:hAnsi="黑体" w:cs="黑体" w:eastAsia="黑体" w:hint="default"/>
          <w:spacing w:val="-105"/>
          <w:sz w:val="22"/>
          <w:szCs w:val="22"/>
        </w:rPr>
        <w:t> </w:t>
      </w:r>
      <w:r>
        <w:rPr>
          <w:rFonts w:ascii="黑体" w:hAnsi="黑体" w:cs="黑体" w:eastAsia="黑体" w:hint="default"/>
          <w:spacing w:val="-105"/>
          <w:sz w:val="22"/>
          <w:szCs w:val="22"/>
        </w:rPr>
      </w:r>
      <w:r>
        <w:rPr>
          <w:rFonts w:ascii="黑体" w:hAnsi="黑体" w:cs="黑体" w:eastAsia="黑体" w:hint="default"/>
          <w:sz w:val="22"/>
          <w:szCs w:val="22"/>
        </w:rPr>
        <w:t>务风险较小。</w:t>
      </w:r>
    </w:p>
    <w:p>
      <w:pPr>
        <w:spacing w:line="240" w:lineRule="auto" w:before="8"/>
        <w:rPr>
          <w:rFonts w:ascii="黑体" w:hAnsi="黑体" w:cs="黑体" w:eastAsia="黑体" w:hint="default"/>
          <w:sz w:val="32"/>
          <w:szCs w:val="32"/>
        </w:rPr>
      </w:pPr>
    </w:p>
    <w:p>
      <w:pPr>
        <w:spacing w:line="333" w:lineRule="auto" w:before="0"/>
        <w:ind w:left="525" w:right="119" w:firstLine="0"/>
        <w:jc w:val="both"/>
        <w:rPr>
          <w:rFonts w:ascii="黑体" w:hAnsi="黑体" w:cs="黑体" w:eastAsia="黑体" w:hint="default"/>
          <w:sz w:val="22"/>
          <w:szCs w:val="22"/>
        </w:rPr>
      </w:pPr>
      <w:r>
        <w:rPr>
          <w:rFonts w:ascii="黑体" w:hAnsi="黑体" w:cs="黑体" w:eastAsia="黑体" w:hint="default"/>
          <w:sz w:val="22"/>
          <w:szCs w:val="22"/>
        </w:rPr>
        <w:t>我公司非常赞同并接受贵所建议，一定关注此事宜，在进行企业所得税汇算清缴之前</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与主管税务机关进行确认，以避免潜在的税务风险。</w:t>
      </w:r>
    </w:p>
    <w:p>
      <w:pPr>
        <w:spacing w:after="0" w:line="333" w:lineRule="auto"/>
        <w:jc w:val="both"/>
        <w:rPr>
          <w:rFonts w:ascii="黑体" w:hAnsi="黑体" w:cs="黑体" w:eastAsia="黑体" w:hint="default"/>
          <w:sz w:val="22"/>
          <w:szCs w:val="22"/>
        </w:rPr>
        <w:sectPr>
          <w:pgSz w:w="12240" w:h="15840"/>
          <w:pgMar w:header="1753" w:footer="755" w:top="1960" w:bottom="940" w:left="1700" w:right="1680"/>
        </w:sectPr>
      </w:pPr>
    </w:p>
    <w:p>
      <w:pPr>
        <w:spacing w:line="240" w:lineRule="auto" w:before="6"/>
        <w:rPr>
          <w:rFonts w:ascii="黑体" w:hAnsi="黑体" w:cs="黑体" w:eastAsia="黑体" w:hint="default"/>
          <w:sz w:val="24"/>
          <w:szCs w:val="24"/>
        </w:rPr>
      </w:pPr>
    </w:p>
    <w:p>
      <w:pPr>
        <w:spacing w:before="31"/>
        <w:ind w:left="526" w:right="107"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发现</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6"/>
          <w:szCs w:val="16"/>
        </w:rPr>
      </w:pPr>
    </w:p>
    <w:p>
      <w:pPr>
        <w:spacing w:line="333" w:lineRule="auto" w:before="31"/>
        <w:ind w:left="525" w:right="107" w:firstLine="0"/>
        <w:jc w:val="left"/>
        <w:rPr>
          <w:rFonts w:ascii="黑体" w:hAnsi="黑体" w:cs="黑体" w:eastAsia="黑体" w:hint="default"/>
          <w:sz w:val="22"/>
          <w:szCs w:val="22"/>
        </w:rPr>
      </w:pPr>
      <w:r>
        <w:rPr>
          <w:rFonts w:ascii="黑体" w:hAnsi="黑体" w:cs="黑体" w:eastAsia="黑体" w:hint="default"/>
          <w:sz w:val="22"/>
          <w:szCs w:val="22"/>
        </w:rPr>
        <w:t>贵公司总部及一些分子公司在2009年度及以往年度按软件生产企业取得了增值税超3%</w:t>
      </w:r>
      <w:r>
        <w:rPr>
          <w:rFonts w:ascii="黑体" w:hAnsi="黑体" w:cs="黑体" w:eastAsia="黑体" w:hint="default"/>
          <w:spacing w:val="-52"/>
          <w:sz w:val="22"/>
          <w:szCs w:val="22"/>
        </w:rPr>
        <w:t> </w:t>
      </w:r>
      <w:r>
        <w:rPr>
          <w:rFonts w:ascii="黑体" w:hAnsi="黑体" w:cs="黑体" w:eastAsia="黑体" w:hint="default"/>
          <w:spacing w:val="-52"/>
          <w:sz w:val="22"/>
          <w:szCs w:val="22"/>
        </w:rPr>
      </w:r>
      <w:r>
        <w:rPr>
          <w:rFonts w:ascii="黑体" w:hAnsi="黑体" w:cs="黑体" w:eastAsia="黑体" w:hint="default"/>
          <w:sz w:val="22"/>
          <w:szCs w:val="22"/>
        </w:rPr>
        <w:t>税负返还的收入。</w:t>
      </w:r>
    </w:p>
    <w:p>
      <w:pPr>
        <w:spacing w:line="240" w:lineRule="auto" w:before="8"/>
        <w:rPr>
          <w:rFonts w:ascii="黑体" w:hAnsi="黑体" w:cs="黑体" w:eastAsia="黑体" w:hint="default"/>
          <w:sz w:val="32"/>
          <w:szCs w:val="32"/>
        </w:rPr>
      </w:pPr>
    </w:p>
    <w:p>
      <w:pPr>
        <w:spacing w:before="0"/>
        <w:ind w:left="525" w:right="107" w:firstLine="0"/>
        <w:jc w:val="left"/>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问题及影响</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6"/>
          <w:szCs w:val="16"/>
        </w:rPr>
      </w:pPr>
    </w:p>
    <w:p>
      <w:pPr>
        <w:spacing w:line="333" w:lineRule="auto" w:before="31"/>
        <w:ind w:left="520" w:right="116" w:firstLine="5"/>
        <w:jc w:val="both"/>
        <w:rPr>
          <w:rFonts w:ascii="黑体" w:hAnsi="黑体" w:cs="黑体" w:eastAsia="黑体" w:hint="default"/>
          <w:sz w:val="22"/>
          <w:szCs w:val="22"/>
        </w:rPr>
      </w:pPr>
      <w:r>
        <w:rPr>
          <w:rFonts w:ascii="黑体" w:hAnsi="黑体" w:cs="黑体" w:eastAsia="黑体" w:hint="default"/>
          <w:sz w:val="22"/>
          <w:szCs w:val="22"/>
        </w:rPr>
        <w:t>根据财税[2000]25号文件的规定，只有增值税一般纳税人销售其自行开发生产的软件</w:t>
      </w:r>
      <w:r>
        <w:rPr>
          <w:rFonts w:ascii="黑体" w:hAnsi="黑体" w:cs="黑体" w:eastAsia="黑体" w:hint="default"/>
          <w:spacing w:val="-61"/>
          <w:sz w:val="22"/>
          <w:szCs w:val="22"/>
        </w:rPr>
        <w:t> </w:t>
      </w:r>
      <w:r>
        <w:rPr>
          <w:rFonts w:ascii="黑体" w:hAnsi="黑体" w:cs="黑体" w:eastAsia="黑体" w:hint="default"/>
          <w:spacing w:val="-61"/>
          <w:sz w:val="22"/>
          <w:szCs w:val="22"/>
        </w:rPr>
      </w:r>
      <w:r>
        <w:rPr>
          <w:rFonts w:ascii="黑体" w:hAnsi="黑体" w:cs="黑体" w:eastAsia="黑体" w:hint="default"/>
          <w:spacing w:val="7"/>
          <w:sz w:val="22"/>
          <w:szCs w:val="22"/>
        </w:rPr>
        <w:t>产品，才能享受增值税超3%税负返还的政策。而各分公司都只是作为总部的销售公</w:t>
      </w:r>
      <w:r>
        <w:rPr>
          <w:rFonts w:ascii="黑体" w:hAnsi="黑体" w:cs="黑体" w:eastAsia="黑体" w:hint="default"/>
          <w:spacing w:val="-89"/>
          <w:sz w:val="22"/>
          <w:szCs w:val="22"/>
        </w:rPr>
        <w:t> </w:t>
      </w:r>
      <w:r>
        <w:rPr>
          <w:rFonts w:ascii="黑体" w:hAnsi="黑体" w:cs="黑体" w:eastAsia="黑体" w:hint="default"/>
          <w:spacing w:val="-89"/>
          <w:sz w:val="22"/>
          <w:szCs w:val="22"/>
        </w:rPr>
      </w:r>
      <w:r>
        <w:rPr>
          <w:rFonts w:ascii="黑体" w:hAnsi="黑体" w:cs="黑体" w:eastAsia="黑体" w:hint="default"/>
          <w:spacing w:val="2"/>
          <w:sz w:val="22"/>
          <w:szCs w:val="22"/>
        </w:rPr>
        <w:t>司，自身并未进行任何开发生产，未能完全符合相关财税文件规定的退税条件。在当</w:t>
      </w:r>
      <w:r>
        <w:rPr>
          <w:rFonts w:ascii="黑体" w:hAnsi="黑体" w:cs="黑体" w:eastAsia="黑体" w:hint="default"/>
          <w:spacing w:val="2"/>
          <w:w w:val="99"/>
          <w:sz w:val="22"/>
          <w:szCs w:val="22"/>
        </w:rPr>
        <w:t> </w:t>
      </w:r>
      <w:r>
        <w:rPr>
          <w:rFonts w:ascii="黑体" w:hAnsi="黑体" w:cs="黑体" w:eastAsia="黑体" w:hint="default"/>
          <w:spacing w:val="2"/>
          <w:sz w:val="22"/>
          <w:szCs w:val="22"/>
        </w:rPr>
        <w:t>地税局对其软件生产企业的身份进行认证时，可能会面临因未能完全符合退税企业规</w:t>
      </w:r>
      <w:r>
        <w:rPr>
          <w:rFonts w:ascii="黑体" w:hAnsi="黑体" w:cs="黑体" w:eastAsia="黑体" w:hint="default"/>
          <w:spacing w:val="2"/>
          <w:w w:val="99"/>
          <w:sz w:val="22"/>
          <w:szCs w:val="22"/>
        </w:rPr>
        <w:t> </w:t>
      </w:r>
      <w:r>
        <w:rPr>
          <w:rFonts w:ascii="黑体" w:hAnsi="黑体" w:cs="黑体" w:eastAsia="黑体" w:hint="default"/>
          <w:spacing w:val="2"/>
          <w:sz w:val="22"/>
          <w:szCs w:val="22"/>
        </w:rPr>
        <w:t>定而被税务局停止返还增值税实际税负超过3%部分，以至补交以前年度已经收到的增</w:t>
      </w:r>
      <w:r>
        <w:rPr>
          <w:rFonts w:ascii="黑体" w:hAnsi="黑体" w:cs="黑体" w:eastAsia="黑体" w:hint="default"/>
          <w:spacing w:val="2"/>
          <w:w w:val="99"/>
          <w:sz w:val="22"/>
          <w:szCs w:val="22"/>
        </w:rPr>
        <w:t> </w:t>
      </w:r>
      <w:r>
        <w:rPr>
          <w:rFonts w:ascii="黑体" w:hAnsi="黑体" w:cs="黑体" w:eastAsia="黑体" w:hint="default"/>
          <w:sz w:val="22"/>
          <w:szCs w:val="22"/>
        </w:rPr>
        <w:t>值税返还的风险。</w:t>
      </w:r>
    </w:p>
    <w:p>
      <w:pPr>
        <w:spacing w:line="240" w:lineRule="auto" w:before="8"/>
        <w:rPr>
          <w:rFonts w:ascii="黑体" w:hAnsi="黑体" w:cs="黑体" w:eastAsia="黑体" w:hint="default"/>
          <w:sz w:val="32"/>
          <w:szCs w:val="32"/>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建议</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8"/>
          <w:szCs w:val="18"/>
        </w:rPr>
      </w:pPr>
    </w:p>
    <w:p>
      <w:pPr>
        <w:spacing w:line="333" w:lineRule="auto" w:before="31"/>
        <w:ind w:left="525" w:right="116" w:firstLine="0"/>
        <w:jc w:val="both"/>
        <w:rPr>
          <w:rFonts w:ascii="黑体" w:hAnsi="黑体" w:cs="黑体" w:eastAsia="黑体" w:hint="default"/>
          <w:sz w:val="22"/>
          <w:szCs w:val="22"/>
        </w:rPr>
      </w:pPr>
      <w:r>
        <w:rPr>
          <w:rFonts w:ascii="黑体" w:hAnsi="黑体" w:cs="黑体" w:eastAsia="黑体" w:hint="default"/>
          <w:sz w:val="22"/>
          <w:szCs w:val="22"/>
        </w:rPr>
        <w:t>建议贵集团未进行软件实际开发生产但享受增值税税负返还的分子公司，及时与当地</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税局进行沟通备案，并取得当地税局的批准文件，以确保在税局进行软件开发生产企</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pacing w:val="8"/>
          <w:sz w:val="22"/>
          <w:szCs w:val="22"/>
        </w:rPr>
        <w:t>业认定时不会出现争议。此外，我们亦提请公司注意加强增值税返还收入使用的管</w:t>
      </w:r>
      <w:r>
        <w:rPr>
          <w:rFonts w:ascii="黑体" w:hAnsi="黑体" w:cs="黑体" w:eastAsia="黑体" w:hint="default"/>
          <w:w w:val="99"/>
          <w:sz w:val="22"/>
          <w:szCs w:val="22"/>
        </w:rPr>
        <w:t> </w:t>
      </w:r>
      <w:r>
        <w:rPr>
          <w:rFonts w:ascii="黑体" w:hAnsi="黑体" w:cs="黑体" w:eastAsia="黑体" w:hint="default"/>
          <w:sz w:val="22"/>
          <w:szCs w:val="22"/>
        </w:rPr>
        <w:t>理，确保返还收入均根据税法有关规定应用于软件开发和扩大再生产方面。</w:t>
      </w:r>
    </w:p>
    <w:p>
      <w:pPr>
        <w:spacing w:line="240" w:lineRule="auto" w:before="9"/>
        <w:rPr>
          <w:rFonts w:ascii="黑体" w:hAnsi="黑体" w:cs="黑体" w:eastAsia="黑体" w:hint="default"/>
          <w:sz w:val="30"/>
          <w:szCs w:val="30"/>
        </w:rPr>
      </w:pPr>
    </w:p>
    <w:p>
      <w:pPr>
        <w:spacing w:before="0"/>
        <w:ind w:left="525" w:right="0" w:firstLine="0"/>
        <w:jc w:val="both"/>
        <w:rPr>
          <w:rFonts w:ascii="黑体" w:hAnsi="黑体" w:cs="黑体" w:eastAsia="黑体" w:hint="default"/>
          <w:sz w:val="22"/>
          <w:szCs w:val="22"/>
        </w:rPr>
      </w:pPr>
      <w:r>
        <w:rPr>
          <w:rFonts w:ascii="黑体" w:hAnsi="黑体" w:cs="黑体" w:eastAsia="黑体" w:hint="default"/>
          <w:w w:val="99"/>
          <w:sz w:val="22"/>
          <w:szCs w:val="22"/>
        </w:rPr>
      </w:r>
      <w:r>
        <w:rPr>
          <w:rFonts w:ascii="黑体" w:hAnsi="黑体" w:cs="黑体" w:eastAsia="黑体" w:hint="default"/>
          <w:sz w:val="22"/>
          <w:szCs w:val="22"/>
          <w:u w:val="single" w:color="000000"/>
        </w:rPr>
        <w:t>管理层意见</w:t>
      </w:r>
      <w:r>
        <w:rPr>
          <w:rFonts w:ascii="黑体" w:hAnsi="黑体" w:cs="黑体" w:eastAsia="黑体" w:hint="default"/>
          <w:sz w:val="22"/>
          <w:szCs w:val="22"/>
        </w:rPr>
      </w: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6"/>
          <w:szCs w:val="16"/>
        </w:rPr>
      </w:pPr>
    </w:p>
    <w:p>
      <w:pPr>
        <w:spacing w:line="333" w:lineRule="auto" w:before="31"/>
        <w:ind w:left="525" w:right="107" w:firstLine="0"/>
        <w:jc w:val="left"/>
        <w:rPr>
          <w:rFonts w:ascii="黑体" w:hAnsi="黑体" w:cs="黑体" w:eastAsia="黑体" w:hint="default"/>
          <w:sz w:val="22"/>
          <w:szCs w:val="22"/>
        </w:rPr>
      </w:pPr>
      <w:r>
        <w:rPr>
          <w:rFonts w:ascii="黑体" w:hAnsi="黑体" w:cs="黑体" w:eastAsia="黑体" w:hint="default"/>
          <w:sz w:val="22"/>
          <w:szCs w:val="22"/>
        </w:rPr>
        <w:t>公司会尽快对未进行软件实际开发生产但享受增值税税负返还的分子公司，及时与当</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地税局进行沟通备案，并取得当地税局的批准文件，以确保在税局进行软件开发生产</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企业认定时不会出现争议。</w:t>
      </w:r>
      <w:r>
        <w:rPr>
          <w:rFonts w:ascii="黑体" w:hAnsi="黑体" w:cs="黑体" w:eastAsia="黑体" w:hint="default"/>
          <w:w w:val="99"/>
          <w:sz w:val="22"/>
          <w:szCs w:val="22"/>
        </w:rPr>
        <w:t> </w:t>
      </w:r>
      <w:r>
        <w:rPr>
          <w:rFonts w:ascii="黑体" w:hAnsi="黑体" w:cs="黑体" w:eastAsia="黑体" w:hint="default"/>
          <w:sz w:val="22"/>
          <w:szCs w:val="22"/>
        </w:rPr>
        <w:t>公司今后会加强增值税返还收入使用的管理，确保返还收入均根据税法有关规定应用</w:t>
      </w:r>
      <w:r>
        <w:rPr>
          <w:rFonts w:ascii="黑体" w:hAnsi="黑体" w:cs="黑体" w:eastAsia="黑体" w:hint="default"/>
          <w:spacing w:val="-53"/>
          <w:sz w:val="22"/>
          <w:szCs w:val="22"/>
        </w:rPr>
        <w:t> </w:t>
      </w:r>
      <w:r>
        <w:rPr>
          <w:rFonts w:ascii="黑体" w:hAnsi="黑体" w:cs="黑体" w:eastAsia="黑体" w:hint="default"/>
          <w:spacing w:val="-53"/>
          <w:sz w:val="22"/>
          <w:szCs w:val="22"/>
        </w:rPr>
      </w:r>
      <w:r>
        <w:rPr>
          <w:rFonts w:ascii="黑体" w:hAnsi="黑体" w:cs="黑体" w:eastAsia="黑体" w:hint="default"/>
          <w:sz w:val="22"/>
          <w:szCs w:val="22"/>
        </w:rPr>
        <w:t>于软件开发和扩大再生产方面。</w:t>
      </w:r>
    </w:p>
    <w:p>
      <w:pPr>
        <w:spacing w:after="0" w:line="333" w:lineRule="auto"/>
        <w:jc w:val="left"/>
        <w:rPr>
          <w:rFonts w:ascii="黑体" w:hAnsi="黑体" w:cs="黑体" w:eastAsia="黑体" w:hint="default"/>
          <w:sz w:val="22"/>
          <w:szCs w:val="22"/>
        </w:rPr>
        <w:sectPr>
          <w:headerReference w:type="default" r:id="rId110"/>
          <w:pgSz w:w="12240" w:h="15840"/>
          <w:pgMar w:header="1753" w:footer="755" w:top="1960" w:bottom="940" w:left="1700" w:right="16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27"/>
          <w:szCs w:val="27"/>
        </w:rPr>
      </w:pPr>
    </w:p>
    <w:p>
      <w:pPr>
        <w:spacing w:line="7521" w:lineRule="exact"/>
        <w:ind w:left="0" w:right="-23" w:firstLine="0"/>
        <w:rPr>
          <w:rFonts w:ascii="黑体" w:hAnsi="黑体" w:cs="黑体" w:eastAsia="黑体" w:hint="default"/>
          <w:sz w:val="20"/>
          <w:szCs w:val="20"/>
        </w:rPr>
      </w:pPr>
      <w:r>
        <w:rPr>
          <w:rFonts w:ascii="黑体" w:hAnsi="黑体" w:cs="黑体" w:eastAsia="黑体" w:hint="default"/>
          <w:position w:val="-149"/>
          <w:sz w:val="20"/>
          <w:szCs w:val="20"/>
        </w:rPr>
        <w:pict>
          <v:group style="width:593.85pt;height:376.1pt;mso-position-horizontal-relative:char;mso-position-vertical-relative:line" coordorigin="0,0" coordsize="11877,7522">
            <v:group style="position:absolute;left:3776;top:0;width:8100;height:5220" coordorigin="3776,0" coordsize="8100,5220">
              <v:shape style="position:absolute;left:3776;top:0;width:8100;height:5220" coordorigin="3776,0" coordsize="8100,5220" path="m11876,0l3776,5220,11876,1296,11876,0xe" filled="true" fillcolor="#ffe600" stroked="false">
                <v:path arrowok="t"/>
                <v:fill type="solid"/>
              </v:shape>
              <v:shape style="position:absolute;left:0;top:3909;width:3776;height:3612" type="#_x0000_t75" stroked="false">
                <v:imagedata r:id="rId113" o:title=""/>
              </v:shape>
              <v:shape style="position:absolute;left:3958;top:5166;width:4800;height:480" type="#_x0000_t202" filled="false" stroked="false">
                <v:textbox inset="0,0,0,0">
                  <w:txbxContent>
                    <w:p>
                      <w:pPr>
                        <w:spacing w:line="480" w:lineRule="exact" w:before="0"/>
                        <w:ind w:left="0" w:right="0" w:firstLine="0"/>
                        <w:jc w:val="left"/>
                        <w:rPr>
                          <w:rFonts w:ascii="黑体" w:hAnsi="黑体" w:cs="黑体" w:eastAsia="黑体" w:hint="default"/>
                          <w:sz w:val="48"/>
                          <w:szCs w:val="48"/>
                        </w:rPr>
                      </w:pPr>
                      <w:r>
                        <w:rPr>
                          <w:rFonts w:ascii="黑体" w:hAnsi="黑体" w:cs="黑体" w:eastAsia="黑体" w:hint="default"/>
                          <w:sz w:val="48"/>
                          <w:szCs w:val="48"/>
                        </w:rPr>
                        <w:t>用友软件股份有限公司</w:t>
                      </w:r>
                    </w:p>
                  </w:txbxContent>
                </v:textbox>
                <w10:wrap type="none"/>
              </v:shape>
              <v:shape style="position:absolute;left:3958;top:6340;width:5280;height:480" type="#_x0000_t202" filled="false" stroked="false">
                <v:textbox inset="0,0,0,0">
                  <w:txbxContent>
                    <w:p>
                      <w:pPr>
                        <w:spacing w:line="480" w:lineRule="exact" w:before="0"/>
                        <w:ind w:left="0" w:right="0" w:firstLine="0"/>
                        <w:jc w:val="left"/>
                        <w:rPr>
                          <w:rFonts w:ascii="黑体" w:hAnsi="黑体" w:cs="黑体" w:eastAsia="黑体" w:hint="default"/>
                          <w:sz w:val="48"/>
                          <w:szCs w:val="48"/>
                        </w:rPr>
                      </w:pPr>
                      <w:r>
                        <w:rPr>
                          <w:rFonts w:ascii="黑体" w:hAnsi="黑体" w:cs="黑体" w:eastAsia="黑体" w:hint="default"/>
                          <w:sz w:val="48"/>
                          <w:szCs w:val="48"/>
                        </w:rPr>
                        <w:t>信息系统审计管理建议书</w:t>
                      </w:r>
                    </w:p>
                  </w:txbxContent>
                </v:textbox>
                <w10:wrap type="none"/>
              </v:shape>
            </v:group>
          </v:group>
        </w:pict>
      </w:r>
      <w:r>
        <w:rPr>
          <w:rFonts w:ascii="黑体" w:hAnsi="黑体" w:cs="黑体" w:eastAsia="黑体" w:hint="default"/>
          <w:position w:val="-149"/>
          <w:sz w:val="20"/>
          <w:szCs w:val="20"/>
        </w:rPr>
      </w:r>
    </w:p>
    <w:p>
      <w:pPr>
        <w:spacing w:line="240" w:lineRule="auto" w:before="6"/>
        <w:rPr>
          <w:rFonts w:ascii="黑体" w:hAnsi="黑体" w:cs="黑体" w:eastAsia="黑体" w:hint="default"/>
          <w:sz w:val="20"/>
          <w:szCs w:val="20"/>
        </w:rPr>
      </w:pPr>
    </w:p>
    <w:p>
      <w:pPr>
        <w:spacing w:before="7"/>
        <w:ind w:left="2781" w:right="0" w:firstLine="0"/>
        <w:jc w:val="left"/>
        <w:rPr>
          <w:rFonts w:ascii="黑体" w:hAnsi="黑体" w:cs="黑体" w:eastAsia="黑体" w:hint="default"/>
          <w:sz w:val="30"/>
          <w:szCs w:val="30"/>
        </w:rPr>
      </w:pPr>
      <w:r>
        <w:rPr>
          <w:rFonts w:ascii="黑体" w:hAnsi="黑体" w:cs="黑体" w:eastAsia="黑体" w:hint="default"/>
          <w:sz w:val="30"/>
          <w:szCs w:val="30"/>
        </w:rPr>
        <w:t>审计期间：</w:t>
      </w:r>
      <w:r>
        <w:rPr>
          <w:rFonts w:ascii="Arial" w:hAnsi="Arial" w:cs="Arial" w:eastAsia="Arial" w:hint="default"/>
          <w:sz w:val="30"/>
          <w:szCs w:val="30"/>
        </w:rPr>
        <w:t>2009</w:t>
      </w:r>
      <w:r>
        <w:rPr>
          <w:rFonts w:ascii="Arial" w:hAnsi="Arial" w:cs="Arial" w:eastAsia="Arial" w:hint="default"/>
          <w:spacing w:val="-19"/>
          <w:sz w:val="30"/>
          <w:szCs w:val="30"/>
        </w:rPr>
        <w:t> </w:t>
      </w:r>
      <w:r>
        <w:rPr>
          <w:rFonts w:ascii="黑体" w:hAnsi="黑体" w:cs="黑体" w:eastAsia="黑体" w:hint="default"/>
          <w:sz w:val="30"/>
          <w:szCs w:val="30"/>
        </w:rPr>
        <w:t>年</w:t>
      </w:r>
      <w:r>
        <w:rPr>
          <w:rFonts w:ascii="黑体" w:hAnsi="黑体" w:cs="黑体" w:eastAsia="黑体" w:hint="default"/>
          <w:spacing w:val="-77"/>
          <w:sz w:val="30"/>
          <w:szCs w:val="30"/>
        </w:rPr>
        <w:t> </w:t>
      </w:r>
      <w:r>
        <w:rPr>
          <w:rFonts w:ascii="Arial" w:hAnsi="Arial" w:cs="Arial" w:eastAsia="Arial" w:hint="default"/>
          <w:sz w:val="30"/>
          <w:szCs w:val="30"/>
        </w:rPr>
        <w:t>1</w:t>
      </w:r>
      <w:r>
        <w:rPr>
          <w:rFonts w:ascii="Arial" w:hAnsi="Arial" w:cs="Arial" w:eastAsia="Arial" w:hint="default"/>
          <w:spacing w:val="-19"/>
          <w:sz w:val="30"/>
          <w:szCs w:val="30"/>
        </w:rPr>
        <w:t> </w:t>
      </w:r>
      <w:r>
        <w:rPr>
          <w:rFonts w:ascii="黑体" w:hAnsi="黑体" w:cs="黑体" w:eastAsia="黑体" w:hint="default"/>
          <w:sz w:val="30"/>
          <w:szCs w:val="30"/>
        </w:rPr>
        <w:t>月</w:t>
      </w:r>
      <w:r>
        <w:rPr>
          <w:rFonts w:ascii="黑体" w:hAnsi="黑体" w:cs="黑体" w:eastAsia="黑体" w:hint="default"/>
          <w:spacing w:val="-77"/>
          <w:sz w:val="30"/>
          <w:szCs w:val="30"/>
        </w:rPr>
        <w:t> </w:t>
      </w:r>
      <w:r>
        <w:rPr>
          <w:rFonts w:ascii="Arial" w:hAnsi="Arial" w:cs="Arial" w:eastAsia="Arial" w:hint="default"/>
          <w:sz w:val="30"/>
          <w:szCs w:val="30"/>
        </w:rPr>
        <w:t>1</w:t>
      </w:r>
      <w:r>
        <w:rPr>
          <w:rFonts w:ascii="Arial" w:hAnsi="Arial" w:cs="Arial" w:eastAsia="Arial" w:hint="default"/>
          <w:spacing w:val="-18"/>
          <w:sz w:val="30"/>
          <w:szCs w:val="30"/>
        </w:rPr>
        <w:t> </w:t>
      </w:r>
      <w:r>
        <w:rPr>
          <w:rFonts w:ascii="黑体" w:hAnsi="黑体" w:cs="黑体" w:eastAsia="黑体" w:hint="default"/>
          <w:sz w:val="30"/>
          <w:szCs w:val="30"/>
        </w:rPr>
        <w:t>日至</w:t>
      </w:r>
      <w:r>
        <w:rPr>
          <w:rFonts w:ascii="黑体" w:hAnsi="黑体" w:cs="黑体" w:eastAsia="黑体" w:hint="default"/>
          <w:spacing w:val="-77"/>
          <w:sz w:val="30"/>
          <w:szCs w:val="30"/>
        </w:rPr>
        <w:t> </w:t>
      </w:r>
      <w:r>
        <w:rPr>
          <w:rFonts w:ascii="Arial" w:hAnsi="Arial" w:cs="Arial" w:eastAsia="Arial" w:hint="default"/>
          <w:sz w:val="30"/>
          <w:szCs w:val="30"/>
        </w:rPr>
        <w:t>2009</w:t>
      </w:r>
      <w:r>
        <w:rPr>
          <w:rFonts w:ascii="Arial" w:hAnsi="Arial" w:cs="Arial" w:eastAsia="Arial" w:hint="default"/>
          <w:spacing w:val="-19"/>
          <w:sz w:val="30"/>
          <w:szCs w:val="30"/>
        </w:rPr>
        <w:t> </w:t>
      </w:r>
      <w:r>
        <w:rPr>
          <w:rFonts w:ascii="黑体" w:hAnsi="黑体" w:cs="黑体" w:eastAsia="黑体" w:hint="default"/>
          <w:sz w:val="30"/>
          <w:szCs w:val="30"/>
        </w:rPr>
        <w:t>年</w:t>
      </w:r>
      <w:r>
        <w:rPr>
          <w:rFonts w:ascii="黑体" w:hAnsi="黑体" w:cs="黑体" w:eastAsia="黑体" w:hint="default"/>
          <w:spacing w:val="-77"/>
          <w:sz w:val="30"/>
          <w:szCs w:val="30"/>
        </w:rPr>
        <w:t> </w:t>
      </w:r>
      <w:r>
        <w:rPr>
          <w:rFonts w:ascii="Arial" w:hAnsi="Arial" w:cs="Arial" w:eastAsia="Arial" w:hint="default"/>
          <w:sz w:val="30"/>
          <w:szCs w:val="30"/>
        </w:rPr>
        <w:t>12</w:t>
      </w:r>
      <w:r>
        <w:rPr>
          <w:rFonts w:ascii="Arial" w:hAnsi="Arial" w:cs="Arial" w:eastAsia="Arial" w:hint="default"/>
          <w:spacing w:val="-1"/>
          <w:sz w:val="30"/>
          <w:szCs w:val="30"/>
        </w:rPr>
        <w:t> </w:t>
      </w:r>
      <w:r>
        <w:rPr>
          <w:rFonts w:ascii="黑体" w:hAnsi="黑体" w:cs="黑体" w:eastAsia="黑体" w:hint="default"/>
          <w:sz w:val="30"/>
          <w:szCs w:val="30"/>
        </w:rPr>
        <w:t>月</w:t>
      </w:r>
      <w:r>
        <w:rPr>
          <w:rFonts w:ascii="黑体" w:hAnsi="黑体" w:cs="黑体" w:eastAsia="黑体" w:hint="default"/>
          <w:spacing w:val="-77"/>
          <w:sz w:val="30"/>
          <w:szCs w:val="30"/>
        </w:rPr>
        <w:t> </w:t>
      </w:r>
      <w:r>
        <w:rPr>
          <w:rFonts w:ascii="Arial" w:hAnsi="Arial" w:cs="Arial" w:eastAsia="Arial" w:hint="default"/>
          <w:sz w:val="30"/>
          <w:szCs w:val="30"/>
        </w:rPr>
        <w:t>31</w:t>
      </w:r>
      <w:r>
        <w:rPr>
          <w:rFonts w:ascii="Arial" w:hAnsi="Arial" w:cs="Arial" w:eastAsia="Arial" w:hint="default"/>
          <w:spacing w:val="-19"/>
          <w:sz w:val="30"/>
          <w:szCs w:val="30"/>
        </w:rPr>
        <w:t> </w:t>
      </w:r>
      <w:r>
        <w:rPr>
          <w:rFonts w:ascii="黑体" w:hAnsi="黑体" w:cs="黑体" w:eastAsia="黑体" w:hint="default"/>
          <w:sz w:val="30"/>
          <w:szCs w:val="30"/>
        </w:rPr>
        <w:t>日</w:t>
      </w:r>
    </w:p>
    <w:p>
      <w:pPr>
        <w:spacing w:line="240" w:lineRule="auto" w:before="0"/>
        <w:rPr>
          <w:rFonts w:ascii="黑体" w:hAnsi="黑体" w:cs="黑体" w:eastAsia="黑体" w:hint="default"/>
          <w:sz w:val="20"/>
          <w:szCs w:val="20"/>
        </w:rPr>
      </w:pPr>
    </w:p>
    <w:p>
      <w:pPr>
        <w:spacing w:line="240" w:lineRule="auto" w:before="2"/>
        <w:rPr>
          <w:rFonts w:ascii="黑体" w:hAnsi="黑体" w:cs="黑体" w:eastAsia="黑体" w:hint="default"/>
          <w:sz w:val="12"/>
          <w:szCs w:val="12"/>
        </w:rPr>
      </w:pPr>
    </w:p>
    <w:p>
      <w:pPr>
        <w:spacing w:line="748" w:lineRule="exact"/>
        <w:ind w:left="4338" w:right="0" w:firstLine="0"/>
        <w:rPr>
          <w:rFonts w:ascii="黑体" w:hAnsi="黑体" w:cs="黑体" w:eastAsia="黑体" w:hint="default"/>
          <w:sz w:val="20"/>
          <w:szCs w:val="20"/>
        </w:rPr>
      </w:pPr>
      <w:r>
        <w:rPr>
          <w:rFonts w:ascii="黑体" w:hAnsi="黑体" w:cs="黑体" w:eastAsia="黑体" w:hint="default"/>
          <w:position w:val="-14"/>
          <w:sz w:val="20"/>
          <w:szCs w:val="20"/>
        </w:rPr>
        <w:drawing>
          <wp:inline distT="0" distB="0" distL="0" distR="0">
            <wp:extent cx="1939991" cy="475488"/>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114" cstate="print"/>
                    <a:stretch>
                      <a:fillRect/>
                    </a:stretch>
                  </pic:blipFill>
                  <pic:spPr>
                    <a:xfrm>
                      <a:off x="0" y="0"/>
                      <a:ext cx="1939991" cy="475488"/>
                    </a:xfrm>
                    <a:prstGeom prst="rect">
                      <a:avLst/>
                    </a:prstGeom>
                  </pic:spPr>
                </pic:pic>
              </a:graphicData>
            </a:graphic>
          </wp:inline>
        </w:drawing>
      </w:r>
      <w:r>
        <w:rPr>
          <w:rFonts w:ascii="黑体" w:hAnsi="黑体" w:cs="黑体" w:eastAsia="黑体" w:hint="default"/>
          <w:position w:val="-14"/>
          <w:sz w:val="20"/>
          <w:szCs w:val="20"/>
        </w:rPr>
      </w:r>
    </w:p>
    <w:p>
      <w:pPr>
        <w:spacing w:after="0" w:line="748" w:lineRule="exact"/>
        <w:rPr>
          <w:rFonts w:ascii="黑体" w:hAnsi="黑体" w:cs="黑体" w:eastAsia="黑体" w:hint="default"/>
          <w:sz w:val="20"/>
          <w:szCs w:val="20"/>
        </w:rPr>
        <w:sectPr>
          <w:headerReference w:type="default" r:id="rId111"/>
          <w:footerReference w:type="default" r:id="rId112"/>
          <w:pgSz w:w="11910" w:h="16840"/>
          <w:pgMar w:header="0" w:footer="769" w:top="1600" w:bottom="960" w:left="0" w:right="0"/>
          <w:pgNumType w:start="22"/>
        </w:sectPr>
      </w:pPr>
    </w:p>
    <w:p>
      <w:pPr>
        <w:tabs>
          <w:tab w:pos="1299" w:val="left" w:leader="none"/>
        </w:tabs>
        <w:spacing w:line="405" w:lineRule="exact" w:before="0"/>
        <w:ind w:left="0" w:right="4" w:firstLine="0"/>
        <w:jc w:val="center"/>
        <w:rPr>
          <w:rFonts w:ascii="黑体" w:hAnsi="黑体" w:cs="黑体" w:eastAsia="黑体" w:hint="default"/>
          <w:sz w:val="32"/>
          <w:szCs w:val="32"/>
        </w:rPr>
      </w:pPr>
      <w:r>
        <w:rPr>
          <w:rFonts w:ascii="黑体" w:hAnsi="黑体" w:cs="黑体" w:eastAsia="黑体" w:hint="default"/>
          <w:b/>
          <w:bCs/>
          <w:w w:val="95"/>
          <w:sz w:val="32"/>
          <w:szCs w:val="32"/>
        </w:rPr>
        <w:t>目</w:t>
        <w:tab/>
      </w:r>
      <w:r>
        <w:rPr>
          <w:rFonts w:ascii="黑体" w:hAnsi="黑体" w:cs="黑体" w:eastAsia="黑体" w:hint="default"/>
          <w:b/>
          <w:bCs/>
          <w:sz w:val="32"/>
          <w:szCs w:val="32"/>
        </w:rPr>
        <w:t>录</w:t>
      </w:r>
      <w:r>
        <w:rPr>
          <w:rFonts w:ascii="黑体" w:hAnsi="黑体" w:cs="黑体" w:eastAsia="黑体" w:hint="default"/>
          <w:sz w:val="32"/>
          <w:szCs w:val="32"/>
        </w:rPr>
      </w:r>
    </w:p>
    <w:p>
      <w:pPr>
        <w:spacing w:line="240" w:lineRule="auto" w:before="0"/>
        <w:rPr>
          <w:rFonts w:ascii="黑体" w:hAnsi="黑体" w:cs="黑体" w:eastAsia="黑体" w:hint="default"/>
          <w:b/>
          <w:bCs/>
          <w:sz w:val="32"/>
          <w:szCs w:val="32"/>
        </w:rPr>
      </w:pPr>
    </w:p>
    <w:p>
      <w:pPr>
        <w:spacing w:line="240" w:lineRule="auto" w:before="0"/>
        <w:rPr>
          <w:rFonts w:ascii="黑体" w:hAnsi="黑体" w:cs="黑体" w:eastAsia="黑体" w:hint="default"/>
          <w:b/>
          <w:bCs/>
          <w:sz w:val="32"/>
          <w:szCs w:val="32"/>
        </w:rPr>
      </w:pPr>
    </w:p>
    <w:p>
      <w:pPr>
        <w:pStyle w:val="BodyText"/>
        <w:tabs>
          <w:tab w:pos="699" w:val="left" w:leader="none"/>
          <w:tab w:pos="9939" w:val="right" w:leader="dot"/>
        </w:tabs>
        <w:spacing w:line="240" w:lineRule="auto" w:before="284"/>
        <w:ind w:left="100" w:right="0"/>
        <w:jc w:val="left"/>
        <w:rPr>
          <w:rFonts w:ascii="Arial" w:hAnsi="Arial" w:cs="Arial" w:eastAsia="Arial" w:hint="default"/>
        </w:rPr>
      </w:pPr>
      <w:hyperlink w:history="true" w:anchor="_bookmark11">
        <w:r>
          <w:rPr>
            <w:rFonts w:ascii="黑体" w:hAnsi="黑体" w:cs="黑体" w:eastAsia="黑体" w:hint="default"/>
          </w:rPr>
          <w:t>前</w:t>
          <w:tab/>
          <w:t>言</w:t>
        </w:r>
      </w:hyperlink>
      <w:r>
        <w:rPr>
          <w:rFonts w:ascii="Arial" w:hAnsi="Arial" w:cs="Arial" w:eastAsia="Arial" w:hint="default"/>
        </w:rPr>
        <w:tab/>
      </w:r>
      <w:hyperlink w:history="true" w:anchor="_bookmark11">
        <w:r>
          <w:rPr>
            <w:rFonts w:ascii="Arial" w:hAnsi="Arial" w:cs="Arial" w:eastAsia="Arial" w:hint="default"/>
          </w:rPr>
          <w:t>24</w:t>
        </w:r>
      </w:hyperlink>
    </w:p>
    <w:p>
      <w:pPr>
        <w:pStyle w:val="BodyText"/>
        <w:tabs>
          <w:tab w:pos="9939" w:val="right" w:leader="dot"/>
        </w:tabs>
        <w:spacing w:line="268" w:lineRule="exact" w:before="213"/>
        <w:ind w:left="100" w:right="0"/>
        <w:jc w:val="left"/>
        <w:rPr>
          <w:rFonts w:ascii="Arial" w:hAnsi="Arial" w:cs="Arial" w:eastAsia="Arial" w:hint="default"/>
        </w:rPr>
      </w:pPr>
      <w:hyperlink w:history="true" w:anchor="_bookmark12">
        <w:r>
          <w:rPr>
            <w:rFonts w:ascii="黑体" w:hAnsi="黑体" w:cs="黑体" w:eastAsia="黑体" w:hint="default"/>
          </w:rPr>
          <w:t>一</w:t>
        </w:r>
        <w:r>
          <w:rPr>
            <w:rFonts w:ascii="Arial" w:hAnsi="Arial" w:cs="Arial" w:eastAsia="Arial" w:hint="default"/>
          </w:rPr>
          <w:t>.</w:t>
        </w:r>
        <w:r>
          <w:rPr>
            <w:rFonts w:ascii="黑体" w:hAnsi="黑体" w:cs="黑体" w:eastAsia="黑体" w:hint="default"/>
          </w:rPr>
          <w:t>公司层面控制</w:t>
        </w:r>
      </w:hyperlink>
      <w:r>
        <w:rPr>
          <w:rFonts w:ascii="Arial" w:hAnsi="Arial" w:cs="Arial" w:eastAsia="Arial" w:hint="default"/>
        </w:rPr>
        <w:tab/>
      </w:r>
      <w:hyperlink w:history="true" w:anchor="_bookmark12">
        <w:r>
          <w:rPr>
            <w:rFonts w:ascii="Arial" w:hAnsi="Arial" w:cs="Arial" w:eastAsia="Arial" w:hint="default"/>
          </w:rPr>
          <w:t>25</w:t>
        </w:r>
      </w:hyperlink>
    </w:p>
    <w:p>
      <w:pPr>
        <w:pStyle w:val="BodyText"/>
        <w:tabs>
          <w:tab w:pos="9939" w:val="right" w:leader="dot"/>
        </w:tabs>
        <w:spacing w:line="268" w:lineRule="exact"/>
        <w:ind w:left="100" w:right="0"/>
        <w:jc w:val="left"/>
        <w:rPr>
          <w:rFonts w:ascii="Arial" w:hAnsi="Arial" w:cs="Arial" w:eastAsia="Arial" w:hint="default"/>
        </w:rPr>
      </w:pPr>
      <w:hyperlink w:history="true" w:anchor="_bookmark12">
        <w:r>
          <w:rPr>
            <w:rFonts w:ascii="Arial" w:hAnsi="Arial" w:cs="Arial" w:eastAsia="Arial" w:hint="default"/>
          </w:rPr>
          <w:t>1.</w:t>
        </w:r>
      </w:hyperlink>
      <w:r>
        <w:rPr>
          <w:rFonts w:ascii="Arial" w:hAnsi="Arial" w:cs="Arial" w:eastAsia="Arial" w:hint="default"/>
          <w:spacing w:val="16"/>
        </w:rPr>
        <w:t> </w:t>
      </w:r>
      <w:hyperlink w:history="true" w:anchor="_bookmark12">
        <w:r>
          <w:rPr>
            <w:rFonts w:ascii="黑体" w:hAnsi="黑体" w:cs="黑体" w:eastAsia="黑体" w:hint="default"/>
          </w:rPr>
          <w:t>监控</w:t>
        </w:r>
        <w:r>
          <w:rPr>
            <w:rFonts w:ascii="Arial" w:hAnsi="Arial" w:cs="Arial" w:eastAsia="Arial" w:hint="default"/>
          </w:rPr>
          <w:t>-</w:t>
        </w:r>
        <w:r>
          <w:rPr>
            <w:rFonts w:ascii="黑体" w:hAnsi="黑体" w:cs="黑体" w:eastAsia="黑体" w:hint="default"/>
          </w:rPr>
          <w:t>专职人员进行信息技术内部审计</w:t>
        </w:r>
      </w:hyperlink>
      <w:r>
        <w:rPr>
          <w:rFonts w:ascii="Arial" w:hAnsi="Arial" w:cs="Arial" w:eastAsia="Arial" w:hint="default"/>
        </w:rPr>
        <w:tab/>
      </w:r>
      <w:hyperlink w:history="true" w:anchor="_bookmark12">
        <w:r>
          <w:rPr>
            <w:rFonts w:ascii="Arial" w:hAnsi="Arial" w:cs="Arial" w:eastAsia="Arial" w:hint="default"/>
          </w:rPr>
          <w:t>25</w:t>
        </w:r>
      </w:hyperlink>
    </w:p>
    <w:p>
      <w:pPr>
        <w:pStyle w:val="BodyText"/>
        <w:tabs>
          <w:tab w:pos="9939" w:val="right" w:leader="dot"/>
        </w:tabs>
        <w:spacing w:line="268" w:lineRule="exact" w:before="212"/>
        <w:ind w:left="100" w:right="0"/>
        <w:jc w:val="left"/>
        <w:rPr>
          <w:rFonts w:ascii="Arial" w:hAnsi="Arial" w:cs="Arial" w:eastAsia="Arial" w:hint="default"/>
        </w:rPr>
      </w:pPr>
      <w:hyperlink w:history="true" w:anchor="_bookmark13">
        <w:r>
          <w:rPr>
            <w:rFonts w:ascii="黑体" w:hAnsi="黑体" w:cs="黑体" w:eastAsia="黑体" w:hint="default"/>
          </w:rPr>
          <w:t>二</w:t>
        </w:r>
        <w:r>
          <w:rPr>
            <w:rFonts w:ascii="Arial" w:hAnsi="Arial" w:cs="Arial" w:eastAsia="Arial" w:hint="default"/>
          </w:rPr>
          <w:t>.IT</w:t>
        </w:r>
        <w:r>
          <w:rPr>
            <w:rFonts w:ascii="黑体" w:hAnsi="黑体" w:cs="黑体" w:eastAsia="黑体" w:hint="default"/>
          </w:rPr>
          <w:t>流程控制</w:t>
        </w:r>
      </w:hyperlink>
      <w:r>
        <w:rPr>
          <w:rFonts w:ascii="Arial" w:hAnsi="Arial" w:cs="Arial" w:eastAsia="Arial" w:hint="default"/>
        </w:rPr>
        <w:tab/>
      </w:r>
      <w:hyperlink w:history="true" w:anchor="_bookmark13">
        <w:r>
          <w:rPr>
            <w:rFonts w:ascii="Arial" w:hAnsi="Arial" w:cs="Arial" w:eastAsia="Arial" w:hint="default"/>
          </w:rPr>
          <w:t>26</w:t>
        </w:r>
      </w:hyperlink>
    </w:p>
    <w:p>
      <w:pPr>
        <w:pStyle w:val="BodyText"/>
        <w:tabs>
          <w:tab w:pos="9939" w:val="right" w:leader="dot"/>
        </w:tabs>
        <w:spacing w:line="260" w:lineRule="exact"/>
        <w:ind w:left="100" w:right="0"/>
        <w:jc w:val="left"/>
        <w:rPr>
          <w:rFonts w:ascii="Arial" w:hAnsi="Arial" w:cs="Arial" w:eastAsia="Arial" w:hint="default"/>
        </w:rPr>
      </w:pPr>
      <w:hyperlink w:history="true" w:anchor="_bookmark13">
        <w:r>
          <w:rPr>
            <w:rFonts w:ascii="Arial" w:hAnsi="Arial" w:cs="Arial" w:eastAsia="Arial" w:hint="default"/>
          </w:rPr>
          <w:t>2.</w:t>
        </w:r>
      </w:hyperlink>
      <w:r>
        <w:rPr>
          <w:rFonts w:ascii="Arial" w:hAnsi="Arial" w:cs="Arial" w:eastAsia="Arial" w:hint="default"/>
          <w:spacing w:val="17"/>
        </w:rPr>
        <w:t> </w:t>
      </w:r>
      <w:hyperlink w:history="true" w:anchor="_bookmark13">
        <w:r>
          <w:rPr>
            <w:rFonts w:ascii="黑体" w:hAnsi="黑体" w:cs="黑体" w:eastAsia="黑体" w:hint="default"/>
          </w:rPr>
          <w:t>信息安全策略</w:t>
        </w:r>
      </w:hyperlink>
      <w:r>
        <w:rPr>
          <w:rFonts w:ascii="Arial" w:hAnsi="Arial" w:cs="Arial" w:eastAsia="Arial" w:hint="default"/>
        </w:rPr>
        <w:tab/>
      </w:r>
      <w:hyperlink w:history="true" w:anchor="_bookmark13">
        <w:r>
          <w:rPr>
            <w:rFonts w:ascii="Arial" w:hAnsi="Arial" w:cs="Arial" w:eastAsia="Arial" w:hint="default"/>
          </w:rPr>
          <w:t>26</w:t>
        </w:r>
      </w:hyperlink>
    </w:p>
    <w:p>
      <w:pPr>
        <w:pStyle w:val="BodyText"/>
        <w:tabs>
          <w:tab w:pos="9939" w:val="right" w:leader="dot"/>
        </w:tabs>
        <w:spacing w:line="259" w:lineRule="exact"/>
        <w:ind w:left="100" w:right="0"/>
        <w:jc w:val="left"/>
        <w:rPr>
          <w:rFonts w:ascii="Arial" w:hAnsi="Arial" w:cs="Arial" w:eastAsia="Arial" w:hint="default"/>
        </w:rPr>
      </w:pPr>
      <w:hyperlink w:history="true" w:anchor="_bookmark14">
        <w:r>
          <w:rPr>
            <w:rFonts w:ascii="Arial" w:hAnsi="Arial" w:cs="Arial" w:eastAsia="Arial" w:hint="default"/>
          </w:rPr>
          <w:t>3.</w:t>
        </w:r>
      </w:hyperlink>
      <w:r>
        <w:rPr>
          <w:rFonts w:ascii="Arial" w:hAnsi="Arial" w:cs="Arial" w:eastAsia="Arial" w:hint="default"/>
          <w:spacing w:val="16"/>
        </w:rPr>
        <w:t> </w:t>
      </w:r>
      <w:hyperlink w:history="true" w:anchor="_bookmark14">
        <w:r>
          <w:rPr>
            <w:rFonts w:ascii="黑体" w:hAnsi="黑体" w:cs="黑体" w:eastAsia="黑体" w:hint="default"/>
          </w:rPr>
          <w:t>商务生产系统程序变更管理及职责分工</w:t>
        </w:r>
      </w:hyperlink>
      <w:r>
        <w:rPr>
          <w:rFonts w:ascii="Arial" w:hAnsi="Arial" w:cs="Arial" w:eastAsia="Arial" w:hint="default"/>
        </w:rPr>
        <w:tab/>
      </w:r>
      <w:hyperlink w:history="true" w:anchor="_bookmark14">
        <w:r>
          <w:rPr>
            <w:rFonts w:ascii="Arial" w:hAnsi="Arial" w:cs="Arial" w:eastAsia="Arial" w:hint="default"/>
          </w:rPr>
          <w:t>27</w:t>
        </w:r>
      </w:hyperlink>
    </w:p>
    <w:p>
      <w:pPr>
        <w:pStyle w:val="BodyText"/>
        <w:tabs>
          <w:tab w:pos="9939" w:val="right" w:leader="dot"/>
        </w:tabs>
        <w:spacing w:line="259" w:lineRule="exact"/>
        <w:ind w:left="100" w:right="0"/>
        <w:jc w:val="left"/>
        <w:rPr>
          <w:rFonts w:ascii="Arial" w:hAnsi="Arial" w:cs="Arial" w:eastAsia="Arial" w:hint="default"/>
        </w:rPr>
      </w:pPr>
      <w:hyperlink w:history="true" w:anchor="_bookmark15">
        <w:r>
          <w:rPr>
            <w:rFonts w:ascii="Arial" w:hAnsi="Arial" w:cs="Arial" w:eastAsia="Arial" w:hint="default"/>
          </w:rPr>
          <w:t>4.</w:t>
        </w:r>
      </w:hyperlink>
      <w:r>
        <w:rPr>
          <w:rFonts w:ascii="Arial" w:hAnsi="Arial" w:cs="Arial" w:eastAsia="Arial" w:hint="default"/>
          <w:spacing w:val="16"/>
        </w:rPr>
        <w:t> </w:t>
      </w:r>
      <w:hyperlink w:history="true" w:anchor="_bookmark15">
        <w:r>
          <w:rPr>
            <w:rFonts w:ascii="黑体" w:hAnsi="黑体" w:cs="黑体" w:eastAsia="黑体" w:hint="default"/>
          </w:rPr>
          <w:t>用户账号（含超级用户账号）和权限管理</w:t>
        </w:r>
      </w:hyperlink>
      <w:r>
        <w:rPr>
          <w:rFonts w:ascii="Arial" w:hAnsi="Arial" w:cs="Arial" w:eastAsia="Arial" w:hint="default"/>
        </w:rPr>
        <w:tab/>
      </w:r>
      <w:hyperlink w:history="true" w:anchor="_bookmark15">
        <w:r>
          <w:rPr>
            <w:rFonts w:ascii="Arial" w:hAnsi="Arial" w:cs="Arial" w:eastAsia="Arial" w:hint="default"/>
          </w:rPr>
          <w:t>28</w:t>
        </w:r>
      </w:hyperlink>
    </w:p>
    <w:p>
      <w:pPr>
        <w:pStyle w:val="BodyText"/>
        <w:tabs>
          <w:tab w:pos="9939" w:val="right" w:leader="dot"/>
        </w:tabs>
        <w:spacing w:line="259" w:lineRule="exact"/>
        <w:ind w:left="100" w:right="0"/>
        <w:jc w:val="left"/>
        <w:rPr>
          <w:rFonts w:ascii="Arial" w:hAnsi="Arial" w:cs="Arial" w:eastAsia="Arial" w:hint="default"/>
        </w:rPr>
      </w:pPr>
      <w:hyperlink w:history="true" w:anchor="_bookmark16">
        <w:r>
          <w:rPr>
            <w:rFonts w:ascii="Arial" w:hAnsi="Arial" w:cs="Arial" w:eastAsia="Arial" w:hint="default"/>
          </w:rPr>
          <w:t>5.</w:t>
        </w:r>
      </w:hyperlink>
      <w:r>
        <w:rPr>
          <w:rFonts w:ascii="Arial" w:hAnsi="Arial" w:cs="Arial" w:eastAsia="Arial" w:hint="default"/>
          <w:spacing w:val="17"/>
        </w:rPr>
        <w:t> </w:t>
      </w:r>
      <w:hyperlink w:history="true" w:anchor="_bookmark16">
        <w:r>
          <w:rPr>
            <w:rFonts w:ascii="黑体" w:hAnsi="黑体" w:cs="黑体" w:eastAsia="黑体" w:hint="default"/>
          </w:rPr>
          <w:t>密码管理流程</w:t>
        </w:r>
      </w:hyperlink>
      <w:r>
        <w:rPr>
          <w:rFonts w:ascii="Arial" w:hAnsi="Arial" w:cs="Arial" w:eastAsia="Arial" w:hint="default"/>
        </w:rPr>
        <w:tab/>
      </w:r>
      <w:hyperlink w:history="true" w:anchor="_bookmark16">
        <w:r>
          <w:rPr>
            <w:rFonts w:ascii="Arial" w:hAnsi="Arial" w:cs="Arial" w:eastAsia="Arial" w:hint="default"/>
          </w:rPr>
          <w:t>30</w:t>
        </w:r>
      </w:hyperlink>
    </w:p>
    <w:p>
      <w:pPr>
        <w:pStyle w:val="BodyText"/>
        <w:tabs>
          <w:tab w:pos="9939" w:val="right" w:leader="dot"/>
        </w:tabs>
        <w:spacing w:line="259" w:lineRule="exact"/>
        <w:ind w:left="100" w:right="0"/>
        <w:jc w:val="left"/>
        <w:rPr>
          <w:rFonts w:ascii="Arial" w:hAnsi="Arial" w:cs="Arial" w:eastAsia="Arial" w:hint="default"/>
        </w:rPr>
      </w:pPr>
      <w:hyperlink w:history="true" w:anchor="_bookmark17">
        <w:r>
          <w:rPr>
            <w:rFonts w:ascii="Arial" w:hAnsi="Arial" w:cs="Arial" w:eastAsia="Arial" w:hint="default"/>
          </w:rPr>
          <w:t>6.</w:t>
        </w:r>
      </w:hyperlink>
      <w:r>
        <w:rPr>
          <w:rFonts w:ascii="Arial" w:hAnsi="Arial" w:cs="Arial" w:eastAsia="Arial" w:hint="default"/>
          <w:spacing w:val="17"/>
        </w:rPr>
        <w:t> </w:t>
      </w:r>
      <w:hyperlink w:history="true" w:anchor="_bookmark17">
        <w:r>
          <w:rPr>
            <w:rFonts w:ascii="黑体" w:hAnsi="黑体" w:cs="黑体" w:eastAsia="黑体" w:hint="default"/>
          </w:rPr>
          <w:t>系统参数设置</w:t>
        </w:r>
      </w:hyperlink>
      <w:r>
        <w:rPr>
          <w:rFonts w:ascii="Arial" w:hAnsi="Arial" w:cs="Arial" w:eastAsia="Arial" w:hint="default"/>
        </w:rPr>
        <w:tab/>
      </w:r>
      <w:hyperlink w:history="true" w:anchor="_bookmark17">
        <w:r>
          <w:rPr>
            <w:rFonts w:ascii="Arial" w:hAnsi="Arial" w:cs="Arial" w:eastAsia="Arial" w:hint="default"/>
          </w:rPr>
          <w:t>32</w:t>
        </w:r>
      </w:hyperlink>
    </w:p>
    <w:p>
      <w:pPr>
        <w:pStyle w:val="BodyText"/>
        <w:tabs>
          <w:tab w:pos="9939" w:val="right" w:leader="dot"/>
        </w:tabs>
        <w:spacing w:line="260" w:lineRule="exact"/>
        <w:ind w:left="100" w:right="0"/>
        <w:jc w:val="left"/>
        <w:rPr>
          <w:rFonts w:ascii="Arial" w:hAnsi="Arial" w:cs="Arial" w:eastAsia="Arial" w:hint="default"/>
        </w:rPr>
      </w:pPr>
      <w:hyperlink w:history="true" w:anchor="_bookmark18">
        <w:r>
          <w:rPr>
            <w:rFonts w:ascii="Arial" w:hAnsi="Arial" w:cs="Arial" w:eastAsia="Arial" w:hint="default"/>
          </w:rPr>
          <w:t>7.</w:t>
        </w:r>
      </w:hyperlink>
      <w:r>
        <w:rPr>
          <w:rFonts w:ascii="Arial" w:hAnsi="Arial" w:cs="Arial" w:eastAsia="Arial" w:hint="default"/>
          <w:spacing w:val="17"/>
        </w:rPr>
        <w:t> </w:t>
      </w:r>
      <w:hyperlink w:history="true" w:anchor="_bookmark18">
        <w:r>
          <w:rPr>
            <w:rFonts w:ascii="黑体" w:hAnsi="黑体" w:cs="黑体" w:eastAsia="黑体" w:hint="default"/>
          </w:rPr>
          <w:t>备份管理</w:t>
        </w:r>
      </w:hyperlink>
      <w:r>
        <w:rPr>
          <w:rFonts w:ascii="Arial" w:hAnsi="Arial" w:cs="Arial" w:eastAsia="Arial" w:hint="default"/>
        </w:rPr>
        <w:tab/>
      </w:r>
      <w:hyperlink w:history="true" w:anchor="_bookmark18">
        <w:r>
          <w:rPr>
            <w:rFonts w:ascii="Arial" w:hAnsi="Arial" w:cs="Arial" w:eastAsia="Arial" w:hint="default"/>
          </w:rPr>
          <w:t>33</w:t>
        </w:r>
      </w:hyperlink>
    </w:p>
    <w:p>
      <w:pPr>
        <w:pStyle w:val="BodyText"/>
        <w:tabs>
          <w:tab w:pos="9939" w:val="right" w:leader="dot"/>
        </w:tabs>
        <w:spacing w:line="268" w:lineRule="exact"/>
        <w:ind w:left="100" w:right="0"/>
        <w:jc w:val="left"/>
        <w:rPr>
          <w:rFonts w:ascii="Arial" w:hAnsi="Arial" w:cs="Arial" w:eastAsia="Arial" w:hint="default"/>
        </w:rPr>
      </w:pPr>
      <w:hyperlink w:history="true" w:anchor="_bookmark19">
        <w:r>
          <w:rPr>
            <w:rFonts w:ascii="Arial" w:hAnsi="Arial" w:cs="Arial" w:eastAsia="Arial" w:hint="default"/>
          </w:rPr>
          <w:t>8.</w:t>
        </w:r>
      </w:hyperlink>
      <w:r>
        <w:rPr>
          <w:rFonts w:ascii="Arial" w:hAnsi="Arial" w:cs="Arial" w:eastAsia="Arial" w:hint="default"/>
          <w:spacing w:val="17"/>
        </w:rPr>
        <w:t> </w:t>
      </w:r>
      <w:hyperlink w:history="true" w:anchor="_bookmark19">
        <w:r>
          <w:rPr>
            <w:rFonts w:ascii="黑体" w:hAnsi="黑体" w:cs="黑体" w:eastAsia="黑体" w:hint="default"/>
          </w:rPr>
          <w:t>物理安全管理</w:t>
        </w:r>
      </w:hyperlink>
      <w:r>
        <w:rPr>
          <w:rFonts w:ascii="Arial" w:hAnsi="Arial" w:cs="Arial" w:eastAsia="Arial" w:hint="default"/>
        </w:rPr>
        <w:tab/>
      </w:r>
      <w:hyperlink w:history="true" w:anchor="_bookmark19">
        <w:r>
          <w:rPr>
            <w:rFonts w:ascii="Arial" w:hAnsi="Arial" w:cs="Arial" w:eastAsia="Arial" w:hint="default"/>
          </w:rPr>
          <w:t>35</w:t>
        </w:r>
      </w:hyperlink>
    </w:p>
    <w:p>
      <w:pPr>
        <w:pStyle w:val="BodyText"/>
        <w:tabs>
          <w:tab w:pos="9939" w:val="right" w:leader="dot"/>
        </w:tabs>
        <w:spacing w:line="268" w:lineRule="exact" w:before="212"/>
        <w:ind w:left="100" w:right="0"/>
        <w:jc w:val="left"/>
        <w:rPr>
          <w:rFonts w:ascii="Arial" w:hAnsi="Arial" w:cs="Arial" w:eastAsia="Arial" w:hint="default"/>
        </w:rPr>
      </w:pPr>
      <w:hyperlink w:history="true" w:anchor="_bookmark20">
        <w:r>
          <w:rPr>
            <w:rFonts w:ascii="黑体" w:hAnsi="黑体" w:cs="黑体" w:eastAsia="黑体" w:hint="default"/>
          </w:rPr>
          <w:t>三</w:t>
        </w:r>
        <w:r>
          <w:rPr>
            <w:rFonts w:ascii="Arial" w:hAnsi="Arial" w:cs="Arial" w:eastAsia="Arial" w:hint="default"/>
          </w:rPr>
          <w:t>.</w:t>
        </w:r>
      </w:hyperlink>
      <w:r>
        <w:rPr>
          <w:rFonts w:ascii="Arial" w:hAnsi="Arial" w:cs="Arial" w:eastAsia="Arial" w:hint="default"/>
          <w:spacing w:val="-12"/>
        </w:rPr>
        <w:t> </w:t>
      </w:r>
      <w:hyperlink w:history="true" w:anchor="_bookmark20">
        <w:r>
          <w:rPr>
            <w:rFonts w:ascii="黑体" w:hAnsi="黑体" w:cs="黑体" w:eastAsia="黑体" w:hint="default"/>
          </w:rPr>
          <w:t>应用系统流程控制</w:t>
        </w:r>
      </w:hyperlink>
      <w:r>
        <w:rPr>
          <w:rFonts w:ascii="Arial" w:hAnsi="Arial" w:cs="Arial" w:eastAsia="Arial" w:hint="default"/>
        </w:rPr>
        <w:tab/>
      </w:r>
      <w:hyperlink w:history="true" w:anchor="_bookmark20">
        <w:r>
          <w:rPr>
            <w:rFonts w:ascii="Arial" w:hAnsi="Arial" w:cs="Arial" w:eastAsia="Arial" w:hint="default"/>
          </w:rPr>
          <w:t>36</w:t>
        </w:r>
      </w:hyperlink>
    </w:p>
    <w:p>
      <w:pPr>
        <w:pStyle w:val="BodyText"/>
        <w:tabs>
          <w:tab w:pos="9939" w:val="right" w:leader="dot"/>
        </w:tabs>
        <w:spacing w:line="260" w:lineRule="exact"/>
        <w:ind w:left="100" w:right="0"/>
        <w:jc w:val="left"/>
        <w:rPr>
          <w:rFonts w:ascii="Arial" w:hAnsi="Arial" w:cs="Arial" w:eastAsia="Arial" w:hint="default"/>
        </w:rPr>
      </w:pPr>
      <w:hyperlink w:history="true" w:anchor="_bookmark20">
        <w:r>
          <w:rPr>
            <w:rFonts w:ascii="Arial" w:hAnsi="Arial" w:cs="Arial" w:eastAsia="Arial" w:hint="default"/>
          </w:rPr>
          <w:t>9. U8</w:t>
        </w:r>
      </w:hyperlink>
      <w:r>
        <w:rPr>
          <w:rFonts w:ascii="Arial" w:hAnsi="Arial" w:cs="Arial" w:eastAsia="Arial" w:hint="default"/>
          <w:spacing w:val="3"/>
        </w:rPr>
        <w:t> </w:t>
      </w:r>
      <w:hyperlink w:history="true" w:anchor="_bookmark20">
        <w:r>
          <w:rPr>
            <w:rFonts w:ascii="黑体" w:hAnsi="黑体" w:cs="黑体" w:eastAsia="黑体" w:hint="default"/>
          </w:rPr>
          <w:t>系统关键业务单据的修改</w:t>
        </w:r>
      </w:hyperlink>
      <w:r>
        <w:rPr>
          <w:rFonts w:ascii="Arial" w:hAnsi="Arial" w:cs="Arial" w:eastAsia="Arial" w:hint="default"/>
        </w:rPr>
        <w:tab/>
      </w:r>
      <w:hyperlink w:history="true" w:anchor="_bookmark20">
        <w:r>
          <w:rPr>
            <w:rFonts w:ascii="Arial" w:hAnsi="Arial" w:cs="Arial" w:eastAsia="Arial" w:hint="default"/>
          </w:rPr>
          <w:t>36</w:t>
        </w:r>
      </w:hyperlink>
    </w:p>
    <w:p>
      <w:pPr>
        <w:pStyle w:val="BodyText"/>
        <w:tabs>
          <w:tab w:pos="9939" w:val="right" w:leader="dot"/>
        </w:tabs>
        <w:spacing w:line="268" w:lineRule="exact"/>
        <w:ind w:left="100" w:right="0"/>
        <w:jc w:val="left"/>
        <w:rPr>
          <w:rFonts w:ascii="Arial" w:hAnsi="Arial" w:cs="Arial" w:eastAsia="Arial" w:hint="default"/>
        </w:rPr>
      </w:pPr>
      <w:hyperlink w:history="true" w:anchor="_bookmark21">
        <w:r>
          <w:rPr>
            <w:rFonts w:ascii="Arial" w:hAnsi="Arial" w:cs="Arial" w:eastAsia="Arial" w:hint="default"/>
          </w:rPr>
          <w:t>10.</w:t>
        </w:r>
        <w:r>
          <w:rPr>
            <w:rFonts w:ascii="黑体" w:hAnsi="黑体" w:cs="黑体" w:eastAsia="黑体" w:hint="default"/>
          </w:rPr>
          <w:t>单据录入及审核的系统控制（</w:t>
        </w:r>
        <w:r>
          <w:rPr>
            <w:rFonts w:ascii="Arial" w:hAnsi="Arial" w:cs="Arial" w:eastAsia="Arial" w:hint="default"/>
          </w:rPr>
          <w:t>U8</w:t>
        </w:r>
        <w:r>
          <w:rPr>
            <w:rFonts w:ascii="黑体" w:hAnsi="黑体" w:cs="黑体" w:eastAsia="黑体" w:hint="default"/>
          </w:rPr>
          <w:t>）</w:t>
        </w:r>
      </w:hyperlink>
      <w:r>
        <w:rPr>
          <w:rFonts w:ascii="Arial" w:hAnsi="Arial" w:cs="Arial" w:eastAsia="Arial" w:hint="default"/>
        </w:rPr>
        <w:tab/>
      </w:r>
      <w:hyperlink w:history="true" w:anchor="_bookmark21">
        <w:r>
          <w:rPr>
            <w:rFonts w:ascii="Arial" w:hAnsi="Arial" w:cs="Arial" w:eastAsia="Arial" w:hint="default"/>
          </w:rPr>
          <w:t>37</w:t>
        </w:r>
      </w:hyperlink>
    </w:p>
    <w:p>
      <w:pPr>
        <w:pStyle w:val="BodyText"/>
        <w:tabs>
          <w:tab w:pos="9939" w:val="right" w:leader="dot"/>
        </w:tabs>
        <w:spacing w:line="268" w:lineRule="exact" w:before="212"/>
        <w:ind w:left="100" w:right="0"/>
        <w:jc w:val="left"/>
        <w:rPr>
          <w:rFonts w:ascii="Arial" w:hAnsi="Arial" w:cs="Arial" w:eastAsia="Arial" w:hint="default"/>
        </w:rPr>
      </w:pPr>
      <w:hyperlink w:history="true" w:anchor="_bookmark22">
        <w:r>
          <w:rPr>
            <w:rFonts w:ascii="黑体" w:hAnsi="黑体" w:cs="黑体" w:eastAsia="黑体" w:hint="default"/>
          </w:rPr>
          <w:t>附件一：总部系统安全参数设置</w:t>
        </w:r>
      </w:hyperlink>
      <w:r>
        <w:rPr>
          <w:rFonts w:ascii="Arial" w:hAnsi="Arial" w:cs="Arial" w:eastAsia="Arial" w:hint="default"/>
        </w:rPr>
        <w:tab/>
      </w:r>
      <w:hyperlink w:history="true" w:anchor="_bookmark22">
        <w:r>
          <w:rPr>
            <w:rFonts w:ascii="Arial" w:hAnsi="Arial" w:cs="Arial" w:eastAsia="Arial" w:hint="default"/>
          </w:rPr>
          <w:t>38</w:t>
        </w:r>
      </w:hyperlink>
    </w:p>
    <w:p>
      <w:pPr>
        <w:tabs>
          <w:tab w:pos="9939" w:val="right" w:leader="dot"/>
        </w:tabs>
        <w:spacing w:line="260" w:lineRule="exact" w:before="0"/>
        <w:ind w:left="100" w:right="0" w:firstLine="0"/>
        <w:jc w:val="left"/>
        <w:rPr>
          <w:rFonts w:ascii="Arial" w:hAnsi="Arial" w:cs="Arial" w:eastAsia="Arial" w:hint="default"/>
          <w:sz w:val="20"/>
          <w:szCs w:val="20"/>
        </w:rPr>
      </w:pPr>
      <w:hyperlink w:history="true" w:anchor="_bookmark22">
        <w:r>
          <w:rPr>
            <w:rFonts w:ascii="Arial" w:hAnsi="Arial" w:cs="Arial" w:eastAsia="Arial" w:hint="default"/>
            <w:sz w:val="20"/>
            <w:szCs w:val="20"/>
          </w:rPr>
          <w:t>W</w:t>
        </w:r>
      </w:hyperlink>
      <w:hyperlink w:history="true" w:anchor="_bookmark22">
        <w:r>
          <w:rPr>
            <w:rFonts w:ascii="Arial" w:hAnsi="Arial" w:cs="Arial" w:eastAsia="Arial" w:hint="default"/>
            <w:sz w:val="16"/>
            <w:szCs w:val="16"/>
          </w:rPr>
          <w:t>INDOWS</w:t>
        </w:r>
      </w:hyperlink>
      <w:r>
        <w:rPr>
          <w:rFonts w:ascii="Arial" w:hAnsi="Arial" w:cs="Arial" w:eastAsia="Arial" w:hint="default"/>
          <w:sz w:val="16"/>
          <w:szCs w:val="16"/>
        </w:rPr>
        <w:t> </w:t>
      </w:r>
      <w:hyperlink w:history="true" w:anchor="_bookmark22">
        <w:r>
          <w:rPr>
            <w:rFonts w:ascii="Arial" w:hAnsi="Arial" w:cs="Arial" w:eastAsia="Arial" w:hint="default"/>
            <w:sz w:val="20"/>
            <w:szCs w:val="20"/>
          </w:rPr>
          <w:t>AD</w:t>
        </w:r>
      </w:hyperlink>
      <w:r>
        <w:rPr>
          <w:rFonts w:ascii="Arial" w:hAnsi="Arial" w:cs="Arial" w:eastAsia="Arial" w:hint="default"/>
          <w:sz w:val="20"/>
          <w:szCs w:val="20"/>
        </w:rPr>
        <w:t> </w:t>
      </w:r>
      <w:hyperlink w:history="true" w:anchor="_bookmark22">
        <w:r>
          <w:rPr>
            <w:rFonts w:ascii="Arial" w:hAnsi="Arial" w:cs="Arial" w:eastAsia="Arial" w:hint="default"/>
            <w:sz w:val="20"/>
            <w:szCs w:val="20"/>
          </w:rPr>
          <w:t>S</w:t>
        </w:r>
      </w:hyperlink>
      <w:hyperlink w:history="true" w:anchor="_bookmark22">
        <w:r>
          <w:rPr>
            <w:rFonts w:ascii="Arial" w:hAnsi="Arial" w:cs="Arial" w:eastAsia="Arial" w:hint="default"/>
            <w:sz w:val="16"/>
            <w:szCs w:val="16"/>
          </w:rPr>
          <w:t>ERVER</w:t>
        </w:r>
      </w:hyperlink>
      <w:r>
        <w:rPr>
          <w:rFonts w:ascii="Arial" w:hAnsi="Arial" w:cs="Arial" w:eastAsia="Arial" w:hint="default"/>
          <w:sz w:val="16"/>
          <w:szCs w:val="16"/>
        </w:rPr>
        <w:t> </w:t>
      </w:r>
      <w:hyperlink w:history="true" w:anchor="_bookmark22">
        <w:r>
          <w:rPr>
            <w:rFonts w:ascii="Arial" w:hAnsi="Arial" w:cs="Arial" w:eastAsia="Arial" w:hint="default"/>
            <w:sz w:val="20"/>
            <w:szCs w:val="20"/>
          </w:rPr>
          <w:t>2003(D</w:t>
        </w:r>
      </w:hyperlink>
      <w:hyperlink w:history="true" w:anchor="_bookmark22">
        <w:r>
          <w:rPr>
            <w:rFonts w:ascii="Arial" w:hAnsi="Arial" w:cs="Arial" w:eastAsia="Arial" w:hint="default"/>
            <w:sz w:val="16"/>
            <w:szCs w:val="16"/>
          </w:rPr>
          <w:t>OMAIN</w:t>
        </w:r>
      </w:hyperlink>
      <w:r>
        <w:rPr>
          <w:rFonts w:ascii="Arial" w:hAnsi="Arial" w:cs="Arial" w:eastAsia="Arial" w:hint="default"/>
          <w:sz w:val="16"/>
          <w:szCs w:val="16"/>
        </w:rPr>
        <w:t> </w:t>
      </w:r>
      <w:hyperlink w:history="true" w:anchor="_bookmark22">
        <w:r>
          <w:rPr>
            <w:rFonts w:ascii="Arial" w:hAnsi="Arial" w:cs="Arial" w:eastAsia="Arial" w:hint="default"/>
            <w:sz w:val="20"/>
            <w:szCs w:val="20"/>
          </w:rPr>
          <w:t>C</w:t>
        </w:r>
      </w:hyperlink>
      <w:hyperlink w:history="true" w:anchor="_bookmark22">
        <w:r>
          <w:rPr>
            <w:rFonts w:ascii="Arial" w:hAnsi="Arial" w:cs="Arial" w:eastAsia="Arial" w:hint="default"/>
            <w:sz w:val="16"/>
            <w:szCs w:val="16"/>
          </w:rPr>
          <w:t>ONTROLLER</w:t>
        </w:r>
      </w:hyperlink>
      <w:hyperlink w:history="true" w:anchor="_bookmark22">
        <w:r>
          <w:rPr>
            <w:rFonts w:ascii="Arial" w:hAnsi="Arial" w:cs="Arial" w:eastAsia="Arial" w:hint="default"/>
            <w:sz w:val="20"/>
            <w:szCs w:val="20"/>
          </w:rPr>
          <w:t>)</w:t>
        </w:r>
      </w:hyperlink>
      <w:r>
        <w:rPr>
          <w:rFonts w:ascii="Arial" w:hAnsi="Arial" w:cs="Arial" w:eastAsia="Arial" w:hint="default"/>
          <w:spacing w:val="-25"/>
          <w:sz w:val="20"/>
          <w:szCs w:val="20"/>
        </w:rPr>
        <w:t> </w:t>
      </w:r>
      <w:hyperlink w:history="true" w:anchor="_bookmark22">
        <w:r>
          <w:rPr>
            <w:rFonts w:ascii="黑体" w:hAnsi="黑体" w:cs="黑体" w:eastAsia="黑体" w:hint="default"/>
            <w:sz w:val="20"/>
            <w:szCs w:val="20"/>
          </w:rPr>
          <w:t>系统参数建议设置</w:t>
        </w:r>
      </w:hyperlink>
      <w:r>
        <w:rPr>
          <w:rFonts w:ascii="Arial" w:hAnsi="Arial" w:cs="Arial" w:eastAsia="Arial" w:hint="default"/>
          <w:sz w:val="20"/>
          <w:szCs w:val="20"/>
        </w:rPr>
        <w:tab/>
      </w:r>
      <w:hyperlink w:history="true" w:anchor="_bookmark22">
        <w:r>
          <w:rPr>
            <w:rFonts w:ascii="Arial" w:hAnsi="Arial" w:cs="Arial" w:eastAsia="Arial" w:hint="default"/>
            <w:sz w:val="20"/>
            <w:szCs w:val="20"/>
          </w:rPr>
          <w:t>38</w:t>
        </w:r>
      </w:hyperlink>
    </w:p>
    <w:p>
      <w:pPr>
        <w:tabs>
          <w:tab w:pos="9939" w:val="right" w:leader="dot"/>
        </w:tabs>
        <w:spacing w:line="259" w:lineRule="exact" w:before="0"/>
        <w:ind w:left="100" w:right="0" w:firstLine="0"/>
        <w:jc w:val="left"/>
        <w:rPr>
          <w:rFonts w:ascii="Arial" w:hAnsi="Arial" w:cs="Arial" w:eastAsia="Arial" w:hint="default"/>
          <w:sz w:val="20"/>
          <w:szCs w:val="20"/>
        </w:rPr>
      </w:pPr>
      <w:hyperlink w:history="true" w:anchor="_bookmark22">
        <w:r>
          <w:rPr>
            <w:rFonts w:ascii="Arial" w:hAnsi="Arial" w:cs="Arial" w:eastAsia="Arial" w:hint="default"/>
            <w:sz w:val="20"/>
            <w:szCs w:val="20"/>
          </w:rPr>
          <w:t>NC</w:t>
        </w:r>
        <w:r>
          <w:rPr>
            <w:rFonts w:ascii="黑体" w:hAnsi="黑体" w:cs="黑体" w:eastAsia="黑体" w:hint="default"/>
            <w:sz w:val="20"/>
            <w:szCs w:val="20"/>
          </w:rPr>
          <w:t>系统应用服务器操作系统</w:t>
        </w:r>
      </w:hyperlink>
      <w:r>
        <w:rPr>
          <w:rFonts w:ascii="黑体" w:hAnsi="黑体" w:cs="黑体" w:eastAsia="黑体" w:hint="default"/>
          <w:spacing w:val="-57"/>
          <w:sz w:val="20"/>
          <w:szCs w:val="20"/>
        </w:rPr>
        <w:t> </w:t>
      </w:r>
      <w:hyperlink w:history="true" w:anchor="_bookmark22">
        <w:r>
          <w:rPr>
            <w:rFonts w:ascii="Arial" w:hAnsi="Arial" w:cs="Arial" w:eastAsia="Arial" w:hint="default"/>
            <w:sz w:val="20"/>
            <w:szCs w:val="20"/>
          </w:rPr>
          <w:t>(W</w:t>
        </w:r>
      </w:hyperlink>
      <w:hyperlink w:history="true" w:anchor="_bookmark22">
        <w:r>
          <w:rPr>
            <w:rFonts w:ascii="Arial" w:hAnsi="Arial" w:cs="Arial" w:eastAsia="Arial" w:hint="default"/>
            <w:sz w:val="16"/>
            <w:szCs w:val="16"/>
          </w:rPr>
          <w:t>INDOWS</w:t>
        </w:r>
      </w:hyperlink>
      <w:r>
        <w:rPr>
          <w:rFonts w:ascii="Arial" w:hAnsi="Arial" w:cs="Arial" w:eastAsia="Arial" w:hint="default"/>
          <w:spacing w:val="-2"/>
          <w:sz w:val="16"/>
          <w:szCs w:val="16"/>
        </w:rPr>
        <w:t> </w:t>
      </w:r>
      <w:hyperlink w:history="true" w:anchor="_bookmark22">
        <w:r>
          <w:rPr>
            <w:rFonts w:ascii="Arial" w:hAnsi="Arial" w:cs="Arial" w:eastAsia="Arial" w:hint="default"/>
            <w:sz w:val="20"/>
            <w:szCs w:val="20"/>
          </w:rPr>
          <w:t>2003)</w:t>
        </w:r>
      </w:hyperlink>
      <w:r>
        <w:rPr>
          <w:rFonts w:ascii="Arial" w:hAnsi="Arial" w:cs="Arial" w:eastAsia="Arial" w:hint="default"/>
          <w:sz w:val="20"/>
          <w:szCs w:val="20"/>
        </w:rPr>
        <w:tab/>
      </w:r>
      <w:hyperlink w:history="true" w:anchor="_bookmark22">
        <w:r>
          <w:rPr>
            <w:rFonts w:ascii="Arial" w:hAnsi="Arial" w:cs="Arial" w:eastAsia="Arial" w:hint="default"/>
            <w:sz w:val="20"/>
            <w:szCs w:val="20"/>
          </w:rPr>
          <w:t>38</w:t>
        </w:r>
      </w:hyperlink>
    </w:p>
    <w:p>
      <w:pPr>
        <w:tabs>
          <w:tab w:pos="9939" w:val="right" w:leader="dot"/>
        </w:tabs>
        <w:spacing w:line="259" w:lineRule="exact" w:before="0"/>
        <w:ind w:left="100" w:right="0" w:firstLine="0"/>
        <w:jc w:val="left"/>
        <w:rPr>
          <w:rFonts w:ascii="Arial" w:hAnsi="Arial" w:cs="Arial" w:eastAsia="Arial" w:hint="default"/>
          <w:sz w:val="20"/>
          <w:szCs w:val="20"/>
        </w:rPr>
      </w:pPr>
      <w:hyperlink w:history="true" w:anchor="_bookmark23">
        <w:r>
          <w:rPr>
            <w:rFonts w:ascii="Arial" w:hAnsi="Arial" w:cs="Arial" w:eastAsia="Arial" w:hint="default"/>
            <w:sz w:val="20"/>
            <w:szCs w:val="20"/>
          </w:rPr>
          <w:t>NC</w:t>
        </w:r>
        <w:r>
          <w:rPr>
            <w:rFonts w:ascii="黑体" w:hAnsi="黑体" w:cs="黑体" w:eastAsia="黑体" w:hint="default"/>
            <w:sz w:val="20"/>
            <w:szCs w:val="20"/>
          </w:rPr>
          <w:t>系统数据库服务器操作系统</w:t>
        </w:r>
      </w:hyperlink>
      <w:r>
        <w:rPr>
          <w:rFonts w:ascii="黑体" w:hAnsi="黑体" w:cs="黑体" w:eastAsia="黑体" w:hint="default"/>
          <w:spacing w:val="-57"/>
          <w:sz w:val="20"/>
          <w:szCs w:val="20"/>
        </w:rPr>
        <w:t> </w:t>
      </w:r>
      <w:hyperlink w:history="true" w:anchor="_bookmark23">
        <w:r>
          <w:rPr>
            <w:rFonts w:ascii="Arial" w:hAnsi="Arial" w:cs="Arial" w:eastAsia="Arial" w:hint="default"/>
            <w:sz w:val="20"/>
            <w:szCs w:val="20"/>
          </w:rPr>
          <w:t>(S</w:t>
        </w:r>
      </w:hyperlink>
      <w:hyperlink w:history="true" w:anchor="_bookmark23">
        <w:r>
          <w:rPr>
            <w:rFonts w:ascii="Arial" w:hAnsi="Arial" w:cs="Arial" w:eastAsia="Arial" w:hint="default"/>
            <w:sz w:val="16"/>
            <w:szCs w:val="16"/>
          </w:rPr>
          <w:t>OLARIS</w:t>
        </w:r>
      </w:hyperlink>
      <w:hyperlink w:history="true" w:anchor="_bookmark23">
        <w:r>
          <w:rPr>
            <w:rFonts w:ascii="Arial" w:hAnsi="Arial" w:cs="Arial" w:eastAsia="Arial" w:hint="default"/>
            <w:sz w:val="20"/>
            <w:szCs w:val="20"/>
          </w:rPr>
          <w:t>)</w:t>
        </w:r>
      </w:hyperlink>
      <w:r>
        <w:rPr>
          <w:rFonts w:ascii="Arial" w:hAnsi="Arial" w:cs="Arial" w:eastAsia="Arial" w:hint="default"/>
          <w:sz w:val="20"/>
          <w:szCs w:val="20"/>
        </w:rPr>
        <w:tab/>
      </w:r>
      <w:hyperlink w:history="true" w:anchor="_bookmark23">
        <w:r>
          <w:rPr>
            <w:rFonts w:ascii="Arial" w:hAnsi="Arial" w:cs="Arial" w:eastAsia="Arial" w:hint="default"/>
            <w:sz w:val="20"/>
            <w:szCs w:val="20"/>
          </w:rPr>
          <w:t>39</w:t>
        </w:r>
      </w:hyperlink>
    </w:p>
    <w:p>
      <w:pPr>
        <w:tabs>
          <w:tab w:pos="9939" w:val="right" w:leader="dot"/>
        </w:tabs>
        <w:spacing w:line="259" w:lineRule="exact" w:before="0"/>
        <w:ind w:left="100" w:right="0" w:firstLine="0"/>
        <w:jc w:val="left"/>
        <w:rPr>
          <w:rFonts w:ascii="Arial" w:hAnsi="Arial" w:cs="Arial" w:eastAsia="Arial" w:hint="default"/>
          <w:sz w:val="20"/>
          <w:szCs w:val="20"/>
        </w:rPr>
      </w:pPr>
      <w:hyperlink w:history="true" w:anchor="_bookmark23">
        <w:r>
          <w:rPr>
            <w:rFonts w:ascii="Arial" w:hAnsi="Arial" w:cs="Arial" w:eastAsia="Arial" w:hint="default"/>
            <w:sz w:val="20"/>
            <w:szCs w:val="20"/>
          </w:rPr>
          <w:t>NC</w:t>
        </w:r>
        <w:r>
          <w:rPr>
            <w:rFonts w:ascii="黑体" w:hAnsi="黑体" w:cs="黑体" w:eastAsia="黑体" w:hint="default"/>
            <w:sz w:val="20"/>
            <w:szCs w:val="20"/>
          </w:rPr>
          <w:t>数据库系统</w:t>
        </w:r>
      </w:hyperlink>
      <w:r>
        <w:rPr>
          <w:rFonts w:ascii="黑体" w:hAnsi="黑体" w:cs="黑体" w:eastAsia="黑体" w:hint="default"/>
          <w:spacing w:val="-57"/>
          <w:sz w:val="20"/>
          <w:szCs w:val="20"/>
        </w:rPr>
        <w:t> </w:t>
      </w:r>
      <w:hyperlink w:history="true" w:anchor="_bookmark23">
        <w:r>
          <w:rPr>
            <w:rFonts w:ascii="Arial" w:hAnsi="Arial" w:cs="Arial" w:eastAsia="Arial" w:hint="default"/>
            <w:sz w:val="20"/>
            <w:szCs w:val="20"/>
          </w:rPr>
          <w:t>(O</w:t>
        </w:r>
      </w:hyperlink>
      <w:hyperlink w:history="true" w:anchor="_bookmark23">
        <w:r>
          <w:rPr>
            <w:rFonts w:ascii="Arial" w:hAnsi="Arial" w:cs="Arial" w:eastAsia="Arial" w:hint="default"/>
            <w:sz w:val="16"/>
            <w:szCs w:val="16"/>
          </w:rPr>
          <w:t>RACLE</w:t>
        </w:r>
      </w:hyperlink>
      <w:r>
        <w:rPr>
          <w:rFonts w:ascii="Arial" w:hAnsi="Arial" w:cs="Arial" w:eastAsia="Arial" w:hint="default"/>
          <w:spacing w:val="-1"/>
          <w:sz w:val="16"/>
          <w:szCs w:val="16"/>
        </w:rPr>
        <w:t> </w:t>
      </w:r>
      <w:hyperlink w:history="true" w:anchor="_bookmark23">
        <w:r>
          <w:rPr>
            <w:rFonts w:ascii="Arial" w:hAnsi="Arial" w:cs="Arial" w:eastAsia="Arial" w:hint="default"/>
            <w:sz w:val="20"/>
            <w:szCs w:val="20"/>
          </w:rPr>
          <w:t>10</w:t>
        </w:r>
      </w:hyperlink>
      <w:hyperlink w:history="true" w:anchor="_bookmark23">
        <w:r>
          <w:rPr>
            <w:rFonts w:ascii="Arial" w:hAnsi="Arial" w:cs="Arial" w:eastAsia="Arial" w:hint="default"/>
            <w:sz w:val="16"/>
            <w:szCs w:val="16"/>
          </w:rPr>
          <w:t>G</w:t>
        </w:r>
      </w:hyperlink>
      <w:hyperlink w:history="true" w:anchor="_bookmark23">
        <w:r>
          <w:rPr>
            <w:rFonts w:ascii="Arial" w:hAnsi="Arial" w:cs="Arial" w:eastAsia="Arial" w:hint="default"/>
            <w:sz w:val="20"/>
            <w:szCs w:val="20"/>
          </w:rPr>
          <w:t>)</w:t>
        </w:r>
      </w:hyperlink>
      <w:r>
        <w:rPr>
          <w:rFonts w:ascii="Arial" w:hAnsi="Arial" w:cs="Arial" w:eastAsia="Arial" w:hint="default"/>
          <w:sz w:val="20"/>
          <w:szCs w:val="20"/>
        </w:rPr>
        <w:tab/>
      </w:r>
      <w:hyperlink w:history="true" w:anchor="_bookmark23">
        <w:r>
          <w:rPr>
            <w:rFonts w:ascii="Arial" w:hAnsi="Arial" w:cs="Arial" w:eastAsia="Arial" w:hint="default"/>
            <w:sz w:val="20"/>
            <w:szCs w:val="20"/>
          </w:rPr>
          <w:t>39</w:t>
        </w:r>
      </w:hyperlink>
    </w:p>
    <w:p>
      <w:pPr>
        <w:tabs>
          <w:tab w:pos="9939" w:val="right" w:leader="dot"/>
        </w:tabs>
        <w:spacing w:line="259" w:lineRule="exact" w:before="0"/>
        <w:ind w:left="100" w:right="0" w:firstLine="0"/>
        <w:jc w:val="left"/>
        <w:rPr>
          <w:rFonts w:ascii="Arial" w:hAnsi="Arial" w:cs="Arial" w:eastAsia="Arial" w:hint="default"/>
          <w:sz w:val="20"/>
          <w:szCs w:val="20"/>
        </w:rPr>
      </w:pPr>
      <w:hyperlink w:history="true" w:anchor="_bookmark24">
        <w:r>
          <w:rPr>
            <w:rFonts w:ascii="Arial" w:hAnsi="Arial" w:cs="Arial" w:eastAsia="Arial" w:hint="default"/>
            <w:sz w:val="20"/>
            <w:szCs w:val="20"/>
          </w:rPr>
          <w:t>PO</w:t>
        </w:r>
        <w:r>
          <w:rPr>
            <w:rFonts w:ascii="黑体" w:hAnsi="黑体" w:cs="黑体" w:eastAsia="黑体" w:hint="default"/>
            <w:sz w:val="20"/>
            <w:szCs w:val="20"/>
          </w:rPr>
          <w:t>系统服务器操作系统</w:t>
        </w:r>
      </w:hyperlink>
      <w:r>
        <w:rPr>
          <w:rFonts w:ascii="黑体" w:hAnsi="黑体" w:cs="黑体" w:eastAsia="黑体" w:hint="default"/>
          <w:spacing w:val="-57"/>
          <w:sz w:val="20"/>
          <w:szCs w:val="20"/>
        </w:rPr>
        <w:t> </w:t>
      </w:r>
      <w:hyperlink w:history="true" w:anchor="_bookmark24">
        <w:r>
          <w:rPr>
            <w:rFonts w:ascii="Arial" w:hAnsi="Arial" w:cs="Arial" w:eastAsia="Arial" w:hint="default"/>
            <w:sz w:val="20"/>
            <w:szCs w:val="20"/>
          </w:rPr>
          <w:t>(W</w:t>
        </w:r>
      </w:hyperlink>
      <w:hyperlink w:history="true" w:anchor="_bookmark24">
        <w:r>
          <w:rPr>
            <w:rFonts w:ascii="Arial" w:hAnsi="Arial" w:cs="Arial" w:eastAsia="Arial" w:hint="default"/>
            <w:sz w:val="16"/>
            <w:szCs w:val="16"/>
          </w:rPr>
          <w:t>INDOWS</w:t>
        </w:r>
      </w:hyperlink>
      <w:r>
        <w:rPr>
          <w:rFonts w:ascii="Arial" w:hAnsi="Arial" w:cs="Arial" w:eastAsia="Arial" w:hint="default"/>
          <w:spacing w:val="-2"/>
          <w:sz w:val="16"/>
          <w:szCs w:val="16"/>
        </w:rPr>
        <w:t> </w:t>
      </w:r>
      <w:hyperlink w:history="true" w:anchor="_bookmark24">
        <w:r>
          <w:rPr>
            <w:rFonts w:ascii="Arial" w:hAnsi="Arial" w:cs="Arial" w:eastAsia="Arial" w:hint="default"/>
            <w:sz w:val="20"/>
            <w:szCs w:val="20"/>
          </w:rPr>
          <w:t>2003)</w:t>
        </w:r>
      </w:hyperlink>
      <w:r>
        <w:rPr>
          <w:rFonts w:ascii="Arial" w:hAnsi="Arial" w:cs="Arial" w:eastAsia="Arial" w:hint="default"/>
          <w:sz w:val="20"/>
          <w:szCs w:val="20"/>
        </w:rPr>
        <w:tab/>
      </w:r>
      <w:hyperlink w:history="true" w:anchor="_bookmark24">
        <w:r>
          <w:rPr>
            <w:rFonts w:ascii="Arial" w:hAnsi="Arial" w:cs="Arial" w:eastAsia="Arial" w:hint="default"/>
            <w:sz w:val="20"/>
            <w:szCs w:val="20"/>
          </w:rPr>
          <w:t>40</w:t>
        </w:r>
      </w:hyperlink>
    </w:p>
    <w:p>
      <w:pPr>
        <w:tabs>
          <w:tab w:pos="9939" w:val="right" w:leader="dot"/>
        </w:tabs>
        <w:spacing w:line="268" w:lineRule="exact" w:before="0"/>
        <w:ind w:left="100" w:right="0" w:firstLine="0"/>
        <w:jc w:val="left"/>
        <w:rPr>
          <w:rFonts w:ascii="Arial" w:hAnsi="Arial" w:cs="Arial" w:eastAsia="Arial" w:hint="default"/>
          <w:sz w:val="20"/>
          <w:szCs w:val="20"/>
        </w:rPr>
      </w:pPr>
      <w:hyperlink w:history="true" w:anchor="_bookmark24">
        <w:r>
          <w:rPr>
            <w:rFonts w:ascii="Arial" w:hAnsi="Arial" w:cs="Arial" w:eastAsia="Arial" w:hint="default"/>
            <w:sz w:val="20"/>
            <w:szCs w:val="20"/>
          </w:rPr>
          <w:t>PO</w:t>
        </w:r>
        <w:r>
          <w:rPr>
            <w:rFonts w:ascii="黑体" w:hAnsi="黑体" w:cs="黑体" w:eastAsia="黑体" w:hint="default"/>
            <w:sz w:val="20"/>
            <w:szCs w:val="20"/>
          </w:rPr>
          <w:t>数据库系统</w:t>
        </w:r>
      </w:hyperlink>
      <w:r>
        <w:rPr>
          <w:rFonts w:ascii="黑体" w:hAnsi="黑体" w:cs="黑体" w:eastAsia="黑体" w:hint="default"/>
          <w:spacing w:val="-57"/>
          <w:sz w:val="20"/>
          <w:szCs w:val="20"/>
        </w:rPr>
        <w:t> </w:t>
      </w:r>
      <w:hyperlink w:history="true" w:anchor="_bookmark24">
        <w:r>
          <w:rPr>
            <w:rFonts w:ascii="Arial" w:hAnsi="Arial" w:cs="Arial" w:eastAsia="Arial" w:hint="default"/>
            <w:sz w:val="20"/>
            <w:szCs w:val="20"/>
          </w:rPr>
          <w:t>(SQL</w:t>
        </w:r>
      </w:hyperlink>
      <w:r>
        <w:rPr>
          <w:rFonts w:ascii="Arial" w:hAnsi="Arial" w:cs="Arial" w:eastAsia="Arial" w:hint="default"/>
          <w:spacing w:val="-13"/>
          <w:sz w:val="20"/>
          <w:szCs w:val="20"/>
        </w:rPr>
        <w:t> </w:t>
      </w:r>
      <w:hyperlink w:history="true" w:anchor="_bookmark24">
        <w:r>
          <w:rPr>
            <w:rFonts w:ascii="Arial" w:hAnsi="Arial" w:cs="Arial" w:eastAsia="Arial" w:hint="default"/>
            <w:sz w:val="20"/>
            <w:szCs w:val="20"/>
          </w:rPr>
          <w:t>S</w:t>
        </w:r>
      </w:hyperlink>
      <w:hyperlink w:history="true" w:anchor="_bookmark24">
        <w:r>
          <w:rPr>
            <w:rFonts w:ascii="Arial" w:hAnsi="Arial" w:cs="Arial" w:eastAsia="Arial" w:hint="default"/>
            <w:sz w:val="16"/>
            <w:szCs w:val="16"/>
          </w:rPr>
          <w:t>ERVER</w:t>
        </w:r>
      </w:hyperlink>
      <w:r>
        <w:rPr>
          <w:rFonts w:ascii="Arial" w:hAnsi="Arial" w:cs="Arial" w:eastAsia="Arial" w:hint="default"/>
          <w:spacing w:val="-1"/>
          <w:sz w:val="16"/>
          <w:szCs w:val="16"/>
        </w:rPr>
        <w:t> </w:t>
      </w:r>
      <w:hyperlink w:history="true" w:anchor="_bookmark24">
        <w:r>
          <w:rPr>
            <w:rFonts w:ascii="Arial" w:hAnsi="Arial" w:cs="Arial" w:eastAsia="Arial" w:hint="default"/>
            <w:sz w:val="20"/>
            <w:szCs w:val="20"/>
          </w:rPr>
          <w:t>2000)</w:t>
        </w:r>
      </w:hyperlink>
      <w:r>
        <w:rPr>
          <w:rFonts w:ascii="Arial" w:hAnsi="Arial" w:cs="Arial" w:eastAsia="Arial" w:hint="default"/>
          <w:sz w:val="20"/>
          <w:szCs w:val="20"/>
        </w:rPr>
        <w:tab/>
      </w:r>
      <w:hyperlink w:history="true" w:anchor="_bookmark24">
        <w:r>
          <w:rPr>
            <w:rFonts w:ascii="Arial" w:hAnsi="Arial" w:cs="Arial" w:eastAsia="Arial" w:hint="default"/>
            <w:sz w:val="20"/>
            <w:szCs w:val="20"/>
          </w:rPr>
          <w:t>40</w:t>
        </w:r>
      </w:hyperlink>
    </w:p>
    <w:p>
      <w:pPr>
        <w:pStyle w:val="BodyText"/>
        <w:tabs>
          <w:tab w:pos="9939" w:val="right" w:leader="dot"/>
        </w:tabs>
        <w:spacing w:line="268" w:lineRule="exact" w:before="213"/>
        <w:ind w:left="100" w:right="0"/>
        <w:jc w:val="left"/>
        <w:rPr>
          <w:rFonts w:ascii="Arial" w:hAnsi="Arial" w:cs="Arial" w:eastAsia="Arial" w:hint="default"/>
        </w:rPr>
      </w:pPr>
      <w:hyperlink w:history="true" w:anchor="_bookmark25">
        <w:r>
          <w:rPr>
            <w:rFonts w:ascii="黑体" w:hAnsi="黑体" w:cs="黑体" w:eastAsia="黑体" w:hint="default"/>
          </w:rPr>
          <w:t>附件二：分子公司系统安全参数设置</w:t>
        </w:r>
      </w:hyperlink>
      <w:r>
        <w:rPr>
          <w:rFonts w:ascii="Arial" w:hAnsi="Arial" w:cs="Arial" w:eastAsia="Arial" w:hint="default"/>
        </w:rPr>
        <w:tab/>
      </w:r>
      <w:hyperlink w:history="true" w:anchor="_bookmark25">
        <w:r>
          <w:rPr>
            <w:rFonts w:ascii="Arial" w:hAnsi="Arial" w:cs="Arial" w:eastAsia="Arial" w:hint="default"/>
          </w:rPr>
          <w:t>41</w:t>
        </w:r>
      </w:hyperlink>
    </w:p>
    <w:p>
      <w:pPr>
        <w:tabs>
          <w:tab w:pos="9939" w:val="right" w:leader="dot"/>
        </w:tabs>
        <w:spacing w:line="259" w:lineRule="exact" w:before="0"/>
        <w:ind w:left="100" w:right="0" w:firstLine="0"/>
        <w:jc w:val="left"/>
        <w:rPr>
          <w:rFonts w:ascii="Arial" w:hAnsi="Arial" w:cs="Arial" w:eastAsia="Arial" w:hint="default"/>
          <w:sz w:val="20"/>
          <w:szCs w:val="20"/>
        </w:rPr>
      </w:pPr>
      <w:hyperlink w:history="true" w:anchor="_bookmark25">
        <w:r>
          <w:rPr>
            <w:rFonts w:ascii="Arial" w:hAnsi="Arial" w:cs="Arial" w:eastAsia="Arial" w:hint="default"/>
            <w:sz w:val="20"/>
            <w:szCs w:val="20"/>
          </w:rPr>
          <w:t>U8</w:t>
        </w:r>
        <w:r>
          <w:rPr>
            <w:rFonts w:ascii="Arial" w:hAnsi="Arial" w:cs="Arial" w:eastAsia="Arial" w:hint="default"/>
            <w:spacing w:val="-14"/>
            <w:sz w:val="20"/>
            <w:szCs w:val="20"/>
          </w:rPr>
          <w:t> </w:t>
        </w:r>
        <w:r>
          <w:rPr>
            <w:rFonts w:ascii="黑体" w:hAnsi="黑体" w:cs="黑体" w:eastAsia="黑体" w:hint="default"/>
            <w:sz w:val="20"/>
            <w:szCs w:val="20"/>
          </w:rPr>
          <w:t>系统服务器操作系统</w:t>
        </w:r>
      </w:hyperlink>
      <w:r>
        <w:rPr>
          <w:rFonts w:ascii="黑体" w:hAnsi="黑体" w:cs="黑体" w:eastAsia="黑体" w:hint="default"/>
          <w:spacing w:val="-57"/>
          <w:sz w:val="20"/>
          <w:szCs w:val="20"/>
        </w:rPr>
        <w:t> </w:t>
      </w:r>
      <w:hyperlink w:history="true" w:anchor="_bookmark25">
        <w:r>
          <w:rPr>
            <w:rFonts w:ascii="Arial" w:hAnsi="Arial" w:cs="Arial" w:eastAsia="Arial" w:hint="default"/>
            <w:sz w:val="20"/>
            <w:szCs w:val="20"/>
          </w:rPr>
          <w:t>(W</w:t>
        </w:r>
      </w:hyperlink>
      <w:hyperlink w:history="true" w:anchor="_bookmark25">
        <w:r>
          <w:rPr>
            <w:rFonts w:ascii="Arial" w:hAnsi="Arial" w:cs="Arial" w:eastAsia="Arial" w:hint="default"/>
            <w:sz w:val="16"/>
            <w:szCs w:val="16"/>
          </w:rPr>
          <w:t>INDOWS</w:t>
        </w:r>
      </w:hyperlink>
      <w:r>
        <w:rPr>
          <w:rFonts w:ascii="Arial" w:hAnsi="Arial" w:cs="Arial" w:eastAsia="Arial" w:hint="default"/>
          <w:spacing w:val="-2"/>
          <w:sz w:val="16"/>
          <w:szCs w:val="16"/>
        </w:rPr>
        <w:t> </w:t>
      </w:r>
      <w:hyperlink w:history="true" w:anchor="_bookmark25">
        <w:r>
          <w:rPr>
            <w:rFonts w:ascii="Arial" w:hAnsi="Arial" w:cs="Arial" w:eastAsia="Arial" w:hint="default"/>
            <w:sz w:val="20"/>
            <w:szCs w:val="20"/>
          </w:rPr>
          <w:t>2000)</w:t>
        </w:r>
      </w:hyperlink>
      <w:r>
        <w:rPr>
          <w:rFonts w:ascii="Arial" w:hAnsi="Arial" w:cs="Arial" w:eastAsia="Arial" w:hint="default"/>
          <w:sz w:val="20"/>
          <w:szCs w:val="20"/>
        </w:rPr>
        <w:tab/>
      </w:r>
      <w:hyperlink w:history="true" w:anchor="_bookmark25">
        <w:r>
          <w:rPr>
            <w:rFonts w:ascii="Arial" w:hAnsi="Arial" w:cs="Arial" w:eastAsia="Arial" w:hint="default"/>
            <w:sz w:val="20"/>
            <w:szCs w:val="20"/>
          </w:rPr>
          <w:t>41</w:t>
        </w:r>
      </w:hyperlink>
    </w:p>
    <w:p>
      <w:pPr>
        <w:tabs>
          <w:tab w:pos="9939" w:val="right" w:leader="dot"/>
        </w:tabs>
        <w:spacing w:line="268" w:lineRule="exact" w:before="0"/>
        <w:ind w:left="100" w:right="0" w:firstLine="0"/>
        <w:jc w:val="left"/>
        <w:rPr>
          <w:rFonts w:ascii="Arial" w:hAnsi="Arial" w:cs="Arial" w:eastAsia="Arial" w:hint="default"/>
          <w:sz w:val="20"/>
          <w:szCs w:val="20"/>
        </w:rPr>
      </w:pPr>
      <w:hyperlink w:history="true" w:anchor="_bookmark25">
        <w:r>
          <w:rPr>
            <w:rFonts w:ascii="Arial" w:hAnsi="Arial" w:cs="Arial" w:eastAsia="Arial" w:hint="default"/>
            <w:sz w:val="20"/>
            <w:szCs w:val="20"/>
          </w:rPr>
          <w:t>U8</w:t>
        </w:r>
      </w:hyperlink>
      <w:r>
        <w:rPr>
          <w:rFonts w:ascii="Arial" w:hAnsi="Arial" w:cs="Arial" w:eastAsia="Arial" w:hint="default"/>
          <w:spacing w:val="-12"/>
          <w:sz w:val="20"/>
          <w:szCs w:val="20"/>
        </w:rPr>
        <w:t> </w:t>
      </w:r>
      <w:hyperlink w:history="true" w:anchor="_bookmark25">
        <w:r>
          <w:rPr>
            <w:rFonts w:ascii="黑体" w:hAnsi="黑体" w:cs="黑体" w:eastAsia="黑体" w:hint="default"/>
            <w:sz w:val="20"/>
            <w:szCs w:val="20"/>
          </w:rPr>
          <w:t>数据库系统</w:t>
        </w:r>
        <w:r>
          <w:rPr>
            <w:rFonts w:ascii="黑体" w:hAnsi="黑体" w:cs="黑体" w:eastAsia="黑体" w:hint="default"/>
            <w:spacing w:val="-57"/>
            <w:sz w:val="20"/>
            <w:szCs w:val="20"/>
          </w:rPr>
          <w:t> </w:t>
        </w:r>
        <w:r>
          <w:rPr>
            <w:rFonts w:ascii="Arial" w:hAnsi="Arial" w:cs="Arial" w:eastAsia="Arial" w:hint="default"/>
            <w:sz w:val="20"/>
            <w:szCs w:val="20"/>
          </w:rPr>
          <w:t>(SQL</w:t>
        </w:r>
      </w:hyperlink>
      <w:r>
        <w:rPr>
          <w:rFonts w:ascii="Arial" w:hAnsi="Arial" w:cs="Arial" w:eastAsia="Arial" w:hint="default"/>
          <w:spacing w:val="-13"/>
          <w:sz w:val="20"/>
          <w:szCs w:val="20"/>
        </w:rPr>
        <w:t> </w:t>
      </w:r>
      <w:hyperlink w:history="true" w:anchor="_bookmark25">
        <w:r>
          <w:rPr>
            <w:rFonts w:ascii="Arial" w:hAnsi="Arial" w:cs="Arial" w:eastAsia="Arial" w:hint="default"/>
            <w:sz w:val="20"/>
            <w:szCs w:val="20"/>
          </w:rPr>
          <w:t>S</w:t>
        </w:r>
      </w:hyperlink>
      <w:hyperlink w:history="true" w:anchor="_bookmark25">
        <w:r>
          <w:rPr>
            <w:rFonts w:ascii="Arial" w:hAnsi="Arial" w:cs="Arial" w:eastAsia="Arial" w:hint="default"/>
            <w:sz w:val="16"/>
            <w:szCs w:val="16"/>
          </w:rPr>
          <w:t>ERVER</w:t>
        </w:r>
      </w:hyperlink>
      <w:r>
        <w:rPr>
          <w:rFonts w:ascii="Arial" w:hAnsi="Arial" w:cs="Arial" w:eastAsia="Arial" w:hint="default"/>
          <w:spacing w:val="-1"/>
          <w:sz w:val="16"/>
          <w:szCs w:val="16"/>
        </w:rPr>
        <w:t> </w:t>
      </w:r>
      <w:hyperlink w:history="true" w:anchor="_bookmark25">
        <w:r>
          <w:rPr>
            <w:rFonts w:ascii="Arial" w:hAnsi="Arial" w:cs="Arial" w:eastAsia="Arial" w:hint="default"/>
            <w:sz w:val="20"/>
            <w:szCs w:val="20"/>
          </w:rPr>
          <w:t>2000)</w:t>
        </w:r>
      </w:hyperlink>
      <w:r>
        <w:rPr>
          <w:rFonts w:ascii="Arial" w:hAnsi="Arial" w:cs="Arial" w:eastAsia="Arial" w:hint="default"/>
          <w:sz w:val="20"/>
          <w:szCs w:val="20"/>
        </w:rPr>
        <w:tab/>
      </w:r>
      <w:hyperlink w:history="true" w:anchor="_bookmark25">
        <w:r>
          <w:rPr>
            <w:rFonts w:ascii="Arial" w:hAnsi="Arial" w:cs="Arial" w:eastAsia="Arial" w:hint="default"/>
            <w:sz w:val="20"/>
            <w:szCs w:val="20"/>
          </w:rPr>
          <w:t>41</w:t>
        </w:r>
      </w:hyperlink>
    </w:p>
    <w:p>
      <w:pPr>
        <w:spacing w:after="0" w:line="268" w:lineRule="exact"/>
        <w:jc w:val="left"/>
        <w:rPr>
          <w:rFonts w:ascii="Arial" w:hAnsi="Arial" w:cs="Arial" w:eastAsia="Arial" w:hint="default"/>
          <w:sz w:val="20"/>
          <w:szCs w:val="20"/>
        </w:rPr>
        <w:sectPr>
          <w:headerReference w:type="default" r:id="rId115"/>
          <w:footerReference w:type="default" r:id="rId116"/>
          <w:pgSz w:w="11910" w:h="16840"/>
          <w:pgMar w:header="0" w:footer="769" w:top="1400" w:bottom="960" w:left="1220" w:right="640"/>
          <w:pgNumType w:start="23"/>
        </w:sectPr>
      </w:pPr>
    </w:p>
    <w:p>
      <w:pPr>
        <w:tabs>
          <w:tab w:pos="981" w:val="left" w:leader="none"/>
        </w:tabs>
        <w:spacing w:before="2"/>
        <w:ind w:left="0" w:right="3" w:firstLine="0"/>
        <w:jc w:val="center"/>
        <w:rPr>
          <w:rFonts w:ascii="黑体" w:hAnsi="黑体" w:cs="黑体" w:eastAsia="黑体" w:hint="default"/>
          <w:sz w:val="29"/>
          <w:szCs w:val="29"/>
        </w:rPr>
      </w:pPr>
      <w:bookmarkStart w:name="_bookmark11" w:id="33"/>
      <w:bookmarkEnd w:id="33"/>
      <w:r>
        <w:rPr/>
      </w:r>
      <w:r>
        <w:rPr>
          <w:rFonts w:ascii="黑体" w:hAnsi="黑体" w:cs="黑体" w:eastAsia="黑体" w:hint="default"/>
          <w:b/>
          <w:bCs/>
          <w:i/>
          <w:w w:val="95"/>
          <w:sz w:val="29"/>
          <w:szCs w:val="29"/>
        </w:rPr>
        <w:t>前</w:t>
        <w:tab/>
      </w:r>
      <w:r>
        <w:rPr>
          <w:rFonts w:ascii="黑体" w:hAnsi="黑体" w:cs="黑体" w:eastAsia="黑体" w:hint="default"/>
          <w:b/>
          <w:bCs/>
          <w:i/>
          <w:sz w:val="29"/>
          <w:szCs w:val="29"/>
        </w:rPr>
        <w:t>言</w:t>
      </w:r>
      <w:r>
        <w:rPr>
          <w:rFonts w:ascii="黑体" w:hAnsi="黑体" w:cs="黑体" w:eastAsia="黑体" w:hint="default"/>
          <w:sz w:val="29"/>
          <w:szCs w:val="29"/>
        </w:rPr>
      </w:r>
    </w:p>
    <w:p>
      <w:pPr>
        <w:spacing w:line="294" w:lineRule="exact" w:before="246"/>
        <w:ind w:left="100" w:right="0" w:firstLine="0"/>
        <w:jc w:val="left"/>
        <w:rPr>
          <w:rFonts w:ascii="黑体" w:hAnsi="黑体" w:cs="黑体" w:eastAsia="黑体" w:hint="default"/>
          <w:sz w:val="22"/>
          <w:szCs w:val="22"/>
        </w:rPr>
      </w:pPr>
      <w:r>
        <w:rPr>
          <w:rFonts w:ascii="黑体" w:hAnsi="黑体" w:cs="黑体" w:eastAsia="黑体" w:hint="default"/>
          <w:spacing w:val="2"/>
          <w:sz w:val="22"/>
          <w:szCs w:val="22"/>
        </w:rPr>
        <w:t>为配合用友软件股份有限公司 </w:t>
      </w:r>
      <w:r>
        <w:rPr>
          <w:rFonts w:ascii="Arial" w:hAnsi="Arial" w:cs="Arial" w:eastAsia="Arial" w:hint="default"/>
          <w:sz w:val="22"/>
          <w:szCs w:val="22"/>
        </w:rPr>
        <w:t>2009</w:t>
      </w:r>
      <w:r>
        <w:rPr>
          <w:rFonts w:ascii="Arial" w:hAnsi="Arial" w:cs="Arial" w:eastAsia="Arial" w:hint="default"/>
          <w:spacing w:val="37"/>
          <w:sz w:val="22"/>
          <w:szCs w:val="22"/>
        </w:rPr>
        <w:t> </w:t>
      </w:r>
      <w:r>
        <w:rPr>
          <w:rFonts w:ascii="黑体" w:hAnsi="黑体" w:cs="黑体" w:eastAsia="黑体" w:hint="default"/>
          <w:spacing w:val="2"/>
          <w:sz w:val="22"/>
          <w:szCs w:val="22"/>
        </w:rPr>
        <w:t>年度的财务审计工作，我们根据所既定的工作范围，对用友软</w:t>
      </w:r>
      <w:r>
        <w:rPr>
          <w:rFonts w:ascii="黑体" w:hAnsi="黑体" w:cs="黑体" w:eastAsia="黑体" w:hint="default"/>
          <w:sz w:val="22"/>
          <w:szCs w:val="22"/>
        </w:rPr>
      </w:r>
    </w:p>
    <w:p>
      <w:pPr>
        <w:spacing w:line="286" w:lineRule="exact" w:before="18"/>
        <w:ind w:left="100" w:right="101" w:firstLine="0"/>
        <w:jc w:val="both"/>
        <w:rPr>
          <w:rFonts w:ascii="黑体" w:hAnsi="黑体" w:cs="黑体" w:eastAsia="黑体" w:hint="default"/>
          <w:sz w:val="22"/>
          <w:szCs w:val="22"/>
        </w:rPr>
      </w:pPr>
      <w:r>
        <w:rPr>
          <w:rFonts w:ascii="黑体" w:hAnsi="黑体" w:cs="黑体" w:eastAsia="黑体" w:hint="default"/>
          <w:sz w:val="22"/>
          <w:szCs w:val="22"/>
        </w:rPr>
        <w:t>件股份有限公司总部以及北京、上海、南京、政务、方正春元等 </w:t>
      </w:r>
      <w:r>
        <w:rPr>
          <w:rFonts w:ascii="Arial" w:hAnsi="Arial" w:cs="Arial" w:eastAsia="Arial" w:hint="default"/>
          <w:sz w:val="22"/>
          <w:szCs w:val="22"/>
        </w:rPr>
        <w:t>5</w:t>
      </w:r>
      <w:r>
        <w:rPr>
          <w:rFonts w:ascii="Arial" w:hAnsi="Arial" w:cs="Arial" w:eastAsia="Arial" w:hint="default"/>
          <w:spacing w:val="56"/>
          <w:sz w:val="22"/>
          <w:szCs w:val="22"/>
        </w:rPr>
        <w:t> </w:t>
      </w:r>
      <w:r>
        <w:rPr>
          <w:rFonts w:ascii="黑体" w:hAnsi="黑体" w:cs="黑体" w:eastAsia="黑体" w:hint="default"/>
          <w:sz w:val="22"/>
          <w:szCs w:val="22"/>
        </w:rPr>
        <w:t>个分、子公司的信息系统管理在</w:t>
      </w:r>
      <w:r>
        <w:rPr>
          <w:rFonts w:ascii="黑体" w:hAnsi="黑体" w:cs="黑体" w:eastAsia="黑体" w:hint="default"/>
          <w:w w:val="99"/>
          <w:sz w:val="22"/>
          <w:szCs w:val="22"/>
        </w:rPr>
        <w:t> </w:t>
      </w:r>
      <w:r>
        <w:rPr>
          <w:rFonts w:ascii="黑体" w:hAnsi="黑体" w:cs="黑体" w:eastAsia="黑体" w:hint="default"/>
          <w:sz w:val="22"/>
          <w:szCs w:val="22"/>
        </w:rPr>
        <w:t>以下三个方面进行了评估：</w:t>
      </w:r>
    </w:p>
    <w:p>
      <w:pPr>
        <w:tabs>
          <w:tab w:pos="806" w:val="left" w:leader="none"/>
        </w:tabs>
        <w:spacing w:line="286" w:lineRule="exact" w:before="119"/>
        <w:ind w:left="807" w:right="102" w:hanging="708"/>
        <w:jc w:val="left"/>
        <w:rPr>
          <w:rFonts w:ascii="黑体" w:hAnsi="黑体" w:cs="黑体" w:eastAsia="黑体" w:hint="default"/>
          <w:sz w:val="22"/>
          <w:szCs w:val="22"/>
        </w:rPr>
      </w:pPr>
      <w:r>
        <w:rPr>
          <w:rFonts w:ascii="黑体" w:hAnsi="黑体" w:cs="黑体" w:eastAsia="黑体" w:hint="default"/>
          <w:b/>
          <w:bCs/>
          <w:w w:val="95"/>
          <w:sz w:val="22"/>
          <w:szCs w:val="22"/>
        </w:rPr>
        <w:t>一、</w:t>
        <w:tab/>
      </w:r>
      <w:r>
        <w:rPr>
          <w:rFonts w:ascii="黑体" w:hAnsi="黑体" w:cs="黑体" w:eastAsia="黑体" w:hint="default"/>
          <w:b/>
          <w:bCs/>
          <w:sz w:val="22"/>
          <w:szCs w:val="22"/>
        </w:rPr>
        <w:t>公司层面控制 </w:t>
      </w:r>
      <w:r>
        <w:rPr>
          <w:rFonts w:ascii="Arial" w:hAnsi="Arial" w:cs="Arial" w:eastAsia="Arial" w:hint="default"/>
          <w:sz w:val="22"/>
          <w:szCs w:val="22"/>
        </w:rPr>
        <w:t>- </w:t>
      </w:r>
      <w:r>
        <w:rPr>
          <w:rFonts w:ascii="黑体" w:hAnsi="黑体" w:cs="黑体" w:eastAsia="黑体" w:hint="default"/>
          <w:sz w:val="22"/>
          <w:szCs w:val="22"/>
        </w:rPr>
        <w:t>通过与公司总部管理层的访谈我们了解并且评估了</w:t>
      </w:r>
      <w:r>
        <w:rPr>
          <w:rFonts w:ascii="黑体" w:hAnsi="黑体" w:cs="黑体" w:eastAsia="黑体" w:hint="default"/>
          <w:spacing w:val="-52"/>
          <w:sz w:val="22"/>
          <w:szCs w:val="22"/>
        </w:rPr>
        <w:t> </w:t>
      </w:r>
      <w:r>
        <w:rPr>
          <w:rFonts w:ascii="黑体" w:hAnsi="黑体" w:cs="黑体" w:eastAsia="黑体" w:hint="default"/>
          <w:sz w:val="22"/>
          <w:szCs w:val="22"/>
        </w:rPr>
        <w:t>贵公司在公司层面的控制</w:t>
      </w:r>
      <w:r>
        <w:rPr>
          <w:rFonts w:ascii="黑体" w:hAnsi="黑体" w:cs="黑体" w:eastAsia="黑体" w:hint="default"/>
          <w:w w:val="99"/>
          <w:sz w:val="22"/>
          <w:szCs w:val="22"/>
        </w:rPr>
        <w:t> </w:t>
      </w:r>
      <w:r>
        <w:rPr>
          <w:rFonts w:ascii="黑体" w:hAnsi="黑体" w:cs="黑体" w:eastAsia="黑体" w:hint="default"/>
          <w:sz w:val="22"/>
          <w:szCs w:val="22"/>
        </w:rPr>
        <w:t>和管理，其中包括：</w:t>
      </w:r>
    </w:p>
    <w:p>
      <w:pPr>
        <w:tabs>
          <w:tab w:pos="1180" w:val="left" w:leader="none"/>
        </w:tabs>
        <w:spacing w:line="295" w:lineRule="exact" w:before="90"/>
        <w:ind w:left="820"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控制环境</w:t>
      </w:r>
    </w:p>
    <w:p>
      <w:pPr>
        <w:tabs>
          <w:tab w:pos="1180" w:val="left" w:leader="none"/>
        </w:tabs>
        <w:spacing w:line="286" w:lineRule="exact" w:before="0"/>
        <w:ind w:left="820"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风险评估</w:t>
      </w:r>
    </w:p>
    <w:p>
      <w:pPr>
        <w:tabs>
          <w:tab w:pos="1180" w:val="left" w:leader="none"/>
        </w:tabs>
        <w:spacing w:line="286" w:lineRule="exact" w:before="0"/>
        <w:ind w:left="820"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控制活动</w:t>
      </w:r>
    </w:p>
    <w:p>
      <w:pPr>
        <w:tabs>
          <w:tab w:pos="1180" w:val="left" w:leader="none"/>
        </w:tabs>
        <w:spacing w:line="285" w:lineRule="exact" w:before="0"/>
        <w:ind w:left="820"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信息与沟通</w:t>
      </w:r>
    </w:p>
    <w:p>
      <w:pPr>
        <w:tabs>
          <w:tab w:pos="1180" w:val="left" w:leader="none"/>
        </w:tabs>
        <w:spacing w:line="295" w:lineRule="exact" w:before="0"/>
        <w:ind w:left="820"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监控</w:t>
      </w:r>
    </w:p>
    <w:p>
      <w:pPr>
        <w:tabs>
          <w:tab w:pos="806" w:val="left" w:leader="none"/>
        </w:tabs>
        <w:spacing w:line="286" w:lineRule="exact" w:before="128"/>
        <w:ind w:left="807" w:right="102" w:hanging="707"/>
        <w:jc w:val="left"/>
        <w:rPr>
          <w:rFonts w:ascii="黑体" w:hAnsi="黑体" w:cs="黑体" w:eastAsia="黑体" w:hint="default"/>
          <w:sz w:val="22"/>
          <w:szCs w:val="22"/>
        </w:rPr>
      </w:pPr>
      <w:r>
        <w:rPr>
          <w:rFonts w:ascii="黑体" w:hAnsi="黑体" w:cs="黑体" w:eastAsia="黑体" w:hint="default"/>
          <w:b/>
          <w:bCs/>
          <w:w w:val="95"/>
          <w:sz w:val="22"/>
          <w:szCs w:val="22"/>
        </w:rPr>
        <w:t>二、</w:t>
        <w:tab/>
      </w:r>
      <w:r>
        <w:rPr>
          <w:rFonts w:ascii="Arial" w:hAnsi="Arial" w:cs="Arial" w:eastAsia="Arial" w:hint="default"/>
          <w:b/>
          <w:bCs/>
          <w:sz w:val="22"/>
          <w:szCs w:val="22"/>
        </w:rPr>
        <w:t>IT </w:t>
      </w:r>
      <w:r>
        <w:rPr>
          <w:rFonts w:ascii="黑体" w:hAnsi="黑体" w:cs="黑体" w:eastAsia="黑体" w:hint="default"/>
          <w:b/>
          <w:bCs/>
          <w:sz w:val="22"/>
          <w:szCs w:val="22"/>
        </w:rPr>
        <w:t>流程控制 </w:t>
      </w:r>
      <w:r>
        <w:rPr>
          <w:rFonts w:ascii="Arial" w:hAnsi="Arial" w:cs="Arial" w:eastAsia="Arial" w:hint="default"/>
          <w:b/>
          <w:bCs/>
          <w:sz w:val="22"/>
          <w:szCs w:val="22"/>
        </w:rPr>
        <w:t>- </w:t>
      </w:r>
      <w:r>
        <w:rPr>
          <w:rFonts w:ascii="黑体" w:hAnsi="黑体" w:cs="黑体" w:eastAsia="黑体" w:hint="default"/>
          <w:sz w:val="22"/>
          <w:szCs w:val="22"/>
        </w:rPr>
        <w:t>我们主要了解并且评估了贵公司所使用的主要业务系统</w:t>
      </w:r>
      <w:r>
        <w:rPr>
          <w:rFonts w:ascii="Arial" w:hAnsi="Arial" w:cs="Arial" w:eastAsia="Arial" w:hint="default"/>
          <w:sz w:val="22"/>
          <w:szCs w:val="22"/>
        </w:rPr>
        <w:t>(NC</w:t>
      </w:r>
      <w:r>
        <w:rPr>
          <w:rFonts w:ascii="Arial" w:hAnsi="Arial" w:cs="Arial" w:eastAsia="Arial" w:hint="default"/>
          <w:spacing w:val="9"/>
          <w:sz w:val="22"/>
          <w:szCs w:val="22"/>
        </w:rPr>
        <w:t> </w:t>
      </w:r>
      <w:r>
        <w:rPr>
          <w:rFonts w:ascii="黑体" w:hAnsi="黑体" w:cs="黑体" w:eastAsia="黑体" w:hint="default"/>
          <w:sz w:val="22"/>
          <w:szCs w:val="22"/>
        </w:rPr>
        <w:t>系统、商务生产系</w:t>
      </w:r>
      <w:r>
        <w:rPr>
          <w:rFonts w:ascii="黑体" w:hAnsi="黑体" w:cs="黑体" w:eastAsia="黑体" w:hint="default"/>
          <w:w w:val="99"/>
          <w:sz w:val="22"/>
          <w:szCs w:val="22"/>
        </w:rPr>
        <w:t> </w:t>
      </w:r>
      <w:r>
        <w:rPr>
          <w:rFonts w:ascii="黑体" w:hAnsi="黑体" w:cs="黑体" w:eastAsia="黑体" w:hint="default"/>
          <w:sz w:val="22"/>
          <w:szCs w:val="22"/>
        </w:rPr>
        <w:t>统及</w:t>
      </w:r>
      <w:r>
        <w:rPr>
          <w:rFonts w:ascii="黑体" w:hAnsi="黑体" w:cs="黑体" w:eastAsia="黑体" w:hint="default"/>
          <w:spacing w:val="-57"/>
          <w:sz w:val="22"/>
          <w:szCs w:val="22"/>
        </w:rPr>
        <w:t> </w:t>
      </w:r>
      <w:r>
        <w:rPr>
          <w:rFonts w:ascii="Arial" w:hAnsi="Arial" w:cs="Arial" w:eastAsia="Arial" w:hint="default"/>
          <w:sz w:val="22"/>
          <w:szCs w:val="22"/>
        </w:rPr>
        <w:t>U8</w:t>
      </w:r>
      <w:r>
        <w:rPr>
          <w:rFonts w:ascii="Arial" w:hAnsi="Arial" w:cs="Arial" w:eastAsia="Arial" w:hint="default"/>
          <w:spacing w:val="-14"/>
          <w:sz w:val="22"/>
          <w:szCs w:val="22"/>
        </w:rPr>
        <w:t> </w:t>
      </w:r>
      <w:r>
        <w:rPr>
          <w:rFonts w:ascii="黑体" w:hAnsi="黑体" w:cs="黑体" w:eastAsia="黑体" w:hint="default"/>
          <w:sz w:val="22"/>
          <w:szCs w:val="22"/>
        </w:rPr>
        <w:t>系统</w:t>
      </w:r>
      <w:r>
        <w:rPr>
          <w:rFonts w:ascii="Arial" w:hAnsi="Arial" w:cs="Arial" w:eastAsia="Arial" w:hint="default"/>
          <w:sz w:val="22"/>
          <w:szCs w:val="22"/>
        </w:rPr>
        <w:t>)</w:t>
      </w:r>
      <w:r>
        <w:rPr>
          <w:rFonts w:ascii="黑体" w:hAnsi="黑体" w:cs="黑体" w:eastAsia="黑体" w:hint="default"/>
          <w:sz w:val="22"/>
          <w:szCs w:val="22"/>
        </w:rPr>
        <w:t>运行环境的安全性控制和管理，其中包括：</w:t>
      </w:r>
    </w:p>
    <w:p>
      <w:pPr>
        <w:tabs>
          <w:tab w:pos="1180" w:val="left" w:leader="none"/>
        </w:tabs>
        <w:spacing w:line="295" w:lineRule="exact" w:before="91"/>
        <w:ind w:left="820"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程序变更流程控制</w:t>
      </w:r>
    </w:p>
    <w:p>
      <w:pPr>
        <w:tabs>
          <w:tab w:pos="1180" w:val="left" w:leader="none"/>
        </w:tabs>
        <w:spacing w:line="285" w:lineRule="exact" w:before="0"/>
        <w:ind w:left="820"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系统逻辑访问流程控制</w:t>
      </w:r>
    </w:p>
    <w:p>
      <w:pPr>
        <w:tabs>
          <w:tab w:pos="1180" w:val="left" w:leader="none"/>
        </w:tabs>
        <w:spacing w:line="295" w:lineRule="exact" w:before="0"/>
        <w:ind w:left="820"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其他</w:t>
      </w:r>
      <w:r>
        <w:rPr>
          <w:rFonts w:ascii="黑体" w:hAnsi="黑体" w:cs="黑体" w:eastAsia="黑体" w:hint="default"/>
          <w:spacing w:val="-56"/>
          <w:sz w:val="22"/>
          <w:szCs w:val="22"/>
        </w:rPr>
        <w:t> </w:t>
      </w:r>
      <w:r>
        <w:rPr>
          <w:rFonts w:ascii="Arial" w:hAnsi="Arial" w:cs="Arial" w:eastAsia="Arial" w:hint="default"/>
          <w:sz w:val="22"/>
          <w:szCs w:val="22"/>
        </w:rPr>
        <w:t>IT</w:t>
      </w:r>
      <w:r>
        <w:rPr>
          <w:rFonts w:ascii="Arial" w:hAnsi="Arial" w:cs="Arial" w:eastAsia="Arial" w:hint="default"/>
          <w:spacing w:val="-14"/>
          <w:sz w:val="22"/>
          <w:szCs w:val="22"/>
        </w:rPr>
        <w:t> </w:t>
      </w:r>
      <w:r>
        <w:rPr>
          <w:rFonts w:ascii="黑体" w:hAnsi="黑体" w:cs="黑体" w:eastAsia="黑体" w:hint="default"/>
          <w:sz w:val="22"/>
          <w:szCs w:val="22"/>
        </w:rPr>
        <w:t>一般流程控制</w:t>
      </w:r>
    </w:p>
    <w:p>
      <w:pPr>
        <w:tabs>
          <w:tab w:pos="807" w:val="left" w:leader="none"/>
        </w:tabs>
        <w:spacing w:line="286" w:lineRule="exact" w:before="128"/>
        <w:ind w:left="807" w:right="103" w:hanging="707"/>
        <w:jc w:val="left"/>
        <w:rPr>
          <w:rFonts w:ascii="黑体" w:hAnsi="黑体" w:cs="黑体" w:eastAsia="黑体" w:hint="default"/>
          <w:sz w:val="22"/>
          <w:szCs w:val="22"/>
        </w:rPr>
      </w:pPr>
      <w:r>
        <w:rPr>
          <w:rFonts w:ascii="黑体" w:hAnsi="黑体" w:cs="黑体" w:eastAsia="黑体" w:hint="default"/>
          <w:b/>
          <w:bCs/>
          <w:w w:val="95"/>
          <w:sz w:val="22"/>
          <w:szCs w:val="22"/>
        </w:rPr>
        <w:t>三、</w:t>
        <w:tab/>
      </w:r>
      <w:r>
        <w:rPr>
          <w:rFonts w:ascii="黑体" w:hAnsi="黑体" w:cs="黑体" w:eastAsia="黑体" w:hint="default"/>
          <w:b/>
          <w:bCs/>
          <w:sz w:val="22"/>
          <w:szCs w:val="22"/>
        </w:rPr>
        <w:t>应用系统流程控制 </w:t>
      </w:r>
      <w:r>
        <w:rPr>
          <w:rFonts w:ascii="Arial" w:hAnsi="Arial" w:cs="Arial" w:eastAsia="Arial" w:hint="default"/>
          <w:b/>
          <w:bCs/>
          <w:sz w:val="22"/>
          <w:szCs w:val="22"/>
        </w:rPr>
        <w:t>-</w:t>
      </w:r>
      <w:r>
        <w:rPr>
          <w:rFonts w:ascii="Arial" w:hAnsi="Arial" w:cs="Arial" w:eastAsia="Arial" w:hint="default"/>
          <w:b/>
          <w:bCs/>
          <w:spacing w:val="44"/>
          <w:sz w:val="22"/>
          <w:szCs w:val="22"/>
        </w:rPr>
        <w:t> </w:t>
      </w:r>
      <w:r>
        <w:rPr>
          <w:rFonts w:ascii="黑体" w:hAnsi="黑体" w:cs="黑体" w:eastAsia="黑体" w:hint="default"/>
          <w:sz w:val="22"/>
          <w:szCs w:val="22"/>
        </w:rPr>
        <w:t>我们主要了解贵公司总部以下主要业务流程并在应用系统层面对这些业</w:t>
      </w:r>
      <w:r>
        <w:rPr>
          <w:rFonts w:ascii="黑体" w:hAnsi="黑体" w:cs="黑体" w:eastAsia="黑体" w:hint="default"/>
          <w:w w:val="99"/>
          <w:sz w:val="22"/>
          <w:szCs w:val="22"/>
        </w:rPr>
        <w:t> </w:t>
      </w:r>
      <w:r>
        <w:rPr>
          <w:rFonts w:ascii="黑体" w:hAnsi="黑体" w:cs="黑体" w:eastAsia="黑体" w:hint="default"/>
          <w:sz w:val="22"/>
          <w:szCs w:val="22"/>
        </w:rPr>
        <w:t>务流程的控制和管理进行了评估，其中包括：</w:t>
      </w:r>
    </w:p>
    <w:p>
      <w:pPr>
        <w:tabs>
          <w:tab w:pos="1180" w:val="left" w:leader="none"/>
        </w:tabs>
        <w:spacing w:line="295" w:lineRule="exact" w:before="91"/>
        <w:ind w:left="820"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现金收付流程</w:t>
      </w:r>
    </w:p>
    <w:p>
      <w:pPr>
        <w:tabs>
          <w:tab w:pos="1180" w:val="left" w:leader="none"/>
        </w:tabs>
        <w:spacing w:line="285" w:lineRule="exact" w:before="0"/>
        <w:ind w:left="820"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销售流程</w:t>
      </w:r>
    </w:p>
    <w:p>
      <w:pPr>
        <w:tabs>
          <w:tab w:pos="1180" w:val="left" w:leader="none"/>
        </w:tabs>
        <w:spacing w:line="285" w:lineRule="exact" w:before="0"/>
        <w:ind w:left="820"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工资管理流程</w:t>
      </w:r>
    </w:p>
    <w:p>
      <w:pPr>
        <w:tabs>
          <w:tab w:pos="1180" w:val="left" w:leader="none"/>
        </w:tabs>
        <w:spacing w:line="295" w:lineRule="exact" w:before="0"/>
        <w:ind w:left="820"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帐务关帐流程</w:t>
      </w:r>
    </w:p>
    <w:p>
      <w:pPr>
        <w:spacing w:line="240" w:lineRule="auto" w:before="3"/>
        <w:rPr>
          <w:rFonts w:ascii="黑体" w:hAnsi="黑体" w:cs="黑体" w:eastAsia="黑体" w:hint="default"/>
          <w:sz w:val="17"/>
          <w:szCs w:val="17"/>
        </w:rPr>
      </w:pPr>
    </w:p>
    <w:p>
      <w:pPr>
        <w:spacing w:line="235" w:lineRule="auto" w:before="0"/>
        <w:ind w:left="100" w:right="102" w:firstLine="0"/>
        <w:jc w:val="both"/>
        <w:rPr>
          <w:rFonts w:ascii="黑体" w:hAnsi="黑体" w:cs="黑体" w:eastAsia="黑体" w:hint="default"/>
          <w:sz w:val="22"/>
          <w:szCs w:val="22"/>
        </w:rPr>
      </w:pPr>
      <w:r>
        <w:rPr>
          <w:rFonts w:ascii="黑体" w:hAnsi="黑体" w:cs="黑体" w:eastAsia="黑体" w:hint="default"/>
          <w:spacing w:val="3"/>
          <w:sz w:val="22"/>
          <w:szCs w:val="22"/>
        </w:rPr>
        <w:t>通过我们的观察以及同贵公司相关管理人员的探讨，我们发现，贵公司对支持业务运作的信息系统</w:t>
      </w:r>
      <w:r>
        <w:rPr>
          <w:rFonts w:ascii="黑体" w:hAnsi="黑体" w:cs="黑体" w:eastAsia="黑体" w:hint="default"/>
          <w:w w:val="99"/>
          <w:sz w:val="22"/>
          <w:szCs w:val="22"/>
        </w:rPr>
        <w:t> </w:t>
      </w:r>
      <w:r>
        <w:rPr>
          <w:rFonts w:ascii="黑体" w:hAnsi="黑体" w:cs="黑体" w:eastAsia="黑体" w:hint="default"/>
          <w:spacing w:val="3"/>
          <w:sz w:val="22"/>
          <w:szCs w:val="22"/>
        </w:rPr>
        <w:t>平台有着较好的管理理念，相关人员对系统和流程中存在的薄弱环节也有一定的认识。为了更好地</w:t>
      </w:r>
      <w:r>
        <w:rPr>
          <w:rFonts w:ascii="黑体" w:hAnsi="黑体" w:cs="黑体" w:eastAsia="黑体" w:hint="default"/>
          <w:w w:val="99"/>
          <w:sz w:val="22"/>
          <w:szCs w:val="22"/>
        </w:rPr>
        <w:t> </w:t>
      </w:r>
      <w:r>
        <w:rPr>
          <w:rFonts w:ascii="黑体" w:hAnsi="黑体" w:cs="黑体" w:eastAsia="黑体" w:hint="default"/>
          <w:sz w:val="22"/>
          <w:szCs w:val="22"/>
        </w:rPr>
        <w:t>对 </w:t>
      </w:r>
      <w:r>
        <w:rPr>
          <w:rFonts w:ascii="Arial" w:hAnsi="Arial" w:cs="Arial" w:eastAsia="Arial" w:hint="default"/>
          <w:sz w:val="22"/>
          <w:szCs w:val="22"/>
        </w:rPr>
        <w:t>IT</w:t>
      </w:r>
      <w:r>
        <w:rPr>
          <w:rFonts w:ascii="Arial" w:hAnsi="Arial" w:cs="Arial" w:eastAsia="Arial" w:hint="default"/>
          <w:spacing w:val="-12"/>
          <w:sz w:val="22"/>
          <w:szCs w:val="22"/>
        </w:rPr>
        <w:t> </w:t>
      </w:r>
      <w:r>
        <w:rPr>
          <w:rFonts w:ascii="黑体" w:hAnsi="黑体" w:cs="黑体" w:eastAsia="黑体" w:hint="default"/>
          <w:sz w:val="22"/>
          <w:szCs w:val="22"/>
        </w:rPr>
        <w:t>及其相关流程进行管理和监督，我们在此次审计的基础上提出了改进意见，希望可以帮助贵公</w:t>
      </w:r>
      <w:r>
        <w:rPr>
          <w:rFonts w:ascii="黑体" w:hAnsi="黑体" w:cs="黑体" w:eastAsia="黑体" w:hint="default"/>
          <w:w w:val="99"/>
          <w:sz w:val="22"/>
          <w:szCs w:val="22"/>
        </w:rPr>
        <w:t> </w:t>
      </w:r>
      <w:r>
        <w:rPr>
          <w:rFonts w:ascii="黑体" w:hAnsi="黑体" w:cs="黑体" w:eastAsia="黑体" w:hint="default"/>
          <w:spacing w:val="3"/>
          <w:sz w:val="22"/>
          <w:szCs w:val="22"/>
        </w:rPr>
        <w:t>司更好地加强管理控制和系统安全，从而提高系统可依赖度，确保应用系统所存储和处理的业务数</w:t>
      </w:r>
      <w:r>
        <w:rPr>
          <w:rFonts w:ascii="黑体" w:hAnsi="黑体" w:cs="黑体" w:eastAsia="黑体" w:hint="default"/>
          <w:w w:val="99"/>
          <w:sz w:val="22"/>
          <w:szCs w:val="22"/>
        </w:rPr>
        <w:t> </w:t>
      </w:r>
      <w:r>
        <w:rPr>
          <w:rFonts w:ascii="黑体" w:hAnsi="黑体" w:cs="黑体" w:eastAsia="黑体" w:hint="default"/>
          <w:sz w:val="22"/>
          <w:szCs w:val="22"/>
        </w:rPr>
        <w:t>据、财务数据的真实性、完整性和可靠性。</w:t>
      </w:r>
    </w:p>
    <w:p>
      <w:pPr>
        <w:spacing w:line="240" w:lineRule="auto" w:before="3"/>
        <w:rPr>
          <w:rFonts w:ascii="黑体" w:hAnsi="黑体" w:cs="黑体" w:eastAsia="黑体" w:hint="default"/>
          <w:sz w:val="18"/>
          <w:szCs w:val="18"/>
        </w:rPr>
      </w:pPr>
    </w:p>
    <w:p>
      <w:pPr>
        <w:spacing w:line="189" w:lineRule="auto" w:before="0"/>
        <w:ind w:left="100" w:right="102" w:firstLine="0"/>
        <w:jc w:val="both"/>
        <w:rPr>
          <w:rFonts w:ascii="黑体" w:hAnsi="黑体" w:cs="黑体" w:eastAsia="黑体" w:hint="default"/>
          <w:sz w:val="22"/>
          <w:szCs w:val="22"/>
        </w:rPr>
      </w:pPr>
      <w:r>
        <w:rPr>
          <w:rFonts w:ascii="黑体" w:hAnsi="黑体" w:cs="黑体" w:eastAsia="黑体" w:hint="default"/>
          <w:sz w:val="22"/>
          <w:szCs w:val="22"/>
        </w:rPr>
        <w:t>本管理建议书共分为三个部分，第一部分主要涉及公司层面控制的一些流程，第二部分是 </w:t>
      </w:r>
      <w:r>
        <w:rPr>
          <w:rFonts w:ascii="Arial" w:hAnsi="Arial" w:cs="Arial" w:eastAsia="Arial" w:hint="default"/>
          <w:sz w:val="22"/>
          <w:szCs w:val="22"/>
        </w:rPr>
        <w:t>IT</w:t>
      </w:r>
      <w:r>
        <w:rPr>
          <w:rFonts w:ascii="Arial" w:hAnsi="Arial" w:cs="Arial" w:eastAsia="Arial" w:hint="default"/>
          <w:spacing w:val="-10"/>
          <w:sz w:val="22"/>
          <w:szCs w:val="22"/>
        </w:rPr>
        <w:t> </w:t>
      </w:r>
      <w:r>
        <w:rPr>
          <w:rFonts w:ascii="黑体" w:hAnsi="黑体" w:cs="黑体" w:eastAsia="黑体" w:hint="default"/>
          <w:sz w:val="22"/>
          <w:szCs w:val="22"/>
        </w:rPr>
        <w:t>流程控</w:t>
      </w:r>
      <w:r>
        <w:rPr>
          <w:rFonts w:ascii="黑体" w:hAnsi="黑体" w:cs="黑体" w:eastAsia="黑体" w:hint="default"/>
          <w:w w:val="99"/>
          <w:sz w:val="22"/>
          <w:szCs w:val="22"/>
        </w:rPr>
        <w:t> </w:t>
      </w:r>
      <w:r>
        <w:rPr>
          <w:rFonts w:ascii="黑体" w:hAnsi="黑体" w:cs="黑体" w:eastAsia="黑体" w:hint="default"/>
          <w:sz w:val="22"/>
          <w:szCs w:val="22"/>
        </w:rPr>
        <w:t>制的一些问题，第三部分则是重要业务应用系统流程控制存在的问题。</w:t>
      </w:r>
    </w:p>
    <w:p>
      <w:pPr>
        <w:spacing w:after="0" w:line="189" w:lineRule="auto"/>
        <w:jc w:val="both"/>
        <w:rPr>
          <w:rFonts w:ascii="黑体" w:hAnsi="黑体" w:cs="黑体" w:eastAsia="黑体" w:hint="default"/>
          <w:sz w:val="22"/>
          <w:szCs w:val="22"/>
        </w:rPr>
        <w:sectPr>
          <w:headerReference w:type="default" r:id="rId117"/>
          <w:footerReference w:type="default" r:id="rId118"/>
          <w:pgSz w:w="11910" w:h="16840"/>
          <w:pgMar w:header="0" w:footer="769" w:top="1380" w:bottom="960" w:left="1340" w:right="760"/>
          <w:pgNumType w:start="24"/>
        </w:sectPr>
      </w:pPr>
    </w:p>
    <w:p>
      <w:pPr>
        <w:tabs>
          <w:tab w:pos="829" w:val="left" w:leader="none"/>
        </w:tabs>
        <w:spacing w:before="45"/>
        <w:ind w:left="120" w:right="304" w:firstLine="0"/>
        <w:jc w:val="left"/>
        <w:rPr>
          <w:rFonts w:ascii="黑体" w:hAnsi="黑体" w:cs="黑体" w:eastAsia="黑体" w:hint="default"/>
          <w:sz w:val="23"/>
          <w:szCs w:val="23"/>
        </w:rPr>
      </w:pPr>
      <w:bookmarkStart w:name="_bookmark12" w:id="34"/>
      <w:bookmarkEnd w:id="34"/>
      <w:r>
        <w:rPr/>
      </w:r>
      <w:r>
        <w:rPr>
          <w:rFonts w:ascii="黑体" w:hAnsi="黑体" w:cs="黑体" w:eastAsia="黑体" w:hint="default"/>
          <w:b/>
          <w:bCs/>
          <w:i/>
          <w:w w:val="95"/>
          <w:sz w:val="23"/>
          <w:szCs w:val="23"/>
        </w:rPr>
        <w:t>一</w:t>
      </w:r>
      <w:r>
        <w:rPr>
          <w:rFonts w:ascii="Arial" w:hAnsi="Arial" w:cs="Arial" w:eastAsia="Arial" w:hint="default"/>
          <w:b/>
          <w:bCs/>
          <w:i/>
          <w:w w:val="95"/>
          <w:sz w:val="22"/>
          <w:szCs w:val="22"/>
        </w:rPr>
        <w:t>.</w:t>
        <w:tab/>
      </w:r>
      <w:r>
        <w:rPr>
          <w:rFonts w:ascii="黑体" w:hAnsi="黑体" w:cs="黑体" w:eastAsia="黑体" w:hint="default"/>
          <w:b/>
          <w:bCs/>
          <w:i/>
          <w:spacing w:val="1"/>
          <w:sz w:val="23"/>
          <w:szCs w:val="23"/>
        </w:rPr>
        <w:t>公司层面控制</w:t>
      </w:r>
      <w:r>
        <w:rPr>
          <w:rFonts w:ascii="黑体" w:hAnsi="黑体" w:cs="黑体" w:eastAsia="黑体" w:hint="default"/>
          <w:sz w:val="23"/>
          <w:szCs w:val="23"/>
        </w:rPr>
      </w:r>
    </w:p>
    <w:p>
      <w:pPr>
        <w:tabs>
          <w:tab w:pos="829" w:val="left" w:leader="none"/>
        </w:tabs>
        <w:spacing w:before="201"/>
        <w:ind w:left="120" w:right="304" w:firstLine="0"/>
        <w:jc w:val="left"/>
        <w:rPr>
          <w:rFonts w:ascii="黑体" w:hAnsi="黑体" w:cs="黑体" w:eastAsia="黑体" w:hint="default"/>
          <w:sz w:val="23"/>
          <w:szCs w:val="23"/>
        </w:rPr>
      </w:pPr>
      <w:r>
        <w:rPr>
          <w:rFonts w:ascii="黑体" w:hAnsi="黑体" w:cs="黑体" w:eastAsia="黑体" w:hint="default"/>
          <w:b/>
          <w:bCs/>
          <w:i/>
          <w:w w:val="95"/>
          <w:sz w:val="29"/>
          <w:szCs w:val="29"/>
        </w:rPr>
        <w:t>1.</w:t>
        <w:tab/>
      </w:r>
      <w:r>
        <w:rPr>
          <w:rFonts w:ascii="黑体" w:hAnsi="黑体" w:cs="黑体" w:eastAsia="黑体" w:hint="default"/>
          <w:b/>
          <w:bCs/>
          <w:i/>
          <w:sz w:val="23"/>
          <w:szCs w:val="23"/>
        </w:rPr>
        <w:t>监控</w:t>
      </w:r>
      <w:r>
        <w:rPr>
          <w:rFonts w:ascii="Arial" w:hAnsi="Arial" w:cs="Arial" w:eastAsia="Arial" w:hint="default"/>
          <w:b/>
          <w:bCs/>
          <w:i/>
          <w:sz w:val="22"/>
          <w:szCs w:val="22"/>
        </w:rPr>
        <w:t>-</w:t>
      </w:r>
      <w:r>
        <w:rPr>
          <w:rFonts w:ascii="黑体" w:hAnsi="黑体" w:cs="黑体" w:eastAsia="黑体" w:hint="default"/>
          <w:b/>
          <w:bCs/>
          <w:i/>
          <w:sz w:val="23"/>
          <w:szCs w:val="23"/>
        </w:rPr>
        <w:t>专职人员进行信息技术内部审计</w:t>
      </w:r>
      <w:r>
        <w:rPr>
          <w:rFonts w:ascii="黑体" w:hAnsi="黑体" w:cs="黑体" w:eastAsia="黑体" w:hint="default"/>
          <w:sz w:val="23"/>
          <w:szCs w:val="23"/>
        </w:rPr>
      </w:r>
    </w:p>
    <w:p>
      <w:pPr>
        <w:spacing w:line="240" w:lineRule="auto" w:before="0"/>
        <w:rPr>
          <w:rFonts w:ascii="黑体" w:hAnsi="黑体" w:cs="黑体" w:eastAsia="黑体" w:hint="default"/>
          <w:b/>
          <w:bCs/>
          <w:i/>
          <w:sz w:val="30"/>
          <w:szCs w:val="30"/>
        </w:rPr>
      </w:pPr>
    </w:p>
    <w:p>
      <w:pPr>
        <w:spacing w:line="240" w:lineRule="auto" w:before="8"/>
        <w:rPr>
          <w:rFonts w:ascii="黑体" w:hAnsi="黑体" w:cs="黑体" w:eastAsia="黑体" w:hint="default"/>
          <w:b/>
          <w:bCs/>
          <w:i/>
          <w:sz w:val="26"/>
          <w:szCs w:val="26"/>
        </w:rPr>
      </w:pPr>
    </w:p>
    <w:p>
      <w:pPr>
        <w:pStyle w:val="Heading9"/>
        <w:spacing w:line="240" w:lineRule="auto"/>
        <w:ind w:left="120" w:right="304"/>
        <w:jc w:val="left"/>
        <w:rPr>
          <w:rFonts w:ascii="黑体" w:hAnsi="黑体" w:cs="黑体" w:eastAsia="黑体" w:hint="default"/>
          <w:b w:val="0"/>
          <w:bCs w:val="0"/>
        </w:rPr>
      </w:pPr>
      <w:r>
        <w:rPr>
          <w:rFonts w:ascii="黑体" w:hAnsi="黑体" w:cs="黑体" w:eastAsia="黑体" w:hint="default"/>
          <w:spacing w:val="30"/>
        </w:rPr>
        <w:t>观察所得</w:t>
      </w:r>
      <w:r>
        <w:rPr>
          <w:rFonts w:ascii="黑体" w:hAnsi="黑体" w:cs="黑体" w:eastAsia="黑体" w:hint="default"/>
          <w:spacing w:val="-71"/>
        </w:rPr>
        <w:t> </w:t>
      </w:r>
      <w:r>
        <w:rPr>
          <w:rFonts w:ascii="黑体" w:hAnsi="黑体" w:cs="黑体" w:eastAsia="黑体" w:hint="default"/>
          <w:b w:val="0"/>
          <w:bCs w:val="0"/>
        </w:rPr>
      </w:r>
    </w:p>
    <w:p>
      <w:pPr>
        <w:spacing w:before="117"/>
        <w:ind w:left="120" w:right="304" w:firstLine="0"/>
        <w:jc w:val="left"/>
        <w:rPr>
          <w:rFonts w:ascii="黑体" w:hAnsi="黑体" w:cs="黑体" w:eastAsia="黑体" w:hint="default"/>
          <w:sz w:val="22"/>
          <w:szCs w:val="22"/>
        </w:rPr>
      </w:pPr>
      <w:r>
        <w:rPr>
          <w:rFonts w:ascii="黑体" w:hAnsi="黑体" w:cs="黑体" w:eastAsia="黑体" w:hint="default"/>
          <w:sz w:val="22"/>
          <w:szCs w:val="22"/>
        </w:rPr>
        <w:t>公司的内审部门没有设立专职的</w:t>
      </w:r>
      <w:r>
        <w:rPr>
          <w:rFonts w:ascii="黑体" w:hAnsi="黑体" w:cs="黑体" w:eastAsia="黑体" w:hint="default"/>
          <w:spacing w:val="-57"/>
          <w:sz w:val="22"/>
          <w:szCs w:val="22"/>
        </w:rPr>
        <w:t> </w:t>
      </w:r>
      <w:r>
        <w:rPr>
          <w:rFonts w:ascii="Arial" w:hAnsi="Arial" w:cs="Arial" w:eastAsia="Arial" w:hint="default"/>
          <w:sz w:val="22"/>
          <w:szCs w:val="22"/>
        </w:rPr>
        <w:t>IT</w:t>
      </w:r>
      <w:r>
        <w:rPr>
          <w:rFonts w:ascii="Arial" w:hAnsi="Arial" w:cs="Arial" w:eastAsia="Arial" w:hint="default"/>
          <w:spacing w:val="-13"/>
          <w:sz w:val="22"/>
          <w:szCs w:val="22"/>
        </w:rPr>
        <w:t> </w:t>
      </w:r>
      <w:r>
        <w:rPr>
          <w:rFonts w:ascii="黑体" w:hAnsi="黑体" w:cs="黑体" w:eastAsia="黑体" w:hint="default"/>
          <w:sz w:val="22"/>
          <w:szCs w:val="22"/>
        </w:rPr>
        <w:t>审计人员，也没有制订详尽的信息技术审计的审计计划。</w:t>
      </w:r>
    </w:p>
    <w:p>
      <w:pPr>
        <w:spacing w:line="240" w:lineRule="auto" w:before="0"/>
        <w:rPr>
          <w:rFonts w:ascii="黑体" w:hAnsi="黑体" w:cs="黑体" w:eastAsia="黑体" w:hint="default"/>
          <w:sz w:val="22"/>
          <w:szCs w:val="22"/>
        </w:rPr>
      </w:pPr>
    </w:p>
    <w:p>
      <w:pPr>
        <w:spacing w:line="240" w:lineRule="auto" w:before="7"/>
        <w:rPr>
          <w:rFonts w:ascii="黑体" w:hAnsi="黑体" w:cs="黑体" w:eastAsia="黑体" w:hint="default"/>
          <w:sz w:val="32"/>
          <w:szCs w:val="32"/>
        </w:rPr>
      </w:pPr>
    </w:p>
    <w:p>
      <w:pPr>
        <w:spacing w:before="0"/>
        <w:ind w:left="120" w:right="304" w:firstLine="0"/>
        <w:jc w:val="left"/>
        <w:rPr>
          <w:rFonts w:ascii="黑体" w:hAnsi="黑体" w:cs="黑体" w:eastAsia="黑体" w:hint="default"/>
          <w:sz w:val="22"/>
          <w:szCs w:val="22"/>
        </w:rPr>
      </w:pPr>
      <w:r>
        <w:rPr>
          <w:rFonts w:ascii="黑体" w:hAnsi="黑体" w:cs="黑体" w:eastAsia="黑体" w:hint="default"/>
          <w:b/>
          <w:bCs/>
          <w:spacing w:val="30"/>
          <w:sz w:val="22"/>
          <w:szCs w:val="22"/>
        </w:rPr>
        <w:t>潜在的业</w:t>
      </w:r>
      <w:r>
        <w:rPr>
          <w:rFonts w:ascii="黑体" w:hAnsi="黑体" w:cs="黑体" w:eastAsia="黑体" w:hint="default"/>
          <w:b/>
          <w:bCs/>
          <w:spacing w:val="-76"/>
          <w:sz w:val="22"/>
          <w:szCs w:val="22"/>
        </w:rPr>
        <w:t> </w:t>
      </w:r>
      <w:r>
        <w:rPr>
          <w:rFonts w:ascii="黑体" w:hAnsi="黑体" w:cs="黑体" w:eastAsia="黑体" w:hint="default"/>
          <w:b/>
          <w:bCs/>
          <w:spacing w:val="26"/>
          <w:sz w:val="22"/>
          <w:szCs w:val="22"/>
        </w:rPr>
        <w:t>务风险</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40" w:lineRule="auto" w:before="4"/>
        <w:rPr>
          <w:rFonts w:ascii="黑体" w:hAnsi="黑体" w:cs="黑体" w:eastAsia="黑体" w:hint="default"/>
          <w:b/>
          <w:bCs/>
          <w:sz w:val="20"/>
          <w:szCs w:val="20"/>
        </w:rPr>
      </w:pPr>
    </w:p>
    <w:p>
      <w:pPr>
        <w:spacing w:line="286" w:lineRule="exact" w:before="0"/>
        <w:ind w:left="119" w:right="103" w:firstLine="0"/>
        <w:jc w:val="both"/>
        <w:rPr>
          <w:rFonts w:ascii="黑体" w:hAnsi="黑体" w:cs="黑体" w:eastAsia="黑体" w:hint="default"/>
          <w:sz w:val="22"/>
          <w:szCs w:val="22"/>
        </w:rPr>
      </w:pPr>
      <w:r>
        <w:rPr>
          <w:rFonts w:ascii="黑体" w:hAnsi="黑体" w:cs="黑体" w:eastAsia="黑体" w:hint="default"/>
          <w:sz w:val="22"/>
          <w:szCs w:val="22"/>
        </w:rPr>
        <w:t>公司的内审部门没有设立专职的 </w:t>
      </w:r>
      <w:r>
        <w:rPr>
          <w:rFonts w:ascii="Arial" w:hAnsi="Arial" w:cs="Arial" w:eastAsia="Arial" w:hint="default"/>
          <w:sz w:val="22"/>
          <w:szCs w:val="22"/>
        </w:rPr>
        <w:t>IT</w:t>
      </w:r>
      <w:r>
        <w:rPr>
          <w:rFonts w:ascii="Arial" w:hAnsi="Arial" w:cs="Arial" w:eastAsia="Arial" w:hint="default"/>
          <w:spacing w:val="-10"/>
          <w:sz w:val="22"/>
          <w:szCs w:val="22"/>
        </w:rPr>
        <w:t> </w:t>
      </w:r>
      <w:r>
        <w:rPr>
          <w:rFonts w:ascii="黑体" w:hAnsi="黑体" w:cs="黑体" w:eastAsia="黑体" w:hint="default"/>
          <w:sz w:val="22"/>
          <w:szCs w:val="22"/>
        </w:rPr>
        <w:t>审计人员，也没有制订详尽的信息技术审计计划，将无法保证审</w:t>
      </w:r>
      <w:r>
        <w:rPr>
          <w:rFonts w:ascii="黑体" w:hAnsi="黑体" w:cs="黑体" w:eastAsia="黑体" w:hint="default"/>
          <w:w w:val="99"/>
          <w:sz w:val="22"/>
          <w:szCs w:val="22"/>
        </w:rPr>
        <w:t> </w:t>
      </w:r>
      <w:r>
        <w:rPr>
          <w:rFonts w:ascii="黑体" w:hAnsi="黑体" w:cs="黑体" w:eastAsia="黑体" w:hint="default"/>
          <w:spacing w:val="3"/>
          <w:sz w:val="22"/>
          <w:szCs w:val="22"/>
        </w:rPr>
        <w:t>计的专业性与全面性，从而可能导致与信息技术相关的内部控制中存在的重大缺陷不能被及时发现</w:t>
      </w:r>
      <w:r>
        <w:rPr>
          <w:rFonts w:ascii="黑体" w:hAnsi="黑体" w:cs="黑体" w:eastAsia="黑体" w:hint="default"/>
          <w:w w:val="99"/>
          <w:sz w:val="22"/>
          <w:szCs w:val="22"/>
        </w:rPr>
        <w:t> </w:t>
      </w:r>
      <w:r>
        <w:rPr>
          <w:rFonts w:ascii="黑体" w:hAnsi="黑体" w:cs="黑体" w:eastAsia="黑体" w:hint="default"/>
          <w:sz w:val="22"/>
          <w:szCs w:val="22"/>
        </w:rPr>
        <w:t>和纠正，威胁系统安全。</w:t>
      </w:r>
    </w:p>
    <w:p>
      <w:pPr>
        <w:spacing w:line="240" w:lineRule="auto" w:before="0"/>
        <w:rPr>
          <w:rFonts w:ascii="黑体" w:hAnsi="黑体" w:cs="黑体" w:eastAsia="黑体" w:hint="default"/>
          <w:sz w:val="22"/>
          <w:szCs w:val="22"/>
        </w:rPr>
      </w:pPr>
    </w:p>
    <w:p>
      <w:pPr>
        <w:spacing w:line="240" w:lineRule="auto" w:before="0"/>
        <w:rPr>
          <w:rFonts w:ascii="黑体" w:hAnsi="黑体" w:cs="黑体" w:eastAsia="黑体" w:hint="default"/>
          <w:sz w:val="22"/>
          <w:szCs w:val="22"/>
        </w:rPr>
      </w:pPr>
    </w:p>
    <w:p>
      <w:pPr>
        <w:spacing w:before="155"/>
        <w:ind w:left="119" w:right="304" w:firstLine="0"/>
        <w:jc w:val="left"/>
        <w:rPr>
          <w:rFonts w:ascii="黑体" w:hAnsi="黑体" w:cs="黑体" w:eastAsia="黑体" w:hint="default"/>
          <w:sz w:val="22"/>
          <w:szCs w:val="22"/>
        </w:rPr>
      </w:pPr>
      <w:r>
        <w:rPr>
          <w:rFonts w:ascii="黑体" w:hAnsi="黑体" w:cs="黑体" w:eastAsia="黑体" w:hint="default"/>
          <w:b/>
          <w:bCs/>
          <w:spacing w:val="30"/>
          <w:sz w:val="22"/>
          <w:szCs w:val="22"/>
        </w:rPr>
        <w:t>我们的建</w:t>
      </w:r>
      <w:r>
        <w:rPr>
          <w:rFonts w:ascii="黑体" w:hAnsi="黑体" w:cs="黑体" w:eastAsia="黑体" w:hint="default"/>
          <w:b/>
          <w:bCs/>
          <w:spacing w:val="-76"/>
          <w:sz w:val="22"/>
          <w:szCs w:val="22"/>
        </w:rPr>
        <w:t> </w:t>
      </w:r>
      <w:r>
        <w:rPr>
          <w:rFonts w:ascii="黑体" w:hAnsi="黑体" w:cs="黑体" w:eastAsia="黑体" w:hint="default"/>
          <w:b/>
          <w:bCs/>
          <w:sz w:val="22"/>
          <w:szCs w:val="22"/>
        </w:rPr>
        <w:t>议</w:t>
      </w:r>
      <w:r>
        <w:rPr>
          <w:rFonts w:ascii="黑体" w:hAnsi="黑体" w:cs="黑体" w:eastAsia="黑体" w:hint="default"/>
          <w:sz w:val="22"/>
          <w:szCs w:val="22"/>
        </w:rPr>
      </w:r>
    </w:p>
    <w:p>
      <w:pPr>
        <w:spacing w:line="232" w:lineRule="auto" w:before="125"/>
        <w:ind w:left="119" w:right="148" w:firstLine="0"/>
        <w:jc w:val="left"/>
        <w:rPr>
          <w:rFonts w:ascii="黑体" w:hAnsi="黑体" w:cs="黑体" w:eastAsia="黑体" w:hint="default"/>
          <w:sz w:val="22"/>
          <w:szCs w:val="22"/>
        </w:rPr>
      </w:pPr>
      <w:r>
        <w:rPr>
          <w:rFonts w:ascii="黑体" w:hAnsi="黑体" w:cs="黑体" w:eastAsia="黑体" w:hint="default"/>
          <w:sz w:val="22"/>
          <w:szCs w:val="22"/>
        </w:rPr>
        <w:t>吸纳专业人员从事专门的信息技术内部审计工作，制定持续的信息技术内部审计计划，并对重要的</w:t>
      </w:r>
      <w:r>
        <w:rPr>
          <w:rFonts w:ascii="黑体" w:hAnsi="黑体" w:cs="黑体" w:eastAsia="黑体" w:hint="default"/>
          <w:w w:val="99"/>
          <w:sz w:val="22"/>
          <w:szCs w:val="22"/>
        </w:rPr>
        <w:t> </w:t>
      </w:r>
      <w:r>
        <w:rPr>
          <w:rFonts w:ascii="黑体" w:hAnsi="黑体" w:cs="黑体" w:eastAsia="黑体" w:hint="default"/>
          <w:sz w:val="22"/>
          <w:szCs w:val="22"/>
        </w:rPr>
        <w:t>流程和信息安全领域进行全面的审计和评估，确保信息技术流程中的风险被及时防范和规避。内部</w:t>
      </w:r>
      <w:r>
        <w:rPr>
          <w:rFonts w:ascii="黑体" w:hAnsi="黑体" w:cs="黑体" w:eastAsia="黑体" w:hint="default"/>
          <w:w w:val="99"/>
          <w:sz w:val="22"/>
          <w:szCs w:val="22"/>
        </w:rPr>
        <w:t> </w:t>
      </w:r>
      <w:r>
        <w:rPr>
          <w:rFonts w:ascii="黑体" w:hAnsi="黑体" w:cs="黑体" w:eastAsia="黑体" w:hint="default"/>
          <w:sz w:val="22"/>
          <w:szCs w:val="22"/>
        </w:rPr>
        <w:t>审计计划应依据风险评估制定，应该涵盖</w:t>
      </w:r>
      <w:r>
        <w:rPr>
          <w:rFonts w:ascii="黑体" w:hAnsi="黑体" w:cs="黑体" w:eastAsia="黑体" w:hint="default"/>
          <w:spacing w:val="-57"/>
          <w:sz w:val="22"/>
          <w:szCs w:val="22"/>
        </w:rPr>
        <w:t> </w:t>
      </w:r>
      <w:r>
        <w:rPr>
          <w:rFonts w:ascii="Arial" w:hAnsi="Arial" w:cs="Arial" w:eastAsia="Arial" w:hint="default"/>
          <w:sz w:val="22"/>
          <w:szCs w:val="22"/>
        </w:rPr>
        <w:t>IT</w:t>
      </w:r>
      <w:r>
        <w:rPr>
          <w:rFonts w:ascii="Arial" w:hAnsi="Arial" w:cs="Arial" w:eastAsia="Arial" w:hint="default"/>
          <w:spacing w:val="-13"/>
          <w:sz w:val="22"/>
          <w:szCs w:val="22"/>
        </w:rPr>
        <w:t> </w:t>
      </w:r>
      <w:r>
        <w:rPr>
          <w:rFonts w:ascii="黑体" w:hAnsi="黑体" w:cs="黑体" w:eastAsia="黑体" w:hint="default"/>
          <w:sz w:val="22"/>
          <w:szCs w:val="22"/>
        </w:rPr>
        <w:t>审计的各个方面，如一般控制、应用程序控制、软件开</w:t>
      </w:r>
      <w:r>
        <w:rPr>
          <w:rFonts w:ascii="黑体" w:hAnsi="黑体" w:cs="黑体" w:eastAsia="黑体" w:hint="default"/>
          <w:w w:val="99"/>
          <w:sz w:val="22"/>
          <w:szCs w:val="22"/>
        </w:rPr>
        <w:t> </w:t>
      </w:r>
      <w:r>
        <w:rPr>
          <w:rFonts w:ascii="黑体" w:hAnsi="黑体" w:cs="黑体" w:eastAsia="黑体" w:hint="default"/>
          <w:sz w:val="22"/>
          <w:szCs w:val="22"/>
        </w:rPr>
        <w:t>发生命周期控制等。</w:t>
      </w:r>
    </w:p>
    <w:p>
      <w:pPr>
        <w:spacing w:line="240" w:lineRule="auto" w:before="0"/>
        <w:rPr>
          <w:rFonts w:ascii="黑体" w:hAnsi="黑体" w:cs="黑体" w:eastAsia="黑体" w:hint="default"/>
          <w:sz w:val="22"/>
          <w:szCs w:val="22"/>
        </w:rPr>
      </w:pPr>
    </w:p>
    <w:p>
      <w:pPr>
        <w:spacing w:line="240" w:lineRule="auto" w:before="0"/>
        <w:rPr>
          <w:rFonts w:ascii="黑体" w:hAnsi="黑体" w:cs="黑体" w:eastAsia="黑体" w:hint="default"/>
          <w:sz w:val="22"/>
          <w:szCs w:val="22"/>
        </w:rPr>
      </w:pPr>
    </w:p>
    <w:p>
      <w:pPr>
        <w:spacing w:before="182"/>
        <w:ind w:left="119" w:right="304" w:firstLine="0"/>
        <w:jc w:val="left"/>
        <w:rPr>
          <w:rFonts w:ascii="黑体" w:hAnsi="黑体" w:cs="黑体" w:eastAsia="黑体" w:hint="default"/>
          <w:sz w:val="22"/>
          <w:szCs w:val="22"/>
        </w:rPr>
      </w:pPr>
      <w:r>
        <w:rPr>
          <w:rFonts w:ascii="黑体" w:hAnsi="黑体" w:cs="黑体" w:eastAsia="黑体" w:hint="default"/>
          <w:b/>
          <w:bCs/>
          <w:spacing w:val="30"/>
          <w:sz w:val="22"/>
          <w:szCs w:val="22"/>
        </w:rPr>
        <w:t>管理层回</w:t>
      </w:r>
      <w:r>
        <w:rPr>
          <w:rFonts w:ascii="黑体" w:hAnsi="黑体" w:cs="黑体" w:eastAsia="黑体" w:hint="default"/>
          <w:b/>
          <w:bCs/>
          <w:spacing w:val="-76"/>
          <w:sz w:val="22"/>
          <w:szCs w:val="22"/>
        </w:rPr>
        <w:t> </w:t>
      </w:r>
      <w:r>
        <w:rPr>
          <w:rFonts w:ascii="黑体" w:hAnsi="黑体" w:cs="黑体" w:eastAsia="黑体" w:hint="default"/>
          <w:b/>
          <w:bCs/>
          <w:sz w:val="22"/>
          <w:szCs w:val="22"/>
        </w:rPr>
        <w:t>复</w:t>
      </w:r>
      <w:r>
        <w:rPr>
          <w:rFonts w:ascii="黑体" w:hAnsi="黑体" w:cs="黑体" w:eastAsia="黑体" w:hint="default"/>
          <w:sz w:val="22"/>
          <w:szCs w:val="22"/>
        </w:rPr>
      </w:r>
    </w:p>
    <w:p>
      <w:pPr>
        <w:spacing w:line="284" w:lineRule="exact" w:before="147"/>
        <w:ind w:left="119" w:right="194" w:firstLine="0"/>
        <w:jc w:val="left"/>
        <w:rPr>
          <w:rFonts w:ascii="黑体" w:hAnsi="黑体" w:cs="黑体" w:eastAsia="黑体" w:hint="default"/>
          <w:sz w:val="22"/>
          <w:szCs w:val="22"/>
        </w:rPr>
      </w:pPr>
      <w:r>
        <w:rPr>
          <w:rFonts w:ascii="黑体" w:hAnsi="黑体" w:cs="黑体" w:eastAsia="黑体" w:hint="default"/>
          <w:sz w:val="22"/>
          <w:szCs w:val="22"/>
        </w:rPr>
        <w:t>结合安永审计建议，</w:t>
      </w:r>
      <w:r>
        <w:rPr>
          <w:rFonts w:ascii="Arial" w:hAnsi="Arial" w:cs="Arial" w:eastAsia="Arial" w:hint="default"/>
          <w:sz w:val="22"/>
          <w:szCs w:val="22"/>
        </w:rPr>
        <w:t>2010</w:t>
      </w:r>
      <w:r>
        <w:rPr>
          <w:rFonts w:ascii="Arial" w:hAnsi="Arial" w:cs="Arial" w:eastAsia="Arial" w:hint="default"/>
          <w:spacing w:val="-14"/>
          <w:sz w:val="22"/>
          <w:szCs w:val="22"/>
        </w:rPr>
        <w:t> </w:t>
      </w:r>
      <w:r>
        <w:rPr>
          <w:rFonts w:ascii="黑体" w:hAnsi="黑体" w:cs="黑体" w:eastAsia="黑体" w:hint="default"/>
          <w:sz w:val="22"/>
          <w:szCs w:val="22"/>
        </w:rPr>
        <w:t>年已经从</w:t>
      </w:r>
      <w:r>
        <w:rPr>
          <w:rFonts w:ascii="黑体" w:hAnsi="黑体" w:cs="黑体" w:eastAsia="黑体" w:hint="default"/>
          <w:spacing w:val="-56"/>
          <w:sz w:val="22"/>
          <w:szCs w:val="22"/>
        </w:rPr>
        <w:t> </w:t>
      </w:r>
      <w:r>
        <w:rPr>
          <w:rFonts w:ascii="Arial" w:hAnsi="Arial" w:cs="Arial" w:eastAsia="Arial" w:hint="default"/>
          <w:sz w:val="22"/>
          <w:szCs w:val="22"/>
        </w:rPr>
        <w:t>IT</w:t>
      </w:r>
      <w:r>
        <w:rPr>
          <w:rFonts w:ascii="Arial" w:hAnsi="Arial" w:cs="Arial" w:eastAsia="Arial" w:hint="default"/>
          <w:spacing w:val="-14"/>
          <w:sz w:val="22"/>
          <w:szCs w:val="22"/>
        </w:rPr>
        <w:t> </w:t>
      </w:r>
      <w:r>
        <w:rPr>
          <w:rFonts w:ascii="黑体" w:hAnsi="黑体" w:cs="黑体" w:eastAsia="黑体" w:hint="default"/>
          <w:sz w:val="22"/>
          <w:szCs w:val="22"/>
        </w:rPr>
        <w:t>内部组建内部</w:t>
      </w:r>
      <w:r>
        <w:rPr>
          <w:rFonts w:ascii="黑体" w:hAnsi="黑体" w:cs="黑体" w:eastAsia="黑体" w:hint="default"/>
          <w:spacing w:val="-56"/>
          <w:sz w:val="22"/>
          <w:szCs w:val="22"/>
        </w:rPr>
        <w:t> </w:t>
      </w:r>
      <w:r>
        <w:rPr>
          <w:rFonts w:ascii="Arial" w:hAnsi="Arial" w:cs="Arial" w:eastAsia="Arial" w:hint="default"/>
          <w:sz w:val="22"/>
          <w:szCs w:val="22"/>
        </w:rPr>
        <w:t>IT</w:t>
      </w:r>
      <w:r>
        <w:rPr>
          <w:rFonts w:ascii="Arial" w:hAnsi="Arial" w:cs="Arial" w:eastAsia="Arial" w:hint="default"/>
          <w:spacing w:val="-13"/>
          <w:sz w:val="22"/>
          <w:szCs w:val="22"/>
        </w:rPr>
        <w:t> </w:t>
      </w:r>
      <w:r>
        <w:rPr>
          <w:rFonts w:ascii="黑体" w:hAnsi="黑体" w:cs="黑体" w:eastAsia="黑体" w:hint="default"/>
          <w:sz w:val="22"/>
          <w:szCs w:val="22"/>
        </w:rPr>
        <w:t>审计虚拟团队，配合安永审计要求对各业务</w:t>
      </w:r>
      <w:r>
        <w:rPr>
          <w:rFonts w:ascii="黑体" w:hAnsi="黑体" w:cs="黑体" w:eastAsia="黑体" w:hint="default"/>
          <w:w w:val="99"/>
          <w:sz w:val="22"/>
          <w:szCs w:val="22"/>
        </w:rPr>
        <w:t> </w:t>
      </w:r>
      <w:r>
        <w:rPr>
          <w:rFonts w:ascii="黑体" w:hAnsi="黑体" w:cs="黑体" w:eastAsia="黑体" w:hint="default"/>
          <w:sz w:val="22"/>
          <w:szCs w:val="22"/>
        </w:rPr>
        <w:t>机构进行内部审计，并根据审计结果进行内部整改。</w:t>
      </w:r>
    </w:p>
    <w:p>
      <w:pPr>
        <w:spacing w:after="0" w:line="284" w:lineRule="exact"/>
        <w:jc w:val="left"/>
        <w:rPr>
          <w:rFonts w:ascii="黑体" w:hAnsi="黑体" w:cs="黑体" w:eastAsia="黑体" w:hint="default"/>
          <w:sz w:val="22"/>
          <w:szCs w:val="22"/>
        </w:rPr>
        <w:sectPr>
          <w:headerReference w:type="default" r:id="rId119"/>
          <w:footerReference w:type="default" r:id="rId120"/>
          <w:pgSz w:w="11910" w:h="16840"/>
          <w:pgMar w:header="0" w:footer="769" w:top="1600" w:bottom="960" w:left="1320" w:right="760"/>
          <w:pgNumType w:start="25"/>
        </w:sectPr>
      </w:pPr>
    </w:p>
    <w:p>
      <w:pPr>
        <w:tabs>
          <w:tab w:pos="829" w:val="left" w:leader="none"/>
        </w:tabs>
        <w:spacing w:before="45"/>
        <w:ind w:left="120" w:right="304" w:firstLine="0"/>
        <w:jc w:val="left"/>
        <w:rPr>
          <w:rFonts w:ascii="黑体" w:hAnsi="黑体" w:cs="黑体" w:eastAsia="黑体" w:hint="default"/>
          <w:sz w:val="23"/>
          <w:szCs w:val="23"/>
        </w:rPr>
      </w:pPr>
      <w:bookmarkStart w:name="_bookmark13" w:id="35"/>
      <w:bookmarkEnd w:id="35"/>
      <w:r>
        <w:rPr/>
      </w:r>
      <w:r>
        <w:rPr>
          <w:rFonts w:ascii="黑体" w:hAnsi="黑体" w:cs="黑体" w:eastAsia="黑体" w:hint="default"/>
          <w:b/>
          <w:bCs/>
          <w:i/>
          <w:w w:val="95"/>
          <w:sz w:val="23"/>
          <w:szCs w:val="23"/>
        </w:rPr>
        <w:t>二</w:t>
      </w:r>
      <w:r>
        <w:rPr>
          <w:rFonts w:ascii="Arial" w:hAnsi="Arial" w:cs="Arial" w:eastAsia="Arial" w:hint="default"/>
          <w:b/>
          <w:bCs/>
          <w:i/>
          <w:w w:val="95"/>
          <w:sz w:val="22"/>
          <w:szCs w:val="22"/>
        </w:rPr>
        <w:t>.</w:t>
        <w:tab/>
      </w:r>
      <w:r>
        <w:rPr>
          <w:rFonts w:ascii="Arial" w:hAnsi="Arial" w:cs="Arial" w:eastAsia="Arial" w:hint="default"/>
          <w:b/>
          <w:bCs/>
          <w:i/>
          <w:sz w:val="22"/>
          <w:szCs w:val="22"/>
        </w:rPr>
        <w:t>IT</w:t>
      </w:r>
      <w:r>
        <w:rPr>
          <w:rFonts w:ascii="黑体" w:hAnsi="黑体" w:cs="黑体" w:eastAsia="黑体" w:hint="default"/>
          <w:b/>
          <w:bCs/>
          <w:i/>
          <w:sz w:val="23"/>
          <w:szCs w:val="23"/>
        </w:rPr>
        <w:t>流程控制</w:t>
      </w:r>
      <w:r>
        <w:rPr>
          <w:rFonts w:ascii="黑体" w:hAnsi="黑体" w:cs="黑体" w:eastAsia="黑体" w:hint="default"/>
          <w:sz w:val="23"/>
          <w:szCs w:val="23"/>
        </w:rPr>
      </w:r>
    </w:p>
    <w:p>
      <w:pPr>
        <w:pStyle w:val="Heading8"/>
        <w:tabs>
          <w:tab w:pos="839" w:val="left" w:leader="none"/>
        </w:tabs>
        <w:spacing w:line="240" w:lineRule="auto" w:before="210"/>
        <w:ind w:left="120" w:right="304"/>
        <w:jc w:val="left"/>
        <w:rPr>
          <w:b w:val="0"/>
          <w:bCs w:val="0"/>
          <w:i w:val="0"/>
        </w:rPr>
      </w:pPr>
      <w:r>
        <w:rPr>
          <w:w w:val="95"/>
        </w:rPr>
        <w:t>2.</w:t>
        <w:tab/>
      </w:r>
      <w:r>
        <w:rPr/>
        <w:t>信息安全策略</w:t>
      </w:r>
      <w:r>
        <w:rPr>
          <w:b w:val="0"/>
          <w:bCs w:val="0"/>
          <w:i w:val="0"/>
        </w:rPr>
      </w:r>
    </w:p>
    <w:p>
      <w:pPr>
        <w:spacing w:line="240" w:lineRule="auto" w:before="0"/>
        <w:rPr>
          <w:rFonts w:ascii="黑体" w:hAnsi="黑体" w:cs="黑体" w:eastAsia="黑体" w:hint="default"/>
          <w:b/>
          <w:bCs/>
          <w:i/>
          <w:sz w:val="22"/>
          <w:szCs w:val="22"/>
        </w:rPr>
      </w:pPr>
    </w:p>
    <w:p>
      <w:pPr>
        <w:spacing w:line="240" w:lineRule="auto" w:before="0"/>
        <w:rPr>
          <w:rFonts w:ascii="黑体" w:hAnsi="黑体" w:cs="黑体" w:eastAsia="黑体" w:hint="default"/>
          <w:b/>
          <w:bCs/>
          <w:i/>
          <w:sz w:val="22"/>
          <w:szCs w:val="22"/>
        </w:rPr>
      </w:pPr>
    </w:p>
    <w:p>
      <w:pPr>
        <w:pStyle w:val="Heading9"/>
        <w:spacing w:line="240" w:lineRule="auto" w:before="152"/>
        <w:ind w:left="119" w:right="304"/>
        <w:jc w:val="left"/>
        <w:rPr>
          <w:rFonts w:ascii="黑体" w:hAnsi="黑体" w:cs="黑体" w:eastAsia="黑体" w:hint="default"/>
          <w:b w:val="0"/>
          <w:bCs w:val="0"/>
        </w:rPr>
      </w:pPr>
      <w:r>
        <w:rPr>
          <w:rFonts w:ascii="黑体" w:hAnsi="黑体" w:cs="黑体" w:eastAsia="黑体" w:hint="default"/>
          <w:spacing w:val="30"/>
        </w:rPr>
        <w:t>观察所得</w:t>
      </w:r>
      <w:r>
        <w:rPr>
          <w:rFonts w:ascii="黑体" w:hAnsi="黑体" w:cs="黑体" w:eastAsia="黑体" w:hint="default"/>
          <w:spacing w:val="-71"/>
        </w:rPr>
        <w:t> </w:t>
      </w:r>
      <w:r>
        <w:rPr>
          <w:rFonts w:ascii="黑体" w:hAnsi="黑体" w:cs="黑体" w:eastAsia="黑体" w:hint="default"/>
          <w:b w:val="0"/>
          <w:bCs w:val="0"/>
        </w:rPr>
      </w:r>
    </w:p>
    <w:p>
      <w:pPr>
        <w:spacing w:line="225" w:lineRule="auto" w:before="133"/>
        <w:ind w:left="119" w:right="147" w:firstLine="0"/>
        <w:jc w:val="left"/>
        <w:rPr>
          <w:rFonts w:ascii="黑体" w:hAnsi="黑体" w:cs="黑体" w:eastAsia="黑体" w:hint="default"/>
          <w:sz w:val="22"/>
          <w:szCs w:val="22"/>
        </w:rPr>
      </w:pPr>
      <w:r>
        <w:rPr>
          <w:rFonts w:ascii="黑体" w:hAnsi="黑体" w:cs="黑体" w:eastAsia="黑体" w:hint="default"/>
          <w:sz w:val="22"/>
          <w:szCs w:val="22"/>
        </w:rPr>
        <w:t>贵公司已经建立了一套基本的，对日常系统维护以及网络安全等方面进行控制的</w:t>
      </w:r>
      <w:r>
        <w:rPr>
          <w:rFonts w:ascii="黑体" w:hAnsi="黑体" w:cs="黑体" w:eastAsia="黑体" w:hint="default"/>
          <w:spacing w:val="-56"/>
          <w:sz w:val="22"/>
          <w:szCs w:val="22"/>
        </w:rPr>
        <w:t> </w:t>
      </w:r>
      <w:r>
        <w:rPr>
          <w:rFonts w:ascii="Arial" w:hAnsi="Arial" w:cs="Arial" w:eastAsia="Arial" w:hint="default"/>
          <w:sz w:val="22"/>
          <w:szCs w:val="22"/>
        </w:rPr>
        <w:t>IT</w:t>
      </w:r>
      <w:r>
        <w:rPr>
          <w:rFonts w:ascii="Arial" w:hAnsi="Arial" w:cs="Arial" w:eastAsia="Arial" w:hint="default"/>
          <w:spacing w:val="-14"/>
          <w:sz w:val="22"/>
          <w:szCs w:val="22"/>
        </w:rPr>
        <w:t> </w:t>
      </w:r>
      <w:r>
        <w:rPr>
          <w:rFonts w:ascii="黑体" w:hAnsi="黑体" w:cs="黑体" w:eastAsia="黑体" w:hint="default"/>
          <w:sz w:val="22"/>
          <w:szCs w:val="22"/>
        </w:rPr>
        <w:t>管理流程。但是</w:t>
      </w:r>
      <w:r>
        <w:rPr>
          <w:rFonts w:ascii="黑体" w:hAnsi="黑体" w:cs="黑体" w:eastAsia="黑体" w:hint="default"/>
          <w:w w:val="99"/>
          <w:sz w:val="22"/>
          <w:szCs w:val="22"/>
        </w:rPr>
        <w:t> </w:t>
      </w:r>
      <w:r>
        <w:rPr>
          <w:rFonts w:ascii="黑体" w:hAnsi="黑体" w:cs="黑体" w:eastAsia="黑体" w:hint="default"/>
          <w:sz w:val="22"/>
          <w:szCs w:val="22"/>
        </w:rPr>
        <w:t>在系统审计的过程中，我们注意到在各个分、子公司，现有的管理规定或规范还不能涵盖</w:t>
      </w:r>
      <w:r>
        <w:rPr>
          <w:rFonts w:ascii="黑体" w:hAnsi="黑体" w:cs="黑体" w:eastAsia="黑体" w:hint="default"/>
          <w:spacing w:val="-56"/>
          <w:sz w:val="22"/>
          <w:szCs w:val="22"/>
        </w:rPr>
        <w:t> </w:t>
      </w:r>
      <w:r>
        <w:rPr>
          <w:rFonts w:ascii="Arial" w:hAnsi="Arial" w:cs="Arial" w:eastAsia="Arial" w:hint="default"/>
          <w:sz w:val="22"/>
          <w:szCs w:val="22"/>
        </w:rPr>
        <w:t>IT</w:t>
      </w:r>
      <w:r>
        <w:rPr>
          <w:rFonts w:ascii="Arial" w:hAnsi="Arial" w:cs="Arial" w:eastAsia="Arial" w:hint="default"/>
          <w:spacing w:val="-13"/>
          <w:sz w:val="22"/>
          <w:szCs w:val="22"/>
        </w:rPr>
        <w:t> </w:t>
      </w:r>
      <w:r>
        <w:rPr>
          <w:rFonts w:ascii="黑体" w:hAnsi="黑体" w:cs="黑体" w:eastAsia="黑体" w:hint="default"/>
          <w:sz w:val="22"/>
          <w:szCs w:val="22"/>
        </w:rPr>
        <w:t>管理的</w:t>
      </w:r>
      <w:r>
        <w:rPr>
          <w:rFonts w:ascii="黑体" w:hAnsi="黑体" w:cs="黑体" w:eastAsia="黑体" w:hint="default"/>
          <w:w w:val="99"/>
          <w:sz w:val="22"/>
          <w:szCs w:val="22"/>
        </w:rPr>
        <w:t> </w:t>
      </w:r>
      <w:r>
        <w:rPr>
          <w:rFonts w:ascii="黑体" w:hAnsi="黑体" w:cs="黑体" w:eastAsia="黑体" w:hint="default"/>
          <w:sz w:val="22"/>
          <w:szCs w:val="22"/>
        </w:rPr>
        <w:t>各个方面</w:t>
      </w:r>
      <w:r>
        <w:rPr>
          <w:rFonts w:ascii="Arial" w:hAnsi="Arial" w:cs="Arial" w:eastAsia="Arial" w:hint="default"/>
          <w:sz w:val="22"/>
          <w:szCs w:val="22"/>
        </w:rPr>
        <w:t>(</w:t>
      </w:r>
      <w:r>
        <w:rPr>
          <w:rFonts w:ascii="黑体" w:hAnsi="黑体" w:cs="黑体" w:eastAsia="黑体" w:hint="default"/>
          <w:sz w:val="22"/>
          <w:szCs w:val="22"/>
        </w:rPr>
        <w:t>系统变更流程、基础架构变更流程、用户账号维护流程及数据恢复流程</w:t>
      </w:r>
      <w:r>
        <w:rPr>
          <w:rFonts w:ascii="Arial" w:hAnsi="Arial" w:cs="Arial" w:eastAsia="Arial" w:hint="default"/>
          <w:sz w:val="22"/>
          <w:szCs w:val="22"/>
        </w:rPr>
        <w:t>)</w:t>
      </w:r>
      <w:r>
        <w:rPr>
          <w:rFonts w:ascii="黑体" w:hAnsi="黑体" w:cs="黑体" w:eastAsia="黑体" w:hint="default"/>
          <w:sz w:val="22"/>
          <w:szCs w:val="22"/>
        </w:rPr>
        <w:t>，无法确保系统</w:t>
      </w:r>
      <w:r>
        <w:rPr>
          <w:rFonts w:ascii="黑体" w:hAnsi="黑体" w:cs="黑体" w:eastAsia="黑体" w:hint="default"/>
          <w:w w:val="99"/>
          <w:sz w:val="22"/>
          <w:szCs w:val="22"/>
        </w:rPr>
        <w:t> </w:t>
      </w:r>
      <w:r>
        <w:rPr>
          <w:rFonts w:ascii="黑体" w:hAnsi="黑体" w:cs="黑体" w:eastAsia="黑体" w:hint="default"/>
          <w:sz w:val="22"/>
          <w:szCs w:val="22"/>
        </w:rPr>
        <w:t>管理的有效性以及数据的安全性，完整性和准确性。</w:t>
      </w:r>
    </w:p>
    <w:p>
      <w:pPr>
        <w:spacing w:line="240" w:lineRule="auto" w:before="0"/>
        <w:rPr>
          <w:rFonts w:ascii="黑体" w:hAnsi="黑体" w:cs="黑体" w:eastAsia="黑体" w:hint="default"/>
          <w:sz w:val="22"/>
          <w:szCs w:val="22"/>
        </w:rPr>
      </w:pPr>
    </w:p>
    <w:p>
      <w:pPr>
        <w:spacing w:line="240" w:lineRule="auto" w:before="0"/>
        <w:rPr>
          <w:rFonts w:ascii="黑体" w:hAnsi="黑体" w:cs="黑体" w:eastAsia="黑体" w:hint="default"/>
          <w:sz w:val="22"/>
          <w:szCs w:val="22"/>
        </w:rPr>
      </w:pPr>
    </w:p>
    <w:p>
      <w:pPr>
        <w:spacing w:before="157"/>
        <w:ind w:left="120" w:right="304" w:firstLine="0"/>
        <w:jc w:val="left"/>
        <w:rPr>
          <w:rFonts w:ascii="黑体" w:hAnsi="黑体" w:cs="黑体" w:eastAsia="黑体" w:hint="default"/>
          <w:sz w:val="22"/>
          <w:szCs w:val="22"/>
        </w:rPr>
      </w:pPr>
      <w:r>
        <w:rPr>
          <w:rFonts w:ascii="黑体" w:hAnsi="黑体" w:cs="黑体" w:eastAsia="黑体" w:hint="default"/>
          <w:b/>
          <w:bCs/>
          <w:spacing w:val="30"/>
          <w:sz w:val="22"/>
          <w:szCs w:val="22"/>
        </w:rPr>
        <w:t>潜在的业</w:t>
      </w:r>
      <w:r>
        <w:rPr>
          <w:rFonts w:ascii="黑体" w:hAnsi="黑体" w:cs="黑体" w:eastAsia="黑体" w:hint="default"/>
          <w:b/>
          <w:bCs/>
          <w:spacing w:val="-76"/>
          <w:sz w:val="22"/>
          <w:szCs w:val="22"/>
        </w:rPr>
        <w:t> </w:t>
      </w:r>
      <w:r>
        <w:rPr>
          <w:rFonts w:ascii="黑体" w:hAnsi="黑体" w:cs="黑体" w:eastAsia="黑体" w:hint="default"/>
          <w:b/>
          <w:bCs/>
          <w:spacing w:val="26"/>
          <w:sz w:val="22"/>
          <w:szCs w:val="22"/>
        </w:rPr>
        <w:t>务风险</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37" w:lineRule="auto" w:before="120"/>
        <w:ind w:left="120" w:right="241" w:firstLine="0"/>
        <w:jc w:val="both"/>
        <w:rPr>
          <w:rFonts w:ascii="黑体" w:hAnsi="黑体" w:cs="黑体" w:eastAsia="黑体" w:hint="default"/>
          <w:sz w:val="22"/>
          <w:szCs w:val="22"/>
        </w:rPr>
      </w:pPr>
      <w:r>
        <w:rPr>
          <w:rFonts w:ascii="黑体" w:hAnsi="黑体" w:cs="黑体" w:eastAsia="黑体" w:hint="default"/>
          <w:sz w:val="22"/>
          <w:szCs w:val="22"/>
        </w:rPr>
        <w:t>信息安全制度是用来规范信息管理，加强安全控制的重要依据。没有详尽的信息安全制度，将会影</w:t>
      </w:r>
      <w:r>
        <w:rPr>
          <w:rFonts w:ascii="黑体" w:hAnsi="黑体" w:cs="黑体" w:eastAsia="黑体" w:hint="default"/>
          <w:w w:val="99"/>
          <w:sz w:val="22"/>
          <w:szCs w:val="22"/>
        </w:rPr>
        <w:t> </w:t>
      </w:r>
      <w:r>
        <w:rPr>
          <w:rFonts w:ascii="黑体" w:hAnsi="黑体" w:cs="黑体" w:eastAsia="黑体" w:hint="default"/>
          <w:sz w:val="22"/>
          <w:szCs w:val="22"/>
        </w:rPr>
        <w:t>响公司信息化管理的程度。管理层缺少信息管理的主要依据，职能部门也难以遵照其执行相关的信</w:t>
      </w:r>
      <w:r>
        <w:rPr>
          <w:rFonts w:ascii="黑体" w:hAnsi="黑体" w:cs="黑体" w:eastAsia="黑体" w:hint="default"/>
          <w:w w:val="99"/>
          <w:sz w:val="22"/>
          <w:szCs w:val="22"/>
        </w:rPr>
        <w:t> </w:t>
      </w:r>
      <w:r>
        <w:rPr>
          <w:rFonts w:ascii="黑体" w:hAnsi="黑体" w:cs="黑体" w:eastAsia="黑体" w:hint="default"/>
          <w:sz w:val="22"/>
          <w:szCs w:val="22"/>
        </w:rPr>
        <w:t>息规范操作。而且，没有完善的信息科技流程控制审阅制度，对信息资源的访问就无法达到有效的</w:t>
      </w:r>
      <w:r>
        <w:rPr>
          <w:rFonts w:ascii="黑体" w:hAnsi="黑体" w:cs="黑体" w:eastAsia="黑体" w:hint="default"/>
          <w:w w:val="99"/>
          <w:sz w:val="22"/>
          <w:szCs w:val="22"/>
        </w:rPr>
        <w:t> </w:t>
      </w:r>
      <w:r>
        <w:rPr>
          <w:rFonts w:ascii="黑体" w:hAnsi="黑体" w:cs="黑体" w:eastAsia="黑体" w:hint="default"/>
          <w:sz w:val="22"/>
          <w:szCs w:val="22"/>
        </w:rPr>
        <w:t>控制，数据和程序就可能存在未经授权被篡改的风险，从而不能保证重要业务数据的安全性，完整</w:t>
      </w:r>
      <w:r>
        <w:rPr>
          <w:rFonts w:ascii="黑体" w:hAnsi="黑体" w:cs="黑体" w:eastAsia="黑体" w:hint="default"/>
          <w:w w:val="99"/>
          <w:sz w:val="22"/>
          <w:szCs w:val="22"/>
        </w:rPr>
        <w:t> </w:t>
      </w:r>
      <w:r>
        <w:rPr>
          <w:rFonts w:ascii="黑体" w:hAnsi="黑体" w:cs="黑体" w:eastAsia="黑体" w:hint="default"/>
          <w:sz w:val="22"/>
          <w:szCs w:val="22"/>
        </w:rPr>
        <w:t>性和准确性。</w:t>
      </w:r>
    </w:p>
    <w:p>
      <w:pPr>
        <w:spacing w:line="240" w:lineRule="auto" w:before="0"/>
        <w:rPr>
          <w:rFonts w:ascii="黑体" w:hAnsi="黑体" w:cs="黑体" w:eastAsia="黑体" w:hint="default"/>
          <w:sz w:val="22"/>
          <w:szCs w:val="22"/>
        </w:rPr>
      </w:pPr>
    </w:p>
    <w:p>
      <w:pPr>
        <w:spacing w:line="240" w:lineRule="auto" w:before="0"/>
        <w:rPr>
          <w:rFonts w:ascii="黑体" w:hAnsi="黑体" w:cs="黑体" w:eastAsia="黑体" w:hint="default"/>
          <w:sz w:val="22"/>
          <w:szCs w:val="22"/>
        </w:rPr>
      </w:pPr>
    </w:p>
    <w:p>
      <w:pPr>
        <w:spacing w:line="338" w:lineRule="auto" w:before="154"/>
        <w:ind w:left="120" w:right="7924" w:firstLine="0"/>
        <w:jc w:val="left"/>
        <w:rPr>
          <w:rFonts w:ascii="黑体" w:hAnsi="黑体" w:cs="黑体" w:eastAsia="黑体" w:hint="default"/>
          <w:sz w:val="22"/>
          <w:szCs w:val="22"/>
        </w:rPr>
      </w:pPr>
      <w:r>
        <w:rPr>
          <w:rFonts w:ascii="黑体" w:hAnsi="黑体" w:cs="黑体" w:eastAsia="黑体" w:hint="default"/>
          <w:b/>
          <w:bCs/>
          <w:spacing w:val="30"/>
          <w:sz w:val="22"/>
          <w:szCs w:val="22"/>
        </w:rPr>
        <w:t>我们的建</w:t>
      </w:r>
      <w:r>
        <w:rPr>
          <w:rFonts w:ascii="黑体" w:hAnsi="黑体" w:cs="黑体" w:eastAsia="黑体" w:hint="default"/>
          <w:b/>
          <w:bCs/>
          <w:spacing w:val="-70"/>
          <w:sz w:val="22"/>
          <w:szCs w:val="22"/>
        </w:rPr>
        <w:t> </w:t>
      </w:r>
      <w:r>
        <w:rPr>
          <w:rFonts w:ascii="黑体" w:hAnsi="黑体" w:cs="黑体" w:eastAsia="黑体" w:hint="default"/>
          <w:b/>
          <w:bCs/>
          <w:sz w:val="22"/>
          <w:szCs w:val="22"/>
        </w:rPr>
        <w:t>议</w:t>
      </w:r>
      <w:r>
        <w:rPr>
          <w:rFonts w:ascii="黑体" w:hAnsi="黑体" w:cs="黑体" w:eastAsia="黑体" w:hint="default"/>
          <w:b/>
          <w:bCs/>
          <w:w w:val="99"/>
          <w:sz w:val="22"/>
          <w:szCs w:val="22"/>
        </w:rPr>
        <w:t> </w:t>
      </w:r>
      <w:r>
        <w:rPr>
          <w:rFonts w:ascii="黑体" w:hAnsi="黑体" w:cs="黑体" w:eastAsia="黑体" w:hint="default"/>
          <w:sz w:val="22"/>
          <w:szCs w:val="22"/>
        </w:rPr>
        <w:t>我们建议贵公司：</w:t>
      </w:r>
    </w:p>
    <w:p>
      <w:pPr>
        <w:spacing w:line="230" w:lineRule="auto" w:before="37"/>
        <w:ind w:left="687" w:right="102" w:hanging="568"/>
        <w:jc w:val="both"/>
        <w:rPr>
          <w:rFonts w:ascii="黑体" w:hAnsi="黑体" w:cs="黑体" w:eastAsia="黑体" w:hint="default"/>
          <w:sz w:val="22"/>
          <w:szCs w:val="22"/>
        </w:rPr>
      </w:pPr>
      <w:r>
        <w:rPr>
          <w:rFonts w:ascii="Symbol" w:hAnsi="Symbol" w:cs="Symbol" w:eastAsia="Symbol" w:hint="default"/>
          <w:sz w:val="22"/>
          <w:szCs w:val="22"/>
        </w:rPr>
        <w:t></w:t>
      </w:r>
      <w:r>
        <w:rPr>
          <w:rFonts w:ascii="Symbol" w:hAnsi="Symbol" w:cs="Symbol" w:eastAsia="Symbol" w:hint="default"/>
          <w:spacing w:val="18"/>
          <w:sz w:val="22"/>
          <w:szCs w:val="22"/>
        </w:rPr>
        <w:t></w:t>
      </w:r>
      <w:r>
        <w:rPr>
          <w:rFonts w:ascii="Times New Roman" w:hAnsi="Times New Roman" w:cs="Times New Roman" w:eastAsia="Times New Roman" w:hint="default"/>
          <w:spacing w:val="18"/>
          <w:sz w:val="22"/>
          <w:szCs w:val="22"/>
        </w:rPr>
      </w:r>
      <w:r>
        <w:rPr>
          <w:rFonts w:ascii="黑体" w:hAnsi="黑体" w:cs="黑体" w:eastAsia="黑体" w:hint="default"/>
          <w:sz w:val="22"/>
          <w:szCs w:val="22"/>
        </w:rPr>
        <w:t>由各分子公司的系统管理员在现有的信息安全管理流程上，增加对程序变更管理、用户账号管</w:t>
      </w:r>
      <w:r>
        <w:rPr>
          <w:rFonts w:ascii="黑体" w:hAnsi="黑体" w:cs="黑体" w:eastAsia="黑体" w:hint="default"/>
          <w:spacing w:val="1"/>
          <w:w w:val="99"/>
          <w:sz w:val="22"/>
          <w:szCs w:val="22"/>
        </w:rPr>
        <w:t> </w:t>
      </w:r>
      <w:r>
        <w:rPr>
          <w:rFonts w:ascii="黑体" w:hAnsi="黑体" w:cs="黑体" w:eastAsia="黑体" w:hint="default"/>
          <w:sz w:val="22"/>
          <w:szCs w:val="22"/>
        </w:rPr>
        <w:t>理、数据修改和数据备份管理的相关控制，完善各方面制度和流程，制定一套全面的信息安全</w:t>
      </w:r>
      <w:r>
        <w:rPr>
          <w:rFonts w:ascii="黑体" w:hAnsi="黑体" w:cs="黑体" w:eastAsia="黑体" w:hint="default"/>
          <w:spacing w:val="1"/>
          <w:w w:val="99"/>
          <w:sz w:val="22"/>
          <w:szCs w:val="22"/>
        </w:rPr>
        <w:t> </w:t>
      </w:r>
      <w:r>
        <w:rPr>
          <w:rFonts w:ascii="黑体" w:hAnsi="黑体" w:cs="黑体" w:eastAsia="黑体" w:hint="default"/>
          <w:sz w:val="22"/>
          <w:szCs w:val="22"/>
        </w:rPr>
        <w:t>管理流程；</w:t>
      </w:r>
    </w:p>
    <w:p>
      <w:pPr>
        <w:spacing w:line="235" w:lineRule="auto" w:before="4"/>
        <w:ind w:left="687" w:right="102" w:hanging="568"/>
        <w:jc w:val="both"/>
        <w:rPr>
          <w:rFonts w:ascii="黑体" w:hAnsi="黑体" w:cs="黑体" w:eastAsia="黑体" w:hint="default"/>
          <w:sz w:val="22"/>
          <w:szCs w:val="22"/>
        </w:rPr>
      </w:pPr>
      <w:r>
        <w:rPr>
          <w:rFonts w:ascii="Symbol" w:hAnsi="Symbol" w:cs="Symbol" w:eastAsia="Symbol" w:hint="default"/>
          <w:sz w:val="22"/>
          <w:szCs w:val="22"/>
        </w:rPr>
        <w:t></w:t>
      </w:r>
      <w:r>
        <w:rPr>
          <w:rFonts w:ascii="Symbol" w:hAnsi="Symbol" w:cs="Symbol" w:eastAsia="Symbol" w:hint="default"/>
          <w:spacing w:val="18"/>
          <w:sz w:val="22"/>
          <w:szCs w:val="22"/>
        </w:rPr>
        <w:t></w:t>
      </w:r>
      <w:r>
        <w:rPr>
          <w:rFonts w:ascii="Times New Roman" w:hAnsi="Times New Roman" w:cs="Times New Roman" w:eastAsia="Times New Roman" w:hint="default"/>
          <w:spacing w:val="18"/>
          <w:sz w:val="22"/>
          <w:szCs w:val="22"/>
        </w:rPr>
      </w:r>
      <w:r>
        <w:rPr>
          <w:rFonts w:ascii="黑体" w:hAnsi="黑体" w:cs="黑体" w:eastAsia="黑体" w:hint="default"/>
          <w:sz w:val="22"/>
          <w:szCs w:val="22"/>
        </w:rPr>
        <w:t>建立制度的定期审查评估和更新机制。对于具体的安全策略指定相应的负责人（如各分子公司</w:t>
      </w:r>
      <w:r>
        <w:rPr>
          <w:rFonts w:ascii="黑体" w:hAnsi="黑体" w:cs="黑体" w:eastAsia="黑体" w:hint="default"/>
          <w:spacing w:val="1"/>
          <w:w w:val="99"/>
          <w:sz w:val="22"/>
          <w:szCs w:val="22"/>
        </w:rPr>
        <w:t> </w:t>
      </w:r>
      <w:r>
        <w:rPr>
          <w:rFonts w:ascii="黑体" w:hAnsi="黑体" w:cs="黑体" w:eastAsia="黑体" w:hint="default"/>
          <w:sz w:val="22"/>
          <w:szCs w:val="22"/>
        </w:rPr>
        <w:t>的系统管理员或网络管理员），此人根据明确规定的审查程序对策略进行维护和审查。当影响</w:t>
      </w:r>
      <w:r>
        <w:rPr>
          <w:rFonts w:ascii="黑体" w:hAnsi="黑体" w:cs="黑体" w:eastAsia="黑体" w:hint="default"/>
          <w:spacing w:val="1"/>
          <w:w w:val="99"/>
          <w:sz w:val="22"/>
          <w:szCs w:val="22"/>
        </w:rPr>
        <w:t> </w:t>
      </w:r>
      <w:r>
        <w:rPr>
          <w:rFonts w:ascii="黑体" w:hAnsi="黑体" w:cs="黑体" w:eastAsia="黑体" w:hint="default"/>
          <w:sz w:val="22"/>
          <w:szCs w:val="22"/>
        </w:rPr>
        <w:t>安全评估的基础发生变化（如发生重大安全事故、出现新的漏洞以及公司或技术基础结构发生</w:t>
      </w:r>
      <w:r>
        <w:rPr>
          <w:rFonts w:ascii="黑体" w:hAnsi="黑体" w:cs="黑体" w:eastAsia="黑体" w:hint="default"/>
          <w:spacing w:val="1"/>
          <w:w w:val="99"/>
          <w:sz w:val="22"/>
          <w:szCs w:val="22"/>
        </w:rPr>
        <w:t> </w:t>
      </w:r>
      <w:r>
        <w:rPr>
          <w:rFonts w:ascii="黑体" w:hAnsi="黑体" w:cs="黑体" w:eastAsia="黑体" w:hint="default"/>
          <w:sz w:val="22"/>
          <w:szCs w:val="22"/>
        </w:rPr>
        <w:t>变更）时，对策略进行相应的审查和更新。还应进行周期性的、阶段性的审查，以检查策略的</w:t>
      </w:r>
      <w:r>
        <w:rPr>
          <w:rFonts w:ascii="黑体" w:hAnsi="黑体" w:cs="黑体" w:eastAsia="黑体" w:hint="default"/>
          <w:spacing w:val="1"/>
          <w:w w:val="99"/>
          <w:sz w:val="22"/>
          <w:szCs w:val="22"/>
        </w:rPr>
        <w:t> </w:t>
      </w:r>
      <w:r>
        <w:rPr>
          <w:rFonts w:ascii="黑体" w:hAnsi="黑体" w:cs="黑体" w:eastAsia="黑体" w:hint="default"/>
          <w:sz w:val="22"/>
          <w:szCs w:val="22"/>
        </w:rPr>
        <w:t>有效性。</w:t>
      </w:r>
    </w:p>
    <w:p>
      <w:pPr>
        <w:tabs>
          <w:tab w:pos="687" w:val="left" w:leader="none"/>
        </w:tabs>
        <w:spacing w:line="286" w:lineRule="exact" w:before="26"/>
        <w:ind w:left="687" w:right="102" w:hanging="568"/>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总部应适当加强对各个分、子公司在</w:t>
      </w:r>
      <w:r>
        <w:rPr>
          <w:rFonts w:ascii="黑体" w:hAnsi="黑体" w:cs="黑体" w:eastAsia="黑体" w:hint="default"/>
          <w:spacing w:val="-35"/>
          <w:sz w:val="22"/>
          <w:szCs w:val="22"/>
        </w:rPr>
        <w:t> </w:t>
      </w:r>
      <w:r>
        <w:rPr>
          <w:rFonts w:ascii="Arial" w:hAnsi="Arial" w:cs="Arial" w:eastAsia="Arial" w:hint="default"/>
          <w:sz w:val="22"/>
          <w:szCs w:val="22"/>
        </w:rPr>
        <w:t>IT </w:t>
      </w:r>
      <w:r>
        <w:rPr>
          <w:rFonts w:ascii="黑体" w:hAnsi="黑体" w:cs="黑体" w:eastAsia="黑体" w:hint="default"/>
          <w:sz w:val="22"/>
          <w:szCs w:val="22"/>
        </w:rPr>
        <w:t>政策实施方面的力度，以确保总部下发的</w:t>
      </w:r>
      <w:r>
        <w:rPr>
          <w:rFonts w:ascii="黑体" w:hAnsi="黑体" w:cs="黑体" w:eastAsia="黑体" w:hint="default"/>
          <w:spacing w:val="-34"/>
          <w:sz w:val="22"/>
          <w:szCs w:val="22"/>
        </w:rPr>
        <w:t> </w:t>
      </w:r>
      <w:r>
        <w:rPr>
          <w:rFonts w:ascii="Arial" w:hAnsi="Arial" w:cs="Arial" w:eastAsia="Arial" w:hint="default"/>
          <w:sz w:val="22"/>
          <w:szCs w:val="22"/>
        </w:rPr>
        <w:t>IT </w:t>
      </w:r>
      <w:r>
        <w:rPr>
          <w:rFonts w:ascii="黑体" w:hAnsi="黑体" w:cs="黑体" w:eastAsia="黑体" w:hint="default"/>
          <w:sz w:val="22"/>
          <w:szCs w:val="22"/>
        </w:rPr>
        <w:t>管理策略</w:t>
      </w:r>
      <w:r>
        <w:rPr>
          <w:rFonts w:ascii="黑体" w:hAnsi="黑体" w:cs="黑体" w:eastAsia="黑体" w:hint="default"/>
          <w:w w:val="99"/>
          <w:sz w:val="22"/>
          <w:szCs w:val="22"/>
        </w:rPr>
        <w:t> </w:t>
      </w:r>
      <w:r>
        <w:rPr>
          <w:rFonts w:ascii="黑体" w:hAnsi="黑体" w:cs="黑体" w:eastAsia="黑体" w:hint="default"/>
          <w:sz w:val="22"/>
          <w:szCs w:val="22"/>
        </w:rPr>
        <w:t>得以有效的执行。</w:t>
      </w:r>
    </w:p>
    <w:p>
      <w:pPr>
        <w:spacing w:line="240" w:lineRule="auto" w:before="0"/>
        <w:rPr>
          <w:rFonts w:ascii="黑体" w:hAnsi="黑体" w:cs="黑体" w:eastAsia="黑体" w:hint="default"/>
          <w:sz w:val="22"/>
          <w:szCs w:val="22"/>
        </w:rPr>
      </w:pPr>
    </w:p>
    <w:p>
      <w:pPr>
        <w:spacing w:line="240" w:lineRule="auto" w:before="10"/>
        <w:rPr>
          <w:rFonts w:ascii="黑体" w:hAnsi="黑体" w:cs="黑体" w:eastAsia="黑体" w:hint="default"/>
          <w:sz w:val="31"/>
          <w:szCs w:val="31"/>
        </w:rPr>
      </w:pPr>
    </w:p>
    <w:p>
      <w:pPr>
        <w:spacing w:before="0"/>
        <w:ind w:left="119" w:right="304" w:firstLine="0"/>
        <w:jc w:val="left"/>
        <w:rPr>
          <w:rFonts w:ascii="黑体" w:hAnsi="黑体" w:cs="黑体" w:eastAsia="黑体" w:hint="default"/>
          <w:sz w:val="22"/>
          <w:szCs w:val="22"/>
        </w:rPr>
      </w:pPr>
      <w:r>
        <w:rPr>
          <w:rFonts w:ascii="黑体" w:hAnsi="黑体" w:cs="黑体" w:eastAsia="黑体" w:hint="default"/>
          <w:b/>
          <w:bCs/>
          <w:spacing w:val="30"/>
          <w:sz w:val="22"/>
          <w:szCs w:val="22"/>
        </w:rPr>
        <w:t>管理层回</w:t>
      </w:r>
      <w:r>
        <w:rPr>
          <w:rFonts w:ascii="黑体" w:hAnsi="黑体" w:cs="黑体" w:eastAsia="黑体" w:hint="default"/>
          <w:b/>
          <w:bCs/>
          <w:spacing w:val="-76"/>
          <w:sz w:val="22"/>
          <w:szCs w:val="22"/>
        </w:rPr>
        <w:t> </w:t>
      </w:r>
      <w:r>
        <w:rPr>
          <w:rFonts w:ascii="黑体" w:hAnsi="黑体" w:cs="黑体" w:eastAsia="黑体" w:hint="default"/>
          <w:b/>
          <w:bCs/>
          <w:sz w:val="22"/>
          <w:szCs w:val="22"/>
        </w:rPr>
        <w:t>复</w:t>
      </w:r>
      <w:r>
        <w:rPr>
          <w:rFonts w:ascii="黑体" w:hAnsi="黑体" w:cs="黑体" w:eastAsia="黑体" w:hint="default"/>
          <w:sz w:val="22"/>
          <w:szCs w:val="22"/>
        </w:rPr>
      </w:r>
    </w:p>
    <w:p>
      <w:pPr>
        <w:tabs>
          <w:tab w:pos="684" w:val="left" w:leader="none"/>
        </w:tabs>
        <w:spacing w:line="286" w:lineRule="exact" w:before="146"/>
        <w:ind w:left="684" w:right="319" w:hanging="546"/>
        <w:jc w:val="left"/>
        <w:rPr>
          <w:rFonts w:ascii="黑体" w:hAnsi="黑体" w:cs="黑体" w:eastAsia="黑体" w:hint="default"/>
          <w:sz w:val="22"/>
          <w:szCs w:val="22"/>
        </w:rPr>
      </w:pPr>
      <w:r>
        <w:rPr>
          <w:rFonts w:ascii="Arial" w:hAnsi="Arial" w:cs="Arial" w:eastAsia="Arial" w:hint="default"/>
          <w:w w:val="95"/>
          <w:sz w:val="22"/>
          <w:szCs w:val="22"/>
        </w:rPr>
        <w:t>1.</w:t>
        <w:tab/>
      </w:r>
      <w:r>
        <w:rPr>
          <w:rFonts w:ascii="黑体" w:hAnsi="黑体" w:cs="黑体" w:eastAsia="黑体" w:hint="default"/>
          <w:sz w:val="22"/>
          <w:szCs w:val="22"/>
        </w:rPr>
        <w:t>集团</w:t>
      </w:r>
      <w:r>
        <w:rPr>
          <w:rFonts w:ascii="黑体" w:hAnsi="黑体" w:cs="黑体" w:eastAsia="黑体" w:hint="default"/>
          <w:spacing w:val="-56"/>
          <w:sz w:val="22"/>
          <w:szCs w:val="22"/>
        </w:rPr>
        <w:t> </w:t>
      </w:r>
      <w:r>
        <w:rPr>
          <w:rFonts w:ascii="Arial" w:hAnsi="Arial" w:cs="Arial" w:eastAsia="Arial" w:hint="default"/>
          <w:sz w:val="22"/>
          <w:szCs w:val="22"/>
        </w:rPr>
        <w:t>IT</w:t>
      </w:r>
      <w:r>
        <w:rPr>
          <w:rFonts w:ascii="Arial" w:hAnsi="Arial" w:cs="Arial" w:eastAsia="Arial" w:hint="default"/>
          <w:spacing w:val="-14"/>
          <w:sz w:val="22"/>
          <w:szCs w:val="22"/>
        </w:rPr>
        <w:t> </w:t>
      </w:r>
      <w:r>
        <w:rPr>
          <w:rFonts w:ascii="黑体" w:hAnsi="黑体" w:cs="黑体" w:eastAsia="黑体" w:hint="default"/>
          <w:sz w:val="22"/>
          <w:szCs w:val="22"/>
        </w:rPr>
        <w:t>将进一步加强内部</w:t>
      </w:r>
      <w:r>
        <w:rPr>
          <w:rFonts w:ascii="黑体" w:hAnsi="黑体" w:cs="黑体" w:eastAsia="黑体" w:hint="default"/>
          <w:spacing w:val="-56"/>
          <w:sz w:val="22"/>
          <w:szCs w:val="22"/>
        </w:rPr>
        <w:t> </w:t>
      </w:r>
      <w:r>
        <w:rPr>
          <w:rFonts w:ascii="Arial" w:hAnsi="Arial" w:cs="Arial" w:eastAsia="Arial" w:hint="default"/>
          <w:sz w:val="22"/>
          <w:szCs w:val="22"/>
        </w:rPr>
        <w:t>IT</w:t>
      </w:r>
      <w:r>
        <w:rPr>
          <w:rFonts w:ascii="Arial" w:hAnsi="Arial" w:cs="Arial" w:eastAsia="Arial" w:hint="default"/>
          <w:spacing w:val="-14"/>
          <w:sz w:val="22"/>
          <w:szCs w:val="22"/>
        </w:rPr>
        <w:t> </w:t>
      </w:r>
      <w:r>
        <w:rPr>
          <w:rFonts w:ascii="黑体" w:hAnsi="黑体" w:cs="黑体" w:eastAsia="黑体" w:hint="default"/>
          <w:sz w:val="22"/>
          <w:szCs w:val="22"/>
        </w:rPr>
        <w:t>治理，要求各分子公司配置</w:t>
      </w:r>
      <w:r>
        <w:rPr>
          <w:rFonts w:ascii="黑体" w:hAnsi="黑体" w:cs="黑体" w:eastAsia="黑体" w:hint="default"/>
          <w:spacing w:val="-56"/>
          <w:sz w:val="22"/>
          <w:szCs w:val="22"/>
        </w:rPr>
        <w:t> </w:t>
      </w:r>
      <w:r>
        <w:rPr>
          <w:rFonts w:ascii="Arial" w:hAnsi="Arial" w:cs="Arial" w:eastAsia="Arial" w:hint="default"/>
          <w:sz w:val="22"/>
          <w:szCs w:val="22"/>
        </w:rPr>
        <w:t>IT</w:t>
      </w:r>
      <w:r>
        <w:rPr>
          <w:rFonts w:ascii="Arial" w:hAnsi="Arial" w:cs="Arial" w:eastAsia="Arial" w:hint="default"/>
          <w:spacing w:val="-13"/>
          <w:sz w:val="22"/>
          <w:szCs w:val="22"/>
        </w:rPr>
        <w:t> </w:t>
      </w:r>
      <w:r>
        <w:rPr>
          <w:rFonts w:ascii="黑体" w:hAnsi="黑体" w:cs="黑体" w:eastAsia="黑体" w:hint="default"/>
          <w:sz w:val="22"/>
          <w:szCs w:val="22"/>
        </w:rPr>
        <w:t>人员，并定期给分子公司进行安</w:t>
      </w:r>
      <w:r>
        <w:rPr>
          <w:rFonts w:ascii="黑体" w:hAnsi="黑体" w:cs="黑体" w:eastAsia="黑体" w:hint="default"/>
          <w:w w:val="99"/>
          <w:sz w:val="22"/>
          <w:szCs w:val="22"/>
        </w:rPr>
        <w:t> </w:t>
      </w:r>
      <w:r>
        <w:rPr>
          <w:rFonts w:ascii="黑体" w:hAnsi="黑体" w:cs="黑体" w:eastAsia="黑体" w:hint="default"/>
          <w:sz w:val="22"/>
          <w:szCs w:val="22"/>
        </w:rPr>
        <w:t>全管理流程培训。</w:t>
      </w:r>
    </w:p>
    <w:p>
      <w:pPr>
        <w:tabs>
          <w:tab w:pos="684" w:val="left" w:leader="none"/>
        </w:tabs>
        <w:spacing w:before="90"/>
        <w:ind w:left="138" w:right="304" w:firstLine="0"/>
        <w:jc w:val="left"/>
        <w:rPr>
          <w:rFonts w:ascii="黑体" w:hAnsi="黑体" w:cs="黑体" w:eastAsia="黑体" w:hint="default"/>
          <w:sz w:val="22"/>
          <w:szCs w:val="22"/>
        </w:rPr>
      </w:pPr>
      <w:r>
        <w:rPr>
          <w:rFonts w:ascii="Arial" w:hAnsi="Arial" w:cs="Arial" w:eastAsia="Arial" w:hint="default"/>
          <w:w w:val="95"/>
          <w:sz w:val="22"/>
          <w:szCs w:val="22"/>
        </w:rPr>
        <w:t>2.</w:t>
        <w:tab/>
      </w:r>
      <w:r>
        <w:rPr>
          <w:rFonts w:ascii="黑体" w:hAnsi="黑体" w:cs="黑体" w:eastAsia="黑体" w:hint="default"/>
          <w:sz w:val="22"/>
          <w:szCs w:val="22"/>
        </w:rPr>
        <w:t>分子公司的安全队伍的建设与投入继续加大。</w:t>
      </w:r>
    </w:p>
    <w:p>
      <w:pPr>
        <w:spacing w:after="0"/>
        <w:jc w:val="left"/>
        <w:rPr>
          <w:rFonts w:ascii="黑体" w:hAnsi="黑体" w:cs="黑体" w:eastAsia="黑体" w:hint="default"/>
          <w:sz w:val="22"/>
          <w:szCs w:val="22"/>
        </w:rPr>
        <w:sectPr>
          <w:headerReference w:type="default" r:id="rId121"/>
          <w:footerReference w:type="default" r:id="rId122"/>
          <w:pgSz w:w="11910" w:h="16840"/>
          <w:pgMar w:header="0" w:footer="769" w:top="1600" w:bottom="960" w:left="1320" w:right="760"/>
          <w:pgNumType w:start="26"/>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5"/>
          <w:szCs w:val="15"/>
        </w:rPr>
      </w:pPr>
    </w:p>
    <w:p>
      <w:pPr>
        <w:spacing w:before="0"/>
        <w:ind w:left="122" w:right="0" w:firstLine="0"/>
        <w:jc w:val="both"/>
        <w:rPr>
          <w:rFonts w:ascii="黑体" w:hAnsi="黑体" w:cs="黑体" w:eastAsia="黑体" w:hint="default"/>
          <w:sz w:val="22"/>
          <w:szCs w:val="22"/>
        </w:rPr>
      </w:pPr>
      <w:bookmarkStart w:name="_bookmark14" w:id="36"/>
      <w:bookmarkEnd w:id="36"/>
      <w:r>
        <w:rPr/>
      </w:r>
      <w:r>
        <w:rPr>
          <w:rFonts w:ascii="黑体" w:hAnsi="黑体" w:cs="黑体" w:eastAsia="黑体" w:hint="default"/>
          <w:b/>
          <w:bCs/>
          <w:spacing w:val="30"/>
          <w:sz w:val="22"/>
          <w:szCs w:val="22"/>
        </w:rPr>
        <w:t>观察所得</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86" w:lineRule="exact" w:before="146"/>
        <w:ind w:left="119" w:right="98" w:firstLine="0"/>
        <w:jc w:val="both"/>
        <w:rPr>
          <w:rFonts w:ascii="黑体" w:hAnsi="黑体" w:cs="黑体" w:eastAsia="黑体" w:hint="default"/>
          <w:sz w:val="22"/>
          <w:szCs w:val="22"/>
        </w:rPr>
      </w:pPr>
      <w:r>
        <w:rPr>
          <w:rFonts w:ascii="黑体" w:hAnsi="黑体" w:cs="黑体" w:eastAsia="黑体" w:hint="default"/>
          <w:sz w:val="22"/>
          <w:szCs w:val="22"/>
        </w:rPr>
        <w:t>在系统审计过程中，我们了解到贵公司商务生产系统由总部信息管理部集中管理。信息技术部</w:t>
      </w:r>
      <w:r>
        <w:rPr>
          <w:rFonts w:ascii="黑体" w:hAnsi="黑体" w:cs="黑体" w:eastAsia="黑体" w:hint="default"/>
          <w:w w:val="99"/>
          <w:sz w:val="22"/>
          <w:szCs w:val="22"/>
        </w:rPr>
        <w:t> </w:t>
      </w:r>
      <w:r>
        <w:rPr>
          <w:rFonts w:ascii="黑体" w:hAnsi="黑体" w:cs="黑体" w:eastAsia="黑体" w:hint="default"/>
          <w:sz w:val="22"/>
          <w:szCs w:val="22"/>
        </w:rPr>
        <w:t>已经规范了一套控制流程来管理系统的程序变更管理，但是我们发现该制度对程序变更职责分</w:t>
      </w:r>
      <w:r>
        <w:rPr>
          <w:rFonts w:ascii="黑体" w:hAnsi="黑体" w:cs="黑体" w:eastAsia="黑体" w:hint="default"/>
          <w:w w:val="99"/>
          <w:sz w:val="22"/>
          <w:szCs w:val="22"/>
        </w:rPr>
        <w:t> </w:t>
      </w:r>
      <w:r>
        <w:rPr>
          <w:rFonts w:ascii="黑体" w:hAnsi="黑体" w:cs="黑体" w:eastAsia="黑体" w:hint="default"/>
          <w:sz w:val="22"/>
          <w:szCs w:val="22"/>
        </w:rPr>
        <w:t>离的控制未做规范。系统管理员负责程序的开发，测试以及上线。</w:t>
      </w:r>
    </w:p>
    <w:p>
      <w:pPr>
        <w:spacing w:line="240" w:lineRule="auto" w:before="0"/>
        <w:rPr>
          <w:rFonts w:ascii="黑体" w:hAnsi="黑体" w:cs="黑体" w:eastAsia="黑体" w:hint="default"/>
          <w:sz w:val="22"/>
          <w:szCs w:val="22"/>
        </w:rPr>
      </w:pPr>
    </w:p>
    <w:p>
      <w:pPr>
        <w:spacing w:line="240" w:lineRule="auto" w:before="10"/>
        <w:rPr>
          <w:rFonts w:ascii="黑体" w:hAnsi="黑体" w:cs="黑体" w:eastAsia="黑体" w:hint="default"/>
          <w:sz w:val="31"/>
          <w:szCs w:val="31"/>
        </w:rPr>
      </w:pPr>
    </w:p>
    <w:p>
      <w:pPr>
        <w:spacing w:before="0"/>
        <w:ind w:left="119"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潜在的业</w:t>
      </w:r>
      <w:r>
        <w:rPr>
          <w:rFonts w:ascii="黑体" w:hAnsi="黑体" w:cs="黑体" w:eastAsia="黑体" w:hint="default"/>
          <w:b/>
          <w:bCs/>
          <w:spacing w:val="-76"/>
          <w:sz w:val="22"/>
          <w:szCs w:val="22"/>
        </w:rPr>
        <w:t> </w:t>
      </w:r>
      <w:r>
        <w:rPr>
          <w:rFonts w:ascii="黑体" w:hAnsi="黑体" w:cs="黑体" w:eastAsia="黑体" w:hint="default"/>
          <w:b/>
          <w:bCs/>
          <w:spacing w:val="26"/>
          <w:sz w:val="22"/>
          <w:szCs w:val="22"/>
        </w:rPr>
        <w:t>务风险</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86" w:lineRule="exact" w:before="146"/>
        <w:ind w:left="119" w:right="101" w:firstLine="0"/>
        <w:jc w:val="both"/>
        <w:rPr>
          <w:rFonts w:ascii="黑体" w:hAnsi="黑体" w:cs="黑体" w:eastAsia="黑体" w:hint="default"/>
          <w:sz w:val="22"/>
          <w:szCs w:val="22"/>
        </w:rPr>
      </w:pPr>
      <w:r>
        <w:rPr>
          <w:rFonts w:ascii="黑体" w:hAnsi="黑体" w:cs="黑体" w:eastAsia="黑体" w:hint="default"/>
          <w:sz w:val="22"/>
          <w:szCs w:val="22"/>
        </w:rPr>
        <w:t>任何程序上的修改，都会使系统对数据的处理方式改变，从而使得系统数据库中存储的数据以</w:t>
      </w:r>
      <w:r>
        <w:rPr>
          <w:rFonts w:ascii="黑体" w:hAnsi="黑体" w:cs="黑体" w:eastAsia="黑体" w:hint="default"/>
          <w:w w:val="99"/>
          <w:sz w:val="22"/>
          <w:szCs w:val="22"/>
        </w:rPr>
        <w:t> </w:t>
      </w:r>
      <w:r>
        <w:rPr>
          <w:rFonts w:ascii="黑体" w:hAnsi="黑体" w:cs="黑体" w:eastAsia="黑体" w:hint="default"/>
          <w:sz w:val="22"/>
          <w:szCs w:val="22"/>
        </w:rPr>
        <w:t>及输出数据的价值发生改变。为了保证数据的可靠性、真实性、完整性，任何对程序的修改都</w:t>
      </w:r>
      <w:r>
        <w:rPr>
          <w:rFonts w:ascii="黑体" w:hAnsi="黑体" w:cs="黑体" w:eastAsia="黑体" w:hint="default"/>
          <w:w w:val="99"/>
          <w:sz w:val="22"/>
          <w:szCs w:val="22"/>
        </w:rPr>
        <w:t> </w:t>
      </w:r>
      <w:r>
        <w:rPr>
          <w:rFonts w:ascii="黑体" w:hAnsi="黑体" w:cs="黑体" w:eastAsia="黑体" w:hint="default"/>
          <w:sz w:val="22"/>
          <w:szCs w:val="22"/>
        </w:rPr>
        <w:t>应在严格的监控下发生。</w:t>
      </w:r>
    </w:p>
    <w:p>
      <w:pPr>
        <w:spacing w:before="90"/>
        <w:ind w:left="119" w:right="0" w:firstLine="0"/>
        <w:jc w:val="both"/>
        <w:rPr>
          <w:rFonts w:ascii="黑体" w:hAnsi="黑体" w:cs="黑体" w:eastAsia="黑体" w:hint="default"/>
          <w:sz w:val="22"/>
          <w:szCs w:val="22"/>
        </w:rPr>
      </w:pPr>
      <w:r>
        <w:rPr>
          <w:rFonts w:ascii="黑体" w:hAnsi="黑体" w:cs="黑体" w:eastAsia="黑体" w:hint="default"/>
          <w:sz w:val="22"/>
          <w:szCs w:val="22"/>
        </w:rPr>
        <w:t>开发和测试不分离将难于发现程序开发当中出现的问题。</w:t>
      </w:r>
    </w:p>
    <w:p>
      <w:pPr>
        <w:spacing w:line="286" w:lineRule="exact" w:before="146"/>
        <w:ind w:left="119" w:right="101" w:firstLine="0"/>
        <w:jc w:val="both"/>
        <w:rPr>
          <w:rFonts w:ascii="黑体" w:hAnsi="黑体" w:cs="黑体" w:eastAsia="黑体" w:hint="default"/>
          <w:sz w:val="22"/>
          <w:szCs w:val="22"/>
        </w:rPr>
      </w:pPr>
      <w:r>
        <w:rPr>
          <w:rFonts w:ascii="黑体" w:hAnsi="黑体" w:cs="黑体" w:eastAsia="黑体" w:hint="default"/>
          <w:sz w:val="22"/>
          <w:szCs w:val="22"/>
        </w:rPr>
        <w:t>因为开发人员对程序和数据结构都比较了解，如果不限制开发人员对生产环境的访问，将会增</w:t>
      </w:r>
      <w:r>
        <w:rPr>
          <w:rFonts w:ascii="黑体" w:hAnsi="黑体" w:cs="黑体" w:eastAsia="黑体" w:hint="default"/>
          <w:w w:val="99"/>
          <w:sz w:val="22"/>
          <w:szCs w:val="22"/>
        </w:rPr>
        <w:t> </w:t>
      </w:r>
      <w:r>
        <w:rPr>
          <w:rFonts w:ascii="黑体" w:hAnsi="黑体" w:cs="黑体" w:eastAsia="黑体" w:hint="default"/>
          <w:sz w:val="22"/>
          <w:szCs w:val="22"/>
        </w:rPr>
        <w:t>加程序和数据未经授权而被修改的风险。</w:t>
      </w:r>
    </w:p>
    <w:p>
      <w:pPr>
        <w:spacing w:line="240" w:lineRule="auto" w:before="0"/>
        <w:rPr>
          <w:rFonts w:ascii="黑体" w:hAnsi="黑体" w:cs="黑体" w:eastAsia="黑体" w:hint="default"/>
          <w:sz w:val="22"/>
          <w:szCs w:val="22"/>
        </w:rPr>
      </w:pPr>
    </w:p>
    <w:p>
      <w:pPr>
        <w:spacing w:line="240" w:lineRule="auto" w:before="10"/>
        <w:rPr>
          <w:rFonts w:ascii="黑体" w:hAnsi="黑体" w:cs="黑体" w:eastAsia="黑体" w:hint="default"/>
          <w:sz w:val="31"/>
          <w:szCs w:val="31"/>
        </w:rPr>
      </w:pPr>
    </w:p>
    <w:p>
      <w:pPr>
        <w:spacing w:before="0"/>
        <w:ind w:left="119"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我们的建</w:t>
      </w:r>
      <w:r>
        <w:rPr>
          <w:rFonts w:ascii="黑体" w:hAnsi="黑体" w:cs="黑体" w:eastAsia="黑体" w:hint="default"/>
          <w:b/>
          <w:bCs/>
          <w:spacing w:val="-76"/>
          <w:sz w:val="22"/>
          <w:szCs w:val="22"/>
        </w:rPr>
        <w:t> </w:t>
      </w:r>
      <w:r>
        <w:rPr>
          <w:rFonts w:ascii="黑体" w:hAnsi="黑体" w:cs="黑体" w:eastAsia="黑体" w:hint="default"/>
          <w:b/>
          <w:bCs/>
          <w:sz w:val="22"/>
          <w:szCs w:val="22"/>
        </w:rPr>
        <w:t>议</w:t>
      </w:r>
      <w:r>
        <w:rPr>
          <w:rFonts w:ascii="黑体" w:hAnsi="黑体" w:cs="黑体" w:eastAsia="黑体" w:hint="default"/>
          <w:sz w:val="22"/>
          <w:szCs w:val="22"/>
        </w:rPr>
      </w:r>
    </w:p>
    <w:p>
      <w:pPr>
        <w:spacing w:line="286" w:lineRule="exact" w:before="146"/>
        <w:ind w:left="119" w:right="98" w:firstLine="0"/>
        <w:jc w:val="both"/>
        <w:rPr>
          <w:rFonts w:ascii="黑体" w:hAnsi="黑体" w:cs="黑体" w:eastAsia="黑体" w:hint="default"/>
          <w:sz w:val="22"/>
          <w:szCs w:val="22"/>
        </w:rPr>
      </w:pPr>
      <w:r>
        <w:rPr>
          <w:rFonts w:ascii="黑体" w:hAnsi="黑体" w:cs="黑体" w:eastAsia="黑体" w:hint="default"/>
          <w:sz w:val="22"/>
          <w:szCs w:val="22"/>
        </w:rPr>
        <w:t>我们建议贵公司总部信息科技部加强程序变更管理，制定一套完善的程序变更制度，并严格按</w:t>
      </w:r>
      <w:r>
        <w:rPr>
          <w:rFonts w:ascii="黑体" w:hAnsi="黑体" w:cs="黑体" w:eastAsia="黑体" w:hint="default"/>
          <w:w w:val="99"/>
          <w:sz w:val="22"/>
          <w:szCs w:val="22"/>
        </w:rPr>
        <w:t> </w:t>
      </w:r>
      <w:r>
        <w:rPr>
          <w:rFonts w:ascii="黑体" w:hAnsi="黑体" w:cs="黑体" w:eastAsia="黑体" w:hint="default"/>
          <w:sz w:val="22"/>
          <w:szCs w:val="22"/>
        </w:rPr>
        <w:t>照完善的变更流程来执行。实现程序变更上的职责分离，即程序的开发、测试以及上线应该由</w:t>
      </w:r>
      <w:r>
        <w:rPr>
          <w:rFonts w:ascii="黑体" w:hAnsi="黑体" w:cs="黑体" w:eastAsia="黑体" w:hint="default"/>
          <w:w w:val="99"/>
          <w:sz w:val="22"/>
          <w:szCs w:val="22"/>
        </w:rPr>
        <w:t> </w:t>
      </w:r>
      <w:r>
        <w:rPr>
          <w:rFonts w:ascii="黑体" w:hAnsi="黑体" w:cs="黑体" w:eastAsia="黑体" w:hint="default"/>
          <w:sz w:val="22"/>
          <w:szCs w:val="22"/>
        </w:rPr>
        <w:t>不同的人负责。</w:t>
      </w:r>
    </w:p>
    <w:p>
      <w:pPr>
        <w:spacing w:line="240" w:lineRule="auto" w:before="0"/>
        <w:rPr>
          <w:rFonts w:ascii="黑体" w:hAnsi="黑体" w:cs="黑体" w:eastAsia="黑体" w:hint="default"/>
          <w:sz w:val="22"/>
          <w:szCs w:val="22"/>
        </w:rPr>
      </w:pPr>
    </w:p>
    <w:p>
      <w:pPr>
        <w:spacing w:line="240" w:lineRule="auto" w:before="10"/>
        <w:rPr>
          <w:rFonts w:ascii="黑体" w:hAnsi="黑体" w:cs="黑体" w:eastAsia="黑体" w:hint="default"/>
          <w:sz w:val="31"/>
          <w:szCs w:val="31"/>
        </w:rPr>
      </w:pPr>
    </w:p>
    <w:p>
      <w:pPr>
        <w:spacing w:before="0"/>
        <w:ind w:left="119"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管理层回</w:t>
      </w:r>
      <w:r>
        <w:rPr>
          <w:rFonts w:ascii="黑体" w:hAnsi="黑体" w:cs="黑体" w:eastAsia="黑体" w:hint="default"/>
          <w:b/>
          <w:bCs/>
          <w:spacing w:val="-76"/>
          <w:sz w:val="22"/>
          <w:szCs w:val="22"/>
        </w:rPr>
        <w:t> </w:t>
      </w:r>
      <w:r>
        <w:rPr>
          <w:rFonts w:ascii="黑体" w:hAnsi="黑体" w:cs="黑体" w:eastAsia="黑体" w:hint="default"/>
          <w:b/>
          <w:bCs/>
          <w:sz w:val="22"/>
          <w:szCs w:val="22"/>
        </w:rPr>
        <w:t>复</w:t>
      </w:r>
      <w:r>
        <w:rPr>
          <w:rFonts w:ascii="黑体" w:hAnsi="黑体" w:cs="黑体" w:eastAsia="黑体" w:hint="default"/>
          <w:sz w:val="22"/>
          <w:szCs w:val="22"/>
        </w:rPr>
      </w:r>
    </w:p>
    <w:p>
      <w:pPr>
        <w:spacing w:line="286" w:lineRule="exact" w:before="146"/>
        <w:ind w:left="119" w:right="101" w:firstLine="0"/>
        <w:jc w:val="both"/>
        <w:rPr>
          <w:rFonts w:ascii="黑体" w:hAnsi="黑体" w:cs="黑体" w:eastAsia="黑体" w:hint="default"/>
          <w:sz w:val="22"/>
          <w:szCs w:val="22"/>
        </w:rPr>
      </w:pPr>
      <w:r>
        <w:rPr>
          <w:rFonts w:ascii="黑体" w:hAnsi="黑体" w:cs="黑体" w:eastAsia="黑体" w:hint="default"/>
          <w:sz w:val="22"/>
          <w:szCs w:val="22"/>
        </w:rPr>
        <w:t>结合企业实际及安永建议进一步在内部开发及程序变更管理上加强内部控制，从开发管理到发</w:t>
      </w:r>
      <w:r>
        <w:rPr>
          <w:rFonts w:ascii="黑体" w:hAnsi="黑体" w:cs="黑体" w:eastAsia="黑体" w:hint="default"/>
          <w:w w:val="99"/>
          <w:sz w:val="22"/>
          <w:szCs w:val="22"/>
        </w:rPr>
        <w:t> </w:t>
      </w:r>
      <w:r>
        <w:rPr>
          <w:rFonts w:ascii="黑体" w:hAnsi="黑体" w:cs="黑体" w:eastAsia="黑体" w:hint="default"/>
          <w:sz w:val="22"/>
          <w:szCs w:val="22"/>
        </w:rPr>
        <w:t>布及应用管理捉到逐级控制，确保数据安全。</w:t>
      </w:r>
    </w:p>
    <w:p>
      <w:pPr>
        <w:spacing w:after="0" w:line="286" w:lineRule="exact"/>
        <w:jc w:val="both"/>
        <w:rPr>
          <w:rFonts w:ascii="黑体" w:hAnsi="黑体" w:cs="黑体" w:eastAsia="黑体" w:hint="default"/>
          <w:sz w:val="22"/>
          <w:szCs w:val="22"/>
        </w:rPr>
        <w:sectPr>
          <w:headerReference w:type="default" r:id="rId123"/>
          <w:footerReference w:type="default" r:id="rId124"/>
          <w:pgSz w:w="11910" w:h="16840"/>
          <w:pgMar w:header="1955" w:footer="769" w:top="2180" w:bottom="960" w:left="1320" w:right="1340"/>
          <w:pgNumType w:start="27"/>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5"/>
          <w:szCs w:val="15"/>
        </w:rPr>
      </w:pPr>
    </w:p>
    <w:p>
      <w:pPr>
        <w:spacing w:before="0"/>
        <w:ind w:left="100" w:right="104" w:firstLine="0"/>
        <w:jc w:val="left"/>
        <w:rPr>
          <w:rFonts w:ascii="黑体" w:hAnsi="黑体" w:cs="黑体" w:eastAsia="黑体" w:hint="default"/>
          <w:sz w:val="22"/>
          <w:szCs w:val="22"/>
        </w:rPr>
      </w:pPr>
      <w:bookmarkStart w:name="_bookmark15" w:id="37"/>
      <w:bookmarkEnd w:id="37"/>
      <w:r>
        <w:rPr/>
      </w:r>
      <w:r>
        <w:rPr>
          <w:rFonts w:ascii="黑体" w:hAnsi="黑体" w:cs="黑体" w:eastAsia="黑体" w:hint="default"/>
          <w:b/>
          <w:bCs/>
          <w:spacing w:val="30"/>
          <w:sz w:val="22"/>
          <w:szCs w:val="22"/>
        </w:rPr>
        <w:t>观察所得</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86" w:lineRule="exact" w:before="146"/>
        <w:ind w:left="100" w:right="104" w:hanging="1"/>
        <w:jc w:val="left"/>
        <w:rPr>
          <w:rFonts w:ascii="黑体" w:hAnsi="黑体" w:cs="黑体" w:eastAsia="黑体" w:hint="default"/>
          <w:sz w:val="22"/>
          <w:szCs w:val="22"/>
        </w:rPr>
      </w:pPr>
      <w:r>
        <w:rPr>
          <w:rFonts w:ascii="黑体" w:hAnsi="黑体" w:cs="黑体" w:eastAsia="黑体" w:hint="default"/>
          <w:sz w:val="22"/>
          <w:szCs w:val="22"/>
        </w:rPr>
        <w:t>根据我们的了解，贵公司目前针对</w:t>
      </w:r>
      <w:r>
        <w:rPr>
          <w:rFonts w:ascii="黑体" w:hAnsi="黑体" w:cs="黑体" w:eastAsia="黑体" w:hint="default"/>
          <w:spacing w:val="-55"/>
          <w:sz w:val="22"/>
          <w:szCs w:val="22"/>
        </w:rPr>
        <w:t> </w:t>
      </w:r>
      <w:r>
        <w:rPr>
          <w:rFonts w:ascii="Arial" w:hAnsi="Arial" w:cs="Arial" w:eastAsia="Arial" w:hint="default"/>
          <w:sz w:val="22"/>
          <w:szCs w:val="22"/>
        </w:rPr>
        <w:t>NC</w:t>
      </w:r>
      <w:r>
        <w:rPr>
          <w:rFonts w:ascii="Arial" w:hAnsi="Arial" w:cs="Arial" w:eastAsia="Arial" w:hint="default"/>
          <w:spacing w:val="-13"/>
          <w:sz w:val="22"/>
          <w:szCs w:val="22"/>
        </w:rPr>
        <w:t> </w:t>
      </w:r>
      <w:r>
        <w:rPr>
          <w:rFonts w:ascii="黑体" w:hAnsi="黑体" w:cs="黑体" w:eastAsia="黑体" w:hint="default"/>
          <w:sz w:val="22"/>
          <w:szCs w:val="22"/>
        </w:rPr>
        <w:t>系统、商务生产系统和</w:t>
      </w:r>
      <w:r>
        <w:rPr>
          <w:rFonts w:ascii="黑体" w:hAnsi="黑体" w:cs="黑体" w:eastAsia="黑体" w:hint="default"/>
          <w:spacing w:val="-56"/>
          <w:sz w:val="22"/>
          <w:szCs w:val="22"/>
        </w:rPr>
        <w:t> </w:t>
      </w:r>
      <w:r>
        <w:rPr>
          <w:rFonts w:ascii="Arial" w:hAnsi="Arial" w:cs="Arial" w:eastAsia="Arial" w:hint="default"/>
          <w:sz w:val="22"/>
          <w:szCs w:val="22"/>
        </w:rPr>
        <w:t>U8</w:t>
      </w:r>
      <w:r>
        <w:rPr>
          <w:rFonts w:ascii="Arial" w:hAnsi="Arial" w:cs="Arial" w:eastAsia="Arial" w:hint="default"/>
          <w:spacing w:val="-13"/>
          <w:sz w:val="22"/>
          <w:szCs w:val="22"/>
        </w:rPr>
        <w:t> </w:t>
      </w:r>
      <w:r>
        <w:rPr>
          <w:rFonts w:ascii="黑体" w:hAnsi="黑体" w:cs="黑体" w:eastAsia="黑体" w:hint="default"/>
          <w:sz w:val="22"/>
          <w:szCs w:val="22"/>
        </w:rPr>
        <w:t>系统的普通用户账号及权</w:t>
      </w:r>
      <w:r>
        <w:rPr>
          <w:rFonts w:ascii="黑体" w:hAnsi="黑体" w:cs="黑体" w:eastAsia="黑体" w:hint="default"/>
          <w:w w:val="99"/>
          <w:sz w:val="22"/>
          <w:szCs w:val="22"/>
        </w:rPr>
        <w:t> </w:t>
      </w:r>
      <w:r>
        <w:rPr>
          <w:rFonts w:ascii="黑体" w:hAnsi="黑体" w:cs="黑体" w:eastAsia="黑体" w:hint="default"/>
          <w:sz w:val="22"/>
          <w:szCs w:val="22"/>
        </w:rPr>
        <w:t>限，和超级用户账号及权限的维护没有建立规范的申请流程及文档保存制度。主要存在以下不</w:t>
      </w:r>
      <w:r>
        <w:rPr>
          <w:rFonts w:ascii="黑体" w:hAnsi="黑体" w:cs="黑体" w:eastAsia="黑体" w:hint="default"/>
          <w:w w:val="99"/>
          <w:sz w:val="22"/>
          <w:szCs w:val="22"/>
        </w:rPr>
        <w:t> </w:t>
      </w:r>
      <w:r>
        <w:rPr>
          <w:rFonts w:ascii="黑体" w:hAnsi="黑体" w:cs="黑体" w:eastAsia="黑体" w:hint="default"/>
          <w:sz w:val="22"/>
          <w:szCs w:val="22"/>
        </w:rPr>
        <w:t>足：</w:t>
      </w:r>
    </w:p>
    <w:p>
      <w:pPr>
        <w:spacing w:before="90"/>
        <w:ind w:left="457" w:right="104" w:firstLine="0"/>
        <w:jc w:val="left"/>
        <w:rPr>
          <w:rFonts w:ascii="黑体" w:hAnsi="黑体" w:cs="黑体" w:eastAsia="黑体" w:hint="default"/>
          <w:sz w:val="22"/>
          <w:szCs w:val="22"/>
        </w:rPr>
      </w:pPr>
      <w:r>
        <w:rPr>
          <w:rFonts w:ascii="黑体" w:hAnsi="黑体" w:cs="黑体" w:eastAsia="黑体" w:hint="default"/>
          <w:b/>
          <w:bCs/>
          <w:sz w:val="22"/>
          <w:szCs w:val="22"/>
        </w:rPr>
        <w:t>总部</w:t>
      </w:r>
      <w:r>
        <w:rPr>
          <w:rFonts w:ascii="黑体" w:hAnsi="黑体" w:cs="黑体" w:eastAsia="黑体" w:hint="default"/>
          <w:sz w:val="22"/>
          <w:szCs w:val="22"/>
        </w:rPr>
      </w:r>
    </w:p>
    <w:p>
      <w:pPr>
        <w:tabs>
          <w:tab w:pos="1179" w:val="left" w:leader="none"/>
        </w:tabs>
        <w:spacing w:line="286" w:lineRule="exact" w:before="146"/>
        <w:ind w:left="1177" w:right="113" w:hanging="358"/>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tab/>
      </w:r>
      <w:r>
        <w:rPr>
          <w:rFonts w:ascii="黑体" w:hAnsi="黑体" w:cs="黑体" w:eastAsia="黑体" w:hint="default"/>
          <w:sz w:val="22"/>
          <w:szCs w:val="22"/>
        </w:rPr>
        <w:t>商务生产系统由系统管理员管理账号，目前贵公司没有建立正式的用户账号和权限</w:t>
      </w:r>
      <w:r>
        <w:rPr>
          <w:rFonts w:ascii="黑体" w:hAnsi="黑体" w:cs="黑体" w:eastAsia="黑体" w:hint="default"/>
          <w:spacing w:val="-89"/>
          <w:sz w:val="22"/>
          <w:szCs w:val="22"/>
        </w:rPr>
        <w:t> </w:t>
      </w:r>
      <w:r>
        <w:rPr>
          <w:rFonts w:ascii="黑体" w:hAnsi="黑体" w:cs="黑体" w:eastAsia="黑体" w:hint="default"/>
          <w:sz w:val="22"/>
          <w:szCs w:val="22"/>
        </w:rPr>
        <w:t>申请及审批制度；</w:t>
      </w:r>
    </w:p>
    <w:p>
      <w:pPr>
        <w:tabs>
          <w:tab w:pos="1179" w:val="left" w:leader="none"/>
        </w:tabs>
        <w:spacing w:line="284" w:lineRule="exact" w:before="1"/>
        <w:ind w:left="1177" w:right="115" w:hanging="358"/>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tab/>
      </w:r>
      <w:r>
        <w:rPr>
          <w:rFonts w:ascii="黑体" w:hAnsi="黑体" w:cs="黑体" w:eastAsia="黑体" w:hint="default"/>
          <w:sz w:val="22"/>
          <w:szCs w:val="22"/>
        </w:rPr>
        <w:t>对于 </w:t>
      </w:r>
      <w:r>
        <w:rPr>
          <w:rFonts w:ascii="Arial" w:hAnsi="Arial" w:cs="Arial" w:eastAsia="Arial" w:hint="default"/>
          <w:sz w:val="22"/>
          <w:szCs w:val="22"/>
        </w:rPr>
        <w:t>NC </w:t>
      </w:r>
      <w:r>
        <w:rPr>
          <w:rFonts w:ascii="黑体" w:hAnsi="黑体" w:cs="黑体" w:eastAsia="黑体" w:hint="default"/>
          <w:sz w:val="22"/>
          <w:szCs w:val="22"/>
        </w:rPr>
        <w:t>和商务生产系统，我们发现，企业用户部门和 </w:t>
      </w:r>
      <w:r>
        <w:rPr>
          <w:rFonts w:ascii="Arial" w:hAnsi="Arial" w:cs="Arial" w:eastAsia="Arial" w:hint="default"/>
          <w:sz w:val="22"/>
          <w:szCs w:val="22"/>
        </w:rPr>
        <w:t>IT</w:t>
      </w:r>
      <w:r>
        <w:rPr>
          <w:rFonts w:ascii="Arial" w:hAnsi="Arial" w:cs="Arial" w:eastAsia="Arial" w:hint="default"/>
          <w:spacing w:val="46"/>
          <w:sz w:val="22"/>
          <w:szCs w:val="22"/>
        </w:rPr>
        <w:t> </w:t>
      </w:r>
      <w:r>
        <w:rPr>
          <w:rFonts w:ascii="黑体" w:hAnsi="黑体" w:cs="黑体" w:eastAsia="黑体" w:hint="default"/>
          <w:sz w:val="22"/>
          <w:szCs w:val="22"/>
        </w:rPr>
        <w:t>部门的管理层没有定期</w:t>
      </w:r>
      <w:r>
        <w:rPr>
          <w:rFonts w:ascii="黑体" w:hAnsi="黑体" w:cs="黑体" w:eastAsia="黑体" w:hint="default"/>
          <w:w w:val="99"/>
          <w:sz w:val="22"/>
          <w:szCs w:val="22"/>
        </w:rPr>
        <w:t> </w:t>
      </w:r>
      <w:r>
        <w:rPr>
          <w:rFonts w:ascii="黑体" w:hAnsi="黑体" w:cs="黑体" w:eastAsia="黑体" w:hint="default"/>
          <w:sz w:val="22"/>
          <w:szCs w:val="22"/>
        </w:rPr>
        <w:t>对账号进行审阅。系统管理员和其他授权用户在关键系统和服务器的操作被记录在</w:t>
      </w:r>
    </w:p>
    <w:p>
      <w:pPr>
        <w:spacing w:line="258" w:lineRule="exact" w:before="0"/>
        <w:ind w:left="1177" w:right="104" w:firstLine="0"/>
        <w:jc w:val="left"/>
        <w:rPr>
          <w:rFonts w:ascii="黑体" w:hAnsi="黑体" w:cs="黑体" w:eastAsia="黑体" w:hint="default"/>
          <w:sz w:val="22"/>
          <w:szCs w:val="22"/>
        </w:rPr>
      </w:pPr>
      <w:r>
        <w:rPr>
          <w:rFonts w:ascii="黑体" w:hAnsi="黑体" w:cs="黑体" w:eastAsia="黑体" w:hint="default"/>
          <w:sz w:val="22"/>
          <w:szCs w:val="22"/>
        </w:rPr>
        <w:t>日志中，但没有保留检查报告；</w:t>
      </w:r>
    </w:p>
    <w:p>
      <w:pPr>
        <w:tabs>
          <w:tab w:pos="1180" w:val="left" w:leader="none"/>
        </w:tabs>
        <w:spacing w:line="286" w:lineRule="exact" w:before="27"/>
        <w:ind w:left="1177" w:right="112" w:hanging="358"/>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tab/>
      </w:r>
      <w:r>
        <w:rPr>
          <w:rFonts w:ascii="Arial" w:hAnsi="Arial" w:cs="Arial" w:eastAsia="Arial" w:hint="default"/>
          <w:sz w:val="22"/>
          <w:szCs w:val="22"/>
        </w:rPr>
        <w:t>NC </w:t>
      </w:r>
      <w:r>
        <w:rPr>
          <w:rFonts w:ascii="Arial" w:hAnsi="Arial" w:cs="Arial" w:eastAsia="Arial" w:hint="default"/>
          <w:spacing w:val="16"/>
          <w:sz w:val="22"/>
          <w:szCs w:val="22"/>
        </w:rPr>
        <w:t> </w:t>
      </w:r>
      <w:r>
        <w:rPr>
          <w:rFonts w:ascii="黑体" w:hAnsi="黑体" w:cs="黑体" w:eastAsia="黑体" w:hint="default"/>
          <w:sz w:val="22"/>
          <w:szCs w:val="22"/>
        </w:rPr>
        <w:t>系统由系统管理员管理账号，对于分公司离职人员在系统中未做相应的妥善处</w:t>
      </w:r>
      <w:r>
        <w:rPr>
          <w:rFonts w:ascii="黑体" w:hAnsi="黑体" w:cs="黑体" w:eastAsia="黑体" w:hint="default"/>
          <w:spacing w:val="2"/>
          <w:w w:val="99"/>
          <w:sz w:val="22"/>
          <w:szCs w:val="22"/>
        </w:rPr>
        <w:t> </w:t>
      </w:r>
      <w:r>
        <w:rPr>
          <w:rFonts w:ascii="黑体" w:hAnsi="黑体" w:cs="黑体" w:eastAsia="黑体" w:hint="default"/>
          <w:sz w:val="22"/>
          <w:szCs w:val="22"/>
        </w:rPr>
        <w:t>理。</w:t>
      </w:r>
    </w:p>
    <w:p>
      <w:pPr>
        <w:tabs>
          <w:tab w:pos="1179" w:val="left" w:leader="none"/>
        </w:tabs>
        <w:spacing w:line="277" w:lineRule="exact" w:before="0"/>
        <w:ind w:left="820" w:right="104"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权责分离：</w:t>
      </w:r>
    </w:p>
    <w:p>
      <w:pPr>
        <w:spacing w:before="99"/>
        <w:ind w:left="820" w:right="104" w:firstLine="0"/>
        <w:jc w:val="left"/>
        <w:rPr>
          <w:rFonts w:ascii="Arial" w:hAnsi="Arial" w:cs="Arial" w:eastAsia="Arial" w:hint="default"/>
          <w:sz w:val="22"/>
          <w:szCs w:val="22"/>
        </w:rPr>
      </w:pPr>
      <w:r>
        <w:rPr>
          <w:rFonts w:ascii="Arial" w:hAnsi="Arial" w:cs="Arial" w:eastAsia="Arial" w:hint="default"/>
          <w:sz w:val="22"/>
          <w:szCs w:val="22"/>
        </w:rPr>
        <w:t>NC</w:t>
      </w:r>
      <w:r>
        <w:rPr>
          <w:rFonts w:ascii="Arial" w:hAnsi="Arial" w:cs="Arial" w:eastAsia="Arial" w:hint="default"/>
          <w:spacing w:val="-15"/>
          <w:sz w:val="22"/>
          <w:szCs w:val="22"/>
        </w:rPr>
        <w:t> </w:t>
      </w:r>
      <w:r>
        <w:rPr>
          <w:rFonts w:ascii="黑体" w:hAnsi="黑体" w:cs="黑体" w:eastAsia="黑体" w:hint="default"/>
          <w:sz w:val="22"/>
          <w:szCs w:val="22"/>
        </w:rPr>
        <w:t>系统</w:t>
      </w:r>
      <w:r>
        <w:rPr>
          <w:rFonts w:ascii="Arial" w:hAnsi="Arial" w:cs="Arial" w:eastAsia="Arial" w:hint="default"/>
          <w:sz w:val="22"/>
          <w:szCs w:val="22"/>
        </w:rPr>
        <w:t>:</w:t>
      </w:r>
    </w:p>
    <w:p>
      <w:pPr>
        <w:tabs>
          <w:tab w:pos="1788" w:val="left" w:leader="none"/>
        </w:tabs>
        <w:spacing w:line="304" w:lineRule="exact" w:before="102"/>
        <w:ind w:left="1428" w:right="104" w:firstLine="0"/>
        <w:jc w:val="left"/>
        <w:rPr>
          <w:rFonts w:ascii="黑体" w:hAnsi="黑体" w:cs="黑体" w:eastAsia="黑体" w:hint="default"/>
          <w:sz w:val="22"/>
          <w:szCs w:val="22"/>
        </w:rPr>
      </w:pPr>
      <w:r>
        <w:rPr>
          <w:rFonts w:ascii="Courier New" w:hAnsi="Courier New" w:cs="Courier New" w:eastAsia="Courier New" w:hint="default"/>
          <w:w w:val="95"/>
          <w:sz w:val="22"/>
          <w:szCs w:val="22"/>
        </w:rPr>
        <w:t>o</w:t>
        <w:tab/>
      </w:r>
      <w:r>
        <w:rPr>
          <w:rFonts w:ascii="黑体" w:hAnsi="黑体" w:cs="黑体" w:eastAsia="黑体" w:hint="default"/>
          <w:sz w:val="22"/>
          <w:szCs w:val="22"/>
        </w:rPr>
        <w:t>在</w:t>
      </w:r>
      <w:r>
        <w:rPr>
          <w:rFonts w:ascii="Arial" w:hAnsi="Arial" w:cs="Arial" w:eastAsia="Arial" w:hint="default"/>
          <w:sz w:val="22"/>
          <w:szCs w:val="22"/>
        </w:rPr>
        <w:t>NC</w:t>
      </w:r>
      <w:r>
        <w:rPr>
          <w:rFonts w:ascii="黑体" w:hAnsi="黑体" w:cs="黑体" w:eastAsia="黑体" w:hint="default"/>
          <w:sz w:val="22"/>
          <w:szCs w:val="22"/>
        </w:rPr>
        <w:t>系统中，发现一人具有多个账号的现象；</w:t>
      </w:r>
    </w:p>
    <w:p>
      <w:pPr>
        <w:spacing w:line="286" w:lineRule="exact" w:before="9"/>
        <w:ind w:left="1788" w:right="119" w:hanging="360"/>
        <w:jc w:val="both"/>
        <w:rPr>
          <w:rFonts w:ascii="黑体" w:hAnsi="黑体" w:cs="黑体" w:eastAsia="黑体" w:hint="default"/>
          <w:sz w:val="22"/>
          <w:szCs w:val="22"/>
        </w:rPr>
      </w:pPr>
      <w:r>
        <w:rPr>
          <w:rFonts w:ascii="Courier New" w:hAnsi="Courier New" w:cs="Courier New" w:eastAsia="Courier New" w:hint="default"/>
          <w:sz w:val="22"/>
          <w:szCs w:val="22"/>
        </w:rPr>
        <w:t>o</w:t>
      </w:r>
      <w:r>
        <w:rPr>
          <w:rFonts w:ascii="Courier New" w:hAnsi="Courier New" w:cs="Courier New" w:eastAsia="Courier New" w:hint="default"/>
          <w:spacing w:val="110"/>
          <w:sz w:val="22"/>
          <w:szCs w:val="22"/>
        </w:rPr>
        <w:t> </w:t>
      </w:r>
      <w:r>
        <w:rPr>
          <w:rFonts w:ascii="黑体" w:hAnsi="黑体" w:cs="黑体" w:eastAsia="黑体" w:hint="default"/>
          <w:spacing w:val="5"/>
          <w:sz w:val="22"/>
          <w:szCs w:val="22"/>
        </w:rPr>
        <w:t>在</w:t>
      </w:r>
      <w:r>
        <w:rPr>
          <w:rFonts w:ascii="Arial" w:hAnsi="Arial" w:cs="Arial" w:eastAsia="Arial" w:hint="default"/>
          <w:spacing w:val="5"/>
          <w:sz w:val="22"/>
          <w:szCs w:val="22"/>
        </w:rPr>
        <w:t>NC</w:t>
      </w:r>
      <w:r>
        <w:rPr>
          <w:rFonts w:ascii="黑体" w:hAnsi="黑体" w:cs="黑体" w:eastAsia="黑体" w:hint="default"/>
          <w:spacing w:val="5"/>
          <w:sz w:val="22"/>
          <w:szCs w:val="22"/>
        </w:rPr>
        <w:t>系统总账凭证记录中，存在制单人和审批人是同一人的现象（多存在</w:t>
      </w:r>
      <w:r>
        <w:rPr>
          <w:rFonts w:ascii="黑体" w:hAnsi="黑体" w:cs="黑体" w:eastAsia="黑体" w:hint="default"/>
          <w:w w:val="99"/>
          <w:sz w:val="22"/>
          <w:szCs w:val="22"/>
        </w:rPr>
        <w:t> </w:t>
      </w:r>
      <w:r>
        <w:rPr>
          <w:rFonts w:ascii="黑体" w:hAnsi="黑体" w:cs="黑体" w:eastAsia="黑体" w:hint="default"/>
          <w:sz w:val="22"/>
          <w:szCs w:val="22"/>
        </w:rPr>
        <w:t>于有审批权限的用户中）；</w:t>
      </w:r>
    </w:p>
    <w:p>
      <w:pPr>
        <w:spacing w:line="211" w:lineRule="auto" w:before="1"/>
        <w:ind w:left="1788" w:right="116" w:hanging="361"/>
        <w:jc w:val="both"/>
        <w:rPr>
          <w:rFonts w:ascii="黑体" w:hAnsi="黑体" w:cs="黑体" w:eastAsia="黑体" w:hint="default"/>
          <w:sz w:val="22"/>
          <w:szCs w:val="22"/>
        </w:rPr>
      </w:pPr>
      <w:r>
        <w:rPr>
          <w:rFonts w:ascii="Courier New" w:hAnsi="Courier New" w:cs="Courier New" w:eastAsia="Courier New" w:hint="default"/>
          <w:sz w:val="22"/>
          <w:szCs w:val="22"/>
        </w:rPr>
        <w:t>o</w:t>
      </w:r>
      <w:r>
        <w:rPr>
          <w:rFonts w:ascii="Courier New" w:hAnsi="Courier New" w:cs="Courier New" w:eastAsia="Courier New" w:hint="default"/>
          <w:spacing w:val="106"/>
          <w:sz w:val="22"/>
          <w:szCs w:val="22"/>
        </w:rPr>
        <w:t> </w:t>
      </w:r>
      <w:r>
        <w:rPr>
          <w:rFonts w:ascii="Arial" w:hAnsi="Arial" w:cs="Arial" w:eastAsia="Arial" w:hint="default"/>
          <w:spacing w:val="2"/>
          <w:sz w:val="22"/>
          <w:szCs w:val="22"/>
        </w:rPr>
        <w:t>NC</w:t>
      </w:r>
      <w:r>
        <w:rPr>
          <w:rFonts w:ascii="黑体" w:hAnsi="黑体" w:cs="黑体" w:eastAsia="黑体" w:hint="default"/>
          <w:spacing w:val="2"/>
          <w:sz w:val="22"/>
          <w:szCs w:val="22"/>
        </w:rPr>
        <w:t>系统的账号管理由</w:t>
      </w:r>
      <w:r>
        <w:rPr>
          <w:rFonts w:ascii="Arial" w:hAnsi="Arial" w:cs="Arial" w:eastAsia="Arial" w:hint="default"/>
          <w:spacing w:val="2"/>
          <w:sz w:val="22"/>
          <w:szCs w:val="22"/>
        </w:rPr>
        <w:t>NC</w:t>
      </w:r>
      <w:r>
        <w:rPr>
          <w:rFonts w:ascii="黑体" w:hAnsi="黑体" w:cs="黑体" w:eastAsia="黑体" w:hint="default"/>
          <w:spacing w:val="2"/>
          <w:sz w:val="22"/>
          <w:szCs w:val="22"/>
        </w:rPr>
        <w:t>应用系统管理员一人管理，包括设置访问的职责和</w:t>
      </w:r>
      <w:r>
        <w:rPr>
          <w:rFonts w:ascii="黑体" w:hAnsi="黑体" w:cs="黑体" w:eastAsia="黑体" w:hint="default"/>
          <w:w w:val="99"/>
          <w:sz w:val="22"/>
          <w:szCs w:val="22"/>
        </w:rPr>
        <w:t> </w:t>
      </w:r>
      <w:r>
        <w:rPr>
          <w:rFonts w:ascii="黑体" w:hAnsi="黑体" w:cs="黑体" w:eastAsia="黑体" w:hint="default"/>
          <w:sz w:val="22"/>
          <w:szCs w:val="22"/>
        </w:rPr>
        <w:t>监督试图非法访问的职责；该应用系统管理员同时具有数据库管理权限。</w:t>
      </w:r>
    </w:p>
    <w:p>
      <w:pPr>
        <w:spacing w:line="240" w:lineRule="auto" w:before="8"/>
        <w:rPr>
          <w:rFonts w:ascii="黑体" w:hAnsi="黑体" w:cs="黑体" w:eastAsia="黑体" w:hint="default"/>
          <w:sz w:val="28"/>
          <w:szCs w:val="28"/>
        </w:rPr>
      </w:pPr>
    </w:p>
    <w:p>
      <w:pPr>
        <w:spacing w:before="0"/>
        <w:ind w:left="820" w:right="104" w:firstLine="0"/>
        <w:jc w:val="left"/>
        <w:rPr>
          <w:rFonts w:ascii="Arial" w:hAnsi="Arial" w:cs="Arial" w:eastAsia="Arial" w:hint="default"/>
          <w:sz w:val="22"/>
          <w:szCs w:val="22"/>
        </w:rPr>
      </w:pPr>
      <w:r>
        <w:rPr>
          <w:rFonts w:ascii="黑体" w:hAnsi="黑体" w:cs="黑体" w:eastAsia="黑体" w:hint="default"/>
          <w:sz w:val="22"/>
          <w:szCs w:val="22"/>
        </w:rPr>
        <w:t>商务生产系统</w:t>
      </w:r>
      <w:r>
        <w:rPr>
          <w:rFonts w:ascii="Arial" w:hAnsi="Arial" w:cs="Arial" w:eastAsia="Arial" w:hint="default"/>
          <w:sz w:val="22"/>
          <w:szCs w:val="22"/>
        </w:rPr>
        <w:t>:</w:t>
      </w:r>
    </w:p>
    <w:p>
      <w:pPr>
        <w:spacing w:line="286" w:lineRule="exact" w:before="129"/>
        <w:ind w:left="1788" w:right="114" w:hanging="360"/>
        <w:jc w:val="both"/>
        <w:rPr>
          <w:rFonts w:ascii="黑体" w:hAnsi="黑体" w:cs="黑体" w:eastAsia="黑体" w:hint="default"/>
          <w:sz w:val="22"/>
          <w:szCs w:val="22"/>
        </w:rPr>
      </w:pPr>
      <w:r>
        <w:rPr>
          <w:rFonts w:ascii="Courier New" w:hAnsi="Courier New" w:cs="Courier New" w:eastAsia="Courier New" w:hint="default"/>
          <w:sz w:val="22"/>
          <w:szCs w:val="22"/>
        </w:rPr>
        <w:t>o</w:t>
      </w:r>
      <w:r>
        <w:rPr>
          <w:rFonts w:ascii="Courier New" w:hAnsi="Courier New" w:cs="Courier New" w:eastAsia="Courier New" w:hint="default"/>
          <w:spacing w:val="94"/>
          <w:sz w:val="22"/>
          <w:szCs w:val="22"/>
        </w:rPr>
        <w:t> </w:t>
      </w:r>
      <w:r>
        <w:rPr>
          <w:rFonts w:ascii="黑体" w:hAnsi="黑体" w:cs="黑体" w:eastAsia="黑体" w:hint="default"/>
          <w:spacing w:val="2"/>
          <w:sz w:val="22"/>
          <w:szCs w:val="22"/>
        </w:rPr>
        <w:t>商务生产系统的应用系统管理员、数据库管理员及操作系统管理员是同一个</w:t>
      </w:r>
      <w:r>
        <w:rPr>
          <w:rFonts w:ascii="黑体" w:hAnsi="黑体" w:cs="黑体" w:eastAsia="黑体" w:hint="default"/>
          <w:spacing w:val="2"/>
          <w:w w:val="99"/>
          <w:sz w:val="22"/>
          <w:szCs w:val="22"/>
        </w:rPr>
        <w:t> </w:t>
      </w:r>
      <w:r>
        <w:rPr>
          <w:rFonts w:ascii="黑体" w:hAnsi="黑体" w:cs="黑体" w:eastAsia="黑体" w:hint="default"/>
          <w:sz w:val="22"/>
          <w:szCs w:val="22"/>
        </w:rPr>
        <w:t>人。</w:t>
      </w:r>
    </w:p>
    <w:p>
      <w:pPr>
        <w:spacing w:line="286" w:lineRule="exact" w:before="0"/>
        <w:ind w:left="1788" w:right="119" w:hanging="361"/>
        <w:jc w:val="both"/>
        <w:rPr>
          <w:rFonts w:ascii="黑体" w:hAnsi="黑体" w:cs="黑体" w:eastAsia="黑体" w:hint="default"/>
          <w:sz w:val="22"/>
          <w:szCs w:val="22"/>
        </w:rPr>
      </w:pPr>
      <w:r>
        <w:rPr>
          <w:rFonts w:ascii="Courier New" w:hAnsi="Courier New" w:cs="Courier New" w:eastAsia="Courier New" w:hint="default"/>
          <w:sz w:val="22"/>
          <w:szCs w:val="22"/>
        </w:rPr>
        <w:t>o</w:t>
      </w:r>
      <w:r>
        <w:rPr>
          <w:rFonts w:ascii="Courier New" w:hAnsi="Courier New" w:cs="Courier New" w:eastAsia="Courier New" w:hint="default"/>
          <w:spacing w:val="110"/>
          <w:sz w:val="22"/>
          <w:szCs w:val="22"/>
        </w:rPr>
        <w:t> </w:t>
      </w:r>
      <w:r>
        <w:rPr>
          <w:rFonts w:ascii="Arial" w:hAnsi="Arial" w:cs="Arial" w:eastAsia="Arial" w:hint="default"/>
          <w:spacing w:val="5"/>
          <w:sz w:val="22"/>
          <w:szCs w:val="22"/>
        </w:rPr>
        <w:t>PO</w:t>
      </w:r>
      <w:r>
        <w:rPr>
          <w:rFonts w:ascii="黑体" w:hAnsi="黑体" w:cs="黑体" w:eastAsia="黑体" w:hint="default"/>
          <w:spacing w:val="5"/>
          <w:sz w:val="22"/>
          <w:szCs w:val="22"/>
        </w:rPr>
        <w:t>系统的使用权限由商务部门经理一人管理，而且没有相关规章制度来遵</w:t>
      </w:r>
      <w:r>
        <w:rPr>
          <w:rFonts w:ascii="黑体" w:hAnsi="黑体" w:cs="黑体" w:eastAsia="黑体" w:hint="default"/>
          <w:w w:val="99"/>
          <w:sz w:val="22"/>
          <w:szCs w:val="22"/>
        </w:rPr>
        <w:t> </w:t>
      </w:r>
      <w:r>
        <w:rPr>
          <w:rFonts w:ascii="黑体" w:hAnsi="黑体" w:cs="黑体" w:eastAsia="黑体" w:hint="default"/>
          <w:sz w:val="22"/>
          <w:szCs w:val="22"/>
        </w:rPr>
        <w:t>循，也没有任何申请及审批纪录。</w:t>
      </w:r>
    </w:p>
    <w:p>
      <w:pPr>
        <w:spacing w:line="218" w:lineRule="auto" w:before="0"/>
        <w:ind w:left="1788" w:right="118" w:hanging="360"/>
        <w:jc w:val="both"/>
        <w:rPr>
          <w:rFonts w:ascii="黑体" w:hAnsi="黑体" w:cs="黑体" w:eastAsia="黑体" w:hint="default"/>
          <w:sz w:val="22"/>
          <w:szCs w:val="22"/>
        </w:rPr>
      </w:pPr>
      <w:r>
        <w:rPr>
          <w:rFonts w:ascii="Courier New" w:hAnsi="Courier New" w:cs="Courier New" w:eastAsia="Courier New" w:hint="default"/>
          <w:sz w:val="22"/>
          <w:szCs w:val="22"/>
        </w:rPr>
        <w:t>o</w:t>
      </w:r>
      <w:r>
        <w:rPr>
          <w:rFonts w:ascii="Courier New" w:hAnsi="Courier New" w:cs="Courier New" w:eastAsia="Courier New" w:hint="default"/>
          <w:spacing w:val="110"/>
          <w:sz w:val="22"/>
          <w:szCs w:val="22"/>
        </w:rPr>
        <w:t> </w:t>
      </w:r>
      <w:r>
        <w:rPr>
          <w:rFonts w:ascii="黑体" w:hAnsi="黑体" w:cs="黑体" w:eastAsia="黑体" w:hint="default"/>
          <w:spacing w:val="5"/>
          <w:sz w:val="22"/>
          <w:szCs w:val="22"/>
        </w:rPr>
        <w:t>有</w:t>
      </w:r>
      <w:r>
        <w:rPr>
          <w:rFonts w:ascii="Arial" w:hAnsi="Arial" w:cs="Arial" w:eastAsia="Arial" w:hint="default"/>
          <w:spacing w:val="5"/>
          <w:sz w:val="22"/>
          <w:szCs w:val="22"/>
        </w:rPr>
        <w:t>PO</w:t>
      </w:r>
      <w:r>
        <w:rPr>
          <w:rFonts w:ascii="黑体" w:hAnsi="黑体" w:cs="黑体" w:eastAsia="黑体" w:hint="default"/>
          <w:spacing w:val="5"/>
          <w:sz w:val="22"/>
          <w:szCs w:val="22"/>
        </w:rPr>
        <w:t>数据库管理员权限的用户，包括於曙拉，何志贡，共用一个账号，而</w:t>
      </w:r>
      <w:r>
        <w:rPr>
          <w:rFonts w:ascii="黑体" w:hAnsi="黑体" w:cs="黑体" w:eastAsia="黑体" w:hint="default"/>
          <w:w w:val="99"/>
          <w:sz w:val="22"/>
          <w:szCs w:val="22"/>
        </w:rPr>
        <w:t> </w:t>
      </w:r>
      <w:r>
        <w:rPr>
          <w:rFonts w:ascii="黑体" w:hAnsi="黑体" w:cs="黑体" w:eastAsia="黑体" w:hint="default"/>
          <w:spacing w:val="5"/>
          <w:sz w:val="22"/>
          <w:szCs w:val="22"/>
        </w:rPr>
        <w:t>他们之间也没有相互行使权限上的监督。</w:t>
      </w:r>
      <w:r>
        <w:rPr>
          <w:rFonts w:ascii="Arial" w:hAnsi="Arial" w:cs="Arial" w:eastAsia="Arial" w:hint="default"/>
          <w:spacing w:val="5"/>
          <w:sz w:val="22"/>
          <w:szCs w:val="22"/>
        </w:rPr>
        <w:t>PO</w:t>
      </w:r>
      <w:r>
        <w:rPr>
          <w:rFonts w:ascii="黑体" w:hAnsi="黑体" w:cs="黑体" w:eastAsia="黑体" w:hint="default"/>
          <w:spacing w:val="5"/>
          <w:sz w:val="22"/>
          <w:szCs w:val="22"/>
        </w:rPr>
        <w:t>操作系统由管理员张春旭和於</w:t>
      </w:r>
      <w:r>
        <w:rPr>
          <w:rFonts w:ascii="黑体" w:hAnsi="黑体" w:cs="黑体" w:eastAsia="黑体" w:hint="default"/>
          <w:w w:val="99"/>
          <w:sz w:val="22"/>
          <w:szCs w:val="22"/>
        </w:rPr>
        <w:t> </w:t>
      </w:r>
      <w:r>
        <w:rPr>
          <w:rFonts w:ascii="黑体" w:hAnsi="黑体" w:cs="黑体" w:eastAsia="黑体" w:hint="default"/>
          <w:sz w:val="22"/>
          <w:szCs w:val="22"/>
        </w:rPr>
        <w:t>曙拉共用一个账号，并没有监督机制。</w:t>
      </w:r>
    </w:p>
    <w:p>
      <w:pPr>
        <w:spacing w:before="120"/>
        <w:ind w:left="418" w:right="1899" w:firstLine="0"/>
        <w:jc w:val="center"/>
        <w:rPr>
          <w:rFonts w:ascii="黑体" w:hAnsi="黑体" w:cs="黑体" w:eastAsia="黑体" w:hint="default"/>
          <w:sz w:val="22"/>
          <w:szCs w:val="22"/>
        </w:rPr>
      </w:pPr>
      <w:r>
        <w:rPr>
          <w:rFonts w:ascii="黑体" w:hAnsi="黑体" w:cs="黑体" w:eastAsia="黑体" w:hint="default"/>
          <w:b/>
          <w:bCs/>
          <w:sz w:val="22"/>
          <w:szCs w:val="22"/>
        </w:rPr>
        <w:t>北京分公司、上海分公司、南京分公司、政务子公司和方正春元子公司</w:t>
      </w:r>
      <w:r>
        <w:rPr>
          <w:rFonts w:ascii="黑体" w:hAnsi="黑体" w:cs="黑体" w:eastAsia="黑体" w:hint="default"/>
          <w:sz w:val="22"/>
          <w:szCs w:val="22"/>
        </w:rPr>
      </w:r>
    </w:p>
    <w:p>
      <w:pPr>
        <w:spacing w:line="286" w:lineRule="exact" w:before="144"/>
        <w:ind w:left="1178" w:right="113" w:hanging="358"/>
        <w:jc w:val="both"/>
        <w:rPr>
          <w:rFonts w:ascii="黑体" w:hAnsi="黑体" w:cs="黑体" w:eastAsia="黑体" w:hint="default"/>
          <w:sz w:val="22"/>
          <w:szCs w:val="22"/>
        </w:rPr>
      </w:pPr>
      <w:r>
        <w:rPr>
          <w:rFonts w:ascii="Symbol" w:hAnsi="Symbol" w:cs="Symbol" w:eastAsia="Symbol" w:hint="default"/>
          <w:sz w:val="22"/>
          <w:szCs w:val="22"/>
        </w:rPr>
        <w:t></w:t>
      </w:r>
      <w:r>
        <w:rPr>
          <w:rFonts w:ascii="Times New Roman" w:hAnsi="Times New Roman" w:cs="Times New Roman" w:eastAsia="Times New Roman" w:hint="default"/>
          <w:sz w:val="22"/>
          <w:szCs w:val="22"/>
        </w:rPr>
      </w:r>
      <w:r>
        <w:rPr>
          <w:rFonts w:ascii="黑体" w:hAnsi="黑体" w:cs="黑体" w:eastAsia="黑体" w:hint="default"/>
          <w:sz w:val="22"/>
          <w:szCs w:val="22"/>
        </w:rPr>
        <w:t>未制定相关的管理制度来规范操作系统、数据库及应用系统层面（例如 </w:t>
      </w:r>
      <w:r>
        <w:rPr>
          <w:rFonts w:ascii="Arial" w:hAnsi="Arial" w:cs="Arial" w:eastAsia="Arial" w:hint="default"/>
          <w:sz w:val="22"/>
          <w:szCs w:val="22"/>
        </w:rPr>
        <w:t>U8 </w:t>
      </w:r>
      <w:r>
        <w:rPr>
          <w:rFonts w:ascii="黑体" w:hAnsi="黑体" w:cs="黑体" w:eastAsia="黑体" w:hint="default"/>
          <w:sz w:val="22"/>
          <w:szCs w:val="22"/>
        </w:rPr>
        <w:t>和</w:t>
      </w:r>
      <w:r>
        <w:rPr>
          <w:rFonts w:ascii="黑体" w:hAnsi="黑体" w:cs="黑体" w:eastAsia="黑体" w:hint="default"/>
          <w:spacing w:val="-55"/>
          <w:sz w:val="22"/>
          <w:szCs w:val="22"/>
        </w:rPr>
        <w:t> </w:t>
      </w:r>
      <w:r>
        <w:rPr>
          <w:rFonts w:ascii="Arial" w:hAnsi="Arial" w:cs="Arial" w:eastAsia="Arial" w:hint="default"/>
          <w:sz w:val="22"/>
          <w:szCs w:val="22"/>
        </w:rPr>
        <w:t>NC</w:t>
      </w:r>
      <w:r>
        <w:rPr>
          <w:rFonts w:ascii="Arial" w:hAnsi="Arial" w:cs="Arial" w:eastAsia="Arial" w:hint="default"/>
          <w:w w:val="99"/>
          <w:sz w:val="22"/>
          <w:szCs w:val="22"/>
        </w:rPr>
        <w:t> </w:t>
      </w:r>
      <w:r>
        <w:rPr>
          <w:rFonts w:ascii="黑体" w:hAnsi="黑体" w:cs="黑体" w:eastAsia="黑体" w:hint="default"/>
          <w:sz w:val="22"/>
          <w:szCs w:val="22"/>
        </w:rPr>
        <w:t>系统）的新增用户账号、权限修改、账号删除的管理，同时也未要求定期对用户账</w:t>
      </w:r>
      <w:r>
        <w:rPr>
          <w:rFonts w:ascii="黑体" w:hAnsi="黑体" w:cs="黑体" w:eastAsia="黑体" w:hint="default"/>
          <w:spacing w:val="1"/>
          <w:w w:val="99"/>
          <w:sz w:val="22"/>
          <w:szCs w:val="22"/>
        </w:rPr>
        <w:t> </w:t>
      </w:r>
      <w:r>
        <w:rPr>
          <w:rFonts w:ascii="黑体" w:hAnsi="黑体" w:cs="黑体" w:eastAsia="黑体" w:hint="default"/>
          <w:sz w:val="22"/>
          <w:szCs w:val="22"/>
        </w:rPr>
        <w:t>号进行审阅；</w:t>
      </w:r>
    </w:p>
    <w:p>
      <w:pPr>
        <w:tabs>
          <w:tab w:pos="1180" w:val="left" w:leader="none"/>
        </w:tabs>
        <w:spacing w:line="286" w:lineRule="exact" w:before="0"/>
        <w:ind w:left="1178" w:right="112" w:hanging="358"/>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tab/>
      </w:r>
      <w:r>
        <w:rPr>
          <w:rFonts w:ascii="黑体" w:hAnsi="黑体" w:cs="黑体" w:eastAsia="黑体" w:hint="default"/>
          <w:sz w:val="22"/>
          <w:szCs w:val="22"/>
        </w:rPr>
        <w:t>没有建立岗位权限对照表，以作为账号维护的依据，确保系统中用户的权限与其职</w:t>
      </w:r>
      <w:r>
        <w:rPr>
          <w:rFonts w:ascii="黑体" w:hAnsi="黑体" w:cs="黑体" w:eastAsia="黑体" w:hint="default"/>
          <w:spacing w:val="-89"/>
          <w:sz w:val="22"/>
          <w:szCs w:val="22"/>
        </w:rPr>
        <w:t> </w:t>
      </w:r>
      <w:r>
        <w:rPr>
          <w:rFonts w:ascii="黑体" w:hAnsi="黑体" w:cs="黑体" w:eastAsia="黑体" w:hint="default"/>
          <w:sz w:val="22"/>
          <w:szCs w:val="22"/>
        </w:rPr>
        <w:t>责相符；</w:t>
      </w:r>
    </w:p>
    <w:p>
      <w:pPr>
        <w:tabs>
          <w:tab w:pos="1180" w:val="left" w:leader="none"/>
        </w:tabs>
        <w:spacing w:line="278" w:lineRule="exact" w:before="0"/>
        <w:ind w:left="820" w:right="104"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管理层没有对</w:t>
      </w:r>
      <w:r>
        <w:rPr>
          <w:rFonts w:ascii="黑体" w:hAnsi="黑体" w:cs="黑体" w:eastAsia="黑体" w:hint="default"/>
          <w:spacing w:val="-57"/>
          <w:sz w:val="22"/>
          <w:szCs w:val="22"/>
        </w:rPr>
        <w:t> </w:t>
      </w:r>
      <w:r>
        <w:rPr>
          <w:rFonts w:ascii="Arial" w:hAnsi="Arial" w:cs="Arial" w:eastAsia="Arial" w:hint="default"/>
          <w:sz w:val="22"/>
          <w:szCs w:val="22"/>
        </w:rPr>
        <w:t>U8</w:t>
      </w:r>
      <w:r>
        <w:rPr>
          <w:rFonts w:ascii="Arial" w:hAnsi="Arial" w:cs="Arial" w:eastAsia="Arial" w:hint="default"/>
          <w:spacing w:val="-14"/>
          <w:sz w:val="22"/>
          <w:szCs w:val="22"/>
        </w:rPr>
        <w:t> </w:t>
      </w:r>
      <w:r>
        <w:rPr>
          <w:rFonts w:ascii="黑体" w:hAnsi="黑体" w:cs="黑体" w:eastAsia="黑体" w:hint="default"/>
          <w:sz w:val="22"/>
          <w:szCs w:val="22"/>
        </w:rPr>
        <w:t>系统用户账号和相关权限进行定期审阅。</w:t>
      </w:r>
    </w:p>
    <w:p>
      <w:pPr>
        <w:spacing w:after="0" w:line="278" w:lineRule="exact"/>
        <w:jc w:val="left"/>
        <w:rPr>
          <w:rFonts w:ascii="黑体" w:hAnsi="黑体" w:cs="黑体" w:eastAsia="黑体" w:hint="default"/>
          <w:sz w:val="22"/>
          <w:szCs w:val="22"/>
        </w:rPr>
        <w:sectPr>
          <w:headerReference w:type="default" r:id="rId125"/>
          <w:pgSz w:w="11910" w:h="16840"/>
          <w:pgMar w:header="1955" w:footer="769" w:top="2180" w:bottom="960" w:left="1340" w:right="1320"/>
        </w:sectPr>
      </w:pPr>
    </w:p>
    <w:p>
      <w:pPr>
        <w:spacing w:before="44"/>
        <w:ind w:left="162"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潜在的业</w:t>
      </w:r>
      <w:r>
        <w:rPr>
          <w:rFonts w:ascii="黑体" w:hAnsi="黑体" w:cs="黑体" w:eastAsia="黑体" w:hint="default"/>
          <w:b/>
          <w:bCs/>
          <w:spacing w:val="-76"/>
          <w:sz w:val="22"/>
          <w:szCs w:val="22"/>
        </w:rPr>
        <w:t> </w:t>
      </w:r>
      <w:r>
        <w:rPr>
          <w:rFonts w:ascii="黑体" w:hAnsi="黑体" w:cs="黑体" w:eastAsia="黑体" w:hint="default"/>
          <w:b/>
          <w:bCs/>
          <w:spacing w:val="26"/>
          <w:sz w:val="22"/>
          <w:szCs w:val="22"/>
        </w:rPr>
        <w:t>务风险</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37" w:lineRule="auto" w:before="120"/>
        <w:ind w:left="159" w:right="121" w:firstLine="0"/>
        <w:jc w:val="both"/>
        <w:rPr>
          <w:rFonts w:ascii="黑体" w:hAnsi="黑体" w:cs="黑体" w:eastAsia="黑体" w:hint="default"/>
          <w:sz w:val="22"/>
          <w:szCs w:val="22"/>
        </w:rPr>
      </w:pPr>
      <w:r>
        <w:rPr>
          <w:rFonts w:ascii="黑体" w:hAnsi="黑体" w:cs="黑体" w:eastAsia="黑体" w:hint="default"/>
          <w:sz w:val="22"/>
          <w:szCs w:val="22"/>
        </w:rPr>
        <w:t>在很大程度上，业务和财务系统的安全性与数据库中生产数据的有效性都依赖于对用户账号及</w:t>
      </w:r>
      <w:r>
        <w:rPr>
          <w:rFonts w:ascii="黑体" w:hAnsi="黑体" w:cs="黑体" w:eastAsia="黑体" w:hint="default"/>
          <w:w w:val="99"/>
          <w:sz w:val="22"/>
          <w:szCs w:val="22"/>
        </w:rPr>
        <w:t> </w:t>
      </w:r>
      <w:r>
        <w:rPr>
          <w:rFonts w:ascii="黑体" w:hAnsi="黑体" w:cs="黑体" w:eastAsia="黑体" w:hint="default"/>
          <w:sz w:val="22"/>
          <w:szCs w:val="22"/>
        </w:rPr>
        <w:t>访问权限的管理。如果没有建立并执行相应规范的用户账号和权限管理流程，在账号管理中没</w:t>
      </w:r>
      <w:r>
        <w:rPr>
          <w:rFonts w:ascii="黑体" w:hAnsi="黑体" w:cs="黑体" w:eastAsia="黑体" w:hint="default"/>
          <w:w w:val="99"/>
          <w:sz w:val="22"/>
          <w:szCs w:val="22"/>
        </w:rPr>
        <w:t> </w:t>
      </w:r>
      <w:r>
        <w:rPr>
          <w:rFonts w:ascii="黑体" w:hAnsi="黑体" w:cs="黑体" w:eastAsia="黑体" w:hint="default"/>
          <w:sz w:val="22"/>
          <w:szCs w:val="22"/>
        </w:rPr>
        <w:t>有执行严格的申请、审批流程和操作记录，将难以保证系统用户账号和权限的维护是在经过审</w:t>
      </w:r>
      <w:r>
        <w:rPr>
          <w:rFonts w:ascii="黑体" w:hAnsi="黑体" w:cs="黑体" w:eastAsia="黑体" w:hint="default"/>
          <w:w w:val="99"/>
          <w:sz w:val="22"/>
          <w:szCs w:val="22"/>
        </w:rPr>
        <w:t> </w:t>
      </w:r>
      <w:r>
        <w:rPr>
          <w:rFonts w:ascii="黑体" w:hAnsi="黑体" w:cs="黑体" w:eastAsia="黑体" w:hint="default"/>
          <w:sz w:val="22"/>
          <w:szCs w:val="22"/>
        </w:rPr>
        <w:t>批和授权情况下进行的，从而有可能出现未经合理授权而对用户账号及其权限进行建立、删除</w:t>
      </w:r>
      <w:r>
        <w:rPr>
          <w:rFonts w:ascii="黑体" w:hAnsi="黑体" w:cs="黑体" w:eastAsia="黑体" w:hint="default"/>
          <w:w w:val="99"/>
          <w:sz w:val="22"/>
          <w:szCs w:val="22"/>
        </w:rPr>
        <w:t> </w:t>
      </w:r>
      <w:r>
        <w:rPr>
          <w:rFonts w:ascii="黑体" w:hAnsi="黑体" w:cs="黑体" w:eastAsia="黑体" w:hint="default"/>
          <w:sz w:val="22"/>
          <w:szCs w:val="22"/>
        </w:rPr>
        <w:t>与修改的操作。</w:t>
      </w:r>
    </w:p>
    <w:p>
      <w:pPr>
        <w:spacing w:line="284" w:lineRule="exact" w:before="147"/>
        <w:ind w:left="159" w:right="105" w:firstLine="0"/>
        <w:jc w:val="left"/>
        <w:rPr>
          <w:rFonts w:ascii="黑体" w:hAnsi="黑体" w:cs="黑体" w:eastAsia="黑体" w:hint="default"/>
          <w:sz w:val="22"/>
          <w:szCs w:val="22"/>
        </w:rPr>
      </w:pPr>
      <w:r>
        <w:rPr>
          <w:rFonts w:ascii="黑体" w:hAnsi="黑体" w:cs="黑体" w:eastAsia="黑体" w:hint="default"/>
          <w:sz w:val="22"/>
          <w:szCs w:val="22"/>
        </w:rPr>
        <w:t>对岗位调整人员和离职员工的账号和权限管理不及时，则有可能出现未经合理授权而对系统数</w:t>
      </w:r>
      <w:r>
        <w:rPr>
          <w:rFonts w:ascii="黑体" w:hAnsi="黑体" w:cs="黑体" w:eastAsia="黑体" w:hint="default"/>
          <w:w w:val="99"/>
          <w:sz w:val="22"/>
          <w:szCs w:val="22"/>
        </w:rPr>
        <w:t> </w:t>
      </w:r>
      <w:r>
        <w:rPr>
          <w:rFonts w:ascii="黑体" w:hAnsi="黑体" w:cs="黑体" w:eastAsia="黑体" w:hint="default"/>
          <w:sz w:val="22"/>
          <w:szCs w:val="22"/>
        </w:rPr>
        <w:t>据进行修改、以至删除的操作，这种行为将难以保证数据库中数据的可靠性和正确性。</w:t>
      </w:r>
    </w:p>
    <w:p>
      <w:pPr>
        <w:spacing w:before="92"/>
        <w:ind w:left="159" w:right="0" w:firstLine="0"/>
        <w:jc w:val="both"/>
        <w:rPr>
          <w:rFonts w:ascii="黑体" w:hAnsi="黑体" w:cs="黑体" w:eastAsia="黑体" w:hint="default"/>
          <w:sz w:val="22"/>
          <w:szCs w:val="22"/>
        </w:rPr>
      </w:pPr>
      <w:r>
        <w:rPr>
          <w:rFonts w:ascii="黑体" w:hAnsi="黑体" w:cs="黑体" w:eastAsia="黑体" w:hint="default"/>
          <w:sz w:val="22"/>
          <w:szCs w:val="22"/>
        </w:rPr>
        <w:t>缺乏对用户账号和权限的定期审核，将会导致冗余账号和超权限的情况不能及时被发现。</w:t>
      </w:r>
    </w:p>
    <w:p>
      <w:pPr>
        <w:spacing w:line="237" w:lineRule="auto" w:before="120"/>
        <w:ind w:left="106" w:right="175" w:firstLine="0"/>
        <w:jc w:val="both"/>
        <w:rPr>
          <w:rFonts w:ascii="黑体" w:hAnsi="黑体" w:cs="黑体" w:eastAsia="黑体" w:hint="default"/>
          <w:sz w:val="22"/>
          <w:szCs w:val="22"/>
        </w:rPr>
      </w:pPr>
      <w:r>
        <w:rPr>
          <w:rFonts w:ascii="黑体" w:hAnsi="黑体" w:cs="黑体" w:eastAsia="黑体" w:hint="default"/>
          <w:sz w:val="22"/>
          <w:szCs w:val="22"/>
        </w:rPr>
        <w:t>岗位权限对照表中一般列明了员工岗位及其所应具有的系统权限，由管理层审批通过后作为用</w:t>
      </w:r>
      <w:r>
        <w:rPr>
          <w:rFonts w:ascii="黑体" w:hAnsi="黑体" w:cs="黑体" w:eastAsia="黑体" w:hint="default"/>
          <w:w w:val="99"/>
          <w:sz w:val="22"/>
          <w:szCs w:val="22"/>
        </w:rPr>
        <w:t> </w:t>
      </w:r>
      <w:r>
        <w:rPr>
          <w:rFonts w:ascii="黑体" w:hAnsi="黑体" w:cs="黑体" w:eastAsia="黑体" w:hint="default"/>
          <w:sz w:val="22"/>
          <w:szCs w:val="22"/>
        </w:rPr>
        <w:t>户权限维护的重要依据。未建立并使用此类岗位权限对照表，将难以确保系统中用户的权限与</w:t>
      </w:r>
      <w:r>
        <w:rPr>
          <w:rFonts w:ascii="黑体" w:hAnsi="黑体" w:cs="黑体" w:eastAsia="黑体" w:hint="default"/>
          <w:w w:val="99"/>
          <w:sz w:val="22"/>
          <w:szCs w:val="22"/>
        </w:rPr>
        <w:t> </w:t>
      </w:r>
      <w:r>
        <w:rPr>
          <w:rFonts w:ascii="黑体" w:hAnsi="黑体" w:cs="黑体" w:eastAsia="黑体" w:hint="default"/>
          <w:sz w:val="22"/>
          <w:szCs w:val="22"/>
        </w:rPr>
        <w:t>其实际职责相符，而实际上贵公司也确实存在这种情况，从而可能导致企业信息资产未经授权</w:t>
      </w:r>
      <w:r>
        <w:rPr>
          <w:rFonts w:ascii="黑体" w:hAnsi="黑体" w:cs="黑体" w:eastAsia="黑体" w:hint="default"/>
          <w:w w:val="99"/>
          <w:sz w:val="22"/>
          <w:szCs w:val="22"/>
        </w:rPr>
        <w:t> </w:t>
      </w:r>
      <w:r>
        <w:rPr>
          <w:rFonts w:ascii="黑体" w:hAnsi="黑体" w:cs="黑体" w:eastAsia="黑体" w:hint="default"/>
          <w:sz w:val="22"/>
          <w:szCs w:val="22"/>
        </w:rPr>
        <w:t>而被访问或修改。</w:t>
      </w:r>
    </w:p>
    <w:p>
      <w:pPr>
        <w:spacing w:line="240" w:lineRule="auto" w:before="0"/>
        <w:rPr>
          <w:rFonts w:ascii="黑体" w:hAnsi="黑体" w:cs="黑体" w:eastAsia="黑体" w:hint="default"/>
          <w:sz w:val="22"/>
          <w:szCs w:val="22"/>
        </w:rPr>
      </w:pPr>
    </w:p>
    <w:p>
      <w:pPr>
        <w:spacing w:line="240" w:lineRule="auto" w:before="0"/>
        <w:rPr>
          <w:rFonts w:ascii="黑体" w:hAnsi="黑体" w:cs="黑体" w:eastAsia="黑体" w:hint="default"/>
          <w:sz w:val="22"/>
          <w:szCs w:val="22"/>
        </w:rPr>
      </w:pPr>
    </w:p>
    <w:p>
      <w:pPr>
        <w:spacing w:before="155"/>
        <w:ind w:left="160"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我们的建</w:t>
      </w:r>
      <w:r>
        <w:rPr>
          <w:rFonts w:ascii="黑体" w:hAnsi="黑体" w:cs="黑体" w:eastAsia="黑体" w:hint="default"/>
          <w:b/>
          <w:bCs/>
          <w:spacing w:val="-76"/>
          <w:sz w:val="22"/>
          <w:szCs w:val="22"/>
        </w:rPr>
        <w:t> </w:t>
      </w:r>
      <w:r>
        <w:rPr>
          <w:rFonts w:ascii="黑体" w:hAnsi="黑体" w:cs="黑体" w:eastAsia="黑体" w:hint="default"/>
          <w:b/>
          <w:bCs/>
          <w:sz w:val="22"/>
          <w:szCs w:val="22"/>
        </w:rPr>
        <w:t>议</w:t>
      </w:r>
      <w:r>
        <w:rPr>
          <w:rFonts w:ascii="黑体" w:hAnsi="黑体" w:cs="黑体" w:eastAsia="黑体" w:hint="default"/>
          <w:sz w:val="22"/>
          <w:szCs w:val="22"/>
        </w:rPr>
      </w:r>
    </w:p>
    <w:p>
      <w:pPr>
        <w:spacing w:line="286" w:lineRule="exact" w:before="144"/>
        <w:ind w:left="160" w:right="101" w:firstLine="0"/>
        <w:jc w:val="left"/>
        <w:rPr>
          <w:rFonts w:ascii="黑体" w:hAnsi="黑体" w:cs="黑体" w:eastAsia="黑体" w:hint="default"/>
          <w:sz w:val="22"/>
          <w:szCs w:val="22"/>
        </w:rPr>
      </w:pPr>
      <w:r>
        <w:rPr>
          <w:rFonts w:ascii="黑体" w:hAnsi="黑体" w:cs="黑体" w:eastAsia="黑体" w:hint="default"/>
          <w:sz w:val="22"/>
          <w:szCs w:val="22"/>
        </w:rPr>
        <w:t>我们建议贵公司总部财务部门加强对</w:t>
      </w:r>
      <w:r>
        <w:rPr>
          <w:rFonts w:ascii="黑体" w:hAnsi="黑体" w:cs="黑体" w:eastAsia="黑体" w:hint="default"/>
          <w:spacing w:val="-56"/>
          <w:sz w:val="22"/>
          <w:szCs w:val="22"/>
        </w:rPr>
        <w:t> </w:t>
      </w:r>
      <w:r>
        <w:rPr>
          <w:rFonts w:ascii="Arial" w:hAnsi="Arial" w:cs="Arial" w:eastAsia="Arial" w:hint="default"/>
          <w:sz w:val="22"/>
          <w:szCs w:val="22"/>
        </w:rPr>
        <w:t>NC</w:t>
      </w:r>
      <w:r>
        <w:rPr>
          <w:rFonts w:ascii="Arial" w:hAnsi="Arial" w:cs="Arial" w:eastAsia="Arial" w:hint="default"/>
          <w:spacing w:val="-13"/>
          <w:sz w:val="22"/>
          <w:szCs w:val="22"/>
        </w:rPr>
        <w:t> </w:t>
      </w:r>
      <w:r>
        <w:rPr>
          <w:rFonts w:ascii="黑体" w:hAnsi="黑体" w:cs="黑体" w:eastAsia="黑体" w:hint="default"/>
          <w:sz w:val="22"/>
          <w:szCs w:val="22"/>
        </w:rPr>
        <w:t>系统的用户账号及权限的管理</w:t>
      </w:r>
      <w:r>
        <w:rPr>
          <w:rFonts w:ascii="黑体" w:hAnsi="黑体" w:cs="黑体" w:eastAsia="黑体" w:hint="default"/>
          <w:spacing w:val="-50"/>
          <w:sz w:val="22"/>
          <w:szCs w:val="22"/>
        </w:rPr>
        <w:t> </w:t>
      </w:r>
      <w:r>
        <w:rPr>
          <w:rFonts w:ascii="黑体" w:hAnsi="黑体" w:cs="黑体" w:eastAsia="黑体" w:hint="default"/>
          <w:sz w:val="22"/>
          <w:szCs w:val="22"/>
        </w:rPr>
        <w:t>、总部商务部加强对</w:t>
      </w:r>
      <w:r>
        <w:rPr>
          <w:rFonts w:ascii="黑体" w:hAnsi="黑体" w:cs="黑体" w:eastAsia="黑体" w:hint="default"/>
          <w:w w:val="99"/>
          <w:sz w:val="22"/>
          <w:szCs w:val="22"/>
        </w:rPr>
        <w:t> </w:t>
      </w:r>
      <w:r>
        <w:rPr>
          <w:rFonts w:ascii="黑体" w:hAnsi="黑体" w:cs="黑体" w:eastAsia="黑体" w:hint="default"/>
          <w:sz w:val="22"/>
          <w:szCs w:val="22"/>
        </w:rPr>
        <w:t>商务生产系统的用户账号和权限管理、分子公司加强对</w:t>
      </w:r>
      <w:r>
        <w:rPr>
          <w:rFonts w:ascii="黑体" w:hAnsi="黑体" w:cs="黑体" w:eastAsia="黑体" w:hint="default"/>
          <w:spacing w:val="-56"/>
          <w:sz w:val="22"/>
          <w:szCs w:val="22"/>
        </w:rPr>
        <w:t> </w:t>
      </w:r>
      <w:r>
        <w:rPr>
          <w:rFonts w:ascii="Arial" w:hAnsi="Arial" w:cs="Arial" w:eastAsia="Arial" w:hint="default"/>
          <w:sz w:val="22"/>
          <w:szCs w:val="22"/>
        </w:rPr>
        <w:t>U8</w:t>
      </w:r>
      <w:r>
        <w:rPr>
          <w:rFonts w:ascii="Arial" w:hAnsi="Arial" w:cs="Arial" w:eastAsia="Arial" w:hint="default"/>
          <w:spacing w:val="-15"/>
          <w:sz w:val="22"/>
          <w:szCs w:val="22"/>
        </w:rPr>
        <w:t> </w:t>
      </w:r>
      <w:r>
        <w:rPr>
          <w:rFonts w:ascii="黑体" w:hAnsi="黑体" w:cs="黑体" w:eastAsia="黑体" w:hint="default"/>
          <w:sz w:val="22"/>
          <w:szCs w:val="22"/>
        </w:rPr>
        <w:t>系统的用户账号和权限管理</w:t>
      </w:r>
      <w:r>
        <w:rPr>
          <w:rFonts w:ascii="Arial" w:hAnsi="Arial" w:cs="Arial" w:eastAsia="Arial" w:hint="default"/>
          <w:sz w:val="22"/>
          <w:szCs w:val="22"/>
        </w:rPr>
        <w:t>,</w:t>
      </w:r>
      <w:r>
        <w:rPr>
          <w:rFonts w:ascii="黑体" w:hAnsi="黑体" w:cs="黑体" w:eastAsia="黑体" w:hint="default"/>
          <w:sz w:val="22"/>
          <w:szCs w:val="22"/>
        </w:rPr>
        <w:t>进行如</w:t>
      </w:r>
      <w:r>
        <w:rPr>
          <w:rFonts w:ascii="黑体" w:hAnsi="黑体" w:cs="黑体" w:eastAsia="黑体" w:hint="default"/>
          <w:w w:val="99"/>
          <w:sz w:val="22"/>
          <w:szCs w:val="22"/>
        </w:rPr>
        <w:t> </w:t>
      </w:r>
      <w:r>
        <w:rPr>
          <w:rFonts w:ascii="黑体" w:hAnsi="黑体" w:cs="黑体" w:eastAsia="黑体" w:hint="default"/>
          <w:sz w:val="22"/>
          <w:szCs w:val="22"/>
        </w:rPr>
        <w:t>下改进：</w:t>
      </w:r>
    </w:p>
    <w:p>
      <w:pPr>
        <w:spacing w:line="230" w:lineRule="auto" w:before="101"/>
        <w:ind w:left="586" w:right="115" w:hanging="427"/>
        <w:jc w:val="both"/>
        <w:rPr>
          <w:rFonts w:ascii="Arial" w:hAnsi="Arial" w:cs="Arial" w:eastAsia="Arial" w:hint="default"/>
          <w:sz w:val="22"/>
          <w:szCs w:val="22"/>
        </w:rPr>
      </w:pPr>
      <w:r>
        <w:rPr>
          <w:rFonts w:ascii="Symbol" w:hAnsi="Symbol" w:cs="Symbol" w:eastAsia="Symbol" w:hint="default"/>
          <w:sz w:val="22"/>
          <w:szCs w:val="22"/>
        </w:rPr>
        <w:t></w:t>
      </w:r>
      <w:r>
        <w:rPr>
          <w:rFonts w:ascii="Symbol" w:hAnsi="Symbol" w:cs="Symbol" w:eastAsia="Symbol" w:hint="default"/>
          <w:spacing w:val="1"/>
          <w:sz w:val="22"/>
          <w:szCs w:val="22"/>
        </w:rPr>
        <w:t></w:t>
      </w:r>
      <w:r>
        <w:rPr>
          <w:rFonts w:ascii="Times New Roman" w:hAnsi="Times New Roman" w:cs="Times New Roman" w:eastAsia="Times New Roman" w:hint="default"/>
          <w:spacing w:val="1"/>
          <w:sz w:val="22"/>
          <w:szCs w:val="22"/>
        </w:rPr>
      </w:r>
      <w:r>
        <w:rPr>
          <w:rFonts w:ascii="黑体" w:hAnsi="黑体" w:cs="黑体" w:eastAsia="黑体" w:hint="default"/>
          <w:sz w:val="22"/>
          <w:szCs w:val="22"/>
        </w:rPr>
        <w:t>由系统管理员建立一套完整规范的用户账号和权限管理流程并在工作中严格执行，此流程</w:t>
      </w:r>
      <w:r>
        <w:rPr>
          <w:rFonts w:ascii="黑体" w:hAnsi="黑体" w:cs="黑体" w:eastAsia="黑体" w:hint="default"/>
          <w:spacing w:val="1"/>
          <w:w w:val="99"/>
          <w:sz w:val="22"/>
          <w:szCs w:val="22"/>
        </w:rPr>
        <w:t> </w:t>
      </w:r>
      <w:r>
        <w:rPr>
          <w:rFonts w:ascii="黑体" w:hAnsi="黑体" w:cs="黑体" w:eastAsia="黑体" w:hint="default"/>
          <w:sz w:val="22"/>
          <w:szCs w:val="22"/>
        </w:rPr>
        <w:t>应涵盖用户账号和权限的申请、审批和建立记录等，并应对这些记录进行规范的归档整理</w:t>
      </w:r>
      <w:r>
        <w:rPr>
          <w:rFonts w:ascii="黑体" w:hAnsi="黑体" w:cs="黑体" w:eastAsia="黑体" w:hint="default"/>
          <w:spacing w:val="1"/>
          <w:w w:val="99"/>
          <w:sz w:val="22"/>
          <w:szCs w:val="22"/>
        </w:rPr>
        <w:t> </w:t>
      </w:r>
      <w:r>
        <w:rPr>
          <w:rFonts w:ascii="黑体" w:hAnsi="黑体" w:cs="黑体" w:eastAsia="黑体" w:hint="default"/>
          <w:sz w:val="22"/>
          <w:szCs w:val="22"/>
        </w:rPr>
        <w:t>和妥善保存</w:t>
      </w:r>
      <w:r>
        <w:rPr>
          <w:rFonts w:ascii="Arial" w:hAnsi="Arial" w:cs="Arial" w:eastAsia="Arial" w:hint="default"/>
          <w:sz w:val="22"/>
          <w:szCs w:val="22"/>
        </w:rPr>
        <w:t>;</w:t>
      </w:r>
    </w:p>
    <w:p>
      <w:pPr>
        <w:spacing w:line="279" w:lineRule="exact" w:before="0"/>
        <w:ind w:left="160" w:right="0" w:firstLine="0"/>
        <w:jc w:val="both"/>
        <w:rPr>
          <w:rFonts w:ascii="黑体" w:hAnsi="黑体" w:cs="黑体" w:eastAsia="黑体" w:hint="default"/>
          <w:sz w:val="22"/>
          <w:szCs w:val="22"/>
        </w:rPr>
      </w:pPr>
      <w:r>
        <w:rPr>
          <w:rFonts w:ascii="Symbol" w:hAnsi="Symbol" w:cs="Symbol" w:eastAsia="Symbol" w:hint="default"/>
          <w:sz w:val="22"/>
          <w:szCs w:val="22"/>
        </w:rPr>
        <w:t></w:t>
      </w:r>
      <w:r>
        <w:rPr>
          <w:rFonts w:ascii="Symbol" w:hAnsi="Symbol" w:cs="Symbol" w:eastAsia="Symbol" w:hint="default"/>
          <w:spacing w:val="49"/>
          <w:sz w:val="22"/>
          <w:szCs w:val="22"/>
        </w:rPr>
        <w:t></w:t>
      </w:r>
      <w:r>
        <w:rPr>
          <w:rFonts w:ascii="Times New Roman" w:hAnsi="Times New Roman" w:cs="Times New Roman" w:eastAsia="Times New Roman" w:hint="default"/>
          <w:spacing w:val="49"/>
          <w:sz w:val="22"/>
          <w:szCs w:val="22"/>
        </w:rPr>
      </w:r>
      <w:r>
        <w:rPr>
          <w:rFonts w:ascii="黑体" w:hAnsi="黑体" w:cs="黑体" w:eastAsia="黑体" w:hint="default"/>
          <w:sz w:val="22"/>
          <w:szCs w:val="22"/>
        </w:rPr>
        <w:t>对调整岗位的员工权限进行及时的更改，并妥善保存相应的记录文档；</w:t>
      </w:r>
    </w:p>
    <w:p>
      <w:pPr>
        <w:spacing w:line="230" w:lineRule="auto" w:before="0"/>
        <w:ind w:left="586" w:right="115" w:hanging="427"/>
        <w:jc w:val="both"/>
        <w:rPr>
          <w:rFonts w:ascii="黑体" w:hAnsi="黑体" w:cs="黑体" w:eastAsia="黑体" w:hint="default"/>
          <w:sz w:val="22"/>
          <w:szCs w:val="22"/>
        </w:rPr>
      </w:pPr>
      <w:r>
        <w:rPr>
          <w:rFonts w:ascii="Symbol" w:hAnsi="Symbol" w:cs="Symbol" w:eastAsia="Symbol" w:hint="default"/>
          <w:sz w:val="22"/>
          <w:szCs w:val="22"/>
        </w:rPr>
        <w:t></w:t>
      </w:r>
      <w:r>
        <w:rPr>
          <w:rFonts w:ascii="Symbol" w:hAnsi="Symbol" w:cs="Symbol" w:eastAsia="Symbol" w:hint="default"/>
          <w:spacing w:val="47"/>
          <w:sz w:val="22"/>
          <w:szCs w:val="22"/>
        </w:rPr>
        <w:t></w:t>
      </w:r>
      <w:r>
        <w:rPr>
          <w:rFonts w:ascii="Times New Roman" w:hAnsi="Times New Roman" w:cs="Times New Roman" w:eastAsia="Times New Roman" w:hint="default"/>
          <w:spacing w:val="47"/>
          <w:sz w:val="22"/>
          <w:szCs w:val="22"/>
        </w:rPr>
      </w:r>
      <w:r>
        <w:rPr>
          <w:rFonts w:ascii="黑体" w:hAnsi="黑体" w:cs="黑体" w:eastAsia="黑体" w:hint="default"/>
          <w:spacing w:val="6"/>
          <w:sz w:val="22"/>
          <w:szCs w:val="22"/>
        </w:rPr>
        <w:t>对离职用户账号进行及时锁定，并建立定期审阅系统用户账号有效性和权限合理性的流</w:t>
      </w:r>
      <w:r>
        <w:rPr>
          <w:rFonts w:ascii="黑体" w:hAnsi="黑体" w:cs="黑体" w:eastAsia="黑体" w:hint="default"/>
          <w:w w:val="99"/>
          <w:sz w:val="22"/>
          <w:szCs w:val="22"/>
        </w:rPr>
        <w:t> </w:t>
      </w:r>
      <w:r>
        <w:rPr>
          <w:rFonts w:ascii="黑体" w:hAnsi="黑体" w:cs="黑体" w:eastAsia="黑体" w:hint="default"/>
          <w:sz w:val="22"/>
          <w:szCs w:val="22"/>
        </w:rPr>
        <w:t>程，确保用户权限与工作职责相符及对无效账号和过期账号的及时锁定，并指定专门人员</w:t>
      </w:r>
      <w:r>
        <w:rPr>
          <w:rFonts w:ascii="黑体" w:hAnsi="黑体" w:cs="黑体" w:eastAsia="黑体" w:hint="default"/>
          <w:spacing w:val="1"/>
          <w:w w:val="99"/>
          <w:sz w:val="22"/>
          <w:szCs w:val="22"/>
        </w:rPr>
        <w:t> </w:t>
      </w:r>
      <w:r>
        <w:rPr>
          <w:rFonts w:ascii="黑体" w:hAnsi="黑体" w:cs="黑体" w:eastAsia="黑体" w:hint="default"/>
          <w:sz w:val="22"/>
          <w:szCs w:val="22"/>
        </w:rPr>
        <w:t>负责；</w:t>
      </w:r>
    </w:p>
    <w:p>
      <w:pPr>
        <w:spacing w:line="294" w:lineRule="exact" w:before="0"/>
        <w:ind w:left="160" w:right="0" w:firstLine="0"/>
        <w:jc w:val="both"/>
        <w:rPr>
          <w:rFonts w:ascii="黑体" w:hAnsi="黑体" w:cs="黑体" w:eastAsia="黑体" w:hint="default"/>
          <w:sz w:val="22"/>
          <w:szCs w:val="22"/>
        </w:rPr>
      </w:pPr>
      <w:r>
        <w:rPr>
          <w:rFonts w:ascii="Symbol" w:hAnsi="Symbol" w:cs="Symbol" w:eastAsia="Symbol" w:hint="default"/>
          <w:sz w:val="22"/>
          <w:szCs w:val="22"/>
        </w:rPr>
        <w:t></w:t>
      </w:r>
      <w:r>
        <w:rPr>
          <w:rFonts w:ascii="Symbol" w:hAnsi="Symbol" w:cs="Symbol" w:eastAsia="Symbol" w:hint="default"/>
          <w:spacing w:val="48"/>
          <w:sz w:val="22"/>
          <w:szCs w:val="22"/>
        </w:rPr>
        <w:t></w:t>
      </w:r>
      <w:r>
        <w:rPr>
          <w:rFonts w:ascii="Times New Roman" w:hAnsi="Times New Roman" w:cs="Times New Roman" w:eastAsia="Times New Roman" w:hint="default"/>
          <w:spacing w:val="48"/>
          <w:sz w:val="22"/>
          <w:szCs w:val="22"/>
        </w:rPr>
      </w:r>
      <w:r>
        <w:rPr>
          <w:rFonts w:ascii="黑体" w:hAnsi="黑体" w:cs="黑体" w:eastAsia="黑体" w:hint="default"/>
          <w:sz w:val="22"/>
          <w:szCs w:val="22"/>
        </w:rPr>
        <w:t>用户管理部门应定期对用户账号进行审阅，并保留相应的审阅记录文档；</w:t>
      </w:r>
    </w:p>
    <w:p>
      <w:pPr>
        <w:tabs>
          <w:tab w:pos="586" w:val="left" w:leader="none"/>
        </w:tabs>
        <w:spacing w:line="286" w:lineRule="exact" w:before="18"/>
        <w:ind w:left="586" w:right="115" w:hanging="427"/>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保留超级用户的操作日志，并制定超级用户之外人员定期审阅该日志以便监控超级用户账</w:t>
      </w:r>
      <w:r>
        <w:rPr>
          <w:rFonts w:ascii="黑体" w:hAnsi="黑体" w:cs="黑体" w:eastAsia="黑体" w:hint="default"/>
          <w:spacing w:val="-103"/>
          <w:sz w:val="22"/>
          <w:szCs w:val="22"/>
        </w:rPr>
        <w:t> </w:t>
      </w:r>
      <w:r>
        <w:rPr>
          <w:rFonts w:ascii="黑体" w:hAnsi="黑体" w:cs="黑体" w:eastAsia="黑体" w:hint="default"/>
          <w:spacing w:val="-103"/>
          <w:sz w:val="22"/>
          <w:szCs w:val="22"/>
        </w:rPr>
      </w:r>
      <w:r>
        <w:rPr>
          <w:rFonts w:ascii="黑体" w:hAnsi="黑体" w:cs="黑体" w:eastAsia="黑体" w:hint="default"/>
          <w:sz w:val="22"/>
          <w:szCs w:val="22"/>
        </w:rPr>
        <w:t>号的使用；</w:t>
      </w:r>
    </w:p>
    <w:p>
      <w:pPr>
        <w:spacing w:line="276" w:lineRule="exact" w:before="0"/>
        <w:ind w:left="160" w:right="0" w:firstLine="0"/>
        <w:jc w:val="both"/>
        <w:rPr>
          <w:rFonts w:ascii="黑体" w:hAnsi="黑体" w:cs="黑体" w:eastAsia="黑体" w:hint="default"/>
          <w:sz w:val="22"/>
          <w:szCs w:val="22"/>
        </w:rPr>
      </w:pPr>
      <w:r>
        <w:rPr>
          <w:rFonts w:ascii="Symbol" w:hAnsi="Symbol" w:cs="Symbol" w:eastAsia="Symbol" w:hint="default"/>
          <w:sz w:val="22"/>
          <w:szCs w:val="22"/>
        </w:rPr>
        <w:t></w:t>
      </w:r>
      <w:r>
        <w:rPr>
          <w:rFonts w:ascii="Times New Roman" w:hAnsi="Times New Roman" w:cs="Times New Roman" w:eastAsia="Times New Roman" w:hint="default"/>
          <w:sz w:val="22"/>
          <w:szCs w:val="22"/>
        </w:rPr>
      </w:r>
      <w:r>
        <w:rPr>
          <w:rFonts w:ascii="黑体" w:hAnsi="黑体" w:cs="黑体" w:eastAsia="黑体" w:hint="default"/>
          <w:sz w:val="22"/>
          <w:szCs w:val="22"/>
        </w:rPr>
        <w:t>将 </w:t>
      </w:r>
      <w:r>
        <w:rPr>
          <w:rFonts w:ascii="Arial" w:hAnsi="Arial" w:cs="Arial" w:eastAsia="Arial" w:hint="default"/>
          <w:sz w:val="22"/>
          <w:szCs w:val="22"/>
        </w:rPr>
        <w:t>U8</w:t>
      </w:r>
      <w:r>
        <w:rPr>
          <w:rFonts w:ascii="Arial" w:hAnsi="Arial" w:cs="Arial" w:eastAsia="Arial" w:hint="default"/>
          <w:spacing w:val="-20"/>
          <w:sz w:val="22"/>
          <w:szCs w:val="22"/>
        </w:rPr>
        <w:t> </w:t>
      </w:r>
      <w:r>
        <w:rPr>
          <w:rFonts w:ascii="黑体" w:hAnsi="黑体" w:cs="黑体" w:eastAsia="黑体" w:hint="default"/>
          <w:sz w:val="22"/>
          <w:szCs w:val="22"/>
        </w:rPr>
        <w:t>系统应用系统管理员权限、操作系统和数据库管理员权限赋予不同的人员。</w:t>
      </w:r>
    </w:p>
    <w:p>
      <w:pPr>
        <w:spacing w:line="240" w:lineRule="auto" w:before="0"/>
        <w:rPr>
          <w:rFonts w:ascii="黑体" w:hAnsi="黑体" w:cs="黑体" w:eastAsia="黑体" w:hint="default"/>
          <w:sz w:val="22"/>
          <w:szCs w:val="22"/>
        </w:rPr>
      </w:pPr>
    </w:p>
    <w:p>
      <w:pPr>
        <w:spacing w:line="240" w:lineRule="auto" w:before="7"/>
        <w:rPr>
          <w:rFonts w:ascii="黑体" w:hAnsi="黑体" w:cs="黑体" w:eastAsia="黑体" w:hint="default"/>
          <w:sz w:val="32"/>
          <w:szCs w:val="32"/>
        </w:rPr>
      </w:pPr>
    </w:p>
    <w:p>
      <w:pPr>
        <w:spacing w:before="0"/>
        <w:ind w:left="160"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管理层回</w:t>
      </w:r>
      <w:r>
        <w:rPr>
          <w:rFonts w:ascii="黑体" w:hAnsi="黑体" w:cs="黑体" w:eastAsia="黑体" w:hint="default"/>
          <w:b/>
          <w:bCs/>
          <w:spacing w:val="-76"/>
          <w:sz w:val="22"/>
          <w:szCs w:val="22"/>
        </w:rPr>
        <w:t> </w:t>
      </w:r>
      <w:r>
        <w:rPr>
          <w:rFonts w:ascii="黑体" w:hAnsi="黑体" w:cs="黑体" w:eastAsia="黑体" w:hint="default"/>
          <w:b/>
          <w:bCs/>
          <w:sz w:val="22"/>
          <w:szCs w:val="22"/>
        </w:rPr>
        <w:t>复</w:t>
      </w:r>
      <w:r>
        <w:rPr>
          <w:rFonts w:ascii="黑体" w:hAnsi="黑体" w:cs="黑体" w:eastAsia="黑体" w:hint="default"/>
          <w:sz w:val="22"/>
          <w:szCs w:val="22"/>
        </w:rPr>
      </w:r>
    </w:p>
    <w:p>
      <w:pPr>
        <w:spacing w:before="117"/>
        <w:ind w:left="179" w:right="0" w:firstLine="0"/>
        <w:jc w:val="both"/>
        <w:rPr>
          <w:rFonts w:ascii="黑体" w:hAnsi="黑体" w:cs="黑体" w:eastAsia="黑体" w:hint="default"/>
          <w:sz w:val="22"/>
          <w:szCs w:val="22"/>
        </w:rPr>
      </w:pPr>
      <w:r>
        <w:rPr>
          <w:rFonts w:ascii="Arial" w:hAnsi="Arial" w:cs="Arial" w:eastAsia="Arial" w:hint="default"/>
          <w:sz w:val="22"/>
          <w:szCs w:val="22"/>
        </w:rPr>
        <w:t>1.      </w:t>
      </w:r>
      <w:r>
        <w:rPr>
          <w:rFonts w:ascii="黑体" w:hAnsi="黑体" w:cs="黑体" w:eastAsia="黑体" w:hint="default"/>
          <w:sz w:val="22"/>
          <w:szCs w:val="22"/>
        </w:rPr>
        <w:t>严格权限及离职人员管理</w:t>
      </w:r>
      <w:r>
        <w:rPr>
          <w:rFonts w:ascii="黑体" w:hAnsi="黑体" w:cs="黑体" w:eastAsia="黑体" w:hint="default"/>
          <w:spacing w:val="-56"/>
          <w:sz w:val="22"/>
          <w:szCs w:val="22"/>
        </w:rPr>
        <w:t> </w:t>
      </w:r>
      <w:r>
        <w:rPr>
          <w:rFonts w:ascii="黑体" w:hAnsi="黑体" w:cs="黑体" w:eastAsia="黑体" w:hint="default"/>
          <w:sz w:val="22"/>
          <w:szCs w:val="22"/>
        </w:rPr>
        <w:t>，并在制度流程上要求管理人员定期审核。</w:t>
      </w:r>
    </w:p>
    <w:p>
      <w:pPr>
        <w:spacing w:before="101"/>
        <w:ind w:left="179" w:right="0" w:firstLine="0"/>
        <w:jc w:val="both"/>
        <w:rPr>
          <w:rFonts w:ascii="黑体" w:hAnsi="黑体" w:cs="黑体" w:eastAsia="黑体" w:hint="default"/>
          <w:sz w:val="22"/>
          <w:szCs w:val="22"/>
        </w:rPr>
      </w:pPr>
      <w:r>
        <w:rPr>
          <w:rFonts w:ascii="Arial" w:hAnsi="Arial" w:cs="Arial" w:eastAsia="Arial" w:hint="default"/>
          <w:sz w:val="22"/>
          <w:szCs w:val="22"/>
        </w:rPr>
        <w:t>2.    </w:t>
      </w:r>
      <w:r>
        <w:rPr>
          <w:rFonts w:ascii="Arial" w:hAnsi="Arial" w:cs="Arial" w:eastAsia="Arial" w:hint="default"/>
          <w:spacing w:val="54"/>
          <w:sz w:val="22"/>
          <w:szCs w:val="22"/>
        </w:rPr>
        <w:t> </w:t>
      </w:r>
      <w:r>
        <w:rPr>
          <w:rFonts w:ascii="黑体" w:hAnsi="黑体" w:cs="黑体" w:eastAsia="黑体" w:hint="default"/>
          <w:sz w:val="22"/>
          <w:szCs w:val="22"/>
        </w:rPr>
        <w:t>日志实日志实施集中管理，并争取实施日志分析工具。</w:t>
      </w:r>
    </w:p>
    <w:p>
      <w:pPr>
        <w:spacing w:after="0"/>
        <w:jc w:val="both"/>
        <w:rPr>
          <w:rFonts w:ascii="黑体" w:hAnsi="黑体" w:cs="黑体" w:eastAsia="黑体" w:hint="default"/>
          <w:sz w:val="22"/>
          <w:szCs w:val="22"/>
        </w:rPr>
        <w:sectPr>
          <w:headerReference w:type="default" r:id="rId126"/>
          <w:pgSz w:w="11910" w:h="16840"/>
          <w:pgMar w:header="0" w:footer="769" w:top="1600" w:bottom="960" w:left="1280" w:right="1320"/>
        </w:sectPr>
      </w:pPr>
    </w:p>
    <w:p>
      <w:pPr>
        <w:spacing w:line="240" w:lineRule="auto" w:before="6"/>
        <w:rPr>
          <w:rFonts w:ascii="黑体" w:hAnsi="黑体" w:cs="黑体" w:eastAsia="黑体" w:hint="default"/>
          <w:sz w:val="19"/>
          <w:szCs w:val="19"/>
        </w:rPr>
      </w:pPr>
    </w:p>
    <w:p>
      <w:pPr>
        <w:tabs>
          <w:tab w:pos="839" w:val="left" w:leader="none"/>
        </w:tabs>
        <w:spacing w:before="31"/>
        <w:ind w:left="120" w:right="104" w:firstLine="0"/>
        <w:jc w:val="left"/>
        <w:rPr>
          <w:rFonts w:ascii="黑体" w:hAnsi="黑体" w:cs="黑体" w:eastAsia="黑体" w:hint="default"/>
          <w:sz w:val="23"/>
          <w:szCs w:val="23"/>
        </w:rPr>
      </w:pPr>
      <w:bookmarkStart w:name="_bookmark16" w:id="38"/>
      <w:bookmarkEnd w:id="38"/>
      <w:r>
        <w:rPr/>
      </w:r>
      <w:r>
        <w:rPr>
          <w:rFonts w:ascii="黑体" w:hAnsi="黑体" w:cs="黑体" w:eastAsia="黑体" w:hint="default"/>
          <w:b/>
          <w:bCs/>
          <w:i/>
          <w:w w:val="95"/>
          <w:sz w:val="23"/>
          <w:szCs w:val="23"/>
        </w:rPr>
        <w:t>5.</w:t>
        <w:tab/>
      </w:r>
      <w:r>
        <w:rPr>
          <w:rFonts w:ascii="黑体" w:hAnsi="黑体" w:cs="黑体" w:eastAsia="黑体" w:hint="default"/>
          <w:b/>
          <w:bCs/>
          <w:i/>
          <w:sz w:val="23"/>
          <w:szCs w:val="23"/>
        </w:rPr>
        <w:t>密码管理流程</w:t>
      </w:r>
      <w:r>
        <w:rPr>
          <w:rFonts w:ascii="黑体" w:hAnsi="黑体" w:cs="黑体" w:eastAsia="黑体" w:hint="default"/>
          <w:sz w:val="23"/>
          <w:szCs w:val="23"/>
        </w:rPr>
      </w:r>
    </w:p>
    <w:p>
      <w:pPr>
        <w:spacing w:line="240" w:lineRule="auto" w:before="0"/>
        <w:rPr>
          <w:rFonts w:ascii="黑体" w:hAnsi="黑体" w:cs="黑体" w:eastAsia="黑体" w:hint="default"/>
          <w:b/>
          <w:bCs/>
          <w:i/>
          <w:sz w:val="22"/>
          <w:szCs w:val="22"/>
        </w:rPr>
      </w:pPr>
    </w:p>
    <w:p>
      <w:pPr>
        <w:spacing w:line="240" w:lineRule="auto" w:before="0"/>
        <w:rPr>
          <w:rFonts w:ascii="黑体" w:hAnsi="黑体" w:cs="黑体" w:eastAsia="黑体" w:hint="default"/>
          <w:b/>
          <w:bCs/>
          <w:i/>
          <w:sz w:val="22"/>
          <w:szCs w:val="22"/>
        </w:rPr>
      </w:pPr>
    </w:p>
    <w:p>
      <w:pPr>
        <w:spacing w:before="152"/>
        <w:ind w:left="119" w:right="104" w:firstLine="0"/>
        <w:jc w:val="left"/>
        <w:rPr>
          <w:rFonts w:ascii="黑体" w:hAnsi="黑体" w:cs="黑体" w:eastAsia="黑体" w:hint="default"/>
          <w:sz w:val="22"/>
          <w:szCs w:val="22"/>
        </w:rPr>
      </w:pPr>
      <w:r>
        <w:rPr>
          <w:rFonts w:ascii="黑体" w:hAnsi="黑体" w:cs="黑体" w:eastAsia="黑体" w:hint="default"/>
          <w:b/>
          <w:bCs/>
          <w:spacing w:val="30"/>
          <w:sz w:val="22"/>
          <w:szCs w:val="22"/>
        </w:rPr>
        <w:t>观察所得</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86" w:lineRule="exact" w:before="146"/>
        <w:ind w:left="119" w:right="85" w:firstLine="0"/>
        <w:jc w:val="left"/>
        <w:rPr>
          <w:rFonts w:ascii="黑体" w:hAnsi="黑体" w:cs="黑体" w:eastAsia="黑体" w:hint="default"/>
          <w:sz w:val="22"/>
          <w:szCs w:val="22"/>
        </w:rPr>
      </w:pPr>
      <w:r>
        <w:rPr>
          <w:rFonts w:ascii="黑体" w:hAnsi="黑体" w:cs="黑体" w:eastAsia="黑体" w:hint="default"/>
          <w:sz w:val="22"/>
          <w:szCs w:val="22"/>
        </w:rPr>
        <w:t>贵公司（总部及分、子公司）已经建立了一套详尽的密码管理制度，以规范对最终用户设置密</w:t>
      </w:r>
      <w:r>
        <w:rPr>
          <w:rFonts w:ascii="黑体" w:hAnsi="黑体" w:cs="黑体" w:eastAsia="黑体" w:hint="default"/>
          <w:w w:val="99"/>
          <w:sz w:val="22"/>
          <w:szCs w:val="22"/>
        </w:rPr>
        <w:t> </w:t>
      </w:r>
      <w:r>
        <w:rPr>
          <w:rFonts w:ascii="黑体" w:hAnsi="黑体" w:cs="黑体" w:eastAsia="黑体" w:hint="default"/>
          <w:sz w:val="22"/>
          <w:szCs w:val="22"/>
        </w:rPr>
        <w:t>码的要求。但由于系统设计的局限性，在密码设定方面存在以下方面有待提高：</w:t>
      </w:r>
    </w:p>
    <w:p>
      <w:pPr>
        <w:spacing w:before="91"/>
        <w:ind w:left="477" w:right="104" w:firstLine="0"/>
        <w:jc w:val="left"/>
        <w:rPr>
          <w:rFonts w:ascii="黑体" w:hAnsi="黑体" w:cs="黑体" w:eastAsia="黑体" w:hint="default"/>
          <w:sz w:val="22"/>
          <w:szCs w:val="22"/>
        </w:rPr>
      </w:pPr>
      <w:r>
        <w:rPr>
          <w:rFonts w:ascii="黑体" w:hAnsi="黑体" w:cs="黑体" w:eastAsia="黑体" w:hint="default"/>
          <w:b/>
          <w:bCs/>
          <w:sz w:val="22"/>
          <w:szCs w:val="22"/>
        </w:rPr>
        <w:t>总部</w:t>
      </w:r>
      <w:r>
        <w:rPr>
          <w:rFonts w:ascii="黑体" w:hAnsi="黑体" w:cs="黑体" w:eastAsia="黑体" w:hint="default"/>
          <w:sz w:val="22"/>
          <w:szCs w:val="22"/>
        </w:rPr>
      </w:r>
    </w:p>
    <w:p>
      <w:pPr>
        <w:tabs>
          <w:tab w:pos="1199" w:val="left" w:leader="none"/>
        </w:tabs>
        <w:spacing w:line="295" w:lineRule="exact" w:before="116"/>
        <w:ind w:left="839" w:right="104"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Arial" w:hAnsi="Arial" w:cs="Arial" w:eastAsia="Arial" w:hint="default"/>
          <w:sz w:val="22"/>
          <w:szCs w:val="22"/>
        </w:rPr>
        <w:t>NC</w:t>
      </w:r>
      <w:r>
        <w:rPr>
          <w:rFonts w:ascii="黑体" w:hAnsi="黑体" w:cs="黑体" w:eastAsia="黑体" w:hint="default"/>
          <w:sz w:val="22"/>
          <w:szCs w:val="22"/>
        </w:rPr>
        <w:t>应用系统</w:t>
      </w:r>
    </w:p>
    <w:p>
      <w:pPr>
        <w:tabs>
          <w:tab w:pos="1808" w:val="left" w:leader="none"/>
        </w:tabs>
        <w:spacing w:line="294" w:lineRule="exact" w:before="0"/>
        <w:ind w:left="1448" w:right="104" w:firstLine="0"/>
        <w:jc w:val="left"/>
        <w:rPr>
          <w:rFonts w:ascii="黑体" w:hAnsi="黑体" w:cs="黑体" w:eastAsia="黑体" w:hint="default"/>
          <w:sz w:val="22"/>
          <w:szCs w:val="22"/>
        </w:rPr>
      </w:pPr>
      <w:r>
        <w:rPr>
          <w:rFonts w:ascii="Courier New" w:hAnsi="Courier New" w:cs="Courier New" w:eastAsia="Courier New" w:hint="default"/>
          <w:w w:val="95"/>
          <w:sz w:val="22"/>
          <w:szCs w:val="22"/>
        </w:rPr>
        <w:t>o</w:t>
        <w:tab/>
      </w:r>
      <w:r>
        <w:rPr>
          <w:rFonts w:ascii="黑体" w:hAnsi="黑体" w:cs="黑体" w:eastAsia="黑体" w:hint="default"/>
          <w:sz w:val="22"/>
          <w:szCs w:val="22"/>
        </w:rPr>
        <w:t>未对密码复杂度进行限制；</w:t>
      </w:r>
    </w:p>
    <w:p>
      <w:pPr>
        <w:tabs>
          <w:tab w:pos="1808" w:val="left" w:leader="none"/>
        </w:tabs>
        <w:spacing w:line="286" w:lineRule="exact" w:before="0"/>
        <w:ind w:left="1448" w:right="104" w:firstLine="0"/>
        <w:jc w:val="left"/>
        <w:rPr>
          <w:rFonts w:ascii="黑体" w:hAnsi="黑体" w:cs="黑体" w:eastAsia="黑体" w:hint="default"/>
          <w:sz w:val="22"/>
          <w:szCs w:val="22"/>
        </w:rPr>
      </w:pPr>
      <w:r>
        <w:rPr>
          <w:rFonts w:ascii="Courier New" w:hAnsi="Courier New" w:cs="Courier New" w:eastAsia="Courier New" w:hint="default"/>
          <w:w w:val="95"/>
          <w:sz w:val="22"/>
          <w:szCs w:val="22"/>
        </w:rPr>
        <w:t>o</w:t>
        <w:tab/>
      </w:r>
      <w:r>
        <w:rPr>
          <w:rFonts w:ascii="黑体" w:hAnsi="黑体" w:cs="黑体" w:eastAsia="黑体" w:hint="default"/>
          <w:sz w:val="22"/>
          <w:szCs w:val="22"/>
        </w:rPr>
        <w:t>未对密码历史（使用重复次数）进行设置；</w:t>
      </w:r>
    </w:p>
    <w:p>
      <w:pPr>
        <w:tabs>
          <w:tab w:pos="1808" w:val="left" w:leader="none"/>
        </w:tabs>
        <w:spacing w:line="304" w:lineRule="exact" w:before="0"/>
        <w:ind w:left="1448" w:right="104" w:firstLine="0"/>
        <w:jc w:val="left"/>
        <w:rPr>
          <w:rFonts w:ascii="黑体" w:hAnsi="黑体" w:cs="黑体" w:eastAsia="黑体" w:hint="default"/>
          <w:sz w:val="22"/>
          <w:szCs w:val="22"/>
        </w:rPr>
      </w:pPr>
      <w:r>
        <w:rPr>
          <w:rFonts w:ascii="Courier New" w:hAnsi="Courier New" w:cs="Courier New" w:eastAsia="Courier New" w:hint="default"/>
          <w:w w:val="95"/>
          <w:sz w:val="22"/>
          <w:szCs w:val="22"/>
        </w:rPr>
        <w:t>o</w:t>
        <w:tab/>
      </w:r>
      <w:r>
        <w:rPr>
          <w:rFonts w:ascii="黑体" w:hAnsi="黑体" w:cs="黑体" w:eastAsia="黑体" w:hint="default"/>
          <w:sz w:val="22"/>
          <w:szCs w:val="22"/>
        </w:rPr>
        <w:t>系统长时间未操作不能自动登出。</w:t>
      </w:r>
    </w:p>
    <w:p>
      <w:pPr>
        <w:spacing w:line="240" w:lineRule="auto" w:before="10"/>
        <w:rPr>
          <w:rFonts w:ascii="黑体" w:hAnsi="黑体" w:cs="黑体" w:eastAsia="黑体" w:hint="default"/>
          <w:sz w:val="34"/>
          <w:szCs w:val="34"/>
        </w:rPr>
      </w:pPr>
    </w:p>
    <w:p>
      <w:pPr>
        <w:tabs>
          <w:tab w:pos="1200" w:val="left" w:leader="none"/>
        </w:tabs>
        <w:spacing w:line="295" w:lineRule="exact" w:before="0"/>
        <w:ind w:left="840" w:right="104"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商务生产应用系统</w:t>
      </w:r>
    </w:p>
    <w:p>
      <w:pPr>
        <w:tabs>
          <w:tab w:pos="1808" w:val="left" w:leader="none"/>
        </w:tabs>
        <w:spacing w:line="294" w:lineRule="exact" w:before="0"/>
        <w:ind w:left="1448" w:right="104" w:firstLine="0"/>
        <w:jc w:val="left"/>
        <w:rPr>
          <w:rFonts w:ascii="黑体" w:hAnsi="黑体" w:cs="黑体" w:eastAsia="黑体" w:hint="default"/>
          <w:sz w:val="22"/>
          <w:szCs w:val="22"/>
        </w:rPr>
      </w:pPr>
      <w:r>
        <w:rPr>
          <w:rFonts w:ascii="Courier New" w:hAnsi="Courier New" w:cs="Courier New" w:eastAsia="Courier New" w:hint="default"/>
          <w:w w:val="95"/>
          <w:sz w:val="22"/>
          <w:szCs w:val="22"/>
        </w:rPr>
        <w:t>o</w:t>
        <w:tab/>
      </w:r>
      <w:r>
        <w:rPr>
          <w:rFonts w:ascii="黑体" w:hAnsi="黑体" w:cs="黑体" w:eastAsia="黑体" w:hint="default"/>
          <w:sz w:val="22"/>
          <w:szCs w:val="22"/>
        </w:rPr>
        <w:t>账号没有最短密码限定；</w:t>
      </w:r>
    </w:p>
    <w:p>
      <w:pPr>
        <w:tabs>
          <w:tab w:pos="1808" w:val="left" w:leader="none"/>
        </w:tabs>
        <w:spacing w:line="285" w:lineRule="exact" w:before="0"/>
        <w:ind w:left="1448" w:right="104" w:firstLine="0"/>
        <w:jc w:val="left"/>
        <w:rPr>
          <w:rFonts w:ascii="黑体" w:hAnsi="黑体" w:cs="黑体" w:eastAsia="黑体" w:hint="default"/>
          <w:sz w:val="22"/>
          <w:szCs w:val="22"/>
        </w:rPr>
      </w:pPr>
      <w:r>
        <w:rPr>
          <w:rFonts w:ascii="Courier New" w:hAnsi="Courier New" w:cs="Courier New" w:eastAsia="Courier New" w:hint="default"/>
          <w:w w:val="95"/>
          <w:sz w:val="22"/>
          <w:szCs w:val="22"/>
        </w:rPr>
        <w:t>o</w:t>
        <w:tab/>
      </w:r>
      <w:r>
        <w:rPr>
          <w:rFonts w:ascii="黑体" w:hAnsi="黑体" w:cs="黑体" w:eastAsia="黑体" w:hint="default"/>
          <w:sz w:val="22"/>
          <w:szCs w:val="22"/>
        </w:rPr>
        <w:t>用户使用默认密码，而且也没有定期修改密码；</w:t>
      </w:r>
    </w:p>
    <w:p>
      <w:pPr>
        <w:tabs>
          <w:tab w:pos="1808" w:val="left" w:leader="none"/>
        </w:tabs>
        <w:spacing w:line="285" w:lineRule="exact" w:before="0"/>
        <w:ind w:left="1448" w:right="104" w:firstLine="0"/>
        <w:jc w:val="left"/>
        <w:rPr>
          <w:rFonts w:ascii="黑体" w:hAnsi="黑体" w:cs="黑体" w:eastAsia="黑体" w:hint="default"/>
          <w:sz w:val="22"/>
          <w:szCs w:val="22"/>
        </w:rPr>
      </w:pPr>
      <w:r>
        <w:rPr>
          <w:rFonts w:ascii="Courier New" w:hAnsi="Courier New" w:cs="Courier New" w:eastAsia="Courier New" w:hint="default"/>
          <w:w w:val="95"/>
          <w:sz w:val="22"/>
          <w:szCs w:val="22"/>
        </w:rPr>
        <w:t>o</w:t>
        <w:tab/>
      </w:r>
      <w:r>
        <w:rPr>
          <w:rFonts w:ascii="黑体" w:hAnsi="黑体" w:cs="黑体" w:eastAsia="黑体" w:hint="default"/>
          <w:sz w:val="22"/>
          <w:szCs w:val="22"/>
        </w:rPr>
        <w:t>没有限制登录失败的次数来防止可疑人员试图进入系统；</w:t>
      </w:r>
    </w:p>
    <w:p>
      <w:pPr>
        <w:tabs>
          <w:tab w:pos="1808" w:val="left" w:leader="none"/>
        </w:tabs>
        <w:spacing w:line="285" w:lineRule="exact" w:before="0"/>
        <w:ind w:left="1448" w:right="104" w:firstLine="0"/>
        <w:jc w:val="left"/>
        <w:rPr>
          <w:rFonts w:ascii="黑体" w:hAnsi="黑体" w:cs="黑体" w:eastAsia="黑体" w:hint="default"/>
          <w:sz w:val="22"/>
          <w:szCs w:val="22"/>
        </w:rPr>
      </w:pPr>
      <w:r>
        <w:rPr>
          <w:rFonts w:ascii="Courier New" w:hAnsi="Courier New" w:cs="Courier New" w:eastAsia="Courier New" w:hint="default"/>
          <w:w w:val="95"/>
          <w:sz w:val="22"/>
          <w:szCs w:val="22"/>
        </w:rPr>
        <w:t>o</w:t>
        <w:tab/>
      </w:r>
      <w:r>
        <w:rPr>
          <w:rFonts w:ascii="黑体" w:hAnsi="黑体" w:cs="黑体" w:eastAsia="黑体" w:hint="default"/>
          <w:sz w:val="22"/>
          <w:szCs w:val="22"/>
        </w:rPr>
        <w:t>对密码重复使用没有次数间隔限定；</w:t>
      </w:r>
    </w:p>
    <w:p>
      <w:pPr>
        <w:tabs>
          <w:tab w:pos="1808" w:val="left" w:leader="none"/>
        </w:tabs>
        <w:spacing w:line="285" w:lineRule="exact" w:before="0"/>
        <w:ind w:left="1448" w:right="104" w:firstLine="0"/>
        <w:jc w:val="left"/>
        <w:rPr>
          <w:rFonts w:ascii="黑体" w:hAnsi="黑体" w:cs="黑体" w:eastAsia="黑体" w:hint="default"/>
          <w:sz w:val="22"/>
          <w:szCs w:val="22"/>
        </w:rPr>
      </w:pPr>
      <w:r>
        <w:rPr>
          <w:rFonts w:ascii="Courier New" w:hAnsi="Courier New" w:cs="Courier New" w:eastAsia="Courier New" w:hint="default"/>
          <w:w w:val="95"/>
          <w:sz w:val="22"/>
          <w:szCs w:val="22"/>
        </w:rPr>
        <w:t>o</w:t>
        <w:tab/>
      </w:r>
      <w:r>
        <w:rPr>
          <w:rFonts w:ascii="黑体" w:hAnsi="黑体" w:cs="黑体" w:eastAsia="黑体" w:hint="default"/>
          <w:sz w:val="22"/>
          <w:szCs w:val="22"/>
        </w:rPr>
        <w:t>在一段时间内如果用户对系统没有任何操作，系统中用户不会自动登出；</w:t>
      </w:r>
    </w:p>
    <w:p>
      <w:pPr>
        <w:tabs>
          <w:tab w:pos="1808" w:val="left" w:leader="none"/>
        </w:tabs>
        <w:spacing w:line="304" w:lineRule="exact" w:before="0"/>
        <w:ind w:left="477" w:right="104" w:firstLine="970"/>
        <w:jc w:val="left"/>
        <w:rPr>
          <w:rFonts w:ascii="黑体" w:hAnsi="黑体" w:cs="黑体" w:eastAsia="黑体" w:hint="default"/>
          <w:sz w:val="22"/>
          <w:szCs w:val="22"/>
        </w:rPr>
      </w:pPr>
      <w:r>
        <w:rPr>
          <w:rFonts w:ascii="Courier New" w:hAnsi="Courier New" w:cs="Courier New" w:eastAsia="Courier New" w:hint="default"/>
          <w:w w:val="95"/>
          <w:sz w:val="22"/>
          <w:szCs w:val="22"/>
        </w:rPr>
        <w:t>o</w:t>
        <w:tab/>
      </w:r>
      <w:r>
        <w:rPr>
          <w:rFonts w:ascii="黑体" w:hAnsi="黑体" w:cs="黑体" w:eastAsia="黑体" w:hint="default"/>
          <w:sz w:val="22"/>
          <w:szCs w:val="22"/>
        </w:rPr>
        <w:t>系统没有失败登录的记录，以便发现恶意登录。</w:t>
      </w:r>
    </w:p>
    <w:p>
      <w:pPr>
        <w:spacing w:line="240" w:lineRule="auto" w:before="10"/>
        <w:rPr>
          <w:rFonts w:ascii="黑体" w:hAnsi="黑体" w:cs="黑体" w:eastAsia="黑体" w:hint="default"/>
          <w:sz w:val="34"/>
          <w:szCs w:val="34"/>
        </w:rPr>
      </w:pPr>
    </w:p>
    <w:p>
      <w:pPr>
        <w:spacing w:before="0"/>
        <w:ind w:left="438" w:right="1880" w:firstLine="0"/>
        <w:jc w:val="center"/>
        <w:rPr>
          <w:rFonts w:ascii="黑体" w:hAnsi="黑体" w:cs="黑体" w:eastAsia="黑体" w:hint="default"/>
          <w:sz w:val="22"/>
          <w:szCs w:val="22"/>
        </w:rPr>
      </w:pPr>
      <w:r>
        <w:rPr>
          <w:rFonts w:ascii="黑体" w:hAnsi="黑体" w:cs="黑体" w:eastAsia="黑体" w:hint="default"/>
          <w:b/>
          <w:bCs/>
          <w:sz w:val="22"/>
          <w:szCs w:val="22"/>
        </w:rPr>
        <w:t>北京分公司、上海分公司、南京分公司、政务子公司及方正春元子公司</w:t>
      </w:r>
      <w:r>
        <w:rPr>
          <w:rFonts w:ascii="黑体" w:hAnsi="黑体" w:cs="黑体" w:eastAsia="黑体" w:hint="default"/>
          <w:sz w:val="22"/>
          <w:szCs w:val="22"/>
        </w:rPr>
      </w:r>
    </w:p>
    <w:p>
      <w:pPr>
        <w:tabs>
          <w:tab w:pos="1199" w:val="left" w:leader="none"/>
        </w:tabs>
        <w:spacing w:before="117"/>
        <w:ind w:left="839" w:right="104"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Arial" w:hAnsi="Arial" w:cs="Arial" w:eastAsia="Arial" w:hint="default"/>
          <w:sz w:val="22"/>
          <w:szCs w:val="22"/>
        </w:rPr>
        <w:t>U8</w:t>
      </w:r>
      <w:r>
        <w:rPr>
          <w:rFonts w:ascii="黑体" w:hAnsi="黑体" w:cs="黑体" w:eastAsia="黑体" w:hint="default"/>
          <w:sz w:val="22"/>
          <w:szCs w:val="22"/>
        </w:rPr>
        <w:t>用户可以不设定密码；</w:t>
      </w:r>
    </w:p>
    <w:p>
      <w:pPr>
        <w:tabs>
          <w:tab w:pos="1199" w:val="left" w:leader="none"/>
        </w:tabs>
        <w:spacing w:before="100"/>
        <w:ind w:left="839" w:right="104"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Arial" w:hAnsi="Arial" w:cs="Arial" w:eastAsia="Arial" w:hint="default"/>
          <w:sz w:val="22"/>
          <w:szCs w:val="22"/>
        </w:rPr>
        <w:t>U8</w:t>
      </w:r>
      <w:r>
        <w:rPr>
          <w:rFonts w:ascii="黑体" w:hAnsi="黑体" w:cs="黑体" w:eastAsia="黑体" w:hint="default"/>
          <w:sz w:val="22"/>
          <w:szCs w:val="22"/>
        </w:rPr>
        <w:t>在开通用户账号后，可以继续使用默认密码；</w:t>
      </w:r>
    </w:p>
    <w:p>
      <w:pPr>
        <w:tabs>
          <w:tab w:pos="1199" w:val="left" w:leader="none"/>
        </w:tabs>
        <w:spacing w:before="100"/>
        <w:ind w:left="839" w:right="104"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密码的设置没有复杂性的要求；</w:t>
      </w:r>
    </w:p>
    <w:p>
      <w:pPr>
        <w:tabs>
          <w:tab w:pos="1199" w:val="left" w:leader="none"/>
        </w:tabs>
        <w:spacing w:before="99"/>
        <w:ind w:left="839" w:right="104"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Arial" w:hAnsi="Arial" w:cs="Arial" w:eastAsia="Arial" w:hint="default"/>
          <w:sz w:val="22"/>
          <w:szCs w:val="22"/>
        </w:rPr>
        <w:t>U8</w:t>
      </w:r>
      <w:r>
        <w:rPr>
          <w:rFonts w:ascii="黑体" w:hAnsi="黑体" w:cs="黑体" w:eastAsia="黑体" w:hint="default"/>
          <w:sz w:val="22"/>
          <w:szCs w:val="22"/>
        </w:rPr>
        <w:t>不会提示用户定期更换密码，密码也不会过期；</w:t>
      </w:r>
    </w:p>
    <w:p>
      <w:pPr>
        <w:tabs>
          <w:tab w:pos="1199" w:val="left" w:leader="none"/>
        </w:tabs>
        <w:spacing w:before="100"/>
        <w:ind w:left="839" w:right="104"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Arial" w:hAnsi="Arial" w:cs="Arial" w:eastAsia="Arial" w:hint="default"/>
          <w:sz w:val="22"/>
          <w:szCs w:val="22"/>
        </w:rPr>
        <w:t>U8</w:t>
      </w:r>
      <w:r>
        <w:rPr>
          <w:rFonts w:ascii="黑体" w:hAnsi="黑体" w:cs="黑体" w:eastAsia="黑体" w:hint="default"/>
          <w:sz w:val="22"/>
          <w:szCs w:val="22"/>
        </w:rPr>
        <w:t>系统并未对失败登录的次数进行限制，也不会记录失败登录的行为；</w:t>
      </w:r>
    </w:p>
    <w:p>
      <w:pPr>
        <w:tabs>
          <w:tab w:pos="1199" w:val="left" w:leader="none"/>
        </w:tabs>
        <w:spacing w:before="100"/>
        <w:ind w:left="839" w:right="104"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密码可以重复使用，没有密码历史纪录；</w:t>
      </w:r>
    </w:p>
    <w:p>
      <w:pPr>
        <w:tabs>
          <w:tab w:pos="1199" w:val="left" w:leader="none"/>
        </w:tabs>
        <w:spacing w:before="100"/>
        <w:ind w:left="839" w:right="104"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在一段时间内如果用户对系统没有任何操作，系统不能将该用户登出。</w:t>
      </w:r>
    </w:p>
    <w:p>
      <w:pPr>
        <w:spacing w:line="240" w:lineRule="auto" w:before="0"/>
        <w:rPr>
          <w:rFonts w:ascii="黑体" w:hAnsi="黑体" w:cs="黑体" w:eastAsia="黑体" w:hint="default"/>
          <w:sz w:val="22"/>
          <w:szCs w:val="22"/>
        </w:rPr>
      </w:pPr>
    </w:p>
    <w:p>
      <w:pPr>
        <w:spacing w:line="240" w:lineRule="auto" w:before="6"/>
        <w:rPr>
          <w:rFonts w:ascii="黑体" w:hAnsi="黑体" w:cs="黑体" w:eastAsia="黑体" w:hint="default"/>
          <w:sz w:val="32"/>
          <w:szCs w:val="32"/>
        </w:rPr>
      </w:pPr>
    </w:p>
    <w:p>
      <w:pPr>
        <w:spacing w:before="0"/>
        <w:ind w:left="119" w:right="104" w:firstLine="0"/>
        <w:jc w:val="left"/>
        <w:rPr>
          <w:rFonts w:ascii="黑体" w:hAnsi="黑体" w:cs="黑体" w:eastAsia="黑体" w:hint="default"/>
          <w:sz w:val="22"/>
          <w:szCs w:val="22"/>
        </w:rPr>
      </w:pPr>
      <w:r>
        <w:rPr>
          <w:rFonts w:ascii="黑体" w:hAnsi="黑体" w:cs="黑体" w:eastAsia="黑体" w:hint="default"/>
          <w:b/>
          <w:bCs/>
          <w:spacing w:val="30"/>
          <w:sz w:val="22"/>
          <w:szCs w:val="22"/>
        </w:rPr>
        <w:t>潜在的业</w:t>
      </w:r>
      <w:r>
        <w:rPr>
          <w:rFonts w:ascii="黑体" w:hAnsi="黑体" w:cs="黑体" w:eastAsia="黑体" w:hint="default"/>
          <w:b/>
          <w:bCs/>
          <w:spacing w:val="-76"/>
          <w:sz w:val="22"/>
          <w:szCs w:val="22"/>
        </w:rPr>
        <w:t> </w:t>
      </w:r>
      <w:r>
        <w:rPr>
          <w:rFonts w:ascii="黑体" w:hAnsi="黑体" w:cs="黑体" w:eastAsia="黑体" w:hint="default"/>
          <w:b/>
          <w:bCs/>
          <w:spacing w:val="26"/>
          <w:sz w:val="22"/>
          <w:szCs w:val="22"/>
        </w:rPr>
        <w:t>务风险</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37" w:lineRule="auto" w:before="120"/>
        <w:ind w:left="119" w:right="85" w:firstLine="0"/>
        <w:jc w:val="left"/>
        <w:rPr>
          <w:rFonts w:ascii="黑体" w:hAnsi="黑体" w:cs="黑体" w:eastAsia="黑体" w:hint="default"/>
          <w:sz w:val="22"/>
          <w:szCs w:val="22"/>
        </w:rPr>
      </w:pPr>
      <w:r>
        <w:rPr>
          <w:rFonts w:ascii="黑体" w:hAnsi="黑体" w:cs="黑体" w:eastAsia="黑体" w:hint="default"/>
          <w:sz w:val="22"/>
          <w:szCs w:val="22"/>
        </w:rPr>
        <w:t>密码管理是保证系统安全的重要手段，没有相应的密码管理制度的支持，系统管理员在进行密</w:t>
      </w:r>
      <w:r>
        <w:rPr>
          <w:rFonts w:ascii="黑体" w:hAnsi="黑体" w:cs="黑体" w:eastAsia="黑体" w:hint="default"/>
          <w:w w:val="99"/>
          <w:sz w:val="22"/>
          <w:szCs w:val="22"/>
        </w:rPr>
        <w:t> </w:t>
      </w:r>
      <w:r>
        <w:rPr>
          <w:rFonts w:ascii="黑体" w:hAnsi="黑体" w:cs="黑体" w:eastAsia="黑体" w:hint="default"/>
          <w:sz w:val="22"/>
          <w:szCs w:val="22"/>
        </w:rPr>
        <w:t>码策略设置以及最终用户在进行密码设置时都将无法遵循统一的规范；另外，没有对密码长</w:t>
      </w:r>
      <w:r>
        <w:rPr>
          <w:rFonts w:ascii="黑体" w:hAnsi="黑体" w:cs="黑体" w:eastAsia="黑体" w:hint="default"/>
          <w:w w:val="99"/>
          <w:sz w:val="22"/>
          <w:szCs w:val="22"/>
        </w:rPr>
        <w:t> </w:t>
      </w:r>
      <w:r>
        <w:rPr>
          <w:rFonts w:ascii="黑体" w:hAnsi="黑体" w:cs="黑体" w:eastAsia="黑体" w:hint="default"/>
          <w:sz w:val="22"/>
          <w:szCs w:val="22"/>
        </w:rPr>
        <w:t>度、复杂度、尝试登录及超时锁屏等方面的密码策略进行设置，将增加密码被破译、系统数据</w:t>
      </w:r>
      <w:r>
        <w:rPr>
          <w:rFonts w:ascii="黑体" w:hAnsi="黑体" w:cs="黑体" w:eastAsia="黑体" w:hint="default"/>
          <w:w w:val="99"/>
          <w:sz w:val="22"/>
          <w:szCs w:val="22"/>
        </w:rPr>
        <w:t> </w:t>
      </w:r>
      <w:r>
        <w:rPr>
          <w:rFonts w:ascii="黑体" w:hAnsi="黑体" w:cs="黑体" w:eastAsia="黑体" w:hint="default"/>
          <w:sz w:val="22"/>
          <w:szCs w:val="22"/>
        </w:rPr>
        <w:t>遭受未经授权而被访问的风险。</w:t>
      </w:r>
    </w:p>
    <w:p>
      <w:pPr>
        <w:spacing w:after="0" w:line="237" w:lineRule="auto"/>
        <w:jc w:val="left"/>
        <w:rPr>
          <w:rFonts w:ascii="黑体" w:hAnsi="黑体" w:cs="黑体" w:eastAsia="黑体" w:hint="default"/>
          <w:sz w:val="22"/>
          <w:szCs w:val="22"/>
        </w:rPr>
        <w:sectPr>
          <w:headerReference w:type="default" r:id="rId127"/>
          <w:footerReference w:type="default" r:id="rId128"/>
          <w:pgSz w:w="11910" w:h="16840"/>
          <w:pgMar w:header="0" w:footer="769" w:top="1600" w:bottom="960" w:left="1320" w:right="1340"/>
          <w:pgNumType w:start="30"/>
        </w:sectPr>
      </w:pPr>
    </w:p>
    <w:p>
      <w:pPr>
        <w:spacing w:before="4"/>
        <w:ind w:left="100"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我们的建</w:t>
      </w:r>
      <w:r>
        <w:rPr>
          <w:rFonts w:ascii="黑体" w:hAnsi="黑体" w:cs="黑体" w:eastAsia="黑体" w:hint="default"/>
          <w:b/>
          <w:bCs/>
          <w:spacing w:val="-76"/>
          <w:sz w:val="22"/>
          <w:szCs w:val="22"/>
        </w:rPr>
        <w:t> </w:t>
      </w:r>
      <w:r>
        <w:rPr>
          <w:rFonts w:ascii="黑体" w:hAnsi="黑体" w:cs="黑体" w:eastAsia="黑体" w:hint="default"/>
          <w:b/>
          <w:bCs/>
          <w:sz w:val="22"/>
          <w:szCs w:val="22"/>
        </w:rPr>
        <w:t>议</w:t>
      </w:r>
      <w:r>
        <w:rPr>
          <w:rFonts w:ascii="黑体" w:hAnsi="黑体" w:cs="黑体" w:eastAsia="黑体" w:hint="default"/>
          <w:sz w:val="22"/>
          <w:szCs w:val="22"/>
        </w:rPr>
      </w:r>
    </w:p>
    <w:p>
      <w:pPr>
        <w:spacing w:line="237" w:lineRule="auto" w:before="120"/>
        <w:ind w:left="100" w:right="101" w:firstLine="0"/>
        <w:jc w:val="both"/>
        <w:rPr>
          <w:rFonts w:ascii="黑体" w:hAnsi="黑体" w:cs="黑体" w:eastAsia="黑体" w:hint="default"/>
          <w:sz w:val="22"/>
          <w:szCs w:val="22"/>
        </w:rPr>
      </w:pPr>
      <w:r>
        <w:rPr>
          <w:rFonts w:ascii="黑体" w:hAnsi="黑体" w:cs="黑体" w:eastAsia="黑体" w:hint="default"/>
          <w:sz w:val="22"/>
          <w:szCs w:val="22"/>
        </w:rPr>
        <w:t>我们建议总部信息安全管理部门提高对密码管理的重视程度，及时向上级相关部门反映密码管</w:t>
      </w:r>
      <w:r>
        <w:rPr>
          <w:rFonts w:ascii="黑体" w:hAnsi="黑体" w:cs="黑体" w:eastAsia="黑体" w:hint="default"/>
          <w:w w:val="99"/>
          <w:sz w:val="22"/>
          <w:szCs w:val="22"/>
        </w:rPr>
        <w:t> </w:t>
      </w:r>
      <w:r>
        <w:rPr>
          <w:rFonts w:ascii="黑体" w:hAnsi="黑体" w:cs="黑体" w:eastAsia="黑体" w:hint="default"/>
          <w:sz w:val="22"/>
          <w:szCs w:val="22"/>
        </w:rPr>
        <w:t>理上存在的风险并通过程序变更的方式，增加相应系统中的密码策略控制功能。此外，对应用</w:t>
      </w:r>
      <w:r>
        <w:rPr>
          <w:rFonts w:ascii="黑体" w:hAnsi="黑体" w:cs="黑体" w:eastAsia="黑体" w:hint="default"/>
          <w:w w:val="99"/>
          <w:sz w:val="22"/>
          <w:szCs w:val="22"/>
        </w:rPr>
        <w:t> </w:t>
      </w:r>
      <w:r>
        <w:rPr>
          <w:rFonts w:ascii="黑体" w:hAnsi="黑体" w:cs="黑体" w:eastAsia="黑体" w:hint="default"/>
          <w:sz w:val="22"/>
          <w:szCs w:val="22"/>
        </w:rPr>
        <w:t>系统账号的密码进行定期的合理性检查，从而提升密码安全性。</w:t>
      </w:r>
    </w:p>
    <w:p>
      <w:pPr>
        <w:spacing w:line="240" w:lineRule="auto" w:before="0"/>
        <w:rPr>
          <w:rFonts w:ascii="黑体" w:hAnsi="黑体" w:cs="黑体" w:eastAsia="黑体" w:hint="default"/>
          <w:sz w:val="22"/>
          <w:szCs w:val="22"/>
        </w:rPr>
      </w:pPr>
    </w:p>
    <w:p>
      <w:pPr>
        <w:spacing w:line="240" w:lineRule="auto" w:before="0"/>
        <w:rPr>
          <w:rFonts w:ascii="黑体" w:hAnsi="黑体" w:cs="黑体" w:eastAsia="黑体" w:hint="default"/>
          <w:sz w:val="22"/>
          <w:szCs w:val="22"/>
        </w:rPr>
      </w:pPr>
    </w:p>
    <w:p>
      <w:pPr>
        <w:spacing w:before="155"/>
        <w:ind w:left="100"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管理层回</w:t>
      </w:r>
      <w:r>
        <w:rPr>
          <w:rFonts w:ascii="黑体" w:hAnsi="黑体" w:cs="黑体" w:eastAsia="黑体" w:hint="default"/>
          <w:b/>
          <w:bCs/>
          <w:spacing w:val="-76"/>
          <w:sz w:val="22"/>
          <w:szCs w:val="22"/>
        </w:rPr>
        <w:t> </w:t>
      </w:r>
      <w:r>
        <w:rPr>
          <w:rFonts w:ascii="黑体" w:hAnsi="黑体" w:cs="黑体" w:eastAsia="黑体" w:hint="default"/>
          <w:b/>
          <w:bCs/>
          <w:sz w:val="22"/>
          <w:szCs w:val="22"/>
        </w:rPr>
        <w:t>复</w:t>
      </w:r>
      <w:r>
        <w:rPr>
          <w:rFonts w:ascii="黑体" w:hAnsi="黑体" w:cs="黑体" w:eastAsia="黑体" w:hint="default"/>
          <w:sz w:val="22"/>
          <w:szCs w:val="22"/>
        </w:rPr>
      </w:r>
    </w:p>
    <w:p>
      <w:pPr>
        <w:spacing w:before="117"/>
        <w:ind w:left="119" w:right="0" w:firstLine="0"/>
        <w:jc w:val="both"/>
        <w:rPr>
          <w:rFonts w:ascii="黑体" w:hAnsi="黑体" w:cs="黑体" w:eastAsia="黑体" w:hint="default"/>
          <w:sz w:val="22"/>
          <w:szCs w:val="22"/>
        </w:rPr>
      </w:pPr>
      <w:r>
        <w:rPr>
          <w:rFonts w:ascii="Arial" w:hAnsi="Arial" w:cs="Arial" w:eastAsia="Arial" w:hint="default"/>
          <w:sz w:val="22"/>
          <w:szCs w:val="22"/>
        </w:rPr>
        <w:t>1.     </w:t>
      </w:r>
      <w:r>
        <w:rPr>
          <w:rFonts w:ascii="黑体" w:hAnsi="黑体" w:cs="黑体" w:eastAsia="黑体" w:hint="default"/>
          <w:sz w:val="22"/>
          <w:szCs w:val="22"/>
        </w:rPr>
        <w:t>结合审计要求提高 </w:t>
      </w:r>
      <w:r>
        <w:rPr>
          <w:rFonts w:ascii="Arial" w:hAnsi="Arial" w:cs="Arial" w:eastAsia="Arial" w:hint="default"/>
          <w:sz w:val="22"/>
          <w:szCs w:val="22"/>
        </w:rPr>
        <w:t>nc</w:t>
      </w:r>
      <w:r>
        <w:rPr>
          <w:rFonts w:ascii="Arial" w:hAnsi="Arial" w:cs="Arial" w:eastAsia="Arial" w:hint="default"/>
          <w:spacing w:val="-15"/>
          <w:sz w:val="22"/>
          <w:szCs w:val="22"/>
        </w:rPr>
        <w:t> </w:t>
      </w:r>
      <w:r>
        <w:rPr>
          <w:rFonts w:ascii="黑体" w:hAnsi="黑体" w:cs="黑体" w:eastAsia="黑体" w:hint="default"/>
          <w:sz w:val="22"/>
          <w:szCs w:val="22"/>
        </w:rPr>
        <w:t>产品密码管理，并定期加强内部检查确保登录安全。</w:t>
      </w:r>
    </w:p>
    <w:p>
      <w:pPr>
        <w:spacing w:before="100"/>
        <w:ind w:left="118" w:right="0" w:firstLine="0"/>
        <w:jc w:val="both"/>
        <w:rPr>
          <w:rFonts w:ascii="黑体" w:hAnsi="黑体" w:cs="黑体" w:eastAsia="黑体" w:hint="default"/>
          <w:sz w:val="22"/>
          <w:szCs w:val="22"/>
        </w:rPr>
      </w:pPr>
      <w:r>
        <w:rPr>
          <w:rFonts w:ascii="Arial" w:hAnsi="Arial" w:cs="Arial" w:eastAsia="Arial" w:hint="default"/>
          <w:sz w:val="22"/>
          <w:szCs w:val="22"/>
        </w:rPr>
        <w:t>2.    </w:t>
      </w:r>
      <w:r>
        <w:rPr>
          <w:rFonts w:ascii="Arial" w:hAnsi="Arial" w:cs="Arial" w:eastAsia="Arial" w:hint="default"/>
          <w:spacing w:val="54"/>
          <w:sz w:val="22"/>
          <w:szCs w:val="22"/>
        </w:rPr>
        <w:t> </w:t>
      </w:r>
      <w:r>
        <w:rPr>
          <w:rFonts w:ascii="黑体" w:hAnsi="黑体" w:cs="黑体" w:eastAsia="黑体" w:hint="default"/>
          <w:sz w:val="22"/>
          <w:szCs w:val="22"/>
        </w:rPr>
        <w:t>商务系统根据审计要求逐一纠正，确保应用安全。</w:t>
      </w:r>
    </w:p>
    <w:p>
      <w:pPr>
        <w:spacing w:after="0"/>
        <w:jc w:val="both"/>
        <w:rPr>
          <w:rFonts w:ascii="黑体" w:hAnsi="黑体" w:cs="黑体" w:eastAsia="黑体" w:hint="default"/>
          <w:sz w:val="22"/>
          <w:szCs w:val="22"/>
        </w:rPr>
        <w:sectPr>
          <w:headerReference w:type="default" r:id="rId129"/>
          <w:footerReference w:type="default" r:id="rId130"/>
          <w:pgSz w:w="11910" w:h="16840"/>
          <w:pgMar w:header="0" w:footer="769" w:top="1400" w:bottom="960" w:left="1340" w:right="1340"/>
          <w:pgNumType w:start="31"/>
        </w:sectPr>
      </w:pPr>
    </w:p>
    <w:p>
      <w:pPr>
        <w:spacing w:line="240" w:lineRule="auto" w:before="0"/>
        <w:rPr>
          <w:rFonts w:ascii="黑体" w:hAnsi="黑体" w:cs="黑体" w:eastAsia="黑体" w:hint="default"/>
          <w:sz w:val="23"/>
          <w:szCs w:val="23"/>
        </w:rPr>
      </w:pPr>
    </w:p>
    <w:p>
      <w:pPr>
        <w:spacing w:before="31"/>
        <w:ind w:left="119" w:right="0" w:firstLine="0"/>
        <w:jc w:val="both"/>
        <w:rPr>
          <w:rFonts w:ascii="黑体" w:hAnsi="黑体" w:cs="黑体" w:eastAsia="黑体" w:hint="default"/>
          <w:sz w:val="22"/>
          <w:szCs w:val="22"/>
        </w:rPr>
      </w:pPr>
      <w:bookmarkStart w:name="_bookmark17" w:id="39"/>
      <w:bookmarkEnd w:id="39"/>
      <w:r>
        <w:rPr/>
      </w:r>
      <w:r>
        <w:rPr>
          <w:rFonts w:ascii="黑体" w:hAnsi="黑体" w:cs="黑体" w:eastAsia="黑体" w:hint="default"/>
          <w:b/>
          <w:bCs/>
          <w:spacing w:val="30"/>
          <w:sz w:val="22"/>
          <w:szCs w:val="22"/>
        </w:rPr>
        <w:t>观察所得</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86" w:lineRule="exact" w:before="144"/>
        <w:ind w:left="120" w:right="104" w:hanging="1"/>
        <w:jc w:val="left"/>
        <w:rPr>
          <w:rFonts w:ascii="Arial" w:hAnsi="Arial" w:cs="Arial" w:eastAsia="Arial" w:hint="default"/>
          <w:sz w:val="22"/>
          <w:szCs w:val="22"/>
        </w:rPr>
      </w:pPr>
      <w:r>
        <w:rPr>
          <w:rFonts w:ascii="黑体" w:hAnsi="黑体" w:cs="黑体" w:eastAsia="黑体" w:hint="default"/>
          <w:sz w:val="22"/>
          <w:szCs w:val="22"/>
        </w:rPr>
        <w:t>在本次审计中，我们审阅了</w:t>
      </w:r>
      <w:r>
        <w:rPr>
          <w:rFonts w:ascii="黑体" w:hAnsi="黑体" w:cs="黑体" w:eastAsia="黑体" w:hint="default"/>
          <w:spacing w:val="-51"/>
          <w:sz w:val="22"/>
          <w:szCs w:val="22"/>
        </w:rPr>
        <w:t> </w:t>
      </w:r>
      <w:r>
        <w:rPr>
          <w:rFonts w:ascii="黑体" w:hAnsi="黑体" w:cs="黑体" w:eastAsia="黑体" w:hint="default"/>
          <w:sz w:val="22"/>
          <w:szCs w:val="22"/>
        </w:rPr>
        <w:t>贵公司的</w:t>
      </w:r>
      <w:r>
        <w:rPr>
          <w:rFonts w:ascii="黑体" w:hAnsi="黑体" w:cs="黑体" w:eastAsia="黑体" w:hint="default"/>
          <w:spacing w:val="-57"/>
          <w:sz w:val="22"/>
          <w:szCs w:val="22"/>
        </w:rPr>
        <w:t> </w:t>
      </w:r>
      <w:r>
        <w:rPr>
          <w:rFonts w:ascii="Arial" w:hAnsi="Arial" w:cs="Arial" w:eastAsia="Arial" w:hint="default"/>
          <w:sz w:val="22"/>
          <w:szCs w:val="22"/>
        </w:rPr>
        <w:t>NC</w:t>
      </w:r>
      <w:r>
        <w:rPr>
          <w:rFonts w:ascii="Arial" w:hAnsi="Arial" w:cs="Arial" w:eastAsia="Arial" w:hint="default"/>
          <w:spacing w:val="-14"/>
          <w:sz w:val="22"/>
          <w:szCs w:val="22"/>
        </w:rPr>
        <w:t> </w:t>
      </w:r>
      <w:r>
        <w:rPr>
          <w:rFonts w:ascii="黑体" w:hAnsi="黑体" w:cs="黑体" w:eastAsia="黑体" w:hint="default"/>
          <w:sz w:val="22"/>
          <w:szCs w:val="22"/>
        </w:rPr>
        <w:t>应用系统及其操作系统和数据库管理系统、商务</w:t>
      </w:r>
      <w:r>
        <w:rPr>
          <w:rFonts w:ascii="黑体" w:hAnsi="黑体" w:cs="黑体" w:eastAsia="黑体" w:hint="default"/>
          <w:w w:val="99"/>
          <w:sz w:val="22"/>
          <w:szCs w:val="22"/>
        </w:rPr>
        <w:t> </w:t>
      </w:r>
      <w:r>
        <w:rPr>
          <w:rFonts w:ascii="黑体" w:hAnsi="黑体" w:cs="黑体" w:eastAsia="黑体" w:hint="default"/>
          <w:sz w:val="22"/>
          <w:szCs w:val="22"/>
        </w:rPr>
        <w:t>生产应用系统及操作系统、数据库管理系统的安全性设置和域控制器操作系统的安全性设</w:t>
      </w:r>
      <w:r>
        <w:rPr>
          <w:rFonts w:ascii="黑体" w:hAnsi="黑体" w:cs="黑体" w:eastAsia="黑体" w:hint="default"/>
          <w:w w:val="99"/>
          <w:sz w:val="22"/>
          <w:szCs w:val="22"/>
        </w:rPr>
        <w:t> </w:t>
      </w:r>
      <w:r>
        <w:rPr>
          <w:rFonts w:ascii="黑体" w:hAnsi="黑体" w:cs="黑体" w:eastAsia="黑体" w:hint="default"/>
          <w:sz w:val="22"/>
          <w:szCs w:val="22"/>
        </w:rPr>
        <w:t>置以及各分子工资</w:t>
      </w:r>
      <w:r>
        <w:rPr>
          <w:rFonts w:ascii="黑体" w:hAnsi="黑体" w:cs="黑体" w:eastAsia="黑体" w:hint="default"/>
          <w:spacing w:val="-56"/>
          <w:sz w:val="22"/>
          <w:szCs w:val="22"/>
        </w:rPr>
        <w:t> </w:t>
      </w:r>
      <w:r>
        <w:rPr>
          <w:rFonts w:ascii="Arial" w:hAnsi="Arial" w:cs="Arial" w:eastAsia="Arial" w:hint="default"/>
          <w:sz w:val="22"/>
          <w:szCs w:val="22"/>
        </w:rPr>
        <w:t>U8</w:t>
      </w:r>
      <w:r>
        <w:rPr>
          <w:rFonts w:ascii="Arial" w:hAnsi="Arial" w:cs="Arial" w:eastAsia="Arial" w:hint="default"/>
          <w:spacing w:val="-13"/>
          <w:sz w:val="22"/>
          <w:szCs w:val="22"/>
        </w:rPr>
        <w:t> </w:t>
      </w:r>
      <w:r>
        <w:rPr>
          <w:rFonts w:ascii="黑体" w:hAnsi="黑体" w:cs="黑体" w:eastAsia="黑体" w:hint="default"/>
          <w:sz w:val="22"/>
          <w:szCs w:val="22"/>
        </w:rPr>
        <w:t>应用系统及操作系统和数据库管理系统。其中包括</w:t>
      </w:r>
      <w:r>
        <w:rPr>
          <w:rFonts w:ascii="黑体" w:hAnsi="黑体" w:cs="黑体" w:eastAsia="黑体" w:hint="default"/>
          <w:spacing w:val="-55"/>
          <w:sz w:val="22"/>
          <w:szCs w:val="22"/>
        </w:rPr>
        <w:t> </w:t>
      </w:r>
      <w:r>
        <w:rPr>
          <w:rFonts w:ascii="Arial" w:hAnsi="Arial" w:cs="Arial" w:eastAsia="Arial" w:hint="default"/>
          <w:sz w:val="22"/>
          <w:szCs w:val="22"/>
        </w:rPr>
        <w:t>NC</w:t>
      </w:r>
      <w:r>
        <w:rPr>
          <w:rFonts w:ascii="Arial" w:hAnsi="Arial" w:cs="Arial" w:eastAsia="Arial" w:hint="default"/>
          <w:spacing w:val="-15"/>
          <w:sz w:val="22"/>
          <w:szCs w:val="22"/>
        </w:rPr>
        <w:t> </w:t>
      </w:r>
      <w:r>
        <w:rPr>
          <w:rFonts w:ascii="黑体" w:hAnsi="黑体" w:cs="黑体" w:eastAsia="黑体" w:hint="default"/>
          <w:sz w:val="22"/>
          <w:szCs w:val="22"/>
        </w:rPr>
        <w:t>应用系统及</w:t>
      </w:r>
      <w:r>
        <w:rPr>
          <w:rFonts w:ascii="黑体" w:hAnsi="黑体" w:cs="黑体" w:eastAsia="黑体" w:hint="default"/>
          <w:w w:val="99"/>
          <w:sz w:val="22"/>
          <w:szCs w:val="22"/>
        </w:rPr>
        <w:t> </w:t>
      </w:r>
      <w:r>
        <w:rPr>
          <w:rFonts w:ascii="黑体" w:hAnsi="黑体" w:cs="黑体" w:eastAsia="黑体" w:hint="default"/>
          <w:sz w:val="22"/>
          <w:szCs w:val="22"/>
        </w:rPr>
        <w:t>其应用操作系统</w:t>
      </w:r>
      <w:r>
        <w:rPr>
          <w:rFonts w:ascii="黑体" w:hAnsi="黑体" w:cs="黑体" w:eastAsia="黑体" w:hint="default"/>
          <w:spacing w:val="-57"/>
          <w:sz w:val="22"/>
          <w:szCs w:val="22"/>
        </w:rPr>
        <w:t> </w:t>
      </w:r>
      <w:r>
        <w:rPr>
          <w:rFonts w:ascii="Arial" w:hAnsi="Arial" w:cs="Arial" w:eastAsia="Arial" w:hint="default"/>
          <w:sz w:val="22"/>
          <w:szCs w:val="22"/>
        </w:rPr>
        <w:t>Windows</w:t>
      </w:r>
      <w:r>
        <w:rPr>
          <w:rFonts w:ascii="Arial" w:hAnsi="Arial" w:cs="Arial" w:eastAsia="Arial" w:hint="default"/>
          <w:spacing w:val="-3"/>
          <w:sz w:val="22"/>
          <w:szCs w:val="22"/>
        </w:rPr>
        <w:t> </w:t>
      </w:r>
      <w:r>
        <w:rPr>
          <w:rFonts w:ascii="Arial" w:hAnsi="Arial" w:cs="Arial" w:eastAsia="Arial" w:hint="default"/>
          <w:sz w:val="22"/>
          <w:szCs w:val="22"/>
        </w:rPr>
        <w:t>2003</w:t>
      </w:r>
      <w:r>
        <w:rPr>
          <w:rFonts w:ascii="黑体" w:hAnsi="黑体" w:cs="黑体" w:eastAsia="黑体" w:hint="default"/>
          <w:sz w:val="22"/>
          <w:szCs w:val="22"/>
        </w:rPr>
        <w:t>、数据库操作系统</w:t>
      </w:r>
      <w:r>
        <w:rPr>
          <w:rFonts w:ascii="黑体" w:hAnsi="黑体" w:cs="黑体" w:eastAsia="黑体" w:hint="default"/>
          <w:spacing w:val="-51"/>
          <w:sz w:val="22"/>
          <w:szCs w:val="22"/>
        </w:rPr>
        <w:t> </w:t>
      </w:r>
      <w:r>
        <w:rPr>
          <w:rFonts w:ascii="Arial" w:hAnsi="Arial" w:cs="Arial" w:eastAsia="Arial" w:hint="default"/>
          <w:sz w:val="22"/>
          <w:szCs w:val="22"/>
        </w:rPr>
        <w:t>Solaris</w:t>
      </w:r>
      <w:r>
        <w:rPr>
          <w:rFonts w:ascii="黑体" w:hAnsi="黑体" w:cs="黑体" w:eastAsia="黑体" w:hint="default"/>
          <w:sz w:val="22"/>
          <w:szCs w:val="22"/>
        </w:rPr>
        <w:t>、数据库管理系统</w:t>
      </w:r>
      <w:r>
        <w:rPr>
          <w:rFonts w:ascii="黑体" w:hAnsi="黑体" w:cs="黑体" w:eastAsia="黑体" w:hint="default"/>
          <w:spacing w:val="-57"/>
          <w:sz w:val="22"/>
          <w:szCs w:val="22"/>
        </w:rPr>
        <w:t> </w:t>
      </w:r>
      <w:r>
        <w:rPr>
          <w:rFonts w:ascii="Arial" w:hAnsi="Arial" w:cs="Arial" w:eastAsia="Arial" w:hint="default"/>
          <w:sz w:val="22"/>
          <w:szCs w:val="22"/>
        </w:rPr>
        <w:t>Oracle</w:t>
      </w:r>
    </w:p>
    <w:p>
      <w:pPr>
        <w:spacing w:line="265" w:lineRule="exact" w:before="0"/>
        <w:ind w:left="119" w:right="0" w:firstLine="0"/>
        <w:jc w:val="both"/>
        <w:rPr>
          <w:rFonts w:ascii="Arial" w:hAnsi="Arial" w:cs="Arial" w:eastAsia="Arial" w:hint="default"/>
          <w:sz w:val="22"/>
          <w:szCs w:val="22"/>
        </w:rPr>
      </w:pPr>
      <w:r>
        <w:rPr>
          <w:rFonts w:ascii="Arial" w:hAnsi="Arial" w:cs="Arial" w:eastAsia="Arial" w:hint="default"/>
          <w:sz w:val="22"/>
          <w:szCs w:val="22"/>
        </w:rPr>
        <w:t>10g</w:t>
      </w:r>
      <w:r>
        <w:rPr>
          <w:rFonts w:ascii="Arial" w:hAnsi="Arial" w:cs="Arial" w:eastAsia="Arial" w:hint="default"/>
          <w:spacing w:val="-3"/>
          <w:sz w:val="22"/>
          <w:szCs w:val="22"/>
        </w:rPr>
        <w:t> </w:t>
      </w:r>
      <w:r>
        <w:rPr>
          <w:rFonts w:ascii="黑体" w:hAnsi="黑体" w:cs="黑体" w:eastAsia="黑体" w:hint="default"/>
          <w:sz w:val="22"/>
          <w:szCs w:val="22"/>
        </w:rPr>
        <w:t>、商务生产应用系统及其操作系统</w:t>
      </w:r>
      <w:r>
        <w:rPr>
          <w:rFonts w:ascii="黑体" w:hAnsi="黑体" w:cs="黑体" w:eastAsia="黑体" w:hint="default"/>
          <w:spacing w:val="-57"/>
          <w:sz w:val="22"/>
          <w:szCs w:val="22"/>
        </w:rPr>
        <w:t> </w:t>
      </w:r>
      <w:r>
        <w:rPr>
          <w:rFonts w:ascii="Arial" w:hAnsi="Arial" w:cs="Arial" w:eastAsia="Arial" w:hint="default"/>
          <w:sz w:val="22"/>
          <w:szCs w:val="22"/>
        </w:rPr>
        <w:t>Windows</w:t>
      </w:r>
      <w:r>
        <w:rPr>
          <w:rFonts w:ascii="Arial" w:hAnsi="Arial" w:cs="Arial" w:eastAsia="Arial" w:hint="default"/>
          <w:spacing w:val="-4"/>
          <w:sz w:val="22"/>
          <w:szCs w:val="22"/>
        </w:rPr>
        <w:t> </w:t>
      </w:r>
      <w:r>
        <w:rPr>
          <w:rFonts w:ascii="Arial" w:hAnsi="Arial" w:cs="Arial" w:eastAsia="Arial" w:hint="default"/>
          <w:sz w:val="22"/>
          <w:szCs w:val="22"/>
        </w:rPr>
        <w:t>2003</w:t>
      </w:r>
      <w:r>
        <w:rPr>
          <w:rFonts w:ascii="黑体" w:hAnsi="黑体" w:cs="黑体" w:eastAsia="黑体" w:hint="default"/>
          <w:sz w:val="22"/>
          <w:szCs w:val="22"/>
        </w:rPr>
        <w:t>、数据库管理系统</w:t>
      </w:r>
      <w:r>
        <w:rPr>
          <w:rFonts w:ascii="黑体" w:hAnsi="黑体" w:cs="黑体" w:eastAsia="黑体" w:hint="default"/>
          <w:spacing w:val="-57"/>
          <w:sz w:val="22"/>
          <w:szCs w:val="22"/>
        </w:rPr>
        <w:t> </w:t>
      </w:r>
      <w:r>
        <w:rPr>
          <w:rFonts w:ascii="Arial" w:hAnsi="Arial" w:cs="Arial" w:eastAsia="Arial" w:hint="default"/>
          <w:sz w:val="22"/>
          <w:szCs w:val="22"/>
        </w:rPr>
        <w:t>SQL</w:t>
      </w:r>
      <w:r>
        <w:rPr>
          <w:rFonts w:ascii="Arial" w:hAnsi="Arial" w:cs="Arial" w:eastAsia="Arial" w:hint="default"/>
          <w:spacing w:val="-3"/>
          <w:sz w:val="22"/>
          <w:szCs w:val="22"/>
        </w:rPr>
        <w:t> </w:t>
      </w:r>
      <w:r>
        <w:rPr>
          <w:rFonts w:ascii="Arial" w:hAnsi="Arial" w:cs="Arial" w:eastAsia="Arial" w:hint="default"/>
          <w:sz w:val="22"/>
          <w:szCs w:val="22"/>
        </w:rPr>
        <w:t>server</w:t>
      </w:r>
    </w:p>
    <w:p>
      <w:pPr>
        <w:spacing w:line="230" w:lineRule="auto" w:before="1"/>
        <w:ind w:left="119" w:right="151" w:firstLine="0"/>
        <w:jc w:val="both"/>
        <w:rPr>
          <w:rFonts w:ascii="黑体" w:hAnsi="黑体" w:cs="黑体" w:eastAsia="黑体" w:hint="default"/>
          <w:sz w:val="22"/>
          <w:szCs w:val="22"/>
        </w:rPr>
      </w:pPr>
      <w:r>
        <w:rPr>
          <w:rFonts w:ascii="Arial" w:hAnsi="Arial" w:cs="Arial" w:eastAsia="Arial" w:hint="default"/>
          <w:sz w:val="22"/>
          <w:szCs w:val="22"/>
        </w:rPr>
        <w:t>2003</w:t>
      </w:r>
      <w:r>
        <w:rPr>
          <w:rFonts w:ascii="Arial" w:hAnsi="Arial" w:cs="Arial" w:eastAsia="Arial" w:hint="default"/>
          <w:spacing w:val="-15"/>
          <w:sz w:val="22"/>
          <w:szCs w:val="22"/>
        </w:rPr>
        <w:t> </w:t>
      </w:r>
      <w:r>
        <w:rPr>
          <w:rFonts w:ascii="黑体" w:hAnsi="黑体" w:cs="黑体" w:eastAsia="黑体" w:hint="default"/>
          <w:sz w:val="22"/>
          <w:szCs w:val="22"/>
        </w:rPr>
        <w:t>和域控制器的操作系统</w:t>
      </w:r>
      <w:r>
        <w:rPr>
          <w:rFonts w:ascii="黑体" w:hAnsi="黑体" w:cs="黑体" w:eastAsia="黑体" w:hint="default"/>
          <w:spacing w:val="-57"/>
          <w:sz w:val="22"/>
          <w:szCs w:val="22"/>
        </w:rPr>
        <w:t> </w:t>
      </w:r>
      <w:r>
        <w:rPr>
          <w:rFonts w:ascii="Arial" w:hAnsi="Arial" w:cs="Arial" w:eastAsia="Arial" w:hint="default"/>
          <w:sz w:val="22"/>
          <w:szCs w:val="22"/>
        </w:rPr>
        <w:t>Windows</w:t>
      </w:r>
      <w:r>
        <w:rPr>
          <w:rFonts w:ascii="Arial" w:hAnsi="Arial" w:cs="Arial" w:eastAsia="Arial" w:hint="default"/>
          <w:spacing w:val="-3"/>
          <w:sz w:val="22"/>
          <w:szCs w:val="22"/>
        </w:rPr>
        <w:t> </w:t>
      </w:r>
      <w:r>
        <w:rPr>
          <w:rFonts w:ascii="Arial" w:hAnsi="Arial" w:cs="Arial" w:eastAsia="Arial" w:hint="default"/>
          <w:sz w:val="22"/>
          <w:szCs w:val="22"/>
        </w:rPr>
        <w:t>Server</w:t>
      </w:r>
      <w:r>
        <w:rPr>
          <w:rFonts w:ascii="Arial" w:hAnsi="Arial" w:cs="Arial" w:eastAsia="Arial" w:hint="default"/>
          <w:spacing w:val="-2"/>
          <w:sz w:val="22"/>
          <w:szCs w:val="22"/>
        </w:rPr>
        <w:t> </w:t>
      </w:r>
      <w:r>
        <w:rPr>
          <w:rFonts w:ascii="Arial" w:hAnsi="Arial" w:cs="Arial" w:eastAsia="Arial" w:hint="default"/>
          <w:sz w:val="22"/>
          <w:szCs w:val="22"/>
        </w:rPr>
        <w:t>2003</w:t>
      </w:r>
      <w:r>
        <w:rPr>
          <w:rFonts w:ascii="黑体" w:hAnsi="黑体" w:cs="黑体" w:eastAsia="黑体" w:hint="default"/>
          <w:sz w:val="22"/>
          <w:szCs w:val="22"/>
        </w:rPr>
        <w:t>、</w:t>
      </w:r>
      <w:r>
        <w:rPr>
          <w:rFonts w:ascii="Arial" w:hAnsi="Arial" w:cs="Arial" w:eastAsia="Arial" w:hint="default"/>
          <w:sz w:val="22"/>
          <w:szCs w:val="22"/>
        </w:rPr>
        <w:t>U8</w:t>
      </w:r>
      <w:r>
        <w:rPr>
          <w:rFonts w:ascii="Arial" w:hAnsi="Arial" w:cs="Arial" w:eastAsia="Arial" w:hint="default"/>
          <w:spacing w:val="-15"/>
          <w:sz w:val="22"/>
          <w:szCs w:val="22"/>
        </w:rPr>
        <w:t> </w:t>
      </w:r>
      <w:r>
        <w:rPr>
          <w:rFonts w:ascii="黑体" w:hAnsi="黑体" w:cs="黑体" w:eastAsia="黑体" w:hint="default"/>
          <w:sz w:val="22"/>
          <w:szCs w:val="22"/>
        </w:rPr>
        <w:t>应用系统及其操作系统</w:t>
      </w:r>
      <w:r>
        <w:rPr>
          <w:rFonts w:ascii="黑体" w:hAnsi="黑体" w:cs="黑体" w:eastAsia="黑体" w:hint="default"/>
          <w:spacing w:val="-57"/>
          <w:sz w:val="22"/>
          <w:szCs w:val="22"/>
        </w:rPr>
        <w:t> </w:t>
      </w:r>
      <w:r>
        <w:rPr>
          <w:rFonts w:ascii="Arial" w:hAnsi="Arial" w:cs="Arial" w:eastAsia="Arial" w:hint="default"/>
          <w:sz w:val="22"/>
          <w:szCs w:val="22"/>
        </w:rPr>
        <w:t>Window</w:t>
      </w:r>
      <w:r>
        <w:rPr>
          <w:rFonts w:ascii="Arial" w:hAnsi="Arial" w:cs="Arial" w:eastAsia="Arial" w:hint="default"/>
          <w:w w:val="99"/>
          <w:sz w:val="22"/>
          <w:szCs w:val="22"/>
        </w:rPr>
        <w:t> </w:t>
      </w:r>
      <w:r>
        <w:rPr>
          <w:rFonts w:ascii="Arial" w:hAnsi="Arial" w:cs="Arial" w:eastAsia="Arial" w:hint="default"/>
          <w:sz w:val="22"/>
          <w:szCs w:val="22"/>
        </w:rPr>
        <w:t>2000</w:t>
      </w:r>
      <w:r>
        <w:rPr>
          <w:rFonts w:ascii="黑体" w:hAnsi="黑体" w:cs="黑体" w:eastAsia="黑体" w:hint="default"/>
          <w:sz w:val="22"/>
          <w:szCs w:val="22"/>
        </w:rPr>
        <w:t>、数据库管理系统</w:t>
      </w:r>
      <w:r>
        <w:rPr>
          <w:rFonts w:ascii="黑体" w:hAnsi="黑体" w:cs="黑体" w:eastAsia="黑体" w:hint="default"/>
          <w:spacing w:val="-57"/>
          <w:sz w:val="22"/>
          <w:szCs w:val="22"/>
        </w:rPr>
        <w:t> </w:t>
      </w:r>
      <w:r>
        <w:rPr>
          <w:rFonts w:ascii="Arial" w:hAnsi="Arial" w:cs="Arial" w:eastAsia="Arial" w:hint="default"/>
          <w:sz w:val="22"/>
          <w:szCs w:val="22"/>
        </w:rPr>
        <w:t>SQL</w:t>
      </w:r>
      <w:r>
        <w:rPr>
          <w:rFonts w:ascii="Arial" w:hAnsi="Arial" w:cs="Arial" w:eastAsia="Arial" w:hint="default"/>
          <w:spacing w:val="-3"/>
          <w:sz w:val="22"/>
          <w:szCs w:val="22"/>
        </w:rPr>
        <w:t> </w:t>
      </w:r>
      <w:r>
        <w:rPr>
          <w:rFonts w:ascii="Arial" w:hAnsi="Arial" w:cs="Arial" w:eastAsia="Arial" w:hint="default"/>
          <w:sz w:val="22"/>
          <w:szCs w:val="22"/>
        </w:rPr>
        <w:t>server</w:t>
      </w:r>
      <w:r>
        <w:rPr>
          <w:rFonts w:ascii="Arial" w:hAnsi="Arial" w:cs="Arial" w:eastAsia="Arial" w:hint="default"/>
          <w:spacing w:val="-2"/>
          <w:sz w:val="22"/>
          <w:szCs w:val="22"/>
        </w:rPr>
        <w:t> </w:t>
      </w:r>
      <w:r>
        <w:rPr>
          <w:rFonts w:ascii="Arial" w:hAnsi="Arial" w:cs="Arial" w:eastAsia="Arial" w:hint="default"/>
          <w:sz w:val="22"/>
          <w:szCs w:val="22"/>
        </w:rPr>
        <w:t>2000</w:t>
      </w:r>
      <w:r>
        <w:rPr>
          <w:rFonts w:ascii="黑体" w:hAnsi="黑体" w:cs="黑体" w:eastAsia="黑体" w:hint="default"/>
          <w:sz w:val="22"/>
          <w:szCs w:val="22"/>
        </w:rPr>
        <w:t>。在审阅过程中，我们发现到贵公司在这些系统</w:t>
      </w:r>
      <w:r>
        <w:rPr>
          <w:rFonts w:ascii="黑体" w:hAnsi="黑体" w:cs="黑体" w:eastAsia="黑体" w:hint="default"/>
          <w:w w:val="99"/>
          <w:sz w:val="22"/>
          <w:szCs w:val="22"/>
        </w:rPr>
        <w:t> </w:t>
      </w:r>
      <w:r>
        <w:rPr>
          <w:rFonts w:ascii="黑体" w:hAnsi="黑体" w:cs="黑体" w:eastAsia="黑体" w:hint="default"/>
          <w:sz w:val="22"/>
          <w:szCs w:val="22"/>
        </w:rPr>
        <w:t>的一些系统参数设置上还存在一定的控制弱点，有待进一步改善和提高，详见《</w:t>
      </w:r>
      <w:r>
        <w:rPr>
          <w:rFonts w:ascii="黑体" w:hAnsi="黑体" w:cs="黑体" w:eastAsia="黑体" w:hint="default"/>
          <w:b/>
          <w:bCs/>
          <w:sz w:val="22"/>
          <w:szCs w:val="22"/>
        </w:rPr>
        <w:t>附件一</w:t>
      </w:r>
      <w:r>
        <w:rPr>
          <w:rFonts w:ascii="黑体" w:hAnsi="黑体" w:cs="黑体" w:eastAsia="黑体" w:hint="default"/>
          <w:sz w:val="22"/>
          <w:szCs w:val="22"/>
        </w:rPr>
        <w:t>》</w:t>
      </w:r>
      <w:r>
        <w:rPr>
          <w:rFonts w:ascii="黑体" w:hAnsi="黑体" w:cs="黑体" w:eastAsia="黑体" w:hint="default"/>
          <w:w w:val="99"/>
          <w:sz w:val="22"/>
          <w:szCs w:val="22"/>
        </w:rPr>
        <w:t> </w:t>
      </w:r>
      <w:r>
        <w:rPr>
          <w:rFonts w:ascii="黑体" w:hAnsi="黑体" w:cs="黑体" w:eastAsia="黑体" w:hint="default"/>
          <w:sz w:val="22"/>
          <w:szCs w:val="22"/>
        </w:rPr>
        <w:t>及《</w:t>
      </w:r>
      <w:r>
        <w:rPr>
          <w:rFonts w:ascii="黑体" w:hAnsi="黑体" w:cs="黑体" w:eastAsia="黑体" w:hint="default"/>
          <w:b/>
          <w:bCs/>
          <w:sz w:val="22"/>
          <w:szCs w:val="22"/>
        </w:rPr>
        <w:t>附件二</w:t>
      </w:r>
      <w:r>
        <w:rPr>
          <w:rFonts w:ascii="黑体" w:hAnsi="黑体" w:cs="黑体" w:eastAsia="黑体" w:hint="default"/>
          <w:sz w:val="22"/>
          <w:szCs w:val="22"/>
        </w:rPr>
        <w:t>》。</w:t>
      </w:r>
    </w:p>
    <w:p>
      <w:pPr>
        <w:spacing w:line="240" w:lineRule="auto" w:before="0"/>
        <w:rPr>
          <w:rFonts w:ascii="黑体" w:hAnsi="黑体" w:cs="黑体" w:eastAsia="黑体" w:hint="default"/>
          <w:sz w:val="22"/>
          <w:szCs w:val="22"/>
        </w:rPr>
      </w:pPr>
    </w:p>
    <w:p>
      <w:pPr>
        <w:spacing w:line="240" w:lineRule="auto" w:before="0"/>
        <w:rPr>
          <w:rFonts w:ascii="黑体" w:hAnsi="黑体" w:cs="黑体" w:eastAsia="黑体" w:hint="default"/>
          <w:sz w:val="22"/>
          <w:szCs w:val="22"/>
        </w:rPr>
      </w:pPr>
    </w:p>
    <w:p>
      <w:pPr>
        <w:spacing w:before="156"/>
        <w:ind w:left="119"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潜在的业</w:t>
      </w:r>
      <w:r>
        <w:rPr>
          <w:rFonts w:ascii="黑体" w:hAnsi="黑体" w:cs="黑体" w:eastAsia="黑体" w:hint="default"/>
          <w:b/>
          <w:bCs/>
          <w:spacing w:val="-76"/>
          <w:sz w:val="22"/>
          <w:szCs w:val="22"/>
        </w:rPr>
        <w:t> </w:t>
      </w:r>
      <w:r>
        <w:rPr>
          <w:rFonts w:ascii="黑体" w:hAnsi="黑体" w:cs="黑体" w:eastAsia="黑体" w:hint="default"/>
          <w:b/>
          <w:bCs/>
          <w:spacing w:val="26"/>
          <w:sz w:val="22"/>
          <w:szCs w:val="22"/>
        </w:rPr>
        <w:t>务风险</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37" w:lineRule="auto" w:before="120"/>
        <w:ind w:left="119" w:right="158" w:firstLine="0"/>
        <w:jc w:val="both"/>
        <w:rPr>
          <w:rFonts w:ascii="黑体" w:hAnsi="黑体" w:cs="黑体" w:eastAsia="黑体" w:hint="default"/>
          <w:sz w:val="22"/>
          <w:szCs w:val="22"/>
        </w:rPr>
      </w:pPr>
      <w:r>
        <w:rPr>
          <w:rFonts w:ascii="黑体" w:hAnsi="黑体" w:cs="黑体" w:eastAsia="黑体" w:hint="default"/>
          <w:sz w:val="22"/>
          <w:szCs w:val="22"/>
        </w:rPr>
        <w:t>系统数据的安全性在很大程度上依赖于操作系统和数据库所提供的安全性能。操作系统和</w:t>
      </w:r>
      <w:r>
        <w:rPr>
          <w:rFonts w:ascii="黑体" w:hAnsi="黑体" w:cs="黑体" w:eastAsia="黑体" w:hint="default"/>
          <w:w w:val="99"/>
          <w:sz w:val="22"/>
          <w:szCs w:val="22"/>
        </w:rPr>
        <w:t> </w:t>
      </w:r>
      <w:r>
        <w:rPr>
          <w:rFonts w:ascii="黑体" w:hAnsi="黑体" w:cs="黑体" w:eastAsia="黑体" w:hint="default"/>
          <w:sz w:val="22"/>
          <w:szCs w:val="22"/>
        </w:rPr>
        <w:t>数据库安全性是信息安全防范的一个重要方面和基本出发点，也是运行于其之上的数据安</w:t>
      </w:r>
      <w:r>
        <w:rPr>
          <w:rFonts w:ascii="黑体" w:hAnsi="黑体" w:cs="黑体" w:eastAsia="黑体" w:hint="default"/>
          <w:w w:val="99"/>
          <w:sz w:val="22"/>
          <w:szCs w:val="22"/>
        </w:rPr>
        <w:t> </w:t>
      </w:r>
      <w:r>
        <w:rPr>
          <w:rFonts w:ascii="黑体" w:hAnsi="黑体" w:cs="黑体" w:eastAsia="黑体" w:hint="default"/>
          <w:sz w:val="22"/>
          <w:szCs w:val="22"/>
        </w:rPr>
        <w:t>全的基础。而当前的系统安全设置情况，增加了贵公司的信息系统及资源被恶意操纵或遭</w:t>
      </w:r>
      <w:r>
        <w:rPr>
          <w:rFonts w:ascii="黑体" w:hAnsi="黑体" w:cs="黑体" w:eastAsia="黑体" w:hint="default"/>
          <w:w w:val="99"/>
          <w:sz w:val="22"/>
          <w:szCs w:val="22"/>
        </w:rPr>
        <w:t> </w:t>
      </w:r>
      <w:r>
        <w:rPr>
          <w:rFonts w:ascii="黑体" w:hAnsi="黑体" w:cs="黑体" w:eastAsia="黑体" w:hint="default"/>
          <w:sz w:val="22"/>
          <w:szCs w:val="22"/>
        </w:rPr>
        <w:t>受未经授权访问的风险。</w:t>
      </w:r>
    </w:p>
    <w:p>
      <w:pPr>
        <w:spacing w:line="240" w:lineRule="auto" w:before="0"/>
        <w:rPr>
          <w:rFonts w:ascii="黑体" w:hAnsi="黑体" w:cs="黑体" w:eastAsia="黑体" w:hint="default"/>
          <w:sz w:val="22"/>
          <w:szCs w:val="22"/>
        </w:rPr>
      </w:pPr>
    </w:p>
    <w:p>
      <w:pPr>
        <w:spacing w:line="240" w:lineRule="auto" w:before="0"/>
        <w:rPr>
          <w:rFonts w:ascii="黑体" w:hAnsi="黑体" w:cs="黑体" w:eastAsia="黑体" w:hint="default"/>
          <w:sz w:val="22"/>
          <w:szCs w:val="22"/>
        </w:rPr>
      </w:pPr>
    </w:p>
    <w:p>
      <w:pPr>
        <w:spacing w:before="155"/>
        <w:ind w:left="119"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我们的建</w:t>
      </w:r>
      <w:r>
        <w:rPr>
          <w:rFonts w:ascii="黑体" w:hAnsi="黑体" w:cs="黑体" w:eastAsia="黑体" w:hint="default"/>
          <w:b/>
          <w:bCs/>
          <w:spacing w:val="-76"/>
          <w:sz w:val="22"/>
          <w:szCs w:val="22"/>
        </w:rPr>
        <w:t> </w:t>
      </w:r>
      <w:r>
        <w:rPr>
          <w:rFonts w:ascii="黑体" w:hAnsi="黑体" w:cs="黑体" w:eastAsia="黑体" w:hint="default"/>
          <w:b/>
          <w:bCs/>
          <w:sz w:val="22"/>
          <w:szCs w:val="22"/>
        </w:rPr>
        <w:t>议</w:t>
      </w:r>
      <w:r>
        <w:rPr>
          <w:rFonts w:ascii="黑体" w:hAnsi="黑体" w:cs="黑体" w:eastAsia="黑体" w:hint="default"/>
          <w:sz w:val="22"/>
          <w:szCs w:val="22"/>
        </w:rPr>
      </w:r>
    </w:p>
    <w:p>
      <w:pPr>
        <w:spacing w:line="286" w:lineRule="exact" w:before="144"/>
        <w:ind w:left="119" w:right="158" w:firstLine="0"/>
        <w:jc w:val="both"/>
        <w:rPr>
          <w:rFonts w:ascii="黑体" w:hAnsi="黑体" w:cs="黑体" w:eastAsia="黑体" w:hint="default"/>
          <w:sz w:val="22"/>
          <w:szCs w:val="22"/>
        </w:rPr>
      </w:pPr>
      <w:r>
        <w:rPr>
          <w:rFonts w:ascii="黑体" w:hAnsi="黑体" w:cs="黑体" w:eastAsia="黑体" w:hint="default"/>
          <w:sz w:val="22"/>
          <w:szCs w:val="22"/>
        </w:rPr>
        <w:t>我们建议总部及分子公司改进目前操作系统和数据库的安全设置以加强其安全性。关于具</w:t>
      </w:r>
      <w:r>
        <w:rPr>
          <w:rFonts w:ascii="黑体" w:hAnsi="黑体" w:cs="黑体" w:eastAsia="黑体" w:hint="default"/>
          <w:w w:val="99"/>
          <w:sz w:val="22"/>
          <w:szCs w:val="22"/>
        </w:rPr>
        <w:t> </w:t>
      </w:r>
      <w:r>
        <w:rPr>
          <w:rFonts w:ascii="黑体" w:hAnsi="黑体" w:cs="黑体" w:eastAsia="黑体" w:hint="default"/>
          <w:sz w:val="22"/>
          <w:szCs w:val="22"/>
        </w:rPr>
        <w:t>体的建议，请参见《</w:t>
      </w:r>
      <w:r>
        <w:rPr>
          <w:rFonts w:ascii="黑体" w:hAnsi="黑体" w:cs="黑体" w:eastAsia="黑体" w:hint="default"/>
          <w:b/>
          <w:bCs/>
          <w:sz w:val="22"/>
          <w:szCs w:val="22"/>
        </w:rPr>
        <w:t>附件一</w:t>
      </w:r>
      <w:r>
        <w:rPr>
          <w:rFonts w:ascii="黑体" w:hAnsi="黑体" w:cs="黑体" w:eastAsia="黑体" w:hint="default"/>
          <w:sz w:val="22"/>
          <w:szCs w:val="22"/>
        </w:rPr>
        <w:t>》及《</w:t>
      </w:r>
      <w:r>
        <w:rPr>
          <w:rFonts w:ascii="黑体" w:hAnsi="黑体" w:cs="黑体" w:eastAsia="黑体" w:hint="default"/>
          <w:b/>
          <w:bCs/>
          <w:sz w:val="22"/>
          <w:szCs w:val="22"/>
        </w:rPr>
        <w:t>附件二</w:t>
      </w:r>
      <w:r>
        <w:rPr>
          <w:rFonts w:ascii="黑体" w:hAnsi="黑体" w:cs="黑体" w:eastAsia="黑体" w:hint="default"/>
          <w:sz w:val="22"/>
          <w:szCs w:val="22"/>
        </w:rPr>
        <w:t>》。</w:t>
      </w:r>
    </w:p>
    <w:p>
      <w:pPr>
        <w:spacing w:line="240" w:lineRule="auto" w:before="0"/>
        <w:rPr>
          <w:rFonts w:ascii="黑体" w:hAnsi="黑体" w:cs="黑体" w:eastAsia="黑体" w:hint="default"/>
          <w:sz w:val="22"/>
          <w:szCs w:val="22"/>
        </w:rPr>
      </w:pPr>
    </w:p>
    <w:p>
      <w:pPr>
        <w:spacing w:line="240" w:lineRule="auto" w:before="11"/>
        <w:rPr>
          <w:rFonts w:ascii="黑体" w:hAnsi="黑体" w:cs="黑体" w:eastAsia="黑体" w:hint="default"/>
          <w:sz w:val="31"/>
          <w:szCs w:val="31"/>
        </w:rPr>
      </w:pPr>
    </w:p>
    <w:p>
      <w:pPr>
        <w:spacing w:before="0"/>
        <w:ind w:left="119"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管理层回</w:t>
      </w:r>
      <w:r>
        <w:rPr>
          <w:rFonts w:ascii="黑体" w:hAnsi="黑体" w:cs="黑体" w:eastAsia="黑体" w:hint="default"/>
          <w:b/>
          <w:bCs/>
          <w:spacing w:val="-76"/>
          <w:sz w:val="22"/>
          <w:szCs w:val="22"/>
        </w:rPr>
        <w:t> </w:t>
      </w:r>
      <w:r>
        <w:rPr>
          <w:rFonts w:ascii="黑体" w:hAnsi="黑体" w:cs="黑体" w:eastAsia="黑体" w:hint="default"/>
          <w:b/>
          <w:bCs/>
          <w:sz w:val="22"/>
          <w:szCs w:val="22"/>
        </w:rPr>
        <w:t>复</w:t>
      </w:r>
      <w:r>
        <w:rPr>
          <w:rFonts w:ascii="黑体" w:hAnsi="黑体" w:cs="黑体" w:eastAsia="黑体" w:hint="default"/>
          <w:sz w:val="22"/>
          <w:szCs w:val="22"/>
        </w:rPr>
      </w:r>
    </w:p>
    <w:p>
      <w:pPr>
        <w:spacing w:line="286" w:lineRule="exact" w:before="144"/>
        <w:ind w:left="119" w:right="158" w:firstLine="0"/>
        <w:jc w:val="both"/>
        <w:rPr>
          <w:rFonts w:ascii="黑体" w:hAnsi="黑体" w:cs="黑体" w:eastAsia="黑体" w:hint="default"/>
          <w:sz w:val="22"/>
          <w:szCs w:val="22"/>
        </w:rPr>
      </w:pPr>
      <w:r>
        <w:rPr>
          <w:rFonts w:ascii="黑体" w:hAnsi="黑体" w:cs="黑体" w:eastAsia="黑体" w:hint="default"/>
          <w:sz w:val="22"/>
          <w:szCs w:val="22"/>
        </w:rPr>
        <w:t>根据建议参考附件一、二，对相应系统进行相应安全配置，分别对操作系统、数据库等提</w:t>
      </w:r>
      <w:r>
        <w:rPr>
          <w:rFonts w:ascii="黑体" w:hAnsi="黑体" w:cs="黑体" w:eastAsia="黑体" w:hint="default"/>
          <w:w w:val="99"/>
          <w:sz w:val="22"/>
          <w:szCs w:val="22"/>
        </w:rPr>
        <w:t> </w:t>
      </w:r>
      <w:r>
        <w:rPr>
          <w:rFonts w:ascii="黑体" w:hAnsi="黑体" w:cs="黑体" w:eastAsia="黑体" w:hint="default"/>
          <w:sz w:val="22"/>
          <w:szCs w:val="22"/>
        </w:rPr>
        <w:t>高系统配置参数的设置，提高系统基础安全。</w:t>
      </w:r>
    </w:p>
    <w:p>
      <w:pPr>
        <w:spacing w:after="0" w:line="286" w:lineRule="exact"/>
        <w:jc w:val="both"/>
        <w:rPr>
          <w:rFonts w:ascii="黑体" w:hAnsi="黑体" w:cs="黑体" w:eastAsia="黑体" w:hint="default"/>
          <w:sz w:val="22"/>
          <w:szCs w:val="22"/>
        </w:rPr>
        <w:sectPr>
          <w:headerReference w:type="default" r:id="rId131"/>
          <w:footerReference w:type="default" r:id="rId132"/>
          <w:pgSz w:w="12240" w:h="15840"/>
          <w:pgMar w:header="1581" w:footer="755" w:top="2200" w:bottom="940" w:left="1680" w:right="1700"/>
          <w:pgNumType w:start="32"/>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5"/>
          <w:szCs w:val="15"/>
        </w:rPr>
      </w:pPr>
    </w:p>
    <w:p>
      <w:pPr>
        <w:spacing w:before="0"/>
        <w:ind w:left="119" w:right="0" w:firstLine="0"/>
        <w:jc w:val="both"/>
        <w:rPr>
          <w:rFonts w:ascii="黑体" w:hAnsi="黑体" w:cs="黑体" w:eastAsia="黑体" w:hint="default"/>
          <w:sz w:val="22"/>
          <w:szCs w:val="22"/>
        </w:rPr>
      </w:pPr>
      <w:bookmarkStart w:name="_bookmark18" w:id="40"/>
      <w:bookmarkEnd w:id="40"/>
      <w:r>
        <w:rPr/>
      </w:r>
      <w:r>
        <w:rPr>
          <w:rFonts w:ascii="黑体" w:hAnsi="黑体" w:cs="黑体" w:eastAsia="黑体" w:hint="default"/>
          <w:b/>
          <w:bCs/>
          <w:spacing w:val="30"/>
          <w:sz w:val="22"/>
          <w:szCs w:val="22"/>
        </w:rPr>
        <w:t>观察所得</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86" w:lineRule="exact" w:before="144"/>
        <w:ind w:left="120" w:right="197" w:hanging="1"/>
        <w:jc w:val="both"/>
        <w:rPr>
          <w:rFonts w:ascii="黑体" w:hAnsi="黑体" w:cs="黑体" w:eastAsia="黑体" w:hint="default"/>
          <w:sz w:val="22"/>
          <w:szCs w:val="22"/>
        </w:rPr>
      </w:pPr>
      <w:r>
        <w:rPr>
          <w:rFonts w:ascii="黑体" w:hAnsi="黑体" w:cs="黑体" w:eastAsia="黑体" w:hint="default"/>
          <w:sz w:val="22"/>
          <w:szCs w:val="22"/>
        </w:rPr>
        <w:t>在审计过程中我们发现，贵公司对</w:t>
      </w:r>
      <w:r>
        <w:rPr>
          <w:rFonts w:ascii="黑体" w:hAnsi="黑体" w:cs="黑体" w:eastAsia="黑体" w:hint="default"/>
          <w:spacing w:val="-57"/>
          <w:sz w:val="22"/>
          <w:szCs w:val="22"/>
        </w:rPr>
        <w:t> </w:t>
      </w:r>
      <w:r>
        <w:rPr>
          <w:rFonts w:ascii="Arial" w:hAnsi="Arial" w:cs="Arial" w:eastAsia="Arial" w:hint="default"/>
          <w:sz w:val="22"/>
          <w:szCs w:val="22"/>
        </w:rPr>
        <w:t>NC</w:t>
      </w:r>
      <w:r>
        <w:rPr>
          <w:rFonts w:ascii="Arial" w:hAnsi="Arial" w:cs="Arial" w:eastAsia="Arial" w:hint="default"/>
          <w:spacing w:val="-15"/>
          <w:sz w:val="22"/>
          <w:szCs w:val="22"/>
        </w:rPr>
        <w:t> </w:t>
      </w:r>
      <w:r>
        <w:rPr>
          <w:rFonts w:ascii="黑体" w:hAnsi="黑体" w:cs="黑体" w:eastAsia="黑体" w:hint="default"/>
          <w:sz w:val="22"/>
          <w:szCs w:val="22"/>
        </w:rPr>
        <w:t>系统及商务生产系统的数据每个工作日都实施全备</w:t>
      </w:r>
      <w:r>
        <w:rPr>
          <w:rFonts w:ascii="黑体" w:hAnsi="黑体" w:cs="黑体" w:eastAsia="黑体" w:hint="default"/>
          <w:w w:val="99"/>
          <w:sz w:val="22"/>
          <w:szCs w:val="22"/>
        </w:rPr>
        <w:t> </w:t>
      </w:r>
      <w:r>
        <w:rPr>
          <w:rFonts w:ascii="黑体" w:hAnsi="黑体" w:cs="黑体" w:eastAsia="黑体" w:hint="default"/>
          <w:sz w:val="22"/>
          <w:szCs w:val="22"/>
        </w:rPr>
        <w:t>份。在分、子公司层面，各分公司对</w:t>
      </w:r>
      <w:r>
        <w:rPr>
          <w:rFonts w:ascii="黑体" w:hAnsi="黑体" w:cs="黑体" w:eastAsia="黑体" w:hint="default"/>
          <w:spacing w:val="-57"/>
          <w:sz w:val="22"/>
          <w:szCs w:val="22"/>
        </w:rPr>
        <w:t> </w:t>
      </w:r>
      <w:r>
        <w:rPr>
          <w:rFonts w:ascii="Arial" w:hAnsi="Arial" w:cs="Arial" w:eastAsia="Arial" w:hint="default"/>
          <w:sz w:val="22"/>
          <w:szCs w:val="22"/>
        </w:rPr>
        <w:t>U8</w:t>
      </w:r>
      <w:r>
        <w:rPr>
          <w:rFonts w:ascii="Arial" w:hAnsi="Arial" w:cs="Arial" w:eastAsia="Arial" w:hint="default"/>
          <w:spacing w:val="-2"/>
          <w:sz w:val="22"/>
          <w:szCs w:val="22"/>
        </w:rPr>
        <w:t> </w:t>
      </w:r>
      <w:r>
        <w:rPr>
          <w:rFonts w:ascii="黑体" w:hAnsi="黑体" w:cs="黑体" w:eastAsia="黑体" w:hint="default"/>
          <w:sz w:val="22"/>
          <w:szCs w:val="22"/>
        </w:rPr>
        <w:t>系统的数据也设置了备份策略，并对重要业务数</w:t>
      </w:r>
      <w:r>
        <w:rPr>
          <w:rFonts w:ascii="黑体" w:hAnsi="黑体" w:cs="黑体" w:eastAsia="黑体" w:hint="default"/>
          <w:w w:val="99"/>
          <w:sz w:val="22"/>
          <w:szCs w:val="22"/>
        </w:rPr>
        <w:t> </w:t>
      </w:r>
      <w:r>
        <w:rPr>
          <w:rFonts w:ascii="黑体" w:hAnsi="黑体" w:cs="黑体" w:eastAsia="黑体" w:hint="default"/>
          <w:sz w:val="22"/>
          <w:szCs w:val="22"/>
        </w:rPr>
        <w:t>据进行了备份。但是在现阶段还存在如下不足：</w:t>
      </w:r>
    </w:p>
    <w:p>
      <w:pPr>
        <w:spacing w:before="91"/>
        <w:ind w:left="477" w:right="0" w:firstLine="0"/>
        <w:jc w:val="left"/>
        <w:rPr>
          <w:rFonts w:ascii="黑体" w:hAnsi="黑体" w:cs="黑体" w:eastAsia="黑体" w:hint="default"/>
          <w:sz w:val="22"/>
          <w:szCs w:val="22"/>
        </w:rPr>
      </w:pPr>
      <w:r>
        <w:rPr>
          <w:rFonts w:ascii="黑体" w:hAnsi="黑体" w:cs="黑体" w:eastAsia="黑体" w:hint="default"/>
          <w:b/>
          <w:bCs/>
          <w:sz w:val="22"/>
          <w:szCs w:val="22"/>
        </w:rPr>
        <w:t>总部</w:t>
      </w:r>
      <w:r>
        <w:rPr>
          <w:rFonts w:ascii="黑体" w:hAnsi="黑体" w:cs="黑体" w:eastAsia="黑体" w:hint="default"/>
          <w:b/>
          <w:bCs/>
          <w:spacing w:val="-52"/>
          <w:sz w:val="22"/>
          <w:szCs w:val="22"/>
        </w:rPr>
        <w:t> </w:t>
      </w:r>
      <w:r>
        <w:rPr>
          <w:rFonts w:ascii="黑体" w:hAnsi="黑体" w:cs="黑体" w:eastAsia="黑体" w:hint="default"/>
          <w:b/>
          <w:bCs/>
          <w:sz w:val="22"/>
          <w:szCs w:val="22"/>
        </w:rPr>
        <w:t>（</w:t>
      </w:r>
      <w:r>
        <w:rPr>
          <w:rFonts w:ascii="Arial" w:hAnsi="Arial" w:cs="Arial" w:eastAsia="Arial" w:hint="default"/>
          <w:b/>
          <w:bCs/>
          <w:sz w:val="22"/>
          <w:szCs w:val="22"/>
        </w:rPr>
        <w:t>NC</w:t>
      </w:r>
      <w:r>
        <w:rPr>
          <w:rFonts w:ascii="Arial" w:hAnsi="Arial" w:cs="Arial" w:eastAsia="Arial" w:hint="default"/>
          <w:b/>
          <w:bCs/>
          <w:spacing w:val="-10"/>
          <w:sz w:val="22"/>
          <w:szCs w:val="22"/>
        </w:rPr>
        <w:t> </w:t>
      </w:r>
      <w:r>
        <w:rPr>
          <w:rFonts w:ascii="黑体" w:hAnsi="黑体" w:cs="黑体" w:eastAsia="黑体" w:hint="default"/>
          <w:b/>
          <w:bCs/>
          <w:sz w:val="22"/>
          <w:szCs w:val="22"/>
        </w:rPr>
        <w:t>系统）</w:t>
      </w:r>
      <w:r>
        <w:rPr>
          <w:rFonts w:ascii="黑体" w:hAnsi="黑体" w:cs="黑体" w:eastAsia="黑体" w:hint="default"/>
          <w:sz w:val="22"/>
          <w:szCs w:val="22"/>
        </w:rPr>
      </w:r>
    </w:p>
    <w:p>
      <w:pPr>
        <w:tabs>
          <w:tab w:pos="1200" w:val="left" w:leader="none"/>
        </w:tabs>
        <w:spacing w:line="319" w:lineRule="auto" w:before="100"/>
        <w:ind w:left="477" w:right="4501" w:firstLine="362"/>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w w:val="95"/>
          <w:sz w:val="22"/>
          <w:szCs w:val="22"/>
        </w:rPr>
        <w:t>未对</w:t>
      </w:r>
      <w:r>
        <w:rPr>
          <w:rFonts w:ascii="Arial" w:hAnsi="Arial" w:cs="Arial" w:eastAsia="Arial" w:hint="default"/>
          <w:w w:val="95"/>
          <w:sz w:val="22"/>
          <w:szCs w:val="22"/>
        </w:rPr>
        <w:t>NC</w:t>
      </w:r>
      <w:r>
        <w:rPr>
          <w:rFonts w:ascii="黑体" w:hAnsi="黑体" w:cs="黑体" w:eastAsia="黑体" w:hint="default"/>
          <w:w w:val="95"/>
          <w:sz w:val="22"/>
          <w:szCs w:val="22"/>
        </w:rPr>
        <w:t>系统数据实施异地备份。</w:t>
      </w:r>
      <w:r>
        <w:rPr>
          <w:rFonts w:ascii="黑体" w:hAnsi="黑体" w:cs="黑体" w:eastAsia="黑体" w:hint="default"/>
          <w:w w:val="99"/>
          <w:sz w:val="22"/>
          <w:szCs w:val="22"/>
        </w:rPr>
        <w:t> </w:t>
      </w:r>
      <w:r>
        <w:rPr>
          <w:rFonts w:ascii="黑体" w:hAnsi="黑体" w:cs="黑体" w:eastAsia="黑体" w:hint="default"/>
          <w:b/>
          <w:bCs/>
          <w:sz w:val="22"/>
          <w:szCs w:val="22"/>
        </w:rPr>
        <w:t>北京分公司</w:t>
      </w:r>
      <w:r>
        <w:rPr>
          <w:rFonts w:ascii="黑体" w:hAnsi="黑体" w:cs="黑体" w:eastAsia="黑体" w:hint="default"/>
          <w:sz w:val="22"/>
          <w:szCs w:val="22"/>
        </w:rPr>
      </w:r>
    </w:p>
    <w:p>
      <w:pPr>
        <w:tabs>
          <w:tab w:pos="1199" w:val="left" w:leader="none"/>
        </w:tabs>
        <w:spacing w:before="45"/>
        <w:ind w:left="839"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针对</w:t>
      </w:r>
      <w:r>
        <w:rPr>
          <w:rFonts w:ascii="Arial" w:hAnsi="Arial" w:cs="Arial" w:eastAsia="Arial" w:hint="default"/>
          <w:sz w:val="22"/>
          <w:szCs w:val="22"/>
        </w:rPr>
        <w:t>U8</w:t>
      </w:r>
      <w:r>
        <w:rPr>
          <w:rFonts w:ascii="黑体" w:hAnsi="黑体" w:cs="黑体" w:eastAsia="黑体" w:hint="default"/>
          <w:sz w:val="22"/>
          <w:szCs w:val="22"/>
        </w:rPr>
        <w:t>系统，还未建立一套较为完善的备份及恢复管理制度；</w:t>
      </w:r>
    </w:p>
    <w:p>
      <w:pPr>
        <w:tabs>
          <w:tab w:pos="1199" w:val="left" w:leader="none"/>
        </w:tabs>
        <w:spacing w:line="284" w:lineRule="exact" w:before="130"/>
        <w:ind w:left="1199" w:right="117" w:hanging="36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pacing w:val="2"/>
          <w:sz w:val="22"/>
          <w:szCs w:val="22"/>
        </w:rPr>
        <w:t>未对备份完成状态进行持续性的日常监控和跟进，以保证每日备份任务的成功</w:t>
      </w:r>
      <w:r>
        <w:rPr>
          <w:rFonts w:ascii="黑体" w:hAnsi="黑体" w:cs="黑体" w:eastAsia="黑体" w:hint="default"/>
          <w:spacing w:val="2"/>
          <w:w w:val="99"/>
          <w:sz w:val="22"/>
          <w:szCs w:val="22"/>
        </w:rPr>
        <w:t> </w:t>
      </w:r>
      <w:r>
        <w:rPr>
          <w:rFonts w:ascii="黑体" w:hAnsi="黑体" w:cs="黑体" w:eastAsia="黑体" w:hint="default"/>
          <w:sz w:val="22"/>
          <w:szCs w:val="22"/>
        </w:rPr>
        <w:t>执行。同时，也未将备份检查结果加以记录，并妥善保管；</w:t>
      </w:r>
    </w:p>
    <w:p>
      <w:pPr>
        <w:tabs>
          <w:tab w:pos="1199" w:val="left" w:leader="none"/>
        </w:tabs>
        <w:spacing w:before="92"/>
        <w:ind w:left="839"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没有对</w:t>
      </w:r>
      <w:r>
        <w:rPr>
          <w:rFonts w:ascii="Arial" w:hAnsi="Arial" w:cs="Arial" w:eastAsia="Arial" w:hint="default"/>
          <w:sz w:val="22"/>
          <w:szCs w:val="22"/>
        </w:rPr>
        <w:t>U8</w:t>
      </w:r>
      <w:r>
        <w:rPr>
          <w:rFonts w:ascii="黑体" w:hAnsi="黑体" w:cs="黑体" w:eastAsia="黑体" w:hint="default"/>
          <w:sz w:val="22"/>
          <w:szCs w:val="22"/>
        </w:rPr>
        <w:t>系统的数据备份进行定期恢复性测试；</w:t>
      </w:r>
    </w:p>
    <w:p>
      <w:pPr>
        <w:tabs>
          <w:tab w:pos="1199" w:val="left" w:leader="none"/>
        </w:tabs>
        <w:spacing w:line="319" w:lineRule="auto" w:before="100"/>
        <w:ind w:left="477" w:right="4205" w:firstLine="362"/>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未对</w:t>
      </w:r>
      <w:r>
        <w:rPr>
          <w:rFonts w:ascii="Arial" w:hAnsi="Arial" w:cs="Arial" w:eastAsia="Arial" w:hint="default"/>
          <w:sz w:val="22"/>
          <w:szCs w:val="22"/>
        </w:rPr>
        <w:t>U8</w:t>
      </w:r>
      <w:r>
        <w:rPr>
          <w:rFonts w:ascii="黑体" w:hAnsi="黑体" w:cs="黑体" w:eastAsia="黑体" w:hint="default"/>
          <w:sz w:val="22"/>
          <w:szCs w:val="22"/>
        </w:rPr>
        <w:t>系统数据实施异地备份。</w:t>
      </w:r>
      <w:r>
        <w:rPr>
          <w:rFonts w:ascii="黑体" w:hAnsi="黑体" w:cs="黑体" w:eastAsia="黑体" w:hint="default"/>
          <w:w w:val="99"/>
          <w:sz w:val="22"/>
          <w:szCs w:val="22"/>
        </w:rPr>
        <w:t> </w:t>
      </w:r>
      <w:r>
        <w:rPr>
          <w:rFonts w:ascii="黑体" w:hAnsi="黑体" w:cs="黑体" w:eastAsia="黑体" w:hint="default"/>
          <w:b/>
          <w:bCs/>
          <w:w w:val="95"/>
          <w:sz w:val="22"/>
          <w:szCs w:val="22"/>
        </w:rPr>
        <w:t>上海分公司、南京分公司及方正春元子公司</w:t>
      </w:r>
      <w:r>
        <w:rPr>
          <w:rFonts w:ascii="黑体" w:hAnsi="黑体" w:cs="黑体" w:eastAsia="黑体" w:hint="default"/>
          <w:sz w:val="22"/>
          <w:szCs w:val="22"/>
        </w:rPr>
      </w:r>
    </w:p>
    <w:p>
      <w:pPr>
        <w:tabs>
          <w:tab w:pos="1199" w:val="left" w:leader="none"/>
        </w:tabs>
        <w:spacing w:before="43"/>
        <w:ind w:left="839"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针对</w:t>
      </w:r>
      <w:r>
        <w:rPr>
          <w:rFonts w:ascii="Arial" w:hAnsi="Arial" w:cs="Arial" w:eastAsia="Arial" w:hint="default"/>
          <w:sz w:val="22"/>
          <w:szCs w:val="22"/>
        </w:rPr>
        <w:t>U8</w:t>
      </w:r>
      <w:r>
        <w:rPr>
          <w:rFonts w:ascii="黑体" w:hAnsi="黑体" w:cs="黑体" w:eastAsia="黑体" w:hint="default"/>
          <w:sz w:val="22"/>
          <w:szCs w:val="22"/>
        </w:rPr>
        <w:t>系统，还未建立一套较为完善的备份及恢复管理制度；</w:t>
      </w:r>
    </w:p>
    <w:p>
      <w:pPr>
        <w:tabs>
          <w:tab w:pos="1199" w:val="left" w:leader="none"/>
        </w:tabs>
        <w:spacing w:line="286" w:lineRule="exact" w:before="128"/>
        <w:ind w:left="1199" w:right="117" w:hanging="36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pacing w:val="2"/>
          <w:sz w:val="22"/>
          <w:szCs w:val="22"/>
        </w:rPr>
        <w:t>未对备份完成状态进行持续性的日常监控和跟进，以保证每日备份任务的成功</w:t>
      </w:r>
      <w:r>
        <w:rPr>
          <w:rFonts w:ascii="黑体" w:hAnsi="黑体" w:cs="黑体" w:eastAsia="黑体" w:hint="default"/>
          <w:spacing w:val="2"/>
          <w:w w:val="99"/>
          <w:sz w:val="22"/>
          <w:szCs w:val="22"/>
        </w:rPr>
        <w:t> </w:t>
      </w:r>
      <w:r>
        <w:rPr>
          <w:rFonts w:ascii="黑体" w:hAnsi="黑体" w:cs="黑体" w:eastAsia="黑体" w:hint="default"/>
          <w:sz w:val="22"/>
          <w:szCs w:val="22"/>
        </w:rPr>
        <w:t>执行。同时，也未将备份检查结果加以记录，并妥善保管；</w:t>
      </w:r>
    </w:p>
    <w:p>
      <w:pPr>
        <w:tabs>
          <w:tab w:pos="1199" w:val="left" w:leader="none"/>
        </w:tabs>
        <w:spacing w:before="91"/>
        <w:ind w:left="839"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没有对</w:t>
      </w:r>
      <w:r>
        <w:rPr>
          <w:rFonts w:ascii="Arial" w:hAnsi="Arial" w:cs="Arial" w:eastAsia="Arial" w:hint="default"/>
          <w:sz w:val="22"/>
          <w:szCs w:val="22"/>
        </w:rPr>
        <w:t>U8</w:t>
      </w:r>
      <w:r>
        <w:rPr>
          <w:rFonts w:ascii="黑体" w:hAnsi="黑体" w:cs="黑体" w:eastAsia="黑体" w:hint="default"/>
          <w:sz w:val="22"/>
          <w:szCs w:val="22"/>
        </w:rPr>
        <w:t>系统的数据备份进行定期恢复性测试。</w:t>
      </w:r>
    </w:p>
    <w:p>
      <w:pPr>
        <w:spacing w:line="240" w:lineRule="auto" w:before="0"/>
        <w:rPr>
          <w:rFonts w:ascii="黑体" w:hAnsi="黑体" w:cs="黑体" w:eastAsia="黑体" w:hint="default"/>
          <w:sz w:val="22"/>
          <w:szCs w:val="22"/>
        </w:rPr>
      </w:pPr>
    </w:p>
    <w:p>
      <w:pPr>
        <w:spacing w:line="240" w:lineRule="auto" w:before="6"/>
        <w:rPr>
          <w:rFonts w:ascii="黑体" w:hAnsi="黑体" w:cs="黑体" w:eastAsia="黑体" w:hint="default"/>
          <w:sz w:val="32"/>
          <w:szCs w:val="32"/>
        </w:rPr>
      </w:pPr>
    </w:p>
    <w:p>
      <w:pPr>
        <w:spacing w:before="0"/>
        <w:ind w:left="119"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潜在的业</w:t>
      </w:r>
      <w:r>
        <w:rPr>
          <w:rFonts w:ascii="黑体" w:hAnsi="黑体" w:cs="黑体" w:eastAsia="黑体" w:hint="default"/>
          <w:b/>
          <w:bCs/>
          <w:spacing w:val="-76"/>
          <w:sz w:val="22"/>
          <w:szCs w:val="22"/>
        </w:rPr>
        <w:t> </w:t>
      </w:r>
      <w:r>
        <w:rPr>
          <w:rFonts w:ascii="黑体" w:hAnsi="黑体" w:cs="黑体" w:eastAsia="黑体" w:hint="default"/>
          <w:b/>
          <w:bCs/>
          <w:spacing w:val="26"/>
          <w:sz w:val="22"/>
          <w:szCs w:val="22"/>
        </w:rPr>
        <w:t>务风险</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37" w:lineRule="auto" w:before="120"/>
        <w:ind w:left="119" w:right="178" w:firstLine="0"/>
        <w:jc w:val="both"/>
        <w:rPr>
          <w:rFonts w:ascii="黑体" w:hAnsi="黑体" w:cs="黑体" w:eastAsia="黑体" w:hint="default"/>
          <w:sz w:val="22"/>
          <w:szCs w:val="22"/>
        </w:rPr>
      </w:pPr>
      <w:r>
        <w:rPr>
          <w:rFonts w:ascii="黑体" w:hAnsi="黑体" w:cs="黑体" w:eastAsia="黑体" w:hint="default"/>
          <w:sz w:val="22"/>
          <w:szCs w:val="22"/>
        </w:rPr>
        <w:t>有效的数据备份管理可以提高数据的安全性，降低系统整体运作风险。缺少备份数据的定</w:t>
      </w:r>
      <w:r>
        <w:rPr>
          <w:rFonts w:ascii="黑体" w:hAnsi="黑体" w:cs="黑体" w:eastAsia="黑体" w:hint="default"/>
          <w:w w:val="99"/>
          <w:sz w:val="22"/>
          <w:szCs w:val="22"/>
        </w:rPr>
        <w:t> </w:t>
      </w:r>
      <w:r>
        <w:rPr>
          <w:rFonts w:ascii="黑体" w:hAnsi="黑体" w:cs="黑体" w:eastAsia="黑体" w:hint="default"/>
          <w:sz w:val="22"/>
          <w:szCs w:val="22"/>
        </w:rPr>
        <w:t>期恢复测试将难以保证备份数据的完整性和真实性。在遇到突发事件导致系统数据和当地</w:t>
      </w:r>
      <w:r>
        <w:rPr>
          <w:rFonts w:ascii="黑体" w:hAnsi="黑体" w:cs="黑体" w:eastAsia="黑体" w:hint="default"/>
          <w:w w:val="99"/>
          <w:sz w:val="22"/>
          <w:szCs w:val="22"/>
        </w:rPr>
        <w:t> </w:t>
      </w:r>
      <w:r>
        <w:rPr>
          <w:rFonts w:ascii="黑体" w:hAnsi="黑体" w:cs="黑体" w:eastAsia="黑体" w:hint="default"/>
          <w:sz w:val="22"/>
          <w:szCs w:val="22"/>
        </w:rPr>
        <w:t>备份数据同时不可用或丢失时，如没有异地保存的备份数据做支持，将可能造成重要业务</w:t>
      </w:r>
      <w:r>
        <w:rPr>
          <w:rFonts w:ascii="黑体" w:hAnsi="黑体" w:cs="黑体" w:eastAsia="黑体" w:hint="default"/>
          <w:w w:val="99"/>
          <w:sz w:val="22"/>
          <w:szCs w:val="22"/>
        </w:rPr>
        <w:t> </w:t>
      </w:r>
      <w:r>
        <w:rPr>
          <w:rFonts w:ascii="黑体" w:hAnsi="黑体" w:cs="黑体" w:eastAsia="黑体" w:hint="default"/>
          <w:sz w:val="22"/>
          <w:szCs w:val="22"/>
        </w:rPr>
        <w:t>数据的永久性损失。</w:t>
      </w:r>
    </w:p>
    <w:p>
      <w:pPr>
        <w:spacing w:after="0" w:line="237" w:lineRule="auto"/>
        <w:jc w:val="both"/>
        <w:rPr>
          <w:rFonts w:ascii="黑体" w:hAnsi="黑体" w:cs="黑体" w:eastAsia="黑体" w:hint="default"/>
          <w:sz w:val="22"/>
          <w:szCs w:val="22"/>
        </w:rPr>
        <w:sectPr>
          <w:headerReference w:type="default" r:id="rId133"/>
          <w:pgSz w:w="12240" w:h="15840"/>
          <w:pgMar w:header="1581" w:footer="755" w:top="2200" w:bottom="940" w:left="1680" w:right="1680"/>
        </w:sectPr>
      </w:pPr>
    </w:p>
    <w:p>
      <w:pPr>
        <w:spacing w:line="338" w:lineRule="auto" w:before="24"/>
        <w:ind w:left="477" w:right="7480" w:hanging="358"/>
        <w:jc w:val="left"/>
        <w:rPr>
          <w:rFonts w:ascii="黑体" w:hAnsi="黑体" w:cs="黑体" w:eastAsia="黑体" w:hint="default"/>
          <w:sz w:val="22"/>
          <w:szCs w:val="22"/>
        </w:rPr>
      </w:pPr>
      <w:r>
        <w:rPr>
          <w:rFonts w:ascii="黑体" w:hAnsi="黑体" w:cs="黑体" w:eastAsia="黑体" w:hint="default"/>
          <w:b/>
          <w:bCs/>
          <w:spacing w:val="30"/>
          <w:sz w:val="22"/>
          <w:szCs w:val="22"/>
        </w:rPr>
        <w:t>我们的建</w:t>
      </w:r>
      <w:r>
        <w:rPr>
          <w:rFonts w:ascii="黑体" w:hAnsi="黑体" w:cs="黑体" w:eastAsia="黑体" w:hint="default"/>
          <w:b/>
          <w:bCs/>
          <w:spacing w:val="-75"/>
          <w:sz w:val="22"/>
          <w:szCs w:val="22"/>
        </w:rPr>
        <w:t> </w:t>
      </w:r>
      <w:r>
        <w:rPr>
          <w:rFonts w:ascii="黑体" w:hAnsi="黑体" w:cs="黑体" w:eastAsia="黑体" w:hint="default"/>
          <w:b/>
          <w:bCs/>
          <w:sz w:val="22"/>
          <w:szCs w:val="22"/>
        </w:rPr>
        <w:t>议</w:t>
      </w:r>
      <w:r>
        <w:rPr>
          <w:rFonts w:ascii="黑体" w:hAnsi="黑体" w:cs="黑体" w:eastAsia="黑体" w:hint="default"/>
          <w:b/>
          <w:bCs/>
          <w:w w:val="99"/>
          <w:sz w:val="22"/>
          <w:szCs w:val="22"/>
        </w:rPr>
        <w:t> </w:t>
      </w:r>
      <w:r>
        <w:rPr>
          <w:rFonts w:ascii="黑体" w:hAnsi="黑体" w:cs="黑体" w:eastAsia="黑体" w:hint="default"/>
          <w:b/>
          <w:bCs/>
          <w:sz w:val="22"/>
          <w:szCs w:val="22"/>
        </w:rPr>
        <w:t>总部</w:t>
      </w:r>
      <w:r>
        <w:rPr>
          <w:rFonts w:ascii="黑体" w:hAnsi="黑体" w:cs="黑体" w:eastAsia="黑体" w:hint="default"/>
          <w:sz w:val="22"/>
          <w:szCs w:val="22"/>
        </w:rPr>
      </w:r>
    </w:p>
    <w:p>
      <w:pPr>
        <w:spacing w:line="319" w:lineRule="auto" w:before="27"/>
        <w:ind w:left="477" w:right="403" w:hanging="358"/>
        <w:jc w:val="left"/>
        <w:rPr>
          <w:rFonts w:ascii="黑体" w:hAnsi="黑体" w:cs="黑体" w:eastAsia="黑体" w:hint="default"/>
          <w:sz w:val="22"/>
          <w:szCs w:val="22"/>
        </w:rPr>
      </w:pPr>
      <w:r>
        <w:rPr>
          <w:rFonts w:ascii="黑体" w:hAnsi="黑体" w:cs="黑体" w:eastAsia="黑体" w:hint="default"/>
          <w:sz w:val="22"/>
          <w:szCs w:val="22"/>
        </w:rPr>
        <w:t>我们建议总部信息部负责提高并完善备份管理制度，对</w:t>
      </w:r>
      <w:r>
        <w:rPr>
          <w:rFonts w:ascii="黑体" w:hAnsi="黑体" w:cs="黑体" w:eastAsia="黑体" w:hint="default"/>
          <w:spacing w:val="-55"/>
          <w:sz w:val="22"/>
          <w:szCs w:val="22"/>
        </w:rPr>
        <w:t> </w:t>
      </w:r>
      <w:r>
        <w:rPr>
          <w:rFonts w:ascii="Arial" w:hAnsi="Arial" w:cs="Arial" w:eastAsia="Arial" w:hint="default"/>
          <w:sz w:val="22"/>
          <w:szCs w:val="22"/>
        </w:rPr>
        <w:t>NC</w:t>
      </w:r>
      <w:r>
        <w:rPr>
          <w:rFonts w:ascii="Arial" w:hAnsi="Arial" w:cs="Arial" w:eastAsia="Arial" w:hint="default"/>
          <w:spacing w:val="-16"/>
          <w:sz w:val="22"/>
          <w:szCs w:val="22"/>
        </w:rPr>
        <w:t> </w:t>
      </w:r>
      <w:r>
        <w:rPr>
          <w:rFonts w:ascii="黑体" w:hAnsi="黑体" w:cs="黑体" w:eastAsia="黑体" w:hint="default"/>
          <w:sz w:val="22"/>
          <w:szCs w:val="22"/>
        </w:rPr>
        <w:t>系统实行正规的异地保存。</w:t>
      </w:r>
      <w:r>
        <w:rPr>
          <w:rFonts w:ascii="黑体" w:hAnsi="黑体" w:cs="黑体" w:eastAsia="黑体" w:hint="default"/>
          <w:w w:val="99"/>
          <w:sz w:val="22"/>
          <w:szCs w:val="22"/>
        </w:rPr>
        <w:t> </w:t>
      </w:r>
      <w:r>
        <w:rPr>
          <w:rFonts w:ascii="黑体" w:hAnsi="黑体" w:cs="黑体" w:eastAsia="黑体" w:hint="default"/>
          <w:b/>
          <w:bCs/>
          <w:sz w:val="22"/>
          <w:szCs w:val="22"/>
        </w:rPr>
        <w:t>北京分公司、上海分公司、南京分公司、政务子公司和方正春元子公司</w:t>
      </w:r>
      <w:r>
        <w:rPr>
          <w:rFonts w:ascii="黑体" w:hAnsi="黑体" w:cs="黑体" w:eastAsia="黑体" w:hint="default"/>
          <w:sz w:val="22"/>
          <w:szCs w:val="22"/>
        </w:rPr>
      </w:r>
    </w:p>
    <w:p>
      <w:pPr>
        <w:spacing w:line="286" w:lineRule="exact" w:before="73"/>
        <w:ind w:left="120" w:right="319" w:hanging="1"/>
        <w:jc w:val="left"/>
        <w:rPr>
          <w:rFonts w:ascii="黑体" w:hAnsi="黑体" w:cs="黑体" w:eastAsia="黑体" w:hint="default"/>
          <w:sz w:val="22"/>
          <w:szCs w:val="22"/>
        </w:rPr>
      </w:pPr>
      <w:r>
        <w:rPr>
          <w:rFonts w:ascii="黑体" w:hAnsi="黑体" w:cs="黑体" w:eastAsia="黑体" w:hint="default"/>
          <w:sz w:val="22"/>
          <w:szCs w:val="22"/>
        </w:rPr>
        <w:t>我们建议各分、子公司管理层加强对备份的管理</w:t>
      </w:r>
      <w:r>
        <w:rPr>
          <w:rFonts w:ascii="Arial" w:hAnsi="Arial" w:cs="Arial" w:eastAsia="Arial" w:hint="default"/>
          <w:sz w:val="22"/>
          <w:szCs w:val="22"/>
        </w:rPr>
        <w:t>,</w:t>
      </w:r>
      <w:r>
        <w:rPr>
          <w:rFonts w:ascii="黑体" w:hAnsi="黑体" w:cs="黑体" w:eastAsia="黑体" w:hint="default"/>
          <w:sz w:val="22"/>
          <w:szCs w:val="22"/>
        </w:rPr>
        <w:t>建立一套较为完善的备份管理规定，并</w:t>
      </w:r>
      <w:r>
        <w:rPr>
          <w:rFonts w:ascii="黑体" w:hAnsi="黑体" w:cs="黑体" w:eastAsia="黑体" w:hint="default"/>
          <w:w w:val="99"/>
          <w:sz w:val="22"/>
          <w:szCs w:val="22"/>
        </w:rPr>
        <w:t> </w:t>
      </w:r>
      <w:r>
        <w:rPr>
          <w:rFonts w:ascii="黑体" w:hAnsi="黑体" w:cs="黑体" w:eastAsia="黑体" w:hint="default"/>
          <w:sz w:val="22"/>
          <w:szCs w:val="22"/>
        </w:rPr>
        <w:t>对备份的数据进行定期的恢复测试；</w:t>
      </w:r>
    </w:p>
    <w:p>
      <w:pPr>
        <w:tabs>
          <w:tab w:pos="1199" w:val="left" w:leader="none"/>
        </w:tabs>
        <w:spacing w:before="91"/>
        <w:ind w:left="840"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将</w:t>
      </w:r>
      <w:r>
        <w:rPr>
          <w:rFonts w:ascii="Arial" w:hAnsi="Arial" w:cs="Arial" w:eastAsia="Arial" w:hint="default"/>
          <w:sz w:val="22"/>
          <w:szCs w:val="22"/>
        </w:rPr>
        <w:t>U8</w:t>
      </w:r>
      <w:r>
        <w:rPr>
          <w:rFonts w:ascii="黑体" w:hAnsi="黑体" w:cs="黑体" w:eastAsia="黑体" w:hint="default"/>
          <w:sz w:val="22"/>
          <w:szCs w:val="22"/>
        </w:rPr>
        <w:t>系统的数据备份到独立于生产机的备份服务器或备份介质中；</w:t>
      </w:r>
    </w:p>
    <w:p>
      <w:pPr>
        <w:tabs>
          <w:tab w:pos="1199" w:val="left" w:leader="none"/>
        </w:tabs>
        <w:spacing w:before="99"/>
        <w:ind w:left="840"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改善备份介质的容量，保证备份数据都能完整地被存储于备份介质中；</w:t>
      </w:r>
    </w:p>
    <w:p>
      <w:pPr>
        <w:tabs>
          <w:tab w:pos="1199" w:val="left" w:leader="none"/>
        </w:tabs>
        <w:spacing w:line="286" w:lineRule="exact" w:before="128"/>
        <w:ind w:left="1199" w:right="118" w:hanging="36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pacing w:val="8"/>
          <w:sz w:val="22"/>
          <w:szCs w:val="22"/>
        </w:rPr>
        <w:t>对备份状态进行每日检查，并对异常情况进行及时处理，将检查结果记录下</w:t>
      </w:r>
      <w:r>
        <w:rPr>
          <w:rFonts w:ascii="黑体" w:hAnsi="黑体" w:cs="黑体" w:eastAsia="黑体" w:hint="default"/>
          <w:spacing w:val="-95"/>
          <w:sz w:val="22"/>
          <w:szCs w:val="22"/>
        </w:rPr>
        <w:t> </w:t>
      </w:r>
      <w:r>
        <w:rPr>
          <w:rFonts w:ascii="黑体" w:hAnsi="黑体" w:cs="黑体" w:eastAsia="黑体" w:hint="default"/>
          <w:spacing w:val="-95"/>
          <w:sz w:val="22"/>
          <w:szCs w:val="22"/>
        </w:rPr>
      </w:r>
      <w:r>
        <w:rPr>
          <w:rFonts w:ascii="黑体" w:hAnsi="黑体" w:cs="黑体" w:eastAsia="黑体" w:hint="default"/>
          <w:sz w:val="22"/>
          <w:szCs w:val="22"/>
        </w:rPr>
        <w:t>来，并妥善保管相关纪录，以备日后查询与追溯；</w:t>
      </w:r>
    </w:p>
    <w:p>
      <w:pPr>
        <w:tabs>
          <w:tab w:pos="1199" w:val="left" w:leader="none"/>
        </w:tabs>
        <w:spacing w:line="284" w:lineRule="exact" w:before="121"/>
        <w:ind w:left="1199" w:right="117" w:hanging="36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pacing w:val="2"/>
          <w:sz w:val="22"/>
          <w:szCs w:val="22"/>
        </w:rPr>
        <w:t>定期对备份数据进行恢复测试并做好恢复测试记录，保证数据能够得到完整、</w:t>
      </w:r>
      <w:r>
        <w:rPr>
          <w:rFonts w:ascii="黑体" w:hAnsi="黑体" w:cs="黑体" w:eastAsia="黑体" w:hint="default"/>
          <w:spacing w:val="2"/>
          <w:w w:val="99"/>
          <w:sz w:val="22"/>
          <w:szCs w:val="22"/>
        </w:rPr>
        <w:t> </w:t>
      </w:r>
      <w:r>
        <w:rPr>
          <w:rFonts w:ascii="黑体" w:hAnsi="黑体" w:cs="黑体" w:eastAsia="黑体" w:hint="default"/>
          <w:sz w:val="22"/>
          <w:szCs w:val="22"/>
        </w:rPr>
        <w:t>及时、有效地恢复；</w:t>
      </w:r>
    </w:p>
    <w:p>
      <w:pPr>
        <w:tabs>
          <w:tab w:pos="1199" w:val="left" w:leader="none"/>
        </w:tabs>
        <w:spacing w:before="92"/>
        <w:ind w:left="840" w:right="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实施对</w:t>
      </w:r>
      <w:r>
        <w:rPr>
          <w:rFonts w:ascii="Arial" w:hAnsi="Arial" w:cs="Arial" w:eastAsia="Arial" w:hint="default"/>
          <w:sz w:val="22"/>
          <w:szCs w:val="22"/>
        </w:rPr>
        <w:t>U8</w:t>
      </w:r>
      <w:r>
        <w:rPr>
          <w:rFonts w:ascii="黑体" w:hAnsi="黑体" w:cs="黑体" w:eastAsia="黑体" w:hint="default"/>
          <w:sz w:val="22"/>
          <w:szCs w:val="22"/>
        </w:rPr>
        <w:t>系统备份数据的异地存储。</w:t>
      </w:r>
    </w:p>
    <w:p>
      <w:pPr>
        <w:spacing w:line="240" w:lineRule="auto" w:before="0"/>
        <w:rPr>
          <w:rFonts w:ascii="黑体" w:hAnsi="黑体" w:cs="黑体" w:eastAsia="黑体" w:hint="default"/>
          <w:sz w:val="22"/>
          <w:szCs w:val="22"/>
        </w:rPr>
      </w:pPr>
    </w:p>
    <w:p>
      <w:pPr>
        <w:spacing w:line="240" w:lineRule="auto" w:before="7"/>
        <w:rPr>
          <w:rFonts w:ascii="黑体" w:hAnsi="黑体" w:cs="黑体" w:eastAsia="黑体" w:hint="default"/>
          <w:sz w:val="32"/>
          <w:szCs w:val="32"/>
        </w:rPr>
      </w:pPr>
    </w:p>
    <w:p>
      <w:pPr>
        <w:spacing w:before="0"/>
        <w:ind w:left="119" w:right="0" w:firstLine="0"/>
        <w:jc w:val="left"/>
        <w:rPr>
          <w:rFonts w:ascii="黑体" w:hAnsi="黑体" w:cs="黑体" w:eastAsia="黑体" w:hint="default"/>
          <w:sz w:val="22"/>
          <w:szCs w:val="22"/>
        </w:rPr>
      </w:pPr>
      <w:r>
        <w:rPr>
          <w:rFonts w:ascii="黑体" w:hAnsi="黑体" w:cs="黑体" w:eastAsia="黑体" w:hint="default"/>
          <w:b/>
          <w:bCs/>
          <w:spacing w:val="30"/>
          <w:sz w:val="22"/>
          <w:szCs w:val="22"/>
        </w:rPr>
        <w:t>管理层回</w:t>
      </w:r>
      <w:r>
        <w:rPr>
          <w:rFonts w:ascii="黑体" w:hAnsi="黑体" w:cs="黑体" w:eastAsia="黑体" w:hint="default"/>
          <w:b/>
          <w:bCs/>
          <w:spacing w:val="-76"/>
          <w:sz w:val="22"/>
          <w:szCs w:val="22"/>
        </w:rPr>
        <w:t> </w:t>
      </w:r>
      <w:r>
        <w:rPr>
          <w:rFonts w:ascii="黑体" w:hAnsi="黑体" w:cs="黑体" w:eastAsia="黑体" w:hint="default"/>
          <w:b/>
          <w:bCs/>
          <w:sz w:val="22"/>
          <w:szCs w:val="22"/>
        </w:rPr>
        <w:t>复</w:t>
      </w:r>
      <w:r>
        <w:rPr>
          <w:rFonts w:ascii="黑体" w:hAnsi="黑体" w:cs="黑体" w:eastAsia="黑体" w:hint="default"/>
          <w:sz w:val="22"/>
          <w:szCs w:val="22"/>
        </w:rPr>
      </w:r>
    </w:p>
    <w:p>
      <w:pPr>
        <w:tabs>
          <w:tab w:pos="839" w:val="left" w:leader="none"/>
        </w:tabs>
        <w:spacing w:line="295" w:lineRule="exact" w:before="116"/>
        <w:ind w:left="119" w:right="0" w:firstLine="0"/>
        <w:jc w:val="left"/>
        <w:rPr>
          <w:rFonts w:ascii="黑体" w:hAnsi="黑体" w:cs="黑体" w:eastAsia="黑体" w:hint="default"/>
          <w:sz w:val="22"/>
          <w:szCs w:val="22"/>
        </w:rPr>
      </w:pPr>
      <w:r>
        <w:rPr>
          <w:rFonts w:ascii="Arial" w:hAnsi="Arial" w:cs="Arial" w:eastAsia="Arial" w:hint="default"/>
          <w:w w:val="95"/>
          <w:sz w:val="22"/>
          <w:szCs w:val="22"/>
        </w:rPr>
        <w:t>1.</w:t>
        <w:tab/>
      </w:r>
      <w:r>
        <w:rPr>
          <w:rFonts w:ascii="黑体" w:hAnsi="黑体" w:cs="黑体" w:eastAsia="黑体" w:hint="default"/>
          <w:sz w:val="22"/>
          <w:szCs w:val="22"/>
        </w:rPr>
        <w:t>总部数据异地备份方案及管理措施进一步加强。</w:t>
      </w:r>
    </w:p>
    <w:p>
      <w:pPr>
        <w:tabs>
          <w:tab w:pos="839" w:val="left" w:leader="none"/>
        </w:tabs>
        <w:spacing w:line="295" w:lineRule="exact" w:before="0"/>
        <w:ind w:left="120" w:right="0" w:firstLine="0"/>
        <w:jc w:val="left"/>
        <w:rPr>
          <w:rFonts w:ascii="黑体" w:hAnsi="黑体" w:cs="黑体" w:eastAsia="黑体" w:hint="default"/>
          <w:sz w:val="22"/>
          <w:szCs w:val="22"/>
        </w:rPr>
      </w:pPr>
      <w:r>
        <w:rPr>
          <w:rFonts w:ascii="Arial" w:hAnsi="Arial" w:cs="Arial" w:eastAsia="Arial" w:hint="default"/>
          <w:w w:val="95"/>
          <w:sz w:val="22"/>
          <w:szCs w:val="22"/>
        </w:rPr>
        <w:t>2.</w:t>
        <w:tab/>
      </w:r>
      <w:r>
        <w:rPr>
          <w:rFonts w:ascii="黑体" w:hAnsi="黑体" w:cs="黑体" w:eastAsia="黑体" w:hint="default"/>
          <w:sz w:val="22"/>
          <w:szCs w:val="22"/>
        </w:rPr>
        <w:t>各地分公司备份增加异地备份，并安排人员定期对数据及日志进行检查。</w:t>
      </w:r>
    </w:p>
    <w:p>
      <w:pPr>
        <w:spacing w:after="0" w:line="295" w:lineRule="exact"/>
        <w:jc w:val="left"/>
        <w:rPr>
          <w:rFonts w:ascii="黑体" w:hAnsi="黑体" w:cs="黑体" w:eastAsia="黑体" w:hint="default"/>
          <w:sz w:val="22"/>
          <w:szCs w:val="22"/>
        </w:rPr>
        <w:sectPr>
          <w:headerReference w:type="default" r:id="rId134"/>
          <w:pgSz w:w="12240" w:h="15840"/>
          <w:pgMar w:header="0" w:footer="755" w:top="1500" w:bottom="940" w:left="1680" w:right="1680"/>
        </w:sect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16"/>
          <w:szCs w:val="16"/>
        </w:rPr>
      </w:pPr>
    </w:p>
    <w:p>
      <w:pPr>
        <w:spacing w:before="31"/>
        <w:ind w:left="100" w:right="0" w:firstLine="0"/>
        <w:jc w:val="both"/>
        <w:rPr>
          <w:rFonts w:ascii="黑体" w:hAnsi="黑体" w:cs="黑体" w:eastAsia="黑体" w:hint="default"/>
          <w:sz w:val="23"/>
          <w:szCs w:val="23"/>
        </w:rPr>
      </w:pPr>
      <w:bookmarkStart w:name="_bookmark19" w:id="41"/>
      <w:bookmarkEnd w:id="41"/>
      <w:r>
        <w:rPr/>
      </w:r>
      <w:r>
        <w:rPr>
          <w:rFonts w:ascii="黑体" w:hAnsi="黑体" w:cs="黑体" w:eastAsia="黑体" w:hint="default"/>
          <w:b/>
          <w:bCs/>
          <w:i/>
          <w:sz w:val="23"/>
          <w:szCs w:val="23"/>
        </w:rPr>
        <w:t>8.  </w:t>
      </w:r>
      <w:r>
        <w:rPr>
          <w:rFonts w:ascii="黑体" w:hAnsi="黑体" w:cs="黑体" w:eastAsia="黑体" w:hint="default"/>
          <w:b/>
          <w:bCs/>
          <w:i/>
          <w:spacing w:val="77"/>
          <w:sz w:val="23"/>
          <w:szCs w:val="23"/>
        </w:rPr>
        <w:t> </w:t>
      </w:r>
      <w:r>
        <w:rPr>
          <w:rFonts w:ascii="黑体" w:hAnsi="黑体" w:cs="黑体" w:eastAsia="黑体" w:hint="default"/>
          <w:b/>
          <w:bCs/>
          <w:i/>
          <w:sz w:val="23"/>
          <w:szCs w:val="23"/>
        </w:rPr>
        <w:t>物理安全管理</w:t>
      </w:r>
      <w:r>
        <w:rPr>
          <w:rFonts w:ascii="黑体" w:hAnsi="黑体" w:cs="黑体" w:eastAsia="黑体" w:hint="default"/>
          <w:sz w:val="23"/>
          <w:szCs w:val="23"/>
        </w:rPr>
      </w:r>
    </w:p>
    <w:p>
      <w:pPr>
        <w:spacing w:line="240" w:lineRule="auto" w:before="0"/>
        <w:rPr>
          <w:rFonts w:ascii="黑体" w:hAnsi="黑体" w:cs="黑体" w:eastAsia="黑体" w:hint="default"/>
          <w:b/>
          <w:bCs/>
          <w:i/>
          <w:sz w:val="22"/>
          <w:szCs w:val="22"/>
        </w:rPr>
      </w:pPr>
    </w:p>
    <w:p>
      <w:pPr>
        <w:spacing w:line="240" w:lineRule="auto" w:before="0"/>
        <w:rPr>
          <w:rFonts w:ascii="黑体" w:hAnsi="黑体" w:cs="黑体" w:eastAsia="黑体" w:hint="default"/>
          <w:b/>
          <w:bCs/>
          <w:i/>
          <w:sz w:val="22"/>
          <w:szCs w:val="22"/>
        </w:rPr>
      </w:pPr>
    </w:p>
    <w:p>
      <w:pPr>
        <w:spacing w:before="152"/>
        <w:ind w:left="100"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观察所得</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86" w:lineRule="exact" w:before="146"/>
        <w:ind w:left="100" w:right="140" w:firstLine="0"/>
        <w:jc w:val="left"/>
        <w:rPr>
          <w:rFonts w:ascii="黑体" w:hAnsi="黑体" w:cs="黑体" w:eastAsia="黑体" w:hint="default"/>
          <w:sz w:val="22"/>
          <w:szCs w:val="22"/>
        </w:rPr>
      </w:pPr>
      <w:r>
        <w:rPr>
          <w:rFonts w:ascii="黑体" w:hAnsi="黑体" w:cs="黑体" w:eastAsia="黑体" w:hint="default"/>
          <w:sz w:val="22"/>
          <w:szCs w:val="22"/>
        </w:rPr>
        <w:t>在本次审计过程中，我们观察到贵公司对主机房已实施了一定的管理控制措施，如为机房</w:t>
      </w:r>
      <w:r>
        <w:rPr>
          <w:rFonts w:ascii="黑体" w:hAnsi="黑体" w:cs="黑体" w:eastAsia="黑体" w:hint="default"/>
          <w:w w:val="99"/>
          <w:sz w:val="22"/>
          <w:szCs w:val="22"/>
        </w:rPr>
        <w:t> </w:t>
      </w:r>
      <w:r>
        <w:rPr>
          <w:rFonts w:ascii="黑体" w:hAnsi="黑体" w:cs="黑体" w:eastAsia="黑体" w:hint="default"/>
          <w:sz w:val="22"/>
          <w:szCs w:val="22"/>
        </w:rPr>
        <w:t>配置</w:t>
      </w:r>
      <w:r>
        <w:rPr>
          <w:rFonts w:ascii="黑体" w:hAnsi="黑体" w:cs="黑体" w:eastAsia="黑体" w:hint="default"/>
          <w:spacing w:val="-56"/>
          <w:sz w:val="22"/>
          <w:szCs w:val="22"/>
        </w:rPr>
        <w:t> </w:t>
      </w:r>
      <w:r>
        <w:rPr>
          <w:rFonts w:ascii="Arial" w:hAnsi="Arial" w:cs="Arial" w:eastAsia="Arial" w:hint="default"/>
          <w:sz w:val="22"/>
          <w:szCs w:val="22"/>
        </w:rPr>
        <w:t>UPS</w:t>
      </w:r>
      <w:r>
        <w:rPr>
          <w:rFonts w:ascii="黑体" w:hAnsi="黑体" w:cs="黑体" w:eastAsia="黑体" w:hint="default"/>
          <w:sz w:val="22"/>
          <w:szCs w:val="22"/>
        </w:rPr>
        <w:t>、空调等。但我们发现，贵公司在机房物理安全管理方面仍有以下方面可以提</w:t>
      </w:r>
      <w:r>
        <w:rPr>
          <w:rFonts w:ascii="黑体" w:hAnsi="黑体" w:cs="黑体" w:eastAsia="黑体" w:hint="default"/>
          <w:w w:val="99"/>
          <w:sz w:val="22"/>
          <w:szCs w:val="22"/>
        </w:rPr>
        <w:t> </w:t>
      </w:r>
      <w:r>
        <w:rPr>
          <w:rFonts w:ascii="黑体" w:hAnsi="黑体" w:cs="黑体" w:eastAsia="黑体" w:hint="default"/>
          <w:sz w:val="22"/>
          <w:szCs w:val="22"/>
        </w:rPr>
        <w:t>高：</w:t>
      </w:r>
    </w:p>
    <w:p>
      <w:pPr>
        <w:spacing w:before="90"/>
        <w:ind w:left="457" w:right="121" w:firstLine="0"/>
        <w:jc w:val="left"/>
        <w:rPr>
          <w:rFonts w:ascii="黑体" w:hAnsi="黑体" w:cs="黑体" w:eastAsia="黑体" w:hint="default"/>
          <w:sz w:val="22"/>
          <w:szCs w:val="22"/>
        </w:rPr>
      </w:pPr>
      <w:r>
        <w:rPr>
          <w:rFonts w:ascii="黑体" w:hAnsi="黑体" w:cs="黑体" w:eastAsia="黑体" w:hint="default"/>
          <w:b/>
          <w:bCs/>
          <w:sz w:val="22"/>
          <w:szCs w:val="22"/>
        </w:rPr>
        <w:t>北京分公司、南京分公司及上海分公司</w:t>
      </w:r>
      <w:r>
        <w:rPr>
          <w:rFonts w:ascii="黑体" w:hAnsi="黑体" w:cs="黑体" w:eastAsia="黑体" w:hint="default"/>
          <w:sz w:val="22"/>
          <w:szCs w:val="22"/>
        </w:rPr>
      </w:r>
    </w:p>
    <w:p>
      <w:pPr>
        <w:tabs>
          <w:tab w:pos="1179" w:val="left" w:leader="none"/>
        </w:tabs>
        <w:spacing w:before="117"/>
        <w:ind w:left="819" w:right="121"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还未针对机房的访问建立一套较为完善的访问记录管理制度；</w:t>
      </w:r>
    </w:p>
    <w:p>
      <w:pPr>
        <w:tabs>
          <w:tab w:pos="1179" w:val="left" w:leader="none"/>
        </w:tabs>
        <w:spacing w:line="286" w:lineRule="exact" w:before="128"/>
        <w:ind w:left="1179" w:right="121" w:hanging="36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机房的安全设施不够完善，例如：未装备</w:t>
      </w:r>
      <w:r>
        <w:rPr>
          <w:rFonts w:ascii="Arial" w:hAnsi="Arial" w:cs="Arial" w:eastAsia="Arial" w:hint="default"/>
          <w:sz w:val="22"/>
          <w:szCs w:val="22"/>
        </w:rPr>
        <w:t>UPS</w:t>
      </w:r>
      <w:r>
        <w:rPr>
          <w:rFonts w:ascii="黑体" w:hAnsi="黑体" w:cs="黑体" w:eastAsia="黑体" w:hint="default"/>
          <w:sz w:val="22"/>
          <w:szCs w:val="22"/>
        </w:rPr>
        <w:t>不间断电源，未安装火灾报警装</w:t>
      </w:r>
      <w:r>
        <w:rPr>
          <w:rFonts w:ascii="黑体" w:hAnsi="黑体" w:cs="黑体" w:eastAsia="黑体" w:hint="default"/>
          <w:spacing w:val="-60"/>
          <w:sz w:val="22"/>
          <w:szCs w:val="22"/>
        </w:rPr>
        <w:t> </w:t>
      </w:r>
      <w:r>
        <w:rPr>
          <w:rFonts w:ascii="黑体" w:hAnsi="黑体" w:cs="黑体" w:eastAsia="黑体" w:hint="default"/>
          <w:spacing w:val="-60"/>
          <w:sz w:val="22"/>
          <w:szCs w:val="22"/>
        </w:rPr>
      </w:r>
      <w:r>
        <w:rPr>
          <w:rFonts w:ascii="黑体" w:hAnsi="黑体" w:cs="黑体" w:eastAsia="黑体" w:hint="default"/>
          <w:sz w:val="22"/>
          <w:szCs w:val="22"/>
        </w:rPr>
        <w:t>置等；</w:t>
      </w:r>
    </w:p>
    <w:p>
      <w:pPr>
        <w:tabs>
          <w:tab w:pos="1179" w:val="left" w:leader="none"/>
        </w:tabs>
        <w:spacing w:line="319" w:lineRule="auto" w:before="90"/>
        <w:ind w:left="457" w:right="4137" w:firstLine="362"/>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还未建立并执行机房出入登记制度。</w:t>
      </w:r>
      <w:r>
        <w:rPr>
          <w:rFonts w:ascii="黑体" w:hAnsi="黑体" w:cs="黑体" w:eastAsia="黑体" w:hint="default"/>
          <w:w w:val="99"/>
          <w:sz w:val="22"/>
          <w:szCs w:val="22"/>
        </w:rPr>
        <w:t> </w:t>
      </w:r>
      <w:r>
        <w:rPr>
          <w:rFonts w:ascii="黑体" w:hAnsi="黑体" w:cs="黑体" w:eastAsia="黑体" w:hint="default"/>
          <w:b/>
          <w:bCs/>
          <w:sz w:val="22"/>
          <w:szCs w:val="22"/>
        </w:rPr>
        <w:t>方正春元子公司</w:t>
      </w:r>
      <w:r>
        <w:rPr>
          <w:rFonts w:ascii="黑体" w:hAnsi="黑体" w:cs="黑体" w:eastAsia="黑体" w:hint="default"/>
          <w:sz w:val="22"/>
          <w:szCs w:val="22"/>
        </w:rPr>
      </w:r>
    </w:p>
    <w:p>
      <w:pPr>
        <w:tabs>
          <w:tab w:pos="1179" w:val="left" w:leader="none"/>
        </w:tabs>
        <w:spacing w:before="45"/>
        <w:ind w:left="819" w:right="121"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还未针对机房的访问建立一套较为完善的访问记录管理制度。</w:t>
      </w:r>
    </w:p>
    <w:p>
      <w:pPr>
        <w:spacing w:line="240" w:lineRule="auto" w:before="0"/>
        <w:rPr>
          <w:rFonts w:ascii="黑体" w:hAnsi="黑体" w:cs="黑体" w:eastAsia="黑体" w:hint="default"/>
          <w:sz w:val="22"/>
          <w:szCs w:val="22"/>
        </w:rPr>
      </w:pPr>
    </w:p>
    <w:p>
      <w:pPr>
        <w:spacing w:line="240" w:lineRule="auto" w:before="7"/>
        <w:rPr>
          <w:rFonts w:ascii="黑体" w:hAnsi="黑体" w:cs="黑体" w:eastAsia="黑体" w:hint="default"/>
          <w:sz w:val="32"/>
          <w:szCs w:val="32"/>
        </w:rPr>
      </w:pPr>
    </w:p>
    <w:p>
      <w:pPr>
        <w:spacing w:before="0"/>
        <w:ind w:left="100"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潜在的业</w:t>
      </w:r>
      <w:r>
        <w:rPr>
          <w:rFonts w:ascii="黑体" w:hAnsi="黑体" w:cs="黑体" w:eastAsia="黑体" w:hint="default"/>
          <w:b/>
          <w:bCs/>
          <w:spacing w:val="-76"/>
          <w:sz w:val="22"/>
          <w:szCs w:val="22"/>
        </w:rPr>
        <w:t> </w:t>
      </w:r>
      <w:r>
        <w:rPr>
          <w:rFonts w:ascii="黑体" w:hAnsi="黑体" w:cs="黑体" w:eastAsia="黑体" w:hint="default"/>
          <w:b/>
          <w:bCs/>
          <w:spacing w:val="26"/>
          <w:sz w:val="22"/>
          <w:szCs w:val="22"/>
        </w:rPr>
        <w:t>务风险</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86" w:lineRule="exact" w:before="144"/>
        <w:ind w:left="100" w:right="158" w:firstLine="0"/>
        <w:jc w:val="both"/>
        <w:rPr>
          <w:rFonts w:ascii="黑体" w:hAnsi="黑体" w:cs="黑体" w:eastAsia="黑体" w:hint="default"/>
          <w:sz w:val="22"/>
          <w:szCs w:val="22"/>
        </w:rPr>
      </w:pPr>
      <w:r>
        <w:rPr>
          <w:rFonts w:ascii="黑体" w:hAnsi="黑体" w:cs="黑体" w:eastAsia="黑体" w:hint="default"/>
          <w:sz w:val="22"/>
          <w:szCs w:val="22"/>
        </w:rPr>
        <w:t>机房的物理安全控制关系到机房内的网络设置及核心业务系统和</w:t>
      </w:r>
      <w:r>
        <w:rPr>
          <w:rFonts w:ascii="黑体" w:hAnsi="黑体" w:cs="黑体" w:eastAsia="黑体" w:hint="default"/>
          <w:spacing w:val="-56"/>
          <w:sz w:val="22"/>
          <w:szCs w:val="22"/>
        </w:rPr>
        <w:t> </w:t>
      </w:r>
      <w:r>
        <w:rPr>
          <w:rFonts w:ascii="Arial" w:hAnsi="Arial" w:cs="Arial" w:eastAsia="Arial" w:hint="default"/>
          <w:sz w:val="22"/>
          <w:szCs w:val="22"/>
        </w:rPr>
        <w:t>NC</w:t>
      </w:r>
      <w:r>
        <w:rPr>
          <w:rFonts w:ascii="Arial" w:hAnsi="Arial" w:cs="Arial" w:eastAsia="Arial" w:hint="default"/>
          <w:spacing w:val="-15"/>
          <w:sz w:val="22"/>
          <w:szCs w:val="22"/>
        </w:rPr>
        <w:t> </w:t>
      </w:r>
      <w:r>
        <w:rPr>
          <w:rFonts w:ascii="黑体" w:hAnsi="黑体" w:cs="黑体" w:eastAsia="黑体" w:hint="default"/>
          <w:sz w:val="22"/>
          <w:szCs w:val="22"/>
        </w:rPr>
        <w:t>系统的安全，不严格</w:t>
      </w:r>
      <w:r>
        <w:rPr>
          <w:rFonts w:ascii="黑体" w:hAnsi="黑体" w:cs="黑体" w:eastAsia="黑体" w:hint="default"/>
          <w:w w:val="99"/>
          <w:sz w:val="22"/>
          <w:szCs w:val="22"/>
        </w:rPr>
        <w:t> </w:t>
      </w:r>
      <w:r>
        <w:rPr>
          <w:rFonts w:ascii="黑体" w:hAnsi="黑体" w:cs="黑体" w:eastAsia="黑体" w:hint="default"/>
          <w:sz w:val="22"/>
          <w:szCs w:val="22"/>
        </w:rPr>
        <w:t>执行内部人员进出机房登记制度，将导致内部人员进出机房手工登记不完整，一旦出现非</w:t>
      </w:r>
      <w:r>
        <w:rPr>
          <w:rFonts w:ascii="黑体" w:hAnsi="黑体" w:cs="黑体" w:eastAsia="黑体" w:hint="default"/>
          <w:w w:val="99"/>
          <w:sz w:val="22"/>
          <w:szCs w:val="22"/>
        </w:rPr>
        <w:t> </w:t>
      </w:r>
      <w:r>
        <w:rPr>
          <w:rFonts w:ascii="黑体" w:hAnsi="黑体" w:cs="黑体" w:eastAsia="黑体" w:hint="default"/>
          <w:sz w:val="22"/>
          <w:szCs w:val="22"/>
        </w:rPr>
        <w:t>授权人员进入机房的情况，就无法追查到非授权人员进入机房的具体信息。</w:t>
      </w:r>
    </w:p>
    <w:p>
      <w:pPr>
        <w:spacing w:line="240" w:lineRule="auto" w:before="0"/>
        <w:rPr>
          <w:rFonts w:ascii="黑体" w:hAnsi="黑体" w:cs="黑体" w:eastAsia="黑体" w:hint="default"/>
          <w:sz w:val="22"/>
          <w:szCs w:val="22"/>
        </w:rPr>
      </w:pPr>
    </w:p>
    <w:p>
      <w:pPr>
        <w:spacing w:line="240" w:lineRule="auto" w:before="10"/>
        <w:rPr>
          <w:rFonts w:ascii="黑体" w:hAnsi="黑体" w:cs="黑体" w:eastAsia="黑体" w:hint="default"/>
          <w:sz w:val="31"/>
          <w:szCs w:val="31"/>
        </w:rPr>
      </w:pPr>
    </w:p>
    <w:p>
      <w:pPr>
        <w:spacing w:before="0"/>
        <w:ind w:left="100"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我们的建</w:t>
      </w:r>
      <w:r>
        <w:rPr>
          <w:rFonts w:ascii="黑体" w:hAnsi="黑体" w:cs="黑体" w:eastAsia="黑体" w:hint="default"/>
          <w:b/>
          <w:bCs/>
          <w:spacing w:val="-76"/>
          <w:sz w:val="22"/>
          <w:szCs w:val="22"/>
        </w:rPr>
        <w:t> </w:t>
      </w:r>
      <w:r>
        <w:rPr>
          <w:rFonts w:ascii="黑体" w:hAnsi="黑体" w:cs="黑体" w:eastAsia="黑体" w:hint="default"/>
          <w:b/>
          <w:bCs/>
          <w:sz w:val="22"/>
          <w:szCs w:val="22"/>
        </w:rPr>
        <w:t>议</w:t>
      </w:r>
      <w:r>
        <w:rPr>
          <w:rFonts w:ascii="黑体" w:hAnsi="黑体" w:cs="黑体" w:eastAsia="黑体" w:hint="default"/>
          <w:sz w:val="22"/>
          <w:szCs w:val="22"/>
        </w:rPr>
      </w:r>
    </w:p>
    <w:p>
      <w:pPr>
        <w:spacing w:line="286" w:lineRule="exact" w:before="146"/>
        <w:ind w:left="100" w:right="157" w:firstLine="0"/>
        <w:jc w:val="both"/>
        <w:rPr>
          <w:rFonts w:ascii="黑体" w:hAnsi="黑体" w:cs="黑体" w:eastAsia="黑体" w:hint="default"/>
          <w:sz w:val="22"/>
          <w:szCs w:val="22"/>
        </w:rPr>
      </w:pPr>
      <w:r>
        <w:rPr>
          <w:rFonts w:ascii="黑体" w:hAnsi="黑体" w:cs="黑体" w:eastAsia="黑体" w:hint="default"/>
          <w:sz w:val="22"/>
          <w:szCs w:val="22"/>
        </w:rPr>
        <w:t>我们建议各分子公司管理层提高对物理安全管理的重视程度，建立一套规范和完整的机房</w:t>
      </w:r>
      <w:r>
        <w:rPr>
          <w:rFonts w:ascii="黑体" w:hAnsi="黑体" w:cs="黑体" w:eastAsia="黑体" w:hint="default"/>
          <w:w w:val="99"/>
          <w:sz w:val="22"/>
          <w:szCs w:val="22"/>
        </w:rPr>
        <w:t> </w:t>
      </w:r>
      <w:r>
        <w:rPr>
          <w:rFonts w:ascii="黑体" w:hAnsi="黑体" w:cs="黑体" w:eastAsia="黑体" w:hint="default"/>
          <w:sz w:val="22"/>
          <w:szCs w:val="22"/>
        </w:rPr>
        <w:t>管理制度。对机房出入人员情况进行记录（含进出机房的人员、原因、时间等信息），必</w:t>
      </w:r>
      <w:r>
        <w:rPr>
          <w:rFonts w:ascii="黑体" w:hAnsi="黑体" w:cs="黑体" w:eastAsia="黑体" w:hint="default"/>
          <w:w w:val="99"/>
          <w:sz w:val="22"/>
          <w:szCs w:val="22"/>
        </w:rPr>
        <w:t> </w:t>
      </w:r>
      <w:r>
        <w:rPr>
          <w:rFonts w:ascii="黑体" w:hAnsi="黑体" w:cs="黑体" w:eastAsia="黑体" w:hint="default"/>
          <w:sz w:val="22"/>
          <w:szCs w:val="22"/>
        </w:rPr>
        <w:t>要情况下，还须</w:t>
      </w:r>
      <w:r>
        <w:rPr>
          <w:rFonts w:ascii="黑体" w:hAnsi="黑体" w:cs="黑体" w:eastAsia="黑体" w:hint="default"/>
          <w:spacing w:val="-56"/>
          <w:sz w:val="22"/>
          <w:szCs w:val="22"/>
        </w:rPr>
        <w:t> </w:t>
      </w:r>
      <w:r>
        <w:rPr>
          <w:rFonts w:ascii="Arial" w:hAnsi="Arial" w:cs="Arial" w:eastAsia="Arial" w:hint="default"/>
          <w:sz w:val="22"/>
          <w:szCs w:val="22"/>
        </w:rPr>
        <w:t>IT</w:t>
      </w:r>
      <w:r>
        <w:rPr>
          <w:rFonts w:ascii="Arial" w:hAnsi="Arial" w:cs="Arial" w:eastAsia="Arial" w:hint="default"/>
          <w:spacing w:val="-14"/>
          <w:sz w:val="22"/>
          <w:szCs w:val="22"/>
        </w:rPr>
        <w:t> </w:t>
      </w:r>
      <w:r>
        <w:rPr>
          <w:rFonts w:ascii="黑体" w:hAnsi="黑体" w:cs="黑体" w:eastAsia="黑体" w:hint="default"/>
          <w:sz w:val="22"/>
          <w:szCs w:val="22"/>
        </w:rPr>
        <w:t>人员的陪同方能进入，未经许可的人员不得进入。</w:t>
      </w:r>
    </w:p>
    <w:p>
      <w:pPr>
        <w:spacing w:line="240" w:lineRule="auto" w:before="0"/>
        <w:rPr>
          <w:rFonts w:ascii="黑体" w:hAnsi="黑体" w:cs="黑体" w:eastAsia="黑体" w:hint="default"/>
          <w:sz w:val="22"/>
          <w:szCs w:val="22"/>
        </w:rPr>
      </w:pPr>
    </w:p>
    <w:p>
      <w:pPr>
        <w:spacing w:line="240" w:lineRule="auto" w:before="10"/>
        <w:rPr>
          <w:rFonts w:ascii="黑体" w:hAnsi="黑体" w:cs="黑体" w:eastAsia="黑体" w:hint="default"/>
          <w:sz w:val="31"/>
          <w:szCs w:val="31"/>
        </w:rPr>
      </w:pPr>
    </w:p>
    <w:p>
      <w:pPr>
        <w:spacing w:line="338" w:lineRule="auto" w:before="0"/>
        <w:ind w:left="100" w:right="800" w:firstLine="0"/>
        <w:jc w:val="left"/>
        <w:rPr>
          <w:rFonts w:ascii="黑体" w:hAnsi="黑体" w:cs="黑体" w:eastAsia="黑体" w:hint="default"/>
          <w:sz w:val="22"/>
          <w:szCs w:val="22"/>
        </w:rPr>
      </w:pPr>
      <w:r>
        <w:rPr>
          <w:rFonts w:ascii="黑体" w:hAnsi="黑体" w:cs="黑体" w:eastAsia="黑体" w:hint="default"/>
          <w:b/>
          <w:bCs/>
          <w:spacing w:val="30"/>
          <w:sz w:val="22"/>
          <w:szCs w:val="22"/>
        </w:rPr>
        <w:t>管理层回</w:t>
      </w:r>
      <w:r>
        <w:rPr>
          <w:rFonts w:ascii="黑体" w:hAnsi="黑体" w:cs="黑体" w:eastAsia="黑体" w:hint="default"/>
          <w:b/>
          <w:bCs/>
          <w:spacing w:val="-70"/>
          <w:sz w:val="22"/>
          <w:szCs w:val="22"/>
        </w:rPr>
        <w:t> </w:t>
      </w:r>
      <w:r>
        <w:rPr>
          <w:rFonts w:ascii="黑体" w:hAnsi="黑体" w:cs="黑体" w:eastAsia="黑体" w:hint="default"/>
          <w:b/>
          <w:bCs/>
          <w:sz w:val="22"/>
          <w:szCs w:val="22"/>
        </w:rPr>
        <w:t>复</w:t>
      </w:r>
      <w:r>
        <w:rPr>
          <w:rFonts w:ascii="黑体" w:hAnsi="黑体" w:cs="黑体" w:eastAsia="黑体" w:hint="default"/>
          <w:b/>
          <w:bCs/>
          <w:w w:val="99"/>
          <w:sz w:val="22"/>
          <w:szCs w:val="22"/>
        </w:rPr>
        <w:t> </w:t>
      </w:r>
      <w:r>
        <w:rPr>
          <w:rFonts w:ascii="黑体" w:hAnsi="黑体" w:cs="黑体" w:eastAsia="黑体" w:hint="default"/>
          <w:sz w:val="22"/>
          <w:szCs w:val="22"/>
        </w:rPr>
        <w:t>对分公司机房进行物理安全加固，对不能达到要求的迁入总部数据中心统一管理。</w:t>
      </w:r>
    </w:p>
    <w:p>
      <w:pPr>
        <w:spacing w:after="0" w:line="338" w:lineRule="auto"/>
        <w:jc w:val="left"/>
        <w:rPr>
          <w:rFonts w:ascii="黑体" w:hAnsi="黑体" w:cs="黑体" w:eastAsia="黑体" w:hint="default"/>
          <w:sz w:val="22"/>
          <w:szCs w:val="22"/>
        </w:rPr>
        <w:sectPr>
          <w:headerReference w:type="default" r:id="rId135"/>
          <w:footerReference w:type="default" r:id="rId136"/>
          <w:pgSz w:w="12240" w:h="15840"/>
          <w:pgMar w:header="0" w:footer="755" w:top="1500" w:bottom="940" w:left="1700" w:right="1700"/>
          <w:pgNumType w:start="35"/>
        </w:sectPr>
      </w:pPr>
    </w:p>
    <w:p>
      <w:pPr>
        <w:spacing w:line="240" w:lineRule="auto" w:before="10"/>
        <w:rPr>
          <w:rFonts w:ascii="黑体" w:hAnsi="黑体" w:cs="黑体" w:eastAsia="黑体" w:hint="default"/>
          <w:sz w:val="8"/>
          <w:szCs w:val="8"/>
        </w:rPr>
      </w:pPr>
    </w:p>
    <w:p>
      <w:pPr>
        <w:tabs>
          <w:tab w:pos="969" w:val="left" w:leader="none"/>
        </w:tabs>
        <w:spacing w:before="31"/>
        <w:ind w:left="118" w:right="2010" w:firstLine="0"/>
        <w:jc w:val="left"/>
        <w:rPr>
          <w:rFonts w:ascii="黑体" w:hAnsi="黑体" w:cs="黑体" w:eastAsia="黑体" w:hint="default"/>
          <w:sz w:val="23"/>
          <w:szCs w:val="23"/>
        </w:rPr>
      </w:pPr>
      <w:bookmarkStart w:name="_bookmark20" w:id="42"/>
      <w:bookmarkEnd w:id="42"/>
      <w:r>
        <w:rPr/>
      </w:r>
      <w:r>
        <w:rPr>
          <w:rFonts w:ascii="黑体" w:hAnsi="黑体" w:cs="黑体" w:eastAsia="黑体" w:hint="default"/>
          <w:b/>
          <w:bCs/>
          <w:i/>
          <w:w w:val="95"/>
          <w:sz w:val="23"/>
          <w:szCs w:val="23"/>
        </w:rPr>
        <w:t>三</w:t>
      </w:r>
      <w:r>
        <w:rPr>
          <w:rFonts w:ascii="Arial" w:hAnsi="Arial" w:cs="Arial" w:eastAsia="Arial" w:hint="default"/>
          <w:b/>
          <w:bCs/>
          <w:i/>
          <w:w w:val="95"/>
          <w:sz w:val="22"/>
          <w:szCs w:val="22"/>
        </w:rPr>
        <w:t>.</w:t>
        <w:tab/>
      </w:r>
      <w:r>
        <w:rPr>
          <w:rFonts w:ascii="黑体" w:hAnsi="黑体" w:cs="黑体" w:eastAsia="黑体" w:hint="default"/>
          <w:b/>
          <w:bCs/>
          <w:i/>
          <w:spacing w:val="1"/>
          <w:sz w:val="23"/>
          <w:szCs w:val="23"/>
        </w:rPr>
        <w:t>应用系统流程控制</w:t>
      </w:r>
      <w:r>
        <w:rPr>
          <w:rFonts w:ascii="黑体" w:hAnsi="黑体" w:cs="黑体" w:eastAsia="黑体" w:hint="default"/>
          <w:sz w:val="23"/>
          <w:szCs w:val="23"/>
        </w:rPr>
      </w:r>
    </w:p>
    <w:p>
      <w:pPr>
        <w:spacing w:before="210"/>
        <w:ind w:left="260" w:right="0" w:firstLine="0"/>
        <w:jc w:val="both"/>
        <w:rPr>
          <w:rFonts w:ascii="黑体" w:hAnsi="黑体" w:cs="黑体" w:eastAsia="黑体" w:hint="default"/>
          <w:sz w:val="23"/>
          <w:szCs w:val="23"/>
        </w:rPr>
      </w:pPr>
      <w:r>
        <w:rPr>
          <w:rFonts w:ascii="黑体" w:hAnsi="黑体" w:cs="黑体" w:eastAsia="黑体" w:hint="default"/>
          <w:b/>
          <w:bCs/>
          <w:i/>
          <w:sz w:val="23"/>
          <w:szCs w:val="23"/>
        </w:rPr>
        <w:t>9.  </w:t>
      </w:r>
      <w:r>
        <w:rPr>
          <w:rFonts w:ascii="黑体" w:hAnsi="黑体" w:cs="黑体" w:eastAsia="黑体" w:hint="default"/>
          <w:b/>
          <w:bCs/>
          <w:i/>
          <w:spacing w:val="25"/>
          <w:sz w:val="23"/>
          <w:szCs w:val="23"/>
        </w:rPr>
        <w:t> </w:t>
      </w:r>
      <w:r>
        <w:rPr>
          <w:rFonts w:ascii="Arial" w:hAnsi="Arial" w:cs="Arial" w:eastAsia="Arial" w:hint="default"/>
          <w:b/>
          <w:bCs/>
          <w:i/>
          <w:sz w:val="22"/>
          <w:szCs w:val="22"/>
        </w:rPr>
        <w:t>U8</w:t>
      </w:r>
      <w:r>
        <w:rPr>
          <w:rFonts w:ascii="黑体" w:hAnsi="黑体" w:cs="黑体" w:eastAsia="黑体" w:hint="default"/>
          <w:b/>
          <w:bCs/>
          <w:i/>
          <w:sz w:val="23"/>
          <w:szCs w:val="23"/>
        </w:rPr>
        <w:t>系统关键业务单据的修改</w:t>
      </w:r>
      <w:r>
        <w:rPr>
          <w:rFonts w:ascii="黑体" w:hAnsi="黑体" w:cs="黑体" w:eastAsia="黑体" w:hint="default"/>
          <w:sz w:val="23"/>
          <w:szCs w:val="23"/>
        </w:rPr>
      </w:r>
    </w:p>
    <w:p>
      <w:pPr>
        <w:spacing w:line="240" w:lineRule="auto" w:before="0"/>
        <w:rPr>
          <w:rFonts w:ascii="黑体" w:hAnsi="黑体" w:cs="黑体" w:eastAsia="黑体" w:hint="default"/>
          <w:b/>
          <w:bCs/>
          <w:i/>
          <w:sz w:val="24"/>
          <w:szCs w:val="24"/>
        </w:rPr>
      </w:pPr>
    </w:p>
    <w:p>
      <w:pPr>
        <w:spacing w:line="240" w:lineRule="auto" w:before="7"/>
        <w:rPr>
          <w:rFonts w:ascii="黑体" w:hAnsi="黑体" w:cs="黑体" w:eastAsia="黑体" w:hint="default"/>
          <w:b/>
          <w:bCs/>
          <w:i/>
          <w:sz w:val="30"/>
          <w:szCs w:val="30"/>
        </w:rPr>
      </w:pPr>
    </w:p>
    <w:p>
      <w:pPr>
        <w:spacing w:before="0"/>
        <w:ind w:left="259"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观察所得</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28" w:lineRule="auto" w:before="130"/>
        <w:ind w:left="260" w:right="178" w:hanging="1"/>
        <w:jc w:val="both"/>
        <w:rPr>
          <w:rFonts w:ascii="黑体" w:hAnsi="黑体" w:cs="黑体" w:eastAsia="黑体" w:hint="default"/>
          <w:sz w:val="22"/>
          <w:szCs w:val="22"/>
        </w:rPr>
      </w:pPr>
      <w:r>
        <w:rPr>
          <w:rFonts w:ascii="黑体" w:hAnsi="黑体" w:cs="黑体" w:eastAsia="黑体" w:hint="default"/>
          <w:sz w:val="22"/>
          <w:szCs w:val="22"/>
        </w:rPr>
        <w:t>目前在各个分、子公司通过网上订单系统与</w:t>
      </w:r>
      <w:r>
        <w:rPr>
          <w:rFonts w:ascii="黑体" w:hAnsi="黑体" w:cs="黑体" w:eastAsia="黑体" w:hint="default"/>
          <w:spacing w:val="-55"/>
          <w:sz w:val="22"/>
          <w:szCs w:val="22"/>
        </w:rPr>
        <w:t> </w:t>
      </w:r>
      <w:r>
        <w:rPr>
          <w:rFonts w:ascii="Arial" w:hAnsi="Arial" w:cs="Arial" w:eastAsia="Arial" w:hint="default"/>
          <w:sz w:val="22"/>
          <w:szCs w:val="22"/>
        </w:rPr>
        <w:t>U8</w:t>
      </w:r>
      <w:r>
        <w:rPr>
          <w:rFonts w:ascii="Arial" w:hAnsi="Arial" w:cs="Arial" w:eastAsia="Arial" w:hint="default"/>
          <w:spacing w:val="-14"/>
          <w:sz w:val="22"/>
          <w:szCs w:val="22"/>
        </w:rPr>
        <w:t> </w:t>
      </w:r>
      <w:r>
        <w:rPr>
          <w:rFonts w:ascii="黑体" w:hAnsi="黑体" w:cs="黑体" w:eastAsia="黑体" w:hint="default"/>
          <w:sz w:val="22"/>
          <w:szCs w:val="22"/>
        </w:rPr>
        <w:t>系统的接口，每日手动触发按钮，由网上</w:t>
      </w:r>
      <w:r>
        <w:rPr>
          <w:rFonts w:ascii="黑体" w:hAnsi="黑体" w:cs="黑体" w:eastAsia="黑体" w:hint="default"/>
          <w:w w:val="99"/>
          <w:sz w:val="22"/>
          <w:szCs w:val="22"/>
        </w:rPr>
        <w:t> </w:t>
      </w:r>
      <w:r>
        <w:rPr>
          <w:rFonts w:ascii="黑体" w:hAnsi="黑体" w:cs="黑体" w:eastAsia="黑体" w:hint="default"/>
          <w:sz w:val="22"/>
          <w:szCs w:val="22"/>
        </w:rPr>
        <w:t>订单系统将销售订单信息和采购入库单信息下载至</w:t>
      </w:r>
      <w:r>
        <w:rPr>
          <w:rFonts w:ascii="黑体" w:hAnsi="黑体" w:cs="黑体" w:eastAsia="黑体" w:hint="default"/>
          <w:spacing w:val="-56"/>
          <w:sz w:val="22"/>
          <w:szCs w:val="22"/>
        </w:rPr>
        <w:t> </w:t>
      </w:r>
      <w:r>
        <w:rPr>
          <w:rFonts w:ascii="Arial" w:hAnsi="Arial" w:cs="Arial" w:eastAsia="Arial" w:hint="default"/>
          <w:sz w:val="22"/>
          <w:szCs w:val="22"/>
        </w:rPr>
        <w:t>U8</w:t>
      </w:r>
      <w:r>
        <w:rPr>
          <w:rFonts w:ascii="黑体" w:hAnsi="黑体" w:cs="黑体" w:eastAsia="黑体" w:hint="default"/>
          <w:sz w:val="22"/>
          <w:szCs w:val="22"/>
        </w:rPr>
        <w:t>。通过与商务及库管人员访谈，我</w:t>
      </w:r>
      <w:r>
        <w:rPr>
          <w:rFonts w:ascii="黑体" w:hAnsi="黑体" w:cs="黑体" w:eastAsia="黑体" w:hint="default"/>
          <w:w w:val="99"/>
          <w:sz w:val="22"/>
          <w:szCs w:val="22"/>
        </w:rPr>
        <w:t> </w:t>
      </w:r>
      <w:r>
        <w:rPr>
          <w:rFonts w:ascii="黑体" w:hAnsi="黑体" w:cs="黑体" w:eastAsia="黑体" w:hint="default"/>
          <w:sz w:val="22"/>
          <w:szCs w:val="22"/>
        </w:rPr>
        <w:t>们了解到，除合同号及产品属性等个别信息，贵公司是不允许对下载至</w:t>
      </w:r>
      <w:r>
        <w:rPr>
          <w:rFonts w:ascii="黑体" w:hAnsi="黑体" w:cs="黑体" w:eastAsia="黑体" w:hint="default"/>
          <w:spacing w:val="-55"/>
          <w:sz w:val="22"/>
          <w:szCs w:val="22"/>
        </w:rPr>
        <w:t> </w:t>
      </w:r>
      <w:r>
        <w:rPr>
          <w:rFonts w:ascii="Arial" w:hAnsi="Arial" w:cs="Arial" w:eastAsia="Arial" w:hint="default"/>
          <w:sz w:val="22"/>
          <w:szCs w:val="22"/>
        </w:rPr>
        <w:t>U8</w:t>
      </w:r>
      <w:r>
        <w:rPr>
          <w:rFonts w:ascii="Arial" w:hAnsi="Arial" w:cs="Arial" w:eastAsia="Arial" w:hint="default"/>
          <w:spacing w:val="-14"/>
          <w:sz w:val="22"/>
          <w:szCs w:val="22"/>
        </w:rPr>
        <w:t> </w:t>
      </w:r>
      <w:r>
        <w:rPr>
          <w:rFonts w:ascii="黑体" w:hAnsi="黑体" w:cs="黑体" w:eastAsia="黑体" w:hint="default"/>
          <w:sz w:val="22"/>
          <w:szCs w:val="22"/>
        </w:rPr>
        <w:t>系统的销售订</w:t>
      </w:r>
      <w:r>
        <w:rPr>
          <w:rFonts w:ascii="黑体" w:hAnsi="黑体" w:cs="黑体" w:eastAsia="黑体" w:hint="default"/>
          <w:w w:val="99"/>
          <w:sz w:val="22"/>
          <w:szCs w:val="22"/>
        </w:rPr>
        <w:t> </w:t>
      </w:r>
      <w:r>
        <w:rPr>
          <w:rFonts w:ascii="黑体" w:hAnsi="黑体" w:cs="黑体" w:eastAsia="黑体" w:hint="default"/>
          <w:sz w:val="22"/>
          <w:szCs w:val="22"/>
        </w:rPr>
        <w:t>单和采购入库单信息进行任何人为修改的。但是通过我们检查发现，下载后的销售订单和</w:t>
      </w:r>
      <w:r>
        <w:rPr>
          <w:rFonts w:ascii="黑体" w:hAnsi="黑体" w:cs="黑体" w:eastAsia="黑体" w:hint="default"/>
          <w:w w:val="99"/>
          <w:sz w:val="22"/>
          <w:szCs w:val="22"/>
        </w:rPr>
        <w:t> </w:t>
      </w:r>
      <w:r>
        <w:rPr>
          <w:rFonts w:ascii="黑体" w:hAnsi="黑体" w:cs="黑体" w:eastAsia="黑体" w:hint="default"/>
          <w:sz w:val="22"/>
          <w:szCs w:val="22"/>
        </w:rPr>
        <w:t>采购入库单信息，均可在</w:t>
      </w:r>
      <w:r>
        <w:rPr>
          <w:rFonts w:ascii="黑体" w:hAnsi="黑体" w:cs="黑体" w:eastAsia="黑体" w:hint="default"/>
          <w:spacing w:val="-57"/>
          <w:sz w:val="22"/>
          <w:szCs w:val="22"/>
        </w:rPr>
        <w:t> </w:t>
      </w:r>
      <w:r>
        <w:rPr>
          <w:rFonts w:ascii="Arial" w:hAnsi="Arial" w:cs="Arial" w:eastAsia="Arial" w:hint="default"/>
          <w:sz w:val="22"/>
          <w:szCs w:val="22"/>
        </w:rPr>
        <w:t>U8</w:t>
      </w:r>
      <w:r>
        <w:rPr>
          <w:rFonts w:ascii="Arial" w:hAnsi="Arial" w:cs="Arial" w:eastAsia="Arial" w:hint="default"/>
          <w:spacing w:val="-15"/>
          <w:sz w:val="22"/>
          <w:szCs w:val="22"/>
        </w:rPr>
        <w:t> </w:t>
      </w:r>
      <w:r>
        <w:rPr>
          <w:rFonts w:ascii="黑体" w:hAnsi="黑体" w:cs="黑体" w:eastAsia="黑体" w:hint="default"/>
          <w:sz w:val="22"/>
          <w:szCs w:val="22"/>
        </w:rPr>
        <w:t>进行修改，如入库单号、订单号、数量等信息。</w:t>
      </w:r>
    </w:p>
    <w:p>
      <w:pPr>
        <w:spacing w:line="240" w:lineRule="auto" w:before="0"/>
        <w:rPr>
          <w:rFonts w:ascii="黑体" w:hAnsi="黑体" w:cs="黑体" w:eastAsia="黑体" w:hint="default"/>
          <w:sz w:val="22"/>
          <w:szCs w:val="22"/>
        </w:rPr>
      </w:pPr>
    </w:p>
    <w:p>
      <w:pPr>
        <w:spacing w:line="240" w:lineRule="auto" w:before="11"/>
        <w:rPr>
          <w:rFonts w:ascii="黑体" w:hAnsi="黑体" w:cs="黑体" w:eastAsia="黑体" w:hint="default"/>
          <w:sz w:val="32"/>
          <w:szCs w:val="32"/>
        </w:rPr>
      </w:pPr>
    </w:p>
    <w:p>
      <w:pPr>
        <w:spacing w:before="0"/>
        <w:ind w:left="260"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潜在的业</w:t>
      </w:r>
      <w:r>
        <w:rPr>
          <w:rFonts w:ascii="黑体" w:hAnsi="黑体" w:cs="黑体" w:eastAsia="黑体" w:hint="default"/>
          <w:b/>
          <w:bCs/>
          <w:spacing w:val="-76"/>
          <w:sz w:val="22"/>
          <w:szCs w:val="22"/>
        </w:rPr>
        <w:t> </w:t>
      </w:r>
      <w:r>
        <w:rPr>
          <w:rFonts w:ascii="黑体" w:hAnsi="黑体" w:cs="黑体" w:eastAsia="黑体" w:hint="default"/>
          <w:b/>
          <w:bCs/>
          <w:spacing w:val="26"/>
          <w:sz w:val="22"/>
          <w:szCs w:val="22"/>
        </w:rPr>
        <w:t>务风险</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86" w:lineRule="exact" w:before="144"/>
        <w:ind w:left="260" w:right="178" w:firstLine="0"/>
        <w:jc w:val="both"/>
        <w:rPr>
          <w:rFonts w:ascii="黑体" w:hAnsi="黑体" w:cs="黑体" w:eastAsia="黑体" w:hint="default"/>
          <w:sz w:val="22"/>
          <w:szCs w:val="22"/>
        </w:rPr>
      </w:pPr>
      <w:r>
        <w:rPr>
          <w:rFonts w:ascii="黑体" w:hAnsi="黑体" w:cs="黑体" w:eastAsia="黑体" w:hint="default"/>
          <w:sz w:val="22"/>
          <w:szCs w:val="22"/>
        </w:rPr>
        <w:t>由于当前系统并不限制对由网上订单系统传输至</w:t>
      </w:r>
      <w:r>
        <w:rPr>
          <w:rFonts w:ascii="黑体" w:hAnsi="黑体" w:cs="黑体" w:eastAsia="黑体" w:hint="default"/>
          <w:spacing w:val="-55"/>
          <w:sz w:val="22"/>
          <w:szCs w:val="22"/>
        </w:rPr>
        <w:t> </w:t>
      </w:r>
      <w:r>
        <w:rPr>
          <w:rFonts w:ascii="Arial" w:hAnsi="Arial" w:cs="Arial" w:eastAsia="Arial" w:hint="default"/>
          <w:sz w:val="22"/>
          <w:szCs w:val="22"/>
        </w:rPr>
        <w:t>U8</w:t>
      </w:r>
      <w:r>
        <w:rPr>
          <w:rFonts w:ascii="Arial" w:hAnsi="Arial" w:cs="Arial" w:eastAsia="Arial" w:hint="default"/>
          <w:spacing w:val="-14"/>
          <w:sz w:val="22"/>
          <w:szCs w:val="22"/>
        </w:rPr>
        <w:t> </w:t>
      </w:r>
      <w:r>
        <w:rPr>
          <w:rFonts w:ascii="黑体" w:hAnsi="黑体" w:cs="黑体" w:eastAsia="黑体" w:hint="default"/>
          <w:sz w:val="22"/>
          <w:szCs w:val="22"/>
        </w:rPr>
        <w:t>系统的销售订单信息和采购入库单信</w:t>
      </w:r>
      <w:r>
        <w:rPr>
          <w:rFonts w:ascii="黑体" w:hAnsi="黑体" w:cs="黑体" w:eastAsia="黑体" w:hint="default"/>
          <w:w w:val="99"/>
          <w:sz w:val="22"/>
          <w:szCs w:val="22"/>
        </w:rPr>
        <w:t> </w:t>
      </w:r>
      <w:r>
        <w:rPr>
          <w:rFonts w:ascii="黑体" w:hAnsi="黑体" w:cs="黑体" w:eastAsia="黑体" w:hint="default"/>
          <w:sz w:val="22"/>
          <w:szCs w:val="22"/>
        </w:rPr>
        <w:t>息进行修改，允许对包括入库单号、订单号、数量、金额等在内的重要项目进行修改，从</w:t>
      </w:r>
      <w:r>
        <w:rPr>
          <w:rFonts w:ascii="黑体" w:hAnsi="黑体" w:cs="黑体" w:eastAsia="黑体" w:hint="default"/>
          <w:w w:val="99"/>
          <w:sz w:val="22"/>
          <w:szCs w:val="22"/>
        </w:rPr>
        <w:t> </w:t>
      </w:r>
      <w:r>
        <w:rPr>
          <w:rFonts w:ascii="黑体" w:hAnsi="黑体" w:cs="黑体" w:eastAsia="黑体" w:hint="default"/>
          <w:sz w:val="22"/>
          <w:szCs w:val="22"/>
        </w:rPr>
        <w:t>系统的角度将难以保证业务数据及财务数据的真实性和可靠性。</w:t>
      </w:r>
    </w:p>
    <w:p>
      <w:pPr>
        <w:spacing w:line="240" w:lineRule="auto" w:before="0"/>
        <w:rPr>
          <w:rFonts w:ascii="黑体" w:hAnsi="黑体" w:cs="黑体" w:eastAsia="黑体" w:hint="default"/>
          <w:sz w:val="22"/>
          <w:szCs w:val="22"/>
        </w:rPr>
      </w:pPr>
    </w:p>
    <w:p>
      <w:pPr>
        <w:spacing w:line="240" w:lineRule="auto" w:before="8"/>
        <w:rPr>
          <w:rFonts w:ascii="黑体" w:hAnsi="黑体" w:cs="黑体" w:eastAsia="黑体" w:hint="default"/>
          <w:sz w:val="21"/>
          <w:szCs w:val="21"/>
        </w:rPr>
      </w:pPr>
    </w:p>
    <w:p>
      <w:pPr>
        <w:spacing w:line="420" w:lineRule="atLeast" w:before="0"/>
        <w:ind w:left="260" w:right="177" w:firstLine="0"/>
        <w:jc w:val="both"/>
        <w:rPr>
          <w:rFonts w:ascii="Arial" w:hAnsi="Arial" w:cs="Arial" w:eastAsia="Arial" w:hint="default"/>
          <w:sz w:val="22"/>
          <w:szCs w:val="22"/>
        </w:rPr>
      </w:pPr>
      <w:r>
        <w:rPr>
          <w:rFonts w:ascii="黑体" w:hAnsi="黑体" w:cs="黑体" w:eastAsia="黑体" w:hint="default"/>
          <w:b/>
          <w:bCs/>
          <w:spacing w:val="30"/>
          <w:sz w:val="22"/>
          <w:szCs w:val="22"/>
        </w:rPr>
        <w:t>我们的建</w:t>
      </w:r>
      <w:r>
        <w:rPr>
          <w:rFonts w:ascii="黑体" w:hAnsi="黑体" w:cs="黑体" w:eastAsia="黑体" w:hint="default"/>
          <w:b/>
          <w:bCs/>
          <w:spacing w:val="-70"/>
          <w:sz w:val="22"/>
          <w:szCs w:val="22"/>
        </w:rPr>
        <w:t> </w:t>
      </w:r>
      <w:r>
        <w:rPr>
          <w:rFonts w:ascii="黑体" w:hAnsi="黑体" w:cs="黑体" w:eastAsia="黑体" w:hint="default"/>
          <w:b/>
          <w:bCs/>
          <w:sz w:val="22"/>
          <w:szCs w:val="22"/>
        </w:rPr>
        <w:t>议</w:t>
      </w:r>
      <w:r>
        <w:rPr>
          <w:rFonts w:ascii="黑体" w:hAnsi="黑体" w:cs="黑体" w:eastAsia="黑体" w:hint="default"/>
          <w:b/>
          <w:bCs/>
          <w:w w:val="99"/>
          <w:sz w:val="22"/>
          <w:szCs w:val="22"/>
        </w:rPr>
        <w:t> </w:t>
      </w:r>
      <w:r>
        <w:rPr>
          <w:rFonts w:ascii="黑体" w:hAnsi="黑体" w:cs="黑体" w:eastAsia="黑体" w:hint="default"/>
          <w:sz w:val="22"/>
          <w:szCs w:val="22"/>
        </w:rPr>
        <w:t>我们建议在总部信息科技部软件开发组加强与业务部门的沟通，并在网上订单系统与</w:t>
      </w:r>
      <w:r>
        <w:rPr>
          <w:rFonts w:ascii="黑体" w:hAnsi="黑体" w:cs="黑体" w:eastAsia="黑体" w:hint="default"/>
          <w:spacing w:val="-58"/>
          <w:sz w:val="22"/>
          <w:szCs w:val="22"/>
        </w:rPr>
        <w:t> </w:t>
      </w:r>
      <w:r>
        <w:rPr>
          <w:rFonts w:ascii="Arial" w:hAnsi="Arial" w:cs="Arial" w:eastAsia="Arial" w:hint="default"/>
          <w:sz w:val="22"/>
          <w:szCs w:val="22"/>
        </w:rPr>
        <w:t>U8</w:t>
      </w:r>
    </w:p>
    <w:p>
      <w:pPr>
        <w:spacing w:line="269" w:lineRule="exact" w:before="0"/>
        <w:ind w:left="260" w:right="0" w:firstLine="0"/>
        <w:jc w:val="both"/>
        <w:rPr>
          <w:rFonts w:ascii="黑体" w:hAnsi="黑体" w:cs="黑体" w:eastAsia="黑体" w:hint="default"/>
          <w:sz w:val="22"/>
          <w:szCs w:val="22"/>
        </w:rPr>
      </w:pPr>
      <w:r>
        <w:rPr>
          <w:rFonts w:ascii="黑体" w:hAnsi="黑体" w:cs="黑体" w:eastAsia="黑体" w:hint="default"/>
          <w:sz w:val="22"/>
          <w:szCs w:val="22"/>
        </w:rPr>
        <w:t>系统的接口方面，添加必要的系统控制措施，使由系统传输生成的销售订单和采购入库单</w:t>
      </w:r>
    </w:p>
    <w:p>
      <w:pPr>
        <w:spacing w:line="284" w:lineRule="exact" w:before="28"/>
        <w:ind w:left="260" w:right="177" w:firstLine="0"/>
        <w:jc w:val="both"/>
        <w:rPr>
          <w:rFonts w:ascii="黑体" w:hAnsi="黑体" w:cs="黑体" w:eastAsia="黑体" w:hint="default"/>
          <w:sz w:val="22"/>
          <w:szCs w:val="22"/>
        </w:rPr>
      </w:pPr>
      <w:r>
        <w:rPr>
          <w:rFonts w:ascii="黑体" w:hAnsi="黑体" w:cs="黑体" w:eastAsia="黑体" w:hint="default"/>
          <w:sz w:val="22"/>
          <w:szCs w:val="22"/>
        </w:rPr>
        <w:t>的修改过程可以被追踪查询到，以确保生成业务单据的准确性和真实性。以下列举了几种</w:t>
      </w:r>
      <w:r>
        <w:rPr>
          <w:rFonts w:ascii="黑体" w:hAnsi="黑体" w:cs="黑体" w:eastAsia="黑体" w:hint="default"/>
          <w:w w:val="99"/>
          <w:sz w:val="22"/>
          <w:szCs w:val="22"/>
        </w:rPr>
        <w:t> </w:t>
      </w:r>
      <w:r>
        <w:rPr>
          <w:rFonts w:ascii="黑体" w:hAnsi="黑体" w:cs="黑体" w:eastAsia="黑体" w:hint="default"/>
          <w:sz w:val="22"/>
          <w:szCs w:val="22"/>
        </w:rPr>
        <w:t>具体实施方法：</w:t>
      </w:r>
    </w:p>
    <w:p>
      <w:pPr>
        <w:tabs>
          <w:tab w:pos="1340" w:val="left" w:leader="none"/>
        </w:tabs>
        <w:spacing w:before="92"/>
        <w:ind w:left="860" w:right="2010" w:firstLine="0"/>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建立数据修改申请表，并提交相关业务部门审批；</w:t>
      </w:r>
    </w:p>
    <w:p>
      <w:pPr>
        <w:tabs>
          <w:tab w:pos="1340" w:val="left" w:leader="none"/>
        </w:tabs>
        <w:spacing w:line="286" w:lineRule="exact" w:before="128"/>
        <w:ind w:left="863" w:right="117" w:hanging="3"/>
        <w:jc w:val="left"/>
        <w:rPr>
          <w:rFonts w:ascii="黑体" w:hAnsi="黑体" w:cs="黑体" w:eastAsia="黑体" w:hint="default"/>
          <w:sz w:val="22"/>
          <w:szCs w:val="22"/>
        </w:rPr>
      </w:pP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ab/>
      </w:r>
      <w:r>
        <w:rPr>
          <w:rFonts w:ascii="黑体" w:hAnsi="黑体" w:cs="黑体" w:eastAsia="黑体" w:hint="default"/>
          <w:sz w:val="22"/>
          <w:szCs w:val="22"/>
        </w:rPr>
        <w:t>在系统功能允许的情况下，在</w:t>
      </w:r>
      <w:r>
        <w:rPr>
          <w:rFonts w:ascii="Arial" w:hAnsi="Arial" w:cs="Arial" w:eastAsia="Arial" w:hint="default"/>
          <w:sz w:val="22"/>
          <w:szCs w:val="22"/>
        </w:rPr>
        <w:t>U8</w:t>
      </w:r>
      <w:r>
        <w:rPr>
          <w:rFonts w:ascii="黑体" w:hAnsi="黑体" w:cs="黑体" w:eastAsia="黑体" w:hint="default"/>
          <w:sz w:val="22"/>
          <w:szCs w:val="22"/>
        </w:rPr>
        <w:t>系统中开启审计功能，以便追踪修改内容和操</w:t>
      </w:r>
      <w:r>
        <w:rPr>
          <w:rFonts w:ascii="黑体" w:hAnsi="黑体" w:cs="黑体" w:eastAsia="黑体" w:hint="default"/>
          <w:spacing w:val="-105"/>
          <w:sz w:val="22"/>
          <w:szCs w:val="22"/>
        </w:rPr>
        <w:t> </w:t>
      </w:r>
      <w:r>
        <w:rPr>
          <w:rFonts w:ascii="黑体" w:hAnsi="黑体" w:cs="黑体" w:eastAsia="黑体" w:hint="default"/>
          <w:spacing w:val="-105"/>
          <w:sz w:val="22"/>
          <w:szCs w:val="22"/>
        </w:rPr>
      </w:r>
      <w:r>
        <w:rPr>
          <w:rFonts w:ascii="黑体" w:hAnsi="黑体" w:cs="黑体" w:eastAsia="黑体" w:hint="default"/>
          <w:sz w:val="22"/>
          <w:szCs w:val="22"/>
        </w:rPr>
        <w:t>作人信息。</w:t>
      </w:r>
    </w:p>
    <w:p>
      <w:pPr>
        <w:spacing w:line="240" w:lineRule="auto" w:before="0"/>
        <w:rPr>
          <w:rFonts w:ascii="黑体" w:hAnsi="黑体" w:cs="黑体" w:eastAsia="黑体" w:hint="default"/>
          <w:sz w:val="22"/>
          <w:szCs w:val="22"/>
        </w:rPr>
      </w:pPr>
    </w:p>
    <w:p>
      <w:pPr>
        <w:spacing w:line="240" w:lineRule="auto" w:before="10"/>
        <w:rPr>
          <w:rFonts w:ascii="黑体" w:hAnsi="黑体" w:cs="黑体" w:eastAsia="黑体" w:hint="default"/>
          <w:sz w:val="31"/>
          <w:szCs w:val="31"/>
        </w:rPr>
      </w:pPr>
    </w:p>
    <w:p>
      <w:pPr>
        <w:spacing w:before="0"/>
        <w:ind w:left="260" w:right="0" w:firstLine="0"/>
        <w:jc w:val="both"/>
        <w:rPr>
          <w:rFonts w:ascii="黑体" w:hAnsi="黑体" w:cs="黑体" w:eastAsia="黑体" w:hint="default"/>
          <w:sz w:val="22"/>
          <w:szCs w:val="22"/>
        </w:rPr>
      </w:pPr>
      <w:r>
        <w:rPr>
          <w:rFonts w:ascii="黑体" w:hAnsi="黑体" w:cs="黑体" w:eastAsia="黑体" w:hint="default"/>
          <w:b/>
          <w:bCs/>
          <w:spacing w:val="30"/>
          <w:sz w:val="22"/>
          <w:szCs w:val="22"/>
        </w:rPr>
        <w:t>管理层回</w:t>
      </w:r>
      <w:r>
        <w:rPr>
          <w:rFonts w:ascii="黑体" w:hAnsi="黑体" w:cs="黑体" w:eastAsia="黑体" w:hint="default"/>
          <w:b/>
          <w:bCs/>
          <w:spacing w:val="-76"/>
          <w:sz w:val="22"/>
          <w:szCs w:val="22"/>
        </w:rPr>
        <w:t> </w:t>
      </w:r>
      <w:r>
        <w:rPr>
          <w:rFonts w:ascii="黑体" w:hAnsi="黑体" w:cs="黑体" w:eastAsia="黑体" w:hint="default"/>
          <w:b/>
          <w:bCs/>
          <w:sz w:val="22"/>
          <w:szCs w:val="22"/>
        </w:rPr>
        <w:t>复</w:t>
      </w:r>
      <w:r>
        <w:rPr>
          <w:rFonts w:ascii="黑体" w:hAnsi="黑体" w:cs="黑体" w:eastAsia="黑体" w:hint="default"/>
          <w:sz w:val="22"/>
          <w:szCs w:val="22"/>
        </w:rPr>
      </w:r>
    </w:p>
    <w:p>
      <w:pPr>
        <w:spacing w:line="295" w:lineRule="exact" w:before="117"/>
        <w:ind w:left="260" w:right="0" w:firstLine="0"/>
        <w:jc w:val="both"/>
        <w:rPr>
          <w:rFonts w:ascii="黑体" w:hAnsi="黑体" w:cs="黑体" w:eastAsia="黑体" w:hint="default"/>
          <w:sz w:val="22"/>
          <w:szCs w:val="22"/>
        </w:rPr>
      </w:pPr>
      <w:r>
        <w:rPr>
          <w:rFonts w:ascii="Arial" w:hAnsi="Arial" w:cs="Arial" w:eastAsia="Arial" w:hint="default"/>
          <w:sz w:val="22"/>
          <w:szCs w:val="22"/>
        </w:rPr>
        <w:t>1.</w:t>
      </w:r>
      <w:r>
        <w:rPr>
          <w:rFonts w:ascii="Arial" w:hAnsi="Arial" w:cs="Arial" w:eastAsia="Arial" w:hint="default"/>
          <w:spacing w:val="-1"/>
          <w:sz w:val="22"/>
          <w:szCs w:val="22"/>
        </w:rPr>
        <w:t> </w:t>
      </w:r>
      <w:r>
        <w:rPr>
          <w:rFonts w:ascii="黑体" w:hAnsi="黑体" w:cs="黑体" w:eastAsia="黑体" w:hint="default"/>
          <w:sz w:val="22"/>
          <w:szCs w:val="22"/>
        </w:rPr>
        <w:t>结合</w:t>
      </w:r>
      <w:r>
        <w:rPr>
          <w:rFonts w:ascii="黑体" w:hAnsi="黑体" w:cs="黑体" w:eastAsia="黑体" w:hint="default"/>
          <w:spacing w:val="-56"/>
          <w:sz w:val="22"/>
          <w:szCs w:val="22"/>
        </w:rPr>
        <w:t> </w:t>
      </w:r>
      <w:r>
        <w:rPr>
          <w:rFonts w:ascii="Arial" w:hAnsi="Arial" w:cs="Arial" w:eastAsia="Arial" w:hint="default"/>
          <w:sz w:val="22"/>
          <w:szCs w:val="22"/>
        </w:rPr>
        <w:t>IT</w:t>
      </w:r>
      <w:r>
        <w:rPr>
          <w:rFonts w:ascii="Arial" w:hAnsi="Arial" w:cs="Arial" w:eastAsia="Arial" w:hint="default"/>
          <w:spacing w:val="-14"/>
          <w:sz w:val="22"/>
          <w:szCs w:val="22"/>
        </w:rPr>
        <w:t> </w:t>
      </w:r>
      <w:r>
        <w:rPr>
          <w:rFonts w:ascii="黑体" w:hAnsi="黑体" w:cs="黑体" w:eastAsia="黑体" w:hint="default"/>
          <w:sz w:val="22"/>
          <w:szCs w:val="22"/>
        </w:rPr>
        <w:t>治理要求，对商务订单修改严格审批及系统上线检查。</w:t>
      </w:r>
    </w:p>
    <w:p>
      <w:pPr>
        <w:spacing w:line="295" w:lineRule="exact" w:before="0"/>
        <w:ind w:left="260" w:right="0" w:firstLine="0"/>
        <w:jc w:val="both"/>
        <w:rPr>
          <w:rFonts w:ascii="黑体" w:hAnsi="黑体" w:cs="黑体" w:eastAsia="黑体" w:hint="default"/>
          <w:sz w:val="22"/>
          <w:szCs w:val="22"/>
        </w:rPr>
      </w:pPr>
      <w:r>
        <w:rPr>
          <w:rFonts w:ascii="Arial" w:hAnsi="Arial" w:cs="Arial" w:eastAsia="Arial" w:hint="default"/>
          <w:sz w:val="22"/>
          <w:szCs w:val="22"/>
        </w:rPr>
        <w:t>2.</w:t>
      </w:r>
      <w:r>
        <w:rPr>
          <w:rFonts w:ascii="Arial" w:hAnsi="Arial" w:cs="Arial" w:eastAsia="Arial" w:hint="default"/>
          <w:spacing w:val="-3"/>
          <w:sz w:val="22"/>
          <w:szCs w:val="22"/>
        </w:rPr>
        <w:t> </w:t>
      </w:r>
      <w:r>
        <w:rPr>
          <w:rFonts w:ascii="黑体" w:hAnsi="黑体" w:cs="黑体" w:eastAsia="黑体" w:hint="default"/>
          <w:sz w:val="22"/>
          <w:szCs w:val="22"/>
        </w:rPr>
        <w:t>与开发部门协同研究系统内部审计功能，便于跟踪操作信息。</w:t>
      </w:r>
    </w:p>
    <w:p>
      <w:pPr>
        <w:spacing w:after="0" w:line="295" w:lineRule="exact"/>
        <w:jc w:val="both"/>
        <w:rPr>
          <w:rFonts w:ascii="黑体" w:hAnsi="黑体" w:cs="黑体" w:eastAsia="黑体" w:hint="default"/>
          <w:sz w:val="22"/>
          <w:szCs w:val="22"/>
        </w:rPr>
        <w:sectPr>
          <w:headerReference w:type="default" r:id="rId137"/>
          <w:footerReference w:type="default" r:id="rId138"/>
          <w:pgSz w:w="12240" w:h="15840"/>
          <w:pgMar w:header="0" w:footer="755" w:top="1500" w:bottom="940" w:left="1540" w:right="1680"/>
          <w:pgNumType w:start="36"/>
        </w:sectPr>
      </w:pPr>
    </w:p>
    <w:p>
      <w:pPr>
        <w:spacing w:line="240" w:lineRule="auto" w:before="1"/>
        <w:rPr>
          <w:rFonts w:ascii="黑体" w:hAnsi="黑体" w:cs="黑体" w:eastAsia="黑体" w:hint="default"/>
          <w:sz w:val="27"/>
          <w:szCs w:val="27"/>
        </w:rPr>
      </w:pPr>
    </w:p>
    <w:p>
      <w:pPr>
        <w:tabs>
          <w:tab w:pos="839" w:val="left" w:leader="none"/>
        </w:tabs>
        <w:spacing w:before="31"/>
        <w:ind w:left="120" w:right="121" w:firstLine="0"/>
        <w:jc w:val="left"/>
        <w:rPr>
          <w:rFonts w:ascii="黑体" w:hAnsi="黑体" w:cs="黑体" w:eastAsia="黑体" w:hint="default"/>
          <w:sz w:val="23"/>
          <w:szCs w:val="23"/>
        </w:rPr>
      </w:pPr>
      <w:bookmarkStart w:name="_bookmark21" w:id="43"/>
      <w:bookmarkEnd w:id="43"/>
      <w:r>
        <w:rPr/>
      </w:r>
      <w:r>
        <w:rPr>
          <w:rFonts w:ascii="黑体" w:hAnsi="黑体" w:cs="黑体" w:eastAsia="黑体" w:hint="default"/>
          <w:b/>
          <w:bCs/>
          <w:i/>
          <w:w w:val="95"/>
          <w:sz w:val="23"/>
          <w:szCs w:val="23"/>
        </w:rPr>
        <w:t>10.</w:t>
        <w:tab/>
      </w:r>
      <w:r>
        <w:rPr>
          <w:rFonts w:ascii="黑体" w:hAnsi="黑体" w:cs="黑体" w:eastAsia="黑体" w:hint="default"/>
          <w:b/>
          <w:bCs/>
          <w:i/>
          <w:sz w:val="23"/>
          <w:szCs w:val="23"/>
        </w:rPr>
        <w:t>单据录入及审核的系统控制（</w:t>
      </w:r>
      <w:r>
        <w:rPr>
          <w:rFonts w:ascii="Arial" w:hAnsi="Arial" w:cs="Arial" w:eastAsia="Arial" w:hint="default"/>
          <w:b/>
          <w:bCs/>
          <w:i/>
          <w:sz w:val="22"/>
          <w:szCs w:val="22"/>
        </w:rPr>
        <w:t>U8</w:t>
      </w:r>
      <w:r>
        <w:rPr>
          <w:rFonts w:ascii="黑体" w:hAnsi="黑体" w:cs="黑体" w:eastAsia="黑体" w:hint="default"/>
          <w:b/>
          <w:bCs/>
          <w:i/>
          <w:sz w:val="23"/>
          <w:szCs w:val="23"/>
        </w:rPr>
        <w:t>）</w:t>
      </w:r>
      <w:r>
        <w:rPr>
          <w:rFonts w:ascii="黑体" w:hAnsi="黑体" w:cs="黑体" w:eastAsia="黑体" w:hint="default"/>
          <w:sz w:val="23"/>
          <w:szCs w:val="23"/>
        </w:rPr>
      </w:r>
    </w:p>
    <w:p>
      <w:pPr>
        <w:spacing w:line="240" w:lineRule="auto" w:before="0"/>
        <w:rPr>
          <w:rFonts w:ascii="黑体" w:hAnsi="黑体" w:cs="黑体" w:eastAsia="黑体" w:hint="default"/>
          <w:b/>
          <w:bCs/>
          <w:i/>
          <w:sz w:val="24"/>
          <w:szCs w:val="24"/>
        </w:rPr>
      </w:pPr>
    </w:p>
    <w:p>
      <w:pPr>
        <w:spacing w:line="240" w:lineRule="auto" w:before="7"/>
        <w:rPr>
          <w:rFonts w:ascii="黑体" w:hAnsi="黑体" w:cs="黑体" w:eastAsia="黑体" w:hint="default"/>
          <w:b/>
          <w:bCs/>
          <w:i/>
          <w:sz w:val="30"/>
          <w:szCs w:val="30"/>
        </w:rPr>
      </w:pPr>
    </w:p>
    <w:p>
      <w:pPr>
        <w:spacing w:before="0"/>
        <w:ind w:left="120" w:right="121" w:firstLine="0"/>
        <w:jc w:val="left"/>
        <w:rPr>
          <w:rFonts w:ascii="黑体" w:hAnsi="黑体" w:cs="黑体" w:eastAsia="黑体" w:hint="default"/>
          <w:sz w:val="22"/>
          <w:szCs w:val="22"/>
        </w:rPr>
      </w:pPr>
      <w:r>
        <w:rPr>
          <w:rFonts w:ascii="黑体" w:hAnsi="黑体" w:cs="黑体" w:eastAsia="黑体" w:hint="default"/>
          <w:b/>
          <w:bCs/>
          <w:spacing w:val="30"/>
          <w:sz w:val="22"/>
          <w:szCs w:val="22"/>
        </w:rPr>
        <w:t>观察所得</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86" w:lineRule="exact" w:before="146"/>
        <w:ind w:left="119" w:right="121" w:firstLine="0"/>
        <w:jc w:val="left"/>
        <w:rPr>
          <w:rFonts w:ascii="黑体" w:hAnsi="黑体" w:cs="黑体" w:eastAsia="黑体" w:hint="default"/>
          <w:sz w:val="22"/>
          <w:szCs w:val="22"/>
        </w:rPr>
      </w:pPr>
      <w:r>
        <w:rPr>
          <w:rFonts w:ascii="黑体" w:hAnsi="黑体" w:cs="黑体" w:eastAsia="黑体" w:hint="default"/>
          <w:sz w:val="22"/>
          <w:szCs w:val="22"/>
        </w:rPr>
        <w:t>我们了解到，对于</w:t>
      </w:r>
      <w:r>
        <w:rPr>
          <w:rFonts w:ascii="黑体" w:hAnsi="黑体" w:cs="黑体" w:eastAsia="黑体" w:hint="default"/>
          <w:spacing w:val="-57"/>
          <w:sz w:val="22"/>
          <w:szCs w:val="22"/>
        </w:rPr>
        <w:t> </w:t>
      </w:r>
      <w:r>
        <w:rPr>
          <w:rFonts w:ascii="Arial" w:hAnsi="Arial" w:cs="Arial" w:eastAsia="Arial" w:hint="default"/>
          <w:sz w:val="22"/>
          <w:szCs w:val="22"/>
        </w:rPr>
        <w:t>U8</w:t>
      </w:r>
      <w:r>
        <w:rPr>
          <w:rFonts w:ascii="Arial" w:hAnsi="Arial" w:cs="Arial" w:eastAsia="Arial" w:hint="default"/>
          <w:spacing w:val="-14"/>
          <w:sz w:val="22"/>
          <w:szCs w:val="22"/>
        </w:rPr>
        <w:t> </w:t>
      </w:r>
      <w:r>
        <w:rPr>
          <w:rFonts w:ascii="黑体" w:hAnsi="黑体" w:cs="黑体" w:eastAsia="黑体" w:hint="default"/>
          <w:sz w:val="22"/>
          <w:szCs w:val="22"/>
        </w:rPr>
        <w:t>系统中的</w:t>
      </w:r>
      <w:r>
        <w:rPr>
          <w:rFonts w:ascii="Arial" w:hAnsi="Arial" w:cs="Arial" w:eastAsia="Arial" w:hint="default"/>
          <w:sz w:val="22"/>
          <w:szCs w:val="22"/>
        </w:rPr>
        <w:t>“</w:t>
      </w:r>
      <w:r>
        <w:rPr>
          <w:rFonts w:ascii="黑体" w:hAnsi="黑体" w:cs="黑体" w:eastAsia="黑体" w:hint="default"/>
          <w:sz w:val="22"/>
          <w:szCs w:val="22"/>
        </w:rPr>
        <w:t>采购入库单</w:t>
      </w:r>
      <w:r>
        <w:rPr>
          <w:rFonts w:ascii="Arial" w:hAnsi="Arial" w:cs="Arial" w:eastAsia="Arial" w:hint="default"/>
          <w:sz w:val="22"/>
          <w:szCs w:val="22"/>
        </w:rPr>
        <w:t>”</w:t>
      </w:r>
      <w:r>
        <w:rPr>
          <w:rFonts w:ascii="黑体" w:hAnsi="黑体" w:cs="黑体" w:eastAsia="黑体" w:hint="default"/>
          <w:sz w:val="22"/>
          <w:szCs w:val="22"/>
        </w:rPr>
        <w:t>、</w:t>
      </w:r>
      <w:r>
        <w:rPr>
          <w:rFonts w:ascii="Arial" w:hAnsi="Arial" w:cs="Arial" w:eastAsia="Arial" w:hint="default"/>
          <w:sz w:val="22"/>
          <w:szCs w:val="22"/>
        </w:rPr>
        <w:t>“</w:t>
      </w:r>
      <w:r>
        <w:rPr>
          <w:rFonts w:ascii="黑体" w:hAnsi="黑体" w:cs="黑体" w:eastAsia="黑体" w:hint="default"/>
          <w:sz w:val="22"/>
          <w:szCs w:val="22"/>
        </w:rPr>
        <w:t>销售订单</w:t>
      </w:r>
      <w:r>
        <w:rPr>
          <w:rFonts w:ascii="Arial" w:hAnsi="Arial" w:cs="Arial" w:eastAsia="Arial" w:hint="default"/>
          <w:sz w:val="22"/>
          <w:szCs w:val="22"/>
        </w:rPr>
        <w:t>”</w:t>
      </w:r>
      <w:r>
        <w:rPr>
          <w:rFonts w:ascii="黑体" w:hAnsi="黑体" w:cs="黑体" w:eastAsia="黑体" w:hint="default"/>
          <w:sz w:val="22"/>
          <w:szCs w:val="22"/>
        </w:rPr>
        <w:t>、</w:t>
      </w:r>
      <w:r>
        <w:rPr>
          <w:rFonts w:ascii="Arial" w:hAnsi="Arial" w:cs="Arial" w:eastAsia="Arial" w:hint="default"/>
          <w:sz w:val="22"/>
          <w:szCs w:val="22"/>
        </w:rPr>
        <w:t>“</w:t>
      </w:r>
      <w:r>
        <w:rPr>
          <w:rFonts w:ascii="黑体" w:hAnsi="黑体" w:cs="黑体" w:eastAsia="黑体" w:hint="default"/>
          <w:sz w:val="22"/>
          <w:szCs w:val="22"/>
        </w:rPr>
        <w:t>收款单</w:t>
      </w:r>
      <w:r>
        <w:rPr>
          <w:rFonts w:ascii="Arial" w:hAnsi="Arial" w:cs="Arial" w:eastAsia="Arial" w:hint="default"/>
          <w:sz w:val="22"/>
          <w:szCs w:val="22"/>
        </w:rPr>
        <w:t>”</w:t>
      </w:r>
      <w:r>
        <w:rPr>
          <w:rFonts w:ascii="黑体" w:hAnsi="黑体" w:cs="黑体" w:eastAsia="黑体" w:hint="default"/>
          <w:sz w:val="22"/>
          <w:szCs w:val="22"/>
        </w:rPr>
        <w:t>和</w:t>
      </w:r>
      <w:r>
        <w:rPr>
          <w:rFonts w:ascii="Arial" w:hAnsi="Arial" w:cs="Arial" w:eastAsia="Arial" w:hint="default"/>
          <w:sz w:val="22"/>
          <w:szCs w:val="22"/>
        </w:rPr>
        <w:t>“</w:t>
      </w:r>
      <w:r>
        <w:rPr>
          <w:rFonts w:ascii="黑体" w:hAnsi="黑体" w:cs="黑体" w:eastAsia="黑体" w:hint="default"/>
          <w:sz w:val="22"/>
          <w:szCs w:val="22"/>
        </w:rPr>
        <w:t>销售普通发票</w:t>
      </w:r>
      <w:r>
        <w:rPr>
          <w:rFonts w:ascii="Arial" w:hAnsi="Arial" w:cs="Arial" w:eastAsia="Arial" w:hint="default"/>
          <w:sz w:val="22"/>
          <w:szCs w:val="22"/>
        </w:rPr>
        <w:t>”</w:t>
      </w:r>
      <w:r>
        <w:rPr>
          <w:rFonts w:ascii="黑体" w:hAnsi="黑体" w:cs="黑体" w:eastAsia="黑体" w:hint="default"/>
          <w:sz w:val="22"/>
          <w:szCs w:val="22"/>
        </w:rPr>
        <w:t>等</w:t>
      </w:r>
      <w:r>
        <w:rPr>
          <w:rFonts w:ascii="黑体" w:hAnsi="黑体" w:cs="黑体" w:eastAsia="黑体" w:hint="default"/>
          <w:w w:val="99"/>
          <w:sz w:val="22"/>
          <w:szCs w:val="22"/>
        </w:rPr>
        <w:t> </w:t>
      </w:r>
      <w:r>
        <w:rPr>
          <w:rFonts w:ascii="黑体" w:hAnsi="黑体" w:cs="黑体" w:eastAsia="黑体" w:hint="default"/>
          <w:sz w:val="22"/>
          <w:szCs w:val="22"/>
        </w:rPr>
        <w:t>单据，单据录入和审核在系统中可以由同一用户账号完成，即系统不限定录入和审核操作</w:t>
      </w:r>
      <w:r>
        <w:rPr>
          <w:rFonts w:ascii="黑体" w:hAnsi="黑体" w:cs="黑体" w:eastAsia="黑体" w:hint="default"/>
          <w:w w:val="99"/>
          <w:sz w:val="22"/>
          <w:szCs w:val="22"/>
        </w:rPr>
        <w:t> </w:t>
      </w:r>
      <w:r>
        <w:rPr>
          <w:rFonts w:ascii="黑体" w:hAnsi="黑体" w:cs="黑体" w:eastAsia="黑体" w:hint="default"/>
          <w:sz w:val="22"/>
          <w:szCs w:val="22"/>
        </w:rPr>
        <w:t>必须由不同人员进行。</w:t>
      </w:r>
    </w:p>
    <w:p>
      <w:pPr>
        <w:spacing w:line="240" w:lineRule="auto" w:before="0"/>
        <w:rPr>
          <w:rFonts w:ascii="黑体" w:hAnsi="黑体" w:cs="黑体" w:eastAsia="黑体" w:hint="default"/>
          <w:sz w:val="22"/>
          <w:szCs w:val="22"/>
        </w:rPr>
      </w:pPr>
    </w:p>
    <w:p>
      <w:pPr>
        <w:spacing w:line="240" w:lineRule="auto" w:before="10"/>
        <w:rPr>
          <w:rFonts w:ascii="黑体" w:hAnsi="黑体" w:cs="黑体" w:eastAsia="黑体" w:hint="default"/>
          <w:sz w:val="31"/>
          <w:szCs w:val="31"/>
        </w:rPr>
      </w:pPr>
    </w:p>
    <w:p>
      <w:pPr>
        <w:spacing w:before="0"/>
        <w:ind w:left="119" w:right="121" w:firstLine="0"/>
        <w:jc w:val="left"/>
        <w:rPr>
          <w:rFonts w:ascii="黑体" w:hAnsi="黑体" w:cs="黑体" w:eastAsia="黑体" w:hint="default"/>
          <w:sz w:val="22"/>
          <w:szCs w:val="22"/>
        </w:rPr>
      </w:pPr>
      <w:r>
        <w:rPr>
          <w:rFonts w:ascii="黑体" w:hAnsi="黑体" w:cs="黑体" w:eastAsia="黑体" w:hint="default"/>
          <w:b/>
          <w:bCs/>
          <w:spacing w:val="30"/>
          <w:sz w:val="22"/>
          <w:szCs w:val="22"/>
        </w:rPr>
        <w:t>潜在的业</w:t>
      </w:r>
      <w:r>
        <w:rPr>
          <w:rFonts w:ascii="黑体" w:hAnsi="黑体" w:cs="黑体" w:eastAsia="黑体" w:hint="default"/>
          <w:b/>
          <w:bCs/>
          <w:spacing w:val="-76"/>
          <w:sz w:val="22"/>
          <w:szCs w:val="22"/>
        </w:rPr>
        <w:t> </w:t>
      </w:r>
      <w:r>
        <w:rPr>
          <w:rFonts w:ascii="黑体" w:hAnsi="黑体" w:cs="黑体" w:eastAsia="黑体" w:hint="default"/>
          <w:b/>
          <w:bCs/>
          <w:spacing w:val="26"/>
          <w:sz w:val="22"/>
          <w:szCs w:val="22"/>
        </w:rPr>
        <w:t>务风险</w:t>
      </w:r>
      <w:r>
        <w:rPr>
          <w:rFonts w:ascii="黑体" w:hAnsi="黑体" w:cs="黑体" w:eastAsia="黑体" w:hint="default"/>
          <w:b/>
          <w:bCs/>
          <w:spacing w:val="-71"/>
          <w:sz w:val="22"/>
          <w:szCs w:val="22"/>
        </w:rPr>
        <w:t> </w:t>
      </w:r>
      <w:r>
        <w:rPr>
          <w:rFonts w:ascii="黑体" w:hAnsi="黑体" w:cs="黑体" w:eastAsia="黑体" w:hint="default"/>
          <w:sz w:val="22"/>
          <w:szCs w:val="22"/>
        </w:rPr>
      </w:r>
    </w:p>
    <w:p>
      <w:pPr>
        <w:spacing w:line="237" w:lineRule="auto" w:before="120"/>
        <w:ind w:left="119" w:right="121" w:firstLine="0"/>
        <w:jc w:val="left"/>
        <w:rPr>
          <w:rFonts w:ascii="黑体" w:hAnsi="黑体" w:cs="黑体" w:eastAsia="黑体" w:hint="default"/>
          <w:sz w:val="22"/>
          <w:szCs w:val="22"/>
        </w:rPr>
      </w:pPr>
      <w:r>
        <w:rPr>
          <w:rFonts w:ascii="黑体" w:hAnsi="黑体" w:cs="黑体" w:eastAsia="黑体" w:hint="default"/>
          <w:sz w:val="22"/>
          <w:szCs w:val="22"/>
        </w:rPr>
        <w:t>单据录入和审核如果都由同一用户账号完成，录入的单据在系统中可能得不到必要的审</w:t>
      </w:r>
      <w:r>
        <w:rPr>
          <w:rFonts w:ascii="黑体" w:hAnsi="黑体" w:cs="黑体" w:eastAsia="黑体" w:hint="default"/>
          <w:w w:val="99"/>
          <w:sz w:val="22"/>
          <w:szCs w:val="22"/>
        </w:rPr>
        <w:t> </w:t>
      </w:r>
      <w:r>
        <w:rPr>
          <w:rFonts w:ascii="黑体" w:hAnsi="黑体" w:cs="黑体" w:eastAsia="黑体" w:hint="default"/>
          <w:sz w:val="22"/>
          <w:szCs w:val="22"/>
        </w:rPr>
        <w:t>核，有可能造成录入的单据信息和书面单据的信息不一致，进而影响到业务数据和财务数</w:t>
      </w:r>
      <w:r>
        <w:rPr>
          <w:rFonts w:ascii="黑体" w:hAnsi="黑体" w:cs="黑体" w:eastAsia="黑体" w:hint="default"/>
          <w:w w:val="99"/>
          <w:sz w:val="22"/>
          <w:szCs w:val="22"/>
        </w:rPr>
        <w:t> </w:t>
      </w:r>
      <w:r>
        <w:rPr>
          <w:rFonts w:ascii="黑体" w:hAnsi="黑体" w:cs="黑体" w:eastAsia="黑体" w:hint="default"/>
          <w:sz w:val="22"/>
          <w:szCs w:val="22"/>
        </w:rPr>
        <w:t>据的准确性；另外，单据在审核前能被录入人以外的人修改，增加了该单据被非法修改的</w:t>
      </w:r>
      <w:r>
        <w:rPr>
          <w:rFonts w:ascii="黑体" w:hAnsi="黑体" w:cs="黑体" w:eastAsia="黑体" w:hint="default"/>
          <w:w w:val="99"/>
          <w:sz w:val="22"/>
          <w:szCs w:val="22"/>
        </w:rPr>
        <w:t> </w:t>
      </w:r>
      <w:r>
        <w:rPr>
          <w:rFonts w:ascii="黑体" w:hAnsi="黑体" w:cs="黑体" w:eastAsia="黑体" w:hint="default"/>
          <w:sz w:val="22"/>
          <w:szCs w:val="22"/>
        </w:rPr>
        <w:t>风险，而且系统中没有保留单据修改操作的时间和修改人信息，增加了对单据信息进行追</w:t>
      </w:r>
      <w:r>
        <w:rPr>
          <w:rFonts w:ascii="黑体" w:hAnsi="黑体" w:cs="黑体" w:eastAsia="黑体" w:hint="default"/>
          <w:w w:val="99"/>
          <w:sz w:val="22"/>
          <w:szCs w:val="22"/>
        </w:rPr>
        <w:t> </w:t>
      </w:r>
      <w:r>
        <w:rPr>
          <w:rFonts w:ascii="黑体" w:hAnsi="黑体" w:cs="黑体" w:eastAsia="黑体" w:hint="default"/>
          <w:sz w:val="22"/>
          <w:szCs w:val="22"/>
        </w:rPr>
        <w:t>溯的难度。</w:t>
      </w:r>
    </w:p>
    <w:p>
      <w:pPr>
        <w:spacing w:line="240" w:lineRule="auto" w:before="0"/>
        <w:rPr>
          <w:rFonts w:ascii="黑体" w:hAnsi="黑体" w:cs="黑体" w:eastAsia="黑体" w:hint="default"/>
          <w:sz w:val="22"/>
          <w:szCs w:val="22"/>
        </w:rPr>
      </w:pPr>
    </w:p>
    <w:p>
      <w:pPr>
        <w:spacing w:line="240" w:lineRule="auto" w:before="0"/>
        <w:rPr>
          <w:rFonts w:ascii="黑体" w:hAnsi="黑体" w:cs="黑体" w:eastAsia="黑体" w:hint="default"/>
          <w:sz w:val="22"/>
          <w:szCs w:val="22"/>
        </w:rPr>
      </w:pPr>
    </w:p>
    <w:p>
      <w:pPr>
        <w:spacing w:before="155"/>
        <w:ind w:left="119" w:right="121" w:firstLine="0"/>
        <w:jc w:val="left"/>
        <w:rPr>
          <w:rFonts w:ascii="黑体" w:hAnsi="黑体" w:cs="黑体" w:eastAsia="黑体" w:hint="default"/>
          <w:sz w:val="22"/>
          <w:szCs w:val="22"/>
        </w:rPr>
      </w:pPr>
      <w:r>
        <w:rPr>
          <w:rFonts w:ascii="黑体" w:hAnsi="黑体" w:cs="黑体" w:eastAsia="黑体" w:hint="default"/>
          <w:b/>
          <w:bCs/>
          <w:spacing w:val="30"/>
          <w:sz w:val="22"/>
          <w:szCs w:val="22"/>
        </w:rPr>
        <w:t>我们的建</w:t>
      </w:r>
      <w:r>
        <w:rPr>
          <w:rFonts w:ascii="黑体" w:hAnsi="黑体" w:cs="黑体" w:eastAsia="黑体" w:hint="default"/>
          <w:b/>
          <w:bCs/>
          <w:spacing w:val="-76"/>
          <w:sz w:val="22"/>
          <w:szCs w:val="22"/>
        </w:rPr>
        <w:t> </w:t>
      </w:r>
      <w:r>
        <w:rPr>
          <w:rFonts w:ascii="黑体" w:hAnsi="黑体" w:cs="黑体" w:eastAsia="黑体" w:hint="default"/>
          <w:b/>
          <w:bCs/>
          <w:sz w:val="22"/>
          <w:szCs w:val="22"/>
        </w:rPr>
        <w:t>议</w:t>
      </w:r>
      <w:r>
        <w:rPr>
          <w:rFonts w:ascii="黑体" w:hAnsi="黑体" w:cs="黑体" w:eastAsia="黑体" w:hint="default"/>
          <w:sz w:val="22"/>
          <w:szCs w:val="22"/>
        </w:rPr>
      </w:r>
    </w:p>
    <w:p>
      <w:pPr>
        <w:spacing w:line="286" w:lineRule="exact" w:before="144"/>
        <w:ind w:left="119" w:right="138" w:firstLine="0"/>
        <w:jc w:val="both"/>
        <w:rPr>
          <w:rFonts w:ascii="黑体" w:hAnsi="黑体" w:cs="黑体" w:eastAsia="黑体" w:hint="default"/>
          <w:sz w:val="22"/>
          <w:szCs w:val="22"/>
        </w:rPr>
      </w:pPr>
      <w:r>
        <w:rPr>
          <w:rFonts w:ascii="黑体" w:hAnsi="黑体" w:cs="黑体" w:eastAsia="黑体" w:hint="default"/>
          <w:sz w:val="22"/>
          <w:szCs w:val="22"/>
        </w:rPr>
        <w:t>我们建议贵公司总部财务部及分子公司财务部加强沟通，并作为</w:t>
      </w:r>
      <w:r>
        <w:rPr>
          <w:rFonts w:ascii="黑体" w:hAnsi="黑体" w:cs="黑体" w:eastAsia="黑体" w:hint="default"/>
          <w:spacing w:val="-56"/>
          <w:sz w:val="22"/>
          <w:szCs w:val="22"/>
        </w:rPr>
        <w:t> </w:t>
      </w:r>
      <w:r>
        <w:rPr>
          <w:rFonts w:ascii="Arial" w:hAnsi="Arial" w:cs="Arial" w:eastAsia="Arial" w:hint="default"/>
          <w:sz w:val="22"/>
          <w:szCs w:val="22"/>
        </w:rPr>
        <w:t>U8</w:t>
      </w:r>
      <w:r>
        <w:rPr>
          <w:rFonts w:ascii="Arial" w:hAnsi="Arial" w:cs="Arial" w:eastAsia="Arial" w:hint="default"/>
          <w:spacing w:val="-13"/>
          <w:sz w:val="22"/>
          <w:szCs w:val="22"/>
        </w:rPr>
        <w:t> </w:t>
      </w:r>
      <w:r>
        <w:rPr>
          <w:rFonts w:ascii="黑体" w:hAnsi="黑体" w:cs="黑体" w:eastAsia="黑体" w:hint="default"/>
          <w:sz w:val="22"/>
          <w:szCs w:val="22"/>
        </w:rPr>
        <w:t>系统的终端用户及时</w:t>
      </w:r>
      <w:r>
        <w:rPr>
          <w:rFonts w:ascii="黑体" w:hAnsi="黑体" w:cs="黑体" w:eastAsia="黑体" w:hint="default"/>
          <w:w w:val="99"/>
          <w:sz w:val="22"/>
          <w:szCs w:val="22"/>
        </w:rPr>
        <w:t> </w:t>
      </w:r>
      <w:r>
        <w:rPr>
          <w:rFonts w:ascii="黑体" w:hAnsi="黑体" w:cs="黑体" w:eastAsia="黑体" w:hint="default"/>
          <w:sz w:val="22"/>
          <w:szCs w:val="22"/>
        </w:rPr>
        <w:t>向</w:t>
      </w:r>
      <w:r>
        <w:rPr>
          <w:rFonts w:ascii="黑体" w:hAnsi="黑体" w:cs="黑体" w:eastAsia="黑体" w:hint="default"/>
          <w:spacing w:val="-56"/>
          <w:sz w:val="22"/>
          <w:szCs w:val="22"/>
        </w:rPr>
        <w:t> </w:t>
      </w:r>
      <w:r>
        <w:rPr>
          <w:rFonts w:ascii="Arial" w:hAnsi="Arial" w:cs="Arial" w:eastAsia="Arial" w:hint="default"/>
          <w:sz w:val="22"/>
          <w:szCs w:val="22"/>
        </w:rPr>
        <w:t>U8</w:t>
      </w:r>
      <w:r>
        <w:rPr>
          <w:rFonts w:ascii="Arial" w:hAnsi="Arial" w:cs="Arial" w:eastAsia="Arial" w:hint="default"/>
          <w:spacing w:val="-14"/>
          <w:sz w:val="22"/>
          <w:szCs w:val="22"/>
        </w:rPr>
        <w:t> </w:t>
      </w:r>
      <w:r>
        <w:rPr>
          <w:rFonts w:ascii="黑体" w:hAnsi="黑体" w:cs="黑体" w:eastAsia="黑体" w:hint="default"/>
          <w:sz w:val="22"/>
          <w:szCs w:val="22"/>
        </w:rPr>
        <w:t>的研发部门反映，以完善</w:t>
      </w:r>
      <w:r>
        <w:rPr>
          <w:rFonts w:ascii="黑体" w:hAnsi="黑体" w:cs="黑体" w:eastAsia="黑体" w:hint="default"/>
          <w:spacing w:val="-55"/>
          <w:sz w:val="22"/>
          <w:szCs w:val="22"/>
        </w:rPr>
        <w:t> </w:t>
      </w:r>
      <w:r>
        <w:rPr>
          <w:rFonts w:ascii="Arial" w:hAnsi="Arial" w:cs="Arial" w:eastAsia="Arial" w:hint="default"/>
          <w:sz w:val="22"/>
          <w:szCs w:val="22"/>
        </w:rPr>
        <w:t>U8</w:t>
      </w:r>
      <w:r>
        <w:rPr>
          <w:rFonts w:ascii="Arial" w:hAnsi="Arial" w:cs="Arial" w:eastAsia="Arial" w:hint="default"/>
          <w:spacing w:val="-14"/>
          <w:sz w:val="22"/>
          <w:szCs w:val="22"/>
        </w:rPr>
        <w:t> </w:t>
      </w:r>
      <w:r>
        <w:rPr>
          <w:rFonts w:ascii="黑体" w:hAnsi="黑体" w:cs="黑体" w:eastAsia="黑体" w:hint="default"/>
          <w:sz w:val="22"/>
          <w:szCs w:val="22"/>
        </w:rPr>
        <w:t>系统中单据录入及审核的功能，并在系统中实现对关</w:t>
      </w:r>
      <w:r>
        <w:rPr>
          <w:rFonts w:ascii="黑体" w:hAnsi="黑体" w:cs="黑体" w:eastAsia="黑体" w:hint="default"/>
          <w:w w:val="99"/>
          <w:sz w:val="22"/>
          <w:szCs w:val="22"/>
        </w:rPr>
        <w:t> </w:t>
      </w:r>
      <w:r>
        <w:rPr>
          <w:rFonts w:ascii="黑体" w:hAnsi="黑体" w:cs="黑体" w:eastAsia="黑体" w:hint="default"/>
          <w:sz w:val="22"/>
          <w:szCs w:val="22"/>
        </w:rPr>
        <w:t>键单据录入与审核的职责分工。如果无法通过系统变更实现双人复核机制，则应加强系统</w:t>
      </w:r>
      <w:r>
        <w:rPr>
          <w:rFonts w:ascii="黑体" w:hAnsi="黑体" w:cs="黑体" w:eastAsia="黑体" w:hint="default"/>
          <w:w w:val="99"/>
          <w:sz w:val="22"/>
          <w:szCs w:val="22"/>
        </w:rPr>
        <w:t> </w:t>
      </w:r>
      <w:r>
        <w:rPr>
          <w:rFonts w:ascii="黑体" w:hAnsi="黑体" w:cs="黑体" w:eastAsia="黑体" w:hint="default"/>
          <w:sz w:val="22"/>
          <w:szCs w:val="22"/>
        </w:rPr>
        <w:t>外的双人复核机制的管理。</w:t>
      </w:r>
    </w:p>
    <w:p>
      <w:pPr>
        <w:spacing w:line="240" w:lineRule="auto" w:before="0"/>
        <w:rPr>
          <w:rFonts w:ascii="黑体" w:hAnsi="黑体" w:cs="黑体" w:eastAsia="黑体" w:hint="default"/>
          <w:sz w:val="22"/>
          <w:szCs w:val="22"/>
        </w:rPr>
      </w:pPr>
    </w:p>
    <w:p>
      <w:pPr>
        <w:spacing w:line="240" w:lineRule="auto" w:before="10"/>
        <w:rPr>
          <w:rFonts w:ascii="黑体" w:hAnsi="黑体" w:cs="黑体" w:eastAsia="黑体" w:hint="default"/>
          <w:sz w:val="31"/>
          <w:szCs w:val="31"/>
        </w:rPr>
      </w:pPr>
    </w:p>
    <w:p>
      <w:pPr>
        <w:spacing w:before="0"/>
        <w:ind w:left="119" w:right="121" w:firstLine="0"/>
        <w:jc w:val="left"/>
        <w:rPr>
          <w:rFonts w:ascii="黑体" w:hAnsi="黑体" w:cs="黑体" w:eastAsia="黑体" w:hint="default"/>
          <w:sz w:val="22"/>
          <w:szCs w:val="22"/>
        </w:rPr>
      </w:pPr>
      <w:r>
        <w:rPr>
          <w:rFonts w:ascii="黑体" w:hAnsi="黑体" w:cs="黑体" w:eastAsia="黑体" w:hint="default"/>
          <w:b/>
          <w:bCs/>
          <w:spacing w:val="30"/>
          <w:sz w:val="22"/>
          <w:szCs w:val="22"/>
        </w:rPr>
        <w:t>管理层回</w:t>
      </w:r>
      <w:r>
        <w:rPr>
          <w:rFonts w:ascii="黑体" w:hAnsi="黑体" w:cs="黑体" w:eastAsia="黑体" w:hint="default"/>
          <w:b/>
          <w:bCs/>
          <w:spacing w:val="-76"/>
          <w:sz w:val="22"/>
          <w:szCs w:val="22"/>
        </w:rPr>
        <w:t> </w:t>
      </w:r>
      <w:r>
        <w:rPr>
          <w:rFonts w:ascii="黑体" w:hAnsi="黑体" w:cs="黑体" w:eastAsia="黑体" w:hint="default"/>
          <w:b/>
          <w:bCs/>
          <w:sz w:val="22"/>
          <w:szCs w:val="22"/>
        </w:rPr>
        <w:t>复</w:t>
      </w:r>
      <w:r>
        <w:rPr>
          <w:rFonts w:ascii="黑体" w:hAnsi="黑体" w:cs="黑体" w:eastAsia="黑体" w:hint="default"/>
          <w:sz w:val="22"/>
          <w:szCs w:val="22"/>
        </w:rPr>
      </w:r>
    </w:p>
    <w:p>
      <w:pPr>
        <w:spacing w:line="286" w:lineRule="exact" w:before="146"/>
        <w:ind w:left="120" w:right="233" w:hanging="1"/>
        <w:jc w:val="left"/>
        <w:rPr>
          <w:rFonts w:ascii="黑体" w:hAnsi="黑体" w:cs="黑体" w:eastAsia="黑体" w:hint="default"/>
          <w:sz w:val="22"/>
          <w:szCs w:val="22"/>
        </w:rPr>
      </w:pPr>
      <w:r>
        <w:rPr>
          <w:rFonts w:ascii="Arial" w:hAnsi="Arial" w:cs="Arial" w:eastAsia="Arial" w:hint="default"/>
          <w:sz w:val="22"/>
          <w:szCs w:val="22"/>
        </w:rPr>
        <w:t>1.</w:t>
      </w:r>
      <w:r>
        <w:rPr>
          <w:rFonts w:ascii="Arial" w:hAnsi="Arial" w:cs="Arial" w:eastAsia="Arial" w:hint="default"/>
          <w:spacing w:val="-2"/>
          <w:sz w:val="22"/>
          <w:szCs w:val="22"/>
        </w:rPr>
        <w:t> </w:t>
      </w:r>
      <w:r>
        <w:rPr>
          <w:rFonts w:ascii="Arial" w:hAnsi="Arial" w:cs="Arial" w:eastAsia="Arial" w:hint="default"/>
          <w:sz w:val="22"/>
          <w:szCs w:val="22"/>
        </w:rPr>
        <w:t>U8</w:t>
      </w:r>
      <w:r>
        <w:rPr>
          <w:rFonts w:ascii="Arial" w:hAnsi="Arial" w:cs="Arial" w:eastAsia="Arial" w:hint="default"/>
          <w:spacing w:val="-15"/>
          <w:sz w:val="22"/>
          <w:szCs w:val="22"/>
        </w:rPr>
        <w:t> </w:t>
      </w:r>
      <w:r>
        <w:rPr>
          <w:rFonts w:ascii="黑体" w:hAnsi="黑体" w:cs="黑体" w:eastAsia="黑体" w:hint="default"/>
          <w:sz w:val="22"/>
          <w:szCs w:val="22"/>
        </w:rPr>
        <w:t>系统与上游商务系统以及下游</w:t>
      </w:r>
      <w:r>
        <w:rPr>
          <w:rFonts w:ascii="黑体" w:hAnsi="黑体" w:cs="黑体" w:eastAsia="黑体" w:hint="default"/>
          <w:spacing w:val="-57"/>
          <w:sz w:val="22"/>
          <w:szCs w:val="22"/>
        </w:rPr>
        <w:t> </w:t>
      </w:r>
      <w:r>
        <w:rPr>
          <w:rFonts w:ascii="Arial" w:hAnsi="Arial" w:cs="Arial" w:eastAsia="Arial" w:hint="default"/>
          <w:sz w:val="22"/>
          <w:szCs w:val="22"/>
        </w:rPr>
        <w:t>NC</w:t>
      </w:r>
      <w:r>
        <w:rPr>
          <w:rFonts w:ascii="Arial" w:hAnsi="Arial" w:cs="Arial" w:eastAsia="Arial" w:hint="default"/>
          <w:spacing w:val="-14"/>
          <w:sz w:val="22"/>
          <w:szCs w:val="22"/>
        </w:rPr>
        <w:t> </w:t>
      </w:r>
      <w:r>
        <w:rPr>
          <w:rFonts w:ascii="黑体" w:hAnsi="黑体" w:cs="黑体" w:eastAsia="黑体" w:hint="default"/>
          <w:sz w:val="22"/>
          <w:szCs w:val="22"/>
        </w:rPr>
        <w:t>系统间业务单据的流转有对应的勾稽关系，数据</w:t>
      </w:r>
      <w:r>
        <w:rPr>
          <w:rFonts w:ascii="黑体" w:hAnsi="黑体" w:cs="黑体" w:eastAsia="黑体" w:hint="default"/>
          <w:w w:val="99"/>
          <w:sz w:val="22"/>
          <w:szCs w:val="22"/>
        </w:rPr>
        <w:t> </w:t>
      </w:r>
      <w:r>
        <w:rPr>
          <w:rFonts w:ascii="黑体" w:hAnsi="黑体" w:cs="黑体" w:eastAsia="黑体" w:hint="default"/>
          <w:sz w:val="22"/>
          <w:szCs w:val="22"/>
        </w:rPr>
        <w:t>准确性风险可以避免。</w:t>
      </w:r>
    </w:p>
    <w:p>
      <w:pPr>
        <w:spacing w:line="275" w:lineRule="exact" w:before="0"/>
        <w:ind w:left="120" w:right="121" w:firstLine="0"/>
        <w:jc w:val="left"/>
        <w:rPr>
          <w:rFonts w:ascii="黑体" w:hAnsi="黑体" w:cs="黑体" w:eastAsia="黑体" w:hint="default"/>
          <w:sz w:val="22"/>
          <w:szCs w:val="22"/>
        </w:rPr>
      </w:pPr>
      <w:r>
        <w:rPr>
          <w:rFonts w:ascii="Arial" w:hAnsi="Arial" w:cs="Arial" w:eastAsia="Arial" w:hint="default"/>
          <w:sz w:val="22"/>
          <w:szCs w:val="22"/>
        </w:rPr>
        <w:t>2.</w:t>
      </w:r>
      <w:r>
        <w:rPr>
          <w:rFonts w:ascii="Arial" w:hAnsi="Arial" w:cs="Arial" w:eastAsia="Arial" w:hint="default"/>
          <w:spacing w:val="-2"/>
          <w:sz w:val="22"/>
          <w:szCs w:val="22"/>
        </w:rPr>
        <w:t> </w:t>
      </w:r>
      <w:r>
        <w:rPr>
          <w:rFonts w:ascii="黑体" w:hAnsi="黑体" w:cs="黑体" w:eastAsia="黑体" w:hint="default"/>
          <w:sz w:val="22"/>
          <w:szCs w:val="22"/>
        </w:rPr>
        <w:t>要求各公司进一步加强按各岗位职责在</w:t>
      </w:r>
      <w:r>
        <w:rPr>
          <w:rFonts w:ascii="黑体" w:hAnsi="黑体" w:cs="黑体" w:eastAsia="黑体" w:hint="default"/>
          <w:spacing w:val="-57"/>
          <w:sz w:val="22"/>
          <w:szCs w:val="22"/>
        </w:rPr>
        <w:t> </w:t>
      </w:r>
      <w:r>
        <w:rPr>
          <w:rFonts w:ascii="Arial" w:hAnsi="Arial" w:cs="Arial" w:eastAsia="Arial" w:hint="default"/>
          <w:sz w:val="22"/>
          <w:szCs w:val="22"/>
        </w:rPr>
        <w:t>U8</w:t>
      </w:r>
      <w:r>
        <w:rPr>
          <w:rFonts w:ascii="Arial" w:hAnsi="Arial" w:cs="Arial" w:eastAsia="Arial" w:hint="default"/>
          <w:spacing w:val="-14"/>
          <w:sz w:val="22"/>
          <w:szCs w:val="22"/>
        </w:rPr>
        <w:t> </w:t>
      </w:r>
      <w:r>
        <w:rPr>
          <w:rFonts w:ascii="黑体" w:hAnsi="黑体" w:cs="黑体" w:eastAsia="黑体" w:hint="default"/>
          <w:sz w:val="22"/>
          <w:szCs w:val="22"/>
        </w:rPr>
        <w:t>系统中进行严格的角色权限管理控制。</w:t>
      </w:r>
    </w:p>
    <w:p>
      <w:pPr>
        <w:spacing w:after="0" w:line="275" w:lineRule="exact"/>
        <w:jc w:val="left"/>
        <w:rPr>
          <w:rFonts w:ascii="黑体" w:hAnsi="黑体" w:cs="黑体" w:eastAsia="黑体" w:hint="default"/>
          <w:sz w:val="22"/>
          <w:szCs w:val="22"/>
        </w:rPr>
        <w:sectPr>
          <w:headerReference w:type="default" r:id="rId139"/>
          <w:footerReference w:type="default" r:id="rId140"/>
          <w:pgSz w:w="12240" w:h="15840"/>
          <w:pgMar w:header="0" w:footer="755" w:top="1500" w:bottom="940" w:left="1680" w:right="1720"/>
          <w:pgNumType w:start="37"/>
        </w:sectPr>
      </w:pPr>
    </w:p>
    <w:p>
      <w:pPr>
        <w:spacing w:line="240" w:lineRule="auto" w:before="0"/>
        <w:rPr>
          <w:rFonts w:ascii="黑体" w:hAnsi="黑体" w:cs="黑体" w:eastAsia="黑体" w:hint="default"/>
          <w:sz w:val="20"/>
          <w:szCs w:val="20"/>
        </w:rPr>
      </w:pPr>
    </w:p>
    <w:p>
      <w:pPr>
        <w:spacing w:before="206"/>
        <w:ind w:left="220" w:right="0" w:firstLine="0"/>
        <w:jc w:val="left"/>
        <w:rPr>
          <w:rFonts w:ascii="黑体" w:hAnsi="黑体" w:cs="黑体" w:eastAsia="黑体" w:hint="default"/>
          <w:sz w:val="23"/>
          <w:szCs w:val="23"/>
        </w:rPr>
      </w:pPr>
      <w:bookmarkStart w:name="_bookmark22" w:id="44"/>
      <w:bookmarkEnd w:id="44"/>
      <w:r>
        <w:rPr/>
      </w:r>
      <w:r>
        <w:rPr>
          <w:rFonts w:ascii="Arial" w:hAnsi="Arial" w:cs="Arial" w:eastAsia="Arial" w:hint="default"/>
          <w:b/>
          <w:bCs/>
          <w:i/>
          <w:sz w:val="22"/>
          <w:szCs w:val="22"/>
        </w:rPr>
        <w:t>Windows</w:t>
      </w:r>
      <w:r>
        <w:rPr>
          <w:rFonts w:ascii="Arial" w:hAnsi="Arial" w:cs="Arial" w:eastAsia="Arial" w:hint="default"/>
          <w:b/>
          <w:bCs/>
          <w:i/>
          <w:spacing w:val="-18"/>
          <w:sz w:val="22"/>
          <w:szCs w:val="22"/>
        </w:rPr>
        <w:t> </w:t>
      </w:r>
      <w:r>
        <w:rPr>
          <w:rFonts w:ascii="Arial" w:hAnsi="Arial" w:cs="Arial" w:eastAsia="Arial" w:hint="default"/>
          <w:b/>
          <w:bCs/>
          <w:i/>
          <w:sz w:val="22"/>
          <w:szCs w:val="22"/>
        </w:rPr>
        <w:t>AD</w:t>
      </w:r>
      <w:r>
        <w:rPr>
          <w:rFonts w:ascii="Arial" w:hAnsi="Arial" w:cs="Arial" w:eastAsia="Arial" w:hint="default"/>
          <w:b/>
          <w:bCs/>
          <w:i/>
          <w:spacing w:val="-18"/>
          <w:sz w:val="22"/>
          <w:szCs w:val="22"/>
        </w:rPr>
        <w:t> </w:t>
      </w:r>
      <w:r>
        <w:rPr>
          <w:rFonts w:ascii="Arial" w:hAnsi="Arial" w:cs="Arial" w:eastAsia="Arial" w:hint="default"/>
          <w:b/>
          <w:bCs/>
          <w:i/>
          <w:sz w:val="22"/>
          <w:szCs w:val="22"/>
        </w:rPr>
        <w:t>Server</w:t>
      </w:r>
      <w:r>
        <w:rPr>
          <w:rFonts w:ascii="Arial" w:hAnsi="Arial" w:cs="Arial" w:eastAsia="Arial" w:hint="default"/>
          <w:b/>
          <w:bCs/>
          <w:i/>
          <w:spacing w:val="-18"/>
          <w:sz w:val="22"/>
          <w:szCs w:val="22"/>
        </w:rPr>
        <w:t> </w:t>
      </w:r>
      <w:r>
        <w:rPr>
          <w:rFonts w:ascii="Arial" w:hAnsi="Arial" w:cs="Arial" w:eastAsia="Arial" w:hint="default"/>
          <w:b/>
          <w:bCs/>
          <w:i/>
          <w:sz w:val="22"/>
          <w:szCs w:val="22"/>
        </w:rPr>
        <w:t>2003(Domain</w:t>
      </w:r>
      <w:r>
        <w:rPr>
          <w:rFonts w:ascii="Arial" w:hAnsi="Arial" w:cs="Arial" w:eastAsia="Arial" w:hint="default"/>
          <w:b/>
          <w:bCs/>
          <w:i/>
          <w:spacing w:val="-18"/>
          <w:sz w:val="22"/>
          <w:szCs w:val="22"/>
        </w:rPr>
        <w:t> </w:t>
      </w:r>
      <w:r>
        <w:rPr>
          <w:rFonts w:ascii="Arial" w:hAnsi="Arial" w:cs="Arial" w:eastAsia="Arial" w:hint="default"/>
          <w:b/>
          <w:bCs/>
          <w:i/>
          <w:sz w:val="22"/>
          <w:szCs w:val="22"/>
        </w:rPr>
        <w:t>Controller)</w:t>
      </w:r>
      <w:r>
        <w:rPr>
          <w:rFonts w:ascii="Arial" w:hAnsi="Arial" w:cs="Arial" w:eastAsia="Arial" w:hint="default"/>
          <w:b/>
          <w:bCs/>
          <w:i/>
          <w:spacing w:val="-18"/>
          <w:sz w:val="22"/>
          <w:szCs w:val="22"/>
        </w:rPr>
        <w:t> </w:t>
      </w:r>
      <w:r>
        <w:rPr>
          <w:rFonts w:ascii="黑体" w:hAnsi="黑体" w:cs="黑体" w:eastAsia="黑体" w:hint="default"/>
          <w:b/>
          <w:bCs/>
          <w:i/>
          <w:sz w:val="23"/>
          <w:szCs w:val="23"/>
        </w:rPr>
        <w:t>系统参数建议设置</w:t>
      </w:r>
      <w:r>
        <w:rPr>
          <w:rFonts w:ascii="黑体" w:hAnsi="黑体" w:cs="黑体" w:eastAsia="黑体" w:hint="default"/>
          <w:sz w:val="23"/>
          <w:szCs w:val="23"/>
        </w:rPr>
      </w:r>
    </w:p>
    <w:p>
      <w:pPr>
        <w:spacing w:line="240" w:lineRule="auto" w:before="12"/>
        <w:rPr>
          <w:rFonts w:ascii="黑体" w:hAnsi="黑体" w:cs="黑体" w:eastAsia="黑体" w:hint="default"/>
          <w:b/>
          <w:bCs/>
          <w:i/>
          <w:sz w:val="5"/>
          <w:szCs w:val="5"/>
        </w:rPr>
      </w:pPr>
    </w:p>
    <w:tbl>
      <w:tblPr>
        <w:tblW w:w="0" w:type="auto"/>
        <w:jc w:val="left"/>
        <w:tblInd w:w="107" w:type="dxa"/>
        <w:tblLayout w:type="fixed"/>
        <w:tblCellMar>
          <w:top w:w="0" w:type="dxa"/>
          <w:left w:w="0" w:type="dxa"/>
          <w:bottom w:w="0" w:type="dxa"/>
          <w:right w:w="0" w:type="dxa"/>
        </w:tblCellMar>
        <w:tblLook w:val="01E0"/>
      </w:tblPr>
      <w:tblGrid>
        <w:gridCol w:w="828"/>
        <w:gridCol w:w="1980"/>
        <w:gridCol w:w="2830"/>
        <w:gridCol w:w="1296"/>
        <w:gridCol w:w="2246"/>
      </w:tblGrid>
      <w:tr>
        <w:trPr>
          <w:trHeight w:val="612" w:hRule="exact"/>
        </w:trPr>
        <w:tc>
          <w:tcPr>
            <w:tcW w:w="828"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黑体" w:hAnsi="黑体" w:cs="黑体" w:eastAsia="黑体" w:hint="default"/>
                <w:b/>
                <w:bCs/>
                <w:i/>
                <w:sz w:val="15"/>
                <w:szCs w:val="15"/>
              </w:rPr>
            </w:pPr>
          </w:p>
          <w:p>
            <w:pPr>
              <w:pStyle w:val="TableParagraph"/>
              <w:spacing w:line="240" w:lineRule="auto"/>
              <w:ind w:left="188" w:right="0"/>
              <w:jc w:val="left"/>
              <w:rPr>
                <w:rFonts w:ascii="黑体" w:hAnsi="黑体" w:cs="黑体" w:eastAsia="黑体" w:hint="default"/>
                <w:sz w:val="22"/>
                <w:szCs w:val="22"/>
              </w:rPr>
            </w:pPr>
            <w:r>
              <w:rPr>
                <w:rFonts w:ascii="黑体" w:hAnsi="黑体" w:cs="黑体" w:eastAsia="黑体" w:hint="default"/>
                <w:b/>
                <w:bCs/>
                <w:sz w:val="22"/>
                <w:szCs w:val="22"/>
              </w:rPr>
              <w:t>序号</w:t>
            </w:r>
            <w:r>
              <w:rPr>
                <w:rFonts w:ascii="黑体" w:hAnsi="黑体" w:cs="黑体" w:eastAsia="黑体" w:hint="default"/>
                <w:sz w:val="22"/>
                <w:szCs w:val="22"/>
              </w:rPr>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黑体" w:hAnsi="黑体" w:cs="黑体" w:eastAsia="黑体" w:hint="default"/>
                <w:b/>
                <w:bCs/>
                <w:i/>
                <w:sz w:val="15"/>
                <w:szCs w:val="15"/>
              </w:rPr>
            </w:pPr>
          </w:p>
          <w:p>
            <w:pPr>
              <w:pStyle w:val="TableParagraph"/>
              <w:spacing w:line="240" w:lineRule="auto"/>
              <w:ind w:left="543" w:right="0"/>
              <w:jc w:val="left"/>
              <w:rPr>
                <w:rFonts w:ascii="黑体" w:hAnsi="黑体" w:cs="黑体" w:eastAsia="黑体" w:hint="default"/>
                <w:sz w:val="22"/>
                <w:szCs w:val="22"/>
              </w:rPr>
            </w:pPr>
            <w:r>
              <w:rPr>
                <w:rFonts w:ascii="黑体" w:hAnsi="黑体" w:cs="黑体" w:eastAsia="黑体" w:hint="default"/>
                <w:b/>
                <w:bCs/>
                <w:sz w:val="22"/>
                <w:szCs w:val="22"/>
              </w:rPr>
              <w:t>系统参数</w:t>
            </w:r>
            <w:r>
              <w:rPr>
                <w:rFonts w:ascii="黑体" w:hAnsi="黑体" w:cs="黑体" w:eastAsia="黑体" w:hint="default"/>
                <w:sz w:val="22"/>
                <w:szCs w:val="22"/>
              </w:rPr>
            </w:r>
          </w:p>
        </w:tc>
        <w:tc>
          <w:tcPr>
            <w:tcW w:w="283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黑体" w:hAnsi="黑体" w:cs="黑体" w:eastAsia="黑体" w:hint="default"/>
                <w:b/>
                <w:bCs/>
                <w:i/>
                <w:sz w:val="15"/>
                <w:szCs w:val="15"/>
              </w:rPr>
            </w:pPr>
          </w:p>
          <w:p>
            <w:pPr>
              <w:pStyle w:val="TableParagraph"/>
              <w:spacing w:line="240" w:lineRule="auto"/>
              <w:ind w:right="0"/>
              <w:jc w:val="center"/>
              <w:rPr>
                <w:rFonts w:ascii="黑体" w:hAnsi="黑体" w:cs="黑体" w:eastAsia="黑体" w:hint="default"/>
                <w:sz w:val="22"/>
                <w:szCs w:val="22"/>
              </w:rPr>
            </w:pPr>
            <w:r>
              <w:rPr>
                <w:rFonts w:ascii="黑体" w:hAnsi="黑体" w:cs="黑体" w:eastAsia="黑体" w:hint="default"/>
                <w:b/>
                <w:bCs/>
                <w:sz w:val="22"/>
                <w:szCs w:val="22"/>
              </w:rPr>
              <w:t>说明</w:t>
            </w:r>
            <w:r>
              <w:rPr>
                <w:rFonts w:ascii="黑体" w:hAnsi="黑体" w:cs="黑体" w:eastAsia="黑体" w:hint="default"/>
                <w:sz w:val="22"/>
                <w:szCs w:val="22"/>
              </w:rPr>
            </w:r>
          </w:p>
        </w:tc>
        <w:tc>
          <w:tcPr>
            <w:tcW w:w="1296"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黑体" w:hAnsi="黑体" w:cs="黑体" w:eastAsia="黑体" w:hint="default"/>
                <w:b/>
                <w:bCs/>
                <w:i/>
                <w:sz w:val="15"/>
                <w:szCs w:val="15"/>
              </w:rPr>
            </w:pPr>
          </w:p>
          <w:p>
            <w:pPr>
              <w:pStyle w:val="TableParagraph"/>
              <w:spacing w:line="240" w:lineRule="auto"/>
              <w:ind w:left="201" w:right="0"/>
              <w:jc w:val="left"/>
              <w:rPr>
                <w:rFonts w:ascii="黑体" w:hAnsi="黑体" w:cs="黑体" w:eastAsia="黑体" w:hint="default"/>
                <w:sz w:val="22"/>
                <w:szCs w:val="22"/>
              </w:rPr>
            </w:pPr>
            <w:r>
              <w:rPr>
                <w:rFonts w:ascii="黑体" w:hAnsi="黑体" w:cs="黑体" w:eastAsia="黑体" w:hint="default"/>
                <w:b/>
                <w:bCs/>
                <w:sz w:val="22"/>
                <w:szCs w:val="22"/>
              </w:rPr>
              <w:t>当前设置</w:t>
            </w:r>
            <w:r>
              <w:rPr>
                <w:rFonts w:ascii="黑体" w:hAnsi="黑体" w:cs="黑体" w:eastAsia="黑体" w:hint="default"/>
                <w:sz w:val="22"/>
                <w:szCs w:val="22"/>
              </w:rPr>
            </w:r>
          </w:p>
        </w:tc>
        <w:tc>
          <w:tcPr>
            <w:tcW w:w="2246"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黑体" w:hAnsi="黑体" w:cs="黑体" w:eastAsia="黑体" w:hint="default"/>
                <w:b/>
                <w:bCs/>
                <w:i/>
                <w:sz w:val="15"/>
                <w:szCs w:val="15"/>
              </w:rPr>
            </w:pPr>
          </w:p>
          <w:p>
            <w:pPr>
              <w:pStyle w:val="TableParagraph"/>
              <w:spacing w:line="240" w:lineRule="auto"/>
              <w:ind w:left="455" w:right="0"/>
              <w:jc w:val="left"/>
              <w:rPr>
                <w:rFonts w:ascii="黑体" w:hAnsi="黑体" w:cs="黑体" w:eastAsia="黑体" w:hint="default"/>
                <w:sz w:val="22"/>
                <w:szCs w:val="22"/>
              </w:rPr>
            </w:pPr>
            <w:r>
              <w:rPr>
                <w:rFonts w:ascii="黑体" w:hAnsi="黑体" w:cs="黑体" w:eastAsia="黑体" w:hint="default"/>
                <w:b/>
                <w:bCs/>
                <w:sz w:val="22"/>
                <w:szCs w:val="22"/>
              </w:rPr>
              <w:t>安永建议设置</w:t>
            </w:r>
            <w:r>
              <w:rPr>
                <w:rFonts w:ascii="黑体" w:hAnsi="黑体" w:cs="黑体" w:eastAsia="黑体" w:hint="default"/>
                <w:sz w:val="22"/>
                <w:szCs w:val="22"/>
              </w:rPr>
            </w:r>
          </w:p>
        </w:tc>
      </w:tr>
      <w:tr>
        <w:trPr>
          <w:trHeight w:val="677"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1</w:t>
            </w:r>
            <w:r>
              <w:rPr>
                <w:rFonts w:ascii="Arial"/>
                <w:sz w:val="22"/>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423"/>
              <w:jc w:val="left"/>
              <w:rPr>
                <w:rFonts w:ascii="Arial" w:hAnsi="Arial" w:cs="Arial" w:eastAsia="Arial" w:hint="default"/>
                <w:sz w:val="22"/>
                <w:szCs w:val="22"/>
              </w:rPr>
            </w:pPr>
            <w:r>
              <w:rPr>
                <w:rFonts w:ascii="Arial"/>
                <w:sz w:val="22"/>
              </w:rPr>
              <w:t>Max</w:t>
            </w:r>
            <w:r>
              <w:rPr>
                <w:rFonts w:ascii="Arial"/>
                <w:spacing w:val="-2"/>
                <w:sz w:val="22"/>
              </w:rPr>
              <w:t> </w:t>
            </w:r>
            <w:r>
              <w:rPr>
                <w:rFonts w:ascii="Arial"/>
                <w:sz w:val="22"/>
              </w:rPr>
              <w:t>Password</w:t>
            </w:r>
            <w:r>
              <w:rPr>
                <w:rFonts w:ascii="Arial"/>
                <w:w w:val="99"/>
                <w:sz w:val="22"/>
              </w:rPr>
              <w:t> </w:t>
            </w:r>
            <w:r>
              <w:rPr>
                <w:rFonts w:ascii="Arial"/>
                <w:sz w:val="22"/>
              </w:rPr>
              <w:t>Age</w:t>
            </w:r>
          </w:p>
        </w:tc>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限制密码最长有效期</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无设置</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小于或等于</w:t>
            </w:r>
            <w:r>
              <w:rPr>
                <w:rFonts w:ascii="黑体" w:hAnsi="黑体" w:cs="黑体" w:eastAsia="黑体" w:hint="default"/>
                <w:spacing w:val="-49"/>
                <w:sz w:val="22"/>
                <w:szCs w:val="22"/>
              </w:rPr>
              <w:t> </w:t>
            </w:r>
            <w:r>
              <w:rPr>
                <w:rFonts w:ascii="Arial" w:hAnsi="Arial" w:cs="Arial" w:eastAsia="Arial" w:hint="default"/>
                <w:sz w:val="22"/>
                <w:szCs w:val="22"/>
              </w:rPr>
              <w:t>90</w:t>
            </w:r>
            <w:r>
              <w:rPr>
                <w:rFonts w:ascii="Arial" w:hAnsi="Arial" w:cs="Arial" w:eastAsia="Arial" w:hint="default"/>
                <w:spacing w:val="-1"/>
                <w:sz w:val="22"/>
                <w:szCs w:val="22"/>
              </w:rPr>
              <w:t> </w:t>
            </w:r>
            <w:r>
              <w:rPr>
                <w:rFonts w:ascii="黑体" w:hAnsi="黑体" w:cs="黑体" w:eastAsia="黑体" w:hint="default"/>
                <w:sz w:val="22"/>
                <w:szCs w:val="22"/>
              </w:rPr>
              <w:t>天</w:t>
            </w:r>
          </w:p>
        </w:tc>
      </w:tr>
      <w:tr>
        <w:trPr>
          <w:trHeight w:val="676"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2</w:t>
            </w:r>
            <w:r>
              <w:rPr>
                <w:rFonts w:ascii="Arial"/>
                <w:sz w:val="22"/>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483"/>
              <w:jc w:val="left"/>
              <w:rPr>
                <w:rFonts w:ascii="Arial" w:hAnsi="Arial" w:cs="Arial" w:eastAsia="Arial" w:hint="default"/>
                <w:sz w:val="22"/>
                <w:szCs w:val="22"/>
              </w:rPr>
            </w:pPr>
            <w:r>
              <w:rPr>
                <w:rFonts w:ascii="Arial"/>
                <w:sz w:val="22"/>
              </w:rPr>
              <w:t>Min</w:t>
            </w:r>
            <w:r>
              <w:rPr>
                <w:rFonts w:ascii="Arial"/>
                <w:spacing w:val="-2"/>
                <w:sz w:val="22"/>
              </w:rPr>
              <w:t> </w:t>
            </w:r>
            <w:r>
              <w:rPr>
                <w:rFonts w:ascii="Arial"/>
                <w:sz w:val="22"/>
              </w:rPr>
              <w:t>Password</w:t>
            </w:r>
            <w:r>
              <w:rPr>
                <w:rFonts w:ascii="Arial"/>
                <w:w w:val="99"/>
                <w:sz w:val="22"/>
              </w:rPr>
              <w:t> </w:t>
            </w:r>
            <w:r>
              <w:rPr>
                <w:rFonts w:ascii="Arial"/>
                <w:sz w:val="22"/>
              </w:rPr>
              <w:t>Length</w:t>
            </w:r>
          </w:p>
        </w:tc>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限制密码最短长度</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无设置</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大于或等于</w:t>
            </w:r>
            <w:r>
              <w:rPr>
                <w:rFonts w:ascii="黑体" w:hAnsi="黑体" w:cs="黑体" w:eastAsia="黑体" w:hint="default"/>
                <w:spacing w:val="-56"/>
                <w:sz w:val="22"/>
                <w:szCs w:val="22"/>
              </w:rPr>
              <w:t> </w:t>
            </w:r>
            <w:r>
              <w:rPr>
                <w:rFonts w:ascii="Arial" w:hAnsi="Arial" w:cs="Arial" w:eastAsia="Arial" w:hint="default"/>
                <w:sz w:val="22"/>
                <w:szCs w:val="22"/>
              </w:rPr>
              <w:t>6</w:t>
            </w:r>
            <w:r>
              <w:rPr>
                <w:rFonts w:ascii="Arial" w:hAnsi="Arial" w:cs="Arial" w:eastAsia="Arial" w:hint="default"/>
                <w:spacing w:val="-15"/>
                <w:sz w:val="22"/>
                <w:szCs w:val="22"/>
              </w:rPr>
              <w:t> </w:t>
            </w:r>
            <w:r>
              <w:rPr>
                <w:rFonts w:ascii="黑体" w:hAnsi="黑体" w:cs="黑体" w:eastAsia="黑体" w:hint="default"/>
                <w:sz w:val="22"/>
                <w:szCs w:val="22"/>
              </w:rPr>
              <w:t>位</w:t>
            </w:r>
          </w:p>
        </w:tc>
      </w:tr>
      <w:tr>
        <w:trPr>
          <w:trHeight w:val="740"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3</w:t>
            </w:r>
            <w:r>
              <w:rPr>
                <w:rFonts w:ascii="Arial"/>
                <w:sz w:val="22"/>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826"/>
              <w:jc w:val="left"/>
              <w:rPr>
                <w:rFonts w:ascii="Arial" w:hAnsi="Arial" w:cs="Arial" w:eastAsia="Arial" w:hint="default"/>
                <w:sz w:val="22"/>
                <w:szCs w:val="22"/>
              </w:rPr>
            </w:pPr>
            <w:r>
              <w:rPr>
                <w:rFonts w:ascii="Arial"/>
                <w:sz w:val="22"/>
              </w:rPr>
              <w:t>Password</w:t>
            </w:r>
            <w:r>
              <w:rPr>
                <w:rFonts w:ascii="Arial"/>
                <w:w w:val="99"/>
                <w:sz w:val="22"/>
              </w:rPr>
              <w:t> </w:t>
            </w:r>
            <w:r>
              <w:rPr>
                <w:rFonts w:ascii="Arial"/>
                <w:sz w:val="22"/>
              </w:rPr>
              <w:t>complexity</w:t>
            </w:r>
          </w:p>
        </w:tc>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密码复杂程度</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无设置</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left="103" w:right="152"/>
              <w:jc w:val="left"/>
              <w:rPr>
                <w:rFonts w:ascii="黑体" w:hAnsi="黑体" w:cs="黑体" w:eastAsia="黑体" w:hint="default"/>
                <w:sz w:val="22"/>
                <w:szCs w:val="22"/>
              </w:rPr>
            </w:pPr>
            <w:r>
              <w:rPr>
                <w:rFonts w:ascii="黑体" w:hAnsi="黑体" w:cs="黑体" w:eastAsia="黑体" w:hint="default"/>
                <w:sz w:val="22"/>
                <w:szCs w:val="22"/>
              </w:rPr>
              <w:t>包含数字及字母，不</w:t>
            </w:r>
            <w:r>
              <w:rPr>
                <w:rFonts w:ascii="黑体" w:hAnsi="黑体" w:cs="黑体" w:eastAsia="黑体" w:hint="default"/>
                <w:w w:val="99"/>
                <w:sz w:val="22"/>
                <w:szCs w:val="22"/>
              </w:rPr>
              <w:t> </w:t>
            </w:r>
            <w:r>
              <w:rPr>
                <w:rFonts w:ascii="黑体" w:hAnsi="黑体" w:cs="黑体" w:eastAsia="黑体" w:hint="default"/>
                <w:sz w:val="22"/>
                <w:szCs w:val="22"/>
              </w:rPr>
              <w:t>包括单词</w:t>
            </w:r>
          </w:p>
        </w:tc>
      </w:tr>
    </w:tbl>
    <w:p>
      <w:pPr>
        <w:spacing w:line="240" w:lineRule="auto" w:before="0"/>
        <w:rPr>
          <w:rFonts w:ascii="黑体" w:hAnsi="黑体" w:cs="黑体" w:eastAsia="黑体" w:hint="default"/>
          <w:b/>
          <w:bCs/>
          <w:i/>
          <w:sz w:val="20"/>
          <w:szCs w:val="20"/>
        </w:rPr>
      </w:pPr>
    </w:p>
    <w:p>
      <w:pPr>
        <w:spacing w:line="240" w:lineRule="auto" w:before="0"/>
        <w:rPr>
          <w:rFonts w:ascii="黑体" w:hAnsi="黑体" w:cs="黑体" w:eastAsia="黑体" w:hint="default"/>
          <w:b/>
          <w:bCs/>
          <w:i/>
          <w:sz w:val="20"/>
          <w:szCs w:val="20"/>
        </w:rPr>
      </w:pPr>
    </w:p>
    <w:p>
      <w:pPr>
        <w:spacing w:line="240" w:lineRule="auto" w:before="5"/>
        <w:rPr>
          <w:rFonts w:ascii="黑体" w:hAnsi="黑体" w:cs="黑体" w:eastAsia="黑体" w:hint="default"/>
          <w:b/>
          <w:bCs/>
          <w:i/>
          <w:sz w:val="29"/>
          <w:szCs w:val="29"/>
        </w:rPr>
      </w:pPr>
    </w:p>
    <w:p>
      <w:pPr>
        <w:spacing w:before="30"/>
        <w:ind w:left="220" w:right="0" w:firstLine="0"/>
        <w:jc w:val="left"/>
        <w:rPr>
          <w:rFonts w:ascii="Arial" w:hAnsi="Arial" w:cs="Arial" w:eastAsia="Arial" w:hint="default"/>
          <w:sz w:val="22"/>
          <w:szCs w:val="22"/>
        </w:rPr>
      </w:pPr>
      <w:r>
        <w:rPr>
          <w:rFonts w:ascii="Arial" w:hAnsi="Arial" w:cs="Arial" w:eastAsia="Arial" w:hint="default"/>
          <w:b/>
          <w:bCs/>
          <w:i/>
          <w:w w:val="95"/>
          <w:sz w:val="22"/>
          <w:szCs w:val="22"/>
        </w:rPr>
        <w:t>NC </w:t>
      </w:r>
      <w:r>
        <w:rPr>
          <w:rFonts w:ascii="黑体" w:hAnsi="黑体" w:cs="黑体" w:eastAsia="黑体" w:hint="default"/>
          <w:b/>
          <w:bCs/>
          <w:i/>
          <w:w w:val="95"/>
          <w:sz w:val="23"/>
          <w:szCs w:val="23"/>
        </w:rPr>
        <w:t>系统应用服务器操作系统 </w:t>
      </w:r>
      <w:r>
        <w:rPr>
          <w:rFonts w:ascii="Arial" w:hAnsi="Arial" w:cs="Arial" w:eastAsia="Arial" w:hint="default"/>
          <w:b/>
          <w:bCs/>
          <w:i/>
          <w:w w:val="95"/>
          <w:sz w:val="22"/>
          <w:szCs w:val="22"/>
        </w:rPr>
        <w:t>(Windows</w:t>
      </w:r>
      <w:r>
        <w:rPr>
          <w:rFonts w:ascii="Arial" w:hAnsi="Arial" w:cs="Arial" w:eastAsia="Arial" w:hint="default"/>
          <w:b/>
          <w:bCs/>
          <w:i/>
          <w:spacing w:val="54"/>
          <w:w w:val="95"/>
          <w:sz w:val="22"/>
          <w:szCs w:val="22"/>
        </w:rPr>
        <w:t> </w:t>
      </w:r>
      <w:r>
        <w:rPr>
          <w:rFonts w:ascii="Arial" w:hAnsi="Arial" w:cs="Arial" w:eastAsia="Arial" w:hint="default"/>
          <w:b/>
          <w:bCs/>
          <w:i/>
          <w:w w:val="95"/>
          <w:sz w:val="22"/>
          <w:szCs w:val="22"/>
        </w:rPr>
        <w:t>2003)</w:t>
      </w:r>
      <w:r>
        <w:rPr>
          <w:rFonts w:ascii="Arial" w:hAnsi="Arial" w:cs="Arial" w:eastAsia="Arial" w:hint="default"/>
          <w:sz w:val="22"/>
          <w:szCs w:val="22"/>
        </w:rPr>
      </w:r>
    </w:p>
    <w:p>
      <w:pPr>
        <w:spacing w:line="240" w:lineRule="auto" w:before="9"/>
        <w:rPr>
          <w:rFonts w:ascii="Arial" w:hAnsi="Arial" w:cs="Arial" w:eastAsia="Arial" w:hint="default"/>
          <w:b/>
          <w:bCs/>
          <w:i/>
          <w:sz w:val="6"/>
          <w:szCs w:val="6"/>
        </w:rPr>
      </w:pPr>
    </w:p>
    <w:tbl>
      <w:tblPr>
        <w:tblW w:w="0" w:type="auto"/>
        <w:jc w:val="left"/>
        <w:tblInd w:w="107" w:type="dxa"/>
        <w:tblLayout w:type="fixed"/>
        <w:tblCellMar>
          <w:top w:w="0" w:type="dxa"/>
          <w:left w:w="0" w:type="dxa"/>
          <w:bottom w:w="0" w:type="dxa"/>
          <w:right w:w="0" w:type="dxa"/>
        </w:tblCellMar>
        <w:tblLook w:val="01E0"/>
      </w:tblPr>
      <w:tblGrid>
        <w:gridCol w:w="828"/>
        <w:gridCol w:w="1440"/>
        <w:gridCol w:w="3370"/>
        <w:gridCol w:w="1260"/>
        <w:gridCol w:w="2282"/>
      </w:tblGrid>
      <w:tr>
        <w:trPr>
          <w:trHeight w:val="612" w:hRule="exact"/>
        </w:trPr>
        <w:tc>
          <w:tcPr>
            <w:tcW w:w="828"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188" w:right="0"/>
              <w:jc w:val="left"/>
              <w:rPr>
                <w:rFonts w:ascii="黑体" w:hAnsi="黑体" w:cs="黑体" w:eastAsia="黑体" w:hint="default"/>
                <w:sz w:val="22"/>
                <w:szCs w:val="22"/>
              </w:rPr>
            </w:pPr>
            <w:r>
              <w:rPr>
                <w:rFonts w:ascii="黑体" w:hAnsi="黑体" w:cs="黑体" w:eastAsia="黑体" w:hint="default"/>
                <w:b/>
                <w:bCs/>
                <w:sz w:val="22"/>
                <w:szCs w:val="22"/>
              </w:rPr>
              <w:t>序号</w:t>
            </w:r>
            <w:r>
              <w:rPr>
                <w:rFonts w:ascii="黑体" w:hAnsi="黑体" w:cs="黑体" w:eastAsia="黑体" w:hint="default"/>
                <w:sz w:val="22"/>
                <w:szCs w:val="22"/>
              </w:rPr>
            </w:r>
          </w:p>
        </w:tc>
        <w:tc>
          <w:tcPr>
            <w:tcW w:w="144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273" w:right="0"/>
              <w:jc w:val="left"/>
              <w:rPr>
                <w:rFonts w:ascii="黑体" w:hAnsi="黑体" w:cs="黑体" w:eastAsia="黑体" w:hint="default"/>
                <w:sz w:val="22"/>
                <w:szCs w:val="22"/>
              </w:rPr>
            </w:pPr>
            <w:r>
              <w:rPr>
                <w:rFonts w:ascii="黑体" w:hAnsi="黑体" w:cs="黑体" w:eastAsia="黑体" w:hint="default"/>
                <w:b/>
                <w:bCs/>
                <w:sz w:val="22"/>
                <w:szCs w:val="22"/>
              </w:rPr>
              <w:t>系统参数</w:t>
            </w:r>
            <w:r>
              <w:rPr>
                <w:rFonts w:ascii="黑体" w:hAnsi="黑体" w:cs="黑体" w:eastAsia="黑体" w:hint="default"/>
                <w:sz w:val="22"/>
                <w:szCs w:val="22"/>
              </w:rPr>
            </w:r>
          </w:p>
        </w:tc>
        <w:tc>
          <w:tcPr>
            <w:tcW w:w="337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right="0"/>
              <w:jc w:val="center"/>
              <w:rPr>
                <w:rFonts w:ascii="黑体" w:hAnsi="黑体" w:cs="黑体" w:eastAsia="黑体" w:hint="default"/>
                <w:sz w:val="22"/>
                <w:szCs w:val="22"/>
              </w:rPr>
            </w:pPr>
            <w:r>
              <w:rPr>
                <w:rFonts w:ascii="黑体" w:hAnsi="黑体" w:cs="黑体" w:eastAsia="黑体" w:hint="default"/>
                <w:b/>
                <w:bCs/>
                <w:sz w:val="22"/>
                <w:szCs w:val="22"/>
              </w:rPr>
              <w:t>说明</w:t>
            </w:r>
            <w:r>
              <w:rPr>
                <w:rFonts w:ascii="黑体" w:hAnsi="黑体" w:cs="黑体" w:eastAsia="黑体" w:hint="default"/>
                <w:sz w:val="22"/>
                <w:szCs w:val="22"/>
              </w:rPr>
            </w:r>
          </w:p>
        </w:tc>
        <w:tc>
          <w:tcPr>
            <w:tcW w:w="126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183" w:right="0"/>
              <w:jc w:val="left"/>
              <w:rPr>
                <w:rFonts w:ascii="黑体" w:hAnsi="黑体" w:cs="黑体" w:eastAsia="黑体" w:hint="default"/>
                <w:sz w:val="22"/>
                <w:szCs w:val="22"/>
              </w:rPr>
            </w:pPr>
            <w:r>
              <w:rPr>
                <w:rFonts w:ascii="黑体" w:hAnsi="黑体" w:cs="黑体" w:eastAsia="黑体" w:hint="default"/>
                <w:b/>
                <w:bCs/>
                <w:sz w:val="22"/>
                <w:szCs w:val="22"/>
              </w:rPr>
              <w:t>当前设置</w:t>
            </w:r>
            <w:r>
              <w:rPr>
                <w:rFonts w:ascii="黑体" w:hAnsi="黑体" w:cs="黑体" w:eastAsia="黑体" w:hint="default"/>
                <w:sz w:val="22"/>
                <w:szCs w:val="22"/>
              </w:rPr>
            </w:r>
          </w:p>
        </w:tc>
        <w:tc>
          <w:tcPr>
            <w:tcW w:w="2282"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473" w:right="0"/>
              <w:jc w:val="left"/>
              <w:rPr>
                <w:rFonts w:ascii="黑体" w:hAnsi="黑体" w:cs="黑体" w:eastAsia="黑体" w:hint="default"/>
                <w:sz w:val="22"/>
                <w:szCs w:val="22"/>
              </w:rPr>
            </w:pPr>
            <w:r>
              <w:rPr>
                <w:rFonts w:ascii="黑体" w:hAnsi="黑体" w:cs="黑体" w:eastAsia="黑体" w:hint="default"/>
                <w:b/>
                <w:bCs/>
                <w:sz w:val="22"/>
                <w:szCs w:val="22"/>
              </w:rPr>
              <w:t>安永建议设置</w:t>
            </w:r>
            <w:r>
              <w:rPr>
                <w:rFonts w:ascii="黑体" w:hAnsi="黑体" w:cs="黑体" w:eastAsia="黑体" w:hint="default"/>
                <w:sz w:val="22"/>
                <w:szCs w:val="22"/>
              </w:rPr>
            </w:r>
          </w:p>
        </w:tc>
      </w:tr>
      <w:tr>
        <w:trPr>
          <w:trHeight w:val="522"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1</w:t>
            </w:r>
            <w:r>
              <w:rPr>
                <w:rFonts w:ascii="Arial"/>
                <w:sz w:val="22"/>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sz w:val="22"/>
              </w:rPr>
              <w:t>Maxage</w:t>
            </w:r>
          </w:p>
        </w:tc>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最长密码使用时间</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0</w:t>
            </w:r>
            <w:r>
              <w:rPr>
                <w:rFonts w:ascii="Arial"/>
                <w:sz w:val="22"/>
              </w:rPr>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Arial" w:hAnsi="Arial" w:cs="Arial" w:eastAsia="Arial" w:hint="default"/>
                <w:sz w:val="22"/>
                <w:szCs w:val="22"/>
              </w:rPr>
              <w:t>90</w:t>
            </w:r>
            <w:r>
              <w:rPr>
                <w:rFonts w:ascii="Arial" w:hAnsi="Arial" w:cs="Arial" w:eastAsia="Arial" w:hint="default"/>
                <w:spacing w:val="-14"/>
                <w:sz w:val="22"/>
                <w:szCs w:val="22"/>
              </w:rPr>
              <w:t> </w:t>
            </w:r>
            <w:r>
              <w:rPr>
                <w:rFonts w:ascii="黑体" w:hAnsi="黑体" w:cs="黑体" w:eastAsia="黑体" w:hint="default"/>
                <w:sz w:val="22"/>
                <w:szCs w:val="22"/>
              </w:rPr>
              <w:t>天</w:t>
            </w:r>
          </w:p>
        </w:tc>
      </w:tr>
      <w:tr>
        <w:trPr>
          <w:trHeight w:val="536"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2</w:t>
            </w:r>
            <w:r>
              <w:rPr>
                <w:rFonts w:ascii="Arial"/>
                <w:sz w:val="22"/>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sz w:val="22"/>
              </w:rPr>
              <w:t>Minlength</w:t>
            </w:r>
          </w:p>
        </w:tc>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最短的密码长度</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0</w:t>
            </w:r>
            <w:r>
              <w:rPr>
                <w:rFonts w:ascii="Arial"/>
                <w:sz w:val="22"/>
              </w:rPr>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6</w:t>
            </w:r>
            <w:r>
              <w:rPr>
                <w:rFonts w:ascii="Arial"/>
                <w:sz w:val="22"/>
              </w:rPr>
            </w:r>
          </w:p>
        </w:tc>
      </w:tr>
      <w:tr>
        <w:trPr>
          <w:trHeight w:val="742"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3</w:t>
            </w:r>
            <w:r>
              <w:rPr>
                <w:rFonts w:ascii="Arial"/>
                <w:sz w:val="22"/>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sz w:val="22"/>
              </w:rPr>
              <w:t>Complexity</w:t>
            </w:r>
          </w:p>
        </w:tc>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密码复杂程度</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0</w:t>
            </w:r>
            <w:r>
              <w:rPr>
                <w:rFonts w:ascii="Arial"/>
                <w:sz w:val="22"/>
              </w:rPr>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left="103" w:right="188"/>
              <w:jc w:val="left"/>
              <w:rPr>
                <w:rFonts w:ascii="黑体" w:hAnsi="黑体" w:cs="黑体" w:eastAsia="黑体" w:hint="default"/>
                <w:sz w:val="22"/>
                <w:szCs w:val="22"/>
              </w:rPr>
            </w:pPr>
            <w:r>
              <w:rPr>
                <w:rFonts w:ascii="黑体" w:hAnsi="黑体" w:cs="黑体" w:eastAsia="黑体" w:hint="default"/>
                <w:sz w:val="22"/>
                <w:szCs w:val="22"/>
              </w:rPr>
              <w:t>包含数字及字母，不</w:t>
            </w:r>
            <w:r>
              <w:rPr>
                <w:rFonts w:ascii="黑体" w:hAnsi="黑体" w:cs="黑体" w:eastAsia="黑体" w:hint="default"/>
                <w:w w:val="99"/>
                <w:sz w:val="22"/>
                <w:szCs w:val="22"/>
              </w:rPr>
              <w:t> </w:t>
            </w:r>
            <w:r>
              <w:rPr>
                <w:rFonts w:ascii="黑体" w:hAnsi="黑体" w:cs="黑体" w:eastAsia="黑体" w:hint="default"/>
                <w:sz w:val="22"/>
                <w:szCs w:val="22"/>
              </w:rPr>
              <w:t>包括单词</w:t>
            </w:r>
          </w:p>
        </w:tc>
      </w:tr>
      <w:tr>
        <w:trPr>
          <w:trHeight w:val="676"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4</w:t>
            </w:r>
            <w:r>
              <w:rPr>
                <w:rFonts w:ascii="Arial"/>
                <w:sz w:val="22"/>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359"/>
              <w:jc w:val="left"/>
              <w:rPr>
                <w:rFonts w:ascii="Arial" w:hAnsi="Arial" w:cs="Arial" w:eastAsia="Arial" w:hint="default"/>
                <w:sz w:val="22"/>
                <w:szCs w:val="22"/>
              </w:rPr>
            </w:pPr>
            <w:r>
              <w:rPr>
                <w:rFonts w:ascii="Arial"/>
                <w:sz w:val="22"/>
              </w:rPr>
              <w:t>Password</w:t>
            </w:r>
            <w:r>
              <w:rPr>
                <w:rFonts w:ascii="Arial"/>
                <w:w w:val="99"/>
                <w:sz w:val="22"/>
              </w:rPr>
              <w:t> </w:t>
            </w:r>
            <w:r>
              <w:rPr>
                <w:rFonts w:ascii="Arial"/>
                <w:sz w:val="22"/>
              </w:rPr>
              <w:t>Histroy</w:t>
            </w:r>
          </w:p>
        </w:tc>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强制密码历史</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103" w:right="0"/>
              <w:jc w:val="left"/>
              <w:rPr>
                <w:rFonts w:ascii="Arial" w:hAnsi="Arial" w:cs="Arial" w:eastAsia="Arial" w:hint="default"/>
                <w:sz w:val="22"/>
                <w:szCs w:val="22"/>
              </w:rPr>
            </w:pPr>
            <w:r>
              <w:rPr>
                <w:rFonts w:ascii="Arial"/>
                <w:w w:val="99"/>
                <w:sz w:val="22"/>
              </w:rPr>
              <w:t>0</w:t>
            </w:r>
            <w:r>
              <w:rPr>
                <w:rFonts w:ascii="Arial"/>
                <w:sz w:val="22"/>
              </w:rPr>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Arial" w:hAnsi="Arial" w:cs="Arial" w:eastAsia="Arial" w:hint="default"/>
                <w:sz w:val="22"/>
                <w:szCs w:val="22"/>
              </w:rPr>
              <w:t>4</w:t>
            </w:r>
            <w:r>
              <w:rPr>
                <w:rFonts w:ascii="Arial" w:hAnsi="Arial" w:cs="Arial" w:eastAsia="Arial" w:hint="default"/>
                <w:spacing w:val="-17"/>
                <w:sz w:val="22"/>
                <w:szCs w:val="22"/>
              </w:rPr>
              <w:t> </w:t>
            </w:r>
            <w:r>
              <w:rPr>
                <w:rFonts w:ascii="黑体" w:hAnsi="黑体" w:cs="黑体" w:eastAsia="黑体" w:hint="default"/>
                <w:sz w:val="22"/>
                <w:szCs w:val="22"/>
              </w:rPr>
              <w:t>个记住的密码</w:t>
            </w:r>
          </w:p>
        </w:tc>
      </w:tr>
    </w:tbl>
    <w:p>
      <w:pPr>
        <w:spacing w:after="0" w:line="240" w:lineRule="auto"/>
        <w:jc w:val="left"/>
        <w:rPr>
          <w:rFonts w:ascii="黑体" w:hAnsi="黑体" w:cs="黑体" w:eastAsia="黑体" w:hint="default"/>
          <w:sz w:val="22"/>
          <w:szCs w:val="22"/>
        </w:rPr>
        <w:sectPr>
          <w:headerReference w:type="default" r:id="rId141"/>
          <w:pgSz w:w="12240" w:h="15840"/>
          <w:pgMar w:header="1472" w:footer="755" w:top="1940" w:bottom="940" w:left="1580" w:right="1240"/>
        </w:sectPr>
      </w:pPr>
    </w:p>
    <w:p>
      <w:pPr>
        <w:spacing w:line="240" w:lineRule="auto" w:before="3"/>
        <w:rPr>
          <w:rFonts w:ascii="Arial" w:hAnsi="Arial" w:cs="Arial" w:eastAsia="Arial" w:hint="default"/>
          <w:b/>
          <w:bCs/>
          <w:i/>
          <w:sz w:val="7"/>
          <w:szCs w:val="7"/>
        </w:rPr>
      </w:pPr>
    </w:p>
    <w:tbl>
      <w:tblPr>
        <w:tblW w:w="0" w:type="auto"/>
        <w:jc w:val="left"/>
        <w:tblInd w:w="107" w:type="dxa"/>
        <w:tblLayout w:type="fixed"/>
        <w:tblCellMar>
          <w:top w:w="0" w:type="dxa"/>
          <w:left w:w="0" w:type="dxa"/>
          <w:bottom w:w="0" w:type="dxa"/>
          <w:right w:w="0" w:type="dxa"/>
        </w:tblCellMar>
        <w:tblLook w:val="01E0"/>
      </w:tblPr>
      <w:tblGrid>
        <w:gridCol w:w="828"/>
        <w:gridCol w:w="2257"/>
        <w:gridCol w:w="2711"/>
        <w:gridCol w:w="1260"/>
        <w:gridCol w:w="2124"/>
      </w:tblGrid>
      <w:tr>
        <w:trPr>
          <w:trHeight w:val="612" w:hRule="exact"/>
        </w:trPr>
        <w:tc>
          <w:tcPr>
            <w:tcW w:w="828"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188" w:right="0"/>
              <w:jc w:val="left"/>
              <w:rPr>
                <w:rFonts w:ascii="黑体" w:hAnsi="黑体" w:cs="黑体" w:eastAsia="黑体" w:hint="default"/>
                <w:sz w:val="22"/>
                <w:szCs w:val="22"/>
              </w:rPr>
            </w:pPr>
            <w:bookmarkStart w:name="_bookmark23" w:id="45"/>
            <w:bookmarkEnd w:id="45"/>
            <w:r>
              <w:rPr/>
            </w:r>
            <w:r>
              <w:rPr>
                <w:rFonts w:ascii="黑体" w:hAnsi="黑体" w:cs="黑体" w:eastAsia="黑体" w:hint="default"/>
                <w:b/>
                <w:bCs/>
                <w:sz w:val="22"/>
                <w:szCs w:val="22"/>
              </w:rPr>
              <w:t>序号</w:t>
            </w:r>
            <w:r>
              <w:rPr>
                <w:rFonts w:ascii="黑体" w:hAnsi="黑体" w:cs="黑体" w:eastAsia="黑体" w:hint="default"/>
                <w:sz w:val="22"/>
                <w:szCs w:val="22"/>
              </w:rPr>
            </w:r>
          </w:p>
        </w:tc>
        <w:tc>
          <w:tcPr>
            <w:tcW w:w="2257"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681" w:right="0"/>
              <w:jc w:val="left"/>
              <w:rPr>
                <w:rFonts w:ascii="黑体" w:hAnsi="黑体" w:cs="黑体" w:eastAsia="黑体" w:hint="default"/>
                <w:sz w:val="22"/>
                <w:szCs w:val="22"/>
              </w:rPr>
            </w:pPr>
            <w:r>
              <w:rPr>
                <w:rFonts w:ascii="黑体" w:hAnsi="黑体" w:cs="黑体" w:eastAsia="黑体" w:hint="default"/>
                <w:b/>
                <w:bCs/>
                <w:sz w:val="22"/>
                <w:szCs w:val="22"/>
              </w:rPr>
              <w:t>系统参数</w:t>
            </w:r>
            <w:r>
              <w:rPr>
                <w:rFonts w:ascii="黑体" w:hAnsi="黑体" w:cs="黑体" w:eastAsia="黑体" w:hint="default"/>
                <w:sz w:val="22"/>
                <w:szCs w:val="22"/>
              </w:rPr>
            </w:r>
          </w:p>
        </w:tc>
        <w:tc>
          <w:tcPr>
            <w:tcW w:w="2711"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right="1"/>
              <w:jc w:val="center"/>
              <w:rPr>
                <w:rFonts w:ascii="黑体" w:hAnsi="黑体" w:cs="黑体" w:eastAsia="黑体" w:hint="default"/>
                <w:sz w:val="22"/>
                <w:szCs w:val="22"/>
              </w:rPr>
            </w:pPr>
            <w:r>
              <w:rPr>
                <w:rFonts w:ascii="黑体" w:hAnsi="黑体" w:cs="黑体" w:eastAsia="黑体" w:hint="default"/>
                <w:b/>
                <w:bCs/>
                <w:sz w:val="22"/>
                <w:szCs w:val="22"/>
              </w:rPr>
              <w:t>说明</w:t>
            </w:r>
            <w:r>
              <w:rPr>
                <w:rFonts w:ascii="黑体" w:hAnsi="黑体" w:cs="黑体" w:eastAsia="黑体" w:hint="default"/>
                <w:sz w:val="22"/>
                <w:szCs w:val="22"/>
              </w:rPr>
            </w:r>
          </w:p>
        </w:tc>
        <w:tc>
          <w:tcPr>
            <w:tcW w:w="126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183" w:right="0"/>
              <w:jc w:val="left"/>
              <w:rPr>
                <w:rFonts w:ascii="黑体" w:hAnsi="黑体" w:cs="黑体" w:eastAsia="黑体" w:hint="default"/>
                <w:sz w:val="22"/>
                <w:szCs w:val="22"/>
              </w:rPr>
            </w:pPr>
            <w:r>
              <w:rPr>
                <w:rFonts w:ascii="黑体" w:hAnsi="黑体" w:cs="黑体" w:eastAsia="黑体" w:hint="default"/>
                <w:b/>
                <w:bCs/>
                <w:sz w:val="22"/>
                <w:szCs w:val="22"/>
              </w:rPr>
              <w:t>当前设置</w:t>
            </w:r>
            <w:r>
              <w:rPr>
                <w:rFonts w:ascii="黑体" w:hAnsi="黑体" w:cs="黑体" w:eastAsia="黑体" w:hint="default"/>
                <w:sz w:val="22"/>
                <w:szCs w:val="22"/>
              </w:rPr>
            </w:r>
          </w:p>
        </w:tc>
        <w:tc>
          <w:tcPr>
            <w:tcW w:w="2124"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394" w:right="0"/>
              <w:jc w:val="left"/>
              <w:rPr>
                <w:rFonts w:ascii="黑体" w:hAnsi="黑体" w:cs="黑体" w:eastAsia="黑体" w:hint="default"/>
                <w:sz w:val="22"/>
                <w:szCs w:val="22"/>
              </w:rPr>
            </w:pPr>
            <w:r>
              <w:rPr>
                <w:rFonts w:ascii="黑体" w:hAnsi="黑体" w:cs="黑体" w:eastAsia="黑体" w:hint="default"/>
                <w:b/>
                <w:bCs/>
                <w:sz w:val="22"/>
                <w:szCs w:val="22"/>
              </w:rPr>
              <w:t>安永建议设置</w:t>
            </w:r>
            <w:r>
              <w:rPr>
                <w:rFonts w:ascii="黑体" w:hAnsi="黑体" w:cs="黑体" w:eastAsia="黑体" w:hint="default"/>
                <w:sz w:val="22"/>
                <w:szCs w:val="22"/>
              </w:rPr>
            </w:r>
          </w:p>
        </w:tc>
      </w:tr>
      <w:tr>
        <w:trPr>
          <w:trHeight w:val="676"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1</w:t>
            </w:r>
            <w:r>
              <w:rPr>
                <w:rFonts w:ascii="Arial"/>
                <w:sz w:val="22"/>
              </w:rPr>
            </w:r>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283"/>
              <w:jc w:val="left"/>
              <w:rPr>
                <w:rFonts w:ascii="Arial" w:hAnsi="Arial" w:cs="Arial" w:eastAsia="Arial" w:hint="default"/>
                <w:sz w:val="22"/>
                <w:szCs w:val="22"/>
              </w:rPr>
            </w:pPr>
            <w:r>
              <w:rPr>
                <w:rFonts w:ascii="Arial"/>
                <w:sz w:val="22"/>
              </w:rPr>
              <w:t>Initial log-on</w:t>
            </w:r>
            <w:r>
              <w:rPr>
                <w:rFonts w:ascii="Arial"/>
                <w:spacing w:val="-4"/>
                <w:sz w:val="22"/>
              </w:rPr>
              <w:t> </w:t>
            </w:r>
            <w:r>
              <w:rPr>
                <w:rFonts w:ascii="Arial"/>
                <w:sz w:val="22"/>
              </w:rPr>
              <w:t>uses</w:t>
            </w:r>
            <w:r>
              <w:rPr>
                <w:rFonts w:ascii="Arial"/>
                <w:w w:val="99"/>
                <w:sz w:val="22"/>
              </w:rPr>
              <w:t> </w:t>
            </w:r>
            <w:r>
              <w:rPr>
                <w:rFonts w:ascii="Arial"/>
                <w:sz w:val="22"/>
              </w:rPr>
              <w:t>one-time</w:t>
            </w:r>
            <w:r>
              <w:rPr>
                <w:rFonts w:ascii="Arial"/>
                <w:spacing w:val="-4"/>
                <w:sz w:val="22"/>
              </w:rPr>
              <w:t> </w:t>
            </w:r>
            <w:r>
              <w:rPr>
                <w:rFonts w:ascii="Arial"/>
                <w:sz w:val="22"/>
              </w:rPr>
              <w:t>password</w:t>
            </w:r>
          </w:p>
        </w:tc>
        <w:tc>
          <w:tcPr>
            <w:tcW w:w="2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首次登陆修改密码</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未设置</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启用</w:t>
            </w:r>
          </w:p>
        </w:tc>
      </w:tr>
      <w:tr>
        <w:trPr>
          <w:trHeight w:val="538"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2</w:t>
            </w:r>
            <w:r>
              <w:rPr>
                <w:rFonts w:ascii="Arial"/>
                <w:sz w:val="22"/>
              </w:rPr>
            </w:r>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sz w:val="22"/>
              </w:rPr>
              <w:t>Maxage</w:t>
            </w:r>
          </w:p>
        </w:tc>
        <w:tc>
          <w:tcPr>
            <w:tcW w:w="2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最长密码使用时间</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0</w:t>
            </w:r>
            <w:r>
              <w:rPr>
                <w:rFonts w:ascii="Arial"/>
                <w:sz w:val="22"/>
              </w:rPr>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Arial" w:hAnsi="Arial" w:cs="Arial" w:eastAsia="Arial" w:hint="default"/>
                <w:sz w:val="22"/>
                <w:szCs w:val="22"/>
              </w:rPr>
              <w:t>90</w:t>
            </w:r>
            <w:r>
              <w:rPr>
                <w:rFonts w:ascii="Arial" w:hAnsi="Arial" w:cs="Arial" w:eastAsia="Arial" w:hint="default"/>
                <w:spacing w:val="-14"/>
                <w:sz w:val="22"/>
                <w:szCs w:val="22"/>
              </w:rPr>
              <w:t> </w:t>
            </w:r>
            <w:r>
              <w:rPr>
                <w:rFonts w:ascii="黑体" w:hAnsi="黑体" w:cs="黑体" w:eastAsia="黑体" w:hint="default"/>
                <w:sz w:val="22"/>
                <w:szCs w:val="22"/>
              </w:rPr>
              <w:t>天</w:t>
            </w:r>
          </w:p>
        </w:tc>
      </w:tr>
      <w:tr>
        <w:trPr>
          <w:trHeight w:val="458"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3</w:t>
            </w:r>
            <w:r>
              <w:rPr>
                <w:rFonts w:ascii="Arial"/>
                <w:sz w:val="22"/>
              </w:rPr>
            </w:r>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sz w:val="22"/>
              </w:rPr>
              <w:t>Log</w:t>
            </w:r>
            <w:r>
              <w:rPr>
                <w:rFonts w:ascii="Arial"/>
                <w:spacing w:val="-2"/>
                <w:sz w:val="22"/>
              </w:rPr>
              <w:t> </w:t>
            </w:r>
            <w:r>
              <w:rPr>
                <w:rFonts w:ascii="Arial"/>
                <w:sz w:val="22"/>
              </w:rPr>
              <w:t>off</w:t>
            </w:r>
          </w:p>
        </w:tc>
        <w:tc>
          <w:tcPr>
            <w:tcW w:w="2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系统未操作注销时间</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0</w:t>
            </w:r>
            <w:r>
              <w:rPr>
                <w:rFonts w:ascii="Arial"/>
                <w:sz w:val="22"/>
              </w:rPr>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Arial" w:hAnsi="Arial" w:cs="Arial" w:eastAsia="Arial" w:hint="default"/>
                <w:sz w:val="22"/>
                <w:szCs w:val="22"/>
              </w:rPr>
              <w:t>15</w:t>
            </w:r>
            <w:r>
              <w:rPr>
                <w:rFonts w:ascii="Arial" w:hAnsi="Arial" w:cs="Arial" w:eastAsia="Arial" w:hint="default"/>
                <w:spacing w:val="-15"/>
                <w:sz w:val="22"/>
                <w:szCs w:val="22"/>
              </w:rPr>
              <w:t> </w:t>
            </w:r>
            <w:r>
              <w:rPr>
                <w:rFonts w:ascii="黑体" w:hAnsi="黑体" w:cs="黑体" w:eastAsia="黑体" w:hint="default"/>
                <w:sz w:val="22"/>
                <w:szCs w:val="22"/>
              </w:rPr>
              <w:t>分钟</w:t>
            </w:r>
          </w:p>
        </w:tc>
      </w:tr>
    </w:tbl>
    <w:p>
      <w:pPr>
        <w:spacing w:line="240" w:lineRule="auto" w:before="0"/>
        <w:rPr>
          <w:rFonts w:ascii="Arial" w:hAnsi="Arial" w:cs="Arial" w:eastAsia="Arial" w:hint="default"/>
          <w:b/>
          <w:bCs/>
          <w:i/>
          <w:sz w:val="14"/>
          <w:szCs w:val="14"/>
        </w:rPr>
      </w:pPr>
    </w:p>
    <w:p>
      <w:pPr>
        <w:spacing w:before="31"/>
        <w:ind w:left="220" w:right="0" w:firstLine="0"/>
        <w:jc w:val="left"/>
        <w:rPr>
          <w:rFonts w:ascii="Arial" w:hAnsi="Arial" w:cs="Arial" w:eastAsia="Arial" w:hint="default"/>
          <w:sz w:val="22"/>
          <w:szCs w:val="22"/>
        </w:rPr>
      </w:pPr>
      <w:r>
        <w:rPr>
          <w:rFonts w:ascii="Arial" w:hAnsi="Arial" w:cs="Arial" w:eastAsia="Arial" w:hint="default"/>
          <w:b/>
          <w:bCs/>
          <w:i/>
          <w:sz w:val="22"/>
          <w:szCs w:val="22"/>
        </w:rPr>
        <w:t>NC</w:t>
      </w:r>
      <w:r>
        <w:rPr>
          <w:rFonts w:ascii="Arial" w:hAnsi="Arial" w:cs="Arial" w:eastAsia="Arial" w:hint="default"/>
          <w:b/>
          <w:bCs/>
          <w:i/>
          <w:spacing w:val="-26"/>
          <w:sz w:val="22"/>
          <w:szCs w:val="22"/>
        </w:rPr>
        <w:t> </w:t>
      </w:r>
      <w:r>
        <w:rPr>
          <w:rFonts w:ascii="黑体" w:hAnsi="黑体" w:cs="黑体" w:eastAsia="黑体" w:hint="default"/>
          <w:b/>
          <w:bCs/>
          <w:i/>
          <w:sz w:val="23"/>
          <w:szCs w:val="23"/>
        </w:rPr>
        <w:t>数据库系统</w:t>
      </w:r>
      <w:r>
        <w:rPr>
          <w:rFonts w:ascii="黑体" w:hAnsi="黑体" w:cs="黑体" w:eastAsia="黑体" w:hint="default"/>
          <w:b/>
          <w:bCs/>
          <w:i/>
          <w:spacing w:val="-74"/>
          <w:sz w:val="23"/>
          <w:szCs w:val="23"/>
        </w:rPr>
        <w:t> </w:t>
      </w:r>
      <w:r>
        <w:rPr>
          <w:rFonts w:ascii="Arial" w:hAnsi="Arial" w:cs="Arial" w:eastAsia="Arial" w:hint="default"/>
          <w:b/>
          <w:bCs/>
          <w:i/>
          <w:sz w:val="22"/>
          <w:szCs w:val="22"/>
        </w:rPr>
        <w:t>(Oracle</w:t>
      </w:r>
      <w:r>
        <w:rPr>
          <w:rFonts w:ascii="Arial" w:hAnsi="Arial" w:cs="Arial" w:eastAsia="Arial" w:hint="default"/>
          <w:b/>
          <w:bCs/>
          <w:i/>
          <w:spacing w:val="-19"/>
          <w:sz w:val="22"/>
          <w:szCs w:val="22"/>
        </w:rPr>
        <w:t> </w:t>
      </w:r>
      <w:r>
        <w:rPr>
          <w:rFonts w:ascii="Arial" w:hAnsi="Arial" w:cs="Arial" w:eastAsia="Arial" w:hint="default"/>
          <w:b/>
          <w:bCs/>
          <w:i/>
          <w:sz w:val="22"/>
          <w:szCs w:val="22"/>
        </w:rPr>
        <w:t>10g)</w:t>
      </w:r>
      <w:r>
        <w:rPr>
          <w:rFonts w:ascii="Arial" w:hAnsi="Arial" w:cs="Arial" w:eastAsia="Arial" w:hint="default"/>
          <w:sz w:val="22"/>
          <w:szCs w:val="22"/>
        </w:rPr>
      </w:r>
    </w:p>
    <w:p>
      <w:pPr>
        <w:spacing w:line="240" w:lineRule="auto" w:before="0"/>
        <w:rPr>
          <w:rFonts w:ascii="Arial" w:hAnsi="Arial" w:cs="Arial" w:eastAsia="Arial" w:hint="default"/>
          <w:b/>
          <w:bCs/>
          <w:i/>
          <w:sz w:val="20"/>
          <w:szCs w:val="20"/>
        </w:rPr>
      </w:pPr>
    </w:p>
    <w:p>
      <w:pPr>
        <w:spacing w:line="240" w:lineRule="auto" w:before="1"/>
        <w:rPr>
          <w:rFonts w:ascii="Arial" w:hAnsi="Arial" w:cs="Arial" w:eastAsia="Arial" w:hint="default"/>
          <w:b/>
          <w:bCs/>
          <w:i/>
          <w:sz w:val="11"/>
          <w:szCs w:val="11"/>
        </w:rPr>
      </w:pPr>
    </w:p>
    <w:tbl>
      <w:tblPr>
        <w:tblW w:w="0" w:type="auto"/>
        <w:jc w:val="left"/>
        <w:tblInd w:w="107" w:type="dxa"/>
        <w:tblLayout w:type="fixed"/>
        <w:tblCellMar>
          <w:top w:w="0" w:type="dxa"/>
          <w:left w:w="0" w:type="dxa"/>
          <w:bottom w:w="0" w:type="dxa"/>
          <w:right w:w="0" w:type="dxa"/>
        </w:tblCellMar>
        <w:tblLook w:val="01E0"/>
      </w:tblPr>
      <w:tblGrid>
        <w:gridCol w:w="828"/>
        <w:gridCol w:w="1690"/>
        <w:gridCol w:w="2442"/>
        <w:gridCol w:w="1800"/>
        <w:gridCol w:w="2396"/>
      </w:tblGrid>
      <w:tr>
        <w:trPr>
          <w:trHeight w:val="612" w:hRule="exact"/>
        </w:trPr>
        <w:tc>
          <w:tcPr>
            <w:tcW w:w="828"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188" w:right="0"/>
              <w:jc w:val="left"/>
              <w:rPr>
                <w:rFonts w:ascii="黑体" w:hAnsi="黑体" w:cs="黑体" w:eastAsia="黑体" w:hint="default"/>
                <w:sz w:val="22"/>
                <w:szCs w:val="22"/>
              </w:rPr>
            </w:pPr>
            <w:r>
              <w:rPr>
                <w:rFonts w:ascii="黑体" w:hAnsi="黑体" w:cs="黑体" w:eastAsia="黑体" w:hint="default"/>
                <w:b/>
                <w:bCs/>
                <w:sz w:val="22"/>
                <w:szCs w:val="22"/>
              </w:rPr>
              <w:t>序号</w:t>
            </w:r>
            <w:r>
              <w:rPr>
                <w:rFonts w:ascii="黑体" w:hAnsi="黑体" w:cs="黑体" w:eastAsia="黑体" w:hint="default"/>
                <w:sz w:val="22"/>
                <w:szCs w:val="22"/>
              </w:rPr>
            </w:r>
          </w:p>
        </w:tc>
        <w:tc>
          <w:tcPr>
            <w:tcW w:w="169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398" w:right="0"/>
              <w:jc w:val="left"/>
              <w:rPr>
                <w:rFonts w:ascii="黑体" w:hAnsi="黑体" w:cs="黑体" w:eastAsia="黑体" w:hint="default"/>
                <w:sz w:val="22"/>
                <w:szCs w:val="22"/>
              </w:rPr>
            </w:pPr>
            <w:r>
              <w:rPr>
                <w:rFonts w:ascii="黑体" w:hAnsi="黑体" w:cs="黑体" w:eastAsia="黑体" w:hint="default"/>
                <w:b/>
                <w:bCs/>
                <w:sz w:val="22"/>
                <w:szCs w:val="22"/>
              </w:rPr>
              <w:t>系统参数</w:t>
            </w:r>
            <w:r>
              <w:rPr>
                <w:rFonts w:ascii="黑体" w:hAnsi="黑体" w:cs="黑体" w:eastAsia="黑体" w:hint="default"/>
                <w:sz w:val="22"/>
                <w:szCs w:val="22"/>
              </w:rPr>
            </w:r>
          </w:p>
        </w:tc>
        <w:tc>
          <w:tcPr>
            <w:tcW w:w="2442"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right="1"/>
              <w:jc w:val="center"/>
              <w:rPr>
                <w:rFonts w:ascii="黑体" w:hAnsi="黑体" w:cs="黑体" w:eastAsia="黑体" w:hint="default"/>
                <w:sz w:val="22"/>
                <w:szCs w:val="22"/>
              </w:rPr>
            </w:pPr>
            <w:r>
              <w:rPr>
                <w:rFonts w:ascii="黑体" w:hAnsi="黑体" w:cs="黑体" w:eastAsia="黑体" w:hint="default"/>
                <w:b/>
                <w:bCs/>
                <w:sz w:val="22"/>
                <w:szCs w:val="22"/>
              </w:rPr>
              <w:t>说明</w:t>
            </w:r>
            <w:r>
              <w:rPr>
                <w:rFonts w:ascii="黑体" w:hAnsi="黑体" w:cs="黑体" w:eastAsia="黑体" w:hint="default"/>
                <w:sz w:val="22"/>
                <w:szCs w:val="22"/>
              </w:rPr>
            </w:r>
          </w:p>
        </w:tc>
        <w:tc>
          <w:tcPr>
            <w:tcW w:w="180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453" w:right="0"/>
              <w:jc w:val="left"/>
              <w:rPr>
                <w:rFonts w:ascii="黑体" w:hAnsi="黑体" w:cs="黑体" w:eastAsia="黑体" w:hint="default"/>
                <w:sz w:val="22"/>
                <w:szCs w:val="22"/>
              </w:rPr>
            </w:pPr>
            <w:r>
              <w:rPr>
                <w:rFonts w:ascii="黑体" w:hAnsi="黑体" w:cs="黑体" w:eastAsia="黑体" w:hint="default"/>
                <w:b/>
                <w:bCs/>
                <w:sz w:val="22"/>
                <w:szCs w:val="22"/>
              </w:rPr>
              <w:t>当前设置</w:t>
            </w:r>
            <w:r>
              <w:rPr>
                <w:rFonts w:ascii="黑体" w:hAnsi="黑体" w:cs="黑体" w:eastAsia="黑体" w:hint="default"/>
                <w:sz w:val="22"/>
                <w:szCs w:val="22"/>
              </w:rPr>
            </w:r>
          </w:p>
        </w:tc>
        <w:tc>
          <w:tcPr>
            <w:tcW w:w="2396"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530" w:right="0"/>
              <w:jc w:val="left"/>
              <w:rPr>
                <w:rFonts w:ascii="黑体" w:hAnsi="黑体" w:cs="黑体" w:eastAsia="黑体" w:hint="default"/>
                <w:sz w:val="22"/>
                <w:szCs w:val="22"/>
              </w:rPr>
            </w:pPr>
            <w:r>
              <w:rPr>
                <w:rFonts w:ascii="黑体" w:hAnsi="黑体" w:cs="黑体" w:eastAsia="黑体" w:hint="default"/>
                <w:b/>
                <w:bCs/>
                <w:sz w:val="22"/>
                <w:szCs w:val="22"/>
              </w:rPr>
              <w:t>安永建议设置</w:t>
            </w:r>
            <w:r>
              <w:rPr>
                <w:rFonts w:ascii="黑体" w:hAnsi="黑体" w:cs="黑体" w:eastAsia="黑体" w:hint="default"/>
                <w:sz w:val="22"/>
                <w:szCs w:val="22"/>
              </w:rPr>
            </w:r>
          </w:p>
        </w:tc>
      </w:tr>
      <w:tr>
        <w:trPr>
          <w:trHeight w:val="676"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1</w:t>
            </w:r>
            <w:r>
              <w:rPr>
                <w:rFonts w:ascii="Arial"/>
                <w:sz w:val="22"/>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439"/>
              <w:jc w:val="left"/>
              <w:rPr>
                <w:rFonts w:ascii="Arial" w:hAnsi="Arial" w:cs="Arial" w:eastAsia="Arial" w:hint="default"/>
                <w:sz w:val="22"/>
                <w:szCs w:val="22"/>
              </w:rPr>
            </w:pPr>
            <w:r>
              <w:rPr>
                <w:rFonts w:ascii="Arial"/>
                <w:sz w:val="22"/>
              </w:rPr>
              <w:t>AUDIT</w:t>
            </w:r>
            <w:r>
              <w:rPr>
                <w:rFonts w:ascii="Arial"/>
                <w:w w:val="99"/>
                <w:sz w:val="22"/>
              </w:rPr>
              <w:t> </w:t>
            </w:r>
            <w:r>
              <w:rPr>
                <w:rFonts w:ascii="Arial"/>
                <w:sz w:val="22"/>
              </w:rPr>
              <w:t>FUNCTION</w:t>
            </w:r>
          </w:p>
        </w:tc>
        <w:tc>
          <w:tcPr>
            <w:tcW w:w="2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审计功能</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未启动</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启动</w:t>
            </w:r>
          </w:p>
        </w:tc>
      </w:tr>
      <w:tr>
        <w:trPr>
          <w:trHeight w:val="4816"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4</w:t>
            </w:r>
            <w:r>
              <w:rPr>
                <w:rFonts w:ascii="Arial"/>
                <w:sz w:val="22"/>
              </w:rPr>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608"/>
              <w:jc w:val="left"/>
              <w:rPr>
                <w:rFonts w:ascii="Arial" w:hAnsi="Arial" w:cs="Arial" w:eastAsia="Arial" w:hint="default"/>
                <w:sz w:val="22"/>
                <w:szCs w:val="22"/>
              </w:rPr>
            </w:pPr>
            <w:r>
              <w:rPr>
                <w:rFonts w:ascii="Arial"/>
                <w:sz w:val="22"/>
              </w:rPr>
              <w:t>Password</w:t>
            </w:r>
            <w:r>
              <w:rPr>
                <w:rFonts w:ascii="Arial"/>
                <w:w w:val="99"/>
                <w:sz w:val="22"/>
              </w:rPr>
              <w:t> </w:t>
            </w:r>
            <w:r>
              <w:rPr>
                <w:rFonts w:ascii="Arial"/>
                <w:sz w:val="22"/>
              </w:rPr>
              <w:t>Control</w:t>
            </w:r>
          </w:p>
        </w:tc>
        <w:tc>
          <w:tcPr>
            <w:tcW w:w="2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密码参数设置：</w:t>
            </w:r>
          </w:p>
          <w:p>
            <w:pPr>
              <w:pStyle w:val="TableParagraph"/>
              <w:numPr>
                <w:ilvl w:val="0"/>
                <w:numId w:val="1"/>
              </w:numPr>
              <w:tabs>
                <w:tab w:pos="464" w:val="left" w:leader="none"/>
              </w:tabs>
              <w:spacing w:line="252" w:lineRule="exact" w:before="90" w:after="0"/>
              <w:ind w:left="463" w:right="243" w:hanging="360"/>
              <w:jc w:val="left"/>
              <w:rPr>
                <w:rFonts w:ascii="Arial" w:hAnsi="Arial" w:cs="Arial" w:eastAsia="Arial" w:hint="default"/>
                <w:sz w:val="22"/>
                <w:szCs w:val="22"/>
              </w:rPr>
            </w:pPr>
            <w:r>
              <w:rPr>
                <w:rFonts w:ascii="Arial"/>
                <w:sz w:val="22"/>
              </w:rPr>
              <w:t>PASSWORD_LIF</w:t>
            </w:r>
            <w:r>
              <w:rPr>
                <w:rFonts w:ascii="Arial"/>
                <w:w w:val="99"/>
                <w:sz w:val="22"/>
              </w:rPr>
              <w:t> </w:t>
            </w:r>
            <w:r>
              <w:rPr>
                <w:rFonts w:ascii="Arial"/>
                <w:sz w:val="22"/>
              </w:rPr>
              <w:t>E_TIME</w:t>
            </w:r>
          </w:p>
          <w:p>
            <w:pPr>
              <w:pStyle w:val="TableParagraph"/>
              <w:numPr>
                <w:ilvl w:val="0"/>
                <w:numId w:val="1"/>
              </w:numPr>
              <w:tabs>
                <w:tab w:pos="464" w:val="left" w:leader="none"/>
              </w:tabs>
              <w:spacing w:line="252" w:lineRule="exact" w:before="16" w:after="0"/>
              <w:ind w:left="463" w:right="256" w:hanging="360"/>
              <w:jc w:val="left"/>
              <w:rPr>
                <w:rFonts w:ascii="Arial" w:hAnsi="Arial" w:cs="Arial" w:eastAsia="Arial" w:hint="default"/>
                <w:sz w:val="22"/>
                <w:szCs w:val="22"/>
              </w:rPr>
            </w:pPr>
            <w:r>
              <w:rPr>
                <w:rFonts w:ascii="Arial"/>
                <w:sz w:val="22"/>
              </w:rPr>
              <w:t>PASSWORD_RE</w:t>
            </w:r>
            <w:r>
              <w:rPr>
                <w:rFonts w:ascii="Arial"/>
                <w:w w:val="99"/>
                <w:sz w:val="22"/>
              </w:rPr>
              <w:t> </w:t>
            </w:r>
            <w:r>
              <w:rPr>
                <w:rFonts w:ascii="Arial"/>
                <w:sz w:val="22"/>
              </w:rPr>
              <w:t>USE_MAX</w:t>
            </w:r>
          </w:p>
          <w:p>
            <w:pPr>
              <w:pStyle w:val="TableParagraph"/>
              <w:numPr>
                <w:ilvl w:val="0"/>
                <w:numId w:val="1"/>
              </w:numPr>
              <w:tabs>
                <w:tab w:pos="464" w:val="left" w:leader="none"/>
              </w:tabs>
              <w:spacing w:line="252" w:lineRule="exact" w:before="16" w:after="0"/>
              <w:ind w:left="463" w:right="122" w:hanging="360"/>
              <w:jc w:val="left"/>
              <w:rPr>
                <w:rFonts w:ascii="Arial" w:hAnsi="Arial" w:cs="Arial" w:eastAsia="Arial" w:hint="default"/>
                <w:sz w:val="22"/>
                <w:szCs w:val="22"/>
              </w:rPr>
            </w:pPr>
            <w:r>
              <w:rPr>
                <w:rFonts w:ascii="Arial"/>
                <w:sz w:val="22"/>
              </w:rPr>
              <w:t>FAILED_LOGIN_A</w:t>
            </w:r>
            <w:r>
              <w:rPr>
                <w:rFonts w:ascii="Arial"/>
                <w:w w:val="99"/>
                <w:sz w:val="22"/>
              </w:rPr>
              <w:t> </w:t>
            </w:r>
            <w:r>
              <w:rPr>
                <w:rFonts w:ascii="Arial"/>
                <w:sz w:val="22"/>
              </w:rPr>
              <w:t>TTEMPTS</w:t>
            </w:r>
          </w:p>
          <w:p>
            <w:pPr>
              <w:pStyle w:val="TableParagraph"/>
              <w:numPr>
                <w:ilvl w:val="0"/>
                <w:numId w:val="1"/>
              </w:numPr>
              <w:tabs>
                <w:tab w:pos="464" w:val="left" w:leader="none"/>
              </w:tabs>
              <w:spacing w:line="252" w:lineRule="exact" w:before="16" w:after="0"/>
              <w:ind w:left="463" w:right="201" w:hanging="360"/>
              <w:jc w:val="left"/>
              <w:rPr>
                <w:rFonts w:ascii="Arial" w:hAnsi="Arial" w:cs="Arial" w:eastAsia="Arial" w:hint="default"/>
                <w:sz w:val="22"/>
                <w:szCs w:val="22"/>
              </w:rPr>
            </w:pPr>
            <w:r>
              <w:rPr>
                <w:rFonts w:ascii="Arial"/>
                <w:sz w:val="22"/>
              </w:rPr>
              <w:t>IDLE_TIME=UNLI</w:t>
            </w:r>
            <w:r>
              <w:rPr>
                <w:rFonts w:ascii="Arial"/>
                <w:w w:val="99"/>
                <w:sz w:val="22"/>
              </w:rPr>
              <w:t> </w:t>
            </w:r>
            <w:r>
              <w:rPr>
                <w:rFonts w:ascii="Arial"/>
                <w:sz w:val="22"/>
              </w:rPr>
              <w:t>MITED</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numPr>
                <w:ilvl w:val="0"/>
                <w:numId w:val="2"/>
              </w:numPr>
              <w:tabs>
                <w:tab w:pos="464" w:val="left" w:leader="none"/>
              </w:tabs>
              <w:spacing w:line="240" w:lineRule="auto" w:before="0" w:after="0"/>
              <w:ind w:left="463" w:right="201" w:hanging="360"/>
              <w:jc w:val="both"/>
              <w:rPr>
                <w:rFonts w:ascii="Arial" w:hAnsi="Arial" w:cs="Arial" w:eastAsia="Arial" w:hint="default"/>
                <w:sz w:val="22"/>
                <w:szCs w:val="22"/>
              </w:rPr>
            </w:pPr>
            <w:r>
              <w:rPr>
                <w:rFonts w:ascii="Arial"/>
                <w:sz w:val="22"/>
              </w:rPr>
              <w:t>PASSWOR</w:t>
            </w:r>
            <w:r>
              <w:rPr>
                <w:rFonts w:ascii="Arial"/>
                <w:spacing w:val="-1"/>
                <w:w w:val="99"/>
                <w:sz w:val="22"/>
              </w:rPr>
              <w:t> </w:t>
            </w:r>
            <w:r>
              <w:rPr>
                <w:rFonts w:ascii="Arial"/>
                <w:sz w:val="22"/>
              </w:rPr>
              <w:t>D_LIFE_TI</w:t>
            </w:r>
            <w:r>
              <w:rPr>
                <w:rFonts w:ascii="Arial"/>
                <w:w w:val="99"/>
                <w:sz w:val="22"/>
              </w:rPr>
              <w:t> </w:t>
            </w:r>
            <w:r>
              <w:rPr>
                <w:rFonts w:ascii="Arial"/>
                <w:sz w:val="22"/>
              </w:rPr>
              <w:t>ME =</w:t>
            </w:r>
            <w:r>
              <w:rPr>
                <w:rFonts w:ascii="Arial"/>
                <w:spacing w:val="-2"/>
                <w:sz w:val="22"/>
              </w:rPr>
              <w:t> </w:t>
            </w:r>
            <w:r>
              <w:rPr>
                <w:rFonts w:ascii="Arial"/>
                <w:sz w:val="22"/>
              </w:rPr>
              <w:t>120</w:t>
            </w:r>
          </w:p>
          <w:p>
            <w:pPr>
              <w:pStyle w:val="TableParagraph"/>
              <w:numPr>
                <w:ilvl w:val="0"/>
                <w:numId w:val="2"/>
              </w:numPr>
              <w:tabs>
                <w:tab w:pos="464" w:val="left" w:leader="none"/>
              </w:tabs>
              <w:spacing w:line="240" w:lineRule="auto" w:before="1" w:after="0"/>
              <w:ind w:left="463" w:right="140" w:hanging="360"/>
              <w:jc w:val="left"/>
              <w:rPr>
                <w:rFonts w:ascii="Arial" w:hAnsi="Arial" w:cs="Arial" w:eastAsia="Arial" w:hint="default"/>
                <w:sz w:val="22"/>
                <w:szCs w:val="22"/>
              </w:rPr>
            </w:pPr>
            <w:r>
              <w:rPr>
                <w:rFonts w:ascii="Arial"/>
                <w:sz w:val="22"/>
              </w:rPr>
              <w:t>PASSWOR</w:t>
            </w:r>
            <w:r>
              <w:rPr>
                <w:rFonts w:ascii="Arial"/>
                <w:spacing w:val="-1"/>
                <w:w w:val="99"/>
                <w:sz w:val="22"/>
              </w:rPr>
              <w:t> </w:t>
            </w:r>
            <w:r>
              <w:rPr>
                <w:rFonts w:ascii="Arial"/>
                <w:sz w:val="22"/>
              </w:rPr>
              <w:t>D_REUSE_</w:t>
            </w:r>
            <w:r>
              <w:rPr>
                <w:rFonts w:ascii="Arial"/>
                <w:spacing w:val="-1"/>
                <w:w w:val="99"/>
                <w:sz w:val="22"/>
              </w:rPr>
              <w:t> </w:t>
            </w:r>
            <w:r>
              <w:rPr>
                <w:rFonts w:ascii="Arial"/>
                <w:sz w:val="22"/>
              </w:rPr>
              <w:t>MAX</w:t>
            </w:r>
            <w:r>
              <w:rPr>
                <w:rFonts w:ascii="Arial"/>
                <w:spacing w:val="-2"/>
                <w:sz w:val="22"/>
              </w:rPr>
              <w:t> </w:t>
            </w:r>
            <w:r>
              <w:rPr>
                <w:rFonts w:ascii="Arial"/>
                <w:sz w:val="22"/>
              </w:rPr>
              <w:t>=</w:t>
            </w:r>
            <w:r>
              <w:rPr>
                <w:rFonts w:ascii="Arial"/>
                <w:w w:val="99"/>
                <w:sz w:val="22"/>
              </w:rPr>
              <w:t> </w:t>
            </w:r>
            <w:r>
              <w:rPr>
                <w:rFonts w:ascii="Arial"/>
                <w:sz w:val="22"/>
              </w:rPr>
              <w:t>UNLIMITED</w:t>
            </w:r>
          </w:p>
          <w:p>
            <w:pPr>
              <w:pStyle w:val="TableParagraph"/>
              <w:numPr>
                <w:ilvl w:val="0"/>
                <w:numId w:val="2"/>
              </w:numPr>
              <w:tabs>
                <w:tab w:pos="464" w:val="left" w:leader="none"/>
              </w:tabs>
              <w:spacing w:line="240" w:lineRule="auto" w:before="0" w:after="0"/>
              <w:ind w:left="463" w:right="139" w:hanging="360"/>
              <w:jc w:val="left"/>
              <w:rPr>
                <w:rFonts w:ascii="Arial" w:hAnsi="Arial" w:cs="Arial" w:eastAsia="Arial" w:hint="default"/>
                <w:sz w:val="22"/>
                <w:szCs w:val="22"/>
              </w:rPr>
            </w:pPr>
            <w:r>
              <w:rPr>
                <w:rFonts w:ascii="Arial"/>
                <w:sz w:val="22"/>
              </w:rPr>
              <w:t>FAILED_LO</w:t>
            </w:r>
            <w:r>
              <w:rPr>
                <w:rFonts w:ascii="Arial"/>
                <w:w w:val="99"/>
                <w:sz w:val="22"/>
              </w:rPr>
              <w:t> </w:t>
            </w:r>
            <w:r>
              <w:rPr>
                <w:rFonts w:ascii="Arial"/>
                <w:sz w:val="22"/>
              </w:rPr>
              <w:t>GIN_ATTE</w:t>
            </w:r>
            <w:r>
              <w:rPr>
                <w:rFonts w:ascii="Arial"/>
                <w:w w:val="99"/>
                <w:sz w:val="22"/>
              </w:rPr>
              <w:t> </w:t>
            </w:r>
            <w:r>
              <w:rPr>
                <w:rFonts w:ascii="Arial"/>
                <w:sz w:val="22"/>
              </w:rPr>
              <w:t>MPTS =</w:t>
            </w:r>
            <w:r>
              <w:rPr>
                <w:rFonts w:ascii="Arial"/>
                <w:spacing w:val="-2"/>
                <w:sz w:val="22"/>
              </w:rPr>
              <w:t> </w:t>
            </w:r>
            <w:r>
              <w:rPr>
                <w:rFonts w:ascii="Arial"/>
                <w:sz w:val="22"/>
              </w:rPr>
              <w:t>10</w:t>
            </w:r>
          </w:p>
          <w:p>
            <w:pPr>
              <w:pStyle w:val="TableParagraph"/>
              <w:numPr>
                <w:ilvl w:val="0"/>
                <w:numId w:val="2"/>
              </w:numPr>
              <w:tabs>
                <w:tab w:pos="464" w:val="left" w:leader="none"/>
              </w:tabs>
              <w:spacing w:line="268" w:lineRule="exact" w:before="1" w:after="0"/>
              <w:ind w:left="463" w:right="0" w:hanging="360"/>
              <w:jc w:val="left"/>
              <w:rPr>
                <w:rFonts w:ascii="Arial" w:hAnsi="Arial" w:cs="Arial" w:eastAsia="Arial" w:hint="default"/>
                <w:sz w:val="22"/>
                <w:szCs w:val="22"/>
              </w:rPr>
            </w:pPr>
            <w:r>
              <w:rPr>
                <w:rFonts w:ascii="Arial"/>
                <w:sz w:val="22"/>
              </w:rPr>
              <w:t>IDLE_TIME</w:t>
            </w:r>
          </w:p>
          <w:p>
            <w:pPr>
              <w:pStyle w:val="TableParagraph"/>
              <w:spacing w:line="240" w:lineRule="auto"/>
              <w:ind w:left="463" w:right="170"/>
              <w:jc w:val="left"/>
              <w:rPr>
                <w:rFonts w:ascii="Arial" w:hAnsi="Arial" w:cs="Arial" w:eastAsia="Arial" w:hint="default"/>
                <w:sz w:val="22"/>
                <w:szCs w:val="22"/>
              </w:rPr>
            </w:pPr>
            <w:r>
              <w:rPr>
                <w:rFonts w:ascii="Arial"/>
                <w:sz w:val="22"/>
              </w:rPr>
              <w:t>=UNLIMITE</w:t>
            </w:r>
            <w:r>
              <w:rPr>
                <w:rFonts w:ascii="Arial"/>
                <w:w w:val="99"/>
                <w:sz w:val="22"/>
              </w:rPr>
              <w:t> </w:t>
            </w:r>
            <w:r>
              <w:rPr>
                <w:rFonts w:ascii="Arial"/>
                <w:sz w:val="22"/>
              </w:rPr>
              <w:t>D</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numPr>
                <w:ilvl w:val="0"/>
                <w:numId w:val="3"/>
              </w:numPr>
              <w:tabs>
                <w:tab w:pos="464" w:val="left" w:leader="none"/>
              </w:tabs>
              <w:spacing w:line="240" w:lineRule="auto" w:before="0" w:after="0"/>
              <w:ind w:left="463" w:right="198" w:hanging="360"/>
              <w:jc w:val="left"/>
              <w:rPr>
                <w:rFonts w:ascii="Arial" w:hAnsi="Arial" w:cs="Arial" w:eastAsia="Arial" w:hint="default"/>
                <w:sz w:val="22"/>
                <w:szCs w:val="22"/>
              </w:rPr>
            </w:pPr>
            <w:r>
              <w:rPr>
                <w:rFonts w:ascii="Arial"/>
                <w:sz w:val="22"/>
              </w:rPr>
              <w:t>PASSWORD_LIF</w:t>
            </w:r>
            <w:r>
              <w:rPr>
                <w:rFonts w:ascii="Arial"/>
                <w:w w:val="99"/>
                <w:sz w:val="22"/>
              </w:rPr>
              <w:t> </w:t>
            </w:r>
            <w:r>
              <w:rPr>
                <w:rFonts w:ascii="Arial"/>
                <w:sz w:val="22"/>
              </w:rPr>
              <w:t>T_TIME&lt;=90</w:t>
            </w:r>
          </w:p>
          <w:p>
            <w:pPr>
              <w:pStyle w:val="TableParagraph"/>
              <w:numPr>
                <w:ilvl w:val="0"/>
                <w:numId w:val="3"/>
              </w:numPr>
              <w:tabs>
                <w:tab w:pos="464" w:val="left" w:leader="none"/>
              </w:tabs>
              <w:spacing w:line="240" w:lineRule="auto" w:before="0" w:after="0"/>
              <w:ind w:left="463" w:right="203" w:hanging="360"/>
              <w:jc w:val="left"/>
              <w:rPr>
                <w:rFonts w:ascii="Arial" w:hAnsi="Arial" w:cs="Arial" w:eastAsia="Arial" w:hint="default"/>
                <w:sz w:val="22"/>
                <w:szCs w:val="22"/>
              </w:rPr>
            </w:pPr>
            <w:r>
              <w:rPr>
                <w:rFonts w:ascii="Arial"/>
                <w:sz w:val="22"/>
              </w:rPr>
              <w:t>FAILED_LOGIN_</w:t>
            </w:r>
            <w:r>
              <w:rPr>
                <w:rFonts w:ascii="Arial"/>
                <w:w w:val="99"/>
                <w:sz w:val="22"/>
              </w:rPr>
              <w:t> </w:t>
            </w:r>
            <w:r>
              <w:rPr>
                <w:rFonts w:ascii="Arial"/>
                <w:sz w:val="22"/>
              </w:rPr>
              <w:t>ATTEMPS=3 to</w:t>
            </w:r>
            <w:r>
              <w:rPr>
                <w:rFonts w:ascii="Arial"/>
                <w:spacing w:val="-3"/>
                <w:sz w:val="22"/>
              </w:rPr>
              <w:t> </w:t>
            </w:r>
            <w:r>
              <w:rPr>
                <w:rFonts w:ascii="Arial"/>
                <w:sz w:val="22"/>
              </w:rPr>
              <w:t>5</w:t>
            </w:r>
          </w:p>
          <w:p>
            <w:pPr>
              <w:pStyle w:val="TableParagraph"/>
              <w:numPr>
                <w:ilvl w:val="0"/>
                <w:numId w:val="3"/>
              </w:numPr>
              <w:tabs>
                <w:tab w:pos="464" w:val="left" w:leader="none"/>
              </w:tabs>
              <w:spacing w:line="240" w:lineRule="auto" w:before="0" w:after="0"/>
              <w:ind w:left="463" w:right="0" w:hanging="360"/>
              <w:jc w:val="left"/>
              <w:rPr>
                <w:rFonts w:ascii="Arial" w:hAnsi="Arial" w:cs="Arial" w:eastAsia="Arial" w:hint="default"/>
                <w:sz w:val="22"/>
                <w:szCs w:val="22"/>
              </w:rPr>
            </w:pPr>
            <w:r>
              <w:rPr>
                <w:rFonts w:ascii="Arial"/>
                <w:sz w:val="22"/>
              </w:rPr>
              <w:t>IDLE_TIME&lt;=60</w:t>
            </w:r>
          </w:p>
          <w:p>
            <w:pPr>
              <w:pStyle w:val="TableParagraph"/>
              <w:numPr>
                <w:ilvl w:val="0"/>
                <w:numId w:val="3"/>
              </w:numPr>
              <w:tabs>
                <w:tab w:pos="464" w:val="left" w:leader="none"/>
              </w:tabs>
              <w:spacing w:line="240" w:lineRule="auto" w:before="0" w:after="0"/>
              <w:ind w:left="463" w:right="191" w:hanging="360"/>
              <w:jc w:val="both"/>
              <w:rPr>
                <w:rFonts w:ascii="Arial" w:hAnsi="Arial" w:cs="Arial" w:eastAsia="Arial" w:hint="default"/>
                <w:sz w:val="22"/>
                <w:szCs w:val="22"/>
              </w:rPr>
            </w:pPr>
            <w:r>
              <w:rPr>
                <w:rFonts w:ascii="Arial"/>
                <w:sz w:val="22"/>
              </w:rPr>
              <w:t>PASSWORD_RE</w:t>
            </w:r>
            <w:r>
              <w:rPr>
                <w:rFonts w:ascii="Arial"/>
                <w:w w:val="99"/>
                <w:sz w:val="22"/>
              </w:rPr>
              <w:t> </w:t>
            </w:r>
            <w:r>
              <w:rPr>
                <w:rFonts w:ascii="Arial"/>
                <w:sz w:val="22"/>
              </w:rPr>
              <w:t>USE_MAX = 3</w:t>
            </w:r>
            <w:r>
              <w:rPr>
                <w:rFonts w:ascii="Arial"/>
                <w:spacing w:val="-5"/>
                <w:sz w:val="22"/>
              </w:rPr>
              <w:t> </w:t>
            </w:r>
            <w:r>
              <w:rPr>
                <w:rFonts w:ascii="Arial"/>
                <w:sz w:val="22"/>
              </w:rPr>
              <w:t>to</w:t>
            </w:r>
            <w:r>
              <w:rPr>
                <w:rFonts w:ascii="Arial"/>
                <w:w w:val="99"/>
                <w:sz w:val="22"/>
              </w:rPr>
              <w:t> </w:t>
            </w:r>
            <w:r>
              <w:rPr>
                <w:rFonts w:ascii="Arial"/>
                <w:sz w:val="22"/>
              </w:rPr>
              <w:t>8</w:t>
            </w:r>
          </w:p>
          <w:p>
            <w:pPr>
              <w:pStyle w:val="TableParagraph"/>
              <w:spacing w:line="240" w:lineRule="auto"/>
              <w:ind w:left="103" w:right="118" w:firstLine="183"/>
              <w:jc w:val="left"/>
              <w:rPr>
                <w:rFonts w:ascii="Arial" w:hAnsi="Arial" w:cs="Arial" w:eastAsia="Arial" w:hint="default"/>
                <w:sz w:val="22"/>
                <w:szCs w:val="22"/>
              </w:rPr>
            </w:pPr>
            <w:r>
              <w:rPr>
                <w:rFonts w:ascii="Arial"/>
                <w:sz w:val="22"/>
              </w:rPr>
              <w:t>(if</w:t>
            </w:r>
            <w:r>
              <w:rPr>
                <w:rFonts w:ascii="Arial"/>
                <w:w w:val="99"/>
                <w:sz w:val="22"/>
              </w:rPr>
              <w:t> </w:t>
            </w:r>
            <w:r>
              <w:rPr>
                <w:rFonts w:ascii="Arial"/>
                <w:sz w:val="22"/>
              </w:rPr>
              <w:t>PASSWORD_REUSE</w:t>
            </w:r>
          </w:p>
          <w:p>
            <w:pPr>
              <w:pStyle w:val="TableParagraph"/>
              <w:spacing w:line="240" w:lineRule="auto"/>
              <w:ind w:left="103" w:right="0"/>
              <w:jc w:val="left"/>
              <w:rPr>
                <w:rFonts w:ascii="Arial" w:hAnsi="Arial" w:cs="Arial" w:eastAsia="Arial" w:hint="default"/>
                <w:sz w:val="22"/>
                <w:szCs w:val="22"/>
              </w:rPr>
            </w:pPr>
            <w:r>
              <w:rPr>
                <w:rFonts w:ascii="Arial"/>
                <w:sz w:val="22"/>
              </w:rPr>
              <w:t>_TIME =</w:t>
            </w:r>
            <w:r>
              <w:rPr>
                <w:rFonts w:ascii="Arial"/>
                <w:spacing w:val="-3"/>
                <w:sz w:val="22"/>
              </w:rPr>
              <w:t> </w:t>
            </w:r>
            <w:r>
              <w:rPr>
                <w:rFonts w:ascii="Arial"/>
                <w:sz w:val="22"/>
              </w:rPr>
              <w:t>Unlimited)</w:t>
            </w:r>
          </w:p>
          <w:p>
            <w:pPr>
              <w:pStyle w:val="TableParagraph"/>
              <w:spacing w:line="240" w:lineRule="auto" w:before="0"/>
              <w:ind w:right="0"/>
              <w:jc w:val="left"/>
              <w:rPr>
                <w:rFonts w:ascii="Arial" w:hAnsi="Arial" w:cs="Arial" w:eastAsia="Arial" w:hint="default"/>
                <w:b/>
                <w:bCs/>
                <w:i/>
                <w:sz w:val="22"/>
                <w:szCs w:val="22"/>
              </w:rPr>
            </w:pPr>
          </w:p>
          <w:p>
            <w:pPr>
              <w:pStyle w:val="TableParagraph"/>
              <w:spacing w:line="240" w:lineRule="auto"/>
              <w:ind w:left="103" w:right="0"/>
              <w:jc w:val="left"/>
              <w:rPr>
                <w:rFonts w:ascii="Arial" w:hAnsi="Arial" w:cs="Arial" w:eastAsia="Arial" w:hint="default"/>
                <w:sz w:val="22"/>
                <w:szCs w:val="22"/>
              </w:rPr>
            </w:pPr>
            <w:r>
              <w:rPr>
                <w:rFonts w:ascii="Arial"/>
                <w:sz w:val="22"/>
              </w:rPr>
              <w:t>PASSWORD_REUSE</w:t>
            </w:r>
          </w:p>
          <w:p>
            <w:pPr>
              <w:pStyle w:val="TableParagraph"/>
              <w:spacing w:line="252" w:lineRule="exact"/>
              <w:ind w:left="103" w:right="0"/>
              <w:jc w:val="left"/>
              <w:rPr>
                <w:rFonts w:ascii="Arial" w:hAnsi="Arial" w:cs="Arial" w:eastAsia="Arial" w:hint="default"/>
                <w:sz w:val="22"/>
                <w:szCs w:val="22"/>
              </w:rPr>
            </w:pPr>
            <w:r>
              <w:rPr>
                <w:rFonts w:ascii="Arial"/>
                <w:sz w:val="22"/>
              </w:rPr>
              <w:t>_MAX =</w:t>
            </w:r>
            <w:r>
              <w:rPr>
                <w:rFonts w:ascii="Arial"/>
                <w:spacing w:val="-5"/>
                <w:sz w:val="22"/>
              </w:rPr>
              <w:t> </w:t>
            </w:r>
            <w:r>
              <w:rPr>
                <w:rFonts w:ascii="Arial"/>
                <w:sz w:val="22"/>
              </w:rPr>
              <w:t>UNLIMITED</w:t>
            </w:r>
          </w:p>
          <w:p>
            <w:pPr>
              <w:pStyle w:val="TableParagraph"/>
              <w:spacing w:line="240" w:lineRule="auto"/>
              <w:ind w:left="103" w:right="118" w:firstLine="183"/>
              <w:jc w:val="left"/>
              <w:rPr>
                <w:rFonts w:ascii="Arial" w:hAnsi="Arial" w:cs="Arial" w:eastAsia="Arial" w:hint="default"/>
                <w:sz w:val="22"/>
                <w:szCs w:val="22"/>
              </w:rPr>
            </w:pPr>
            <w:r>
              <w:rPr>
                <w:rFonts w:ascii="Arial"/>
                <w:sz w:val="22"/>
              </w:rPr>
              <w:t>(if</w:t>
            </w:r>
            <w:r>
              <w:rPr>
                <w:rFonts w:ascii="Arial"/>
                <w:w w:val="99"/>
                <w:sz w:val="22"/>
              </w:rPr>
              <w:t> </w:t>
            </w:r>
            <w:r>
              <w:rPr>
                <w:rFonts w:ascii="Arial"/>
                <w:sz w:val="22"/>
              </w:rPr>
              <w:t>PASSWORD_REUSE</w:t>
            </w:r>
          </w:p>
          <w:p>
            <w:pPr>
              <w:pStyle w:val="TableParagraph"/>
              <w:spacing w:line="240" w:lineRule="auto"/>
              <w:ind w:left="103" w:right="0"/>
              <w:jc w:val="left"/>
              <w:rPr>
                <w:rFonts w:ascii="Arial" w:hAnsi="Arial" w:cs="Arial" w:eastAsia="Arial" w:hint="default"/>
                <w:sz w:val="22"/>
                <w:szCs w:val="22"/>
              </w:rPr>
            </w:pPr>
            <w:r>
              <w:rPr>
                <w:rFonts w:ascii="Arial" w:hAnsi="Arial" w:cs="Arial" w:eastAsia="Arial" w:hint="default"/>
                <w:sz w:val="22"/>
                <w:szCs w:val="22"/>
              </w:rPr>
              <w:t>_TIME </w:t>
            </w:r>
            <w:r>
              <w:rPr>
                <w:rFonts w:ascii="Arial" w:hAnsi="Arial" w:cs="Arial" w:eastAsia="Arial" w:hint="default"/>
                <w:sz w:val="22"/>
                <w:szCs w:val="22"/>
              </w:rPr>
              <w:t>≠</w:t>
            </w:r>
            <w:r>
              <w:rPr>
                <w:rFonts w:ascii="Arial" w:hAnsi="Arial" w:cs="Arial" w:eastAsia="Arial" w:hint="default"/>
                <w:spacing w:val="-8"/>
                <w:sz w:val="22"/>
                <w:szCs w:val="22"/>
              </w:rPr>
              <w:t> </w:t>
            </w:r>
            <w:r>
              <w:rPr>
                <w:rFonts w:ascii="Arial" w:hAnsi="Arial" w:cs="Arial" w:eastAsia="Arial" w:hint="default"/>
                <w:sz w:val="22"/>
                <w:szCs w:val="22"/>
              </w:rPr>
              <w:t>Unlimited)</w:t>
            </w:r>
          </w:p>
        </w:tc>
      </w:tr>
    </w:tbl>
    <w:p>
      <w:pPr>
        <w:spacing w:after="0" w:line="240" w:lineRule="auto"/>
        <w:jc w:val="left"/>
        <w:rPr>
          <w:rFonts w:ascii="Arial" w:hAnsi="Arial" w:cs="Arial" w:eastAsia="Arial" w:hint="default"/>
          <w:sz w:val="22"/>
          <w:szCs w:val="22"/>
        </w:rPr>
        <w:sectPr>
          <w:headerReference w:type="default" r:id="rId142"/>
          <w:pgSz w:w="12240" w:h="15840"/>
          <w:pgMar w:header="1472" w:footer="755" w:top="1940" w:bottom="940" w:left="1580" w:right="1240"/>
        </w:sectPr>
      </w:pPr>
    </w:p>
    <w:p>
      <w:pPr>
        <w:spacing w:line="240" w:lineRule="auto" w:before="0"/>
        <w:rPr>
          <w:rFonts w:ascii="Arial" w:hAnsi="Arial" w:cs="Arial" w:eastAsia="Arial" w:hint="default"/>
          <w:b/>
          <w:bCs/>
          <w:i/>
          <w:sz w:val="20"/>
          <w:szCs w:val="20"/>
        </w:rPr>
      </w:pPr>
    </w:p>
    <w:p>
      <w:pPr>
        <w:spacing w:line="240" w:lineRule="auto" w:before="7"/>
        <w:rPr>
          <w:rFonts w:ascii="Arial" w:hAnsi="Arial" w:cs="Arial" w:eastAsia="Arial" w:hint="default"/>
          <w:b/>
          <w:bCs/>
          <w:i/>
          <w:sz w:val="21"/>
          <w:szCs w:val="21"/>
        </w:rPr>
      </w:pPr>
    </w:p>
    <w:tbl>
      <w:tblPr>
        <w:tblW w:w="0" w:type="auto"/>
        <w:jc w:val="left"/>
        <w:tblInd w:w="107" w:type="dxa"/>
        <w:tblLayout w:type="fixed"/>
        <w:tblCellMar>
          <w:top w:w="0" w:type="dxa"/>
          <w:left w:w="0" w:type="dxa"/>
          <w:bottom w:w="0" w:type="dxa"/>
          <w:right w:w="0" w:type="dxa"/>
        </w:tblCellMar>
        <w:tblLook w:val="01E0"/>
      </w:tblPr>
      <w:tblGrid>
        <w:gridCol w:w="828"/>
        <w:gridCol w:w="1980"/>
        <w:gridCol w:w="3060"/>
        <w:gridCol w:w="1297"/>
        <w:gridCol w:w="1874"/>
      </w:tblGrid>
      <w:tr>
        <w:trPr>
          <w:trHeight w:val="612" w:hRule="exact"/>
        </w:trPr>
        <w:tc>
          <w:tcPr>
            <w:tcW w:w="828"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188" w:right="0"/>
              <w:jc w:val="left"/>
              <w:rPr>
                <w:rFonts w:ascii="黑体" w:hAnsi="黑体" w:cs="黑体" w:eastAsia="黑体" w:hint="default"/>
                <w:sz w:val="22"/>
                <w:szCs w:val="22"/>
              </w:rPr>
            </w:pPr>
            <w:bookmarkStart w:name="_bookmark24" w:id="46"/>
            <w:bookmarkEnd w:id="46"/>
            <w:r>
              <w:rPr/>
            </w:r>
            <w:r>
              <w:rPr>
                <w:rFonts w:ascii="黑体" w:hAnsi="黑体" w:cs="黑体" w:eastAsia="黑体" w:hint="default"/>
                <w:b/>
                <w:bCs/>
                <w:sz w:val="22"/>
                <w:szCs w:val="22"/>
              </w:rPr>
              <w:t>序号</w:t>
            </w:r>
            <w:r>
              <w:rPr>
                <w:rFonts w:ascii="黑体" w:hAnsi="黑体" w:cs="黑体" w:eastAsia="黑体" w:hint="default"/>
                <w:sz w:val="22"/>
                <w:szCs w:val="22"/>
              </w:rPr>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right="0"/>
              <w:jc w:val="center"/>
              <w:rPr>
                <w:rFonts w:ascii="黑体" w:hAnsi="黑体" w:cs="黑体" w:eastAsia="黑体" w:hint="default"/>
                <w:sz w:val="22"/>
                <w:szCs w:val="22"/>
              </w:rPr>
            </w:pPr>
            <w:r>
              <w:rPr>
                <w:rFonts w:ascii="黑体" w:hAnsi="黑体" w:cs="黑体" w:eastAsia="黑体" w:hint="default"/>
                <w:b/>
                <w:bCs/>
                <w:sz w:val="22"/>
                <w:szCs w:val="22"/>
              </w:rPr>
              <w:t>系统参数</w:t>
            </w:r>
            <w:r>
              <w:rPr>
                <w:rFonts w:ascii="黑体" w:hAnsi="黑体" w:cs="黑体" w:eastAsia="黑体" w:hint="default"/>
                <w:sz w:val="22"/>
                <w:szCs w:val="22"/>
              </w:rPr>
            </w:r>
          </w:p>
        </w:tc>
        <w:tc>
          <w:tcPr>
            <w:tcW w:w="306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right="0"/>
              <w:jc w:val="center"/>
              <w:rPr>
                <w:rFonts w:ascii="黑体" w:hAnsi="黑体" w:cs="黑体" w:eastAsia="黑体" w:hint="default"/>
                <w:sz w:val="22"/>
                <w:szCs w:val="22"/>
              </w:rPr>
            </w:pPr>
            <w:r>
              <w:rPr>
                <w:rFonts w:ascii="黑体" w:hAnsi="黑体" w:cs="黑体" w:eastAsia="黑体" w:hint="default"/>
                <w:b/>
                <w:bCs/>
                <w:sz w:val="22"/>
                <w:szCs w:val="22"/>
              </w:rPr>
              <w:t>说明</w:t>
            </w:r>
            <w:r>
              <w:rPr>
                <w:rFonts w:ascii="黑体" w:hAnsi="黑体" w:cs="黑体" w:eastAsia="黑体" w:hint="default"/>
                <w:sz w:val="22"/>
                <w:szCs w:val="22"/>
              </w:rPr>
            </w:r>
          </w:p>
        </w:tc>
        <w:tc>
          <w:tcPr>
            <w:tcW w:w="1297"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201" w:right="0"/>
              <w:jc w:val="left"/>
              <w:rPr>
                <w:rFonts w:ascii="黑体" w:hAnsi="黑体" w:cs="黑体" w:eastAsia="黑体" w:hint="default"/>
                <w:sz w:val="22"/>
                <w:szCs w:val="22"/>
              </w:rPr>
            </w:pPr>
            <w:r>
              <w:rPr>
                <w:rFonts w:ascii="黑体" w:hAnsi="黑体" w:cs="黑体" w:eastAsia="黑体" w:hint="default"/>
                <w:b/>
                <w:bCs/>
                <w:sz w:val="22"/>
                <w:szCs w:val="22"/>
              </w:rPr>
              <w:t>当前设置</w:t>
            </w:r>
            <w:r>
              <w:rPr>
                <w:rFonts w:ascii="黑体" w:hAnsi="黑体" w:cs="黑体" w:eastAsia="黑体" w:hint="default"/>
                <w:sz w:val="22"/>
                <w:szCs w:val="22"/>
              </w:rPr>
            </w:r>
          </w:p>
        </w:tc>
        <w:tc>
          <w:tcPr>
            <w:tcW w:w="1874"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270" w:right="0"/>
              <w:jc w:val="left"/>
              <w:rPr>
                <w:rFonts w:ascii="黑体" w:hAnsi="黑体" w:cs="黑体" w:eastAsia="黑体" w:hint="default"/>
                <w:sz w:val="22"/>
                <w:szCs w:val="22"/>
              </w:rPr>
            </w:pPr>
            <w:r>
              <w:rPr>
                <w:rFonts w:ascii="黑体" w:hAnsi="黑体" w:cs="黑体" w:eastAsia="黑体" w:hint="default"/>
                <w:b/>
                <w:bCs/>
                <w:sz w:val="22"/>
                <w:szCs w:val="22"/>
              </w:rPr>
              <w:t>安永建议设置</w:t>
            </w:r>
            <w:r>
              <w:rPr>
                <w:rFonts w:ascii="黑体" w:hAnsi="黑体" w:cs="黑体" w:eastAsia="黑体" w:hint="default"/>
                <w:sz w:val="22"/>
                <w:szCs w:val="22"/>
              </w:rPr>
            </w:r>
          </w:p>
        </w:tc>
      </w:tr>
      <w:tr>
        <w:trPr>
          <w:trHeight w:val="676"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1</w:t>
            </w:r>
            <w:r>
              <w:rPr>
                <w:rFonts w:ascii="Arial"/>
                <w:sz w:val="22"/>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423"/>
              <w:jc w:val="left"/>
              <w:rPr>
                <w:rFonts w:ascii="Arial" w:hAnsi="Arial" w:cs="Arial" w:eastAsia="Arial" w:hint="default"/>
                <w:sz w:val="22"/>
                <w:szCs w:val="22"/>
              </w:rPr>
            </w:pPr>
            <w:r>
              <w:rPr>
                <w:rFonts w:ascii="Arial"/>
                <w:sz w:val="22"/>
              </w:rPr>
              <w:t>Max</w:t>
            </w:r>
            <w:r>
              <w:rPr>
                <w:rFonts w:ascii="Arial"/>
                <w:spacing w:val="-2"/>
                <w:sz w:val="22"/>
              </w:rPr>
              <w:t> </w:t>
            </w:r>
            <w:r>
              <w:rPr>
                <w:rFonts w:ascii="Arial"/>
                <w:sz w:val="22"/>
              </w:rPr>
              <w:t>Password</w:t>
            </w:r>
            <w:r>
              <w:rPr>
                <w:rFonts w:ascii="Arial"/>
                <w:w w:val="99"/>
                <w:sz w:val="22"/>
              </w:rPr>
              <w:t> </w:t>
            </w:r>
            <w:r>
              <w:rPr>
                <w:rFonts w:ascii="Arial"/>
                <w:sz w:val="22"/>
              </w:rPr>
              <w:t>Age</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限制密码最长有效期</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未设置</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Arial" w:hAnsi="Arial" w:cs="Arial" w:eastAsia="Arial" w:hint="default"/>
                <w:sz w:val="22"/>
                <w:szCs w:val="22"/>
              </w:rPr>
              <w:t>90</w:t>
            </w:r>
            <w:r>
              <w:rPr>
                <w:rFonts w:ascii="Arial" w:hAnsi="Arial" w:cs="Arial" w:eastAsia="Arial" w:hint="default"/>
                <w:spacing w:val="-14"/>
                <w:sz w:val="22"/>
                <w:szCs w:val="22"/>
              </w:rPr>
              <w:t> </w:t>
            </w:r>
            <w:r>
              <w:rPr>
                <w:rFonts w:ascii="黑体" w:hAnsi="黑体" w:cs="黑体" w:eastAsia="黑体" w:hint="default"/>
                <w:sz w:val="22"/>
                <w:szCs w:val="22"/>
              </w:rPr>
              <w:t>天</w:t>
            </w:r>
          </w:p>
        </w:tc>
      </w:tr>
      <w:tr>
        <w:trPr>
          <w:trHeight w:val="677"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2</w:t>
            </w:r>
            <w:r>
              <w:rPr>
                <w:rFonts w:ascii="Arial"/>
                <w:sz w:val="22"/>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483"/>
              <w:jc w:val="left"/>
              <w:rPr>
                <w:rFonts w:ascii="Arial" w:hAnsi="Arial" w:cs="Arial" w:eastAsia="Arial" w:hint="default"/>
                <w:sz w:val="22"/>
                <w:szCs w:val="22"/>
              </w:rPr>
            </w:pPr>
            <w:r>
              <w:rPr>
                <w:rFonts w:ascii="Arial"/>
                <w:sz w:val="22"/>
              </w:rPr>
              <w:t>Min</w:t>
            </w:r>
            <w:r>
              <w:rPr>
                <w:rFonts w:ascii="Arial"/>
                <w:spacing w:val="-2"/>
                <w:sz w:val="22"/>
              </w:rPr>
              <w:t> </w:t>
            </w:r>
            <w:r>
              <w:rPr>
                <w:rFonts w:ascii="Arial"/>
                <w:sz w:val="22"/>
              </w:rPr>
              <w:t>Password</w:t>
            </w:r>
            <w:r>
              <w:rPr>
                <w:rFonts w:ascii="Arial"/>
                <w:w w:val="99"/>
                <w:sz w:val="22"/>
              </w:rPr>
              <w:t> </w:t>
            </w:r>
            <w:r>
              <w:rPr>
                <w:rFonts w:ascii="Arial"/>
                <w:sz w:val="22"/>
              </w:rPr>
              <w:t>Length</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最短密码长度</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未设置</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Arial" w:hAnsi="Arial" w:cs="Arial" w:eastAsia="Arial" w:hint="default"/>
                <w:sz w:val="22"/>
                <w:szCs w:val="22"/>
              </w:rPr>
              <w:t>6</w:t>
            </w:r>
            <w:r>
              <w:rPr>
                <w:rFonts w:ascii="Arial" w:hAnsi="Arial" w:cs="Arial" w:eastAsia="Arial" w:hint="default"/>
                <w:spacing w:val="-14"/>
                <w:sz w:val="22"/>
                <w:szCs w:val="22"/>
              </w:rPr>
              <w:t> </w:t>
            </w:r>
            <w:r>
              <w:rPr>
                <w:rFonts w:ascii="黑体" w:hAnsi="黑体" w:cs="黑体" w:eastAsia="黑体" w:hint="default"/>
                <w:sz w:val="22"/>
                <w:szCs w:val="22"/>
              </w:rPr>
              <w:t>位</w:t>
            </w:r>
          </w:p>
        </w:tc>
      </w:tr>
      <w:tr>
        <w:trPr>
          <w:trHeight w:val="676"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3</w:t>
            </w:r>
            <w:r>
              <w:rPr>
                <w:rFonts w:ascii="Arial"/>
                <w:sz w:val="22"/>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777"/>
              <w:jc w:val="left"/>
              <w:rPr>
                <w:rFonts w:ascii="Arial" w:hAnsi="Arial" w:cs="Arial" w:eastAsia="Arial" w:hint="default"/>
                <w:sz w:val="22"/>
                <w:szCs w:val="22"/>
              </w:rPr>
            </w:pPr>
            <w:r>
              <w:rPr>
                <w:rFonts w:ascii="Arial"/>
                <w:sz w:val="22"/>
              </w:rPr>
              <w:t>Password</w:t>
            </w:r>
            <w:r>
              <w:rPr>
                <w:rFonts w:ascii="Arial"/>
                <w:w w:val="99"/>
                <w:sz w:val="22"/>
              </w:rPr>
              <w:t> </w:t>
            </w:r>
            <w:r>
              <w:rPr>
                <w:rFonts w:ascii="Arial"/>
                <w:sz w:val="22"/>
              </w:rPr>
              <w:t>Complexity</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103" w:right="0"/>
              <w:jc w:val="left"/>
              <w:rPr>
                <w:rFonts w:ascii="黑体" w:hAnsi="黑体" w:cs="黑体" w:eastAsia="黑体" w:hint="default"/>
                <w:sz w:val="22"/>
                <w:szCs w:val="22"/>
              </w:rPr>
            </w:pPr>
            <w:r>
              <w:rPr>
                <w:rFonts w:ascii="黑体" w:hAnsi="黑体" w:cs="黑体" w:eastAsia="黑体" w:hint="default"/>
                <w:sz w:val="22"/>
                <w:szCs w:val="22"/>
              </w:rPr>
              <w:t>密码负责程度</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103" w:right="0"/>
              <w:jc w:val="left"/>
              <w:rPr>
                <w:rFonts w:ascii="黑体" w:hAnsi="黑体" w:cs="黑体" w:eastAsia="黑体" w:hint="default"/>
                <w:sz w:val="22"/>
                <w:szCs w:val="22"/>
              </w:rPr>
            </w:pPr>
            <w:r>
              <w:rPr>
                <w:rFonts w:ascii="黑体" w:hAnsi="黑体" w:cs="黑体" w:eastAsia="黑体" w:hint="default"/>
                <w:sz w:val="22"/>
                <w:szCs w:val="22"/>
              </w:rPr>
              <w:t>未设置</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84" w:lineRule="exact" w:before="40"/>
              <w:ind w:left="103" w:right="220"/>
              <w:jc w:val="left"/>
              <w:rPr>
                <w:rFonts w:ascii="黑体" w:hAnsi="黑体" w:cs="黑体" w:eastAsia="黑体" w:hint="default"/>
                <w:sz w:val="22"/>
                <w:szCs w:val="22"/>
              </w:rPr>
            </w:pPr>
            <w:r>
              <w:rPr>
                <w:rFonts w:ascii="黑体" w:hAnsi="黑体" w:cs="黑体" w:eastAsia="黑体" w:hint="default"/>
                <w:sz w:val="22"/>
                <w:szCs w:val="22"/>
              </w:rPr>
              <w:t>包含数字及字</w:t>
            </w:r>
            <w:r>
              <w:rPr>
                <w:rFonts w:ascii="黑体" w:hAnsi="黑体" w:cs="黑体" w:eastAsia="黑体" w:hint="default"/>
                <w:w w:val="99"/>
                <w:sz w:val="22"/>
                <w:szCs w:val="22"/>
              </w:rPr>
              <w:t> </w:t>
            </w:r>
            <w:r>
              <w:rPr>
                <w:rFonts w:ascii="黑体" w:hAnsi="黑体" w:cs="黑体" w:eastAsia="黑体" w:hint="default"/>
                <w:sz w:val="22"/>
                <w:szCs w:val="22"/>
              </w:rPr>
              <w:t>母，不包括单词</w:t>
            </w:r>
          </w:p>
        </w:tc>
      </w:tr>
      <w:tr>
        <w:trPr>
          <w:trHeight w:val="538"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4</w:t>
            </w:r>
            <w:r>
              <w:rPr>
                <w:rFonts w:ascii="Arial"/>
                <w:sz w:val="22"/>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6"/>
              <w:ind w:right="1"/>
              <w:jc w:val="center"/>
              <w:rPr>
                <w:rFonts w:ascii="Arial" w:hAnsi="Arial" w:cs="Arial" w:eastAsia="Arial" w:hint="default"/>
                <w:sz w:val="22"/>
                <w:szCs w:val="22"/>
              </w:rPr>
            </w:pPr>
            <w:r>
              <w:rPr>
                <w:rFonts w:ascii="Arial"/>
                <w:sz w:val="22"/>
              </w:rPr>
              <w:t>Password</w:t>
            </w:r>
            <w:r>
              <w:rPr>
                <w:rFonts w:ascii="Arial"/>
                <w:spacing w:val="-3"/>
                <w:sz w:val="22"/>
              </w:rPr>
              <w:t> </w:t>
            </w:r>
            <w:r>
              <w:rPr>
                <w:rFonts w:ascii="Arial"/>
                <w:sz w:val="22"/>
              </w:rPr>
              <w:t>History</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强制密码历史</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未设置</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Arial" w:hAnsi="Arial" w:cs="Arial" w:eastAsia="Arial" w:hint="default"/>
                <w:sz w:val="22"/>
                <w:szCs w:val="22"/>
              </w:rPr>
              <w:t>4</w:t>
            </w:r>
            <w:r>
              <w:rPr>
                <w:rFonts w:ascii="Arial" w:hAnsi="Arial" w:cs="Arial" w:eastAsia="Arial" w:hint="default"/>
                <w:spacing w:val="-17"/>
                <w:sz w:val="22"/>
                <w:szCs w:val="22"/>
              </w:rPr>
              <w:t> </w:t>
            </w:r>
            <w:r>
              <w:rPr>
                <w:rFonts w:ascii="黑体" w:hAnsi="黑体" w:cs="黑体" w:eastAsia="黑体" w:hint="default"/>
                <w:sz w:val="22"/>
                <w:szCs w:val="22"/>
              </w:rPr>
              <w:t>个记住的密码</w:t>
            </w:r>
          </w:p>
        </w:tc>
      </w:tr>
    </w:tbl>
    <w:p>
      <w:pPr>
        <w:spacing w:line="240" w:lineRule="auto" w:before="0"/>
        <w:rPr>
          <w:rFonts w:ascii="Arial" w:hAnsi="Arial" w:cs="Arial" w:eastAsia="Arial" w:hint="default"/>
          <w:b/>
          <w:bCs/>
          <w:i/>
          <w:sz w:val="20"/>
          <w:szCs w:val="20"/>
        </w:rPr>
      </w:pPr>
    </w:p>
    <w:p>
      <w:pPr>
        <w:spacing w:line="240" w:lineRule="auto" w:before="2"/>
        <w:rPr>
          <w:rFonts w:ascii="Arial" w:hAnsi="Arial" w:cs="Arial" w:eastAsia="Arial" w:hint="default"/>
          <w:b/>
          <w:bCs/>
          <w:i/>
          <w:sz w:val="16"/>
          <w:szCs w:val="16"/>
        </w:rPr>
      </w:pPr>
    </w:p>
    <w:p>
      <w:pPr>
        <w:spacing w:before="31"/>
        <w:ind w:left="220" w:right="0" w:firstLine="0"/>
        <w:jc w:val="left"/>
        <w:rPr>
          <w:rFonts w:ascii="Arial" w:hAnsi="Arial" w:cs="Arial" w:eastAsia="Arial" w:hint="default"/>
          <w:sz w:val="22"/>
          <w:szCs w:val="22"/>
        </w:rPr>
      </w:pPr>
      <w:r>
        <w:rPr>
          <w:rFonts w:ascii="Arial" w:hAnsi="Arial" w:cs="Arial" w:eastAsia="Arial" w:hint="default"/>
          <w:b/>
          <w:bCs/>
          <w:i/>
          <w:sz w:val="22"/>
          <w:szCs w:val="22"/>
        </w:rPr>
        <w:t>PO</w:t>
      </w:r>
      <w:r>
        <w:rPr>
          <w:rFonts w:ascii="Arial" w:hAnsi="Arial" w:cs="Arial" w:eastAsia="Arial" w:hint="default"/>
          <w:b/>
          <w:bCs/>
          <w:i/>
          <w:spacing w:val="-22"/>
          <w:sz w:val="22"/>
          <w:szCs w:val="22"/>
        </w:rPr>
        <w:t> </w:t>
      </w:r>
      <w:r>
        <w:rPr>
          <w:rFonts w:ascii="黑体" w:hAnsi="黑体" w:cs="黑体" w:eastAsia="黑体" w:hint="default"/>
          <w:b/>
          <w:bCs/>
          <w:i/>
          <w:sz w:val="23"/>
          <w:szCs w:val="23"/>
        </w:rPr>
        <w:t>数据库系统</w:t>
      </w:r>
      <w:r>
        <w:rPr>
          <w:rFonts w:ascii="黑体" w:hAnsi="黑体" w:cs="黑体" w:eastAsia="黑体" w:hint="default"/>
          <w:b/>
          <w:bCs/>
          <w:i/>
          <w:spacing w:val="-69"/>
          <w:sz w:val="23"/>
          <w:szCs w:val="23"/>
        </w:rPr>
        <w:t> </w:t>
      </w:r>
      <w:r>
        <w:rPr>
          <w:rFonts w:ascii="Arial" w:hAnsi="Arial" w:cs="Arial" w:eastAsia="Arial" w:hint="default"/>
          <w:b/>
          <w:bCs/>
          <w:i/>
          <w:sz w:val="22"/>
          <w:szCs w:val="22"/>
        </w:rPr>
        <w:t>(SQL</w:t>
      </w:r>
      <w:r>
        <w:rPr>
          <w:rFonts w:ascii="Arial" w:hAnsi="Arial" w:cs="Arial" w:eastAsia="Arial" w:hint="default"/>
          <w:b/>
          <w:bCs/>
          <w:i/>
          <w:spacing w:val="-14"/>
          <w:sz w:val="22"/>
          <w:szCs w:val="22"/>
        </w:rPr>
        <w:t> </w:t>
      </w:r>
      <w:r>
        <w:rPr>
          <w:rFonts w:ascii="Arial" w:hAnsi="Arial" w:cs="Arial" w:eastAsia="Arial" w:hint="default"/>
          <w:b/>
          <w:bCs/>
          <w:i/>
          <w:sz w:val="22"/>
          <w:szCs w:val="22"/>
        </w:rPr>
        <w:t>Server</w:t>
      </w:r>
      <w:r>
        <w:rPr>
          <w:rFonts w:ascii="Arial" w:hAnsi="Arial" w:cs="Arial" w:eastAsia="Arial" w:hint="default"/>
          <w:b/>
          <w:bCs/>
          <w:i/>
          <w:spacing w:val="-15"/>
          <w:sz w:val="22"/>
          <w:szCs w:val="22"/>
        </w:rPr>
        <w:t> </w:t>
      </w:r>
      <w:r>
        <w:rPr>
          <w:rFonts w:ascii="Arial" w:hAnsi="Arial" w:cs="Arial" w:eastAsia="Arial" w:hint="default"/>
          <w:b/>
          <w:bCs/>
          <w:i/>
          <w:sz w:val="22"/>
          <w:szCs w:val="22"/>
        </w:rPr>
        <w:t>2003)</w:t>
      </w:r>
      <w:r>
        <w:rPr>
          <w:rFonts w:ascii="Arial" w:hAnsi="Arial" w:cs="Arial" w:eastAsia="Arial" w:hint="default"/>
          <w:sz w:val="22"/>
          <w:szCs w:val="22"/>
        </w:rPr>
      </w:r>
    </w:p>
    <w:p>
      <w:pPr>
        <w:spacing w:line="240" w:lineRule="auto" w:before="0"/>
        <w:rPr>
          <w:rFonts w:ascii="Arial" w:hAnsi="Arial" w:cs="Arial" w:eastAsia="Arial" w:hint="default"/>
          <w:b/>
          <w:bCs/>
          <w:i/>
          <w:sz w:val="20"/>
          <w:szCs w:val="20"/>
        </w:rPr>
      </w:pPr>
    </w:p>
    <w:p>
      <w:pPr>
        <w:spacing w:line="240" w:lineRule="auto" w:before="0"/>
        <w:rPr>
          <w:rFonts w:ascii="Arial" w:hAnsi="Arial" w:cs="Arial" w:eastAsia="Arial" w:hint="default"/>
          <w:b/>
          <w:bCs/>
          <w:i/>
          <w:sz w:val="20"/>
          <w:szCs w:val="20"/>
        </w:rPr>
      </w:pPr>
    </w:p>
    <w:p>
      <w:pPr>
        <w:spacing w:line="240" w:lineRule="auto" w:before="11"/>
        <w:rPr>
          <w:rFonts w:ascii="Arial" w:hAnsi="Arial" w:cs="Arial" w:eastAsia="Arial" w:hint="default"/>
          <w:b/>
          <w:bCs/>
          <w:i/>
          <w:sz w:val="11"/>
          <w:szCs w:val="11"/>
        </w:rPr>
      </w:pPr>
    </w:p>
    <w:tbl>
      <w:tblPr>
        <w:tblW w:w="0" w:type="auto"/>
        <w:jc w:val="left"/>
        <w:tblInd w:w="107" w:type="dxa"/>
        <w:tblLayout w:type="fixed"/>
        <w:tblCellMar>
          <w:top w:w="0" w:type="dxa"/>
          <w:left w:w="0" w:type="dxa"/>
          <w:bottom w:w="0" w:type="dxa"/>
          <w:right w:w="0" w:type="dxa"/>
        </w:tblCellMar>
        <w:tblLook w:val="01E0"/>
      </w:tblPr>
      <w:tblGrid>
        <w:gridCol w:w="828"/>
        <w:gridCol w:w="1980"/>
        <w:gridCol w:w="3060"/>
        <w:gridCol w:w="1297"/>
        <w:gridCol w:w="1732"/>
      </w:tblGrid>
      <w:tr>
        <w:trPr>
          <w:trHeight w:val="536" w:hRule="exact"/>
        </w:trPr>
        <w:tc>
          <w:tcPr>
            <w:tcW w:w="828"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188" w:right="0"/>
              <w:jc w:val="left"/>
              <w:rPr>
                <w:rFonts w:ascii="黑体" w:hAnsi="黑体" w:cs="黑体" w:eastAsia="黑体" w:hint="default"/>
                <w:sz w:val="22"/>
                <w:szCs w:val="22"/>
              </w:rPr>
            </w:pPr>
            <w:r>
              <w:rPr>
                <w:rFonts w:ascii="黑体" w:hAnsi="黑体" w:cs="黑体" w:eastAsia="黑体" w:hint="default"/>
                <w:b/>
                <w:bCs/>
                <w:sz w:val="22"/>
                <w:szCs w:val="22"/>
              </w:rPr>
              <w:t>序号</w:t>
            </w:r>
            <w:r>
              <w:rPr>
                <w:rFonts w:ascii="黑体" w:hAnsi="黑体" w:cs="黑体" w:eastAsia="黑体" w:hint="default"/>
                <w:sz w:val="22"/>
                <w:szCs w:val="22"/>
              </w:rPr>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543" w:right="0"/>
              <w:jc w:val="left"/>
              <w:rPr>
                <w:rFonts w:ascii="黑体" w:hAnsi="黑体" w:cs="黑体" w:eastAsia="黑体" w:hint="default"/>
                <w:sz w:val="22"/>
                <w:szCs w:val="22"/>
              </w:rPr>
            </w:pPr>
            <w:r>
              <w:rPr>
                <w:rFonts w:ascii="黑体" w:hAnsi="黑体" w:cs="黑体" w:eastAsia="黑体" w:hint="default"/>
                <w:b/>
                <w:bCs/>
                <w:sz w:val="22"/>
                <w:szCs w:val="22"/>
              </w:rPr>
              <w:t>系统参数</w:t>
            </w:r>
            <w:r>
              <w:rPr>
                <w:rFonts w:ascii="黑体" w:hAnsi="黑体" w:cs="黑体" w:eastAsia="黑体" w:hint="default"/>
                <w:sz w:val="22"/>
                <w:szCs w:val="22"/>
              </w:rPr>
            </w:r>
          </w:p>
        </w:tc>
        <w:tc>
          <w:tcPr>
            <w:tcW w:w="306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right="0"/>
              <w:jc w:val="center"/>
              <w:rPr>
                <w:rFonts w:ascii="黑体" w:hAnsi="黑体" w:cs="黑体" w:eastAsia="黑体" w:hint="default"/>
                <w:sz w:val="22"/>
                <w:szCs w:val="22"/>
              </w:rPr>
            </w:pPr>
            <w:r>
              <w:rPr>
                <w:rFonts w:ascii="黑体" w:hAnsi="黑体" w:cs="黑体" w:eastAsia="黑体" w:hint="default"/>
                <w:b/>
                <w:bCs/>
                <w:sz w:val="22"/>
                <w:szCs w:val="22"/>
              </w:rPr>
              <w:t>说明</w:t>
            </w:r>
            <w:r>
              <w:rPr>
                <w:rFonts w:ascii="黑体" w:hAnsi="黑体" w:cs="黑体" w:eastAsia="黑体" w:hint="default"/>
                <w:sz w:val="22"/>
                <w:szCs w:val="22"/>
              </w:rPr>
            </w:r>
          </w:p>
        </w:tc>
        <w:tc>
          <w:tcPr>
            <w:tcW w:w="1297"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201" w:right="0"/>
              <w:jc w:val="left"/>
              <w:rPr>
                <w:rFonts w:ascii="黑体" w:hAnsi="黑体" w:cs="黑体" w:eastAsia="黑体" w:hint="default"/>
                <w:sz w:val="22"/>
                <w:szCs w:val="22"/>
              </w:rPr>
            </w:pPr>
            <w:r>
              <w:rPr>
                <w:rFonts w:ascii="黑体" w:hAnsi="黑体" w:cs="黑体" w:eastAsia="黑体" w:hint="default"/>
                <w:b/>
                <w:bCs/>
                <w:sz w:val="22"/>
                <w:szCs w:val="22"/>
              </w:rPr>
              <w:t>当前设置</w:t>
            </w:r>
            <w:r>
              <w:rPr>
                <w:rFonts w:ascii="黑体" w:hAnsi="黑体" w:cs="黑体" w:eastAsia="黑体" w:hint="default"/>
                <w:sz w:val="22"/>
                <w:szCs w:val="22"/>
              </w:rPr>
            </w:r>
          </w:p>
        </w:tc>
        <w:tc>
          <w:tcPr>
            <w:tcW w:w="1732"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8"/>
              <w:ind w:right="0"/>
              <w:jc w:val="left"/>
              <w:rPr>
                <w:rFonts w:ascii="Arial" w:hAnsi="Arial" w:cs="Arial" w:eastAsia="Arial" w:hint="default"/>
                <w:b/>
                <w:bCs/>
                <w:i/>
                <w:sz w:val="17"/>
                <w:szCs w:val="17"/>
              </w:rPr>
            </w:pPr>
          </w:p>
          <w:p>
            <w:pPr>
              <w:pStyle w:val="TableParagraph"/>
              <w:spacing w:line="240" w:lineRule="auto"/>
              <w:ind w:left="197" w:right="0"/>
              <w:jc w:val="left"/>
              <w:rPr>
                <w:rFonts w:ascii="黑体" w:hAnsi="黑体" w:cs="黑体" w:eastAsia="黑体" w:hint="default"/>
                <w:sz w:val="22"/>
                <w:szCs w:val="22"/>
              </w:rPr>
            </w:pPr>
            <w:r>
              <w:rPr>
                <w:rFonts w:ascii="黑体" w:hAnsi="黑体" w:cs="黑体" w:eastAsia="黑体" w:hint="default"/>
                <w:b/>
                <w:bCs/>
                <w:sz w:val="22"/>
                <w:szCs w:val="22"/>
              </w:rPr>
              <w:t>安永建议设置</w:t>
            </w:r>
            <w:r>
              <w:rPr>
                <w:rFonts w:ascii="黑体" w:hAnsi="黑体" w:cs="黑体" w:eastAsia="黑体" w:hint="default"/>
                <w:sz w:val="22"/>
                <w:szCs w:val="22"/>
              </w:rPr>
            </w:r>
          </w:p>
        </w:tc>
      </w:tr>
      <w:tr>
        <w:trPr>
          <w:trHeight w:val="459"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1</w:t>
            </w:r>
            <w:r>
              <w:rPr>
                <w:rFonts w:ascii="Arial"/>
                <w:sz w:val="22"/>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sz w:val="22"/>
              </w:rPr>
              <w:t>C2 Audit</w:t>
            </w:r>
            <w:r>
              <w:rPr>
                <w:rFonts w:ascii="Arial"/>
                <w:spacing w:val="-3"/>
                <w:sz w:val="22"/>
              </w:rPr>
              <w:t> </w:t>
            </w:r>
            <w:r>
              <w:rPr>
                <w:rFonts w:ascii="Arial"/>
                <w:sz w:val="22"/>
              </w:rPr>
              <w:t>Function</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Arial" w:hAnsi="Arial" w:cs="Arial" w:eastAsia="Arial" w:hint="default"/>
                <w:sz w:val="22"/>
                <w:szCs w:val="22"/>
              </w:rPr>
              <w:t>C2</w:t>
            </w:r>
            <w:r>
              <w:rPr>
                <w:rFonts w:ascii="Arial" w:hAnsi="Arial" w:cs="Arial" w:eastAsia="Arial" w:hint="default"/>
                <w:spacing w:val="-3"/>
                <w:sz w:val="22"/>
                <w:szCs w:val="22"/>
              </w:rPr>
              <w:t> </w:t>
            </w:r>
            <w:r>
              <w:rPr>
                <w:rFonts w:ascii="黑体" w:hAnsi="黑体" w:cs="黑体" w:eastAsia="黑体" w:hint="default"/>
                <w:sz w:val="22"/>
                <w:szCs w:val="22"/>
              </w:rPr>
              <w:t>审计职能</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未启用</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启用</w:t>
            </w:r>
          </w:p>
        </w:tc>
      </w:tr>
      <w:tr>
        <w:trPr>
          <w:trHeight w:val="740"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2</w:t>
            </w:r>
            <w:r>
              <w:rPr>
                <w:rFonts w:ascii="Arial"/>
                <w:sz w:val="22"/>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sz w:val="22"/>
              </w:rPr>
              <w:t>sysadmin</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86" w:lineRule="exact" w:before="112"/>
              <w:ind w:left="103" w:right="169"/>
              <w:jc w:val="left"/>
              <w:rPr>
                <w:rFonts w:ascii="Arial" w:hAnsi="Arial" w:cs="Arial" w:eastAsia="Arial" w:hint="default"/>
                <w:sz w:val="22"/>
                <w:szCs w:val="22"/>
              </w:rPr>
            </w:pPr>
            <w:r>
              <w:rPr>
                <w:rFonts w:ascii="Arial" w:hAnsi="Arial" w:cs="Arial" w:eastAsia="Arial" w:hint="default"/>
                <w:sz w:val="22"/>
                <w:szCs w:val="22"/>
              </w:rPr>
              <w:t>‘BULTINA\Administrators’</w:t>
            </w:r>
            <w:r>
              <w:rPr>
                <w:rFonts w:ascii="Arial" w:hAnsi="Arial" w:cs="Arial" w:eastAsia="Arial" w:hint="default"/>
                <w:spacing w:val="-2"/>
                <w:sz w:val="22"/>
                <w:szCs w:val="22"/>
              </w:rPr>
              <w:t> </w:t>
            </w:r>
            <w:r>
              <w:rPr>
                <w:rFonts w:ascii="黑体" w:hAnsi="黑体" w:cs="黑体" w:eastAsia="黑体" w:hint="default"/>
                <w:sz w:val="22"/>
                <w:szCs w:val="22"/>
              </w:rPr>
              <w:t>组</w:t>
            </w:r>
            <w:r>
              <w:rPr>
                <w:rFonts w:ascii="黑体" w:hAnsi="黑体" w:cs="黑体" w:eastAsia="黑体" w:hint="default"/>
                <w:w w:val="99"/>
                <w:sz w:val="22"/>
                <w:szCs w:val="22"/>
              </w:rPr>
              <w:t> </w:t>
            </w:r>
            <w:r>
              <w:rPr>
                <w:rFonts w:ascii="黑体" w:hAnsi="黑体" w:cs="黑体" w:eastAsia="黑体" w:hint="default"/>
                <w:sz w:val="22"/>
                <w:szCs w:val="22"/>
              </w:rPr>
              <w:t>中是否存在角色</w:t>
            </w:r>
            <w:r>
              <w:rPr>
                <w:rFonts w:ascii="Arial" w:hAnsi="Arial" w:cs="Arial" w:eastAsia="Arial" w:hint="default"/>
                <w:sz w:val="22"/>
                <w:szCs w:val="22"/>
              </w:rPr>
              <w:t>‘sysadmin’</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存在</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从该组中删除</w:t>
            </w:r>
          </w:p>
        </w:tc>
      </w:tr>
      <w:tr>
        <w:trPr>
          <w:trHeight w:val="961"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w w:val="99"/>
                <w:sz w:val="22"/>
              </w:rPr>
              <w:t>3</w:t>
            </w:r>
            <w:r>
              <w:rPr>
                <w:rFonts w:ascii="Arial"/>
                <w:sz w:val="22"/>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103" w:right="0"/>
              <w:jc w:val="left"/>
              <w:rPr>
                <w:rFonts w:ascii="Arial" w:hAnsi="Arial" w:cs="Arial" w:eastAsia="Arial" w:hint="default"/>
                <w:sz w:val="22"/>
                <w:szCs w:val="22"/>
              </w:rPr>
            </w:pPr>
            <w:r>
              <w:rPr>
                <w:rFonts w:ascii="Arial"/>
                <w:sz w:val="22"/>
              </w:rPr>
              <w:t>Authentication</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身份验证</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before="117"/>
              <w:ind w:left="103" w:right="0"/>
              <w:jc w:val="left"/>
              <w:rPr>
                <w:rFonts w:ascii="Arial" w:hAnsi="Arial" w:cs="Arial" w:eastAsia="Arial" w:hint="default"/>
                <w:sz w:val="22"/>
                <w:szCs w:val="22"/>
              </w:rPr>
            </w:pPr>
            <w:r>
              <w:rPr>
                <w:rFonts w:ascii="Arial"/>
                <w:sz w:val="22"/>
              </w:rPr>
              <w:t>SQL</w:t>
            </w:r>
          </w:p>
          <w:p>
            <w:pPr>
              <w:pStyle w:val="TableParagraph"/>
              <w:spacing w:line="287" w:lineRule="exact"/>
              <w:ind w:left="103" w:right="0"/>
              <w:jc w:val="left"/>
              <w:rPr>
                <w:rFonts w:ascii="黑体" w:hAnsi="黑体" w:cs="黑体" w:eastAsia="黑体" w:hint="default"/>
                <w:sz w:val="22"/>
                <w:szCs w:val="22"/>
              </w:rPr>
            </w:pPr>
            <w:r>
              <w:rPr>
                <w:rFonts w:ascii="Arial" w:hAnsi="Arial" w:cs="Arial" w:eastAsia="Arial" w:hint="default"/>
                <w:sz w:val="22"/>
                <w:szCs w:val="22"/>
              </w:rPr>
              <w:t>Server</w:t>
            </w:r>
            <w:r>
              <w:rPr>
                <w:rFonts w:ascii="Arial" w:hAnsi="Arial" w:cs="Arial" w:eastAsia="Arial" w:hint="default"/>
                <w:spacing w:val="-15"/>
                <w:sz w:val="22"/>
                <w:szCs w:val="22"/>
              </w:rPr>
              <w:t> </w:t>
            </w:r>
            <w:r>
              <w:rPr>
                <w:rFonts w:ascii="黑体" w:hAnsi="黑体" w:cs="黑体" w:eastAsia="黑体" w:hint="default"/>
                <w:sz w:val="22"/>
                <w:szCs w:val="22"/>
              </w:rPr>
              <w:t>和</w:t>
            </w:r>
          </w:p>
          <w:p>
            <w:pPr>
              <w:pStyle w:val="TableParagraph"/>
              <w:spacing w:line="240" w:lineRule="auto" w:before="17"/>
              <w:ind w:left="103" w:right="0"/>
              <w:jc w:val="left"/>
              <w:rPr>
                <w:rFonts w:ascii="Arial" w:hAnsi="Arial" w:cs="Arial" w:eastAsia="Arial" w:hint="default"/>
                <w:sz w:val="22"/>
                <w:szCs w:val="22"/>
              </w:rPr>
            </w:pPr>
            <w:r>
              <w:rPr>
                <w:rFonts w:ascii="Arial"/>
                <w:sz w:val="22"/>
              </w:rPr>
              <w:t>Windows</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Arial" w:hAnsi="Arial" w:cs="Arial" w:eastAsia="Arial" w:hint="default"/>
                <w:sz w:val="22"/>
                <w:szCs w:val="22"/>
              </w:rPr>
            </w:pPr>
            <w:r>
              <w:rPr>
                <w:rFonts w:ascii="黑体" w:hAnsi="黑体" w:cs="黑体" w:eastAsia="黑体" w:hint="default"/>
                <w:sz w:val="22"/>
                <w:szCs w:val="22"/>
              </w:rPr>
              <w:t>仅</w:t>
            </w:r>
            <w:r>
              <w:rPr>
                <w:rFonts w:ascii="黑体" w:hAnsi="黑体" w:cs="黑体" w:eastAsia="黑体" w:hint="default"/>
                <w:spacing w:val="-58"/>
                <w:sz w:val="22"/>
                <w:szCs w:val="22"/>
              </w:rPr>
              <w:t> </w:t>
            </w:r>
            <w:r>
              <w:rPr>
                <w:rFonts w:ascii="Arial" w:hAnsi="Arial" w:cs="Arial" w:eastAsia="Arial" w:hint="default"/>
                <w:sz w:val="22"/>
                <w:szCs w:val="22"/>
              </w:rPr>
              <w:t>Windows</w:t>
            </w:r>
          </w:p>
        </w:tc>
      </w:tr>
    </w:tbl>
    <w:p>
      <w:pPr>
        <w:spacing w:after="0" w:line="240" w:lineRule="auto"/>
        <w:jc w:val="left"/>
        <w:rPr>
          <w:rFonts w:ascii="Arial" w:hAnsi="Arial" w:cs="Arial" w:eastAsia="Arial" w:hint="default"/>
          <w:sz w:val="22"/>
          <w:szCs w:val="22"/>
        </w:rPr>
        <w:sectPr>
          <w:headerReference w:type="default" r:id="rId143"/>
          <w:pgSz w:w="12240" w:h="15840"/>
          <w:pgMar w:header="1701" w:footer="755" w:top="2020" w:bottom="940" w:left="1580" w:right="1380"/>
        </w:sectPr>
      </w:pPr>
    </w:p>
    <w:p>
      <w:pPr>
        <w:pStyle w:val="Heading8"/>
        <w:spacing w:line="240" w:lineRule="auto" w:before="12"/>
        <w:ind w:left="120" w:right="0"/>
        <w:jc w:val="left"/>
        <w:rPr>
          <w:b w:val="0"/>
          <w:bCs w:val="0"/>
          <w:i w:val="0"/>
        </w:rPr>
      </w:pPr>
      <w:bookmarkStart w:name="_bookmark25" w:id="47"/>
      <w:bookmarkEnd w:id="47"/>
      <w:r>
        <w:rPr>
          <w:b w:val="0"/>
          <w:bCs w:val="0"/>
          <w:i w:val="0"/>
        </w:rPr>
      </w:r>
      <w:r>
        <w:rPr/>
        <w:t>附件二：分子公司系统安全参数设置</w:t>
      </w:r>
      <w:r>
        <w:rPr>
          <w:b w:val="0"/>
          <w:bCs w:val="0"/>
          <w:i w:val="0"/>
        </w:rPr>
      </w:r>
    </w:p>
    <w:p>
      <w:pPr>
        <w:spacing w:line="240" w:lineRule="auto" w:before="0"/>
        <w:rPr>
          <w:rFonts w:ascii="黑体" w:hAnsi="黑体" w:cs="黑体" w:eastAsia="黑体" w:hint="default"/>
          <w:b/>
          <w:bCs/>
          <w:i/>
          <w:sz w:val="22"/>
          <w:szCs w:val="22"/>
        </w:rPr>
      </w:pPr>
    </w:p>
    <w:p>
      <w:pPr>
        <w:spacing w:line="240" w:lineRule="auto" w:before="11"/>
        <w:rPr>
          <w:rFonts w:ascii="黑体" w:hAnsi="黑体" w:cs="黑体" w:eastAsia="黑体" w:hint="default"/>
          <w:b/>
          <w:bCs/>
          <w:i/>
          <w:sz w:val="20"/>
          <w:szCs w:val="20"/>
        </w:rPr>
      </w:pPr>
    </w:p>
    <w:p>
      <w:pPr>
        <w:spacing w:before="0"/>
        <w:ind w:left="120" w:right="0" w:firstLine="0"/>
        <w:jc w:val="left"/>
        <w:rPr>
          <w:rFonts w:ascii="Arial" w:hAnsi="Arial" w:cs="Arial" w:eastAsia="Arial" w:hint="default"/>
          <w:sz w:val="22"/>
          <w:szCs w:val="22"/>
        </w:rPr>
      </w:pPr>
      <w:r>
        <w:rPr>
          <w:rFonts w:ascii="Arial" w:hAnsi="Arial" w:cs="Arial" w:eastAsia="Arial" w:hint="default"/>
          <w:b/>
          <w:bCs/>
          <w:i/>
          <w:sz w:val="22"/>
          <w:szCs w:val="22"/>
        </w:rPr>
        <w:t>U8</w:t>
      </w:r>
      <w:r>
        <w:rPr>
          <w:rFonts w:ascii="Arial" w:hAnsi="Arial" w:cs="Arial" w:eastAsia="Arial" w:hint="default"/>
          <w:b/>
          <w:bCs/>
          <w:i/>
          <w:spacing w:val="-38"/>
          <w:sz w:val="22"/>
          <w:szCs w:val="22"/>
        </w:rPr>
        <w:t> </w:t>
      </w:r>
      <w:r>
        <w:rPr>
          <w:rFonts w:ascii="黑体" w:hAnsi="黑体" w:cs="黑体" w:eastAsia="黑体" w:hint="default"/>
          <w:b/>
          <w:bCs/>
          <w:i/>
          <w:sz w:val="23"/>
          <w:szCs w:val="23"/>
        </w:rPr>
        <w:t>系统服务器操作系统</w:t>
      </w:r>
      <w:r>
        <w:rPr>
          <w:rFonts w:ascii="黑体" w:hAnsi="黑体" w:cs="黑体" w:eastAsia="黑体" w:hint="default"/>
          <w:b/>
          <w:bCs/>
          <w:i/>
          <w:spacing w:val="-89"/>
          <w:sz w:val="23"/>
          <w:szCs w:val="23"/>
        </w:rPr>
        <w:t> </w:t>
      </w:r>
      <w:r>
        <w:rPr>
          <w:rFonts w:ascii="Arial" w:hAnsi="Arial" w:cs="Arial" w:eastAsia="Arial" w:hint="default"/>
          <w:b/>
          <w:bCs/>
          <w:i/>
          <w:sz w:val="22"/>
          <w:szCs w:val="22"/>
        </w:rPr>
        <w:t>(Windows</w:t>
      </w:r>
      <w:r>
        <w:rPr>
          <w:rFonts w:ascii="Arial" w:hAnsi="Arial" w:cs="Arial" w:eastAsia="Arial" w:hint="default"/>
          <w:b/>
          <w:bCs/>
          <w:i/>
          <w:spacing w:val="-35"/>
          <w:sz w:val="22"/>
          <w:szCs w:val="22"/>
        </w:rPr>
        <w:t> </w:t>
      </w:r>
      <w:r>
        <w:rPr>
          <w:rFonts w:ascii="Arial" w:hAnsi="Arial" w:cs="Arial" w:eastAsia="Arial" w:hint="default"/>
          <w:b/>
          <w:bCs/>
          <w:i/>
          <w:sz w:val="22"/>
          <w:szCs w:val="22"/>
        </w:rPr>
        <w:t>2000)</w:t>
      </w:r>
      <w:r>
        <w:rPr>
          <w:rFonts w:ascii="Arial" w:hAnsi="Arial" w:cs="Arial" w:eastAsia="Arial" w:hint="default"/>
          <w:sz w:val="22"/>
          <w:szCs w:val="22"/>
        </w:rPr>
      </w:r>
    </w:p>
    <w:p>
      <w:pPr>
        <w:spacing w:line="240" w:lineRule="auto" w:before="9"/>
        <w:rPr>
          <w:rFonts w:ascii="Arial" w:hAnsi="Arial" w:cs="Arial" w:eastAsia="Arial" w:hint="default"/>
          <w:b/>
          <w:bCs/>
          <w:i/>
          <w:sz w:val="6"/>
          <w:szCs w:val="6"/>
        </w:rPr>
      </w:pPr>
    </w:p>
    <w:tbl>
      <w:tblPr>
        <w:tblW w:w="0" w:type="auto"/>
        <w:jc w:val="left"/>
        <w:tblInd w:w="110" w:type="dxa"/>
        <w:tblLayout w:type="fixed"/>
        <w:tblCellMar>
          <w:top w:w="0" w:type="dxa"/>
          <w:left w:w="0" w:type="dxa"/>
          <w:bottom w:w="0" w:type="dxa"/>
          <w:right w:w="0" w:type="dxa"/>
        </w:tblCellMar>
        <w:tblLook w:val="01E0"/>
      </w:tblPr>
      <w:tblGrid>
        <w:gridCol w:w="840"/>
        <w:gridCol w:w="2000"/>
        <w:gridCol w:w="2454"/>
        <w:gridCol w:w="1799"/>
        <w:gridCol w:w="1780"/>
      </w:tblGrid>
      <w:tr>
        <w:trPr>
          <w:trHeight w:val="672" w:hRule="exact"/>
        </w:trPr>
        <w:tc>
          <w:tcPr>
            <w:tcW w:w="84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9"/>
              <w:ind w:right="0"/>
              <w:jc w:val="left"/>
              <w:rPr>
                <w:rFonts w:ascii="Arial" w:hAnsi="Arial" w:cs="Arial" w:eastAsia="Arial" w:hint="default"/>
                <w:b/>
                <w:bCs/>
                <w:i/>
                <w:sz w:val="18"/>
                <w:szCs w:val="18"/>
              </w:rPr>
            </w:pPr>
          </w:p>
          <w:p>
            <w:pPr>
              <w:pStyle w:val="TableParagraph"/>
              <w:spacing w:line="240" w:lineRule="auto"/>
              <w:ind w:left="194" w:right="0"/>
              <w:jc w:val="left"/>
              <w:rPr>
                <w:rFonts w:ascii="黑体" w:hAnsi="黑体" w:cs="黑体" w:eastAsia="黑体" w:hint="default"/>
                <w:sz w:val="22"/>
                <w:szCs w:val="22"/>
              </w:rPr>
            </w:pPr>
            <w:r>
              <w:rPr>
                <w:rFonts w:ascii="黑体" w:hAnsi="黑体" w:cs="黑体" w:eastAsia="黑体" w:hint="default"/>
                <w:b/>
                <w:bCs/>
                <w:sz w:val="22"/>
                <w:szCs w:val="22"/>
              </w:rPr>
              <w:t>序号</w:t>
            </w:r>
            <w:r>
              <w:rPr>
                <w:rFonts w:ascii="黑体" w:hAnsi="黑体" w:cs="黑体" w:eastAsia="黑体" w:hint="default"/>
                <w:sz w:val="22"/>
                <w:szCs w:val="22"/>
              </w:rPr>
            </w:r>
          </w:p>
        </w:tc>
        <w:tc>
          <w:tcPr>
            <w:tcW w:w="200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9"/>
              <w:ind w:right="0"/>
              <w:jc w:val="left"/>
              <w:rPr>
                <w:rFonts w:ascii="Arial" w:hAnsi="Arial" w:cs="Arial" w:eastAsia="Arial" w:hint="default"/>
                <w:b/>
                <w:bCs/>
                <w:i/>
                <w:sz w:val="18"/>
                <w:szCs w:val="18"/>
              </w:rPr>
            </w:pPr>
          </w:p>
          <w:p>
            <w:pPr>
              <w:pStyle w:val="TableParagraph"/>
              <w:spacing w:line="240" w:lineRule="auto"/>
              <w:ind w:left="553" w:right="0"/>
              <w:jc w:val="left"/>
              <w:rPr>
                <w:rFonts w:ascii="黑体" w:hAnsi="黑体" w:cs="黑体" w:eastAsia="黑体" w:hint="default"/>
                <w:sz w:val="22"/>
                <w:szCs w:val="22"/>
              </w:rPr>
            </w:pPr>
            <w:r>
              <w:rPr>
                <w:rFonts w:ascii="黑体" w:hAnsi="黑体" w:cs="黑体" w:eastAsia="黑体" w:hint="default"/>
                <w:b/>
                <w:bCs/>
                <w:sz w:val="22"/>
                <w:szCs w:val="22"/>
              </w:rPr>
              <w:t>系统参数</w:t>
            </w:r>
            <w:r>
              <w:rPr>
                <w:rFonts w:ascii="黑体" w:hAnsi="黑体" w:cs="黑体" w:eastAsia="黑体" w:hint="default"/>
                <w:sz w:val="22"/>
                <w:szCs w:val="22"/>
              </w:rPr>
            </w:r>
          </w:p>
        </w:tc>
        <w:tc>
          <w:tcPr>
            <w:tcW w:w="2454"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9"/>
              <w:ind w:right="0"/>
              <w:jc w:val="left"/>
              <w:rPr>
                <w:rFonts w:ascii="Arial" w:hAnsi="Arial" w:cs="Arial" w:eastAsia="Arial" w:hint="default"/>
                <w:b/>
                <w:bCs/>
                <w:i/>
                <w:sz w:val="18"/>
                <w:szCs w:val="18"/>
              </w:rPr>
            </w:pPr>
          </w:p>
          <w:p>
            <w:pPr>
              <w:pStyle w:val="TableParagraph"/>
              <w:spacing w:line="240" w:lineRule="auto"/>
              <w:ind w:left="1" w:right="0"/>
              <w:jc w:val="center"/>
              <w:rPr>
                <w:rFonts w:ascii="黑体" w:hAnsi="黑体" w:cs="黑体" w:eastAsia="黑体" w:hint="default"/>
                <w:sz w:val="22"/>
                <w:szCs w:val="22"/>
              </w:rPr>
            </w:pPr>
            <w:r>
              <w:rPr>
                <w:rFonts w:ascii="黑体" w:hAnsi="黑体" w:cs="黑体" w:eastAsia="黑体" w:hint="default"/>
                <w:b/>
                <w:bCs/>
                <w:sz w:val="22"/>
                <w:szCs w:val="22"/>
              </w:rPr>
              <w:t>说明</w:t>
            </w:r>
            <w:r>
              <w:rPr>
                <w:rFonts w:ascii="黑体" w:hAnsi="黑体" w:cs="黑体" w:eastAsia="黑体" w:hint="default"/>
                <w:sz w:val="22"/>
                <w:szCs w:val="22"/>
              </w:rPr>
            </w:r>
          </w:p>
        </w:tc>
        <w:tc>
          <w:tcPr>
            <w:tcW w:w="1799"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9"/>
              <w:ind w:right="0"/>
              <w:jc w:val="left"/>
              <w:rPr>
                <w:rFonts w:ascii="Arial" w:hAnsi="Arial" w:cs="Arial" w:eastAsia="Arial" w:hint="default"/>
                <w:b/>
                <w:bCs/>
                <w:i/>
                <w:sz w:val="18"/>
                <w:szCs w:val="18"/>
              </w:rPr>
            </w:pPr>
          </w:p>
          <w:p>
            <w:pPr>
              <w:pStyle w:val="TableParagraph"/>
              <w:spacing w:line="240" w:lineRule="auto"/>
              <w:ind w:left="452" w:right="0"/>
              <w:jc w:val="left"/>
              <w:rPr>
                <w:rFonts w:ascii="黑体" w:hAnsi="黑体" w:cs="黑体" w:eastAsia="黑体" w:hint="default"/>
                <w:sz w:val="22"/>
                <w:szCs w:val="22"/>
              </w:rPr>
            </w:pPr>
            <w:r>
              <w:rPr>
                <w:rFonts w:ascii="黑体" w:hAnsi="黑体" w:cs="黑体" w:eastAsia="黑体" w:hint="default"/>
                <w:b/>
                <w:bCs/>
                <w:sz w:val="22"/>
                <w:szCs w:val="22"/>
              </w:rPr>
              <w:t>当前设置</w:t>
            </w:r>
            <w:r>
              <w:rPr>
                <w:rFonts w:ascii="黑体" w:hAnsi="黑体" w:cs="黑体" w:eastAsia="黑体" w:hint="default"/>
                <w:sz w:val="22"/>
                <w:szCs w:val="22"/>
              </w:rPr>
            </w:r>
          </w:p>
        </w:tc>
        <w:tc>
          <w:tcPr>
            <w:tcW w:w="178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9"/>
              <w:ind w:right="0"/>
              <w:jc w:val="left"/>
              <w:rPr>
                <w:rFonts w:ascii="Arial" w:hAnsi="Arial" w:cs="Arial" w:eastAsia="Arial" w:hint="default"/>
                <w:b/>
                <w:bCs/>
                <w:i/>
                <w:sz w:val="18"/>
                <w:szCs w:val="18"/>
              </w:rPr>
            </w:pPr>
          </w:p>
          <w:p>
            <w:pPr>
              <w:pStyle w:val="TableParagraph"/>
              <w:spacing w:line="240" w:lineRule="auto"/>
              <w:ind w:left="221" w:right="0"/>
              <w:jc w:val="left"/>
              <w:rPr>
                <w:rFonts w:ascii="黑体" w:hAnsi="黑体" w:cs="黑体" w:eastAsia="黑体" w:hint="default"/>
                <w:sz w:val="22"/>
                <w:szCs w:val="22"/>
              </w:rPr>
            </w:pPr>
            <w:r>
              <w:rPr>
                <w:rFonts w:ascii="黑体" w:hAnsi="黑体" w:cs="黑体" w:eastAsia="黑体" w:hint="default"/>
                <w:b/>
                <w:bCs/>
                <w:sz w:val="22"/>
                <w:szCs w:val="22"/>
              </w:rPr>
              <w:t>安永建议设置</w:t>
            </w:r>
            <w:r>
              <w:rPr>
                <w:rFonts w:ascii="黑体" w:hAnsi="黑体" w:cs="黑体" w:eastAsia="黑体" w:hint="default"/>
                <w:sz w:val="22"/>
                <w:szCs w:val="22"/>
              </w:rPr>
            </w:r>
          </w:p>
        </w:tc>
      </w:tr>
      <w:tr>
        <w:trPr>
          <w:trHeight w:val="581" w:hRule="exact"/>
        </w:trPr>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Arial" w:hAnsi="Arial" w:cs="Arial" w:eastAsia="Arial" w:hint="default"/>
                <w:sz w:val="22"/>
                <w:szCs w:val="22"/>
              </w:rPr>
            </w:pPr>
            <w:r>
              <w:rPr>
                <w:rFonts w:ascii="Arial"/>
                <w:w w:val="99"/>
                <w:sz w:val="22"/>
              </w:rPr>
              <w:t>1</w:t>
            </w:r>
            <w:r>
              <w:rPr>
                <w:rFonts w:ascii="Arial"/>
                <w:sz w:val="22"/>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847"/>
              <w:jc w:val="left"/>
              <w:rPr>
                <w:rFonts w:ascii="Arial" w:hAnsi="Arial" w:cs="Arial" w:eastAsia="Arial" w:hint="default"/>
                <w:sz w:val="22"/>
                <w:szCs w:val="22"/>
              </w:rPr>
            </w:pPr>
            <w:r>
              <w:rPr>
                <w:rFonts w:ascii="Arial"/>
                <w:sz w:val="22"/>
              </w:rPr>
              <w:t>Password</w:t>
            </w:r>
            <w:r>
              <w:rPr>
                <w:rFonts w:ascii="Arial"/>
                <w:w w:val="99"/>
                <w:sz w:val="22"/>
              </w:rPr>
              <w:t> </w:t>
            </w:r>
            <w:r>
              <w:rPr>
                <w:rFonts w:ascii="Arial"/>
                <w:sz w:val="22"/>
              </w:rPr>
              <w:t>complexity</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黑体" w:hAnsi="黑体" w:cs="黑体" w:eastAsia="黑体" w:hint="default"/>
                <w:sz w:val="22"/>
                <w:szCs w:val="22"/>
              </w:rPr>
            </w:pPr>
            <w:r>
              <w:rPr>
                <w:rFonts w:ascii="黑体" w:hAnsi="黑体" w:cs="黑体" w:eastAsia="黑体" w:hint="default"/>
                <w:sz w:val="22"/>
                <w:szCs w:val="22"/>
              </w:rPr>
              <w:t>密码复杂程度</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黑体" w:hAnsi="黑体" w:cs="黑体" w:eastAsia="黑体" w:hint="default"/>
                <w:sz w:val="22"/>
                <w:szCs w:val="22"/>
              </w:rPr>
            </w:pPr>
            <w:r>
              <w:rPr>
                <w:rFonts w:ascii="黑体" w:hAnsi="黑体" w:cs="黑体" w:eastAsia="黑体" w:hint="default"/>
                <w:sz w:val="22"/>
                <w:szCs w:val="22"/>
              </w:rPr>
              <w:t>未启用</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黑体" w:hAnsi="黑体" w:cs="黑体" w:eastAsia="黑体" w:hint="default"/>
                <w:sz w:val="22"/>
                <w:szCs w:val="22"/>
              </w:rPr>
            </w:pPr>
            <w:r>
              <w:rPr>
                <w:rFonts w:ascii="黑体" w:hAnsi="黑体" w:cs="黑体" w:eastAsia="黑体" w:hint="default"/>
                <w:spacing w:val="40"/>
                <w:sz w:val="22"/>
                <w:szCs w:val="22"/>
              </w:rPr>
              <w:t>包含数字及字</w:t>
            </w:r>
            <w:r>
              <w:rPr>
                <w:rFonts w:ascii="黑体" w:hAnsi="黑体" w:cs="黑体" w:eastAsia="黑体" w:hint="default"/>
                <w:spacing w:val="-61"/>
                <w:sz w:val="22"/>
                <w:szCs w:val="22"/>
              </w:rPr>
              <w:t> </w:t>
            </w:r>
            <w:r>
              <w:rPr>
                <w:rFonts w:ascii="黑体" w:hAnsi="黑体" w:cs="黑体" w:eastAsia="黑体" w:hint="default"/>
                <w:sz w:val="22"/>
                <w:szCs w:val="22"/>
              </w:rPr>
            </w:r>
          </w:p>
          <w:p>
            <w:pPr>
              <w:pStyle w:val="TableParagraph"/>
              <w:spacing w:line="287" w:lineRule="exact"/>
              <w:ind w:left="103" w:right="0"/>
              <w:jc w:val="left"/>
              <w:rPr>
                <w:rFonts w:ascii="黑体" w:hAnsi="黑体" w:cs="黑体" w:eastAsia="黑体" w:hint="default"/>
                <w:sz w:val="22"/>
                <w:szCs w:val="22"/>
              </w:rPr>
            </w:pPr>
            <w:r>
              <w:rPr>
                <w:rFonts w:ascii="黑体" w:hAnsi="黑体" w:cs="黑体" w:eastAsia="黑体" w:hint="default"/>
                <w:sz w:val="22"/>
                <w:szCs w:val="22"/>
              </w:rPr>
              <w:t>母，不包括单词</w:t>
            </w:r>
          </w:p>
        </w:tc>
      </w:tr>
      <w:tr>
        <w:trPr>
          <w:trHeight w:val="341" w:hRule="exact"/>
        </w:trPr>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Arial" w:hAnsi="Arial" w:cs="Arial" w:eastAsia="Arial" w:hint="default"/>
                <w:sz w:val="22"/>
                <w:szCs w:val="22"/>
              </w:rPr>
            </w:pPr>
            <w:r>
              <w:rPr>
                <w:rFonts w:ascii="Arial"/>
                <w:w w:val="99"/>
                <w:sz w:val="22"/>
              </w:rPr>
              <w:t>2</w:t>
            </w:r>
            <w:r>
              <w:rPr>
                <w:rFonts w:ascii="Arial"/>
                <w:sz w:val="22"/>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Arial" w:hAnsi="Arial" w:cs="Arial" w:eastAsia="Arial" w:hint="default"/>
                <w:sz w:val="22"/>
                <w:szCs w:val="22"/>
              </w:rPr>
            </w:pPr>
            <w:r>
              <w:rPr>
                <w:rFonts w:ascii="Arial"/>
                <w:sz w:val="22"/>
              </w:rPr>
              <w:t>Password</w:t>
            </w:r>
            <w:r>
              <w:rPr>
                <w:rFonts w:ascii="Arial"/>
                <w:spacing w:val="-3"/>
                <w:sz w:val="22"/>
              </w:rPr>
              <w:t> </w:t>
            </w:r>
            <w:r>
              <w:rPr>
                <w:rFonts w:ascii="Arial"/>
                <w:sz w:val="22"/>
              </w:rPr>
              <w:t>History</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黑体" w:hAnsi="黑体" w:cs="黑体" w:eastAsia="黑体" w:hint="default"/>
                <w:sz w:val="22"/>
                <w:szCs w:val="22"/>
              </w:rPr>
            </w:pPr>
            <w:r>
              <w:rPr>
                <w:rFonts w:ascii="黑体" w:hAnsi="黑体" w:cs="黑体" w:eastAsia="黑体" w:hint="default"/>
                <w:sz w:val="22"/>
                <w:szCs w:val="22"/>
              </w:rPr>
              <w:t>限制密码不可重复次数</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Arial" w:hAnsi="Arial" w:cs="Arial" w:eastAsia="Arial" w:hint="default"/>
                <w:sz w:val="22"/>
                <w:szCs w:val="22"/>
              </w:rPr>
            </w:pPr>
            <w:r>
              <w:rPr>
                <w:rFonts w:ascii="Arial"/>
                <w:w w:val="99"/>
                <w:sz w:val="22"/>
              </w:rPr>
              <w:t>0</w:t>
            </w:r>
            <w:r>
              <w:rPr>
                <w:rFonts w:ascii="Arial"/>
                <w:sz w:val="22"/>
              </w:rPr>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黑体" w:hAnsi="黑体" w:cs="黑体" w:eastAsia="黑体" w:hint="default"/>
                <w:sz w:val="22"/>
                <w:szCs w:val="22"/>
              </w:rPr>
            </w:pPr>
            <w:r>
              <w:rPr>
                <w:rFonts w:ascii="黑体" w:hAnsi="黑体" w:cs="黑体" w:eastAsia="黑体" w:hint="default"/>
                <w:sz w:val="22"/>
                <w:szCs w:val="22"/>
              </w:rPr>
              <w:t>大于或等于</w:t>
            </w:r>
            <w:r>
              <w:rPr>
                <w:rFonts w:ascii="黑体" w:hAnsi="黑体" w:cs="黑体" w:eastAsia="黑体" w:hint="default"/>
                <w:spacing w:val="-56"/>
                <w:sz w:val="22"/>
                <w:szCs w:val="22"/>
              </w:rPr>
              <w:t> </w:t>
            </w:r>
            <w:r>
              <w:rPr>
                <w:rFonts w:ascii="Arial" w:hAnsi="Arial" w:cs="Arial" w:eastAsia="Arial" w:hint="default"/>
                <w:sz w:val="22"/>
                <w:szCs w:val="22"/>
              </w:rPr>
              <w:t>4</w:t>
            </w:r>
            <w:r>
              <w:rPr>
                <w:rFonts w:ascii="Arial" w:hAnsi="Arial" w:cs="Arial" w:eastAsia="Arial" w:hint="default"/>
                <w:spacing w:val="-15"/>
                <w:sz w:val="22"/>
                <w:szCs w:val="22"/>
              </w:rPr>
              <w:t> </w:t>
            </w:r>
            <w:r>
              <w:rPr>
                <w:rFonts w:ascii="黑体" w:hAnsi="黑体" w:cs="黑体" w:eastAsia="黑体" w:hint="default"/>
                <w:sz w:val="22"/>
                <w:szCs w:val="22"/>
              </w:rPr>
              <w:t>次</w:t>
            </w:r>
          </w:p>
        </w:tc>
      </w:tr>
      <w:tr>
        <w:trPr>
          <w:trHeight w:val="515" w:hRule="exact"/>
        </w:trPr>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Arial" w:hAnsi="Arial" w:cs="Arial" w:eastAsia="Arial" w:hint="default"/>
                <w:sz w:val="22"/>
                <w:szCs w:val="22"/>
              </w:rPr>
            </w:pPr>
            <w:r>
              <w:rPr>
                <w:rFonts w:ascii="Arial"/>
                <w:w w:val="99"/>
                <w:sz w:val="22"/>
              </w:rPr>
              <w:t>4</w:t>
            </w:r>
            <w:r>
              <w:rPr>
                <w:rFonts w:ascii="Arial"/>
                <w:sz w:val="22"/>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before="2"/>
              <w:ind w:left="103" w:right="749"/>
              <w:jc w:val="left"/>
              <w:rPr>
                <w:rFonts w:ascii="Arial" w:hAnsi="Arial" w:cs="Arial" w:eastAsia="Arial" w:hint="default"/>
                <w:sz w:val="22"/>
                <w:szCs w:val="22"/>
              </w:rPr>
            </w:pPr>
            <w:r>
              <w:rPr>
                <w:rFonts w:ascii="Arial"/>
                <w:sz w:val="22"/>
              </w:rPr>
              <w:t>Restrict</w:t>
            </w:r>
            <w:r>
              <w:rPr>
                <w:rFonts w:ascii="Arial"/>
                <w:w w:val="99"/>
                <w:sz w:val="22"/>
              </w:rPr>
              <w:t> </w:t>
            </w:r>
            <w:r>
              <w:rPr>
                <w:rFonts w:ascii="Arial"/>
                <w:sz w:val="22"/>
              </w:rPr>
              <w:t>anonymous</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黑体" w:hAnsi="黑体" w:cs="黑体" w:eastAsia="黑体" w:hint="default"/>
                <w:sz w:val="22"/>
                <w:szCs w:val="22"/>
              </w:rPr>
            </w:pPr>
            <w:r>
              <w:rPr>
                <w:rFonts w:ascii="黑体" w:hAnsi="黑体" w:cs="黑体" w:eastAsia="黑体" w:hint="default"/>
                <w:sz w:val="22"/>
                <w:szCs w:val="22"/>
              </w:rPr>
              <w:t>系统是否允许匿名访问</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黑体" w:hAnsi="黑体" w:cs="黑体" w:eastAsia="黑体" w:hint="default"/>
                <w:sz w:val="22"/>
                <w:szCs w:val="22"/>
              </w:rPr>
            </w:pPr>
            <w:r>
              <w:rPr>
                <w:rFonts w:ascii="黑体" w:hAnsi="黑体" w:cs="黑体" w:eastAsia="黑体" w:hint="default"/>
                <w:w w:val="99"/>
                <w:sz w:val="22"/>
                <w:szCs w:val="22"/>
              </w:rPr>
              <w:t>是</w:t>
            </w:r>
            <w:r>
              <w:rPr>
                <w:rFonts w:ascii="黑体" w:hAnsi="黑体" w:cs="黑体" w:eastAsia="黑体" w:hint="default"/>
                <w:sz w:val="22"/>
                <w:szCs w:val="22"/>
              </w:rPr>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黑体" w:hAnsi="黑体" w:cs="黑体" w:eastAsia="黑体" w:hint="default"/>
                <w:sz w:val="22"/>
                <w:szCs w:val="22"/>
              </w:rPr>
            </w:pPr>
            <w:r>
              <w:rPr>
                <w:rFonts w:ascii="黑体" w:hAnsi="黑体" w:cs="黑体" w:eastAsia="黑体" w:hint="default"/>
                <w:w w:val="99"/>
                <w:sz w:val="22"/>
                <w:szCs w:val="22"/>
              </w:rPr>
              <w:t>否</w:t>
            </w:r>
            <w:r>
              <w:rPr>
                <w:rFonts w:ascii="黑体" w:hAnsi="黑体" w:cs="黑体" w:eastAsia="黑体" w:hint="default"/>
                <w:sz w:val="22"/>
                <w:szCs w:val="22"/>
              </w:rPr>
            </w:r>
          </w:p>
        </w:tc>
      </w:tr>
      <w:tr>
        <w:trPr>
          <w:trHeight w:val="341" w:hRule="exact"/>
        </w:trPr>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Arial" w:hAnsi="Arial" w:cs="Arial" w:eastAsia="Arial" w:hint="default"/>
                <w:sz w:val="22"/>
                <w:szCs w:val="22"/>
              </w:rPr>
            </w:pPr>
            <w:r>
              <w:rPr>
                <w:rFonts w:ascii="Arial"/>
                <w:w w:val="99"/>
                <w:sz w:val="22"/>
              </w:rPr>
              <w:t>5</w:t>
            </w:r>
            <w:r>
              <w:rPr>
                <w:rFonts w:ascii="Arial"/>
                <w:sz w:val="22"/>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3" w:right="0"/>
              <w:jc w:val="left"/>
              <w:rPr>
                <w:rFonts w:ascii="Arial" w:hAnsi="Arial" w:cs="Arial" w:eastAsia="Arial" w:hint="default"/>
                <w:sz w:val="22"/>
                <w:szCs w:val="22"/>
              </w:rPr>
            </w:pPr>
            <w:r>
              <w:rPr>
                <w:rFonts w:ascii="Arial"/>
                <w:sz w:val="22"/>
              </w:rPr>
              <w:t>Account Log</w:t>
            </w:r>
            <w:r>
              <w:rPr>
                <w:rFonts w:ascii="Arial"/>
                <w:spacing w:val="-4"/>
                <w:sz w:val="22"/>
              </w:rPr>
              <w:t> </w:t>
            </w:r>
            <w:r>
              <w:rPr>
                <w:rFonts w:ascii="Arial"/>
                <w:sz w:val="22"/>
              </w:rPr>
              <w:t>off</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黑体" w:hAnsi="黑体" w:cs="黑体" w:eastAsia="黑体" w:hint="default"/>
                <w:sz w:val="22"/>
                <w:szCs w:val="22"/>
              </w:rPr>
            </w:pPr>
            <w:r>
              <w:rPr>
                <w:rFonts w:ascii="黑体" w:hAnsi="黑体" w:cs="黑体" w:eastAsia="黑体" w:hint="default"/>
                <w:sz w:val="22"/>
                <w:szCs w:val="22"/>
              </w:rPr>
              <w:t>系统未操作注销时间</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黑体" w:hAnsi="黑体" w:cs="黑体" w:eastAsia="黑体" w:hint="default"/>
                <w:sz w:val="22"/>
                <w:szCs w:val="22"/>
              </w:rPr>
            </w:pPr>
            <w:r>
              <w:rPr>
                <w:rFonts w:ascii="黑体" w:hAnsi="黑体" w:cs="黑体" w:eastAsia="黑体" w:hint="default"/>
                <w:sz w:val="22"/>
                <w:szCs w:val="22"/>
              </w:rPr>
              <w:t>未设置</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103" w:right="0"/>
              <w:jc w:val="left"/>
              <w:rPr>
                <w:rFonts w:ascii="黑体" w:hAnsi="黑体" w:cs="黑体" w:eastAsia="黑体" w:hint="default"/>
                <w:sz w:val="22"/>
                <w:szCs w:val="22"/>
              </w:rPr>
            </w:pPr>
            <w:r>
              <w:rPr>
                <w:rFonts w:ascii="Arial" w:hAnsi="Arial" w:cs="Arial" w:eastAsia="Arial" w:hint="default"/>
                <w:sz w:val="22"/>
                <w:szCs w:val="22"/>
              </w:rPr>
              <w:t>15</w:t>
            </w:r>
            <w:r>
              <w:rPr>
                <w:rFonts w:ascii="Arial" w:hAnsi="Arial" w:cs="Arial" w:eastAsia="Arial" w:hint="default"/>
                <w:spacing w:val="-15"/>
                <w:sz w:val="22"/>
                <w:szCs w:val="22"/>
              </w:rPr>
              <w:t> </w:t>
            </w:r>
            <w:r>
              <w:rPr>
                <w:rFonts w:ascii="黑体" w:hAnsi="黑体" w:cs="黑体" w:eastAsia="黑体" w:hint="default"/>
                <w:sz w:val="22"/>
                <w:szCs w:val="22"/>
              </w:rPr>
              <w:t>分钟</w:t>
            </w:r>
          </w:p>
        </w:tc>
      </w:tr>
      <w:tr>
        <w:trPr>
          <w:trHeight w:val="670" w:hRule="exact"/>
        </w:trPr>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Arial" w:hAnsi="Arial" w:cs="Arial" w:eastAsia="Arial" w:hint="default"/>
                <w:sz w:val="22"/>
                <w:szCs w:val="22"/>
              </w:rPr>
            </w:pPr>
            <w:r>
              <w:rPr>
                <w:rFonts w:ascii="Arial"/>
                <w:w w:val="99"/>
                <w:sz w:val="22"/>
              </w:rPr>
              <w:t>6</w:t>
            </w:r>
            <w:r>
              <w:rPr>
                <w:rFonts w:ascii="Arial"/>
                <w:sz w:val="22"/>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Arial" w:hAnsi="Arial" w:cs="Arial" w:eastAsia="Arial" w:hint="default"/>
                <w:sz w:val="22"/>
                <w:szCs w:val="22"/>
              </w:rPr>
            </w:pPr>
            <w:r>
              <w:rPr>
                <w:rFonts w:ascii="Arial"/>
                <w:sz w:val="22"/>
              </w:rPr>
              <w:t>Audit</w:t>
            </w:r>
            <w:r>
              <w:rPr>
                <w:rFonts w:ascii="Arial"/>
                <w:spacing w:val="-5"/>
                <w:sz w:val="22"/>
              </w:rPr>
              <w:t> </w:t>
            </w:r>
            <w:r>
              <w:rPr>
                <w:rFonts w:ascii="Arial"/>
                <w:sz w:val="22"/>
              </w:rPr>
              <w:t>Policies</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黑体" w:hAnsi="黑体" w:cs="黑体" w:eastAsia="黑体" w:hint="default"/>
                <w:sz w:val="22"/>
                <w:szCs w:val="22"/>
              </w:rPr>
            </w:pPr>
            <w:r>
              <w:rPr>
                <w:rFonts w:ascii="黑体" w:hAnsi="黑体" w:cs="黑体" w:eastAsia="黑体" w:hint="default"/>
                <w:sz w:val="22"/>
                <w:szCs w:val="22"/>
              </w:rPr>
              <w:t>实施审计策略</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Arial" w:hAnsi="Arial" w:cs="Arial" w:eastAsia="Arial" w:hint="default"/>
                <w:sz w:val="22"/>
                <w:szCs w:val="22"/>
              </w:rPr>
            </w:pPr>
            <w:r>
              <w:rPr>
                <w:rFonts w:ascii="Arial"/>
                <w:sz w:val="22"/>
              </w:rPr>
              <w:t>Account</w:t>
            </w:r>
            <w:r>
              <w:rPr>
                <w:rFonts w:ascii="Arial"/>
                <w:spacing w:val="-3"/>
                <w:sz w:val="22"/>
              </w:rPr>
              <w:t> </w:t>
            </w:r>
            <w:r>
              <w:rPr>
                <w:rFonts w:ascii="Arial"/>
                <w:sz w:val="22"/>
              </w:rPr>
              <w:t>Policy</w:t>
            </w:r>
          </w:p>
          <w:p>
            <w:pPr>
              <w:pStyle w:val="TableParagraph"/>
              <w:spacing w:line="240" w:lineRule="auto"/>
              <w:ind w:left="103" w:right="0"/>
              <w:jc w:val="left"/>
              <w:rPr>
                <w:rFonts w:ascii="Arial" w:hAnsi="Arial" w:cs="Arial" w:eastAsia="Arial" w:hint="default"/>
                <w:sz w:val="22"/>
                <w:szCs w:val="22"/>
              </w:rPr>
            </w:pPr>
            <w:r>
              <w:rPr>
                <w:rFonts w:ascii="Arial"/>
                <w:sz w:val="22"/>
              </w:rPr>
              <w:t>=</w:t>
            </w:r>
            <w:r>
              <w:rPr>
                <w:rFonts w:ascii="Arial"/>
                <w:spacing w:val="-2"/>
                <w:sz w:val="22"/>
              </w:rPr>
              <w:t> </w:t>
            </w:r>
            <w:r>
              <w:rPr>
                <w:rFonts w:ascii="Arial"/>
                <w:sz w:val="22"/>
              </w:rPr>
              <w:t>Disabled</w:t>
            </w:r>
          </w:p>
        </w:tc>
        <w:tc>
          <w:tcPr>
            <w:tcW w:w="1780"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ind w:left="103" w:right="0"/>
              <w:jc w:val="left"/>
              <w:rPr>
                <w:rFonts w:ascii="Arial" w:hAnsi="Arial" w:cs="Arial" w:eastAsia="Arial" w:hint="default"/>
                <w:sz w:val="22"/>
                <w:szCs w:val="22"/>
              </w:rPr>
            </w:pPr>
            <w:r>
              <w:rPr>
                <w:rFonts w:ascii="Arial"/>
                <w:sz w:val="22"/>
              </w:rPr>
              <w:t>Account</w:t>
            </w:r>
            <w:r>
              <w:rPr>
                <w:rFonts w:ascii="Arial"/>
                <w:spacing w:val="-3"/>
                <w:sz w:val="22"/>
              </w:rPr>
              <w:t> </w:t>
            </w:r>
            <w:r>
              <w:rPr>
                <w:rFonts w:ascii="Arial"/>
                <w:sz w:val="22"/>
              </w:rPr>
              <w:t>Policy</w:t>
            </w:r>
          </w:p>
          <w:p>
            <w:pPr>
              <w:pStyle w:val="TableParagraph"/>
              <w:spacing w:line="240" w:lineRule="auto"/>
              <w:ind w:left="103" w:right="0"/>
              <w:jc w:val="left"/>
              <w:rPr>
                <w:rFonts w:ascii="Arial" w:hAnsi="Arial" w:cs="Arial" w:eastAsia="Arial" w:hint="default"/>
                <w:sz w:val="22"/>
                <w:szCs w:val="22"/>
              </w:rPr>
            </w:pPr>
            <w:r>
              <w:rPr>
                <w:rFonts w:ascii="Arial"/>
                <w:sz w:val="22"/>
              </w:rPr>
              <w:t>=Enabled</w:t>
            </w:r>
          </w:p>
        </w:tc>
      </w:tr>
    </w:tbl>
    <w:p>
      <w:pPr>
        <w:spacing w:line="240" w:lineRule="auto" w:before="0"/>
        <w:rPr>
          <w:rFonts w:ascii="Arial" w:hAnsi="Arial" w:cs="Arial" w:eastAsia="Arial" w:hint="default"/>
          <w:b/>
          <w:bCs/>
          <w:i/>
          <w:sz w:val="20"/>
          <w:szCs w:val="20"/>
        </w:rPr>
      </w:pPr>
    </w:p>
    <w:p>
      <w:pPr>
        <w:spacing w:line="240" w:lineRule="auto" w:before="0"/>
        <w:rPr>
          <w:rFonts w:ascii="Arial" w:hAnsi="Arial" w:cs="Arial" w:eastAsia="Arial" w:hint="default"/>
          <w:b/>
          <w:bCs/>
          <w:i/>
          <w:sz w:val="20"/>
          <w:szCs w:val="20"/>
        </w:rPr>
      </w:pPr>
    </w:p>
    <w:p>
      <w:pPr>
        <w:spacing w:line="240" w:lineRule="auto" w:before="11"/>
        <w:rPr>
          <w:rFonts w:ascii="Arial" w:hAnsi="Arial" w:cs="Arial" w:eastAsia="Arial" w:hint="default"/>
          <w:b/>
          <w:bCs/>
          <w:i/>
          <w:sz w:val="16"/>
          <w:szCs w:val="16"/>
        </w:rPr>
      </w:pPr>
    </w:p>
    <w:p>
      <w:pPr>
        <w:spacing w:before="31"/>
        <w:ind w:left="120" w:right="0" w:firstLine="0"/>
        <w:jc w:val="left"/>
        <w:rPr>
          <w:rFonts w:ascii="Arial" w:hAnsi="Arial" w:cs="Arial" w:eastAsia="Arial" w:hint="default"/>
          <w:sz w:val="22"/>
          <w:szCs w:val="22"/>
        </w:rPr>
      </w:pPr>
      <w:r>
        <w:rPr>
          <w:rFonts w:ascii="Arial" w:hAnsi="Arial" w:cs="Arial" w:eastAsia="Arial" w:hint="default"/>
          <w:b/>
          <w:bCs/>
          <w:i/>
          <w:sz w:val="22"/>
          <w:szCs w:val="22"/>
        </w:rPr>
        <w:t>U8</w:t>
      </w:r>
      <w:r>
        <w:rPr>
          <w:rFonts w:ascii="Arial" w:hAnsi="Arial" w:cs="Arial" w:eastAsia="Arial" w:hint="default"/>
          <w:b/>
          <w:bCs/>
          <w:i/>
          <w:spacing w:val="-15"/>
          <w:sz w:val="22"/>
          <w:szCs w:val="22"/>
        </w:rPr>
        <w:t> </w:t>
      </w:r>
      <w:r>
        <w:rPr>
          <w:rFonts w:ascii="黑体" w:hAnsi="黑体" w:cs="黑体" w:eastAsia="黑体" w:hint="default"/>
          <w:b/>
          <w:bCs/>
          <w:i/>
          <w:sz w:val="23"/>
          <w:szCs w:val="23"/>
        </w:rPr>
        <w:t>数据库系统</w:t>
      </w:r>
      <w:r>
        <w:rPr>
          <w:rFonts w:ascii="黑体" w:hAnsi="黑体" w:cs="黑体" w:eastAsia="黑体" w:hint="default"/>
          <w:b/>
          <w:bCs/>
          <w:i/>
          <w:spacing w:val="-69"/>
          <w:sz w:val="23"/>
          <w:szCs w:val="23"/>
        </w:rPr>
        <w:t> </w:t>
      </w:r>
      <w:r>
        <w:rPr>
          <w:rFonts w:ascii="Arial" w:hAnsi="Arial" w:cs="Arial" w:eastAsia="Arial" w:hint="default"/>
          <w:b/>
          <w:bCs/>
          <w:i/>
          <w:sz w:val="22"/>
          <w:szCs w:val="22"/>
        </w:rPr>
        <w:t>(SQL</w:t>
      </w:r>
      <w:r>
        <w:rPr>
          <w:rFonts w:ascii="Arial" w:hAnsi="Arial" w:cs="Arial" w:eastAsia="Arial" w:hint="default"/>
          <w:b/>
          <w:bCs/>
          <w:i/>
          <w:spacing w:val="-15"/>
          <w:sz w:val="22"/>
          <w:szCs w:val="22"/>
        </w:rPr>
        <w:t> </w:t>
      </w:r>
      <w:r>
        <w:rPr>
          <w:rFonts w:ascii="Arial" w:hAnsi="Arial" w:cs="Arial" w:eastAsia="Arial" w:hint="default"/>
          <w:b/>
          <w:bCs/>
          <w:i/>
          <w:sz w:val="22"/>
          <w:szCs w:val="22"/>
        </w:rPr>
        <w:t>Server</w:t>
      </w:r>
      <w:r>
        <w:rPr>
          <w:rFonts w:ascii="Arial" w:hAnsi="Arial" w:cs="Arial" w:eastAsia="Arial" w:hint="default"/>
          <w:b/>
          <w:bCs/>
          <w:i/>
          <w:spacing w:val="-15"/>
          <w:sz w:val="22"/>
          <w:szCs w:val="22"/>
        </w:rPr>
        <w:t> </w:t>
      </w:r>
      <w:r>
        <w:rPr>
          <w:rFonts w:ascii="Arial" w:hAnsi="Arial" w:cs="Arial" w:eastAsia="Arial" w:hint="default"/>
          <w:b/>
          <w:bCs/>
          <w:i/>
          <w:sz w:val="22"/>
          <w:szCs w:val="22"/>
        </w:rPr>
        <w:t>2000)</w:t>
      </w:r>
      <w:r>
        <w:rPr>
          <w:rFonts w:ascii="Arial" w:hAnsi="Arial" w:cs="Arial" w:eastAsia="Arial" w:hint="default"/>
          <w:sz w:val="22"/>
          <w:szCs w:val="22"/>
        </w:rPr>
      </w:r>
    </w:p>
    <w:p>
      <w:pPr>
        <w:spacing w:line="240" w:lineRule="auto" w:before="9"/>
        <w:rPr>
          <w:rFonts w:ascii="Arial" w:hAnsi="Arial" w:cs="Arial" w:eastAsia="Arial" w:hint="default"/>
          <w:b/>
          <w:bCs/>
          <w:i/>
          <w:sz w:val="6"/>
          <w:szCs w:val="6"/>
        </w:rPr>
      </w:pPr>
    </w:p>
    <w:tbl>
      <w:tblPr>
        <w:tblW w:w="0" w:type="auto"/>
        <w:jc w:val="left"/>
        <w:tblInd w:w="100" w:type="dxa"/>
        <w:tblLayout w:type="fixed"/>
        <w:tblCellMar>
          <w:top w:w="0" w:type="dxa"/>
          <w:left w:w="0" w:type="dxa"/>
          <w:bottom w:w="0" w:type="dxa"/>
          <w:right w:w="0" w:type="dxa"/>
        </w:tblCellMar>
        <w:tblLook w:val="01E0"/>
      </w:tblPr>
      <w:tblGrid>
        <w:gridCol w:w="860"/>
        <w:gridCol w:w="1985"/>
        <w:gridCol w:w="2551"/>
        <w:gridCol w:w="1702"/>
        <w:gridCol w:w="1700"/>
      </w:tblGrid>
      <w:tr>
        <w:trPr>
          <w:trHeight w:val="553" w:hRule="exact"/>
        </w:trPr>
        <w:tc>
          <w:tcPr>
            <w:tcW w:w="860" w:type="dxa"/>
            <w:tcBorders>
              <w:top w:val="single" w:sz="8" w:space="0" w:color="000000"/>
              <w:left w:val="single" w:sz="8" w:space="0" w:color="000000"/>
              <w:bottom w:val="single" w:sz="4" w:space="0" w:color="000000"/>
              <w:right w:val="single" w:sz="4" w:space="0" w:color="000000"/>
            </w:tcBorders>
            <w:shd w:val="clear" w:color="auto" w:fill="CCFFCC"/>
          </w:tcPr>
          <w:p>
            <w:pPr>
              <w:pStyle w:val="TableParagraph"/>
              <w:spacing w:line="240" w:lineRule="auto" w:before="11"/>
              <w:ind w:right="0"/>
              <w:jc w:val="left"/>
              <w:rPr>
                <w:rFonts w:ascii="Arial" w:hAnsi="Arial" w:cs="Arial" w:eastAsia="Arial" w:hint="default"/>
                <w:b/>
                <w:bCs/>
                <w:i/>
                <w:sz w:val="18"/>
                <w:szCs w:val="18"/>
              </w:rPr>
            </w:pPr>
          </w:p>
          <w:p>
            <w:pPr>
              <w:pStyle w:val="TableParagraph"/>
              <w:spacing w:line="240" w:lineRule="auto"/>
              <w:ind w:left="200" w:right="0"/>
              <w:jc w:val="left"/>
              <w:rPr>
                <w:rFonts w:ascii="黑体" w:hAnsi="黑体" w:cs="黑体" w:eastAsia="黑体" w:hint="default"/>
                <w:sz w:val="22"/>
                <w:szCs w:val="22"/>
              </w:rPr>
            </w:pPr>
            <w:r>
              <w:rPr>
                <w:rFonts w:ascii="黑体" w:hAnsi="黑体" w:cs="黑体" w:eastAsia="黑体" w:hint="default"/>
                <w:b/>
                <w:bCs/>
                <w:sz w:val="22"/>
                <w:szCs w:val="22"/>
              </w:rPr>
              <w:t>序号</w:t>
            </w:r>
            <w:r>
              <w:rPr>
                <w:rFonts w:ascii="黑体" w:hAnsi="黑体" w:cs="黑体" w:eastAsia="黑体" w:hint="default"/>
                <w:sz w:val="22"/>
                <w:szCs w:val="22"/>
              </w:rPr>
            </w:r>
          </w:p>
        </w:tc>
        <w:tc>
          <w:tcPr>
            <w:tcW w:w="1985" w:type="dxa"/>
            <w:tcBorders>
              <w:top w:val="single" w:sz="8"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11"/>
              <w:ind w:right="0"/>
              <w:jc w:val="left"/>
              <w:rPr>
                <w:rFonts w:ascii="Arial" w:hAnsi="Arial" w:cs="Arial" w:eastAsia="Arial" w:hint="default"/>
                <w:b/>
                <w:bCs/>
                <w:i/>
                <w:sz w:val="18"/>
                <w:szCs w:val="18"/>
              </w:rPr>
            </w:pPr>
          </w:p>
          <w:p>
            <w:pPr>
              <w:pStyle w:val="TableParagraph"/>
              <w:spacing w:line="240" w:lineRule="auto"/>
              <w:ind w:left="544" w:right="0"/>
              <w:jc w:val="left"/>
              <w:rPr>
                <w:rFonts w:ascii="黑体" w:hAnsi="黑体" w:cs="黑体" w:eastAsia="黑体" w:hint="default"/>
                <w:sz w:val="22"/>
                <w:szCs w:val="22"/>
              </w:rPr>
            </w:pPr>
            <w:r>
              <w:rPr>
                <w:rFonts w:ascii="黑体" w:hAnsi="黑体" w:cs="黑体" w:eastAsia="黑体" w:hint="default"/>
                <w:b/>
                <w:bCs/>
                <w:sz w:val="22"/>
                <w:szCs w:val="22"/>
              </w:rPr>
              <w:t>系统参数</w:t>
            </w:r>
            <w:r>
              <w:rPr>
                <w:rFonts w:ascii="黑体" w:hAnsi="黑体" w:cs="黑体" w:eastAsia="黑体" w:hint="default"/>
                <w:sz w:val="22"/>
                <w:szCs w:val="22"/>
              </w:rPr>
            </w:r>
          </w:p>
        </w:tc>
        <w:tc>
          <w:tcPr>
            <w:tcW w:w="2551" w:type="dxa"/>
            <w:tcBorders>
              <w:top w:val="single" w:sz="8"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10"/>
              <w:ind w:right="0"/>
              <w:jc w:val="left"/>
              <w:rPr>
                <w:rFonts w:ascii="Arial" w:hAnsi="Arial" w:cs="Arial" w:eastAsia="Arial" w:hint="default"/>
                <w:b/>
                <w:bCs/>
                <w:i/>
                <w:sz w:val="18"/>
                <w:szCs w:val="18"/>
              </w:rPr>
            </w:pPr>
          </w:p>
          <w:p>
            <w:pPr>
              <w:pStyle w:val="TableParagraph"/>
              <w:spacing w:line="240" w:lineRule="auto"/>
              <w:ind w:right="0"/>
              <w:jc w:val="center"/>
              <w:rPr>
                <w:rFonts w:ascii="黑体" w:hAnsi="黑体" w:cs="黑体" w:eastAsia="黑体" w:hint="default"/>
                <w:sz w:val="22"/>
                <w:szCs w:val="22"/>
              </w:rPr>
            </w:pPr>
            <w:r>
              <w:rPr>
                <w:rFonts w:ascii="黑体" w:hAnsi="黑体" w:cs="黑体" w:eastAsia="黑体" w:hint="default"/>
                <w:b/>
                <w:bCs/>
                <w:sz w:val="22"/>
                <w:szCs w:val="22"/>
              </w:rPr>
              <w:t>说明</w:t>
            </w:r>
            <w:r>
              <w:rPr>
                <w:rFonts w:ascii="黑体" w:hAnsi="黑体" w:cs="黑体" w:eastAsia="黑体" w:hint="default"/>
                <w:sz w:val="22"/>
                <w:szCs w:val="22"/>
              </w:rPr>
            </w:r>
          </w:p>
        </w:tc>
        <w:tc>
          <w:tcPr>
            <w:tcW w:w="1702" w:type="dxa"/>
            <w:tcBorders>
              <w:top w:val="single" w:sz="8" w:space="0" w:color="000000"/>
              <w:left w:val="single" w:sz="4" w:space="0" w:color="000000"/>
              <w:bottom w:val="single" w:sz="4" w:space="0" w:color="000000"/>
              <w:right w:val="single" w:sz="4" w:space="0" w:color="000000"/>
            </w:tcBorders>
            <w:shd w:val="clear" w:color="auto" w:fill="CCFFCC"/>
          </w:tcPr>
          <w:p>
            <w:pPr>
              <w:pStyle w:val="TableParagraph"/>
              <w:spacing w:line="240" w:lineRule="auto" w:before="10"/>
              <w:ind w:right="0"/>
              <w:jc w:val="left"/>
              <w:rPr>
                <w:rFonts w:ascii="Arial" w:hAnsi="Arial" w:cs="Arial" w:eastAsia="Arial" w:hint="default"/>
                <w:b/>
                <w:bCs/>
                <w:i/>
                <w:sz w:val="18"/>
                <w:szCs w:val="18"/>
              </w:rPr>
            </w:pPr>
          </w:p>
          <w:p>
            <w:pPr>
              <w:pStyle w:val="TableParagraph"/>
              <w:spacing w:line="240" w:lineRule="auto"/>
              <w:ind w:left="404" w:right="0"/>
              <w:jc w:val="left"/>
              <w:rPr>
                <w:rFonts w:ascii="黑体" w:hAnsi="黑体" w:cs="黑体" w:eastAsia="黑体" w:hint="default"/>
                <w:sz w:val="22"/>
                <w:szCs w:val="22"/>
              </w:rPr>
            </w:pPr>
            <w:r>
              <w:rPr>
                <w:rFonts w:ascii="黑体" w:hAnsi="黑体" w:cs="黑体" w:eastAsia="黑体" w:hint="default"/>
                <w:b/>
                <w:bCs/>
                <w:sz w:val="22"/>
                <w:szCs w:val="22"/>
              </w:rPr>
              <w:t>当前设置</w:t>
            </w:r>
            <w:r>
              <w:rPr>
                <w:rFonts w:ascii="黑体" w:hAnsi="黑体" w:cs="黑体" w:eastAsia="黑体" w:hint="default"/>
                <w:sz w:val="22"/>
                <w:szCs w:val="22"/>
              </w:rPr>
            </w:r>
          </w:p>
        </w:tc>
        <w:tc>
          <w:tcPr>
            <w:tcW w:w="1700" w:type="dxa"/>
            <w:tcBorders>
              <w:top w:val="single" w:sz="8" w:space="0" w:color="000000"/>
              <w:left w:val="single" w:sz="4" w:space="0" w:color="000000"/>
              <w:bottom w:val="single" w:sz="4" w:space="0" w:color="000000"/>
              <w:right w:val="single" w:sz="8" w:space="0" w:color="000000"/>
            </w:tcBorders>
            <w:shd w:val="clear" w:color="auto" w:fill="CCFFCC"/>
          </w:tcPr>
          <w:p>
            <w:pPr>
              <w:pStyle w:val="TableParagraph"/>
              <w:spacing w:line="240" w:lineRule="auto" w:before="10"/>
              <w:ind w:right="0"/>
              <w:jc w:val="left"/>
              <w:rPr>
                <w:rFonts w:ascii="Arial" w:hAnsi="Arial" w:cs="Arial" w:eastAsia="Arial" w:hint="default"/>
                <w:b/>
                <w:bCs/>
                <w:i/>
                <w:sz w:val="18"/>
                <w:szCs w:val="18"/>
              </w:rPr>
            </w:pPr>
          </w:p>
          <w:p>
            <w:pPr>
              <w:pStyle w:val="TableParagraph"/>
              <w:spacing w:line="240" w:lineRule="auto"/>
              <w:ind w:left="183" w:right="0"/>
              <w:jc w:val="left"/>
              <w:rPr>
                <w:rFonts w:ascii="黑体" w:hAnsi="黑体" w:cs="黑体" w:eastAsia="黑体" w:hint="default"/>
                <w:sz w:val="22"/>
                <w:szCs w:val="22"/>
              </w:rPr>
            </w:pPr>
            <w:r>
              <w:rPr>
                <w:rFonts w:ascii="黑体" w:hAnsi="黑体" w:cs="黑体" w:eastAsia="黑体" w:hint="default"/>
                <w:b/>
                <w:bCs/>
                <w:sz w:val="22"/>
                <w:szCs w:val="22"/>
              </w:rPr>
              <w:t>安永建议设置</w:t>
            </w:r>
            <w:r>
              <w:rPr>
                <w:rFonts w:ascii="黑体" w:hAnsi="黑体" w:cs="黑体" w:eastAsia="黑体" w:hint="default"/>
                <w:sz w:val="22"/>
                <w:szCs w:val="22"/>
              </w:rPr>
            </w:r>
          </w:p>
        </w:tc>
      </w:tr>
      <w:tr>
        <w:trPr>
          <w:trHeight w:val="273" w:hRule="exact"/>
        </w:trPr>
        <w:tc>
          <w:tcPr>
            <w:tcW w:w="860" w:type="dxa"/>
            <w:tcBorders>
              <w:top w:val="single" w:sz="4" w:space="0" w:color="000000"/>
              <w:left w:val="single" w:sz="8" w:space="0" w:color="000000"/>
              <w:bottom w:val="nil" w:sz="6" w:space="0" w:color="auto"/>
              <w:right w:val="single" w:sz="4" w:space="0" w:color="000000"/>
            </w:tcBorders>
          </w:tcPr>
          <w:p>
            <w:pPr>
              <w:pStyle w:val="TableParagraph"/>
              <w:spacing w:line="251" w:lineRule="exact"/>
              <w:ind w:left="98" w:right="0"/>
              <w:jc w:val="left"/>
              <w:rPr>
                <w:rFonts w:ascii="Arial" w:hAnsi="Arial" w:cs="Arial" w:eastAsia="Arial" w:hint="default"/>
                <w:sz w:val="22"/>
                <w:szCs w:val="22"/>
              </w:rPr>
            </w:pPr>
            <w:r>
              <w:rPr>
                <w:rFonts w:ascii="Arial"/>
                <w:w w:val="99"/>
                <w:sz w:val="22"/>
              </w:rPr>
              <w:t>1</w:t>
            </w:r>
            <w:r>
              <w:rPr>
                <w:rFonts w:ascii="Arial"/>
                <w:sz w:val="22"/>
              </w:rPr>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51" w:lineRule="exact"/>
              <w:ind w:left="103" w:right="0"/>
              <w:jc w:val="left"/>
              <w:rPr>
                <w:rFonts w:ascii="Arial" w:hAnsi="Arial" w:cs="Arial" w:eastAsia="Arial" w:hint="default"/>
                <w:sz w:val="22"/>
                <w:szCs w:val="22"/>
              </w:rPr>
            </w:pPr>
            <w:r>
              <w:rPr>
                <w:rFonts w:ascii="Arial" w:hAnsi="Arial" w:cs="Arial" w:eastAsia="Arial" w:hint="default"/>
                <w:sz w:val="22"/>
                <w:szCs w:val="22"/>
              </w:rPr>
              <w:t>“BUILTIN\Adminis</w:t>
            </w:r>
          </w:p>
        </w:tc>
        <w:tc>
          <w:tcPr>
            <w:tcW w:w="2551" w:type="dxa"/>
            <w:tcBorders>
              <w:top w:val="single" w:sz="4" w:space="0" w:color="000000"/>
              <w:left w:val="single" w:sz="4" w:space="0" w:color="000000"/>
              <w:bottom w:val="nil" w:sz="6" w:space="0" w:color="auto"/>
              <w:right w:val="single" w:sz="4" w:space="0" w:color="000000"/>
            </w:tcBorders>
          </w:tcPr>
          <w:p>
            <w:pPr>
              <w:pStyle w:val="TableParagraph"/>
              <w:spacing w:line="251" w:lineRule="exact"/>
              <w:ind w:left="103" w:right="0"/>
              <w:jc w:val="left"/>
              <w:rPr>
                <w:rFonts w:ascii="黑体" w:hAnsi="黑体" w:cs="黑体" w:eastAsia="黑体" w:hint="default"/>
                <w:sz w:val="22"/>
                <w:szCs w:val="22"/>
              </w:rPr>
            </w:pPr>
            <w:r>
              <w:rPr>
                <w:rFonts w:ascii="黑体" w:hAnsi="黑体" w:cs="黑体" w:eastAsia="黑体" w:hint="default"/>
                <w:sz w:val="22"/>
                <w:szCs w:val="22"/>
              </w:rPr>
              <w:t>没有在系统中禁用默认</w:t>
            </w:r>
          </w:p>
        </w:tc>
        <w:tc>
          <w:tcPr>
            <w:tcW w:w="1702" w:type="dxa"/>
            <w:tcBorders>
              <w:top w:val="single" w:sz="4" w:space="0" w:color="000000"/>
              <w:left w:val="single" w:sz="4" w:space="0" w:color="000000"/>
              <w:bottom w:val="nil" w:sz="6" w:space="0" w:color="auto"/>
              <w:right w:val="single" w:sz="4" w:space="0" w:color="000000"/>
            </w:tcBorders>
          </w:tcPr>
          <w:p>
            <w:pPr>
              <w:pStyle w:val="TableParagraph"/>
              <w:spacing w:line="250" w:lineRule="exact"/>
              <w:ind w:left="103" w:right="0"/>
              <w:jc w:val="left"/>
              <w:rPr>
                <w:rFonts w:ascii="Arial" w:hAnsi="Arial" w:cs="Arial" w:eastAsia="Arial" w:hint="default"/>
                <w:sz w:val="22"/>
                <w:szCs w:val="22"/>
              </w:rPr>
            </w:pPr>
            <w:r>
              <w:rPr>
                <w:rFonts w:ascii="Arial" w:hAnsi="Arial" w:cs="Arial" w:eastAsia="Arial" w:hint="default"/>
                <w:sz w:val="22"/>
                <w:szCs w:val="22"/>
              </w:rPr>
              <w:t>“BUILTIN\Admi</w:t>
            </w:r>
          </w:p>
        </w:tc>
        <w:tc>
          <w:tcPr>
            <w:tcW w:w="1700" w:type="dxa"/>
            <w:tcBorders>
              <w:top w:val="single" w:sz="4" w:space="0" w:color="000000"/>
              <w:left w:val="single" w:sz="4" w:space="0" w:color="000000"/>
              <w:bottom w:val="nil" w:sz="6" w:space="0" w:color="auto"/>
              <w:right w:val="single" w:sz="8" w:space="0" w:color="000000"/>
            </w:tcBorders>
          </w:tcPr>
          <w:p>
            <w:pPr>
              <w:pStyle w:val="TableParagraph"/>
              <w:spacing w:line="251" w:lineRule="exact"/>
              <w:ind w:left="103" w:right="0"/>
              <w:jc w:val="left"/>
              <w:rPr>
                <w:rFonts w:ascii="黑体" w:hAnsi="黑体" w:cs="黑体" w:eastAsia="黑体" w:hint="default"/>
                <w:sz w:val="22"/>
                <w:szCs w:val="22"/>
              </w:rPr>
            </w:pPr>
            <w:r>
              <w:rPr>
                <w:rFonts w:ascii="黑体" w:hAnsi="黑体" w:cs="黑体" w:eastAsia="黑体" w:hint="default"/>
                <w:sz w:val="22"/>
                <w:szCs w:val="22"/>
              </w:rPr>
              <w:t>删除</w:t>
            </w:r>
          </w:p>
        </w:tc>
      </w:tr>
      <w:tr>
        <w:trPr>
          <w:trHeight w:val="285" w:hRule="exact"/>
        </w:trPr>
        <w:tc>
          <w:tcPr>
            <w:tcW w:w="860" w:type="dxa"/>
            <w:tcBorders>
              <w:top w:val="nil" w:sz="6" w:space="0" w:color="auto"/>
              <w:left w:val="single" w:sz="8" w:space="0" w:color="000000"/>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53" w:lineRule="exact"/>
              <w:ind w:left="103" w:right="0"/>
              <w:jc w:val="left"/>
              <w:rPr>
                <w:rFonts w:ascii="黑体" w:hAnsi="黑体" w:cs="黑体" w:eastAsia="黑体" w:hint="default"/>
                <w:sz w:val="22"/>
                <w:szCs w:val="22"/>
              </w:rPr>
            </w:pPr>
            <w:r>
              <w:rPr>
                <w:rFonts w:ascii="Arial" w:hAnsi="Arial" w:cs="Arial" w:eastAsia="Arial" w:hint="default"/>
                <w:sz w:val="22"/>
                <w:szCs w:val="22"/>
              </w:rPr>
              <w:t>trators”</w:t>
            </w:r>
            <w:r>
              <w:rPr>
                <w:rFonts w:ascii="Arial" w:hAnsi="Arial" w:cs="Arial" w:eastAsia="Arial" w:hint="default"/>
                <w:spacing w:val="58"/>
                <w:sz w:val="22"/>
                <w:szCs w:val="22"/>
              </w:rPr>
              <w:t> </w:t>
            </w:r>
            <w:r>
              <w:rPr>
                <w:rFonts w:ascii="黑体" w:hAnsi="黑体" w:cs="黑体" w:eastAsia="黑体" w:hint="default"/>
                <w:spacing w:val="17"/>
                <w:sz w:val="22"/>
                <w:szCs w:val="22"/>
              </w:rPr>
              <w:t>没有被禁</w:t>
            </w:r>
            <w:r>
              <w:rPr>
                <w:rFonts w:ascii="黑体" w:hAnsi="黑体" w:cs="黑体" w:eastAsia="黑体" w:hint="default"/>
                <w:spacing w:val="-86"/>
                <w:sz w:val="22"/>
                <w:szCs w:val="22"/>
              </w:rPr>
              <w:t> </w:t>
            </w:r>
            <w:r>
              <w:rPr>
                <w:rFonts w:ascii="黑体" w:hAnsi="黑体" w:cs="黑体" w:eastAsia="黑体" w:hint="default"/>
                <w:sz w:val="22"/>
                <w:szCs w:val="22"/>
              </w:rPr>
            </w:r>
          </w:p>
        </w:tc>
        <w:tc>
          <w:tcPr>
            <w:tcW w:w="2551" w:type="dxa"/>
            <w:tcBorders>
              <w:top w:val="nil" w:sz="6" w:space="0" w:color="auto"/>
              <w:left w:val="single" w:sz="4" w:space="0" w:color="000000"/>
              <w:bottom w:val="nil" w:sz="6" w:space="0" w:color="auto"/>
              <w:right w:val="single" w:sz="4" w:space="0" w:color="000000"/>
            </w:tcBorders>
          </w:tcPr>
          <w:p>
            <w:pPr>
              <w:pStyle w:val="TableParagraph"/>
              <w:spacing w:line="269" w:lineRule="exact"/>
              <w:ind w:left="103" w:right="0"/>
              <w:jc w:val="left"/>
              <w:rPr>
                <w:rFonts w:ascii="黑体" w:hAnsi="黑体" w:cs="黑体" w:eastAsia="黑体" w:hint="default"/>
                <w:sz w:val="22"/>
                <w:szCs w:val="22"/>
              </w:rPr>
            </w:pPr>
            <w:r>
              <w:rPr>
                <w:rFonts w:ascii="黑体" w:hAnsi="黑体" w:cs="黑体" w:eastAsia="黑体" w:hint="default"/>
                <w:sz w:val="22"/>
                <w:szCs w:val="22"/>
              </w:rPr>
              <w:t>账号</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52" w:lineRule="exact"/>
              <w:ind w:left="103" w:right="0"/>
              <w:jc w:val="left"/>
              <w:rPr>
                <w:rFonts w:ascii="黑体" w:hAnsi="黑体" w:cs="黑体" w:eastAsia="黑体" w:hint="default"/>
                <w:sz w:val="22"/>
                <w:szCs w:val="22"/>
              </w:rPr>
            </w:pPr>
            <w:r>
              <w:rPr>
                <w:rFonts w:ascii="Arial" w:hAnsi="Arial" w:cs="Arial" w:eastAsia="Arial" w:hint="default"/>
                <w:sz w:val="22"/>
                <w:szCs w:val="22"/>
              </w:rPr>
              <w:t>nistrators”</w:t>
            </w:r>
            <w:r>
              <w:rPr>
                <w:rFonts w:ascii="Arial" w:hAnsi="Arial" w:cs="Arial" w:eastAsia="Arial" w:hint="default"/>
                <w:spacing w:val="-4"/>
                <w:sz w:val="22"/>
                <w:szCs w:val="22"/>
              </w:rPr>
              <w:t> </w:t>
            </w:r>
            <w:r>
              <w:rPr>
                <w:rFonts w:ascii="黑体" w:hAnsi="黑体" w:cs="黑体" w:eastAsia="黑体" w:hint="default"/>
                <w:sz w:val="22"/>
                <w:szCs w:val="22"/>
              </w:rPr>
              <w:t>账号</w:t>
            </w:r>
          </w:p>
        </w:tc>
        <w:tc>
          <w:tcPr>
            <w:tcW w:w="1700" w:type="dxa"/>
            <w:tcBorders>
              <w:top w:val="nil" w:sz="6" w:space="0" w:color="auto"/>
              <w:left w:val="single" w:sz="4" w:space="0" w:color="000000"/>
              <w:bottom w:val="nil" w:sz="6" w:space="0" w:color="auto"/>
              <w:right w:val="single" w:sz="8" w:space="0" w:color="000000"/>
            </w:tcBorders>
          </w:tcPr>
          <w:p>
            <w:pPr>
              <w:pStyle w:val="TableParagraph"/>
              <w:spacing w:line="240" w:lineRule="auto" w:before="14"/>
              <w:ind w:left="103" w:right="0"/>
              <w:jc w:val="left"/>
              <w:rPr>
                <w:rFonts w:ascii="Arial" w:hAnsi="Arial" w:cs="Arial" w:eastAsia="Arial" w:hint="default"/>
                <w:sz w:val="22"/>
                <w:szCs w:val="22"/>
              </w:rPr>
            </w:pPr>
            <w:r>
              <w:rPr>
                <w:rFonts w:ascii="Arial" w:hAnsi="Arial" w:cs="Arial" w:eastAsia="Arial" w:hint="default"/>
                <w:sz w:val="22"/>
                <w:szCs w:val="22"/>
              </w:rPr>
              <w:t>“BUILTIN\Admi</w:t>
            </w:r>
          </w:p>
        </w:tc>
      </w:tr>
      <w:tr>
        <w:trPr>
          <w:trHeight w:val="283" w:hRule="exact"/>
        </w:trPr>
        <w:tc>
          <w:tcPr>
            <w:tcW w:w="860" w:type="dxa"/>
            <w:tcBorders>
              <w:top w:val="nil" w:sz="6" w:space="0" w:color="auto"/>
              <w:left w:val="single" w:sz="8" w:space="0" w:color="000000"/>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37" w:lineRule="exact"/>
              <w:ind w:left="103" w:right="0"/>
              <w:jc w:val="left"/>
              <w:rPr>
                <w:rFonts w:ascii="黑体" w:hAnsi="黑体" w:cs="黑体" w:eastAsia="黑体" w:hint="default"/>
                <w:sz w:val="22"/>
                <w:szCs w:val="22"/>
              </w:rPr>
            </w:pPr>
            <w:r>
              <w:rPr>
                <w:rFonts w:ascii="黑体" w:hAnsi="黑体" w:cs="黑体" w:eastAsia="黑体" w:hint="default"/>
                <w:w w:val="99"/>
                <w:sz w:val="22"/>
                <w:szCs w:val="22"/>
              </w:rPr>
              <w:t>用</w:t>
            </w:r>
            <w:r>
              <w:rPr>
                <w:rFonts w:ascii="黑体" w:hAnsi="黑体" w:cs="黑体" w:eastAsia="黑体" w:hint="default"/>
                <w:sz w:val="22"/>
                <w:szCs w:val="22"/>
              </w:rPr>
            </w:r>
          </w:p>
        </w:tc>
        <w:tc>
          <w:tcPr>
            <w:tcW w:w="2551"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103" w:right="0"/>
              <w:jc w:val="left"/>
              <w:rPr>
                <w:rFonts w:ascii="Arial" w:hAnsi="Arial" w:cs="Arial" w:eastAsia="Arial" w:hint="default"/>
                <w:sz w:val="22"/>
                <w:szCs w:val="22"/>
              </w:rPr>
            </w:pPr>
            <w:r>
              <w:rPr>
                <w:rFonts w:ascii="Arial" w:hAnsi="Arial" w:cs="Arial" w:eastAsia="Arial" w:hint="default"/>
                <w:sz w:val="22"/>
                <w:szCs w:val="22"/>
              </w:rPr>
              <w:t>“BUILTIN\Administrator</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03" w:right="0"/>
              <w:jc w:val="left"/>
              <w:rPr>
                <w:rFonts w:ascii="黑体" w:hAnsi="黑体" w:cs="黑体" w:eastAsia="黑体" w:hint="default"/>
                <w:sz w:val="22"/>
                <w:szCs w:val="22"/>
              </w:rPr>
            </w:pPr>
            <w:r>
              <w:rPr>
                <w:rFonts w:ascii="黑体" w:hAnsi="黑体" w:cs="黑体" w:eastAsia="黑体" w:hint="default"/>
                <w:sz w:val="22"/>
                <w:szCs w:val="22"/>
              </w:rPr>
              <w:t>没有删除</w:t>
            </w:r>
          </w:p>
        </w:tc>
        <w:tc>
          <w:tcPr>
            <w:tcW w:w="1700" w:type="dxa"/>
            <w:tcBorders>
              <w:top w:val="nil" w:sz="6" w:space="0" w:color="auto"/>
              <w:left w:val="single" w:sz="4" w:space="0" w:color="000000"/>
              <w:bottom w:val="nil" w:sz="6" w:space="0" w:color="auto"/>
              <w:right w:val="single" w:sz="8" w:space="0" w:color="000000"/>
            </w:tcBorders>
          </w:tcPr>
          <w:p>
            <w:pPr>
              <w:pStyle w:val="TableParagraph"/>
              <w:spacing w:line="252" w:lineRule="exact"/>
              <w:ind w:left="103" w:right="0"/>
              <w:jc w:val="left"/>
              <w:rPr>
                <w:rFonts w:ascii="黑体" w:hAnsi="黑体" w:cs="黑体" w:eastAsia="黑体" w:hint="default"/>
                <w:sz w:val="22"/>
                <w:szCs w:val="22"/>
              </w:rPr>
            </w:pPr>
            <w:r>
              <w:rPr>
                <w:rFonts w:ascii="Arial" w:hAnsi="Arial" w:cs="Arial" w:eastAsia="Arial" w:hint="default"/>
                <w:sz w:val="22"/>
                <w:szCs w:val="22"/>
              </w:rPr>
              <w:t>nistrators”</w:t>
            </w:r>
            <w:r>
              <w:rPr>
                <w:rFonts w:ascii="Arial" w:hAnsi="Arial" w:cs="Arial" w:eastAsia="Arial" w:hint="default"/>
                <w:spacing w:val="-4"/>
                <w:sz w:val="22"/>
                <w:szCs w:val="22"/>
              </w:rPr>
              <w:t> </w:t>
            </w:r>
            <w:r>
              <w:rPr>
                <w:rFonts w:ascii="黑体" w:hAnsi="黑体" w:cs="黑体" w:eastAsia="黑体" w:hint="default"/>
                <w:sz w:val="22"/>
                <w:szCs w:val="22"/>
              </w:rPr>
              <w:t>账号</w:t>
            </w:r>
          </w:p>
        </w:tc>
      </w:tr>
      <w:tr>
        <w:trPr>
          <w:trHeight w:val="277" w:hRule="exact"/>
        </w:trPr>
        <w:tc>
          <w:tcPr>
            <w:tcW w:w="860" w:type="dxa"/>
            <w:tcBorders>
              <w:top w:val="nil" w:sz="6" w:space="0" w:color="auto"/>
              <w:left w:val="single" w:sz="8" w:space="0" w:color="000000"/>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2551"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黑体" w:hAnsi="黑体" w:cs="黑体" w:eastAsia="黑体" w:hint="default"/>
                <w:sz w:val="22"/>
                <w:szCs w:val="22"/>
              </w:rPr>
            </w:pPr>
            <w:r>
              <w:rPr>
                <w:rFonts w:ascii="Arial" w:hAnsi="Arial" w:cs="Arial" w:eastAsia="Arial" w:hint="default"/>
                <w:sz w:val="22"/>
                <w:szCs w:val="22"/>
              </w:rPr>
              <w:t>s”</w:t>
            </w:r>
            <w:r>
              <w:rPr>
                <w:rFonts w:ascii="黑体" w:hAnsi="黑体" w:cs="黑体" w:eastAsia="黑体" w:hint="default"/>
                <w:sz w:val="22"/>
                <w:szCs w:val="22"/>
              </w:rPr>
              <w:t>，可能导致对系统的</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8" w:space="0" w:color="000000"/>
            </w:tcBorders>
          </w:tcPr>
          <w:p>
            <w:pPr/>
          </w:p>
        </w:tc>
      </w:tr>
      <w:tr>
        <w:trPr>
          <w:trHeight w:val="286" w:hRule="exact"/>
        </w:trPr>
        <w:tc>
          <w:tcPr>
            <w:tcW w:w="860" w:type="dxa"/>
            <w:tcBorders>
              <w:top w:val="nil" w:sz="6" w:space="0" w:color="auto"/>
              <w:left w:val="single" w:sz="8" w:space="0" w:color="000000"/>
              <w:bottom w:val="single" w:sz="4" w:space="0" w:color="000000"/>
              <w:right w:val="single" w:sz="4" w:space="0" w:color="000000"/>
            </w:tcBorders>
          </w:tcPr>
          <w:p>
            <w:pPr/>
          </w:p>
        </w:tc>
        <w:tc>
          <w:tcPr>
            <w:tcW w:w="1985" w:type="dxa"/>
            <w:tcBorders>
              <w:top w:val="nil" w:sz="6" w:space="0" w:color="auto"/>
              <w:left w:val="single" w:sz="4" w:space="0" w:color="000000"/>
              <w:bottom w:val="single" w:sz="4" w:space="0" w:color="000000"/>
              <w:right w:val="single" w:sz="4" w:space="0" w:color="000000"/>
            </w:tcBorders>
          </w:tcPr>
          <w:p>
            <w:pPr/>
          </w:p>
        </w:tc>
        <w:tc>
          <w:tcPr>
            <w:tcW w:w="2551" w:type="dxa"/>
            <w:tcBorders>
              <w:top w:val="nil" w:sz="6" w:space="0" w:color="auto"/>
              <w:left w:val="single" w:sz="4" w:space="0" w:color="000000"/>
              <w:bottom w:val="single" w:sz="4" w:space="0" w:color="000000"/>
              <w:right w:val="single" w:sz="4" w:space="0" w:color="000000"/>
            </w:tcBorders>
          </w:tcPr>
          <w:p>
            <w:pPr>
              <w:pStyle w:val="TableParagraph"/>
              <w:spacing w:line="247" w:lineRule="exact"/>
              <w:ind w:left="103" w:right="0"/>
              <w:jc w:val="left"/>
              <w:rPr>
                <w:rFonts w:ascii="黑体" w:hAnsi="黑体" w:cs="黑体" w:eastAsia="黑体" w:hint="default"/>
                <w:sz w:val="22"/>
                <w:szCs w:val="22"/>
              </w:rPr>
            </w:pPr>
            <w:r>
              <w:rPr>
                <w:rFonts w:ascii="黑体" w:hAnsi="黑体" w:cs="黑体" w:eastAsia="黑体" w:hint="default"/>
                <w:sz w:val="22"/>
                <w:szCs w:val="22"/>
              </w:rPr>
              <w:t>未经授权的访问</w:t>
            </w:r>
          </w:p>
        </w:tc>
        <w:tc>
          <w:tcPr>
            <w:tcW w:w="1702" w:type="dxa"/>
            <w:tcBorders>
              <w:top w:val="nil" w:sz="6" w:space="0" w:color="auto"/>
              <w:left w:val="single" w:sz="4" w:space="0" w:color="000000"/>
              <w:bottom w:val="single" w:sz="4" w:space="0" w:color="000000"/>
              <w:right w:val="single" w:sz="4" w:space="0" w:color="000000"/>
            </w:tcBorders>
          </w:tcPr>
          <w:p>
            <w:pPr/>
          </w:p>
        </w:tc>
        <w:tc>
          <w:tcPr>
            <w:tcW w:w="1700" w:type="dxa"/>
            <w:tcBorders>
              <w:top w:val="nil" w:sz="6" w:space="0" w:color="auto"/>
              <w:left w:val="single" w:sz="4" w:space="0" w:color="000000"/>
              <w:bottom w:val="single" w:sz="4" w:space="0" w:color="000000"/>
              <w:right w:val="single" w:sz="8" w:space="0" w:color="000000"/>
            </w:tcBorders>
          </w:tcPr>
          <w:p>
            <w:pPr/>
          </w:p>
        </w:tc>
      </w:tr>
      <w:tr>
        <w:trPr>
          <w:trHeight w:val="279" w:hRule="exact"/>
        </w:trPr>
        <w:tc>
          <w:tcPr>
            <w:tcW w:w="860" w:type="dxa"/>
            <w:tcBorders>
              <w:top w:val="single" w:sz="4" w:space="0" w:color="000000"/>
              <w:left w:val="single" w:sz="8" w:space="0" w:color="000000"/>
              <w:bottom w:val="nil" w:sz="6" w:space="0" w:color="auto"/>
              <w:right w:val="single" w:sz="4" w:space="0" w:color="000000"/>
            </w:tcBorders>
          </w:tcPr>
          <w:p>
            <w:pPr>
              <w:pStyle w:val="TableParagraph"/>
              <w:spacing w:line="251" w:lineRule="exact"/>
              <w:ind w:left="98" w:right="0"/>
              <w:jc w:val="left"/>
              <w:rPr>
                <w:rFonts w:ascii="Arial" w:hAnsi="Arial" w:cs="Arial" w:eastAsia="Arial" w:hint="default"/>
                <w:sz w:val="22"/>
                <w:szCs w:val="22"/>
              </w:rPr>
            </w:pPr>
            <w:r>
              <w:rPr>
                <w:rFonts w:ascii="Arial"/>
                <w:w w:val="99"/>
                <w:sz w:val="22"/>
              </w:rPr>
              <w:t>2</w:t>
            </w:r>
            <w:r>
              <w:rPr>
                <w:rFonts w:ascii="Arial"/>
                <w:sz w:val="22"/>
              </w:rPr>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103" w:right="0"/>
              <w:jc w:val="left"/>
              <w:rPr>
                <w:rFonts w:ascii="黑体" w:hAnsi="黑体" w:cs="黑体" w:eastAsia="黑体" w:hint="default"/>
                <w:sz w:val="22"/>
                <w:szCs w:val="22"/>
              </w:rPr>
            </w:pPr>
            <w:r>
              <w:rPr>
                <w:rFonts w:ascii="黑体" w:hAnsi="黑体" w:cs="黑体" w:eastAsia="黑体" w:hint="default"/>
                <w:sz w:val="22"/>
                <w:szCs w:val="22"/>
              </w:rPr>
              <w:t>登录验证方式</w:t>
            </w:r>
          </w:p>
        </w:tc>
        <w:tc>
          <w:tcPr>
            <w:tcW w:w="2551"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103" w:right="0"/>
              <w:jc w:val="left"/>
              <w:rPr>
                <w:rFonts w:ascii="黑体" w:hAnsi="黑体" w:cs="黑体" w:eastAsia="黑体" w:hint="default"/>
                <w:sz w:val="22"/>
                <w:szCs w:val="22"/>
              </w:rPr>
            </w:pPr>
            <w:r>
              <w:rPr>
                <w:rFonts w:ascii="黑体" w:hAnsi="黑体" w:cs="黑体" w:eastAsia="黑体" w:hint="default"/>
                <w:sz w:val="22"/>
                <w:szCs w:val="22"/>
              </w:rPr>
              <w:t>验证方式设置能够依靠</w:t>
            </w:r>
          </w:p>
        </w:tc>
        <w:tc>
          <w:tcPr>
            <w:tcW w:w="1702" w:type="dxa"/>
            <w:tcBorders>
              <w:top w:val="single" w:sz="4" w:space="0" w:color="000000"/>
              <w:left w:val="single" w:sz="4" w:space="0" w:color="000000"/>
              <w:bottom w:val="nil" w:sz="6" w:space="0" w:color="auto"/>
              <w:right w:val="single" w:sz="4" w:space="0" w:color="000000"/>
            </w:tcBorders>
          </w:tcPr>
          <w:p>
            <w:pPr>
              <w:pStyle w:val="TableParagraph"/>
              <w:spacing w:line="251" w:lineRule="exact"/>
              <w:ind w:left="103" w:right="0"/>
              <w:jc w:val="left"/>
              <w:rPr>
                <w:rFonts w:ascii="Arial" w:hAnsi="Arial" w:cs="Arial" w:eastAsia="Arial" w:hint="default"/>
                <w:sz w:val="22"/>
                <w:szCs w:val="22"/>
              </w:rPr>
            </w:pPr>
            <w:r>
              <w:rPr>
                <w:rFonts w:ascii="Arial" w:hAnsi="Arial" w:cs="Arial" w:eastAsia="Arial" w:hint="default"/>
                <w:sz w:val="22"/>
                <w:szCs w:val="22"/>
              </w:rPr>
              <w:t>“SQL</w:t>
            </w:r>
            <w:r>
              <w:rPr>
                <w:rFonts w:ascii="Arial" w:hAnsi="Arial" w:cs="Arial" w:eastAsia="Arial" w:hint="default"/>
                <w:spacing w:val="-3"/>
                <w:sz w:val="22"/>
                <w:szCs w:val="22"/>
              </w:rPr>
              <w:t> </w:t>
            </w:r>
            <w:r>
              <w:rPr>
                <w:rFonts w:ascii="Arial" w:hAnsi="Arial" w:cs="Arial" w:eastAsia="Arial" w:hint="default"/>
                <w:sz w:val="22"/>
                <w:szCs w:val="22"/>
              </w:rPr>
              <w:t>Server</w:t>
            </w:r>
          </w:p>
        </w:tc>
        <w:tc>
          <w:tcPr>
            <w:tcW w:w="1700" w:type="dxa"/>
            <w:tcBorders>
              <w:top w:val="single" w:sz="4" w:space="0" w:color="000000"/>
              <w:left w:val="single" w:sz="4" w:space="0" w:color="000000"/>
              <w:bottom w:val="nil" w:sz="6" w:space="0" w:color="auto"/>
              <w:right w:val="single" w:sz="8" w:space="0" w:color="000000"/>
            </w:tcBorders>
          </w:tcPr>
          <w:p>
            <w:pPr>
              <w:pStyle w:val="TableParagraph"/>
              <w:spacing w:line="267" w:lineRule="exact"/>
              <w:ind w:left="103" w:right="0"/>
              <w:jc w:val="left"/>
              <w:rPr>
                <w:rFonts w:ascii="Arial" w:hAnsi="Arial" w:cs="Arial" w:eastAsia="Arial" w:hint="default"/>
                <w:sz w:val="22"/>
                <w:szCs w:val="22"/>
              </w:rPr>
            </w:pPr>
            <w:r>
              <w:rPr>
                <w:rFonts w:ascii="Arial" w:hAnsi="Arial" w:cs="Arial" w:eastAsia="Arial" w:hint="default"/>
                <w:sz w:val="22"/>
                <w:szCs w:val="22"/>
              </w:rPr>
              <w:t>“</w:t>
            </w:r>
            <w:r>
              <w:rPr>
                <w:rFonts w:ascii="黑体" w:hAnsi="黑体" w:cs="黑体" w:eastAsia="黑体" w:hint="default"/>
                <w:sz w:val="22"/>
                <w:szCs w:val="22"/>
              </w:rPr>
              <w:t>仅</w:t>
            </w:r>
            <w:r>
              <w:rPr>
                <w:rFonts w:ascii="黑体" w:hAnsi="黑体" w:cs="黑体" w:eastAsia="黑体" w:hint="default"/>
                <w:spacing w:val="-58"/>
                <w:sz w:val="22"/>
                <w:szCs w:val="22"/>
              </w:rPr>
              <w:t> </w:t>
            </w:r>
            <w:r>
              <w:rPr>
                <w:rFonts w:ascii="Arial" w:hAnsi="Arial" w:cs="Arial" w:eastAsia="Arial" w:hint="default"/>
                <w:sz w:val="22"/>
                <w:szCs w:val="22"/>
              </w:rPr>
              <w:t>Windows”</w:t>
            </w:r>
          </w:p>
        </w:tc>
      </w:tr>
      <w:tr>
        <w:trPr>
          <w:trHeight w:val="302" w:hRule="exact"/>
        </w:trPr>
        <w:tc>
          <w:tcPr>
            <w:tcW w:w="860" w:type="dxa"/>
            <w:tcBorders>
              <w:top w:val="nil" w:sz="6" w:space="0" w:color="auto"/>
              <w:left w:val="single" w:sz="8" w:space="0" w:color="000000"/>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2551" w:type="dxa"/>
            <w:tcBorders>
              <w:top w:val="nil" w:sz="6" w:space="0" w:color="auto"/>
              <w:left w:val="single" w:sz="4" w:space="0" w:color="000000"/>
              <w:bottom w:val="nil" w:sz="6" w:space="0" w:color="auto"/>
              <w:right w:val="single" w:sz="4" w:space="0" w:color="000000"/>
            </w:tcBorders>
          </w:tcPr>
          <w:p>
            <w:pPr>
              <w:pStyle w:val="TableParagraph"/>
              <w:spacing w:line="279" w:lineRule="exact"/>
              <w:ind w:left="103" w:right="0"/>
              <w:jc w:val="left"/>
              <w:rPr>
                <w:rFonts w:ascii="黑体" w:hAnsi="黑体" w:cs="黑体" w:eastAsia="黑体" w:hint="default"/>
                <w:sz w:val="22"/>
                <w:szCs w:val="22"/>
              </w:rPr>
            </w:pPr>
            <w:r>
              <w:rPr>
                <w:rFonts w:ascii="Arial" w:hAnsi="Arial" w:cs="Arial" w:eastAsia="Arial" w:hint="default"/>
                <w:sz w:val="22"/>
                <w:szCs w:val="22"/>
              </w:rPr>
              <w:t>Windows</w:t>
            </w:r>
            <w:r>
              <w:rPr>
                <w:rFonts w:ascii="Arial" w:hAnsi="Arial" w:cs="Arial" w:eastAsia="Arial" w:hint="default"/>
                <w:spacing w:val="-17"/>
                <w:sz w:val="22"/>
                <w:szCs w:val="22"/>
              </w:rPr>
              <w:t> </w:t>
            </w:r>
            <w:r>
              <w:rPr>
                <w:rFonts w:ascii="黑体" w:hAnsi="黑体" w:cs="黑体" w:eastAsia="黑体" w:hint="default"/>
                <w:sz w:val="22"/>
                <w:szCs w:val="22"/>
              </w:rPr>
              <w:t>操作系统的安</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7" w:lineRule="exact"/>
              <w:ind w:left="103" w:right="0"/>
              <w:jc w:val="left"/>
              <w:rPr>
                <w:rFonts w:ascii="Arial" w:hAnsi="Arial" w:cs="Arial" w:eastAsia="Arial" w:hint="default"/>
                <w:sz w:val="22"/>
                <w:szCs w:val="22"/>
              </w:rPr>
            </w:pPr>
            <w:r>
              <w:rPr>
                <w:rFonts w:ascii="黑体" w:hAnsi="黑体" w:cs="黑体" w:eastAsia="黑体" w:hint="default"/>
                <w:sz w:val="22"/>
                <w:szCs w:val="22"/>
              </w:rPr>
              <w:t>和</w:t>
            </w:r>
            <w:r>
              <w:rPr>
                <w:rFonts w:ascii="黑体" w:hAnsi="黑体" w:cs="黑体" w:eastAsia="黑体" w:hint="default"/>
                <w:spacing w:val="-58"/>
                <w:sz w:val="22"/>
                <w:szCs w:val="22"/>
              </w:rPr>
              <w:t> </w:t>
            </w:r>
            <w:r>
              <w:rPr>
                <w:rFonts w:ascii="Arial" w:hAnsi="Arial" w:cs="Arial" w:eastAsia="Arial" w:hint="default"/>
                <w:sz w:val="22"/>
                <w:szCs w:val="22"/>
              </w:rPr>
              <w:t>Windows”</w:t>
            </w:r>
          </w:p>
        </w:tc>
        <w:tc>
          <w:tcPr>
            <w:tcW w:w="1700" w:type="dxa"/>
            <w:tcBorders>
              <w:top w:val="nil" w:sz="6" w:space="0" w:color="auto"/>
              <w:left w:val="single" w:sz="4" w:space="0" w:color="000000"/>
              <w:bottom w:val="nil" w:sz="6" w:space="0" w:color="auto"/>
              <w:right w:val="single" w:sz="8" w:space="0" w:color="000000"/>
            </w:tcBorders>
          </w:tcPr>
          <w:p>
            <w:pPr/>
          </w:p>
        </w:tc>
      </w:tr>
      <w:tr>
        <w:trPr>
          <w:trHeight w:val="283" w:hRule="exact"/>
        </w:trPr>
        <w:tc>
          <w:tcPr>
            <w:tcW w:w="860" w:type="dxa"/>
            <w:tcBorders>
              <w:top w:val="nil" w:sz="6" w:space="0" w:color="auto"/>
              <w:left w:val="single" w:sz="8" w:space="0" w:color="000000"/>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2551" w:type="dxa"/>
            <w:tcBorders>
              <w:top w:val="nil" w:sz="6" w:space="0" w:color="auto"/>
              <w:left w:val="single" w:sz="4" w:space="0" w:color="000000"/>
              <w:bottom w:val="nil" w:sz="6" w:space="0" w:color="auto"/>
              <w:right w:val="single" w:sz="4" w:space="0" w:color="000000"/>
            </w:tcBorders>
          </w:tcPr>
          <w:p>
            <w:pPr>
              <w:pStyle w:val="TableParagraph"/>
              <w:spacing w:line="263" w:lineRule="exact"/>
              <w:ind w:left="103" w:right="0"/>
              <w:jc w:val="left"/>
              <w:rPr>
                <w:rFonts w:ascii="Arial" w:hAnsi="Arial" w:cs="Arial" w:eastAsia="Arial" w:hint="default"/>
                <w:sz w:val="22"/>
                <w:szCs w:val="22"/>
              </w:rPr>
            </w:pPr>
            <w:r>
              <w:rPr>
                <w:rFonts w:ascii="黑体" w:hAnsi="黑体" w:cs="黑体" w:eastAsia="黑体" w:hint="default"/>
                <w:sz w:val="22"/>
                <w:szCs w:val="22"/>
              </w:rPr>
              <w:t>全设置来保护</w:t>
            </w:r>
            <w:r>
              <w:rPr>
                <w:rFonts w:ascii="黑体" w:hAnsi="黑体" w:cs="黑体" w:eastAsia="黑体" w:hint="default"/>
                <w:spacing w:val="-57"/>
                <w:sz w:val="22"/>
                <w:szCs w:val="22"/>
              </w:rPr>
              <w:t> </w:t>
            </w:r>
            <w:r>
              <w:rPr>
                <w:rFonts w:ascii="Arial" w:hAnsi="Arial" w:cs="Arial" w:eastAsia="Arial" w:hint="default"/>
                <w:sz w:val="22"/>
                <w:szCs w:val="22"/>
              </w:rPr>
              <w:t>SQL</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8" w:space="0" w:color="000000"/>
            </w:tcBorders>
          </w:tcPr>
          <w:p>
            <w:pPr/>
          </w:p>
        </w:tc>
      </w:tr>
      <w:tr>
        <w:trPr>
          <w:trHeight w:val="547" w:hRule="exact"/>
        </w:trPr>
        <w:tc>
          <w:tcPr>
            <w:tcW w:w="860" w:type="dxa"/>
            <w:tcBorders>
              <w:top w:val="nil" w:sz="6" w:space="0" w:color="auto"/>
              <w:left w:val="single" w:sz="8" w:space="0" w:color="000000"/>
              <w:bottom w:val="single" w:sz="8" w:space="0" w:color="000000"/>
              <w:right w:val="single" w:sz="4" w:space="0" w:color="000000"/>
            </w:tcBorders>
          </w:tcPr>
          <w:p>
            <w:pPr/>
          </w:p>
        </w:tc>
        <w:tc>
          <w:tcPr>
            <w:tcW w:w="1985" w:type="dxa"/>
            <w:tcBorders>
              <w:top w:val="nil" w:sz="6" w:space="0" w:color="auto"/>
              <w:left w:val="single" w:sz="4" w:space="0" w:color="000000"/>
              <w:bottom w:val="single" w:sz="8" w:space="0" w:color="000000"/>
              <w:right w:val="single" w:sz="4" w:space="0" w:color="000000"/>
            </w:tcBorders>
          </w:tcPr>
          <w:p>
            <w:pPr/>
          </w:p>
        </w:tc>
        <w:tc>
          <w:tcPr>
            <w:tcW w:w="2551" w:type="dxa"/>
            <w:tcBorders>
              <w:top w:val="nil" w:sz="6" w:space="0" w:color="auto"/>
              <w:left w:val="single" w:sz="4" w:space="0" w:color="000000"/>
              <w:bottom w:val="single" w:sz="8" w:space="0" w:color="000000"/>
              <w:right w:val="single" w:sz="4" w:space="0" w:color="000000"/>
            </w:tcBorders>
          </w:tcPr>
          <w:p>
            <w:pPr>
              <w:pStyle w:val="TableParagraph"/>
              <w:spacing w:line="249" w:lineRule="exact"/>
              <w:ind w:left="103" w:right="0"/>
              <w:jc w:val="left"/>
              <w:rPr>
                <w:rFonts w:ascii="Arial" w:hAnsi="Arial" w:cs="Arial" w:eastAsia="Arial" w:hint="default"/>
                <w:sz w:val="22"/>
                <w:szCs w:val="22"/>
              </w:rPr>
            </w:pPr>
            <w:r>
              <w:rPr>
                <w:rFonts w:ascii="Arial"/>
                <w:sz w:val="22"/>
              </w:rPr>
              <w:t>Server.</w:t>
            </w:r>
          </w:p>
        </w:tc>
        <w:tc>
          <w:tcPr>
            <w:tcW w:w="1702" w:type="dxa"/>
            <w:tcBorders>
              <w:top w:val="nil" w:sz="6" w:space="0" w:color="auto"/>
              <w:left w:val="single" w:sz="4" w:space="0" w:color="000000"/>
              <w:bottom w:val="single" w:sz="8" w:space="0" w:color="000000"/>
              <w:right w:val="single" w:sz="4" w:space="0" w:color="000000"/>
            </w:tcBorders>
          </w:tcPr>
          <w:p>
            <w:pPr/>
          </w:p>
        </w:tc>
        <w:tc>
          <w:tcPr>
            <w:tcW w:w="1700" w:type="dxa"/>
            <w:tcBorders>
              <w:top w:val="nil" w:sz="6" w:space="0" w:color="auto"/>
              <w:left w:val="single" w:sz="4" w:space="0" w:color="000000"/>
              <w:bottom w:val="single" w:sz="8" w:space="0" w:color="000000"/>
              <w:right w:val="single" w:sz="8" w:space="0" w:color="000000"/>
            </w:tcBorders>
          </w:tcPr>
          <w:p>
            <w:pPr/>
          </w:p>
        </w:tc>
      </w:tr>
      <w:tr>
        <w:trPr>
          <w:trHeight w:val="317" w:hRule="exact"/>
        </w:trPr>
        <w:tc>
          <w:tcPr>
            <w:tcW w:w="860" w:type="dxa"/>
            <w:tcBorders>
              <w:top w:val="single" w:sz="8" w:space="0" w:color="000000"/>
              <w:left w:val="single" w:sz="8" w:space="0" w:color="000000"/>
              <w:bottom w:val="nil" w:sz="6" w:space="0" w:color="auto"/>
              <w:right w:val="single" w:sz="4" w:space="0" w:color="000000"/>
            </w:tcBorders>
          </w:tcPr>
          <w:p>
            <w:pPr>
              <w:pStyle w:val="TableParagraph"/>
              <w:spacing w:line="252" w:lineRule="exact"/>
              <w:ind w:left="98" w:right="0"/>
              <w:jc w:val="left"/>
              <w:rPr>
                <w:rFonts w:ascii="Arial" w:hAnsi="Arial" w:cs="Arial" w:eastAsia="Arial" w:hint="default"/>
                <w:sz w:val="22"/>
                <w:szCs w:val="22"/>
              </w:rPr>
            </w:pPr>
            <w:r>
              <w:rPr>
                <w:rFonts w:ascii="Arial"/>
                <w:w w:val="99"/>
                <w:sz w:val="22"/>
              </w:rPr>
              <w:t>3</w:t>
            </w:r>
            <w:r>
              <w:rPr>
                <w:rFonts w:ascii="Arial"/>
                <w:sz w:val="22"/>
              </w:rPr>
            </w:r>
          </w:p>
        </w:tc>
        <w:tc>
          <w:tcPr>
            <w:tcW w:w="1985" w:type="dxa"/>
            <w:tcBorders>
              <w:top w:val="single" w:sz="8" w:space="0" w:color="000000"/>
              <w:left w:val="single" w:sz="4" w:space="0" w:color="000000"/>
              <w:bottom w:val="nil" w:sz="6" w:space="0" w:color="auto"/>
              <w:right w:val="single" w:sz="4" w:space="0" w:color="000000"/>
            </w:tcBorders>
          </w:tcPr>
          <w:p>
            <w:pPr>
              <w:pStyle w:val="TableParagraph"/>
              <w:spacing w:line="269" w:lineRule="exact"/>
              <w:ind w:left="103" w:right="0"/>
              <w:jc w:val="left"/>
              <w:rPr>
                <w:rFonts w:ascii="黑体" w:hAnsi="黑体" w:cs="黑体" w:eastAsia="黑体" w:hint="default"/>
                <w:sz w:val="22"/>
                <w:szCs w:val="22"/>
              </w:rPr>
            </w:pPr>
            <w:r>
              <w:rPr>
                <w:rFonts w:ascii="Arial" w:hAnsi="Arial" w:cs="Arial" w:eastAsia="Arial" w:hint="default"/>
                <w:sz w:val="22"/>
                <w:szCs w:val="22"/>
              </w:rPr>
              <w:t>C2</w:t>
            </w:r>
            <w:r>
              <w:rPr>
                <w:rFonts w:ascii="Arial" w:hAnsi="Arial" w:cs="Arial" w:eastAsia="Arial" w:hint="default"/>
                <w:spacing w:val="-16"/>
                <w:sz w:val="22"/>
                <w:szCs w:val="22"/>
              </w:rPr>
              <w:t> </w:t>
            </w:r>
            <w:r>
              <w:rPr>
                <w:rFonts w:ascii="黑体" w:hAnsi="黑体" w:cs="黑体" w:eastAsia="黑体" w:hint="default"/>
                <w:sz w:val="22"/>
                <w:szCs w:val="22"/>
              </w:rPr>
              <w:t>审计功能</w:t>
            </w:r>
          </w:p>
        </w:tc>
        <w:tc>
          <w:tcPr>
            <w:tcW w:w="2551" w:type="dxa"/>
            <w:tcBorders>
              <w:top w:val="single" w:sz="8" w:space="0" w:color="000000"/>
              <w:left w:val="single" w:sz="4" w:space="0" w:color="000000"/>
              <w:bottom w:val="nil" w:sz="6" w:space="0" w:color="auto"/>
              <w:right w:val="single" w:sz="4" w:space="0" w:color="000000"/>
            </w:tcBorders>
          </w:tcPr>
          <w:p>
            <w:pPr>
              <w:pStyle w:val="TableParagraph"/>
              <w:spacing w:line="301" w:lineRule="exact"/>
              <w:ind w:left="103" w:right="0"/>
              <w:jc w:val="left"/>
              <w:rPr>
                <w:rFonts w:ascii="黑体" w:hAnsi="黑体" w:cs="黑体" w:eastAsia="黑体" w:hint="default"/>
                <w:sz w:val="22"/>
                <w:szCs w:val="22"/>
              </w:rPr>
            </w:pPr>
            <w:r>
              <w:rPr>
                <w:rFonts w:ascii="黑体" w:hAnsi="黑体" w:cs="黑体" w:eastAsia="黑体" w:hint="default"/>
                <w:sz w:val="22"/>
                <w:szCs w:val="22"/>
              </w:rPr>
              <w:t>没有开启</w:t>
            </w:r>
            <w:r>
              <w:rPr>
                <w:rFonts w:ascii="黑体" w:hAnsi="黑体" w:cs="黑体" w:eastAsia="黑体" w:hint="default"/>
                <w:spacing w:val="-56"/>
                <w:sz w:val="22"/>
                <w:szCs w:val="22"/>
              </w:rPr>
              <w:t> </w:t>
            </w:r>
            <w:r>
              <w:rPr>
                <w:rFonts w:ascii="Arial" w:hAnsi="Arial" w:cs="Arial" w:eastAsia="Arial" w:hint="default"/>
                <w:sz w:val="22"/>
                <w:szCs w:val="22"/>
              </w:rPr>
              <w:t>C2</w:t>
            </w:r>
            <w:r>
              <w:rPr>
                <w:rFonts w:ascii="Arial" w:hAnsi="Arial" w:cs="Arial" w:eastAsia="Arial" w:hint="default"/>
                <w:spacing w:val="-15"/>
                <w:sz w:val="22"/>
                <w:szCs w:val="22"/>
              </w:rPr>
              <w:t> </w:t>
            </w:r>
            <w:r>
              <w:rPr>
                <w:rFonts w:ascii="黑体" w:hAnsi="黑体" w:cs="黑体" w:eastAsia="黑体" w:hint="default"/>
                <w:sz w:val="22"/>
                <w:szCs w:val="22"/>
              </w:rPr>
              <w:t>审计功能</w:t>
            </w:r>
          </w:p>
        </w:tc>
        <w:tc>
          <w:tcPr>
            <w:tcW w:w="1702" w:type="dxa"/>
            <w:tcBorders>
              <w:top w:val="single" w:sz="8" w:space="0" w:color="000000"/>
              <w:left w:val="single" w:sz="4" w:space="0" w:color="000000"/>
              <w:bottom w:val="nil" w:sz="6" w:space="0" w:color="auto"/>
              <w:right w:val="single" w:sz="4" w:space="0" w:color="000000"/>
            </w:tcBorders>
          </w:tcPr>
          <w:p>
            <w:pPr>
              <w:pStyle w:val="TableParagraph"/>
              <w:spacing w:line="269" w:lineRule="exact"/>
              <w:ind w:left="103" w:right="0"/>
              <w:jc w:val="left"/>
              <w:rPr>
                <w:rFonts w:ascii="黑体" w:hAnsi="黑体" w:cs="黑体" w:eastAsia="黑体" w:hint="default"/>
                <w:sz w:val="22"/>
                <w:szCs w:val="22"/>
              </w:rPr>
            </w:pPr>
            <w:r>
              <w:rPr>
                <w:rFonts w:ascii="Arial" w:hAnsi="Arial" w:cs="Arial" w:eastAsia="Arial" w:hint="default"/>
                <w:sz w:val="22"/>
                <w:szCs w:val="22"/>
              </w:rPr>
              <w:t>C2</w:t>
            </w:r>
            <w:r>
              <w:rPr>
                <w:rFonts w:ascii="Arial" w:hAnsi="Arial" w:cs="Arial" w:eastAsia="Arial" w:hint="default"/>
                <w:spacing w:val="-15"/>
                <w:sz w:val="22"/>
                <w:szCs w:val="22"/>
              </w:rPr>
              <w:t> </w:t>
            </w:r>
            <w:r>
              <w:rPr>
                <w:rFonts w:ascii="黑体" w:hAnsi="黑体" w:cs="黑体" w:eastAsia="黑体" w:hint="default"/>
                <w:sz w:val="22"/>
                <w:szCs w:val="22"/>
              </w:rPr>
              <w:t>审计模式参</w:t>
            </w:r>
          </w:p>
        </w:tc>
        <w:tc>
          <w:tcPr>
            <w:tcW w:w="1700" w:type="dxa"/>
            <w:tcBorders>
              <w:top w:val="single" w:sz="8" w:space="0" w:color="000000"/>
              <w:left w:val="single" w:sz="4" w:space="0" w:color="000000"/>
              <w:bottom w:val="nil" w:sz="6" w:space="0" w:color="auto"/>
              <w:right w:val="single" w:sz="8" w:space="0" w:color="000000"/>
            </w:tcBorders>
          </w:tcPr>
          <w:p>
            <w:pPr>
              <w:pStyle w:val="TableParagraph"/>
              <w:spacing w:line="269" w:lineRule="exact"/>
              <w:ind w:left="102" w:right="0"/>
              <w:jc w:val="left"/>
              <w:rPr>
                <w:rFonts w:ascii="黑体" w:hAnsi="黑体" w:cs="黑体" w:eastAsia="黑体" w:hint="default"/>
                <w:sz w:val="22"/>
                <w:szCs w:val="22"/>
              </w:rPr>
            </w:pPr>
            <w:r>
              <w:rPr>
                <w:rFonts w:ascii="Arial" w:hAnsi="Arial" w:cs="Arial" w:eastAsia="Arial" w:hint="default"/>
                <w:sz w:val="22"/>
                <w:szCs w:val="22"/>
              </w:rPr>
              <w:t>C2</w:t>
            </w:r>
            <w:r>
              <w:rPr>
                <w:rFonts w:ascii="Arial" w:hAnsi="Arial" w:cs="Arial" w:eastAsia="Arial" w:hint="default"/>
                <w:spacing w:val="-15"/>
                <w:sz w:val="22"/>
                <w:szCs w:val="22"/>
              </w:rPr>
              <w:t> </w:t>
            </w:r>
            <w:r>
              <w:rPr>
                <w:rFonts w:ascii="黑体" w:hAnsi="黑体" w:cs="黑体" w:eastAsia="黑体" w:hint="default"/>
                <w:sz w:val="22"/>
                <w:szCs w:val="22"/>
              </w:rPr>
              <w:t>审计模式参</w:t>
            </w:r>
          </w:p>
        </w:tc>
      </w:tr>
      <w:tr>
        <w:trPr>
          <w:trHeight w:val="273" w:hRule="exact"/>
        </w:trPr>
        <w:tc>
          <w:tcPr>
            <w:tcW w:w="860" w:type="dxa"/>
            <w:tcBorders>
              <w:top w:val="nil" w:sz="6" w:space="0" w:color="auto"/>
              <w:left w:val="single" w:sz="8" w:space="0" w:color="000000"/>
              <w:bottom w:val="single" w:sz="8" w:space="0" w:color="000000"/>
              <w:right w:val="single" w:sz="4" w:space="0" w:color="000000"/>
            </w:tcBorders>
          </w:tcPr>
          <w:p>
            <w:pPr/>
          </w:p>
        </w:tc>
        <w:tc>
          <w:tcPr>
            <w:tcW w:w="1985" w:type="dxa"/>
            <w:tcBorders>
              <w:top w:val="nil" w:sz="6" w:space="0" w:color="auto"/>
              <w:left w:val="single" w:sz="4" w:space="0" w:color="000000"/>
              <w:bottom w:val="single" w:sz="8" w:space="0" w:color="000000"/>
              <w:right w:val="single" w:sz="4" w:space="0" w:color="000000"/>
            </w:tcBorders>
          </w:tcPr>
          <w:p>
            <w:pPr/>
          </w:p>
        </w:tc>
        <w:tc>
          <w:tcPr>
            <w:tcW w:w="2551" w:type="dxa"/>
            <w:tcBorders>
              <w:top w:val="nil" w:sz="6" w:space="0" w:color="auto"/>
              <w:left w:val="single" w:sz="4" w:space="0" w:color="000000"/>
              <w:bottom w:val="single" w:sz="8" w:space="0" w:color="000000"/>
              <w:right w:val="single" w:sz="4" w:space="0" w:color="000000"/>
            </w:tcBorders>
          </w:tcPr>
          <w:p>
            <w:pPr/>
          </w:p>
        </w:tc>
        <w:tc>
          <w:tcPr>
            <w:tcW w:w="1702" w:type="dxa"/>
            <w:tcBorders>
              <w:top w:val="nil" w:sz="6" w:space="0" w:color="auto"/>
              <w:left w:val="single" w:sz="4" w:space="0" w:color="000000"/>
              <w:bottom w:val="single" w:sz="8" w:space="0" w:color="000000"/>
              <w:right w:val="single" w:sz="4" w:space="0" w:color="000000"/>
            </w:tcBorders>
          </w:tcPr>
          <w:p>
            <w:pPr>
              <w:pStyle w:val="TableParagraph"/>
              <w:spacing w:line="247" w:lineRule="exact"/>
              <w:ind w:left="103" w:right="0"/>
              <w:jc w:val="left"/>
              <w:rPr>
                <w:rFonts w:ascii="Arial" w:hAnsi="Arial" w:cs="Arial" w:eastAsia="Arial" w:hint="default"/>
                <w:sz w:val="22"/>
                <w:szCs w:val="22"/>
              </w:rPr>
            </w:pPr>
            <w:r>
              <w:rPr>
                <w:rFonts w:ascii="黑体" w:hAnsi="黑体" w:cs="黑体" w:eastAsia="黑体" w:hint="default"/>
                <w:sz w:val="22"/>
                <w:szCs w:val="22"/>
              </w:rPr>
              <w:t>数设为</w:t>
            </w:r>
            <w:r>
              <w:rPr>
                <w:rFonts w:ascii="黑体" w:hAnsi="黑体" w:cs="黑体" w:eastAsia="黑体" w:hint="default"/>
                <w:spacing w:val="-57"/>
                <w:sz w:val="22"/>
                <w:szCs w:val="22"/>
              </w:rPr>
              <w:t> </w:t>
            </w:r>
            <w:r>
              <w:rPr>
                <w:rFonts w:ascii="Arial" w:hAnsi="Arial" w:cs="Arial" w:eastAsia="Arial" w:hint="default"/>
                <w:sz w:val="22"/>
                <w:szCs w:val="22"/>
              </w:rPr>
              <w:t>0</w:t>
            </w:r>
          </w:p>
        </w:tc>
        <w:tc>
          <w:tcPr>
            <w:tcW w:w="1700" w:type="dxa"/>
            <w:tcBorders>
              <w:top w:val="nil" w:sz="6" w:space="0" w:color="auto"/>
              <w:left w:val="single" w:sz="4" w:space="0" w:color="000000"/>
              <w:bottom w:val="single" w:sz="8" w:space="0" w:color="000000"/>
              <w:right w:val="single" w:sz="8" w:space="0" w:color="000000"/>
            </w:tcBorders>
          </w:tcPr>
          <w:p>
            <w:pPr>
              <w:pStyle w:val="TableParagraph"/>
              <w:spacing w:line="247" w:lineRule="exact"/>
              <w:ind w:left="102" w:right="0"/>
              <w:jc w:val="left"/>
              <w:rPr>
                <w:rFonts w:ascii="Arial" w:hAnsi="Arial" w:cs="Arial" w:eastAsia="Arial" w:hint="default"/>
                <w:sz w:val="22"/>
                <w:szCs w:val="22"/>
              </w:rPr>
            </w:pPr>
            <w:r>
              <w:rPr>
                <w:rFonts w:ascii="黑体" w:hAnsi="黑体" w:cs="黑体" w:eastAsia="黑体" w:hint="default"/>
                <w:sz w:val="22"/>
                <w:szCs w:val="22"/>
              </w:rPr>
              <w:t>数设为</w:t>
            </w:r>
            <w:r>
              <w:rPr>
                <w:rFonts w:ascii="黑体" w:hAnsi="黑体" w:cs="黑体" w:eastAsia="黑体" w:hint="default"/>
                <w:spacing w:val="-57"/>
                <w:sz w:val="22"/>
                <w:szCs w:val="22"/>
              </w:rPr>
              <w:t> </w:t>
            </w:r>
            <w:r>
              <w:rPr>
                <w:rFonts w:ascii="Arial" w:hAnsi="Arial" w:cs="Arial" w:eastAsia="Arial" w:hint="default"/>
                <w:sz w:val="22"/>
                <w:szCs w:val="22"/>
              </w:rPr>
              <w:t>1</w:t>
            </w:r>
          </w:p>
        </w:tc>
      </w:tr>
    </w:tbl>
    <w:p>
      <w:pPr>
        <w:spacing w:after="0" w:line="247" w:lineRule="exact"/>
        <w:jc w:val="left"/>
        <w:rPr>
          <w:rFonts w:ascii="Arial" w:hAnsi="Arial" w:cs="Arial" w:eastAsia="Arial" w:hint="default"/>
          <w:sz w:val="22"/>
          <w:szCs w:val="22"/>
        </w:rPr>
        <w:sectPr>
          <w:headerReference w:type="default" r:id="rId144"/>
          <w:pgSz w:w="12240" w:h="15840"/>
          <w:pgMar w:header="0" w:footer="755" w:top="1380" w:bottom="940" w:left="1680" w:right="1460"/>
        </w:sectPr>
      </w:pPr>
    </w:p>
    <w:p>
      <w:pPr>
        <w:spacing w:line="240" w:lineRule="auto" w:before="0"/>
        <w:rPr>
          <w:rFonts w:ascii="Arial" w:hAnsi="Arial" w:cs="Arial" w:eastAsia="Arial" w:hint="default"/>
          <w:b/>
          <w:bCs/>
          <w:i/>
          <w:sz w:val="20"/>
          <w:szCs w:val="20"/>
        </w:rPr>
      </w:pPr>
    </w:p>
    <w:p>
      <w:pPr>
        <w:spacing w:line="240" w:lineRule="auto" w:before="7"/>
        <w:rPr>
          <w:rFonts w:ascii="Arial" w:hAnsi="Arial" w:cs="Arial" w:eastAsia="Arial" w:hint="default"/>
          <w:b/>
          <w:bCs/>
          <w:i/>
          <w:sz w:val="23"/>
          <w:szCs w:val="23"/>
        </w:rPr>
      </w:pPr>
    </w:p>
    <w:p>
      <w:pPr>
        <w:spacing w:line="388" w:lineRule="exact" w:before="47"/>
        <w:ind w:left="2490" w:right="2010" w:firstLine="300"/>
        <w:jc w:val="left"/>
        <w:rPr>
          <w:rFonts w:ascii="黑体" w:hAnsi="黑体" w:cs="黑体" w:eastAsia="黑体" w:hint="default"/>
          <w:sz w:val="30"/>
          <w:szCs w:val="30"/>
        </w:rPr>
      </w:pPr>
      <w:r>
        <w:rPr>
          <w:rFonts w:ascii="黑体" w:hAnsi="黑体" w:cs="黑体" w:eastAsia="黑体" w:hint="default"/>
          <w:sz w:val="30"/>
          <w:szCs w:val="30"/>
        </w:rPr>
        <w:t>用友软件股份有限公司董事会 关于公司内部控制的自我评估报告</w:t>
      </w:r>
    </w:p>
    <w:p>
      <w:pPr>
        <w:spacing w:line="240" w:lineRule="auto" w:before="0"/>
        <w:rPr>
          <w:rFonts w:ascii="黑体" w:hAnsi="黑体" w:cs="黑体" w:eastAsia="黑体" w:hint="default"/>
          <w:sz w:val="30"/>
          <w:szCs w:val="30"/>
        </w:rPr>
      </w:pPr>
    </w:p>
    <w:p>
      <w:pPr>
        <w:spacing w:line="240" w:lineRule="auto" w:before="1"/>
        <w:rPr>
          <w:rFonts w:ascii="黑体" w:hAnsi="黑体" w:cs="黑体" w:eastAsia="黑体" w:hint="default"/>
          <w:sz w:val="31"/>
          <w:szCs w:val="31"/>
        </w:rPr>
      </w:pPr>
    </w:p>
    <w:p>
      <w:pPr>
        <w:spacing w:line="297" w:lineRule="auto" w:before="0"/>
        <w:ind w:left="120" w:right="289" w:firstLine="420"/>
        <w:jc w:val="both"/>
        <w:rPr>
          <w:rFonts w:ascii="宋体" w:hAnsi="宋体" w:cs="宋体" w:eastAsia="宋体" w:hint="default"/>
          <w:sz w:val="21"/>
          <w:szCs w:val="21"/>
        </w:rPr>
      </w:pPr>
      <w:r>
        <w:rPr>
          <w:rFonts w:ascii="宋体" w:hAnsi="宋体" w:cs="宋体" w:eastAsia="宋体" w:hint="default"/>
          <w:sz w:val="21"/>
          <w:szCs w:val="21"/>
        </w:rPr>
        <w:t>公司董事会及全体董事保证本报告内容不存在任何虚假记载、误导性陈述或重大遗漏，并 对其内容的真实性、准确性和完整性承担个别及连带责任。</w:t>
      </w:r>
    </w:p>
    <w:p>
      <w:pPr>
        <w:spacing w:line="297" w:lineRule="auto" w:before="134"/>
        <w:ind w:left="120" w:right="270" w:firstLine="420"/>
        <w:jc w:val="left"/>
        <w:rPr>
          <w:rFonts w:ascii="宋体" w:hAnsi="宋体" w:cs="宋体" w:eastAsia="宋体" w:hint="default"/>
          <w:sz w:val="21"/>
          <w:szCs w:val="21"/>
        </w:rPr>
      </w:pPr>
      <w:r>
        <w:rPr>
          <w:rFonts w:ascii="宋体" w:hAnsi="宋体" w:cs="宋体" w:eastAsia="宋体" w:hint="default"/>
          <w:sz w:val="21"/>
          <w:szCs w:val="21"/>
        </w:rPr>
        <w:t>为了保证公司经营管理合法合规、资产安全、财务报告及相关信息真实完整，提高经营效 率和效果，促进公司实现发展战略，同时控制经营风险，保护公司及投资者的合法权益，公司 按照《公司法》、《证券法》、《企业内部控制基本规范》、《上海证券交易所上市公司内部 控制指引》等相关法律法规的要求，结合自身经营管理特点和实际情况，建立了较为健全的内 部控制制度，形成了完整的内部控制体系，并严格遵照执行。用友软件股份有限公司（以下简 称“公司”）董事会检查了公司</w:t>
      </w:r>
      <w:r>
        <w:rPr>
          <w:rFonts w:ascii="宋体" w:hAnsi="宋体" w:cs="宋体" w:eastAsia="宋体" w:hint="default"/>
          <w:spacing w:val="-62"/>
          <w:sz w:val="21"/>
          <w:szCs w:val="21"/>
        </w:rPr>
        <w:t> </w:t>
      </w:r>
      <w:r>
        <w:rPr>
          <w:rFonts w:ascii="宋体" w:hAnsi="宋体" w:cs="宋体" w:eastAsia="宋体" w:hint="default"/>
          <w:sz w:val="21"/>
          <w:szCs w:val="21"/>
        </w:rPr>
        <w:t>2009</w:t>
      </w:r>
      <w:r>
        <w:rPr>
          <w:rFonts w:ascii="宋体" w:hAnsi="宋体" w:cs="宋体" w:eastAsia="宋体" w:hint="default"/>
          <w:spacing w:val="-61"/>
          <w:sz w:val="21"/>
          <w:szCs w:val="21"/>
        </w:rPr>
        <w:t> </w:t>
      </w:r>
      <w:r>
        <w:rPr>
          <w:rFonts w:ascii="宋体" w:hAnsi="宋体" w:cs="宋体" w:eastAsia="宋体" w:hint="default"/>
          <w:sz w:val="21"/>
          <w:szCs w:val="21"/>
        </w:rPr>
        <w:t>年度的各项内部控制制度执行情况，现将公司内部控制</w:t>
      </w:r>
      <w:r>
        <w:rPr>
          <w:rFonts w:ascii="宋体" w:hAnsi="宋体" w:cs="宋体" w:eastAsia="宋体" w:hint="default"/>
          <w:spacing w:val="-1"/>
          <w:sz w:val="21"/>
          <w:szCs w:val="21"/>
        </w:rPr>
        <w:t> </w:t>
      </w:r>
      <w:r>
        <w:rPr>
          <w:rFonts w:ascii="宋体" w:hAnsi="宋体" w:cs="宋体" w:eastAsia="宋体" w:hint="default"/>
          <w:sz w:val="21"/>
          <w:szCs w:val="21"/>
        </w:rPr>
        <w:t>情况报告如下。</w:t>
      </w:r>
    </w:p>
    <w:p>
      <w:pPr>
        <w:spacing w:line="460" w:lineRule="exact" w:before="13"/>
        <w:ind w:left="540" w:right="0" w:firstLine="0"/>
        <w:jc w:val="left"/>
        <w:rPr>
          <w:rFonts w:ascii="宋体" w:hAnsi="宋体" w:cs="宋体" w:eastAsia="宋体" w:hint="default"/>
          <w:sz w:val="21"/>
          <w:szCs w:val="21"/>
        </w:rPr>
      </w:pPr>
      <w:r>
        <w:rPr>
          <w:rFonts w:ascii="宋体" w:hAnsi="宋体" w:cs="宋体" w:eastAsia="宋体" w:hint="default"/>
          <w:sz w:val="21"/>
          <w:szCs w:val="21"/>
        </w:rPr>
        <w:t>一、公司内部控制的目标 公司内控的目标是：合理保证公司经营管理合法合规、资产安全、财务报告及相关信息真</w:t>
      </w:r>
    </w:p>
    <w:p>
      <w:pPr>
        <w:spacing w:line="400" w:lineRule="auto" w:before="3"/>
        <w:ind w:left="540" w:right="3630" w:hanging="420"/>
        <w:jc w:val="left"/>
        <w:rPr>
          <w:rFonts w:ascii="宋体" w:hAnsi="宋体" w:cs="宋体" w:eastAsia="宋体" w:hint="default"/>
          <w:sz w:val="21"/>
          <w:szCs w:val="21"/>
        </w:rPr>
      </w:pPr>
      <w:r>
        <w:rPr>
          <w:rFonts w:ascii="宋体" w:hAnsi="宋体" w:cs="宋体" w:eastAsia="宋体" w:hint="default"/>
          <w:sz w:val="21"/>
          <w:szCs w:val="21"/>
        </w:rPr>
        <w:t>实完整，提高经营效率和效果，促进企业实现发展战略。 二、公司内部控制体系</w:t>
      </w:r>
    </w:p>
    <w:p>
      <w:pPr>
        <w:spacing w:line="297" w:lineRule="auto" w:before="45"/>
        <w:ind w:left="120" w:right="252" w:firstLine="482"/>
        <w:jc w:val="both"/>
        <w:rPr>
          <w:rFonts w:ascii="宋体" w:hAnsi="宋体" w:cs="宋体" w:eastAsia="宋体" w:hint="default"/>
          <w:sz w:val="21"/>
          <w:szCs w:val="21"/>
        </w:rPr>
      </w:pPr>
      <w:r>
        <w:rPr>
          <w:rFonts w:ascii="宋体" w:hAnsi="宋体" w:cs="宋体" w:eastAsia="宋体" w:hint="default"/>
          <w:spacing w:val="4"/>
          <w:sz w:val="21"/>
          <w:szCs w:val="21"/>
        </w:rPr>
        <w:t>公司在建立健全内部控制制度，实施内部控制管理过程中，充分考虑到内部环境、风险 </w:t>
      </w:r>
      <w:r>
        <w:rPr>
          <w:rFonts w:ascii="宋体" w:hAnsi="宋体" w:cs="宋体" w:eastAsia="宋体" w:hint="default"/>
          <w:sz w:val="21"/>
          <w:szCs w:val="21"/>
        </w:rPr>
        <w:t>评估、控制活动、信息与沟通、内部监督等五项基本要素，从基本要素入手，逐渐形成了目前</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8"/>
          <w:sz w:val="21"/>
          <w:szCs w:val="21"/>
        </w:rPr>
        <w:t>公司较为完善的内控体系。公司的内控体系涵盖了财务会计、销售组织、服务机构、IT</w:t>
      </w:r>
      <w:r>
        <w:rPr>
          <w:rFonts w:ascii="宋体" w:hAnsi="宋体" w:cs="宋体" w:eastAsia="宋体" w:hint="default"/>
          <w:spacing w:val="13"/>
          <w:sz w:val="21"/>
          <w:szCs w:val="21"/>
        </w:rPr>
        <w:t> </w:t>
      </w:r>
      <w:r>
        <w:rPr>
          <w:rFonts w:ascii="宋体" w:hAnsi="宋体" w:cs="宋体" w:eastAsia="宋体" w:hint="default"/>
          <w:sz w:val="21"/>
          <w:szCs w:val="21"/>
        </w:rPr>
        <w:t>环</w:t>
      </w:r>
      <w:r>
        <w:rPr>
          <w:rFonts w:ascii="宋体" w:hAnsi="宋体" w:cs="宋体" w:eastAsia="宋体" w:hint="default"/>
          <w:sz w:val="21"/>
          <w:szCs w:val="21"/>
        </w:rPr>
        <w:t> 境、产品研发、人力行政、企业规划等诸多方面的运营管理组织的管理内容。</w:t>
      </w:r>
    </w:p>
    <w:p>
      <w:pPr>
        <w:spacing w:line="400" w:lineRule="auto" w:before="135"/>
        <w:ind w:left="539" w:right="6256" w:hanging="314"/>
        <w:jc w:val="left"/>
        <w:rPr>
          <w:rFonts w:ascii="宋体" w:hAnsi="宋体" w:cs="宋体" w:eastAsia="宋体" w:hint="default"/>
          <w:sz w:val="21"/>
          <w:szCs w:val="21"/>
        </w:rPr>
      </w:pPr>
      <w:r>
        <w:rPr>
          <w:rFonts w:ascii="宋体" w:hAnsi="宋体" w:cs="宋体" w:eastAsia="宋体" w:hint="default"/>
          <w:sz w:val="21"/>
          <w:szCs w:val="21"/>
        </w:rPr>
        <w:t>（一）内部环境 1、完善的法人治理结构</w:t>
      </w:r>
    </w:p>
    <w:p>
      <w:pPr>
        <w:spacing w:line="297" w:lineRule="auto" w:before="45"/>
        <w:ind w:left="120" w:right="258" w:firstLine="420"/>
        <w:jc w:val="both"/>
        <w:rPr>
          <w:rFonts w:ascii="宋体" w:hAnsi="宋体" w:cs="宋体" w:eastAsia="宋体" w:hint="default"/>
          <w:sz w:val="21"/>
          <w:szCs w:val="21"/>
        </w:rPr>
      </w:pPr>
      <w:r>
        <w:rPr>
          <w:rFonts w:ascii="宋体" w:hAnsi="宋体" w:cs="宋体" w:eastAsia="宋体" w:hint="default"/>
          <w:sz w:val="21"/>
          <w:szCs w:val="21"/>
        </w:rPr>
        <w:t>根据《公司法》、《证券法》等法律法规要求，公司建立了较为完善的法人治理结构，权 力机构、决策机构、监督机构与经营管理层之间权责分明、各司其职、相互制衡、科学决策、</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协调运作。在公司法人治理方面，公司制定了《公司章程》、《股东大会议事规则》、《董事</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会议事规则》、《监事会议事规则》、《经理工作规则》、《独立董事工作细则》等重大规章</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制度，以保证公司规范运作、健康发展。</w:t>
      </w:r>
    </w:p>
    <w:p>
      <w:pPr>
        <w:spacing w:line="460" w:lineRule="exact" w:before="13"/>
        <w:ind w:left="540" w:right="0" w:firstLine="0"/>
        <w:jc w:val="left"/>
        <w:rPr>
          <w:rFonts w:ascii="宋体" w:hAnsi="宋体" w:cs="宋体" w:eastAsia="宋体" w:hint="default"/>
          <w:sz w:val="21"/>
          <w:szCs w:val="21"/>
        </w:rPr>
      </w:pPr>
      <w:r>
        <w:rPr>
          <w:rFonts w:ascii="宋体" w:hAnsi="宋体" w:cs="宋体" w:eastAsia="宋体" w:hint="default"/>
          <w:sz w:val="21"/>
          <w:szCs w:val="21"/>
        </w:rPr>
        <w:t>2、合理的内部组织结构 股东大会由</w:t>
      </w:r>
      <w:hyperlink r:id="rId147">
        <w:r>
          <w:rPr>
            <w:rFonts w:ascii="宋体" w:hAnsi="宋体" w:cs="宋体" w:eastAsia="宋体" w:hint="default"/>
            <w:sz w:val="21"/>
            <w:szCs w:val="21"/>
          </w:rPr>
          <w:t>全体股东组</w:t>
        </w:r>
      </w:hyperlink>
      <w:r>
        <w:rPr>
          <w:rFonts w:ascii="宋体" w:hAnsi="宋体" w:cs="宋体" w:eastAsia="宋体" w:hint="default"/>
          <w:sz w:val="21"/>
          <w:szCs w:val="21"/>
        </w:rPr>
        <w:t>成，对公司重大事项进行</w:t>
      </w:r>
      <w:hyperlink r:id="rId148">
        <w:r>
          <w:rPr>
            <w:rFonts w:ascii="宋体" w:hAnsi="宋体" w:cs="宋体" w:eastAsia="宋体" w:hint="default"/>
            <w:sz w:val="21"/>
            <w:szCs w:val="21"/>
          </w:rPr>
          <w:t>决</w:t>
        </w:r>
      </w:hyperlink>
      <w:r>
        <w:rPr>
          <w:rFonts w:ascii="宋体" w:hAnsi="宋体" w:cs="宋体" w:eastAsia="宋体" w:hint="default"/>
          <w:sz w:val="21"/>
          <w:szCs w:val="21"/>
        </w:rPr>
        <w:t>策；董事会受股东大会的委托，负责经</w:t>
      </w:r>
    </w:p>
    <w:p>
      <w:pPr>
        <w:spacing w:line="297" w:lineRule="auto" w:before="3"/>
        <w:ind w:left="119" w:right="0" w:firstLine="0"/>
        <w:jc w:val="left"/>
        <w:rPr>
          <w:rFonts w:ascii="宋体" w:hAnsi="宋体" w:cs="宋体" w:eastAsia="宋体" w:hint="default"/>
          <w:sz w:val="21"/>
          <w:szCs w:val="21"/>
        </w:rPr>
      </w:pPr>
      <w:r>
        <w:rPr>
          <w:rFonts w:ascii="宋体" w:hAnsi="宋体" w:cs="宋体" w:eastAsia="宋体" w:hint="default"/>
          <w:sz w:val="21"/>
          <w:szCs w:val="21"/>
        </w:rPr>
        <w:t>营和管理公司的法人财产，是公司的经营决策中心，对股东大会负责，其成员由股东大会选举</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产生；公司总经理、副总经理、财务总监由董事会聘任或解聘，负责公司的日常经营活动，并</w:t>
      </w:r>
    </w:p>
    <w:p>
      <w:pPr>
        <w:spacing w:after="0" w:line="297" w:lineRule="auto"/>
        <w:jc w:val="left"/>
        <w:rPr>
          <w:rFonts w:ascii="宋体" w:hAnsi="宋体" w:cs="宋体" w:eastAsia="宋体" w:hint="default"/>
          <w:sz w:val="21"/>
          <w:szCs w:val="21"/>
        </w:rPr>
        <w:sectPr>
          <w:headerReference w:type="default" r:id="rId145"/>
          <w:footerReference w:type="default" r:id="rId146"/>
          <w:pgSz w:w="12240" w:h="15840"/>
          <w:pgMar w:header="743" w:footer="1032" w:top="1240" w:bottom="1220" w:left="1680" w:right="1540"/>
          <w:pgNumType w:start="1"/>
        </w:sectPr>
      </w:pPr>
    </w:p>
    <w:p>
      <w:pPr>
        <w:spacing w:line="240" w:lineRule="auto" w:before="3"/>
        <w:rPr>
          <w:rFonts w:ascii="宋体" w:hAnsi="宋体" w:cs="宋体" w:eastAsia="宋体" w:hint="default"/>
          <w:sz w:val="9"/>
          <w:szCs w:val="9"/>
        </w:rPr>
      </w:pPr>
    </w:p>
    <w:p>
      <w:pPr>
        <w:spacing w:before="35"/>
        <w:ind w:left="120" w:right="0" w:firstLine="0"/>
        <w:jc w:val="both"/>
        <w:rPr>
          <w:rFonts w:ascii="宋体" w:hAnsi="宋体" w:cs="宋体" w:eastAsia="宋体" w:hint="default"/>
          <w:sz w:val="21"/>
          <w:szCs w:val="21"/>
        </w:rPr>
      </w:pPr>
      <w:r>
        <w:rPr>
          <w:rFonts w:ascii="宋体" w:hAnsi="宋体" w:cs="宋体" w:eastAsia="宋体" w:hint="default"/>
          <w:sz w:val="21"/>
          <w:szCs w:val="21"/>
        </w:rPr>
        <w:t>对董事会负责；监事会负责检查公司财务，对董事会及高级管理人员进行监督。</w:t>
      </w:r>
    </w:p>
    <w:p>
      <w:pPr>
        <w:spacing w:line="240" w:lineRule="auto" w:before="3"/>
        <w:rPr>
          <w:rFonts w:ascii="宋体" w:hAnsi="宋体" w:cs="宋体" w:eastAsia="宋体" w:hint="default"/>
          <w:sz w:val="14"/>
          <w:szCs w:val="14"/>
        </w:rPr>
      </w:pPr>
    </w:p>
    <w:p>
      <w:pPr>
        <w:spacing w:line="297" w:lineRule="auto" w:before="0"/>
        <w:ind w:left="120" w:right="258" w:firstLine="420"/>
        <w:jc w:val="both"/>
        <w:rPr>
          <w:rFonts w:ascii="宋体" w:hAnsi="宋体" w:cs="宋体" w:eastAsia="宋体" w:hint="default"/>
          <w:sz w:val="21"/>
          <w:szCs w:val="21"/>
        </w:rPr>
      </w:pPr>
      <w:r>
        <w:rPr>
          <w:rFonts w:ascii="宋体" w:hAnsi="宋体" w:cs="宋体" w:eastAsia="宋体" w:hint="default"/>
          <w:sz w:val="21"/>
          <w:szCs w:val="21"/>
        </w:rPr>
        <w:t>依据公司内部的组织架构，公司各职能部门之间职责明确，相互牵制，保证了公司生产经 营活动的有序进行。2009年，公司管理层特别安排设立《2009年度总裁办公会会议制度》，按</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月、季不同时间段，召开各层级经理会议，及时沟通业务进展情况，高效解决随时发现的管理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问题。</w:t>
      </w:r>
    </w:p>
    <w:p>
      <w:pPr>
        <w:spacing w:line="460" w:lineRule="exact" w:before="11"/>
        <w:ind w:left="540" w:right="270" w:firstLine="0"/>
        <w:jc w:val="left"/>
        <w:rPr>
          <w:rFonts w:ascii="宋体" w:hAnsi="宋体" w:cs="宋体" w:eastAsia="宋体" w:hint="default"/>
          <w:sz w:val="21"/>
          <w:szCs w:val="21"/>
        </w:rPr>
      </w:pPr>
      <w:r>
        <w:rPr>
          <w:rFonts w:ascii="宋体" w:hAnsi="宋体" w:cs="宋体" w:eastAsia="宋体" w:hint="default"/>
          <w:sz w:val="21"/>
          <w:szCs w:val="21"/>
        </w:rPr>
        <w:t>3、内部审计 为强化董事会决策功能，确保董事会对经理层的有效监督，完善公司治理结构，公司董事</w:t>
      </w:r>
    </w:p>
    <w:p>
      <w:pPr>
        <w:spacing w:line="297" w:lineRule="auto" w:before="3"/>
        <w:ind w:left="120" w:right="289" w:firstLine="0"/>
        <w:jc w:val="both"/>
        <w:rPr>
          <w:rFonts w:ascii="宋体" w:hAnsi="宋体" w:cs="宋体" w:eastAsia="宋体" w:hint="default"/>
          <w:sz w:val="21"/>
          <w:szCs w:val="21"/>
        </w:rPr>
      </w:pPr>
      <w:r>
        <w:rPr>
          <w:rFonts w:ascii="宋体" w:hAnsi="宋体" w:cs="宋体" w:eastAsia="宋体" w:hint="default"/>
          <w:sz w:val="21"/>
          <w:szCs w:val="21"/>
        </w:rPr>
        <w:t>会设立审计委员会负责监督公司的内部审计制度及其实施，指导审查公司内部控制工作。审计 委员会由</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名董事组成，其中</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名为公司独立董事。审计委员会下设审计监察部作为公司内部</w:t>
      </w:r>
      <w:r>
        <w:rPr>
          <w:rFonts w:ascii="宋体" w:hAnsi="宋体" w:cs="宋体" w:eastAsia="宋体" w:hint="default"/>
          <w:sz w:val="21"/>
          <w:szCs w:val="21"/>
        </w:rPr>
        <w:t> 审计机构和审计委员会的日常办事机构，负责公司内部审计工作和审计委员会的日常工作联络 和会议组织等工作，审计监察部配备</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名专职审计人员，对公司财务收支和经营活动通过例行</w:t>
      </w:r>
      <w:r>
        <w:rPr>
          <w:rFonts w:ascii="宋体" w:hAnsi="宋体" w:cs="宋体" w:eastAsia="宋体" w:hint="default"/>
          <w:sz w:val="21"/>
          <w:szCs w:val="21"/>
        </w:rPr>
        <w:t> 审计、离任审计等形式，实施动态审计监督，规范管理行为。公司的内部审计机构的设立是企 业自身的需要，按照投资人的意志，出于保护财产和有效运营的双重需要。</w:t>
      </w:r>
    </w:p>
    <w:p>
      <w:pPr>
        <w:spacing w:before="135"/>
        <w:ind w:left="540" w:right="2010" w:firstLine="0"/>
        <w:jc w:val="left"/>
        <w:rPr>
          <w:rFonts w:ascii="宋体" w:hAnsi="宋体" w:cs="宋体" w:eastAsia="宋体" w:hint="default"/>
          <w:sz w:val="21"/>
          <w:szCs w:val="21"/>
        </w:rPr>
      </w:pPr>
      <w:r>
        <w:rPr>
          <w:rFonts w:ascii="宋体" w:hAnsi="宋体" w:cs="宋体" w:eastAsia="宋体" w:hint="default"/>
          <w:sz w:val="21"/>
          <w:szCs w:val="21"/>
        </w:rPr>
        <w:t>4、管理理念和企业文化</w:t>
      </w:r>
    </w:p>
    <w:p>
      <w:pPr>
        <w:spacing w:line="240" w:lineRule="auto" w:before="3"/>
        <w:rPr>
          <w:rFonts w:ascii="宋体" w:hAnsi="宋体" w:cs="宋体" w:eastAsia="宋体" w:hint="default"/>
          <w:sz w:val="14"/>
          <w:szCs w:val="14"/>
        </w:rPr>
      </w:pPr>
    </w:p>
    <w:p>
      <w:pPr>
        <w:spacing w:line="297" w:lineRule="auto" w:before="0"/>
        <w:ind w:left="120" w:right="270" w:firstLine="405"/>
        <w:jc w:val="left"/>
        <w:rPr>
          <w:rFonts w:ascii="宋体" w:hAnsi="宋体" w:cs="宋体" w:eastAsia="宋体" w:hint="default"/>
          <w:sz w:val="21"/>
          <w:szCs w:val="21"/>
        </w:rPr>
      </w:pPr>
      <w:r>
        <w:rPr>
          <w:rFonts w:ascii="宋体" w:hAnsi="宋体" w:cs="宋体" w:eastAsia="宋体" w:hint="default"/>
          <w:sz w:val="21"/>
          <w:szCs w:val="21"/>
        </w:rPr>
        <w:t>公司注重企业文化建设，2009</w:t>
      </w:r>
      <w:r>
        <w:rPr>
          <w:rFonts w:ascii="宋体" w:hAnsi="宋体" w:cs="宋体" w:eastAsia="宋体" w:hint="default"/>
          <w:spacing w:val="-53"/>
          <w:sz w:val="21"/>
          <w:szCs w:val="21"/>
        </w:rPr>
        <w:t> </w:t>
      </w:r>
      <w:r>
        <w:rPr>
          <w:rFonts w:ascii="宋体" w:hAnsi="宋体" w:cs="宋体" w:eastAsia="宋体" w:hint="default"/>
          <w:sz w:val="21"/>
          <w:szCs w:val="21"/>
        </w:rPr>
        <w:t>年公司全面推动创新、专业、高效的企业理念，贯彻、执</w:t>
      </w:r>
      <w:r>
        <w:rPr>
          <w:rFonts w:ascii="宋体" w:hAnsi="宋体" w:cs="宋体" w:eastAsia="宋体" w:hint="default"/>
          <w:sz w:val="21"/>
          <w:szCs w:val="21"/>
        </w:rPr>
        <w:t> 行《用友文化</w:t>
      </w:r>
      <w:r>
        <w:rPr>
          <w:rFonts w:ascii="宋体" w:hAnsi="宋体" w:cs="宋体" w:eastAsia="宋体" w:hint="default"/>
          <w:spacing w:val="-54"/>
          <w:sz w:val="21"/>
          <w:szCs w:val="21"/>
        </w:rPr>
        <w:t> </w:t>
      </w:r>
      <w:r>
        <w:rPr>
          <w:rFonts w:ascii="宋体" w:hAnsi="宋体" w:cs="宋体" w:eastAsia="宋体" w:hint="default"/>
          <w:sz w:val="21"/>
          <w:szCs w:val="21"/>
        </w:rPr>
        <w:t>2.0》的企业文化；持续发行公司内刊《今日用友》、《用友周刊》，全员参与</w:t>
      </w:r>
      <w:r>
        <w:rPr>
          <w:rFonts w:ascii="宋体" w:hAnsi="宋体" w:cs="宋体" w:eastAsia="宋体" w:hint="default"/>
          <w:sz w:val="21"/>
          <w:szCs w:val="21"/>
        </w:rPr>
        <w:t> 互动交流；同时通过组织各类健身俱乐部和内部诸多机构、事业部和分子公司之间的球赛运动 等各种文体活动，丰富员工业余生活，提高员工对公司的忠诚度，增强组织成员的团队合作精 神。</w:t>
      </w:r>
    </w:p>
    <w:p>
      <w:pPr>
        <w:spacing w:line="460" w:lineRule="exact" w:before="13"/>
        <w:ind w:left="525" w:right="285" w:firstLine="0"/>
        <w:jc w:val="left"/>
        <w:rPr>
          <w:rFonts w:ascii="宋体" w:hAnsi="宋体" w:cs="宋体" w:eastAsia="宋体" w:hint="default"/>
          <w:sz w:val="21"/>
          <w:szCs w:val="21"/>
        </w:rPr>
      </w:pPr>
      <w:r>
        <w:rPr>
          <w:rFonts w:ascii="宋体" w:hAnsi="宋体" w:cs="宋体" w:eastAsia="宋体" w:hint="default"/>
          <w:sz w:val="21"/>
          <w:szCs w:val="21"/>
        </w:rPr>
        <w:t>5、人力资源政策 根据《劳动法》及有关法律法规，公司实行全员劳动合同制。组建“用友大学”，制定并</w:t>
      </w:r>
    </w:p>
    <w:p>
      <w:pPr>
        <w:spacing w:line="297" w:lineRule="auto" w:before="3"/>
        <w:ind w:left="120" w:right="286" w:firstLine="0"/>
        <w:jc w:val="both"/>
        <w:rPr>
          <w:rFonts w:ascii="宋体" w:hAnsi="宋体" w:cs="宋体" w:eastAsia="宋体" w:hint="default"/>
          <w:sz w:val="21"/>
          <w:szCs w:val="21"/>
        </w:rPr>
      </w:pPr>
      <w:r>
        <w:rPr>
          <w:rFonts w:ascii="宋体" w:hAnsi="宋体" w:cs="宋体" w:eastAsia="宋体" w:hint="default"/>
          <w:sz w:val="21"/>
          <w:szCs w:val="21"/>
        </w:rPr>
        <w:t>实施《员工培训管理制度》。公司的《人力资源管理制度》和《薪酬绩效管理办法》，对人员 录用、员工培训、工资薪酬、福利保障、绩效考核、内部调动、职务升迁等进行了详细规定， 实施全员</w:t>
      </w:r>
      <w:r>
        <w:rPr>
          <w:rFonts w:ascii="宋体" w:hAnsi="宋体" w:cs="宋体" w:eastAsia="宋体" w:hint="default"/>
          <w:spacing w:val="-53"/>
          <w:sz w:val="21"/>
          <w:szCs w:val="21"/>
        </w:rPr>
        <w:t> </w:t>
      </w:r>
      <w:r>
        <w:rPr>
          <w:rFonts w:ascii="宋体" w:hAnsi="宋体" w:cs="宋体" w:eastAsia="宋体" w:hint="default"/>
          <w:sz w:val="21"/>
          <w:szCs w:val="21"/>
        </w:rPr>
        <w:t>PBC（个人绩效承诺）考核，并长期开展优秀员工评选活动，引导标杆文化。2009</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z w:val="21"/>
          <w:szCs w:val="21"/>
        </w:rPr>
        <w:t> 公司还出台了一系列员工个人发展策略，制订了管理干部序列与技术级别序列等个人发展规划 体系，为每一位员工的未来发展，切实提供了双向选择的平台。</w:t>
      </w:r>
    </w:p>
    <w:p>
      <w:pPr>
        <w:spacing w:line="460" w:lineRule="exact" w:before="13"/>
        <w:ind w:left="540" w:right="0" w:hanging="315"/>
        <w:jc w:val="left"/>
        <w:rPr>
          <w:rFonts w:ascii="宋体" w:hAnsi="宋体" w:cs="宋体" w:eastAsia="宋体" w:hint="default"/>
          <w:sz w:val="21"/>
          <w:szCs w:val="21"/>
        </w:rPr>
      </w:pPr>
      <w:r>
        <w:rPr>
          <w:rFonts w:ascii="宋体" w:hAnsi="宋体" w:cs="宋体" w:eastAsia="宋体" w:hint="default"/>
          <w:sz w:val="21"/>
          <w:szCs w:val="21"/>
        </w:rPr>
        <w:t>（二）风险评价 公司根据战略目标及发展规划，制定风险管理政策和措施，实施内部控制制度执行情况的</w:t>
      </w:r>
    </w:p>
    <w:p>
      <w:pPr>
        <w:spacing w:line="297" w:lineRule="auto" w:before="2"/>
        <w:ind w:left="120" w:right="255" w:firstLine="0"/>
        <w:jc w:val="both"/>
        <w:rPr>
          <w:rFonts w:ascii="宋体" w:hAnsi="宋体" w:cs="宋体" w:eastAsia="宋体" w:hint="default"/>
          <w:sz w:val="21"/>
          <w:szCs w:val="21"/>
        </w:rPr>
      </w:pPr>
      <w:r>
        <w:rPr>
          <w:rFonts w:ascii="宋体" w:hAnsi="宋体" w:cs="宋体" w:eastAsia="宋体" w:hint="default"/>
          <w:sz w:val="21"/>
          <w:szCs w:val="21"/>
        </w:rPr>
        <w:t>检查与监督，确保经营业务风险的可知、可防与可控，确保公司经营安全，将风险控制在可承</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受的范围内。在日常经营的风险管理过程之中，每年开展对公司产品代理商、外包服务的合作</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伙伴供应商的资质认定。制订了相关代理商管理制度和外包合作伙伴管理制度、基建管理制度</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2"/>
          <w:sz w:val="21"/>
          <w:szCs w:val="21"/>
        </w:rPr>
        <w:t>等一系列政策，对相关“代理商”、“外包合作伙伴”</w:t>
      </w:r>
      <w:r>
        <w:rPr>
          <w:rFonts w:ascii="宋体" w:hAnsi="宋体" w:cs="宋体" w:eastAsia="宋体" w:hint="default"/>
          <w:spacing w:val="31"/>
          <w:sz w:val="21"/>
          <w:szCs w:val="21"/>
        </w:rPr>
        <w:t> </w:t>
      </w:r>
      <w:r>
        <w:rPr>
          <w:rFonts w:ascii="宋体" w:hAnsi="宋体" w:cs="宋体" w:eastAsia="宋体" w:hint="default"/>
          <w:spacing w:val="2"/>
          <w:sz w:val="21"/>
          <w:szCs w:val="21"/>
        </w:rPr>
        <w:t>、“不合格供应商”等风险管理指标</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进行实时监控，配备专门的组织人员进行年度及日常检查。</w:t>
      </w:r>
    </w:p>
    <w:p>
      <w:pPr>
        <w:spacing w:before="135"/>
        <w:ind w:left="540" w:right="0" w:firstLine="0"/>
        <w:jc w:val="left"/>
        <w:rPr>
          <w:rFonts w:ascii="宋体" w:hAnsi="宋体" w:cs="宋体" w:eastAsia="宋体" w:hint="default"/>
          <w:sz w:val="21"/>
          <w:szCs w:val="21"/>
        </w:rPr>
      </w:pPr>
      <w:r>
        <w:rPr>
          <w:rFonts w:ascii="宋体" w:hAnsi="宋体" w:cs="宋体" w:eastAsia="宋体" w:hint="default"/>
          <w:sz w:val="21"/>
          <w:szCs w:val="21"/>
        </w:rPr>
        <w:t>公司集中财力、精力，专注从事软件行业业务经营，减少并尽量避免从事与公司战略目标</w:t>
      </w:r>
    </w:p>
    <w:p>
      <w:pPr>
        <w:spacing w:after="0"/>
        <w:jc w:val="left"/>
        <w:rPr>
          <w:rFonts w:ascii="宋体" w:hAnsi="宋体" w:cs="宋体" w:eastAsia="宋体" w:hint="default"/>
          <w:sz w:val="21"/>
          <w:szCs w:val="21"/>
        </w:rPr>
        <w:sectPr>
          <w:pgSz w:w="12240" w:h="15840"/>
          <w:pgMar w:header="743" w:footer="1032" w:top="1240" w:bottom="1220" w:left="1680" w:right="1540"/>
        </w:sectPr>
      </w:pPr>
    </w:p>
    <w:p>
      <w:pPr>
        <w:spacing w:line="240" w:lineRule="auto" w:before="3"/>
        <w:rPr>
          <w:rFonts w:ascii="宋体" w:hAnsi="宋体" w:cs="宋体" w:eastAsia="宋体" w:hint="default"/>
          <w:sz w:val="9"/>
          <w:szCs w:val="9"/>
        </w:rPr>
      </w:pPr>
    </w:p>
    <w:p>
      <w:pPr>
        <w:spacing w:line="297" w:lineRule="auto" w:before="35"/>
        <w:ind w:left="120" w:right="260" w:firstLine="0"/>
        <w:jc w:val="both"/>
        <w:rPr>
          <w:rFonts w:ascii="宋体" w:hAnsi="宋体" w:cs="宋体" w:eastAsia="宋体" w:hint="default"/>
          <w:sz w:val="21"/>
          <w:szCs w:val="21"/>
        </w:rPr>
      </w:pPr>
      <w:r>
        <w:rPr>
          <w:rFonts w:ascii="宋体" w:hAnsi="宋体" w:cs="宋体" w:eastAsia="宋体" w:hint="default"/>
          <w:sz w:val="21"/>
          <w:szCs w:val="21"/>
        </w:rPr>
        <w:t>发展不相符的业务。公司对融资、投资等业务实行严格的控制，严格禁止各分支机构独立开展</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相关业务，独立核算的分子公司，只能经营与用友软件相关的业务范围。公司将持续改进和加</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强对参股投资企业的商誉使用授权及其风险控制的管理。</w:t>
      </w:r>
    </w:p>
    <w:p>
      <w:pPr>
        <w:spacing w:before="135"/>
        <w:ind w:left="540" w:right="2010" w:firstLine="0"/>
        <w:jc w:val="left"/>
        <w:rPr>
          <w:rFonts w:ascii="宋体" w:hAnsi="宋体" w:cs="宋体" w:eastAsia="宋体" w:hint="default"/>
          <w:sz w:val="21"/>
          <w:szCs w:val="21"/>
        </w:rPr>
      </w:pPr>
      <w:r>
        <w:rPr>
          <w:rFonts w:ascii="宋体" w:hAnsi="宋体" w:cs="宋体" w:eastAsia="宋体" w:hint="default"/>
          <w:sz w:val="21"/>
          <w:szCs w:val="21"/>
        </w:rPr>
        <w:t>公司总体风险获得有效控制。</w:t>
      </w:r>
    </w:p>
    <w:p>
      <w:pPr>
        <w:spacing w:line="460" w:lineRule="atLeast" w:before="0"/>
        <w:ind w:left="540" w:right="0" w:hanging="315"/>
        <w:jc w:val="left"/>
        <w:rPr>
          <w:rFonts w:ascii="宋体" w:hAnsi="宋体" w:cs="宋体" w:eastAsia="宋体" w:hint="default"/>
          <w:sz w:val="21"/>
          <w:szCs w:val="21"/>
        </w:rPr>
      </w:pPr>
      <w:r>
        <w:rPr>
          <w:rFonts w:ascii="宋体" w:hAnsi="宋体" w:cs="宋体" w:eastAsia="宋体" w:hint="default"/>
          <w:sz w:val="21"/>
          <w:szCs w:val="21"/>
        </w:rPr>
        <w:t>（三）控制活动 为保证公司经营业务活动的正常进行，公司根据资产结构、经营方式，并结合自身管理实</w:t>
      </w:r>
    </w:p>
    <w:p>
      <w:pPr>
        <w:spacing w:line="297" w:lineRule="auto" w:before="66"/>
        <w:ind w:left="120" w:right="260" w:firstLine="0"/>
        <w:jc w:val="both"/>
        <w:rPr>
          <w:rFonts w:ascii="宋体" w:hAnsi="宋体" w:cs="宋体" w:eastAsia="宋体" w:hint="default"/>
          <w:sz w:val="21"/>
          <w:szCs w:val="21"/>
        </w:rPr>
      </w:pPr>
      <w:r>
        <w:rPr>
          <w:rFonts w:ascii="宋体" w:hAnsi="宋体" w:cs="宋体" w:eastAsia="宋体" w:hint="default"/>
          <w:sz w:val="21"/>
          <w:szCs w:val="21"/>
        </w:rPr>
        <w:t>际，制定了各类业务流程的内部控制制度和执行措施，以确保公司业务合法、合理、安全、规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范的运行。</w:t>
      </w:r>
    </w:p>
    <w:p>
      <w:pPr>
        <w:spacing w:line="297" w:lineRule="auto" w:before="135"/>
        <w:ind w:left="120" w:right="255" w:firstLine="482"/>
        <w:jc w:val="both"/>
        <w:rPr>
          <w:rFonts w:ascii="宋体" w:hAnsi="宋体" w:cs="宋体" w:eastAsia="宋体" w:hint="default"/>
          <w:sz w:val="21"/>
          <w:szCs w:val="21"/>
        </w:rPr>
      </w:pPr>
      <w:r>
        <w:rPr>
          <w:rFonts w:ascii="宋体" w:hAnsi="宋体" w:cs="宋体" w:eastAsia="宋体" w:hint="default"/>
          <w:sz w:val="21"/>
          <w:szCs w:val="21"/>
        </w:rPr>
        <w:t>1、资产与资金管理制度。公司建立了一系列资产管理制度，对财产的记录、定期盘点、</w:t>
      </w:r>
      <w:r>
        <w:rPr>
          <w:rFonts w:ascii="宋体" w:hAnsi="宋体" w:cs="宋体" w:eastAsia="宋体" w:hint="default"/>
          <w:spacing w:val="2"/>
          <w:sz w:val="21"/>
          <w:szCs w:val="21"/>
        </w:rPr>
        <w:t> </w:t>
      </w:r>
      <w:r>
        <w:rPr>
          <w:rFonts w:ascii="宋体" w:hAnsi="宋体" w:cs="宋体" w:eastAsia="宋体" w:hint="default"/>
          <w:sz w:val="21"/>
          <w:szCs w:val="21"/>
        </w:rPr>
        <w:t>账实核对、财产保险等进行了明确规定，以确保各种财产的完整。此外，公司还对定期核对应</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收账款、存货、对外投资、固定资产、在建工程、无形资产等项目进行了规定，并根据谨慎性</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原则的要求合理地计提资产减值准备。</w:t>
      </w:r>
    </w:p>
    <w:p>
      <w:pPr>
        <w:spacing w:line="297" w:lineRule="auto" w:before="134"/>
        <w:ind w:left="120" w:right="246" w:firstLine="482"/>
        <w:jc w:val="both"/>
        <w:rPr>
          <w:rFonts w:ascii="宋体" w:hAnsi="宋体" w:cs="宋体" w:eastAsia="宋体" w:hint="default"/>
          <w:sz w:val="21"/>
          <w:szCs w:val="21"/>
        </w:rPr>
      </w:pPr>
      <w:r>
        <w:rPr>
          <w:rFonts w:ascii="宋体" w:hAnsi="宋体" w:cs="宋体" w:eastAsia="宋体" w:hint="default"/>
          <w:spacing w:val="10"/>
          <w:sz w:val="21"/>
          <w:szCs w:val="21"/>
        </w:rPr>
        <w:t>公司将投资、筹资权限集中在公司总部，通过网上银行系统实现公司所有独立核算单 </w:t>
      </w:r>
      <w:r>
        <w:rPr>
          <w:rFonts w:ascii="宋体" w:hAnsi="宋体" w:cs="宋体" w:eastAsia="宋体" w:hint="default"/>
          <w:sz w:val="21"/>
          <w:szCs w:val="21"/>
        </w:rPr>
        <w:t>位、所有资金账号的统一管理和对主要账号的实时监控。这样，既加快了资金结算速度，提高</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了资金使用效益，又确保了资金的安全性。</w:t>
      </w:r>
    </w:p>
    <w:p>
      <w:pPr>
        <w:spacing w:line="297" w:lineRule="auto" w:before="134"/>
        <w:ind w:left="120" w:right="252" w:firstLine="482"/>
        <w:jc w:val="both"/>
        <w:rPr>
          <w:rFonts w:ascii="宋体" w:hAnsi="宋体" w:cs="宋体" w:eastAsia="宋体" w:hint="default"/>
          <w:sz w:val="21"/>
          <w:szCs w:val="21"/>
        </w:rPr>
      </w:pPr>
      <w:r>
        <w:rPr>
          <w:rFonts w:ascii="宋体" w:hAnsi="宋体" w:cs="宋体" w:eastAsia="宋体" w:hint="default"/>
          <w:spacing w:val="4"/>
          <w:sz w:val="21"/>
          <w:szCs w:val="21"/>
        </w:rPr>
        <w:t>公司通过《用友集团财务管理办法》、《资金管理及财务审批办法》等制度，明确了资 </w:t>
      </w:r>
      <w:r>
        <w:rPr>
          <w:rFonts w:ascii="宋体" w:hAnsi="宋体" w:cs="宋体" w:eastAsia="宋体" w:hint="default"/>
          <w:sz w:val="21"/>
          <w:szCs w:val="21"/>
        </w:rPr>
        <w:t>金使用的授权范围、权限、程序、责任等相关内容。公司各级管理层均在授权范围内行使相应</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职权，所有经办人员在授权范围内办理经营业务。对于审批人超越授权范围审批的货币资金业</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务，财务经办人员有权拒绝办理，并及时向审批人的上级授权部门报告。</w:t>
      </w:r>
    </w:p>
    <w:p>
      <w:pPr>
        <w:spacing w:line="297" w:lineRule="auto" w:before="135"/>
        <w:ind w:left="120" w:right="255" w:firstLine="482"/>
        <w:jc w:val="both"/>
        <w:rPr>
          <w:rFonts w:ascii="宋体" w:hAnsi="宋体" w:cs="宋体" w:eastAsia="宋体" w:hint="default"/>
          <w:sz w:val="21"/>
          <w:szCs w:val="21"/>
        </w:rPr>
      </w:pPr>
      <w:r>
        <w:rPr>
          <w:rFonts w:ascii="宋体" w:hAnsi="宋体" w:cs="宋体" w:eastAsia="宋体" w:hint="default"/>
          <w:sz w:val="21"/>
          <w:szCs w:val="21"/>
        </w:rPr>
        <w:t>2、全面预算管理制度。公司建立了包含预算编制、预算执行、预算分析和预算考核各环</w:t>
      </w:r>
      <w:r>
        <w:rPr>
          <w:rFonts w:ascii="宋体" w:hAnsi="宋体" w:cs="宋体" w:eastAsia="宋体" w:hint="default"/>
          <w:spacing w:val="2"/>
          <w:sz w:val="21"/>
          <w:szCs w:val="21"/>
        </w:rPr>
        <w:t> </w:t>
      </w:r>
      <w:r>
        <w:rPr>
          <w:rFonts w:ascii="宋体" w:hAnsi="宋体" w:cs="宋体" w:eastAsia="宋体" w:hint="default"/>
          <w:spacing w:val="5"/>
          <w:sz w:val="21"/>
          <w:szCs w:val="21"/>
        </w:rPr>
        <w:t>节、涵盖所有成员企业的全面预算管理制度。公司将经营成果、固定资产及其他长期资产投</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pacing w:val="5"/>
          <w:sz w:val="21"/>
          <w:szCs w:val="21"/>
        </w:rPr>
        <w:t>入、现金流量、对外投资等主要经营目标或事项均纳入预算管理的范围。公司注重预算的事</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z w:val="21"/>
          <w:szCs w:val="21"/>
        </w:rPr>
        <w:t>中、事后控制，对单项大额支出实行单项预算审批，定期将实际业绩与预算进行对比分析，寻</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找差异与原因，并据此进行预算考核。</w:t>
      </w:r>
    </w:p>
    <w:p>
      <w:pPr>
        <w:spacing w:line="297" w:lineRule="auto" w:before="135"/>
        <w:ind w:left="120" w:right="252" w:firstLine="482"/>
        <w:jc w:val="both"/>
        <w:rPr>
          <w:rFonts w:ascii="宋体" w:hAnsi="宋体" w:cs="宋体" w:eastAsia="宋体" w:hint="default"/>
          <w:sz w:val="21"/>
          <w:szCs w:val="21"/>
        </w:rPr>
      </w:pPr>
      <w:r>
        <w:rPr>
          <w:rFonts w:ascii="宋体" w:hAnsi="宋体" w:cs="宋体" w:eastAsia="宋体" w:hint="default"/>
          <w:spacing w:val="4"/>
          <w:sz w:val="21"/>
          <w:szCs w:val="21"/>
        </w:rPr>
        <w:t>预算管理在促进公司内部资源的合理分配，加强成本费用控制，全面提高公司经营效益 </w:t>
      </w:r>
      <w:r>
        <w:rPr>
          <w:rFonts w:ascii="宋体" w:hAnsi="宋体" w:cs="宋体" w:eastAsia="宋体" w:hint="default"/>
          <w:sz w:val="21"/>
          <w:szCs w:val="21"/>
        </w:rPr>
        <w:t>方面发挥了重要的作用。</w:t>
      </w:r>
    </w:p>
    <w:p>
      <w:pPr>
        <w:spacing w:line="297" w:lineRule="auto" w:before="135"/>
        <w:ind w:left="120" w:right="248" w:firstLine="482"/>
        <w:jc w:val="both"/>
        <w:rPr>
          <w:rFonts w:ascii="宋体" w:hAnsi="宋体" w:cs="宋体" w:eastAsia="宋体" w:hint="default"/>
          <w:sz w:val="21"/>
          <w:szCs w:val="21"/>
        </w:rPr>
      </w:pPr>
      <w:r>
        <w:rPr>
          <w:rFonts w:ascii="宋体" w:hAnsi="宋体" w:cs="宋体" w:eastAsia="宋体" w:hint="default"/>
          <w:spacing w:val="7"/>
          <w:sz w:val="21"/>
          <w:szCs w:val="21"/>
        </w:rPr>
        <w:t>3、集中财务管理信息系统。公司建立了以自有产品用友 </w:t>
      </w:r>
      <w:r>
        <w:rPr>
          <w:rFonts w:ascii="宋体" w:hAnsi="宋体" w:cs="宋体" w:eastAsia="宋体" w:hint="default"/>
          <w:sz w:val="21"/>
          <w:szCs w:val="21"/>
        </w:rPr>
        <w:t>ERP-NC</w:t>
      </w:r>
      <w:r>
        <w:rPr>
          <w:rFonts w:ascii="宋体" w:hAnsi="宋体" w:cs="宋体" w:eastAsia="宋体" w:hint="default"/>
          <w:spacing w:val="27"/>
          <w:sz w:val="21"/>
          <w:szCs w:val="21"/>
        </w:rPr>
        <w:t> </w:t>
      </w:r>
      <w:r>
        <w:rPr>
          <w:rFonts w:ascii="宋体" w:hAnsi="宋体" w:cs="宋体" w:eastAsia="宋体" w:hint="default"/>
          <w:spacing w:val="7"/>
          <w:sz w:val="21"/>
          <w:szCs w:val="21"/>
        </w:rPr>
        <w:t>为基础，包含会计核</w:t>
      </w:r>
      <w:r>
        <w:rPr>
          <w:rFonts w:ascii="宋体" w:hAnsi="宋体" w:cs="宋体" w:eastAsia="宋体" w:hint="default"/>
          <w:spacing w:val="8"/>
          <w:sz w:val="21"/>
          <w:szCs w:val="21"/>
        </w:rPr>
        <w:t> </w:t>
      </w:r>
      <w:r>
        <w:rPr>
          <w:rFonts w:ascii="宋体" w:hAnsi="宋体" w:cs="宋体" w:eastAsia="宋体" w:hint="default"/>
          <w:sz w:val="21"/>
          <w:szCs w:val="21"/>
        </w:rPr>
        <w:t>算、财务报表、资金管理、成本管理、全面预算管理在内的公司财务信息管理平台，将公司合</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并报表范围内所有的独立核算单位纳入这个平台，将多项管理制度中的关键控制点设置在信息</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系统中，有效保障了财务制度的执行和财务信息的准确性。</w:t>
      </w:r>
    </w:p>
    <w:p>
      <w:pPr>
        <w:spacing w:line="297" w:lineRule="auto" w:before="135"/>
        <w:ind w:left="120" w:right="255" w:firstLine="482"/>
        <w:jc w:val="both"/>
        <w:rPr>
          <w:rFonts w:ascii="宋体" w:hAnsi="宋体" w:cs="宋体" w:eastAsia="宋体" w:hint="default"/>
          <w:sz w:val="21"/>
          <w:szCs w:val="21"/>
        </w:rPr>
      </w:pPr>
      <w:r>
        <w:rPr>
          <w:rFonts w:ascii="宋体" w:hAnsi="宋体" w:cs="宋体" w:eastAsia="宋体" w:hint="default"/>
          <w:sz w:val="21"/>
          <w:szCs w:val="21"/>
        </w:rPr>
        <w:t>4、财务报告制度。公司制定了适合本单位的会计制度和核算流程，并且建立了相应的内</w:t>
      </w:r>
      <w:r>
        <w:rPr>
          <w:rFonts w:ascii="宋体" w:hAnsi="宋体" w:cs="宋体" w:eastAsia="宋体" w:hint="default"/>
          <w:spacing w:val="2"/>
          <w:sz w:val="21"/>
          <w:szCs w:val="21"/>
        </w:rPr>
        <w:t> </w:t>
      </w:r>
      <w:r>
        <w:rPr>
          <w:rFonts w:ascii="宋体" w:hAnsi="宋体" w:cs="宋体" w:eastAsia="宋体" w:hint="default"/>
          <w:sz w:val="21"/>
          <w:szCs w:val="21"/>
        </w:rPr>
        <w:t>部基础管理制度，包括会计人员岗位责任制度，账务处理程序制度，内部牵制制度、内部会计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稽查制度、原始凭证管理制度、财产清查制度、财务收支审批制度等。</w:t>
      </w:r>
    </w:p>
    <w:p>
      <w:pPr>
        <w:spacing w:after="0" w:line="297" w:lineRule="auto"/>
        <w:jc w:val="both"/>
        <w:rPr>
          <w:rFonts w:ascii="宋体" w:hAnsi="宋体" w:cs="宋体" w:eastAsia="宋体" w:hint="default"/>
          <w:sz w:val="21"/>
          <w:szCs w:val="21"/>
        </w:rPr>
        <w:sectPr>
          <w:pgSz w:w="12240" w:h="15840"/>
          <w:pgMar w:header="743" w:footer="1032" w:top="1240" w:bottom="1220" w:left="1680" w:right="1540"/>
        </w:sectPr>
      </w:pPr>
    </w:p>
    <w:p>
      <w:pPr>
        <w:spacing w:line="240" w:lineRule="auto" w:before="3"/>
        <w:rPr>
          <w:rFonts w:ascii="宋体" w:hAnsi="宋体" w:cs="宋体" w:eastAsia="宋体" w:hint="default"/>
          <w:sz w:val="9"/>
          <w:szCs w:val="9"/>
        </w:rPr>
      </w:pPr>
    </w:p>
    <w:p>
      <w:pPr>
        <w:spacing w:line="297" w:lineRule="auto" w:before="35"/>
        <w:ind w:left="120" w:right="252" w:firstLine="482"/>
        <w:jc w:val="both"/>
        <w:rPr>
          <w:rFonts w:ascii="宋体" w:hAnsi="宋体" w:cs="宋体" w:eastAsia="宋体" w:hint="default"/>
          <w:sz w:val="21"/>
          <w:szCs w:val="21"/>
        </w:rPr>
      </w:pPr>
      <w:r>
        <w:rPr>
          <w:rFonts w:ascii="宋体" w:hAnsi="宋体" w:cs="宋体" w:eastAsia="宋体" w:hint="default"/>
          <w:spacing w:val="4"/>
          <w:sz w:val="21"/>
          <w:szCs w:val="21"/>
        </w:rPr>
        <w:t>公司建立了适应上市公司集团化管理的集团财务报表体系和制度，明确了财务报告的内 </w:t>
      </w:r>
      <w:r>
        <w:rPr>
          <w:rFonts w:ascii="宋体" w:hAnsi="宋体" w:cs="宋体" w:eastAsia="宋体" w:hint="default"/>
          <w:spacing w:val="5"/>
          <w:sz w:val="21"/>
          <w:szCs w:val="21"/>
        </w:rPr>
        <w:t>容、范围、编制流程和责任人，实现了财务报表的统一规划、分别编制、统一复核与分级审</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z w:val="21"/>
          <w:szCs w:val="21"/>
        </w:rPr>
        <w:t>核，并建立了财务报告附注多方汇审制度，确保财务信息及时、准确、合规。</w:t>
      </w:r>
    </w:p>
    <w:p>
      <w:pPr>
        <w:spacing w:line="297" w:lineRule="auto" w:before="135"/>
        <w:ind w:left="120" w:right="259" w:firstLine="482"/>
        <w:jc w:val="both"/>
        <w:rPr>
          <w:rFonts w:ascii="宋体" w:hAnsi="宋体" w:cs="宋体" w:eastAsia="宋体" w:hint="default"/>
          <w:sz w:val="21"/>
          <w:szCs w:val="21"/>
        </w:rPr>
      </w:pPr>
      <w:r>
        <w:rPr>
          <w:rFonts w:ascii="宋体" w:hAnsi="宋体" w:cs="宋体" w:eastAsia="宋体" w:hint="default"/>
          <w:spacing w:val="3"/>
          <w:sz w:val="21"/>
          <w:szCs w:val="21"/>
        </w:rPr>
        <w:t>5、财务机构与人员管理制度。公司总部设立专门的会计机构-财务部、预算部、采购管</w:t>
      </w:r>
      <w:r>
        <w:rPr>
          <w:rFonts w:ascii="宋体" w:hAnsi="宋体" w:cs="宋体" w:eastAsia="宋体" w:hint="default"/>
          <w:sz w:val="21"/>
          <w:szCs w:val="21"/>
        </w:rPr>
        <w:t> 理部等，并在其他各级独立核算单位设立财务部，按《财务干部聘用管理办法》配备各级财务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人员。</w:t>
      </w:r>
    </w:p>
    <w:p>
      <w:pPr>
        <w:spacing w:line="297" w:lineRule="auto" w:before="135"/>
        <w:ind w:left="120" w:right="252" w:firstLine="482"/>
        <w:jc w:val="both"/>
        <w:rPr>
          <w:rFonts w:ascii="宋体" w:hAnsi="宋体" w:cs="宋体" w:eastAsia="宋体" w:hint="default"/>
          <w:sz w:val="21"/>
          <w:szCs w:val="21"/>
        </w:rPr>
      </w:pPr>
      <w:r>
        <w:rPr>
          <w:rFonts w:ascii="宋体" w:hAnsi="宋体" w:cs="宋体" w:eastAsia="宋体" w:hint="default"/>
          <w:spacing w:val="4"/>
          <w:sz w:val="21"/>
          <w:szCs w:val="21"/>
        </w:rPr>
        <w:t>公司财务人员实行逐级垂直管理。垂直管理包括财务人员的聘任、培训与业务指导、考 </w:t>
      </w:r>
      <w:r>
        <w:rPr>
          <w:rFonts w:ascii="宋体" w:hAnsi="宋体" w:cs="宋体" w:eastAsia="宋体" w:hint="default"/>
          <w:sz w:val="21"/>
          <w:szCs w:val="21"/>
        </w:rPr>
        <w:t>核、调动与辞退。公司所有财务人员均具备相关职业资格或专业技术职称，有较丰富的专业知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识与专业技能，熟悉国家和地区的财务、会计、税收制度，遵守职业道德。公司对财务人员进</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行相关业务培训，包括上岗培训、定期培训与日常培训。公司颁布了《财务干部考核办法》，</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并据此定期对财务干部进行考核。</w:t>
      </w:r>
    </w:p>
    <w:p>
      <w:pPr>
        <w:spacing w:line="297" w:lineRule="auto" w:before="135"/>
        <w:ind w:left="120" w:right="248" w:firstLine="482"/>
        <w:jc w:val="both"/>
        <w:rPr>
          <w:rFonts w:ascii="宋体" w:hAnsi="宋体" w:cs="宋体" w:eastAsia="宋体" w:hint="default"/>
          <w:sz w:val="21"/>
          <w:szCs w:val="21"/>
        </w:rPr>
      </w:pPr>
      <w:r>
        <w:rPr>
          <w:rFonts w:ascii="宋体" w:hAnsi="宋体" w:cs="宋体" w:eastAsia="宋体" w:hint="default"/>
          <w:spacing w:val="7"/>
          <w:sz w:val="21"/>
          <w:szCs w:val="21"/>
        </w:rPr>
        <w:t>6、对外投资管理制度。公司设立了投资管理部，建立对外投资授权制度和审核批准制 </w:t>
      </w:r>
      <w:r>
        <w:rPr>
          <w:rFonts w:ascii="宋体" w:hAnsi="宋体" w:cs="宋体" w:eastAsia="宋体" w:hint="default"/>
          <w:sz w:val="21"/>
          <w:szCs w:val="21"/>
        </w:rPr>
        <w:t>度，并按照规定的权限和程序办理对外投资业务。加强对外投资可行性研究、评价与决策环节</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的控制，加强内部审计，确保对外投资全过程得到有效控制。</w:t>
      </w:r>
    </w:p>
    <w:p>
      <w:pPr>
        <w:spacing w:line="297" w:lineRule="auto" w:before="135"/>
        <w:ind w:left="120" w:right="255" w:firstLine="482"/>
        <w:jc w:val="both"/>
        <w:rPr>
          <w:rFonts w:ascii="宋体" w:hAnsi="宋体" w:cs="宋体" w:eastAsia="宋体" w:hint="default"/>
          <w:sz w:val="21"/>
          <w:szCs w:val="21"/>
        </w:rPr>
      </w:pPr>
      <w:r>
        <w:rPr>
          <w:rFonts w:ascii="宋体" w:hAnsi="宋体" w:cs="宋体" w:eastAsia="宋体" w:hint="default"/>
          <w:sz w:val="21"/>
          <w:szCs w:val="21"/>
        </w:rPr>
        <w:t>7、存货管理制度。公司建立存货管理制度，明确相关控制措施，规定审批人的权限、责</w:t>
      </w:r>
      <w:r>
        <w:rPr>
          <w:rFonts w:ascii="宋体" w:hAnsi="宋体" w:cs="宋体" w:eastAsia="宋体" w:hint="default"/>
          <w:spacing w:val="2"/>
          <w:sz w:val="21"/>
          <w:szCs w:val="21"/>
        </w:rPr>
        <w:t> </w:t>
      </w:r>
      <w:r>
        <w:rPr>
          <w:rFonts w:ascii="宋体" w:hAnsi="宋体" w:cs="宋体" w:eastAsia="宋体" w:hint="default"/>
          <w:sz w:val="21"/>
          <w:szCs w:val="21"/>
        </w:rPr>
        <w:t>任以及经办人的职责范围和工作要求。生产管理过程导入自行研发的软件产品生产信息管理系</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统，对原材料的采购、产品的生产制造、成品的保管和存货发出等，设计了严格的控制程序，</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以保证资产的安全和计价的准确。</w:t>
      </w:r>
    </w:p>
    <w:p>
      <w:pPr>
        <w:spacing w:line="297" w:lineRule="auto" w:before="134"/>
        <w:ind w:left="120" w:right="255" w:firstLine="482"/>
        <w:jc w:val="both"/>
        <w:rPr>
          <w:rFonts w:ascii="宋体" w:hAnsi="宋体" w:cs="宋体" w:eastAsia="宋体" w:hint="default"/>
          <w:sz w:val="21"/>
          <w:szCs w:val="21"/>
        </w:rPr>
      </w:pPr>
      <w:r>
        <w:rPr>
          <w:rFonts w:ascii="宋体" w:hAnsi="宋体" w:cs="宋体" w:eastAsia="宋体" w:hint="default"/>
          <w:sz w:val="21"/>
          <w:szCs w:val="21"/>
        </w:rPr>
        <w:t>8、固定资产管理制度。公司采用自行研发的固定做资产管理系统，资产管理流程清晰。</w:t>
      </w:r>
      <w:r>
        <w:rPr>
          <w:rFonts w:ascii="宋体" w:hAnsi="宋体" w:cs="宋体" w:eastAsia="宋体" w:hint="default"/>
          <w:spacing w:val="2"/>
          <w:sz w:val="21"/>
          <w:szCs w:val="21"/>
        </w:rPr>
        <w:t> </w:t>
      </w:r>
      <w:r>
        <w:rPr>
          <w:rFonts w:ascii="宋体" w:hAnsi="宋体" w:cs="宋体" w:eastAsia="宋体" w:hint="default"/>
          <w:sz w:val="21"/>
          <w:szCs w:val="21"/>
        </w:rPr>
        <w:t>明确了授权批准的方式、程序和相关控制措施，规定审批人的权限、责任以及经办人的职责范</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围和工作要求。对固定资产的采购、保管和累计折旧的计提设计了严格的控制程序，以保证资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产的安全和计价的准确。</w:t>
      </w:r>
    </w:p>
    <w:p>
      <w:pPr>
        <w:spacing w:line="297" w:lineRule="auto" w:before="134"/>
        <w:ind w:left="120" w:right="257" w:firstLine="482"/>
        <w:jc w:val="both"/>
        <w:rPr>
          <w:rFonts w:ascii="宋体" w:hAnsi="宋体" w:cs="宋体" w:eastAsia="宋体" w:hint="default"/>
          <w:sz w:val="21"/>
          <w:szCs w:val="21"/>
        </w:rPr>
      </w:pPr>
      <w:r>
        <w:rPr>
          <w:rFonts w:ascii="宋体" w:hAnsi="宋体" w:cs="宋体" w:eastAsia="宋体" w:hint="default"/>
          <w:sz w:val="21"/>
          <w:szCs w:val="21"/>
        </w:rPr>
        <w:t>9、研究与开发管理制度。2009</w:t>
      </w:r>
      <w:r>
        <w:rPr>
          <w:rFonts w:ascii="宋体" w:hAnsi="宋体" w:cs="宋体" w:eastAsia="宋体" w:hint="default"/>
          <w:spacing w:val="-36"/>
          <w:sz w:val="21"/>
          <w:szCs w:val="21"/>
        </w:rPr>
        <w:t> </w:t>
      </w:r>
      <w:r>
        <w:rPr>
          <w:rFonts w:ascii="宋体" w:hAnsi="宋体" w:cs="宋体" w:eastAsia="宋体" w:hint="default"/>
          <w:sz w:val="21"/>
          <w:szCs w:val="21"/>
        </w:rPr>
        <w:t>年进一步修订完善《公司研发成果管理制度》，对研发记</w:t>
      </w:r>
      <w:r>
        <w:rPr>
          <w:rFonts w:ascii="宋体" w:hAnsi="宋体" w:cs="宋体" w:eastAsia="宋体" w:hint="default"/>
          <w:sz w:val="21"/>
          <w:szCs w:val="21"/>
        </w:rPr>
        <w:t> 录、文件、成果保管等做了详尽的规定，防范技术成果泄密。公司研发部门实施了《全产品生</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命周期开发过程控制管理体系文件》，持续优化和改进公司全产品开发过程，规范开发过程监</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控和指导；修订《公司产品发版质量标准》，保障公司产品质量，提升用户满意度；更新并完</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善《开发资料管理和控制过程》，对研发记录、文件、成果保管等做了详尽的规定，防范技术</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成果泄密；建立了《公司产品外包开发管理制度》，规范公司产品外包开发业务活动的执行，</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提高产品外包开发活动的质量，降低开发成本，规避和监控产品外包开发业务活动风险。</w:t>
      </w:r>
    </w:p>
    <w:p>
      <w:pPr>
        <w:spacing w:line="297" w:lineRule="auto" w:before="135"/>
        <w:ind w:left="120" w:right="253" w:firstLine="482"/>
        <w:jc w:val="both"/>
        <w:rPr>
          <w:rFonts w:ascii="宋体" w:hAnsi="宋体" w:cs="宋体" w:eastAsia="宋体" w:hint="default"/>
          <w:sz w:val="21"/>
          <w:szCs w:val="21"/>
        </w:rPr>
      </w:pPr>
      <w:r>
        <w:rPr>
          <w:rFonts w:ascii="宋体" w:hAnsi="宋体" w:cs="宋体" w:eastAsia="宋体" w:hint="default"/>
          <w:sz w:val="21"/>
          <w:szCs w:val="21"/>
        </w:rPr>
        <w:t>10、人事与薪酬管理制度。2009</w:t>
      </w:r>
      <w:r>
        <w:rPr>
          <w:rFonts w:ascii="宋体" w:hAnsi="宋体" w:cs="宋体" w:eastAsia="宋体" w:hint="default"/>
          <w:spacing w:val="47"/>
          <w:sz w:val="21"/>
          <w:szCs w:val="21"/>
        </w:rPr>
        <w:t> </w:t>
      </w:r>
      <w:r>
        <w:rPr>
          <w:rFonts w:ascii="宋体" w:hAnsi="宋体" w:cs="宋体" w:eastAsia="宋体" w:hint="default"/>
          <w:sz w:val="21"/>
          <w:szCs w:val="21"/>
        </w:rPr>
        <w:t>年完善了《公司人才招聘录用管理制度》，在培养、招</w:t>
      </w:r>
      <w:r>
        <w:rPr>
          <w:rFonts w:ascii="宋体" w:hAnsi="宋体" w:cs="宋体" w:eastAsia="宋体" w:hint="default"/>
          <w:sz w:val="21"/>
          <w:szCs w:val="21"/>
        </w:rPr>
        <w:t> 聘、选拔人才方面，为公司发展提供了人力资源保障，公司的《人力资源管理制度》和《薪酬</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绩效管理办法》在人员录用、员工培训、工资薪酬、福利保障、绩效考核、内部调动、职务升</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2"/>
          <w:sz w:val="21"/>
          <w:szCs w:val="21"/>
        </w:rPr>
        <w:t>迁等方面均制定了严格的控制程序。2009</w:t>
      </w:r>
      <w:r>
        <w:rPr>
          <w:rFonts w:ascii="宋体" w:hAnsi="宋体" w:cs="宋体" w:eastAsia="宋体" w:hint="default"/>
          <w:spacing w:val="24"/>
          <w:sz w:val="21"/>
          <w:szCs w:val="21"/>
        </w:rPr>
        <w:t> </w:t>
      </w:r>
      <w:r>
        <w:rPr>
          <w:rFonts w:ascii="宋体" w:hAnsi="宋体" w:cs="宋体" w:eastAsia="宋体" w:hint="default"/>
          <w:spacing w:val="2"/>
          <w:sz w:val="21"/>
          <w:szCs w:val="21"/>
        </w:rPr>
        <w:t>年，公司全面推行《全员绩效管理制度》，建立了</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一整套完善的绩效考核体系，通过自行开发的</w:t>
      </w:r>
      <w:r>
        <w:rPr>
          <w:rFonts w:ascii="宋体" w:hAnsi="宋体" w:cs="宋体" w:eastAsia="宋体" w:hint="default"/>
          <w:spacing w:val="16"/>
          <w:sz w:val="21"/>
          <w:szCs w:val="21"/>
        </w:rPr>
        <w:t> </w:t>
      </w:r>
      <w:r>
        <w:rPr>
          <w:rFonts w:ascii="宋体" w:hAnsi="宋体" w:cs="宋体" w:eastAsia="宋体" w:hint="default"/>
          <w:sz w:val="21"/>
          <w:szCs w:val="21"/>
        </w:rPr>
        <w:t>PBC</w:t>
      </w:r>
      <w:r>
        <w:rPr>
          <w:rFonts w:ascii="宋体" w:hAnsi="宋体" w:cs="宋体" w:eastAsia="宋体" w:hint="default"/>
          <w:spacing w:val="17"/>
          <w:sz w:val="21"/>
          <w:szCs w:val="21"/>
        </w:rPr>
        <w:t> </w:t>
      </w:r>
      <w:r>
        <w:rPr>
          <w:rFonts w:ascii="宋体" w:hAnsi="宋体" w:cs="宋体" w:eastAsia="宋体" w:hint="default"/>
          <w:spacing w:val="2"/>
          <w:sz w:val="21"/>
          <w:szCs w:val="21"/>
        </w:rPr>
        <w:t>管理软件系统，实施内部网上绩效考评。</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2009 年公司每一位员工，每个季度都必须完成 PBC</w:t>
      </w:r>
      <w:r>
        <w:rPr>
          <w:rFonts w:ascii="宋体" w:hAnsi="宋体" w:cs="宋体" w:eastAsia="宋体" w:hint="default"/>
          <w:spacing w:val="26"/>
          <w:sz w:val="21"/>
          <w:szCs w:val="21"/>
        </w:rPr>
        <w:t> </w:t>
      </w:r>
      <w:r>
        <w:rPr>
          <w:rFonts w:ascii="宋体" w:hAnsi="宋体" w:cs="宋体" w:eastAsia="宋体" w:hint="default"/>
          <w:sz w:val="21"/>
          <w:szCs w:val="21"/>
        </w:rPr>
        <w:t>计划和考评，通过网络软件管理平台，实</w:t>
      </w:r>
    </w:p>
    <w:p>
      <w:pPr>
        <w:spacing w:after="0" w:line="297" w:lineRule="auto"/>
        <w:jc w:val="both"/>
        <w:rPr>
          <w:rFonts w:ascii="宋体" w:hAnsi="宋体" w:cs="宋体" w:eastAsia="宋体" w:hint="default"/>
          <w:sz w:val="21"/>
          <w:szCs w:val="21"/>
        </w:rPr>
        <w:sectPr>
          <w:pgSz w:w="12240" w:h="15840"/>
          <w:pgMar w:header="743" w:footer="1032" w:top="1240" w:bottom="1220" w:left="1680" w:right="1540"/>
        </w:sectPr>
      </w:pPr>
    </w:p>
    <w:p>
      <w:pPr>
        <w:spacing w:line="240" w:lineRule="auto" w:before="3"/>
        <w:rPr>
          <w:rFonts w:ascii="宋体" w:hAnsi="宋体" w:cs="宋体" w:eastAsia="宋体" w:hint="default"/>
          <w:sz w:val="9"/>
          <w:szCs w:val="9"/>
        </w:rPr>
      </w:pPr>
    </w:p>
    <w:p>
      <w:pPr>
        <w:spacing w:line="297" w:lineRule="auto" w:before="35"/>
        <w:ind w:left="120" w:right="258" w:firstLine="0"/>
        <w:jc w:val="both"/>
        <w:rPr>
          <w:rFonts w:ascii="宋体" w:hAnsi="宋体" w:cs="宋体" w:eastAsia="宋体" w:hint="default"/>
          <w:sz w:val="21"/>
          <w:szCs w:val="21"/>
        </w:rPr>
      </w:pPr>
      <w:r>
        <w:rPr>
          <w:rFonts w:ascii="宋体" w:hAnsi="宋体" w:cs="宋体" w:eastAsia="宋体" w:hint="default"/>
          <w:sz w:val="21"/>
          <w:szCs w:val="21"/>
        </w:rPr>
        <w:t>现期初主要目标的制订，工作项目的设计以及期末对本人工作表现的自评和部门经理的打分评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价，后各部门按 A、B、C、D</w:t>
      </w:r>
      <w:r>
        <w:rPr>
          <w:rFonts w:ascii="宋体" w:hAnsi="宋体" w:cs="宋体" w:eastAsia="宋体" w:hint="default"/>
          <w:spacing w:val="10"/>
          <w:sz w:val="21"/>
          <w:szCs w:val="21"/>
        </w:rPr>
        <w:t> </w:t>
      </w:r>
      <w:r>
        <w:rPr>
          <w:rFonts w:ascii="宋体" w:hAnsi="宋体" w:cs="宋体" w:eastAsia="宋体" w:hint="default"/>
          <w:sz w:val="21"/>
          <w:szCs w:val="21"/>
        </w:rPr>
        <w:t>四个等级对每一位员工进行强制排序分布。本系统目前已经推广</w:t>
      </w:r>
      <w:r>
        <w:rPr>
          <w:rFonts w:ascii="宋体" w:hAnsi="宋体" w:cs="宋体" w:eastAsia="宋体" w:hint="default"/>
          <w:spacing w:val="1"/>
          <w:sz w:val="21"/>
          <w:szCs w:val="21"/>
        </w:rPr>
        <w:t> </w:t>
      </w:r>
      <w:r>
        <w:rPr>
          <w:rFonts w:ascii="宋体" w:hAnsi="宋体" w:cs="宋体" w:eastAsia="宋体" w:hint="default"/>
          <w:sz w:val="21"/>
          <w:szCs w:val="21"/>
        </w:rPr>
        <w:t>至全国分子公司范围内，全面实行《全员绩效管理制度》。</w:t>
      </w:r>
    </w:p>
    <w:p>
      <w:pPr>
        <w:spacing w:line="297" w:lineRule="auto" w:before="135"/>
        <w:ind w:left="120" w:right="252" w:firstLine="482"/>
        <w:jc w:val="both"/>
        <w:rPr>
          <w:rFonts w:ascii="宋体" w:hAnsi="宋体" w:cs="宋体" w:eastAsia="宋体" w:hint="default"/>
          <w:sz w:val="21"/>
          <w:szCs w:val="21"/>
        </w:rPr>
      </w:pPr>
      <w:r>
        <w:rPr>
          <w:rFonts w:ascii="宋体" w:hAnsi="宋体" w:cs="宋体" w:eastAsia="宋体" w:hint="default"/>
          <w:spacing w:val="3"/>
          <w:sz w:val="21"/>
          <w:szCs w:val="21"/>
        </w:rPr>
        <w:t>11、分支（含分公司、子公司）管理制度。公司建立起一整套分支机构运营管理制度，</w:t>
      </w:r>
      <w:r>
        <w:rPr>
          <w:rFonts w:ascii="宋体" w:hAnsi="宋体" w:cs="宋体" w:eastAsia="宋体" w:hint="default"/>
          <w:spacing w:val="4"/>
          <w:sz w:val="21"/>
          <w:szCs w:val="21"/>
        </w:rPr>
        <w:t> </w:t>
      </w:r>
      <w:r>
        <w:rPr>
          <w:rFonts w:ascii="宋体" w:hAnsi="宋体" w:cs="宋体" w:eastAsia="宋体" w:hint="default"/>
          <w:sz w:val="21"/>
          <w:szCs w:val="21"/>
        </w:rPr>
        <w:t>公司总部设立分支机构管理总部，全面指导、检查各业务线的工作推进，按月、按季、按年检</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查公布各机构绩效情况，督促业绩达成。同时控制实施授权与审核批准制度，按照规定的权限</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2"/>
          <w:sz w:val="21"/>
          <w:szCs w:val="21"/>
        </w:rPr>
        <w:t>和程序办理分支机构运营业务。2009</w:t>
      </w:r>
      <w:r>
        <w:rPr>
          <w:rFonts w:ascii="宋体" w:hAnsi="宋体" w:cs="宋体" w:eastAsia="宋体" w:hint="default"/>
          <w:spacing w:val="5"/>
          <w:sz w:val="21"/>
          <w:szCs w:val="21"/>
        </w:rPr>
        <w:t> </w:t>
      </w:r>
      <w:r>
        <w:rPr>
          <w:rFonts w:ascii="宋体" w:hAnsi="宋体" w:cs="宋体" w:eastAsia="宋体" w:hint="default"/>
          <w:spacing w:val="3"/>
          <w:sz w:val="21"/>
          <w:szCs w:val="21"/>
        </w:rPr>
        <w:t>年开发并完善了客户销售管理平台，建立起全国统一的</w:t>
      </w:r>
      <w:r>
        <w:rPr>
          <w:rFonts w:ascii="宋体" w:hAnsi="宋体" w:cs="宋体" w:eastAsia="宋体" w:hint="default"/>
          <w:spacing w:val="3"/>
          <w:sz w:val="21"/>
          <w:szCs w:val="21"/>
        </w:rPr>
        <w:t> </w:t>
      </w:r>
      <w:r>
        <w:rPr>
          <w:rFonts w:ascii="宋体" w:hAnsi="宋体" w:cs="宋体" w:eastAsia="宋体" w:hint="default"/>
          <w:sz w:val="21"/>
          <w:szCs w:val="21"/>
        </w:rPr>
        <w:t>项目报备、签单、审批系统，加强对各分支机构重大合同、重大资产的控制力度。通过常规的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内部例行审计，对分支机构开展全面、有效的监督检查，确保机构业务正常运行。</w:t>
      </w:r>
    </w:p>
    <w:p>
      <w:pPr>
        <w:spacing w:line="297" w:lineRule="auto" w:before="134"/>
        <w:ind w:left="120" w:right="255" w:firstLine="482"/>
        <w:jc w:val="both"/>
        <w:rPr>
          <w:rFonts w:ascii="宋体" w:hAnsi="宋体" w:cs="宋体" w:eastAsia="宋体" w:hint="default"/>
          <w:sz w:val="21"/>
          <w:szCs w:val="21"/>
        </w:rPr>
      </w:pPr>
      <w:r>
        <w:rPr>
          <w:rFonts w:ascii="宋体" w:hAnsi="宋体" w:cs="宋体" w:eastAsia="宋体" w:hint="default"/>
          <w:sz w:val="21"/>
          <w:szCs w:val="21"/>
        </w:rPr>
        <w:t>12、信息技术管理制度。2009</w:t>
      </w:r>
      <w:r>
        <w:rPr>
          <w:rFonts w:ascii="宋体" w:hAnsi="宋体" w:cs="宋体" w:eastAsia="宋体" w:hint="default"/>
          <w:spacing w:val="48"/>
          <w:sz w:val="21"/>
          <w:szCs w:val="21"/>
        </w:rPr>
        <w:t> </w:t>
      </w:r>
      <w:r>
        <w:rPr>
          <w:rFonts w:ascii="宋体" w:hAnsi="宋体" w:cs="宋体" w:eastAsia="宋体" w:hint="default"/>
          <w:sz w:val="21"/>
          <w:szCs w:val="21"/>
        </w:rPr>
        <w:t>年按照财政部《企业内部控制应用指引》文件要求，公司</w:t>
      </w:r>
      <w:r>
        <w:rPr>
          <w:rFonts w:ascii="宋体" w:hAnsi="宋体" w:cs="宋体" w:eastAsia="宋体" w:hint="default"/>
          <w:sz w:val="21"/>
          <w:szCs w:val="21"/>
        </w:rPr>
        <w:t> 从法律合规性、资产等级划分、访问权限控制、基础安全加固、终端应用限制方面对信息系统</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2"/>
          <w:sz w:val="21"/>
          <w:szCs w:val="21"/>
        </w:rPr>
        <w:t>设计、开发、使用、运维进行管理，修订了相关制度，并启用了对应控制执行流程；2009</w:t>
      </w:r>
      <w:r>
        <w:rPr>
          <w:rFonts w:ascii="宋体" w:hAnsi="宋体" w:cs="宋体" w:eastAsia="宋体" w:hint="default"/>
          <w:spacing w:val="24"/>
          <w:sz w:val="21"/>
          <w:szCs w:val="21"/>
        </w:rPr>
        <w:t> </w:t>
      </w:r>
      <w:r>
        <w:rPr>
          <w:rFonts w:ascii="宋体" w:hAnsi="宋体" w:cs="宋体" w:eastAsia="宋体" w:hint="default"/>
          <w:sz w:val="21"/>
          <w:szCs w:val="21"/>
        </w:rPr>
        <w:t>年</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重点完善基础安全加固，启用了高性能防火墙和入侵防护系统，同时建立并完善了公司全国专</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网的建设和性能优化工作。</w:t>
      </w:r>
    </w:p>
    <w:p>
      <w:pPr>
        <w:spacing w:line="297" w:lineRule="auto" w:before="135"/>
        <w:ind w:left="120" w:right="246" w:firstLine="482"/>
        <w:jc w:val="both"/>
        <w:rPr>
          <w:rFonts w:ascii="宋体" w:hAnsi="宋体" w:cs="宋体" w:eastAsia="宋体" w:hint="default"/>
          <w:sz w:val="21"/>
          <w:szCs w:val="21"/>
        </w:rPr>
      </w:pPr>
      <w:r>
        <w:rPr>
          <w:rFonts w:ascii="宋体" w:hAnsi="宋体" w:cs="宋体" w:eastAsia="宋体" w:hint="default"/>
          <w:spacing w:val="3"/>
          <w:sz w:val="21"/>
          <w:szCs w:val="21"/>
        </w:rPr>
        <w:t>13、企业管理制度。公司设立营销管理委员会、产品管理委员会等专业组织整体控制公</w:t>
      </w:r>
      <w:r>
        <w:rPr>
          <w:rFonts w:ascii="宋体" w:hAnsi="宋体" w:cs="宋体" w:eastAsia="宋体" w:hint="default"/>
          <w:spacing w:val="4"/>
          <w:sz w:val="21"/>
          <w:szCs w:val="21"/>
        </w:rPr>
        <w:t> </w:t>
      </w:r>
      <w:r>
        <w:rPr>
          <w:rFonts w:ascii="宋体" w:hAnsi="宋体" w:cs="宋体" w:eastAsia="宋体" w:hint="default"/>
          <w:sz w:val="21"/>
          <w:szCs w:val="21"/>
        </w:rPr>
        <w:t>司销售和研发风险，公司进一步组织发布了《公司 2009</w:t>
      </w:r>
      <w:r>
        <w:rPr>
          <w:rFonts w:ascii="宋体" w:hAnsi="宋体" w:cs="宋体" w:eastAsia="宋体" w:hint="default"/>
          <w:spacing w:val="7"/>
          <w:sz w:val="21"/>
          <w:szCs w:val="21"/>
        </w:rPr>
        <w:t> </w:t>
      </w:r>
      <w:r>
        <w:rPr>
          <w:rFonts w:ascii="宋体" w:hAnsi="宋体" w:cs="宋体" w:eastAsia="宋体" w:hint="default"/>
          <w:sz w:val="21"/>
          <w:szCs w:val="21"/>
        </w:rPr>
        <w:t>年度总裁办公会管理制度》，加强管</w:t>
      </w:r>
      <w:r>
        <w:rPr>
          <w:rFonts w:ascii="宋体" w:hAnsi="宋体" w:cs="宋体" w:eastAsia="宋体" w:hint="default"/>
          <w:spacing w:val="1"/>
          <w:sz w:val="21"/>
          <w:szCs w:val="21"/>
        </w:rPr>
        <w:t> </w:t>
      </w:r>
      <w:r>
        <w:rPr>
          <w:rFonts w:ascii="宋体" w:hAnsi="宋体" w:cs="宋体" w:eastAsia="宋体" w:hint="default"/>
          <w:spacing w:val="7"/>
          <w:sz w:val="21"/>
          <w:szCs w:val="21"/>
        </w:rPr>
        <w:t>理层的内部直接沟通协调机制；在业务推动方面，制定并发布《2009</w:t>
      </w:r>
      <w:r>
        <w:rPr>
          <w:rFonts w:ascii="宋体" w:hAnsi="宋体" w:cs="宋体" w:eastAsia="宋体" w:hint="default"/>
          <w:spacing w:val="32"/>
          <w:sz w:val="21"/>
          <w:szCs w:val="21"/>
        </w:rPr>
        <w:t> </w:t>
      </w:r>
      <w:r>
        <w:rPr>
          <w:rFonts w:ascii="宋体" w:hAnsi="宋体" w:cs="宋体" w:eastAsia="宋体" w:hint="default"/>
          <w:spacing w:val="8"/>
          <w:sz w:val="21"/>
          <w:szCs w:val="21"/>
        </w:rPr>
        <w:t>年公司定额完成率标</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准》，明确业绩目标；核定发布了《公司 2009</w:t>
      </w:r>
      <w:r>
        <w:rPr>
          <w:rFonts w:ascii="宋体" w:hAnsi="宋体" w:cs="宋体" w:eastAsia="宋体" w:hint="default"/>
          <w:spacing w:val="8"/>
          <w:sz w:val="21"/>
          <w:szCs w:val="21"/>
        </w:rPr>
        <w:t> </w:t>
      </w:r>
      <w:r>
        <w:rPr>
          <w:rFonts w:ascii="宋体" w:hAnsi="宋体" w:cs="宋体" w:eastAsia="宋体" w:hint="default"/>
          <w:sz w:val="21"/>
          <w:szCs w:val="21"/>
        </w:rPr>
        <w:t>年度组织绩效考核制度》，激发并提升组织工</w:t>
      </w:r>
      <w:r>
        <w:rPr>
          <w:rFonts w:ascii="宋体" w:hAnsi="宋体" w:cs="宋体" w:eastAsia="宋体" w:hint="default"/>
          <w:spacing w:val="1"/>
          <w:sz w:val="21"/>
          <w:szCs w:val="21"/>
        </w:rPr>
        <w:t> </w:t>
      </w:r>
      <w:r>
        <w:rPr>
          <w:rFonts w:ascii="宋体" w:hAnsi="宋体" w:cs="宋体" w:eastAsia="宋体" w:hint="default"/>
          <w:sz w:val="21"/>
          <w:szCs w:val="21"/>
        </w:rPr>
        <w:t>作绩效；更新完善了《公司实施项目管理制度》、《公司实施开发合作伙伴业务管理办法》，</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有效地控制项目风险，保障公司及客户利益。</w:t>
      </w:r>
    </w:p>
    <w:p>
      <w:pPr>
        <w:spacing w:line="297" w:lineRule="auto" w:before="135"/>
        <w:ind w:left="120" w:right="252" w:firstLine="482"/>
        <w:jc w:val="both"/>
        <w:rPr>
          <w:rFonts w:ascii="宋体" w:hAnsi="宋体" w:cs="宋体" w:eastAsia="宋体" w:hint="default"/>
          <w:sz w:val="21"/>
          <w:szCs w:val="21"/>
        </w:rPr>
      </w:pPr>
      <w:r>
        <w:rPr>
          <w:rFonts w:ascii="宋体" w:hAnsi="宋体" w:cs="宋体" w:eastAsia="宋体" w:hint="default"/>
          <w:spacing w:val="3"/>
          <w:sz w:val="21"/>
          <w:szCs w:val="21"/>
        </w:rPr>
        <w:t>14、关联交易控制制度。根据《公司法》的有关规定，公司制定了《关联交易制度》，</w:t>
      </w:r>
      <w:r>
        <w:rPr>
          <w:rFonts w:ascii="宋体" w:hAnsi="宋体" w:cs="宋体" w:eastAsia="宋体" w:hint="default"/>
          <w:spacing w:val="4"/>
          <w:sz w:val="21"/>
          <w:szCs w:val="21"/>
        </w:rPr>
        <w:t> </w:t>
      </w:r>
      <w:r>
        <w:rPr>
          <w:rFonts w:ascii="宋体" w:hAnsi="宋体" w:cs="宋体" w:eastAsia="宋体" w:hint="default"/>
          <w:sz w:val="21"/>
          <w:szCs w:val="21"/>
        </w:rPr>
        <w:t>明确了关联交易的内容、定价原则、决策程序和审批权限，做到了关联交易的公平和公允性，</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有效地维护股东和公司的利益。</w:t>
      </w:r>
    </w:p>
    <w:p>
      <w:pPr>
        <w:spacing w:line="297" w:lineRule="auto" w:before="135"/>
        <w:ind w:left="120" w:right="252" w:firstLine="482"/>
        <w:jc w:val="both"/>
        <w:rPr>
          <w:rFonts w:ascii="宋体" w:hAnsi="宋体" w:cs="宋体" w:eastAsia="宋体" w:hint="default"/>
          <w:sz w:val="21"/>
          <w:szCs w:val="21"/>
        </w:rPr>
      </w:pPr>
      <w:r>
        <w:rPr>
          <w:rFonts w:ascii="宋体" w:hAnsi="宋体" w:cs="宋体" w:eastAsia="宋体" w:hint="default"/>
          <w:spacing w:val="3"/>
          <w:sz w:val="21"/>
          <w:szCs w:val="21"/>
        </w:rPr>
        <w:t>15、对外担保控制。根据《公司法》要求，在《公司章程》中严格规定了对外担保的审</w:t>
      </w:r>
      <w:r>
        <w:rPr>
          <w:rFonts w:ascii="宋体" w:hAnsi="宋体" w:cs="宋体" w:eastAsia="宋体" w:hint="default"/>
          <w:spacing w:val="4"/>
          <w:sz w:val="21"/>
          <w:szCs w:val="21"/>
        </w:rPr>
        <w:t> </w:t>
      </w:r>
      <w:r>
        <w:rPr>
          <w:rFonts w:ascii="宋体" w:hAnsi="宋体" w:cs="宋体" w:eastAsia="宋体" w:hint="default"/>
          <w:sz w:val="21"/>
          <w:szCs w:val="21"/>
        </w:rPr>
        <w:t>批程序和审批权限，严禁分支机构开展此类业务，有效地防范了公司对外担保风险。</w:t>
      </w:r>
    </w:p>
    <w:p>
      <w:pPr>
        <w:spacing w:before="134"/>
        <w:ind w:left="225" w:right="2010" w:firstLine="0"/>
        <w:jc w:val="left"/>
        <w:rPr>
          <w:rFonts w:ascii="宋体" w:hAnsi="宋体" w:cs="宋体" w:eastAsia="宋体" w:hint="default"/>
          <w:sz w:val="21"/>
          <w:szCs w:val="21"/>
        </w:rPr>
      </w:pPr>
      <w:r>
        <w:rPr>
          <w:rFonts w:ascii="宋体" w:hAnsi="宋体" w:cs="宋体" w:eastAsia="宋体" w:hint="default"/>
          <w:sz w:val="21"/>
          <w:szCs w:val="21"/>
        </w:rPr>
        <w:t>（四）信息与沟通</w:t>
      </w:r>
    </w:p>
    <w:p>
      <w:pPr>
        <w:spacing w:line="240" w:lineRule="auto" w:before="3"/>
        <w:rPr>
          <w:rFonts w:ascii="宋体" w:hAnsi="宋体" w:cs="宋体" w:eastAsia="宋体" w:hint="default"/>
          <w:sz w:val="14"/>
          <w:szCs w:val="14"/>
        </w:rPr>
      </w:pPr>
    </w:p>
    <w:p>
      <w:pPr>
        <w:spacing w:line="297" w:lineRule="auto" w:before="0"/>
        <w:ind w:left="120" w:right="246" w:firstLine="482"/>
        <w:jc w:val="both"/>
        <w:rPr>
          <w:rFonts w:ascii="宋体" w:hAnsi="宋体" w:cs="宋体" w:eastAsia="宋体" w:hint="default"/>
          <w:sz w:val="21"/>
          <w:szCs w:val="21"/>
        </w:rPr>
      </w:pPr>
      <w:r>
        <w:rPr>
          <w:rFonts w:ascii="宋体" w:hAnsi="宋体" w:cs="宋体" w:eastAsia="宋体" w:hint="default"/>
          <w:spacing w:val="10"/>
          <w:sz w:val="21"/>
          <w:szCs w:val="21"/>
        </w:rPr>
        <w:t>公司已建立起较为全面的经营信息采集、整理、分析、传递系统，包括：销售管理系 </w:t>
      </w:r>
      <w:r>
        <w:rPr>
          <w:rFonts w:ascii="宋体" w:hAnsi="宋体" w:cs="宋体" w:eastAsia="宋体" w:hint="default"/>
          <w:spacing w:val="2"/>
          <w:sz w:val="21"/>
          <w:szCs w:val="21"/>
        </w:rPr>
        <w:t>统、服务监督管理系统、呼叫中心等。2009</w:t>
      </w:r>
      <w:r>
        <w:rPr>
          <w:rFonts w:ascii="宋体" w:hAnsi="宋体" w:cs="宋体" w:eastAsia="宋体" w:hint="default"/>
          <w:spacing w:val="23"/>
          <w:sz w:val="21"/>
          <w:szCs w:val="21"/>
        </w:rPr>
        <w:t> </w:t>
      </w:r>
      <w:r>
        <w:rPr>
          <w:rFonts w:ascii="宋体" w:hAnsi="宋体" w:cs="宋体" w:eastAsia="宋体" w:hint="default"/>
          <w:spacing w:val="2"/>
          <w:sz w:val="21"/>
          <w:szCs w:val="21"/>
        </w:rPr>
        <w:t>年公司全面推行客户信息销售管理平台，使得全</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国范围内的客户信息、业务项目都可以动态及时地集中反馈，利于管理层有效分配资源，并针</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对可疑的不恰当事项和行为建立及时有效的沟通渠道和机制，真正实现通过信息系统，合理分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配公司人力、财力资源。公司内部网络信息管理平台，使得员工与管理层之间的信息传递更迅</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速、顺畅，沟通更便捷、有效。</w:t>
      </w:r>
    </w:p>
    <w:p>
      <w:pPr>
        <w:spacing w:line="460" w:lineRule="exact" w:before="13"/>
        <w:ind w:left="540" w:right="270" w:hanging="315"/>
        <w:jc w:val="left"/>
        <w:rPr>
          <w:rFonts w:ascii="宋体" w:hAnsi="宋体" w:cs="宋体" w:eastAsia="宋体" w:hint="default"/>
          <w:sz w:val="21"/>
          <w:szCs w:val="21"/>
        </w:rPr>
      </w:pPr>
      <w:r>
        <w:rPr>
          <w:rFonts w:ascii="宋体" w:hAnsi="宋体" w:cs="宋体" w:eastAsia="宋体" w:hint="default"/>
          <w:sz w:val="21"/>
          <w:szCs w:val="21"/>
        </w:rPr>
        <w:t>（五）内部监督 公司监事会负责对董事会建立与实施内部控制和经理层组织领导内部控制的日常运行进行</w:t>
      </w:r>
    </w:p>
    <w:p>
      <w:pPr>
        <w:spacing w:before="3"/>
        <w:ind w:left="120" w:right="0" w:firstLine="0"/>
        <w:jc w:val="both"/>
        <w:rPr>
          <w:rFonts w:ascii="宋体" w:hAnsi="宋体" w:cs="宋体" w:eastAsia="宋体" w:hint="default"/>
          <w:sz w:val="21"/>
          <w:szCs w:val="21"/>
        </w:rPr>
      </w:pPr>
      <w:r>
        <w:rPr>
          <w:rFonts w:ascii="宋体" w:hAnsi="宋体" w:cs="宋体" w:eastAsia="宋体" w:hint="default"/>
          <w:sz w:val="21"/>
          <w:szCs w:val="21"/>
        </w:rPr>
        <w:t>监督，董事会审计委员会负责审查和监督内部控制的建立和有效实施情况。公司制定了《内部</w:t>
      </w:r>
    </w:p>
    <w:p>
      <w:pPr>
        <w:spacing w:after="0"/>
        <w:jc w:val="both"/>
        <w:rPr>
          <w:rFonts w:ascii="宋体" w:hAnsi="宋体" w:cs="宋体" w:eastAsia="宋体" w:hint="default"/>
          <w:sz w:val="21"/>
          <w:szCs w:val="21"/>
        </w:rPr>
        <w:sectPr>
          <w:pgSz w:w="12240" w:h="15840"/>
          <w:pgMar w:header="743" w:footer="1032" w:top="1240" w:bottom="1220" w:left="1680" w:right="1540"/>
        </w:sectPr>
      </w:pPr>
    </w:p>
    <w:p>
      <w:pPr>
        <w:spacing w:line="240" w:lineRule="auto" w:before="3"/>
        <w:rPr>
          <w:rFonts w:ascii="宋体" w:hAnsi="宋体" w:cs="宋体" w:eastAsia="宋体" w:hint="default"/>
          <w:sz w:val="9"/>
          <w:szCs w:val="9"/>
        </w:rPr>
      </w:pPr>
    </w:p>
    <w:p>
      <w:pPr>
        <w:spacing w:line="297" w:lineRule="auto" w:before="35"/>
        <w:ind w:left="120" w:right="270" w:firstLine="0"/>
        <w:jc w:val="left"/>
        <w:rPr>
          <w:rFonts w:ascii="宋体" w:hAnsi="宋体" w:cs="宋体" w:eastAsia="宋体" w:hint="default"/>
          <w:sz w:val="21"/>
          <w:szCs w:val="21"/>
        </w:rPr>
      </w:pPr>
      <w:r>
        <w:rPr>
          <w:rFonts w:ascii="宋体" w:hAnsi="宋体" w:cs="宋体" w:eastAsia="宋体" w:hint="default"/>
          <w:sz w:val="21"/>
          <w:szCs w:val="21"/>
        </w:rPr>
        <w:t>审计制度》，设立了审计监察部，配备专职内部审计人员，明确了审计监察部在内部监督中的 职责权限，尤其是在内部控制中的监督职责和权限，规范了内部监督的相关程序、方法和要 求，内部审计在公司经营管理及内部控制的监督中发挥着重要的作用。</w:t>
      </w:r>
    </w:p>
    <w:p>
      <w:pPr>
        <w:spacing w:before="135"/>
        <w:ind w:left="540" w:right="2010" w:firstLine="0"/>
        <w:jc w:val="left"/>
        <w:rPr>
          <w:rFonts w:ascii="宋体" w:hAnsi="宋体" w:cs="宋体" w:eastAsia="宋体" w:hint="default"/>
          <w:sz w:val="21"/>
          <w:szCs w:val="21"/>
        </w:rPr>
      </w:pPr>
      <w:r>
        <w:rPr>
          <w:rFonts w:ascii="宋体" w:hAnsi="宋体" w:cs="宋体" w:eastAsia="宋体" w:hint="default"/>
          <w:sz w:val="21"/>
          <w:szCs w:val="21"/>
        </w:rPr>
        <w:t>三、对公司内部控制有效性的总体评价</w:t>
      </w:r>
    </w:p>
    <w:p>
      <w:pPr>
        <w:spacing w:line="240" w:lineRule="auto" w:before="3"/>
        <w:rPr>
          <w:rFonts w:ascii="宋体" w:hAnsi="宋体" w:cs="宋体" w:eastAsia="宋体" w:hint="default"/>
          <w:sz w:val="14"/>
          <w:szCs w:val="14"/>
        </w:rPr>
      </w:pPr>
    </w:p>
    <w:p>
      <w:pPr>
        <w:spacing w:line="297" w:lineRule="auto" w:before="0"/>
        <w:ind w:left="120" w:right="270" w:firstLine="420"/>
        <w:jc w:val="left"/>
        <w:rPr>
          <w:rFonts w:ascii="宋体" w:hAnsi="宋体" w:cs="宋体" w:eastAsia="宋体" w:hint="default"/>
          <w:sz w:val="21"/>
          <w:szCs w:val="21"/>
        </w:rPr>
      </w:pPr>
      <w:r>
        <w:rPr>
          <w:rFonts w:ascii="宋体" w:hAnsi="宋体" w:cs="宋体" w:eastAsia="宋体" w:hint="default"/>
          <w:sz w:val="21"/>
          <w:szCs w:val="21"/>
        </w:rPr>
        <w:t>公司董事会对</w:t>
      </w:r>
      <w:r>
        <w:rPr>
          <w:rFonts w:ascii="宋体" w:hAnsi="宋体" w:cs="宋体" w:eastAsia="宋体" w:hint="default"/>
          <w:spacing w:val="-67"/>
          <w:sz w:val="21"/>
          <w:szCs w:val="21"/>
        </w:rPr>
        <w:t> </w:t>
      </w:r>
      <w:r>
        <w:rPr>
          <w:rFonts w:ascii="宋体" w:hAnsi="宋体" w:cs="宋体" w:eastAsia="宋体" w:hint="default"/>
          <w:sz w:val="21"/>
          <w:szCs w:val="21"/>
        </w:rPr>
        <w:t>2009</w:t>
      </w:r>
      <w:r>
        <w:rPr>
          <w:rFonts w:ascii="宋体" w:hAnsi="宋体" w:cs="宋体" w:eastAsia="宋体" w:hint="default"/>
          <w:spacing w:val="-67"/>
          <w:sz w:val="21"/>
          <w:szCs w:val="21"/>
        </w:rPr>
        <w:t> </w:t>
      </w:r>
      <w:r>
        <w:rPr>
          <w:rFonts w:ascii="宋体" w:hAnsi="宋体" w:cs="宋体" w:eastAsia="宋体" w:hint="default"/>
          <w:sz w:val="21"/>
          <w:szCs w:val="21"/>
        </w:rPr>
        <w:t>年度上述所有方面的内部控制进行了自我评估，未发现本公司存在内</w:t>
      </w:r>
      <w:r>
        <w:rPr>
          <w:rFonts w:ascii="宋体" w:hAnsi="宋体" w:cs="宋体" w:eastAsia="宋体" w:hint="default"/>
          <w:spacing w:val="-1"/>
          <w:sz w:val="21"/>
          <w:szCs w:val="21"/>
        </w:rPr>
        <w:t> </w:t>
      </w:r>
      <w:r>
        <w:rPr>
          <w:rFonts w:ascii="宋体" w:hAnsi="宋体" w:cs="宋体" w:eastAsia="宋体" w:hint="default"/>
          <w:sz w:val="21"/>
          <w:szCs w:val="21"/>
        </w:rPr>
        <w:t>部控制设计或执行方面的重大缺陷。</w:t>
      </w:r>
    </w:p>
    <w:p>
      <w:pPr>
        <w:spacing w:line="297" w:lineRule="auto" w:before="135"/>
        <w:ind w:left="120" w:right="258" w:firstLine="420"/>
        <w:jc w:val="both"/>
        <w:rPr>
          <w:rFonts w:ascii="宋体" w:hAnsi="宋体" w:cs="宋体" w:eastAsia="宋体" w:hint="default"/>
          <w:sz w:val="21"/>
          <w:szCs w:val="21"/>
        </w:rPr>
      </w:pPr>
      <w:r>
        <w:rPr>
          <w:rFonts w:ascii="宋体" w:hAnsi="宋体" w:cs="宋体" w:eastAsia="宋体" w:hint="default"/>
          <w:sz w:val="21"/>
          <w:szCs w:val="21"/>
        </w:rPr>
        <w:t>公司董事会认为：公司制定了完整、合理、有效的、符合公司业务运行状况的内部控制制 度；公司内部控制制度在报告期内得到了有效地执行，能够合理保证内部控制目标的实现。公</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司组织机构部门健全，职责明确；运营管理状况良好；会计信息和相关经济信息的报告制度健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全；财务凭证制度健全，凭证的填制、传递和保管具有严格的程序；公司员工具备必要的知识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水平和业务技能；对财产物资建立了定期盘点制度，对重要的业务活动建立了事后核对制度；</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公司建立了严格的经济责任制和岗位责任制；对各项业务活动的程序做出明确规定，并具有明</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晰的业务流程图；对采购、销售、安全、质量等各个关键控制点均设有控制措施。</w:t>
      </w:r>
    </w:p>
    <w:p>
      <w:pPr>
        <w:spacing w:line="297" w:lineRule="auto" w:before="135"/>
        <w:ind w:left="120" w:right="251" w:firstLine="420"/>
        <w:jc w:val="both"/>
        <w:rPr>
          <w:rFonts w:ascii="宋体" w:hAnsi="宋体" w:cs="宋体" w:eastAsia="宋体" w:hint="default"/>
          <w:sz w:val="21"/>
          <w:szCs w:val="21"/>
        </w:rPr>
      </w:pPr>
      <w:r>
        <w:rPr>
          <w:rFonts w:ascii="宋体" w:hAnsi="宋体" w:cs="宋体" w:eastAsia="宋体" w:hint="default"/>
          <w:spacing w:val="5"/>
          <w:sz w:val="21"/>
          <w:szCs w:val="21"/>
        </w:rPr>
        <w:t>对照五部委新发布的《企业内部控制基本规范》，2009年度，公司采取了更多更新的措</w:t>
      </w:r>
      <w:r>
        <w:rPr>
          <w:rFonts w:ascii="宋体" w:hAnsi="宋体" w:cs="宋体" w:eastAsia="宋体" w:hint="default"/>
          <w:spacing w:val="7"/>
          <w:sz w:val="21"/>
          <w:szCs w:val="21"/>
        </w:rPr>
        <w:t> </w:t>
      </w:r>
      <w:r>
        <w:rPr>
          <w:rFonts w:ascii="宋体" w:hAnsi="宋体" w:cs="宋体" w:eastAsia="宋体" w:hint="default"/>
          <w:spacing w:val="2"/>
          <w:sz w:val="21"/>
          <w:szCs w:val="21"/>
        </w:rPr>
        <w:t>施，进一步优化内部管理控制制度。我们认为，公司的内部控制措施与执行,在公司各重大关</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键控制方面是有效的。</w:t>
      </w:r>
    </w:p>
    <w:p>
      <w:pPr>
        <w:spacing w:line="297" w:lineRule="auto" w:before="135"/>
        <w:ind w:left="120" w:right="342" w:firstLine="420"/>
        <w:jc w:val="both"/>
        <w:rPr>
          <w:rFonts w:ascii="宋体" w:hAnsi="宋体" w:cs="宋体" w:eastAsia="宋体" w:hint="default"/>
          <w:sz w:val="21"/>
          <w:szCs w:val="21"/>
        </w:rPr>
      </w:pPr>
      <w:r>
        <w:rPr>
          <w:rFonts w:ascii="宋体" w:hAnsi="宋体" w:cs="宋体" w:eastAsia="宋体" w:hint="default"/>
          <w:sz w:val="21"/>
          <w:szCs w:val="21"/>
        </w:rPr>
        <w:t>本报告已于</w:t>
      </w:r>
      <w:r>
        <w:rPr>
          <w:rFonts w:ascii="宋体" w:hAnsi="宋体" w:cs="宋体" w:eastAsia="宋体" w:hint="default"/>
          <w:spacing w:val="-57"/>
          <w:sz w:val="21"/>
          <w:szCs w:val="21"/>
        </w:rPr>
        <w:t> </w:t>
      </w:r>
      <w:r>
        <w:rPr>
          <w:rFonts w:ascii="宋体" w:hAnsi="宋体" w:cs="宋体" w:eastAsia="宋体" w:hint="default"/>
          <w:sz w:val="21"/>
          <w:szCs w:val="21"/>
        </w:rPr>
        <w:t>2010</w:t>
      </w:r>
      <w:r>
        <w:rPr>
          <w:rFonts w:ascii="宋体" w:hAnsi="宋体" w:cs="宋体" w:eastAsia="宋体"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3</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宋体" w:hAnsi="宋体" w:cs="宋体" w:eastAsia="宋体" w:hint="default"/>
          <w:sz w:val="21"/>
          <w:szCs w:val="21"/>
        </w:rPr>
        <w:t>20</w:t>
      </w:r>
      <w:r>
        <w:rPr>
          <w:rFonts w:ascii="宋体" w:hAnsi="宋体" w:cs="宋体" w:eastAsia="宋体" w:hint="default"/>
          <w:spacing w:val="-56"/>
          <w:sz w:val="21"/>
          <w:szCs w:val="21"/>
        </w:rPr>
        <w:t> </w:t>
      </w:r>
      <w:r>
        <w:rPr>
          <w:rFonts w:ascii="宋体" w:hAnsi="宋体" w:cs="宋体" w:eastAsia="宋体" w:hint="default"/>
          <w:sz w:val="21"/>
          <w:szCs w:val="21"/>
        </w:rPr>
        <w:t>日经公司第四届董事会</w:t>
      </w:r>
      <w:r>
        <w:rPr>
          <w:rFonts w:ascii="宋体" w:hAnsi="宋体" w:cs="宋体" w:eastAsia="宋体" w:hint="default"/>
          <w:spacing w:val="-57"/>
          <w:sz w:val="21"/>
          <w:szCs w:val="21"/>
        </w:rPr>
        <w:t> </w:t>
      </w:r>
      <w:r>
        <w:rPr>
          <w:rFonts w:ascii="宋体" w:hAnsi="宋体" w:cs="宋体" w:eastAsia="宋体" w:hint="default"/>
          <w:sz w:val="21"/>
          <w:szCs w:val="21"/>
        </w:rPr>
        <w:t>2010</w:t>
      </w:r>
      <w:r>
        <w:rPr>
          <w:rFonts w:ascii="宋体" w:hAnsi="宋体" w:cs="宋体" w:eastAsia="宋体" w:hint="default"/>
          <w:spacing w:val="-56"/>
          <w:sz w:val="21"/>
          <w:szCs w:val="21"/>
        </w:rPr>
        <w:t> </w:t>
      </w:r>
      <w:r>
        <w:rPr>
          <w:rFonts w:ascii="宋体" w:hAnsi="宋体" w:cs="宋体" w:eastAsia="宋体" w:hint="default"/>
          <w:sz w:val="21"/>
          <w:szCs w:val="21"/>
        </w:rPr>
        <w:t>年第三次会议审议通过，公司董</w:t>
      </w:r>
      <w:r>
        <w:rPr>
          <w:rFonts w:ascii="宋体" w:hAnsi="宋体" w:cs="宋体" w:eastAsia="宋体" w:hint="default"/>
          <w:spacing w:val="-1"/>
          <w:sz w:val="21"/>
          <w:szCs w:val="21"/>
        </w:rPr>
        <w:t> </w:t>
      </w:r>
      <w:r>
        <w:rPr>
          <w:rFonts w:ascii="宋体" w:hAnsi="宋体" w:cs="宋体" w:eastAsia="宋体" w:hint="default"/>
          <w:sz w:val="21"/>
          <w:szCs w:val="21"/>
        </w:rPr>
        <w:t>事会及其全体成员对其内容的真实性、准确性和完整性承担个别及连带责任。</w:t>
      </w:r>
    </w:p>
    <w:p>
      <w:pPr>
        <w:spacing w:before="134"/>
        <w:ind w:left="540" w:right="2010" w:firstLine="0"/>
        <w:jc w:val="left"/>
        <w:rPr>
          <w:rFonts w:ascii="宋体" w:hAnsi="宋体" w:cs="宋体" w:eastAsia="宋体" w:hint="default"/>
          <w:sz w:val="21"/>
          <w:szCs w:val="21"/>
        </w:rPr>
      </w:pPr>
      <w:r>
        <w:rPr>
          <w:rFonts w:ascii="宋体" w:hAnsi="宋体" w:cs="宋体" w:eastAsia="宋体" w:hint="default"/>
          <w:sz w:val="21"/>
          <w:szCs w:val="21"/>
        </w:rPr>
        <w:t>公司聘请了安永华明会计师事务所为公司内部控制进行核实评价。</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p>
      <w:pPr>
        <w:spacing w:line="403" w:lineRule="auto" w:before="0"/>
        <w:ind w:left="4359" w:right="501" w:firstLine="0"/>
        <w:jc w:val="right"/>
        <w:rPr>
          <w:rFonts w:ascii="宋体" w:hAnsi="宋体" w:cs="宋体" w:eastAsia="宋体" w:hint="default"/>
          <w:sz w:val="21"/>
          <w:szCs w:val="21"/>
        </w:rPr>
      </w:pPr>
      <w:r>
        <w:rPr>
          <w:rFonts w:ascii="宋体" w:hAnsi="宋体" w:cs="宋体" w:eastAsia="宋体" w:hint="default"/>
          <w:spacing w:val="-1"/>
          <w:sz w:val="21"/>
          <w:szCs w:val="21"/>
        </w:rPr>
        <w:t>用友软件股份有限公司</w:t>
      </w:r>
      <w:r>
        <w:rPr>
          <w:rFonts w:ascii="宋体" w:hAnsi="宋体" w:cs="宋体" w:eastAsia="宋体" w:hint="default"/>
          <w:sz w:val="21"/>
          <w:szCs w:val="21"/>
        </w:rPr>
        <w:t> </w:t>
      </w:r>
      <w:r>
        <w:rPr>
          <w:rFonts w:ascii="宋体" w:hAnsi="宋体" w:cs="宋体" w:eastAsia="宋体" w:hint="default"/>
          <w:spacing w:val="-1"/>
          <w:sz w:val="21"/>
          <w:szCs w:val="21"/>
        </w:rPr>
        <w:t>二零一零年三月二十日</w:t>
      </w:r>
    </w:p>
    <w:p>
      <w:pPr>
        <w:spacing w:after="0" w:line="403" w:lineRule="auto"/>
        <w:jc w:val="right"/>
        <w:rPr>
          <w:rFonts w:ascii="宋体" w:hAnsi="宋体" w:cs="宋体" w:eastAsia="宋体" w:hint="default"/>
          <w:sz w:val="21"/>
          <w:szCs w:val="21"/>
        </w:rPr>
        <w:sectPr>
          <w:pgSz w:w="12240" w:h="15840"/>
          <w:pgMar w:header="743" w:footer="1032" w:top="1240" w:bottom="1220" w:left="1680" w:right="1540"/>
        </w:sectPr>
      </w:pPr>
    </w:p>
    <w:p>
      <w:pPr>
        <w:spacing w:line="240" w:lineRule="auto" w:before="2"/>
        <w:rPr>
          <w:rFonts w:ascii="宋体" w:hAnsi="宋体" w:cs="宋体" w:eastAsia="宋体" w:hint="default"/>
          <w:sz w:val="17"/>
          <w:szCs w:val="17"/>
        </w:rPr>
      </w:pPr>
    </w:p>
    <w:p>
      <w:pPr>
        <w:spacing w:before="7"/>
        <w:ind w:left="600" w:right="101" w:firstLine="1723"/>
        <w:jc w:val="left"/>
        <w:rPr>
          <w:rFonts w:ascii="黑体" w:hAnsi="黑体" w:cs="黑体" w:eastAsia="黑体" w:hint="default"/>
          <w:sz w:val="30"/>
          <w:szCs w:val="30"/>
        </w:rPr>
      </w:pPr>
      <w:bookmarkStart w:name="用友软件董事会关于公司内部控制的自我评估报告.pdf" w:id="48"/>
      <w:bookmarkEnd w:id="48"/>
      <w:r>
        <w:rPr/>
      </w:r>
      <w:r>
        <w:rPr>
          <w:rFonts w:ascii="黑体" w:hAnsi="黑体" w:cs="黑体" w:eastAsia="黑体" w:hint="default"/>
          <w:sz w:val="30"/>
          <w:szCs w:val="30"/>
        </w:rPr>
        <w:t>关于公司内部控制的自我评估报告</w:t>
      </w:r>
    </w:p>
    <w:p>
      <w:pPr>
        <w:spacing w:line="240" w:lineRule="auto" w:before="0"/>
        <w:rPr>
          <w:rFonts w:ascii="黑体" w:hAnsi="黑体" w:cs="黑体" w:eastAsia="黑体" w:hint="default"/>
          <w:sz w:val="30"/>
          <w:szCs w:val="30"/>
        </w:rPr>
      </w:pPr>
    </w:p>
    <w:p>
      <w:pPr>
        <w:spacing w:line="240" w:lineRule="auto" w:before="0"/>
        <w:rPr>
          <w:rFonts w:ascii="黑体" w:hAnsi="黑体" w:cs="黑体" w:eastAsia="黑体" w:hint="default"/>
          <w:sz w:val="30"/>
          <w:szCs w:val="30"/>
        </w:rPr>
      </w:pPr>
    </w:p>
    <w:p>
      <w:pPr>
        <w:spacing w:line="240" w:lineRule="auto" w:before="12"/>
        <w:rPr>
          <w:rFonts w:ascii="黑体" w:hAnsi="黑体" w:cs="黑体" w:eastAsia="黑体" w:hint="default"/>
          <w:sz w:val="23"/>
          <w:szCs w:val="23"/>
        </w:rPr>
      </w:pPr>
    </w:p>
    <w:p>
      <w:pPr>
        <w:pStyle w:val="Heading7"/>
        <w:spacing w:line="297" w:lineRule="auto"/>
        <w:ind w:left="120" w:right="237" w:firstLine="480"/>
        <w:jc w:val="both"/>
        <w:rPr>
          <w:rFonts w:ascii="宋体" w:hAnsi="宋体" w:cs="宋体" w:eastAsia="宋体" w:hint="default"/>
        </w:rPr>
      </w:pPr>
      <w:r>
        <w:rPr>
          <w:rFonts w:ascii="宋体" w:hAnsi="宋体" w:cs="宋体" w:eastAsia="宋体" w:hint="default"/>
          <w:spacing w:val="-3"/>
        </w:rPr>
        <w:t>公司董事会及全体董事保证本报告内容不存在任何虚假记载、误导性陈述或</w:t>
      </w:r>
      <w:r>
        <w:rPr>
          <w:rFonts w:ascii="宋体" w:hAnsi="宋体" w:cs="宋体" w:eastAsia="宋体" w:hint="default"/>
        </w:rPr>
        <w:t> 重大遗漏，并对其内容的真实性、准确性和完整性承担个别及连带责任。</w:t>
      </w: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31"/>
          <w:szCs w:val="31"/>
        </w:rPr>
      </w:pPr>
    </w:p>
    <w:p>
      <w:pPr>
        <w:spacing w:line="297" w:lineRule="auto" w:before="0"/>
        <w:ind w:left="119" w:right="101" w:firstLine="480"/>
        <w:jc w:val="left"/>
        <w:rPr>
          <w:rFonts w:ascii="宋体" w:hAnsi="宋体" w:cs="宋体" w:eastAsia="宋体" w:hint="default"/>
          <w:sz w:val="24"/>
          <w:szCs w:val="24"/>
        </w:rPr>
      </w:pPr>
      <w:r>
        <w:rPr>
          <w:rFonts w:ascii="宋体" w:hAnsi="宋体" w:cs="宋体" w:eastAsia="宋体" w:hint="default"/>
          <w:spacing w:val="-7"/>
          <w:sz w:val="24"/>
          <w:szCs w:val="24"/>
        </w:rPr>
        <w:t>为了保证公司经营管理合法合规、资产安全、财务报告及相关信息真实完整，</w:t>
      </w:r>
      <w:r>
        <w:rPr>
          <w:rFonts w:ascii="宋体" w:hAnsi="宋体" w:cs="宋体" w:eastAsia="宋体" w:hint="default"/>
          <w:sz w:val="24"/>
          <w:szCs w:val="24"/>
        </w:rPr>
        <w:t> </w:t>
      </w:r>
      <w:r>
        <w:rPr>
          <w:rFonts w:ascii="宋体" w:hAnsi="宋体" w:cs="宋体" w:eastAsia="宋体" w:hint="default"/>
          <w:spacing w:val="-3"/>
          <w:sz w:val="24"/>
          <w:szCs w:val="24"/>
        </w:rPr>
        <w:t>提高经营效率和效果，促进公司实现发展战略，同时控制经营风险，保护公司及</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投资者的合法权益，公司按照《公司法》、《证券法》、《企业内部控制基本规</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pacing w:val="-3"/>
          <w:sz w:val="24"/>
          <w:szCs w:val="24"/>
        </w:rPr>
        <w:t>范》、《上海证券交易所上市公司内部控制指引》等相关法律法规的要求，结合</w:t>
      </w:r>
      <w:r>
        <w:rPr>
          <w:rFonts w:ascii="宋体" w:hAnsi="宋体" w:cs="宋体" w:eastAsia="宋体" w:hint="default"/>
          <w:spacing w:val="-114"/>
          <w:sz w:val="24"/>
          <w:szCs w:val="24"/>
        </w:rPr>
        <w:t> </w:t>
      </w:r>
      <w:r>
        <w:rPr>
          <w:rFonts w:ascii="宋体" w:hAnsi="宋体" w:cs="宋体" w:eastAsia="宋体" w:hint="default"/>
          <w:spacing w:val="-114"/>
          <w:sz w:val="24"/>
          <w:szCs w:val="24"/>
        </w:rPr>
      </w:r>
      <w:r>
        <w:rPr>
          <w:rFonts w:ascii="宋体" w:hAnsi="宋体" w:cs="宋体" w:eastAsia="宋体" w:hint="default"/>
          <w:spacing w:val="-3"/>
          <w:sz w:val="24"/>
          <w:szCs w:val="24"/>
        </w:rPr>
        <w:t>自身经营管理特点和实际情况，建立了较为健全的内部控制制度，形成了完整的</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内部控制体系，并严格遵照执行。用友软件股份有限公司（以下简称“公司”） 董事会检查了公司 2009</w:t>
      </w:r>
      <w:r>
        <w:rPr>
          <w:rFonts w:ascii="宋体" w:hAnsi="宋体" w:cs="宋体" w:eastAsia="宋体" w:hint="default"/>
          <w:spacing w:val="-94"/>
          <w:sz w:val="24"/>
          <w:szCs w:val="24"/>
        </w:rPr>
        <w:t> </w:t>
      </w:r>
      <w:r>
        <w:rPr>
          <w:rFonts w:ascii="宋体" w:hAnsi="宋体" w:cs="宋体" w:eastAsia="宋体" w:hint="default"/>
          <w:sz w:val="24"/>
          <w:szCs w:val="24"/>
        </w:rPr>
        <w:t>年度的各项内部控制制度执行情况，现将公司内部控制</w:t>
      </w:r>
      <w:r>
        <w:rPr>
          <w:rFonts w:ascii="宋体" w:hAnsi="宋体" w:cs="宋体" w:eastAsia="宋体" w:hint="default"/>
          <w:sz w:val="24"/>
          <w:szCs w:val="24"/>
        </w:rPr>
        <w:t> 情况报告如下。</w:t>
      </w:r>
    </w:p>
    <w:p>
      <w:pPr>
        <w:spacing w:before="174"/>
        <w:ind w:left="600" w:right="101" w:firstLine="0"/>
        <w:jc w:val="left"/>
        <w:rPr>
          <w:rFonts w:ascii="黑体" w:hAnsi="黑体" w:cs="黑体" w:eastAsia="黑体" w:hint="default"/>
          <w:sz w:val="24"/>
          <w:szCs w:val="24"/>
        </w:rPr>
      </w:pPr>
      <w:r>
        <w:rPr>
          <w:rFonts w:ascii="黑体" w:hAnsi="黑体" w:cs="黑体" w:eastAsia="黑体" w:hint="default"/>
          <w:sz w:val="24"/>
          <w:szCs w:val="24"/>
        </w:rPr>
        <w:t>一、公司内部控制的目标</w:t>
      </w:r>
    </w:p>
    <w:p>
      <w:pPr>
        <w:spacing w:line="240" w:lineRule="auto" w:before="9"/>
        <w:rPr>
          <w:rFonts w:ascii="黑体" w:hAnsi="黑体" w:cs="黑体" w:eastAsia="黑体" w:hint="default"/>
          <w:sz w:val="17"/>
          <w:szCs w:val="17"/>
        </w:rPr>
      </w:pPr>
    </w:p>
    <w:p>
      <w:pPr>
        <w:spacing w:line="297" w:lineRule="auto" w:before="0"/>
        <w:ind w:left="120" w:right="237" w:firstLine="480"/>
        <w:jc w:val="both"/>
        <w:rPr>
          <w:rFonts w:ascii="宋体" w:hAnsi="宋体" w:cs="宋体" w:eastAsia="宋体" w:hint="default"/>
          <w:sz w:val="24"/>
          <w:szCs w:val="24"/>
        </w:rPr>
      </w:pPr>
      <w:r>
        <w:rPr>
          <w:rFonts w:ascii="宋体" w:hAnsi="宋体" w:cs="宋体" w:eastAsia="宋体" w:hint="default"/>
          <w:spacing w:val="-3"/>
          <w:sz w:val="24"/>
          <w:szCs w:val="24"/>
        </w:rPr>
        <w:t>公司内控的目标是：合理保证公司经营管理合法合规、资产安全、财务报告</w:t>
      </w:r>
      <w:r>
        <w:rPr>
          <w:rFonts w:ascii="宋体" w:hAnsi="宋体" w:cs="宋体" w:eastAsia="宋体" w:hint="default"/>
          <w:sz w:val="24"/>
          <w:szCs w:val="24"/>
        </w:rPr>
        <w:t> 及相关信息真实完整，提高经营效率和效果，促进企业实现发展战略。</w:t>
      </w:r>
    </w:p>
    <w:p>
      <w:pPr>
        <w:spacing w:before="174"/>
        <w:ind w:left="600" w:right="101" w:firstLine="0"/>
        <w:jc w:val="left"/>
        <w:rPr>
          <w:rFonts w:ascii="黑体" w:hAnsi="黑体" w:cs="黑体" w:eastAsia="黑体" w:hint="default"/>
          <w:sz w:val="24"/>
          <w:szCs w:val="24"/>
        </w:rPr>
      </w:pPr>
      <w:r>
        <w:rPr>
          <w:rFonts w:ascii="黑体" w:hAnsi="黑体" w:cs="黑体" w:eastAsia="黑体" w:hint="default"/>
          <w:sz w:val="24"/>
          <w:szCs w:val="24"/>
        </w:rPr>
        <w:t>二、公司内部控制体系</w:t>
      </w:r>
    </w:p>
    <w:p>
      <w:pPr>
        <w:spacing w:line="240" w:lineRule="auto" w:before="9"/>
        <w:rPr>
          <w:rFonts w:ascii="黑体" w:hAnsi="黑体" w:cs="黑体" w:eastAsia="黑体" w:hint="default"/>
          <w:sz w:val="17"/>
          <w:szCs w:val="17"/>
        </w:rPr>
      </w:pPr>
    </w:p>
    <w:p>
      <w:pPr>
        <w:spacing w:line="297" w:lineRule="auto" w:before="0"/>
        <w:ind w:left="120" w:right="234" w:firstLine="482"/>
        <w:jc w:val="both"/>
        <w:rPr>
          <w:rFonts w:ascii="宋体" w:hAnsi="宋体" w:cs="宋体" w:eastAsia="宋体" w:hint="default"/>
          <w:sz w:val="24"/>
          <w:szCs w:val="24"/>
        </w:rPr>
      </w:pPr>
      <w:r>
        <w:rPr>
          <w:rFonts w:ascii="宋体" w:hAnsi="宋体" w:cs="宋体" w:eastAsia="宋体" w:hint="default"/>
          <w:spacing w:val="-3"/>
          <w:sz w:val="24"/>
          <w:szCs w:val="24"/>
        </w:rPr>
        <w:t>公司在建立健全内部控制制度，实施内部控制管理过程中，充分考虑到内部</w:t>
      </w:r>
      <w:r>
        <w:rPr>
          <w:rFonts w:ascii="宋体" w:hAnsi="宋体" w:cs="宋体" w:eastAsia="宋体" w:hint="default"/>
          <w:sz w:val="24"/>
          <w:szCs w:val="24"/>
        </w:rPr>
        <w:t> </w:t>
      </w:r>
      <w:r>
        <w:rPr>
          <w:rFonts w:ascii="宋体" w:hAnsi="宋体" w:cs="宋体" w:eastAsia="宋体" w:hint="default"/>
          <w:spacing w:val="-3"/>
          <w:sz w:val="24"/>
          <w:szCs w:val="24"/>
        </w:rPr>
        <w:t>环境、风险评估、控制活动、信息与沟通、内部监督等五项基本要素，从基本要</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pacing w:val="-3"/>
          <w:sz w:val="24"/>
          <w:szCs w:val="24"/>
        </w:rPr>
        <w:t>素入手，逐渐形成了目前公司较为完善的内控体系。公司的内控体系涵盖了财务</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会计、销售组织、服务机构、IT</w:t>
      </w:r>
      <w:r>
        <w:rPr>
          <w:rFonts w:ascii="宋体" w:hAnsi="宋体" w:cs="宋体" w:eastAsia="宋体" w:hint="default"/>
          <w:spacing w:val="-1"/>
          <w:sz w:val="24"/>
          <w:szCs w:val="24"/>
        </w:rPr>
        <w:t> </w:t>
      </w:r>
      <w:r>
        <w:rPr>
          <w:rFonts w:ascii="宋体" w:hAnsi="宋体" w:cs="宋体" w:eastAsia="宋体" w:hint="default"/>
          <w:sz w:val="24"/>
          <w:szCs w:val="24"/>
        </w:rPr>
        <w:t>环境、产品研发、人力行政、企业规划等诸多</w:t>
      </w:r>
      <w:r>
        <w:rPr>
          <w:rFonts w:ascii="宋体" w:hAnsi="宋体" w:cs="宋体" w:eastAsia="宋体" w:hint="default"/>
          <w:sz w:val="24"/>
          <w:szCs w:val="24"/>
        </w:rPr>
        <w:t> 方面的运营管理组织的管理内容。</w:t>
      </w:r>
    </w:p>
    <w:p>
      <w:pPr>
        <w:spacing w:line="417" w:lineRule="auto" w:before="174"/>
        <w:ind w:left="600" w:right="5524" w:hanging="360"/>
        <w:jc w:val="left"/>
        <w:rPr>
          <w:rFonts w:ascii="宋体" w:hAnsi="宋体" w:cs="宋体" w:eastAsia="宋体" w:hint="default"/>
          <w:sz w:val="24"/>
          <w:szCs w:val="24"/>
        </w:rPr>
      </w:pPr>
      <w:r>
        <w:rPr>
          <w:rFonts w:ascii="宋体" w:hAnsi="宋体" w:cs="宋体" w:eastAsia="宋体" w:hint="default"/>
          <w:sz w:val="24"/>
          <w:szCs w:val="24"/>
        </w:rPr>
        <w:t>（一）内部环境 1、完善的法人治理结构</w:t>
      </w:r>
    </w:p>
    <w:p>
      <w:pPr>
        <w:spacing w:line="297" w:lineRule="auto" w:before="54"/>
        <w:ind w:left="120" w:right="237" w:firstLine="480"/>
        <w:jc w:val="both"/>
        <w:rPr>
          <w:rFonts w:ascii="宋体" w:hAnsi="宋体" w:cs="宋体" w:eastAsia="宋体" w:hint="default"/>
          <w:sz w:val="24"/>
          <w:szCs w:val="24"/>
        </w:rPr>
      </w:pPr>
      <w:r>
        <w:rPr>
          <w:rFonts w:ascii="宋体" w:hAnsi="宋体" w:cs="宋体" w:eastAsia="宋体" w:hint="default"/>
          <w:spacing w:val="-3"/>
          <w:sz w:val="24"/>
          <w:szCs w:val="24"/>
        </w:rPr>
        <w:t>根据《公司法》、《证券法》等法律法规要求，公司建立了较为完善的法人</w:t>
      </w:r>
      <w:r>
        <w:rPr>
          <w:rFonts w:ascii="宋体" w:hAnsi="宋体" w:cs="宋体" w:eastAsia="宋体" w:hint="default"/>
          <w:sz w:val="24"/>
          <w:szCs w:val="24"/>
        </w:rPr>
        <w:t> </w:t>
      </w:r>
      <w:r>
        <w:rPr>
          <w:rFonts w:ascii="宋体" w:hAnsi="宋体" w:cs="宋体" w:eastAsia="宋体" w:hint="default"/>
          <w:spacing w:val="-3"/>
          <w:sz w:val="24"/>
          <w:szCs w:val="24"/>
        </w:rPr>
        <w:t>治理结构，权力机构、决策机构、监督机构与经营管理层之间权责分明、各司其</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职、相互制衡、科学决策、协调运作。在公司法人治理方面，公司制定了《公司</w:t>
      </w:r>
    </w:p>
    <w:p>
      <w:pPr>
        <w:spacing w:after="0" w:line="297" w:lineRule="auto"/>
        <w:jc w:val="both"/>
        <w:rPr>
          <w:rFonts w:ascii="宋体" w:hAnsi="宋体" w:cs="宋体" w:eastAsia="宋体" w:hint="default"/>
          <w:sz w:val="24"/>
          <w:szCs w:val="24"/>
        </w:rPr>
        <w:sectPr>
          <w:headerReference w:type="default" r:id="rId149"/>
          <w:footerReference w:type="default" r:id="rId150"/>
          <w:pgSz w:w="11910" w:h="16840"/>
          <w:pgMar w:header="1743" w:footer="975" w:top="2200" w:bottom="1160" w:left="1680" w:right="1560"/>
          <w:pgNumType w:start="1"/>
        </w:sectPr>
      </w:pPr>
    </w:p>
    <w:p>
      <w:pPr>
        <w:spacing w:before="0"/>
        <w:ind w:left="120" w:right="101" w:firstLine="0"/>
        <w:jc w:val="left"/>
        <w:rPr>
          <w:rFonts w:ascii="宋体" w:hAnsi="宋体" w:cs="宋体" w:eastAsia="宋体" w:hint="default"/>
          <w:sz w:val="24"/>
          <w:szCs w:val="24"/>
        </w:rPr>
      </w:pPr>
      <w:r>
        <w:rPr>
          <w:rFonts w:ascii="宋体" w:hAnsi="宋体" w:cs="宋体" w:eastAsia="宋体" w:hint="default"/>
          <w:sz w:val="24"/>
          <w:szCs w:val="24"/>
        </w:rPr>
        <w:t>章程》、《股东大会议事规则》、《董事会议事规则》、《监事会议事规则》、</w:t>
      </w:r>
    </w:p>
    <w:p>
      <w:pPr>
        <w:spacing w:line="297" w:lineRule="auto" w:before="76"/>
        <w:ind w:left="120" w:right="229" w:firstLine="0"/>
        <w:jc w:val="left"/>
        <w:rPr>
          <w:rFonts w:ascii="宋体" w:hAnsi="宋体" w:cs="宋体" w:eastAsia="宋体" w:hint="default"/>
          <w:sz w:val="24"/>
          <w:szCs w:val="24"/>
        </w:rPr>
      </w:pPr>
      <w:r>
        <w:rPr>
          <w:rFonts w:ascii="宋体" w:hAnsi="宋体" w:cs="宋体" w:eastAsia="宋体" w:hint="default"/>
          <w:spacing w:val="-3"/>
          <w:sz w:val="24"/>
          <w:szCs w:val="24"/>
        </w:rPr>
        <w:t>《经理工作规则》、《独立董事工作细则》等重大规章制度，以保证公司规范运</w:t>
      </w:r>
      <w:r>
        <w:rPr>
          <w:rFonts w:ascii="宋体" w:hAnsi="宋体" w:cs="宋体" w:eastAsia="宋体" w:hint="default"/>
          <w:spacing w:val="-113"/>
          <w:sz w:val="24"/>
          <w:szCs w:val="24"/>
        </w:rPr>
        <w:t> </w:t>
      </w:r>
      <w:r>
        <w:rPr>
          <w:rFonts w:ascii="宋体" w:hAnsi="宋体" w:cs="宋体" w:eastAsia="宋体" w:hint="default"/>
          <w:spacing w:val="-113"/>
          <w:sz w:val="24"/>
          <w:szCs w:val="24"/>
        </w:rPr>
      </w:r>
      <w:r>
        <w:rPr>
          <w:rFonts w:ascii="宋体" w:hAnsi="宋体" w:cs="宋体" w:eastAsia="宋体" w:hint="default"/>
          <w:sz w:val="24"/>
          <w:szCs w:val="24"/>
        </w:rPr>
        <w:t>作、健康发展。</w:t>
      </w:r>
    </w:p>
    <w:p>
      <w:pPr>
        <w:spacing w:line="546" w:lineRule="exact" w:before="18"/>
        <w:ind w:left="600" w:right="223" w:firstLine="0"/>
        <w:jc w:val="left"/>
        <w:rPr>
          <w:rFonts w:ascii="宋体" w:hAnsi="宋体" w:cs="宋体" w:eastAsia="宋体" w:hint="default"/>
          <w:sz w:val="24"/>
          <w:szCs w:val="24"/>
        </w:rPr>
      </w:pPr>
      <w:r>
        <w:rPr>
          <w:rFonts w:ascii="宋体" w:hAnsi="宋体" w:cs="宋体" w:eastAsia="宋体" w:hint="default"/>
          <w:sz w:val="24"/>
          <w:szCs w:val="24"/>
        </w:rPr>
        <w:t>2、合理的内部组织结构</w:t>
      </w:r>
      <w:hyperlink r:id="rId147">
        <w:r>
          <w:rPr>
            <w:rFonts w:ascii="宋体" w:hAnsi="宋体" w:cs="宋体" w:eastAsia="宋体" w:hint="default"/>
            <w:sz w:val="24"/>
            <w:szCs w:val="24"/>
          </w:rPr>
          <w:t> </w:t>
        </w:r>
        <w:r>
          <w:rPr>
            <w:rFonts w:ascii="宋体" w:hAnsi="宋体" w:cs="宋体" w:eastAsia="宋体" w:hint="default"/>
            <w:spacing w:val="-3"/>
            <w:sz w:val="24"/>
            <w:szCs w:val="24"/>
          </w:rPr>
          <w:t>股东大会由全体股东组成</w:t>
        </w:r>
      </w:hyperlink>
      <w:r>
        <w:rPr>
          <w:rFonts w:ascii="宋体" w:hAnsi="宋体" w:cs="宋体" w:eastAsia="宋体" w:hint="default"/>
          <w:spacing w:val="-3"/>
          <w:sz w:val="24"/>
          <w:szCs w:val="24"/>
        </w:rPr>
        <w:t>，对公司重大事项进行</w:t>
      </w:r>
      <w:hyperlink r:id="rId148">
        <w:r>
          <w:rPr>
            <w:rFonts w:ascii="宋体" w:hAnsi="宋体" w:cs="宋体" w:eastAsia="宋体" w:hint="default"/>
            <w:spacing w:val="-3"/>
            <w:sz w:val="24"/>
            <w:szCs w:val="24"/>
          </w:rPr>
          <w:t>决策</w:t>
        </w:r>
      </w:hyperlink>
      <w:r>
        <w:rPr>
          <w:rFonts w:ascii="宋体" w:hAnsi="宋体" w:cs="宋体" w:eastAsia="宋体" w:hint="default"/>
          <w:spacing w:val="-3"/>
          <w:sz w:val="24"/>
          <w:szCs w:val="24"/>
        </w:rPr>
        <w:t>；董事会受股东大会的</w:t>
      </w:r>
    </w:p>
    <w:p>
      <w:pPr>
        <w:spacing w:line="297" w:lineRule="auto" w:before="0"/>
        <w:ind w:left="120" w:right="237" w:firstLine="0"/>
        <w:jc w:val="both"/>
        <w:rPr>
          <w:rFonts w:ascii="宋体" w:hAnsi="宋体" w:cs="宋体" w:eastAsia="宋体" w:hint="default"/>
          <w:sz w:val="24"/>
          <w:szCs w:val="24"/>
        </w:rPr>
      </w:pPr>
      <w:r>
        <w:rPr>
          <w:rFonts w:ascii="宋体" w:hAnsi="宋体" w:cs="宋体" w:eastAsia="宋体" w:hint="default"/>
          <w:spacing w:val="-3"/>
          <w:sz w:val="24"/>
          <w:szCs w:val="24"/>
        </w:rPr>
        <w:t>委托，负责经营和管理公司的法人财产，是公司的经营决策中心，对股东大会负</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责，其成员由股东大会选举产生；公司总经理、副总经理、财务总监由董事会聘</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任或解聘，负责公司的日常经营活动，并对董事会负责；监事会负责检查公司财</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务，对董事会及高级管理人员进行监督。</w:t>
      </w:r>
    </w:p>
    <w:p>
      <w:pPr>
        <w:spacing w:line="297" w:lineRule="auto" w:before="174"/>
        <w:ind w:left="120" w:right="237" w:firstLine="480"/>
        <w:jc w:val="both"/>
        <w:rPr>
          <w:rFonts w:ascii="宋体" w:hAnsi="宋体" w:cs="宋体" w:eastAsia="宋体" w:hint="default"/>
          <w:sz w:val="24"/>
          <w:szCs w:val="24"/>
        </w:rPr>
      </w:pPr>
      <w:r>
        <w:rPr>
          <w:rFonts w:ascii="宋体" w:hAnsi="宋体" w:cs="宋体" w:eastAsia="宋体" w:hint="default"/>
          <w:spacing w:val="-3"/>
          <w:sz w:val="24"/>
          <w:szCs w:val="24"/>
        </w:rPr>
        <w:t>依据公司内部的组织架构，公司各职能部门之间职责明确，相互牵制，保证</w:t>
      </w:r>
      <w:r>
        <w:rPr>
          <w:rFonts w:ascii="宋体" w:hAnsi="宋体" w:cs="宋体" w:eastAsia="宋体" w:hint="default"/>
          <w:sz w:val="24"/>
          <w:szCs w:val="24"/>
        </w:rPr>
        <w:t> </w:t>
      </w:r>
      <w:r>
        <w:rPr>
          <w:rFonts w:ascii="宋体" w:hAnsi="宋体" w:cs="宋体" w:eastAsia="宋体" w:hint="default"/>
          <w:spacing w:val="-3"/>
          <w:sz w:val="24"/>
          <w:szCs w:val="24"/>
        </w:rPr>
        <w:t>了公司生产经营活动的有序进行。2009年，公司管理层特别安排设立《2009年度</w:t>
      </w:r>
      <w:r>
        <w:rPr>
          <w:rFonts w:ascii="宋体" w:hAnsi="宋体" w:cs="宋体" w:eastAsia="宋体" w:hint="default"/>
          <w:spacing w:val="-99"/>
          <w:sz w:val="24"/>
          <w:szCs w:val="24"/>
        </w:rPr>
        <w:t> </w:t>
      </w:r>
      <w:r>
        <w:rPr>
          <w:rFonts w:ascii="宋体" w:hAnsi="宋体" w:cs="宋体" w:eastAsia="宋体" w:hint="default"/>
          <w:spacing w:val="-99"/>
          <w:sz w:val="24"/>
          <w:szCs w:val="24"/>
        </w:rPr>
      </w:r>
      <w:r>
        <w:rPr>
          <w:rFonts w:ascii="宋体" w:hAnsi="宋体" w:cs="宋体" w:eastAsia="宋体" w:hint="default"/>
          <w:spacing w:val="-3"/>
          <w:sz w:val="24"/>
          <w:szCs w:val="24"/>
        </w:rPr>
        <w:t>总裁办公会会议制度》，按月、季不同时间段，召开各层级经理会议，及时沟通</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z w:val="24"/>
          <w:szCs w:val="24"/>
        </w:rPr>
        <w:t>业务进展情况，高效解决随时发现的管理问题。</w:t>
      </w:r>
    </w:p>
    <w:p>
      <w:pPr>
        <w:spacing w:line="546" w:lineRule="exact" w:before="18"/>
        <w:ind w:left="600" w:right="223" w:firstLine="0"/>
        <w:jc w:val="left"/>
        <w:rPr>
          <w:rFonts w:ascii="宋体" w:hAnsi="宋体" w:cs="宋体" w:eastAsia="宋体" w:hint="default"/>
          <w:sz w:val="24"/>
          <w:szCs w:val="24"/>
        </w:rPr>
      </w:pPr>
      <w:r>
        <w:rPr>
          <w:rFonts w:ascii="宋体" w:hAnsi="宋体" w:cs="宋体" w:eastAsia="宋体" w:hint="default"/>
          <w:sz w:val="24"/>
          <w:szCs w:val="24"/>
        </w:rPr>
        <w:t>3、内部审计 </w:t>
      </w:r>
      <w:r>
        <w:rPr>
          <w:rFonts w:ascii="宋体" w:hAnsi="宋体" w:cs="宋体" w:eastAsia="宋体" w:hint="default"/>
          <w:spacing w:val="-3"/>
          <w:sz w:val="24"/>
          <w:szCs w:val="24"/>
        </w:rPr>
        <w:t>为强化董事会决策功能，确保董事会对经理层的有效监督，完善公司治理结</w:t>
      </w:r>
    </w:p>
    <w:p>
      <w:pPr>
        <w:spacing w:line="297" w:lineRule="auto" w:before="0"/>
        <w:ind w:left="120" w:right="124" w:firstLine="0"/>
        <w:jc w:val="left"/>
        <w:rPr>
          <w:rFonts w:ascii="宋体" w:hAnsi="宋体" w:cs="宋体" w:eastAsia="宋体" w:hint="default"/>
          <w:sz w:val="24"/>
          <w:szCs w:val="24"/>
        </w:rPr>
      </w:pPr>
      <w:r>
        <w:rPr>
          <w:rFonts w:ascii="宋体" w:hAnsi="宋体" w:cs="宋体" w:eastAsia="宋体" w:hint="default"/>
          <w:spacing w:val="-3"/>
          <w:sz w:val="24"/>
          <w:szCs w:val="24"/>
        </w:rPr>
        <w:t>构，公司董事会设立审计委员会负责监督公司的内部审计制度及其实施，指导审</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查公司内部控制工作。审计委员会由</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名董事组成，其中</w:t>
      </w:r>
      <w:r>
        <w:rPr>
          <w:rFonts w:ascii="宋体" w:hAnsi="宋体" w:cs="宋体" w:eastAsia="宋体" w:hint="default"/>
          <w:spacing w:val="-60"/>
          <w:sz w:val="24"/>
          <w:szCs w:val="24"/>
        </w:rPr>
        <w:t> </w:t>
      </w:r>
      <w:r>
        <w:rPr>
          <w:rFonts w:ascii="宋体" w:hAnsi="宋体" w:cs="宋体" w:eastAsia="宋体" w:hint="default"/>
          <w:sz w:val="24"/>
          <w:szCs w:val="24"/>
        </w:rPr>
        <w:t>2</w:t>
      </w:r>
      <w:r>
        <w:rPr>
          <w:rFonts w:ascii="宋体" w:hAnsi="宋体" w:cs="宋体" w:eastAsia="宋体" w:hint="default"/>
          <w:spacing w:val="-60"/>
          <w:sz w:val="24"/>
          <w:szCs w:val="24"/>
        </w:rPr>
        <w:t> </w:t>
      </w:r>
      <w:r>
        <w:rPr>
          <w:rFonts w:ascii="宋体" w:hAnsi="宋体" w:cs="宋体" w:eastAsia="宋体" w:hint="default"/>
          <w:sz w:val="24"/>
          <w:szCs w:val="24"/>
        </w:rPr>
        <w:t>名为公司独立董事。</w:t>
      </w:r>
      <w:r>
        <w:rPr>
          <w:rFonts w:ascii="宋体" w:hAnsi="宋体" w:cs="宋体" w:eastAsia="宋体" w:hint="default"/>
          <w:sz w:val="24"/>
          <w:szCs w:val="24"/>
        </w:rPr>
        <w:t> </w:t>
      </w:r>
      <w:r>
        <w:rPr>
          <w:rFonts w:ascii="宋体" w:hAnsi="宋体" w:cs="宋体" w:eastAsia="宋体" w:hint="default"/>
          <w:spacing w:val="4"/>
          <w:sz w:val="24"/>
          <w:szCs w:val="24"/>
        </w:rPr>
        <w:t>审计委员会下设审计监察部作为公司内部审计机构和审计委员会的日常办事机</w:t>
      </w:r>
      <w:r>
        <w:rPr>
          <w:rFonts w:ascii="宋体" w:hAnsi="宋体" w:cs="宋体" w:eastAsia="宋体" w:hint="default"/>
          <w:spacing w:val="4"/>
          <w:sz w:val="24"/>
          <w:szCs w:val="24"/>
        </w:rPr>
        <w:t> </w:t>
      </w:r>
      <w:r>
        <w:rPr>
          <w:rFonts w:ascii="宋体" w:hAnsi="宋体" w:cs="宋体" w:eastAsia="宋体" w:hint="default"/>
          <w:spacing w:val="-3"/>
          <w:sz w:val="24"/>
          <w:szCs w:val="24"/>
        </w:rPr>
        <w:t>构，负责公司内部审计工作和审计委员会的日常工作联络和会议组织等工作，审</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计监察部配备</w:t>
      </w:r>
      <w:r>
        <w:rPr>
          <w:rFonts w:ascii="宋体" w:hAnsi="宋体" w:cs="宋体" w:eastAsia="宋体" w:hint="default"/>
          <w:spacing w:val="-56"/>
          <w:sz w:val="24"/>
          <w:szCs w:val="24"/>
        </w:rPr>
        <w:t> </w:t>
      </w:r>
      <w:r>
        <w:rPr>
          <w:rFonts w:ascii="宋体" w:hAnsi="宋体" w:cs="宋体" w:eastAsia="宋体" w:hint="default"/>
          <w:sz w:val="24"/>
          <w:szCs w:val="24"/>
        </w:rPr>
        <w:t>6</w:t>
      </w:r>
      <w:r>
        <w:rPr>
          <w:rFonts w:ascii="宋体" w:hAnsi="宋体" w:cs="宋体" w:eastAsia="宋体" w:hint="default"/>
          <w:spacing w:val="-56"/>
          <w:sz w:val="24"/>
          <w:szCs w:val="24"/>
        </w:rPr>
        <w:t> </w:t>
      </w:r>
      <w:r>
        <w:rPr>
          <w:rFonts w:ascii="宋体" w:hAnsi="宋体" w:cs="宋体" w:eastAsia="宋体" w:hint="default"/>
          <w:spacing w:val="-4"/>
          <w:sz w:val="24"/>
          <w:szCs w:val="24"/>
        </w:rPr>
        <w:t>名专职审计人员，对公司财务收支和经营活动通过例行审计、离</w:t>
      </w:r>
      <w:r>
        <w:rPr>
          <w:rFonts w:ascii="宋体" w:hAnsi="宋体" w:cs="宋体" w:eastAsia="宋体" w:hint="default"/>
          <w:spacing w:val="-112"/>
          <w:sz w:val="24"/>
          <w:szCs w:val="24"/>
        </w:rPr>
        <w:t> </w:t>
      </w:r>
      <w:r>
        <w:rPr>
          <w:rFonts w:ascii="宋体" w:hAnsi="宋体" w:cs="宋体" w:eastAsia="宋体" w:hint="default"/>
          <w:spacing w:val="-112"/>
          <w:sz w:val="24"/>
          <w:szCs w:val="24"/>
        </w:rPr>
      </w:r>
      <w:r>
        <w:rPr>
          <w:rFonts w:ascii="宋体" w:hAnsi="宋体" w:cs="宋体" w:eastAsia="宋体" w:hint="default"/>
          <w:spacing w:val="-3"/>
          <w:sz w:val="24"/>
          <w:szCs w:val="24"/>
        </w:rPr>
        <w:t>任审计等形式，实施动态审计监督，规范管理行为。公司的内部审计机构的设立</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是企业自身的需要，按照投资人的意志，出于保护财产和有效运营的双重需要。</w:t>
      </w:r>
    </w:p>
    <w:p>
      <w:pPr>
        <w:spacing w:before="174"/>
        <w:ind w:left="600" w:right="101" w:firstLine="0"/>
        <w:jc w:val="left"/>
        <w:rPr>
          <w:rFonts w:ascii="宋体" w:hAnsi="宋体" w:cs="宋体" w:eastAsia="宋体" w:hint="default"/>
          <w:sz w:val="24"/>
          <w:szCs w:val="24"/>
        </w:rPr>
      </w:pPr>
      <w:r>
        <w:rPr>
          <w:rFonts w:ascii="宋体" w:hAnsi="宋体" w:cs="宋体" w:eastAsia="宋体" w:hint="default"/>
          <w:sz w:val="24"/>
          <w:szCs w:val="24"/>
        </w:rPr>
        <w:t>4、管理理念和企业文化</w:t>
      </w:r>
    </w:p>
    <w:p>
      <w:pPr>
        <w:spacing w:line="240" w:lineRule="auto" w:before="9"/>
        <w:rPr>
          <w:rFonts w:ascii="宋体" w:hAnsi="宋体" w:cs="宋体" w:eastAsia="宋体" w:hint="default"/>
          <w:sz w:val="17"/>
          <w:szCs w:val="17"/>
        </w:rPr>
      </w:pPr>
    </w:p>
    <w:p>
      <w:pPr>
        <w:spacing w:line="292" w:lineRule="auto" w:before="0"/>
        <w:ind w:left="120" w:right="101" w:firstLine="405"/>
        <w:jc w:val="left"/>
        <w:rPr>
          <w:rFonts w:ascii="宋体" w:hAnsi="宋体" w:cs="宋体" w:eastAsia="宋体" w:hint="default"/>
          <w:sz w:val="24"/>
          <w:szCs w:val="24"/>
        </w:rPr>
      </w:pPr>
      <w:r>
        <w:rPr>
          <w:rFonts w:ascii="宋体" w:hAnsi="宋体" w:cs="宋体" w:eastAsia="宋体" w:hint="default"/>
          <w:spacing w:val="-5"/>
          <w:sz w:val="24"/>
          <w:szCs w:val="24"/>
        </w:rPr>
        <w:t>公司注重企业文化建设，2009</w:t>
      </w:r>
      <w:r>
        <w:rPr>
          <w:rFonts w:ascii="宋体" w:hAnsi="宋体" w:cs="宋体" w:eastAsia="宋体" w:hint="default"/>
          <w:spacing w:val="-40"/>
          <w:sz w:val="24"/>
          <w:szCs w:val="24"/>
        </w:rPr>
        <w:t> </w:t>
      </w:r>
      <w:r>
        <w:rPr>
          <w:rFonts w:ascii="宋体" w:hAnsi="宋体" w:cs="宋体" w:eastAsia="宋体" w:hint="default"/>
          <w:spacing w:val="-7"/>
          <w:sz w:val="24"/>
          <w:szCs w:val="24"/>
        </w:rPr>
        <w:t>年公司全面推动创新、专业、高效的企业理念，</w:t>
      </w:r>
      <w:r>
        <w:rPr>
          <w:rFonts w:ascii="宋体" w:hAnsi="宋体" w:cs="宋体" w:eastAsia="宋体" w:hint="default"/>
          <w:sz w:val="24"/>
          <w:szCs w:val="24"/>
        </w:rPr>
        <w:t> 贯彻、执行《用友文化</w:t>
      </w:r>
      <w:r>
        <w:rPr>
          <w:rFonts w:ascii="宋体" w:hAnsi="宋体" w:cs="宋体" w:eastAsia="宋体" w:hint="default"/>
          <w:spacing w:val="-33"/>
          <w:sz w:val="24"/>
          <w:szCs w:val="24"/>
        </w:rPr>
        <w:t> </w:t>
      </w:r>
      <w:r>
        <w:rPr>
          <w:rFonts w:ascii="Times New Roman" w:hAnsi="Times New Roman" w:cs="Times New Roman" w:eastAsia="Times New Roman" w:hint="default"/>
          <w:spacing w:val="-9"/>
          <w:sz w:val="24"/>
          <w:szCs w:val="24"/>
        </w:rPr>
        <w:t>2.0</w:t>
      </w:r>
      <w:r>
        <w:rPr>
          <w:rFonts w:ascii="宋体" w:hAnsi="宋体" w:cs="宋体" w:eastAsia="宋体" w:hint="default"/>
          <w:spacing w:val="-9"/>
          <w:sz w:val="24"/>
          <w:szCs w:val="24"/>
        </w:rPr>
        <w:t>》的企业文化；持续发行公司内刊《今日用友》、《用</w:t>
      </w:r>
      <w:r>
        <w:rPr>
          <w:rFonts w:ascii="宋体" w:hAnsi="宋体" w:cs="宋体" w:eastAsia="宋体" w:hint="default"/>
          <w:sz w:val="24"/>
          <w:szCs w:val="24"/>
        </w:rPr>
        <w:t> </w:t>
      </w:r>
      <w:r>
        <w:rPr>
          <w:rFonts w:ascii="宋体" w:hAnsi="宋体" w:cs="宋体" w:eastAsia="宋体" w:hint="default"/>
          <w:spacing w:val="-4"/>
          <w:sz w:val="24"/>
          <w:szCs w:val="24"/>
        </w:rPr>
        <w:t>友周刊》，全员参与互动交流；同时通过组织各类健身俱乐部和内部诸多机构、</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3"/>
          <w:sz w:val="24"/>
          <w:szCs w:val="24"/>
        </w:rPr>
        <w:t>事业部和分子公司之间的球赛运动等各种文体活动，丰富员工业余生活，提高员</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工对公司的忠诚度，增强组织成员的团队合作精神。</w:t>
      </w:r>
    </w:p>
    <w:p>
      <w:pPr>
        <w:spacing w:line="546" w:lineRule="exact" w:before="22"/>
        <w:ind w:left="525" w:right="232" w:firstLine="0"/>
        <w:jc w:val="left"/>
        <w:rPr>
          <w:rFonts w:ascii="宋体" w:hAnsi="宋体" w:cs="宋体" w:eastAsia="宋体" w:hint="default"/>
          <w:sz w:val="24"/>
          <w:szCs w:val="24"/>
        </w:rPr>
      </w:pPr>
      <w:r>
        <w:rPr>
          <w:rFonts w:ascii="宋体" w:hAnsi="宋体" w:cs="宋体" w:eastAsia="宋体" w:hint="default"/>
          <w:sz w:val="24"/>
          <w:szCs w:val="24"/>
        </w:rPr>
        <w:t>5、人力资源政策 </w:t>
      </w:r>
      <w:r>
        <w:rPr>
          <w:rFonts w:ascii="宋体" w:hAnsi="宋体" w:cs="宋体" w:eastAsia="宋体" w:hint="default"/>
          <w:spacing w:val="-1"/>
          <w:sz w:val="24"/>
          <w:szCs w:val="24"/>
        </w:rPr>
        <w:t>根据《劳动法》及有关法律法规，公司实行全员劳动合同制。组建“用友大</w:t>
      </w:r>
    </w:p>
    <w:p>
      <w:pPr>
        <w:spacing w:line="297" w:lineRule="auto" w:before="0"/>
        <w:ind w:left="120" w:right="220" w:firstLine="0"/>
        <w:jc w:val="left"/>
        <w:rPr>
          <w:rFonts w:ascii="宋体" w:hAnsi="宋体" w:cs="宋体" w:eastAsia="宋体" w:hint="default"/>
          <w:sz w:val="24"/>
          <w:szCs w:val="24"/>
        </w:rPr>
      </w:pPr>
      <w:r>
        <w:rPr>
          <w:rFonts w:ascii="宋体" w:hAnsi="宋体" w:cs="宋体" w:eastAsia="宋体" w:hint="default"/>
          <w:sz w:val="24"/>
          <w:szCs w:val="24"/>
        </w:rPr>
        <w:t>学</w:t>
      </w:r>
      <w:r>
        <w:rPr>
          <w:rFonts w:ascii="宋体" w:hAnsi="宋体" w:cs="宋体" w:eastAsia="宋体" w:hint="default"/>
          <w:spacing w:val="-120"/>
          <w:sz w:val="24"/>
          <w:szCs w:val="24"/>
        </w:rPr>
        <w:t>”</w:t>
      </w:r>
      <w:r>
        <w:rPr>
          <w:rFonts w:ascii="宋体" w:hAnsi="宋体" w:cs="宋体" w:eastAsia="宋体" w:hint="default"/>
          <w:spacing w:val="-16"/>
          <w:sz w:val="24"/>
          <w:szCs w:val="24"/>
        </w:rPr>
        <w:t>，</w:t>
      </w:r>
      <w:r>
        <w:rPr>
          <w:rFonts w:ascii="宋体" w:hAnsi="宋体" w:cs="宋体" w:eastAsia="宋体" w:hint="default"/>
          <w:sz w:val="24"/>
          <w:szCs w:val="24"/>
        </w:rPr>
        <w:t>制定并实</w:t>
      </w:r>
      <w:r>
        <w:rPr>
          <w:rFonts w:ascii="宋体" w:hAnsi="宋体" w:cs="宋体" w:eastAsia="宋体" w:hint="default"/>
          <w:spacing w:val="-16"/>
          <w:sz w:val="24"/>
          <w:szCs w:val="24"/>
        </w:rPr>
        <w:t>施</w:t>
      </w:r>
      <w:r>
        <w:rPr>
          <w:rFonts w:ascii="宋体" w:hAnsi="宋体" w:cs="宋体" w:eastAsia="宋体" w:hint="default"/>
          <w:sz w:val="24"/>
          <w:szCs w:val="24"/>
        </w:rPr>
        <w:t>《员工培训管理制度</w:t>
      </w:r>
      <w:r>
        <w:rPr>
          <w:rFonts w:ascii="宋体" w:hAnsi="宋体" w:cs="宋体" w:eastAsia="宋体" w:hint="default"/>
          <w:spacing w:val="-120"/>
          <w:sz w:val="24"/>
          <w:szCs w:val="24"/>
        </w:rPr>
        <w:t>》</w:t>
      </w:r>
      <w:r>
        <w:rPr>
          <w:rFonts w:ascii="宋体" w:hAnsi="宋体" w:cs="宋体" w:eastAsia="宋体" w:hint="default"/>
          <w:spacing w:val="-16"/>
          <w:sz w:val="24"/>
          <w:szCs w:val="24"/>
        </w:rPr>
        <w:t>。</w:t>
      </w:r>
      <w:r>
        <w:rPr>
          <w:rFonts w:ascii="宋体" w:hAnsi="宋体" w:cs="宋体" w:eastAsia="宋体" w:hint="default"/>
          <w:sz w:val="24"/>
          <w:szCs w:val="24"/>
        </w:rPr>
        <w:t>公司</w:t>
      </w:r>
      <w:r>
        <w:rPr>
          <w:rFonts w:ascii="宋体" w:hAnsi="宋体" w:cs="宋体" w:eastAsia="宋体" w:hint="default"/>
          <w:spacing w:val="-16"/>
          <w:sz w:val="24"/>
          <w:szCs w:val="24"/>
        </w:rPr>
        <w:t>的</w:t>
      </w:r>
      <w:r>
        <w:rPr>
          <w:rFonts w:ascii="宋体" w:hAnsi="宋体" w:cs="宋体" w:eastAsia="宋体" w:hint="default"/>
          <w:sz w:val="24"/>
          <w:szCs w:val="24"/>
        </w:rPr>
        <w:t>《人力资源管理制度</w:t>
      </w:r>
      <w:r>
        <w:rPr>
          <w:rFonts w:ascii="宋体" w:hAnsi="宋体" w:cs="宋体" w:eastAsia="宋体" w:hint="default"/>
          <w:spacing w:val="-16"/>
          <w:sz w:val="24"/>
          <w:szCs w:val="24"/>
        </w:rPr>
        <w:t>》和</w:t>
      </w:r>
      <w:r>
        <w:rPr>
          <w:rFonts w:ascii="宋体" w:hAnsi="宋体" w:cs="宋体" w:eastAsia="宋体" w:hint="default"/>
          <w:sz w:val="24"/>
          <w:szCs w:val="24"/>
        </w:rPr>
        <w:t>《薪酬</w:t>
      </w:r>
      <w:r>
        <w:rPr>
          <w:rFonts w:ascii="宋体" w:hAnsi="宋体" w:cs="宋体" w:eastAsia="宋体" w:hint="default"/>
          <w:sz w:val="24"/>
          <w:szCs w:val="24"/>
        </w:rPr>
        <w:t> 绩效管理办法</w:t>
      </w:r>
      <w:r>
        <w:rPr>
          <w:rFonts w:ascii="宋体" w:hAnsi="宋体" w:cs="宋体" w:eastAsia="宋体" w:hint="default"/>
          <w:spacing w:val="-119"/>
          <w:sz w:val="24"/>
          <w:szCs w:val="24"/>
        </w:rPr>
        <w:t>》</w:t>
      </w:r>
      <w:r>
        <w:rPr>
          <w:rFonts w:ascii="宋体" w:hAnsi="宋体" w:cs="宋体" w:eastAsia="宋体" w:hint="default"/>
          <w:sz w:val="24"/>
          <w:szCs w:val="24"/>
        </w:rPr>
        <w:t>，对人员录用、员工培训、工资薪酬、福利保障、绩效考核、内</w:t>
      </w:r>
    </w:p>
    <w:p>
      <w:pPr>
        <w:spacing w:after="0" w:line="297" w:lineRule="auto"/>
        <w:jc w:val="left"/>
        <w:rPr>
          <w:rFonts w:ascii="宋体" w:hAnsi="宋体" w:cs="宋体" w:eastAsia="宋体" w:hint="default"/>
          <w:sz w:val="24"/>
          <w:szCs w:val="24"/>
        </w:rPr>
        <w:sectPr>
          <w:headerReference w:type="default" r:id="rId151"/>
          <w:pgSz w:w="11910" w:h="16840"/>
          <w:pgMar w:header="0" w:footer="975" w:top="1440" w:bottom="1160" w:left="1680" w:right="1560"/>
        </w:sectPr>
      </w:pPr>
    </w:p>
    <w:p>
      <w:pPr>
        <w:pStyle w:val="Heading7"/>
        <w:spacing w:line="297" w:lineRule="auto"/>
        <w:ind w:left="120" w:right="235"/>
        <w:jc w:val="both"/>
        <w:rPr>
          <w:rFonts w:ascii="宋体" w:hAnsi="宋体" w:cs="宋体" w:eastAsia="宋体" w:hint="default"/>
        </w:rPr>
      </w:pPr>
      <w:r>
        <w:rPr>
          <w:rFonts w:ascii="宋体" w:hAnsi="宋体" w:cs="宋体" w:eastAsia="宋体" w:hint="default"/>
        </w:rPr>
        <w:t>部调动、职务升迁等进行了详细规定，实施全员</w:t>
      </w:r>
      <w:r>
        <w:rPr>
          <w:rFonts w:ascii="宋体" w:hAnsi="宋体" w:cs="宋体" w:eastAsia="宋体" w:hint="default"/>
          <w:spacing w:val="-92"/>
        </w:rPr>
        <w:t> </w:t>
      </w:r>
      <w:r>
        <w:rPr>
          <w:rFonts w:ascii="宋体" w:hAnsi="宋体" w:cs="宋体" w:eastAsia="宋体" w:hint="default"/>
        </w:rPr>
        <w:t>PBC（个人绩效承诺）考核，并</w:t>
      </w:r>
      <w:r>
        <w:rPr>
          <w:rFonts w:ascii="宋体" w:hAnsi="宋体" w:cs="宋体" w:eastAsia="宋体" w:hint="default"/>
        </w:rPr>
        <w:t> 长期开展优秀员工评选活动，引导标杆文化。2009</w:t>
      </w:r>
      <w:r>
        <w:rPr>
          <w:rFonts w:ascii="宋体" w:hAnsi="宋体" w:cs="宋体" w:eastAsia="宋体" w:hint="default"/>
          <w:spacing w:val="2"/>
        </w:rPr>
        <w:t> </w:t>
      </w:r>
      <w:r>
        <w:rPr>
          <w:rFonts w:ascii="宋体" w:hAnsi="宋体" w:cs="宋体" w:eastAsia="宋体" w:hint="default"/>
        </w:rPr>
        <w:t>年公司还出台了一系列员工</w:t>
      </w:r>
      <w:r>
        <w:rPr>
          <w:rFonts w:ascii="宋体" w:hAnsi="宋体" w:cs="宋体" w:eastAsia="宋体" w:hint="default"/>
        </w:rPr>
        <w:t> </w:t>
      </w:r>
      <w:r>
        <w:rPr>
          <w:rFonts w:ascii="宋体" w:hAnsi="宋体" w:cs="宋体" w:eastAsia="宋体" w:hint="default"/>
          <w:spacing w:val="-3"/>
        </w:rPr>
        <w:t>个人发展策略，制订了管理干部序列与技术级别序列等个人发展规划体系，为每</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一位员工的未来发展，切实提供了双向选择的平台。</w:t>
      </w:r>
    </w:p>
    <w:p>
      <w:pPr>
        <w:spacing w:line="546" w:lineRule="exact" w:before="18"/>
        <w:ind w:left="600" w:right="223" w:hanging="360"/>
        <w:jc w:val="left"/>
        <w:rPr>
          <w:rFonts w:ascii="宋体" w:hAnsi="宋体" w:cs="宋体" w:eastAsia="宋体" w:hint="default"/>
          <w:sz w:val="24"/>
          <w:szCs w:val="24"/>
        </w:rPr>
      </w:pPr>
      <w:r>
        <w:rPr>
          <w:rFonts w:ascii="宋体" w:hAnsi="宋体" w:cs="宋体" w:eastAsia="宋体" w:hint="default"/>
          <w:sz w:val="24"/>
          <w:szCs w:val="24"/>
        </w:rPr>
        <w:t>（二）风险评价 </w:t>
      </w:r>
      <w:r>
        <w:rPr>
          <w:rFonts w:ascii="宋体" w:hAnsi="宋体" w:cs="宋体" w:eastAsia="宋体" w:hint="default"/>
          <w:spacing w:val="-3"/>
          <w:sz w:val="24"/>
          <w:szCs w:val="24"/>
        </w:rPr>
        <w:t>公司根据战略目标及发展规划，制定风险管理政策和措施，实施内部控制制</w:t>
      </w:r>
    </w:p>
    <w:p>
      <w:pPr>
        <w:spacing w:line="297" w:lineRule="auto" w:before="0"/>
        <w:ind w:left="120" w:right="101" w:firstLine="0"/>
        <w:jc w:val="left"/>
        <w:rPr>
          <w:rFonts w:ascii="宋体" w:hAnsi="宋体" w:cs="宋体" w:eastAsia="宋体" w:hint="default"/>
          <w:sz w:val="24"/>
          <w:szCs w:val="24"/>
        </w:rPr>
      </w:pPr>
      <w:r>
        <w:rPr>
          <w:rFonts w:ascii="宋体" w:hAnsi="宋体" w:cs="宋体" w:eastAsia="宋体" w:hint="default"/>
          <w:spacing w:val="-3"/>
          <w:sz w:val="24"/>
          <w:szCs w:val="24"/>
        </w:rPr>
        <w:t>度执行情况的检查与监督，确保经营业务风险的可知、可防与可控，确保公司经</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营安全，将风险控制在可承受的范围内。在日常经营的风险管理过程之中，每年</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开展对公司产品代理商、外包服务的合作伙伴供应商的资质认定。制订了相关代</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10"/>
          <w:sz w:val="24"/>
          <w:szCs w:val="24"/>
        </w:rPr>
        <w:t>理商管理制度和外包合作伙伴管理制度、基建管理制度等一系列政策，对相关“代</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5"/>
          <w:sz w:val="24"/>
          <w:szCs w:val="24"/>
        </w:rPr>
        <w:t>理商”、“外包合作伙伴” </w:t>
      </w:r>
      <w:r>
        <w:rPr>
          <w:rFonts w:ascii="宋体" w:hAnsi="宋体" w:cs="宋体" w:eastAsia="宋体" w:hint="default"/>
          <w:spacing w:val="-3"/>
          <w:sz w:val="24"/>
          <w:szCs w:val="24"/>
        </w:rPr>
        <w:t>、“不合格供应商”等风险管理指标进行实时监控，</w:t>
      </w:r>
      <w:r>
        <w:rPr>
          <w:rFonts w:ascii="宋体" w:hAnsi="宋体" w:cs="宋体" w:eastAsia="宋体" w:hint="default"/>
          <w:spacing w:val="-113"/>
          <w:sz w:val="24"/>
          <w:szCs w:val="24"/>
        </w:rPr>
        <w:t> </w:t>
      </w:r>
      <w:r>
        <w:rPr>
          <w:rFonts w:ascii="宋体" w:hAnsi="宋体" w:cs="宋体" w:eastAsia="宋体" w:hint="default"/>
          <w:spacing w:val="-113"/>
          <w:sz w:val="24"/>
          <w:szCs w:val="24"/>
        </w:rPr>
      </w:r>
      <w:r>
        <w:rPr>
          <w:rFonts w:ascii="宋体" w:hAnsi="宋体" w:cs="宋体" w:eastAsia="宋体" w:hint="default"/>
          <w:sz w:val="24"/>
          <w:szCs w:val="24"/>
        </w:rPr>
        <w:t>配备专门的组织人员进行年度及日常检查。</w:t>
      </w:r>
    </w:p>
    <w:p>
      <w:pPr>
        <w:spacing w:line="297" w:lineRule="auto" w:before="174"/>
        <w:ind w:left="120" w:right="237" w:firstLine="480"/>
        <w:jc w:val="both"/>
        <w:rPr>
          <w:rFonts w:ascii="宋体" w:hAnsi="宋体" w:cs="宋体" w:eastAsia="宋体" w:hint="default"/>
          <w:sz w:val="24"/>
          <w:szCs w:val="24"/>
        </w:rPr>
      </w:pPr>
      <w:r>
        <w:rPr>
          <w:rFonts w:ascii="宋体" w:hAnsi="宋体" w:cs="宋体" w:eastAsia="宋体" w:hint="default"/>
          <w:spacing w:val="-3"/>
          <w:sz w:val="24"/>
          <w:szCs w:val="24"/>
        </w:rPr>
        <w:t>公司集中财力、精力，专注从事软件行业业务经营，减少并尽量避免从事与</w:t>
      </w:r>
      <w:r>
        <w:rPr>
          <w:rFonts w:ascii="宋体" w:hAnsi="宋体" w:cs="宋体" w:eastAsia="宋体" w:hint="default"/>
          <w:sz w:val="24"/>
          <w:szCs w:val="24"/>
        </w:rPr>
        <w:t> </w:t>
      </w:r>
      <w:r>
        <w:rPr>
          <w:rFonts w:ascii="宋体" w:hAnsi="宋体" w:cs="宋体" w:eastAsia="宋体" w:hint="default"/>
          <w:spacing w:val="-3"/>
          <w:sz w:val="24"/>
          <w:szCs w:val="24"/>
        </w:rPr>
        <w:t>公司战略目标发展不相符的业务。公司对融资、投资等业务实行严格的控制，严</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格禁止各分支机构独立开展相关业务，独立核算的分子公司，只能经营与用友软</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件相关的业务范围。公司将持续改进和加强对参股投资企业的商誉使用授权及其</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风险控制的管理。</w:t>
      </w:r>
    </w:p>
    <w:p>
      <w:pPr>
        <w:spacing w:before="174"/>
        <w:ind w:left="600" w:right="101" w:firstLine="0"/>
        <w:jc w:val="left"/>
        <w:rPr>
          <w:rFonts w:ascii="宋体" w:hAnsi="宋体" w:cs="宋体" w:eastAsia="宋体" w:hint="default"/>
          <w:sz w:val="24"/>
          <w:szCs w:val="24"/>
        </w:rPr>
      </w:pPr>
      <w:r>
        <w:rPr>
          <w:rFonts w:ascii="宋体" w:hAnsi="宋体" w:cs="宋体" w:eastAsia="宋体" w:hint="default"/>
          <w:sz w:val="24"/>
          <w:szCs w:val="24"/>
        </w:rPr>
        <w:t>公司总体风险获得有效控制。</w:t>
      </w:r>
    </w:p>
    <w:p>
      <w:pPr>
        <w:spacing w:line="540" w:lineRule="atLeast" w:before="6"/>
        <w:ind w:left="600" w:right="223" w:hanging="360"/>
        <w:jc w:val="left"/>
        <w:rPr>
          <w:rFonts w:ascii="宋体" w:hAnsi="宋体" w:cs="宋体" w:eastAsia="宋体" w:hint="default"/>
          <w:sz w:val="24"/>
          <w:szCs w:val="24"/>
        </w:rPr>
      </w:pPr>
      <w:r>
        <w:rPr>
          <w:rFonts w:ascii="宋体" w:hAnsi="宋体" w:cs="宋体" w:eastAsia="宋体" w:hint="default"/>
          <w:sz w:val="24"/>
          <w:szCs w:val="24"/>
        </w:rPr>
        <w:t>（三）控制活动 </w:t>
      </w:r>
      <w:r>
        <w:rPr>
          <w:rFonts w:ascii="宋体" w:hAnsi="宋体" w:cs="宋体" w:eastAsia="宋体" w:hint="default"/>
          <w:spacing w:val="-3"/>
          <w:sz w:val="24"/>
          <w:szCs w:val="24"/>
        </w:rPr>
        <w:t>为保证公司经营业务活动的正常进行，公司根据资产结构、经营方式，并结</w:t>
      </w:r>
    </w:p>
    <w:p>
      <w:pPr>
        <w:spacing w:line="297" w:lineRule="auto" w:before="76"/>
        <w:ind w:left="120" w:right="229" w:firstLine="0"/>
        <w:jc w:val="left"/>
        <w:rPr>
          <w:rFonts w:ascii="宋体" w:hAnsi="宋体" w:cs="宋体" w:eastAsia="宋体" w:hint="default"/>
          <w:sz w:val="24"/>
          <w:szCs w:val="24"/>
        </w:rPr>
      </w:pPr>
      <w:r>
        <w:rPr>
          <w:rFonts w:ascii="宋体" w:hAnsi="宋体" w:cs="宋体" w:eastAsia="宋体" w:hint="default"/>
          <w:spacing w:val="-3"/>
          <w:sz w:val="24"/>
          <w:szCs w:val="24"/>
        </w:rPr>
        <w:t>合自身管理实际，制定了各类业务流程的内部控制制度和执行措施，以确保公司</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业务合法、合理、安全、规范的运行。</w:t>
      </w:r>
    </w:p>
    <w:p>
      <w:pPr>
        <w:spacing w:line="297" w:lineRule="auto" w:before="174"/>
        <w:ind w:left="120" w:right="104" w:firstLine="482"/>
        <w:jc w:val="left"/>
        <w:rPr>
          <w:rFonts w:ascii="宋体" w:hAnsi="宋体" w:cs="宋体" w:eastAsia="宋体" w:hint="default"/>
          <w:sz w:val="24"/>
          <w:szCs w:val="24"/>
        </w:rPr>
      </w:pPr>
      <w:r>
        <w:rPr>
          <w:rFonts w:ascii="宋体" w:hAnsi="宋体" w:cs="宋体" w:eastAsia="宋体" w:hint="default"/>
          <w:spacing w:val="-3"/>
          <w:sz w:val="24"/>
          <w:szCs w:val="24"/>
        </w:rPr>
        <w:t>1、资产与资金管理制度。公司建立了一系列资产管理制度，对财产的记录、</w:t>
      </w:r>
      <w:r>
        <w:rPr>
          <w:rFonts w:ascii="宋体" w:hAnsi="宋体" w:cs="宋体" w:eastAsia="宋体" w:hint="default"/>
          <w:sz w:val="24"/>
          <w:szCs w:val="24"/>
        </w:rPr>
        <w:t> </w:t>
      </w:r>
      <w:r>
        <w:rPr>
          <w:rFonts w:ascii="宋体" w:hAnsi="宋体" w:cs="宋体" w:eastAsia="宋体" w:hint="default"/>
          <w:spacing w:val="-3"/>
          <w:sz w:val="24"/>
          <w:szCs w:val="24"/>
        </w:rPr>
        <w:t>定期盘点、账实核对、财产保险等进行了明确规定，以确保各种财产的完整。此</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pacing w:val="-3"/>
          <w:sz w:val="24"/>
          <w:szCs w:val="24"/>
        </w:rPr>
        <w:t>外，公司还对定期核对应收账款、存货、对外投资、固定资产、在建工程、无形</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资产等项目进行了规定，并根据谨慎性原则的要求合理地计提资产减值准备。</w:t>
      </w:r>
    </w:p>
    <w:p>
      <w:pPr>
        <w:spacing w:line="297" w:lineRule="auto" w:before="174"/>
        <w:ind w:left="120" w:right="237" w:firstLine="482"/>
        <w:jc w:val="both"/>
        <w:rPr>
          <w:rFonts w:ascii="宋体" w:hAnsi="宋体" w:cs="宋体" w:eastAsia="宋体" w:hint="default"/>
          <w:sz w:val="24"/>
          <w:szCs w:val="24"/>
        </w:rPr>
      </w:pPr>
      <w:r>
        <w:rPr>
          <w:rFonts w:ascii="宋体" w:hAnsi="宋体" w:cs="宋体" w:eastAsia="宋体" w:hint="default"/>
          <w:spacing w:val="-3"/>
          <w:sz w:val="24"/>
          <w:szCs w:val="24"/>
        </w:rPr>
        <w:t>公司将投资、筹资权限集中在公司总部，通过网上银行系统实现公司所有独</w:t>
      </w:r>
      <w:r>
        <w:rPr>
          <w:rFonts w:ascii="宋体" w:hAnsi="宋体" w:cs="宋体" w:eastAsia="宋体" w:hint="default"/>
          <w:sz w:val="24"/>
          <w:szCs w:val="24"/>
        </w:rPr>
        <w:t> </w:t>
      </w:r>
      <w:r>
        <w:rPr>
          <w:rFonts w:ascii="宋体" w:hAnsi="宋体" w:cs="宋体" w:eastAsia="宋体" w:hint="default"/>
          <w:spacing w:val="-3"/>
          <w:sz w:val="24"/>
          <w:szCs w:val="24"/>
        </w:rPr>
        <w:t>立核算单位、所有资金账号的统一管理和对主要账号的实时监控。这样，既加快</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了资金结算速度，提高了资金使用效益，又确保了资金的安全性。</w:t>
      </w:r>
    </w:p>
    <w:p>
      <w:pPr>
        <w:spacing w:line="297" w:lineRule="auto" w:before="174"/>
        <w:ind w:left="120" w:right="101" w:firstLine="482"/>
        <w:jc w:val="left"/>
        <w:rPr>
          <w:rFonts w:ascii="宋体" w:hAnsi="宋体" w:cs="宋体" w:eastAsia="宋体" w:hint="default"/>
          <w:sz w:val="24"/>
          <w:szCs w:val="24"/>
        </w:rPr>
      </w:pPr>
      <w:r>
        <w:rPr>
          <w:rFonts w:ascii="宋体" w:hAnsi="宋体" w:cs="宋体" w:eastAsia="宋体" w:hint="default"/>
          <w:spacing w:val="-7"/>
          <w:sz w:val="24"/>
          <w:szCs w:val="24"/>
        </w:rPr>
        <w:t>公司通过《用友集团财务管理办法》、《资金管理及财务审批办法》等制度，</w:t>
      </w:r>
      <w:r>
        <w:rPr>
          <w:rFonts w:ascii="宋体" w:hAnsi="宋体" w:cs="宋体" w:eastAsia="宋体" w:hint="default"/>
          <w:sz w:val="24"/>
          <w:szCs w:val="24"/>
        </w:rPr>
        <w:t> </w:t>
      </w:r>
      <w:r>
        <w:rPr>
          <w:rFonts w:ascii="宋体" w:hAnsi="宋体" w:cs="宋体" w:eastAsia="宋体" w:hint="default"/>
          <w:spacing w:val="-3"/>
          <w:sz w:val="24"/>
          <w:szCs w:val="24"/>
        </w:rPr>
        <w:t>明确了资金使用的授权范围、权限、程序、责任等相关内容。公司各级管理层均</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在授权范围内行使相应职权，所有经办人员在授权范围内办理经营业务。对于审</w:t>
      </w:r>
    </w:p>
    <w:p>
      <w:pPr>
        <w:spacing w:after="0" w:line="297" w:lineRule="auto"/>
        <w:jc w:val="left"/>
        <w:rPr>
          <w:rFonts w:ascii="宋体" w:hAnsi="宋体" w:cs="宋体" w:eastAsia="宋体" w:hint="default"/>
          <w:sz w:val="24"/>
          <w:szCs w:val="24"/>
        </w:rPr>
        <w:sectPr>
          <w:headerReference w:type="default" r:id="rId152"/>
          <w:footerReference w:type="default" r:id="rId153"/>
          <w:pgSz w:w="11910" w:h="16840"/>
          <w:pgMar w:header="0" w:footer="975" w:top="1440" w:bottom="1160" w:left="1680" w:right="1560"/>
          <w:pgNumType w:start="3"/>
        </w:sectPr>
      </w:pPr>
    </w:p>
    <w:p>
      <w:pPr>
        <w:pStyle w:val="Heading7"/>
        <w:spacing w:line="297" w:lineRule="auto"/>
        <w:ind w:left="120" w:right="229"/>
        <w:jc w:val="left"/>
        <w:rPr>
          <w:rFonts w:ascii="宋体" w:hAnsi="宋体" w:cs="宋体" w:eastAsia="宋体" w:hint="default"/>
        </w:rPr>
      </w:pPr>
      <w:r>
        <w:rPr>
          <w:rFonts w:ascii="宋体" w:hAnsi="宋体" w:cs="宋体" w:eastAsia="宋体" w:hint="default"/>
          <w:spacing w:val="-3"/>
        </w:rPr>
        <w:t>批人超越授权范围审批的货币资金业务，财务经办人员有权拒绝办理，并及时向</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审批人的上级授权部门报告。</w:t>
      </w:r>
    </w:p>
    <w:p>
      <w:pPr>
        <w:spacing w:line="297" w:lineRule="auto" w:before="174"/>
        <w:ind w:left="119" w:right="234" w:firstLine="482"/>
        <w:jc w:val="both"/>
        <w:rPr>
          <w:rFonts w:ascii="宋体" w:hAnsi="宋体" w:cs="宋体" w:eastAsia="宋体" w:hint="default"/>
          <w:sz w:val="24"/>
          <w:szCs w:val="24"/>
        </w:rPr>
      </w:pPr>
      <w:r>
        <w:rPr>
          <w:rFonts w:ascii="宋体" w:hAnsi="宋体" w:cs="宋体" w:eastAsia="宋体" w:hint="default"/>
          <w:sz w:val="24"/>
          <w:szCs w:val="24"/>
        </w:rPr>
        <w:t>2、全面预算管理制度。公司建立了包含预算编制、预算执行、预算分析和 </w:t>
      </w:r>
      <w:r>
        <w:rPr>
          <w:rFonts w:ascii="宋体" w:hAnsi="宋体" w:cs="宋体" w:eastAsia="宋体" w:hint="default"/>
          <w:spacing w:val="-3"/>
          <w:sz w:val="24"/>
          <w:szCs w:val="24"/>
        </w:rPr>
        <w:t>预算考核各环节、涵盖所有成员企业的全面预算管理制度。公司将经营成果、固</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定资产及其他长期资产投入、现金流量、对外投资等主要经营目标或事项均纳入</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预算管理的范围。公司注重预算的事中、事后控制，对单项大额支出实行单项预</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算审批，定期将实际业绩与预算进行对比分析，寻找差异与原因，并据此进行预</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算考核。</w:t>
      </w:r>
    </w:p>
    <w:p>
      <w:pPr>
        <w:spacing w:line="297" w:lineRule="auto" w:before="174"/>
        <w:ind w:left="119" w:right="237" w:firstLine="482"/>
        <w:jc w:val="both"/>
        <w:rPr>
          <w:rFonts w:ascii="宋体" w:hAnsi="宋体" w:cs="宋体" w:eastAsia="宋体" w:hint="default"/>
          <w:sz w:val="24"/>
          <w:szCs w:val="24"/>
        </w:rPr>
      </w:pPr>
      <w:r>
        <w:rPr>
          <w:rFonts w:ascii="宋体" w:hAnsi="宋体" w:cs="宋体" w:eastAsia="宋体" w:hint="default"/>
          <w:spacing w:val="-3"/>
          <w:sz w:val="24"/>
          <w:szCs w:val="24"/>
        </w:rPr>
        <w:t>预算管理在促进公司内部资源的合理分配，加强成本费用控制，全面提高公</w:t>
      </w:r>
      <w:r>
        <w:rPr>
          <w:rFonts w:ascii="宋体" w:hAnsi="宋体" w:cs="宋体" w:eastAsia="宋体" w:hint="default"/>
          <w:sz w:val="24"/>
          <w:szCs w:val="24"/>
        </w:rPr>
        <w:t> 司经营效益方面发挥了重要的作用。</w:t>
      </w:r>
    </w:p>
    <w:p>
      <w:pPr>
        <w:spacing w:line="292" w:lineRule="auto" w:before="174"/>
        <w:ind w:left="119" w:right="237" w:firstLine="482"/>
        <w:jc w:val="both"/>
        <w:rPr>
          <w:rFonts w:ascii="宋体" w:hAnsi="宋体" w:cs="宋体" w:eastAsia="宋体" w:hint="default"/>
          <w:sz w:val="24"/>
          <w:szCs w:val="24"/>
        </w:rPr>
      </w:pPr>
      <w:r>
        <w:rPr>
          <w:rFonts w:ascii="宋体" w:hAnsi="宋体" w:cs="宋体" w:eastAsia="宋体" w:hint="default"/>
          <w:sz w:val="24"/>
          <w:szCs w:val="24"/>
        </w:rPr>
        <w:t>3、集中财务管理信息系统。公司建立了以自有产品用友</w:t>
      </w:r>
      <w:r>
        <w:rPr>
          <w:rFonts w:ascii="宋体" w:hAnsi="宋体" w:cs="宋体" w:eastAsia="宋体" w:hint="default"/>
          <w:spacing w:val="-56"/>
          <w:sz w:val="24"/>
          <w:szCs w:val="24"/>
        </w:rPr>
        <w:t> </w:t>
      </w:r>
      <w:r>
        <w:rPr>
          <w:rFonts w:ascii="Times New Roman" w:hAnsi="Times New Roman" w:cs="Times New Roman" w:eastAsia="Times New Roman" w:hint="default"/>
          <w:sz w:val="24"/>
          <w:szCs w:val="24"/>
        </w:rPr>
        <w:t>ERP-NC</w:t>
      </w:r>
      <w:r>
        <w:rPr>
          <w:rFonts w:ascii="Times New Roman" w:hAnsi="Times New Roman" w:cs="Times New Roman" w:eastAsia="Times New Roman" w:hint="default"/>
          <w:spacing w:val="5"/>
          <w:sz w:val="24"/>
          <w:szCs w:val="24"/>
        </w:rPr>
        <w:t> </w:t>
      </w:r>
      <w:r>
        <w:rPr>
          <w:rFonts w:ascii="宋体" w:hAnsi="宋体" w:cs="宋体" w:eastAsia="宋体" w:hint="default"/>
          <w:sz w:val="24"/>
          <w:szCs w:val="24"/>
        </w:rPr>
        <w:t>为基础， </w:t>
      </w:r>
      <w:r>
        <w:rPr>
          <w:rFonts w:ascii="宋体" w:hAnsi="宋体" w:cs="宋体" w:eastAsia="宋体" w:hint="default"/>
          <w:spacing w:val="-3"/>
          <w:sz w:val="24"/>
          <w:szCs w:val="24"/>
        </w:rPr>
        <w:t>包含会计核算、财务报表、资金管理、成本管理、全面预算管理在内的公司财务</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信息管理平台，将公司合并报表范围内所有的独立核算单位纳入这个平台，将多</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项管理制度中的关键控制点设置在信息系统中，有效保障了财务制度的执行和财</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务信息的准确性。</w:t>
      </w:r>
    </w:p>
    <w:p>
      <w:pPr>
        <w:spacing w:line="297" w:lineRule="auto" w:before="179"/>
        <w:ind w:left="119" w:right="101" w:firstLine="482"/>
        <w:jc w:val="left"/>
        <w:rPr>
          <w:rFonts w:ascii="宋体" w:hAnsi="宋体" w:cs="宋体" w:eastAsia="宋体" w:hint="default"/>
          <w:sz w:val="24"/>
          <w:szCs w:val="24"/>
        </w:rPr>
      </w:pPr>
      <w:r>
        <w:rPr>
          <w:rFonts w:ascii="宋体" w:hAnsi="宋体" w:cs="宋体" w:eastAsia="宋体" w:hint="default"/>
          <w:sz w:val="24"/>
          <w:szCs w:val="24"/>
        </w:rPr>
        <w:t>4、财务报告制度。公司制定了适合本单位的会计制度和核算流程，并且建 </w:t>
      </w:r>
      <w:r>
        <w:rPr>
          <w:rFonts w:ascii="宋体" w:hAnsi="宋体" w:cs="宋体" w:eastAsia="宋体" w:hint="default"/>
          <w:spacing w:val="-6"/>
          <w:sz w:val="24"/>
          <w:szCs w:val="24"/>
        </w:rPr>
        <w:t>立了相应的内部基础管理制度，包括会计人员岗位责任制度，账务处理程序制度，</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pacing w:val="-3"/>
          <w:sz w:val="24"/>
          <w:szCs w:val="24"/>
        </w:rPr>
        <w:t>内部牵制制度、内部会计稽查制度、原始凭证管理制度、财产清查制度、财务收</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支审批制度等。</w:t>
      </w:r>
    </w:p>
    <w:p>
      <w:pPr>
        <w:spacing w:line="297" w:lineRule="auto" w:before="174"/>
        <w:ind w:left="120" w:right="237" w:firstLine="482"/>
        <w:jc w:val="both"/>
        <w:rPr>
          <w:rFonts w:ascii="宋体" w:hAnsi="宋体" w:cs="宋体" w:eastAsia="宋体" w:hint="default"/>
          <w:sz w:val="24"/>
          <w:szCs w:val="24"/>
        </w:rPr>
      </w:pPr>
      <w:r>
        <w:rPr>
          <w:rFonts w:ascii="宋体" w:hAnsi="宋体" w:cs="宋体" w:eastAsia="宋体" w:hint="default"/>
          <w:spacing w:val="-3"/>
          <w:sz w:val="24"/>
          <w:szCs w:val="24"/>
        </w:rPr>
        <w:t>公司建立了适应上市公司集团化管理的集团财务报表体系和制度，明确了财</w:t>
      </w:r>
      <w:r>
        <w:rPr>
          <w:rFonts w:ascii="宋体" w:hAnsi="宋体" w:cs="宋体" w:eastAsia="宋体" w:hint="default"/>
          <w:sz w:val="24"/>
          <w:szCs w:val="24"/>
        </w:rPr>
        <w:t> </w:t>
      </w:r>
      <w:r>
        <w:rPr>
          <w:rFonts w:ascii="宋体" w:hAnsi="宋体" w:cs="宋体" w:eastAsia="宋体" w:hint="default"/>
          <w:spacing w:val="-3"/>
          <w:sz w:val="24"/>
          <w:szCs w:val="24"/>
        </w:rPr>
        <w:t>务报告的内容、范围、编制流程和责任人，实现了财务报表的统一规划、分别编</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pacing w:val="-3"/>
          <w:sz w:val="24"/>
          <w:szCs w:val="24"/>
        </w:rPr>
        <w:t>制、统一复核与分级审核，并建立了财务报告附注多方汇审制度，确保财务信息</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及时、准确、合规。</w:t>
      </w:r>
    </w:p>
    <w:p>
      <w:pPr>
        <w:spacing w:line="297" w:lineRule="auto" w:before="174"/>
        <w:ind w:left="120" w:right="236" w:firstLine="482"/>
        <w:jc w:val="both"/>
        <w:rPr>
          <w:rFonts w:ascii="宋体" w:hAnsi="宋体" w:cs="宋体" w:eastAsia="宋体" w:hint="default"/>
          <w:sz w:val="24"/>
          <w:szCs w:val="24"/>
        </w:rPr>
      </w:pPr>
      <w:r>
        <w:rPr>
          <w:rFonts w:ascii="宋体" w:hAnsi="宋体" w:cs="宋体" w:eastAsia="宋体" w:hint="default"/>
          <w:spacing w:val="-3"/>
          <w:sz w:val="24"/>
          <w:szCs w:val="24"/>
        </w:rPr>
        <w:t>5、财务机构与人员管理制度。公司总部设立专门的会计机构-财务部、预算</w:t>
      </w:r>
      <w:r>
        <w:rPr>
          <w:rFonts w:ascii="宋体" w:hAnsi="宋体" w:cs="宋体" w:eastAsia="宋体" w:hint="default"/>
          <w:sz w:val="24"/>
          <w:szCs w:val="24"/>
        </w:rPr>
        <w:t> </w:t>
      </w:r>
      <w:r>
        <w:rPr>
          <w:rFonts w:ascii="宋体" w:hAnsi="宋体" w:cs="宋体" w:eastAsia="宋体" w:hint="default"/>
          <w:spacing w:val="-3"/>
          <w:sz w:val="24"/>
          <w:szCs w:val="24"/>
        </w:rPr>
        <w:t>部、采购管理部等，并在其他各级独立核算单位设立财务部，按《财务干部聘用</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管理办法》配备各级财务人员。</w:t>
      </w:r>
    </w:p>
    <w:p>
      <w:pPr>
        <w:spacing w:line="297" w:lineRule="auto" w:before="174"/>
        <w:ind w:left="120" w:right="237" w:firstLine="482"/>
        <w:jc w:val="both"/>
        <w:rPr>
          <w:rFonts w:ascii="宋体" w:hAnsi="宋体" w:cs="宋体" w:eastAsia="宋体" w:hint="default"/>
          <w:sz w:val="24"/>
          <w:szCs w:val="24"/>
        </w:rPr>
      </w:pPr>
      <w:r>
        <w:rPr>
          <w:rFonts w:ascii="宋体" w:hAnsi="宋体" w:cs="宋体" w:eastAsia="宋体" w:hint="default"/>
          <w:spacing w:val="-3"/>
          <w:sz w:val="24"/>
          <w:szCs w:val="24"/>
        </w:rPr>
        <w:t>公司财务人员实行逐级垂直管理。垂直管理包括财务人员的聘任、培训与业</w:t>
      </w:r>
      <w:r>
        <w:rPr>
          <w:rFonts w:ascii="宋体" w:hAnsi="宋体" w:cs="宋体" w:eastAsia="宋体" w:hint="default"/>
          <w:sz w:val="24"/>
          <w:szCs w:val="24"/>
        </w:rPr>
        <w:t> </w:t>
      </w:r>
      <w:r>
        <w:rPr>
          <w:rFonts w:ascii="宋体" w:hAnsi="宋体" w:cs="宋体" w:eastAsia="宋体" w:hint="default"/>
          <w:spacing w:val="-3"/>
          <w:sz w:val="24"/>
          <w:szCs w:val="24"/>
        </w:rPr>
        <w:t>务指导、考核、调动与辞退。公司所有财务人员均具备相关职业资格或专业技术</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职称，有较丰富的专业知识与专业技能，熟悉国家和地区的财务、会计、税收制</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度，遵守职业道德。公司对财务人员进行相关业务培训，包括上岗培训、定期培</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训与日常培训。公司颁布了《财务干部考核办法》，并据此定期对财务干部进行</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考核。</w:t>
      </w:r>
    </w:p>
    <w:p>
      <w:pPr>
        <w:spacing w:after="0" w:line="297" w:lineRule="auto"/>
        <w:jc w:val="both"/>
        <w:rPr>
          <w:rFonts w:ascii="宋体" w:hAnsi="宋体" w:cs="宋体" w:eastAsia="宋体" w:hint="default"/>
          <w:sz w:val="24"/>
          <w:szCs w:val="24"/>
        </w:rPr>
        <w:sectPr>
          <w:headerReference w:type="default" r:id="rId154"/>
          <w:footerReference w:type="default" r:id="rId155"/>
          <w:pgSz w:w="11910" w:h="16840"/>
          <w:pgMar w:header="0" w:footer="975" w:top="1440" w:bottom="1160" w:left="1680" w:right="1560"/>
          <w:pgNumType w:start="4"/>
        </w:sectPr>
      </w:pPr>
    </w:p>
    <w:p>
      <w:pPr>
        <w:pStyle w:val="Heading7"/>
        <w:spacing w:line="297" w:lineRule="auto"/>
        <w:ind w:left="119" w:right="234" w:firstLine="482"/>
        <w:jc w:val="both"/>
        <w:rPr>
          <w:rFonts w:ascii="宋体" w:hAnsi="宋体" w:cs="宋体" w:eastAsia="宋体" w:hint="default"/>
        </w:rPr>
      </w:pPr>
      <w:r>
        <w:rPr>
          <w:rFonts w:ascii="宋体" w:hAnsi="宋体" w:cs="宋体" w:eastAsia="宋体" w:hint="default"/>
        </w:rPr>
        <w:t>6、对外投资管理制度。公司设立了投资管理部，建立对外投资授权制度和 </w:t>
      </w:r>
      <w:r>
        <w:rPr>
          <w:rFonts w:ascii="宋体" w:hAnsi="宋体" w:cs="宋体" w:eastAsia="宋体" w:hint="default"/>
          <w:spacing w:val="-3"/>
        </w:rPr>
        <w:t>审核批准制度，并按照规定的权限和程序办理对外投资业务。加强对外投资可行</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性研究、评价与决策环节的控制，加强内部审计，确保对外投资全过程得到有效</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控制。</w:t>
      </w:r>
    </w:p>
    <w:p>
      <w:pPr>
        <w:spacing w:line="297" w:lineRule="auto" w:before="174"/>
        <w:ind w:left="119" w:right="234" w:firstLine="482"/>
        <w:jc w:val="both"/>
        <w:rPr>
          <w:rFonts w:ascii="宋体" w:hAnsi="宋体" w:cs="宋体" w:eastAsia="宋体" w:hint="default"/>
          <w:sz w:val="24"/>
          <w:szCs w:val="24"/>
        </w:rPr>
      </w:pPr>
      <w:r>
        <w:rPr>
          <w:rFonts w:ascii="宋体" w:hAnsi="宋体" w:cs="宋体" w:eastAsia="宋体" w:hint="default"/>
          <w:sz w:val="24"/>
          <w:szCs w:val="24"/>
        </w:rPr>
        <w:t>7、存货管理制度。公司建立存货管理制度，明确相关控制措施，规定审批 </w:t>
      </w:r>
      <w:r>
        <w:rPr>
          <w:rFonts w:ascii="宋体" w:hAnsi="宋体" w:cs="宋体" w:eastAsia="宋体" w:hint="default"/>
          <w:spacing w:val="-3"/>
          <w:sz w:val="24"/>
          <w:szCs w:val="24"/>
        </w:rPr>
        <w:t>人的权限、责任以及经办人的职责范围和工作要求。生产管理过程导入自行研发</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的软件产品生产信息管理系统，对原材料的采购、产品的生产制造、成品的保管</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和存货发出等，设计了严格的控制程序，以保证资产的安全和计价的准确。</w:t>
      </w:r>
    </w:p>
    <w:p>
      <w:pPr>
        <w:spacing w:line="297" w:lineRule="auto" w:before="174"/>
        <w:ind w:left="119" w:right="101" w:firstLine="482"/>
        <w:jc w:val="left"/>
        <w:rPr>
          <w:rFonts w:ascii="宋体" w:hAnsi="宋体" w:cs="宋体" w:eastAsia="宋体" w:hint="default"/>
          <w:sz w:val="24"/>
          <w:szCs w:val="24"/>
        </w:rPr>
      </w:pPr>
      <w:r>
        <w:rPr>
          <w:rFonts w:ascii="宋体" w:hAnsi="宋体" w:cs="宋体" w:eastAsia="宋体" w:hint="default"/>
          <w:sz w:val="24"/>
          <w:szCs w:val="24"/>
        </w:rPr>
        <w:t>8、固定资产管理制度。公司采用自行研发的固定做资产管理系统，资产管 </w:t>
      </w:r>
      <w:r>
        <w:rPr>
          <w:rFonts w:ascii="宋体" w:hAnsi="宋体" w:cs="宋体" w:eastAsia="宋体" w:hint="default"/>
          <w:spacing w:val="-6"/>
          <w:sz w:val="24"/>
          <w:szCs w:val="24"/>
        </w:rPr>
        <w:t>理流程清晰。明确了授权批准的方式、程序和相关控制措施，规定审批人的权限、</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3"/>
          <w:sz w:val="24"/>
          <w:szCs w:val="24"/>
        </w:rPr>
        <w:t>责任以及经办人的职责范围和工作要求。对固定资产的采购、保管和累计折旧的</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计提设计了严格的控制程序，以保证资产的安全和计价的准确。</w:t>
      </w:r>
    </w:p>
    <w:p>
      <w:pPr>
        <w:spacing w:line="297" w:lineRule="auto" w:before="174"/>
        <w:ind w:left="120" w:right="100" w:firstLine="482"/>
        <w:jc w:val="left"/>
        <w:rPr>
          <w:rFonts w:ascii="宋体" w:hAnsi="宋体" w:cs="宋体" w:eastAsia="宋体" w:hint="default"/>
          <w:sz w:val="24"/>
          <w:szCs w:val="24"/>
        </w:rPr>
      </w:pPr>
      <w:r>
        <w:rPr>
          <w:rFonts w:ascii="宋体" w:hAnsi="宋体" w:cs="宋体" w:eastAsia="宋体" w:hint="default"/>
          <w:spacing w:val="-13"/>
          <w:sz w:val="24"/>
          <w:szCs w:val="24"/>
        </w:rPr>
        <w:t>9、研究与开发管理制度。2009</w:t>
      </w:r>
      <w:r>
        <w:rPr>
          <w:rFonts w:ascii="宋体" w:hAnsi="宋体" w:cs="宋体" w:eastAsia="宋体" w:hint="default"/>
          <w:spacing w:val="-47"/>
          <w:sz w:val="24"/>
          <w:szCs w:val="24"/>
        </w:rPr>
        <w:t> </w:t>
      </w:r>
      <w:r>
        <w:rPr>
          <w:rFonts w:ascii="宋体" w:hAnsi="宋体" w:cs="宋体" w:eastAsia="宋体" w:hint="default"/>
          <w:spacing w:val="-11"/>
          <w:sz w:val="24"/>
          <w:szCs w:val="24"/>
        </w:rPr>
        <w:t>年进一步修订完善《公司研发成果管理制度》，</w:t>
      </w:r>
      <w:r>
        <w:rPr>
          <w:rFonts w:ascii="宋体" w:hAnsi="宋体" w:cs="宋体" w:eastAsia="宋体" w:hint="default"/>
          <w:sz w:val="24"/>
          <w:szCs w:val="24"/>
        </w:rPr>
        <w:t> </w:t>
      </w:r>
      <w:r>
        <w:rPr>
          <w:rFonts w:ascii="宋体" w:hAnsi="宋体" w:cs="宋体" w:eastAsia="宋体" w:hint="default"/>
          <w:spacing w:val="-3"/>
          <w:sz w:val="24"/>
          <w:szCs w:val="24"/>
        </w:rPr>
        <w:t>对研发记录、文件、成果保管等做了详尽的规定，防范技术成果泄密。公司研发</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部门实施了《全产品生命周期开发过程控制管理体系文件》，持续优化和改进公</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6"/>
          <w:sz w:val="24"/>
          <w:szCs w:val="24"/>
        </w:rPr>
        <w:t>司全产品开发过程，规范开发过程监控和指导；修订《公司产品发版质量标准》，</w:t>
      </w:r>
      <w:r>
        <w:rPr>
          <w:rFonts w:ascii="宋体" w:hAnsi="宋体" w:cs="宋体" w:eastAsia="宋体" w:hint="default"/>
          <w:sz w:val="24"/>
          <w:szCs w:val="24"/>
        </w:rPr>
        <w:t> </w:t>
      </w:r>
      <w:r>
        <w:rPr>
          <w:rFonts w:ascii="宋体" w:hAnsi="宋体" w:cs="宋体" w:eastAsia="宋体" w:hint="default"/>
          <w:spacing w:val="-6"/>
          <w:sz w:val="24"/>
          <w:szCs w:val="24"/>
        </w:rPr>
        <w:t>保障公司产品质量，提升用户满意度；更新并完善《开发资料管理和控制过程》，</w:t>
      </w:r>
      <w:r>
        <w:rPr>
          <w:rFonts w:ascii="宋体" w:hAnsi="宋体" w:cs="宋体" w:eastAsia="宋体" w:hint="default"/>
          <w:sz w:val="24"/>
          <w:szCs w:val="24"/>
        </w:rPr>
        <w:t> </w:t>
      </w:r>
      <w:r>
        <w:rPr>
          <w:rFonts w:ascii="宋体" w:hAnsi="宋体" w:cs="宋体" w:eastAsia="宋体" w:hint="default"/>
          <w:spacing w:val="-10"/>
          <w:sz w:val="24"/>
          <w:szCs w:val="24"/>
        </w:rPr>
        <w:t>对研发记录、文件、成果保管等做了详尽的规定，防范技术成果泄密；建立了《公</w:t>
      </w:r>
      <w:r>
        <w:rPr>
          <w:rFonts w:ascii="宋体" w:hAnsi="宋体" w:cs="宋体" w:eastAsia="宋体" w:hint="default"/>
          <w:spacing w:val="-98"/>
          <w:sz w:val="24"/>
          <w:szCs w:val="24"/>
        </w:rPr>
        <w:t> </w:t>
      </w:r>
      <w:r>
        <w:rPr>
          <w:rFonts w:ascii="宋体" w:hAnsi="宋体" w:cs="宋体" w:eastAsia="宋体" w:hint="default"/>
          <w:spacing w:val="-98"/>
          <w:sz w:val="24"/>
          <w:szCs w:val="24"/>
        </w:rPr>
      </w:r>
      <w:r>
        <w:rPr>
          <w:rFonts w:ascii="宋体" w:hAnsi="宋体" w:cs="宋体" w:eastAsia="宋体" w:hint="default"/>
          <w:spacing w:val="-3"/>
          <w:sz w:val="24"/>
          <w:szCs w:val="24"/>
        </w:rPr>
        <w:t>司产品外包开发管理制度》，规范公司产品外包开发业务活动的执行，提高产品</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外包开发活动的质量，降低开发成本，规避和监控产品外包开发业务活动风险。</w:t>
      </w:r>
    </w:p>
    <w:p>
      <w:pPr>
        <w:spacing w:line="297" w:lineRule="auto" w:before="174"/>
        <w:ind w:left="119" w:right="104" w:firstLine="482"/>
        <w:jc w:val="left"/>
        <w:rPr>
          <w:rFonts w:ascii="宋体" w:hAnsi="宋体" w:cs="宋体" w:eastAsia="宋体" w:hint="default"/>
          <w:sz w:val="24"/>
          <w:szCs w:val="24"/>
        </w:rPr>
      </w:pPr>
      <w:r>
        <w:rPr>
          <w:rFonts w:ascii="宋体" w:hAnsi="宋体" w:cs="宋体" w:eastAsia="宋体" w:hint="default"/>
          <w:sz w:val="24"/>
          <w:szCs w:val="24"/>
        </w:rPr>
        <w:t>10、人事与薪酬管理制度。2009</w:t>
      </w:r>
      <w:r>
        <w:rPr>
          <w:rFonts w:ascii="宋体" w:hAnsi="宋体" w:cs="宋体" w:eastAsia="宋体" w:hint="default"/>
          <w:spacing w:val="-101"/>
          <w:sz w:val="24"/>
          <w:szCs w:val="24"/>
        </w:rPr>
        <w:t> </w:t>
      </w:r>
      <w:r>
        <w:rPr>
          <w:rFonts w:ascii="宋体" w:hAnsi="宋体" w:cs="宋体" w:eastAsia="宋体" w:hint="default"/>
          <w:sz w:val="24"/>
          <w:szCs w:val="24"/>
        </w:rPr>
        <w:t>年完善了《公司人才招聘录用管理制度》，</w:t>
      </w:r>
      <w:r>
        <w:rPr>
          <w:rFonts w:ascii="宋体" w:hAnsi="宋体" w:cs="宋体" w:eastAsia="宋体" w:hint="default"/>
          <w:sz w:val="24"/>
          <w:szCs w:val="24"/>
        </w:rPr>
        <w:t> </w:t>
      </w:r>
      <w:r>
        <w:rPr>
          <w:rFonts w:ascii="宋体" w:hAnsi="宋体" w:cs="宋体" w:eastAsia="宋体" w:hint="default"/>
          <w:spacing w:val="-3"/>
          <w:sz w:val="24"/>
          <w:szCs w:val="24"/>
        </w:rPr>
        <w:t>在培养、招聘、选拔人才方面，为公司发展提供了人力资源保障，公司的《人力</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pacing w:val="-3"/>
          <w:sz w:val="24"/>
          <w:szCs w:val="24"/>
        </w:rPr>
        <w:t>资源管理制度》和《薪酬绩效管理办法》在人员录用、员工培训、工资薪酬、福</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利保障、绩效考核、内部调动、职务升迁等方面均制定了严格的控制程序。2009</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年，公司全面推行《全员绩效管理制度》，建立了一整套完善的绩效考核体系， 通过自行开发的</w:t>
      </w:r>
      <w:r>
        <w:rPr>
          <w:rFonts w:ascii="宋体" w:hAnsi="宋体" w:cs="宋体" w:eastAsia="宋体" w:hint="default"/>
          <w:spacing w:val="-32"/>
          <w:sz w:val="24"/>
          <w:szCs w:val="24"/>
        </w:rPr>
        <w:t> </w:t>
      </w:r>
      <w:r>
        <w:rPr>
          <w:rFonts w:ascii="宋体" w:hAnsi="宋体" w:cs="宋体" w:eastAsia="宋体" w:hint="default"/>
          <w:sz w:val="24"/>
          <w:szCs w:val="24"/>
        </w:rPr>
        <w:t>PBC</w:t>
      </w:r>
      <w:r>
        <w:rPr>
          <w:rFonts w:ascii="宋体" w:hAnsi="宋体" w:cs="宋体" w:eastAsia="宋体" w:hint="default"/>
          <w:spacing w:val="-32"/>
          <w:sz w:val="24"/>
          <w:szCs w:val="24"/>
        </w:rPr>
        <w:t> </w:t>
      </w:r>
      <w:r>
        <w:rPr>
          <w:rFonts w:ascii="宋体" w:hAnsi="宋体" w:cs="宋体" w:eastAsia="宋体" w:hint="default"/>
          <w:sz w:val="24"/>
          <w:szCs w:val="24"/>
        </w:rPr>
        <w:t>管理软件系统，实施内部网上绩效考评。2009</w:t>
      </w:r>
      <w:r>
        <w:rPr>
          <w:rFonts w:ascii="宋体" w:hAnsi="宋体" w:cs="宋体" w:eastAsia="宋体" w:hint="default"/>
          <w:spacing w:val="-32"/>
          <w:sz w:val="24"/>
          <w:szCs w:val="24"/>
        </w:rPr>
        <w:t> </w:t>
      </w:r>
      <w:r>
        <w:rPr>
          <w:rFonts w:ascii="宋体" w:hAnsi="宋体" w:cs="宋体" w:eastAsia="宋体" w:hint="default"/>
          <w:sz w:val="24"/>
          <w:szCs w:val="24"/>
        </w:rPr>
        <w:t>年公司每一</w:t>
      </w:r>
      <w:r>
        <w:rPr>
          <w:rFonts w:ascii="宋体" w:hAnsi="宋体" w:cs="宋体" w:eastAsia="宋体" w:hint="default"/>
          <w:sz w:val="24"/>
          <w:szCs w:val="24"/>
        </w:rPr>
        <w:t> </w:t>
      </w:r>
      <w:r>
        <w:rPr>
          <w:rFonts w:ascii="宋体" w:hAnsi="宋体" w:cs="宋体" w:eastAsia="宋体" w:hint="default"/>
          <w:spacing w:val="-3"/>
          <w:sz w:val="24"/>
          <w:szCs w:val="24"/>
        </w:rPr>
        <w:t>位员工，每个季度都必须完成</w:t>
      </w:r>
      <w:r>
        <w:rPr>
          <w:rFonts w:ascii="宋体" w:hAnsi="宋体" w:cs="宋体" w:eastAsia="宋体" w:hint="default"/>
          <w:spacing w:val="-55"/>
          <w:sz w:val="24"/>
          <w:szCs w:val="24"/>
        </w:rPr>
        <w:t> </w:t>
      </w:r>
      <w:r>
        <w:rPr>
          <w:rFonts w:ascii="宋体" w:hAnsi="宋体" w:cs="宋体" w:eastAsia="宋体" w:hint="default"/>
          <w:sz w:val="24"/>
          <w:szCs w:val="24"/>
        </w:rPr>
        <w:t>PBC</w:t>
      </w:r>
      <w:r>
        <w:rPr>
          <w:rFonts w:ascii="宋体" w:hAnsi="宋体" w:cs="宋体" w:eastAsia="宋体" w:hint="default"/>
          <w:spacing w:val="-55"/>
          <w:sz w:val="24"/>
          <w:szCs w:val="24"/>
        </w:rPr>
        <w:t> </w:t>
      </w:r>
      <w:r>
        <w:rPr>
          <w:rFonts w:ascii="宋体" w:hAnsi="宋体" w:cs="宋体" w:eastAsia="宋体" w:hint="default"/>
          <w:spacing w:val="-4"/>
          <w:sz w:val="24"/>
          <w:szCs w:val="24"/>
        </w:rPr>
        <w:t>计划和考评，通过网络软件管理平台，实现期</w:t>
      </w:r>
      <w:r>
        <w:rPr>
          <w:rFonts w:ascii="宋体" w:hAnsi="宋体" w:cs="宋体" w:eastAsia="宋体" w:hint="default"/>
          <w:spacing w:val="-108"/>
          <w:sz w:val="24"/>
          <w:szCs w:val="24"/>
        </w:rPr>
        <w:t> </w:t>
      </w:r>
      <w:r>
        <w:rPr>
          <w:rFonts w:ascii="宋体" w:hAnsi="宋体" w:cs="宋体" w:eastAsia="宋体" w:hint="default"/>
          <w:spacing w:val="-108"/>
          <w:sz w:val="24"/>
          <w:szCs w:val="24"/>
        </w:rPr>
      </w:r>
      <w:r>
        <w:rPr>
          <w:rFonts w:ascii="宋体" w:hAnsi="宋体" w:cs="宋体" w:eastAsia="宋体" w:hint="default"/>
          <w:spacing w:val="-3"/>
          <w:sz w:val="24"/>
          <w:szCs w:val="24"/>
        </w:rPr>
        <w:t>初主要目标的制订，工作项目的设计以及期末对本人工作表现的自评和部门经理</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的打分评价，最后各部门按 A、B、C、D</w:t>
      </w:r>
      <w:r>
        <w:rPr>
          <w:rFonts w:ascii="宋体" w:hAnsi="宋体" w:cs="宋体" w:eastAsia="宋体" w:hint="default"/>
          <w:spacing w:val="-94"/>
          <w:sz w:val="24"/>
          <w:szCs w:val="24"/>
        </w:rPr>
        <w:t> </w:t>
      </w:r>
      <w:r>
        <w:rPr>
          <w:rFonts w:ascii="宋体" w:hAnsi="宋体" w:cs="宋体" w:eastAsia="宋体" w:hint="default"/>
          <w:sz w:val="24"/>
          <w:szCs w:val="24"/>
        </w:rPr>
        <w:t>四个等级对每一位员工进行强制排序分</w:t>
      </w:r>
      <w:r>
        <w:rPr>
          <w:rFonts w:ascii="宋体" w:hAnsi="宋体" w:cs="宋体" w:eastAsia="宋体" w:hint="default"/>
          <w:sz w:val="24"/>
          <w:szCs w:val="24"/>
        </w:rPr>
        <w:t> </w:t>
      </w:r>
      <w:r>
        <w:rPr>
          <w:rFonts w:ascii="宋体" w:hAnsi="宋体" w:cs="宋体" w:eastAsia="宋体" w:hint="default"/>
          <w:spacing w:val="-13"/>
          <w:sz w:val="24"/>
          <w:szCs w:val="24"/>
        </w:rPr>
        <w:t>布。本系统目前已经推广至全国分子公司范围内，全面实行《全员绩效管理制度》。</w:t>
      </w:r>
    </w:p>
    <w:p>
      <w:pPr>
        <w:spacing w:line="297" w:lineRule="auto" w:before="174"/>
        <w:ind w:left="119" w:right="237" w:firstLine="482"/>
        <w:jc w:val="both"/>
        <w:rPr>
          <w:rFonts w:ascii="宋体" w:hAnsi="宋体" w:cs="宋体" w:eastAsia="宋体" w:hint="default"/>
          <w:sz w:val="24"/>
          <w:szCs w:val="24"/>
        </w:rPr>
      </w:pPr>
      <w:r>
        <w:rPr>
          <w:rFonts w:ascii="宋体" w:hAnsi="宋体" w:cs="宋体" w:eastAsia="宋体" w:hint="default"/>
          <w:spacing w:val="-3"/>
          <w:sz w:val="24"/>
          <w:szCs w:val="24"/>
        </w:rPr>
        <w:t>11、分支（含分公司、子公司）管理制度。公司建立起一整套分支机构运营</w:t>
      </w:r>
      <w:r>
        <w:rPr>
          <w:rFonts w:ascii="宋体" w:hAnsi="宋体" w:cs="宋体" w:eastAsia="宋体" w:hint="default"/>
          <w:sz w:val="24"/>
          <w:szCs w:val="24"/>
        </w:rPr>
        <w:t> </w:t>
      </w:r>
      <w:r>
        <w:rPr>
          <w:rFonts w:ascii="宋体" w:hAnsi="宋体" w:cs="宋体" w:eastAsia="宋体" w:hint="default"/>
          <w:spacing w:val="-3"/>
          <w:sz w:val="24"/>
          <w:szCs w:val="24"/>
        </w:rPr>
        <w:t>管理制度，公司总部设立分支机构管理总部，全面指导、检查各业务线的工作推</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进，按月、按季、按年检查公布各机构绩效情况，督促业绩达成。同时控制实施</w:t>
      </w:r>
    </w:p>
    <w:p>
      <w:pPr>
        <w:spacing w:after="0" w:line="297" w:lineRule="auto"/>
        <w:jc w:val="both"/>
        <w:rPr>
          <w:rFonts w:ascii="宋体" w:hAnsi="宋体" w:cs="宋体" w:eastAsia="宋体" w:hint="default"/>
          <w:sz w:val="24"/>
          <w:szCs w:val="24"/>
        </w:rPr>
        <w:sectPr>
          <w:headerReference w:type="default" r:id="rId156"/>
          <w:footerReference w:type="default" r:id="rId157"/>
          <w:pgSz w:w="11910" w:h="16840"/>
          <w:pgMar w:header="0" w:footer="975" w:top="1440" w:bottom="1160" w:left="1680" w:right="1560"/>
          <w:pgNumType w:start="5"/>
        </w:sectPr>
      </w:pPr>
    </w:p>
    <w:p>
      <w:pPr>
        <w:pStyle w:val="Heading7"/>
        <w:spacing w:line="297" w:lineRule="auto"/>
        <w:ind w:left="120" w:right="100"/>
        <w:jc w:val="left"/>
        <w:rPr>
          <w:rFonts w:ascii="宋体" w:hAnsi="宋体" w:cs="宋体" w:eastAsia="宋体" w:hint="default"/>
        </w:rPr>
      </w:pPr>
      <w:r>
        <w:rPr>
          <w:rFonts w:ascii="宋体" w:hAnsi="宋体" w:cs="宋体" w:eastAsia="宋体" w:hint="default"/>
        </w:rPr>
        <w:t>授权与审核批准制度，按照规定的权限和程序办理分支机构运营业务。2009</w:t>
      </w:r>
      <w:r>
        <w:rPr>
          <w:rFonts w:ascii="宋体" w:hAnsi="宋体" w:cs="宋体" w:eastAsia="宋体" w:hint="default"/>
          <w:spacing w:val="2"/>
        </w:rPr>
        <w:t> </w:t>
      </w:r>
      <w:r>
        <w:rPr>
          <w:rFonts w:ascii="宋体" w:hAnsi="宋体" w:cs="宋体" w:eastAsia="宋体" w:hint="default"/>
        </w:rPr>
        <w:t>年</w:t>
      </w:r>
      <w:r>
        <w:rPr>
          <w:rFonts w:ascii="宋体" w:hAnsi="宋体" w:cs="宋体" w:eastAsia="宋体" w:hint="default"/>
        </w:rPr>
        <w:t> </w:t>
      </w:r>
      <w:r>
        <w:rPr>
          <w:rFonts w:ascii="宋体" w:hAnsi="宋体" w:cs="宋体" w:eastAsia="宋体" w:hint="default"/>
          <w:spacing w:val="-6"/>
        </w:rPr>
        <w:t>开发并完善了客户销售管理平台，建立起全国统一的项目报备、签单、审批系统，</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加强对各分支机构重大合同、重大资产的控制力度。通过常规的内部例行审计， 对分支机构开展全面、有效的监督检查，确保机构业务正常运行。</w:t>
      </w:r>
    </w:p>
    <w:p>
      <w:pPr>
        <w:spacing w:line="292" w:lineRule="auto" w:before="174"/>
        <w:ind w:left="120" w:right="100" w:firstLine="482"/>
        <w:jc w:val="left"/>
        <w:rPr>
          <w:rFonts w:ascii="宋体" w:hAnsi="宋体" w:cs="宋体" w:eastAsia="宋体" w:hint="default"/>
          <w:sz w:val="24"/>
          <w:szCs w:val="24"/>
        </w:rPr>
      </w:pPr>
      <w:r>
        <w:rPr>
          <w:rFonts w:ascii="宋体" w:hAnsi="宋体" w:cs="宋体" w:eastAsia="宋体" w:hint="default"/>
          <w:sz w:val="24"/>
          <w:szCs w:val="24"/>
        </w:rPr>
        <w:t>12、信息技术管理制度。2009</w:t>
      </w:r>
      <w:r>
        <w:rPr>
          <w:rFonts w:ascii="宋体" w:hAnsi="宋体" w:cs="宋体" w:eastAsia="宋体" w:hint="default"/>
          <w:spacing w:val="1"/>
          <w:sz w:val="24"/>
          <w:szCs w:val="24"/>
        </w:rPr>
        <w:t> </w:t>
      </w:r>
      <w:r>
        <w:rPr>
          <w:rFonts w:ascii="宋体" w:hAnsi="宋体" w:cs="宋体" w:eastAsia="宋体" w:hint="default"/>
          <w:sz w:val="24"/>
          <w:szCs w:val="24"/>
        </w:rPr>
        <w:t>年按照财政部《企业内部控制应用指引》文</w:t>
      </w:r>
      <w:r>
        <w:rPr>
          <w:rFonts w:ascii="宋体" w:hAnsi="宋体" w:cs="宋体" w:eastAsia="宋体" w:hint="default"/>
          <w:sz w:val="24"/>
          <w:szCs w:val="24"/>
        </w:rPr>
        <w:t> </w:t>
      </w:r>
      <w:r>
        <w:rPr>
          <w:rFonts w:ascii="宋体" w:hAnsi="宋体" w:cs="宋体" w:eastAsia="宋体" w:hint="default"/>
          <w:spacing w:val="-3"/>
          <w:sz w:val="24"/>
          <w:szCs w:val="24"/>
        </w:rPr>
        <w:t>件要求，公司从法律合规性、资产等级划分、访问权限控制、基础安全加固、终</w:t>
      </w:r>
      <w:r>
        <w:rPr>
          <w:rFonts w:ascii="宋体" w:hAnsi="宋体" w:cs="宋体" w:eastAsia="宋体" w:hint="default"/>
          <w:spacing w:val="-113"/>
          <w:sz w:val="24"/>
          <w:szCs w:val="24"/>
        </w:rPr>
        <w:t> </w:t>
      </w:r>
      <w:r>
        <w:rPr>
          <w:rFonts w:ascii="宋体" w:hAnsi="宋体" w:cs="宋体" w:eastAsia="宋体" w:hint="default"/>
          <w:spacing w:val="-113"/>
          <w:sz w:val="24"/>
          <w:szCs w:val="24"/>
        </w:rPr>
      </w:r>
      <w:r>
        <w:rPr>
          <w:rFonts w:ascii="宋体" w:hAnsi="宋体" w:cs="宋体" w:eastAsia="宋体" w:hint="default"/>
          <w:spacing w:val="-6"/>
          <w:sz w:val="24"/>
          <w:szCs w:val="24"/>
        </w:rPr>
        <w:t>端应用限制方面对信息系统设计、开发、使用、运维进行管理，修订了相关制度，</w:t>
      </w:r>
      <w:r>
        <w:rPr>
          <w:rFonts w:ascii="宋体" w:hAnsi="宋体" w:cs="宋体" w:eastAsia="宋体" w:hint="default"/>
          <w:sz w:val="24"/>
          <w:szCs w:val="24"/>
        </w:rPr>
        <w:t> 并启用了对应控制执行流程；</w:t>
      </w:r>
      <w:r>
        <w:rPr>
          <w:rFonts w:ascii="Times New Roman" w:hAnsi="Times New Roman" w:cs="Times New Roman" w:eastAsia="Times New Roman" w:hint="default"/>
          <w:sz w:val="24"/>
          <w:szCs w:val="24"/>
        </w:rPr>
        <w:t>2009</w:t>
      </w:r>
      <w:r>
        <w:rPr>
          <w:rFonts w:ascii="Times New Roman" w:hAnsi="Times New Roman" w:cs="Times New Roman" w:eastAsia="Times New Roman" w:hint="default"/>
          <w:spacing w:val="59"/>
          <w:sz w:val="24"/>
          <w:szCs w:val="24"/>
        </w:rPr>
        <w:t> </w:t>
      </w:r>
      <w:r>
        <w:rPr>
          <w:rFonts w:ascii="宋体" w:hAnsi="宋体" w:cs="宋体" w:eastAsia="宋体" w:hint="default"/>
          <w:sz w:val="24"/>
          <w:szCs w:val="24"/>
        </w:rPr>
        <w:t>年重点完善基础安全加固，启用了高性能防 火墙和入侵防护系统，同时建立并完善了公司全国专网的建设和性能优化工作。</w:t>
      </w:r>
    </w:p>
    <w:p>
      <w:pPr>
        <w:spacing w:line="292" w:lineRule="auto" w:before="179"/>
        <w:ind w:left="119" w:right="101" w:firstLine="482"/>
        <w:jc w:val="left"/>
        <w:rPr>
          <w:rFonts w:ascii="宋体" w:hAnsi="宋体" w:cs="宋体" w:eastAsia="宋体" w:hint="default"/>
          <w:sz w:val="24"/>
          <w:szCs w:val="24"/>
        </w:rPr>
      </w:pPr>
      <w:r>
        <w:rPr>
          <w:rFonts w:ascii="宋体" w:hAnsi="宋体" w:cs="宋体" w:eastAsia="宋体" w:hint="default"/>
          <w:spacing w:val="-3"/>
          <w:sz w:val="24"/>
          <w:szCs w:val="24"/>
        </w:rPr>
        <w:t>13、企业管理制度。公司设立营销管理委员会、产品管理委员会等专业组织</w:t>
      </w:r>
      <w:r>
        <w:rPr>
          <w:rFonts w:ascii="宋体" w:hAnsi="宋体" w:cs="宋体" w:eastAsia="宋体" w:hint="default"/>
          <w:sz w:val="24"/>
          <w:szCs w:val="24"/>
        </w:rPr>
        <w:t> 整体控制公司销售和研发风险，公司进一步组织发布了《公司 </w:t>
      </w:r>
      <w:r>
        <w:rPr>
          <w:rFonts w:ascii="Times New Roman" w:hAnsi="Times New Roman" w:cs="Times New Roman" w:eastAsia="Times New Roman" w:hint="default"/>
          <w:sz w:val="24"/>
          <w:szCs w:val="24"/>
        </w:rPr>
        <w:t>2009</w:t>
      </w:r>
      <w:r>
        <w:rPr>
          <w:rFonts w:ascii="Times New Roman" w:hAnsi="Times New Roman" w:cs="Times New Roman" w:eastAsia="Times New Roman" w:hint="default"/>
          <w:spacing w:val="-34"/>
          <w:sz w:val="24"/>
          <w:szCs w:val="24"/>
        </w:rPr>
        <w:t> </w:t>
      </w:r>
      <w:r>
        <w:rPr>
          <w:rFonts w:ascii="宋体" w:hAnsi="宋体" w:cs="宋体" w:eastAsia="宋体" w:hint="default"/>
          <w:sz w:val="24"/>
          <w:szCs w:val="24"/>
        </w:rPr>
        <w:t>年度总裁办 </w:t>
      </w:r>
      <w:r>
        <w:rPr>
          <w:rFonts w:ascii="宋体" w:hAnsi="宋体" w:cs="宋体" w:eastAsia="宋体" w:hint="default"/>
          <w:spacing w:val="-3"/>
          <w:sz w:val="24"/>
          <w:szCs w:val="24"/>
        </w:rPr>
        <w:t>公会管理制度》，加强管理层的内部直接沟通协调机制；在业务推动方面，制定</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6"/>
          <w:sz w:val="24"/>
          <w:szCs w:val="24"/>
        </w:rPr>
        <w:t>并发布《</w:t>
      </w:r>
      <w:r>
        <w:rPr>
          <w:rFonts w:ascii="Times New Roman" w:hAnsi="Times New Roman" w:cs="Times New Roman" w:eastAsia="Times New Roman" w:hint="default"/>
          <w:spacing w:val="-6"/>
          <w:sz w:val="24"/>
          <w:szCs w:val="24"/>
        </w:rPr>
        <w:t>2009</w:t>
      </w:r>
      <w:r>
        <w:rPr>
          <w:rFonts w:ascii="Times New Roman" w:hAnsi="Times New Roman" w:cs="Times New Roman" w:eastAsia="Times New Roman" w:hint="default"/>
          <w:spacing w:val="4"/>
          <w:sz w:val="24"/>
          <w:szCs w:val="24"/>
        </w:rPr>
        <w:t> </w:t>
      </w:r>
      <w:r>
        <w:rPr>
          <w:rFonts w:ascii="宋体" w:hAnsi="宋体" w:cs="宋体" w:eastAsia="宋体" w:hint="default"/>
          <w:spacing w:val="-7"/>
          <w:sz w:val="24"/>
          <w:szCs w:val="24"/>
        </w:rPr>
        <w:t>年公司定额完成率标准》，明确业绩目标；核定发布了《公司</w:t>
      </w:r>
      <w:r>
        <w:rPr>
          <w:rFonts w:ascii="宋体" w:hAnsi="宋体" w:cs="宋体" w:eastAsia="宋体" w:hint="default"/>
          <w:spacing w:val="-56"/>
          <w:sz w:val="24"/>
          <w:szCs w:val="24"/>
        </w:rPr>
        <w:t> </w:t>
      </w:r>
      <w:r>
        <w:rPr>
          <w:rFonts w:ascii="Times New Roman" w:hAnsi="Times New Roman" w:cs="Times New Roman" w:eastAsia="Times New Roman" w:hint="default"/>
          <w:sz w:val="24"/>
          <w:szCs w:val="24"/>
        </w:rPr>
        <w:t>2009</w:t>
      </w:r>
      <w:r>
        <w:rPr>
          <w:rFonts w:ascii="Times New Roman" w:hAnsi="Times New Roman" w:cs="Times New Roman" w:eastAsia="Times New Roman" w:hint="default"/>
          <w:spacing w:val="-51"/>
          <w:sz w:val="24"/>
          <w:szCs w:val="24"/>
        </w:rPr>
        <w:t> </w:t>
      </w:r>
      <w:r>
        <w:rPr>
          <w:rFonts w:ascii="宋体" w:hAnsi="宋体" w:cs="宋体" w:eastAsia="宋体" w:hint="default"/>
          <w:spacing w:val="-3"/>
          <w:sz w:val="24"/>
          <w:szCs w:val="24"/>
        </w:rPr>
        <w:t>年度组织绩效考核制度》，激发并提升组织工作绩效；更新完善了《公司实施项</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7"/>
          <w:sz w:val="24"/>
          <w:szCs w:val="24"/>
        </w:rPr>
        <w:t>目管理制度》、《公司实施开发合作伙伴业务管理办法》，有效地控制项目风险，</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保障公司及客户利益。</w:t>
      </w:r>
    </w:p>
    <w:p>
      <w:pPr>
        <w:spacing w:line="297" w:lineRule="auto" w:before="179"/>
        <w:ind w:left="119" w:right="234" w:firstLine="482"/>
        <w:jc w:val="both"/>
        <w:rPr>
          <w:rFonts w:ascii="宋体" w:hAnsi="宋体" w:cs="宋体" w:eastAsia="宋体" w:hint="default"/>
          <w:sz w:val="24"/>
          <w:szCs w:val="24"/>
        </w:rPr>
      </w:pPr>
      <w:r>
        <w:rPr>
          <w:rFonts w:ascii="宋体" w:hAnsi="宋体" w:cs="宋体" w:eastAsia="宋体" w:hint="default"/>
          <w:spacing w:val="-4"/>
          <w:sz w:val="24"/>
          <w:szCs w:val="24"/>
        </w:rPr>
        <w:t>14、关联交易控制制度。根据《公司法》的有关规定，公司制定了《关联交</w:t>
      </w:r>
      <w:r>
        <w:rPr>
          <w:rFonts w:ascii="宋体" w:hAnsi="宋体" w:cs="宋体" w:eastAsia="宋体" w:hint="default"/>
          <w:spacing w:val="-1"/>
          <w:sz w:val="24"/>
          <w:szCs w:val="24"/>
        </w:rPr>
        <w:t> </w:t>
      </w:r>
      <w:r>
        <w:rPr>
          <w:rFonts w:ascii="宋体" w:hAnsi="宋体" w:cs="宋体" w:eastAsia="宋体" w:hint="default"/>
          <w:spacing w:val="-3"/>
          <w:sz w:val="24"/>
          <w:szCs w:val="24"/>
        </w:rPr>
        <w:t>易制度》，明确了关联交易的内容、定价原则、决策程序和审批权限，做到了关</w:t>
      </w:r>
      <w:r>
        <w:rPr>
          <w:rFonts w:ascii="宋体" w:hAnsi="宋体" w:cs="宋体" w:eastAsia="宋体" w:hint="default"/>
          <w:spacing w:val="-113"/>
          <w:sz w:val="24"/>
          <w:szCs w:val="24"/>
        </w:rPr>
        <w:t> </w:t>
      </w:r>
      <w:r>
        <w:rPr>
          <w:rFonts w:ascii="宋体" w:hAnsi="宋体" w:cs="宋体" w:eastAsia="宋体" w:hint="default"/>
          <w:spacing w:val="-113"/>
          <w:sz w:val="24"/>
          <w:szCs w:val="24"/>
        </w:rPr>
      </w:r>
      <w:r>
        <w:rPr>
          <w:rFonts w:ascii="宋体" w:hAnsi="宋体" w:cs="宋体" w:eastAsia="宋体" w:hint="default"/>
          <w:sz w:val="24"/>
          <w:szCs w:val="24"/>
        </w:rPr>
        <w:t>联交易的公平和公允性，有效地维护股东和公司的利益。</w:t>
      </w:r>
    </w:p>
    <w:p>
      <w:pPr>
        <w:spacing w:line="297" w:lineRule="auto" w:before="174"/>
        <w:ind w:left="119" w:right="235" w:firstLine="482"/>
        <w:jc w:val="both"/>
        <w:rPr>
          <w:rFonts w:ascii="宋体" w:hAnsi="宋体" w:cs="宋体" w:eastAsia="宋体" w:hint="default"/>
          <w:sz w:val="24"/>
          <w:szCs w:val="24"/>
        </w:rPr>
      </w:pPr>
      <w:r>
        <w:rPr>
          <w:rFonts w:ascii="宋体" w:hAnsi="宋体" w:cs="宋体" w:eastAsia="宋体" w:hint="default"/>
          <w:spacing w:val="-4"/>
          <w:sz w:val="24"/>
          <w:szCs w:val="24"/>
        </w:rPr>
        <w:t>15、对外担保控制。根据《公司法》要求，在《公司章程》中严格规定了对</w:t>
      </w:r>
      <w:r>
        <w:rPr>
          <w:rFonts w:ascii="宋体" w:hAnsi="宋体" w:cs="宋体" w:eastAsia="宋体" w:hint="default"/>
          <w:spacing w:val="-1"/>
          <w:sz w:val="24"/>
          <w:szCs w:val="24"/>
        </w:rPr>
        <w:t> </w:t>
      </w:r>
      <w:r>
        <w:rPr>
          <w:rFonts w:ascii="宋体" w:hAnsi="宋体" w:cs="宋体" w:eastAsia="宋体" w:hint="default"/>
          <w:spacing w:val="-3"/>
          <w:sz w:val="24"/>
          <w:szCs w:val="24"/>
        </w:rPr>
        <w:t>外担保的审批程序和审批权限，严禁分支机构开展此类业务，有效地防范了公司</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对外担保风险。</w:t>
      </w:r>
    </w:p>
    <w:p>
      <w:pPr>
        <w:spacing w:line="546" w:lineRule="exact" w:before="18"/>
        <w:ind w:left="602" w:right="101" w:hanging="363"/>
        <w:jc w:val="left"/>
        <w:rPr>
          <w:rFonts w:ascii="宋体" w:hAnsi="宋体" w:cs="宋体" w:eastAsia="宋体" w:hint="default"/>
          <w:sz w:val="24"/>
          <w:szCs w:val="24"/>
        </w:rPr>
      </w:pPr>
      <w:r>
        <w:rPr>
          <w:rFonts w:ascii="宋体" w:hAnsi="宋体" w:cs="宋体" w:eastAsia="宋体" w:hint="default"/>
          <w:sz w:val="24"/>
          <w:szCs w:val="24"/>
        </w:rPr>
        <w:t>（四）信息与沟通 </w:t>
      </w:r>
      <w:r>
        <w:rPr>
          <w:rFonts w:ascii="宋体" w:hAnsi="宋体" w:cs="宋体" w:eastAsia="宋体" w:hint="default"/>
          <w:spacing w:val="-4"/>
          <w:sz w:val="24"/>
          <w:szCs w:val="24"/>
        </w:rPr>
        <w:t>公司已建立起较为全面的经营信息采集、整理、分析、传递系统，包括：销</w:t>
      </w:r>
    </w:p>
    <w:p>
      <w:pPr>
        <w:spacing w:line="297" w:lineRule="auto" w:before="0"/>
        <w:ind w:left="119" w:right="235" w:firstLine="0"/>
        <w:jc w:val="both"/>
        <w:rPr>
          <w:rFonts w:ascii="宋体" w:hAnsi="宋体" w:cs="宋体" w:eastAsia="宋体" w:hint="default"/>
          <w:sz w:val="24"/>
          <w:szCs w:val="24"/>
        </w:rPr>
      </w:pPr>
      <w:r>
        <w:rPr>
          <w:rFonts w:ascii="宋体" w:hAnsi="宋体" w:cs="宋体" w:eastAsia="宋体" w:hint="default"/>
          <w:sz w:val="24"/>
          <w:szCs w:val="24"/>
        </w:rPr>
        <w:t>售管理系统、服务监督管理系统、呼叫中心等。2009</w:t>
      </w:r>
      <w:r>
        <w:rPr>
          <w:rFonts w:ascii="宋体" w:hAnsi="宋体" w:cs="宋体" w:eastAsia="宋体" w:hint="default"/>
          <w:spacing w:val="2"/>
          <w:sz w:val="24"/>
          <w:szCs w:val="24"/>
        </w:rPr>
        <w:t> </w:t>
      </w:r>
      <w:r>
        <w:rPr>
          <w:rFonts w:ascii="宋体" w:hAnsi="宋体" w:cs="宋体" w:eastAsia="宋体" w:hint="default"/>
          <w:sz w:val="24"/>
          <w:szCs w:val="24"/>
        </w:rPr>
        <w:t>年公司全面推行客户信息</w:t>
      </w:r>
      <w:r>
        <w:rPr>
          <w:rFonts w:ascii="宋体" w:hAnsi="宋体" w:cs="宋体" w:eastAsia="宋体" w:hint="default"/>
          <w:sz w:val="24"/>
          <w:szCs w:val="24"/>
        </w:rPr>
        <w:t> </w:t>
      </w:r>
      <w:r>
        <w:rPr>
          <w:rFonts w:ascii="宋体" w:hAnsi="宋体" w:cs="宋体" w:eastAsia="宋体" w:hint="default"/>
          <w:spacing w:val="-3"/>
          <w:sz w:val="24"/>
          <w:szCs w:val="24"/>
        </w:rPr>
        <w:t>销售管理平台，使得全国范围内的客户信息、业务项目都可以动态及时地集中反</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馈，利于管理层有效分配资源，并针对可疑的不恰当事项和行为建立及时有效的</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沟通渠道和机制，真正实现通过信息系统，合理分配公司人力、财力资源。公司</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内部网络信息管理平台，使得员工与管理层之间的信息传递更迅速、顺畅，沟通</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更便捷、有效。</w:t>
      </w:r>
    </w:p>
    <w:p>
      <w:pPr>
        <w:spacing w:line="417" w:lineRule="auto" w:before="174"/>
        <w:ind w:left="599" w:right="365" w:hanging="360"/>
        <w:jc w:val="left"/>
        <w:rPr>
          <w:rFonts w:ascii="宋体" w:hAnsi="宋体" w:cs="宋体" w:eastAsia="宋体" w:hint="default"/>
          <w:sz w:val="24"/>
          <w:szCs w:val="24"/>
        </w:rPr>
      </w:pPr>
      <w:r>
        <w:rPr>
          <w:rFonts w:ascii="宋体" w:hAnsi="宋体" w:cs="宋体" w:eastAsia="宋体" w:hint="default"/>
          <w:sz w:val="24"/>
          <w:szCs w:val="24"/>
        </w:rPr>
        <w:t>（五）内部监督 公司监事会负责对董事会建立与实施内部控制和经理层组织领导内部控制</w:t>
      </w:r>
    </w:p>
    <w:p>
      <w:pPr>
        <w:spacing w:after="0" w:line="417" w:lineRule="auto"/>
        <w:jc w:val="left"/>
        <w:rPr>
          <w:rFonts w:ascii="宋体" w:hAnsi="宋体" w:cs="宋体" w:eastAsia="宋体" w:hint="default"/>
          <w:sz w:val="24"/>
          <w:szCs w:val="24"/>
        </w:rPr>
        <w:sectPr>
          <w:headerReference w:type="default" r:id="rId158"/>
          <w:footerReference w:type="default" r:id="rId159"/>
          <w:pgSz w:w="11910" w:h="16840"/>
          <w:pgMar w:header="0" w:footer="975" w:top="1440" w:bottom="1160" w:left="1680" w:right="1560"/>
          <w:pgNumType w:start="6"/>
        </w:sectPr>
      </w:pPr>
    </w:p>
    <w:p>
      <w:pPr>
        <w:pStyle w:val="Heading7"/>
        <w:spacing w:line="297" w:lineRule="auto"/>
        <w:ind w:left="120" w:right="237"/>
        <w:jc w:val="both"/>
        <w:rPr>
          <w:rFonts w:ascii="宋体" w:hAnsi="宋体" w:cs="宋体" w:eastAsia="宋体" w:hint="default"/>
        </w:rPr>
      </w:pPr>
      <w:r>
        <w:rPr>
          <w:rFonts w:ascii="宋体" w:hAnsi="宋体" w:cs="宋体" w:eastAsia="宋体" w:hint="default"/>
          <w:spacing w:val="-3"/>
        </w:rPr>
        <w:t>的日常运行进行监督，董事会审计委员会负责审查和监督内部控制的建立和有效</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实施情况。公司制定了《内部审计制度》，设立了审计监察部，配备专职内部审</w:t>
      </w:r>
      <w:r>
        <w:rPr>
          <w:rFonts w:ascii="宋体" w:hAnsi="宋体" w:cs="宋体" w:eastAsia="宋体" w:hint="default"/>
          <w:spacing w:val="-114"/>
        </w:rPr>
        <w:t> </w:t>
      </w:r>
      <w:r>
        <w:rPr>
          <w:rFonts w:ascii="宋体" w:hAnsi="宋体" w:cs="宋体" w:eastAsia="宋体" w:hint="default"/>
          <w:spacing w:val="-114"/>
        </w:rPr>
      </w:r>
      <w:r>
        <w:rPr>
          <w:rFonts w:ascii="宋体" w:hAnsi="宋体" w:cs="宋体" w:eastAsia="宋体" w:hint="default"/>
          <w:spacing w:val="-3"/>
        </w:rPr>
        <w:t>计人员，明确了审计监察部在内部监督中的职责权限，尤其是在内部控制中的监</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督职责和权限，规范了内部监督的相关程序、方法和要求，内部审计在公司经营</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管理及内部控制的监督中发挥着重要的作用。</w:t>
      </w:r>
    </w:p>
    <w:p>
      <w:pPr>
        <w:spacing w:before="174"/>
        <w:ind w:left="600" w:right="101" w:firstLine="0"/>
        <w:jc w:val="left"/>
        <w:rPr>
          <w:rFonts w:ascii="黑体" w:hAnsi="黑体" w:cs="黑体" w:eastAsia="黑体" w:hint="default"/>
          <w:sz w:val="24"/>
          <w:szCs w:val="24"/>
        </w:rPr>
      </w:pPr>
      <w:r>
        <w:rPr>
          <w:rFonts w:ascii="黑体" w:hAnsi="黑体" w:cs="黑体" w:eastAsia="黑体" w:hint="default"/>
          <w:sz w:val="24"/>
          <w:szCs w:val="24"/>
        </w:rPr>
        <w:t>三、对公司内部控制有效性的总体评价</w:t>
      </w:r>
    </w:p>
    <w:p>
      <w:pPr>
        <w:spacing w:line="240" w:lineRule="auto" w:before="9"/>
        <w:rPr>
          <w:rFonts w:ascii="黑体" w:hAnsi="黑体" w:cs="黑体" w:eastAsia="黑体" w:hint="default"/>
          <w:sz w:val="17"/>
          <w:szCs w:val="17"/>
        </w:rPr>
      </w:pPr>
    </w:p>
    <w:p>
      <w:pPr>
        <w:spacing w:line="297" w:lineRule="auto" w:before="0"/>
        <w:ind w:left="120" w:right="237" w:firstLine="480"/>
        <w:jc w:val="both"/>
        <w:rPr>
          <w:rFonts w:ascii="宋体" w:hAnsi="宋体" w:cs="宋体" w:eastAsia="宋体" w:hint="default"/>
          <w:sz w:val="24"/>
          <w:szCs w:val="24"/>
        </w:rPr>
      </w:pPr>
      <w:r>
        <w:rPr>
          <w:rFonts w:ascii="宋体" w:hAnsi="宋体" w:cs="宋体" w:eastAsia="宋体" w:hint="default"/>
          <w:sz w:val="24"/>
          <w:szCs w:val="24"/>
        </w:rPr>
        <w:t>公司董事会对 2009</w:t>
      </w:r>
      <w:r>
        <w:rPr>
          <w:rFonts w:ascii="宋体" w:hAnsi="宋体" w:cs="宋体" w:eastAsia="宋体" w:hint="default"/>
          <w:spacing w:val="-94"/>
          <w:sz w:val="24"/>
          <w:szCs w:val="24"/>
        </w:rPr>
        <w:t> </w:t>
      </w:r>
      <w:r>
        <w:rPr>
          <w:rFonts w:ascii="宋体" w:hAnsi="宋体" w:cs="宋体" w:eastAsia="宋体" w:hint="default"/>
          <w:sz w:val="24"/>
          <w:szCs w:val="24"/>
        </w:rPr>
        <w:t>年度上述所有方面的内部控制进行了自我评估，未发现</w:t>
      </w:r>
      <w:r>
        <w:rPr>
          <w:rFonts w:ascii="宋体" w:hAnsi="宋体" w:cs="宋体" w:eastAsia="宋体" w:hint="default"/>
          <w:sz w:val="24"/>
          <w:szCs w:val="24"/>
        </w:rPr>
        <w:t> 本公司存在内部控制设计或执行方面的重大缺陷。</w:t>
      </w:r>
    </w:p>
    <w:p>
      <w:pPr>
        <w:spacing w:line="297" w:lineRule="auto" w:before="174"/>
        <w:ind w:left="120" w:right="100" w:firstLine="480"/>
        <w:jc w:val="left"/>
        <w:rPr>
          <w:rFonts w:ascii="宋体" w:hAnsi="宋体" w:cs="宋体" w:eastAsia="宋体" w:hint="default"/>
          <w:sz w:val="24"/>
          <w:szCs w:val="24"/>
        </w:rPr>
      </w:pPr>
      <w:r>
        <w:rPr>
          <w:rFonts w:ascii="宋体" w:hAnsi="宋体" w:cs="宋体" w:eastAsia="宋体" w:hint="default"/>
          <w:spacing w:val="-3"/>
          <w:sz w:val="24"/>
          <w:szCs w:val="24"/>
        </w:rPr>
        <w:t>公司董事会认为：公司制定了完整、合理、有效的、符合公司业务运行状况</w:t>
      </w:r>
      <w:r>
        <w:rPr>
          <w:rFonts w:ascii="宋体" w:hAnsi="宋体" w:cs="宋体" w:eastAsia="宋体" w:hint="default"/>
          <w:sz w:val="24"/>
          <w:szCs w:val="24"/>
        </w:rPr>
        <w:t> </w:t>
      </w:r>
      <w:r>
        <w:rPr>
          <w:rFonts w:ascii="宋体" w:hAnsi="宋体" w:cs="宋体" w:eastAsia="宋体" w:hint="default"/>
          <w:spacing w:val="-3"/>
          <w:sz w:val="24"/>
          <w:szCs w:val="24"/>
        </w:rPr>
        <w:t>的内部控制制度；公司内部控制制度在报告期内得到了有效地执行，能够合理保</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6"/>
          <w:sz w:val="24"/>
          <w:szCs w:val="24"/>
        </w:rPr>
        <w:t>证内部控制目标的实现。公司组织机构部门健全，职责明确；运营管理状况良好；</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3"/>
          <w:sz w:val="24"/>
          <w:szCs w:val="24"/>
        </w:rPr>
        <w:t>会计信息和相关经济信息的报告制度健全；财务凭证制度健全，凭证的填制、传</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递和保管具有严格的程序；公司员工具备必要的知识水平和业务技能；对财产物</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资建立了定期盘点制度，对重要的业务活动建立了事后核对制度；公司建立了严</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格的经济责任制和岗位责任制；对各项业务活动的程序做出明确规定，并具有明</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6"/>
          <w:sz w:val="24"/>
          <w:szCs w:val="24"/>
        </w:rPr>
        <w:t>晰的业务流程图；对采购、销售、安全、质量等各个关键控制点均设有控制措施。</w:t>
      </w:r>
    </w:p>
    <w:p>
      <w:pPr>
        <w:spacing w:line="297" w:lineRule="auto" w:before="174"/>
        <w:ind w:left="120" w:right="237" w:firstLine="480"/>
        <w:jc w:val="both"/>
        <w:rPr>
          <w:rFonts w:ascii="宋体" w:hAnsi="宋体" w:cs="宋体" w:eastAsia="宋体" w:hint="default"/>
          <w:sz w:val="24"/>
          <w:szCs w:val="24"/>
        </w:rPr>
      </w:pPr>
      <w:r>
        <w:rPr>
          <w:rFonts w:ascii="宋体" w:hAnsi="宋体" w:cs="宋体" w:eastAsia="宋体" w:hint="default"/>
          <w:spacing w:val="-3"/>
          <w:sz w:val="24"/>
          <w:szCs w:val="24"/>
        </w:rPr>
        <w:t>对照五部委新发布的《企业内部控制基本规范》，2009年度，公司采取了更</w:t>
      </w:r>
      <w:r>
        <w:rPr>
          <w:rFonts w:ascii="宋体" w:hAnsi="宋体" w:cs="宋体" w:eastAsia="宋体" w:hint="default"/>
          <w:sz w:val="24"/>
          <w:szCs w:val="24"/>
        </w:rPr>
        <w:t> </w:t>
      </w:r>
      <w:r>
        <w:rPr>
          <w:rFonts w:ascii="宋体" w:hAnsi="宋体" w:cs="宋体" w:eastAsia="宋体" w:hint="default"/>
          <w:spacing w:val="-3"/>
          <w:sz w:val="24"/>
          <w:szCs w:val="24"/>
        </w:rPr>
        <w:t>多更新的措施，进一步优化内部管理控制制度。我们认为，公司的内部控制措施</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与执行,在公司各重大关键控制方面是有效的。</w:t>
      </w:r>
    </w:p>
    <w:p>
      <w:pPr>
        <w:spacing w:line="297" w:lineRule="auto" w:before="174"/>
        <w:ind w:left="120" w:right="237" w:firstLine="480"/>
        <w:jc w:val="both"/>
        <w:rPr>
          <w:rFonts w:ascii="宋体" w:hAnsi="宋体" w:cs="宋体" w:eastAsia="宋体" w:hint="default"/>
          <w:sz w:val="24"/>
          <w:szCs w:val="24"/>
        </w:rPr>
      </w:pPr>
      <w:r>
        <w:rPr>
          <w:rFonts w:ascii="宋体" w:hAnsi="宋体" w:cs="宋体" w:eastAsia="宋体" w:hint="default"/>
          <w:sz w:val="24"/>
          <w:szCs w:val="24"/>
        </w:rPr>
        <w:t>本报告已于</w:t>
      </w:r>
      <w:r>
        <w:rPr>
          <w:rFonts w:ascii="宋体" w:hAnsi="宋体" w:cs="宋体" w:eastAsia="宋体" w:hint="default"/>
          <w:spacing w:val="-65"/>
          <w:sz w:val="24"/>
          <w:szCs w:val="24"/>
        </w:rPr>
        <w:t> </w:t>
      </w:r>
      <w:r>
        <w:rPr>
          <w:rFonts w:ascii="宋体" w:hAnsi="宋体" w:cs="宋体" w:eastAsia="宋体" w:hint="default"/>
          <w:sz w:val="24"/>
          <w:szCs w:val="24"/>
        </w:rPr>
        <w:t>2010 </w:t>
      </w:r>
      <w:r>
        <w:rPr>
          <w:rFonts w:ascii="宋体" w:hAnsi="宋体" w:cs="宋体" w:eastAsia="宋体" w:hint="default"/>
          <w:spacing w:val="36"/>
          <w:sz w:val="24"/>
          <w:szCs w:val="24"/>
        </w:rPr>
        <w:t>年3月</w:t>
      </w:r>
      <w:r>
        <w:rPr>
          <w:rFonts w:ascii="宋体" w:hAnsi="宋体" w:cs="宋体" w:eastAsia="宋体" w:hint="default"/>
          <w:spacing w:val="-65"/>
          <w:sz w:val="24"/>
          <w:szCs w:val="24"/>
        </w:rPr>
        <w:t> </w:t>
      </w:r>
      <w:r>
        <w:rPr>
          <w:rFonts w:ascii="宋体" w:hAnsi="宋体" w:cs="宋体" w:eastAsia="宋体" w:hint="default"/>
          <w:sz w:val="24"/>
          <w:szCs w:val="24"/>
        </w:rPr>
        <w:t>20</w:t>
      </w:r>
      <w:r>
        <w:rPr>
          <w:rFonts w:ascii="宋体" w:hAnsi="宋体" w:cs="宋体" w:eastAsia="宋体" w:hint="default"/>
          <w:spacing w:val="-65"/>
          <w:sz w:val="24"/>
          <w:szCs w:val="24"/>
        </w:rPr>
        <w:t> </w:t>
      </w:r>
      <w:r>
        <w:rPr>
          <w:rFonts w:ascii="宋体" w:hAnsi="宋体" w:cs="宋体" w:eastAsia="宋体" w:hint="default"/>
          <w:sz w:val="24"/>
          <w:szCs w:val="24"/>
        </w:rPr>
        <w:t>日经公司第四届董事会</w:t>
      </w:r>
      <w:r>
        <w:rPr>
          <w:rFonts w:ascii="宋体" w:hAnsi="宋体" w:cs="宋体" w:eastAsia="宋体" w:hint="default"/>
          <w:spacing w:val="-65"/>
          <w:sz w:val="24"/>
          <w:szCs w:val="24"/>
        </w:rPr>
        <w:t> </w:t>
      </w:r>
      <w:r>
        <w:rPr>
          <w:rFonts w:ascii="宋体" w:hAnsi="宋体" w:cs="宋体" w:eastAsia="宋体" w:hint="default"/>
          <w:sz w:val="24"/>
          <w:szCs w:val="24"/>
        </w:rPr>
        <w:t>2010</w:t>
      </w:r>
      <w:r>
        <w:rPr>
          <w:rFonts w:ascii="宋体" w:hAnsi="宋体" w:cs="宋体" w:eastAsia="宋体" w:hint="default"/>
          <w:spacing w:val="-65"/>
          <w:sz w:val="24"/>
          <w:szCs w:val="24"/>
        </w:rPr>
        <w:t> </w:t>
      </w:r>
      <w:r>
        <w:rPr>
          <w:rFonts w:ascii="宋体" w:hAnsi="宋体" w:cs="宋体" w:eastAsia="宋体" w:hint="default"/>
          <w:sz w:val="24"/>
          <w:szCs w:val="24"/>
        </w:rPr>
        <w:t>年第三次会议审议</w:t>
      </w:r>
      <w:r>
        <w:rPr>
          <w:rFonts w:ascii="宋体" w:hAnsi="宋体" w:cs="宋体" w:eastAsia="宋体" w:hint="default"/>
          <w:sz w:val="24"/>
          <w:szCs w:val="24"/>
        </w:rPr>
        <w:t> </w:t>
      </w:r>
      <w:r>
        <w:rPr>
          <w:rFonts w:ascii="宋体" w:hAnsi="宋体" w:cs="宋体" w:eastAsia="宋体" w:hint="default"/>
          <w:spacing w:val="-3"/>
          <w:sz w:val="24"/>
          <w:szCs w:val="24"/>
        </w:rPr>
        <w:t>通过，公司董事会及其全体成员对其内容的真实性、准确性和完整性承担个别及</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连带责任。</w:t>
      </w:r>
    </w:p>
    <w:p>
      <w:pPr>
        <w:spacing w:before="174"/>
        <w:ind w:left="600" w:right="101" w:firstLine="0"/>
        <w:jc w:val="left"/>
        <w:rPr>
          <w:rFonts w:ascii="宋体" w:hAnsi="宋体" w:cs="宋体" w:eastAsia="宋体" w:hint="default"/>
          <w:sz w:val="24"/>
          <w:szCs w:val="24"/>
        </w:rPr>
      </w:pPr>
      <w:r>
        <w:rPr>
          <w:rFonts w:ascii="宋体" w:hAnsi="宋体" w:cs="宋体" w:eastAsia="宋体" w:hint="default"/>
          <w:sz w:val="24"/>
          <w:szCs w:val="24"/>
        </w:rPr>
        <w:t>公司聘请了安永华明会计师事务所为公司内部控制进行核实评价。</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9"/>
          <w:szCs w:val="29"/>
        </w:rPr>
      </w:pPr>
    </w:p>
    <w:p>
      <w:pPr>
        <w:spacing w:line="417" w:lineRule="auto" w:before="0"/>
        <w:ind w:left="5280" w:right="964" w:firstLine="0"/>
        <w:jc w:val="left"/>
        <w:rPr>
          <w:rFonts w:ascii="宋体" w:hAnsi="宋体" w:cs="宋体" w:eastAsia="宋体" w:hint="default"/>
          <w:sz w:val="24"/>
          <w:szCs w:val="24"/>
        </w:rPr>
      </w:pPr>
      <w:r>
        <w:rPr>
          <w:rFonts w:ascii="宋体" w:hAnsi="宋体" w:cs="宋体" w:eastAsia="宋体" w:hint="default"/>
          <w:sz w:val="24"/>
          <w:szCs w:val="24"/>
        </w:rPr>
        <w:t>用友软件股份有限公司 二零一零年三月二十日</w:t>
      </w:r>
    </w:p>
    <w:p>
      <w:pPr>
        <w:spacing w:after="0" w:line="417" w:lineRule="auto"/>
        <w:jc w:val="left"/>
        <w:rPr>
          <w:rFonts w:ascii="宋体" w:hAnsi="宋体" w:cs="宋体" w:eastAsia="宋体" w:hint="default"/>
          <w:sz w:val="24"/>
          <w:szCs w:val="24"/>
        </w:rPr>
        <w:sectPr>
          <w:headerReference w:type="default" r:id="rId160"/>
          <w:footerReference w:type="default" r:id="rId161"/>
          <w:pgSz w:w="11910" w:h="16840"/>
          <w:pgMar w:header="0" w:footer="975" w:top="1440" w:bottom="1160" w:left="1680" w:right="1560"/>
          <w:pgNumType w:start="7"/>
        </w:sectPr>
      </w:pPr>
    </w:p>
    <w:p>
      <w:pPr>
        <w:pStyle w:val="Heading4"/>
        <w:spacing w:line="240" w:lineRule="auto" w:before="65"/>
        <w:ind w:left="1198" w:right="101"/>
        <w:jc w:val="left"/>
        <w:rPr>
          <w:rFonts w:ascii="黑体" w:hAnsi="黑体" w:cs="黑体" w:eastAsia="黑体" w:hint="default"/>
        </w:rPr>
      </w:pPr>
      <w:bookmarkStart w:name="公司2009年社会责任报告.pdf" w:id="49"/>
      <w:bookmarkEnd w:id="49"/>
      <w:r>
        <w:rPr/>
      </w:r>
      <w:r>
        <w:rPr>
          <w:rFonts w:ascii="黑体" w:hAnsi="黑体" w:cs="黑体" w:eastAsia="黑体" w:hint="default"/>
        </w:rPr>
        <w:t>用友软件股份有限公司</w:t>
      </w:r>
      <w:r>
        <w:rPr>
          <w:rFonts w:ascii="黑体" w:hAnsi="黑体" w:cs="黑体" w:eastAsia="黑体" w:hint="default"/>
          <w:spacing w:val="-76"/>
        </w:rPr>
        <w:t> </w:t>
      </w:r>
      <w:r>
        <w:rPr>
          <w:rFonts w:ascii="黑体" w:hAnsi="黑体" w:cs="黑体" w:eastAsia="黑体" w:hint="default"/>
        </w:rPr>
        <w:t>2009</w:t>
      </w:r>
      <w:r>
        <w:rPr>
          <w:rFonts w:ascii="黑体" w:hAnsi="黑体" w:cs="黑体" w:eastAsia="黑体" w:hint="default"/>
          <w:spacing w:val="-76"/>
        </w:rPr>
        <w:t> </w:t>
      </w:r>
      <w:r>
        <w:rPr>
          <w:rFonts w:ascii="黑体" w:hAnsi="黑体" w:cs="黑体" w:eastAsia="黑体" w:hint="default"/>
        </w:rPr>
        <w:t>年度社会责任报告</w:t>
      </w:r>
    </w:p>
    <w:p>
      <w:pPr>
        <w:spacing w:line="240" w:lineRule="auto" w:before="0"/>
        <w:rPr>
          <w:rFonts w:ascii="黑体" w:hAnsi="黑体" w:cs="黑体" w:eastAsia="黑体" w:hint="default"/>
          <w:sz w:val="30"/>
          <w:szCs w:val="30"/>
        </w:rPr>
      </w:pPr>
    </w:p>
    <w:p>
      <w:pPr>
        <w:spacing w:line="240" w:lineRule="auto" w:before="1"/>
        <w:rPr>
          <w:rFonts w:ascii="黑体" w:hAnsi="黑体" w:cs="黑体" w:eastAsia="黑体" w:hint="default"/>
          <w:sz w:val="36"/>
          <w:szCs w:val="36"/>
        </w:rPr>
      </w:pPr>
    </w:p>
    <w:p>
      <w:pPr>
        <w:pStyle w:val="Heading7"/>
        <w:spacing w:line="297" w:lineRule="auto"/>
        <w:ind w:left="120" w:right="124" w:firstLine="480"/>
        <w:jc w:val="left"/>
        <w:rPr>
          <w:rFonts w:ascii="宋体" w:hAnsi="宋体" w:cs="宋体" w:eastAsia="宋体" w:hint="default"/>
        </w:rPr>
      </w:pPr>
      <w:r>
        <w:rPr>
          <w:rFonts w:ascii="宋体" w:hAnsi="宋体" w:cs="宋体" w:eastAsia="宋体" w:hint="default"/>
        </w:rPr>
        <w:t>《用友软件股份有限公司 2009</w:t>
      </w:r>
      <w:r>
        <w:rPr>
          <w:rFonts w:ascii="宋体" w:hAnsi="宋体" w:cs="宋体" w:eastAsia="宋体" w:hint="default"/>
          <w:spacing w:val="-94"/>
        </w:rPr>
        <w:t> </w:t>
      </w:r>
      <w:r>
        <w:rPr>
          <w:rFonts w:ascii="宋体" w:hAnsi="宋体" w:cs="宋体" w:eastAsia="宋体" w:hint="default"/>
        </w:rPr>
        <w:t>年度社会责任报告书》是用友软件股份有限</w:t>
      </w:r>
      <w:r>
        <w:rPr>
          <w:rFonts w:ascii="宋体" w:hAnsi="宋体" w:cs="宋体" w:eastAsia="宋体" w:hint="default"/>
        </w:rPr>
        <w:t> 公司（以下简称“公司”）2009 年度在落实科学发展观，构建和谐社会，推进 经济社会可持续全面发展等方面，对公司股东、员工、客户、消费者、供应商、 </w:t>
      </w:r>
      <w:r>
        <w:rPr>
          <w:rFonts w:ascii="宋体" w:hAnsi="宋体" w:cs="宋体" w:eastAsia="宋体" w:hint="default"/>
          <w:spacing w:val="-3"/>
        </w:rPr>
        <w:t>债权人、社区等利益相关者积极承担相应社会责任的总体情况报告。本报告主要</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披露了公司 2009</w:t>
      </w:r>
      <w:r>
        <w:rPr>
          <w:rFonts w:ascii="宋体" w:hAnsi="宋体" w:cs="宋体" w:eastAsia="宋体" w:hint="default"/>
          <w:spacing w:val="-94"/>
        </w:rPr>
        <w:t> </w:t>
      </w:r>
      <w:r>
        <w:rPr>
          <w:rFonts w:ascii="宋体" w:hAnsi="宋体" w:cs="宋体" w:eastAsia="宋体" w:hint="default"/>
        </w:rPr>
        <w:t>年度在从事经营管理活动中，对上述利益相关者所做的工作、</w:t>
      </w:r>
      <w:r>
        <w:rPr>
          <w:rFonts w:ascii="宋体" w:hAnsi="宋体" w:cs="宋体" w:eastAsia="宋体" w:hint="default"/>
        </w:rPr>
        <w:t> 存在的差距及拟采取的改进措施和公司未来在上述方面的计划。</w:t>
      </w:r>
    </w:p>
    <w:p>
      <w:pPr>
        <w:spacing w:line="240" w:lineRule="auto" w:before="3"/>
        <w:rPr>
          <w:rFonts w:ascii="宋体" w:hAnsi="宋体" w:cs="宋体" w:eastAsia="宋体" w:hint="default"/>
          <w:sz w:val="25"/>
          <w:szCs w:val="25"/>
        </w:rPr>
      </w:pPr>
    </w:p>
    <w:p>
      <w:pPr>
        <w:spacing w:line="417" w:lineRule="auto" w:before="0"/>
        <w:ind w:left="540" w:right="5695" w:firstLine="0"/>
        <w:jc w:val="left"/>
        <w:rPr>
          <w:rFonts w:ascii="宋体" w:hAnsi="宋体" w:cs="宋体" w:eastAsia="宋体" w:hint="default"/>
          <w:sz w:val="24"/>
          <w:szCs w:val="24"/>
        </w:rPr>
      </w:pPr>
      <w:r>
        <w:rPr>
          <w:rFonts w:ascii="宋体" w:hAnsi="宋体" w:cs="宋体" w:eastAsia="宋体" w:hint="default"/>
          <w:b/>
          <w:bCs/>
          <w:sz w:val="24"/>
          <w:szCs w:val="24"/>
        </w:rPr>
        <w:t>一、公司基本情况介绍</w:t>
      </w:r>
      <w:r>
        <w:rPr>
          <w:rFonts w:ascii="宋体" w:hAnsi="宋体" w:cs="宋体" w:eastAsia="宋体" w:hint="default"/>
          <w:b/>
          <w:bCs/>
          <w:w w:val="99"/>
          <w:sz w:val="24"/>
          <w:szCs w:val="24"/>
        </w:rPr>
        <w:t> </w:t>
      </w:r>
      <w:r>
        <w:rPr>
          <w:rFonts w:ascii="宋体" w:hAnsi="宋体" w:cs="宋体" w:eastAsia="宋体" w:hint="default"/>
          <w:b/>
          <w:bCs/>
          <w:sz w:val="24"/>
          <w:szCs w:val="24"/>
        </w:rPr>
        <w:t>1、公司概况</w:t>
      </w:r>
      <w:r>
        <w:rPr>
          <w:rFonts w:ascii="宋体" w:hAnsi="宋体" w:cs="宋体" w:eastAsia="宋体" w:hint="default"/>
          <w:sz w:val="24"/>
          <w:szCs w:val="24"/>
        </w:rPr>
      </w:r>
    </w:p>
    <w:p>
      <w:pPr>
        <w:spacing w:line="357" w:lineRule="auto" w:before="94"/>
        <w:ind w:left="120" w:right="117" w:firstLine="480"/>
        <w:jc w:val="both"/>
        <w:rPr>
          <w:rFonts w:ascii="宋体" w:hAnsi="宋体" w:cs="宋体" w:eastAsia="宋体" w:hint="default"/>
          <w:sz w:val="24"/>
          <w:szCs w:val="24"/>
        </w:rPr>
      </w:pPr>
      <w:r>
        <w:rPr>
          <w:rFonts w:ascii="宋体" w:hAnsi="宋体" w:cs="宋体" w:eastAsia="宋体" w:hint="default"/>
          <w:sz w:val="24"/>
          <w:szCs w:val="24"/>
        </w:rPr>
        <w:t>公司成立于 1988</w:t>
      </w:r>
      <w:r>
        <w:rPr>
          <w:rFonts w:ascii="宋体" w:hAnsi="宋体" w:cs="宋体" w:eastAsia="宋体" w:hint="default"/>
          <w:spacing w:val="-94"/>
          <w:sz w:val="24"/>
          <w:szCs w:val="24"/>
        </w:rPr>
        <w:t> </w:t>
      </w:r>
      <w:r>
        <w:rPr>
          <w:rFonts w:ascii="宋体" w:hAnsi="宋体" w:cs="宋体" w:eastAsia="宋体" w:hint="default"/>
          <w:sz w:val="24"/>
          <w:szCs w:val="24"/>
        </w:rPr>
        <w:t>年，致力于用信息技术推动商业和社会进步，提供具有自</w:t>
      </w:r>
      <w:r>
        <w:rPr>
          <w:rFonts w:ascii="宋体" w:hAnsi="宋体" w:cs="宋体" w:eastAsia="宋体" w:hint="default"/>
          <w:sz w:val="24"/>
          <w:szCs w:val="24"/>
        </w:rPr>
        <w:t> 主知识产权的企业管理/ERP</w:t>
      </w:r>
      <w:r>
        <w:rPr>
          <w:rFonts w:ascii="宋体" w:hAnsi="宋体" w:cs="宋体" w:eastAsia="宋体" w:hint="default"/>
          <w:spacing w:val="1"/>
          <w:sz w:val="24"/>
          <w:szCs w:val="24"/>
        </w:rPr>
        <w:t> </w:t>
      </w:r>
      <w:r>
        <w:rPr>
          <w:rFonts w:ascii="宋体" w:hAnsi="宋体" w:cs="宋体" w:eastAsia="宋体" w:hint="default"/>
          <w:sz w:val="24"/>
          <w:szCs w:val="24"/>
        </w:rPr>
        <w:t>软件、行业解决方案、服务，是亚太本土最大的管</w:t>
      </w:r>
      <w:r>
        <w:rPr>
          <w:rFonts w:ascii="宋体" w:hAnsi="宋体" w:cs="宋体" w:eastAsia="宋体" w:hint="default"/>
          <w:sz w:val="24"/>
          <w:szCs w:val="24"/>
        </w:rPr>
        <w:t> 理软件提供商，是中国最大的管理软件、ERP</w:t>
      </w:r>
      <w:r>
        <w:rPr>
          <w:rFonts w:ascii="宋体" w:hAnsi="宋体" w:cs="宋体" w:eastAsia="宋体" w:hint="default"/>
          <w:spacing w:val="-72"/>
          <w:sz w:val="24"/>
          <w:szCs w:val="24"/>
        </w:rPr>
        <w:t> </w:t>
      </w:r>
      <w:r>
        <w:rPr>
          <w:rFonts w:ascii="宋体" w:hAnsi="宋体" w:cs="宋体" w:eastAsia="宋体" w:hint="default"/>
          <w:sz w:val="24"/>
          <w:szCs w:val="24"/>
        </w:rPr>
        <w:t>软件、集团管理软件、财政管理软</w:t>
      </w:r>
      <w:r>
        <w:rPr>
          <w:rFonts w:ascii="宋体" w:hAnsi="宋体" w:cs="宋体" w:eastAsia="宋体" w:hint="default"/>
          <w:sz w:val="24"/>
          <w:szCs w:val="24"/>
        </w:rPr>
        <w:t> </w:t>
      </w:r>
      <w:r>
        <w:rPr>
          <w:rFonts w:ascii="宋体" w:hAnsi="宋体" w:cs="宋体" w:eastAsia="宋体" w:hint="default"/>
          <w:spacing w:val="-3"/>
          <w:sz w:val="24"/>
          <w:szCs w:val="24"/>
        </w:rPr>
        <w:t>件、人力资源管理软件、财务管理软件，客户关系管理软件及小型企业管理软件</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提供商。目前，中国及亚太地区超过 80</w:t>
      </w:r>
      <w:r>
        <w:rPr>
          <w:rFonts w:ascii="宋体" w:hAnsi="宋体" w:cs="宋体" w:eastAsia="宋体" w:hint="default"/>
          <w:spacing w:val="-94"/>
          <w:sz w:val="24"/>
          <w:szCs w:val="24"/>
        </w:rPr>
        <w:t> </w:t>
      </w:r>
      <w:r>
        <w:rPr>
          <w:rFonts w:ascii="宋体" w:hAnsi="宋体" w:cs="宋体" w:eastAsia="宋体" w:hint="default"/>
          <w:sz w:val="24"/>
          <w:szCs w:val="24"/>
        </w:rPr>
        <w:t>万家企业与机构通过使用用友软件，实</w:t>
      </w:r>
      <w:r>
        <w:rPr>
          <w:rFonts w:ascii="宋体" w:hAnsi="宋体" w:cs="宋体" w:eastAsia="宋体" w:hint="default"/>
          <w:sz w:val="24"/>
          <w:szCs w:val="24"/>
        </w:rPr>
        <w:t> </w:t>
      </w:r>
      <w:r>
        <w:rPr>
          <w:rFonts w:ascii="宋体" w:hAnsi="宋体" w:cs="宋体" w:eastAsia="宋体" w:hint="default"/>
          <w:spacing w:val="-7"/>
          <w:sz w:val="24"/>
          <w:szCs w:val="24"/>
        </w:rPr>
        <w:t>现降低成本、提高效率、持续创新、快速响应市场、控制风险、提升绩效的价值。</w:t>
      </w:r>
    </w:p>
    <w:p>
      <w:pPr>
        <w:spacing w:line="297" w:lineRule="auto" w:before="152"/>
        <w:ind w:left="120" w:right="124" w:firstLine="480"/>
        <w:jc w:val="left"/>
        <w:rPr>
          <w:rFonts w:ascii="宋体" w:hAnsi="宋体" w:cs="宋体" w:eastAsia="宋体" w:hint="default"/>
          <w:sz w:val="24"/>
          <w:szCs w:val="24"/>
        </w:rPr>
      </w:pPr>
      <w:r>
        <w:rPr>
          <w:rFonts w:ascii="宋体" w:hAnsi="宋体" w:cs="宋体" w:eastAsia="宋体" w:hint="default"/>
          <w:spacing w:val="-3"/>
          <w:sz w:val="24"/>
          <w:szCs w:val="24"/>
        </w:rPr>
        <w:t>公司连续多年被评定为国家“规划布局内重点软件企业”，是中国软件业代</w:t>
      </w:r>
      <w:r>
        <w:rPr>
          <w:rFonts w:ascii="宋体" w:hAnsi="宋体" w:cs="宋体" w:eastAsia="宋体" w:hint="default"/>
          <w:sz w:val="24"/>
          <w:szCs w:val="24"/>
        </w:rPr>
        <w:t> </w:t>
      </w:r>
      <w:r>
        <w:rPr>
          <w:rFonts w:ascii="宋体" w:hAnsi="宋体" w:cs="宋体" w:eastAsia="宋体" w:hint="default"/>
          <w:spacing w:val="-12"/>
          <w:sz w:val="24"/>
          <w:szCs w:val="24"/>
        </w:rPr>
        <w:t>表性企业之一。“用友</w:t>
      </w:r>
      <w:r>
        <w:rPr>
          <w:rFonts w:ascii="宋体" w:hAnsi="宋体" w:cs="宋体" w:eastAsia="宋体" w:hint="default"/>
          <w:spacing w:val="-57"/>
          <w:sz w:val="24"/>
          <w:szCs w:val="24"/>
        </w:rPr>
        <w:t> </w:t>
      </w:r>
      <w:r>
        <w:rPr>
          <w:rFonts w:ascii="宋体" w:hAnsi="宋体" w:cs="宋体" w:eastAsia="宋体" w:hint="default"/>
          <w:spacing w:val="-1"/>
          <w:sz w:val="24"/>
          <w:szCs w:val="24"/>
        </w:rPr>
        <w:t>ERP</w:t>
      </w:r>
      <w:r>
        <w:rPr>
          <w:rFonts w:ascii="宋体" w:hAnsi="宋体" w:cs="宋体" w:eastAsia="宋体" w:hint="default"/>
          <w:spacing w:val="-56"/>
          <w:sz w:val="24"/>
          <w:szCs w:val="24"/>
        </w:rPr>
        <w:t> </w:t>
      </w:r>
      <w:r>
        <w:rPr>
          <w:rFonts w:ascii="宋体" w:hAnsi="宋体" w:cs="宋体" w:eastAsia="宋体" w:hint="default"/>
          <w:spacing w:val="-10"/>
          <w:sz w:val="24"/>
          <w:szCs w:val="24"/>
        </w:rPr>
        <w:t>管理软件”系“中国名牌产品”。公司的企业管理/ERP</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软件、集团企业管理软件、财政管理软件、人力资源管理软件、财务管理软件、</w:t>
      </w:r>
      <w:r>
        <w:rPr>
          <w:rFonts w:ascii="宋体" w:hAnsi="宋体" w:cs="宋体" w:eastAsia="宋体" w:hint="default"/>
          <w:sz w:val="24"/>
          <w:szCs w:val="24"/>
        </w:rPr>
        <w:t> </w:t>
      </w:r>
      <w:r>
        <w:rPr>
          <w:rFonts w:ascii="宋体" w:hAnsi="宋体" w:cs="宋体" w:eastAsia="宋体" w:hint="default"/>
          <w:spacing w:val="-3"/>
          <w:sz w:val="24"/>
          <w:szCs w:val="24"/>
        </w:rPr>
        <w:t>客户关系管理软件、商业智能与报表软件、协同管理软件、小型企业管理软件以</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及培训教育等产品业务线，覆盖众多行业领域、不同规模和成长阶段的企业/机 构信息化需求。</w:t>
      </w:r>
    </w:p>
    <w:p>
      <w:pPr>
        <w:spacing w:line="297" w:lineRule="auto" w:before="174"/>
        <w:ind w:left="120" w:right="124" w:firstLine="480"/>
        <w:jc w:val="left"/>
        <w:rPr>
          <w:rFonts w:ascii="宋体" w:hAnsi="宋体" w:cs="宋体" w:eastAsia="宋体" w:hint="default"/>
          <w:sz w:val="24"/>
          <w:szCs w:val="24"/>
        </w:rPr>
      </w:pPr>
      <w:r>
        <w:rPr>
          <w:rFonts w:ascii="宋体" w:hAnsi="宋体" w:cs="宋体" w:eastAsia="宋体" w:hint="default"/>
          <w:sz w:val="24"/>
          <w:szCs w:val="24"/>
        </w:rPr>
        <w:t>公司拥有中国和亚太实力最强的企业管理软件研发体系，规模最大的支持、 实施、培训服务网络，以及完备的产业生态系统。公司拥有包括总部研发中心、 </w:t>
      </w:r>
      <w:r>
        <w:rPr>
          <w:rFonts w:ascii="宋体" w:hAnsi="宋体" w:cs="宋体" w:eastAsia="宋体" w:hint="default"/>
          <w:spacing w:val="-3"/>
          <w:sz w:val="24"/>
          <w:szCs w:val="24"/>
        </w:rPr>
        <w:t>南京制造业研发基地、上海先进应用研究中心、深圳电子行业应用开发中心等在</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内的中国最大的企业应用软件研发体系和超过 2500 人的研发团队。公司的</w:t>
      </w:r>
      <w:r>
        <w:rPr>
          <w:rFonts w:ascii="宋体" w:hAnsi="宋体" w:cs="宋体" w:eastAsia="宋体" w:hint="default"/>
          <w:spacing w:val="3"/>
          <w:sz w:val="24"/>
          <w:szCs w:val="24"/>
        </w:rPr>
        <w:t> </w:t>
      </w:r>
      <w:r>
        <w:rPr>
          <w:rFonts w:ascii="宋体" w:hAnsi="宋体" w:cs="宋体" w:eastAsia="宋体" w:hint="default"/>
          <w:sz w:val="24"/>
          <w:szCs w:val="24"/>
        </w:rPr>
        <w:t>73</w:t>
      </w:r>
      <w:r>
        <w:rPr>
          <w:rFonts w:ascii="宋体" w:hAnsi="宋体" w:cs="宋体" w:eastAsia="宋体" w:hint="default"/>
          <w:sz w:val="24"/>
          <w:szCs w:val="24"/>
        </w:rPr>
        <w:t> 家分子公司、60</w:t>
      </w:r>
      <w:r>
        <w:rPr>
          <w:rFonts w:ascii="宋体" w:hAnsi="宋体" w:cs="宋体" w:eastAsia="宋体" w:hint="default"/>
          <w:spacing w:val="-32"/>
          <w:sz w:val="24"/>
          <w:szCs w:val="24"/>
        </w:rPr>
        <w:t> </w:t>
      </w:r>
      <w:r>
        <w:rPr>
          <w:rFonts w:ascii="宋体" w:hAnsi="宋体" w:cs="宋体" w:eastAsia="宋体" w:hint="default"/>
          <w:sz w:val="24"/>
          <w:szCs w:val="24"/>
        </w:rPr>
        <w:t>家客户服务中心、150</w:t>
      </w:r>
      <w:r>
        <w:rPr>
          <w:rFonts w:ascii="宋体" w:hAnsi="宋体" w:cs="宋体" w:eastAsia="宋体" w:hint="default"/>
          <w:spacing w:val="-32"/>
          <w:sz w:val="24"/>
          <w:szCs w:val="24"/>
        </w:rPr>
        <w:t> </w:t>
      </w:r>
      <w:r>
        <w:rPr>
          <w:rFonts w:ascii="宋体" w:hAnsi="宋体" w:cs="宋体" w:eastAsia="宋体" w:hint="default"/>
          <w:sz w:val="24"/>
          <w:szCs w:val="24"/>
        </w:rPr>
        <w:t>家培训教育中心、3000</w:t>
      </w:r>
      <w:r>
        <w:rPr>
          <w:rFonts w:ascii="宋体" w:hAnsi="宋体" w:cs="宋体" w:eastAsia="宋体" w:hint="default"/>
          <w:spacing w:val="-32"/>
          <w:sz w:val="24"/>
          <w:szCs w:val="24"/>
        </w:rPr>
        <w:t> </w:t>
      </w:r>
      <w:r>
        <w:rPr>
          <w:rFonts w:ascii="宋体" w:hAnsi="宋体" w:cs="宋体" w:eastAsia="宋体" w:hint="default"/>
          <w:sz w:val="24"/>
          <w:szCs w:val="24"/>
        </w:rPr>
        <w:t>名服务专家组成</w:t>
      </w:r>
      <w:r>
        <w:rPr>
          <w:rFonts w:ascii="宋体" w:hAnsi="宋体" w:cs="宋体" w:eastAsia="宋体" w:hint="default"/>
          <w:sz w:val="24"/>
          <w:szCs w:val="24"/>
        </w:rPr>
        <w:t> </w:t>
      </w:r>
      <w:r>
        <w:rPr>
          <w:rFonts w:ascii="宋体" w:hAnsi="宋体" w:cs="宋体" w:eastAsia="宋体" w:hint="default"/>
          <w:spacing w:val="-3"/>
          <w:sz w:val="24"/>
          <w:szCs w:val="24"/>
        </w:rPr>
        <w:t>了中国管理软件业最大的服务网络。在日本、泰国、新加坡等亚洲地区，公司建</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z w:val="24"/>
          <w:szCs w:val="24"/>
        </w:rPr>
        <w:t>立了分公司或代表处。公司与超过 3000</w:t>
      </w:r>
      <w:r>
        <w:rPr>
          <w:rFonts w:ascii="宋体" w:hAnsi="宋体" w:cs="宋体" w:eastAsia="宋体" w:hint="default"/>
          <w:spacing w:val="-94"/>
          <w:sz w:val="24"/>
          <w:szCs w:val="24"/>
        </w:rPr>
        <w:t> </w:t>
      </w:r>
      <w:r>
        <w:rPr>
          <w:rFonts w:ascii="宋体" w:hAnsi="宋体" w:cs="宋体" w:eastAsia="宋体" w:hint="default"/>
          <w:sz w:val="24"/>
          <w:szCs w:val="24"/>
        </w:rPr>
        <w:t>家的各类合作伙伴一起为客户提供优质</w:t>
      </w:r>
      <w:r>
        <w:rPr>
          <w:rFonts w:ascii="宋体" w:hAnsi="宋体" w:cs="宋体" w:eastAsia="宋体" w:hint="default"/>
          <w:sz w:val="24"/>
          <w:szCs w:val="24"/>
        </w:rPr>
        <w:t> 的服务和创新的解决方案。</w:t>
      </w:r>
    </w:p>
    <w:p>
      <w:pPr>
        <w:spacing w:after="0" w:line="297" w:lineRule="auto"/>
        <w:jc w:val="left"/>
        <w:rPr>
          <w:rFonts w:ascii="宋体" w:hAnsi="宋体" w:cs="宋体" w:eastAsia="宋体" w:hint="default"/>
          <w:sz w:val="24"/>
          <w:szCs w:val="24"/>
        </w:rPr>
        <w:sectPr>
          <w:headerReference w:type="default" r:id="rId162"/>
          <w:footerReference w:type="default" r:id="rId163"/>
          <w:pgSz w:w="11910" w:h="16840"/>
          <w:pgMar w:header="0" w:footer="975" w:top="1600" w:bottom="1160" w:left="1680" w:right="1560"/>
          <w:pgNumType w:start="1"/>
        </w:sectPr>
      </w:pPr>
    </w:p>
    <w:p>
      <w:pPr>
        <w:pStyle w:val="Heading7"/>
        <w:spacing w:line="297" w:lineRule="auto"/>
        <w:ind w:left="120" w:right="228" w:firstLine="480"/>
        <w:jc w:val="left"/>
        <w:rPr>
          <w:rFonts w:ascii="宋体" w:hAnsi="宋体" w:cs="宋体" w:eastAsia="宋体" w:hint="default"/>
        </w:rPr>
      </w:pPr>
      <w:r>
        <w:rPr>
          <w:rFonts w:ascii="宋体" w:hAnsi="宋体" w:cs="宋体" w:eastAsia="宋体" w:hint="default"/>
        </w:rPr>
        <w:t>2009</w:t>
      </w:r>
      <w:r>
        <w:rPr>
          <w:rFonts w:ascii="宋体" w:hAnsi="宋体" w:cs="宋体" w:eastAsia="宋体" w:hint="default"/>
          <w:spacing w:val="16"/>
        </w:rPr>
        <w:t> </w:t>
      </w:r>
      <w:r>
        <w:rPr>
          <w:rFonts w:ascii="宋体" w:hAnsi="宋体" w:cs="宋体" w:eastAsia="宋体" w:hint="default"/>
        </w:rPr>
        <w:t>年公司被中国绿色公司项目国际评审委员会评定为“中国绿色公司标</w:t>
      </w:r>
      <w:r>
        <w:rPr>
          <w:rFonts w:ascii="宋体" w:hAnsi="宋体" w:cs="宋体" w:eastAsia="宋体" w:hint="default"/>
          <w:spacing w:val="1"/>
        </w:rPr>
        <w:t> </w:t>
      </w:r>
      <w:r>
        <w:rPr>
          <w:rFonts w:ascii="宋体" w:hAnsi="宋体" w:cs="宋体" w:eastAsia="宋体" w:hint="default"/>
          <w:spacing w:val="-24"/>
        </w:rPr>
        <w:t>杆企业”。</w:t>
      </w:r>
    </w:p>
    <w:p>
      <w:pPr>
        <w:spacing w:line="546" w:lineRule="exact" w:before="18"/>
        <w:ind w:left="555" w:right="101" w:hanging="74"/>
        <w:jc w:val="left"/>
        <w:rPr>
          <w:rFonts w:ascii="宋体" w:hAnsi="宋体" w:cs="宋体" w:eastAsia="宋体" w:hint="default"/>
          <w:sz w:val="24"/>
          <w:szCs w:val="24"/>
        </w:rPr>
      </w:pPr>
      <w:r>
        <w:rPr>
          <w:rFonts w:ascii="宋体" w:hAnsi="宋体" w:cs="宋体" w:eastAsia="宋体" w:hint="default"/>
          <w:b/>
          <w:bCs/>
          <w:sz w:val="24"/>
          <w:szCs w:val="24"/>
        </w:rPr>
        <w:t>2、公司理念</w:t>
      </w:r>
      <w:r>
        <w:rPr>
          <w:rFonts w:ascii="宋体" w:hAnsi="宋体" w:cs="宋体" w:eastAsia="宋体" w:hint="default"/>
          <w:b/>
          <w:bCs/>
          <w:w w:val="99"/>
          <w:sz w:val="24"/>
          <w:szCs w:val="24"/>
        </w:rPr>
        <w:t> </w:t>
      </w:r>
      <w:r>
        <w:rPr>
          <w:rFonts w:ascii="宋体" w:hAnsi="宋体" w:cs="宋体" w:eastAsia="宋体" w:hint="default"/>
          <w:spacing w:val="-2"/>
          <w:sz w:val="24"/>
          <w:szCs w:val="24"/>
        </w:rPr>
        <w:t>公司坚持自主创新、依法经营的发展道路，遵循“立足长远，持续创新，均</w:t>
      </w:r>
    </w:p>
    <w:p>
      <w:pPr>
        <w:spacing w:line="297" w:lineRule="auto" w:before="0"/>
        <w:ind w:left="120" w:right="100" w:firstLine="0"/>
        <w:jc w:val="left"/>
        <w:rPr>
          <w:rFonts w:ascii="宋体" w:hAnsi="宋体" w:cs="宋体" w:eastAsia="宋体" w:hint="default"/>
          <w:sz w:val="24"/>
          <w:szCs w:val="24"/>
        </w:rPr>
      </w:pPr>
      <w:r>
        <w:rPr>
          <w:rFonts w:ascii="宋体" w:hAnsi="宋体" w:cs="宋体" w:eastAsia="宋体" w:hint="default"/>
          <w:spacing w:val="-3"/>
          <w:sz w:val="24"/>
          <w:szCs w:val="24"/>
        </w:rPr>
        <w:t>衡发展，高绩效，阳光经营，履行社会责任”的发展方针，自成立伊始，便关注</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企业的社会责任，关注企业的社会价值，关注人本主义、人文精神，逐步落实并</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6"/>
          <w:sz w:val="24"/>
          <w:szCs w:val="24"/>
        </w:rPr>
        <w:t>切实承担公司应尽的社会责任，公司以提升企业价值，与利益相关者共赢为己任，</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pacing w:val="-6"/>
          <w:sz w:val="24"/>
          <w:szCs w:val="24"/>
        </w:rPr>
        <w:t>以弘扬人文关怀，无私奉献社会为使命，以倡议环保行动，筑造绿色企业为目标。</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3"/>
          <w:sz w:val="24"/>
          <w:szCs w:val="24"/>
        </w:rPr>
        <w:t>对于经济责任，公司致力于为国民经济发展创造效益，通过企业发展提升投资规</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模和投资效益，依法缴纳国家财税。对于利益相关者，公司坚持“客户信赖、伙</w:t>
      </w:r>
      <w:r>
        <w:rPr>
          <w:rFonts w:ascii="宋体" w:hAnsi="宋体" w:cs="宋体" w:eastAsia="宋体" w:hint="default"/>
          <w:spacing w:val="-113"/>
          <w:sz w:val="24"/>
          <w:szCs w:val="24"/>
        </w:rPr>
        <w:t> </w:t>
      </w:r>
      <w:r>
        <w:rPr>
          <w:rFonts w:ascii="宋体" w:hAnsi="宋体" w:cs="宋体" w:eastAsia="宋体" w:hint="default"/>
          <w:spacing w:val="-113"/>
          <w:sz w:val="24"/>
          <w:szCs w:val="24"/>
        </w:rPr>
      </w:r>
      <w:r>
        <w:rPr>
          <w:rFonts w:ascii="宋体" w:hAnsi="宋体" w:cs="宋体" w:eastAsia="宋体" w:hint="default"/>
          <w:spacing w:val="-3"/>
          <w:sz w:val="24"/>
          <w:szCs w:val="24"/>
        </w:rPr>
        <w:t>伴共赢、员工发展、股东增值”的经营方针，致力于为客户、伙伴、员工和投资</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者创造价值，实现共同成长。对于社会公益，公司以人文关怀精神，义不容辞地</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投身社会公益事业，关爱弱势群体，热心公益募捐，弘扬华夏文明，传承中华文</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7"/>
          <w:sz w:val="24"/>
          <w:szCs w:val="24"/>
        </w:rPr>
        <w:t>化。在推动信息化建设的过程中，公司也一直以高效、创新、绿色为标准，打造、</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创建幸福企业。</w:t>
      </w:r>
    </w:p>
    <w:p>
      <w:pPr>
        <w:spacing w:before="174"/>
        <w:ind w:left="603" w:right="101" w:firstLine="0"/>
        <w:jc w:val="left"/>
        <w:rPr>
          <w:rFonts w:ascii="宋体" w:hAnsi="宋体" w:cs="宋体" w:eastAsia="宋体" w:hint="default"/>
          <w:sz w:val="24"/>
          <w:szCs w:val="24"/>
        </w:rPr>
      </w:pPr>
      <w:r>
        <w:rPr>
          <w:rFonts w:ascii="宋体" w:hAnsi="宋体" w:cs="宋体" w:eastAsia="宋体" w:hint="default"/>
          <w:spacing w:val="-1"/>
          <w:sz w:val="24"/>
          <w:szCs w:val="24"/>
        </w:rPr>
        <w:t>公司的目标与使命是用信息技术推动商业和社会进步</w:t>
      </w:r>
      <w:r>
        <w:rPr>
          <w:rFonts w:ascii="宋体" w:hAnsi="宋体" w:cs="宋体" w:eastAsia="宋体" w:hint="default"/>
          <w:spacing w:val="-97"/>
          <w:sz w:val="24"/>
          <w:szCs w:val="24"/>
        </w:rPr>
        <w:t>！</w:t>
      </w:r>
      <w:r>
        <w:rPr>
          <w:rFonts w:ascii="宋体" w:hAnsi="宋体" w:cs="宋体" w:eastAsia="宋体" w:hint="default"/>
          <w:sz w:val="24"/>
          <w:szCs w:val="24"/>
        </w:rPr>
        <w:t>把基于先进信息技术</w:t>
      </w:r>
    </w:p>
    <w:p>
      <w:pPr>
        <w:spacing w:line="297" w:lineRule="auto" w:before="76"/>
        <w:ind w:left="120" w:right="117" w:firstLine="0"/>
        <w:jc w:val="both"/>
        <w:rPr>
          <w:rFonts w:ascii="宋体" w:hAnsi="宋体" w:cs="宋体" w:eastAsia="宋体" w:hint="default"/>
          <w:sz w:val="24"/>
          <w:szCs w:val="24"/>
        </w:rPr>
      </w:pPr>
      <w:r>
        <w:rPr>
          <w:rFonts w:ascii="宋体" w:hAnsi="宋体" w:cs="宋体" w:eastAsia="宋体" w:hint="default"/>
          <w:spacing w:val="-6"/>
          <w:sz w:val="24"/>
          <w:szCs w:val="24"/>
        </w:rPr>
        <w:t>（包括通信技术）的最佳实践普及到客户管理与业务创新活动中。创造社会价值，</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pacing w:val="-6"/>
          <w:sz w:val="24"/>
          <w:szCs w:val="24"/>
        </w:rPr>
        <w:t>实现商业成功。公司的核心价值观是为梦想而奋斗，做客户信赖的长期合作伙伴，</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专业化生存。</w:t>
      </w:r>
    </w:p>
    <w:p>
      <w:pPr>
        <w:spacing w:line="240" w:lineRule="auto" w:before="3"/>
        <w:rPr>
          <w:rFonts w:ascii="宋体" w:hAnsi="宋体" w:cs="宋体" w:eastAsia="宋体" w:hint="default"/>
          <w:sz w:val="25"/>
          <w:szCs w:val="25"/>
        </w:rPr>
      </w:pPr>
    </w:p>
    <w:p>
      <w:pPr>
        <w:spacing w:line="417" w:lineRule="auto" w:before="0"/>
        <w:ind w:left="540" w:right="5213" w:firstLine="0"/>
        <w:jc w:val="left"/>
        <w:rPr>
          <w:rFonts w:ascii="宋体" w:hAnsi="宋体" w:cs="宋体" w:eastAsia="宋体" w:hint="default"/>
          <w:sz w:val="24"/>
          <w:szCs w:val="24"/>
        </w:rPr>
      </w:pPr>
      <w:r>
        <w:rPr>
          <w:rFonts w:ascii="宋体" w:hAnsi="宋体" w:cs="宋体" w:eastAsia="宋体" w:hint="default"/>
          <w:b/>
          <w:bCs/>
          <w:sz w:val="24"/>
          <w:szCs w:val="24"/>
        </w:rPr>
        <w:t>二、公司社会责任体系建设</w:t>
      </w:r>
      <w:r>
        <w:rPr>
          <w:rFonts w:ascii="宋体" w:hAnsi="宋体" w:cs="宋体" w:eastAsia="宋体" w:hint="default"/>
          <w:b/>
          <w:bCs/>
          <w:spacing w:val="1"/>
          <w:w w:val="99"/>
          <w:sz w:val="24"/>
          <w:szCs w:val="24"/>
        </w:rPr>
        <w:t> </w:t>
      </w:r>
      <w:r>
        <w:rPr>
          <w:rFonts w:ascii="宋体" w:hAnsi="宋体" w:cs="宋体" w:eastAsia="宋体" w:hint="default"/>
          <w:b/>
          <w:bCs/>
          <w:sz w:val="24"/>
          <w:szCs w:val="24"/>
        </w:rPr>
        <w:t>1、公司社会责任观</w:t>
      </w:r>
      <w:r>
        <w:rPr>
          <w:rFonts w:ascii="宋体" w:hAnsi="宋体" w:cs="宋体" w:eastAsia="宋体" w:hint="default"/>
          <w:sz w:val="24"/>
          <w:szCs w:val="24"/>
        </w:rPr>
      </w:r>
    </w:p>
    <w:p>
      <w:pPr>
        <w:spacing w:line="297" w:lineRule="auto" w:before="54"/>
        <w:ind w:left="120" w:right="124" w:firstLine="420"/>
        <w:jc w:val="left"/>
        <w:rPr>
          <w:rFonts w:ascii="宋体" w:hAnsi="宋体" w:cs="宋体" w:eastAsia="宋体" w:hint="default"/>
          <w:sz w:val="24"/>
          <w:szCs w:val="24"/>
        </w:rPr>
      </w:pPr>
      <w:r>
        <w:rPr>
          <w:rFonts w:ascii="宋体" w:hAnsi="宋体" w:cs="宋体" w:eastAsia="宋体" w:hint="default"/>
          <w:sz w:val="24"/>
          <w:szCs w:val="24"/>
        </w:rPr>
        <w:t>通过服务社会、回报社会获得对企业社会责任的深刻理解，公司形成了自己 的企业社会责任观。公司始终坚持诚信经营，持续学习，勇于创新，积极承担， </w:t>
      </w:r>
      <w:r>
        <w:rPr>
          <w:rFonts w:ascii="宋体" w:hAnsi="宋体" w:cs="宋体" w:eastAsia="宋体" w:hint="default"/>
          <w:spacing w:val="-3"/>
          <w:sz w:val="24"/>
          <w:szCs w:val="24"/>
        </w:rPr>
        <w:t>对价值链伙伴、环境和社会的责任；回报股东的长远利益，给员工提供没有天花</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板的舞台，成就客户，与合作伙伴共赢，保护环境，回报社会。做优秀的企业公</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z w:val="24"/>
          <w:szCs w:val="24"/>
        </w:rPr>
        <w:t>民，让社会因为用友更加美好。</w:t>
      </w:r>
    </w:p>
    <w:p>
      <w:pPr>
        <w:spacing w:line="546" w:lineRule="exact" w:before="18"/>
        <w:ind w:left="540" w:right="184" w:firstLine="0"/>
        <w:jc w:val="left"/>
        <w:rPr>
          <w:rFonts w:ascii="宋体" w:hAnsi="宋体" w:cs="宋体" w:eastAsia="宋体" w:hint="default"/>
          <w:sz w:val="24"/>
          <w:szCs w:val="24"/>
        </w:rPr>
      </w:pPr>
      <w:r>
        <w:rPr>
          <w:rFonts w:ascii="宋体" w:hAnsi="宋体" w:cs="宋体" w:eastAsia="宋体" w:hint="default"/>
          <w:b/>
          <w:bCs/>
          <w:sz w:val="24"/>
          <w:szCs w:val="24"/>
        </w:rPr>
        <w:t>2、公司社会责任管理体系</w:t>
      </w:r>
      <w:r>
        <w:rPr>
          <w:rFonts w:ascii="宋体" w:hAnsi="宋体" w:cs="宋体" w:eastAsia="宋体" w:hint="default"/>
          <w:b/>
          <w:bCs/>
          <w:spacing w:val="1"/>
          <w:w w:val="99"/>
          <w:sz w:val="24"/>
          <w:szCs w:val="24"/>
        </w:rPr>
        <w:t> </w:t>
      </w:r>
      <w:r>
        <w:rPr>
          <w:rFonts w:ascii="宋体" w:hAnsi="宋体" w:cs="宋体" w:eastAsia="宋体" w:hint="default"/>
          <w:sz w:val="24"/>
          <w:szCs w:val="24"/>
        </w:rPr>
        <w:t>公司在确立系统的企业社会责任观的同时，还着力建设社会责任管理体系。</w:t>
      </w:r>
    </w:p>
    <w:p>
      <w:pPr>
        <w:pStyle w:val="Heading7"/>
        <w:spacing w:line="297" w:lineRule="auto"/>
        <w:ind w:left="119" w:right="101"/>
        <w:jc w:val="left"/>
        <w:rPr>
          <w:rFonts w:ascii="宋体" w:hAnsi="宋体" w:cs="宋体" w:eastAsia="宋体" w:hint="default"/>
        </w:rPr>
      </w:pPr>
      <w:r>
        <w:rPr>
          <w:rFonts w:ascii="宋体" w:hAnsi="宋体" w:cs="宋体" w:eastAsia="宋体" w:hint="default"/>
          <w:spacing w:val="-3"/>
        </w:rPr>
        <w:t>公司设立了可持续发展指导委员会，从上到下全方位地推动社会责任工作。可持</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6"/>
        </w:rPr>
        <w:t>续发展指导委员会由公司高级管理人员组成，统一指导社会责任工作，负责制定、</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rPr>
        <w:t>调整公司的企业社会责任战略，并授权和协调各相关部门进行执行。</w:t>
      </w:r>
    </w:p>
    <w:p>
      <w:pPr>
        <w:spacing w:after="0" w:line="297" w:lineRule="auto"/>
        <w:jc w:val="left"/>
        <w:rPr>
          <w:rFonts w:ascii="宋体" w:hAnsi="宋体" w:cs="宋体" w:eastAsia="宋体" w:hint="default"/>
        </w:rPr>
        <w:sectPr>
          <w:headerReference w:type="default" r:id="rId164"/>
          <w:footerReference w:type="default" r:id="rId165"/>
          <w:pgSz w:w="11910" w:h="16840"/>
          <w:pgMar w:header="0" w:footer="975" w:top="1440" w:bottom="1160" w:left="1680" w:right="1560"/>
          <w:pgNumType w:start="2"/>
        </w:sectPr>
      </w:pPr>
    </w:p>
    <w:p>
      <w:pPr>
        <w:spacing w:before="0"/>
        <w:ind w:left="540" w:right="101" w:firstLine="0"/>
        <w:jc w:val="left"/>
        <w:rPr>
          <w:rFonts w:ascii="宋体" w:hAnsi="宋体" w:cs="宋体" w:eastAsia="宋体" w:hint="default"/>
          <w:sz w:val="24"/>
          <w:szCs w:val="24"/>
        </w:rPr>
      </w:pPr>
      <w:r>
        <w:rPr>
          <w:rFonts w:ascii="宋体" w:hAnsi="宋体" w:cs="宋体" w:eastAsia="宋体" w:hint="default"/>
          <w:b/>
          <w:bCs/>
          <w:sz w:val="24"/>
          <w:szCs w:val="24"/>
        </w:rPr>
        <w:t>3、公司合规体系</w:t>
      </w:r>
      <w:r>
        <w:rPr>
          <w:rFonts w:ascii="宋体" w:hAnsi="宋体" w:cs="宋体" w:eastAsia="宋体" w:hint="default"/>
          <w:sz w:val="24"/>
          <w:szCs w:val="24"/>
        </w:rPr>
      </w:r>
    </w:p>
    <w:p>
      <w:pPr>
        <w:spacing w:line="240" w:lineRule="auto" w:before="9"/>
        <w:rPr>
          <w:rFonts w:ascii="宋体" w:hAnsi="宋体" w:cs="宋体" w:eastAsia="宋体" w:hint="default"/>
          <w:b/>
          <w:bCs/>
          <w:sz w:val="17"/>
          <w:szCs w:val="17"/>
        </w:rPr>
      </w:pPr>
    </w:p>
    <w:p>
      <w:pPr>
        <w:pStyle w:val="Heading7"/>
        <w:spacing w:line="297" w:lineRule="auto"/>
        <w:ind w:left="120" w:right="223" w:firstLine="480"/>
        <w:jc w:val="left"/>
        <w:rPr>
          <w:rFonts w:ascii="宋体" w:hAnsi="宋体" w:cs="宋体" w:eastAsia="宋体" w:hint="default"/>
        </w:rPr>
      </w:pPr>
      <w:r>
        <w:rPr>
          <w:rFonts w:ascii="宋体" w:hAnsi="宋体" w:cs="宋体" w:eastAsia="宋体" w:hint="default"/>
          <w:spacing w:val="-3"/>
        </w:rPr>
        <w:t>公司遵守商业道德和法律规定，建立了完备的合规体系，以此来保证公司和</w:t>
      </w:r>
      <w:r>
        <w:rPr>
          <w:rFonts w:ascii="宋体" w:hAnsi="宋体" w:cs="宋体" w:eastAsia="宋体" w:hint="default"/>
        </w:rPr>
        <w:t> 员工的经营活动，做优秀的企业公民。</w:t>
      </w:r>
    </w:p>
    <w:p>
      <w:pPr>
        <w:spacing w:line="297" w:lineRule="auto" w:before="174"/>
        <w:ind w:left="120" w:right="223" w:firstLine="480"/>
        <w:jc w:val="left"/>
        <w:rPr>
          <w:rFonts w:ascii="宋体" w:hAnsi="宋体" w:cs="宋体" w:eastAsia="宋体" w:hint="default"/>
          <w:sz w:val="24"/>
          <w:szCs w:val="24"/>
        </w:rPr>
      </w:pPr>
      <w:r>
        <w:rPr>
          <w:rFonts w:ascii="宋体" w:hAnsi="宋体" w:cs="宋体" w:eastAsia="宋体" w:hint="default"/>
          <w:spacing w:val="-3"/>
          <w:sz w:val="24"/>
          <w:szCs w:val="24"/>
        </w:rPr>
        <w:t>公司合规体系包括内部合规制度、内部合规通报体系、内部监督制度和惩戒</w:t>
      </w:r>
      <w:r>
        <w:rPr>
          <w:rFonts w:ascii="宋体" w:hAnsi="宋体" w:cs="宋体" w:eastAsia="宋体" w:hint="default"/>
          <w:sz w:val="24"/>
          <w:szCs w:val="24"/>
        </w:rPr>
        <w:t> 制度，重点关注环境、商业、产品质量和供应链领域。</w:t>
      </w:r>
    </w:p>
    <w:p>
      <w:pPr>
        <w:spacing w:line="297" w:lineRule="auto" w:before="174"/>
        <w:ind w:left="120" w:right="124" w:firstLine="420"/>
        <w:jc w:val="left"/>
        <w:rPr>
          <w:rFonts w:ascii="宋体" w:hAnsi="宋体" w:cs="宋体" w:eastAsia="宋体" w:hint="default"/>
          <w:sz w:val="24"/>
          <w:szCs w:val="24"/>
        </w:rPr>
      </w:pPr>
      <w:r>
        <w:rPr>
          <w:rFonts w:ascii="宋体" w:hAnsi="宋体" w:cs="宋体" w:eastAsia="宋体" w:hint="default"/>
          <w:sz w:val="24"/>
          <w:szCs w:val="24"/>
        </w:rPr>
        <w:t>公司规定，在对内和对外活动过程中，员工应该遵循诚实守信、平等公正、 符合法规、不谋私利、利益回避和信息保密等基本原则：对待同事应平等尊重； </w:t>
      </w:r>
      <w:r>
        <w:rPr>
          <w:rFonts w:ascii="宋体" w:hAnsi="宋体" w:cs="宋体" w:eastAsia="宋体" w:hint="default"/>
          <w:spacing w:val="-3"/>
          <w:sz w:val="24"/>
          <w:szCs w:val="24"/>
        </w:rPr>
        <w:t>对待客户应以提供高品质的产品和服务为己任；对待供应商应诚信公正、寻求双</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赢。</w:t>
      </w:r>
    </w:p>
    <w:p>
      <w:pPr>
        <w:spacing w:line="540" w:lineRule="atLeast" w:before="104"/>
        <w:ind w:left="600" w:right="223" w:hanging="61"/>
        <w:jc w:val="left"/>
        <w:rPr>
          <w:rFonts w:ascii="宋体" w:hAnsi="宋体" w:cs="宋体" w:eastAsia="宋体" w:hint="default"/>
          <w:sz w:val="24"/>
          <w:szCs w:val="24"/>
        </w:rPr>
      </w:pPr>
      <w:r>
        <w:rPr>
          <w:rFonts w:ascii="宋体" w:hAnsi="宋体" w:cs="宋体" w:eastAsia="宋体" w:hint="default"/>
          <w:b/>
          <w:bCs/>
          <w:sz w:val="24"/>
          <w:szCs w:val="24"/>
        </w:rPr>
        <w:t>三、为股东创造价值，回报股东</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公司发展战略清晰，主业聚焦，经营稳健，业绩优良。在保持对主业发展足</w:t>
      </w:r>
    </w:p>
    <w:p>
      <w:pPr>
        <w:pStyle w:val="Heading7"/>
        <w:spacing w:line="297" w:lineRule="auto" w:before="76"/>
        <w:ind w:left="120" w:right="229"/>
        <w:jc w:val="left"/>
        <w:rPr>
          <w:rFonts w:ascii="宋体" w:hAnsi="宋体" w:cs="宋体" w:eastAsia="宋体" w:hint="default"/>
        </w:rPr>
      </w:pPr>
      <w:r>
        <w:rPr>
          <w:rFonts w:ascii="宋体" w:hAnsi="宋体" w:cs="宋体" w:eastAsia="宋体" w:hint="default"/>
          <w:spacing w:val="-3"/>
        </w:rPr>
        <w:t>够投入的前提下，结合公司业绩情况，公司采取了持续的股利分配政策，为股东</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带来了丰厚的回报。</w:t>
      </w:r>
    </w:p>
    <w:p>
      <w:pPr>
        <w:spacing w:line="297" w:lineRule="auto" w:before="174"/>
        <w:ind w:left="120" w:right="124" w:firstLine="480"/>
        <w:jc w:val="left"/>
        <w:rPr>
          <w:rFonts w:ascii="宋体" w:hAnsi="宋体" w:cs="宋体" w:eastAsia="宋体" w:hint="default"/>
          <w:sz w:val="24"/>
          <w:szCs w:val="24"/>
        </w:rPr>
      </w:pPr>
      <w:r>
        <w:rPr>
          <w:rFonts w:ascii="宋体" w:hAnsi="宋体" w:cs="宋体" w:eastAsia="宋体" w:hint="default"/>
          <w:sz w:val="24"/>
          <w:szCs w:val="24"/>
        </w:rPr>
        <w:t>公司关注企业长期发展，注重公司治理结构，加强公司内部控制制度建设， 依法进行信息披露，搞好投资者关系管理，充分保护公司股东及债权人权益。</w:t>
      </w:r>
    </w:p>
    <w:p>
      <w:pPr>
        <w:spacing w:line="297" w:lineRule="auto" w:before="174"/>
        <w:ind w:left="120" w:right="100" w:firstLine="435"/>
        <w:jc w:val="left"/>
        <w:rPr>
          <w:rFonts w:ascii="宋体" w:hAnsi="宋体" w:cs="宋体" w:eastAsia="宋体" w:hint="default"/>
          <w:sz w:val="24"/>
          <w:szCs w:val="24"/>
        </w:rPr>
      </w:pPr>
      <w:r>
        <w:rPr>
          <w:rFonts w:ascii="宋体" w:hAnsi="宋体" w:cs="宋体" w:eastAsia="宋体" w:hint="default"/>
          <w:sz w:val="24"/>
          <w:szCs w:val="24"/>
        </w:rPr>
        <w:t>公司设立了证券与投资者关系部，负责管理与投资者的关系，开通了投资者 </w:t>
      </w:r>
      <w:r>
        <w:rPr>
          <w:rFonts w:ascii="宋体" w:hAnsi="宋体" w:cs="宋体" w:eastAsia="宋体" w:hint="default"/>
          <w:spacing w:val="-3"/>
          <w:sz w:val="24"/>
          <w:szCs w:val="24"/>
        </w:rPr>
        <w:t>咨询专线和投资者咨询信箱，积极主动做好投资者关系，与投资者保持了良好的</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沟通。公司严格遵守和执行证监会和上海证券交易所有关信息披露管理规定，制</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订了《信息披露管理制度》、《重大信息内部报告制度》，做好信息的保密和及</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6"/>
          <w:sz w:val="24"/>
          <w:szCs w:val="24"/>
        </w:rPr>
        <w:t>时、真实披露的工作，坚决杜绝内幕交易的行为，保障了广大公众投资者的利益。</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3"/>
          <w:sz w:val="24"/>
          <w:szCs w:val="24"/>
        </w:rPr>
        <w:t>公司自上市以来，未发生违反信息披露制度的事项。近年来公司召开股东大会的</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同时还开通了网络投票方式，为广大社会公众股投资者提供了充分发表意见的平</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台。</w:t>
      </w:r>
    </w:p>
    <w:p>
      <w:pPr>
        <w:spacing w:before="174"/>
        <w:ind w:left="540" w:right="101" w:firstLine="0"/>
        <w:jc w:val="left"/>
        <w:rPr>
          <w:rFonts w:ascii="宋体" w:hAnsi="宋体" w:cs="宋体" w:eastAsia="宋体" w:hint="default"/>
          <w:sz w:val="24"/>
          <w:szCs w:val="24"/>
        </w:rPr>
      </w:pPr>
      <w:r>
        <w:rPr>
          <w:rFonts w:ascii="宋体" w:hAnsi="宋体" w:cs="宋体" w:eastAsia="宋体" w:hint="default"/>
          <w:b/>
          <w:bCs/>
          <w:sz w:val="24"/>
          <w:szCs w:val="24"/>
        </w:rPr>
        <w:t>公司近三年分红情况为</w:t>
      </w:r>
      <w:r>
        <w:rPr>
          <w:rFonts w:ascii="宋体" w:hAnsi="宋体" w:cs="宋体" w:eastAsia="宋体" w:hint="default"/>
          <w:sz w:val="24"/>
          <w:szCs w:val="24"/>
        </w:rPr>
        <w:t>：</w:t>
      </w:r>
    </w:p>
    <w:p>
      <w:pPr>
        <w:spacing w:line="240" w:lineRule="auto" w:before="9"/>
        <w:rPr>
          <w:rFonts w:ascii="宋体" w:hAnsi="宋体" w:cs="宋体" w:eastAsia="宋体" w:hint="default"/>
          <w:sz w:val="17"/>
          <w:szCs w:val="17"/>
        </w:rPr>
      </w:pPr>
    </w:p>
    <w:tbl>
      <w:tblPr>
        <w:tblW w:w="0" w:type="auto"/>
        <w:jc w:val="left"/>
        <w:tblInd w:w="104" w:type="dxa"/>
        <w:tblLayout w:type="fixed"/>
        <w:tblCellMar>
          <w:top w:w="0" w:type="dxa"/>
          <w:left w:w="0" w:type="dxa"/>
          <w:bottom w:w="0" w:type="dxa"/>
          <w:right w:w="0" w:type="dxa"/>
        </w:tblCellMar>
        <w:tblLook w:val="01E0"/>
      </w:tblPr>
      <w:tblGrid>
        <w:gridCol w:w="1270"/>
        <w:gridCol w:w="2339"/>
        <w:gridCol w:w="2341"/>
        <w:gridCol w:w="2339"/>
      </w:tblGrid>
      <w:tr>
        <w:trPr>
          <w:trHeight w:val="319" w:hRule="exact"/>
        </w:trPr>
        <w:tc>
          <w:tcPr>
            <w:tcW w:w="1270" w:type="dxa"/>
            <w:tcBorders>
              <w:top w:val="single" w:sz="6" w:space="0" w:color="000000"/>
              <w:left w:val="single" w:sz="6" w:space="0" w:color="000000"/>
              <w:bottom w:val="nil" w:sz="6" w:space="0" w:color="auto"/>
              <w:right w:val="single" w:sz="6" w:space="0" w:color="000000"/>
            </w:tcBorders>
          </w:tcPr>
          <w:p>
            <w:pPr/>
          </w:p>
        </w:tc>
        <w:tc>
          <w:tcPr>
            <w:tcW w:w="2339" w:type="dxa"/>
            <w:tcBorders>
              <w:top w:val="single" w:sz="6" w:space="0" w:color="000000"/>
              <w:left w:val="single" w:sz="6" w:space="0" w:color="000000"/>
              <w:bottom w:val="nil" w:sz="6" w:space="0" w:color="auto"/>
              <w:right w:val="single" w:sz="6" w:space="0" w:color="000000"/>
            </w:tcBorders>
          </w:tcPr>
          <w:p>
            <w:pPr/>
          </w:p>
        </w:tc>
        <w:tc>
          <w:tcPr>
            <w:tcW w:w="2341"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分红年度合并报表中归</w:t>
            </w:r>
          </w:p>
        </w:tc>
        <w:tc>
          <w:tcPr>
            <w:tcW w:w="2339"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占合并报表中归属于母</w:t>
            </w:r>
          </w:p>
        </w:tc>
      </w:tr>
      <w:tr>
        <w:trPr>
          <w:trHeight w:val="313" w:hRule="exact"/>
        </w:trPr>
        <w:tc>
          <w:tcPr>
            <w:tcW w:w="1270" w:type="dxa"/>
            <w:tcBorders>
              <w:top w:val="nil" w:sz="6" w:space="0" w:color="auto"/>
              <w:left w:val="single" w:sz="6" w:space="0" w:color="000000"/>
              <w:bottom w:val="nil" w:sz="6" w:space="0" w:color="auto"/>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分红年度</w:t>
            </w:r>
          </w:p>
        </w:tc>
        <w:tc>
          <w:tcPr>
            <w:tcW w:w="2339"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5"/>
              <w:jc w:val="left"/>
              <w:rPr>
                <w:rFonts w:ascii="宋体" w:hAnsi="宋体" w:cs="宋体" w:eastAsia="宋体" w:hint="default"/>
                <w:sz w:val="21"/>
                <w:szCs w:val="21"/>
              </w:rPr>
            </w:pPr>
            <w:r>
              <w:rPr>
                <w:rFonts w:ascii="宋体" w:hAnsi="宋体" w:cs="宋体" w:eastAsia="宋体" w:hint="default"/>
                <w:spacing w:val="-8"/>
                <w:sz w:val="21"/>
                <w:szCs w:val="21"/>
              </w:rPr>
              <w:t>现金分红的数额（含税）</w:t>
            </w:r>
          </w:p>
        </w:tc>
        <w:tc>
          <w:tcPr>
            <w:tcW w:w="2341" w:type="dxa"/>
            <w:tcBorders>
              <w:top w:val="nil" w:sz="6" w:space="0" w:color="auto"/>
              <w:left w:val="single" w:sz="6" w:space="0" w:color="000000"/>
              <w:bottom w:val="nil" w:sz="6" w:space="0" w:color="auto"/>
              <w:right w:val="single" w:sz="6" w:space="0" w:color="000000"/>
            </w:tcBorders>
          </w:tcPr>
          <w:p>
            <w:pPr>
              <w:pStyle w:val="TableParagraph"/>
              <w:spacing w:line="262" w:lineRule="exact"/>
              <w:ind w:right="1"/>
              <w:jc w:val="center"/>
              <w:rPr>
                <w:rFonts w:ascii="宋体" w:hAnsi="宋体" w:cs="宋体" w:eastAsia="宋体" w:hint="default"/>
                <w:sz w:val="21"/>
                <w:szCs w:val="21"/>
              </w:rPr>
            </w:pPr>
            <w:r>
              <w:rPr>
                <w:rFonts w:ascii="宋体" w:hAnsi="宋体" w:cs="宋体" w:eastAsia="宋体" w:hint="default"/>
                <w:sz w:val="21"/>
                <w:szCs w:val="21"/>
              </w:rPr>
              <w:t>属于母公司所有者的净</w:t>
            </w:r>
          </w:p>
        </w:tc>
        <w:tc>
          <w:tcPr>
            <w:tcW w:w="2339" w:type="dxa"/>
            <w:tcBorders>
              <w:top w:val="nil" w:sz="6" w:space="0" w:color="auto"/>
              <w:left w:val="single" w:sz="6" w:space="0" w:color="000000"/>
              <w:bottom w:val="nil" w:sz="6" w:space="0" w:color="auto"/>
              <w:right w:val="single" w:sz="6" w:space="0" w:color="000000"/>
            </w:tcBorders>
          </w:tcPr>
          <w:p>
            <w:pPr>
              <w:pStyle w:val="TableParagraph"/>
              <w:spacing w:line="262" w:lineRule="exact"/>
              <w:ind w:right="1"/>
              <w:jc w:val="center"/>
              <w:rPr>
                <w:rFonts w:ascii="宋体" w:hAnsi="宋体" w:cs="宋体" w:eastAsia="宋体" w:hint="default"/>
                <w:sz w:val="21"/>
                <w:szCs w:val="21"/>
              </w:rPr>
            </w:pPr>
            <w:r>
              <w:rPr>
                <w:rFonts w:ascii="宋体" w:hAnsi="宋体" w:cs="宋体" w:eastAsia="宋体" w:hint="default"/>
                <w:sz w:val="21"/>
                <w:szCs w:val="21"/>
              </w:rPr>
              <w:t>公司所有者的净利润的</w:t>
            </w:r>
          </w:p>
        </w:tc>
      </w:tr>
      <w:tr>
        <w:trPr>
          <w:trHeight w:val="319" w:hRule="exact"/>
        </w:trPr>
        <w:tc>
          <w:tcPr>
            <w:tcW w:w="1270" w:type="dxa"/>
            <w:tcBorders>
              <w:top w:val="nil" w:sz="6" w:space="0" w:color="auto"/>
              <w:left w:val="single" w:sz="6" w:space="0" w:color="000000"/>
              <w:bottom w:val="single" w:sz="6" w:space="0" w:color="000000"/>
              <w:right w:val="single" w:sz="6" w:space="0" w:color="000000"/>
            </w:tcBorders>
          </w:tcPr>
          <w:p>
            <w:pPr/>
          </w:p>
        </w:tc>
        <w:tc>
          <w:tcPr>
            <w:tcW w:w="2339" w:type="dxa"/>
            <w:tcBorders>
              <w:top w:val="nil" w:sz="6" w:space="0" w:color="auto"/>
              <w:left w:val="single" w:sz="6" w:space="0" w:color="000000"/>
              <w:bottom w:val="single" w:sz="6" w:space="0" w:color="000000"/>
              <w:right w:val="single" w:sz="6" w:space="0" w:color="000000"/>
            </w:tcBorders>
          </w:tcPr>
          <w:p>
            <w:pPr/>
          </w:p>
        </w:tc>
        <w:tc>
          <w:tcPr>
            <w:tcW w:w="2341"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利润</w:t>
            </w:r>
          </w:p>
        </w:tc>
        <w:tc>
          <w:tcPr>
            <w:tcW w:w="2339"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比率(%)</w:t>
            </w:r>
          </w:p>
        </w:tc>
      </w:tr>
      <w:tr>
        <w:trPr>
          <w:trHeight w:val="341" w:hRule="exact"/>
        </w:trPr>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1"/>
              <w:jc w:val="center"/>
              <w:rPr>
                <w:rFonts w:ascii="宋体" w:hAnsi="宋体" w:cs="宋体" w:eastAsia="宋体" w:hint="default"/>
                <w:sz w:val="21"/>
                <w:szCs w:val="21"/>
              </w:rPr>
            </w:pPr>
            <w:r>
              <w:rPr>
                <w:rFonts w:ascii="宋体"/>
                <w:sz w:val="21"/>
              </w:rPr>
              <w:t>2007</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left="584" w:right="0"/>
              <w:jc w:val="left"/>
              <w:rPr>
                <w:rFonts w:ascii="宋体" w:hAnsi="宋体" w:cs="宋体" w:eastAsia="宋体" w:hint="default"/>
                <w:sz w:val="21"/>
                <w:szCs w:val="21"/>
              </w:rPr>
            </w:pPr>
            <w:r>
              <w:rPr>
                <w:rFonts w:ascii="宋体"/>
                <w:sz w:val="21"/>
              </w:rPr>
              <w:t>231,361,200</w:t>
            </w:r>
          </w:p>
        </w:tc>
        <w:tc>
          <w:tcPr>
            <w:tcW w:w="2341"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1"/>
              <w:jc w:val="center"/>
              <w:rPr>
                <w:rFonts w:ascii="宋体" w:hAnsi="宋体" w:cs="宋体" w:eastAsia="宋体" w:hint="default"/>
                <w:sz w:val="21"/>
                <w:szCs w:val="21"/>
              </w:rPr>
            </w:pPr>
            <w:r>
              <w:rPr>
                <w:rFonts w:ascii="宋体"/>
                <w:sz w:val="21"/>
              </w:rPr>
              <w:t>360,451,392</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0"/>
              <w:jc w:val="center"/>
              <w:rPr>
                <w:rFonts w:ascii="宋体" w:hAnsi="宋体" w:cs="宋体" w:eastAsia="宋体" w:hint="default"/>
                <w:sz w:val="21"/>
                <w:szCs w:val="21"/>
              </w:rPr>
            </w:pPr>
            <w:r>
              <w:rPr>
                <w:rFonts w:ascii="宋体"/>
                <w:sz w:val="21"/>
              </w:rPr>
              <w:t>64</w:t>
            </w:r>
          </w:p>
        </w:tc>
      </w:tr>
      <w:tr>
        <w:trPr>
          <w:trHeight w:val="340" w:hRule="exact"/>
        </w:trPr>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1"/>
              <w:jc w:val="center"/>
              <w:rPr>
                <w:rFonts w:ascii="宋体" w:hAnsi="宋体" w:cs="宋体" w:eastAsia="宋体" w:hint="default"/>
                <w:sz w:val="21"/>
                <w:szCs w:val="21"/>
              </w:rPr>
            </w:pPr>
            <w:r>
              <w:rPr>
                <w:rFonts w:ascii="宋体"/>
                <w:sz w:val="21"/>
              </w:rPr>
              <w:t>2008</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left="584" w:right="0"/>
              <w:jc w:val="left"/>
              <w:rPr>
                <w:rFonts w:ascii="宋体" w:hAnsi="宋体" w:cs="宋体" w:eastAsia="宋体" w:hint="default"/>
                <w:sz w:val="21"/>
                <w:szCs w:val="21"/>
              </w:rPr>
            </w:pPr>
            <w:r>
              <w:rPr>
                <w:rFonts w:ascii="宋体"/>
                <w:sz w:val="21"/>
              </w:rPr>
              <w:t>139,998,893</w:t>
            </w:r>
          </w:p>
        </w:tc>
        <w:tc>
          <w:tcPr>
            <w:tcW w:w="2341"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1"/>
              <w:jc w:val="center"/>
              <w:rPr>
                <w:rFonts w:ascii="宋体" w:hAnsi="宋体" w:cs="宋体" w:eastAsia="宋体" w:hint="default"/>
                <w:sz w:val="21"/>
                <w:szCs w:val="21"/>
              </w:rPr>
            </w:pPr>
            <w:r>
              <w:rPr>
                <w:rFonts w:ascii="宋体"/>
                <w:sz w:val="21"/>
              </w:rPr>
              <w:t>391,432,157</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0"/>
              <w:jc w:val="center"/>
              <w:rPr>
                <w:rFonts w:ascii="宋体" w:hAnsi="宋体" w:cs="宋体" w:eastAsia="宋体" w:hint="default"/>
                <w:sz w:val="21"/>
                <w:szCs w:val="21"/>
              </w:rPr>
            </w:pPr>
            <w:r>
              <w:rPr>
                <w:rFonts w:ascii="宋体"/>
                <w:sz w:val="21"/>
              </w:rPr>
              <w:t>36</w:t>
            </w:r>
          </w:p>
        </w:tc>
      </w:tr>
      <w:tr>
        <w:trPr>
          <w:trHeight w:val="355" w:hRule="exact"/>
        </w:trPr>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
              <w:jc w:val="center"/>
              <w:rPr>
                <w:rFonts w:ascii="宋体" w:hAnsi="宋体" w:cs="宋体" w:eastAsia="宋体" w:hint="default"/>
                <w:sz w:val="21"/>
                <w:szCs w:val="21"/>
              </w:rPr>
            </w:pPr>
            <w:r>
              <w:rPr>
                <w:rFonts w:ascii="宋体"/>
                <w:sz w:val="21"/>
              </w:rPr>
              <w:t>2009</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584" w:right="0"/>
              <w:jc w:val="left"/>
              <w:rPr>
                <w:rFonts w:ascii="宋体" w:hAnsi="宋体" w:cs="宋体" w:eastAsia="宋体" w:hint="default"/>
                <w:sz w:val="21"/>
                <w:szCs w:val="21"/>
              </w:rPr>
            </w:pPr>
            <w:r>
              <w:rPr>
                <w:rFonts w:ascii="宋体"/>
                <w:sz w:val="21"/>
              </w:rPr>
              <w:t>376,715,310</w:t>
            </w:r>
          </w:p>
        </w:tc>
        <w:tc>
          <w:tcPr>
            <w:tcW w:w="2341"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
              <w:jc w:val="center"/>
              <w:rPr>
                <w:rFonts w:ascii="宋体" w:hAnsi="宋体" w:cs="宋体" w:eastAsia="宋体" w:hint="default"/>
                <w:sz w:val="21"/>
                <w:szCs w:val="21"/>
              </w:rPr>
            </w:pPr>
            <w:r>
              <w:rPr>
                <w:rFonts w:ascii="宋体"/>
                <w:sz w:val="21"/>
              </w:rPr>
              <w:t>593,699,966</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sz w:val="21"/>
              </w:rPr>
              <w:t>63</w:t>
            </w:r>
          </w:p>
        </w:tc>
      </w:tr>
    </w:tbl>
    <w:p>
      <w:pPr>
        <w:spacing w:line="240" w:lineRule="auto" w:before="13"/>
        <w:rPr>
          <w:rFonts w:ascii="宋体" w:hAnsi="宋体" w:cs="宋体" w:eastAsia="宋体" w:hint="default"/>
          <w:sz w:val="9"/>
          <w:szCs w:val="9"/>
        </w:rPr>
      </w:pPr>
    </w:p>
    <w:p>
      <w:pPr>
        <w:spacing w:before="26"/>
        <w:ind w:left="591" w:right="101" w:firstLine="0"/>
        <w:jc w:val="left"/>
        <w:rPr>
          <w:rFonts w:ascii="宋体" w:hAnsi="宋体" w:cs="宋体" w:eastAsia="宋体" w:hint="default"/>
          <w:sz w:val="24"/>
          <w:szCs w:val="24"/>
        </w:rPr>
      </w:pPr>
      <w:r>
        <w:rPr>
          <w:rFonts w:ascii="宋体" w:hAnsi="宋体" w:cs="宋体" w:eastAsia="宋体" w:hint="default"/>
          <w:b/>
          <w:bCs/>
          <w:sz w:val="24"/>
          <w:szCs w:val="24"/>
        </w:rPr>
        <w:t>公司近三年资本公积转增股本情况为：</w:t>
      </w:r>
      <w:r>
        <w:rPr>
          <w:rFonts w:ascii="宋体" w:hAnsi="宋体" w:cs="宋体" w:eastAsia="宋体" w:hint="default"/>
          <w:sz w:val="24"/>
          <w:szCs w:val="24"/>
        </w:rPr>
      </w:r>
    </w:p>
    <w:p>
      <w:pPr>
        <w:spacing w:after="0"/>
        <w:jc w:val="left"/>
        <w:rPr>
          <w:rFonts w:ascii="宋体" w:hAnsi="宋体" w:cs="宋体" w:eastAsia="宋体" w:hint="default"/>
          <w:sz w:val="24"/>
          <w:szCs w:val="24"/>
        </w:rPr>
        <w:sectPr>
          <w:headerReference w:type="default" r:id="rId166"/>
          <w:footerReference w:type="default" r:id="rId167"/>
          <w:pgSz w:w="11910" w:h="16840"/>
          <w:pgMar w:header="0" w:footer="975" w:top="1440" w:bottom="1160" w:left="1680" w:right="1560"/>
          <w:pgNumType w:start="3"/>
        </w:sectPr>
      </w:pPr>
    </w:p>
    <w:p>
      <w:pPr>
        <w:spacing w:line="240" w:lineRule="auto" w:before="1"/>
        <w:rPr>
          <w:rFonts w:ascii="宋体" w:hAnsi="宋体" w:cs="宋体" w:eastAsia="宋体" w:hint="default"/>
          <w:b/>
          <w:bCs/>
          <w:sz w:val="6"/>
          <w:szCs w:val="6"/>
        </w:rPr>
      </w:pPr>
    </w:p>
    <w:tbl>
      <w:tblPr>
        <w:tblW w:w="0" w:type="auto"/>
        <w:jc w:val="left"/>
        <w:tblInd w:w="110" w:type="dxa"/>
        <w:tblLayout w:type="fixed"/>
        <w:tblCellMar>
          <w:top w:w="0" w:type="dxa"/>
          <w:left w:w="0" w:type="dxa"/>
          <w:bottom w:w="0" w:type="dxa"/>
          <w:right w:w="0" w:type="dxa"/>
        </w:tblCellMar>
        <w:tblLook w:val="01E0"/>
      </w:tblPr>
      <w:tblGrid>
        <w:gridCol w:w="1180"/>
        <w:gridCol w:w="2369"/>
        <w:gridCol w:w="2368"/>
        <w:gridCol w:w="2369"/>
      </w:tblGrid>
      <w:tr>
        <w:trPr>
          <w:trHeight w:val="520" w:hRule="exact"/>
        </w:trPr>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
              <w:jc w:val="center"/>
              <w:rPr>
                <w:rFonts w:ascii="宋体" w:hAnsi="宋体" w:cs="宋体" w:eastAsia="宋体" w:hint="default"/>
                <w:sz w:val="21"/>
                <w:szCs w:val="21"/>
              </w:rPr>
            </w:pPr>
            <w:r>
              <w:rPr>
                <w:rFonts w:ascii="宋体" w:hAnsi="宋体" w:cs="宋体" w:eastAsia="宋体" w:hint="default"/>
                <w:sz w:val="21"/>
                <w:szCs w:val="21"/>
              </w:rPr>
              <w:t>年度</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548" w:right="0"/>
              <w:jc w:val="left"/>
              <w:rPr>
                <w:rFonts w:ascii="宋体" w:hAnsi="宋体" w:cs="宋体" w:eastAsia="宋体" w:hint="default"/>
                <w:sz w:val="21"/>
                <w:szCs w:val="21"/>
              </w:rPr>
            </w:pPr>
            <w:r>
              <w:rPr>
                <w:rFonts w:ascii="宋体" w:hAnsi="宋体" w:cs="宋体" w:eastAsia="宋体" w:hint="default"/>
                <w:sz w:val="21"/>
                <w:szCs w:val="21"/>
              </w:rPr>
              <w:t>转增前股份数</w:t>
            </w:r>
          </w:p>
        </w:tc>
        <w:tc>
          <w:tcPr>
            <w:tcW w:w="2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
              <w:jc w:val="center"/>
              <w:rPr>
                <w:rFonts w:ascii="宋体" w:hAnsi="宋体" w:cs="宋体" w:eastAsia="宋体" w:hint="default"/>
                <w:sz w:val="21"/>
                <w:szCs w:val="21"/>
              </w:rPr>
            </w:pPr>
            <w:r>
              <w:rPr>
                <w:rFonts w:ascii="宋体" w:hAnsi="宋体" w:cs="宋体" w:eastAsia="宋体" w:hint="default"/>
                <w:sz w:val="21"/>
                <w:szCs w:val="21"/>
              </w:rPr>
              <w:t>资本公积转股数量</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
              <w:jc w:val="center"/>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5"/>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股转增股份数</w:t>
            </w:r>
          </w:p>
        </w:tc>
      </w:tr>
      <w:tr>
        <w:trPr>
          <w:trHeight w:val="323" w:hRule="exact"/>
        </w:trPr>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2007</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601" w:right="0"/>
              <w:jc w:val="left"/>
              <w:rPr>
                <w:rFonts w:ascii="宋体" w:hAnsi="宋体" w:cs="宋体" w:eastAsia="宋体" w:hint="default"/>
                <w:sz w:val="21"/>
                <w:szCs w:val="21"/>
              </w:rPr>
            </w:pPr>
            <w:r>
              <w:rPr>
                <w:rFonts w:ascii="宋体"/>
                <w:sz w:val="21"/>
              </w:rPr>
              <w:t>231,379,200</w:t>
            </w:r>
          </w:p>
        </w:tc>
        <w:tc>
          <w:tcPr>
            <w:tcW w:w="23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231,361,200</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10</w:t>
            </w:r>
          </w:p>
        </w:tc>
      </w:tr>
      <w:tr>
        <w:trPr>
          <w:trHeight w:val="322" w:hRule="exact"/>
        </w:trPr>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2008</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601" w:right="0"/>
              <w:jc w:val="left"/>
              <w:rPr>
                <w:rFonts w:ascii="宋体" w:hAnsi="宋体" w:cs="宋体" w:eastAsia="宋体" w:hint="default"/>
                <w:sz w:val="21"/>
                <w:szCs w:val="21"/>
              </w:rPr>
            </w:pPr>
            <w:r>
              <w:rPr>
                <w:rFonts w:ascii="宋体"/>
                <w:sz w:val="21"/>
              </w:rPr>
              <w:t>466,683,575</w:t>
            </w:r>
          </w:p>
        </w:tc>
        <w:tc>
          <w:tcPr>
            <w:tcW w:w="23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139,998,893</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3</w:t>
            </w:r>
          </w:p>
        </w:tc>
      </w:tr>
      <w:tr>
        <w:trPr>
          <w:trHeight w:val="323" w:hRule="exact"/>
        </w:trPr>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2009</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601" w:right="0"/>
              <w:jc w:val="left"/>
              <w:rPr>
                <w:rFonts w:ascii="宋体" w:hAnsi="宋体" w:cs="宋体" w:eastAsia="宋体" w:hint="default"/>
                <w:sz w:val="21"/>
                <w:szCs w:val="21"/>
              </w:rPr>
            </w:pPr>
            <w:r>
              <w:rPr>
                <w:rFonts w:ascii="宋体"/>
                <w:sz w:val="21"/>
              </w:rPr>
              <w:t>627,858,850</w:t>
            </w:r>
          </w:p>
        </w:tc>
        <w:tc>
          <w:tcPr>
            <w:tcW w:w="23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188,357,655</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3</w:t>
            </w:r>
          </w:p>
        </w:tc>
      </w:tr>
    </w:tbl>
    <w:p>
      <w:pPr>
        <w:spacing w:line="240" w:lineRule="auto" w:before="12"/>
        <w:rPr>
          <w:rFonts w:ascii="宋体" w:hAnsi="宋体" w:cs="宋体" w:eastAsia="宋体" w:hint="default"/>
          <w:b/>
          <w:bCs/>
          <w:sz w:val="21"/>
          <w:szCs w:val="21"/>
        </w:rPr>
      </w:pPr>
    </w:p>
    <w:p>
      <w:pPr>
        <w:pStyle w:val="Heading6"/>
        <w:spacing w:line="240" w:lineRule="auto" w:before="26"/>
        <w:ind w:left="603" w:right="101"/>
        <w:jc w:val="left"/>
        <w:rPr>
          <w:rFonts w:ascii="宋体" w:hAnsi="宋体" w:cs="宋体" w:eastAsia="宋体" w:hint="default"/>
          <w:b w:val="0"/>
          <w:bCs w:val="0"/>
        </w:rPr>
      </w:pPr>
      <w:r>
        <w:rPr>
          <w:rFonts w:ascii="宋体" w:hAnsi="宋体" w:cs="宋体" w:eastAsia="宋体" w:hint="default"/>
        </w:rPr>
        <w:t>四、做客户信赖的长期合作伙伴</w:t>
      </w:r>
      <w:r>
        <w:rPr>
          <w:rFonts w:ascii="宋体" w:hAnsi="宋体" w:cs="宋体" w:eastAsia="宋体" w:hint="default"/>
          <w:b w:val="0"/>
          <w:bCs w:val="0"/>
        </w:rPr>
      </w:r>
    </w:p>
    <w:p>
      <w:pPr>
        <w:spacing w:line="240" w:lineRule="auto" w:before="9"/>
        <w:rPr>
          <w:rFonts w:ascii="宋体" w:hAnsi="宋体" w:cs="宋体" w:eastAsia="宋体" w:hint="default"/>
          <w:b/>
          <w:bCs/>
          <w:sz w:val="17"/>
          <w:szCs w:val="17"/>
        </w:rPr>
      </w:pPr>
    </w:p>
    <w:p>
      <w:pPr>
        <w:pStyle w:val="Heading7"/>
        <w:spacing w:line="297" w:lineRule="auto"/>
        <w:ind w:left="120" w:right="235" w:firstLine="480"/>
        <w:jc w:val="both"/>
        <w:rPr>
          <w:rFonts w:ascii="宋体" w:hAnsi="宋体" w:cs="宋体" w:eastAsia="宋体" w:hint="default"/>
        </w:rPr>
      </w:pPr>
      <w:r>
        <w:rPr>
          <w:rFonts w:ascii="宋体" w:hAnsi="宋体" w:cs="宋体" w:eastAsia="宋体" w:hint="default"/>
          <w:spacing w:val="-3"/>
        </w:rPr>
        <w:t>公司以专业的能力、诚信负责的态度，不断创造先进产品，长期优质服务客</w:t>
      </w:r>
      <w:r>
        <w:rPr>
          <w:rFonts w:ascii="宋体" w:hAnsi="宋体" w:cs="宋体" w:eastAsia="宋体" w:hint="default"/>
        </w:rPr>
        <w:t> </w:t>
      </w:r>
      <w:r>
        <w:rPr>
          <w:rFonts w:ascii="宋体" w:hAnsi="宋体" w:cs="宋体" w:eastAsia="宋体" w:hint="default"/>
          <w:spacing w:val="-3"/>
        </w:rPr>
        <w:t>户，帮助客户持续成功，以此赢得客户信赖，并保持长期合作关系。公司以客户</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为中心，为客户提供全生命周期的价值服务，主动、长期、全面、深度、全员服</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务和经营客户；满足客户需求，超越客户期望，创造客户价值，贴近客户、倾听</w:t>
      </w:r>
      <w:r>
        <w:rPr>
          <w:rFonts w:ascii="宋体" w:hAnsi="宋体" w:cs="宋体" w:eastAsia="宋体" w:hint="default"/>
          <w:spacing w:val="-115"/>
        </w:rPr>
        <w:t> </w:t>
      </w:r>
      <w:r>
        <w:rPr>
          <w:rFonts w:ascii="宋体" w:hAnsi="宋体" w:cs="宋体" w:eastAsia="宋体" w:hint="default"/>
          <w:spacing w:val="-115"/>
        </w:rPr>
      </w:r>
      <w:r>
        <w:rPr>
          <w:rFonts w:ascii="宋体" w:hAnsi="宋体" w:cs="宋体" w:eastAsia="宋体" w:hint="default"/>
        </w:rPr>
        <w:t>客户、向客户学习，积极对待客户投诉。</w:t>
      </w:r>
    </w:p>
    <w:p>
      <w:pPr>
        <w:spacing w:line="297" w:lineRule="auto" w:before="174"/>
        <w:ind w:left="120" w:right="100" w:firstLine="480"/>
        <w:jc w:val="left"/>
        <w:rPr>
          <w:rFonts w:ascii="宋体" w:hAnsi="宋体" w:cs="宋体" w:eastAsia="宋体" w:hint="default"/>
          <w:sz w:val="24"/>
          <w:szCs w:val="24"/>
        </w:rPr>
      </w:pPr>
      <w:r>
        <w:rPr>
          <w:rFonts w:ascii="宋体" w:hAnsi="宋体" w:cs="宋体" w:eastAsia="宋体" w:hint="default"/>
          <w:spacing w:val="-3"/>
          <w:sz w:val="24"/>
          <w:szCs w:val="24"/>
        </w:rPr>
        <w:t>公司致力于为中国的企业及机构提供管理软件产品和相关服务，用信息技术</w:t>
      </w:r>
      <w:r>
        <w:rPr>
          <w:rFonts w:ascii="宋体" w:hAnsi="宋体" w:cs="宋体" w:eastAsia="宋体" w:hint="default"/>
          <w:sz w:val="24"/>
          <w:szCs w:val="24"/>
        </w:rPr>
        <w:t> </w:t>
      </w:r>
      <w:r>
        <w:rPr>
          <w:rFonts w:ascii="宋体" w:hAnsi="宋体" w:cs="宋体" w:eastAsia="宋体" w:hint="default"/>
          <w:spacing w:val="-3"/>
          <w:sz w:val="24"/>
          <w:szCs w:val="24"/>
        </w:rPr>
        <w:t>推动商业和管理进步，并把基于先进信息技术（包括通信技术）的最佳管理与业</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务实践普及到客户的管理与业务创新活动中，全面提供具有自主知识产权的企业</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6"/>
          <w:sz w:val="24"/>
          <w:szCs w:val="24"/>
        </w:rPr>
        <w:t>管理软件、服务与解决方案。公司产品覆盖众多行业领域、企业规模和成长阶段，</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z w:val="24"/>
          <w:szCs w:val="24"/>
        </w:rPr>
        <w:t>客户可获得全方位、全生命周期的管理信息化服务，实现降低成本、提高效率、 加快市场响应速度、提升绩效等业务价值，增强企业竞争力。</w:t>
      </w:r>
    </w:p>
    <w:p>
      <w:pPr>
        <w:spacing w:line="297" w:lineRule="auto" w:before="174"/>
        <w:ind w:left="119" w:right="125" w:firstLine="482"/>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1"/>
          <w:sz w:val="24"/>
          <w:szCs w:val="24"/>
        </w:rPr>
        <w:t> </w:t>
      </w:r>
      <w:r>
        <w:rPr>
          <w:rFonts w:ascii="宋体" w:hAnsi="宋体" w:cs="宋体" w:eastAsia="宋体" w:hint="default"/>
          <w:sz w:val="24"/>
          <w:szCs w:val="24"/>
        </w:rPr>
        <w:t>年，公司持续推进客户经营战略，从对客户的阶段经营转向客户全生</w:t>
      </w:r>
      <w:r>
        <w:rPr>
          <w:rFonts w:ascii="宋体" w:hAnsi="宋体" w:cs="宋体" w:eastAsia="宋体" w:hint="default"/>
          <w:sz w:val="24"/>
          <w:szCs w:val="24"/>
        </w:rPr>
        <w:t> </w:t>
      </w:r>
      <w:r>
        <w:rPr>
          <w:rFonts w:ascii="宋体" w:hAnsi="宋体" w:cs="宋体" w:eastAsia="宋体" w:hint="default"/>
          <w:spacing w:val="-3"/>
          <w:sz w:val="24"/>
          <w:szCs w:val="24"/>
        </w:rPr>
        <w:t>命周期经营，从产品经营转向全面服务经营，从被动经营转向主动经营，从浅度</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经营转向深度经营。公司根据客户不同发展阶段对信息化的不同要求，结合其经</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营管理和商业运作的模式，为客户带来更适合的信息化服务，实现对客户在产品</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应用、在线应用、方案应用和应用集成四个不同层次的信息化应用模式的支撑， 不断为客户创造价值，帮助客户在各自的业务领域持续成功。</w:t>
      </w:r>
    </w:p>
    <w:p>
      <w:pPr>
        <w:spacing w:line="297" w:lineRule="auto" w:before="174"/>
        <w:ind w:left="119" w:right="232" w:firstLine="482"/>
        <w:jc w:val="both"/>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1"/>
          <w:sz w:val="24"/>
          <w:szCs w:val="24"/>
        </w:rPr>
        <w:t> </w:t>
      </w:r>
      <w:r>
        <w:rPr>
          <w:rFonts w:ascii="宋体" w:hAnsi="宋体" w:cs="宋体" w:eastAsia="宋体" w:hint="default"/>
          <w:sz w:val="24"/>
          <w:szCs w:val="24"/>
        </w:rPr>
        <w:t>年，经济危机席卷全球，中国企业面临严峻的挑战。公司针对中国企</w:t>
      </w:r>
      <w:r>
        <w:rPr>
          <w:rFonts w:ascii="宋体" w:hAnsi="宋体" w:cs="宋体" w:eastAsia="宋体" w:hint="default"/>
          <w:sz w:val="24"/>
          <w:szCs w:val="24"/>
        </w:rPr>
        <w:t> </w:t>
      </w:r>
      <w:r>
        <w:rPr>
          <w:rFonts w:ascii="宋体" w:hAnsi="宋体" w:cs="宋体" w:eastAsia="宋体" w:hint="default"/>
          <w:spacing w:val="-3"/>
          <w:sz w:val="24"/>
          <w:szCs w:val="24"/>
        </w:rPr>
        <w:t>业遇到的困境，推出助力中国企业转型升级加速器计划，包括帮助中小企业应对</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全球经济变局，提升应对经营风险应变能力而提出的公益计划“中小企业健康成</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长计划”；为国内大型企业应对经济危机带来的困境，在全国 40</w:t>
      </w:r>
      <w:r>
        <w:rPr>
          <w:rFonts w:ascii="宋体" w:hAnsi="宋体" w:cs="宋体" w:eastAsia="宋体" w:hint="default"/>
          <w:spacing w:val="-94"/>
          <w:sz w:val="24"/>
          <w:szCs w:val="24"/>
        </w:rPr>
        <w:t> </w:t>
      </w:r>
      <w:r>
        <w:rPr>
          <w:rFonts w:ascii="宋体" w:hAnsi="宋体" w:cs="宋体" w:eastAsia="宋体" w:hint="default"/>
          <w:sz w:val="24"/>
          <w:szCs w:val="24"/>
        </w:rPr>
        <w:t>个城市巡回开</w:t>
      </w:r>
    </w:p>
    <w:p>
      <w:pPr>
        <w:spacing w:line="297" w:lineRule="auto" w:before="18"/>
        <w:ind w:left="119" w:right="125" w:firstLine="0"/>
        <w:jc w:val="left"/>
        <w:rPr>
          <w:rFonts w:ascii="宋体" w:hAnsi="宋体" w:cs="宋体" w:eastAsia="宋体" w:hint="default"/>
          <w:sz w:val="24"/>
          <w:szCs w:val="24"/>
        </w:rPr>
      </w:pPr>
      <w:r>
        <w:rPr>
          <w:rFonts w:ascii="宋体" w:hAnsi="宋体" w:cs="宋体" w:eastAsia="宋体" w:hint="default"/>
          <w:sz w:val="24"/>
          <w:szCs w:val="24"/>
        </w:rPr>
        <w:t>展了“管理谋动 2009</w:t>
      </w:r>
      <w:r>
        <w:rPr>
          <w:rFonts w:ascii="宋体" w:hAnsi="宋体" w:cs="宋体" w:eastAsia="宋体" w:hint="default"/>
          <w:spacing w:val="-60"/>
          <w:sz w:val="24"/>
          <w:szCs w:val="24"/>
        </w:rPr>
        <w:t> </w:t>
      </w:r>
      <w:r>
        <w:rPr>
          <w:rFonts w:ascii="宋体" w:hAnsi="宋体" w:cs="宋体" w:eastAsia="宋体" w:hint="default"/>
          <w:sz w:val="24"/>
          <w:szCs w:val="24"/>
        </w:rPr>
        <w:t>中国企业集团论道转型升级”，通过数据化的调研实例，</w:t>
      </w:r>
      <w:r>
        <w:rPr>
          <w:rFonts w:ascii="宋体" w:hAnsi="宋体" w:cs="宋体" w:eastAsia="宋体" w:hint="default"/>
          <w:sz w:val="24"/>
          <w:szCs w:val="24"/>
        </w:rPr>
        <w:t> </w:t>
      </w:r>
      <w:r>
        <w:rPr>
          <w:rFonts w:ascii="宋体" w:hAnsi="宋体" w:cs="宋体" w:eastAsia="宋体" w:hint="default"/>
          <w:spacing w:val="4"/>
          <w:sz w:val="24"/>
          <w:szCs w:val="24"/>
        </w:rPr>
        <w:t>以及工具化的软件和解决方案，全面帮助中国企业集团实现转型升级的发展需</w:t>
      </w:r>
      <w:r>
        <w:rPr>
          <w:rFonts w:ascii="宋体" w:hAnsi="宋体" w:cs="宋体" w:eastAsia="宋体" w:hint="default"/>
          <w:spacing w:val="4"/>
          <w:sz w:val="24"/>
          <w:szCs w:val="24"/>
        </w:rPr>
        <w:t> </w:t>
      </w:r>
      <w:r>
        <w:rPr>
          <w:rFonts w:ascii="宋体" w:hAnsi="宋体" w:cs="宋体" w:eastAsia="宋体" w:hint="default"/>
          <w:sz w:val="24"/>
          <w:szCs w:val="24"/>
        </w:rPr>
        <w:t>求。此外，结合国家颁布的企业内控规范，提供集团管控解决方案；助力钢铁、</w:t>
      </w:r>
      <w:r>
        <w:rPr>
          <w:rFonts w:ascii="宋体" w:hAnsi="宋体" w:cs="宋体" w:eastAsia="宋体" w:hint="default"/>
          <w:sz w:val="24"/>
          <w:szCs w:val="24"/>
        </w:rPr>
        <w:t> </w:t>
      </w:r>
      <w:r>
        <w:rPr>
          <w:rFonts w:ascii="宋体" w:hAnsi="宋体" w:cs="宋体" w:eastAsia="宋体" w:hint="default"/>
          <w:spacing w:val="-3"/>
          <w:sz w:val="24"/>
          <w:szCs w:val="24"/>
        </w:rPr>
        <w:t>房地产、商贸流通、文化教育出版等行业全面转型升级，在危与机的浪潮中，鼎</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z w:val="24"/>
          <w:szCs w:val="24"/>
        </w:rPr>
        <w:t>力相助中国企业走出困境。</w:t>
      </w:r>
    </w:p>
    <w:p>
      <w:pPr>
        <w:spacing w:line="297" w:lineRule="auto" w:before="174"/>
        <w:ind w:left="119" w:right="218" w:firstLine="480"/>
        <w:jc w:val="left"/>
        <w:rPr>
          <w:rFonts w:ascii="宋体" w:hAnsi="宋体" w:cs="宋体" w:eastAsia="宋体" w:hint="default"/>
          <w:sz w:val="24"/>
          <w:szCs w:val="24"/>
        </w:rPr>
      </w:pPr>
      <w:r>
        <w:rPr>
          <w:rFonts w:ascii="宋体" w:hAnsi="宋体" w:cs="宋体" w:eastAsia="宋体" w:hint="default"/>
          <w:sz w:val="24"/>
          <w:szCs w:val="24"/>
        </w:rPr>
        <w:t>由中国电子信息产业发展研究院主办的“2009</w:t>
      </w:r>
      <w:r>
        <w:rPr>
          <w:rFonts w:ascii="宋体" w:hAnsi="宋体" w:cs="宋体" w:eastAsia="宋体" w:hint="default"/>
          <w:spacing w:val="-62"/>
          <w:sz w:val="24"/>
          <w:szCs w:val="24"/>
        </w:rPr>
        <w:t> </w:t>
      </w:r>
      <w:r>
        <w:rPr>
          <w:rFonts w:ascii="宋体" w:hAnsi="宋体" w:cs="宋体" w:eastAsia="宋体" w:hint="default"/>
          <w:sz w:val="24"/>
          <w:szCs w:val="24"/>
        </w:rPr>
        <w:t>中国</w:t>
      </w:r>
      <w:r>
        <w:rPr>
          <w:rFonts w:ascii="宋体" w:hAnsi="宋体" w:cs="宋体" w:eastAsia="宋体" w:hint="default"/>
          <w:spacing w:val="-62"/>
          <w:sz w:val="24"/>
          <w:szCs w:val="24"/>
        </w:rPr>
        <w:t> </w:t>
      </w:r>
      <w:r>
        <w:rPr>
          <w:rFonts w:ascii="宋体" w:hAnsi="宋体" w:cs="宋体" w:eastAsia="宋体" w:hint="default"/>
          <w:sz w:val="24"/>
          <w:szCs w:val="24"/>
        </w:rPr>
        <w:t>IT</w:t>
      </w:r>
      <w:r>
        <w:rPr>
          <w:rFonts w:ascii="宋体" w:hAnsi="宋体" w:cs="宋体" w:eastAsia="宋体" w:hint="default"/>
          <w:spacing w:val="-62"/>
          <w:sz w:val="24"/>
          <w:szCs w:val="24"/>
        </w:rPr>
        <w:t> </w:t>
      </w:r>
      <w:r>
        <w:rPr>
          <w:rFonts w:ascii="宋体" w:hAnsi="宋体" w:cs="宋体" w:eastAsia="宋体" w:hint="default"/>
          <w:spacing w:val="-3"/>
          <w:sz w:val="24"/>
          <w:szCs w:val="24"/>
        </w:rPr>
        <w:t>服务年会”上，公司</w:t>
      </w:r>
      <w:r>
        <w:rPr>
          <w:rFonts w:ascii="宋体" w:hAnsi="宋体" w:cs="宋体" w:eastAsia="宋体" w:hint="default"/>
          <w:sz w:val="24"/>
          <w:szCs w:val="24"/>
        </w:rPr>
        <w:t> 荣获中国 IT</w:t>
      </w:r>
      <w:r>
        <w:rPr>
          <w:rFonts w:ascii="宋体" w:hAnsi="宋体" w:cs="宋体" w:eastAsia="宋体" w:hint="default"/>
          <w:spacing w:val="-94"/>
          <w:sz w:val="24"/>
          <w:szCs w:val="24"/>
        </w:rPr>
        <w:t> </w:t>
      </w:r>
      <w:r>
        <w:rPr>
          <w:rFonts w:ascii="宋体" w:hAnsi="宋体" w:cs="宋体" w:eastAsia="宋体" w:hint="default"/>
          <w:sz w:val="24"/>
          <w:szCs w:val="24"/>
        </w:rPr>
        <w:t>服务绩效典范奖、产品类服务满意金奖，公司的标杆客户—邢台钢</w:t>
      </w:r>
    </w:p>
    <w:p>
      <w:pPr>
        <w:spacing w:after="0" w:line="297" w:lineRule="auto"/>
        <w:jc w:val="left"/>
        <w:rPr>
          <w:rFonts w:ascii="宋体" w:hAnsi="宋体" w:cs="宋体" w:eastAsia="宋体" w:hint="default"/>
          <w:sz w:val="24"/>
          <w:szCs w:val="24"/>
        </w:rPr>
        <w:sectPr>
          <w:headerReference w:type="default" r:id="rId168"/>
          <w:footerReference w:type="default" r:id="rId169"/>
          <w:pgSz w:w="11910" w:h="16840"/>
          <w:pgMar w:header="0" w:footer="975" w:top="1360" w:bottom="1160" w:left="1680" w:right="1560"/>
          <w:pgNumType w:start="4"/>
        </w:sectPr>
      </w:pPr>
    </w:p>
    <w:p>
      <w:pPr>
        <w:pStyle w:val="Heading7"/>
        <w:spacing w:line="297" w:lineRule="auto"/>
        <w:ind w:left="120" w:right="113"/>
        <w:jc w:val="both"/>
        <w:rPr>
          <w:rFonts w:ascii="宋体" w:hAnsi="宋体" w:cs="宋体" w:eastAsia="宋体" w:hint="default"/>
        </w:rPr>
      </w:pPr>
      <w:r>
        <w:rPr>
          <w:rFonts w:ascii="宋体" w:hAnsi="宋体" w:cs="宋体" w:eastAsia="宋体" w:hint="default"/>
        </w:rPr>
        <w:t>铁有限责任公司荣获行业 IT</w:t>
      </w:r>
      <w:r>
        <w:rPr>
          <w:rFonts w:ascii="宋体" w:hAnsi="宋体" w:cs="宋体" w:eastAsia="宋体" w:hint="default"/>
          <w:spacing w:val="-94"/>
        </w:rPr>
        <w:t> </w:t>
      </w:r>
      <w:r>
        <w:rPr>
          <w:rFonts w:ascii="宋体" w:hAnsi="宋体" w:cs="宋体" w:eastAsia="宋体" w:hint="default"/>
        </w:rPr>
        <w:t>服务标杆用户奖。另外，由中国质量协会用户委员</w:t>
      </w:r>
      <w:r>
        <w:rPr>
          <w:rFonts w:ascii="宋体" w:hAnsi="宋体" w:cs="宋体" w:eastAsia="宋体" w:hint="default"/>
        </w:rPr>
        <w:t> 会和计算机世界传媒集团计世资讯（CCW RESEARCH）共同主办的“2009</w:t>
      </w:r>
      <w:r>
        <w:rPr>
          <w:rFonts w:ascii="宋体" w:hAnsi="宋体" w:cs="宋体" w:eastAsia="宋体" w:hint="default"/>
          <w:spacing w:val="11"/>
        </w:rPr>
        <w:t> </w:t>
      </w:r>
      <w:r>
        <w:rPr>
          <w:rFonts w:ascii="宋体" w:hAnsi="宋体" w:cs="宋体" w:eastAsia="宋体" w:hint="default"/>
        </w:rPr>
        <w:t>年中国</w:t>
      </w:r>
      <w:r>
        <w:rPr>
          <w:rFonts w:ascii="宋体" w:hAnsi="宋体" w:cs="宋体" w:eastAsia="宋体" w:hint="default"/>
          <w:spacing w:val="1"/>
        </w:rPr>
        <w:t> </w:t>
      </w:r>
      <w:r>
        <w:rPr>
          <w:rFonts w:ascii="宋体" w:hAnsi="宋体" w:cs="宋体" w:eastAsia="宋体" w:hint="default"/>
        </w:rPr>
        <w:t>IT</w:t>
      </w:r>
      <w:r>
        <w:rPr>
          <w:rFonts w:ascii="宋体" w:hAnsi="宋体" w:cs="宋体" w:eastAsia="宋体" w:hint="default"/>
          <w:spacing w:val="1"/>
        </w:rPr>
        <w:t> </w:t>
      </w:r>
      <w:r>
        <w:rPr>
          <w:rFonts w:ascii="宋体" w:hAnsi="宋体" w:cs="宋体" w:eastAsia="宋体" w:hint="default"/>
        </w:rPr>
        <w:t>用户满意度调查”活动中，公司荣获“管理软件用户满意度综合第一、财务</w:t>
      </w:r>
      <w:r>
        <w:rPr>
          <w:rFonts w:ascii="宋体" w:hAnsi="宋体" w:cs="宋体" w:eastAsia="宋体" w:hint="default"/>
        </w:rPr>
        <w:t> 软件用户满意度综合第一、ERP 软件用户满意度综合第一、ERP</w:t>
      </w:r>
      <w:r>
        <w:rPr>
          <w:rFonts w:ascii="宋体" w:hAnsi="宋体" w:cs="宋体" w:eastAsia="宋体" w:hint="default"/>
          <w:spacing w:val="-94"/>
        </w:rPr>
        <w:t> </w:t>
      </w:r>
      <w:r>
        <w:rPr>
          <w:rFonts w:ascii="宋体" w:hAnsi="宋体" w:cs="宋体" w:eastAsia="宋体" w:hint="default"/>
        </w:rPr>
        <w:t>软件服务满意度</w:t>
      </w:r>
      <w:r>
        <w:rPr>
          <w:rFonts w:ascii="宋体" w:hAnsi="宋体" w:cs="宋体" w:eastAsia="宋体" w:hint="default"/>
        </w:rPr>
        <w:t> </w:t>
      </w:r>
      <w:r>
        <w:rPr>
          <w:rFonts w:ascii="宋体" w:hAnsi="宋体" w:cs="宋体" w:eastAsia="宋体" w:hint="default"/>
          <w:spacing w:val="-6"/>
        </w:rPr>
        <w:t>第一、CRM</w:t>
      </w:r>
      <w:r>
        <w:rPr>
          <w:rFonts w:ascii="宋体" w:hAnsi="宋体" w:cs="宋体" w:eastAsia="宋体" w:hint="default"/>
          <w:spacing w:val="-69"/>
        </w:rPr>
        <w:t> </w:t>
      </w:r>
      <w:r>
        <w:rPr>
          <w:rFonts w:ascii="宋体" w:hAnsi="宋体" w:cs="宋体" w:eastAsia="宋体" w:hint="default"/>
          <w:spacing w:val="-3"/>
        </w:rPr>
        <w:t>软件用户满意度综合第一、HR</w:t>
      </w:r>
      <w:r>
        <w:rPr>
          <w:rFonts w:ascii="宋体" w:hAnsi="宋体" w:cs="宋体" w:eastAsia="宋体" w:hint="default"/>
          <w:spacing w:val="-69"/>
        </w:rPr>
        <w:t> </w:t>
      </w:r>
      <w:r>
        <w:rPr>
          <w:rFonts w:ascii="宋体" w:hAnsi="宋体" w:cs="宋体" w:eastAsia="宋体" w:hint="default"/>
        </w:rPr>
        <w:t>软件集团用户满意度第一、协同软件用</w:t>
      </w:r>
      <w:r>
        <w:rPr>
          <w:rFonts w:ascii="宋体" w:hAnsi="宋体" w:cs="宋体" w:eastAsia="宋体" w:hint="default"/>
        </w:rPr>
        <w:t> </w:t>
      </w:r>
      <w:r>
        <w:rPr>
          <w:rFonts w:ascii="宋体" w:hAnsi="宋体" w:cs="宋体" w:eastAsia="宋体" w:hint="default"/>
          <w:spacing w:val="-3"/>
        </w:rPr>
        <w:t>户满意度综合第一、集团管理软件用户满意度第一、中小企业管理软件用户满意</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度综合第一、公共财政管理软件用户满意度第一、行政事业财务管理软件用户满</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意度第一”等十二项大奖。公司的客户满意度不断提升，公司的品牌价值不断提</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高。</w:t>
      </w:r>
    </w:p>
    <w:p>
      <w:pPr>
        <w:spacing w:line="240" w:lineRule="auto" w:before="3"/>
        <w:rPr>
          <w:rFonts w:ascii="宋体" w:hAnsi="宋体" w:cs="宋体" w:eastAsia="宋体" w:hint="default"/>
          <w:sz w:val="25"/>
          <w:szCs w:val="25"/>
        </w:rPr>
      </w:pPr>
    </w:p>
    <w:p>
      <w:pPr>
        <w:spacing w:line="417" w:lineRule="auto" w:before="0"/>
        <w:ind w:left="540" w:right="4852" w:firstLine="0"/>
        <w:jc w:val="left"/>
        <w:rPr>
          <w:rFonts w:ascii="宋体" w:hAnsi="宋体" w:cs="宋体" w:eastAsia="宋体" w:hint="default"/>
          <w:sz w:val="24"/>
          <w:szCs w:val="24"/>
        </w:rPr>
      </w:pPr>
      <w:r>
        <w:rPr>
          <w:rFonts w:ascii="宋体" w:hAnsi="宋体" w:cs="宋体" w:eastAsia="宋体" w:hint="default"/>
          <w:b/>
          <w:bCs/>
          <w:sz w:val="24"/>
          <w:szCs w:val="24"/>
        </w:rPr>
        <w:t>五、与伙伴长期合作共赢发展</w:t>
      </w:r>
      <w:r>
        <w:rPr>
          <w:rFonts w:ascii="宋体" w:hAnsi="宋体" w:cs="宋体" w:eastAsia="宋体" w:hint="default"/>
          <w:b/>
          <w:bCs/>
          <w:spacing w:val="1"/>
          <w:w w:val="99"/>
          <w:sz w:val="24"/>
          <w:szCs w:val="24"/>
        </w:rPr>
        <w:t> </w:t>
      </w:r>
      <w:r>
        <w:rPr>
          <w:rFonts w:ascii="宋体" w:hAnsi="宋体" w:cs="宋体" w:eastAsia="宋体" w:hint="default"/>
          <w:sz w:val="24"/>
          <w:szCs w:val="24"/>
        </w:rPr>
        <w:t>1、公司对产业链伙伴的责任</w:t>
      </w:r>
    </w:p>
    <w:p>
      <w:pPr>
        <w:pStyle w:val="Heading7"/>
        <w:spacing w:line="297" w:lineRule="auto" w:before="54"/>
        <w:ind w:left="120" w:right="115" w:firstLine="420"/>
        <w:jc w:val="both"/>
        <w:rPr>
          <w:rFonts w:ascii="宋体" w:hAnsi="宋体" w:cs="宋体" w:eastAsia="宋体" w:hint="default"/>
        </w:rPr>
      </w:pPr>
      <w:r>
        <w:rPr>
          <w:rFonts w:ascii="宋体" w:hAnsi="宋体" w:cs="宋体" w:eastAsia="宋体" w:hint="default"/>
          <w:spacing w:val="-2"/>
        </w:rPr>
        <w:t>公司对上、下游产业链伙伴的主要责任是以坦诚、平等、互利合作、诚实守</w:t>
      </w:r>
      <w:r>
        <w:rPr>
          <w:rFonts w:ascii="宋体" w:hAnsi="宋体" w:cs="宋体" w:eastAsia="宋体" w:hint="default"/>
        </w:rPr>
        <w:t> </w:t>
      </w:r>
      <w:r>
        <w:rPr>
          <w:rFonts w:ascii="宋体" w:hAnsi="宋体" w:cs="宋体" w:eastAsia="宋体" w:hint="default"/>
          <w:spacing w:val="-3"/>
        </w:rPr>
        <w:t>信为核心价值观共同履行社会责任，为社会提供优质、安全、环保的产品、在为</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客户提供更加优质满意的服务的过程中，实现共赢与发展。</w:t>
      </w:r>
    </w:p>
    <w:p>
      <w:pPr>
        <w:spacing w:line="297" w:lineRule="auto" w:before="174"/>
        <w:ind w:left="120" w:right="117" w:firstLine="420"/>
        <w:jc w:val="both"/>
        <w:rPr>
          <w:rFonts w:ascii="宋体" w:hAnsi="宋体" w:cs="宋体" w:eastAsia="宋体" w:hint="default"/>
          <w:sz w:val="24"/>
          <w:szCs w:val="24"/>
        </w:rPr>
      </w:pPr>
      <w:r>
        <w:rPr>
          <w:rFonts w:ascii="宋体" w:hAnsi="宋体" w:cs="宋体" w:eastAsia="宋体" w:hint="default"/>
          <w:spacing w:val="-2"/>
          <w:sz w:val="24"/>
          <w:szCs w:val="24"/>
        </w:rPr>
        <w:t>公司认真履行协助共赢责任，坚持着眼长远、合作共赢，加强与供应商、大</w:t>
      </w:r>
      <w:r>
        <w:rPr>
          <w:rFonts w:ascii="宋体" w:hAnsi="宋体" w:cs="宋体" w:eastAsia="宋体" w:hint="default"/>
          <w:sz w:val="24"/>
          <w:szCs w:val="24"/>
        </w:rPr>
        <w:t> </w:t>
      </w:r>
      <w:r>
        <w:rPr>
          <w:rFonts w:ascii="宋体" w:hAnsi="宋体" w:cs="宋体" w:eastAsia="宋体" w:hint="default"/>
          <w:spacing w:val="-3"/>
          <w:sz w:val="24"/>
          <w:szCs w:val="24"/>
        </w:rPr>
        <w:t>专院校、科研单位、相关企业等业务伙伴的相互合作、优势互补和利益共享，实</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z w:val="24"/>
          <w:szCs w:val="24"/>
        </w:rPr>
        <w:t>现共同发展。</w:t>
      </w:r>
    </w:p>
    <w:p>
      <w:pPr>
        <w:spacing w:line="546" w:lineRule="exact" w:before="18"/>
        <w:ind w:left="540" w:right="98" w:firstLine="0"/>
        <w:jc w:val="left"/>
        <w:rPr>
          <w:rFonts w:ascii="宋体" w:hAnsi="宋体" w:cs="宋体" w:eastAsia="宋体" w:hint="default"/>
          <w:sz w:val="24"/>
          <w:szCs w:val="24"/>
        </w:rPr>
      </w:pPr>
      <w:r>
        <w:rPr>
          <w:rFonts w:ascii="宋体" w:hAnsi="宋体" w:cs="宋体" w:eastAsia="宋体" w:hint="default"/>
          <w:sz w:val="24"/>
          <w:szCs w:val="24"/>
        </w:rPr>
        <w:t>2、以价值链为基础推动协作共赢 </w:t>
      </w:r>
      <w:r>
        <w:rPr>
          <w:rFonts w:ascii="宋体" w:hAnsi="宋体" w:cs="宋体" w:eastAsia="宋体" w:hint="default"/>
          <w:spacing w:val="-2"/>
          <w:sz w:val="24"/>
          <w:szCs w:val="24"/>
        </w:rPr>
        <w:t>遵守国家法律法规和社会规范。要求自身和供应链伙伴依法经营，对使用商</w:t>
      </w:r>
    </w:p>
    <w:p>
      <w:pPr>
        <w:spacing w:line="417" w:lineRule="auto" w:before="0"/>
        <w:ind w:left="540" w:right="98" w:hanging="420"/>
        <w:jc w:val="left"/>
        <w:rPr>
          <w:rFonts w:ascii="宋体" w:hAnsi="宋体" w:cs="宋体" w:eastAsia="宋体" w:hint="default"/>
          <w:sz w:val="24"/>
          <w:szCs w:val="24"/>
        </w:rPr>
      </w:pPr>
      <w:r>
        <w:rPr>
          <w:rFonts w:ascii="宋体" w:hAnsi="宋体" w:cs="宋体" w:eastAsia="宋体" w:hint="default"/>
          <w:sz w:val="24"/>
          <w:szCs w:val="24"/>
        </w:rPr>
        <w:t>品贿赂和存在不正当竞争行为的企业，禁止其进入供应合作伙伴名单。 3、实现相互信任、优势互补合作共赢</w:t>
      </w:r>
    </w:p>
    <w:p>
      <w:pPr>
        <w:spacing w:line="297" w:lineRule="auto" w:before="54"/>
        <w:ind w:left="120" w:right="117" w:firstLine="420"/>
        <w:jc w:val="both"/>
        <w:rPr>
          <w:rFonts w:ascii="宋体" w:hAnsi="宋体" w:cs="宋体" w:eastAsia="宋体" w:hint="default"/>
          <w:sz w:val="24"/>
          <w:szCs w:val="24"/>
        </w:rPr>
      </w:pPr>
      <w:r>
        <w:rPr>
          <w:rFonts w:ascii="宋体" w:hAnsi="宋体" w:cs="宋体" w:eastAsia="宋体" w:hint="default"/>
          <w:spacing w:val="-2"/>
          <w:sz w:val="24"/>
          <w:szCs w:val="24"/>
        </w:rPr>
        <w:t>坚持与业务合作伙伴平等相处，加强沟通，建立互信。通过合作机制，发挥</w:t>
      </w:r>
      <w:r>
        <w:rPr>
          <w:rFonts w:ascii="宋体" w:hAnsi="宋体" w:cs="宋体" w:eastAsia="宋体" w:hint="default"/>
          <w:sz w:val="24"/>
          <w:szCs w:val="24"/>
        </w:rPr>
        <w:t> </w:t>
      </w:r>
      <w:r>
        <w:rPr>
          <w:rFonts w:ascii="宋体" w:hAnsi="宋体" w:cs="宋体" w:eastAsia="宋体" w:hint="default"/>
          <w:spacing w:val="-3"/>
          <w:sz w:val="24"/>
          <w:szCs w:val="24"/>
        </w:rPr>
        <w:t>各自优势，实现互利多赢。共同推进企业管理软件产品自主创新与技术进步。合</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作研发关键技术、合作应用先进商业模式，加快中国企业转型升级。</w:t>
      </w:r>
    </w:p>
    <w:p>
      <w:pPr>
        <w:spacing w:line="546" w:lineRule="exact" w:before="18"/>
        <w:ind w:left="540" w:right="98" w:firstLine="0"/>
        <w:jc w:val="left"/>
        <w:rPr>
          <w:rFonts w:ascii="宋体" w:hAnsi="宋体" w:cs="宋体" w:eastAsia="宋体" w:hint="default"/>
          <w:sz w:val="24"/>
          <w:szCs w:val="24"/>
        </w:rPr>
      </w:pPr>
      <w:r>
        <w:rPr>
          <w:rFonts w:ascii="宋体" w:hAnsi="宋体" w:cs="宋体" w:eastAsia="宋体" w:hint="default"/>
          <w:sz w:val="24"/>
          <w:szCs w:val="24"/>
        </w:rPr>
        <w:t>4、与合作伙伴推进可持续发展 </w:t>
      </w:r>
      <w:r>
        <w:rPr>
          <w:rFonts w:ascii="宋体" w:hAnsi="宋体" w:cs="宋体" w:eastAsia="宋体" w:hint="default"/>
          <w:spacing w:val="-2"/>
          <w:sz w:val="24"/>
          <w:szCs w:val="24"/>
        </w:rPr>
        <w:t>实行招标体系，坚持公开、公正、公平招标，与大学、研究所、国际知名公</w:t>
      </w:r>
    </w:p>
    <w:p>
      <w:pPr>
        <w:spacing w:line="297" w:lineRule="auto" w:before="0"/>
        <w:ind w:left="120" w:right="117" w:firstLine="0"/>
        <w:jc w:val="both"/>
        <w:rPr>
          <w:rFonts w:ascii="宋体" w:hAnsi="宋体" w:cs="宋体" w:eastAsia="宋体" w:hint="default"/>
          <w:sz w:val="24"/>
          <w:szCs w:val="24"/>
        </w:rPr>
      </w:pPr>
      <w:r>
        <w:rPr>
          <w:rFonts w:ascii="宋体" w:hAnsi="宋体" w:cs="宋体" w:eastAsia="宋体" w:hint="default"/>
          <w:spacing w:val="-3"/>
          <w:sz w:val="24"/>
          <w:szCs w:val="24"/>
        </w:rPr>
        <w:t>司签署战略合作协议，设立联合研究中心，共同建立以企业为主体、产学研相结</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合的技术创新体系。成立产业推进联盟，大力推进国产企业管理软件的应用范围</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和深度，促进中国企业自主创新和技术进步。</w:t>
      </w:r>
    </w:p>
    <w:p>
      <w:pPr>
        <w:spacing w:line="240" w:lineRule="auto" w:before="3"/>
        <w:rPr>
          <w:rFonts w:ascii="宋体" w:hAnsi="宋体" w:cs="宋体" w:eastAsia="宋体" w:hint="default"/>
          <w:sz w:val="25"/>
          <w:szCs w:val="25"/>
        </w:rPr>
      </w:pPr>
    </w:p>
    <w:p>
      <w:pPr>
        <w:spacing w:before="0"/>
        <w:ind w:left="540" w:right="98" w:firstLine="0"/>
        <w:jc w:val="left"/>
        <w:rPr>
          <w:rFonts w:ascii="宋体" w:hAnsi="宋体" w:cs="宋体" w:eastAsia="宋体" w:hint="default"/>
          <w:sz w:val="24"/>
          <w:szCs w:val="24"/>
        </w:rPr>
      </w:pPr>
      <w:r>
        <w:rPr>
          <w:rFonts w:ascii="宋体" w:hAnsi="宋体" w:cs="宋体" w:eastAsia="宋体" w:hint="default"/>
          <w:b/>
          <w:bCs/>
          <w:sz w:val="24"/>
          <w:szCs w:val="24"/>
        </w:rPr>
        <w:t>六、持续创新，推进产业转型升级</w:t>
      </w:r>
      <w:r>
        <w:rPr>
          <w:rFonts w:ascii="宋体" w:hAnsi="宋体" w:cs="宋体" w:eastAsia="宋体" w:hint="default"/>
          <w:sz w:val="24"/>
          <w:szCs w:val="24"/>
        </w:rPr>
      </w:r>
    </w:p>
    <w:p>
      <w:pPr>
        <w:spacing w:after="0"/>
        <w:jc w:val="left"/>
        <w:rPr>
          <w:rFonts w:ascii="宋体" w:hAnsi="宋体" w:cs="宋体" w:eastAsia="宋体" w:hint="default"/>
          <w:sz w:val="24"/>
          <w:szCs w:val="24"/>
        </w:rPr>
        <w:sectPr>
          <w:headerReference w:type="default" r:id="rId170"/>
          <w:footerReference w:type="default" r:id="rId171"/>
          <w:pgSz w:w="11910" w:h="16840"/>
          <w:pgMar w:header="0" w:footer="975" w:top="1440" w:bottom="1160" w:left="1680" w:right="1680"/>
          <w:pgNumType w:start="5"/>
        </w:sectPr>
      </w:pPr>
    </w:p>
    <w:p>
      <w:pPr>
        <w:pStyle w:val="Heading7"/>
        <w:spacing w:line="297" w:lineRule="auto"/>
        <w:ind w:left="119" w:right="101" w:firstLine="480"/>
        <w:jc w:val="left"/>
        <w:rPr>
          <w:rFonts w:ascii="宋体" w:hAnsi="宋体" w:cs="宋体" w:eastAsia="宋体" w:hint="default"/>
        </w:rPr>
      </w:pPr>
      <w:r>
        <w:rPr>
          <w:rFonts w:ascii="宋体" w:hAnsi="宋体" w:cs="宋体" w:eastAsia="宋体" w:hint="default"/>
          <w:spacing w:val="-7"/>
        </w:rPr>
        <w:t>公司拥有包括总部研发中心、南京制造业研发基地、上海先进应用研究中心、</w:t>
      </w:r>
      <w:r>
        <w:rPr>
          <w:rFonts w:ascii="宋体" w:hAnsi="宋体" w:cs="宋体" w:eastAsia="宋体" w:hint="default"/>
        </w:rPr>
        <w:t> </w:t>
      </w:r>
      <w:r>
        <w:rPr>
          <w:rFonts w:ascii="宋体" w:hAnsi="宋体" w:cs="宋体" w:eastAsia="宋体" w:hint="default"/>
          <w:spacing w:val="4"/>
        </w:rPr>
        <w:t>深圳电子行业应用开发中心等在内的中国最大的企业应用软件研发体系和超过</w:t>
      </w:r>
      <w:r>
        <w:rPr>
          <w:rFonts w:ascii="宋体" w:hAnsi="宋体" w:cs="宋体" w:eastAsia="宋体" w:hint="default"/>
          <w:spacing w:val="4"/>
        </w:rPr>
        <w:t> </w:t>
      </w:r>
      <w:r>
        <w:rPr>
          <w:rFonts w:ascii="宋体" w:hAnsi="宋体" w:cs="宋体" w:eastAsia="宋体" w:hint="default"/>
        </w:rPr>
        <w:t>2000</w:t>
      </w:r>
      <w:r>
        <w:rPr>
          <w:rFonts w:ascii="宋体" w:hAnsi="宋体" w:cs="宋体" w:eastAsia="宋体" w:hint="default"/>
          <w:spacing w:val="1"/>
        </w:rPr>
        <w:t> </w:t>
      </w:r>
      <w:r>
        <w:rPr>
          <w:rFonts w:ascii="宋体" w:hAnsi="宋体" w:cs="宋体" w:eastAsia="宋体" w:hint="default"/>
        </w:rPr>
        <w:t>人的研发队伍。多年来，公司持续保持对研发的投入，公司研发投入高于</w:t>
      </w:r>
      <w:r>
        <w:rPr>
          <w:rFonts w:ascii="宋体" w:hAnsi="宋体" w:cs="宋体" w:eastAsia="宋体" w:hint="default"/>
        </w:rPr>
        <w:t> </w:t>
      </w:r>
      <w:r>
        <w:rPr>
          <w:rFonts w:ascii="宋体" w:hAnsi="宋体" w:cs="宋体" w:eastAsia="宋体" w:hint="default"/>
          <w:spacing w:val="-3"/>
        </w:rPr>
        <w:t>国内同行业水平。公司“持续创新”的发展理念使公司的产品技术保持领先，产</w:t>
      </w:r>
      <w:r>
        <w:rPr>
          <w:rFonts w:ascii="宋体" w:hAnsi="宋体" w:cs="宋体" w:eastAsia="宋体" w:hint="default"/>
          <w:spacing w:val="-110"/>
        </w:rPr>
        <w:t> </w:t>
      </w:r>
      <w:r>
        <w:rPr>
          <w:rFonts w:ascii="宋体" w:hAnsi="宋体" w:cs="宋体" w:eastAsia="宋体" w:hint="default"/>
          <w:spacing w:val="-110"/>
        </w:rPr>
      </w:r>
      <w:r>
        <w:rPr>
          <w:rFonts w:ascii="宋体" w:hAnsi="宋体" w:cs="宋体" w:eastAsia="宋体" w:hint="default"/>
          <w:spacing w:val="-3"/>
        </w:rPr>
        <w:t>品不断推陈出新，形成了同业中最丰富、最具竞争力的产品线。公司已经成为中</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国最大的管理软件、ERP</w:t>
      </w:r>
      <w:r>
        <w:rPr>
          <w:rFonts w:ascii="宋体" w:hAnsi="宋体" w:cs="宋体" w:eastAsia="宋体" w:hint="default"/>
          <w:spacing w:val="-72"/>
        </w:rPr>
        <w:t> </w:t>
      </w:r>
      <w:r>
        <w:rPr>
          <w:rFonts w:ascii="宋体" w:hAnsi="宋体" w:cs="宋体" w:eastAsia="宋体" w:hint="default"/>
        </w:rPr>
        <w:t>软件、集团管理软件、财政管理软件、人力资源管理软</w:t>
      </w:r>
      <w:r>
        <w:rPr>
          <w:rFonts w:ascii="宋体" w:hAnsi="宋体" w:cs="宋体" w:eastAsia="宋体" w:hint="default"/>
        </w:rPr>
        <w:t> 件、财务管理软件，客户关系管理软件及小型企业管理软件提供商。</w:t>
      </w:r>
    </w:p>
    <w:p>
      <w:pPr>
        <w:spacing w:line="357" w:lineRule="auto" w:before="214"/>
        <w:ind w:left="119" w:right="235" w:firstLine="480"/>
        <w:jc w:val="both"/>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32"/>
          <w:sz w:val="24"/>
          <w:szCs w:val="24"/>
        </w:rPr>
        <w:t> </w:t>
      </w:r>
      <w:r>
        <w:rPr>
          <w:rFonts w:ascii="宋体" w:hAnsi="宋体" w:cs="宋体" w:eastAsia="宋体" w:hint="default"/>
          <w:sz w:val="24"/>
          <w:szCs w:val="24"/>
        </w:rPr>
        <w:t>年，公司发版了</w:t>
      </w:r>
      <w:r>
        <w:rPr>
          <w:rFonts w:ascii="宋体" w:hAnsi="宋体" w:cs="宋体" w:eastAsia="宋体" w:hint="default"/>
          <w:spacing w:val="-32"/>
          <w:sz w:val="24"/>
          <w:szCs w:val="24"/>
        </w:rPr>
        <w:t> </w:t>
      </w:r>
      <w:r>
        <w:rPr>
          <w:rFonts w:ascii="宋体" w:hAnsi="宋体" w:cs="宋体" w:eastAsia="宋体" w:hint="default"/>
          <w:sz w:val="24"/>
          <w:szCs w:val="24"/>
        </w:rPr>
        <w:t>UFIDA U9 V2.0。UFIDA U9</w:t>
      </w:r>
      <w:r>
        <w:rPr>
          <w:rFonts w:ascii="宋体" w:hAnsi="宋体" w:cs="宋体" w:eastAsia="宋体" w:hint="default"/>
          <w:spacing w:val="-32"/>
          <w:sz w:val="24"/>
          <w:szCs w:val="24"/>
        </w:rPr>
        <w:t> </w:t>
      </w:r>
      <w:r>
        <w:rPr>
          <w:rFonts w:ascii="宋体" w:hAnsi="宋体" w:cs="宋体" w:eastAsia="宋体" w:hint="default"/>
          <w:sz w:val="24"/>
          <w:szCs w:val="24"/>
        </w:rPr>
        <w:t>融合了中国企业最佳经营</w:t>
      </w:r>
      <w:r>
        <w:rPr>
          <w:rFonts w:ascii="宋体" w:hAnsi="宋体" w:cs="宋体" w:eastAsia="宋体" w:hint="default"/>
          <w:sz w:val="24"/>
          <w:szCs w:val="24"/>
        </w:rPr>
        <w:t> </w:t>
      </w:r>
      <w:r>
        <w:rPr>
          <w:rFonts w:ascii="宋体" w:hAnsi="宋体" w:cs="宋体" w:eastAsia="宋体" w:hint="default"/>
          <w:spacing w:val="-3"/>
          <w:sz w:val="24"/>
          <w:szCs w:val="24"/>
        </w:rPr>
        <w:t>管理实践和世界先进的管理思想与模式，实现了中国软件业在产品技术上首次领</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先全球的创新。UFIDA U9</w:t>
      </w:r>
      <w:r>
        <w:rPr>
          <w:rFonts w:ascii="宋体" w:hAnsi="宋体" w:cs="宋体" w:eastAsia="宋体" w:hint="default"/>
          <w:spacing w:val="3"/>
          <w:sz w:val="24"/>
          <w:szCs w:val="24"/>
        </w:rPr>
        <w:t> </w:t>
      </w:r>
      <w:r>
        <w:rPr>
          <w:rFonts w:ascii="宋体" w:hAnsi="宋体" w:cs="宋体" w:eastAsia="宋体" w:hint="default"/>
          <w:sz w:val="24"/>
          <w:szCs w:val="24"/>
        </w:rPr>
        <w:t>填补了国产企业管理软件在多组织制造管理领域的空</w:t>
      </w:r>
      <w:r>
        <w:rPr>
          <w:rFonts w:ascii="宋体" w:hAnsi="宋体" w:cs="宋体" w:eastAsia="宋体" w:hint="default"/>
          <w:sz w:val="24"/>
          <w:szCs w:val="24"/>
        </w:rPr>
        <w:t> 白，标志着国内管理软件技术进入世界先进行列，展现了 UFIDA U9</w:t>
      </w:r>
      <w:r>
        <w:rPr>
          <w:rFonts w:ascii="宋体" w:hAnsi="宋体" w:cs="宋体" w:eastAsia="宋体" w:hint="default"/>
          <w:spacing w:val="-94"/>
          <w:sz w:val="24"/>
          <w:szCs w:val="24"/>
        </w:rPr>
        <w:t> </w:t>
      </w:r>
      <w:r>
        <w:rPr>
          <w:rFonts w:ascii="宋体" w:hAnsi="宋体" w:cs="宋体" w:eastAsia="宋体" w:hint="default"/>
          <w:sz w:val="24"/>
          <w:szCs w:val="24"/>
        </w:rPr>
        <w:t>作为中国的</w:t>
      </w:r>
      <w:r>
        <w:rPr>
          <w:rFonts w:ascii="宋体" w:hAnsi="宋体" w:cs="宋体" w:eastAsia="宋体" w:hint="default"/>
          <w:sz w:val="24"/>
          <w:szCs w:val="24"/>
        </w:rPr>
        <w:t> </w:t>
      </w:r>
      <w:r>
        <w:rPr>
          <w:rFonts w:ascii="宋体" w:hAnsi="宋体" w:cs="宋体" w:eastAsia="宋体" w:hint="default"/>
          <w:spacing w:val="-12"/>
          <w:sz w:val="24"/>
          <w:szCs w:val="24"/>
        </w:rPr>
        <w:t>世界级管理软件的风貌，“用友</w:t>
      </w:r>
      <w:r>
        <w:rPr>
          <w:rFonts w:ascii="宋体" w:hAnsi="宋体" w:cs="宋体" w:eastAsia="宋体" w:hint="default"/>
          <w:spacing w:val="-57"/>
          <w:sz w:val="24"/>
          <w:szCs w:val="24"/>
        </w:rPr>
        <w:t> </w:t>
      </w:r>
      <w:r>
        <w:rPr>
          <w:rFonts w:ascii="宋体" w:hAnsi="宋体" w:cs="宋体" w:eastAsia="宋体" w:hint="default"/>
          <w:sz w:val="24"/>
          <w:szCs w:val="24"/>
        </w:rPr>
        <w:t>ERP-U9</w:t>
      </w:r>
      <w:r>
        <w:rPr>
          <w:rFonts w:ascii="宋体" w:hAnsi="宋体" w:cs="宋体" w:eastAsia="宋体" w:hint="default"/>
          <w:spacing w:val="-57"/>
          <w:sz w:val="24"/>
          <w:szCs w:val="24"/>
        </w:rPr>
        <w:t> </w:t>
      </w:r>
      <w:r>
        <w:rPr>
          <w:rFonts w:ascii="宋体" w:hAnsi="宋体" w:cs="宋体" w:eastAsia="宋体" w:hint="default"/>
          <w:spacing w:val="-3"/>
          <w:sz w:val="24"/>
          <w:szCs w:val="24"/>
        </w:rPr>
        <w:t>企业管理系统”被认定为北京市第二批自</w:t>
      </w:r>
      <w:r>
        <w:rPr>
          <w:rFonts w:ascii="宋体" w:hAnsi="宋体" w:cs="宋体" w:eastAsia="宋体" w:hint="default"/>
          <w:sz w:val="24"/>
          <w:szCs w:val="24"/>
        </w:rPr>
        <w:t> 主创新产品。</w:t>
      </w:r>
    </w:p>
    <w:p>
      <w:pPr>
        <w:spacing w:line="357" w:lineRule="auto" w:before="36"/>
        <w:ind w:left="119" w:right="125" w:firstLine="48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32"/>
          <w:sz w:val="24"/>
          <w:szCs w:val="24"/>
        </w:rPr>
        <w:t> </w:t>
      </w:r>
      <w:r>
        <w:rPr>
          <w:rFonts w:ascii="宋体" w:hAnsi="宋体" w:cs="宋体" w:eastAsia="宋体" w:hint="default"/>
          <w:sz w:val="24"/>
          <w:szCs w:val="24"/>
        </w:rPr>
        <w:t>年，用友</w:t>
      </w:r>
      <w:r>
        <w:rPr>
          <w:rFonts w:ascii="宋体" w:hAnsi="宋体" w:cs="宋体" w:eastAsia="宋体" w:hint="default"/>
          <w:spacing w:val="-32"/>
          <w:sz w:val="24"/>
          <w:szCs w:val="24"/>
        </w:rPr>
        <w:t> </w:t>
      </w:r>
      <w:r>
        <w:rPr>
          <w:rFonts w:ascii="宋体" w:hAnsi="宋体" w:cs="宋体" w:eastAsia="宋体" w:hint="default"/>
          <w:sz w:val="24"/>
          <w:szCs w:val="24"/>
        </w:rPr>
        <w:t>ERP-NC V5.6</w:t>
      </w:r>
      <w:r>
        <w:rPr>
          <w:rFonts w:ascii="宋体" w:hAnsi="宋体" w:cs="宋体" w:eastAsia="宋体" w:hint="default"/>
          <w:spacing w:val="-32"/>
          <w:sz w:val="24"/>
          <w:szCs w:val="24"/>
        </w:rPr>
        <w:t> </w:t>
      </w:r>
      <w:r>
        <w:rPr>
          <w:rFonts w:ascii="宋体" w:hAnsi="宋体" w:cs="宋体" w:eastAsia="宋体" w:hint="default"/>
          <w:sz w:val="24"/>
          <w:szCs w:val="24"/>
        </w:rPr>
        <w:t>发版，在集团财务、集团资金、计划预算、企</w:t>
      </w:r>
      <w:r>
        <w:rPr>
          <w:rFonts w:ascii="宋体" w:hAnsi="宋体" w:cs="宋体" w:eastAsia="宋体" w:hint="default"/>
          <w:sz w:val="24"/>
          <w:szCs w:val="24"/>
        </w:rPr>
        <w:t> </w:t>
      </w:r>
      <w:r>
        <w:rPr>
          <w:rFonts w:ascii="宋体" w:hAnsi="宋体" w:cs="宋体" w:eastAsia="宋体" w:hint="default"/>
          <w:spacing w:val="-3"/>
          <w:sz w:val="24"/>
          <w:szCs w:val="24"/>
        </w:rPr>
        <w:t>业绩效、内控与风险、集团资产管理、集团供应链管理等已有的全面管控、行业</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业务过程控制、平台化集成管控、风险管理的基础上，结合云计算技术、商业智</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能应用和并购、内控等众多管理热点，帮助企业集团应用更高效、决策更智能、 </w:t>
      </w:r>
      <w:r>
        <w:rPr>
          <w:rFonts w:ascii="宋体" w:hAnsi="宋体" w:cs="宋体" w:eastAsia="宋体" w:hint="default"/>
          <w:spacing w:val="-3"/>
          <w:sz w:val="24"/>
          <w:szCs w:val="24"/>
        </w:rPr>
        <w:t>内控更安全、重组更便捷、业务更集成，帮助企业更快捷的体验到新技术应用所</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带来的降低系统部署成本、提高管理智能和效率。用友</w:t>
      </w:r>
      <w:r>
        <w:rPr>
          <w:rFonts w:ascii="宋体" w:hAnsi="宋体" w:cs="宋体" w:eastAsia="宋体" w:hint="default"/>
          <w:spacing w:val="-54"/>
          <w:sz w:val="24"/>
          <w:szCs w:val="24"/>
        </w:rPr>
        <w:t> </w:t>
      </w:r>
      <w:r>
        <w:rPr>
          <w:rFonts w:ascii="宋体" w:hAnsi="宋体" w:cs="宋体" w:eastAsia="宋体" w:hint="default"/>
          <w:sz w:val="24"/>
          <w:szCs w:val="24"/>
        </w:rPr>
        <w:t>ERP-NC</w:t>
      </w:r>
      <w:r>
        <w:rPr>
          <w:rFonts w:ascii="宋体" w:hAnsi="宋体" w:cs="宋体" w:eastAsia="宋体" w:hint="default"/>
          <w:spacing w:val="-54"/>
          <w:sz w:val="24"/>
          <w:szCs w:val="24"/>
        </w:rPr>
        <w:t> </w:t>
      </w:r>
      <w:r>
        <w:rPr>
          <w:rFonts w:ascii="宋体" w:hAnsi="宋体" w:cs="宋体" w:eastAsia="宋体" w:hint="default"/>
          <w:sz w:val="24"/>
          <w:szCs w:val="24"/>
        </w:rPr>
        <w:t>顺利通过</w:t>
      </w:r>
      <w:r>
        <w:rPr>
          <w:rFonts w:ascii="宋体" w:hAnsi="宋体" w:cs="宋体" w:eastAsia="宋体" w:hint="default"/>
          <w:spacing w:val="-54"/>
          <w:sz w:val="24"/>
          <w:szCs w:val="24"/>
        </w:rPr>
        <w:t> </w:t>
      </w:r>
      <w:r>
        <w:rPr>
          <w:rFonts w:ascii="宋体" w:hAnsi="宋体" w:cs="宋体" w:eastAsia="宋体" w:hint="default"/>
          <w:sz w:val="24"/>
          <w:szCs w:val="24"/>
        </w:rPr>
        <w:t>IBM</w:t>
      </w:r>
      <w:r>
        <w:rPr>
          <w:rFonts w:ascii="宋体" w:hAnsi="宋体" w:cs="宋体" w:eastAsia="宋体" w:hint="default"/>
          <w:spacing w:val="-54"/>
          <w:sz w:val="24"/>
          <w:szCs w:val="24"/>
        </w:rPr>
        <w:t> </w:t>
      </w:r>
      <w:r>
        <w:rPr>
          <w:rFonts w:ascii="宋体" w:hAnsi="宋体" w:cs="宋体" w:eastAsia="宋体" w:hint="default"/>
          <w:sz w:val="24"/>
          <w:szCs w:val="24"/>
        </w:rPr>
        <w:t>全</w:t>
      </w:r>
      <w:r>
        <w:rPr>
          <w:rFonts w:ascii="宋体" w:hAnsi="宋体" w:cs="宋体" w:eastAsia="宋体" w:hint="default"/>
          <w:sz w:val="24"/>
          <w:szCs w:val="24"/>
        </w:rPr>
        <w:t> 球</w:t>
      </w:r>
      <w:r>
        <w:rPr>
          <w:rFonts w:ascii="宋体" w:hAnsi="宋体" w:cs="宋体" w:eastAsia="宋体" w:hint="default"/>
          <w:spacing w:val="-60"/>
          <w:sz w:val="24"/>
          <w:szCs w:val="24"/>
        </w:rPr>
        <w:t> </w:t>
      </w:r>
      <w:r>
        <w:rPr>
          <w:rFonts w:ascii="宋体" w:hAnsi="宋体" w:cs="宋体" w:eastAsia="宋体" w:hint="default"/>
          <w:sz w:val="24"/>
          <w:szCs w:val="24"/>
        </w:rPr>
        <w:t>SOA</w:t>
      </w:r>
      <w:r>
        <w:rPr>
          <w:rFonts w:ascii="宋体" w:hAnsi="宋体" w:cs="宋体" w:eastAsia="宋体" w:hint="default"/>
          <w:spacing w:val="-60"/>
          <w:sz w:val="24"/>
          <w:szCs w:val="24"/>
        </w:rPr>
        <w:t> </w:t>
      </w:r>
      <w:r>
        <w:rPr>
          <w:rFonts w:ascii="宋体" w:hAnsi="宋体" w:cs="宋体" w:eastAsia="宋体" w:hint="default"/>
          <w:sz w:val="24"/>
          <w:szCs w:val="24"/>
        </w:rPr>
        <w:t>解决方案顶级认证。</w:t>
      </w:r>
    </w:p>
    <w:p>
      <w:pPr>
        <w:spacing w:line="357" w:lineRule="auto" w:before="36"/>
        <w:ind w:left="119" w:right="202" w:firstLine="482"/>
        <w:jc w:val="both"/>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1"/>
          <w:sz w:val="24"/>
          <w:szCs w:val="24"/>
        </w:rPr>
        <w:t> </w:t>
      </w:r>
      <w:r>
        <w:rPr>
          <w:rFonts w:ascii="宋体" w:hAnsi="宋体" w:cs="宋体" w:eastAsia="宋体" w:hint="default"/>
          <w:sz w:val="24"/>
          <w:szCs w:val="24"/>
        </w:rPr>
        <w:t>年，公司主营业务不断增长，产品市场份额继续扩大，巩固了公司作</w:t>
      </w:r>
      <w:r>
        <w:rPr>
          <w:rFonts w:ascii="宋体" w:hAnsi="宋体" w:cs="宋体" w:eastAsia="宋体" w:hint="default"/>
          <w:sz w:val="24"/>
          <w:szCs w:val="24"/>
        </w:rPr>
        <w:t> </w:t>
      </w:r>
      <w:r>
        <w:rPr>
          <w:rFonts w:ascii="宋体" w:hAnsi="宋体" w:cs="宋体" w:eastAsia="宋体" w:hint="default"/>
          <w:spacing w:val="-3"/>
          <w:sz w:val="24"/>
          <w:szCs w:val="24"/>
        </w:rPr>
        <w:t>为中国企业管理软件产业链中核心企业的领导厂商地位。根据赛迪顾问股份有限</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公司（CCID）发布的“2009-2010 </w:t>
      </w:r>
      <w:r>
        <w:rPr>
          <w:rFonts w:ascii="宋体" w:hAnsi="宋体" w:cs="宋体" w:eastAsia="宋体" w:hint="default"/>
          <w:spacing w:val="-5"/>
          <w:sz w:val="24"/>
          <w:szCs w:val="24"/>
        </w:rPr>
        <w:t>年中国管理软件市场研究年度总报告”，公司</w:t>
      </w:r>
      <w:r>
        <w:rPr>
          <w:rFonts w:ascii="宋体" w:hAnsi="宋体" w:cs="宋体" w:eastAsia="宋体" w:hint="default"/>
          <w:spacing w:val="1"/>
          <w:sz w:val="24"/>
          <w:szCs w:val="24"/>
        </w:rPr>
        <w:t> </w:t>
      </w:r>
      <w:r>
        <w:rPr>
          <w:rFonts w:ascii="宋体" w:hAnsi="宋体" w:cs="宋体" w:eastAsia="宋体" w:hint="default"/>
          <w:sz w:val="24"/>
          <w:szCs w:val="24"/>
        </w:rPr>
        <w:t>在中国</w:t>
      </w:r>
      <w:r>
        <w:rPr>
          <w:rFonts w:ascii="宋体" w:hAnsi="宋体" w:cs="宋体" w:eastAsia="宋体" w:hint="default"/>
          <w:spacing w:val="-60"/>
          <w:sz w:val="24"/>
          <w:szCs w:val="24"/>
        </w:rPr>
        <w:t> </w:t>
      </w:r>
      <w:r>
        <w:rPr>
          <w:rFonts w:ascii="宋体" w:hAnsi="宋体" w:cs="宋体" w:eastAsia="宋体" w:hint="default"/>
          <w:sz w:val="24"/>
          <w:szCs w:val="24"/>
        </w:rPr>
        <w:t>ERP</w:t>
      </w:r>
      <w:r>
        <w:rPr>
          <w:rFonts w:ascii="宋体" w:hAnsi="宋体" w:cs="宋体" w:eastAsia="宋体" w:hint="default"/>
          <w:spacing w:val="-60"/>
          <w:sz w:val="24"/>
          <w:szCs w:val="24"/>
        </w:rPr>
        <w:t> </w:t>
      </w:r>
      <w:r>
        <w:rPr>
          <w:rFonts w:ascii="宋体" w:hAnsi="宋体" w:cs="宋体" w:eastAsia="宋体" w:hint="default"/>
          <w:sz w:val="24"/>
          <w:szCs w:val="24"/>
        </w:rPr>
        <w:t>软件领域的市场占有率为</w:t>
      </w:r>
      <w:r>
        <w:rPr>
          <w:rFonts w:ascii="宋体" w:hAnsi="宋体" w:cs="宋体" w:eastAsia="宋体" w:hint="default"/>
          <w:spacing w:val="-60"/>
          <w:sz w:val="24"/>
          <w:szCs w:val="24"/>
        </w:rPr>
        <w:t> </w:t>
      </w:r>
      <w:r>
        <w:rPr>
          <w:rFonts w:ascii="宋体" w:hAnsi="宋体" w:cs="宋体" w:eastAsia="宋体" w:hint="default"/>
          <w:sz w:val="24"/>
          <w:szCs w:val="24"/>
        </w:rPr>
        <w:t>27.0%，连续八年摘得</w:t>
      </w:r>
      <w:r>
        <w:rPr>
          <w:rFonts w:ascii="宋体" w:hAnsi="宋体" w:cs="宋体" w:eastAsia="宋体" w:hint="default"/>
          <w:spacing w:val="-60"/>
          <w:sz w:val="24"/>
          <w:szCs w:val="24"/>
        </w:rPr>
        <w:t> </w:t>
      </w:r>
      <w:r>
        <w:rPr>
          <w:rFonts w:ascii="宋体" w:hAnsi="宋体" w:cs="宋体" w:eastAsia="宋体" w:hint="default"/>
          <w:sz w:val="24"/>
          <w:szCs w:val="24"/>
        </w:rPr>
        <w:t>ERP</w:t>
      </w:r>
      <w:r>
        <w:rPr>
          <w:rFonts w:ascii="宋体" w:hAnsi="宋体" w:cs="宋体" w:eastAsia="宋体" w:hint="default"/>
          <w:spacing w:val="-60"/>
          <w:sz w:val="24"/>
          <w:szCs w:val="24"/>
        </w:rPr>
        <w:t> </w:t>
      </w:r>
      <w:r>
        <w:rPr>
          <w:rFonts w:ascii="宋体" w:hAnsi="宋体" w:cs="宋体" w:eastAsia="宋体" w:hint="default"/>
          <w:sz w:val="24"/>
          <w:szCs w:val="24"/>
        </w:rPr>
        <w:t>市场第一桂冠；</w:t>
      </w:r>
      <w:r>
        <w:rPr>
          <w:rFonts w:ascii="宋体" w:hAnsi="宋体" w:cs="宋体" w:eastAsia="宋体" w:hint="default"/>
          <w:sz w:val="24"/>
          <w:szCs w:val="24"/>
        </w:rPr>
        <w:t> 公司在中国财务管理软件市场的市场占有率为</w:t>
      </w:r>
      <w:r>
        <w:rPr>
          <w:rFonts w:ascii="宋体" w:hAnsi="宋体" w:cs="宋体" w:eastAsia="宋体" w:hint="default"/>
          <w:spacing w:val="-80"/>
          <w:sz w:val="24"/>
          <w:szCs w:val="24"/>
        </w:rPr>
        <w:t> </w:t>
      </w:r>
      <w:r>
        <w:rPr>
          <w:rFonts w:ascii="宋体" w:hAnsi="宋体" w:cs="宋体" w:eastAsia="宋体" w:hint="default"/>
          <w:sz w:val="24"/>
          <w:szCs w:val="24"/>
        </w:rPr>
        <w:t>27.5%，连续十九年保持中国市场</w:t>
      </w:r>
      <w:r>
        <w:rPr>
          <w:rFonts w:ascii="宋体" w:hAnsi="宋体" w:cs="宋体" w:eastAsia="宋体" w:hint="default"/>
          <w:sz w:val="24"/>
          <w:szCs w:val="24"/>
        </w:rPr>
        <w:t> 占有率最高；公司在中国管理软件市场的市场占有率为</w:t>
      </w:r>
      <w:r>
        <w:rPr>
          <w:rFonts w:ascii="宋体" w:hAnsi="宋体" w:cs="宋体" w:eastAsia="宋体" w:hint="default"/>
          <w:spacing w:val="-80"/>
          <w:sz w:val="24"/>
          <w:szCs w:val="24"/>
        </w:rPr>
        <w:t> </w:t>
      </w:r>
      <w:r>
        <w:rPr>
          <w:rFonts w:ascii="宋体" w:hAnsi="宋体" w:cs="宋体" w:eastAsia="宋体" w:hint="default"/>
          <w:sz w:val="24"/>
          <w:szCs w:val="24"/>
        </w:rPr>
        <w:t>22.2%，连续八年成为中</w:t>
      </w:r>
      <w:r>
        <w:rPr>
          <w:rFonts w:ascii="宋体" w:hAnsi="宋体" w:cs="宋体" w:eastAsia="宋体" w:hint="default"/>
          <w:sz w:val="24"/>
          <w:szCs w:val="24"/>
        </w:rPr>
        <w:t> 国市场占有率最高的管理软件厂商。在中国管理软件和</w:t>
      </w:r>
      <w:r>
        <w:rPr>
          <w:rFonts w:ascii="宋体" w:hAnsi="宋体" w:cs="宋体" w:eastAsia="宋体" w:hint="default"/>
          <w:spacing w:val="-32"/>
          <w:sz w:val="24"/>
          <w:szCs w:val="24"/>
        </w:rPr>
        <w:t> </w:t>
      </w:r>
      <w:r>
        <w:rPr>
          <w:rFonts w:ascii="宋体" w:hAnsi="宋体" w:cs="宋体" w:eastAsia="宋体" w:hint="default"/>
          <w:sz w:val="24"/>
          <w:szCs w:val="24"/>
        </w:rPr>
        <w:t>ERP</w:t>
      </w:r>
      <w:r>
        <w:rPr>
          <w:rFonts w:ascii="宋体" w:hAnsi="宋体" w:cs="宋体" w:eastAsia="宋体" w:hint="default"/>
          <w:spacing w:val="-32"/>
          <w:sz w:val="24"/>
          <w:szCs w:val="24"/>
        </w:rPr>
        <w:t> </w:t>
      </w:r>
      <w:r>
        <w:rPr>
          <w:rFonts w:ascii="宋体" w:hAnsi="宋体" w:cs="宋体" w:eastAsia="宋体" w:hint="default"/>
          <w:sz w:val="24"/>
          <w:szCs w:val="24"/>
        </w:rPr>
        <w:t>软件领域，2009</w:t>
      </w:r>
      <w:r>
        <w:rPr>
          <w:rFonts w:ascii="宋体" w:hAnsi="宋体" w:cs="宋体" w:eastAsia="宋体" w:hint="default"/>
          <w:spacing w:val="-32"/>
          <w:sz w:val="24"/>
          <w:szCs w:val="24"/>
        </w:rPr>
        <w:t> </w:t>
      </w:r>
      <w:r>
        <w:rPr>
          <w:rFonts w:ascii="宋体" w:hAnsi="宋体" w:cs="宋体" w:eastAsia="宋体" w:hint="default"/>
          <w:sz w:val="24"/>
          <w:szCs w:val="24"/>
        </w:rPr>
        <w:t>年</w:t>
      </w:r>
      <w:r>
        <w:rPr>
          <w:rFonts w:ascii="宋体" w:hAnsi="宋体" w:cs="宋体" w:eastAsia="宋体" w:hint="default"/>
          <w:sz w:val="24"/>
          <w:szCs w:val="24"/>
        </w:rPr>
        <w:t> 用友软件市场份额均超过市场第二、第三位的总和。公司在中国</w:t>
      </w:r>
      <w:r>
        <w:rPr>
          <w:rFonts w:ascii="宋体" w:hAnsi="宋体" w:cs="宋体" w:eastAsia="宋体" w:hint="default"/>
          <w:spacing w:val="-80"/>
          <w:sz w:val="24"/>
          <w:szCs w:val="24"/>
        </w:rPr>
        <w:t> </w:t>
      </w:r>
      <w:r>
        <w:rPr>
          <w:rFonts w:ascii="宋体" w:hAnsi="宋体" w:cs="宋体" w:eastAsia="宋体" w:hint="default"/>
          <w:sz w:val="24"/>
          <w:szCs w:val="24"/>
        </w:rPr>
        <w:t>CRM（客户关系</w:t>
      </w:r>
      <w:r>
        <w:rPr>
          <w:rFonts w:ascii="宋体" w:hAnsi="宋体" w:cs="宋体" w:eastAsia="宋体" w:hint="default"/>
          <w:sz w:val="24"/>
          <w:szCs w:val="24"/>
        </w:rPr>
        <w:t> 管理）软件领域的市场占有率为 17.7%，排名第一；公司在中国</w:t>
      </w:r>
      <w:r>
        <w:rPr>
          <w:rFonts w:ascii="宋体" w:hAnsi="宋体" w:cs="宋体" w:eastAsia="宋体" w:hint="default"/>
          <w:spacing w:val="-94"/>
          <w:sz w:val="24"/>
          <w:szCs w:val="24"/>
        </w:rPr>
        <w:t> </w:t>
      </w:r>
      <w:r>
        <w:rPr>
          <w:rFonts w:ascii="宋体" w:hAnsi="宋体" w:cs="宋体" w:eastAsia="宋体" w:hint="default"/>
          <w:sz w:val="24"/>
          <w:szCs w:val="24"/>
        </w:rPr>
        <w:t>HRM（人力资源</w:t>
      </w:r>
      <w:r>
        <w:rPr>
          <w:rFonts w:ascii="宋体" w:hAnsi="宋体" w:cs="宋体" w:eastAsia="宋体" w:hint="default"/>
          <w:sz w:val="24"/>
          <w:szCs w:val="24"/>
        </w:rPr>
        <w:t> 管理）软件领域的市场占有率为</w:t>
      </w:r>
      <w:r>
        <w:rPr>
          <w:rFonts w:ascii="宋体" w:hAnsi="宋体" w:cs="宋体" w:eastAsia="宋体" w:hint="default"/>
          <w:spacing w:val="-93"/>
          <w:sz w:val="24"/>
          <w:szCs w:val="24"/>
        </w:rPr>
        <w:t> </w:t>
      </w:r>
      <w:r>
        <w:rPr>
          <w:rFonts w:ascii="宋体" w:hAnsi="宋体" w:cs="宋体" w:eastAsia="宋体" w:hint="default"/>
          <w:sz w:val="24"/>
          <w:szCs w:val="24"/>
        </w:rPr>
        <w:t>19.1%，排名第一。公司控股子公司北京用友艾</w:t>
      </w:r>
    </w:p>
    <w:p>
      <w:pPr>
        <w:spacing w:after="0" w:line="357" w:lineRule="auto"/>
        <w:jc w:val="both"/>
        <w:rPr>
          <w:rFonts w:ascii="宋体" w:hAnsi="宋体" w:cs="宋体" w:eastAsia="宋体" w:hint="default"/>
          <w:sz w:val="24"/>
          <w:szCs w:val="24"/>
        </w:rPr>
        <w:sectPr>
          <w:headerReference w:type="default" r:id="rId172"/>
          <w:footerReference w:type="default" r:id="rId173"/>
          <w:pgSz w:w="11910" w:h="16840"/>
          <w:pgMar w:header="0" w:footer="975" w:top="1440" w:bottom="1160" w:left="1680" w:right="1560"/>
          <w:pgNumType w:start="6"/>
        </w:sectPr>
      </w:pPr>
    </w:p>
    <w:p>
      <w:pPr>
        <w:pStyle w:val="Heading7"/>
        <w:spacing w:line="357" w:lineRule="auto"/>
        <w:ind w:left="120" w:right="197"/>
        <w:jc w:val="both"/>
        <w:rPr>
          <w:rFonts w:ascii="宋体" w:hAnsi="宋体" w:cs="宋体" w:eastAsia="宋体" w:hint="default"/>
        </w:rPr>
      </w:pPr>
      <w:r>
        <w:rPr>
          <w:rFonts w:ascii="宋体" w:hAnsi="宋体" w:cs="宋体" w:eastAsia="宋体" w:hint="default"/>
        </w:rPr>
        <w:t>福斯软件系统有限公司在 EAM（资产管理）软件市场占有率为</w:t>
      </w:r>
      <w:r>
        <w:rPr>
          <w:rFonts w:ascii="宋体" w:hAnsi="宋体" w:cs="宋体" w:eastAsia="宋体" w:hint="default"/>
          <w:spacing w:val="-94"/>
        </w:rPr>
        <w:t> </w:t>
      </w:r>
      <w:r>
        <w:rPr>
          <w:rFonts w:ascii="宋体" w:hAnsi="宋体" w:cs="宋体" w:eastAsia="宋体" w:hint="default"/>
        </w:rPr>
        <w:t>17.4%，连续五年</w:t>
      </w:r>
      <w:r>
        <w:rPr>
          <w:rFonts w:ascii="宋体" w:hAnsi="宋体" w:cs="宋体" w:eastAsia="宋体" w:hint="default"/>
        </w:rPr>
        <w:t> 保持</w:t>
      </w:r>
      <w:r>
        <w:rPr>
          <w:rFonts w:ascii="宋体" w:hAnsi="宋体" w:cs="宋体" w:eastAsia="宋体" w:hint="default"/>
          <w:spacing w:val="-60"/>
        </w:rPr>
        <w:t> </w:t>
      </w:r>
      <w:r>
        <w:rPr>
          <w:rFonts w:ascii="宋体" w:hAnsi="宋体" w:cs="宋体" w:eastAsia="宋体" w:hint="default"/>
        </w:rPr>
        <w:t>EAM</w:t>
      </w:r>
      <w:r>
        <w:rPr>
          <w:rFonts w:ascii="宋体" w:hAnsi="宋体" w:cs="宋体" w:eastAsia="宋体" w:hint="default"/>
          <w:spacing w:val="-60"/>
        </w:rPr>
        <w:t> </w:t>
      </w:r>
      <w:r>
        <w:rPr>
          <w:rFonts w:ascii="宋体" w:hAnsi="宋体" w:cs="宋体" w:eastAsia="宋体" w:hint="default"/>
        </w:rPr>
        <w:t>软件市场占有率第一。</w:t>
      </w:r>
    </w:p>
    <w:p>
      <w:pPr>
        <w:spacing w:line="357" w:lineRule="auto" w:before="36"/>
        <w:ind w:left="600" w:right="183" w:hanging="60"/>
        <w:jc w:val="left"/>
        <w:rPr>
          <w:rFonts w:ascii="宋体" w:hAnsi="宋体" w:cs="宋体" w:eastAsia="宋体" w:hint="default"/>
          <w:sz w:val="24"/>
          <w:szCs w:val="24"/>
        </w:rPr>
      </w:pPr>
      <w:r>
        <w:rPr>
          <w:rFonts w:ascii="宋体" w:hAnsi="宋体" w:cs="宋体" w:eastAsia="宋体" w:hint="default"/>
          <w:b/>
          <w:bCs/>
          <w:sz w:val="24"/>
          <w:szCs w:val="24"/>
        </w:rPr>
        <w:t>七、员工与公司共同发展</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用友是一个有梦想的企业，用友人是一批有信念的人，我们建立和发展于崛</w:t>
      </w:r>
    </w:p>
    <w:p>
      <w:pPr>
        <w:pStyle w:val="Heading7"/>
        <w:spacing w:line="357" w:lineRule="auto" w:before="36"/>
        <w:ind w:left="120" w:right="197"/>
        <w:jc w:val="both"/>
        <w:rPr>
          <w:rFonts w:ascii="宋体" w:hAnsi="宋体" w:cs="宋体" w:eastAsia="宋体" w:hint="default"/>
        </w:rPr>
      </w:pPr>
      <w:r>
        <w:rPr>
          <w:rFonts w:ascii="宋体" w:hAnsi="宋体" w:cs="宋体" w:eastAsia="宋体" w:hint="default"/>
          <w:spacing w:val="-3"/>
        </w:rPr>
        <w:t>起的中国、融合的世界，在革新的时代，用友人拥有梦想、树立信念，并追求梦</w:t>
      </w:r>
      <w:r>
        <w:rPr>
          <w:rFonts w:ascii="宋体" w:hAnsi="宋体" w:cs="宋体" w:eastAsia="宋体" w:hint="default"/>
          <w:spacing w:val="-115"/>
        </w:rPr>
        <w:t> </w:t>
      </w:r>
      <w:r>
        <w:rPr>
          <w:rFonts w:ascii="宋体" w:hAnsi="宋体" w:cs="宋体" w:eastAsia="宋体" w:hint="default"/>
          <w:spacing w:val="-115"/>
        </w:rPr>
      </w:r>
      <w:r>
        <w:rPr>
          <w:rFonts w:ascii="宋体" w:hAnsi="宋体" w:cs="宋体" w:eastAsia="宋体" w:hint="default"/>
          <w:spacing w:val="-3"/>
        </w:rPr>
        <w:t>想，实践信念。用友人勇于梦想，确立使命、目标和信念，更勇于追求梦想，通</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过奋斗实现梦想，用友人追求成功，永不言败。</w:t>
      </w:r>
    </w:p>
    <w:p>
      <w:pPr>
        <w:spacing w:line="357" w:lineRule="auto" w:before="36"/>
        <w:ind w:left="120" w:right="194" w:firstLine="480"/>
        <w:jc w:val="both"/>
        <w:rPr>
          <w:rFonts w:ascii="宋体" w:hAnsi="宋体" w:cs="宋体" w:eastAsia="宋体" w:hint="default"/>
          <w:sz w:val="24"/>
          <w:szCs w:val="24"/>
        </w:rPr>
      </w:pPr>
      <w:r>
        <w:rPr>
          <w:rFonts w:ascii="宋体" w:hAnsi="宋体" w:cs="宋体" w:eastAsia="宋体" w:hint="default"/>
          <w:spacing w:val="-3"/>
          <w:sz w:val="24"/>
          <w:szCs w:val="24"/>
        </w:rPr>
        <w:t>为进一步完善公司激励机制与体系，增强公司的人才竞争力，根据公司股东</w:t>
      </w:r>
      <w:r>
        <w:rPr>
          <w:rFonts w:ascii="宋体" w:hAnsi="宋体" w:cs="宋体" w:eastAsia="宋体" w:hint="default"/>
          <w:sz w:val="24"/>
          <w:szCs w:val="24"/>
        </w:rPr>
        <w:t> </w:t>
      </w:r>
      <w:r>
        <w:rPr>
          <w:rFonts w:ascii="宋体" w:hAnsi="宋体" w:cs="宋体" w:eastAsia="宋体" w:hint="default"/>
          <w:spacing w:val="-8"/>
          <w:sz w:val="24"/>
          <w:szCs w:val="24"/>
        </w:rPr>
        <w:t>大会的授权，公司董事会于</w:t>
      </w:r>
      <w:r>
        <w:rPr>
          <w:rFonts w:ascii="宋体" w:hAnsi="宋体" w:cs="宋体" w:eastAsia="宋体" w:hint="default"/>
          <w:spacing w:val="-58"/>
          <w:sz w:val="24"/>
          <w:szCs w:val="24"/>
        </w:rPr>
        <w:t> </w:t>
      </w:r>
      <w:r>
        <w:rPr>
          <w:rFonts w:ascii="宋体" w:hAnsi="宋体" w:cs="宋体" w:eastAsia="宋体" w:hint="default"/>
          <w:spacing w:val="25"/>
          <w:sz w:val="24"/>
          <w:szCs w:val="24"/>
        </w:rPr>
        <w:t>2009年9月</w:t>
      </w:r>
      <w:r>
        <w:rPr>
          <w:rFonts w:ascii="宋体" w:hAnsi="宋体" w:cs="宋体" w:eastAsia="宋体" w:hint="default"/>
          <w:spacing w:val="-58"/>
          <w:sz w:val="24"/>
          <w:szCs w:val="24"/>
        </w:rPr>
        <w:t> </w:t>
      </w:r>
      <w:r>
        <w:rPr>
          <w:rFonts w:ascii="宋体" w:hAnsi="宋体" w:cs="宋体" w:eastAsia="宋体" w:hint="default"/>
          <w:sz w:val="24"/>
          <w:szCs w:val="24"/>
        </w:rPr>
        <w:t>29</w:t>
      </w:r>
      <w:r>
        <w:rPr>
          <w:rFonts w:ascii="宋体" w:hAnsi="宋体" w:cs="宋体" w:eastAsia="宋体" w:hint="default"/>
          <w:spacing w:val="-58"/>
          <w:sz w:val="24"/>
          <w:szCs w:val="24"/>
        </w:rPr>
        <w:t> </w:t>
      </w:r>
      <w:r>
        <w:rPr>
          <w:rFonts w:ascii="宋体" w:hAnsi="宋体" w:cs="宋体" w:eastAsia="宋体" w:hint="default"/>
          <w:sz w:val="24"/>
          <w:szCs w:val="24"/>
        </w:rPr>
        <w:t>日向符合授予条件的股权激励对象授</w:t>
      </w:r>
      <w:r>
        <w:rPr>
          <w:rFonts w:ascii="宋体" w:hAnsi="宋体" w:cs="宋体" w:eastAsia="宋体" w:hint="default"/>
          <w:sz w:val="24"/>
          <w:szCs w:val="24"/>
        </w:rPr>
        <w:t> </w:t>
      </w:r>
      <w:r>
        <w:rPr>
          <w:rFonts w:ascii="宋体" w:hAnsi="宋体" w:cs="宋体" w:eastAsia="宋体" w:hint="default"/>
          <w:spacing w:val="-4"/>
          <w:sz w:val="24"/>
          <w:szCs w:val="24"/>
        </w:rPr>
        <w:t>予《用友软件股份有限公司股权激励计划（修订稿）》中标的股票，本次授予股</w:t>
      </w:r>
      <w:r>
        <w:rPr>
          <w:rFonts w:ascii="宋体" w:hAnsi="宋体" w:cs="宋体" w:eastAsia="宋体" w:hint="default"/>
          <w:spacing w:val="-100"/>
          <w:sz w:val="24"/>
          <w:szCs w:val="24"/>
        </w:rPr>
        <w:t> </w:t>
      </w:r>
      <w:r>
        <w:rPr>
          <w:rFonts w:ascii="宋体" w:hAnsi="宋体" w:cs="宋体" w:eastAsia="宋体" w:hint="default"/>
          <w:spacing w:val="-100"/>
          <w:sz w:val="24"/>
          <w:szCs w:val="24"/>
        </w:rPr>
      </w:r>
      <w:r>
        <w:rPr>
          <w:rFonts w:ascii="宋体" w:hAnsi="宋体" w:cs="宋体" w:eastAsia="宋体" w:hint="default"/>
          <w:sz w:val="24"/>
          <w:szCs w:val="24"/>
        </w:rPr>
        <w:t>权激励计划股票共计</w:t>
      </w:r>
      <w:r>
        <w:rPr>
          <w:rFonts w:ascii="宋体" w:hAnsi="宋体" w:cs="宋体" w:eastAsia="宋体" w:hint="default"/>
          <w:spacing w:val="-59"/>
          <w:sz w:val="24"/>
          <w:szCs w:val="24"/>
        </w:rPr>
        <w:t> </w:t>
      </w:r>
      <w:r>
        <w:rPr>
          <w:rFonts w:ascii="宋体" w:hAnsi="宋体" w:cs="宋体" w:eastAsia="宋体" w:hint="default"/>
          <w:sz w:val="24"/>
          <w:szCs w:val="24"/>
        </w:rPr>
        <w:t>22,322,560</w:t>
      </w:r>
      <w:r>
        <w:rPr>
          <w:rFonts w:ascii="宋体" w:hAnsi="宋体" w:cs="宋体" w:eastAsia="宋体" w:hint="default"/>
          <w:spacing w:val="-59"/>
          <w:sz w:val="24"/>
          <w:szCs w:val="24"/>
        </w:rPr>
        <w:t> </w:t>
      </w:r>
      <w:r>
        <w:rPr>
          <w:rFonts w:ascii="宋体" w:hAnsi="宋体" w:cs="宋体" w:eastAsia="宋体" w:hint="default"/>
          <w:spacing w:val="-3"/>
          <w:sz w:val="24"/>
          <w:szCs w:val="24"/>
        </w:rPr>
        <w:t>股，其中，2009</w:t>
      </w:r>
      <w:r>
        <w:rPr>
          <w:rFonts w:ascii="宋体" w:hAnsi="宋体" w:cs="宋体" w:eastAsia="宋体" w:hint="default"/>
          <w:spacing w:val="-59"/>
          <w:sz w:val="24"/>
          <w:szCs w:val="24"/>
        </w:rPr>
        <w:t> </w:t>
      </w:r>
      <w:r>
        <w:rPr>
          <w:rFonts w:ascii="宋体" w:hAnsi="宋体" w:cs="宋体" w:eastAsia="宋体" w:hint="default"/>
          <w:sz w:val="24"/>
          <w:szCs w:val="24"/>
        </w:rPr>
        <w:t>年度股票</w:t>
      </w:r>
      <w:r>
        <w:rPr>
          <w:rFonts w:ascii="宋体" w:hAnsi="宋体" w:cs="宋体" w:eastAsia="宋体" w:hint="default"/>
          <w:spacing w:val="-59"/>
          <w:sz w:val="24"/>
          <w:szCs w:val="24"/>
        </w:rPr>
        <w:t> </w:t>
      </w:r>
      <w:r>
        <w:rPr>
          <w:rFonts w:ascii="宋体" w:hAnsi="宋体" w:cs="宋体" w:eastAsia="宋体" w:hint="default"/>
          <w:sz w:val="24"/>
          <w:szCs w:val="24"/>
        </w:rPr>
        <w:t>5,840,640</w:t>
      </w:r>
      <w:r>
        <w:rPr>
          <w:rFonts w:ascii="宋体" w:hAnsi="宋体" w:cs="宋体" w:eastAsia="宋体" w:hint="default"/>
          <w:spacing w:val="-59"/>
          <w:sz w:val="24"/>
          <w:szCs w:val="24"/>
        </w:rPr>
        <w:t> </w:t>
      </w:r>
      <w:r>
        <w:rPr>
          <w:rFonts w:ascii="宋体" w:hAnsi="宋体" w:cs="宋体" w:eastAsia="宋体" w:hint="default"/>
          <w:spacing w:val="-3"/>
          <w:sz w:val="24"/>
          <w:szCs w:val="24"/>
        </w:rPr>
        <w:t>股，预留</w:t>
      </w:r>
    </w:p>
    <w:p>
      <w:pPr>
        <w:spacing w:before="36"/>
        <w:ind w:left="120" w:right="0" w:firstLine="0"/>
        <w:jc w:val="both"/>
        <w:rPr>
          <w:rFonts w:ascii="宋体" w:hAnsi="宋体" w:cs="宋体" w:eastAsia="宋体" w:hint="default"/>
          <w:sz w:val="24"/>
          <w:szCs w:val="24"/>
        </w:rPr>
      </w:pPr>
      <w:r>
        <w:rPr>
          <w:rFonts w:ascii="宋体" w:hAnsi="宋体" w:cs="宋体" w:eastAsia="宋体" w:hint="default"/>
          <w:sz w:val="24"/>
          <w:szCs w:val="24"/>
        </w:rPr>
        <w:t>股份</w:t>
      </w:r>
      <w:r>
        <w:rPr>
          <w:rFonts w:ascii="宋体" w:hAnsi="宋体" w:cs="宋体" w:eastAsia="宋体" w:hint="default"/>
          <w:spacing w:val="-58"/>
          <w:sz w:val="24"/>
          <w:szCs w:val="24"/>
        </w:rPr>
        <w:t> </w:t>
      </w:r>
      <w:r>
        <w:rPr>
          <w:rFonts w:ascii="宋体" w:hAnsi="宋体" w:cs="宋体" w:eastAsia="宋体" w:hint="default"/>
          <w:sz w:val="24"/>
          <w:szCs w:val="24"/>
        </w:rPr>
        <w:t>16,481,920</w:t>
      </w:r>
      <w:r>
        <w:rPr>
          <w:rFonts w:ascii="宋体" w:hAnsi="宋体" w:cs="宋体" w:eastAsia="宋体" w:hint="default"/>
          <w:spacing w:val="-58"/>
          <w:sz w:val="24"/>
          <w:szCs w:val="24"/>
        </w:rPr>
        <w:t> </w:t>
      </w:r>
      <w:r>
        <w:rPr>
          <w:rFonts w:ascii="宋体" w:hAnsi="宋体" w:cs="宋体" w:eastAsia="宋体" w:hint="default"/>
          <w:sz w:val="24"/>
          <w:szCs w:val="24"/>
        </w:rPr>
        <w:t>股。截至</w:t>
      </w:r>
      <w:r>
        <w:rPr>
          <w:rFonts w:ascii="宋体" w:hAnsi="宋体" w:cs="宋体" w:eastAsia="宋体" w:hint="default"/>
          <w:spacing w:val="-58"/>
          <w:sz w:val="24"/>
          <w:szCs w:val="24"/>
        </w:rPr>
        <w:t> </w:t>
      </w:r>
      <w:r>
        <w:rPr>
          <w:rFonts w:ascii="宋体" w:hAnsi="宋体" w:cs="宋体" w:eastAsia="宋体" w:hint="default"/>
          <w:sz w:val="24"/>
          <w:szCs w:val="24"/>
        </w:rPr>
        <w:t>2009</w:t>
      </w:r>
      <w:r>
        <w:rPr>
          <w:rFonts w:ascii="宋体" w:hAnsi="宋体" w:cs="宋体" w:eastAsia="宋体" w:hint="default"/>
          <w:spacing w:val="-58"/>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z w:val="24"/>
          <w:szCs w:val="24"/>
        </w:rPr>
        <w:t>11</w:t>
      </w:r>
      <w:r>
        <w:rPr>
          <w:rFonts w:ascii="宋体" w:hAnsi="宋体" w:cs="宋体" w:eastAsia="宋体" w:hint="default"/>
          <w:spacing w:val="-58"/>
          <w:sz w:val="24"/>
          <w:szCs w:val="24"/>
        </w:rPr>
        <w:t> </w:t>
      </w:r>
      <w:r>
        <w:rPr>
          <w:rFonts w:ascii="宋体" w:hAnsi="宋体" w:cs="宋体" w:eastAsia="宋体" w:hint="default"/>
          <w:sz w:val="24"/>
          <w:szCs w:val="24"/>
        </w:rPr>
        <w:t>月</w:t>
      </w:r>
      <w:r>
        <w:rPr>
          <w:rFonts w:ascii="宋体" w:hAnsi="宋体" w:cs="宋体" w:eastAsia="宋体" w:hint="default"/>
          <w:spacing w:val="-58"/>
          <w:sz w:val="24"/>
          <w:szCs w:val="24"/>
        </w:rPr>
        <w:t> </w:t>
      </w:r>
      <w:r>
        <w:rPr>
          <w:rFonts w:ascii="宋体" w:hAnsi="宋体" w:cs="宋体" w:eastAsia="宋体" w:hint="default"/>
          <w:sz w:val="24"/>
          <w:szCs w:val="24"/>
        </w:rPr>
        <w:t>24</w:t>
      </w:r>
      <w:r>
        <w:rPr>
          <w:rFonts w:ascii="宋体" w:hAnsi="宋体" w:cs="宋体" w:eastAsia="宋体" w:hint="default"/>
          <w:spacing w:val="-57"/>
          <w:sz w:val="24"/>
          <w:szCs w:val="24"/>
        </w:rPr>
        <w:t> </w:t>
      </w:r>
      <w:r>
        <w:rPr>
          <w:rFonts w:ascii="宋体" w:hAnsi="宋体" w:cs="宋体" w:eastAsia="宋体" w:hint="default"/>
          <w:sz w:val="24"/>
          <w:szCs w:val="24"/>
        </w:rPr>
        <w:t>日，实际缴款激励对象</w:t>
      </w:r>
      <w:r>
        <w:rPr>
          <w:rFonts w:ascii="宋体" w:hAnsi="宋体" w:cs="宋体" w:eastAsia="宋体" w:hint="default"/>
          <w:spacing w:val="-58"/>
          <w:sz w:val="24"/>
          <w:szCs w:val="24"/>
        </w:rPr>
        <w:t> </w:t>
      </w:r>
      <w:r>
        <w:rPr>
          <w:rFonts w:ascii="宋体" w:hAnsi="宋体" w:cs="宋体" w:eastAsia="宋体" w:hint="default"/>
          <w:sz w:val="24"/>
          <w:szCs w:val="24"/>
        </w:rPr>
        <w:t>1524</w:t>
      </w:r>
      <w:r>
        <w:rPr>
          <w:rFonts w:ascii="宋体" w:hAnsi="宋体" w:cs="宋体" w:eastAsia="宋体" w:hint="default"/>
          <w:spacing w:val="-58"/>
          <w:sz w:val="24"/>
          <w:szCs w:val="24"/>
        </w:rPr>
        <w:t> </w:t>
      </w:r>
      <w:r>
        <w:rPr>
          <w:rFonts w:ascii="宋体" w:hAnsi="宋体" w:cs="宋体" w:eastAsia="宋体" w:hint="default"/>
          <w:sz w:val="24"/>
          <w:szCs w:val="24"/>
        </w:rPr>
        <w:t>人，实</w:t>
      </w:r>
    </w:p>
    <w:p>
      <w:pPr>
        <w:spacing w:before="154"/>
        <w:ind w:left="120" w:right="0" w:firstLine="0"/>
        <w:jc w:val="both"/>
        <w:rPr>
          <w:rFonts w:ascii="宋体" w:hAnsi="宋体" w:cs="宋体" w:eastAsia="宋体" w:hint="default"/>
          <w:sz w:val="24"/>
          <w:szCs w:val="24"/>
        </w:rPr>
      </w:pPr>
      <w:r>
        <w:rPr>
          <w:rFonts w:ascii="宋体" w:hAnsi="宋体" w:cs="宋体" w:eastAsia="宋体" w:hint="default"/>
          <w:sz w:val="24"/>
          <w:szCs w:val="24"/>
        </w:rPr>
        <w:t>际授出股权激励股份</w:t>
      </w:r>
      <w:r>
        <w:rPr>
          <w:rFonts w:ascii="宋体" w:hAnsi="宋体" w:cs="宋体" w:eastAsia="宋体" w:hint="default"/>
          <w:spacing w:val="-60"/>
          <w:sz w:val="24"/>
          <w:szCs w:val="24"/>
        </w:rPr>
        <w:t> </w:t>
      </w:r>
      <w:r>
        <w:rPr>
          <w:rFonts w:ascii="宋体" w:hAnsi="宋体" w:cs="宋体" w:eastAsia="宋体" w:hint="default"/>
          <w:sz w:val="24"/>
          <w:szCs w:val="24"/>
        </w:rPr>
        <w:t>21,196,982</w:t>
      </w:r>
      <w:r>
        <w:rPr>
          <w:rFonts w:ascii="宋体" w:hAnsi="宋体" w:cs="宋体" w:eastAsia="宋体" w:hint="default"/>
          <w:spacing w:val="-60"/>
          <w:sz w:val="24"/>
          <w:szCs w:val="24"/>
        </w:rPr>
        <w:t> </w:t>
      </w:r>
      <w:r>
        <w:rPr>
          <w:rFonts w:ascii="宋体" w:hAnsi="宋体" w:cs="宋体" w:eastAsia="宋体" w:hint="default"/>
          <w:sz w:val="24"/>
          <w:szCs w:val="24"/>
        </w:rPr>
        <w:t>股，其中，授出</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年度股票</w:t>
      </w:r>
      <w:r>
        <w:rPr>
          <w:rFonts w:ascii="宋体" w:hAnsi="宋体" w:cs="宋体" w:eastAsia="宋体" w:hint="default"/>
          <w:spacing w:val="-60"/>
          <w:sz w:val="24"/>
          <w:szCs w:val="24"/>
        </w:rPr>
        <w:t> </w:t>
      </w:r>
      <w:r>
        <w:rPr>
          <w:rFonts w:ascii="宋体" w:hAnsi="宋体" w:cs="宋体" w:eastAsia="宋体" w:hint="default"/>
          <w:sz w:val="24"/>
          <w:szCs w:val="24"/>
        </w:rPr>
        <w:t>5,840,640</w:t>
      </w:r>
      <w:r>
        <w:rPr>
          <w:rFonts w:ascii="宋体" w:hAnsi="宋体" w:cs="宋体" w:eastAsia="宋体" w:hint="default"/>
          <w:spacing w:val="-60"/>
          <w:sz w:val="24"/>
          <w:szCs w:val="24"/>
        </w:rPr>
        <w:t> </w:t>
      </w:r>
      <w:r>
        <w:rPr>
          <w:rFonts w:ascii="宋体" w:hAnsi="宋体" w:cs="宋体" w:eastAsia="宋体" w:hint="default"/>
          <w:sz w:val="24"/>
          <w:szCs w:val="24"/>
        </w:rPr>
        <w:t>股，</w:t>
      </w:r>
    </w:p>
    <w:p>
      <w:pPr>
        <w:spacing w:line="357" w:lineRule="auto" w:before="154"/>
        <w:ind w:left="120" w:right="197" w:firstLine="0"/>
        <w:jc w:val="both"/>
        <w:rPr>
          <w:rFonts w:ascii="宋体" w:hAnsi="宋体" w:cs="宋体" w:eastAsia="宋体" w:hint="default"/>
          <w:sz w:val="24"/>
          <w:szCs w:val="24"/>
        </w:rPr>
      </w:pPr>
      <w:r>
        <w:rPr>
          <w:rFonts w:ascii="宋体" w:hAnsi="宋体" w:cs="宋体" w:eastAsia="宋体" w:hint="default"/>
          <w:sz w:val="24"/>
          <w:szCs w:val="24"/>
        </w:rPr>
        <w:t>授出预留股份 15,356,342</w:t>
      </w:r>
      <w:r>
        <w:rPr>
          <w:rFonts w:ascii="宋体" w:hAnsi="宋体" w:cs="宋体" w:eastAsia="宋体" w:hint="default"/>
          <w:spacing w:val="-94"/>
          <w:sz w:val="24"/>
          <w:szCs w:val="24"/>
        </w:rPr>
        <w:t> </w:t>
      </w:r>
      <w:r>
        <w:rPr>
          <w:rFonts w:ascii="宋体" w:hAnsi="宋体" w:cs="宋体" w:eastAsia="宋体" w:hint="default"/>
          <w:sz w:val="24"/>
          <w:szCs w:val="24"/>
        </w:rPr>
        <w:t>股。本次股权激励股份授出后，公司股权激励计划股</w:t>
      </w:r>
      <w:r>
        <w:rPr>
          <w:rFonts w:ascii="宋体" w:hAnsi="宋体" w:cs="宋体" w:eastAsia="宋体" w:hint="default"/>
          <w:sz w:val="24"/>
          <w:szCs w:val="24"/>
        </w:rPr>
        <w:t> </w:t>
      </w:r>
      <w:r>
        <w:rPr>
          <w:rFonts w:ascii="宋体" w:hAnsi="宋体" w:cs="宋体" w:eastAsia="宋体" w:hint="default"/>
          <w:spacing w:val="-3"/>
          <w:sz w:val="24"/>
          <w:szCs w:val="24"/>
        </w:rPr>
        <w:t>份已全部授出。公司在推出股权激励计划后，公司治理结构、薪酬与考核制度进</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一步完善，更好地发挥了激励与约束机制，突出了激励对象的业绩贡献，员工积</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极性和创造性进一步增强，实现了员工与公司共同发展。</w:t>
      </w:r>
    </w:p>
    <w:p>
      <w:pPr>
        <w:spacing w:line="357" w:lineRule="auto" w:before="36"/>
        <w:ind w:left="120" w:right="197" w:firstLine="480"/>
        <w:jc w:val="both"/>
        <w:rPr>
          <w:rFonts w:ascii="宋体" w:hAnsi="宋体" w:cs="宋体" w:eastAsia="宋体" w:hint="default"/>
          <w:sz w:val="24"/>
          <w:szCs w:val="24"/>
        </w:rPr>
      </w:pPr>
      <w:r>
        <w:rPr>
          <w:rFonts w:ascii="宋体" w:hAnsi="宋体" w:cs="宋体" w:eastAsia="宋体" w:hint="default"/>
          <w:spacing w:val="-3"/>
          <w:sz w:val="24"/>
          <w:szCs w:val="24"/>
        </w:rPr>
        <w:t>公司每年定期为员工进行体检，保证员工健康。公司建立了多层次的医疗保</w:t>
      </w:r>
      <w:r>
        <w:rPr>
          <w:rFonts w:ascii="宋体" w:hAnsi="宋体" w:cs="宋体" w:eastAsia="宋体" w:hint="default"/>
          <w:sz w:val="24"/>
          <w:szCs w:val="24"/>
        </w:rPr>
        <w:t> </w:t>
      </w:r>
      <w:r>
        <w:rPr>
          <w:rFonts w:ascii="宋体" w:hAnsi="宋体" w:cs="宋体" w:eastAsia="宋体" w:hint="default"/>
          <w:spacing w:val="-3"/>
          <w:sz w:val="24"/>
          <w:szCs w:val="24"/>
        </w:rPr>
        <w:t>障体系，帮助员工解决大额医疗费用负担，制定了《员工重大疾病及人身意外伤</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害医疗费用补助办法》，以解决基本医疗保险规定中个人自负部分的医疗费用及</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基本医疗保险范围外个人自费的医疗费用，减轻员工医疗费用负担。</w:t>
      </w:r>
    </w:p>
    <w:p>
      <w:pPr>
        <w:spacing w:before="36"/>
        <w:ind w:left="600" w:right="84" w:firstLine="0"/>
        <w:jc w:val="left"/>
        <w:rPr>
          <w:rFonts w:ascii="宋体" w:hAnsi="宋体" w:cs="宋体" w:eastAsia="宋体" w:hint="default"/>
          <w:sz w:val="24"/>
          <w:szCs w:val="24"/>
        </w:rPr>
      </w:pPr>
      <w:r>
        <w:rPr>
          <w:rFonts w:ascii="宋体" w:hAnsi="宋体" w:cs="宋体" w:eastAsia="宋体" w:hint="default"/>
          <w:sz w:val="24"/>
          <w:szCs w:val="24"/>
        </w:rPr>
        <w:t>自 2003</w:t>
      </w:r>
      <w:r>
        <w:rPr>
          <w:rFonts w:ascii="宋体" w:hAnsi="宋体" w:cs="宋体" w:eastAsia="宋体" w:hint="default"/>
          <w:spacing w:val="-94"/>
          <w:sz w:val="24"/>
          <w:szCs w:val="24"/>
        </w:rPr>
        <w:t> </w:t>
      </w:r>
      <w:r>
        <w:rPr>
          <w:rFonts w:ascii="宋体" w:hAnsi="宋体" w:cs="宋体" w:eastAsia="宋体" w:hint="default"/>
          <w:sz w:val="24"/>
          <w:szCs w:val="24"/>
        </w:rPr>
        <w:t>年起，王文京、郭新平、吴政平等人捐助成立了“用友员工救助基</w:t>
      </w:r>
    </w:p>
    <w:p>
      <w:pPr>
        <w:spacing w:line="357" w:lineRule="auto" w:before="154"/>
        <w:ind w:left="120" w:right="197" w:firstLine="0"/>
        <w:jc w:val="both"/>
        <w:rPr>
          <w:rFonts w:ascii="宋体" w:hAnsi="宋体" w:cs="宋体" w:eastAsia="宋体" w:hint="default"/>
          <w:sz w:val="24"/>
          <w:szCs w:val="24"/>
        </w:rPr>
      </w:pPr>
      <w:r>
        <w:rPr>
          <w:rFonts w:ascii="宋体" w:hAnsi="宋体" w:cs="宋体" w:eastAsia="宋体" w:hint="default"/>
          <w:sz w:val="24"/>
          <w:szCs w:val="24"/>
        </w:rPr>
        <w:t>金”，每年定期投入资金 50</w:t>
      </w:r>
      <w:r>
        <w:rPr>
          <w:rFonts w:ascii="宋体" w:hAnsi="宋体" w:cs="宋体" w:eastAsia="宋体" w:hint="default"/>
          <w:spacing w:val="-94"/>
          <w:sz w:val="24"/>
          <w:szCs w:val="24"/>
        </w:rPr>
        <w:t> </w:t>
      </w:r>
      <w:r>
        <w:rPr>
          <w:rFonts w:ascii="宋体" w:hAnsi="宋体" w:cs="宋体" w:eastAsia="宋体" w:hint="default"/>
          <w:sz w:val="24"/>
          <w:szCs w:val="24"/>
        </w:rPr>
        <w:t>万元用于基金运行。该基金以救助因重大疾病、人</w:t>
      </w:r>
      <w:r>
        <w:rPr>
          <w:rFonts w:ascii="宋体" w:hAnsi="宋体" w:cs="宋体" w:eastAsia="宋体" w:hint="default"/>
          <w:sz w:val="24"/>
          <w:szCs w:val="24"/>
        </w:rPr>
        <w:t> </w:t>
      </w:r>
      <w:r>
        <w:rPr>
          <w:rFonts w:ascii="宋体" w:hAnsi="宋体" w:cs="宋体" w:eastAsia="宋体" w:hint="default"/>
          <w:spacing w:val="-3"/>
          <w:sz w:val="24"/>
          <w:szCs w:val="24"/>
        </w:rPr>
        <w:t>身意外伤害及特大自然灾害等重大事件造成经济困难的员工及其父母、未成年子</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女，目前已经累计救助 11</w:t>
      </w:r>
      <w:r>
        <w:rPr>
          <w:rFonts w:ascii="宋体" w:hAnsi="宋体" w:cs="宋体" w:eastAsia="宋体" w:hint="default"/>
          <w:spacing w:val="-94"/>
          <w:sz w:val="24"/>
          <w:szCs w:val="24"/>
        </w:rPr>
        <w:t> </w:t>
      </w:r>
      <w:r>
        <w:rPr>
          <w:rFonts w:ascii="宋体" w:hAnsi="宋体" w:cs="宋体" w:eastAsia="宋体" w:hint="default"/>
          <w:sz w:val="24"/>
          <w:szCs w:val="24"/>
        </w:rPr>
        <w:t>名员工。目前公司创始股东正在积极筹备组建用友基</w:t>
      </w:r>
      <w:r>
        <w:rPr>
          <w:rFonts w:ascii="宋体" w:hAnsi="宋体" w:cs="宋体" w:eastAsia="宋体" w:hint="default"/>
          <w:sz w:val="24"/>
          <w:szCs w:val="24"/>
        </w:rPr>
        <w:t> 金会，支持科技创新和困难救助。</w:t>
      </w:r>
    </w:p>
    <w:p>
      <w:pPr>
        <w:spacing w:line="357" w:lineRule="auto" w:before="36"/>
        <w:ind w:left="120" w:right="197" w:firstLine="480"/>
        <w:jc w:val="both"/>
        <w:rPr>
          <w:rFonts w:ascii="宋体" w:hAnsi="宋体" w:cs="宋体" w:eastAsia="宋体" w:hint="default"/>
          <w:sz w:val="24"/>
          <w:szCs w:val="24"/>
        </w:rPr>
      </w:pPr>
      <w:r>
        <w:rPr>
          <w:rFonts w:ascii="宋体" w:hAnsi="宋体" w:cs="宋体" w:eastAsia="宋体" w:hint="default"/>
          <w:spacing w:val="-3"/>
          <w:sz w:val="24"/>
          <w:szCs w:val="24"/>
        </w:rPr>
        <w:t>作为高科技企业，人才是最宝贵的资源。公司每年投入专项费用用于员工培</w:t>
      </w:r>
      <w:r>
        <w:rPr>
          <w:rFonts w:ascii="宋体" w:hAnsi="宋体" w:cs="宋体" w:eastAsia="宋体" w:hint="default"/>
          <w:sz w:val="24"/>
          <w:szCs w:val="24"/>
        </w:rPr>
        <w:t> </w:t>
      </w:r>
      <w:r>
        <w:rPr>
          <w:rFonts w:ascii="宋体" w:hAnsi="宋体" w:cs="宋体" w:eastAsia="宋体" w:hint="default"/>
          <w:spacing w:val="-3"/>
          <w:sz w:val="24"/>
          <w:szCs w:val="24"/>
        </w:rPr>
        <w:t>训与发展。公司建立了员工的双通道发展路径，鼓励员工结合自己的特长与愿望</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向技术专家型或管理专家型人才发展。为了帮助员工更快地实现自己的职业生涯</w:t>
      </w:r>
    </w:p>
    <w:p>
      <w:pPr>
        <w:spacing w:after="0" w:line="357" w:lineRule="auto"/>
        <w:jc w:val="both"/>
        <w:rPr>
          <w:rFonts w:ascii="宋体" w:hAnsi="宋体" w:cs="宋体" w:eastAsia="宋体" w:hint="default"/>
          <w:sz w:val="24"/>
          <w:szCs w:val="24"/>
        </w:rPr>
        <w:sectPr>
          <w:headerReference w:type="default" r:id="rId174"/>
          <w:footerReference w:type="default" r:id="rId175"/>
          <w:pgSz w:w="11910" w:h="16840"/>
          <w:pgMar w:header="0" w:footer="975" w:top="1480" w:bottom="1160" w:left="1680" w:right="1600"/>
          <w:pgNumType w:start="7"/>
        </w:sectPr>
      </w:pPr>
    </w:p>
    <w:p>
      <w:pPr>
        <w:pStyle w:val="Heading7"/>
        <w:spacing w:line="357" w:lineRule="auto"/>
        <w:ind w:left="120" w:right="229"/>
        <w:jc w:val="left"/>
        <w:rPr>
          <w:rFonts w:ascii="宋体" w:hAnsi="宋体" w:cs="宋体" w:eastAsia="宋体" w:hint="default"/>
        </w:rPr>
      </w:pPr>
      <w:r>
        <w:rPr>
          <w:rFonts w:ascii="宋体" w:hAnsi="宋体" w:cs="宋体" w:eastAsia="宋体" w:hint="default"/>
          <w:spacing w:val="-3"/>
        </w:rPr>
        <w:t>规划，公司建立了多层次的培训体系，支撑员工的职业生涯发展的各个阶段，从</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新员工培训、专业技能培训、通用能力培训到管理培训。</w:t>
      </w:r>
    </w:p>
    <w:p>
      <w:pPr>
        <w:spacing w:line="357" w:lineRule="auto" w:before="36"/>
        <w:ind w:left="120" w:right="124" w:firstLine="480"/>
        <w:jc w:val="left"/>
        <w:rPr>
          <w:rFonts w:ascii="宋体" w:hAnsi="宋体" w:cs="宋体" w:eastAsia="宋体" w:hint="default"/>
          <w:sz w:val="24"/>
          <w:szCs w:val="24"/>
        </w:rPr>
      </w:pPr>
      <w:r>
        <w:rPr>
          <w:rFonts w:ascii="宋体" w:hAnsi="宋体" w:cs="宋体" w:eastAsia="宋体" w:hint="default"/>
          <w:sz w:val="24"/>
          <w:szCs w:val="24"/>
        </w:rPr>
        <w:t>为丰富员工的业余文化生活，公司在软件园建设了面积超过 2000</w:t>
      </w:r>
      <w:r>
        <w:rPr>
          <w:rFonts w:ascii="宋体" w:hAnsi="宋体" w:cs="宋体" w:eastAsia="宋体" w:hint="default"/>
          <w:spacing w:val="-94"/>
          <w:sz w:val="24"/>
          <w:szCs w:val="24"/>
        </w:rPr>
        <w:t> </w:t>
      </w:r>
      <w:r>
        <w:rPr>
          <w:rFonts w:ascii="宋体" w:hAnsi="宋体" w:cs="宋体" w:eastAsia="宋体" w:hint="default"/>
          <w:sz w:val="24"/>
          <w:szCs w:val="24"/>
        </w:rPr>
        <w:t>平方米的</w:t>
      </w:r>
      <w:r>
        <w:rPr>
          <w:rFonts w:ascii="宋体" w:hAnsi="宋体" w:cs="宋体" w:eastAsia="宋体" w:hint="default"/>
          <w:sz w:val="24"/>
          <w:szCs w:val="24"/>
        </w:rPr>
        <w:t> </w:t>
      </w:r>
      <w:r>
        <w:rPr>
          <w:rFonts w:ascii="宋体" w:hAnsi="宋体" w:cs="宋体" w:eastAsia="宋体" w:hint="default"/>
          <w:spacing w:val="-3"/>
          <w:sz w:val="24"/>
          <w:szCs w:val="24"/>
        </w:rPr>
        <w:t>运动馆，设有有网球、羽毛球、篮球、乒乓球、瑜伽等多种多样的健身项目，并</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组织了乒乓球俱乐部、游泳俱乐部、网球俱乐部。公司长期致力于建立“自由” 的工作环境文化。在公司</w:t>
      </w:r>
      <w:r>
        <w:rPr>
          <w:rFonts w:ascii="宋体" w:hAnsi="宋体" w:cs="宋体" w:eastAsia="宋体" w:hint="default"/>
          <w:spacing w:val="-62"/>
          <w:sz w:val="24"/>
          <w:szCs w:val="24"/>
        </w:rPr>
        <w:t> </w:t>
      </w:r>
      <w:r>
        <w:rPr>
          <w:rFonts w:ascii="宋体" w:hAnsi="宋体" w:cs="宋体" w:eastAsia="宋体" w:hint="default"/>
          <w:spacing w:val="-4"/>
          <w:sz w:val="24"/>
          <w:szCs w:val="24"/>
        </w:rPr>
        <w:t>BBS（论坛）和</w:t>
      </w:r>
      <w:r>
        <w:rPr>
          <w:rFonts w:ascii="宋体" w:hAnsi="宋体" w:cs="宋体" w:eastAsia="宋体" w:hint="default"/>
          <w:spacing w:val="-62"/>
          <w:sz w:val="24"/>
          <w:szCs w:val="24"/>
        </w:rPr>
        <w:t> </w:t>
      </w:r>
      <w:r>
        <w:rPr>
          <w:rFonts w:ascii="宋体" w:hAnsi="宋体" w:cs="宋体" w:eastAsia="宋体" w:hint="default"/>
          <w:spacing w:val="-3"/>
          <w:sz w:val="24"/>
          <w:szCs w:val="24"/>
        </w:rPr>
        <w:t>Blog（博客）上，公司员工人人都可以</w:t>
      </w:r>
      <w:r>
        <w:rPr>
          <w:rFonts w:ascii="宋体" w:hAnsi="宋体" w:cs="宋体" w:eastAsia="宋体" w:hint="default"/>
          <w:sz w:val="24"/>
          <w:szCs w:val="24"/>
        </w:rPr>
        <w:t> </w:t>
      </w:r>
      <w:r>
        <w:rPr>
          <w:rFonts w:ascii="宋体" w:hAnsi="宋体" w:cs="宋体" w:eastAsia="宋体" w:hint="default"/>
          <w:spacing w:val="-3"/>
          <w:sz w:val="24"/>
          <w:szCs w:val="24"/>
        </w:rPr>
        <w:t>就公司的问题和发展提出个人的看法，并设置了独具特色的告示栏，包括生活指</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导、工作信息、意见反馈、经理交流等。公司从 2006</w:t>
      </w:r>
      <w:r>
        <w:rPr>
          <w:rFonts w:ascii="宋体" w:hAnsi="宋体" w:cs="宋体" w:eastAsia="宋体" w:hint="default"/>
          <w:spacing w:val="-94"/>
          <w:sz w:val="24"/>
          <w:szCs w:val="24"/>
        </w:rPr>
        <w:t> </w:t>
      </w:r>
      <w:r>
        <w:rPr>
          <w:rFonts w:ascii="宋体" w:hAnsi="宋体" w:cs="宋体" w:eastAsia="宋体" w:hint="default"/>
          <w:sz w:val="24"/>
          <w:szCs w:val="24"/>
        </w:rPr>
        <w:t>年开始，推行“无总”称</w:t>
      </w:r>
      <w:r>
        <w:rPr>
          <w:rFonts w:ascii="宋体" w:hAnsi="宋体" w:cs="宋体" w:eastAsia="宋体" w:hint="default"/>
          <w:sz w:val="24"/>
          <w:szCs w:val="24"/>
        </w:rPr>
        <w:t> </w:t>
      </w:r>
      <w:r>
        <w:rPr>
          <w:rFonts w:ascii="宋体" w:hAnsi="宋体" w:cs="宋体" w:eastAsia="宋体" w:hint="default"/>
          <w:spacing w:val="-3"/>
          <w:sz w:val="24"/>
          <w:szCs w:val="24"/>
        </w:rPr>
        <w:t>谓，推行“平等高效沟通“的文化理念。公司同样注重细节上对员工的关爱，宽</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z w:val="24"/>
          <w:szCs w:val="24"/>
        </w:rPr>
        <w:t>敞舒适的餐厅、可口的饭菜、40</w:t>
      </w:r>
      <w:r>
        <w:rPr>
          <w:rFonts w:ascii="宋体" w:hAnsi="宋体" w:cs="宋体" w:eastAsia="宋体" w:hint="default"/>
          <w:spacing w:val="-60"/>
          <w:sz w:val="24"/>
          <w:szCs w:val="24"/>
        </w:rPr>
        <w:t> </w:t>
      </w:r>
      <w:r>
        <w:rPr>
          <w:rFonts w:ascii="宋体" w:hAnsi="宋体" w:cs="宋体" w:eastAsia="宋体" w:hint="default"/>
          <w:sz w:val="24"/>
          <w:szCs w:val="24"/>
        </w:rPr>
        <w:t>余辆开往北京各个方向的班车等。</w:t>
      </w:r>
    </w:p>
    <w:p>
      <w:pPr>
        <w:spacing w:line="357" w:lineRule="auto" w:before="36"/>
        <w:ind w:left="600" w:right="124" w:firstLine="3"/>
        <w:jc w:val="left"/>
        <w:rPr>
          <w:rFonts w:ascii="宋体" w:hAnsi="宋体" w:cs="宋体" w:eastAsia="宋体" w:hint="default"/>
          <w:sz w:val="24"/>
          <w:szCs w:val="24"/>
        </w:rPr>
      </w:pPr>
      <w:r>
        <w:rPr>
          <w:rFonts w:ascii="宋体" w:hAnsi="宋体" w:cs="宋体" w:eastAsia="宋体" w:hint="default"/>
          <w:b/>
          <w:bCs/>
          <w:sz w:val="24"/>
          <w:szCs w:val="24"/>
        </w:rPr>
        <w:t>八、低碳生活、节能环保</w:t>
      </w:r>
      <w:r>
        <w:rPr>
          <w:rFonts w:ascii="宋体" w:hAnsi="宋体" w:cs="宋体" w:eastAsia="宋体" w:hint="default"/>
          <w:b/>
          <w:bCs/>
          <w:w w:val="99"/>
          <w:sz w:val="24"/>
          <w:szCs w:val="24"/>
        </w:rPr>
        <w:t> </w:t>
      </w:r>
      <w:r>
        <w:rPr>
          <w:rFonts w:ascii="宋体" w:hAnsi="宋体" w:cs="宋体" w:eastAsia="宋体" w:hint="default"/>
          <w:sz w:val="24"/>
          <w:szCs w:val="24"/>
        </w:rPr>
        <w:t>公司在用友软件园建设过程中，应用高科技、环保、智能园区的规划理念，</w:t>
      </w:r>
    </w:p>
    <w:p>
      <w:pPr>
        <w:pStyle w:val="Heading7"/>
        <w:spacing w:line="357" w:lineRule="auto" w:before="36"/>
        <w:ind w:left="120" w:right="100"/>
        <w:jc w:val="left"/>
        <w:rPr>
          <w:rFonts w:ascii="宋体" w:hAnsi="宋体" w:cs="宋体" w:eastAsia="宋体" w:hint="default"/>
        </w:rPr>
      </w:pPr>
      <w:r>
        <w:rPr>
          <w:rFonts w:ascii="宋体" w:hAnsi="宋体" w:cs="宋体" w:eastAsia="宋体" w:hint="default"/>
          <w:spacing w:val="-3"/>
        </w:rPr>
        <w:t>对原生态环境进行了充分的保护，同时采用了地源热泵、冰蓄冷、雨水回收、毛</w:t>
      </w:r>
      <w:r>
        <w:rPr>
          <w:rFonts w:ascii="宋体" w:hAnsi="宋体" w:cs="宋体" w:eastAsia="宋体" w:hint="default"/>
          <w:spacing w:val="-110"/>
        </w:rPr>
        <w:t> </w:t>
      </w:r>
      <w:r>
        <w:rPr>
          <w:rFonts w:ascii="宋体" w:hAnsi="宋体" w:cs="宋体" w:eastAsia="宋体" w:hint="default"/>
          <w:spacing w:val="-110"/>
        </w:rPr>
      </w:r>
      <w:r>
        <w:rPr>
          <w:rFonts w:ascii="宋体" w:hAnsi="宋体" w:cs="宋体" w:eastAsia="宋体" w:hint="default"/>
          <w:spacing w:val="-3"/>
        </w:rPr>
        <w:t>细渗滤中水处理、节能砌块、太阳能景观灯等大量节能、节水的环保新技术和新</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6"/>
        </w:rPr>
        <w:t>材料。这些新材料和新技术的尝试与应用，对园区内环境保护起到了显著的作用，</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spacing w:val="-3"/>
        </w:rPr>
        <w:t>推动了园区循环经济应用建设，节约能源，减少了大量废气、废水的排放，实现</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了园区“低碳”生活。</w:t>
      </w:r>
    </w:p>
    <w:p>
      <w:pPr>
        <w:spacing w:line="357" w:lineRule="auto" w:before="36"/>
        <w:ind w:left="120" w:right="237" w:firstLine="480"/>
        <w:jc w:val="both"/>
        <w:rPr>
          <w:rFonts w:ascii="宋体" w:hAnsi="宋体" w:cs="宋体" w:eastAsia="宋体" w:hint="default"/>
          <w:sz w:val="24"/>
          <w:szCs w:val="24"/>
        </w:rPr>
      </w:pPr>
      <w:r>
        <w:rPr>
          <w:rFonts w:ascii="宋体" w:hAnsi="宋体" w:cs="宋体" w:eastAsia="宋体" w:hint="default"/>
          <w:spacing w:val="-3"/>
          <w:sz w:val="24"/>
          <w:szCs w:val="24"/>
        </w:rPr>
        <w:t>公司动员全员环保、节能，严格遵守环保节能相关法律法规，编制了环保节</w:t>
      </w:r>
      <w:r>
        <w:rPr>
          <w:rFonts w:ascii="宋体" w:hAnsi="宋体" w:cs="宋体" w:eastAsia="宋体" w:hint="default"/>
          <w:sz w:val="24"/>
          <w:szCs w:val="24"/>
        </w:rPr>
        <w:t> </w:t>
      </w:r>
      <w:r>
        <w:rPr>
          <w:rFonts w:ascii="宋体" w:hAnsi="宋体" w:cs="宋体" w:eastAsia="宋体" w:hint="default"/>
          <w:spacing w:val="-3"/>
          <w:sz w:val="24"/>
          <w:szCs w:val="24"/>
        </w:rPr>
        <w:t>能手册，定期制作“节能宣传”板报，指导并监督全员环保、节能，取得良好成</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效：</w:t>
      </w:r>
    </w:p>
    <w:p>
      <w:pPr>
        <w:spacing w:before="36"/>
        <w:ind w:left="540" w:right="101" w:firstLine="0"/>
        <w:jc w:val="left"/>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pacing w:val="-36"/>
          <w:sz w:val="24"/>
          <w:szCs w:val="24"/>
        </w:rPr>
        <w:t> </w:t>
      </w:r>
      <w:r>
        <w:rPr>
          <w:rFonts w:ascii="宋体" w:hAnsi="宋体" w:cs="宋体" w:eastAsia="宋体" w:hint="default"/>
          <w:sz w:val="24"/>
          <w:szCs w:val="24"/>
        </w:rPr>
        <w:t>为了减少电量消耗，降低公司成本，节约资源，保护环境，公司制定了</w:t>
      </w:r>
    </w:p>
    <w:p>
      <w:pPr>
        <w:spacing w:line="357" w:lineRule="auto" w:before="154"/>
        <w:ind w:left="120" w:right="237" w:firstLine="0"/>
        <w:jc w:val="both"/>
        <w:rPr>
          <w:rFonts w:ascii="宋体" w:hAnsi="宋体" w:cs="宋体" w:eastAsia="宋体" w:hint="default"/>
          <w:sz w:val="24"/>
          <w:szCs w:val="24"/>
        </w:rPr>
      </w:pPr>
      <w:r>
        <w:rPr>
          <w:rFonts w:ascii="宋体" w:hAnsi="宋体" w:cs="宋体" w:eastAsia="宋体" w:hint="default"/>
          <w:spacing w:val="-3"/>
          <w:sz w:val="24"/>
          <w:szCs w:val="24"/>
        </w:rPr>
        <w:t>《节电管理措施》、《计算机节能措施》、《电梯节能措施》，要求员工养成节</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电的好习惯，提倡“节电光荣、浪费可耻”，建立相应的奖惩制度，对产生严重</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浪费的责任人进行一定的经济处罚，用组织及经济手段达到节电目的。</w:t>
      </w:r>
    </w:p>
    <w:p>
      <w:pPr>
        <w:spacing w:line="357" w:lineRule="auto" w:before="36"/>
        <w:ind w:left="120" w:right="237" w:firstLine="420"/>
        <w:jc w:val="both"/>
        <w:rPr>
          <w:rFonts w:ascii="宋体" w:hAnsi="宋体" w:cs="宋体" w:eastAsia="宋体" w:hint="default"/>
          <w:sz w:val="24"/>
          <w:szCs w:val="24"/>
        </w:rPr>
      </w:pPr>
      <w:r>
        <w:rPr>
          <w:rFonts w:ascii="宋体" w:hAnsi="宋体" w:cs="宋体" w:eastAsia="宋体" w:hint="default"/>
          <w:sz w:val="24"/>
          <w:szCs w:val="24"/>
        </w:rPr>
        <w:t>2、</w:t>
      </w:r>
      <w:r>
        <w:rPr>
          <w:rFonts w:ascii="宋体" w:hAnsi="宋体" w:cs="宋体" w:eastAsia="宋体" w:hint="default"/>
          <w:spacing w:val="-57"/>
          <w:sz w:val="24"/>
          <w:szCs w:val="24"/>
        </w:rPr>
        <w:t> </w:t>
      </w:r>
      <w:r>
        <w:rPr>
          <w:rFonts w:ascii="宋体" w:hAnsi="宋体" w:cs="宋体" w:eastAsia="宋体" w:hint="default"/>
          <w:spacing w:val="-7"/>
          <w:sz w:val="24"/>
          <w:szCs w:val="24"/>
        </w:rPr>
        <w:t>为减少水量消耗，降低公司成本，节约资源，保护环境，公司制定了《节</w:t>
      </w:r>
      <w:r>
        <w:rPr>
          <w:rFonts w:ascii="宋体" w:hAnsi="宋体" w:cs="宋体" w:eastAsia="宋体" w:hint="default"/>
          <w:sz w:val="24"/>
          <w:szCs w:val="24"/>
        </w:rPr>
        <w:t> </w:t>
      </w:r>
      <w:r>
        <w:rPr>
          <w:rFonts w:ascii="宋体" w:hAnsi="宋体" w:cs="宋体" w:eastAsia="宋体" w:hint="default"/>
          <w:spacing w:val="-3"/>
          <w:sz w:val="24"/>
          <w:szCs w:val="24"/>
        </w:rPr>
        <w:t>水管理措施》，涉及生活用水、供配水设备、水池清洗、中央空调用水、地面清</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洁、外墙清洗和绿化用水等方面，并做节约用水教育宣传，组织员工节约用水培</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训，对节约用水的个人、集体进行奖励。</w:t>
      </w:r>
    </w:p>
    <w:p>
      <w:pPr>
        <w:spacing w:before="36"/>
        <w:ind w:left="540" w:right="101" w:firstLine="0"/>
        <w:jc w:val="left"/>
        <w:rPr>
          <w:rFonts w:ascii="宋体" w:hAnsi="宋体" w:cs="宋体" w:eastAsia="宋体" w:hint="default"/>
          <w:sz w:val="24"/>
          <w:szCs w:val="24"/>
        </w:rPr>
      </w:pPr>
      <w:r>
        <w:rPr>
          <w:rFonts w:ascii="宋体" w:hAnsi="宋体" w:cs="宋体" w:eastAsia="宋体" w:hint="default"/>
          <w:sz w:val="24"/>
          <w:szCs w:val="24"/>
        </w:rPr>
        <w:t>3、</w:t>
      </w:r>
      <w:r>
        <w:rPr>
          <w:rFonts w:ascii="宋体" w:hAnsi="宋体" w:cs="宋体" w:eastAsia="宋体" w:hint="default"/>
          <w:spacing w:val="-36"/>
          <w:sz w:val="24"/>
          <w:szCs w:val="24"/>
        </w:rPr>
        <w:t> </w:t>
      </w:r>
      <w:r>
        <w:rPr>
          <w:rFonts w:ascii="宋体" w:hAnsi="宋体" w:cs="宋体" w:eastAsia="宋体" w:hint="default"/>
          <w:sz w:val="24"/>
          <w:szCs w:val="24"/>
        </w:rPr>
        <w:t>为合理使用办公文具用品，节约资源，保护环境，特制定了《废办公文</w:t>
      </w:r>
    </w:p>
    <w:p>
      <w:pPr>
        <w:spacing w:after="0"/>
        <w:jc w:val="left"/>
        <w:rPr>
          <w:rFonts w:ascii="宋体" w:hAnsi="宋体" w:cs="宋体" w:eastAsia="宋体" w:hint="default"/>
          <w:sz w:val="24"/>
          <w:szCs w:val="24"/>
        </w:rPr>
        <w:sectPr>
          <w:headerReference w:type="default" r:id="rId176"/>
          <w:footerReference w:type="default" r:id="rId177"/>
          <w:pgSz w:w="11910" w:h="16840"/>
          <w:pgMar w:header="0" w:footer="975" w:top="1480" w:bottom="1160" w:left="1680" w:right="1560"/>
          <w:pgNumType w:start="8"/>
        </w:sectPr>
      </w:pPr>
    </w:p>
    <w:p>
      <w:pPr>
        <w:pStyle w:val="Heading7"/>
        <w:spacing w:line="357" w:lineRule="auto"/>
        <w:ind w:left="120" w:right="229"/>
        <w:jc w:val="left"/>
        <w:rPr>
          <w:rFonts w:ascii="宋体" w:hAnsi="宋体" w:cs="宋体" w:eastAsia="宋体" w:hint="default"/>
        </w:rPr>
      </w:pPr>
      <w:r>
        <w:rPr>
          <w:rFonts w:ascii="宋体" w:hAnsi="宋体" w:cs="宋体" w:eastAsia="宋体" w:hint="default"/>
          <w:spacing w:val="-3"/>
        </w:rPr>
        <w:t>具管理办法》，要求办公室文员负责将废旧的文具用品收集，分类暂时保存在指</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定位置，经公司总部及相关管理处清洁人员统一交清洁公司处理。</w:t>
      </w:r>
    </w:p>
    <w:p>
      <w:pPr>
        <w:spacing w:line="357" w:lineRule="auto" w:before="36"/>
        <w:ind w:left="120" w:right="223" w:firstLine="420"/>
        <w:jc w:val="left"/>
        <w:rPr>
          <w:rFonts w:ascii="宋体" w:hAnsi="宋体" w:cs="宋体" w:eastAsia="宋体" w:hint="default"/>
          <w:sz w:val="24"/>
          <w:szCs w:val="24"/>
        </w:rPr>
      </w:pPr>
      <w:r>
        <w:rPr>
          <w:rFonts w:ascii="宋体" w:hAnsi="宋体" w:cs="宋体" w:eastAsia="宋体" w:hint="default"/>
          <w:sz w:val="24"/>
          <w:szCs w:val="24"/>
        </w:rPr>
        <w:t>4、</w:t>
      </w:r>
      <w:r>
        <w:rPr>
          <w:rFonts w:ascii="宋体" w:hAnsi="宋体" w:cs="宋体" w:eastAsia="宋体" w:hint="default"/>
          <w:spacing w:val="-39"/>
          <w:sz w:val="24"/>
          <w:szCs w:val="24"/>
        </w:rPr>
        <w:t> </w:t>
      </w:r>
      <w:r>
        <w:rPr>
          <w:rFonts w:ascii="宋体" w:hAnsi="宋体" w:cs="宋体" w:eastAsia="宋体" w:hint="default"/>
          <w:sz w:val="24"/>
          <w:szCs w:val="24"/>
        </w:rPr>
        <w:t>为节约用纸、回收废纸，公司制定了《用纸（废纸）管理办法》，涉及</w:t>
      </w:r>
      <w:r>
        <w:rPr>
          <w:rFonts w:ascii="宋体" w:hAnsi="宋体" w:cs="宋体" w:eastAsia="宋体" w:hint="default"/>
          <w:sz w:val="24"/>
          <w:szCs w:val="24"/>
        </w:rPr>
        <w:t> 复印纸合理利用的作业程序、废纸类的管理工作程序的处理办法。</w:t>
      </w:r>
    </w:p>
    <w:p>
      <w:pPr>
        <w:spacing w:before="36"/>
        <w:ind w:left="540" w:right="0" w:firstLine="0"/>
        <w:jc w:val="left"/>
        <w:rPr>
          <w:rFonts w:ascii="宋体" w:hAnsi="宋体" w:cs="宋体" w:eastAsia="宋体" w:hint="default"/>
          <w:sz w:val="24"/>
          <w:szCs w:val="24"/>
        </w:rPr>
      </w:pPr>
      <w:r>
        <w:rPr>
          <w:rFonts w:ascii="宋体" w:hAnsi="宋体" w:cs="宋体" w:eastAsia="宋体" w:hint="default"/>
          <w:sz w:val="24"/>
          <w:szCs w:val="24"/>
        </w:rPr>
        <w:t>5、</w:t>
      </w:r>
      <w:r>
        <w:rPr>
          <w:rFonts w:ascii="宋体" w:hAnsi="宋体" w:cs="宋体" w:eastAsia="宋体" w:hint="default"/>
          <w:spacing w:val="-60"/>
          <w:sz w:val="24"/>
          <w:szCs w:val="24"/>
        </w:rPr>
        <w:t> </w:t>
      </w:r>
      <w:r>
        <w:rPr>
          <w:rFonts w:ascii="宋体" w:hAnsi="宋体" w:cs="宋体" w:eastAsia="宋体" w:hint="default"/>
          <w:sz w:val="24"/>
          <w:szCs w:val="24"/>
        </w:rPr>
        <w:t>为有效控制环境消杀时所带来的环境污染</w:t>
      </w:r>
      <w:r>
        <w:rPr>
          <w:rFonts w:ascii="宋体" w:hAnsi="宋体" w:cs="宋体" w:eastAsia="宋体" w:hint="default"/>
          <w:spacing w:val="-112"/>
          <w:sz w:val="24"/>
          <w:szCs w:val="24"/>
        </w:rPr>
        <w:t>，</w:t>
      </w:r>
      <w:r>
        <w:rPr>
          <w:rFonts w:ascii="宋体" w:hAnsi="宋体" w:cs="宋体" w:eastAsia="宋体" w:hint="default"/>
          <w:sz w:val="24"/>
          <w:szCs w:val="24"/>
        </w:rPr>
        <w:t>公司制定</w:t>
      </w:r>
      <w:r>
        <w:rPr>
          <w:rFonts w:ascii="宋体" w:hAnsi="宋体" w:cs="宋体" w:eastAsia="宋体" w:hint="default"/>
          <w:spacing w:val="-112"/>
          <w:sz w:val="24"/>
          <w:szCs w:val="24"/>
        </w:rPr>
        <w:t>了</w:t>
      </w:r>
      <w:r>
        <w:rPr>
          <w:rFonts w:ascii="宋体" w:hAnsi="宋体" w:cs="宋体" w:eastAsia="宋体" w:hint="default"/>
          <w:sz w:val="24"/>
          <w:szCs w:val="24"/>
        </w:rPr>
        <w:t>《消杀管理办法</w:t>
      </w:r>
      <w:r>
        <w:rPr>
          <w:rFonts w:ascii="宋体" w:hAnsi="宋体" w:cs="宋体" w:eastAsia="宋体" w:hint="default"/>
          <w:spacing w:val="-112"/>
          <w:sz w:val="24"/>
          <w:szCs w:val="24"/>
        </w:rPr>
        <w:t>》</w:t>
      </w:r>
      <w:r>
        <w:rPr>
          <w:rFonts w:ascii="宋体" w:hAnsi="宋体" w:cs="宋体" w:eastAsia="宋体" w:hint="default"/>
          <w:sz w:val="24"/>
          <w:szCs w:val="24"/>
        </w:rPr>
        <w:t>、</w:t>
      </w:r>
    </w:p>
    <w:p>
      <w:pPr>
        <w:spacing w:line="357" w:lineRule="auto" w:before="154"/>
        <w:ind w:left="120" w:right="124" w:firstLine="0"/>
        <w:jc w:val="left"/>
        <w:rPr>
          <w:rFonts w:ascii="宋体" w:hAnsi="宋体" w:cs="宋体" w:eastAsia="宋体" w:hint="default"/>
          <w:sz w:val="24"/>
          <w:szCs w:val="24"/>
        </w:rPr>
      </w:pPr>
      <w:r>
        <w:rPr>
          <w:rFonts w:ascii="宋体" w:hAnsi="宋体" w:cs="宋体" w:eastAsia="宋体" w:hint="default"/>
          <w:sz w:val="24"/>
          <w:szCs w:val="24"/>
        </w:rPr>
        <w:t>《清洁绿化管理办法》，涉及环境消杀的标准及要求和消杀机械和药品的控制， </w:t>
      </w:r>
      <w:r>
        <w:rPr>
          <w:rFonts w:ascii="宋体" w:hAnsi="宋体" w:cs="宋体" w:eastAsia="宋体" w:hint="default"/>
          <w:spacing w:val="-3"/>
          <w:sz w:val="24"/>
          <w:szCs w:val="24"/>
        </w:rPr>
        <w:t>清洁绿化机械和药品的采购、清洁绿化机械的使用、药品的贮藏与使用和垃圾分</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类处理等。</w:t>
      </w:r>
    </w:p>
    <w:p>
      <w:pPr>
        <w:spacing w:before="36"/>
        <w:ind w:left="540" w:right="0" w:firstLine="0"/>
        <w:jc w:val="left"/>
        <w:rPr>
          <w:rFonts w:ascii="宋体" w:hAnsi="宋体" w:cs="宋体" w:eastAsia="宋体" w:hint="default"/>
          <w:sz w:val="24"/>
          <w:szCs w:val="24"/>
        </w:rPr>
      </w:pPr>
      <w:r>
        <w:rPr>
          <w:rFonts w:ascii="宋体" w:hAnsi="宋体" w:cs="宋体" w:eastAsia="宋体" w:hint="default"/>
          <w:sz w:val="24"/>
          <w:szCs w:val="24"/>
        </w:rPr>
        <w:t>6、</w:t>
      </w:r>
      <w:r>
        <w:rPr>
          <w:rFonts w:ascii="宋体" w:hAnsi="宋体" w:cs="宋体" w:eastAsia="宋体" w:hint="default"/>
          <w:spacing w:val="-60"/>
          <w:sz w:val="24"/>
          <w:szCs w:val="24"/>
        </w:rPr>
        <w:t> </w:t>
      </w:r>
      <w:r>
        <w:rPr>
          <w:rFonts w:ascii="宋体" w:hAnsi="宋体" w:cs="宋体" w:eastAsia="宋体" w:hint="default"/>
          <w:sz w:val="24"/>
          <w:szCs w:val="24"/>
        </w:rPr>
        <w:t>为了减少废水/废气的排放污染</w:t>
      </w:r>
      <w:r>
        <w:rPr>
          <w:rFonts w:ascii="宋体" w:hAnsi="宋体" w:cs="宋体" w:eastAsia="宋体" w:hint="default"/>
          <w:spacing w:val="-112"/>
          <w:sz w:val="24"/>
          <w:szCs w:val="24"/>
        </w:rPr>
        <w:t>，</w:t>
      </w:r>
      <w:r>
        <w:rPr>
          <w:rFonts w:ascii="宋体" w:hAnsi="宋体" w:cs="宋体" w:eastAsia="宋体" w:hint="default"/>
          <w:sz w:val="24"/>
          <w:szCs w:val="24"/>
        </w:rPr>
        <w:t>公司制定</w:t>
      </w:r>
      <w:r>
        <w:rPr>
          <w:rFonts w:ascii="宋体" w:hAnsi="宋体" w:cs="宋体" w:eastAsia="宋体" w:hint="default"/>
          <w:spacing w:val="-112"/>
          <w:sz w:val="24"/>
          <w:szCs w:val="24"/>
        </w:rPr>
        <w:t>了</w:t>
      </w:r>
      <w:r>
        <w:rPr>
          <w:rFonts w:ascii="宋体" w:hAnsi="宋体" w:cs="宋体" w:eastAsia="宋体" w:hint="default"/>
          <w:sz w:val="24"/>
          <w:szCs w:val="24"/>
        </w:rPr>
        <w:t>《废水/废气排放管理办法</w:t>
      </w:r>
      <w:r>
        <w:rPr>
          <w:rFonts w:ascii="宋体" w:hAnsi="宋体" w:cs="宋体" w:eastAsia="宋体" w:hint="default"/>
          <w:spacing w:val="-112"/>
          <w:sz w:val="24"/>
          <w:szCs w:val="24"/>
        </w:rPr>
        <w:t>》</w:t>
      </w:r>
      <w:r>
        <w:rPr>
          <w:rFonts w:ascii="宋体" w:hAnsi="宋体" w:cs="宋体" w:eastAsia="宋体" w:hint="default"/>
          <w:sz w:val="24"/>
          <w:szCs w:val="24"/>
        </w:rPr>
        <w:t>、</w:t>
      </w:r>
    </w:p>
    <w:p>
      <w:pPr>
        <w:spacing w:line="357" w:lineRule="auto" w:before="154"/>
        <w:ind w:left="120" w:right="232" w:firstLine="0"/>
        <w:jc w:val="left"/>
        <w:rPr>
          <w:rFonts w:ascii="宋体" w:hAnsi="宋体" w:cs="宋体" w:eastAsia="宋体" w:hint="default"/>
          <w:sz w:val="24"/>
          <w:szCs w:val="24"/>
        </w:rPr>
      </w:pPr>
      <w:r>
        <w:rPr>
          <w:rFonts w:ascii="宋体" w:hAnsi="宋体" w:cs="宋体" w:eastAsia="宋体" w:hint="default"/>
          <w:spacing w:val="-3"/>
          <w:sz w:val="24"/>
          <w:szCs w:val="24"/>
        </w:rPr>
        <w:t>《外墙清洗/粉刷控制规程》，有效控制了废水/废气的处理，减少了对环境的污</w:t>
      </w:r>
      <w:r>
        <w:rPr>
          <w:rFonts w:ascii="宋体" w:hAnsi="宋体" w:cs="宋体" w:eastAsia="宋体" w:hint="default"/>
          <w:spacing w:val="-108"/>
          <w:sz w:val="24"/>
          <w:szCs w:val="24"/>
        </w:rPr>
        <w:t> </w:t>
      </w:r>
      <w:r>
        <w:rPr>
          <w:rFonts w:ascii="宋体" w:hAnsi="宋体" w:cs="宋体" w:eastAsia="宋体" w:hint="default"/>
          <w:spacing w:val="-108"/>
          <w:sz w:val="24"/>
          <w:szCs w:val="24"/>
        </w:rPr>
      </w:r>
      <w:r>
        <w:rPr>
          <w:rFonts w:ascii="宋体" w:hAnsi="宋体" w:cs="宋体" w:eastAsia="宋体" w:hint="default"/>
          <w:sz w:val="24"/>
          <w:szCs w:val="24"/>
        </w:rPr>
        <w:t>染及水资源的污染。</w:t>
      </w:r>
    </w:p>
    <w:p>
      <w:pPr>
        <w:spacing w:line="357" w:lineRule="auto" w:before="36"/>
        <w:ind w:left="120" w:right="234" w:firstLine="420"/>
        <w:jc w:val="both"/>
        <w:rPr>
          <w:rFonts w:ascii="宋体" w:hAnsi="宋体" w:cs="宋体" w:eastAsia="宋体" w:hint="default"/>
          <w:sz w:val="24"/>
          <w:szCs w:val="24"/>
        </w:rPr>
      </w:pPr>
      <w:r>
        <w:rPr>
          <w:rFonts w:ascii="宋体" w:hAnsi="宋体" w:cs="宋体" w:eastAsia="宋体" w:hint="default"/>
          <w:sz w:val="24"/>
          <w:szCs w:val="24"/>
        </w:rPr>
        <w:t>7、</w:t>
      </w:r>
      <w:r>
        <w:rPr>
          <w:rFonts w:ascii="宋体" w:hAnsi="宋体" w:cs="宋体" w:eastAsia="宋体" w:hint="default"/>
          <w:spacing w:val="-39"/>
          <w:sz w:val="24"/>
          <w:szCs w:val="24"/>
        </w:rPr>
        <w:t> </w:t>
      </w:r>
      <w:r>
        <w:rPr>
          <w:rFonts w:ascii="宋体" w:hAnsi="宋体" w:cs="宋体" w:eastAsia="宋体" w:hint="default"/>
          <w:sz w:val="24"/>
          <w:szCs w:val="24"/>
        </w:rPr>
        <w:t>为检测环境噪声是否符合《城市区域环境噪声标准》，制定了《噪声检</w:t>
      </w:r>
      <w:r>
        <w:rPr>
          <w:rFonts w:ascii="宋体" w:hAnsi="宋体" w:cs="宋体" w:eastAsia="宋体" w:hint="default"/>
          <w:sz w:val="24"/>
          <w:szCs w:val="24"/>
        </w:rPr>
        <w:t> </w:t>
      </w:r>
      <w:r>
        <w:rPr>
          <w:rFonts w:ascii="宋体" w:hAnsi="宋体" w:cs="宋体" w:eastAsia="宋体" w:hint="default"/>
          <w:spacing w:val="-3"/>
          <w:sz w:val="24"/>
          <w:szCs w:val="24"/>
        </w:rPr>
        <w:t>测规程》，涉及辖区噪声标准、设备噪声的测量、装修噪声的测量、小区红线外</w:t>
      </w:r>
      <w:r>
        <w:rPr>
          <w:rFonts w:ascii="宋体" w:hAnsi="宋体" w:cs="宋体" w:eastAsia="宋体" w:hint="default"/>
          <w:spacing w:val="-113"/>
          <w:sz w:val="24"/>
          <w:szCs w:val="24"/>
        </w:rPr>
        <w:t> </w:t>
      </w:r>
      <w:r>
        <w:rPr>
          <w:rFonts w:ascii="宋体" w:hAnsi="宋体" w:cs="宋体" w:eastAsia="宋体" w:hint="default"/>
          <w:spacing w:val="-113"/>
          <w:sz w:val="24"/>
          <w:szCs w:val="24"/>
        </w:rPr>
      </w:r>
      <w:r>
        <w:rPr>
          <w:rFonts w:ascii="宋体" w:hAnsi="宋体" w:cs="宋体" w:eastAsia="宋体" w:hint="default"/>
          <w:sz w:val="24"/>
          <w:szCs w:val="24"/>
        </w:rPr>
        <w:t>噪声的测量、其它噪声的测量、等效声级的计算、本底噪声修正等方面内容。</w:t>
      </w:r>
    </w:p>
    <w:p>
      <w:pPr>
        <w:spacing w:line="357" w:lineRule="auto" w:before="36"/>
        <w:ind w:left="120" w:right="124" w:firstLine="420"/>
        <w:jc w:val="left"/>
        <w:rPr>
          <w:rFonts w:ascii="宋体" w:hAnsi="宋体" w:cs="宋体" w:eastAsia="宋体" w:hint="default"/>
          <w:sz w:val="24"/>
          <w:szCs w:val="24"/>
        </w:rPr>
      </w:pPr>
      <w:r>
        <w:rPr>
          <w:rFonts w:ascii="宋体" w:hAnsi="宋体" w:cs="宋体" w:eastAsia="宋体" w:hint="default"/>
          <w:sz w:val="24"/>
          <w:szCs w:val="24"/>
        </w:rPr>
        <w:t>8、</w:t>
      </w:r>
      <w:r>
        <w:rPr>
          <w:rFonts w:ascii="宋体" w:hAnsi="宋体" w:cs="宋体" w:eastAsia="宋体" w:hint="default"/>
          <w:spacing w:val="-51"/>
          <w:sz w:val="24"/>
          <w:szCs w:val="24"/>
        </w:rPr>
        <w:t> </w:t>
      </w:r>
      <w:r>
        <w:rPr>
          <w:rFonts w:ascii="宋体" w:hAnsi="宋体" w:cs="宋体" w:eastAsia="宋体" w:hint="default"/>
          <w:sz w:val="24"/>
          <w:szCs w:val="24"/>
        </w:rPr>
        <w:t>为确保园区工作、居住安全的环境，积极与地方派出所密切合作，确保</w:t>
      </w:r>
      <w:r>
        <w:rPr>
          <w:rFonts w:ascii="宋体" w:hAnsi="宋体" w:cs="宋体" w:eastAsia="宋体" w:hint="default"/>
          <w:sz w:val="24"/>
          <w:szCs w:val="24"/>
        </w:rPr>
        <w:t> 所在社区的安全。园区内周密安装了先进的监控系统，定期检查消防设备设施， 积极宣传防火防盗等安全常识。</w:t>
      </w:r>
    </w:p>
    <w:p>
      <w:pPr>
        <w:spacing w:line="240" w:lineRule="auto" w:before="8"/>
        <w:rPr>
          <w:rFonts w:ascii="宋体" w:hAnsi="宋体" w:cs="宋体" w:eastAsia="宋体" w:hint="default"/>
          <w:sz w:val="23"/>
          <w:szCs w:val="23"/>
        </w:rPr>
      </w:pPr>
    </w:p>
    <w:p>
      <w:pPr>
        <w:spacing w:before="0"/>
        <w:ind w:left="591" w:right="101" w:firstLine="0"/>
        <w:jc w:val="left"/>
        <w:rPr>
          <w:rFonts w:ascii="宋体" w:hAnsi="宋体" w:cs="宋体" w:eastAsia="宋体" w:hint="default"/>
          <w:sz w:val="24"/>
          <w:szCs w:val="24"/>
        </w:rPr>
      </w:pPr>
      <w:r>
        <w:rPr>
          <w:rFonts w:ascii="宋体" w:hAnsi="宋体" w:cs="宋体" w:eastAsia="宋体" w:hint="default"/>
          <w:b/>
          <w:bCs/>
          <w:sz w:val="24"/>
          <w:szCs w:val="24"/>
        </w:rPr>
        <w:t>九、无私奉献，人文关怀</w:t>
      </w:r>
      <w:r>
        <w:rPr>
          <w:rFonts w:ascii="宋体" w:hAnsi="宋体" w:cs="宋体" w:eastAsia="宋体" w:hint="default"/>
          <w:sz w:val="24"/>
          <w:szCs w:val="24"/>
        </w:rPr>
      </w:r>
    </w:p>
    <w:p>
      <w:pPr>
        <w:spacing w:line="240" w:lineRule="auto" w:before="10"/>
        <w:rPr>
          <w:rFonts w:ascii="宋体" w:hAnsi="宋体" w:cs="宋体" w:eastAsia="宋体" w:hint="default"/>
          <w:b/>
          <w:bCs/>
          <w:sz w:val="20"/>
          <w:szCs w:val="20"/>
        </w:rPr>
      </w:pPr>
    </w:p>
    <w:p>
      <w:pPr>
        <w:spacing w:line="357" w:lineRule="auto" w:before="0"/>
        <w:ind w:left="120" w:right="237" w:firstLine="480"/>
        <w:jc w:val="both"/>
        <w:rPr>
          <w:rFonts w:ascii="宋体" w:hAnsi="宋体" w:cs="宋体" w:eastAsia="宋体" w:hint="default"/>
          <w:sz w:val="24"/>
          <w:szCs w:val="24"/>
        </w:rPr>
      </w:pPr>
      <w:r>
        <w:rPr>
          <w:rFonts w:ascii="宋体" w:hAnsi="宋体" w:cs="宋体" w:eastAsia="宋体" w:hint="default"/>
          <w:sz w:val="24"/>
          <w:szCs w:val="24"/>
        </w:rPr>
        <w:t>公司自成立以来，公司和员工累积纳税逾 22</w:t>
      </w:r>
      <w:r>
        <w:rPr>
          <w:rFonts w:ascii="宋体" w:hAnsi="宋体" w:cs="宋体" w:eastAsia="宋体" w:hint="default"/>
          <w:spacing w:val="-94"/>
          <w:sz w:val="24"/>
          <w:szCs w:val="24"/>
        </w:rPr>
        <w:t> </w:t>
      </w:r>
      <w:r>
        <w:rPr>
          <w:rFonts w:ascii="宋体" w:hAnsi="宋体" w:cs="宋体" w:eastAsia="宋体" w:hint="default"/>
          <w:sz w:val="24"/>
          <w:szCs w:val="24"/>
        </w:rPr>
        <w:t>亿元，荣获国家税务总局和中</w:t>
      </w:r>
      <w:r>
        <w:rPr>
          <w:rFonts w:ascii="宋体" w:hAnsi="宋体" w:cs="宋体" w:eastAsia="宋体" w:hint="default"/>
          <w:sz w:val="24"/>
          <w:szCs w:val="24"/>
        </w:rPr>
        <w:t> </w:t>
      </w:r>
      <w:r>
        <w:rPr>
          <w:rFonts w:ascii="宋体" w:hAnsi="宋体" w:cs="宋体" w:eastAsia="宋体" w:hint="default"/>
          <w:spacing w:val="-3"/>
          <w:sz w:val="24"/>
          <w:szCs w:val="24"/>
        </w:rPr>
        <w:t>华全国工商联联合颁发的“诚信纳税企业”荣誉称号，为国家经济建设做出了积</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极贡献。公司陆续为灾区、震区、希望小学、抗 SARS</w:t>
      </w:r>
      <w:r>
        <w:rPr>
          <w:rFonts w:ascii="宋体" w:hAnsi="宋体" w:cs="宋体" w:eastAsia="宋体" w:hint="default"/>
          <w:spacing w:val="-94"/>
          <w:sz w:val="24"/>
          <w:szCs w:val="24"/>
        </w:rPr>
        <w:t> </w:t>
      </w:r>
      <w:r>
        <w:rPr>
          <w:rFonts w:ascii="宋体" w:hAnsi="宋体" w:cs="宋体" w:eastAsia="宋体" w:hint="default"/>
          <w:sz w:val="24"/>
          <w:szCs w:val="24"/>
        </w:rPr>
        <w:t>工程、环境保护、“母亲</w:t>
      </w:r>
      <w:r>
        <w:rPr>
          <w:rFonts w:ascii="宋体" w:hAnsi="宋体" w:cs="宋体" w:eastAsia="宋体" w:hint="default"/>
          <w:sz w:val="24"/>
          <w:szCs w:val="24"/>
        </w:rPr>
        <w:t> 水窖”等社会公益活动捐款，累积捐助总额逾</w:t>
      </w:r>
      <w:r>
        <w:rPr>
          <w:rFonts w:ascii="宋体" w:hAnsi="宋体" w:cs="宋体" w:eastAsia="宋体" w:hint="default"/>
          <w:spacing w:val="-60"/>
          <w:sz w:val="24"/>
          <w:szCs w:val="24"/>
        </w:rPr>
        <w:t> </w:t>
      </w:r>
      <w:r>
        <w:rPr>
          <w:rFonts w:ascii="宋体" w:hAnsi="宋体" w:cs="宋体" w:eastAsia="宋体" w:hint="default"/>
          <w:sz w:val="24"/>
          <w:szCs w:val="24"/>
        </w:rPr>
        <w:t>3700</w:t>
      </w:r>
      <w:r>
        <w:rPr>
          <w:rFonts w:ascii="宋体" w:hAnsi="宋体" w:cs="宋体" w:eastAsia="宋体" w:hint="default"/>
          <w:spacing w:val="-60"/>
          <w:sz w:val="24"/>
          <w:szCs w:val="24"/>
        </w:rPr>
        <w:t> </w:t>
      </w:r>
      <w:r>
        <w:rPr>
          <w:rFonts w:ascii="宋体" w:hAnsi="宋体" w:cs="宋体" w:eastAsia="宋体" w:hint="default"/>
          <w:sz w:val="24"/>
          <w:szCs w:val="24"/>
        </w:rPr>
        <w:t>万元人民币。</w:t>
      </w:r>
    </w:p>
    <w:p>
      <w:pPr>
        <w:spacing w:line="357" w:lineRule="auto" w:before="36"/>
        <w:ind w:left="120" w:right="100" w:firstLine="480"/>
        <w:jc w:val="left"/>
        <w:rPr>
          <w:rFonts w:ascii="宋体" w:hAnsi="宋体" w:cs="宋体" w:eastAsia="宋体" w:hint="default"/>
          <w:sz w:val="24"/>
          <w:szCs w:val="24"/>
        </w:rPr>
      </w:pPr>
      <w:r>
        <w:rPr>
          <w:rFonts w:ascii="宋体" w:hAnsi="宋体" w:cs="宋体" w:eastAsia="宋体" w:hint="default"/>
          <w:sz w:val="24"/>
          <w:szCs w:val="24"/>
        </w:rPr>
        <w:t>公司致力于管理软件产业的发展以及</w:t>
      </w:r>
      <w:r>
        <w:rPr>
          <w:rFonts w:ascii="宋体" w:hAnsi="宋体" w:cs="宋体" w:eastAsia="宋体" w:hint="default"/>
          <w:spacing w:val="-58"/>
          <w:sz w:val="24"/>
          <w:szCs w:val="24"/>
        </w:rPr>
        <w:t> </w:t>
      </w:r>
      <w:r>
        <w:rPr>
          <w:rFonts w:ascii="宋体" w:hAnsi="宋体" w:cs="宋体" w:eastAsia="宋体" w:hint="default"/>
          <w:sz w:val="24"/>
          <w:szCs w:val="24"/>
        </w:rPr>
        <w:t>ERP</w:t>
      </w:r>
      <w:r>
        <w:rPr>
          <w:rFonts w:ascii="宋体" w:hAnsi="宋体" w:cs="宋体" w:eastAsia="宋体" w:hint="default"/>
          <w:spacing w:val="-58"/>
          <w:sz w:val="24"/>
          <w:szCs w:val="24"/>
        </w:rPr>
        <w:t> </w:t>
      </w:r>
      <w:r>
        <w:rPr>
          <w:rFonts w:ascii="宋体" w:hAnsi="宋体" w:cs="宋体" w:eastAsia="宋体" w:hint="default"/>
          <w:spacing w:val="-7"/>
          <w:sz w:val="24"/>
          <w:szCs w:val="24"/>
        </w:rPr>
        <w:t>在中国的推广普及，使得中国企业</w:t>
      </w:r>
      <w:r>
        <w:rPr>
          <w:rFonts w:ascii="宋体" w:hAnsi="宋体" w:cs="宋体" w:eastAsia="宋体" w:hint="default"/>
          <w:sz w:val="24"/>
          <w:szCs w:val="24"/>
        </w:rPr>
        <w:t> 管理软件国产化率达到 80%以上，财务软件国产化率超过</w:t>
      </w:r>
      <w:r>
        <w:rPr>
          <w:rFonts w:ascii="宋体" w:hAnsi="宋体" w:cs="宋体" w:eastAsia="宋体" w:hint="default"/>
          <w:spacing w:val="-94"/>
          <w:sz w:val="24"/>
          <w:szCs w:val="24"/>
        </w:rPr>
        <w:t> </w:t>
      </w:r>
      <w:r>
        <w:rPr>
          <w:rFonts w:ascii="宋体" w:hAnsi="宋体" w:cs="宋体" w:eastAsia="宋体" w:hint="default"/>
          <w:sz w:val="24"/>
          <w:szCs w:val="24"/>
        </w:rPr>
        <w:t>95%，打破了过去软件</w:t>
      </w:r>
      <w:r>
        <w:rPr>
          <w:rFonts w:ascii="宋体" w:hAnsi="宋体" w:cs="宋体" w:eastAsia="宋体" w:hint="default"/>
          <w:sz w:val="24"/>
          <w:szCs w:val="24"/>
        </w:rPr>
        <w:t> </w:t>
      </w:r>
      <w:r>
        <w:rPr>
          <w:rFonts w:ascii="宋体" w:hAnsi="宋体" w:cs="宋体" w:eastAsia="宋体" w:hint="default"/>
          <w:spacing w:val="-3"/>
          <w:sz w:val="24"/>
          <w:szCs w:val="24"/>
        </w:rPr>
        <w:t>技术产品长期依赖进口的局面，树立了更加适应于本土企业的管理软件品牌，推</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动了管理软件在中国的普及，使大量本土企业可以用的上价格更低廉、服务更贴</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4"/>
          <w:sz w:val="24"/>
          <w:szCs w:val="24"/>
        </w:rPr>
        <w:t>心、更适用于本土企业管理理念的软件产品，目前公司累计客户已超过 </w:t>
      </w:r>
      <w:r>
        <w:rPr>
          <w:rFonts w:ascii="宋体" w:hAnsi="宋体" w:cs="宋体" w:eastAsia="宋体" w:hint="default"/>
          <w:sz w:val="24"/>
          <w:szCs w:val="24"/>
        </w:rPr>
        <w:t>80</w:t>
      </w:r>
      <w:r>
        <w:rPr>
          <w:rFonts w:ascii="宋体" w:hAnsi="宋体" w:cs="宋体" w:eastAsia="宋体" w:hint="default"/>
          <w:spacing w:val="-88"/>
          <w:sz w:val="24"/>
          <w:szCs w:val="24"/>
        </w:rPr>
        <w:t> </w:t>
      </w:r>
      <w:r>
        <w:rPr>
          <w:rFonts w:ascii="宋体" w:hAnsi="宋体" w:cs="宋体" w:eastAsia="宋体" w:hint="default"/>
          <w:sz w:val="24"/>
          <w:szCs w:val="24"/>
        </w:rPr>
        <w:t>万家，</w:t>
      </w:r>
      <w:r>
        <w:rPr>
          <w:rFonts w:ascii="宋体" w:hAnsi="宋体" w:cs="宋体" w:eastAsia="宋体" w:hint="default"/>
          <w:sz w:val="24"/>
          <w:szCs w:val="24"/>
        </w:rPr>
        <w:t> </w:t>
      </w:r>
      <w:r>
        <w:rPr>
          <w:rFonts w:ascii="宋体" w:hAnsi="宋体" w:cs="宋体" w:eastAsia="宋体" w:hint="default"/>
          <w:spacing w:val="-3"/>
          <w:sz w:val="24"/>
          <w:szCs w:val="24"/>
        </w:rPr>
        <w:t>公司产品促进了中国企业效率和效益的提升，发挥着改善公司的盈利能力、收入</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质量、营运能力和成长能力的作用。</w:t>
      </w:r>
    </w:p>
    <w:p>
      <w:pPr>
        <w:spacing w:after="0" w:line="357" w:lineRule="auto"/>
        <w:jc w:val="left"/>
        <w:rPr>
          <w:rFonts w:ascii="宋体" w:hAnsi="宋体" w:cs="宋体" w:eastAsia="宋体" w:hint="default"/>
          <w:sz w:val="24"/>
          <w:szCs w:val="24"/>
        </w:rPr>
        <w:sectPr>
          <w:headerReference w:type="default" r:id="rId178"/>
          <w:footerReference w:type="default" r:id="rId179"/>
          <w:pgSz w:w="11910" w:h="16840"/>
          <w:pgMar w:header="0" w:footer="975" w:top="1480" w:bottom="1160" w:left="1680" w:right="1560"/>
          <w:pgNumType w:start="9"/>
        </w:sectPr>
      </w:pPr>
    </w:p>
    <w:p>
      <w:pPr>
        <w:pStyle w:val="Heading7"/>
        <w:spacing w:line="240" w:lineRule="auto"/>
        <w:ind w:left="600" w:right="84"/>
        <w:jc w:val="left"/>
        <w:rPr>
          <w:rFonts w:ascii="宋体" w:hAnsi="宋体" w:cs="宋体" w:eastAsia="宋体" w:hint="default"/>
        </w:rPr>
      </w:pPr>
      <w:r>
        <w:rPr>
          <w:rFonts w:ascii="宋体" w:hAnsi="宋体" w:cs="宋体" w:eastAsia="宋体" w:hint="default"/>
        </w:rPr>
        <w:t>目前，全国超过</w:t>
      </w:r>
      <w:r>
        <w:rPr>
          <w:rFonts w:ascii="宋体" w:hAnsi="宋体" w:cs="宋体" w:eastAsia="宋体" w:hint="default"/>
          <w:spacing w:val="-54"/>
        </w:rPr>
        <w:t> </w:t>
      </w:r>
      <w:r>
        <w:rPr>
          <w:rFonts w:ascii="宋体" w:hAnsi="宋体" w:cs="宋体" w:eastAsia="宋体" w:hint="default"/>
        </w:rPr>
        <w:t>800</w:t>
      </w:r>
      <w:r>
        <w:rPr>
          <w:rFonts w:ascii="宋体" w:hAnsi="宋体" w:cs="宋体" w:eastAsia="宋体" w:hint="default"/>
          <w:spacing w:val="-54"/>
        </w:rPr>
        <w:t> </w:t>
      </w:r>
      <w:r>
        <w:rPr>
          <w:rFonts w:ascii="宋体" w:hAnsi="宋体" w:cs="宋体" w:eastAsia="宋体" w:hint="default"/>
        </w:rPr>
        <w:t>所大专院校使用用友软件教学和实验；每年超过</w:t>
      </w:r>
      <w:r>
        <w:rPr>
          <w:rFonts w:ascii="宋体" w:hAnsi="宋体" w:cs="宋体" w:eastAsia="宋体" w:hint="default"/>
          <w:spacing w:val="-54"/>
        </w:rPr>
        <w:t> </w:t>
      </w:r>
      <w:r>
        <w:rPr>
          <w:rFonts w:ascii="宋体" w:hAnsi="宋体" w:cs="宋体" w:eastAsia="宋体" w:hint="default"/>
        </w:rPr>
        <w:t>50</w:t>
      </w:r>
      <w:r>
        <w:rPr>
          <w:rFonts w:ascii="宋体" w:hAnsi="宋体" w:cs="宋体" w:eastAsia="宋体" w:hint="default"/>
          <w:spacing w:val="-53"/>
        </w:rPr>
        <w:t> </w:t>
      </w:r>
      <w:r>
        <w:rPr>
          <w:rFonts w:ascii="宋体" w:hAnsi="宋体" w:cs="宋体" w:eastAsia="宋体" w:hint="default"/>
        </w:rPr>
        <w:t>万</w:t>
      </w:r>
    </w:p>
    <w:p>
      <w:pPr>
        <w:spacing w:line="357" w:lineRule="auto" w:before="154"/>
        <w:ind w:left="120" w:right="178" w:firstLine="0"/>
        <w:jc w:val="left"/>
        <w:rPr>
          <w:rFonts w:ascii="宋体" w:hAnsi="宋体" w:cs="宋体" w:eastAsia="宋体" w:hint="default"/>
          <w:sz w:val="24"/>
          <w:szCs w:val="24"/>
        </w:rPr>
      </w:pPr>
      <w:r>
        <w:rPr>
          <w:rFonts w:ascii="宋体" w:hAnsi="宋体" w:cs="宋体" w:eastAsia="宋体" w:hint="default"/>
          <w:sz w:val="24"/>
          <w:szCs w:val="24"/>
        </w:rPr>
        <w:t>在校学生学习用友软件；每年参加用友信息化认证的学生与社会人员超过 10</w:t>
      </w:r>
      <w:r>
        <w:rPr>
          <w:rFonts w:ascii="宋体" w:hAnsi="宋体" w:cs="宋体" w:eastAsia="宋体" w:hint="default"/>
          <w:spacing w:val="-94"/>
          <w:sz w:val="24"/>
          <w:szCs w:val="24"/>
        </w:rPr>
        <w:t> </w:t>
      </w:r>
      <w:r>
        <w:rPr>
          <w:rFonts w:ascii="宋体" w:hAnsi="宋体" w:cs="宋体" w:eastAsia="宋体" w:hint="default"/>
          <w:sz w:val="24"/>
          <w:szCs w:val="24"/>
        </w:rPr>
        <w:t>万</w:t>
      </w:r>
      <w:r>
        <w:rPr>
          <w:rFonts w:ascii="宋体" w:hAnsi="宋体" w:cs="宋体" w:eastAsia="宋体" w:hint="default"/>
          <w:sz w:val="24"/>
          <w:szCs w:val="24"/>
        </w:rPr>
        <w:t> 人；公司成立用友大学，开展“蓄水池计划”，培养了大量信息化专业人才。</w:t>
      </w:r>
    </w:p>
    <w:p>
      <w:pPr>
        <w:spacing w:line="240" w:lineRule="auto" w:before="8"/>
        <w:rPr>
          <w:rFonts w:ascii="宋体" w:hAnsi="宋体" w:cs="宋体" w:eastAsia="宋体" w:hint="default"/>
          <w:sz w:val="23"/>
          <w:szCs w:val="23"/>
        </w:rPr>
      </w:pPr>
    </w:p>
    <w:p>
      <w:pPr>
        <w:spacing w:line="446" w:lineRule="auto" w:before="0"/>
        <w:ind w:left="600" w:right="183" w:hanging="9"/>
        <w:jc w:val="left"/>
        <w:rPr>
          <w:rFonts w:ascii="宋体" w:hAnsi="宋体" w:cs="宋体" w:eastAsia="宋体" w:hint="default"/>
          <w:sz w:val="24"/>
          <w:szCs w:val="24"/>
        </w:rPr>
      </w:pPr>
      <w:r>
        <w:rPr>
          <w:rFonts w:ascii="宋体" w:hAnsi="宋体" w:cs="宋体" w:eastAsia="宋体" w:hint="default"/>
          <w:b/>
          <w:bCs/>
          <w:sz w:val="24"/>
          <w:szCs w:val="24"/>
        </w:rPr>
        <w:t>十、</w:t>
      </w:r>
      <w:r>
        <w:rPr>
          <w:rFonts w:ascii="宋体" w:hAnsi="宋体" w:cs="宋体" w:eastAsia="宋体" w:hint="default"/>
          <w:b/>
          <w:bCs/>
          <w:spacing w:val="-1"/>
          <w:sz w:val="24"/>
          <w:szCs w:val="24"/>
        </w:rPr>
        <w:t> </w:t>
      </w:r>
      <w:r>
        <w:rPr>
          <w:rFonts w:ascii="宋体" w:hAnsi="宋体" w:cs="宋体" w:eastAsia="宋体" w:hint="default"/>
          <w:b/>
          <w:bCs/>
          <w:sz w:val="24"/>
          <w:szCs w:val="24"/>
        </w:rPr>
        <w:t>社会责任履行状况存在问题及整改计划</w:t>
      </w:r>
      <w:r>
        <w:rPr>
          <w:rFonts w:ascii="宋体" w:hAnsi="宋体" w:cs="宋体" w:eastAsia="宋体" w:hint="default"/>
          <w:b/>
          <w:bCs/>
          <w:w w:val="99"/>
          <w:sz w:val="24"/>
          <w:szCs w:val="24"/>
        </w:rPr>
        <w:t> </w:t>
      </w:r>
      <w:r>
        <w:rPr>
          <w:rFonts w:ascii="宋体" w:hAnsi="宋体" w:cs="宋体" w:eastAsia="宋体" w:hint="default"/>
          <w:spacing w:val="-3"/>
          <w:sz w:val="24"/>
          <w:szCs w:val="24"/>
        </w:rPr>
        <w:t>公司作为和谐社会的一个组成部分，应当积极担负起对公司股东、员工、客</w:t>
      </w:r>
    </w:p>
    <w:p>
      <w:pPr>
        <w:pStyle w:val="Heading7"/>
        <w:spacing w:line="262" w:lineRule="exact"/>
        <w:ind w:left="120" w:right="84"/>
        <w:jc w:val="left"/>
        <w:rPr>
          <w:rFonts w:ascii="宋体" w:hAnsi="宋体" w:cs="宋体" w:eastAsia="宋体" w:hint="default"/>
        </w:rPr>
      </w:pPr>
      <w:r>
        <w:rPr>
          <w:rFonts w:ascii="宋体" w:hAnsi="宋体" w:cs="宋体" w:eastAsia="宋体" w:hint="default"/>
          <w:spacing w:val="-3"/>
        </w:rPr>
        <w:t>户、消费者、供应商、债权人、社区等利益相关者的社会责任，积极投身到相关</w:t>
      </w:r>
    </w:p>
    <w:p>
      <w:pPr>
        <w:spacing w:line="357" w:lineRule="auto" w:before="154"/>
        <w:ind w:left="120" w:right="84" w:firstLine="0"/>
        <w:jc w:val="left"/>
        <w:rPr>
          <w:rFonts w:ascii="宋体" w:hAnsi="宋体" w:cs="宋体" w:eastAsia="宋体" w:hint="default"/>
          <w:sz w:val="24"/>
          <w:szCs w:val="24"/>
        </w:rPr>
      </w:pPr>
      <w:r>
        <w:rPr>
          <w:rFonts w:ascii="宋体" w:hAnsi="宋体" w:cs="宋体" w:eastAsia="宋体" w:hint="default"/>
          <w:sz w:val="24"/>
          <w:szCs w:val="24"/>
        </w:rPr>
        <w:t>工作中去，推动和谐社会发展。对照《上海证券交易所上市公司社会责任指引》 </w:t>
      </w:r>
      <w:r>
        <w:rPr>
          <w:rFonts w:ascii="宋体" w:hAnsi="宋体" w:cs="宋体" w:eastAsia="宋体" w:hint="default"/>
          <w:spacing w:val="-3"/>
          <w:sz w:val="24"/>
          <w:szCs w:val="24"/>
        </w:rPr>
        <w:t>的相关规定，公司在履行社会责任方面仍存在差距，主要体现在社会责任意识有</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待进一步提高，在全体员工中积极主动推动公司社会责任工作做得还不够，要求</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pacing w:val="-3"/>
          <w:sz w:val="24"/>
          <w:szCs w:val="24"/>
        </w:rPr>
        <w:t>还不高。为此，公司将在今后的经营管理中，将进一步提高社会责任意识，高度</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重视社会责任工作，高标准严要求地履行社会责任，积极参加社会教育、文化、 </w:t>
      </w:r>
      <w:r>
        <w:rPr>
          <w:rFonts w:ascii="宋体" w:hAnsi="宋体" w:cs="宋体" w:eastAsia="宋体" w:hint="default"/>
          <w:spacing w:val="-3"/>
          <w:sz w:val="24"/>
          <w:szCs w:val="24"/>
        </w:rPr>
        <w:t>社区建设、扶贫济困等社会公益活动，促进公司和区域经济的和谐发展，积极创</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建幸福企业，为和谐社会建设做出应有的贡献。</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6"/>
          <w:szCs w:val="26"/>
        </w:rPr>
      </w:pPr>
    </w:p>
    <w:p>
      <w:pPr>
        <w:spacing w:line="357" w:lineRule="auto" w:before="0"/>
        <w:ind w:left="3647" w:right="197" w:firstLine="0"/>
        <w:jc w:val="right"/>
        <w:rPr>
          <w:rFonts w:ascii="宋体" w:hAnsi="宋体" w:cs="宋体" w:eastAsia="宋体" w:hint="default"/>
          <w:sz w:val="24"/>
          <w:szCs w:val="24"/>
        </w:rPr>
      </w:pPr>
      <w:r>
        <w:rPr>
          <w:rFonts w:ascii="宋体" w:hAnsi="宋体" w:cs="宋体" w:eastAsia="宋体" w:hint="default"/>
          <w:sz w:val="24"/>
          <w:szCs w:val="24"/>
        </w:rPr>
        <w:t>用友软件股份有限公司 二零一零年三月二十日</w:t>
      </w:r>
    </w:p>
    <w:p>
      <w:pPr>
        <w:spacing w:after="0" w:line="357" w:lineRule="auto"/>
        <w:jc w:val="right"/>
        <w:rPr>
          <w:rFonts w:ascii="宋体" w:hAnsi="宋体" w:cs="宋体" w:eastAsia="宋体" w:hint="default"/>
          <w:sz w:val="24"/>
          <w:szCs w:val="24"/>
        </w:rPr>
        <w:sectPr>
          <w:headerReference w:type="default" r:id="rId180"/>
          <w:footerReference w:type="default" r:id="rId181"/>
          <w:pgSz w:w="11910" w:h="16840"/>
          <w:pgMar w:header="0" w:footer="975" w:top="1480" w:bottom="1160" w:left="1680" w:right="1600"/>
          <w:pgNumType w:start="10"/>
        </w:sectPr>
      </w:pPr>
    </w:p>
    <w:p>
      <w:pPr>
        <w:spacing w:line="381" w:lineRule="auto" w:before="0"/>
        <w:ind w:left="973" w:right="1071" w:firstLine="1800"/>
        <w:jc w:val="left"/>
        <w:rPr>
          <w:rFonts w:ascii="黑体" w:hAnsi="黑体" w:cs="黑体" w:eastAsia="黑体" w:hint="default"/>
          <w:sz w:val="30"/>
          <w:szCs w:val="30"/>
        </w:rPr>
      </w:pPr>
      <w:bookmarkStart w:name="独立董事的独立意见-公告版.pdf" w:id="50"/>
      <w:bookmarkEnd w:id="50"/>
      <w:r>
        <w:rPr/>
      </w:r>
      <w:r>
        <w:rPr>
          <w:rFonts w:ascii="黑体" w:hAnsi="黑体" w:cs="黑体" w:eastAsia="黑体" w:hint="default"/>
          <w:sz w:val="30"/>
          <w:szCs w:val="30"/>
        </w:rPr>
        <w:t>用友软件股份有限公司 独立董事关于公司对外担保的专项说明及独立意见</w:t>
      </w:r>
    </w:p>
    <w:p>
      <w:pPr>
        <w:spacing w:line="240" w:lineRule="auto" w:before="0"/>
        <w:rPr>
          <w:rFonts w:ascii="黑体" w:hAnsi="黑体" w:cs="黑体" w:eastAsia="黑体" w:hint="default"/>
          <w:sz w:val="30"/>
          <w:szCs w:val="30"/>
        </w:rPr>
      </w:pPr>
    </w:p>
    <w:p>
      <w:pPr>
        <w:spacing w:line="240" w:lineRule="auto" w:before="7"/>
        <w:rPr>
          <w:rFonts w:ascii="黑体" w:hAnsi="黑体" w:cs="黑体" w:eastAsia="黑体" w:hint="default"/>
          <w:sz w:val="22"/>
          <w:szCs w:val="22"/>
        </w:rPr>
      </w:pPr>
    </w:p>
    <w:p>
      <w:pPr>
        <w:spacing w:line="297" w:lineRule="auto" w:before="0"/>
        <w:ind w:left="120" w:right="231" w:firstLine="540"/>
        <w:jc w:val="both"/>
        <w:rPr>
          <w:rFonts w:ascii="宋体" w:hAnsi="宋体" w:cs="宋体" w:eastAsia="宋体" w:hint="default"/>
          <w:sz w:val="24"/>
          <w:szCs w:val="24"/>
        </w:rPr>
      </w:pPr>
      <w:r>
        <w:rPr>
          <w:rFonts w:ascii="宋体" w:hAnsi="宋体" w:cs="宋体" w:eastAsia="宋体" w:hint="default"/>
          <w:sz w:val="24"/>
          <w:szCs w:val="24"/>
        </w:rPr>
        <w:t>根据中国证监会《关于规范上市公司与关联方资金往来及上市公司对外担</w:t>
      </w:r>
      <w:r>
        <w:rPr>
          <w:rFonts w:ascii="宋体" w:hAnsi="宋体" w:cs="宋体" w:eastAsia="宋体" w:hint="default"/>
          <w:spacing w:val="2"/>
          <w:sz w:val="24"/>
          <w:szCs w:val="24"/>
        </w:rPr>
        <w:t> </w:t>
      </w:r>
      <w:r>
        <w:rPr>
          <w:rFonts w:ascii="宋体" w:hAnsi="宋体" w:cs="宋体" w:eastAsia="宋体" w:hint="default"/>
          <w:spacing w:val="-3"/>
          <w:sz w:val="24"/>
          <w:szCs w:val="24"/>
        </w:rPr>
        <w:t>保若干问题的通知》的精神，我们按照实事求是的原则对公司对外担保情况进行</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了认真的检查和落实，现将公司</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年度对外担保情况说明如下：</w:t>
      </w:r>
    </w:p>
    <w:p>
      <w:pPr>
        <w:spacing w:line="297" w:lineRule="auto" w:before="174"/>
        <w:ind w:left="120" w:right="97" w:firstLine="540"/>
        <w:jc w:val="left"/>
        <w:rPr>
          <w:rFonts w:ascii="宋体" w:hAnsi="宋体" w:cs="宋体" w:eastAsia="宋体" w:hint="default"/>
          <w:sz w:val="24"/>
          <w:szCs w:val="24"/>
        </w:rPr>
      </w:pPr>
      <w:r>
        <w:rPr>
          <w:rFonts w:ascii="宋体" w:hAnsi="宋体" w:cs="宋体" w:eastAsia="宋体" w:hint="default"/>
          <w:spacing w:val="-1"/>
          <w:sz w:val="24"/>
          <w:szCs w:val="24"/>
        </w:rPr>
        <w:t>经审慎查验，公司严格按照《公司章程》的要求规范公司的对外担保行为，</w:t>
      </w:r>
      <w:r>
        <w:rPr>
          <w:rFonts w:ascii="宋体" w:hAnsi="宋体" w:cs="宋体" w:eastAsia="宋体" w:hint="default"/>
          <w:sz w:val="24"/>
          <w:szCs w:val="24"/>
        </w:rPr>
        <w:t> 控制对外担保风险。截止</w:t>
      </w:r>
      <w:r>
        <w:rPr>
          <w:rFonts w:ascii="宋体" w:hAnsi="宋体" w:cs="宋体" w:eastAsia="宋体" w:hint="default"/>
          <w:spacing w:val="-57"/>
          <w:sz w:val="24"/>
          <w:szCs w:val="24"/>
        </w:rPr>
        <w:t> </w:t>
      </w:r>
      <w:r>
        <w:rPr>
          <w:rFonts w:ascii="宋体" w:hAnsi="宋体" w:cs="宋体" w:eastAsia="宋体" w:hint="default"/>
          <w:sz w:val="24"/>
          <w:szCs w:val="24"/>
        </w:rPr>
        <w:t>2009</w:t>
      </w:r>
      <w:r>
        <w:rPr>
          <w:rFonts w:ascii="宋体" w:hAnsi="宋体" w:cs="宋体" w:eastAsia="宋体" w:hint="default"/>
          <w:spacing w:val="-57"/>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z w:val="24"/>
          <w:szCs w:val="24"/>
        </w:rPr>
        <w:t>12</w:t>
      </w:r>
      <w:r>
        <w:rPr>
          <w:rFonts w:ascii="宋体" w:hAnsi="宋体" w:cs="宋体" w:eastAsia="宋体" w:hint="default"/>
          <w:spacing w:val="-57"/>
          <w:sz w:val="24"/>
          <w:szCs w:val="24"/>
        </w:rPr>
        <w:t> </w:t>
      </w:r>
      <w:r>
        <w:rPr>
          <w:rFonts w:ascii="宋体" w:hAnsi="宋体" w:cs="宋体" w:eastAsia="宋体" w:hint="default"/>
          <w:sz w:val="24"/>
          <w:szCs w:val="24"/>
        </w:rPr>
        <w:t>月</w:t>
      </w:r>
      <w:r>
        <w:rPr>
          <w:rFonts w:ascii="宋体" w:hAnsi="宋体" w:cs="宋体" w:eastAsia="宋体" w:hint="default"/>
          <w:spacing w:val="-57"/>
          <w:sz w:val="24"/>
          <w:szCs w:val="24"/>
        </w:rPr>
        <w:t> </w:t>
      </w:r>
      <w:r>
        <w:rPr>
          <w:rFonts w:ascii="宋体" w:hAnsi="宋体" w:cs="宋体" w:eastAsia="宋体" w:hint="default"/>
          <w:sz w:val="24"/>
          <w:szCs w:val="24"/>
        </w:rPr>
        <w:t>31</w:t>
      </w:r>
      <w:r>
        <w:rPr>
          <w:rFonts w:ascii="宋体" w:hAnsi="宋体" w:cs="宋体" w:eastAsia="宋体" w:hint="default"/>
          <w:spacing w:val="-57"/>
          <w:sz w:val="24"/>
          <w:szCs w:val="24"/>
        </w:rPr>
        <w:t> </w:t>
      </w:r>
      <w:r>
        <w:rPr>
          <w:rFonts w:ascii="宋体" w:hAnsi="宋体" w:cs="宋体" w:eastAsia="宋体" w:hint="default"/>
          <w:sz w:val="24"/>
          <w:szCs w:val="24"/>
        </w:rPr>
        <w:t>日，公司没有为控股股东及其他关联</w:t>
      </w:r>
      <w:r>
        <w:rPr>
          <w:rFonts w:ascii="宋体" w:hAnsi="宋体" w:cs="宋体" w:eastAsia="宋体" w:hint="default"/>
          <w:sz w:val="24"/>
          <w:szCs w:val="24"/>
        </w:rPr>
        <w:t> </w:t>
      </w:r>
      <w:r>
        <w:rPr>
          <w:rFonts w:ascii="宋体" w:hAnsi="宋体" w:cs="宋体" w:eastAsia="宋体" w:hint="default"/>
          <w:spacing w:val="-3"/>
          <w:sz w:val="24"/>
          <w:szCs w:val="24"/>
        </w:rPr>
        <w:t>方、任何非法人单位或个人提供担保，控股股东及其他关联方也未强制公司为他</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人提供担保。</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17"/>
          <w:szCs w:val="17"/>
        </w:rPr>
      </w:pPr>
    </w:p>
    <w:p>
      <w:pPr>
        <w:spacing w:line="417" w:lineRule="auto" w:before="0"/>
        <w:ind w:left="5786" w:right="218" w:hanging="240"/>
        <w:jc w:val="left"/>
        <w:rPr>
          <w:rFonts w:ascii="宋体" w:hAnsi="宋体" w:cs="宋体" w:eastAsia="宋体" w:hint="default"/>
          <w:sz w:val="24"/>
          <w:szCs w:val="24"/>
        </w:rPr>
      </w:pPr>
      <w:r>
        <w:rPr>
          <w:rFonts w:ascii="宋体" w:hAnsi="宋体" w:cs="宋体" w:eastAsia="宋体" w:hint="default"/>
          <w:sz w:val="24"/>
          <w:szCs w:val="24"/>
        </w:rPr>
        <w:t>秦荣生 、王明富 、陈丕宏 二零一零年三月二十日</w:t>
      </w:r>
    </w:p>
    <w:p>
      <w:pPr>
        <w:spacing w:after="0" w:line="417" w:lineRule="auto"/>
        <w:jc w:val="left"/>
        <w:rPr>
          <w:rFonts w:ascii="宋体" w:hAnsi="宋体" w:cs="宋体" w:eastAsia="宋体" w:hint="default"/>
          <w:sz w:val="24"/>
          <w:szCs w:val="24"/>
        </w:rPr>
        <w:sectPr>
          <w:headerReference w:type="default" r:id="rId182"/>
          <w:footerReference w:type="default" r:id="rId183"/>
          <w:pgSz w:w="11910" w:h="16840"/>
          <w:pgMar w:header="0" w:footer="0" w:top="1520" w:bottom="280" w:left="1680" w:right="1560"/>
        </w:sectPr>
      </w:pPr>
    </w:p>
    <w:p>
      <w:pPr>
        <w:spacing w:line="381" w:lineRule="auto" w:before="0"/>
        <w:ind w:left="1723" w:right="1701" w:firstLine="450"/>
        <w:jc w:val="left"/>
        <w:rPr>
          <w:rFonts w:ascii="黑体" w:hAnsi="黑体" w:cs="黑体" w:eastAsia="黑体" w:hint="default"/>
          <w:sz w:val="30"/>
          <w:szCs w:val="30"/>
        </w:rPr>
      </w:pPr>
      <w:r>
        <w:rPr>
          <w:rFonts w:ascii="黑体" w:hAnsi="黑体" w:cs="黑体" w:eastAsia="黑体" w:hint="default"/>
          <w:sz w:val="30"/>
          <w:szCs w:val="30"/>
        </w:rPr>
        <w:t>用友软件股份有限公司独立董事 关于聘任高级管理人员事项的独立意见</w:t>
      </w:r>
    </w:p>
    <w:p>
      <w:pPr>
        <w:spacing w:line="240" w:lineRule="auto" w:before="0"/>
        <w:rPr>
          <w:rFonts w:ascii="黑体" w:hAnsi="黑体" w:cs="黑体" w:eastAsia="黑体" w:hint="default"/>
          <w:sz w:val="30"/>
          <w:szCs w:val="30"/>
        </w:rPr>
      </w:pPr>
    </w:p>
    <w:p>
      <w:pPr>
        <w:spacing w:line="240" w:lineRule="auto" w:before="7"/>
        <w:rPr>
          <w:rFonts w:ascii="黑体" w:hAnsi="黑体" w:cs="黑体" w:eastAsia="黑体" w:hint="default"/>
          <w:sz w:val="22"/>
          <w:szCs w:val="22"/>
        </w:rPr>
      </w:pPr>
    </w:p>
    <w:p>
      <w:pPr>
        <w:spacing w:line="297" w:lineRule="auto" w:before="0"/>
        <w:ind w:left="120" w:right="114" w:firstLine="480"/>
        <w:jc w:val="both"/>
        <w:rPr>
          <w:rFonts w:ascii="宋体" w:hAnsi="宋体" w:cs="宋体" w:eastAsia="宋体" w:hint="default"/>
          <w:sz w:val="24"/>
          <w:szCs w:val="24"/>
        </w:rPr>
      </w:pPr>
      <w:r>
        <w:rPr>
          <w:rFonts w:ascii="宋体" w:hAnsi="宋体" w:cs="宋体" w:eastAsia="宋体" w:hint="default"/>
          <w:spacing w:val="-5"/>
          <w:sz w:val="24"/>
          <w:szCs w:val="24"/>
        </w:rPr>
        <w:t>用友软件股份有限公司（“用友软件”或“公司”）于</w:t>
      </w:r>
      <w:r>
        <w:rPr>
          <w:rFonts w:ascii="宋体" w:hAnsi="宋体" w:cs="宋体" w:eastAsia="宋体" w:hint="default"/>
          <w:spacing w:val="-56"/>
          <w:sz w:val="24"/>
          <w:szCs w:val="24"/>
        </w:rPr>
        <w:t> </w:t>
      </w:r>
      <w:r>
        <w:rPr>
          <w:rFonts w:ascii="宋体" w:hAnsi="宋体" w:cs="宋体" w:eastAsia="宋体" w:hint="default"/>
          <w:spacing w:val="27"/>
          <w:sz w:val="24"/>
          <w:szCs w:val="24"/>
        </w:rPr>
        <w:t>2010年3月</w:t>
      </w:r>
      <w:r>
        <w:rPr>
          <w:rFonts w:ascii="宋体" w:hAnsi="宋体" w:cs="宋体" w:eastAsia="宋体" w:hint="default"/>
          <w:spacing w:val="-56"/>
          <w:sz w:val="24"/>
          <w:szCs w:val="24"/>
        </w:rPr>
        <w:t> </w:t>
      </w:r>
      <w:r>
        <w:rPr>
          <w:rFonts w:ascii="宋体" w:hAnsi="宋体" w:cs="宋体" w:eastAsia="宋体" w:hint="default"/>
          <w:spacing w:val="-1"/>
          <w:sz w:val="24"/>
          <w:szCs w:val="24"/>
        </w:rPr>
        <w:t>20</w:t>
      </w:r>
      <w:r>
        <w:rPr>
          <w:rFonts w:ascii="宋体" w:hAnsi="宋体" w:cs="宋体" w:eastAsia="宋体" w:hint="default"/>
          <w:spacing w:val="-56"/>
          <w:sz w:val="24"/>
          <w:szCs w:val="24"/>
        </w:rPr>
        <w:t> </w:t>
      </w:r>
      <w:r>
        <w:rPr>
          <w:rFonts w:ascii="宋体" w:hAnsi="宋体" w:cs="宋体" w:eastAsia="宋体" w:hint="default"/>
          <w:sz w:val="24"/>
          <w:szCs w:val="24"/>
        </w:rPr>
        <w:t>日召</w:t>
      </w:r>
      <w:r>
        <w:rPr>
          <w:rFonts w:ascii="宋体" w:hAnsi="宋体" w:cs="宋体" w:eastAsia="宋体" w:hint="default"/>
          <w:sz w:val="24"/>
          <w:szCs w:val="24"/>
        </w:rPr>
        <w:t> 开了公司第四届董事会 2010</w:t>
      </w:r>
      <w:r>
        <w:rPr>
          <w:rFonts w:ascii="宋体" w:hAnsi="宋体" w:cs="宋体" w:eastAsia="宋体" w:hint="default"/>
          <w:spacing w:val="-94"/>
          <w:sz w:val="24"/>
          <w:szCs w:val="24"/>
        </w:rPr>
        <w:t> </w:t>
      </w:r>
      <w:r>
        <w:rPr>
          <w:rFonts w:ascii="宋体" w:hAnsi="宋体" w:cs="宋体" w:eastAsia="宋体" w:hint="default"/>
          <w:sz w:val="24"/>
          <w:szCs w:val="24"/>
        </w:rPr>
        <w:t>年第三次会议，会议审议了公司《关于聘任公司高</w:t>
      </w:r>
      <w:r>
        <w:rPr>
          <w:rFonts w:ascii="宋体" w:hAnsi="宋体" w:cs="宋体" w:eastAsia="宋体" w:hint="default"/>
          <w:sz w:val="24"/>
          <w:szCs w:val="24"/>
        </w:rPr>
        <w:t> </w:t>
      </w:r>
      <w:r>
        <w:rPr>
          <w:rFonts w:ascii="宋体" w:hAnsi="宋体" w:cs="宋体" w:eastAsia="宋体" w:hint="default"/>
          <w:spacing w:val="-4"/>
          <w:sz w:val="24"/>
          <w:szCs w:val="24"/>
        </w:rPr>
        <w:t>级管理人员的议案》。我们作为用友软件的独立董事，根据《关于在上市公司建</w:t>
      </w:r>
      <w:r>
        <w:rPr>
          <w:rFonts w:ascii="宋体" w:hAnsi="宋体" w:cs="宋体" w:eastAsia="宋体" w:hint="default"/>
          <w:spacing w:val="-101"/>
          <w:sz w:val="24"/>
          <w:szCs w:val="24"/>
        </w:rPr>
        <w:t> </w:t>
      </w:r>
      <w:r>
        <w:rPr>
          <w:rFonts w:ascii="宋体" w:hAnsi="宋体" w:cs="宋体" w:eastAsia="宋体" w:hint="default"/>
          <w:spacing w:val="-101"/>
          <w:sz w:val="24"/>
          <w:szCs w:val="24"/>
        </w:rPr>
      </w:r>
      <w:r>
        <w:rPr>
          <w:rFonts w:ascii="宋体" w:hAnsi="宋体" w:cs="宋体" w:eastAsia="宋体" w:hint="default"/>
          <w:spacing w:val="-3"/>
          <w:sz w:val="24"/>
          <w:szCs w:val="24"/>
        </w:rPr>
        <w:t>立独立董事制度的指导意见》、《公司章程》及《独立董事工作细则》的有关规</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定，参加了本次董事会会议，审阅了聘任高级管理人员及解聘高级管理人员的相</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关文件，本着公平、公正、诚实信用的原则，现出具以下意见：</w:t>
      </w:r>
    </w:p>
    <w:p>
      <w:pPr>
        <w:spacing w:before="174"/>
        <w:ind w:left="600" w:right="98" w:firstLine="0"/>
        <w:jc w:val="left"/>
        <w:rPr>
          <w:rFonts w:ascii="宋体" w:hAnsi="宋体" w:cs="宋体" w:eastAsia="宋体" w:hint="default"/>
          <w:sz w:val="24"/>
          <w:szCs w:val="24"/>
        </w:rPr>
      </w:pPr>
      <w:r>
        <w:rPr>
          <w:rFonts w:ascii="宋体" w:hAnsi="宋体" w:cs="宋体" w:eastAsia="宋体" w:hint="default"/>
          <w:sz w:val="24"/>
          <w:szCs w:val="24"/>
        </w:rPr>
        <w:t>1、高级管理人员的聘任程序规范,符合《公司法</w:t>
      </w:r>
      <w:r>
        <w:rPr>
          <w:rFonts w:ascii="宋体" w:hAnsi="宋体" w:cs="宋体" w:eastAsia="宋体" w:hint="default"/>
          <w:spacing w:val="-120"/>
          <w:sz w:val="24"/>
          <w:szCs w:val="24"/>
        </w:rPr>
        <w:t>》、</w:t>
      </w:r>
      <w:r>
        <w:rPr>
          <w:rFonts w:ascii="宋体" w:hAnsi="宋体" w:cs="宋体" w:eastAsia="宋体" w:hint="default"/>
          <w:sz w:val="24"/>
          <w:szCs w:val="24"/>
        </w:rPr>
        <w:t>《上市公司治理准则</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before="76"/>
        <w:ind w:left="120" w:right="98" w:firstLine="0"/>
        <w:jc w:val="left"/>
        <w:rPr>
          <w:rFonts w:ascii="宋体" w:hAnsi="宋体" w:cs="宋体" w:eastAsia="宋体" w:hint="default"/>
          <w:sz w:val="24"/>
          <w:szCs w:val="24"/>
        </w:rPr>
      </w:pPr>
      <w:r>
        <w:rPr>
          <w:rFonts w:ascii="宋体" w:hAnsi="宋体" w:cs="宋体" w:eastAsia="宋体" w:hint="default"/>
          <w:sz w:val="24"/>
          <w:szCs w:val="24"/>
        </w:rPr>
        <w:t>《公司章程》和《董事会议事规则》的有关规定；</w:t>
      </w:r>
    </w:p>
    <w:p>
      <w:pPr>
        <w:spacing w:line="240" w:lineRule="auto" w:before="9"/>
        <w:rPr>
          <w:rFonts w:ascii="宋体" w:hAnsi="宋体" w:cs="宋体" w:eastAsia="宋体" w:hint="default"/>
          <w:sz w:val="17"/>
          <w:szCs w:val="17"/>
        </w:rPr>
      </w:pPr>
    </w:p>
    <w:p>
      <w:pPr>
        <w:spacing w:line="297" w:lineRule="auto" w:before="0"/>
        <w:ind w:left="120" w:right="115" w:firstLine="480"/>
        <w:jc w:val="both"/>
        <w:rPr>
          <w:rFonts w:ascii="宋体" w:hAnsi="宋体" w:cs="宋体" w:eastAsia="宋体" w:hint="default"/>
          <w:sz w:val="24"/>
          <w:szCs w:val="24"/>
        </w:rPr>
      </w:pPr>
      <w:r>
        <w:rPr>
          <w:rFonts w:ascii="宋体" w:hAnsi="宋体" w:cs="宋体" w:eastAsia="宋体" w:hint="default"/>
          <w:sz w:val="24"/>
          <w:szCs w:val="24"/>
        </w:rPr>
        <w:t>2、高级管理人员任职资格合法,未发现有《公司法》第六章规定的情况,亦 未有被中国证监会确定为市场禁入者的情况；</w:t>
      </w:r>
    </w:p>
    <w:p>
      <w:pPr>
        <w:spacing w:line="297" w:lineRule="auto" w:before="174"/>
        <w:ind w:left="120" w:right="114" w:firstLine="480"/>
        <w:jc w:val="both"/>
        <w:rPr>
          <w:rFonts w:ascii="宋体" w:hAnsi="宋体" w:cs="宋体" w:eastAsia="宋体" w:hint="default"/>
          <w:sz w:val="24"/>
          <w:szCs w:val="24"/>
        </w:rPr>
      </w:pPr>
      <w:r>
        <w:rPr>
          <w:rFonts w:ascii="宋体" w:hAnsi="宋体" w:cs="宋体" w:eastAsia="宋体" w:hint="default"/>
          <w:spacing w:val="-3"/>
          <w:sz w:val="24"/>
          <w:szCs w:val="24"/>
        </w:rPr>
        <w:t>3、本次董事会聘任的高级管理人员诚实信用、勤勉务实,具有较高的专业知</w:t>
      </w:r>
      <w:r>
        <w:rPr>
          <w:rFonts w:ascii="宋体" w:hAnsi="宋体" w:cs="宋体" w:eastAsia="宋体" w:hint="default"/>
          <w:sz w:val="24"/>
          <w:szCs w:val="24"/>
        </w:rPr>
        <w:t> 识水平和丰富的管理经验,熟悉行业和公司情况，任职条件能胜任所聘任职务的 要求。</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18"/>
          <w:szCs w:val="18"/>
        </w:rPr>
      </w:pPr>
    </w:p>
    <w:p>
      <w:pPr>
        <w:spacing w:line="417" w:lineRule="auto" w:before="0"/>
        <w:ind w:left="5786" w:right="98" w:hanging="240"/>
        <w:jc w:val="left"/>
        <w:rPr>
          <w:rFonts w:ascii="宋体" w:hAnsi="宋体" w:cs="宋体" w:eastAsia="宋体" w:hint="default"/>
          <w:sz w:val="24"/>
          <w:szCs w:val="24"/>
        </w:rPr>
      </w:pPr>
      <w:r>
        <w:rPr>
          <w:rFonts w:ascii="宋体" w:hAnsi="宋体" w:cs="宋体" w:eastAsia="宋体" w:hint="default"/>
          <w:sz w:val="24"/>
          <w:szCs w:val="24"/>
        </w:rPr>
        <w:t>秦荣生 、王明富 、陈丕宏 二零一零年三月二十日</w:t>
      </w:r>
    </w:p>
    <w:sectPr>
      <w:headerReference w:type="default" r:id="rId184"/>
      <w:footerReference w:type="default" r:id="rId185"/>
      <w:pgSz w:w="11910" w:h="16840"/>
      <w:pgMar w:header="0" w:footer="0" w:top="1520" w:bottom="28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Calibri">
    <w:altName w:val="Calibri"/>
    <w:charset w:val="0"/>
    <w:family w:val="swiss"/>
    <w:pitch w:val="variable"/>
  </w:font>
  <w:font w:name="黑体">
    <w:altName w:val="黑体"/>
    <w:charset w:val="86"/>
    <w:family w:val="modern"/>
    <w:pitch w:val="fixed"/>
  </w:font>
  <w:font w:name="宋体">
    <w:altName w:val="宋体"/>
    <w:charset w:val="86"/>
    <w:family w:val="auto"/>
    <w:pitch w:val="variable"/>
  </w:font>
  <w:font w:name="Symbol">
    <w:altName w:val="Symbol"/>
    <w:charset w:val="2"/>
    <w:family w:val="roman"/>
    <w:pitch w:val="variable"/>
  </w:font>
  <w:font w:name="Wingdings">
    <w:altName w:val="Wingdings"/>
    <w:charset w:val="2"/>
    <w:family w:val="auto"/>
    <w:pitch w:val="variable"/>
  </w:font>
  <w:font w:name="MingLiU-ExtB">
    <w:altName w:val="MingLiU-ExtB"/>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596985pt;margin-top:794.668335pt;width:13pt;height:11pt;mso-position-horizontal-relative:page;mso-position-vertical-relative:page;z-index:-113296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287pt;margin-top:806.688782pt;width:15.5pt;height:13.5pt;mso-position-horizontal-relative:page;mso-position-vertical-relative:page;z-index:-1132768" type="#_x0000_t202" filled="false" stroked="false">
          <v:textbox inset="0,0,0,0">
            <w:txbxContent>
              <w:p>
                <w:pPr>
                  <w:pStyle w:val="BodyText"/>
                  <w:spacing w:line="240" w:lineRule="auto" w:before="24"/>
                  <w:ind w:left="20" w:right="0"/>
                  <w:jc w:val="left"/>
                  <w:rPr>
                    <w:rFonts w:ascii="Arial" w:hAnsi="Arial" w:cs="Arial" w:eastAsia="Arial" w:hint="default"/>
                  </w:rPr>
                </w:pPr>
                <w:r>
                  <w:rPr>
                    <w:rFonts w:ascii="Arial"/>
                    <w:w w:val="100"/>
                  </w:rPr>
                </w:r>
                <w:r>
                  <w:rPr/>
                  <w:fldChar w:fldCharType="begin"/>
                </w:r>
                <w:r>
                  <w:rPr>
                    <w:rFonts w:ascii="Arial"/>
                    <w:w w:val="100"/>
                  </w:rPr>
                  <w:instrText> PAGE </w:instrText>
                </w:r>
                <w:r>
                  <w:rPr/>
                  <w:fldChar w:fldCharType="separate"/>
                </w:r>
                <w:r>
                  <w:rPr/>
                  <w:t>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6.190491pt;margin-top:559.320557pt;width:9.6pt;height:12.45pt;mso-position-horizontal-relative:page;mso-position-vertical-relative:page;z-index:-1132576" type="#_x0000_t202" filled="false" stroked="false">
          <v:textbox inset="0,0,0,0">
            <w:txbxContent>
              <w:p>
                <w:pPr>
                  <w:pStyle w:val="BodyText"/>
                  <w:spacing w:line="240" w:lineRule="auto" w:before="3"/>
                  <w:ind w:left="40" w:right="0"/>
                  <w:jc w:val="left"/>
                  <w:rPr>
                    <w:rFonts w:ascii="Arial" w:hAnsi="Arial" w:cs="Arial" w:eastAsia="Arial" w:hint="default"/>
                  </w:rPr>
                </w:pPr>
                <w:r>
                  <w:rPr>
                    <w:rFonts w:ascii="Arial"/>
                    <w:w w:val="100"/>
                  </w:rPr>
                </w:r>
                <w:r>
                  <w:rPr/>
                  <w:fldChar w:fldCharType="begin"/>
                </w:r>
                <w:r>
                  <w:rPr>
                    <w:rFonts w:ascii="Arial"/>
                    <w:w w:val="100"/>
                  </w:rPr>
                  <w:instrText> PAGE </w:instrText>
                </w:r>
                <w:r>
                  <w:rPr/>
                  <w:fldChar w:fldCharType="separate"/>
                </w:r>
                <w:r>
                  <w:rPr/>
                  <w:t>5</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079987pt;margin-top:807.840332pt;width:15.2pt;height:12.05pt;mso-position-horizontal-relative:page;mso-position-vertical-relative:page;z-index:-1132504" type="#_x0000_t202" filled="false" stroked="false">
          <v:textbox inset="0,0,0,0">
            <w:txbxContent>
              <w:p>
                <w:pPr>
                  <w:pStyle w:val="BodyText"/>
                  <w:spacing w:line="225" w:lineRule="exact"/>
                  <w:ind w:left="40" w:right="0"/>
                  <w:jc w:val="left"/>
                  <w:rPr>
                    <w:rFonts w:ascii="Arial" w:hAnsi="Arial" w:cs="Arial" w:eastAsia="Arial" w:hint="default"/>
                  </w:rPr>
                </w:pPr>
                <w:r>
                  <w:rPr>
                    <w:rFonts w:ascii="Arial"/>
                    <w:w w:val="100"/>
                  </w:rPr>
                </w:r>
                <w:r>
                  <w:rPr/>
                  <w:fldChar w:fldCharType="begin"/>
                </w:r>
                <w:r>
                  <w:rPr>
                    <w:rFonts w:ascii="Arial"/>
                  </w:rPr>
                  <w:instrText> PAGE </w:instrText>
                </w:r>
                <w:r>
                  <w:rPr/>
                  <w:fldChar w:fldCharType="separate"/>
                </w:r>
                <w:r>
                  <w:rPr/>
                  <w:t>10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3.370514pt;margin-top:559.800537pt;width:15.2pt;height:12.05pt;mso-position-horizontal-relative:page;mso-position-vertical-relative:page;z-index:-1132240" type="#_x0000_t202" filled="false" stroked="false">
          <v:textbox inset="0,0,0,0">
            <w:txbxContent>
              <w:p>
                <w:pPr>
                  <w:pStyle w:val="BodyText"/>
                  <w:spacing w:line="225" w:lineRule="exact"/>
                  <w:ind w:left="40" w:right="0"/>
                  <w:jc w:val="left"/>
                  <w:rPr>
                    <w:rFonts w:ascii="Arial" w:hAnsi="Arial" w:cs="Arial" w:eastAsia="Arial" w:hint="default"/>
                  </w:rPr>
                </w:pPr>
                <w:r>
                  <w:rPr>
                    <w:rFonts w:ascii="Arial"/>
                    <w:w w:val="100"/>
                  </w:rPr>
                </w:r>
                <w:r>
                  <w:rPr/>
                  <w:fldChar w:fldCharType="begin"/>
                </w:r>
                <w:r>
                  <w:rPr>
                    <w:rFonts w:ascii="Arial"/>
                  </w:rPr>
                  <w:instrText> PAGE </w:instrText>
                </w:r>
                <w:r>
                  <w:rPr/>
                  <w:fldChar w:fldCharType="separate"/>
                </w:r>
                <w:r>
                  <w:rPr/>
                  <w:t>12</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40015pt;margin-top:807.780334pt;width:13.2pt;height:12.05pt;mso-position-horizontal-relative:page;mso-position-vertical-relative:page;z-index:-1132192" type="#_x0000_t202" filled="false" stroked="false">
          <v:textbox inset="0,0,0,0">
            <w:txbxContent>
              <w:p>
                <w:pPr>
                  <w:pStyle w:val="BodyText"/>
                  <w:spacing w:line="225" w:lineRule="exact"/>
                  <w:ind w:left="20" w:right="0"/>
                  <w:jc w:val="left"/>
                  <w:rPr>
                    <w:rFonts w:ascii="Arial" w:hAnsi="Arial" w:cs="Arial" w:eastAsia="Arial" w:hint="default"/>
                  </w:rPr>
                </w:pPr>
                <w:r>
                  <w:rPr>
                    <w:rFonts w:ascii="Arial"/>
                  </w:rPr>
                  <w:t>14</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140015pt;margin-top:789.300354pt;width:15.2pt;height:12.05pt;mso-position-horizontal-relative:page;mso-position-vertical-relative:page;z-index:-1132168" type="#_x0000_t202" filled="false" stroked="false">
          <v:textbox inset="0,0,0,0">
            <w:txbxContent>
              <w:p>
                <w:pPr>
                  <w:pStyle w:val="BodyText"/>
                  <w:spacing w:line="225" w:lineRule="exact"/>
                  <w:ind w:left="40" w:right="0"/>
                  <w:jc w:val="left"/>
                  <w:rPr>
                    <w:rFonts w:ascii="Arial" w:hAnsi="Arial" w:cs="Arial" w:eastAsia="Arial" w:hint="default"/>
                  </w:rPr>
                </w:pPr>
                <w:r>
                  <w:rPr>
                    <w:rFonts w:ascii="Arial"/>
                    <w:w w:val="100"/>
                  </w:rPr>
                </w:r>
                <w:r>
                  <w:rPr/>
                  <w:fldChar w:fldCharType="begin"/>
                </w:r>
                <w:r>
                  <w:rPr>
                    <w:rFonts w:ascii="Arial"/>
                  </w:rPr>
                  <w:instrText> PAGE </w:instrText>
                </w:r>
                <w:r>
                  <w:rPr/>
                  <w:fldChar w:fldCharType="separate"/>
                </w:r>
                <w:r>
                  <w:rPr/>
                  <w:t>15</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078735pt;margin-top:807.362976pt;width:15.2pt;height:12.05pt;mso-position-horizontal-relative:page;mso-position-vertical-relative:page;z-index:-1132048" type="#_x0000_t202" filled="false" stroked="false">
          <v:textbox inset="0,0,0,0">
            <w:txbxContent>
              <w:p>
                <w:pPr>
                  <w:pStyle w:val="BodyText"/>
                  <w:spacing w:line="225" w:lineRule="exact"/>
                  <w:ind w:left="40" w:right="0"/>
                  <w:jc w:val="left"/>
                  <w:rPr>
                    <w:rFonts w:ascii="Arial" w:hAnsi="Arial" w:cs="Arial" w:eastAsia="Arial" w:hint="default"/>
                  </w:rPr>
                </w:pPr>
                <w:r>
                  <w:rPr>
                    <w:rFonts w:ascii="Arial"/>
                    <w:w w:val="100"/>
                  </w:rPr>
                </w:r>
                <w:r>
                  <w:rPr/>
                  <w:fldChar w:fldCharType="begin"/>
                </w:r>
                <w:r>
                  <w:rPr>
                    <w:rFonts w:ascii="Arial"/>
                  </w:rPr>
                  <w:instrText> PAGE </w:instrText>
                </w:r>
                <w:r>
                  <w:rPr/>
                  <w:fldChar w:fldCharType="separate"/>
                </w:r>
                <w:r>
                  <w:rPr/>
                  <w:t>17</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596985pt;margin-top:794.668335pt;width:13pt;height:11pt;mso-position-horizontal-relative:page;mso-position-vertical-relative:page;z-index:-1132936"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17</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3.429474pt;margin-top:559.443298pt;width:15.2pt;height:12.05pt;mso-position-horizontal-relative:page;mso-position-vertical-relative:page;z-index:-1131976" type="#_x0000_t202" filled="false" stroked="false">
          <v:textbox inset="0,0,0,0">
            <w:txbxContent>
              <w:p>
                <w:pPr>
                  <w:pStyle w:val="BodyText"/>
                  <w:spacing w:line="225" w:lineRule="exact"/>
                  <w:ind w:left="40" w:right="0"/>
                  <w:jc w:val="left"/>
                  <w:rPr>
                    <w:rFonts w:ascii="Arial" w:hAnsi="Arial" w:cs="Arial" w:eastAsia="Arial" w:hint="default"/>
                  </w:rPr>
                </w:pPr>
                <w:r>
                  <w:rPr>
                    <w:rFonts w:ascii="Arial"/>
                    <w:w w:val="100"/>
                  </w:rPr>
                </w:r>
                <w:r>
                  <w:rPr/>
                  <w:fldChar w:fldCharType="begin"/>
                </w:r>
                <w:r>
                  <w:rPr>
                    <w:rFonts w:ascii="Arial"/>
                  </w:rPr>
                  <w:instrText> PAGE </w:instrText>
                </w:r>
                <w:r>
                  <w:rPr/>
                  <w:fldChar w:fldCharType="separate"/>
                </w:r>
                <w:r>
                  <w:rPr/>
                  <w:t>45</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43311pt;margin-top:789.480347pt;width:13.2pt;height:12.05pt;mso-position-horizontal-relative:page;mso-position-vertical-relative:page;z-index:-1131904" type="#_x0000_t202" filled="false" stroked="false">
          <v:textbox inset="0,0,0,0">
            <w:txbxContent>
              <w:p>
                <w:pPr>
                  <w:pStyle w:val="BodyText"/>
                  <w:spacing w:line="225" w:lineRule="exact"/>
                  <w:ind w:left="20" w:right="0"/>
                  <w:jc w:val="left"/>
                  <w:rPr>
                    <w:rFonts w:ascii="Arial" w:hAnsi="Arial" w:cs="Arial" w:eastAsia="Arial" w:hint="default"/>
                  </w:rPr>
                </w:pPr>
                <w:r>
                  <w:rPr>
                    <w:rFonts w:ascii="Arial"/>
                  </w:rPr>
                  <w:t>53</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078735pt;margin-top:807.542969pt;width:15.2pt;height:12.05pt;mso-position-horizontal-relative:page;mso-position-vertical-relative:page;z-index:-1131880" type="#_x0000_t202" filled="false" stroked="false">
          <v:textbox inset="0,0,0,0">
            <w:txbxContent>
              <w:p>
                <w:pPr>
                  <w:pStyle w:val="BodyText"/>
                  <w:spacing w:line="225" w:lineRule="exact"/>
                  <w:ind w:left="40" w:right="0"/>
                  <w:jc w:val="left"/>
                  <w:rPr>
                    <w:rFonts w:ascii="Arial" w:hAnsi="Arial" w:cs="Arial" w:eastAsia="Arial" w:hint="default"/>
                  </w:rPr>
                </w:pPr>
                <w:r>
                  <w:rPr>
                    <w:rFonts w:ascii="Arial"/>
                    <w:w w:val="100"/>
                  </w:rPr>
                </w:r>
                <w:r>
                  <w:rPr/>
                  <w:fldChar w:fldCharType="begin"/>
                </w:r>
                <w:r>
                  <w:rPr>
                    <w:rFonts w:ascii="Arial"/>
                  </w:rPr>
                  <w:instrText> PAGE </w:instrText>
                </w:r>
                <w:r>
                  <w:rPr/>
                  <w:fldChar w:fldCharType="separate"/>
                </w:r>
                <w:r>
                  <w:rPr/>
                  <w:t>54</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3.370514pt;margin-top:545.040527pt;width:15.2pt;height:12.05pt;mso-position-horizontal-relative:page;mso-position-vertical-relative:page;z-index:-1131808" type="#_x0000_t202" filled="false" stroked="false">
          <v:textbox inset="0,0,0,0">
            <w:txbxContent>
              <w:p>
                <w:pPr>
                  <w:pStyle w:val="BodyText"/>
                  <w:spacing w:line="225" w:lineRule="exact"/>
                  <w:ind w:left="40" w:right="0"/>
                  <w:jc w:val="left"/>
                  <w:rPr>
                    <w:rFonts w:ascii="Arial" w:hAnsi="Arial" w:cs="Arial" w:eastAsia="Arial" w:hint="default"/>
                  </w:rPr>
                </w:pPr>
                <w:r>
                  <w:rPr>
                    <w:rFonts w:ascii="Arial"/>
                    <w:w w:val="100"/>
                  </w:rPr>
                </w:r>
                <w:r>
                  <w:rPr/>
                  <w:fldChar w:fldCharType="begin"/>
                </w:r>
                <w:r>
                  <w:rPr>
                    <w:rFonts w:ascii="Arial"/>
                  </w:rPr>
                  <w:instrText> PAGE </w:instrText>
                </w:r>
                <w:r>
                  <w:rPr/>
                  <w:fldChar w:fldCharType="separate"/>
                </w:r>
                <w:r>
                  <w:rPr/>
                  <w:t>70</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40015pt;margin-top:789.480347pt;width:13.2pt;height:12.05pt;mso-position-horizontal-relative:page;mso-position-vertical-relative:page;z-index:-1131736" type="#_x0000_t202" filled="false" stroked="false">
          <v:textbox inset="0,0,0,0">
            <w:txbxContent>
              <w:p>
                <w:pPr>
                  <w:pStyle w:val="BodyText"/>
                  <w:spacing w:line="225" w:lineRule="exact"/>
                  <w:ind w:left="20" w:right="0"/>
                  <w:jc w:val="left"/>
                  <w:rPr>
                    <w:rFonts w:ascii="Arial" w:hAnsi="Arial" w:cs="Arial" w:eastAsia="Arial" w:hint="default"/>
                  </w:rPr>
                </w:pPr>
                <w:r>
                  <w:rPr>
                    <w:rFonts w:ascii="Arial"/>
                  </w:rPr>
                  <w:t>74</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421448pt;margin-top:807.903015pt;width:15.2pt;height:12.05pt;mso-position-horizontal-relative:page;mso-position-vertical-relative:page;z-index:-1131712" type="#_x0000_t202" filled="false" stroked="false">
          <v:textbox inset="0,0,0,0">
            <w:txbxContent>
              <w:p>
                <w:pPr>
                  <w:pStyle w:val="BodyText"/>
                  <w:spacing w:line="225" w:lineRule="exact"/>
                  <w:ind w:left="40" w:right="0"/>
                  <w:jc w:val="left"/>
                  <w:rPr>
                    <w:rFonts w:ascii="Arial" w:hAnsi="Arial" w:cs="Arial" w:eastAsia="Arial" w:hint="default"/>
                  </w:rPr>
                </w:pPr>
                <w:r>
                  <w:rPr>
                    <w:rFonts w:ascii="Arial"/>
                    <w:w w:val="100"/>
                  </w:rPr>
                </w:r>
                <w:r>
                  <w:rPr/>
                  <w:fldChar w:fldCharType="begin"/>
                </w:r>
                <w:r>
                  <w:rPr>
                    <w:rFonts w:ascii="Arial"/>
                  </w:rPr>
                  <w:instrText> PAGE </w:instrText>
                </w:r>
                <w:r>
                  <w:rPr/>
                  <w:fldChar w:fldCharType="separate"/>
                </w:r>
                <w:r>
                  <w:rPr/>
                  <w:t>75</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079987pt;margin-top:807.180359pt;width:15.2pt;height:12.05pt;mso-position-horizontal-relative:page;mso-position-vertical-relative:page;z-index:-1131664" type="#_x0000_t202" filled="false" stroked="false">
          <v:textbox inset="0,0,0,0">
            <w:txbxContent>
              <w:p>
                <w:pPr>
                  <w:pStyle w:val="BodyText"/>
                  <w:spacing w:line="225" w:lineRule="exact"/>
                  <w:ind w:left="40" w:right="0"/>
                  <w:jc w:val="left"/>
                  <w:rPr>
                    <w:rFonts w:ascii="Arial" w:hAnsi="Arial" w:cs="Arial" w:eastAsia="Arial" w:hint="default"/>
                  </w:rPr>
                </w:pPr>
                <w:r>
                  <w:rPr>
                    <w:rFonts w:ascii="Arial"/>
                    <w:w w:val="100"/>
                  </w:rPr>
                </w:r>
                <w:r>
                  <w:rPr/>
                  <w:fldChar w:fldCharType="begin"/>
                </w:r>
                <w:r>
                  <w:rPr>
                    <w:rFonts w:ascii="Arial"/>
                  </w:rPr>
                  <w:instrText> PAGE </w:instrText>
                </w:r>
                <w:r>
                  <w:rPr/>
                  <w:fldChar w:fldCharType="separate"/>
                </w:r>
                <w:r>
                  <w:rPr/>
                  <w:t>95</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596985pt;margin-top:794.668335pt;width:13pt;height:11pt;mso-position-horizontal-relative:page;mso-position-vertical-relative:page;z-index:-1132912"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34</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320007pt;margin-top:807.180359pt;width:18.75pt;height:12.05pt;mso-position-horizontal-relative:page;mso-position-vertical-relative:page;z-index:-1131592" type="#_x0000_t202" filled="false" stroked="false">
          <v:textbox inset="0,0,0,0">
            <w:txbxContent>
              <w:p>
                <w:pPr>
                  <w:pStyle w:val="BodyText"/>
                  <w:spacing w:line="225" w:lineRule="exact"/>
                  <w:ind w:left="20" w:right="0"/>
                  <w:jc w:val="left"/>
                  <w:rPr>
                    <w:rFonts w:ascii="Arial" w:hAnsi="Arial" w:cs="Arial" w:eastAsia="Arial" w:hint="default"/>
                  </w:rPr>
                </w:pPr>
                <w:r>
                  <w:rPr>
                    <w:rFonts w:ascii="Arial"/>
                  </w:rPr>
                  <w:t>100</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7.320007pt;margin-top:807.180359pt;width:20.75pt;height:12.05pt;mso-position-horizontal-relative:page;mso-position-vertical-relative:page;z-index:-1131568" type="#_x0000_t202" filled="false" stroked="false">
          <v:textbox inset="0,0,0,0">
            <w:txbxContent>
              <w:p>
                <w:pPr>
                  <w:pStyle w:val="BodyText"/>
                  <w:spacing w:line="225" w:lineRule="exact"/>
                  <w:ind w:left="40" w:right="0"/>
                  <w:jc w:val="left"/>
                  <w:rPr>
                    <w:rFonts w:ascii="Arial" w:hAnsi="Arial" w:cs="Arial" w:eastAsia="Arial" w:hint="default"/>
                  </w:rPr>
                </w:pPr>
                <w:r>
                  <w:rPr>
                    <w:rFonts w:ascii="Arial"/>
                    <w:w w:val="100"/>
                  </w:rPr>
                </w:r>
                <w:r>
                  <w:rPr/>
                  <w:fldChar w:fldCharType="begin"/>
                </w:r>
                <w:r>
                  <w:rPr>
                    <w:rFonts w:ascii="Arial"/>
                  </w:rPr>
                  <w:instrText> PAGE </w:instrText>
                </w:r>
                <w:r>
                  <w:rPr/>
                  <w:fldChar w:fldCharType="separate"/>
                </w:r>
                <w:r>
                  <w:rPr/>
                  <w:t>101</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421448pt;margin-top:796.440369pt;width:21.65pt;height:19.2pt;mso-position-horizontal-relative:page;mso-position-vertical-relative:page;z-index:-1131520" type="#_x0000_t202" filled="false" stroked="false">
          <v:textbox inset="0,0,0,0">
            <w:txbxContent>
              <w:p>
                <w:pPr>
                  <w:pStyle w:val="BodyText"/>
                  <w:spacing w:line="240" w:lineRule="auto" w:before="137"/>
                  <w:ind w:left="40" w:right="0"/>
                  <w:jc w:val="left"/>
                  <w:rPr>
                    <w:rFonts w:ascii="Arial" w:hAnsi="Arial" w:cs="Arial" w:eastAsia="Arial" w:hint="default"/>
                  </w:rPr>
                </w:pPr>
                <w:r>
                  <w:rPr>
                    <w:rFonts w:ascii="Arial"/>
                    <w:w w:val="100"/>
                  </w:rPr>
                </w:r>
                <w:r>
                  <w:rPr/>
                  <w:fldChar w:fldCharType="begin"/>
                </w:r>
                <w:r>
                  <w:rPr>
                    <w:rFonts w:ascii="Arial"/>
                  </w:rPr>
                  <w:instrText> PAGE </w:instrText>
                </w:r>
                <w:r>
                  <w:rPr/>
                  <w:fldChar w:fldCharType="separate"/>
                </w:r>
                <w:r>
                  <w:rPr/>
                  <w:t>118</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160004pt;margin-top:792.515869pt;width:17.05pt;height:12.05pt;mso-position-horizontal-relative:page;mso-position-vertical-relative:page;z-index:-1131400" type="#_x0000_t202" filled="false" stroked="false">
          <v:textbox inset="0,0,0,0">
            <w:txbxContent>
              <w:p>
                <w:pPr>
                  <w:pStyle w:val="BodyText"/>
                  <w:spacing w:line="220" w:lineRule="exact"/>
                  <w:ind w:left="20" w:right="0"/>
                  <w:jc w:val="left"/>
                  <w:rPr>
                    <w:rFonts w:ascii="MingLiU-ExtB" w:hAnsi="MingLiU-ExtB" w:cs="MingLiU-ExtB" w:eastAsia="MingLiU-ExtB" w:hint="default"/>
                  </w:rPr>
                </w:pPr>
                <w:r>
                  <w:rPr>
                    <w:rFonts w:ascii="MingLiU-ExtB"/>
                  </w:rPr>
                  <w:t>123</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7.323242pt;margin-top:811.742249pt;width:20.75pt;height:12.05pt;mso-position-horizontal-relative:page;mso-position-vertical-relative:page;z-index:-1131328" type="#_x0000_t202" filled="false" stroked="false">
          <v:textbox inset="0,0,0,0">
            <w:txbxContent>
              <w:p>
                <w:pPr>
                  <w:pStyle w:val="BodyText"/>
                  <w:spacing w:line="225" w:lineRule="exact"/>
                  <w:ind w:left="40" w:right="0"/>
                  <w:jc w:val="left"/>
                  <w:rPr>
                    <w:rFonts w:ascii="Arial" w:hAnsi="Arial" w:cs="Arial" w:eastAsia="Arial" w:hint="default"/>
                  </w:rPr>
                </w:pPr>
                <w:r>
                  <w:rPr>
                    <w:rFonts w:ascii="Arial"/>
                    <w:w w:val="100"/>
                  </w:rPr>
                </w:r>
                <w:r>
                  <w:rPr/>
                  <w:fldChar w:fldCharType="begin"/>
                </w:r>
                <w:r>
                  <w:rPr>
                    <w:rFonts w:ascii="Arial"/>
                  </w:rPr>
                  <w:instrText> PAGE </w:instrText>
                </w:r>
                <w:r>
                  <w:rPr/>
                  <w:fldChar w:fldCharType="separate"/>
                </w:r>
                <w:r>
                  <w:rPr/>
                  <w:t>124</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1.610504pt;margin-top:542.460632pt;width:18.75pt;height:12.05pt;mso-position-horizontal-relative:page;mso-position-vertical-relative:page;z-index:-1131256" type="#_x0000_t202" filled="false" stroked="false">
          <v:textbox inset="0,0,0,0">
            <w:txbxContent>
              <w:p>
                <w:pPr>
                  <w:pStyle w:val="BodyText"/>
                  <w:spacing w:line="225" w:lineRule="exact"/>
                  <w:ind w:left="20" w:right="0"/>
                  <w:jc w:val="left"/>
                  <w:rPr>
                    <w:rFonts w:ascii="Arial" w:hAnsi="Arial" w:cs="Arial" w:eastAsia="Arial" w:hint="default"/>
                  </w:rPr>
                </w:pPr>
                <w:r>
                  <w:rPr>
                    <w:rFonts w:ascii="Arial"/>
                  </w:rPr>
                  <w:t>138</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7.355347pt;margin-top:560.402222pt;width:18.75pt;height:12.05pt;mso-position-horizontal-relative:page;mso-position-vertical-relative:page;z-index:-1131232" type="#_x0000_t202" filled="false" stroked="false">
          <v:textbox inset="0,0,0,0">
            <w:txbxContent>
              <w:p>
                <w:pPr>
                  <w:pStyle w:val="BodyText"/>
                  <w:spacing w:line="225" w:lineRule="exact"/>
                  <w:ind w:left="20" w:right="0"/>
                  <w:jc w:val="left"/>
                  <w:rPr>
                    <w:rFonts w:ascii="Arial" w:hAnsi="Arial" w:cs="Arial" w:eastAsia="Arial" w:hint="default"/>
                  </w:rPr>
                </w:pPr>
                <w:r>
                  <w:rPr>
                    <w:rFonts w:ascii="Arial"/>
                  </w:rPr>
                  <w:t>139</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283.004608pt;margin-top:807.360352pt;width:25.05pt;height:12.4pt;mso-position-horizontal-relative:page;mso-position-vertical-relative:page;z-index:-1131160" type="#_x0000_t202" filled="false" stroked="false">
          <v:textbox inset="0,0,0,0">
            <w:txbxContent>
              <w:p>
                <w:pPr>
                  <w:pStyle w:val="BodyText"/>
                  <w:spacing w:line="240" w:lineRule="auto" w:before="2"/>
                  <w:ind w:left="40" w:right="0"/>
                  <w:jc w:val="left"/>
                  <w:rPr>
                    <w:rFonts w:ascii="Arial" w:hAnsi="Arial" w:cs="Arial" w:eastAsia="Arial" w:hint="default"/>
                  </w:rPr>
                </w:pPr>
                <w:r>
                  <w:rPr>
                    <w:rFonts w:ascii="Arial"/>
                    <w:w w:val="100"/>
                  </w:rPr>
                </w:r>
                <w:r>
                  <w:rPr/>
                  <w:fldChar w:fldCharType="begin"/>
                </w:r>
                <w:r>
                  <w:rPr>
                    <w:rFonts w:ascii="Arial"/>
                  </w:rPr>
                  <w:instrText> PAGE </w:instrText>
                </w:r>
                <w:r>
                  <w:rPr/>
                  <w:fldChar w:fldCharType="separate"/>
                </w:r>
                <w:r>
                  <w:rPr/>
                  <w:t>168</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596985pt;margin-top:794.668335pt;width:13pt;height:11pt;mso-position-horizontal-relative:page;mso-position-vertical-relative:page;z-index:-1132888"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35</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8pt;margin-top:743.243835pt;width:16pt;height:14pt;mso-position-horizontal-relative:page;mso-position-vertical-relative:page;z-index:-1130992"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10</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4pt;margin-top:792.563599pt;width:16pt;height:14pt;mso-position-horizontal-relative:page;mso-position-vertical-relative:page;z-index:-1130272"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22</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4pt;margin-top:792.563599pt;width:16pt;height:14pt;mso-position-horizontal-relative:page;mso-position-vertical-relative:page;z-index:-1130248"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23</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4pt;margin-top:792.563599pt;width:16pt;height:14pt;mso-position-horizontal-relative:page;mso-position-vertical-relative:page;z-index:-1130224"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24</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4pt;margin-top:792.563599pt;width:16pt;height:14pt;mso-position-horizontal-relative:page;mso-position-vertical-relative:page;z-index:-1130200"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25</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4pt;margin-top:792.563599pt;width:16pt;height:14pt;mso-position-horizontal-relative:page;mso-position-vertical-relative:page;z-index:-1130176"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26</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660004pt;margin-top:792.563599pt;width:16pt;height:14pt;mso-position-horizontal-relative:page;mso-position-vertical-relative:page;z-index:-1130104"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27</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660004pt;margin-top:792.563599pt;width:16pt;height:14pt;mso-position-horizontal-relative:page;mso-position-vertical-relative:page;z-index:-1130032"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30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660004pt;margin-top:792.563599pt;width:16pt;height:14pt;mso-position-horizontal-relative:page;mso-position-vertical-relative:page;z-index:-1130008"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31</w:t>
                </w:r>
                <w:r>
                  <w:rPr/>
                  <w:fldChar w:fldCharType="end"/>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8pt;margin-top:743.243835pt;width:16pt;height:14pt;mso-position-horizontal-relative:page;mso-position-vertical-relative:page;z-index:-1129936"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33</w:t>
                </w:r>
                <w:r>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8pt;margin-top:743.243835pt;width:16pt;height:14pt;mso-position-horizontal-relative:page;mso-position-vertical-relative:page;z-index:-1129864"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35</w:t>
                </w:r>
                <w:r>
                  <w:rPr/>
                  <w:fldChar w:fldCharType="end"/>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8pt;margin-top:743.243835pt;width:16pt;height:14pt;mso-position-horizontal-relative:page;mso-position-vertical-relative:page;z-index:-1129840"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36</w:t>
                </w:r>
                <w:r>
                  <w:rPr/>
                  <w:fldChar w:fldCharType="end"/>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8pt;margin-top:743.243835pt;width:16pt;height:14pt;mso-position-horizontal-relative:page;mso-position-vertical-relative:page;z-index:-1129816"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37</w:t>
                </w:r>
                <w:r>
                  <w:rPr/>
                  <w:fldChar w:fldCharType="end"/>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1pt;margin-top:729.383911pt;width:10pt;height:14pt;mso-position-horizontal-relative:page;mso-position-vertical-relative:page;z-index:-1129672" type="#_x0000_t202" filled="false" stroked="false">
          <v:textbox inset="0,0,0,0">
            <w:txbxContent>
              <w:p>
                <w:pPr>
                  <w:spacing w:line="265" w:lineRule="exact" w:before="0"/>
                  <w:ind w:left="40" w:right="0" w:firstLine="0"/>
                  <w:jc w:val="left"/>
                  <w:rPr>
                    <w:rFonts w:ascii="Times New Roman" w:hAnsi="Times New Roman" w:cs="Times New Roman" w:eastAsia="Times New Roman" w:hint="default"/>
                    <w:sz w:val="24"/>
                    <w:szCs w:val="24"/>
                  </w:rPr>
                </w:pPr>
                <w:r>
                  <w:rPr>
                    <w:rFonts w:ascii="Times New Roman"/>
                    <w:sz w:val="24"/>
                  </w:rPr>
                </w:r>
                <w:r>
                  <w:rPr/>
                  <w:fldChar w:fldCharType="begin"/>
                </w:r>
                <w:r>
                  <w:rPr>
                    <w:rFonts w:ascii="Times New Roman"/>
                    <w:sz w:val="24"/>
                  </w:rPr>
                  <w:instrText> PAGE </w:instrText>
                </w:r>
                <w:r>
                  <w:rPr/>
                  <w:fldChar w:fldCharType="separate"/>
                </w:r>
                <w:r>
                  <w:rPr/>
                  <w:t>1</w:t>
                </w:r>
                <w:r>
                  <w:rPr/>
                  <w:fldChar w:fldCharType="end"/>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80005pt;margin-top:782.242249pt;width:8.5pt;height:11pt;mso-position-horizontal-relative:page;mso-position-vertical-relative:page;z-index:-112962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w:t>
                </w:r>
                <w:r>
                  <w:rPr/>
                  <w:fldChar w:fldCharType="end"/>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80005pt;margin-top:782.242249pt;width:8.5pt;height:11pt;mso-position-horizontal-relative:page;mso-position-vertical-relative:page;z-index:-112960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3</w:t>
                </w:r>
                <w:r>
                  <w:rPr/>
                  <w:fldChar w:fldCharType="end"/>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80005pt;margin-top:782.242249pt;width:8.5pt;height:11pt;mso-position-horizontal-relative:page;mso-position-vertical-relative:page;z-index:-1129576"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4</w:t>
                </w:r>
                <w:r>
                  <w:rPr/>
                  <w:fldChar w:fldCharType="end"/>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80005pt;margin-top:782.242249pt;width:8.5pt;height:11pt;mso-position-horizontal-relative:page;mso-position-vertical-relative:page;z-index:-1129552"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5</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80005pt;margin-top:782.242249pt;width:8.5pt;height:11pt;mso-position-horizontal-relative:page;mso-position-vertical-relative:page;z-index:-1129528"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6</w:t>
                </w:r>
                <w:r>
                  <w:rPr/>
                  <w:fldChar w:fldCharType="end"/>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80005pt;margin-top:782.242249pt;width:8.5pt;height:11pt;mso-position-horizontal-relative:page;mso-position-vertical-relative:page;z-index:-112950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7</w:t>
                </w:r>
                <w:r>
                  <w:rPr/>
                  <w:fldChar w:fldCharType="end"/>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0.157013pt;margin-top:782.242249pt;width:13pt;height:11pt;mso-position-horizontal-relative:page;mso-position-vertical-relative:page;z-index:-112948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w:t>
                </w:r>
                <w:r>
                  <w:rPr/>
                  <w:fldChar w:fldCharType="end"/>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2.380005pt;margin-top:782.242249pt;width:8.5pt;height:11pt;mso-position-horizontal-relative:page;mso-position-vertical-relative:page;z-index:-1129456"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2</w:t>
                </w:r>
                <w:r>
                  <w:rPr/>
                  <w:fldChar w:fldCharType="end"/>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2.380005pt;margin-top:782.242249pt;width:8.5pt;height:11pt;mso-position-horizontal-relative:page;mso-position-vertical-relative:page;z-index:-1129432"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3</w:t>
                </w:r>
                <w:r>
                  <w:rPr/>
                  <w:fldChar w:fldCharType="end"/>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2.380005pt;margin-top:782.242249pt;width:8.5pt;height:11pt;mso-position-horizontal-relative:page;mso-position-vertical-relative:page;z-index:-1129408"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4</w:t>
                </w:r>
                <w:r>
                  <w:rPr/>
                  <w:fldChar w:fldCharType="end"/>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2.380005pt;margin-top:782.242249pt;width:8.5pt;height:11pt;mso-position-horizontal-relative:page;mso-position-vertical-relative:page;z-index:-112938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5</w:t>
                </w:r>
                <w:r>
                  <w:rPr/>
                  <w:fldChar w:fldCharType="end"/>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2.380005pt;margin-top:782.242249pt;width:8.5pt;height:11pt;mso-position-horizontal-relative:page;mso-position-vertical-relative:page;z-index:-112936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6</w:t>
                </w:r>
                <w:r>
                  <w:rPr/>
                  <w:fldChar w:fldCharType="end"/>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2.380005pt;margin-top:782.242249pt;width:8.5pt;height:11pt;mso-position-horizontal-relative:page;mso-position-vertical-relative:page;z-index:-1129336"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7</w:t>
                </w:r>
                <w:r>
                  <w:rPr/>
                  <w:fldChar w:fldCharType="end"/>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2.380005pt;margin-top:782.242249pt;width:8.5pt;height:11pt;mso-position-horizontal-relative:page;mso-position-vertical-relative:page;z-index:-1129312"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8</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2.380005pt;margin-top:782.242249pt;width:8.5pt;height:11pt;mso-position-horizontal-relative:page;mso-position-vertical-relative:page;z-index:-1129288"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9</w:t>
                </w:r>
                <w:r>
                  <w:rPr/>
                  <w:fldChar w:fldCharType="end"/>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0.157013pt;margin-top:782.242249pt;width:13pt;height:11pt;mso-position-horizontal-relative:page;mso-position-vertical-relative:page;z-index:-112926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w:t>
                </w:r>
                <w:r>
                  <w:rPr/>
                  <w:fldChar w:fldCharType="end"/>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036987pt;margin-top:794.668335pt;width:13pt;height:11pt;mso-position-horizontal-relative:page;mso-position-vertical-relative:page;z-index:-1132792"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53</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039993pt;margin-top:35.999695pt;width:110.999985pt;height:13.619995pt;mso-position-horizontal-relative:page;mso-position-vertical-relative:page;z-index:-1133032" type="#_x0000_t75" stroked="false">
          <v:imagedata r:id="rId1" o:title=""/>
        </v:shape>
      </w:pict>
    </w:r>
    <w:r>
      <w:rPr/>
      <w:pict>
        <v:group style="position:absolute;margin-left:66.540001pt;margin-top:54.060001pt;width:465.15pt;height:.1pt;mso-position-horizontal-relative:page;mso-position-vertical-relative:page;z-index:-1133008" coordorigin="1331,1081" coordsize="9303,2">
          <v:shape style="position:absolute;left:1331;top:1081;width:9303;height:2" coordorigin="1331,1081" coordsize="9303,0" path="m1331,1081l10633,1081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448.040009pt;margin-top:39.596264pt;width:78.2pt;height:12.5pt;mso-position-horizontal-relative:page;mso-position-vertical-relative:page;z-index:-1132984"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5.019997pt;margin-top:126.599998pt;width:423pt;height:.1pt;mso-position-horizontal-relative:page;mso-position-vertical-relative:page;z-index:-1132696" coordorigin="1700,2532" coordsize="8460,2">
          <v:shape style="position:absolute;left:1700;top:2532;width:8460;height:2" coordorigin="1700,2532" coordsize="8460,0" path="m1700,2532l10160,2532e" filled="false" stroked="true" strokeweight=".75pt" strokecolor="#000000">
            <v:path arrowok="t"/>
          </v:shape>
          <w10:wrap type="none"/>
        </v:group>
      </w:pict>
    </w:r>
    <w:r>
      <w:rPr/>
      <w:pict>
        <v:shape style="position:absolute;margin-left:241.520004pt;margin-top:46.923763pt;width:112.45pt;height:67pt;mso-position-horizontal-relative:page;mso-position-vertical-relative:page;z-index:-1132672" type="#_x0000_t202" filled="false" stroked="false">
          <v:textbox inset="0,0,0,0">
            <w:txbxContent>
              <w:p>
                <w:pPr>
                  <w:spacing w:line="240"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合并资产负债表(续)</w:t>
                </w:r>
                <w:r>
                  <w:rPr>
                    <w:rFonts w:ascii="黑体" w:hAnsi="黑体" w:cs="黑体" w:eastAsia="黑体" w:hint="default"/>
                    <w:sz w:val="22"/>
                    <w:szCs w:val="22"/>
                  </w:rPr>
                </w:r>
              </w:p>
              <w:p>
                <w:pPr>
                  <w:spacing w:before="72"/>
                  <w:ind w:left="0" w:right="1"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Arial" w:hAnsi="Arial" w:cs="Arial" w:eastAsia="Arial" w:hint="default"/>
                    <w:b/>
                    <w:bCs/>
                    <w:spacing w:val="-8"/>
                    <w:sz w:val="22"/>
                    <w:szCs w:val="22"/>
                  </w:rPr>
                  <w:t> </w:t>
                </w:r>
                <w:r>
                  <w:rPr>
                    <w:rFonts w:ascii="黑体" w:hAnsi="黑体" w:cs="黑体" w:eastAsia="黑体" w:hint="default"/>
                    <w:b/>
                    <w:bCs/>
                    <w:sz w:val="22"/>
                    <w:szCs w:val="22"/>
                  </w:rPr>
                  <w:t>年</w:t>
                </w:r>
                <w:r>
                  <w:rPr>
                    <w:rFonts w:ascii="黑体" w:hAnsi="黑体" w:cs="黑体" w:eastAsia="黑体" w:hint="default"/>
                    <w:b/>
                    <w:bCs/>
                    <w:spacing w:val="-57"/>
                    <w:sz w:val="22"/>
                    <w:szCs w:val="22"/>
                  </w:rPr>
                  <w:t> </w:t>
                </w:r>
                <w:r>
                  <w:rPr>
                    <w:rFonts w:ascii="Arial" w:hAnsi="Arial" w:cs="Arial" w:eastAsia="Arial" w:hint="default"/>
                    <w:b/>
                    <w:bCs/>
                    <w:sz w:val="22"/>
                    <w:szCs w:val="22"/>
                  </w:rPr>
                  <w:t>12</w:t>
                </w:r>
                <w:r>
                  <w:rPr>
                    <w:rFonts w:ascii="Arial" w:hAnsi="Arial" w:cs="Arial" w:eastAsia="Arial" w:hint="default"/>
                    <w:b/>
                    <w:bCs/>
                    <w:spacing w:val="-8"/>
                    <w:sz w:val="22"/>
                    <w:szCs w:val="22"/>
                  </w:rPr>
                  <w:t> </w:t>
                </w:r>
                <w:r>
                  <w:rPr>
                    <w:rFonts w:ascii="黑体" w:hAnsi="黑体" w:cs="黑体" w:eastAsia="黑体" w:hint="default"/>
                    <w:b/>
                    <w:bCs/>
                    <w:sz w:val="22"/>
                    <w:szCs w:val="22"/>
                  </w:rPr>
                  <w:t>月</w:t>
                </w:r>
                <w:r>
                  <w:rPr>
                    <w:rFonts w:ascii="黑体" w:hAnsi="黑体" w:cs="黑体" w:eastAsia="黑体" w:hint="default"/>
                    <w:b/>
                    <w:bCs/>
                    <w:spacing w:val="-57"/>
                    <w:sz w:val="22"/>
                    <w:szCs w:val="22"/>
                  </w:rPr>
                  <w:t> </w:t>
                </w:r>
                <w:r>
                  <w:rPr>
                    <w:rFonts w:ascii="Arial" w:hAnsi="Arial" w:cs="Arial" w:eastAsia="Arial" w:hint="default"/>
                    <w:b/>
                    <w:bCs/>
                    <w:sz w:val="22"/>
                    <w:szCs w:val="22"/>
                  </w:rPr>
                  <w:t>31</w:t>
                </w:r>
                <w:r>
                  <w:rPr>
                    <w:rFonts w:ascii="Arial" w:hAnsi="Arial" w:cs="Arial" w:eastAsia="Arial" w:hint="default"/>
                    <w:b/>
                    <w:bCs/>
                    <w:spacing w:val="-8"/>
                    <w:sz w:val="22"/>
                    <w:szCs w:val="22"/>
                  </w:rPr>
                  <w:t> </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5.019997pt;margin-top:126.599998pt;width:423pt;height:.1pt;mso-position-horizontal-relative:page;mso-position-vertical-relative:page;z-index:-1132648" coordorigin="1700,2532" coordsize="8460,2">
          <v:shape style="position:absolute;left:1700;top:2532;width:8460;height:2" coordorigin="1700,2532" coordsize="8460,0" path="m1700,2532l10160,2532e" filled="false" stroked="true" strokeweight=".75pt" strokecolor="#000000">
            <v:path arrowok="t"/>
          </v:shape>
          <w10:wrap type="none"/>
        </v:group>
      </w:pict>
    </w:r>
    <w:r>
      <w:rPr/>
      <w:pict>
        <v:shape style="position:absolute;margin-left:241.520004pt;margin-top:46.923763pt;width:112.45pt;height:67pt;mso-position-horizontal-relative:page;mso-position-vertical-relative:page;z-index:-1132624" type="#_x0000_t202" filled="false" stroked="false">
          <v:textbox inset="0,0,0,0">
            <w:txbxContent>
              <w:p>
                <w:pPr>
                  <w:spacing w:line="240"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合并利润表</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Arial" w:hAnsi="Arial" w:cs="Arial" w:eastAsia="Arial" w:hint="default"/>
                    <w:b/>
                    <w:bCs/>
                    <w:spacing w:val="-8"/>
                    <w:sz w:val="22"/>
                    <w:szCs w:val="22"/>
                  </w:rPr>
                  <w:t> </w:t>
                </w:r>
                <w:r>
                  <w:rPr>
                    <w:rFonts w:ascii="黑体" w:hAnsi="黑体" w:cs="黑体" w:eastAsia="黑体" w:hint="default"/>
                    <w:b/>
                    <w:bCs/>
                    <w:sz w:val="22"/>
                    <w:szCs w:val="22"/>
                  </w:rPr>
                  <w:t>年</w:t>
                </w:r>
                <w:r>
                  <w:rPr>
                    <w:rFonts w:ascii="黑体" w:hAnsi="黑体" w:cs="黑体" w:eastAsia="黑体" w:hint="default"/>
                    <w:b/>
                    <w:bCs/>
                    <w:spacing w:val="-57"/>
                    <w:sz w:val="22"/>
                    <w:szCs w:val="22"/>
                  </w:rPr>
                  <w:t> </w:t>
                </w:r>
                <w:r>
                  <w:rPr>
                    <w:rFonts w:ascii="Arial" w:hAnsi="Arial" w:cs="Arial" w:eastAsia="Arial" w:hint="default"/>
                    <w:b/>
                    <w:bCs/>
                    <w:sz w:val="22"/>
                    <w:szCs w:val="22"/>
                  </w:rPr>
                  <w:t>12</w:t>
                </w:r>
                <w:r>
                  <w:rPr>
                    <w:rFonts w:ascii="Arial" w:hAnsi="Arial" w:cs="Arial" w:eastAsia="Arial" w:hint="default"/>
                    <w:b/>
                    <w:bCs/>
                    <w:spacing w:val="-8"/>
                    <w:sz w:val="22"/>
                    <w:szCs w:val="22"/>
                  </w:rPr>
                  <w:t> </w:t>
                </w:r>
                <w:r>
                  <w:rPr>
                    <w:rFonts w:ascii="黑体" w:hAnsi="黑体" w:cs="黑体" w:eastAsia="黑体" w:hint="default"/>
                    <w:b/>
                    <w:bCs/>
                    <w:sz w:val="22"/>
                    <w:szCs w:val="22"/>
                  </w:rPr>
                  <w:t>月</w:t>
                </w:r>
                <w:r>
                  <w:rPr>
                    <w:rFonts w:ascii="黑体" w:hAnsi="黑体" w:cs="黑体" w:eastAsia="黑体" w:hint="default"/>
                    <w:b/>
                    <w:bCs/>
                    <w:spacing w:val="-57"/>
                    <w:sz w:val="22"/>
                    <w:szCs w:val="22"/>
                  </w:rPr>
                  <w:t> </w:t>
                </w:r>
                <w:r>
                  <w:rPr>
                    <w:rFonts w:ascii="Arial" w:hAnsi="Arial" w:cs="Arial" w:eastAsia="Arial" w:hint="default"/>
                    <w:b/>
                    <w:bCs/>
                    <w:sz w:val="22"/>
                    <w:szCs w:val="22"/>
                  </w:rPr>
                  <w:t>31</w:t>
                </w:r>
                <w:r>
                  <w:rPr>
                    <w:rFonts w:ascii="Arial" w:hAnsi="Arial" w:cs="Arial" w:eastAsia="Arial" w:hint="default"/>
                    <w:b/>
                    <w:bCs/>
                    <w:spacing w:val="-8"/>
                    <w:sz w:val="22"/>
                    <w:szCs w:val="22"/>
                  </w:rPr>
                  <w:t> </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4.750488pt;margin-top:46.924065pt;width:112.45pt;height:13pt;mso-position-horizontal-relative:page;mso-position-vertical-relative:page;z-index:-1132600"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5.019997pt;margin-top:126.599998pt;width:428.2pt;height:.1pt;mso-position-horizontal-relative:page;mso-position-vertical-relative:page;z-index:-1132552" coordorigin="1700,2532" coordsize="8564,2">
          <v:shape style="position:absolute;left:1700;top:2532;width:8564;height:2" coordorigin="1700,2532" coordsize="8564,0" path="m1700,2532l10264,2532e" filled="false" stroked="true" strokeweight=".75pt" strokecolor="#000000">
            <v:path arrowok="t"/>
          </v:shape>
          <w10:wrap type="none"/>
        </v:group>
      </w:pict>
    </w:r>
    <w:r>
      <w:rPr/>
      <w:pict>
        <v:shape style="position:absolute;margin-left:241.520004pt;margin-top:46.923763pt;width:112.45pt;height:67pt;mso-position-horizontal-relative:page;mso-position-vertical-relative:page;z-index:-1132528" type="#_x0000_t202" filled="false" stroked="false">
          <v:textbox inset="0,0,0,0">
            <w:txbxContent>
              <w:p>
                <w:pPr>
                  <w:spacing w:line="240"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line="360" w:lineRule="exact" w:before="41"/>
                  <w:ind w:left="351" w:right="349" w:firstLine="0"/>
                  <w:jc w:val="center"/>
                  <w:rPr>
                    <w:rFonts w:ascii="黑体" w:hAnsi="黑体" w:cs="黑体" w:eastAsia="黑体" w:hint="default"/>
                    <w:sz w:val="22"/>
                    <w:szCs w:val="22"/>
                  </w:rPr>
                </w:pPr>
                <w:r>
                  <w:rPr>
                    <w:rFonts w:ascii="黑体" w:hAnsi="黑体" w:cs="黑体" w:eastAsia="黑体" w:hint="default"/>
                    <w:b/>
                    <w:bCs/>
                    <w:w w:val="95"/>
                    <w:sz w:val="22"/>
                    <w:szCs w:val="22"/>
                  </w:rPr>
                  <w:t>合并现金流量表</w:t>
                </w:r>
                <w:r>
                  <w:rPr>
                    <w:rFonts w:ascii="黑体" w:hAnsi="黑体" w:cs="黑体" w:eastAsia="黑体" w:hint="default"/>
                    <w:b/>
                    <w:bCs/>
                    <w:spacing w:val="-33"/>
                    <w:w w:val="95"/>
                    <w:sz w:val="22"/>
                    <w:szCs w:val="22"/>
                  </w:rPr>
                  <w:t> </w:t>
                </w:r>
                <w:r>
                  <w:rPr>
                    <w:rFonts w:ascii="Arial" w:hAnsi="Arial" w:cs="Arial" w:eastAsia="Arial" w:hint="default"/>
                    <w:b/>
                    <w:bCs/>
                    <w:sz w:val="22"/>
                    <w:szCs w:val="22"/>
                  </w:rPr>
                  <w:t>2009</w:t>
                </w:r>
                <w:r>
                  <w:rPr>
                    <w:rFonts w:ascii="Arial" w:hAnsi="Arial" w:cs="Arial" w:eastAsia="Arial" w:hint="default"/>
                    <w:b/>
                    <w:bCs/>
                    <w:spacing w:val="-7"/>
                    <w:sz w:val="22"/>
                    <w:szCs w:val="22"/>
                  </w:rPr>
                  <w:t> </w:t>
                </w:r>
                <w:r>
                  <w:rPr>
                    <w:rFonts w:ascii="黑体" w:hAnsi="黑体" w:cs="黑体" w:eastAsia="黑体" w:hint="default"/>
                    <w:b/>
                    <w:bCs/>
                    <w:sz w:val="22"/>
                    <w:szCs w:val="22"/>
                  </w:rPr>
                  <w:t>年度</w:t>
                </w:r>
                <w:r>
                  <w:rPr>
                    <w:rFonts w:ascii="黑体" w:hAnsi="黑体" w:cs="黑体" w:eastAsia="黑体" w:hint="default"/>
                    <w:b/>
                    <w:bCs/>
                    <w:spacing w:val="1"/>
                    <w:w w:val="99"/>
                    <w:sz w:val="22"/>
                    <w:szCs w:val="22"/>
                  </w:rPr>
                  <w:t> </w:t>
                </w: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5.019997pt;margin-top:126.599998pt;width:429.7pt;height:.1pt;mso-position-horizontal-relative:page;mso-position-vertical-relative:page;z-index:-1132480" coordorigin="1700,2532" coordsize="8594,2">
          <v:shape style="position:absolute;left:1700;top:2532;width:8594;height:2" coordorigin="1700,2532" coordsize="8594,0" path="m1700,2532l10294,2532e" filled="false" stroked="true" strokeweight=".75pt" strokecolor="#000000">
            <v:path arrowok="t"/>
          </v:shape>
          <w10:wrap type="none"/>
        </v:group>
      </w:pict>
    </w:r>
    <w:r>
      <w:rPr/>
      <w:pict>
        <v:shape style="position:absolute;margin-left:241.520004pt;margin-top:46.923763pt;width:112.45pt;height:67pt;mso-position-horizontal-relative:page;mso-position-vertical-relative:page;z-index:-1132456" type="#_x0000_t202" filled="false" stroked="false">
          <v:textbox inset="0,0,0,0">
            <w:txbxContent>
              <w:p>
                <w:pPr>
                  <w:spacing w:line="240" w:lineRule="exact" w:before="0"/>
                  <w:ind w:left="129" w:right="0" w:hanging="110"/>
                  <w:jc w:val="left"/>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line="360" w:lineRule="exact" w:before="41"/>
                  <w:ind w:left="630" w:right="127" w:hanging="502"/>
                  <w:jc w:val="left"/>
                  <w:rPr>
                    <w:rFonts w:ascii="黑体" w:hAnsi="黑体" w:cs="黑体" w:eastAsia="黑体" w:hint="default"/>
                    <w:sz w:val="22"/>
                    <w:szCs w:val="22"/>
                  </w:rPr>
                </w:pPr>
                <w:r>
                  <w:rPr>
                    <w:rFonts w:ascii="黑体" w:hAnsi="黑体" w:cs="黑体" w:eastAsia="黑体" w:hint="default"/>
                    <w:b/>
                    <w:bCs/>
                    <w:sz w:val="22"/>
                    <w:szCs w:val="22"/>
                  </w:rPr>
                  <w:t>合并现金流量表(续)</w:t>
                </w:r>
                <w:r>
                  <w:rPr>
                    <w:rFonts w:ascii="黑体" w:hAnsi="黑体" w:cs="黑体" w:eastAsia="黑体" w:hint="default"/>
                    <w:b/>
                    <w:bCs/>
                    <w:spacing w:val="1"/>
                    <w:w w:val="99"/>
                    <w:sz w:val="22"/>
                    <w:szCs w:val="22"/>
                  </w:rPr>
                  <w:t> </w:t>
                </w:r>
                <w:r>
                  <w:rPr>
                    <w:rFonts w:ascii="Arial" w:hAnsi="Arial" w:cs="Arial" w:eastAsia="Arial" w:hint="default"/>
                    <w:b/>
                    <w:bCs/>
                    <w:sz w:val="22"/>
                    <w:szCs w:val="22"/>
                  </w:rPr>
                  <w:t>2009</w:t>
                </w:r>
                <w:r>
                  <w:rPr>
                    <w:rFonts w:ascii="Arial" w:hAnsi="Arial" w:cs="Arial" w:eastAsia="Arial" w:hint="default"/>
                    <w:b/>
                    <w:bCs/>
                    <w:spacing w:val="-7"/>
                    <w:sz w:val="22"/>
                    <w:szCs w:val="22"/>
                  </w:rPr>
                  <w:t> </w:t>
                </w:r>
                <w:r>
                  <w:rPr>
                    <w:rFonts w:ascii="黑体" w:hAnsi="黑体" w:cs="黑体" w:eastAsia="黑体" w:hint="default"/>
                    <w:b/>
                    <w:bCs/>
                    <w:sz w:val="22"/>
                    <w:szCs w:val="22"/>
                  </w:rPr>
                  <w:t>年度</w:t>
                </w:r>
                <w:r>
                  <w:rPr>
                    <w:rFonts w:ascii="黑体" w:hAnsi="黑体" w:cs="黑体" w:eastAsia="黑体" w:hint="default"/>
                    <w:b/>
                    <w:bCs/>
                    <w:spacing w:val="1"/>
                    <w:w w:val="99"/>
                    <w:sz w:val="22"/>
                    <w:szCs w:val="22"/>
                  </w:rPr>
                  <w:t> </w:t>
                </w: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5.019997pt;margin-top:126.599998pt;width:429.7pt;height:.1pt;mso-position-horizontal-relative:page;mso-position-vertical-relative:page;z-index:-1132432" coordorigin="1700,2532" coordsize="8594,2">
          <v:shape style="position:absolute;left:1700;top:2532;width:8594;height:2" coordorigin="1700,2532" coordsize="8594,0" path="m1700,2532l10294,2532e" filled="false" stroked="true" strokeweight=".75pt" strokecolor="#000000">
            <v:path arrowok="t"/>
          </v:shape>
          <w10:wrap type="none"/>
        </v:group>
      </w:pict>
    </w:r>
    <w:r>
      <w:rPr/>
      <w:pict>
        <v:shape style="position:absolute;margin-left:241.520004pt;margin-top:46.923763pt;width:112.45pt;height:67pt;mso-position-horizontal-relative:page;mso-position-vertical-relative:page;z-index:-1132408" type="#_x0000_t202" filled="false" stroked="false">
          <v:textbox inset="0,0,0,0">
            <w:txbxContent>
              <w:p>
                <w:pPr>
                  <w:spacing w:line="240"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line="360" w:lineRule="exact" w:before="41"/>
                  <w:ind w:left="351" w:right="349" w:firstLine="0"/>
                  <w:jc w:val="center"/>
                  <w:rPr>
                    <w:rFonts w:ascii="黑体" w:hAnsi="黑体" w:cs="黑体" w:eastAsia="黑体" w:hint="default"/>
                    <w:sz w:val="22"/>
                    <w:szCs w:val="22"/>
                  </w:rPr>
                </w:pPr>
                <w:r>
                  <w:rPr>
                    <w:rFonts w:ascii="黑体" w:hAnsi="黑体" w:cs="黑体" w:eastAsia="黑体" w:hint="default"/>
                    <w:b/>
                    <w:bCs/>
                    <w:w w:val="95"/>
                    <w:sz w:val="22"/>
                    <w:szCs w:val="22"/>
                  </w:rPr>
                  <w:t>公司资产负债表</w:t>
                </w:r>
                <w:r>
                  <w:rPr>
                    <w:rFonts w:ascii="黑体" w:hAnsi="黑体" w:cs="黑体" w:eastAsia="黑体" w:hint="default"/>
                    <w:b/>
                    <w:bCs/>
                    <w:spacing w:val="-33"/>
                    <w:w w:val="95"/>
                    <w:sz w:val="22"/>
                    <w:szCs w:val="22"/>
                  </w:rPr>
                  <w:t> </w:t>
                </w:r>
                <w:r>
                  <w:rPr>
                    <w:rFonts w:ascii="Arial" w:hAnsi="Arial" w:cs="Arial" w:eastAsia="Arial" w:hint="default"/>
                    <w:b/>
                    <w:bCs/>
                    <w:sz w:val="22"/>
                    <w:szCs w:val="22"/>
                  </w:rPr>
                  <w:t>2009</w:t>
                </w:r>
                <w:r>
                  <w:rPr>
                    <w:rFonts w:ascii="Arial" w:hAnsi="Arial" w:cs="Arial" w:eastAsia="Arial" w:hint="default"/>
                    <w:b/>
                    <w:bCs/>
                    <w:spacing w:val="-7"/>
                    <w:sz w:val="22"/>
                    <w:szCs w:val="22"/>
                  </w:rPr>
                  <w:t> </w:t>
                </w:r>
                <w:r>
                  <w:rPr>
                    <w:rFonts w:ascii="黑体" w:hAnsi="黑体" w:cs="黑体" w:eastAsia="黑体" w:hint="default"/>
                    <w:b/>
                    <w:bCs/>
                    <w:sz w:val="22"/>
                    <w:szCs w:val="22"/>
                  </w:rPr>
                  <w:t>年度</w:t>
                </w:r>
                <w:r>
                  <w:rPr>
                    <w:rFonts w:ascii="黑体" w:hAnsi="黑体" w:cs="黑体" w:eastAsia="黑体" w:hint="default"/>
                    <w:b/>
                    <w:bCs/>
                    <w:spacing w:val="1"/>
                    <w:w w:val="99"/>
                    <w:sz w:val="22"/>
                    <w:szCs w:val="22"/>
                  </w:rPr>
                  <w:t> </w:t>
                </w: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2.68pt;margin-top:126.599998pt;width:429.8pt;height:.1pt;mso-position-horizontal-relative:page;mso-position-vertical-relative:page;z-index:-1132384" coordorigin="1654,2532" coordsize="8596,2">
          <v:shape style="position:absolute;left:1654;top:2532;width:8596;height:2" coordorigin="1654,2532" coordsize="8596,0" path="m1654,2532l10249,2532e" filled="false" stroked="true" strokeweight=".75pt" strokecolor="#000000">
            <v:path arrowok="t"/>
          </v:shape>
          <w10:wrap type="none"/>
        </v:group>
      </w:pict>
    </w:r>
    <w:r>
      <w:rPr/>
      <w:pict>
        <v:shape style="position:absolute;margin-left:241.520004pt;margin-top:46.923763pt;width:112.45pt;height:67pt;mso-position-horizontal-relative:page;mso-position-vertical-relative:page;z-index:-1132360" type="#_x0000_t202" filled="false" stroked="false">
          <v:textbox inset="0,0,0,0">
            <w:txbxContent>
              <w:p>
                <w:pPr>
                  <w:spacing w:line="240" w:lineRule="exact" w:before="0"/>
                  <w:ind w:left="129" w:right="0" w:hanging="110"/>
                  <w:jc w:val="left"/>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line="360" w:lineRule="exact" w:before="41"/>
                  <w:ind w:left="630" w:right="127" w:hanging="502"/>
                  <w:jc w:val="left"/>
                  <w:rPr>
                    <w:rFonts w:ascii="黑体" w:hAnsi="黑体" w:cs="黑体" w:eastAsia="黑体" w:hint="default"/>
                    <w:sz w:val="22"/>
                    <w:szCs w:val="22"/>
                  </w:rPr>
                </w:pPr>
                <w:r>
                  <w:rPr>
                    <w:rFonts w:ascii="黑体" w:hAnsi="黑体" w:cs="黑体" w:eastAsia="黑体" w:hint="default"/>
                    <w:b/>
                    <w:bCs/>
                    <w:sz w:val="22"/>
                    <w:szCs w:val="22"/>
                  </w:rPr>
                  <w:t>公司资产负债表(续)</w:t>
                </w:r>
                <w:r>
                  <w:rPr>
                    <w:rFonts w:ascii="黑体" w:hAnsi="黑体" w:cs="黑体" w:eastAsia="黑体" w:hint="default"/>
                    <w:b/>
                    <w:bCs/>
                    <w:spacing w:val="1"/>
                    <w:w w:val="99"/>
                    <w:sz w:val="22"/>
                    <w:szCs w:val="22"/>
                  </w:rPr>
                  <w:t> </w:t>
                </w:r>
                <w:r>
                  <w:rPr>
                    <w:rFonts w:ascii="Arial" w:hAnsi="Arial" w:cs="Arial" w:eastAsia="Arial" w:hint="default"/>
                    <w:b/>
                    <w:bCs/>
                    <w:sz w:val="22"/>
                    <w:szCs w:val="22"/>
                  </w:rPr>
                  <w:t>2009</w:t>
                </w:r>
                <w:r>
                  <w:rPr>
                    <w:rFonts w:ascii="Arial" w:hAnsi="Arial" w:cs="Arial" w:eastAsia="Arial" w:hint="default"/>
                    <w:b/>
                    <w:bCs/>
                    <w:spacing w:val="-7"/>
                    <w:sz w:val="22"/>
                    <w:szCs w:val="22"/>
                  </w:rPr>
                  <w:t> </w:t>
                </w:r>
                <w:r>
                  <w:rPr>
                    <w:rFonts w:ascii="黑体" w:hAnsi="黑体" w:cs="黑体" w:eastAsia="黑体" w:hint="default"/>
                    <w:b/>
                    <w:bCs/>
                    <w:sz w:val="22"/>
                    <w:szCs w:val="22"/>
                  </w:rPr>
                  <w:t>年度</w:t>
                </w:r>
                <w:r>
                  <w:rPr>
                    <w:rFonts w:ascii="黑体" w:hAnsi="黑体" w:cs="黑体" w:eastAsia="黑体" w:hint="default"/>
                    <w:b/>
                    <w:bCs/>
                    <w:spacing w:val="1"/>
                    <w:w w:val="99"/>
                    <w:sz w:val="22"/>
                    <w:szCs w:val="22"/>
                  </w:rPr>
                  <w:t> </w:t>
                </w: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5.019997pt;margin-top:126.599998pt;width:429.7pt;height:.1pt;mso-position-horizontal-relative:page;mso-position-vertical-relative:page;z-index:-1132336" coordorigin="1700,2532" coordsize="8594,2">
          <v:shape style="position:absolute;left:1700;top:2532;width:8594;height:2" coordorigin="1700,2532" coordsize="8594,0" path="m1700,2532l10294,2532e" filled="false" stroked="true" strokeweight=".75pt" strokecolor="#000000">
            <v:path arrowok="t"/>
          </v:shape>
          <w10:wrap type="none"/>
        </v:group>
      </w:pict>
    </w:r>
    <w:r>
      <w:rPr/>
      <w:pict>
        <v:shape style="position:absolute;margin-left:241.520004pt;margin-top:46.923763pt;width:112.45pt;height:67pt;mso-position-horizontal-relative:page;mso-position-vertical-relative:page;z-index:-1132312" type="#_x0000_t202" filled="false" stroked="false">
          <v:textbox inset="0,0,0,0">
            <w:txbxContent>
              <w:p>
                <w:pPr>
                  <w:spacing w:line="240" w:lineRule="exact" w:before="0"/>
                  <w:ind w:left="572" w:right="0" w:hanging="553"/>
                  <w:jc w:val="left"/>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line="360" w:lineRule="exact" w:before="41"/>
                  <w:ind w:left="630" w:right="569" w:hanging="59"/>
                  <w:jc w:val="both"/>
                  <w:rPr>
                    <w:rFonts w:ascii="黑体" w:hAnsi="黑体" w:cs="黑体" w:eastAsia="黑体" w:hint="default"/>
                    <w:sz w:val="22"/>
                    <w:szCs w:val="22"/>
                  </w:rPr>
                </w:pPr>
                <w:r>
                  <w:rPr>
                    <w:rFonts w:ascii="黑体" w:hAnsi="黑体" w:cs="黑体" w:eastAsia="黑体" w:hint="default"/>
                    <w:b/>
                    <w:bCs/>
                    <w:sz w:val="22"/>
                    <w:szCs w:val="22"/>
                  </w:rPr>
                  <w:t>公司利润表</w:t>
                </w:r>
                <w:r>
                  <w:rPr>
                    <w:rFonts w:ascii="黑体" w:hAnsi="黑体" w:cs="黑体" w:eastAsia="黑体" w:hint="default"/>
                    <w:b/>
                    <w:bCs/>
                    <w:spacing w:val="1"/>
                    <w:w w:val="99"/>
                    <w:sz w:val="22"/>
                    <w:szCs w:val="22"/>
                  </w:rPr>
                  <w:t> </w:t>
                </w:r>
                <w:r>
                  <w:rPr>
                    <w:rFonts w:ascii="Arial" w:hAnsi="Arial" w:cs="Arial" w:eastAsia="Arial" w:hint="default"/>
                    <w:b/>
                    <w:bCs/>
                    <w:sz w:val="22"/>
                    <w:szCs w:val="22"/>
                  </w:rPr>
                  <w:t>2009</w:t>
                </w:r>
                <w:r>
                  <w:rPr>
                    <w:rFonts w:ascii="Arial" w:hAnsi="Arial" w:cs="Arial" w:eastAsia="Arial" w:hint="default"/>
                    <w:b/>
                    <w:bCs/>
                    <w:spacing w:val="-7"/>
                    <w:sz w:val="22"/>
                    <w:szCs w:val="22"/>
                  </w:rPr>
                  <w:t> </w:t>
                </w:r>
                <w:r>
                  <w:rPr>
                    <w:rFonts w:ascii="黑体" w:hAnsi="黑体" w:cs="黑体" w:eastAsia="黑体" w:hint="default"/>
                    <w:b/>
                    <w:bCs/>
                    <w:sz w:val="22"/>
                    <w:szCs w:val="22"/>
                  </w:rPr>
                  <w:t>年度</w:t>
                </w:r>
                <w:r>
                  <w:rPr>
                    <w:rFonts w:ascii="黑体" w:hAnsi="黑体" w:cs="黑体" w:eastAsia="黑体" w:hint="default"/>
                    <w:b/>
                    <w:bCs/>
                    <w:spacing w:val="1"/>
                    <w:w w:val="99"/>
                    <w:sz w:val="22"/>
                    <w:szCs w:val="22"/>
                  </w:rPr>
                  <w:t> </w:t>
                </w: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910999pt;margin-top:129.720001pt;width:729.9pt;height:.9pt;mso-position-horizontal-relative:page;mso-position-vertical-relative:page;z-index:-1132288" coordorigin="1118,2594" coordsize="14598,18">
          <v:shape style="position:absolute;left:1118;top:2594;width:14598;height:18" coordorigin="1118,2594" coordsize="14598,18" path="m1118,2612l15716,2594e" filled="false" stroked="true" strokeweight=".75pt" strokecolor="#000000">
            <v:path arrowok="t"/>
          </v:shape>
          <w10:wrap type="none"/>
        </v:group>
      </w:pict>
    </w:r>
    <w:r>
      <w:rPr/>
      <w:pict>
        <v:shape style="position:absolute;margin-left:359.172668pt;margin-top:46.924065pt;width:123.6pt;height:67pt;mso-position-horizontal-relative:page;mso-position-vertical-relative:page;z-index:-1132264" type="#_x0000_t202" filled="false" stroked="false">
          <v:textbox inset="0,0,0,0">
            <w:txbxContent>
              <w:p>
                <w:pPr>
                  <w:spacing w:line="240" w:lineRule="exact" w:before="0"/>
                  <w:ind w:left="20" w:right="0" w:firstLine="111"/>
                  <w:jc w:val="left"/>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line="360" w:lineRule="exact" w:before="41"/>
                  <w:ind w:left="742" w:right="18" w:hanging="723"/>
                  <w:jc w:val="left"/>
                  <w:rPr>
                    <w:rFonts w:ascii="黑体" w:hAnsi="黑体" w:cs="黑体" w:eastAsia="黑体" w:hint="default"/>
                    <w:sz w:val="22"/>
                    <w:szCs w:val="22"/>
                  </w:rPr>
                </w:pPr>
                <w:r>
                  <w:rPr>
                    <w:rFonts w:ascii="黑体" w:hAnsi="黑体" w:cs="黑体" w:eastAsia="黑体" w:hint="default"/>
                    <w:b/>
                    <w:bCs/>
                    <w:sz w:val="22"/>
                    <w:szCs w:val="22"/>
                  </w:rPr>
                  <w:t>公司股东权益变动表(续)</w:t>
                </w:r>
                <w:r>
                  <w:rPr>
                    <w:rFonts w:ascii="黑体" w:hAnsi="黑体" w:cs="黑体" w:eastAsia="黑体" w:hint="default"/>
                    <w:b/>
                    <w:bCs/>
                    <w:spacing w:val="1"/>
                    <w:w w:val="99"/>
                    <w:sz w:val="22"/>
                    <w:szCs w:val="22"/>
                  </w:rPr>
                  <w:t> </w:t>
                </w:r>
                <w:r>
                  <w:rPr>
                    <w:rFonts w:ascii="Arial" w:hAnsi="Arial" w:cs="Arial" w:eastAsia="Arial" w:hint="default"/>
                    <w:b/>
                    <w:bCs/>
                    <w:sz w:val="22"/>
                    <w:szCs w:val="22"/>
                  </w:rPr>
                  <w:t>2009</w:t>
                </w:r>
                <w:r>
                  <w:rPr>
                    <w:rFonts w:ascii="Arial" w:hAnsi="Arial" w:cs="Arial" w:eastAsia="Arial" w:hint="default"/>
                    <w:b/>
                    <w:bCs/>
                    <w:spacing w:val="-7"/>
                    <w:sz w:val="22"/>
                    <w:szCs w:val="22"/>
                  </w:rPr>
                  <w:t> </w:t>
                </w:r>
                <w:r>
                  <w:rPr>
                    <w:rFonts w:ascii="黑体" w:hAnsi="黑体" w:cs="黑体" w:eastAsia="黑体" w:hint="default"/>
                    <w:b/>
                    <w:bCs/>
                    <w:sz w:val="22"/>
                    <w:szCs w:val="22"/>
                  </w:rPr>
                  <w:t>年度</w:t>
                </w:r>
                <w:r>
                  <w:rPr>
                    <w:rFonts w:ascii="黑体" w:hAnsi="黑体" w:cs="黑体" w:eastAsia="黑体" w:hint="default"/>
                    <w:b/>
                    <w:bCs/>
                    <w:spacing w:val="1"/>
                    <w:w w:val="99"/>
                    <w:sz w:val="22"/>
                    <w:szCs w:val="22"/>
                  </w:rPr>
                  <w:t> </w:t>
                </w: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41.520004pt;margin-top:46.923763pt;width:112.45pt;height:13pt;mso-position-horizontal-relative:page;mso-position-vertical-relative:page;z-index:-1132216"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5.800003pt;margin-top:119.339996pt;width:425.7pt;height:.1pt;mso-position-horizontal-relative:page;mso-position-vertical-relative:page;z-index:-1132144" coordorigin="1716,2387" coordsize="8514,2">
          <v:shape style="position:absolute;left:1716;top:2387;width:8514;height:2" coordorigin="1716,2387" coordsize="8514,0" path="m1716,2387l10230,2387e" filled="false" stroked="true" strokeweight=".75pt" strokecolor="#000000">
            <v:path arrowok="t"/>
          </v:shape>
          <w10:wrap type="none"/>
        </v:group>
      </w:pict>
    </w:r>
    <w:r>
      <w:rPr/>
      <w:pict>
        <v:shape style="position:absolute;margin-left:241.520004pt;margin-top:46.923763pt;width:112.45pt;height:59.55pt;mso-position-horizontal-relative:page;mso-position-vertical-relative:page;z-index:-1132120" type="#_x0000_t202" filled="false" stroked="false">
          <v:textbox inset="0,0,0,0">
            <w:txbxContent>
              <w:p>
                <w:pPr>
                  <w:spacing w:line="238"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line="286" w:lineRule="exact" w:before="0"/>
                  <w:ind w:left="0" w:right="27" w:firstLine="0"/>
                  <w:jc w:val="center"/>
                  <w:rPr>
                    <w:rFonts w:ascii="黑体" w:hAnsi="黑体" w:cs="黑体" w:eastAsia="黑体" w:hint="default"/>
                    <w:sz w:val="22"/>
                    <w:szCs w:val="22"/>
                  </w:rPr>
                </w:pPr>
                <w:r>
                  <w:rPr>
                    <w:rFonts w:ascii="黑体" w:hAnsi="黑体" w:cs="黑体" w:eastAsia="黑体" w:hint="default"/>
                    <w:b/>
                    <w:bCs/>
                    <w:sz w:val="22"/>
                    <w:szCs w:val="22"/>
                  </w:rPr>
                  <w:t>财务报表附注(续)</w:t>
                </w:r>
                <w:r>
                  <w:rPr>
                    <w:rFonts w:ascii="黑体" w:hAnsi="黑体" w:cs="黑体" w:eastAsia="黑体" w:hint="default"/>
                    <w:sz w:val="22"/>
                    <w:szCs w:val="22"/>
                  </w:rPr>
                </w:r>
              </w:p>
              <w:p>
                <w:pPr>
                  <w:spacing w:line="303" w:lineRule="exact" w:before="0"/>
                  <w:ind w:left="0" w:right="28"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黑体" w:hAnsi="黑体" w:cs="黑体" w:eastAsia="黑体" w:hint="default"/>
                    <w:b/>
                    <w:bCs/>
                    <w:sz w:val="22"/>
                    <w:szCs w:val="22"/>
                  </w:rPr>
                  <w:t>年</w:t>
                </w:r>
                <w:r>
                  <w:rPr>
                    <w:rFonts w:ascii="Arial" w:hAnsi="Arial" w:cs="Arial" w:eastAsia="Arial" w:hint="default"/>
                    <w:b/>
                    <w:bCs/>
                    <w:sz w:val="22"/>
                    <w:szCs w:val="22"/>
                  </w:rPr>
                  <w:t>12</w:t>
                </w:r>
                <w:r>
                  <w:rPr>
                    <w:rFonts w:ascii="黑体" w:hAnsi="黑体" w:cs="黑体" w:eastAsia="黑体" w:hint="default"/>
                    <w:b/>
                    <w:bCs/>
                    <w:sz w:val="22"/>
                    <w:szCs w:val="22"/>
                  </w:rPr>
                  <w:t>月</w:t>
                </w:r>
                <w:r>
                  <w:rPr>
                    <w:rFonts w:ascii="Arial" w:hAnsi="Arial" w:cs="Arial" w:eastAsia="Arial" w:hint="default"/>
                    <w:b/>
                    <w:bCs/>
                    <w:sz w:val="22"/>
                    <w:szCs w:val="22"/>
                  </w:rPr>
                  <w:t>31</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5.5pt;margin-top:119.339996pt;width:426pt;height:.1pt;mso-position-horizontal-relative:page;mso-position-vertical-relative:page;z-index:-1132096" coordorigin="1710,2387" coordsize="8520,2">
          <v:shape style="position:absolute;left:1710;top:2387;width:8520;height:2" coordorigin="1710,2387" coordsize="8520,0" path="m1710,2387l10230,2387e" filled="false" stroked="true" strokeweight=".75pt" strokecolor="#000000">
            <v:path arrowok="t"/>
          </v:shape>
          <w10:wrap type="none"/>
        </v:group>
      </w:pict>
    </w:r>
    <w:r>
      <w:rPr/>
      <w:pict>
        <v:shape style="position:absolute;margin-left:241.520004pt;margin-top:46.923763pt;width:112.45pt;height:59.55pt;mso-position-horizontal-relative:page;mso-position-vertical-relative:page;z-index:-1132072" type="#_x0000_t202" filled="false" stroked="false">
          <v:textbox inset="0,0,0,0">
            <w:txbxContent>
              <w:p>
                <w:pPr>
                  <w:spacing w:line="238"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line="286" w:lineRule="exact" w:before="0"/>
                  <w:ind w:left="0" w:right="26" w:firstLine="0"/>
                  <w:jc w:val="center"/>
                  <w:rPr>
                    <w:rFonts w:ascii="黑体" w:hAnsi="黑体" w:cs="黑体" w:eastAsia="黑体" w:hint="default"/>
                    <w:sz w:val="22"/>
                    <w:szCs w:val="22"/>
                  </w:rPr>
                </w:pPr>
                <w:r>
                  <w:rPr>
                    <w:rFonts w:ascii="黑体" w:hAnsi="黑体" w:cs="黑体" w:eastAsia="黑体" w:hint="default"/>
                    <w:b/>
                    <w:bCs/>
                    <w:sz w:val="22"/>
                    <w:szCs w:val="22"/>
                  </w:rPr>
                  <w:t>财务报表附注（续）</w:t>
                </w:r>
                <w:r>
                  <w:rPr>
                    <w:rFonts w:ascii="黑体" w:hAnsi="黑体" w:cs="黑体" w:eastAsia="黑体" w:hint="default"/>
                    <w:sz w:val="22"/>
                    <w:szCs w:val="22"/>
                  </w:rPr>
                </w:r>
              </w:p>
              <w:p>
                <w:pPr>
                  <w:spacing w:line="303" w:lineRule="exact" w:before="0"/>
                  <w:ind w:left="0" w:right="27"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黑体" w:hAnsi="黑体" w:cs="黑体" w:eastAsia="黑体" w:hint="default"/>
                    <w:b/>
                    <w:bCs/>
                    <w:sz w:val="22"/>
                    <w:szCs w:val="22"/>
                  </w:rPr>
                  <w:t>年</w:t>
                </w:r>
                <w:r>
                  <w:rPr>
                    <w:rFonts w:ascii="Arial" w:hAnsi="Arial" w:cs="Arial" w:eastAsia="Arial" w:hint="default"/>
                    <w:b/>
                    <w:bCs/>
                    <w:sz w:val="22"/>
                    <w:szCs w:val="22"/>
                  </w:rPr>
                  <w:t>12</w:t>
                </w:r>
                <w:r>
                  <w:rPr>
                    <w:rFonts w:ascii="黑体" w:hAnsi="黑体" w:cs="黑体" w:eastAsia="黑体" w:hint="default"/>
                    <w:b/>
                    <w:bCs/>
                    <w:sz w:val="22"/>
                    <w:szCs w:val="22"/>
                  </w:rPr>
                  <w:t>月</w:t>
                </w:r>
                <w:r>
                  <w:rPr>
                    <w:rFonts w:ascii="Arial" w:hAnsi="Arial" w:cs="Arial" w:eastAsia="Arial" w:hint="default"/>
                    <w:b/>
                    <w:bCs/>
                    <w:sz w:val="22"/>
                    <w:szCs w:val="22"/>
                  </w:rPr>
                  <w:t>31</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39.710999pt;margin-top:119.339996pt;width:769.5pt;height:.1pt;mso-position-horizontal-relative:page;mso-position-vertical-relative:page;z-index:-1132024" coordorigin="794,2387" coordsize="15390,2">
          <v:shape style="position:absolute;left:794;top:2387;width:15390;height:2" coordorigin="794,2387" coordsize="15390,0" path="m794,2387l16184,2387e" filled="false" stroked="true" strokeweight=".75pt" strokecolor="#000000">
            <v:path arrowok="t"/>
          </v:shape>
          <w10:wrap type="none"/>
        </v:group>
      </w:pict>
    </w:r>
    <w:r>
      <w:rPr/>
      <w:pict>
        <v:shape style="position:absolute;margin-left:364.750488pt;margin-top:46.924065pt;width:112.45pt;height:59.55pt;mso-position-horizontal-relative:page;mso-position-vertical-relative:page;z-index:-1132000" type="#_x0000_t202" filled="false" stroked="false">
          <v:textbox inset="0,0,0,0">
            <w:txbxContent>
              <w:p>
                <w:pPr>
                  <w:spacing w:line="238"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line="286" w:lineRule="exact" w:before="0"/>
                  <w:ind w:left="0" w:right="26" w:firstLine="0"/>
                  <w:jc w:val="center"/>
                  <w:rPr>
                    <w:rFonts w:ascii="黑体" w:hAnsi="黑体" w:cs="黑体" w:eastAsia="黑体" w:hint="default"/>
                    <w:sz w:val="22"/>
                    <w:szCs w:val="22"/>
                  </w:rPr>
                </w:pPr>
                <w:r>
                  <w:rPr>
                    <w:rFonts w:ascii="黑体" w:hAnsi="黑体" w:cs="黑体" w:eastAsia="黑体" w:hint="default"/>
                    <w:b/>
                    <w:bCs/>
                    <w:sz w:val="22"/>
                    <w:szCs w:val="22"/>
                  </w:rPr>
                  <w:t>财务报表附注（续）</w:t>
                </w:r>
                <w:r>
                  <w:rPr>
                    <w:rFonts w:ascii="黑体" w:hAnsi="黑体" w:cs="黑体" w:eastAsia="黑体" w:hint="default"/>
                    <w:sz w:val="22"/>
                    <w:szCs w:val="22"/>
                  </w:rPr>
                </w:r>
              </w:p>
              <w:p>
                <w:pPr>
                  <w:spacing w:line="303" w:lineRule="exact" w:before="0"/>
                  <w:ind w:left="0" w:right="27"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黑体" w:hAnsi="黑体" w:cs="黑体" w:eastAsia="黑体" w:hint="default"/>
                    <w:b/>
                    <w:bCs/>
                    <w:sz w:val="22"/>
                    <w:szCs w:val="22"/>
                  </w:rPr>
                  <w:t>年</w:t>
                </w:r>
                <w:r>
                  <w:rPr>
                    <w:rFonts w:ascii="Arial" w:hAnsi="Arial" w:cs="Arial" w:eastAsia="Arial" w:hint="default"/>
                    <w:b/>
                    <w:bCs/>
                    <w:sz w:val="22"/>
                    <w:szCs w:val="22"/>
                  </w:rPr>
                  <w:t>12</w:t>
                </w:r>
                <w:r>
                  <w:rPr>
                    <w:rFonts w:ascii="黑体" w:hAnsi="黑体" w:cs="黑体" w:eastAsia="黑体" w:hint="default"/>
                    <w:b/>
                    <w:bCs/>
                    <w:sz w:val="22"/>
                    <w:szCs w:val="22"/>
                  </w:rPr>
                  <w:t>月</w:t>
                </w:r>
                <w:r>
                  <w:rPr>
                    <w:rFonts w:ascii="Arial" w:hAnsi="Arial" w:cs="Arial" w:eastAsia="Arial" w:hint="default"/>
                    <w:b/>
                    <w:bCs/>
                    <w:sz w:val="22"/>
                    <w:szCs w:val="22"/>
                  </w:rPr>
                  <w:t>31</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4.720001pt;margin-top:119.339996pt;width:426.8pt;height:.1pt;mso-position-horizontal-relative:page;mso-position-vertical-relative:page;z-index:-1131952" coordorigin="1694,2387" coordsize="8536,2">
          <v:shape style="position:absolute;left:1694;top:2387;width:8536;height:2" coordorigin="1694,2387" coordsize="8536,0" path="m1694,2387l10230,2387e" filled="false" stroked="true" strokeweight=".75pt" strokecolor="#000000">
            <v:path arrowok="t"/>
          </v:shape>
          <w10:wrap type="none"/>
        </v:group>
      </w:pict>
    </w:r>
    <w:r>
      <w:rPr/>
      <w:pict>
        <v:shape style="position:absolute;margin-left:241.520004pt;margin-top:46.923763pt;width:112.45pt;height:59.55pt;mso-position-horizontal-relative:page;mso-position-vertical-relative:page;z-index:-1131928" type="#_x0000_t202" filled="false" stroked="false">
          <v:textbox inset="0,0,0,0">
            <w:txbxContent>
              <w:p>
                <w:pPr>
                  <w:spacing w:line="238"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line="286" w:lineRule="exact" w:before="0"/>
                  <w:ind w:left="0" w:right="26" w:firstLine="0"/>
                  <w:jc w:val="center"/>
                  <w:rPr>
                    <w:rFonts w:ascii="黑体" w:hAnsi="黑体" w:cs="黑体" w:eastAsia="黑体" w:hint="default"/>
                    <w:sz w:val="22"/>
                    <w:szCs w:val="22"/>
                  </w:rPr>
                </w:pPr>
                <w:r>
                  <w:rPr>
                    <w:rFonts w:ascii="黑体" w:hAnsi="黑体" w:cs="黑体" w:eastAsia="黑体" w:hint="default"/>
                    <w:b/>
                    <w:bCs/>
                    <w:sz w:val="22"/>
                    <w:szCs w:val="22"/>
                  </w:rPr>
                  <w:t>财务报表附注（续）</w:t>
                </w:r>
                <w:r>
                  <w:rPr>
                    <w:rFonts w:ascii="黑体" w:hAnsi="黑体" w:cs="黑体" w:eastAsia="黑体" w:hint="default"/>
                    <w:sz w:val="22"/>
                    <w:szCs w:val="22"/>
                  </w:rPr>
                </w:r>
              </w:p>
              <w:p>
                <w:pPr>
                  <w:spacing w:line="303" w:lineRule="exact" w:before="0"/>
                  <w:ind w:left="0" w:right="27"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黑体" w:hAnsi="黑体" w:cs="黑体" w:eastAsia="黑体" w:hint="default"/>
                    <w:b/>
                    <w:bCs/>
                    <w:sz w:val="22"/>
                    <w:szCs w:val="22"/>
                  </w:rPr>
                  <w:t>年</w:t>
                </w:r>
                <w:r>
                  <w:rPr>
                    <w:rFonts w:ascii="Arial" w:hAnsi="Arial" w:cs="Arial" w:eastAsia="Arial" w:hint="default"/>
                    <w:b/>
                    <w:bCs/>
                    <w:sz w:val="22"/>
                    <w:szCs w:val="22"/>
                  </w:rPr>
                  <w:t>12</w:t>
                </w:r>
                <w:r>
                  <w:rPr>
                    <w:rFonts w:ascii="黑体" w:hAnsi="黑体" w:cs="黑体" w:eastAsia="黑体" w:hint="default"/>
                    <w:b/>
                    <w:bCs/>
                    <w:sz w:val="22"/>
                    <w:szCs w:val="22"/>
                  </w:rPr>
                  <w:t>月</w:t>
                </w:r>
                <w:r>
                  <w:rPr>
                    <w:rFonts w:ascii="Arial" w:hAnsi="Arial" w:cs="Arial" w:eastAsia="Arial" w:hint="default"/>
                    <w:b/>
                    <w:bCs/>
                    <w:sz w:val="22"/>
                    <w:szCs w:val="22"/>
                  </w:rPr>
                  <w:t>31</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9.210999pt;margin-top:119.339996pt;width:726.8pt;height:.1pt;mso-position-horizontal-relative:page;mso-position-vertical-relative:page;z-index:-1131856" coordorigin="1184,2387" coordsize="14536,2">
          <v:shape style="position:absolute;left:1184;top:2387;width:14536;height:2" coordorigin="1184,2387" coordsize="14536,0" path="m1184,2387l15720,2387e" filled="false" stroked="true" strokeweight=".75pt" strokecolor="#000000">
            <v:path arrowok="t"/>
          </v:shape>
          <w10:wrap type="none"/>
        </v:group>
      </w:pict>
    </w:r>
    <w:r>
      <w:rPr/>
      <w:pict>
        <v:shape style="position:absolute;margin-left:364.750488pt;margin-top:46.924065pt;width:112.45pt;height:59.55pt;mso-position-horizontal-relative:page;mso-position-vertical-relative:page;z-index:-1131832" type="#_x0000_t202" filled="false" stroked="false">
          <v:textbox inset="0,0,0,0">
            <w:txbxContent>
              <w:p>
                <w:pPr>
                  <w:spacing w:line="238"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line="286" w:lineRule="exact" w:before="0"/>
                  <w:ind w:left="0" w:right="26" w:firstLine="0"/>
                  <w:jc w:val="center"/>
                  <w:rPr>
                    <w:rFonts w:ascii="黑体" w:hAnsi="黑体" w:cs="黑体" w:eastAsia="黑体" w:hint="default"/>
                    <w:sz w:val="22"/>
                    <w:szCs w:val="22"/>
                  </w:rPr>
                </w:pPr>
                <w:r>
                  <w:rPr>
                    <w:rFonts w:ascii="黑体" w:hAnsi="黑体" w:cs="黑体" w:eastAsia="黑体" w:hint="default"/>
                    <w:b/>
                    <w:bCs/>
                    <w:sz w:val="22"/>
                    <w:szCs w:val="22"/>
                  </w:rPr>
                  <w:t>财务报表附注（续）</w:t>
                </w:r>
                <w:r>
                  <w:rPr>
                    <w:rFonts w:ascii="黑体" w:hAnsi="黑体" w:cs="黑体" w:eastAsia="黑体" w:hint="default"/>
                    <w:sz w:val="22"/>
                    <w:szCs w:val="22"/>
                  </w:rPr>
                </w:r>
              </w:p>
              <w:p>
                <w:pPr>
                  <w:spacing w:line="303" w:lineRule="exact" w:before="0"/>
                  <w:ind w:left="0" w:right="27"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黑体" w:hAnsi="黑体" w:cs="黑体" w:eastAsia="黑体" w:hint="default"/>
                    <w:b/>
                    <w:bCs/>
                    <w:sz w:val="22"/>
                    <w:szCs w:val="22"/>
                  </w:rPr>
                  <w:t>年</w:t>
                </w:r>
                <w:r>
                  <w:rPr>
                    <w:rFonts w:ascii="Arial" w:hAnsi="Arial" w:cs="Arial" w:eastAsia="Arial" w:hint="default"/>
                    <w:b/>
                    <w:bCs/>
                    <w:sz w:val="22"/>
                    <w:szCs w:val="22"/>
                  </w:rPr>
                  <w:t>12</w:t>
                </w:r>
                <w:r>
                  <w:rPr>
                    <w:rFonts w:ascii="黑体" w:hAnsi="黑体" w:cs="黑体" w:eastAsia="黑体" w:hint="default"/>
                    <w:b/>
                    <w:bCs/>
                    <w:sz w:val="22"/>
                    <w:szCs w:val="22"/>
                  </w:rPr>
                  <w:t>月</w:t>
                </w:r>
                <w:r>
                  <w:rPr>
                    <w:rFonts w:ascii="Arial" w:hAnsi="Arial" w:cs="Arial" w:eastAsia="Arial" w:hint="default"/>
                    <w:b/>
                    <w:bCs/>
                    <w:sz w:val="22"/>
                    <w:szCs w:val="22"/>
                  </w:rPr>
                  <w:t>31</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4.720001pt;margin-top:126.839996pt;width:426.8pt;height:.1pt;mso-position-horizontal-relative:page;mso-position-vertical-relative:page;z-index:-1131784" coordorigin="1694,2537" coordsize="8536,2">
          <v:shape style="position:absolute;left:1694;top:2537;width:8536;height:2" coordorigin="1694,2537" coordsize="8536,0" path="m1694,2537l10230,2537e" filled="false" stroked="true" strokeweight=".75pt" strokecolor="#000000">
            <v:path arrowok="t"/>
          </v:shape>
          <w10:wrap type="none"/>
        </v:group>
      </w:pict>
    </w:r>
    <w:r>
      <w:rPr/>
      <w:pict>
        <v:shape style="position:absolute;margin-left:241.520004pt;margin-top:46.923763pt;width:112.45pt;height:67pt;mso-position-horizontal-relative:page;mso-position-vertical-relative:page;z-index:-1131760" type="#_x0000_t202" filled="false" stroked="false">
          <v:textbox inset="0,0,0,0">
            <w:txbxContent>
              <w:p>
                <w:pPr>
                  <w:spacing w:line="240"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财务报表附注(续)</w:t>
                </w:r>
                <w:r>
                  <w:rPr>
                    <w:rFonts w:ascii="黑体" w:hAnsi="黑体" w:cs="黑体" w:eastAsia="黑体" w:hint="default"/>
                    <w:sz w:val="22"/>
                    <w:szCs w:val="22"/>
                  </w:rPr>
                </w:r>
              </w:p>
              <w:p>
                <w:pPr>
                  <w:spacing w:before="72"/>
                  <w:ind w:left="0" w:right="1"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Arial" w:hAnsi="Arial" w:cs="Arial" w:eastAsia="Arial" w:hint="default"/>
                    <w:b/>
                    <w:bCs/>
                    <w:spacing w:val="-8"/>
                    <w:sz w:val="22"/>
                    <w:szCs w:val="22"/>
                  </w:rPr>
                  <w:t> </w:t>
                </w:r>
                <w:r>
                  <w:rPr>
                    <w:rFonts w:ascii="黑体" w:hAnsi="黑体" w:cs="黑体" w:eastAsia="黑体" w:hint="default"/>
                    <w:b/>
                    <w:bCs/>
                    <w:sz w:val="22"/>
                    <w:szCs w:val="22"/>
                  </w:rPr>
                  <w:t>年</w:t>
                </w:r>
                <w:r>
                  <w:rPr>
                    <w:rFonts w:ascii="黑体" w:hAnsi="黑体" w:cs="黑体" w:eastAsia="黑体" w:hint="default"/>
                    <w:b/>
                    <w:bCs/>
                    <w:spacing w:val="-57"/>
                    <w:sz w:val="22"/>
                    <w:szCs w:val="22"/>
                  </w:rPr>
                  <w:t> </w:t>
                </w:r>
                <w:r>
                  <w:rPr>
                    <w:rFonts w:ascii="Arial" w:hAnsi="Arial" w:cs="Arial" w:eastAsia="Arial" w:hint="default"/>
                    <w:b/>
                    <w:bCs/>
                    <w:sz w:val="22"/>
                    <w:szCs w:val="22"/>
                  </w:rPr>
                  <w:t>12</w:t>
                </w:r>
                <w:r>
                  <w:rPr>
                    <w:rFonts w:ascii="Arial" w:hAnsi="Arial" w:cs="Arial" w:eastAsia="Arial" w:hint="default"/>
                    <w:b/>
                    <w:bCs/>
                    <w:spacing w:val="-8"/>
                    <w:sz w:val="22"/>
                    <w:szCs w:val="22"/>
                  </w:rPr>
                  <w:t> </w:t>
                </w:r>
                <w:r>
                  <w:rPr>
                    <w:rFonts w:ascii="黑体" w:hAnsi="黑体" w:cs="黑体" w:eastAsia="黑体" w:hint="default"/>
                    <w:b/>
                    <w:bCs/>
                    <w:sz w:val="22"/>
                    <w:szCs w:val="22"/>
                  </w:rPr>
                  <w:t>月</w:t>
                </w:r>
                <w:r>
                  <w:rPr>
                    <w:rFonts w:ascii="黑体" w:hAnsi="黑体" w:cs="黑体" w:eastAsia="黑体" w:hint="default"/>
                    <w:b/>
                    <w:bCs/>
                    <w:spacing w:val="-57"/>
                    <w:sz w:val="22"/>
                    <w:szCs w:val="22"/>
                  </w:rPr>
                  <w:t> </w:t>
                </w:r>
                <w:r>
                  <w:rPr>
                    <w:rFonts w:ascii="Arial" w:hAnsi="Arial" w:cs="Arial" w:eastAsia="Arial" w:hint="default"/>
                    <w:b/>
                    <w:bCs/>
                    <w:sz w:val="22"/>
                    <w:szCs w:val="22"/>
                  </w:rPr>
                  <w:t>31</w:t>
                </w:r>
                <w:r>
                  <w:rPr>
                    <w:rFonts w:ascii="Arial" w:hAnsi="Arial" w:cs="Arial" w:eastAsia="Arial" w:hint="default"/>
                    <w:b/>
                    <w:bCs/>
                    <w:spacing w:val="-8"/>
                    <w:sz w:val="22"/>
                    <w:szCs w:val="22"/>
                  </w:rPr>
                  <w:t> </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41.520004pt;margin-top:46.923763pt;width:112.45pt;height:67pt;mso-position-horizontal-relative:page;mso-position-vertical-relative:page;z-index:-1131688" type="#_x0000_t202" filled="false" stroked="false">
          <v:textbox inset="0,0,0,0">
            <w:txbxContent>
              <w:p>
                <w:pPr>
                  <w:spacing w:line="240"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财务报表附注(续)</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Arial" w:hAnsi="Arial" w:cs="Arial" w:eastAsia="Arial" w:hint="default"/>
                    <w:b/>
                    <w:bCs/>
                    <w:spacing w:val="-8"/>
                    <w:sz w:val="22"/>
                    <w:szCs w:val="22"/>
                  </w:rPr>
                  <w:t> </w:t>
                </w:r>
                <w:r>
                  <w:rPr>
                    <w:rFonts w:ascii="黑体" w:hAnsi="黑体" w:cs="黑体" w:eastAsia="黑体" w:hint="default"/>
                    <w:b/>
                    <w:bCs/>
                    <w:sz w:val="22"/>
                    <w:szCs w:val="22"/>
                  </w:rPr>
                  <w:t>年</w:t>
                </w:r>
                <w:r>
                  <w:rPr>
                    <w:rFonts w:ascii="黑体" w:hAnsi="黑体" w:cs="黑体" w:eastAsia="黑体" w:hint="default"/>
                    <w:b/>
                    <w:bCs/>
                    <w:spacing w:val="-57"/>
                    <w:sz w:val="22"/>
                    <w:szCs w:val="22"/>
                  </w:rPr>
                  <w:t> </w:t>
                </w:r>
                <w:r>
                  <w:rPr>
                    <w:rFonts w:ascii="Arial" w:hAnsi="Arial" w:cs="Arial" w:eastAsia="Arial" w:hint="default"/>
                    <w:b/>
                    <w:bCs/>
                    <w:sz w:val="22"/>
                    <w:szCs w:val="22"/>
                  </w:rPr>
                  <w:t>12</w:t>
                </w:r>
                <w:r>
                  <w:rPr>
                    <w:rFonts w:ascii="Arial" w:hAnsi="Arial" w:cs="Arial" w:eastAsia="Arial" w:hint="default"/>
                    <w:b/>
                    <w:bCs/>
                    <w:spacing w:val="-8"/>
                    <w:sz w:val="22"/>
                    <w:szCs w:val="22"/>
                  </w:rPr>
                  <w:t> </w:t>
                </w:r>
                <w:r>
                  <w:rPr>
                    <w:rFonts w:ascii="黑体" w:hAnsi="黑体" w:cs="黑体" w:eastAsia="黑体" w:hint="default"/>
                    <w:b/>
                    <w:bCs/>
                    <w:sz w:val="22"/>
                    <w:szCs w:val="22"/>
                  </w:rPr>
                  <w:t>月</w:t>
                </w:r>
                <w:r>
                  <w:rPr>
                    <w:rFonts w:ascii="黑体" w:hAnsi="黑体" w:cs="黑体" w:eastAsia="黑体" w:hint="default"/>
                    <w:b/>
                    <w:bCs/>
                    <w:spacing w:val="-57"/>
                    <w:sz w:val="22"/>
                    <w:szCs w:val="22"/>
                  </w:rPr>
                  <w:t> </w:t>
                </w:r>
                <w:r>
                  <w:rPr>
                    <w:rFonts w:ascii="Arial" w:hAnsi="Arial" w:cs="Arial" w:eastAsia="Arial" w:hint="default"/>
                    <w:b/>
                    <w:bCs/>
                    <w:sz w:val="22"/>
                    <w:szCs w:val="22"/>
                  </w:rPr>
                  <w:t>31</w:t>
                </w:r>
                <w:r>
                  <w:rPr>
                    <w:rFonts w:ascii="Arial" w:hAnsi="Arial" w:cs="Arial" w:eastAsia="Arial" w:hint="default"/>
                    <w:b/>
                    <w:bCs/>
                    <w:spacing w:val="-8"/>
                    <w:sz w:val="22"/>
                    <w:szCs w:val="22"/>
                  </w:rPr>
                  <w:t> </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5.5pt;margin-top:121.019997pt;width:426.75pt;height:.1pt;mso-position-horizontal-relative:page;mso-position-vertical-relative:page;z-index:-1131640" coordorigin="1710,2420" coordsize="8535,2">
          <v:shape style="position:absolute;left:1710;top:2420;width:8535;height:2" coordorigin="1710,2420" coordsize="8535,0" path="m1710,2420l10244,2420e" filled="false" stroked="true" strokeweight=".75pt" strokecolor="#000000">
            <v:path arrowok="t"/>
          </v:shape>
          <w10:wrap type="none"/>
        </v:group>
      </w:pict>
    </w:r>
    <w:r>
      <w:rPr/>
      <w:pict>
        <v:shape style="position:absolute;margin-left:241.460007pt;margin-top:40.383762pt;width:112.45pt;height:67pt;mso-position-horizontal-relative:page;mso-position-vertical-relative:page;z-index:-1131616" type="#_x0000_t202" filled="false" stroked="false">
          <v:textbox inset="0,0,0,0">
            <w:txbxContent>
              <w:p>
                <w:pPr>
                  <w:spacing w:line="240"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财务报表附注(续)</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Arial" w:hAnsi="Arial" w:cs="Arial" w:eastAsia="Arial" w:hint="default"/>
                    <w:b/>
                    <w:bCs/>
                    <w:spacing w:val="-8"/>
                    <w:sz w:val="22"/>
                    <w:szCs w:val="22"/>
                  </w:rPr>
                  <w:t> </w:t>
                </w:r>
                <w:r>
                  <w:rPr>
                    <w:rFonts w:ascii="黑体" w:hAnsi="黑体" w:cs="黑体" w:eastAsia="黑体" w:hint="default"/>
                    <w:b/>
                    <w:bCs/>
                    <w:sz w:val="22"/>
                    <w:szCs w:val="22"/>
                  </w:rPr>
                  <w:t>年</w:t>
                </w:r>
                <w:r>
                  <w:rPr>
                    <w:rFonts w:ascii="黑体" w:hAnsi="黑体" w:cs="黑体" w:eastAsia="黑体" w:hint="default"/>
                    <w:b/>
                    <w:bCs/>
                    <w:spacing w:val="-57"/>
                    <w:sz w:val="22"/>
                    <w:szCs w:val="22"/>
                  </w:rPr>
                  <w:t> </w:t>
                </w:r>
                <w:r>
                  <w:rPr>
                    <w:rFonts w:ascii="Arial" w:hAnsi="Arial" w:cs="Arial" w:eastAsia="Arial" w:hint="default"/>
                    <w:b/>
                    <w:bCs/>
                    <w:sz w:val="22"/>
                    <w:szCs w:val="22"/>
                  </w:rPr>
                  <w:t>12</w:t>
                </w:r>
                <w:r>
                  <w:rPr>
                    <w:rFonts w:ascii="Arial" w:hAnsi="Arial" w:cs="Arial" w:eastAsia="Arial" w:hint="default"/>
                    <w:b/>
                    <w:bCs/>
                    <w:spacing w:val="-8"/>
                    <w:sz w:val="22"/>
                    <w:szCs w:val="22"/>
                  </w:rPr>
                  <w:t> </w:t>
                </w:r>
                <w:r>
                  <w:rPr>
                    <w:rFonts w:ascii="黑体" w:hAnsi="黑体" w:cs="黑体" w:eastAsia="黑体" w:hint="default"/>
                    <w:b/>
                    <w:bCs/>
                    <w:sz w:val="22"/>
                    <w:szCs w:val="22"/>
                  </w:rPr>
                  <w:t>月</w:t>
                </w:r>
                <w:r>
                  <w:rPr>
                    <w:rFonts w:ascii="黑体" w:hAnsi="黑体" w:cs="黑体" w:eastAsia="黑体" w:hint="default"/>
                    <w:b/>
                    <w:bCs/>
                    <w:spacing w:val="-57"/>
                    <w:sz w:val="22"/>
                    <w:szCs w:val="22"/>
                  </w:rPr>
                  <w:t> </w:t>
                </w:r>
                <w:r>
                  <w:rPr>
                    <w:rFonts w:ascii="Arial" w:hAnsi="Arial" w:cs="Arial" w:eastAsia="Arial" w:hint="default"/>
                    <w:b/>
                    <w:bCs/>
                    <w:sz w:val="22"/>
                    <w:szCs w:val="22"/>
                  </w:rPr>
                  <w:t>31</w:t>
                </w:r>
                <w:r>
                  <w:rPr>
                    <w:rFonts w:ascii="Arial" w:hAnsi="Arial" w:cs="Arial" w:eastAsia="Arial" w:hint="default"/>
                    <w:b/>
                    <w:bCs/>
                    <w:spacing w:val="-8"/>
                    <w:sz w:val="22"/>
                    <w:szCs w:val="22"/>
                  </w:rPr>
                  <w:t> </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0.919998pt;margin-top:35.999695pt;width:110.999985pt;height:13.619995pt;mso-position-horizontal-relative:page;mso-position-vertical-relative:page;z-index:-1132864" type="#_x0000_t75" stroked="false">
          <v:imagedata r:id="rId1" o:title=""/>
        </v:shape>
      </w:pict>
    </w:r>
    <w:r>
      <w:rPr/>
      <w:pict>
        <v:group style="position:absolute;margin-left:69.419998pt;margin-top:54.060001pt;width:462.25pt;height:.1pt;mso-position-horizontal-relative:page;mso-position-vertical-relative:page;z-index:-1132840" coordorigin="1388,1081" coordsize="9245,2">
          <v:shape style="position:absolute;left:1388;top:1081;width:9245;height:2" coordorigin="1388,1081" coordsize="9245,0" path="m1388,1081l10633,1081e" filled="false" stroked="true" strokeweight=".72pt" strokecolor="#000000">
            <v:path arrowok="t"/>
          </v:shape>
          <w10:wrap type="none"/>
        </v:group>
      </w:pict>
    </w:r>
    <w:r>
      <w:rPr/>
      <w:pict>
        <v:shape style="position:absolute;margin-left:450.920013pt;margin-top:39.596264pt;width:78.2pt;height:12.5pt;mso-position-horizontal-relative:page;mso-position-vertical-relative:page;z-index:-113281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年年度报告</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41.460007pt;margin-top:40.383762pt;width:112.45pt;height:67pt;mso-position-horizontal-relative:page;mso-position-vertical-relative:page;z-index:-1131544" type="#_x0000_t202" filled="false" stroked="false">
          <v:textbox inset="0,0,0,0">
            <w:txbxContent>
              <w:p>
                <w:pPr>
                  <w:spacing w:line="240"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财务报表附注(续)</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Arial" w:hAnsi="Arial" w:cs="Arial" w:eastAsia="Arial" w:hint="default"/>
                    <w:b/>
                    <w:bCs/>
                    <w:spacing w:val="-8"/>
                    <w:sz w:val="22"/>
                    <w:szCs w:val="22"/>
                  </w:rPr>
                  <w:t> </w:t>
                </w:r>
                <w:r>
                  <w:rPr>
                    <w:rFonts w:ascii="黑体" w:hAnsi="黑体" w:cs="黑体" w:eastAsia="黑体" w:hint="default"/>
                    <w:b/>
                    <w:bCs/>
                    <w:sz w:val="22"/>
                    <w:szCs w:val="22"/>
                  </w:rPr>
                  <w:t>年</w:t>
                </w:r>
                <w:r>
                  <w:rPr>
                    <w:rFonts w:ascii="黑体" w:hAnsi="黑体" w:cs="黑体" w:eastAsia="黑体" w:hint="default"/>
                    <w:b/>
                    <w:bCs/>
                    <w:spacing w:val="-57"/>
                    <w:sz w:val="22"/>
                    <w:szCs w:val="22"/>
                  </w:rPr>
                  <w:t> </w:t>
                </w:r>
                <w:r>
                  <w:rPr>
                    <w:rFonts w:ascii="Arial" w:hAnsi="Arial" w:cs="Arial" w:eastAsia="Arial" w:hint="default"/>
                    <w:b/>
                    <w:bCs/>
                    <w:sz w:val="22"/>
                    <w:szCs w:val="22"/>
                  </w:rPr>
                  <w:t>12</w:t>
                </w:r>
                <w:r>
                  <w:rPr>
                    <w:rFonts w:ascii="Arial" w:hAnsi="Arial" w:cs="Arial" w:eastAsia="Arial" w:hint="default"/>
                    <w:b/>
                    <w:bCs/>
                    <w:spacing w:val="-8"/>
                    <w:sz w:val="22"/>
                    <w:szCs w:val="22"/>
                  </w:rPr>
                  <w:t> </w:t>
                </w:r>
                <w:r>
                  <w:rPr>
                    <w:rFonts w:ascii="黑体" w:hAnsi="黑体" w:cs="黑体" w:eastAsia="黑体" w:hint="default"/>
                    <w:b/>
                    <w:bCs/>
                    <w:sz w:val="22"/>
                    <w:szCs w:val="22"/>
                  </w:rPr>
                  <w:t>月</w:t>
                </w:r>
                <w:r>
                  <w:rPr>
                    <w:rFonts w:ascii="黑体" w:hAnsi="黑体" w:cs="黑体" w:eastAsia="黑体" w:hint="default"/>
                    <w:b/>
                    <w:bCs/>
                    <w:spacing w:val="-57"/>
                    <w:sz w:val="22"/>
                    <w:szCs w:val="22"/>
                  </w:rPr>
                  <w:t> </w:t>
                </w:r>
                <w:r>
                  <w:rPr>
                    <w:rFonts w:ascii="Arial" w:hAnsi="Arial" w:cs="Arial" w:eastAsia="Arial" w:hint="default"/>
                    <w:b/>
                    <w:bCs/>
                    <w:sz w:val="22"/>
                    <w:szCs w:val="22"/>
                  </w:rPr>
                  <w:t>31</w:t>
                </w:r>
                <w:r>
                  <w:rPr>
                    <w:rFonts w:ascii="Arial" w:hAnsi="Arial" w:cs="Arial" w:eastAsia="Arial" w:hint="default"/>
                    <w:b/>
                    <w:bCs/>
                    <w:spacing w:val="-8"/>
                    <w:sz w:val="22"/>
                    <w:szCs w:val="22"/>
                  </w:rPr>
                  <w:t> </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6.220001pt;margin-top:127.800003pt;width:426.8pt;height:.1pt;mso-position-horizontal-relative:page;mso-position-vertical-relative:page;z-index:-1131496" coordorigin="1724,2556" coordsize="8536,2">
          <v:shape style="position:absolute;left:1724;top:2556;width:8536;height:2" coordorigin="1724,2556" coordsize="8536,0" path="m1724,2556l10260,2556e" filled="false" stroked="true" strokeweight=".75pt" strokecolor="#000000">
            <v:path arrowok="t"/>
          </v:shape>
          <w10:wrap type="none"/>
        </v:group>
      </w:pict>
    </w:r>
    <w:r>
      <w:rPr/>
      <w:pict>
        <v:shape style="position:absolute;margin-left:241.520004pt;margin-top:46.923763pt;width:112.45pt;height:67pt;mso-position-horizontal-relative:page;mso-position-vertical-relative:page;z-index:-1131472" type="#_x0000_t202" filled="false" stroked="false">
          <v:textbox inset="0,0,0,0">
            <w:txbxContent>
              <w:p>
                <w:pPr>
                  <w:spacing w:line="240"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财务报表附注(续)</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Arial" w:hAnsi="Arial" w:cs="Arial" w:eastAsia="Arial" w:hint="default"/>
                    <w:b/>
                    <w:bCs/>
                    <w:spacing w:val="-8"/>
                    <w:sz w:val="22"/>
                    <w:szCs w:val="22"/>
                  </w:rPr>
                  <w:t> </w:t>
                </w:r>
                <w:r>
                  <w:rPr>
                    <w:rFonts w:ascii="黑体" w:hAnsi="黑体" w:cs="黑体" w:eastAsia="黑体" w:hint="default"/>
                    <w:b/>
                    <w:bCs/>
                    <w:sz w:val="22"/>
                    <w:szCs w:val="22"/>
                  </w:rPr>
                  <w:t>年</w:t>
                </w:r>
                <w:r>
                  <w:rPr>
                    <w:rFonts w:ascii="黑体" w:hAnsi="黑体" w:cs="黑体" w:eastAsia="黑体" w:hint="default"/>
                    <w:b/>
                    <w:bCs/>
                    <w:spacing w:val="-57"/>
                    <w:sz w:val="22"/>
                    <w:szCs w:val="22"/>
                  </w:rPr>
                  <w:t> </w:t>
                </w:r>
                <w:r>
                  <w:rPr>
                    <w:rFonts w:ascii="Arial" w:hAnsi="Arial" w:cs="Arial" w:eastAsia="Arial" w:hint="default"/>
                    <w:b/>
                    <w:bCs/>
                    <w:sz w:val="22"/>
                    <w:szCs w:val="22"/>
                  </w:rPr>
                  <w:t>12</w:t>
                </w:r>
                <w:r>
                  <w:rPr>
                    <w:rFonts w:ascii="Arial" w:hAnsi="Arial" w:cs="Arial" w:eastAsia="Arial" w:hint="default"/>
                    <w:b/>
                    <w:bCs/>
                    <w:spacing w:val="-8"/>
                    <w:sz w:val="22"/>
                    <w:szCs w:val="22"/>
                  </w:rPr>
                  <w:t> </w:t>
                </w:r>
                <w:r>
                  <w:rPr>
                    <w:rFonts w:ascii="黑体" w:hAnsi="黑体" w:cs="黑体" w:eastAsia="黑体" w:hint="default"/>
                    <w:b/>
                    <w:bCs/>
                    <w:sz w:val="22"/>
                    <w:szCs w:val="22"/>
                  </w:rPr>
                  <w:t>月</w:t>
                </w:r>
                <w:r>
                  <w:rPr>
                    <w:rFonts w:ascii="黑体" w:hAnsi="黑体" w:cs="黑体" w:eastAsia="黑体" w:hint="default"/>
                    <w:b/>
                    <w:bCs/>
                    <w:spacing w:val="-57"/>
                    <w:sz w:val="22"/>
                    <w:szCs w:val="22"/>
                  </w:rPr>
                  <w:t> </w:t>
                </w:r>
                <w:r>
                  <w:rPr>
                    <w:rFonts w:ascii="Arial" w:hAnsi="Arial" w:cs="Arial" w:eastAsia="Arial" w:hint="default"/>
                    <w:b/>
                    <w:bCs/>
                    <w:sz w:val="22"/>
                    <w:szCs w:val="22"/>
                  </w:rPr>
                  <w:t>31</w:t>
                </w:r>
                <w:r>
                  <w:rPr>
                    <w:rFonts w:ascii="Arial" w:hAnsi="Arial" w:cs="Arial" w:eastAsia="Arial" w:hint="default"/>
                    <w:b/>
                    <w:bCs/>
                    <w:spacing w:val="-8"/>
                    <w:sz w:val="22"/>
                    <w:szCs w:val="22"/>
                  </w:rPr>
                  <w:t> </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7pt;margin-top:122.940002pt;width:423pt;height:.1pt;mso-position-horizontal-relative:page;mso-position-vertical-relative:page;z-index:-1131448" coordorigin="1740,2459" coordsize="8460,2">
          <v:shape style="position:absolute;left:1740;top:2459;width:8460;height:2" coordorigin="1740,2459" coordsize="8460,0" path="m1740,2459l10200,2459e" filled="false" stroked="true" strokeweight=".75pt" strokecolor="#000000">
            <v:path arrowok="t"/>
          </v:shape>
          <w10:wrap type="none"/>
        </v:group>
      </w:pict>
    </w:r>
    <w:r>
      <w:rPr/>
      <w:pict>
        <v:shape style="position:absolute;margin-left:241.520004pt;margin-top:46.923763pt;width:112.45pt;height:67pt;mso-position-horizontal-relative:page;mso-position-vertical-relative:page;z-index:-1131424" type="#_x0000_t202" filled="false" stroked="false">
          <v:textbox inset="0,0,0,0">
            <w:txbxContent>
              <w:p>
                <w:pPr>
                  <w:spacing w:line="240"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财务报表附注(续)</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Arial" w:hAnsi="Arial" w:cs="Arial" w:eastAsia="Arial" w:hint="default"/>
                    <w:b/>
                    <w:bCs/>
                    <w:spacing w:val="-8"/>
                    <w:sz w:val="22"/>
                    <w:szCs w:val="22"/>
                  </w:rPr>
                  <w:t> </w:t>
                </w:r>
                <w:r>
                  <w:rPr>
                    <w:rFonts w:ascii="黑体" w:hAnsi="黑体" w:cs="黑体" w:eastAsia="黑体" w:hint="default"/>
                    <w:b/>
                    <w:bCs/>
                    <w:sz w:val="22"/>
                    <w:szCs w:val="22"/>
                  </w:rPr>
                  <w:t>年</w:t>
                </w:r>
                <w:r>
                  <w:rPr>
                    <w:rFonts w:ascii="黑体" w:hAnsi="黑体" w:cs="黑体" w:eastAsia="黑体" w:hint="default"/>
                    <w:b/>
                    <w:bCs/>
                    <w:spacing w:val="-57"/>
                    <w:sz w:val="22"/>
                    <w:szCs w:val="22"/>
                  </w:rPr>
                  <w:t> </w:t>
                </w:r>
                <w:r>
                  <w:rPr>
                    <w:rFonts w:ascii="Arial" w:hAnsi="Arial" w:cs="Arial" w:eastAsia="Arial" w:hint="default"/>
                    <w:b/>
                    <w:bCs/>
                    <w:sz w:val="22"/>
                    <w:szCs w:val="22"/>
                  </w:rPr>
                  <w:t>12</w:t>
                </w:r>
                <w:r>
                  <w:rPr>
                    <w:rFonts w:ascii="Arial" w:hAnsi="Arial" w:cs="Arial" w:eastAsia="Arial" w:hint="default"/>
                    <w:b/>
                    <w:bCs/>
                    <w:spacing w:val="-8"/>
                    <w:sz w:val="22"/>
                    <w:szCs w:val="22"/>
                  </w:rPr>
                  <w:t> </w:t>
                </w:r>
                <w:r>
                  <w:rPr>
                    <w:rFonts w:ascii="黑体" w:hAnsi="黑体" w:cs="黑体" w:eastAsia="黑体" w:hint="default"/>
                    <w:b/>
                    <w:bCs/>
                    <w:sz w:val="22"/>
                    <w:szCs w:val="22"/>
                  </w:rPr>
                  <w:t>月</w:t>
                </w:r>
                <w:r>
                  <w:rPr>
                    <w:rFonts w:ascii="黑体" w:hAnsi="黑体" w:cs="黑体" w:eastAsia="黑体" w:hint="default"/>
                    <w:b/>
                    <w:bCs/>
                    <w:spacing w:val="-57"/>
                    <w:sz w:val="22"/>
                    <w:szCs w:val="22"/>
                  </w:rPr>
                  <w:t> </w:t>
                </w:r>
                <w:r>
                  <w:rPr>
                    <w:rFonts w:ascii="Arial" w:hAnsi="Arial" w:cs="Arial" w:eastAsia="Arial" w:hint="default"/>
                    <w:b/>
                    <w:bCs/>
                    <w:sz w:val="22"/>
                    <w:szCs w:val="22"/>
                  </w:rPr>
                  <w:t>31</w:t>
                </w:r>
                <w:r>
                  <w:rPr>
                    <w:rFonts w:ascii="Arial" w:hAnsi="Arial" w:cs="Arial" w:eastAsia="Arial" w:hint="default"/>
                    <w:b/>
                    <w:bCs/>
                    <w:spacing w:val="-8"/>
                    <w:sz w:val="22"/>
                    <w:szCs w:val="22"/>
                  </w:rPr>
                  <w:t> </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6.220001pt;margin-top:127.800003pt;width:426.8pt;height:.1pt;mso-position-horizontal-relative:page;mso-position-vertical-relative:page;z-index:-1131376" coordorigin="1724,2556" coordsize="8536,2">
          <v:shape style="position:absolute;left:1724;top:2556;width:8536;height:2" coordorigin="1724,2556" coordsize="8536,0" path="m1724,2556l10260,2556e" filled="false" stroked="true" strokeweight=".75pt" strokecolor="#000000">
            <v:path arrowok="t"/>
          </v:shape>
          <w10:wrap type="none"/>
        </v:group>
      </w:pict>
    </w:r>
    <w:r>
      <w:rPr/>
      <w:pict>
        <v:shape style="position:absolute;margin-left:241.520004pt;margin-top:46.923763pt;width:112.45pt;height:67pt;mso-position-horizontal-relative:page;mso-position-vertical-relative:page;z-index:-1131352" type="#_x0000_t202" filled="false" stroked="false">
          <v:textbox inset="0,0,0,0">
            <w:txbxContent>
              <w:p>
                <w:pPr>
                  <w:spacing w:line="240"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财务报表附注(续)</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Arial" w:hAnsi="Arial" w:cs="Arial" w:eastAsia="Arial" w:hint="default"/>
                    <w:b/>
                    <w:bCs/>
                    <w:spacing w:val="-8"/>
                    <w:sz w:val="22"/>
                    <w:szCs w:val="22"/>
                  </w:rPr>
                  <w:t> </w:t>
                </w:r>
                <w:r>
                  <w:rPr>
                    <w:rFonts w:ascii="黑体" w:hAnsi="黑体" w:cs="黑体" w:eastAsia="黑体" w:hint="default"/>
                    <w:b/>
                    <w:bCs/>
                    <w:sz w:val="22"/>
                    <w:szCs w:val="22"/>
                  </w:rPr>
                  <w:t>年</w:t>
                </w:r>
                <w:r>
                  <w:rPr>
                    <w:rFonts w:ascii="黑体" w:hAnsi="黑体" w:cs="黑体" w:eastAsia="黑体" w:hint="default"/>
                    <w:b/>
                    <w:bCs/>
                    <w:spacing w:val="-57"/>
                    <w:sz w:val="22"/>
                    <w:szCs w:val="22"/>
                  </w:rPr>
                  <w:t> </w:t>
                </w:r>
                <w:r>
                  <w:rPr>
                    <w:rFonts w:ascii="Arial" w:hAnsi="Arial" w:cs="Arial" w:eastAsia="Arial" w:hint="default"/>
                    <w:b/>
                    <w:bCs/>
                    <w:sz w:val="22"/>
                    <w:szCs w:val="22"/>
                  </w:rPr>
                  <w:t>12</w:t>
                </w:r>
                <w:r>
                  <w:rPr>
                    <w:rFonts w:ascii="Arial" w:hAnsi="Arial" w:cs="Arial" w:eastAsia="Arial" w:hint="default"/>
                    <w:b/>
                    <w:bCs/>
                    <w:spacing w:val="-8"/>
                    <w:sz w:val="22"/>
                    <w:szCs w:val="22"/>
                  </w:rPr>
                  <w:t> </w:t>
                </w:r>
                <w:r>
                  <w:rPr>
                    <w:rFonts w:ascii="黑体" w:hAnsi="黑体" w:cs="黑体" w:eastAsia="黑体" w:hint="default"/>
                    <w:b/>
                    <w:bCs/>
                    <w:sz w:val="22"/>
                    <w:szCs w:val="22"/>
                  </w:rPr>
                  <w:t>月</w:t>
                </w:r>
                <w:r>
                  <w:rPr>
                    <w:rFonts w:ascii="黑体" w:hAnsi="黑体" w:cs="黑体" w:eastAsia="黑体" w:hint="default"/>
                    <w:b/>
                    <w:bCs/>
                    <w:spacing w:val="-57"/>
                    <w:sz w:val="22"/>
                    <w:szCs w:val="22"/>
                  </w:rPr>
                  <w:t> </w:t>
                </w:r>
                <w:r>
                  <w:rPr>
                    <w:rFonts w:ascii="Arial" w:hAnsi="Arial" w:cs="Arial" w:eastAsia="Arial" w:hint="default"/>
                    <w:b/>
                    <w:bCs/>
                    <w:sz w:val="22"/>
                    <w:szCs w:val="22"/>
                  </w:rPr>
                  <w:t>31</w:t>
                </w:r>
                <w:r>
                  <w:rPr>
                    <w:rFonts w:ascii="Arial" w:hAnsi="Arial" w:cs="Arial" w:eastAsia="Arial" w:hint="default"/>
                    <w:b/>
                    <w:bCs/>
                    <w:spacing w:val="-8"/>
                    <w:sz w:val="22"/>
                    <w:szCs w:val="22"/>
                  </w:rPr>
                  <w:t> </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8.611pt;margin-top:128.220001pt;width:728.1pt;height:.1pt;mso-position-horizontal-relative:page;mso-position-vertical-relative:page;z-index:-1131304" coordorigin="1172,2564" coordsize="14562,2">
          <v:shape style="position:absolute;left:1172;top:2564;width:14562;height:2" coordorigin="1172,2564" coordsize="14562,0" path="m1172,2564l15734,2564e" filled="false" stroked="true" strokeweight=".75pt" strokecolor="#000000">
            <v:path arrowok="t"/>
          </v:shape>
          <w10:wrap type="none"/>
        </v:group>
      </w:pict>
    </w:r>
    <w:r>
      <w:rPr/>
      <w:pict>
        <v:shape style="position:absolute;margin-left:364.750488pt;margin-top:46.924065pt;width:112.45pt;height:67pt;mso-position-horizontal-relative:page;mso-position-vertical-relative:page;z-index:-1131280" type="#_x0000_t202" filled="false" stroked="false">
          <v:textbox inset="0,0,0,0">
            <w:txbxContent>
              <w:p>
                <w:pPr>
                  <w:spacing w:line="240"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财务报表附注(续)</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Arial" w:hAnsi="Arial" w:cs="Arial" w:eastAsia="Arial" w:hint="default"/>
                    <w:b/>
                    <w:bCs/>
                    <w:spacing w:val="-8"/>
                    <w:sz w:val="22"/>
                    <w:szCs w:val="22"/>
                  </w:rPr>
                  <w:t> </w:t>
                </w:r>
                <w:r>
                  <w:rPr>
                    <w:rFonts w:ascii="黑体" w:hAnsi="黑体" w:cs="黑体" w:eastAsia="黑体" w:hint="default"/>
                    <w:b/>
                    <w:bCs/>
                    <w:sz w:val="22"/>
                    <w:szCs w:val="22"/>
                  </w:rPr>
                  <w:t>年</w:t>
                </w:r>
                <w:r>
                  <w:rPr>
                    <w:rFonts w:ascii="黑体" w:hAnsi="黑体" w:cs="黑体" w:eastAsia="黑体" w:hint="default"/>
                    <w:b/>
                    <w:bCs/>
                    <w:spacing w:val="-57"/>
                    <w:sz w:val="22"/>
                    <w:szCs w:val="22"/>
                  </w:rPr>
                  <w:t> </w:t>
                </w:r>
                <w:r>
                  <w:rPr>
                    <w:rFonts w:ascii="Arial" w:hAnsi="Arial" w:cs="Arial" w:eastAsia="Arial" w:hint="default"/>
                    <w:b/>
                    <w:bCs/>
                    <w:sz w:val="22"/>
                    <w:szCs w:val="22"/>
                  </w:rPr>
                  <w:t>12</w:t>
                </w:r>
                <w:r>
                  <w:rPr>
                    <w:rFonts w:ascii="Arial" w:hAnsi="Arial" w:cs="Arial" w:eastAsia="Arial" w:hint="default"/>
                    <w:b/>
                    <w:bCs/>
                    <w:spacing w:val="-8"/>
                    <w:sz w:val="22"/>
                    <w:szCs w:val="22"/>
                  </w:rPr>
                  <w:t> </w:t>
                </w:r>
                <w:r>
                  <w:rPr>
                    <w:rFonts w:ascii="黑体" w:hAnsi="黑体" w:cs="黑体" w:eastAsia="黑体" w:hint="default"/>
                    <w:b/>
                    <w:bCs/>
                    <w:sz w:val="22"/>
                    <w:szCs w:val="22"/>
                  </w:rPr>
                  <w:t>月</w:t>
                </w:r>
                <w:r>
                  <w:rPr>
                    <w:rFonts w:ascii="黑体" w:hAnsi="黑体" w:cs="黑体" w:eastAsia="黑体" w:hint="default"/>
                    <w:b/>
                    <w:bCs/>
                    <w:spacing w:val="-57"/>
                    <w:sz w:val="22"/>
                    <w:szCs w:val="22"/>
                  </w:rPr>
                  <w:t> </w:t>
                </w:r>
                <w:r>
                  <w:rPr>
                    <w:rFonts w:ascii="Arial" w:hAnsi="Arial" w:cs="Arial" w:eastAsia="Arial" w:hint="default"/>
                    <w:b/>
                    <w:bCs/>
                    <w:sz w:val="22"/>
                    <w:szCs w:val="22"/>
                  </w:rPr>
                  <w:t>31</w:t>
                </w:r>
                <w:r>
                  <w:rPr>
                    <w:rFonts w:ascii="Arial" w:hAnsi="Arial" w:cs="Arial" w:eastAsia="Arial" w:hint="default"/>
                    <w:b/>
                    <w:bCs/>
                    <w:spacing w:val="-8"/>
                    <w:sz w:val="22"/>
                    <w:szCs w:val="22"/>
                  </w:rPr>
                  <w:t> </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4pt;margin-top:128.220001pt;width:511.05pt;height:.1pt;mso-position-horizontal-relative:page;mso-position-vertical-relative:page;z-index:-1131208" coordorigin="1680,2564" coordsize="10221,2">
          <v:shape style="position:absolute;left:1680;top:2564;width:10221;height:2" coordorigin="1680,2564" coordsize="10221,0" path="m1680,2564l11900,2564e" filled="false" stroked="true" strokeweight=".75pt" strokecolor="#000000">
            <v:path arrowok="t"/>
          </v:shape>
          <w10:wrap type="none"/>
        </v:group>
      </w:pict>
    </w:r>
    <w:r>
      <w:rPr/>
      <w:pict>
        <v:shape style="position:absolute;margin-left:241.520004pt;margin-top:46.923763pt;width:112.45pt;height:67pt;mso-position-horizontal-relative:page;mso-position-vertical-relative:page;z-index:-1131184" type="#_x0000_t202" filled="false" stroked="false">
          <v:textbox inset="0,0,0,0">
            <w:txbxContent>
              <w:p>
                <w:pPr>
                  <w:spacing w:line="240"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财务报表附注(续)</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Arial" w:hAnsi="Arial" w:cs="Arial" w:eastAsia="Arial" w:hint="default"/>
                    <w:b/>
                    <w:bCs/>
                    <w:spacing w:val="-8"/>
                    <w:sz w:val="22"/>
                    <w:szCs w:val="22"/>
                  </w:rPr>
                  <w:t> </w:t>
                </w:r>
                <w:r>
                  <w:rPr>
                    <w:rFonts w:ascii="黑体" w:hAnsi="黑体" w:cs="黑体" w:eastAsia="黑体" w:hint="default"/>
                    <w:b/>
                    <w:bCs/>
                    <w:sz w:val="22"/>
                    <w:szCs w:val="22"/>
                  </w:rPr>
                  <w:t>年</w:t>
                </w:r>
                <w:r>
                  <w:rPr>
                    <w:rFonts w:ascii="黑体" w:hAnsi="黑体" w:cs="黑体" w:eastAsia="黑体" w:hint="default"/>
                    <w:b/>
                    <w:bCs/>
                    <w:spacing w:val="-57"/>
                    <w:sz w:val="22"/>
                    <w:szCs w:val="22"/>
                  </w:rPr>
                  <w:t> </w:t>
                </w:r>
                <w:r>
                  <w:rPr>
                    <w:rFonts w:ascii="Arial" w:hAnsi="Arial" w:cs="Arial" w:eastAsia="Arial" w:hint="default"/>
                    <w:b/>
                    <w:bCs/>
                    <w:sz w:val="22"/>
                    <w:szCs w:val="22"/>
                  </w:rPr>
                  <w:t>12</w:t>
                </w:r>
                <w:r>
                  <w:rPr>
                    <w:rFonts w:ascii="Arial" w:hAnsi="Arial" w:cs="Arial" w:eastAsia="Arial" w:hint="default"/>
                    <w:b/>
                    <w:bCs/>
                    <w:spacing w:val="-8"/>
                    <w:sz w:val="22"/>
                    <w:szCs w:val="22"/>
                  </w:rPr>
                  <w:t> </w:t>
                </w:r>
                <w:r>
                  <w:rPr>
                    <w:rFonts w:ascii="黑体" w:hAnsi="黑体" w:cs="黑体" w:eastAsia="黑体" w:hint="default"/>
                    <w:b/>
                    <w:bCs/>
                    <w:sz w:val="22"/>
                    <w:szCs w:val="22"/>
                  </w:rPr>
                  <w:t>月</w:t>
                </w:r>
                <w:r>
                  <w:rPr>
                    <w:rFonts w:ascii="黑体" w:hAnsi="黑体" w:cs="黑体" w:eastAsia="黑体" w:hint="default"/>
                    <w:b/>
                    <w:bCs/>
                    <w:spacing w:val="-57"/>
                    <w:sz w:val="22"/>
                    <w:szCs w:val="22"/>
                  </w:rPr>
                  <w:t> </w:t>
                </w:r>
                <w:r>
                  <w:rPr>
                    <w:rFonts w:ascii="Arial" w:hAnsi="Arial" w:cs="Arial" w:eastAsia="Arial" w:hint="default"/>
                    <w:b/>
                    <w:bCs/>
                    <w:sz w:val="22"/>
                    <w:szCs w:val="22"/>
                  </w:rPr>
                  <w:t>31</w:t>
                </w:r>
                <w:r>
                  <w:rPr>
                    <w:rFonts w:ascii="Arial" w:hAnsi="Arial" w:cs="Arial" w:eastAsia="Arial" w:hint="default"/>
                    <w:b/>
                    <w:bCs/>
                    <w:spacing w:val="-8"/>
                    <w:sz w:val="22"/>
                    <w:szCs w:val="22"/>
                  </w:rPr>
                  <w:t> </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4pt;margin-top:128.220001pt;width:511.05pt;height:.1pt;mso-position-horizontal-relative:page;mso-position-vertical-relative:page;z-index:-1131136" coordorigin="1680,2564" coordsize="10221,2">
          <v:shape style="position:absolute;left:1680;top:2564;width:10221;height:2" coordorigin="1680,2564" coordsize="10221,0" path="m1680,2564l11900,2564e" filled="false" stroked="true" strokeweight=".75pt" strokecolor="#000000">
            <v:path arrowok="t"/>
          </v:shape>
          <w10:wrap type="none"/>
        </v:group>
      </w:pict>
    </w:r>
    <w:r>
      <w:rPr/>
      <w:pict>
        <v:shape style="position:absolute;margin-left:241.520004pt;margin-top:46.923763pt;width:112.45pt;height:67pt;mso-position-horizontal-relative:page;mso-position-vertical-relative:page;z-index:-1131112" type="#_x0000_t202" filled="false" stroked="false">
          <v:textbox inset="0,0,0,0">
            <w:txbxContent>
              <w:p>
                <w:pPr>
                  <w:spacing w:line="240"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财务报表补充资料</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Arial" w:hAnsi="Arial" w:cs="Arial" w:eastAsia="Arial" w:hint="default"/>
                    <w:b/>
                    <w:bCs/>
                    <w:spacing w:val="-8"/>
                    <w:sz w:val="22"/>
                    <w:szCs w:val="22"/>
                  </w:rPr>
                  <w:t> </w:t>
                </w:r>
                <w:r>
                  <w:rPr>
                    <w:rFonts w:ascii="黑体" w:hAnsi="黑体" w:cs="黑体" w:eastAsia="黑体" w:hint="default"/>
                    <w:b/>
                    <w:bCs/>
                    <w:sz w:val="22"/>
                    <w:szCs w:val="22"/>
                  </w:rPr>
                  <w:t>年</w:t>
                </w:r>
                <w:r>
                  <w:rPr>
                    <w:rFonts w:ascii="黑体" w:hAnsi="黑体" w:cs="黑体" w:eastAsia="黑体" w:hint="default"/>
                    <w:b/>
                    <w:bCs/>
                    <w:spacing w:val="-57"/>
                    <w:sz w:val="22"/>
                    <w:szCs w:val="22"/>
                  </w:rPr>
                  <w:t> </w:t>
                </w:r>
                <w:r>
                  <w:rPr>
                    <w:rFonts w:ascii="Arial" w:hAnsi="Arial" w:cs="Arial" w:eastAsia="Arial" w:hint="default"/>
                    <w:b/>
                    <w:bCs/>
                    <w:sz w:val="22"/>
                    <w:szCs w:val="22"/>
                  </w:rPr>
                  <w:t>12</w:t>
                </w:r>
                <w:r>
                  <w:rPr>
                    <w:rFonts w:ascii="Arial" w:hAnsi="Arial" w:cs="Arial" w:eastAsia="Arial" w:hint="default"/>
                    <w:b/>
                    <w:bCs/>
                    <w:spacing w:val="-8"/>
                    <w:sz w:val="22"/>
                    <w:szCs w:val="22"/>
                  </w:rPr>
                  <w:t> </w:t>
                </w:r>
                <w:r>
                  <w:rPr>
                    <w:rFonts w:ascii="黑体" w:hAnsi="黑体" w:cs="黑体" w:eastAsia="黑体" w:hint="default"/>
                    <w:b/>
                    <w:bCs/>
                    <w:sz w:val="22"/>
                    <w:szCs w:val="22"/>
                  </w:rPr>
                  <w:t>月</w:t>
                </w:r>
                <w:r>
                  <w:rPr>
                    <w:rFonts w:ascii="黑体" w:hAnsi="黑体" w:cs="黑体" w:eastAsia="黑体" w:hint="default"/>
                    <w:b/>
                    <w:bCs/>
                    <w:spacing w:val="-57"/>
                    <w:sz w:val="22"/>
                    <w:szCs w:val="22"/>
                  </w:rPr>
                  <w:t> </w:t>
                </w:r>
                <w:r>
                  <w:rPr>
                    <w:rFonts w:ascii="Arial" w:hAnsi="Arial" w:cs="Arial" w:eastAsia="Arial" w:hint="default"/>
                    <w:b/>
                    <w:bCs/>
                    <w:sz w:val="22"/>
                    <w:szCs w:val="22"/>
                  </w:rPr>
                  <w:t>31</w:t>
                </w:r>
                <w:r>
                  <w:rPr>
                    <w:rFonts w:ascii="Arial" w:hAnsi="Arial" w:cs="Arial" w:eastAsia="Arial" w:hint="default"/>
                    <w:b/>
                    <w:bCs/>
                    <w:spacing w:val="-8"/>
                    <w:sz w:val="22"/>
                    <w:szCs w:val="22"/>
                  </w:rPr>
                  <w:t> </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4pt;margin-top:128.220001pt;width:511.05pt;height:.1pt;mso-position-horizontal-relative:page;mso-position-vertical-relative:page;z-index:-1131088" coordorigin="1680,2564" coordsize="10221,2">
          <v:shape style="position:absolute;left:1680;top:2564;width:10221;height:2" coordorigin="1680,2564" coordsize="10221,0" path="m1680,2564l11900,2564e" filled="false" stroked="true" strokeweight=".75pt" strokecolor="#000000">
            <v:path arrowok="t"/>
          </v:shape>
          <w10:wrap type="none"/>
        </v:group>
      </w:pict>
    </w:r>
    <w:r>
      <w:rPr/>
      <w:pict>
        <v:shape style="position:absolute;margin-left:241.520004pt;margin-top:46.923763pt;width:112.45pt;height:67pt;mso-position-horizontal-relative:page;mso-position-vertical-relative:page;z-index:-1131064" type="#_x0000_t202" filled="false" stroked="false">
          <v:textbox inset="0,0,0,0">
            <w:txbxContent>
              <w:p>
                <w:pPr>
                  <w:spacing w:line="240"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line="285" w:lineRule="auto" w:before="72"/>
                  <w:ind w:left="57" w:right="55" w:firstLine="0"/>
                  <w:jc w:val="center"/>
                  <w:rPr>
                    <w:rFonts w:ascii="黑体" w:hAnsi="黑体" w:cs="黑体" w:eastAsia="黑体" w:hint="default"/>
                    <w:sz w:val="22"/>
                    <w:szCs w:val="22"/>
                  </w:rPr>
                </w:pPr>
                <w:r>
                  <w:rPr>
                    <w:rFonts w:ascii="黑体" w:hAnsi="黑体" w:cs="黑体" w:eastAsia="黑体" w:hint="default"/>
                    <w:b/>
                    <w:bCs/>
                    <w:w w:val="95"/>
                    <w:sz w:val="22"/>
                    <w:szCs w:val="22"/>
                  </w:rPr>
                  <w:t>财务报表补充资料</w:t>
                </w:r>
                <w:r>
                  <w:rPr>
                    <w:rFonts w:ascii="Arial" w:hAnsi="Arial" w:cs="Arial" w:eastAsia="Arial" w:hint="default"/>
                    <w:b/>
                    <w:bCs/>
                    <w:w w:val="95"/>
                    <w:sz w:val="22"/>
                    <w:szCs w:val="22"/>
                  </w:rPr>
                  <w:t>(</w:t>
                </w:r>
                <w:r>
                  <w:rPr>
                    <w:rFonts w:ascii="黑体" w:hAnsi="黑体" w:cs="黑体" w:eastAsia="黑体" w:hint="default"/>
                    <w:b/>
                    <w:bCs/>
                    <w:w w:val="95"/>
                    <w:sz w:val="22"/>
                    <w:szCs w:val="22"/>
                  </w:rPr>
                  <w:t>续</w:t>
                </w:r>
                <w:r>
                  <w:rPr>
                    <w:rFonts w:ascii="Arial" w:hAnsi="Arial" w:cs="Arial" w:eastAsia="Arial" w:hint="default"/>
                    <w:b/>
                    <w:bCs/>
                    <w:w w:val="95"/>
                    <w:sz w:val="22"/>
                    <w:szCs w:val="22"/>
                  </w:rPr>
                  <w:t>)</w:t>
                </w:r>
                <w:r>
                  <w:rPr>
                    <w:rFonts w:ascii="Arial" w:hAnsi="Arial" w:cs="Arial" w:eastAsia="Arial" w:hint="default"/>
                    <w:b/>
                    <w:bCs/>
                    <w:spacing w:val="43"/>
                    <w:w w:val="95"/>
                    <w:sz w:val="22"/>
                    <w:szCs w:val="22"/>
                  </w:rPr>
                  <w:t> </w:t>
                </w:r>
                <w:r>
                  <w:rPr>
                    <w:rFonts w:ascii="Arial" w:hAnsi="Arial" w:cs="Arial" w:eastAsia="Arial" w:hint="default"/>
                    <w:b/>
                    <w:bCs/>
                    <w:sz w:val="22"/>
                    <w:szCs w:val="22"/>
                  </w:rPr>
                  <w:t>2009</w:t>
                </w:r>
                <w:r>
                  <w:rPr>
                    <w:rFonts w:ascii="Arial" w:hAnsi="Arial" w:cs="Arial" w:eastAsia="Arial" w:hint="default"/>
                    <w:b/>
                    <w:bCs/>
                    <w:spacing w:val="-8"/>
                    <w:sz w:val="22"/>
                    <w:szCs w:val="22"/>
                  </w:rPr>
                  <w:t> </w:t>
                </w:r>
                <w:r>
                  <w:rPr>
                    <w:rFonts w:ascii="黑体" w:hAnsi="黑体" w:cs="黑体" w:eastAsia="黑体" w:hint="default"/>
                    <w:b/>
                    <w:bCs/>
                    <w:sz w:val="22"/>
                    <w:szCs w:val="22"/>
                  </w:rPr>
                  <w:t>年</w:t>
                </w:r>
                <w:r>
                  <w:rPr>
                    <w:rFonts w:ascii="黑体" w:hAnsi="黑体" w:cs="黑体" w:eastAsia="黑体" w:hint="default"/>
                    <w:b/>
                    <w:bCs/>
                    <w:spacing w:val="-57"/>
                    <w:sz w:val="22"/>
                    <w:szCs w:val="22"/>
                  </w:rPr>
                  <w:t> </w:t>
                </w:r>
                <w:r>
                  <w:rPr>
                    <w:rFonts w:ascii="Arial" w:hAnsi="Arial" w:cs="Arial" w:eastAsia="Arial" w:hint="default"/>
                    <w:b/>
                    <w:bCs/>
                    <w:sz w:val="22"/>
                    <w:szCs w:val="22"/>
                  </w:rPr>
                  <w:t>12</w:t>
                </w:r>
                <w:r>
                  <w:rPr>
                    <w:rFonts w:ascii="Arial" w:hAnsi="Arial" w:cs="Arial" w:eastAsia="Arial" w:hint="default"/>
                    <w:b/>
                    <w:bCs/>
                    <w:spacing w:val="-8"/>
                    <w:sz w:val="22"/>
                    <w:szCs w:val="22"/>
                  </w:rPr>
                  <w:t> </w:t>
                </w:r>
                <w:r>
                  <w:rPr>
                    <w:rFonts w:ascii="黑体" w:hAnsi="黑体" w:cs="黑体" w:eastAsia="黑体" w:hint="default"/>
                    <w:b/>
                    <w:bCs/>
                    <w:sz w:val="22"/>
                    <w:szCs w:val="22"/>
                  </w:rPr>
                  <w:t>月</w:t>
                </w:r>
                <w:r>
                  <w:rPr>
                    <w:rFonts w:ascii="黑体" w:hAnsi="黑体" w:cs="黑体" w:eastAsia="黑体" w:hint="default"/>
                    <w:b/>
                    <w:bCs/>
                    <w:spacing w:val="-57"/>
                    <w:sz w:val="22"/>
                    <w:szCs w:val="22"/>
                  </w:rPr>
                  <w:t> </w:t>
                </w:r>
                <w:r>
                  <w:rPr>
                    <w:rFonts w:ascii="Arial" w:hAnsi="Arial" w:cs="Arial" w:eastAsia="Arial" w:hint="default"/>
                    <w:b/>
                    <w:bCs/>
                    <w:sz w:val="22"/>
                    <w:szCs w:val="22"/>
                  </w:rPr>
                  <w:t>31</w:t>
                </w:r>
                <w:r>
                  <w:rPr>
                    <w:rFonts w:ascii="Arial" w:hAnsi="Arial" w:cs="Arial" w:eastAsia="Arial" w:hint="default"/>
                    <w:b/>
                    <w:bCs/>
                    <w:spacing w:val="-8"/>
                    <w:sz w:val="22"/>
                    <w:szCs w:val="22"/>
                  </w:rPr>
                  <w:t> </w:t>
                </w:r>
                <w:r>
                  <w:rPr>
                    <w:rFonts w:ascii="黑体" w:hAnsi="黑体" w:cs="黑体" w:eastAsia="黑体" w:hint="default"/>
                    <w:b/>
                    <w:bCs/>
                    <w:sz w:val="22"/>
                    <w:szCs w:val="22"/>
                  </w:rPr>
                  <w:t>日</w:t>
                </w:r>
                <w:r>
                  <w:rPr>
                    <w:rFonts w:ascii="黑体" w:hAnsi="黑体" w:cs="黑体" w:eastAsia="黑体" w:hint="default"/>
                    <w:sz w:val="22"/>
                    <w:szCs w:val="22"/>
                  </w:rPr>
                </w:r>
              </w:p>
              <w:p>
                <w:pPr>
                  <w:spacing w:before="9"/>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72.664063pt;width:13pt;height:13pt;mso-position-horizontal-relative:page;mso-position-vertical-relative:page;z-index:-1131040"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sz w:val="22"/>
                  </w:rPr>
                  <w:t>1.</w:t>
                </w:r>
              </w:p>
            </w:txbxContent>
          </v:textbox>
          <w10:wrap type="none"/>
        </v:shape>
      </w:pict>
    </w:r>
    <w:r>
      <w:rPr/>
      <w:pict>
        <v:shape style="position:absolute;margin-left:125.003418pt;margin-top:72.664063pt;width:167pt;height:13pt;mso-position-horizontal-relative:page;mso-position-vertical-relative:page;z-index:-1131016"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软件和实施混合确认收入（集团）</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86.644066pt;width:13pt;height:13pt;mso-position-horizontal-relative:page;mso-position-vertical-relative:page;z-index:-1130968"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sz w:val="22"/>
                  </w:rPr>
                  <w:t>2.</w:t>
                </w:r>
              </w:p>
            </w:txbxContent>
          </v:textbox>
          <w10:wrap type="none"/>
        </v:shape>
      </w:pict>
    </w:r>
    <w:r>
      <w:rPr/>
      <w:pict>
        <v:shape style="position:absolute;margin-left:125.003418pt;margin-top:86.644066pt;width:167pt;height:13pt;mso-position-horizontal-relative:page;mso-position-vertical-relative:page;z-index:-1130944"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销售合同管理不完善（公司总部）</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86.644066pt;width:13pt;height:13pt;mso-position-horizontal-relative:page;mso-position-vertical-relative:page;z-index:-1130920"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sz w:val="22"/>
                  </w:rPr>
                  <w:t>3.</w:t>
                </w:r>
              </w:p>
            </w:txbxContent>
          </v:textbox>
          <w10:wrap type="none"/>
        </v:shape>
      </w:pict>
    </w:r>
    <w:r>
      <w:rPr/>
      <w:pict>
        <v:shape style="position:absolute;margin-left:125.003418pt;margin-top:86.644066pt;width:310pt;height:13pt;mso-position-horizontal-relative:page;mso-position-vertical-relative:page;z-index:-1130896"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服务合同日期的确定及合同保管不完善（用友政务、厦门烟草）</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72.664063pt;width:13pt;height:13pt;mso-position-horizontal-relative:page;mso-position-vertical-relative:page;z-index:-1130872"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sz w:val="22"/>
                  </w:rPr>
                  <w:t>3.</w:t>
                </w:r>
              </w:p>
            </w:txbxContent>
          </v:textbox>
          <w10:wrap type="none"/>
        </v:shape>
      </w:pict>
    </w:r>
    <w:r>
      <w:rPr/>
      <w:pict>
        <v:shape style="position:absolute;margin-left:125.003418pt;margin-top:72.664063pt;width:343.05pt;height:13pt;mso-position-horizontal-relative:page;mso-position-vertical-relative:page;z-index:-1130848"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服务合同日期的确定及合同保管不完善（用友政务、厦门烟草）（续）</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86.644066pt;width:13pt;height:13pt;mso-position-horizontal-relative:page;mso-position-vertical-relative:page;z-index:-1130824"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sz w:val="22"/>
                  </w:rPr>
                  <w:t>4.</w:t>
                </w:r>
              </w:p>
            </w:txbxContent>
          </v:textbox>
          <w10:wrap type="none"/>
        </v:shape>
      </w:pict>
    </w:r>
    <w:r>
      <w:rPr/>
      <w:pict>
        <v:shape style="position:absolute;margin-left:125.003418pt;margin-top:86.644066pt;width:167pt;height:13pt;mso-position-horizontal-relative:page;mso-position-vertical-relative:page;z-index:-1130800"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实施进度报告管理不完善（集团）</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86.644066pt;width:13pt;height:13pt;mso-position-horizontal-relative:page;mso-position-vertical-relative:page;z-index:-1130776"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sz w:val="22"/>
                  </w:rPr>
                  <w:t>5.</w:t>
                </w:r>
              </w:p>
            </w:txbxContent>
          </v:textbox>
          <w10:wrap type="none"/>
        </v:shape>
      </w:pict>
    </w:r>
    <w:r>
      <w:rPr/>
      <w:pict>
        <v:shape style="position:absolute;margin-left:125.003418pt;margin-top:86.644066pt;width:167pt;height:13pt;mso-position-horizontal-relative:page;mso-position-vertical-relative:page;z-index:-1130752"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发出商品确认收入不及时（集团）</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86.644066pt;width:13pt;height:13pt;mso-position-horizontal-relative:page;mso-position-vertical-relative:page;z-index:-1130728"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sz w:val="22"/>
                  </w:rPr>
                  <w:t>6.</w:t>
                </w:r>
              </w:p>
            </w:txbxContent>
          </v:textbox>
          <w10:wrap type="none"/>
        </v:shape>
      </w:pict>
    </w:r>
    <w:r>
      <w:rPr/>
      <w:pict>
        <v:shape style="position:absolute;margin-left:125.003418pt;margin-top:86.644066pt;width:112pt;height:13pt;mso-position-horizontal-relative:page;mso-position-vertical-relative:page;z-index:-1130704"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存货代出问题（总部）</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86.644066pt;width:13pt;height:13pt;mso-position-horizontal-relative:page;mso-position-vertical-relative:page;z-index:-1130680"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sz w:val="22"/>
                  </w:rPr>
                  <w:t>7.</w:t>
                </w:r>
              </w:p>
            </w:txbxContent>
          </v:textbox>
          <w10:wrap type="none"/>
        </v:shape>
      </w:pict>
    </w:r>
    <w:r>
      <w:rPr/>
      <w:pict>
        <v:shape style="position:absolute;margin-left:125.002319pt;margin-top:86.644066pt;width:194.55pt;height:13pt;mso-position-horizontal-relative:page;mso-position-vertical-relative:page;z-index:-1130656"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政府拨款的文档管理和账务处理</w:t>
                </w:r>
                <w:r>
                  <w:rPr>
                    <w:rFonts w:ascii="黑体" w:hAnsi="黑体" w:cs="黑体" w:eastAsia="黑体" w:hint="default"/>
                    <w:spacing w:val="-3"/>
                    <w:sz w:val="22"/>
                    <w:szCs w:val="22"/>
                  </w:rPr>
                  <w:t> </w:t>
                </w:r>
                <w:r>
                  <w:rPr>
                    <w:rFonts w:ascii="黑体" w:hAnsi="黑体" w:cs="黑体" w:eastAsia="黑体" w:hint="default"/>
                    <w:sz w:val="22"/>
                    <w:szCs w:val="22"/>
                  </w:rPr>
                  <w:t>(总部)</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86.644066pt;width:10.3pt;height:14.2pt;mso-position-horizontal-relative:page;mso-position-vertical-relative:page;z-index:-1130632" type="#_x0000_t202" filled="false" stroked="false">
          <v:textbox inset="0,0,0,0">
            <w:txbxContent>
              <w:p>
                <w:pPr>
                  <w:spacing w:line="268" w:lineRule="exact" w:before="0"/>
                  <w:ind w:left="20" w:right="0" w:firstLine="0"/>
                  <w:jc w:val="left"/>
                  <w:rPr>
                    <w:rFonts w:ascii="Calibri" w:hAnsi="Calibri" w:cs="Calibri" w:eastAsia="Calibri" w:hint="default"/>
                    <w:sz w:val="22"/>
                    <w:szCs w:val="22"/>
                  </w:rPr>
                </w:pPr>
                <w:r>
                  <w:rPr>
                    <w:rFonts w:ascii="黑体"/>
                    <w:sz w:val="22"/>
                  </w:rPr>
                  <w:t>8</w:t>
                </w:r>
                <w:r>
                  <w:rPr>
                    <w:rFonts w:ascii="Calibri"/>
                    <w:sz w:val="22"/>
                  </w:rPr>
                  <w:t>.</w:t>
                </w:r>
              </w:p>
            </w:txbxContent>
          </v:textbox>
          <w10:wrap type="none"/>
        </v:shape>
      </w:pict>
    </w:r>
    <w:r>
      <w:rPr/>
      <w:pict>
        <v:shape style="position:absolute;margin-left:125.003418pt;margin-top:86.644066pt;width:167pt;height:13pt;mso-position-horizontal-relative:page;mso-position-vertical-relative:page;z-index:-1130608"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公司内部关联方交易定价（集团）</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86.644066pt;width:10.3pt;height:14.2pt;mso-position-horizontal-relative:page;mso-position-vertical-relative:page;z-index:-1130584" type="#_x0000_t202" filled="false" stroked="false">
          <v:textbox inset="0,0,0,0">
            <w:txbxContent>
              <w:p>
                <w:pPr>
                  <w:spacing w:line="268" w:lineRule="exact" w:before="0"/>
                  <w:ind w:left="20" w:right="0" w:firstLine="0"/>
                  <w:jc w:val="left"/>
                  <w:rPr>
                    <w:rFonts w:ascii="Calibri" w:hAnsi="Calibri" w:cs="Calibri" w:eastAsia="Calibri" w:hint="default"/>
                    <w:sz w:val="22"/>
                    <w:szCs w:val="22"/>
                  </w:rPr>
                </w:pPr>
                <w:r>
                  <w:rPr>
                    <w:rFonts w:ascii="黑体"/>
                    <w:sz w:val="22"/>
                  </w:rPr>
                  <w:t>9</w:t>
                </w:r>
                <w:r>
                  <w:rPr>
                    <w:rFonts w:ascii="Calibri"/>
                    <w:sz w:val="22"/>
                  </w:rPr>
                  <w:t>.</w:t>
                </w:r>
              </w:p>
            </w:txbxContent>
          </v:textbox>
          <w10:wrap type="none"/>
        </v:shape>
      </w:pict>
    </w:r>
    <w:r>
      <w:rPr/>
      <w:pict>
        <v:shape style="position:absolute;margin-left:124.999031pt;margin-top:86.644066pt;width:90pt;height:13pt;mso-position-horizontal-relative:page;mso-position-vertical-relative:page;z-index:-1130560"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经营性借款(集团)</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86.644066pt;width:18.5pt;height:13pt;mso-position-horizontal-relative:page;mso-position-vertical-relative:page;z-index:-1130536"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sz w:val="22"/>
                  </w:rPr>
                  <w:t>10.</w:t>
                </w:r>
              </w:p>
            </w:txbxContent>
          </v:textbox>
          <w10:wrap type="none"/>
        </v:shape>
      </w:pict>
    </w:r>
    <w:r>
      <w:rPr/>
      <w:pict>
        <v:shape style="position:absolute;margin-left:124.979263pt;margin-top:86.644066pt;width:145pt;height:13pt;mso-position-horizontal-relative:page;mso-position-vertical-relative:page;z-index:-1130512"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投资业务与财务处理（总部）</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86.644066pt;width:18.5pt;height:13pt;mso-position-horizontal-relative:page;mso-position-vertical-relative:page;z-index:-1130488"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sz w:val="22"/>
                  </w:rPr>
                  <w:t>11.</w:t>
                </w:r>
              </w:p>
            </w:txbxContent>
          </v:textbox>
          <w10:wrap type="none"/>
        </v:shape>
      </w:pict>
    </w:r>
    <w:r>
      <w:rPr/>
      <w:pict>
        <v:shape style="position:absolute;margin-left:124.979263pt;margin-top:86.644066pt;width:189.05pt;height:13pt;mso-position-horizontal-relative:page;mso-position-vertical-relative:page;z-index:-1130464"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在建工程合同管理与财务处理（总部）</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86.644066pt;width:18.5pt;height:13pt;mso-position-horizontal-relative:page;mso-position-vertical-relative:page;z-index:-1130440"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sz w:val="22"/>
                  </w:rPr>
                  <w:t>12.</w:t>
                </w:r>
              </w:p>
            </w:txbxContent>
          </v:textbox>
          <w10:wrap type="none"/>
        </v:shape>
      </w:pict>
    </w:r>
    <w:r>
      <w:rPr/>
      <w:pict>
        <v:shape style="position:absolute;margin-left:124.979263pt;margin-top:86.644066pt;width:244.05pt;height:13pt;mso-position-horizontal-relative:page;mso-position-vertical-relative:page;z-index:-1130416"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银行余额调节表编制不完善（总部、上海分公司）</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86.644066pt;width:381.5pt;height:13pt;mso-position-horizontal-relative:page;mso-position-vertical-relative:page;z-index:-1130392"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13.应付职工薪酬及相关费用科目的明细项目混记问题（方正春元、用友烟草）</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86.644066pt;width:18.5pt;height:13pt;mso-position-horizontal-relative:page;mso-position-vertical-relative:page;z-index:-1130368"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sz w:val="22"/>
                  </w:rPr>
                  <w:t>14.</w:t>
                </w:r>
              </w:p>
            </w:txbxContent>
          </v:textbox>
          <w10:wrap type="none"/>
        </v:shape>
      </w:pict>
    </w:r>
    <w:r>
      <w:rPr/>
      <w:pict>
        <v:shape style="position:absolute;margin-left:124.979263pt;margin-top:86.644066pt;width:178.05pt;height:13pt;mso-position-horizontal-relative:page;mso-position-vertical-relative:page;z-index:-1130344"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流动负债分类不准确（北京分公司）</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86.644066pt;width:211pt;height:13pt;mso-position-horizontal-relative:page;mso-position-vertical-relative:page;z-index:-1130320"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15．所得税的合并纳税（公司及用友政务）</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86.644066pt;width:161.450pt;height:13pt;mso-position-horizontal-relative:page;mso-position-vertical-relative:page;z-index:-1130296"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16.增值税退税返还（各分公司）</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1pt;margin-top:96.72718pt;width:13.2pt;height:13.65pt;mso-position-horizontal-relative:page;mso-position-vertical-relative:page;z-index:-1130152" type="#_x0000_t202" filled="false" stroked="false">
          <v:textbox inset="0,0,0,0">
            <w:txbxContent>
              <w:p>
                <w:pPr>
                  <w:spacing w:line="252" w:lineRule="exact" w:before="0"/>
                  <w:ind w:left="20" w:right="0" w:firstLine="0"/>
                  <w:jc w:val="left"/>
                  <w:rPr>
                    <w:rFonts w:ascii="黑体" w:hAnsi="黑体" w:cs="黑体" w:eastAsia="黑体" w:hint="default"/>
                    <w:sz w:val="23"/>
                    <w:szCs w:val="23"/>
                  </w:rPr>
                </w:pPr>
                <w:r>
                  <w:rPr>
                    <w:rFonts w:ascii="黑体"/>
                    <w:b/>
                    <w:i/>
                    <w:sz w:val="23"/>
                  </w:rPr>
                  <w:t>3.</w:t>
                </w:r>
                <w:r>
                  <w:rPr>
                    <w:rFonts w:ascii="黑体"/>
                    <w:sz w:val="23"/>
                  </w:rPr>
                </w:r>
              </w:p>
            </w:txbxContent>
          </v:textbox>
          <w10:wrap type="none"/>
        </v:shape>
      </w:pict>
    </w:r>
    <w:r>
      <w:rPr/>
      <w:pict>
        <v:shape style="position:absolute;margin-left:107pt;margin-top:96.72718pt;width:189.7pt;height:13.65pt;mso-position-horizontal-relative:page;mso-position-vertical-relative:page;z-index:-1130128" type="#_x0000_t202" filled="false" stroked="false">
          <v:textbox inset="0,0,0,0">
            <w:txbxContent>
              <w:p>
                <w:pPr>
                  <w:spacing w:line="252" w:lineRule="exact" w:before="0"/>
                  <w:ind w:left="20" w:right="0" w:firstLine="0"/>
                  <w:jc w:val="left"/>
                  <w:rPr>
                    <w:rFonts w:ascii="黑体" w:hAnsi="黑体" w:cs="黑体" w:eastAsia="黑体" w:hint="default"/>
                    <w:sz w:val="23"/>
                    <w:szCs w:val="23"/>
                  </w:rPr>
                </w:pPr>
                <w:r>
                  <w:rPr>
                    <w:rFonts w:ascii="黑体" w:hAnsi="黑体" w:cs="黑体" w:eastAsia="黑体" w:hint="default"/>
                    <w:b/>
                    <w:bCs/>
                    <w:i/>
                    <w:w w:val="95"/>
                    <w:sz w:val="23"/>
                    <w:szCs w:val="23"/>
                  </w:rPr>
                  <w:t>商务生产系统程序变更管理及职责分工</w:t>
                </w:r>
                <w:r>
                  <w:rPr>
                    <w:rFonts w:ascii="黑体" w:hAnsi="黑体" w:cs="黑体" w:eastAsia="黑体" w:hint="default"/>
                    <w:sz w:val="23"/>
                    <w:szCs w:val="23"/>
                  </w:rPr>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1pt;margin-top:96.72718pt;width:13.2pt;height:13.65pt;mso-position-horizontal-relative:page;mso-position-vertical-relative:page;z-index:-1130080" type="#_x0000_t202" filled="false" stroked="false">
          <v:textbox inset="0,0,0,0">
            <w:txbxContent>
              <w:p>
                <w:pPr>
                  <w:spacing w:line="252" w:lineRule="exact" w:before="0"/>
                  <w:ind w:left="20" w:right="0" w:firstLine="0"/>
                  <w:jc w:val="left"/>
                  <w:rPr>
                    <w:rFonts w:ascii="黑体" w:hAnsi="黑体" w:cs="黑体" w:eastAsia="黑体" w:hint="default"/>
                    <w:sz w:val="23"/>
                    <w:szCs w:val="23"/>
                  </w:rPr>
                </w:pPr>
                <w:r>
                  <w:rPr>
                    <w:rFonts w:ascii="黑体"/>
                    <w:b/>
                    <w:i/>
                    <w:sz w:val="23"/>
                  </w:rPr>
                  <w:t>4.</w:t>
                </w:r>
                <w:r>
                  <w:rPr>
                    <w:rFonts w:ascii="黑体"/>
                    <w:sz w:val="23"/>
                  </w:rPr>
                </w:r>
              </w:p>
            </w:txbxContent>
          </v:textbox>
          <w10:wrap type="none"/>
        </v:shape>
      </w:pict>
    </w:r>
    <w:r>
      <w:rPr/>
      <w:pict>
        <v:shape style="position:absolute;margin-left:107pt;margin-top:96.72718pt;width:200.75pt;height:13.65pt;mso-position-horizontal-relative:page;mso-position-vertical-relative:page;z-index:-1130056" type="#_x0000_t202" filled="false" stroked="false">
          <v:textbox inset="0,0,0,0">
            <w:txbxContent>
              <w:p>
                <w:pPr>
                  <w:spacing w:line="252" w:lineRule="exact" w:before="0"/>
                  <w:ind w:left="20" w:right="0" w:firstLine="0"/>
                  <w:jc w:val="left"/>
                  <w:rPr>
                    <w:rFonts w:ascii="黑体" w:hAnsi="黑体" w:cs="黑体" w:eastAsia="黑体" w:hint="default"/>
                    <w:sz w:val="23"/>
                    <w:szCs w:val="23"/>
                  </w:rPr>
                </w:pPr>
                <w:r>
                  <w:rPr>
                    <w:rFonts w:ascii="黑体" w:hAnsi="黑体" w:cs="黑体" w:eastAsia="黑体" w:hint="default"/>
                    <w:b/>
                    <w:bCs/>
                    <w:i/>
                    <w:w w:val="95"/>
                    <w:sz w:val="23"/>
                    <w:szCs w:val="23"/>
                  </w:rPr>
                  <w:t>用户账号（含超级用户账号）和权限管理</w:t>
                </w:r>
                <w:r>
                  <w:rPr>
                    <w:rFonts w:ascii="黑体" w:hAnsi="黑体" w:cs="黑体" w:eastAsia="黑体" w:hint="default"/>
                    <w:sz w:val="23"/>
                    <w:szCs w:val="23"/>
                  </w:rPr>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78.067451pt;width:13.2pt;height:13.65pt;mso-position-horizontal-relative:page;mso-position-vertical-relative:page;z-index:-1129984" type="#_x0000_t202" filled="false" stroked="false">
          <v:textbox inset="0,0,0,0">
            <w:txbxContent>
              <w:p>
                <w:pPr>
                  <w:spacing w:line="252" w:lineRule="exact" w:before="0"/>
                  <w:ind w:left="20" w:right="0" w:firstLine="0"/>
                  <w:jc w:val="left"/>
                  <w:rPr>
                    <w:rFonts w:ascii="黑体" w:hAnsi="黑体" w:cs="黑体" w:eastAsia="黑体" w:hint="default"/>
                    <w:sz w:val="23"/>
                    <w:szCs w:val="23"/>
                  </w:rPr>
                </w:pPr>
                <w:r>
                  <w:rPr>
                    <w:rFonts w:ascii="黑体"/>
                    <w:b/>
                    <w:i/>
                    <w:sz w:val="23"/>
                  </w:rPr>
                  <w:t>6.</w:t>
                </w:r>
                <w:r>
                  <w:rPr>
                    <w:rFonts w:ascii="黑体"/>
                    <w:sz w:val="23"/>
                  </w:rPr>
                </w:r>
              </w:p>
            </w:txbxContent>
          </v:textbox>
          <w10:wrap type="none"/>
        </v:shape>
      </w:pict>
    </w:r>
    <w:r>
      <w:rPr/>
      <w:pict>
        <v:shape style="position:absolute;margin-left:125pt;margin-top:78.067451pt;width:68.25pt;height:13.65pt;mso-position-horizontal-relative:page;mso-position-vertical-relative:page;z-index:-1129960" type="#_x0000_t202" filled="false" stroked="false">
          <v:textbox inset="0,0,0,0">
            <w:txbxContent>
              <w:p>
                <w:pPr>
                  <w:spacing w:line="252" w:lineRule="exact" w:before="0"/>
                  <w:ind w:left="20" w:right="0" w:firstLine="0"/>
                  <w:jc w:val="left"/>
                  <w:rPr>
                    <w:rFonts w:ascii="黑体" w:hAnsi="黑体" w:cs="黑体" w:eastAsia="黑体" w:hint="default"/>
                    <w:sz w:val="23"/>
                    <w:szCs w:val="23"/>
                  </w:rPr>
                </w:pPr>
                <w:r>
                  <w:rPr>
                    <w:rFonts w:ascii="黑体" w:hAnsi="黑体" w:cs="黑体" w:eastAsia="黑体" w:hint="default"/>
                    <w:b/>
                    <w:bCs/>
                    <w:i/>
                    <w:w w:val="95"/>
                    <w:sz w:val="23"/>
                    <w:szCs w:val="23"/>
                  </w:rPr>
                  <w:t>系统参数设置</w:t>
                </w:r>
                <w:r>
                  <w:rPr>
                    <w:rFonts w:ascii="黑体" w:hAnsi="黑体" w:cs="黑体" w:eastAsia="黑体" w:hint="default"/>
                    <w:sz w:val="23"/>
                    <w:szCs w:val="23"/>
                  </w:rPr>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97.86750pt;width:13.2pt;height:13.65pt;mso-position-horizontal-relative:page;mso-position-vertical-relative:page;z-index:-1129912" type="#_x0000_t202" filled="false" stroked="false">
          <v:textbox inset="0,0,0,0">
            <w:txbxContent>
              <w:p>
                <w:pPr>
                  <w:spacing w:line="252" w:lineRule="exact" w:before="0"/>
                  <w:ind w:left="20" w:right="0" w:firstLine="0"/>
                  <w:jc w:val="left"/>
                  <w:rPr>
                    <w:rFonts w:ascii="黑体" w:hAnsi="黑体" w:cs="黑体" w:eastAsia="黑体" w:hint="default"/>
                    <w:sz w:val="23"/>
                    <w:szCs w:val="23"/>
                  </w:rPr>
                </w:pPr>
                <w:r>
                  <w:rPr>
                    <w:rFonts w:ascii="黑体"/>
                    <w:b/>
                    <w:i/>
                    <w:sz w:val="23"/>
                  </w:rPr>
                  <w:t>7.</w:t>
                </w:r>
                <w:r>
                  <w:rPr>
                    <w:rFonts w:ascii="黑体"/>
                    <w:sz w:val="23"/>
                  </w:rPr>
                </w:r>
              </w:p>
            </w:txbxContent>
          </v:textbox>
          <w10:wrap type="none"/>
        </v:shape>
      </w:pict>
    </w:r>
    <w:r>
      <w:rPr/>
      <w:pict>
        <v:shape style="position:absolute;margin-left:125pt;margin-top:97.86750pt;width:46.2pt;height:13.65pt;mso-position-horizontal-relative:page;mso-position-vertical-relative:page;z-index:-1129888" type="#_x0000_t202" filled="false" stroked="false">
          <v:textbox inset="0,0,0,0">
            <w:txbxContent>
              <w:p>
                <w:pPr>
                  <w:spacing w:line="252" w:lineRule="exact" w:before="0"/>
                  <w:ind w:left="20" w:right="0" w:firstLine="0"/>
                  <w:jc w:val="left"/>
                  <w:rPr>
                    <w:rFonts w:ascii="黑体" w:hAnsi="黑体" w:cs="黑体" w:eastAsia="黑体" w:hint="default"/>
                    <w:sz w:val="23"/>
                    <w:szCs w:val="23"/>
                  </w:rPr>
                </w:pPr>
                <w:r>
                  <w:rPr>
                    <w:rFonts w:ascii="黑体" w:hAnsi="黑体" w:cs="黑体" w:eastAsia="黑体" w:hint="default"/>
                    <w:b/>
                    <w:bCs/>
                    <w:i/>
                    <w:w w:val="95"/>
                    <w:sz w:val="23"/>
                    <w:szCs w:val="23"/>
                  </w:rPr>
                  <w:t>备份管理</w:t>
                </w:r>
                <w:r>
                  <w:rPr>
                    <w:rFonts w:ascii="黑体" w:hAnsi="黑体" w:cs="黑体" w:eastAsia="黑体" w:hint="default"/>
                    <w:sz w:val="23"/>
                    <w:szCs w:val="23"/>
                  </w:rPr>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72.604065pt;width:155.950pt;height:13pt;mso-position-horizontal-relative:page;mso-position-vertical-relative:page;z-index:-1129792" type="#_x0000_t202" filled="false" stroked="false">
          <v:textbox inset="0,0,0,0">
            <w:txbxContent>
              <w:p>
                <w:pPr>
                  <w:spacing w:line="240" w:lineRule="exact" w:before="0"/>
                  <w:ind w:left="20" w:right="0" w:firstLine="0"/>
                  <w:jc w:val="left"/>
                  <w:rPr>
                    <w:rFonts w:ascii="黑体" w:hAnsi="黑体" w:cs="黑体" w:eastAsia="黑体" w:hint="default"/>
                    <w:sz w:val="22"/>
                    <w:szCs w:val="22"/>
                  </w:rPr>
                </w:pPr>
                <w:r>
                  <w:rPr>
                    <w:rFonts w:ascii="黑体" w:hAnsi="黑体" w:cs="黑体" w:eastAsia="黑体" w:hint="default"/>
                    <w:sz w:val="22"/>
                    <w:szCs w:val="22"/>
                  </w:rPr>
                  <w:t>附件一：总部系统安全参数设置</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84.067451pt;width:200.1pt;height:14.1pt;mso-position-horizontal-relative:page;mso-position-vertical-relative:page;z-index:-1129768" type="#_x0000_t202" filled="false" stroked="false">
          <v:textbox inset="0,0,0,0">
            <w:txbxContent>
              <w:p>
                <w:pPr>
                  <w:spacing w:line="266" w:lineRule="exact" w:before="0"/>
                  <w:ind w:left="20" w:right="0" w:firstLine="0"/>
                  <w:jc w:val="left"/>
                  <w:rPr>
                    <w:rFonts w:ascii="Arial" w:hAnsi="Arial" w:cs="Arial" w:eastAsia="Arial" w:hint="default"/>
                    <w:sz w:val="22"/>
                    <w:szCs w:val="22"/>
                  </w:rPr>
                </w:pPr>
                <w:r>
                  <w:rPr>
                    <w:rFonts w:ascii="Arial" w:hAnsi="Arial" w:cs="Arial" w:eastAsia="Arial" w:hint="default"/>
                    <w:b/>
                    <w:bCs/>
                    <w:i/>
                    <w:w w:val="95"/>
                    <w:sz w:val="22"/>
                    <w:szCs w:val="22"/>
                  </w:rPr>
                  <w:t>NC </w:t>
                </w:r>
                <w:r>
                  <w:rPr>
                    <w:rFonts w:ascii="黑体" w:hAnsi="黑体" w:cs="黑体" w:eastAsia="黑体" w:hint="default"/>
                    <w:b/>
                    <w:bCs/>
                    <w:i/>
                    <w:w w:val="95"/>
                    <w:sz w:val="23"/>
                    <w:szCs w:val="23"/>
                  </w:rPr>
                  <w:t>系统数据库服务器操作系统</w:t>
                </w:r>
                <w:r>
                  <w:rPr>
                    <w:rFonts w:ascii="黑体" w:hAnsi="黑体" w:cs="黑体" w:eastAsia="黑体" w:hint="default"/>
                    <w:b/>
                    <w:bCs/>
                    <w:i/>
                    <w:spacing w:val="17"/>
                    <w:w w:val="95"/>
                    <w:sz w:val="23"/>
                    <w:szCs w:val="23"/>
                  </w:rPr>
                  <w:t> </w:t>
                </w:r>
                <w:r>
                  <w:rPr>
                    <w:rFonts w:ascii="Arial" w:hAnsi="Arial" w:cs="Arial" w:eastAsia="Arial" w:hint="default"/>
                    <w:b/>
                    <w:bCs/>
                    <w:i/>
                    <w:w w:val="95"/>
                    <w:sz w:val="22"/>
                    <w:szCs w:val="22"/>
                  </w:rPr>
                  <w:t>(Solaris)</w:t>
                </w:r>
                <w:r>
                  <w:rPr>
                    <w:rFonts w:ascii="Arial" w:hAnsi="Arial" w:cs="Arial" w:eastAsia="Arial" w:hint="default"/>
                    <w:sz w:val="22"/>
                    <w:szCs w:val="22"/>
                  </w:rPr>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97.927498pt;width:206.15pt;height:14.1pt;mso-position-horizontal-relative:page;mso-position-vertical-relative:page;z-index:-1129744" type="#_x0000_t202" filled="false" stroked="false">
          <v:textbox inset="0,0,0,0">
            <w:txbxContent>
              <w:p>
                <w:pPr>
                  <w:spacing w:line="266" w:lineRule="exact" w:before="0"/>
                  <w:ind w:left="20" w:right="0" w:firstLine="0"/>
                  <w:jc w:val="left"/>
                  <w:rPr>
                    <w:rFonts w:ascii="Arial" w:hAnsi="Arial" w:cs="Arial" w:eastAsia="Arial" w:hint="default"/>
                    <w:sz w:val="22"/>
                    <w:szCs w:val="22"/>
                  </w:rPr>
                </w:pPr>
                <w:r>
                  <w:rPr>
                    <w:rFonts w:ascii="Arial" w:hAnsi="Arial" w:cs="Arial" w:eastAsia="Arial" w:hint="default"/>
                    <w:b/>
                    <w:bCs/>
                    <w:i/>
                    <w:sz w:val="22"/>
                    <w:szCs w:val="22"/>
                  </w:rPr>
                  <w:t>PO</w:t>
                </w:r>
                <w:r>
                  <w:rPr>
                    <w:rFonts w:ascii="Arial" w:hAnsi="Arial" w:cs="Arial" w:eastAsia="Arial" w:hint="default"/>
                    <w:b/>
                    <w:bCs/>
                    <w:i/>
                    <w:spacing w:val="-38"/>
                    <w:sz w:val="22"/>
                    <w:szCs w:val="22"/>
                  </w:rPr>
                  <w:t> </w:t>
                </w:r>
                <w:r>
                  <w:rPr>
                    <w:rFonts w:ascii="黑体" w:hAnsi="黑体" w:cs="黑体" w:eastAsia="黑体" w:hint="default"/>
                    <w:b/>
                    <w:bCs/>
                    <w:i/>
                    <w:sz w:val="23"/>
                    <w:szCs w:val="23"/>
                  </w:rPr>
                  <w:t>系统服务器操作系统</w:t>
                </w:r>
                <w:r>
                  <w:rPr>
                    <w:rFonts w:ascii="黑体" w:hAnsi="黑体" w:cs="黑体" w:eastAsia="黑体" w:hint="default"/>
                    <w:b/>
                    <w:bCs/>
                    <w:i/>
                    <w:spacing w:val="-89"/>
                    <w:sz w:val="23"/>
                    <w:szCs w:val="23"/>
                  </w:rPr>
                  <w:t> </w:t>
                </w:r>
                <w:r>
                  <w:rPr>
                    <w:rFonts w:ascii="Arial" w:hAnsi="Arial" w:cs="Arial" w:eastAsia="Arial" w:hint="default"/>
                    <w:b/>
                    <w:bCs/>
                    <w:i/>
                    <w:sz w:val="22"/>
                    <w:szCs w:val="22"/>
                  </w:rPr>
                  <w:t>(Windows</w:t>
                </w:r>
                <w:r>
                  <w:rPr>
                    <w:rFonts w:ascii="Arial" w:hAnsi="Arial" w:cs="Arial" w:eastAsia="Arial" w:hint="default"/>
                    <w:b/>
                    <w:bCs/>
                    <w:i/>
                    <w:spacing w:val="-34"/>
                    <w:sz w:val="22"/>
                    <w:szCs w:val="22"/>
                  </w:rPr>
                  <w:t> </w:t>
                </w:r>
                <w:r>
                  <w:rPr>
                    <w:rFonts w:ascii="Arial" w:hAnsi="Arial" w:cs="Arial" w:eastAsia="Arial" w:hint="default"/>
                    <w:b/>
                    <w:bCs/>
                    <w:i/>
                    <w:sz w:val="22"/>
                    <w:szCs w:val="22"/>
                  </w:rPr>
                  <w:t>2003)</w:t>
                </w:r>
                <w:r>
                  <w:rPr>
                    <w:rFonts w:ascii="Arial" w:hAnsi="Arial" w:cs="Arial" w:eastAsia="Arial" w:hint="default"/>
                    <w:sz w:val="22"/>
                    <w:szCs w:val="22"/>
                  </w:rPr>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0pt;margin-top:61.919998pt;width:439.4pt;height:.15pt;mso-position-horizontal-relative:page;mso-position-vertical-relative:page;z-index:-1129720" coordorigin="1800,1238" coordsize="8788,3">
          <v:shape style="position:absolute;left:1800;top:1238;width:8788;height:3" coordorigin="1800,1238" coordsize="8788,3" path="m1800,1241l10588,1238e" filled="false" stroked="true" strokeweight=".75pt" strokecolor="#000000">
            <v:path arrowok="t"/>
          </v:shape>
          <w10:wrap type="none"/>
        </v:group>
      </w:pict>
    </w:r>
    <w:r>
      <w:rPr/>
      <w:pict>
        <v:shape style="position:absolute;margin-left:239.960007pt;margin-top:36.170937pt;width:132.1pt;height:15.05pt;mso-position-horizontal-relative:page;mso-position-vertical-relative:page;z-index:-1129696" type="#_x0000_t202" filled="false" stroked="false">
          <v:textbox inset="0,0,0,0">
            <w:txbxContent>
              <w:p>
                <w:pPr>
                  <w:spacing w:line="280" w:lineRule="exact" w:before="0"/>
                  <w:ind w:left="20" w:right="0" w:firstLine="0"/>
                  <w:jc w:val="left"/>
                  <w:rPr>
                    <w:rFonts w:ascii="宋体" w:hAnsi="宋体" w:cs="宋体" w:eastAsia="宋体" w:hint="default"/>
                    <w:sz w:val="26"/>
                    <w:szCs w:val="26"/>
                  </w:rPr>
                </w:pPr>
                <w:r>
                  <w:rPr>
                    <w:rFonts w:ascii="宋体" w:hAnsi="宋体" w:cs="宋体" w:eastAsia="宋体" w:hint="default"/>
                    <w:sz w:val="26"/>
                    <w:szCs w:val="26"/>
                  </w:rPr>
                  <w:t>用友软件股份有限公司</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4.160004pt;margin-top:94.709076pt;width:197pt;height:17pt;mso-position-horizontal-relative:page;mso-position-vertical-relative:page;z-index:-1129648" type="#_x0000_t202" filled="false" stroked="false">
          <v:textbox inset="0,0,0,0">
            <w:txbxContent>
              <w:p>
                <w:pPr>
                  <w:spacing w:line="320" w:lineRule="exact" w:before="0"/>
                  <w:ind w:left="20" w:right="0" w:firstLine="0"/>
                  <w:jc w:val="left"/>
                  <w:rPr>
                    <w:rFonts w:ascii="黑体" w:hAnsi="黑体" w:cs="黑体" w:eastAsia="黑体" w:hint="default"/>
                    <w:sz w:val="30"/>
                    <w:szCs w:val="30"/>
                  </w:rPr>
                </w:pPr>
                <w:r>
                  <w:rPr>
                    <w:rFonts w:ascii="黑体" w:hAnsi="黑体" w:cs="黑体" w:eastAsia="黑体" w:hint="default"/>
                    <w:sz w:val="30"/>
                    <w:szCs w:val="30"/>
                  </w:rPr>
                  <w:t>用友软件股份有限公司董事会</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5.019997pt;margin-top:126.599998pt;width:423pt;height:.1pt;mso-position-horizontal-relative:page;mso-position-vertical-relative:page;z-index:-1132744" coordorigin="1700,2532" coordsize="8460,2">
          <v:shape style="position:absolute;left:1700;top:2532;width:8460;height:2" coordorigin="1700,2532" coordsize="8460,0" path="m1700,2532l10160,2532e" filled="false" stroked="true" strokeweight=".75pt" strokecolor="#000000">
            <v:path arrowok="t"/>
          </v:shape>
          <w10:wrap type="none"/>
        </v:group>
      </w:pict>
    </w:r>
    <w:r>
      <w:rPr/>
      <w:pict>
        <v:shape style="position:absolute;margin-left:241.520004pt;margin-top:46.923763pt;width:112.45pt;height:67pt;mso-position-horizontal-relative:page;mso-position-vertical-relative:page;z-index:-1132720" type="#_x0000_t202" filled="false" stroked="false">
          <v:textbox inset="0,0,0,0">
            <w:txbxContent>
              <w:p>
                <w:pPr>
                  <w:spacing w:line="240" w:lineRule="exact" w:before="0"/>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用友软件股份有限公司</w:t>
                </w:r>
                <w:r>
                  <w:rPr>
                    <w:rFonts w:ascii="黑体" w:hAnsi="黑体" w:cs="黑体" w:eastAsia="黑体" w:hint="default"/>
                    <w:sz w:val="22"/>
                    <w:szCs w:val="22"/>
                  </w:rPr>
                </w:r>
              </w:p>
              <w:p>
                <w:pPr>
                  <w:spacing w:before="72"/>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合并资产负债表</w:t>
                </w:r>
                <w:r>
                  <w:rPr>
                    <w:rFonts w:ascii="黑体" w:hAnsi="黑体" w:cs="黑体" w:eastAsia="黑体" w:hint="default"/>
                    <w:sz w:val="22"/>
                    <w:szCs w:val="22"/>
                  </w:rPr>
                </w:r>
              </w:p>
              <w:p>
                <w:pPr>
                  <w:spacing w:before="72"/>
                  <w:ind w:left="0" w:right="1" w:firstLine="0"/>
                  <w:jc w:val="center"/>
                  <w:rPr>
                    <w:rFonts w:ascii="黑体" w:hAnsi="黑体" w:cs="黑体" w:eastAsia="黑体" w:hint="default"/>
                    <w:sz w:val="22"/>
                    <w:szCs w:val="22"/>
                  </w:rPr>
                </w:pPr>
                <w:r>
                  <w:rPr>
                    <w:rFonts w:ascii="Arial" w:hAnsi="Arial" w:cs="Arial" w:eastAsia="Arial" w:hint="default"/>
                    <w:b/>
                    <w:bCs/>
                    <w:sz w:val="22"/>
                    <w:szCs w:val="22"/>
                  </w:rPr>
                  <w:t>2009</w:t>
                </w:r>
                <w:r>
                  <w:rPr>
                    <w:rFonts w:ascii="Arial" w:hAnsi="Arial" w:cs="Arial" w:eastAsia="Arial" w:hint="default"/>
                    <w:b/>
                    <w:bCs/>
                    <w:spacing w:val="-8"/>
                    <w:sz w:val="22"/>
                    <w:szCs w:val="22"/>
                  </w:rPr>
                  <w:t> </w:t>
                </w:r>
                <w:r>
                  <w:rPr>
                    <w:rFonts w:ascii="黑体" w:hAnsi="黑体" w:cs="黑体" w:eastAsia="黑体" w:hint="default"/>
                    <w:b/>
                    <w:bCs/>
                    <w:sz w:val="22"/>
                    <w:szCs w:val="22"/>
                  </w:rPr>
                  <w:t>年</w:t>
                </w:r>
                <w:r>
                  <w:rPr>
                    <w:rFonts w:ascii="黑体" w:hAnsi="黑体" w:cs="黑体" w:eastAsia="黑体" w:hint="default"/>
                    <w:b/>
                    <w:bCs/>
                    <w:spacing w:val="-57"/>
                    <w:sz w:val="22"/>
                    <w:szCs w:val="22"/>
                  </w:rPr>
                  <w:t> </w:t>
                </w:r>
                <w:r>
                  <w:rPr>
                    <w:rFonts w:ascii="Arial" w:hAnsi="Arial" w:cs="Arial" w:eastAsia="Arial" w:hint="default"/>
                    <w:b/>
                    <w:bCs/>
                    <w:sz w:val="22"/>
                    <w:szCs w:val="22"/>
                  </w:rPr>
                  <w:t>12</w:t>
                </w:r>
                <w:r>
                  <w:rPr>
                    <w:rFonts w:ascii="Arial" w:hAnsi="Arial" w:cs="Arial" w:eastAsia="Arial" w:hint="default"/>
                    <w:b/>
                    <w:bCs/>
                    <w:spacing w:val="-8"/>
                    <w:sz w:val="22"/>
                    <w:szCs w:val="22"/>
                  </w:rPr>
                  <w:t> </w:t>
                </w:r>
                <w:r>
                  <w:rPr>
                    <w:rFonts w:ascii="黑体" w:hAnsi="黑体" w:cs="黑体" w:eastAsia="黑体" w:hint="default"/>
                    <w:b/>
                    <w:bCs/>
                    <w:sz w:val="22"/>
                    <w:szCs w:val="22"/>
                  </w:rPr>
                  <w:t>月</w:t>
                </w:r>
                <w:r>
                  <w:rPr>
                    <w:rFonts w:ascii="黑体" w:hAnsi="黑体" w:cs="黑体" w:eastAsia="黑体" w:hint="default"/>
                    <w:b/>
                    <w:bCs/>
                    <w:spacing w:val="-57"/>
                    <w:sz w:val="22"/>
                    <w:szCs w:val="22"/>
                  </w:rPr>
                  <w:t> </w:t>
                </w:r>
                <w:r>
                  <w:rPr>
                    <w:rFonts w:ascii="Arial" w:hAnsi="Arial" w:cs="Arial" w:eastAsia="Arial" w:hint="default"/>
                    <w:b/>
                    <w:bCs/>
                    <w:sz w:val="22"/>
                    <w:szCs w:val="22"/>
                  </w:rPr>
                  <w:t>31</w:t>
                </w:r>
                <w:r>
                  <w:rPr>
                    <w:rFonts w:ascii="Arial" w:hAnsi="Arial" w:cs="Arial" w:eastAsia="Arial" w:hint="default"/>
                    <w:b/>
                    <w:bCs/>
                    <w:spacing w:val="-8"/>
                    <w:sz w:val="22"/>
                    <w:szCs w:val="22"/>
                  </w:rPr>
                  <w:t> </w:t>
                </w:r>
                <w:r>
                  <w:rPr>
                    <w:rFonts w:ascii="黑体" w:hAnsi="黑体" w:cs="黑体" w:eastAsia="黑体" w:hint="default"/>
                    <w:b/>
                    <w:bCs/>
                    <w:sz w:val="22"/>
                    <w:szCs w:val="22"/>
                  </w:rPr>
                  <w:t>日</w:t>
                </w:r>
                <w:r>
                  <w:rPr>
                    <w:rFonts w:ascii="黑体" w:hAnsi="黑体" w:cs="黑体" w:eastAsia="黑体" w:hint="default"/>
                    <w:sz w:val="22"/>
                    <w:szCs w:val="22"/>
                  </w:rPr>
                </w:r>
              </w:p>
              <w:p>
                <w:pPr>
                  <w:spacing w:before="56"/>
                  <w:ind w:left="0" w:right="0" w:firstLine="0"/>
                  <w:jc w:val="center"/>
                  <w:rPr>
                    <w:rFonts w:ascii="黑体" w:hAnsi="黑体" w:cs="黑体" w:eastAsia="黑体" w:hint="default"/>
                    <w:sz w:val="22"/>
                    <w:szCs w:val="22"/>
                  </w:rPr>
                </w:pPr>
                <w:r>
                  <w:rPr>
                    <w:rFonts w:ascii="黑体" w:hAnsi="黑体" w:cs="黑体" w:eastAsia="黑体" w:hint="default"/>
                    <w:b/>
                    <w:bCs/>
                    <w:sz w:val="22"/>
                    <w:szCs w:val="22"/>
                  </w:rPr>
                  <w:t>人民币元</w:t>
                </w:r>
                <w:r>
                  <w:rPr>
                    <w:rFonts w:ascii="黑体" w:hAnsi="黑体" w:cs="黑体" w:eastAsia="黑体" w:hint="default"/>
                    <w:sz w:val="22"/>
                    <w:szCs w:val="22"/>
                  </w:rPr>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bullet"/>
      <w:lvlText w:val=""/>
      <w:lvlJc w:val="left"/>
      <w:pPr>
        <w:ind w:left="463" w:hanging="361"/>
      </w:pPr>
      <w:rPr>
        <w:rFonts w:hint="default" w:ascii="Wingdings" w:hAnsi="Wingdings" w:eastAsia="Wingdings"/>
        <w:w w:val="99"/>
        <w:sz w:val="22"/>
        <w:szCs w:val="22"/>
      </w:rPr>
    </w:lvl>
    <w:lvl w:ilvl="1">
      <w:start w:val="1"/>
      <w:numFmt w:val="bullet"/>
      <w:lvlText w:val="•"/>
      <w:lvlJc w:val="left"/>
      <w:pPr>
        <w:ind w:left="652" w:hanging="361"/>
      </w:pPr>
      <w:rPr>
        <w:rFonts w:hint="default"/>
      </w:rPr>
    </w:lvl>
    <w:lvl w:ilvl="2">
      <w:start w:val="1"/>
      <w:numFmt w:val="bullet"/>
      <w:lvlText w:val="•"/>
      <w:lvlJc w:val="left"/>
      <w:pPr>
        <w:ind w:left="845" w:hanging="361"/>
      </w:pPr>
      <w:rPr>
        <w:rFonts w:hint="default"/>
      </w:rPr>
    </w:lvl>
    <w:lvl w:ilvl="3">
      <w:start w:val="1"/>
      <w:numFmt w:val="bullet"/>
      <w:lvlText w:val="•"/>
      <w:lvlJc w:val="left"/>
      <w:pPr>
        <w:ind w:left="1038" w:hanging="361"/>
      </w:pPr>
      <w:rPr>
        <w:rFonts w:hint="default"/>
      </w:rPr>
    </w:lvl>
    <w:lvl w:ilvl="4">
      <w:start w:val="1"/>
      <w:numFmt w:val="bullet"/>
      <w:lvlText w:val="•"/>
      <w:lvlJc w:val="left"/>
      <w:pPr>
        <w:ind w:left="1230" w:hanging="361"/>
      </w:pPr>
      <w:rPr>
        <w:rFonts w:hint="default"/>
      </w:rPr>
    </w:lvl>
    <w:lvl w:ilvl="5">
      <w:start w:val="1"/>
      <w:numFmt w:val="bullet"/>
      <w:lvlText w:val="•"/>
      <w:lvlJc w:val="left"/>
      <w:pPr>
        <w:ind w:left="1423" w:hanging="361"/>
      </w:pPr>
      <w:rPr>
        <w:rFonts w:hint="default"/>
      </w:rPr>
    </w:lvl>
    <w:lvl w:ilvl="6">
      <w:start w:val="1"/>
      <w:numFmt w:val="bullet"/>
      <w:lvlText w:val="•"/>
      <w:lvlJc w:val="left"/>
      <w:pPr>
        <w:ind w:left="1616" w:hanging="361"/>
      </w:pPr>
      <w:rPr>
        <w:rFonts w:hint="default"/>
      </w:rPr>
    </w:lvl>
    <w:lvl w:ilvl="7">
      <w:start w:val="1"/>
      <w:numFmt w:val="bullet"/>
      <w:lvlText w:val="•"/>
      <w:lvlJc w:val="left"/>
      <w:pPr>
        <w:ind w:left="1808" w:hanging="361"/>
      </w:pPr>
      <w:rPr>
        <w:rFonts w:hint="default"/>
      </w:rPr>
    </w:lvl>
    <w:lvl w:ilvl="8">
      <w:start w:val="1"/>
      <w:numFmt w:val="bullet"/>
      <w:lvlText w:val="•"/>
      <w:lvlJc w:val="left"/>
      <w:pPr>
        <w:ind w:left="2001" w:hanging="361"/>
      </w:pPr>
      <w:rPr>
        <w:rFonts w:hint="default"/>
      </w:rPr>
    </w:lvl>
  </w:abstractNum>
  <w:abstractNum w:abstractNumId="1">
    <w:multiLevelType w:val="hybridMultilevel"/>
    <w:lvl w:ilvl="0">
      <w:start w:val="1"/>
      <w:numFmt w:val="bullet"/>
      <w:lvlText w:val=""/>
      <w:lvlJc w:val="left"/>
      <w:pPr>
        <w:ind w:left="463" w:hanging="361"/>
      </w:pPr>
      <w:rPr>
        <w:rFonts w:hint="default" w:ascii="Symbol" w:hAnsi="Symbol" w:eastAsia="Symbol"/>
        <w:w w:val="99"/>
        <w:sz w:val="22"/>
        <w:szCs w:val="22"/>
      </w:rPr>
    </w:lvl>
    <w:lvl w:ilvl="1">
      <w:start w:val="1"/>
      <w:numFmt w:val="bullet"/>
      <w:lvlText w:val="•"/>
      <w:lvlJc w:val="left"/>
      <w:pPr>
        <w:ind w:left="593" w:hanging="361"/>
      </w:pPr>
      <w:rPr>
        <w:rFonts w:hint="default"/>
      </w:rPr>
    </w:lvl>
    <w:lvl w:ilvl="2">
      <w:start w:val="1"/>
      <w:numFmt w:val="bullet"/>
      <w:lvlText w:val="•"/>
      <w:lvlJc w:val="left"/>
      <w:pPr>
        <w:ind w:left="726" w:hanging="361"/>
      </w:pPr>
      <w:rPr>
        <w:rFonts w:hint="default"/>
      </w:rPr>
    </w:lvl>
    <w:lvl w:ilvl="3">
      <w:start w:val="1"/>
      <w:numFmt w:val="bullet"/>
      <w:lvlText w:val="•"/>
      <w:lvlJc w:val="left"/>
      <w:pPr>
        <w:ind w:left="859" w:hanging="361"/>
      </w:pPr>
      <w:rPr>
        <w:rFonts w:hint="default"/>
      </w:rPr>
    </w:lvl>
    <w:lvl w:ilvl="4">
      <w:start w:val="1"/>
      <w:numFmt w:val="bullet"/>
      <w:lvlText w:val="•"/>
      <w:lvlJc w:val="left"/>
      <w:pPr>
        <w:ind w:left="992" w:hanging="361"/>
      </w:pPr>
      <w:rPr>
        <w:rFonts w:hint="default"/>
      </w:rPr>
    </w:lvl>
    <w:lvl w:ilvl="5">
      <w:start w:val="1"/>
      <w:numFmt w:val="bullet"/>
      <w:lvlText w:val="•"/>
      <w:lvlJc w:val="left"/>
      <w:pPr>
        <w:ind w:left="1125" w:hanging="361"/>
      </w:pPr>
      <w:rPr>
        <w:rFonts w:hint="default"/>
      </w:rPr>
    </w:lvl>
    <w:lvl w:ilvl="6">
      <w:start w:val="1"/>
      <w:numFmt w:val="bullet"/>
      <w:lvlText w:val="•"/>
      <w:lvlJc w:val="left"/>
      <w:pPr>
        <w:ind w:left="1258" w:hanging="361"/>
      </w:pPr>
      <w:rPr>
        <w:rFonts w:hint="default"/>
      </w:rPr>
    </w:lvl>
    <w:lvl w:ilvl="7">
      <w:start w:val="1"/>
      <w:numFmt w:val="bullet"/>
      <w:lvlText w:val="•"/>
      <w:lvlJc w:val="left"/>
      <w:pPr>
        <w:ind w:left="1391" w:hanging="361"/>
      </w:pPr>
      <w:rPr>
        <w:rFonts w:hint="default"/>
      </w:rPr>
    </w:lvl>
    <w:lvl w:ilvl="8">
      <w:start w:val="1"/>
      <w:numFmt w:val="bullet"/>
      <w:lvlText w:val="•"/>
      <w:lvlJc w:val="left"/>
      <w:pPr>
        <w:ind w:left="1524" w:hanging="361"/>
      </w:pPr>
      <w:rPr>
        <w:rFonts w:hint="default"/>
      </w:rPr>
    </w:lvl>
  </w:abstractNum>
  <w:abstractNum w:abstractNumId="0">
    <w:multiLevelType w:val="hybridMultilevel"/>
    <w:lvl w:ilvl="0">
      <w:start w:val="1"/>
      <w:numFmt w:val="bullet"/>
      <w:lvlText w:val=""/>
      <w:lvlJc w:val="left"/>
      <w:pPr>
        <w:ind w:left="463" w:hanging="361"/>
      </w:pPr>
      <w:rPr>
        <w:rFonts w:hint="default" w:ascii="Symbol" w:hAnsi="Symbol" w:eastAsia="Symbol"/>
        <w:w w:val="99"/>
        <w:sz w:val="22"/>
        <w:szCs w:val="22"/>
      </w:rPr>
    </w:lvl>
    <w:lvl w:ilvl="1">
      <w:start w:val="1"/>
      <w:numFmt w:val="bullet"/>
      <w:lvlText w:val="•"/>
      <w:lvlJc w:val="left"/>
      <w:pPr>
        <w:ind w:left="657" w:hanging="361"/>
      </w:pPr>
      <w:rPr>
        <w:rFonts w:hint="default"/>
      </w:rPr>
    </w:lvl>
    <w:lvl w:ilvl="2">
      <w:start w:val="1"/>
      <w:numFmt w:val="bullet"/>
      <w:lvlText w:val="•"/>
      <w:lvlJc w:val="left"/>
      <w:pPr>
        <w:ind w:left="854" w:hanging="361"/>
      </w:pPr>
      <w:rPr>
        <w:rFonts w:hint="default"/>
      </w:rPr>
    </w:lvl>
    <w:lvl w:ilvl="3">
      <w:start w:val="1"/>
      <w:numFmt w:val="bullet"/>
      <w:lvlText w:val="•"/>
      <w:lvlJc w:val="left"/>
      <w:pPr>
        <w:ind w:left="1051" w:hanging="361"/>
      </w:pPr>
      <w:rPr>
        <w:rFonts w:hint="default"/>
      </w:rPr>
    </w:lvl>
    <w:lvl w:ilvl="4">
      <w:start w:val="1"/>
      <w:numFmt w:val="bullet"/>
      <w:lvlText w:val="•"/>
      <w:lvlJc w:val="left"/>
      <w:pPr>
        <w:ind w:left="1248" w:hanging="361"/>
      </w:pPr>
      <w:rPr>
        <w:rFonts w:hint="default"/>
      </w:rPr>
    </w:lvl>
    <w:lvl w:ilvl="5">
      <w:start w:val="1"/>
      <w:numFmt w:val="bullet"/>
      <w:lvlText w:val="•"/>
      <w:lvlJc w:val="left"/>
      <w:pPr>
        <w:ind w:left="1446" w:hanging="361"/>
      </w:pPr>
      <w:rPr>
        <w:rFonts w:hint="default"/>
      </w:rPr>
    </w:lvl>
    <w:lvl w:ilvl="6">
      <w:start w:val="1"/>
      <w:numFmt w:val="bullet"/>
      <w:lvlText w:val="•"/>
      <w:lvlJc w:val="left"/>
      <w:pPr>
        <w:ind w:left="1643" w:hanging="361"/>
      </w:pPr>
      <w:rPr>
        <w:rFonts w:hint="default"/>
      </w:rPr>
    </w:lvl>
    <w:lvl w:ilvl="7">
      <w:start w:val="1"/>
      <w:numFmt w:val="bullet"/>
      <w:lvlText w:val="•"/>
      <w:lvlJc w:val="left"/>
      <w:pPr>
        <w:ind w:left="1840" w:hanging="361"/>
      </w:pPr>
      <w:rPr>
        <w:rFonts w:hint="default"/>
      </w:rPr>
    </w:lvl>
    <w:lvl w:ilvl="8">
      <w:start w:val="1"/>
      <w:numFmt w:val="bullet"/>
      <w:lvlText w:val="•"/>
      <w:lvlJc w:val="left"/>
      <w:pPr>
        <w:ind w:left="2037" w:hanging="361"/>
      </w:pPr>
      <w:rPr>
        <w:rFonts w:hint="default"/>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74"/>
      <w:ind w:left="180"/>
    </w:pPr>
    <w:rPr>
      <w:rFonts w:ascii="宋体" w:hAnsi="宋体" w:eastAsia="宋体"/>
      <w:sz w:val="24"/>
      <w:szCs w:val="24"/>
    </w:rPr>
  </w:style>
  <w:style w:styleId="BodyText" w:type="paragraph">
    <w:name w:val="Body Text"/>
    <w:basedOn w:val="Normal"/>
    <w:uiPriority w:val="1"/>
    <w:qFormat/>
    <w:pPr>
      <w:ind w:left="815"/>
    </w:pPr>
    <w:rPr>
      <w:rFonts w:ascii="黑体" w:hAnsi="黑体" w:eastAsia="黑体"/>
      <w:sz w:val="20"/>
      <w:szCs w:val="20"/>
    </w:rPr>
  </w:style>
  <w:style w:styleId="Heading1" w:type="paragraph">
    <w:name w:val="Heading 1"/>
    <w:basedOn w:val="Normal"/>
    <w:uiPriority w:val="1"/>
    <w:qFormat/>
    <w:pPr>
      <w:ind w:left="739"/>
      <w:outlineLvl w:val="1"/>
    </w:pPr>
    <w:rPr>
      <w:rFonts w:ascii="黑体" w:hAnsi="黑体" w:eastAsia="黑体"/>
      <w:b/>
      <w:bCs/>
      <w:sz w:val="36"/>
      <w:szCs w:val="36"/>
    </w:rPr>
  </w:style>
  <w:style w:styleId="Heading2" w:type="paragraph">
    <w:name w:val="Heading 2"/>
    <w:basedOn w:val="Normal"/>
    <w:uiPriority w:val="1"/>
    <w:qFormat/>
    <w:pPr>
      <w:outlineLvl w:val="2"/>
    </w:pPr>
    <w:rPr>
      <w:rFonts w:ascii="黑体" w:hAnsi="黑体" w:eastAsia="黑体"/>
      <w:b/>
      <w:bCs/>
      <w:sz w:val="32"/>
      <w:szCs w:val="32"/>
    </w:rPr>
  </w:style>
  <w:style w:styleId="Heading3" w:type="paragraph">
    <w:name w:val="Heading 3"/>
    <w:basedOn w:val="Normal"/>
    <w:uiPriority w:val="1"/>
    <w:qFormat/>
    <w:pPr>
      <w:spacing w:before="7"/>
      <w:outlineLvl w:val="3"/>
    </w:pPr>
    <w:rPr>
      <w:rFonts w:ascii="黑体" w:hAnsi="黑体" w:eastAsia="黑体"/>
      <w:b/>
      <w:bCs/>
      <w:sz w:val="30"/>
      <w:szCs w:val="30"/>
    </w:rPr>
  </w:style>
  <w:style w:styleId="Heading4" w:type="paragraph">
    <w:name w:val="Heading 4"/>
    <w:basedOn w:val="Normal"/>
    <w:uiPriority w:val="1"/>
    <w:qFormat/>
    <w:pPr>
      <w:ind w:left="20"/>
      <w:outlineLvl w:val="4"/>
    </w:pPr>
    <w:rPr>
      <w:rFonts w:ascii="黑体" w:hAnsi="黑体" w:eastAsia="黑体"/>
      <w:sz w:val="30"/>
      <w:szCs w:val="30"/>
    </w:rPr>
  </w:style>
  <w:style w:styleId="Heading5" w:type="paragraph">
    <w:name w:val="Heading 5"/>
    <w:basedOn w:val="Normal"/>
    <w:uiPriority w:val="1"/>
    <w:qFormat/>
    <w:pPr>
      <w:spacing w:before="13"/>
      <w:outlineLvl w:val="5"/>
    </w:pPr>
    <w:rPr>
      <w:rFonts w:ascii="黑体" w:hAnsi="黑体" w:eastAsia="黑体"/>
      <w:b/>
      <w:bCs/>
      <w:sz w:val="28"/>
      <w:szCs w:val="28"/>
    </w:rPr>
  </w:style>
  <w:style w:styleId="Heading6" w:type="paragraph">
    <w:name w:val="Heading 6"/>
    <w:basedOn w:val="Normal"/>
    <w:uiPriority w:val="1"/>
    <w:qFormat/>
    <w:pPr>
      <w:ind w:left="540"/>
      <w:outlineLvl w:val="6"/>
    </w:pPr>
    <w:rPr>
      <w:rFonts w:ascii="宋体" w:hAnsi="宋体" w:eastAsia="宋体"/>
      <w:b/>
      <w:bCs/>
      <w:sz w:val="24"/>
      <w:szCs w:val="24"/>
    </w:rPr>
  </w:style>
  <w:style w:styleId="Heading7" w:type="paragraph">
    <w:name w:val="Heading 7"/>
    <w:basedOn w:val="Normal"/>
    <w:uiPriority w:val="1"/>
    <w:qFormat/>
    <w:pPr>
      <w:ind w:left="140"/>
      <w:outlineLvl w:val="7"/>
    </w:pPr>
    <w:rPr>
      <w:rFonts w:ascii="宋体" w:hAnsi="宋体" w:eastAsia="宋体"/>
      <w:sz w:val="24"/>
      <w:szCs w:val="24"/>
    </w:rPr>
  </w:style>
  <w:style w:styleId="Heading8" w:type="paragraph">
    <w:name w:val="Heading 8"/>
    <w:basedOn w:val="Normal"/>
    <w:uiPriority w:val="1"/>
    <w:qFormat/>
    <w:pPr>
      <w:ind w:left="20"/>
      <w:outlineLvl w:val="8"/>
    </w:pPr>
    <w:rPr>
      <w:rFonts w:ascii="黑体" w:hAnsi="黑体" w:eastAsia="黑体"/>
      <w:b/>
      <w:bCs/>
      <w:i/>
      <w:sz w:val="23"/>
      <w:szCs w:val="23"/>
    </w:rPr>
  </w:style>
  <w:style w:styleId="Heading9" w:type="paragraph">
    <w:name w:val="Heading 9"/>
    <w:basedOn w:val="Normal"/>
    <w:uiPriority w:val="1"/>
    <w:qFormat/>
    <w:pPr>
      <w:outlineLvl w:val="9"/>
    </w:pPr>
    <w:rPr>
      <w:rFonts w:ascii="黑体" w:hAnsi="黑体" w:eastAsia="黑体"/>
      <w:b/>
      <w:bCs/>
      <w:sz w:val="22"/>
      <w:szCs w:val="2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mailto:ir@ufida.com.cn" TargetMode="External"/><Relationship Id="rId8" Type="http://schemas.openxmlformats.org/officeDocument/2006/relationships/hyperlink" Target="http://www.ufida.com/" TargetMode="External"/><Relationship Id="rId9" Type="http://schemas.openxmlformats.org/officeDocument/2006/relationships/hyperlink" Target="http://www.sse.com.cn/"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2.xml"/><Relationship Id="rId14" Type="http://schemas.openxmlformats.org/officeDocument/2006/relationships/footer" Target="footer5.xml"/><Relationship Id="rId15" Type="http://schemas.openxmlformats.org/officeDocument/2006/relationships/image" Target="media/image1.png"/><Relationship Id="rId16" Type="http://schemas.openxmlformats.org/officeDocument/2006/relationships/header" Target="header3.xml"/><Relationship Id="rId17" Type="http://schemas.openxmlformats.org/officeDocument/2006/relationships/footer" Target="footer6.xml"/><Relationship Id="rId18" Type="http://schemas.openxmlformats.org/officeDocument/2006/relationships/header" Target="header4.xml"/><Relationship Id="rId19" Type="http://schemas.openxmlformats.org/officeDocument/2006/relationships/footer" Target="footer7.xml"/><Relationship Id="rId20" Type="http://schemas.openxmlformats.org/officeDocument/2006/relationships/footer" Target="footer8.xml"/><Relationship Id="rId21" Type="http://schemas.openxmlformats.org/officeDocument/2006/relationships/header" Target="header5.xml"/><Relationship Id="rId22" Type="http://schemas.openxmlformats.org/officeDocument/2006/relationships/footer" Target="footer9.xml"/><Relationship Id="rId23" Type="http://schemas.openxmlformats.org/officeDocument/2006/relationships/header" Target="header6.xml"/><Relationship Id="rId24" Type="http://schemas.openxmlformats.org/officeDocument/2006/relationships/footer" Target="footer10.xml"/><Relationship Id="rId25" Type="http://schemas.openxmlformats.org/officeDocument/2006/relationships/header" Target="header7.xml"/><Relationship Id="rId26" Type="http://schemas.openxmlformats.org/officeDocument/2006/relationships/footer" Target="footer11.xml"/><Relationship Id="rId27" Type="http://schemas.openxmlformats.org/officeDocument/2006/relationships/header" Target="header8.xml"/><Relationship Id="rId28" Type="http://schemas.openxmlformats.org/officeDocument/2006/relationships/footer" Target="footer12.xml"/><Relationship Id="rId29" Type="http://schemas.openxmlformats.org/officeDocument/2006/relationships/header" Target="header9.xml"/><Relationship Id="rId30" Type="http://schemas.openxmlformats.org/officeDocument/2006/relationships/header" Target="header10.xml"/><Relationship Id="rId31" Type="http://schemas.openxmlformats.org/officeDocument/2006/relationships/header" Target="header11.xml"/><Relationship Id="rId32" Type="http://schemas.openxmlformats.org/officeDocument/2006/relationships/header" Target="header12.xml"/><Relationship Id="rId33" Type="http://schemas.openxmlformats.org/officeDocument/2006/relationships/footer" Target="footer13.xml"/><Relationship Id="rId34" Type="http://schemas.openxmlformats.org/officeDocument/2006/relationships/header" Target="header13.xml"/><Relationship Id="rId35" Type="http://schemas.openxmlformats.org/officeDocument/2006/relationships/footer" Target="footer14.xml"/><Relationship Id="rId36" Type="http://schemas.openxmlformats.org/officeDocument/2006/relationships/header" Target="header14.xml"/><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header" Target="header17.xml"/><Relationship Id="rId40" Type="http://schemas.openxmlformats.org/officeDocument/2006/relationships/header" Target="header18.xml"/><Relationship Id="rId41" Type="http://schemas.openxmlformats.org/officeDocument/2006/relationships/footer" Target="footer15.xml"/><Relationship Id="rId42" Type="http://schemas.openxmlformats.org/officeDocument/2006/relationships/header" Target="header19.xml"/><Relationship Id="rId43" Type="http://schemas.openxmlformats.org/officeDocument/2006/relationships/footer" Target="footer16.xml"/><Relationship Id="rId44" Type="http://schemas.openxmlformats.org/officeDocument/2006/relationships/footer" Target="footer17.xml"/><Relationship Id="rId45" Type="http://schemas.openxmlformats.org/officeDocument/2006/relationships/header" Target="header20.xml"/><Relationship Id="rId46" Type="http://schemas.openxmlformats.org/officeDocument/2006/relationships/header" Target="header21.xml"/><Relationship Id="rId47" Type="http://schemas.openxmlformats.org/officeDocument/2006/relationships/footer" Target="footer18.xml"/><Relationship Id="rId48" Type="http://schemas.openxmlformats.org/officeDocument/2006/relationships/header" Target="header22.xml"/><Relationship Id="rId49" Type="http://schemas.openxmlformats.org/officeDocument/2006/relationships/footer" Target="footer19.xml"/><Relationship Id="rId50" Type="http://schemas.openxmlformats.org/officeDocument/2006/relationships/footer" Target="footer20.xml"/><Relationship Id="rId51" Type="http://schemas.openxmlformats.org/officeDocument/2006/relationships/header" Target="header23.xml"/><Relationship Id="rId52" Type="http://schemas.openxmlformats.org/officeDocument/2006/relationships/footer" Target="footer21.xml"/><Relationship Id="rId53" Type="http://schemas.openxmlformats.org/officeDocument/2006/relationships/footer" Target="footer22.xml"/><Relationship Id="rId54" Type="http://schemas.openxmlformats.org/officeDocument/2006/relationships/header" Target="header24.xml"/><Relationship Id="rId55" Type="http://schemas.openxmlformats.org/officeDocument/2006/relationships/footer" Target="footer23.xml"/><Relationship Id="rId56" Type="http://schemas.openxmlformats.org/officeDocument/2006/relationships/header" Target="header25.xml"/><Relationship Id="rId57" Type="http://schemas.openxmlformats.org/officeDocument/2006/relationships/footer" Target="footer24.xml"/><Relationship Id="rId58" Type="http://schemas.openxmlformats.org/officeDocument/2006/relationships/footer" Target="footer25.xml"/><Relationship Id="rId59" Type="http://schemas.openxmlformats.org/officeDocument/2006/relationships/header" Target="header26.xml"/><Relationship Id="rId60" Type="http://schemas.openxmlformats.org/officeDocument/2006/relationships/footer" Target="footer26.xml"/><Relationship Id="rId61" Type="http://schemas.openxmlformats.org/officeDocument/2006/relationships/header" Target="header27.xml"/><Relationship Id="rId62" Type="http://schemas.openxmlformats.org/officeDocument/2006/relationships/footer" Target="footer27.xml"/><Relationship Id="rId63" Type="http://schemas.openxmlformats.org/officeDocument/2006/relationships/header" Target="header28.xml"/><Relationship Id="rId64" Type="http://schemas.openxmlformats.org/officeDocument/2006/relationships/footer" Target="footer28.xml"/><Relationship Id="rId65" Type="http://schemas.openxmlformats.org/officeDocument/2006/relationships/footer" Target="footer29.xml"/><Relationship Id="rId66" Type="http://schemas.openxmlformats.org/officeDocument/2006/relationships/header" Target="header29.xml"/><Relationship Id="rId67" Type="http://schemas.openxmlformats.org/officeDocument/2006/relationships/footer" Target="footer30.xml"/><Relationship Id="rId68" Type="http://schemas.openxmlformats.org/officeDocument/2006/relationships/footer" Target="footer31.xml"/><Relationship Id="rId69" Type="http://schemas.openxmlformats.org/officeDocument/2006/relationships/header" Target="header30.xml"/><Relationship Id="rId70" Type="http://schemas.openxmlformats.org/officeDocument/2006/relationships/header" Target="header31.xml"/><Relationship Id="rId71" Type="http://schemas.openxmlformats.org/officeDocument/2006/relationships/footer" Target="footer32.xml"/><Relationship Id="rId72" Type="http://schemas.openxmlformats.org/officeDocument/2006/relationships/footer" Target="footer33.xml"/><Relationship Id="rId73" Type="http://schemas.openxmlformats.org/officeDocument/2006/relationships/header" Target="header32.xml"/><Relationship Id="rId74" Type="http://schemas.openxmlformats.org/officeDocument/2006/relationships/header" Target="header33.xml"/><Relationship Id="rId75" Type="http://schemas.openxmlformats.org/officeDocument/2006/relationships/footer" Target="footer34.xml"/><Relationship Id="rId76" Type="http://schemas.openxmlformats.org/officeDocument/2006/relationships/header" Target="header34.xml"/><Relationship Id="rId77" Type="http://schemas.openxmlformats.org/officeDocument/2006/relationships/footer" Target="footer35.xml"/><Relationship Id="rId78" Type="http://schemas.openxmlformats.org/officeDocument/2006/relationships/header" Target="header35.xml"/><Relationship Id="rId79" Type="http://schemas.openxmlformats.org/officeDocument/2006/relationships/footer" Target="footer36.xml"/><Relationship Id="rId80" Type="http://schemas.openxmlformats.org/officeDocument/2006/relationships/footer" Target="footer37.xml"/><Relationship Id="rId81" Type="http://schemas.openxmlformats.org/officeDocument/2006/relationships/header" Target="header36.xml"/><Relationship Id="rId82" Type="http://schemas.openxmlformats.org/officeDocument/2006/relationships/footer" Target="footer38.xml"/><Relationship Id="rId83" Type="http://schemas.openxmlformats.org/officeDocument/2006/relationships/header" Target="header37.xml"/><Relationship Id="rId84" Type="http://schemas.openxmlformats.org/officeDocument/2006/relationships/header" Target="header38.xml"/><Relationship Id="rId85" Type="http://schemas.openxmlformats.org/officeDocument/2006/relationships/header" Target="header39.xml"/><Relationship Id="rId86" Type="http://schemas.openxmlformats.org/officeDocument/2006/relationships/footer" Target="footer39.xml"/><Relationship Id="rId87" Type="http://schemas.openxmlformats.org/officeDocument/2006/relationships/header" Target="header40.xml"/><Relationship Id="rId88" Type="http://schemas.openxmlformats.org/officeDocument/2006/relationships/footer" Target="footer40.xml"/><Relationship Id="rId89" Type="http://schemas.openxmlformats.org/officeDocument/2006/relationships/header" Target="header41.xml"/><Relationship Id="rId90" Type="http://schemas.openxmlformats.org/officeDocument/2006/relationships/footer" Target="footer41.xml"/><Relationship Id="rId91" Type="http://schemas.openxmlformats.org/officeDocument/2006/relationships/header" Target="header42.xml"/><Relationship Id="rId92" Type="http://schemas.openxmlformats.org/officeDocument/2006/relationships/footer" Target="footer42.xml"/><Relationship Id="rId93" Type="http://schemas.openxmlformats.org/officeDocument/2006/relationships/header" Target="header43.xml"/><Relationship Id="rId94" Type="http://schemas.openxmlformats.org/officeDocument/2006/relationships/header" Target="header44.xml"/><Relationship Id="rId95" Type="http://schemas.openxmlformats.org/officeDocument/2006/relationships/header" Target="header45.xml"/><Relationship Id="rId96" Type="http://schemas.openxmlformats.org/officeDocument/2006/relationships/header" Target="header46.xml"/><Relationship Id="rId97" Type="http://schemas.openxmlformats.org/officeDocument/2006/relationships/header" Target="header47.xml"/><Relationship Id="rId98" Type="http://schemas.openxmlformats.org/officeDocument/2006/relationships/header" Target="header48.xml"/><Relationship Id="rId99" Type="http://schemas.openxmlformats.org/officeDocument/2006/relationships/header" Target="header49.xml"/><Relationship Id="rId100" Type="http://schemas.openxmlformats.org/officeDocument/2006/relationships/header" Target="header50.xml"/><Relationship Id="rId101" Type="http://schemas.openxmlformats.org/officeDocument/2006/relationships/header" Target="header51.xml"/><Relationship Id="rId102" Type="http://schemas.openxmlformats.org/officeDocument/2006/relationships/header" Target="header52.xml"/><Relationship Id="rId103" Type="http://schemas.openxmlformats.org/officeDocument/2006/relationships/header" Target="header53.xml"/><Relationship Id="rId104" Type="http://schemas.openxmlformats.org/officeDocument/2006/relationships/header" Target="header54.xml"/><Relationship Id="rId105" Type="http://schemas.openxmlformats.org/officeDocument/2006/relationships/header" Target="header55.xml"/><Relationship Id="rId106" Type="http://schemas.openxmlformats.org/officeDocument/2006/relationships/header" Target="header56.xml"/><Relationship Id="rId107" Type="http://schemas.openxmlformats.org/officeDocument/2006/relationships/header" Target="header57.xml"/><Relationship Id="rId108" Type="http://schemas.openxmlformats.org/officeDocument/2006/relationships/header" Target="header58.xml"/><Relationship Id="rId109" Type="http://schemas.openxmlformats.org/officeDocument/2006/relationships/header" Target="header59.xml"/><Relationship Id="rId110" Type="http://schemas.openxmlformats.org/officeDocument/2006/relationships/header" Target="header60.xml"/><Relationship Id="rId111" Type="http://schemas.openxmlformats.org/officeDocument/2006/relationships/header" Target="header61.xml"/><Relationship Id="rId112" Type="http://schemas.openxmlformats.org/officeDocument/2006/relationships/footer" Target="footer43.xml"/><Relationship Id="rId113" Type="http://schemas.openxmlformats.org/officeDocument/2006/relationships/image" Target="media/image3.png"/><Relationship Id="rId114" Type="http://schemas.openxmlformats.org/officeDocument/2006/relationships/image" Target="media/image4.png"/><Relationship Id="rId115" Type="http://schemas.openxmlformats.org/officeDocument/2006/relationships/header" Target="header62.xml"/><Relationship Id="rId116" Type="http://schemas.openxmlformats.org/officeDocument/2006/relationships/footer" Target="footer44.xml"/><Relationship Id="rId117" Type="http://schemas.openxmlformats.org/officeDocument/2006/relationships/header" Target="header63.xml"/><Relationship Id="rId118" Type="http://schemas.openxmlformats.org/officeDocument/2006/relationships/footer" Target="footer45.xml"/><Relationship Id="rId119" Type="http://schemas.openxmlformats.org/officeDocument/2006/relationships/header" Target="header64.xml"/><Relationship Id="rId120" Type="http://schemas.openxmlformats.org/officeDocument/2006/relationships/footer" Target="footer46.xml"/><Relationship Id="rId121" Type="http://schemas.openxmlformats.org/officeDocument/2006/relationships/header" Target="header65.xml"/><Relationship Id="rId122" Type="http://schemas.openxmlformats.org/officeDocument/2006/relationships/footer" Target="footer47.xml"/><Relationship Id="rId123" Type="http://schemas.openxmlformats.org/officeDocument/2006/relationships/header" Target="header66.xml"/><Relationship Id="rId124" Type="http://schemas.openxmlformats.org/officeDocument/2006/relationships/footer" Target="footer48.xml"/><Relationship Id="rId125" Type="http://schemas.openxmlformats.org/officeDocument/2006/relationships/header" Target="header67.xml"/><Relationship Id="rId126" Type="http://schemas.openxmlformats.org/officeDocument/2006/relationships/header" Target="header68.xml"/><Relationship Id="rId127" Type="http://schemas.openxmlformats.org/officeDocument/2006/relationships/header" Target="header69.xml"/><Relationship Id="rId128" Type="http://schemas.openxmlformats.org/officeDocument/2006/relationships/footer" Target="footer49.xml"/><Relationship Id="rId129" Type="http://schemas.openxmlformats.org/officeDocument/2006/relationships/header" Target="header70.xml"/><Relationship Id="rId130" Type="http://schemas.openxmlformats.org/officeDocument/2006/relationships/footer" Target="footer50.xml"/><Relationship Id="rId131" Type="http://schemas.openxmlformats.org/officeDocument/2006/relationships/header" Target="header71.xml"/><Relationship Id="rId132" Type="http://schemas.openxmlformats.org/officeDocument/2006/relationships/footer" Target="footer51.xml"/><Relationship Id="rId133" Type="http://schemas.openxmlformats.org/officeDocument/2006/relationships/header" Target="header72.xml"/><Relationship Id="rId134" Type="http://schemas.openxmlformats.org/officeDocument/2006/relationships/header" Target="header73.xml"/><Relationship Id="rId135" Type="http://schemas.openxmlformats.org/officeDocument/2006/relationships/header" Target="header74.xml"/><Relationship Id="rId136" Type="http://schemas.openxmlformats.org/officeDocument/2006/relationships/footer" Target="footer52.xml"/><Relationship Id="rId137" Type="http://schemas.openxmlformats.org/officeDocument/2006/relationships/header" Target="header75.xml"/><Relationship Id="rId138" Type="http://schemas.openxmlformats.org/officeDocument/2006/relationships/footer" Target="footer53.xml"/><Relationship Id="rId139" Type="http://schemas.openxmlformats.org/officeDocument/2006/relationships/header" Target="header76.xml"/><Relationship Id="rId140" Type="http://schemas.openxmlformats.org/officeDocument/2006/relationships/footer" Target="footer54.xml"/><Relationship Id="rId141" Type="http://schemas.openxmlformats.org/officeDocument/2006/relationships/header" Target="header77.xml"/><Relationship Id="rId142" Type="http://schemas.openxmlformats.org/officeDocument/2006/relationships/header" Target="header78.xml"/><Relationship Id="rId143" Type="http://schemas.openxmlformats.org/officeDocument/2006/relationships/header" Target="header79.xml"/><Relationship Id="rId144" Type="http://schemas.openxmlformats.org/officeDocument/2006/relationships/header" Target="header80.xml"/><Relationship Id="rId145" Type="http://schemas.openxmlformats.org/officeDocument/2006/relationships/header" Target="header81.xml"/><Relationship Id="rId146" Type="http://schemas.openxmlformats.org/officeDocument/2006/relationships/footer" Target="footer55.xml"/><Relationship Id="rId147" Type="http://schemas.openxmlformats.org/officeDocument/2006/relationships/hyperlink" Target="http://www.hudong.com/wiki/%E8%82%A1%E4%B8%9C" TargetMode="External"/><Relationship Id="rId148" Type="http://schemas.openxmlformats.org/officeDocument/2006/relationships/hyperlink" Target="http://www.hudong.com/wiki/%E5%86%B3%E7%AD%96" TargetMode="External"/><Relationship Id="rId149" Type="http://schemas.openxmlformats.org/officeDocument/2006/relationships/header" Target="header82.xml"/><Relationship Id="rId150" Type="http://schemas.openxmlformats.org/officeDocument/2006/relationships/footer" Target="footer56.xml"/><Relationship Id="rId151" Type="http://schemas.openxmlformats.org/officeDocument/2006/relationships/header" Target="header83.xml"/><Relationship Id="rId152" Type="http://schemas.openxmlformats.org/officeDocument/2006/relationships/header" Target="header84.xml"/><Relationship Id="rId153" Type="http://schemas.openxmlformats.org/officeDocument/2006/relationships/footer" Target="footer57.xml"/><Relationship Id="rId154" Type="http://schemas.openxmlformats.org/officeDocument/2006/relationships/header" Target="header85.xml"/><Relationship Id="rId155" Type="http://schemas.openxmlformats.org/officeDocument/2006/relationships/footer" Target="footer58.xml"/><Relationship Id="rId156" Type="http://schemas.openxmlformats.org/officeDocument/2006/relationships/header" Target="header86.xml"/><Relationship Id="rId157" Type="http://schemas.openxmlformats.org/officeDocument/2006/relationships/footer" Target="footer59.xml"/><Relationship Id="rId158" Type="http://schemas.openxmlformats.org/officeDocument/2006/relationships/header" Target="header87.xml"/><Relationship Id="rId159" Type="http://schemas.openxmlformats.org/officeDocument/2006/relationships/footer" Target="footer60.xml"/><Relationship Id="rId160" Type="http://schemas.openxmlformats.org/officeDocument/2006/relationships/header" Target="header88.xml"/><Relationship Id="rId161" Type="http://schemas.openxmlformats.org/officeDocument/2006/relationships/footer" Target="footer61.xml"/><Relationship Id="rId162" Type="http://schemas.openxmlformats.org/officeDocument/2006/relationships/header" Target="header89.xml"/><Relationship Id="rId163" Type="http://schemas.openxmlformats.org/officeDocument/2006/relationships/footer" Target="footer62.xml"/><Relationship Id="rId164" Type="http://schemas.openxmlformats.org/officeDocument/2006/relationships/header" Target="header90.xml"/><Relationship Id="rId165" Type="http://schemas.openxmlformats.org/officeDocument/2006/relationships/footer" Target="footer63.xml"/><Relationship Id="rId166" Type="http://schemas.openxmlformats.org/officeDocument/2006/relationships/header" Target="header91.xml"/><Relationship Id="rId167" Type="http://schemas.openxmlformats.org/officeDocument/2006/relationships/footer" Target="footer64.xml"/><Relationship Id="rId168" Type="http://schemas.openxmlformats.org/officeDocument/2006/relationships/header" Target="header92.xml"/><Relationship Id="rId169" Type="http://schemas.openxmlformats.org/officeDocument/2006/relationships/footer" Target="footer65.xml"/><Relationship Id="rId170" Type="http://schemas.openxmlformats.org/officeDocument/2006/relationships/header" Target="header93.xml"/><Relationship Id="rId171" Type="http://schemas.openxmlformats.org/officeDocument/2006/relationships/footer" Target="footer66.xml"/><Relationship Id="rId172" Type="http://schemas.openxmlformats.org/officeDocument/2006/relationships/header" Target="header94.xml"/><Relationship Id="rId173" Type="http://schemas.openxmlformats.org/officeDocument/2006/relationships/footer" Target="footer67.xml"/><Relationship Id="rId174" Type="http://schemas.openxmlformats.org/officeDocument/2006/relationships/header" Target="header95.xml"/><Relationship Id="rId175" Type="http://schemas.openxmlformats.org/officeDocument/2006/relationships/footer" Target="footer68.xml"/><Relationship Id="rId176" Type="http://schemas.openxmlformats.org/officeDocument/2006/relationships/header" Target="header96.xml"/><Relationship Id="rId177" Type="http://schemas.openxmlformats.org/officeDocument/2006/relationships/footer" Target="footer69.xml"/><Relationship Id="rId178" Type="http://schemas.openxmlformats.org/officeDocument/2006/relationships/header" Target="header97.xml"/><Relationship Id="rId179" Type="http://schemas.openxmlformats.org/officeDocument/2006/relationships/footer" Target="footer70.xml"/><Relationship Id="rId180" Type="http://schemas.openxmlformats.org/officeDocument/2006/relationships/header" Target="header98.xml"/><Relationship Id="rId181" Type="http://schemas.openxmlformats.org/officeDocument/2006/relationships/footer" Target="footer71.xml"/><Relationship Id="rId182" Type="http://schemas.openxmlformats.org/officeDocument/2006/relationships/header" Target="header99.xml"/><Relationship Id="rId183" Type="http://schemas.openxmlformats.org/officeDocument/2006/relationships/footer" Target="footer72.xml"/><Relationship Id="rId184" Type="http://schemas.openxmlformats.org/officeDocument/2006/relationships/header" Target="header100.xml"/><Relationship Id="rId185" Type="http://schemas.openxmlformats.org/officeDocument/2006/relationships/footer" Target="footer73.xml"/><Relationship Id="rId18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- 600588_2009_n.doc</dc:title>
  <dcterms:created xsi:type="dcterms:W3CDTF">2020-04-02T14:56:46Z</dcterms:created>
  <dcterms:modified xsi:type="dcterms:W3CDTF">2020-04-02T14:56:46Z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2010-03-22T00:00:00Z</vt:filetime>
  </property>
  <property fmtid="{D5CDD505-2E9C-101B-9397-08002B2CF9AE}" pid="3" name="Creator">
    <vt:lpwstr>Acrobat PDFMaker 7.0 for Word</vt:lpwstr>
  </property>
  <property fmtid="{D5CDD505-2E9C-101B-9397-08002B2CF9AE}" pid="4" name="LastSaved">
    <vt:filetime>2020-04-02T00:00:00Z</vt:filetime>
  </property>
</Properties>
</file>